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B50BB3" w:rsidP="00F9732A">
      <w:r>
        <w:t>Bernard X. Wanninger</w:t>
      </w:r>
      <w:r w:rsidR="00BC7989">
        <w:tab/>
      </w:r>
      <w:r w:rsidR="00F9732A" w:rsidRPr="008B455C">
        <w:tab/>
      </w:r>
      <w:r w:rsidR="00EF7BB1" w:rsidRPr="008B455C">
        <w:tab/>
      </w:r>
      <w:r w:rsidR="002C0A6E">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C-2008</w:t>
      </w:r>
      <w:r w:rsidR="00BC7989">
        <w:t>-2</w:t>
      </w:r>
      <w:r w:rsidR="00B50BB3">
        <w:t>057952</w:t>
      </w:r>
    </w:p>
    <w:p w:rsidR="00F9732A" w:rsidRPr="008B455C" w:rsidRDefault="00F9732A" w:rsidP="00F9732A">
      <w:pPr>
        <w:ind w:left="5040"/>
      </w:pPr>
      <w:r w:rsidRPr="008B455C">
        <w:t>:</w:t>
      </w:r>
    </w:p>
    <w:p w:rsidR="00F9732A" w:rsidRPr="008B455C" w:rsidRDefault="00F9732A" w:rsidP="00F9732A">
      <w:r w:rsidRPr="008B455C">
        <w:t>Duquesne Light Company</w:t>
      </w:r>
      <w:r w:rsidRPr="008B455C">
        <w:tab/>
      </w:r>
      <w:r w:rsidRPr="008B455C">
        <w:tab/>
        <w:t xml:space="preserve"> </w:t>
      </w:r>
      <w:r w:rsidRPr="008B455C">
        <w:tab/>
      </w:r>
      <w:r w:rsidRPr="008B455C">
        <w:tab/>
        <w:t>:</w:t>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D868FB" w:rsidRPr="008B455C" w:rsidRDefault="00D868FB" w:rsidP="00F9732A">
      <w:pPr>
        <w:jc w:val="center"/>
        <w:rPr>
          <w:u w:val="single"/>
        </w:rPr>
      </w:pPr>
    </w:p>
    <w:p w:rsidR="0041637D" w:rsidRPr="008B455C" w:rsidRDefault="00F9732A" w:rsidP="00BD76C8">
      <w:pPr>
        <w:spacing w:line="360" w:lineRule="auto"/>
      </w:pPr>
      <w:r w:rsidRPr="008B455C">
        <w:tab/>
      </w:r>
      <w:r w:rsidRPr="008B455C">
        <w:tab/>
      </w:r>
      <w:r w:rsidR="00BD76C8" w:rsidRPr="008B455C">
        <w:t xml:space="preserve">On </w:t>
      </w:r>
      <w:r w:rsidR="00B50BB3">
        <w:t>August 6, 2008</w:t>
      </w:r>
      <w:r w:rsidR="00BD76C8" w:rsidRPr="008B455C">
        <w:t xml:space="preserve">, </w:t>
      </w:r>
      <w:r w:rsidR="00B50BB3">
        <w:t>Bernard X. Wanninger</w:t>
      </w:r>
      <w:r w:rsidR="0065346D" w:rsidRPr="008B455C">
        <w:t xml:space="preserve"> (“</w:t>
      </w:r>
      <w:r w:rsidR="00B50BB3">
        <w:t>Wanninger</w:t>
      </w:r>
      <w:r w:rsidR="00BC7989">
        <w:t>” or “Complainant</w:t>
      </w:r>
      <w:r w:rsidR="0065346D" w:rsidRPr="008B455C">
        <w:t>”)</w:t>
      </w:r>
      <w:r w:rsidR="00BD76C8" w:rsidRPr="008B455C">
        <w:t xml:space="preserve"> filed a formal complaint with the Pennsylvania P</w:t>
      </w:r>
      <w:r w:rsidR="0041637D" w:rsidRPr="008B455C">
        <w:t>u</w:t>
      </w:r>
      <w:r w:rsidR="00BD76C8" w:rsidRPr="008B455C">
        <w:t xml:space="preserve">blic Utility Commission (“Commission”) against Duquesne Light Company (“Duquesne Light” or “Respondent”) </w:t>
      </w:r>
      <w:r w:rsidR="0065346D" w:rsidRPr="008B455C">
        <w:t xml:space="preserve">complaining </w:t>
      </w:r>
      <w:r w:rsidR="00B50BB3">
        <w:t xml:space="preserve">there was a reliability, safety or quality problem with Respondent’s provision of electrical services to Complainant’s residence.  Complainant requested the Commission require </w:t>
      </w:r>
      <w:r w:rsidR="00BD7A50">
        <w:t xml:space="preserve">Respondent </w:t>
      </w:r>
      <w:r w:rsidR="00B50BB3">
        <w:t>to correct the problem</w:t>
      </w:r>
      <w:r w:rsidR="00F86FB9">
        <w:t>.</w:t>
      </w:r>
    </w:p>
    <w:p w:rsidR="0041637D" w:rsidRPr="008B455C" w:rsidRDefault="0041637D" w:rsidP="00BD76C8">
      <w:pPr>
        <w:spacing w:line="360" w:lineRule="auto"/>
      </w:pPr>
    </w:p>
    <w:p w:rsidR="000B575F" w:rsidRPr="008B455C" w:rsidRDefault="0041637D" w:rsidP="00BD76C8">
      <w:pPr>
        <w:spacing w:line="360" w:lineRule="auto"/>
      </w:pPr>
      <w:r w:rsidRPr="008B455C">
        <w:tab/>
      </w:r>
      <w:r w:rsidRPr="008B455C">
        <w:tab/>
        <w:t xml:space="preserve">Duquesne Light filed </w:t>
      </w:r>
      <w:r w:rsidR="00DF0974" w:rsidRPr="008B455C">
        <w:t>an</w:t>
      </w:r>
      <w:r w:rsidR="00580D5E" w:rsidRPr="008B455C">
        <w:t xml:space="preserve"> </w:t>
      </w:r>
      <w:r w:rsidRPr="008B455C">
        <w:t xml:space="preserve">answer and new matter in response to </w:t>
      </w:r>
      <w:r w:rsidR="00F86FB9">
        <w:t>the</w:t>
      </w:r>
      <w:r w:rsidR="0065346D" w:rsidRPr="008B455C">
        <w:t xml:space="preserve"> </w:t>
      </w:r>
      <w:r w:rsidRPr="008B455C">
        <w:t xml:space="preserve">complaint on </w:t>
      </w:r>
      <w:r w:rsidR="00D2288B">
        <w:t>September 10, 2008</w:t>
      </w:r>
      <w:r w:rsidRPr="008B455C">
        <w:t xml:space="preserve">.  In </w:t>
      </w:r>
      <w:r w:rsidR="00DF0974" w:rsidRPr="008B455C">
        <w:t>its</w:t>
      </w:r>
      <w:r w:rsidRPr="008B455C">
        <w:t xml:space="preserve"> </w:t>
      </w:r>
      <w:r w:rsidR="00580D5E" w:rsidRPr="008B455C">
        <w:t xml:space="preserve">responsive pleading, Duquesne Light avers </w:t>
      </w:r>
      <w:r w:rsidR="00D2288B">
        <w:t xml:space="preserve">it was without sufficient knowledge to respond to Complainant’s formal complaint and generally denied the allegations.  </w:t>
      </w:r>
      <w:r w:rsidR="00DF08BA" w:rsidRPr="008B455C">
        <w:t xml:space="preserve">Duquesne Light requests </w:t>
      </w:r>
      <w:r w:rsidR="00DF0974" w:rsidRPr="008B455C">
        <w:t>the</w:t>
      </w:r>
      <w:r w:rsidR="00DF08BA" w:rsidRPr="008B455C">
        <w:t xml:space="preserve"> complaint </w:t>
      </w:r>
      <w:r w:rsidR="00DF39F5">
        <w:t xml:space="preserve">should </w:t>
      </w:r>
      <w:r w:rsidR="00DF08BA" w:rsidRPr="008B455C">
        <w:t xml:space="preserve">be dismissed.  </w:t>
      </w:r>
    </w:p>
    <w:p w:rsidR="000B575F" w:rsidRPr="008B455C" w:rsidRDefault="000B575F" w:rsidP="00BD76C8">
      <w:pPr>
        <w:spacing w:line="360" w:lineRule="auto"/>
      </w:pPr>
    </w:p>
    <w:p w:rsidR="008E4FD6" w:rsidRPr="008B455C" w:rsidRDefault="0084410C" w:rsidP="006D3697">
      <w:pPr>
        <w:spacing w:line="360" w:lineRule="auto"/>
      </w:pPr>
      <w:r w:rsidRPr="008B455C">
        <w:tab/>
      </w:r>
      <w:r w:rsidRPr="008B455C">
        <w:tab/>
      </w:r>
      <w:r w:rsidR="006D3697" w:rsidRPr="008B455C">
        <w:t xml:space="preserve">On </w:t>
      </w:r>
      <w:r w:rsidR="00D2288B">
        <w:t>December 15, 2008, the Office of Administrative Law Judge scheduled an initial telephonic hearing in this matter for January 21, 2009</w:t>
      </w:r>
      <w:r w:rsidR="004E7B43">
        <w:t xml:space="preserve">, and the </w:t>
      </w:r>
      <w:r w:rsidR="00EF5386" w:rsidRPr="008B455C">
        <w:t xml:space="preserve">Telephone Hearing Notice </w:t>
      </w:r>
      <w:r w:rsidR="006D3697" w:rsidRPr="008B455C">
        <w:lastRenderedPageBreak/>
        <w:t xml:space="preserve">was sent to </w:t>
      </w:r>
      <w:r w:rsidR="00BC7989">
        <w:t>Complainant</w:t>
      </w:r>
      <w:r w:rsidR="00863BD5" w:rsidRPr="008B455C">
        <w:t xml:space="preserve"> </w:t>
      </w:r>
      <w:r w:rsidR="006D3697" w:rsidRPr="008B455C">
        <w:t>and Duquesne Light</w:t>
      </w:r>
      <w:r w:rsidR="00EF5386" w:rsidRPr="008B455C">
        <w:t xml:space="preserve"> on that date</w:t>
      </w:r>
      <w:r w:rsidR="006D3697" w:rsidRPr="008B455C">
        <w:t xml:space="preserve">.  On </w:t>
      </w:r>
      <w:r w:rsidR="004E7B43">
        <w:t>December 18, 2008</w:t>
      </w:r>
      <w:r w:rsidR="006D3697" w:rsidRPr="008B455C">
        <w:t xml:space="preserve">, the </w:t>
      </w:r>
      <w:r w:rsidR="000C0051">
        <w:t xml:space="preserve"> </w:t>
      </w:r>
      <w:r w:rsidR="006D3697" w:rsidRPr="008B455C">
        <w:t>undersigned issued a</w:t>
      </w:r>
      <w:r w:rsidR="008418FC" w:rsidRPr="008B455C">
        <w:t xml:space="preserve"> Prehearing Order.  </w:t>
      </w:r>
    </w:p>
    <w:p w:rsidR="008E4FD6" w:rsidRPr="008B455C" w:rsidRDefault="008E4FD6" w:rsidP="008E4FD6">
      <w:pPr>
        <w:tabs>
          <w:tab w:val="left" w:pos="2160"/>
        </w:tabs>
        <w:spacing w:line="360" w:lineRule="auto"/>
        <w:ind w:firstLine="1440"/>
      </w:pPr>
    </w:p>
    <w:p w:rsidR="00411416" w:rsidRDefault="001F030C" w:rsidP="008E4FD6">
      <w:pPr>
        <w:tabs>
          <w:tab w:val="left" w:pos="2160"/>
        </w:tabs>
        <w:spacing w:line="360" w:lineRule="auto"/>
        <w:ind w:firstLine="1440"/>
      </w:pPr>
      <w:r w:rsidRPr="008B455C">
        <w:t xml:space="preserve">The </w:t>
      </w:r>
      <w:r w:rsidR="00863BD5" w:rsidRPr="008B455C">
        <w:t xml:space="preserve">presiding officer convened the </w:t>
      </w:r>
      <w:r w:rsidRPr="008B455C">
        <w:t xml:space="preserve">initial hearing </w:t>
      </w:r>
      <w:r w:rsidR="006D3697" w:rsidRPr="008B455C">
        <w:t xml:space="preserve">as scheduled on </w:t>
      </w:r>
      <w:r w:rsidR="004E7B43">
        <w:t>January 21</w:t>
      </w:r>
      <w:r w:rsidR="003D0DEF">
        <w:t>, 2009</w:t>
      </w:r>
      <w:r w:rsidR="006D3697" w:rsidRPr="008B455C">
        <w:t xml:space="preserve">.  </w:t>
      </w:r>
      <w:r w:rsidR="00BC7989">
        <w:t>Complainant</w:t>
      </w:r>
      <w:r w:rsidR="00196E40" w:rsidRPr="008B455C">
        <w:t xml:space="preserve"> </w:t>
      </w:r>
      <w:r w:rsidR="00DC297D" w:rsidRPr="008B455C">
        <w:t xml:space="preserve">appeared </w:t>
      </w:r>
      <w:r w:rsidR="00DC297D" w:rsidRPr="008B455C">
        <w:rPr>
          <w:i/>
        </w:rPr>
        <w:t xml:space="preserve">pro se </w:t>
      </w:r>
      <w:r w:rsidR="00DC297D" w:rsidRPr="008B455C">
        <w:t xml:space="preserve">and </w:t>
      </w:r>
      <w:r w:rsidR="005E6DB5" w:rsidRPr="008B455C">
        <w:t xml:space="preserve">Duquesne Light was represented by </w:t>
      </w:r>
      <w:r w:rsidR="00196E40" w:rsidRPr="008B455C">
        <w:t>Krysia Kubiak</w:t>
      </w:r>
      <w:r w:rsidR="005E6DB5" w:rsidRPr="008B455C">
        <w:t xml:space="preserve">, Esquire.  </w:t>
      </w:r>
      <w:r w:rsidR="004E7B43">
        <w:t xml:space="preserve">No witnesses or testimony were presented on that date.  The parties convened privately, off the record, and reached a settlement.  The parties requested a continuance in order to provide sufficient time within which the parties would attempt to determine </w:t>
      </w:r>
      <w:r w:rsidR="00411416">
        <w:t xml:space="preserve">if there were </w:t>
      </w:r>
      <w:r w:rsidR="004E7B43">
        <w:t xml:space="preserve">power surges affecting </w:t>
      </w:r>
      <w:r w:rsidR="00411416">
        <w:t>Complainant’s property and, if so, determine the cause and correct the problem.  The parties specifically requested a six month-period of time in which to effectuate the proposed solution.  A transcript of the proceedings and d</w:t>
      </w:r>
      <w:r w:rsidR="004C32C0">
        <w:t xml:space="preserve">iscussions between the parties </w:t>
      </w:r>
      <w:r w:rsidR="00411416">
        <w:t>and the presiding officer were maintained in a trans</w:t>
      </w:r>
      <w:r w:rsidR="00FC4468" w:rsidRPr="008B455C">
        <w:t xml:space="preserve">cript </w:t>
      </w:r>
      <w:r w:rsidR="00411416">
        <w:t>consisting of fourteen</w:t>
      </w:r>
      <w:r w:rsidR="0046290B" w:rsidRPr="008B455C">
        <w:t xml:space="preserve"> (</w:t>
      </w:r>
      <w:r w:rsidR="00411416">
        <w:t>14</w:t>
      </w:r>
      <w:r w:rsidR="0046290B" w:rsidRPr="008B455C">
        <w:t>)</w:t>
      </w:r>
      <w:r w:rsidR="00FC4468" w:rsidRPr="008B455C">
        <w:t xml:space="preserve"> pages</w:t>
      </w:r>
      <w:r w:rsidR="00537506">
        <w:t xml:space="preserve">.  </w:t>
      </w:r>
    </w:p>
    <w:p w:rsidR="00411416" w:rsidRDefault="00411416" w:rsidP="008E4FD6">
      <w:pPr>
        <w:tabs>
          <w:tab w:val="left" w:pos="2160"/>
        </w:tabs>
        <w:spacing w:line="360" w:lineRule="auto"/>
        <w:ind w:firstLine="1440"/>
      </w:pPr>
    </w:p>
    <w:p w:rsidR="00F8480C" w:rsidRDefault="00411416" w:rsidP="008E4FD6">
      <w:pPr>
        <w:tabs>
          <w:tab w:val="left" w:pos="2160"/>
        </w:tabs>
        <w:spacing w:line="360" w:lineRule="auto"/>
        <w:ind w:firstLine="1440"/>
      </w:pPr>
      <w:r>
        <w:t>On January 27, 2009, Respondent filed a Request to Hold Case in Continuance until July 21, 2009 in order for the parties to complete the settlement.</w:t>
      </w:r>
    </w:p>
    <w:p w:rsidR="00F8480C" w:rsidRDefault="00F8480C" w:rsidP="008E4FD6">
      <w:pPr>
        <w:tabs>
          <w:tab w:val="left" w:pos="2160"/>
        </w:tabs>
        <w:spacing w:line="360" w:lineRule="auto"/>
        <w:ind w:firstLine="1440"/>
      </w:pPr>
    </w:p>
    <w:p w:rsidR="00F8480C" w:rsidRDefault="00F8480C" w:rsidP="008E4FD6">
      <w:pPr>
        <w:tabs>
          <w:tab w:val="left" w:pos="2160"/>
        </w:tabs>
        <w:spacing w:line="360" w:lineRule="auto"/>
        <w:ind w:firstLine="1440"/>
      </w:pPr>
      <w:r>
        <w:t>On the same date, the presiding officer issued the First Interim Order granting the continuance request and specifically notified the parties a subsequent hearing would be scheduled in the event no Certificate of Satisfaction was received by July 1, 2009.</w:t>
      </w:r>
    </w:p>
    <w:p w:rsidR="00F8480C" w:rsidRDefault="00F8480C" w:rsidP="008E4FD6">
      <w:pPr>
        <w:tabs>
          <w:tab w:val="left" w:pos="2160"/>
        </w:tabs>
        <w:spacing w:line="360" w:lineRule="auto"/>
        <w:ind w:firstLine="1440"/>
      </w:pPr>
    </w:p>
    <w:p w:rsidR="005E6DB5" w:rsidRDefault="00F8480C" w:rsidP="008E4FD6">
      <w:pPr>
        <w:tabs>
          <w:tab w:val="left" w:pos="2160"/>
        </w:tabs>
        <w:spacing w:line="360" w:lineRule="auto"/>
        <w:ind w:firstLine="1440"/>
      </w:pPr>
      <w:r>
        <w:t xml:space="preserve">On July 6, 2009, the presiding officer issued the Second Interim Order requiring the parties to respond and provide notice of the status of the settlement and notify the presiding officer whether a hearing should be scheduled.  </w:t>
      </w:r>
    </w:p>
    <w:p w:rsidR="00F8480C" w:rsidRDefault="00F8480C" w:rsidP="008E4FD6">
      <w:pPr>
        <w:tabs>
          <w:tab w:val="left" w:pos="2160"/>
        </w:tabs>
        <w:spacing w:line="360" w:lineRule="auto"/>
        <w:ind w:firstLine="1440"/>
      </w:pPr>
    </w:p>
    <w:p w:rsidR="00F8480C" w:rsidRDefault="00F8480C" w:rsidP="008E4FD6">
      <w:pPr>
        <w:tabs>
          <w:tab w:val="left" w:pos="2160"/>
        </w:tabs>
        <w:spacing w:line="360" w:lineRule="auto"/>
        <w:ind w:firstLine="1440"/>
      </w:pPr>
      <w:r>
        <w:t xml:space="preserve">On July 13, 2009, Complainant sent a letter to the presiding officer informing the presiding officer that Respondent </w:t>
      </w:r>
      <w:r w:rsidR="00D57B37">
        <w:t xml:space="preserve">had repaired the problem within approximately three weeks of the January 2009 hearing date.  Complainant noted he had heard from the repairperson that the problem was addressed but had not heard in </w:t>
      </w:r>
      <w:r w:rsidR="004C32C0">
        <w:t>writing from the company office</w:t>
      </w:r>
      <w:r w:rsidR="00D57B37">
        <w:t xml:space="preserve">, the attorney for Respondent or from </w:t>
      </w:r>
      <w:r w:rsidR="00431883">
        <w:t>Respondent’s</w:t>
      </w:r>
      <w:r w:rsidR="00D57B37">
        <w:t xml:space="preserve"> service department.  Complainant wrote he wanted Respondent to formally confirm the work agreed-to had actually been completed, and he would sign a Certificate of Satisfaction if such a confirmation was received.  </w:t>
      </w:r>
    </w:p>
    <w:p w:rsidR="00D57B37" w:rsidRDefault="00D57B37" w:rsidP="008E4FD6">
      <w:pPr>
        <w:tabs>
          <w:tab w:val="left" w:pos="2160"/>
        </w:tabs>
        <w:spacing w:line="360" w:lineRule="auto"/>
        <w:ind w:firstLine="1440"/>
      </w:pPr>
      <w:r>
        <w:lastRenderedPageBreak/>
        <w:t xml:space="preserve">On July 22, 2009, Respondent provided to the presiding officer a copy of a letter Respondent sent to Complainant in an attempt to comply with the settlement.  </w:t>
      </w:r>
      <w:r w:rsidR="00C63894">
        <w:t xml:space="preserve">That letter was sent on July 9, 2009 and indicated Complainant’s house was switched from the C Phase to the B Phase wire on the circuit, thus fixing the problem.  </w:t>
      </w:r>
    </w:p>
    <w:p w:rsidR="00C63894" w:rsidRDefault="00C63894" w:rsidP="008E4FD6">
      <w:pPr>
        <w:tabs>
          <w:tab w:val="left" w:pos="2160"/>
        </w:tabs>
        <w:spacing w:line="360" w:lineRule="auto"/>
        <w:ind w:firstLine="1440"/>
      </w:pPr>
    </w:p>
    <w:p w:rsidR="00C63894" w:rsidRPr="008B455C" w:rsidRDefault="00C63894" w:rsidP="00C63894">
      <w:pPr>
        <w:tabs>
          <w:tab w:val="left" w:pos="2160"/>
        </w:tabs>
        <w:spacing w:line="360" w:lineRule="auto"/>
        <w:ind w:firstLine="1440"/>
      </w:pPr>
      <w:r>
        <w:t>On August 5, 2009, the presiding officer sent a letter to Complainant, copied to the utility, which recounted the history of the proceeding.  The letter provided a self-addressed, stamped envelope and requested Complainant indicate in writing whether he was satisfied with the repairs made back on January 26, 2009</w:t>
      </w:r>
      <w:r w:rsidR="00431883">
        <w:t xml:space="preserve"> or whether he wished to pursue his complaint</w:t>
      </w:r>
      <w:r>
        <w:t xml:space="preserve">.  </w:t>
      </w:r>
    </w:p>
    <w:p w:rsidR="005E6DB5" w:rsidRDefault="005E6DB5" w:rsidP="008E4FD6">
      <w:pPr>
        <w:tabs>
          <w:tab w:val="left" w:pos="2160"/>
        </w:tabs>
        <w:spacing w:line="360" w:lineRule="auto"/>
        <w:ind w:firstLine="1440"/>
      </w:pPr>
    </w:p>
    <w:p w:rsidR="00C63894" w:rsidRDefault="00C63894" w:rsidP="008E4FD6">
      <w:pPr>
        <w:tabs>
          <w:tab w:val="left" w:pos="2160"/>
        </w:tabs>
        <w:spacing w:line="360" w:lineRule="auto"/>
        <w:ind w:firstLine="1440"/>
      </w:pPr>
      <w:r>
        <w:t>On August 13, 2009, Complainant notified the presiding officer in writing that he wanted to pursue his complaint and requested a telephonic hearing be rescheduled.</w:t>
      </w:r>
      <w:r w:rsidR="004D2634">
        <w:t xml:space="preserve">  Thereafter, the Office of Administrative Law Judge scheduled a Further Telephonic Hearing for </w:t>
      </w:r>
      <w:r w:rsidR="00687C7C">
        <w:t>October 29, 2009 at 10:00 a.m.</w:t>
      </w:r>
    </w:p>
    <w:p w:rsidR="004D2634" w:rsidRDefault="004D2634" w:rsidP="008E4FD6">
      <w:pPr>
        <w:tabs>
          <w:tab w:val="left" w:pos="2160"/>
        </w:tabs>
        <w:spacing w:line="360" w:lineRule="auto"/>
        <w:ind w:firstLine="1440"/>
      </w:pPr>
    </w:p>
    <w:p w:rsidR="000B7C98" w:rsidRDefault="000B7C98" w:rsidP="000B7C98">
      <w:pPr>
        <w:tabs>
          <w:tab w:val="left" w:pos="2160"/>
        </w:tabs>
        <w:spacing w:line="360" w:lineRule="auto"/>
        <w:ind w:firstLine="1440"/>
      </w:pPr>
      <w:r w:rsidRPr="008D5A3F">
        <w:t xml:space="preserve">The </w:t>
      </w:r>
      <w:r>
        <w:t>Further Telephonic</w:t>
      </w:r>
      <w:r w:rsidRPr="008D5A3F">
        <w:t xml:space="preserve"> </w:t>
      </w:r>
      <w:r>
        <w:t>H</w:t>
      </w:r>
      <w:r w:rsidRPr="008D5A3F">
        <w:t xml:space="preserve">earing convened as scheduled on </w:t>
      </w:r>
      <w:r>
        <w:t>October 29, 2009</w:t>
      </w:r>
      <w:r w:rsidRPr="008D5A3F">
        <w:t xml:space="preserve">.  </w:t>
      </w:r>
      <w:r>
        <w:t xml:space="preserve">Complainant </w:t>
      </w:r>
      <w:r w:rsidRPr="008D5A3F">
        <w:t xml:space="preserve">appeared </w:t>
      </w:r>
      <w:r w:rsidRPr="008D5A3F">
        <w:rPr>
          <w:i/>
        </w:rPr>
        <w:t>pro se</w:t>
      </w:r>
      <w:r>
        <w:t xml:space="preserve"> and </w:t>
      </w:r>
      <w:r w:rsidRPr="008D5A3F">
        <w:t xml:space="preserve">testified on his own behalf.  He offered </w:t>
      </w:r>
      <w:r>
        <w:t>one witness and no exhibits</w:t>
      </w:r>
      <w:r w:rsidRPr="008D5A3F">
        <w:t xml:space="preserve">.  Respondent was represented by </w:t>
      </w:r>
      <w:r>
        <w:t xml:space="preserve">Krysia Kubiak, Esquire who </w:t>
      </w:r>
      <w:r w:rsidRPr="008D5A3F">
        <w:t xml:space="preserve">presented the testimony of </w:t>
      </w:r>
      <w:r>
        <w:t>Patrick Conti</w:t>
      </w:r>
      <w:r w:rsidRPr="008D5A3F">
        <w:t xml:space="preserve">, </w:t>
      </w:r>
      <w:r>
        <w:t>Manager of Operations.</w:t>
      </w:r>
      <w:r w:rsidR="0055630F">
        <w:t xml:space="preserve">  </w:t>
      </w:r>
      <w:r>
        <w:t>Respondent</w:t>
      </w:r>
      <w:r w:rsidRPr="008D5A3F">
        <w:t xml:space="preserve"> offered </w:t>
      </w:r>
      <w:r>
        <w:t>one exhibit</w:t>
      </w:r>
      <w:r w:rsidRPr="008D5A3F">
        <w:t xml:space="preserve">, marked </w:t>
      </w:r>
      <w:r w:rsidR="008E10FA">
        <w:t xml:space="preserve">Duquesne Light Exhibit “1”, </w:t>
      </w:r>
      <w:r w:rsidRPr="008D5A3F">
        <w:t>which exhibit</w:t>
      </w:r>
      <w:r w:rsidR="008E10FA">
        <w:t xml:space="preserve"> was</w:t>
      </w:r>
      <w:r w:rsidRPr="008D5A3F">
        <w:t xml:space="preserve"> admitted into evidence.  The transcript of the hearing</w:t>
      </w:r>
      <w:r w:rsidR="00446EE8">
        <w:t xml:space="preserve">, which </w:t>
      </w:r>
      <w:r w:rsidRPr="008D5A3F">
        <w:t xml:space="preserve">contains </w:t>
      </w:r>
      <w:r w:rsidR="00446EE8">
        <w:t>sixty-two</w:t>
      </w:r>
      <w:r w:rsidRPr="008D5A3F">
        <w:t xml:space="preserve"> (</w:t>
      </w:r>
      <w:r w:rsidR="00446EE8">
        <w:t>6</w:t>
      </w:r>
      <w:r w:rsidRPr="008D5A3F">
        <w:t>2) pages</w:t>
      </w:r>
      <w:r w:rsidR="00446EE8">
        <w:t>, was received by the presiding officer on December 28, 2009</w:t>
      </w:r>
      <w:r w:rsidRPr="008D5A3F">
        <w:t xml:space="preserve">.  Complainant and Respondent issued final statements on the hearing record in lieu of filing briefs.  </w:t>
      </w:r>
    </w:p>
    <w:p w:rsidR="008E10FA" w:rsidRDefault="008E10FA" w:rsidP="000B7C98">
      <w:pPr>
        <w:tabs>
          <w:tab w:val="left" w:pos="2160"/>
        </w:tabs>
        <w:spacing w:line="360" w:lineRule="auto"/>
        <w:ind w:firstLine="1440"/>
      </w:pPr>
    </w:p>
    <w:p w:rsidR="008E10FA" w:rsidRPr="008B455C" w:rsidRDefault="00431883" w:rsidP="008E10FA">
      <w:pPr>
        <w:tabs>
          <w:tab w:val="left" w:pos="2160"/>
        </w:tabs>
        <w:spacing w:line="360" w:lineRule="auto"/>
        <w:ind w:firstLine="1440"/>
      </w:pPr>
      <w:r>
        <w:t xml:space="preserve">Upon receipt of the transcript, </w:t>
      </w:r>
      <w:r w:rsidR="008E10FA" w:rsidRPr="008B455C">
        <w:t>the presiding officer closed the hearing record by Interim Order Closing the Hearing Record</w:t>
      </w:r>
      <w:r>
        <w:t xml:space="preserve"> on January 4, 2010</w:t>
      </w:r>
      <w:r w:rsidR="008E10FA" w:rsidRPr="008B455C">
        <w:t>.</w:t>
      </w:r>
    </w:p>
    <w:p w:rsidR="008E10FA" w:rsidRPr="008D5A3F" w:rsidRDefault="008E10FA" w:rsidP="000B7C98">
      <w:pPr>
        <w:tabs>
          <w:tab w:val="left" w:pos="2160"/>
        </w:tabs>
        <w:spacing w:line="360" w:lineRule="auto"/>
        <w:ind w:firstLine="1440"/>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8E4FD6" w:rsidRPr="008B455C" w:rsidRDefault="008E4FD6" w:rsidP="008E4FD6">
      <w:pPr>
        <w:tabs>
          <w:tab w:val="left" w:pos="2160"/>
        </w:tabs>
        <w:spacing w:line="360" w:lineRule="auto"/>
        <w:rPr>
          <w:u w:val="single"/>
        </w:rPr>
      </w:pPr>
    </w:p>
    <w:p w:rsidR="00DA66D7" w:rsidRPr="008B455C" w:rsidRDefault="008E4FD6" w:rsidP="00600EE9">
      <w:pPr>
        <w:tabs>
          <w:tab w:val="left" w:pos="2160"/>
        </w:tabs>
        <w:spacing w:line="360" w:lineRule="auto"/>
        <w:ind w:firstLine="1440"/>
      </w:pPr>
      <w:r w:rsidRPr="008B455C">
        <w:t>1.</w:t>
      </w:r>
      <w:r w:rsidRPr="008B455C">
        <w:tab/>
      </w:r>
      <w:r w:rsidR="00BC7989">
        <w:t>Complainant</w:t>
      </w:r>
      <w:r w:rsidR="00FA2D82" w:rsidRPr="008B455C">
        <w:t xml:space="preserve">, </w:t>
      </w:r>
      <w:r w:rsidR="008E10FA">
        <w:t>Bernard X. Wanninger</w:t>
      </w:r>
      <w:r w:rsidR="00FA2D82" w:rsidRPr="008B455C">
        <w:t>, reside</w:t>
      </w:r>
      <w:r w:rsidR="00B33E15">
        <w:t>s</w:t>
      </w:r>
      <w:r w:rsidR="00FA2D82" w:rsidRPr="008B455C">
        <w:t xml:space="preserve"> at </w:t>
      </w:r>
      <w:r w:rsidR="008E10FA">
        <w:t>1023 Willow Drive</w:t>
      </w:r>
      <w:r w:rsidR="00B33E15">
        <w:t xml:space="preserve">, </w:t>
      </w:r>
      <w:r w:rsidR="008E10FA">
        <w:t>Pittsburgh</w:t>
      </w:r>
      <w:r w:rsidR="00836E65" w:rsidRPr="008B455C">
        <w:t>, P</w:t>
      </w:r>
      <w:r w:rsidR="003121E7" w:rsidRPr="008B455C">
        <w:t>ennsylvania</w:t>
      </w:r>
      <w:r w:rsidR="00B33E15">
        <w:t xml:space="preserve"> 15</w:t>
      </w:r>
      <w:r w:rsidR="008E10FA">
        <w:t>237</w:t>
      </w:r>
      <w:r w:rsidR="003121E7" w:rsidRPr="008B455C">
        <w:t xml:space="preserve">.  </w:t>
      </w:r>
      <w:r w:rsidR="00FA2D82" w:rsidRPr="008B455C">
        <w:t xml:space="preserve">(Tr. </w:t>
      </w:r>
      <w:r w:rsidR="00851E2B">
        <w:t>25</w:t>
      </w:r>
      <w:r w:rsidR="00FA2D82" w:rsidRPr="008B455C">
        <w:t>).</w:t>
      </w:r>
      <w:r w:rsidR="00613AE9" w:rsidRPr="008B455C">
        <w:t xml:space="preserve"> </w:t>
      </w:r>
    </w:p>
    <w:p w:rsidR="00F35726" w:rsidRPr="008B455C" w:rsidRDefault="001354D6" w:rsidP="00F35726">
      <w:pPr>
        <w:tabs>
          <w:tab w:val="left" w:pos="2160"/>
        </w:tabs>
        <w:spacing w:line="360" w:lineRule="auto"/>
        <w:ind w:firstLine="1440"/>
      </w:pPr>
      <w:r w:rsidRPr="008B455C">
        <w:lastRenderedPageBreak/>
        <w:t>2.</w:t>
      </w:r>
      <w:r w:rsidRPr="008B455C">
        <w:tab/>
      </w:r>
      <w:r w:rsidR="00851E2B">
        <w:t>Duquesne Light Company provides electric services to Complainant at his residence.</w:t>
      </w:r>
      <w:r w:rsidR="00EF7BB1" w:rsidRPr="008B455C">
        <w:t xml:space="preserve">  </w:t>
      </w:r>
      <w:r w:rsidR="000C736C" w:rsidRPr="008B455C">
        <w:t>(Tr.</w:t>
      </w:r>
      <w:r w:rsidR="00851E2B">
        <w:t xml:space="preserve"> 25</w:t>
      </w:r>
      <w:r w:rsidR="000C736C" w:rsidRPr="008B455C">
        <w:t>).</w:t>
      </w:r>
      <w:r w:rsidR="00F866E9" w:rsidRPr="008B455C">
        <w:t xml:space="preserve"> </w:t>
      </w:r>
    </w:p>
    <w:p w:rsidR="00142A80" w:rsidRPr="008B455C" w:rsidRDefault="00142A80" w:rsidP="006B629F">
      <w:pPr>
        <w:tabs>
          <w:tab w:val="left" w:pos="2160"/>
        </w:tabs>
        <w:spacing w:line="360" w:lineRule="auto"/>
        <w:ind w:firstLine="1440"/>
      </w:pPr>
    </w:p>
    <w:p w:rsidR="00142A80" w:rsidRPr="008B455C" w:rsidRDefault="00142A80" w:rsidP="006B629F">
      <w:pPr>
        <w:tabs>
          <w:tab w:val="left" w:pos="2160"/>
        </w:tabs>
        <w:spacing w:line="360" w:lineRule="auto"/>
        <w:ind w:firstLine="1440"/>
      </w:pPr>
      <w:r w:rsidRPr="008B455C">
        <w:t>3.</w:t>
      </w:r>
      <w:r w:rsidRPr="008B455C">
        <w:tab/>
      </w:r>
      <w:r w:rsidR="00BB4907" w:rsidRPr="008B455C">
        <w:t xml:space="preserve">  </w:t>
      </w:r>
      <w:r w:rsidR="00851E2B">
        <w:t xml:space="preserve">Complainant </w:t>
      </w:r>
      <w:r w:rsidR="00EB08F3">
        <w:t xml:space="preserve">used to </w:t>
      </w:r>
      <w:r w:rsidR="00851E2B">
        <w:t xml:space="preserve">reside with his </w:t>
      </w:r>
      <w:r w:rsidR="005F4120">
        <w:t xml:space="preserve">42-year old </w:t>
      </w:r>
      <w:r w:rsidR="00851E2B">
        <w:t xml:space="preserve">son who is </w:t>
      </w:r>
      <w:r w:rsidR="005F4120">
        <w:t>partially pa</w:t>
      </w:r>
      <w:r w:rsidR="002C0A6E">
        <w:t xml:space="preserve">ralyzed after he was struck by </w:t>
      </w:r>
      <w:r w:rsidR="005F4120">
        <w:t>lightening at the age of 15 and is currently confined to a wheelchair</w:t>
      </w:r>
      <w:r w:rsidR="00851E2B">
        <w:t xml:space="preserve">.  </w:t>
      </w:r>
      <w:r w:rsidR="00BB4907" w:rsidRPr="008B455C">
        <w:t xml:space="preserve">(Tr. </w:t>
      </w:r>
      <w:r w:rsidR="00851E2B">
        <w:t xml:space="preserve">26, </w:t>
      </w:r>
      <w:r w:rsidR="005F4120">
        <w:t>38</w:t>
      </w:r>
      <w:r w:rsidR="00BB4907" w:rsidRPr="008B455C">
        <w:t>).</w:t>
      </w:r>
    </w:p>
    <w:p w:rsidR="00142A80" w:rsidRDefault="00142A80" w:rsidP="006B629F">
      <w:pPr>
        <w:tabs>
          <w:tab w:val="left" w:pos="2160"/>
        </w:tabs>
        <w:spacing w:line="360" w:lineRule="auto"/>
        <w:ind w:firstLine="1440"/>
      </w:pPr>
    </w:p>
    <w:p w:rsidR="00EB08F3" w:rsidRDefault="00EB08F3" w:rsidP="006B629F">
      <w:pPr>
        <w:tabs>
          <w:tab w:val="left" w:pos="2160"/>
        </w:tabs>
        <w:spacing w:line="360" w:lineRule="auto"/>
        <w:ind w:firstLine="1440"/>
      </w:pPr>
      <w:r>
        <w:t>4.</w:t>
      </w:r>
      <w:r>
        <w:tab/>
        <w:t>Complainant’s son no longer resides with him but does live with him for approximately one week every month.  (Tr. 39).</w:t>
      </w:r>
    </w:p>
    <w:p w:rsidR="00EB08F3" w:rsidRDefault="00EB08F3" w:rsidP="006B629F">
      <w:pPr>
        <w:tabs>
          <w:tab w:val="left" w:pos="2160"/>
        </w:tabs>
        <w:spacing w:line="360" w:lineRule="auto"/>
        <w:ind w:firstLine="1440"/>
      </w:pPr>
    </w:p>
    <w:p w:rsidR="000841E3" w:rsidRDefault="00EB08F3" w:rsidP="006B629F">
      <w:pPr>
        <w:tabs>
          <w:tab w:val="left" w:pos="2160"/>
        </w:tabs>
        <w:spacing w:line="360" w:lineRule="auto"/>
        <w:ind w:firstLine="1440"/>
      </w:pPr>
      <w:r>
        <w:t>5</w:t>
      </w:r>
      <w:r w:rsidR="000841E3">
        <w:t>.</w:t>
      </w:r>
      <w:r w:rsidR="000841E3">
        <w:tab/>
      </w:r>
      <w:r w:rsidR="00C01EA5">
        <w:t xml:space="preserve"> </w:t>
      </w:r>
      <w:r w:rsidR="00383822">
        <w:t xml:space="preserve">From 2004 to January 2009, Complainant experienced numerous power surges in his residence which resulted in </w:t>
      </w:r>
      <w:r w:rsidR="00477B44">
        <w:t>damage to</w:t>
      </w:r>
      <w:r w:rsidR="00383822">
        <w:t xml:space="preserve"> surge protectors,</w:t>
      </w:r>
      <w:r w:rsidR="00477B44">
        <w:t xml:space="preserve"> plugs, </w:t>
      </w:r>
      <w:r w:rsidR="00431883">
        <w:t>a motion chair</w:t>
      </w:r>
      <w:r w:rsidR="00477B44">
        <w:t>, computers, microwaves, televisions and carpet, and caused two fires</w:t>
      </w:r>
      <w:r w:rsidR="00383822">
        <w:t xml:space="preserve">.  </w:t>
      </w:r>
      <w:r w:rsidR="00C01EA5">
        <w:t xml:space="preserve">(Tr. </w:t>
      </w:r>
      <w:r w:rsidR="00383822">
        <w:t>27-30</w:t>
      </w:r>
      <w:r w:rsidR="00C01EA5">
        <w:t>).</w:t>
      </w:r>
    </w:p>
    <w:p w:rsidR="00F85392" w:rsidRDefault="00F85392" w:rsidP="006B629F">
      <w:pPr>
        <w:tabs>
          <w:tab w:val="left" w:pos="2160"/>
        </w:tabs>
        <w:spacing w:line="360" w:lineRule="auto"/>
        <w:ind w:firstLine="1440"/>
      </w:pPr>
    </w:p>
    <w:p w:rsidR="00F85392" w:rsidRDefault="00EB08F3" w:rsidP="006B629F">
      <w:pPr>
        <w:tabs>
          <w:tab w:val="left" w:pos="2160"/>
        </w:tabs>
        <w:spacing w:line="360" w:lineRule="auto"/>
        <w:ind w:firstLine="1440"/>
      </w:pPr>
      <w:r>
        <w:t>6</w:t>
      </w:r>
      <w:r w:rsidR="00F85392">
        <w:t>.</w:t>
      </w:r>
      <w:r w:rsidR="00F85392">
        <w:tab/>
        <w:t xml:space="preserve"> </w:t>
      </w:r>
      <w:r w:rsidR="00477B44">
        <w:t>Complainant was one complainant along with eight other parties</w:t>
      </w:r>
      <w:r w:rsidR="00264C6D">
        <w:t xml:space="preserve"> in a complaint filed in 2004 with the Public </w:t>
      </w:r>
      <w:r w:rsidR="00431883">
        <w:t>Utility Commission which resulted</w:t>
      </w:r>
      <w:r w:rsidR="00264C6D">
        <w:t xml:space="preserve"> in the issuance of an Initial Decision in April 2005.  </w:t>
      </w:r>
      <w:r w:rsidR="00F85392">
        <w:t xml:space="preserve">(Tr. </w:t>
      </w:r>
      <w:r w:rsidR="00264C6D">
        <w:t>30, 31</w:t>
      </w:r>
      <w:r w:rsidR="00F85392">
        <w:t>).</w:t>
      </w:r>
    </w:p>
    <w:p w:rsidR="00C01EA5" w:rsidRDefault="00C01EA5" w:rsidP="006B629F">
      <w:pPr>
        <w:tabs>
          <w:tab w:val="left" w:pos="2160"/>
        </w:tabs>
        <w:spacing w:line="360" w:lineRule="auto"/>
        <w:ind w:firstLine="1440"/>
      </w:pPr>
    </w:p>
    <w:p w:rsidR="00C01EA5" w:rsidRPr="008B455C" w:rsidRDefault="00EB08F3" w:rsidP="006B629F">
      <w:pPr>
        <w:tabs>
          <w:tab w:val="left" w:pos="2160"/>
        </w:tabs>
        <w:spacing w:line="360" w:lineRule="auto"/>
        <w:ind w:firstLine="1440"/>
      </w:pPr>
      <w:r>
        <w:t>7</w:t>
      </w:r>
      <w:r w:rsidR="00CA262F">
        <w:t>.</w:t>
      </w:r>
      <w:r w:rsidR="00CA262F">
        <w:tab/>
      </w:r>
      <w:r w:rsidR="00F85392">
        <w:t xml:space="preserve">  </w:t>
      </w:r>
      <w:r w:rsidR="00472A21">
        <w:t>Between January 1, 2005 and January 8, 2008</w:t>
      </w:r>
      <w:r w:rsidR="00264C6D">
        <w:t xml:space="preserve">, Complainant experienced </w:t>
      </w:r>
      <w:r w:rsidR="00472A21">
        <w:t>one power surge</w:t>
      </w:r>
      <w:r w:rsidR="00264C6D">
        <w:t xml:space="preserve"> at his residence.  </w:t>
      </w:r>
      <w:r w:rsidR="00F85392">
        <w:t xml:space="preserve">(Tr. </w:t>
      </w:r>
      <w:r w:rsidR="00264C6D">
        <w:t>31</w:t>
      </w:r>
      <w:r w:rsidR="00472A21">
        <w:t>, 34</w:t>
      </w:r>
      <w:r w:rsidR="00874953">
        <w:t>, 49-50</w:t>
      </w:r>
      <w:r w:rsidR="00C01EA5">
        <w:t>).</w:t>
      </w:r>
    </w:p>
    <w:p w:rsidR="00F85392" w:rsidRDefault="00F85392" w:rsidP="006B629F">
      <w:pPr>
        <w:tabs>
          <w:tab w:val="left" w:pos="2160"/>
        </w:tabs>
        <w:spacing w:line="360" w:lineRule="auto"/>
        <w:ind w:firstLine="1440"/>
      </w:pPr>
    </w:p>
    <w:p w:rsidR="00142A80" w:rsidRPr="008B455C" w:rsidRDefault="00EB08F3" w:rsidP="006B629F">
      <w:pPr>
        <w:tabs>
          <w:tab w:val="left" w:pos="2160"/>
        </w:tabs>
        <w:spacing w:line="360" w:lineRule="auto"/>
        <w:ind w:firstLine="1440"/>
      </w:pPr>
      <w:r>
        <w:t>8</w:t>
      </w:r>
      <w:r w:rsidR="00142A80" w:rsidRPr="008B455C">
        <w:t>.</w:t>
      </w:r>
      <w:r w:rsidR="00142A80" w:rsidRPr="008B455C">
        <w:tab/>
      </w:r>
      <w:r w:rsidR="00FE558E">
        <w:t xml:space="preserve"> </w:t>
      </w:r>
      <w:r w:rsidR="002F15F6">
        <w:t xml:space="preserve">On January 8, 2008, a power surge in Complainant’s residence caused a motion chair to catch on fire and burn the carpet, and required the replacement of a </w:t>
      </w:r>
      <w:r w:rsidR="005F4120">
        <w:t xml:space="preserve">severely </w:t>
      </w:r>
      <w:r w:rsidR="002F15F6">
        <w:t xml:space="preserve">damaged whole-house surge protector and electrical outlets.  </w:t>
      </w:r>
      <w:r w:rsidR="00FE558E">
        <w:t xml:space="preserve">(Tr. </w:t>
      </w:r>
      <w:r w:rsidR="002F15F6">
        <w:t>31-33</w:t>
      </w:r>
      <w:r w:rsidR="00472A21">
        <w:t>, 37-</w:t>
      </w:r>
      <w:r>
        <w:t>38</w:t>
      </w:r>
      <w:r w:rsidR="00BE36AA" w:rsidRPr="008B455C">
        <w:t>).</w:t>
      </w:r>
    </w:p>
    <w:p w:rsidR="00F17004" w:rsidRPr="008B455C" w:rsidRDefault="00F17004" w:rsidP="00F17004">
      <w:pPr>
        <w:pStyle w:val="BodyText"/>
        <w:jc w:val="left"/>
        <w:rPr>
          <w:sz w:val="24"/>
          <w:szCs w:val="24"/>
        </w:rPr>
      </w:pPr>
    </w:p>
    <w:p w:rsidR="00EF7BB1" w:rsidRPr="008B455C" w:rsidRDefault="00C01EA5" w:rsidP="00F17004">
      <w:pPr>
        <w:pStyle w:val="BodyText"/>
        <w:jc w:val="left"/>
        <w:rPr>
          <w:sz w:val="24"/>
          <w:szCs w:val="24"/>
        </w:rPr>
      </w:pPr>
      <w:r>
        <w:rPr>
          <w:sz w:val="24"/>
          <w:szCs w:val="24"/>
        </w:rPr>
        <w:tab/>
      </w:r>
      <w:r>
        <w:rPr>
          <w:sz w:val="24"/>
          <w:szCs w:val="24"/>
        </w:rPr>
        <w:tab/>
      </w:r>
      <w:r w:rsidR="00DA3D69">
        <w:rPr>
          <w:sz w:val="24"/>
          <w:szCs w:val="24"/>
        </w:rPr>
        <w:t>9</w:t>
      </w:r>
      <w:r w:rsidR="00F06B97" w:rsidRPr="008B455C">
        <w:rPr>
          <w:sz w:val="24"/>
          <w:szCs w:val="24"/>
        </w:rPr>
        <w:t>.</w:t>
      </w:r>
      <w:r w:rsidR="00F06B97" w:rsidRPr="008B455C">
        <w:rPr>
          <w:sz w:val="24"/>
          <w:szCs w:val="24"/>
        </w:rPr>
        <w:tab/>
      </w:r>
      <w:r w:rsidR="0023169E">
        <w:rPr>
          <w:sz w:val="24"/>
          <w:szCs w:val="24"/>
        </w:rPr>
        <w:t xml:space="preserve">Complainant’s residence receives electricity through one of Respondent’s 4 kV distribution circuits, known specifically as Perry Circuit 4212.  </w:t>
      </w:r>
      <w:r w:rsidR="00FE558E">
        <w:rPr>
          <w:sz w:val="24"/>
          <w:szCs w:val="24"/>
        </w:rPr>
        <w:t xml:space="preserve">(Tr. </w:t>
      </w:r>
      <w:r w:rsidR="0023169E">
        <w:rPr>
          <w:sz w:val="24"/>
          <w:szCs w:val="24"/>
        </w:rPr>
        <w:t>42</w:t>
      </w:r>
      <w:r w:rsidR="008B455C">
        <w:rPr>
          <w:sz w:val="24"/>
          <w:szCs w:val="24"/>
        </w:rPr>
        <w:t>).</w:t>
      </w:r>
    </w:p>
    <w:p w:rsidR="00EF7BB1" w:rsidRPr="008B455C" w:rsidRDefault="00EF7BB1" w:rsidP="00F17004">
      <w:pPr>
        <w:pStyle w:val="BodyText"/>
        <w:jc w:val="left"/>
        <w:rPr>
          <w:sz w:val="24"/>
          <w:szCs w:val="24"/>
        </w:rPr>
      </w:pPr>
    </w:p>
    <w:p w:rsidR="00EF7BB1" w:rsidRPr="008B455C" w:rsidRDefault="00C01EA5" w:rsidP="00F17004">
      <w:pPr>
        <w:pStyle w:val="BodyText"/>
        <w:jc w:val="left"/>
        <w:rPr>
          <w:sz w:val="24"/>
          <w:szCs w:val="24"/>
        </w:rPr>
      </w:pPr>
      <w:r>
        <w:rPr>
          <w:sz w:val="24"/>
          <w:szCs w:val="24"/>
        </w:rPr>
        <w:tab/>
      </w:r>
      <w:r>
        <w:rPr>
          <w:sz w:val="24"/>
          <w:szCs w:val="24"/>
        </w:rPr>
        <w:tab/>
      </w:r>
      <w:r w:rsidR="00DA3D69">
        <w:rPr>
          <w:sz w:val="24"/>
          <w:szCs w:val="24"/>
        </w:rPr>
        <w:t>10</w:t>
      </w:r>
      <w:r w:rsidR="00EF7BB1" w:rsidRPr="008B455C">
        <w:rPr>
          <w:sz w:val="24"/>
          <w:szCs w:val="24"/>
        </w:rPr>
        <w:t>.</w:t>
      </w:r>
      <w:r w:rsidR="00EF7BB1" w:rsidRPr="008B455C">
        <w:rPr>
          <w:sz w:val="24"/>
          <w:szCs w:val="24"/>
        </w:rPr>
        <w:tab/>
      </w:r>
      <w:r w:rsidR="000841E3">
        <w:rPr>
          <w:sz w:val="24"/>
          <w:szCs w:val="24"/>
        </w:rPr>
        <w:t xml:space="preserve"> </w:t>
      </w:r>
      <w:r w:rsidR="00361EAC">
        <w:rPr>
          <w:sz w:val="24"/>
          <w:szCs w:val="24"/>
        </w:rPr>
        <w:t>A power surge occurs when voltage above 120 volts enters a house because a higher voltage wire connected to a pole is knocked out and comes into contact with a lower voltage wire which transmit</w:t>
      </w:r>
      <w:r w:rsidR="00431883">
        <w:rPr>
          <w:sz w:val="24"/>
          <w:szCs w:val="24"/>
        </w:rPr>
        <w:t>s</w:t>
      </w:r>
      <w:r w:rsidR="00361EAC">
        <w:rPr>
          <w:sz w:val="24"/>
          <w:szCs w:val="24"/>
        </w:rPr>
        <w:t xml:space="preserve"> the high voltage surge into a customer’s house.  </w:t>
      </w:r>
      <w:r w:rsidR="00FE558E">
        <w:rPr>
          <w:sz w:val="24"/>
          <w:szCs w:val="24"/>
        </w:rPr>
        <w:t xml:space="preserve">(Tr. </w:t>
      </w:r>
      <w:r w:rsidR="00361EAC">
        <w:rPr>
          <w:sz w:val="24"/>
          <w:szCs w:val="24"/>
        </w:rPr>
        <w:t>46</w:t>
      </w:r>
      <w:r w:rsidR="000841E3">
        <w:rPr>
          <w:sz w:val="24"/>
          <w:szCs w:val="24"/>
        </w:rPr>
        <w:t>).</w:t>
      </w:r>
    </w:p>
    <w:p w:rsidR="00A00793" w:rsidRPr="008B455C" w:rsidRDefault="00C01EA5" w:rsidP="00F17004">
      <w:pPr>
        <w:pStyle w:val="BodyText"/>
        <w:jc w:val="left"/>
        <w:rPr>
          <w:sz w:val="24"/>
          <w:szCs w:val="24"/>
        </w:rPr>
      </w:pPr>
      <w:r>
        <w:rPr>
          <w:sz w:val="24"/>
          <w:szCs w:val="24"/>
        </w:rPr>
        <w:lastRenderedPageBreak/>
        <w:tab/>
      </w:r>
      <w:r>
        <w:rPr>
          <w:sz w:val="24"/>
          <w:szCs w:val="24"/>
        </w:rPr>
        <w:tab/>
        <w:t>1</w:t>
      </w:r>
      <w:r w:rsidR="00DA3D69">
        <w:rPr>
          <w:sz w:val="24"/>
          <w:szCs w:val="24"/>
        </w:rPr>
        <w:t>1</w:t>
      </w:r>
      <w:r w:rsidR="00A00793" w:rsidRPr="008B455C">
        <w:rPr>
          <w:sz w:val="24"/>
          <w:szCs w:val="24"/>
        </w:rPr>
        <w:t>.</w:t>
      </w:r>
      <w:r w:rsidR="00A00793" w:rsidRPr="008B455C">
        <w:rPr>
          <w:sz w:val="24"/>
          <w:szCs w:val="24"/>
        </w:rPr>
        <w:tab/>
      </w:r>
      <w:r w:rsidR="00FE558E">
        <w:rPr>
          <w:sz w:val="24"/>
          <w:szCs w:val="24"/>
        </w:rPr>
        <w:t xml:space="preserve"> </w:t>
      </w:r>
      <w:r w:rsidR="00361EAC">
        <w:rPr>
          <w:sz w:val="24"/>
          <w:szCs w:val="24"/>
        </w:rPr>
        <w:t xml:space="preserve">On January 9, 2008 at 5:00 a.m., a large tree contacted a conductor during a windstorm causing the substation breaker to open when a 23,000 volt line came into contact with the 4,000 volt line serving Complainant’s residence.  </w:t>
      </w:r>
      <w:r w:rsidR="00FE558E">
        <w:rPr>
          <w:sz w:val="24"/>
          <w:szCs w:val="24"/>
        </w:rPr>
        <w:t xml:space="preserve">(Tr. </w:t>
      </w:r>
      <w:r w:rsidR="008251D8">
        <w:rPr>
          <w:sz w:val="24"/>
          <w:szCs w:val="24"/>
        </w:rPr>
        <w:t>47</w:t>
      </w:r>
      <w:r w:rsidR="00B946B2">
        <w:rPr>
          <w:sz w:val="24"/>
          <w:szCs w:val="24"/>
        </w:rPr>
        <w:t>).</w:t>
      </w:r>
    </w:p>
    <w:p w:rsidR="00A00793" w:rsidRPr="008B455C" w:rsidRDefault="00A00793" w:rsidP="00F17004">
      <w:pPr>
        <w:pStyle w:val="BodyText"/>
        <w:jc w:val="left"/>
        <w:rPr>
          <w:sz w:val="24"/>
          <w:szCs w:val="24"/>
        </w:rPr>
      </w:pPr>
    </w:p>
    <w:p w:rsidR="008E0E89" w:rsidRPr="008B455C" w:rsidRDefault="00C01EA5" w:rsidP="00F17004">
      <w:pPr>
        <w:pStyle w:val="BodyText"/>
        <w:jc w:val="left"/>
        <w:rPr>
          <w:sz w:val="24"/>
          <w:szCs w:val="24"/>
        </w:rPr>
      </w:pPr>
      <w:r>
        <w:rPr>
          <w:sz w:val="24"/>
          <w:szCs w:val="24"/>
        </w:rPr>
        <w:tab/>
      </w:r>
      <w:r>
        <w:rPr>
          <w:sz w:val="24"/>
          <w:szCs w:val="24"/>
        </w:rPr>
        <w:tab/>
        <w:t>1</w:t>
      </w:r>
      <w:r w:rsidR="00DA3D69">
        <w:rPr>
          <w:sz w:val="24"/>
          <w:szCs w:val="24"/>
        </w:rPr>
        <w:t>2</w:t>
      </w:r>
      <w:r w:rsidR="008E0E89" w:rsidRPr="008B455C">
        <w:rPr>
          <w:sz w:val="24"/>
          <w:szCs w:val="24"/>
        </w:rPr>
        <w:t>.</w:t>
      </w:r>
      <w:r w:rsidR="008E0E89" w:rsidRPr="008B455C">
        <w:rPr>
          <w:sz w:val="24"/>
          <w:szCs w:val="24"/>
        </w:rPr>
        <w:tab/>
      </w:r>
      <w:r w:rsidR="00FE558E">
        <w:rPr>
          <w:sz w:val="24"/>
          <w:szCs w:val="24"/>
        </w:rPr>
        <w:t xml:space="preserve"> </w:t>
      </w:r>
      <w:r w:rsidR="008251D8">
        <w:rPr>
          <w:sz w:val="24"/>
          <w:szCs w:val="24"/>
        </w:rPr>
        <w:t xml:space="preserve">On January 9, 2008, </w:t>
      </w:r>
      <w:r w:rsidR="00431883">
        <w:rPr>
          <w:sz w:val="24"/>
          <w:szCs w:val="24"/>
        </w:rPr>
        <w:t xml:space="preserve">voltage that was </w:t>
      </w:r>
      <w:r w:rsidR="008251D8">
        <w:rPr>
          <w:sz w:val="24"/>
          <w:szCs w:val="24"/>
        </w:rPr>
        <w:t xml:space="preserve">approximately three times the normal voltage came into Complainant’s house after the tree fell into the 23,000 volt line.  </w:t>
      </w:r>
      <w:r w:rsidR="00FE558E">
        <w:rPr>
          <w:sz w:val="24"/>
          <w:szCs w:val="24"/>
        </w:rPr>
        <w:t>(Tr</w:t>
      </w:r>
      <w:r w:rsidR="00E05A4B">
        <w:rPr>
          <w:sz w:val="24"/>
          <w:szCs w:val="24"/>
        </w:rPr>
        <w:t>. </w:t>
      </w:r>
      <w:r w:rsidR="008251D8">
        <w:rPr>
          <w:sz w:val="24"/>
          <w:szCs w:val="24"/>
        </w:rPr>
        <w:t>47</w:t>
      </w:r>
      <w:r w:rsidR="00D02CF4">
        <w:rPr>
          <w:sz w:val="24"/>
          <w:szCs w:val="24"/>
        </w:rPr>
        <w:t>)</w:t>
      </w:r>
      <w:r w:rsidR="00B946B2">
        <w:rPr>
          <w:sz w:val="24"/>
          <w:szCs w:val="24"/>
        </w:rPr>
        <w:t>.</w:t>
      </w:r>
    </w:p>
    <w:p w:rsidR="008E0E89" w:rsidRPr="008B455C" w:rsidRDefault="008E0E89" w:rsidP="00F17004">
      <w:pPr>
        <w:pStyle w:val="BodyText"/>
        <w:jc w:val="left"/>
        <w:rPr>
          <w:sz w:val="24"/>
          <w:szCs w:val="24"/>
        </w:rPr>
      </w:pPr>
    </w:p>
    <w:p w:rsidR="00156A90" w:rsidRPr="008B455C" w:rsidRDefault="00C01EA5" w:rsidP="00F17004">
      <w:pPr>
        <w:pStyle w:val="BodyText"/>
        <w:jc w:val="left"/>
        <w:rPr>
          <w:sz w:val="24"/>
          <w:szCs w:val="24"/>
        </w:rPr>
      </w:pPr>
      <w:r>
        <w:rPr>
          <w:sz w:val="24"/>
          <w:szCs w:val="24"/>
        </w:rPr>
        <w:tab/>
      </w:r>
      <w:r>
        <w:rPr>
          <w:sz w:val="24"/>
          <w:szCs w:val="24"/>
        </w:rPr>
        <w:tab/>
        <w:t>1</w:t>
      </w:r>
      <w:r w:rsidR="00DA3D69">
        <w:rPr>
          <w:sz w:val="24"/>
          <w:szCs w:val="24"/>
        </w:rPr>
        <w:t>3</w:t>
      </w:r>
      <w:r w:rsidR="00156A90" w:rsidRPr="008B455C">
        <w:rPr>
          <w:sz w:val="24"/>
          <w:szCs w:val="24"/>
        </w:rPr>
        <w:t>.</w:t>
      </w:r>
      <w:r w:rsidR="00156A90" w:rsidRPr="008B455C">
        <w:rPr>
          <w:sz w:val="24"/>
          <w:szCs w:val="24"/>
        </w:rPr>
        <w:tab/>
      </w:r>
      <w:r w:rsidR="00FE558E">
        <w:rPr>
          <w:sz w:val="24"/>
          <w:szCs w:val="24"/>
        </w:rPr>
        <w:t xml:space="preserve"> </w:t>
      </w:r>
      <w:r w:rsidR="008251D8">
        <w:rPr>
          <w:sz w:val="24"/>
          <w:szCs w:val="24"/>
        </w:rPr>
        <w:t>The tree th</w:t>
      </w:r>
      <w:r w:rsidR="00324D48">
        <w:rPr>
          <w:sz w:val="24"/>
          <w:szCs w:val="24"/>
        </w:rPr>
        <w:t xml:space="preserve">at fell was located outside Respondent’s right-of-way.  </w:t>
      </w:r>
      <w:r w:rsidR="00FE558E">
        <w:rPr>
          <w:sz w:val="24"/>
          <w:szCs w:val="24"/>
        </w:rPr>
        <w:t>(Tr.</w:t>
      </w:r>
      <w:r w:rsidR="00E05A4B">
        <w:rPr>
          <w:sz w:val="24"/>
          <w:szCs w:val="24"/>
        </w:rPr>
        <w:t> </w:t>
      </w:r>
      <w:r w:rsidR="00324D48">
        <w:rPr>
          <w:sz w:val="24"/>
          <w:szCs w:val="24"/>
        </w:rPr>
        <w:t>48</w:t>
      </w:r>
      <w:r w:rsidR="00B946B2">
        <w:rPr>
          <w:sz w:val="24"/>
          <w:szCs w:val="24"/>
        </w:rPr>
        <w:t>).</w:t>
      </w:r>
    </w:p>
    <w:p w:rsidR="00EF7BB1" w:rsidRDefault="00EF7BB1" w:rsidP="00F17004">
      <w:pPr>
        <w:pStyle w:val="BodyText"/>
        <w:jc w:val="left"/>
        <w:rPr>
          <w:sz w:val="24"/>
          <w:szCs w:val="24"/>
        </w:rPr>
      </w:pPr>
    </w:p>
    <w:p w:rsidR="00B946B2" w:rsidRDefault="00B946B2" w:rsidP="00F17004">
      <w:pPr>
        <w:pStyle w:val="BodyText"/>
        <w:jc w:val="left"/>
        <w:rPr>
          <w:sz w:val="24"/>
          <w:szCs w:val="24"/>
        </w:rPr>
      </w:pPr>
      <w:r>
        <w:rPr>
          <w:sz w:val="24"/>
          <w:szCs w:val="24"/>
        </w:rPr>
        <w:tab/>
      </w:r>
      <w:r>
        <w:rPr>
          <w:sz w:val="24"/>
          <w:szCs w:val="24"/>
        </w:rPr>
        <w:tab/>
        <w:t>1</w:t>
      </w:r>
      <w:r w:rsidR="00DA3D69">
        <w:rPr>
          <w:sz w:val="24"/>
          <w:szCs w:val="24"/>
        </w:rPr>
        <w:t>4</w:t>
      </w:r>
      <w:r>
        <w:rPr>
          <w:sz w:val="24"/>
          <w:szCs w:val="24"/>
        </w:rPr>
        <w:t>.</w:t>
      </w:r>
      <w:r>
        <w:rPr>
          <w:sz w:val="24"/>
          <w:szCs w:val="24"/>
        </w:rPr>
        <w:tab/>
      </w:r>
      <w:r w:rsidR="00FE558E">
        <w:rPr>
          <w:sz w:val="24"/>
          <w:szCs w:val="24"/>
        </w:rPr>
        <w:t xml:space="preserve"> </w:t>
      </w:r>
      <w:r w:rsidR="00431883">
        <w:rPr>
          <w:sz w:val="24"/>
          <w:szCs w:val="24"/>
        </w:rPr>
        <w:t xml:space="preserve">The power surge started a fire in Complainant’s residence, resulting in serious </w:t>
      </w:r>
      <w:r w:rsidR="00C14FBB">
        <w:rPr>
          <w:sz w:val="24"/>
          <w:szCs w:val="24"/>
        </w:rPr>
        <w:t>damage to Complainant’s personal property and placing Complainant’s disabled son at risk.  (Tr. 27-38).</w:t>
      </w:r>
    </w:p>
    <w:p w:rsidR="00B946B2" w:rsidRDefault="00B946B2" w:rsidP="00F17004">
      <w:pPr>
        <w:pStyle w:val="BodyText"/>
        <w:jc w:val="left"/>
        <w:rPr>
          <w:sz w:val="24"/>
          <w:szCs w:val="24"/>
        </w:rPr>
      </w:pPr>
    </w:p>
    <w:p w:rsidR="005E2935" w:rsidRDefault="009901A1" w:rsidP="00F17004">
      <w:pPr>
        <w:pStyle w:val="BodyText"/>
        <w:jc w:val="left"/>
        <w:rPr>
          <w:sz w:val="24"/>
          <w:szCs w:val="24"/>
        </w:rPr>
      </w:pPr>
      <w:r>
        <w:rPr>
          <w:sz w:val="24"/>
          <w:szCs w:val="24"/>
        </w:rPr>
        <w:tab/>
      </w:r>
      <w:r>
        <w:rPr>
          <w:sz w:val="24"/>
          <w:szCs w:val="24"/>
        </w:rPr>
        <w:tab/>
        <w:t>1</w:t>
      </w:r>
      <w:r w:rsidR="00DA3D69">
        <w:rPr>
          <w:sz w:val="24"/>
          <w:szCs w:val="24"/>
        </w:rPr>
        <w:t>5</w:t>
      </w:r>
      <w:r>
        <w:rPr>
          <w:sz w:val="24"/>
          <w:szCs w:val="24"/>
        </w:rPr>
        <w:t>.</w:t>
      </w:r>
      <w:r>
        <w:rPr>
          <w:sz w:val="24"/>
          <w:szCs w:val="24"/>
        </w:rPr>
        <w:tab/>
      </w:r>
      <w:r w:rsidR="00431883">
        <w:rPr>
          <w:sz w:val="24"/>
          <w:szCs w:val="24"/>
        </w:rPr>
        <w:t xml:space="preserve">On January 26, 2009, Respondent’s personnel changed the wire on the pole which serves Complainant’s property from a wire closest to the sidewalk </w:t>
      </w:r>
      <w:r w:rsidR="002C0A6E">
        <w:rPr>
          <w:sz w:val="24"/>
          <w:szCs w:val="24"/>
        </w:rPr>
        <w:t>(known as the “C </w:t>
      </w:r>
      <w:r w:rsidR="00C14FBB">
        <w:rPr>
          <w:sz w:val="24"/>
          <w:szCs w:val="24"/>
        </w:rPr>
        <w:t xml:space="preserve">phase”) </w:t>
      </w:r>
      <w:r w:rsidR="00431883">
        <w:rPr>
          <w:sz w:val="24"/>
          <w:szCs w:val="24"/>
        </w:rPr>
        <w:t>to a wire in the middle of three</w:t>
      </w:r>
      <w:r w:rsidR="00C14FBB">
        <w:rPr>
          <w:sz w:val="24"/>
          <w:szCs w:val="24"/>
        </w:rPr>
        <w:t xml:space="preserve"> (known as the “B phase”)</w:t>
      </w:r>
      <w:r w:rsidR="00431883">
        <w:rPr>
          <w:sz w:val="24"/>
          <w:szCs w:val="24"/>
        </w:rPr>
        <w:t>, which is a more protected position on the pole.  (Tr. 52-53).</w:t>
      </w:r>
    </w:p>
    <w:p w:rsidR="00BD11FD" w:rsidRPr="008B455C" w:rsidRDefault="00BD11FD" w:rsidP="006B629F">
      <w:pPr>
        <w:tabs>
          <w:tab w:val="left" w:pos="2160"/>
        </w:tabs>
        <w:spacing w:line="360" w:lineRule="auto"/>
        <w:ind w:firstLine="1440"/>
        <w:rPr>
          <w:spacing w:val="-3"/>
        </w:rPr>
      </w:pPr>
    </w:p>
    <w:p w:rsidR="008E4FD6" w:rsidRPr="00B524A4" w:rsidRDefault="008E4FD6" w:rsidP="008E4FD6">
      <w:pPr>
        <w:tabs>
          <w:tab w:val="left" w:pos="2160"/>
        </w:tabs>
        <w:spacing w:line="360" w:lineRule="auto"/>
        <w:jc w:val="center"/>
        <w:rPr>
          <w:u w:val="single"/>
        </w:rPr>
      </w:pPr>
      <w:r w:rsidRPr="00B524A4">
        <w:rPr>
          <w:u w:val="single"/>
        </w:rPr>
        <w:t>DISCUSSION</w:t>
      </w:r>
    </w:p>
    <w:p w:rsidR="008E4FD6" w:rsidRPr="00B524A4" w:rsidRDefault="008E4FD6" w:rsidP="008E4FD6">
      <w:pPr>
        <w:tabs>
          <w:tab w:val="left" w:pos="2160"/>
        </w:tabs>
        <w:spacing w:line="360" w:lineRule="auto"/>
        <w:jc w:val="center"/>
        <w:rPr>
          <w:u w:val="single"/>
        </w:rPr>
      </w:pPr>
    </w:p>
    <w:p w:rsidR="00B66DDD" w:rsidRPr="00F73AC5" w:rsidRDefault="000C736C" w:rsidP="000C736C">
      <w:pPr>
        <w:pStyle w:val="BodyText"/>
        <w:jc w:val="left"/>
        <w:rPr>
          <w:sz w:val="24"/>
          <w:szCs w:val="24"/>
        </w:rPr>
      </w:pPr>
      <w:r w:rsidRPr="00F73AC5">
        <w:rPr>
          <w:sz w:val="24"/>
          <w:szCs w:val="24"/>
        </w:rPr>
        <w:tab/>
      </w:r>
      <w:r w:rsidRPr="00F73AC5">
        <w:rPr>
          <w:sz w:val="24"/>
          <w:szCs w:val="24"/>
        </w:rPr>
        <w:tab/>
      </w:r>
      <w:r w:rsidR="00C931B6" w:rsidRPr="00F73AC5">
        <w:rPr>
          <w:sz w:val="24"/>
          <w:szCs w:val="24"/>
        </w:rPr>
        <w:t xml:space="preserve">On </w:t>
      </w:r>
      <w:r w:rsidR="008E10FA" w:rsidRPr="00F73AC5">
        <w:rPr>
          <w:sz w:val="24"/>
          <w:szCs w:val="24"/>
        </w:rPr>
        <w:t>August 6, 2008</w:t>
      </w:r>
      <w:r w:rsidR="00C931B6" w:rsidRPr="00F73AC5">
        <w:rPr>
          <w:sz w:val="24"/>
          <w:szCs w:val="24"/>
        </w:rPr>
        <w:t xml:space="preserve">, </w:t>
      </w:r>
      <w:r w:rsidR="00BC7989" w:rsidRPr="00F73AC5">
        <w:rPr>
          <w:sz w:val="24"/>
          <w:szCs w:val="24"/>
        </w:rPr>
        <w:t>Complainant</w:t>
      </w:r>
      <w:r w:rsidR="00CB7EF0" w:rsidRPr="00F73AC5">
        <w:rPr>
          <w:sz w:val="24"/>
          <w:szCs w:val="24"/>
        </w:rPr>
        <w:t xml:space="preserve"> </w:t>
      </w:r>
      <w:r w:rsidR="001140BC" w:rsidRPr="00F73AC5">
        <w:rPr>
          <w:sz w:val="24"/>
          <w:szCs w:val="24"/>
        </w:rPr>
        <w:t xml:space="preserve">filed </w:t>
      </w:r>
      <w:r w:rsidR="00CB7EF0" w:rsidRPr="00F73AC5">
        <w:rPr>
          <w:sz w:val="24"/>
          <w:szCs w:val="24"/>
        </w:rPr>
        <w:t>a formal complaint</w:t>
      </w:r>
      <w:r w:rsidR="001140BC" w:rsidRPr="00F73AC5">
        <w:rPr>
          <w:sz w:val="24"/>
          <w:szCs w:val="24"/>
        </w:rPr>
        <w:t xml:space="preserve"> with the Commission</w:t>
      </w:r>
      <w:r w:rsidR="006515DB" w:rsidRPr="00F73AC5">
        <w:rPr>
          <w:sz w:val="24"/>
          <w:szCs w:val="24"/>
        </w:rPr>
        <w:t xml:space="preserve"> </w:t>
      </w:r>
      <w:r w:rsidR="00874177" w:rsidRPr="00F73AC5">
        <w:rPr>
          <w:sz w:val="24"/>
          <w:szCs w:val="24"/>
        </w:rPr>
        <w:t xml:space="preserve">alleging </w:t>
      </w:r>
      <w:r w:rsidR="00F73AC5" w:rsidRPr="00F73AC5">
        <w:rPr>
          <w:sz w:val="24"/>
          <w:szCs w:val="24"/>
        </w:rPr>
        <w:t xml:space="preserve">there was a reliability, safety or quality problem with Respondent’s provision of electrical services to Complainant’s residence </w:t>
      </w:r>
      <w:r w:rsidR="00F73AC5">
        <w:rPr>
          <w:sz w:val="24"/>
          <w:szCs w:val="24"/>
        </w:rPr>
        <w:t xml:space="preserve">and </w:t>
      </w:r>
      <w:r w:rsidR="00F73AC5" w:rsidRPr="00F73AC5">
        <w:rPr>
          <w:sz w:val="24"/>
          <w:szCs w:val="24"/>
        </w:rPr>
        <w:t>requested the Commission require Respondent to correct the problem</w:t>
      </w:r>
      <w:r w:rsidR="00B524A4" w:rsidRPr="00F73AC5">
        <w:rPr>
          <w:sz w:val="24"/>
          <w:szCs w:val="24"/>
        </w:rPr>
        <w:t>.</w:t>
      </w:r>
    </w:p>
    <w:p w:rsidR="00B66DDD" w:rsidRPr="00B524A4" w:rsidRDefault="00B66DDD" w:rsidP="000C736C">
      <w:pPr>
        <w:pStyle w:val="BodyText"/>
        <w:jc w:val="left"/>
        <w:rPr>
          <w:sz w:val="24"/>
          <w:szCs w:val="24"/>
        </w:rPr>
      </w:pPr>
    </w:p>
    <w:p w:rsidR="00563FC3" w:rsidRPr="008B455C" w:rsidRDefault="008618BE" w:rsidP="008B6587">
      <w:pPr>
        <w:pStyle w:val="BodyText"/>
        <w:jc w:val="left"/>
        <w:rPr>
          <w:sz w:val="24"/>
          <w:szCs w:val="24"/>
        </w:rPr>
      </w:pPr>
      <w:r w:rsidRPr="008B455C">
        <w:rPr>
          <w:sz w:val="24"/>
          <w:szCs w:val="24"/>
        </w:rPr>
        <w:tab/>
      </w:r>
      <w:r w:rsidRPr="008B455C">
        <w:rPr>
          <w:sz w:val="24"/>
          <w:szCs w:val="24"/>
        </w:rPr>
        <w:tab/>
      </w:r>
      <w:r w:rsidR="00BC7989">
        <w:rPr>
          <w:sz w:val="24"/>
          <w:szCs w:val="24"/>
        </w:rPr>
        <w:t>Complainant</w:t>
      </w:r>
      <w:r w:rsidR="00C40364" w:rsidRPr="008B455C">
        <w:rPr>
          <w:sz w:val="24"/>
          <w:szCs w:val="24"/>
        </w:rPr>
        <w:t xml:space="preserve"> </w:t>
      </w:r>
      <w:r w:rsidR="003C2777">
        <w:rPr>
          <w:sz w:val="24"/>
          <w:szCs w:val="24"/>
        </w:rPr>
        <w:t xml:space="preserve">argues Respondent violated the regulations and has not treated him fairly as a customer, has not provided him with enough information to make informed decisions and has not recognized the nature of the dispute.  Complainant contends the problem is not the cause of an outage but rather the problem is the power surge that results when Respondent </w:t>
      </w:r>
      <w:r w:rsidR="003C2777">
        <w:rPr>
          <w:sz w:val="24"/>
          <w:szCs w:val="24"/>
        </w:rPr>
        <w:lastRenderedPageBreak/>
        <w:t>restores power after an outage.  Complainant further contends his only recourse, to protect his residence</w:t>
      </w:r>
      <w:r w:rsidR="00C14FBB">
        <w:rPr>
          <w:sz w:val="24"/>
          <w:szCs w:val="24"/>
        </w:rPr>
        <w:t xml:space="preserve"> and</w:t>
      </w:r>
      <w:r w:rsidR="003C2777">
        <w:rPr>
          <w:sz w:val="24"/>
          <w:szCs w:val="24"/>
        </w:rPr>
        <w:t xml:space="preserve"> its occupants, is to unplug every electrical item in his house and hope an outage (with the resultant power surge) does not start a fire while Complainant is away from the home.  </w:t>
      </w:r>
      <w:r w:rsidR="00607B04">
        <w:rPr>
          <w:sz w:val="24"/>
          <w:szCs w:val="24"/>
        </w:rPr>
        <w:t xml:space="preserve">Complainant asks the Commission to investigate Respondent’s violation of the Code and require Respondent to correct the problems with power surges.  </w:t>
      </w:r>
    </w:p>
    <w:p w:rsidR="00563FC3" w:rsidRPr="008B455C" w:rsidRDefault="00563FC3" w:rsidP="008B6587">
      <w:pPr>
        <w:pStyle w:val="BodyText"/>
        <w:jc w:val="left"/>
        <w:rPr>
          <w:sz w:val="24"/>
          <w:szCs w:val="24"/>
        </w:rPr>
      </w:pPr>
    </w:p>
    <w:p w:rsidR="006B2DFE" w:rsidRPr="008B455C" w:rsidRDefault="006B2DFE" w:rsidP="008B6587">
      <w:pPr>
        <w:pStyle w:val="BodyText"/>
        <w:jc w:val="left"/>
        <w:rPr>
          <w:sz w:val="24"/>
          <w:szCs w:val="24"/>
        </w:rPr>
      </w:pPr>
      <w:r w:rsidRPr="008B455C">
        <w:rPr>
          <w:sz w:val="24"/>
          <w:szCs w:val="24"/>
        </w:rPr>
        <w:tab/>
      </w:r>
      <w:r w:rsidR="00F6612B" w:rsidRPr="008B455C">
        <w:rPr>
          <w:sz w:val="24"/>
          <w:szCs w:val="24"/>
        </w:rPr>
        <w:tab/>
      </w:r>
      <w:r w:rsidRPr="008B455C">
        <w:rPr>
          <w:sz w:val="24"/>
          <w:szCs w:val="24"/>
        </w:rPr>
        <w:t>Respondent</w:t>
      </w:r>
      <w:r w:rsidR="00A2772F">
        <w:rPr>
          <w:sz w:val="24"/>
          <w:szCs w:val="24"/>
        </w:rPr>
        <w:t xml:space="preserve"> argued its circuit</w:t>
      </w:r>
      <w:r w:rsidR="00BB1AB4">
        <w:rPr>
          <w:sz w:val="24"/>
          <w:szCs w:val="24"/>
        </w:rPr>
        <w:t xml:space="preserve">, which </w:t>
      </w:r>
      <w:r w:rsidR="00A2772F">
        <w:rPr>
          <w:sz w:val="24"/>
          <w:szCs w:val="24"/>
        </w:rPr>
        <w:t>provide</w:t>
      </w:r>
      <w:r w:rsidR="00BB1AB4">
        <w:rPr>
          <w:sz w:val="24"/>
          <w:szCs w:val="24"/>
        </w:rPr>
        <w:t>s electric service to Complainan</w:t>
      </w:r>
      <w:r w:rsidR="00A2772F">
        <w:rPr>
          <w:sz w:val="24"/>
          <w:szCs w:val="24"/>
        </w:rPr>
        <w:t>t</w:t>
      </w:r>
      <w:r w:rsidR="00BB1AB4">
        <w:rPr>
          <w:sz w:val="24"/>
          <w:szCs w:val="24"/>
        </w:rPr>
        <w:t>,</w:t>
      </w:r>
      <w:r w:rsidR="00A2772F">
        <w:rPr>
          <w:sz w:val="24"/>
          <w:szCs w:val="24"/>
        </w:rPr>
        <w:t xml:space="preserve"> is traditionally reliable and safe.  Respondent admitted power surges occurred but resulted from outside forces beyond Respondent’s control and responsibility.  Respondent contended it tries to minimize surges and outages through protection of the system, the substations, the transformers</w:t>
      </w:r>
      <w:r w:rsidR="00BB1AB4">
        <w:rPr>
          <w:sz w:val="24"/>
          <w:szCs w:val="24"/>
        </w:rPr>
        <w:t xml:space="preserve"> and the lines as well as surveying the equipment and managing vegetation within Respondent’s right-of-ways.  Furthermore, Respondent notes it has moved Complainant’s circuit from the outside phase to a middle phase which should result in fewer outages and surges.  </w:t>
      </w:r>
    </w:p>
    <w:p w:rsidR="006B2DFE" w:rsidRPr="008B455C" w:rsidRDefault="006B2DFE" w:rsidP="008B6587">
      <w:pPr>
        <w:pStyle w:val="BodyText"/>
        <w:jc w:val="left"/>
        <w:rPr>
          <w:sz w:val="24"/>
          <w:szCs w:val="24"/>
        </w:rPr>
      </w:pPr>
    </w:p>
    <w:p w:rsidR="00720C39" w:rsidRDefault="006354D3" w:rsidP="00F6612B">
      <w:pPr>
        <w:pStyle w:val="BodyText"/>
        <w:ind w:firstLine="1440"/>
        <w:jc w:val="left"/>
        <w:rPr>
          <w:sz w:val="24"/>
          <w:szCs w:val="24"/>
        </w:rPr>
      </w:pPr>
      <w:r>
        <w:rPr>
          <w:sz w:val="24"/>
          <w:szCs w:val="24"/>
        </w:rPr>
        <w:t>“</w:t>
      </w:r>
      <w:r w:rsidR="00720C39">
        <w:rPr>
          <w:sz w:val="24"/>
          <w:szCs w:val="24"/>
        </w:rPr>
        <w:t>Every public utility shall furnis</w:t>
      </w:r>
      <w:r>
        <w:rPr>
          <w:sz w:val="24"/>
          <w:szCs w:val="24"/>
        </w:rPr>
        <w:t>h and maintain adequate</w:t>
      </w:r>
      <w:r w:rsidR="00720C39">
        <w:rPr>
          <w:sz w:val="24"/>
          <w:szCs w:val="24"/>
        </w:rPr>
        <w:t>,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w:t>
      </w:r>
      <w:r>
        <w:rPr>
          <w:sz w:val="24"/>
          <w:szCs w:val="24"/>
        </w:rPr>
        <w:t>e</w:t>
      </w:r>
      <w:r w:rsidR="00720C39">
        <w:rPr>
          <w:sz w:val="24"/>
          <w:szCs w:val="24"/>
        </w:rPr>
        <w:t>gulations and orders of the Commission.  Subject to the provisions of this part and the regulations or orders of the Commission, every</w:t>
      </w:r>
      <w:r>
        <w:rPr>
          <w:sz w:val="24"/>
          <w:szCs w:val="24"/>
        </w:rPr>
        <w:t xml:space="preserve"> </w:t>
      </w:r>
      <w:r w:rsidR="00720C39">
        <w:rPr>
          <w:sz w:val="24"/>
          <w:szCs w:val="24"/>
        </w:rPr>
        <w:t>public utility may have reasonable rules and regulations governing the conditions under which it shall be required to render service</w:t>
      </w:r>
      <w:r>
        <w:rPr>
          <w:sz w:val="24"/>
          <w:szCs w:val="24"/>
        </w:rPr>
        <w:t>….”  66 Pa.</w:t>
      </w:r>
      <w:r w:rsidR="00E14693">
        <w:rPr>
          <w:sz w:val="24"/>
          <w:szCs w:val="24"/>
        </w:rPr>
        <w:t xml:space="preserve"> </w:t>
      </w:r>
      <w:r>
        <w:rPr>
          <w:sz w:val="24"/>
          <w:szCs w:val="24"/>
        </w:rPr>
        <w:t>C.S.A. §1501.</w:t>
      </w:r>
    </w:p>
    <w:p w:rsidR="00203C61" w:rsidRDefault="00203C61" w:rsidP="00F6612B">
      <w:pPr>
        <w:pStyle w:val="BodyText"/>
        <w:ind w:firstLine="1440"/>
        <w:jc w:val="left"/>
        <w:rPr>
          <w:sz w:val="24"/>
          <w:szCs w:val="24"/>
        </w:rPr>
      </w:pPr>
    </w:p>
    <w:p w:rsidR="0016133D" w:rsidRDefault="0016133D" w:rsidP="0016133D">
      <w:pPr>
        <w:spacing w:line="360" w:lineRule="auto"/>
        <w:ind w:firstLine="1440"/>
      </w:pPr>
      <w:r w:rsidRPr="004E7308">
        <w:t>As the party seeking affirmative relief from the Commission, Complainant bears the burden of proof</w:t>
      </w:r>
      <w:r>
        <w:t xml:space="preserve"> by substantial evidence</w:t>
      </w:r>
      <w:r w:rsidRPr="004E7308">
        <w:t xml:space="preserve">.  66 </w:t>
      </w:r>
      <w:smartTag w:uri="urn:schemas-microsoft-com:office:smarttags" w:element="place">
        <w:smartTag w:uri="urn:schemas-microsoft-com:office:smarttags" w:element="State">
          <w:r w:rsidRPr="004E7308">
            <w:t>Pa.</w:t>
          </w:r>
        </w:smartTag>
      </w:smartTag>
      <w:r w:rsidRPr="004E7308">
        <w:t xml:space="preserve"> C.S. §332(a).</w:t>
      </w:r>
      <w:r>
        <w:t xml:space="preserve">  </w:t>
      </w:r>
      <w:r w:rsidRPr="006E5FE7">
        <w:t xml:space="preserve">Substantial evidence is defined as such evidence that a reasonable mind might accept as adequate to support a conclusion.  More is required than a mere trace of evidence or a suspicion of the existence of a fact sought to be established.  </w:t>
      </w:r>
      <w:r w:rsidRPr="006E5FE7">
        <w:rPr>
          <w:u w:val="single"/>
        </w:rPr>
        <w:t xml:space="preserve">Norfolk &amp; Western Ry. Company v. </w:t>
      </w:r>
      <w:smartTag w:uri="urn:schemas-microsoft-com:office:smarttags" w:element="State">
        <w:r w:rsidRPr="006E5FE7">
          <w:rPr>
            <w:u w:val="single"/>
          </w:rPr>
          <w:t>Pennsylvania</w:t>
        </w:r>
      </w:smartTag>
      <w:r w:rsidRPr="006E5FE7">
        <w:rPr>
          <w:u w:val="single"/>
        </w:rPr>
        <w:t xml:space="preserve"> Public Utility Commission</w:t>
      </w:r>
      <w:r w:rsidRPr="006E5FE7">
        <w:t xml:space="preserve">, 489 </w:t>
      </w:r>
      <w:smartTag w:uri="urn:schemas-microsoft-com:office:smarttags" w:element="State">
        <w:r w:rsidRPr="006E5FE7">
          <w:t>Pa.</w:t>
        </w:r>
      </w:smartTag>
      <w:r w:rsidRPr="006E5FE7">
        <w:t xml:space="preserve"> 109, 413 A.2d 1037 (1980); </w:t>
      </w:r>
      <w:r w:rsidRPr="006E5FE7">
        <w:rPr>
          <w:u w:val="single"/>
        </w:rPr>
        <w:t xml:space="preserve">Erie Resistor Corp. v. Unemployment Board </w:t>
      </w:r>
      <w:r w:rsidRPr="006E5FE7">
        <w:rPr>
          <w:u w:val="single"/>
        </w:rPr>
        <w:lastRenderedPageBreak/>
        <w:t>of Review</w:t>
      </w:r>
      <w:r w:rsidRPr="006E5FE7">
        <w:t xml:space="preserve">, </w:t>
      </w:r>
      <w:smartTag w:uri="urn:schemas-microsoft-com:office:smarttags" w:element="Street">
        <w:smartTag w:uri="urn:schemas-microsoft-com:office:smarttags" w:element="address">
          <w:r w:rsidRPr="006E5FE7">
            <w:t>194 Pa. Superior Ct.</w:t>
          </w:r>
        </w:smartTag>
      </w:smartTag>
      <w:r w:rsidRPr="006E5FE7">
        <w:t xml:space="preserve"> 278, 166 A.2d 96 (1961); </w:t>
      </w:r>
      <w:r w:rsidRPr="006E5FE7">
        <w:rPr>
          <w:u w:val="single"/>
        </w:rPr>
        <w:t>Murphy v. Department of Public Welfare</w:t>
      </w:r>
      <w:r w:rsidRPr="006E5FE7">
        <w:t>, 480 A.2d 382 (</w:t>
      </w:r>
      <w:smartTag w:uri="urn:schemas-microsoft-com:office:smarttags" w:element="place">
        <w:smartTag w:uri="urn:schemas-microsoft-com:office:smarttags" w:element="State">
          <w:r w:rsidRPr="006E5FE7">
            <w:t>Pa.</w:t>
          </w:r>
        </w:smartTag>
      </w:smartTag>
      <w:r w:rsidRPr="006E5FE7">
        <w:t xml:space="preserve"> Cmwlth. 1984).</w:t>
      </w:r>
    </w:p>
    <w:p w:rsidR="00145EBF" w:rsidRDefault="00145EBF" w:rsidP="00F6612B">
      <w:pPr>
        <w:pStyle w:val="BodyText"/>
        <w:ind w:firstLine="1440"/>
        <w:jc w:val="left"/>
        <w:rPr>
          <w:sz w:val="24"/>
          <w:szCs w:val="24"/>
        </w:rPr>
      </w:pPr>
    </w:p>
    <w:p w:rsidR="00334D84" w:rsidRDefault="009901A1" w:rsidP="00F6612B">
      <w:pPr>
        <w:pStyle w:val="BodyText"/>
        <w:ind w:firstLine="1440"/>
        <w:jc w:val="left"/>
        <w:rPr>
          <w:sz w:val="24"/>
          <w:szCs w:val="24"/>
        </w:rPr>
      </w:pPr>
      <w:r>
        <w:rPr>
          <w:sz w:val="24"/>
          <w:szCs w:val="24"/>
        </w:rPr>
        <w:t xml:space="preserve">In this case, </w:t>
      </w:r>
      <w:r w:rsidR="00C14FBB">
        <w:rPr>
          <w:sz w:val="24"/>
          <w:szCs w:val="24"/>
        </w:rPr>
        <w:t xml:space="preserve">Complainant has a legitimate concern about not only the integrity of his residence and personal property but also the health and safety of his disabled son, in the event a power surge starts a fire in his residence.  In addition, </w:t>
      </w:r>
      <w:r w:rsidR="00334D84">
        <w:rPr>
          <w:sz w:val="24"/>
          <w:szCs w:val="24"/>
        </w:rPr>
        <w:t>Complainant showed great damage occurred to his residence due to the power surge on January 9, 2008.  That power surge occurred because too much electricity surged through the lines and started a fire.  However, Complainant has been unable to show that the surge resulted from a failure of Respondent to provide reasonable and appropriate service.</w:t>
      </w:r>
    </w:p>
    <w:p w:rsidR="00334D84" w:rsidRDefault="00334D84" w:rsidP="00F6612B">
      <w:pPr>
        <w:pStyle w:val="BodyText"/>
        <w:ind w:firstLine="1440"/>
        <w:jc w:val="left"/>
        <w:rPr>
          <w:sz w:val="24"/>
          <w:szCs w:val="24"/>
        </w:rPr>
      </w:pPr>
    </w:p>
    <w:p w:rsidR="00010C1B" w:rsidRDefault="0065019D" w:rsidP="00F6612B">
      <w:pPr>
        <w:pStyle w:val="BodyText"/>
        <w:ind w:firstLine="1440"/>
        <w:jc w:val="left"/>
        <w:rPr>
          <w:sz w:val="24"/>
          <w:szCs w:val="24"/>
        </w:rPr>
      </w:pPr>
      <w:r>
        <w:rPr>
          <w:sz w:val="24"/>
          <w:szCs w:val="24"/>
        </w:rPr>
        <w:t xml:space="preserve">Respondent provided sufficient evidence to show </w:t>
      </w:r>
      <w:r w:rsidR="00607B04">
        <w:rPr>
          <w:sz w:val="24"/>
          <w:szCs w:val="24"/>
        </w:rPr>
        <w:t xml:space="preserve">the cause of the outage on January 9, 2008 was beyond its control.  It also provided sufficient evidence to show it acted in a reasonable manner when Complainant complained about the situation.  Respondent’s electrical service is a dangerous product but Respondent presented evidence to show it </w:t>
      </w:r>
      <w:r w:rsidR="00334D84">
        <w:rPr>
          <w:sz w:val="24"/>
          <w:szCs w:val="24"/>
        </w:rPr>
        <w:t>uses</w:t>
      </w:r>
      <w:r w:rsidR="00607B04">
        <w:rPr>
          <w:sz w:val="24"/>
          <w:szCs w:val="24"/>
        </w:rPr>
        <w:t xml:space="preserve"> appropriate safety protections in order to reduce</w:t>
      </w:r>
      <w:r w:rsidR="00010C1B">
        <w:rPr>
          <w:sz w:val="24"/>
          <w:szCs w:val="24"/>
        </w:rPr>
        <w:t xml:space="preserve"> damage that may occur when service is restored after an outage.</w:t>
      </w:r>
      <w:r w:rsidR="0055630F">
        <w:rPr>
          <w:sz w:val="24"/>
          <w:szCs w:val="24"/>
        </w:rPr>
        <w:t xml:space="preserve">  </w:t>
      </w:r>
      <w:r w:rsidR="00010C1B">
        <w:rPr>
          <w:sz w:val="24"/>
          <w:szCs w:val="24"/>
        </w:rPr>
        <w:t xml:space="preserve"> </w:t>
      </w:r>
    </w:p>
    <w:p w:rsidR="00334D84" w:rsidRDefault="00334D84" w:rsidP="00F6612B">
      <w:pPr>
        <w:pStyle w:val="BodyText"/>
        <w:ind w:firstLine="1440"/>
        <w:jc w:val="left"/>
        <w:rPr>
          <w:sz w:val="24"/>
          <w:szCs w:val="24"/>
        </w:rPr>
      </w:pPr>
    </w:p>
    <w:p w:rsidR="00334D84" w:rsidRDefault="00334D84" w:rsidP="00334D84">
      <w:pPr>
        <w:pStyle w:val="BodyText"/>
        <w:ind w:firstLine="1440"/>
        <w:jc w:val="left"/>
        <w:rPr>
          <w:sz w:val="24"/>
          <w:szCs w:val="24"/>
        </w:rPr>
      </w:pPr>
      <w:r>
        <w:rPr>
          <w:sz w:val="24"/>
          <w:szCs w:val="24"/>
        </w:rPr>
        <w:t>Furthermore, Complainant’s request in his formal complaint is to ask the Commission to require Respondent to take steps to prevent future occurrences when an outage results in a power surge sufficiently powerful to start a fire.  The evidence presented shows Respondent did comply with Complainant’s request when it moved Complainant’s circuit to the middle phase in January 2009.</w:t>
      </w:r>
    </w:p>
    <w:p w:rsidR="00010C1B" w:rsidRDefault="00010C1B" w:rsidP="00F6612B">
      <w:pPr>
        <w:pStyle w:val="BodyText"/>
        <w:ind w:firstLine="1440"/>
        <w:jc w:val="left"/>
        <w:rPr>
          <w:sz w:val="24"/>
          <w:szCs w:val="24"/>
        </w:rPr>
      </w:pPr>
    </w:p>
    <w:p w:rsidR="00307FF8" w:rsidRPr="008B455C" w:rsidRDefault="00010C1B" w:rsidP="00F6612B">
      <w:pPr>
        <w:pStyle w:val="BodyText"/>
        <w:ind w:firstLine="1440"/>
        <w:jc w:val="left"/>
        <w:rPr>
          <w:sz w:val="24"/>
          <w:szCs w:val="24"/>
        </w:rPr>
      </w:pPr>
      <w:r>
        <w:rPr>
          <w:sz w:val="24"/>
          <w:szCs w:val="24"/>
        </w:rPr>
        <w:t xml:space="preserve">Therefore, Complainant </w:t>
      </w:r>
      <w:r w:rsidR="0016133D">
        <w:rPr>
          <w:sz w:val="24"/>
          <w:szCs w:val="24"/>
        </w:rPr>
        <w:t xml:space="preserve">has not </w:t>
      </w:r>
      <w:r w:rsidR="00F73AC5">
        <w:rPr>
          <w:sz w:val="24"/>
          <w:szCs w:val="24"/>
        </w:rPr>
        <w:t>met his burden of proving Respondent violated the Commission’s regulations by failing to provide reasonable and adequate customer service when the power surge occurred on January 9, 2008</w:t>
      </w:r>
      <w:r w:rsidR="00607B04">
        <w:rPr>
          <w:sz w:val="24"/>
          <w:szCs w:val="24"/>
        </w:rPr>
        <w:t xml:space="preserve"> or at any time after his last dispute in 2005</w:t>
      </w:r>
      <w:r w:rsidR="0065019D">
        <w:rPr>
          <w:sz w:val="24"/>
          <w:szCs w:val="24"/>
        </w:rPr>
        <w:t>.</w:t>
      </w:r>
      <w:r>
        <w:rPr>
          <w:sz w:val="24"/>
          <w:szCs w:val="24"/>
        </w:rPr>
        <w:t xml:space="preserve">  </w:t>
      </w:r>
      <w:r w:rsidR="008B6587" w:rsidRPr="008B455C">
        <w:rPr>
          <w:sz w:val="24"/>
          <w:szCs w:val="24"/>
        </w:rPr>
        <w:t>Accordingly</w:t>
      </w:r>
      <w:r w:rsidR="00144BDA">
        <w:rPr>
          <w:sz w:val="24"/>
          <w:szCs w:val="24"/>
        </w:rPr>
        <w:t>,</w:t>
      </w:r>
      <w:r w:rsidR="008B6587" w:rsidRPr="008B455C">
        <w:rPr>
          <w:sz w:val="24"/>
          <w:szCs w:val="24"/>
        </w:rPr>
        <w:t xml:space="preserve"> the complaint</w:t>
      </w:r>
      <w:r w:rsidR="00DC3243" w:rsidRPr="008B455C">
        <w:rPr>
          <w:sz w:val="24"/>
          <w:szCs w:val="24"/>
        </w:rPr>
        <w:t xml:space="preserve"> i</w:t>
      </w:r>
      <w:r w:rsidR="008B6587" w:rsidRPr="008B455C">
        <w:rPr>
          <w:sz w:val="24"/>
          <w:szCs w:val="24"/>
        </w:rPr>
        <w:t xml:space="preserve">s </w:t>
      </w:r>
      <w:r w:rsidR="006D384B">
        <w:rPr>
          <w:sz w:val="24"/>
          <w:szCs w:val="24"/>
        </w:rPr>
        <w:t>dismissed</w:t>
      </w:r>
      <w:r w:rsidR="008B6587" w:rsidRPr="008B455C">
        <w:rPr>
          <w:sz w:val="24"/>
          <w:szCs w:val="24"/>
        </w:rPr>
        <w:t xml:space="preserve"> in the ordering paragraphs below. </w:t>
      </w:r>
    </w:p>
    <w:p w:rsidR="00EC0BCA" w:rsidRDefault="00EC0BCA" w:rsidP="008E4FD6">
      <w:pPr>
        <w:spacing w:line="360" w:lineRule="auto"/>
        <w:jc w:val="center"/>
        <w:rPr>
          <w:u w:val="single"/>
        </w:rPr>
      </w:pPr>
    </w:p>
    <w:p w:rsidR="00EC0BCA" w:rsidRDefault="00EC0BCA" w:rsidP="008E4FD6">
      <w:pPr>
        <w:spacing w:line="360" w:lineRule="auto"/>
        <w:jc w:val="center"/>
        <w:rPr>
          <w:u w:val="single"/>
        </w:rPr>
      </w:pPr>
    </w:p>
    <w:p w:rsidR="00EC0BCA" w:rsidRDefault="00EC0BCA" w:rsidP="008E4FD6">
      <w:pPr>
        <w:spacing w:line="360" w:lineRule="auto"/>
        <w:jc w:val="center"/>
        <w:rPr>
          <w:u w:val="single"/>
        </w:rPr>
      </w:pPr>
    </w:p>
    <w:p w:rsidR="008E4FD6" w:rsidRPr="008B455C" w:rsidRDefault="008E4FD6" w:rsidP="008E4FD6">
      <w:pPr>
        <w:spacing w:line="360" w:lineRule="auto"/>
        <w:jc w:val="center"/>
        <w:rPr>
          <w:u w:val="single"/>
        </w:rPr>
      </w:pPr>
      <w:r w:rsidRPr="008B455C">
        <w:rPr>
          <w:u w:val="single"/>
        </w:rPr>
        <w:lastRenderedPageBreak/>
        <w:t>CONCLUSIONS OF LAW</w:t>
      </w:r>
    </w:p>
    <w:p w:rsidR="008E4FD6" w:rsidRPr="008B455C" w:rsidRDefault="008E4FD6" w:rsidP="008E4FD6">
      <w:pPr>
        <w:spacing w:line="360" w:lineRule="auto"/>
        <w:ind w:firstLine="1440"/>
      </w:pPr>
    </w:p>
    <w:p w:rsidR="008E4FD6" w:rsidRPr="008B455C" w:rsidRDefault="008E4FD6" w:rsidP="008E4FD6">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smartTag w:uri="urn:schemas-microsoft-com:office:smarttags" w:element="State">
        <w:smartTag w:uri="urn:schemas-microsoft-com:office:smarttags" w:element="place">
          <w:r w:rsidRPr="008B455C">
            <w:t>Pa.</w:t>
          </w:r>
        </w:smartTag>
      </w:smartTag>
      <w:r w:rsidRPr="008B455C">
        <w:t xml:space="preserve"> C.S. §701.</w:t>
      </w:r>
    </w:p>
    <w:p w:rsidR="008E4FD6" w:rsidRPr="008B455C" w:rsidRDefault="008E4FD6" w:rsidP="008E4FD6">
      <w:pPr>
        <w:tabs>
          <w:tab w:val="num" w:pos="2160"/>
        </w:tabs>
        <w:spacing w:line="360" w:lineRule="auto"/>
        <w:ind w:firstLine="1260"/>
      </w:pPr>
    </w:p>
    <w:p w:rsidR="00732CDD" w:rsidRPr="008B455C" w:rsidRDefault="00861DF9" w:rsidP="00943CC8">
      <w:pPr>
        <w:spacing w:line="360" w:lineRule="auto"/>
      </w:pPr>
      <w:r w:rsidRPr="008B455C">
        <w:tab/>
      </w:r>
      <w:r w:rsidRPr="008B455C">
        <w:tab/>
        <w:t>2</w:t>
      </w:r>
      <w:r w:rsidR="003E2BB0" w:rsidRPr="008B455C">
        <w:t>.</w:t>
      </w:r>
      <w:r w:rsidR="003E2BB0" w:rsidRPr="008B455C">
        <w:tab/>
      </w:r>
      <w:r w:rsidR="00BC7989">
        <w:t>Complainant</w:t>
      </w:r>
      <w:r w:rsidR="00EA1EDF" w:rsidRPr="008B455C">
        <w:t xml:space="preserve"> </w:t>
      </w:r>
      <w:r w:rsidR="00D868FB" w:rsidRPr="008B455C">
        <w:t>carr</w:t>
      </w:r>
      <w:r w:rsidR="006D384B">
        <w:t>ies</w:t>
      </w:r>
      <w:r w:rsidR="00EA1EDF" w:rsidRPr="008B455C">
        <w:t xml:space="preserve"> the burden of proving </w:t>
      </w:r>
      <w:r w:rsidR="00617C29" w:rsidRPr="008B455C">
        <w:t>Respondent</w:t>
      </w:r>
      <w:r w:rsidR="000943A5">
        <w:t xml:space="preserve"> </w:t>
      </w:r>
      <w:r w:rsidR="0016133D">
        <w:t>did</w:t>
      </w:r>
      <w:r w:rsidR="000943A5">
        <w:t xml:space="preserve"> not provid</w:t>
      </w:r>
      <w:r w:rsidR="0016133D">
        <w:t>e</w:t>
      </w:r>
      <w:r w:rsidR="000943A5">
        <w:t xml:space="preserve"> reasonable and adequate service</w:t>
      </w:r>
      <w:r w:rsidR="00617C29" w:rsidRPr="008B455C">
        <w:t>.</w:t>
      </w:r>
      <w:r w:rsidR="00B219F2" w:rsidRPr="008B455C">
        <w:t xml:space="preserve">  66 </w:t>
      </w:r>
      <w:smartTag w:uri="urn:schemas-microsoft-com:office:smarttags" w:element="State">
        <w:smartTag w:uri="urn:schemas-microsoft-com:office:smarttags" w:element="place">
          <w:r w:rsidR="00B219F2" w:rsidRPr="008B455C">
            <w:t>Pa.</w:t>
          </w:r>
        </w:smartTag>
      </w:smartTag>
      <w:r w:rsidR="00BC1FD7">
        <w:t xml:space="preserve"> </w:t>
      </w:r>
      <w:r w:rsidR="00B219F2" w:rsidRPr="008B455C">
        <w:t>C.S.A. §332(a).</w:t>
      </w:r>
    </w:p>
    <w:p w:rsidR="00732CDD" w:rsidRPr="008B455C" w:rsidRDefault="00732CDD" w:rsidP="00943CC8">
      <w:pPr>
        <w:spacing w:line="360" w:lineRule="auto"/>
      </w:pPr>
    </w:p>
    <w:p w:rsidR="008B6587" w:rsidRPr="008B455C" w:rsidRDefault="00732CDD" w:rsidP="008B6587">
      <w:pPr>
        <w:pStyle w:val="FootnoteText"/>
        <w:spacing w:line="360" w:lineRule="auto"/>
        <w:rPr>
          <w:sz w:val="24"/>
          <w:szCs w:val="24"/>
        </w:rPr>
      </w:pPr>
      <w:r w:rsidRPr="008B455C">
        <w:rPr>
          <w:sz w:val="24"/>
          <w:szCs w:val="24"/>
        </w:rPr>
        <w:tab/>
      </w:r>
      <w:r w:rsidRPr="008B455C">
        <w:rPr>
          <w:sz w:val="24"/>
          <w:szCs w:val="24"/>
        </w:rPr>
        <w:tab/>
      </w:r>
      <w:r w:rsidR="00D86C43" w:rsidRPr="008B455C">
        <w:rPr>
          <w:sz w:val="24"/>
          <w:szCs w:val="24"/>
        </w:rPr>
        <w:t>3</w:t>
      </w:r>
      <w:r w:rsidRPr="008B455C">
        <w:rPr>
          <w:sz w:val="24"/>
          <w:szCs w:val="24"/>
        </w:rPr>
        <w:t>.</w:t>
      </w:r>
      <w:r w:rsidRPr="008B455C">
        <w:rPr>
          <w:sz w:val="24"/>
          <w:szCs w:val="24"/>
        </w:rPr>
        <w:tab/>
      </w:r>
      <w:r w:rsidR="0016133D">
        <w:rPr>
          <w:sz w:val="24"/>
          <w:szCs w:val="24"/>
        </w:rPr>
        <w:t xml:space="preserve">Respondent </w:t>
      </w:r>
      <w:r w:rsidR="003B3294">
        <w:rPr>
          <w:sz w:val="24"/>
          <w:szCs w:val="24"/>
        </w:rPr>
        <w:t>provided Complainant with reasonable and adequate customer service in its provision of electrical services</w:t>
      </w:r>
      <w:r w:rsidR="008B6587" w:rsidRPr="008B455C">
        <w:rPr>
          <w:sz w:val="24"/>
          <w:szCs w:val="24"/>
        </w:rPr>
        <w:t xml:space="preserve">.  </w:t>
      </w:r>
    </w:p>
    <w:p w:rsidR="00617C29" w:rsidRPr="008B455C" w:rsidRDefault="00617C29" w:rsidP="008B6587">
      <w:pPr>
        <w:pStyle w:val="FootnoteText"/>
        <w:spacing w:line="360" w:lineRule="auto"/>
        <w:rPr>
          <w:sz w:val="24"/>
          <w:szCs w:val="24"/>
        </w:rPr>
      </w:pPr>
    </w:p>
    <w:p w:rsidR="007D2DA0" w:rsidRPr="008B455C" w:rsidRDefault="00617C29" w:rsidP="00617C29">
      <w:pPr>
        <w:spacing w:line="360" w:lineRule="auto"/>
      </w:pPr>
      <w:r w:rsidRPr="008B455C">
        <w:tab/>
      </w:r>
      <w:r w:rsidRPr="008B455C">
        <w:tab/>
      </w:r>
      <w:r w:rsidR="00D86C43" w:rsidRPr="008B455C">
        <w:t>4</w:t>
      </w:r>
      <w:r w:rsidRPr="008B455C">
        <w:t>.</w:t>
      </w:r>
      <w:r w:rsidRPr="008B455C">
        <w:tab/>
      </w:r>
      <w:r w:rsidR="00BC7989">
        <w:t>Complainant</w:t>
      </w:r>
      <w:r w:rsidR="00DC3243" w:rsidRPr="008B455C">
        <w:t xml:space="preserve"> </w:t>
      </w:r>
      <w:r w:rsidR="006D384B">
        <w:t>failed to meet</w:t>
      </w:r>
      <w:r w:rsidR="00732CDD" w:rsidRPr="008B455C">
        <w:t xml:space="preserve"> </w:t>
      </w:r>
      <w:r w:rsidR="00DC3243" w:rsidRPr="008B455C">
        <w:t>the</w:t>
      </w:r>
      <w:r w:rsidR="00732CDD" w:rsidRPr="008B455C">
        <w:t xml:space="preserve"> burden of proving </w:t>
      </w:r>
      <w:r w:rsidRPr="008B455C">
        <w:t>Respondent</w:t>
      </w:r>
      <w:r w:rsidR="000943A5">
        <w:t xml:space="preserve"> did not provide reasonable and adequate service when </w:t>
      </w:r>
      <w:r w:rsidR="00060974">
        <w:t>the tree outside Respondent’s right of way fell onto Respondent’s electric wires on January 9, 2008 and caused a power surge in Complainant’s home.</w:t>
      </w:r>
      <w:r w:rsidR="0055630F">
        <w:t xml:space="preserve">  </w:t>
      </w:r>
      <w:r w:rsidR="00861DF9" w:rsidRPr="008B455C">
        <w:t xml:space="preserve"> </w:t>
      </w:r>
    </w:p>
    <w:p w:rsidR="00A40462" w:rsidRPr="008B455C" w:rsidRDefault="007D2DA0" w:rsidP="003C13E7">
      <w:pPr>
        <w:spacing w:line="360" w:lineRule="auto"/>
      </w:pPr>
      <w:r w:rsidRPr="008B455C">
        <w:tab/>
      </w:r>
    </w:p>
    <w:p w:rsidR="008E4FD6" w:rsidRPr="008B455C" w:rsidRDefault="008E4FD6" w:rsidP="00CF2BAB">
      <w:pPr>
        <w:spacing w:line="360" w:lineRule="auto"/>
        <w:jc w:val="center"/>
        <w:rPr>
          <w:u w:val="single"/>
        </w:rPr>
      </w:pPr>
      <w:r w:rsidRPr="008B455C">
        <w:rPr>
          <w:u w:val="single"/>
        </w:rPr>
        <w:t>ORDER</w:t>
      </w:r>
    </w:p>
    <w:p w:rsidR="00A40462" w:rsidRPr="008B455C" w:rsidRDefault="00A40462" w:rsidP="008E4FD6">
      <w:pPr>
        <w:tabs>
          <w:tab w:val="num" w:pos="2160"/>
        </w:tabs>
        <w:spacing w:line="360" w:lineRule="auto"/>
        <w:jc w:val="center"/>
        <w:rPr>
          <w:u w:val="single"/>
        </w:rPr>
      </w:pPr>
    </w:p>
    <w:p w:rsidR="008E4FD6" w:rsidRPr="008B455C" w:rsidRDefault="008E4FD6" w:rsidP="008E4FD6">
      <w:pPr>
        <w:tabs>
          <w:tab w:val="num" w:pos="2160"/>
        </w:tabs>
        <w:spacing w:line="360" w:lineRule="auto"/>
        <w:ind w:firstLine="1440"/>
      </w:pPr>
      <w:r w:rsidRPr="008B455C">
        <w:t xml:space="preserve">THEREFORE, </w:t>
      </w:r>
    </w:p>
    <w:p w:rsidR="008E4FD6" w:rsidRPr="008B455C" w:rsidRDefault="008E4FD6" w:rsidP="008E4FD6">
      <w:pPr>
        <w:tabs>
          <w:tab w:val="num" w:pos="2160"/>
        </w:tabs>
        <w:spacing w:line="360" w:lineRule="auto"/>
      </w:pPr>
    </w:p>
    <w:p w:rsidR="008E4FD6" w:rsidRPr="008B455C" w:rsidRDefault="008E4FD6" w:rsidP="008E4FD6">
      <w:pPr>
        <w:tabs>
          <w:tab w:val="num" w:pos="2160"/>
        </w:tabs>
        <w:spacing w:line="360" w:lineRule="auto"/>
        <w:ind w:firstLine="1440"/>
      </w:pPr>
      <w:r w:rsidRPr="008B455C">
        <w:t>IT IS ORDERED:</w:t>
      </w:r>
    </w:p>
    <w:p w:rsidR="008E4FD6" w:rsidRPr="008B455C" w:rsidRDefault="008E4FD6" w:rsidP="008E4FD6">
      <w:pPr>
        <w:tabs>
          <w:tab w:val="num" w:pos="2160"/>
        </w:tabs>
        <w:spacing w:line="360" w:lineRule="auto"/>
        <w:rPr>
          <w:b/>
        </w:rPr>
      </w:pPr>
    </w:p>
    <w:p w:rsidR="008E4FD6" w:rsidRDefault="00DC3243" w:rsidP="008E4FD6">
      <w:pPr>
        <w:tabs>
          <w:tab w:val="num" w:pos="2160"/>
        </w:tabs>
        <w:spacing w:line="360" w:lineRule="auto"/>
        <w:ind w:firstLine="1440"/>
      </w:pPr>
      <w:r w:rsidRPr="008B455C">
        <w:t>T</w:t>
      </w:r>
      <w:r w:rsidR="00617C29" w:rsidRPr="008B455C">
        <w:t xml:space="preserve">hat the complaint of </w:t>
      </w:r>
      <w:r w:rsidR="00060974" w:rsidRPr="00384280">
        <w:t>Bernard X. Wanninger</w:t>
      </w:r>
      <w:r w:rsidR="003E1EE5" w:rsidRPr="00384280">
        <w:t xml:space="preserve"> </w:t>
      </w:r>
      <w:r w:rsidR="00B219F2" w:rsidRPr="00384280">
        <w:t>versus</w:t>
      </w:r>
      <w:r w:rsidR="00617C29" w:rsidRPr="00384280">
        <w:t xml:space="preserve"> Duquesne Light C</w:t>
      </w:r>
      <w:r w:rsidR="00A70C75" w:rsidRPr="00384280">
        <w:t>ompany</w:t>
      </w:r>
      <w:r w:rsidR="00B219F2" w:rsidRPr="00055267">
        <w:t xml:space="preserve"> </w:t>
      </w:r>
      <w:r w:rsidR="00B219F2" w:rsidRPr="008B455C">
        <w:t xml:space="preserve">at </w:t>
      </w:r>
      <w:r w:rsidR="00060974">
        <w:t>Docket No. C</w:t>
      </w:r>
      <w:r w:rsidR="00F6612B" w:rsidRPr="008B455C">
        <w:noBreakHyphen/>
      </w:r>
      <w:r w:rsidR="00A70C75" w:rsidRPr="008B455C">
        <w:t>200</w:t>
      </w:r>
      <w:r w:rsidR="00060974">
        <w:t>8</w:t>
      </w:r>
      <w:r w:rsidR="003E1EE5" w:rsidRPr="008B455C">
        <w:t>-2</w:t>
      </w:r>
      <w:r w:rsidR="00060974">
        <w:t>057952</w:t>
      </w:r>
      <w:r w:rsidR="00A70C75" w:rsidRPr="008B455C">
        <w:t xml:space="preserve"> is hereby </w:t>
      </w:r>
      <w:r w:rsidR="006D384B">
        <w:t>dismissed</w:t>
      </w:r>
      <w:r w:rsidR="00A70C75" w:rsidRPr="008B455C">
        <w:t>.</w:t>
      </w:r>
    </w:p>
    <w:p w:rsidR="008E4FD6" w:rsidRPr="008B455C" w:rsidRDefault="008E4FD6" w:rsidP="008E4FD6">
      <w:pPr>
        <w:tabs>
          <w:tab w:val="num" w:pos="2160"/>
        </w:tabs>
        <w:spacing w:line="360" w:lineRule="auto"/>
        <w:ind w:firstLine="1440"/>
      </w:pPr>
    </w:p>
    <w:p w:rsidR="008E4FD6" w:rsidRPr="008B455C" w:rsidRDefault="00766B36" w:rsidP="008E4FD6">
      <w:pPr>
        <w:tabs>
          <w:tab w:val="num" w:pos="2160"/>
        </w:tabs>
        <w:spacing w:line="360" w:lineRule="auto"/>
        <w:ind w:firstLine="1440"/>
      </w:pPr>
      <w:r w:rsidRPr="008B455C">
        <w:tab/>
        <w:t xml:space="preserve"> </w:t>
      </w:r>
    </w:p>
    <w:p w:rsidR="008E4FD6" w:rsidRPr="008B455C" w:rsidRDefault="008E4FD6" w:rsidP="008E4FD6">
      <w:pPr>
        <w:tabs>
          <w:tab w:val="num" w:pos="2160"/>
        </w:tabs>
        <w:spacing w:line="360" w:lineRule="auto"/>
        <w:ind w:firstLine="1440"/>
      </w:pPr>
    </w:p>
    <w:p w:rsidR="008E4FD6" w:rsidRPr="008B455C" w:rsidRDefault="008E4FD6" w:rsidP="008E4FD6">
      <w:pPr>
        <w:tabs>
          <w:tab w:val="num" w:pos="2160"/>
          <w:tab w:val="left" w:pos="5048"/>
        </w:tabs>
      </w:pPr>
      <w:r w:rsidRPr="008B455C">
        <w:t>Dated:</w:t>
      </w:r>
      <w:r w:rsidR="009D47A5" w:rsidRPr="008B455C">
        <w:t xml:space="preserve"> </w:t>
      </w:r>
      <w:r w:rsidR="003B3294">
        <w:rPr>
          <w:u w:val="single"/>
        </w:rPr>
        <w:t xml:space="preserve">March </w:t>
      </w:r>
      <w:r w:rsidR="00334D84">
        <w:rPr>
          <w:u w:val="single"/>
        </w:rPr>
        <w:t>22</w:t>
      </w:r>
      <w:r w:rsidR="003B3294">
        <w:rPr>
          <w:u w:val="single"/>
        </w:rPr>
        <w:t>, 2010</w:t>
      </w:r>
      <w:r w:rsidRPr="008B455C">
        <w:tab/>
        <w:t>_________________________</w:t>
      </w:r>
    </w:p>
    <w:p w:rsidR="008E4FD6" w:rsidRPr="008B455C" w:rsidRDefault="008E4FD6" w:rsidP="008E4FD6">
      <w:pPr>
        <w:tabs>
          <w:tab w:val="num" w:pos="2160"/>
        </w:tabs>
      </w:pPr>
      <w:r w:rsidRPr="008B455C">
        <w:tab/>
      </w:r>
      <w:r w:rsidRPr="008B455C">
        <w:tab/>
      </w:r>
      <w:r w:rsidRPr="008B455C">
        <w:tab/>
      </w:r>
      <w:r w:rsidRPr="008B455C">
        <w:tab/>
      </w:r>
      <w:r w:rsidRPr="008B455C">
        <w:tab/>
      </w:r>
      <w:r w:rsidR="00DC3243" w:rsidRPr="008B455C">
        <w:t>Katrina L. Dunderdale</w:t>
      </w:r>
    </w:p>
    <w:p w:rsidR="00CA57BA" w:rsidRPr="008B455C" w:rsidRDefault="008E4FD6" w:rsidP="00F61D4D">
      <w:pPr>
        <w:tabs>
          <w:tab w:val="num" w:pos="2160"/>
        </w:tabs>
      </w:pPr>
      <w:r w:rsidRPr="008B455C">
        <w:tab/>
      </w:r>
      <w:r w:rsidRPr="008B455C">
        <w:tab/>
      </w:r>
      <w:r w:rsidR="00F6612B" w:rsidRPr="008B455C">
        <w:tab/>
      </w:r>
      <w:r w:rsidR="00F61D4D">
        <w:tab/>
      </w:r>
      <w:r w:rsidR="00F61D4D">
        <w:tab/>
        <w:t>Administrative Law Judge</w:t>
      </w:r>
    </w:p>
    <w:sectPr w:rsidR="00CA57BA" w:rsidRPr="008B455C" w:rsidSect="00F6612B">
      <w:footerReference w:type="even" r:id="rId8"/>
      <w:footerReference w:type="default" r:id="rId9"/>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7EC" w:rsidRDefault="00F477EC">
      <w:r>
        <w:separator/>
      </w:r>
    </w:p>
  </w:endnote>
  <w:endnote w:type="continuationSeparator" w:id="0">
    <w:p w:rsidR="00F477EC" w:rsidRDefault="00F47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62" w:rsidRDefault="004D419D"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separate"/>
    </w:r>
    <w:r w:rsidR="000C0051">
      <w:rPr>
        <w:rStyle w:val="PageNumber"/>
        <w:noProof/>
      </w:rPr>
      <w:t>1</w:t>
    </w:r>
    <w:r>
      <w:rPr>
        <w:rStyle w:val="PageNumber"/>
      </w:rPr>
      <w:fldChar w:fldCharType="end"/>
    </w:r>
  </w:p>
  <w:p w:rsidR="00F30562" w:rsidRDefault="00F305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62" w:rsidRPr="0014242F" w:rsidRDefault="004D419D"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55630F">
      <w:rPr>
        <w:rStyle w:val="PageNumber"/>
        <w:noProof/>
        <w:sz w:val="20"/>
        <w:szCs w:val="20"/>
      </w:rPr>
      <w:t>8</w:t>
    </w:r>
    <w:r w:rsidRPr="0014242F">
      <w:rPr>
        <w:rStyle w:val="PageNumber"/>
        <w:sz w:val="20"/>
        <w:szCs w:val="20"/>
      </w:rPr>
      <w:fldChar w:fldCharType="end"/>
    </w:r>
  </w:p>
  <w:p w:rsidR="00F30562" w:rsidRDefault="00F305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7EC" w:rsidRDefault="00F477EC">
      <w:r>
        <w:separator/>
      </w:r>
    </w:p>
  </w:footnote>
  <w:footnote w:type="continuationSeparator" w:id="0">
    <w:p w:rsidR="00F477EC" w:rsidRDefault="00F47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4CAB"/>
    <w:rsid w:val="00010C1B"/>
    <w:rsid w:val="00014CD9"/>
    <w:rsid w:val="00015B93"/>
    <w:rsid w:val="00015E77"/>
    <w:rsid w:val="000218E1"/>
    <w:rsid w:val="0002562B"/>
    <w:rsid w:val="00030A0C"/>
    <w:rsid w:val="00032447"/>
    <w:rsid w:val="0003254A"/>
    <w:rsid w:val="0003345F"/>
    <w:rsid w:val="00034D3C"/>
    <w:rsid w:val="0003750C"/>
    <w:rsid w:val="00042684"/>
    <w:rsid w:val="00051FFD"/>
    <w:rsid w:val="000539E5"/>
    <w:rsid w:val="00055267"/>
    <w:rsid w:val="00060974"/>
    <w:rsid w:val="00062471"/>
    <w:rsid w:val="00065B67"/>
    <w:rsid w:val="00066099"/>
    <w:rsid w:val="00067DC6"/>
    <w:rsid w:val="00081933"/>
    <w:rsid w:val="0008418F"/>
    <w:rsid w:val="000841E3"/>
    <w:rsid w:val="000919E3"/>
    <w:rsid w:val="000920B0"/>
    <w:rsid w:val="000943A5"/>
    <w:rsid w:val="00094EC4"/>
    <w:rsid w:val="00095A48"/>
    <w:rsid w:val="000A7A7E"/>
    <w:rsid w:val="000A7DE2"/>
    <w:rsid w:val="000B0443"/>
    <w:rsid w:val="000B1450"/>
    <w:rsid w:val="000B4044"/>
    <w:rsid w:val="000B575F"/>
    <w:rsid w:val="000B7C98"/>
    <w:rsid w:val="000C0051"/>
    <w:rsid w:val="000C22D0"/>
    <w:rsid w:val="000C39FB"/>
    <w:rsid w:val="000C639E"/>
    <w:rsid w:val="000C6633"/>
    <w:rsid w:val="000C736C"/>
    <w:rsid w:val="000D4E83"/>
    <w:rsid w:val="000D6424"/>
    <w:rsid w:val="000D7D68"/>
    <w:rsid w:val="000E0DDA"/>
    <w:rsid w:val="000E33AA"/>
    <w:rsid w:val="000E4C15"/>
    <w:rsid w:val="000E4D29"/>
    <w:rsid w:val="000F0F3C"/>
    <w:rsid w:val="000F45A3"/>
    <w:rsid w:val="000F4D6B"/>
    <w:rsid w:val="0010040A"/>
    <w:rsid w:val="00103B9D"/>
    <w:rsid w:val="0010437D"/>
    <w:rsid w:val="00106746"/>
    <w:rsid w:val="001130C8"/>
    <w:rsid w:val="001140BC"/>
    <w:rsid w:val="001161AA"/>
    <w:rsid w:val="0011788E"/>
    <w:rsid w:val="0012141F"/>
    <w:rsid w:val="00121AE5"/>
    <w:rsid w:val="0012478B"/>
    <w:rsid w:val="00125CCD"/>
    <w:rsid w:val="00130E27"/>
    <w:rsid w:val="001339E0"/>
    <w:rsid w:val="00133A47"/>
    <w:rsid w:val="00133B41"/>
    <w:rsid w:val="001354D6"/>
    <w:rsid w:val="00137307"/>
    <w:rsid w:val="001375AA"/>
    <w:rsid w:val="00142A80"/>
    <w:rsid w:val="00143FA7"/>
    <w:rsid w:val="00144748"/>
    <w:rsid w:val="00144BDA"/>
    <w:rsid w:val="00145EBF"/>
    <w:rsid w:val="001513EC"/>
    <w:rsid w:val="00152853"/>
    <w:rsid w:val="00153E19"/>
    <w:rsid w:val="00156938"/>
    <w:rsid w:val="00156A90"/>
    <w:rsid w:val="0016133D"/>
    <w:rsid w:val="00165400"/>
    <w:rsid w:val="00166F22"/>
    <w:rsid w:val="00167534"/>
    <w:rsid w:val="0017741E"/>
    <w:rsid w:val="00182EDA"/>
    <w:rsid w:val="0018379D"/>
    <w:rsid w:val="00183AE1"/>
    <w:rsid w:val="00185EF9"/>
    <w:rsid w:val="00195561"/>
    <w:rsid w:val="00196E40"/>
    <w:rsid w:val="001B283D"/>
    <w:rsid w:val="001B3B0D"/>
    <w:rsid w:val="001B436F"/>
    <w:rsid w:val="001C3008"/>
    <w:rsid w:val="001C5F76"/>
    <w:rsid w:val="001D1195"/>
    <w:rsid w:val="001D1DC6"/>
    <w:rsid w:val="001D5E87"/>
    <w:rsid w:val="001D67F3"/>
    <w:rsid w:val="001D6F49"/>
    <w:rsid w:val="001D7070"/>
    <w:rsid w:val="001D79FF"/>
    <w:rsid w:val="001E2C24"/>
    <w:rsid w:val="001F030C"/>
    <w:rsid w:val="00200ED0"/>
    <w:rsid w:val="00203C61"/>
    <w:rsid w:val="00206B04"/>
    <w:rsid w:val="002075E6"/>
    <w:rsid w:val="00210334"/>
    <w:rsid w:val="00210460"/>
    <w:rsid w:val="00214A19"/>
    <w:rsid w:val="002154B5"/>
    <w:rsid w:val="002165A2"/>
    <w:rsid w:val="00216A05"/>
    <w:rsid w:val="00230C81"/>
    <w:rsid w:val="0023169E"/>
    <w:rsid w:val="00234C5A"/>
    <w:rsid w:val="00244AD1"/>
    <w:rsid w:val="002520A5"/>
    <w:rsid w:val="00254BFC"/>
    <w:rsid w:val="00254FD1"/>
    <w:rsid w:val="0025557F"/>
    <w:rsid w:val="00263EFE"/>
    <w:rsid w:val="00264C6D"/>
    <w:rsid w:val="00265108"/>
    <w:rsid w:val="0026526F"/>
    <w:rsid w:val="00271E72"/>
    <w:rsid w:val="00271FF1"/>
    <w:rsid w:val="00280380"/>
    <w:rsid w:val="00280AF0"/>
    <w:rsid w:val="00283A3F"/>
    <w:rsid w:val="00284FA9"/>
    <w:rsid w:val="002867AD"/>
    <w:rsid w:val="002904BB"/>
    <w:rsid w:val="00291917"/>
    <w:rsid w:val="00293E92"/>
    <w:rsid w:val="00295403"/>
    <w:rsid w:val="002A78AC"/>
    <w:rsid w:val="002B433A"/>
    <w:rsid w:val="002B4996"/>
    <w:rsid w:val="002B4DFA"/>
    <w:rsid w:val="002C0A6E"/>
    <w:rsid w:val="002C703F"/>
    <w:rsid w:val="002C7A52"/>
    <w:rsid w:val="002C7AB0"/>
    <w:rsid w:val="002D04F8"/>
    <w:rsid w:val="002D29E7"/>
    <w:rsid w:val="002E2B6E"/>
    <w:rsid w:val="002E597B"/>
    <w:rsid w:val="002E5A74"/>
    <w:rsid w:val="002E6B15"/>
    <w:rsid w:val="002F15F6"/>
    <w:rsid w:val="002F1743"/>
    <w:rsid w:val="002F4F6F"/>
    <w:rsid w:val="002F6CA8"/>
    <w:rsid w:val="002F6DFB"/>
    <w:rsid w:val="00302C62"/>
    <w:rsid w:val="00302D41"/>
    <w:rsid w:val="00307FF8"/>
    <w:rsid w:val="00311588"/>
    <w:rsid w:val="003121E7"/>
    <w:rsid w:val="00324C80"/>
    <w:rsid w:val="00324D48"/>
    <w:rsid w:val="00326059"/>
    <w:rsid w:val="00330B01"/>
    <w:rsid w:val="0033183D"/>
    <w:rsid w:val="00334D84"/>
    <w:rsid w:val="0034231B"/>
    <w:rsid w:val="00342B49"/>
    <w:rsid w:val="0034410D"/>
    <w:rsid w:val="0034692A"/>
    <w:rsid w:val="0035629D"/>
    <w:rsid w:val="003603C7"/>
    <w:rsid w:val="00360EB9"/>
    <w:rsid w:val="00361EAC"/>
    <w:rsid w:val="003649AC"/>
    <w:rsid w:val="00365F7C"/>
    <w:rsid w:val="00370128"/>
    <w:rsid w:val="00373245"/>
    <w:rsid w:val="00373ECC"/>
    <w:rsid w:val="0037694C"/>
    <w:rsid w:val="00380F4B"/>
    <w:rsid w:val="00383822"/>
    <w:rsid w:val="00384280"/>
    <w:rsid w:val="00386C1C"/>
    <w:rsid w:val="00387E50"/>
    <w:rsid w:val="003908EE"/>
    <w:rsid w:val="00391096"/>
    <w:rsid w:val="00394A82"/>
    <w:rsid w:val="003B045F"/>
    <w:rsid w:val="003B3294"/>
    <w:rsid w:val="003B4F65"/>
    <w:rsid w:val="003B7783"/>
    <w:rsid w:val="003C13E7"/>
    <w:rsid w:val="003C2777"/>
    <w:rsid w:val="003C417D"/>
    <w:rsid w:val="003C4E1D"/>
    <w:rsid w:val="003C7776"/>
    <w:rsid w:val="003D0DEF"/>
    <w:rsid w:val="003D374F"/>
    <w:rsid w:val="003D500A"/>
    <w:rsid w:val="003D5173"/>
    <w:rsid w:val="003D67D8"/>
    <w:rsid w:val="003E1EE5"/>
    <w:rsid w:val="003E2BB0"/>
    <w:rsid w:val="003E2D32"/>
    <w:rsid w:val="003E60E7"/>
    <w:rsid w:val="003E6C27"/>
    <w:rsid w:val="003F1BC1"/>
    <w:rsid w:val="003F56DB"/>
    <w:rsid w:val="003F6E27"/>
    <w:rsid w:val="0040104B"/>
    <w:rsid w:val="0040125C"/>
    <w:rsid w:val="00411416"/>
    <w:rsid w:val="0041637D"/>
    <w:rsid w:val="00421585"/>
    <w:rsid w:val="004219BD"/>
    <w:rsid w:val="00424E72"/>
    <w:rsid w:val="00430437"/>
    <w:rsid w:val="00431883"/>
    <w:rsid w:val="004322BD"/>
    <w:rsid w:val="00440B6B"/>
    <w:rsid w:val="004455C4"/>
    <w:rsid w:val="00446EE8"/>
    <w:rsid w:val="00462770"/>
    <w:rsid w:val="0046290B"/>
    <w:rsid w:val="004635FD"/>
    <w:rsid w:val="00465878"/>
    <w:rsid w:val="0046652F"/>
    <w:rsid w:val="00470AFC"/>
    <w:rsid w:val="00472A21"/>
    <w:rsid w:val="00474C53"/>
    <w:rsid w:val="00477B44"/>
    <w:rsid w:val="00483A4C"/>
    <w:rsid w:val="004859D0"/>
    <w:rsid w:val="00487AE0"/>
    <w:rsid w:val="004970DA"/>
    <w:rsid w:val="004A26B6"/>
    <w:rsid w:val="004A6673"/>
    <w:rsid w:val="004B34C6"/>
    <w:rsid w:val="004B422F"/>
    <w:rsid w:val="004B4B53"/>
    <w:rsid w:val="004C32C0"/>
    <w:rsid w:val="004C5FA9"/>
    <w:rsid w:val="004C6202"/>
    <w:rsid w:val="004D2634"/>
    <w:rsid w:val="004D3826"/>
    <w:rsid w:val="004D3A14"/>
    <w:rsid w:val="004D419D"/>
    <w:rsid w:val="004D454A"/>
    <w:rsid w:val="004D75D5"/>
    <w:rsid w:val="004E01BD"/>
    <w:rsid w:val="004E3B20"/>
    <w:rsid w:val="004E4252"/>
    <w:rsid w:val="004E605F"/>
    <w:rsid w:val="004E7B43"/>
    <w:rsid w:val="0050181E"/>
    <w:rsid w:val="0050497A"/>
    <w:rsid w:val="00504A1A"/>
    <w:rsid w:val="00507ECF"/>
    <w:rsid w:val="00517217"/>
    <w:rsid w:val="00522985"/>
    <w:rsid w:val="00531E4E"/>
    <w:rsid w:val="00537506"/>
    <w:rsid w:val="0053772F"/>
    <w:rsid w:val="00540E3A"/>
    <w:rsid w:val="00543B7C"/>
    <w:rsid w:val="00543F98"/>
    <w:rsid w:val="005447FE"/>
    <w:rsid w:val="00544F7E"/>
    <w:rsid w:val="00545043"/>
    <w:rsid w:val="005451B0"/>
    <w:rsid w:val="00547948"/>
    <w:rsid w:val="00550F87"/>
    <w:rsid w:val="00552C73"/>
    <w:rsid w:val="00553E91"/>
    <w:rsid w:val="0055630F"/>
    <w:rsid w:val="00557326"/>
    <w:rsid w:val="00560A07"/>
    <w:rsid w:val="00563142"/>
    <w:rsid w:val="00563254"/>
    <w:rsid w:val="005637DF"/>
    <w:rsid w:val="00563FC3"/>
    <w:rsid w:val="005647C7"/>
    <w:rsid w:val="005763CB"/>
    <w:rsid w:val="00577567"/>
    <w:rsid w:val="00580981"/>
    <w:rsid w:val="00580D5E"/>
    <w:rsid w:val="0058201B"/>
    <w:rsid w:val="005900D4"/>
    <w:rsid w:val="0059029B"/>
    <w:rsid w:val="00592DDB"/>
    <w:rsid w:val="00596262"/>
    <w:rsid w:val="0059631D"/>
    <w:rsid w:val="005A3E08"/>
    <w:rsid w:val="005A77D0"/>
    <w:rsid w:val="005B64BD"/>
    <w:rsid w:val="005C6D4A"/>
    <w:rsid w:val="005D03F4"/>
    <w:rsid w:val="005D4345"/>
    <w:rsid w:val="005E1CC5"/>
    <w:rsid w:val="005E2935"/>
    <w:rsid w:val="005E636D"/>
    <w:rsid w:val="005E6DB5"/>
    <w:rsid w:val="005F4120"/>
    <w:rsid w:val="00600EE9"/>
    <w:rsid w:val="0060359F"/>
    <w:rsid w:val="00607B04"/>
    <w:rsid w:val="00613AE9"/>
    <w:rsid w:val="00616E73"/>
    <w:rsid w:val="00616FE9"/>
    <w:rsid w:val="00617C29"/>
    <w:rsid w:val="006220FF"/>
    <w:rsid w:val="00623177"/>
    <w:rsid w:val="00632562"/>
    <w:rsid w:val="00633976"/>
    <w:rsid w:val="00633E89"/>
    <w:rsid w:val="0063487E"/>
    <w:rsid w:val="006354D3"/>
    <w:rsid w:val="00636459"/>
    <w:rsid w:val="00641052"/>
    <w:rsid w:val="00645FE8"/>
    <w:rsid w:val="0065019D"/>
    <w:rsid w:val="006515DB"/>
    <w:rsid w:val="00651AB0"/>
    <w:rsid w:val="0065346D"/>
    <w:rsid w:val="00653FDE"/>
    <w:rsid w:val="006552C8"/>
    <w:rsid w:val="0066212D"/>
    <w:rsid w:val="00664032"/>
    <w:rsid w:val="006663CA"/>
    <w:rsid w:val="0066791C"/>
    <w:rsid w:val="00674B93"/>
    <w:rsid w:val="006771E3"/>
    <w:rsid w:val="006772A2"/>
    <w:rsid w:val="00682B76"/>
    <w:rsid w:val="006869B5"/>
    <w:rsid w:val="00687C7C"/>
    <w:rsid w:val="00691FDA"/>
    <w:rsid w:val="00692E3E"/>
    <w:rsid w:val="00694153"/>
    <w:rsid w:val="0069460C"/>
    <w:rsid w:val="006954BC"/>
    <w:rsid w:val="006A0714"/>
    <w:rsid w:val="006A7864"/>
    <w:rsid w:val="006B0612"/>
    <w:rsid w:val="006B2DFE"/>
    <w:rsid w:val="006B50E8"/>
    <w:rsid w:val="006B629F"/>
    <w:rsid w:val="006B7DE7"/>
    <w:rsid w:val="006C13BF"/>
    <w:rsid w:val="006C7D49"/>
    <w:rsid w:val="006D2CFC"/>
    <w:rsid w:val="006D2E25"/>
    <w:rsid w:val="006D2F3E"/>
    <w:rsid w:val="006D3697"/>
    <w:rsid w:val="006D384B"/>
    <w:rsid w:val="006D38B1"/>
    <w:rsid w:val="006D68C8"/>
    <w:rsid w:val="006E0E78"/>
    <w:rsid w:val="006E12A1"/>
    <w:rsid w:val="006E175B"/>
    <w:rsid w:val="006E59A8"/>
    <w:rsid w:val="006F0249"/>
    <w:rsid w:val="006F10EA"/>
    <w:rsid w:val="006F2B77"/>
    <w:rsid w:val="006F324E"/>
    <w:rsid w:val="006F5FE7"/>
    <w:rsid w:val="006F60DA"/>
    <w:rsid w:val="006F6520"/>
    <w:rsid w:val="006F7393"/>
    <w:rsid w:val="00700704"/>
    <w:rsid w:val="00700E85"/>
    <w:rsid w:val="00710B17"/>
    <w:rsid w:val="00710CE3"/>
    <w:rsid w:val="0071171E"/>
    <w:rsid w:val="007121EF"/>
    <w:rsid w:val="0071586C"/>
    <w:rsid w:val="007172D2"/>
    <w:rsid w:val="00720C39"/>
    <w:rsid w:val="007272A7"/>
    <w:rsid w:val="00732CDD"/>
    <w:rsid w:val="00736DBA"/>
    <w:rsid w:val="00740BC6"/>
    <w:rsid w:val="007454F2"/>
    <w:rsid w:val="007516D0"/>
    <w:rsid w:val="00751CE0"/>
    <w:rsid w:val="007535C9"/>
    <w:rsid w:val="00753A3F"/>
    <w:rsid w:val="00754FD3"/>
    <w:rsid w:val="00757A01"/>
    <w:rsid w:val="00766B36"/>
    <w:rsid w:val="00772949"/>
    <w:rsid w:val="00772CFC"/>
    <w:rsid w:val="00773C18"/>
    <w:rsid w:val="00776CD8"/>
    <w:rsid w:val="0078110D"/>
    <w:rsid w:val="00781A81"/>
    <w:rsid w:val="00783095"/>
    <w:rsid w:val="00785AF3"/>
    <w:rsid w:val="0079328F"/>
    <w:rsid w:val="007939B6"/>
    <w:rsid w:val="00794F1B"/>
    <w:rsid w:val="007A32D3"/>
    <w:rsid w:val="007A40D1"/>
    <w:rsid w:val="007A5552"/>
    <w:rsid w:val="007B6775"/>
    <w:rsid w:val="007C06FD"/>
    <w:rsid w:val="007C404E"/>
    <w:rsid w:val="007D2958"/>
    <w:rsid w:val="007D2DA0"/>
    <w:rsid w:val="007D79D2"/>
    <w:rsid w:val="007E7B4E"/>
    <w:rsid w:val="007F02A4"/>
    <w:rsid w:val="007F479E"/>
    <w:rsid w:val="00806E0D"/>
    <w:rsid w:val="00823FCA"/>
    <w:rsid w:val="00824890"/>
    <w:rsid w:val="008251D8"/>
    <w:rsid w:val="00836E65"/>
    <w:rsid w:val="008418FC"/>
    <w:rsid w:val="0084410C"/>
    <w:rsid w:val="00851E2B"/>
    <w:rsid w:val="0085780E"/>
    <w:rsid w:val="008618BE"/>
    <w:rsid w:val="00861DA4"/>
    <w:rsid w:val="00861DF9"/>
    <w:rsid w:val="00862D6B"/>
    <w:rsid w:val="0086399B"/>
    <w:rsid w:val="00863BD5"/>
    <w:rsid w:val="00863CD4"/>
    <w:rsid w:val="00864EB7"/>
    <w:rsid w:val="0086657E"/>
    <w:rsid w:val="00867F55"/>
    <w:rsid w:val="00873D8A"/>
    <w:rsid w:val="00874177"/>
    <w:rsid w:val="00874953"/>
    <w:rsid w:val="00891035"/>
    <w:rsid w:val="008927B5"/>
    <w:rsid w:val="00892EA3"/>
    <w:rsid w:val="00892ED6"/>
    <w:rsid w:val="00894816"/>
    <w:rsid w:val="008A28F8"/>
    <w:rsid w:val="008A63E2"/>
    <w:rsid w:val="008B3879"/>
    <w:rsid w:val="008B445B"/>
    <w:rsid w:val="008B455C"/>
    <w:rsid w:val="008B6587"/>
    <w:rsid w:val="008C17E6"/>
    <w:rsid w:val="008C36F2"/>
    <w:rsid w:val="008D0326"/>
    <w:rsid w:val="008D0D31"/>
    <w:rsid w:val="008D6CA9"/>
    <w:rsid w:val="008D6E2C"/>
    <w:rsid w:val="008D7DC6"/>
    <w:rsid w:val="008E09C6"/>
    <w:rsid w:val="008E0E89"/>
    <w:rsid w:val="008E10FA"/>
    <w:rsid w:val="008E450B"/>
    <w:rsid w:val="008E4FD6"/>
    <w:rsid w:val="008E5C99"/>
    <w:rsid w:val="008F4EF2"/>
    <w:rsid w:val="008F7C99"/>
    <w:rsid w:val="009001C9"/>
    <w:rsid w:val="00906FD4"/>
    <w:rsid w:val="009101FF"/>
    <w:rsid w:val="00910A53"/>
    <w:rsid w:val="00917283"/>
    <w:rsid w:val="0092068A"/>
    <w:rsid w:val="00921285"/>
    <w:rsid w:val="009252B2"/>
    <w:rsid w:val="009310EE"/>
    <w:rsid w:val="00933485"/>
    <w:rsid w:val="0094142D"/>
    <w:rsid w:val="00943CC8"/>
    <w:rsid w:val="00943E53"/>
    <w:rsid w:val="009445CA"/>
    <w:rsid w:val="00960580"/>
    <w:rsid w:val="00962EE7"/>
    <w:rsid w:val="00966C36"/>
    <w:rsid w:val="00970027"/>
    <w:rsid w:val="009760CB"/>
    <w:rsid w:val="009901A1"/>
    <w:rsid w:val="009A5AF8"/>
    <w:rsid w:val="009B446B"/>
    <w:rsid w:val="009C05E9"/>
    <w:rsid w:val="009C27D2"/>
    <w:rsid w:val="009C3132"/>
    <w:rsid w:val="009C4526"/>
    <w:rsid w:val="009C5EB5"/>
    <w:rsid w:val="009D227B"/>
    <w:rsid w:val="009D2B67"/>
    <w:rsid w:val="009D47A5"/>
    <w:rsid w:val="009D69B6"/>
    <w:rsid w:val="009E6876"/>
    <w:rsid w:val="009F38D7"/>
    <w:rsid w:val="009F6130"/>
    <w:rsid w:val="00A00793"/>
    <w:rsid w:val="00A04076"/>
    <w:rsid w:val="00A10010"/>
    <w:rsid w:val="00A10E1F"/>
    <w:rsid w:val="00A128E0"/>
    <w:rsid w:val="00A15866"/>
    <w:rsid w:val="00A16D50"/>
    <w:rsid w:val="00A23CCA"/>
    <w:rsid w:val="00A248FB"/>
    <w:rsid w:val="00A2609D"/>
    <w:rsid w:val="00A2772F"/>
    <w:rsid w:val="00A334E4"/>
    <w:rsid w:val="00A33DF5"/>
    <w:rsid w:val="00A40462"/>
    <w:rsid w:val="00A4355E"/>
    <w:rsid w:val="00A469B4"/>
    <w:rsid w:val="00A46AA1"/>
    <w:rsid w:val="00A511AD"/>
    <w:rsid w:val="00A52673"/>
    <w:rsid w:val="00A55F7C"/>
    <w:rsid w:val="00A64AC5"/>
    <w:rsid w:val="00A66298"/>
    <w:rsid w:val="00A70C75"/>
    <w:rsid w:val="00A733A2"/>
    <w:rsid w:val="00A801E7"/>
    <w:rsid w:val="00A806BC"/>
    <w:rsid w:val="00A80E4E"/>
    <w:rsid w:val="00A831C5"/>
    <w:rsid w:val="00A848BA"/>
    <w:rsid w:val="00A86E3D"/>
    <w:rsid w:val="00A90619"/>
    <w:rsid w:val="00A914E9"/>
    <w:rsid w:val="00A93EC0"/>
    <w:rsid w:val="00A94A48"/>
    <w:rsid w:val="00AA70E2"/>
    <w:rsid w:val="00AB30CF"/>
    <w:rsid w:val="00AB40A9"/>
    <w:rsid w:val="00AC1113"/>
    <w:rsid w:val="00AC1F4C"/>
    <w:rsid w:val="00AC3C83"/>
    <w:rsid w:val="00AC6067"/>
    <w:rsid w:val="00AC6745"/>
    <w:rsid w:val="00AC6E5D"/>
    <w:rsid w:val="00AE20FB"/>
    <w:rsid w:val="00AE290D"/>
    <w:rsid w:val="00AE3923"/>
    <w:rsid w:val="00AF4238"/>
    <w:rsid w:val="00AF5FC0"/>
    <w:rsid w:val="00AF63EA"/>
    <w:rsid w:val="00B010E8"/>
    <w:rsid w:val="00B16875"/>
    <w:rsid w:val="00B219F2"/>
    <w:rsid w:val="00B23445"/>
    <w:rsid w:val="00B33E15"/>
    <w:rsid w:val="00B406E2"/>
    <w:rsid w:val="00B41507"/>
    <w:rsid w:val="00B428F4"/>
    <w:rsid w:val="00B46636"/>
    <w:rsid w:val="00B50814"/>
    <w:rsid w:val="00B50BB3"/>
    <w:rsid w:val="00B5162C"/>
    <w:rsid w:val="00B524A4"/>
    <w:rsid w:val="00B55DDC"/>
    <w:rsid w:val="00B66DDD"/>
    <w:rsid w:val="00B67B97"/>
    <w:rsid w:val="00B7377B"/>
    <w:rsid w:val="00B77E42"/>
    <w:rsid w:val="00B81FED"/>
    <w:rsid w:val="00B845F6"/>
    <w:rsid w:val="00B91AD9"/>
    <w:rsid w:val="00B93A4F"/>
    <w:rsid w:val="00B946B2"/>
    <w:rsid w:val="00B94FFF"/>
    <w:rsid w:val="00BA3DE1"/>
    <w:rsid w:val="00BA45E7"/>
    <w:rsid w:val="00BA4C2A"/>
    <w:rsid w:val="00BA5695"/>
    <w:rsid w:val="00BB036D"/>
    <w:rsid w:val="00BB1AB4"/>
    <w:rsid w:val="00BB1FC4"/>
    <w:rsid w:val="00BB4907"/>
    <w:rsid w:val="00BB6201"/>
    <w:rsid w:val="00BB70B3"/>
    <w:rsid w:val="00BB7D46"/>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C01EA5"/>
    <w:rsid w:val="00C03561"/>
    <w:rsid w:val="00C0376D"/>
    <w:rsid w:val="00C03919"/>
    <w:rsid w:val="00C04B60"/>
    <w:rsid w:val="00C0572F"/>
    <w:rsid w:val="00C12C25"/>
    <w:rsid w:val="00C13DF0"/>
    <w:rsid w:val="00C14193"/>
    <w:rsid w:val="00C14FBB"/>
    <w:rsid w:val="00C17738"/>
    <w:rsid w:val="00C17AD8"/>
    <w:rsid w:val="00C2330B"/>
    <w:rsid w:val="00C23A79"/>
    <w:rsid w:val="00C23DE7"/>
    <w:rsid w:val="00C26323"/>
    <w:rsid w:val="00C3358D"/>
    <w:rsid w:val="00C378D0"/>
    <w:rsid w:val="00C37FDB"/>
    <w:rsid w:val="00C40364"/>
    <w:rsid w:val="00C44AC9"/>
    <w:rsid w:val="00C45F56"/>
    <w:rsid w:val="00C61317"/>
    <w:rsid w:val="00C63894"/>
    <w:rsid w:val="00C655E8"/>
    <w:rsid w:val="00C7117A"/>
    <w:rsid w:val="00C74183"/>
    <w:rsid w:val="00C800CB"/>
    <w:rsid w:val="00C803A5"/>
    <w:rsid w:val="00C82C14"/>
    <w:rsid w:val="00C85078"/>
    <w:rsid w:val="00C862F8"/>
    <w:rsid w:val="00C908DB"/>
    <w:rsid w:val="00C931B6"/>
    <w:rsid w:val="00C93B23"/>
    <w:rsid w:val="00CA0FA9"/>
    <w:rsid w:val="00CA262F"/>
    <w:rsid w:val="00CA57BA"/>
    <w:rsid w:val="00CB54CC"/>
    <w:rsid w:val="00CB7EF0"/>
    <w:rsid w:val="00CC069F"/>
    <w:rsid w:val="00CD4ED5"/>
    <w:rsid w:val="00CD53CA"/>
    <w:rsid w:val="00CE02D2"/>
    <w:rsid w:val="00CE1628"/>
    <w:rsid w:val="00CE3AFA"/>
    <w:rsid w:val="00CF2BAB"/>
    <w:rsid w:val="00CF54D1"/>
    <w:rsid w:val="00D010F1"/>
    <w:rsid w:val="00D01109"/>
    <w:rsid w:val="00D02CF4"/>
    <w:rsid w:val="00D06971"/>
    <w:rsid w:val="00D06B34"/>
    <w:rsid w:val="00D07E03"/>
    <w:rsid w:val="00D13BDB"/>
    <w:rsid w:val="00D2288B"/>
    <w:rsid w:val="00D27A8A"/>
    <w:rsid w:val="00D30F60"/>
    <w:rsid w:val="00D354FD"/>
    <w:rsid w:val="00D3570E"/>
    <w:rsid w:val="00D41A38"/>
    <w:rsid w:val="00D422B1"/>
    <w:rsid w:val="00D45250"/>
    <w:rsid w:val="00D45488"/>
    <w:rsid w:val="00D467C6"/>
    <w:rsid w:val="00D57B37"/>
    <w:rsid w:val="00D654B3"/>
    <w:rsid w:val="00D65923"/>
    <w:rsid w:val="00D65D16"/>
    <w:rsid w:val="00D66AFA"/>
    <w:rsid w:val="00D761B6"/>
    <w:rsid w:val="00D76D1C"/>
    <w:rsid w:val="00D76DB8"/>
    <w:rsid w:val="00D838A7"/>
    <w:rsid w:val="00D85A3F"/>
    <w:rsid w:val="00D868FB"/>
    <w:rsid w:val="00D86C43"/>
    <w:rsid w:val="00D86FEA"/>
    <w:rsid w:val="00D94038"/>
    <w:rsid w:val="00D97642"/>
    <w:rsid w:val="00DA3335"/>
    <w:rsid w:val="00DA3D69"/>
    <w:rsid w:val="00DA430D"/>
    <w:rsid w:val="00DA5163"/>
    <w:rsid w:val="00DA66D7"/>
    <w:rsid w:val="00DA72B7"/>
    <w:rsid w:val="00DB1053"/>
    <w:rsid w:val="00DB192A"/>
    <w:rsid w:val="00DB40BF"/>
    <w:rsid w:val="00DB7463"/>
    <w:rsid w:val="00DC297D"/>
    <w:rsid w:val="00DC3243"/>
    <w:rsid w:val="00DC6EA0"/>
    <w:rsid w:val="00DD020B"/>
    <w:rsid w:val="00DD2547"/>
    <w:rsid w:val="00DD6D12"/>
    <w:rsid w:val="00DD7859"/>
    <w:rsid w:val="00DE608E"/>
    <w:rsid w:val="00DF08BA"/>
    <w:rsid w:val="00DF0974"/>
    <w:rsid w:val="00DF2688"/>
    <w:rsid w:val="00DF26E1"/>
    <w:rsid w:val="00DF3972"/>
    <w:rsid w:val="00DF39F5"/>
    <w:rsid w:val="00DF4B76"/>
    <w:rsid w:val="00E05A4B"/>
    <w:rsid w:val="00E05C97"/>
    <w:rsid w:val="00E109B6"/>
    <w:rsid w:val="00E11F39"/>
    <w:rsid w:val="00E14394"/>
    <w:rsid w:val="00E14693"/>
    <w:rsid w:val="00E14AE5"/>
    <w:rsid w:val="00E16E1F"/>
    <w:rsid w:val="00E16E9D"/>
    <w:rsid w:val="00E305D1"/>
    <w:rsid w:val="00E31B73"/>
    <w:rsid w:val="00E34A6F"/>
    <w:rsid w:val="00E36F96"/>
    <w:rsid w:val="00E41DD8"/>
    <w:rsid w:val="00E47B98"/>
    <w:rsid w:val="00E52B61"/>
    <w:rsid w:val="00E52BA8"/>
    <w:rsid w:val="00E56F54"/>
    <w:rsid w:val="00E57675"/>
    <w:rsid w:val="00E645B5"/>
    <w:rsid w:val="00E73280"/>
    <w:rsid w:val="00E75181"/>
    <w:rsid w:val="00E7573A"/>
    <w:rsid w:val="00E7797A"/>
    <w:rsid w:val="00E8182E"/>
    <w:rsid w:val="00E86BB6"/>
    <w:rsid w:val="00E87654"/>
    <w:rsid w:val="00E9039A"/>
    <w:rsid w:val="00E90BC9"/>
    <w:rsid w:val="00E95158"/>
    <w:rsid w:val="00E96CE7"/>
    <w:rsid w:val="00EA075C"/>
    <w:rsid w:val="00EA12C1"/>
    <w:rsid w:val="00EA1752"/>
    <w:rsid w:val="00EA1EDF"/>
    <w:rsid w:val="00EA5CC6"/>
    <w:rsid w:val="00EB08F3"/>
    <w:rsid w:val="00EB2F3A"/>
    <w:rsid w:val="00EB6518"/>
    <w:rsid w:val="00EC0BCA"/>
    <w:rsid w:val="00EC1213"/>
    <w:rsid w:val="00EC1C81"/>
    <w:rsid w:val="00EC6DA3"/>
    <w:rsid w:val="00ED0A26"/>
    <w:rsid w:val="00ED13BB"/>
    <w:rsid w:val="00ED6AF6"/>
    <w:rsid w:val="00ED7A75"/>
    <w:rsid w:val="00EE2926"/>
    <w:rsid w:val="00EF0B42"/>
    <w:rsid w:val="00EF0F65"/>
    <w:rsid w:val="00EF2B87"/>
    <w:rsid w:val="00EF49DF"/>
    <w:rsid w:val="00EF5386"/>
    <w:rsid w:val="00EF6B54"/>
    <w:rsid w:val="00EF6D7D"/>
    <w:rsid w:val="00EF7458"/>
    <w:rsid w:val="00EF7BB1"/>
    <w:rsid w:val="00F06B97"/>
    <w:rsid w:val="00F12CBF"/>
    <w:rsid w:val="00F1611B"/>
    <w:rsid w:val="00F17004"/>
    <w:rsid w:val="00F17080"/>
    <w:rsid w:val="00F205AD"/>
    <w:rsid w:val="00F21839"/>
    <w:rsid w:val="00F2639D"/>
    <w:rsid w:val="00F2792A"/>
    <w:rsid w:val="00F27D7F"/>
    <w:rsid w:val="00F27E5E"/>
    <w:rsid w:val="00F30562"/>
    <w:rsid w:val="00F31764"/>
    <w:rsid w:val="00F31BDE"/>
    <w:rsid w:val="00F3411A"/>
    <w:rsid w:val="00F35726"/>
    <w:rsid w:val="00F35B71"/>
    <w:rsid w:val="00F42A12"/>
    <w:rsid w:val="00F477EC"/>
    <w:rsid w:val="00F556B2"/>
    <w:rsid w:val="00F606DA"/>
    <w:rsid w:val="00F61D4D"/>
    <w:rsid w:val="00F650AC"/>
    <w:rsid w:val="00F6612B"/>
    <w:rsid w:val="00F67901"/>
    <w:rsid w:val="00F73AC5"/>
    <w:rsid w:val="00F7580A"/>
    <w:rsid w:val="00F768B3"/>
    <w:rsid w:val="00F81937"/>
    <w:rsid w:val="00F83DE6"/>
    <w:rsid w:val="00F8480C"/>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C0796"/>
    <w:rsid w:val="00FC23D6"/>
    <w:rsid w:val="00FC4468"/>
    <w:rsid w:val="00FD73AA"/>
    <w:rsid w:val="00FE3E04"/>
    <w:rsid w:val="00FE558E"/>
    <w:rsid w:val="00FF021A"/>
    <w:rsid w:val="00FF0E78"/>
    <w:rsid w:val="00FF31A7"/>
    <w:rsid w:val="00FF467D"/>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BC72-EFCC-41E4-B18F-942E5D1B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4</cp:revision>
  <cp:lastPrinted>2010-03-29T13:44:00Z</cp:lastPrinted>
  <dcterms:created xsi:type="dcterms:W3CDTF">2010-03-29T13:40:00Z</dcterms:created>
  <dcterms:modified xsi:type="dcterms:W3CDTF">2010-03-29T13:44:00Z</dcterms:modified>
</cp:coreProperties>
</file>