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AB" w:rsidRPr="00AC0CAA" w:rsidRDefault="002B30AB" w:rsidP="00EA5858">
      <w:pPr>
        <w:jc w:val="center"/>
        <w:rPr>
          <w:rFonts w:ascii="Times New Roman" w:hAnsi="Times New Roman" w:cs="Times New Roman"/>
          <w:b/>
        </w:rPr>
      </w:pPr>
      <w:r w:rsidRPr="00AC0CAA">
        <w:rPr>
          <w:rFonts w:ascii="Times New Roman" w:hAnsi="Times New Roman" w:cs="Times New Roman"/>
          <w:b/>
        </w:rPr>
        <w:t>BEFORE THE</w:t>
      </w:r>
    </w:p>
    <w:p w:rsidR="002B30AB" w:rsidRPr="00AC0CAA" w:rsidRDefault="002B30AB" w:rsidP="00EA585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B30AB" w:rsidRDefault="002B30AB" w:rsidP="00EA5858">
      <w:pPr>
        <w:tabs>
          <w:tab w:val="left" w:pos="-720"/>
        </w:tabs>
        <w:suppressAutoHyphens/>
        <w:ind w:firstLine="1440"/>
        <w:rPr>
          <w:rFonts w:ascii="Times New Roman" w:hAnsi="Times New Roman" w:cs="Times New Roman"/>
          <w:spacing w:val="-3"/>
        </w:rPr>
      </w:pPr>
    </w:p>
    <w:p w:rsidR="00EA5858" w:rsidRDefault="00EA5858" w:rsidP="00EA5858">
      <w:pPr>
        <w:tabs>
          <w:tab w:val="left" w:pos="-720"/>
        </w:tabs>
        <w:suppressAutoHyphens/>
        <w:ind w:firstLine="1440"/>
        <w:rPr>
          <w:rFonts w:ascii="Times New Roman" w:hAnsi="Times New Roman" w:cs="Times New Roman"/>
          <w:spacing w:val="-3"/>
        </w:rPr>
      </w:pPr>
    </w:p>
    <w:p w:rsidR="002B30AB" w:rsidRDefault="002B30AB" w:rsidP="00EA5858">
      <w:pPr>
        <w:tabs>
          <w:tab w:val="left" w:pos="-720"/>
        </w:tabs>
        <w:suppressAutoHyphens/>
        <w:ind w:firstLine="1440"/>
        <w:rPr>
          <w:rFonts w:ascii="Times New Roman" w:hAnsi="Times New Roman" w:cs="Times New Roman"/>
          <w:spacing w:val="-3"/>
        </w:rPr>
      </w:pPr>
    </w:p>
    <w:p w:rsidR="002B30AB" w:rsidRPr="00A5006D" w:rsidRDefault="002B30AB" w:rsidP="002B30AB">
      <w:pPr>
        <w:rPr>
          <w:rFonts w:ascii="Times New Roman" w:hAnsi="Times New Roman" w:cs="Times New Roman"/>
        </w:rPr>
      </w:pPr>
      <w:r>
        <w:rPr>
          <w:rFonts w:ascii="Times New Roman" w:hAnsi="Times New Roman" w:cs="Times New Roman"/>
          <w:spacing w:val="-3"/>
        </w:rPr>
        <w:t>Allan Curl</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5006D">
        <w:rPr>
          <w:rFonts w:ascii="Times New Roman" w:hAnsi="Times New Roman" w:cs="Times New Roman"/>
          <w:spacing w:val="-3"/>
        </w:rPr>
        <w:tab/>
      </w:r>
      <w:r w:rsidRPr="00A5006D">
        <w:rPr>
          <w:rFonts w:ascii="Times New Roman" w:hAnsi="Times New Roman" w:cs="Times New Roman"/>
          <w:spacing w:val="-3"/>
        </w:rPr>
        <w:tab/>
        <w:t>:</w:t>
      </w:r>
    </w:p>
    <w:p w:rsidR="002B30AB" w:rsidRPr="00A5006D" w:rsidRDefault="002B30AB" w:rsidP="002B30AB">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B30AB" w:rsidRPr="00A5006D" w:rsidRDefault="002B30AB" w:rsidP="002B30AB">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C-2009-2123088</w:t>
      </w:r>
    </w:p>
    <w:p w:rsidR="002B30AB" w:rsidRPr="00A5006D" w:rsidRDefault="002B30AB" w:rsidP="002B30AB">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B30AB" w:rsidRPr="00A5006D" w:rsidRDefault="002B30AB" w:rsidP="002B30AB">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ab/>
        <w:t>:</w:t>
      </w:r>
    </w:p>
    <w:p w:rsidR="002B30AB" w:rsidRDefault="002B30AB" w:rsidP="002B30AB"/>
    <w:p w:rsidR="002B30AB" w:rsidRDefault="002B30AB" w:rsidP="002B30AB"/>
    <w:p w:rsidR="002B30AB" w:rsidRDefault="002B30AB" w:rsidP="002B30AB"/>
    <w:p w:rsidR="002B30AB" w:rsidRDefault="002B30AB" w:rsidP="002B30AB">
      <w:pPr>
        <w:jc w:val="center"/>
        <w:rPr>
          <w:b/>
          <w:u w:val="single"/>
        </w:rPr>
      </w:pPr>
      <w:r w:rsidRPr="00AE6DB2">
        <w:rPr>
          <w:b/>
          <w:u w:val="single"/>
        </w:rPr>
        <w:t>INITIAL DECISION</w:t>
      </w:r>
    </w:p>
    <w:p w:rsidR="001277BA" w:rsidRPr="00AE6DB2" w:rsidRDefault="001277BA" w:rsidP="002B30AB">
      <w:pPr>
        <w:jc w:val="center"/>
        <w:rPr>
          <w:b/>
          <w:u w:val="single"/>
        </w:rPr>
      </w:pPr>
    </w:p>
    <w:p w:rsidR="002B30AB" w:rsidRPr="00AE6DB2" w:rsidRDefault="002B30AB" w:rsidP="002B30AB">
      <w:pPr>
        <w:jc w:val="center"/>
        <w:rPr>
          <w:b/>
          <w:u w:val="single"/>
        </w:rPr>
      </w:pPr>
    </w:p>
    <w:p w:rsidR="002B30AB" w:rsidRPr="00AE6DB2" w:rsidRDefault="002B30AB" w:rsidP="002B30AB">
      <w:pPr>
        <w:jc w:val="center"/>
      </w:pPr>
      <w:r w:rsidRPr="00AE6DB2">
        <w:t>Before</w:t>
      </w:r>
    </w:p>
    <w:p w:rsidR="002B30AB" w:rsidRPr="00AE6DB2" w:rsidRDefault="002B30AB" w:rsidP="002B30AB">
      <w:pPr>
        <w:jc w:val="center"/>
      </w:pPr>
      <w:r w:rsidRPr="00AE6DB2">
        <w:t>Eranda Vero</w:t>
      </w:r>
    </w:p>
    <w:p w:rsidR="002B30AB" w:rsidRPr="00AE6DB2" w:rsidRDefault="002B30AB" w:rsidP="002B30AB">
      <w:pPr>
        <w:spacing w:line="360" w:lineRule="auto"/>
        <w:jc w:val="center"/>
      </w:pPr>
      <w:r w:rsidRPr="00AE6DB2">
        <w:t>Special Agent</w:t>
      </w:r>
    </w:p>
    <w:p w:rsidR="002B30AB" w:rsidRDefault="002B30AB" w:rsidP="002B30AB">
      <w:pPr>
        <w:jc w:val="center"/>
        <w:rPr>
          <w:u w:val="single"/>
        </w:rPr>
      </w:pPr>
    </w:p>
    <w:p w:rsidR="001277BA" w:rsidRPr="00AE6DB2" w:rsidRDefault="001277BA" w:rsidP="002B30AB">
      <w:pPr>
        <w:jc w:val="center"/>
        <w:rPr>
          <w:u w:val="single"/>
        </w:rPr>
      </w:pPr>
    </w:p>
    <w:p w:rsidR="002B30AB" w:rsidRPr="00AE6DB2" w:rsidRDefault="002B30AB" w:rsidP="002B30AB">
      <w:pPr>
        <w:jc w:val="center"/>
        <w:rPr>
          <w:u w:val="single"/>
        </w:rPr>
      </w:pPr>
      <w:r w:rsidRPr="00AE6DB2">
        <w:rPr>
          <w:u w:val="single"/>
        </w:rPr>
        <w:t>HISTORY OF THE PROCEEDING</w:t>
      </w:r>
    </w:p>
    <w:p w:rsidR="002B30AB" w:rsidRDefault="002B30AB" w:rsidP="002B30AB"/>
    <w:p w:rsidR="002B30AB" w:rsidRDefault="002B30AB" w:rsidP="002B30AB">
      <w:pPr>
        <w:rPr>
          <w:rFonts w:ascii="Times New Roman" w:hAnsi="Times New Roman" w:cs="Times New Roman"/>
          <w:u w:val="single"/>
        </w:rPr>
      </w:pPr>
    </w:p>
    <w:p w:rsidR="002B30AB" w:rsidRDefault="002B30AB" w:rsidP="002B30AB">
      <w:pPr>
        <w:spacing w:line="360" w:lineRule="auto"/>
        <w:ind w:firstLine="720"/>
      </w:pPr>
      <w:r>
        <w:tab/>
        <w:t xml:space="preserve">On July 30, 2009, Allan Curl (Mr. Curl or Complainant) filed a formal Complaint (Complaint) against PECO Energy Company (PECO or Respondent) with the Pennsylvania Public Utility Commission (Commission) alleging his inability to pay his electric bills and requesting an affordable payment arrangement.  In addition, Mr. Curl averred that he received notice that his electric service is being terminated.  </w:t>
      </w:r>
    </w:p>
    <w:p w:rsidR="002B30AB" w:rsidRDefault="002B30AB" w:rsidP="002B30AB">
      <w:pPr>
        <w:spacing w:line="360" w:lineRule="auto"/>
      </w:pPr>
    </w:p>
    <w:p w:rsidR="002B30AB" w:rsidRDefault="002B30AB" w:rsidP="002B30AB">
      <w:pPr>
        <w:spacing w:line="360" w:lineRule="auto"/>
        <w:ind w:firstLine="1440"/>
      </w:pPr>
      <w:r>
        <w:t>On August 25, 2009, Respondent filed an Answer</w:t>
      </w:r>
      <w:r w:rsidR="00095C57">
        <w:t xml:space="preserve"> to</w:t>
      </w:r>
      <w:r>
        <w:t xml:space="preserve"> the material allegations of the Complaint.  </w:t>
      </w:r>
    </w:p>
    <w:p w:rsidR="002B30AB" w:rsidRDefault="002B30AB" w:rsidP="002B30AB">
      <w:pPr>
        <w:spacing w:line="360" w:lineRule="auto"/>
      </w:pPr>
    </w:p>
    <w:p w:rsidR="002B30AB" w:rsidRDefault="002B30AB" w:rsidP="002B30AB">
      <w:pPr>
        <w:spacing w:line="360" w:lineRule="auto"/>
      </w:pPr>
      <w:r>
        <w:tab/>
      </w:r>
      <w:r>
        <w:tab/>
        <w:t>A Telephone Hearing Notice dated November 4, 2009</w:t>
      </w:r>
      <w:r w:rsidR="00E9645F">
        <w:t>, notified the parties that an initial telephone h</w:t>
      </w:r>
      <w:r>
        <w:t>earing was scheduled for Monday, January 11, 2010, at 2:00 p.m.  This case was assigned to me pursuant to 52 Pa. Code §56.174.</w:t>
      </w:r>
    </w:p>
    <w:p w:rsidR="002B30AB" w:rsidRDefault="002B30AB" w:rsidP="002B30AB">
      <w:pPr>
        <w:spacing w:line="360" w:lineRule="auto"/>
      </w:pPr>
    </w:p>
    <w:p w:rsidR="002B30AB" w:rsidRDefault="002B30AB" w:rsidP="002B30AB">
      <w:pPr>
        <w:spacing w:line="360" w:lineRule="auto"/>
        <w:ind w:firstLine="1440"/>
      </w:pPr>
      <w:r>
        <w:lastRenderedPageBreak/>
        <w:t>On November 16, 2009, I issued a Prehearing Order directing the parties,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telephone hearing.</w:t>
      </w:r>
    </w:p>
    <w:p w:rsidR="002B30AB" w:rsidRDefault="002B30AB" w:rsidP="002B30AB">
      <w:pPr>
        <w:spacing w:line="360" w:lineRule="auto"/>
        <w:ind w:firstLine="1440"/>
      </w:pPr>
    </w:p>
    <w:p w:rsidR="002B30AB" w:rsidRDefault="002B30AB" w:rsidP="002B30AB">
      <w:pPr>
        <w:spacing w:line="360" w:lineRule="auto"/>
        <w:ind w:firstLine="1440"/>
      </w:pPr>
      <w:r>
        <w:t>The initial telephone hearing convened as scheduled on January 11, 2010.  I attempted to contact Complainant at his home telephone number (610) 457-XXXX listed in his Complaint.</w:t>
      </w:r>
      <w:r w:rsidR="00E9645F">
        <w:t xml:space="preserve">  I received a voice message from</w:t>
      </w:r>
      <w:r>
        <w:t xml:space="preserve"> the telephone company stating that “the subscriber you have called is not able to receive calls at this time.” </w:t>
      </w:r>
      <w:r w:rsidR="00E9645F">
        <w:t xml:space="preserve"> </w:t>
      </w:r>
      <w:r>
        <w:t xml:space="preserve">Counsel for PECO provided me with a different telephone number that the Company had on file for Mr. Curl, (610) 565-XXXX. </w:t>
      </w:r>
      <w:r w:rsidR="00C964C1">
        <w:t xml:space="preserve"> </w:t>
      </w:r>
      <w:r>
        <w:t>When I dialed that number an unidentified woman answered the telephone.  I explained to her who I was and the reason for my call.  She informed me that Mr. Curl was at work and would not participate at the hearing.</w:t>
      </w:r>
      <w:r w:rsidRPr="0097749F">
        <w:t xml:space="preserve"> </w:t>
      </w:r>
      <w:r w:rsidR="00E9645F">
        <w:t xml:space="preserve"> </w:t>
      </w:r>
      <w:r>
        <w:t>After that statement, she hung up the telephone.  I advised Respondent’s attorney that I was unable to contact the Complainant, and the hearing was held in his absence.  No witnesses were presented and no exhibits were admitted into the record.  Respondent’s attorney moved for dismissal of this case for failure to prosecute.</w:t>
      </w:r>
    </w:p>
    <w:p w:rsidR="002B30AB" w:rsidRDefault="002B30AB" w:rsidP="002B30AB">
      <w:pPr>
        <w:spacing w:line="360" w:lineRule="auto"/>
      </w:pPr>
    </w:p>
    <w:p w:rsidR="002B30AB" w:rsidRDefault="002B30AB" w:rsidP="002B30AB">
      <w:pPr>
        <w:spacing w:line="360" w:lineRule="auto"/>
        <w:ind w:firstLine="1440"/>
      </w:pPr>
      <w:r>
        <w:t>Later</w:t>
      </w:r>
      <w:r w:rsidRPr="0012451D">
        <w:t xml:space="preserve"> </w:t>
      </w:r>
      <w:r>
        <w:t>in the afternoon of January 11, 2010, Complainant’s spouse, Mrs. Curl, contacted the Office of Administrative Law Judge in Har</w:t>
      </w:r>
      <w:r w:rsidR="00095C57">
        <w:t>risburg, PA and left a message o</w:t>
      </w:r>
      <w:r>
        <w:t>n the office line.  She called again on January 12</w:t>
      </w:r>
      <w:r w:rsidR="00E9645F" w:rsidRPr="00E9645F">
        <w:rPr>
          <w:vertAlign w:val="superscript"/>
        </w:rPr>
        <w:t>th</w:t>
      </w:r>
      <w:r>
        <w:t xml:space="preserve"> and asked me why nobody had contacted her regarding the hearing scheduled for the 11</w:t>
      </w:r>
      <w:r w:rsidRPr="009307C0">
        <w:rPr>
          <w:vertAlign w:val="superscript"/>
        </w:rPr>
        <w:t>th</w:t>
      </w:r>
      <w:r>
        <w:t xml:space="preserve">.  Mrs. Curl insisted that she had been at home waiting and ready to prosecute the Complaint against PECO.  After I informed her of what had transpired the previous day, she concluded that she might </w:t>
      </w:r>
      <w:r w:rsidR="00C964C1">
        <w:t xml:space="preserve">not have </w:t>
      </w:r>
      <w:r>
        <w:t xml:space="preserve">heard the telephone ring and that her granddaughter must have answered the telephone unaware of the hearing scheduled for that day.  Mrs. Curl stated that she and her husband were experiencing financial </w:t>
      </w:r>
      <w:r>
        <w:lastRenderedPageBreak/>
        <w:t xml:space="preserve">difficulties and could benefit from a payment arrangement.  She requested that a new hearing be scheduled in this matter.  I informed her that I would take her request under advisement. </w:t>
      </w:r>
    </w:p>
    <w:p w:rsidR="002B30AB" w:rsidRDefault="002B30AB" w:rsidP="002B30AB">
      <w:pPr>
        <w:spacing w:line="360" w:lineRule="auto"/>
        <w:ind w:firstLine="1440"/>
      </w:pPr>
    </w:p>
    <w:p w:rsidR="002B30AB" w:rsidRDefault="002B30AB" w:rsidP="002B30AB">
      <w:pPr>
        <w:spacing w:line="360" w:lineRule="auto"/>
        <w:ind w:firstLine="1440"/>
      </w:pPr>
      <w:r>
        <w:t>I called Respondent’s counsel in this matter, Ken Massey, Esq., and informed him of Mrs. Curl’s request for continuance.  Mr. Massey objected to the request arguing that Complainant had failed to show good cause for failing to appear at the scheduled hearing.  He stated that Respondent has already expended valuable time and resources in preparation of the January 11</w:t>
      </w:r>
      <w:r w:rsidRPr="007874FB">
        <w:rPr>
          <w:vertAlign w:val="superscript"/>
        </w:rPr>
        <w:t>th</w:t>
      </w:r>
      <w:r>
        <w:t xml:space="preserve"> hearing and that granting the continuance will be unduly burdensome and prejudicial to the Respondent.  I informed Mr. Massey that I would take the Company’s objection under advisement.</w:t>
      </w:r>
    </w:p>
    <w:p w:rsidR="002B30AB" w:rsidRDefault="002B30AB" w:rsidP="002B30AB">
      <w:pPr>
        <w:spacing w:line="360" w:lineRule="auto"/>
        <w:ind w:firstLine="1440"/>
      </w:pPr>
    </w:p>
    <w:p w:rsidR="002B30AB" w:rsidRDefault="002B30AB" w:rsidP="002B30AB">
      <w:pPr>
        <w:spacing w:line="360" w:lineRule="auto"/>
        <w:ind w:firstLine="1440"/>
      </w:pPr>
      <w:r>
        <w:t xml:space="preserve">On February 5, 2010, I received a written Request for Continuance from Mr. and Mrs. Curl. </w:t>
      </w:r>
      <w:r w:rsidR="00E9645F">
        <w:t xml:space="preserve"> </w:t>
      </w:r>
      <w:r>
        <w:t xml:space="preserve">The document contains </w:t>
      </w:r>
      <w:r w:rsidR="00681273">
        <w:t xml:space="preserve">the </w:t>
      </w:r>
      <w:r>
        <w:t xml:space="preserve">same averments that Mrs. Curl stated to me during our conversation of January 12, 2010.  </w:t>
      </w:r>
    </w:p>
    <w:p w:rsidR="002B30AB" w:rsidRDefault="002B30AB" w:rsidP="002B30AB">
      <w:pPr>
        <w:spacing w:line="360" w:lineRule="auto"/>
        <w:ind w:firstLine="1440"/>
      </w:pPr>
    </w:p>
    <w:p w:rsidR="002B30AB" w:rsidRDefault="002B30AB" w:rsidP="002B30AB">
      <w:pPr>
        <w:spacing w:line="360" w:lineRule="auto"/>
        <w:ind w:firstLine="1440"/>
      </w:pPr>
      <w:r>
        <w:t>On February 12, 2010</w:t>
      </w:r>
      <w:r w:rsidR="0056622B">
        <w:t xml:space="preserve">, I issued an </w:t>
      </w:r>
      <w:r w:rsidR="00226744">
        <w:t xml:space="preserve">Order </w:t>
      </w:r>
      <w:r w:rsidR="00274292">
        <w:t xml:space="preserve">on </w:t>
      </w:r>
      <w:r w:rsidR="00C70C43">
        <w:t>Complainant’s Request for Continuance of the H</w:t>
      </w:r>
      <w:r w:rsidR="00226744">
        <w:t>eari</w:t>
      </w:r>
      <w:r w:rsidR="00681273">
        <w:t>ng.  In the Order, I specifically explained to the parties that o</w:t>
      </w:r>
      <w:r w:rsidR="00681273" w:rsidRPr="006B18A0">
        <w:t xml:space="preserve">nce notice of a hearing and the opportunity to be heard has been provided, it is the responsibility of the parties to </w:t>
      </w:r>
      <w:r w:rsidR="00681273">
        <w:t xml:space="preserve">take the necessary steps to </w:t>
      </w:r>
      <w:r w:rsidR="00681273" w:rsidRPr="006B18A0">
        <w:t>appear and participate in the hearing</w:t>
      </w:r>
      <w:r w:rsidR="00681273">
        <w:t xml:space="preserve">.  Furthermore, I stated that in accordance with the provision of </w:t>
      </w:r>
      <w:r w:rsidR="00274292">
        <w:t>Section 1.15(b) of the Commission’s Rules of Practice and Procedure any requests for continuance of a hearing are to be considered “only for good cause shown.”  52 Pa. Code § 1.15(b).  Despite my reservations regarding Complainant’s failure to appear at the January 11, 2010 hearing, I gave the Complainant the benefit of the doubt</w:t>
      </w:r>
      <w:r w:rsidR="00274292" w:rsidRPr="00274292">
        <w:t xml:space="preserve"> </w:t>
      </w:r>
      <w:r w:rsidR="008B5308">
        <w:t>and granted the</w:t>
      </w:r>
      <w:r w:rsidR="00274292">
        <w:t xml:space="preserve"> request f</w:t>
      </w:r>
      <w:r w:rsidR="007965A3">
        <w:t xml:space="preserve">or continuance of the hearing.  </w:t>
      </w:r>
      <w:r w:rsidR="007417DE">
        <w:t xml:space="preserve">The Order specifically stated that </w:t>
      </w:r>
      <w:r w:rsidR="007965A3">
        <w:t>requests for continuances should not be abused and that no such request would be granted in the future without good cause shown.</w:t>
      </w:r>
    </w:p>
    <w:p w:rsidR="0061759D" w:rsidRDefault="0061759D" w:rsidP="002B30AB">
      <w:pPr>
        <w:spacing w:line="360" w:lineRule="auto"/>
        <w:ind w:firstLine="1440"/>
      </w:pPr>
    </w:p>
    <w:p w:rsidR="00BC18B2" w:rsidRDefault="0061759D" w:rsidP="00BC18B2">
      <w:pPr>
        <w:spacing w:line="360" w:lineRule="auto"/>
        <w:ind w:firstLine="1440"/>
      </w:pPr>
      <w:r>
        <w:t>A Telephone Hearing Notice dated February 12, 201</w:t>
      </w:r>
      <w:r w:rsidR="008B5308">
        <w:t xml:space="preserve">0, notified the parties that a telephone hearing </w:t>
      </w:r>
      <w:r>
        <w:t xml:space="preserve">was scheduled for Monday, </w:t>
      </w:r>
      <w:r w:rsidR="00C4754E">
        <w:t>March 15</w:t>
      </w:r>
      <w:r w:rsidR="00BC18B2">
        <w:t>, 2010, at 10:00 a.m.  A second Prehearing Order was issued on March 2, 2010</w:t>
      </w:r>
      <w:r w:rsidR="008B5308">
        <w:t>,</w:t>
      </w:r>
      <w:r w:rsidR="00BC18B2">
        <w:t xml:space="preserve"> reminding the parties, among other things, </w:t>
      </w:r>
      <w:r w:rsidR="00BC18B2">
        <w:lastRenderedPageBreak/>
        <w:t>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telephone hearing.</w:t>
      </w:r>
    </w:p>
    <w:p w:rsidR="002124E3" w:rsidRDefault="00BC18B2" w:rsidP="002124E3">
      <w:pPr>
        <w:spacing w:line="360" w:lineRule="auto"/>
        <w:ind w:firstLine="1440"/>
      </w:pPr>
      <w:r>
        <w:t xml:space="preserve">The telephone hearing convened as scheduled on March 15, 2010.  I attempted to contact Complainant </w:t>
      </w:r>
      <w:r w:rsidR="00354E37">
        <w:t>at the new telephone number that he had provided in his written request for continuance of the hearing, (610) 565-XXXX</w:t>
      </w:r>
      <w:r w:rsidR="00192F2C">
        <w:t>.  My call was picked up by an answering machine</w:t>
      </w:r>
      <w:r w:rsidR="00354E37">
        <w:t xml:space="preserve"> </w:t>
      </w:r>
      <w:r w:rsidR="00192F2C">
        <w:t xml:space="preserve">where I left a voice message stating who I was, the reason for my call and that I would call back in approximately 10 minutes at which time, if Complainant remained unavailable, the hearing would proceed in his absence.  I also called the Complainant </w:t>
      </w:r>
      <w:r>
        <w:t>at his home telephone number (610) 457-XXXX listed in his Complaint.</w:t>
      </w:r>
      <w:r w:rsidR="00393911">
        <w:t xml:space="preserve">  I received a voice message from</w:t>
      </w:r>
      <w:r>
        <w:t xml:space="preserve"> the telephone company stating that “the subscriber you have called is not able to receive calls at this time.”</w:t>
      </w:r>
      <w:r w:rsidR="00212CB5">
        <w:t xml:space="preserve"> </w:t>
      </w:r>
      <w:r>
        <w:t xml:space="preserve"> </w:t>
      </w:r>
      <w:r w:rsidR="004C4BAD">
        <w:t xml:space="preserve">I called a ten-minute recess, and at approximately 10:25 a.m. I dialed the (610) 565-XXXX number one more time.  Again, I was not able to reach Mr. Curl and left another voice message informing the Complainant that the hearing would </w:t>
      </w:r>
      <w:r w:rsidR="00CD1EF0">
        <w:t>proceed</w:t>
      </w:r>
      <w:r w:rsidR="00E67217">
        <w:t xml:space="preserve"> in his </w:t>
      </w:r>
      <w:r w:rsidR="004C4BAD">
        <w:t xml:space="preserve">absence.  </w:t>
      </w:r>
      <w:r>
        <w:t>I advised Respondent’s attorney</w:t>
      </w:r>
      <w:r w:rsidR="008B5308">
        <w:t>, Ken Massey, Esq.,</w:t>
      </w:r>
      <w:r>
        <w:t xml:space="preserve"> that I was unable to contact the Complainant, and the hearing was held in his absence.  No witnesses were presented and no exhibits were admitted into the record.  </w:t>
      </w:r>
      <w:r w:rsidR="00EA5858">
        <w:t>Mr. </w:t>
      </w:r>
      <w:r w:rsidR="008B5308">
        <w:t xml:space="preserve">Massey </w:t>
      </w:r>
      <w:r>
        <w:t>moved for dismissal of this case for failure to prosecute.</w:t>
      </w:r>
      <w:r w:rsidR="002124E3" w:rsidRPr="002124E3">
        <w:t xml:space="preserve"> </w:t>
      </w:r>
      <w:r w:rsidR="008B5308">
        <w:t xml:space="preserve"> </w:t>
      </w:r>
      <w:r w:rsidR="002124E3">
        <w:t>That motion will be granted in the Ordering Paragraphs below.  The record closed on March 15, 2010.</w:t>
      </w:r>
    </w:p>
    <w:p w:rsidR="00E67217" w:rsidRDefault="00E67217" w:rsidP="002124E3">
      <w:pPr>
        <w:spacing w:line="360" w:lineRule="auto"/>
      </w:pPr>
    </w:p>
    <w:p w:rsidR="00A85A47" w:rsidRPr="002124E3" w:rsidRDefault="00E67217" w:rsidP="002124E3">
      <w:pPr>
        <w:spacing w:line="360" w:lineRule="auto"/>
        <w:ind w:firstLine="1440"/>
        <w:rPr>
          <w:rFonts w:ascii="Times New Roman" w:hAnsi="Times New Roman" w:cs="Times New Roman"/>
        </w:rPr>
      </w:pPr>
      <w:r w:rsidRPr="002124E3">
        <w:rPr>
          <w:rFonts w:ascii="Times New Roman" w:hAnsi="Times New Roman" w:cs="Times New Roman"/>
        </w:rPr>
        <w:t xml:space="preserve">On March 16, 2010, </w:t>
      </w:r>
      <w:r w:rsidR="00A85A47" w:rsidRPr="002124E3">
        <w:rPr>
          <w:rFonts w:ascii="Times New Roman" w:hAnsi="Times New Roman" w:cs="Times New Roman"/>
        </w:rPr>
        <w:t>Mr. Massey informed me via e-mail that he had received a voice message that day from Mrs. Curl</w:t>
      </w:r>
      <w:r w:rsidR="00C4754E" w:rsidRPr="002124E3">
        <w:rPr>
          <w:rFonts w:ascii="Times New Roman" w:hAnsi="Times New Roman" w:cs="Times New Roman"/>
        </w:rPr>
        <w:t>.  In her message, Mrs. Curl stated</w:t>
      </w:r>
      <w:r w:rsidR="00A85A47" w:rsidRPr="002124E3">
        <w:rPr>
          <w:rFonts w:ascii="Times New Roman" w:hAnsi="Times New Roman" w:cs="Times New Roman"/>
        </w:rPr>
        <w:t xml:space="preserve"> </w:t>
      </w:r>
      <w:r w:rsidR="008B5308">
        <w:rPr>
          <w:rFonts w:ascii="Times New Roman" w:hAnsi="Times New Roman" w:cs="Times New Roman"/>
        </w:rPr>
        <w:t>that</w:t>
      </w:r>
      <w:r w:rsidR="002124E3" w:rsidRPr="002124E3">
        <w:rPr>
          <w:rFonts w:ascii="Times New Roman" w:hAnsi="Times New Roman" w:cs="Times New Roman"/>
        </w:rPr>
        <w:t xml:space="preserve"> </w:t>
      </w:r>
      <w:r w:rsidR="00C4754E" w:rsidRPr="002124E3">
        <w:rPr>
          <w:rFonts w:ascii="Times New Roman" w:hAnsi="Times New Roman" w:cs="Times New Roman"/>
        </w:rPr>
        <w:t xml:space="preserve">every time the presiding officer called on March 15, the connection had a </w:t>
      </w:r>
      <w:r w:rsidR="008B5308">
        <w:rPr>
          <w:rFonts w:ascii="Times New Roman" w:hAnsi="Times New Roman" w:cs="Times New Roman"/>
        </w:rPr>
        <w:t>lot of “static”</w:t>
      </w:r>
      <w:r w:rsidR="00C4754E" w:rsidRPr="002124E3">
        <w:rPr>
          <w:rFonts w:ascii="Times New Roman" w:hAnsi="Times New Roman" w:cs="Times New Roman"/>
        </w:rPr>
        <w:t xml:space="preserve"> preventing </w:t>
      </w:r>
      <w:r w:rsidR="00C70C43">
        <w:rPr>
          <w:rFonts w:ascii="Times New Roman" w:hAnsi="Times New Roman" w:cs="Times New Roman"/>
        </w:rPr>
        <w:t xml:space="preserve">Mrs. Curl </w:t>
      </w:r>
      <w:r w:rsidR="00C4754E" w:rsidRPr="002124E3">
        <w:rPr>
          <w:rFonts w:ascii="Times New Roman" w:hAnsi="Times New Roman" w:cs="Times New Roman"/>
        </w:rPr>
        <w:t>from hearing the caller</w:t>
      </w:r>
      <w:r w:rsidR="00A85A47" w:rsidRPr="002124E3">
        <w:rPr>
          <w:rFonts w:ascii="Times New Roman" w:hAnsi="Times New Roman" w:cs="Times New Roman"/>
        </w:rPr>
        <w:t xml:space="preserve">.  </w:t>
      </w:r>
    </w:p>
    <w:p w:rsidR="001277BA" w:rsidRDefault="001277BA" w:rsidP="002124E3">
      <w:pPr>
        <w:spacing w:line="360" w:lineRule="auto"/>
      </w:pPr>
    </w:p>
    <w:p w:rsidR="002124E3" w:rsidRDefault="002124E3" w:rsidP="002124E3">
      <w:pPr>
        <w:spacing w:line="360" w:lineRule="auto"/>
        <w:jc w:val="center"/>
        <w:rPr>
          <w:u w:val="single"/>
        </w:rPr>
      </w:pPr>
      <w:r w:rsidRPr="00EE64B0">
        <w:rPr>
          <w:u w:val="single"/>
        </w:rPr>
        <w:t>FINDINGS OF FACT</w:t>
      </w:r>
    </w:p>
    <w:p w:rsidR="002124E3" w:rsidRDefault="002124E3" w:rsidP="002124E3">
      <w:pPr>
        <w:spacing w:line="360" w:lineRule="auto"/>
        <w:jc w:val="center"/>
        <w:rPr>
          <w:u w:val="single"/>
        </w:rPr>
      </w:pPr>
    </w:p>
    <w:p w:rsidR="002124E3" w:rsidRDefault="002124E3" w:rsidP="002124E3">
      <w:pPr>
        <w:spacing w:line="360" w:lineRule="auto"/>
        <w:ind w:firstLine="1440"/>
      </w:pPr>
      <w:r>
        <w:lastRenderedPageBreak/>
        <w:t>1.</w:t>
      </w:r>
      <w:r>
        <w:tab/>
        <w:t xml:space="preserve">The Complainant is </w:t>
      </w:r>
      <w:r w:rsidR="000178CA">
        <w:t>Allan Curl</w:t>
      </w:r>
      <w:r w:rsidRPr="00AE6DB2">
        <w:t>, who reside</w:t>
      </w:r>
      <w:r>
        <w:t>s</w:t>
      </w:r>
      <w:r w:rsidRPr="00AE6DB2">
        <w:t xml:space="preserve"> at</w:t>
      </w:r>
      <w:r w:rsidR="000178CA">
        <w:t xml:space="preserve"> 321 Howarth Road, Media, PA 19063</w:t>
      </w:r>
      <w:r>
        <w:t>.</w:t>
      </w:r>
    </w:p>
    <w:p w:rsidR="002124E3" w:rsidRPr="00AE6DB2" w:rsidRDefault="002124E3" w:rsidP="002124E3">
      <w:pPr>
        <w:spacing w:line="360" w:lineRule="auto"/>
        <w:ind w:firstLine="1440"/>
      </w:pPr>
    </w:p>
    <w:p w:rsidR="002124E3" w:rsidRPr="00AE6DB2" w:rsidRDefault="002124E3" w:rsidP="002124E3">
      <w:pPr>
        <w:spacing w:line="360" w:lineRule="auto"/>
        <w:ind w:firstLine="1440"/>
      </w:pPr>
      <w:r w:rsidRPr="00AE6DB2">
        <w:t>2.</w:t>
      </w:r>
      <w:r w:rsidRPr="00AE6DB2">
        <w:tab/>
        <w:t xml:space="preserve">Respondent is </w:t>
      </w:r>
      <w:r>
        <w:t>PECO Energy Company</w:t>
      </w:r>
    </w:p>
    <w:p w:rsidR="002124E3" w:rsidRDefault="002124E3" w:rsidP="002124E3">
      <w:pPr>
        <w:spacing w:line="360" w:lineRule="auto"/>
        <w:rPr>
          <w:u w:val="single"/>
        </w:rPr>
      </w:pPr>
    </w:p>
    <w:p w:rsidR="002124E3" w:rsidRDefault="000178CA" w:rsidP="002124E3">
      <w:pPr>
        <w:spacing w:line="360" w:lineRule="auto"/>
        <w:ind w:firstLine="1440"/>
      </w:pPr>
      <w:r>
        <w:t>3.</w:t>
      </w:r>
      <w:r>
        <w:tab/>
        <w:t>On July 30</w:t>
      </w:r>
      <w:r w:rsidR="002124E3">
        <w:t xml:space="preserve">, 2009, </w:t>
      </w:r>
      <w:r>
        <w:t>Allan Curl</w:t>
      </w:r>
      <w:r w:rsidR="002124E3">
        <w:t xml:space="preserve"> filed a formal Complaint with the Commission alleging </w:t>
      </w:r>
      <w:r>
        <w:t>his inability to pay his electric bills and requesting an affordable payment arrangement.</w:t>
      </w:r>
      <w:r w:rsidR="009C06BE" w:rsidRPr="009C06BE">
        <w:t xml:space="preserve"> </w:t>
      </w:r>
      <w:r w:rsidR="009C06BE">
        <w:t xml:space="preserve"> In addition, Mr. Curl averred that he received notice that his electric service is being terminated.  </w:t>
      </w:r>
    </w:p>
    <w:p w:rsidR="00D505CA" w:rsidRDefault="00D505CA" w:rsidP="00D505CA">
      <w:pPr>
        <w:spacing w:line="360" w:lineRule="auto"/>
      </w:pPr>
    </w:p>
    <w:p w:rsidR="00D505CA" w:rsidRDefault="00D505CA" w:rsidP="00D505CA">
      <w:pPr>
        <w:spacing w:line="360" w:lineRule="auto"/>
      </w:pPr>
      <w:r>
        <w:tab/>
      </w:r>
      <w:r>
        <w:tab/>
        <w:t>4.</w:t>
      </w:r>
      <w:r>
        <w:tab/>
        <w:t>A Telephone Hearing Notice dated November 4, 2009, notified the par</w:t>
      </w:r>
      <w:r w:rsidR="009C06BE">
        <w:t>ties that an initial telephone h</w:t>
      </w:r>
      <w:r>
        <w:t xml:space="preserve">earing was scheduled for Monday, January 11, 2010, at 2:00 p.m. </w:t>
      </w:r>
    </w:p>
    <w:p w:rsidR="00D505CA" w:rsidRDefault="00D505CA" w:rsidP="00D505CA">
      <w:pPr>
        <w:spacing w:line="360" w:lineRule="auto"/>
      </w:pPr>
    </w:p>
    <w:p w:rsidR="00D505CA" w:rsidRDefault="00D505CA" w:rsidP="00D505CA">
      <w:pPr>
        <w:spacing w:line="360" w:lineRule="auto"/>
        <w:ind w:firstLine="1440"/>
      </w:pPr>
      <w:r>
        <w:t>5.</w:t>
      </w:r>
      <w:r>
        <w:tab/>
        <w:t>A Prehearing Order was issued on November 16, 2009, directing the parties,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telephone hearing.</w:t>
      </w:r>
    </w:p>
    <w:p w:rsidR="00A203FA" w:rsidRDefault="00A203FA" w:rsidP="00D505CA">
      <w:pPr>
        <w:spacing w:line="360" w:lineRule="auto"/>
        <w:ind w:firstLine="1440"/>
      </w:pPr>
    </w:p>
    <w:p w:rsidR="00A203FA" w:rsidRDefault="00A203FA" w:rsidP="00D505CA">
      <w:pPr>
        <w:spacing w:line="360" w:lineRule="auto"/>
        <w:ind w:firstLine="1440"/>
      </w:pPr>
      <w:r>
        <w:t>6.</w:t>
      </w:r>
      <w:r>
        <w:tab/>
        <w:t>The telephone hearing convened as scheduled on January 11, 2010.  Complainant failed to appear at the hearing.</w:t>
      </w:r>
    </w:p>
    <w:p w:rsidR="00A203FA" w:rsidRDefault="00A203FA" w:rsidP="00D505CA">
      <w:pPr>
        <w:spacing w:line="360" w:lineRule="auto"/>
        <w:ind w:firstLine="1440"/>
      </w:pPr>
    </w:p>
    <w:p w:rsidR="00A203FA" w:rsidRDefault="00385A6E" w:rsidP="00D505CA">
      <w:pPr>
        <w:spacing w:line="360" w:lineRule="auto"/>
        <w:ind w:firstLine="1440"/>
      </w:pPr>
      <w:r>
        <w:t>7.</w:t>
      </w:r>
      <w:r>
        <w:tab/>
      </w:r>
      <w:r w:rsidR="00A203FA">
        <w:t>On J</w:t>
      </w:r>
      <w:r w:rsidR="00702AED">
        <w:t xml:space="preserve">anuary 12, 2010, Complainant’s wife, Mrs. Curl contacted the presiding officer and related that she had been at home waiting and ready to participate at the hearing, but she had failed to hear the telephone ring because </w:t>
      </w:r>
      <w:r w:rsidR="00DF7C7D">
        <w:t>her granddaughter</w:t>
      </w:r>
      <w:r w:rsidR="00702AED">
        <w:t xml:space="preserve"> had picked up the phone</w:t>
      </w:r>
      <w:r w:rsidR="00DF7C7D">
        <w:t xml:space="preserve"> without notifying her of the incoming call.  Mrs. Curl requested another opportunity for Complainant to present his case.</w:t>
      </w:r>
    </w:p>
    <w:p w:rsidR="00DF7C7D" w:rsidRDefault="00DF7C7D" w:rsidP="00D505CA">
      <w:pPr>
        <w:spacing w:line="360" w:lineRule="auto"/>
        <w:ind w:firstLine="1440"/>
      </w:pPr>
    </w:p>
    <w:p w:rsidR="00DF7C7D" w:rsidRDefault="00385A6E" w:rsidP="00D505CA">
      <w:pPr>
        <w:spacing w:line="360" w:lineRule="auto"/>
        <w:ind w:firstLine="1440"/>
      </w:pPr>
      <w:r>
        <w:t>8.</w:t>
      </w:r>
      <w:r>
        <w:tab/>
      </w:r>
      <w:r w:rsidR="00DF7C7D">
        <w:t>On February 5, 2010, the presiding officer received a written Request for Continuance of Hearing from Mr. and Mrs. Curl.</w:t>
      </w:r>
    </w:p>
    <w:p w:rsidR="00C8017B" w:rsidRDefault="00C8017B" w:rsidP="00D505CA">
      <w:pPr>
        <w:spacing w:line="360" w:lineRule="auto"/>
        <w:ind w:firstLine="1440"/>
      </w:pPr>
    </w:p>
    <w:p w:rsidR="00C8017B" w:rsidRDefault="00385A6E" w:rsidP="00C8017B">
      <w:pPr>
        <w:spacing w:line="360" w:lineRule="auto"/>
        <w:ind w:firstLine="1440"/>
      </w:pPr>
      <w:r>
        <w:t>9.</w:t>
      </w:r>
      <w:r>
        <w:tab/>
      </w:r>
      <w:r w:rsidR="00C8017B">
        <w:t xml:space="preserve">On February 12, 2010, an Order was issued granting Complainant’s Request for Continuance of the Hearing over the objections of Respondent.  </w:t>
      </w:r>
    </w:p>
    <w:p w:rsidR="00C8017B" w:rsidRDefault="00C8017B" w:rsidP="00C8017B">
      <w:pPr>
        <w:spacing w:line="360" w:lineRule="auto"/>
        <w:ind w:firstLine="1440"/>
      </w:pPr>
    </w:p>
    <w:p w:rsidR="00C8017B" w:rsidRDefault="00385A6E" w:rsidP="00C8017B">
      <w:pPr>
        <w:spacing w:line="360" w:lineRule="auto"/>
        <w:ind w:firstLine="1440"/>
      </w:pPr>
      <w:r>
        <w:t>10.</w:t>
      </w:r>
      <w:r>
        <w:tab/>
      </w:r>
      <w:r w:rsidR="00C8017B">
        <w:t>The Order specifically stated that requests for continuances should not be abused and that no such request would be granted in the future without good cause shown.</w:t>
      </w:r>
    </w:p>
    <w:p w:rsidR="00385A6E" w:rsidRDefault="00385A6E" w:rsidP="00385A6E">
      <w:pPr>
        <w:spacing w:line="360" w:lineRule="auto"/>
        <w:ind w:firstLine="1440"/>
      </w:pPr>
      <w:r>
        <w:t>11.</w:t>
      </w:r>
      <w:r>
        <w:tab/>
        <w:t>A Telephone Hearing Notice dated February 12, 2010, notified the par</w:t>
      </w:r>
      <w:r w:rsidR="009C06BE">
        <w:t>ties that a telephone h</w:t>
      </w:r>
      <w:r>
        <w:t xml:space="preserve">earing was scheduled for Monday, March 15, 2010, at 10:00 a.m. </w:t>
      </w:r>
    </w:p>
    <w:p w:rsidR="00385A6E" w:rsidRDefault="00385A6E" w:rsidP="00385A6E">
      <w:pPr>
        <w:spacing w:line="360" w:lineRule="auto"/>
        <w:ind w:firstLine="1440"/>
      </w:pPr>
      <w:r>
        <w:t xml:space="preserve"> </w:t>
      </w:r>
    </w:p>
    <w:p w:rsidR="00385A6E" w:rsidRDefault="00385A6E" w:rsidP="00385A6E">
      <w:pPr>
        <w:spacing w:line="360" w:lineRule="auto"/>
        <w:ind w:firstLine="1440"/>
      </w:pPr>
      <w:r>
        <w:t>12.</w:t>
      </w:r>
      <w:r>
        <w:tab/>
        <w:t>A second Prehearing Order was issued on March 2, 2010</w:t>
      </w:r>
      <w:r w:rsidR="009C06BE">
        <w:t>,</w:t>
      </w:r>
      <w:r>
        <w:t xml:space="preserve"> reminding the parties, among other things, that: (1) a request to change the scheduled hearing should be sent at least five days prior to the hearing date, be in writing and state the agreement or opposition of the other party; (2) any party may lose the case if they do not take part in the hearing; and (3) if Complainant is to be contacted at a different telephone number than the one on the hearing notice, Complainant is to provide the correct telephone number to the presiding officer at least five business days before the scheduled telephone hearing.</w:t>
      </w:r>
    </w:p>
    <w:p w:rsidR="00385A6E" w:rsidRDefault="00385A6E" w:rsidP="00385A6E">
      <w:pPr>
        <w:spacing w:line="360" w:lineRule="auto"/>
        <w:ind w:firstLine="1440"/>
      </w:pPr>
    </w:p>
    <w:p w:rsidR="00385A6E" w:rsidRDefault="00385A6E" w:rsidP="00385A6E">
      <w:pPr>
        <w:spacing w:line="360" w:lineRule="auto"/>
        <w:ind w:firstLine="1440"/>
      </w:pPr>
      <w:r>
        <w:t>13.</w:t>
      </w:r>
      <w:r>
        <w:tab/>
      </w:r>
      <w:r w:rsidR="009C06BE">
        <w:t xml:space="preserve">None of the documents mailed to Complainant at the address provided on her Complaint was returned to the Commission by the United States Postal Service as undeliverable. </w:t>
      </w:r>
    </w:p>
    <w:p w:rsidR="00385A6E" w:rsidRDefault="00385A6E" w:rsidP="00385A6E">
      <w:pPr>
        <w:spacing w:line="360" w:lineRule="auto"/>
        <w:ind w:firstLine="1440"/>
      </w:pPr>
    </w:p>
    <w:p w:rsidR="00385A6E" w:rsidRDefault="00385A6E" w:rsidP="009C06BE">
      <w:pPr>
        <w:spacing w:line="360" w:lineRule="auto"/>
        <w:ind w:firstLine="1440"/>
      </w:pPr>
      <w:r>
        <w:t>14.</w:t>
      </w:r>
      <w:r>
        <w:tab/>
      </w:r>
      <w:r w:rsidR="009C06BE">
        <w:t>The telephone hearing convened as scheduled on March 15, 2010.</w:t>
      </w:r>
      <w:r>
        <w:t xml:space="preserve"> </w:t>
      </w:r>
    </w:p>
    <w:p w:rsidR="002124E3" w:rsidRDefault="002124E3" w:rsidP="002124E3">
      <w:pPr>
        <w:spacing w:line="360" w:lineRule="auto"/>
      </w:pPr>
    </w:p>
    <w:p w:rsidR="002124E3" w:rsidRDefault="009C06BE" w:rsidP="002124E3">
      <w:pPr>
        <w:spacing w:line="360" w:lineRule="auto"/>
        <w:ind w:firstLine="1440"/>
      </w:pPr>
      <w:r>
        <w:t>15</w:t>
      </w:r>
      <w:r w:rsidR="002124E3">
        <w:t>.</w:t>
      </w:r>
      <w:r w:rsidR="002124E3">
        <w:tab/>
        <w:t xml:space="preserve"> Complainant did not answer the telephone </w:t>
      </w:r>
      <w:r>
        <w:t>number designated to contact him</w:t>
      </w:r>
      <w:r w:rsidR="002124E3">
        <w:t xml:space="preserve"> for the hearing.</w:t>
      </w:r>
    </w:p>
    <w:p w:rsidR="002124E3" w:rsidRDefault="002124E3" w:rsidP="002124E3">
      <w:pPr>
        <w:spacing w:line="360" w:lineRule="auto"/>
        <w:ind w:firstLine="1440"/>
      </w:pPr>
    </w:p>
    <w:p w:rsidR="002124E3" w:rsidRDefault="009C06BE" w:rsidP="002124E3">
      <w:pPr>
        <w:spacing w:line="360" w:lineRule="auto"/>
        <w:ind w:firstLine="1440"/>
      </w:pPr>
      <w:r>
        <w:lastRenderedPageBreak/>
        <w:t>16</w:t>
      </w:r>
      <w:r w:rsidR="002124E3">
        <w:t>.</w:t>
      </w:r>
      <w:r w:rsidR="002124E3">
        <w:tab/>
        <w:t xml:space="preserve">Complainant did not settle or withdraw this Complaint prior to the scheduled hearing date </w:t>
      </w:r>
      <w:r w:rsidR="00385A6E">
        <w:t xml:space="preserve">of March 15, 2010, </w:t>
      </w:r>
      <w:r w:rsidR="002124E3">
        <w:t>or obtain a continuance.</w:t>
      </w:r>
    </w:p>
    <w:p w:rsidR="002124E3" w:rsidRPr="006B18A0" w:rsidRDefault="002124E3" w:rsidP="002124E3">
      <w:pPr>
        <w:spacing w:line="360" w:lineRule="auto"/>
      </w:pPr>
    </w:p>
    <w:p w:rsidR="002124E3" w:rsidRPr="00161041" w:rsidRDefault="002124E3" w:rsidP="002124E3">
      <w:pPr>
        <w:spacing w:line="360" w:lineRule="auto"/>
        <w:jc w:val="center"/>
        <w:rPr>
          <w:u w:val="single"/>
        </w:rPr>
      </w:pPr>
      <w:r w:rsidRPr="006B18A0">
        <w:rPr>
          <w:u w:val="single"/>
        </w:rPr>
        <w:t>DISCUSSION</w:t>
      </w:r>
    </w:p>
    <w:p w:rsidR="002124E3" w:rsidRPr="006B18A0" w:rsidRDefault="002124E3" w:rsidP="002124E3">
      <w:pPr>
        <w:tabs>
          <w:tab w:val="left" w:pos="2160"/>
        </w:tabs>
        <w:spacing w:line="360" w:lineRule="auto"/>
        <w:jc w:val="center"/>
        <w:rPr>
          <w:u w:val="single"/>
        </w:rPr>
      </w:pPr>
    </w:p>
    <w:p w:rsidR="00CD1EF0" w:rsidRPr="006001C7" w:rsidRDefault="00CD1EF0" w:rsidP="00CD1EF0">
      <w:pPr>
        <w:tabs>
          <w:tab w:val="left" w:pos="-1440"/>
          <w:tab w:val="left" w:pos="-720"/>
        </w:tabs>
        <w:suppressAutoHyphens/>
        <w:spacing w:line="360" w:lineRule="auto"/>
        <w:ind w:firstLine="1440"/>
        <w:rPr>
          <w:spacing w:val="-3"/>
        </w:rPr>
      </w:pPr>
      <w:r>
        <w:rPr>
          <w:spacing w:val="-3"/>
        </w:rPr>
        <w:t>The Public Utility Code, 66 Pa. C.S.</w:t>
      </w:r>
      <w:r w:rsidRPr="006001C7">
        <w:rPr>
          <w:spacing w:val="-3"/>
        </w:rPr>
        <w:t xml:space="preserve"> §332(a), places the burden of proof upon the proponent of a rule or order. </w:t>
      </w:r>
      <w:r>
        <w:rPr>
          <w:spacing w:val="-3"/>
        </w:rPr>
        <w:t xml:space="preserve"> </w:t>
      </w:r>
      <w:r w:rsidRPr="006001C7">
        <w:rPr>
          <w:spacing w:val="-3"/>
        </w:rPr>
        <w:t>As the</w:t>
      </w:r>
      <w:r>
        <w:rPr>
          <w:spacing w:val="-3"/>
        </w:rPr>
        <w:t xml:space="preserve"> proponent of a rule or order, c</w:t>
      </w:r>
      <w:r w:rsidRPr="006001C7">
        <w:rPr>
          <w:spacing w:val="-3"/>
        </w:rPr>
        <w:t>omplainant has the burden of proof in this matter pursuant to 66 Pa.</w:t>
      </w:r>
      <w:r>
        <w:rPr>
          <w:spacing w:val="-3"/>
        </w:rPr>
        <w:t xml:space="preserve"> </w:t>
      </w:r>
      <w:r w:rsidRPr="006001C7">
        <w:rPr>
          <w:spacing w:val="-3"/>
        </w:rPr>
        <w:t>C.S. §332(a).</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 xml:space="preserve">To establish a sufficient case and satisfy the burden of proof, complainant must show that the respondent public utility is responsible or accountable for the problem described in the Complaint.  </w:t>
      </w:r>
      <w:r w:rsidRPr="006001C7">
        <w:rPr>
          <w:i/>
          <w:spacing w:val="-3"/>
        </w:rPr>
        <w:t xml:space="preserve">Patterson v. Bell Telephone Company of </w:t>
      </w:r>
      <w:smartTag w:uri="urn:schemas-microsoft-com:office:smarttags" w:element="place">
        <w:smartTag w:uri="urn:schemas-microsoft-com:office:smarttags" w:element="State">
          <w:r w:rsidRPr="006001C7">
            <w:rPr>
              <w:i/>
              <w:spacing w:val="-3"/>
            </w:rPr>
            <w:t>Pennsylvania</w:t>
          </w:r>
        </w:smartTag>
      </w:smartTag>
      <w:r w:rsidRPr="006001C7">
        <w:rPr>
          <w:spacing w:val="-3"/>
        </w:rPr>
        <w:t xml:space="preserve">, 72 Pa.P.U.C. 196 (1990), </w:t>
      </w:r>
      <w:r w:rsidRPr="006001C7">
        <w:rPr>
          <w:i/>
          <w:spacing w:val="-3"/>
        </w:rPr>
        <w:t>Feinstein v. Philadelphia Suburban Water Company</w:t>
      </w:r>
      <w:r w:rsidRPr="006001C7">
        <w:rPr>
          <w:spacing w:val="-3"/>
        </w:rPr>
        <w:t xml:space="preserve">, 50 Pa.P.U.C. 300 (1976).  Such a showing must be by a preponderance of the evidence.  </w:t>
      </w:r>
      <w:r w:rsidRPr="006001C7">
        <w:rPr>
          <w:i/>
          <w:spacing w:val="-3"/>
        </w:rPr>
        <w:t>Samuel J. Lansberry, Inc. v. Pa. Public Utility Comm’n</w:t>
      </w:r>
      <w:r w:rsidRPr="006001C7">
        <w:rPr>
          <w:spacing w:val="-3"/>
        </w:rPr>
        <w:t xml:space="preserve">, 578 A.2d 600, 602 </w:t>
      </w:r>
      <w:r>
        <w:rPr>
          <w:spacing w:val="-3"/>
        </w:rPr>
        <w:t>(Pa.</w:t>
      </w:r>
      <w:r w:rsidRPr="006001C7">
        <w:rPr>
          <w:spacing w:val="-3"/>
        </w:rPr>
        <w:t xml:space="preserve">Cmwlth. 1990), alloc. den., 602 A.2d 863 (Pa. 1992).  That is, by presenting evidence more convincing, by even the smallest amount, than that presented by the other party.  </w:t>
      </w:r>
      <w:r>
        <w:rPr>
          <w:i/>
          <w:spacing w:val="-3"/>
        </w:rPr>
        <w:t>Se-Ling Hosiery v. Marg</w:t>
      </w:r>
      <w:r w:rsidRPr="006001C7">
        <w:rPr>
          <w:i/>
          <w:spacing w:val="-3"/>
        </w:rPr>
        <w:t>ulies</w:t>
      </w:r>
      <w:r w:rsidRPr="006001C7">
        <w:rPr>
          <w:spacing w:val="-3"/>
        </w:rPr>
        <w:t xml:space="preserve">, 364 Pa. 45, 70 A.2d 854 (1950).  Additionally, any finding of fact necessary to support the Commission’s adjudication must be based upon substantial evidence.  </w:t>
      </w:r>
      <w:r>
        <w:rPr>
          <w:i/>
          <w:spacing w:val="-3"/>
        </w:rPr>
        <w:t xml:space="preserve">Mill v. Pa </w:t>
      </w:r>
      <w:r w:rsidRPr="006001C7">
        <w:rPr>
          <w:i/>
          <w:spacing w:val="-3"/>
        </w:rPr>
        <w:t>Public Utility Comm’n</w:t>
      </w:r>
      <w:r w:rsidRPr="006001C7">
        <w:rPr>
          <w:spacing w:val="-3"/>
        </w:rPr>
        <w:t xml:space="preserve">, 447 A.2d 1100 (Pa.Cmwlth. 1982); </w:t>
      </w:r>
      <w:r w:rsidRPr="006001C7">
        <w:rPr>
          <w:i/>
          <w:spacing w:val="-3"/>
        </w:rPr>
        <w:t>E</w:t>
      </w:r>
      <w:r>
        <w:rPr>
          <w:i/>
          <w:spacing w:val="-3"/>
        </w:rPr>
        <w:t xml:space="preserve">dan Transportation Corp. v. Pa </w:t>
      </w:r>
      <w:r w:rsidRPr="006001C7">
        <w:rPr>
          <w:i/>
          <w:spacing w:val="-3"/>
        </w:rPr>
        <w:t>Public Utility Comm’n</w:t>
      </w:r>
      <w:r w:rsidRPr="006001C7">
        <w:rPr>
          <w:spacing w:val="-3"/>
        </w:rPr>
        <w:t xml:space="preserve">, 623 A.2d 6 (Pa.Cmwlth. 1993); 2 Pa.C.S. §704.  More is required than a mere trace of evidence or a suspicion of the existence of a fact sought to be established.  </w:t>
      </w:r>
      <w:r w:rsidRPr="006001C7">
        <w:rPr>
          <w:i/>
          <w:spacing w:val="-3"/>
        </w:rPr>
        <w:t>Norfolk and Western Ry. v. Pa. Public Utility Comm’n</w:t>
      </w:r>
      <w:r w:rsidRPr="006001C7">
        <w:rPr>
          <w:spacing w:val="-3"/>
        </w:rPr>
        <w:t xml:space="preserve">, 489 Pa. 109, 413 A.2d 1037 (1980); </w:t>
      </w:r>
      <w:r w:rsidRPr="006001C7">
        <w:rPr>
          <w:i/>
          <w:spacing w:val="-3"/>
        </w:rPr>
        <w:t>Erie Resistor Corp. v. Unemployment Compensation Bd. of Review</w:t>
      </w:r>
      <w:r w:rsidRPr="006001C7">
        <w:rPr>
          <w:spacing w:val="-3"/>
        </w:rPr>
        <w:t>, 194 Pa.Super. 278, 166 A.2d 96 (1960); Murphy</w:t>
      </w:r>
      <w:r w:rsidRPr="006001C7">
        <w:rPr>
          <w:i/>
          <w:spacing w:val="-3"/>
        </w:rPr>
        <w:t xml:space="preserve"> v. Commonwealth, Dep’t. of Public Welfare, </w:t>
      </w:r>
      <w:smartTag w:uri="urn:schemas-microsoft-com:office:smarttags" w:element="place">
        <w:smartTag w:uri="urn:schemas-microsoft-com:office:smarttags" w:element="PlaceName">
          <w:r w:rsidRPr="006001C7">
            <w:rPr>
              <w:i/>
              <w:spacing w:val="-3"/>
            </w:rPr>
            <w:t>White</w:t>
          </w:r>
        </w:smartTag>
        <w:r w:rsidRPr="006001C7">
          <w:rPr>
            <w:i/>
            <w:spacing w:val="-3"/>
          </w:rPr>
          <w:t xml:space="preserve"> </w:t>
        </w:r>
        <w:smartTag w:uri="urn:schemas-microsoft-com:office:smarttags" w:element="PlaceName">
          <w:r w:rsidRPr="006001C7">
            <w:rPr>
              <w:i/>
              <w:spacing w:val="-3"/>
            </w:rPr>
            <w:t>Haven</w:t>
          </w:r>
        </w:smartTag>
        <w:r w:rsidRPr="006001C7">
          <w:rPr>
            <w:i/>
            <w:spacing w:val="-3"/>
          </w:rPr>
          <w:t xml:space="preserve"> </w:t>
        </w:r>
        <w:smartTag w:uri="urn:schemas-microsoft-com:office:smarttags" w:element="PlaceType">
          <w:r w:rsidRPr="006001C7">
            <w:rPr>
              <w:i/>
              <w:spacing w:val="-3"/>
            </w:rPr>
            <w:t>Center</w:t>
          </w:r>
        </w:smartTag>
      </w:smartTag>
      <w:r w:rsidRPr="006001C7">
        <w:rPr>
          <w:spacing w:val="-3"/>
        </w:rPr>
        <w:t>, 480 A.2d 382 (Pa.Cmwlth. 1984).</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 xml:space="preserve">A public utility is entitled to full payment (at the currently approved tariff rate) for service provided to customers.  </w:t>
      </w:r>
      <w:r w:rsidRPr="006001C7">
        <w:rPr>
          <w:i/>
          <w:spacing w:val="-3"/>
        </w:rPr>
        <w:t>Scaccia v. West Penn Power Co</w:t>
      </w:r>
      <w:r w:rsidRPr="006001C7">
        <w:rPr>
          <w:spacing w:val="-3"/>
        </w:rPr>
        <w:t xml:space="preserve">., 55 Pa.P.U.C. 637 (1982); </w:t>
      </w:r>
      <w:r w:rsidRPr="006001C7">
        <w:rPr>
          <w:i/>
          <w:spacing w:val="-3"/>
        </w:rPr>
        <w:t>Kea v. Peoples Natural Gas Co.</w:t>
      </w:r>
      <w:r w:rsidRPr="006001C7">
        <w:rPr>
          <w:spacing w:val="-3"/>
        </w:rPr>
        <w:t xml:space="preserve">, 60 Pa.P.U.C. 215 (1985); </w:t>
      </w:r>
      <w:r w:rsidRPr="006001C7">
        <w:rPr>
          <w:i/>
          <w:spacing w:val="-3"/>
        </w:rPr>
        <w:t>Mill v. Pa. Public Utility Comm’n, supra</w:t>
      </w:r>
      <w:r w:rsidRPr="006001C7">
        <w:rPr>
          <w:spacing w:val="-3"/>
        </w:rPr>
        <w:t>.</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lastRenderedPageBreak/>
        <w:t xml:space="preserve">All customers, regardless of financial means, have an obligation to pay for utility service.  Otherwise, customers’ unpaid bills are included in the utility’s uncollectibles expense and ultimately paid by the remaining ratepayers.  </w:t>
      </w:r>
      <w:r w:rsidRPr="006001C7">
        <w:rPr>
          <w:i/>
          <w:spacing w:val="-3"/>
        </w:rPr>
        <w:t>Cf.,</w:t>
      </w:r>
      <w:r w:rsidRPr="006001C7">
        <w:rPr>
          <w:spacing w:val="-3"/>
        </w:rPr>
        <w:t xml:space="preserve"> </w:t>
      </w:r>
      <w:r w:rsidRPr="006001C7">
        <w:rPr>
          <w:i/>
          <w:spacing w:val="-3"/>
        </w:rPr>
        <w:t>Bolt v. Duquesne Light Co</w:t>
      </w:r>
      <w:r>
        <w:rPr>
          <w:spacing w:val="-3"/>
        </w:rPr>
        <w:t>.</w:t>
      </w:r>
      <w:r w:rsidRPr="006001C7">
        <w:rPr>
          <w:spacing w:val="-3"/>
        </w:rPr>
        <w:t>, 66 Pa.P.U.C. 463 (1988).</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 xml:space="preserve">Administrative agencies, such as the Commission, are required to provide due process to the parties appearing before them.  </w:t>
      </w:r>
      <w:r w:rsidRPr="006001C7">
        <w:rPr>
          <w:i/>
          <w:spacing w:val="-3"/>
        </w:rPr>
        <w:t>Schneider v. Pa. P.U.C.,</w:t>
      </w:r>
      <w:r w:rsidRPr="006001C7">
        <w:rPr>
          <w:spacing w:val="-3"/>
        </w:rPr>
        <w:t xml:space="preserve"> 479 A.2d 10 (Pa.Cmwlth. 1984).  However, this due process requirement is satisfied when the parties are accorded notice and the opportunity to appear and be heard.  </w:t>
      </w:r>
      <w:smartTag w:uri="urn:schemas-microsoft-com:office:smarttags" w:element="State">
        <w:smartTag w:uri="urn:schemas-microsoft-com:office:smarttags" w:element="place">
          <w:r w:rsidRPr="006001C7">
            <w:rPr>
              <w:i/>
              <w:spacing w:val="-3"/>
            </w:rPr>
            <w:t>Id.</w:t>
          </w:r>
        </w:smartTag>
      </w:smartTag>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spacing w:line="360" w:lineRule="auto"/>
        <w:rPr>
          <w:spacing w:val="-3"/>
        </w:rPr>
      </w:pPr>
      <w:r w:rsidRPr="006001C7">
        <w:rPr>
          <w:spacing w:val="-3"/>
        </w:rPr>
        <w:tab/>
      </w:r>
      <w:r w:rsidRPr="006001C7">
        <w:rPr>
          <w:spacing w:val="-3"/>
        </w:rPr>
        <w:tab/>
        <w:t>Notice of the hearin</w:t>
      </w:r>
      <w:r w:rsidR="00FA688E">
        <w:rPr>
          <w:spacing w:val="-3"/>
        </w:rPr>
        <w:t>g in this case was sent to the C</w:t>
      </w:r>
      <w:r w:rsidRPr="006001C7">
        <w:rPr>
          <w:spacing w:val="-3"/>
        </w:rPr>
        <w:t>omplainant on</w:t>
      </w:r>
      <w:r w:rsidR="00FA688E">
        <w:rPr>
          <w:spacing w:val="-3"/>
        </w:rPr>
        <w:t xml:space="preserve"> February 12</w:t>
      </w:r>
      <w:r w:rsidRPr="006001C7">
        <w:rPr>
          <w:spacing w:val="-3"/>
        </w:rPr>
        <w:t>, 20</w:t>
      </w:r>
      <w:r w:rsidR="00FA688E">
        <w:rPr>
          <w:spacing w:val="-3"/>
        </w:rPr>
        <w:t>1</w:t>
      </w:r>
      <w:r w:rsidRPr="006001C7">
        <w:rPr>
          <w:spacing w:val="-3"/>
        </w:rPr>
        <w:t>0 by regular first-class mai</w:t>
      </w:r>
      <w:r w:rsidR="00B8232D">
        <w:rPr>
          <w:spacing w:val="-3"/>
        </w:rPr>
        <w:t>l to the address stated on the C</w:t>
      </w:r>
      <w:r w:rsidRPr="006001C7">
        <w:rPr>
          <w:spacing w:val="-3"/>
        </w:rPr>
        <w:t xml:space="preserve">omplaint.  This piece of mail was never returned to the sender, the scheduling staff for the Office of Administrative Law Judge in </w:t>
      </w:r>
      <w:smartTag w:uri="urn:schemas-microsoft-com:office:smarttags" w:element="City">
        <w:smartTag w:uri="urn:schemas-microsoft-com:office:smarttags" w:element="place">
          <w:r w:rsidRPr="006001C7">
            <w:rPr>
              <w:spacing w:val="-3"/>
            </w:rPr>
            <w:t>Harrisburg</w:t>
          </w:r>
        </w:smartTag>
      </w:smartTag>
      <w:r w:rsidRPr="006001C7">
        <w:rPr>
          <w:spacing w:val="-3"/>
        </w:rPr>
        <w:t xml:space="preserve">.  In addition, I issued a Prehearing Order on </w:t>
      </w:r>
      <w:r w:rsidR="00B8232D">
        <w:rPr>
          <w:spacing w:val="-3"/>
        </w:rPr>
        <w:t xml:space="preserve">March 2, 2010, </w:t>
      </w:r>
      <w:r w:rsidRPr="006001C7">
        <w:rPr>
          <w:spacing w:val="-3"/>
        </w:rPr>
        <w:t xml:space="preserve">which, </w:t>
      </w:r>
      <w:r w:rsidRPr="00026815">
        <w:rPr>
          <w:i/>
          <w:spacing w:val="-3"/>
        </w:rPr>
        <w:t>inter alia</w:t>
      </w:r>
      <w:r w:rsidRPr="006001C7">
        <w:rPr>
          <w:spacing w:val="-3"/>
        </w:rPr>
        <w:t>, reminded the parties of the hearing date and time.  This Order</w:t>
      </w:r>
      <w:r w:rsidR="00B8232D">
        <w:rPr>
          <w:spacing w:val="-3"/>
        </w:rPr>
        <w:t>, which was also mailed to the C</w:t>
      </w:r>
      <w:r w:rsidRPr="006001C7">
        <w:rPr>
          <w:spacing w:val="-3"/>
        </w:rPr>
        <w:t xml:space="preserve">omplainant at the address stated on the Complaint, was never returned. </w:t>
      </w:r>
      <w:r>
        <w:rPr>
          <w:spacing w:val="-3"/>
        </w:rPr>
        <w:t xml:space="preserve"> </w:t>
      </w:r>
      <w:r w:rsidRPr="006001C7">
        <w:t xml:space="preserve">Notice mailed to a party’s last known address and not returned by the post office is presumed to have been received.  </w:t>
      </w:r>
      <w:r w:rsidRPr="006001C7">
        <w:rPr>
          <w:i/>
          <w:spacing w:val="-3"/>
        </w:rPr>
        <w:t>Meierdierck v. Miller</w:t>
      </w:r>
      <w:r w:rsidRPr="006001C7">
        <w:rPr>
          <w:spacing w:val="-3"/>
        </w:rPr>
        <w:t>, 394 Pa. 484, 147 A.2d 406 (1959</w:t>
      </w:r>
      <w:r w:rsidRPr="006001C7">
        <w:rPr>
          <w:i/>
          <w:spacing w:val="-3"/>
        </w:rPr>
        <w:t>); Berkowitz v. Mayflower Securities, Inc</w:t>
      </w:r>
      <w:r>
        <w:rPr>
          <w:spacing w:val="-3"/>
        </w:rPr>
        <w:t>.</w:t>
      </w:r>
      <w:r w:rsidRPr="006001C7">
        <w:rPr>
          <w:spacing w:val="-3"/>
        </w:rPr>
        <w:t xml:space="preserve">, 455 Pa. 531, 317 A.2d 584 (1974); </w:t>
      </w:r>
      <w:r w:rsidRPr="006001C7">
        <w:rPr>
          <w:i/>
          <w:spacing w:val="-3"/>
        </w:rPr>
        <w:t>Judge v. Celina Mutual Insurance C</w:t>
      </w:r>
      <w:r>
        <w:rPr>
          <w:i/>
          <w:spacing w:val="-3"/>
        </w:rPr>
        <w:t>o.</w:t>
      </w:r>
      <w:r>
        <w:rPr>
          <w:spacing w:val="-3"/>
        </w:rPr>
        <w:t>, 303 Pa.</w:t>
      </w:r>
      <w:r w:rsidRPr="006001C7">
        <w:rPr>
          <w:spacing w:val="-3"/>
        </w:rPr>
        <w:t>Super</w:t>
      </w:r>
      <w:r>
        <w:rPr>
          <w:spacing w:val="-3"/>
        </w:rPr>
        <w:t>.</w:t>
      </w:r>
      <w:r w:rsidRPr="006001C7">
        <w:rPr>
          <w:spacing w:val="-3"/>
        </w:rPr>
        <w:t xml:space="preserve"> Ct. 221, 444 A.2d 658 (1982); </w:t>
      </w:r>
      <w:r w:rsidRPr="006001C7">
        <w:rPr>
          <w:i/>
          <w:spacing w:val="-3"/>
        </w:rPr>
        <w:t>Samaras v. Hartwick</w:t>
      </w:r>
      <w:r w:rsidRPr="006001C7">
        <w:rPr>
          <w:spacing w:val="-3"/>
        </w:rPr>
        <w:t xml:space="preserve">, 698 A.2d 71 (Pa.Super. 1997); </w:t>
      </w:r>
      <w:r w:rsidRPr="006001C7">
        <w:rPr>
          <w:i/>
          <w:spacing w:val="-3"/>
        </w:rPr>
        <w:t>Chartiers Industrial and Commercial Development Auth. v. Allegheny Cty. Bd. of Property Assessment Appeals and Review</w:t>
      </w:r>
      <w:r>
        <w:rPr>
          <w:spacing w:val="-3"/>
        </w:rPr>
        <w:t>, 645 A.2d 944 (Pa.</w:t>
      </w:r>
      <w:r w:rsidRPr="006001C7">
        <w:rPr>
          <w:spacing w:val="-3"/>
        </w:rPr>
        <w:t xml:space="preserve">Cmwlth. 1994), alloc. den, 539 </w:t>
      </w:r>
      <w:smartTag w:uri="urn:schemas-microsoft-com:office:smarttags" w:element="place">
        <w:smartTag w:uri="urn:schemas-microsoft-com:office:smarttags" w:element="State">
          <w:r w:rsidRPr="006001C7">
            <w:rPr>
              <w:spacing w:val="-3"/>
            </w:rPr>
            <w:t>Pa.</w:t>
          </w:r>
        </w:smartTag>
      </w:smartTag>
      <w:r w:rsidRPr="006001C7">
        <w:rPr>
          <w:spacing w:val="-3"/>
        </w:rPr>
        <w:t xml:space="preserve"> 696, 653 A.2d 1234 (1994); </w:t>
      </w:r>
      <w:r w:rsidRPr="006001C7">
        <w:rPr>
          <w:i/>
          <w:spacing w:val="-3"/>
        </w:rPr>
        <w:t>Stewart v. Columbia Gas of Pennsylvania, Inc</w:t>
      </w:r>
      <w:r w:rsidRPr="006001C7">
        <w:rPr>
          <w:spacing w:val="-3"/>
        </w:rPr>
        <w:t>., Docket No. C-00957041</w:t>
      </w:r>
      <w:r>
        <w:rPr>
          <w:spacing w:val="-3"/>
        </w:rPr>
        <w:t>, Opinion and Order entered May </w:t>
      </w:r>
      <w:r w:rsidRPr="006001C7">
        <w:rPr>
          <w:spacing w:val="-3"/>
        </w:rPr>
        <w:t xml:space="preserve">10, 1996; </w:t>
      </w:r>
      <w:r w:rsidRPr="006001C7">
        <w:rPr>
          <w:i/>
          <w:spacing w:val="-3"/>
        </w:rPr>
        <w:t xml:space="preserve">Sentner v. Bell Telephone Company of Pennsylvania, </w:t>
      </w:r>
      <w:r>
        <w:rPr>
          <w:spacing w:val="-3"/>
        </w:rPr>
        <w:t xml:space="preserve">Docket No. </w:t>
      </w:r>
      <w:r w:rsidRPr="006001C7">
        <w:rPr>
          <w:spacing w:val="-3"/>
        </w:rPr>
        <w:t xml:space="preserve">F-00161106, Commission Opinion and Order entered October 25, 1993; and </w:t>
      </w:r>
      <w:r w:rsidRPr="006001C7">
        <w:rPr>
          <w:i/>
          <w:spacing w:val="-3"/>
        </w:rPr>
        <w:t>Moeller v. Duquesne Light Company</w:t>
      </w:r>
      <w:r w:rsidR="00B37ACF">
        <w:rPr>
          <w:spacing w:val="-3"/>
        </w:rPr>
        <w:t>, Docket No. Z</w:t>
      </w:r>
      <w:r w:rsidR="00B37ACF">
        <w:rPr>
          <w:spacing w:val="-3"/>
        </w:rPr>
        <w:noBreakHyphen/>
      </w:r>
      <w:r w:rsidRPr="006001C7">
        <w:rPr>
          <w:spacing w:val="-3"/>
        </w:rPr>
        <w:t>01215104, Commission Opinion and Order entered September 22, 2003.</w:t>
      </w:r>
    </w:p>
    <w:p w:rsidR="00CD1EF0" w:rsidRPr="006001C7" w:rsidRDefault="00CD1EF0" w:rsidP="00CD1EF0">
      <w:pPr>
        <w:spacing w:line="360" w:lineRule="auto"/>
        <w:rPr>
          <w:spacing w:val="-3"/>
        </w:rPr>
      </w:pPr>
    </w:p>
    <w:p w:rsidR="00CD1EF0" w:rsidRPr="006001C7" w:rsidRDefault="00CD1EF0" w:rsidP="00CD1EF0">
      <w:pPr>
        <w:spacing w:line="360" w:lineRule="auto"/>
        <w:rPr>
          <w:spacing w:val="-3"/>
        </w:rPr>
      </w:pPr>
      <w:r w:rsidRPr="006001C7">
        <w:rPr>
          <w:spacing w:val="-3"/>
        </w:rPr>
        <w:tab/>
      </w:r>
      <w:r w:rsidRPr="006001C7">
        <w:rPr>
          <w:spacing w:val="-3"/>
        </w:rPr>
        <w:tab/>
        <w:t>Section 332(f) of the P</w:t>
      </w:r>
      <w:r>
        <w:rPr>
          <w:spacing w:val="-3"/>
        </w:rPr>
        <w:t>ublic Utility Code, 66 Pa. C.S.</w:t>
      </w:r>
      <w:r w:rsidRPr="006001C7">
        <w:rPr>
          <w:spacing w:val="-3"/>
        </w:rPr>
        <w:t xml:space="preserve"> §332(f) provides in relevant part:</w:t>
      </w:r>
    </w:p>
    <w:p w:rsidR="00CD1EF0" w:rsidRPr="006001C7" w:rsidRDefault="00CD1EF0" w:rsidP="00CD1EF0">
      <w:pPr>
        <w:tabs>
          <w:tab w:val="left" w:pos="-1440"/>
          <w:tab w:val="left" w:pos="-720"/>
        </w:tabs>
        <w:suppressAutoHyphens/>
        <w:ind w:left="1440" w:right="1440" w:firstLine="720"/>
        <w:rPr>
          <w:spacing w:val="-3"/>
        </w:rPr>
      </w:pPr>
      <w:r w:rsidRPr="006001C7">
        <w:rPr>
          <w:spacing w:val="-3"/>
        </w:rPr>
        <w:lastRenderedPageBreak/>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CD1EF0" w:rsidRDefault="00CD1EF0" w:rsidP="00CD1EF0">
      <w:pPr>
        <w:tabs>
          <w:tab w:val="left" w:pos="-1440"/>
          <w:tab w:val="left" w:pos="-720"/>
        </w:tabs>
        <w:suppressAutoHyphens/>
        <w:ind w:firstLine="1440"/>
        <w:rPr>
          <w:spacing w:val="-3"/>
        </w:rPr>
      </w:pPr>
    </w:p>
    <w:p w:rsidR="00E53A36" w:rsidRDefault="00E53A36" w:rsidP="00E53A36">
      <w:pPr>
        <w:spacing w:line="360" w:lineRule="auto"/>
      </w:pPr>
    </w:p>
    <w:p w:rsidR="00CD1EF0" w:rsidRPr="006001C7" w:rsidRDefault="00B8232D" w:rsidP="00CD1EF0">
      <w:pPr>
        <w:tabs>
          <w:tab w:val="left" w:pos="-1440"/>
          <w:tab w:val="left" w:pos="-720"/>
        </w:tabs>
        <w:suppressAutoHyphens/>
        <w:spacing w:line="360" w:lineRule="auto"/>
        <w:ind w:firstLine="1440"/>
        <w:rPr>
          <w:spacing w:val="-3"/>
        </w:rPr>
      </w:pPr>
      <w:r>
        <w:rPr>
          <w:spacing w:val="-3"/>
        </w:rPr>
        <w:t>Since the C</w:t>
      </w:r>
      <w:r w:rsidR="00CD1EF0" w:rsidRPr="006001C7">
        <w:rPr>
          <w:spacing w:val="-3"/>
        </w:rPr>
        <w:t>omplainant did not participate in the hearing, the hearing was held</w:t>
      </w:r>
      <w:r w:rsidR="00CD1EF0">
        <w:rPr>
          <w:spacing w:val="-3"/>
        </w:rPr>
        <w:t xml:space="preserve"> in </w:t>
      </w:r>
      <w:r w:rsidR="00BE2649">
        <w:rPr>
          <w:spacing w:val="-3"/>
        </w:rPr>
        <w:t xml:space="preserve">his absence, in </w:t>
      </w:r>
      <w:r w:rsidR="00CD1EF0">
        <w:rPr>
          <w:spacing w:val="-3"/>
        </w:rPr>
        <w:t>accordance with 66 Pa. C.S.</w:t>
      </w:r>
      <w:r w:rsidR="00CD1EF0" w:rsidRPr="006001C7">
        <w:rPr>
          <w:spacing w:val="-3"/>
        </w:rPr>
        <w:t xml:space="preserve"> §332(f) and 52 Pa. Code §5.245</w:t>
      </w:r>
      <w:r w:rsidR="00BE2649">
        <w:rPr>
          <w:spacing w:val="-3"/>
        </w:rPr>
        <w:t>,</w:t>
      </w:r>
      <w:r w:rsidR="00CD1EF0" w:rsidRPr="006001C7">
        <w:rPr>
          <w:spacing w:val="-3"/>
        </w:rPr>
        <w:t xml:space="preserve"> and the record was closed. </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By not appear</w:t>
      </w:r>
      <w:r w:rsidR="00B8232D">
        <w:rPr>
          <w:spacing w:val="-3"/>
        </w:rPr>
        <w:t>ing for the scheduled hearing, C</w:t>
      </w:r>
      <w:r w:rsidRPr="006001C7">
        <w:rPr>
          <w:spacing w:val="-3"/>
        </w:rPr>
        <w:t xml:space="preserve">omplainant obviously failed to bear </w:t>
      </w:r>
      <w:r w:rsidR="00B8232D">
        <w:rPr>
          <w:spacing w:val="-3"/>
        </w:rPr>
        <w:t xml:space="preserve">his </w:t>
      </w:r>
      <w:r w:rsidRPr="006001C7">
        <w:rPr>
          <w:spacing w:val="-3"/>
        </w:rPr>
        <w:t xml:space="preserve">burden of proof.  Consequently, the Complaint must be dismissed.  </w:t>
      </w:r>
    </w:p>
    <w:p w:rsidR="00CD1EF0" w:rsidRPr="006001C7" w:rsidRDefault="00CD1EF0" w:rsidP="00CD1EF0">
      <w:pPr>
        <w:tabs>
          <w:tab w:val="left" w:pos="-1440"/>
          <w:tab w:val="left" w:pos="-720"/>
        </w:tabs>
        <w:suppressAutoHyphens/>
        <w:spacing w:line="360" w:lineRule="auto"/>
        <w:ind w:firstLine="1440"/>
        <w:rPr>
          <w:spacing w:val="-3"/>
        </w:rPr>
      </w:pPr>
    </w:p>
    <w:p w:rsidR="00E53A36" w:rsidRDefault="00B8232D" w:rsidP="00CD1EF0">
      <w:pPr>
        <w:tabs>
          <w:tab w:val="left" w:pos="-1440"/>
          <w:tab w:val="left" w:pos="-720"/>
        </w:tabs>
        <w:suppressAutoHyphens/>
        <w:spacing w:line="360" w:lineRule="auto"/>
        <w:ind w:firstLine="1440"/>
        <w:rPr>
          <w:spacing w:val="-3"/>
        </w:rPr>
      </w:pPr>
      <w:r>
        <w:rPr>
          <w:spacing w:val="-3"/>
        </w:rPr>
        <w:t xml:space="preserve">I note that this was the second telephone hearing scheduled in this case and the second time that Complainant failed to appear at the hearing.  </w:t>
      </w:r>
      <w:r w:rsidR="00CD1EF0" w:rsidRPr="006001C7">
        <w:rPr>
          <w:spacing w:val="-3"/>
        </w:rPr>
        <w:t>Complainant obviously was notified of the scheduled hea</w:t>
      </w:r>
      <w:r w:rsidR="0061719D">
        <w:rPr>
          <w:spacing w:val="-3"/>
        </w:rPr>
        <w:t>ring date and time, and Mrs. Curl’s actions</w:t>
      </w:r>
      <w:r w:rsidR="00026815">
        <w:rPr>
          <w:spacing w:val="-3"/>
        </w:rPr>
        <w:t>,</w:t>
      </w:r>
      <w:r w:rsidR="0061719D">
        <w:rPr>
          <w:spacing w:val="-3"/>
        </w:rPr>
        <w:t xml:space="preserve"> following the first hearing scheduled January 11, 2010</w:t>
      </w:r>
      <w:r w:rsidR="00026815">
        <w:rPr>
          <w:spacing w:val="-3"/>
        </w:rPr>
        <w:t>,</w:t>
      </w:r>
      <w:r w:rsidR="0097288C">
        <w:rPr>
          <w:spacing w:val="-3"/>
        </w:rPr>
        <w:t xml:space="preserve"> indicate that she is knowledgeable of the procedure for</w:t>
      </w:r>
      <w:r w:rsidR="00CD1EF0" w:rsidRPr="006001C7">
        <w:rPr>
          <w:spacing w:val="-3"/>
        </w:rPr>
        <w:t xml:space="preserve"> contact</w:t>
      </w:r>
      <w:r w:rsidR="0097288C">
        <w:rPr>
          <w:spacing w:val="-3"/>
        </w:rPr>
        <w:t>ing</w:t>
      </w:r>
      <w:r w:rsidR="00CD1EF0" w:rsidRPr="006001C7">
        <w:rPr>
          <w:spacing w:val="-3"/>
        </w:rPr>
        <w:t xml:space="preserve"> the OALJ office</w:t>
      </w:r>
      <w:r w:rsidR="0097288C">
        <w:rPr>
          <w:spacing w:val="-3"/>
        </w:rPr>
        <w:t xml:space="preserve"> and the presiding officer</w:t>
      </w:r>
      <w:r w:rsidR="00CD1EF0" w:rsidRPr="006001C7">
        <w:rPr>
          <w:spacing w:val="-3"/>
        </w:rPr>
        <w:t xml:space="preserve">.  Despite this, </w:t>
      </w:r>
      <w:r w:rsidR="0097288C">
        <w:rPr>
          <w:spacing w:val="-3"/>
        </w:rPr>
        <w:t xml:space="preserve">neither Complainant nor his wife </w:t>
      </w:r>
      <w:r w:rsidR="00CD1EF0" w:rsidRPr="006001C7">
        <w:rPr>
          <w:spacing w:val="-3"/>
        </w:rPr>
        <w:t xml:space="preserve">made </w:t>
      </w:r>
      <w:r w:rsidR="0097288C">
        <w:rPr>
          <w:spacing w:val="-3"/>
        </w:rPr>
        <w:t xml:space="preserve">any </w:t>
      </w:r>
      <w:r w:rsidR="00CD1EF0" w:rsidRPr="006001C7">
        <w:rPr>
          <w:spacing w:val="-3"/>
        </w:rPr>
        <w:t xml:space="preserve">attempt to notify me </w:t>
      </w:r>
      <w:r w:rsidR="0097288C">
        <w:rPr>
          <w:spacing w:val="-3"/>
        </w:rPr>
        <w:t xml:space="preserve">prior to the hearing </w:t>
      </w:r>
      <w:r w:rsidR="00CD1EF0" w:rsidRPr="006001C7">
        <w:rPr>
          <w:spacing w:val="-3"/>
        </w:rPr>
        <w:t>that</w:t>
      </w:r>
      <w:r w:rsidR="006E43CD">
        <w:rPr>
          <w:spacing w:val="-3"/>
        </w:rPr>
        <w:t xml:space="preserve"> Complainant was unable to attend the hearing of March 15, 2010</w:t>
      </w:r>
      <w:r w:rsidR="00CD1EF0" w:rsidRPr="006001C7">
        <w:rPr>
          <w:spacing w:val="-3"/>
        </w:rPr>
        <w:t>.</w:t>
      </w:r>
      <w:r w:rsidR="006E43CD">
        <w:rPr>
          <w:spacing w:val="-3"/>
        </w:rPr>
        <w:t xml:space="preserve">  </w:t>
      </w:r>
    </w:p>
    <w:p w:rsidR="00E53A36" w:rsidRDefault="00E53A36" w:rsidP="00CD1EF0">
      <w:pPr>
        <w:tabs>
          <w:tab w:val="left" w:pos="-1440"/>
          <w:tab w:val="left" w:pos="-720"/>
        </w:tabs>
        <w:suppressAutoHyphens/>
        <w:spacing w:line="360" w:lineRule="auto"/>
        <w:ind w:firstLine="1440"/>
        <w:rPr>
          <w:spacing w:val="-3"/>
        </w:rPr>
      </w:pPr>
    </w:p>
    <w:p w:rsidR="00BE2649" w:rsidRDefault="00BE2649" w:rsidP="00BE2649">
      <w:pPr>
        <w:spacing w:line="360" w:lineRule="auto"/>
        <w:ind w:firstLine="1440"/>
      </w:pPr>
      <w:r>
        <w:t>The telephone hearing convened as scheduled on March 15, 2010.  I attempted to contact Complainant at the new telephone number that he had provided in his written request for continuance of the hearing, (610) 565-XXXX.  My call was picked up by an answering machine where I left a voice message stating who I was, the reason for my call and that I would call back in a</w:t>
      </w:r>
      <w:r w:rsidR="00026815">
        <w:t>pproximately ten</w:t>
      </w:r>
      <w:r>
        <w:t xml:space="preserve"> minutes at which time, if Complainant remained unavailable, the hearing would proceed in his absence.  I also called the Complainant at his home telephone number (610) 457-XXXX listed in his Complaint.</w:t>
      </w:r>
      <w:r w:rsidR="00026815">
        <w:t xml:space="preserve">  I received a voice message from</w:t>
      </w:r>
      <w:r>
        <w:t xml:space="preserve"> the telephone company stating that “the subscriber you have called is not able to receive calls at this time.”  I called a ten-minute recess, and at approximately 10:25 a.m. I dialed the (610) 565-XXXX number one more time.  Again, I was not able to reach Mr. Curl and left </w:t>
      </w:r>
      <w:r>
        <w:lastRenderedPageBreak/>
        <w:t xml:space="preserve">another voice message informing the Complainant that the hearing would proceed in his absence.  </w:t>
      </w:r>
    </w:p>
    <w:p w:rsidR="00BE2649" w:rsidRDefault="00BE2649" w:rsidP="00BE2649">
      <w:pPr>
        <w:spacing w:line="360" w:lineRule="auto"/>
        <w:ind w:firstLine="1440"/>
      </w:pPr>
    </w:p>
    <w:p w:rsidR="006E43CD" w:rsidRPr="004B2E50" w:rsidRDefault="006E43CD" w:rsidP="004B2E50">
      <w:pPr>
        <w:spacing w:line="360" w:lineRule="auto"/>
        <w:ind w:firstLine="1440"/>
      </w:pPr>
      <w:r>
        <w:rPr>
          <w:spacing w:val="-3"/>
        </w:rPr>
        <w:t xml:space="preserve">The day after the hearing, Mrs. Curl apparently contacted the attorney for PECO, Mr. Massey, and informed him that </w:t>
      </w:r>
      <w:r w:rsidR="00E53A36" w:rsidRPr="002124E3">
        <w:rPr>
          <w:rFonts w:ascii="Times New Roman" w:hAnsi="Times New Roman" w:cs="Times New Roman"/>
        </w:rPr>
        <w:t>every time the presiding officer called on March 15, the connection had</w:t>
      </w:r>
      <w:r w:rsidR="00821BA4">
        <w:rPr>
          <w:rFonts w:ascii="Times New Roman" w:hAnsi="Times New Roman" w:cs="Times New Roman"/>
        </w:rPr>
        <w:t xml:space="preserve"> a lot of “static”, preventing Mrs. Curl</w:t>
      </w:r>
      <w:r w:rsidR="00E53A36" w:rsidRPr="002124E3">
        <w:rPr>
          <w:rFonts w:ascii="Times New Roman" w:hAnsi="Times New Roman" w:cs="Times New Roman"/>
        </w:rPr>
        <w:t xml:space="preserve"> from hearing the caller. </w:t>
      </w:r>
      <w:r w:rsidR="009916BB">
        <w:rPr>
          <w:rFonts w:ascii="Times New Roman" w:hAnsi="Times New Roman" w:cs="Times New Roman"/>
        </w:rPr>
        <w:t xml:space="preserve"> </w:t>
      </w:r>
      <w:r w:rsidR="003A1445">
        <w:rPr>
          <w:rFonts w:ascii="Times New Roman" w:hAnsi="Times New Roman" w:cs="Times New Roman"/>
        </w:rPr>
        <w:t xml:space="preserve">As mentioned above, after dialing Complainant’s </w:t>
      </w:r>
      <w:r w:rsidR="003A1445">
        <w:t xml:space="preserve">(610) 565-XXXX number I </w:t>
      </w:r>
      <w:r w:rsidR="003A1445">
        <w:rPr>
          <w:rFonts w:ascii="Times New Roman" w:hAnsi="Times New Roman" w:cs="Times New Roman"/>
        </w:rPr>
        <w:t>personally left two long messages in his answering machine.  At no point in time did I get the impression that someone had picked up the telephone and was trying to attrac</w:t>
      </w:r>
      <w:r w:rsidR="00867B21">
        <w:rPr>
          <w:rFonts w:ascii="Times New Roman" w:hAnsi="Times New Roman" w:cs="Times New Roman"/>
        </w:rPr>
        <w:t xml:space="preserve">t my attention or interrupt me halfway through my messages.  In addition, between my first and second call </w:t>
      </w:r>
      <w:r w:rsidR="00821BA4">
        <w:rPr>
          <w:rFonts w:ascii="Times New Roman" w:hAnsi="Times New Roman" w:cs="Times New Roman"/>
        </w:rPr>
        <w:t>to Complainant, there was a ten-</w:t>
      </w:r>
      <w:r w:rsidR="00867B21">
        <w:rPr>
          <w:rFonts w:ascii="Times New Roman" w:hAnsi="Times New Roman" w:cs="Times New Roman"/>
        </w:rPr>
        <w:t xml:space="preserve">minute </w:t>
      </w:r>
      <w:r w:rsidR="00821BA4">
        <w:rPr>
          <w:rFonts w:ascii="Times New Roman" w:hAnsi="Times New Roman" w:cs="Times New Roman"/>
        </w:rPr>
        <w:t xml:space="preserve">period </w:t>
      </w:r>
      <w:r w:rsidR="00867B21">
        <w:rPr>
          <w:rFonts w:ascii="Times New Roman" w:hAnsi="Times New Roman" w:cs="Times New Roman"/>
        </w:rPr>
        <w:t xml:space="preserve">when I called a recess with the specific purpose to give Complainant a chance to call me back. </w:t>
      </w:r>
      <w:r w:rsidR="004B2E50">
        <w:rPr>
          <w:rFonts w:ascii="Times New Roman" w:hAnsi="Times New Roman" w:cs="Times New Roman"/>
        </w:rPr>
        <w:t xml:space="preserve"> I received no calls from Complainant either during that 10-minute recess or after the hearing.</w:t>
      </w:r>
      <w:r w:rsidR="004B2E50" w:rsidRPr="004B2E50">
        <w:t xml:space="preserve"> </w:t>
      </w:r>
      <w:r w:rsidR="004B2E50">
        <w:t xml:space="preserve"> </w:t>
      </w:r>
      <w:r w:rsidR="004B2E50" w:rsidRPr="006B18A0">
        <w:t xml:space="preserve">To date, </w:t>
      </w:r>
      <w:r w:rsidR="00D942E6">
        <w:t>the Complainant has no</w:t>
      </w:r>
      <w:r w:rsidR="00095C57">
        <w:t>t</w:t>
      </w:r>
      <w:r w:rsidR="00D942E6">
        <w:t xml:space="preserve"> contacted the presiding officer regarding </w:t>
      </w:r>
      <w:r w:rsidR="004B2E50">
        <w:t xml:space="preserve">this Complaint.  </w:t>
      </w:r>
    </w:p>
    <w:p w:rsidR="006E43CD" w:rsidRDefault="006E43CD"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Under t</w:t>
      </w:r>
      <w:r w:rsidR="004B2E50">
        <w:rPr>
          <w:spacing w:val="-3"/>
        </w:rPr>
        <w:t>hese circumstances, it appears C</w:t>
      </w:r>
      <w:r w:rsidRPr="006001C7">
        <w:rPr>
          <w:spacing w:val="-3"/>
        </w:rPr>
        <w:t>omplainant had ample opportunity to appear and be heard in this proceeding, but voluntarily chose not to do so.  Therefore,</w:t>
      </w:r>
      <w:r w:rsidR="004B2E50">
        <w:rPr>
          <w:spacing w:val="-3"/>
        </w:rPr>
        <w:t xml:space="preserve"> the due process rights of the C</w:t>
      </w:r>
      <w:r w:rsidRPr="006001C7">
        <w:rPr>
          <w:spacing w:val="-3"/>
        </w:rPr>
        <w:t xml:space="preserve">omplainant have been fully protected.  </w:t>
      </w:r>
    </w:p>
    <w:p w:rsidR="00CD1EF0" w:rsidRPr="006001C7" w:rsidRDefault="00CD1EF0" w:rsidP="00CD1EF0">
      <w:pPr>
        <w:tabs>
          <w:tab w:val="left" w:pos="-1440"/>
          <w:tab w:val="left" w:pos="-720"/>
        </w:tabs>
        <w:suppressAutoHyphens/>
        <w:spacing w:line="360" w:lineRule="auto"/>
        <w:ind w:firstLine="1440"/>
        <w:rPr>
          <w:spacing w:val="-3"/>
        </w:rPr>
      </w:pPr>
    </w:p>
    <w:p w:rsidR="00CD1EF0" w:rsidRPr="006001C7" w:rsidRDefault="00CD1EF0" w:rsidP="00CD1EF0">
      <w:pPr>
        <w:tabs>
          <w:tab w:val="left" w:pos="-1440"/>
          <w:tab w:val="left" w:pos="-720"/>
        </w:tabs>
        <w:suppressAutoHyphens/>
        <w:spacing w:line="360" w:lineRule="auto"/>
        <w:ind w:firstLine="1440"/>
        <w:rPr>
          <w:spacing w:val="-3"/>
        </w:rPr>
      </w:pPr>
      <w:r w:rsidRPr="006001C7">
        <w:rPr>
          <w:spacing w:val="-3"/>
        </w:rPr>
        <w:t xml:space="preserve">As the Commission stated in </w:t>
      </w:r>
      <w:r w:rsidRPr="006001C7">
        <w:rPr>
          <w:i/>
          <w:spacing w:val="-3"/>
        </w:rPr>
        <w:t>Mumma v. PPL Electric Utilities Corp</w:t>
      </w:r>
      <w:r w:rsidR="00B37ACF">
        <w:rPr>
          <w:spacing w:val="-3"/>
        </w:rPr>
        <w:t>., Docket No. C</w:t>
      </w:r>
      <w:r w:rsidR="00B37ACF">
        <w:rPr>
          <w:spacing w:val="-3"/>
        </w:rPr>
        <w:noBreakHyphen/>
      </w:r>
      <w:r w:rsidRPr="006001C7">
        <w:rPr>
          <w:spacing w:val="-3"/>
        </w:rPr>
        <w:t>00014869, Commission Opinion and</w:t>
      </w:r>
      <w:r>
        <w:rPr>
          <w:spacing w:val="-3"/>
        </w:rPr>
        <w:t xml:space="preserve"> Order entered January 24, 2002</w:t>
      </w:r>
      <w:r w:rsidRPr="006001C7">
        <w:rPr>
          <w:spacing w:val="-3"/>
        </w:rPr>
        <w:t xml:space="preserve">, “It is well-established law that once timely notice of a hearing and the opportunity to be heard have been provided, it is the responsibility of the parties to be present and participate in the hearing.  See, </w:t>
      </w:r>
      <w:r w:rsidRPr="006001C7">
        <w:rPr>
          <w:i/>
          <w:spacing w:val="-3"/>
        </w:rPr>
        <w:t>Schneider v. P.U.C</w:t>
      </w:r>
      <w:r w:rsidRPr="006001C7">
        <w:rPr>
          <w:spacing w:val="-3"/>
        </w:rPr>
        <w:t xml:space="preserve">., 479 A.2d 10 (Pa.Cmwlth. 1984); </w:t>
      </w:r>
      <w:r w:rsidRPr="006001C7">
        <w:rPr>
          <w:i/>
          <w:spacing w:val="-3"/>
        </w:rPr>
        <w:t>Martin v. Duquesne Light Co</w:t>
      </w:r>
      <w:r w:rsidRPr="006001C7">
        <w:rPr>
          <w:spacing w:val="-3"/>
        </w:rPr>
        <w:t>., No. C-00992505 (Commission Order entered November 18, 1999).”  See also</w:t>
      </w:r>
      <w:r w:rsidRPr="006001C7">
        <w:rPr>
          <w:i/>
          <w:spacing w:val="-3"/>
        </w:rPr>
        <w:t>, Plummer v. Columbia Gas of Pa., Inc</w:t>
      </w:r>
      <w:r w:rsidRPr="006001C7">
        <w:rPr>
          <w:spacing w:val="-3"/>
        </w:rPr>
        <w:t>., Docket No. Z-00847836, Commission Opinion and Order entered September 27, 2001.</w:t>
      </w:r>
    </w:p>
    <w:p w:rsidR="00CD1EF0" w:rsidRPr="006001C7" w:rsidRDefault="00CD1EF0" w:rsidP="00CD1EF0">
      <w:pPr>
        <w:tabs>
          <w:tab w:val="left" w:pos="-1440"/>
          <w:tab w:val="left" w:pos="-720"/>
        </w:tabs>
        <w:suppressAutoHyphens/>
        <w:spacing w:line="360" w:lineRule="auto"/>
        <w:ind w:firstLine="1440"/>
        <w:rPr>
          <w:spacing w:val="-3"/>
        </w:rPr>
      </w:pPr>
    </w:p>
    <w:p w:rsidR="00CD1EF0" w:rsidRDefault="00CD1EF0" w:rsidP="00CD1EF0">
      <w:pPr>
        <w:tabs>
          <w:tab w:val="left" w:pos="-1440"/>
          <w:tab w:val="left" w:pos="-720"/>
        </w:tabs>
        <w:suppressAutoHyphens/>
        <w:spacing w:line="360" w:lineRule="auto"/>
        <w:ind w:firstLine="1440"/>
        <w:rPr>
          <w:spacing w:val="-3"/>
        </w:rPr>
      </w:pPr>
      <w:r w:rsidRPr="006001C7">
        <w:rPr>
          <w:spacing w:val="-3"/>
        </w:rPr>
        <w:t>Due to the</w:t>
      </w:r>
      <w:r>
        <w:rPr>
          <w:spacing w:val="-3"/>
        </w:rPr>
        <w:t xml:space="preserve"> waste of the Commission’s and R</w:t>
      </w:r>
      <w:r w:rsidRPr="006001C7">
        <w:rPr>
          <w:spacing w:val="-3"/>
        </w:rPr>
        <w:t>espondent’s time, m</w:t>
      </w:r>
      <w:r>
        <w:rPr>
          <w:spacing w:val="-3"/>
        </w:rPr>
        <w:t>oney, and energy occasioned by C</w:t>
      </w:r>
      <w:r w:rsidRPr="006001C7">
        <w:rPr>
          <w:spacing w:val="-3"/>
        </w:rPr>
        <w:t>omplainant’s failure t</w:t>
      </w:r>
      <w:r w:rsidR="00D942E6">
        <w:rPr>
          <w:spacing w:val="-3"/>
        </w:rPr>
        <w:t xml:space="preserve">o appear at a hearing of which </w:t>
      </w:r>
      <w:r w:rsidRPr="006001C7">
        <w:rPr>
          <w:spacing w:val="-3"/>
        </w:rPr>
        <w:t xml:space="preserve">he had notice, this Complaint will be dismissed with prejudice in accordance with well-established Commission precedent. </w:t>
      </w:r>
      <w:r>
        <w:rPr>
          <w:spacing w:val="-3"/>
        </w:rPr>
        <w:t xml:space="preserve"> </w:t>
      </w:r>
      <w:smartTag w:uri="urn:schemas-microsoft-com:office:smarttags" w:element="place">
        <w:r w:rsidRPr="006001C7">
          <w:rPr>
            <w:i/>
            <w:spacing w:val="-3"/>
          </w:rPr>
          <w:lastRenderedPageBreak/>
          <w:t>Jefferson</w:t>
        </w:r>
      </w:smartTag>
      <w:r w:rsidRPr="006001C7">
        <w:rPr>
          <w:i/>
          <w:spacing w:val="-3"/>
        </w:rPr>
        <w:t xml:space="preserve"> v. UGI Utilities, Inc</w:t>
      </w:r>
      <w:r w:rsidRPr="006001C7">
        <w:rPr>
          <w:spacing w:val="-3"/>
        </w:rPr>
        <w:t xml:space="preserve">., Docket No. Z-00269892, Commission Opinion and Order entered December 26, 1995; </w:t>
      </w:r>
      <w:r w:rsidRPr="006001C7">
        <w:rPr>
          <w:i/>
          <w:spacing w:val="-3"/>
        </w:rPr>
        <w:t>Evans v. Bell Atlantic-Pennsylvania, Inc.</w:t>
      </w:r>
      <w:r w:rsidRPr="006001C7">
        <w:rPr>
          <w:spacing w:val="-3"/>
        </w:rPr>
        <w:t xml:space="preserve">, Docket No. C-00957229, Commission Opinion and Order entered July 12, 1996; </w:t>
      </w:r>
      <w:r w:rsidRPr="006001C7">
        <w:rPr>
          <w:i/>
          <w:spacing w:val="-3"/>
        </w:rPr>
        <w:t>King v. PECO Energy Company</w:t>
      </w:r>
      <w:r w:rsidRPr="006001C7">
        <w:rPr>
          <w:spacing w:val="-3"/>
        </w:rPr>
        <w:t xml:space="preserve">, Docket No. C-00967919, Commission Opinion and Order entered January 16, 1997; </w:t>
      </w:r>
      <w:r w:rsidRPr="006001C7">
        <w:rPr>
          <w:i/>
          <w:spacing w:val="-3"/>
        </w:rPr>
        <w:t>Kenny v. PPL Electric Utilities Corporation</w:t>
      </w:r>
      <w:r w:rsidRPr="006001C7">
        <w:rPr>
          <w:spacing w:val="-3"/>
        </w:rPr>
        <w:t>, Docket No. C-20042399, Commission Final Order entered October 13, 2004</w:t>
      </w:r>
      <w:r w:rsidRPr="006001C7">
        <w:rPr>
          <w:i/>
          <w:spacing w:val="-3"/>
        </w:rPr>
        <w:t xml:space="preserve">; </w:t>
      </w:r>
      <w:r w:rsidRPr="006001C7">
        <w:rPr>
          <w:i/>
        </w:rPr>
        <w:t>Jones v. The Peoples Natural Gas Company d/b/a Dominion Peoples</w:t>
      </w:r>
      <w:r w:rsidRPr="006001C7">
        <w:t>, Docket No. C-20054885</w:t>
      </w:r>
      <w:r w:rsidRPr="006001C7">
        <w:rPr>
          <w:spacing w:val="-3"/>
        </w:rPr>
        <w:t>, Commission Opinion and Order entered February 14, 2006.</w:t>
      </w:r>
    </w:p>
    <w:p w:rsidR="002124E3" w:rsidRPr="00F846F5" w:rsidRDefault="002124E3" w:rsidP="002124E3">
      <w:pPr>
        <w:spacing w:line="233" w:lineRule="auto"/>
        <w:jc w:val="both"/>
      </w:pPr>
    </w:p>
    <w:p w:rsidR="007F6CF2" w:rsidRPr="006001C7" w:rsidRDefault="007F6CF2" w:rsidP="007F6CF2">
      <w:pPr>
        <w:tabs>
          <w:tab w:val="center" w:pos="4680"/>
        </w:tabs>
        <w:suppressAutoHyphens/>
        <w:spacing w:line="360" w:lineRule="auto"/>
        <w:jc w:val="center"/>
        <w:outlineLvl w:val="0"/>
        <w:rPr>
          <w:spacing w:val="-3"/>
          <w:u w:val="single"/>
        </w:rPr>
      </w:pPr>
      <w:r w:rsidRPr="006001C7">
        <w:rPr>
          <w:spacing w:val="-3"/>
          <w:u w:val="single"/>
        </w:rPr>
        <w:t>CONCLUSIONS OF LAW</w:t>
      </w:r>
    </w:p>
    <w:p w:rsidR="007F6CF2" w:rsidRPr="006001C7" w:rsidRDefault="007F6CF2" w:rsidP="007F6CF2">
      <w:pPr>
        <w:tabs>
          <w:tab w:val="center" w:pos="4680"/>
        </w:tabs>
        <w:suppressAutoHyphens/>
        <w:spacing w:line="360" w:lineRule="auto"/>
        <w:ind w:firstLine="1440"/>
        <w:rPr>
          <w:spacing w:val="-3"/>
          <w:u w:val="single"/>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1.</w:t>
      </w:r>
      <w:r w:rsidRPr="006001C7">
        <w:rPr>
          <w:spacing w:val="-3"/>
        </w:rPr>
        <w:tab/>
        <w:t>The Commission has jurisdiction over the parties and the subject matter in this proceeding.</w:t>
      </w:r>
    </w:p>
    <w:p w:rsidR="007F6CF2" w:rsidRPr="006001C7" w:rsidRDefault="007F6CF2" w:rsidP="007F6CF2">
      <w:pPr>
        <w:tabs>
          <w:tab w:val="left" w:pos="-1440"/>
          <w:tab w:val="left" w:pos="-720"/>
        </w:tabs>
        <w:suppressAutoHyphens/>
        <w:spacing w:line="360" w:lineRule="auto"/>
        <w:ind w:firstLine="1440"/>
        <w:rPr>
          <w:spacing w:val="-3"/>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2.</w:t>
      </w:r>
      <w:r w:rsidRPr="006001C7">
        <w:rPr>
          <w:spacing w:val="-3"/>
        </w:rPr>
        <w:tab/>
        <w:t>Pursuant to 66 Pa.C.S. §332(a), the burden of proof in this proceeding is upon complainant.</w:t>
      </w:r>
    </w:p>
    <w:p w:rsidR="007F6CF2" w:rsidRPr="006001C7" w:rsidRDefault="007F6CF2" w:rsidP="007F6CF2">
      <w:pPr>
        <w:tabs>
          <w:tab w:val="left" w:pos="-1440"/>
          <w:tab w:val="left" w:pos="-720"/>
        </w:tabs>
        <w:suppressAutoHyphens/>
        <w:spacing w:line="360" w:lineRule="auto"/>
        <w:ind w:firstLine="1440"/>
        <w:rPr>
          <w:spacing w:val="-3"/>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3.</w:t>
      </w:r>
      <w:r w:rsidRPr="006001C7">
        <w:rPr>
          <w:spacing w:val="-3"/>
        </w:rPr>
        <w:tab/>
        <w:t>Complainants alleging an inability to pay for utility service rendered have the burden of proof as to the alleged inability.</w:t>
      </w:r>
    </w:p>
    <w:p w:rsidR="007F6CF2" w:rsidRPr="006001C7" w:rsidRDefault="007F6CF2" w:rsidP="007F6CF2">
      <w:pPr>
        <w:tabs>
          <w:tab w:val="left" w:pos="-1440"/>
          <w:tab w:val="left" w:pos="-720"/>
        </w:tabs>
        <w:suppressAutoHyphens/>
        <w:spacing w:line="360" w:lineRule="auto"/>
        <w:ind w:firstLine="1440"/>
        <w:rPr>
          <w:spacing w:val="-3"/>
        </w:rPr>
      </w:pPr>
    </w:p>
    <w:p w:rsidR="007F6CF2" w:rsidRPr="006001C7" w:rsidRDefault="007F6CF2" w:rsidP="007F6CF2">
      <w:pPr>
        <w:spacing w:line="360" w:lineRule="auto"/>
      </w:pPr>
      <w:r w:rsidRPr="006001C7">
        <w:rPr>
          <w:spacing w:val="-3"/>
        </w:rPr>
        <w:tab/>
      </w:r>
      <w:r w:rsidRPr="006001C7">
        <w:rPr>
          <w:spacing w:val="-3"/>
        </w:rPr>
        <w:tab/>
        <w:t>4.</w:t>
      </w:r>
      <w:r w:rsidRPr="006001C7">
        <w:rPr>
          <w:spacing w:val="-3"/>
        </w:rPr>
        <w:tab/>
        <w:t xml:space="preserve">Notice properly mailed to a party’s last known address and not returned is presumed to have been received.  </w:t>
      </w:r>
    </w:p>
    <w:p w:rsidR="007F6CF2" w:rsidRPr="006001C7" w:rsidRDefault="007F6CF2" w:rsidP="007F6CF2">
      <w:pPr>
        <w:tabs>
          <w:tab w:val="left" w:pos="-1440"/>
          <w:tab w:val="left" w:pos="-720"/>
        </w:tabs>
        <w:suppressAutoHyphens/>
        <w:spacing w:line="360" w:lineRule="auto"/>
        <w:ind w:firstLine="1440"/>
        <w:rPr>
          <w:spacing w:val="-3"/>
        </w:rPr>
      </w:pPr>
    </w:p>
    <w:p w:rsidR="007F6CF2" w:rsidRDefault="007F6CF2" w:rsidP="007F6CF2">
      <w:pPr>
        <w:tabs>
          <w:tab w:val="left" w:pos="-1440"/>
          <w:tab w:val="left" w:pos="-720"/>
        </w:tabs>
        <w:suppressAutoHyphens/>
        <w:spacing w:line="360" w:lineRule="auto"/>
        <w:ind w:firstLine="1440"/>
        <w:rPr>
          <w:spacing w:val="-3"/>
        </w:rPr>
      </w:pPr>
      <w:r w:rsidRPr="006001C7">
        <w:rPr>
          <w:spacing w:val="-3"/>
        </w:rPr>
        <w:t>5.</w:t>
      </w:r>
      <w:r w:rsidRPr="006001C7">
        <w:rPr>
          <w:spacing w:val="-3"/>
        </w:rPr>
        <w:tab/>
        <w:t>By failing to appear at the scheduled hearing and failing to present any evidence, complainant has failed to satisfy the burden of proof.</w:t>
      </w:r>
    </w:p>
    <w:p w:rsidR="003854A0" w:rsidRPr="006001C7" w:rsidRDefault="003854A0" w:rsidP="007F6CF2">
      <w:pPr>
        <w:tabs>
          <w:tab w:val="left" w:pos="-1440"/>
          <w:tab w:val="left" w:pos="-720"/>
        </w:tabs>
        <w:suppressAutoHyphens/>
        <w:spacing w:line="360" w:lineRule="auto"/>
        <w:ind w:firstLine="1440"/>
        <w:rPr>
          <w:spacing w:val="-3"/>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6.</w:t>
      </w:r>
      <w:r w:rsidRPr="006001C7">
        <w:rPr>
          <w:spacing w:val="-3"/>
        </w:rPr>
        <w:tab/>
        <w:t>The due process rights of complainant have been fully protected in this proceeding.</w:t>
      </w:r>
    </w:p>
    <w:p w:rsidR="007F6CF2" w:rsidRPr="006001C7" w:rsidRDefault="007F6CF2" w:rsidP="007F6CF2">
      <w:pPr>
        <w:tabs>
          <w:tab w:val="left" w:pos="-1440"/>
          <w:tab w:val="left" w:pos="-720"/>
        </w:tabs>
        <w:suppressAutoHyphens/>
        <w:spacing w:line="360" w:lineRule="auto"/>
        <w:ind w:firstLine="1440"/>
        <w:rPr>
          <w:spacing w:val="-3"/>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7.</w:t>
      </w:r>
      <w:r w:rsidRPr="006001C7">
        <w:rPr>
          <w:spacing w:val="-3"/>
        </w:rPr>
        <w:tab/>
        <w:t>A formal complaint may be dismissed if, after notice and opportunity to be heard, a complainant fails to appear and prosecute the complaint.</w:t>
      </w:r>
    </w:p>
    <w:p w:rsidR="007F6CF2" w:rsidRPr="006001C7" w:rsidRDefault="007F6CF2" w:rsidP="007F6CF2">
      <w:pPr>
        <w:tabs>
          <w:tab w:val="left" w:pos="-1440"/>
          <w:tab w:val="left" w:pos="-720"/>
        </w:tabs>
        <w:suppressAutoHyphens/>
        <w:spacing w:line="360" w:lineRule="auto"/>
        <w:ind w:firstLine="1440"/>
        <w:rPr>
          <w:spacing w:val="-3"/>
        </w:rPr>
      </w:pPr>
    </w:p>
    <w:p w:rsidR="007F6CF2" w:rsidRPr="006001C7" w:rsidRDefault="007F6CF2" w:rsidP="007F6CF2">
      <w:pPr>
        <w:tabs>
          <w:tab w:val="left" w:pos="-1440"/>
          <w:tab w:val="left" w:pos="-720"/>
        </w:tabs>
        <w:suppressAutoHyphens/>
        <w:spacing w:line="360" w:lineRule="auto"/>
        <w:ind w:firstLine="1440"/>
        <w:rPr>
          <w:spacing w:val="-3"/>
        </w:rPr>
      </w:pPr>
      <w:r w:rsidRPr="006001C7">
        <w:rPr>
          <w:spacing w:val="-3"/>
        </w:rPr>
        <w:t>8.</w:t>
      </w:r>
      <w:r w:rsidRPr="006001C7">
        <w:rPr>
          <w:spacing w:val="-3"/>
        </w:rPr>
        <w:tab/>
        <w:t>The failure of the complainant to appear for a scheduled hearing of which she had notice warrants dismissal of the Complaint with prejudice.</w:t>
      </w:r>
    </w:p>
    <w:p w:rsidR="002124E3" w:rsidRDefault="002124E3" w:rsidP="002124E3">
      <w:pPr>
        <w:spacing w:line="360" w:lineRule="auto"/>
      </w:pPr>
    </w:p>
    <w:p w:rsidR="002124E3" w:rsidRDefault="002124E3" w:rsidP="002124E3">
      <w:pPr>
        <w:spacing w:line="360" w:lineRule="auto"/>
        <w:jc w:val="center"/>
        <w:rPr>
          <w:u w:val="single"/>
        </w:rPr>
      </w:pPr>
      <w:r w:rsidRPr="00390400">
        <w:rPr>
          <w:u w:val="single"/>
        </w:rPr>
        <w:t>ORDER</w:t>
      </w:r>
    </w:p>
    <w:p w:rsidR="001277BA" w:rsidRPr="00390400" w:rsidRDefault="001277BA" w:rsidP="002124E3">
      <w:pPr>
        <w:spacing w:line="360" w:lineRule="auto"/>
        <w:jc w:val="center"/>
        <w:rPr>
          <w:u w:val="single"/>
        </w:rPr>
      </w:pPr>
    </w:p>
    <w:p w:rsidR="002124E3" w:rsidRDefault="002124E3" w:rsidP="002124E3">
      <w:pPr>
        <w:spacing w:line="360" w:lineRule="auto"/>
      </w:pPr>
    </w:p>
    <w:p w:rsidR="002124E3" w:rsidRDefault="002124E3" w:rsidP="002124E3">
      <w:pPr>
        <w:spacing w:line="360" w:lineRule="auto"/>
        <w:ind w:left="720" w:firstLine="720"/>
      </w:pPr>
      <w:r>
        <w:t>THEREFORE,</w:t>
      </w:r>
    </w:p>
    <w:p w:rsidR="002124E3" w:rsidRDefault="002124E3" w:rsidP="002124E3">
      <w:pPr>
        <w:spacing w:line="360" w:lineRule="auto"/>
      </w:pPr>
    </w:p>
    <w:p w:rsidR="002124E3" w:rsidRDefault="002124E3" w:rsidP="002124E3">
      <w:pPr>
        <w:spacing w:line="360" w:lineRule="auto"/>
        <w:ind w:left="720" w:firstLine="720"/>
      </w:pPr>
      <w:r>
        <w:t>IT IS ORDERED:</w:t>
      </w:r>
    </w:p>
    <w:p w:rsidR="002124E3" w:rsidRDefault="002124E3" w:rsidP="002124E3">
      <w:pPr>
        <w:spacing w:line="360" w:lineRule="auto"/>
      </w:pPr>
    </w:p>
    <w:p w:rsidR="002124E3" w:rsidRPr="00F846F5" w:rsidRDefault="002124E3" w:rsidP="002124E3">
      <w:pPr>
        <w:spacing w:line="360" w:lineRule="auto"/>
      </w:pPr>
      <w:r>
        <w:tab/>
      </w:r>
      <w:r>
        <w:tab/>
        <w:t>1.</w:t>
      </w:r>
      <w:r>
        <w:tab/>
        <w:t xml:space="preserve">That the motion </w:t>
      </w:r>
      <w:r w:rsidRPr="00F846F5">
        <w:t xml:space="preserve">of </w:t>
      </w:r>
      <w:r>
        <w:t xml:space="preserve">PECO Energy Company to dismiss the formal Complaint of </w:t>
      </w:r>
      <w:r w:rsidR="000178CA">
        <w:t>Allan Curl</w:t>
      </w:r>
      <w:r>
        <w:t xml:space="preserve"> at Docket No. C-2009-2112764 is granted.</w:t>
      </w:r>
    </w:p>
    <w:p w:rsidR="002124E3" w:rsidRDefault="002124E3" w:rsidP="002124E3">
      <w:pPr>
        <w:spacing w:line="360" w:lineRule="auto"/>
      </w:pPr>
    </w:p>
    <w:p w:rsidR="002124E3" w:rsidRDefault="002124E3" w:rsidP="002124E3">
      <w:pPr>
        <w:spacing w:line="360" w:lineRule="auto"/>
        <w:ind w:firstLine="1440"/>
      </w:pPr>
      <w:r>
        <w:t>2.</w:t>
      </w:r>
      <w:r>
        <w:tab/>
        <w:t xml:space="preserve">That the complaint filed by </w:t>
      </w:r>
      <w:r w:rsidR="000178CA">
        <w:t>Allan Curl</w:t>
      </w:r>
      <w:r>
        <w:t xml:space="preserve"> against</w:t>
      </w:r>
      <w:r w:rsidRPr="00F846F5">
        <w:t xml:space="preserve"> </w:t>
      </w:r>
      <w:r>
        <w:t>PECO Energy Company at Docket No. C-2009-2112764 is dismissed with prejudice for failure to prosecute.</w:t>
      </w:r>
    </w:p>
    <w:p w:rsidR="002124E3" w:rsidRDefault="002124E3" w:rsidP="002124E3">
      <w:pPr>
        <w:spacing w:line="360" w:lineRule="auto"/>
      </w:pPr>
    </w:p>
    <w:p w:rsidR="002124E3" w:rsidRDefault="002124E3" w:rsidP="002124E3">
      <w:pPr>
        <w:spacing w:line="360" w:lineRule="auto"/>
      </w:pPr>
      <w:r>
        <w:tab/>
      </w:r>
      <w:r>
        <w:tab/>
        <w:t>3.</w:t>
      </w:r>
      <w:r>
        <w:tab/>
        <w:t>That the Secretary’s Bureau should mark this matter closed.</w:t>
      </w:r>
    </w:p>
    <w:p w:rsidR="002124E3" w:rsidRDefault="002124E3" w:rsidP="002124E3">
      <w:pPr>
        <w:spacing w:line="360" w:lineRule="auto"/>
      </w:pPr>
    </w:p>
    <w:p w:rsidR="002124E3" w:rsidRDefault="002124E3" w:rsidP="002124E3">
      <w:pPr>
        <w:spacing w:line="360" w:lineRule="auto"/>
      </w:pPr>
    </w:p>
    <w:p w:rsidR="002124E3" w:rsidRDefault="002124E3" w:rsidP="002124E3">
      <w:r>
        <w:t xml:space="preserve">Date:  </w:t>
      </w:r>
      <w:r w:rsidR="007F6CF2">
        <w:rPr>
          <w:u w:val="single"/>
        </w:rPr>
        <w:t>March 19, 2010</w:t>
      </w:r>
      <w:r>
        <w:tab/>
      </w:r>
      <w:r>
        <w:tab/>
      </w:r>
      <w:r w:rsidR="007F6CF2">
        <w:tab/>
      </w:r>
      <w:r>
        <w:tab/>
      </w:r>
      <w:r>
        <w:tab/>
      </w:r>
      <w:r>
        <w:tab/>
        <w:t>________________________</w:t>
      </w:r>
    </w:p>
    <w:p w:rsidR="002124E3" w:rsidRDefault="002124E3" w:rsidP="002124E3">
      <w:r>
        <w:tab/>
      </w:r>
      <w:r>
        <w:tab/>
      </w:r>
      <w:r>
        <w:tab/>
      </w:r>
      <w:r>
        <w:tab/>
      </w:r>
      <w:r>
        <w:tab/>
      </w:r>
      <w:r>
        <w:tab/>
      </w:r>
      <w:r>
        <w:tab/>
      </w:r>
      <w:r>
        <w:tab/>
      </w:r>
      <w:r>
        <w:tab/>
        <w:t>Eranda Vero</w:t>
      </w:r>
    </w:p>
    <w:p w:rsidR="002124E3" w:rsidRPr="007329A9" w:rsidRDefault="002124E3" w:rsidP="002124E3">
      <w:r>
        <w:tab/>
      </w:r>
      <w:r>
        <w:tab/>
      </w:r>
      <w:r>
        <w:tab/>
      </w:r>
      <w:r>
        <w:tab/>
      </w:r>
      <w:r>
        <w:tab/>
      </w:r>
      <w:r>
        <w:tab/>
      </w:r>
      <w:r>
        <w:tab/>
      </w:r>
      <w:r>
        <w:tab/>
      </w:r>
      <w:r>
        <w:tab/>
        <w:t>Special Agent</w:t>
      </w:r>
    </w:p>
    <w:p w:rsidR="00415C1A" w:rsidRPr="006001C7" w:rsidRDefault="00415C1A" w:rsidP="00415C1A">
      <w:pPr>
        <w:tabs>
          <w:tab w:val="left" w:pos="-1440"/>
          <w:tab w:val="left" w:pos="-720"/>
        </w:tabs>
        <w:suppressAutoHyphens/>
        <w:spacing w:line="360" w:lineRule="auto"/>
        <w:ind w:firstLine="1440"/>
        <w:rPr>
          <w:spacing w:val="-3"/>
        </w:rPr>
      </w:pPr>
    </w:p>
    <w:p w:rsidR="00415C1A" w:rsidRPr="006001C7" w:rsidRDefault="00415C1A" w:rsidP="00415C1A">
      <w:pPr>
        <w:tabs>
          <w:tab w:val="left" w:pos="-1440"/>
          <w:tab w:val="left" w:pos="-720"/>
        </w:tabs>
        <w:suppressAutoHyphens/>
        <w:spacing w:line="360" w:lineRule="auto"/>
        <w:ind w:firstLine="1440"/>
        <w:rPr>
          <w:spacing w:val="-3"/>
        </w:rPr>
      </w:pPr>
    </w:p>
    <w:p w:rsidR="00F90038" w:rsidRDefault="00F90038" w:rsidP="001277BA">
      <w:pPr>
        <w:tabs>
          <w:tab w:val="left" w:pos="-1440"/>
          <w:tab w:val="left" w:pos="-720"/>
        </w:tabs>
        <w:suppressAutoHyphens/>
        <w:spacing w:line="360" w:lineRule="auto"/>
      </w:pPr>
    </w:p>
    <w:sectPr w:rsidR="00F90038" w:rsidSect="00E6721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5D0" w:rsidRDefault="00FF15D0" w:rsidP="004A7801">
      <w:r>
        <w:separator/>
      </w:r>
    </w:p>
  </w:endnote>
  <w:endnote w:type="continuationSeparator" w:id="0">
    <w:p w:rsidR="00FF15D0" w:rsidRDefault="00FF15D0" w:rsidP="004A7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770907"/>
      <w:docPartObj>
        <w:docPartGallery w:val="Page Numbers (Bottom of Page)"/>
        <w:docPartUnique/>
      </w:docPartObj>
    </w:sdtPr>
    <w:sdtContent>
      <w:p w:rsidR="00867B21" w:rsidRDefault="006A0A39">
        <w:pPr>
          <w:pStyle w:val="Footer"/>
          <w:jc w:val="center"/>
        </w:pPr>
        <w:r w:rsidRPr="00EA5858">
          <w:rPr>
            <w:sz w:val="20"/>
            <w:szCs w:val="20"/>
          </w:rPr>
          <w:fldChar w:fldCharType="begin"/>
        </w:r>
        <w:r w:rsidRPr="00EA5858">
          <w:rPr>
            <w:sz w:val="20"/>
            <w:szCs w:val="20"/>
          </w:rPr>
          <w:instrText xml:space="preserve"> PAGE   \* MERGEFORMAT </w:instrText>
        </w:r>
        <w:r w:rsidRPr="00EA5858">
          <w:rPr>
            <w:sz w:val="20"/>
            <w:szCs w:val="20"/>
          </w:rPr>
          <w:fldChar w:fldCharType="separate"/>
        </w:r>
        <w:r w:rsidR="000E036A">
          <w:rPr>
            <w:noProof/>
            <w:sz w:val="20"/>
            <w:szCs w:val="20"/>
          </w:rPr>
          <w:t>12</w:t>
        </w:r>
        <w:r w:rsidRPr="00EA5858">
          <w:rPr>
            <w:sz w:val="20"/>
            <w:szCs w:val="20"/>
          </w:rPr>
          <w:fldChar w:fldCharType="end"/>
        </w:r>
      </w:p>
    </w:sdtContent>
  </w:sdt>
  <w:p w:rsidR="00867B21" w:rsidRDefault="00867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5D0" w:rsidRDefault="00FF15D0" w:rsidP="004A7801">
      <w:r>
        <w:separator/>
      </w:r>
    </w:p>
  </w:footnote>
  <w:footnote w:type="continuationSeparator" w:id="0">
    <w:p w:rsidR="00FF15D0" w:rsidRDefault="00FF15D0" w:rsidP="004A7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985987"/>
    <w:multiLevelType w:val="hybridMultilevel"/>
    <w:tmpl w:val="5A84CBEA"/>
    <w:lvl w:ilvl="0" w:tplc="33861E1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2B30AB"/>
    <w:rsid w:val="0000470F"/>
    <w:rsid w:val="000051DD"/>
    <w:rsid w:val="000068D5"/>
    <w:rsid w:val="000115F2"/>
    <w:rsid w:val="00014304"/>
    <w:rsid w:val="00016B73"/>
    <w:rsid w:val="000178CA"/>
    <w:rsid w:val="00021EA0"/>
    <w:rsid w:val="00022505"/>
    <w:rsid w:val="00025668"/>
    <w:rsid w:val="0002592A"/>
    <w:rsid w:val="00026710"/>
    <w:rsid w:val="00026815"/>
    <w:rsid w:val="00027A04"/>
    <w:rsid w:val="0003399E"/>
    <w:rsid w:val="000376F9"/>
    <w:rsid w:val="0005066D"/>
    <w:rsid w:val="0005071B"/>
    <w:rsid w:val="00050E0C"/>
    <w:rsid w:val="000609B6"/>
    <w:rsid w:val="00061364"/>
    <w:rsid w:val="0006608A"/>
    <w:rsid w:val="000700AB"/>
    <w:rsid w:val="00075E7E"/>
    <w:rsid w:val="00077BC2"/>
    <w:rsid w:val="00082685"/>
    <w:rsid w:val="0009147B"/>
    <w:rsid w:val="00092F06"/>
    <w:rsid w:val="000943BE"/>
    <w:rsid w:val="00095C57"/>
    <w:rsid w:val="000974B4"/>
    <w:rsid w:val="000977CD"/>
    <w:rsid w:val="000A18DD"/>
    <w:rsid w:val="000A4939"/>
    <w:rsid w:val="000B3AB8"/>
    <w:rsid w:val="000B6C5B"/>
    <w:rsid w:val="000B77FB"/>
    <w:rsid w:val="000C0C90"/>
    <w:rsid w:val="000C13F0"/>
    <w:rsid w:val="000C3DF7"/>
    <w:rsid w:val="000C67B7"/>
    <w:rsid w:val="000C723E"/>
    <w:rsid w:val="000C7890"/>
    <w:rsid w:val="000D06AC"/>
    <w:rsid w:val="000D4D9A"/>
    <w:rsid w:val="000D4F59"/>
    <w:rsid w:val="000D4FF3"/>
    <w:rsid w:val="000E036A"/>
    <w:rsid w:val="000E45E1"/>
    <w:rsid w:val="000E4E90"/>
    <w:rsid w:val="000F2893"/>
    <w:rsid w:val="000F31BB"/>
    <w:rsid w:val="000F3452"/>
    <w:rsid w:val="00100125"/>
    <w:rsid w:val="001030D4"/>
    <w:rsid w:val="0010634F"/>
    <w:rsid w:val="00106C5A"/>
    <w:rsid w:val="00112DCA"/>
    <w:rsid w:val="00115EE3"/>
    <w:rsid w:val="00117645"/>
    <w:rsid w:val="00117D59"/>
    <w:rsid w:val="00122110"/>
    <w:rsid w:val="001268C6"/>
    <w:rsid w:val="001277BA"/>
    <w:rsid w:val="00132793"/>
    <w:rsid w:val="001332E9"/>
    <w:rsid w:val="00137568"/>
    <w:rsid w:val="00143C40"/>
    <w:rsid w:val="00151955"/>
    <w:rsid w:val="00152189"/>
    <w:rsid w:val="00157015"/>
    <w:rsid w:val="00157BD9"/>
    <w:rsid w:val="00161335"/>
    <w:rsid w:val="001655E0"/>
    <w:rsid w:val="00170604"/>
    <w:rsid w:val="00170B11"/>
    <w:rsid w:val="001732D6"/>
    <w:rsid w:val="001757DC"/>
    <w:rsid w:val="00177B7D"/>
    <w:rsid w:val="00180659"/>
    <w:rsid w:val="00180890"/>
    <w:rsid w:val="001875C7"/>
    <w:rsid w:val="00187979"/>
    <w:rsid w:val="00192F2C"/>
    <w:rsid w:val="00194558"/>
    <w:rsid w:val="00194DDD"/>
    <w:rsid w:val="0019705E"/>
    <w:rsid w:val="0019717E"/>
    <w:rsid w:val="001A0B60"/>
    <w:rsid w:val="001A205B"/>
    <w:rsid w:val="001A5FBA"/>
    <w:rsid w:val="001A79DB"/>
    <w:rsid w:val="001B3717"/>
    <w:rsid w:val="001B7D8F"/>
    <w:rsid w:val="001C0B64"/>
    <w:rsid w:val="001C0D4B"/>
    <w:rsid w:val="001C4EE7"/>
    <w:rsid w:val="001D08BE"/>
    <w:rsid w:val="001D1BF2"/>
    <w:rsid w:val="001D25F2"/>
    <w:rsid w:val="001D2D4B"/>
    <w:rsid w:val="001D41D0"/>
    <w:rsid w:val="001D6EBF"/>
    <w:rsid w:val="001E2102"/>
    <w:rsid w:val="001E5F8C"/>
    <w:rsid w:val="001E60B4"/>
    <w:rsid w:val="001F51F6"/>
    <w:rsid w:val="001F5ABE"/>
    <w:rsid w:val="001F69E2"/>
    <w:rsid w:val="001F7C20"/>
    <w:rsid w:val="001F7CE1"/>
    <w:rsid w:val="002014FB"/>
    <w:rsid w:val="0020238F"/>
    <w:rsid w:val="0021079B"/>
    <w:rsid w:val="00211C77"/>
    <w:rsid w:val="002120D7"/>
    <w:rsid w:val="002124E3"/>
    <w:rsid w:val="00212CB5"/>
    <w:rsid w:val="00214627"/>
    <w:rsid w:val="00215177"/>
    <w:rsid w:val="0021750D"/>
    <w:rsid w:val="00217F6F"/>
    <w:rsid w:val="002219F4"/>
    <w:rsid w:val="0022290A"/>
    <w:rsid w:val="00224795"/>
    <w:rsid w:val="00226744"/>
    <w:rsid w:val="002273B5"/>
    <w:rsid w:val="002305E2"/>
    <w:rsid w:val="00233590"/>
    <w:rsid w:val="00244FA8"/>
    <w:rsid w:val="00254E65"/>
    <w:rsid w:val="002575D1"/>
    <w:rsid w:val="00257C84"/>
    <w:rsid w:val="002601AE"/>
    <w:rsid w:val="00261086"/>
    <w:rsid w:val="00261A96"/>
    <w:rsid w:val="00266BC3"/>
    <w:rsid w:val="00270C80"/>
    <w:rsid w:val="00272399"/>
    <w:rsid w:val="00274292"/>
    <w:rsid w:val="00280D4C"/>
    <w:rsid w:val="00281519"/>
    <w:rsid w:val="00282D4F"/>
    <w:rsid w:val="00284E81"/>
    <w:rsid w:val="002A3298"/>
    <w:rsid w:val="002A53D2"/>
    <w:rsid w:val="002B0F8B"/>
    <w:rsid w:val="002B2928"/>
    <w:rsid w:val="002B30AB"/>
    <w:rsid w:val="002B5699"/>
    <w:rsid w:val="002C0E42"/>
    <w:rsid w:val="002C1188"/>
    <w:rsid w:val="002C18A6"/>
    <w:rsid w:val="002C2238"/>
    <w:rsid w:val="002C422B"/>
    <w:rsid w:val="002D007C"/>
    <w:rsid w:val="002D1358"/>
    <w:rsid w:val="002D3A5E"/>
    <w:rsid w:val="002E1741"/>
    <w:rsid w:val="002E6905"/>
    <w:rsid w:val="00300ADA"/>
    <w:rsid w:val="003038CC"/>
    <w:rsid w:val="00306F18"/>
    <w:rsid w:val="00316451"/>
    <w:rsid w:val="00321BB7"/>
    <w:rsid w:val="00330E4F"/>
    <w:rsid w:val="003379C3"/>
    <w:rsid w:val="00342A67"/>
    <w:rsid w:val="00350C1F"/>
    <w:rsid w:val="00354E37"/>
    <w:rsid w:val="00360EC5"/>
    <w:rsid w:val="0036395F"/>
    <w:rsid w:val="003642FA"/>
    <w:rsid w:val="00365F06"/>
    <w:rsid w:val="00366E3E"/>
    <w:rsid w:val="003702D0"/>
    <w:rsid w:val="00371F3B"/>
    <w:rsid w:val="003720B7"/>
    <w:rsid w:val="0038042C"/>
    <w:rsid w:val="00381136"/>
    <w:rsid w:val="00383391"/>
    <w:rsid w:val="003854A0"/>
    <w:rsid w:val="00385A6E"/>
    <w:rsid w:val="003900AF"/>
    <w:rsid w:val="0039037B"/>
    <w:rsid w:val="0039181D"/>
    <w:rsid w:val="00393584"/>
    <w:rsid w:val="00393911"/>
    <w:rsid w:val="00397596"/>
    <w:rsid w:val="003A0E25"/>
    <w:rsid w:val="003A1445"/>
    <w:rsid w:val="003A1936"/>
    <w:rsid w:val="003A5CF2"/>
    <w:rsid w:val="003A6558"/>
    <w:rsid w:val="003B2831"/>
    <w:rsid w:val="003B7CD5"/>
    <w:rsid w:val="003C48CF"/>
    <w:rsid w:val="003D2703"/>
    <w:rsid w:val="003D29AA"/>
    <w:rsid w:val="003D4361"/>
    <w:rsid w:val="003D45D8"/>
    <w:rsid w:val="003E587F"/>
    <w:rsid w:val="003E728F"/>
    <w:rsid w:val="003E744E"/>
    <w:rsid w:val="003F17CD"/>
    <w:rsid w:val="003F6B18"/>
    <w:rsid w:val="003F6ED1"/>
    <w:rsid w:val="00400067"/>
    <w:rsid w:val="004032D2"/>
    <w:rsid w:val="00405FDB"/>
    <w:rsid w:val="00407E07"/>
    <w:rsid w:val="00412CE2"/>
    <w:rsid w:val="00414098"/>
    <w:rsid w:val="00415C1A"/>
    <w:rsid w:val="00423119"/>
    <w:rsid w:val="00425A4A"/>
    <w:rsid w:val="004279C9"/>
    <w:rsid w:val="004337C3"/>
    <w:rsid w:val="0043400C"/>
    <w:rsid w:val="004364A8"/>
    <w:rsid w:val="00437530"/>
    <w:rsid w:val="004430B2"/>
    <w:rsid w:val="00453473"/>
    <w:rsid w:val="00457AB5"/>
    <w:rsid w:val="004714BC"/>
    <w:rsid w:val="00473AF4"/>
    <w:rsid w:val="00476978"/>
    <w:rsid w:val="00480BE5"/>
    <w:rsid w:val="00480CA9"/>
    <w:rsid w:val="00485D8E"/>
    <w:rsid w:val="00487F3B"/>
    <w:rsid w:val="0049487C"/>
    <w:rsid w:val="00495B6F"/>
    <w:rsid w:val="004A0A46"/>
    <w:rsid w:val="004A3846"/>
    <w:rsid w:val="004A3FAA"/>
    <w:rsid w:val="004A5D8A"/>
    <w:rsid w:val="004A6296"/>
    <w:rsid w:val="004A6DFB"/>
    <w:rsid w:val="004A7801"/>
    <w:rsid w:val="004B203D"/>
    <w:rsid w:val="004B2E50"/>
    <w:rsid w:val="004C1F88"/>
    <w:rsid w:val="004C4BAD"/>
    <w:rsid w:val="004C58BF"/>
    <w:rsid w:val="004D04F3"/>
    <w:rsid w:val="004D722E"/>
    <w:rsid w:val="004E05A5"/>
    <w:rsid w:val="004E1A77"/>
    <w:rsid w:val="004E5676"/>
    <w:rsid w:val="004E5C0C"/>
    <w:rsid w:val="004E5DE6"/>
    <w:rsid w:val="004E71E1"/>
    <w:rsid w:val="004F0DA6"/>
    <w:rsid w:val="004F6103"/>
    <w:rsid w:val="005027A7"/>
    <w:rsid w:val="00502E0A"/>
    <w:rsid w:val="00503610"/>
    <w:rsid w:val="00511247"/>
    <w:rsid w:val="00511A8D"/>
    <w:rsid w:val="005218EC"/>
    <w:rsid w:val="0052238D"/>
    <w:rsid w:val="0052406C"/>
    <w:rsid w:val="00526E4B"/>
    <w:rsid w:val="00527F8C"/>
    <w:rsid w:val="005306F2"/>
    <w:rsid w:val="0053276B"/>
    <w:rsid w:val="00534487"/>
    <w:rsid w:val="0053562C"/>
    <w:rsid w:val="00542DB1"/>
    <w:rsid w:val="005504F4"/>
    <w:rsid w:val="00551212"/>
    <w:rsid w:val="005559B7"/>
    <w:rsid w:val="00555D0E"/>
    <w:rsid w:val="00557EF4"/>
    <w:rsid w:val="00560968"/>
    <w:rsid w:val="005609C7"/>
    <w:rsid w:val="005617F1"/>
    <w:rsid w:val="00562172"/>
    <w:rsid w:val="0056622B"/>
    <w:rsid w:val="00570821"/>
    <w:rsid w:val="00574F21"/>
    <w:rsid w:val="00575775"/>
    <w:rsid w:val="005806B1"/>
    <w:rsid w:val="00583280"/>
    <w:rsid w:val="00592F9A"/>
    <w:rsid w:val="005956BA"/>
    <w:rsid w:val="00597EC2"/>
    <w:rsid w:val="005A1BB4"/>
    <w:rsid w:val="005A2592"/>
    <w:rsid w:val="005A3661"/>
    <w:rsid w:val="005A7951"/>
    <w:rsid w:val="005B14C1"/>
    <w:rsid w:val="005B25FD"/>
    <w:rsid w:val="005B362C"/>
    <w:rsid w:val="005B5432"/>
    <w:rsid w:val="005B58EC"/>
    <w:rsid w:val="005B62CD"/>
    <w:rsid w:val="005B6BC3"/>
    <w:rsid w:val="005B7E31"/>
    <w:rsid w:val="005D2899"/>
    <w:rsid w:val="005D4834"/>
    <w:rsid w:val="005E2C25"/>
    <w:rsid w:val="005E44B5"/>
    <w:rsid w:val="005E50A6"/>
    <w:rsid w:val="005E625F"/>
    <w:rsid w:val="005F0758"/>
    <w:rsid w:val="005F1C0D"/>
    <w:rsid w:val="005F3C15"/>
    <w:rsid w:val="005F51F2"/>
    <w:rsid w:val="005F68F2"/>
    <w:rsid w:val="005F7FC5"/>
    <w:rsid w:val="0060127D"/>
    <w:rsid w:val="00601EF7"/>
    <w:rsid w:val="00605A4A"/>
    <w:rsid w:val="006168F4"/>
    <w:rsid w:val="0061719D"/>
    <w:rsid w:val="0061759D"/>
    <w:rsid w:val="006201B3"/>
    <w:rsid w:val="00620DB6"/>
    <w:rsid w:val="0062137E"/>
    <w:rsid w:val="00621416"/>
    <w:rsid w:val="00621777"/>
    <w:rsid w:val="00621A13"/>
    <w:rsid w:val="00622947"/>
    <w:rsid w:val="00626B0C"/>
    <w:rsid w:val="00632D59"/>
    <w:rsid w:val="00637C00"/>
    <w:rsid w:val="00640B4C"/>
    <w:rsid w:val="006429DC"/>
    <w:rsid w:val="006456EA"/>
    <w:rsid w:val="00647152"/>
    <w:rsid w:val="00651DFD"/>
    <w:rsid w:val="00653729"/>
    <w:rsid w:val="006614A9"/>
    <w:rsid w:val="00664C73"/>
    <w:rsid w:val="006770BC"/>
    <w:rsid w:val="00681273"/>
    <w:rsid w:val="00683549"/>
    <w:rsid w:val="0069106E"/>
    <w:rsid w:val="00696066"/>
    <w:rsid w:val="00696DAB"/>
    <w:rsid w:val="00697B9A"/>
    <w:rsid w:val="006A0A39"/>
    <w:rsid w:val="006A305D"/>
    <w:rsid w:val="006A41CF"/>
    <w:rsid w:val="006A605E"/>
    <w:rsid w:val="006A60C2"/>
    <w:rsid w:val="006A6E97"/>
    <w:rsid w:val="006A7C78"/>
    <w:rsid w:val="006B2851"/>
    <w:rsid w:val="006B3FE8"/>
    <w:rsid w:val="006B57B3"/>
    <w:rsid w:val="006B5C09"/>
    <w:rsid w:val="006B6844"/>
    <w:rsid w:val="006C1226"/>
    <w:rsid w:val="006C251B"/>
    <w:rsid w:val="006C3EE5"/>
    <w:rsid w:val="006C5463"/>
    <w:rsid w:val="006C5E0E"/>
    <w:rsid w:val="006E34E6"/>
    <w:rsid w:val="006E43CD"/>
    <w:rsid w:val="006E5A07"/>
    <w:rsid w:val="006F4DC9"/>
    <w:rsid w:val="00700748"/>
    <w:rsid w:val="00702AED"/>
    <w:rsid w:val="00706A95"/>
    <w:rsid w:val="00710400"/>
    <w:rsid w:val="00714DBB"/>
    <w:rsid w:val="007160EF"/>
    <w:rsid w:val="007228DD"/>
    <w:rsid w:val="00723AC1"/>
    <w:rsid w:val="00726E67"/>
    <w:rsid w:val="00733AE0"/>
    <w:rsid w:val="00734C69"/>
    <w:rsid w:val="00734D04"/>
    <w:rsid w:val="0073583A"/>
    <w:rsid w:val="007362DE"/>
    <w:rsid w:val="00737203"/>
    <w:rsid w:val="00737DB1"/>
    <w:rsid w:val="00740FBA"/>
    <w:rsid w:val="007417DE"/>
    <w:rsid w:val="00752DB8"/>
    <w:rsid w:val="00755762"/>
    <w:rsid w:val="00760497"/>
    <w:rsid w:val="00760EA0"/>
    <w:rsid w:val="00762D04"/>
    <w:rsid w:val="00763FBC"/>
    <w:rsid w:val="00765B5E"/>
    <w:rsid w:val="00766B9B"/>
    <w:rsid w:val="007716F6"/>
    <w:rsid w:val="0077736D"/>
    <w:rsid w:val="00780161"/>
    <w:rsid w:val="00783B18"/>
    <w:rsid w:val="00786970"/>
    <w:rsid w:val="00787BD6"/>
    <w:rsid w:val="00793A87"/>
    <w:rsid w:val="007948AB"/>
    <w:rsid w:val="00794B2B"/>
    <w:rsid w:val="007965A3"/>
    <w:rsid w:val="007978A5"/>
    <w:rsid w:val="007A06EA"/>
    <w:rsid w:val="007A2859"/>
    <w:rsid w:val="007A3677"/>
    <w:rsid w:val="007A45D7"/>
    <w:rsid w:val="007A7072"/>
    <w:rsid w:val="007A79CD"/>
    <w:rsid w:val="007B283E"/>
    <w:rsid w:val="007B48FD"/>
    <w:rsid w:val="007C08BD"/>
    <w:rsid w:val="007C1BCB"/>
    <w:rsid w:val="007C64A2"/>
    <w:rsid w:val="007D47F8"/>
    <w:rsid w:val="007D504E"/>
    <w:rsid w:val="007D7343"/>
    <w:rsid w:val="007D791A"/>
    <w:rsid w:val="007D7E0C"/>
    <w:rsid w:val="007E465A"/>
    <w:rsid w:val="007E554B"/>
    <w:rsid w:val="007F6CF2"/>
    <w:rsid w:val="007F7136"/>
    <w:rsid w:val="00801944"/>
    <w:rsid w:val="0080754A"/>
    <w:rsid w:val="00810E2F"/>
    <w:rsid w:val="00813C93"/>
    <w:rsid w:val="00816DDF"/>
    <w:rsid w:val="00817CFC"/>
    <w:rsid w:val="0082035A"/>
    <w:rsid w:val="0082047B"/>
    <w:rsid w:val="00821BA4"/>
    <w:rsid w:val="008249E3"/>
    <w:rsid w:val="00834011"/>
    <w:rsid w:val="00834281"/>
    <w:rsid w:val="00835111"/>
    <w:rsid w:val="00836647"/>
    <w:rsid w:val="008373D6"/>
    <w:rsid w:val="00837DBF"/>
    <w:rsid w:val="00837F97"/>
    <w:rsid w:val="00842001"/>
    <w:rsid w:val="00843041"/>
    <w:rsid w:val="008445FD"/>
    <w:rsid w:val="00844A74"/>
    <w:rsid w:val="00846878"/>
    <w:rsid w:val="00850057"/>
    <w:rsid w:val="00850E8C"/>
    <w:rsid w:val="00854777"/>
    <w:rsid w:val="008559C5"/>
    <w:rsid w:val="00856045"/>
    <w:rsid w:val="008652FC"/>
    <w:rsid w:val="00867B21"/>
    <w:rsid w:val="008723D2"/>
    <w:rsid w:val="008741E1"/>
    <w:rsid w:val="00877858"/>
    <w:rsid w:val="00884284"/>
    <w:rsid w:val="00886423"/>
    <w:rsid w:val="008931F8"/>
    <w:rsid w:val="008A23E4"/>
    <w:rsid w:val="008A25E6"/>
    <w:rsid w:val="008A2C31"/>
    <w:rsid w:val="008A5DD7"/>
    <w:rsid w:val="008A712B"/>
    <w:rsid w:val="008B18B0"/>
    <w:rsid w:val="008B3BC8"/>
    <w:rsid w:val="008B5308"/>
    <w:rsid w:val="008C0BCA"/>
    <w:rsid w:val="008C13AD"/>
    <w:rsid w:val="008C1E23"/>
    <w:rsid w:val="008C2565"/>
    <w:rsid w:val="008C405A"/>
    <w:rsid w:val="008E1DB1"/>
    <w:rsid w:val="008E259F"/>
    <w:rsid w:val="008E5F76"/>
    <w:rsid w:val="008E6500"/>
    <w:rsid w:val="008F3974"/>
    <w:rsid w:val="008F4046"/>
    <w:rsid w:val="008F6B64"/>
    <w:rsid w:val="008F7192"/>
    <w:rsid w:val="00900B99"/>
    <w:rsid w:val="009030CB"/>
    <w:rsid w:val="00907EB3"/>
    <w:rsid w:val="00910763"/>
    <w:rsid w:val="00912234"/>
    <w:rsid w:val="009155CE"/>
    <w:rsid w:val="0091610B"/>
    <w:rsid w:val="0091705E"/>
    <w:rsid w:val="0092050D"/>
    <w:rsid w:val="00920AC9"/>
    <w:rsid w:val="009210E1"/>
    <w:rsid w:val="00923CF8"/>
    <w:rsid w:val="00925925"/>
    <w:rsid w:val="009272F9"/>
    <w:rsid w:val="009278E9"/>
    <w:rsid w:val="009409DE"/>
    <w:rsid w:val="0094124A"/>
    <w:rsid w:val="00954642"/>
    <w:rsid w:val="00957424"/>
    <w:rsid w:val="009602CD"/>
    <w:rsid w:val="00960C2D"/>
    <w:rsid w:val="00960ECC"/>
    <w:rsid w:val="0096518B"/>
    <w:rsid w:val="0097288C"/>
    <w:rsid w:val="0097524B"/>
    <w:rsid w:val="009757CC"/>
    <w:rsid w:val="00987057"/>
    <w:rsid w:val="0098783A"/>
    <w:rsid w:val="009913F0"/>
    <w:rsid w:val="009916BB"/>
    <w:rsid w:val="0099255A"/>
    <w:rsid w:val="0099335F"/>
    <w:rsid w:val="009950C8"/>
    <w:rsid w:val="00996CEA"/>
    <w:rsid w:val="009A0683"/>
    <w:rsid w:val="009A2D09"/>
    <w:rsid w:val="009A7102"/>
    <w:rsid w:val="009A733F"/>
    <w:rsid w:val="009B79D2"/>
    <w:rsid w:val="009C06BE"/>
    <w:rsid w:val="009C1478"/>
    <w:rsid w:val="009C37CB"/>
    <w:rsid w:val="009C5618"/>
    <w:rsid w:val="009C62BF"/>
    <w:rsid w:val="009D19F3"/>
    <w:rsid w:val="009D2A06"/>
    <w:rsid w:val="009D5B2D"/>
    <w:rsid w:val="009D715F"/>
    <w:rsid w:val="009E44FC"/>
    <w:rsid w:val="009E4B8E"/>
    <w:rsid w:val="009F48D1"/>
    <w:rsid w:val="00A04425"/>
    <w:rsid w:val="00A061F3"/>
    <w:rsid w:val="00A07A19"/>
    <w:rsid w:val="00A10E6A"/>
    <w:rsid w:val="00A10EA2"/>
    <w:rsid w:val="00A1253A"/>
    <w:rsid w:val="00A13950"/>
    <w:rsid w:val="00A159FC"/>
    <w:rsid w:val="00A203FA"/>
    <w:rsid w:val="00A20FB9"/>
    <w:rsid w:val="00A245F1"/>
    <w:rsid w:val="00A27C72"/>
    <w:rsid w:val="00A317B1"/>
    <w:rsid w:val="00A31F96"/>
    <w:rsid w:val="00A33E09"/>
    <w:rsid w:val="00A343CD"/>
    <w:rsid w:val="00A352C6"/>
    <w:rsid w:val="00A619D6"/>
    <w:rsid w:val="00A61FFC"/>
    <w:rsid w:val="00A62EF2"/>
    <w:rsid w:val="00A631B4"/>
    <w:rsid w:val="00A6548B"/>
    <w:rsid w:val="00A66306"/>
    <w:rsid w:val="00A7170B"/>
    <w:rsid w:val="00A746BE"/>
    <w:rsid w:val="00A75B1E"/>
    <w:rsid w:val="00A81658"/>
    <w:rsid w:val="00A85A47"/>
    <w:rsid w:val="00A86E2C"/>
    <w:rsid w:val="00A8715C"/>
    <w:rsid w:val="00A91CF0"/>
    <w:rsid w:val="00A940B1"/>
    <w:rsid w:val="00AA01A8"/>
    <w:rsid w:val="00AA0A06"/>
    <w:rsid w:val="00AA68B7"/>
    <w:rsid w:val="00AB2A6B"/>
    <w:rsid w:val="00AB439B"/>
    <w:rsid w:val="00AB56F7"/>
    <w:rsid w:val="00AC129C"/>
    <w:rsid w:val="00AC2E98"/>
    <w:rsid w:val="00AC5794"/>
    <w:rsid w:val="00AC68EC"/>
    <w:rsid w:val="00AD2A01"/>
    <w:rsid w:val="00AE2F32"/>
    <w:rsid w:val="00AE66AF"/>
    <w:rsid w:val="00AF1946"/>
    <w:rsid w:val="00B0314E"/>
    <w:rsid w:val="00B03470"/>
    <w:rsid w:val="00B0470B"/>
    <w:rsid w:val="00B1198A"/>
    <w:rsid w:val="00B13C8A"/>
    <w:rsid w:val="00B1540B"/>
    <w:rsid w:val="00B16DF7"/>
    <w:rsid w:val="00B22D2F"/>
    <w:rsid w:val="00B25715"/>
    <w:rsid w:val="00B30DAF"/>
    <w:rsid w:val="00B31F22"/>
    <w:rsid w:val="00B3412A"/>
    <w:rsid w:val="00B37ACF"/>
    <w:rsid w:val="00B415D3"/>
    <w:rsid w:val="00B52436"/>
    <w:rsid w:val="00B5448D"/>
    <w:rsid w:val="00B60270"/>
    <w:rsid w:val="00B61B72"/>
    <w:rsid w:val="00B71B9B"/>
    <w:rsid w:val="00B722E9"/>
    <w:rsid w:val="00B723F9"/>
    <w:rsid w:val="00B74F55"/>
    <w:rsid w:val="00B80C6C"/>
    <w:rsid w:val="00B81484"/>
    <w:rsid w:val="00B8232D"/>
    <w:rsid w:val="00B8287E"/>
    <w:rsid w:val="00B82E03"/>
    <w:rsid w:val="00B85474"/>
    <w:rsid w:val="00B90A67"/>
    <w:rsid w:val="00B91A99"/>
    <w:rsid w:val="00B92155"/>
    <w:rsid w:val="00B92B63"/>
    <w:rsid w:val="00BA240A"/>
    <w:rsid w:val="00BA29F7"/>
    <w:rsid w:val="00BA5F89"/>
    <w:rsid w:val="00BA6BF2"/>
    <w:rsid w:val="00BA7ECF"/>
    <w:rsid w:val="00BB0352"/>
    <w:rsid w:val="00BB35AF"/>
    <w:rsid w:val="00BB3757"/>
    <w:rsid w:val="00BB4862"/>
    <w:rsid w:val="00BB5C86"/>
    <w:rsid w:val="00BC09B3"/>
    <w:rsid w:val="00BC18B2"/>
    <w:rsid w:val="00BC19D4"/>
    <w:rsid w:val="00BC1A08"/>
    <w:rsid w:val="00BC2D0F"/>
    <w:rsid w:val="00BC414E"/>
    <w:rsid w:val="00BC58B1"/>
    <w:rsid w:val="00BD0278"/>
    <w:rsid w:val="00BD5B38"/>
    <w:rsid w:val="00BE05B2"/>
    <w:rsid w:val="00BE2649"/>
    <w:rsid w:val="00BE396C"/>
    <w:rsid w:val="00BE6418"/>
    <w:rsid w:val="00BE64DA"/>
    <w:rsid w:val="00BE6501"/>
    <w:rsid w:val="00BE78BC"/>
    <w:rsid w:val="00BF1D44"/>
    <w:rsid w:val="00BF288B"/>
    <w:rsid w:val="00BF3A63"/>
    <w:rsid w:val="00BF45AB"/>
    <w:rsid w:val="00BF4BD4"/>
    <w:rsid w:val="00C01CC1"/>
    <w:rsid w:val="00C02DE0"/>
    <w:rsid w:val="00C0420B"/>
    <w:rsid w:val="00C0490B"/>
    <w:rsid w:val="00C07697"/>
    <w:rsid w:val="00C07BD5"/>
    <w:rsid w:val="00C16313"/>
    <w:rsid w:val="00C20432"/>
    <w:rsid w:val="00C2056A"/>
    <w:rsid w:val="00C21188"/>
    <w:rsid w:val="00C212B6"/>
    <w:rsid w:val="00C24BFD"/>
    <w:rsid w:val="00C31C79"/>
    <w:rsid w:val="00C33CB2"/>
    <w:rsid w:val="00C34E2D"/>
    <w:rsid w:val="00C3524B"/>
    <w:rsid w:val="00C3644D"/>
    <w:rsid w:val="00C36859"/>
    <w:rsid w:val="00C36FB6"/>
    <w:rsid w:val="00C421EE"/>
    <w:rsid w:val="00C44520"/>
    <w:rsid w:val="00C4622D"/>
    <w:rsid w:val="00C4754E"/>
    <w:rsid w:val="00C47D97"/>
    <w:rsid w:val="00C527A1"/>
    <w:rsid w:val="00C5442F"/>
    <w:rsid w:val="00C54CE7"/>
    <w:rsid w:val="00C54D2B"/>
    <w:rsid w:val="00C62407"/>
    <w:rsid w:val="00C644B5"/>
    <w:rsid w:val="00C65C1A"/>
    <w:rsid w:val="00C6642E"/>
    <w:rsid w:val="00C70C43"/>
    <w:rsid w:val="00C71246"/>
    <w:rsid w:val="00C735C0"/>
    <w:rsid w:val="00C743BB"/>
    <w:rsid w:val="00C75139"/>
    <w:rsid w:val="00C75EE5"/>
    <w:rsid w:val="00C777CE"/>
    <w:rsid w:val="00C77F29"/>
    <w:rsid w:val="00C8017B"/>
    <w:rsid w:val="00C81233"/>
    <w:rsid w:val="00C83F97"/>
    <w:rsid w:val="00C858B8"/>
    <w:rsid w:val="00C964C1"/>
    <w:rsid w:val="00CA049C"/>
    <w:rsid w:val="00CA11BA"/>
    <w:rsid w:val="00CA773A"/>
    <w:rsid w:val="00CA77E6"/>
    <w:rsid w:val="00CB05DF"/>
    <w:rsid w:val="00CB1287"/>
    <w:rsid w:val="00CB3151"/>
    <w:rsid w:val="00CB330F"/>
    <w:rsid w:val="00CB7DA9"/>
    <w:rsid w:val="00CC124D"/>
    <w:rsid w:val="00CD1EF0"/>
    <w:rsid w:val="00CD345F"/>
    <w:rsid w:val="00CD63D9"/>
    <w:rsid w:val="00CD6D8A"/>
    <w:rsid w:val="00CE0045"/>
    <w:rsid w:val="00CE3AF1"/>
    <w:rsid w:val="00CE4F2E"/>
    <w:rsid w:val="00CE52B0"/>
    <w:rsid w:val="00CF50BB"/>
    <w:rsid w:val="00D029CB"/>
    <w:rsid w:val="00D06F30"/>
    <w:rsid w:val="00D16C19"/>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D7A"/>
    <w:rsid w:val="00D35D91"/>
    <w:rsid w:val="00D37DE0"/>
    <w:rsid w:val="00D403E8"/>
    <w:rsid w:val="00D4127F"/>
    <w:rsid w:val="00D42211"/>
    <w:rsid w:val="00D42522"/>
    <w:rsid w:val="00D471A1"/>
    <w:rsid w:val="00D5056E"/>
    <w:rsid w:val="00D505CA"/>
    <w:rsid w:val="00D52459"/>
    <w:rsid w:val="00D5306E"/>
    <w:rsid w:val="00D55162"/>
    <w:rsid w:val="00D556C0"/>
    <w:rsid w:val="00D55731"/>
    <w:rsid w:val="00D62B6F"/>
    <w:rsid w:val="00D63D87"/>
    <w:rsid w:val="00D65954"/>
    <w:rsid w:val="00D65A8D"/>
    <w:rsid w:val="00D65BA1"/>
    <w:rsid w:val="00D6782D"/>
    <w:rsid w:val="00D734A6"/>
    <w:rsid w:val="00D73573"/>
    <w:rsid w:val="00D73930"/>
    <w:rsid w:val="00D74BC2"/>
    <w:rsid w:val="00D80B82"/>
    <w:rsid w:val="00D817C0"/>
    <w:rsid w:val="00D856F3"/>
    <w:rsid w:val="00D912E2"/>
    <w:rsid w:val="00D942E6"/>
    <w:rsid w:val="00D972CF"/>
    <w:rsid w:val="00DA2F8F"/>
    <w:rsid w:val="00DB226E"/>
    <w:rsid w:val="00DB2E73"/>
    <w:rsid w:val="00DB2F85"/>
    <w:rsid w:val="00DB3399"/>
    <w:rsid w:val="00DB3CFC"/>
    <w:rsid w:val="00DB73A7"/>
    <w:rsid w:val="00DC2B0D"/>
    <w:rsid w:val="00DC3144"/>
    <w:rsid w:val="00DC4DDD"/>
    <w:rsid w:val="00DD1A58"/>
    <w:rsid w:val="00DD3197"/>
    <w:rsid w:val="00DD7ABD"/>
    <w:rsid w:val="00DE4EC8"/>
    <w:rsid w:val="00DF13AB"/>
    <w:rsid w:val="00DF275F"/>
    <w:rsid w:val="00DF5C12"/>
    <w:rsid w:val="00DF7748"/>
    <w:rsid w:val="00DF7776"/>
    <w:rsid w:val="00DF7C7D"/>
    <w:rsid w:val="00E00CFE"/>
    <w:rsid w:val="00E020B0"/>
    <w:rsid w:val="00E038DF"/>
    <w:rsid w:val="00E05C66"/>
    <w:rsid w:val="00E10DC4"/>
    <w:rsid w:val="00E11ADC"/>
    <w:rsid w:val="00E12A47"/>
    <w:rsid w:val="00E1589F"/>
    <w:rsid w:val="00E16D6A"/>
    <w:rsid w:val="00E23D46"/>
    <w:rsid w:val="00E2511F"/>
    <w:rsid w:val="00E265F6"/>
    <w:rsid w:val="00E26ED2"/>
    <w:rsid w:val="00E33BAD"/>
    <w:rsid w:val="00E344AB"/>
    <w:rsid w:val="00E3603A"/>
    <w:rsid w:val="00E36953"/>
    <w:rsid w:val="00E43D81"/>
    <w:rsid w:val="00E43E09"/>
    <w:rsid w:val="00E47478"/>
    <w:rsid w:val="00E50732"/>
    <w:rsid w:val="00E5275A"/>
    <w:rsid w:val="00E52AE5"/>
    <w:rsid w:val="00E53A36"/>
    <w:rsid w:val="00E53B0C"/>
    <w:rsid w:val="00E629AD"/>
    <w:rsid w:val="00E652BD"/>
    <w:rsid w:val="00E67217"/>
    <w:rsid w:val="00E702E6"/>
    <w:rsid w:val="00E703CE"/>
    <w:rsid w:val="00E70E8D"/>
    <w:rsid w:val="00E70EE6"/>
    <w:rsid w:val="00E80409"/>
    <w:rsid w:val="00E85025"/>
    <w:rsid w:val="00E921DD"/>
    <w:rsid w:val="00E93DFF"/>
    <w:rsid w:val="00E94092"/>
    <w:rsid w:val="00E94DB8"/>
    <w:rsid w:val="00E95E51"/>
    <w:rsid w:val="00E9645F"/>
    <w:rsid w:val="00EA1FCF"/>
    <w:rsid w:val="00EA2B5B"/>
    <w:rsid w:val="00EA3FB0"/>
    <w:rsid w:val="00EA5858"/>
    <w:rsid w:val="00EA63AA"/>
    <w:rsid w:val="00EB0895"/>
    <w:rsid w:val="00EB1D42"/>
    <w:rsid w:val="00EC644B"/>
    <w:rsid w:val="00ED09B9"/>
    <w:rsid w:val="00ED399F"/>
    <w:rsid w:val="00ED41D4"/>
    <w:rsid w:val="00ED4BB5"/>
    <w:rsid w:val="00EE274A"/>
    <w:rsid w:val="00EE7D9E"/>
    <w:rsid w:val="00EF0EEC"/>
    <w:rsid w:val="00EF161E"/>
    <w:rsid w:val="00EF2237"/>
    <w:rsid w:val="00EF2633"/>
    <w:rsid w:val="00EF3B97"/>
    <w:rsid w:val="00EF4722"/>
    <w:rsid w:val="00EF4AAB"/>
    <w:rsid w:val="00EF6B65"/>
    <w:rsid w:val="00EF7CB6"/>
    <w:rsid w:val="00F00078"/>
    <w:rsid w:val="00F0424E"/>
    <w:rsid w:val="00F07605"/>
    <w:rsid w:val="00F07F12"/>
    <w:rsid w:val="00F1003F"/>
    <w:rsid w:val="00F147C3"/>
    <w:rsid w:val="00F21946"/>
    <w:rsid w:val="00F26681"/>
    <w:rsid w:val="00F271C6"/>
    <w:rsid w:val="00F27BC9"/>
    <w:rsid w:val="00F323F6"/>
    <w:rsid w:val="00F34F3D"/>
    <w:rsid w:val="00F411B0"/>
    <w:rsid w:val="00F4258F"/>
    <w:rsid w:val="00F505A5"/>
    <w:rsid w:val="00F51D4B"/>
    <w:rsid w:val="00F5223B"/>
    <w:rsid w:val="00F557BD"/>
    <w:rsid w:val="00F56A55"/>
    <w:rsid w:val="00F5787E"/>
    <w:rsid w:val="00F6015C"/>
    <w:rsid w:val="00F6102F"/>
    <w:rsid w:val="00F61F8E"/>
    <w:rsid w:val="00F63740"/>
    <w:rsid w:val="00F660E9"/>
    <w:rsid w:val="00F70137"/>
    <w:rsid w:val="00F7264D"/>
    <w:rsid w:val="00F76612"/>
    <w:rsid w:val="00F82A87"/>
    <w:rsid w:val="00F83EC2"/>
    <w:rsid w:val="00F8448A"/>
    <w:rsid w:val="00F851F9"/>
    <w:rsid w:val="00F90038"/>
    <w:rsid w:val="00F90747"/>
    <w:rsid w:val="00F92D85"/>
    <w:rsid w:val="00F94C91"/>
    <w:rsid w:val="00F961D1"/>
    <w:rsid w:val="00F96C5D"/>
    <w:rsid w:val="00FA168A"/>
    <w:rsid w:val="00FA3C6B"/>
    <w:rsid w:val="00FA4F5B"/>
    <w:rsid w:val="00FA688E"/>
    <w:rsid w:val="00FA7AF2"/>
    <w:rsid w:val="00FB0F5C"/>
    <w:rsid w:val="00FB1861"/>
    <w:rsid w:val="00FB4EB4"/>
    <w:rsid w:val="00FB691E"/>
    <w:rsid w:val="00FC440E"/>
    <w:rsid w:val="00FC6B34"/>
    <w:rsid w:val="00FC6C94"/>
    <w:rsid w:val="00FC6DAF"/>
    <w:rsid w:val="00FD25F2"/>
    <w:rsid w:val="00FD2B3F"/>
    <w:rsid w:val="00FD4CF6"/>
    <w:rsid w:val="00FD7ABE"/>
    <w:rsid w:val="00FE07CB"/>
    <w:rsid w:val="00FE0C87"/>
    <w:rsid w:val="00FE0EB1"/>
    <w:rsid w:val="00FE1260"/>
    <w:rsid w:val="00FE4615"/>
    <w:rsid w:val="00FE48D7"/>
    <w:rsid w:val="00FF15D0"/>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AB"/>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30AB"/>
    <w:pPr>
      <w:tabs>
        <w:tab w:val="center" w:pos="4680"/>
        <w:tab w:val="right" w:pos="9360"/>
      </w:tabs>
    </w:pPr>
  </w:style>
  <w:style w:type="character" w:customStyle="1" w:styleId="FooterChar">
    <w:name w:val="Footer Char"/>
    <w:basedOn w:val="DefaultParagraphFont"/>
    <w:link w:val="Footer"/>
    <w:uiPriority w:val="99"/>
    <w:rsid w:val="002B30AB"/>
    <w:rPr>
      <w:rFonts w:ascii="CG Times" w:eastAsia="Times New Roman" w:hAnsi="CG Times" w:cs="CG Times"/>
      <w:sz w:val="24"/>
      <w:szCs w:val="24"/>
    </w:rPr>
  </w:style>
  <w:style w:type="paragraph" w:styleId="ListParagraph">
    <w:name w:val="List Paragraph"/>
    <w:basedOn w:val="Normal"/>
    <w:uiPriority w:val="34"/>
    <w:qFormat/>
    <w:rsid w:val="00385A6E"/>
    <w:pPr>
      <w:ind w:left="720"/>
      <w:contextualSpacing/>
    </w:pPr>
  </w:style>
  <w:style w:type="character" w:styleId="CommentReference">
    <w:name w:val="annotation reference"/>
    <w:basedOn w:val="DefaultParagraphFont"/>
    <w:uiPriority w:val="99"/>
    <w:semiHidden/>
    <w:unhideWhenUsed/>
    <w:rsid w:val="00FA688E"/>
    <w:rPr>
      <w:sz w:val="16"/>
      <w:szCs w:val="16"/>
    </w:rPr>
  </w:style>
  <w:style w:type="paragraph" w:styleId="CommentText">
    <w:name w:val="annotation text"/>
    <w:basedOn w:val="Normal"/>
    <w:link w:val="CommentTextChar"/>
    <w:uiPriority w:val="99"/>
    <w:semiHidden/>
    <w:unhideWhenUsed/>
    <w:rsid w:val="00FA688E"/>
    <w:rPr>
      <w:sz w:val="20"/>
      <w:szCs w:val="20"/>
    </w:rPr>
  </w:style>
  <w:style w:type="character" w:customStyle="1" w:styleId="CommentTextChar">
    <w:name w:val="Comment Text Char"/>
    <w:basedOn w:val="DefaultParagraphFont"/>
    <w:link w:val="CommentText"/>
    <w:uiPriority w:val="99"/>
    <w:semiHidden/>
    <w:rsid w:val="00FA688E"/>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FA688E"/>
    <w:rPr>
      <w:b/>
      <w:bCs/>
    </w:rPr>
  </w:style>
  <w:style w:type="character" w:customStyle="1" w:styleId="CommentSubjectChar">
    <w:name w:val="Comment Subject Char"/>
    <w:basedOn w:val="CommentTextChar"/>
    <w:link w:val="CommentSubject"/>
    <w:uiPriority w:val="99"/>
    <w:semiHidden/>
    <w:rsid w:val="00FA688E"/>
    <w:rPr>
      <w:b/>
      <w:bCs/>
    </w:rPr>
  </w:style>
  <w:style w:type="paragraph" w:styleId="BalloonText">
    <w:name w:val="Balloon Text"/>
    <w:basedOn w:val="Normal"/>
    <w:link w:val="BalloonTextChar"/>
    <w:uiPriority w:val="99"/>
    <w:semiHidden/>
    <w:unhideWhenUsed/>
    <w:rsid w:val="00FA688E"/>
    <w:rPr>
      <w:rFonts w:ascii="Tahoma" w:hAnsi="Tahoma" w:cs="Tahoma"/>
      <w:sz w:val="16"/>
      <w:szCs w:val="16"/>
    </w:rPr>
  </w:style>
  <w:style w:type="character" w:customStyle="1" w:styleId="BalloonTextChar">
    <w:name w:val="Balloon Text Char"/>
    <w:basedOn w:val="DefaultParagraphFont"/>
    <w:link w:val="BalloonText"/>
    <w:uiPriority w:val="99"/>
    <w:semiHidden/>
    <w:rsid w:val="00FA688E"/>
    <w:rPr>
      <w:rFonts w:ascii="Tahoma" w:eastAsia="Times New Roman" w:hAnsi="Tahoma" w:cs="Tahoma"/>
      <w:sz w:val="16"/>
      <w:szCs w:val="16"/>
    </w:rPr>
  </w:style>
  <w:style w:type="paragraph" w:styleId="Header">
    <w:name w:val="header"/>
    <w:basedOn w:val="Normal"/>
    <w:link w:val="HeaderChar"/>
    <w:uiPriority w:val="99"/>
    <w:semiHidden/>
    <w:unhideWhenUsed/>
    <w:rsid w:val="00EA5858"/>
    <w:pPr>
      <w:tabs>
        <w:tab w:val="center" w:pos="4680"/>
        <w:tab w:val="right" w:pos="9360"/>
      </w:tabs>
    </w:pPr>
  </w:style>
  <w:style w:type="character" w:customStyle="1" w:styleId="HeaderChar">
    <w:name w:val="Header Char"/>
    <w:basedOn w:val="DefaultParagraphFont"/>
    <w:link w:val="Header"/>
    <w:uiPriority w:val="99"/>
    <w:semiHidden/>
    <w:rsid w:val="00EA5858"/>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7041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5</cp:revision>
  <cp:lastPrinted>2010-03-29T20:16:00Z</cp:lastPrinted>
  <dcterms:created xsi:type="dcterms:W3CDTF">2010-03-19T17:46:00Z</dcterms:created>
  <dcterms:modified xsi:type="dcterms:W3CDTF">2010-03-29T20:16:00Z</dcterms:modified>
</cp:coreProperties>
</file>