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EA1625" w:rsidRDefault="008E4FD6" w:rsidP="00EA1625">
      <w:pPr>
        <w:jc w:val="center"/>
        <w:rPr>
          <w:b/>
        </w:rPr>
      </w:pPr>
      <w:r w:rsidRPr="00EA1625">
        <w:rPr>
          <w:b/>
        </w:rPr>
        <w:t>BEFORE THE</w:t>
      </w:r>
    </w:p>
    <w:p w:rsidR="008E4FD6" w:rsidRPr="00EA1625" w:rsidRDefault="008E4FD6" w:rsidP="00EA1625">
      <w:pPr>
        <w:jc w:val="center"/>
        <w:rPr>
          <w:b/>
        </w:rPr>
      </w:pPr>
      <w:smartTag w:uri="urn:schemas-microsoft-com:office:smarttags" w:element="State">
        <w:smartTag w:uri="urn:schemas-microsoft-com:office:smarttags" w:element="place">
          <w:r w:rsidRPr="00EA1625">
            <w:rPr>
              <w:b/>
            </w:rPr>
            <w:t>PENNSYLVANIA</w:t>
          </w:r>
        </w:smartTag>
      </w:smartTag>
      <w:r w:rsidRPr="00EA1625">
        <w:rPr>
          <w:b/>
        </w:rPr>
        <w:t xml:space="preserve"> PUBLIC UTILITY COMMISSION</w:t>
      </w:r>
    </w:p>
    <w:p w:rsidR="008E4FD6" w:rsidRPr="00EA1625" w:rsidRDefault="008E4FD6" w:rsidP="00EA1625">
      <w:pPr>
        <w:jc w:val="center"/>
        <w:rPr>
          <w:b/>
        </w:rPr>
      </w:pPr>
    </w:p>
    <w:p w:rsidR="008E4FD6" w:rsidRPr="00EA1625" w:rsidRDefault="008E4FD6" w:rsidP="00D2354E"/>
    <w:p w:rsidR="008E4FD6" w:rsidRPr="00EA1625" w:rsidRDefault="008E4FD6" w:rsidP="00D2354E"/>
    <w:p w:rsidR="00F9732A" w:rsidRPr="00EA1625" w:rsidRDefault="004D6DDC" w:rsidP="00D2354E">
      <w:r>
        <w:t>Greg Croft</w:t>
      </w:r>
      <w:r>
        <w:tab/>
      </w:r>
      <w:r w:rsidR="00F9732A" w:rsidRPr="00EA1625">
        <w:tab/>
      </w:r>
      <w:r w:rsidR="00F9732A" w:rsidRPr="00EA1625">
        <w:tab/>
      </w:r>
      <w:r w:rsidR="00F9732A" w:rsidRPr="00EA1625">
        <w:tab/>
      </w:r>
      <w:r w:rsidR="00EF7BB1" w:rsidRPr="00EA1625">
        <w:tab/>
      </w:r>
      <w:r w:rsidR="00F9732A" w:rsidRPr="00EA1625">
        <w:tab/>
        <w:t>:</w:t>
      </w:r>
      <w:r w:rsidR="00F9732A" w:rsidRPr="00EA1625">
        <w:tab/>
      </w:r>
    </w:p>
    <w:p w:rsidR="00F9732A" w:rsidRPr="00EA1625" w:rsidRDefault="00F9732A" w:rsidP="00D2354E">
      <w:r w:rsidRPr="00EA1625">
        <w:tab/>
      </w:r>
      <w:r w:rsidRPr="00EA1625">
        <w:tab/>
      </w:r>
      <w:r w:rsidRPr="00EA1625">
        <w:tab/>
      </w:r>
      <w:r w:rsidRPr="00EA1625">
        <w:tab/>
      </w:r>
      <w:r w:rsidRPr="00EA1625">
        <w:tab/>
      </w:r>
      <w:r w:rsidRPr="00EA1625">
        <w:tab/>
      </w:r>
      <w:r w:rsidRPr="00EA1625">
        <w:tab/>
        <w:t>:</w:t>
      </w:r>
    </w:p>
    <w:p w:rsidR="00F9732A" w:rsidRPr="00EA1625" w:rsidRDefault="00F9732A" w:rsidP="00D2354E">
      <w:pPr>
        <w:numPr>
          <w:ilvl w:val="0"/>
          <w:numId w:val="5"/>
        </w:numPr>
        <w:ind w:hanging="4320"/>
      </w:pPr>
      <w:r w:rsidRPr="00EA1625">
        <w:t>:</w:t>
      </w:r>
      <w:r w:rsidRPr="00EA1625">
        <w:tab/>
      </w:r>
      <w:r w:rsidR="00F6612B" w:rsidRPr="00EA1625">
        <w:tab/>
      </w:r>
      <w:r w:rsidR="004D6DDC">
        <w:t>C</w:t>
      </w:r>
      <w:r w:rsidR="00AD253F">
        <w:t>-2009</w:t>
      </w:r>
      <w:r w:rsidR="007B3113">
        <w:t>-</w:t>
      </w:r>
      <w:r w:rsidR="004D6DDC">
        <w:t>2129148</w:t>
      </w:r>
    </w:p>
    <w:p w:rsidR="00F9732A" w:rsidRPr="00EA1625" w:rsidRDefault="00F9732A" w:rsidP="00D2354E">
      <w:pPr>
        <w:ind w:left="5040"/>
      </w:pPr>
      <w:r w:rsidRPr="00EA1625">
        <w:t>:</w:t>
      </w:r>
    </w:p>
    <w:p w:rsidR="00F9732A" w:rsidRPr="00EA1625" w:rsidRDefault="004D6DDC" w:rsidP="00D2354E">
      <w:r>
        <w:t>The Peoples Natural Gas Company</w:t>
      </w:r>
      <w:r w:rsidR="007B3113">
        <w:tab/>
      </w:r>
      <w:r w:rsidR="00F9732A" w:rsidRPr="00EA1625">
        <w:t xml:space="preserve"> </w:t>
      </w:r>
      <w:r w:rsidR="00F9732A" w:rsidRPr="00EA1625">
        <w:tab/>
      </w:r>
      <w:r w:rsidR="00F9732A" w:rsidRPr="00EA1625">
        <w:tab/>
        <w:t>:</w:t>
      </w:r>
    </w:p>
    <w:p w:rsidR="008E4FD6" w:rsidRDefault="004D6DDC" w:rsidP="00BE6E3A">
      <w:r>
        <w:t>d/b/a Dominion Peoples</w:t>
      </w:r>
      <w:r>
        <w:tab/>
      </w:r>
      <w:r w:rsidR="00E9799A">
        <w:tab/>
      </w:r>
      <w:r>
        <w:tab/>
      </w:r>
      <w:r>
        <w:tab/>
        <w:t>:</w:t>
      </w:r>
    </w:p>
    <w:p w:rsidR="004D6DDC" w:rsidRDefault="004D6DDC" w:rsidP="00BE6E3A"/>
    <w:p w:rsidR="00BE6E3A" w:rsidRPr="00EA1625" w:rsidRDefault="00BE6E3A" w:rsidP="00BE6E3A"/>
    <w:p w:rsidR="008E4FD6" w:rsidRPr="00EA1625" w:rsidRDefault="008E4FD6" w:rsidP="00D2354E">
      <w:pPr>
        <w:tabs>
          <w:tab w:val="left" w:pos="1076"/>
        </w:tabs>
      </w:pPr>
    </w:p>
    <w:p w:rsidR="008E4FD6" w:rsidRPr="00EA1625" w:rsidRDefault="008E4FD6" w:rsidP="00EA1625">
      <w:pPr>
        <w:jc w:val="center"/>
        <w:rPr>
          <w:b/>
          <w:u w:val="single"/>
        </w:rPr>
      </w:pPr>
      <w:r w:rsidRPr="00EA1625">
        <w:rPr>
          <w:b/>
          <w:u w:val="single"/>
        </w:rPr>
        <w:t>INITIAL DECISION</w:t>
      </w:r>
    </w:p>
    <w:p w:rsidR="008E4FD6" w:rsidRPr="00EA1625" w:rsidRDefault="008E4FD6" w:rsidP="00EA1625">
      <w:pPr>
        <w:jc w:val="center"/>
      </w:pPr>
    </w:p>
    <w:p w:rsidR="009D47A5" w:rsidRPr="00EA1625" w:rsidRDefault="009D47A5" w:rsidP="00EA1625">
      <w:pPr>
        <w:jc w:val="center"/>
      </w:pPr>
    </w:p>
    <w:p w:rsidR="008E4FD6" w:rsidRPr="00EA1625" w:rsidRDefault="008E4FD6" w:rsidP="00EA1625">
      <w:pPr>
        <w:jc w:val="center"/>
      </w:pPr>
      <w:r w:rsidRPr="00EA1625">
        <w:t>Before</w:t>
      </w:r>
    </w:p>
    <w:p w:rsidR="008E4FD6" w:rsidRPr="00EA1625" w:rsidRDefault="00DF0974" w:rsidP="00EA1625">
      <w:pPr>
        <w:jc w:val="center"/>
      </w:pPr>
      <w:r w:rsidRPr="00EA1625">
        <w:t>Katrina L. Dunderdale</w:t>
      </w:r>
    </w:p>
    <w:p w:rsidR="008E4FD6" w:rsidRPr="00EA1625" w:rsidRDefault="008E4FD6" w:rsidP="00EA1625">
      <w:pPr>
        <w:jc w:val="center"/>
      </w:pPr>
      <w:r w:rsidRPr="00EA1625">
        <w:t>Administrative Law Judge</w:t>
      </w:r>
    </w:p>
    <w:p w:rsidR="008E4FD6" w:rsidRDefault="008E4FD6" w:rsidP="00D2354E"/>
    <w:p w:rsidR="00BE6E3A" w:rsidRPr="00EA1625" w:rsidRDefault="00BE6E3A" w:rsidP="00D2354E"/>
    <w:p w:rsidR="00F9732A" w:rsidRPr="00EA1625" w:rsidRDefault="008E4FD6" w:rsidP="00EA1625">
      <w:pPr>
        <w:jc w:val="center"/>
        <w:rPr>
          <w:u w:val="single"/>
        </w:rPr>
      </w:pPr>
      <w:r w:rsidRPr="00EA1625">
        <w:rPr>
          <w:u w:val="single"/>
        </w:rPr>
        <w:t>HISTORY OF THE PROCEEDING</w:t>
      </w:r>
    </w:p>
    <w:p w:rsidR="00F9732A" w:rsidRPr="00EA1625" w:rsidRDefault="00F9732A" w:rsidP="00D2354E">
      <w:pPr>
        <w:rPr>
          <w:u w:val="single"/>
        </w:rPr>
      </w:pPr>
    </w:p>
    <w:p w:rsidR="00D868FB" w:rsidRPr="00EA1625" w:rsidRDefault="00D868FB" w:rsidP="00D2354E">
      <w:pPr>
        <w:rPr>
          <w:u w:val="single"/>
        </w:rPr>
      </w:pPr>
    </w:p>
    <w:p w:rsidR="0041637D" w:rsidRDefault="00F9732A" w:rsidP="00EA1625">
      <w:pPr>
        <w:spacing w:line="360" w:lineRule="auto"/>
      </w:pPr>
      <w:r w:rsidRPr="00EA1625">
        <w:tab/>
      </w:r>
      <w:r w:rsidRPr="00EA1625">
        <w:tab/>
      </w:r>
      <w:r w:rsidR="00E55C1D">
        <w:t xml:space="preserve">On </w:t>
      </w:r>
      <w:r w:rsidR="00CF7FD0">
        <w:t>September 1</w:t>
      </w:r>
      <w:r w:rsidR="00AD253F">
        <w:t>, 2009</w:t>
      </w:r>
      <w:r w:rsidR="00BD76C8" w:rsidRPr="00EA1625">
        <w:t xml:space="preserve">, </w:t>
      </w:r>
      <w:r w:rsidR="00CF7FD0">
        <w:t>Greg Croft</w:t>
      </w:r>
      <w:r w:rsidR="00BD76C8" w:rsidRPr="00EA1625">
        <w:t xml:space="preserve"> </w:t>
      </w:r>
      <w:r w:rsidR="00497A4D">
        <w:t xml:space="preserve">(“Complainant”) </w:t>
      </w:r>
      <w:r w:rsidR="00BD76C8" w:rsidRPr="00EA1625">
        <w:t>filed a formal complaint with the Pennsylvania P</w:t>
      </w:r>
      <w:r w:rsidR="0041637D" w:rsidRPr="00EA1625">
        <w:t>u</w:t>
      </w:r>
      <w:r w:rsidR="00BD76C8" w:rsidRPr="00EA1625">
        <w:t xml:space="preserve">blic Utility Commission (“Commission”) against </w:t>
      </w:r>
      <w:r w:rsidR="00CF7FD0">
        <w:t>the Peoples Natural Gas Company, d/b/a Dominion Peoples</w:t>
      </w:r>
      <w:r w:rsidR="004201C6" w:rsidRPr="00EA1625">
        <w:t xml:space="preserve"> </w:t>
      </w:r>
      <w:r w:rsidR="00BD76C8" w:rsidRPr="00EA1625">
        <w:t>(“</w:t>
      </w:r>
      <w:r w:rsidR="00CF7FD0">
        <w:t>Dominion Peoples</w:t>
      </w:r>
      <w:r w:rsidR="00BD76C8" w:rsidRPr="00EA1625">
        <w:t>” or “</w:t>
      </w:r>
      <w:r w:rsidR="00FD4410">
        <w:t>Respondent</w:t>
      </w:r>
      <w:r w:rsidR="00BD76C8" w:rsidRPr="00EA1625">
        <w:t xml:space="preserve">”) </w:t>
      </w:r>
      <w:r w:rsidR="004201C6" w:rsidRPr="00EA1625">
        <w:t>alleging</w:t>
      </w:r>
      <w:r w:rsidR="00BD76C8" w:rsidRPr="00EA1625">
        <w:t xml:space="preserve"> </w:t>
      </w:r>
      <w:r w:rsidR="00CF7FD0">
        <w:t>Dominion Peoples</w:t>
      </w:r>
      <w:r w:rsidR="004201C6" w:rsidRPr="00EA1625">
        <w:t xml:space="preserve"> </w:t>
      </w:r>
      <w:r w:rsidR="00AD75C9">
        <w:t xml:space="preserve">improperly </w:t>
      </w:r>
      <w:r w:rsidR="00AD253F">
        <w:t>over</w:t>
      </w:r>
      <w:r w:rsidR="00AD75C9">
        <w:t xml:space="preserve">charged </w:t>
      </w:r>
      <w:r w:rsidR="00E55C1D">
        <w:t>Complainant</w:t>
      </w:r>
      <w:r w:rsidR="00AD253F">
        <w:t xml:space="preserve"> for </w:t>
      </w:r>
      <w:r w:rsidR="00CF7FD0">
        <w:t xml:space="preserve">natural gas </w:t>
      </w:r>
      <w:r w:rsidR="00AD253F">
        <w:t xml:space="preserve">service at </w:t>
      </w:r>
      <w:r w:rsidR="00CF7FD0">
        <w:t>his</w:t>
      </w:r>
      <w:r w:rsidR="00AD253F">
        <w:t xml:space="preserve"> residence in </w:t>
      </w:r>
      <w:r w:rsidR="00DF087F">
        <w:t>Allegheny County</w:t>
      </w:r>
      <w:r w:rsidR="00AD75C9">
        <w:t xml:space="preserve">. </w:t>
      </w:r>
    </w:p>
    <w:p w:rsidR="00AD75C9" w:rsidRPr="00EA1625" w:rsidRDefault="00AD75C9" w:rsidP="00EA1625">
      <w:pPr>
        <w:spacing w:line="360" w:lineRule="auto"/>
      </w:pPr>
    </w:p>
    <w:p w:rsidR="000B575F" w:rsidRDefault="0041637D" w:rsidP="00EA1625">
      <w:pPr>
        <w:spacing w:line="360" w:lineRule="auto"/>
      </w:pPr>
      <w:r w:rsidRPr="00EA1625">
        <w:tab/>
      </w:r>
      <w:r w:rsidRPr="00EA1625">
        <w:tab/>
      </w:r>
      <w:r w:rsidR="00CF7FD0">
        <w:t>Dominion Peoples</w:t>
      </w:r>
      <w:r w:rsidRPr="00EA1625">
        <w:t xml:space="preserve"> filed </w:t>
      </w:r>
      <w:r w:rsidR="00DF0974" w:rsidRPr="00EA1625">
        <w:t>an</w:t>
      </w:r>
      <w:r w:rsidR="00580D5E" w:rsidRPr="00EA1625">
        <w:t xml:space="preserve"> </w:t>
      </w:r>
      <w:r w:rsidRPr="00EA1625">
        <w:t xml:space="preserve">answer in response to </w:t>
      </w:r>
      <w:r w:rsidR="00734AEF">
        <w:t>M</w:t>
      </w:r>
      <w:r w:rsidR="00CF7FD0">
        <w:t>r</w:t>
      </w:r>
      <w:r w:rsidR="00E55C1D">
        <w:t>.</w:t>
      </w:r>
      <w:r w:rsidR="007B3113">
        <w:t xml:space="preserve"> </w:t>
      </w:r>
      <w:r w:rsidR="00CF7FD0">
        <w:t>Croft’s</w:t>
      </w:r>
      <w:r w:rsidRPr="00EA1625">
        <w:t xml:space="preserve"> complaint on </w:t>
      </w:r>
      <w:r w:rsidR="00CF7FD0">
        <w:t>September 30,</w:t>
      </w:r>
      <w:r w:rsidR="00AD253F">
        <w:t xml:space="preserve"> 2009</w:t>
      </w:r>
      <w:r w:rsidRPr="00EA1625">
        <w:t xml:space="preserve">.  In </w:t>
      </w:r>
      <w:r w:rsidR="00DF0974" w:rsidRPr="00EA1625">
        <w:t>its</w:t>
      </w:r>
      <w:r w:rsidRPr="00EA1625">
        <w:t xml:space="preserve"> </w:t>
      </w:r>
      <w:r w:rsidR="00580D5E" w:rsidRPr="00EA1625">
        <w:t xml:space="preserve">responsive pleading, </w:t>
      </w:r>
      <w:r w:rsidR="00CF7FD0">
        <w:t>Dominion Peoples</w:t>
      </w:r>
      <w:r w:rsidR="003F5065">
        <w:t xml:space="preserve"> </w:t>
      </w:r>
      <w:r w:rsidR="00C15A48">
        <w:t xml:space="preserve">avers the </w:t>
      </w:r>
      <w:r w:rsidR="00CF7FD0">
        <w:t xml:space="preserve">quantity of </w:t>
      </w:r>
      <w:r w:rsidR="00C15A48">
        <w:t xml:space="preserve">gas charged to </w:t>
      </w:r>
      <w:r w:rsidR="00734AEF">
        <w:t>Complainant</w:t>
      </w:r>
      <w:r w:rsidR="00C15A48">
        <w:t xml:space="preserve"> was </w:t>
      </w:r>
      <w:r w:rsidR="00F4413D">
        <w:t>correct</w:t>
      </w:r>
      <w:r w:rsidR="00C15A48">
        <w:t xml:space="preserve"> and denies </w:t>
      </w:r>
      <w:r w:rsidR="00734AEF">
        <w:t>Respondent</w:t>
      </w:r>
      <w:r w:rsidR="00AD253F">
        <w:t xml:space="preserve"> incorrectly billed </w:t>
      </w:r>
      <w:r w:rsidR="00734AEF">
        <w:t xml:space="preserve">Complainant </w:t>
      </w:r>
      <w:r w:rsidR="00AD253F">
        <w:t>for natural gas service</w:t>
      </w:r>
      <w:r w:rsidR="00C15A48">
        <w:t xml:space="preserve">.  </w:t>
      </w:r>
      <w:r w:rsidR="00CF7FD0">
        <w:t>Respondent</w:t>
      </w:r>
      <w:r w:rsidR="00C15A48">
        <w:t xml:space="preserve"> furt</w:t>
      </w:r>
      <w:r w:rsidR="00E55C1D">
        <w:t>h</w:t>
      </w:r>
      <w:r w:rsidR="00F4413D">
        <w:t>er</w:t>
      </w:r>
      <w:r w:rsidR="00C15A48">
        <w:t xml:space="preserve"> avers</w:t>
      </w:r>
      <w:r w:rsidR="00A90945">
        <w:t xml:space="preserve"> its meter correctly measured Complainant’s natural gas usage.  </w:t>
      </w:r>
      <w:r w:rsidR="00734AEF">
        <w:t xml:space="preserve">Furthermore, Respondent contends Complainant </w:t>
      </w:r>
      <w:r w:rsidR="00A90945">
        <w:t xml:space="preserve">defaulted on the </w:t>
      </w:r>
      <w:r w:rsidR="00E30434">
        <w:t>Bureau of Consumer Services (“</w:t>
      </w:r>
      <w:r w:rsidR="00A90945">
        <w:t>BCS</w:t>
      </w:r>
      <w:r w:rsidR="00E30434">
        <w:t>”)</w:t>
      </w:r>
      <w:r w:rsidR="00A90945">
        <w:t xml:space="preserve"> payment plan and should be required to pay the current outstanding unpaid balance from that prior BCS payment plan up front, followed by the budget amount each month plus $30.00 per month toward the outstanding arrears.</w:t>
      </w:r>
      <w:r w:rsidR="00734AEF">
        <w:t xml:space="preserve">  </w:t>
      </w:r>
      <w:r w:rsidR="00D23617">
        <w:t xml:space="preserve">  </w:t>
      </w:r>
    </w:p>
    <w:p w:rsidR="008E4FD6" w:rsidRPr="00EA1625" w:rsidRDefault="009239E5" w:rsidP="00A90945">
      <w:pPr>
        <w:spacing w:line="360" w:lineRule="auto"/>
        <w:ind w:firstLine="1440"/>
      </w:pPr>
      <w:r>
        <w:lastRenderedPageBreak/>
        <w:t xml:space="preserve">By Telephone Hearing Notice dated </w:t>
      </w:r>
      <w:r w:rsidR="00A90945">
        <w:t>November 17</w:t>
      </w:r>
      <w:r w:rsidR="00D23617">
        <w:t>, 2009</w:t>
      </w:r>
      <w:r>
        <w:t xml:space="preserve">, the Public Utility Commission notified the parties an initial telephonic hearing in this case was scheduled for </w:t>
      </w:r>
      <w:r w:rsidR="00A90945">
        <w:t>Tuesday, January 5, 2010</w:t>
      </w:r>
      <w:r w:rsidR="00D23617">
        <w:t xml:space="preserve"> </w:t>
      </w:r>
      <w:r w:rsidR="009737DF">
        <w:t>at 9</w:t>
      </w:r>
      <w:r>
        <w:t xml:space="preserve">:00 a.m.  </w:t>
      </w:r>
      <w:r>
        <w:rPr>
          <w:spacing w:val="-3"/>
        </w:rPr>
        <w:t xml:space="preserve">On </w:t>
      </w:r>
      <w:r w:rsidR="009737DF">
        <w:rPr>
          <w:spacing w:val="-3"/>
        </w:rPr>
        <w:t>November 18</w:t>
      </w:r>
      <w:r w:rsidR="00D23617">
        <w:rPr>
          <w:spacing w:val="-3"/>
        </w:rPr>
        <w:t>, 2009</w:t>
      </w:r>
      <w:r>
        <w:rPr>
          <w:spacing w:val="-3"/>
        </w:rPr>
        <w:t xml:space="preserve">, the </w:t>
      </w:r>
      <w:r w:rsidR="009737DF">
        <w:rPr>
          <w:spacing w:val="-3"/>
        </w:rPr>
        <w:t>presiding officer</w:t>
      </w:r>
      <w:r>
        <w:rPr>
          <w:spacing w:val="-3"/>
        </w:rPr>
        <w:t xml:space="preserve"> issued a Prehearing Order </w:t>
      </w:r>
      <w:r>
        <w:t xml:space="preserve">setting forth </w:t>
      </w:r>
      <w:r w:rsidRPr="009F5BA4">
        <w:t>the date and time of the scheduled hearing</w:t>
      </w:r>
      <w:r>
        <w:t xml:space="preserve">.  </w:t>
      </w:r>
      <w:r w:rsidR="00D93CB5">
        <w:t xml:space="preserve">  </w:t>
      </w:r>
    </w:p>
    <w:p w:rsidR="008E4FD6" w:rsidRPr="00EA1625" w:rsidRDefault="008E4FD6" w:rsidP="00EA1625">
      <w:pPr>
        <w:tabs>
          <w:tab w:val="left" w:pos="2160"/>
        </w:tabs>
        <w:spacing w:line="360" w:lineRule="auto"/>
        <w:ind w:firstLine="1440"/>
      </w:pPr>
    </w:p>
    <w:p w:rsidR="007B4DE2" w:rsidRPr="00EA1625" w:rsidRDefault="00212D2D" w:rsidP="007B4DE2">
      <w:pPr>
        <w:tabs>
          <w:tab w:val="left" w:pos="2160"/>
        </w:tabs>
        <w:spacing w:line="360" w:lineRule="auto"/>
        <w:ind w:firstLine="1440"/>
      </w:pPr>
      <w:r>
        <w:t xml:space="preserve">On </w:t>
      </w:r>
      <w:r w:rsidR="009737DF">
        <w:t>January 5, 2010</w:t>
      </w:r>
      <w:r>
        <w:t xml:space="preserve">, </w:t>
      </w:r>
      <w:r w:rsidR="00754EEB">
        <w:t>the presiding officer</w:t>
      </w:r>
      <w:r w:rsidR="00BE6E3A">
        <w:t xml:space="preserve"> convened the parties and </w:t>
      </w:r>
      <w:r w:rsidR="00A83CBE">
        <w:t>conduct</w:t>
      </w:r>
      <w:r w:rsidR="005243F8">
        <w:t>ed</w:t>
      </w:r>
      <w:r w:rsidR="00BE6E3A">
        <w:t xml:space="preserve"> a telephonic hearing</w:t>
      </w:r>
      <w:r w:rsidR="00826CBC">
        <w:t xml:space="preserve"> </w:t>
      </w:r>
      <w:r w:rsidR="00734AEF">
        <w:t xml:space="preserve">at which time </w:t>
      </w:r>
      <w:r w:rsidR="009737DF">
        <w:t>Complainant</w:t>
      </w:r>
      <w:r w:rsidR="005243F8">
        <w:t xml:space="preserve"> </w:t>
      </w:r>
      <w:r w:rsidR="005243F8" w:rsidRPr="00EA1625">
        <w:t xml:space="preserve">appeared </w:t>
      </w:r>
      <w:r w:rsidR="005243F8" w:rsidRPr="002E49A8">
        <w:rPr>
          <w:i/>
        </w:rPr>
        <w:t>pro se</w:t>
      </w:r>
      <w:r w:rsidR="005D7228">
        <w:t xml:space="preserve"> and </w:t>
      </w:r>
      <w:r w:rsidR="005243F8">
        <w:t>testified</w:t>
      </w:r>
      <w:r w:rsidR="005243F8" w:rsidRPr="00EA1625">
        <w:t xml:space="preserve"> on </w:t>
      </w:r>
      <w:r w:rsidR="005243F8">
        <w:t>his</w:t>
      </w:r>
      <w:r w:rsidR="005243F8" w:rsidRPr="00EA1625">
        <w:t xml:space="preserve"> own behalf</w:t>
      </w:r>
      <w:r w:rsidR="005D7228">
        <w:t>.</w:t>
      </w:r>
      <w:r w:rsidR="005B0283">
        <w:t xml:space="preserve">  </w:t>
      </w:r>
      <w:r w:rsidR="007B4DE2" w:rsidRPr="00EA1625">
        <w:t>Mr.</w:t>
      </w:r>
      <w:r w:rsidR="007B4DE2">
        <w:t> William H. Roberts, II</w:t>
      </w:r>
      <w:r w:rsidR="007B4DE2" w:rsidRPr="00EA1625">
        <w:t xml:space="preserve">, Esquire represented </w:t>
      </w:r>
      <w:r w:rsidR="007B4DE2">
        <w:t>Dominion Peoples</w:t>
      </w:r>
      <w:r w:rsidR="007B4DE2" w:rsidRPr="00EA1625">
        <w:t xml:space="preserve">.  Attorney </w:t>
      </w:r>
      <w:r w:rsidR="007B4DE2">
        <w:t>Roberts</w:t>
      </w:r>
      <w:r w:rsidR="007B4DE2" w:rsidRPr="00EA1625">
        <w:t xml:space="preserve"> presented the testimony of </w:t>
      </w:r>
      <w:r w:rsidR="007B4DE2">
        <w:t>Ms. Deborah Gardner</w:t>
      </w:r>
      <w:r w:rsidR="007B4DE2" w:rsidRPr="00EA1625">
        <w:t xml:space="preserve"> and offered </w:t>
      </w:r>
      <w:r w:rsidR="007B4DE2">
        <w:t>three</w:t>
      </w:r>
      <w:r w:rsidR="007B4DE2" w:rsidRPr="00EA1625">
        <w:t xml:space="preserve"> exhibits, marked </w:t>
      </w:r>
      <w:r w:rsidR="007B4DE2">
        <w:t xml:space="preserve">Dominion Peoples </w:t>
      </w:r>
      <w:r w:rsidR="007B4DE2" w:rsidRPr="00EA1625">
        <w:t>Exhibit “</w:t>
      </w:r>
      <w:r w:rsidR="007B4DE2">
        <w:t>A</w:t>
      </w:r>
      <w:r w:rsidR="007B4DE2" w:rsidRPr="00EA1625">
        <w:t>” through and including Exhibit “</w:t>
      </w:r>
      <w:r w:rsidR="007B4DE2">
        <w:t>C</w:t>
      </w:r>
      <w:r w:rsidR="007B4DE2" w:rsidRPr="00EA1625">
        <w:t xml:space="preserve">”, which exhibits the undersigned admitted into evidence </w:t>
      </w:r>
      <w:r w:rsidR="007B4DE2">
        <w:t>at the hearing</w:t>
      </w:r>
      <w:r w:rsidR="007B4DE2" w:rsidRPr="00EA1625">
        <w:t xml:space="preserve">.  The transcript of the hearing contains </w:t>
      </w:r>
      <w:r w:rsidR="004340E3">
        <w:t>fifty-three (53</w:t>
      </w:r>
      <w:r w:rsidR="007B4DE2" w:rsidRPr="00EA1625">
        <w:t xml:space="preserve">) pages.  </w:t>
      </w:r>
      <w:r w:rsidR="007B4DE2">
        <w:t>Complainant</w:t>
      </w:r>
      <w:r w:rsidR="007B4DE2" w:rsidRPr="00EA1625">
        <w:t xml:space="preserve"> and </w:t>
      </w:r>
      <w:r w:rsidR="007B4DE2">
        <w:t>Respondent</w:t>
      </w:r>
      <w:r w:rsidR="007B4DE2" w:rsidRPr="00EA1625">
        <w:t xml:space="preserve"> issued final statements on the record and the hearing record closed upon the receipt of the transcript.    </w:t>
      </w:r>
    </w:p>
    <w:p w:rsidR="007B4DE2" w:rsidRPr="00EA1625" w:rsidRDefault="007B4DE2" w:rsidP="007B4DE2">
      <w:pPr>
        <w:tabs>
          <w:tab w:val="left" w:pos="2160"/>
        </w:tabs>
        <w:spacing w:line="360" w:lineRule="auto"/>
        <w:ind w:firstLine="1440"/>
      </w:pPr>
    </w:p>
    <w:p w:rsidR="007B4DE2" w:rsidRPr="00EA1625" w:rsidRDefault="007B4DE2" w:rsidP="007B4DE2">
      <w:pPr>
        <w:tabs>
          <w:tab w:val="left" w:pos="2160"/>
        </w:tabs>
        <w:spacing w:line="360" w:lineRule="auto"/>
        <w:ind w:firstLine="1440"/>
      </w:pPr>
      <w:r w:rsidRPr="00EA1625">
        <w:t xml:space="preserve">On </w:t>
      </w:r>
      <w:r w:rsidR="004340E3">
        <w:t>February 19, 2010,</w:t>
      </w:r>
      <w:r w:rsidRPr="00EA1625">
        <w:t xml:space="preserve"> the </w:t>
      </w:r>
      <w:r w:rsidR="004340E3">
        <w:t>presiding officer</w:t>
      </w:r>
      <w:r w:rsidRPr="00EA1625">
        <w:t xml:space="preserve"> closed the hearing record by issuing the Interim Order Closing the Hearing Record.</w:t>
      </w:r>
    </w:p>
    <w:p w:rsidR="007B4DE2" w:rsidRDefault="007B4DE2" w:rsidP="00EA1625">
      <w:pPr>
        <w:tabs>
          <w:tab w:val="left" w:pos="2160"/>
        </w:tabs>
        <w:spacing w:line="360" w:lineRule="auto"/>
        <w:jc w:val="center"/>
        <w:rPr>
          <w:u w:val="single"/>
        </w:rPr>
      </w:pPr>
    </w:p>
    <w:p w:rsidR="008E4FD6" w:rsidRPr="00EA1625" w:rsidRDefault="008E4FD6" w:rsidP="00EA1625">
      <w:pPr>
        <w:tabs>
          <w:tab w:val="left" w:pos="2160"/>
        </w:tabs>
        <w:spacing w:line="360" w:lineRule="auto"/>
        <w:jc w:val="center"/>
        <w:rPr>
          <w:u w:val="single"/>
        </w:rPr>
      </w:pPr>
      <w:r w:rsidRPr="00EA1625">
        <w:rPr>
          <w:u w:val="single"/>
        </w:rPr>
        <w:t xml:space="preserve">FINDINGS OF </w:t>
      </w:r>
      <w:smartTag w:uri="urn:schemas-microsoft-com:office:smarttags" w:element="stockticker">
        <w:r w:rsidRPr="00EA1625">
          <w:rPr>
            <w:u w:val="single"/>
          </w:rPr>
          <w:t>FACT</w:t>
        </w:r>
      </w:smartTag>
    </w:p>
    <w:p w:rsidR="008E4FD6" w:rsidRPr="00EA1625" w:rsidRDefault="008E4FD6" w:rsidP="00EA1625">
      <w:pPr>
        <w:tabs>
          <w:tab w:val="left" w:pos="2160"/>
        </w:tabs>
        <w:spacing w:line="360" w:lineRule="auto"/>
        <w:rPr>
          <w:u w:val="single"/>
        </w:rPr>
      </w:pPr>
    </w:p>
    <w:p w:rsidR="00DA66D7" w:rsidRPr="00EA1625" w:rsidRDefault="008E4FD6" w:rsidP="00EA1625">
      <w:pPr>
        <w:tabs>
          <w:tab w:val="left" w:pos="2160"/>
        </w:tabs>
        <w:spacing w:line="360" w:lineRule="auto"/>
        <w:ind w:firstLine="1440"/>
      </w:pPr>
      <w:r w:rsidRPr="00EA1625">
        <w:t>1.</w:t>
      </w:r>
      <w:r w:rsidRPr="00EA1625">
        <w:tab/>
      </w:r>
      <w:r w:rsidR="00FD4410">
        <w:t>Complainant</w:t>
      </w:r>
      <w:r w:rsidR="00FA2D82" w:rsidRPr="00EA1625">
        <w:t xml:space="preserve">, </w:t>
      </w:r>
      <w:r w:rsidR="007B4DE2">
        <w:t>Greg Croft</w:t>
      </w:r>
      <w:r w:rsidR="00B07286">
        <w:t>,</w:t>
      </w:r>
      <w:r w:rsidR="0073725A">
        <w:t xml:space="preserve"> receive</w:t>
      </w:r>
      <w:r w:rsidR="000A46F6">
        <w:t>s</w:t>
      </w:r>
      <w:r w:rsidR="0073725A">
        <w:t xml:space="preserve"> </w:t>
      </w:r>
      <w:r w:rsidR="00291636">
        <w:t xml:space="preserve">mail </w:t>
      </w:r>
      <w:r w:rsidR="00FA2D82" w:rsidRPr="00EA1625">
        <w:t xml:space="preserve">at </w:t>
      </w:r>
      <w:r w:rsidR="000A46F6">
        <w:t>532 57</w:t>
      </w:r>
      <w:r w:rsidR="000A46F6" w:rsidRPr="000A46F6">
        <w:rPr>
          <w:vertAlign w:val="superscript"/>
        </w:rPr>
        <w:t>th</w:t>
      </w:r>
      <w:r w:rsidR="000A46F6">
        <w:t xml:space="preserve"> Street, Altoona</w:t>
      </w:r>
      <w:r w:rsidR="00D11E0E">
        <w:t xml:space="preserve">, Pennsylvania </w:t>
      </w:r>
      <w:r w:rsidR="000A46F6">
        <w:t>16602</w:t>
      </w:r>
      <w:r w:rsidR="00F10EF2">
        <w:t xml:space="preserve">, at which location Respondent </w:t>
      </w:r>
      <w:r w:rsidR="004F40E1">
        <w:t xml:space="preserve">currently </w:t>
      </w:r>
      <w:r w:rsidR="00F10EF2">
        <w:t>provides natural gas service</w:t>
      </w:r>
      <w:r w:rsidR="00D11E0E">
        <w:t>.</w:t>
      </w:r>
      <w:r w:rsidR="004F40E1">
        <w:t xml:space="preserve">  (Tr. </w:t>
      </w:r>
      <w:r w:rsidR="004340E3">
        <w:t>6</w:t>
      </w:r>
      <w:r w:rsidR="00FB039A">
        <w:t xml:space="preserve">; </w:t>
      </w:r>
      <w:r w:rsidR="000A46F6">
        <w:t>Dominion Peoples</w:t>
      </w:r>
      <w:r w:rsidR="00FB039A">
        <w:t xml:space="preserve"> Exhibit </w:t>
      </w:r>
      <w:r w:rsidR="000A46F6">
        <w:t>A</w:t>
      </w:r>
      <w:r w:rsidR="004F40E1">
        <w:t>).</w:t>
      </w:r>
    </w:p>
    <w:p w:rsidR="000B7480" w:rsidRPr="00EA1625" w:rsidRDefault="000B7480" w:rsidP="00EA1625">
      <w:pPr>
        <w:tabs>
          <w:tab w:val="left" w:pos="2160"/>
        </w:tabs>
        <w:spacing w:line="360" w:lineRule="auto"/>
        <w:ind w:firstLine="1440"/>
      </w:pPr>
    </w:p>
    <w:p w:rsidR="000B7480" w:rsidRPr="00EA1625" w:rsidRDefault="000B7480" w:rsidP="00EA1625">
      <w:pPr>
        <w:tabs>
          <w:tab w:val="left" w:pos="2160"/>
        </w:tabs>
        <w:spacing w:line="360" w:lineRule="auto"/>
        <w:ind w:firstLine="1440"/>
      </w:pPr>
      <w:r w:rsidRPr="00EA1625">
        <w:t>2.</w:t>
      </w:r>
      <w:r w:rsidRPr="00EA1625">
        <w:tab/>
      </w:r>
      <w:r w:rsidR="00DF087F">
        <w:t xml:space="preserve">Respondent, </w:t>
      </w:r>
      <w:r w:rsidR="000A46F6">
        <w:t>Dominion Peoples</w:t>
      </w:r>
      <w:r w:rsidR="00DF087F">
        <w:t xml:space="preserve">, </w:t>
      </w:r>
      <w:r w:rsidR="00B07286">
        <w:t>provides</w:t>
      </w:r>
      <w:r w:rsidR="00DF087F">
        <w:t xml:space="preserve"> natural gas service to Complainant </w:t>
      </w:r>
      <w:r w:rsidR="00BB13B5">
        <w:t>at his</w:t>
      </w:r>
      <w:r w:rsidR="00DF087F">
        <w:t xml:space="preserve"> </w:t>
      </w:r>
      <w:r w:rsidR="00BB13B5">
        <w:t xml:space="preserve">single-family </w:t>
      </w:r>
      <w:r w:rsidR="00DF087F">
        <w:t xml:space="preserve">residence </w:t>
      </w:r>
      <w:r w:rsidR="00FB039A">
        <w:t>from</w:t>
      </w:r>
      <w:r w:rsidR="00DF087F">
        <w:t xml:space="preserve"> </w:t>
      </w:r>
      <w:r w:rsidR="000A46F6">
        <w:t>March 1, 2007</w:t>
      </w:r>
      <w:r w:rsidR="00FB039A">
        <w:t xml:space="preserve"> to the present</w:t>
      </w:r>
      <w:r w:rsidR="00DF087F">
        <w:t xml:space="preserve">.  (Tr. </w:t>
      </w:r>
      <w:r w:rsidR="004340E3">
        <w:t>22, 24</w:t>
      </w:r>
      <w:r w:rsidR="005A6C63">
        <w:t xml:space="preserve">; </w:t>
      </w:r>
      <w:r w:rsidR="000A46F6">
        <w:t>Dominion Peoples Exhibit A</w:t>
      </w:r>
      <w:r w:rsidR="00DF087F">
        <w:t>).</w:t>
      </w:r>
    </w:p>
    <w:p w:rsidR="001354D6" w:rsidRPr="00EA1625" w:rsidRDefault="001354D6" w:rsidP="00EA1625">
      <w:pPr>
        <w:tabs>
          <w:tab w:val="left" w:pos="2160"/>
        </w:tabs>
        <w:spacing w:line="360" w:lineRule="auto"/>
        <w:ind w:firstLine="1440"/>
      </w:pPr>
    </w:p>
    <w:p w:rsidR="00F35726" w:rsidRPr="00EA1625" w:rsidRDefault="007767D5" w:rsidP="00EA1625">
      <w:pPr>
        <w:tabs>
          <w:tab w:val="left" w:pos="2160"/>
        </w:tabs>
        <w:spacing w:line="360" w:lineRule="auto"/>
        <w:ind w:firstLine="1440"/>
      </w:pPr>
      <w:r w:rsidRPr="00EA1625">
        <w:t>3</w:t>
      </w:r>
      <w:r w:rsidR="001354D6" w:rsidRPr="00EA1625">
        <w:t>.</w:t>
      </w:r>
      <w:r w:rsidR="001354D6" w:rsidRPr="00EA1625">
        <w:tab/>
      </w:r>
      <w:r w:rsidR="00B07286">
        <w:t>In February 2007, Complainant requested Respondent start natural gas service on March 1, 2007</w:t>
      </w:r>
      <w:r w:rsidR="00B2307D">
        <w:t xml:space="preserve"> and </w:t>
      </w:r>
      <w:r w:rsidR="00801B41">
        <w:t xml:space="preserve">Complainant </w:t>
      </w:r>
      <w:r w:rsidR="00BB13B5">
        <w:t xml:space="preserve">moved into the rental property </w:t>
      </w:r>
      <w:r w:rsidR="00801B41">
        <w:t xml:space="preserve">with </w:t>
      </w:r>
      <w:r w:rsidR="000A46F6">
        <w:t>his aunt</w:t>
      </w:r>
      <w:r w:rsidR="00801B41">
        <w:t xml:space="preserve"> </w:t>
      </w:r>
      <w:r w:rsidR="00B07286">
        <w:t xml:space="preserve">on March 27, 2007, with whom </w:t>
      </w:r>
      <w:r w:rsidR="00BB13B5">
        <w:t>he continues to reside currently</w:t>
      </w:r>
      <w:r w:rsidR="00801B41">
        <w:t xml:space="preserve">.  (Tr. </w:t>
      </w:r>
      <w:r w:rsidR="004340E3">
        <w:t>11, 13</w:t>
      </w:r>
      <w:r w:rsidR="00B2307D">
        <w:t>, 24, 25</w:t>
      </w:r>
      <w:r w:rsidR="00B90439">
        <w:t>,</w:t>
      </w:r>
      <w:r w:rsidR="00B2307D">
        <w:t xml:space="preserve"> 45; Dominion Peoples Exhibit A</w:t>
      </w:r>
      <w:r w:rsidR="00801B41">
        <w:t>).</w:t>
      </w:r>
    </w:p>
    <w:p w:rsidR="00086D0E" w:rsidRDefault="00F57008" w:rsidP="009848F7">
      <w:pPr>
        <w:tabs>
          <w:tab w:val="left" w:pos="2160"/>
        </w:tabs>
        <w:spacing w:line="360" w:lineRule="auto"/>
        <w:ind w:firstLine="1440"/>
      </w:pPr>
      <w:r>
        <w:lastRenderedPageBreak/>
        <w:t>4</w:t>
      </w:r>
      <w:r w:rsidR="00086D0E">
        <w:t>.</w:t>
      </w:r>
      <w:r w:rsidR="00086D0E">
        <w:tab/>
        <w:t xml:space="preserve">Respondent’s personnel obtained an actual meter reading on March 1, 2007 and </w:t>
      </w:r>
      <w:r w:rsidR="004340E3">
        <w:t>again on March 30, 2007.  (Tr.</w:t>
      </w:r>
      <w:r w:rsidR="00B90439">
        <w:t>24, 25,</w:t>
      </w:r>
      <w:r w:rsidR="004340E3">
        <w:t xml:space="preserve"> 45; Dominion Peoples Exhibit A</w:t>
      </w:r>
      <w:r w:rsidR="00086D0E">
        <w:t>).</w:t>
      </w:r>
    </w:p>
    <w:p w:rsidR="00086D0E" w:rsidRDefault="00086D0E" w:rsidP="009848F7">
      <w:pPr>
        <w:tabs>
          <w:tab w:val="left" w:pos="2160"/>
        </w:tabs>
        <w:spacing w:line="360" w:lineRule="auto"/>
        <w:ind w:firstLine="1440"/>
      </w:pPr>
    </w:p>
    <w:p w:rsidR="00086D0E" w:rsidRDefault="00F57008" w:rsidP="009848F7">
      <w:pPr>
        <w:tabs>
          <w:tab w:val="left" w:pos="2160"/>
        </w:tabs>
        <w:spacing w:line="360" w:lineRule="auto"/>
        <w:ind w:firstLine="1440"/>
      </w:pPr>
      <w:r>
        <w:t>5</w:t>
      </w:r>
      <w:r w:rsidR="00086D0E">
        <w:t>.</w:t>
      </w:r>
      <w:r w:rsidR="00086D0E">
        <w:tab/>
        <w:t xml:space="preserve">Respondent’s first billing statement issued to Complainant </w:t>
      </w:r>
      <w:r w:rsidR="003C181D">
        <w:t xml:space="preserve">totaled $383.29 which </w:t>
      </w:r>
      <w:r w:rsidR="00086D0E">
        <w:t xml:space="preserve">included </w:t>
      </w:r>
      <w:r w:rsidR="0029002C">
        <w:t xml:space="preserve">$143.29 for </w:t>
      </w:r>
      <w:r w:rsidR="00086D0E">
        <w:t xml:space="preserve">the cost of </w:t>
      </w:r>
      <w:r w:rsidR="0029002C">
        <w:t>11 mcf</w:t>
      </w:r>
      <w:r w:rsidR="00A112F1">
        <w:rPr>
          <w:rStyle w:val="FootnoteReference"/>
        </w:rPr>
        <w:footnoteReference w:id="1"/>
      </w:r>
      <w:r w:rsidR="0029002C">
        <w:t xml:space="preserve"> of natural gas consumed</w:t>
      </w:r>
      <w:r w:rsidR="00086D0E">
        <w:t xml:space="preserve"> from March 1, 2007 to March 30, 2007, plus an $18 transfer fee and two months’</w:t>
      </w:r>
      <w:r w:rsidR="0029002C">
        <w:t xml:space="preserve"> security deposit ($222</w:t>
      </w:r>
      <w:r w:rsidR="00086D0E">
        <w:t>).  (Tr.</w:t>
      </w:r>
      <w:r w:rsidR="004340E3">
        <w:t xml:space="preserve"> 25, 26; Dominion Peoples Exhibit A</w:t>
      </w:r>
      <w:r w:rsidR="00086D0E">
        <w:t>).</w:t>
      </w:r>
    </w:p>
    <w:p w:rsidR="00086D0E" w:rsidRDefault="00086D0E" w:rsidP="009848F7">
      <w:pPr>
        <w:tabs>
          <w:tab w:val="left" w:pos="2160"/>
        </w:tabs>
        <w:spacing w:line="360" w:lineRule="auto"/>
        <w:ind w:firstLine="1440"/>
      </w:pPr>
    </w:p>
    <w:p w:rsidR="00086D0E" w:rsidRDefault="00F57008" w:rsidP="009848F7">
      <w:pPr>
        <w:tabs>
          <w:tab w:val="left" w:pos="2160"/>
        </w:tabs>
        <w:spacing w:line="360" w:lineRule="auto"/>
        <w:ind w:firstLine="1440"/>
      </w:pPr>
      <w:r>
        <w:t>6</w:t>
      </w:r>
      <w:r w:rsidR="00B2307D">
        <w:t>.</w:t>
      </w:r>
      <w:r w:rsidR="00B2307D">
        <w:tab/>
        <w:t xml:space="preserve">Complainant’s first payment on the account </w:t>
      </w:r>
      <w:r w:rsidR="00B90439">
        <w:t xml:space="preserve">was a partial payment </w:t>
      </w:r>
      <w:r w:rsidR="00B2307D">
        <w:t xml:space="preserve">on September 26, 2007 and Complainant </w:t>
      </w:r>
      <w:r w:rsidR="00086D0E">
        <w:t>first complained to Respondent about high bill</w:t>
      </w:r>
      <w:r w:rsidR="00B2307D">
        <w:t>s, requesting</w:t>
      </w:r>
      <w:r w:rsidR="006F44D4">
        <w:t xml:space="preserve"> a high bill investigation</w:t>
      </w:r>
      <w:r w:rsidR="00B90439">
        <w:t>,</w:t>
      </w:r>
      <w:r w:rsidR="006F44D4">
        <w:t xml:space="preserve"> in September 2007</w:t>
      </w:r>
      <w:r w:rsidR="00086D0E">
        <w:t>.  (Tr.</w:t>
      </w:r>
      <w:r w:rsidR="004340E3">
        <w:t xml:space="preserve"> 16, </w:t>
      </w:r>
      <w:r w:rsidR="00B90439">
        <w:t xml:space="preserve">27, </w:t>
      </w:r>
      <w:r w:rsidR="004340E3">
        <w:t>32; Dominion Peoples Exhibit</w:t>
      </w:r>
      <w:r w:rsidR="00B90439">
        <w:t>s A &amp;</w:t>
      </w:r>
      <w:r w:rsidR="004340E3">
        <w:t xml:space="preserve"> B</w:t>
      </w:r>
      <w:r w:rsidR="00086D0E">
        <w:t>).</w:t>
      </w:r>
    </w:p>
    <w:p w:rsidR="00086D0E" w:rsidRDefault="00086D0E" w:rsidP="009848F7">
      <w:pPr>
        <w:tabs>
          <w:tab w:val="left" w:pos="2160"/>
        </w:tabs>
        <w:spacing w:line="360" w:lineRule="auto"/>
        <w:ind w:firstLine="1440"/>
      </w:pPr>
    </w:p>
    <w:p w:rsidR="00AF767F" w:rsidRDefault="00F57008" w:rsidP="009848F7">
      <w:pPr>
        <w:tabs>
          <w:tab w:val="left" w:pos="2160"/>
        </w:tabs>
        <w:spacing w:line="360" w:lineRule="auto"/>
        <w:ind w:firstLine="1440"/>
      </w:pPr>
      <w:r>
        <w:t>7</w:t>
      </w:r>
      <w:r w:rsidR="00636266">
        <w:t>.</w:t>
      </w:r>
      <w:r w:rsidR="00636266">
        <w:tab/>
      </w:r>
      <w:r w:rsidR="00382EDB">
        <w:t>Complainant</w:t>
      </w:r>
      <w:r w:rsidR="004340E3">
        <w:t xml:space="preserve"> uses electric heaters and has electric kitchen appliance</w:t>
      </w:r>
      <w:r w:rsidR="004451B4">
        <w:t xml:space="preserve"> but </w:t>
      </w:r>
      <w:r w:rsidR="00382EDB">
        <w:t>natural gas for the water heater and whole-house heat</w:t>
      </w:r>
      <w:r w:rsidR="004267EE">
        <w:t xml:space="preserve">, </w:t>
      </w:r>
      <w:r w:rsidR="004451B4">
        <w:t xml:space="preserve">which </w:t>
      </w:r>
      <w:r w:rsidR="004267EE">
        <w:t xml:space="preserve">thermostat </w:t>
      </w:r>
      <w:r w:rsidR="004451B4">
        <w:t xml:space="preserve">is set typically </w:t>
      </w:r>
      <w:r w:rsidR="004267EE">
        <w:t>at 55 degrees</w:t>
      </w:r>
      <w:r w:rsidR="00382EDB">
        <w:t xml:space="preserve">.  (Tr. </w:t>
      </w:r>
      <w:r w:rsidR="004451B4">
        <w:t>7, 8</w:t>
      </w:r>
      <w:r w:rsidR="00382EDB">
        <w:t>).</w:t>
      </w:r>
      <w:r w:rsidR="009848F7">
        <w:t xml:space="preserve"> </w:t>
      </w:r>
    </w:p>
    <w:p w:rsidR="00636266" w:rsidRDefault="00636266" w:rsidP="009848F7">
      <w:pPr>
        <w:tabs>
          <w:tab w:val="left" w:pos="2160"/>
        </w:tabs>
        <w:spacing w:line="360" w:lineRule="auto"/>
        <w:ind w:firstLine="1440"/>
      </w:pPr>
    </w:p>
    <w:p w:rsidR="00636266" w:rsidRPr="00EA1625" w:rsidRDefault="00F57008" w:rsidP="009848F7">
      <w:pPr>
        <w:tabs>
          <w:tab w:val="left" w:pos="2160"/>
        </w:tabs>
        <w:spacing w:line="360" w:lineRule="auto"/>
        <w:ind w:firstLine="1440"/>
      </w:pPr>
      <w:r>
        <w:t>8</w:t>
      </w:r>
      <w:r w:rsidR="00636266">
        <w:t>.</w:t>
      </w:r>
      <w:r w:rsidR="00636266">
        <w:tab/>
      </w:r>
      <w:r w:rsidR="004451B4">
        <w:rPr>
          <w:spacing w:val="-3"/>
        </w:rPr>
        <w:t xml:space="preserve">In </w:t>
      </w:r>
      <w:r w:rsidR="00754EEB">
        <w:rPr>
          <w:spacing w:val="-3"/>
        </w:rPr>
        <w:t>2007</w:t>
      </w:r>
      <w:r w:rsidR="00DD1CF3">
        <w:rPr>
          <w:spacing w:val="-3"/>
        </w:rPr>
        <w:t xml:space="preserve">, Complainant </w:t>
      </w:r>
      <w:r w:rsidR="00257459">
        <w:rPr>
          <w:spacing w:val="-3"/>
        </w:rPr>
        <w:t xml:space="preserve">called </w:t>
      </w:r>
      <w:r w:rsidR="00DD1CF3">
        <w:rPr>
          <w:spacing w:val="-3"/>
        </w:rPr>
        <w:t xml:space="preserve">the Commission’s Bureau of Consumer Services (“BCS”) </w:t>
      </w:r>
      <w:r w:rsidR="00257459">
        <w:rPr>
          <w:spacing w:val="-3"/>
        </w:rPr>
        <w:t xml:space="preserve">and complained </w:t>
      </w:r>
      <w:r w:rsidR="00784F1D">
        <w:rPr>
          <w:spacing w:val="-3"/>
        </w:rPr>
        <w:t xml:space="preserve">the gas meter did not properly measure the level of gas his residence consumed and </w:t>
      </w:r>
      <w:r w:rsidR="00DD1CF3">
        <w:rPr>
          <w:spacing w:val="-3"/>
        </w:rPr>
        <w:t>h</w:t>
      </w:r>
      <w:r w:rsidR="004451B4">
        <w:rPr>
          <w:spacing w:val="-3"/>
        </w:rPr>
        <w:t xml:space="preserve">is bills were too high.  (Tr. </w:t>
      </w:r>
      <w:r w:rsidR="00B90439">
        <w:rPr>
          <w:spacing w:val="-3"/>
        </w:rPr>
        <w:t>13, 14,</w:t>
      </w:r>
      <w:r w:rsidR="004451B4">
        <w:rPr>
          <w:spacing w:val="-3"/>
        </w:rPr>
        <w:t xml:space="preserve"> 16</w:t>
      </w:r>
      <w:r w:rsidR="00DD1CF3">
        <w:rPr>
          <w:spacing w:val="-3"/>
        </w:rPr>
        <w:t xml:space="preserve">; </w:t>
      </w:r>
      <w:r w:rsidR="00DD1CF3">
        <w:t>Dominion Peoples Exhibit</w:t>
      </w:r>
      <w:r w:rsidR="004451B4">
        <w:t>s B &amp; E</w:t>
      </w:r>
      <w:r w:rsidR="00DD1CF3">
        <w:rPr>
          <w:spacing w:val="-3"/>
        </w:rPr>
        <w:t>).</w:t>
      </w:r>
    </w:p>
    <w:p w:rsidR="00F97469" w:rsidRDefault="00F97469" w:rsidP="00F97469">
      <w:pPr>
        <w:tabs>
          <w:tab w:val="left" w:pos="1440"/>
        </w:tabs>
        <w:spacing w:line="360" w:lineRule="auto"/>
        <w:rPr>
          <w:spacing w:val="-3"/>
        </w:rPr>
      </w:pPr>
    </w:p>
    <w:p w:rsidR="00D3288D" w:rsidRDefault="00F57008" w:rsidP="00744725">
      <w:pPr>
        <w:tabs>
          <w:tab w:val="left" w:pos="1440"/>
        </w:tabs>
        <w:spacing w:line="360" w:lineRule="auto"/>
        <w:rPr>
          <w:spacing w:val="-3"/>
        </w:rPr>
      </w:pPr>
      <w:r>
        <w:rPr>
          <w:spacing w:val="-3"/>
        </w:rPr>
        <w:tab/>
        <w:t>9</w:t>
      </w:r>
      <w:r w:rsidR="00D3288D">
        <w:rPr>
          <w:spacing w:val="-3"/>
        </w:rPr>
        <w:t>.</w:t>
      </w:r>
      <w:r w:rsidR="00D3288D">
        <w:rPr>
          <w:spacing w:val="-3"/>
        </w:rPr>
        <w:tab/>
      </w:r>
      <w:r w:rsidR="00784F1D">
        <w:rPr>
          <w:spacing w:val="-3"/>
        </w:rPr>
        <w:t xml:space="preserve">On </w:t>
      </w:r>
      <w:r w:rsidR="006F44D4">
        <w:rPr>
          <w:spacing w:val="-3"/>
        </w:rPr>
        <w:t>January 3, 2008</w:t>
      </w:r>
      <w:r w:rsidR="00784F1D">
        <w:rPr>
          <w:spacing w:val="-3"/>
        </w:rPr>
        <w:t xml:space="preserve">, BCS </w:t>
      </w:r>
      <w:r w:rsidR="001A7B2A">
        <w:rPr>
          <w:spacing w:val="-3"/>
        </w:rPr>
        <w:t xml:space="preserve">entered a decision </w:t>
      </w:r>
      <w:r w:rsidR="001A5BC2">
        <w:rPr>
          <w:spacing w:val="-3"/>
        </w:rPr>
        <w:t>in response to</w:t>
      </w:r>
      <w:r w:rsidR="00784F1D">
        <w:rPr>
          <w:spacing w:val="-3"/>
        </w:rPr>
        <w:t xml:space="preserve"> Complainant’s informal complaint, which alleged the gas bills were too high, </w:t>
      </w:r>
      <w:r w:rsidR="001A7B2A">
        <w:rPr>
          <w:spacing w:val="-3"/>
        </w:rPr>
        <w:t xml:space="preserve">established a payment arrangement </w:t>
      </w:r>
      <w:r w:rsidR="001A5BC2">
        <w:rPr>
          <w:spacing w:val="-3"/>
        </w:rPr>
        <w:t xml:space="preserve">and noted the overdue </w:t>
      </w:r>
      <w:r w:rsidR="00784F1D">
        <w:rPr>
          <w:spacing w:val="-3"/>
        </w:rPr>
        <w:t>balance</w:t>
      </w:r>
      <w:r w:rsidR="0099770A">
        <w:rPr>
          <w:spacing w:val="-3"/>
        </w:rPr>
        <w:t xml:space="preserve"> totaled $987.17 as of that date</w:t>
      </w:r>
      <w:r w:rsidR="004451B4">
        <w:rPr>
          <w:spacing w:val="-3"/>
        </w:rPr>
        <w:t>.  (Tr. 33</w:t>
      </w:r>
      <w:r w:rsidR="00784F1D">
        <w:rPr>
          <w:spacing w:val="-3"/>
        </w:rPr>
        <w:t xml:space="preserve">; </w:t>
      </w:r>
      <w:r w:rsidR="00784F1D">
        <w:t>Dominion Peoples Exhibit</w:t>
      </w:r>
      <w:r w:rsidR="0099770A">
        <w:t>s B &amp;</w:t>
      </w:r>
      <w:r w:rsidR="00784F1D">
        <w:t xml:space="preserve"> </w:t>
      </w:r>
      <w:r w:rsidR="006F44D4">
        <w:t>E</w:t>
      </w:r>
      <w:r w:rsidR="00784F1D">
        <w:rPr>
          <w:spacing w:val="-3"/>
        </w:rPr>
        <w:t>).</w:t>
      </w:r>
    </w:p>
    <w:p w:rsidR="00754EEB" w:rsidRDefault="00754EEB" w:rsidP="00744725">
      <w:pPr>
        <w:tabs>
          <w:tab w:val="left" w:pos="1440"/>
        </w:tabs>
        <w:spacing w:line="360" w:lineRule="auto"/>
        <w:rPr>
          <w:spacing w:val="-3"/>
        </w:rPr>
      </w:pPr>
    </w:p>
    <w:p w:rsidR="00754EEB" w:rsidRDefault="00754EEB" w:rsidP="00744725">
      <w:pPr>
        <w:tabs>
          <w:tab w:val="left" w:pos="1440"/>
        </w:tabs>
        <w:spacing w:line="360" w:lineRule="auto"/>
        <w:rPr>
          <w:spacing w:val="-3"/>
        </w:rPr>
      </w:pPr>
      <w:r>
        <w:rPr>
          <w:spacing w:val="-3"/>
        </w:rPr>
        <w:tab/>
        <w:t>1</w:t>
      </w:r>
      <w:r w:rsidR="00F57008">
        <w:rPr>
          <w:spacing w:val="-3"/>
        </w:rPr>
        <w:t>0</w:t>
      </w:r>
      <w:r>
        <w:rPr>
          <w:spacing w:val="-3"/>
        </w:rPr>
        <w:t>.</w:t>
      </w:r>
      <w:r>
        <w:rPr>
          <w:spacing w:val="-3"/>
        </w:rPr>
        <w:tab/>
        <w:t xml:space="preserve">On May 5, 2008, Complainant sent Respondent </w:t>
      </w:r>
      <w:r w:rsidR="00255813">
        <w:rPr>
          <w:spacing w:val="-3"/>
        </w:rPr>
        <w:t xml:space="preserve">a payment of $256.00, leaving </w:t>
      </w:r>
      <w:r>
        <w:rPr>
          <w:spacing w:val="-3"/>
        </w:rPr>
        <w:t>$1,730.85 as a balance on the account.  (Dominion Peoples Exhibit A).</w:t>
      </w:r>
    </w:p>
    <w:p w:rsidR="00D3288D" w:rsidRDefault="00D3288D" w:rsidP="00744725">
      <w:pPr>
        <w:tabs>
          <w:tab w:val="left" w:pos="1440"/>
        </w:tabs>
        <w:spacing w:line="360" w:lineRule="auto"/>
        <w:rPr>
          <w:spacing w:val="-3"/>
        </w:rPr>
      </w:pPr>
    </w:p>
    <w:p w:rsidR="00784F1D" w:rsidRDefault="00F57008" w:rsidP="00744725">
      <w:pPr>
        <w:tabs>
          <w:tab w:val="left" w:pos="1440"/>
        </w:tabs>
        <w:spacing w:line="360" w:lineRule="auto"/>
        <w:rPr>
          <w:spacing w:val="-3"/>
        </w:rPr>
      </w:pPr>
      <w:r>
        <w:rPr>
          <w:spacing w:val="-3"/>
        </w:rPr>
        <w:lastRenderedPageBreak/>
        <w:tab/>
        <w:t>11</w:t>
      </w:r>
      <w:r w:rsidR="00784F1D">
        <w:rPr>
          <w:spacing w:val="-3"/>
        </w:rPr>
        <w:t>.</w:t>
      </w:r>
      <w:r w:rsidR="00784F1D">
        <w:rPr>
          <w:spacing w:val="-3"/>
        </w:rPr>
        <w:tab/>
      </w:r>
      <w:r w:rsidR="001E0B58">
        <w:rPr>
          <w:spacing w:val="-3"/>
        </w:rPr>
        <w:t>In June 2008,</w:t>
      </w:r>
      <w:r w:rsidR="00784F1D">
        <w:rPr>
          <w:spacing w:val="-3"/>
        </w:rPr>
        <w:t xml:space="preserve"> Respondent sent a letter to Complainant </w:t>
      </w:r>
      <w:r w:rsidR="00CE78B1">
        <w:rPr>
          <w:spacing w:val="-3"/>
        </w:rPr>
        <w:t xml:space="preserve">informing him </w:t>
      </w:r>
      <w:r w:rsidR="00257459">
        <w:rPr>
          <w:spacing w:val="-3"/>
        </w:rPr>
        <w:t>the Commission</w:t>
      </w:r>
      <w:r w:rsidR="00CE78B1">
        <w:rPr>
          <w:spacing w:val="-3"/>
        </w:rPr>
        <w:t xml:space="preserve"> require</w:t>
      </w:r>
      <w:r w:rsidR="00257459">
        <w:rPr>
          <w:spacing w:val="-3"/>
        </w:rPr>
        <w:t>d</w:t>
      </w:r>
      <w:r w:rsidR="00CE78B1">
        <w:rPr>
          <w:spacing w:val="-3"/>
        </w:rPr>
        <w:t xml:space="preserve"> utilities to replace gas meters on a periodic basis  and </w:t>
      </w:r>
      <w:r w:rsidR="00784F1D">
        <w:rPr>
          <w:spacing w:val="-3"/>
        </w:rPr>
        <w:t xml:space="preserve">requesting a time when Respondent could replace Complainant’s </w:t>
      </w:r>
      <w:r w:rsidR="00CE78B1">
        <w:rPr>
          <w:spacing w:val="-3"/>
        </w:rPr>
        <w:t>meter with a new meter, and re-light Compla</w:t>
      </w:r>
      <w:r w:rsidR="004451B4">
        <w:rPr>
          <w:spacing w:val="-3"/>
        </w:rPr>
        <w:t>inant’s gas appliances.  (Tr. 36</w:t>
      </w:r>
      <w:r w:rsidR="00CE78B1">
        <w:rPr>
          <w:spacing w:val="-3"/>
        </w:rPr>
        <w:t>).</w:t>
      </w:r>
    </w:p>
    <w:p w:rsidR="00255813" w:rsidRDefault="00255813" w:rsidP="00744725">
      <w:pPr>
        <w:tabs>
          <w:tab w:val="left" w:pos="1440"/>
        </w:tabs>
        <w:spacing w:line="360" w:lineRule="auto"/>
        <w:rPr>
          <w:spacing w:val="-3"/>
        </w:rPr>
      </w:pPr>
    </w:p>
    <w:p w:rsidR="00255813" w:rsidRDefault="00F57008" w:rsidP="00744725">
      <w:pPr>
        <w:tabs>
          <w:tab w:val="left" w:pos="1440"/>
        </w:tabs>
        <w:spacing w:line="360" w:lineRule="auto"/>
        <w:rPr>
          <w:spacing w:val="-3"/>
        </w:rPr>
      </w:pPr>
      <w:r>
        <w:rPr>
          <w:spacing w:val="-3"/>
        </w:rPr>
        <w:tab/>
        <w:t>12</w:t>
      </w:r>
      <w:r w:rsidR="00255813">
        <w:rPr>
          <w:spacing w:val="-3"/>
        </w:rPr>
        <w:t>.</w:t>
      </w:r>
      <w:r w:rsidR="00255813">
        <w:rPr>
          <w:spacing w:val="-3"/>
        </w:rPr>
        <w:tab/>
        <w:t>On June 12, 2008, Complainant sent Respondent a payment of $135.00, leaving $1,761.14 as a balance on the account.  (Dominion Peoples Exhibit A).</w:t>
      </w:r>
    </w:p>
    <w:p w:rsidR="00784F1D" w:rsidRDefault="00784F1D" w:rsidP="00744725">
      <w:pPr>
        <w:tabs>
          <w:tab w:val="left" w:pos="1440"/>
        </w:tabs>
        <w:spacing w:line="360" w:lineRule="auto"/>
        <w:rPr>
          <w:spacing w:val="-3"/>
        </w:rPr>
      </w:pPr>
    </w:p>
    <w:p w:rsidR="00744725" w:rsidRDefault="00744725" w:rsidP="00744725">
      <w:pPr>
        <w:tabs>
          <w:tab w:val="left" w:pos="1440"/>
        </w:tabs>
        <w:spacing w:line="360" w:lineRule="auto"/>
        <w:rPr>
          <w:spacing w:val="-3"/>
        </w:rPr>
      </w:pPr>
      <w:r>
        <w:rPr>
          <w:spacing w:val="-3"/>
        </w:rPr>
        <w:tab/>
      </w:r>
      <w:r w:rsidR="00F57008">
        <w:rPr>
          <w:spacing w:val="-3"/>
        </w:rPr>
        <w:t>13</w:t>
      </w:r>
      <w:r>
        <w:rPr>
          <w:spacing w:val="-3"/>
        </w:rPr>
        <w:t>.</w:t>
      </w:r>
      <w:r>
        <w:rPr>
          <w:spacing w:val="-3"/>
        </w:rPr>
        <w:tab/>
      </w:r>
      <w:r w:rsidR="004451B4">
        <w:rPr>
          <w:spacing w:val="-3"/>
        </w:rPr>
        <w:t>In 2009,</w:t>
      </w:r>
      <w:r w:rsidR="00784F1D">
        <w:rPr>
          <w:spacing w:val="-3"/>
        </w:rPr>
        <w:t xml:space="preserve"> Complainant again filed an informal complaint with the Commission’s Bureau of Consumer Services (“BCS”) alleging the gas meter did not properly measure the level of gas his residence consumed and his bills were too high.  (</w:t>
      </w:r>
      <w:r w:rsidR="00784F1D">
        <w:t>Dominion Peoples Exhibit</w:t>
      </w:r>
      <w:r w:rsidR="004451B4">
        <w:t>s B &amp; E</w:t>
      </w:r>
      <w:r w:rsidR="00784F1D">
        <w:rPr>
          <w:spacing w:val="-3"/>
        </w:rPr>
        <w:t>).</w:t>
      </w:r>
    </w:p>
    <w:p w:rsidR="00744725" w:rsidRDefault="00744725" w:rsidP="00744725">
      <w:pPr>
        <w:tabs>
          <w:tab w:val="left" w:pos="2160"/>
        </w:tabs>
        <w:spacing w:line="360" w:lineRule="auto"/>
        <w:rPr>
          <w:spacing w:val="-3"/>
        </w:rPr>
      </w:pPr>
    </w:p>
    <w:p w:rsidR="00784F1D" w:rsidRDefault="00734BAB" w:rsidP="00784F1D">
      <w:pPr>
        <w:tabs>
          <w:tab w:val="left" w:pos="1440"/>
        </w:tabs>
        <w:spacing w:line="360" w:lineRule="auto"/>
        <w:rPr>
          <w:spacing w:val="-3"/>
        </w:rPr>
      </w:pPr>
      <w:r>
        <w:rPr>
          <w:spacing w:val="-3"/>
        </w:rPr>
        <w:tab/>
      </w:r>
      <w:r w:rsidR="00F57008">
        <w:rPr>
          <w:spacing w:val="-3"/>
        </w:rPr>
        <w:t>14</w:t>
      </w:r>
      <w:r w:rsidR="00744725">
        <w:rPr>
          <w:spacing w:val="-3"/>
        </w:rPr>
        <w:t>.</w:t>
      </w:r>
      <w:r w:rsidR="00744725">
        <w:rPr>
          <w:spacing w:val="-3"/>
        </w:rPr>
        <w:tab/>
        <w:t xml:space="preserve">  </w:t>
      </w:r>
      <w:r w:rsidR="00784F1D">
        <w:rPr>
          <w:spacing w:val="-3"/>
        </w:rPr>
        <w:t xml:space="preserve">On </w:t>
      </w:r>
      <w:r w:rsidR="006F44D4">
        <w:rPr>
          <w:spacing w:val="-3"/>
        </w:rPr>
        <w:t xml:space="preserve">August 5, 2009, </w:t>
      </w:r>
      <w:r w:rsidR="00784F1D">
        <w:rPr>
          <w:spacing w:val="-3"/>
        </w:rPr>
        <w:t xml:space="preserve">BCS </w:t>
      </w:r>
      <w:r w:rsidR="000B2586">
        <w:rPr>
          <w:spacing w:val="-3"/>
        </w:rPr>
        <w:t>dismiss</w:t>
      </w:r>
      <w:r w:rsidR="00685256">
        <w:rPr>
          <w:spacing w:val="-3"/>
        </w:rPr>
        <w:t xml:space="preserve">ed </w:t>
      </w:r>
      <w:r w:rsidR="008B58B2">
        <w:rPr>
          <w:spacing w:val="-3"/>
        </w:rPr>
        <w:t>Complainan</w:t>
      </w:r>
      <w:r w:rsidR="00685256">
        <w:rPr>
          <w:spacing w:val="-3"/>
        </w:rPr>
        <w:t>t’s informal complaint</w:t>
      </w:r>
      <w:r w:rsidR="004451B4">
        <w:rPr>
          <w:spacing w:val="-3"/>
        </w:rPr>
        <w:t>.  (Tr. 33</w:t>
      </w:r>
      <w:r w:rsidR="00784F1D">
        <w:rPr>
          <w:spacing w:val="-3"/>
        </w:rPr>
        <w:t xml:space="preserve">; </w:t>
      </w:r>
      <w:r w:rsidR="00784F1D">
        <w:t xml:space="preserve">Dominion Peoples Exhibit </w:t>
      </w:r>
      <w:r w:rsidR="006F44D4">
        <w:t>D</w:t>
      </w:r>
      <w:r w:rsidR="00784F1D">
        <w:rPr>
          <w:spacing w:val="-3"/>
        </w:rPr>
        <w:t>).</w:t>
      </w:r>
    </w:p>
    <w:p w:rsidR="000B2586" w:rsidRDefault="000B2586" w:rsidP="00744725">
      <w:pPr>
        <w:tabs>
          <w:tab w:val="left" w:pos="1440"/>
        </w:tabs>
        <w:spacing w:line="360" w:lineRule="auto"/>
        <w:rPr>
          <w:spacing w:val="-3"/>
        </w:rPr>
      </w:pPr>
    </w:p>
    <w:p w:rsidR="00744725" w:rsidRDefault="00744725" w:rsidP="00744725">
      <w:pPr>
        <w:tabs>
          <w:tab w:val="left" w:pos="1440"/>
        </w:tabs>
        <w:spacing w:line="360" w:lineRule="auto"/>
        <w:rPr>
          <w:spacing w:val="-3"/>
        </w:rPr>
      </w:pPr>
      <w:r>
        <w:rPr>
          <w:spacing w:val="-3"/>
        </w:rPr>
        <w:tab/>
      </w:r>
      <w:r w:rsidR="000202E4">
        <w:rPr>
          <w:spacing w:val="-3"/>
        </w:rPr>
        <w:t>1</w:t>
      </w:r>
      <w:r w:rsidR="00F57008">
        <w:rPr>
          <w:spacing w:val="-3"/>
        </w:rPr>
        <w:t>5</w:t>
      </w:r>
      <w:r>
        <w:rPr>
          <w:spacing w:val="-3"/>
        </w:rPr>
        <w:t>.</w:t>
      </w:r>
      <w:r>
        <w:rPr>
          <w:spacing w:val="-3"/>
        </w:rPr>
        <w:tab/>
      </w:r>
      <w:r w:rsidR="000B2586">
        <w:rPr>
          <w:spacing w:val="-3"/>
        </w:rPr>
        <w:t xml:space="preserve">On September 1, 2009, Complainant filed a formal complaint against </w:t>
      </w:r>
      <w:r w:rsidR="00E30434">
        <w:rPr>
          <w:spacing w:val="-3"/>
        </w:rPr>
        <w:t>Respondent</w:t>
      </w:r>
      <w:r w:rsidR="000B2586">
        <w:rPr>
          <w:spacing w:val="-3"/>
        </w:rPr>
        <w:t xml:space="preserve"> with the Commission.</w:t>
      </w:r>
    </w:p>
    <w:p w:rsidR="005F69FE" w:rsidRDefault="005F69FE" w:rsidP="00744725">
      <w:pPr>
        <w:tabs>
          <w:tab w:val="left" w:pos="1440"/>
        </w:tabs>
        <w:spacing w:line="360" w:lineRule="auto"/>
        <w:rPr>
          <w:spacing w:val="-3"/>
        </w:rPr>
      </w:pPr>
    </w:p>
    <w:p w:rsidR="00D54567" w:rsidRDefault="00F57008" w:rsidP="00744725">
      <w:pPr>
        <w:tabs>
          <w:tab w:val="left" w:pos="1440"/>
        </w:tabs>
        <w:spacing w:line="360" w:lineRule="auto"/>
        <w:rPr>
          <w:spacing w:val="-3"/>
        </w:rPr>
      </w:pPr>
      <w:r>
        <w:rPr>
          <w:spacing w:val="-3"/>
        </w:rPr>
        <w:tab/>
        <w:t>16</w:t>
      </w:r>
      <w:r w:rsidR="00D54567">
        <w:rPr>
          <w:spacing w:val="-3"/>
        </w:rPr>
        <w:t>.</w:t>
      </w:r>
      <w:r w:rsidR="00D54567">
        <w:rPr>
          <w:spacing w:val="-3"/>
        </w:rPr>
        <w:tab/>
        <w:t>On September 16, 2009, Complainant requested Respondent conduct a high bill investigation.  (</w:t>
      </w:r>
      <w:r w:rsidR="00D54567">
        <w:t>Dominion Peoples Exhibit B</w:t>
      </w:r>
      <w:r w:rsidR="00D54567">
        <w:rPr>
          <w:spacing w:val="-3"/>
        </w:rPr>
        <w:t>).</w:t>
      </w:r>
    </w:p>
    <w:p w:rsidR="00D54567" w:rsidRDefault="00D54567" w:rsidP="00744725">
      <w:pPr>
        <w:tabs>
          <w:tab w:val="left" w:pos="1440"/>
        </w:tabs>
        <w:spacing w:line="360" w:lineRule="auto"/>
        <w:rPr>
          <w:spacing w:val="-3"/>
        </w:rPr>
      </w:pPr>
    </w:p>
    <w:p w:rsidR="003678A1" w:rsidRDefault="003678A1" w:rsidP="00744725">
      <w:pPr>
        <w:tabs>
          <w:tab w:val="left" w:pos="1440"/>
        </w:tabs>
        <w:spacing w:line="360" w:lineRule="auto"/>
        <w:rPr>
          <w:spacing w:val="-3"/>
        </w:rPr>
      </w:pPr>
      <w:r>
        <w:rPr>
          <w:spacing w:val="-3"/>
        </w:rPr>
        <w:tab/>
      </w:r>
      <w:r w:rsidR="00F57008">
        <w:rPr>
          <w:spacing w:val="-3"/>
        </w:rPr>
        <w:t>17</w:t>
      </w:r>
      <w:r>
        <w:rPr>
          <w:spacing w:val="-3"/>
        </w:rPr>
        <w:t>.</w:t>
      </w:r>
      <w:r>
        <w:rPr>
          <w:spacing w:val="-3"/>
        </w:rPr>
        <w:tab/>
        <w:t xml:space="preserve">On October 27, 2009, </w:t>
      </w:r>
      <w:r w:rsidR="00D54567">
        <w:rPr>
          <w:spacing w:val="-3"/>
        </w:rPr>
        <w:t>Complainant</w:t>
      </w:r>
      <w:r>
        <w:rPr>
          <w:spacing w:val="-3"/>
        </w:rPr>
        <w:t xml:space="preserve"> scheduled a time when Respondent could replace his gas meter.  (</w:t>
      </w:r>
      <w:r>
        <w:t>Dominion Peoples Exhibit B</w:t>
      </w:r>
      <w:r>
        <w:rPr>
          <w:spacing w:val="-3"/>
        </w:rPr>
        <w:t>).</w:t>
      </w:r>
    </w:p>
    <w:p w:rsidR="003678A1" w:rsidRDefault="003678A1" w:rsidP="00744725">
      <w:pPr>
        <w:tabs>
          <w:tab w:val="left" w:pos="1440"/>
        </w:tabs>
        <w:spacing w:line="360" w:lineRule="auto"/>
        <w:rPr>
          <w:spacing w:val="-3"/>
        </w:rPr>
      </w:pPr>
    </w:p>
    <w:p w:rsidR="000B2586" w:rsidRDefault="005F69FE" w:rsidP="000B2586">
      <w:pPr>
        <w:tabs>
          <w:tab w:val="left" w:pos="1440"/>
        </w:tabs>
        <w:spacing w:line="360" w:lineRule="auto"/>
        <w:rPr>
          <w:spacing w:val="-3"/>
        </w:rPr>
      </w:pPr>
      <w:r>
        <w:rPr>
          <w:spacing w:val="-3"/>
        </w:rPr>
        <w:tab/>
      </w:r>
      <w:r w:rsidR="00D3288D">
        <w:rPr>
          <w:spacing w:val="-3"/>
        </w:rPr>
        <w:t>1</w:t>
      </w:r>
      <w:r w:rsidR="00F57008">
        <w:rPr>
          <w:spacing w:val="-3"/>
        </w:rPr>
        <w:t>8</w:t>
      </w:r>
      <w:r>
        <w:rPr>
          <w:spacing w:val="-3"/>
        </w:rPr>
        <w:t>.</w:t>
      </w:r>
      <w:r>
        <w:rPr>
          <w:spacing w:val="-3"/>
        </w:rPr>
        <w:tab/>
      </w:r>
      <w:r w:rsidR="000B2586">
        <w:rPr>
          <w:spacing w:val="-3"/>
        </w:rPr>
        <w:t>On November</w:t>
      </w:r>
      <w:r w:rsidR="008F0933">
        <w:rPr>
          <w:spacing w:val="-3"/>
        </w:rPr>
        <w:t xml:space="preserve"> 17</w:t>
      </w:r>
      <w:r w:rsidR="000B2586">
        <w:rPr>
          <w:spacing w:val="-3"/>
        </w:rPr>
        <w:t>, 2009, Respondent’s personnel removed Complainant’s gas meter, installed a new meter</w:t>
      </w:r>
      <w:r w:rsidR="000C0C94">
        <w:rPr>
          <w:spacing w:val="-3"/>
        </w:rPr>
        <w:t xml:space="preserve">, completed a meter dial test, checked the houselines, </w:t>
      </w:r>
      <w:r w:rsidR="000B2586">
        <w:rPr>
          <w:spacing w:val="-3"/>
        </w:rPr>
        <w:t xml:space="preserve">and re-lit Complainant’s natural gas appliances </w:t>
      </w:r>
      <w:r w:rsidR="003678A1">
        <w:rPr>
          <w:spacing w:val="-3"/>
        </w:rPr>
        <w:t xml:space="preserve">(boiler and water heater) </w:t>
      </w:r>
      <w:r w:rsidR="000B2586">
        <w:rPr>
          <w:spacing w:val="-3"/>
        </w:rPr>
        <w:t>after vi</w:t>
      </w:r>
      <w:r w:rsidR="00BE0DAB">
        <w:rPr>
          <w:spacing w:val="-3"/>
        </w:rPr>
        <w:t>sually inspecting them.  (Tr. 11, 36-38</w:t>
      </w:r>
      <w:r w:rsidR="000B2586">
        <w:rPr>
          <w:spacing w:val="-3"/>
        </w:rPr>
        <w:t xml:space="preserve">; </w:t>
      </w:r>
      <w:r w:rsidR="000B2586">
        <w:t xml:space="preserve">Dominion Peoples Exhibit </w:t>
      </w:r>
      <w:r w:rsidR="008F0933">
        <w:t>B</w:t>
      </w:r>
      <w:r w:rsidR="000B2586">
        <w:rPr>
          <w:spacing w:val="-3"/>
        </w:rPr>
        <w:t>).</w:t>
      </w:r>
    </w:p>
    <w:p w:rsidR="005F69FE" w:rsidRDefault="005F69FE" w:rsidP="00744725">
      <w:pPr>
        <w:tabs>
          <w:tab w:val="left" w:pos="1440"/>
        </w:tabs>
        <w:spacing w:line="360" w:lineRule="auto"/>
        <w:rPr>
          <w:spacing w:val="-3"/>
        </w:rPr>
      </w:pPr>
    </w:p>
    <w:p w:rsidR="00734BAB" w:rsidRDefault="00734BAB" w:rsidP="00436F72">
      <w:pPr>
        <w:tabs>
          <w:tab w:val="left" w:pos="1440"/>
        </w:tabs>
        <w:spacing w:line="360" w:lineRule="auto"/>
        <w:rPr>
          <w:spacing w:val="-3"/>
        </w:rPr>
      </w:pPr>
      <w:r>
        <w:rPr>
          <w:spacing w:val="-3"/>
        </w:rPr>
        <w:lastRenderedPageBreak/>
        <w:tab/>
      </w:r>
      <w:r w:rsidR="00F57008">
        <w:rPr>
          <w:spacing w:val="-3"/>
        </w:rPr>
        <w:t>19</w:t>
      </w:r>
      <w:r>
        <w:rPr>
          <w:spacing w:val="-3"/>
        </w:rPr>
        <w:t>.</w:t>
      </w:r>
      <w:r>
        <w:rPr>
          <w:spacing w:val="-3"/>
        </w:rPr>
        <w:tab/>
      </w:r>
      <w:r w:rsidR="000B2586">
        <w:rPr>
          <w:spacing w:val="-3"/>
        </w:rPr>
        <w:t xml:space="preserve">Respondent’s personnel found no </w:t>
      </w:r>
      <w:r w:rsidR="00BE0DAB">
        <w:rPr>
          <w:spacing w:val="-3"/>
        </w:rPr>
        <w:t xml:space="preserve">leaks or </w:t>
      </w:r>
      <w:r w:rsidR="000C0C94">
        <w:rPr>
          <w:spacing w:val="-3"/>
        </w:rPr>
        <w:t xml:space="preserve">visible </w:t>
      </w:r>
      <w:r w:rsidR="000B2586">
        <w:rPr>
          <w:spacing w:val="-3"/>
        </w:rPr>
        <w:t>defect</w:t>
      </w:r>
      <w:r w:rsidR="00BE0DAB">
        <w:rPr>
          <w:spacing w:val="-3"/>
        </w:rPr>
        <w:t>s</w:t>
      </w:r>
      <w:r w:rsidR="000B2586">
        <w:rPr>
          <w:spacing w:val="-3"/>
        </w:rPr>
        <w:t xml:space="preserve"> in the meter or with Complainant’s natural gas appliances which </w:t>
      </w:r>
      <w:r w:rsidR="00BE0DAB">
        <w:rPr>
          <w:spacing w:val="-3"/>
        </w:rPr>
        <w:t>would cause</w:t>
      </w:r>
      <w:r w:rsidR="000B2586">
        <w:rPr>
          <w:spacing w:val="-3"/>
        </w:rPr>
        <w:t xml:space="preserve"> </w:t>
      </w:r>
      <w:r w:rsidR="00BE0DAB">
        <w:rPr>
          <w:spacing w:val="-3"/>
        </w:rPr>
        <w:t>“high” meter readings.  (Tr. 38</w:t>
      </w:r>
      <w:r w:rsidR="000B2586">
        <w:rPr>
          <w:spacing w:val="-3"/>
        </w:rPr>
        <w:t xml:space="preserve">; </w:t>
      </w:r>
      <w:r w:rsidR="000B2586">
        <w:t xml:space="preserve">Dominion Peoples Exhibit </w:t>
      </w:r>
      <w:r w:rsidR="000C0C94">
        <w:t>B</w:t>
      </w:r>
      <w:r w:rsidR="000B2586">
        <w:rPr>
          <w:spacing w:val="-3"/>
        </w:rPr>
        <w:t>).</w:t>
      </w:r>
    </w:p>
    <w:p w:rsidR="00734BAB" w:rsidRDefault="00734BAB" w:rsidP="00436F72">
      <w:pPr>
        <w:tabs>
          <w:tab w:val="left" w:pos="1440"/>
        </w:tabs>
        <w:spacing w:line="360" w:lineRule="auto"/>
        <w:rPr>
          <w:spacing w:val="-3"/>
        </w:rPr>
      </w:pPr>
    </w:p>
    <w:p w:rsidR="002D154F" w:rsidRDefault="00734BAB" w:rsidP="00436F72">
      <w:pPr>
        <w:tabs>
          <w:tab w:val="left" w:pos="1440"/>
        </w:tabs>
        <w:spacing w:line="360" w:lineRule="auto"/>
        <w:rPr>
          <w:spacing w:val="-3"/>
        </w:rPr>
      </w:pPr>
      <w:r>
        <w:rPr>
          <w:spacing w:val="-3"/>
        </w:rPr>
        <w:tab/>
      </w:r>
      <w:r w:rsidR="00F57008">
        <w:rPr>
          <w:spacing w:val="-3"/>
        </w:rPr>
        <w:t>20</w:t>
      </w:r>
      <w:r w:rsidR="008B2613">
        <w:rPr>
          <w:spacing w:val="-3"/>
        </w:rPr>
        <w:t>.</w:t>
      </w:r>
      <w:r w:rsidR="008B2613">
        <w:rPr>
          <w:spacing w:val="-3"/>
        </w:rPr>
        <w:tab/>
      </w:r>
      <w:r w:rsidR="009F0D6C">
        <w:rPr>
          <w:spacing w:val="-3"/>
        </w:rPr>
        <w:t xml:space="preserve"> </w:t>
      </w:r>
      <w:r w:rsidR="0022141F">
        <w:rPr>
          <w:spacing w:val="-3"/>
        </w:rPr>
        <w:t xml:space="preserve">Respondent sent Complainant’s old meter to an independent third party for accuracy testing.  </w:t>
      </w:r>
      <w:r w:rsidR="00A656AE">
        <w:rPr>
          <w:spacing w:val="-3"/>
        </w:rPr>
        <w:t>(</w:t>
      </w:r>
      <w:r w:rsidR="00941C92">
        <w:rPr>
          <w:spacing w:val="-3"/>
        </w:rPr>
        <w:t xml:space="preserve">Tr. </w:t>
      </w:r>
      <w:r w:rsidR="00BE0DAB">
        <w:rPr>
          <w:spacing w:val="-3"/>
        </w:rPr>
        <w:t>37</w:t>
      </w:r>
      <w:r w:rsidR="00941C92">
        <w:rPr>
          <w:spacing w:val="-3"/>
        </w:rPr>
        <w:t xml:space="preserve">; </w:t>
      </w:r>
      <w:r w:rsidR="0006370C">
        <w:t xml:space="preserve">Dominion Peoples Exhibit </w:t>
      </w:r>
      <w:r w:rsidR="008F0933">
        <w:t>B</w:t>
      </w:r>
      <w:r w:rsidR="009F0D6C">
        <w:rPr>
          <w:spacing w:val="-3"/>
        </w:rPr>
        <w:t>).</w:t>
      </w:r>
    </w:p>
    <w:p w:rsidR="006056E2" w:rsidRDefault="006056E2" w:rsidP="00436F72">
      <w:pPr>
        <w:tabs>
          <w:tab w:val="left" w:pos="1440"/>
        </w:tabs>
        <w:spacing w:line="360" w:lineRule="auto"/>
        <w:rPr>
          <w:spacing w:val="-3"/>
        </w:rPr>
      </w:pPr>
    </w:p>
    <w:p w:rsidR="0004246D" w:rsidRDefault="006B3C06" w:rsidP="0004246D">
      <w:pPr>
        <w:tabs>
          <w:tab w:val="left" w:pos="1440"/>
        </w:tabs>
        <w:spacing w:line="360" w:lineRule="auto"/>
        <w:rPr>
          <w:spacing w:val="-3"/>
        </w:rPr>
      </w:pPr>
      <w:r>
        <w:rPr>
          <w:spacing w:val="-3"/>
        </w:rPr>
        <w:tab/>
      </w:r>
      <w:r w:rsidR="00F57008">
        <w:rPr>
          <w:spacing w:val="-3"/>
        </w:rPr>
        <w:t>21</w:t>
      </w:r>
      <w:r>
        <w:rPr>
          <w:spacing w:val="-3"/>
        </w:rPr>
        <w:t>.</w:t>
      </w:r>
      <w:r>
        <w:rPr>
          <w:spacing w:val="-3"/>
        </w:rPr>
        <w:tab/>
      </w:r>
      <w:r w:rsidR="0004246D">
        <w:rPr>
          <w:spacing w:val="-3"/>
        </w:rPr>
        <w:t xml:space="preserve">On </w:t>
      </w:r>
      <w:r w:rsidR="008F0933">
        <w:rPr>
          <w:spacing w:val="-3"/>
        </w:rPr>
        <w:t>December 21</w:t>
      </w:r>
      <w:r w:rsidR="0004246D">
        <w:rPr>
          <w:spacing w:val="-3"/>
        </w:rPr>
        <w:t xml:space="preserve">, 2009, Complainant’s original meter was tested and found to be </w:t>
      </w:r>
      <w:r w:rsidR="008F0933">
        <w:rPr>
          <w:spacing w:val="-3"/>
        </w:rPr>
        <w:t>0.95</w:t>
      </w:r>
      <w:r w:rsidR="0004246D">
        <w:rPr>
          <w:spacing w:val="-3"/>
        </w:rPr>
        <w:t xml:space="preserve">% </w:t>
      </w:r>
      <w:r w:rsidR="008F0933">
        <w:rPr>
          <w:spacing w:val="-3"/>
        </w:rPr>
        <w:t xml:space="preserve">fast and considered to be working properly because it was between 2.00 </w:t>
      </w:r>
      <w:r w:rsidR="00E30434">
        <w:rPr>
          <w:spacing w:val="-3"/>
        </w:rPr>
        <w:t>%</w:t>
      </w:r>
      <w:r w:rsidR="008F0933">
        <w:rPr>
          <w:spacing w:val="-3"/>
        </w:rPr>
        <w:t xml:space="preserve"> fast or slow</w:t>
      </w:r>
      <w:r w:rsidR="00BE0DAB">
        <w:rPr>
          <w:spacing w:val="-3"/>
        </w:rPr>
        <w:t>.  (Tr. 37</w:t>
      </w:r>
      <w:r w:rsidR="0004246D">
        <w:rPr>
          <w:spacing w:val="-3"/>
        </w:rPr>
        <w:t xml:space="preserve">; </w:t>
      </w:r>
      <w:r w:rsidR="0004246D">
        <w:t xml:space="preserve">Dominion Peoples Exhibit </w:t>
      </w:r>
      <w:r w:rsidR="008F0933">
        <w:t>B</w:t>
      </w:r>
      <w:r w:rsidR="0004246D">
        <w:rPr>
          <w:spacing w:val="-3"/>
        </w:rPr>
        <w:t>).</w:t>
      </w:r>
    </w:p>
    <w:p w:rsidR="006B3C06" w:rsidRDefault="006B3C06" w:rsidP="00436F72">
      <w:pPr>
        <w:tabs>
          <w:tab w:val="left" w:pos="1440"/>
        </w:tabs>
        <w:spacing w:line="360" w:lineRule="auto"/>
        <w:rPr>
          <w:spacing w:val="-3"/>
        </w:rPr>
      </w:pPr>
    </w:p>
    <w:p w:rsidR="0029002C" w:rsidRDefault="00734BAB" w:rsidP="00B613EB">
      <w:pPr>
        <w:tabs>
          <w:tab w:val="left" w:pos="1440"/>
        </w:tabs>
        <w:spacing w:line="360" w:lineRule="auto"/>
        <w:rPr>
          <w:spacing w:val="-3"/>
        </w:rPr>
      </w:pPr>
      <w:r>
        <w:rPr>
          <w:spacing w:val="-3"/>
        </w:rPr>
        <w:tab/>
      </w:r>
      <w:r w:rsidR="00F57008">
        <w:rPr>
          <w:spacing w:val="-3"/>
        </w:rPr>
        <w:t>22</w:t>
      </w:r>
      <w:r w:rsidR="006056E2">
        <w:rPr>
          <w:spacing w:val="-3"/>
        </w:rPr>
        <w:t>.</w:t>
      </w:r>
      <w:r w:rsidR="006056E2">
        <w:rPr>
          <w:spacing w:val="-3"/>
        </w:rPr>
        <w:tab/>
      </w:r>
      <w:r w:rsidR="00A656AE">
        <w:rPr>
          <w:spacing w:val="-3"/>
        </w:rPr>
        <w:t xml:space="preserve"> </w:t>
      </w:r>
      <w:r w:rsidR="0029002C">
        <w:rPr>
          <w:spacing w:val="-3"/>
        </w:rPr>
        <w:t xml:space="preserve">As of </w:t>
      </w:r>
      <w:r w:rsidR="00975F45">
        <w:rPr>
          <w:spacing w:val="-3"/>
        </w:rPr>
        <w:t>December 3, 2009</w:t>
      </w:r>
      <w:r w:rsidR="0029002C">
        <w:rPr>
          <w:spacing w:val="-3"/>
        </w:rPr>
        <w:t>, Complainant owed $</w:t>
      </w:r>
      <w:r w:rsidR="00975F45">
        <w:rPr>
          <w:spacing w:val="-3"/>
        </w:rPr>
        <w:t>3,487.66 to Respondent on h</w:t>
      </w:r>
      <w:r w:rsidR="00BE0DAB">
        <w:rPr>
          <w:spacing w:val="-3"/>
        </w:rPr>
        <w:t>is natural gas account.  (Tr. 28</w:t>
      </w:r>
      <w:r w:rsidR="00975F45">
        <w:rPr>
          <w:spacing w:val="-3"/>
        </w:rPr>
        <w:t xml:space="preserve">; </w:t>
      </w:r>
      <w:r w:rsidR="00975F45">
        <w:t>Dominion Peoples Exhibit A</w:t>
      </w:r>
      <w:r w:rsidR="00975F45">
        <w:rPr>
          <w:spacing w:val="-3"/>
        </w:rPr>
        <w:t>).</w:t>
      </w:r>
    </w:p>
    <w:p w:rsidR="0029002C" w:rsidRDefault="0029002C" w:rsidP="00B613EB">
      <w:pPr>
        <w:tabs>
          <w:tab w:val="left" w:pos="1440"/>
        </w:tabs>
        <w:spacing w:line="360" w:lineRule="auto"/>
        <w:rPr>
          <w:spacing w:val="-3"/>
        </w:rPr>
      </w:pPr>
    </w:p>
    <w:p w:rsidR="008E4FD6" w:rsidRPr="00EA1625" w:rsidRDefault="008E4FD6" w:rsidP="00EA1625">
      <w:pPr>
        <w:tabs>
          <w:tab w:val="left" w:pos="2160"/>
        </w:tabs>
        <w:spacing w:line="360" w:lineRule="auto"/>
        <w:jc w:val="center"/>
        <w:rPr>
          <w:u w:val="single"/>
        </w:rPr>
      </w:pPr>
      <w:r w:rsidRPr="00EA1625">
        <w:rPr>
          <w:u w:val="single"/>
        </w:rPr>
        <w:t>DISCUSSION</w:t>
      </w:r>
    </w:p>
    <w:p w:rsidR="008E4FD6" w:rsidRPr="006E5FE7" w:rsidRDefault="008E4FD6" w:rsidP="006E5FE7">
      <w:pPr>
        <w:tabs>
          <w:tab w:val="left" w:pos="2160"/>
        </w:tabs>
        <w:spacing w:line="360" w:lineRule="auto"/>
        <w:rPr>
          <w:u w:val="single"/>
        </w:rPr>
      </w:pPr>
    </w:p>
    <w:p w:rsidR="00B66DDD" w:rsidRPr="006E5FE7" w:rsidRDefault="000C736C" w:rsidP="006E5FE7">
      <w:pPr>
        <w:pStyle w:val="BodyText"/>
        <w:jc w:val="left"/>
        <w:rPr>
          <w:sz w:val="24"/>
          <w:szCs w:val="24"/>
        </w:rPr>
      </w:pPr>
      <w:r w:rsidRPr="008B2613">
        <w:rPr>
          <w:sz w:val="24"/>
          <w:szCs w:val="24"/>
        </w:rPr>
        <w:tab/>
      </w:r>
      <w:r w:rsidRPr="008B2613">
        <w:rPr>
          <w:sz w:val="24"/>
          <w:szCs w:val="24"/>
        </w:rPr>
        <w:tab/>
      </w:r>
      <w:r w:rsidR="00C931B6" w:rsidRPr="008B2613">
        <w:rPr>
          <w:sz w:val="24"/>
          <w:szCs w:val="24"/>
        </w:rPr>
        <w:t>On</w:t>
      </w:r>
      <w:r w:rsidR="00FB579D" w:rsidRPr="008B2613">
        <w:rPr>
          <w:sz w:val="24"/>
          <w:szCs w:val="24"/>
        </w:rPr>
        <w:t xml:space="preserve"> </w:t>
      </w:r>
      <w:r w:rsidR="004F42F8">
        <w:rPr>
          <w:sz w:val="24"/>
          <w:szCs w:val="24"/>
        </w:rPr>
        <w:t>September 1</w:t>
      </w:r>
      <w:r w:rsidR="00AF192E">
        <w:rPr>
          <w:sz w:val="24"/>
          <w:szCs w:val="24"/>
        </w:rPr>
        <w:t>, 2009</w:t>
      </w:r>
      <w:r w:rsidR="00C931B6" w:rsidRPr="008B2613">
        <w:rPr>
          <w:sz w:val="24"/>
          <w:szCs w:val="24"/>
        </w:rPr>
        <w:t xml:space="preserve">, </w:t>
      </w:r>
      <w:r w:rsidR="00FD4410" w:rsidRPr="008B2613">
        <w:rPr>
          <w:sz w:val="24"/>
          <w:szCs w:val="24"/>
        </w:rPr>
        <w:t>Complainant</w:t>
      </w:r>
      <w:r w:rsidR="00CB7EF0" w:rsidRPr="008B2613">
        <w:rPr>
          <w:sz w:val="24"/>
          <w:szCs w:val="24"/>
        </w:rPr>
        <w:t xml:space="preserve"> </w:t>
      </w:r>
      <w:r w:rsidR="001140BC" w:rsidRPr="008B2613">
        <w:rPr>
          <w:sz w:val="24"/>
          <w:szCs w:val="24"/>
        </w:rPr>
        <w:t xml:space="preserve">filed </w:t>
      </w:r>
      <w:r w:rsidR="00CB7EF0" w:rsidRPr="008B2613">
        <w:rPr>
          <w:sz w:val="24"/>
          <w:szCs w:val="24"/>
        </w:rPr>
        <w:t>a formal complaint</w:t>
      </w:r>
      <w:r w:rsidR="001140BC" w:rsidRPr="008B2613">
        <w:rPr>
          <w:sz w:val="24"/>
          <w:szCs w:val="24"/>
        </w:rPr>
        <w:t xml:space="preserve"> </w:t>
      </w:r>
      <w:r w:rsidR="005326CD" w:rsidRPr="008B2613">
        <w:rPr>
          <w:sz w:val="24"/>
          <w:szCs w:val="24"/>
        </w:rPr>
        <w:t xml:space="preserve">alleging </w:t>
      </w:r>
      <w:r w:rsidR="00FD4410" w:rsidRPr="008B2613">
        <w:rPr>
          <w:sz w:val="24"/>
          <w:szCs w:val="24"/>
        </w:rPr>
        <w:t>Respondent</w:t>
      </w:r>
      <w:r w:rsidR="005326CD" w:rsidRPr="008B2613">
        <w:rPr>
          <w:sz w:val="24"/>
          <w:szCs w:val="24"/>
        </w:rPr>
        <w:t xml:space="preserve"> </w:t>
      </w:r>
      <w:r w:rsidR="00AF192E">
        <w:rPr>
          <w:sz w:val="24"/>
          <w:szCs w:val="24"/>
        </w:rPr>
        <w:t>over</w:t>
      </w:r>
      <w:r w:rsidR="00C03541">
        <w:rPr>
          <w:sz w:val="24"/>
          <w:szCs w:val="24"/>
        </w:rPr>
        <w:t>charged Complainant</w:t>
      </w:r>
      <w:r w:rsidR="000B12EC">
        <w:rPr>
          <w:sz w:val="24"/>
          <w:szCs w:val="24"/>
        </w:rPr>
        <w:t xml:space="preserve"> for natural gas which Complainant averred he did not consume in his residence</w:t>
      </w:r>
      <w:r w:rsidR="005C715B" w:rsidRPr="008B2613">
        <w:rPr>
          <w:sz w:val="24"/>
          <w:szCs w:val="24"/>
        </w:rPr>
        <w:t xml:space="preserve">.  </w:t>
      </w:r>
    </w:p>
    <w:p w:rsidR="00AF192E" w:rsidRDefault="00AF192E" w:rsidP="00AF192E">
      <w:pPr>
        <w:pStyle w:val="BodyText"/>
        <w:jc w:val="left"/>
        <w:rPr>
          <w:sz w:val="24"/>
          <w:szCs w:val="24"/>
        </w:rPr>
      </w:pPr>
    </w:p>
    <w:p w:rsidR="00AF192E" w:rsidRDefault="00AF192E" w:rsidP="00AF192E">
      <w:pPr>
        <w:pStyle w:val="BodyText"/>
        <w:jc w:val="left"/>
        <w:rPr>
          <w:sz w:val="24"/>
          <w:szCs w:val="24"/>
        </w:rPr>
      </w:pPr>
      <w:r>
        <w:rPr>
          <w:sz w:val="24"/>
          <w:szCs w:val="24"/>
        </w:rPr>
        <w:tab/>
      </w:r>
      <w:r>
        <w:rPr>
          <w:sz w:val="24"/>
          <w:szCs w:val="24"/>
        </w:rPr>
        <w:tab/>
      </w:r>
      <w:r w:rsidR="003B40DA">
        <w:rPr>
          <w:sz w:val="24"/>
          <w:szCs w:val="24"/>
        </w:rPr>
        <w:t>Respondent, as a p</w:t>
      </w:r>
      <w:r>
        <w:rPr>
          <w:sz w:val="24"/>
          <w:szCs w:val="24"/>
        </w:rPr>
        <w:t>ublic utility</w:t>
      </w:r>
      <w:r w:rsidR="003B40DA">
        <w:rPr>
          <w:sz w:val="24"/>
          <w:szCs w:val="24"/>
        </w:rPr>
        <w:t>, must “</w:t>
      </w:r>
      <w:r>
        <w:rPr>
          <w:sz w:val="24"/>
          <w:szCs w:val="24"/>
        </w:rPr>
        <w:t>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3B40DA">
        <w:rPr>
          <w:sz w:val="24"/>
          <w:szCs w:val="24"/>
        </w:rPr>
        <w:t>”</w:t>
      </w:r>
      <w:r w:rsidR="003B40DA">
        <w:rPr>
          <w:rStyle w:val="FootnoteReference"/>
          <w:sz w:val="24"/>
          <w:szCs w:val="24"/>
        </w:rPr>
        <w:footnoteReference w:id="2"/>
      </w:r>
      <w:r w:rsidR="003B40DA">
        <w:rPr>
          <w:sz w:val="24"/>
          <w:szCs w:val="24"/>
        </w:rPr>
        <w:t xml:space="preserve">  </w:t>
      </w:r>
      <w:r>
        <w:rPr>
          <w:sz w:val="24"/>
          <w:szCs w:val="24"/>
        </w:rPr>
        <w:t xml:space="preserve">  </w:t>
      </w:r>
      <w:r w:rsidR="003B40DA">
        <w:rPr>
          <w:sz w:val="24"/>
          <w:szCs w:val="24"/>
        </w:rPr>
        <w:t>In addition, Respondent must “</w:t>
      </w:r>
      <w:r>
        <w:rPr>
          <w:sz w:val="24"/>
          <w:szCs w:val="24"/>
        </w:rPr>
        <w:t>provide, an</w:t>
      </w:r>
      <w:r w:rsidR="00741D6F">
        <w:rPr>
          <w:sz w:val="24"/>
          <w:szCs w:val="24"/>
        </w:rPr>
        <w:t>d keep in and upon the premises…</w:t>
      </w:r>
      <w:r>
        <w:rPr>
          <w:sz w:val="24"/>
          <w:szCs w:val="24"/>
        </w:rPr>
        <w:t xml:space="preserve">, suitable and proper apparatus, to be approved from time to time and stamped or marked by the commission, for testing and proving the accuracy of meters furnished by such public utility for </w:t>
      </w:r>
      <w:r>
        <w:rPr>
          <w:sz w:val="24"/>
          <w:szCs w:val="24"/>
        </w:rPr>
        <w:lastRenderedPageBreak/>
        <w:t>use; and by which apparatus every meter may be tested, upon the written request of the consumer to whom the same shall be furnished, and in the presence of the consumer, if he shall so desire.</w:t>
      </w:r>
      <w:r w:rsidR="00741D6F">
        <w:rPr>
          <w:sz w:val="24"/>
          <w:szCs w:val="24"/>
        </w:rPr>
        <w:t>”</w:t>
      </w:r>
      <w:r w:rsidR="00741D6F">
        <w:rPr>
          <w:rStyle w:val="FootnoteReference"/>
          <w:sz w:val="24"/>
          <w:szCs w:val="24"/>
        </w:rPr>
        <w:footnoteReference w:id="3"/>
      </w:r>
      <w:r>
        <w:rPr>
          <w:sz w:val="24"/>
          <w:szCs w:val="24"/>
        </w:rPr>
        <w:t xml:space="preserve">  </w:t>
      </w:r>
    </w:p>
    <w:p w:rsidR="00AF192E" w:rsidRDefault="00AF192E" w:rsidP="00AF192E">
      <w:pPr>
        <w:pStyle w:val="BodyText"/>
        <w:jc w:val="left"/>
        <w:rPr>
          <w:sz w:val="24"/>
          <w:szCs w:val="24"/>
        </w:rPr>
      </w:pPr>
    </w:p>
    <w:p w:rsidR="00AF192E" w:rsidRPr="006E5FE7" w:rsidRDefault="00AF192E" w:rsidP="00AF192E">
      <w:pPr>
        <w:pStyle w:val="BodyText"/>
        <w:jc w:val="left"/>
        <w:rPr>
          <w:sz w:val="24"/>
          <w:szCs w:val="24"/>
        </w:rPr>
      </w:pPr>
      <w:r>
        <w:rPr>
          <w:sz w:val="24"/>
          <w:szCs w:val="24"/>
        </w:rPr>
        <w:tab/>
      </w:r>
      <w:r>
        <w:rPr>
          <w:sz w:val="24"/>
          <w:szCs w:val="24"/>
        </w:rPr>
        <w:tab/>
        <w:t>A utility shall render a bill once every billing period to every residential ratepayer, and a utility shall render bills based on actual meter readings by utility company personnel, except as provided in Chapter 56</w:t>
      </w:r>
      <w:r w:rsidR="00541F79">
        <w:rPr>
          <w:sz w:val="24"/>
          <w:szCs w:val="24"/>
        </w:rPr>
        <w:t xml:space="preserve">, which permits a natural gas utility to </w:t>
      </w:r>
      <w:r>
        <w:rPr>
          <w:sz w:val="24"/>
          <w:szCs w:val="24"/>
        </w:rPr>
        <w:t>estimate usage, so long as the utility provides a ratepayer with the opportunity to read the meter and report the quantity of usage in lieu of the estimated bill.</w:t>
      </w:r>
      <w:r w:rsidR="00D22A37">
        <w:rPr>
          <w:rStyle w:val="FootnoteReference"/>
          <w:sz w:val="24"/>
          <w:szCs w:val="24"/>
        </w:rPr>
        <w:footnoteReference w:id="4"/>
      </w:r>
      <w:r>
        <w:rPr>
          <w:sz w:val="24"/>
          <w:szCs w:val="24"/>
        </w:rPr>
        <w:t xml:space="preserve">  When a consumer initiates a dispute, the utility shall investigate the matter using methods reasonable under the circumstances, which </w:t>
      </w:r>
      <w:r w:rsidR="00D22A37">
        <w:rPr>
          <w:sz w:val="24"/>
          <w:szCs w:val="24"/>
        </w:rPr>
        <w:t xml:space="preserve">methods </w:t>
      </w:r>
      <w:r>
        <w:rPr>
          <w:sz w:val="24"/>
          <w:szCs w:val="24"/>
        </w:rPr>
        <w:t>may include telephone or personal conferences, or both, with the ratepayer or occupant.</w:t>
      </w:r>
      <w:r w:rsidR="00D22A37">
        <w:rPr>
          <w:rStyle w:val="FootnoteReference"/>
          <w:sz w:val="24"/>
          <w:szCs w:val="24"/>
        </w:rPr>
        <w:footnoteReference w:id="5"/>
      </w:r>
      <w:r>
        <w:rPr>
          <w:sz w:val="24"/>
          <w:szCs w:val="24"/>
        </w:rPr>
        <w:t xml:space="preserve">    </w:t>
      </w:r>
    </w:p>
    <w:p w:rsidR="00D22A37" w:rsidRDefault="00D22A37" w:rsidP="00541F79">
      <w:pPr>
        <w:pStyle w:val="BodyText"/>
        <w:ind w:firstLine="1440"/>
        <w:jc w:val="left"/>
        <w:rPr>
          <w:sz w:val="24"/>
          <w:szCs w:val="24"/>
        </w:rPr>
      </w:pPr>
    </w:p>
    <w:p w:rsidR="00AF192E" w:rsidRPr="006E5FE7" w:rsidRDefault="00AF192E" w:rsidP="00AF192E">
      <w:pPr>
        <w:spacing w:line="360" w:lineRule="auto"/>
        <w:ind w:firstLine="1440"/>
      </w:pPr>
      <w:r w:rsidRPr="004E7308">
        <w:t xml:space="preserve">As the party seeking affirmative relief from the Commission, Complainant bears the burden of </w:t>
      </w:r>
      <w:r w:rsidR="00846FA1">
        <w:t>proving the necessary elements of the complaint</w:t>
      </w:r>
      <w:r>
        <w:t xml:space="preserve"> </w:t>
      </w:r>
      <w:r w:rsidR="00E30434">
        <w:t xml:space="preserve">with reliable, probative and </w:t>
      </w:r>
      <w:r>
        <w:t xml:space="preserve"> substantial evidence</w:t>
      </w:r>
      <w:r w:rsidR="00E30434">
        <w:t>,</w:t>
      </w:r>
      <w:r w:rsidR="00846FA1">
        <w:rPr>
          <w:rStyle w:val="FootnoteReference"/>
        </w:rPr>
        <w:footnoteReference w:id="6"/>
      </w:r>
      <w:r w:rsidR="00E30434">
        <w:t xml:space="preserve"> which is more than a mere trace of evidence or a suspicion of the existence of a fact sought to be established</w:t>
      </w:r>
      <w:r w:rsidR="009F7A24">
        <w:rPr>
          <w:rStyle w:val="FootnoteReference"/>
        </w:rPr>
        <w:footnoteReference w:id="7"/>
      </w:r>
      <w:r w:rsidR="00E30434">
        <w:t xml:space="preserve"> and is such </w:t>
      </w:r>
      <w:r w:rsidR="009F7A24">
        <w:t>evidence that a reasonable mind might accept as adequate to support a conclusion.</w:t>
      </w:r>
      <w:r w:rsidR="00846FA1">
        <w:t xml:space="preserve">  </w:t>
      </w:r>
    </w:p>
    <w:p w:rsidR="00846FA1" w:rsidRDefault="00846FA1" w:rsidP="00AF192E">
      <w:pPr>
        <w:pStyle w:val="BodyText"/>
        <w:ind w:firstLine="1440"/>
        <w:jc w:val="left"/>
        <w:rPr>
          <w:sz w:val="24"/>
          <w:szCs w:val="24"/>
        </w:rPr>
      </w:pPr>
    </w:p>
    <w:p w:rsidR="00AF192E" w:rsidRDefault="00AF192E" w:rsidP="00AF192E">
      <w:pPr>
        <w:pStyle w:val="BodyText"/>
        <w:ind w:firstLine="1440"/>
        <w:jc w:val="left"/>
        <w:rPr>
          <w:sz w:val="24"/>
          <w:szCs w:val="24"/>
        </w:rPr>
      </w:pPr>
      <w:r>
        <w:rPr>
          <w:sz w:val="24"/>
          <w:szCs w:val="24"/>
        </w:rPr>
        <w:t>Complainant</w:t>
      </w:r>
      <w:r w:rsidRPr="006E5FE7">
        <w:rPr>
          <w:sz w:val="24"/>
          <w:szCs w:val="24"/>
        </w:rPr>
        <w:t xml:space="preserve"> </w:t>
      </w:r>
      <w:r>
        <w:rPr>
          <w:sz w:val="24"/>
          <w:szCs w:val="24"/>
        </w:rPr>
        <w:t>contend</w:t>
      </w:r>
      <w:r w:rsidR="00555724">
        <w:rPr>
          <w:sz w:val="24"/>
          <w:szCs w:val="24"/>
        </w:rPr>
        <w:t>s</w:t>
      </w:r>
      <w:r>
        <w:rPr>
          <w:sz w:val="24"/>
          <w:szCs w:val="24"/>
        </w:rPr>
        <w:t xml:space="preserve"> the amount of gas usage cited by the gas utility </w:t>
      </w:r>
      <w:r w:rsidR="00532876">
        <w:rPr>
          <w:sz w:val="24"/>
          <w:szCs w:val="24"/>
        </w:rPr>
        <w:t>has been</w:t>
      </w:r>
      <w:r>
        <w:rPr>
          <w:sz w:val="24"/>
          <w:szCs w:val="24"/>
        </w:rPr>
        <w:t xml:space="preserve"> excessive </w:t>
      </w:r>
      <w:r w:rsidR="000B12EC">
        <w:rPr>
          <w:sz w:val="24"/>
          <w:szCs w:val="24"/>
        </w:rPr>
        <w:t>from the time he moved into the residence in March 2007.  H</w:t>
      </w:r>
      <w:r w:rsidR="00532876">
        <w:rPr>
          <w:sz w:val="24"/>
          <w:szCs w:val="24"/>
        </w:rPr>
        <w:t>e</w:t>
      </w:r>
      <w:r>
        <w:rPr>
          <w:sz w:val="24"/>
          <w:szCs w:val="24"/>
        </w:rPr>
        <w:t xml:space="preserve"> argues </w:t>
      </w:r>
      <w:r w:rsidR="00555724">
        <w:rPr>
          <w:sz w:val="24"/>
          <w:szCs w:val="24"/>
        </w:rPr>
        <w:t>he</w:t>
      </w:r>
      <w:r>
        <w:rPr>
          <w:sz w:val="24"/>
          <w:szCs w:val="24"/>
        </w:rPr>
        <w:t xml:space="preserve"> should not be responsible to pay the</w:t>
      </w:r>
      <w:r w:rsidR="002F490A">
        <w:rPr>
          <w:sz w:val="24"/>
          <w:szCs w:val="24"/>
        </w:rPr>
        <w:t>se excessive amounts</w:t>
      </w:r>
      <w:r w:rsidR="00532876">
        <w:rPr>
          <w:sz w:val="24"/>
          <w:szCs w:val="24"/>
        </w:rPr>
        <w:t>.  He</w:t>
      </w:r>
      <w:r>
        <w:rPr>
          <w:sz w:val="24"/>
          <w:szCs w:val="24"/>
        </w:rPr>
        <w:t xml:space="preserve"> asks the Commission to</w:t>
      </w:r>
      <w:r w:rsidR="002F490A">
        <w:rPr>
          <w:sz w:val="24"/>
          <w:szCs w:val="24"/>
        </w:rPr>
        <w:t xml:space="preserve"> reduce the amount owed</w:t>
      </w:r>
      <w:r w:rsidR="00532876">
        <w:rPr>
          <w:sz w:val="24"/>
          <w:szCs w:val="24"/>
        </w:rPr>
        <w:t xml:space="preserve"> to a more reasonable level</w:t>
      </w:r>
      <w:r w:rsidR="00BE0DAB">
        <w:rPr>
          <w:sz w:val="24"/>
          <w:szCs w:val="24"/>
        </w:rPr>
        <w:t xml:space="preserve"> and to escalate the payments over time</w:t>
      </w:r>
      <w:r>
        <w:rPr>
          <w:sz w:val="24"/>
          <w:szCs w:val="24"/>
        </w:rPr>
        <w:t xml:space="preserve">.  </w:t>
      </w:r>
      <w:r>
        <w:rPr>
          <w:sz w:val="24"/>
          <w:szCs w:val="24"/>
        </w:rPr>
        <w:tab/>
      </w:r>
    </w:p>
    <w:p w:rsidR="00AF192E" w:rsidRDefault="00AF192E" w:rsidP="00AF192E">
      <w:pPr>
        <w:pStyle w:val="BodyText"/>
        <w:jc w:val="left"/>
        <w:rPr>
          <w:sz w:val="24"/>
          <w:szCs w:val="24"/>
        </w:rPr>
      </w:pPr>
      <w:r>
        <w:rPr>
          <w:sz w:val="24"/>
          <w:szCs w:val="24"/>
        </w:rPr>
        <w:tab/>
      </w:r>
    </w:p>
    <w:p w:rsidR="009F1DAF" w:rsidRDefault="00AF192E">
      <w:r w:rsidRPr="006E5FE7">
        <w:tab/>
      </w:r>
      <w:r w:rsidRPr="006E5FE7">
        <w:tab/>
      </w:r>
      <w:r w:rsidR="009F1DAF">
        <w:br w:type="page"/>
      </w:r>
    </w:p>
    <w:p w:rsidR="00AF192E" w:rsidRDefault="00AF192E" w:rsidP="009F1DAF">
      <w:pPr>
        <w:pStyle w:val="BodyText"/>
        <w:ind w:firstLine="1440"/>
        <w:jc w:val="left"/>
        <w:rPr>
          <w:sz w:val="24"/>
          <w:szCs w:val="24"/>
        </w:rPr>
      </w:pPr>
      <w:r>
        <w:rPr>
          <w:sz w:val="24"/>
          <w:szCs w:val="24"/>
        </w:rPr>
        <w:lastRenderedPageBreak/>
        <w:t>Respondent</w:t>
      </w:r>
      <w:r w:rsidRPr="006E5FE7">
        <w:rPr>
          <w:sz w:val="24"/>
          <w:szCs w:val="24"/>
        </w:rPr>
        <w:t>’s witness testified</w:t>
      </w:r>
      <w:r>
        <w:rPr>
          <w:sz w:val="24"/>
          <w:szCs w:val="24"/>
        </w:rPr>
        <w:t xml:space="preserve"> </w:t>
      </w:r>
      <w:r w:rsidR="00532876">
        <w:rPr>
          <w:sz w:val="24"/>
          <w:szCs w:val="24"/>
        </w:rPr>
        <w:t xml:space="preserve">the meter on Complainant’s house is reading the usage correctly and </w:t>
      </w:r>
      <w:r w:rsidR="009E4C05">
        <w:rPr>
          <w:sz w:val="24"/>
          <w:szCs w:val="24"/>
        </w:rPr>
        <w:t>Complainant’s level of usage is consistent with consumption by the average consumer</w:t>
      </w:r>
      <w:r w:rsidR="00532876">
        <w:rPr>
          <w:sz w:val="24"/>
          <w:szCs w:val="24"/>
        </w:rPr>
        <w:t>.</w:t>
      </w:r>
      <w:r>
        <w:rPr>
          <w:sz w:val="24"/>
          <w:szCs w:val="24"/>
        </w:rPr>
        <w:t xml:space="preserve">  </w:t>
      </w:r>
      <w:r w:rsidR="000D74CE">
        <w:rPr>
          <w:sz w:val="24"/>
          <w:szCs w:val="24"/>
        </w:rPr>
        <w:t>Respondent avers it conducted an investigation</w:t>
      </w:r>
      <w:r w:rsidR="000B12EC">
        <w:rPr>
          <w:sz w:val="24"/>
          <w:szCs w:val="24"/>
        </w:rPr>
        <w:t xml:space="preserve">, </w:t>
      </w:r>
      <w:r w:rsidR="000D74CE">
        <w:rPr>
          <w:sz w:val="24"/>
          <w:szCs w:val="24"/>
        </w:rPr>
        <w:t xml:space="preserve">removed Complainant’s old meter for testing, determined Complainant’s old meter worked </w:t>
      </w:r>
      <w:r w:rsidR="00555724">
        <w:rPr>
          <w:sz w:val="24"/>
          <w:szCs w:val="24"/>
        </w:rPr>
        <w:t xml:space="preserve">with </w:t>
      </w:r>
      <w:r w:rsidR="000B12EC">
        <w:rPr>
          <w:sz w:val="24"/>
          <w:szCs w:val="24"/>
        </w:rPr>
        <w:t>9</w:t>
      </w:r>
      <w:r w:rsidR="009E4C05">
        <w:rPr>
          <w:sz w:val="24"/>
          <w:szCs w:val="24"/>
        </w:rPr>
        <w:t>8</w:t>
      </w:r>
      <w:r w:rsidR="00555724">
        <w:rPr>
          <w:sz w:val="24"/>
          <w:szCs w:val="24"/>
        </w:rPr>
        <w:t>% accuracy</w:t>
      </w:r>
      <w:r w:rsidR="000B12EC">
        <w:rPr>
          <w:sz w:val="24"/>
          <w:szCs w:val="24"/>
        </w:rPr>
        <w:t xml:space="preserve"> and </w:t>
      </w:r>
      <w:r w:rsidR="009E4C05">
        <w:rPr>
          <w:sz w:val="24"/>
          <w:szCs w:val="24"/>
        </w:rPr>
        <w:t>installed a</w:t>
      </w:r>
      <w:r w:rsidR="000B12EC">
        <w:rPr>
          <w:sz w:val="24"/>
          <w:szCs w:val="24"/>
        </w:rPr>
        <w:t xml:space="preserve"> new meter pre-tested for accuracy prior to installation</w:t>
      </w:r>
      <w:r w:rsidR="00555724">
        <w:rPr>
          <w:sz w:val="24"/>
          <w:szCs w:val="24"/>
        </w:rPr>
        <w:t>.</w:t>
      </w:r>
      <w:r w:rsidR="000D74CE">
        <w:rPr>
          <w:sz w:val="24"/>
          <w:szCs w:val="24"/>
        </w:rPr>
        <w:t xml:space="preserve">  </w:t>
      </w:r>
      <w:r>
        <w:rPr>
          <w:sz w:val="24"/>
          <w:szCs w:val="24"/>
        </w:rPr>
        <w:t xml:space="preserve">Respondent alleges the amount of natural gas usage assessed against Complainant is </w:t>
      </w:r>
      <w:r w:rsidR="009E4C05">
        <w:rPr>
          <w:sz w:val="24"/>
          <w:szCs w:val="24"/>
        </w:rPr>
        <w:t>accurate</w:t>
      </w:r>
      <w:r>
        <w:rPr>
          <w:sz w:val="24"/>
          <w:szCs w:val="24"/>
        </w:rPr>
        <w:t xml:space="preserve"> and, therefore, Respondent </w:t>
      </w:r>
      <w:r w:rsidR="009E4C05">
        <w:rPr>
          <w:sz w:val="24"/>
          <w:szCs w:val="24"/>
        </w:rPr>
        <w:t>appropriately</w:t>
      </w:r>
      <w:r>
        <w:rPr>
          <w:sz w:val="24"/>
          <w:szCs w:val="24"/>
        </w:rPr>
        <w:t xml:space="preserve"> issue</w:t>
      </w:r>
      <w:r w:rsidR="009E4C05">
        <w:rPr>
          <w:sz w:val="24"/>
          <w:szCs w:val="24"/>
        </w:rPr>
        <w:t>d</w:t>
      </w:r>
      <w:r>
        <w:rPr>
          <w:sz w:val="24"/>
          <w:szCs w:val="24"/>
        </w:rPr>
        <w:t xml:space="preserve"> the </w:t>
      </w:r>
      <w:r w:rsidR="00205CC7">
        <w:rPr>
          <w:sz w:val="24"/>
          <w:szCs w:val="24"/>
        </w:rPr>
        <w:t>bills as listed in its Exhibit</w:t>
      </w:r>
      <w:r w:rsidR="00532876">
        <w:rPr>
          <w:sz w:val="24"/>
          <w:szCs w:val="24"/>
        </w:rPr>
        <w:t>s</w:t>
      </w:r>
      <w:r>
        <w:rPr>
          <w:sz w:val="24"/>
          <w:szCs w:val="24"/>
        </w:rPr>
        <w:t xml:space="preserve">.  </w:t>
      </w:r>
      <w:r w:rsidR="000B12EC">
        <w:rPr>
          <w:sz w:val="24"/>
          <w:szCs w:val="24"/>
        </w:rPr>
        <w:t xml:space="preserve">Lastly, Respondent contends Complainant only made three payments of any kind to Respondent since </w:t>
      </w:r>
      <w:r w:rsidR="001044D8">
        <w:rPr>
          <w:sz w:val="24"/>
          <w:szCs w:val="24"/>
        </w:rPr>
        <w:t xml:space="preserve">Complainant initiated </w:t>
      </w:r>
      <w:r w:rsidR="000B12EC">
        <w:rPr>
          <w:sz w:val="24"/>
          <w:szCs w:val="24"/>
        </w:rPr>
        <w:t>the account</w:t>
      </w:r>
      <w:r w:rsidR="001044D8">
        <w:rPr>
          <w:sz w:val="24"/>
          <w:szCs w:val="24"/>
        </w:rPr>
        <w:t xml:space="preserve"> in March 2007</w:t>
      </w:r>
      <w:r w:rsidR="000B12EC">
        <w:rPr>
          <w:sz w:val="24"/>
          <w:szCs w:val="24"/>
        </w:rPr>
        <w:t xml:space="preserve">.  </w:t>
      </w:r>
      <w:r w:rsidR="001E0B58">
        <w:rPr>
          <w:sz w:val="24"/>
          <w:szCs w:val="24"/>
        </w:rPr>
        <w:t xml:space="preserve">Respondent </w:t>
      </w:r>
      <w:r w:rsidR="00BE0DAB">
        <w:rPr>
          <w:sz w:val="24"/>
          <w:szCs w:val="24"/>
        </w:rPr>
        <w:t xml:space="preserve">wants the Commission to require </w:t>
      </w:r>
      <w:r w:rsidR="001E0B58">
        <w:rPr>
          <w:sz w:val="24"/>
          <w:szCs w:val="24"/>
        </w:rPr>
        <w:t>Complainant to</w:t>
      </w:r>
      <w:r w:rsidR="001E6E72">
        <w:rPr>
          <w:sz w:val="24"/>
          <w:szCs w:val="24"/>
        </w:rPr>
        <w:t xml:space="preserve"> </w:t>
      </w:r>
      <w:r w:rsidR="00BE0DAB">
        <w:rPr>
          <w:sz w:val="24"/>
          <w:szCs w:val="24"/>
        </w:rPr>
        <w:t xml:space="preserve">comply with </w:t>
      </w:r>
      <w:r w:rsidR="001E6E72">
        <w:rPr>
          <w:sz w:val="24"/>
          <w:szCs w:val="24"/>
        </w:rPr>
        <w:t>the prior payment pla</w:t>
      </w:r>
      <w:r w:rsidR="001E0B58">
        <w:rPr>
          <w:sz w:val="24"/>
          <w:szCs w:val="24"/>
        </w:rPr>
        <w:t>n</w:t>
      </w:r>
      <w:r w:rsidR="001E6E72">
        <w:rPr>
          <w:sz w:val="24"/>
          <w:szCs w:val="24"/>
        </w:rPr>
        <w:t xml:space="preserve"> </w:t>
      </w:r>
      <w:r w:rsidR="001044D8">
        <w:rPr>
          <w:sz w:val="24"/>
          <w:szCs w:val="24"/>
        </w:rPr>
        <w:t>established in</w:t>
      </w:r>
      <w:r w:rsidR="00C55A4F">
        <w:rPr>
          <w:sz w:val="24"/>
          <w:szCs w:val="24"/>
        </w:rPr>
        <w:t xml:space="preserve"> January 2008</w:t>
      </w:r>
      <w:r w:rsidR="001E6E72">
        <w:rPr>
          <w:sz w:val="24"/>
          <w:szCs w:val="24"/>
        </w:rPr>
        <w:t>.</w:t>
      </w:r>
    </w:p>
    <w:p w:rsidR="000D74CE" w:rsidRDefault="000D74CE" w:rsidP="00AF192E">
      <w:pPr>
        <w:pStyle w:val="BodyText"/>
        <w:jc w:val="left"/>
        <w:rPr>
          <w:sz w:val="24"/>
          <w:szCs w:val="24"/>
        </w:rPr>
      </w:pPr>
    </w:p>
    <w:p w:rsidR="00AF192E" w:rsidRPr="007F3BFC" w:rsidRDefault="00AF192E" w:rsidP="00AF192E">
      <w:pPr>
        <w:pStyle w:val="BodyText"/>
        <w:jc w:val="left"/>
        <w:rPr>
          <w:sz w:val="24"/>
          <w:szCs w:val="24"/>
        </w:rPr>
      </w:pPr>
      <w:r w:rsidRPr="006E5FE7">
        <w:rPr>
          <w:sz w:val="24"/>
          <w:szCs w:val="24"/>
        </w:rPr>
        <w:tab/>
      </w:r>
      <w:r w:rsidRPr="006E5FE7">
        <w:rPr>
          <w:sz w:val="24"/>
          <w:szCs w:val="24"/>
        </w:rPr>
        <w:tab/>
      </w:r>
      <w:r>
        <w:rPr>
          <w:sz w:val="24"/>
          <w:szCs w:val="24"/>
        </w:rPr>
        <w:t xml:space="preserve">When a utility consumer complains about an unusually high bill during a billing period, the consumer must establish a </w:t>
      </w:r>
      <w:r w:rsidRPr="002963D4">
        <w:rPr>
          <w:i/>
          <w:sz w:val="24"/>
          <w:szCs w:val="24"/>
        </w:rPr>
        <w:t>prima facie</w:t>
      </w:r>
      <w:r>
        <w:rPr>
          <w:sz w:val="24"/>
          <w:szCs w:val="24"/>
        </w:rPr>
        <w:t xml:space="preserve"> case that no other factors </w:t>
      </w:r>
      <w:r w:rsidR="000D74CE">
        <w:rPr>
          <w:sz w:val="24"/>
          <w:szCs w:val="24"/>
        </w:rPr>
        <w:t>are</w:t>
      </w:r>
      <w:r>
        <w:rPr>
          <w:sz w:val="24"/>
          <w:szCs w:val="24"/>
        </w:rPr>
        <w:t xml:space="preserve"> present which would explain the high bills.  Those factors could include: no change in the number of occupants, low potential for energy usage, prior billing history lacked any previous billing abnormalities, or any other relevant fact or circumstance which shows the bill in dispute is out of the ordinary for this consumer.  Once the </w:t>
      </w:r>
      <w:r w:rsidRPr="002963D4">
        <w:rPr>
          <w:i/>
          <w:sz w:val="24"/>
          <w:szCs w:val="24"/>
        </w:rPr>
        <w:t>prima facie</w:t>
      </w:r>
      <w:r>
        <w:rPr>
          <w:sz w:val="24"/>
          <w:szCs w:val="24"/>
        </w:rPr>
        <w:t xml:space="preserve"> evidence is presented, the burden of rebutting the case shift</w:t>
      </w:r>
      <w:r w:rsidR="000D74CE">
        <w:rPr>
          <w:sz w:val="24"/>
          <w:szCs w:val="24"/>
        </w:rPr>
        <w:t>s</w:t>
      </w:r>
      <w:r>
        <w:rPr>
          <w:sz w:val="24"/>
          <w:szCs w:val="24"/>
        </w:rPr>
        <w:t xml:space="preserve"> to the utility company.  If the utility company fails to rebut the consumer’s evidence, then the consumer is entitled to prevail.</w:t>
      </w:r>
      <w:r w:rsidR="000D74CE">
        <w:rPr>
          <w:rStyle w:val="FootnoteReference"/>
          <w:sz w:val="24"/>
          <w:szCs w:val="24"/>
        </w:rPr>
        <w:footnoteReference w:id="8"/>
      </w:r>
      <w:r>
        <w:rPr>
          <w:sz w:val="24"/>
          <w:szCs w:val="24"/>
        </w:rPr>
        <w:t xml:space="preserve">  </w:t>
      </w:r>
    </w:p>
    <w:p w:rsidR="00A03847" w:rsidRDefault="00A03847" w:rsidP="00A03847">
      <w:pPr>
        <w:pStyle w:val="BodyText"/>
        <w:ind w:firstLine="1440"/>
        <w:jc w:val="left"/>
        <w:rPr>
          <w:sz w:val="24"/>
          <w:szCs w:val="24"/>
        </w:rPr>
      </w:pPr>
    </w:p>
    <w:p w:rsidR="001E6E72" w:rsidRDefault="00C30962" w:rsidP="00AF192E">
      <w:pPr>
        <w:pStyle w:val="BodyText"/>
        <w:jc w:val="left"/>
        <w:rPr>
          <w:sz w:val="24"/>
          <w:szCs w:val="24"/>
        </w:rPr>
      </w:pPr>
      <w:r>
        <w:rPr>
          <w:sz w:val="24"/>
          <w:szCs w:val="24"/>
        </w:rPr>
        <w:tab/>
      </w:r>
      <w:r>
        <w:rPr>
          <w:sz w:val="24"/>
          <w:szCs w:val="24"/>
        </w:rPr>
        <w:tab/>
      </w:r>
      <w:r w:rsidR="001044D8">
        <w:rPr>
          <w:sz w:val="24"/>
          <w:szCs w:val="24"/>
        </w:rPr>
        <w:t xml:space="preserve">In this proceeding, Complainant failed to present </w:t>
      </w:r>
      <w:r w:rsidR="001044D8" w:rsidRPr="00C15849">
        <w:rPr>
          <w:i/>
          <w:sz w:val="24"/>
          <w:szCs w:val="24"/>
        </w:rPr>
        <w:t>prima facie</w:t>
      </w:r>
      <w:r w:rsidR="001044D8">
        <w:rPr>
          <w:sz w:val="24"/>
          <w:szCs w:val="24"/>
        </w:rPr>
        <w:t xml:space="preserve"> evidence to show the bills were high or inconsistent with average use.  </w:t>
      </w:r>
      <w:r>
        <w:rPr>
          <w:sz w:val="24"/>
          <w:szCs w:val="24"/>
        </w:rPr>
        <w:t>Complainant’</w:t>
      </w:r>
      <w:r w:rsidR="007952E7">
        <w:rPr>
          <w:sz w:val="24"/>
          <w:szCs w:val="24"/>
        </w:rPr>
        <w:t>s thermostat wa</w:t>
      </w:r>
      <w:r>
        <w:rPr>
          <w:sz w:val="24"/>
          <w:szCs w:val="24"/>
        </w:rPr>
        <w:t>s se</w:t>
      </w:r>
      <w:r w:rsidR="007952E7">
        <w:rPr>
          <w:sz w:val="24"/>
          <w:szCs w:val="24"/>
        </w:rPr>
        <w:t>t at a temperature that required</w:t>
      </w:r>
      <w:r>
        <w:rPr>
          <w:sz w:val="24"/>
          <w:szCs w:val="24"/>
        </w:rPr>
        <w:t xml:space="preserve"> the gas heating system to work</w:t>
      </w:r>
      <w:r w:rsidR="004267EE">
        <w:rPr>
          <w:sz w:val="24"/>
          <w:szCs w:val="24"/>
        </w:rPr>
        <w:t xml:space="preserve"> (55</w:t>
      </w:r>
      <w:r>
        <w:rPr>
          <w:sz w:val="24"/>
          <w:szCs w:val="24"/>
        </w:rPr>
        <w:t xml:space="preserve"> degrees</w:t>
      </w:r>
      <w:r w:rsidR="004267EE">
        <w:rPr>
          <w:sz w:val="24"/>
          <w:szCs w:val="24"/>
        </w:rPr>
        <w:t xml:space="preserve"> or more</w:t>
      </w:r>
      <w:r>
        <w:rPr>
          <w:sz w:val="24"/>
          <w:szCs w:val="24"/>
        </w:rPr>
        <w:t xml:space="preserve">).  Complainant’s </w:t>
      </w:r>
      <w:r w:rsidR="004267EE">
        <w:rPr>
          <w:sz w:val="24"/>
          <w:szCs w:val="24"/>
        </w:rPr>
        <w:t>high</w:t>
      </w:r>
      <w:r w:rsidR="001044D8">
        <w:rPr>
          <w:sz w:val="24"/>
          <w:szCs w:val="24"/>
        </w:rPr>
        <w:t>er</w:t>
      </w:r>
      <w:r w:rsidR="004267EE">
        <w:rPr>
          <w:sz w:val="24"/>
          <w:szCs w:val="24"/>
        </w:rPr>
        <w:t xml:space="preserve"> bill months </w:t>
      </w:r>
      <w:r>
        <w:rPr>
          <w:sz w:val="24"/>
          <w:szCs w:val="24"/>
        </w:rPr>
        <w:t>develop</w:t>
      </w:r>
      <w:r w:rsidR="007952E7">
        <w:rPr>
          <w:sz w:val="24"/>
          <w:szCs w:val="24"/>
        </w:rPr>
        <w:t>ed</w:t>
      </w:r>
      <w:r>
        <w:rPr>
          <w:sz w:val="24"/>
          <w:szCs w:val="24"/>
        </w:rPr>
        <w:t xml:space="preserve"> only in the winter months when</w:t>
      </w:r>
      <w:r w:rsidR="004267EE">
        <w:rPr>
          <w:sz w:val="24"/>
          <w:szCs w:val="24"/>
        </w:rPr>
        <w:t xml:space="preserve"> </w:t>
      </w:r>
      <w:r>
        <w:rPr>
          <w:sz w:val="24"/>
          <w:szCs w:val="24"/>
        </w:rPr>
        <w:t xml:space="preserve">natural gas usage is high due to the colder temperatures </w:t>
      </w:r>
      <w:r w:rsidR="007952E7">
        <w:rPr>
          <w:sz w:val="24"/>
          <w:szCs w:val="24"/>
        </w:rPr>
        <w:t>outside</w:t>
      </w:r>
      <w:r w:rsidR="004267EE">
        <w:rPr>
          <w:sz w:val="24"/>
          <w:szCs w:val="24"/>
        </w:rPr>
        <w:t>.  C</w:t>
      </w:r>
      <w:r w:rsidR="00AF192E">
        <w:rPr>
          <w:sz w:val="24"/>
          <w:szCs w:val="24"/>
        </w:rPr>
        <w:t xml:space="preserve">omplainant provided </w:t>
      </w:r>
      <w:r w:rsidR="001044D8">
        <w:rPr>
          <w:sz w:val="24"/>
          <w:szCs w:val="24"/>
        </w:rPr>
        <w:t xml:space="preserve">no </w:t>
      </w:r>
      <w:r w:rsidR="00AF192E">
        <w:rPr>
          <w:sz w:val="24"/>
          <w:szCs w:val="24"/>
        </w:rPr>
        <w:t xml:space="preserve">evidence to show the meter worked </w:t>
      </w:r>
      <w:r w:rsidR="001044D8">
        <w:rPr>
          <w:sz w:val="24"/>
          <w:szCs w:val="24"/>
        </w:rPr>
        <w:t>improperly</w:t>
      </w:r>
      <w:r w:rsidR="00AF192E">
        <w:rPr>
          <w:sz w:val="24"/>
          <w:szCs w:val="24"/>
        </w:rPr>
        <w:t xml:space="preserve"> or was read incorrectly.  Complainant’s primary </w:t>
      </w:r>
      <w:r w:rsidR="004267EE">
        <w:rPr>
          <w:sz w:val="24"/>
          <w:szCs w:val="24"/>
        </w:rPr>
        <w:t>contention</w:t>
      </w:r>
      <w:r w:rsidR="00532876">
        <w:rPr>
          <w:sz w:val="24"/>
          <w:szCs w:val="24"/>
        </w:rPr>
        <w:t xml:space="preserve"> is</w:t>
      </w:r>
      <w:r w:rsidR="001044D8">
        <w:rPr>
          <w:sz w:val="24"/>
          <w:szCs w:val="24"/>
        </w:rPr>
        <w:t>, simply,</w:t>
      </w:r>
      <w:r w:rsidR="00532876">
        <w:rPr>
          <w:sz w:val="24"/>
          <w:szCs w:val="24"/>
        </w:rPr>
        <w:t xml:space="preserve"> that the bills should be lower</w:t>
      </w:r>
      <w:r w:rsidR="00AF192E">
        <w:rPr>
          <w:sz w:val="24"/>
          <w:szCs w:val="24"/>
        </w:rPr>
        <w:t xml:space="preserve">.  </w:t>
      </w:r>
    </w:p>
    <w:p w:rsidR="001E6E72" w:rsidRDefault="001E6E72" w:rsidP="00AF192E">
      <w:pPr>
        <w:pStyle w:val="BodyText"/>
        <w:jc w:val="left"/>
        <w:rPr>
          <w:sz w:val="24"/>
          <w:szCs w:val="24"/>
        </w:rPr>
      </w:pPr>
    </w:p>
    <w:p w:rsidR="00F57008" w:rsidRPr="00F57008" w:rsidRDefault="001E6E72" w:rsidP="001E6E72">
      <w:pPr>
        <w:pStyle w:val="BodyText"/>
        <w:ind w:firstLine="1440"/>
        <w:jc w:val="left"/>
        <w:rPr>
          <w:sz w:val="24"/>
          <w:szCs w:val="24"/>
        </w:rPr>
      </w:pPr>
      <w:r>
        <w:rPr>
          <w:sz w:val="24"/>
          <w:szCs w:val="24"/>
        </w:rPr>
        <w:lastRenderedPageBreak/>
        <w:t>Complainant</w:t>
      </w:r>
      <w:r w:rsidR="001E0B58">
        <w:rPr>
          <w:sz w:val="24"/>
          <w:szCs w:val="24"/>
        </w:rPr>
        <w:t xml:space="preserve"> provided no evidence other than his opinion as a basis for why the recorded consumption should be reduced.  </w:t>
      </w:r>
      <w:r w:rsidR="00AF192E">
        <w:rPr>
          <w:sz w:val="24"/>
          <w:szCs w:val="24"/>
        </w:rPr>
        <w:t xml:space="preserve">In the absence of stronger evidence to the contrary, Complainant is unable to carry or meet </w:t>
      </w:r>
      <w:r w:rsidR="00205CC7">
        <w:rPr>
          <w:sz w:val="24"/>
          <w:szCs w:val="24"/>
        </w:rPr>
        <w:t>the</w:t>
      </w:r>
      <w:r w:rsidR="00AF192E">
        <w:rPr>
          <w:sz w:val="24"/>
          <w:szCs w:val="24"/>
        </w:rPr>
        <w:t xml:space="preserve"> burden to show the natural gas utility acted in a manner that was inappropriate or contrary to the regulations.  </w:t>
      </w:r>
      <w:r w:rsidR="00F57008" w:rsidRPr="00F57008">
        <w:rPr>
          <w:sz w:val="24"/>
          <w:szCs w:val="24"/>
        </w:rPr>
        <w:t>In addition, it should be noted Complainant has made only three payments to Respondent s</w:t>
      </w:r>
      <w:r w:rsidR="00F57008" w:rsidRPr="00F57008">
        <w:rPr>
          <w:spacing w:val="-3"/>
          <w:sz w:val="24"/>
          <w:szCs w:val="24"/>
        </w:rPr>
        <w:t xml:space="preserve">ince opening an account in March 2007: on September 26, 2007; on May 5, 2008; and on June 12, 2008.  </w:t>
      </w:r>
    </w:p>
    <w:p w:rsidR="001579F8" w:rsidRDefault="001579F8" w:rsidP="001E6E72">
      <w:pPr>
        <w:pStyle w:val="BodyText"/>
        <w:ind w:firstLine="1440"/>
        <w:jc w:val="left"/>
        <w:rPr>
          <w:sz w:val="24"/>
          <w:szCs w:val="24"/>
        </w:rPr>
      </w:pPr>
    </w:p>
    <w:p w:rsidR="00AF192E" w:rsidRPr="006E5FE7" w:rsidRDefault="00AF192E" w:rsidP="00AF192E">
      <w:pPr>
        <w:pStyle w:val="BodyText"/>
        <w:ind w:firstLine="1440"/>
        <w:jc w:val="left"/>
        <w:outlineLvl w:val="0"/>
        <w:rPr>
          <w:sz w:val="24"/>
          <w:szCs w:val="24"/>
        </w:rPr>
      </w:pPr>
      <w:r w:rsidRPr="006E5FE7">
        <w:rPr>
          <w:sz w:val="24"/>
          <w:szCs w:val="24"/>
        </w:rPr>
        <w:t xml:space="preserve">Accordingly the complaint is dismissed in the ordering paragraph below. </w:t>
      </w:r>
    </w:p>
    <w:p w:rsidR="00205CC7" w:rsidRDefault="00205CC7" w:rsidP="00AF192E">
      <w:pPr>
        <w:spacing w:line="360" w:lineRule="auto"/>
        <w:jc w:val="center"/>
        <w:rPr>
          <w:u w:val="single"/>
        </w:rPr>
      </w:pPr>
    </w:p>
    <w:p w:rsidR="00AF192E" w:rsidRPr="00EA1625" w:rsidRDefault="00AF192E" w:rsidP="00AF192E">
      <w:pPr>
        <w:spacing w:line="360" w:lineRule="auto"/>
        <w:jc w:val="center"/>
        <w:rPr>
          <w:u w:val="single"/>
        </w:rPr>
      </w:pPr>
      <w:r w:rsidRPr="00EA1625">
        <w:rPr>
          <w:u w:val="single"/>
        </w:rPr>
        <w:t>CONCLUSIONS OF LAW</w:t>
      </w:r>
    </w:p>
    <w:p w:rsidR="00AF192E" w:rsidRPr="00EA1625" w:rsidRDefault="00AF192E" w:rsidP="00AF192E">
      <w:pPr>
        <w:spacing w:line="360" w:lineRule="auto"/>
        <w:ind w:firstLine="1440"/>
      </w:pPr>
    </w:p>
    <w:p w:rsidR="00AF192E" w:rsidRPr="00EA1625" w:rsidRDefault="00AF192E" w:rsidP="00AF192E">
      <w:pPr>
        <w:numPr>
          <w:ilvl w:val="0"/>
          <w:numId w:val="1"/>
        </w:numPr>
        <w:tabs>
          <w:tab w:val="clear" w:pos="900"/>
          <w:tab w:val="num" w:pos="2160"/>
        </w:tabs>
        <w:spacing w:line="360" w:lineRule="auto"/>
        <w:ind w:left="0" w:firstLine="1440"/>
      </w:pPr>
      <w:r w:rsidRPr="00EA1625">
        <w:t xml:space="preserve">The Commission has jurisdiction over the parties and the subject matter of this proceeding.  66 </w:t>
      </w:r>
      <w:smartTag w:uri="urn:schemas-microsoft-com:office:smarttags" w:element="place">
        <w:smartTag w:uri="urn:schemas-microsoft-com:office:smarttags" w:element="State">
          <w:r w:rsidRPr="00EA1625">
            <w:t>Pa.</w:t>
          </w:r>
        </w:smartTag>
      </w:smartTag>
      <w:r w:rsidRPr="00EA1625">
        <w:t xml:space="preserve"> C.S. §701.</w:t>
      </w:r>
    </w:p>
    <w:p w:rsidR="00AF192E" w:rsidRPr="00EA1625" w:rsidRDefault="00AF192E" w:rsidP="00AF192E">
      <w:pPr>
        <w:tabs>
          <w:tab w:val="num" w:pos="2160"/>
        </w:tabs>
        <w:spacing w:line="360" w:lineRule="auto"/>
        <w:ind w:firstLine="1260"/>
      </w:pPr>
    </w:p>
    <w:p w:rsidR="00AF192E" w:rsidRPr="00223A5B" w:rsidRDefault="00AF192E" w:rsidP="00AF192E">
      <w:pPr>
        <w:spacing w:line="360" w:lineRule="auto"/>
      </w:pPr>
      <w:r w:rsidRPr="00EA1625">
        <w:tab/>
      </w:r>
      <w:r w:rsidRPr="00EA1625">
        <w:tab/>
        <w:t>2.</w:t>
      </w:r>
      <w:r w:rsidRPr="00EA1625">
        <w:tab/>
      </w:r>
      <w:r>
        <w:t>Complainant</w:t>
      </w:r>
      <w:r w:rsidRPr="00EA1625">
        <w:t xml:space="preserve"> carries the burden of proving </w:t>
      </w:r>
      <w:r>
        <w:t>Respondent improperly charged Complainant for natural gas service which Complainant did not use</w:t>
      </w:r>
      <w:r w:rsidRPr="00EA1625">
        <w:t xml:space="preserve">.  </w:t>
      </w:r>
      <w:r w:rsidRPr="00223A5B">
        <w:t xml:space="preserve">66 </w:t>
      </w:r>
      <w:smartTag w:uri="urn:schemas-microsoft-com:office:smarttags" w:element="State">
        <w:smartTag w:uri="urn:schemas-microsoft-com:office:smarttags" w:element="place">
          <w:r w:rsidRPr="00223A5B">
            <w:t>Pa.</w:t>
          </w:r>
        </w:smartTag>
      </w:smartTag>
      <w:r>
        <w:t xml:space="preserve"> </w:t>
      </w:r>
      <w:r w:rsidRPr="00223A5B">
        <w:t>C.S.A. §332(a).</w:t>
      </w:r>
    </w:p>
    <w:p w:rsidR="00AF192E" w:rsidRPr="00EA1625" w:rsidRDefault="00AF192E" w:rsidP="00AF192E">
      <w:pPr>
        <w:spacing w:line="360" w:lineRule="auto"/>
      </w:pPr>
    </w:p>
    <w:p w:rsidR="00AF192E" w:rsidRDefault="00AF192E" w:rsidP="00AF192E">
      <w:pPr>
        <w:pStyle w:val="FootnoteText"/>
        <w:spacing w:line="360" w:lineRule="auto"/>
        <w:rPr>
          <w:sz w:val="24"/>
          <w:szCs w:val="24"/>
        </w:rPr>
      </w:pPr>
      <w:r w:rsidRPr="00EA1625">
        <w:rPr>
          <w:sz w:val="24"/>
          <w:szCs w:val="24"/>
        </w:rPr>
        <w:tab/>
      </w:r>
      <w:r w:rsidRPr="00EA1625">
        <w:rPr>
          <w:sz w:val="24"/>
          <w:szCs w:val="24"/>
        </w:rPr>
        <w:tab/>
        <w:t>3.</w:t>
      </w:r>
      <w:r w:rsidRPr="00EA1625">
        <w:rPr>
          <w:sz w:val="24"/>
          <w:szCs w:val="24"/>
        </w:rPr>
        <w:tab/>
      </w:r>
      <w:r>
        <w:rPr>
          <w:sz w:val="24"/>
          <w:szCs w:val="24"/>
        </w:rPr>
        <w:t xml:space="preserve">Respondent appropriately charged Complainant for natural gas service used in Complainant’s residence for costs incurred at the residence </w:t>
      </w:r>
      <w:r w:rsidR="0046716A">
        <w:rPr>
          <w:sz w:val="24"/>
          <w:szCs w:val="24"/>
        </w:rPr>
        <w:t xml:space="preserve">and </w:t>
      </w:r>
      <w:r>
        <w:rPr>
          <w:sz w:val="24"/>
          <w:szCs w:val="24"/>
        </w:rPr>
        <w:t xml:space="preserve">in a manner consistent with Respondent’s approved tariff. </w:t>
      </w:r>
    </w:p>
    <w:p w:rsidR="00AF192E" w:rsidRPr="00F10967" w:rsidRDefault="00AF192E" w:rsidP="00AF192E">
      <w:pPr>
        <w:pStyle w:val="FootnoteText"/>
        <w:spacing w:line="360" w:lineRule="auto"/>
        <w:rPr>
          <w:sz w:val="24"/>
          <w:szCs w:val="24"/>
        </w:rPr>
      </w:pPr>
    </w:p>
    <w:p w:rsidR="00AF192E" w:rsidRPr="00F10967" w:rsidRDefault="00AF192E" w:rsidP="00AF192E">
      <w:pPr>
        <w:pStyle w:val="FootnoteText"/>
        <w:spacing w:line="360" w:lineRule="auto"/>
        <w:rPr>
          <w:sz w:val="24"/>
          <w:szCs w:val="24"/>
        </w:rPr>
      </w:pPr>
      <w:r w:rsidRPr="00F10967">
        <w:rPr>
          <w:sz w:val="24"/>
          <w:szCs w:val="24"/>
        </w:rPr>
        <w:tab/>
      </w:r>
      <w:r w:rsidRPr="00F10967">
        <w:rPr>
          <w:sz w:val="24"/>
          <w:szCs w:val="24"/>
        </w:rPr>
        <w:tab/>
        <w:t>4.</w:t>
      </w:r>
      <w:r w:rsidRPr="00F10967">
        <w:rPr>
          <w:sz w:val="24"/>
          <w:szCs w:val="24"/>
        </w:rPr>
        <w:tab/>
        <w:t xml:space="preserve">Complainant failed to meet the burden of proving Respondent improperly charged Complainant for natural gas service which Complainant did not use.  </w:t>
      </w:r>
    </w:p>
    <w:p w:rsidR="00AF192E" w:rsidRPr="00F10967" w:rsidRDefault="00AF192E" w:rsidP="00AF192E">
      <w:pPr>
        <w:spacing w:line="360" w:lineRule="auto"/>
      </w:pPr>
      <w:r w:rsidRPr="00F10967">
        <w:tab/>
      </w:r>
    </w:p>
    <w:p w:rsidR="00AF192E" w:rsidRDefault="00E9799A" w:rsidP="00AF192E">
      <w:pPr>
        <w:spacing w:line="360" w:lineRule="auto"/>
        <w:jc w:val="center"/>
        <w:outlineLvl w:val="0"/>
        <w:rPr>
          <w:u w:val="single"/>
        </w:rPr>
      </w:pPr>
      <w:r>
        <w:rPr>
          <w:u w:val="single"/>
        </w:rPr>
        <w:br w:type="page"/>
      </w:r>
      <w:r w:rsidR="00AF192E" w:rsidRPr="00EA1625">
        <w:rPr>
          <w:u w:val="single"/>
        </w:rPr>
        <w:lastRenderedPageBreak/>
        <w:t>ORDER</w:t>
      </w:r>
    </w:p>
    <w:p w:rsidR="00AF192E" w:rsidRPr="00EA1625" w:rsidRDefault="00AF192E" w:rsidP="00AF192E">
      <w:pPr>
        <w:spacing w:line="360" w:lineRule="auto"/>
        <w:jc w:val="center"/>
        <w:rPr>
          <w:u w:val="single"/>
        </w:rPr>
      </w:pPr>
    </w:p>
    <w:p w:rsidR="00AF192E" w:rsidRPr="00EA1625" w:rsidRDefault="00AF192E" w:rsidP="00AF192E">
      <w:pPr>
        <w:tabs>
          <w:tab w:val="num" w:pos="2160"/>
        </w:tabs>
        <w:spacing w:line="360" w:lineRule="auto"/>
        <w:rPr>
          <w:u w:val="single"/>
        </w:rPr>
      </w:pPr>
    </w:p>
    <w:p w:rsidR="00AF192E" w:rsidRPr="00EA1625" w:rsidRDefault="00AF192E" w:rsidP="00AF192E">
      <w:pPr>
        <w:tabs>
          <w:tab w:val="num" w:pos="2160"/>
        </w:tabs>
        <w:spacing w:line="360" w:lineRule="auto"/>
        <w:ind w:firstLine="1440"/>
      </w:pPr>
      <w:r w:rsidRPr="00EA1625">
        <w:t xml:space="preserve">THEREFORE, </w:t>
      </w:r>
    </w:p>
    <w:p w:rsidR="00AF192E" w:rsidRPr="00EA1625" w:rsidRDefault="00AF192E" w:rsidP="00AF192E">
      <w:pPr>
        <w:tabs>
          <w:tab w:val="num" w:pos="2160"/>
        </w:tabs>
        <w:spacing w:line="360" w:lineRule="auto"/>
      </w:pPr>
    </w:p>
    <w:p w:rsidR="00AF192E" w:rsidRPr="00EA1625" w:rsidRDefault="00AF192E" w:rsidP="00AF192E">
      <w:pPr>
        <w:tabs>
          <w:tab w:val="num" w:pos="2160"/>
        </w:tabs>
        <w:spacing w:line="360" w:lineRule="auto"/>
        <w:ind w:firstLine="1440"/>
        <w:outlineLvl w:val="0"/>
      </w:pPr>
      <w:r w:rsidRPr="00EA1625">
        <w:t>IT IS ORDERED:</w:t>
      </w:r>
    </w:p>
    <w:p w:rsidR="00AF192E" w:rsidRPr="00EA1625" w:rsidRDefault="00AF192E" w:rsidP="00AF192E">
      <w:pPr>
        <w:tabs>
          <w:tab w:val="num" w:pos="2160"/>
        </w:tabs>
        <w:spacing w:line="360" w:lineRule="auto"/>
      </w:pPr>
    </w:p>
    <w:p w:rsidR="00AF192E" w:rsidRDefault="00AF192E" w:rsidP="00AF192E">
      <w:pPr>
        <w:tabs>
          <w:tab w:val="num" w:pos="2160"/>
        </w:tabs>
        <w:spacing w:line="360" w:lineRule="auto"/>
        <w:ind w:firstLine="1440"/>
      </w:pPr>
      <w:r w:rsidRPr="00EA1625">
        <w:t>Th</w:t>
      </w:r>
      <w:r>
        <w:t>at th</w:t>
      </w:r>
      <w:r w:rsidRPr="00EA1625">
        <w:t xml:space="preserve">e </w:t>
      </w:r>
      <w:r>
        <w:t xml:space="preserve">complaint of </w:t>
      </w:r>
      <w:r w:rsidR="000C6105">
        <w:t>Greg Croft</w:t>
      </w:r>
      <w:r w:rsidRPr="000A4ECA">
        <w:t xml:space="preserve"> versus </w:t>
      </w:r>
      <w:r w:rsidR="000C6105">
        <w:t>the Peoples Natural Gas Company, d/b/a Dominion Peoples</w:t>
      </w:r>
      <w:r w:rsidR="00205CC7">
        <w:t xml:space="preserve"> </w:t>
      </w:r>
      <w:r>
        <w:t xml:space="preserve">at Docket No. </w:t>
      </w:r>
      <w:r w:rsidR="000C6105">
        <w:t>C</w:t>
      </w:r>
      <w:r w:rsidR="00205CC7">
        <w:t>-2009</w:t>
      </w:r>
      <w:r>
        <w:t>-2</w:t>
      </w:r>
      <w:r w:rsidR="000C6105">
        <w:t>129148</w:t>
      </w:r>
      <w:r>
        <w:t xml:space="preserve"> is hereby dismissed for the failure to satisfy the burden of proof.</w:t>
      </w:r>
    </w:p>
    <w:p w:rsidR="00AF192E" w:rsidRPr="00EA1625" w:rsidRDefault="00AF192E" w:rsidP="00AF192E">
      <w:pPr>
        <w:tabs>
          <w:tab w:val="num" w:pos="2160"/>
        </w:tabs>
        <w:spacing w:line="360" w:lineRule="auto"/>
        <w:ind w:firstLine="1440"/>
      </w:pPr>
    </w:p>
    <w:p w:rsidR="00AF192E" w:rsidRPr="00EA1625" w:rsidRDefault="00AF192E" w:rsidP="00AF192E">
      <w:pPr>
        <w:tabs>
          <w:tab w:val="num" w:pos="2160"/>
        </w:tabs>
        <w:spacing w:line="360" w:lineRule="auto"/>
        <w:ind w:firstLine="1440"/>
      </w:pPr>
      <w:r w:rsidRPr="00EA1625">
        <w:tab/>
        <w:t xml:space="preserve"> </w:t>
      </w:r>
    </w:p>
    <w:p w:rsidR="00AF192E" w:rsidRPr="00EA1625" w:rsidRDefault="00AF192E" w:rsidP="00AF192E">
      <w:pPr>
        <w:tabs>
          <w:tab w:val="num" w:pos="2160"/>
          <w:tab w:val="left" w:pos="5048"/>
        </w:tabs>
      </w:pPr>
      <w:r w:rsidRPr="00EA1625">
        <w:t>Date:</w:t>
      </w:r>
      <w:r>
        <w:t xml:space="preserve">  </w:t>
      </w:r>
      <w:r w:rsidR="001A5BC2">
        <w:rPr>
          <w:u w:val="single"/>
        </w:rPr>
        <w:t>March 2</w:t>
      </w:r>
      <w:r w:rsidR="00CF2E9A">
        <w:rPr>
          <w:u w:val="single"/>
        </w:rPr>
        <w:t>2</w:t>
      </w:r>
      <w:r w:rsidR="000C6105">
        <w:rPr>
          <w:u w:val="single"/>
        </w:rPr>
        <w:t>, 2010</w:t>
      </w:r>
      <w:r>
        <w:tab/>
      </w:r>
      <w:r w:rsidRPr="00EA1625">
        <w:t>______________________________</w:t>
      </w:r>
    </w:p>
    <w:p w:rsidR="00AF192E" w:rsidRPr="00EA1625" w:rsidRDefault="00AF192E" w:rsidP="00AF192E">
      <w:pPr>
        <w:tabs>
          <w:tab w:val="num" w:pos="2160"/>
        </w:tabs>
      </w:pPr>
      <w:r w:rsidRPr="00EA1625">
        <w:tab/>
      </w:r>
      <w:r w:rsidRPr="00EA1625">
        <w:tab/>
      </w:r>
      <w:r w:rsidRPr="00EA1625">
        <w:tab/>
      </w:r>
      <w:r w:rsidRPr="00EA1625">
        <w:tab/>
      </w:r>
      <w:r w:rsidRPr="00EA1625">
        <w:tab/>
        <w:t>Katrina L. Dunderdale</w:t>
      </w:r>
    </w:p>
    <w:p w:rsidR="000E6AC8" w:rsidRPr="00EA1625" w:rsidRDefault="00943ED6" w:rsidP="00943ED6">
      <w:pPr>
        <w:tabs>
          <w:tab w:val="num" w:pos="2160"/>
        </w:tabs>
      </w:pPr>
      <w:r>
        <w:tab/>
      </w:r>
      <w:r>
        <w:tab/>
      </w:r>
      <w:r>
        <w:tab/>
      </w:r>
      <w:r>
        <w:tab/>
      </w:r>
      <w:r>
        <w:tab/>
        <w:t>Administrative Law Judge</w:t>
      </w:r>
    </w:p>
    <w:sectPr w:rsidR="000E6AC8" w:rsidRPr="00EA1625" w:rsidSect="00F6612B">
      <w:footerReference w:type="even" r:id="rId8"/>
      <w:footerReference w:type="default" r:id="rId9"/>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FAB" w:rsidRDefault="00587FAB">
      <w:r>
        <w:separator/>
      </w:r>
    </w:p>
  </w:endnote>
  <w:endnote w:type="continuationSeparator" w:id="0">
    <w:p w:rsidR="00587FAB" w:rsidRDefault="00587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EE" w:rsidRDefault="00A30FDB"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C53140">
      <w:rPr>
        <w:rStyle w:val="PageNumber"/>
        <w:noProof/>
      </w:rPr>
      <w:t>7</w:t>
    </w:r>
    <w:r>
      <w:rPr>
        <w:rStyle w:val="PageNumber"/>
      </w:rPr>
      <w:fldChar w:fldCharType="end"/>
    </w:r>
  </w:p>
  <w:p w:rsidR="002C71EE" w:rsidRDefault="002C7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EE" w:rsidRPr="0014242F" w:rsidRDefault="00A30FDB"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943ED6">
      <w:rPr>
        <w:rStyle w:val="PageNumber"/>
        <w:noProof/>
        <w:sz w:val="20"/>
        <w:szCs w:val="20"/>
      </w:rPr>
      <w:t>9</w:t>
    </w:r>
    <w:r w:rsidRPr="0014242F">
      <w:rPr>
        <w:rStyle w:val="PageNumber"/>
        <w:sz w:val="20"/>
        <w:szCs w:val="20"/>
      </w:rPr>
      <w:fldChar w:fldCharType="end"/>
    </w:r>
  </w:p>
  <w:p w:rsidR="002C71EE" w:rsidRDefault="002C7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FAB" w:rsidRDefault="00587FAB">
      <w:r>
        <w:separator/>
      </w:r>
    </w:p>
  </w:footnote>
  <w:footnote w:type="continuationSeparator" w:id="0">
    <w:p w:rsidR="00587FAB" w:rsidRDefault="00587FAB">
      <w:r>
        <w:continuationSeparator/>
      </w:r>
    </w:p>
  </w:footnote>
  <w:footnote w:id="1">
    <w:p w:rsidR="00A112F1" w:rsidRDefault="00A112F1" w:rsidP="00A112F1">
      <w:pPr>
        <w:pStyle w:val="FootnoteText"/>
        <w:ind w:firstLine="720"/>
      </w:pPr>
      <w:r>
        <w:rPr>
          <w:rStyle w:val="FootnoteReference"/>
        </w:rPr>
        <w:footnoteRef/>
      </w:r>
      <w:r>
        <w:t xml:space="preserve"> </w:t>
      </w:r>
      <w:r>
        <w:tab/>
        <w:t>Or, “thousand cubic feet”.</w:t>
      </w:r>
    </w:p>
  </w:footnote>
  <w:footnote w:id="2">
    <w:p w:rsidR="003B40DA" w:rsidRDefault="003B40DA" w:rsidP="005F0F52">
      <w:pPr>
        <w:pStyle w:val="FootnoteText"/>
        <w:ind w:firstLine="720"/>
      </w:pPr>
      <w:r>
        <w:rPr>
          <w:rStyle w:val="FootnoteReference"/>
        </w:rPr>
        <w:footnoteRef/>
      </w:r>
      <w:r>
        <w:t xml:space="preserve"> </w:t>
      </w:r>
      <w:r>
        <w:tab/>
      </w:r>
      <w:r w:rsidRPr="003B40DA">
        <w:t>See 66 Pa. C.S.A. §1501.</w:t>
      </w:r>
    </w:p>
    <w:p w:rsidR="005F0F52" w:rsidRPr="003B40DA" w:rsidRDefault="005F0F52" w:rsidP="005F0F52">
      <w:pPr>
        <w:pStyle w:val="FootnoteText"/>
        <w:ind w:firstLine="720"/>
      </w:pPr>
    </w:p>
  </w:footnote>
  <w:footnote w:id="3">
    <w:p w:rsidR="00741D6F" w:rsidRDefault="00741D6F" w:rsidP="005F0F52">
      <w:pPr>
        <w:pStyle w:val="FootnoteText"/>
        <w:ind w:firstLine="720"/>
      </w:pPr>
      <w:r w:rsidRPr="00741D6F">
        <w:rPr>
          <w:rStyle w:val="FootnoteReference"/>
        </w:rPr>
        <w:footnoteRef/>
      </w:r>
      <w:r w:rsidRPr="00741D6F">
        <w:t xml:space="preserve"> </w:t>
      </w:r>
      <w:r w:rsidRPr="00741D6F">
        <w:tab/>
        <w:t>See 66 Pa. C.S.A. §1507.</w:t>
      </w:r>
    </w:p>
    <w:p w:rsidR="005F0F52" w:rsidRPr="00741D6F" w:rsidRDefault="005F0F52" w:rsidP="005F0F52">
      <w:pPr>
        <w:pStyle w:val="FootnoteText"/>
        <w:ind w:firstLine="720"/>
      </w:pPr>
    </w:p>
  </w:footnote>
  <w:footnote w:id="4">
    <w:p w:rsidR="00D22A37" w:rsidRDefault="00D22A37" w:rsidP="005F0F52">
      <w:pPr>
        <w:pStyle w:val="FootnoteText"/>
        <w:ind w:firstLine="720"/>
      </w:pPr>
      <w:r>
        <w:rPr>
          <w:rStyle w:val="FootnoteReference"/>
        </w:rPr>
        <w:footnoteRef/>
      </w:r>
      <w:r>
        <w:t xml:space="preserve"> </w:t>
      </w:r>
      <w:r>
        <w:tab/>
        <w:t xml:space="preserve">See 52 Pa. Code §56.11, </w:t>
      </w:r>
      <w:r w:rsidRPr="00D22A37">
        <w:t>§56.12(2)</w:t>
      </w:r>
      <w:r>
        <w:t>, and §56.12(4)</w:t>
      </w:r>
      <w:r w:rsidRPr="00D22A37">
        <w:t>.</w:t>
      </w:r>
    </w:p>
    <w:p w:rsidR="005F0F52" w:rsidRDefault="005F0F52" w:rsidP="005F0F52">
      <w:pPr>
        <w:pStyle w:val="FootnoteText"/>
        <w:ind w:firstLine="720"/>
      </w:pPr>
    </w:p>
  </w:footnote>
  <w:footnote w:id="5">
    <w:p w:rsidR="00D22A37" w:rsidRDefault="00D22A37" w:rsidP="005F0F52">
      <w:pPr>
        <w:pStyle w:val="FootnoteText"/>
        <w:ind w:firstLine="720"/>
      </w:pPr>
      <w:r w:rsidRPr="00D22A37">
        <w:rPr>
          <w:rStyle w:val="FootnoteReference"/>
        </w:rPr>
        <w:footnoteRef/>
      </w:r>
      <w:r w:rsidRPr="00D22A37">
        <w:t xml:space="preserve"> </w:t>
      </w:r>
      <w:r w:rsidRPr="00D22A37">
        <w:tab/>
        <w:t>See 52 Pa. Code §56.151(2).</w:t>
      </w:r>
    </w:p>
    <w:p w:rsidR="005F0F52" w:rsidRPr="00D22A37" w:rsidRDefault="005F0F52" w:rsidP="005F0F52">
      <w:pPr>
        <w:pStyle w:val="FootnoteText"/>
        <w:ind w:firstLine="720"/>
      </w:pPr>
    </w:p>
  </w:footnote>
  <w:footnote w:id="6">
    <w:p w:rsidR="00846FA1" w:rsidRDefault="00846FA1" w:rsidP="005F0F52">
      <w:pPr>
        <w:pStyle w:val="FootnoteText"/>
        <w:ind w:firstLine="720"/>
      </w:pPr>
      <w:r>
        <w:rPr>
          <w:rStyle w:val="FootnoteReference"/>
        </w:rPr>
        <w:footnoteRef/>
      </w:r>
      <w:r>
        <w:t xml:space="preserve"> </w:t>
      </w:r>
      <w:r>
        <w:tab/>
        <w:t xml:space="preserve">See </w:t>
      </w:r>
      <w:r w:rsidRPr="004E7308">
        <w:t>66 Pa. C.S. §332(a).</w:t>
      </w:r>
    </w:p>
    <w:p w:rsidR="005F0F52" w:rsidRDefault="005F0F52" w:rsidP="005F0F52">
      <w:pPr>
        <w:pStyle w:val="FootnoteText"/>
        <w:ind w:firstLine="720"/>
      </w:pPr>
    </w:p>
  </w:footnote>
  <w:footnote w:id="7">
    <w:p w:rsidR="009F7A24" w:rsidRDefault="009F7A24" w:rsidP="009F7A24">
      <w:pPr>
        <w:pStyle w:val="FootnoteText"/>
        <w:ind w:firstLine="720"/>
      </w:pPr>
      <w:r>
        <w:rPr>
          <w:rStyle w:val="FootnoteReference"/>
        </w:rPr>
        <w:footnoteRef/>
      </w:r>
      <w:r>
        <w:t xml:space="preserve"> </w:t>
      </w:r>
      <w:r>
        <w:tab/>
        <w:t xml:space="preserve">See </w:t>
      </w:r>
      <w:r>
        <w:rPr>
          <w:u w:val="single"/>
        </w:rPr>
        <w:t xml:space="preserve">Norfolk </w:t>
      </w:r>
      <w:r w:rsidRPr="006E5FE7">
        <w:rPr>
          <w:u w:val="single"/>
        </w:rPr>
        <w:t xml:space="preserve">&amp; Western Ry. Company v. </w:t>
      </w:r>
      <w:smartTag w:uri="urn:schemas-microsoft-com:office:smarttags" w:element="State">
        <w:r w:rsidRPr="006E5FE7">
          <w:rPr>
            <w:u w:val="single"/>
          </w:rPr>
          <w:t>Pennsylvania</w:t>
        </w:r>
      </w:smartTag>
      <w:r w:rsidRPr="006E5FE7">
        <w:rPr>
          <w:u w:val="single"/>
        </w:rPr>
        <w:t xml:space="preserve"> Public Utility Commission</w:t>
      </w:r>
      <w:r w:rsidRPr="006E5FE7">
        <w:t xml:space="preserve">, 489 </w:t>
      </w:r>
      <w:smartTag w:uri="urn:schemas-microsoft-com:office:smarttags" w:element="State">
        <w:r w:rsidRPr="006E5FE7">
          <w:t>Pa.</w:t>
        </w:r>
      </w:smartTag>
      <w:r w:rsidRPr="006E5FE7">
        <w:t xml:space="preserve"> 109, 413 A.2d 1037 (1980); </w:t>
      </w:r>
      <w:r w:rsidRPr="006E5FE7">
        <w:rPr>
          <w:u w:val="single"/>
        </w:rPr>
        <w:t>Erie Resistor Corp. v. Unemployment Board of Review</w:t>
      </w:r>
      <w:r w:rsidRPr="006E5FE7">
        <w:t xml:space="preserve">, </w:t>
      </w:r>
      <w:smartTag w:uri="urn:schemas-microsoft-com:office:smarttags" w:element="Street">
        <w:smartTag w:uri="urn:schemas-microsoft-com:office:smarttags" w:element="address">
          <w:r w:rsidRPr="006E5FE7">
            <w:t>194 Pa. Superior Ct.</w:t>
          </w:r>
        </w:smartTag>
      </w:smartTag>
      <w:r w:rsidRPr="006E5FE7">
        <w:t xml:space="preserve"> 278, 166 A.2d 96 (1961); </w:t>
      </w:r>
      <w:r w:rsidRPr="006E5FE7">
        <w:rPr>
          <w:u w:val="single"/>
        </w:rPr>
        <w:t>Murphy v. Department of Public Welfare</w:t>
      </w:r>
      <w:r w:rsidRPr="006E5FE7">
        <w:t>, 480 A.2d 382 (</w:t>
      </w:r>
      <w:smartTag w:uri="urn:schemas-microsoft-com:office:smarttags" w:element="place">
        <w:smartTag w:uri="urn:schemas-microsoft-com:office:smarttags" w:element="State">
          <w:r w:rsidRPr="006E5FE7">
            <w:t>Pa.</w:t>
          </w:r>
        </w:smartTag>
      </w:smartTag>
      <w:r w:rsidRPr="006E5FE7">
        <w:t xml:space="preserve"> Cmwlth. 1984).</w:t>
      </w:r>
    </w:p>
    <w:p w:rsidR="009F7A24" w:rsidRDefault="009F7A24" w:rsidP="009F7A24">
      <w:pPr>
        <w:pStyle w:val="FootnoteText"/>
        <w:ind w:firstLine="720"/>
      </w:pPr>
    </w:p>
  </w:footnote>
  <w:footnote w:id="8">
    <w:p w:rsidR="000D74CE" w:rsidRPr="000D74CE" w:rsidRDefault="000D74CE" w:rsidP="005F0F52">
      <w:pPr>
        <w:pStyle w:val="FootnoteText"/>
        <w:ind w:firstLine="720"/>
      </w:pPr>
      <w:r>
        <w:rPr>
          <w:rStyle w:val="FootnoteReference"/>
        </w:rPr>
        <w:footnoteRef/>
      </w:r>
      <w:r>
        <w:t xml:space="preserve"> </w:t>
      </w:r>
      <w:r>
        <w:tab/>
      </w:r>
      <w:r w:rsidRPr="000D74CE">
        <w:t xml:space="preserve">See </w:t>
      </w:r>
      <w:r w:rsidRPr="000D74CE">
        <w:rPr>
          <w:u w:val="single"/>
        </w:rPr>
        <w:t>Replogle v Pennsylvania Electric Company</w:t>
      </w:r>
      <w:r w:rsidRPr="000D74CE">
        <w:t xml:space="preserve">, 54 Pa. PUC 528 (1980).  See also </w:t>
      </w:r>
      <w:r w:rsidRPr="000D74CE">
        <w:rPr>
          <w:u w:val="single"/>
        </w:rPr>
        <w:t>Waldron v. Philadelphia Electric Co.</w:t>
      </w:r>
      <w:r w:rsidRPr="000D74CE">
        <w:t>, 54 Pa. PUC 98 (1980).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5217"/>
    <w:rsid w:val="00014CD9"/>
    <w:rsid w:val="00015E77"/>
    <w:rsid w:val="000202E4"/>
    <w:rsid w:val="00020B78"/>
    <w:rsid w:val="000218E1"/>
    <w:rsid w:val="00023CF5"/>
    <w:rsid w:val="0002562B"/>
    <w:rsid w:val="00032447"/>
    <w:rsid w:val="0003254A"/>
    <w:rsid w:val="0003345F"/>
    <w:rsid w:val="00034D3C"/>
    <w:rsid w:val="0003581E"/>
    <w:rsid w:val="00036E7E"/>
    <w:rsid w:val="0003750C"/>
    <w:rsid w:val="0004246D"/>
    <w:rsid w:val="00042684"/>
    <w:rsid w:val="00047CF1"/>
    <w:rsid w:val="00050D6D"/>
    <w:rsid w:val="00051FFD"/>
    <w:rsid w:val="000522FF"/>
    <w:rsid w:val="000539E5"/>
    <w:rsid w:val="0006370C"/>
    <w:rsid w:val="00064E1B"/>
    <w:rsid w:val="00065B67"/>
    <w:rsid w:val="00066099"/>
    <w:rsid w:val="00067D45"/>
    <w:rsid w:val="00067DC6"/>
    <w:rsid w:val="00073A29"/>
    <w:rsid w:val="00081933"/>
    <w:rsid w:val="00086D0E"/>
    <w:rsid w:val="000876AA"/>
    <w:rsid w:val="00091434"/>
    <w:rsid w:val="000919E3"/>
    <w:rsid w:val="00092268"/>
    <w:rsid w:val="00094316"/>
    <w:rsid w:val="00094EC4"/>
    <w:rsid w:val="00095A48"/>
    <w:rsid w:val="000A46F6"/>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20FB"/>
    <w:rsid w:val="000D332F"/>
    <w:rsid w:val="000D4E83"/>
    <w:rsid w:val="000D74CE"/>
    <w:rsid w:val="000D7D68"/>
    <w:rsid w:val="000E0DDA"/>
    <w:rsid w:val="000E33AA"/>
    <w:rsid w:val="000E4C15"/>
    <w:rsid w:val="000E4D29"/>
    <w:rsid w:val="000E52DA"/>
    <w:rsid w:val="000E6AC8"/>
    <w:rsid w:val="000F0F3C"/>
    <w:rsid w:val="000F45A3"/>
    <w:rsid w:val="000F4D6B"/>
    <w:rsid w:val="000F746C"/>
    <w:rsid w:val="0010040A"/>
    <w:rsid w:val="00103215"/>
    <w:rsid w:val="00103B9D"/>
    <w:rsid w:val="0010437D"/>
    <w:rsid w:val="00104453"/>
    <w:rsid w:val="001044D8"/>
    <w:rsid w:val="00106746"/>
    <w:rsid w:val="001130C8"/>
    <w:rsid w:val="001140BC"/>
    <w:rsid w:val="001161AA"/>
    <w:rsid w:val="0011669D"/>
    <w:rsid w:val="0011788E"/>
    <w:rsid w:val="0012141F"/>
    <w:rsid w:val="00121AE5"/>
    <w:rsid w:val="0012397B"/>
    <w:rsid w:val="0012478B"/>
    <w:rsid w:val="00125933"/>
    <w:rsid w:val="00125CCD"/>
    <w:rsid w:val="00130536"/>
    <w:rsid w:val="00130E27"/>
    <w:rsid w:val="0013299A"/>
    <w:rsid w:val="001339E0"/>
    <w:rsid w:val="00133A47"/>
    <w:rsid w:val="00133B41"/>
    <w:rsid w:val="001354D6"/>
    <w:rsid w:val="00137307"/>
    <w:rsid w:val="001375AA"/>
    <w:rsid w:val="00142A80"/>
    <w:rsid w:val="00143FA7"/>
    <w:rsid w:val="00144748"/>
    <w:rsid w:val="001513EC"/>
    <w:rsid w:val="00152853"/>
    <w:rsid w:val="00153358"/>
    <w:rsid w:val="00153E19"/>
    <w:rsid w:val="00156938"/>
    <w:rsid w:val="00156A90"/>
    <w:rsid w:val="001579F8"/>
    <w:rsid w:val="00161DD4"/>
    <w:rsid w:val="001651EC"/>
    <w:rsid w:val="00165400"/>
    <w:rsid w:val="0016541B"/>
    <w:rsid w:val="00166791"/>
    <w:rsid w:val="00166F22"/>
    <w:rsid w:val="00167534"/>
    <w:rsid w:val="00172F8D"/>
    <w:rsid w:val="001762AD"/>
    <w:rsid w:val="001802CA"/>
    <w:rsid w:val="00182E52"/>
    <w:rsid w:val="00182EDA"/>
    <w:rsid w:val="00182F15"/>
    <w:rsid w:val="0018379D"/>
    <w:rsid w:val="00183AE1"/>
    <w:rsid w:val="00185EF9"/>
    <w:rsid w:val="00192495"/>
    <w:rsid w:val="00195561"/>
    <w:rsid w:val="001961FE"/>
    <w:rsid w:val="00196E40"/>
    <w:rsid w:val="001A10B8"/>
    <w:rsid w:val="001A5BC2"/>
    <w:rsid w:val="001A7B2A"/>
    <w:rsid w:val="001B02AE"/>
    <w:rsid w:val="001B3B0D"/>
    <w:rsid w:val="001B436F"/>
    <w:rsid w:val="001C3008"/>
    <w:rsid w:val="001C4EBC"/>
    <w:rsid w:val="001C5AD4"/>
    <w:rsid w:val="001C5F76"/>
    <w:rsid w:val="001C77BD"/>
    <w:rsid w:val="001D1DC6"/>
    <w:rsid w:val="001D5E87"/>
    <w:rsid w:val="001D67F3"/>
    <w:rsid w:val="001D6F49"/>
    <w:rsid w:val="001D7070"/>
    <w:rsid w:val="001D79FF"/>
    <w:rsid w:val="001E0B58"/>
    <w:rsid w:val="001E2C24"/>
    <w:rsid w:val="001E6E72"/>
    <w:rsid w:val="001F030C"/>
    <w:rsid w:val="001F20AC"/>
    <w:rsid w:val="001F2DB0"/>
    <w:rsid w:val="001F41BB"/>
    <w:rsid w:val="001F44B8"/>
    <w:rsid w:val="001F501B"/>
    <w:rsid w:val="00200ED0"/>
    <w:rsid w:val="00205CC7"/>
    <w:rsid w:val="00206B04"/>
    <w:rsid w:val="002075E6"/>
    <w:rsid w:val="00210334"/>
    <w:rsid w:val="00210460"/>
    <w:rsid w:val="0021131C"/>
    <w:rsid w:val="00212D2D"/>
    <w:rsid w:val="00214A19"/>
    <w:rsid w:val="002154B5"/>
    <w:rsid w:val="00216A05"/>
    <w:rsid w:val="0022141F"/>
    <w:rsid w:val="00223A5B"/>
    <w:rsid w:val="00230C81"/>
    <w:rsid w:val="0023235E"/>
    <w:rsid w:val="00236778"/>
    <w:rsid w:val="002379B2"/>
    <w:rsid w:val="0024228E"/>
    <w:rsid w:val="00244AD1"/>
    <w:rsid w:val="00244F10"/>
    <w:rsid w:val="00251BBF"/>
    <w:rsid w:val="002520A5"/>
    <w:rsid w:val="00254BFC"/>
    <w:rsid w:val="00254FD1"/>
    <w:rsid w:val="0025557F"/>
    <w:rsid w:val="00255813"/>
    <w:rsid w:val="00257459"/>
    <w:rsid w:val="0026028F"/>
    <w:rsid w:val="0026257D"/>
    <w:rsid w:val="00263EFE"/>
    <w:rsid w:val="00265108"/>
    <w:rsid w:val="0026526F"/>
    <w:rsid w:val="00271E72"/>
    <w:rsid w:val="00271FF1"/>
    <w:rsid w:val="002768A0"/>
    <w:rsid w:val="00277379"/>
    <w:rsid w:val="00280380"/>
    <w:rsid w:val="00280AF0"/>
    <w:rsid w:val="00283A3F"/>
    <w:rsid w:val="002867AD"/>
    <w:rsid w:val="0029002C"/>
    <w:rsid w:val="002904BB"/>
    <w:rsid w:val="00291636"/>
    <w:rsid w:val="00291917"/>
    <w:rsid w:val="00295403"/>
    <w:rsid w:val="00296B64"/>
    <w:rsid w:val="002A788C"/>
    <w:rsid w:val="002A78AC"/>
    <w:rsid w:val="002B433A"/>
    <w:rsid w:val="002B4996"/>
    <w:rsid w:val="002B4DFA"/>
    <w:rsid w:val="002C703F"/>
    <w:rsid w:val="002C71EE"/>
    <w:rsid w:val="002C7AB0"/>
    <w:rsid w:val="002D154F"/>
    <w:rsid w:val="002D29E7"/>
    <w:rsid w:val="002E0648"/>
    <w:rsid w:val="002E2B6E"/>
    <w:rsid w:val="002E49A8"/>
    <w:rsid w:val="002E597B"/>
    <w:rsid w:val="002E5A74"/>
    <w:rsid w:val="002E6B15"/>
    <w:rsid w:val="002F490A"/>
    <w:rsid w:val="002F4F6F"/>
    <w:rsid w:val="002F6CA8"/>
    <w:rsid w:val="002F6DFB"/>
    <w:rsid w:val="00302C62"/>
    <w:rsid w:val="00302D41"/>
    <w:rsid w:val="003057F2"/>
    <w:rsid w:val="00307FF8"/>
    <w:rsid w:val="00311588"/>
    <w:rsid w:val="003121E7"/>
    <w:rsid w:val="00324C80"/>
    <w:rsid w:val="003259BF"/>
    <w:rsid w:val="00325F65"/>
    <w:rsid w:val="00326C73"/>
    <w:rsid w:val="00330B01"/>
    <w:rsid w:val="0033183D"/>
    <w:rsid w:val="003360F0"/>
    <w:rsid w:val="00337340"/>
    <w:rsid w:val="0034231B"/>
    <w:rsid w:val="00342B49"/>
    <w:rsid w:val="00343D42"/>
    <w:rsid w:val="0034410D"/>
    <w:rsid w:val="0034692A"/>
    <w:rsid w:val="003603C7"/>
    <w:rsid w:val="00360ACF"/>
    <w:rsid w:val="00360EB9"/>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1096"/>
    <w:rsid w:val="00394A82"/>
    <w:rsid w:val="00394B1F"/>
    <w:rsid w:val="003A0C54"/>
    <w:rsid w:val="003A0D6B"/>
    <w:rsid w:val="003A551E"/>
    <w:rsid w:val="003A55A7"/>
    <w:rsid w:val="003A62C3"/>
    <w:rsid w:val="003B40DA"/>
    <w:rsid w:val="003B7783"/>
    <w:rsid w:val="003C13E7"/>
    <w:rsid w:val="003C181D"/>
    <w:rsid w:val="003C417D"/>
    <w:rsid w:val="003C7776"/>
    <w:rsid w:val="003D374F"/>
    <w:rsid w:val="003D3E20"/>
    <w:rsid w:val="003D500A"/>
    <w:rsid w:val="003D5173"/>
    <w:rsid w:val="003D54E7"/>
    <w:rsid w:val="003D67D8"/>
    <w:rsid w:val="003E20E4"/>
    <w:rsid w:val="003E2BB0"/>
    <w:rsid w:val="003E2D32"/>
    <w:rsid w:val="003E4EFE"/>
    <w:rsid w:val="003E60E7"/>
    <w:rsid w:val="003F1BC1"/>
    <w:rsid w:val="003F36D7"/>
    <w:rsid w:val="003F3929"/>
    <w:rsid w:val="003F5065"/>
    <w:rsid w:val="003F56DB"/>
    <w:rsid w:val="003F66F1"/>
    <w:rsid w:val="003F6E27"/>
    <w:rsid w:val="0040125C"/>
    <w:rsid w:val="00404DE8"/>
    <w:rsid w:val="0041637D"/>
    <w:rsid w:val="004201C6"/>
    <w:rsid w:val="00421585"/>
    <w:rsid w:val="004219BD"/>
    <w:rsid w:val="004247B1"/>
    <w:rsid w:val="00424E02"/>
    <w:rsid w:val="00424E72"/>
    <w:rsid w:val="004267EE"/>
    <w:rsid w:val="00430437"/>
    <w:rsid w:val="004306FB"/>
    <w:rsid w:val="004322BD"/>
    <w:rsid w:val="004340E3"/>
    <w:rsid w:val="00436F72"/>
    <w:rsid w:val="00440B6B"/>
    <w:rsid w:val="004451B4"/>
    <w:rsid w:val="004455C4"/>
    <w:rsid w:val="004624EF"/>
    <w:rsid w:val="00462770"/>
    <w:rsid w:val="0046290B"/>
    <w:rsid w:val="004635FD"/>
    <w:rsid w:val="00465667"/>
    <w:rsid w:val="00465878"/>
    <w:rsid w:val="0046652F"/>
    <w:rsid w:val="0046716A"/>
    <w:rsid w:val="00467327"/>
    <w:rsid w:val="00470AFC"/>
    <w:rsid w:val="00471A85"/>
    <w:rsid w:val="0047283C"/>
    <w:rsid w:val="00474C53"/>
    <w:rsid w:val="00476080"/>
    <w:rsid w:val="00483A4C"/>
    <w:rsid w:val="00487AE0"/>
    <w:rsid w:val="004970DA"/>
    <w:rsid w:val="00497A4D"/>
    <w:rsid w:val="004A26B6"/>
    <w:rsid w:val="004A6673"/>
    <w:rsid w:val="004B34C6"/>
    <w:rsid w:val="004B422F"/>
    <w:rsid w:val="004B4B53"/>
    <w:rsid w:val="004B4C8B"/>
    <w:rsid w:val="004B6FAD"/>
    <w:rsid w:val="004C2B63"/>
    <w:rsid w:val="004C5FA9"/>
    <w:rsid w:val="004C6202"/>
    <w:rsid w:val="004D3A14"/>
    <w:rsid w:val="004D454A"/>
    <w:rsid w:val="004D6DDC"/>
    <w:rsid w:val="004D75D5"/>
    <w:rsid w:val="004D7E2F"/>
    <w:rsid w:val="004E01BD"/>
    <w:rsid w:val="004E0BE2"/>
    <w:rsid w:val="004E3B20"/>
    <w:rsid w:val="004E3E03"/>
    <w:rsid w:val="004E4252"/>
    <w:rsid w:val="004E605F"/>
    <w:rsid w:val="004F40E1"/>
    <w:rsid w:val="004F42F8"/>
    <w:rsid w:val="0050181E"/>
    <w:rsid w:val="0050497A"/>
    <w:rsid w:val="00504A1A"/>
    <w:rsid w:val="00507E5B"/>
    <w:rsid w:val="00507ECF"/>
    <w:rsid w:val="00510646"/>
    <w:rsid w:val="00517217"/>
    <w:rsid w:val="00522985"/>
    <w:rsid w:val="005243F8"/>
    <w:rsid w:val="00526435"/>
    <w:rsid w:val="005267BB"/>
    <w:rsid w:val="005317C7"/>
    <w:rsid w:val="005326CD"/>
    <w:rsid w:val="00532876"/>
    <w:rsid w:val="00532900"/>
    <w:rsid w:val="0053390E"/>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3142"/>
    <w:rsid w:val="005637DF"/>
    <w:rsid w:val="00563FC3"/>
    <w:rsid w:val="005641C8"/>
    <w:rsid w:val="00574344"/>
    <w:rsid w:val="005763CB"/>
    <w:rsid w:val="00577567"/>
    <w:rsid w:val="00580981"/>
    <w:rsid w:val="00580D5E"/>
    <w:rsid w:val="0058201B"/>
    <w:rsid w:val="00587FAB"/>
    <w:rsid w:val="005900D4"/>
    <w:rsid w:val="0059029B"/>
    <w:rsid w:val="00590669"/>
    <w:rsid w:val="0059631D"/>
    <w:rsid w:val="00597B28"/>
    <w:rsid w:val="005A3E08"/>
    <w:rsid w:val="005A49D6"/>
    <w:rsid w:val="005A6C63"/>
    <w:rsid w:val="005A77D0"/>
    <w:rsid w:val="005B0283"/>
    <w:rsid w:val="005B1AF7"/>
    <w:rsid w:val="005B64BD"/>
    <w:rsid w:val="005C146E"/>
    <w:rsid w:val="005C1BB9"/>
    <w:rsid w:val="005C3225"/>
    <w:rsid w:val="005C32F7"/>
    <w:rsid w:val="005C715B"/>
    <w:rsid w:val="005D03F4"/>
    <w:rsid w:val="005D376C"/>
    <w:rsid w:val="005D4345"/>
    <w:rsid w:val="005D673D"/>
    <w:rsid w:val="005D71F9"/>
    <w:rsid w:val="005D7228"/>
    <w:rsid w:val="005E1CC5"/>
    <w:rsid w:val="005E636D"/>
    <w:rsid w:val="005E6DB5"/>
    <w:rsid w:val="005F0F52"/>
    <w:rsid w:val="005F69FE"/>
    <w:rsid w:val="00600EE9"/>
    <w:rsid w:val="00602A48"/>
    <w:rsid w:val="0060359F"/>
    <w:rsid w:val="006056E2"/>
    <w:rsid w:val="00613AE9"/>
    <w:rsid w:val="00616E73"/>
    <w:rsid w:val="00616FE9"/>
    <w:rsid w:val="00617C29"/>
    <w:rsid w:val="006220FF"/>
    <w:rsid w:val="00624D89"/>
    <w:rsid w:val="0062694F"/>
    <w:rsid w:val="00633976"/>
    <w:rsid w:val="00633E89"/>
    <w:rsid w:val="0063487E"/>
    <w:rsid w:val="00634FE8"/>
    <w:rsid w:val="00636266"/>
    <w:rsid w:val="00641052"/>
    <w:rsid w:val="00642EE9"/>
    <w:rsid w:val="00645FE8"/>
    <w:rsid w:val="006515DB"/>
    <w:rsid w:val="00651AB0"/>
    <w:rsid w:val="00653830"/>
    <w:rsid w:val="00653FDE"/>
    <w:rsid w:val="006552C8"/>
    <w:rsid w:val="00656D84"/>
    <w:rsid w:val="00664032"/>
    <w:rsid w:val="00664A51"/>
    <w:rsid w:val="006663CA"/>
    <w:rsid w:val="0066791C"/>
    <w:rsid w:val="00674B93"/>
    <w:rsid w:val="006771E3"/>
    <w:rsid w:val="006772A2"/>
    <w:rsid w:val="00682B76"/>
    <w:rsid w:val="00685256"/>
    <w:rsid w:val="006869B5"/>
    <w:rsid w:val="006909A4"/>
    <w:rsid w:val="00691778"/>
    <w:rsid w:val="00691FDA"/>
    <w:rsid w:val="00692E3E"/>
    <w:rsid w:val="00694153"/>
    <w:rsid w:val="006954BC"/>
    <w:rsid w:val="006A0714"/>
    <w:rsid w:val="006A3061"/>
    <w:rsid w:val="006B0612"/>
    <w:rsid w:val="006B25F1"/>
    <w:rsid w:val="006B2DFE"/>
    <w:rsid w:val="006B3C06"/>
    <w:rsid w:val="006B50E8"/>
    <w:rsid w:val="006B629F"/>
    <w:rsid w:val="006B7DE7"/>
    <w:rsid w:val="006C13BF"/>
    <w:rsid w:val="006C24C1"/>
    <w:rsid w:val="006C45AA"/>
    <w:rsid w:val="006C7D49"/>
    <w:rsid w:val="006D2CFC"/>
    <w:rsid w:val="006D2E25"/>
    <w:rsid w:val="006D2F3E"/>
    <w:rsid w:val="006D3697"/>
    <w:rsid w:val="006D38B1"/>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700704"/>
    <w:rsid w:val="00700E85"/>
    <w:rsid w:val="00710B17"/>
    <w:rsid w:val="00710CE3"/>
    <w:rsid w:val="007116A1"/>
    <w:rsid w:val="0071171E"/>
    <w:rsid w:val="007121EF"/>
    <w:rsid w:val="0071586C"/>
    <w:rsid w:val="007172D2"/>
    <w:rsid w:val="007177FF"/>
    <w:rsid w:val="00720288"/>
    <w:rsid w:val="00723E29"/>
    <w:rsid w:val="00724325"/>
    <w:rsid w:val="007272A7"/>
    <w:rsid w:val="00732CDD"/>
    <w:rsid w:val="00734AEF"/>
    <w:rsid w:val="00734BAB"/>
    <w:rsid w:val="00736DBA"/>
    <w:rsid w:val="0073725A"/>
    <w:rsid w:val="00740BC6"/>
    <w:rsid w:val="00741D6F"/>
    <w:rsid w:val="00744725"/>
    <w:rsid w:val="0074730A"/>
    <w:rsid w:val="00747D0A"/>
    <w:rsid w:val="007516D0"/>
    <w:rsid w:val="00751CE0"/>
    <w:rsid w:val="00752EAE"/>
    <w:rsid w:val="00753A3F"/>
    <w:rsid w:val="00754EEB"/>
    <w:rsid w:val="00754FD3"/>
    <w:rsid w:val="00757A01"/>
    <w:rsid w:val="00762EB0"/>
    <w:rsid w:val="00764246"/>
    <w:rsid w:val="00766B36"/>
    <w:rsid w:val="00766D86"/>
    <w:rsid w:val="0077037F"/>
    <w:rsid w:val="00772165"/>
    <w:rsid w:val="00772949"/>
    <w:rsid w:val="00772CFC"/>
    <w:rsid w:val="007751FB"/>
    <w:rsid w:val="007767D5"/>
    <w:rsid w:val="00776CD8"/>
    <w:rsid w:val="0078110D"/>
    <w:rsid w:val="00783095"/>
    <w:rsid w:val="00784F1D"/>
    <w:rsid w:val="00785AF3"/>
    <w:rsid w:val="0079328F"/>
    <w:rsid w:val="007939B6"/>
    <w:rsid w:val="00794F1B"/>
    <w:rsid w:val="007952E7"/>
    <w:rsid w:val="007A32D3"/>
    <w:rsid w:val="007A35F8"/>
    <w:rsid w:val="007A40D1"/>
    <w:rsid w:val="007A547D"/>
    <w:rsid w:val="007A5552"/>
    <w:rsid w:val="007B3113"/>
    <w:rsid w:val="007B4DE2"/>
    <w:rsid w:val="007B6775"/>
    <w:rsid w:val="007C1F39"/>
    <w:rsid w:val="007C404E"/>
    <w:rsid w:val="007D2958"/>
    <w:rsid w:val="007D2DA0"/>
    <w:rsid w:val="007D79D2"/>
    <w:rsid w:val="007D7F7F"/>
    <w:rsid w:val="007E5847"/>
    <w:rsid w:val="007E5EA0"/>
    <w:rsid w:val="007E78C1"/>
    <w:rsid w:val="007E7B4E"/>
    <w:rsid w:val="007F02A4"/>
    <w:rsid w:val="007F479E"/>
    <w:rsid w:val="007F4E21"/>
    <w:rsid w:val="00801B41"/>
    <w:rsid w:val="008037BB"/>
    <w:rsid w:val="00805B97"/>
    <w:rsid w:val="00806E0D"/>
    <w:rsid w:val="00816D2C"/>
    <w:rsid w:val="00817DF9"/>
    <w:rsid w:val="0082129E"/>
    <w:rsid w:val="00821749"/>
    <w:rsid w:val="0082186F"/>
    <w:rsid w:val="00823FCA"/>
    <w:rsid w:val="00824890"/>
    <w:rsid w:val="00825D6C"/>
    <w:rsid w:val="00826CBC"/>
    <w:rsid w:val="00834060"/>
    <w:rsid w:val="0083502A"/>
    <w:rsid w:val="00840B18"/>
    <w:rsid w:val="008418FC"/>
    <w:rsid w:val="008433E3"/>
    <w:rsid w:val="0084410C"/>
    <w:rsid w:val="00846FA1"/>
    <w:rsid w:val="008502CE"/>
    <w:rsid w:val="00851647"/>
    <w:rsid w:val="0085780E"/>
    <w:rsid w:val="00861625"/>
    <w:rsid w:val="008618BE"/>
    <w:rsid w:val="00861DA4"/>
    <w:rsid w:val="00861DF9"/>
    <w:rsid w:val="00862D6B"/>
    <w:rsid w:val="00863CD4"/>
    <w:rsid w:val="00864EB7"/>
    <w:rsid w:val="0086657E"/>
    <w:rsid w:val="00867F55"/>
    <w:rsid w:val="00873D8A"/>
    <w:rsid w:val="00885088"/>
    <w:rsid w:val="008853DF"/>
    <w:rsid w:val="00891035"/>
    <w:rsid w:val="008918D9"/>
    <w:rsid w:val="008927B5"/>
    <w:rsid w:val="00892EA3"/>
    <w:rsid w:val="008A28F8"/>
    <w:rsid w:val="008A3A67"/>
    <w:rsid w:val="008A5950"/>
    <w:rsid w:val="008A63E2"/>
    <w:rsid w:val="008A65D3"/>
    <w:rsid w:val="008B11CF"/>
    <w:rsid w:val="008B2613"/>
    <w:rsid w:val="008B3142"/>
    <w:rsid w:val="008B361F"/>
    <w:rsid w:val="008B445B"/>
    <w:rsid w:val="008B58B2"/>
    <w:rsid w:val="008B6587"/>
    <w:rsid w:val="008C17E6"/>
    <w:rsid w:val="008C36F2"/>
    <w:rsid w:val="008D0326"/>
    <w:rsid w:val="008D0D31"/>
    <w:rsid w:val="008D6CA9"/>
    <w:rsid w:val="008D6E2C"/>
    <w:rsid w:val="008D7DC6"/>
    <w:rsid w:val="008E09C6"/>
    <w:rsid w:val="008E0E89"/>
    <w:rsid w:val="008E4FD6"/>
    <w:rsid w:val="008E5C99"/>
    <w:rsid w:val="008E78BA"/>
    <w:rsid w:val="008F0933"/>
    <w:rsid w:val="008F4EF2"/>
    <w:rsid w:val="008F54D4"/>
    <w:rsid w:val="008F7C99"/>
    <w:rsid w:val="009001C9"/>
    <w:rsid w:val="00906FD4"/>
    <w:rsid w:val="009101FF"/>
    <w:rsid w:val="00910A53"/>
    <w:rsid w:val="00917283"/>
    <w:rsid w:val="0092068A"/>
    <w:rsid w:val="00921285"/>
    <w:rsid w:val="0092359B"/>
    <w:rsid w:val="009239E5"/>
    <w:rsid w:val="009252B2"/>
    <w:rsid w:val="009268A6"/>
    <w:rsid w:val="009310EE"/>
    <w:rsid w:val="00933485"/>
    <w:rsid w:val="00936969"/>
    <w:rsid w:val="0094142D"/>
    <w:rsid w:val="00941C92"/>
    <w:rsid w:val="00943CC8"/>
    <w:rsid w:val="00943E53"/>
    <w:rsid w:val="00943ED6"/>
    <w:rsid w:val="009445CA"/>
    <w:rsid w:val="00962EE7"/>
    <w:rsid w:val="00966C36"/>
    <w:rsid w:val="00970027"/>
    <w:rsid w:val="00970B33"/>
    <w:rsid w:val="009737DF"/>
    <w:rsid w:val="00974D2B"/>
    <w:rsid w:val="00975F45"/>
    <w:rsid w:val="009760CB"/>
    <w:rsid w:val="009848F7"/>
    <w:rsid w:val="009863CF"/>
    <w:rsid w:val="0099770A"/>
    <w:rsid w:val="00997723"/>
    <w:rsid w:val="009A2999"/>
    <w:rsid w:val="009A5AF8"/>
    <w:rsid w:val="009A5F12"/>
    <w:rsid w:val="009B446B"/>
    <w:rsid w:val="009B4685"/>
    <w:rsid w:val="009B7062"/>
    <w:rsid w:val="009C01A4"/>
    <w:rsid w:val="009C05E9"/>
    <w:rsid w:val="009C27D2"/>
    <w:rsid w:val="009C3132"/>
    <w:rsid w:val="009C4526"/>
    <w:rsid w:val="009D11CA"/>
    <w:rsid w:val="009D227B"/>
    <w:rsid w:val="009D2B65"/>
    <w:rsid w:val="009D2B67"/>
    <w:rsid w:val="009D47A5"/>
    <w:rsid w:val="009D69B6"/>
    <w:rsid w:val="009D76EB"/>
    <w:rsid w:val="009E1F99"/>
    <w:rsid w:val="009E4C05"/>
    <w:rsid w:val="009E6876"/>
    <w:rsid w:val="009F0D6C"/>
    <w:rsid w:val="009F19AE"/>
    <w:rsid w:val="009F1DAF"/>
    <w:rsid w:val="009F38D7"/>
    <w:rsid w:val="009F6130"/>
    <w:rsid w:val="009F7A24"/>
    <w:rsid w:val="00A00793"/>
    <w:rsid w:val="00A03847"/>
    <w:rsid w:val="00A04076"/>
    <w:rsid w:val="00A10010"/>
    <w:rsid w:val="00A10E1F"/>
    <w:rsid w:val="00A112F1"/>
    <w:rsid w:val="00A15866"/>
    <w:rsid w:val="00A16D50"/>
    <w:rsid w:val="00A23CCA"/>
    <w:rsid w:val="00A24849"/>
    <w:rsid w:val="00A248FB"/>
    <w:rsid w:val="00A25147"/>
    <w:rsid w:val="00A26764"/>
    <w:rsid w:val="00A30FDB"/>
    <w:rsid w:val="00A334E4"/>
    <w:rsid w:val="00A33DF5"/>
    <w:rsid w:val="00A36132"/>
    <w:rsid w:val="00A40462"/>
    <w:rsid w:val="00A4355E"/>
    <w:rsid w:val="00A469B4"/>
    <w:rsid w:val="00A46AA1"/>
    <w:rsid w:val="00A511AD"/>
    <w:rsid w:val="00A52673"/>
    <w:rsid w:val="00A55B86"/>
    <w:rsid w:val="00A55F7C"/>
    <w:rsid w:val="00A56C4D"/>
    <w:rsid w:val="00A656AE"/>
    <w:rsid w:val="00A66253"/>
    <w:rsid w:val="00A70C75"/>
    <w:rsid w:val="00A733A2"/>
    <w:rsid w:val="00A73F72"/>
    <w:rsid w:val="00A75D98"/>
    <w:rsid w:val="00A773D7"/>
    <w:rsid w:val="00A801E7"/>
    <w:rsid w:val="00A80D6E"/>
    <w:rsid w:val="00A80E4E"/>
    <w:rsid w:val="00A831C5"/>
    <w:rsid w:val="00A83CBE"/>
    <w:rsid w:val="00A848BA"/>
    <w:rsid w:val="00A85958"/>
    <w:rsid w:val="00A86E3D"/>
    <w:rsid w:val="00A90945"/>
    <w:rsid w:val="00A914E9"/>
    <w:rsid w:val="00A93EC0"/>
    <w:rsid w:val="00A94A48"/>
    <w:rsid w:val="00A96702"/>
    <w:rsid w:val="00AA140D"/>
    <w:rsid w:val="00AA1929"/>
    <w:rsid w:val="00AA26D2"/>
    <w:rsid w:val="00AA30C4"/>
    <w:rsid w:val="00AA4167"/>
    <w:rsid w:val="00AA6F36"/>
    <w:rsid w:val="00AA70E2"/>
    <w:rsid w:val="00AB0EB4"/>
    <w:rsid w:val="00AB30CF"/>
    <w:rsid w:val="00AB40A9"/>
    <w:rsid w:val="00AC1113"/>
    <w:rsid w:val="00AC1F4C"/>
    <w:rsid w:val="00AC2F0F"/>
    <w:rsid w:val="00AC51A1"/>
    <w:rsid w:val="00AC6067"/>
    <w:rsid w:val="00AC6745"/>
    <w:rsid w:val="00AD253F"/>
    <w:rsid w:val="00AD4AB8"/>
    <w:rsid w:val="00AD75C9"/>
    <w:rsid w:val="00AE290D"/>
    <w:rsid w:val="00AE3923"/>
    <w:rsid w:val="00AF192E"/>
    <w:rsid w:val="00AF4238"/>
    <w:rsid w:val="00AF5FC0"/>
    <w:rsid w:val="00AF63EA"/>
    <w:rsid w:val="00AF6A7C"/>
    <w:rsid w:val="00AF767F"/>
    <w:rsid w:val="00B00C4E"/>
    <w:rsid w:val="00B07286"/>
    <w:rsid w:val="00B16875"/>
    <w:rsid w:val="00B219F2"/>
    <w:rsid w:val="00B2307D"/>
    <w:rsid w:val="00B23445"/>
    <w:rsid w:val="00B27242"/>
    <w:rsid w:val="00B317B3"/>
    <w:rsid w:val="00B31A0D"/>
    <w:rsid w:val="00B36351"/>
    <w:rsid w:val="00B37F62"/>
    <w:rsid w:val="00B406E2"/>
    <w:rsid w:val="00B41D82"/>
    <w:rsid w:val="00B428F4"/>
    <w:rsid w:val="00B43D51"/>
    <w:rsid w:val="00B45022"/>
    <w:rsid w:val="00B46636"/>
    <w:rsid w:val="00B46DE5"/>
    <w:rsid w:val="00B50814"/>
    <w:rsid w:val="00B5162C"/>
    <w:rsid w:val="00B55C84"/>
    <w:rsid w:val="00B57081"/>
    <w:rsid w:val="00B57B60"/>
    <w:rsid w:val="00B609E7"/>
    <w:rsid w:val="00B613EB"/>
    <w:rsid w:val="00B61643"/>
    <w:rsid w:val="00B62A84"/>
    <w:rsid w:val="00B65D37"/>
    <w:rsid w:val="00B66DDD"/>
    <w:rsid w:val="00B67B97"/>
    <w:rsid w:val="00B7377B"/>
    <w:rsid w:val="00B74CF1"/>
    <w:rsid w:val="00B81FED"/>
    <w:rsid w:val="00B845F6"/>
    <w:rsid w:val="00B90439"/>
    <w:rsid w:val="00B90DA8"/>
    <w:rsid w:val="00B93A4F"/>
    <w:rsid w:val="00B94A3E"/>
    <w:rsid w:val="00B94FFF"/>
    <w:rsid w:val="00B97985"/>
    <w:rsid w:val="00BA3DE1"/>
    <w:rsid w:val="00BA45E7"/>
    <w:rsid w:val="00BA4C2A"/>
    <w:rsid w:val="00BA5695"/>
    <w:rsid w:val="00BB036D"/>
    <w:rsid w:val="00BB13B5"/>
    <w:rsid w:val="00BB1FC4"/>
    <w:rsid w:val="00BB70B3"/>
    <w:rsid w:val="00BB7D46"/>
    <w:rsid w:val="00BC1B4F"/>
    <w:rsid w:val="00BC360E"/>
    <w:rsid w:val="00BC4327"/>
    <w:rsid w:val="00BC45EB"/>
    <w:rsid w:val="00BC6CA5"/>
    <w:rsid w:val="00BD24C2"/>
    <w:rsid w:val="00BD3085"/>
    <w:rsid w:val="00BD6511"/>
    <w:rsid w:val="00BD76C8"/>
    <w:rsid w:val="00BE0DAB"/>
    <w:rsid w:val="00BE4F3A"/>
    <w:rsid w:val="00BE55BE"/>
    <w:rsid w:val="00BE5FCB"/>
    <w:rsid w:val="00BE6E3A"/>
    <w:rsid w:val="00BE723C"/>
    <w:rsid w:val="00BF13F5"/>
    <w:rsid w:val="00BF2526"/>
    <w:rsid w:val="00BF28AB"/>
    <w:rsid w:val="00BF3F2C"/>
    <w:rsid w:val="00C03541"/>
    <w:rsid w:val="00C03561"/>
    <w:rsid w:val="00C0376D"/>
    <w:rsid w:val="00C03919"/>
    <w:rsid w:val="00C04FBB"/>
    <w:rsid w:val="00C0572F"/>
    <w:rsid w:val="00C06259"/>
    <w:rsid w:val="00C065C3"/>
    <w:rsid w:val="00C12C25"/>
    <w:rsid w:val="00C13DF0"/>
    <w:rsid w:val="00C14193"/>
    <w:rsid w:val="00C15849"/>
    <w:rsid w:val="00C15A48"/>
    <w:rsid w:val="00C16FA3"/>
    <w:rsid w:val="00C17325"/>
    <w:rsid w:val="00C17738"/>
    <w:rsid w:val="00C2330B"/>
    <w:rsid w:val="00C235A9"/>
    <w:rsid w:val="00C23A79"/>
    <w:rsid w:val="00C23DE7"/>
    <w:rsid w:val="00C26323"/>
    <w:rsid w:val="00C30962"/>
    <w:rsid w:val="00C31A29"/>
    <w:rsid w:val="00C330CB"/>
    <w:rsid w:val="00C3358D"/>
    <w:rsid w:val="00C33F0E"/>
    <w:rsid w:val="00C36D97"/>
    <w:rsid w:val="00C378D0"/>
    <w:rsid w:val="00C37FDB"/>
    <w:rsid w:val="00C40364"/>
    <w:rsid w:val="00C42477"/>
    <w:rsid w:val="00C450EE"/>
    <w:rsid w:val="00C45F56"/>
    <w:rsid w:val="00C4785F"/>
    <w:rsid w:val="00C53140"/>
    <w:rsid w:val="00C545A2"/>
    <w:rsid w:val="00C55A4F"/>
    <w:rsid w:val="00C61317"/>
    <w:rsid w:val="00C655E8"/>
    <w:rsid w:val="00C7117A"/>
    <w:rsid w:val="00C74183"/>
    <w:rsid w:val="00C77A59"/>
    <w:rsid w:val="00C800CB"/>
    <w:rsid w:val="00C803A5"/>
    <w:rsid w:val="00C80DF6"/>
    <w:rsid w:val="00C82C14"/>
    <w:rsid w:val="00C83FB9"/>
    <w:rsid w:val="00C85078"/>
    <w:rsid w:val="00C862F8"/>
    <w:rsid w:val="00C908DB"/>
    <w:rsid w:val="00C931B6"/>
    <w:rsid w:val="00C93B23"/>
    <w:rsid w:val="00CA0FA9"/>
    <w:rsid w:val="00CA13E9"/>
    <w:rsid w:val="00CA37B5"/>
    <w:rsid w:val="00CA4819"/>
    <w:rsid w:val="00CA57BA"/>
    <w:rsid w:val="00CB54CC"/>
    <w:rsid w:val="00CB6D43"/>
    <w:rsid w:val="00CB7EF0"/>
    <w:rsid w:val="00CC069F"/>
    <w:rsid w:val="00CD43F3"/>
    <w:rsid w:val="00CD4ED5"/>
    <w:rsid w:val="00CD53CA"/>
    <w:rsid w:val="00CD6092"/>
    <w:rsid w:val="00CE0915"/>
    <w:rsid w:val="00CE1628"/>
    <w:rsid w:val="00CE4399"/>
    <w:rsid w:val="00CE78B1"/>
    <w:rsid w:val="00CE7C12"/>
    <w:rsid w:val="00CF2E9A"/>
    <w:rsid w:val="00CF54D1"/>
    <w:rsid w:val="00CF7DA0"/>
    <w:rsid w:val="00CF7FD0"/>
    <w:rsid w:val="00D010F1"/>
    <w:rsid w:val="00D01109"/>
    <w:rsid w:val="00D06971"/>
    <w:rsid w:val="00D06B34"/>
    <w:rsid w:val="00D07B5C"/>
    <w:rsid w:val="00D07E03"/>
    <w:rsid w:val="00D11E0E"/>
    <w:rsid w:val="00D13BDB"/>
    <w:rsid w:val="00D16CD8"/>
    <w:rsid w:val="00D22A37"/>
    <w:rsid w:val="00D2354E"/>
    <w:rsid w:val="00D23617"/>
    <w:rsid w:val="00D27A8A"/>
    <w:rsid w:val="00D3288D"/>
    <w:rsid w:val="00D354FD"/>
    <w:rsid w:val="00D3570E"/>
    <w:rsid w:val="00D37974"/>
    <w:rsid w:val="00D41A38"/>
    <w:rsid w:val="00D422B1"/>
    <w:rsid w:val="00D45250"/>
    <w:rsid w:val="00D45488"/>
    <w:rsid w:val="00D467C6"/>
    <w:rsid w:val="00D54567"/>
    <w:rsid w:val="00D654B3"/>
    <w:rsid w:val="00D65923"/>
    <w:rsid w:val="00D65D16"/>
    <w:rsid w:val="00D66AFA"/>
    <w:rsid w:val="00D761B6"/>
    <w:rsid w:val="00D76D1C"/>
    <w:rsid w:val="00D838A7"/>
    <w:rsid w:val="00D85A3F"/>
    <w:rsid w:val="00D868FB"/>
    <w:rsid w:val="00D86C43"/>
    <w:rsid w:val="00D86FEA"/>
    <w:rsid w:val="00D93CB5"/>
    <w:rsid w:val="00D94038"/>
    <w:rsid w:val="00DA430D"/>
    <w:rsid w:val="00DA5163"/>
    <w:rsid w:val="00DA66D7"/>
    <w:rsid w:val="00DB192A"/>
    <w:rsid w:val="00DB1985"/>
    <w:rsid w:val="00DB40BF"/>
    <w:rsid w:val="00DB66FD"/>
    <w:rsid w:val="00DB7463"/>
    <w:rsid w:val="00DC297D"/>
    <w:rsid w:val="00DC30DD"/>
    <w:rsid w:val="00DC3243"/>
    <w:rsid w:val="00DC6EA0"/>
    <w:rsid w:val="00DD020B"/>
    <w:rsid w:val="00DD1CF3"/>
    <w:rsid w:val="00DD2547"/>
    <w:rsid w:val="00DD511F"/>
    <w:rsid w:val="00DD6739"/>
    <w:rsid w:val="00DD6D12"/>
    <w:rsid w:val="00DD7859"/>
    <w:rsid w:val="00DE608E"/>
    <w:rsid w:val="00DF087F"/>
    <w:rsid w:val="00DF08BA"/>
    <w:rsid w:val="00DF0974"/>
    <w:rsid w:val="00DF2688"/>
    <w:rsid w:val="00DF26E1"/>
    <w:rsid w:val="00DF3972"/>
    <w:rsid w:val="00DF4B76"/>
    <w:rsid w:val="00DF4D4E"/>
    <w:rsid w:val="00E004AC"/>
    <w:rsid w:val="00E027A0"/>
    <w:rsid w:val="00E05C0F"/>
    <w:rsid w:val="00E05C97"/>
    <w:rsid w:val="00E109B6"/>
    <w:rsid w:val="00E11F39"/>
    <w:rsid w:val="00E13580"/>
    <w:rsid w:val="00E14394"/>
    <w:rsid w:val="00E14AE5"/>
    <w:rsid w:val="00E16E1F"/>
    <w:rsid w:val="00E16E9D"/>
    <w:rsid w:val="00E237EC"/>
    <w:rsid w:val="00E30434"/>
    <w:rsid w:val="00E31B73"/>
    <w:rsid w:val="00E34A6F"/>
    <w:rsid w:val="00E35514"/>
    <w:rsid w:val="00E36F96"/>
    <w:rsid w:val="00E41DD8"/>
    <w:rsid w:val="00E463D6"/>
    <w:rsid w:val="00E47DCC"/>
    <w:rsid w:val="00E52B61"/>
    <w:rsid w:val="00E52BA8"/>
    <w:rsid w:val="00E55C1D"/>
    <w:rsid w:val="00E56F54"/>
    <w:rsid w:val="00E57675"/>
    <w:rsid w:val="00E62240"/>
    <w:rsid w:val="00E645B5"/>
    <w:rsid w:val="00E669E9"/>
    <w:rsid w:val="00E6700A"/>
    <w:rsid w:val="00E729E2"/>
    <w:rsid w:val="00E75181"/>
    <w:rsid w:val="00E7573A"/>
    <w:rsid w:val="00E7797A"/>
    <w:rsid w:val="00E86BB6"/>
    <w:rsid w:val="00E87654"/>
    <w:rsid w:val="00E9039A"/>
    <w:rsid w:val="00E90BC9"/>
    <w:rsid w:val="00E91C57"/>
    <w:rsid w:val="00E95158"/>
    <w:rsid w:val="00E97661"/>
    <w:rsid w:val="00E9799A"/>
    <w:rsid w:val="00EA075C"/>
    <w:rsid w:val="00EA12C1"/>
    <w:rsid w:val="00EA1625"/>
    <w:rsid w:val="00EA1752"/>
    <w:rsid w:val="00EA1EDF"/>
    <w:rsid w:val="00EA7329"/>
    <w:rsid w:val="00EB2F3A"/>
    <w:rsid w:val="00EB4C89"/>
    <w:rsid w:val="00EB6518"/>
    <w:rsid w:val="00EB78AA"/>
    <w:rsid w:val="00EC1213"/>
    <w:rsid w:val="00EC121B"/>
    <w:rsid w:val="00EC1C81"/>
    <w:rsid w:val="00EC6DA3"/>
    <w:rsid w:val="00ED0A26"/>
    <w:rsid w:val="00ED13BB"/>
    <w:rsid w:val="00ED5A1C"/>
    <w:rsid w:val="00ED6AF6"/>
    <w:rsid w:val="00ED7A75"/>
    <w:rsid w:val="00EE0E9D"/>
    <w:rsid w:val="00EE74BC"/>
    <w:rsid w:val="00EF0B42"/>
    <w:rsid w:val="00EF2B87"/>
    <w:rsid w:val="00EF49DF"/>
    <w:rsid w:val="00EF4E44"/>
    <w:rsid w:val="00EF5386"/>
    <w:rsid w:val="00EF6B54"/>
    <w:rsid w:val="00EF6D7D"/>
    <w:rsid w:val="00EF7458"/>
    <w:rsid w:val="00EF7BB1"/>
    <w:rsid w:val="00F0055D"/>
    <w:rsid w:val="00F068F3"/>
    <w:rsid w:val="00F06B97"/>
    <w:rsid w:val="00F10967"/>
    <w:rsid w:val="00F10EF2"/>
    <w:rsid w:val="00F12CBF"/>
    <w:rsid w:val="00F1611B"/>
    <w:rsid w:val="00F17004"/>
    <w:rsid w:val="00F17080"/>
    <w:rsid w:val="00F205AD"/>
    <w:rsid w:val="00F23AFD"/>
    <w:rsid w:val="00F2639D"/>
    <w:rsid w:val="00F2792A"/>
    <w:rsid w:val="00F27D7F"/>
    <w:rsid w:val="00F27E5E"/>
    <w:rsid w:val="00F31BDE"/>
    <w:rsid w:val="00F336B4"/>
    <w:rsid w:val="00F3411A"/>
    <w:rsid w:val="00F35726"/>
    <w:rsid w:val="00F35B71"/>
    <w:rsid w:val="00F42A12"/>
    <w:rsid w:val="00F4413D"/>
    <w:rsid w:val="00F50B95"/>
    <w:rsid w:val="00F57008"/>
    <w:rsid w:val="00F606DA"/>
    <w:rsid w:val="00F60905"/>
    <w:rsid w:val="00F62C44"/>
    <w:rsid w:val="00F650AC"/>
    <w:rsid w:val="00F6612B"/>
    <w:rsid w:val="00F67901"/>
    <w:rsid w:val="00F7580A"/>
    <w:rsid w:val="00F768B3"/>
    <w:rsid w:val="00F866E9"/>
    <w:rsid w:val="00F872F3"/>
    <w:rsid w:val="00F93CE6"/>
    <w:rsid w:val="00F9451C"/>
    <w:rsid w:val="00F9542E"/>
    <w:rsid w:val="00F95F05"/>
    <w:rsid w:val="00F9732A"/>
    <w:rsid w:val="00F97469"/>
    <w:rsid w:val="00FA2D82"/>
    <w:rsid w:val="00FA766D"/>
    <w:rsid w:val="00FA7693"/>
    <w:rsid w:val="00FB039A"/>
    <w:rsid w:val="00FB12D4"/>
    <w:rsid w:val="00FB13F3"/>
    <w:rsid w:val="00FB579D"/>
    <w:rsid w:val="00FC0796"/>
    <w:rsid w:val="00FC23D6"/>
    <w:rsid w:val="00FC4468"/>
    <w:rsid w:val="00FD2BCC"/>
    <w:rsid w:val="00FD4410"/>
    <w:rsid w:val="00FD73AA"/>
    <w:rsid w:val="00FE052E"/>
    <w:rsid w:val="00FE49BA"/>
    <w:rsid w:val="00FF021A"/>
    <w:rsid w:val="00FF0E78"/>
    <w:rsid w:val="00FF31A7"/>
    <w:rsid w:val="00FF467D"/>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6FFC-8EAD-47D6-ACE3-9DC56AE3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4</cp:revision>
  <cp:lastPrinted>2010-03-23T18:30:00Z</cp:lastPrinted>
  <dcterms:created xsi:type="dcterms:W3CDTF">2010-03-23T19:06:00Z</dcterms:created>
  <dcterms:modified xsi:type="dcterms:W3CDTF">2010-03-31T20:41:00Z</dcterms:modified>
</cp:coreProperties>
</file>