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9717D" w:rsidRPr="00204288">
        <w:trPr>
          <w:trHeight w:val="990"/>
        </w:trPr>
        <w:tc>
          <w:tcPr>
            <w:tcW w:w="1363" w:type="dxa"/>
          </w:tcPr>
          <w:p w:rsidR="00E9717D" w:rsidRPr="00204288" w:rsidRDefault="00475058" w:rsidP="00E9717D">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204288" w:rsidRDefault="00E9717D" w:rsidP="00E9717D">
            <w:pPr>
              <w:suppressAutoHyphens/>
              <w:spacing w:line="204" w:lineRule="auto"/>
              <w:jc w:val="center"/>
              <w:rPr>
                <w:rFonts w:ascii="Arial" w:hAnsi="Arial"/>
                <w:color w:val="000000"/>
                <w:spacing w:val="-3"/>
                <w:sz w:val="26"/>
              </w:rPr>
            </w:pPr>
          </w:p>
          <w:p w:rsidR="00E9717D" w:rsidRPr="00204288" w:rsidRDefault="00E9717D" w:rsidP="00E9717D">
            <w:pPr>
              <w:suppressAutoHyphens/>
              <w:spacing w:line="204" w:lineRule="auto"/>
              <w:jc w:val="center"/>
              <w:rPr>
                <w:rFonts w:ascii="Arial" w:hAnsi="Arial"/>
                <w:color w:val="000000"/>
                <w:spacing w:val="-3"/>
                <w:sz w:val="26"/>
              </w:rPr>
            </w:pPr>
            <w:r w:rsidRPr="00204288">
              <w:rPr>
                <w:rFonts w:ascii="Arial" w:hAnsi="Arial"/>
                <w:color w:val="000000"/>
                <w:spacing w:val="-3"/>
                <w:sz w:val="26"/>
              </w:rPr>
              <w:t>COMMONWEALTH OF PENNSYLVANIA</w:t>
            </w:r>
          </w:p>
          <w:p w:rsidR="00E9717D" w:rsidRPr="00204288" w:rsidRDefault="00E9717D" w:rsidP="00E9717D">
            <w:pPr>
              <w:suppressAutoHyphens/>
              <w:spacing w:line="204" w:lineRule="auto"/>
              <w:jc w:val="center"/>
              <w:rPr>
                <w:rFonts w:ascii="Arial" w:hAnsi="Arial"/>
                <w:color w:val="000000"/>
                <w:spacing w:val="-3"/>
                <w:sz w:val="26"/>
              </w:rPr>
            </w:pPr>
            <w:r w:rsidRPr="00204288">
              <w:rPr>
                <w:rFonts w:ascii="Arial" w:hAnsi="Arial"/>
                <w:color w:val="000000"/>
                <w:spacing w:val="-3"/>
                <w:sz w:val="26"/>
              </w:rPr>
              <w:t>PENNSYLVANIA PUBLIC UTILITY COMMISSION</w:t>
            </w:r>
          </w:p>
          <w:p w:rsidR="00E9717D" w:rsidRPr="00204288" w:rsidRDefault="00E9717D" w:rsidP="00E9717D">
            <w:pPr>
              <w:jc w:val="center"/>
              <w:rPr>
                <w:rFonts w:ascii="Arial" w:hAnsi="Arial"/>
                <w:color w:val="000000"/>
                <w:sz w:val="12"/>
              </w:rPr>
            </w:pPr>
            <w:r w:rsidRPr="00204288">
              <w:rPr>
                <w:rFonts w:ascii="Arial" w:hAnsi="Arial"/>
                <w:color w:val="000000"/>
                <w:spacing w:val="-3"/>
                <w:sz w:val="26"/>
              </w:rPr>
              <w:t xml:space="preserve">P.O. </w:t>
            </w:r>
            <w:smartTag w:uri="urn:schemas-microsoft-com:office:smarttags" w:element="stockticker">
              <w:r w:rsidRPr="00204288">
                <w:rPr>
                  <w:rFonts w:ascii="Arial" w:hAnsi="Arial"/>
                  <w:color w:val="000000"/>
                  <w:spacing w:val="-3"/>
                  <w:sz w:val="26"/>
                </w:rPr>
                <w:t>BOX</w:t>
              </w:r>
            </w:smartTag>
            <w:r w:rsidRPr="00204288">
              <w:rPr>
                <w:rFonts w:ascii="Arial" w:hAnsi="Arial"/>
                <w:color w:val="000000"/>
                <w:spacing w:val="-3"/>
                <w:sz w:val="26"/>
              </w:rPr>
              <w:t xml:space="preserve"> 3265, HARRISBURG, PA 17105-3265</w:t>
            </w:r>
          </w:p>
        </w:tc>
        <w:tc>
          <w:tcPr>
            <w:tcW w:w="1452" w:type="dxa"/>
          </w:tcPr>
          <w:p w:rsidR="00E9717D" w:rsidRPr="00204288" w:rsidRDefault="00E9717D" w:rsidP="00E9717D">
            <w:pPr>
              <w:jc w:val="center"/>
              <w:rPr>
                <w:rFonts w:ascii="Arial" w:hAnsi="Arial"/>
                <w:color w:val="000000"/>
                <w:sz w:val="12"/>
              </w:rPr>
            </w:pPr>
          </w:p>
          <w:p w:rsidR="00E9717D" w:rsidRPr="00204288" w:rsidRDefault="00E9717D" w:rsidP="00E9717D">
            <w:pPr>
              <w:jc w:val="center"/>
              <w:rPr>
                <w:rFonts w:ascii="Arial" w:hAnsi="Arial"/>
                <w:color w:val="000000"/>
                <w:sz w:val="12"/>
              </w:rPr>
            </w:pPr>
          </w:p>
          <w:p w:rsidR="00E9717D" w:rsidRPr="00204288" w:rsidRDefault="00E9717D" w:rsidP="00E9717D">
            <w:pPr>
              <w:jc w:val="center"/>
              <w:rPr>
                <w:rFonts w:ascii="Arial" w:hAnsi="Arial"/>
                <w:color w:val="000000"/>
                <w:sz w:val="12"/>
              </w:rPr>
            </w:pPr>
          </w:p>
          <w:p w:rsidR="00E9717D" w:rsidRPr="00204288" w:rsidRDefault="00E9717D" w:rsidP="00E9717D">
            <w:pPr>
              <w:jc w:val="center"/>
              <w:rPr>
                <w:rFonts w:ascii="Arial" w:hAnsi="Arial"/>
                <w:color w:val="000000"/>
                <w:sz w:val="12"/>
              </w:rPr>
            </w:pPr>
          </w:p>
          <w:p w:rsidR="00E9717D" w:rsidRPr="00204288" w:rsidRDefault="00E9717D" w:rsidP="00E9717D">
            <w:pPr>
              <w:jc w:val="center"/>
              <w:rPr>
                <w:rFonts w:ascii="Arial" w:hAnsi="Arial"/>
                <w:color w:val="000000"/>
                <w:sz w:val="12"/>
              </w:rPr>
            </w:pPr>
          </w:p>
          <w:p w:rsidR="00E9717D" w:rsidRPr="00204288" w:rsidRDefault="00E9717D" w:rsidP="00E9717D">
            <w:pPr>
              <w:jc w:val="center"/>
              <w:rPr>
                <w:rFonts w:ascii="Arial" w:hAnsi="Arial"/>
                <w:color w:val="000000"/>
                <w:sz w:val="12"/>
              </w:rPr>
            </w:pPr>
          </w:p>
          <w:p w:rsidR="00E9717D" w:rsidRPr="00204288" w:rsidRDefault="00E9717D" w:rsidP="00E9717D">
            <w:pPr>
              <w:jc w:val="center"/>
              <w:rPr>
                <w:rFonts w:ascii="Arial" w:hAnsi="Arial"/>
                <w:color w:val="000000"/>
                <w:sz w:val="12"/>
              </w:rPr>
            </w:pPr>
            <w:r w:rsidRPr="00204288">
              <w:rPr>
                <w:rFonts w:ascii="Arial" w:hAnsi="Arial"/>
                <w:b/>
                <w:color w:val="000000"/>
                <w:spacing w:val="-1"/>
                <w:sz w:val="12"/>
              </w:rPr>
              <w:t xml:space="preserve">IN REPLY PLEASE REFER TO OUR </w:t>
            </w:r>
            <w:smartTag w:uri="urn:schemas-microsoft-com:office:smarttags" w:element="stockticker">
              <w:r w:rsidRPr="00204288">
                <w:rPr>
                  <w:rFonts w:ascii="Arial" w:hAnsi="Arial"/>
                  <w:b/>
                  <w:color w:val="000000"/>
                  <w:spacing w:val="-1"/>
                  <w:sz w:val="12"/>
                </w:rPr>
                <w:t>FILE</w:t>
              </w:r>
            </w:smartTag>
          </w:p>
        </w:tc>
      </w:tr>
    </w:tbl>
    <w:p w:rsidR="00E9717D" w:rsidRPr="00204288" w:rsidRDefault="00E9717D" w:rsidP="00E9717D">
      <w:pPr>
        <w:pStyle w:val="Heading1"/>
        <w:ind w:left="5310" w:firstLine="270"/>
        <w:jc w:val="center"/>
        <w:rPr>
          <w:color w:val="000000"/>
          <w:sz w:val="24"/>
          <w:szCs w:val="24"/>
        </w:rPr>
        <w:sectPr w:rsidR="00E9717D" w:rsidRPr="00204288" w:rsidSect="005D0EA3">
          <w:type w:val="continuous"/>
          <w:pgSz w:w="12240" w:h="15840"/>
          <w:pgMar w:top="720" w:right="1440" w:bottom="1440" w:left="1440" w:header="720" w:footer="720" w:gutter="0"/>
          <w:cols w:space="720"/>
        </w:sectPr>
      </w:pPr>
    </w:p>
    <w:p w:rsidR="00E9717D" w:rsidRPr="00204288" w:rsidRDefault="00E9717D" w:rsidP="00E9717D">
      <w:pPr>
        <w:rPr>
          <w:color w:val="000000"/>
          <w:sz w:val="26"/>
          <w:szCs w:val="26"/>
        </w:rPr>
      </w:pPr>
    </w:p>
    <w:p w:rsidR="00FE394D" w:rsidRPr="00204288" w:rsidRDefault="00FE394D" w:rsidP="00877BD4">
      <w:pPr>
        <w:pStyle w:val="Heading1"/>
        <w:rPr>
          <w:color w:val="000000"/>
          <w:sz w:val="24"/>
          <w:szCs w:val="24"/>
        </w:rPr>
        <w:sectPr w:rsidR="00FE394D" w:rsidRPr="00204288" w:rsidSect="0008427B">
          <w:type w:val="continuous"/>
          <w:pgSz w:w="12240" w:h="15840"/>
          <w:pgMar w:top="432" w:right="1440" w:bottom="720" w:left="1440" w:header="720" w:footer="720" w:gutter="0"/>
          <w:cols w:space="720"/>
        </w:sectPr>
      </w:pPr>
    </w:p>
    <w:p w:rsidR="00157C40" w:rsidRPr="00204288" w:rsidRDefault="00877BD4" w:rsidP="00877BD4">
      <w:pPr>
        <w:jc w:val="center"/>
        <w:rPr>
          <w:color w:val="000000"/>
          <w:szCs w:val="24"/>
        </w:rPr>
      </w:pPr>
      <w:r>
        <w:rPr>
          <w:color w:val="000000"/>
          <w:szCs w:val="24"/>
        </w:rPr>
        <w:lastRenderedPageBreak/>
        <w:t>April 1, 2010</w:t>
      </w:r>
      <w:r w:rsidR="000E7842" w:rsidRPr="00204288">
        <w:rPr>
          <w:color w:val="000000"/>
          <w:szCs w:val="24"/>
        </w:rPr>
        <w:fldChar w:fldCharType="begin">
          <w:ffData>
            <w:name w:val="Text15"/>
            <w:enabled/>
            <w:calcOnExit w:val="0"/>
            <w:textInput/>
          </w:ffData>
        </w:fldChar>
      </w:r>
      <w:bookmarkStart w:id="0" w:name="Text15"/>
      <w:r w:rsidR="006721A8" w:rsidRPr="00204288">
        <w:rPr>
          <w:color w:val="000000"/>
          <w:szCs w:val="24"/>
        </w:rPr>
        <w:instrText xml:space="preserve"> FORMTEXT </w:instrText>
      </w:r>
      <w:r w:rsidR="000E7842" w:rsidRPr="00204288">
        <w:rPr>
          <w:color w:val="000000"/>
          <w:szCs w:val="24"/>
        </w:rPr>
      </w:r>
      <w:r w:rsidR="000E7842" w:rsidRPr="00204288">
        <w:rPr>
          <w:color w:val="000000"/>
          <w:szCs w:val="24"/>
        </w:rPr>
        <w:fldChar w:fldCharType="end"/>
      </w:r>
      <w:bookmarkEnd w:id="0"/>
    </w:p>
    <w:p w:rsidR="00272D3C" w:rsidRPr="00204288" w:rsidRDefault="00C97AC7" w:rsidP="00C97AC7">
      <w:pPr>
        <w:jc w:val="right"/>
        <w:rPr>
          <w:color w:val="000000"/>
          <w:szCs w:val="24"/>
        </w:rPr>
      </w:pPr>
      <w:r w:rsidRPr="00204288">
        <w:rPr>
          <w:color w:val="000000"/>
          <w:szCs w:val="24"/>
        </w:rPr>
        <w:t>Docket No. R-</w:t>
      </w:r>
      <w:r w:rsidR="00FE1780">
        <w:rPr>
          <w:color w:val="000000"/>
          <w:szCs w:val="24"/>
        </w:rPr>
        <w:t>2010-2163663</w:t>
      </w:r>
    </w:p>
    <w:p w:rsidR="00272D3C" w:rsidRPr="00204288" w:rsidRDefault="00486A7A" w:rsidP="00266BF8">
      <w:pPr>
        <w:pStyle w:val="BodyText"/>
        <w:jc w:val="right"/>
        <w:rPr>
          <w:color w:val="000000"/>
        </w:rPr>
      </w:pPr>
      <w:r w:rsidRPr="00204288">
        <w:rPr>
          <w:color w:val="000000"/>
          <w:szCs w:val="24"/>
        </w:rPr>
        <w:t xml:space="preserve">                                                           </w:t>
      </w:r>
      <w:r w:rsidR="00C97AC7" w:rsidRPr="00204288">
        <w:rPr>
          <w:color w:val="000000"/>
          <w:szCs w:val="24"/>
        </w:rPr>
        <w:t xml:space="preserve">                </w:t>
      </w:r>
      <w:r w:rsidR="00C97AC7" w:rsidRPr="00204288">
        <w:rPr>
          <w:color w:val="000000"/>
        </w:rPr>
        <w:t xml:space="preserve">Utility Code: </w:t>
      </w:r>
      <w:r w:rsidR="00FE1780">
        <w:rPr>
          <w:color w:val="000000"/>
        </w:rPr>
        <w:t>310817</w:t>
      </w:r>
    </w:p>
    <w:p w:rsidR="00624D1C" w:rsidRPr="006435E6" w:rsidRDefault="00624D1C" w:rsidP="00624D1C">
      <w:pPr>
        <w:rPr>
          <w:caps/>
          <w:color w:val="000000"/>
          <w:szCs w:val="24"/>
        </w:rPr>
      </w:pPr>
      <w:r w:rsidRPr="006435E6">
        <w:rPr>
          <w:caps/>
          <w:color w:val="000000"/>
          <w:szCs w:val="24"/>
        </w:rPr>
        <w:t>Tom Forte</w:t>
      </w:r>
    </w:p>
    <w:p w:rsidR="00624D1C" w:rsidRPr="006435E6" w:rsidRDefault="00624D1C" w:rsidP="00624D1C">
      <w:pPr>
        <w:rPr>
          <w:color w:val="000000"/>
          <w:szCs w:val="24"/>
        </w:rPr>
      </w:pPr>
      <w:r>
        <w:rPr>
          <w:color w:val="000000"/>
          <w:szCs w:val="24"/>
        </w:rPr>
        <w:t>LEGACY LONG DISTANCE INTERNATIONAL INC</w:t>
      </w:r>
    </w:p>
    <w:p w:rsidR="00624D1C" w:rsidRPr="006435E6" w:rsidRDefault="00624D1C" w:rsidP="00624D1C">
      <w:pPr>
        <w:rPr>
          <w:color w:val="000000"/>
          <w:szCs w:val="24"/>
        </w:rPr>
      </w:pPr>
      <w:r w:rsidRPr="006435E6">
        <w:rPr>
          <w:color w:val="000000"/>
          <w:szCs w:val="24"/>
        </w:rPr>
        <w:t>2600 MAITLAND CENTER PKWY</w:t>
      </w:r>
      <w:r w:rsidR="0084370E">
        <w:rPr>
          <w:color w:val="000000"/>
          <w:szCs w:val="24"/>
        </w:rPr>
        <w:t xml:space="preserve"> </w:t>
      </w:r>
    </w:p>
    <w:p w:rsidR="00624D1C" w:rsidRPr="006435E6" w:rsidRDefault="00624D1C" w:rsidP="00624D1C">
      <w:pPr>
        <w:rPr>
          <w:color w:val="000000"/>
          <w:szCs w:val="24"/>
        </w:rPr>
      </w:pPr>
      <w:r w:rsidRPr="006435E6">
        <w:rPr>
          <w:color w:val="000000"/>
          <w:szCs w:val="24"/>
        </w:rPr>
        <w:t>MAITLAND FL 32790-0200</w:t>
      </w:r>
    </w:p>
    <w:p w:rsidR="00624D1C" w:rsidRPr="006435E6" w:rsidRDefault="00624D1C" w:rsidP="00624D1C">
      <w:pPr>
        <w:tabs>
          <w:tab w:val="left" w:pos="5760"/>
          <w:tab w:val="left" w:pos="7344"/>
        </w:tabs>
        <w:rPr>
          <w:color w:val="000000"/>
          <w:szCs w:val="24"/>
        </w:rPr>
      </w:pPr>
    </w:p>
    <w:p w:rsidR="00272D3C" w:rsidRPr="00204288" w:rsidRDefault="00272D3C" w:rsidP="00272D3C">
      <w:pPr>
        <w:ind w:left="-90" w:firstLine="90"/>
        <w:jc w:val="both"/>
        <w:rPr>
          <w:color w:val="000000"/>
          <w:szCs w:val="24"/>
        </w:rPr>
      </w:pPr>
    </w:p>
    <w:p w:rsidR="00C97AC7" w:rsidRPr="00204288" w:rsidRDefault="00C97AC7" w:rsidP="00272D3C">
      <w:pPr>
        <w:ind w:left="-90" w:firstLine="90"/>
        <w:jc w:val="both"/>
        <w:rPr>
          <w:color w:val="000000"/>
          <w:szCs w:val="24"/>
        </w:rPr>
      </w:pPr>
    </w:p>
    <w:p w:rsidR="00272D3C" w:rsidRPr="00204288" w:rsidRDefault="00272D3C" w:rsidP="00272D3C">
      <w:pPr>
        <w:ind w:left="1440" w:hanging="720"/>
        <w:jc w:val="both"/>
        <w:rPr>
          <w:color w:val="000000"/>
          <w:szCs w:val="24"/>
        </w:rPr>
      </w:pPr>
      <w:r w:rsidRPr="00204288">
        <w:rPr>
          <w:color w:val="000000"/>
          <w:szCs w:val="24"/>
        </w:rPr>
        <w:t>Re:</w:t>
      </w:r>
      <w:r w:rsidRPr="00204288">
        <w:rPr>
          <w:color w:val="000000"/>
          <w:szCs w:val="24"/>
        </w:rPr>
        <w:tab/>
      </w:r>
      <w:r w:rsidR="00624D1C">
        <w:rPr>
          <w:color w:val="000000"/>
          <w:szCs w:val="24"/>
        </w:rPr>
        <w:t xml:space="preserve">Legacy Long Distance International </w:t>
      </w:r>
    </w:p>
    <w:p w:rsidR="00272D3C" w:rsidRPr="00204288" w:rsidRDefault="00272D3C" w:rsidP="00272D3C">
      <w:pPr>
        <w:ind w:left="1440"/>
        <w:jc w:val="both"/>
        <w:rPr>
          <w:color w:val="000000"/>
          <w:szCs w:val="24"/>
        </w:rPr>
      </w:pPr>
      <w:r w:rsidRPr="00204288">
        <w:rPr>
          <w:color w:val="000000"/>
          <w:szCs w:val="24"/>
        </w:rPr>
        <w:t>Revision</w:t>
      </w:r>
      <w:r w:rsidR="00F721B6" w:rsidRPr="00204288">
        <w:rPr>
          <w:color w:val="000000"/>
          <w:szCs w:val="24"/>
        </w:rPr>
        <w:t>s</w:t>
      </w:r>
      <w:r w:rsidR="0089286C" w:rsidRPr="00204288">
        <w:rPr>
          <w:color w:val="000000"/>
          <w:szCs w:val="24"/>
        </w:rPr>
        <w:t xml:space="preserve"> to</w:t>
      </w:r>
      <w:r w:rsidR="0000339F" w:rsidRPr="00204288">
        <w:rPr>
          <w:color w:val="000000"/>
          <w:szCs w:val="24"/>
        </w:rPr>
        <w:t xml:space="preserve"> </w:t>
      </w:r>
      <w:r w:rsidR="007366A2">
        <w:rPr>
          <w:color w:val="000000"/>
          <w:szCs w:val="24"/>
        </w:rPr>
        <w:t>Interexchange</w:t>
      </w:r>
      <w:r w:rsidR="00492E7E">
        <w:rPr>
          <w:color w:val="000000"/>
          <w:szCs w:val="24"/>
        </w:rPr>
        <w:t xml:space="preserve"> Reseller</w:t>
      </w:r>
      <w:r w:rsidR="00E90EA2">
        <w:rPr>
          <w:color w:val="000000"/>
          <w:szCs w:val="24"/>
        </w:rPr>
        <w:t xml:space="preserve"> </w:t>
      </w:r>
      <w:r w:rsidRPr="00204288">
        <w:rPr>
          <w:color w:val="000000"/>
          <w:szCs w:val="24"/>
        </w:rPr>
        <w:t xml:space="preserve">Tariff </w:t>
      </w:r>
    </w:p>
    <w:p w:rsidR="00272D3C" w:rsidRPr="00204288" w:rsidRDefault="00272D3C" w:rsidP="00272D3C">
      <w:pPr>
        <w:rPr>
          <w:color w:val="000000"/>
          <w:szCs w:val="24"/>
        </w:rPr>
      </w:pPr>
    </w:p>
    <w:p w:rsidR="005553DC" w:rsidRPr="00204288" w:rsidRDefault="00272D3C" w:rsidP="00272D3C">
      <w:pPr>
        <w:rPr>
          <w:color w:val="000000"/>
          <w:szCs w:val="24"/>
        </w:rPr>
      </w:pPr>
      <w:r w:rsidRPr="00204288">
        <w:rPr>
          <w:color w:val="000000"/>
          <w:szCs w:val="24"/>
        </w:rPr>
        <w:t>Dear M</w:t>
      </w:r>
      <w:r w:rsidR="007366A2">
        <w:rPr>
          <w:color w:val="000000"/>
          <w:szCs w:val="24"/>
        </w:rPr>
        <w:t>r</w:t>
      </w:r>
      <w:r w:rsidR="0089286C" w:rsidRPr="00204288">
        <w:rPr>
          <w:color w:val="000000"/>
          <w:szCs w:val="24"/>
        </w:rPr>
        <w:t xml:space="preserve">. </w:t>
      </w:r>
      <w:r w:rsidR="009C259A">
        <w:rPr>
          <w:color w:val="000000"/>
          <w:szCs w:val="24"/>
        </w:rPr>
        <w:t>Forte</w:t>
      </w:r>
      <w:r w:rsidRPr="00204288">
        <w:rPr>
          <w:color w:val="000000"/>
          <w:szCs w:val="24"/>
        </w:rPr>
        <w:t>:</w:t>
      </w:r>
    </w:p>
    <w:p w:rsidR="00734009" w:rsidRPr="00204288" w:rsidRDefault="00734009" w:rsidP="00734009">
      <w:pPr>
        <w:pStyle w:val="BodyText"/>
        <w:spacing w:before="240"/>
        <w:ind w:firstLine="720"/>
        <w:rPr>
          <w:color w:val="000000"/>
          <w:szCs w:val="24"/>
        </w:rPr>
      </w:pPr>
      <w:r w:rsidRPr="00204288">
        <w:rPr>
          <w:color w:val="000000"/>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204288" w:rsidRDefault="00272D3C" w:rsidP="00272D3C">
      <w:pPr>
        <w:pStyle w:val="BodyText"/>
        <w:rPr>
          <w:color w:val="000000"/>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1"/>
        <w:gridCol w:w="900"/>
        <w:gridCol w:w="4193"/>
        <w:gridCol w:w="1350"/>
        <w:gridCol w:w="1327"/>
      </w:tblGrid>
      <w:tr w:rsidR="001A1A45" w:rsidRPr="00204288" w:rsidTr="00F8148F">
        <w:trPr>
          <w:tblHeader/>
          <w:jc w:val="center"/>
        </w:trPr>
        <w:tc>
          <w:tcPr>
            <w:tcW w:w="1471" w:type="dxa"/>
          </w:tcPr>
          <w:p w:rsidR="001A1A45" w:rsidRPr="00204288" w:rsidRDefault="001A1A45" w:rsidP="00F8148F">
            <w:pPr>
              <w:pStyle w:val="BodyText"/>
              <w:jc w:val="center"/>
              <w:rPr>
                <w:b/>
                <w:color w:val="000000"/>
                <w:szCs w:val="24"/>
              </w:rPr>
            </w:pPr>
            <w:r w:rsidRPr="00204288">
              <w:rPr>
                <w:b/>
                <w:color w:val="000000"/>
                <w:szCs w:val="24"/>
              </w:rPr>
              <w:t xml:space="preserve">Supplement </w:t>
            </w:r>
          </w:p>
        </w:tc>
        <w:tc>
          <w:tcPr>
            <w:tcW w:w="900" w:type="dxa"/>
          </w:tcPr>
          <w:p w:rsidR="001A1A45" w:rsidRPr="00204288" w:rsidRDefault="001A1A45" w:rsidP="00F8148F">
            <w:pPr>
              <w:pStyle w:val="BodyText"/>
              <w:jc w:val="center"/>
              <w:rPr>
                <w:b/>
                <w:color w:val="000000"/>
                <w:szCs w:val="24"/>
              </w:rPr>
            </w:pPr>
            <w:r w:rsidRPr="00204288">
              <w:rPr>
                <w:b/>
                <w:color w:val="000000"/>
                <w:szCs w:val="24"/>
              </w:rPr>
              <w:t xml:space="preserve">Tariff </w:t>
            </w:r>
          </w:p>
        </w:tc>
        <w:tc>
          <w:tcPr>
            <w:tcW w:w="4193" w:type="dxa"/>
          </w:tcPr>
          <w:p w:rsidR="001A1A45" w:rsidRPr="00204288" w:rsidRDefault="001A1A45" w:rsidP="00F8148F">
            <w:pPr>
              <w:pStyle w:val="BodyText"/>
              <w:jc w:val="center"/>
              <w:rPr>
                <w:b/>
                <w:color w:val="000000"/>
                <w:szCs w:val="24"/>
              </w:rPr>
            </w:pPr>
            <w:r w:rsidRPr="00204288">
              <w:rPr>
                <w:b/>
                <w:color w:val="000000"/>
                <w:szCs w:val="24"/>
              </w:rPr>
              <w:t>Description</w:t>
            </w:r>
          </w:p>
        </w:tc>
        <w:tc>
          <w:tcPr>
            <w:tcW w:w="1350" w:type="dxa"/>
          </w:tcPr>
          <w:p w:rsidR="001A1A45" w:rsidRPr="00204288" w:rsidRDefault="001A1A45" w:rsidP="00F8148F">
            <w:pPr>
              <w:pStyle w:val="BodyText"/>
              <w:jc w:val="center"/>
              <w:rPr>
                <w:b/>
                <w:color w:val="000000"/>
                <w:szCs w:val="24"/>
              </w:rPr>
            </w:pPr>
            <w:r w:rsidRPr="00204288">
              <w:rPr>
                <w:b/>
                <w:color w:val="000000"/>
                <w:szCs w:val="24"/>
              </w:rPr>
              <w:t>Filed</w:t>
            </w:r>
          </w:p>
        </w:tc>
        <w:tc>
          <w:tcPr>
            <w:tcW w:w="1327" w:type="dxa"/>
          </w:tcPr>
          <w:p w:rsidR="001A1A45" w:rsidRPr="00204288" w:rsidRDefault="001A1A45" w:rsidP="00F8148F">
            <w:pPr>
              <w:pStyle w:val="BodyText"/>
              <w:jc w:val="center"/>
              <w:rPr>
                <w:b/>
                <w:color w:val="000000"/>
                <w:szCs w:val="24"/>
              </w:rPr>
            </w:pPr>
            <w:r w:rsidRPr="00204288">
              <w:rPr>
                <w:b/>
                <w:color w:val="000000"/>
                <w:szCs w:val="24"/>
              </w:rPr>
              <w:t>Effective</w:t>
            </w:r>
          </w:p>
        </w:tc>
      </w:tr>
      <w:tr w:rsidR="001A1A45" w:rsidRPr="00204288" w:rsidTr="00F8148F">
        <w:trPr>
          <w:jc w:val="center"/>
        </w:trPr>
        <w:tc>
          <w:tcPr>
            <w:tcW w:w="1471" w:type="dxa"/>
          </w:tcPr>
          <w:p w:rsidR="001A1A45" w:rsidRPr="00204288" w:rsidRDefault="00624D1C" w:rsidP="0089286C">
            <w:pPr>
              <w:pStyle w:val="BodyText"/>
              <w:jc w:val="center"/>
              <w:rPr>
                <w:color w:val="000000"/>
                <w:szCs w:val="24"/>
              </w:rPr>
            </w:pPr>
            <w:r>
              <w:rPr>
                <w:color w:val="000000"/>
                <w:szCs w:val="24"/>
              </w:rPr>
              <w:t>10</w:t>
            </w:r>
          </w:p>
        </w:tc>
        <w:tc>
          <w:tcPr>
            <w:tcW w:w="900" w:type="dxa"/>
          </w:tcPr>
          <w:p w:rsidR="001A1A45" w:rsidRPr="00204288" w:rsidRDefault="00624D1C" w:rsidP="00F8148F">
            <w:pPr>
              <w:pStyle w:val="BodyText"/>
              <w:jc w:val="center"/>
              <w:rPr>
                <w:color w:val="000000"/>
                <w:szCs w:val="24"/>
              </w:rPr>
            </w:pPr>
            <w:r>
              <w:rPr>
                <w:color w:val="000000"/>
                <w:szCs w:val="24"/>
              </w:rPr>
              <w:t>1</w:t>
            </w:r>
          </w:p>
        </w:tc>
        <w:tc>
          <w:tcPr>
            <w:tcW w:w="4193" w:type="dxa"/>
          </w:tcPr>
          <w:p w:rsidR="001A1A45" w:rsidRPr="00204288" w:rsidRDefault="00624D1C" w:rsidP="00DF427B">
            <w:pPr>
              <w:pStyle w:val="BodyText"/>
              <w:rPr>
                <w:color w:val="000000"/>
                <w:szCs w:val="24"/>
              </w:rPr>
            </w:pPr>
            <w:r>
              <w:rPr>
                <w:color w:val="000000"/>
                <w:szCs w:val="24"/>
              </w:rPr>
              <w:t>To introduce the Legacy Call Plan 8xx II</w:t>
            </w:r>
            <w:r w:rsidR="00DF427B">
              <w:rPr>
                <w:color w:val="000000"/>
                <w:szCs w:val="24"/>
              </w:rPr>
              <w:t xml:space="preserve"> </w:t>
            </w:r>
            <w:r w:rsidR="00BF3CE9" w:rsidRPr="00204288">
              <w:rPr>
                <w:color w:val="000000"/>
                <w:szCs w:val="24"/>
              </w:rPr>
              <w:t xml:space="preserve"> </w:t>
            </w:r>
          </w:p>
        </w:tc>
        <w:tc>
          <w:tcPr>
            <w:tcW w:w="1350" w:type="dxa"/>
          </w:tcPr>
          <w:p w:rsidR="001A1A45" w:rsidRPr="00204288" w:rsidRDefault="009C259A" w:rsidP="00F8148F">
            <w:pPr>
              <w:pStyle w:val="BodyText"/>
              <w:jc w:val="center"/>
              <w:rPr>
                <w:color w:val="000000"/>
                <w:szCs w:val="24"/>
              </w:rPr>
            </w:pPr>
            <w:r>
              <w:rPr>
                <w:color w:val="000000"/>
                <w:szCs w:val="24"/>
              </w:rPr>
              <w:t>03/11/2010</w:t>
            </w:r>
          </w:p>
        </w:tc>
        <w:tc>
          <w:tcPr>
            <w:tcW w:w="1327" w:type="dxa"/>
          </w:tcPr>
          <w:p w:rsidR="001A1A45" w:rsidRPr="00204288" w:rsidRDefault="009240DF" w:rsidP="009C259A">
            <w:pPr>
              <w:pStyle w:val="BodyText"/>
              <w:jc w:val="center"/>
              <w:rPr>
                <w:color w:val="000000"/>
                <w:szCs w:val="24"/>
              </w:rPr>
            </w:pPr>
            <w:r>
              <w:rPr>
                <w:color w:val="000000"/>
                <w:szCs w:val="24"/>
              </w:rPr>
              <w:t>03/</w:t>
            </w:r>
            <w:r w:rsidR="009C259A">
              <w:rPr>
                <w:color w:val="000000"/>
                <w:szCs w:val="24"/>
              </w:rPr>
              <w:t>15</w:t>
            </w:r>
            <w:r>
              <w:rPr>
                <w:color w:val="000000"/>
                <w:szCs w:val="24"/>
              </w:rPr>
              <w:t>/2010</w:t>
            </w:r>
          </w:p>
        </w:tc>
      </w:tr>
    </w:tbl>
    <w:p w:rsidR="00E965F7" w:rsidRPr="00204288" w:rsidRDefault="00E965F7" w:rsidP="00E965F7">
      <w:pPr>
        <w:pStyle w:val="BodyText"/>
        <w:rPr>
          <w:color w:val="000000"/>
          <w:szCs w:val="24"/>
        </w:rPr>
      </w:pPr>
    </w:p>
    <w:p w:rsidR="00E90EA2" w:rsidRDefault="00E90EA2" w:rsidP="00E90EA2">
      <w:pPr>
        <w:pStyle w:val="BodyText"/>
        <w:ind w:firstLine="720"/>
        <w:rPr>
          <w:szCs w:val="24"/>
        </w:rPr>
      </w:pPr>
      <w:r>
        <w:rPr>
          <w:szCs w:val="24"/>
        </w:rPr>
        <w:t>Please be advised that 66 Pa. C.S. § 3018(b)(2) gives interexchange carriers (IXCs) three options regarding intrastate tariffs:  (1) operate as a detariffed IXC</w:t>
      </w:r>
      <w:r>
        <w:rPr>
          <w:rStyle w:val="FootnoteReference"/>
          <w:szCs w:val="24"/>
        </w:rPr>
        <w:footnoteReference w:id="1"/>
      </w:r>
      <w:r>
        <w:rPr>
          <w:szCs w:val="24"/>
        </w:rPr>
        <w:t xml:space="preserve"> by submitting a letter to the Secretary’s Bureau canceling their respective tariff on file with the Commission and withdrawing any pending tariff supplements, (2) maintain a price list in lieu of a tariff by submitting a letter to the Secretary’s Bureau (updates to price lists will be processed in the same manner as tariff revisions), or (3) continue to maintain a tariff with the Commission following the current process.</w:t>
      </w:r>
    </w:p>
    <w:p w:rsidR="006E6767" w:rsidRDefault="006E6767" w:rsidP="00E90EA2">
      <w:pPr>
        <w:pStyle w:val="BodyText"/>
        <w:ind w:firstLine="720"/>
        <w:rPr>
          <w:szCs w:val="24"/>
        </w:rPr>
      </w:pPr>
    </w:p>
    <w:p w:rsidR="00246CCE" w:rsidRPr="00246CCE" w:rsidRDefault="00246CCE" w:rsidP="00246CCE">
      <w:pPr>
        <w:pStyle w:val="BodyText"/>
        <w:ind w:firstLine="720"/>
        <w:rPr>
          <w:b/>
          <w:color w:val="000000" w:themeColor="text1"/>
        </w:rPr>
      </w:pPr>
      <w:r w:rsidRPr="00246CCE">
        <w:rPr>
          <w:color w:val="000000" w:themeColor="text1"/>
        </w:rPr>
        <w:t xml:space="preserve">Please note that an IXC that is not detariffed is required to maintain its most current tariff on its website with a link to the Commission’s website.  However, staff was unable to access the Company’s </w:t>
      </w:r>
      <w:r w:rsidRPr="00246CCE">
        <w:rPr>
          <w:b/>
          <w:color w:val="000000" w:themeColor="text1"/>
        </w:rPr>
        <w:t>current</w:t>
      </w:r>
      <w:r w:rsidRPr="00246CCE">
        <w:rPr>
          <w:color w:val="000000" w:themeColor="text1"/>
        </w:rPr>
        <w:t xml:space="preserve"> online tariffs.  Specifically, the online version of Tariff No. 1 has not been updated to reflect the revisions contained in Supplement No. 10.  </w:t>
      </w:r>
      <w:r w:rsidRPr="00246CCE">
        <w:rPr>
          <w:b/>
          <w:color w:val="000000" w:themeColor="text1"/>
        </w:rPr>
        <w:t xml:space="preserve">Therefore, within 10 days of the date of this letter, the Company is directed to update its online tariffs and provide confirmation to J. Elaine McDonald at </w:t>
      </w:r>
      <w:r w:rsidRPr="00246CCE">
        <w:rPr>
          <w:b/>
          <w:color w:val="000000" w:themeColor="text1"/>
          <w:u w:val="single"/>
        </w:rPr>
        <w:t>jmcdonald@state.pa.us</w:t>
      </w:r>
      <w:r w:rsidRPr="00246CCE">
        <w:rPr>
          <w:b/>
          <w:color w:val="000000" w:themeColor="text1"/>
        </w:rPr>
        <w:t>.</w:t>
      </w:r>
    </w:p>
    <w:p w:rsidR="00246CCE" w:rsidRPr="00246CCE" w:rsidRDefault="00246CCE" w:rsidP="00E90EA2">
      <w:pPr>
        <w:pStyle w:val="BodyText"/>
        <w:ind w:firstLine="720"/>
        <w:rPr>
          <w:color w:val="000000" w:themeColor="text1"/>
          <w:szCs w:val="24"/>
        </w:rPr>
      </w:pPr>
    </w:p>
    <w:p w:rsidR="000125D7" w:rsidRPr="00246CCE" w:rsidRDefault="000125D7" w:rsidP="00DF2E12">
      <w:pPr>
        <w:pStyle w:val="BodyText"/>
        <w:ind w:firstLine="720"/>
        <w:rPr>
          <w:color w:val="000000" w:themeColor="text1"/>
          <w:szCs w:val="24"/>
        </w:rPr>
      </w:pPr>
    </w:p>
    <w:p w:rsidR="00272D3C" w:rsidRPr="008A4494" w:rsidRDefault="00877BD4" w:rsidP="00DF2E12">
      <w:pPr>
        <w:pStyle w:val="BodyText"/>
        <w:ind w:firstLine="720"/>
        <w:rPr>
          <w:color w:val="000000"/>
          <w:szCs w:val="24"/>
        </w:rPr>
      </w:pPr>
      <w:r>
        <w:rPr>
          <w:noProof/>
          <w:color w:val="000000"/>
          <w:szCs w:val="24"/>
        </w:rPr>
        <w:drawing>
          <wp:anchor distT="0" distB="0" distL="114300" distR="114300" simplePos="0" relativeHeight="251660288" behindDoc="1" locked="0" layoutInCell="1" allowOverlap="1">
            <wp:simplePos x="0" y="0"/>
            <wp:positionH relativeFrom="column">
              <wp:posOffset>2095500</wp:posOffset>
            </wp:positionH>
            <wp:positionV relativeFrom="paragraph">
              <wp:posOffset>681990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272D3C" w:rsidRPr="008A4494">
        <w:rPr>
          <w:color w:val="000000"/>
          <w:szCs w:val="24"/>
        </w:rPr>
        <w:t>If you are</w:t>
      </w:r>
      <w:r w:rsidR="00E965F7" w:rsidRPr="008A4494">
        <w:rPr>
          <w:color w:val="000000"/>
          <w:szCs w:val="24"/>
        </w:rPr>
        <w:t xml:space="preserve"> </w:t>
      </w:r>
      <w:r w:rsidR="00272D3C" w:rsidRPr="008A4494">
        <w:rPr>
          <w:color w:val="000000"/>
          <w:szCs w:val="24"/>
        </w:rPr>
        <w:t>dissatisfied with the resolution of this matter, you may, as set forth in 52 Pa. Code §</w:t>
      </w:r>
      <w:r w:rsidR="00352AFA" w:rsidRPr="008A4494">
        <w:rPr>
          <w:color w:val="000000"/>
          <w:szCs w:val="24"/>
        </w:rPr>
        <w:t xml:space="preserve"> </w:t>
      </w:r>
      <w:r w:rsidR="00272D3C" w:rsidRPr="008A4494">
        <w:rPr>
          <w:color w:val="000000"/>
          <w:szCs w:val="24"/>
        </w:rPr>
        <w:t>5.44, file a petition with the Commission within 20 days of the date of this letter.  If you have any questions in this matter, please contact</w:t>
      </w:r>
      <w:r w:rsidR="00393E39" w:rsidRPr="008A4494">
        <w:rPr>
          <w:color w:val="000000"/>
          <w:szCs w:val="24"/>
        </w:rPr>
        <w:t xml:space="preserve"> Bryan Mahla</w:t>
      </w:r>
      <w:r w:rsidR="00272D3C" w:rsidRPr="008A4494">
        <w:rPr>
          <w:color w:val="000000"/>
          <w:szCs w:val="24"/>
        </w:rPr>
        <w:t xml:space="preserve">, Telco Group, Bureau of Fixed Utility Services at </w:t>
      </w:r>
      <w:r w:rsidR="00352AFA" w:rsidRPr="008A4494">
        <w:rPr>
          <w:color w:val="000000"/>
          <w:szCs w:val="24"/>
        </w:rPr>
        <w:t>(</w:t>
      </w:r>
      <w:r w:rsidR="00272D3C" w:rsidRPr="008A4494">
        <w:rPr>
          <w:color w:val="000000"/>
          <w:szCs w:val="24"/>
        </w:rPr>
        <w:t>717</w:t>
      </w:r>
      <w:r w:rsidR="00352AFA" w:rsidRPr="008A4494">
        <w:rPr>
          <w:color w:val="000000"/>
          <w:szCs w:val="24"/>
        </w:rPr>
        <w:t>)</w:t>
      </w:r>
      <w:r w:rsidR="00730052" w:rsidRPr="008A4494">
        <w:rPr>
          <w:color w:val="000000"/>
          <w:szCs w:val="24"/>
        </w:rPr>
        <w:t xml:space="preserve"> 787-6381</w:t>
      </w:r>
      <w:r w:rsidR="00272D3C" w:rsidRPr="008A4494">
        <w:rPr>
          <w:color w:val="000000"/>
          <w:szCs w:val="24"/>
        </w:rPr>
        <w:t xml:space="preserve"> or </w:t>
      </w:r>
      <w:r w:rsidR="00F61108" w:rsidRPr="00F61108">
        <w:rPr>
          <w:color w:val="000000"/>
          <w:szCs w:val="24"/>
          <w:u w:val="single"/>
        </w:rPr>
        <w:t>bmahla@state.pa.us</w:t>
      </w:r>
      <w:r w:rsidR="00F61108">
        <w:rPr>
          <w:color w:val="000000"/>
          <w:szCs w:val="24"/>
        </w:rPr>
        <w:t>.</w:t>
      </w:r>
      <w:r w:rsidR="00272D3C" w:rsidRPr="008A4494">
        <w:rPr>
          <w:color w:val="000000"/>
          <w:szCs w:val="24"/>
        </w:rPr>
        <w:t xml:space="preserve"> </w:t>
      </w:r>
    </w:p>
    <w:p w:rsidR="00272D3C" w:rsidRPr="008A4494" w:rsidRDefault="00272D3C" w:rsidP="00272D3C">
      <w:pPr>
        <w:rPr>
          <w:color w:val="000000"/>
          <w:szCs w:val="24"/>
        </w:rPr>
      </w:pPr>
    </w:p>
    <w:p w:rsidR="00272D3C" w:rsidRPr="008A4494" w:rsidRDefault="00272D3C" w:rsidP="00272D3C">
      <w:pPr>
        <w:rPr>
          <w:color w:val="000000"/>
          <w:szCs w:val="24"/>
        </w:rPr>
      </w:pPr>
      <w:r w:rsidRPr="008A4494">
        <w:rPr>
          <w:color w:val="000000"/>
          <w:szCs w:val="24"/>
        </w:rPr>
        <w:tab/>
      </w:r>
      <w:r w:rsidRPr="008A4494">
        <w:rPr>
          <w:color w:val="000000"/>
          <w:szCs w:val="24"/>
        </w:rPr>
        <w:tab/>
      </w:r>
      <w:r w:rsidRPr="008A4494">
        <w:rPr>
          <w:color w:val="000000"/>
          <w:szCs w:val="24"/>
        </w:rPr>
        <w:tab/>
      </w:r>
      <w:r w:rsidRPr="008A4494">
        <w:rPr>
          <w:color w:val="000000"/>
          <w:szCs w:val="24"/>
        </w:rPr>
        <w:tab/>
      </w:r>
      <w:r w:rsidRPr="008A4494">
        <w:rPr>
          <w:color w:val="000000"/>
          <w:szCs w:val="24"/>
        </w:rPr>
        <w:tab/>
      </w:r>
      <w:r w:rsidRPr="008A4494">
        <w:rPr>
          <w:color w:val="000000"/>
          <w:szCs w:val="24"/>
        </w:rPr>
        <w:tab/>
        <w:t>Sincerely,</w:t>
      </w:r>
    </w:p>
    <w:p w:rsidR="00272D3C" w:rsidRPr="008A4494" w:rsidRDefault="00272D3C" w:rsidP="00272D3C">
      <w:pPr>
        <w:rPr>
          <w:color w:val="000000"/>
          <w:szCs w:val="24"/>
        </w:rPr>
      </w:pPr>
    </w:p>
    <w:p w:rsidR="005553DC" w:rsidRPr="008A4494" w:rsidRDefault="005553DC" w:rsidP="00272D3C">
      <w:pPr>
        <w:rPr>
          <w:color w:val="000000"/>
          <w:szCs w:val="24"/>
        </w:rPr>
      </w:pPr>
    </w:p>
    <w:p w:rsidR="00272D3C" w:rsidRPr="008A4494" w:rsidRDefault="00272D3C" w:rsidP="00272D3C">
      <w:pPr>
        <w:rPr>
          <w:color w:val="000000"/>
          <w:szCs w:val="24"/>
        </w:rPr>
      </w:pPr>
    </w:p>
    <w:p w:rsidR="00272D3C" w:rsidRPr="008A4494" w:rsidRDefault="00272D3C" w:rsidP="00272D3C">
      <w:pPr>
        <w:pStyle w:val="Heading2"/>
        <w:tabs>
          <w:tab w:val="left" w:pos="4320"/>
        </w:tabs>
        <w:ind w:left="0" w:firstLine="0"/>
        <w:rPr>
          <w:color w:val="000000"/>
          <w:szCs w:val="24"/>
        </w:rPr>
      </w:pPr>
      <w:r w:rsidRPr="008A4494">
        <w:rPr>
          <w:color w:val="000000"/>
          <w:szCs w:val="24"/>
        </w:rPr>
        <w:tab/>
        <w:t>James J. McNulty</w:t>
      </w:r>
    </w:p>
    <w:p w:rsidR="00272D3C" w:rsidRPr="008A4494" w:rsidRDefault="00272D3C" w:rsidP="00272D3C">
      <w:pPr>
        <w:pStyle w:val="Heading2"/>
        <w:tabs>
          <w:tab w:val="left" w:pos="4320"/>
        </w:tabs>
        <w:ind w:left="0" w:firstLine="0"/>
        <w:rPr>
          <w:color w:val="000000"/>
          <w:szCs w:val="24"/>
        </w:rPr>
      </w:pPr>
      <w:r w:rsidRPr="008A4494">
        <w:rPr>
          <w:color w:val="000000"/>
          <w:szCs w:val="24"/>
        </w:rPr>
        <w:tab/>
        <w:t>Secretary</w:t>
      </w:r>
    </w:p>
    <w:p w:rsidR="00272D3C" w:rsidRPr="008A4494" w:rsidRDefault="00272D3C" w:rsidP="00272D3C">
      <w:pPr>
        <w:rPr>
          <w:color w:val="000000"/>
          <w:szCs w:val="24"/>
        </w:rPr>
      </w:pPr>
    </w:p>
    <w:p w:rsidR="00272D3C" w:rsidRPr="008A4494" w:rsidRDefault="00272D3C" w:rsidP="00272D3C">
      <w:pPr>
        <w:rPr>
          <w:color w:val="000000"/>
          <w:szCs w:val="24"/>
        </w:rPr>
      </w:pPr>
      <w:r w:rsidRPr="008A4494">
        <w:rPr>
          <w:color w:val="000000"/>
          <w:szCs w:val="24"/>
        </w:rPr>
        <w:t>cc:</w:t>
      </w:r>
      <w:r w:rsidRPr="008A4494">
        <w:rPr>
          <w:color w:val="000000"/>
          <w:szCs w:val="24"/>
        </w:rPr>
        <w:tab/>
        <w:t>Elaine McDonald, FUS</w:t>
      </w:r>
    </w:p>
    <w:p w:rsidR="00272D3C" w:rsidRPr="008A4494" w:rsidRDefault="00272D3C" w:rsidP="00272D3C">
      <w:pPr>
        <w:rPr>
          <w:color w:val="000000"/>
          <w:szCs w:val="24"/>
        </w:rPr>
      </w:pPr>
      <w:r w:rsidRPr="008A4494">
        <w:rPr>
          <w:color w:val="000000"/>
          <w:szCs w:val="24"/>
        </w:rPr>
        <w:tab/>
        <w:t>Kathleen Aunkst, Secretary’s Bureau</w:t>
      </w:r>
    </w:p>
    <w:p w:rsidR="00272D3C" w:rsidRPr="008A4494" w:rsidRDefault="00E965F7" w:rsidP="00272D3C">
      <w:pPr>
        <w:rPr>
          <w:color w:val="000000"/>
          <w:szCs w:val="24"/>
        </w:rPr>
      </w:pPr>
      <w:r w:rsidRPr="008A4494">
        <w:rPr>
          <w:color w:val="000000"/>
          <w:szCs w:val="24"/>
        </w:rPr>
        <w:tab/>
        <w:t xml:space="preserve"> </w:t>
      </w:r>
    </w:p>
    <w:p w:rsidR="00A24641" w:rsidRPr="008A4494" w:rsidRDefault="00A24641" w:rsidP="00272D3C">
      <w:pPr>
        <w:pStyle w:val="BodyText"/>
        <w:jc w:val="right"/>
        <w:rPr>
          <w:color w:val="000000"/>
        </w:rPr>
      </w:pPr>
    </w:p>
    <w:sectPr w:rsidR="00A24641" w:rsidRPr="008A4494"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49E" w:rsidRDefault="0096349E">
      <w:r>
        <w:separator/>
      </w:r>
    </w:p>
  </w:endnote>
  <w:endnote w:type="continuationSeparator" w:id="0">
    <w:p w:rsidR="0096349E" w:rsidRDefault="00963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49E" w:rsidRDefault="0096349E">
      <w:r>
        <w:separator/>
      </w:r>
    </w:p>
  </w:footnote>
  <w:footnote w:type="continuationSeparator" w:id="0">
    <w:p w:rsidR="0096349E" w:rsidRDefault="0096349E">
      <w:r>
        <w:continuationSeparator/>
      </w:r>
    </w:p>
  </w:footnote>
  <w:footnote w:id="1">
    <w:p w:rsidR="00E90EA2" w:rsidRDefault="00E90EA2" w:rsidP="00E90EA2">
      <w:pPr>
        <w:pStyle w:val="FootnoteText"/>
      </w:pPr>
      <w:r>
        <w:rPr>
          <w:rStyle w:val="FootnoteReference"/>
        </w:rPr>
        <w:footnoteRef/>
      </w:r>
      <w:r>
        <w:t xml:space="preserve"> Detariffed IXCs remain subject to state contract laws.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770C"/>
    <w:rsid w:val="0000339F"/>
    <w:rsid w:val="00010B34"/>
    <w:rsid w:val="00010B7E"/>
    <w:rsid w:val="000125D7"/>
    <w:rsid w:val="000156C3"/>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3DB3"/>
    <w:rsid w:val="000C1530"/>
    <w:rsid w:val="000D01DF"/>
    <w:rsid w:val="000D03CA"/>
    <w:rsid w:val="000D0FD9"/>
    <w:rsid w:val="000E07BF"/>
    <w:rsid w:val="000E3B2C"/>
    <w:rsid w:val="000E6A31"/>
    <w:rsid w:val="000E7842"/>
    <w:rsid w:val="001264B6"/>
    <w:rsid w:val="001305A9"/>
    <w:rsid w:val="00131DDA"/>
    <w:rsid w:val="001334FC"/>
    <w:rsid w:val="00142BA3"/>
    <w:rsid w:val="00145AF8"/>
    <w:rsid w:val="00150A3B"/>
    <w:rsid w:val="00150F8B"/>
    <w:rsid w:val="001535C8"/>
    <w:rsid w:val="00157C40"/>
    <w:rsid w:val="00162439"/>
    <w:rsid w:val="0016278E"/>
    <w:rsid w:val="00162A9F"/>
    <w:rsid w:val="0017540A"/>
    <w:rsid w:val="0017685E"/>
    <w:rsid w:val="0017760B"/>
    <w:rsid w:val="0018224F"/>
    <w:rsid w:val="0018720B"/>
    <w:rsid w:val="00191FE1"/>
    <w:rsid w:val="001A1A45"/>
    <w:rsid w:val="001A2153"/>
    <w:rsid w:val="001B4A58"/>
    <w:rsid w:val="001D1712"/>
    <w:rsid w:val="001F4A76"/>
    <w:rsid w:val="00204288"/>
    <w:rsid w:val="00212299"/>
    <w:rsid w:val="00227576"/>
    <w:rsid w:val="002311CC"/>
    <w:rsid w:val="00231244"/>
    <w:rsid w:val="00244511"/>
    <w:rsid w:val="00246CCE"/>
    <w:rsid w:val="00251FB8"/>
    <w:rsid w:val="002557A4"/>
    <w:rsid w:val="00256182"/>
    <w:rsid w:val="00266BF8"/>
    <w:rsid w:val="00270CEE"/>
    <w:rsid w:val="00272D3C"/>
    <w:rsid w:val="00294B4B"/>
    <w:rsid w:val="002D043D"/>
    <w:rsid w:val="002F1221"/>
    <w:rsid w:val="002F2CF3"/>
    <w:rsid w:val="00303F21"/>
    <w:rsid w:val="003107D6"/>
    <w:rsid w:val="003212C6"/>
    <w:rsid w:val="00323D97"/>
    <w:rsid w:val="00331BA5"/>
    <w:rsid w:val="0033489B"/>
    <w:rsid w:val="0034777A"/>
    <w:rsid w:val="00352AFA"/>
    <w:rsid w:val="00393E39"/>
    <w:rsid w:val="003B0E54"/>
    <w:rsid w:val="003B1A94"/>
    <w:rsid w:val="003C1936"/>
    <w:rsid w:val="003C2ACF"/>
    <w:rsid w:val="003D021C"/>
    <w:rsid w:val="003D12FD"/>
    <w:rsid w:val="003D62E8"/>
    <w:rsid w:val="003E6E97"/>
    <w:rsid w:val="003F44B6"/>
    <w:rsid w:val="003F7CE2"/>
    <w:rsid w:val="00401C75"/>
    <w:rsid w:val="004070F8"/>
    <w:rsid w:val="004159C6"/>
    <w:rsid w:val="00420E46"/>
    <w:rsid w:val="00433A08"/>
    <w:rsid w:val="00466AD7"/>
    <w:rsid w:val="00466E2F"/>
    <w:rsid w:val="00470AE3"/>
    <w:rsid w:val="00471C2A"/>
    <w:rsid w:val="004728E1"/>
    <w:rsid w:val="00475058"/>
    <w:rsid w:val="00486A7A"/>
    <w:rsid w:val="00492E7E"/>
    <w:rsid w:val="004B3F1D"/>
    <w:rsid w:val="004B6F33"/>
    <w:rsid w:val="004D2C06"/>
    <w:rsid w:val="004E0233"/>
    <w:rsid w:val="00515CB8"/>
    <w:rsid w:val="00522057"/>
    <w:rsid w:val="00527AA6"/>
    <w:rsid w:val="00527E1A"/>
    <w:rsid w:val="00531804"/>
    <w:rsid w:val="00533855"/>
    <w:rsid w:val="00541572"/>
    <w:rsid w:val="0054596A"/>
    <w:rsid w:val="00546069"/>
    <w:rsid w:val="0054688F"/>
    <w:rsid w:val="005519DE"/>
    <w:rsid w:val="005534C3"/>
    <w:rsid w:val="005548F3"/>
    <w:rsid w:val="005553DC"/>
    <w:rsid w:val="00565FFB"/>
    <w:rsid w:val="00571CC5"/>
    <w:rsid w:val="00574F8B"/>
    <w:rsid w:val="005758E5"/>
    <w:rsid w:val="00583A30"/>
    <w:rsid w:val="0058733C"/>
    <w:rsid w:val="00593A05"/>
    <w:rsid w:val="00597EC1"/>
    <w:rsid w:val="005A7E07"/>
    <w:rsid w:val="005D0EA3"/>
    <w:rsid w:val="005D298F"/>
    <w:rsid w:val="005D669C"/>
    <w:rsid w:val="005F3F27"/>
    <w:rsid w:val="00600756"/>
    <w:rsid w:val="006011EB"/>
    <w:rsid w:val="00621754"/>
    <w:rsid w:val="006238FB"/>
    <w:rsid w:val="00624D1C"/>
    <w:rsid w:val="00633EEA"/>
    <w:rsid w:val="00635A69"/>
    <w:rsid w:val="006504C9"/>
    <w:rsid w:val="00651853"/>
    <w:rsid w:val="0065332E"/>
    <w:rsid w:val="006535C5"/>
    <w:rsid w:val="00654399"/>
    <w:rsid w:val="00657116"/>
    <w:rsid w:val="00663517"/>
    <w:rsid w:val="006721A8"/>
    <w:rsid w:val="00674304"/>
    <w:rsid w:val="0067692B"/>
    <w:rsid w:val="006901A9"/>
    <w:rsid w:val="00692707"/>
    <w:rsid w:val="006A0190"/>
    <w:rsid w:val="006A1277"/>
    <w:rsid w:val="006A19DE"/>
    <w:rsid w:val="006B1842"/>
    <w:rsid w:val="006E1263"/>
    <w:rsid w:val="006E6767"/>
    <w:rsid w:val="006F7BD8"/>
    <w:rsid w:val="00701979"/>
    <w:rsid w:val="0070664E"/>
    <w:rsid w:val="0071134A"/>
    <w:rsid w:val="007166E9"/>
    <w:rsid w:val="00727178"/>
    <w:rsid w:val="00727E82"/>
    <w:rsid w:val="00730052"/>
    <w:rsid w:val="00732A26"/>
    <w:rsid w:val="007331FA"/>
    <w:rsid w:val="00734009"/>
    <w:rsid w:val="007342C3"/>
    <w:rsid w:val="007366A2"/>
    <w:rsid w:val="00736988"/>
    <w:rsid w:val="007415A2"/>
    <w:rsid w:val="00747AED"/>
    <w:rsid w:val="007533A6"/>
    <w:rsid w:val="00756A92"/>
    <w:rsid w:val="007723CC"/>
    <w:rsid w:val="00772869"/>
    <w:rsid w:val="00774679"/>
    <w:rsid w:val="00777420"/>
    <w:rsid w:val="00794AEA"/>
    <w:rsid w:val="007979C9"/>
    <w:rsid w:val="007A2F47"/>
    <w:rsid w:val="007B7C52"/>
    <w:rsid w:val="007C3C93"/>
    <w:rsid w:val="007C5683"/>
    <w:rsid w:val="007D0340"/>
    <w:rsid w:val="007F16BF"/>
    <w:rsid w:val="007F36B4"/>
    <w:rsid w:val="007F78A1"/>
    <w:rsid w:val="0080439D"/>
    <w:rsid w:val="008159FD"/>
    <w:rsid w:val="00833958"/>
    <w:rsid w:val="00834BEC"/>
    <w:rsid w:val="00841BD1"/>
    <w:rsid w:val="0084370E"/>
    <w:rsid w:val="00856AB4"/>
    <w:rsid w:val="00862F80"/>
    <w:rsid w:val="008704FE"/>
    <w:rsid w:val="00877BD4"/>
    <w:rsid w:val="00882E3F"/>
    <w:rsid w:val="008834E0"/>
    <w:rsid w:val="00885F07"/>
    <w:rsid w:val="0089286C"/>
    <w:rsid w:val="008A4494"/>
    <w:rsid w:val="008A6E17"/>
    <w:rsid w:val="008B3037"/>
    <w:rsid w:val="008B4EAD"/>
    <w:rsid w:val="008B53AC"/>
    <w:rsid w:val="008B66F2"/>
    <w:rsid w:val="008B7249"/>
    <w:rsid w:val="008B7B5D"/>
    <w:rsid w:val="008C2E2F"/>
    <w:rsid w:val="008C37D1"/>
    <w:rsid w:val="008C5915"/>
    <w:rsid w:val="008D56BF"/>
    <w:rsid w:val="008E0D47"/>
    <w:rsid w:val="008E4691"/>
    <w:rsid w:val="008E73B0"/>
    <w:rsid w:val="008F3AEB"/>
    <w:rsid w:val="008F4B6C"/>
    <w:rsid w:val="00900849"/>
    <w:rsid w:val="00905ACF"/>
    <w:rsid w:val="00914CFE"/>
    <w:rsid w:val="009240DF"/>
    <w:rsid w:val="009417CD"/>
    <w:rsid w:val="0095390B"/>
    <w:rsid w:val="00955C6D"/>
    <w:rsid w:val="00960081"/>
    <w:rsid w:val="009612BE"/>
    <w:rsid w:val="00961A05"/>
    <w:rsid w:val="0096349E"/>
    <w:rsid w:val="009847E8"/>
    <w:rsid w:val="00986577"/>
    <w:rsid w:val="009877CD"/>
    <w:rsid w:val="009918D1"/>
    <w:rsid w:val="009925D5"/>
    <w:rsid w:val="00993F00"/>
    <w:rsid w:val="009A0779"/>
    <w:rsid w:val="009C259A"/>
    <w:rsid w:val="009C2EDE"/>
    <w:rsid w:val="009C7E2D"/>
    <w:rsid w:val="009D4442"/>
    <w:rsid w:val="009F49F6"/>
    <w:rsid w:val="00A0093B"/>
    <w:rsid w:val="00A10484"/>
    <w:rsid w:val="00A12DE2"/>
    <w:rsid w:val="00A171DB"/>
    <w:rsid w:val="00A24641"/>
    <w:rsid w:val="00A31208"/>
    <w:rsid w:val="00A46305"/>
    <w:rsid w:val="00A47D19"/>
    <w:rsid w:val="00A558FB"/>
    <w:rsid w:val="00A645DB"/>
    <w:rsid w:val="00A97571"/>
    <w:rsid w:val="00AB0C2C"/>
    <w:rsid w:val="00AB556F"/>
    <w:rsid w:val="00AB5F58"/>
    <w:rsid w:val="00AB67BC"/>
    <w:rsid w:val="00AC597D"/>
    <w:rsid w:val="00AC62AC"/>
    <w:rsid w:val="00AD2F3D"/>
    <w:rsid w:val="00AF0D8C"/>
    <w:rsid w:val="00AF5BD4"/>
    <w:rsid w:val="00B0488D"/>
    <w:rsid w:val="00B10D25"/>
    <w:rsid w:val="00B11DA5"/>
    <w:rsid w:val="00B13ECF"/>
    <w:rsid w:val="00B16E7A"/>
    <w:rsid w:val="00B23F5E"/>
    <w:rsid w:val="00B264D5"/>
    <w:rsid w:val="00B32990"/>
    <w:rsid w:val="00B472C6"/>
    <w:rsid w:val="00B800F7"/>
    <w:rsid w:val="00B8278F"/>
    <w:rsid w:val="00B95752"/>
    <w:rsid w:val="00B977B2"/>
    <w:rsid w:val="00BA064B"/>
    <w:rsid w:val="00BA0E50"/>
    <w:rsid w:val="00BA33EA"/>
    <w:rsid w:val="00BC76A3"/>
    <w:rsid w:val="00BD13EF"/>
    <w:rsid w:val="00BD24A2"/>
    <w:rsid w:val="00BD5649"/>
    <w:rsid w:val="00BD6B09"/>
    <w:rsid w:val="00BE46FD"/>
    <w:rsid w:val="00BE51E5"/>
    <w:rsid w:val="00BF0CE9"/>
    <w:rsid w:val="00BF3CE9"/>
    <w:rsid w:val="00C20CD1"/>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A168C"/>
    <w:rsid w:val="00DA7314"/>
    <w:rsid w:val="00DB6062"/>
    <w:rsid w:val="00DC28DA"/>
    <w:rsid w:val="00DC3ACB"/>
    <w:rsid w:val="00DC5DCA"/>
    <w:rsid w:val="00DC6980"/>
    <w:rsid w:val="00DD0701"/>
    <w:rsid w:val="00DD0892"/>
    <w:rsid w:val="00DD1390"/>
    <w:rsid w:val="00DE34B0"/>
    <w:rsid w:val="00DF2E12"/>
    <w:rsid w:val="00DF427B"/>
    <w:rsid w:val="00E00250"/>
    <w:rsid w:val="00E060EE"/>
    <w:rsid w:val="00E07F64"/>
    <w:rsid w:val="00E11251"/>
    <w:rsid w:val="00E200A1"/>
    <w:rsid w:val="00E22A88"/>
    <w:rsid w:val="00E243D9"/>
    <w:rsid w:val="00E2671D"/>
    <w:rsid w:val="00E31FD0"/>
    <w:rsid w:val="00E36AE3"/>
    <w:rsid w:val="00E36D68"/>
    <w:rsid w:val="00E4351A"/>
    <w:rsid w:val="00E5456F"/>
    <w:rsid w:val="00E579D8"/>
    <w:rsid w:val="00E73F89"/>
    <w:rsid w:val="00E86FC9"/>
    <w:rsid w:val="00E87DCE"/>
    <w:rsid w:val="00E90EA2"/>
    <w:rsid w:val="00E90ED6"/>
    <w:rsid w:val="00E965F7"/>
    <w:rsid w:val="00E9717D"/>
    <w:rsid w:val="00EA42F2"/>
    <w:rsid w:val="00EA6E47"/>
    <w:rsid w:val="00EB0D54"/>
    <w:rsid w:val="00EB3229"/>
    <w:rsid w:val="00EB6E43"/>
    <w:rsid w:val="00ED021A"/>
    <w:rsid w:val="00ED78C6"/>
    <w:rsid w:val="00EE2764"/>
    <w:rsid w:val="00EE325F"/>
    <w:rsid w:val="00EE3DC3"/>
    <w:rsid w:val="00EE5D1E"/>
    <w:rsid w:val="00EF21CF"/>
    <w:rsid w:val="00EF3697"/>
    <w:rsid w:val="00EF6B14"/>
    <w:rsid w:val="00EF7CCD"/>
    <w:rsid w:val="00F007AF"/>
    <w:rsid w:val="00F10C7F"/>
    <w:rsid w:val="00F11F75"/>
    <w:rsid w:val="00F12B60"/>
    <w:rsid w:val="00F160C6"/>
    <w:rsid w:val="00F20234"/>
    <w:rsid w:val="00F25353"/>
    <w:rsid w:val="00F3436F"/>
    <w:rsid w:val="00F408CF"/>
    <w:rsid w:val="00F50CBC"/>
    <w:rsid w:val="00F5665E"/>
    <w:rsid w:val="00F61108"/>
    <w:rsid w:val="00F61260"/>
    <w:rsid w:val="00F61D21"/>
    <w:rsid w:val="00F721B6"/>
    <w:rsid w:val="00F7367E"/>
    <w:rsid w:val="00F743A5"/>
    <w:rsid w:val="00F8148F"/>
    <w:rsid w:val="00F851EF"/>
    <w:rsid w:val="00F93B8B"/>
    <w:rsid w:val="00F94022"/>
    <w:rsid w:val="00FB1170"/>
    <w:rsid w:val="00FB3F71"/>
    <w:rsid w:val="00FC56E0"/>
    <w:rsid w:val="00FD03EF"/>
    <w:rsid w:val="00FE1780"/>
    <w:rsid w:val="00FE394D"/>
    <w:rsid w:val="00FE39BE"/>
    <w:rsid w:val="00FF5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r="http://schemas.openxmlformats.org/officeDocument/2006/relationships" xmlns:w="http://schemas.openxmlformats.org/wordprocessingml/2006/main">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TUZINSKI</dc:creator>
  <cp:keywords/>
  <dc:description/>
  <cp:lastModifiedBy>joyce marie farner</cp:lastModifiedBy>
  <cp:revision>3</cp:revision>
  <cp:lastPrinted>2010-04-01T15:52:00Z</cp:lastPrinted>
  <dcterms:created xsi:type="dcterms:W3CDTF">2010-04-01T14:54:00Z</dcterms:created>
  <dcterms:modified xsi:type="dcterms:W3CDTF">2010-04-01T15:52:00Z</dcterms:modified>
</cp:coreProperties>
</file>