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CA" w:rsidRPr="00810FCA" w:rsidRDefault="00810FCA" w:rsidP="00810FCA">
      <w:pPr>
        <w:jc w:val="center"/>
        <w:rPr>
          <w:b/>
        </w:rPr>
      </w:pPr>
      <w:r w:rsidRPr="00810FCA">
        <w:rPr>
          <w:b/>
        </w:rPr>
        <w:t>BEFORE THE</w:t>
      </w:r>
    </w:p>
    <w:p w:rsidR="00810FCA" w:rsidRPr="00810FCA" w:rsidRDefault="00810FCA" w:rsidP="00810FCA">
      <w:pPr>
        <w:jc w:val="center"/>
        <w:rPr>
          <w:b/>
        </w:rPr>
      </w:pPr>
      <w:smartTag w:uri="urn:schemas-microsoft-com:office:smarttags" w:element="place">
        <w:smartTag w:uri="urn:schemas-microsoft-com:office:smarttags" w:element="State">
          <w:r w:rsidRPr="00810FCA">
            <w:rPr>
              <w:b/>
            </w:rPr>
            <w:t>PENNSYLVANIA</w:t>
          </w:r>
        </w:smartTag>
      </w:smartTag>
      <w:r w:rsidRPr="00810FCA">
        <w:rPr>
          <w:b/>
        </w:rPr>
        <w:t xml:space="preserve"> PUBLIC UTILITY COMMISSION</w:t>
      </w:r>
    </w:p>
    <w:p w:rsidR="00810FCA" w:rsidRPr="00810FCA" w:rsidRDefault="00810FCA" w:rsidP="00810FCA"/>
    <w:p w:rsidR="00810FCA" w:rsidRPr="00810FCA" w:rsidRDefault="00810FCA" w:rsidP="00810FCA"/>
    <w:p w:rsidR="00810FCA" w:rsidRDefault="00810FCA" w:rsidP="00810FCA"/>
    <w:p w:rsidR="00810FCA" w:rsidRDefault="00810FCA" w:rsidP="00810FCA"/>
    <w:p w:rsidR="00810FCA" w:rsidRPr="00810FCA" w:rsidRDefault="00810FCA" w:rsidP="00810FCA">
      <w:r w:rsidRPr="00810FCA">
        <w:t>Petition of Duquesne Light Company</w:t>
      </w:r>
      <w:r w:rsidRPr="00810FCA">
        <w:tab/>
        <w:t xml:space="preserve"> for Approval</w:t>
      </w:r>
      <w:r w:rsidRPr="00810FCA">
        <w:tab/>
        <w:t>:</w:t>
      </w:r>
    </w:p>
    <w:p w:rsidR="00810FCA" w:rsidRPr="00810FCA" w:rsidRDefault="00810FCA" w:rsidP="00810FCA">
      <w:r w:rsidRPr="00810FCA">
        <w:t>Of Default Service Plan for the Period January 1,</w:t>
      </w:r>
      <w:r w:rsidRPr="00810FCA">
        <w:tab/>
        <w:t>:</w:t>
      </w:r>
      <w:r w:rsidRPr="00810FCA">
        <w:tab/>
      </w:r>
      <w:r w:rsidRPr="00810FCA">
        <w:tab/>
        <w:t>P-2009-2135500</w:t>
      </w:r>
    </w:p>
    <w:p w:rsidR="00810FCA" w:rsidRPr="00810FCA" w:rsidRDefault="00810FCA" w:rsidP="00810FCA">
      <w:r w:rsidRPr="00810FCA">
        <w:t>2011 Through May 31, 2013</w:t>
      </w:r>
      <w:r w:rsidRPr="00810FCA">
        <w:tab/>
      </w:r>
      <w:r w:rsidRPr="00810FCA">
        <w:tab/>
      </w:r>
      <w:r w:rsidRPr="00810FCA">
        <w:tab/>
      </w:r>
      <w:r w:rsidRPr="00810FCA">
        <w:tab/>
        <w:t>:</w:t>
      </w:r>
    </w:p>
    <w:p w:rsidR="001A517C" w:rsidRDefault="001A517C"/>
    <w:p w:rsidR="00810FCA" w:rsidRDefault="00810FCA"/>
    <w:p w:rsidR="00810FCA" w:rsidRDefault="00810FCA"/>
    <w:p w:rsidR="00810FCA" w:rsidRDefault="00810FCA"/>
    <w:p w:rsidR="00810FCA" w:rsidRDefault="00810FCA"/>
    <w:p w:rsidR="00810FCA" w:rsidRDefault="00B220C4" w:rsidP="00B220C4">
      <w:pPr>
        <w:jc w:val="center"/>
      </w:pPr>
      <w:r>
        <w:rPr>
          <w:b/>
          <w:u w:val="single"/>
        </w:rPr>
        <w:t>RECOMMENDED DECISION</w:t>
      </w:r>
    </w:p>
    <w:p w:rsidR="00B220C4" w:rsidRDefault="00B220C4" w:rsidP="00B220C4">
      <w:pPr>
        <w:jc w:val="center"/>
      </w:pPr>
    </w:p>
    <w:p w:rsidR="00B220C4" w:rsidRDefault="00B220C4" w:rsidP="00B220C4">
      <w:pPr>
        <w:jc w:val="center"/>
      </w:pPr>
      <w:r>
        <w:t>Before</w:t>
      </w:r>
    </w:p>
    <w:p w:rsidR="00B220C4" w:rsidRDefault="00B220C4" w:rsidP="00B220C4">
      <w:pPr>
        <w:jc w:val="center"/>
      </w:pPr>
      <w:r>
        <w:t>John H. Corbett, Jr.</w:t>
      </w:r>
    </w:p>
    <w:p w:rsidR="00B220C4" w:rsidRDefault="00B220C4" w:rsidP="00B220C4">
      <w:pPr>
        <w:jc w:val="center"/>
      </w:pPr>
      <w:r>
        <w:t>Administrative Law Judge</w:t>
      </w:r>
    </w:p>
    <w:p w:rsidR="00B220C4" w:rsidRDefault="00B220C4" w:rsidP="00B220C4"/>
    <w:p w:rsidR="00CC4EEC" w:rsidRDefault="00CC4EEC" w:rsidP="00B220C4">
      <w:pPr>
        <w:sectPr w:rsidR="00CC4EEC" w:rsidSect="008A53F1">
          <w:footerReference w:type="default" r:id="rId8"/>
          <w:footerReference w:type="first" r:id="rId9"/>
          <w:pgSz w:w="12240" w:h="15840" w:code="1"/>
          <w:pgMar w:top="1440" w:right="1440" w:bottom="1440" w:left="1440" w:header="1440" w:footer="1440" w:gutter="0"/>
          <w:cols w:space="720"/>
          <w:titlePg/>
          <w:docGrid w:linePitch="360"/>
        </w:sectPr>
      </w:pPr>
    </w:p>
    <w:p w:rsidR="00CC4EEC" w:rsidRPr="007E7E21" w:rsidRDefault="00CC4EEC" w:rsidP="00CC4EEC">
      <w:pPr>
        <w:pStyle w:val="Title"/>
        <w:rPr>
          <w:sz w:val="24"/>
          <w:szCs w:val="24"/>
        </w:rPr>
      </w:pPr>
      <w:r w:rsidRPr="007E7E21">
        <w:rPr>
          <w:sz w:val="24"/>
          <w:szCs w:val="24"/>
        </w:rPr>
        <w:lastRenderedPageBreak/>
        <w:t>TABLE OF CONTENTS</w:t>
      </w:r>
    </w:p>
    <w:p w:rsidR="00CC4EEC" w:rsidRPr="007E7E21" w:rsidRDefault="00CC4EEC" w:rsidP="00CC4EEC">
      <w:pPr>
        <w:pStyle w:val="Title"/>
        <w:ind w:right="-720"/>
        <w:jc w:val="right"/>
        <w:rPr>
          <w:sz w:val="24"/>
          <w:szCs w:val="24"/>
        </w:rPr>
      </w:pPr>
    </w:p>
    <w:p w:rsidR="00CC4EEC" w:rsidRPr="007E7E21" w:rsidRDefault="00CC4EEC" w:rsidP="00CC4EEC">
      <w:pPr>
        <w:pStyle w:val="Title"/>
        <w:tabs>
          <w:tab w:val="clear" w:pos="9360"/>
          <w:tab w:val="right" w:leader="dot" w:pos="9270"/>
        </w:tabs>
        <w:ind w:right="-720"/>
        <w:jc w:val="right"/>
        <w:rPr>
          <w:sz w:val="24"/>
          <w:szCs w:val="24"/>
        </w:rPr>
      </w:pPr>
      <w:r w:rsidRPr="007E7E21">
        <w:rPr>
          <w:sz w:val="24"/>
          <w:szCs w:val="24"/>
        </w:rPr>
        <w:t>Page</w:t>
      </w:r>
    </w:p>
    <w:p w:rsidR="00CC4EEC" w:rsidRPr="007E7E21" w:rsidRDefault="00CC4EEC" w:rsidP="00CC4EEC">
      <w:pPr>
        <w:tabs>
          <w:tab w:val="left" w:pos="720"/>
          <w:tab w:val="left" w:pos="1440"/>
          <w:tab w:val="left" w:pos="2160"/>
          <w:tab w:val="left" w:pos="2880"/>
          <w:tab w:val="right" w:leader="dot" w:pos="9360"/>
        </w:tabs>
        <w:jc w:val="center"/>
      </w:pPr>
    </w:p>
    <w:p w:rsidR="00CC4EEC" w:rsidRPr="007E7E21" w:rsidRDefault="00CC4EEC" w:rsidP="00CC4EEC">
      <w:pPr>
        <w:tabs>
          <w:tab w:val="left" w:pos="720"/>
          <w:tab w:val="left" w:pos="1440"/>
          <w:tab w:val="left" w:pos="2160"/>
          <w:tab w:val="left" w:pos="2880"/>
          <w:tab w:val="right" w:leader="dot" w:pos="9360"/>
        </w:tabs>
      </w:pPr>
      <w:r w:rsidRPr="007E7E21">
        <w:t>I.</w:t>
      </w:r>
      <w:r w:rsidRPr="007E7E21">
        <w:tab/>
      </w:r>
      <w:r w:rsidRPr="007E7E21">
        <w:rPr>
          <w:caps/>
        </w:rPr>
        <w:t>History of the Proceeding</w:t>
      </w:r>
      <w:r w:rsidRPr="007E7E21">
        <w:tab/>
        <w:t>1</w:t>
      </w:r>
    </w:p>
    <w:p w:rsidR="00CC4EEC" w:rsidRPr="007E7E21" w:rsidRDefault="00CC4EEC" w:rsidP="00CC4EEC">
      <w:pPr>
        <w:tabs>
          <w:tab w:val="left" w:pos="720"/>
          <w:tab w:val="left" w:pos="1440"/>
          <w:tab w:val="left" w:pos="2160"/>
          <w:tab w:val="left" w:pos="2880"/>
          <w:tab w:val="right" w:leader="dot" w:pos="9360"/>
        </w:tabs>
      </w:pPr>
    </w:p>
    <w:p w:rsidR="00CC4EEC" w:rsidRPr="007E7E21" w:rsidRDefault="00CC4EEC" w:rsidP="00CC4EEC">
      <w:pPr>
        <w:tabs>
          <w:tab w:val="left" w:pos="720"/>
          <w:tab w:val="left" w:pos="1440"/>
          <w:tab w:val="left" w:pos="2160"/>
          <w:tab w:val="left" w:pos="2880"/>
          <w:tab w:val="right" w:leader="dot" w:pos="9360"/>
        </w:tabs>
      </w:pPr>
      <w:r w:rsidRPr="007E7E21">
        <w:t>II.</w:t>
      </w:r>
      <w:r w:rsidRPr="007E7E21">
        <w:tab/>
      </w:r>
      <w:r w:rsidR="00EC267F" w:rsidRPr="007E7E21">
        <w:rPr>
          <w:caps/>
        </w:rPr>
        <w:t>settlement terms and conditions</w:t>
      </w:r>
      <w:r w:rsidRPr="007E7E21">
        <w:tab/>
      </w:r>
      <w:r w:rsidR="00EC267F" w:rsidRPr="007E7E21">
        <w:t>3</w:t>
      </w:r>
    </w:p>
    <w:p w:rsidR="00CC4EEC" w:rsidRPr="007E7E21" w:rsidRDefault="00CC4EEC" w:rsidP="00CC4EEC">
      <w:pPr>
        <w:tabs>
          <w:tab w:val="left" w:pos="720"/>
          <w:tab w:val="left" w:pos="1440"/>
          <w:tab w:val="left" w:pos="2160"/>
          <w:tab w:val="left" w:pos="2880"/>
          <w:tab w:val="right" w:leader="dot" w:pos="9360"/>
        </w:tabs>
      </w:pPr>
      <w:r w:rsidRPr="007E7E21">
        <w:tab/>
      </w:r>
    </w:p>
    <w:p w:rsidR="00CC4EEC" w:rsidRPr="007E7E21" w:rsidRDefault="00CC4EEC" w:rsidP="00CC4EEC">
      <w:pPr>
        <w:tabs>
          <w:tab w:val="left" w:pos="720"/>
          <w:tab w:val="left" w:pos="1440"/>
          <w:tab w:val="left" w:pos="2160"/>
          <w:tab w:val="left" w:pos="2880"/>
          <w:tab w:val="right" w:leader="dot" w:pos="9360"/>
        </w:tabs>
      </w:pPr>
      <w:r w:rsidRPr="007E7E21">
        <w:tab/>
        <w:t>A.</w:t>
      </w:r>
      <w:r w:rsidRPr="007E7E21">
        <w:tab/>
      </w:r>
      <w:r w:rsidR="00EC267F" w:rsidRPr="007E7E21">
        <w:t>Residential and Lighting Procurement and Rates</w:t>
      </w:r>
      <w:r w:rsidRPr="007E7E21">
        <w:t>.</w:t>
      </w:r>
      <w:r w:rsidRPr="007E7E21">
        <w:tab/>
      </w:r>
      <w:r w:rsidR="00EC267F" w:rsidRPr="007E7E21">
        <w:t>3</w:t>
      </w:r>
    </w:p>
    <w:p w:rsidR="00CC4EEC" w:rsidRPr="007E7E21" w:rsidRDefault="00CC4EEC" w:rsidP="00CC4EEC">
      <w:pPr>
        <w:tabs>
          <w:tab w:val="left" w:pos="720"/>
          <w:tab w:val="left" w:pos="1440"/>
          <w:tab w:val="left" w:pos="2160"/>
          <w:tab w:val="left" w:pos="2880"/>
          <w:tab w:val="right" w:leader="dot" w:pos="9360"/>
        </w:tabs>
      </w:pPr>
      <w:r w:rsidRPr="007E7E21">
        <w:tab/>
        <w:t>B.</w:t>
      </w:r>
      <w:r w:rsidRPr="007E7E21">
        <w:tab/>
      </w:r>
      <w:r w:rsidR="00EC267F" w:rsidRPr="007E7E21">
        <w:t>Small C&amp;I and Medium C&amp;I Procurement</w:t>
      </w:r>
      <w:r w:rsidRPr="007E7E21">
        <w:tab/>
      </w:r>
      <w:r w:rsidR="00EC267F" w:rsidRPr="007E7E21">
        <w:t>4</w:t>
      </w:r>
    </w:p>
    <w:p w:rsidR="00EC267F" w:rsidRPr="007E7E21" w:rsidRDefault="00EC267F" w:rsidP="00CC4EEC">
      <w:pPr>
        <w:tabs>
          <w:tab w:val="left" w:pos="720"/>
          <w:tab w:val="left" w:pos="1440"/>
          <w:tab w:val="left" w:pos="2160"/>
          <w:tab w:val="left" w:pos="2880"/>
          <w:tab w:val="right" w:leader="dot" w:pos="9360"/>
        </w:tabs>
      </w:pPr>
      <w:r w:rsidRPr="007E7E21">
        <w:tab/>
        <w:t>C.</w:t>
      </w:r>
      <w:r w:rsidRPr="007E7E21">
        <w:tab/>
        <w:t>Large C&amp;I Procurement Plan and Rates</w:t>
      </w:r>
      <w:r w:rsidRPr="007E7E21">
        <w:tab/>
        <w:t>6</w:t>
      </w:r>
    </w:p>
    <w:p w:rsidR="00EC267F" w:rsidRPr="007E7E21" w:rsidRDefault="00EC267F" w:rsidP="00CC4EEC">
      <w:pPr>
        <w:tabs>
          <w:tab w:val="left" w:pos="720"/>
          <w:tab w:val="left" w:pos="1440"/>
          <w:tab w:val="left" w:pos="2160"/>
          <w:tab w:val="left" w:pos="2880"/>
          <w:tab w:val="right" w:leader="dot" w:pos="9360"/>
        </w:tabs>
      </w:pPr>
      <w:r w:rsidRPr="007E7E21">
        <w:tab/>
        <w:t>D.</w:t>
      </w:r>
      <w:r w:rsidRPr="007E7E21">
        <w:tab/>
        <w:t>Enhancements to Competition</w:t>
      </w:r>
      <w:r w:rsidRPr="007E7E21">
        <w:tab/>
        <w:t>7</w:t>
      </w:r>
    </w:p>
    <w:p w:rsidR="00EC267F" w:rsidRPr="007E7E21" w:rsidRDefault="00EC267F" w:rsidP="00CC4EEC">
      <w:pPr>
        <w:tabs>
          <w:tab w:val="left" w:pos="720"/>
          <w:tab w:val="left" w:pos="1440"/>
          <w:tab w:val="left" w:pos="2160"/>
          <w:tab w:val="left" w:pos="2880"/>
          <w:tab w:val="right" w:leader="dot" w:pos="9360"/>
        </w:tabs>
      </w:pPr>
      <w:r w:rsidRPr="007E7E21">
        <w:tab/>
        <w:t>E.</w:t>
      </w:r>
      <w:r w:rsidRPr="007E7E21">
        <w:tab/>
        <w:t>Miscellaneous Settlement Provisions</w:t>
      </w:r>
      <w:r w:rsidRPr="007E7E21">
        <w:tab/>
        <w:t>10</w:t>
      </w:r>
    </w:p>
    <w:p w:rsidR="00EC267F" w:rsidRPr="007E7E21" w:rsidRDefault="00EC267F" w:rsidP="00CC4EEC">
      <w:pPr>
        <w:tabs>
          <w:tab w:val="left" w:pos="720"/>
          <w:tab w:val="left" w:pos="1440"/>
          <w:tab w:val="left" w:pos="2160"/>
          <w:tab w:val="left" w:pos="2880"/>
          <w:tab w:val="right" w:leader="dot" w:pos="9360"/>
        </w:tabs>
      </w:pPr>
      <w:r w:rsidRPr="007E7E21">
        <w:tab/>
        <w:t>F.</w:t>
      </w:r>
      <w:r w:rsidRPr="007E7E21">
        <w:tab/>
        <w:t>The Public Interest</w:t>
      </w:r>
      <w:r w:rsidRPr="007E7E21">
        <w:tab/>
      </w:r>
      <w:r w:rsidR="00EF4A46" w:rsidRPr="007E7E21">
        <w:t>11</w:t>
      </w:r>
    </w:p>
    <w:p w:rsidR="00EF4A46" w:rsidRPr="007E7E21" w:rsidRDefault="00EF4A46" w:rsidP="00CC4EEC">
      <w:pPr>
        <w:tabs>
          <w:tab w:val="left" w:pos="720"/>
          <w:tab w:val="left" w:pos="1440"/>
          <w:tab w:val="left" w:pos="2160"/>
          <w:tab w:val="left" w:pos="2880"/>
          <w:tab w:val="right" w:leader="dot" w:pos="9360"/>
        </w:tabs>
      </w:pPr>
      <w:r w:rsidRPr="007E7E21">
        <w:tab/>
        <w:t>G.</w:t>
      </w:r>
      <w:r w:rsidRPr="007E7E21">
        <w:tab/>
        <w:t>Conditions of the Settlement</w:t>
      </w:r>
      <w:r w:rsidRPr="007E7E21">
        <w:tab/>
        <w:t>12</w:t>
      </w:r>
    </w:p>
    <w:p w:rsidR="00CC4EEC" w:rsidRPr="007E7E21" w:rsidRDefault="00CC4EEC" w:rsidP="00CC4EEC">
      <w:pPr>
        <w:tabs>
          <w:tab w:val="left" w:pos="720"/>
          <w:tab w:val="left" w:pos="1440"/>
          <w:tab w:val="left" w:pos="2160"/>
          <w:tab w:val="left" w:pos="2880"/>
          <w:tab w:val="right" w:leader="dot" w:pos="9360"/>
        </w:tabs>
      </w:pPr>
      <w:r w:rsidRPr="007E7E21">
        <w:tab/>
      </w:r>
    </w:p>
    <w:p w:rsidR="00CC4EEC" w:rsidRPr="007E7E21" w:rsidRDefault="00CC4EEC" w:rsidP="00CC4EEC">
      <w:pPr>
        <w:tabs>
          <w:tab w:val="left" w:pos="720"/>
          <w:tab w:val="left" w:pos="1440"/>
          <w:tab w:val="left" w:pos="2160"/>
          <w:tab w:val="left" w:pos="2880"/>
          <w:tab w:val="right" w:leader="dot" w:pos="9360"/>
        </w:tabs>
      </w:pPr>
      <w:r w:rsidRPr="007E7E21">
        <w:t>III.</w:t>
      </w:r>
      <w:r w:rsidRPr="007E7E21">
        <w:tab/>
      </w:r>
      <w:r w:rsidR="00EF4A46" w:rsidRPr="007E7E21">
        <w:rPr>
          <w:caps/>
        </w:rPr>
        <w:t>discussion</w:t>
      </w:r>
      <w:r w:rsidR="00EF4A46" w:rsidRPr="007E7E21">
        <w:rPr>
          <w:caps/>
        </w:rPr>
        <w:tab/>
      </w:r>
      <w:r w:rsidR="001E069F">
        <w:rPr>
          <w:caps/>
        </w:rPr>
        <w:t>.............</w:t>
      </w:r>
      <w:r w:rsidR="001A3B95">
        <w:rPr>
          <w:caps/>
        </w:rPr>
        <w:t>...</w:t>
      </w:r>
      <w:r w:rsidR="00FB5973">
        <w:rPr>
          <w:caps/>
        </w:rPr>
        <w:t>..</w:t>
      </w:r>
      <w:r w:rsidRPr="007E7E21">
        <w:tab/>
      </w:r>
      <w:r w:rsidR="00EF4A46" w:rsidRPr="007E7E21">
        <w:t>13</w:t>
      </w:r>
    </w:p>
    <w:p w:rsidR="00CC4EEC" w:rsidRPr="007E7E21" w:rsidRDefault="00CC4EEC" w:rsidP="00CC4EEC">
      <w:pPr>
        <w:tabs>
          <w:tab w:val="left" w:pos="720"/>
          <w:tab w:val="left" w:pos="1440"/>
          <w:tab w:val="left" w:pos="2160"/>
          <w:tab w:val="left" w:pos="2880"/>
          <w:tab w:val="right" w:leader="dot" w:pos="9360"/>
        </w:tabs>
      </w:pPr>
      <w:r w:rsidRPr="007E7E21">
        <w:tab/>
      </w:r>
    </w:p>
    <w:p w:rsidR="00CC4EEC" w:rsidRDefault="00CC4EEC" w:rsidP="00CC4EEC">
      <w:pPr>
        <w:tabs>
          <w:tab w:val="left" w:pos="720"/>
          <w:tab w:val="left" w:pos="1440"/>
          <w:tab w:val="left" w:pos="2160"/>
          <w:tab w:val="left" w:pos="2880"/>
          <w:tab w:val="right" w:leader="dot" w:pos="9360"/>
        </w:tabs>
      </w:pPr>
      <w:r w:rsidRPr="007E7E21">
        <w:tab/>
        <w:t>A.</w:t>
      </w:r>
      <w:r w:rsidRPr="007E7E21">
        <w:tab/>
      </w:r>
      <w:r w:rsidR="00EF4A46" w:rsidRPr="007E7E21">
        <w:t>Duquesne Light’s Position</w:t>
      </w:r>
      <w:r w:rsidR="00EF4A46" w:rsidRPr="007E7E21">
        <w:tab/>
        <w:t>14</w:t>
      </w:r>
      <w:r w:rsidR="0064726A">
        <w:tab/>
      </w:r>
    </w:p>
    <w:p w:rsidR="0064726A" w:rsidRDefault="0064726A" w:rsidP="00CC4EEC">
      <w:pPr>
        <w:tabs>
          <w:tab w:val="left" w:pos="720"/>
          <w:tab w:val="left" w:pos="1440"/>
          <w:tab w:val="left" w:pos="2160"/>
          <w:tab w:val="left" w:pos="2880"/>
          <w:tab w:val="right" w:leader="dot" w:pos="9360"/>
        </w:tabs>
      </w:pPr>
      <w:r>
        <w:tab/>
      </w:r>
      <w:r>
        <w:tab/>
        <w:t xml:space="preserve">1. </w:t>
      </w:r>
      <w:r>
        <w:tab/>
        <w:t>Residential and Lighting Procurement and Rates</w:t>
      </w:r>
      <w:r>
        <w:tab/>
        <w:t>16</w:t>
      </w:r>
    </w:p>
    <w:p w:rsidR="005A1584" w:rsidRDefault="005A1584" w:rsidP="00CC4EEC">
      <w:pPr>
        <w:tabs>
          <w:tab w:val="left" w:pos="720"/>
          <w:tab w:val="left" w:pos="1440"/>
          <w:tab w:val="left" w:pos="2160"/>
          <w:tab w:val="left" w:pos="2880"/>
          <w:tab w:val="right" w:leader="dot" w:pos="9360"/>
        </w:tabs>
      </w:pPr>
      <w:r>
        <w:tab/>
      </w:r>
      <w:r>
        <w:tab/>
        <w:t>2.</w:t>
      </w:r>
      <w:r>
        <w:tab/>
        <w:t>Small C&amp;I and Medium C&amp;I Procurement</w:t>
      </w:r>
      <w:r>
        <w:tab/>
        <w:t>20</w:t>
      </w:r>
    </w:p>
    <w:p w:rsidR="005A1584" w:rsidRDefault="005A1584" w:rsidP="00CC4EEC">
      <w:pPr>
        <w:tabs>
          <w:tab w:val="left" w:pos="720"/>
          <w:tab w:val="left" w:pos="1440"/>
          <w:tab w:val="left" w:pos="2160"/>
          <w:tab w:val="left" w:pos="2880"/>
          <w:tab w:val="right" w:leader="dot" w:pos="9360"/>
        </w:tabs>
      </w:pPr>
      <w:r>
        <w:tab/>
      </w:r>
      <w:r>
        <w:tab/>
        <w:t>3.</w:t>
      </w:r>
      <w:r>
        <w:tab/>
        <w:t>Large C&amp;I Procurement Plan and Rates</w:t>
      </w:r>
      <w:r>
        <w:tab/>
        <w:t>23</w:t>
      </w:r>
    </w:p>
    <w:p w:rsidR="005A1584" w:rsidRDefault="005A1584" w:rsidP="00CC4EEC">
      <w:pPr>
        <w:tabs>
          <w:tab w:val="left" w:pos="720"/>
          <w:tab w:val="left" w:pos="1440"/>
          <w:tab w:val="left" w:pos="2160"/>
          <w:tab w:val="left" w:pos="2880"/>
          <w:tab w:val="right" w:leader="dot" w:pos="9360"/>
        </w:tabs>
      </w:pPr>
      <w:r>
        <w:tab/>
      </w:r>
      <w:r>
        <w:tab/>
        <w:t>4.</w:t>
      </w:r>
      <w:r>
        <w:tab/>
        <w:t>Enhancements to Competition</w:t>
      </w:r>
      <w:r>
        <w:tab/>
        <w:t>24</w:t>
      </w:r>
    </w:p>
    <w:p w:rsidR="005A1584" w:rsidRDefault="005A1584" w:rsidP="00CC4EEC">
      <w:pPr>
        <w:tabs>
          <w:tab w:val="left" w:pos="720"/>
          <w:tab w:val="left" w:pos="1440"/>
          <w:tab w:val="left" w:pos="2160"/>
          <w:tab w:val="left" w:pos="2880"/>
          <w:tab w:val="right" w:leader="dot" w:pos="9360"/>
        </w:tabs>
      </w:pPr>
      <w:r>
        <w:tab/>
      </w:r>
      <w:r>
        <w:tab/>
        <w:t>5.</w:t>
      </w:r>
      <w:r>
        <w:tab/>
        <w:t>Miscellaneous Settlement Provisions</w:t>
      </w:r>
      <w:r>
        <w:tab/>
        <w:t>25</w:t>
      </w:r>
    </w:p>
    <w:p w:rsidR="005A1584" w:rsidRDefault="005A1584" w:rsidP="00CC4EEC">
      <w:pPr>
        <w:tabs>
          <w:tab w:val="left" w:pos="720"/>
          <w:tab w:val="left" w:pos="1440"/>
          <w:tab w:val="left" w:pos="2160"/>
          <w:tab w:val="left" w:pos="2880"/>
          <w:tab w:val="right" w:leader="dot" w:pos="9360"/>
        </w:tabs>
      </w:pPr>
      <w:r>
        <w:tab/>
      </w:r>
      <w:r>
        <w:tab/>
        <w:t>6.</w:t>
      </w:r>
      <w:r>
        <w:tab/>
        <w:t>Requested Necessary Findings</w:t>
      </w:r>
      <w:r>
        <w:tab/>
        <w:t>26</w:t>
      </w:r>
    </w:p>
    <w:p w:rsidR="00B23CF1" w:rsidRDefault="00CC4EEC" w:rsidP="00CC4EEC">
      <w:pPr>
        <w:tabs>
          <w:tab w:val="left" w:pos="720"/>
          <w:tab w:val="left" w:pos="1440"/>
          <w:tab w:val="left" w:pos="2160"/>
          <w:tab w:val="left" w:pos="2880"/>
          <w:tab w:val="right" w:leader="dot" w:pos="9360"/>
        </w:tabs>
      </w:pPr>
      <w:r w:rsidRPr="007E7E21">
        <w:tab/>
      </w:r>
    </w:p>
    <w:p w:rsidR="00CC4EEC" w:rsidRPr="007E7E21" w:rsidRDefault="00B23CF1" w:rsidP="00CC4EEC">
      <w:pPr>
        <w:tabs>
          <w:tab w:val="left" w:pos="720"/>
          <w:tab w:val="left" w:pos="1440"/>
          <w:tab w:val="left" w:pos="2160"/>
          <w:tab w:val="left" w:pos="2880"/>
          <w:tab w:val="right" w:leader="dot" w:pos="9360"/>
        </w:tabs>
      </w:pPr>
      <w:r>
        <w:tab/>
      </w:r>
      <w:r w:rsidR="00CC4EEC" w:rsidRPr="007E7E21">
        <w:t>B.</w:t>
      </w:r>
      <w:r w:rsidR="00CC4EEC" w:rsidRPr="007E7E21">
        <w:tab/>
      </w:r>
      <w:r w:rsidR="00EF4A46" w:rsidRPr="007E7E21">
        <w:t>OCA’s Position</w:t>
      </w:r>
      <w:r w:rsidR="009422F3">
        <w:t>...........</w:t>
      </w:r>
      <w:r w:rsidR="00CC4EEC" w:rsidRPr="007E7E21">
        <w:tab/>
      </w:r>
      <w:r w:rsidR="00EF4A46" w:rsidRPr="007E7E21">
        <w:t>2</w:t>
      </w:r>
      <w:r w:rsidR="00CC4EEC" w:rsidRPr="007E7E21">
        <w:t>8</w:t>
      </w:r>
    </w:p>
    <w:p w:rsidR="00B23CF1" w:rsidRDefault="00CC4EEC" w:rsidP="00CC4EEC">
      <w:pPr>
        <w:tabs>
          <w:tab w:val="left" w:pos="720"/>
          <w:tab w:val="left" w:pos="1440"/>
          <w:tab w:val="left" w:pos="2160"/>
          <w:tab w:val="left" w:pos="2880"/>
          <w:tab w:val="right" w:leader="dot" w:pos="9360"/>
        </w:tabs>
      </w:pPr>
      <w:r w:rsidRPr="007E7E21">
        <w:tab/>
      </w:r>
    </w:p>
    <w:p w:rsidR="00CC4EEC" w:rsidRDefault="00B23CF1" w:rsidP="00CC4EEC">
      <w:pPr>
        <w:tabs>
          <w:tab w:val="left" w:pos="720"/>
          <w:tab w:val="left" w:pos="1440"/>
          <w:tab w:val="left" w:pos="2160"/>
          <w:tab w:val="left" w:pos="2880"/>
          <w:tab w:val="right" w:leader="dot" w:pos="9360"/>
        </w:tabs>
      </w:pPr>
      <w:r>
        <w:tab/>
      </w:r>
      <w:r w:rsidR="00CC4EEC" w:rsidRPr="007E7E21">
        <w:t>C.</w:t>
      </w:r>
      <w:r w:rsidR="00CC4EEC" w:rsidRPr="007E7E21">
        <w:tab/>
      </w:r>
      <w:r w:rsidR="00EF4A46" w:rsidRPr="007E7E21">
        <w:t>OSBA’s Position</w:t>
      </w:r>
      <w:r>
        <w:tab/>
      </w:r>
      <w:r w:rsidR="00EF4A46" w:rsidRPr="007E7E21">
        <w:t>33</w:t>
      </w:r>
    </w:p>
    <w:p w:rsidR="006C2FBC" w:rsidRDefault="006C2FBC" w:rsidP="00CC4EEC">
      <w:pPr>
        <w:tabs>
          <w:tab w:val="left" w:pos="720"/>
          <w:tab w:val="left" w:pos="1440"/>
          <w:tab w:val="left" w:pos="2160"/>
          <w:tab w:val="left" w:pos="2880"/>
          <w:tab w:val="right" w:leader="dot" w:pos="9360"/>
        </w:tabs>
      </w:pPr>
      <w:r>
        <w:tab/>
      </w:r>
      <w:r>
        <w:tab/>
        <w:t>1.</w:t>
      </w:r>
      <w:r>
        <w:tab/>
        <w:t>Small C&amp;I and Medium C&amp;I Procurement</w:t>
      </w:r>
      <w:r>
        <w:tab/>
        <w:t>33</w:t>
      </w:r>
    </w:p>
    <w:p w:rsidR="00BE1D6A" w:rsidRDefault="00BE1D6A" w:rsidP="00CC4EEC">
      <w:pPr>
        <w:tabs>
          <w:tab w:val="left" w:pos="720"/>
          <w:tab w:val="left" w:pos="1440"/>
          <w:tab w:val="left" w:pos="2160"/>
          <w:tab w:val="left" w:pos="2880"/>
          <w:tab w:val="right" w:leader="dot" w:pos="9360"/>
        </w:tabs>
      </w:pPr>
      <w:r>
        <w:tab/>
      </w:r>
      <w:r>
        <w:tab/>
      </w:r>
      <w:r>
        <w:tab/>
        <w:t>a.</w:t>
      </w:r>
      <w:r>
        <w:tab/>
        <w:t>Summary</w:t>
      </w:r>
      <w:r>
        <w:tab/>
        <w:t>33</w:t>
      </w:r>
    </w:p>
    <w:p w:rsidR="00BE1D6A" w:rsidRDefault="00BE1D6A" w:rsidP="00CC4EEC">
      <w:pPr>
        <w:tabs>
          <w:tab w:val="left" w:pos="720"/>
          <w:tab w:val="left" w:pos="1440"/>
          <w:tab w:val="left" w:pos="2160"/>
          <w:tab w:val="left" w:pos="2880"/>
          <w:tab w:val="right" w:leader="dot" w:pos="9360"/>
        </w:tabs>
      </w:pPr>
      <w:r>
        <w:tab/>
      </w:r>
      <w:r>
        <w:tab/>
      </w:r>
      <w:r>
        <w:tab/>
        <w:t>b.</w:t>
      </w:r>
      <w:r>
        <w:tab/>
        <w:t>Dominion Retail</w:t>
      </w:r>
      <w:r>
        <w:tab/>
        <w:t>34</w:t>
      </w:r>
    </w:p>
    <w:p w:rsidR="00BE1D6A" w:rsidRDefault="00BE1D6A" w:rsidP="00CC4EEC">
      <w:pPr>
        <w:tabs>
          <w:tab w:val="left" w:pos="720"/>
          <w:tab w:val="left" w:pos="1440"/>
          <w:tab w:val="left" w:pos="2160"/>
          <w:tab w:val="left" w:pos="2880"/>
          <w:tab w:val="right" w:leader="dot" w:pos="9360"/>
        </w:tabs>
      </w:pPr>
      <w:r>
        <w:tab/>
      </w:r>
      <w:r>
        <w:tab/>
      </w:r>
      <w:r>
        <w:tab/>
        <w:t>c.</w:t>
      </w:r>
      <w:r>
        <w:tab/>
        <w:t>RESA</w:t>
      </w:r>
      <w:r>
        <w:tab/>
        <w:t>35</w:t>
      </w:r>
    </w:p>
    <w:p w:rsidR="006C2FBC" w:rsidRDefault="006C2FBC" w:rsidP="00CC4EEC">
      <w:pPr>
        <w:tabs>
          <w:tab w:val="left" w:pos="720"/>
          <w:tab w:val="left" w:pos="1440"/>
          <w:tab w:val="left" w:pos="2160"/>
          <w:tab w:val="left" w:pos="2880"/>
          <w:tab w:val="right" w:leader="dot" w:pos="9360"/>
        </w:tabs>
      </w:pPr>
      <w:r>
        <w:tab/>
      </w:r>
      <w:r>
        <w:tab/>
        <w:t>2.</w:t>
      </w:r>
      <w:r>
        <w:tab/>
        <w:t>Purchase of Receivables</w:t>
      </w:r>
      <w:r>
        <w:tab/>
        <w:t>36</w:t>
      </w:r>
    </w:p>
    <w:p w:rsidR="006C2FBC" w:rsidRDefault="006C2FBC" w:rsidP="00CC4EEC">
      <w:pPr>
        <w:tabs>
          <w:tab w:val="left" w:pos="720"/>
          <w:tab w:val="left" w:pos="1440"/>
          <w:tab w:val="left" w:pos="2160"/>
          <w:tab w:val="left" w:pos="2880"/>
          <w:tab w:val="right" w:leader="dot" w:pos="9360"/>
        </w:tabs>
      </w:pPr>
      <w:r>
        <w:tab/>
      </w:r>
      <w:r>
        <w:tab/>
        <w:t>3.</w:t>
      </w:r>
      <w:r>
        <w:tab/>
        <w:t>Disclosure of Procurement Results</w:t>
      </w:r>
      <w:r>
        <w:tab/>
        <w:t>36</w:t>
      </w:r>
    </w:p>
    <w:p w:rsidR="006C2FBC" w:rsidRPr="007E7E21" w:rsidRDefault="006C2FBC" w:rsidP="00CC4EEC">
      <w:pPr>
        <w:tabs>
          <w:tab w:val="left" w:pos="720"/>
          <w:tab w:val="left" w:pos="1440"/>
          <w:tab w:val="left" w:pos="2160"/>
          <w:tab w:val="left" w:pos="2880"/>
          <w:tab w:val="right" w:leader="dot" w:pos="9360"/>
        </w:tabs>
      </w:pPr>
      <w:r>
        <w:tab/>
      </w:r>
      <w:r>
        <w:tab/>
        <w:t>4.</w:t>
      </w:r>
      <w:r>
        <w:tab/>
        <w:t>Market Enhancements</w:t>
      </w:r>
      <w:r>
        <w:tab/>
        <w:t>37</w:t>
      </w:r>
    </w:p>
    <w:p w:rsidR="00B23CF1" w:rsidRDefault="00CC4EEC" w:rsidP="00CC4EEC">
      <w:pPr>
        <w:tabs>
          <w:tab w:val="left" w:pos="720"/>
          <w:tab w:val="left" w:pos="1440"/>
          <w:tab w:val="left" w:pos="2160"/>
          <w:tab w:val="left" w:pos="2880"/>
          <w:tab w:val="right" w:leader="dot" w:pos="9360"/>
        </w:tabs>
      </w:pPr>
      <w:r w:rsidRPr="007E7E21">
        <w:tab/>
      </w:r>
    </w:p>
    <w:p w:rsidR="00CC4EEC" w:rsidRDefault="00B23CF1" w:rsidP="00CC4EEC">
      <w:pPr>
        <w:tabs>
          <w:tab w:val="left" w:pos="720"/>
          <w:tab w:val="left" w:pos="1440"/>
          <w:tab w:val="left" w:pos="2160"/>
          <w:tab w:val="left" w:pos="2880"/>
          <w:tab w:val="right" w:leader="dot" w:pos="9360"/>
        </w:tabs>
      </w:pPr>
      <w:r>
        <w:tab/>
      </w:r>
      <w:r w:rsidR="00CC4EEC" w:rsidRPr="007E7E21">
        <w:t>D.</w:t>
      </w:r>
      <w:r w:rsidR="00CC4EEC" w:rsidRPr="007E7E21">
        <w:tab/>
      </w:r>
      <w:r w:rsidR="00CC12EC" w:rsidRPr="007E7E21">
        <w:t>Dominion Retail’s Position</w:t>
      </w:r>
      <w:r w:rsidR="00CC4EEC" w:rsidRPr="007E7E21">
        <w:tab/>
      </w:r>
      <w:r w:rsidR="00CC12EC" w:rsidRPr="007E7E21">
        <w:t>37</w:t>
      </w:r>
    </w:p>
    <w:p w:rsidR="006C2FBC" w:rsidRDefault="006C2FBC" w:rsidP="00CC4EEC">
      <w:pPr>
        <w:tabs>
          <w:tab w:val="left" w:pos="720"/>
          <w:tab w:val="left" w:pos="1440"/>
          <w:tab w:val="left" w:pos="2160"/>
          <w:tab w:val="left" w:pos="2880"/>
          <w:tab w:val="right" w:leader="dot" w:pos="9360"/>
        </w:tabs>
      </w:pPr>
      <w:r>
        <w:tab/>
      </w:r>
      <w:r>
        <w:tab/>
        <w:t>1.</w:t>
      </w:r>
      <w:r>
        <w:tab/>
        <w:t>Purchase of Receivables Administrative Adder</w:t>
      </w:r>
      <w:r>
        <w:tab/>
        <w:t>38</w:t>
      </w:r>
    </w:p>
    <w:p w:rsidR="006C2FBC" w:rsidRDefault="006C2FBC" w:rsidP="00CC4EEC">
      <w:pPr>
        <w:tabs>
          <w:tab w:val="left" w:pos="720"/>
          <w:tab w:val="left" w:pos="1440"/>
          <w:tab w:val="left" w:pos="2160"/>
          <w:tab w:val="left" w:pos="2880"/>
          <w:tab w:val="right" w:leader="dot" w:pos="9360"/>
        </w:tabs>
      </w:pPr>
      <w:r>
        <w:tab/>
      </w:r>
      <w:r>
        <w:tab/>
        <w:t>2.</w:t>
      </w:r>
      <w:r>
        <w:tab/>
        <w:t>Rate Certainty</w:t>
      </w:r>
      <w:r>
        <w:tab/>
        <w:t>38</w:t>
      </w:r>
    </w:p>
    <w:p w:rsidR="00E67CFA" w:rsidRPr="007E7E21" w:rsidRDefault="00E67CFA" w:rsidP="00CC4EEC">
      <w:pPr>
        <w:tabs>
          <w:tab w:val="left" w:pos="720"/>
          <w:tab w:val="left" w:pos="1440"/>
          <w:tab w:val="left" w:pos="2160"/>
          <w:tab w:val="left" w:pos="2880"/>
          <w:tab w:val="right" w:leader="dot" w:pos="9360"/>
        </w:tabs>
      </w:pPr>
      <w:r>
        <w:tab/>
      </w:r>
      <w:r>
        <w:tab/>
        <w:t>3.</w:t>
      </w:r>
      <w:r>
        <w:tab/>
        <w:t>Market Enhancements</w:t>
      </w:r>
      <w:r>
        <w:tab/>
        <w:t>39</w:t>
      </w:r>
    </w:p>
    <w:p w:rsidR="00B23CF1" w:rsidRDefault="00B23CF1" w:rsidP="00CC4EEC">
      <w:pPr>
        <w:tabs>
          <w:tab w:val="left" w:pos="720"/>
          <w:tab w:val="left" w:pos="1440"/>
          <w:tab w:val="left" w:pos="2160"/>
          <w:tab w:val="left" w:pos="2880"/>
          <w:tab w:val="right" w:leader="dot" w:pos="9360"/>
        </w:tabs>
      </w:pPr>
    </w:p>
    <w:p w:rsidR="00CC4EEC" w:rsidRPr="007E7E21" w:rsidRDefault="00CC4EEC" w:rsidP="00CC4EEC">
      <w:pPr>
        <w:tabs>
          <w:tab w:val="left" w:pos="720"/>
          <w:tab w:val="left" w:pos="1440"/>
          <w:tab w:val="left" w:pos="2160"/>
          <w:tab w:val="left" w:pos="2880"/>
          <w:tab w:val="right" w:leader="dot" w:pos="9360"/>
        </w:tabs>
      </w:pPr>
      <w:r w:rsidRPr="007E7E21">
        <w:tab/>
        <w:t>E.</w:t>
      </w:r>
      <w:r w:rsidRPr="007E7E21">
        <w:tab/>
      </w:r>
      <w:r w:rsidR="00CC12EC" w:rsidRPr="007E7E21">
        <w:t>DII’s Position</w:t>
      </w:r>
      <w:r w:rsidRPr="007E7E21">
        <w:tab/>
      </w:r>
      <w:r w:rsidR="001E069F">
        <w:tab/>
      </w:r>
      <w:r w:rsidR="00CC12EC" w:rsidRPr="007E7E21">
        <w:t>39</w:t>
      </w:r>
    </w:p>
    <w:p w:rsidR="00B23CF1" w:rsidRDefault="00B23CF1" w:rsidP="00CC4EEC">
      <w:pPr>
        <w:tabs>
          <w:tab w:val="left" w:pos="720"/>
          <w:tab w:val="left" w:pos="1440"/>
          <w:tab w:val="left" w:pos="2160"/>
          <w:tab w:val="left" w:pos="2880"/>
          <w:tab w:val="right" w:leader="dot" w:pos="9360"/>
        </w:tabs>
      </w:pPr>
    </w:p>
    <w:p w:rsidR="00CC4EEC" w:rsidRPr="007E7E21" w:rsidRDefault="00CC4EEC" w:rsidP="00CC4EEC">
      <w:pPr>
        <w:tabs>
          <w:tab w:val="left" w:pos="720"/>
          <w:tab w:val="left" w:pos="1440"/>
          <w:tab w:val="left" w:pos="2160"/>
          <w:tab w:val="left" w:pos="2880"/>
          <w:tab w:val="right" w:leader="dot" w:pos="9360"/>
        </w:tabs>
      </w:pPr>
      <w:r w:rsidRPr="007E7E21">
        <w:lastRenderedPageBreak/>
        <w:tab/>
        <w:t>F.</w:t>
      </w:r>
      <w:r w:rsidRPr="007E7E21">
        <w:tab/>
      </w:r>
      <w:r w:rsidR="00CC12EC" w:rsidRPr="007E7E21">
        <w:t>FES’s Position</w:t>
      </w:r>
      <w:r w:rsidRPr="007E7E21">
        <w:tab/>
      </w:r>
      <w:r w:rsidR="001E069F">
        <w:tab/>
      </w:r>
      <w:r w:rsidR="00CC12EC" w:rsidRPr="007E7E21">
        <w:t>40</w:t>
      </w:r>
    </w:p>
    <w:p w:rsidR="00B23CF1" w:rsidRDefault="00B23CF1" w:rsidP="00CC4EEC">
      <w:pPr>
        <w:tabs>
          <w:tab w:val="left" w:pos="720"/>
          <w:tab w:val="left" w:pos="1440"/>
          <w:tab w:val="left" w:pos="2160"/>
          <w:tab w:val="left" w:pos="2880"/>
          <w:tab w:val="right" w:leader="dot" w:pos="9360"/>
        </w:tabs>
      </w:pPr>
    </w:p>
    <w:p w:rsidR="00B23CF1" w:rsidRDefault="00B23CF1" w:rsidP="00CC4EEC">
      <w:pPr>
        <w:tabs>
          <w:tab w:val="left" w:pos="720"/>
          <w:tab w:val="left" w:pos="1440"/>
          <w:tab w:val="left" w:pos="2160"/>
          <w:tab w:val="left" w:pos="2880"/>
          <w:tab w:val="right" w:leader="dot" w:pos="9360"/>
        </w:tabs>
      </w:pPr>
    </w:p>
    <w:p w:rsidR="00CC4EEC" w:rsidRDefault="00CC4EEC" w:rsidP="00CC4EEC">
      <w:pPr>
        <w:tabs>
          <w:tab w:val="left" w:pos="720"/>
          <w:tab w:val="left" w:pos="1440"/>
          <w:tab w:val="left" w:pos="2160"/>
          <w:tab w:val="left" w:pos="2880"/>
          <w:tab w:val="right" w:leader="dot" w:pos="9360"/>
        </w:tabs>
      </w:pPr>
      <w:r w:rsidRPr="007E7E21">
        <w:tab/>
        <w:t>G.</w:t>
      </w:r>
      <w:r w:rsidRPr="007E7E21">
        <w:tab/>
      </w:r>
      <w:r w:rsidR="00CC12EC" w:rsidRPr="007E7E21">
        <w:t>RESA’s Position</w:t>
      </w:r>
      <w:r w:rsidRPr="007E7E21">
        <w:tab/>
      </w:r>
      <w:r w:rsidR="00CC12EC" w:rsidRPr="007E7E21">
        <w:t>41</w:t>
      </w:r>
    </w:p>
    <w:p w:rsidR="00E67CFA" w:rsidRDefault="00E67CFA" w:rsidP="00CC4EEC">
      <w:pPr>
        <w:tabs>
          <w:tab w:val="left" w:pos="720"/>
          <w:tab w:val="left" w:pos="1440"/>
          <w:tab w:val="left" w:pos="2160"/>
          <w:tab w:val="left" w:pos="2880"/>
          <w:tab w:val="right" w:leader="dot" w:pos="9360"/>
        </w:tabs>
      </w:pPr>
      <w:r>
        <w:tab/>
      </w:r>
      <w:r>
        <w:tab/>
        <w:t>1.</w:t>
      </w:r>
      <w:r>
        <w:tab/>
        <w:t>Introduction</w:t>
      </w:r>
      <w:r>
        <w:tab/>
        <w:t>41</w:t>
      </w:r>
    </w:p>
    <w:p w:rsidR="00851EDF" w:rsidRDefault="00851EDF" w:rsidP="00CC4EEC">
      <w:pPr>
        <w:tabs>
          <w:tab w:val="left" w:pos="720"/>
          <w:tab w:val="left" w:pos="1440"/>
          <w:tab w:val="left" w:pos="2160"/>
          <w:tab w:val="left" w:pos="2880"/>
          <w:tab w:val="right" w:leader="dot" w:pos="9360"/>
        </w:tabs>
      </w:pPr>
      <w:r>
        <w:tab/>
      </w:r>
      <w:r>
        <w:tab/>
        <w:t>2.</w:t>
      </w:r>
      <w:r>
        <w:tab/>
        <w:t>Retail Market Enhancement</w:t>
      </w:r>
      <w:r w:rsidR="00EE6506">
        <w:t>s</w:t>
      </w:r>
      <w:r>
        <w:tab/>
        <w:t>43</w:t>
      </w:r>
    </w:p>
    <w:p w:rsidR="00851EDF" w:rsidRDefault="00851EDF" w:rsidP="00CC4EEC">
      <w:pPr>
        <w:tabs>
          <w:tab w:val="left" w:pos="720"/>
          <w:tab w:val="left" w:pos="1440"/>
          <w:tab w:val="left" w:pos="2160"/>
          <w:tab w:val="left" w:pos="2880"/>
          <w:tab w:val="right" w:leader="dot" w:pos="9360"/>
        </w:tabs>
      </w:pPr>
      <w:r>
        <w:tab/>
      </w:r>
      <w:r>
        <w:tab/>
      </w:r>
      <w:r>
        <w:tab/>
        <w:t>a.</w:t>
      </w:r>
      <w:r>
        <w:tab/>
        <w:t>Expansion of POR Program</w:t>
      </w:r>
      <w:r>
        <w:tab/>
        <w:t>43</w:t>
      </w:r>
    </w:p>
    <w:p w:rsidR="00851EDF" w:rsidRDefault="00851EDF" w:rsidP="00CC4EEC">
      <w:pPr>
        <w:tabs>
          <w:tab w:val="left" w:pos="720"/>
          <w:tab w:val="left" w:pos="1440"/>
          <w:tab w:val="left" w:pos="2160"/>
          <w:tab w:val="left" w:pos="2880"/>
          <w:tab w:val="right" w:leader="dot" w:pos="9360"/>
        </w:tabs>
      </w:pPr>
      <w:r>
        <w:tab/>
      </w:r>
      <w:r>
        <w:tab/>
      </w:r>
      <w:r>
        <w:tab/>
        <w:t>b.</w:t>
      </w:r>
      <w:r>
        <w:tab/>
        <w:t>Customer Education Enhancements</w:t>
      </w:r>
      <w:r>
        <w:tab/>
        <w:t>44</w:t>
      </w:r>
    </w:p>
    <w:p w:rsidR="00851EDF" w:rsidRDefault="00851EDF" w:rsidP="00CC4EEC">
      <w:pPr>
        <w:tabs>
          <w:tab w:val="left" w:pos="720"/>
          <w:tab w:val="left" w:pos="1440"/>
          <w:tab w:val="left" w:pos="2160"/>
          <w:tab w:val="left" w:pos="2880"/>
          <w:tab w:val="right" w:leader="dot" w:pos="9360"/>
        </w:tabs>
      </w:pPr>
      <w:r>
        <w:tab/>
      </w:r>
      <w:r>
        <w:tab/>
      </w:r>
      <w:r>
        <w:tab/>
        <w:t>c.</w:t>
      </w:r>
      <w:r>
        <w:tab/>
        <w:t>Competition Enhancement Program</w:t>
      </w:r>
      <w:r>
        <w:tab/>
        <w:t>44</w:t>
      </w:r>
    </w:p>
    <w:p w:rsidR="00851EDF" w:rsidRDefault="00851EDF" w:rsidP="00CC4EEC">
      <w:pPr>
        <w:tabs>
          <w:tab w:val="left" w:pos="720"/>
          <w:tab w:val="left" w:pos="1440"/>
          <w:tab w:val="left" w:pos="2160"/>
          <w:tab w:val="left" w:pos="2880"/>
          <w:tab w:val="right" w:leader="dot" w:pos="9360"/>
        </w:tabs>
      </w:pPr>
      <w:r>
        <w:tab/>
      </w:r>
      <w:r>
        <w:tab/>
      </w:r>
      <w:r>
        <w:tab/>
        <w:t>d.</w:t>
      </w:r>
      <w:r>
        <w:tab/>
        <w:t>Provision of Customer Data to EGSs</w:t>
      </w:r>
      <w:r>
        <w:tab/>
        <w:t>45</w:t>
      </w:r>
    </w:p>
    <w:p w:rsidR="00851EDF" w:rsidRDefault="00851EDF" w:rsidP="00CC4EEC">
      <w:pPr>
        <w:tabs>
          <w:tab w:val="left" w:pos="720"/>
          <w:tab w:val="left" w:pos="1440"/>
          <w:tab w:val="left" w:pos="2160"/>
          <w:tab w:val="left" w:pos="2880"/>
          <w:tab w:val="right" w:leader="dot" w:pos="9360"/>
        </w:tabs>
      </w:pPr>
      <w:r>
        <w:tab/>
      </w:r>
      <w:r>
        <w:tab/>
      </w:r>
      <w:r>
        <w:tab/>
        <w:t>e.</w:t>
      </w:r>
      <w:r>
        <w:tab/>
        <w:t>Renewables Collaborative to Ensure Competition Neutrality</w:t>
      </w:r>
      <w:r>
        <w:tab/>
        <w:t>46</w:t>
      </w:r>
    </w:p>
    <w:p w:rsidR="009422F3" w:rsidRPr="007E7E21" w:rsidRDefault="009422F3" w:rsidP="00CC4EEC">
      <w:pPr>
        <w:tabs>
          <w:tab w:val="left" w:pos="720"/>
          <w:tab w:val="left" w:pos="1440"/>
          <w:tab w:val="left" w:pos="2160"/>
          <w:tab w:val="left" w:pos="2880"/>
          <w:tab w:val="right" w:leader="dot" w:pos="9360"/>
        </w:tabs>
      </w:pPr>
      <w:r>
        <w:tab/>
      </w:r>
      <w:r>
        <w:tab/>
        <w:t>3.</w:t>
      </w:r>
      <w:r>
        <w:tab/>
        <w:t>Conclusion</w:t>
      </w:r>
      <w:r>
        <w:tab/>
        <w:t>46</w:t>
      </w:r>
    </w:p>
    <w:p w:rsidR="00B23CF1" w:rsidRDefault="00CC4EEC" w:rsidP="00CC4EEC">
      <w:pPr>
        <w:tabs>
          <w:tab w:val="left" w:pos="720"/>
          <w:tab w:val="left" w:pos="1440"/>
          <w:tab w:val="left" w:pos="2160"/>
          <w:tab w:val="left" w:pos="2880"/>
          <w:tab w:val="right" w:leader="dot" w:pos="9360"/>
        </w:tabs>
      </w:pPr>
      <w:r w:rsidRPr="007E7E21">
        <w:tab/>
      </w:r>
    </w:p>
    <w:p w:rsidR="00CC4EEC" w:rsidRPr="007E7E21" w:rsidRDefault="00B23CF1" w:rsidP="00CC4EEC">
      <w:pPr>
        <w:tabs>
          <w:tab w:val="left" w:pos="720"/>
          <w:tab w:val="left" w:pos="1440"/>
          <w:tab w:val="left" w:pos="2160"/>
          <w:tab w:val="left" w:pos="2880"/>
          <w:tab w:val="right" w:leader="dot" w:pos="9360"/>
        </w:tabs>
      </w:pPr>
      <w:r>
        <w:tab/>
      </w:r>
      <w:r w:rsidR="00CC4EEC" w:rsidRPr="007E7E21">
        <w:t>H.</w:t>
      </w:r>
      <w:r w:rsidR="00CC4EEC" w:rsidRPr="007E7E21">
        <w:tab/>
      </w:r>
      <w:r w:rsidR="00CC12EC" w:rsidRPr="007E7E21">
        <w:t>Constellation’s Position</w:t>
      </w:r>
      <w:r w:rsidR="00CC4EEC" w:rsidRPr="007E7E21">
        <w:tab/>
      </w:r>
      <w:r w:rsidR="00CC12EC" w:rsidRPr="007E7E21">
        <w:t>46</w:t>
      </w:r>
    </w:p>
    <w:p w:rsidR="00B23CF1" w:rsidRDefault="00CC4EEC" w:rsidP="00CC4EEC">
      <w:pPr>
        <w:tabs>
          <w:tab w:val="left" w:pos="720"/>
          <w:tab w:val="left" w:pos="1440"/>
          <w:tab w:val="left" w:pos="2160"/>
          <w:tab w:val="left" w:pos="2880"/>
          <w:tab w:val="right" w:leader="dot" w:pos="9360"/>
        </w:tabs>
      </w:pPr>
      <w:r w:rsidRPr="007E7E21">
        <w:tab/>
      </w:r>
    </w:p>
    <w:p w:rsidR="00CC4EEC" w:rsidRPr="007E7E21" w:rsidRDefault="00B23CF1" w:rsidP="00CC4EEC">
      <w:pPr>
        <w:tabs>
          <w:tab w:val="left" w:pos="720"/>
          <w:tab w:val="left" w:pos="1440"/>
          <w:tab w:val="left" w:pos="2160"/>
          <w:tab w:val="left" w:pos="2880"/>
          <w:tab w:val="right" w:leader="dot" w:pos="9360"/>
        </w:tabs>
      </w:pPr>
      <w:r>
        <w:tab/>
      </w:r>
      <w:r w:rsidR="00CC4EEC" w:rsidRPr="007E7E21">
        <w:t>I.</w:t>
      </w:r>
      <w:r w:rsidR="00CC4EEC" w:rsidRPr="007E7E21">
        <w:tab/>
      </w:r>
      <w:r w:rsidR="00CC12EC" w:rsidRPr="007E7E21">
        <w:t>Rec</w:t>
      </w:r>
      <w:r w:rsidR="00136439" w:rsidRPr="007E7E21">
        <w:t>o</w:t>
      </w:r>
      <w:r w:rsidR="00CC12EC" w:rsidRPr="007E7E21">
        <w:t>mmendation</w:t>
      </w:r>
      <w:r w:rsidR="00CC4EEC" w:rsidRPr="007E7E21">
        <w:tab/>
      </w:r>
      <w:r w:rsidR="00CC12EC" w:rsidRPr="007E7E21">
        <w:t>48</w:t>
      </w:r>
    </w:p>
    <w:p w:rsidR="00CC4EEC" w:rsidRPr="007E7E21" w:rsidRDefault="00CC4EEC" w:rsidP="00CC4EEC">
      <w:pPr>
        <w:tabs>
          <w:tab w:val="left" w:pos="720"/>
          <w:tab w:val="left" w:pos="1440"/>
          <w:tab w:val="left" w:pos="2160"/>
          <w:tab w:val="left" w:pos="2880"/>
          <w:tab w:val="right" w:leader="dot" w:pos="9360"/>
        </w:tabs>
      </w:pPr>
    </w:p>
    <w:p w:rsidR="00CC4EEC" w:rsidRPr="007E7E21" w:rsidRDefault="00136439" w:rsidP="00CC4EEC">
      <w:pPr>
        <w:tabs>
          <w:tab w:val="left" w:pos="720"/>
          <w:tab w:val="left" w:pos="1440"/>
          <w:tab w:val="left" w:pos="2160"/>
          <w:tab w:val="left" w:pos="2880"/>
          <w:tab w:val="right" w:leader="dot" w:pos="9360"/>
        </w:tabs>
      </w:pPr>
      <w:r w:rsidRPr="007E7E21">
        <w:t>I</w:t>
      </w:r>
      <w:r w:rsidR="00CC4EEC" w:rsidRPr="007E7E21">
        <w:t>V.</w:t>
      </w:r>
      <w:r w:rsidR="00CC4EEC" w:rsidRPr="007E7E21">
        <w:tab/>
      </w:r>
      <w:r w:rsidR="00CC4EEC" w:rsidRPr="007E7E21">
        <w:rPr>
          <w:caps/>
        </w:rPr>
        <w:t>Conclusions of Law</w:t>
      </w:r>
      <w:r w:rsidR="00CC4EEC" w:rsidRPr="007E7E21">
        <w:tab/>
      </w:r>
      <w:r w:rsidRPr="007E7E21">
        <w:t>49</w:t>
      </w:r>
    </w:p>
    <w:p w:rsidR="00CC4EEC" w:rsidRPr="007E7E21" w:rsidRDefault="00CC4EEC" w:rsidP="00CC4EEC">
      <w:pPr>
        <w:tabs>
          <w:tab w:val="left" w:pos="720"/>
          <w:tab w:val="left" w:pos="1440"/>
          <w:tab w:val="left" w:pos="2160"/>
          <w:tab w:val="left" w:pos="2880"/>
          <w:tab w:val="right" w:leader="dot" w:pos="9360"/>
        </w:tabs>
      </w:pPr>
    </w:p>
    <w:p w:rsidR="00CC4EEC" w:rsidRPr="007E7E21" w:rsidRDefault="00CC4EEC" w:rsidP="00CC4EEC">
      <w:pPr>
        <w:tabs>
          <w:tab w:val="left" w:pos="720"/>
          <w:tab w:val="left" w:pos="1440"/>
          <w:tab w:val="left" w:pos="2160"/>
          <w:tab w:val="left" w:pos="2880"/>
          <w:tab w:val="right" w:leader="dot" w:pos="9360"/>
        </w:tabs>
      </w:pPr>
      <w:r w:rsidRPr="007E7E21">
        <w:t>V.</w:t>
      </w:r>
      <w:r w:rsidRPr="007E7E21">
        <w:tab/>
      </w:r>
      <w:r w:rsidRPr="007E7E21">
        <w:rPr>
          <w:caps/>
        </w:rPr>
        <w:t>Recommended Order</w:t>
      </w:r>
      <w:r w:rsidRPr="007E7E21">
        <w:tab/>
      </w:r>
      <w:r w:rsidR="00136439" w:rsidRPr="007E7E21">
        <w:t>50</w:t>
      </w:r>
    </w:p>
    <w:p w:rsidR="00CC4EEC" w:rsidRPr="007E7E21" w:rsidRDefault="00CC4EEC" w:rsidP="00CC4EEC">
      <w:pPr>
        <w:tabs>
          <w:tab w:val="left" w:pos="720"/>
          <w:tab w:val="left" w:pos="1440"/>
          <w:tab w:val="left" w:pos="2160"/>
          <w:tab w:val="left" w:pos="2880"/>
          <w:tab w:val="right" w:leader="dot" w:pos="9360"/>
        </w:tabs>
      </w:pPr>
    </w:p>
    <w:p w:rsidR="001E069F" w:rsidRPr="007E7E21" w:rsidRDefault="00CC4EEC" w:rsidP="00251471">
      <w:pPr>
        <w:tabs>
          <w:tab w:val="left" w:pos="720"/>
          <w:tab w:val="left" w:pos="1440"/>
          <w:tab w:val="left" w:pos="2160"/>
          <w:tab w:val="left" w:pos="2880"/>
          <w:tab w:val="right" w:leader="dot" w:pos="9360"/>
        </w:tabs>
        <w:sectPr w:rsidR="001E069F" w:rsidRPr="007E7E21" w:rsidSect="008A53F1">
          <w:pgSz w:w="12240" w:h="15840" w:code="1"/>
          <w:pgMar w:top="1440" w:right="1440" w:bottom="1440" w:left="1440" w:header="1440" w:footer="1440" w:gutter="0"/>
          <w:cols w:space="720"/>
          <w:titlePg/>
          <w:docGrid w:linePitch="360"/>
        </w:sectPr>
      </w:pPr>
      <w:r w:rsidRPr="007E7E21">
        <w:tab/>
      </w:r>
    </w:p>
    <w:p w:rsidR="00B220C4" w:rsidRDefault="00772B1A" w:rsidP="00772B1A">
      <w:pPr>
        <w:jc w:val="center"/>
      </w:pPr>
      <w:r>
        <w:lastRenderedPageBreak/>
        <w:t>I.</w:t>
      </w:r>
      <w:r w:rsidR="004B02A7">
        <w:tab/>
      </w:r>
      <w:r>
        <w:rPr>
          <w:u w:val="single"/>
        </w:rPr>
        <w:t>HISTORY OF THE PROCEEDING</w:t>
      </w:r>
    </w:p>
    <w:p w:rsidR="00772B1A" w:rsidRDefault="00772B1A" w:rsidP="00772B1A"/>
    <w:p w:rsidR="00772B1A" w:rsidRDefault="00772B1A" w:rsidP="00772B1A"/>
    <w:p w:rsidR="00224759" w:rsidRDefault="005F5491" w:rsidP="00772B1A">
      <w:pPr>
        <w:spacing w:line="360" w:lineRule="auto"/>
      </w:pPr>
      <w:r>
        <w:tab/>
      </w:r>
      <w:r>
        <w:tab/>
      </w:r>
      <w:r w:rsidR="0010563E" w:rsidRPr="0010563E">
        <w:t>On October 9, 2009, Duquesne Light Company (“Duquesne Light” or the “Company”) filed a petition with the Pennsylvania Public Utility Commission (“Commission”) seeking approval of a Default Service Plan.   In the petition, the Company requests approval of its proposed plan to provide default service to its customers from January 1, 2011 through May 31, 2013.  Duquesne Light’s current default service plan (the “POLR IV Plan”) expires on December 31, 2010.</w:t>
      </w:r>
      <w:r w:rsidR="0010563E">
        <w:rPr>
          <w:rStyle w:val="FootnoteReference"/>
        </w:rPr>
        <w:footnoteReference w:id="1"/>
      </w:r>
      <w:r w:rsidR="000A66E4">
        <w:t xml:space="preserve">  </w:t>
      </w:r>
      <w:r w:rsidR="000A66E4" w:rsidRPr="000A66E4">
        <w:t xml:space="preserve">Notice of the Default Service Plan was published in the </w:t>
      </w:r>
      <w:r w:rsidR="000A66E4" w:rsidRPr="000A66E4">
        <w:rPr>
          <w:i/>
        </w:rPr>
        <w:t>Pennsylvania Bulletin</w:t>
      </w:r>
      <w:r w:rsidR="000A66E4" w:rsidRPr="000A66E4">
        <w:t xml:space="preserve"> on</w:t>
      </w:r>
      <w:r w:rsidR="000A66E4">
        <w:t xml:space="preserve"> </w:t>
      </w:r>
      <w:r w:rsidR="000A66E4" w:rsidRPr="000A66E4">
        <w:t>October 24, 2009.</w:t>
      </w:r>
    </w:p>
    <w:p w:rsidR="000A66E4" w:rsidRDefault="000A66E4" w:rsidP="00772B1A">
      <w:pPr>
        <w:spacing w:line="360" w:lineRule="auto"/>
      </w:pPr>
    </w:p>
    <w:p w:rsidR="000A66E4" w:rsidRDefault="000A66E4" w:rsidP="00772B1A">
      <w:pPr>
        <w:spacing w:line="360" w:lineRule="auto"/>
      </w:pPr>
      <w:r>
        <w:tab/>
      </w:r>
      <w:r>
        <w:tab/>
      </w:r>
      <w:r w:rsidR="0097111B" w:rsidRPr="0097111B">
        <w:t>The Commission’s Office of Trial Staff (“OTS”) entered its appearance in this proceeding, while the Office of Consumer Advocate (“OCA”) and the Office of Small Business Advocate (“OSBA”) filed notices of intervention.  The following entities filed petitions to intervene: Citizen Power, Inc.</w:t>
      </w:r>
      <w:r w:rsidR="0097111B">
        <w:t xml:space="preserve"> (“Citizen Power”)</w:t>
      </w:r>
      <w:r w:rsidR="0097111B" w:rsidRPr="0097111B">
        <w:t>, Constellation Energy Commodities Group, Inc. and Constellation NewEnergy, Inc. (collectively “Constellation”), Dominion Retail, Inc. (“Dominion”), Duquesne Industrial Intervenors (“DII”), First Energy Solutions Corporation (“FES”), and Retail Energy Supply Association (“RESA”).</w:t>
      </w:r>
    </w:p>
    <w:p w:rsidR="00FD454F" w:rsidRDefault="00FD454F" w:rsidP="00772B1A">
      <w:pPr>
        <w:spacing w:line="360" w:lineRule="auto"/>
      </w:pPr>
    </w:p>
    <w:p w:rsidR="00FD454F" w:rsidRDefault="00FD454F" w:rsidP="00772B1A">
      <w:pPr>
        <w:spacing w:line="360" w:lineRule="auto"/>
      </w:pPr>
      <w:r>
        <w:tab/>
      </w:r>
      <w:r>
        <w:tab/>
      </w:r>
      <w:r w:rsidR="00207009" w:rsidRPr="00207009">
        <w:t xml:space="preserve">An initial prehearing conference was held on November 12, 2009.  </w:t>
      </w:r>
      <w:r w:rsidR="00207009">
        <w:t>The p</w:t>
      </w:r>
      <w:r w:rsidR="00207009" w:rsidRPr="00207009">
        <w:t xml:space="preserve">arties filed prehearing memoranda identifying potential issues and witnesses. At the prehearing conference, the </w:t>
      </w:r>
      <w:r w:rsidR="00207009">
        <w:t xml:space="preserve">presiding </w:t>
      </w:r>
      <w:r w:rsidR="00207009" w:rsidRPr="00207009">
        <w:t>A</w:t>
      </w:r>
      <w:r w:rsidR="00207009">
        <w:t xml:space="preserve">dministrative </w:t>
      </w:r>
      <w:r w:rsidR="00207009" w:rsidRPr="00207009">
        <w:t>L</w:t>
      </w:r>
      <w:r w:rsidR="00207009">
        <w:t xml:space="preserve">aw </w:t>
      </w:r>
      <w:r w:rsidR="00207009" w:rsidRPr="00207009">
        <w:t>J</w:t>
      </w:r>
      <w:r w:rsidR="00207009">
        <w:t>udge (“ALJ”)</w:t>
      </w:r>
      <w:r w:rsidR="00207009" w:rsidRPr="00207009">
        <w:t xml:space="preserve"> granted the </w:t>
      </w:r>
      <w:r w:rsidR="00207009">
        <w:t>p</w:t>
      </w:r>
      <w:r w:rsidR="00207009" w:rsidRPr="00207009">
        <w:t xml:space="preserve">etitions to </w:t>
      </w:r>
      <w:r w:rsidR="00207009">
        <w:t>i</w:t>
      </w:r>
      <w:r w:rsidR="00207009" w:rsidRPr="00207009">
        <w:t xml:space="preserve">ntervene </w:t>
      </w:r>
      <w:r w:rsidR="00594094">
        <w:t xml:space="preserve">of </w:t>
      </w:r>
      <w:r w:rsidR="00207009" w:rsidRPr="00207009">
        <w:t>Citizen Power</w:t>
      </w:r>
      <w:r w:rsidR="00207009">
        <w:t xml:space="preserve">, </w:t>
      </w:r>
      <w:r w:rsidR="00207009" w:rsidRPr="00207009">
        <w:t>Constellation,</w:t>
      </w:r>
      <w:r w:rsidR="00207009">
        <w:t xml:space="preserve"> </w:t>
      </w:r>
      <w:r w:rsidR="00207009" w:rsidRPr="00207009">
        <w:t>DII, Dominion,</w:t>
      </w:r>
      <w:r w:rsidR="00207009">
        <w:t xml:space="preserve"> and </w:t>
      </w:r>
      <w:r w:rsidR="00207009" w:rsidRPr="00207009">
        <w:t xml:space="preserve">FES.  The ALJ deferred ruling on RESA’s </w:t>
      </w:r>
      <w:r w:rsidR="00A10522">
        <w:t>p</w:t>
      </w:r>
      <w:r w:rsidR="00207009" w:rsidRPr="00207009">
        <w:t xml:space="preserve">etition to </w:t>
      </w:r>
      <w:r w:rsidR="00A10522">
        <w:t>i</w:t>
      </w:r>
      <w:r w:rsidR="00207009" w:rsidRPr="00207009">
        <w:t xml:space="preserve">ntervene pending admission of counsel </w:t>
      </w:r>
      <w:r w:rsidR="00207009" w:rsidRPr="00A10522">
        <w:rPr>
          <w:i/>
        </w:rPr>
        <w:t>pro hac vice</w:t>
      </w:r>
      <w:r w:rsidR="00207009" w:rsidRPr="00207009">
        <w:t>.   A procedural schedule was established at the prehearing conference.  On November 20, 2009, the hearing dates were changed from February 9-10, 2010 to February 11-12, 2010</w:t>
      </w:r>
      <w:r w:rsidR="00A10522">
        <w:t xml:space="preserve"> d</w:t>
      </w:r>
      <w:r w:rsidR="00A10522" w:rsidRPr="00A10522">
        <w:t>ue to the impending move of the Commission’s Pittsburgh offices</w:t>
      </w:r>
      <w:r w:rsidR="00207009" w:rsidRPr="00207009">
        <w:t xml:space="preserve">.   Also on November 20, 2009, the ALJ issued a Second Interim </w:t>
      </w:r>
      <w:r w:rsidR="00207009" w:rsidRPr="00207009">
        <w:lastRenderedPageBreak/>
        <w:t xml:space="preserve">Order granting RESA’s motion for admission of counsel </w:t>
      </w:r>
      <w:r w:rsidR="00207009" w:rsidRPr="00A10522">
        <w:rPr>
          <w:i/>
        </w:rPr>
        <w:t>pro hac vice</w:t>
      </w:r>
      <w:r w:rsidR="00207009" w:rsidRPr="00207009">
        <w:t xml:space="preserve">, and RESA’s </w:t>
      </w:r>
      <w:r w:rsidR="00A10522">
        <w:t>p</w:t>
      </w:r>
      <w:r w:rsidR="00207009" w:rsidRPr="00207009">
        <w:t xml:space="preserve">etition to </w:t>
      </w:r>
      <w:r w:rsidR="00A10522">
        <w:t>i</w:t>
      </w:r>
      <w:r w:rsidR="00207009" w:rsidRPr="00207009">
        <w:t>ntervene.</w:t>
      </w:r>
    </w:p>
    <w:p w:rsidR="00E80A54" w:rsidRDefault="00E80A54" w:rsidP="00772B1A">
      <w:pPr>
        <w:spacing w:line="360" w:lineRule="auto"/>
      </w:pPr>
      <w:r>
        <w:tab/>
      </w:r>
      <w:r>
        <w:tab/>
      </w:r>
      <w:r w:rsidRPr="00E80A54">
        <w:t>The OCA, OSBA, Constellation, Dominion, FES, and RESA served direct testimony on December 21, 2009.</w:t>
      </w:r>
      <w:r w:rsidRPr="00E80A54">
        <w:rPr>
          <w:vertAlign w:val="superscript"/>
        </w:rPr>
        <w:footnoteReference w:id="2"/>
      </w:r>
      <w:r w:rsidRPr="00E80A54">
        <w:t xml:space="preserve">  On January 19, 2010, rebuttal testimony was served by Duquesne L</w:t>
      </w:r>
      <w:r>
        <w:t xml:space="preserve">ight, OCA, OSBA, </w:t>
      </w:r>
      <w:r w:rsidRPr="00E80A54">
        <w:t>Constellation</w:t>
      </w:r>
      <w:r>
        <w:t>, Dominion, and RESA</w:t>
      </w:r>
      <w:r w:rsidRPr="00E80A54">
        <w:t>.  On January 29, 2010, surrebuttal testimony was served by Duquesne Light, OCA, OSBA,</w:t>
      </w:r>
      <w:r w:rsidR="001D4A20" w:rsidRPr="001D4A20">
        <w:t xml:space="preserve"> </w:t>
      </w:r>
      <w:r w:rsidR="001D4A20" w:rsidRPr="00E80A54">
        <w:t>Constellation</w:t>
      </w:r>
      <w:r w:rsidR="001D4A20">
        <w:t>, Dominion, and RESA</w:t>
      </w:r>
      <w:r w:rsidRPr="00E80A54">
        <w:t>.</w:t>
      </w:r>
      <w:r w:rsidR="00295852">
        <w:rPr>
          <w:rStyle w:val="FootnoteReference"/>
        </w:rPr>
        <w:footnoteReference w:id="3"/>
      </w:r>
      <w:r w:rsidRPr="00E80A54">
        <w:t xml:space="preserve">  In addition, Duquesne Light served rejoinder outlines on February 5, 2010.</w:t>
      </w:r>
      <w:r w:rsidR="001D4A20">
        <w:t xml:space="preserve">  </w:t>
      </w:r>
      <w:r w:rsidR="001D4A20" w:rsidRPr="001D4A20">
        <w:t>Due to inclement weather conditions, the hearing dates scheduled for February 11-12, 2010, were postponed to February 24-25, 2010.</w:t>
      </w:r>
    </w:p>
    <w:p w:rsidR="00184DAC" w:rsidRDefault="00184DAC" w:rsidP="00772B1A">
      <w:pPr>
        <w:spacing w:line="360" w:lineRule="auto"/>
      </w:pPr>
    </w:p>
    <w:p w:rsidR="00184DAC" w:rsidRDefault="00184DAC" w:rsidP="00772B1A">
      <w:pPr>
        <w:spacing w:line="360" w:lineRule="auto"/>
      </w:pPr>
      <w:r>
        <w:tab/>
      </w:r>
      <w:r>
        <w:tab/>
      </w:r>
      <w:r w:rsidR="00F35F6C">
        <w:t xml:space="preserve">The parties undertook formal and informal discovery in this proceeding.  They held several settlement conferences.  As a result of these conferences and their efforts to examine the issues the various parties raised, a settlement in principle </w:t>
      </w:r>
      <w:r w:rsidR="00480407">
        <w:t xml:space="preserve">of all issues </w:t>
      </w:r>
      <w:r w:rsidR="00F35F6C">
        <w:t>was achieved prior to the date set for evidentiary hearings.  On February 19, 2010, the Company advised the ALJ of the settlement in principle and the hearings scheduled for February 24-25, 2010 were canceled.</w:t>
      </w:r>
    </w:p>
    <w:p w:rsidR="00480407" w:rsidRDefault="00480407" w:rsidP="00772B1A">
      <w:pPr>
        <w:spacing w:line="360" w:lineRule="auto"/>
      </w:pPr>
    </w:p>
    <w:p w:rsidR="00480407" w:rsidRDefault="00480407" w:rsidP="00772B1A">
      <w:pPr>
        <w:spacing w:line="360" w:lineRule="auto"/>
      </w:pPr>
      <w:r>
        <w:tab/>
      </w:r>
      <w:r>
        <w:tab/>
      </w:r>
      <w:r w:rsidR="00803761">
        <w:t xml:space="preserve">Duquesne Light, OTS, </w:t>
      </w:r>
      <w:r w:rsidR="00EC3909" w:rsidRPr="00E80A54">
        <w:t xml:space="preserve">OCA, OSBA, </w:t>
      </w:r>
      <w:r w:rsidR="00EC3909">
        <w:t xml:space="preserve">Citizen Power, </w:t>
      </w:r>
      <w:r w:rsidR="00EC3909" w:rsidRPr="00E80A54">
        <w:t>Constellation, Dominion, FES, and RESA</w:t>
      </w:r>
      <w:r w:rsidR="00EC3909">
        <w:t xml:space="preserve"> </w:t>
      </w:r>
      <w:r w:rsidR="008A692A" w:rsidRPr="008A692A">
        <w:t>(hereinafter collectively referred to as the “Joint Petitioners”)</w:t>
      </w:r>
      <w:r w:rsidR="00757792">
        <w:t xml:space="preserve"> </w:t>
      </w:r>
      <w:r w:rsidR="00EC3909">
        <w:t>either join in or do not oppose a Joint Petition for Settlement of All Issues (“Settlement”)</w:t>
      </w:r>
      <w:r w:rsidR="00757792">
        <w:t xml:space="preserve"> that was filed on February </w:t>
      </w:r>
      <w:r w:rsidR="00EC3909">
        <w:t>24, 2010.</w:t>
      </w:r>
      <w:r w:rsidR="008A692A">
        <w:rPr>
          <w:rStyle w:val="FootnoteReference"/>
        </w:rPr>
        <w:footnoteReference w:id="4"/>
      </w:r>
      <w:r w:rsidR="006676E9">
        <w:t xml:space="preserve">  </w:t>
      </w:r>
      <w:r w:rsidR="008B7CC3" w:rsidRPr="008B7CC3">
        <w:t>The Settlement</w:t>
      </w:r>
      <w:r w:rsidR="00E5260B">
        <w:t>, which is incorporated herein by reference,</w:t>
      </w:r>
      <w:r w:rsidR="008B7CC3" w:rsidRPr="008B7CC3">
        <w:t xml:space="preserve"> provides for a default service plan for the period from January 1, 2011, through May 31, 2013.  Attached as Appendix “A” </w:t>
      </w:r>
      <w:r w:rsidR="008B7CC3">
        <w:t xml:space="preserve">to the Settlement </w:t>
      </w:r>
      <w:r w:rsidR="008B7CC3" w:rsidRPr="008B7CC3">
        <w:t xml:space="preserve">are </w:t>
      </w:r>
      <w:r w:rsidR="008B7CC3" w:rsidRPr="008B7CC3">
        <w:rPr>
          <w:i/>
        </w:rPr>
        <w:t>pro forma</w:t>
      </w:r>
      <w:r w:rsidR="008B7CC3" w:rsidRPr="008B7CC3">
        <w:t xml:space="preserve"> tariff sheets to implement the default service plan.  Appendix </w:t>
      </w:r>
      <w:r w:rsidR="00DF4DBF">
        <w:t>“</w:t>
      </w:r>
      <w:r w:rsidR="008B7CC3" w:rsidRPr="008B7CC3">
        <w:t>B</w:t>
      </w:r>
      <w:r w:rsidR="00DF4DBF">
        <w:t>” to the Settlement</w:t>
      </w:r>
      <w:r w:rsidR="008B7CC3" w:rsidRPr="008B7CC3">
        <w:t xml:space="preserve"> contains an Interrogatory Response clarifying the limited circumstances under which Duquesne Light may propose to modify the fixed price offering for residential and lighting customers.  Appendix “C” </w:t>
      </w:r>
      <w:r w:rsidR="00DF4DBF">
        <w:t>to the Settlement</w:t>
      </w:r>
      <w:r w:rsidR="00DF4DBF" w:rsidRPr="008B7CC3">
        <w:t xml:space="preserve"> </w:t>
      </w:r>
      <w:r w:rsidR="008B7CC3" w:rsidRPr="008B7CC3">
        <w:t xml:space="preserve">contains a default supply </w:t>
      </w:r>
      <w:r w:rsidR="008B7CC3" w:rsidRPr="008B7CC3">
        <w:lastRenderedPageBreak/>
        <w:t xml:space="preserve">procurement schedule for the Company’s Small Commercial and Industrial (“C&amp;I”) and Medium C&amp;I customers.  Appendix “D” </w:t>
      </w:r>
      <w:r w:rsidR="00DF4DBF">
        <w:t>to the Settlement</w:t>
      </w:r>
      <w:r w:rsidR="00DF4DBF" w:rsidRPr="008B7CC3">
        <w:t xml:space="preserve"> </w:t>
      </w:r>
      <w:r w:rsidR="008B7CC3" w:rsidRPr="008B7CC3">
        <w:t xml:space="preserve">is the Supply Master Agreement for Small and Medium C&amp;I default supply procurements.  The Joint Petitioners also submit statements in support of the Settlement attached </w:t>
      </w:r>
      <w:r w:rsidR="00DF4DBF">
        <w:t>t</w:t>
      </w:r>
      <w:r w:rsidR="008B7CC3" w:rsidRPr="008B7CC3">
        <w:t>hereto as Appendices “E” through “L</w:t>
      </w:r>
      <w:r w:rsidR="00295852">
        <w:t>.”</w:t>
      </w:r>
      <w:r w:rsidR="008B7CC3" w:rsidRPr="008B7CC3">
        <w:t xml:space="preserve">  The Joint Petitioners represent that this Settlement is a reasonable resolution of this proceeding and is in the public interest and, therefore, request that the</w:t>
      </w:r>
      <w:r w:rsidR="00DF4DBF">
        <w:t xml:space="preserve"> ALJ and Commission approve the</w:t>
      </w:r>
      <w:r w:rsidR="008B7CC3" w:rsidRPr="008B7CC3">
        <w:t xml:space="preserve"> proposed Settlement without modification.  </w:t>
      </w:r>
      <w:r w:rsidR="005B451E">
        <w:t>This matter is now ripe for disposition.</w:t>
      </w:r>
    </w:p>
    <w:p w:rsidR="00BD6BA7" w:rsidRDefault="00BD6BA7" w:rsidP="00772B1A">
      <w:pPr>
        <w:spacing w:line="360" w:lineRule="auto"/>
      </w:pPr>
    </w:p>
    <w:p w:rsidR="00BD6BA7" w:rsidRDefault="00BD6BA7" w:rsidP="00BD6BA7">
      <w:pPr>
        <w:spacing w:line="360" w:lineRule="auto"/>
        <w:jc w:val="center"/>
      </w:pPr>
      <w:r>
        <w:t>II.</w:t>
      </w:r>
      <w:r w:rsidR="004B02A7">
        <w:tab/>
      </w:r>
      <w:r>
        <w:rPr>
          <w:u w:val="single"/>
        </w:rPr>
        <w:t>SETTLEMENT TERMS AND CONDITIONS</w:t>
      </w:r>
    </w:p>
    <w:p w:rsidR="00BD6BA7" w:rsidRDefault="00BD6BA7" w:rsidP="00BD6BA7">
      <w:pPr>
        <w:spacing w:line="360" w:lineRule="auto"/>
      </w:pPr>
    </w:p>
    <w:p w:rsidR="00BD6BA7" w:rsidRDefault="005B451E" w:rsidP="00BD6BA7">
      <w:pPr>
        <w:spacing w:line="360" w:lineRule="auto"/>
      </w:pPr>
      <w:r>
        <w:tab/>
      </w:r>
      <w:r>
        <w:tab/>
      </w:r>
      <w:r w:rsidRPr="008B7CC3">
        <w:t>In support of this Settlement, the Joint Petitioners state as follows:</w:t>
      </w:r>
    </w:p>
    <w:p w:rsidR="005B451E" w:rsidRDefault="005B451E" w:rsidP="00BD6BA7">
      <w:pPr>
        <w:spacing w:line="360" w:lineRule="auto"/>
      </w:pPr>
    </w:p>
    <w:p w:rsidR="005B451E" w:rsidRDefault="005B451E" w:rsidP="00BD6BA7">
      <w:pPr>
        <w:spacing w:line="360" w:lineRule="auto"/>
      </w:pPr>
      <w:r>
        <w:t>A.</w:t>
      </w:r>
      <w:r>
        <w:tab/>
      </w:r>
      <w:r>
        <w:rPr>
          <w:u w:val="single"/>
        </w:rPr>
        <w:t>Residential</w:t>
      </w:r>
      <w:r w:rsidR="00521A72">
        <w:rPr>
          <w:u w:val="single"/>
        </w:rPr>
        <w:t xml:space="preserve"> and Lighting Procurement and Rates</w:t>
      </w:r>
    </w:p>
    <w:p w:rsidR="00521A72" w:rsidRDefault="00521A72" w:rsidP="00BD6BA7">
      <w:pPr>
        <w:spacing w:line="360" w:lineRule="auto"/>
      </w:pPr>
    </w:p>
    <w:p w:rsidR="00521A72" w:rsidRDefault="004B2BD1" w:rsidP="00521A72">
      <w:pPr>
        <w:pStyle w:val="ListParagraph"/>
        <w:numPr>
          <w:ilvl w:val="0"/>
          <w:numId w:val="1"/>
        </w:numPr>
        <w:spacing w:line="360" w:lineRule="auto"/>
        <w:ind w:left="0" w:firstLine="720"/>
      </w:pPr>
      <w:r w:rsidRPr="004B2BD1">
        <w:t>Duquesne Light will procure power for residential customers for the 29</w:t>
      </w:r>
      <w:r>
        <w:t>-</w:t>
      </w:r>
      <w:r w:rsidRPr="004B2BD1">
        <w:t xml:space="preserve">month period commencing January 1, 2011, and ending May 31, 2013, using bilateral contracts as described in </w:t>
      </w:r>
      <w:r>
        <w:t xml:space="preserve">the </w:t>
      </w:r>
      <w:r w:rsidRPr="004B2BD1">
        <w:t xml:space="preserve">testimony of James E. Wilson </w:t>
      </w:r>
      <w:r>
        <w:t>(</w:t>
      </w:r>
      <w:r w:rsidRPr="004B2BD1">
        <w:t>Duquesne Light St. 2</w:t>
      </w:r>
      <w:r>
        <w:t>)</w:t>
      </w:r>
      <w:r w:rsidRPr="004B2BD1">
        <w:t>.</w:t>
      </w:r>
    </w:p>
    <w:p w:rsidR="004B2BD1" w:rsidRDefault="004B2BD1" w:rsidP="004B2BD1">
      <w:pPr>
        <w:pStyle w:val="ListParagraph"/>
        <w:spacing w:line="360" w:lineRule="auto"/>
      </w:pPr>
    </w:p>
    <w:p w:rsidR="004B2BD1" w:rsidRDefault="004B2BD1" w:rsidP="00521A72">
      <w:pPr>
        <w:pStyle w:val="ListParagraph"/>
        <w:numPr>
          <w:ilvl w:val="0"/>
          <w:numId w:val="1"/>
        </w:numPr>
        <w:spacing w:line="360" w:lineRule="auto"/>
        <w:ind w:left="0" w:firstLine="720"/>
      </w:pPr>
      <w:r w:rsidRPr="004B2BD1">
        <w:t>Duquesne Light will provide default service to all residential customers for the 29 months commencing January 1, 2011, and ending May 31, 2013, at a fixed rate of $78.60 per MWH.  The tariff supplement provided as Exhibit WVP-3 is provided as Appendix A to the Settlement.</w:t>
      </w:r>
    </w:p>
    <w:p w:rsidR="004B2BD1" w:rsidRDefault="004B2BD1" w:rsidP="004B2BD1">
      <w:pPr>
        <w:pStyle w:val="ListParagraph"/>
      </w:pPr>
    </w:p>
    <w:p w:rsidR="004B2BD1" w:rsidRDefault="00AD76DA" w:rsidP="00521A72">
      <w:pPr>
        <w:pStyle w:val="ListParagraph"/>
        <w:numPr>
          <w:ilvl w:val="0"/>
          <w:numId w:val="1"/>
        </w:numPr>
        <w:spacing w:line="360" w:lineRule="auto"/>
        <w:ind w:left="0" w:firstLine="720"/>
      </w:pPr>
      <w:r w:rsidRPr="00AD76DA">
        <w:t>Duquesne Light will provide default service to lighting customers at the fixed rates identified in Exhibit No. WVP-1 for the period commencing January 1, 2011, and ending May 31, 2013.  These r</w:t>
      </w:r>
      <w:r>
        <w:t xml:space="preserve">ates are included in Appendix A </w:t>
      </w:r>
      <w:r w:rsidRPr="004B2BD1">
        <w:t>to the Settlement</w:t>
      </w:r>
      <w:r>
        <w:t>.</w:t>
      </w:r>
    </w:p>
    <w:p w:rsidR="00AD76DA" w:rsidRDefault="00AD76DA" w:rsidP="00AD76DA">
      <w:pPr>
        <w:pStyle w:val="ListParagraph"/>
      </w:pPr>
    </w:p>
    <w:p w:rsidR="00AD76DA" w:rsidRDefault="00AD76DA" w:rsidP="00521A72">
      <w:pPr>
        <w:pStyle w:val="ListParagraph"/>
        <w:numPr>
          <w:ilvl w:val="0"/>
          <w:numId w:val="1"/>
        </w:numPr>
        <w:spacing w:line="360" w:lineRule="auto"/>
        <w:ind w:left="0" w:firstLine="720"/>
      </w:pPr>
      <w:r w:rsidRPr="00AD76DA">
        <w:t>The fixed rates for residential and lighting customers shall be subject to change, consistent with the Interrogatory Response provided as Appendix B</w:t>
      </w:r>
      <w:r w:rsidR="00514E4B" w:rsidRPr="00514E4B">
        <w:t xml:space="preserve"> </w:t>
      </w:r>
      <w:r w:rsidR="00514E4B" w:rsidRPr="004B2BD1">
        <w:t>to the Settlement</w:t>
      </w:r>
      <w:r w:rsidR="00514E4B">
        <w:t>, on 30 </w:t>
      </w:r>
      <w:r w:rsidRPr="00AD76DA">
        <w:t>days’ notice to customers and approval of the Commission.</w:t>
      </w:r>
    </w:p>
    <w:p w:rsidR="00514E4B" w:rsidRDefault="00514E4B" w:rsidP="00514E4B">
      <w:pPr>
        <w:spacing w:line="360" w:lineRule="auto"/>
      </w:pPr>
      <w:r>
        <w:lastRenderedPageBreak/>
        <w:t>B.</w:t>
      </w:r>
      <w:r>
        <w:tab/>
      </w:r>
      <w:r w:rsidR="00E44465">
        <w:rPr>
          <w:u w:val="single"/>
        </w:rPr>
        <w:t>Small C&amp;I and Medium C&amp;I Procurement</w:t>
      </w:r>
    </w:p>
    <w:p w:rsidR="00E44465" w:rsidRDefault="00E44465" w:rsidP="00514E4B">
      <w:pPr>
        <w:spacing w:line="360" w:lineRule="auto"/>
      </w:pPr>
    </w:p>
    <w:p w:rsidR="00E44465" w:rsidRDefault="00E44465" w:rsidP="00E44465">
      <w:pPr>
        <w:pStyle w:val="ListParagraph"/>
        <w:numPr>
          <w:ilvl w:val="0"/>
          <w:numId w:val="2"/>
        </w:numPr>
        <w:spacing w:line="360" w:lineRule="auto"/>
        <w:ind w:left="0" w:firstLine="720"/>
      </w:pPr>
      <w:r w:rsidRPr="00E44465">
        <w:t>Duquesne Light will procure power to provide ser</w:t>
      </w:r>
      <w:r>
        <w:t>vice to Small C&amp;I (less than 25</w:t>
      </w:r>
      <w:r w:rsidR="003F2376">
        <w:t> </w:t>
      </w:r>
      <w:r w:rsidRPr="00E44465">
        <w:t xml:space="preserve">kW maximum peak demand) and Medium C&amp;I customers (from 25 kW up to, but not including, 300 kW </w:t>
      </w:r>
      <w:r w:rsidR="003F2376">
        <w:t>maximum peak demand) for the 29-</w:t>
      </w:r>
      <w:r w:rsidRPr="00E44465">
        <w:t>month period commencing January 1, 201</w:t>
      </w:r>
      <w:r w:rsidR="003F6673">
        <w:t>1</w:t>
      </w:r>
      <w:r w:rsidRPr="00E44465">
        <w:t xml:space="preserve">, and ending May 31, 2013, using </w:t>
      </w:r>
      <w:r w:rsidR="003F2376">
        <w:t>Requests for Proposals (“</w:t>
      </w:r>
      <w:r w:rsidRPr="00E44465">
        <w:t>RFPs</w:t>
      </w:r>
      <w:r w:rsidR="003F2376">
        <w:t>”)</w:t>
      </w:r>
      <w:r w:rsidRPr="00E44465">
        <w:t xml:space="preserve"> to obtain full requirements contracts at the terms and on the schedule included in Appendix C to the Settlement.  Duquesne Light will engage an independent third party to assist in qualifying bidders, conducting bidder information sessions, receiving bids, ranking qualifying bi</w:t>
      </w:r>
      <w:r w:rsidR="003F2376">
        <w:t>ds and determining winning bids.</w:t>
      </w:r>
    </w:p>
    <w:p w:rsidR="003F2376" w:rsidRDefault="003F2376" w:rsidP="003F2376">
      <w:pPr>
        <w:pStyle w:val="ListParagraph"/>
        <w:spacing w:line="360" w:lineRule="auto"/>
      </w:pPr>
    </w:p>
    <w:p w:rsidR="003F2376" w:rsidRDefault="0067657C" w:rsidP="00E44465">
      <w:pPr>
        <w:pStyle w:val="ListParagraph"/>
        <w:numPr>
          <w:ilvl w:val="0"/>
          <w:numId w:val="2"/>
        </w:numPr>
        <w:spacing w:line="360" w:lineRule="auto"/>
        <w:ind w:left="0" w:firstLine="720"/>
      </w:pPr>
      <w:r w:rsidRPr="0067657C">
        <w:t xml:space="preserve">Small C&amp;I and Medium C&amp;I procurements will be conducted simultaneously under the Schedule provided in Appendix C </w:t>
      </w:r>
      <w:r w:rsidRPr="00E44465">
        <w:t>to the Settlement</w:t>
      </w:r>
      <w:r w:rsidRPr="0067657C">
        <w:t>, except for the November 2012 procurement which will be only for Medium C&amp;I customers.  (A procurement for Small C&amp;I customers is not required in November 2012</w:t>
      </w:r>
      <w:r>
        <w:t>,</w:t>
      </w:r>
      <w:r w:rsidRPr="0067657C">
        <w:t xml:space="preserve"> because all procurements for Small C&amp;I customers for the POLR V period will be completed by the end of May 2012)</w:t>
      </w:r>
      <w:r>
        <w:t>.</w:t>
      </w:r>
    </w:p>
    <w:p w:rsidR="0067657C" w:rsidRDefault="0067657C" w:rsidP="0067657C">
      <w:pPr>
        <w:pStyle w:val="ListParagraph"/>
      </w:pPr>
    </w:p>
    <w:p w:rsidR="0067657C" w:rsidRDefault="005C3B4C" w:rsidP="00E44465">
      <w:pPr>
        <w:pStyle w:val="ListParagraph"/>
        <w:numPr>
          <w:ilvl w:val="0"/>
          <w:numId w:val="2"/>
        </w:numPr>
        <w:spacing w:line="360" w:lineRule="auto"/>
        <w:ind w:left="0" w:firstLine="720"/>
      </w:pPr>
      <w:r w:rsidRPr="005C3B4C">
        <w:t xml:space="preserve">Default service rates for Small C&amp;I customers and Medium C&amp;I customers will be based on the results of procurements in accordance with the filed tariff provisions in this proceeding, which results will be submitted to the Commission for approval.  Default service rates for Small C&amp;I customers will be revised annually and will be subject to reconciliation as set forth in Appendix A </w:t>
      </w:r>
      <w:r w:rsidRPr="00E44465">
        <w:t>to the Settlement</w:t>
      </w:r>
      <w:r w:rsidRPr="005C3B4C">
        <w:t xml:space="preserve">.  Medium C&amp;I rates will be revised semi-annually and will be subject to reconciliation as set forth in Appendix A </w:t>
      </w:r>
      <w:r w:rsidRPr="00E44465">
        <w:t>to the Settlement</w:t>
      </w:r>
      <w:r w:rsidRPr="005C3B4C">
        <w:t>.</w:t>
      </w:r>
    </w:p>
    <w:p w:rsidR="005C3B4C" w:rsidRDefault="005C3B4C" w:rsidP="005C3B4C">
      <w:pPr>
        <w:pStyle w:val="ListParagraph"/>
      </w:pPr>
    </w:p>
    <w:p w:rsidR="005C3B4C" w:rsidRDefault="005C3B4C" w:rsidP="00E44465">
      <w:pPr>
        <w:pStyle w:val="ListParagraph"/>
        <w:numPr>
          <w:ilvl w:val="0"/>
          <w:numId w:val="2"/>
        </w:numPr>
        <w:spacing w:line="360" w:lineRule="auto"/>
        <w:ind w:left="0" w:firstLine="720"/>
      </w:pPr>
      <w:r w:rsidRPr="005C3B4C">
        <w:t>The procurement contract (</w:t>
      </w:r>
      <w:r w:rsidRPr="005C3B4C">
        <w:rPr>
          <w:i/>
        </w:rPr>
        <w:t>i.e.</w:t>
      </w:r>
      <w:r w:rsidRPr="005C3B4C">
        <w:t>, the Supply Master Agreement) for Small C&amp;I and Medium C&amp;I procurements, with the modifications agreed to by the Joint Petitioners, is provided as Appendix D to the Settlement.</w:t>
      </w:r>
    </w:p>
    <w:p w:rsidR="005C3B4C" w:rsidRDefault="005C3B4C" w:rsidP="005C3B4C">
      <w:pPr>
        <w:pStyle w:val="ListParagraph"/>
      </w:pPr>
    </w:p>
    <w:p w:rsidR="005C3B4C" w:rsidRDefault="00E5260B" w:rsidP="00E44465">
      <w:pPr>
        <w:pStyle w:val="ListParagraph"/>
        <w:numPr>
          <w:ilvl w:val="0"/>
          <w:numId w:val="2"/>
        </w:numPr>
        <w:spacing w:line="360" w:lineRule="auto"/>
        <w:ind w:left="0" w:firstLine="720"/>
      </w:pPr>
      <w:r w:rsidRPr="00E5260B">
        <w:t>With respect to documents related to the RFP, Duquesne Light:</w:t>
      </w:r>
    </w:p>
    <w:p w:rsidR="00E5260B" w:rsidRDefault="00E5260B" w:rsidP="00E5260B">
      <w:pPr>
        <w:pStyle w:val="ListParagraph"/>
      </w:pPr>
    </w:p>
    <w:p w:rsidR="00E5260B" w:rsidRDefault="00BE0054" w:rsidP="00E5260B">
      <w:pPr>
        <w:pStyle w:val="ListParagraph"/>
        <w:numPr>
          <w:ilvl w:val="1"/>
          <w:numId w:val="2"/>
        </w:numPr>
        <w:spacing w:line="360" w:lineRule="auto"/>
        <w:ind w:left="0" w:firstLine="1440"/>
      </w:pPr>
      <w:r w:rsidRPr="00BE0054">
        <w:lastRenderedPageBreak/>
        <w:t>Will remove from its form of non-disclosure agreement and will not include elsewhere in any document related to the RFP any provision</w:t>
      </w:r>
      <w:r>
        <w:t>,</w:t>
      </w:r>
      <w:r w:rsidRPr="00BE0054">
        <w:t xml:space="preserve"> which would provide that Duquesne Light reserves the right to consider any and all factors that it deems appropriate in the determination of a successful bid, and/or that Duquesne Light has no obligation to accept any bid;</w:t>
      </w:r>
    </w:p>
    <w:p w:rsidR="004C775D" w:rsidRDefault="004C775D" w:rsidP="003B6AF8">
      <w:pPr>
        <w:spacing w:line="360" w:lineRule="auto"/>
      </w:pPr>
    </w:p>
    <w:p w:rsidR="00BE0054" w:rsidRDefault="00524AC4" w:rsidP="00E5260B">
      <w:pPr>
        <w:pStyle w:val="ListParagraph"/>
        <w:numPr>
          <w:ilvl w:val="1"/>
          <w:numId w:val="2"/>
        </w:numPr>
        <w:spacing w:line="360" w:lineRule="auto"/>
        <w:ind w:left="0" w:firstLine="1440"/>
      </w:pPr>
      <w:r w:rsidRPr="00524AC4">
        <w:t>Will assure that discretion for rejecting bids is reserved only for the Commission and the RFP independent consultant, based on the RFP’s defined rules; and</w:t>
      </w:r>
    </w:p>
    <w:p w:rsidR="00524AC4" w:rsidRDefault="00524AC4" w:rsidP="00524AC4">
      <w:pPr>
        <w:pStyle w:val="ListParagraph"/>
      </w:pPr>
    </w:p>
    <w:p w:rsidR="00524AC4" w:rsidRDefault="005D0636" w:rsidP="00E5260B">
      <w:pPr>
        <w:pStyle w:val="ListParagraph"/>
        <w:numPr>
          <w:ilvl w:val="1"/>
          <w:numId w:val="2"/>
        </w:numPr>
        <w:spacing w:line="360" w:lineRule="auto"/>
        <w:ind w:left="0" w:firstLine="1440"/>
      </w:pPr>
      <w:r>
        <w:t>W</w:t>
      </w:r>
      <w:r w:rsidRPr="005D0636">
        <w:t>ill, pursuant to the general timelines used in POLR IV, (i) send communications to potential suppliers and trade press providing notification of such bid date, including the address for the RFP website, (ii) provide copies of all proposed RFP pre</w:t>
      </w:r>
      <w:r>
        <w:t>-</w:t>
      </w:r>
      <w:r w:rsidRPr="005D0636">
        <w:t>bid documents on the RFP website, (iii) work with interested parties to ensure that such RFP pre</w:t>
      </w:r>
      <w:r>
        <w:t>-</w:t>
      </w:r>
      <w:r w:rsidRPr="005D0636">
        <w:t>bid documents are consistent with those used by Duquesne Light in the most recent Medium C&amp;I procurement, updated to reflect only the changes proposed in the Default Service Plan, as modified by this Settlement, and (iv) subsequently provide copies of all final RFP pre</w:t>
      </w:r>
      <w:r>
        <w:t>-</w:t>
      </w:r>
      <w:r w:rsidRPr="005D0636">
        <w:t>bid documents on its RFP website to reflect any additional changes necessary to ensure consistency with the Default Service Plan as modified by this Settlement that have been accepted by Duquesne Light.</w:t>
      </w:r>
    </w:p>
    <w:p w:rsidR="005D0636" w:rsidRDefault="005D0636" w:rsidP="005D0636">
      <w:pPr>
        <w:pStyle w:val="ListParagraph"/>
      </w:pPr>
    </w:p>
    <w:p w:rsidR="005D0636" w:rsidRDefault="006843C8" w:rsidP="008D0FC5">
      <w:pPr>
        <w:pStyle w:val="ListParagraph"/>
        <w:numPr>
          <w:ilvl w:val="0"/>
          <w:numId w:val="2"/>
        </w:numPr>
        <w:spacing w:line="360" w:lineRule="auto"/>
        <w:ind w:left="0" w:firstLine="720"/>
      </w:pPr>
      <w:r w:rsidRPr="006843C8">
        <w:t xml:space="preserve">There will be a cap on the number of tranches that can be awarded to one bidder in the simultaneous RFPs for Small C&amp;I and Medium C&amp;I customers and in the RFP for Medium C&amp;I customers in November 2012.  Specifically, during the first five procurements scheduled, there will be 8 tranches bid, 6 for Medium C&amp;I customers and 2 for Small C&amp;I customers.  No one supplier will be awarded more than 6 of the 8 tranches.  After Commission approval, Duquesne Light will first award the 2 tranches for Small C&amp;I customers to the qualified lowest bidder(s).  Duquesne Light will then award the 6 tranches for Medium C&amp;I customers to the qualified lowest bidders, taking into account the combined 6 tranche maximum.  During the sixth procurement scheduled in November 2012, there will be a total of 6 tranches bid for Medium C&amp;I customers and no tranches bid for Small C&amp;I customers.  In this procurement, </w:t>
      </w:r>
      <w:r w:rsidRPr="006843C8">
        <w:lastRenderedPageBreak/>
        <w:t>Duquesne Light will award the 6 tranches for Medium C&amp;I customers to the qualified lowest bidders, but no supplier will be awarded more than 4 of the 6 tranches.</w:t>
      </w:r>
    </w:p>
    <w:p w:rsidR="006843C8" w:rsidRDefault="006843C8" w:rsidP="006843C8">
      <w:pPr>
        <w:pStyle w:val="ListParagraph"/>
        <w:spacing w:line="360" w:lineRule="auto"/>
      </w:pPr>
    </w:p>
    <w:p w:rsidR="006843C8" w:rsidRDefault="009A6C70" w:rsidP="008D0FC5">
      <w:pPr>
        <w:pStyle w:val="ListParagraph"/>
        <w:numPr>
          <w:ilvl w:val="0"/>
          <w:numId w:val="2"/>
        </w:numPr>
        <w:spacing w:line="360" w:lineRule="auto"/>
        <w:ind w:left="0" w:firstLine="720"/>
      </w:pPr>
      <w:r w:rsidRPr="009A6C70">
        <w:t>Duquesne Light will release the weighted average of all the winning bids separately for the Small C&amp;I class and the Medium C&amp;I class (not individual bid prices or supplier names) within 2 business days after approval by the Commission of the results and execution of all contracts and will publish the revised retail rates 15 days before they become effective.</w:t>
      </w:r>
    </w:p>
    <w:p w:rsidR="009A6C70" w:rsidRDefault="009A6C70" w:rsidP="009A6C70">
      <w:pPr>
        <w:pStyle w:val="ListParagraph"/>
      </w:pPr>
    </w:p>
    <w:p w:rsidR="009A6C70" w:rsidRDefault="009A6C70" w:rsidP="008D0FC5">
      <w:pPr>
        <w:pStyle w:val="ListParagraph"/>
        <w:numPr>
          <w:ilvl w:val="0"/>
          <w:numId w:val="2"/>
        </w:numPr>
        <w:spacing w:line="360" w:lineRule="auto"/>
        <w:ind w:left="0" w:firstLine="720"/>
      </w:pPr>
      <w:r w:rsidRPr="009A6C70">
        <w:t>If for any reason an RFP fails to attract a sufficient volume of bids, the Commission does not approve the submitted bids or an accepted supplier defaults, Duquesne Light will meet its default supply obligation on an interim basis through purchases in the PJM spot market and will be permitted to recover all the costs of such purchases and reasonable administrative costs from Small and/or Medium C&amp;I customers.  Duquesne Light will submit to the Commission within 10 days after any such occurrence, a contingency plan to handle any default service shortfall.</w:t>
      </w:r>
    </w:p>
    <w:p w:rsidR="008B5338" w:rsidRDefault="008B5338" w:rsidP="008B5338">
      <w:pPr>
        <w:pStyle w:val="ListParagraph"/>
      </w:pPr>
    </w:p>
    <w:p w:rsidR="008B5338" w:rsidRDefault="008B5338" w:rsidP="008B5338">
      <w:pPr>
        <w:spacing w:line="360" w:lineRule="auto"/>
      </w:pPr>
      <w:r>
        <w:t>C.</w:t>
      </w:r>
      <w:r>
        <w:tab/>
      </w:r>
      <w:r>
        <w:rPr>
          <w:u w:val="single"/>
        </w:rPr>
        <w:t>Large C&amp;I Procurement Plan and Rates</w:t>
      </w:r>
    </w:p>
    <w:p w:rsidR="008B5338" w:rsidRDefault="008B5338" w:rsidP="008B5338">
      <w:pPr>
        <w:spacing w:line="360" w:lineRule="auto"/>
      </w:pPr>
    </w:p>
    <w:p w:rsidR="008B5338" w:rsidRDefault="008B5338" w:rsidP="008B5338">
      <w:pPr>
        <w:pStyle w:val="ListParagraph"/>
        <w:numPr>
          <w:ilvl w:val="0"/>
          <w:numId w:val="3"/>
        </w:numPr>
        <w:spacing w:line="360" w:lineRule="auto"/>
        <w:ind w:left="0" w:firstLine="720"/>
      </w:pPr>
      <w:r w:rsidRPr="008B5338">
        <w:t>Duquesne Light will continue to provide default service to Large C&amp;I customers at day ahead hourly spot pricing in accordance with the filed tariff provisions in this proceeding, purchased directly from PJM.</w:t>
      </w:r>
    </w:p>
    <w:p w:rsidR="00733F05" w:rsidRDefault="00733F05" w:rsidP="00733F05">
      <w:pPr>
        <w:pStyle w:val="ListParagraph"/>
        <w:spacing w:line="360" w:lineRule="auto"/>
      </w:pPr>
    </w:p>
    <w:p w:rsidR="00733F05" w:rsidRDefault="00733F05" w:rsidP="008B5338">
      <w:pPr>
        <w:pStyle w:val="ListParagraph"/>
        <w:numPr>
          <w:ilvl w:val="0"/>
          <w:numId w:val="3"/>
        </w:numPr>
        <w:spacing w:line="360" w:lineRule="auto"/>
        <w:ind w:left="0" w:firstLine="720"/>
      </w:pPr>
      <w:r w:rsidRPr="00733F05">
        <w:t>Duquesne Light will monitor the results of the collaborative among PPL Electric Utilities Corporation (“PPL EU”) and the parties in its POLR proceeding concerning a monthly or quarterly load following service for Large C&amp;I customers.  If the PPL EU collaborative results in the offering of such a service by PPL EU, Duquesne Light will monitor the results of such service and evaluate whether to offer a similar service in a future default service plan.</w:t>
      </w:r>
    </w:p>
    <w:p w:rsidR="00733F05" w:rsidRDefault="00733F05" w:rsidP="00733F05">
      <w:pPr>
        <w:pStyle w:val="ListParagraph"/>
      </w:pPr>
    </w:p>
    <w:p w:rsidR="005D6455" w:rsidRDefault="005D6455">
      <w:r>
        <w:br w:type="page"/>
      </w:r>
    </w:p>
    <w:p w:rsidR="00733F05" w:rsidRDefault="005D6455" w:rsidP="00733F05">
      <w:pPr>
        <w:spacing w:line="360" w:lineRule="auto"/>
      </w:pPr>
      <w:r>
        <w:lastRenderedPageBreak/>
        <w:t>D.</w:t>
      </w:r>
      <w:r>
        <w:tab/>
      </w:r>
      <w:r>
        <w:rPr>
          <w:u w:val="single"/>
        </w:rPr>
        <w:t>Enhancements to Competition</w:t>
      </w:r>
    </w:p>
    <w:p w:rsidR="005D6455" w:rsidRDefault="005D6455" w:rsidP="00733F05">
      <w:pPr>
        <w:spacing w:line="360" w:lineRule="auto"/>
      </w:pPr>
    </w:p>
    <w:p w:rsidR="005D6455" w:rsidRDefault="005D6455" w:rsidP="005D6455">
      <w:pPr>
        <w:pStyle w:val="ListParagraph"/>
        <w:numPr>
          <w:ilvl w:val="0"/>
          <w:numId w:val="4"/>
        </w:numPr>
        <w:spacing w:line="360" w:lineRule="auto"/>
        <w:ind w:left="0" w:firstLine="720"/>
      </w:pPr>
      <w:r w:rsidRPr="005D6455">
        <w:t xml:space="preserve">Duquesne Light will offer to purchase EGS receivables for Medium C&amp;I customers (25 kW to &lt;300 kW) at a discount of 0.28% (0.10% for administrative costs and 0.18% for uncollectible costs).  The discount rate for purchase of receivables for Residential and Small C&amp;I customers will be revised downward from 0.7% to 0.52% (0.10% for administrative costs and 0.42% for uncollectible costs).  Duquesne Light will purchase EGS receivables for Residential, Small and Medium C&amp;I customers under the same rules and conditions as the current POR program.  The current program is included in pages 30A-30C of the Company’s Supplier Tariff, and </w:t>
      </w:r>
      <w:r w:rsidRPr="005438C8">
        <w:rPr>
          <w:i/>
        </w:rPr>
        <w:t>pro forma</w:t>
      </w:r>
      <w:r w:rsidRPr="005D6455">
        <w:t xml:space="preserve"> tariff sheets provided in Appendix A </w:t>
      </w:r>
      <w:r w:rsidR="005438C8">
        <w:t xml:space="preserve">to the Settlement </w:t>
      </w:r>
      <w:r w:rsidRPr="005D6455">
        <w:t>to reflect the terms of the expanded POR program.  For sake of clarity, Duquesne Light agrees that it will not be permitted to recover retroactively from distribution ratepayers any difference between discounts applied to EGS receivables and uncollected amounts resulting from the purchase of EGS’ billings.</w:t>
      </w:r>
    </w:p>
    <w:p w:rsidR="005438C8" w:rsidRDefault="005438C8" w:rsidP="005438C8">
      <w:pPr>
        <w:pStyle w:val="ListParagraph"/>
        <w:spacing w:line="360" w:lineRule="auto"/>
      </w:pPr>
    </w:p>
    <w:p w:rsidR="005438C8" w:rsidRDefault="005438C8" w:rsidP="005D6455">
      <w:pPr>
        <w:pStyle w:val="ListParagraph"/>
        <w:numPr>
          <w:ilvl w:val="0"/>
          <w:numId w:val="4"/>
        </w:numPr>
        <w:spacing w:line="360" w:lineRule="auto"/>
        <w:ind w:left="0" w:firstLine="720"/>
      </w:pPr>
      <w:r w:rsidRPr="005438C8">
        <w:t xml:space="preserve">Duquesne Light will post documents (RFP guidelines, bid procedures, </w:t>
      </w:r>
      <w:r w:rsidRPr="005438C8">
        <w:rPr>
          <w:i/>
        </w:rPr>
        <w:t>etc</w:t>
      </w:r>
      <w:r w:rsidRPr="005438C8">
        <w:t>.) for the Small C&amp;I and Medium C&amp;I procurements within 30 days af</w:t>
      </w:r>
      <w:r>
        <w:t>ter the filing of the</w:t>
      </w:r>
      <w:r w:rsidRPr="005438C8">
        <w:t xml:space="preserve"> Settlement.</w:t>
      </w:r>
    </w:p>
    <w:p w:rsidR="005438C8" w:rsidRDefault="005438C8" w:rsidP="005438C8">
      <w:pPr>
        <w:pStyle w:val="ListParagraph"/>
      </w:pPr>
    </w:p>
    <w:p w:rsidR="005438C8" w:rsidRDefault="00724580" w:rsidP="005D6455">
      <w:pPr>
        <w:pStyle w:val="ListParagraph"/>
        <w:numPr>
          <w:ilvl w:val="0"/>
          <w:numId w:val="4"/>
        </w:numPr>
        <w:spacing w:line="360" w:lineRule="auto"/>
        <w:ind w:left="0" w:firstLine="720"/>
      </w:pPr>
      <w:r w:rsidRPr="00724580">
        <w:t>Duquesne Light will perform the following activities during POLR V to enhance competition in its service territory:</w:t>
      </w:r>
    </w:p>
    <w:p w:rsidR="00724580" w:rsidRDefault="00724580" w:rsidP="00724580">
      <w:pPr>
        <w:pStyle w:val="ListParagraph"/>
      </w:pPr>
    </w:p>
    <w:p w:rsidR="00724580" w:rsidRDefault="00724580" w:rsidP="00724580">
      <w:pPr>
        <w:pStyle w:val="ListParagraph"/>
        <w:numPr>
          <w:ilvl w:val="1"/>
          <w:numId w:val="4"/>
        </w:numPr>
        <w:spacing w:line="360" w:lineRule="auto"/>
        <w:ind w:left="0" w:firstLine="1440"/>
      </w:pPr>
      <w:r w:rsidRPr="00724580">
        <w:t xml:space="preserve">Provide customers with access to the OCA residential shopping guide via direct link to the OCA website.  The link will be located prominently on the homepage of </w:t>
      </w:r>
      <w:hyperlink r:id="rId10" w:history="1">
        <w:r w:rsidR="00E95264" w:rsidRPr="00A84E83">
          <w:rPr>
            <w:rStyle w:val="Hyperlink"/>
          </w:rPr>
          <w:t>http://www.duquesnelight.com/</w:t>
        </w:r>
      </w:hyperlink>
      <w:r w:rsidRPr="00724580">
        <w:t>.</w:t>
      </w:r>
    </w:p>
    <w:p w:rsidR="00E95264" w:rsidRDefault="00E95264" w:rsidP="00E95264">
      <w:pPr>
        <w:pStyle w:val="ListParagraph"/>
        <w:spacing w:line="360" w:lineRule="auto"/>
        <w:ind w:left="1440"/>
      </w:pPr>
    </w:p>
    <w:p w:rsidR="00E95264" w:rsidRDefault="00E95264" w:rsidP="00724580">
      <w:pPr>
        <w:pStyle w:val="ListParagraph"/>
        <w:numPr>
          <w:ilvl w:val="1"/>
          <w:numId w:val="4"/>
        </w:numPr>
        <w:spacing w:line="360" w:lineRule="auto"/>
        <w:ind w:left="0" w:firstLine="1440"/>
      </w:pPr>
      <w:r w:rsidRPr="00E95264">
        <w:t>Provide customers with access to the Commission’s new comprehensive website, once it exists, via direct link.  The link will be located prominently on the homepage of http://www.duquesnelight.com/.  Once the new site exists, the parties shall discuss whether both the OCA and PUC links should appear on the homepage.</w:t>
      </w:r>
    </w:p>
    <w:p w:rsidR="00E95264" w:rsidRDefault="00E95264" w:rsidP="00E95264">
      <w:pPr>
        <w:pStyle w:val="ListParagraph"/>
      </w:pPr>
    </w:p>
    <w:p w:rsidR="00E95264" w:rsidRDefault="00423A99" w:rsidP="00724580">
      <w:pPr>
        <w:pStyle w:val="ListParagraph"/>
        <w:numPr>
          <w:ilvl w:val="1"/>
          <w:numId w:val="4"/>
        </w:numPr>
        <w:spacing w:line="360" w:lineRule="auto"/>
        <w:ind w:left="0" w:firstLine="1440"/>
      </w:pPr>
      <w:r w:rsidRPr="00423A99">
        <w:lastRenderedPageBreak/>
        <w:t>On a semi-annual basis, circulate information on Customer Choice, including promoting, via bill inserts/Service Line, the links on its website and any telephonic means for a customer to solicit information about customer choice and retail offers.</w:t>
      </w:r>
    </w:p>
    <w:p w:rsidR="00423A99" w:rsidRDefault="00423A99" w:rsidP="00423A99">
      <w:pPr>
        <w:pStyle w:val="ListParagraph"/>
      </w:pPr>
    </w:p>
    <w:p w:rsidR="00423A99" w:rsidRDefault="00A6115A" w:rsidP="00724580">
      <w:pPr>
        <w:pStyle w:val="ListParagraph"/>
        <w:numPr>
          <w:ilvl w:val="1"/>
          <w:numId w:val="4"/>
        </w:numPr>
        <w:spacing w:line="360" w:lineRule="auto"/>
        <w:ind w:left="0" w:firstLine="1440"/>
      </w:pPr>
      <w:r w:rsidRPr="00A6115A">
        <w:t xml:space="preserve">In the new customer packet and any other materials relating to new service, Duquesne </w:t>
      </w:r>
      <w:r>
        <w:t xml:space="preserve">Light </w:t>
      </w:r>
      <w:r w:rsidRPr="00A6115A">
        <w:t xml:space="preserve">shall advise new customers upon service initiation of the opportunity to obtain supply from an EGS.  The new customer packet and website area discussing initiation of new service, or transfer of service, will also contain a link to the OCA shopping guide and the new statewide website </w:t>
      </w:r>
      <w:r>
        <w:t xml:space="preserve">as </w:t>
      </w:r>
      <w:r w:rsidRPr="00A6115A">
        <w:t xml:space="preserve">discussed in </w:t>
      </w:r>
      <w:r>
        <w:t xml:space="preserve">subparagraph </w:t>
      </w:r>
      <w:r w:rsidRPr="00A6115A">
        <w:t>b</w:t>
      </w:r>
      <w:r>
        <w:t xml:space="preserve">, </w:t>
      </w:r>
      <w:r>
        <w:rPr>
          <w:i/>
        </w:rPr>
        <w:t>supra</w:t>
      </w:r>
      <w:r w:rsidRPr="00A6115A">
        <w:t>.</w:t>
      </w:r>
    </w:p>
    <w:p w:rsidR="00A6115A" w:rsidRDefault="00A6115A" w:rsidP="00A6115A">
      <w:pPr>
        <w:pStyle w:val="ListParagraph"/>
      </w:pPr>
    </w:p>
    <w:p w:rsidR="00A6115A" w:rsidRDefault="0096551B" w:rsidP="00724580">
      <w:pPr>
        <w:pStyle w:val="ListParagraph"/>
        <w:numPr>
          <w:ilvl w:val="1"/>
          <w:numId w:val="4"/>
        </w:numPr>
        <w:spacing w:line="360" w:lineRule="auto"/>
        <w:ind w:left="0" w:firstLine="1440"/>
      </w:pPr>
      <w:r w:rsidRPr="0096551B">
        <w:t xml:space="preserve">In addition to the foregoing measures, Duquesne </w:t>
      </w:r>
      <w:r>
        <w:t xml:space="preserve">Light </w:t>
      </w:r>
      <w:r w:rsidRPr="0096551B">
        <w:t>will implement a competition enhancement program with the following features by January 1, 2011:</w:t>
      </w:r>
    </w:p>
    <w:p w:rsidR="0096551B" w:rsidRDefault="0096551B" w:rsidP="0096551B">
      <w:pPr>
        <w:pStyle w:val="ListParagraph"/>
      </w:pPr>
    </w:p>
    <w:p w:rsidR="0096551B" w:rsidRDefault="00D762A7" w:rsidP="0096551B">
      <w:pPr>
        <w:pStyle w:val="ListParagraph"/>
        <w:numPr>
          <w:ilvl w:val="2"/>
          <w:numId w:val="4"/>
        </w:numPr>
        <w:spacing w:line="360" w:lineRule="auto"/>
        <w:ind w:left="0" w:firstLine="2160"/>
      </w:pPr>
      <w:r w:rsidRPr="00D762A7">
        <w:t xml:space="preserve">Development of a process to inform customers, under appropriate circumstances to be identified pursuant to the collaborative under </w:t>
      </w:r>
      <w:r>
        <w:t xml:space="preserve">subparagraph </w:t>
      </w:r>
      <w:r w:rsidRPr="00D762A7">
        <w:t>f</w:t>
      </w:r>
      <w:r>
        <w:t xml:space="preserve">, </w:t>
      </w:r>
      <w:r>
        <w:rPr>
          <w:i/>
        </w:rPr>
        <w:t>infra</w:t>
      </w:r>
      <w:r w:rsidRPr="00D762A7">
        <w:t>, of retail offers posted on the above-referenced websites when customers contact the Duquesne Light customer service center;</w:t>
      </w:r>
    </w:p>
    <w:p w:rsidR="00D762A7" w:rsidRDefault="00D762A7" w:rsidP="00D762A7">
      <w:pPr>
        <w:pStyle w:val="ListParagraph"/>
        <w:spacing w:line="360" w:lineRule="auto"/>
        <w:ind w:left="2160"/>
      </w:pPr>
    </w:p>
    <w:p w:rsidR="00D762A7" w:rsidRDefault="00D762A7" w:rsidP="0096551B">
      <w:pPr>
        <w:pStyle w:val="ListParagraph"/>
        <w:numPr>
          <w:ilvl w:val="2"/>
          <w:numId w:val="4"/>
        </w:numPr>
        <w:spacing w:line="360" w:lineRule="auto"/>
        <w:ind w:left="0" w:firstLine="2160"/>
      </w:pPr>
      <w:r w:rsidRPr="00D762A7">
        <w:t>Development of a process to inform customers of retail offers posted on the above-referenced websites when customers initiate new service or move service to a new location;</w:t>
      </w:r>
    </w:p>
    <w:p w:rsidR="00DA255B" w:rsidRDefault="00DA255B" w:rsidP="00DA255B">
      <w:pPr>
        <w:pStyle w:val="ListParagraph"/>
      </w:pPr>
    </w:p>
    <w:p w:rsidR="00DA255B" w:rsidRDefault="00DA255B" w:rsidP="0096551B">
      <w:pPr>
        <w:pStyle w:val="ListParagraph"/>
        <w:numPr>
          <w:ilvl w:val="2"/>
          <w:numId w:val="4"/>
        </w:numPr>
        <w:spacing w:line="360" w:lineRule="auto"/>
        <w:ind w:left="0" w:firstLine="2160"/>
      </w:pPr>
      <w:r w:rsidRPr="00DA255B">
        <w:t>Circulate information on the competition enhancement programs and posted retail offers via bill inserts/Service Line on at least a semi-annual basis.</w:t>
      </w:r>
    </w:p>
    <w:p w:rsidR="00DA255B" w:rsidRDefault="00DA255B" w:rsidP="00DA255B">
      <w:pPr>
        <w:pStyle w:val="ListParagraph"/>
      </w:pPr>
    </w:p>
    <w:p w:rsidR="00DA255B" w:rsidRDefault="00E64318" w:rsidP="00DA255B">
      <w:pPr>
        <w:pStyle w:val="ListParagraph"/>
        <w:numPr>
          <w:ilvl w:val="1"/>
          <w:numId w:val="4"/>
        </w:numPr>
        <w:spacing w:line="360" w:lineRule="auto"/>
        <w:ind w:left="0" w:firstLine="1440"/>
      </w:pPr>
      <w:r w:rsidRPr="00E64318">
        <w:t xml:space="preserve">The details of this competition enhancement program set forth in </w:t>
      </w:r>
      <w:r>
        <w:t xml:space="preserve">subparagraph </w:t>
      </w:r>
      <w:r w:rsidRPr="00E64318">
        <w:t>e</w:t>
      </w:r>
      <w:r>
        <w:t xml:space="preserve">, </w:t>
      </w:r>
      <w:r>
        <w:rPr>
          <w:i/>
        </w:rPr>
        <w:t>supra</w:t>
      </w:r>
      <w:r w:rsidRPr="00E64318">
        <w:t xml:space="preserve">, including content and implementation, will be developed through a collaborative process consisting of at least 3 meetings with interested parties.  The initial meeting shall occur within 30 days after the issuance of a final order in this proceeding.  If the parties are unable to reach consensus on the details of the competition enhancement program in this </w:t>
      </w:r>
      <w:r w:rsidRPr="00E64318">
        <w:lastRenderedPageBreak/>
        <w:t>collaborative, the parties agree that such details will be litigated on an expedited basis to ensure implementation by January 1, 2011.</w:t>
      </w:r>
    </w:p>
    <w:p w:rsidR="00E64318" w:rsidRDefault="00E64318" w:rsidP="00E64318">
      <w:pPr>
        <w:pStyle w:val="ListParagraph"/>
        <w:spacing w:line="360" w:lineRule="auto"/>
        <w:ind w:left="1440"/>
      </w:pPr>
    </w:p>
    <w:p w:rsidR="00E64318" w:rsidRDefault="00711E83" w:rsidP="00DA255B">
      <w:pPr>
        <w:pStyle w:val="ListParagraph"/>
        <w:numPr>
          <w:ilvl w:val="1"/>
          <w:numId w:val="4"/>
        </w:numPr>
        <w:spacing w:line="360" w:lineRule="auto"/>
        <w:ind w:left="0" w:firstLine="1440"/>
      </w:pPr>
      <w:r w:rsidRPr="00711E83">
        <w:t xml:space="preserve">Duquesne Light will provide monthly, on the EGS section of its website, to all EGSs licensed in the Commonwealth, subject to the Commission’s customer privacy and protection rules, an updated view of each </w:t>
      </w:r>
      <w:r>
        <w:t>c</w:t>
      </w:r>
      <w:r w:rsidRPr="00711E83">
        <w:t>ustomer’s name, address (both service and billing) contact name, 12 individual rolling months of usage and demand, meter read cycle, rate plan, revenue code, profile group, POLR customer indicator, the current 1CP, and the current 5CP.  EGSs shall be allowed to download this information from the website.</w:t>
      </w:r>
    </w:p>
    <w:p w:rsidR="00711E83" w:rsidRDefault="00711E83" w:rsidP="00711E83">
      <w:pPr>
        <w:pStyle w:val="ListParagraph"/>
      </w:pPr>
    </w:p>
    <w:p w:rsidR="00711E83" w:rsidRDefault="00711E83" w:rsidP="00DA255B">
      <w:pPr>
        <w:pStyle w:val="ListParagraph"/>
        <w:numPr>
          <w:ilvl w:val="1"/>
          <w:numId w:val="4"/>
        </w:numPr>
        <w:spacing w:line="360" w:lineRule="auto"/>
        <w:ind w:left="0" w:firstLine="1440"/>
      </w:pPr>
      <w:r w:rsidRPr="00711E83">
        <w:t>Duquesne Light will notify Small and Medium C&amp;I customers of their right to opt out of the release of customer information prior to the start of the POLR V period and will include material to permit new customers to opt out of release of customer information in its new customer packet.</w:t>
      </w:r>
    </w:p>
    <w:p w:rsidR="00711E83" w:rsidRDefault="00711E83" w:rsidP="00711E83">
      <w:pPr>
        <w:pStyle w:val="ListParagraph"/>
      </w:pPr>
    </w:p>
    <w:p w:rsidR="00711E83" w:rsidRDefault="00711E83" w:rsidP="00DA255B">
      <w:pPr>
        <w:pStyle w:val="ListParagraph"/>
        <w:numPr>
          <w:ilvl w:val="1"/>
          <w:numId w:val="4"/>
        </w:numPr>
        <w:spacing w:line="360" w:lineRule="auto"/>
        <w:ind w:left="0" w:firstLine="1440"/>
      </w:pPr>
      <w:r w:rsidRPr="00711E83">
        <w:t>This Settlement shall not be construed as an agreement by any pa</w:t>
      </w:r>
      <w:r>
        <w:t>rty that the costs of the above-</w:t>
      </w:r>
      <w:r w:rsidRPr="00711E83">
        <w:t>described competition enhancement program may be recovered by Duquesne Light in distribution rates.</w:t>
      </w:r>
    </w:p>
    <w:p w:rsidR="009004A8" w:rsidRDefault="009004A8" w:rsidP="009004A8">
      <w:pPr>
        <w:pStyle w:val="ListParagraph"/>
      </w:pPr>
    </w:p>
    <w:p w:rsidR="009004A8" w:rsidRDefault="009004A8" w:rsidP="009004A8">
      <w:pPr>
        <w:pStyle w:val="ListParagraph"/>
        <w:numPr>
          <w:ilvl w:val="0"/>
          <w:numId w:val="4"/>
        </w:numPr>
        <w:spacing w:line="360" w:lineRule="auto"/>
        <w:ind w:left="0" w:firstLine="720"/>
      </w:pPr>
      <w:r w:rsidRPr="009004A8">
        <w:t>Duquesne Light will place all labor, outside service costs, and all other costs related to POLR power procurement into a separate account and will only recover those costs through its POLR charges</w:t>
      </w:r>
      <w:r>
        <w:t>,</w:t>
      </w:r>
      <w:r w:rsidRPr="009004A8">
        <w:t xml:space="preserve"> unless otherwise directed by the Commission.  In order to avoid any cost shifting, the aforementioned costs shall be allocated to the appropriate procurement group (Residential, Small C&amp;I, Medium C&amp;I, and Large C&amp;I) based on the costs incurred to serve that particular group.</w:t>
      </w:r>
    </w:p>
    <w:p w:rsidR="009004A8" w:rsidRDefault="009004A8" w:rsidP="009004A8">
      <w:pPr>
        <w:pStyle w:val="ListParagraph"/>
        <w:spacing w:line="360" w:lineRule="auto"/>
      </w:pPr>
    </w:p>
    <w:p w:rsidR="009004A8" w:rsidRDefault="00C637EE" w:rsidP="009004A8">
      <w:pPr>
        <w:pStyle w:val="ListParagraph"/>
        <w:numPr>
          <w:ilvl w:val="0"/>
          <w:numId w:val="4"/>
        </w:numPr>
        <w:spacing w:line="360" w:lineRule="auto"/>
        <w:ind w:left="0" w:firstLine="720"/>
      </w:pPr>
      <w:r w:rsidRPr="00C637EE">
        <w:t xml:space="preserve">Duquesne Light’s proposal to enter into long term contracts for energy, capacity and renewable credits from solar and hydro projects on behalf of residential default service customers will be removed from the POLR V proceeding and made the subject of a collaborative.  Duquesne Light will conduct the collaborative to attempt to develop a consensus on the specific parameters of Duquesne Light’s long term renewable energy procurements and to </w:t>
      </w:r>
      <w:r w:rsidRPr="00C637EE">
        <w:lastRenderedPageBreak/>
        <w:t>ensure that any such procurements result in a competitively-neutral outcome.  If parties are unable to reach a consensus, Duquesne Light may re-file its long term renewable energy procurement plan in a separate proceeding.  All parties reserve their rights to support or oppose such a filing to the Commission at that time.</w:t>
      </w:r>
    </w:p>
    <w:p w:rsidR="00C637EE" w:rsidRDefault="00C637EE" w:rsidP="00C637EE">
      <w:pPr>
        <w:pStyle w:val="ListParagraph"/>
      </w:pPr>
    </w:p>
    <w:p w:rsidR="00C637EE" w:rsidRDefault="002E0B92" w:rsidP="002E0B92">
      <w:pPr>
        <w:spacing w:line="360" w:lineRule="auto"/>
      </w:pPr>
      <w:r>
        <w:t>E.</w:t>
      </w:r>
      <w:r>
        <w:tab/>
      </w:r>
      <w:r>
        <w:rPr>
          <w:u w:val="single"/>
        </w:rPr>
        <w:t>Miscellaneous Settlement Provisions</w:t>
      </w:r>
    </w:p>
    <w:p w:rsidR="002E0B92" w:rsidRDefault="002E0B92" w:rsidP="002E0B92">
      <w:pPr>
        <w:spacing w:line="360" w:lineRule="auto"/>
      </w:pPr>
    </w:p>
    <w:p w:rsidR="002E0B92" w:rsidRDefault="002E0B92" w:rsidP="002E0B92">
      <w:pPr>
        <w:pStyle w:val="ListParagraph"/>
        <w:numPr>
          <w:ilvl w:val="0"/>
          <w:numId w:val="5"/>
        </w:numPr>
        <w:spacing w:line="360" w:lineRule="auto"/>
        <w:ind w:left="0" w:firstLine="720"/>
      </w:pPr>
      <w:r w:rsidRPr="002E0B92">
        <w:t>Duquesne Light will continue to procure ancillary services for its residential, lighting, Small C&amp;I and Medium C&amp;I default service customers from Duquesne Power, through the existing Power Supply Agreement used by the parties in POLR IV, from PJM Interconnection, LLC on the same methodology and manner that it did in POLR IV.  Duquesne Light will continue to recover ancillary services costs for residential, lighting, Small C&amp;I and Medium C&amp;I customers in its transmission service charge (“TSC”).</w:t>
      </w:r>
    </w:p>
    <w:p w:rsidR="000809A5" w:rsidRDefault="000809A5" w:rsidP="000809A5">
      <w:pPr>
        <w:pStyle w:val="ListParagraph"/>
        <w:spacing w:line="360" w:lineRule="auto"/>
      </w:pPr>
    </w:p>
    <w:p w:rsidR="000809A5" w:rsidRDefault="000809A5" w:rsidP="002E0B92">
      <w:pPr>
        <w:pStyle w:val="ListParagraph"/>
        <w:numPr>
          <w:ilvl w:val="0"/>
          <w:numId w:val="5"/>
        </w:numPr>
        <w:spacing w:line="360" w:lineRule="auto"/>
        <w:ind w:left="0" w:firstLine="720"/>
      </w:pPr>
      <w:r w:rsidRPr="000809A5">
        <w:t>The Joint Petitioners request that the Commission find that the revenues and expenses associated with the default supply procurement for residential customers are to be contained in default service costs and will not be included in transmission or distribution costs for ratemaking purposes.</w:t>
      </w:r>
    </w:p>
    <w:p w:rsidR="000809A5" w:rsidRDefault="000809A5" w:rsidP="000809A5">
      <w:pPr>
        <w:pStyle w:val="ListParagraph"/>
      </w:pPr>
    </w:p>
    <w:p w:rsidR="000809A5" w:rsidRDefault="0029181C" w:rsidP="002E0B92">
      <w:pPr>
        <w:pStyle w:val="ListParagraph"/>
        <w:numPr>
          <w:ilvl w:val="0"/>
          <w:numId w:val="5"/>
        </w:numPr>
        <w:spacing w:line="360" w:lineRule="auto"/>
        <w:ind w:left="0" w:firstLine="720"/>
      </w:pPr>
      <w:r w:rsidRPr="0029181C">
        <w:t>Duquesne Light Holdings will provide any credit support or guaranty on behalf of Duquesne Light for power procurement needs.  Under the Administrative Services Agreement previously approved by the Commission at Docket No. G-00041076, Duquesne entities are authorized to provide financial services, among other services, from one company to another.  However, to be clear for this proceeding, the Joint Petitioners request that the Commission approve this affiliated relationship so that Duquesne Light can receive credit support from its parent, Duquesne Light Holdings, to facilitate the necessary power procurement function.</w:t>
      </w:r>
    </w:p>
    <w:p w:rsidR="000B16BD" w:rsidRDefault="000B16BD" w:rsidP="000B16BD">
      <w:pPr>
        <w:pStyle w:val="ListParagraph"/>
      </w:pPr>
    </w:p>
    <w:p w:rsidR="000B16BD" w:rsidRDefault="000B16BD" w:rsidP="002E0B92">
      <w:pPr>
        <w:pStyle w:val="ListParagraph"/>
        <w:numPr>
          <w:ilvl w:val="0"/>
          <w:numId w:val="5"/>
        </w:numPr>
        <w:spacing w:line="360" w:lineRule="auto"/>
        <w:ind w:left="0" w:firstLine="720"/>
      </w:pPr>
      <w:r w:rsidRPr="000B16BD">
        <w:t>The Joint Petitioners request that the Commission make the necessary findings under Section 2807(e)(3.7) of the Public Utility Code, 66 Pa.</w:t>
      </w:r>
      <w:r>
        <w:t xml:space="preserve"> </w:t>
      </w:r>
      <w:r w:rsidRPr="000B16BD">
        <w:t>C.S.§ 2807(e)(3.7) as follows:</w:t>
      </w:r>
    </w:p>
    <w:p w:rsidR="000B16BD" w:rsidRDefault="000B16BD" w:rsidP="000B16BD">
      <w:pPr>
        <w:pStyle w:val="ListParagraph"/>
      </w:pPr>
    </w:p>
    <w:p w:rsidR="000B16BD" w:rsidRDefault="002A3CCE" w:rsidP="000B16BD">
      <w:pPr>
        <w:pStyle w:val="ListParagraph"/>
        <w:numPr>
          <w:ilvl w:val="1"/>
          <w:numId w:val="5"/>
        </w:numPr>
        <w:spacing w:line="360" w:lineRule="auto"/>
        <w:ind w:left="0" w:firstLine="1440"/>
      </w:pPr>
      <w:r w:rsidRPr="002A3CCE">
        <w:lastRenderedPageBreak/>
        <w:t>Duquesne Light’s Plan includes prudent steps necessary to negotiate favorable generation supply contracts;</w:t>
      </w:r>
    </w:p>
    <w:p w:rsidR="002A3CCE" w:rsidRDefault="002A3CCE" w:rsidP="002A3CCE">
      <w:pPr>
        <w:pStyle w:val="ListParagraph"/>
        <w:spacing w:line="360" w:lineRule="auto"/>
        <w:ind w:left="1440"/>
      </w:pPr>
    </w:p>
    <w:p w:rsidR="002A3CCE" w:rsidRDefault="002A3CCE" w:rsidP="000B16BD">
      <w:pPr>
        <w:pStyle w:val="ListParagraph"/>
        <w:numPr>
          <w:ilvl w:val="1"/>
          <w:numId w:val="5"/>
        </w:numPr>
        <w:spacing w:line="360" w:lineRule="auto"/>
        <w:ind w:left="0" w:firstLine="1440"/>
      </w:pPr>
      <w:r w:rsidRPr="002A3CCE">
        <w:t>Duquesne Light’s Plan includes prudent steps necessary to obtain least cost generation supply contracts on a long-term, short-term and spot market basis; and</w:t>
      </w:r>
    </w:p>
    <w:p w:rsidR="002A3CCE" w:rsidRDefault="002A3CCE" w:rsidP="002A3CCE">
      <w:pPr>
        <w:pStyle w:val="ListParagraph"/>
      </w:pPr>
    </w:p>
    <w:p w:rsidR="002A3CCE" w:rsidRDefault="003C5623" w:rsidP="000B16BD">
      <w:pPr>
        <w:pStyle w:val="ListParagraph"/>
        <w:numPr>
          <w:ilvl w:val="1"/>
          <w:numId w:val="5"/>
        </w:numPr>
        <w:spacing w:line="360" w:lineRule="auto"/>
        <w:ind w:left="0" w:firstLine="1440"/>
      </w:pPr>
      <w:r w:rsidRPr="003C5623">
        <w:t>Neither Duquesne Light nor its affiliated interests have withheld from the market any generation supply in a manner that violates federal law.</w:t>
      </w:r>
    </w:p>
    <w:p w:rsidR="003C5623" w:rsidRDefault="003C5623" w:rsidP="003C5623">
      <w:pPr>
        <w:pStyle w:val="ListParagraph"/>
      </w:pPr>
    </w:p>
    <w:p w:rsidR="003C5623" w:rsidRDefault="000A53BC" w:rsidP="003C5623">
      <w:pPr>
        <w:spacing w:line="360" w:lineRule="auto"/>
      </w:pPr>
      <w:r>
        <w:t>F.</w:t>
      </w:r>
      <w:r>
        <w:tab/>
      </w:r>
      <w:r>
        <w:rPr>
          <w:u w:val="single"/>
        </w:rPr>
        <w:t>The Public Interest</w:t>
      </w:r>
    </w:p>
    <w:p w:rsidR="000A53BC" w:rsidRDefault="000A53BC" w:rsidP="003C5623">
      <w:pPr>
        <w:spacing w:line="360" w:lineRule="auto"/>
      </w:pPr>
    </w:p>
    <w:p w:rsidR="000A53BC" w:rsidRDefault="000A53BC" w:rsidP="000A53BC">
      <w:pPr>
        <w:pStyle w:val="ListParagraph"/>
        <w:numPr>
          <w:ilvl w:val="0"/>
          <w:numId w:val="6"/>
        </w:numPr>
        <w:spacing w:line="360" w:lineRule="auto"/>
        <w:ind w:left="0" w:firstLine="720"/>
      </w:pPr>
      <w:r>
        <w:t>T</w:t>
      </w:r>
      <w:r w:rsidRPr="000A53BC">
        <w:t xml:space="preserve">he Joint Petitioners </w:t>
      </w:r>
      <w:r>
        <w:t xml:space="preserve">declare they </w:t>
      </w:r>
      <w:r w:rsidRPr="000A53BC">
        <w:t xml:space="preserve">achieved </w:t>
      </w:r>
      <w:r>
        <w:t>t</w:t>
      </w:r>
      <w:r w:rsidRPr="000A53BC">
        <w:t>his Settlement after an extensive investigation of Duquesne Light’s filing, including informal and formal discovery and the filing of direct testimony, rebuttal testimony, surrebuttal testimony and rejoinder outlines by a number of the Joint Petitioners.</w:t>
      </w:r>
    </w:p>
    <w:p w:rsidR="003C77AE" w:rsidRDefault="003C77AE" w:rsidP="003C77AE">
      <w:pPr>
        <w:pStyle w:val="ListParagraph"/>
        <w:spacing w:line="360" w:lineRule="auto"/>
      </w:pPr>
    </w:p>
    <w:p w:rsidR="003C77AE" w:rsidRDefault="003C77AE" w:rsidP="000A53BC">
      <w:pPr>
        <w:pStyle w:val="ListParagraph"/>
        <w:numPr>
          <w:ilvl w:val="0"/>
          <w:numId w:val="6"/>
        </w:numPr>
        <w:spacing w:line="360" w:lineRule="auto"/>
        <w:ind w:left="0" w:firstLine="720"/>
      </w:pPr>
      <w:r w:rsidRPr="003C77AE">
        <w:t>Acceptance of the Settlement will avoid the necessity of further administrative proceedings at a substantial cost to the Joint Petitioners.</w:t>
      </w:r>
    </w:p>
    <w:p w:rsidR="003C77AE" w:rsidRDefault="003C77AE" w:rsidP="003C77AE">
      <w:pPr>
        <w:pStyle w:val="ListParagraph"/>
      </w:pPr>
    </w:p>
    <w:p w:rsidR="003C77AE" w:rsidRDefault="003C77AE" w:rsidP="000A53BC">
      <w:pPr>
        <w:pStyle w:val="ListParagraph"/>
        <w:numPr>
          <w:ilvl w:val="0"/>
          <w:numId w:val="6"/>
        </w:numPr>
        <w:spacing w:line="360" w:lineRule="auto"/>
        <w:ind w:left="0" w:firstLine="720"/>
      </w:pPr>
      <w:r w:rsidRPr="003C77AE">
        <w:t>The Settlement has been agreed to, or not opposed by</w:t>
      </w:r>
      <w:r>
        <w:t>,</w:t>
      </w:r>
      <w:r w:rsidRPr="003C77AE">
        <w:t xml:space="preserve"> all parties in this proceeding including representatives of all customer groups, wholesale suppliers and retail marketers.</w:t>
      </w:r>
    </w:p>
    <w:p w:rsidR="003C77AE" w:rsidRDefault="003C77AE" w:rsidP="003C77AE">
      <w:pPr>
        <w:pStyle w:val="ListParagraph"/>
      </w:pPr>
    </w:p>
    <w:p w:rsidR="003C77AE" w:rsidRDefault="00246BEF" w:rsidP="000A53BC">
      <w:pPr>
        <w:pStyle w:val="ListParagraph"/>
        <w:numPr>
          <w:ilvl w:val="0"/>
          <w:numId w:val="6"/>
        </w:numPr>
        <w:spacing w:line="360" w:lineRule="auto"/>
        <w:ind w:left="0" w:firstLine="720"/>
      </w:pPr>
      <w:r w:rsidRPr="00246BEF">
        <w:t>Prompt approval of this Settlement will allow the Company to conduct procurement for Small and Medium C&amp;I customers in May 2010 and avoid procurement in the potentially higher cost summer months.</w:t>
      </w:r>
    </w:p>
    <w:p w:rsidR="008B3E4F" w:rsidRDefault="008B3E4F" w:rsidP="008B3E4F">
      <w:pPr>
        <w:pStyle w:val="ListParagraph"/>
      </w:pPr>
    </w:p>
    <w:p w:rsidR="008B3E4F" w:rsidRDefault="008B3E4F" w:rsidP="000A53BC">
      <w:pPr>
        <w:pStyle w:val="ListParagraph"/>
        <w:numPr>
          <w:ilvl w:val="0"/>
          <w:numId w:val="6"/>
        </w:numPr>
        <w:spacing w:line="360" w:lineRule="auto"/>
        <w:ind w:left="0" w:firstLine="720"/>
      </w:pPr>
      <w:r w:rsidRPr="008B3E4F">
        <w:t xml:space="preserve">Attached </w:t>
      </w:r>
      <w:r>
        <w:t xml:space="preserve">to the Settlement </w:t>
      </w:r>
      <w:r w:rsidRPr="008B3E4F">
        <w:t xml:space="preserve">as Appendices “E” through “L” are Statements of Support submitted by Duquesne Light, OCA, OSBA, Dominion, DII, FES, RESA, and Constellation, setting forth the bases upon which they believe the Settlement is fair, just, and </w:t>
      </w:r>
      <w:r w:rsidRPr="008B3E4F">
        <w:lastRenderedPageBreak/>
        <w:t>reasonable and, therefore, in the public interest.  OTS concurs that approval of the Settlement is in the public interest as evidenced by the attached signature of its assigned Senior Prosecutor.</w:t>
      </w:r>
    </w:p>
    <w:p w:rsidR="008B3E4F" w:rsidRDefault="008B3E4F" w:rsidP="008B3E4F">
      <w:pPr>
        <w:pStyle w:val="ListParagraph"/>
      </w:pPr>
    </w:p>
    <w:p w:rsidR="008B3E4F" w:rsidRDefault="00002CC2" w:rsidP="008B3E4F">
      <w:pPr>
        <w:spacing w:line="360" w:lineRule="auto"/>
      </w:pPr>
      <w:r>
        <w:t>G.</w:t>
      </w:r>
      <w:r>
        <w:tab/>
      </w:r>
      <w:r>
        <w:rPr>
          <w:u w:val="single"/>
        </w:rPr>
        <w:t>Conditions of the Settlement</w:t>
      </w:r>
    </w:p>
    <w:p w:rsidR="00002CC2" w:rsidRDefault="00002CC2" w:rsidP="008B3E4F">
      <w:pPr>
        <w:spacing w:line="360" w:lineRule="auto"/>
      </w:pPr>
    </w:p>
    <w:p w:rsidR="00002CC2" w:rsidRDefault="00812EEF" w:rsidP="00812EEF">
      <w:pPr>
        <w:pStyle w:val="ListParagraph"/>
        <w:numPr>
          <w:ilvl w:val="0"/>
          <w:numId w:val="7"/>
        </w:numPr>
        <w:spacing w:line="360" w:lineRule="auto"/>
        <w:ind w:left="0" w:firstLine="720"/>
      </w:pPr>
      <w:r w:rsidRPr="00812EEF">
        <w:t>The Settlement is conditioned upon the Commission’s approval of the terms and conditions contained in th</w:t>
      </w:r>
      <w:r>
        <w:t>e</w:t>
      </w:r>
      <w:r w:rsidRPr="00812EEF">
        <w:t xml:space="preserve"> Settlement without modification.  If the Commission modifies the Settlement, any Joint Petitioner may elect to withdraw from the Settlement and may proceed with litigation and, in such event, the Settlement shall be void and of no effect.  Such election to withdraw must be made in writing, filed with the Secretary of the Commission and served upon all Joint Petitioners within five (5) business days after the entry of an Order modifying the Settlement.</w:t>
      </w:r>
    </w:p>
    <w:p w:rsidR="00812EEF" w:rsidRDefault="00812EEF" w:rsidP="00812EEF">
      <w:pPr>
        <w:pStyle w:val="ListParagraph"/>
        <w:spacing w:line="360" w:lineRule="auto"/>
      </w:pPr>
    </w:p>
    <w:p w:rsidR="00812EEF" w:rsidRDefault="000B7930" w:rsidP="00812EEF">
      <w:pPr>
        <w:pStyle w:val="ListParagraph"/>
        <w:numPr>
          <w:ilvl w:val="0"/>
          <w:numId w:val="7"/>
        </w:numPr>
        <w:spacing w:line="360" w:lineRule="auto"/>
        <w:ind w:left="0" w:firstLine="720"/>
      </w:pPr>
      <w:r w:rsidRPr="000B7930">
        <w:t>The Joint Petitioners acknowledge and agree that this Settlement, if approved, shall have the same force and effect as if the Joint Petitioners had fully litigated this proceeding.</w:t>
      </w:r>
    </w:p>
    <w:p w:rsidR="000B7930" w:rsidRDefault="000B7930" w:rsidP="000B7930">
      <w:pPr>
        <w:pStyle w:val="ListParagraph"/>
      </w:pPr>
    </w:p>
    <w:p w:rsidR="000B7930" w:rsidRDefault="000B7930" w:rsidP="00812EEF">
      <w:pPr>
        <w:pStyle w:val="ListParagraph"/>
        <w:numPr>
          <w:ilvl w:val="0"/>
          <w:numId w:val="7"/>
        </w:numPr>
        <w:spacing w:line="360" w:lineRule="auto"/>
        <w:ind w:left="0" w:firstLine="720"/>
      </w:pPr>
      <w:r>
        <w:t>T</w:t>
      </w:r>
      <w:r w:rsidRPr="000B7930">
        <w:t>he Joint Petitioners propose this Settlement to settle all issues in the instant proceeding, with the exception of issues that may arise as a result of the collaboratives and/or future filings established under the Settlement.  If the Commission does not approve the Settlement and the proceeding continues, the Joint Petitioners reserve their respective rights, including the right to present additional testimony, participate in hearings and to conduct full cross-examination, briefing and argument.  The Settlement is made without any admission against, or prejudice to, any position which any Joint Petitioner may adopt in the event of any subsequent litigation of this proceeding, or in any other proceeding.</w:t>
      </w:r>
    </w:p>
    <w:p w:rsidR="000B7930" w:rsidRDefault="000B7930" w:rsidP="000B7930">
      <w:pPr>
        <w:pStyle w:val="ListParagraph"/>
      </w:pPr>
    </w:p>
    <w:p w:rsidR="000B7930" w:rsidRDefault="007C11F5" w:rsidP="00812EEF">
      <w:pPr>
        <w:pStyle w:val="ListParagraph"/>
        <w:numPr>
          <w:ilvl w:val="0"/>
          <w:numId w:val="7"/>
        </w:numPr>
        <w:spacing w:line="360" w:lineRule="auto"/>
        <w:ind w:left="0" w:firstLine="720"/>
      </w:pPr>
      <w:r w:rsidRPr="007C11F5">
        <w:t>This Settlement may not be cited as precedent in any future proceeding, except to the extent required to</w:t>
      </w:r>
      <w:r>
        <w:t xml:space="preserve"> </w:t>
      </w:r>
      <w:r w:rsidRPr="007C11F5">
        <w:t>implement this Settlement.</w:t>
      </w:r>
    </w:p>
    <w:p w:rsidR="007C11F5" w:rsidRDefault="007C11F5" w:rsidP="007C11F5">
      <w:pPr>
        <w:pStyle w:val="ListParagraph"/>
      </w:pPr>
    </w:p>
    <w:p w:rsidR="007C11F5" w:rsidRDefault="007C11F5" w:rsidP="00812EEF">
      <w:pPr>
        <w:pStyle w:val="ListParagraph"/>
        <w:numPr>
          <w:ilvl w:val="0"/>
          <w:numId w:val="7"/>
        </w:numPr>
        <w:spacing w:line="360" w:lineRule="auto"/>
        <w:ind w:left="0" w:firstLine="720"/>
      </w:pPr>
      <w:r w:rsidRPr="007C11F5">
        <w:t>The Commission’s approval of the Settlement shall not be construed to represent approval of any Joint Petitioner’s position on any issue, except to the extent required to effectuate the terms and agreements of the Settlement.</w:t>
      </w:r>
    </w:p>
    <w:p w:rsidR="007C11F5" w:rsidRDefault="00BC086E" w:rsidP="00812EEF">
      <w:pPr>
        <w:pStyle w:val="ListParagraph"/>
        <w:numPr>
          <w:ilvl w:val="0"/>
          <w:numId w:val="7"/>
        </w:numPr>
        <w:spacing w:line="360" w:lineRule="auto"/>
        <w:ind w:left="0" w:firstLine="720"/>
      </w:pPr>
      <w:r w:rsidRPr="00BC086E">
        <w:lastRenderedPageBreak/>
        <w:t>It is understood and agreed among the Joint Petitioners that the Settlement is the result of compromise, and does not necessarily represent the position(s) that would be advanced by any party in this proceeding if it were fully litigated.</w:t>
      </w:r>
    </w:p>
    <w:p w:rsidR="00BC086E" w:rsidRDefault="00BC086E" w:rsidP="00BC086E">
      <w:pPr>
        <w:pStyle w:val="ListParagraph"/>
      </w:pPr>
    </w:p>
    <w:p w:rsidR="00BC086E" w:rsidRDefault="00BC086E" w:rsidP="00812EEF">
      <w:pPr>
        <w:pStyle w:val="ListParagraph"/>
        <w:numPr>
          <w:ilvl w:val="0"/>
          <w:numId w:val="7"/>
        </w:numPr>
        <w:spacing w:line="360" w:lineRule="auto"/>
        <w:ind w:left="0" w:firstLine="720"/>
      </w:pPr>
      <w:r w:rsidRPr="00BC086E">
        <w:t xml:space="preserve">This Settlement is being presented only in the context of this proceeding in an effort to resolve the proceeding in a manner that is fair and reasonable.  The Settlement is the product of compromise.  This Settlement is presented without prejudice to any position that any of the </w:t>
      </w:r>
      <w:r>
        <w:t>p</w:t>
      </w:r>
      <w:r w:rsidRPr="00BC086E">
        <w:t xml:space="preserve">arties may have advanced and without prejudice to the position any of the </w:t>
      </w:r>
      <w:r>
        <w:t>p</w:t>
      </w:r>
      <w:r w:rsidRPr="00BC086E">
        <w:t>arties may advance in the future on the merits of the issues in future proceedings, except to the extent necessary to effectuate the terms and conditions of this Settlement.  This Settlement does not preclude the Joint Petitioners from taking other positions in proceedings of other electric distribution companies.</w:t>
      </w:r>
    </w:p>
    <w:p w:rsidR="00BC086E" w:rsidRDefault="00BC086E" w:rsidP="00BC086E">
      <w:pPr>
        <w:pStyle w:val="ListParagraph"/>
      </w:pPr>
    </w:p>
    <w:p w:rsidR="00BC086E" w:rsidRDefault="00BC086E" w:rsidP="00812EEF">
      <w:pPr>
        <w:pStyle w:val="ListParagraph"/>
        <w:numPr>
          <w:ilvl w:val="0"/>
          <w:numId w:val="7"/>
        </w:numPr>
        <w:spacing w:line="360" w:lineRule="auto"/>
        <w:ind w:left="0" w:firstLine="720"/>
      </w:pPr>
      <w:r w:rsidRPr="00BC086E">
        <w:t xml:space="preserve">If the ALJ adopts the Settlement without modification, the Joint Petitioners waive their rights to file </w:t>
      </w:r>
      <w:r>
        <w:t>e</w:t>
      </w:r>
      <w:r w:rsidRPr="00BC086E">
        <w:t>xceptions.</w:t>
      </w:r>
    </w:p>
    <w:p w:rsidR="00BC086E" w:rsidRDefault="00BC086E" w:rsidP="00BC086E">
      <w:pPr>
        <w:pStyle w:val="ListParagraph"/>
      </w:pPr>
    </w:p>
    <w:p w:rsidR="00BC086E" w:rsidRDefault="003A1DC2" w:rsidP="003A1DC2">
      <w:pPr>
        <w:spacing w:line="360" w:lineRule="auto"/>
        <w:jc w:val="center"/>
      </w:pPr>
      <w:r>
        <w:t>III.</w:t>
      </w:r>
      <w:r w:rsidR="004B02A7">
        <w:tab/>
      </w:r>
      <w:r>
        <w:rPr>
          <w:u w:val="single"/>
        </w:rPr>
        <w:t>DISCUSSION</w:t>
      </w:r>
    </w:p>
    <w:p w:rsidR="003A1DC2" w:rsidRDefault="003A1DC2" w:rsidP="003A1DC2">
      <w:pPr>
        <w:spacing w:line="360" w:lineRule="auto"/>
      </w:pPr>
    </w:p>
    <w:p w:rsidR="003036B6" w:rsidRPr="003036B6" w:rsidRDefault="003036B6" w:rsidP="003036B6">
      <w:pPr>
        <w:spacing w:line="360" w:lineRule="auto"/>
      </w:pPr>
      <w:r>
        <w:tab/>
      </w:r>
      <w:r>
        <w:tab/>
      </w:r>
      <w:r w:rsidRPr="003036B6">
        <w:t xml:space="preserve">The Commission encourages parties in contested on-the-record proceedings to settle cases.  </w:t>
      </w:r>
      <w:r w:rsidRPr="003036B6">
        <w:rPr>
          <w:i/>
        </w:rPr>
        <w:t>See</w:t>
      </w:r>
      <w:r w:rsidRPr="003036B6">
        <w:t xml:space="preserve">, 52 </w:t>
      </w:r>
      <w:smartTag w:uri="urn:schemas-microsoft-com:office:smarttags" w:element="State">
        <w:smartTag w:uri="urn:schemas-microsoft-com:office:smarttags" w:element="place">
          <w:r w:rsidRPr="003036B6">
            <w:t>Pa.</w:t>
          </w:r>
        </w:smartTag>
      </w:smartTag>
      <w:r w:rsidRPr="003036B6">
        <w:t xml:space="preserve"> Code §5.231.  Settlements eliminate the time, effort and expense of litigating a matter to its ultimate conclusion, which may entail review of the Commission’s decision by the appellate courts of </w:t>
      </w:r>
      <w:smartTag w:uri="urn:schemas-microsoft-com:office:smarttags" w:element="State">
        <w:smartTag w:uri="urn:schemas-microsoft-com:office:smarttags" w:element="place">
          <w:r w:rsidRPr="003036B6">
            <w:t>Pennsylvania</w:t>
          </w:r>
        </w:smartTag>
      </w:smartTag>
      <w:r w:rsidRPr="003036B6">
        <w:t>.  Such savings benefit not only the individual parties, but also the Commission and all ratepayers of a utility, who otherwise may have to bear the financial burden such litigation necessarily entails.</w:t>
      </w:r>
    </w:p>
    <w:p w:rsidR="003036B6" w:rsidRPr="003036B6" w:rsidRDefault="003036B6" w:rsidP="003036B6">
      <w:pPr>
        <w:spacing w:line="360" w:lineRule="auto"/>
      </w:pPr>
    </w:p>
    <w:p w:rsidR="003A1DC2" w:rsidRDefault="003036B6" w:rsidP="003036B6">
      <w:pPr>
        <w:spacing w:line="360" w:lineRule="auto"/>
      </w:pPr>
      <w:r w:rsidRPr="003036B6">
        <w:tab/>
      </w:r>
      <w:r w:rsidRPr="003036B6">
        <w:tab/>
        <w:t xml:space="preserve">By definition, a “settlement” reflects a compromise of the positions that the parties of interest have held, which arguably fosters and promotes the public interest.  When active parties in a proceeding reach a settlement, the principal issue for Commission consideration is whether the agreement reached suits the public interest.  </w:t>
      </w:r>
      <w:smartTag w:uri="urn:schemas-microsoft-com:office:smarttags" w:element="State">
        <w:r w:rsidRPr="003036B6">
          <w:rPr>
            <w:u w:val="single"/>
          </w:rPr>
          <w:t>Pa.</w:t>
        </w:r>
      </w:smartTag>
      <w:r w:rsidRPr="003036B6">
        <w:rPr>
          <w:u w:val="single"/>
        </w:rPr>
        <w:t xml:space="preserve"> P.U.C. v. CS Water and Sewer Associates</w:t>
      </w:r>
      <w:r w:rsidRPr="003036B6">
        <w:t xml:space="preserve">, 74 </w:t>
      </w:r>
      <w:smartTag w:uri="urn:schemas-microsoft-com:office:smarttags" w:element="place">
        <w:smartTag w:uri="urn:schemas-microsoft-com:office:smarttags" w:element="State">
          <w:r w:rsidRPr="003036B6">
            <w:t>Pa.</w:t>
          </w:r>
        </w:smartTag>
      </w:smartTag>
      <w:r w:rsidRPr="003036B6">
        <w:t xml:space="preserve"> P.U.C. 767, 771 (1991).  In their supporting statements, </w:t>
      </w:r>
      <w:r w:rsidR="00940D32" w:rsidRPr="008B3E4F">
        <w:t>Duquesne Light, OCA, OSBA, Dominion, DII, FES, RESA, and Constellation</w:t>
      </w:r>
      <w:r w:rsidR="00940D32" w:rsidRPr="003036B6">
        <w:t xml:space="preserve"> </w:t>
      </w:r>
      <w:r w:rsidRPr="003036B6">
        <w:t xml:space="preserve">conclude, after extensive </w:t>
      </w:r>
      <w:r w:rsidRPr="003036B6">
        <w:lastRenderedPageBreak/>
        <w:t xml:space="preserve">discovery and discussion, that this Settlement resolves all contested issues in this case, it fairly balances the interests of </w:t>
      </w:r>
      <w:r w:rsidR="00940D32">
        <w:t>Duquesne Light</w:t>
      </w:r>
      <w:r w:rsidR="00DF4AD8">
        <w:t>,</w:t>
      </w:r>
      <w:r w:rsidRPr="003036B6">
        <w:t xml:space="preserve"> its ratepayers</w:t>
      </w:r>
      <w:r w:rsidR="00DF4AD8">
        <w:t xml:space="preserve">, </w:t>
      </w:r>
      <w:r w:rsidR="00DF4AD8" w:rsidRPr="003C77AE">
        <w:t>wholesale suppliers and retail marketers</w:t>
      </w:r>
      <w:r w:rsidRPr="003036B6">
        <w:t>,</w:t>
      </w:r>
      <w:r w:rsidR="00DF4AD8">
        <w:t xml:space="preserve"> </w:t>
      </w:r>
      <w:r w:rsidRPr="003036B6">
        <w:t>it is in the public interest, it is consistent with the requirements of Section</w:t>
      </w:r>
      <w:r w:rsidR="00AE6D2C">
        <w:t>s</w:t>
      </w:r>
      <w:r w:rsidRPr="003036B6">
        <w:t> </w:t>
      </w:r>
      <w:r w:rsidR="00AE6D2C">
        <w:t xml:space="preserve">2801-2812 </w:t>
      </w:r>
      <w:r w:rsidRPr="003036B6">
        <w:t>of the Public Utility Code, 66 Pa. C.S. §</w:t>
      </w:r>
      <w:r w:rsidR="00AE6D2C">
        <w:t>§2801-2812</w:t>
      </w:r>
      <w:r w:rsidRPr="003036B6">
        <w:t>, and it should be approved.</w:t>
      </w:r>
    </w:p>
    <w:p w:rsidR="00785787" w:rsidRDefault="00785787" w:rsidP="003036B6">
      <w:pPr>
        <w:spacing w:line="360" w:lineRule="auto"/>
      </w:pPr>
    </w:p>
    <w:p w:rsidR="00785787" w:rsidRDefault="00785787" w:rsidP="003036B6">
      <w:pPr>
        <w:spacing w:line="360" w:lineRule="auto"/>
      </w:pPr>
      <w:r>
        <w:t>A.</w:t>
      </w:r>
      <w:r>
        <w:tab/>
      </w:r>
      <w:r>
        <w:rPr>
          <w:u w:val="single"/>
        </w:rPr>
        <w:t>Duquesne Light’s Position</w:t>
      </w:r>
    </w:p>
    <w:p w:rsidR="00785787" w:rsidRDefault="00785787" w:rsidP="003036B6">
      <w:pPr>
        <w:spacing w:line="360" w:lineRule="auto"/>
      </w:pPr>
    </w:p>
    <w:p w:rsidR="004F1F44" w:rsidRDefault="00785787" w:rsidP="003036B6">
      <w:pPr>
        <w:spacing w:line="360" w:lineRule="auto"/>
      </w:pPr>
      <w:r>
        <w:tab/>
      </w:r>
      <w:r>
        <w:tab/>
      </w:r>
      <w:r w:rsidR="00492071" w:rsidRPr="00492071">
        <w:t xml:space="preserve">Duquesne Light </w:t>
      </w:r>
      <w:r w:rsidR="0020485C">
        <w:t xml:space="preserve">believes </w:t>
      </w:r>
      <w:r w:rsidR="00492071" w:rsidRPr="00492071">
        <w:t xml:space="preserve">that it is important to consider the Settlement as a whole – how it accommodates the experience and expectations of each class of customers, how it builds on the existing development of previous POLR plans and how it balances customer interests in stable rates while also promoting competition.  Under Act 129, the General Assembly specifically found that the Commission must take into account the benefits of price stability over time when reviewing default service plans. </w:t>
      </w:r>
      <w:r w:rsidR="00492071">
        <w:t xml:space="preserve"> </w:t>
      </w:r>
      <w:r w:rsidR="00492071" w:rsidRPr="00492071">
        <w:t xml:space="preserve">Act 129, Preamble.  </w:t>
      </w:r>
      <w:r w:rsidR="00492071">
        <w:t>T</w:t>
      </w:r>
      <w:r w:rsidR="00492071" w:rsidRPr="00492071">
        <w:t>he Settlement adopts different procurement methodologies and provides different levels of price stability for each customer class.  Specifically, smaller customers are provided greater levels of price stability than larger customers, to account for the experience and expertise of each customer class.  Under the Settlement:</w:t>
      </w:r>
    </w:p>
    <w:p w:rsidR="00492071" w:rsidRDefault="00492071" w:rsidP="003036B6">
      <w:pPr>
        <w:spacing w:line="360" w:lineRule="auto"/>
      </w:pPr>
    </w:p>
    <w:p w:rsidR="00492071" w:rsidRDefault="00492071" w:rsidP="00492071">
      <w:pPr>
        <w:pStyle w:val="ListParagraph"/>
        <w:numPr>
          <w:ilvl w:val="0"/>
          <w:numId w:val="8"/>
        </w:numPr>
        <w:spacing w:line="360" w:lineRule="auto"/>
      </w:pPr>
      <w:r w:rsidRPr="00492071">
        <w:t>Residential and lighting customers, which represent about 31 percent of the total load in Duquesne Light’s service area, are provided stable fixed rates for the 29</w:t>
      </w:r>
      <w:r w:rsidR="007C466C">
        <w:t>-</w:t>
      </w:r>
      <w:r w:rsidRPr="00492071">
        <w:t>month term of the Plan.  Default supplies for these customers will be acquired through competitively procured, arms length bilateral contracts with non-affiliated wholesale suppliers.</w:t>
      </w:r>
    </w:p>
    <w:p w:rsidR="00BD4992" w:rsidRDefault="00BD4992" w:rsidP="00BD4992">
      <w:pPr>
        <w:pStyle w:val="ListParagraph"/>
        <w:spacing w:line="360" w:lineRule="auto"/>
      </w:pPr>
    </w:p>
    <w:p w:rsidR="00BD4992" w:rsidRDefault="00BD4992" w:rsidP="00492071">
      <w:pPr>
        <w:pStyle w:val="ListParagraph"/>
        <w:numPr>
          <w:ilvl w:val="0"/>
          <w:numId w:val="8"/>
        </w:numPr>
        <w:spacing w:line="360" w:lineRule="auto"/>
      </w:pPr>
      <w:r w:rsidRPr="00BD4992">
        <w:t>Small C&amp;I customers, which comprise approximately 7 percent of the total load in Duquesne Light’s service area, are offered yearly rates that are reconciled to actual costs.  Default supplies for these customers will be acquired through a competitive Request for Proposal (“RFP”) process for a portfolio of full requirements contracts purchased at different points in time.</w:t>
      </w:r>
    </w:p>
    <w:p w:rsidR="00BD4992" w:rsidRDefault="00BD4992" w:rsidP="00BD4992">
      <w:pPr>
        <w:pStyle w:val="ListParagraph"/>
      </w:pPr>
    </w:p>
    <w:p w:rsidR="00BD4992" w:rsidRDefault="00BD4992" w:rsidP="00492071">
      <w:pPr>
        <w:pStyle w:val="ListParagraph"/>
        <w:numPr>
          <w:ilvl w:val="0"/>
          <w:numId w:val="8"/>
        </w:numPr>
        <w:spacing w:line="360" w:lineRule="auto"/>
      </w:pPr>
      <w:r>
        <w:lastRenderedPageBreak/>
        <w:t>M</w:t>
      </w:r>
      <w:r w:rsidRPr="00BD4992">
        <w:t>edium C&amp;I customers, which comprise approximately 17 percent of the total load in Duquesne Light’s service area, are offered 6 month rates that are reconciled to actual costs.  Default supplies for these customers will be acquired through a competitive RFP process for a portfolio of laddered full requirements contracts.</w:t>
      </w:r>
    </w:p>
    <w:p w:rsidR="00BD4992" w:rsidRDefault="00BD4992" w:rsidP="00BD4992">
      <w:pPr>
        <w:pStyle w:val="ListParagraph"/>
      </w:pPr>
    </w:p>
    <w:p w:rsidR="00BD4992" w:rsidRDefault="00911DB7" w:rsidP="00492071">
      <w:pPr>
        <w:pStyle w:val="ListParagraph"/>
        <w:numPr>
          <w:ilvl w:val="0"/>
          <w:numId w:val="8"/>
        </w:numPr>
        <w:spacing w:line="360" w:lineRule="auto"/>
      </w:pPr>
      <w:r w:rsidRPr="00911DB7">
        <w:t xml:space="preserve">Large C&amp;I customers, which comprise approximately 45 percent of the total load in Duquesne Light’s service area, are provided day ahead hourly spot market prices.  Default supplies for these customers will be acquired in the PJM </w:t>
      </w:r>
      <w:r w:rsidR="00AF35D8">
        <w:t>Interconnection LLC (“PJM”) day-</w:t>
      </w:r>
      <w:r w:rsidRPr="00911DB7">
        <w:t>ahead market.</w:t>
      </w:r>
    </w:p>
    <w:p w:rsidR="00911DB7" w:rsidRDefault="00911DB7" w:rsidP="00911DB7">
      <w:pPr>
        <w:pStyle w:val="ListParagraph"/>
      </w:pPr>
    </w:p>
    <w:p w:rsidR="00911DB7" w:rsidRDefault="00911DB7" w:rsidP="00911DB7">
      <w:pPr>
        <w:spacing w:line="360" w:lineRule="auto"/>
        <w:ind w:firstLine="1440"/>
      </w:pPr>
      <w:r>
        <w:t xml:space="preserve">Duquesne Light posits these </w:t>
      </w:r>
      <w:r w:rsidR="00BA18B0" w:rsidRPr="00BA18B0">
        <w:t xml:space="preserve">competitive procurement processes, blended with differing levels of rate stability, have been crafted to meet the needs of each customer class taking into account the different circumstances and competitive opportunities of each customer class.  This balanced default service plan complies with the procurement processes identified in Act 129 and clearly support the </w:t>
      </w:r>
      <w:r w:rsidR="007B1802">
        <w:t>p</w:t>
      </w:r>
      <w:r w:rsidR="00BA18B0" w:rsidRPr="00BA18B0">
        <w:t xml:space="preserve">ublic </w:t>
      </w:r>
      <w:r w:rsidR="007B1802">
        <w:t>p</w:t>
      </w:r>
      <w:r w:rsidR="00BA18B0" w:rsidRPr="00BA18B0">
        <w:t>olicy objectives of the Act of providing affordable electric service at least cost taking into account the benefits of price stability over time.</w:t>
      </w:r>
    </w:p>
    <w:p w:rsidR="00BA18B0" w:rsidRDefault="00BA18B0" w:rsidP="00BA18B0">
      <w:pPr>
        <w:spacing w:line="360" w:lineRule="auto"/>
      </w:pPr>
    </w:p>
    <w:p w:rsidR="00BA18B0" w:rsidRDefault="00BA18B0" w:rsidP="00BA18B0">
      <w:pPr>
        <w:spacing w:line="360" w:lineRule="auto"/>
      </w:pPr>
      <w:r>
        <w:tab/>
      </w:r>
      <w:r>
        <w:tab/>
      </w:r>
      <w:r w:rsidRPr="00BA18B0">
        <w:t>In addition to the procurement plans for each customer class, the Settlement adopts multiple competitive market enhancements.  These enhancements include a revised POR program with lower discount rates for EGSs serving residential, Small C&amp;I and Medium C&amp;I customers, additional measures to educate customers about competition and a collaborative to develop processes to inform customers of retail offers posted on the OCA and Commission web sites.</w:t>
      </w:r>
    </w:p>
    <w:p w:rsidR="00074062" w:rsidRDefault="00074062" w:rsidP="00BA18B0">
      <w:pPr>
        <w:spacing w:line="360" w:lineRule="auto"/>
      </w:pPr>
    </w:p>
    <w:p w:rsidR="00074062" w:rsidRDefault="00074062" w:rsidP="00BA18B0">
      <w:pPr>
        <w:spacing w:line="360" w:lineRule="auto"/>
      </w:pPr>
      <w:r>
        <w:tab/>
      </w:r>
      <w:r>
        <w:tab/>
        <w:t xml:space="preserve">Duquesne Light believes the </w:t>
      </w:r>
      <w:r w:rsidR="00BE2F1D" w:rsidRPr="00BE2F1D">
        <w:t xml:space="preserve">Settlement adopts a reasonable, well-balanced default service procurement plan and will continue to advance competition in the Company’s service territory.  </w:t>
      </w:r>
      <w:r w:rsidR="007A1D5D">
        <w:t xml:space="preserve">It opines </w:t>
      </w:r>
      <w:r w:rsidR="00BE2F1D">
        <w:t>t</w:t>
      </w:r>
      <w:r w:rsidR="00BE2F1D" w:rsidRPr="00BE2F1D">
        <w:t>he Settlement is just and reasonable and should be approved.</w:t>
      </w:r>
    </w:p>
    <w:p w:rsidR="007A1D5D" w:rsidRDefault="007A1D5D" w:rsidP="00BA18B0">
      <w:pPr>
        <w:spacing w:line="360" w:lineRule="auto"/>
      </w:pPr>
    </w:p>
    <w:p w:rsidR="00F713C0" w:rsidRDefault="00F713C0">
      <w:r>
        <w:br w:type="page"/>
      </w:r>
    </w:p>
    <w:p w:rsidR="007A1D5D" w:rsidRDefault="007A1D5D" w:rsidP="00BA18B0">
      <w:pPr>
        <w:spacing w:line="360" w:lineRule="auto"/>
      </w:pPr>
      <w:r>
        <w:lastRenderedPageBreak/>
        <w:tab/>
        <w:t>1.</w:t>
      </w:r>
      <w:r>
        <w:tab/>
      </w:r>
      <w:r>
        <w:rPr>
          <w:u w:val="single"/>
        </w:rPr>
        <w:t>Residential and Lighting Procurement and Rates</w:t>
      </w:r>
    </w:p>
    <w:p w:rsidR="007A1D5D" w:rsidRDefault="007A1D5D" w:rsidP="00BA18B0">
      <w:pPr>
        <w:spacing w:line="360" w:lineRule="auto"/>
      </w:pPr>
    </w:p>
    <w:p w:rsidR="007A1D5D" w:rsidRDefault="007A1D5D" w:rsidP="00BA18B0">
      <w:pPr>
        <w:spacing w:line="360" w:lineRule="auto"/>
      </w:pPr>
      <w:r>
        <w:tab/>
      </w:r>
      <w:r>
        <w:tab/>
      </w:r>
      <w:r w:rsidR="00203B3F" w:rsidRPr="00203B3F">
        <w:t>One of the primary objectives of Act 129 is to provide default service customers price stability.  In the Preamble of Act 129, the Pennsylvania General Assembly state</w:t>
      </w:r>
      <w:r w:rsidR="00203B3F">
        <w:t>s:</w:t>
      </w:r>
    </w:p>
    <w:p w:rsidR="00203B3F" w:rsidRDefault="00203B3F" w:rsidP="00BA18B0">
      <w:pPr>
        <w:spacing w:line="360" w:lineRule="auto"/>
      </w:pPr>
    </w:p>
    <w:p w:rsidR="00203B3F" w:rsidRDefault="00203B3F" w:rsidP="00203B3F">
      <w:pPr>
        <w:ind w:left="1440" w:right="1440"/>
      </w:pPr>
      <w:r w:rsidRPr="00203B3F">
        <w:t>The General Assembly recognizes the following public policy findings and declares that the following objectives of the Commonwealth are served by this act:</w:t>
      </w:r>
    </w:p>
    <w:p w:rsidR="00203B3F" w:rsidRDefault="00203B3F" w:rsidP="00203B3F">
      <w:pPr>
        <w:ind w:left="1440" w:right="1440"/>
      </w:pPr>
    </w:p>
    <w:p w:rsidR="0047522B" w:rsidRDefault="0047522B" w:rsidP="00F713C0">
      <w:pPr>
        <w:ind w:left="2160" w:right="2160"/>
      </w:pPr>
      <w:r w:rsidRPr="0047522B">
        <w:t xml:space="preserve">(1) The health, safety and prosperity of all citizens of this Commonwealth are inherently dependent upon the availability of adequate, reliable, affordable, efficient and environmentally sustainable </w:t>
      </w:r>
      <w:r w:rsidRPr="0047522B">
        <w:rPr>
          <w:u w:val="single"/>
        </w:rPr>
        <w:t>electric service at the least cost, taking into account any benefits of price stability over time</w:t>
      </w:r>
      <w:r w:rsidRPr="0047522B">
        <w:t xml:space="preserve"> and the impact on the en</w:t>
      </w:r>
      <w:r>
        <w:t>vironment.  (Emphasis supplied).</w:t>
      </w:r>
    </w:p>
    <w:p w:rsidR="00F713C0" w:rsidRDefault="00F713C0" w:rsidP="00F713C0">
      <w:pPr>
        <w:ind w:left="2160" w:right="2160"/>
      </w:pPr>
    </w:p>
    <w:p w:rsidR="0047522B" w:rsidRDefault="0047522B" w:rsidP="0047522B"/>
    <w:p w:rsidR="0047522B" w:rsidRDefault="00DD4446" w:rsidP="0047522B">
      <w:pPr>
        <w:spacing w:line="360" w:lineRule="auto"/>
      </w:pPr>
      <w:r>
        <w:tab/>
      </w:r>
      <w:r>
        <w:tab/>
      </w:r>
      <w:r w:rsidRPr="00DD4446">
        <w:t xml:space="preserve">Under the Settlement, Duquesne Light will provide residential and lighting customers stable, fixed rates for the 29-month default service period (Settlement ¶11).  Under the default service plan, the average residential customer will experience a 9.8% increase in default supply costs, which translates to a 5.1% </w:t>
      </w:r>
      <w:r w:rsidR="0085223E">
        <w:t>increase on a total bill basis</w:t>
      </w:r>
      <w:r w:rsidRPr="00DD4446">
        <w:t xml:space="preserve"> (Duquesne Light Exh</w:t>
      </w:r>
      <w:r w:rsidR="0085223E">
        <w:t>.</w:t>
      </w:r>
      <w:r w:rsidRPr="00DD4446">
        <w:t xml:space="preserve"> WVP-1 – WVP-2).  Since restructuring, one of Duquesne Light’s primary goals has been to provide its residential and lighting default service customers with price stability so that these customers do not experience significant price fluctuations and in order to provide a fixed price against which EGSs may compete.  Duquesne Light has provided its residential and lighting customers stable default service rates for approximately 10 years, and this price stability will continue for the next 29 months under the Settlement.</w:t>
      </w:r>
    </w:p>
    <w:p w:rsidR="0085223E" w:rsidRDefault="0085223E" w:rsidP="0047522B">
      <w:pPr>
        <w:spacing w:line="360" w:lineRule="auto"/>
      </w:pPr>
    </w:p>
    <w:p w:rsidR="0085223E" w:rsidRDefault="0085223E" w:rsidP="0047522B">
      <w:pPr>
        <w:spacing w:line="360" w:lineRule="auto"/>
      </w:pPr>
      <w:r>
        <w:tab/>
      </w:r>
      <w:r>
        <w:tab/>
      </w:r>
      <w:r w:rsidR="000949CF" w:rsidRPr="000949CF">
        <w:t>Duquesne Light notes that its fixed rate plans for residential customers have promoted competition in the Company’s service territory.  Fixed prices provide a transparent, known price level that customers can readily compare t</w:t>
      </w:r>
      <w:r w:rsidR="000949CF">
        <w:t>o competitive offers from EGSs (Duquesne Light St. 1-R</w:t>
      </w:r>
      <w:r w:rsidR="000949CF" w:rsidRPr="000949CF">
        <w:t xml:space="preserve"> </w:t>
      </w:r>
      <w:r w:rsidR="000949CF">
        <w:t>at</w:t>
      </w:r>
      <w:r w:rsidR="000949CF" w:rsidRPr="000949CF">
        <w:t xml:space="preserve"> 18).  In this regard, Duquesne Light has had for many years and </w:t>
      </w:r>
      <w:r w:rsidR="000949CF" w:rsidRPr="000949CF">
        <w:lastRenderedPageBreak/>
        <w:t xml:space="preserve">continues to have one of the highest shopping levels for residential customers in the United States (22% of residential customer load was obtaining supply from an </w:t>
      </w:r>
      <w:r w:rsidR="000949CF">
        <w:t xml:space="preserve">EGS as of July, 2009) </w:t>
      </w:r>
      <w:r w:rsidR="000949CF" w:rsidRPr="000949CF">
        <w:t>(Duquesne Light St. 1-R</w:t>
      </w:r>
      <w:r w:rsidR="000949CF">
        <w:t xml:space="preserve"> at</w:t>
      </w:r>
      <w:r w:rsidR="000949CF" w:rsidRPr="000949CF">
        <w:t xml:space="preserve"> 18; Duquesne Light Exh</w:t>
      </w:r>
      <w:r w:rsidR="000949CF">
        <w:t>.</w:t>
      </w:r>
      <w:r w:rsidR="000949CF" w:rsidRPr="000949CF">
        <w:t xml:space="preserve"> NSF-1</w:t>
      </w:r>
      <w:r w:rsidR="000949CF">
        <w:t xml:space="preserve"> at</w:t>
      </w:r>
      <w:r w:rsidR="000949CF" w:rsidRPr="000949CF">
        <w:t xml:space="preserve"> 2).</w:t>
      </w:r>
    </w:p>
    <w:p w:rsidR="000949CF" w:rsidRDefault="000949CF" w:rsidP="0047522B">
      <w:pPr>
        <w:spacing w:line="360" w:lineRule="auto"/>
      </w:pPr>
    </w:p>
    <w:p w:rsidR="000949CF" w:rsidRDefault="000949CF" w:rsidP="0047522B">
      <w:pPr>
        <w:spacing w:line="360" w:lineRule="auto"/>
      </w:pPr>
      <w:r>
        <w:tab/>
      </w:r>
      <w:r>
        <w:tab/>
      </w:r>
      <w:r w:rsidR="00D81FB5" w:rsidRPr="00D81FB5">
        <w:t>Under the Settlement, Duquesne Light will procure default supplies for residential and lighting customers through bilateral contracts that will be competitively procured in the wholesale market.  Duquesne Light will survey the market for the lowest prices, negotiate with multiple suppliers and purchase in the most opportune manner (Duquesne Light St. 2-R</w:t>
      </w:r>
      <w:r w:rsidR="00D81FB5">
        <w:t xml:space="preserve"> at</w:t>
      </w:r>
      <w:r w:rsidR="00D81FB5" w:rsidRPr="00D81FB5">
        <w:t xml:space="preserve"> 8).  In addition, Duquesne Light will not enter into bilateral contracts with its affiliates to procure default energy supplies for residential and lighting customers.</w:t>
      </w:r>
    </w:p>
    <w:p w:rsidR="00D81FB5" w:rsidRDefault="00D81FB5" w:rsidP="0047522B">
      <w:pPr>
        <w:spacing w:line="360" w:lineRule="auto"/>
      </w:pPr>
    </w:p>
    <w:p w:rsidR="00D81FB5" w:rsidRDefault="00D81FB5" w:rsidP="0047522B">
      <w:pPr>
        <w:spacing w:line="360" w:lineRule="auto"/>
      </w:pPr>
      <w:r>
        <w:tab/>
      </w:r>
      <w:r>
        <w:tab/>
      </w:r>
      <w:r w:rsidRPr="00D81FB5">
        <w:t>Under the Settlement, the Company will rely on industry standard International Swap Dealers Association, Inc. (“ISDA”) and Edison Electric Institute (“EEI”) Master Agreements to procure default supp</w:t>
      </w:r>
      <w:r>
        <w:t>lies for residential customers (Settlement ¶</w:t>
      </w:r>
      <w:r w:rsidRPr="00D81FB5">
        <w:t>10; Duquesne Light St. 2</w:t>
      </w:r>
      <w:r>
        <w:t xml:space="preserve"> at</w:t>
      </w:r>
      <w:r w:rsidRPr="00D81FB5">
        <w:t xml:space="preserve"> 6).  The Company notes that Act 129 specifically provides that when entering into bilateral contracts, electric distribution companies (“EDCs”) should rely on “standard industry templates widely accepted in the industry or variations thereto accepted by the parties.”  66 Pa.</w:t>
      </w:r>
      <w:r w:rsidR="00EB4099">
        <w:t xml:space="preserve"> </w:t>
      </w:r>
      <w:r w:rsidRPr="00D81FB5">
        <w:t xml:space="preserve">C.S. §2803 definition of “Bilateral Contract.”  Further, Act 129 provides that “Standard industry templates may include the EEI Master Agreement for physical energy purchases and sales and the ISDA Master Agreement for financial energy purchases and sales.”  </w:t>
      </w:r>
      <w:r w:rsidRPr="00EB4099">
        <w:rPr>
          <w:i/>
        </w:rPr>
        <w:t>Id</w:t>
      </w:r>
      <w:r w:rsidRPr="00D81FB5">
        <w:t>.</w:t>
      </w:r>
    </w:p>
    <w:p w:rsidR="00EB4099" w:rsidRDefault="00EB4099" w:rsidP="0047522B">
      <w:pPr>
        <w:spacing w:line="360" w:lineRule="auto"/>
      </w:pPr>
    </w:p>
    <w:p w:rsidR="00EB4099" w:rsidRDefault="00253FA9" w:rsidP="0047522B">
      <w:pPr>
        <w:spacing w:line="360" w:lineRule="auto"/>
      </w:pPr>
      <w:r>
        <w:tab/>
      </w:r>
      <w:r>
        <w:tab/>
      </w:r>
      <w:r w:rsidRPr="00253FA9">
        <w:t xml:space="preserve">Duquesne Light </w:t>
      </w:r>
      <w:r>
        <w:t xml:space="preserve">explains it </w:t>
      </w:r>
      <w:r w:rsidRPr="00253FA9">
        <w:t>will procure a portfolio of competitively procured bilateral contracts of varying durations.  Specifically, the portfolio will conclude multi-year, annual, s</w:t>
      </w:r>
      <w:r>
        <w:t xml:space="preserve">easonal and monthly contracts </w:t>
      </w:r>
      <w:r w:rsidRPr="00253FA9">
        <w:t>(Duquesne Light St. 1</w:t>
      </w:r>
      <w:r>
        <w:t xml:space="preserve"> at</w:t>
      </w:r>
      <w:r w:rsidRPr="00253FA9">
        <w:t xml:space="preserve"> 14).  It will include a mix of peak, off-peak and weekend contracts.  Duquesne Light will also purchase supplies in the spot market on an as-needed basis.  Duquesne Light anticipates that approximately 25% to 40% of the bilateral purchases would be for the full 29-month period, 25%-40% for 12-month periods, 15%-30% as seasonal and monthly purchases, and 5%-15% of spot purchases (Duquesne Light St. 2</w:t>
      </w:r>
      <w:r>
        <w:t xml:space="preserve"> at </w:t>
      </w:r>
      <w:r w:rsidRPr="00253FA9">
        <w:t>15).  Duquesne Light also explain</w:t>
      </w:r>
      <w:r>
        <w:t>s</w:t>
      </w:r>
      <w:r w:rsidRPr="00253FA9">
        <w:t xml:space="preserve"> this mix of contracts was comparable to the mix of </w:t>
      </w:r>
      <w:r w:rsidRPr="00253FA9">
        <w:lastRenderedPageBreak/>
        <w:t>contracts procured for fixed rate c</w:t>
      </w:r>
      <w:r>
        <w:t>ustomers under the POLR IV plan</w:t>
      </w:r>
      <w:r w:rsidRPr="00253FA9">
        <w:t xml:space="preserve"> (Duquesne Light St. 2-R</w:t>
      </w:r>
      <w:r w:rsidR="00457C1F">
        <w:t xml:space="preserve"> at </w:t>
      </w:r>
      <w:r w:rsidRPr="00253FA9">
        <w:t>6).</w:t>
      </w:r>
    </w:p>
    <w:p w:rsidR="00457C1F" w:rsidRDefault="00457C1F" w:rsidP="0047522B">
      <w:pPr>
        <w:spacing w:line="360" w:lineRule="auto"/>
      </w:pPr>
    </w:p>
    <w:p w:rsidR="00457C1F" w:rsidRDefault="00457C1F" w:rsidP="0047522B">
      <w:pPr>
        <w:spacing w:line="360" w:lineRule="auto"/>
      </w:pPr>
      <w:r>
        <w:tab/>
      </w:r>
      <w:r>
        <w:tab/>
        <w:t>The Company contends the</w:t>
      </w:r>
      <w:r w:rsidR="00D96BE2">
        <w:t xml:space="preserve"> </w:t>
      </w:r>
      <w:r w:rsidR="008963EF" w:rsidRPr="008963EF">
        <w:t>residential procurement plan agreed to by the Joint Petitioners under the Settlement fully complies with Act 129.  Under Section 2807(e)(3.1), EDCs are required to competitively procure default supplies through auctions, requests for proposals or bilateral agreements that are “consistent with a Commission-approved competition procurement process.”  66 Pa.</w:t>
      </w:r>
      <w:r w:rsidR="008963EF">
        <w:t xml:space="preserve"> </w:t>
      </w:r>
      <w:r w:rsidR="008963EF" w:rsidRPr="008963EF">
        <w:t>C.S. § 2807(e)(3.1).  As explained above, Duquesne Light will procure its bilateral contracts in the wholesale market, with no purchase from affiliates, pursuant to the competitive process.</w:t>
      </w:r>
    </w:p>
    <w:p w:rsidR="008963EF" w:rsidRDefault="008963EF" w:rsidP="0047522B">
      <w:pPr>
        <w:spacing w:line="360" w:lineRule="auto"/>
      </w:pPr>
    </w:p>
    <w:p w:rsidR="008963EF" w:rsidRDefault="008963EF" w:rsidP="0047522B">
      <w:pPr>
        <w:spacing w:line="360" w:lineRule="auto"/>
      </w:pPr>
      <w:r>
        <w:tab/>
      </w:r>
      <w:r>
        <w:tab/>
        <w:t xml:space="preserve">Duquesne Light concludes </w:t>
      </w:r>
      <w:r w:rsidRPr="008963EF">
        <w:t>Act 129 does not require EDCs to conduct a formal bidding process to acquire default supplies through bilateral contracts.  Rather, it requires the overall process to be approved.  (</w:t>
      </w:r>
      <w:r w:rsidRPr="002C3484">
        <w:rPr>
          <w:i/>
        </w:rPr>
        <w:t>See</w:t>
      </w:r>
      <w:r w:rsidR="002C3484">
        <w:t>,</w:t>
      </w:r>
      <w:r w:rsidRPr="008963EF">
        <w:t xml:space="preserve"> 66 Pa.</w:t>
      </w:r>
      <w:r w:rsidR="002C3484">
        <w:t xml:space="preserve"> </w:t>
      </w:r>
      <w:r w:rsidRPr="008963EF">
        <w:t>C.S. § 2807(e)(3.1)(iii)(B); Duquesne Light St. 2-R</w:t>
      </w:r>
      <w:r w:rsidR="002C3484">
        <w:t xml:space="preserve"> at</w:t>
      </w:r>
      <w:r w:rsidRPr="008963EF">
        <w:t xml:space="preserve"> 5).  Duquesne Light has set forth the competitive process by which it will acquire default supplies for residential and lighting customers.  The Settlement adopts this process by setting forth the types and lengths of contracts that will be employed.  Under the Settlement</w:t>
      </w:r>
      <w:r w:rsidR="002C3484">
        <w:t>,</w:t>
      </w:r>
      <w:r w:rsidRPr="008963EF">
        <w:t xml:space="preserve"> the Joint Petitioners are requesting that the Commission approve this process, pursuant to Act 129.</w:t>
      </w:r>
      <w:r w:rsidR="002C3484">
        <w:rPr>
          <w:rStyle w:val="FootnoteReference"/>
        </w:rPr>
        <w:footnoteReference w:id="5"/>
      </w:r>
    </w:p>
    <w:p w:rsidR="00AB0B18" w:rsidRDefault="00AB0B18" w:rsidP="0047522B">
      <w:pPr>
        <w:spacing w:line="360" w:lineRule="auto"/>
      </w:pPr>
    </w:p>
    <w:p w:rsidR="00AB0B18" w:rsidRDefault="00AB0B18" w:rsidP="0047522B">
      <w:pPr>
        <w:spacing w:line="360" w:lineRule="auto"/>
      </w:pPr>
      <w:r>
        <w:tab/>
      </w:r>
      <w:r>
        <w:tab/>
      </w:r>
      <w:r w:rsidR="00693A61" w:rsidRPr="00693A61">
        <w:t xml:space="preserve">Duquesne Light notes that under the residential procurement plan, </w:t>
      </w:r>
      <w:r w:rsidR="00693A61">
        <w:t xml:space="preserve">it </w:t>
      </w:r>
      <w:r w:rsidR="00693A61" w:rsidRPr="00693A61">
        <w:t>will assume the risk of increases or decreases in default supply costs and changes in load by providing residential and lighting customers fixed supply rates that were established at the time of it</w:t>
      </w:r>
      <w:r w:rsidR="00693A61">
        <w:t>s</w:t>
      </w:r>
      <w:r w:rsidR="00693A61" w:rsidRPr="00693A61">
        <w:t xml:space="preserve"> default service filing in October 2009.  As a result, Duquesne Light is offering residential and lighting customers a significant price stability benefit not typically offered in a solicitation process.  While Duquesne Light will acquire electricity at competitive market prices to supply default service, Duquesne Light (and not the retail customer) will assume the costs and risks associated with future market price movements from the time of its filing in October 2009 </w:t>
      </w:r>
      <w:r w:rsidR="00693A61" w:rsidRPr="00693A61">
        <w:lastRenderedPageBreak/>
        <w:t>through the duration of the delivery period ending May 2013.  Unlike the solicitations conducted in Pennsylvania and elsewhere, the Commission will have more time to review and approve the supply rates as opposed to approving a process with an uncertain price outcome.  Duquesne Light’s fixed rate offer allows residential and lighting customers to lock-in market price levels at the time of Duquesne Light’s filing</w:t>
      </w:r>
      <w:r w:rsidR="006B1371">
        <w:t>,</w:t>
      </w:r>
      <w:r w:rsidR="00693A61" w:rsidRPr="00693A61">
        <w:t xml:space="preserve"> rather than rely on the results of future solicitations that could expose these customers to market prices that may be significantly higher than the market price levels as of October 2009.  Duquesne Light is providing a fixed price to residential and lighting customers in order to provide customers with stable default service rates.  As explained above, the Commission is required to take into account the benefits of price stability over time when considering a default service plan.  Act 129, Preamble, Public Policy Findings and Objectives (1).  In order to provide stable fixed rates, Duquesne Light will not reconcile default supply costs and recoveries for residential and lighting customers.</w:t>
      </w:r>
      <w:r w:rsidR="00B73C01">
        <w:rPr>
          <w:rStyle w:val="FootnoteReference"/>
        </w:rPr>
        <w:footnoteReference w:id="6"/>
      </w:r>
    </w:p>
    <w:p w:rsidR="006B1371" w:rsidRDefault="006B1371" w:rsidP="0047522B">
      <w:pPr>
        <w:spacing w:line="360" w:lineRule="auto"/>
      </w:pPr>
    </w:p>
    <w:p w:rsidR="006B1371" w:rsidRDefault="006B1371" w:rsidP="0047522B">
      <w:pPr>
        <w:spacing w:line="360" w:lineRule="auto"/>
      </w:pPr>
      <w:r>
        <w:tab/>
      </w:r>
      <w:r>
        <w:tab/>
      </w:r>
      <w:r w:rsidRPr="006B1371">
        <w:t>Duquesne Light could not guarantee its residential and lighting customers stable, fixed rates</w:t>
      </w:r>
      <w:r w:rsidR="00EB787A">
        <w:t>,</w:t>
      </w:r>
      <w:r w:rsidRPr="006B1371">
        <w:t xml:space="preserve"> if the Company did not assume the risks of increases or decreases in default supply costs.  Duquesne Light believes that it is important that residential customers have price stability and not bear these risks.</w:t>
      </w:r>
    </w:p>
    <w:p w:rsidR="00EB787A" w:rsidRDefault="00EB787A" w:rsidP="0047522B">
      <w:pPr>
        <w:spacing w:line="360" w:lineRule="auto"/>
      </w:pPr>
    </w:p>
    <w:p w:rsidR="00EB787A" w:rsidRDefault="00EB787A" w:rsidP="0047522B">
      <w:pPr>
        <w:spacing w:line="360" w:lineRule="auto"/>
      </w:pPr>
      <w:r>
        <w:tab/>
      </w:r>
      <w:r>
        <w:tab/>
      </w:r>
      <w:r w:rsidR="00800E46">
        <w:t>The Company opines t</w:t>
      </w:r>
      <w:r w:rsidR="00800E46" w:rsidRPr="00800E46">
        <w:t>he default service plan for residential and lighting customers is clearly in the public interest.  It provides substantial benefits to customers in the form of stable, fixed rates over the 29-month term of the default service plan.  In addition, it continues to promote competition by giving customers a known fixed price to compare to EGS offers.  Duquesne Light notes that Dominion, the largest competitive supplier of residential customers in the Company’s service territory supports fixed rates for residential default service customers and believes this type of rate structure advances competition for residential</w:t>
      </w:r>
      <w:r w:rsidR="002668BB">
        <w:t xml:space="preserve"> and small commercial customers</w:t>
      </w:r>
      <w:r w:rsidR="00800E46" w:rsidRPr="00800E46">
        <w:t xml:space="preserve"> (Dominion St. 1</w:t>
      </w:r>
      <w:r w:rsidR="002668BB">
        <w:t xml:space="preserve"> at</w:t>
      </w:r>
      <w:r w:rsidR="00800E46" w:rsidRPr="00800E46">
        <w:t xml:space="preserve"> 3).  </w:t>
      </w:r>
      <w:r w:rsidR="002668BB">
        <w:t>Duquesne Light opines t</w:t>
      </w:r>
      <w:r w:rsidR="00800E46" w:rsidRPr="00800E46">
        <w:t xml:space="preserve">he </w:t>
      </w:r>
      <w:r w:rsidR="002668BB">
        <w:t>d</w:t>
      </w:r>
      <w:r w:rsidR="00800E46" w:rsidRPr="00800E46">
        <w:t xml:space="preserve">efault </w:t>
      </w:r>
      <w:r w:rsidR="002668BB">
        <w:t>s</w:t>
      </w:r>
      <w:r w:rsidR="00800E46" w:rsidRPr="00800E46">
        <w:t xml:space="preserve">ervice </w:t>
      </w:r>
      <w:r w:rsidR="002668BB">
        <w:t>p</w:t>
      </w:r>
      <w:r w:rsidR="00800E46" w:rsidRPr="00800E46">
        <w:t>lan for residential and lighting customers is in the public interest and should be approved.</w:t>
      </w:r>
    </w:p>
    <w:p w:rsidR="002668BB" w:rsidRDefault="002668BB" w:rsidP="0047522B">
      <w:pPr>
        <w:spacing w:line="360" w:lineRule="auto"/>
      </w:pPr>
      <w:r>
        <w:lastRenderedPageBreak/>
        <w:tab/>
      </w:r>
      <w:r w:rsidR="008A01B5">
        <w:t>2.</w:t>
      </w:r>
      <w:r w:rsidR="008A01B5">
        <w:tab/>
      </w:r>
      <w:r w:rsidR="008A01B5">
        <w:rPr>
          <w:u w:val="single"/>
        </w:rPr>
        <w:t>Small C&amp;I and Medium C&amp;I Procurement</w:t>
      </w:r>
    </w:p>
    <w:p w:rsidR="008A01B5" w:rsidRDefault="008A01B5" w:rsidP="0047522B">
      <w:pPr>
        <w:spacing w:line="360" w:lineRule="auto"/>
      </w:pPr>
    </w:p>
    <w:p w:rsidR="008A01B5" w:rsidRDefault="008A01B5" w:rsidP="0047522B">
      <w:pPr>
        <w:spacing w:line="360" w:lineRule="auto"/>
      </w:pPr>
      <w:r>
        <w:tab/>
      </w:r>
      <w:r>
        <w:tab/>
      </w:r>
      <w:r w:rsidR="00E52138" w:rsidRPr="00E52138">
        <w:t>Under the Settlement, Duquesne Light will procure default supplies for Small commercial and industrial (“C&amp;I”) customers (less than 25 kW maximum peak demand) and Medium C&amp;I customers (25 kW to less than 300 kW maximum peak demand) through simultaneous but separate RFPs for full-requirements contracts (Settlement ¶14).  Duquesne Light will hire an independent third party to monitor the RFP process and to determine winning bidders (Settlement ¶14).  Rates for Small C&amp;I customers will be revised annually and rates for Medium C&amp;I customers will be revised semi-annually to reflect costs of power procured pursuant to the RFPs.  Rates shall be subject to full reconciliation of cos</w:t>
      </w:r>
      <w:r w:rsidR="00E52138">
        <w:t>ts and revenues.  (Settlement ¶</w:t>
      </w:r>
      <w:r w:rsidR="00E52138" w:rsidRPr="00E52138">
        <w:t>16).</w:t>
      </w:r>
    </w:p>
    <w:p w:rsidR="00E52138" w:rsidRDefault="00E52138" w:rsidP="0047522B">
      <w:pPr>
        <w:spacing w:line="360" w:lineRule="auto"/>
      </w:pPr>
    </w:p>
    <w:p w:rsidR="00E52138" w:rsidRDefault="00E52138" w:rsidP="0047522B">
      <w:pPr>
        <w:spacing w:line="360" w:lineRule="auto"/>
      </w:pPr>
      <w:r>
        <w:tab/>
      </w:r>
      <w:r>
        <w:tab/>
      </w:r>
      <w:r w:rsidR="00FE4F68" w:rsidRPr="00FE4F68">
        <w:t>Act 129 allows EDCs to acquire default supplie</w:t>
      </w:r>
      <w:r w:rsidR="00FE4F68">
        <w:t>s through competitive RFPs.  66 </w:t>
      </w:r>
      <w:r w:rsidR="00FE4F68" w:rsidRPr="00FE4F68">
        <w:t>Pa.</w:t>
      </w:r>
      <w:r w:rsidR="00FE4F68">
        <w:t xml:space="preserve"> </w:t>
      </w:r>
      <w:r w:rsidR="00FE4F68" w:rsidRPr="00FE4F68">
        <w:t xml:space="preserve">C.S. § 2807(e)(3.1).  Therefore, the Small and Medium C&amp;I procurement plan complies with the procurement methodologies allowed by Act 129.  In addition, this </w:t>
      </w:r>
      <w:r w:rsidR="00FE4F68">
        <w:t>p</w:t>
      </w:r>
      <w:r w:rsidR="00FE4F68" w:rsidRPr="00FE4F68">
        <w:t>lan will provide appropriate levels of price stability for these customer classes.  Under Duquesne Light’s current default service plan, rates for Medium C&amp;I customers are adjusted semi-annually, and the Company believes that it is appropriate to continue this level of price stability for these customers (Duquesne Light St. 1-R</w:t>
      </w:r>
      <w:r w:rsidR="00FE4F68">
        <w:t xml:space="preserve"> at</w:t>
      </w:r>
      <w:r w:rsidR="00FE4F68" w:rsidRPr="00FE4F68">
        <w:t xml:space="preserve"> 5).  The Company notes that 40% of its Medium C&amp;I load is currently shopping (Duquesne Light St. 3</w:t>
      </w:r>
      <w:r w:rsidR="00FE4F68">
        <w:t xml:space="preserve"> at</w:t>
      </w:r>
      <w:r w:rsidR="00FE4F68" w:rsidRPr="00FE4F68">
        <w:t xml:space="preserve"> 19).  The Company believes the procurement methodology adopted under the Settlement will continue to promote competition for Medium C&amp;I customers</w:t>
      </w:r>
      <w:r w:rsidR="00FE4F68">
        <w:t>,</w:t>
      </w:r>
      <w:r w:rsidR="00FE4F68" w:rsidRPr="00FE4F68">
        <w:t xml:space="preserve"> since it continues the currently effective successful procurement plan.</w:t>
      </w:r>
    </w:p>
    <w:p w:rsidR="00FE4F68" w:rsidRDefault="00FE4F68" w:rsidP="0047522B">
      <w:pPr>
        <w:spacing w:line="360" w:lineRule="auto"/>
      </w:pPr>
    </w:p>
    <w:p w:rsidR="00FE4F68" w:rsidRDefault="00FE4F68" w:rsidP="0047522B">
      <w:pPr>
        <w:spacing w:line="360" w:lineRule="auto"/>
      </w:pPr>
      <w:r>
        <w:tab/>
      </w:r>
      <w:r>
        <w:tab/>
      </w:r>
      <w:r w:rsidR="00BA330C" w:rsidRPr="00BA330C">
        <w:t>As stated above, rates for Small C&amp;I customers will be revised on an annual basis.  Currently, the Company provides its Small C&amp;I customers default service under three-year fixed rates that expire on December 31, 2010 (Duquesne Light St. 1-R</w:t>
      </w:r>
      <w:r w:rsidR="00BA330C">
        <w:t xml:space="preserve"> at</w:t>
      </w:r>
      <w:r w:rsidR="00BA330C" w:rsidRPr="00BA330C">
        <w:t xml:space="preserve"> 5).  Accordingly, under the Settlement, these customers will experience more frequent rate changes than they have in the past</w:t>
      </w:r>
      <w:r w:rsidR="00BA330C">
        <w:t>,</w:t>
      </w:r>
      <w:r w:rsidR="00BA330C" w:rsidRPr="00BA330C">
        <w:t xml:space="preserve"> because their rates will change annually based on structured RFPs.  Given that these customers have previously received fixed rates, the Company believes it is important to provide Small C&amp;I customers with greater price stability than the Medium C&amp;I customers</w:t>
      </w:r>
      <w:r w:rsidR="00BA330C">
        <w:t>,</w:t>
      </w:r>
      <w:r w:rsidR="00BA330C" w:rsidRPr="00BA330C">
        <w:t xml:space="preserve"> who will </w:t>
      </w:r>
      <w:r w:rsidR="00BA330C" w:rsidRPr="00BA330C">
        <w:lastRenderedPageBreak/>
        <w:t>continue to be subje</w:t>
      </w:r>
      <w:r w:rsidR="00BA330C">
        <w:t>ct to semi-annual rate changes</w:t>
      </w:r>
      <w:r w:rsidR="00BA330C" w:rsidRPr="00BA330C">
        <w:t xml:space="preserve"> (Duquesne Light St. 1-R</w:t>
      </w:r>
      <w:r w:rsidR="00BA330C">
        <w:t xml:space="preserve"> at</w:t>
      </w:r>
      <w:r w:rsidR="00BA330C" w:rsidRPr="00BA330C">
        <w:t xml:space="preserve"> 5).  Therefore, the Company </w:t>
      </w:r>
      <w:r w:rsidR="00FE0B2D">
        <w:t xml:space="preserve">avers </w:t>
      </w:r>
      <w:r w:rsidR="00BA330C" w:rsidRPr="00BA330C">
        <w:t xml:space="preserve">the </w:t>
      </w:r>
      <w:r w:rsidR="00FE0B2D">
        <w:t>d</w:t>
      </w:r>
      <w:r w:rsidR="00BA330C" w:rsidRPr="00BA330C">
        <w:t xml:space="preserve">efault </w:t>
      </w:r>
      <w:r w:rsidR="00FE0B2D">
        <w:t>s</w:t>
      </w:r>
      <w:r w:rsidR="00BA330C" w:rsidRPr="00BA330C">
        <w:t xml:space="preserve">ervice </w:t>
      </w:r>
      <w:r w:rsidR="00FE0B2D">
        <w:t>p</w:t>
      </w:r>
      <w:r w:rsidR="00BA330C" w:rsidRPr="00BA330C">
        <w:t xml:space="preserve">lan appropriately balances price stability concerns for both Medium and Small C&amp;I customers.  Further, the revisions to the </w:t>
      </w:r>
      <w:r w:rsidR="00FE0B2D">
        <w:t>p</w:t>
      </w:r>
      <w:r w:rsidR="00BA330C" w:rsidRPr="00BA330C">
        <w:t>lan for Small C&amp;I customers as compared to the prior fixed rate plan demonstrates the evolving nature of Duquesne Light’s default service plans over time to meet the needs of customers and to support competition.</w:t>
      </w:r>
    </w:p>
    <w:p w:rsidR="00FE0B2D" w:rsidRDefault="00FE0B2D" w:rsidP="0047522B">
      <w:pPr>
        <w:spacing w:line="360" w:lineRule="auto"/>
      </w:pPr>
    </w:p>
    <w:p w:rsidR="00FE0B2D" w:rsidRDefault="00FE0B2D" w:rsidP="0047522B">
      <w:pPr>
        <w:spacing w:line="360" w:lineRule="auto"/>
      </w:pPr>
      <w:r>
        <w:tab/>
      </w:r>
      <w:r>
        <w:tab/>
      </w:r>
      <w:r w:rsidRPr="00FE0B2D">
        <w:t xml:space="preserve">Under the Settlement, the Joint Petitioners agree to revisions to the Company’s proposed Supply Master Agreement (“SMA”) for the Small and Medium C&amp;I procurements.  In testimony, Constellation requested that Duquesne Light adopt the SMA approved by the Commission in the </w:t>
      </w:r>
      <w:r w:rsidRPr="0039796F">
        <w:rPr>
          <w:u w:val="single"/>
        </w:rPr>
        <w:t>West Penn Power Company d/b/a Allegheny Power (“Allegheny”)</w:t>
      </w:r>
      <w:r w:rsidRPr="00FE0B2D">
        <w:t xml:space="preserve"> default service proceeding at Docket No. P-00072342.  As a compromise under the Settlement, the Joint Petitioners agree to certain revisions to Duquesne Light’s SMA to make it more consistent with the Allegheny SMA.  These revisions make the SMA consistent with SMAs used by some other EDCs.  They are intended to encourage additional wholesale suppliers, such as Constellation, to participate in the RFP process for Small and Medium C&amp;I customers and thereby increase wholesale competition for the benefit of customers.</w:t>
      </w:r>
    </w:p>
    <w:p w:rsidR="0039796F" w:rsidRDefault="0039796F" w:rsidP="0047522B">
      <w:pPr>
        <w:spacing w:line="360" w:lineRule="auto"/>
      </w:pPr>
    </w:p>
    <w:p w:rsidR="0039796F" w:rsidRDefault="0039796F" w:rsidP="0047522B">
      <w:pPr>
        <w:spacing w:line="360" w:lineRule="auto"/>
      </w:pPr>
      <w:r>
        <w:tab/>
      </w:r>
      <w:r>
        <w:tab/>
      </w:r>
      <w:r w:rsidR="002C5EEC" w:rsidRPr="002C5EEC">
        <w:t>In testimony, Constellation also proposed that the Company make certain modifications to its RFP rules and documents.  Under the Settlement, the Joint Petitioners agree to revise the Company’s RFP documents to clarify that only the Commission and the RFP independent consultant can reject bids (Settlement ¶</w:t>
      </w:r>
      <w:r w:rsidR="00FE6D2A">
        <w:t>¶</w:t>
      </w:r>
      <w:r w:rsidR="002C5EEC" w:rsidRPr="002C5EEC">
        <w:t>18(a)-18(b)).  In addition, the Settlement clarifies that Duquesne Light will send RFP communications to suppliers and trade press regarding bid dates, provide proposed RFP pre</w:t>
      </w:r>
      <w:r w:rsidR="00FE6D2A">
        <w:t>-</w:t>
      </w:r>
      <w:r w:rsidR="002C5EEC" w:rsidRPr="002C5EEC">
        <w:t>bid documents on the Company’s website, work with interested parties to update the Company’s RFP bid documents and provide final RFP pre</w:t>
      </w:r>
      <w:r w:rsidR="00FE6D2A">
        <w:t>-</w:t>
      </w:r>
      <w:r w:rsidR="002C5EEC" w:rsidRPr="002C5EEC">
        <w:t>bid documents on its RFP website.  The Settlement also provides that Duquesne Light will post RFP guidelines and bid procedures for the Small and Medium C&amp;I procurements within 30 days after the filing of the Settlement</w:t>
      </w:r>
      <w:r w:rsidR="00FE6D2A">
        <w:t xml:space="preserve"> (Settlement ¶</w:t>
      </w:r>
      <w:r w:rsidR="002C5EEC" w:rsidRPr="002C5EEC">
        <w:t>25).  The Company believes these Settlement provisions are in the public interest as they will ensure that wholesale suppliers have the information they need to participate in the RFP process.</w:t>
      </w:r>
    </w:p>
    <w:p w:rsidR="00FE6D2A" w:rsidRDefault="00FE6D2A" w:rsidP="0047522B">
      <w:pPr>
        <w:spacing w:line="360" w:lineRule="auto"/>
      </w:pPr>
    </w:p>
    <w:p w:rsidR="00FE6D2A" w:rsidRDefault="00FE6D2A" w:rsidP="0047522B">
      <w:pPr>
        <w:spacing w:line="360" w:lineRule="auto"/>
      </w:pPr>
      <w:r>
        <w:lastRenderedPageBreak/>
        <w:tab/>
      </w:r>
      <w:r>
        <w:tab/>
      </w:r>
      <w:r w:rsidR="00A374EC" w:rsidRPr="00A374EC">
        <w:t>In this proceeding, the Company proposed a 50% load cap on the amount of supply that any one bidder could win in the Small and Medium C&amp;I procurements (Duquesne Light St. 2</w:t>
      </w:r>
      <w:r w:rsidR="00A374EC">
        <w:t xml:space="preserve"> at</w:t>
      </w:r>
      <w:r w:rsidR="00A374EC" w:rsidRPr="00A374EC">
        <w:t xml:space="preserve"> 13).  Certain parties disagreed and proposed that the Company eliminate the cap on the amount of load any one bidder could supply.  The Settlement adopts a compromise of the parties’ positions and provides for a 75% cap for the first 5 procurements under the default service plan and a 67% cap on the last procurement.</w:t>
      </w:r>
      <w:r w:rsidR="00F71016">
        <w:rPr>
          <w:rStyle w:val="FootnoteReference"/>
        </w:rPr>
        <w:footnoteReference w:id="7"/>
      </w:r>
      <w:r w:rsidR="00A374EC" w:rsidRPr="00A374EC">
        <w:t xml:space="preserve">   Duquesne Light notes these caps are generally consistent with load caps that the Commission has approved in other EDCs’ default service proceeding</w:t>
      </w:r>
      <w:r w:rsidR="00A374EC">
        <w:t>s</w:t>
      </w:r>
      <w:r w:rsidR="00A374EC" w:rsidRPr="00A374EC">
        <w:t>.</w:t>
      </w:r>
    </w:p>
    <w:p w:rsidR="00A374EC" w:rsidRDefault="00A374EC" w:rsidP="0047522B">
      <w:pPr>
        <w:spacing w:line="360" w:lineRule="auto"/>
      </w:pPr>
    </w:p>
    <w:p w:rsidR="00A374EC" w:rsidRDefault="00A374EC" w:rsidP="0047522B">
      <w:pPr>
        <w:spacing w:line="360" w:lineRule="auto"/>
      </w:pPr>
      <w:r>
        <w:tab/>
      </w:r>
      <w:r>
        <w:tab/>
      </w:r>
      <w:r w:rsidR="00605783" w:rsidRPr="00605783">
        <w:t xml:space="preserve">For example, in Metropolitan Edison Company’s and Pennsylvania Electric Company’s recent default service proceeding, the Commission approved a load cap of 75%, expressed in terms of the maximum number of tranches that any one supplier could win in the default service supply auctions.  </w:t>
      </w:r>
      <w:r w:rsidR="00605783" w:rsidRPr="00605783">
        <w:rPr>
          <w:u w:val="single"/>
        </w:rPr>
        <w:t>Joint Petition of Metropolitan Edison Company and Pennsylvania Electric Company for Approval of Their Default Service Programs</w:t>
      </w:r>
      <w:r w:rsidR="00605783">
        <w:t>, Docket Nos. P</w:t>
      </w:r>
      <w:r w:rsidR="00605783">
        <w:noBreakHyphen/>
      </w:r>
      <w:r w:rsidR="00605783" w:rsidRPr="00605783">
        <w:t>2009-2093053 and P-2009-2093054, Order entered November 6, 2009</w:t>
      </w:r>
      <w:r w:rsidR="00605783">
        <w:t xml:space="preserve"> at</w:t>
      </w:r>
      <w:r w:rsidR="00605783" w:rsidRPr="00605783">
        <w:t xml:space="preserve"> 18.  In addition, the Commission approved a load cap of approximately 67% (2/3 of the number of tranches) for suppliers under a default service plan for Pennsylvania Power Company.  </w:t>
      </w:r>
      <w:r w:rsidR="00605783" w:rsidRPr="00605783">
        <w:rPr>
          <w:u w:val="single"/>
        </w:rPr>
        <w:t>Petition of Pennsylvania Power Company for Approval of Interim POLR Supply Plan</w:t>
      </w:r>
      <w:r w:rsidR="00605783">
        <w:t>, Docket No. </w:t>
      </w:r>
      <w:r w:rsidR="00605783" w:rsidRPr="00605783">
        <w:t>P</w:t>
      </w:r>
      <w:r w:rsidR="00605783">
        <w:noBreakHyphen/>
      </w:r>
      <w:r w:rsidR="00605783" w:rsidRPr="00605783">
        <w:t>00052188, Order entered April 28, 2006.</w:t>
      </w:r>
    </w:p>
    <w:p w:rsidR="00605783" w:rsidRDefault="00605783" w:rsidP="0047522B">
      <w:pPr>
        <w:spacing w:line="360" w:lineRule="auto"/>
      </w:pPr>
    </w:p>
    <w:p w:rsidR="00605783" w:rsidRDefault="00605783" w:rsidP="0047522B">
      <w:pPr>
        <w:spacing w:line="360" w:lineRule="auto"/>
      </w:pPr>
      <w:r>
        <w:tab/>
      </w:r>
      <w:r>
        <w:tab/>
      </w:r>
      <w:r w:rsidR="00013245" w:rsidRPr="00013245">
        <w:t>Under the Settlement, Duquesne Light agree</w:t>
      </w:r>
      <w:r w:rsidR="00013245">
        <w:t>s</w:t>
      </w:r>
      <w:r w:rsidR="00013245" w:rsidRPr="00013245">
        <w:t xml:space="preserve"> to release the weighted average bid price for Small and Medium C&amp;I procurements within 2 business days after approval by the Commission of the results of the RFP and execution of all contracts.  The Company also has agreed to publish retail rates 15 days before they become effective (Settlement ¶20).  These Settlement provisions were important to OSBA and RESA, and Duquesne Light believes they are in the public interest.</w:t>
      </w:r>
    </w:p>
    <w:p w:rsidR="00013245" w:rsidRDefault="00013245" w:rsidP="0047522B">
      <w:pPr>
        <w:spacing w:line="360" w:lineRule="auto"/>
      </w:pPr>
    </w:p>
    <w:p w:rsidR="00013245" w:rsidRDefault="00013245" w:rsidP="0047522B">
      <w:pPr>
        <w:spacing w:line="360" w:lineRule="auto"/>
      </w:pPr>
      <w:r>
        <w:lastRenderedPageBreak/>
        <w:tab/>
      </w:r>
      <w:r>
        <w:tab/>
      </w:r>
      <w:r w:rsidRPr="00013245">
        <w:t>The Settlement also sets forth a contingency plan in the event the Commission does not approve certain bid results or</w:t>
      </w:r>
      <w:r>
        <w:t xml:space="preserve"> an accepted supplier defaults</w:t>
      </w:r>
      <w:r w:rsidRPr="00013245">
        <w:t xml:space="preserve"> (Settlement ¶21).  This Settlement provision is in the public interest</w:t>
      </w:r>
      <w:r>
        <w:t>,</w:t>
      </w:r>
      <w:r w:rsidRPr="00013245">
        <w:t xml:space="preserve"> because it provides clarity regarding the steps the Company will take to acquire replacement supplies under these circumstances.</w:t>
      </w:r>
    </w:p>
    <w:p w:rsidR="00013245" w:rsidRDefault="00013245" w:rsidP="0047522B">
      <w:pPr>
        <w:spacing w:line="360" w:lineRule="auto"/>
      </w:pPr>
    </w:p>
    <w:p w:rsidR="00013245" w:rsidRDefault="008673F9" w:rsidP="0047522B">
      <w:pPr>
        <w:spacing w:line="360" w:lineRule="auto"/>
      </w:pPr>
      <w:r>
        <w:tab/>
        <w:t>3.</w:t>
      </w:r>
      <w:r>
        <w:tab/>
      </w:r>
      <w:r>
        <w:rPr>
          <w:u w:val="single"/>
        </w:rPr>
        <w:t>Large C&amp;I Procurement Plan and Rates</w:t>
      </w:r>
    </w:p>
    <w:p w:rsidR="008673F9" w:rsidRDefault="008673F9" w:rsidP="0047522B">
      <w:pPr>
        <w:spacing w:line="360" w:lineRule="auto"/>
      </w:pPr>
    </w:p>
    <w:p w:rsidR="008673F9" w:rsidRDefault="008673F9" w:rsidP="0047522B">
      <w:pPr>
        <w:spacing w:line="360" w:lineRule="auto"/>
      </w:pPr>
      <w:r>
        <w:tab/>
      </w:r>
      <w:r>
        <w:tab/>
      </w:r>
      <w:r w:rsidRPr="008673F9">
        <w:t>Under the Settlement, Duquesne Light will continue to procure default supplies for Large C&amp;I customers in the day ahead hourly PJM market.  Duquesne Light notes that no party in this proceeding, including DII, challenged this procurement plan.</w:t>
      </w:r>
    </w:p>
    <w:p w:rsidR="008673F9" w:rsidRDefault="008673F9" w:rsidP="0047522B">
      <w:pPr>
        <w:spacing w:line="360" w:lineRule="auto"/>
      </w:pPr>
    </w:p>
    <w:p w:rsidR="008673F9" w:rsidRDefault="008673F9" w:rsidP="0047522B">
      <w:pPr>
        <w:spacing w:line="360" w:lineRule="auto"/>
      </w:pPr>
      <w:r>
        <w:tab/>
      </w:r>
      <w:r>
        <w:tab/>
      </w:r>
      <w:r w:rsidR="00E00803" w:rsidRPr="00E00803">
        <w:t>The Company provided its Large C&amp;I customers with hourly real-time pricing beginning on January 1, 2005 under the POLR III plan and switched to day-ahead hourly pricing on January 1, 2008 under the POLR IV plan.  Duquesne Light was one of the first utilities in the nation to offer hourly pricing to all customers greater than 300 kW and currently has one of the lowest kW thresholds for hourly price service in the United States, offering hourly price default service to approximately 45 percent of its total system load (Duquesne Light St. 3</w:t>
      </w:r>
      <w:r w:rsidR="00E00803">
        <w:t xml:space="preserve"> at</w:t>
      </w:r>
      <w:r w:rsidR="00E00803" w:rsidRPr="00E00803">
        <w:t xml:space="preserve"> 23).  As of July 2009, 96% of the Company’s Large C&amp;I load was taking service from competitive suppliers.  The Company’s Large C&amp;I customers are accustomed to day-ahead pricing, and this procurement and pricing methodology has encouraged competition for these customers.  Therefore, </w:t>
      </w:r>
      <w:r w:rsidR="00E00803">
        <w:t xml:space="preserve">Duquesne Light claims </w:t>
      </w:r>
      <w:r w:rsidR="00E00803" w:rsidRPr="00E00803">
        <w:t>continuation of day-ahead hourly default service for Large C&amp;I customers is in the public interest and should be approved.</w:t>
      </w:r>
    </w:p>
    <w:p w:rsidR="00E00803" w:rsidRDefault="00E00803" w:rsidP="0047522B">
      <w:pPr>
        <w:spacing w:line="360" w:lineRule="auto"/>
      </w:pPr>
    </w:p>
    <w:p w:rsidR="00E00803" w:rsidRDefault="00E00803" w:rsidP="0047522B">
      <w:pPr>
        <w:spacing w:line="360" w:lineRule="auto"/>
      </w:pPr>
      <w:r>
        <w:tab/>
      </w:r>
      <w:r>
        <w:tab/>
      </w:r>
      <w:r w:rsidR="00EC0C52" w:rsidRPr="00EC0C52">
        <w:t>In addition, in response to a request from DII, Duquesne Light agree</w:t>
      </w:r>
      <w:r w:rsidR="00EC0C52">
        <w:t>s</w:t>
      </w:r>
      <w:r w:rsidR="00EC0C52" w:rsidRPr="00EC0C52">
        <w:t xml:space="preserve"> to monitor the results of a collaborative arising out of PPL Electric Utilities Corporation’s recent default service proceeding concerning a monthly or quarterly load following service for Large C&amp;I customers</w:t>
      </w:r>
      <w:r w:rsidR="00EC0C52">
        <w:t xml:space="preserve"> (Settlement ¶</w:t>
      </w:r>
      <w:r w:rsidR="00EC0C52" w:rsidRPr="00EC0C52">
        <w:t>23).  Duquesne Light also agree</w:t>
      </w:r>
      <w:r w:rsidR="00EC0C52">
        <w:t>s</w:t>
      </w:r>
      <w:r w:rsidR="00EC0C52" w:rsidRPr="00EC0C52">
        <w:t xml:space="preserve"> to evaluate whether to offer a similar service in future default service proceedings.</w:t>
      </w:r>
    </w:p>
    <w:p w:rsidR="00EC0C52" w:rsidRDefault="00EC0C52" w:rsidP="0047522B">
      <w:pPr>
        <w:spacing w:line="360" w:lineRule="auto"/>
      </w:pPr>
    </w:p>
    <w:p w:rsidR="0003115B" w:rsidRDefault="0003115B">
      <w:r>
        <w:br w:type="page"/>
      </w:r>
    </w:p>
    <w:p w:rsidR="00EC0C52" w:rsidRDefault="00EC0C52" w:rsidP="0047522B">
      <w:pPr>
        <w:spacing w:line="360" w:lineRule="auto"/>
      </w:pPr>
      <w:r>
        <w:lastRenderedPageBreak/>
        <w:tab/>
        <w:t>4.</w:t>
      </w:r>
      <w:r>
        <w:tab/>
      </w:r>
      <w:r>
        <w:rPr>
          <w:u w:val="single"/>
        </w:rPr>
        <w:t xml:space="preserve"> Enhancements to Competition</w:t>
      </w:r>
    </w:p>
    <w:p w:rsidR="00EC0C52" w:rsidRDefault="00EC0C52" w:rsidP="0047522B">
      <w:pPr>
        <w:spacing w:line="360" w:lineRule="auto"/>
      </w:pPr>
    </w:p>
    <w:p w:rsidR="00EC0C52" w:rsidRDefault="00EC0C52" w:rsidP="0047522B">
      <w:pPr>
        <w:spacing w:line="360" w:lineRule="auto"/>
      </w:pPr>
      <w:r>
        <w:tab/>
      </w:r>
      <w:r>
        <w:tab/>
        <w:t xml:space="preserve">Duquesne Light contends the </w:t>
      </w:r>
      <w:r w:rsidR="003B2CE4" w:rsidRPr="003B2CE4">
        <w:t xml:space="preserve">Settlement provides a well-balanced default service plan based on a proven successful model that will continue to support competition in </w:t>
      </w:r>
      <w:r w:rsidR="003B2CE4">
        <w:t xml:space="preserve">its </w:t>
      </w:r>
      <w:r w:rsidR="003B2CE4" w:rsidRPr="003B2CE4">
        <w:t>service area.  Duquesne Light currently has the eighth highest percentage of customer load shopping of any electric utility in the United States (Duquesne Light St. 3</w:t>
      </w:r>
      <w:r w:rsidR="003B2CE4">
        <w:t xml:space="preserve"> at</w:t>
      </w:r>
      <w:r w:rsidR="003B2CE4" w:rsidRPr="003B2CE4">
        <w:t xml:space="preserve"> 21 and Exh</w:t>
      </w:r>
      <w:r w:rsidR="003B2CE4">
        <w:t>. NSF-1 at</w:t>
      </w:r>
      <w:r w:rsidR="003B2CE4" w:rsidRPr="003B2CE4">
        <w:t xml:space="preserve"> 1)</w:t>
      </w:r>
      <w:r w:rsidR="003B2CE4">
        <w:t>.</w:t>
      </w:r>
      <w:r w:rsidR="003B2CE4" w:rsidRPr="003B2CE4">
        <w:t xml:space="preserve">    This has been the result of the Company’s prior default service plans and the steps the Company has taken to encourage competition in its service territory, including early implementation of a purchase of receivables (“POR”) plan, open discussions with EGSs to discuss supplier issues, customer information sharing with EGSs, customer education, elimination of energy blocks and energy-related demand charges, and other measures, in particular, the first POR program by a major EDC in the Commonwealth (Duquesne Light St. 1</w:t>
      </w:r>
      <w:r w:rsidR="003B2CE4">
        <w:t xml:space="preserve"> at</w:t>
      </w:r>
      <w:r w:rsidR="003B2CE4" w:rsidRPr="003B2CE4">
        <w:t xml:space="preserve"> 5-6).</w:t>
      </w:r>
    </w:p>
    <w:p w:rsidR="003B2CE4" w:rsidRDefault="003B2CE4" w:rsidP="0047522B">
      <w:pPr>
        <w:spacing w:line="360" w:lineRule="auto"/>
      </w:pPr>
    </w:p>
    <w:p w:rsidR="003B2CE4" w:rsidRDefault="001E2368" w:rsidP="0047522B">
      <w:pPr>
        <w:spacing w:line="360" w:lineRule="auto"/>
      </w:pPr>
      <w:r>
        <w:tab/>
      </w:r>
      <w:r>
        <w:tab/>
      </w:r>
      <w:r w:rsidRPr="001E2368">
        <w:t>In this proceeding, RESA and Dominion argued that Duquesne Light should implement additional measures to promote competition.  The Settlement accommodates these requests in several respects.</w:t>
      </w:r>
    </w:p>
    <w:p w:rsidR="001E2368" w:rsidRDefault="001E2368" w:rsidP="0047522B">
      <w:pPr>
        <w:spacing w:line="360" w:lineRule="auto"/>
      </w:pPr>
    </w:p>
    <w:p w:rsidR="001E2368" w:rsidRDefault="001E2368" w:rsidP="0047522B">
      <w:pPr>
        <w:spacing w:line="360" w:lineRule="auto"/>
      </w:pPr>
      <w:r>
        <w:tab/>
      </w:r>
      <w:r>
        <w:tab/>
      </w:r>
      <w:r w:rsidR="00787980" w:rsidRPr="00787980">
        <w:t>Under the Settlement, Duquesne Light will purchase EGS receivables for Medium C&amp;I customers at a discount of 0.28% (0.10% for administrative costs and 0.18% for uncollectible costs).  In addition, the Company will purchase EGS receivables for residential and Small C&amp;I customers at a discount rate of 0.52% (0.10% for administrative costs and 0.42% for uncollectible costs) (Settlement ¶24).  This is lower than the current discount rate for residential and Small C&amp;I customers of 0.70% (0.28% for administrative costs and 0.42% for uncollectible costs) and should encourage additional EGSs to offer service to customers in the Company’s service territory.</w:t>
      </w:r>
    </w:p>
    <w:p w:rsidR="00787980" w:rsidRDefault="00787980" w:rsidP="0047522B">
      <w:pPr>
        <w:spacing w:line="360" w:lineRule="auto"/>
      </w:pPr>
    </w:p>
    <w:p w:rsidR="00787980" w:rsidRDefault="00787980" w:rsidP="0047522B">
      <w:pPr>
        <w:spacing w:line="360" w:lineRule="auto"/>
      </w:pPr>
      <w:r>
        <w:tab/>
      </w:r>
      <w:r>
        <w:tab/>
      </w:r>
      <w:r w:rsidR="009D6DBD" w:rsidRPr="009D6DBD">
        <w:t xml:space="preserve">The Company also will inform customers of retail offers by directing customers to the OCA and Commission websites in bill inserts and new customer packets.  These actions are set forth in Paragraph 26 of the Settlement.  In addition, the Company has agreed to a </w:t>
      </w:r>
      <w:r w:rsidR="009D6DBD" w:rsidRPr="009D6DBD">
        <w:lastRenderedPageBreak/>
        <w:t>collaborative process to implement a competition enhancement program.  The details of this collaborative process are also set forth in Paragraph 26 of the Settlement.</w:t>
      </w:r>
    </w:p>
    <w:p w:rsidR="009D6DBD" w:rsidRDefault="009D6DBD" w:rsidP="0047522B">
      <w:pPr>
        <w:spacing w:line="360" w:lineRule="auto"/>
      </w:pPr>
    </w:p>
    <w:p w:rsidR="009D6DBD" w:rsidRDefault="009D6DBD" w:rsidP="0047522B">
      <w:pPr>
        <w:spacing w:line="360" w:lineRule="auto"/>
      </w:pPr>
      <w:r>
        <w:tab/>
      </w:r>
      <w:r>
        <w:tab/>
      </w:r>
      <w:r w:rsidRPr="009D6DBD">
        <w:t xml:space="preserve">The Company also </w:t>
      </w:r>
      <w:r>
        <w:t>agrees</w:t>
      </w:r>
      <w:r w:rsidRPr="009D6DBD">
        <w:t>, subject to applicable Commission regulations, to update its customer information database on a monthly basis and to re-notify Small and Medium C&amp;I customers of their right to opt out of releasing customer information prior to the POLR V period.</w:t>
      </w:r>
    </w:p>
    <w:p w:rsidR="009D6DBD" w:rsidRDefault="009D6DBD" w:rsidP="0047522B">
      <w:pPr>
        <w:spacing w:line="360" w:lineRule="auto"/>
      </w:pPr>
    </w:p>
    <w:p w:rsidR="009D6DBD" w:rsidRDefault="009D6DBD" w:rsidP="0047522B">
      <w:pPr>
        <w:spacing w:line="360" w:lineRule="auto"/>
      </w:pPr>
      <w:r>
        <w:tab/>
      </w:r>
      <w:r>
        <w:tab/>
        <w:t>Duquesne Light notes m</w:t>
      </w:r>
      <w:r w:rsidRPr="009D6DBD">
        <w:t>any of the</w:t>
      </w:r>
      <w:r w:rsidR="00490904">
        <w:t>se</w:t>
      </w:r>
      <w:r w:rsidRPr="009D6DBD">
        <w:t xml:space="preserve"> competitive enhancement measures were very important to RESA in this proceeding.  The Company believes these measures are reasonable and should further promote competition in the Company’s service territory.</w:t>
      </w:r>
    </w:p>
    <w:p w:rsidR="00490904" w:rsidRDefault="00490904" w:rsidP="0047522B">
      <w:pPr>
        <w:spacing w:line="360" w:lineRule="auto"/>
      </w:pPr>
    </w:p>
    <w:p w:rsidR="00490904" w:rsidRDefault="00490904" w:rsidP="0047522B">
      <w:pPr>
        <w:spacing w:line="360" w:lineRule="auto"/>
      </w:pPr>
      <w:r>
        <w:tab/>
      </w:r>
      <w:r>
        <w:tab/>
      </w:r>
      <w:r w:rsidRPr="00490904">
        <w:t>Under the Settlement, Duquesne Light also agree</w:t>
      </w:r>
      <w:r>
        <w:t>s</w:t>
      </w:r>
      <w:r w:rsidRPr="00490904">
        <w:t xml:space="preserve"> to remove from this proceeding its proposal to enter into long term contracts for energy, capacity and renewable credits from solar and hydro projects and make this proposal subject to a collaborative process (Settlement ¶28).  In this proceeding, RESA and Dominion Retail expressed concerns about implementation of this proposal on a competitively-neutral basis.  Under the collaborative, parties will have the opportunity to explore ideas for how to implement this proposal.  Under the Settlement, the Company reserves the right to re-file its long-term renewable energy procurement plan in a separate proceeding</w:t>
      </w:r>
      <w:r>
        <w:t>,</w:t>
      </w:r>
      <w:r w:rsidRPr="00490904">
        <w:t xml:space="preserve"> if it cannot reach agreement with the parties.</w:t>
      </w:r>
    </w:p>
    <w:p w:rsidR="003213A4" w:rsidRDefault="003213A4" w:rsidP="0047522B">
      <w:pPr>
        <w:spacing w:line="360" w:lineRule="auto"/>
      </w:pPr>
    </w:p>
    <w:p w:rsidR="003213A4" w:rsidRDefault="003213A4" w:rsidP="0047522B">
      <w:pPr>
        <w:spacing w:line="360" w:lineRule="auto"/>
      </w:pPr>
      <w:r>
        <w:tab/>
        <w:t>5.</w:t>
      </w:r>
      <w:r>
        <w:tab/>
      </w:r>
      <w:r w:rsidRPr="003213A4">
        <w:rPr>
          <w:u w:val="single"/>
        </w:rPr>
        <w:t>Miscellaneous Settlement Provisions</w:t>
      </w:r>
    </w:p>
    <w:p w:rsidR="003213A4" w:rsidRDefault="003213A4" w:rsidP="0047522B">
      <w:pPr>
        <w:spacing w:line="360" w:lineRule="auto"/>
      </w:pPr>
    </w:p>
    <w:p w:rsidR="003213A4" w:rsidRDefault="003213A4" w:rsidP="0047522B">
      <w:pPr>
        <w:spacing w:line="360" w:lineRule="auto"/>
      </w:pPr>
      <w:r>
        <w:tab/>
      </w:r>
      <w:r>
        <w:tab/>
      </w:r>
      <w:r w:rsidRPr="003213A4">
        <w:t>Under the Settlement, the Joint Petitioners request that the Commission find the revenues and expenses associated with default supply procurement for residential customers not be included in transmission or distribution</w:t>
      </w:r>
      <w:r>
        <w:t xml:space="preserve"> costs for ratemaking purposes</w:t>
      </w:r>
      <w:r w:rsidRPr="003213A4">
        <w:t xml:space="preserve"> (Settlement ¶11).  This Settlement provision is in the public interest</w:t>
      </w:r>
      <w:r>
        <w:t>,</w:t>
      </w:r>
      <w:r w:rsidRPr="003213A4">
        <w:t xml:space="preserve"> because it will avoid potential controversy in later proceedings.</w:t>
      </w:r>
    </w:p>
    <w:p w:rsidR="003213A4" w:rsidRDefault="003213A4" w:rsidP="0047522B">
      <w:pPr>
        <w:spacing w:line="360" w:lineRule="auto"/>
      </w:pPr>
    </w:p>
    <w:p w:rsidR="003213A4" w:rsidRDefault="003213A4" w:rsidP="0047522B">
      <w:pPr>
        <w:spacing w:line="360" w:lineRule="auto"/>
      </w:pPr>
      <w:r>
        <w:lastRenderedPageBreak/>
        <w:tab/>
      </w:r>
      <w:r>
        <w:tab/>
      </w:r>
      <w:r w:rsidR="001F33C8" w:rsidRPr="001F33C8">
        <w:t>In addition, the Settlement clarifies that Duquesne Light Holdings (“DLH”) will provide credit support to Duquesne Light for power procurement purposes (Settlement ¶31).  As it explained in this proceeding, the Company believes its current financial services agreement allows DLH to provide credit support to Duquesne Light for these purposes</w:t>
      </w:r>
      <w:r w:rsidR="001F33C8">
        <w:t xml:space="preserve"> (Duquesne Light St. </w:t>
      </w:r>
      <w:r w:rsidR="001F33C8" w:rsidRPr="001F33C8">
        <w:t>2</w:t>
      </w:r>
      <w:r w:rsidR="001F33C8">
        <w:t xml:space="preserve"> at</w:t>
      </w:r>
      <w:r w:rsidR="001F33C8" w:rsidRPr="001F33C8">
        <w:t xml:space="preserve"> 6-7).  However, the Settlement clarifies this to avoid potential controversy.</w:t>
      </w:r>
    </w:p>
    <w:p w:rsidR="001F33C8" w:rsidRDefault="001F33C8" w:rsidP="0047522B">
      <w:pPr>
        <w:spacing w:line="360" w:lineRule="auto"/>
      </w:pPr>
    </w:p>
    <w:p w:rsidR="001F33C8" w:rsidRDefault="001F33C8" w:rsidP="0047522B">
      <w:pPr>
        <w:spacing w:line="360" w:lineRule="auto"/>
      </w:pPr>
      <w:r>
        <w:tab/>
        <w:t>6.</w:t>
      </w:r>
      <w:r>
        <w:tab/>
      </w:r>
      <w:r>
        <w:rPr>
          <w:u w:val="single"/>
        </w:rPr>
        <w:t>Requested Necessary Findings</w:t>
      </w:r>
    </w:p>
    <w:p w:rsidR="001F33C8" w:rsidRDefault="001F33C8" w:rsidP="0047522B">
      <w:pPr>
        <w:spacing w:line="360" w:lineRule="auto"/>
      </w:pPr>
    </w:p>
    <w:p w:rsidR="001F33C8" w:rsidRDefault="001F33C8" w:rsidP="0047522B">
      <w:pPr>
        <w:spacing w:line="360" w:lineRule="auto"/>
      </w:pPr>
      <w:r>
        <w:tab/>
      </w:r>
      <w:r>
        <w:tab/>
      </w:r>
      <w:r w:rsidR="002526AC" w:rsidRPr="002526AC">
        <w:t>Under the Settlement, the Joint Petitioners request that the Commission make the necessary findings set forth under Section 2807(e)(3.7) of the Public Utility Code when approving this Settlement.  Specifically, the Joint Petitioners request that the Commission find that:</w:t>
      </w:r>
    </w:p>
    <w:p w:rsidR="00C24185" w:rsidRDefault="00C24185" w:rsidP="0047522B">
      <w:pPr>
        <w:spacing w:line="360" w:lineRule="auto"/>
      </w:pPr>
    </w:p>
    <w:p w:rsidR="00C24185" w:rsidRDefault="00C24185" w:rsidP="009F4903">
      <w:pPr>
        <w:pStyle w:val="ListParagraph"/>
        <w:numPr>
          <w:ilvl w:val="1"/>
          <w:numId w:val="4"/>
        </w:numPr>
        <w:spacing w:line="360" w:lineRule="auto"/>
        <w:ind w:right="1440"/>
      </w:pPr>
      <w:r w:rsidRPr="00C24185">
        <w:t>Duquesne Light’s Plan includes prudent steps necessary to negotiate favorable generation supply contracts;</w:t>
      </w:r>
    </w:p>
    <w:p w:rsidR="009F4903" w:rsidRDefault="009F4903" w:rsidP="009F4903">
      <w:pPr>
        <w:pStyle w:val="ListParagraph"/>
        <w:spacing w:line="360" w:lineRule="auto"/>
        <w:ind w:left="1440" w:right="1440"/>
      </w:pPr>
    </w:p>
    <w:p w:rsidR="009F4903" w:rsidRDefault="009F4903" w:rsidP="009F4903">
      <w:pPr>
        <w:pStyle w:val="ListParagraph"/>
        <w:numPr>
          <w:ilvl w:val="1"/>
          <w:numId w:val="4"/>
        </w:numPr>
        <w:spacing w:line="360" w:lineRule="auto"/>
        <w:ind w:right="1440"/>
      </w:pPr>
      <w:r w:rsidRPr="009F4903">
        <w:t>Duquesne Light’s Plan includes prudent steps necessary to obtain least cost generation supply contracts on a long-term, short-term and spot market basis; and</w:t>
      </w:r>
    </w:p>
    <w:p w:rsidR="009F4903" w:rsidRDefault="009F4903" w:rsidP="009F4903">
      <w:pPr>
        <w:pStyle w:val="ListParagraph"/>
      </w:pPr>
    </w:p>
    <w:p w:rsidR="009F4903" w:rsidRDefault="00287C83" w:rsidP="009F4903">
      <w:pPr>
        <w:pStyle w:val="ListParagraph"/>
        <w:numPr>
          <w:ilvl w:val="1"/>
          <w:numId w:val="4"/>
        </w:numPr>
        <w:spacing w:line="360" w:lineRule="auto"/>
        <w:ind w:right="1440"/>
      </w:pPr>
      <w:r>
        <w:t>Neither Duquesne Light nor</w:t>
      </w:r>
      <w:r w:rsidR="00107E62" w:rsidRPr="00107E62">
        <w:t xml:space="preserve"> its affiliated interests have withheld from the market any generation supply in a manner that violates </w:t>
      </w:r>
      <w:r w:rsidR="005850B4">
        <w:t>F</w:t>
      </w:r>
      <w:r w:rsidR="00107E62" w:rsidRPr="00107E62">
        <w:t>ederal law.</w:t>
      </w:r>
    </w:p>
    <w:p w:rsidR="00107E62" w:rsidRDefault="00107E62" w:rsidP="00107E62">
      <w:pPr>
        <w:pStyle w:val="ListParagraph"/>
      </w:pPr>
    </w:p>
    <w:p w:rsidR="00107E62" w:rsidRDefault="008C3B80" w:rsidP="008C3B80">
      <w:pPr>
        <w:spacing w:line="360" w:lineRule="auto"/>
        <w:ind w:firstLine="1080"/>
      </w:pPr>
      <w:r w:rsidRPr="008C3B80">
        <w:t>With respect to (a) above, Duquesne Light explain</w:t>
      </w:r>
      <w:r>
        <w:t>s</w:t>
      </w:r>
      <w:r w:rsidRPr="008C3B80">
        <w:t xml:space="preserve"> that its plan includes prudent steps to negotiate favorable generation supply contracts.  For residential and lighting customers, Duquesne Light will actively approach multiple wholesale suppliers and negotiate arms length, competitive, bilateral contracts for supply.  Duquesne Light will not enter into bilateral contracts with affiliates.  For Small and Medium C&amp;I customers, Duquesne Light will conduct RFPs for full requirements contracts.  In addition, for Large C&amp;I customers, Duquesne Light will acquire </w:t>
      </w:r>
      <w:r w:rsidRPr="008C3B80">
        <w:lastRenderedPageBreak/>
        <w:t xml:space="preserve">supplies in the PJM day-ahead market.  Based on the foregoing, Duquesne Light </w:t>
      </w:r>
      <w:r>
        <w:t>suggests</w:t>
      </w:r>
      <w:r w:rsidRPr="008C3B80">
        <w:t xml:space="preserve"> that its plan, as agreed to under the Settlement, includes prudent steps to negotiate favorable generation supply contracts.</w:t>
      </w:r>
    </w:p>
    <w:p w:rsidR="008C3B80" w:rsidRDefault="008C3B80" w:rsidP="008C3B80">
      <w:pPr>
        <w:spacing w:line="360" w:lineRule="auto"/>
      </w:pPr>
    </w:p>
    <w:p w:rsidR="008C3B80" w:rsidRDefault="008C3B80" w:rsidP="008C3B80">
      <w:pPr>
        <w:spacing w:line="360" w:lineRule="auto"/>
      </w:pPr>
      <w:r>
        <w:tab/>
      </w:r>
      <w:r>
        <w:tab/>
      </w:r>
      <w:r w:rsidR="009438D4" w:rsidRPr="009438D4">
        <w:t xml:space="preserve">With respect to (b) above, the Settlement adopts a </w:t>
      </w:r>
      <w:r w:rsidR="009438D4">
        <w:t>p</w:t>
      </w:r>
      <w:r w:rsidR="009438D4" w:rsidRPr="009438D4">
        <w:t>lan that includes a prudent mix of long-term, short-term and spot market supplies.  Duquesne Light will enter into a mix of contracts of varying lengths and purchase spot supplies for its default service customers.  In addition, the Joint Petitioners agree to a collaborative to attempt to develop a consensus on the specific parameters of Duquesne Light’s long term renewable energy procurement plan.</w:t>
      </w:r>
    </w:p>
    <w:p w:rsidR="009438D4" w:rsidRDefault="009438D4" w:rsidP="008C3B80">
      <w:pPr>
        <w:spacing w:line="360" w:lineRule="auto"/>
      </w:pPr>
    </w:p>
    <w:p w:rsidR="009438D4" w:rsidRDefault="009438D4" w:rsidP="008C3B80">
      <w:pPr>
        <w:spacing w:line="360" w:lineRule="auto"/>
      </w:pPr>
      <w:r>
        <w:tab/>
      </w:r>
      <w:r>
        <w:tab/>
      </w:r>
      <w:r w:rsidR="00F23C8D" w:rsidRPr="00F23C8D">
        <w:t xml:space="preserve">Under Section 2807(e)(3.4), </w:t>
      </w:r>
      <w:r w:rsidR="00F23C8D">
        <w:t xml:space="preserve">Duquesne Light notes </w:t>
      </w:r>
      <w:r w:rsidR="00F23C8D" w:rsidRPr="00F23C8D">
        <w:t>the prudent mix of contracts must be designed to ensure adequate and reliable service and least cost to customers over time.  Duquesne Light explain</w:t>
      </w:r>
      <w:r w:rsidR="00EC63C3">
        <w:t>s</w:t>
      </w:r>
      <w:r w:rsidR="00F23C8D" w:rsidRPr="00F23C8D">
        <w:t xml:space="preserve"> that it will ensure adequate and reliable service to customers.  In addition, the Company will procure a prudent mix of </w:t>
      </w:r>
      <w:r w:rsidR="00497477" w:rsidRPr="00F23C8D">
        <w:t>contracts that meet the least cost over time standard and take</w:t>
      </w:r>
      <w:r w:rsidR="00F23C8D" w:rsidRPr="00F23C8D">
        <w:t xml:space="preserve"> into account the benefits of price stabil</w:t>
      </w:r>
      <w:r w:rsidR="00EC63C3">
        <w:t xml:space="preserve">ity as required by Act 129 </w:t>
      </w:r>
      <w:r w:rsidR="00F23C8D" w:rsidRPr="00F23C8D">
        <w:t>(Duquesne Light St. 2</w:t>
      </w:r>
      <w:r w:rsidR="00EC63C3">
        <w:t xml:space="preserve"> at</w:t>
      </w:r>
      <w:r w:rsidR="00F23C8D" w:rsidRPr="00F23C8D">
        <w:t xml:space="preserve"> 7-22; Duquesne Light St. 3</w:t>
      </w:r>
      <w:r w:rsidR="003F3ECA">
        <w:t xml:space="preserve"> at</w:t>
      </w:r>
      <w:r w:rsidR="00F23C8D" w:rsidRPr="00F23C8D">
        <w:t xml:space="preserve"> </w:t>
      </w:r>
      <w:r w:rsidR="003F3ECA">
        <w:t>3-9).  The Company also provides</w:t>
      </w:r>
      <w:r w:rsidR="00F23C8D" w:rsidRPr="00F23C8D">
        <w:t xml:space="preserve"> a detailed quantitative analysis of the costs to provide similar fixed price default service</w:t>
      </w:r>
      <w:r w:rsidR="003F3ECA">
        <w:t>,</w:t>
      </w:r>
      <w:r w:rsidR="00F23C8D" w:rsidRPr="00F23C8D">
        <w:t xml:space="preserve"> further demonstrat</w:t>
      </w:r>
      <w:r w:rsidR="003F3ECA">
        <w:t>ing</w:t>
      </w:r>
      <w:r w:rsidR="00F23C8D" w:rsidRPr="00F23C8D">
        <w:t xml:space="preserve"> that the supply rates for residential and lighting customers in the Settlement are least cost over time taking into account the significant price stability benefits of the product </w:t>
      </w:r>
      <w:r w:rsidR="003F3ECA">
        <w:t>being offered</w:t>
      </w:r>
      <w:r w:rsidR="00F23C8D" w:rsidRPr="00F23C8D">
        <w:t xml:space="preserve"> (Duquesne Light St. 3</w:t>
      </w:r>
      <w:r w:rsidR="003F3ECA">
        <w:t xml:space="preserve"> at 26-49; Duquesne Light St. 3-R at</w:t>
      </w:r>
      <w:r w:rsidR="00F23C8D" w:rsidRPr="00F23C8D">
        <w:t xml:space="preserve"> 9-16, 18-19, 24-37).</w:t>
      </w:r>
    </w:p>
    <w:p w:rsidR="0003115B" w:rsidRDefault="0003115B" w:rsidP="008C3B80">
      <w:pPr>
        <w:spacing w:line="360" w:lineRule="auto"/>
      </w:pPr>
    </w:p>
    <w:p w:rsidR="003F3ECA" w:rsidRDefault="003F3ECA" w:rsidP="008C3B80">
      <w:pPr>
        <w:spacing w:line="360" w:lineRule="auto"/>
      </w:pPr>
      <w:r>
        <w:tab/>
      </w:r>
      <w:r>
        <w:tab/>
      </w:r>
      <w:r w:rsidR="00653625" w:rsidRPr="00653625">
        <w:t>With respect to (c) above, Duquesne Light indicate</w:t>
      </w:r>
      <w:r w:rsidR="00653625">
        <w:t>s</w:t>
      </w:r>
      <w:r w:rsidR="00653625" w:rsidRPr="00653625">
        <w:t xml:space="preserve"> that it owned no generation resources and that its affiliates in aggregate own less than 0.07% of</w:t>
      </w:r>
      <w:r w:rsidR="00653625">
        <w:t xml:space="preserve"> the generation capacity in PJM</w:t>
      </w:r>
      <w:r w:rsidR="00653625" w:rsidRPr="00653625">
        <w:t xml:space="preserve"> (Duquesne Light St. 2</w:t>
      </w:r>
      <w:r w:rsidR="00653625">
        <w:t xml:space="preserve"> at</w:t>
      </w:r>
      <w:r w:rsidR="00653625" w:rsidRPr="00653625">
        <w:t xml:space="preserve"> 17).  The Company and its affiliates have not withheld from the market any generation supply in a manner that relates </w:t>
      </w:r>
      <w:r w:rsidR="005826DD">
        <w:t xml:space="preserve">to </w:t>
      </w:r>
      <w:r w:rsidR="00653625" w:rsidRPr="00653625">
        <w:t xml:space="preserve">federal law, and it is clear that the </w:t>
      </w:r>
      <w:r w:rsidR="005826DD">
        <w:t>p</w:t>
      </w:r>
      <w:r w:rsidR="00653625" w:rsidRPr="00653625">
        <w:t>lan in no way violates federal law.</w:t>
      </w:r>
    </w:p>
    <w:p w:rsidR="005826DD" w:rsidRDefault="005826DD" w:rsidP="008C3B80">
      <w:pPr>
        <w:spacing w:line="360" w:lineRule="auto"/>
      </w:pPr>
    </w:p>
    <w:p w:rsidR="005826DD" w:rsidRDefault="005826DD" w:rsidP="008C3B80">
      <w:pPr>
        <w:spacing w:line="360" w:lineRule="auto"/>
      </w:pPr>
      <w:r>
        <w:tab/>
      </w:r>
      <w:r>
        <w:tab/>
        <w:t xml:space="preserve">In conclusion, </w:t>
      </w:r>
      <w:r w:rsidR="00B24835" w:rsidRPr="00B24835">
        <w:t>Duquesne Light believes that a fair and reasonable compromise has been achieved in this case, as is evident by the fact that all Joint Petitioners, including</w:t>
      </w:r>
      <w:r w:rsidR="00B24835">
        <w:t xml:space="preserve"> the Company</w:t>
      </w:r>
      <w:r w:rsidR="00B24835" w:rsidRPr="00B24835">
        <w:t xml:space="preserve">, OTS, OCA, OSBA, the EGSs, wholesale suppliers and others have reached an </w:t>
      </w:r>
      <w:r w:rsidR="00B24835" w:rsidRPr="00B24835">
        <w:lastRenderedPageBreak/>
        <w:t xml:space="preserve">agreement on all issues in this proceeding.  Duquesne Light fully supports this Settlement and respectfully requests that </w:t>
      </w:r>
      <w:r w:rsidR="00B24835">
        <w:t xml:space="preserve">the ALJ </w:t>
      </w:r>
      <w:r w:rsidR="00B24835" w:rsidRPr="00B24835">
        <w:t>and the Commission expeditiously review and approve the Settlement in its entirety.</w:t>
      </w:r>
    </w:p>
    <w:p w:rsidR="00F77B50" w:rsidRDefault="00F77B50" w:rsidP="008C3B80">
      <w:pPr>
        <w:spacing w:line="360" w:lineRule="auto"/>
      </w:pPr>
    </w:p>
    <w:p w:rsidR="00F77B50" w:rsidRDefault="00F77B50" w:rsidP="008C3B80">
      <w:pPr>
        <w:spacing w:line="360" w:lineRule="auto"/>
      </w:pPr>
      <w:r>
        <w:t>B.</w:t>
      </w:r>
      <w:r>
        <w:tab/>
      </w:r>
      <w:r>
        <w:rPr>
          <w:u w:val="single"/>
        </w:rPr>
        <w:t>OCA’s Position</w:t>
      </w:r>
    </w:p>
    <w:p w:rsidR="00F77B50" w:rsidRDefault="00F77B50" w:rsidP="008C3B80">
      <w:pPr>
        <w:spacing w:line="360" w:lineRule="auto"/>
      </w:pPr>
    </w:p>
    <w:p w:rsidR="00F77B50" w:rsidRDefault="004831BD" w:rsidP="008C3B80">
      <w:pPr>
        <w:spacing w:line="360" w:lineRule="auto"/>
      </w:pPr>
      <w:r>
        <w:tab/>
      </w:r>
      <w:r>
        <w:tab/>
        <w:t xml:space="preserve">The OCA also </w:t>
      </w:r>
      <w:r w:rsidR="00012AE7" w:rsidRPr="00012AE7">
        <w:t xml:space="preserve">requests that the terms and conditions of the Settlement be approved by the ALJ and the Commission.  The OCA submits the proposed Settlement is in the public interest and in the interests of the </w:t>
      </w:r>
      <w:r w:rsidR="00012AE7">
        <w:t>r</w:t>
      </w:r>
      <w:r w:rsidR="00012AE7" w:rsidRPr="00012AE7">
        <w:t>esidential customers of Duquesne Light</w:t>
      </w:r>
      <w:r w:rsidR="00012AE7">
        <w:t>.</w:t>
      </w:r>
    </w:p>
    <w:p w:rsidR="00012AE7" w:rsidRDefault="00012AE7" w:rsidP="008C3B80">
      <w:pPr>
        <w:spacing w:line="360" w:lineRule="auto"/>
      </w:pPr>
    </w:p>
    <w:p w:rsidR="00012AE7" w:rsidRDefault="00012AE7" w:rsidP="008C3B80">
      <w:pPr>
        <w:spacing w:line="360" w:lineRule="auto"/>
      </w:pPr>
      <w:r>
        <w:tab/>
      </w:r>
      <w:r>
        <w:tab/>
      </w:r>
      <w:r w:rsidR="00392CB1" w:rsidRPr="00392CB1">
        <w:t xml:space="preserve">Under the Settlement, Duquesne will be providing </w:t>
      </w:r>
      <w:r w:rsidR="00392CB1">
        <w:t>a fixed rate service for the 29</w:t>
      </w:r>
      <w:r w:rsidR="00392CB1">
        <w:noBreakHyphen/>
      </w:r>
      <w:r w:rsidR="00392CB1" w:rsidRPr="00392CB1">
        <w:t xml:space="preserve">month period beginning January 1, 2011, and ending May 31, 2013.  The rates contained in the Settlement are the same as the rates contained in the Company’s filing.  For the regular residential class (Rate RS), the Company proposes to charge a flat rate of 7.860 cents/kWh for the 29-month period </w:t>
      </w:r>
      <w:r w:rsidR="00392CB1">
        <w:t>(</w:t>
      </w:r>
      <w:r w:rsidR="00392CB1" w:rsidRPr="00392CB1">
        <w:t>Duquesne St. 4, Exh. WVP-1</w:t>
      </w:r>
      <w:r w:rsidR="00392CB1">
        <w:t>)</w:t>
      </w:r>
      <w:r w:rsidR="00392CB1" w:rsidRPr="00392CB1">
        <w:t xml:space="preserve">.  This represents a 9.8% increase over the current generation portion of the bill of 7.156 cents/kWh.  </w:t>
      </w:r>
      <w:r w:rsidR="00392CB1" w:rsidRPr="006D79AE">
        <w:rPr>
          <w:i/>
        </w:rPr>
        <w:t>Id</w:t>
      </w:r>
      <w:r w:rsidR="00392CB1" w:rsidRPr="00392CB1">
        <w:t>.  On a total bill basis (including distribution and transmission), Rate RS customers will see an increase from 13.87 cents/kWh to 14.57</w:t>
      </w:r>
      <w:r w:rsidR="006D79AE">
        <w:t xml:space="preserve"> cents/kWh, an increase of 5.1%</w:t>
      </w:r>
      <w:r w:rsidR="00392CB1" w:rsidRPr="00392CB1">
        <w:t xml:space="preserve"> </w:t>
      </w:r>
      <w:r w:rsidR="006D79AE">
        <w:t>(</w:t>
      </w:r>
      <w:r w:rsidR="00392CB1" w:rsidRPr="00392CB1">
        <w:t>Duquesne St. 4, Exh. WVP-2; Duquesne St. 1 at 19</w:t>
      </w:r>
      <w:r w:rsidR="006D79AE">
        <w:t>)</w:t>
      </w:r>
      <w:r w:rsidR="00392CB1" w:rsidRPr="00392CB1">
        <w:t xml:space="preserve">.  For Rate RH residential heating customers, the Company also proposes to charge the same flat rate of 7.860 cents/kWh for the 29-month period </w:t>
      </w:r>
      <w:r w:rsidR="006D79AE">
        <w:t>(</w:t>
      </w:r>
      <w:r w:rsidR="00392CB1" w:rsidRPr="00392CB1">
        <w:t>Duquesne St. 4, Exh. WVP-1</w:t>
      </w:r>
      <w:r w:rsidR="006D79AE">
        <w:t>)</w:t>
      </w:r>
      <w:r w:rsidR="00392CB1" w:rsidRPr="00392CB1">
        <w:t xml:space="preserve">.  This represents a 14% increase over the current generation portion of the RH Rate of 6.895 cents/kWh.  </w:t>
      </w:r>
      <w:r w:rsidR="00392CB1" w:rsidRPr="006D79AE">
        <w:rPr>
          <w:i/>
        </w:rPr>
        <w:t>Id</w:t>
      </w:r>
      <w:r w:rsidR="00392CB1" w:rsidRPr="00392CB1">
        <w:t>.  On a total bill basis, Rate RH customers will see an increase from 11.54 cents/kWh to 12.50</w:t>
      </w:r>
      <w:r w:rsidR="006D79AE">
        <w:t xml:space="preserve"> cents/kWh, an increase of 8.4%</w:t>
      </w:r>
      <w:r w:rsidR="00392CB1" w:rsidRPr="00392CB1">
        <w:t xml:space="preserve"> </w:t>
      </w:r>
      <w:r w:rsidR="006D79AE">
        <w:t>(</w:t>
      </w:r>
      <w:r w:rsidR="00392CB1" w:rsidRPr="00392CB1">
        <w:t>Duquesne St. 4, Exh. WVP-2</w:t>
      </w:r>
      <w:r w:rsidR="006D79AE">
        <w:t>)</w:t>
      </w:r>
      <w:r w:rsidR="00392CB1" w:rsidRPr="00392CB1">
        <w:t xml:space="preserve">.  The Company will not be requesting reconciliation of its generation supply charges for the </w:t>
      </w:r>
      <w:r w:rsidR="0043754B">
        <w:t>r</w:t>
      </w:r>
      <w:r w:rsidR="00392CB1" w:rsidRPr="00392CB1">
        <w:t xml:space="preserve">esidential </w:t>
      </w:r>
      <w:r w:rsidR="0043754B">
        <w:t>p</w:t>
      </w:r>
      <w:r w:rsidR="00392CB1" w:rsidRPr="00392CB1">
        <w:t xml:space="preserve">lan </w:t>
      </w:r>
      <w:r w:rsidR="0043754B">
        <w:t>(</w:t>
      </w:r>
      <w:r w:rsidR="00392CB1" w:rsidRPr="00392CB1">
        <w:t>Duquesne St. 1 at 16</w:t>
      </w:r>
      <w:r w:rsidR="0043754B">
        <w:t>)</w:t>
      </w:r>
      <w:r w:rsidR="00392CB1" w:rsidRPr="00392CB1">
        <w:t>.</w:t>
      </w:r>
    </w:p>
    <w:p w:rsidR="0043754B" w:rsidRDefault="0043754B" w:rsidP="008C3B80">
      <w:pPr>
        <w:spacing w:line="360" w:lineRule="auto"/>
      </w:pPr>
    </w:p>
    <w:p w:rsidR="0043754B" w:rsidRDefault="0043754B" w:rsidP="008C3B80">
      <w:pPr>
        <w:spacing w:line="360" w:lineRule="auto"/>
      </w:pPr>
      <w:r>
        <w:tab/>
      </w:r>
      <w:r>
        <w:tab/>
      </w:r>
      <w:r w:rsidR="001305DE" w:rsidRPr="001305DE">
        <w:t xml:space="preserve">The Company’s default service plan builds upon the success of its prior POLR arrangements.  Duquesne </w:t>
      </w:r>
      <w:r w:rsidR="001305DE">
        <w:t xml:space="preserve">Light </w:t>
      </w:r>
      <w:r w:rsidR="001305DE" w:rsidRPr="001305DE">
        <w:t xml:space="preserve">was the first major EDC in Pennsylvania to provide service to its customers after its rate caps expired in 2002 </w:t>
      </w:r>
      <w:r w:rsidR="001305DE">
        <w:t>(</w:t>
      </w:r>
      <w:r w:rsidR="001305DE" w:rsidRPr="001305DE">
        <w:t>Duquesne St. 1 at 8-9</w:t>
      </w:r>
      <w:r w:rsidR="001305DE">
        <w:t>)</w:t>
      </w:r>
      <w:r w:rsidR="001305DE" w:rsidRPr="001305DE">
        <w:t xml:space="preserve">.  Since that time, the Company has provided stable rates and avoided significant price disruptions.  For residential </w:t>
      </w:r>
      <w:r w:rsidR="001305DE" w:rsidRPr="001305DE">
        <w:lastRenderedPageBreak/>
        <w:t xml:space="preserve">customers, prices initially decreased upon the expiration of rate caps </w:t>
      </w:r>
      <w:r w:rsidR="001305DE">
        <w:t>(</w:t>
      </w:r>
      <w:r w:rsidR="001305DE" w:rsidRPr="001305DE">
        <w:t>Duquesne St. 1 at 9</w:t>
      </w:r>
      <w:r w:rsidR="001305DE">
        <w:t>)</w:t>
      </w:r>
      <w:r w:rsidR="001305DE" w:rsidRPr="001305DE">
        <w:t xml:space="preserve">.  In subsequent POLR plans, residential customers have seen gradual increases in their fixed-price default generation service.  </w:t>
      </w:r>
      <w:r w:rsidR="001305DE" w:rsidRPr="001305DE">
        <w:rPr>
          <w:i/>
        </w:rPr>
        <w:t>Id</w:t>
      </w:r>
      <w:r w:rsidR="001305DE" w:rsidRPr="001305DE">
        <w:t>. at 10.  During this period, Duquesne</w:t>
      </w:r>
      <w:r w:rsidR="001305DE">
        <w:t xml:space="preserve"> Light</w:t>
      </w:r>
      <w:r w:rsidR="001305DE" w:rsidRPr="001305DE">
        <w:t xml:space="preserve">’s retail market for residential customers developed to serve the largest sustained percentage of customers under any major EDC in Pennsylvania </w:t>
      </w:r>
      <w:r w:rsidR="001305DE">
        <w:t>(</w:t>
      </w:r>
      <w:r w:rsidR="001305DE" w:rsidRPr="001305DE">
        <w:t>Dominion Retail St. 1-R at 3-4; Duquesne St. 1-R at 4</w:t>
      </w:r>
      <w:r w:rsidR="001305DE">
        <w:t>)</w:t>
      </w:r>
      <w:r w:rsidR="001305DE" w:rsidRPr="001305DE">
        <w:t xml:space="preserve">.  The Settlement will allow Duquesne </w:t>
      </w:r>
      <w:r w:rsidR="00F5736D">
        <w:t xml:space="preserve">Light </w:t>
      </w:r>
      <w:r w:rsidR="001305DE" w:rsidRPr="001305DE">
        <w:t xml:space="preserve">to continue to serve </w:t>
      </w:r>
      <w:r w:rsidR="00F5736D" w:rsidRPr="001305DE">
        <w:t xml:space="preserve">residential </w:t>
      </w:r>
      <w:r w:rsidR="001305DE" w:rsidRPr="001305DE">
        <w:t>customers under a fixed-price service without significant price disruptions.  The Company has provided its customers with a measured and reasonable default service through its transition to retail competition, and the current Settlement provides the Company with the ability to continue this process.</w:t>
      </w:r>
    </w:p>
    <w:p w:rsidR="00F5736D" w:rsidRDefault="00F5736D" w:rsidP="008C3B80">
      <w:pPr>
        <w:spacing w:line="360" w:lineRule="auto"/>
      </w:pPr>
    </w:p>
    <w:p w:rsidR="00F5736D" w:rsidRDefault="00F5736D" w:rsidP="008C3B80">
      <w:pPr>
        <w:spacing w:line="360" w:lineRule="auto"/>
      </w:pPr>
      <w:r>
        <w:tab/>
      </w:r>
      <w:r>
        <w:tab/>
      </w:r>
      <w:r w:rsidR="00C32F5E" w:rsidRPr="00C32F5E">
        <w:t>The OCA submits the rate stability contained in the Company’s POLR plans since expiration of its rate caps, and provided for in this Settlement, is of great benefit for Duquesne</w:t>
      </w:r>
      <w:r w:rsidR="00E05D6B">
        <w:t xml:space="preserve"> Light</w:t>
      </w:r>
      <w:r w:rsidR="00C32F5E" w:rsidRPr="00C32F5E">
        <w:t xml:space="preserve">’s residential ratepayers.  The rate stability in the plan is unique among Pennsylvania’s electric utilities.  The OCA further submits that Act 129 places a clear emphasis on the stability of rates. The Settlement follows the mandates of Act 129 to ensure adequate and reliable service to customers and achieve least cost to customers over time.  </w:t>
      </w:r>
      <w:r w:rsidR="00C32F5E" w:rsidRPr="00E05D6B">
        <w:rPr>
          <w:i/>
        </w:rPr>
        <w:t>See</w:t>
      </w:r>
      <w:r w:rsidR="00E05D6B">
        <w:t>,</w:t>
      </w:r>
      <w:r w:rsidR="00C32F5E" w:rsidRPr="00C32F5E">
        <w:t xml:space="preserve"> 66 Pa. C.S. §2807(e)(3.4).</w:t>
      </w:r>
    </w:p>
    <w:p w:rsidR="00E05D6B" w:rsidRDefault="00E05D6B" w:rsidP="008C3B80">
      <w:pPr>
        <w:spacing w:line="360" w:lineRule="auto"/>
      </w:pPr>
    </w:p>
    <w:p w:rsidR="00E05D6B" w:rsidRDefault="00E05D6B" w:rsidP="008C3B80">
      <w:pPr>
        <w:spacing w:line="360" w:lineRule="auto"/>
      </w:pPr>
      <w:r>
        <w:tab/>
      </w:r>
      <w:r>
        <w:tab/>
      </w:r>
      <w:r w:rsidR="004F0211" w:rsidRPr="004F0211">
        <w:t xml:space="preserve">In particular, in passing Act 129, the General Assembly placed new restrictions on the ability of a default supplier to change its default rates.  Notably, the Act prohibits a default supplier from changing their residential default rate more frequently than on a quarterly basis. </w:t>
      </w:r>
      <w:r w:rsidR="004F0211" w:rsidRPr="004F0211">
        <w:rPr>
          <w:i/>
        </w:rPr>
        <w:t>See</w:t>
      </w:r>
      <w:r w:rsidR="004F0211">
        <w:t>,</w:t>
      </w:r>
      <w:r w:rsidR="004F0211" w:rsidRPr="004F0211">
        <w:t xml:space="preserve"> 66 Pa. C.S. §2807(e)(7).   Although it could have done so, the General Assembly did not place any restraints on a default supplier from maintaining stable rates for longer periods.  Indeed, the Act repeatedly states a preference for affordable and stable rates over time.  This Settlem</w:t>
      </w:r>
      <w:r w:rsidR="004F0211">
        <w:t>ent, and its provision for a 29-</w:t>
      </w:r>
      <w:r w:rsidR="004F0211" w:rsidRPr="004F0211">
        <w:t>month fixed rate, clearly meets the goals of the Act in this regard.  OCA witness Dr. Steven Estomin, testified to the value of price stability, as follows:</w:t>
      </w:r>
    </w:p>
    <w:p w:rsidR="004F0211" w:rsidRDefault="004F0211" w:rsidP="008C3B80">
      <w:pPr>
        <w:spacing w:line="360" w:lineRule="auto"/>
      </w:pPr>
    </w:p>
    <w:p w:rsidR="004F0211" w:rsidRDefault="00850A4C" w:rsidP="004F0211">
      <w:pPr>
        <w:ind w:left="1440" w:right="1440"/>
      </w:pPr>
      <w:r w:rsidRPr="00850A4C">
        <w:t xml:space="preserve">Of principal importance is the benefit to residential consumers associated with a stable price over the course of the 29-month DLC Default Service plan period.  Price stability is generally viewed as a highly desirable quality of residential utility service. Pennsylvania recently enacted Act 129 of 2008 which specifically </w:t>
      </w:r>
      <w:r w:rsidRPr="00850A4C">
        <w:lastRenderedPageBreak/>
        <w:t>identifies as one of its objectives the promotion of electric service “at the least cost, taking into account any benefits of price stability, over time.”  The structure of the DLC proposal for residential Default Service is consistent with the Act 129 objective…</w:t>
      </w:r>
    </w:p>
    <w:p w:rsidR="00850A4C" w:rsidRDefault="00850A4C" w:rsidP="00850A4C"/>
    <w:p w:rsidR="00850A4C" w:rsidRDefault="00850A4C" w:rsidP="00850A4C"/>
    <w:p w:rsidR="00850A4C" w:rsidRDefault="005766C5" w:rsidP="00850A4C">
      <w:pPr>
        <w:spacing w:line="360" w:lineRule="auto"/>
      </w:pPr>
      <w:r>
        <w:t>(</w:t>
      </w:r>
      <w:r w:rsidRPr="005766C5">
        <w:t>OCA St. 1 at 3-4</w:t>
      </w:r>
      <w:r>
        <w:t>).</w:t>
      </w:r>
    </w:p>
    <w:p w:rsidR="005766C5" w:rsidRDefault="005766C5" w:rsidP="00850A4C">
      <w:pPr>
        <w:spacing w:line="360" w:lineRule="auto"/>
      </w:pPr>
    </w:p>
    <w:p w:rsidR="005766C5" w:rsidRDefault="005766C5" w:rsidP="00850A4C">
      <w:pPr>
        <w:spacing w:line="360" w:lineRule="auto"/>
      </w:pPr>
      <w:r>
        <w:tab/>
      </w:r>
      <w:r>
        <w:tab/>
      </w:r>
      <w:r w:rsidRPr="005766C5">
        <w:t xml:space="preserve">In addition, the Company’s plan for </w:t>
      </w:r>
      <w:r>
        <w:t>r</w:t>
      </w:r>
      <w:r w:rsidRPr="005766C5">
        <w:t xml:space="preserve">esidential </w:t>
      </w:r>
      <w:r>
        <w:t>c</w:t>
      </w:r>
      <w:r w:rsidRPr="005766C5">
        <w:t>ustomers meets the requirements of Act 129 with regard to the procurement of power supplies.  To achieve this goal, Act 129 specifically provides for a prudent mix of products:</w:t>
      </w:r>
    </w:p>
    <w:p w:rsidR="005766C5" w:rsidRDefault="005766C5" w:rsidP="00850A4C">
      <w:pPr>
        <w:spacing w:line="360" w:lineRule="auto"/>
      </w:pPr>
    </w:p>
    <w:p w:rsidR="005766C5" w:rsidRDefault="00E169EB" w:rsidP="00E169EB">
      <w:pPr>
        <w:ind w:left="1440" w:right="1440"/>
      </w:pPr>
      <w:r w:rsidRPr="00E169EB">
        <w:t>The electric power procured…shall include a prudent mix of the following:</w:t>
      </w:r>
    </w:p>
    <w:p w:rsidR="00E169EB" w:rsidRDefault="00E169EB" w:rsidP="00E169EB">
      <w:pPr>
        <w:ind w:left="1440" w:right="1440"/>
      </w:pPr>
    </w:p>
    <w:p w:rsidR="00E169EB" w:rsidRDefault="00E169EB" w:rsidP="00E169EB">
      <w:pPr>
        <w:ind w:left="1440" w:right="1440"/>
      </w:pPr>
      <w:r w:rsidRPr="00E169EB">
        <w:t>(i) spot market purchases; (ii) short-term contracts; (iii) long-term purchase contracts, entered into as a result of an auction, request for proposal or bilateral contract…of more than four and not more than 20 years.... Long-term purchase contracts under this subparagraph may not constitute more than 25% of the default service provider’s projected default service load unless the Commission, after a hearing, determines for good cause that a greater portion of load is necessary to achieve least cost procurement.</w:t>
      </w:r>
    </w:p>
    <w:p w:rsidR="00856D07" w:rsidRDefault="00856D07" w:rsidP="00856D07"/>
    <w:p w:rsidR="00856D07" w:rsidRDefault="00856D07" w:rsidP="00856D07"/>
    <w:p w:rsidR="00856D07" w:rsidRDefault="00856D07" w:rsidP="00856D07">
      <w:pPr>
        <w:spacing w:line="360" w:lineRule="auto"/>
      </w:pPr>
      <w:r w:rsidRPr="00856D07">
        <w:rPr>
          <w:i/>
        </w:rPr>
        <w:t>Id</w:t>
      </w:r>
      <w:r>
        <w:t>. at §</w:t>
      </w:r>
      <w:r w:rsidRPr="00856D07">
        <w:t>3.2.</w:t>
      </w:r>
    </w:p>
    <w:p w:rsidR="00856D07" w:rsidRDefault="00856D07" w:rsidP="00856D07">
      <w:pPr>
        <w:spacing w:line="360" w:lineRule="auto"/>
      </w:pPr>
    </w:p>
    <w:p w:rsidR="00856D07" w:rsidRDefault="00856D07" w:rsidP="00856D07">
      <w:pPr>
        <w:spacing w:line="360" w:lineRule="auto"/>
      </w:pPr>
      <w:r>
        <w:tab/>
      </w:r>
      <w:r>
        <w:tab/>
      </w:r>
      <w:r w:rsidR="00890A6E">
        <w:t xml:space="preserve">The OCA explains </w:t>
      </w:r>
      <w:r w:rsidR="00890A6E" w:rsidRPr="00890A6E">
        <w:t>the Company’s plan meets this requirement:</w:t>
      </w:r>
    </w:p>
    <w:p w:rsidR="00890A6E" w:rsidRDefault="00890A6E" w:rsidP="00856D07">
      <w:pPr>
        <w:spacing w:line="360" w:lineRule="auto"/>
      </w:pPr>
    </w:p>
    <w:p w:rsidR="00890A6E" w:rsidRDefault="00890A6E" w:rsidP="00890A6E">
      <w:pPr>
        <w:ind w:left="1440" w:right="1440"/>
      </w:pPr>
      <w:r w:rsidRPr="00890A6E">
        <w:t xml:space="preserve">Act 129 at Paragraph 3.7 directs the Commission to consider whether “the default service provider has obtained a prudent mix of contracts to obtain least cost on a long-term, short-term and spot market basis….”  DLC has stated, through the Testimony of James E. Wilson, that the Company plans to rely on a mix of bilateral contracts of varying durations plus spot market purchases to meet the residential Default Service load requirement.  (Testimony of James E. Wilson, p. 14)  Bilateral contracts used as part of the residential power supply portfolio to be assembled by DLC will be </w:t>
      </w:r>
      <w:r w:rsidRPr="00890A6E">
        <w:lastRenderedPageBreak/>
        <w:t>comprised of multi-year contracts (25 percent to 40 percent), annual contracts (25 percent to 40 percent), and seasonal and monthly contracts (15 percent to 30 percent) for varying products (e.g., peak and off-peak power).  Spot market purchases will represent between 5 percent and 15 percent of the portfolio.  (Testimony of James E. Wilson, pp. 14-15)  DLC has also indicated that it will consider unit-contingent power supply contracts and also include use of certain financial instruments as part of the portfolio.  (Testimony of James E. Wilson, p. 15)  Further, since DLC has proposed a fixed-cost Default Service arrangement, the Company has every incentive to secure these supplies at least cost.</w:t>
      </w:r>
    </w:p>
    <w:p w:rsidR="00F87D10" w:rsidRDefault="00F87D10" w:rsidP="00F87D10"/>
    <w:p w:rsidR="00F87D10" w:rsidRDefault="00F87D10" w:rsidP="00F87D10"/>
    <w:p w:rsidR="00F87D10" w:rsidRDefault="00F87D10" w:rsidP="00F87D10">
      <w:pPr>
        <w:spacing w:line="360" w:lineRule="auto"/>
      </w:pPr>
      <w:r>
        <w:t>(</w:t>
      </w:r>
      <w:r w:rsidRPr="00F87D10">
        <w:t>OCA St. 1 at 4</w:t>
      </w:r>
      <w:r>
        <w:t>)</w:t>
      </w:r>
      <w:r w:rsidRPr="00F87D10">
        <w:t>.  The OCA submits the Settlement will provide the proper incentives for the Company to secure these supplies at least cost, thus meeting the requirements of Act 129.</w:t>
      </w:r>
    </w:p>
    <w:p w:rsidR="00F87D10" w:rsidRDefault="00F87D10" w:rsidP="00F87D10">
      <w:pPr>
        <w:spacing w:line="360" w:lineRule="auto"/>
      </w:pPr>
    </w:p>
    <w:p w:rsidR="00F87D10" w:rsidRDefault="00F87D10" w:rsidP="00F87D10">
      <w:pPr>
        <w:spacing w:line="360" w:lineRule="auto"/>
      </w:pPr>
      <w:r>
        <w:tab/>
      </w:r>
      <w:r>
        <w:tab/>
      </w:r>
      <w:r w:rsidR="0018069C" w:rsidRPr="0018069C">
        <w:t xml:space="preserve">The OCA has long supported a managed portfolio approach as the means to achieve the lowest cost for residential customers over the long term.  A managed portfolio approach that relies on a diverse array of long-term, short-term and spot market products can diversify and reduce risk, provide stable and reasonable rates, respond to changes in market conditions, and enhance competition.  </w:t>
      </w:r>
      <w:r w:rsidR="0018069C">
        <w:t xml:space="preserve">The OCA opines </w:t>
      </w:r>
      <w:r w:rsidR="0018069C" w:rsidRPr="0018069C">
        <w:t xml:space="preserve">Duquesne’s </w:t>
      </w:r>
      <w:r w:rsidR="0018069C">
        <w:t>p</w:t>
      </w:r>
      <w:r w:rsidR="0018069C" w:rsidRPr="0018069C">
        <w:t xml:space="preserve">lan for </w:t>
      </w:r>
      <w:r w:rsidR="0018069C">
        <w:t>r</w:t>
      </w:r>
      <w:r w:rsidR="0018069C" w:rsidRPr="0018069C">
        <w:t>esidential customers achieves these objectives and fully complies with Act 129.</w:t>
      </w:r>
    </w:p>
    <w:p w:rsidR="0018069C" w:rsidRDefault="0018069C" w:rsidP="00F87D10">
      <w:pPr>
        <w:spacing w:line="360" w:lineRule="auto"/>
      </w:pPr>
    </w:p>
    <w:p w:rsidR="0018069C" w:rsidRDefault="0018069C" w:rsidP="00F87D10">
      <w:pPr>
        <w:spacing w:line="360" w:lineRule="auto"/>
      </w:pPr>
      <w:r>
        <w:tab/>
      </w:r>
      <w:r>
        <w:tab/>
      </w:r>
      <w:r w:rsidR="000E7527" w:rsidRPr="000E7527">
        <w:t xml:space="preserve">In order to provide a fixed-price service for </w:t>
      </w:r>
      <w:r w:rsidR="000E7527">
        <w:t>r</w:t>
      </w:r>
      <w:r w:rsidR="000E7527" w:rsidRPr="000E7527">
        <w:t xml:space="preserve">esidential customers, the Company undertook an evaluation of market conditions to arrive a rate that would both reflect market conditions and allow Duquesne </w:t>
      </w:r>
      <w:r w:rsidR="000E7527">
        <w:t xml:space="preserve">Light </w:t>
      </w:r>
      <w:r w:rsidR="000E7527" w:rsidRPr="000E7527">
        <w:t>the ability to lock in prices for 29 months.  The Company’s price analysis for residential customers was contained in Duquesne St. 3.  While the OCA had concerns that the price may be too high, several parties submitted testimony that the price offered by the Company may be too low.  Ultimately, the parties agreed to settle at the residential price filed by the Company – a price that was supported by</w:t>
      </w:r>
      <w:r w:rsidR="000E7527">
        <w:t xml:space="preserve"> Duquesne Light’s </w:t>
      </w:r>
      <w:r w:rsidR="000E7527" w:rsidRPr="000E7527">
        <w:t>analysis and provides for a reasonable 29-month rate for the service.</w:t>
      </w:r>
    </w:p>
    <w:p w:rsidR="000E7527" w:rsidRDefault="000E7527" w:rsidP="00F87D10">
      <w:pPr>
        <w:spacing w:line="360" w:lineRule="auto"/>
      </w:pPr>
    </w:p>
    <w:p w:rsidR="000E7527" w:rsidRDefault="000E7527" w:rsidP="00F87D10">
      <w:pPr>
        <w:spacing w:line="360" w:lineRule="auto"/>
      </w:pPr>
      <w:r>
        <w:lastRenderedPageBreak/>
        <w:tab/>
      </w:r>
      <w:r>
        <w:tab/>
      </w:r>
      <w:r w:rsidR="00E93371" w:rsidRPr="00E93371">
        <w:t>The OCA submits the residential price filed by the Company and included in the Settlement is within the reasonable range of market prices.  The price falls in the middle of those offered in testimony by the parties.  The OCA further submits the price is reasonable given the price certainty benefits that customers will enjoy through May 31, 2013.</w:t>
      </w:r>
      <w:r w:rsidR="003D4F48">
        <w:rPr>
          <w:rStyle w:val="FootnoteReference"/>
        </w:rPr>
        <w:footnoteReference w:id="8"/>
      </w:r>
      <w:r w:rsidR="00E93371" w:rsidRPr="00E93371">
        <w:t xml:space="preserve">   Under the Settlement, Duquesne’s residential customers will continue to enjoy rate certainty and stability that has been the hallmark of Duquesne</w:t>
      </w:r>
      <w:r w:rsidR="00E93371">
        <w:t xml:space="preserve"> Light</w:t>
      </w:r>
      <w:r w:rsidR="00E93371" w:rsidRPr="00E93371">
        <w:t>’s successful default service program.</w:t>
      </w:r>
    </w:p>
    <w:p w:rsidR="00E93371" w:rsidRDefault="00E93371" w:rsidP="00F87D10">
      <w:pPr>
        <w:spacing w:line="360" w:lineRule="auto"/>
      </w:pPr>
    </w:p>
    <w:p w:rsidR="00E93371" w:rsidRDefault="00E93371" w:rsidP="00F87D10">
      <w:pPr>
        <w:spacing w:line="360" w:lineRule="auto"/>
      </w:pPr>
      <w:r>
        <w:tab/>
      </w:r>
      <w:r>
        <w:tab/>
      </w:r>
      <w:r w:rsidR="003D4F48" w:rsidRPr="003D4F48">
        <w:t>In addition to the price certainty offered for default service customers, the Settlement provides reasonable, cost-effective solutions to increasing residential participation in the retail market.  In Section III.D of the Settlement, “Market Enhancements,” the parties agree to several initiatives that have the potential to bring additional opportunities for Duquesne</w:t>
      </w:r>
      <w:r w:rsidR="003D4F48">
        <w:t xml:space="preserve"> Light</w:t>
      </w:r>
      <w:r w:rsidR="003D4F48" w:rsidRPr="003D4F48">
        <w:t xml:space="preserve">’s </w:t>
      </w:r>
      <w:r w:rsidR="003D4F48">
        <w:t>r</w:t>
      </w:r>
      <w:r w:rsidR="003D4F48" w:rsidRPr="003D4F48">
        <w:t>esidential customers to be informed of, and participate in, the retail markets.  These programs include:</w:t>
      </w:r>
    </w:p>
    <w:p w:rsidR="003D4F48" w:rsidRDefault="003D4F48" w:rsidP="00F87D10">
      <w:pPr>
        <w:spacing w:line="360" w:lineRule="auto"/>
      </w:pPr>
    </w:p>
    <w:p w:rsidR="003D4F48" w:rsidRDefault="003E6F9D" w:rsidP="003E6F9D">
      <w:pPr>
        <w:pStyle w:val="ListParagraph"/>
        <w:numPr>
          <w:ilvl w:val="0"/>
          <w:numId w:val="9"/>
        </w:numPr>
      </w:pPr>
      <w:r w:rsidRPr="003E6F9D">
        <w:t xml:space="preserve">Provide customers with access to the OCA residential shopping guide via direct link to the OCA website.  The link will be located prominently on the homepage of </w:t>
      </w:r>
      <w:hyperlink r:id="rId11" w:history="1">
        <w:r w:rsidRPr="00BB4F6D">
          <w:rPr>
            <w:rStyle w:val="Hyperlink"/>
          </w:rPr>
          <w:t>http://www.duquesnelight.com/</w:t>
        </w:r>
      </w:hyperlink>
      <w:r w:rsidRPr="003E6F9D">
        <w:t>.</w:t>
      </w:r>
    </w:p>
    <w:p w:rsidR="003E6F9D" w:rsidRDefault="003E6F9D" w:rsidP="003E6F9D">
      <w:pPr>
        <w:pStyle w:val="ListParagraph"/>
      </w:pPr>
    </w:p>
    <w:p w:rsidR="003E6F9D" w:rsidRDefault="003E6F9D" w:rsidP="003E6F9D">
      <w:pPr>
        <w:pStyle w:val="ListParagraph"/>
        <w:numPr>
          <w:ilvl w:val="0"/>
          <w:numId w:val="9"/>
        </w:numPr>
      </w:pPr>
      <w:r w:rsidRPr="003E6F9D">
        <w:t xml:space="preserve">Provide customers with access to the Commission’s new comprehensive website, once it exists, via direct link.  The link will be located prominently on the homepage of http://www.duquesnelight.com/.  Once the new site exists, the parties </w:t>
      </w:r>
      <w:r w:rsidR="00447C9E">
        <w:t xml:space="preserve">will </w:t>
      </w:r>
      <w:r w:rsidRPr="003E6F9D">
        <w:t>discuss whether both the OCA and PUC links should appear on the homepage.</w:t>
      </w:r>
    </w:p>
    <w:p w:rsidR="006B3177" w:rsidRDefault="006B3177" w:rsidP="006B3177"/>
    <w:p w:rsidR="003E6F9D" w:rsidRDefault="00447C9E" w:rsidP="003E6F9D">
      <w:pPr>
        <w:pStyle w:val="ListParagraph"/>
        <w:numPr>
          <w:ilvl w:val="0"/>
          <w:numId w:val="9"/>
        </w:numPr>
      </w:pPr>
      <w:r w:rsidRPr="00447C9E">
        <w:t>On a semi-annual basis, circulate information on Customer Choice, including promoting, via bill inserts/Service Line, the links on its website and any telephonic means for a customer to solicit information about customer choice and retail offers.</w:t>
      </w:r>
    </w:p>
    <w:p w:rsidR="00447C9E" w:rsidRDefault="00447C9E" w:rsidP="00447C9E">
      <w:pPr>
        <w:pStyle w:val="ListParagraph"/>
      </w:pPr>
    </w:p>
    <w:p w:rsidR="00447C9E" w:rsidRDefault="00447C9E" w:rsidP="003E6F9D">
      <w:pPr>
        <w:pStyle w:val="ListParagraph"/>
        <w:numPr>
          <w:ilvl w:val="0"/>
          <w:numId w:val="9"/>
        </w:numPr>
      </w:pPr>
      <w:r w:rsidRPr="00447C9E">
        <w:t xml:space="preserve">In the new customer packet and any other materials relating to new service, Duquesne </w:t>
      </w:r>
      <w:r>
        <w:t xml:space="preserve">Light will </w:t>
      </w:r>
      <w:r w:rsidRPr="00447C9E">
        <w:t>advise new customers upon service initiation of the opportunity to obtain supply from an EGS.  The new customer packet and website area discussing initiation of new service, or transfer of service, will also contain a link to the OCA shopping guide and the new statewide website discussed</w:t>
      </w:r>
      <w:r w:rsidR="005D13CF">
        <w:t xml:space="preserve"> above</w:t>
      </w:r>
      <w:r w:rsidRPr="00447C9E">
        <w:t>.</w:t>
      </w:r>
    </w:p>
    <w:p w:rsidR="005D13CF" w:rsidRDefault="005D13CF" w:rsidP="005D13CF">
      <w:pPr>
        <w:spacing w:line="360" w:lineRule="auto"/>
        <w:ind w:firstLine="1440"/>
      </w:pPr>
      <w:r w:rsidRPr="005D13CF">
        <w:lastRenderedPageBreak/>
        <w:t xml:space="preserve">The Settlement further provides that Duquesne </w:t>
      </w:r>
      <w:r>
        <w:t xml:space="preserve">Light </w:t>
      </w:r>
      <w:r w:rsidRPr="005D13CF">
        <w:t>will implement a competition enhancement program with the following features by January 1, 2011:</w:t>
      </w:r>
    </w:p>
    <w:p w:rsidR="000745B1" w:rsidRDefault="000745B1" w:rsidP="000745B1">
      <w:pPr>
        <w:spacing w:line="360" w:lineRule="auto"/>
      </w:pPr>
    </w:p>
    <w:p w:rsidR="000745B1" w:rsidRDefault="000745B1" w:rsidP="000745B1">
      <w:pPr>
        <w:pStyle w:val="ListParagraph"/>
        <w:numPr>
          <w:ilvl w:val="0"/>
          <w:numId w:val="10"/>
        </w:numPr>
      </w:pPr>
      <w:r w:rsidRPr="000745B1">
        <w:t>Development of a process to inform customers of retail offers posted on the above-referenced websites when customers contact the Duquesne Light customer service center;</w:t>
      </w:r>
    </w:p>
    <w:p w:rsidR="000745B1" w:rsidRDefault="000745B1" w:rsidP="000745B1">
      <w:pPr>
        <w:pStyle w:val="ListParagraph"/>
      </w:pPr>
    </w:p>
    <w:p w:rsidR="000745B1" w:rsidRDefault="000745B1" w:rsidP="000745B1">
      <w:pPr>
        <w:pStyle w:val="ListParagraph"/>
        <w:numPr>
          <w:ilvl w:val="0"/>
          <w:numId w:val="10"/>
        </w:numPr>
      </w:pPr>
      <w:r w:rsidRPr="000745B1">
        <w:t>Development of a process to inform customers of retail offers posted on the above-referenced websites when customers initiate new service or move service to a new location;</w:t>
      </w:r>
    </w:p>
    <w:p w:rsidR="000745B1" w:rsidRDefault="000745B1" w:rsidP="000745B1">
      <w:pPr>
        <w:pStyle w:val="ListParagraph"/>
      </w:pPr>
    </w:p>
    <w:p w:rsidR="000745B1" w:rsidRDefault="0049303D" w:rsidP="000745B1">
      <w:pPr>
        <w:pStyle w:val="ListParagraph"/>
        <w:numPr>
          <w:ilvl w:val="0"/>
          <w:numId w:val="10"/>
        </w:numPr>
      </w:pPr>
      <w:r w:rsidRPr="0049303D">
        <w:t>Circulate information on the competition enhancement programs and posted retail offers via bill inserts/Service Line on at least a semi-annual basis.</w:t>
      </w:r>
    </w:p>
    <w:p w:rsidR="00732237" w:rsidRDefault="00732237" w:rsidP="00732237">
      <w:pPr>
        <w:pStyle w:val="ListParagraph"/>
      </w:pPr>
    </w:p>
    <w:p w:rsidR="00732237" w:rsidRDefault="00732237" w:rsidP="00732237"/>
    <w:p w:rsidR="00732237" w:rsidRDefault="00732237" w:rsidP="002B7339">
      <w:pPr>
        <w:spacing w:line="360" w:lineRule="auto"/>
        <w:ind w:firstLine="1440"/>
      </w:pPr>
      <w:r>
        <w:t xml:space="preserve">The OCA posits each </w:t>
      </w:r>
      <w:r w:rsidR="002B7339" w:rsidRPr="002B7339">
        <w:t>of these programs will provide customers with additional information regarding available supply offers from which they may benefit.  Importantly, the retail enhancements will not burden customers with additional costs to be collected through default rates.  As such, the market enhancements provide a clear benefit for customers.</w:t>
      </w:r>
    </w:p>
    <w:p w:rsidR="002B7339" w:rsidRDefault="002B7339" w:rsidP="002B7339">
      <w:pPr>
        <w:spacing w:line="360" w:lineRule="auto"/>
      </w:pPr>
    </w:p>
    <w:p w:rsidR="002B7339" w:rsidRDefault="002B7339" w:rsidP="002B7339">
      <w:pPr>
        <w:spacing w:line="360" w:lineRule="auto"/>
      </w:pPr>
      <w:r>
        <w:tab/>
      </w:r>
      <w:r>
        <w:tab/>
      </w:r>
      <w:r w:rsidRPr="002B7339">
        <w:t xml:space="preserve">The OCA submits the Settlement provides a reasonable procurement plan with price certainty for residential default service customers.  For the foregoing reasons, the </w:t>
      </w:r>
      <w:r>
        <w:t>OCA finds</w:t>
      </w:r>
      <w:r w:rsidRPr="002B7339">
        <w:t xml:space="preserve"> the proposed Settlement is in the public interest and in the best interest of Duquesne</w:t>
      </w:r>
      <w:r>
        <w:t xml:space="preserve"> Light</w:t>
      </w:r>
      <w:r w:rsidRPr="002B7339">
        <w:t>’s residential ratepayers.</w:t>
      </w:r>
    </w:p>
    <w:p w:rsidR="002B7339" w:rsidRDefault="002B7339" w:rsidP="002B7339">
      <w:pPr>
        <w:spacing w:line="360" w:lineRule="auto"/>
      </w:pPr>
    </w:p>
    <w:p w:rsidR="002B7339" w:rsidRDefault="002B7339" w:rsidP="002B7339">
      <w:pPr>
        <w:spacing w:line="360" w:lineRule="auto"/>
      </w:pPr>
      <w:r>
        <w:t>C.</w:t>
      </w:r>
      <w:r>
        <w:tab/>
      </w:r>
      <w:r w:rsidR="00141824">
        <w:rPr>
          <w:u w:val="single"/>
        </w:rPr>
        <w:t>OSBA’s Position</w:t>
      </w:r>
    </w:p>
    <w:p w:rsidR="00141824" w:rsidRDefault="00141824" w:rsidP="002B7339">
      <w:pPr>
        <w:spacing w:line="360" w:lineRule="auto"/>
      </w:pPr>
    </w:p>
    <w:p w:rsidR="00141824" w:rsidRDefault="00327608" w:rsidP="002B7339">
      <w:pPr>
        <w:spacing w:line="360" w:lineRule="auto"/>
      </w:pPr>
      <w:r>
        <w:tab/>
      </w:r>
      <w:r w:rsidR="00F2352C">
        <w:t>1.</w:t>
      </w:r>
      <w:r w:rsidR="00F2352C">
        <w:tab/>
      </w:r>
      <w:r w:rsidR="00F2352C">
        <w:rPr>
          <w:u w:val="single"/>
        </w:rPr>
        <w:t>Small C&amp;I and Medium C&amp;I Procurement</w:t>
      </w:r>
    </w:p>
    <w:p w:rsidR="00F2352C" w:rsidRDefault="00F2352C" w:rsidP="002B7339">
      <w:pPr>
        <w:spacing w:line="360" w:lineRule="auto"/>
      </w:pPr>
    </w:p>
    <w:p w:rsidR="00F2352C" w:rsidRDefault="00F2352C" w:rsidP="002B7339">
      <w:pPr>
        <w:spacing w:line="360" w:lineRule="auto"/>
      </w:pPr>
      <w:r>
        <w:tab/>
      </w:r>
      <w:r>
        <w:tab/>
        <w:t>a.</w:t>
      </w:r>
      <w:r>
        <w:tab/>
      </w:r>
      <w:r>
        <w:rPr>
          <w:u w:val="single"/>
        </w:rPr>
        <w:t>Summary</w:t>
      </w:r>
    </w:p>
    <w:p w:rsidR="00F2352C" w:rsidRDefault="00F2352C" w:rsidP="002B7339">
      <w:pPr>
        <w:spacing w:line="360" w:lineRule="auto"/>
      </w:pPr>
    </w:p>
    <w:p w:rsidR="00F2352C" w:rsidRDefault="00F2352C" w:rsidP="002B7339">
      <w:pPr>
        <w:spacing w:line="360" w:lineRule="auto"/>
      </w:pPr>
      <w:r>
        <w:tab/>
      </w:r>
      <w:r>
        <w:tab/>
      </w:r>
      <w:r w:rsidRPr="00F2352C">
        <w:t xml:space="preserve">Under the Settlement, </w:t>
      </w:r>
      <w:r>
        <w:t xml:space="preserve">the OSBA notes </w:t>
      </w:r>
      <w:r w:rsidRPr="00F2352C">
        <w:t xml:space="preserve">Duquesne </w:t>
      </w:r>
      <w:r>
        <w:t xml:space="preserve">Light </w:t>
      </w:r>
      <w:r w:rsidRPr="00F2352C">
        <w:t xml:space="preserve">will procure power to provide default service to Small C&amp;I customers (less than 25 kW maximum peak demand) and Medium C&amp;I customers (from 25 kW up to, but not including, 300 kW maximum peak demand) </w:t>
      </w:r>
      <w:r w:rsidRPr="00F2352C">
        <w:lastRenderedPageBreak/>
        <w:t>for the 29-month period commencing January 1, 201</w:t>
      </w:r>
      <w:r w:rsidR="003F6673">
        <w:t>1</w:t>
      </w:r>
      <w:r w:rsidRPr="00F2352C">
        <w:t>, and ending May 31, 2013, through full-requirements contracts (Settlement at 5)</w:t>
      </w:r>
      <w:r w:rsidR="00066B1D">
        <w:t>.</w:t>
      </w:r>
    </w:p>
    <w:p w:rsidR="00066B1D" w:rsidRDefault="00066B1D" w:rsidP="002B7339">
      <w:pPr>
        <w:spacing w:line="360" w:lineRule="auto"/>
      </w:pPr>
    </w:p>
    <w:p w:rsidR="00066B1D" w:rsidRDefault="009A31A1" w:rsidP="002B7339">
      <w:pPr>
        <w:spacing w:line="360" w:lineRule="auto"/>
      </w:pPr>
      <w:r>
        <w:tab/>
      </w:r>
      <w:r>
        <w:tab/>
      </w:r>
      <w:r w:rsidRPr="009A31A1">
        <w:t>Default service rates for Small C&amp;I customers will be based on the results of competitive procurements, revised annually, and subject to reconciliation as set forth in Appendix A to the Settlement.  Default service rates for Medium C&amp;I customers will be based on the results of competitive procurements, revised on a semi-annual basis, and subject to reconciliation as set forth in Appendix A to the Settlement.</w:t>
      </w:r>
    </w:p>
    <w:p w:rsidR="009A31A1" w:rsidRDefault="009A31A1" w:rsidP="002B7339">
      <w:pPr>
        <w:spacing w:line="360" w:lineRule="auto"/>
      </w:pPr>
    </w:p>
    <w:p w:rsidR="009A31A1" w:rsidRDefault="009A31A1" w:rsidP="002B7339">
      <w:pPr>
        <w:spacing w:line="360" w:lineRule="auto"/>
      </w:pPr>
      <w:r>
        <w:tab/>
      </w:r>
      <w:r>
        <w:tab/>
        <w:t>b.</w:t>
      </w:r>
      <w:r>
        <w:tab/>
      </w:r>
      <w:r>
        <w:rPr>
          <w:u w:val="single"/>
        </w:rPr>
        <w:t>Dominion Retail</w:t>
      </w:r>
    </w:p>
    <w:p w:rsidR="009A31A1" w:rsidRDefault="009A31A1" w:rsidP="002B7339">
      <w:pPr>
        <w:spacing w:line="360" w:lineRule="auto"/>
      </w:pPr>
    </w:p>
    <w:p w:rsidR="009A31A1" w:rsidRDefault="009A31A1" w:rsidP="002B7339">
      <w:pPr>
        <w:spacing w:line="360" w:lineRule="auto"/>
      </w:pPr>
      <w:r>
        <w:tab/>
      </w:r>
      <w:r>
        <w:tab/>
      </w:r>
      <w:r w:rsidR="002A6382" w:rsidRPr="002A6382">
        <w:t>Dominion Retail criticized the volatility of Duquesne</w:t>
      </w:r>
      <w:r w:rsidR="002A6382">
        <w:t xml:space="preserve"> Light</w:t>
      </w:r>
      <w:r w:rsidR="002A6382" w:rsidRPr="002A6382">
        <w:t>’s Small C&amp;I proposal, particularly in contrast to the three-year fixed rate provided to that customer group under Duquesne</w:t>
      </w:r>
      <w:r w:rsidR="002A6382">
        <w:t xml:space="preserve"> Light</w:t>
      </w:r>
      <w:r w:rsidR="002A6382" w:rsidRPr="002A6382">
        <w:t xml:space="preserve">’s POLR IV Plan.  </w:t>
      </w:r>
      <w:r w:rsidR="002A6382">
        <w:t>Dominion Retail opined that</w:t>
      </w:r>
      <w:r w:rsidR="002A6382" w:rsidRPr="002A6382">
        <w:t xml:space="preserve"> Small C&amp;I customers want certainty (similar to the fixed rates proposed for residential customers under the POLR V Plan) and that the best interests of small business customers would not be served by forcing them into “a market pricing method that is not stable and that does not take advantage of current prices” (Dominion St</w:t>
      </w:r>
      <w:r w:rsidR="002A6382">
        <w:t>.</w:t>
      </w:r>
      <w:r w:rsidR="00E42E71">
        <w:t xml:space="preserve"> </w:t>
      </w:r>
      <w:r w:rsidR="002A6382" w:rsidRPr="002A6382">
        <w:t>1 at 5)</w:t>
      </w:r>
      <w:r w:rsidR="00E42E71">
        <w:t>.</w:t>
      </w:r>
    </w:p>
    <w:p w:rsidR="00E42E71" w:rsidRDefault="00E42E71" w:rsidP="002B7339">
      <w:pPr>
        <w:spacing w:line="360" w:lineRule="auto"/>
      </w:pPr>
    </w:p>
    <w:p w:rsidR="00E42E71" w:rsidRDefault="00E42E71" w:rsidP="002B7339">
      <w:pPr>
        <w:spacing w:line="360" w:lineRule="auto"/>
      </w:pPr>
      <w:r>
        <w:tab/>
      </w:r>
      <w:r>
        <w:tab/>
      </w:r>
      <w:r w:rsidRPr="00E42E71">
        <w:t>In response to</w:t>
      </w:r>
      <w:r>
        <w:t xml:space="preserve"> this</w:t>
      </w:r>
      <w:r w:rsidRPr="00E42E71">
        <w:t xml:space="preserve"> criticism, </w:t>
      </w:r>
      <w:r>
        <w:t xml:space="preserve">the </w:t>
      </w:r>
      <w:r w:rsidRPr="00E42E71">
        <w:t xml:space="preserve">OSBA clarified that, although it is true that Small C&amp;I rates would not remain fixed for the duration of the 29-month default service period, Duquesne </w:t>
      </w:r>
      <w:r>
        <w:t xml:space="preserve">Light </w:t>
      </w:r>
      <w:r w:rsidRPr="00E42E71">
        <w:t>proposed to adjust Small C&amp;I rates only once per year.  Therefore, under Duquesne</w:t>
      </w:r>
      <w:r>
        <w:t xml:space="preserve"> Light</w:t>
      </w:r>
      <w:r w:rsidRPr="00E42E71">
        <w:t>’s proposal, Small C&amp;I customers would only experience two price adjustments over the life of the 29-month plan (not including the initial price change on January 1, 2</w:t>
      </w:r>
      <w:r>
        <w:t xml:space="preserve">011) </w:t>
      </w:r>
      <w:r w:rsidRPr="00E42E71">
        <w:t>(OSBA St</w:t>
      </w:r>
      <w:r>
        <w:t>.</w:t>
      </w:r>
      <w:r w:rsidRPr="00E42E71">
        <w:t xml:space="preserve"> 2 at 1)</w:t>
      </w:r>
      <w:r>
        <w:t>.</w:t>
      </w:r>
    </w:p>
    <w:p w:rsidR="00E42E71" w:rsidRDefault="00E42E71" w:rsidP="002B7339">
      <w:pPr>
        <w:spacing w:line="360" w:lineRule="auto"/>
      </w:pPr>
    </w:p>
    <w:p w:rsidR="00E42E71" w:rsidRDefault="00D06D5B" w:rsidP="002B7339">
      <w:pPr>
        <w:spacing w:line="360" w:lineRule="auto"/>
      </w:pPr>
      <w:r>
        <w:tab/>
      </w:r>
      <w:r>
        <w:tab/>
        <w:t xml:space="preserve">The OSBA </w:t>
      </w:r>
      <w:r w:rsidRPr="00D06D5B">
        <w:t>also pointed out that Small C&amp;I customers might actually have paid less under the POLR IV Plan</w:t>
      </w:r>
      <w:r>
        <w:t>,</w:t>
      </w:r>
      <w:r w:rsidRPr="00D06D5B">
        <w:t xml:space="preserve"> if their rates had been set by periodic competitive procurements rather than fixed at the start of the three-year period (OSBA St. 2 at 2)</w:t>
      </w:r>
      <w:r>
        <w:t>.</w:t>
      </w:r>
    </w:p>
    <w:p w:rsidR="00D06D5B" w:rsidRDefault="00D06D5B" w:rsidP="002B7339">
      <w:pPr>
        <w:spacing w:line="360" w:lineRule="auto"/>
      </w:pPr>
    </w:p>
    <w:p w:rsidR="00D06D5B" w:rsidRDefault="008D155A" w:rsidP="002B7339">
      <w:pPr>
        <w:spacing w:line="360" w:lineRule="auto"/>
      </w:pPr>
      <w:r>
        <w:lastRenderedPageBreak/>
        <w:tab/>
      </w:r>
      <w:r>
        <w:tab/>
      </w:r>
      <w:r w:rsidRPr="008D155A">
        <w:t>Consistent with</w:t>
      </w:r>
      <w:r>
        <w:t xml:space="preserve"> this latter perspective</w:t>
      </w:r>
      <w:r w:rsidRPr="008D155A">
        <w:t xml:space="preserve">, </w:t>
      </w:r>
      <w:r>
        <w:t xml:space="preserve">the OSBA notes </w:t>
      </w:r>
      <w:r w:rsidRPr="008D155A">
        <w:t>the Settlement rejects</w:t>
      </w:r>
      <w:r>
        <w:t xml:space="preserve"> Dominion Retail’s initial position </w:t>
      </w:r>
      <w:r w:rsidRPr="008D155A">
        <w:t>and accepts Duquesne</w:t>
      </w:r>
      <w:r>
        <w:t xml:space="preserve"> Light</w:t>
      </w:r>
      <w:r w:rsidRPr="008D155A">
        <w:t>’s Small C&amp;I proposal.</w:t>
      </w:r>
    </w:p>
    <w:p w:rsidR="008D155A" w:rsidRDefault="008D155A" w:rsidP="002B7339">
      <w:pPr>
        <w:spacing w:line="360" w:lineRule="auto"/>
      </w:pPr>
    </w:p>
    <w:p w:rsidR="008D155A" w:rsidRDefault="008D155A" w:rsidP="002B7339">
      <w:pPr>
        <w:spacing w:line="360" w:lineRule="auto"/>
      </w:pPr>
      <w:r>
        <w:tab/>
      </w:r>
      <w:r>
        <w:tab/>
        <w:t>c.</w:t>
      </w:r>
      <w:r>
        <w:tab/>
      </w:r>
      <w:r w:rsidR="00C95628">
        <w:rPr>
          <w:u w:val="single"/>
        </w:rPr>
        <w:t>RESA</w:t>
      </w:r>
    </w:p>
    <w:p w:rsidR="00C95628" w:rsidRDefault="00C95628" w:rsidP="002B7339">
      <w:pPr>
        <w:spacing w:line="360" w:lineRule="auto"/>
      </w:pPr>
    </w:p>
    <w:p w:rsidR="00C95628" w:rsidRDefault="00C95628" w:rsidP="002B7339">
      <w:pPr>
        <w:spacing w:line="360" w:lineRule="auto"/>
      </w:pPr>
      <w:r>
        <w:tab/>
      </w:r>
      <w:r>
        <w:tab/>
      </w:r>
      <w:r w:rsidR="00195E44" w:rsidRPr="00195E44">
        <w:t xml:space="preserve">In direct testimony, RESA took issue with the 12-month contracts proposed by Duquesne </w:t>
      </w:r>
      <w:r w:rsidR="00195E44">
        <w:t xml:space="preserve">Light </w:t>
      </w:r>
      <w:r w:rsidR="00195E44" w:rsidRPr="00195E44">
        <w:t>to serve Medium C&amp;I customers.  Specifically,</w:t>
      </w:r>
      <w:r w:rsidR="00195E44">
        <w:t xml:space="preserve"> RESA</w:t>
      </w:r>
      <w:r w:rsidR="00195E44" w:rsidRPr="00195E44">
        <w:t xml:space="preserve"> recommended that the Company’s procurement mix “be modified to include at least 50 percent of six month contracts” to make the Company’s default servic</w:t>
      </w:r>
      <w:r w:rsidR="00195E44">
        <w:t>e rates more market-responsive</w:t>
      </w:r>
      <w:r w:rsidR="00195E44" w:rsidRPr="00195E44">
        <w:t xml:space="preserve"> (RESA St. 1)</w:t>
      </w:r>
      <w:r w:rsidR="00195E44">
        <w:t>.</w:t>
      </w:r>
    </w:p>
    <w:p w:rsidR="00195E44" w:rsidRDefault="00195E44" w:rsidP="002B7339">
      <w:pPr>
        <w:spacing w:line="360" w:lineRule="auto"/>
      </w:pPr>
    </w:p>
    <w:p w:rsidR="00195E44" w:rsidRDefault="00195E44" w:rsidP="002B7339">
      <w:pPr>
        <w:spacing w:line="360" w:lineRule="auto"/>
      </w:pPr>
      <w:r>
        <w:tab/>
      </w:r>
      <w:r>
        <w:tab/>
      </w:r>
      <w:r w:rsidR="001939A5" w:rsidRPr="001939A5">
        <w:t xml:space="preserve">In rebuttal testimony, </w:t>
      </w:r>
      <w:r w:rsidR="001939A5">
        <w:t xml:space="preserve">the </w:t>
      </w:r>
      <w:r w:rsidR="001939A5" w:rsidRPr="001939A5">
        <w:t>OSBA opposed RESA’s recommendation on numerous grounds.  First, contrary to RESA’s representation, Duquesne</w:t>
      </w:r>
      <w:r w:rsidR="001939A5">
        <w:t xml:space="preserve"> Light</w:t>
      </w:r>
      <w:r w:rsidR="001939A5" w:rsidRPr="001939A5">
        <w:t>’s proposed Medium C&amp;I plan included contracts of shorter-terms than 12 months (</w:t>
      </w:r>
      <w:r w:rsidR="001939A5" w:rsidRPr="001939A5">
        <w:rPr>
          <w:i/>
        </w:rPr>
        <w:t>i.e.</w:t>
      </w:r>
      <w:r w:rsidR="001939A5" w:rsidRPr="001939A5">
        <w:t>, 5-month and 11-month contracts).  Second, RESA’s proposal ignored the evidence of significant shopping among Medium C&amp;I customers in Duquesne</w:t>
      </w:r>
      <w:r w:rsidR="001939A5">
        <w:t xml:space="preserve"> Light</w:t>
      </w:r>
      <w:r w:rsidR="001939A5" w:rsidRPr="001939A5">
        <w:t>’s service territory.  Third, Act 129 eliminated the “prevailing market prices” legal standard for default service procurement.  As such, there is no legal requirement that Duquesne</w:t>
      </w:r>
      <w:r w:rsidR="001939A5">
        <w:t xml:space="preserve"> Light</w:t>
      </w:r>
      <w:r w:rsidR="001939A5" w:rsidRPr="001939A5">
        <w:t xml:space="preserve">’s Medium C&amp;I procurement plan produce “more responsive default service rates,” </w:t>
      </w:r>
      <w:r w:rsidR="001939A5" w:rsidRPr="001939A5">
        <w:rPr>
          <w:i/>
        </w:rPr>
        <w:t>i.e.</w:t>
      </w:r>
      <w:r w:rsidR="001939A5" w:rsidRPr="001939A5">
        <w:t>, track prevailing market prices more closely than through the 5-month, 11-month, and 12-month contracts proposed by Duquesne</w:t>
      </w:r>
      <w:r w:rsidR="001939A5">
        <w:t xml:space="preserve"> Light</w:t>
      </w:r>
      <w:r w:rsidR="001939A5" w:rsidRPr="001939A5">
        <w:t xml:space="preserve"> (OSBA St</w:t>
      </w:r>
      <w:r w:rsidR="001939A5">
        <w:t xml:space="preserve">. </w:t>
      </w:r>
      <w:r w:rsidR="001939A5" w:rsidRPr="001939A5">
        <w:t>2 at 3)</w:t>
      </w:r>
      <w:r w:rsidR="001939A5">
        <w:t>.</w:t>
      </w:r>
    </w:p>
    <w:p w:rsidR="001939A5" w:rsidRDefault="001939A5" w:rsidP="002B7339">
      <w:pPr>
        <w:spacing w:line="360" w:lineRule="auto"/>
      </w:pPr>
    </w:p>
    <w:p w:rsidR="001939A5" w:rsidRDefault="001939A5" w:rsidP="002B7339">
      <w:pPr>
        <w:spacing w:line="360" w:lineRule="auto"/>
      </w:pPr>
      <w:r>
        <w:tab/>
      </w:r>
      <w:r>
        <w:tab/>
        <w:t xml:space="preserve">The OSBA </w:t>
      </w:r>
      <w:r w:rsidR="007867DD" w:rsidRPr="007867DD">
        <w:t xml:space="preserve">also pointed out that in order to include 6-month contracts, RESA had proposed a procurement schedule which would, on two separate occasions, require Duquesne </w:t>
      </w:r>
      <w:r w:rsidR="007867DD">
        <w:t xml:space="preserve">Light </w:t>
      </w:r>
      <w:r w:rsidR="007867DD" w:rsidRPr="007867DD">
        <w:t xml:space="preserve">to purchase 100% of the supply requirements for Medium C&amp;I customers at a single point in time.  </w:t>
      </w:r>
      <w:r w:rsidR="007867DD">
        <w:t>T</w:t>
      </w:r>
      <w:r w:rsidR="007867DD" w:rsidRPr="007867DD">
        <w:t xml:space="preserve">he </w:t>
      </w:r>
      <w:r w:rsidR="007867DD">
        <w:t xml:space="preserve">OSBA notes the </w:t>
      </w:r>
      <w:r w:rsidR="007867DD" w:rsidRPr="007867DD">
        <w:t>purchase of 100% of the Medium C&amp;I supply requirements at a single point in time would expose those customers to an unnecessary and avoidable price risk, such as occurred when Pike County Light &amp; Power Company</w:t>
      </w:r>
      <w:r w:rsidR="001A0EF6">
        <w:t xml:space="preserve"> </w:t>
      </w:r>
      <w:r w:rsidR="00BC5DCF">
        <w:t xml:space="preserve">(“Pike”) </w:t>
      </w:r>
      <w:r w:rsidR="007867DD" w:rsidRPr="007867DD">
        <w:t>procured 100% of its default service supply in the immediate aftermath of Hurricane Katr</w:t>
      </w:r>
      <w:r w:rsidR="001A0EF6">
        <w:t xml:space="preserve">ina’s impact on energy prices </w:t>
      </w:r>
      <w:r w:rsidR="007867DD" w:rsidRPr="007867DD">
        <w:t>(OSBA St. 2 at 4)</w:t>
      </w:r>
      <w:r w:rsidR="001A0EF6">
        <w:t>.</w:t>
      </w:r>
    </w:p>
    <w:p w:rsidR="001A0EF6" w:rsidRDefault="001A0EF6" w:rsidP="002B7339">
      <w:pPr>
        <w:spacing w:line="360" w:lineRule="auto"/>
      </w:pPr>
    </w:p>
    <w:p w:rsidR="001A0EF6" w:rsidRDefault="001A0EF6" w:rsidP="002B7339">
      <w:pPr>
        <w:spacing w:line="360" w:lineRule="auto"/>
      </w:pPr>
      <w:r>
        <w:lastRenderedPageBreak/>
        <w:tab/>
      </w:r>
      <w:r>
        <w:tab/>
      </w:r>
      <w:r w:rsidR="00A22CBC" w:rsidRPr="00A22CBC">
        <w:t>Consistent with</w:t>
      </w:r>
      <w:r w:rsidR="00A22CBC">
        <w:t xml:space="preserve"> the OSBA’s position</w:t>
      </w:r>
      <w:r w:rsidR="00A22CBC" w:rsidRPr="00A22CBC">
        <w:t>, the Settlement rejects RESA’s recommendation for 6-month contracts and accepts Duquesne</w:t>
      </w:r>
      <w:r w:rsidR="00A22CBC">
        <w:t xml:space="preserve"> Light</w:t>
      </w:r>
      <w:r w:rsidR="00A22CBC" w:rsidRPr="00A22CBC">
        <w:t xml:space="preserve">’s filed proposal.  The </w:t>
      </w:r>
      <w:r w:rsidR="00A22CBC">
        <w:t xml:space="preserve">OSBA suggests the </w:t>
      </w:r>
      <w:r w:rsidR="00A22CBC" w:rsidRPr="00A22CBC">
        <w:t>resulting schedule of procurements for Medium C&amp;I customers (set forth in Appendix A to the Settlement) will provide market-sensitive rates without exposing Medium C&amp;I customers to unnecessary and avoidable price risk, such as occurred with Pike.</w:t>
      </w:r>
    </w:p>
    <w:p w:rsidR="00307E3F" w:rsidRDefault="00307E3F" w:rsidP="002B7339">
      <w:pPr>
        <w:spacing w:line="360" w:lineRule="auto"/>
      </w:pPr>
    </w:p>
    <w:p w:rsidR="00307E3F" w:rsidRDefault="00307E3F" w:rsidP="002B7339">
      <w:pPr>
        <w:spacing w:line="360" w:lineRule="auto"/>
      </w:pPr>
      <w:r>
        <w:tab/>
        <w:t>2.</w:t>
      </w:r>
      <w:r>
        <w:tab/>
      </w:r>
      <w:r>
        <w:rPr>
          <w:u w:val="single"/>
        </w:rPr>
        <w:t>Purchase of Receivables</w:t>
      </w:r>
    </w:p>
    <w:p w:rsidR="00307E3F" w:rsidRDefault="00307E3F" w:rsidP="002B7339">
      <w:pPr>
        <w:spacing w:line="360" w:lineRule="auto"/>
      </w:pPr>
    </w:p>
    <w:p w:rsidR="00307E3F" w:rsidRDefault="00307E3F" w:rsidP="002B7339">
      <w:pPr>
        <w:spacing w:line="360" w:lineRule="auto"/>
      </w:pPr>
      <w:r>
        <w:tab/>
      </w:r>
      <w:r>
        <w:tab/>
      </w:r>
      <w:r w:rsidRPr="00307E3F">
        <w:t xml:space="preserve">Duquesne </w:t>
      </w:r>
      <w:r w:rsidR="00660EC2">
        <w:t xml:space="preserve">Light </w:t>
      </w:r>
      <w:r w:rsidRPr="00307E3F">
        <w:t xml:space="preserve">currently has a POR program for residential and Small C&amp;I customers.  Duquesne </w:t>
      </w:r>
      <w:r w:rsidR="00660EC2">
        <w:t xml:space="preserve">Light </w:t>
      </w:r>
      <w:r w:rsidRPr="00307E3F">
        <w:t>is precluded under the current POR program from recovering any</w:t>
      </w:r>
      <w:r w:rsidR="00660EC2">
        <w:t xml:space="preserve"> collection shortfalls in rates</w:t>
      </w:r>
      <w:r w:rsidRPr="00307E3F">
        <w:t xml:space="preserve"> and the Company did not try to modify this important feature of the POR program in this proceeding (OSBA St. 2 at 5)</w:t>
      </w:r>
      <w:r w:rsidR="00660EC2">
        <w:t>.</w:t>
      </w:r>
      <w:r w:rsidRPr="00307E3F">
        <w:t xml:space="preserve">  However, in </w:t>
      </w:r>
      <w:r w:rsidR="00660EC2">
        <w:t xml:space="preserve">its </w:t>
      </w:r>
      <w:r w:rsidRPr="00307E3F">
        <w:t>direct testimony, RESA recommended modifications to the Company’s POR, which would have broadened the POR program to include Medium C&amp;I customers, reduced the administrative component of the discount rate, and established a separate discount rate for Medium C&amp;I customers that is lower than the existing discou</w:t>
      </w:r>
      <w:r w:rsidR="00660EC2">
        <w:t>nt rate for Small C&amp;I customers</w:t>
      </w:r>
      <w:r w:rsidRPr="00307E3F">
        <w:t xml:space="preserve"> (RESA St</w:t>
      </w:r>
      <w:r w:rsidR="00660EC2">
        <w:t>.</w:t>
      </w:r>
      <w:r w:rsidRPr="00307E3F">
        <w:t xml:space="preserve"> 1 at 29-31)</w:t>
      </w:r>
      <w:r w:rsidR="00660EC2">
        <w:t>.</w:t>
      </w:r>
    </w:p>
    <w:p w:rsidR="00660EC2" w:rsidRDefault="00660EC2" w:rsidP="002B7339">
      <w:pPr>
        <w:spacing w:line="360" w:lineRule="auto"/>
      </w:pPr>
    </w:p>
    <w:p w:rsidR="00660EC2" w:rsidRDefault="008D4922" w:rsidP="002B7339">
      <w:pPr>
        <w:spacing w:line="360" w:lineRule="auto"/>
      </w:pPr>
      <w:r>
        <w:tab/>
      </w:r>
      <w:r>
        <w:tab/>
      </w:r>
      <w:r w:rsidRPr="008D4922">
        <w:t xml:space="preserve">In rebuttal, </w:t>
      </w:r>
      <w:r>
        <w:t xml:space="preserve">the </w:t>
      </w:r>
      <w:r w:rsidRPr="008D4922">
        <w:t xml:space="preserve">OSBA opposed RESA’s proposed changes without assurances that Duquesne </w:t>
      </w:r>
      <w:r>
        <w:t xml:space="preserve">Light </w:t>
      </w:r>
      <w:r w:rsidRPr="008D4922">
        <w:t>would continue to be prohibited from recovering any resulting collecti</w:t>
      </w:r>
      <w:r>
        <w:t>on shortfall in rates</w:t>
      </w:r>
      <w:r w:rsidRPr="008D4922">
        <w:t xml:space="preserve"> (OSBA St. 2 at 5)</w:t>
      </w:r>
      <w:r>
        <w:t>.</w:t>
      </w:r>
    </w:p>
    <w:p w:rsidR="008D4922" w:rsidRDefault="008D4922" w:rsidP="002B7339">
      <w:pPr>
        <w:spacing w:line="360" w:lineRule="auto"/>
      </w:pPr>
    </w:p>
    <w:p w:rsidR="008D4922" w:rsidRDefault="008D4922" w:rsidP="002B7339">
      <w:pPr>
        <w:spacing w:line="360" w:lineRule="auto"/>
      </w:pPr>
      <w:r>
        <w:tab/>
      </w:r>
      <w:r>
        <w:tab/>
      </w:r>
      <w:r w:rsidR="00DC658E" w:rsidRPr="00DC658E">
        <w:t xml:space="preserve">The Settlement expands and revises the existing POR program.  However, the Settlement makes clear that the Company will continue to be prohibited from recovering any </w:t>
      </w:r>
      <w:r w:rsidR="00DC658E">
        <w:t>collection shortfalls in rates</w:t>
      </w:r>
      <w:r w:rsidR="00DC658E" w:rsidRPr="00DC658E">
        <w:t xml:space="preserve"> (Settlement at 10)</w:t>
      </w:r>
      <w:r w:rsidR="00DC658E">
        <w:t>.</w:t>
      </w:r>
    </w:p>
    <w:p w:rsidR="00DC658E" w:rsidRDefault="00DC658E" w:rsidP="002B7339">
      <w:pPr>
        <w:spacing w:line="360" w:lineRule="auto"/>
      </w:pPr>
    </w:p>
    <w:p w:rsidR="00DC658E" w:rsidRDefault="00DC658E" w:rsidP="002B7339">
      <w:pPr>
        <w:spacing w:line="360" w:lineRule="auto"/>
      </w:pPr>
      <w:r>
        <w:tab/>
        <w:t>3.</w:t>
      </w:r>
      <w:r>
        <w:tab/>
      </w:r>
      <w:r>
        <w:rPr>
          <w:u w:val="single"/>
        </w:rPr>
        <w:t>Disclosure of Procurement Results</w:t>
      </w:r>
    </w:p>
    <w:p w:rsidR="00DC658E" w:rsidRDefault="00DC658E" w:rsidP="002B7339">
      <w:pPr>
        <w:spacing w:line="360" w:lineRule="auto"/>
      </w:pPr>
    </w:p>
    <w:p w:rsidR="00DC658E" w:rsidRDefault="00DC658E" w:rsidP="002B7339">
      <w:pPr>
        <w:spacing w:line="360" w:lineRule="auto"/>
      </w:pPr>
      <w:r>
        <w:tab/>
      </w:r>
      <w:r>
        <w:tab/>
      </w:r>
      <w:r w:rsidR="00AD4D35" w:rsidRPr="00AD4D35">
        <w:t xml:space="preserve">In direct testimony, </w:t>
      </w:r>
      <w:r w:rsidR="00AD4D35">
        <w:t xml:space="preserve">the </w:t>
      </w:r>
      <w:r w:rsidR="00AD4D35" w:rsidRPr="00AD4D35">
        <w:t xml:space="preserve">OSBA recommended that Duquesne </w:t>
      </w:r>
      <w:r w:rsidR="00AD4D35">
        <w:t xml:space="preserve">Light </w:t>
      </w:r>
      <w:r w:rsidR="00AD4D35" w:rsidRPr="00AD4D35">
        <w:t>be required to report its procurement results publicly.  As</w:t>
      </w:r>
      <w:r w:rsidR="00AD4D35">
        <w:t xml:space="preserve"> the OSBA</w:t>
      </w:r>
      <w:r w:rsidR="00AD4D35" w:rsidRPr="00AD4D35">
        <w:t xml:space="preserve"> pointed out, having procurement results </w:t>
      </w:r>
      <w:r w:rsidR="00AD4D35" w:rsidRPr="00AD4D35">
        <w:lastRenderedPageBreak/>
        <w:t>available to the public helps inform the parties’ positions in othe</w:t>
      </w:r>
      <w:r w:rsidR="00AD4D35">
        <w:t xml:space="preserve">r default service proceedings </w:t>
      </w:r>
      <w:r w:rsidR="00AD4D35" w:rsidRPr="00AD4D35">
        <w:t>(OSBA St. 1 at 6)</w:t>
      </w:r>
      <w:r w:rsidR="00AD4D35">
        <w:t>.</w:t>
      </w:r>
    </w:p>
    <w:p w:rsidR="00AD4D35" w:rsidRDefault="00AD4D35" w:rsidP="002B7339">
      <w:pPr>
        <w:spacing w:line="360" w:lineRule="auto"/>
      </w:pPr>
    </w:p>
    <w:p w:rsidR="00AD4D35" w:rsidRDefault="00AD4D35" w:rsidP="002B7339">
      <w:pPr>
        <w:spacing w:line="360" w:lineRule="auto"/>
      </w:pPr>
      <w:r>
        <w:tab/>
      </w:r>
      <w:r>
        <w:tab/>
      </w:r>
      <w:r w:rsidR="00790058" w:rsidRPr="00790058">
        <w:t>The Settlement addresses</w:t>
      </w:r>
      <w:r w:rsidR="00790058">
        <w:t xml:space="preserve"> the OSBA’s</w:t>
      </w:r>
      <w:r w:rsidR="00790058" w:rsidRPr="00790058">
        <w:t xml:space="preserve"> recommendation by requiring Duquesne </w:t>
      </w:r>
      <w:r w:rsidR="00790058">
        <w:t xml:space="preserve">Light </w:t>
      </w:r>
      <w:r w:rsidR="00790058" w:rsidRPr="00790058">
        <w:t>to disclose aggregate procurement results within two days of Commission approval of the results (Settlement at 7)</w:t>
      </w:r>
      <w:r w:rsidR="00790058">
        <w:t>.</w:t>
      </w:r>
    </w:p>
    <w:p w:rsidR="00790058" w:rsidRDefault="00790058" w:rsidP="002B7339">
      <w:pPr>
        <w:spacing w:line="360" w:lineRule="auto"/>
      </w:pPr>
    </w:p>
    <w:p w:rsidR="00790058" w:rsidRDefault="00790058" w:rsidP="002B7339">
      <w:pPr>
        <w:spacing w:line="360" w:lineRule="auto"/>
      </w:pPr>
      <w:r>
        <w:tab/>
        <w:t>4.</w:t>
      </w:r>
      <w:r>
        <w:tab/>
      </w:r>
      <w:r>
        <w:rPr>
          <w:u w:val="single"/>
        </w:rPr>
        <w:t>Market Enhancements</w:t>
      </w:r>
    </w:p>
    <w:p w:rsidR="00790058" w:rsidRDefault="00790058" w:rsidP="002B7339">
      <w:pPr>
        <w:spacing w:line="360" w:lineRule="auto"/>
      </w:pPr>
    </w:p>
    <w:p w:rsidR="00790058" w:rsidRDefault="00790058" w:rsidP="002B7339">
      <w:pPr>
        <w:spacing w:line="360" w:lineRule="auto"/>
      </w:pPr>
      <w:r>
        <w:tab/>
      </w:r>
      <w:r>
        <w:tab/>
      </w:r>
      <w:r w:rsidR="0004726D" w:rsidRPr="0004726D">
        <w:t>In response to Duquesne</w:t>
      </w:r>
      <w:r w:rsidR="0004726D">
        <w:t xml:space="preserve"> Light</w:t>
      </w:r>
      <w:r w:rsidR="0004726D" w:rsidRPr="0004726D">
        <w:t>’s filed proposal, Constellation argued that detailed customer-specific data and information should be made available to the EGSs electronically, in order to enhance retail competition in t</w:t>
      </w:r>
      <w:r w:rsidR="0004726D">
        <w:t>he Company’s service territory</w:t>
      </w:r>
      <w:r w:rsidR="0004726D" w:rsidRPr="0004726D">
        <w:t xml:space="preserve"> (Constellation St</w:t>
      </w:r>
      <w:r w:rsidR="0004726D">
        <w:t>. 1 at </w:t>
      </w:r>
      <w:r w:rsidR="0004726D" w:rsidRPr="0004726D">
        <w:t>51</w:t>
      </w:r>
      <w:r w:rsidR="0004726D">
        <w:noBreakHyphen/>
      </w:r>
      <w:r w:rsidR="0004726D" w:rsidRPr="0004726D">
        <w:t>52)</w:t>
      </w:r>
      <w:r w:rsidR="0004726D">
        <w:t>.</w:t>
      </w:r>
    </w:p>
    <w:p w:rsidR="0004726D" w:rsidRDefault="0004726D" w:rsidP="002B7339">
      <w:pPr>
        <w:spacing w:line="360" w:lineRule="auto"/>
      </w:pPr>
    </w:p>
    <w:p w:rsidR="0004726D" w:rsidRDefault="0004726D" w:rsidP="002B7339">
      <w:pPr>
        <w:spacing w:line="360" w:lineRule="auto"/>
      </w:pPr>
      <w:r>
        <w:tab/>
      </w:r>
      <w:r>
        <w:tab/>
      </w:r>
      <w:r w:rsidR="003F7D78" w:rsidRPr="003F7D78">
        <w:t xml:space="preserve">In rebuttal, </w:t>
      </w:r>
      <w:r w:rsidR="003F7D78">
        <w:t xml:space="preserve">the </w:t>
      </w:r>
      <w:r w:rsidR="003F7D78" w:rsidRPr="003F7D78">
        <w:t xml:space="preserve">OSBA noted the extensive nature of the customer information sought by Constellation and raised concerns about the proposal’s failure to adhere to the Commission’s regulations pertaining to the privacy of customer information.  Specifically, </w:t>
      </w:r>
      <w:r w:rsidR="003F7D78">
        <w:t>52 </w:t>
      </w:r>
      <w:r w:rsidR="003F7D78" w:rsidRPr="003F7D78">
        <w:t>Pa. Code §54.8 permits customers to opt-out (</w:t>
      </w:r>
      <w:r w:rsidR="003F7D78" w:rsidRPr="003F7D78">
        <w:rPr>
          <w:i/>
        </w:rPr>
        <w:t>i.e.</w:t>
      </w:r>
      <w:r w:rsidR="003F7D78" w:rsidRPr="003F7D78">
        <w:t>, deny) the release of much of this type of information to EGSs (OSBA St. 2 at 3)</w:t>
      </w:r>
      <w:r w:rsidR="003F7D78">
        <w:t>.</w:t>
      </w:r>
    </w:p>
    <w:p w:rsidR="003F7D78" w:rsidRDefault="003F7D78" w:rsidP="002B7339">
      <w:pPr>
        <w:spacing w:line="360" w:lineRule="auto"/>
      </w:pPr>
    </w:p>
    <w:p w:rsidR="003F7D78" w:rsidRDefault="003F7D78" w:rsidP="002B7339">
      <w:pPr>
        <w:spacing w:line="360" w:lineRule="auto"/>
      </w:pPr>
      <w:r>
        <w:tab/>
      </w:r>
      <w:r>
        <w:tab/>
      </w:r>
      <w:r w:rsidR="005653AA">
        <w:t xml:space="preserve">In conclusion, </w:t>
      </w:r>
      <w:r w:rsidR="005653AA" w:rsidRPr="005653AA">
        <w:t xml:space="preserve">the OSBA respectfully requests that the </w:t>
      </w:r>
      <w:r w:rsidR="005653AA">
        <w:t>ALJ</w:t>
      </w:r>
      <w:r w:rsidR="005653AA" w:rsidRPr="005653AA">
        <w:t xml:space="preserve"> and the Commission approve the Settlement without modification.</w:t>
      </w:r>
    </w:p>
    <w:p w:rsidR="00031B96" w:rsidRDefault="00031B96" w:rsidP="002B7339">
      <w:pPr>
        <w:spacing w:line="360" w:lineRule="auto"/>
      </w:pPr>
    </w:p>
    <w:p w:rsidR="005653AA" w:rsidRDefault="005653AA" w:rsidP="002B7339">
      <w:pPr>
        <w:spacing w:line="360" w:lineRule="auto"/>
      </w:pPr>
      <w:r>
        <w:t>D.</w:t>
      </w:r>
      <w:r>
        <w:tab/>
      </w:r>
      <w:r w:rsidR="00E164D7">
        <w:rPr>
          <w:u w:val="single"/>
        </w:rPr>
        <w:t>Dominion</w:t>
      </w:r>
      <w:r w:rsidR="005D59C0">
        <w:rPr>
          <w:u w:val="single"/>
        </w:rPr>
        <w:t xml:space="preserve"> Retail</w:t>
      </w:r>
      <w:r w:rsidR="00E164D7">
        <w:rPr>
          <w:u w:val="single"/>
        </w:rPr>
        <w:t>’s Position</w:t>
      </w:r>
    </w:p>
    <w:p w:rsidR="00E164D7" w:rsidRDefault="00E164D7" w:rsidP="002B7339">
      <w:pPr>
        <w:spacing w:line="360" w:lineRule="auto"/>
      </w:pPr>
    </w:p>
    <w:p w:rsidR="00E164D7" w:rsidRDefault="005D59C0" w:rsidP="002B7339">
      <w:pPr>
        <w:spacing w:line="360" w:lineRule="auto"/>
      </w:pPr>
      <w:r>
        <w:tab/>
      </w:r>
      <w:r>
        <w:tab/>
      </w:r>
      <w:r w:rsidRPr="005D59C0">
        <w:t xml:space="preserve">Dominion Retail believes the </w:t>
      </w:r>
      <w:r>
        <w:t xml:space="preserve">Settlement </w:t>
      </w:r>
      <w:r w:rsidRPr="005D59C0">
        <w:t>offers a fair and balanced approach to Duquesne L</w:t>
      </w:r>
      <w:r>
        <w:t>ight</w:t>
      </w:r>
      <w:r w:rsidRPr="005D59C0">
        <w:t xml:space="preserve">’s default service plan.  Importantly for Dominion Retail’s purposes, the </w:t>
      </w:r>
      <w:r>
        <w:t xml:space="preserve">Settlement </w:t>
      </w:r>
      <w:r w:rsidRPr="005D59C0">
        <w:t>provides certainty as to rates during the default service period and reduces the administrative adder portion of the discount rate for Duquesne L</w:t>
      </w:r>
      <w:r>
        <w:t>ight</w:t>
      </w:r>
      <w:r w:rsidRPr="005D59C0">
        <w:t xml:space="preserve">’s </w:t>
      </w:r>
      <w:r>
        <w:t xml:space="preserve">POR </w:t>
      </w:r>
      <w:r w:rsidRPr="005D59C0">
        <w:t xml:space="preserve">program. The </w:t>
      </w:r>
      <w:r w:rsidR="003612B6">
        <w:t xml:space="preserve">Settlement </w:t>
      </w:r>
      <w:r w:rsidRPr="005D59C0">
        <w:t xml:space="preserve">also contains market enhancements that should further the openness and </w:t>
      </w:r>
      <w:r w:rsidRPr="005D59C0">
        <w:lastRenderedPageBreak/>
        <w:t xml:space="preserve">competitiveness of </w:t>
      </w:r>
      <w:r w:rsidR="003612B6" w:rsidRPr="005D59C0">
        <w:t>Duquesne L</w:t>
      </w:r>
      <w:r w:rsidR="003612B6">
        <w:t>ight</w:t>
      </w:r>
      <w:r w:rsidR="003612B6" w:rsidRPr="005D59C0">
        <w:t xml:space="preserve">’s </w:t>
      </w:r>
      <w:r w:rsidRPr="005D59C0">
        <w:t>market.  In short, Dominion Retail urges approval of the</w:t>
      </w:r>
      <w:r w:rsidR="003612B6">
        <w:t xml:space="preserve"> Settlement</w:t>
      </w:r>
      <w:r w:rsidRPr="005D59C0">
        <w:t>.</w:t>
      </w:r>
    </w:p>
    <w:p w:rsidR="003612B6" w:rsidRDefault="003612B6" w:rsidP="002B7339">
      <w:pPr>
        <w:spacing w:line="360" w:lineRule="auto"/>
      </w:pPr>
    </w:p>
    <w:p w:rsidR="003612B6" w:rsidRDefault="003612B6" w:rsidP="002B7339">
      <w:pPr>
        <w:spacing w:line="360" w:lineRule="auto"/>
      </w:pPr>
      <w:r>
        <w:tab/>
      </w:r>
      <w:r w:rsidR="005811DA">
        <w:t>1.</w:t>
      </w:r>
      <w:r w:rsidR="005811DA">
        <w:tab/>
      </w:r>
      <w:r w:rsidR="005811DA">
        <w:rPr>
          <w:u w:val="single"/>
        </w:rPr>
        <w:t>Purchase of Receivables Administrative Adder</w:t>
      </w:r>
    </w:p>
    <w:p w:rsidR="005811DA" w:rsidRDefault="005811DA" w:rsidP="002B7339">
      <w:pPr>
        <w:spacing w:line="360" w:lineRule="auto"/>
      </w:pPr>
    </w:p>
    <w:p w:rsidR="005811DA" w:rsidRDefault="005811DA" w:rsidP="002B7339">
      <w:pPr>
        <w:spacing w:line="360" w:lineRule="auto"/>
      </w:pPr>
      <w:r>
        <w:tab/>
      </w:r>
      <w:r>
        <w:tab/>
      </w:r>
      <w:r w:rsidR="005E3AEB" w:rsidRPr="005E3AEB">
        <w:t xml:space="preserve">As part of its last rate case, Duquesne </w:t>
      </w:r>
      <w:r w:rsidR="005E3AEB">
        <w:t xml:space="preserve">Light </w:t>
      </w:r>
      <w:r w:rsidR="005E3AEB" w:rsidRPr="005E3AEB">
        <w:t xml:space="preserve">agreed to adjust in the future the administrative adder portion of its discount rate that it charges for its </w:t>
      </w:r>
      <w:r w:rsidR="005E3AEB">
        <w:t xml:space="preserve">POR </w:t>
      </w:r>
      <w:r w:rsidR="005E3AEB" w:rsidRPr="005E3AEB">
        <w:t xml:space="preserve">program.  As part of the Settlement, Duquesne </w:t>
      </w:r>
      <w:r w:rsidR="005E3AEB">
        <w:t>Light</w:t>
      </w:r>
      <w:r w:rsidR="005E3AEB" w:rsidRPr="005E3AEB">
        <w:t xml:space="preserve"> agree</w:t>
      </w:r>
      <w:r w:rsidR="005E3AEB">
        <w:t>s</w:t>
      </w:r>
      <w:r w:rsidR="005E3AEB" w:rsidRPr="005E3AEB">
        <w:t xml:space="preserve"> to reduce the administrative adder from .38% to .1%, thus reducing the overall discount to .52%.  This adjustment is appropriate</w:t>
      </w:r>
      <w:r w:rsidR="005E3AEB">
        <w:t xml:space="preserve"> in Dominion Retail’s view,</w:t>
      </w:r>
      <w:r w:rsidR="005E3AEB" w:rsidRPr="005E3AEB">
        <w:t xml:space="preserve"> because it better reflects Duquesne </w:t>
      </w:r>
      <w:r w:rsidR="005E3AEB">
        <w:t xml:space="preserve">Light’s </w:t>
      </w:r>
      <w:r w:rsidR="005E3AEB" w:rsidRPr="005E3AEB">
        <w:t>actual ongoing administrative costs.  This adjustment will reduce costs for suppliers</w:t>
      </w:r>
      <w:r w:rsidR="005E3AEB">
        <w:t>,</w:t>
      </w:r>
      <w:r w:rsidR="005E3AEB" w:rsidRPr="005E3AEB">
        <w:t xml:space="preserve"> thus enabling them to provide more efficient service to their customers.  This change alone justifies Dominion Retail’s support of the Settlement</w:t>
      </w:r>
      <w:r w:rsidR="005E3AEB">
        <w:t>,</w:t>
      </w:r>
      <w:r w:rsidR="005E3AEB" w:rsidRPr="005E3AEB">
        <w:t xml:space="preserve"> because it will have a notable financial impact on the cost of providing service in Duquesne </w:t>
      </w:r>
      <w:r w:rsidR="005E3AEB">
        <w:t xml:space="preserve">Light’s </w:t>
      </w:r>
      <w:r w:rsidR="005E3AEB" w:rsidRPr="005E3AEB">
        <w:t xml:space="preserve">service territory.  Duquesne </w:t>
      </w:r>
      <w:r w:rsidR="00D54D67">
        <w:t xml:space="preserve">Light </w:t>
      </w:r>
      <w:r w:rsidR="005E3AEB" w:rsidRPr="005E3AEB">
        <w:t xml:space="preserve">also has agreed to implement a </w:t>
      </w:r>
      <w:r w:rsidR="00D54D67">
        <w:t xml:space="preserve">POR </w:t>
      </w:r>
      <w:r w:rsidR="005E3AEB" w:rsidRPr="005E3AEB">
        <w:t>for small commercial and industrial customers, which expands the scope of the POR benefit.</w:t>
      </w:r>
    </w:p>
    <w:p w:rsidR="00D54D67" w:rsidRDefault="00D54D67" w:rsidP="002B7339">
      <w:pPr>
        <w:spacing w:line="360" w:lineRule="auto"/>
      </w:pPr>
    </w:p>
    <w:p w:rsidR="00D54D67" w:rsidRDefault="0002671A" w:rsidP="002B7339">
      <w:pPr>
        <w:spacing w:line="360" w:lineRule="auto"/>
      </w:pPr>
      <w:r>
        <w:tab/>
        <w:t>2.</w:t>
      </w:r>
      <w:r>
        <w:tab/>
      </w:r>
      <w:r>
        <w:rPr>
          <w:u w:val="single"/>
        </w:rPr>
        <w:t>Rate Certainty</w:t>
      </w:r>
    </w:p>
    <w:p w:rsidR="0002671A" w:rsidRDefault="0002671A" w:rsidP="002B7339">
      <w:pPr>
        <w:spacing w:line="360" w:lineRule="auto"/>
      </w:pPr>
    </w:p>
    <w:p w:rsidR="0002671A" w:rsidRDefault="0002671A" w:rsidP="002B7339">
      <w:pPr>
        <w:spacing w:line="360" w:lineRule="auto"/>
      </w:pPr>
      <w:r>
        <w:tab/>
      </w:r>
      <w:r>
        <w:tab/>
        <w:t xml:space="preserve">Dominion Retail notes that over </w:t>
      </w:r>
      <w:r w:rsidR="002669FF" w:rsidRPr="002669FF">
        <w:t xml:space="preserve">the course of its last several default service plans, Duquesne </w:t>
      </w:r>
      <w:r w:rsidR="002669FF">
        <w:t xml:space="preserve">Light </w:t>
      </w:r>
      <w:r w:rsidR="002669FF" w:rsidRPr="002669FF">
        <w:t xml:space="preserve">has adhered to a similar strategy for pricing its default service options—fixing the residential default service rate over the period of the plan.  Duquesne </w:t>
      </w:r>
      <w:r w:rsidR="002669FF">
        <w:t>Light</w:t>
      </w:r>
      <w:r w:rsidR="002669FF" w:rsidRPr="002669FF">
        <w:t xml:space="preserve"> has once again proposed to provide a fixed rate over the term o</w:t>
      </w:r>
      <w:r w:rsidR="002669FF">
        <w:t xml:space="preserve">f the default service plan.  Dominion Retail </w:t>
      </w:r>
      <w:r w:rsidR="002669FF" w:rsidRPr="002669FF">
        <w:t>applaud</w:t>
      </w:r>
      <w:r w:rsidR="002669FF">
        <w:t>s</w:t>
      </w:r>
      <w:r w:rsidR="002669FF" w:rsidRPr="002669FF">
        <w:t xml:space="preserve"> the consistency of Duquesne </w:t>
      </w:r>
      <w:r w:rsidR="002669FF">
        <w:t xml:space="preserve">Light’s </w:t>
      </w:r>
      <w:r w:rsidR="002669FF" w:rsidRPr="002669FF">
        <w:t>plans and believe</w:t>
      </w:r>
      <w:r w:rsidR="002669FF">
        <w:t>s</w:t>
      </w:r>
      <w:r w:rsidR="002669FF" w:rsidRPr="002669FF">
        <w:t xml:space="preserve"> they have been a great benefit to the development of the competitive market.  Accordingly, Dominion Retail continues to support the implementation of Duquesne </w:t>
      </w:r>
      <w:r w:rsidR="002669FF">
        <w:t xml:space="preserve">Light’s </w:t>
      </w:r>
      <w:r w:rsidR="002669FF" w:rsidRPr="002669FF">
        <w:t xml:space="preserve">plan, and correspondingly supports the </w:t>
      </w:r>
      <w:r w:rsidR="002669FF">
        <w:t xml:space="preserve">Settlement </w:t>
      </w:r>
      <w:r w:rsidR="002669FF" w:rsidRPr="002669FF">
        <w:t>in this regard.</w:t>
      </w:r>
    </w:p>
    <w:p w:rsidR="006B3177" w:rsidRDefault="006B3177">
      <w:r>
        <w:br w:type="page"/>
      </w:r>
    </w:p>
    <w:p w:rsidR="002669FF" w:rsidRDefault="00032A6E" w:rsidP="002B7339">
      <w:pPr>
        <w:spacing w:line="360" w:lineRule="auto"/>
      </w:pPr>
      <w:r>
        <w:lastRenderedPageBreak/>
        <w:tab/>
        <w:t>3.</w:t>
      </w:r>
      <w:r>
        <w:tab/>
      </w:r>
      <w:r>
        <w:rPr>
          <w:u w:val="single"/>
        </w:rPr>
        <w:t>Market Enhancements</w:t>
      </w:r>
    </w:p>
    <w:p w:rsidR="00032A6E" w:rsidRDefault="00032A6E" w:rsidP="002B7339">
      <w:pPr>
        <w:spacing w:line="360" w:lineRule="auto"/>
      </w:pPr>
    </w:p>
    <w:p w:rsidR="00032A6E" w:rsidRDefault="00032A6E" w:rsidP="002B7339">
      <w:pPr>
        <w:spacing w:line="360" w:lineRule="auto"/>
      </w:pPr>
      <w:r>
        <w:tab/>
      </w:r>
      <w:r>
        <w:tab/>
      </w:r>
      <w:r w:rsidR="00512B55">
        <w:t xml:space="preserve">The Settlement </w:t>
      </w:r>
      <w:r w:rsidR="00512B55" w:rsidRPr="00512B55">
        <w:t xml:space="preserve">offers a variety of other market enhancements that include </w:t>
      </w:r>
      <w:r w:rsidR="00512B55">
        <w:t xml:space="preserve">Duquesne Light </w:t>
      </w:r>
      <w:r w:rsidR="00512B55" w:rsidRPr="00512B55">
        <w:t>providin</w:t>
      </w:r>
      <w:r w:rsidR="00512B55">
        <w:t xml:space="preserve">g information to new </w:t>
      </w:r>
      <w:r w:rsidR="00512B55" w:rsidRPr="00512B55">
        <w:t xml:space="preserve">and existing </w:t>
      </w:r>
      <w:r w:rsidR="00512B55">
        <w:t xml:space="preserve">customers </w:t>
      </w:r>
      <w:r w:rsidR="00512B55" w:rsidRPr="00512B55">
        <w:t xml:space="preserve">about competitive market offerings, including links to the </w:t>
      </w:r>
      <w:r w:rsidR="0079731B">
        <w:t>OCA’s</w:t>
      </w:r>
      <w:r w:rsidR="000412FC">
        <w:t xml:space="preserve"> website</w:t>
      </w:r>
      <w:r w:rsidR="00512B55" w:rsidRPr="00512B55">
        <w:t xml:space="preserve">.  The </w:t>
      </w:r>
      <w:r w:rsidR="0079731B">
        <w:t xml:space="preserve">Settlement </w:t>
      </w:r>
      <w:r w:rsidR="00512B55" w:rsidRPr="00512B55">
        <w:t>also includes other measures targeted towards enhancing the visibility of the competitive market place and of competitive offers.  Dominion Retail believes these enhancements will serve to further the exposure of customers to the competitive market and its offerings and will increase the competitiveness of the ma</w:t>
      </w:r>
      <w:r w:rsidR="0079731B">
        <w:t>rket and thus benefit customers</w:t>
      </w:r>
      <w:r w:rsidR="00512B55" w:rsidRPr="00512B55">
        <w:t xml:space="preserve"> in the long run.  Accordingly, Dominion Retail supports these provisions of Settlement as being in the public interest.</w:t>
      </w:r>
    </w:p>
    <w:p w:rsidR="0079731B" w:rsidRDefault="0079731B" w:rsidP="002B7339">
      <w:pPr>
        <w:spacing w:line="360" w:lineRule="auto"/>
      </w:pPr>
    </w:p>
    <w:p w:rsidR="0079731B" w:rsidRDefault="0079731B" w:rsidP="002B7339">
      <w:pPr>
        <w:spacing w:line="360" w:lineRule="auto"/>
      </w:pPr>
      <w:r>
        <w:tab/>
      </w:r>
      <w:r>
        <w:tab/>
        <w:t xml:space="preserve">In conclusion, </w:t>
      </w:r>
      <w:r w:rsidRPr="0079731B">
        <w:t xml:space="preserve">Dominion Retail asks that the Commission expeditiously approve the </w:t>
      </w:r>
      <w:r w:rsidR="0076026D">
        <w:t xml:space="preserve">Settlement </w:t>
      </w:r>
      <w:r w:rsidRPr="0079731B">
        <w:t>and Duquesne Light</w:t>
      </w:r>
      <w:r w:rsidR="0076026D">
        <w:t>’s</w:t>
      </w:r>
      <w:r w:rsidRPr="0079731B">
        <w:t xml:space="preserve"> default service plan.</w:t>
      </w:r>
    </w:p>
    <w:p w:rsidR="0076026D" w:rsidRDefault="0076026D" w:rsidP="002B7339">
      <w:pPr>
        <w:spacing w:line="360" w:lineRule="auto"/>
      </w:pPr>
    </w:p>
    <w:p w:rsidR="0076026D" w:rsidRDefault="003E2C21" w:rsidP="002B7339">
      <w:pPr>
        <w:spacing w:line="360" w:lineRule="auto"/>
      </w:pPr>
      <w:r>
        <w:t>E.</w:t>
      </w:r>
      <w:r>
        <w:tab/>
      </w:r>
      <w:r>
        <w:rPr>
          <w:u w:val="single"/>
        </w:rPr>
        <w:t>DII’s Position</w:t>
      </w:r>
    </w:p>
    <w:p w:rsidR="005A7884" w:rsidRDefault="005A7884" w:rsidP="002B7339">
      <w:pPr>
        <w:spacing w:line="360" w:lineRule="auto"/>
      </w:pPr>
    </w:p>
    <w:p w:rsidR="005A7884" w:rsidRDefault="00E03490" w:rsidP="002B7339">
      <w:pPr>
        <w:spacing w:line="360" w:lineRule="auto"/>
      </w:pPr>
      <w:r>
        <w:tab/>
      </w:r>
      <w:r>
        <w:tab/>
      </w:r>
      <w:r w:rsidRPr="00E03490">
        <w:t>DII supports the Settlement as a reasonably balanced resolution that serves the public interest.</w:t>
      </w:r>
      <w:r w:rsidR="000D417D">
        <w:t xml:space="preserve">  </w:t>
      </w:r>
      <w:r w:rsidR="000D417D" w:rsidRPr="000D417D">
        <w:t xml:space="preserve">In its </w:t>
      </w:r>
      <w:r w:rsidR="000D417D">
        <w:t>p</w:t>
      </w:r>
      <w:r w:rsidR="000D417D" w:rsidRPr="000D417D">
        <w:t xml:space="preserve">etition to </w:t>
      </w:r>
      <w:r w:rsidR="000D417D">
        <w:t>i</w:t>
      </w:r>
      <w:r w:rsidR="000D417D" w:rsidRPr="000D417D">
        <w:t>ntervene, DII identified a number of issues presented by Duquesne</w:t>
      </w:r>
      <w:r w:rsidR="000D417D">
        <w:t xml:space="preserve"> Light’</w:t>
      </w:r>
      <w:r w:rsidR="000D417D" w:rsidRPr="000D417D">
        <w:t xml:space="preserve">s </w:t>
      </w:r>
      <w:r w:rsidR="000D417D">
        <w:t>p</w:t>
      </w:r>
      <w:r w:rsidR="000D417D" w:rsidRPr="000D417D">
        <w:t xml:space="preserve">etition to approve its </w:t>
      </w:r>
      <w:r w:rsidR="000D417D">
        <w:t>d</w:t>
      </w:r>
      <w:r w:rsidR="000D417D" w:rsidRPr="000D417D">
        <w:t xml:space="preserve">efault </w:t>
      </w:r>
      <w:r w:rsidR="000D417D">
        <w:t>s</w:t>
      </w:r>
      <w:r w:rsidR="000D417D" w:rsidRPr="000D417D">
        <w:t xml:space="preserve">ervice </w:t>
      </w:r>
      <w:r w:rsidR="000D417D">
        <w:t>p</w:t>
      </w:r>
      <w:r w:rsidR="000D417D" w:rsidRPr="000D417D">
        <w:t>lan.  These issues related to the terms and conditions of DII members</w:t>
      </w:r>
      <w:r w:rsidR="000D417D">
        <w:t>’</w:t>
      </w:r>
      <w:r w:rsidR="000D417D" w:rsidRPr="000D417D">
        <w:t xml:space="preserve"> electricity service, including their rates and any increases imposed as a result of Duquesne</w:t>
      </w:r>
      <w:r w:rsidR="000D417D">
        <w:t xml:space="preserve"> Light’s</w:t>
      </w:r>
      <w:r w:rsidR="000D417D" w:rsidRPr="000D417D">
        <w:t xml:space="preserve"> implementation of its </w:t>
      </w:r>
      <w:r w:rsidR="000D417D">
        <w:t>p</w:t>
      </w:r>
      <w:r w:rsidR="000D417D" w:rsidRPr="000D417D">
        <w:t>lan.</w:t>
      </w:r>
    </w:p>
    <w:p w:rsidR="000D417D" w:rsidRDefault="000D417D" w:rsidP="002B7339">
      <w:pPr>
        <w:spacing w:line="360" w:lineRule="auto"/>
      </w:pPr>
    </w:p>
    <w:p w:rsidR="000D417D" w:rsidRDefault="000D417D" w:rsidP="002B7339">
      <w:pPr>
        <w:spacing w:line="360" w:lineRule="auto"/>
      </w:pPr>
      <w:r>
        <w:tab/>
      </w:r>
      <w:r>
        <w:tab/>
      </w:r>
      <w:r w:rsidR="0004442E" w:rsidRPr="0004442E">
        <w:t xml:space="preserve">Pursuant to Paragraph 23 of the Settlement, Duquesne </w:t>
      </w:r>
      <w:r w:rsidR="0004442E">
        <w:t xml:space="preserve">Light </w:t>
      </w:r>
      <w:r w:rsidR="0004442E" w:rsidRPr="0004442E">
        <w:t>will monitor the results of the collaborative among PPL E</w:t>
      </w:r>
      <w:r w:rsidR="0004442E">
        <w:t>lectric Utilities Corporation (“</w:t>
      </w:r>
      <w:r w:rsidR="0004442E" w:rsidRPr="0004442E">
        <w:t>PPL</w:t>
      </w:r>
      <w:r w:rsidR="0004442E">
        <w:t>”) and the parties to PPL’</w:t>
      </w:r>
      <w:r w:rsidR="0004442E" w:rsidRPr="0004442E">
        <w:t xml:space="preserve">s POLR proceeding concerning a monthly or quarterly load following service for Large C&amp;I customers.  Importantly, if the PPL collaborative process results in PPL offering such a service to Large C&amp;I customers, Duquesne </w:t>
      </w:r>
      <w:r w:rsidR="0004442E">
        <w:t xml:space="preserve">Light </w:t>
      </w:r>
      <w:r w:rsidR="0004442E" w:rsidRPr="0004442E">
        <w:t>agrees to monitor the results of such service and evaluate whether to offer a similar service in a future default service plan.</w:t>
      </w:r>
    </w:p>
    <w:p w:rsidR="0004442E" w:rsidRDefault="0004442E" w:rsidP="002B7339">
      <w:pPr>
        <w:spacing w:line="360" w:lineRule="auto"/>
      </w:pPr>
    </w:p>
    <w:p w:rsidR="0004442E" w:rsidRDefault="0004442E" w:rsidP="002B7339">
      <w:pPr>
        <w:spacing w:line="360" w:lineRule="auto"/>
      </w:pPr>
      <w:r>
        <w:lastRenderedPageBreak/>
        <w:tab/>
      </w:r>
      <w:r>
        <w:tab/>
      </w:r>
      <w:r w:rsidR="00006C3D" w:rsidRPr="00006C3D">
        <w:t>Accordingly, the Settlement adequately addresses DII</w:t>
      </w:r>
      <w:r w:rsidR="00006C3D">
        <w:t>’</w:t>
      </w:r>
      <w:r w:rsidR="00006C3D" w:rsidRPr="00006C3D">
        <w:t>s concerns regarding the Company</w:t>
      </w:r>
      <w:r w:rsidR="00006C3D">
        <w:t>’</w:t>
      </w:r>
      <w:r w:rsidR="00006C3D" w:rsidRPr="00006C3D">
        <w:t xml:space="preserve">s </w:t>
      </w:r>
      <w:r w:rsidR="00006C3D">
        <w:t>d</w:t>
      </w:r>
      <w:r w:rsidR="00006C3D" w:rsidRPr="00006C3D">
        <w:t xml:space="preserve">efault </w:t>
      </w:r>
      <w:r w:rsidR="00006C3D">
        <w:t>s</w:t>
      </w:r>
      <w:r w:rsidR="00006C3D" w:rsidRPr="00006C3D">
        <w:t xml:space="preserve">ervice </w:t>
      </w:r>
      <w:r w:rsidR="00006C3D">
        <w:t>p</w:t>
      </w:r>
      <w:r w:rsidR="00006C3D" w:rsidRPr="00006C3D">
        <w:t>lan.</w:t>
      </w:r>
      <w:r w:rsidR="00006C3D">
        <w:t xml:space="preserve">  Hence, DII </w:t>
      </w:r>
      <w:r w:rsidR="00006C3D" w:rsidRPr="00006C3D">
        <w:t>respectfully request that the ALJ and Commission approve the Settlement without modification.</w:t>
      </w:r>
    </w:p>
    <w:p w:rsidR="00006C3D" w:rsidRDefault="00006C3D" w:rsidP="002B7339">
      <w:pPr>
        <w:spacing w:line="360" w:lineRule="auto"/>
      </w:pPr>
    </w:p>
    <w:p w:rsidR="00006C3D" w:rsidRDefault="00691AB4" w:rsidP="002B7339">
      <w:pPr>
        <w:spacing w:line="360" w:lineRule="auto"/>
      </w:pPr>
      <w:r>
        <w:t>F.</w:t>
      </w:r>
      <w:r>
        <w:tab/>
      </w:r>
      <w:r>
        <w:rPr>
          <w:u w:val="single"/>
        </w:rPr>
        <w:t>FES’s Position</w:t>
      </w:r>
    </w:p>
    <w:p w:rsidR="00691AB4" w:rsidRDefault="00691AB4" w:rsidP="002B7339">
      <w:pPr>
        <w:spacing w:line="360" w:lineRule="auto"/>
      </w:pPr>
    </w:p>
    <w:p w:rsidR="00691AB4" w:rsidRDefault="00C716B9" w:rsidP="002B7339">
      <w:pPr>
        <w:spacing w:line="360" w:lineRule="auto"/>
      </w:pPr>
      <w:r>
        <w:tab/>
      </w:r>
      <w:r>
        <w:tab/>
        <w:t>FES notes t</w:t>
      </w:r>
      <w:r w:rsidRPr="00C716B9">
        <w:t>he Commission has a strong policy favoring settlements.   As set forth in the Commission’s regulations, “the Commission encourages parties to seek negotiated settlements of contested proceedings in lieu of incurring the time, expense, and uncertainty of l</w:t>
      </w:r>
      <w:r>
        <w:t>itigation.”  52 Pa. Code §69.391.</w:t>
      </w:r>
    </w:p>
    <w:p w:rsidR="00C716B9" w:rsidRDefault="00C716B9" w:rsidP="002B7339">
      <w:pPr>
        <w:spacing w:line="360" w:lineRule="auto"/>
      </w:pPr>
    </w:p>
    <w:p w:rsidR="00C716B9" w:rsidRDefault="00C716B9" w:rsidP="002B7339">
      <w:pPr>
        <w:spacing w:line="360" w:lineRule="auto"/>
      </w:pPr>
      <w:r>
        <w:tab/>
      </w:r>
      <w:r>
        <w:tab/>
      </w:r>
      <w:r w:rsidR="00644E36" w:rsidRPr="00644E36">
        <w:t xml:space="preserve">FES supports the Settlement and believes it is in the best interests of the </w:t>
      </w:r>
      <w:r w:rsidR="00644E36">
        <w:t>p</w:t>
      </w:r>
      <w:r w:rsidR="00644E36" w:rsidRPr="00644E36">
        <w:t>arties and the public.  The Settlement is in the public interest</w:t>
      </w:r>
      <w:r w:rsidR="00644E36">
        <w:t>,</w:t>
      </w:r>
      <w:r w:rsidR="00644E36" w:rsidRPr="00644E36">
        <w:t xml:space="preserve"> because it effectively addresses the issues raised and avoids any unnecessary additional expense of litigation.   The Settlement is also in the public interest</w:t>
      </w:r>
      <w:r w:rsidR="00644E36">
        <w:t>,</w:t>
      </w:r>
      <w:r w:rsidR="00644E36" w:rsidRPr="00644E36">
        <w:t xml:space="preserve"> because it will conserve the resources of the Commission and the </w:t>
      </w:r>
      <w:r w:rsidR="00644E36">
        <w:t>p</w:t>
      </w:r>
      <w:r w:rsidR="00644E36" w:rsidRPr="00644E36">
        <w:t>arties.</w:t>
      </w:r>
    </w:p>
    <w:p w:rsidR="00644E36" w:rsidRDefault="00644E36" w:rsidP="002B7339">
      <w:pPr>
        <w:spacing w:line="360" w:lineRule="auto"/>
      </w:pPr>
    </w:p>
    <w:p w:rsidR="00644E36" w:rsidRDefault="00644E36" w:rsidP="002B7339">
      <w:pPr>
        <w:spacing w:line="360" w:lineRule="auto"/>
      </w:pPr>
      <w:r>
        <w:tab/>
      </w:r>
      <w:r>
        <w:tab/>
      </w:r>
      <w:r w:rsidR="008B07A7" w:rsidRPr="008B07A7">
        <w:t>Duquesne</w:t>
      </w:r>
      <w:r w:rsidR="008B07A7">
        <w:t xml:space="preserve"> Light</w:t>
      </w:r>
      <w:r w:rsidR="008B07A7" w:rsidRPr="008B07A7">
        <w:t>’s Default Service Plan will meet</w:t>
      </w:r>
      <w:r w:rsidR="008B07A7">
        <w:t xml:space="preserve"> the standards set forth in Act </w:t>
      </w:r>
      <w:r w:rsidR="008B07A7" w:rsidRPr="008B07A7">
        <w:t xml:space="preserve">129 by procuring electric generation supply at the “least cost to consumers over time.”  </w:t>
      </w:r>
      <w:r w:rsidR="002E704B">
        <w:t xml:space="preserve">66 Pa. C.S. §2807(e)(3.4). </w:t>
      </w:r>
      <w:r w:rsidR="008B07A7" w:rsidRPr="008B07A7">
        <w:t xml:space="preserve"> Procurement of the </w:t>
      </w:r>
      <w:r w:rsidR="002E704B">
        <w:t>r</w:t>
      </w:r>
      <w:r w:rsidR="008B07A7" w:rsidRPr="008B07A7">
        <w:t xml:space="preserve">esidential customer load through bilateral contracts will allow Duquesne </w:t>
      </w:r>
      <w:r w:rsidR="002E704B">
        <w:t xml:space="preserve">Light </w:t>
      </w:r>
      <w:r w:rsidR="008B07A7" w:rsidRPr="008B07A7">
        <w:t>to offer a fixed price throughout the regulatory review process, reducing the risk to customers of an increase in market prices for electric generation supply.</w:t>
      </w:r>
    </w:p>
    <w:p w:rsidR="002E704B" w:rsidRDefault="002E704B" w:rsidP="002B7339">
      <w:pPr>
        <w:spacing w:line="360" w:lineRule="auto"/>
      </w:pPr>
    </w:p>
    <w:p w:rsidR="002E704B" w:rsidRDefault="002E704B" w:rsidP="002B7339">
      <w:pPr>
        <w:spacing w:line="360" w:lineRule="auto"/>
      </w:pPr>
      <w:r>
        <w:tab/>
      </w:r>
      <w:r>
        <w:tab/>
      </w:r>
      <w:r w:rsidR="00D568D6" w:rsidRPr="00D568D6">
        <w:t>As reflected in the Settlement, Duquesne</w:t>
      </w:r>
      <w:r w:rsidR="00D568D6">
        <w:t xml:space="preserve"> Light</w:t>
      </w:r>
      <w:r w:rsidR="00D568D6" w:rsidRPr="00D568D6">
        <w:t xml:space="preserve">’s procurement of supply for the Small and Medium </w:t>
      </w:r>
      <w:r w:rsidR="00D568D6">
        <w:t>C&amp;I</w:t>
      </w:r>
      <w:r w:rsidR="00D568D6" w:rsidRPr="00D568D6">
        <w:t xml:space="preserve"> customer class</w:t>
      </w:r>
      <w:r w:rsidR="00D568D6">
        <w:t>es</w:t>
      </w:r>
      <w:r w:rsidR="00D568D6" w:rsidRPr="00D568D6">
        <w:t xml:space="preserve"> through a competitive RFP process, ensures that power “shall be procured through competitive procurement processes.”</w:t>
      </w:r>
      <w:r w:rsidR="00D568D6">
        <w:t xml:space="preserve">  66 Pa. C.S. §2807(e)(3.1)-(3.2).</w:t>
      </w:r>
    </w:p>
    <w:p w:rsidR="00D568D6" w:rsidRDefault="00D568D6" w:rsidP="002B7339">
      <w:pPr>
        <w:spacing w:line="360" w:lineRule="auto"/>
      </w:pPr>
    </w:p>
    <w:p w:rsidR="00D568D6" w:rsidRDefault="001F45EC" w:rsidP="002B7339">
      <w:pPr>
        <w:spacing w:line="360" w:lineRule="auto"/>
      </w:pPr>
      <w:r>
        <w:tab/>
      </w:r>
      <w:r>
        <w:tab/>
      </w:r>
      <w:r w:rsidRPr="001F45EC">
        <w:t xml:space="preserve">The 75% load cap for the Small and Medium C&amp;I class customer, as reflected in the Settlement, will allow for the lowest bidder to supply the majority of the Small and Medium </w:t>
      </w:r>
      <w:r w:rsidRPr="001F45EC">
        <w:lastRenderedPageBreak/>
        <w:t xml:space="preserve">C&amp;I class while still effectively protecting against a single supplier default.  </w:t>
      </w:r>
      <w:r>
        <w:t>FES believes t</w:t>
      </w:r>
      <w:r w:rsidRPr="001F45EC">
        <w:t>his increased load cap will ensure a lower cost to Small and Medium C&amp;I customers.</w:t>
      </w:r>
    </w:p>
    <w:p w:rsidR="001F45EC" w:rsidRDefault="001F45EC" w:rsidP="002B7339">
      <w:pPr>
        <w:spacing w:line="360" w:lineRule="auto"/>
      </w:pPr>
    </w:p>
    <w:p w:rsidR="001F45EC" w:rsidRDefault="001F45EC" w:rsidP="002B7339">
      <w:pPr>
        <w:spacing w:line="360" w:lineRule="auto"/>
      </w:pPr>
      <w:r>
        <w:tab/>
      </w:r>
      <w:r>
        <w:tab/>
      </w:r>
      <w:r w:rsidR="0051381A" w:rsidRPr="0051381A">
        <w:t xml:space="preserve">The Settlement provides for bilateral contracts, of varying durations from various suppliers, coupled with a competitive RFP process and spot market purchases as needed.  </w:t>
      </w:r>
      <w:r w:rsidR="0051381A">
        <w:t>FES suggests t</w:t>
      </w:r>
      <w:r w:rsidR="0051381A" w:rsidRPr="0051381A">
        <w:t>his mix of procurement methods meets the mandate of Act 129</w:t>
      </w:r>
      <w:r w:rsidR="0051381A">
        <w:t>,</w:t>
      </w:r>
      <w:r w:rsidR="0051381A" w:rsidRPr="0051381A">
        <w:t xml:space="preserve"> because the Act states that the electric power procured “shall be a prudent mix” of “</w:t>
      </w:r>
      <w:r w:rsidR="0051381A">
        <w:t>s</w:t>
      </w:r>
      <w:r w:rsidR="0051381A" w:rsidRPr="0051381A">
        <w:t xml:space="preserve">pot market purchases, </w:t>
      </w:r>
      <w:r w:rsidR="0051381A">
        <w:t>s</w:t>
      </w:r>
      <w:r w:rsidR="0051381A" w:rsidRPr="0051381A">
        <w:t xml:space="preserve">hort-term contracts, </w:t>
      </w:r>
      <w:r w:rsidR="0051381A">
        <w:t>l</w:t>
      </w:r>
      <w:r w:rsidR="0051381A" w:rsidRPr="0051381A">
        <w:t>ong-term purchase contracts, entered into as a result of an auction, request for proposal or bilateral contract…of more than four and not more than 20 years.”</w:t>
      </w:r>
      <w:r w:rsidR="0051381A">
        <w:t xml:space="preserve">  </w:t>
      </w:r>
      <w:r w:rsidR="00C5689D">
        <w:t>66 Pa. C.S. §2807(e)(3.2)(i)-(iii).</w:t>
      </w:r>
    </w:p>
    <w:p w:rsidR="00C5689D" w:rsidRDefault="00C5689D" w:rsidP="002B7339">
      <w:pPr>
        <w:spacing w:line="360" w:lineRule="auto"/>
      </w:pPr>
    </w:p>
    <w:p w:rsidR="00C5689D" w:rsidRDefault="00C5689D" w:rsidP="002B7339">
      <w:pPr>
        <w:spacing w:line="360" w:lineRule="auto"/>
      </w:pPr>
      <w:r>
        <w:tab/>
      </w:r>
      <w:r>
        <w:tab/>
        <w:t>FES contends t</w:t>
      </w:r>
      <w:r w:rsidRPr="00C5689D">
        <w:t>he Settlement uses the various procurement methods to tap into valuable supplier relationships and maximize the competitive market process in order to achieve another goal of the Act and that is to “ensure adequate and reliable service,” at “the least cost to customers over time.”</w:t>
      </w:r>
      <w:r w:rsidR="00E814F3">
        <w:t xml:space="preserve">  66 Pa. C.S. §2807(e)(3.4)(i)-(ii).</w:t>
      </w:r>
    </w:p>
    <w:p w:rsidR="00E814F3" w:rsidRDefault="00E814F3" w:rsidP="002B7339">
      <w:pPr>
        <w:spacing w:line="360" w:lineRule="auto"/>
      </w:pPr>
    </w:p>
    <w:p w:rsidR="00E814F3" w:rsidRDefault="00E814F3" w:rsidP="002B7339">
      <w:pPr>
        <w:spacing w:line="360" w:lineRule="auto"/>
      </w:pPr>
      <w:r>
        <w:tab/>
      </w:r>
      <w:r>
        <w:tab/>
      </w:r>
      <w:r w:rsidRPr="00E814F3">
        <w:t>For the reasons outlined</w:t>
      </w:r>
      <w:r>
        <w:t xml:space="preserve"> here</w:t>
      </w:r>
      <w:r w:rsidRPr="00E814F3">
        <w:t>, FES believes the Settlement is in the public interest and should be approved.</w:t>
      </w:r>
    </w:p>
    <w:p w:rsidR="00E814F3" w:rsidRDefault="00E814F3" w:rsidP="002B7339">
      <w:pPr>
        <w:spacing w:line="360" w:lineRule="auto"/>
      </w:pPr>
    </w:p>
    <w:p w:rsidR="00E814F3" w:rsidRDefault="00A165DF" w:rsidP="002B7339">
      <w:pPr>
        <w:spacing w:line="360" w:lineRule="auto"/>
      </w:pPr>
      <w:r>
        <w:t>G.</w:t>
      </w:r>
      <w:r>
        <w:tab/>
      </w:r>
      <w:r w:rsidR="00AA12CC">
        <w:rPr>
          <w:u w:val="single"/>
        </w:rPr>
        <w:t>RESA’s Position</w:t>
      </w:r>
    </w:p>
    <w:p w:rsidR="00AA12CC" w:rsidRDefault="00AA12CC" w:rsidP="002B7339">
      <w:pPr>
        <w:spacing w:line="360" w:lineRule="auto"/>
      </w:pPr>
    </w:p>
    <w:p w:rsidR="00AA12CC" w:rsidRDefault="00AA12CC" w:rsidP="002B7339">
      <w:pPr>
        <w:spacing w:line="360" w:lineRule="auto"/>
      </w:pPr>
      <w:r>
        <w:tab/>
      </w:r>
      <w:r w:rsidR="00EA5B85">
        <w:t>1.</w:t>
      </w:r>
      <w:r w:rsidR="00EA5B85">
        <w:tab/>
      </w:r>
      <w:r w:rsidR="00EA5B85" w:rsidRPr="00EA5B85">
        <w:rPr>
          <w:u w:val="single"/>
        </w:rPr>
        <w:t>Introduction</w:t>
      </w:r>
    </w:p>
    <w:p w:rsidR="00EA5B85" w:rsidRDefault="00EA5B85" w:rsidP="002B7339">
      <w:pPr>
        <w:spacing w:line="360" w:lineRule="auto"/>
      </w:pPr>
    </w:p>
    <w:p w:rsidR="00EA5B85" w:rsidRDefault="00EA5B85" w:rsidP="00EA5B85">
      <w:pPr>
        <w:spacing w:line="360" w:lineRule="auto"/>
      </w:pPr>
      <w:r>
        <w:tab/>
      </w:r>
      <w:r>
        <w:tab/>
        <w:t>RESA</w:t>
      </w:r>
      <w:r>
        <w:rPr>
          <w:rStyle w:val="FootnoteReference"/>
        </w:rPr>
        <w:footnoteReference w:id="9"/>
      </w:r>
      <w:r>
        <w:t xml:space="preserve"> states </w:t>
      </w:r>
      <w:r w:rsidR="00384D8D">
        <w:t>t</w:t>
      </w:r>
      <w:r>
        <w:t>he Settlement contains several measures that will aid in the development of retail competition in Duquesne Light</w:t>
      </w:r>
      <w:r w:rsidR="00384D8D">
        <w:t>’s</w:t>
      </w:r>
      <w:r>
        <w:t xml:space="preserve"> service territory and addresses certain concerns raised by RESA regarding the initial proposal. </w:t>
      </w:r>
      <w:r w:rsidR="00384D8D">
        <w:t xml:space="preserve"> </w:t>
      </w:r>
      <w:r>
        <w:t>More sp</w:t>
      </w:r>
      <w:r w:rsidR="00384D8D">
        <w:t xml:space="preserve">ecifically, the Settlement: </w:t>
      </w:r>
      <w:r w:rsidR="00384D8D">
        <w:lastRenderedPageBreak/>
        <w:t>(1) </w:t>
      </w:r>
      <w:r>
        <w:t>expands Duquesne Light’s current POR program and also reduces the current discount rate for residential and small commercial customers, (2) implements a process by which interested parties will work together to implement customer education and a “competition enhancement” program, (3) allows for customer data to be transmitted electronically to licensed EGSs, which will afford EGSs an opportunity to connect directly with customers and to fashion products that meet their specific needs, and (4) implements a process by which the parties will ensure that any procurement of long-term contracts for renewable energy  for residential customers  will result in a competitively neutral outcome.</w:t>
      </w:r>
    </w:p>
    <w:p w:rsidR="00AD2D79" w:rsidRDefault="00AD2D79" w:rsidP="00EA5B85">
      <w:pPr>
        <w:spacing w:line="360" w:lineRule="auto"/>
      </w:pPr>
    </w:p>
    <w:p w:rsidR="00AD2D79" w:rsidRDefault="00AD2D79" w:rsidP="00EA5B85">
      <w:pPr>
        <w:spacing w:line="360" w:lineRule="auto"/>
      </w:pPr>
      <w:r>
        <w:tab/>
      </w:r>
      <w:r>
        <w:tab/>
      </w:r>
      <w:r w:rsidRPr="00AD2D79">
        <w:t xml:space="preserve">RESA raised significant concerns in this proceeding with respect to Duquesne Light’s default service plan, and RESA has made significant concessions in exchange for the above-referenced provisions in the Settlement.  First and foremost, with respect to Duquesne Light’s provision of default service to residential customers, RESA raised concerns regarding the non-market responsive nature of Duquesne Light’s proposed “black box” procurement and pricing approach for residential default service. </w:t>
      </w:r>
      <w:r>
        <w:t xml:space="preserve"> </w:t>
      </w:r>
      <w:r w:rsidRPr="00AD2D79">
        <w:t xml:space="preserve">Duquesne Light’s proposed default service price is not derived from a competitive procurement process and will </w:t>
      </w:r>
      <w:r w:rsidR="001C6393">
        <w:t>remain the same for the full 29</w:t>
      </w:r>
      <w:r w:rsidR="001C6393">
        <w:noBreakHyphen/>
      </w:r>
      <w:r w:rsidRPr="00AD2D79">
        <w:t>month duration of the plan.   RESA has long advocated before this Commission and elsewhere that, for competition to evolve, a default service procurement structure must result in rates that sufficiently reflect over time the underlying wholesale market, and must reflect all of the costs and risks of providing default service to customers.  If a default service plan results in long-term, fixed rates, then retail competition is not likely to be sustainable.  This is because, as wholesale market prices rise above the fixed default service rates, retail suppliers are artificially shut out of the market.  Suppliers may have intermittent opportunities if wholesale prices fall below the fixed price rates.  However, this type of “boom or bust” cycle is not likely to lead to sustainable retail competition</w:t>
      </w:r>
      <w:r w:rsidR="001C6393">
        <w:t>,</w:t>
      </w:r>
      <w:r w:rsidRPr="00AD2D79">
        <w:t xml:space="preserve"> because most retail suppliers are unlikely to make the large, up-front investment to enter a market where they may not have an opportunity to compete for extended pe</w:t>
      </w:r>
      <w:r w:rsidR="001C6393">
        <w:t>riods of time over the long run (RESA St. 1 at 8-9).</w:t>
      </w:r>
    </w:p>
    <w:p w:rsidR="00031B96" w:rsidRDefault="00031B96" w:rsidP="00EA5B85">
      <w:pPr>
        <w:spacing w:line="360" w:lineRule="auto"/>
      </w:pPr>
    </w:p>
    <w:p w:rsidR="001C6393" w:rsidRDefault="00A407B5" w:rsidP="00EA5B85">
      <w:pPr>
        <w:spacing w:line="360" w:lineRule="auto"/>
      </w:pPr>
      <w:r>
        <w:tab/>
      </w:r>
      <w:r>
        <w:tab/>
      </w:r>
      <w:r w:rsidR="00663FE4" w:rsidRPr="00663FE4">
        <w:t xml:space="preserve">Additionally, RESA expressed concern over the lack of transparency in Duquesne Light’s proposed default service procurement process for residential customers.   RESA posited </w:t>
      </w:r>
      <w:r w:rsidR="00663FE4" w:rsidRPr="00663FE4">
        <w:lastRenderedPageBreak/>
        <w:t>that Duquesne Light’s plan is an attempt for the utility to continue to earn a profit on the provision of default service and may not be in the best interest of Duquesne Light’s residential customers.</w:t>
      </w:r>
    </w:p>
    <w:p w:rsidR="00663FE4" w:rsidRDefault="00663FE4" w:rsidP="00EA5B85">
      <w:pPr>
        <w:spacing w:line="360" w:lineRule="auto"/>
      </w:pPr>
    </w:p>
    <w:p w:rsidR="00663FE4" w:rsidRDefault="00663FE4" w:rsidP="00EA5B85">
      <w:pPr>
        <w:spacing w:line="360" w:lineRule="auto"/>
      </w:pPr>
      <w:r>
        <w:tab/>
      </w:r>
      <w:r>
        <w:tab/>
      </w:r>
      <w:r w:rsidR="00D46843" w:rsidRPr="00D46843">
        <w:t>The Settlement does not alter Duquesne Light’s proposed default service procurement plan as it pertains to residential customers.  At the same time, RESA advocated in this proceeding to adjust the procurement structure for Medium C&amp;I customers to ensure more market-reflective default service pricing.  The Settlement does not alter the procurement proposal for Medium C&amp;I customers.</w:t>
      </w:r>
    </w:p>
    <w:p w:rsidR="00243C44" w:rsidRDefault="00243C44" w:rsidP="00EA5B85">
      <w:pPr>
        <w:spacing w:line="360" w:lineRule="auto"/>
      </w:pPr>
    </w:p>
    <w:p w:rsidR="00243C44" w:rsidRDefault="00243C44" w:rsidP="00EA5B85">
      <w:pPr>
        <w:spacing w:line="360" w:lineRule="auto"/>
      </w:pPr>
      <w:r>
        <w:tab/>
      </w:r>
      <w:r>
        <w:tab/>
      </w:r>
      <w:r w:rsidR="00BB76CB" w:rsidRPr="00BB76CB">
        <w:t>RESA supports the Settlement even though it does not alter Duquesne</w:t>
      </w:r>
      <w:r w:rsidR="00BB76CB">
        <w:t xml:space="preserve"> Light</w:t>
      </w:r>
      <w:r w:rsidR="00BB76CB" w:rsidRPr="00BB76CB">
        <w:t xml:space="preserve">’s procurement proposals for residential or Medium C&amp;I customers.  As stated above, the Settlement expands and improves upon Duquesne Light’s existing POR program and provides for a process to implement additional customer education and “competition enhancement” programs.  </w:t>
      </w:r>
      <w:r w:rsidR="00BB76CB">
        <w:t xml:space="preserve">RESA </w:t>
      </w:r>
      <w:r w:rsidR="00BB76CB" w:rsidRPr="00BB76CB">
        <w:t>explain</w:t>
      </w:r>
      <w:r w:rsidR="00BB76CB">
        <w:t>s that</w:t>
      </w:r>
      <w:r w:rsidR="00BB76CB" w:rsidRPr="00BB76CB">
        <w:t xml:space="preserve"> market enhancement programs such as those in the Settlement are important aspects of retail competition and should encourage, and possibly enable, more EGSs to attract customers in Duquesne Light</w:t>
      </w:r>
      <w:r w:rsidR="00BB76CB">
        <w:t>’s</w:t>
      </w:r>
      <w:r w:rsidR="00BB76CB" w:rsidRPr="00BB76CB">
        <w:t xml:space="preserve"> service territory.</w:t>
      </w:r>
    </w:p>
    <w:p w:rsidR="00BB76CB" w:rsidRDefault="00BB76CB" w:rsidP="00EA5B85">
      <w:pPr>
        <w:spacing w:line="360" w:lineRule="auto"/>
      </w:pPr>
    </w:p>
    <w:p w:rsidR="00BB76CB" w:rsidRDefault="008970F1" w:rsidP="00EA5B85">
      <w:pPr>
        <w:spacing w:line="360" w:lineRule="auto"/>
      </w:pPr>
      <w:r>
        <w:tab/>
        <w:t>2.</w:t>
      </w:r>
      <w:r>
        <w:tab/>
      </w:r>
      <w:r>
        <w:rPr>
          <w:u w:val="single"/>
        </w:rPr>
        <w:t>Retail Market Enhancements</w:t>
      </w:r>
    </w:p>
    <w:p w:rsidR="008970F1" w:rsidRDefault="008970F1" w:rsidP="00EA5B85">
      <w:pPr>
        <w:spacing w:line="360" w:lineRule="auto"/>
      </w:pPr>
    </w:p>
    <w:p w:rsidR="008970F1" w:rsidRDefault="008970F1" w:rsidP="00EA5B85">
      <w:pPr>
        <w:spacing w:line="360" w:lineRule="auto"/>
      </w:pPr>
      <w:r>
        <w:tab/>
      </w:r>
      <w:r>
        <w:tab/>
        <w:t>a.</w:t>
      </w:r>
      <w:r>
        <w:tab/>
      </w:r>
      <w:r>
        <w:rPr>
          <w:u w:val="single"/>
        </w:rPr>
        <w:t>Expansion of POR Program</w:t>
      </w:r>
    </w:p>
    <w:p w:rsidR="008970F1" w:rsidRDefault="008970F1" w:rsidP="00EA5B85">
      <w:pPr>
        <w:spacing w:line="360" w:lineRule="auto"/>
      </w:pPr>
    </w:p>
    <w:p w:rsidR="008970F1" w:rsidRDefault="008970F1" w:rsidP="00EA5B85">
      <w:pPr>
        <w:spacing w:line="360" w:lineRule="auto"/>
      </w:pPr>
      <w:r>
        <w:tab/>
      </w:r>
      <w:r>
        <w:tab/>
      </w:r>
      <w:r w:rsidR="00E64436" w:rsidRPr="00E64436">
        <w:t>RESA advocated in this proceeding that Duquesne Light be required to expand its existing POR program to include Medium C&amp;I customers with peak demand between 25 kW and 300 kW.   The current POR program does not include this customer group.  As RESA explained in its testimony, expansion of the POR program is essential to the development of retail competition</w:t>
      </w:r>
      <w:r w:rsidR="00E64436">
        <w:t>,</w:t>
      </w:r>
      <w:r w:rsidR="00E64436" w:rsidRPr="00E64436">
        <w:t xml:space="preserve"> because it mitigates some of the anti-competitive effects of misallocated bad debt expense</w:t>
      </w:r>
      <w:r w:rsidR="00E64436">
        <w:t xml:space="preserve"> (RESA St. 1 at 29-30)</w:t>
      </w:r>
      <w:r w:rsidR="00E64436" w:rsidRPr="00E64436">
        <w:t xml:space="preserve">.   The value of a POR program lies in placing the retail supplier on equal footing with the EDC in terms of uncollectible expense and in the fact that EGSs cannot terminate a customer’s distribution service for non-payment.  However, because POR is only </w:t>
      </w:r>
      <w:r w:rsidR="00E64436" w:rsidRPr="00E64436">
        <w:lastRenderedPageBreak/>
        <w:t xml:space="preserve">available to residential and </w:t>
      </w:r>
      <w:r w:rsidR="00E64436">
        <w:t>S</w:t>
      </w:r>
      <w:r w:rsidR="00E64436" w:rsidRPr="00E64436">
        <w:t>mall C&amp;I customers below 25 kW peak demand, the anticompetitive effects of misallocated uncollectible costs remain present with respect to the larger customer market.</w:t>
      </w:r>
    </w:p>
    <w:p w:rsidR="00E64436" w:rsidRDefault="00E64436" w:rsidP="00EA5B85">
      <w:pPr>
        <w:spacing w:line="360" w:lineRule="auto"/>
      </w:pPr>
    </w:p>
    <w:p w:rsidR="00E64436" w:rsidRDefault="00E64436" w:rsidP="00EA5B85">
      <w:pPr>
        <w:spacing w:line="360" w:lineRule="auto"/>
      </w:pPr>
      <w:r>
        <w:tab/>
      </w:r>
      <w:r>
        <w:tab/>
      </w:r>
      <w:r w:rsidR="00CD575C" w:rsidRPr="00CD575C">
        <w:t xml:space="preserve">In addition, </w:t>
      </w:r>
      <w:r w:rsidR="00CD575C">
        <w:t xml:space="preserve">the Joint Petitioners </w:t>
      </w:r>
      <w:r w:rsidR="00CD575C" w:rsidRPr="00CD575C">
        <w:t>agree that the POR discount rate for Medium C&amp;I customers will be set at 0.28%, which RESA finds reasonable.  The Settlement also lowers the discount rate for residential and small commercial customers from 0.70% to 0.52%, which should incent EGSs to enter the mass market or to expand current offerings to th</w:t>
      </w:r>
      <w:r w:rsidR="00CD575C">
        <w:t>e</w:t>
      </w:r>
      <w:r w:rsidR="00CD575C" w:rsidRPr="00CD575C">
        <w:t>se customers.</w:t>
      </w:r>
    </w:p>
    <w:p w:rsidR="00CD575C" w:rsidRDefault="00CD575C" w:rsidP="00EA5B85">
      <w:pPr>
        <w:spacing w:line="360" w:lineRule="auto"/>
      </w:pPr>
    </w:p>
    <w:p w:rsidR="00CD575C" w:rsidRDefault="00FF59C1" w:rsidP="00EA5B85">
      <w:pPr>
        <w:spacing w:line="360" w:lineRule="auto"/>
      </w:pPr>
      <w:r>
        <w:tab/>
      </w:r>
      <w:r>
        <w:tab/>
        <w:t xml:space="preserve">RESA opines the </w:t>
      </w:r>
      <w:r w:rsidRPr="00FF59C1">
        <w:t>Settlement, by expanding POR to Medium C&amp;I customers and by implementing a reasonable discount rate, should make the Medium C&amp;I market more attractive for EGSs in the future.</w:t>
      </w:r>
    </w:p>
    <w:p w:rsidR="00FF59C1" w:rsidRDefault="00FF59C1" w:rsidP="00EA5B85">
      <w:pPr>
        <w:spacing w:line="360" w:lineRule="auto"/>
      </w:pPr>
    </w:p>
    <w:p w:rsidR="00FF59C1" w:rsidRDefault="00FF59C1" w:rsidP="00EA5B85">
      <w:pPr>
        <w:spacing w:line="360" w:lineRule="auto"/>
      </w:pPr>
      <w:r>
        <w:tab/>
      </w:r>
      <w:r>
        <w:tab/>
        <w:t>b.</w:t>
      </w:r>
      <w:r>
        <w:tab/>
      </w:r>
      <w:r>
        <w:rPr>
          <w:u w:val="single"/>
        </w:rPr>
        <w:t>Customer Education Enhancements</w:t>
      </w:r>
    </w:p>
    <w:p w:rsidR="00FF59C1" w:rsidRDefault="00FF59C1" w:rsidP="00EA5B85">
      <w:pPr>
        <w:spacing w:line="360" w:lineRule="auto"/>
      </w:pPr>
    </w:p>
    <w:p w:rsidR="00FF59C1" w:rsidRDefault="00FF59C1" w:rsidP="00EA5B85">
      <w:pPr>
        <w:spacing w:line="360" w:lineRule="auto"/>
      </w:pPr>
      <w:r>
        <w:tab/>
      </w:r>
      <w:r>
        <w:tab/>
      </w:r>
      <w:r w:rsidR="000877D4" w:rsidRPr="000877D4">
        <w:t xml:space="preserve">The Settlement obligates Duquesne Light to locate prominently on its website a link to the OCA residential shopping guide.  Once the Commission’s new comprehensive website exists, Duquesne Light will provide a prominent link to that site.   On a semi-annual basis, Duquesne Light will circulate information on Customer Choice, including promoting the website, and it will also advise new customers upon service initiation of the opportunity to obtain supply from an EGS.   </w:t>
      </w:r>
      <w:r w:rsidR="000877D4">
        <w:t>RESA states t</w:t>
      </w:r>
      <w:r w:rsidR="000877D4" w:rsidRPr="000877D4">
        <w:t xml:space="preserve">hese provisions in the Settlement, among others, represent an improvement to Duquesne Light’s current website and to the manner in which it provides information about </w:t>
      </w:r>
      <w:r w:rsidR="000877D4">
        <w:t>c</w:t>
      </w:r>
      <w:r w:rsidR="000877D4" w:rsidRPr="000877D4">
        <w:t>hoice to its customers.</w:t>
      </w:r>
    </w:p>
    <w:p w:rsidR="000877D4" w:rsidRDefault="000877D4" w:rsidP="00EA5B85">
      <w:pPr>
        <w:spacing w:line="360" w:lineRule="auto"/>
      </w:pPr>
    </w:p>
    <w:p w:rsidR="000877D4" w:rsidRDefault="000877D4" w:rsidP="00EA5B85">
      <w:pPr>
        <w:spacing w:line="360" w:lineRule="auto"/>
      </w:pPr>
      <w:r>
        <w:tab/>
      </w:r>
      <w:r>
        <w:tab/>
        <w:t>c.</w:t>
      </w:r>
      <w:r>
        <w:tab/>
      </w:r>
      <w:r>
        <w:rPr>
          <w:u w:val="single"/>
        </w:rPr>
        <w:t>Competition Enhancement Program</w:t>
      </w:r>
    </w:p>
    <w:p w:rsidR="000877D4" w:rsidRDefault="000877D4" w:rsidP="00EA5B85">
      <w:pPr>
        <w:spacing w:line="360" w:lineRule="auto"/>
      </w:pPr>
    </w:p>
    <w:p w:rsidR="000877D4" w:rsidRDefault="000877D4" w:rsidP="00EA5B85">
      <w:pPr>
        <w:spacing w:line="360" w:lineRule="auto"/>
      </w:pPr>
      <w:r>
        <w:tab/>
      </w:r>
      <w:r>
        <w:tab/>
      </w:r>
      <w:r w:rsidR="00B825B1" w:rsidRPr="00B825B1">
        <w:t>RESA proposed in its pre-filed testimony that Duquesne Light be required to implement a customer referral program</w:t>
      </w:r>
      <w:r w:rsidR="00B825B1">
        <w:t xml:space="preserve"> (RESA St. 1 at 27-29)</w:t>
      </w:r>
      <w:r w:rsidR="00B825B1" w:rsidRPr="00B825B1">
        <w:t xml:space="preserve">.   Duquesne Light did not propose this program or anything similar in its petition.  The goal of the program is to have Duquesne Light advise customers not just about </w:t>
      </w:r>
      <w:r w:rsidR="00B825B1">
        <w:t>c</w:t>
      </w:r>
      <w:r w:rsidR="00B825B1" w:rsidRPr="00B825B1">
        <w:t xml:space="preserve">hoice or about their ability to choose an EGS in the </w:t>
      </w:r>
      <w:r w:rsidR="00B825B1" w:rsidRPr="00B825B1">
        <w:lastRenderedPageBreak/>
        <w:t>generic sense, but to advise about specific retail offers and to facilitate a customer’s selection of one of these offers.  While the details of the program, which the Settlement refers to as a “competition enhancement program,” will be worked out in a collaborative, the Settlement provides a framework for the collaborative discussion and it obligates Duquesne Light to implement such a program by January 1, 2011.  Importantly for RESA, interested parties must meet at least three times, and if the parties are unable to reach consensus on the details of the program, then such details will be litigated on an expedited basis to ensure implementation by January 1, 2011.</w:t>
      </w:r>
    </w:p>
    <w:p w:rsidR="00BE4612" w:rsidRDefault="00BE4612" w:rsidP="00EA5B85">
      <w:pPr>
        <w:spacing w:line="360" w:lineRule="auto"/>
      </w:pPr>
    </w:p>
    <w:p w:rsidR="00BE4612" w:rsidRDefault="00BF0079" w:rsidP="00EA5B85">
      <w:pPr>
        <w:spacing w:line="360" w:lineRule="auto"/>
      </w:pPr>
      <w:r>
        <w:tab/>
      </w:r>
      <w:r>
        <w:tab/>
      </w:r>
      <w:r w:rsidRPr="00BF0079">
        <w:t xml:space="preserve">Such a properly constructed and implemented program could benefit retail competition. </w:t>
      </w:r>
      <w:r>
        <w:t xml:space="preserve"> </w:t>
      </w:r>
      <w:r w:rsidRPr="00BF0079">
        <w:t>As RESA explained in its testimony, comprehensive customer education and customer referral programs will help to facilitate mass market competition in Duquesne Light</w:t>
      </w:r>
      <w:r>
        <w:t>’s</w:t>
      </w:r>
      <w:r w:rsidRPr="00BF0079">
        <w:t xml:space="preserve"> service area.  Marketing is one of the most expensive components of a mass market customer acquisition campaign.  The referral program discussed above and in the Settlement would allow new mass market EGSs to leverage the existing communication channels that Duquesne Light has with its customers in order to inform customers about their offers and provide a convenient method of selecting an offer.</w:t>
      </w:r>
    </w:p>
    <w:p w:rsidR="002626BC" w:rsidRDefault="002626BC" w:rsidP="00EA5B85">
      <w:pPr>
        <w:spacing w:line="360" w:lineRule="auto"/>
      </w:pPr>
    </w:p>
    <w:p w:rsidR="002626BC" w:rsidRDefault="002626BC" w:rsidP="00EA5B85">
      <w:pPr>
        <w:spacing w:line="360" w:lineRule="auto"/>
      </w:pPr>
      <w:r>
        <w:tab/>
      </w:r>
      <w:r>
        <w:tab/>
        <w:t>d.</w:t>
      </w:r>
      <w:r>
        <w:tab/>
      </w:r>
      <w:r>
        <w:rPr>
          <w:u w:val="single"/>
        </w:rPr>
        <w:t>Provision of Customer Data to EGSs</w:t>
      </w:r>
    </w:p>
    <w:p w:rsidR="002626BC" w:rsidRDefault="002626BC" w:rsidP="00EA5B85">
      <w:pPr>
        <w:spacing w:line="360" w:lineRule="auto"/>
      </w:pPr>
    </w:p>
    <w:p w:rsidR="002626BC" w:rsidRDefault="002626BC" w:rsidP="00EA5B85">
      <w:pPr>
        <w:spacing w:line="360" w:lineRule="auto"/>
      </w:pPr>
      <w:r>
        <w:tab/>
      </w:r>
      <w:r>
        <w:tab/>
      </w:r>
      <w:r w:rsidR="00786FB7" w:rsidRPr="00786FB7">
        <w:t xml:space="preserve">The Settlement obligates Duquesne Light to provide monthly, on the EGS section of its website, to all licensed EGSs, subject to the Commission’s customer privacy and protection rules, an updated view of each </w:t>
      </w:r>
      <w:r w:rsidR="0050126C">
        <w:t>c</w:t>
      </w:r>
      <w:r w:rsidR="00786FB7" w:rsidRPr="00786FB7">
        <w:t xml:space="preserve">ustomer’s name, address (both service and billing) contact name, 12 individual rolling months of usage and demand, meter read cycle, rate plan, revenue code, profile group, POLR customer indicator, the current 1CP, and the current 5CP.  EGSs </w:t>
      </w:r>
      <w:r w:rsidR="0050126C">
        <w:t xml:space="preserve">will </w:t>
      </w:r>
      <w:r w:rsidR="00786FB7" w:rsidRPr="00786FB7">
        <w:t>be allowed to download this information from the website.   An EGS’ access to this information is critical in that the information allows EGSs to more effectively identify customers, communicate with and educate customers about available products, and to design products that satisfy customers’ individual desires and budgets.</w:t>
      </w:r>
    </w:p>
    <w:p w:rsidR="007C72EB" w:rsidRDefault="007C72EB" w:rsidP="00EA5B85">
      <w:pPr>
        <w:spacing w:line="360" w:lineRule="auto"/>
      </w:pPr>
    </w:p>
    <w:p w:rsidR="007C72EB" w:rsidRDefault="007C72EB" w:rsidP="00EA5B85">
      <w:pPr>
        <w:spacing w:line="360" w:lineRule="auto"/>
      </w:pPr>
      <w:r>
        <w:lastRenderedPageBreak/>
        <w:tab/>
      </w:r>
      <w:r>
        <w:tab/>
        <w:t>e.</w:t>
      </w:r>
      <w:r>
        <w:tab/>
      </w:r>
      <w:r>
        <w:rPr>
          <w:u w:val="single"/>
        </w:rPr>
        <w:t>Renewables Collaborative to Ensure Competitive Neutrality</w:t>
      </w:r>
    </w:p>
    <w:p w:rsidR="007C72EB" w:rsidRDefault="007C72EB" w:rsidP="00EA5B85">
      <w:pPr>
        <w:spacing w:line="360" w:lineRule="auto"/>
      </w:pPr>
    </w:p>
    <w:p w:rsidR="007C72EB" w:rsidRDefault="007C72EB" w:rsidP="00EA5B85">
      <w:pPr>
        <w:spacing w:line="360" w:lineRule="auto"/>
      </w:pPr>
      <w:r>
        <w:tab/>
      </w:r>
      <w:r>
        <w:tab/>
      </w:r>
      <w:r w:rsidR="00AA1136" w:rsidRPr="00AA1136">
        <w:t>RESA opposed Duquesne Light’s proposal to enter into long term contracts for energy, capacity and renewable credits from solar and hydro projects on behalf of residential default service customers.  In RESA’s view, Duquesne</w:t>
      </w:r>
      <w:r w:rsidR="00AA1136">
        <w:t xml:space="preserve"> Light</w:t>
      </w:r>
      <w:r w:rsidR="00AA1136" w:rsidRPr="00AA1136">
        <w:t>’s proposal would not produce a competitively neutral result</w:t>
      </w:r>
      <w:r w:rsidR="00AA1136">
        <w:t xml:space="preserve"> (RESA St. 1 at 25-26)</w:t>
      </w:r>
      <w:r w:rsidR="00AA1136" w:rsidRPr="00AA1136">
        <w:t>.   In the Settlement, Duquesne Light agree</w:t>
      </w:r>
      <w:r w:rsidR="00AA1136">
        <w:t>s</w:t>
      </w:r>
      <w:r w:rsidR="00AA1136" w:rsidRPr="00AA1136">
        <w:t xml:space="preserve"> to remove its proposal from the POLR V proceeding and make it the subject of a collaborative.  Duquesne Light will conduct the collaborative “to attempt to develop a consensus on the specific parameters of Duquesne Light’s long term renewable energy procurements and to ensure that any such procurements result in </w:t>
      </w:r>
      <w:r w:rsidR="00AA1136">
        <w:t>a competitively-neutral outcome</w:t>
      </w:r>
      <w:r w:rsidR="00AA1136" w:rsidRPr="00AA1136">
        <w:t>”</w:t>
      </w:r>
      <w:r w:rsidR="00AA1136">
        <w:t xml:space="preserve"> (Settlement at ¶28).</w:t>
      </w:r>
      <w:r w:rsidR="00AA1136" w:rsidRPr="00AA1136">
        <w:t xml:space="preserve">   If </w:t>
      </w:r>
      <w:r w:rsidR="00AA1136">
        <w:t xml:space="preserve">the </w:t>
      </w:r>
      <w:r w:rsidR="00AA1136" w:rsidRPr="00AA1136">
        <w:t xml:space="preserve">parties are unable to reach a consensus, Duquesne Light may </w:t>
      </w:r>
      <w:r w:rsidR="00C63F02">
        <w:t>re-file its long-</w:t>
      </w:r>
      <w:r w:rsidR="00AA1136" w:rsidRPr="00AA1136">
        <w:t>term renewable energy procurement plan in a separate proceeding.  Thus, RESA was able to ensure that Duquesne Light’s proposal for long-term renewables contracts will be competitively-neutral, which is an important outcome and goal for RESA.</w:t>
      </w:r>
    </w:p>
    <w:p w:rsidR="00C63F02" w:rsidRDefault="00C63F02" w:rsidP="00EA5B85">
      <w:pPr>
        <w:spacing w:line="360" w:lineRule="auto"/>
      </w:pPr>
    </w:p>
    <w:p w:rsidR="00C63F02" w:rsidRDefault="00C63F02" w:rsidP="00EA5B85">
      <w:pPr>
        <w:spacing w:line="360" w:lineRule="auto"/>
      </w:pPr>
      <w:r>
        <w:tab/>
        <w:t>3.</w:t>
      </w:r>
      <w:r>
        <w:tab/>
      </w:r>
      <w:r>
        <w:rPr>
          <w:u w:val="single"/>
        </w:rPr>
        <w:t>Conclusion</w:t>
      </w:r>
    </w:p>
    <w:p w:rsidR="00C63F02" w:rsidRDefault="00C63F02" w:rsidP="00EA5B85">
      <w:pPr>
        <w:spacing w:line="360" w:lineRule="auto"/>
      </w:pPr>
    </w:p>
    <w:p w:rsidR="00C63F02" w:rsidRDefault="00C63F02" w:rsidP="00EA5B85">
      <w:pPr>
        <w:spacing w:line="360" w:lineRule="auto"/>
      </w:pPr>
      <w:r>
        <w:tab/>
      </w:r>
      <w:r>
        <w:tab/>
      </w:r>
      <w:r w:rsidR="00791DB6">
        <w:t>RESA</w:t>
      </w:r>
      <w:r w:rsidR="00151B59">
        <w:t xml:space="preserve"> concedes</w:t>
      </w:r>
      <w:r w:rsidR="00791DB6">
        <w:t xml:space="preserve">, </w:t>
      </w:r>
      <w:r w:rsidR="00151B59">
        <w:t>l</w:t>
      </w:r>
      <w:r w:rsidR="00151B59" w:rsidRPr="00151B59">
        <w:t xml:space="preserve">ike any settlement, the Settlement is not a perfect disposition of this proceeding.  In RESA’s view, the Settlement leaves intact a default service procurement structure that results in default service prices that do not reflect the underlying wholesale market and which lacks transparency.  That said, </w:t>
      </w:r>
      <w:r w:rsidR="008D45CD">
        <w:t xml:space="preserve">RESA believes </w:t>
      </w:r>
      <w:r w:rsidR="00151B59" w:rsidRPr="00151B59">
        <w:t>the Settlement puts in place market enhancement mechanisms that should improve the state of competition for mass market customers and also for Medium C&amp;I customers.  Given the inclusion of these important market enhancement provisions, RESA supports the Settlement as a balanced resolution of the numerous issues in this proceeding, and RESA requests that the Commission approve the Settlement.</w:t>
      </w:r>
    </w:p>
    <w:p w:rsidR="000F5BC6" w:rsidRDefault="000F5BC6" w:rsidP="00EA5B85">
      <w:pPr>
        <w:spacing w:line="360" w:lineRule="auto"/>
      </w:pPr>
    </w:p>
    <w:p w:rsidR="000F5BC6" w:rsidRDefault="000F5BC6" w:rsidP="00EA5B85">
      <w:pPr>
        <w:spacing w:line="360" w:lineRule="auto"/>
      </w:pPr>
      <w:r>
        <w:t>H.</w:t>
      </w:r>
      <w:r>
        <w:tab/>
      </w:r>
      <w:r>
        <w:rPr>
          <w:u w:val="single"/>
        </w:rPr>
        <w:t>Constellation’s Position</w:t>
      </w:r>
    </w:p>
    <w:p w:rsidR="000F5BC6" w:rsidRDefault="000F5BC6" w:rsidP="00EA5B85">
      <w:pPr>
        <w:spacing w:line="360" w:lineRule="auto"/>
      </w:pPr>
    </w:p>
    <w:p w:rsidR="000F5BC6" w:rsidRDefault="006845ED" w:rsidP="00EA5B85">
      <w:pPr>
        <w:spacing w:line="360" w:lineRule="auto"/>
      </w:pPr>
      <w:r>
        <w:tab/>
      </w:r>
      <w:r>
        <w:tab/>
      </w:r>
      <w:r w:rsidRPr="006845ED">
        <w:t xml:space="preserve">Constellation joins in Paragraphs 14-21 and 38-45 of the Settlement (“Joining Paragraphs”).  Constellation’s support of the Settlement, including the Joining Paragraphs, does </w:t>
      </w:r>
      <w:r w:rsidRPr="006845ED">
        <w:lastRenderedPageBreak/>
        <w:t xml:space="preserve">not imply Constellation’s agreement for each of the aspects of their terms, individually.  Though not all of Constellation’s substantive issues are addressed fully by the Settlement or the Joining Paragraphs, Constellation believes that, upon considering the Settlement’s terms taken together, the Commission should approve the </w:t>
      </w:r>
      <w:r>
        <w:t>d</w:t>
      </w:r>
      <w:r w:rsidRPr="006845ED">
        <w:t xml:space="preserve">efault </w:t>
      </w:r>
      <w:r>
        <w:t>s</w:t>
      </w:r>
      <w:r w:rsidRPr="006845ED">
        <w:t xml:space="preserve">ervice </w:t>
      </w:r>
      <w:r>
        <w:t>p</w:t>
      </w:r>
      <w:r w:rsidRPr="006845ED">
        <w:t>lan, including the revised form of Supply Master Agreement (</w:t>
      </w:r>
      <w:r>
        <w:t>“</w:t>
      </w:r>
      <w:r w:rsidRPr="006845ED">
        <w:t>SMA</w:t>
      </w:r>
      <w:r>
        <w:t>”</w:t>
      </w:r>
      <w:r w:rsidRPr="006845ED">
        <w:t>), as it is in the public interest as a reasonable settlement of the issues presented by the Joint Petitioners in this proceeding.</w:t>
      </w:r>
    </w:p>
    <w:p w:rsidR="006845ED" w:rsidRDefault="006845ED" w:rsidP="00EA5B85">
      <w:pPr>
        <w:spacing w:line="360" w:lineRule="auto"/>
      </w:pPr>
    </w:p>
    <w:p w:rsidR="006845ED" w:rsidRDefault="00391841" w:rsidP="00EA5B85">
      <w:pPr>
        <w:spacing w:line="360" w:lineRule="auto"/>
      </w:pPr>
      <w:r>
        <w:tab/>
      </w:r>
      <w:r>
        <w:tab/>
        <w:t xml:space="preserve">Constellation notes the </w:t>
      </w:r>
      <w:r w:rsidR="00B43C56">
        <w:t>d</w:t>
      </w:r>
      <w:r w:rsidR="00B43C56" w:rsidRPr="00B43C56">
        <w:t xml:space="preserve">efault </w:t>
      </w:r>
      <w:r w:rsidR="00B43C56">
        <w:t>s</w:t>
      </w:r>
      <w:r w:rsidR="00B43C56" w:rsidRPr="00B43C56">
        <w:t xml:space="preserve">ervice </w:t>
      </w:r>
      <w:r w:rsidR="00B43C56">
        <w:t>p</w:t>
      </w:r>
      <w:r w:rsidR="00B43C56" w:rsidRPr="00B43C56">
        <w:t>lan specifically utilizes competitive bid processes (</w:t>
      </w:r>
      <w:r w:rsidR="001F5009">
        <w:t>“</w:t>
      </w:r>
      <w:r w:rsidR="00B43C56" w:rsidRPr="00B43C56">
        <w:t>CBPs</w:t>
      </w:r>
      <w:r w:rsidR="001F5009">
        <w:t>”</w:t>
      </w:r>
      <w:r w:rsidR="00B43C56" w:rsidRPr="00B43C56">
        <w:t xml:space="preserve">) to procure a significant portion of Duquesne Light’s </w:t>
      </w:r>
      <w:r w:rsidR="001F5009">
        <w:t>d</w:t>
      </w:r>
      <w:r w:rsidR="00B43C56" w:rsidRPr="00B43C56">
        <w:t xml:space="preserve">efault </w:t>
      </w:r>
      <w:r w:rsidR="001F5009">
        <w:t>s</w:t>
      </w:r>
      <w:r w:rsidR="00B43C56" w:rsidRPr="00B43C56">
        <w:t xml:space="preserve">ervice requirements through wholesale full requirements </w:t>
      </w:r>
      <w:r w:rsidR="001F5009">
        <w:t>d</w:t>
      </w:r>
      <w:r w:rsidR="00B43C56" w:rsidRPr="00B43C56">
        <w:t xml:space="preserve">efault </w:t>
      </w:r>
      <w:r w:rsidR="001F5009">
        <w:t>s</w:t>
      </w:r>
      <w:r w:rsidR="00B43C56" w:rsidRPr="00B43C56">
        <w:t>ervice supply products (“FR Products”) to meet Small and Medium C&amp;I supply obligations.</w:t>
      </w:r>
      <w:r w:rsidR="003D4E15">
        <w:t xml:space="preserve">  </w:t>
      </w:r>
      <w:r w:rsidR="000C39A0" w:rsidRPr="000C39A0">
        <w:t xml:space="preserve">A reasonable settlement on achieving a prudent mix of </w:t>
      </w:r>
      <w:r w:rsidR="000C39A0">
        <w:t>d</w:t>
      </w:r>
      <w:r w:rsidR="000C39A0" w:rsidRPr="000C39A0">
        <w:t xml:space="preserve">efault </w:t>
      </w:r>
      <w:r w:rsidR="000C39A0">
        <w:t>s</w:t>
      </w:r>
      <w:r w:rsidR="000C39A0" w:rsidRPr="000C39A0">
        <w:t xml:space="preserve">ervice supply is encouraged through the </w:t>
      </w:r>
      <w:r w:rsidR="000C39A0">
        <w:t>p</w:t>
      </w:r>
      <w:r w:rsidR="000C39A0" w:rsidRPr="000C39A0">
        <w:t>lan’s reliance on FR Products to meet a significant portion of Duquesne Light’s customers’ needs.</w:t>
      </w:r>
      <w:r w:rsidR="000C39A0">
        <w:t xml:space="preserve">  </w:t>
      </w:r>
      <w:r w:rsidR="00465EA6">
        <w:t>Constellation finds t</w:t>
      </w:r>
      <w:r w:rsidR="00465EA6" w:rsidRPr="00465EA6">
        <w:t xml:space="preserve">he </w:t>
      </w:r>
      <w:r w:rsidR="00465EA6">
        <w:t>d</w:t>
      </w:r>
      <w:r w:rsidR="00465EA6" w:rsidRPr="00465EA6">
        <w:t xml:space="preserve">efault </w:t>
      </w:r>
      <w:r w:rsidR="00465EA6">
        <w:t>s</w:t>
      </w:r>
      <w:r w:rsidR="00465EA6" w:rsidRPr="00465EA6">
        <w:t xml:space="preserve">ervice </w:t>
      </w:r>
      <w:r w:rsidR="00465EA6">
        <w:t>p</w:t>
      </w:r>
      <w:r w:rsidR="00465EA6" w:rsidRPr="00465EA6">
        <w:t>lan as structured generally represents a reasonable settlement, balancing the characteristics of various customer classes and the types of products used to supply their respective load requirements.</w:t>
      </w:r>
      <w:r w:rsidR="00625473">
        <w:t xml:space="preserve">  </w:t>
      </w:r>
      <w:r w:rsidR="00625473" w:rsidRPr="00625473">
        <w:t>In part through its reliance largely on FR Products to meet C&amp;I supply r</w:t>
      </w:r>
      <w:r w:rsidR="00625473">
        <w:t>equirements, the d</w:t>
      </w:r>
      <w:r w:rsidR="00625473" w:rsidRPr="00625473">
        <w:t xml:space="preserve">efault </w:t>
      </w:r>
      <w:r w:rsidR="00625473">
        <w:t>s</w:t>
      </w:r>
      <w:r w:rsidR="00625473" w:rsidRPr="00625473">
        <w:t xml:space="preserve">ervice </w:t>
      </w:r>
      <w:r w:rsidR="00625473">
        <w:t>p</w:t>
      </w:r>
      <w:r w:rsidR="00625473" w:rsidRPr="00625473">
        <w:t>lan reduces market risks to consumers through fixed-price products and, in this way, provides both adequate and reliable service to meet their needs.</w:t>
      </w:r>
    </w:p>
    <w:p w:rsidR="00465EA6" w:rsidRDefault="00465EA6" w:rsidP="00EA5B85">
      <w:pPr>
        <w:spacing w:line="360" w:lineRule="auto"/>
      </w:pPr>
    </w:p>
    <w:p w:rsidR="00465EA6" w:rsidRDefault="00465EA6" w:rsidP="00EA5B85">
      <w:pPr>
        <w:spacing w:line="360" w:lineRule="auto"/>
      </w:pPr>
      <w:r>
        <w:tab/>
      </w:r>
      <w:r>
        <w:tab/>
      </w:r>
      <w:r w:rsidR="00625473">
        <w:t>In addition, Constellation submits the d</w:t>
      </w:r>
      <w:r w:rsidR="00625473" w:rsidRPr="00625473">
        <w:t xml:space="preserve">efault </w:t>
      </w:r>
      <w:r w:rsidR="00625473">
        <w:t>s</w:t>
      </w:r>
      <w:r w:rsidR="00625473" w:rsidRPr="00625473">
        <w:t xml:space="preserve">ervice </w:t>
      </w:r>
      <w:r w:rsidR="00625473">
        <w:t>p</w:t>
      </w:r>
      <w:r w:rsidR="00625473" w:rsidRPr="00625473">
        <w:t>lan ensures that Duquesne Light’s customers will receive adequate and reliable service by relying on obtaining wholesale supply from the PJM wholesale market.</w:t>
      </w:r>
      <w:r w:rsidR="00950A7E">
        <w:t xml:space="preserve">  </w:t>
      </w:r>
      <w:r w:rsidR="00FF310C">
        <w:t>In Constellation’s view, t</w:t>
      </w:r>
      <w:r w:rsidR="00FF310C" w:rsidRPr="00FF310C">
        <w:t xml:space="preserve">he </w:t>
      </w:r>
      <w:r w:rsidR="00FF310C">
        <w:t>p</w:t>
      </w:r>
      <w:r w:rsidR="00FF310C" w:rsidRPr="00FF310C">
        <w:t xml:space="preserve">lan rightly relies in part on the use of competitive procurements to obtain generation supply contracts required to meet </w:t>
      </w:r>
      <w:r w:rsidR="00FF310C">
        <w:t>d</w:t>
      </w:r>
      <w:r w:rsidR="00FF310C" w:rsidRPr="00FF310C">
        <w:t xml:space="preserve">efault </w:t>
      </w:r>
      <w:r w:rsidR="00FF310C">
        <w:t>s</w:t>
      </w:r>
      <w:r w:rsidR="00FF310C" w:rsidRPr="00FF310C">
        <w:t>ervice obligations.</w:t>
      </w:r>
      <w:r w:rsidR="00DF7BCD">
        <w:t xml:space="preserve">  </w:t>
      </w:r>
      <w:r w:rsidR="00C42CC2">
        <w:t>Constellation suggests that t</w:t>
      </w:r>
      <w:r w:rsidR="00C42CC2" w:rsidRPr="00C42CC2">
        <w:t xml:space="preserve">o the extent the </w:t>
      </w:r>
      <w:r w:rsidR="00C42CC2">
        <w:t>p</w:t>
      </w:r>
      <w:r w:rsidR="00C42CC2" w:rsidRPr="00C42CC2">
        <w:t xml:space="preserve">lan procures products similar to those procured in various states throughout PJM’s footprint, the </w:t>
      </w:r>
      <w:r w:rsidR="00C42CC2">
        <w:t>p</w:t>
      </w:r>
      <w:r w:rsidR="00C42CC2" w:rsidRPr="00C42CC2">
        <w:t>lan’s CBP structure, all else being equal, will promote robust levels of participation due to its well-designed, stable and non-discriminatory procurement process.</w:t>
      </w:r>
    </w:p>
    <w:p w:rsidR="00C42CC2" w:rsidRDefault="00C42CC2" w:rsidP="00EA5B85">
      <w:pPr>
        <w:spacing w:line="360" w:lineRule="auto"/>
      </w:pPr>
    </w:p>
    <w:p w:rsidR="008A2859" w:rsidRDefault="00C42CC2" w:rsidP="00EA5B85">
      <w:pPr>
        <w:spacing w:line="360" w:lineRule="auto"/>
      </w:pPr>
      <w:r>
        <w:lastRenderedPageBreak/>
        <w:tab/>
      </w:r>
      <w:r>
        <w:tab/>
      </w:r>
      <w:r w:rsidR="008A2859" w:rsidRPr="008A2859">
        <w:t xml:space="preserve">For the </w:t>
      </w:r>
      <w:r w:rsidR="00593AD4">
        <w:t>p</w:t>
      </w:r>
      <w:r w:rsidR="008A2859" w:rsidRPr="008A2859">
        <w:t xml:space="preserve">lan’s procurement of generation supply contracts for C&amp;I customers, </w:t>
      </w:r>
      <w:r w:rsidR="00593AD4">
        <w:t xml:space="preserve">Constellation submits </w:t>
      </w:r>
      <w:r w:rsidR="008A2859" w:rsidRPr="008A2859">
        <w:t xml:space="preserve">the Settlement includes a CBP structure under which winning bidders are able to be determined on </w:t>
      </w:r>
      <w:r w:rsidR="00593AD4">
        <w:t xml:space="preserve">the basis of “least cost” alone.  </w:t>
      </w:r>
      <w:r w:rsidR="00593AD4" w:rsidRPr="00593AD4">
        <w:t>By adopting many of the SMA provisions included in the form of supply contract approved by the Commission for use by West Penn Power Company d</w:t>
      </w:r>
      <w:r w:rsidR="00593AD4">
        <w:t>/</w:t>
      </w:r>
      <w:r w:rsidR="00593AD4" w:rsidRPr="00593AD4">
        <w:t>b</w:t>
      </w:r>
      <w:r w:rsidR="0058275B">
        <w:t>/</w:t>
      </w:r>
      <w:r w:rsidR="00593AD4" w:rsidRPr="00593AD4">
        <w:t>a Allegheny Power – and introduced and supported in Constellation</w:t>
      </w:r>
      <w:r w:rsidR="0058275B">
        <w:t>’s</w:t>
      </w:r>
      <w:r w:rsidR="00593AD4" w:rsidRPr="00593AD4">
        <w:t xml:space="preserve"> </w:t>
      </w:r>
      <w:r w:rsidR="0058275B">
        <w:t>t</w:t>
      </w:r>
      <w:r w:rsidR="00593AD4" w:rsidRPr="00593AD4">
        <w:t xml:space="preserve">estimony – the </w:t>
      </w:r>
      <w:r w:rsidR="0058275B">
        <w:t>p</w:t>
      </w:r>
      <w:r w:rsidR="00593AD4" w:rsidRPr="00593AD4">
        <w:t>lan’s competitive procurements are more likely to continue to assure that least cost generation supply contracts are selected for products.</w:t>
      </w:r>
      <w:r w:rsidR="0058275B">
        <w:t xml:space="preserve">  Constellation claims the p</w:t>
      </w:r>
      <w:r w:rsidR="0058275B" w:rsidRPr="0058275B">
        <w:t>lan represents a reasonable settlement to encourage further retail market development, particularly through Duquesne Light’s commitment to: (a) improve its program to purchase EGS</w:t>
      </w:r>
      <w:r w:rsidR="0058275B">
        <w:t xml:space="preserve"> receivables; </w:t>
      </w:r>
      <w:r w:rsidR="0058275B" w:rsidRPr="0058275B">
        <w:t>(b) provide better customer access to i</w:t>
      </w:r>
      <w:r w:rsidR="003457FF">
        <w:t xml:space="preserve">nformation regarding shopping; </w:t>
      </w:r>
      <w:r w:rsidR="0058275B" w:rsidRPr="0058275B">
        <w:t>and (c) provide better EGS access to customer information and data.</w:t>
      </w:r>
    </w:p>
    <w:p w:rsidR="003457FF" w:rsidRDefault="003457FF" w:rsidP="00EA5B85">
      <w:pPr>
        <w:spacing w:line="360" w:lineRule="auto"/>
      </w:pPr>
    </w:p>
    <w:p w:rsidR="003457FF" w:rsidRDefault="003457FF" w:rsidP="00EA5B85">
      <w:pPr>
        <w:spacing w:line="360" w:lineRule="auto"/>
      </w:pPr>
      <w:r>
        <w:tab/>
      </w:r>
      <w:r>
        <w:tab/>
        <w:t xml:space="preserve">Consequently, </w:t>
      </w:r>
      <w:r w:rsidRPr="003457FF">
        <w:t xml:space="preserve">Constellation supports the Settlement as it is in the public interest and respectfully urges the ALJ and the Commission to expeditiously review and approve Duquesne Light’s revised </w:t>
      </w:r>
      <w:r>
        <w:t>d</w:t>
      </w:r>
      <w:r w:rsidRPr="003457FF">
        <w:t xml:space="preserve">efault </w:t>
      </w:r>
      <w:r>
        <w:t>s</w:t>
      </w:r>
      <w:r w:rsidRPr="003457FF">
        <w:t xml:space="preserve">ervice </w:t>
      </w:r>
      <w:r>
        <w:t>p</w:t>
      </w:r>
      <w:r w:rsidRPr="003457FF">
        <w:t>lan.</w:t>
      </w:r>
    </w:p>
    <w:p w:rsidR="008E3AC8" w:rsidRDefault="008E3AC8" w:rsidP="00EA5B85">
      <w:pPr>
        <w:spacing w:line="360" w:lineRule="auto"/>
      </w:pPr>
    </w:p>
    <w:p w:rsidR="008E3AC8" w:rsidRDefault="008E3AC8" w:rsidP="00EA5B85">
      <w:pPr>
        <w:spacing w:line="360" w:lineRule="auto"/>
      </w:pPr>
      <w:r>
        <w:t>I.</w:t>
      </w:r>
      <w:r>
        <w:tab/>
      </w:r>
      <w:r>
        <w:rPr>
          <w:u w:val="single"/>
        </w:rPr>
        <w:t>Recommendation</w:t>
      </w:r>
    </w:p>
    <w:p w:rsidR="008E3AC8" w:rsidRDefault="008E3AC8" w:rsidP="00EA5B85">
      <w:pPr>
        <w:spacing w:line="360" w:lineRule="auto"/>
      </w:pPr>
    </w:p>
    <w:p w:rsidR="00241A07" w:rsidRDefault="00241A07" w:rsidP="00EA5B85">
      <w:pPr>
        <w:spacing w:line="360" w:lineRule="auto"/>
      </w:pPr>
      <w:r>
        <w:tab/>
      </w:r>
      <w:r>
        <w:tab/>
      </w:r>
      <w:r w:rsidRPr="00241A07">
        <w:t>Under the Electricity Generation Customer Choice and Co</w:t>
      </w:r>
      <w:r>
        <w:t>mpetition Act, 66 Pa. C.S.A. §§</w:t>
      </w:r>
      <w:r>
        <w:t></w:t>
      </w:r>
      <w:r w:rsidRPr="00241A07">
        <w:t>2801</w:t>
      </w:r>
      <w:r>
        <w:t>,</w:t>
      </w:r>
      <w:r w:rsidRPr="00241A07">
        <w:t xml:space="preserve"> </w:t>
      </w:r>
      <w:r w:rsidRPr="00241A07">
        <w:rPr>
          <w:i/>
        </w:rPr>
        <w:t>et seq</w:t>
      </w:r>
      <w:r w:rsidRPr="00241A07">
        <w:t xml:space="preserve">., </w:t>
      </w:r>
      <w:r>
        <w:t>Duquesne Light</w:t>
      </w:r>
      <w:r w:rsidRPr="00241A07">
        <w:t xml:space="preserve">, as </w:t>
      </w:r>
      <w:r w:rsidR="002942E9">
        <w:t xml:space="preserve">an </w:t>
      </w:r>
      <w:r w:rsidRPr="00241A07">
        <w:t>electric distribution compan</w:t>
      </w:r>
      <w:r w:rsidR="002942E9">
        <w:t>y</w:t>
      </w:r>
      <w:r w:rsidRPr="00241A07">
        <w:t xml:space="preserve"> (</w:t>
      </w:r>
      <w:r w:rsidR="002942E9">
        <w:t>“</w:t>
      </w:r>
      <w:r w:rsidRPr="00241A07">
        <w:t>EDC</w:t>
      </w:r>
      <w:r w:rsidR="002942E9">
        <w:t>”) and default service supplier</w:t>
      </w:r>
      <w:r w:rsidRPr="00241A07">
        <w:t xml:space="preserve">, </w:t>
      </w:r>
      <w:r w:rsidR="002942E9">
        <w:t xml:space="preserve">is </w:t>
      </w:r>
      <w:r w:rsidRPr="00241A07">
        <w:t>required to procure electric generation service for customers</w:t>
      </w:r>
      <w:r w:rsidR="002942E9">
        <w:t>,</w:t>
      </w:r>
      <w:r w:rsidRPr="00241A07">
        <w:t xml:space="preserve"> who contract for electric energy which is not supplied or who do not choose an alternative EGS.  Act 129 amended Section 2807(e)(3) of the Public Utility Code</w:t>
      </w:r>
      <w:r w:rsidR="002942E9">
        <w:t>,</w:t>
      </w:r>
      <w:r w:rsidRPr="00241A07">
        <w:t>66 Pa.</w:t>
      </w:r>
      <w:r w:rsidR="002942E9">
        <w:t xml:space="preserve"> </w:t>
      </w:r>
      <w:r w:rsidRPr="00241A07">
        <w:t>C.S.A. §2807(e)(3)</w:t>
      </w:r>
      <w:r w:rsidR="002942E9">
        <w:t>,</w:t>
      </w:r>
      <w:r w:rsidRPr="00241A07">
        <w:t xml:space="preserve"> to require EDCs to file a procurement plan which provides for the use of “competitive procurement processes” to obtain a “prudent mix” of contracts that is designed to ensure “adequate and reliable service” at the “least cost to customers over time.” 66 Pa.</w:t>
      </w:r>
      <w:r w:rsidR="002942E9">
        <w:t xml:space="preserve"> C.S.A. §§</w:t>
      </w:r>
      <w:r w:rsidRPr="00241A07">
        <w:t>2807(e)(3.1)-(3.2) &amp; (3.4).</w:t>
      </w:r>
    </w:p>
    <w:p w:rsidR="006B3177" w:rsidRDefault="006B3177" w:rsidP="00EA5B85">
      <w:pPr>
        <w:spacing w:line="360" w:lineRule="auto"/>
      </w:pPr>
    </w:p>
    <w:p w:rsidR="002942E9" w:rsidRDefault="002942E9" w:rsidP="00EA5B85">
      <w:pPr>
        <w:spacing w:line="360" w:lineRule="auto"/>
      </w:pPr>
      <w:r>
        <w:tab/>
      </w:r>
      <w:r>
        <w:tab/>
      </w:r>
      <w:r w:rsidR="00941F6A" w:rsidRPr="00941F6A">
        <w:t xml:space="preserve">In considering and approving a default service provider’s plan, the Commission is required to make specific findings that “the default service provider’s plan includes prudent steps </w:t>
      </w:r>
      <w:r w:rsidR="00941F6A" w:rsidRPr="00941F6A">
        <w:lastRenderedPageBreak/>
        <w:t>necessary to negotiate favorable generation supply contracts…[and] includes prudent steps necessary to obtain least cost generation supply contracts on a long-term, short-term and spot market basis.”  66 Pa.</w:t>
      </w:r>
      <w:r w:rsidR="00941F6A">
        <w:t xml:space="preserve"> C.S.A. §</w:t>
      </w:r>
      <w:r w:rsidR="00941F6A" w:rsidRPr="00941F6A">
        <w:t>2807(e)(3.7).</w:t>
      </w:r>
    </w:p>
    <w:p w:rsidR="00241A07" w:rsidRDefault="00241A07" w:rsidP="00EA5B85">
      <w:pPr>
        <w:spacing w:line="360" w:lineRule="auto"/>
      </w:pPr>
    </w:p>
    <w:p w:rsidR="008E3AC8" w:rsidRDefault="008E3AC8" w:rsidP="00EA5B85">
      <w:pPr>
        <w:spacing w:line="360" w:lineRule="auto"/>
      </w:pPr>
      <w:r>
        <w:tab/>
      </w:r>
      <w:r>
        <w:tab/>
        <w:t>T</w:t>
      </w:r>
      <w:r w:rsidRPr="008E3AC8">
        <w:t xml:space="preserve">he Settlement represents the unanimous agreement </w:t>
      </w:r>
      <w:r>
        <w:t xml:space="preserve">or non-opposition </w:t>
      </w:r>
      <w:r w:rsidRPr="008E3AC8">
        <w:t xml:space="preserve">of </w:t>
      </w:r>
      <w:r w:rsidR="00C44541">
        <w:t xml:space="preserve">all </w:t>
      </w:r>
      <w:r w:rsidRPr="008E3AC8">
        <w:t xml:space="preserve">parties </w:t>
      </w:r>
      <w:r w:rsidR="00C44541">
        <w:t xml:space="preserve">actively participating in </w:t>
      </w:r>
      <w:r w:rsidR="00C44541" w:rsidRPr="008E3AC8">
        <w:t>this proceeding</w:t>
      </w:r>
      <w:r w:rsidR="00CE325B">
        <w:t xml:space="preserve"> on these issues</w:t>
      </w:r>
      <w:r w:rsidRPr="008E3AC8">
        <w:t>.</w:t>
      </w:r>
      <w:r w:rsidR="00C44541">
        <w:t xml:space="preserve">  </w:t>
      </w:r>
      <w:r w:rsidR="00D04CE9">
        <w:t>T</w:t>
      </w:r>
      <w:r w:rsidR="00D04CE9" w:rsidRPr="004F1F44">
        <w:t>he Joint Petitioners represent the complete range of interests and all constituencies, including: the overall public interest (OTS); residential and low-income customers (OCA and Citizen Power); small business customers (OSBA); electric generation suppliers (Dominion, RESA, and Constellation NewEnergy, Inc.); wholesale suppliers (FES and Constellation Energy Commodities Group, Inc.); large customers (DII); and the interests of Duquesne Light’s customers, employees and investors (Duquesne Light).  The fact that all of these parties, with such diverse interests, have reached a comprehensive agreement on all issues, demonstrates the reasonableness of the proposed Settlement.</w:t>
      </w:r>
      <w:r w:rsidR="00D04CE9">
        <w:t xml:space="preserve">  </w:t>
      </w:r>
      <w:r w:rsidR="0025729F">
        <w:t>F</w:t>
      </w:r>
      <w:r w:rsidR="00A6026B">
        <w:t>urthermore, f</w:t>
      </w:r>
      <w:r w:rsidR="0025729F">
        <w:t xml:space="preserve">or the reasons the </w:t>
      </w:r>
      <w:r w:rsidR="00D04CE9">
        <w:t xml:space="preserve">Joint Petitioners </w:t>
      </w:r>
      <w:r w:rsidR="00571BAA">
        <w:t xml:space="preserve">recite </w:t>
      </w:r>
      <w:r w:rsidR="0025729F">
        <w:t>in their supporting statements, the Joint Petition for Settlement of All Issues</w:t>
      </w:r>
      <w:r w:rsidR="00EC4C41">
        <w:t xml:space="preserve"> appears to satisfy all the requirements </w:t>
      </w:r>
      <w:r w:rsidR="009A6393">
        <w:t>of 66 Pa. C.S. §2807(e)</w:t>
      </w:r>
      <w:r w:rsidR="00E140DC">
        <w:t>,</w:t>
      </w:r>
      <w:r w:rsidR="005A5B40">
        <w:t xml:space="preserve"> as well as the Commission’s regulations at 52 Pa. Code §§54.181-54.189 and </w:t>
      </w:r>
      <w:r w:rsidR="00AE2F9D">
        <w:t>§§69.1801-69.1817.</w:t>
      </w:r>
      <w:r w:rsidR="00CC5C9E">
        <w:t xml:space="preserve">  </w:t>
      </w:r>
      <w:r w:rsidR="00CC5C9E" w:rsidRPr="00CC5C9E">
        <w:t>Therefore, the Settlement is in the public interest and should be approved.</w:t>
      </w:r>
    </w:p>
    <w:p w:rsidR="004B02A7" w:rsidRDefault="004B02A7" w:rsidP="00EA5B85">
      <w:pPr>
        <w:spacing w:line="360" w:lineRule="auto"/>
      </w:pPr>
    </w:p>
    <w:p w:rsidR="004B02A7" w:rsidRDefault="004B02A7" w:rsidP="004B02A7">
      <w:pPr>
        <w:spacing w:line="360" w:lineRule="auto"/>
        <w:jc w:val="center"/>
      </w:pPr>
      <w:r>
        <w:t>IV.</w:t>
      </w:r>
      <w:r>
        <w:tab/>
      </w:r>
      <w:r w:rsidR="00D51EE7">
        <w:rPr>
          <w:u w:val="single"/>
        </w:rPr>
        <w:t>CONCLUSIONS OF LAW</w:t>
      </w:r>
    </w:p>
    <w:p w:rsidR="00D51EE7" w:rsidRDefault="00D51EE7" w:rsidP="00D51EE7">
      <w:pPr>
        <w:spacing w:line="360" w:lineRule="auto"/>
      </w:pPr>
    </w:p>
    <w:p w:rsidR="00D51EE7" w:rsidRDefault="00E54A19" w:rsidP="00D51EE7">
      <w:pPr>
        <w:pStyle w:val="ListParagraph"/>
        <w:numPr>
          <w:ilvl w:val="0"/>
          <w:numId w:val="11"/>
        </w:numPr>
        <w:spacing w:line="360" w:lineRule="auto"/>
        <w:ind w:left="0" w:firstLine="1440"/>
      </w:pPr>
      <w:r w:rsidRPr="00E54A19">
        <w:t xml:space="preserve">The Commission has jurisdiction over the subject matter and the parties to this proceeding.  66 Pa. C.S. §§501, </w:t>
      </w:r>
      <w:r w:rsidRPr="00E54A19">
        <w:rPr>
          <w:i/>
        </w:rPr>
        <w:t>et seq</w:t>
      </w:r>
      <w:r w:rsidRPr="00E54A19">
        <w:t>.</w:t>
      </w:r>
    </w:p>
    <w:p w:rsidR="00E54A19" w:rsidRDefault="00E54A19" w:rsidP="00E54A19">
      <w:pPr>
        <w:pStyle w:val="ListParagraph"/>
        <w:spacing w:line="360" w:lineRule="auto"/>
        <w:ind w:left="1440"/>
      </w:pPr>
    </w:p>
    <w:p w:rsidR="00E54A19" w:rsidRDefault="00F47CB5" w:rsidP="00D51EE7">
      <w:pPr>
        <w:pStyle w:val="ListParagraph"/>
        <w:numPr>
          <w:ilvl w:val="0"/>
          <w:numId w:val="11"/>
        </w:numPr>
        <w:spacing w:line="360" w:lineRule="auto"/>
        <w:ind w:left="0" w:firstLine="1440"/>
      </w:pPr>
      <w:r>
        <w:t xml:space="preserve">Duquesne Light Company’s default service plan, as modified by the Joint Petition for Settlement of All Issues, </w:t>
      </w:r>
      <w:r w:rsidRPr="00C24185">
        <w:t>includes prudent steps necessary to negotiate favorable generation supply contracts</w:t>
      </w:r>
      <w:r>
        <w:t xml:space="preserve">, as required by Section </w:t>
      </w:r>
      <w:r w:rsidR="006755F7">
        <w:t>2807(e)(3.7)(i) of the Public Utility Cod</w:t>
      </w:r>
      <w:r w:rsidR="006B3177">
        <w:t>e, 66 Pa. C.S. §2807(e)(3.7)(i).</w:t>
      </w:r>
    </w:p>
    <w:p w:rsidR="006B3177" w:rsidRDefault="006B3177" w:rsidP="006B3177">
      <w:pPr>
        <w:spacing w:line="360" w:lineRule="auto"/>
      </w:pPr>
    </w:p>
    <w:p w:rsidR="00052885" w:rsidRDefault="00052885" w:rsidP="00D51EE7">
      <w:pPr>
        <w:pStyle w:val="ListParagraph"/>
        <w:numPr>
          <w:ilvl w:val="0"/>
          <w:numId w:val="11"/>
        </w:numPr>
        <w:spacing w:line="360" w:lineRule="auto"/>
        <w:ind w:left="0" w:firstLine="1440"/>
      </w:pPr>
      <w:r>
        <w:lastRenderedPageBreak/>
        <w:t xml:space="preserve">Duquesne Light Company’s default service plan, as modified by the Joint Petition for Settlement of All Issues, </w:t>
      </w:r>
      <w:r w:rsidRPr="009F4903">
        <w:t>includes prudent steps necessary to obtain least cost generation supply contracts on a long-term, short-term and spot market basis</w:t>
      </w:r>
      <w:r>
        <w:t>,</w:t>
      </w:r>
      <w:r w:rsidRPr="00052885">
        <w:t xml:space="preserve"> </w:t>
      </w:r>
      <w:r>
        <w:t>as required by Section 2807(e)(3.7)(ii) of the Public Utility Code, 66 Pa. C.S. §2807(e)(3.7)(ii).</w:t>
      </w:r>
    </w:p>
    <w:p w:rsidR="00052885" w:rsidRDefault="00052885" w:rsidP="00052885">
      <w:pPr>
        <w:pStyle w:val="ListParagraph"/>
      </w:pPr>
    </w:p>
    <w:p w:rsidR="00052885" w:rsidRDefault="005850B4" w:rsidP="00D51EE7">
      <w:pPr>
        <w:pStyle w:val="ListParagraph"/>
        <w:numPr>
          <w:ilvl w:val="0"/>
          <w:numId w:val="11"/>
        </w:numPr>
        <w:spacing w:line="360" w:lineRule="auto"/>
        <w:ind w:left="0" w:firstLine="1440"/>
      </w:pPr>
      <w:r w:rsidRPr="00107E62">
        <w:t xml:space="preserve">Neither Duquesne Light </w:t>
      </w:r>
      <w:r>
        <w:t xml:space="preserve">Company </w:t>
      </w:r>
      <w:r w:rsidRPr="00107E62">
        <w:t>no</w:t>
      </w:r>
      <w:r w:rsidR="00287C83">
        <w:t>r</w:t>
      </w:r>
      <w:r w:rsidRPr="00107E62">
        <w:t xml:space="preserve"> its affiliated interests have withheld from the market any generation supply in a manner that violates </w:t>
      </w:r>
      <w:r>
        <w:t>F</w:t>
      </w:r>
      <w:r w:rsidR="00287C83">
        <w:t>ederal law in compliance with Section 2807(e)(3.7)(iii) of the Public Utility Code, 66 Pa. C.S. §2807(e)(3.7)(ii</w:t>
      </w:r>
      <w:r w:rsidR="00E43F49">
        <w:t>i</w:t>
      </w:r>
      <w:r w:rsidR="00287C83">
        <w:t>).</w:t>
      </w:r>
    </w:p>
    <w:p w:rsidR="00157B3E" w:rsidRDefault="00157B3E" w:rsidP="00157B3E">
      <w:pPr>
        <w:pStyle w:val="ListParagraph"/>
      </w:pPr>
    </w:p>
    <w:p w:rsidR="00157B3E" w:rsidRDefault="00E43A96" w:rsidP="00D51EE7">
      <w:pPr>
        <w:pStyle w:val="ListParagraph"/>
        <w:numPr>
          <w:ilvl w:val="0"/>
          <w:numId w:val="11"/>
        </w:numPr>
        <w:spacing w:line="360" w:lineRule="auto"/>
        <w:ind w:left="0" w:firstLine="1440"/>
      </w:pPr>
      <w:r w:rsidRPr="00E43A96">
        <w:t xml:space="preserve">The Commission should approve without modification the </w:t>
      </w:r>
      <w:r w:rsidR="00515613">
        <w:t>Joint Petition for Settlement of All Issues</w:t>
      </w:r>
      <w:r w:rsidR="00515613" w:rsidRPr="00E43A96">
        <w:t xml:space="preserve"> </w:t>
      </w:r>
      <w:r w:rsidRPr="00E43A96">
        <w:t>that</w:t>
      </w:r>
      <w:r w:rsidR="00515613">
        <w:t xml:space="preserve"> </w:t>
      </w:r>
      <w:r w:rsidR="00515613" w:rsidRPr="00107E62">
        <w:t xml:space="preserve">Duquesne Light </w:t>
      </w:r>
      <w:r w:rsidR="00515613">
        <w:t>Company</w:t>
      </w:r>
      <w:r w:rsidRPr="00E43A96">
        <w:t xml:space="preserve">, the OTS, OCA, OSBA, </w:t>
      </w:r>
      <w:r w:rsidR="00515613">
        <w:t xml:space="preserve">Dominion Retail, </w:t>
      </w:r>
      <w:r w:rsidR="008F5735">
        <w:t xml:space="preserve">DII, FES, </w:t>
      </w:r>
      <w:r w:rsidRPr="00E43A96">
        <w:t>RESA</w:t>
      </w:r>
      <w:r w:rsidR="008F5735">
        <w:t xml:space="preserve">, and Constellation </w:t>
      </w:r>
      <w:r w:rsidRPr="00E43A96">
        <w:t>have submitted in this proceeding as in the public interest.</w:t>
      </w:r>
    </w:p>
    <w:p w:rsidR="00AB753B" w:rsidRDefault="00AB753B"/>
    <w:p w:rsidR="00AB753B" w:rsidRDefault="00AB753B" w:rsidP="00AB753B">
      <w:pPr>
        <w:spacing w:line="360" w:lineRule="auto"/>
        <w:jc w:val="center"/>
      </w:pPr>
      <w:r>
        <w:t>V.</w:t>
      </w:r>
      <w:r>
        <w:tab/>
      </w:r>
      <w:r>
        <w:rPr>
          <w:u w:val="single"/>
        </w:rPr>
        <w:t>RECOMMENDED ORDER</w:t>
      </w:r>
    </w:p>
    <w:p w:rsidR="00AB753B" w:rsidRDefault="00AB753B" w:rsidP="00AB753B">
      <w:pPr>
        <w:spacing w:line="360" w:lineRule="auto"/>
      </w:pPr>
    </w:p>
    <w:p w:rsidR="00C06F1E" w:rsidRDefault="00C06F1E" w:rsidP="00AB753B">
      <w:pPr>
        <w:spacing w:line="360" w:lineRule="auto"/>
      </w:pPr>
      <w:r>
        <w:tab/>
      </w:r>
      <w:r>
        <w:tab/>
        <w:t>THEREFORE,</w:t>
      </w:r>
    </w:p>
    <w:p w:rsidR="00C06F1E" w:rsidRDefault="00C06F1E" w:rsidP="00AB753B">
      <w:pPr>
        <w:spacing w:line="360" w:lineRule="auto"/>
      </w:pPr>
    </w:p>
    <w:p w:rsidR="00C06F1E" w:rsidRDefault="00C06F1E" w:rsidP="00AB753B">
      <w:pPr>
        <w:spacing w:line="360" w:lineRule="auto"/>
      </w:pPr>
      <w:r>
        <w:tab/>
      </w:r>
      <w:r>
        <w:tab/>
        <w:t>IT IS RECOMMENDED:</w:t>
      </w:r>
    </w:p>
    <w:p w:rsidR="00C06F1E" w:rsidRDefault="00C06F1E" w:rsidP="00AB753B">
      <w:pPr>
        <w:spacing w:line="360" w:lineRule="auto"/>
      </w:pPr>
    </w:p>
    <w:p w:rsidR="00C06F1E" w:rsidRDefault="003B6594" w:rsidP="00C06F1E">
      <w:pPr>
        <w:pStyle w:val="ListParagraph"/>
        <w:numPr>
          <w:ilvl w:val="0"/>
          <w:numId w:val="12"/>
        </w:numPr>
        <w:spacing w:line="360" w:lineRule="auto"/>
        <w:ind w:left="0" w:firstLine="1440"/>
      </w:pPr>
      <w:r>
        <w:t xml:space="preserve">That </w:t>
      </w:r>
      <w:r w:rsidR="00960D33" w:rsidRPr="00960D33">
        <w:t>the Joint Petition for</w:t>
      </w:r>
      <w:r w:rsidR="00960D33">
        <w:t xml:space="preserve"> Settlement of All Issues that </w:t>
      </w:r>
      <w:r w:rsidR="00960D33" w:rsidRPr="0010563E">
        <w:t>Duquesne Light Company</w:t>
      </w:r>
      <w:r w:rsidR="00960D33">
        <w:t xml:space="preserve">, </w:t>
      </w:r>
      <w:r w:rsidR="00960D33" w:rsidRPr="0097111B">
        <w:t>Office of Trial Staff</w:t>
      </w:r>
      <w:r w:rsidR="00960D33">
        <w:t xml:space="preserve">, </w:t>
      </w:r>
      <w:r w:rsidR="001457DA" w:rsidRPr="0097111B">
        <w:t>Office of Consumer Advocate</w:t>
      </w:r>
      <w:r w:rsidR="001457DA">
        <w:t xml:space="preserve">, </w:t>
      </w:r>
      <w:r w:rsidR="001457DA" w:rsidRPr="0097111B">
        <w:t>Office of Small Business Advocate</w:t>
      </w:r>
      <w:r w:rsidR="001457DA">
        <w:t xml:space="preserve">, </w:t>
      </w:r>
      <w:r w:rsidR="001457DA" w:rsidRPr="0097111B">
        <w:t>Constellation Energy Commodities Group, Inc. and Constellation NewEnergy, Inc., Dominion Retail, Inc., Duquesne Industrial Intervenors, First Energy Solutions Corporation, and Retail Energy Supply Association</w:t>
      </w:r>
      <w:r w:rsidR="00D5551D">
        <w:t xml:space="preserve"> </w:t>
      </w:r>
      <w:r w:rsidR="00A222EA">
        <w:t>have submitted at Docket No. P</w:t>
      </w:r>
      <w:r w:rsidR="00A222EA" w:rsidRPr="00A222EA">
        <w:t>-2009-2</w:t>
      </w:r>
      <w:r w:rsidR="00A222EA">
        <w:t>135500</w:t>
      </w:r>
      <w:r w:rsidR="00A222EA" w:rsidRPr="00A222EA">
        <w:t xml:space="preserve"> is hereby approved.</w:t>
      </w:r>
    </w:p>
    <w:p w:rsidR="00A222EA" w:rsidRDefault="00A222EA" w:rsidP="00A222EA">
      <w:pPr>
        <w:pStyle w:val="ListParagraph"/>
        <w:spacing w:line="360" w:lineRule="auto"/>
        <w:ind w:left="1440"/>
      </w:pPr>
    </w:p>
    <w:p w:rsidR="00A222EA" w:rsidRDefault="00A222EA" w:rsidP="00C06F1E">
      <w:pPr>
        <w:pStyle w:val="ListParagraph"/>
        <w:numPr>
          <w:ilvl w:val="0"/>
          <w:numId w:val="12"/>
        </w:numPr>
        <w:spacing w:line="360" w:lineRule="auto"/>
        <w:ind w:left="0" w:firstLine="1440"/>
      </w:pPr>
      <w:r w:rsidRPr="00A222EA">
        <w:t xml:space="preserve">That </w:t>
      </w:r>
      <w:r w:rsidRPr="0010563E">
        <w:t>Duquesne Light Company</w:t>
      </w:r>
      <w:r w:rsidRPr="00A222EA">
        <w:t xml:space="preserve"> </w:t>
      </w:r>
      <w:r>
        <w:t xml:space="preserve">shall </w:t>
      </w:r>
      <w:r w:rsidRPr="00A222EA">
        <w:t xml:space="preserve">file a tariff supplement, on one day’s notice to the Commission, consistent with the terms and conditions of </w:t>
      </w:r>
      <w:r w:rsidR="00F95EB7">
        <w:t xml:space="preserve">Appendix A to </w:t>
      </w:r>
      <w:r w:rsidRPr="00A222EA">
        <w:t>the Joint Petition for</w:t>
      </w:r>
      <w:r w:rsidR="00F95EB7" w:rsidRPr="00F95EB7">
        <w:t xml:space="preserve"> </w:t>
      </w:r>
      <w:r w:rsidR="00F95EB7">
        <w:t>Settlement of All Issues</w:t>
      </w:r>
      <w:r w:rsidRPr="00A222EA">
        <w:t>.</w:t>
      </w:r>
    </w:p>
    <w:p w:rsidR="00F95EB7" w:rsidRDefault="00F95EB7" w:rsidP="00F95EB7">
      <w:pPr>
        <w:pStyle w:val="ListParagraph"/>
      </w:pPr>
    </w:p>
    <w:p w:rsidR="00F95EB7" w:rsidRDefault="00E65C28" w:rsidP="00C06F1E">
      <w:pPr>
        <w:pStyle w:val="ListParagraph"/>
        <w:numPr>
          <w:ilvl w:val="0"/>
          <w:numId w:val="12"/>
        </w:numPr>
        <w:spacing w:line="360" w:lineRule="auto"/>
        <w:ind w:left="0" w:firstLine="1440"/>
      </w:pPr>
      <w:r w:rsidRPr="00E65C28">
        <w:lastRenderedPageBreak/>
        <w:t>That upon Commission acceptance and approval of the tariff supplement filed by</w:t>
      </w:r>
      <w:r>
        <w:t xml:space="preserve"> </w:t>
      </w:r>
      <w:r w:rsidRPr="0010563E">
        <w:t>Duquesne Light Company</w:t>
      </w:r>
      <w:r w:rsidRPr="00E65C28">
        <w:t xml:space="preserve">, as being consistent with this Order and the </w:t>
      </w:r>
      <w:r w:rsidRPr="00960D33">
        <w:t>Joint Petition for</w:t>
      </w:r>
      <w:r>
        <w:t xml:space="preserve"> Settlement of All Issues</w:t>
      </w:r>
      <w:r w:rsidRPr="00E65C28">
        <w:t xml:space="preserve">, the </w:t>
      </w:r>
      <w:r>
        <w:t xml:space="preserve">case </w:t>
      </w:r>
      <w:r w:rsidRPr="00E65C28">
        <w:t xml:space="preserve">at Docket No. </w:t>
      </w:r>
      <w:r>
        <w:t>P</w:t>
      </w:r>
      <w:r w:rsidRPr="00E65C28">
        <w:t>-2009-2</w:t>
      </w:r>
      <w:r>
        <w:t>135500</w:t>
      </w:r>
      <w:r w:rsidRPr="00E65C28">
        <w:t xml:space="preserve"> shall be terminated and the docket marked closed.</w:t>
      </w:r>
    </w:p>
    <w:p w:rsidR="00E65C28" w:rsidRDefault="00E65C28" w:rsidP="00E65C28">
      <w:pPr>
        <w:pStyle w:val="ListParagraph"/>
      </w:pPr>
    </w:p>
    <w:p w:rsidR="00E65C28" w:rsidRDefault="00E65C28" w:rsidP="00E65C28">
      <w:pPr>
        <w:spacing w:line="360" w:lineRule="auto"/>
      </w:pPr>
    </w:p>
    <w:p w:rsidR="00E65C28" w:rsidRDefault="00AC1E57" w:rsidP="00AC1E57">
      <w:r>
        <w:t xml:space="preserve">Dated:  </w:t>
      </w:r>
      <w:r>
        <w:rPr>
          <w:u w:val="single"/>
        </w:rPr>
        <w:t>March 12, 2010</w:t>
      </w:r>
      <w:r>
        <w:tab/>
      </w:r>
      <w:r>
        <w:tab/>
      </w:r>
      <w:r>
        <w:tab/>
      </w:r>
      <w:r>
        <w:tab/>
      </w:r>
      <w:r>
        <w:rPr>
          <w:u w:val="single"/>
        </w:rPr>
        <w:tab/>
      </w:r>
      <w:r>
        <w:rPr>
          <w:u w:val="single"/>
        </w:rPr>
        <w:tab/>
      </w:r>
      <w:r>
        <w:rPr>
          <w:u w:val="single"/>
        </w:rPr>
        <w:tab/>
      </w:r>
      <w:r>
        <w:rPr>
          <w:u w:val="single"/>
        </w:rPr>
        <w:tab/>
      </w:r>
      <w:r>
        <w:rPr>
          <w:u w:val="single"/>
        </w:rPr>
        <w:tab/>
      </w:r>
      <w:r>
        <w:rPr>
          <w:u w:val="single"/>
        </w:rPr>
        <w:tab/>
      </w:r>
    </w:p>
    <w:p w:rsidR="00AC1E57" w:rsidRDefault="00AC1E57" w:rsidP="00AC1E57">
      <w:r>
        <w:tab/>
      </w:r>
      <w:r>
        <w:tab/>
      </w:r>
      <w:r>
        <w:tab/>
      </w:r>
      <w:r>
        <w:tab/>
      </w:r>
      <w:r>
        <w:tab/>
      </w:r>
      <w:r>
        <w:tab/>
      </w:r>
      <w:r>
        <w:tab/>
        <w:t>John H. Corbett, Jr.</w:t>
      </w:r>
    </w:p>
    <w:p w:rsidR="00AC1E57" w:rsidRDefault="00AC1E57" w:rsidP="00AC1E57">
      <w:r>
        <w:tab/>
      </w:r>
      <w:r>
        <w:tab/>
      </w:r>
      <w:r>
        <w:tab/>
      </w:r>
      <w:r>
        <w:tab/>
      </w:r>
      <w:r>
        <w:tab/>
      </w:r>
      <w:r>
        <w:tab/>
      </w:r>
      <w:r>
        <w:tab/>
        <w:t>Administrative Law Judge</w:t>
      </w:r>
    </w:p>
    <w:p w:rsidR="00AC1E57" w:rsidRPr="00AC1E57" w:rsidRDefault="00AC1E57" w:rsidP="00AC1E57"/>
    <w:sectPr w:rsidR="00AC1E57" w:rsidRPr="00AC1E57" w:rsidSect="006C3148">
      <w:pgSz w:w="12240" w:h="15840" w:code="1"/>
      <w:pgMar w:top="1440" w:right="1440" w:bottom="1440" w:left="1440" w:header="1440" w:footer="144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8D4" w:rsidRDefault="008418D4" w:rsidP="0010563E">
      <w:r>
        <w:separator/>
      </w:r>
    </w:p>
  </w:endnote>
  <w:endnote w:type="continuationSeparator" w:id="0">
    <w:p w:rsidR="008418D4" w:rsidRDefault="008418D4" w:rsidP="001056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90595"/>
      <w:docPartObj>
        <w:docPartGallery w:val="Page Numbers (Bottom of Page)"/>
        <w:docPartUnique/>
      </w:docPartObj>
    </w:sdtPr>
    <w:sdtContent>
      <w:p w:rsidR="00851EDF" w:rsidRDefault="00CB128C">
        <w:pPr>
          <w:pStyle w:val="Footer"/>
          <w:jc w:val="center"/>
        </w:pPr>
        <w:fldSimple w:instr=" PAGE   \* MERGEFORMAT ">
          <w:r w:rsidR="003F6673">
            <w:rPr>
              <w:noProof/>
            </w:rPr>
            <w:t>34</w:t>
          </w:r>
        </w:fldSimple>
      </w:p>
    </w:sdtContent>
  </w:sdt>
  <w:p w:rsidR="00851EDF" w:rsidRDefault="00851E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90596"/>
      <w:docPartObj>
        <w:docPartGallery w:val="Page Numbers (Bottom of Page)"/>
        <w:docPartUnique/>
      </w:docPartObj>
    </w:sdtPr>
    <w:sdtContent>
      <w:p w:rsidR="00851EDF" w:rsidRDefault="00CB128C">
        <w:pPr>
          <w:pStyle w:val="Footer"/>
          <w:jc w:val="center"/>
        </w:pPr>
        <w:fldSimple w:instr=" PAGE   \* MERGEFORMAT ">
          <w:r w:rsidR="003F6673">
            <w:rPr>
              <w:noProof/>
            </w:rPr>
            <w:t>1</w:t>
          </w:r>
        </w:fldSimple>
      </w:p>
    </w:sdtContent>
  </w:sdt>
  <w:p w:rsidR="00851EDF" w:rsidRDefault="00851E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8D4" w:rsidRDefault="008418D4" w:rsidP="0010563E">
      <w:r>
        <w:separator/>
      </w:r>
    </w:p>
  </w:footnote>
  <w:footnote w:type="continuationSeparator" w:id="0">
    <w:p w:rsidR="008418D4" w:rsidRDefault="008418D4" w:rsidP="0010563E">
      <w:r>
        <w:continuationSeparator/>
      </w:r>
    </w:p>
  </w:footnote>
  <w:footnote w:id="1">
    <w:p w:rsidR="00851EDF" w:rsidRDefault="00851EDF" w:rsidP="0010563E">
      <w:pPr>
        <w:pStyle w:val="FootnoteText"/>
        <w:ind w:firstLine="720"/>
      </w:pPr>
      <w:r>
        <w:rPr>
          <w:rStyle w:val="FootnoteReference"/>
        </w:rPr>
        <w:footnoteRef/>
      </w:r>
      <w:r>
        <w:t xml:space="preserve"> </w:t>
      </w:r>
      <w:r>
        <w:tab/>
      </w:r>
      <w:r w:rsidRPr="0010563E">
        <w:t>Duquesne Light is a “public utility” and an “electric distribution company” as defined in Sections 102 and 2803 of the Pennsylvania Public Utility Code</w:t>
      </w:r>
      <w:r>
        <w:t xml:space="preserve"> (the “Code”)</w:t>
      </w:r>
      <w:r w:rsidRPr="0010563E">
        <w:t xml:space="preserve">, 66 Pa. C.S. §§102, 2803.  </w:t>
      </w:r>
      <w:r>
        <w:t xml:space="preserve">It </w:t>
      </w:r>
      <w:r w:rsidRPr="0010563E">
        <w:t>furnishes electric distribution and provider of last resort electric supply services to approximately 579,000 customers in the City of Pittsburgh, and in Allegheny and Beaver Counties, Pennsylvania.</w:t>
      </w:r>
    </w:p>
    <w:p w:rsidR="00851EDF" w:rsidRDefault="00851EDF" w:rsidP="0010563E">
      <w:pPr>
        <w:pStyle w:val="FootnoteText"/>
        <w:ind w:firstLine="720"/>
      </w:pPr>
    </w:p>
  </w:footnote>
  <w:footnote w:id="2">
    <w:p w:rsidR="00851EDF" w:rsidRDefault="00851EDF" w:rsidP="00E80A54">
      <w:pPr>
        <w:pStyle w:val="FootnoteText"/>
        <w:spacing w:after="120"/>
        <w:ind w:firstLine="720"/>
        <w:jc w:val="both"/>
      </w:pPr>
      <w:r>
        <w:rPr>
          <w:rStyle w:val="FootnoteReference"/>
        </w:rPr>
        <w:footnoteRef/>
      </w:r>
      <w:r>
        <w:t xml:space="preserve"> </w:t>
      </w:r>
      <w:r>
        <w:tab/>
        <w:t>OTS, DII, and Citizen Power, Inc. did not serve testimony in this proceeding.</w:t>
      </w:r>
    </w:p>
  </w:footnote>
  <w:footnote w:id="3">
    <w:p w:rsidR="00851EDF" w:rsidRDefault="00851EDF" w:rsidP="00295852">
      <w:pPr>
        <w:pStyle w:val="FootnoteText"/>
        <w:ind w:firstLine="720"/>
      </w:pPr>
      <w:r>
        <w:rPr>
          <w:rStyle w:val="FootnoteReference"/>
        </w:rPr>
        <w:footnoteRef/>
      </w:r>
      <w:r>
        <w:t xml:space="preserve"> </w:t>
      </w:r>
      <w:r>
        <w:tab/>
        <w:t>By Fifth and Sixth Interim Orders issued on March 1 and March 11, 2010 respectively, the parties’ prepared written testimony was admitted into the record by stipulation.</w:t>
      </w:r>
    </w:p>
    <w:p w:rsidR="00851EDF" w:rsidRDefault="00851EDF" w:rsidP="00295852">
      <w:pPr>
        <w:pStyle w:val="FootnoteText"/>
        <w:ind w:firstLine="720"/>
      </w:pPr>
    </w:p>
  </w:footnote>
  <w:footnote w:id="4">
    <w:p w:rsidR="00851EDF" w:rsidRDefault="00851EDF" w:rsidP="008A692A">
      <w:pPr>
        <w:pStyle w:val="FootnoteText"/>
        <w:ind w:firstLine="720"/>
      </w:pPr>
      <w:r>
        <w:rPr>
          <w:rStyle w:val="FootnoteReference"/>
        </w:rPr>
        <w:footnoteRef/>
      </w:r>
      <w:r>
        <w:t xml:space="preserve"> </w:t>
      </w:r>
      <w:r>
        <w:tab/>
      </w:r>
      <w:r w:rsidRPr="008A692A">
        <w:t>Constellation is joining in Paragraphs 14-21 and 38-45 of the Settlement and agrees not to oppose the remainder.  RESA does not support, but also does not oppose, the inclusion of Paragraph 32 in the Settlement.  Citizen Power is not opposing the Settlement and has file</w:t>
      </w:r>
      <w:r>
        <w:t>d</w:t>
      </w:r>
      <w:r w:rsidRPr="008A692A">
        <w:t xml:space="preserve"> a letter of non-opposition with the Commission.</w:t>
      </w:r>
    </w:p>
  </w:footnote>
  <w:footnote w:id="5">
    <w:p w:rsidR="00851EDF" w:rsidRDefault="00851EDF" w:rsidP="002C3484">
      <w:pPr>
        <w:pStyle w:val="FootnoteText"/>
        <w:ind w:firstLine="720"/>
      </w:pPr>
      <w:r>
        <w:rPr>
          <w:rStyle w:val="FootnoteReference"/>
        </w:rPr>
        <w:footnoteRef/>
      </w:r>
      <w:r>
        <w:t xml:space="preserve"> </w:t>
      </w:r>
      <w:r>
        <w:tab/>
      </w:r>
      <w:r w:rsidRPr="00AB0B18">
        <w:t>Duquesne Light further notes that if EDCs were required to conduct a formal bidding process for bilateral contracts, this would, in effect, write the bilateral contract provisions out of Act 129.  Parties do not generally obtain bilateral contracts in the wholesale market through structured procurement processes.</w:t>
      </w:r>
    </w:p>
  </w:footnote>
  <w:footnote w:id="6">
    <w:p w:rsidR="00851EDF" w:rsidRDefault="00851EDF" w:rsidP="00B73C01">
      <w:pPr>
        <w:pStyle w:val="FootnoteText"/>
        <w:ind w:firstLine="720"/>
      </w:pPr>
      <w:r>
        <w:rPr>
          <w:rStyle w:val="FootnoteReference"/>
        </w:rPr>
        <w:footnoteRef/>
      </w:r>
      <w:r>
        <w:t xml:space="preserve"> </w:t>
      </w:r>
      <w:r>
        <w:tab/>
      </w:r>
      <w:r w:rsidRPr="002A51E4">
        <w:t>Act 129 does not prohibit EDCs from assuming the risks of providing fixed price default service.  In fact, the statutory cost recovery mechanism gives EDCs the right to reconcile default service costs but does not require reconciliation of costs.  66 Pa.</w:t>
      </w:r>
      <w:r>
        <w:t xml:space="preserve"> </w:t>
      </w:r>
      <w:r w:rsidRPr="002A51E4">
        <w:t>C.S. §</w:t>
      </w:r>
      <w:r>
        <w:t>2</w:t>
      </w:r>
      <w:r w:rsidRPr="002A51E4">
        <w:t>807(e)(3.9).</w:t>
      </w:r>
    </w:p>
  </w:footnote>
  <w:footnote w:id="7">
    <w:p w:rsidR="00851EDF" w:rsidRDefault="00851EDF" w:rsidP="00F71016">
      <w:pPr>
        <w:pStyle w:val="FootnoteText"/>
        <w:ind w:firstLine="720"/>
      </w:pPr>
      <w:r>
        <w:rPr>
          <w:rStyle w:val="FootnoteReference"/>
        </w:rPr>
        <w:footnoteRef/>
      </w:r>
      <w:r>
        <w:t xml:space="preserve"> </w:t>
      </w:r>
      <w:r>
        <w:tab/>
      </w:r>
      <w:r w:rsidRPr="00F71016">
        <w:t>The caps are expressed in terms of the maximum number of tranches that can be awarded to a single supplier of the total tranches bid.  The final procurement is solely for Medium C&amp;I customers and provides for 6 tranches as compared to 8 tranches in the first 5 procurements.</w:t>
      </w:r>
    </w:p>
  </w:footnote>
  <w:footnote w:id="8">
    <w:p w:rsidR="00851EDF" w:rsidRDefault="00851EDF" w:rsidP="003D4F48">
      <w:pPr>
        <w:pStyle w:val="FootnoteText"/>
        <w:ind w:firstLine="720"/>
      </w:pPr>
      <w:r>
        <w:rPr>
          <w:rStyle w:val="FootnoteReference"/>
        </w:rPr>
        <w:footnoteRef/>
      </w:r>
      <w:r>
        <w:t xml:space="preserve"> </w:t>
      </w:r>
      <w:r>
        <w:tab/>
      </w:r>
      <w:r w:rsidRPr="003D4F48">
        <w:t>The Settlement provides for specific, limited situations where the Company may seek to increase the residential default price.  These exceptions include changes in taxes and additions to RTO administered fees and charges, and are detailed in Section III.A and Appendix B of the Settlement.  The Settlement does not provide for the increasing of rates due to, among other things, changing conditions in the energy and capacity markets, risks regarding congestion pricing, and potential carbon legislation.</w:t>
      </w:r>
    </w:p>
  </w:footnote>
  <w:footnote w:id="9">
    <w:p w:rsidR="00851EDF" w:rsidRDefault="00851EDF" w:rsidP="00EA5B85">
      <w:pPr>
        <w:pStyle w:val="FootnoteText"/>
        <w:ind w:firstLine="720"/>
      </w:pPr>
      <w:r>
        <w:rPr>
          <w:rStyle w:val="FootnoteReference"/>
        </w:rPr>
        <w:footnoteRef/>
      </w:r>
      <w:r>
        <w:t xml:space="preserve"> </w:t>
      </w:r>
      <w:r>
        <w:tab/>
      </w:r>
      <w:r w:rsidRPr="00384D8D">
        <w:t xml:space="preserve">RESA’s members include ConEd Solutions; Constellation NewEnergy, Inc.; Direct Energy Services, LLC; Exelon Energy Company; GDF SUEZ Energy Resources NA, Inc.; Gexa Energy; Green Mountain Energy Company; Hess Corporation; Integrys Energy Services, Inc.; Just Energy; Liberty Power; Sempra Energy Solutions LLC.  The comments expressed </w:t>
      </w:r>
      <w:r>
        <w:t xml:space="preserve">here </w:t>
      </w:r>
      <w:r w:rsidRPr="00384D8D">
        <w:t>represent the position of RESA as an organization</w:t>
      </w:r>
      <w:r>
        <w:t>,</w:t>
      </w:r>
      <w:r w:rsidRPr="00384D8D">
        <w:t xml:space="preserve"> but may not represent the views of any particular member of RESA.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A5709"/>
    <w:multiLevelType w:val="hybridMultilevel"/>
    <w:tmpl w:val="8552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532DA"/>
    <w:multiLevelType w:val="hybridMultilevel"/>
    <w:tmpl w:val="06EA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4459D"/>
    <w:multiLevelType w:val="hybridMultilevel"/>
    <w:tmpl w:val="A8925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D5377"/>
    <w:multiLevelType w:val="hybridMultilevel"/>
    <w:tmpl w:val="7FF6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E0049"/>
    <w:multiLevelType w:val="hybridMultilevel"/>
    <w:tmpl w:val="439A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A1F2E"/>
    <w:multiLevelType w:val="hybridMultilevel"/>
    <w:tmpl w:val="C57E1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15DA1"/>
    <w:multiLevelType w:val="hybridMultilevel"/>
    <w:tmpl w:val="777C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32E0E"/>
    <w:multiLevelType w:val="hybridMultilevel"/>
    <w:tmpl w:val="0A8A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815AC"/>
    <w:multiLevelType w:val="hybridMultilevel"/>
    <w:tmpl w:val="3BCC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70318"/>
    <w:multiLevelType w:val="hybridMultilevel"/>
    <w:tmpl w:val="B2088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6795D"/>
    <w:multiLevelType w:val="hybridMultilevel"/>
    <w:tmpl w:val="8AF8B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DD681F"/>
    <w:multiLevelType w:val="hybridMultilevel"/>
    <w:tmpl w:val="990A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10"/>
  </w:num>
  <w:num w:numId="5">
    <w:abstractNumId w:val="2"/>
  </w:num>
  <w:num w:numId="6">
    <w:abstractNumId w:val="1"/>
  </w:num>
  <w:num w:numId="7">
    <w:abstractNumId w:val="0"/>
  </w:num>
  <w:num w:numId="8">
    <w:abstractNumId w:val="6"/>
  </w:num>
  <w:num w:numId="9">
    <w:abstractNumId w:val="7"/>
  </w:num>
  <w:num w:numId="10">
    <w:abstractNumId w:val="11"/>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D46E44DE-0929-49F3-B894-27892896D262}"/>
    <w:docVar w:name="dgnword-eventsink" w:val="80912936"/>
  </w:docVars>
  <w:rsids>
    <w:rsidRoot w:val="00810FCA"/>
    <w:rsid w:val="00002CC2"/>
    <w:rsid w:val="00002E71"/>
    <w:rsid w:val="0000610B"/>
    <w:rsid w:val="00006C3D"/>
    <w:rsid w:val="00012AE7"/>
    <w:rsid w:val="00013245"/>
    <w:rsid w:val="0001444C"/>
    <w:rsid w:val="000158F5"/>
    <w:rsid w:val="00015C87"/>
    <w:rsid w:val="000200B5"/>
    <w:rsid w:val="00022031"/>
    <w:rsid w:val="00022664"/>
    <w:rsid w:val="00024AA5"/>
    <w:rsid w:val="0002671A"/>
    <w:rsid w:val="00027171"/>
    <w:rsid w:val="00027E4C"/>
    <w:rsid w:val="0003115B"/>
    <w:rsid w:val="00031B96"/>
    <w:rsid w:val="00032A6E"/>
    <w:rsid w:val="0003505B"/>
    <w:rsid w:val="00035D88"/>
    <w:rsid w:val="000404B5"/>
    <w:rsid w:val="000412FC"/>
    <w:rsid w:val="00041450"/>
    <w:rsid w:val="00041943"/>
    <w:rsid w:val="00042860"/>
    <w:rsid w:val="0004442E"/>
    <w:rsid w:val="00044944"/>
    <w:rsid w:val="0004591A"/>
    <w:rsid w:val="0004726D"/>
    <w:rsid w:val="00047F6E"/>
    <w:rsid w:val="00052885"/>
    <w:rsid w:val="0005471E"/>
    <w:rsid w:val="00056339"/>
    <w:rsid w:val="00056A86"/>
    <w:rsid w:val="00063896"/>
    <w:rsid w:val="0006554F"/>
    <w:rsid w:val="00066B1D"/>
    <w:rsid w:val="00067C8F"/>
    <w:rsid w:val="00070D98"/>
    <w:rsid w:val="000716B7"/>
    <w:rsid w:val="00074062"/>
    <w:rsid w:val="000745B1"/>
    <w:rsid w:val="000767FF"/>
    <w:rsid w:val="000809A5"/>
    <w:rsid w:val="0008135A"/>
    <w:rsid w:val="0008257A"/>
    <w:rsid w:val="00085610"/>
    <w:rsid w:val="000877D4"/>
    <w:rsid w:val="00087CC5"/>
    <w:rsid w:val="0009005C"/>
    <w:rsid w:val="000921BC"/>
    <w:rsid w:val="0009372D"/>
    <w:rsid w:val="000949CF"/>
    <w:rsid w:val="00095B50"/>
    <w:rsid w:val="00096F74"/>
    <w:rsid w:val="000A0A7F"/>
    <w:rsid w:val="000A510C"/>
    <w:rsid w:val="000A53BC"/>
    <w:rsid w:val="000A66E4"/>
    <w:rsid w:val="000A7EFE"/>
    <w:rsid w:val="000B16BD"/>
    <w:rsid w:val="000B3598"/>
    <w:rsid w:val="000B53F0"/>
    <w:rsid w:val="000B629F"/>
    <w:rsid w:val="000B6D95"/>
    <w:rsid w:val="000B7930"/>
    <w:rsid w:val="000C1A6B"/>
    <w:rsid w:val="000C269C"/>
    <w:rsid w:val="000C39A0"/>
    <w:rsid w:val="000C5510"/>
    <w:rsid w:val="000C71B2"/>
    <w:rsid w:val="000C76C7"/>
    <w:rsid w:val="000D0A51"/>
    <w:rsid w:val="000D1336"/>
    <w:rsid w:val="000D417D"/>
    <w:rsid w:val="000D715A"/>
    <w:rsid w:val="000D7906"/>
    <w:rsid w:val="000E0C64"/>
    <w:rsid w:val="000E1700"/>
    <w:rsid w:val="000E4E82"/>
    <w:rsid w:val="000E6C36"/>
    <w:rsid w:val="000E7527"/>
    <w:rsid w:val="000F0CB0"/>
    <w:rsid w:val="000F1E2C"/>
    <w:rsid w:val="000F22AD"/>
    <w:rsid w:val="000F331D"/>
    <w:rsid w:val="000F5BC6"/>
    <w:rsid w:val="000F6BCB"/>
    <w:rsid w:val="0010180F"/>
    <w:rsid w:val="0010563E"/>
    <w:rsid w:val="00105690"/>
    <w:rsid w:val="001059C3"/>
    <w:rsid w:val="001079C3"/>
    <w:rsid w:val="00107E62"/>
    <w:rsid w:val="0011082D"/>
    <w:rsid w:val="00114A5C"/>
    <w:rsid w:val="00114B27"/>
    <w:rsid w:val="00114D69"/>
    <w:rsid w:val="001163B8"/>
    <w:rsid w:val="00117158"/>
    <w:rsid w:val="0012337D"/>
    <w:rsid w:val="00126555"/>
    <w:rsid w:val="001305DE"/>
    <w:rsid w:val="0013358A"/>
    <w:rsid w:val="001336B2"/>
    <w:rsid w:val="00136439"/>
    <w:rsid w:val="0013746C"/>
    <w:rsid w:val="00140ED5"/>
    <w:rsid w:val="00141824"/>
    <w:rsid w:val="001422C9"/>
    <w:rsid w:val="001457DA"/>
    <w:rsid w:val="0014695E"/>
    <w:rsid w:val="00147A1C"/>
    <w:rsid w:val="00150F38"/>
    <w:rsid w:val="00151828"/>
    <w:rsid w:val="00151B59"/>
    <w:rsid w:val="00152DD8"/>
    <w:rsid w:val="001534FA"/>
    <w:rsid w:val="00153BB2"/>
    <w:rsid w:val="001551FE"/>
    <w:rsid w:val="00157B3E"/>
    <w:rsid w:val="00157F7C"/>
    <w:rsid w:val="00163667"/>
    <w:rsid w:val="00171BA7"/>
    <w:rsid w:val="00177B41"/>
    <w:rsid w:val="00177C22"/>
    <w:rsid w:val="0018069C"/>
    <w:rsid w:val="00184DAC"/>
    <w:rsid w:val="0018502A"/>
    <w:rsid w:val="00186713"/>
    <w:rsid w:val="00190B52"/>
    <w:rsid w:val="00192F81"/>
    <w:rsid w:val="001939A5"/>
    <w:rsid w:val="00194EDA"/>
    <w:rsid w:val="00195E44"/>
    <w:rsid w:val="00197214"/>
    <w:rsid w:val="00197FE7"/>
    <w:rsid w:val="001A0EF6"/>
    <w:rsid w:val="001A3B95"/>
    <w:rsid w:val="001A517C"/>
    <w:rsid w:val="001A6616"/>
    <w:rsid w:val="001B1283"/>
    <w:rsid w:val="001B37F9"/>
    <w:rsid w:val="001B389A"/>
    <w:rsid w:val="001B6147"/>
    <w:rsid w:val="001B669F"/>
    <w:rsid w:val="001B6767"/>
    <w:rsid w:val="001B7B44"/>
    <w:rsid w:val="001C16F1"/>
    <w:rsid w:val="001C1DA4"/>
    <w:rsid w:val="001C6393"/>
    <w:rsid w:val="001D0B3C"/>
    <w:rsid w:val="001D4A20"/>
    <w:rsid w:val="001D4EAA"/>
    <w:rsid w:val="001E069F"/>
    <w:rsid w:val="001E13F6"/>
    <w:rsid w:val="001E2368"/>
    <w:rsid w:val="001E4606"/>
    <w:rsid w:val="001E480F"/>
    <w:rsid w:val="001E49BB"/>
    <w:rsid w:val="001E6948"/>
    <w:rsid w:val="001E6AC2"/>
    <w:rsid w:val="001E7A10"/>
    <w:rsid w:val="001F1F9D"/>
    <w:rsid w:val="001F1FC5"/>
    <w:rsid w:val="001F33C8"/>
    <w:rsid w:val="001F45EC"/>
    <w:rsid w:val="001F5009"/>
    <w:rsid w:val="001F5E84"/>
    <w:rsid w:val="001F73E8"/>
    <w:rsid w:val="002002ED"/>
    <w:rsid w:val="00202271"/>
    <w:rsid w:val="00203B3F"/>
    <w:rsid w:val="0020485C"/>
    <w:rsid w:val="00205676"/>
    <w:rsid w:val="00207009"/>
    <w:rsid w:val="0020746B"/>
    <w:rsid w:val="002107F3"/>
    <w:rsid w:val="00212F85"/>
    <w:rsid w:val="00213B19"/>
    <w:rsid w:val="0021472B"/>
    <w:rsid w:val="00215CE0"/>
    <w:rsid w:val="00216054"/>
    <w:rsid w:val="00221630"/>
    <w:rsid w:val="00222675"/>
    <w:rsid w:val="00222A1D"/>
    <w:rsid w:val="002231E7"/>
    <w:rsid w:val="00224759"/>
    <w:rsid w:val="00224D1A"/>
    <w:rsid w:val="00225F5E"/>
    <w:rsid w:val="0022623F"/>
    <w:rsid w:val="002270C7"/>
    <w:rsid w:val="00234986"/>
    <w:rsid w:val="0023594C"/>
    <w:rsid w:val="00237F95"/>
    <w:rsid w:val="00241A07"/>
    <w:rsid w:val="002432B5"/>
    <w:rsid w:val="00243C44"/>
    <w:rsid w:val="00244DC3"/>
    <w:rsid w:val="00246BEF"/>
    <w:rsid w:val="00251471"/>
    <w:rsid w:val="002526AC"/>
    <w:rsid w:val="00253FA9"/>
    <w:rsid w:val="00254AC4"/>
    <w:rsid w:val="0025505D"/>
    <w:rsid w:val="0025568C"/>
    <w:rsid w:val="0025624A"/>
    <w:rsid w:val="00256602"/>
    <w:rsid w:val="002569D2"/>
    <w:rsid w:val="00256F15"/>
    <w:rsid w:val="0025729F"/>
    <w:rsid w:val="002626BC"/>
    <w:rsid w:val="00264827"/>
    <w:rsid w:val="002659C1"/>
    <w:rsid w:val="00265F08"/>
    <w:rsid w:val="002668BB"/>
    <w:rsid w:val="002669FF"/>
    <w:rsid w:val="00266EEA"/>
    <w:rsid w:val="002705F3"/>
    <w:rsid w:val="002715D6"/>
    <w:rsid w:val="00273113"/>
    <w:rsid w:val="00273CD5"/>
    <w:rsid w:val="00274AEB"/>
    <w:rsid w:val="00276C7E"/>
    <w:rsid w:val="0028196A"/>
    <w:rsid w:val="00282E72"/>
    <w:rsid w:val="00286013"/>
    <w:rsid w:val="00286E18"/>
    <w:rsid w:val="00287C83"/>
    <w:rsid w:val="0029181C"/>
    <w:rsid w:val="00292413"/>
    <w:rsid w:val="00292C52"/>
    <w:rsid w:val="0029312D"/>
    <w:rsid w:val="002942E9"/>
    <w:rsid w:val="00295852"/>
    <w:rsid w:val="00297007"/>
    <w:rsid w:val="002A08AE"/>
    <w:rsid w:val="002A0C6D"/>
    <w:rsid w:val="002A3CCE"/>
    <w:rsid w:val="002A51E4"/>
    <w:rsid w:val="002A5634"/>
    <w:rsid w:val="002A6382"/>
    <w:rsid w:val="002B080D"/>
    <w:rsid w:val="002B43C8"/>
    <w:rsid w:val="002B693E"/>
    <w:rsid w:val="002B7339"/>
    <w:rsid w:val="002C0A83"/>
    <w:rsid w:val="002C3484"/>
    <w:rsid w:val="002C5195"/>
    <w:rsid w:val="002C5EEC"/>
    <w:rsid w:val="002C6736"/>
    <w:rsid w:val="002D15FF"/>
    <w:rsid w:val="002D3212"/>
    <w:rsid w:val="002D46AD"/>
    <w:rsid w:val="002D50E8"/>
    <w:rsid w:val="002E0B92"/>
    <w:rsid w:val="002E3CF8"/>
    <w:rsid w:val="002E414F"/>
    <w:rsid w:val="002E62AE"/>
    <w:rsid w:val="002E704B"/>
    <w:rsid w:val="002E7B4F"/>
    <w:rsid w:val="002E7CBD"/>
    <w:rsid w:val="002F0988"/>
    <w:rsid w:val="002F0CDC"/>
    <w:rsid w:val="002F58C1"/>
    <w:rsid w:val="003009B5"/>
    <w:rsid w:val="003028BE"/>
    <w:rsid w:val="003036B6"/>
    <w:rsid w:val="00303C1E"/>
    <w:rsid w:val="003065A6"/>
    <w:rsid w:val="00307E3F"/>
    <w:rsid w:val="003105EB"/>
    <w:rsid w:val="00313224"/>
    <w:rsid w:val="00314634"/>
    <w:rsid w:val="0031504C"/>
    <w:rsid w:val="00320C3C"/>
    <w:rsid w:val="003213A4"/>
    <w:rsid w:val="00321810"/>
    <w:rsid w:val="0032184B"/>
    <w:rsid w:val="00322AAB"/>
    <w:rsid w:val="00323CE9"/>
    <w:rsid w:val="0032536B"/>
    <w:rsid w:val="0032582D"/>
    <w:rsid w:val="00327608"/>
    <w:rsid w:val="003367D1"/>
    <w:rsid w:val="003413E4"/>
    <w:rsid w:val="00343DF7"/>
    <w:rsid w:val="00344BBD"/>
    <w:rsid w:val="003457FF"/>
    <w:rsid w:val="00347D4D"/>
    <w:rsid w:val="00354367"/>
    <w:rsid w:val="003560A1"/>
    <w:rsid w:val="003567DC"/>
    <w:rsid w:val="0036055F"/>
    <w:rsid w:val="003612B6"/>
    <w:rsid w:val="00363FC4"/>
    <w:rsid w:val="00364892"/>
    <w:rsid w:val="00372BCE"/>
    <w:rsid w:val="00375FC7"/>
    <w:rsid w:val="00376FD2"/>
    <w:rsid w:val="00377219"/>
    <w:rsid w:val="00383E9E"/>
    <w:rsid w:val="00384D8D"/>
    <w:rsid w:val="00386EC2"/>
    <w:rsid w:val="003914A1"/>
    <w:rsid w:val="003915CD"/>
    <w:rsid w:val="00391841"/>
    <w:rsid w:val="003928FD"/>
    <w:rsid w:val="00392CB1"/>
    <w:rsid w:val="00393A51"/>
    <w:rsid w:val="0039796F"/>
    <w:rsid w:val="003A043E"/>
    <w:rsid w:val="003A1DC2"/>
    <w:rsid w:val="003A51FD"/>
    <w:rsid w:val="003A5775"/>
    <w:rsid w:val="003A645A"/>
    <w:rsid w:val="003A7731"/>
    <w:rsid w:val="003B0F7E"/>
    <w:rsid w:val="003B2CE4"/>
    <w:rsid w:val="003B5554"/>
    <w:rsid w:val="003B6594"/>
    <w:rsid w:val="003B6AF8"/>
    <w:rsid w:val="003C0F08"/>
    <w:rsid w:val="003C49C9"/>
    <w:rsid w:val="003C4FBC"/>
    <w:rsid w:val="003C5623"/>
    <w:rsid w:val="003C77AE"/>
    <w:rsid w:val="003D00C1"/>
    <w:rsid w:val="003D15D0"/>
    <w:rsid w:val="003D38F7"/>
    <w:rsid w:val="003D42D0"/>
    <w:rsid w:val="003D4E15"/>
    <w:rsid w:val="003D4F48"/>
    <w:rsid w:val="003D5AB0"/>
    <w:rsid w:val="003D6669"/>
    <w:rsid w:val="003D6830"/>
    <w:rsid w:val="003E2C21"/>
    <w:rsid w:val="003E5628"/>
    <w:rsid w:val="003E5D1E"/>
    <w:rsid w:val="003E6F9D"/>
    <w:rsid w:val="003F100E"/>
    <w:rsid w:val="003F2376"/>
    <w:rsid w:val="003F347A"/>
    <w:rsid w:val="003F3ECA"/>
    <w:rsid w:val="003F6673"/>
    <w:rsid w:val="003F69AF"/>
    <w:rsid w:val="003F69C5"/>
    <w:rsid w:val="003F7D78"/>
    <w:rsid w:val="0040464B"/>
    <w:rsid w:val="00405757"/>
    <w:rsid w:val="00407E2D"/>
    <w:rsid w:val="00415484"/>
    <w:rsid w:val="0041758B"/>
    <w:rsid w:val="00417A48"/>
    <w:rsid w:val="00417FB9"/>
    <w:rsid w:val="00423A99"/>
    <w:rsid w:val="004255AD"/>
    <w:rsid w:val="00425F5E"/>
    <w:rsid w:val="00427446"/>
    <w:rsid w:val="00427731"/>
    <w:rsid w:val="00431ED9"/>
    <w:rsid w:val="0043213F"/>
    <w:rsid w:val="004345F2"/>
    <w:rsid w:val="0043754B"/>
    <w:rsid w:val="00441E8C"/>
    <w:rsid w:val="00443FC3"/>
    <w:rsid w:val="00444F84"/>
    <w:rsid w:val="00447594"/>
    <w:rsid w:val="00447C9E"/>
    <w:rsid w:val="00447DAD"/>
    <w:rsid w:val="00451BB3"/>
    <w:rsid w:val="00456B68"/>
    <w:rsid w:val="00457C1F"/>
    <w:rsid w:val="004606F8"/>
    <w:rsid w:val="004610DD"/>
    <w:rsid w:val="00465CA9"/>
    <w:rsid w:val="00465EA6"/>
    <w:rsid w:val="00466EEB"/>
    <w:rsid w:val="0047522B"/>
    <w:rsid w:val="004763CF"/>
    <w:rsid w:val="00476406"/>
    <w:rsid w:val="004801CF"/>
    <w:rsid w:val="00480407"/>
    <w:rsid w:val="004831BD"/>
    <w:rsid w:val="00490904"/>
    <w:rsid w:val="00492071"/>
    <w:rsid w:val="00492902"/>
    <w:rsid w:val="0049303D"/>
    <w:rsid w:val="00493B06"/>
    <w:rsid w:val="00497477"/>
    <w:rsid w:val="004A0D2F"/>
    <w:rsid w:val="004A3A17"/>
    <w:rsid w:val="004A4379"/>
    <w:rsid w:val="004A4472"/>
    <w:rsid w:val="004A5F2D"/>
    <w:rsid w:val="004A5F6F"/>
    <w:rsid w:val="004B02A7"/>
    <w:rsid w:val="004B07B7"/>
    <w:rsid w:val="004B1125"/>
    <w:rsid w:val="004B1E4E"/>
    <w:rsid w:val="004B2BD1"/>
    <w:rsid w:val="004B35C3"/>
    <w:rsid w:val="004B4793"/>
    <w:rsid w:val="004B58A0"/>
    <w:rsid w:val="004C0903"/>
    <w:rsid w:val="004C1ADF"/>
    <w:rsid w:val="004C231D"/>
    <w:rsid w:val="004C3351"/>
    <w:rsid w:val="004C40FF"/>
    <w:rsid w:val="004C6ACC"/>
    <w:rsid w:val="004C775D"/>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0211"/>
    <w:rsid w:val="004F1F44"/>
    <w:rsid w:val="004F3674"/>
    <w:rsid w:val="004F52CA"/>
    <w:rsid w:val="00500E04"/>
    <w:rsid w:val="0050126C"/>
    <w:rsid w:val="00501290"/>
    <w:rsid w:val="005013AB"/>
    <w:rsid w:val="00503B65"/>
    <w:rsid w:val="005055FD"/>
    <w:rsid w:val="005071E6"/>
    <w:rsid w:val="00510BCD"/>
    <w:rsid w:val="00512B55"/>
    <w:rsid w:val="0051381A"/>
    <w:rsid w:val="00513A0D"/>
    <w:rsid w:val="00513E78"/>
    <w:rsid w:val="00514E4B"/>
    <w:rsid w:val="00515613"/>
    <w:rsid w:val="00520B4D"/>
    <w:rsid w:val="00521A72"/>
    <w:rsid w:val="00522F41"/>
    <w:rsid w:val="005235D3"/>
    <w:rsid w:val="005245B1"/>
    <w:rsid w:val="00524AC4"/>
    <w:rsid w:val="00526125"/>
    <w:rsid w:val="0052693F"/>
    <w:rsid w:val="005319D7"/>
    <w:rsid w:val="005438C8"/>
    <w:rsid w:val="00544B49"/>
    <w:rsid w:val="005463A9"/>
    <w:rsid w:val="00546F57"/>
    <w:rsid w:val="005474D6"/>
    <w:rsid w:val="0055234E"/>
    <w:rsid w:val="00553A47"/>
    <w:rsid w:val="00562968"/>
    <w:rsid w:val="00562BF1"/>
    <w:rsid w:val="0056301D"/>
    <w:rsid w:val="005653AA"/>
    <w:rsid w:val="0057174D"/>
    <w:rsid w:val="00571BAA"/>
    <w:rsid w:val="005756A2"/>
    <w:rsid w:val="005756F9"/>
    <w:rsid w:val="00575B38"/>
    <w:rsid w:val="005766C5"/>
    <w:rsid w:val="00576844"/>
    <w:rsid w:val="005773BD"/>
    <w:rsid w:val="00580C5C"/>
    <w:rsid w:val="005811DA"/>
    <w:rsid w:val="0058134C"/>
    <w:rsid w:val="00581E78"/>
    <w:rsid w:val="005826DD"/>
    <w:rsid w:val="0058275B"/>
    <w:rsid w:val="005850B4"/>
    <w:rsid w:val="0058593F"/>
    <w:rsid w:val="00590615"/>
    <w:rsid w:val="00593AD4"/>
    <w:rsid w:val="00594094"/>
    <w:rsid w:val="005945F6"/>
    <w:rsid w:val="00595C07"/>
    <w:rsid w:val="005963C4"/>
    <w:rsid w:val="005A127F"/>
    <w:rsid w:val="005A1584"/>
    <w:rsid w:val="005A560D"/>
    <w:rsid w:val="005A5B40"/>
    <w:rsid w:val="005A7884"/>
    <w:rsid w:val="005B0099"/>
    <w:rsid w:val="005B04D0"/>
    <w:rsid w:val="005B451E"/>
    <w:rsid w:val="005B4EAA"/>
    <w:rsid w:val="005B7AAB"/>
    <w:rsid w:val="005C3B4C"/>
    <w:rsid w:val="005C5138"/>
    <w:rsid w:val="005C5ED9"/>
    <w:rsid w:val="005C6FAE"/>
    <w:rsid w:val="005C7A1B"/>
    <w:rsid w:val="005D0636"/>
    <w:rsid w:val="005D13CF"/>
    <w:rsid w:val="005D141F"/>
    <w:rsid w:val="005D45C9"/>
    <w:rsid w:val="005D59C0"/>
    <w:rsid w:val="005D5EE7"/>
    <w:rsid w:val="005D6455"/>
    <w:rsid w:val="005E3AEB"/>
    <w:rsid w:val="005E3C0F"/>
    <w:rsid w:val="005E45BD"/>
    <w:rsid w:val="005E6C7E"/>
    <w:rsid w:val="005F4331"/>
    <w:rsid w:val="005F4AA1"/>
    <w:rsid w:val="005F5491"/>
    <w:rsid w:val="0060255E"/>
    <w:rsid w:val="00603FCF"/>
    <w:rsid w:val="00605783"/>
    <w:rsid w:val="00605A5C"/>
    <w:rsid w:val="00611B45"/>
    <w:rsid w:val="00613DA8"/>
    <w:rsid w:val="00614058"/>
    <w:rsid w:val="00614B07"/>
    <w:rsid w:val="006168E8"/>
    <w:rsid w:val="00616EF1"/>
    <w:rsid w:val="0062040F"/>
    <w:rsid w:val="00622936"/>
    <w:rsid w:val="0062391C"/>
    <w:rsid w:val="00625473"/>
    <w:rsid w:val="00631809"/>
    <w:rsid w:val="00631CED"/>
    <w:rsid w:val="006352C1"/>
    <w:rsid w:val="00635E6D"/>
    <w:rsid w:val="00636172"/>
    <w:rsid w:val="0064016B"/>
    <w:rsid w:val="00644E36"/>
    <w:rsid w:val="0064726A"/>
    <w:rsid w:val="006503D8"/>
    <w:rsid w:val="00651BF9"/>
    <w:rsid w:val="00653625"/>
    <w:rsid w:val="0065509C"/>
    <w:rsid w:val="00655A67"/>
    <w:rsid w:val="00656496"/>
    <w:rsid w:val="0065674E"/>
    <w:rsid w:val="00657F07"/>
    <w:rsid w:val="00660EC2"/>
    <w:rsid w:val="00661B4E"/>
    <w:rsid w:val="00662C19"/>
    <w:rsid w:val="00663FE4"/>
    <w:rsid w:val="006646A6"/>
    <w:rsid w:val="006676E9"/>
    <w:rsid w:val="0067080A"/>
    <w:rsid w:val="00670B1B"/>
    <w:rsid w:val="006729FF"/>
    <w:rsid w:val="006734EC"/>
    <w:rsid w:val="006755F7"/>
    <w:rsid w:val="00675F41"/>
    <w:rsid w:val="00676400"/>
    <w:rsid w:val="0067657C"/>
    <w:rsid w:val="00677E47"/>
    <w:rsid w:val="0068098C"/>
    <w:rsid w:val="006843C8"/>
    <w:rsid w:val="006845ED"/>
    <w:rsid w:val="00686666"/>
    <w:rsid w:val="00691AB4"/>
    <w:rsid w:val="00692D9A"/>
    <w:rsid w:val="00693A61"/>
    <w:rsid w:val="00694B4C"/>
    <w:rsid w:val="006A1BB3"/>
    <w:rsid w:val="006A3C03"/>
    <w:rsid w:val="006A4740"/>
    <w:rsid w:val="006A6097"/>
    <w:rsid w:val="006A64F2"/>
    <w:rsid w:val="006B1371"/>
    <w:rsid w:val="006B3177"/>
    <w:rsid w:val="006B3C1B"/>
    <w:rsid w:val="006B3EFB"/>
    <w:rsid w:val="006B690F"/>
    <w:rsid w:val="006C245B"/>
    <w:rsid w:val="006C2FBC"/>
    <w:rsid w:val="006C3148"/>
    <w:rsid w:val="006C3402"/>
    <w:rsid w:val="006C3AD5"/>
    <w:rsid w:val="006C5DA4"/>
    <w:rsid w:val="006C6F08"/>
    <w:rsid w:val="006C7836"/>
    <w:rsid w:val="006D370E"/>
    <w:rsid w:val="006D3B1F"/>
    <w:rsid w:val="006D4821"/>
    <w:rsid w:val="006D491B"/>
    <w:rsid w:val="006D4B7E"/>
    <w:rsid w:val="006D4E8D"/>
    <w:rsid w:val="006D51A2"/>
    <w:rsid w:val="006D79AE"/>
    <w:rsid w:val="006E1DF2"/>
    <w:rsid w:val="006E4393"/>
    <w:rsid w:val="006E57E8"/>
    <w:rsid w:val="006F08AE"/>
    <w:rsid w:val="006F2ACE"/>
    <w:rsid w:val="007000FB"/>
    <w:rsid w:val="007008E0"/>
    <w:rsid w:val="00705235"/>
    <w:rsid w:val="007107AD"/>
    <w:rsid w:val="00711E83"/>
    <w:rsid w:val="00720731"/>
    <w:rsid w:val="00724580"/>
    <w:rsid w:val="00724A27"/>
    <w:rsid w:val="00732237"/>
    <w:rsid w:val="00733F05"/>
    <w:rsid w:val="007342EA"/>
    <w:rsid w:val="00735001"/>
    <w:rsid w:val="007354F0"/>
    <w:rsid w:val="00742C25"/>
    <w:rsid w:val="00743300"/>
    <w:rsid w:val="00745364"/>
    <w:rsid w:val="00747A6F"/>
    <w:rsid w:val="007520AB"/>
    <w:rsid w:val="00752308"/>
    <w:rsid w:val="00752B0E"/>
    <w:rsid w:val="00755070"/>
    <w:rsid w:val="00756B4F"/>
    <w:rsid w:val="007575D6"/>
    <w:rsid w:val="00757792"/>
    <w:rsid w:val="0076026D"/>
    <w:rsid w:val="00763043"/>
    <w:rsid w:val="00766C21"/>
    <w:rsid w:val="0076761B"/>
    <w:rsid w:val="0077010C"/>
    <w:rsid w:val="00770452"/>
    <w:rsid w:val="00772B1A"/>
    <w:rsid w:val="0077645E"/>
    <w:rsid w:val="00781BAD"/>
    <w:rsid w:val="007854CF"/>
    <w:rsid w:val="00785787"/>
    <w:rsid w:val="007867DD"/>
    <w:rsid w:val="00786FB7"/>
    <w:rsid w:val="00787980"/>
    <w:rsid w:val="00787B82"/>
    <w:rsid w:val="00790058"/>
    <w:rsid w:val="007900D4"/>
    <w:rsid w:val="00791DB6"/>
    <w:rsid w:val="00796F08"/>
    <w:rsid w:val="0079731B"/>
    <w:rsid w:val="007A0FA3"/>
    <w:rsid w:val="007A1A4C"/>
    <w:rsid w:val="007A1D5D"/>
    <w:rsid w:val="007A4181"/>
    <w:rsid w:val="007A46A0"/>
    <w:rsid w:val="007A7CF3"/>
    <w:rsid w:val="007A7EA7"/>
    <w:rsid w:val="007B1802"/>
    <w:rsid w:val="007B21DD"/>
    <w:rsid w:val="007B430A"/>
    <w:rsid w:val="007B5630"/>
    <w:rsid w:val="007C0BAC"/>
    <w:rsid w:val="007C0E6F"/>
    <w:rsid w:val="007C11F5"/>
    <w:rsid w:val="007C466C"/>
    <w:rsid w:val="007C679F"/>
    <w:rsid w:val="007C72EB"/>
    <w:rsid w:val="007D2137"/>
    <w:rsid w:val="007D6606"/>
    <w:rsid w:val="007D67D1"/>
    <w:rsid w:val="007D682B"/>
    <w:rsid w:val="007E2A88"/>
    <w:rsid w:val="007E5C59"/>
    <w:rsid w:val="007E6CAF"/>
    <w:rsid w:val="007E73C3"/>
    <w:rsid w:val="007E7E21"/>
    <w:rsid w:val="007F378A"/>
    <w:rsid w:val="007F59BA"/>
    <w:rsid w:val="00800E46"/>
    <w:rsid w:val="0080162C"/>
    <w:rsid w:val="00803761"/>
    <w:rsid w:val="0080436C"/>
    <w:rsid w:val="008046A7"/>
    <w:rsid w:val="00804F59"/>
    <w:rsid w:val="00805E1E"/>
    <w:rsid w:val="0080763A"/>
    <w:rsid w:val="008101A5"/>
    <w:rsid w:val="00810FCA"/>
    <w:rsid w:val="00812EEF"/>
    <w:rsid w:val="0082072C"/>
    <w:rsid w:val="008211B6"/>
    <w:rsid w:val="008215F2"/>
    <w:rsid w:val="0082561C"/>
    <w:rsid w:val="00831A19"/>
    <w:rsid w:val="00831EDA"/>
    <w:rsid w:val="008363BD"/>
    <w:rsid w:val="00836A1D"/>
    <w:rsid w:val="00837349"/>
    <w:rsid w:val="008418D4"/>
    <w:rsid w:val="008433EA"/>
    <w:rsid w:val="00844572"/>
    <w:rsid w:val="008461EA"/>
    <w:rsid w:val="00847619"/>
    <w:rsid w:val="00850A4C"/>
    <w:rsid w:val="00851EDF"/>
    <w:rsid w:val="0085223E"/>
    <w:rsid w:val="008527AF"/>
    <w:rsid w:val="00853982"/>
    <w:rsid w:val="00854310"/>
    <w:rsid w:val="00856D07"/>
    <w:rsid w:val="0085796E"/>
    <w:rsid w:val="00860CE9"/>
    <w:rsid w:val="008673F9"/>
    <w:rsid w:val="00870493"/>
    <w:rsid w:val="008733F2"/>
    <w:rsid w:val="008739F3"/>
    <w:rsid w:val="00875888"/>
    <w:rsid w:val="00877335"/>
    <w:rsid w:val="00881A7C"/>
    <w:rsid w:val="00884320"/>
    <w:rsid w:val="00885412"/>
    <w:rsid w:val="00890039"/>
    <w:rsid w:val="0089092B"/>
    <w:rsid w:val="00890A6E"/>
    <w:rsid w:val="00890FD6"/>
    <w:rsid w:val="0089104A"/>
    <w:rsid w:val="00891D27"/>
    <w:rsid w:val="00895B38"/>
    <w:rsid w:val="008961BB"/>
    <w:rsid w:val="008963EF"/>
    <w:rsid w:val="008970F1"/>
    <w:rsid w:val="008979D0"/>
    <w:rsid w:val="008A01B5"/>
    <w:rsid w:val="008A2859"/>
    <w:rsid w:val="008A3128"/>
    <w:rsid w:val="008A53F1"/>
    <w:rsid w:val="008A692A"/>
    <w:rsid w:val="008B07A7"/>
    <w:rsid w:val="008B3E4F"/>
    <w:rsid w:val="008B5338"/>
    <w:rsid w:val="008B629C"/>
    <w:rsid w:val="008B6C4F"/>
    <w:rsid w:val="008B7CC3"/>
    <w:rsid w:val="008C0A8C"/>
    <w:rsid w:val="008C1CCC"/>
    <w:rsid w:val="008C3B80"/>
    <w:rsid w:val="008C4B08"/>
    <w:rsid w:val="008C4DAE"/>
    <w:rsid w:val="008C6C90"/>
    <w:rsid w:val="008C6CD3"/>
    <w:rsid w:val="008D0FC5"/>
    <w:rsid w:val="008D155A"/>
    <w:rsid w:val="008D25CC"/>
    <w:rsid w:val="008D3E8B"/>
    <w:rsid w:val="008D409A"/>
    <w:rsid w:val="008D45CD"/>
    <w:rsid w:val="008D4922"/>
    <w:rsid w:val="008D5548"/>
    <w:rsid w:val="008D70A6"/>
    <w:rsid w:val="008E121E"/>
    <w:rsid w:val="008E31F7"/>
    <w:rsid w:val="008E3AC8"/>
    <w:rsid w:val="008F5735"/>
    <w:rsid w:val="008F6929"/>
    <w:rsid w:val="009004A8"/>
    <w:rsid w:val="00904091"/>
    <w:rsid w:val="009044B7"/>
    <w:rsid w:val="00906E26"/>
    <w:rsid w:val="00911DB7"/>
    <w:rsid w:val="00912360"/>
    <w:rsid w:val="00914472"/>
    <w:rsid w:val="00917AE9"/>
    <w:rsid w:val="0092041D"/>
    <w:rsid w:val="00921DA9"/>
    <w:rsid w:val="00922734"/>
    <w:rsid w:val="00923457"/>
    <w:rsid w:val="009262AC"/>
    <w:rsid w:val="0093663B"/>
    <w:rsid w:val="00940D32"/>
    <w:rsid w:val="0094137F"/>
    <w:rsid w:val="00941BFF"/>
    <w:rsid w:val="00941E0A"/>
    <w:rsid w:val="00941F6A"/>
    <w:rsid w:val="009422F3"/>
    <w:rsid w:val="00942B3C"/>
    <w:rsid w:val="009438D4"/>
    <w:rsid w:val="00945A38"/>
    <w:rsid w:val="00950A70"/>
    <w:rsid w:val="00950A7E"/>
    <w:rsid w:val="00951681"/>
    <w:rsid w:val="00951BC4"/>
    <w:rsid w:val="009603C9"/>
    <w:rsid w:val="00960B87"/>
    <w:rsid w:val="00960D33"/>
    <w:rsid w:val="00962AAD"/>
    <w:rsid w:val="009635AB"/>
    <w:rsid w:val="00964ECF"/>
    <w:rsid w:val="0096551B"/>
    <w:rsid w:val="0097111B"/>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1A1"/>
    <w:rsid w:val="009A3BBF"/>
    <w:rsid w:val="009A3D45"/>
    <w:rsid w:val="009A6393"/>
    <w:rsid w:val="009A68DE"/>
    <w:rsid w:val="009A6C70"/>
    <w:rsid w:val="009A7D1A"/>
    <w:rsid w:val="009B3268"/>
    <w:rsid w:val="009B5FBB"/>
    <w:rsid w:val="009B64C4"/>
    <w:rsid w:val="009D0659"/>
    <w:rsid w:val="009D119A"/>
    <w:rsid w:val="009D6DBD"/>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4903"/>
    <w:rsid w:val="009F5718"/>
    <w:rsid w:val="009F61DA"/>
    <w:rsid w:val="009F707B"/>
    <w:rsid w:val="009F7990"/>
    <w:rsid w:val="009F7A6D"/>
    <w:rsid w:val="00A009D4"/>
    <w:rsid w:val="00A0320E"/>
    <w:rsid w:val="00A10522"/>
    <w:rsid w:val="00A12944"/>
    <w:rsid w:val="00A14EFC"/>
    <w:rsid w:val="00A165DF"/>
    <w:rsid w:val="00A1691E"/>
    <w:rsid w:val="00A222EA"/>
    <w:rsid w:val="00A22BE0"/>
    <w:rsid w:val="00A22CBC"/>
    <w:rsid w:val="00A22FF3"/>
    <w:rsid w:val="00A2365D"/>
    <w:rsid w:val="00A24980"/>
    <w:rsid w:val="00A24C4F"/>
    <w:rsid w:val="00A2719F"/>
    <w:rsid w:val="00A312B8"/>
    <w:rsid w:val="00A32C82"/>
    <w:rsid w:val="00A33A9C"/>
    <w:rsid w:val="00A3408C"/>
    <w:rsid w:val="00A35315"/>
    <w:rsid w:val="00A374EC"/>
    <w:rsid w:val="00A407B5"/>
    <w:rsid w:val="00A442C3"/>
    <w:rsid w:val="00A4684B"/>
    <w:rsid w:val="00A474D4"/>
    <w:rsid w:val="00A50F6C"/>
    <w:rsid w:val="00A5372D"/>
    <w:rsid w:val="00A6026B"/>
    <w:rsid w:val="00A6115A"/>
    <w:rsid w:val="00A6600B"/>
    <w:rsid w:val="00A66018"/>
    <w:rsid w:val="00A66558"/>
    <w:rsid w:val="00A7014D"/>
    <w:rsid w:val="00A71047"/>
    <w:rsid w:val="00A72D1A"/>
    <w:rsid w:val="00A743B4"/>
    <w:rsid w:val="00A751B8"/>
    <w:rsid w:val="00A835FF"/>
    <w:rsid w:val="00A83846"/>
    <w:rsid w:val="00A83E30"/>
    <w:rsid w:val="00A85EA9"/>
    <w:rsid w:val="00A916E8"/>
    <w:rsid w:val="00A92349"/>
    <w:rsid w:val="00A944BC"/>
    <w:rsid w:val="00AA1136"/>
    <w:rsid w:val="00AA12CC"/>
    <w:rsid w:val="00AA1CCA"/>
    <w:rsid w:val="00AB0007"/>
    <w:rsid w:val="00AB07B5"/>
    <w:rsid w:val="00AB0B18"/>
    <w:rsid w:val="00AB0B25"/>
    <w:rsid w:val="00AB548E"/>
    <w:rsid w:val="00AB6557"/>
    <w:rsid w:val="00AB753B"/>
    <w:rsid w:val="00AC0550"/>
    <w:rsid w:val="00AC1E57"/>
    <w:rsid w:val="00AC3607"/>
    <w:rsid w:val="00AC54FF"/>
    <w:rsid w:val="00AC7B96"/>
    <w:rsid w:val="00AD066A"/>
    <w:rsid w:val="00AD069F"/>
    <w:rsid w:val="00AD2D79"/>
    <w:rsid w:val="00AD4D35"/>
    <w:rsid w:val="00AD6C0F"/>
    <w:rsid w:val="00AD76DA"/>
    <w:rsid w:val="00AE2F9D"/>
    <w:rsid w:val="00AE3450"/>
    <w:rsid w:val="00AE5055"/>
    <w:rsid w:val="00AE699D"/>
    <w:rsid w:val="00AE6D2C"/>
    <w:rsid w:val="00AF0886"/>
    <w:rsid w:val="00AF1477"/>
    <w:rsid w:val="00AF33FC"/>
    <w:rsid w:val="00AF35D8"/>
    <w:rsid w:val="00AF4C7A"/>
    <w:rsid w:val="00AF5D5B"/>
    <w:rsid w:val="00AF6B9A"/>
    <w:rsid w:val="00B00AA3"/>
    <w:rsid w:val="00B026D9"/>
    <w:rsid w:val="00B05442"/>
    <w:rsid w:val="00B072ED"/>
    <w:rsid w:val="00B0773F"/>
    <w:rsid w:val="00B10BF4"/>
    <w:rsid w:val="00B1170E"/>
    <w:rsid w:val="00B11A62"/>
    <w:rsid w:val="00B14A97"/>
    <w:rsid w:val="00B15030"/>
    <w:rsid w:val="00B150FA"/>
    <w:rsid w:val="00B20D8C"/>
    <w:rsid w:val="00B20EE3"/>
    <w:rsid w:val="00B21B7C"/>
    <w:rsid w:val="00B220C4"/>
    <w:rsid w:val="00B22AC5"/>
    <w:rsid w:val="00B23CF1"/>
    <w:rsid w:val="00B24835"/>
    <w:rsid w:val="00B24C6D"/>
    <w:rsid w:val="00B273CB"/>
    <w:rsid w:val="00B323F0"/>
    <w:rsid w:val="00B34146"/>
    <w:rsid w:val="00B3465A"/>
    <w:rsid w:val="00B37E41"/>
    <w:rsid w:val="00B43C56"/>
    <w:rsid w:val="00B43E1A"/>
    <w:rsid w:val="00B47709"/>
    <w:rsid w:val="00B50794"/>
    <w:rsid w:val="00B51738"/>
    <w:rsid w:val="00B51E90"/>
    <w:rsid w:val="00B57380"/>
    <w:rsid w:val="00B6208B"/>
    <w:rsid w:val="00B67C1A"/>
    <w:rsid w:val="00B7271C"/>
    <w:rsid w:val="00B73C01"/>
    <w:rsid w:val="00B763C7"/>
    <w:rsid w:val="00B763FA"/>
    <w:rsid w:val="00B767CD"/>
    <w:rsid w:val="00B774A8"/>
    <w:rsid w:val="00B816DD"/>
    <w:rsid w:val="00B81A18"/>
    <w:rsid w:val="00B81D8F"/>
    <w:rsid w:val="00B825B1"/>
    <w:rsid w:val="00B82AC2"/>
    <w:rsid w:val="00B83C4A"/>
    <w:rsid w:val="00B91A4A"/>
    <w:rsid w:val="00B97B9F"/>
    <w:rsid w:val="00BA18B0"/>
    <w:rsid w:val="00BA330C"/>
    <w:rsid w:val="00BA3333"/>
    <w:rsid w:val="00BA36B3"/>
    <w:rsid w:val="00BA5B1F"/>
    <w:rsid w:val="00BA66B1"/>
    <w:rsid w:val="00BA6EBC"/>
    <w:rsid w:val="00BB1638"/>
    <w:rsid w:val="00BB34F9"/>
    <w:rsid w:val="00BB4BAF"/>
    <w:rsid w:val="00BB76CB"/>
    <w:rsid w:val="00BB7E8B"/>
    <w:rsid w:val="00BC086E"/>
    <w:rsid w:val="00BC0B12"/>
    <w:rsid w:val="00BC0E96"/>
    <w:rsid w:val="00BC12E2"/>
    <w:rsid w:val="00BC1DCF"/>
    <w:rsid w:val="00BC346D"/>
    <w:rsid w:val="00BC35D4"/>
    <w:rsid w:val="00BC3D16"/>
    <w:rsid w:val="00BC5DCF"/>
    <w:rsid w:val="00BC6ACA"/>
    <w:rsid w:val="00BD4345"/>
    <w:rsid w:val="00BD4992"/>
    <w:rsid w:val="00BD4DFB"/>
    <w:rsid w:val="00BD6BA7"/>
    <w:rsid w:val="00BE0054"/>
    <w:rsid w:val="00BE1D6A"/>
    <w:rsid w:val="00BE2F1D"/>
    <w:rsid w:val="00BE3510"/>
    <w:rsid w:val="00BE4612"/>
    <w:rsid w:val="00BE4CCA"/>
    <w:rsid w:val="00BE74C8"/>
    <w:rsid w:val="00BE761E"/>
    <w:rsid w:val="00BF0067"/>
    <w:rsid w:val="00BF0079"/>
    <w:rsid w:val="00BF0827"/>
    <w:rsid w:val="00BF0A35"/>
    <w:rsid w:val="00BF2F4A"/>
    <w:rsid w:val="00BF3093"/>
    <w:rsid w:val="00BF3C89"/>
    <w:rsid w:val="00C04531"/>
    <w:rsid w:val="00C04558"/>
    <w:rsid w:val="00C04EA1"/>
    <w:rsid w:val="00C06F1E"/>
    <w:rsid w:val="00C076F7"/>
    <w:rsid w:val="00C07C80"/>
    <w:rsid w:val="00C11AAF"/>
    <w:rsid w:val="00C11EFF"/>
    <w:rsid w:val="00C124E6"/>
    <w:rsid w:val="00C13F83"/>
    <w:rsid w:val="00C14F6F"/>
    <w:rsid w:val="00C15382"/>
    <w:rsid w:val="00C15ECA"/>
    <w:rsid w:val="00C1633C"/>
    <w:rsid w:val="00C17E8D"/>
    <w:rsid w:val="00C20E93"/>
    <w:rsid w:val="00C21DF1"/>
    <w:rsid w:val="00C222F3"/>
    <w:rsid w:val="00C23BF2"/>
    <w:rsid w:val="00C24004"/>
    <w:rsid w:val="00C24185"/>
    <w:rsid w:val="00C24455"/>
    <w:rsid w:val="00C254F0"/>
    <w:rsid w:val="00C27855"/>
    <w:rsid w:val="00C32F5E"/>
    <w:rsid w:val="00C374CC"/>
    <w:rsid w:val="00C379FE"/>
    <w:rsid w:val="00C37CD0"/>
    <w:rsid w:val="00C42CC2"/>
    <w:rsid w:val="00C43CFE"/>
    <w:rsid w:val="00C44541"/>
    <w:rsid w:val="00C46557"/>
    <w:rsid w:val="00C46DC6"/>
    <w:rsid w:val="00C4789A"/>
    <w:rsid w:val="00C5077F"/>
    <w:rsid w:val="00C5093C"/>
    <w:rsid w:val="00C52731"/>
    <w:rsid w:val="00C55401"/>
    <w:rsid w:val="00C5689D"/>
    <w:rsid w:val="00C60CCE"/>
    <w:rsid w:val="00C637EE"/>
    <w:rsid w:val="00C63F02"/>
    <w:rsid w:val="00C669E5"/>
    <w:rsid w:val="00C679CE"/>
    <w:rsid w:val="00C704C9"/>
    <w:rsid w:val="00C716B9"/>
    <w:rsid w:val="00C71914"/>
    <w:rsid w:val="00C7784C"/>
    <w:rsid w:val="00C80F04"/>
    <w:rsid w:val="00C81090"/>
    <w:rsid w:val="00C81C16"/>
    <w:rsid w:val="00C86564"/>
    <w:rsid w:val="00C90531"/>
    <w:rsid w:val="00C93740"/>
    <w:rsid w:val="00C95628"/>
    <w:rsid w:val="00CA06B1"/>
    <w:rsid w:val="00CA1637"/>
    <w:rsid w:val="00CA6B55"/>
    <w:rsid w:val="00CB128C"/>
    <w:rsid w:val="00CB75FF"/>
    <w:rsid w:val="00CB7B6B"/>
    <w:rsid w:val="00CC0060"/>
    <w:rsid w:val="00CC0BE8"/>
    <w:rsid w:val="00CC12EC"/>
    <w:rsid w:val="00CC147D"/>
    <w:rsid w:val="00CC3E11"/>
    <w:rsid w:val="00CC4EEC"/>
    <w:rsid w:val="00CC5C9E"/>
    <w:rsid w:val="00CC6237"/>
    <w:rsid w:val="00CC6700"/>
    <w:rsid w:val="00CC6D89"/>
    <w:rsid w:val="00CC6F63"/>
    <w:rsid w:val="00CD20F8"/>
    <w:rsid w:val="00CD3316"/>
    <w:rsid w:val="00CD34E9"/>
    <w:rsid w:val="00CD3706"/>
    <w:rsid w:val="00CD575C"/>
    <w:rsid w:val="00CE116F"/>
    <w:rsid w:val="00CE1403"/>
    <w:rsid w:val="00CE2FD5"/>
    <w:rsid w:val="00CE325B"/>
    <w:rsid w:val="00CF1A8C"/>
    <w:rsid w:val="00CF35E9"/>
    <w:rsid w:val="00CF43F2"/>
    <w:rsid w:val="00CF4B8D"/>
    <w:rsid w:val="00CF543F"/>
    <w:rsid w:val="00D02312"/>
    <w:rsid w:val="00D04CE9"/>
    <w:rsid w:val="00D0622E"/>
    <w:rsid w:val="00D06CF4"/>
    <w:rsid w:val="00D06D5B"/>
    <w:rsid w:val="00D1088E"/>
    <w:rsid w:val="00D12BD9"/>
    <w:rsid w:val="00D145C6"/>
    <w:rsid w:val="00D162BC"/>
    <w:rsid w:val="00D167BB"/>
    <w:rsid w:val="00D16D6E"/>
    <w:rsid w:val="00D205BA"/>
    <w:rsid w:val="00D22216"/>
    <w:rsid w:val="00D25F59"/>
    <w:rsid w:val="00D266C2"/>
    <w:rsid w:val="00D3255C"/>
    <w:rsid w:val="00D3420E"/>
    <w:rsid w:val="00D3478E"/>
    <w:rsid w:val="00D356CF"/>
    <w:rsid w:val="00D4206A"/>
    <w:rsid w:val="00D45702"/>
    <w:rsid w:val="00D4620B"/>
    <w:rsid w:val="00D46843"/>
    <w:rsid w:val="00D50C61"/>
    <w:rsid w:val="00D51EE7"/>
    <w:rsid w:val="00D5467C"/>
    <w:rsid w:val="00D54D67"/>
    <w:rsid w:val="00D5551D"/>
    <w:rsid w:val="00D568D6"/>
    <w:rsid w:val="00D621DA"/>
    <w:rsid w:val="00D648E0"/>
    <w:rsid w:val="00D65AC8"/>
    <w:rsid w:val="00D7008E"/>
    <w:rsid w:val="00D722CD"/>
    <w:rsid w:val="00D72F00"/>
    <w:rsid w:val="00D753D9"/>
    <w:rsid w:val="00D762A7"/>
    <w:rsid w:val="00D7641A"/>
    <w:rsid w:val="00D807D1"/>
    <w:rsid w:val="00D81FB5"/>
    <w:rsid w:val="00D8224F"/>
    <w:rsid w:val="00D857FB"/>
    <w:rsid w:val="00D85BF7"/>
    <w:rsid w:val="00D86702"/>
    <w:rsid w:val="00D86802"/>
    <w:rsid w:val="00D90A8A"/>
    <w:rsid w:val="00D90DCC"/>
    <w:rsid w:val="00D91676"/>
    <w:rsid w:val="00D9281D"/>
    <w:rsid w:val="00D969EB"/>
    <w:rsid w:val="00D96BE2"/>
    <w:rsid w:val="00D974FF"/>
    <w:rsid w:val="00DA0270"/>
    <w:rsid w:val="00DA04D6"/>
    <w:rsid w:val="00DA06FC"/>
    <w:rsid w:val="00DA255B"/>
    <w:rsid w:val="00DA56F0"/>
    <w:rsid w:val="00DA5F0B"/>
    <w:rsid w:val="00DA7A60"/>
    <w:rsid w:val="00DB4818"/>
    <w:rsid w:val="00DB5F13"/>
    <w:rsid w:val="00DC5B32"/>
    <w:rsid w:val="00DC658E"/>
    <w:rsid w:val="00DD173D"/>
    <w:rsid w:val="00DD40C0"/>
    <w:rsid w:val="00DD4446"/>
    <w:rsid w:val="00DD4CC1"/>
    <w:rsid w:val="00DE2FEA"/>
    <w:rsid w:val="00DE4AC1"/>
    <w:rsid w:val="00DE5630"/>
    <w:rsid w:val="00DE5FF0"/>
    <w:rsid w:val="00DE633E"/>
    <w:rsid w:val="00DF0EC6"/>
    <w:rsid w:val="00DF26E7"/>
    <w:rsid w:val="00DF4AD8"/>
    <w:rsid w:val="00DF4B57"/>
    <w:rsid w:val="00DF4DBF"/>
    <w:rsid w:val="00DF54D3"/>
    <w:rsid w:val="00DF6DBF"/>
    <w:rsid w:val="00DF7BCD"/>
    <w:rsid w:val="00E00803"/>
    <w:rsid w:val="00E02E3B"/>
    <w:rsid w:val="00E03490"/>
    <w:rsid w:val="00E03F91"/>
    <w:rsid w:val="00E049A4"/>
    <w:rsid w:val="00E04D8F"/>
    <w:rsid w:val="00E05D6B"/>
    <w:rsid w:val="00E072AC"/>
    <w:rsid w:val="00E078FD"/>
    <w:rsid w:val="00E07B7F"/>
    <w:rsid w:val="00E11477"/>
    <w:rsid w:val="00E11B0F"/>
    <w:rsid w:val="00E125AF"/>
    <w:rsid w:val="00E13082"/>
    <w:rsid w:val="00E1342A"/>
    <w:rsid w:val="00E140DC"/>
    <w:rsid w:val="00E14388"/>
    <w:rsid w:val="00E164D7"/>
    <w:rsid w:val="00E1687C"/>
    <w:rsid w:val="00E169EB"/>
    <w:rsid w:val="00E2017C"/>
    <w:rsid w:val="00E2076C"/>
    <w:rsid w:val="00E21788"/>
    <w:rsid w:val="00E242D3"/>
    <w:rsid w:val="00E24CA4"/>
    <w:rsid w:val="00E27A3B"/>
    <w:rsid w:val="00E322FF"/>
    <w:rsid w:val="00E32889"/>
    <w:rsid w:val="00E33AFF"/>
    <w:rsid w:val="00E36C6E"/>
    <w:rsid w:val="00E37FA1"/>
    <w:rsid w:val="00E414F8"/>
    <w:rsid w:val="00E42E71"/>
    <w:rsid w:val="00E43A15"/>
    <w:rsid w:val="00E43A96"/>
    <w:rsid w:val="00E43F49"/>
    <w:rsid w:val="00E44465"/>
    <w:rsid w:val="00E4472A"/>
    <w:rsid w:val="00E47077"/>
    <w:rsid w:val="00E51C4C"/>
    <w:rsid w:val="00E52101"/>
    <w:rsid w:val="00E52138"/>
    <w:rsid w:val="00E5260B"/>
    <w:rsid w:val="00E52779"/>
    <w:rsid w:val="00E53C53"/>
    <w:rsid w:val="00E544F2"/>
    <w:rsid w:val="00E54A19"/>
    <w:rsid w:val="00E553D5"/>
    <w:rsid w:val="00E56ADF"/>
    <w:rsid w:val="00E626F1"/>
    <w:rsid w:val="00E641A6"/>
    <w:rsid w:val="00E64318"/>
    <w:rsid w:val="00E64436"/>
    <w:rsid w:val="00E65624"/>
    <w:rsid w:val="00E65C28"/>
    <w:rsid w:val="00E6714F"/>
    <w:rsid w:val="00E67CFA"/>
    <w:rsid w:val="00E705D3"/>
    <w:rsid w:val="00E7317F"/>
    <w:rsid w:val="00E73276"/>
    <w:rsid w:val="00E737FA"/>
    <w:rsid w:val="00E76ACE"/>
    <w:rsid w:val="00E80A54"/>
    <w:rsid w:val="00E814F3"/>
    <w:rsid w:val="00E83D89"/>
    <w:rsid w:val="00E84012"/>
    <w:rsid w:val="00E861DA"/>
    <w:rsid w:val="00E86364"/>
    <w:rsid w:val="00E904E5"/>
    <w:rsid w:val="00E93371"/>
    <w:rsid w:val="00E95264"/>
    <w:rsid w:val="00E959E8"/>
    <w:rsid w:val="00E96A0E"/>
    <w:rsid w:val="00EA174A"/>
    <w:rsid w:val="00EA4441"/>
    <w:rsid w:val="00EA460D"/>
    <w:rsid w:val="00EA5B85"/>
    <w:rsid w:val="00EA7897"/>
    <w:rsid w:val="00EB154E"/>
    <w:rsid w:val="00EB1B66"/>
    <w:rsid w:val="00EB208A"/>
    <w:rsid w:val="00EB2FB3"/>
    <w:rsid w:val="00EB4099"/>
    <w:rsid w:val="00EB4B99"/>
    <w:rsid w:val="00EB4EC6"/>
    <w:rsid w:val="00EB787A"/>
    <w:rsid w:val="00EB7E3D"/>
    <w:rsid w:val="00EC0C52"/>
    <w:rsid w:val="00EC11E4"/>
    <w:rsid w:val="00EC1AE7"/>
    <w:rsid w:val="00EC267F"/>
    <w:rsid w:val="00EC3909"/>
    <w:rsid w:val="00EC3912"/>
    <w:rsid w:val="00EC439F"/>
    <w:rsid w:val="00EC4C41"/>
    <w:rsid w:val="00EC63C3"/>
    <w:rsid w:val="00EC7FD4"/>
    <w:rsid w:val="00ED1EC3"/>
    <w:rsid w:val="00ED2F45"/>
    <w:rsid w:val="00ED4012"/>
    <w:rsid w:val="00ED55A2"/>
    <w:rsid w:val="00EE010A"/>
    <w:rsid w:val="00EE6506"/>
    <w:rsid w:val="00EF0A65"/>
    <w:rsid w:val="00EF12CB"/>
    <w:rsid w:val="00EF331C"/>
    <w:rsid w:val="00EF3332"/>
    <w:rsid w:val="00EF41AC"/>
    <w:rsid w:val="00EF4A46"/>
    <w:rsid w:val="00EF4F0C"/>
    <w:rsid w:val="00F0033E"/>
    <w:rsid w:val="00F02A7A"/>
    <w:rsid w:val="00F03624"/>
    <w:rsid w:val="00F06057"/>
    <w:rsid w:val="00F2352C"/>
    <w:rsid w:val="00F23C8D"/>
    <w:rsid w:val="00F26B72"/>
    <w:rsid w:val="00F3014C"/>
    <w:rsid w:val="00F353CE"/>
    <w:rsid w:val="00F35F6C"/>
    <w:rsid w:val="00F3651B"/>
    <w:rsid w:val="00F36794"/>
    <w:rsid w:val="00F37163"/>
    <w:rsid w:val="00F435F1"/>
    <w:rsid w:val="00F45F9D"/>
    <w:rsid w:val="00F47958"/>
    <w:rsid w:val="00F47CB5"/>
    <w:rsid w:val="00F51224"/>
    <w:rsid w:val="00F52BB6"/>
    <w:rsid w:val="00F5546E"/>
    <w:rsid w:val="00F56248"/>
    <w:rsid w:val="00F5736D"/>
    <w:rsid w:val="00F61397"/>
    <w:rsid w:val="00F61F43"/>
    <w:rsid w:val="00F65411"/>
    <w:rsid w:val="00F66425"/>
    <w:rsid w:val="00F66C87"/>
    <w:rsid w:val="00F71016"/>
    <w:rsid w:val="00F710FC"/>
    <w:rsid w:val="00F713C0"/>
    <w:rsid w:val="00F7161F"/>
    <w:rsid w:val="00F73E58"/>
    <w:rsid w:val="00F7406E"/>
    <w:rsid w:val="00F74249"/>
    <w:rsid w:val="00F75473"/>
    <w:rsid w:val="00F77B50"/>
    <w:rsid w:val="00F838BA"/>
    <w:rsid w:val="00F839BB"/>
    <w:rsid w:val="00F84751"/>
    <w:rsid w:val="00F85075"/>
    <w:rsid w:val="00F85AD4"/>
    <w:rsid w:val="00F87D10"/>
    <w:rsid w:val="00F93E48"/>
    <w:rsid w:val="00F94302"/>
    <w:rsid w:val="00F95D50"/>
    <w:rsid w:val="00F95EB7"/>
    <w:rsid w:val="00F96AA9"/>
    <w:rsid w:val="00FA2073"/>
    <w:rsid w:val="00FA2A0D"/>
    <w:rsid w:val="00FA521B"/>
    <w:rsid w:val="00FA7E0A"/>
    <w:rsid w:val="00FB0B72"/>
    <w:rsid w:val="00FB0CB0"/>
    <w:rsid w:val="00FB1797"/>
    <w:rsid w:val="00FB5973"/>
    <w:rsid w:val="00FC789F"/>
    <w:rsid w:val="00FD241B"/>
    <w:rsid w:val="00FD3AAB"/>
    <w:rsid w:val="00FD454F"/>
    <w:rsid w:val="00FD4B19"/>
    <w:rsid w:val="00FD6D4E"/>
    <w:rsid w:val="00FE0A6D"/>
    <w:rsid w:val="00FE0B2D"/>
    <w:rsid w:val="00FE2301"/>
    <w:rsid w:val="00FE251E"/>
    <w:rsid w:val="00FE2D9A"/>
    <w:rsid w:val="00FE3202"/>
    <w:rsid w:val="00FE33A9"/>
    <w:rsid w:val="00FE3976"/>
    <w:rsid w:val="00FE3C14"/>
    <w:rsid w:val="00FE4274"/>
    <w:rsid w:val="00FE4F68"/>
    <w:rsid w:val="00FE5327"/>
    <w:rsid w:val="00FE6A03"/>
    <w:rsid w:val="00FE6D2A"/>
    <w:rsid w:val="00FE6FF7"/>
    <w:rsid w:val="00FF310C"/>
    <w:rsid w:val="00FF441C"/>
    <w:rsid w:val="00FF59C1"/>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B1A"/>
    <w:pPr>
      <w:ind w:left="720"/>
      <w:contextualSpacing/>
    </w:pPr>
  </w:style>
  <w:style w:type="paragraph" w:styleId="FootnoteText">
    <w:name w:val="footnote text"/>
    <w:basedOn w:val="Normal"/>
    <w:link w:val="FootnoteTextChar"/>
    <w:rsid w:val="0010563E"/>
    <w:rPr>
      <w:sz w:val="20"/>
      <w:szCs w:val="20"/>
    </w:rPr>
  </w:style>
  <w:style w:type="character" w:customStyle="1" w:styleId="FootnoteTextChar">
    <w:name w:val="Footnote Text Char"/>
    <w:basedOn w:val="DefaultParagraphFont"/>
    <w:link w:val="FootnoteText"/>
    <w:rsid w:val="0010563E"/>
  </w:style>
  <w:style w:type="character" w:styleId="FootnoteReference">
    <w:name w:val="footnote reference"/>
    <w:basedOn w:val="DefaultParagraphFont"/>
    <w:rsid w:val="0010563E"/>
    <w:rPr>
      <w:vertAlign w:val="superscript"/>
    </w:rPr>
  </w:style>
  <w:style w:type="paragraph" w:styleId="Header">
    <w:name w:val="header"/>
    <w:basedOn w:val="Normal"/>
    <w:link w:val="HeaderChar"/>
    <w:rsid w:val="008961BB"/>
    <w:pPr>
      <w:tabs>
        <w:tab w:val="center" w:pos="4680"/>
        <w:tab w:val="right" w:pos="9360"/>
      </w:tabs>
    </w:pPr>
  </w:style>
  <w:style w:type="character" w:customStyle="1" w:styleId="HeaderChar">
    <w:name w:val="Header Char"/>
    <w:basedOn w:val="DefaultParagraphFont"/>
    <w:link w:val="Header"/>
    <w:rsid w:val="008961BB"/>
    <w:rPr>
      <w:sz w:val="24"/>
      <w:szCs w:val="24"/>
    </w:rPr>
  </w:style>
  <w:style w:type="paragraph" w:styleId="Footer">
    <w:name w:val="footer"/>
    <w:basedOn w:val="Normal"/>
    <w:link w:val="FooterChar"/>
    <w:uiPriority w:val="99"/>
    <w:rsid w:val="008961BB"/>
    <w:pPr>
      <w:tabs>
        <w:tab w:val="center" w:pos="4680"/>
        <w:tab w:val="right" w:pos="9360"/>
      </w:tabs>
    </w:pPr>
  </w:style>
  <w:style w:type="character" w:customStyle="1" w:styleId="FooterChar">
    <w:name w:val="Footer Char"/>
    <w:basedOn w:val="DefaultParagraphFont"/>
    <w:link w:val="Footer"/>
    <w:uiPriority w:val="99"/>
    <w:rsid w:val="008961BB"/>
    <w:rPr>
      <w:sz w:val="24"/>
      <w:szCs w:val="24"/>
    </w:rPr>
  </w:style>
  <w:style w:type="character" w:styleId="Hyperlink">
    <w:name w:val="Hyperlink"/>
    <w:basedOn w:val="DefaultParagraphFont"/>
    <w:rsid w:val="00E95264"/>
    <w:rPr>
      <w:color w:val="0000FF" w:themeColor="hyperlink"/>
      <w:u w:val="single"/>
    </w:rPr>
  </w:style>
  <w:style w:type="paragraph" w:styleId="Title">
    <w:name w:val="Title"/>
    <w:basedOn w:val="Normal"/>
    <w:link w:val="TitleChar"/>
    <w:qFormat/>
    <w:rsid w:val="00CC4EEC"/>
    <w:pPr>
      <w:tabs>
        <w:tab w:val="left" w:pos="720"/>
        <w:tab w:val="left" w:pos="1440"/>
        <w:tab w:val="left" w:pos="2160"/>
        <w:tab w:val="left" w:pos="2880"/>
        <w:tab w:val="right" w:leader="dot" w:pos="9360"/>
      </w:tabs>
      <w:jc w:val="center"/>
    </w:pPr>
    <w:rPr>
      <w:b/>
      <w:sz w:val="26"/>
      <w:szCs w:val="20"/>
    </w:rPr>
  </w:style>
  <w:style w:type="character" w:customStyle="1" w:styleId="TitleChar">
    <w:name w:val="Title Char"/>
    <w:basedOn w:val="DefaultParagraphFont"/>
    <w:link w:val="Title"/>
    <w:rsid w:val="00CC4EEC"/>
    <w:rPr>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quesnelight.com/" TargetMode="External"/><Relationship Id="rId5" Type="http://schemas.openxmlformats.org/officeDocument/2006/relationships/webSettings" Target="webSettings.xml"/><Relationship Id="rId10" Type="http://schemas.openxmlformats.org/officeDocument/2006/relationships/hyperlink" Target="http://www.duquesnelight.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B0D2-223A-4CCF-8DA6-B527E935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15109</Words>
  <Characters>86125</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3</cp:revision>
  <cp:lastPrinted>2010-03-17T14:32:00Z</cp:lastPrinted>
  <dcterms:created xsi:type="dcterms:W3CDTF">2010-03-17T14:33:00Z</dcterms:created>
  <dcterms:modified xsi:type="dcterms:W3CDTF">2010-04-09T18:10:00Z</dcterms:modified>
</cp:coreProperties>
</file>