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69" w:rsidRPr="009E5BEA" w:rsidRDefault="00204F69">
      <w:pPr>
        <w:pStyle w:val="c2"/>
        <w:rPr>
          <w:b/>
          <w:bCs/>
          <w:sz w:val="23"/>
          <w:szCs w:val="23"/>
        </w:rPr>
      </w:pPr>
      <w:r w:rsidRPr="009E5BEA">
        <w:rPr>
          <w:b/>
          <w:bCs/>
          <w:sz w:val="23"/>
          <w:szCs w:val="23"/>
        </w:rPr>
        <w:t>PENNSYLVANIA PUBLIC UTILITY COMMISSION</w:t>
      </w:r>
    </w:p>
    <w:p w:rsidR="00204F69" w:rsidRPr="009E5BEA" w:rsidRDefault="00204F69">
      <w:pPr>
        <w:pStyle w:val="c2"/>
        <w:rPr>
          <w:b/>
          <w:bCs/>
          <w:sz w:val="23"/>
          <w:szCs w:val="23"/>
        </w:rPr>
      </w:pPr>
      <w:r w:rsidRPr="009E5BEA">
        <w:rPr>
          <w:b/>
          <w:bCs/>
          <w:sz w:val="23"/>
          <w:szCs w:val="23"/>
        </w:rPr>
        <w:t>HARRISBURG, PENNSYLVANIA 17105</w:t>
      </w:r>
    </w:p>
    <w:p w:rsidR="003C3496" w:rsidRPr="009E5BEA" w:rsidRDefault="003C3496">
      <w:pPr>
        <w:pStyle w:val="c2"/>
        <w:rPr>
          <w:b/>
          <w:bCs/>
          <w:sz w:val="23"/>
          <w:szCs w:val="23"/>
        </w:rPr>
      </w:pPr>
    </w:p>
    <w:p w:rsidR="00204F69" w:rsidRPr="009E5BEA" w:rsidRDefault="00FF6396">
      <w:pPr>
        <w:pStyle w:val="t1"/>
        <w:tabs>
          <w:tab w:val="left" w:pos="4371"/>
        </w:tabs>
        <w:rPr>
          <w:b/>
          <w:bCs/>
          <w:sz w:val="23"/>
          <w:szCs w:val="23"/>
        </w:rPr>
      </w:pPr>
      <w:r w:rsidRPr="009E5BEA">
        <w:rPr>
          <w:b/>
          <w:bCs/>
          <w:sz w:val="23"/>
          <w:szCs w:val="23"/>
        </w:rPr>
        <w:t>DANIEL H. PATTISON v.</w:t>
      </w:r>
      <w:r w:rsidR="00204F69" w:rsidRPr="009E5BEA">
        <w:rPr>
          <w:b/>
          <w:bCs/>
          <w:sz w:val="23"/>
          <w:szCs w:val="23"/>
        </w:rPr>
        <w:tab/>
      </w:r>
      <w:r w:rsidR="009E5BEA" w:rsidRPr="009E5BEA">
        <w:rPr>
          <w:b/>
          <w:bCs/>
          <w:sz w:val="23"/>
          <w:szCs w:val="23"/>
        </w:rPr>
        <w:tab/>
      </w:r>
      <w:r w:rsidR="009E5BEA" w:rsidRPr="009E5BEA">
        <w:rPr>
          <w:b/>
          <w:bCs/>
          <w:sz w:val="23"/>
          <w:szCs w:val="23"/>
        </w:rPr>
        <w:tab/>
      </w:r>
      <w:r w:rsidR="00204F69" w:rsidRPr="009E5BEA">
        <w:rPr>
          <w:b/>
          <w:bCs/>
          <w:sz w:val="23"/>
          <w:szCs w:val="23"/>
        </w:rPr>
        <w:t xml:space="preserve">Public Meeting </w:t>
      </w:r>
      <w:r w:rsidRPr="009E5BEA">
        <w:rPr>
          <w:b/>
          <w:bCs/>
          <w:sz w:val="23"/>
          <w:szCs w:val="23"/>
        </w:rPr>
        <w:t>April 15, 2010</w:t>
      </w:r>
    </w:p>
    <w:p w:rsidR="00204F69" w:rsidRPr="009E5BEA" w:rsidRDefault="00FF6396">
      <w:pPr>
        <w:pStyle w:val="t1"/>
        <w:tabs>
          <w:tab w:val="left" w:pos="4371"/>
        </w:tabs>
        <w:rPr>
          <w:b/>
          <w:bCs/>
          <w:sz w:val="23"/>
          <w:szCs w:val="23"/>
        </w:rPr>
      </w:pPr>
      <w:r w:rsidRPr="009E5BEA">
        <w:rPr>
          <w:b/>
          <w:bCs/>
          <w:sz w:val="23"/>
          <w:szCs w:val="23"/>
        </w:rPr>
        <w:t>PECO ENERGY COMPANY</w:t>
      </w:r>
      <w:r w:rsidRPr="009E5BEA">
        <w:rPr>
          <w:b/>
          <w:bCs/>
          <w:sz w:val="23"/>
          <w:szCs w:val="23"/>
        </w:rPr>
        <w:tab/>
      </w:r>
      <w:r w:rsidR="009E5BEA" w:rsidRPr="009E5BEA">
        <w:rPr>
          <w:b/>
          <w:bCs/>
          <w:sz w:val="23"/>
          <w:szCs w:val="23"/>
        </w:rPr>
        <w:tab/>
      </w:r>
      <w:r w:rsidR="009E5BEA" w:rsidRPr="009E5BEA">
        <w:rPr>
          <w:b/>
          <w:bCs/>
          <w:sz w:val="23"/>
          <w:szCs w:val="23"/>
        </w:rPr>
        <w:tab/>
      </w:r>
      <w:r w:rsidRPr="009E5BEA">
        <w:rPr>
          <w:b/>
          <w:bCs/>
          <w:sz w:val="23"/>
          <w:szCs w:val="23"/>
        </w:rPr>
        <w:t>2082624-ALJ</w:t>
      </w:r>
    </w:p>
    <w:p w:rsidR="00204F69" w:rsidRPr="009E5BEA" w:rsidRDefault="00204F69">
      <w:pPr>
        <w:pStyle w:val="t1"/>
        <w:tabs>
          <w:tab w:val="left" w:pos="4371"/>
        </w:tabs>
        <w:rPr>
          <w:b/>
          <w:bCs/>
          <w:sz w:val="23"/>
          <w:szCs w:val="23"/>
        </w:rPr>
      </w:pPr>
      <w:r w:rsidRPr="009E5BEA">
        <w:rPr>
          <w:b/>
          <w:bCs/>
          <w:sz w:val="23"/>
          <w:szCs w:val="23"/>
        </w:rPr>
        <w:tab/>
      </w:r>
      <w:r w:rsidR="009E5BEA" w:rsidRPr="009E5BEA">
        <w:rPr>
          <w:b/>
          <w:bCs/>
          <w:sz w:val="23"/>
          <w:szCs w:val="23"/>
        </w:rPr>
        <w:tab/>
      </w:r>
      <w:r w:rsidR="009E5BEA" w:rsidRPr="009E5BEA">
        <w:rPr>
          <w:b/>
          <w:bCs/>
          <w:sz w:val="23"/>
          <w:szCs w:val="23"/>
        </w:rPr>
        <w:tab/>
      </w:r>
      <w:r w:rsidR="003C3496" w:rsidRPr="009E5BEA">
        <w:rPr>
          <w:b/>
          <w:bCs/>
          <w:sz w:val="23"/>
          <w:szCs w:val="23"/>
        </w:rPr>
        <w:t xml:space="preserve">Docket No. </w:t>
      </w:r>
      <w:r w:rsidR="00FF6396" w:rsidRPr="009E5BEA">
        <w:rPr>
          <w:b/>
          <w:bCs/>
          <w:sz w:val="23"/>
          <w:szCs w:val="23"/>
        </w:rPr>
        <w:t>C-2009-2082624</w:t>
      </w:r>
    </w:p>
    <w:p w:rsidR="00204F69" w:rsidRPr="009E5BEA" w:rsidRDefault="00204F69">
      <w:pPr>
        <w:pStyle w:val="t1"/>
        <w:tabs>
          <w:tab w:val="left" w:pos="4371"/>
        </w:tabs>
        <w:rPr>
          <w:b/>
          <w:bCs/>
          <w:sz w:val="23"/>
          <w:szCs w:val="23"/>
        </w:rPr>
      </w:pPr>
    </w:p>
    <w:p w:rsidR="00204F69" w:rsidRPr="009E5BEA" w:rsidRDefault="00204F69">
      <w:pPr>
        <w:pStyle w:val="c2"/>
        <w:tabs>
          <w:tab w:val="left" w:pos="204"/>
        </w:tabs>
        <w:rPr>
          <w:b/>
          <w:bCs/>
          <w:sz w:val="23"/>
          <w:szCs w:val="23"/>
        </w:rPr>
      </w:pPr>
      <w:r w:rsidRPr="009E5BEA">
        <w:rPr>
          <w:b/>
          <w:bCs/>
          <w:sz w:val="23"/>
          <w:szCs w:val="23"/>
        </w:rPr>
        <w:t>MOTION OF</w:t>
      </w:r>
    </w:p>
    <w:p w:rsidR="00204F69" w:rsidRPr="009E5BEA" w:rsidRDefault="00204F69">
      <w:pPr>
        <w:pStyle w:val="c2"/>
        <w:tabs>
          <w:tab w:val="left" w:pos="204"/>
        </w:tabs>
        <w:rPr>
          <w:b/>
          <w:bCs/>
          <w:sz w:val="23"/>
          <w:szCs w:val="23"/>
        </w:rPr>
      </w:pPr>
      <w:r w:rsidRPr="009E5BEA">
        <w:rPr>
          <w:b/>
          <w:bCs/>
          <w:sz w:val="23"/>
          <w:szCs w:val="23"/>
          <w:u w:val="single"/>
        </w:rPr>
        <w:t>COMMISSIONER</w:t>
      </w:r>
      <w:r w:rsidR="003C3496" w:rsidRPr="009E5BEA">
        <w:rPr>
          <w:b/>
          <w:bCs/>
          <w:sz w:val="23"/>
          <w:szCs w:val="23"/>
          <w:u w:val="single"/>
        </w:rPr>
        <w:t xml:space="preserve"> ROBERT F. POWELSON</w:t>
      </w:r>
    </w:p>
    <w:p w:rsidR="00204F69" w:rsidRPr="009E5BEA" w:rsidRDefault="00204F69">
      <w:pPr>
        <w:tabs>
          <w:tab w:val="left" w:pos="204"/>
        </w:tabs>
        <w:rPr>
          <w:b/>
          <w:bCs/>
          <w:sz w:val="23"/>
          <w:szCs w:val="23"/>
        </w:rPr>
      </w:pPr>
    </w:p>
    <w:p w:rsidR="00760234" w:rsidRPr="009E5BEA" w:rsidRDefault="00F43147">
      <w:pPr>
        <w:pStyle w:val="p4"/>
        <w:rPr>
          <w:sz w:val="23"/>
          <w:szCs w:val="23"/>
        </w:rPr>
      </w:pPr>
      <w:r w:rsidRPr="009E5BEA">
        <w:rPr>
          <w:sz w:val="23"/>
          <w:szCs w:val="23"/>
        </w:rPr>
        <w:t>Before the Commission today for disposition is the Formal Complaint of Barbara Pattison</w:t>
      </w:r>
      <w:r w:rsidR="00945968" w:rsidRPr="009E5BEA">
        <w:rPr>
          <w:rStyle w:val="FootnoteReference"/>
          <w:sz w:val="23"/>
          <w:szCs w:val="23"/>
        </w:rPr>
        <w:footnoteReference w:id="1"/>
      </w:r>
      <w:r w:rsidRPr="009E5BEA">
        <w:rPr>
          <w:sz w:val="23"/>
          <w:szCs w:val="23"/>
        </w:rPr>
        <w:t xml:space="preserve"> (“Ms. Pattison” or “Complainant”) against PECO Energy Company (“PECO”)</w:t>
      </w:r>
      <w:r w:rsidR="00945968" w:rsidRPr="009E5BEA">
        <w:rPr>
          <w:sz w:val="23"/>
          <w:szCs w:val="23"/>
        </w:rPr>
        <w:t>.  In her Complaint, Ms. Pattison alleg</w:t>
      </w:r>
      <w:r w:rsidR="007A460A" w:rsidRPr="009E5BEA">
        <w:rPr>
          <w:sz w:val="23"/>
          <w:szCs w:val="23"/>
        </w:rPr>
        <w:t>es</w:t>
      </w:r>
      <w:r w:rsidR="00945968" w:rsidRPr="009E5BEA">
        <w:rPr>
          <w:sz w:val="23"/>
          <w:szCs w:val="23"/>
        </w:rPr>
        <w:t xml:space="preserve"> that PECO has overbilled her</w:t>
      </w:r>
      <w:r w:rsidR="005421AF" w:rsidRPr="009E5BEA">
        <w:rPr>
          <w:sz w:val="23"/>
          <w:szCs w:val="23"/>
        </w:rPr>
        <w:t>.  Following PECO’s filing of an Answer denying the allegations, the matter was set for an Initial Hearing.</w:t>
      </w:r>
    </w:p>
    <w:p w:rsidR="005421AF" w:rsidRPr="009E5BEA" w:rsidRDefault="005421AF">
      <w:pPr>
        <w:pStyle w:val="p4"/>
        <w:rPr>
          <w:sz w:val="23"/>
          <w:szCs w:val="23"/>
        </w:rPr>
      </w:pPr>
    </w:p>
    <w:p w:rsidR="005421AF" w:rsidRPr="009E5BEA" w:rsidRDefault="005421AF">
      <w:pPr>
        <w:pStyle w:val="p4"/>
        <w:rPr>
          <w:sz w:val="23"/>
          <w:szCs w:val="23"/>
        </w:rPr>
      </w:pPr>
      <w:r w:rsidRPr="009E5BEA">
        <w:rPr>
          <w:sz w:val="23"/>
          <w:szCs w:val="23"/>
        </w:rPr>
        <w:t xml:space="preserve">An Initial Hearing was </w:t>
      </w:r>
      <w:r w:rsidR="00522E76" w:rsidRPr="009E5BEA">
        <w:rPr>
          <w:sz w:val="23"/>
          <w:szCs w:val="23"/>
        </w:rPr>
        <w:t>subsequently convened, before which</w:t>
      </w:r>
      <w:r w:rsidRPr="009E5BEA">
        <w:rPr>
          <w:sz w:val="23"/>
          <w:szCs w:val="23"/>
        </w:rPr>
        <w:t xml:space="preserve"> the parties engaged in settlement negotiations.  During these negotiations, the parties agreed that a payment arrangement should be entered into</w:t>
      </w:r>
      <w:r w:rsidR="00522E76" w:rsidRPr="009E5BEA">
        <w:rPr>
          <w:sz w:val="23"/>
          <w:szCs w:val="23"/>
        </w:rPr>
        <w:t xml:space="preserve"> but</w:t>
      </w:r>
      <w:r w:rsidR="007A65C7" w:rsidRPr="009E5BEA">
        <w:rPr>
          <w:sz w:val="23"/>
          <w:szCs w:val="23"/>
        </w:rPr>
        <w:t xml:space="preserve"> did not, however, agree on an amount owed.  Following these settlement discussions, the formal hearing proceeded.</w:t>
      </w:r>
    </w:p>
    <w:p w:rsidR="007A65C7" w:rsidRPr="009E5BEA" w:rsidRDefault="007A65C7">
      <w:pPr>
        <w:pStyle w:val="p4"/>
        <w:rPr>
          <w:sz w:val="23"/>
          <w:szCs w:val="23"/>
        </w:rPr>
      </w:pPr>
    </w:p>
    <w:p w:rsidR="007A65C7" w:rsidRPr="009E5BEA" w:rsidRDefault="007A65C7">
      <w:pPr>
        <w:pStyle w:val="p4"/>
        <w:rPr>
          <w:sz w:val="23"/>
          <w:szCs w:val="23"/>
        </w:rPr>
      </w:pPr>
      <w:r w:rsidRPr="009E5BEA">
        <w:rPr>
          <w:sz w:val="23"/>
          <w:szCs w:val="23"/>
        </w:rPr>
        <w:t>During the formal hearing, the Complainant ultimately acknowledged that she could not dispute the amount billed to her by PECO.</w:t>
      </w:r>
      <w:r w:rsidR="00CD622E" w:rsidRPr="009E5BEA">
        <w:rPr>
          <w:sz w:val="23"/>
          <w:szCs w:val="23"/>
        </w:rPr>
        <w:t xml:space="preserve">  Once this was acknowledged, PECO left the terms of the payment arrangement </w:t>
      </w:r>
      <w:r w:rsidR="001878AD" w:rsidRPr="009E5BEA">
        <w:rPr>
          <w:sz w:val="23"/>
          <w:szCs w:val="23"/>
        </w:rPr>
        <w:t xml:space="preserve">that was agreed upon during settlement discussions </w:t>
      </w:r>
      <w:r w:rsidR="00CD622E" w:rsidRPr="009E5BEA">
        <w:rPr>
          <w:sz w:val="23"/>
          <w:szCs w:val="23"/>
        </w:rPr>
        <w:t xml:space="preserve">to be determined by the Commission.  </w:t>
      </w:r>
    </w:p>
    <w:p w:rsidR="00CD622E" w:rsidRPr="009E5BEA" w:rsidRDefault="00CD622E">
      <w:pPr>
        <w:pStyle w:val="p4"/>
        <w:rPr>
          <w:sz w:val="23"/>
          <w:szCs w:val="23"/>
        </w:rPr>
      </w:pPr>
    </w:p>
    <w:p w:rsidR="00CD622E" w:rsidRPr="009E5BEA" w:rsidRDefault="00CD622E">
      <w:pPr>
        <w:pStyle w:val="p4"/>
        <w:rPr>
          <w:sz w:val="23"/>
          <w:szCs w:val="23"/>
        </w:rPr>
      </w:pPr>
      <w:r w:rsidRPr="009E5BEA">
        <w:rPr>
          <w:sz w:val="23"/>
          <w:szCs w:val="23"/>
        </w:rPr>
        <w:t xml:space="preserve">Ms. Pattison, however, </w:t>
      </w:r>
      <w:r w:rsidR="00345AF4" w:rsidRPr="009E5BEA">
        <w:rPr>
          <w:sz w:val="23"/>
          <w:szCs w:val="23"/>
        </w:rPr>
        <w:t>had already received a Bureau of Consumer Services-issued payment arrangement on March 11, 2008, which she did not appeal.  This payment arrangement, therefore, constitutes the one payment arrangement the Commission is permitted to issue pursuant to Section 1405(d) of the Public Utility Code.</w:t>
      </w:r>
      <w:r w:rsidR="00345AF4" w:rsidRPr="009E5BEA">
        <w:rPr>
          <w:rStyle w:val="FootnoteReference"/>
          <w:sz w:val="23"/>
          <w:szCs w:val="23"/>
        </w:rPr>
        <w:footnoteReference w:id="2"/>
      </w:r>
      <w:r w:rsidR="001878AD" w:rsidRPr="009E5BEA">
        <w:rPr>
          <w:sz w:val="23"/>
          <w:szCs w:val="23"/>
        </w:rPr>
        <w:t xml:space="preserve">  The payment arrangement set forth in the Initial Decision was consequently not permitted under Chapter 14.</w:t>
      </w:r>
    </w:p>
    <w:p w:rsidR="008961ED" w:rsidRPr="009E5BEA" w:rsidRDefault="008961ED">
      <w:pPr>
        <w:pStyle w:val="p4"/>
        <w:rPr>
          <w:sz w:val="23"/>
          <w:szCs w:val="23"/>
        </w:rPr>
      </w:pPr>
    </w:p>
    <w:p w:rsidR="008961ED" w:rsidRPr="009E5BEA" w:rsidRDefault="008961ED">
      <w:pPr>
        <w:pStyle w:val="p4"/>
        <w:rPr>
          <w:sz w:val="23"/>
          <w:szCs w:val="23"/>
        </w:rPr>
      </w:pPr>
      <w:r w:rsidRPr="009E5BEA">
        <w:rPr>
          <w:sz w:val="23"/>
          <w:szCs w:val="23"/>
        </w:rPr>
        <w:t xml:space="preserve">While PECO certainly has the discretion to enter into additional payment arrangements, the Commission does not have the authority to set the terms of those payment arrangements.  In this matter, the Commission’s role ended when the parties agreed to the amount due and owing, the only issue properly before the Commission.  </w:t>
      </w:r>
    </w:p>
    <w:p w:rsidR="00791F24" w:rsidRPr="009E5BEA" w:rsidRDefault="00791F24">
      <w:pPr>
        <w:pStyle w:val="p4"/>
        <w:rPr>
          <w:sz w:val="23"/>
          <w:szCs w:val="23"/>
        </w:rPr>
      </w:pPr>
    </w:p>
    <w:p w:rsidR="00204F69" w:rsidRPr="009E5BEA" w:rsidRDefault="00204F69">
      <w:pPr>
        <w:pStyle w:val="p3"/>
        <w:rPr>
          <w:b/>
          <w:bCs/>
          <w:sz w:val="23"/>
          <w:szCs w:val="23"/>
        </w:rPr>
      </w:pPr>
      <w:r w:rsidRPr="009E5BEA">
        <w:rPr>
          <w:b/>
          <w:bCs/>
          <w:sz w:val="23"/>
          <w:szCs w:val="23"/>
        </w:rPr>
        <w:t>THEREFORE, IT IS ORDERED:</w:t>
      </w:r>
    </w:p>
    <w:p w:rsidR="00204F69" w:rsidRPr="009E5BEA" w:rsidRDefault="00204F69">
      <w:pPr>
        <w:tabs>
          <w:tab w:val="left" w:pos="204"/>
        </w:tabs>
        <w:rPr>
          <w:b/>
          <w:bCs/>
          <w:sz w:val="23"/>
          <w:szCs w:val="23"/>
        </w:rPr>
      </w:pPr>
    </w:p>
    <w:p w:rsidR="0007761D" w:rsidRDefault="0007761D" w:rsidP="008961ED">
      <w:pPr>
        <w:pStyle w:val="p5"/>
        <w:numPr>
          <w:ilvl w:val="0"/>
          <w:numId w:val="3"/>
        </w:numPr>
        <w:rPr>
          <w:bCs/>
          <w:sz w:val="23"/>
          <w:szCs w:val="23"/>
        </w:rPr>
      </w:pPr>
      <w:r>
        <w:rPr>
          <w:bCs/>
          <w:sz w:val="23"/>
          <w:szCs w:val="23"/>
        </w:rPr>
        <w:t xml:space="preserve">The payment arrangement issued in the Initial Decision is vacated; </w:t>
      </w:r>
    </w:p>
    <w:p w:rsidR="00204F69" w:rsidRPr="009E5BEA" w:rsidRDefault="008961ED" w:rsidP="008961ED">
      <w:pPr>
        <w:pStyle w:val="p5"/>
        <w:numPr>
          <w:ilvl w:val="0"/>
          <w:numId w:val="3"/>
        </w:numPr>
        <w:rPr>
          <w:bCs/>
          <w:sz w:val="23"/>
          <w:szCs w:val="23"/>
        </w:rPr>
      </w:pPr>
      <w:r w:rsidRPr="009E5BEA">
        <w:rPr>
          <w:bCs/>
          <w:sz w:val="23"/>
          <w:szCs w:val="23"/>
        </w:rPr>
        <w:t xml:space="preserve">The Initial Decision of Administrative Law Judge Angela T. Jones is </w:t>
      </w:r>
      <w:r w:rsidR="00A51799">
        <w:rPr>
          <w:bCs/>
          <w:sz w:val="23"/>
          <w:szCs w:val="23"/>
        </w:rPr>
        <w:t>modified</w:t>
      </w:r>
      <w:r w:rsidRPr="009E5BEA">
        <w:rPr>
          <w:bCs/>
          <w:sz w:val="23"/>
          <w:szCs w:val="23"/>
        </w:rPr>
        <w:t xml:space="preserve"> consistent with this Motion; and</w:t>
      </w:r>
    </w:p>
    <w:p w:rsidR="008961ED" w:rsidRPr="009E5BEA" w:rsidRDefault="008961ED" w:rsidP="008961ED">
      <w:pPr>
        <w:pStyle w:val="p5"/>
        <w:numPr>
          <w:ilvl w:val="0"/>
          <w:numId w:val="3"/>
        </w:numPr>
        <w:rPr>
          <w:sz w:val="23"/>
          <w:szCs w:val="23"/>
        </w:rPr>
      </w:pPr>
      <w:r w:rsidRPr="009E5BEA">
        <w:rPr>
          <w:bCs/>
          <w:sz w:val="23"/>
          <w:szCs w:val="23"/>
        </w:rPr>
        <w:t xml:space="preserve">That the Office of Special Assistants shall prepare an Opinion and Order consistent with this Motion.  </w:t>
      </w:r>
    </w:p>
    <w:p w:rsidR="00644DB8" w:rsidRPr="009E5BEA" w:rsidRDefault="00644DB8" w:rsidP="00644DB8">
      <w:pPr>
        <w:pStyle w:val="p5"/>
        <w:tabs>
          <w:tab w:val="left" w:pos="0"/>
        </w:tabs>
        <w:ind w:hanging="715"/>
        <w:rPr>
          <w:sz w:val="23"/>
          <w:szCs w:val="23"/>
        </w:rPr>
      </w:pPr>
    </w:p>
    <w:p w:rsidR="003712BE" w:rsidRPr="009E5BEA" w:rsidRDefault="003712BE" w:rsidP="00644DB8">
      <w:pPr>
        <w:pStyle w:val="p5"/>
        <w:tabs>
          <w:tab w:val="left" w:pos="0"/>
        </w:tabs>
        <w:ind w:hanging="715"/>
        <w:rPr>
          <w:sz w:val="23"/>
          <w:szCs w:val="23"/>
        </w:rPr>
      </w:pPr>
    </w:p>
    <w:p w:rsidR="00204F69" w:rsidRPr="009E5BEA" w:rsidRDefault="00204F69">
      <w:pPr>
        <w:pStyle w:val="t1"/>
        <w:tabs>
          <w:tab w:val="left" w:pos="4371"/>
        </w:tabs>
        <w:rPr>
          <w:sz w:val="23"/>
          <w:szCs w:val="23"/>
        </w:rPr>
      </w:pPr>
      <w:r w:rsidRPr="009E5BEA">
        <w:rPr>
          <w:b/>
          <w:bCs/>
          <w:sz w:val="23"/>
          <w:szCs w:val="23"/>
        </w:rPr>
        <w:t xml:space="preserve">DATED: </w:t>
      </w:r>
      <w:r w:rsidR="00FF6396" w:rsidRPr="009E5BEA">
        <w:rPr>
          <w:b/>
          <w:bCs/>
          <w:sz w:val="23"/>
          <w:szCs w:val="23"/>
          <w:u w:val="single"/>
        </w:rPr>
        <w:t>April 15, 2010</w:t>
      </w:r>
      <w:r w:rsidRPr="009E5BEA">
        <w:rPr>
          <w:b/>
          <w:bCs/>
          <w:sz w:val="23"/>
          <w:szCs w:val="23"/>
        </w:rPr>
        <w:tab/>
      </w:r>
      <w:r w:rsidR="00644DB8" w:rsidRPr="009E5BEA">
        <w:rPr>
          <w:b/>
          <w:bCs/>
          <w:sz w:val="23"/>
          <w:szCs w:val="23"/>
        </w:rPr>
        <w:tab/>
      </w:r>
      <w:r w:rsidRPr="009E5BEA">
        <w:rPr>
          <w:sz w:val="23"/>
          <w:szCs w:val="23"/>
        </w:rPr>
        <w:t>_______________</w:t>
      </w:r>
      <w:r w:rsidR="0007761D">
        <w:rPr>
          <w:sz w:val="23"/>
          <w:szCs w:val="23"/>
        </w:rPr>
        <w:t>________</w:t>
      </w:r>
      <w:r w:rsidRPr="009E5BEA">
        <w:rPr>
          <w:sz w:val="23"/>
          <w:szCs w:val="23"/>
        </w:rPr>
        <w:t>____</w:t>
      </w:r>
    </w:p>
    <w:p w:rsidR="00204F69" w:rsidRPr="009E5BEA" w:rsidRDefault="00204F69">
      <w:pPr>
        <w:pStyle w:val="t1"/>
        <w:tabs>
          <w:tab w:val="left" w:pos="4371"/>
        </w:tabs>
        <w:rPr>
          <w:b/>
          <w:bCs/>
          <w:sz w:val="23"/>
          <w:szCs w:val="23"/>
        </w:rPr>
      </w:pPr>
      <w:r w:rsidRPr="009E5BEA">
        <w:rPr>
          <w:sz w:val="23"/>
          <w:szCs w:val="23"/>
        </w:rPr>
        <w:tab/>
      </w:r>
      <w:r w:rsidR="00644DB8" w:rsidRPr="009E5BEA">
        <w:rPr>
          <w:sz w:val="23"/>
          <w:szCs w:val="23"/>
        </w:rPr>
        <w:tab/>
      </w:r>
      <w:r w:rsidR="00644DB8" w:rsidRPr="009E5BEA">
        <w:rPr>
          <w:b/>
          <w:sz w:val="23"/>
          <w:szCs w:val="23"/>
        </w:rPr>
        <w:t>Robert F. Powelson</w:t>
      </w:r>
    </w:p>
    <w:p w:rsidR="00204F69" w:rsidRPr="009E5BEA" w:rsidRDefault="00204F69">
      <w:pPr>
        <w:pStyle w:val="t1"/>
        <w:tabs>
          <w:tab w:val="left" w:pos="4371"/>
        </w:tabs>
        <w:rPr>
          <w:b/>
          <w:bCs/>
          <w:sz w:val="23"/>
          <w:szCs w:val="23"/>
        </w:rPr>
      </w:pPr>
      <w:r w:rsidRPr="009E5BEA">
        <w:rPr>
          <w:b/>
          <w:bCs/>
          <w:sz w:val="23"/>
          <w:szCs w:val="23"/>
        </w:rPr>
        <w:tab/>
      </w:r>
      <w:r w:rsidR="00644DB8" w:rsidRPr="009E5BEA">
        <w:rPr>
          <w:b/>
          <w:bCs/>
          <w:sz w:val="23"/>
          <w:szCs w:val="23"/>
        </w:rPr>
        <w:tab/>
      </w:r>
      <w:r w:rsidRPr="009E5BEA">
        <w:rPr>
          <w:b/>
          <w:bCs/>
          <w:sz w:val="23"/>
          <w:szCs w:val="23"/>
        </w:rPr>
        <w:t>Commissioner</w:t>
      </w:r>
    </w:p>
    <w:sectPr w:rsidR="00204F69" w:rsidRPr="009E5BEA" w:rsidSect="009E5BEA">
      <w:type w:val="continuous"/>
      <w:pgSz w:w="12240" w:h="15840"/>
      <w:pgMar w:top="1296" w:right="1152" w:bottom="1296" w:left="1152"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05D" w:rsidRDefault="00BC405D" w:rsidP="00945968">
      <w:r>
        <w:separator/>
      </w:r>
    </w:p>
  </w:endnote>
  <w:endnote w:type="continuationSeparator" w:id="0">
    <w:p w:rsidR="00BC405D" w:rsidRDefault="00BC405D" w:rsidP="009459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05D" w:rsidRDefault="00BC405D" w:rsidP="00945968">
      <w:r>
        <w:separator/>
      </w:r>
    </w:p>
  </w:footnote>
  <w:footnote w:type="continuationSeparator" w:id="0">
    <w:p w:rsidR="00BC405D" w:rsidRDefault="00BC405D" w:rsidP="00945968">
      <w:r>
        <w:continuationSeparator/>
      </w:r>
    </w:p>
  </w:footnote>
  <w:footnote w:id="1">
    <w:p w:rsidR="00945968" w:rsidRDefault="00945968">
      <w:pPr>
        <w:pStyle w:val="FootnoteText"/>
      </w:pPr>
      <w:r>
        <w:rPr>
          <w:rStyle w:val="FootnoteReference"/>
        </w:rPr>
        <w:footnoteRef/>
      </w:r>
      <w:r>
        <w:t xml:space="preserve"> Ms. Pattison is the </w:t>
      </w:r>
      <w:r w:rsidR="00CD622E">
        <w:t xml:space="preserve">estranged </w:t>
      </w:r>
      <w:r>
        <w:t xml:space="preserve">spouse of the account holder, Daniel Pattison.  </w:t>
      </w:r>
    </w:p>
  </w:footnote>
  <w:footnote w:id="2">
    <w:p w:rsidR="00345AF4" w:rsidRDefault="00345AF4">
      <w:pPr>
        <w:pStyle w:val="FootnoteText"/>
      </w:pPr>
      <w:r>
        <w:rPr>
          <w:rStyle w:val="FootnoteReference"/>
        </w:rPr>
        <w:footnoteRef/>
      </w:r>
      <w:r>
        <w:t xml:space="preserve"> 66 Pa. C.S. § 1405(d).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84DAF"/>
    <w:multiLevelType w:val="hybridMultilevel"/>
    <w:tmpl w:val="A9F6F816"/>
    <w:lvl w:ilvl="0" w:tplc="BF2819EA">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A8F72E2"/>
    <w:multiLevelType w:val="hybridMultilevel"/>
    <w:tmpl w:val="B88672D4"/>
    <w:lvl w:ilvl="0" w:tplc="6A746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FD14768"/>
    <w:multiLevelType w:val="hybridMultilevel"/>
    <w:tmpl w:val="88EEA74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F276E"/>
    <w:rsid w:val="000774D7"/>
    <w:rsid w:val="0007761D"/>
    <w:rsid w:val="000C5DF8"/>
    <w:rsid w:val="000F276E"/>
    <w:rsid w:val="001878AD"/>
    <w:rsid w:val="001B1367"/>
    <w:rsid w:val="001F23FF"/>
    <w:rsid w:val="00204F69"/>
    <w:rsid w:val="0022132F"/>
    <w:rsid w:val="002808C4"/>
    <w:rsid w:val="002823ED"/>
    <w:rsid w:val="00345AF4"/>
    <w:rsid w:val="003712BE"/>
    <w:rsid w:val="003A28B0"/>
    <w:rsid w:val="003C3496"/>
    <w:rsid w:val="003F6579"/>
    <w:rsid w:val="0041573E"/>
    <w:rsid w:val="0043335A"/>
    <w:rsid w:val="0048041C"/>
    <w:rsid w:val="0048374F"/>
    <w:rsid w:val="00522E76"/>
    <w:rsid w:val="005421AF"/>
    <w:rsid w:val="00556D93"/>
    <w:rsid w:val="005A08F8"/>
    <w:rsid w:val="005B2DC3"/>
    <w:rsid w:val="00644DB8"/>
    <w:rsid w:val="006C618F"/>
    <w:rsid w:val="00712B47"/>
    <w:rsid w:val="00732786"/>
    <w:rsid w:val="00760234"/>
    <w:rsid w:val="00762717"/>
    <w:rsid w:val="0078218F"/>
    <w:rsid w:val="00791F24"/>
    <w:rsid w:val="007A460A"/>
    <w:rsid w:val="007A65C7"/>
    <w:rsid w:val="007B2F22"/>
    <w:rsid w:val="00841690"/>
    <w:rsid w:val="008652AA"/>
    <w:rsid w:val="008961ED"/>
    <w:rsid w:val="008A66BD"/>
    <w:rsid w:val="008D7A9A"/>
    <w:rsid w:val="0093551A"/>
    <w:rsid w:val="00945968"/>
    <w:rsid w:val="009648B4"/>
    <w:rsid w:val="009A5CFC"/>
    <w:rsid w:val="009E5BEA"/>
    <w:rsid w:val="00A030D6"/>
    <w:rsid w:val="00A51799"/>
    <w:rsid w:val="00AC3D3F"/>
    <w:rsid w:val="00B4407B"/>
    <w:rsid w:val="00BA7CE2"/>
    <w:rsid w:val="00BC405D"/>
    <w:rsid w:val="00C05AF1"/>
    <w:rsid w:val="00C92FDA"/>
    <w:rsid w:val="00CA7622"/>
    <w:rsid w:val="00CD622E"/>
    <w:rsid w:val="00D83AF1"/>
    <w:rsid w:val="00DB7DB0"/>
    <w:rsid w:val="00E46CCD"/>
    <w:rsid w:val="00E90768"/>
    <w:rsid w:val="00F43147"/>
    <w:rsid w:val="00F64936"/>
    <w:rsid w:val="00FF6396"/>
    <w:rsid w:val="00FF6753"/>
    <w:rsid w:val="00FF7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8F8"/>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rsid w:val="005A08F8"/>
  </w:style>
  <w:style w:type="paragraph" w:customStyle="1" w:styleId="c2">
    <w:name w:val="c2"/>
    <w:basedOn w:val="Normal"/>
    <w:uiPriority w:val="99"/>
    <w:rsid w:val="005A08F8"/>
    <w:pPr>
      <w:jc w:val="center"/>
    </w:pPr>
  </w:style>
  <w:style w:type="paragraph" w:customStyle="1" w:styleId="p3">
    <w:name w:val="p3"/>
    <w:basedOn w:val="Normal"/>
    <w:uiPriority w:val="99"/>
    <w:rsid w:val="005A08F8"/>
    <w:pPr>
      <w:tabs>
        <w:tab w:val="left" w:pos="204"/>
      </w:tabs>
    </w:pPr>
  </w:style>
  <w:style w:type="paragraph" w:customStyle="1" w:styleId="p4">
    <w:name w:val="p4"/>
    <w:basedOn w:val="Normal"/>
    <w:uiPriority w:val="99"/>
    <w:rsid w:val="005A08F8"/>
    <w:pPr>
      <w:tabs>
        <w:tab w:val="left" w:pos="725"/>
      </w:tabs>
      <w:ind w:firstLine="725"/>
    </w:pPr>
  </w:style>
  <w:style w:type="paragraph" w:customStyle="1" w:styleId="p5">
    <w:name w:val="p5"/>
    <w:basedOn w:val="Normal"/>
    <w:uiPriority w:val="99"/>
    <w:rsid w:val="005A08F8"/>
    <w:pPr>
      <w:tabs>
        <w:tab w:val="left" w:pos="725"/>
      </w:tabs>
      <w:ind w:left="715" w:hanging="725"/>
    </w:pPr>
  </w:style>
  <w:style w:type="paragraph" w:customStyle="1" w:styleId="c6">
    <w:name w:val="c6"/>
    <w:basedOn w:val="Normal"/>
    <w:uiPriority w:val="99"/>
    <w:rsid w:val="005A08F8"/>
    <w:pPr>
      <w:jc w:val="center"/>
    </w:pPr>
  </w:style>
  <w:style w:type="paragraph" w:styleId="FootnoteText">
    <w:name w:val="footnote text"/>
    <w:basedOn w:val="Normal"/>
    <w:link w:val="FootnoteTextChar"/>
    <w:uiPriority w:val="99"/>
    <w:semiHidden/>
    <w:unhideWhenUsed/>
    <w:rsid w:val="00945968"/>
    <w:rPr>
      <w:sz w:val="20"/>
      <w:szCs w:val="20"/>
    </w:rPr>
  </w:style>
  <w:style w:type="character" w:customStyle="1" w:styleId="FootnoteTextChar">
    <w:name w:val="Footnote Text Char"/>
    <w:basedOn w:val="DefaultParagraphFont"/>
    <w:link w:val="FootnoteText"/>
    <w:uiPriority w:val="99"/>
    <w:semiHidden/>
    <w:rsid w:val="00945968"/>
    <w:rPr>
      <w:sz w:val="20"/>
      <w:szCs w:val="20"/>
    </w:rPr>
  </w:style>
  <w:style w:type="character" w:styleId="FootnoteReference">
    <w:name w:val="footnote reference"/>
    <w:basedOn w:val="DefaultParagraphFont"/>
    <w:uiPriority w:val="99"/>
    <w:semiHidden/>
    <w:unhideWhenUsed/>
    <w:rsid w:val="00945968"/>
    <w:rPr>
      <w:vertAlign w:val="superscript"/>
    </w:rPr>
  </w:style>
  <w:style w:type="paragraph" w:styleId="BalloonText">
    <w:name w:val="Balloon Text"/>
    <w:basedOn w:val="Normal"/>
    <w:link w:val="BalloonTextChar"/>
    <w:uiPriority w:val="99"/>
    <w:semiHidden/>
    <w:unhideWhenUsed/>
    <w:rsid w:val="001F23FF"/>
    <w:rPr>
      <w:rFonts w:ascii="Tahoma" w:hAnsi="Tahoma" w:cs="Tahoma"/>
      <w:sz w:val="16"/>
      <w:szCs w:val="16"/>
    </w:rPr>
  </w:style>
  <w:style w:type="character" w:customStyle="1" w:styleId="BalloonTextChar">
    <w:name w:val="Balloon Text Char"/>
    <w:basedOn w:val="DefaultParagraphFont"/>
    <w:link w:val="BalloonText"/>
    <w:uiPriority w:val="99"/>
    <w:semiHidden/>
    <w:rsid w:val="001F23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ACA0E-87BC-42AC-8E84-F62BCF4B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MIS</dc:creator>
  <cp:keywords/>
  <dc:description/>
  <cp:lastModifiedBy>rmalinak</cp:lastModifiedBy>
  <cp:revision>2</cp:revision>
  <cp:lastPrinted>2010-04-14T20:40:00Z</cp:lastPrinted>
  <dcterms:created xsi:type="dcterms:W3CDTF">2010-04-14T20:42:00Z</dcterms:created>
  <dcterms:modified xsi:type="dcterms:W3CDTF">2010-04-14T20:42:00Z</dcterms:modified>
</cp:coreProperties>
</file>