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2EC" w:rsidRPr="00E70DD2" w:rsidRDefault="003E02EC" w:rsidP="003E02EC">
      <w:pPr>
        <w:jc w:val="center"/>
        <w:rPr>
          <w:b/>
        </w:rPr>
      </w:pPr>
      <w:r w:rsidRPr="00E70DD2">
        <w:rPr>
          <w:b/>
        </w:rPr>
        <w:t>PENNSYLVANIA PUBLIC UTILITY COMMISSION</w:t>
      </w:r>
    </w:p>
    <w:p w:rsidR="003E02EC" w:rsidRPr="00E70DD2" w:rsidRDefault="003E02EC" w:rsidP="003E02EC">
      <w:pPr>
        <w:tabs>
          <w:tab w:val="center" w:pos="4320"/>
          <w:tab w:val="left" w:pos="7020"/>
        </w:tabs>
        <w:rPr>
          <w:b/>
        </w:rPr>
      </w:pPr>
      <w:r w:rsidRPr="00E70DD2">
        <w:rPr>
          <w:b/>
        </w:rPr>
        <w:tab/>
      </w:r>
      <w:smartTag w:uri="urn:schemas-microsoft-com:office:smarttags" w:element="place">
        <w:smartTag w:uri="urn:schemas-microsoft-com:office:smarttags" w:element="City">
          <w:r w:rsidRPr="00E70DD2">
            <w:rPr>
              <w:b/>
            </w:rPr>
            <w:t>Harrisburg</w:t>
          </w:r>
        </w:smartTag>
        <w:r w:rsidRPr="00E70DD2">
          <w:rPr>
            <w:b/>
          </w:rPr>
          <w:t xml:space="preserve">, </w:t>
        </w:r>
        <w:smartTag w:uri="urn:schemas-microsoft-com:office:smarttags" w:element="State">
          <w:r w:rsidRPr="00E70DD2">
            <w:rPr>
              <w:b/>
            </w:rPr>
            <w:t>Pennsylvania</w:t>
          </w:r>
        </w:smartTag>
        <w:r w:rsidRPr="00E70DD2">
          <w:rPr>
            <w:b/>
          </w:rPr>
          <w:t xml:space="preserve"> </w:t>
        </w:r>
        <w:smartTag w:uri="urn:schemas-microsoft-com:office:smarttags" w:element="PostalCode">
          <w:r w:rsidRPr="00E70DD2">
            <w:rPr>
              <w:b/>
            </w:rPr>
            <w:t>17105-3265</w:t>
          </w:r>
        </w:smartTag>
      </w:smartTag>
      <w:r w:rsidRPr="00E70DD2">
        <w:rPr>
          <w:b/>
        </w:rPr>
        <w:tab/>
      </w:r>
    </w:p>
    <w:p w:rsidR="00034178" w:rsidRDefault="00034178" w:rsidP="003E02EC">
      <w:pPr>
        <w:jc w:val="center"/>
        <w:rPr>
          <w:b/>
        </w:rPr>
      </w:pPr>
    </w:p>
    <w:p w:rsidR="003E02EC" w:rsidRPr="00E70DD2" w:rsidRDefault="003E02EC" w:rsidP="003E02EC">
      <w:pPr>
        <w:jc w:val="center"/>
        <w:rPr>
          <w:b/>
        </w:rPr>
      </w:pP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151"/>
      </w:tblGrid>
      <w:tr w:rsidR="003E02EC" w:rsidRPr="00E70DD2" w:rsidTr="006D4E61">
        <w:tc>
          <w:tcPr>
            <w:tcW w:w="4248" w:type="dxa"/>
          </w:tcPr>
          <w:p w:rsidR="000A0A96" w:rsidRDefault="000A0A96" w:rsidP="006D4E61">
            <w:pPr>
              <w:rPr>
                <w:b/>
              </w:rPr>
            </w:pPr>
            <w:r>
              <w:rPr>
                <w:b/>
              </w:rPr>
              <w:t>Law Bureau Prosecutory Staff</w:t>
            </w:r>
          </w:p>
          <w:p w:rsidR="003E02EC" w:rsidRPr="00E70DD2" w:rsidRDefault="003E02EC" w:rsidP="006D4E61">
            <w:pPr>
              <w:rPr>
                <w:b/>
              </w:rPr>
            </w:pPr>
            <w:r w:rsidRPr="00E70DD2">
              <w:rPr>
                <w:b/>
              </w:rPr>
              <w:tab/>
              <w:t>v.</w:t>
            </w:r>
          </w:p>
          <w:p w:rsidR="003E02EC" w:rsidRPr="00E70DD2" w:rsidRDefault="00A0650F" w:rsidP="006D4E61">
            <w:pPr>
              <w:rPr>
                <w:b/>
              </w:rPr>
            </w:pPr>
            <w:r>
              <w:rPr>
                <w:b/>
              </w:rPr>
              <w:t>Equitable Gas Co.</w:t>
            </w:r>
            <w:r w:rsidR="00A529BC">
              <w:rPr>
                <w:b/>
              </w:rPr>
              <w:t>, LLC</w:t>
            </w:r>
          </w:p>
        </w:tc>
        <w:tc>
          <w:tcPr>
            <w:tcW w:w="5151" w:type="dxa"/>
          </w:tcPr>
          <w:p w:rsidR="003E02EC" w:rsidRPr="00E70DD2" w:rsidRDefault="00921F3C" w:rsidP="006D4E61">
            <w:pPr>
              <w:rPr>
                <w:b/>
              </w:rPr>
            </w:pPr>
            <w:r>
              <w:rPr>
                <w:b/>
              </w:rPr>
              <w:t>Public Meeting held October 8</w:t>
            </w:r>
            <w:r w:rsidR="003E02EC" w:rsidRPr="00E70DD2">
              <w:rPr>
                <w:b/>
              </w:rPr>
              <w:t xml:space="preserve">, 2009 </w:t>
            </w:r>
          </w:p>
          <w:p w:rsidR="003E02EC" w:rsidRPr="00E70DD2" w:rsidRDefault="00A529BC" w:rsidP="006D4E61">
            <w:pPr>
              <w:rPr>
                <w:b/>
              </w:rPr>
            </w:pPr>
            <w:r>
              <w:rPr>
                <w:b/>
              </w:rPr>
              <w:t>1505395-OSA</w:t>
            </w:r>
          </w:p>
          <w:p w:rsidR="006F4D0A" w:rsidRDefault="006F4D0A" w:rsidP="006D4E61">
            <w:pPr>
              <w:rPr>
                <w:b/>
              </w:rPr>
            </w:pPr>
          </w:p>
          <w:p w:rsidR="003E02EC" w:rsidRPr="00E70DD2" w:rsidRDefault="00A529BC" w:rsidP="006D4E61">
            <w:pPr>
              <w:rPr>
                <w:b/>
              </w:rPr>
            </w:pPr>
            <w:r>
              <w:rPr>
                <w:b/>
              </w:rPr>
              <w:t>Docket No. M-2009-1505395</w:t>
            </w:r>
          </w:p>
          <w:p w:rsidR="003E02EC" w:rsidRPr="00E70DD2" w:rsidRDefault="003E02EC" w:rsidP="006D4E61">
            <w:pPr>
              <w:jc w:val="center"/>
              <w:rPr>
                <w:b/>
              </w:rPr>
            </w:pPr>
          </w:p>
        </w:tc>
      </w:tr>
    </w:tbl>
    <w:p w:rsidR="003E02EC" w:rsidRPr="00E70DD2" w:rsidRDefault="003E02EC" w:rsidP="003E02EC">
      <w:pPr>
        <w:jc w:val="center"/>
        <w:rPr>
          <w:b/>
          <w:u w:val="single"/>
        </w:rPr>
      </w:pPr>
    </w:p>
    <w:p w:rsidR="003E02EC" w:rsidRDefault="003E02EC" w:rsidP="003E02EC">
      <w:pPr>
        <w:jc w:val="center"/>
        <w:rPr>
          <w:b/>
          <w:u w:val="single"/>
        </w:rPr>
      </w:pPr>
      <w:r w:rsidRPr="00E70DD2">
        <w:rPr>
          <w:b/>
          <w:u w:val="single"/>
        </w:rPr>
        <w:t>Motion of Commissioner Wayne E. Gardner</w:t>
      </w:r>
    </w:p>
    <w:p w:rsidR="00D61822" w:rsidRDefault="00D61822" w:rsidP="003E02EC">
      <w:pPr>
        <w:jc w:val="center"/>
        <w:rPr>
          <w:b/>
          <w:u w:val="single"/>
        </w:rPr>
      </w:pPr>
    </w:p>
    <w:p w:rsidR="000A0A96" w:rsidRDefault="00553615" w:rsidP="00D61822">
      <w:pPr>
        <w:ind w:firstLine="720"/>
      </w:pPr>
      <w:r>
        <w:t>Before us today</w:t>
      </w:r>
      <w:r w:rsidR="00E872CD">
        <w:t xml:space="preserve"> for approval</w:t>
      </w:r>
      <w:r>
        <w:t xml:space="preserve"> is</w:t>
      </w:r>
      <w:r w:rsidR="00A0650F">
        <w:t xml:space="preserve"> a</w:t>
      </w:r>
      <w:r w:rsidR="000A0A96">
        <w:t xml:space="preserve"> S</w:t>
      </w:r>
      <w:r w:rsidR="00D61822">
        <w:t>ettlement</w:t>
      </w:r>
      <w:r w:rsidR="00A0650F">
        <w:t xml:space="preserve"> </w:t>
      </w:r>
      <w:r w:rsidR="000A0A96">
        <w:t xml:space="preserve">Agreement </w:t>
      </w:r>
      <w:r w:rsidR="00A0650F">
        <w:t>between the Commission</w:t>
      </w:r>
      <w:r w:rsidR="000A0A96">
        <w:t>’s Law Bureau Prosecutory Staff (LBPS)</w:t>
      </w:r>
      <w:r w:rsidR="00A0650F">
        <w:t xml:space="preserve"> and Equitable Gas Company (Equitable)</w:t>
      </w:r>
      <w:r w:rsidR="000A0A96">
        <w:t>.   This Settlement</w:t>
      </w:r>
      <w:r w:rsidR="00D61822">
        <w:t xml:space="preserve"> is the result of investigations </w:t>
      </w:r>
      <w:r w:rsidR="000A0A96">
        <w:t xml:space="preserve">by the Commission </w:t>
      </w:r>
      <w:r w:rsidR="003D5A99">
        <w:t xml:space="preserve">into </w:t>
      </w:r>
      <w:r w:rsidR="000A0A96">
        <w:t>Equitable</w:t>
      </w:r>
      <w:r w:rsidR="003D5A99">
        <w:t>’s compliance with safety regulations</w:t>
      </w:r>
      <w:r w:rsidR="00D61822">
        <w:t>.</w:t>
      </w:r>
    </w:p>
    <w:p w:rsidR="003D5A99" w:rsidRDefault="003D5A99" w:rsidP="00D61822">
      <w:pPr>
        <w:ind w:firstLine="720"/>
      </w:pPr>
    </w:p>
    <w:p w:rsidR="003D5A99" w:rsidRDefault="003D5A99" w:rsidP="003D5A99">
      <w:pPr>
        <w:ind w:firstLine="720"/>
      </w:pPr>
      <w:r>
        <w:t>In May of 2007</w:t>
      </w:r>
      <w:r w:rsidR="004330C9">
        <w:t>, while</w:t>
      </w:r>
      <w:r>
        <w:t xml:space="preserve"> working on a new section of plastic pipe, Equitable personnel utilized a Dresser Coupler to form a tie-in and placed the connected pipe into service according to Equitable’s written tie-in procedure.  Equitable’s written tie-in procedures did not include a written procedure for blocking and anchoring coupling assemblies such as these prior to putting gas into the main</w:t>
      </w:r>
      <w:r w:rsidR="004330C9">
        <w:t xml:space="preserve"> as required</w:t>
      </w:r>
      <w:r>
        <w:t>.  The coupling assembly came apart and produced a leak.  When Equitable’s crew attempted to stop the leak, the coupler came off releasing natural gas.  The natural gas ignited and caused fire damage to a structure.  During the incident, Equitable employees did not attempt to take pressure off the line</w:t>
      </w:r>
      <w:r w:rsidR="004330C9">
        <w:t xml:space="preserve"> in violation of applicable regulations</w:t>
      </w:r>
      <w:r>
        <w:t xml:space="preserve">.  The situation was resolved by shutting off the flow of gas to the line.  </w:t>
      </w:r>
    </w:p>
    <w:p w:rsidR="000A0A96" w:rsidRDefault="000A0A96" w:rsidP="004330C9"/>
    <w:p w:rsidR="00D61822" w:rsidRDefault="004330C9" w:rsidP="00D61822">
      <w:pPr>
        <w:ind w:firstLine="720"/>
      </w:pPr>
      <w:r>
        <w:t xml:space="preserve">In June of 2007, </w:t>
      </w:r>
      <w:r w:rsidR="00256F78">
        <w:t>Pennsylvania American Water Company</w:t>
      </w:r>
      <w:r w:rsidR="00D61822">
        <w:t xml:space="preserve"> placed a On</w:t>
      </w:r>
      <w:r w:rsidR="00256F78">
        <w:t>e Call request so that it could</w:t>
      </w:r>
      <w:r w:rsidR="00D61822">
        <w:t xml:space="preserve"> inst</w:t>
      </w:r>
      <w:r w:rsidR="00256F78">
        <w:t>all water service equipment in a location that</w:t>
      </w:r>
      <w:r w:rsidR="00D61822">
        <w:t xml:space="preserve"> would involve a number of crossings of one of </w:t>
      </w:r>
      <w:r w:rsidR="00256F78">
        <w:t xml:space="preserve">Equitable’s gas lines.  In July </w:t>
      </w:r>
      <w:r>
        <w:t xml:space="preserve">of </w:t>
      </w:r>
      <w:r w:rsidR="00256F78">
        <w:t>2007</w:t>
      </w:r>
      <w:r w:rsidR="00D61822">
        <w:t>,</w:t>
      </w:r>
      <w:r>
        <w:t xml:space="preserve"> while looking for Equitable’s Damage Prevention Program,</w:t>
      </w:r>
      <w:r w:rsidR="00D61822">
        <w:t xml:space="preserve"> a </w:t>
      </w:r>
      <w:r w:rsidR="00256F78">
        <w:t>Commission G</w:t>
      </w:r>
      <w:r w:rsidR="00D61822">
        <w:t xml:space="preserve">as </w:t>
      </w:r>
      <w:r w:rsidR="00256F78">
        <w:t>S</w:t>
      </w:r>
      <w:r w:rsidR="00D61822">
        <w:t>afety</w:t>
      </w:r>
      <w:r w:rsidR="00256F78">
        <w:t xml:space="preserve"> I</w:t>
      </w:r>
      <w:r w:rsidR="00D61822">
        <w:t xml:space="preserve">nspector discovered that Equitable did not have </w:t>
      </w:r>
      <w:r w:rsidR="00186D30">
        <w:t xml:space="preserve">an </w:t>
      </w:r>
      <w:r w:rsidR="00D61822">
        <w:t>established written</w:t>
      </w:r>
      <w:r w:rsidR="00186D30">
        <w:t xml:space="preserve"> procedure</w:t>
      </w:r>
      <w:r w:rsidR="00D61822">
        <w:t xml:space="preserve"> for </w:t>
      </w:r>
      <w:r w:rsidR="00186D30">
        <w:t>preventative and mitigative measures to prevent damage to transmi</w:t>
      </w:r>
      <w:r w:rsidR="00D51F15">
        <w:t>ssion pipelines</w:t>
      </w:r>
      <w:r w:rsidR="00EE7F56">
        <w:t xml:space="preserve"> and</w:t>
      </w:r>
      <w:r w:rsidR="00D61822">
        <w:t xml:space="preserve"> </w:t>
      </w:r>
      <w:r w:rsidR="00186D30">
        <w:t>discovered that a number of Pennsylvania American Water Company</w:t>
      </w:r>
      <w:r w:rsidR="00D61822">
        <w:t>’s installations had been bore</w:t>
      </w:r>
      <w:r w:rsidR="001C280F">
        <w:t>d over Equitable’s line</w:t>
      </w:r>
      <w:r w:rsidR="00EE7F56">
        <w:t xml:space="preserve"> </w:t>
      </w:r>
      <w:r w:rsidR="00E63A32">
        <w:t xml:space="preserve">during </w:t>
      </w:r>
      <w:r w:rsidR="00EE7F56">
        <w:t>the previous month</w:t>
      </w:r>
      <w:r w:rsidR="00E63A32">
        <w:t>’s work</w:t>
      </w:r>
      <w:r w:rsidR="001C280F">
        <w:t xml:space="preserve"> without:</w:t>
      </w:r>
      <w:r w:rsidR="00D61822">
        <w:t xml:space="preserve"> Equitable having a written Damage Prevention Program,</w:t>
      </w:r>
      <w:r w:rsidR="00E63A32">
        <w:t xml:space="preserve"> spot holes being excavated, or</w:t>
      </w:r>
      <w:r w:rsidR="00D61822">
        <w:t xml:space="preserve"> Equitable’s personnel on site.</w:t>
      </w:r>
      <w:r w:rsidR="00D51F15">
        <w:t xml:space="preserve">  Damage to a pipeline </w:t>
      </w:r>
      <w:r w:rsidR="00D61822">
        <w:t>resulted</w:t>
      </w:r>
      <w:r w:rsidR="00921F3C">
        <w:t xml:space="preserve">.  </w:t>
      </w:r>
      <w:r w:rsidR="00D61822">
        <w:t>Equitable repaire</w:t>
      </w:r>
      <w:r w:rsidR="008F07D7">
        <w:t xml:space="preserve">d </w:t>
      </w:r>
      <w:r w:rsidR="00921F3C">
        <w:t xml:space="preserve">the damage </w:t>
      </w:r>
      <w:r w:rsidR="008F07D7">
        <w:t>prior to filling in the excavation</w:t>
      </w:r>
      <w:r w:rsidR="00D61822">
        <w:t>.</w:t>
      </w:r>
    </w:p>
    <w:p w:rsidR="00D61822" w:rsidRDefault="00D61822" w:rsidP="00D61822"/>
    <w:p w:rsidR="00D61822" w:rsidRDefault="00921F3C" w:rsidP="00D61822">
      <w:pPr>
        <w:ind w:firstLine="720"/>
      </w:pPr>
      <w:r>
        <w:t>Finally, on February 14, 2008, a</w:t>
      </w:r>
      <w:r w:rsidR="00D61822">
        <w:t>n independent contractor who was installing a silt fence requested line locating and marking.</w:t>
      </w:r>
      <w:r w:rsidR="00677D4C">
        <w:t xml:space="preserve">  Equitable failed to mark its four</w:t>
      </w:r>
      <w:r w:rsidR="001C280F">
        <w:t>-</w:t>
      </w:r>
      <w:r w:rsidR="00D61822">
        <w:t>inch service line located at the site and the contractor struck and damaged the line.  This damage caused</w:t>
      </w:r>
      <w:r w:rsidR="00D9085E">
        <w:t xml:space="preserve"> interruption of</w:t>
      </w:r>
      <w:r w:rsidR="00F24DA0">
        <w:t xml:space="preserve"> service to a</w:t>
      </w:r>
      <w:r w:rsidR="00D61822">
        <w:t xml:space="preserve"> customer.</w:t>
      </w:r>
      <w:r>
        <w:t xml:space="preserve">  While investigating the incident, Equitable discovered that it had not properly cut off the line at the main </w:t>
      </w:r>
      <w:r w:rsidR="00E21637">
        <w:t>when</w:t>
      </w:r>
      <w:r>
        <w:t xml:space="preserve"> a b</w:t>
      </w:r>
      <w:r w:rsidR="00144EA4">
        <w:t>uilding at the location was</w:t>
      </w:r>
      <w:r>
        <w:t xml:space="preserve"> razed.</w:t>
      </w:r>
    </w:p>
    <w:p w:rsidR="00EF2BAA" w:rsidRDefault="00EF2BAA" w:rsidP="00D61822">
      <w:pPr>
        <w:ind w:firstLine="720"/>
      </w:pPr>
    </w:p>
    <w:p w:rsidR="00D61822" w:rsidRDefault="001C280F" w:rsidP="00F24DA0">
      <w:pPr>
        <w:ind w:firstLine="720"/>
      </w:pPr>
      <w:r>
        <w:lastRenderedPageBreak/>
        <w:t>The S</w:t>
      </w:r>
      <w:r w:rsidR="00D61822">
        <w:t>ettlement requires</w:t>
      </w:r>
      <w:r w:rsidR="00677D4C">
        <w:t xml:space="preserve">, </w:t>
      </w:r>
      <w:r w:rsidR="00677D4C" w:rsidRPr="008C44AF">
        <w:rPr>
          <w:i/>
        </w:rPr>
        <w:t>inter alia</w:t>
      </w:r>
      <w:r w:rsidR="00677D4C">
        <w:t>, that</w:t>
      </w:r>
      <w:r w:rsidR="008C44AF">
        <w:t xml:space="preserve"> Equitable</w:t>
      </w:r>
      <w:r w:rsidR="00D61822">
        <w:t xml:space="preserve"> pay $65,000 into the Equit</w:t>
      </w:r>
      <w:r w:rsidR="008C44AF">
        <w:t>able Hardship Repair Fund</w:t>
      </w:r>
      <w:r w:rsidR="00DF2184">
        <w:rPr>
          <w:rStyle w:val="FootnoteReference"/>
        </w:rPr>
        <w:footnoteReference w:id="1"/>
      </w:r>
      <w:r w:rsidR="008C44AF">
        <w:t>,</w:t>
      </w:r>
      <w:r w:rsidR="00D61822">
        <w:t xml:space="preserve"> provide acceptable and appropriate written procedures for preventative and </w:t>
      </w:r>
      <w:r w:rsidR="008C44AF">
        <w:t xml:space="preserve">mitigative measures, </w:t>
      </w:r>
      <w:r w:rsidR="00D61822">
        <w:t>assure that applicab</w:t>
      </w:r>
      <w:r w:rsidR="008C44AF">
        <w:t xml:space="preserve">le safety standards are met, </w:t>
      </w:r>
      <w:r w:rsidR="00D61822">
        <w:t>update its d</w:t>
      </w:r>
      <w:r w:rsidR="008C44AF">
        <w:t xml:space="preserve">istribution system maps, and appropriately </w:t>
      </w:r>
      <w:r w:rsidR="00D61822">
        <w:t>retrain employees and contractors.</w:t>
      </w:r>
    </w:p>
    <w:p w:rsidR="00AC6D30" w:rsidRDefault="00AC6D30" w:rsidP="00D61822"/>
    <w:p w:rsidR="00AC6D30" w:rsidRPr="00BE5ACB" w:rsidRDefault="00F24DA0" w:rsidP="00AC6D30">
      <w:pPr>
        <w:ind w:firstLine="720"/>
      </w:pPr>
      <w:r w:rsidRPr="00BE5ACB">
        <w:t>I</w:t>
      </w:r>
      <w:r w:rsidR="00AC6D30" w:rsidRPr="00BE5ACB">
        <w:t xml:space="preserve"> believe that the nature of the incident and the alleged violations of federal and state gas safety regulations merit a greater penalty.  Ensuring that our public utilities operate safely i</w:t>
      </w:r>
      <w:r w:rsidRPr="00BE5ACB">
        <w:t>s of the utmost importance</w:t>
      </w:r>
      <w:r w:rsidR="00AC6D30" w:rsidRPr="00BE5ACB">
        <w:t xml:space="preserve"> and is a task that the Legislature has entrusted to this Commission.  </w:t>
      </w:r>
      <w:r w:rsidR="00783835" w:rsidRPr="00BE5ACB">
        <w:t xml:space="preserve">In these </w:t>
      </w:r>
      <w:r w:rsidR="00576F64" w:rsidRPr="00BE5ACB">
        <w:t>cases,</w:t>
      </w:r>
      <w:r w:rsidR="00783835" w:rsidRPr="00BE5ACB">
        <w:t xml:space="preserve"> Equitable</w:t>
      </w:r>
      <w:r w:rsidR="00AC6D30" w:rsidRPr="00BE5ACB">
        <w:t xml:space="preserve"> demonstrated a lack </w:t>
      </w:r>
      <w:r w:rsidR="00783835" w:rsidRPr="00BE5ACB">
        <w:t xml:space="preserve">adherence to safety regulations </w:t>
      </w:r>
      <w:r w:rsidR="00AC6D30" w:rsidRPr="00BE5ACB">
        <w:t>which resulted in</w:t>
      </w:r>
      <w:r w:rsidR="00783835" w:rsidRPr="00BE5ACB">
        <w:t xml:space="preserve"> damage to</w:t>
      </w:r>
      <w:r w:rsidR="00AC6D30" w:rsidRPr="00BE5ACB">
        <w:t xml:space="preserve"> property</w:t>
      </w:r>
      <w:r w:rsidR="00783835" w:rsidRPr="00BE5ACB">
        <w:t>.  More importantly,</w:t>
      </w:r>
      <w:r w:rsidR="00AC6D30" w:rsidRPr="00BE5ACB">
        <w:t xml:space="preserve"> the public’s safety was placed at risk on an ongoing basis.  Based on our review of the incident</w:t>
      </w:r>
      <w:r w:rsidR="00783835" w:rsidRPr="00BE5ACB">
        <w:t>s</w:t>
      </w:r>
      <w:r w:rsidR="00AC6D30" w:rsidRPr="00BE5ACB">
        <w:t xml:space="preserve"> and alleged violations, the Commission would be well within its discretion</w:t>
      </w:r>
      <w:r w:rsidR="001C280F" w:rsidRPr="00BE5ACB">
        <w:t xml:space="preserve"> to impose a substantial</w:t>
      </w:r>
      <w:r w:rsidR="0083349C" w:rsidRPr="00BE5ACB">
        <w:t xml:space="preserve"> civil penalty</w:t>
      </w:r>
      <w:r w:rsidR="00AC6D30" w:rsidRPr="00BE5ACB">
        <w:t>.  As we understand that it is in the public interest to settle this matter to avoid the expense of litigation, and because of the proacti</w:t>
      </w:r>
      <w:r w:rsidR="00783835" w:rsidRPr="00BE5ACB">
        <w:t>ve remediation measures that Equitable</w:t>
      </w:r>
      <w:r w:rsidR="00AC6D30" w:rsidRPr="00BE5ACB">
        <w:t xml:space="preserve"> has agreed</w:t>
      </w:r>
      <w:r w:rsidR="00783835" w:rsidRPr="00BE5ACB">
        <w:t xml:space="preserve"> to implement</w:t>
      </w:r>
      <w:r w:rsidR="00AC6D30" w:rsidRPr="00BE5ACB">
        <w:t xml:space="preserve">, we would instead recommend a payment of </w:t>
      </w:r>
      <w:r w:rsidR="009D03DE" w:rsidRPr="00BE5ACB">
        <w:t>$13</w:t>
      </w:r>
      <w:r w:rsidR="00AC6D30" w:rsidRPr="00BE5ACB">
        <w:t xml:space="preserve">0,000.  </w:t>
      </w:r>
    </w:p>
    <w:p w:rsidR="009D03DE" w:rsidRPr="00BE5ACB" w:rsidRDefault="009D03DE" w:rsidP="009D03DE"/>
    <w:p w:rsidR="009D03DE" w:rsidRDefault="009D03DE" w:rsidP="009D03DE">
      <w:r w:rsidRPr="00BE5ACB">
        <w:tab/>
        <w:t xml:space="preserve">Because the Settlement requires that Equitable pay $65,000 into its Hardship Repair Fund, </w:t>
      </w:r>
      <w:r w:rsidR="00E77A73" w:rsidRPr="00BE5ACB">
        <w:t>we</w:t>
      </w:r>
      <w:r w:rsidRPr="00BE5ACB">
        <w:t xml:space="preserve"> believe that the additional $65,000 </w:t>
      </w:r>
      <w:r w:rsidR="00A33E61" w:rsidRPr="00BE5ACB">
        <w:t xml:space="preserve">should </w:t>
      </w:r>
      <w:r w:rsidRPr="00BE5ACB">
        <w:t xml:space="preserve">be paid as a civil penalty pursuant to 66 Pa. C.S. § 330.   Neither payment </w:t>
      </w:r>
      <w:r w:rsidR="00E77A73" w:rsidRPr="00BE5ACB">
        <w:t>shall</w:t>
      </w:r>
      <w:r w:rsidRPr="00BE5ACB">
        <w:t xml:space="preserve"> be recoverable in base rates and </w:t>
      </w:r>
      <w:r w:rsidR="00E77A73" w:rsidRPr="00BE5ACB">
        <w:t>shall</w:t>
      </w:r>
      <w:r w:rsidRPr="00BE5ACB">
        <w:t xml:space="preserve"> be in addition to any support already committed to the Hardship Repair Fund.</w:t>
      </w:r>
      <w:r w:rsidRPr="00C754FA">
        <w:t xml:space="preserve">  </w:t>
      </w:r>
    </w:p>
    <w:p w:rsidR="0005183F" w:rsidRDefault="0005183F" w:rsidP="009D03DE"/>
    <w:p w:rsidR="0005183F" w:rsidRPr="00C754FA" w:rsidRDefault="0005183F" w:rsidP="0005183F">
      <w:pPr>
        <w:ind w:firstLine="720"/>
      </w:pPr>
      <w:r>
        <w:t>Further, we</w:t>
      </w:r>
      <w:r w:rsidR="00A33E61">
        <w:t xml:space="preserve"> wish to strongly caution Equitable</w:t>
      </w:r>
      <w:r w:rsidRPr="00C754FA">
        <w:t xml:space="preserve"> and our other jurisdictional utilities that we monitor safety violations carefully and track any trends in unsafe operational practices.  We intend to fully utilize the authority given to us by the Public Utility Code and our Regulations to deter unsafe practices.</w:t>
      </w:r>
    </w:p>
    <w:p w:rsidR="0005183F" w:rsidRPr="00C754FA" w:rsidRDefault="0005183F" w:rsidP="0005183F">
      <w:pPr>
        <w:ind w:firstLine="720"/>
      </w:pPr>
    </w:p>
    <w:p w:rsidR="0005183F" w:rsidRPr="00C754FA" w:rsidRDefault="0005183F" w:rsidP="0005183F">
      <w:pPr>
        <w:ind w:firstLine="720"/>
      </w:pPr>
      <w:r w:rsidRPr="00C754FA">
        <w:t xml:space="preserve"> </w:t>
      </w:r>
      <w:r>
        <w:rPr>
          <w:b/>
        </w:rPr>
        <w:t>Therefore, I</w:t>
      </w:r>
      <w:r w:rsidRPr="00C754FA">
        <w:rPr>
          <w:b/>
        </w:rPr>
        <w:t xml:space="preserve"> move that</w:t>
      </w:r>
      <w:r w:rsidRPr="00C754FA">
        <w:t>:</w:t>
      </w:r>
    </w:p>
    <w:p w:rsidR="0005183F" w:rsidRPr="00C754FA" w:rsidRDefault="0005183F" w:rsidP="0005183F">
      <w:pPr>
        <w:ind w:firstLine="720"/>
      </w:pPr>
    </w:p>
    <w:p w:rsidR="0005183F" w:rsidRPr="00C754FA" w:rsidRDefault="0005183F" w:rsidP="0005183F">
      <w:r w:rsidRPr="00C754FA">
        <w:tab/>
        <w:t>1.</w:t>
      </w:r>
      <w:r w:rsidRPr="00C754FA">
        <w:tab/>
        <w:t>The Office of Special Assistants prepare an Opinion and Order consistent with this Motion issuing the Settlement, as revised, for public comment.</w:t>
      </w:r>
      <w:r w:rsidRPr="00C754FA">
        <w:tab/>
      </w:r>
    </w:p>
    <w:p w:rsidR="0005183F" w:rsidRPr="00C754FA" w:rsidRDefault="0005183F" w:rsidP="0005183F">
      <w:pPr>
        <w:ind w:firstLine="720"/>
      </w:pPr>
    </w:p>
    <w:p w:rsidR="0005183F" w:rsidRPr="00C754FA" w:rsidRDefault="0005183F" w:rsidP="0005183F">
      <w:pPr>
        <w:ind w:firstLine="720"/>
      </w:pPr>
    </w:p>
    <w:p w:rsidR="0005183F" w:rsidRPr="00C754FA" w:rsidRDefault="0005183F" w:rsidP="0005183F">
      <w:pPr>
        <w:ind w:firstLine="720"/>
      </w:pPr>
    </w:p>
    <w:p w:rsidR="0005183F" w:rsidRDefault="0005183F" w:rsidP="0005183F"/>
    <w:p w:rsidR="0005183F" w:rsidRDefault="0005183F" w:rsidP="0005183F"/>
    <w:p w:rsidR="0005183F" w:rsidRDefault="0005183F" w:rsidP="0005183F"/>
    <w:p w:rsidR="0005183F" w:rsidRPr="006F4D0A" w:rsidRDefault="007915BB" w:rsidP="0005183F">
      <w:pPr>
        <w:rPr>
          <w:b/>
        </w:rPr>
      </w:pPr>
      <w:r>
        <w:rPr>
          <w:b/>
        </w:rPr>
        <w:t>__________________</w:t>
      </w:r>
      <w:r w:rsidR="0005183F" w:rsidRPr="006F4D0A">
        <w:rPr>
          <w:b/>
        </w:rPr>
        <w:tab/>
        <w:t xml:space="preserve"> </w:t>
      </w:r>
      <w:r w:rsidR="0005183F" w:rsidRPr="006F4D0A">
        <w:rPr>
          <w:b/>
        </w:rPr>
        <w:tab/>
      </w:r>
      <w:r w:rsidR="006F4D0A" w:rsidRPr="006F4D0A">
        <w:rPr>
          <w:b/>
        </w:rPr>
        <w:t>_____</w:t>
      </w:r>
      <w:r>
        <w:rPr>
          <w:b/>
        </w:rPr>
        <w:t>_______________</w:t>
      </w:r>
      <w:r w:rsidR="006F4D0A" w:rsidRPr="006F4D0A">
        <w:rPr>
          <w:b/>
        </w:rPr>
        <w:t>_______________</w:t>
      </w:r>
      <w:r w:rsidR="0005183F" w:rsidRPr="006F4D0A">
        <w:rPr>
          <w:b/>
        </w:rPr>
        <w:tab/>
      </w:r>
      <w:r w:rsidR="0005183F" w:rsidRPr="006F4D0A">
        <w:rPr>
          <w:b/>
        </w:rPr>
        <w:tab/>
      </w:r>
      <w:r w:rsidR="0005183F" w:rsidRPr="006F4D0A">
        <w:rPr>
          <w:b/>
        </w:rPr>
        <w:tab/>
      </w:r>
    </w:p>
    <w:p w:rsidR="0005183F" w:rsidRPr="006F4D0A" w:rsidRDefault="006F4D0A" w:rsidP="007915BB">
      <w:pPr>
        <w:ind w:firstLine="720"/>
        <w:rPr>
          <w:b/>
        </w:rPr>
      </w:pPr>
      <w:r w:rsidRPr="006F4D0A">
        <w:rPr>
          <w:b/>
        </w:rPr>
        <w:t>Date</w:t>
      </w:r>
      <w:r w:rsidR="007915BB">
        <w:rPr>
          <w:b/>
        </w:rPr>
        <w:tab/>
      </w:r>
      <w:r w:rsidR="007915BB">
        <w:rPr>
          <w:b/>
        </w:rPr>
        <w:tab/>
      </w:r>
      <w:r w:rsidR="007915BB">
        <w:rPr>
          <w:b/>
        </w:rPr>
        <w:tab/>
      </w:r>
      <w:r w:rsidR="007915BB">
        <w:rPr>
          <w:b/>
        </w:rPr>
        <w:tab/>
        <w:t>Wayne E. Gardner, Commissioner</w:t>
      </w:r>
    </w:p>
    <w:p w:rsidR="0005183F" w:rsidRPr="00C754FA" w:rsidRDefault="0005183F" w:rsidP="0005183F"/>
    <w:p w:rsidR="0005183F" w:rsidRPr="00C754FA" w:rsidRDefault="0005183F" w:rsidP="0005183F">
      <w:pPr>
        <w:ind w:firstLine="720"/>
      </w:pPr>
    </w:p>
    <w:p w:rsidR="0005183F" w:rsidRPr="00C754FA" w:rsidRDefault="0005183F" w:rsidP="009D03DE"/>
    <w:p w:rsidR="00AC6D30" w:rsidRDefault="00AC6D30" w:rsidP="00D61822"/>
    <w:p w:rsidR="00D61822" w:rsidRPr="00D61822" w:rsidRDefault="00D61822" w:rsidP="00D61822"/>
    <w:p w:rsidR="001867A0" w:rsidRDefault="001867A0"/>
    <w:sectPr w:rsidR="001867A0" w:rsidSect="001867A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28E" w:rsidRDefault="002B228E" w:rsidP="00DF2184">
      <w:r>
        <w:separator/>
      </w:r>
    </w:p>
  </w:endnote>
  <w:endnote w:type="continuationSeparator" w:id="0">
    <w:p w:rsidR="002B228E" w:rsidRDefault="002B228E" w:rsidP="00DF21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28E" w:rsidRDefault="002B228E" w:rsidP="00DF2184">
      <w:r>
        <w:separator/>
      </w:r>
    </w:p>
  </w:footnote>
  <w:footnote w:type="continuationSeparator" w:id="0">
    <w:p w:rsidR="002B228E" w:rsidRDefault="002B228E" w:rsidP="00DF2184">
      <w:r>
        <w:continuationSeparator/>
      </w:r>
    </w:p>
  </w:footnote>
  <w:footnote w:id="1">
    <w:p w:rsidR="00DF2184" w:rsidRDefault="00DF2184">
      <w:pPr>
        <w:pStyle w:val="FootnoteText"/>
      </w:pPr>
      <w:r>
        <w:rPr>
          <w:rStyle w:val="FootnoteReference"/>
        </w:rPr>
        <w:footnoteRef/>
      </w:r>
      <w:r>
        <w:t xml:space="preserve"> The Hardship Repair Fund is used to help low income customers with house line, service line, and furnace repairs and replacements as well as to help with installation of thermostats for the visually impaired.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2"/>
  <w:defaultTabStop w:val="720"/>
  <w:characterSpacingControl w:val="doNotCompress"/>
  <w:footnotePr>
    <w:footnote w:id="-1"/>
    <w:footnote w:id="0"/>
  </w:footnotePr>
  <w:endnotePr>
    <w:endnote w:id="-1"/>
    <w:endnote w:id="0"/>
  </w:endnotePr>
  <w:compat/>
  <w:rsids>
    <w:rsidRoot w:val="003E02EC"/>
    <w:rsid w:val="0000169A"/>
    <w:rsid w:val="00002781"/>
    <w:rsid w:val="00005DFC"/>
    <w:rsid w:val="00011B0D"/>
    <w:rsid w:val="00016496"/>
    <w:rsid w:val="00022F3C"/>
    <w:rsid w:val="00026458"/>
    <w:rsid w:val="000305B6"/>
    <w:rsid w:val="00033D6A"/>
    <w:rsid w:val="00034178"/>
    <w:rsid w:val="00040FA9"/>
    <w:rsid w:val="00042FEA"/>
    <w:rsid w:val="00047B15"/>
    <w:rsid w:val="0005016D"/>
    <w:rsid w:val="00050368"/>
    <w:rsid w:val="0005183F"/>
    <w:rsid w:val="0005486F"/>
    <w:rsid w:val="0005669A"/>
    <w:rsid w:val="00056C83"/>
    <w:rsid w:val="0006292A"/>
    <w:rsid w:val="00074857"/>
    <w:rsid w:val="00075303"/>
    <w:rsid w:val="000802A0"/>
    <w:rsid w:val="00083937"/>
    <w:rsid w:val="00083E47"/>
    <w:rsid w:val="00086131"/>
    <w:rsid w:val="00086142"/>
    <w:rsid w:val="00093B43"/>
    <w:rsid w:val="0009559E"/>
    <w:rsid w:val="000A0A96"/>
    <w:rsid w:val="000A4D3F"/>
    <w:rsid w:val="000A61AB"/>
    <w:rsid w:val="000B19D6"/>
    <w:rsid w:val="000B1F78"/>
    <w:rsid w:val="000B309D"/>
    <w:rsid w:val="000C33EF"/>
    <w:rsid w:val="000C36B3"/>
    <w:rsid w:val="000D01B2"/>
    <w:rsid w:val="000D0BC9"/>
    <w:rsid w:val="000D6005"/>
    <w:rsid w:val="000F0EEE"/>
    <w:rsid w:val="000F1286"/>
    <w:rsid w:val="000F3B4D"/>
    <w:rsid w:val="000F43E8"/>
    <w:rsid w:val="000F65AC"/>
    <w:rsid w:val="0010337D"/>
    <w:rsid w:val="001109B9"/>
    <w:rsid w:val="00111880"/>
    <w:rsid w:val="001149FB"/>
    <w:rsid w:val="001156C3"/>
    <w:rsid w:val="00117DF8"/>
    <w:rsid w:val="00122B7C"/>
    <w:rsid w:val="0012433B"/>
    <w:rsid w:val="00127F2A"/>
    <w:rsid w:val="00130E8E"/>
    <w:rsid w:val="0013174B"/>
    <w:rsid w:val="00132ADD"/>
    <w:rsid w:val="00137986"/>
    <w:rsid w:val="00141E9C"/>
    <w:rsid w:val="00144EA4"/>
    <w:rsid w:val="00145F69"/>
    <w:rsid w:val="0015024E"/>
    <w:rsid w:val="00167647"/>
    <w:rsid w:val="001715E7"/>
    <w:rsid w:val="0017373B"/>
    <w:rsid w:val="001820F6"/>
    <w:rsid w:val="00182FDE"/>
    <w:rsid w:val="001833CB"/>
    <w:rsid w:val="001867A0"/>
    <w:rsid w:val="00186D30"/>
    <w:rsid w:val="0019086D"/>
    <w:rsid w:val="001A08C1"/>
    <w:rsid w:val="001A4D97"/>
    <w:rsid w:val="001A55AA"/>
    <w:rsid w:val="001A75B4"/>
    <w:rsid w:val="001B277C"/>
    <w:rsid w:val="001B29E7"/>
    <w:rsid w:val="001C280F"/>
    <w:rsid w:val="001D4C90"/>
    <w:rsid w:val="001E49AC"/>
    <w:rsid w:val="001F026A"/>
    <w:rsid w:val="001F597F"/>
    <w:rsid w:val="001F7524"/>
    <w:rsid w:val="001F7663"/>
    <w:rsid w:val="00200D10"/>
    <w:rsid w:val="00203FB4"/>
    <w:rsid w:val="0020653D"/>
    <w:rsid w:val="00225B37"/>
    <w:rsid w:val="0022615B"/>
    <w:rsid w:val="00236463"/>
    <w:rsid w:val="00240055"/>
    <w:rsid w:val="002404A7"/>
    <w:rsid w:val="002456EB"/>
    <w:rsid w:val="00247907"/>
    <w:rsid w:val="00251961"/>
    <w:rsid w:val="002524C4"/>
    <w:rsid w:val="002559B0"/>
    <w:rsid w:val="00256F78"/>
    <w:rsid w:val="002610CD"/>
    <w:rsid w:val="00261353"/>
    <w:rsid w:val="00265E80"/>
    <w:rsid w:val="00266903"/>
    <w:rsid w:val="00275290"/>
    <w:rsid w:val="00276A37"/>
    <w:rsid w:val="00290CC7"/>
    <w:rsid w:val="002A27D6"/>
    <w:rsid w:val="002A3E8C"/>
    <w:rsid w:val="002A5EB7"/>
    <w:rsid w:val="002A6786"/>
    <w:rsid w:val="002B228E"/>
    <w:rsid w:val="002B2339"/>
    <w:rsid w:val="002B26AE"/>
    <w:rsid w:val="002B4EDD"/>
    <w:rsid w:val="002C0651"/>
    <w:rsid w:val="002D3862"/>
    <w:rsid w:val="002D4DCB"/>
    <w:rsid w:val="002D709F"/>
    <w:rsid w:val="002E5557"/>
    <w:rsid w:val="002E76E2"/>
    <w:rsid w:val="002F0999"/>
    <w:rsid w:val="002F1004"/>
    <w:rsid w:val="00301D69"/>
    <w:rsid w:val="0030340E"/>
    <w:rsid w:val="00306ED7"/>
    <w:rsid w:val="003151F8"/>
    <w:rsid w:val="0031792E"/>
    <w:rsid w:val="00322B9C"/>
    <w:rsid w:val="003243B4"/>
    <w:rsid w:val="00326944"/>
    <w:rsid w:val="00341290"/>
    <w:rsid w:val="00342843"/>
    <w:rsid w:val="00343BEF"/>
    <w:rsid w:val="003543C6"/>
    <w:rsid w:val="00363679"/>
    <w:rsid w:val="00366F85"/>
    <w:rsid w:val="003719B3"/>
    <w:rsid w:val="003854A4"/>
    <w:rsid w:val="00387965"/>
    <w:rsid w:val="0039227B"/>
    <w:rsid w:val="003922E7"/>
    <w:rsid w:val="0039478B"/>
    <w:rsid w:val="00395B16"/>
    <w:rsid w:val="003A06EA"/>
    <w:rsid w:val="003A3903"/>
    <w:rsid w:val="003A44AE"/>
    <w:rsid w:val="003A4F8F"/>
    <w:rsid w:val="003A61E2"/>
    <w:rsid w:val="003B672B"/>
    <w:rsid w:val="003C0822"/>
    <w:rsid w:val="003C32DF"/>
    <w:rsid w:val="003C6C4C"/>
    <w:rsid w:val="003C746D"/>
    <w:rsid w:val="003C763E"/>
    <w:rsid w:val="003D5A99"/>
    <w:rsid w:val="003D5F52"/>
    <w:rsid w:val="003E02EC"/>
    <w:rsid w:val="003E54F4"/>
    <w:rsid w:val="003F004E"/>
    <w:rsid w:val="003F1FC0"/>
    <w:rsid w:val="003F318C"/>
    <w:rsid w:val="003F3394"/>
    <w:rsid w:val="003F5FCF"/>
    <w:rsid w:val="00400DAF"/>
    <w:rsid w:val="00406C4D"/>
    <w:rsid w:val="00407B70"/>
    <w:rsid w:val="00410F5F"/>
    <w:rsid w:val="0041311E"/>
    <w:rsid w:val="0041437A"/>
    <w:rsid w:val="004251D3"/>
    <w:rsid w:val="00430FCF"/>
    <w:rsid w:val="0043273D"/>
    <w:rsid w:val="004330C9"/>
    <w:rsid w:val="00433518"/>
    <w:rsid w:val="0044094B"/>
    <w:rsid w:val="004422F5"/>
    <w:rsid w:val="004452A0"/>
    <w:rsid w:val="00445F3D"/>
    <w:rsid w:val="004501C1"/>
    <w:rsid w:val="004510F7"/>
    <w:rsid w:val="0045184F"/>
    <w:rsid w:val="004519A7"/>
    <w:rsid w:val="00453C08"/>
    <w:rsid w:val="00455B3D"/>
    <w:rsid w:val="00456EAE"/>
    <w:rsid w:val="00460118"/>
    <w:rsid w:val="00461A9C"/>
    <w:rsid w:val="00462319"/>
    <w:rsid w:val="00465AEB"/>
    <w:rsid w:val="00465D02"/>
    <w:rsid w:val="00470A1A"/>
    <w:rsid w:val="00486649"/>
    <w:rsid w:val="004913A2"/>
    <w:rsid w:val="004927AA"/>
    <w:rsid w:val="004A2B74"/>
    <w:rsid w:val="004A3603"/>
    <w:rsid w:val="004A6581"/>
    <w:rsid w:val="004A7BA2"/>
    <w:rsid w:val="004B083B"/>
    <w:rsid w:val="004B1E58"/>
    <w:rsid w:val="004B49E2"/>
    <w:rsid w:val="004B6847"/>
    <w:rsid w:val="004C063A"/>
    <w:rsid w:val="004D1148"/>
    <w:rsid w:val="004D177F"/>
    <w:rsid w:val="004D1DE2"/>
    <w:rsid w:val="004E1339"/>
    <w:rsid w:val="004E626C"/>
    <w:rsid w:val="004F275B"/>
    <w:rsid w:val="004F2F9B"/>
    <w:rsid w:val="004F3FAE"/>
    <w:rsid w:val="004F43A4"/>
    <w:rsid w:val="004F5222"/>
    <w:rsid w:val="004F6793"/>
    <w:rsid w:val="00503EDE"/>
    <w:rsid w:val="00510527"/>
    <w:rsid w:val="00511F3D"/>
    <w:rsid w:val="00515A46"/>
    <w:rsid w:val="00524903"/>
    <w:rsid w:val="00532F5A"/>
    <w:rsid w:val="00534E0E"/>
    <w:rsid w:val="005351A7"/>
    <w:rsid w:val="005357CC"/>
    <w:rsid w:val="00541628"/>
    <w:rsid w:val="005427E1"/>
    <w:rsid w:val="005440D9"/>
    <w:rsid w:val="00546AF7"/>
    <w:rsid w:val="00546E52"/>
    <w:rsid w:val="00553615"/>
    <w:rsid w:val="00555DFF"/>
    <w:rsid w:val="00556B69"/>
    <w:rsid w:val="005571CD"/>
    <w:rsid w:val="0055725F"/>
    <w:rsid w:val="005672AC"/>
    <w:rsid w:val="0057331A"/>
    <w:rsid w:val="00574488"/>
    <w:rsid w:val="00576F64"/>
    <w:rsid w:val="00580069"/>
    <w:rsid w:val="0058100A"/>
    <w:rsid w:val="005918AB"/>
    <w:rsid w:val="00591BCB"/>
    <w:rsid w:val="00595CD8"/>
    <w:rsid w:val="00596E60"/>
    <w:rsid w:val="005A035A"/>
    <w:rsid w:val="005A30F7"/>
    <w:rsid w:val="005A5B86"/>
    <w:rsid w:val="005B0DCE"/>
    <w:rsid w:val="005B5D6F"/>
    <w:rsid w:val="005B62B8"/>
    <w:rsid w:val="005C048F"/>
    <w:rsid w:val="005C376C"/>
    <w:rsid w:val="005C381C"/>
    <w:rsid w:val="005C5E84"/>
    <w:rsid w:val="005D632E"/>
    <w:rsid w:val="005D6521"/>
    <w:rsid w:val="005D7C0D"/>
    <w:rsid w:val="005E04B0"/>
    <w:rsid w:val="005E0637"/>
    <w:rsid w:val="005E28DD"/>
    <w:rsid w:val="005E5A83"/>
    <w:rsid w:val="005F61C2"/>
    <w:rsid w:val="005F64C9"/>
    <w:rsid w:val="005F6EEB"/>
    <w:rsid w:val="005F718D"/>
    <w:rsid w:val="005F7920"/>
    <w:rsid w:val="00600AC8"/>
    <w:rsid w:val="00604AAE"/>
    <w:rsid w:val="00605F77"/>
    <w:rsid w:val="006062C3"/>
    <w:rsid w:val="00606DA2"/>
    <w:rsid w:val="00610C2C"/>
    <w:rsid w:val="0061307F"/>
    <w:rsid w:val="006146FE"/>
    <w:rsid w:val="00615CB4"/>
    <w:rsid w:val="006168AE"/>
    <w:rsid w:val="00616AE7"/>
    <w:rsid w:val="00626348"/>
    <w:rsid w:val="0063170A"/>
    <w:rsid w:val="006332BB"/>
    <w:rsid w:val="00633416"/>
    <w:rsid w:val="00635BEE"/>
    <w:rsid w:val="00637A10"/>
    <w:rsid w:val="006446D5"/>
    <w:rsid w:val="006454E4"/>
    <w:rsid w:val="00647655"/>
    <w:rsid w:val="00661AA7"/>
    <w:rsid w:val="00661EE5"/>
    <w:rsid w:val="006664F8"/>
    <w:rsid w:val="00673CD2"/>
    <w:rsid w:val="00677589"/>
    <w:rsid w:val="00677D4C"/>
    <w:rsid w:val="00680076"/>
    <w:rsid w:val="00681AF5"/>
    <w:rsid w:val="00682830"/>
    <w:rsid w:val="00682B14"/>
    <w:rsid w:val="0069382A"/>
    <w:rsid w:val="00694EE3"/>
    <w:rsid w:val="00695380"/>
    <w:rsid w:val="006A079E"/>
    <w:rsid w:val="006A1ACF"/>
    <w:rsid w:val="006A1F8A"/>
    <w:rsid w:val="006B0CFF"/>
    <w:rsid w:val="006B2172"/>
    <w:rsid w:val="006C229B"/>
    <w:rsid w:val="006C497A"/>
    <w:rsid w:val="006C623C"/>
    <w:rsid w:val="006D3C8F"/>
    <w:rsid w:val="006E0495"/>
    <w:rsid w:val="006E77FD"/>
    <w:rsid w:val="006F4D0A"/>
    <w:rsid w:val="00702C93"/>
    <w:rsid w:val="007156BF"/>
    <w:rsid w:val="007159D4"/>
    <w:rsid w:val="00723DBA"/>
    <w:rsid w:val="007307AF"/>
    <w:rsid w:val="007315E1"/>
    <w:rsid w:val="00732B20"/>
    <w:rsid w:val="00736B62"/>
    <w:rsid w:val="007377C2"/>
    <w:rsid w:val="007479BB"/>
    <w:rsid w:val="00755D54"/>
    <w:rsid w:val="0075755F"/>
    <w:rsid w:val="00760151"/>
    <w:rsid w:val="00761085"/>
    <w:rsid w:val="00764095"/>
    <w:rsid w:val="00764A39"/>
    <w:rsid w:val="00765382"/>
    <w:rsid w:val="00771350"/>
    <w:rsid w:val="00771C90"/>
    <w:rsid w:val="00771F6E"/>
    <w:rsid w:val="0077709A"/>
    <w:rsid w:val="00777B2B"/>
    <w:rsid w:val="0078265E"/>
    <w:rsid w:val="00783835"/>
    <w:rsid w:val="007915BB"/>
    <w:rsid w:val="007951AA"/>
    <w:rsid w:val="0079577A"/>
    <w:rsid w:val="00797F50"/>
    <w:rsid w:val="007A2132"/>
    <w:rsid w:val="007A59A3"/>
    <w:rsid w:val="007A6C2E"/>
    <w:rsid w:val="007B398F"/>
    <w:rsid w:val="007B544A"/>
    <w:rsid w:val="007C1F14"/>
    <w:rsid w:val="007C3AE8"/>
    <w:rsid w:val="007D5C86"/>
    <w:rsid w:val="007E66A1"/>
    <w:rsid w:val="007E6B64"/>
    <w:rsid w:val="007F2DBE"/>
    <w:rsid w:val="0080600A"/>
    <w:rsid w:val="00806214"/>
    <w:rsid w:val="00807F28"/>
    <w:rsid w:val="008140FE"/>
    <w:rsid w:val="008268C3"/>
    <w:rsid w:val="00832986"/>
    <w:rsid w:val="0083349C"/>
    <w:rsid w:val="00833DDE"/>
    <w:rsid w:val="00834905"/>
    <w:rsid w:val="00836676"/>
    <w:rsid w:val="0083784F"/>
    <w:rsid w:val="008412EA"/>
    <w:rsid w:val="008502A9"/>
    <w:rsid w:val="00851125"/>
    <w:rsid w:val="00852A59"/>
    <w:rsid w:val="00852ACA"/>
    <w:rsid w:val="008543F2"/>
    <w:rsid w:val="008549D5"/>
    <w:rsid w:val="00855B54"/>
    <w:rsid w:val="00860769"/>
    <w:rsid w:val="00866D59"/>
    <w:rsid w:val="00871AD7"/>
    <w:rsid w:val="00871E7D"/>
    <w:rsid w:val="0087567E"/>
    <w:rsid w:val="0087769E"/>
    <w:rsid w:val="008825C9"/>
    <w:rsid w:val="008A0969"/>
    <w:rsid w:val="008A0BDE"/>
    <w:rsid w:val="008A2F8A"/>
    <w:rsid w:val="008A522F"/>
    <w:rsid w:val="008B232D"/>
    <w:rsid w:val="008B24B6"/>
    <w:rsid w:val="008B51AF"/>
    <w:rsid w:val="008B677D"/>
    <w:rsid w:val="008C10A5"/>
    <w:rsid w:val="008C2AA7"/>
    <w:rsid w:val="008C44AF"/>
    <w:rsid w:val="008C4A1A"/>
    <w:rsid w:val="008E3062"/>
    <w:rsid w:val="008F07D7"/>
    <w:rsid w:val="008F240B"/>
    <w:rsid w:val="008F27EA"/>
    <w:rsid w:val="008F315C"/>
    <w:rsid w:val="008F44A9"/>
    <w:rsid w:val="008F6A0B"/>
    <w:rsid w:val="008F6CF6"/>
    <w:rsid w:val="00905C1C"/>
    <w:rsid w:val="009061DD"/>
    <w:rsid w:val="00914232"/>
    <w:rsid w:val="009152E0"/>
    <w:rsid w:val="0092192A"/>
    <w:rsid w:val="00921F3C"/>
    <w:rsid w:val="00924E04"/>
    <w:rsid w:val="0092596F"/>
    <w:rsid w:val="00930E23"/>
    <w:rsid w:val="00936FA4"/>
    <w:rsid w:val="00950D12"/>
    <w:rsid w:val="00951A7C"/>
    <w:rsid w:val="00956F8C"/>
    <w:rsid w:val="00960FBE"/>
    <w:rsid w:val="00961256"/>
    <w:rsid w:val="0096331B"/>
    <w:rsid w:val="009674AA"/>
    <w:rsid w:val="009754E4"/>
    <w:rsid w:val="00976FAC"/>
    <w:rsid w:val="00977618"/>
    <w:rsid w:val="0097774D"/>
    <w:rsid w:val="00984668"/>
    <w:rsid w:val="00986FDF"/>
    <w:rsid w:val="00992169"/>
    <w:rsid w:val="00997485"/>
    <w:rsid w:val="009A1D26"/>
    <w:rsid w:val="009B11F9"/>
    <w:rsid w:val="009B4EEF"/>
    <w:rsid w:val="009B7A11"/>
    <w:rsid w:val="009C2885"/>
    <w:rsid w:val="009C2BBE"/>
    <w:rsid w:val="009C402E"/>
    <w:rsid w:val="009C6E93"/>
    <w:rsid w:val="009C70E0"/>
    <w:rsid w:val="009D0128"/>
    <w:rsid w:val="009D03DE"/>
    <w:rsid w:val="009E6874"/>
    <w:rsid w:val="009F68E6"/>
    <w:rsid w:val="009F6F5E"/>
    <w:rsid w:val="00A022E8"/>
    <w:rsid w:val="00A04536"/>
    <w:rsid w:val="00A0650F"/>
    <w:rsid w:val="00A0746F"/>
    <w:rsid w:val="00A10658"/>
    <w:rsid w:val="00A12EFD"/>
    <w:rsid w:val="00A15F8A"/>
    <w:rsid w:val="00A223A5"/>
    <w:rsid w:val="00A23401"/>
    <w:rsid w:val="00A2348E"/>
    <w:rsid w:val="00A33838"/>
    <w:rsid w:val="00A33E61"/>
    <w:rsid w:val="00A35DE1"/>
    <w:rsid w:val="00A37CFC"/>
    <w:rsid w:val="00A418EC"/>
    <w:rsid w:val="00A44BDC"/>
    <w:rsid w:val="00A46502"/>
    <w:rsid w:val="00A46594"/>
    <w:rsid w:val="00A47750"/>
    <w:rsid w:val="00A52820"/>
    <w:rsid w:val="00A529BC"/>
    <w:rsid w:val="00A52F11"/>
    <w:rsid w:val="00A61412"/>
    <w:rsid w:val="00A65F29"/>
    <w:rsid w:val="00A71D46"/>
    <w:rsid w:val="00A74A7B"/>
    <w:rsid w:val="00A74E0F"/>
    <w:rsid w:val="00A775B8"/>
    <w:rsid w:val="00A77FB2"/>
    <w:rsid w:val="00A80C50"/>
    <w:rsid w:val="00A840AF"/>
    <w:rsid w:val="00A865E9"/>
    <w:rsid w:val="00A9198F"/>
    <w:rsid w:val="00A9472F"/>
    <w:rsid w:val="00A95D77"/>
    <w:rsid w:val="00AA1073"/>
    <w:rsid w:val="00AA2027"/>
    <w:rsid w:val="00AA535B"/>
    <w:rsid w:val="00AA60BC"/>
    <w:rsid w:val="00AA780B"/>
    <w:rsid w:val="00AB473D"/>
    <w:rsid w:val="00AB6DF9"/>
    <w:rsid w:val="00AC6D30"/>
    <w:rsid w:val="00AC6FA6"/>
    <w:rsid w:val="00AE01F0"/>
    <w:rsid w:val="00AE1F9E"/>
    <w:rsid w:val="00AF087F"/>
    <w:rsid w:val="00AF68EF"/>
    <w:rsid w:val="00AF6F36"/>
    <w:rsid w:val="00AF7541"/>
    <w:rsid w:val="00B0105F"/>
    <w:rsid w:val="00B02721"/>
    <w:rsid w:val="00B0387A"/>
    <w:rsid w:val="00B10D20"/>
    <w:rsid w:val="00B14912"/>
    <w:rsid w:val="00B16ABE"/>
    <w:rsid w:val="00B20528"/>
    <w:rsid w:val="00B21B8F"/>
    <w:rsid w:val="00B327AE"/>
    <w:rsid w:val="00B36ACC"/>
    <w:rsid w:val="00B40D8B"/>
    <w:rsid w:val="00B47E49"/>
    <w:rsid w:val="00B50206"/>
    <w:rsid w:val="00B5082F"/>
    <w:rsid w:val="00B51E97"/>
    <w:rsid w:val="00B737A6"/>
    <w:rsid w:val="00B801DB"/>
    <w:rsid w:val="00B80D94"/>
    <w:rsid w:val="00B855C4"/>
    <w:rsid w:val="00B90D0E"/>
    <w:rsid w:val="00B971B5"/>
    <w:rsid w:val="00BA5AFD"/>
    <w:rsid w:val="00BA5B7D"/>
    <w:rsid w:val="00BA73B3"/>
    <w:rsid w:val="00BB65F2"/>
    <w:rsid w:val="00BC408F"/>
    <w:rsid w:val="00BC5EF9"/>
    <w:rsid w:val="00BD4FC1"/>
    <w:rsid w:val="00BD5123"/>
    <w:rsid w:val="00BE0382"/>
    <w:rsid w:val="00BE34DE"/>
    <w:rsid w:val="00BE4778"/>
    <w:rsid w:val="00BE5ACB"/>
    <w:rsid w:val="00C03ED1"/>
    <w:rsid w:val="00C04352"/>
    <w:rsid w:val="00C10FEF"/>
    <w:rsid w:val="00C14F8F"/>
    <w:rsid w:val="00C23732"/>
    <w:rsid w:val="00C31046"/>
    <w:rsid w:val="00C3378F"/>
    <w:rsid w:val="00C33F72"/>
    <w:rsid w:val="00C41B95"/>
    <w:rsid w:val="00C424E9"/>
    <w:rsid w:val="00C47347"/>
    <w:rsid w:val="00C55C2A"/>
    <w:rsid w:val="00C612A6"/>
    <w:rsid w:val="00C61EFC"/>
    <w:rsid w:val="00C62C5D"/>
    <w:rsid w:val="00C6607D"/>
    <w:rsid w:val="00C66AA6"/>
    <w:rsid w:val="00C703A0"/>
    <w:rsid w:val="00C712D4"/>
    <w:rsid w:val="00C71378"/>
    <w:rsid w:val="00C737AE"/>
    <w:rsid w:val="00C7506F"/>
    <w:rsid w:val="00C75AAF"/>
    <w:rsid w:val="00C76A95"/>
    <w:rsid w:val="00C82BC3"/>
    <w:rsid w:val="00C85723"/>
    <w:rsid w:val="00C87683"/>
    <w:rsid w:val="00C906B5"/>
    <w:rsid w:val="00C943F5"/>
    <w:rsid w:val="00C97EBB"/>
    <w:rsid w:val="00CA146F"/>
    <w:rsid w:val="00CA5395"/>
    <w:rsid w:val="00CB3DB8"/>
    <w:rsid w:val="00CC17E4"/>
    <w:rsid w:val="00CC19D3"/>
    <w:rsid w:val="00CC4219"/>
    <w:rsid w:val="00CC70D5"/>
    <w:rsid w:val="00CD0DBA"/>
    <w:rsid w:val="00CD0F36"/>
    <w:rsid w:val="00CD4094"/>
    <w:rsid w:val="00CE0B2F"/>
    <w:rsid w:val="00CF39DF"/>
    <w:rsid w:val="00CF4F41"/>
    <w:rsid w:val="00CF6779"/>
    <w:rsid w:val="00D00BAA"/>
    <w:rsid w:val="00D01CCC"/>
    <w:rsid w:val="00D01F6E"/>
    <w:rsid w:val="00D033B3"/>
    <w:rsid w:val="00D045C2"/>
    <w:rsid w:val="00D05366"/>
    <w:rsid w:val="00D05A63"/>
    <w:rsid w:val="00D11C30"/>
    <w:rsid w:val="00D173AA"/>
    <w:rsid w:val="00D226D8"/>
    <w:rsid w:val="00D23AAE"/>
    <w:rsid w:val="00D317AB"/>
    <w:rsid w:val="00D3646C"/>
    <w:rsid w:val="00D46493"/>
    <w:rsid w:val="00D505AE"/>
    <w:rsid w:val="00D51F15"/>
    <w:rsid w:val="00D53102"/>
    <w:rsid w:val="00D56720"/>
    <w:rsid w:val="00D61822"/>
    <w:rsid w:val="00D61EC5"/>
    <w:rsid w:val="00D62E03"/>
    <w:rsid w:val="00D652C3"/>
    <w:rsid w:val="00D6562D"/>
    <w:rsid w:val="00D658E4"/>
    <w:rsid w:val="00D711F1"/>
    <w:rsid w:val="00D85515"/>
    <w:rsid w:val="00D9085E"/>
    <w:rsid w:val="00DA2928"/>
    <w:rsid w:val="00DC0998"/>
    <w:rsid w:val="00DC322D"/>
    <w:rsid w:val="00DC6FD9"/>
    <w:rsid w:val="00DC7D40"/>
    <w:rsid w:val="00DD3FF4"/>
    <w:rsid w:val="00DD4AC2"/>
    <w:rsid w:val="00DE55B3"/>
    <w:rsid w:val="00DF2184"/>
    <w:rsid w:val="00E00FB6"/>
    <w:rsid w:val="00E02E39"/>
    <w:rsid w:val="00E051EB"/>
    <w:rsid w:val="00E067FF"/>
    <w:rsid w:val="00E10546"/>
    <w:rsid w:val="00E139DC"/>
    <w:rsid w:val="00E15005"/>
    <w:rsid w:val="00E17784"/>
    <w:rsid w:val="00E21637"/>
    <w:rsid w:val="00E22595"/>
    <w:rsid w:val="00E23F9C"/>
    <w:rsid w:val="00E2407F"/>
    <w:rsid w:val="00E256F9"/>
    <w:rsid w:val="00E34CB2"/>
    <w:rsid w:val="00E369CD"/>
    <w:rsid w:val="00E36E27"/>
    <w:rsid w:val="00E451C9"/>
    <w:rsid w:val="00E50A43"/>
    <w:rsid w:val="00E53536"/>
    <w:rsid w:val="00E60F05"/>
    <w:rsid w:val="00E63A32"/>
    <w:rsid w:val="00E67465"/>
    <w:rsid w:val="00E71619"/>
    <w:rsid w:val="00E732C5"/>
    <w:rsid w:val="00E743BA"/>
    <w:rsid w:val="00E7563D"/>
    <w:rsid w:val="00E77A73"/>
    <w:rsid w:val="00E82FB2"/>
    <w:rsid w:val="00E8308F"/>
    <w:rsid w:val="00E84311"/>
    <w:rsid w:val="00E872CD"/>
    <w:rsid w:val="00E9036C"/>
    <w:rsid w:val="00E91344"/>
    <w:rsid w:val="00E91C86"/>
    <w:rsid w:val="00E929D7"/>
    <w:rsid w:val="00E964E4"/>
    <w:rsid w:val="00EA0A1B"/>
    <w:rsid w:val="00EA341F"/>
    <w:rsid w:val="00EA7557"/>
    <w:rsid w:val="00EB0F27"/>
    <w:rsid w:val="00EB1EE6"/>
    <w:rsid w:val="00EB32DB"/>
    <w:rsid w:val="00EB3683"/>
    <w:rsid w:val="00EC200F"/>
    <w:rsid w:val="00EC2DCB"/>
    <w:rsid w:val="00EC41D9"/>
    <w:rsid w:val="00ED0411"/>
    <w:rsid w:val="00ED1E77"/>
    <w:rsid w:val="00ED758F"/>
    <w:rsid w:val="00EE2A68"/>
    <w:rsid w:val="00EE38D7"/>
    <w:rsid w:val="00EE3CBE"/>
    <w:rsid w:val="00EE43E5"/>
    <w:rsid w:val="00EE44BF"/>
    <w:rsid w:val="00EE4C6B"/>
    <w:rsid w:val="00EE7F56"/>
    <w:rsid w:val="00EF2BAA"/>
    <w:rsid w:val="00EF3880"/>
    <w:rsid w:val="00EF49EA"/>
    <w:rsid w:val="00EF79D0"/>
    <w:rsid w:val="00F04D4C"/>
    <w:rsid w:val="00F07F07"/>
    <w:rsid w:val="00F11452"/>
    <w:rsid w:val="00F1278D"/>
    <w:rsid w:val="00F13748"/>
    <w:rsid w:val="00F139FA"/>
    <w:rsid w:val="00F15714"/>
    <w:rsid w:val="00F164BF"/>
    <w:rsid w:val="00F22938"/>
    <w:rsid w:val="00F23387"/>
    <w:rsid w:val="00F24DA0"/>
    <w:rsid w:val="00F27B0E"/>
    <w:rsid w:val="00F319CE"/>
    <w:rsid w:val="00F36066"/>
    <w:rsid w:val="00F42137"/>
    <w:rsid w:val="00F564D6"/>
    <w:rsid w:val="00F623E0"/>
    <w:rsid w:val="00F74393"/>
    <w:rsid w:val="00F778B4"/>
    <w:rsid w:val="00F823C3"/>
    <w:rsid w:val="00F8373E"/>
    <w:rsid w:val="00F871CE"/>
    <w:rsid w:val="00F873C9"/>
    <w:rsid w:val="00F874EE"/>
    <w:rsid w:val="00F90C7E"/>
    <w:rsid w:val="00F9182C"/>
    <w:rsid w:val="00F96F35"/>
    <w:rsid w:val="00FA3E64"/>
    <w:rsid w:val="00FB0CE2"/>
    <w:rsid w:val="00FC4652"/>
    <w:rsid w:val="00FC4CFB"/>
    <w:rsid w:val="00FC75C4"/>
    <w:rsid w:val="00FD5708"/>
    <w:rsid w:val="00FD6315"/>
    <w:rsid w:val="00FE10F8"/>
    <w:rsid w:val="00FE3F63"/>
    <w:rsid w:val="00FE54D6"/>
    <w:rsid w:val="00FE56D6"/>
    <w:rsid w:val="00FF10B0"/>
    <w:rsid w:val="00FF23BF"/>
    <w:rsid w:val="00FF4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2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02E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F2184"/>
    <w:rPr>
      <w:sz w:val="20"/>
      <w:szCs w:val="20"/>
    </w:rPr>
  </w:style>
  <w:style w:type="character" w:customStyle="1" w:styleId="FootnoteTextChar">
    <w:name w:val="Footnote Text Char"/>
    <w:basedOn w:val="DefaultParagraphFont"/>
    <w:link w:val="FootnoteText"/>
    <w:uiPriority w:val="99"/>
    <w:semiHidden/>
    <w:rsid w:val="00DF218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F2184"/>
    <w:rPr>
      <w:vertAlign w:val="superscript"/>
    </w:rPr>
  </w:style>
  <w:style w:type="paragraph" w:styleId="BalloonText">
    <w:name w:val="Balloon Text"/>
    <w:basedOn w:val="Normal"/>
    <w:link w:val="BalloonTextChar"/>
    <w:uiPriority w:val="99"/>
    <w:semiHidden/>
    <w:unhideWhenUsed/>
    <w:rsid w:val="006F4D0A"/>
    <w:rPr>
      <w:rFonts w:ascii="Tahoma" w:hAnsi="Tahoma" w:cs="Tahoma"/>
      <w:sz w:val="16"/>
      <w:szCs w:val="16"/>
    </w:rPr>
  </w:style>
  <w:style w:type="character" w:customStyle="1" w:styleId="BalloonTextChar">
    <w:name w:val="Balloon Text Char"/>
    <w:basedOn w:val="DefaultParagraphFont"/>
    <w:link w:val="BalloonText"/>
    <w:uiPriority w:val="99"/>
    <w:semiHidden/>
    <w:rsid w:val="006F4D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1EDF0-0786-454D-B8A6-8F1A29B3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Utilities Commission</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rwaldemar</dc:creator>
  <cp:keywords/>
  <dc:description/>
  <cp:lastModifiedBy>temathias</cp:lastModifiedBy>
  <cp:revision>3</cp:revision>
  <cp:lastPrinted>2009-10-07T17:18:00Z</cp:lastPrinted>
  <dcterms:created xsi:type="dcterms:W3CDTF">2009-10-06T20:06:00Z</dcterms:created>
  <dcterms:modified xsi:type="dcterms:W3CDTF">2009-10-07T17:18:00Z</dcterms:modified>
</cp:coreProperties>
</file>