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6" w:type="dxa"/>
        <w:tblLayout w:type="fixed"/>
        <w:tblLook w:val="0000"/>
      </w:tblPr>
      <w:tblGrid>
        <w:gridCol w:w="2448"/>
        <w:gridCol w:w="2700"/>
        <w:gridCol w:w="810"/>
        <w:gridCol w:w="720"/>
        <w:gridCol w:w="2880"/>
        <w:gridCol w:w="720"/>
        <w:gridCol w:w="18"/>
      </w:tblGrid>
      <w:tr w:rsidR="00B97D30" w:rsidRPr="00701F7E">
        <w:trPr>
          <w:gridAfter w:val="1"/>
          <w:wAfter w:w="18" w:type="dxa"/>
        </w:trPr>
        <w:tc>
          <w:tcPr>
            <w:tcW w:w="2448" w:type="dxa"/>
          </w:tcPr>
          <w:p w:rsidR="00B97D30" w:rsidRPr="00701F7E" w:rsidRDefault="00B05B3F" w:rsidP="00B97D30">
            <w:pPr>
              <w:rPr>
                <w:color w:val="auto"/>
              </w:rPr>
            </w:pPr>
            <w:r w:rsidRPr="00701F7E">
              <w:rPr>
                <w:color w:val="auto"/>
              </w:rPr>
              <w:t xml:space="preserve"> </w:t>
            </w:r>
          </w:p>
        </w:tc>
        <w:tc>
          <w:tcPr>
            <w:tcW w:w="4230" w:type="dxa"/>
            <w:gridSpan w:val="3"/>
          </w:tcPr>
          <w:p w:rsidR="00B97D30" w:rsidRPr="00701F7E" w:rsidRDefault="00B97D30" w:rsidP="00B97D30">
            <w:pPr>
              <w:jc w:val="center"/>
              <w:rPr>
                <w:b/>
                <w:color w:val="auto"/>
                <w:sz w:val="26"/>
              </w:rPr>
            </w:pPr>
            <w:r w:rsidRPr="00701F7E">
              <w:rPr>
                <w:b/>
                <w:color w:val="auto"/>
                <w:sz w:val="26"/>
              </w:rPr>
              <w:t>PENNSYLVANIA</w:t>
            </w:r>
          </w:p>
          <w:p w:rsidR="00B97D30" w:rsidRPr="00701F7E" w:rsidRDefault="00B97D30" w:rsidP="00B97D30">
            <w:pPr>
              <w:jc w:val="center"/>
              <w:rPr>
                <w:b/>
                <w:color w:val="auto"/>
                <w:sz w:val="26"/>
              </w:rPr>
            </w:pPr>
            <w:r w:rsidRPr="00701F7E">
              <w:rPr>
                <w:b/>
                <w:color w:val="auto"/>
                <w:sz w:val="26"/>
              </w:rPr>
              <w:t>PUBLIC UTILITY COMMISSION</w:t>
            </w:r>
          </w:p>
          <w:p w:rsidR="00B97D30" w:rsidRPr="00701F7E" w:rsidRDefault="00B97D30" w:rsidP="00B97D30">
            <w:pPr>
              <w:jc w:val="center"/>
              <w:rPr>
                <w:color w:val="auto"/>
                <w:sz w:val="26"/>
              </w:rPr>
            </w:pPr>
            <w:r w:rsidRPr="00701F7E">
              <w:rPr>
                <w:b/>
                <w:color w:val="auto"/>
                <w:sz w:val="26"/>
              </w:rPr>
              <w:t>Harrisburg, PA  17105-3265</w:t>
            </w:r>
          </w:p>
        </w:tc>
        <w:tc>
          <w:tcPr>
            <w:tcW w:w="3600" w:type="dxa"/>
            <w:gridSpan w:val="2"/>
          </w:tcPr>
          <w:p w:rsidR="00B97D30" w:rsidRPr="00701F7E" w:rsidRDefault="00B97D30" w:rsidP="00B97D30">
            <w:pPr>
              <w:rPr>
                <w:color w:val="auto"/>
              </w:rPr>
            </w:pPr>
          </w:p>
        </w:tc>
      </w:tr>
      <w:tr w:rsidR="009D36EB" w:rsidRPr="00701F7E">
        <w:trPr>
          <w:gridAfter w:val="1"/>
          <w:wAfter w:w="18" w:type="dxa"/>
        </w:trPr>
        <w:tc>
          <w:tcPr>
            <w:tcW w:w="2448" w:type="dxa"/>
          </w:tcPr>
          <w:p w:rsidR="009D36EB" w:rsidRPr="00701F7E" w:rsidRDefault="009D36EB" w:rsidP="00B97D30">
            <w:pPr>
              <w:rPr>
                <w:color w:val="auto"/>
              </w:rPr>
            </w:pPr>
          </w:p>
        </w:tc>
        <w:tc>
          <w:tcPr>
            <w:tcW w:w="4230" w:type="dxa"/>
            <w:gridSpan w:val="3"/>
          </w:tcPr>
          <w:p w:rsidR="009D36EB" w:rsidRPr="00701F7E" w:rsidRDefault="009D36EB" w:rsidP="00B97D30">
            <w:pPr>
              <w:jc w:val="center"/>
              <w:rPr>
                <w:b/>
                <w:color w:val="auto"/>
                <w:sz w:val="26"/>
              </w:rPr>
            </w:pPr>
          </w:p>
        </w:tc>
        <w:tc>
          <w:tcPr>
            <w:tcW w:w="3600" w:type="dxa"/>
            <w:gridSpan w:val="2"/>
          </w:tcPr>
          <w:p w:rsidR="009D36EB" w:rsidRPr="00701F7E" w:rsidRDefault="009D36EB" w:rsidP="00B97D30">
            <w:pPr>
              <w:rPr>
                <w:color w:val="auto"/>
              </w:rPr>
            </w:pPr>
          </w:p>
        </w:tc>
      </w:tr>
      <w:tr w:rsidR="00B97D30" w:rsidRPr="00701F7E">
        <w:tc>
          <w:tcPr>
            <w:tcW w:w="5148" w:type="dxa"/>
            <w:gridSpan w:val="2"/>
          </w:tcPr>
          <w:p w:rsidR="00B97D30" w:rsidRPr="00701F7E" w:rsidRDefault="00B97D30" w:rsidP="00B97D30">
            <w:pPr>
              <w:rPr>
                <w:color w:val="auto"/>
                <w:sz w:val="26"/>
              </w:rPr>
            </w:pPr>
          </w:p>
        </w:tc>
        <w:tc>
          <w:tcPr>
            <w:tcW w:w="5148" w:type="dxa"/>
            <w:gridSpan w:val="5"/>
          </w:tcPr>
          <w:p w:rsidR="00B97D30" w:rsidRPr="00701F7E" w:rsidRDefault="00B97D30" w:rsidP="00B97D30">
            <w:pPr>
              <w:ind w:firstLine="619"/>
              <w:rPr>
                <w:color w:val="auto"/>
                <w:sz w:val="26"/>
              </w:rPr>
            </w:pPr>
            <w:r w:rsidRPr="00701F7E">
              <w:rPr>
                <w:color w:val="auto"/>
                <w:sz w:val="26"/>
              </w:rPr>
              <w:t xml:space="preserve">Public Meeting held </w:t>
            </w:r>
            <w:r w:rsidR="00956EE0">
              <w:rPr>
                <w:color w:val="auto"/>
                <w:sz w:val="26"/>
              </w:rPr>
              <w:t>April 22</w:t>
            </w:r>
            <w:r w:rsidR="00AB7E9B" w:rsidRPr="00701F7E">
              <w:rPr>
                <w:color w:val="auto"/>
                <w:sz w:val="26"/>
              </w:rPr>
              <w:t>, 20</w:t>
            </w:r>
            <w:r w:rsidR="00847798">
              <w:rPr>
                <w:color w:val="auto"/>
                <w:sz w:val="26"/>
              </w:rPr>
              <w:t>10</w:t>
            </w:r>
          </w:p>
        </w:tc>
      </w:tr>
      <w:tr w:rsidR="00B97D30" w:rsidRPr="00847798">
        <w:tc>
          <w:tcPr>
            <w:tcW w:w="5148" w:type="dxa"/>
            <w:gridSpan w:val="2"/>
          </w:tcPr>
          <w:p w:rsidR="00B97D30" w:rsidRPr="00847798" w:rsidRDefault="00B97D30" w:rsidP="00B97D30">
            <w:pPr>
              <w:rPr>
                <w:color w:val="auto"/>
                <w:sz w:val="26"/>
                <w:highlight w:val="green"/>
              </w:rPr>
            </w:pPr>
            <w:r w:rsidRPr="00231DF6">
              <w:rPr>
                <w:color w:val="auto"/>
                <w:sz w:val="26"/>
              </w:rPr>
              <w:t>Commissioners Present:</w:t>
            </w:r>
          </w:p>
        </w:tc>
        <w:tc>
          <w:tcPr>
            <w:tcW w:w="5148" w:type="dxa"/>
            <w:gridSpan w:val="5"/>
          </w:tcPr>
          <w:p w:rsidR="00B97D30" w:rsidRPr="00847798" w:rsidRDefault="00B97D30" w:rsidP="00B97D30">
            <w:pPr>
              <w:rPr>
                <w:color w:val="auto"/>
                <w:sz w:val="26"/>
                <w:highlight w:val="green"/>
              </w:rPr>
            </w:pPr>
          </w:p>
        </w:tc>
      </w:tr>
      <w:tr w:rsidR="009D36EB" w:rsidRPr="00847798">
        <w:tc>
          <w:tcPr>
            <w:tcW w:w="5148" w:type="dxa"/>
            <w:gridSpan w:val="2"/>
          </w:tcPr>
          <w:p w:rsidR="009D36EB" w:rsidRPr="00847798" w:rsidRDefault="009D36EB" w:rsidP="00B97D30">
            <w:pPr>
              <w:rPr>
                <w:color w:val="auto"/>
                <w:sz w:val="26"/>
                <w:highlight w:val="green"/>
              </w:rPr>
            </w:pPr>
          </w:p>
        </w:tc>
        <w:tc>
          <w:tcPr>
            <w:tcW w:w="5148" w:type="dxa"/>
            <w:gridSpan w:val="5"/>
          </w:tcPr>
          <w:p w:rsidR="009D36EB" w:rsidRPr="00847798" w:rsidRDefault="009D36EB"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James H. Cawley, Chairman</w:t>
            </w:r>
          </w:p>
        </w:tc>
        <w:tc>
          <w:tcPr>
            <w:tcW w:w="738" w:type="dxa"/>
            <w:gridSpan w:val="2"/>
          </w:tcPr>
          <w:p w:rsidR="00231DF6" w:rsidRPr="00847798" w:rsidRDefault="00231DF6"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Tyrone J. Christy, Vice Chairman</w:t>
            </w:r>
          </w:p>
        </w:tc>
        <w:tc>
          <w:tcPr>
            <w:tcW w:w="738" w:type="dxa"/>
            <w:gridSpan w:val="2"/>
          </w:tcPr>
          <w:p w:rsidR="00231DF6" w:rsidRPr="00847798" w:rsidRDefault="00231DF6"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Wayne E. Gardner</w:t>
            </w:r>
          </w:p>
        </w:tc>
        <w:tc>
          <w:tcPr>
            <w:tcW w:w="738" w:type="dxa"/>
            <w:gridSpan w:val="2"/>
          </w:tcPr>
          <w:p w:rsidR="00231DF6" w:rsidRPr="00847798" w:rsidRDefault="00231DF6"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Robert F. Powelson</w:t>
            </w:r>
          </w:p>
        </w:tc>
        <w:tc>
          <w:tcPr>
            <w:tcW w:w="738" w:type="dxa"/>
            <w:gridSpan w:val="2"/>
          </w:tcPr>
          <w:p w:rsidR="00231DF6" w:rsidRPr="00847798" w:rsidRDefault="00231DF6" w:rsidP="00B97D30">
            <w:pPr>
              <w:rPr>
                <w:color w:val="auto"/>
                <w:sz w:val="26"/>
                <w:highlight w:val="green"/>
              </w:rPr>
            </w:pPr>
          </w:p>
        </w:tc>
      </w:tr>
      <w:tr w:rsidR="00811CE5" w:rsidRPr="00847798">
        <w:tc>
          <w:tcPr>
            <w:tcW w:w="9558" w:type="dxa"/>
            <w:gridSpan w:val="5"/>
          </w:tcPr>
          <w:p w:rsidR="00827FD5" w:rsidRPr="00847798" w:rsidRDefault="00827FD5" w:rsidP="005312E8">
            <w:pPr>
              <w:ind w:firstLine="450"/>
              <w:rPr>
                <w:color w:val="auto"/>
                <w:sz w:val="26"/>
                <w:highlight w:val="green"/>
              </w:rPr>
            </w:pPr>
          </w:p>
        </w:tc>
        <w:tc>
          <w:tcPr>
            <w:tcW w:w="738" w:type="dxa"/>
            <w:gridSpan w:val="2"/>
          </w:tcPr>
          <w:p w:rsidR="00811CE5" w:rsidRPr="00847798" w:rsidRDefault="00811CE5" w:rsidP="00B97D30">
            <w:pPr>
              <w:rPr>
                <w:color w:val="auto"/>
                <w:sz w:val="26"/>
                <w:highlight w:val="green"/>
              </w:rPr>
            </w:pPr>
          </w:p>
        </w:tc>
      </w:tr>
      <w:tr w:rsidR="009D36EB" w:rsidRPr="00847798">
        <w:tc>
          <w:tcPr>
            <w:tcW w:w="9558" w:type="dxa"/>
            <w:gridSpan w:val="5"/>
          </w:tcPr>
          <w:p w:rsidR="009D36EB" w:rsidRPr="00847798" w:rsidRDefault="009D36EB" w:rsidP="00B97D30">
            <w:pPr>
              <w:ind w:firstLine="450"/>
              <w:rPr>
                <w:color w:val="auto"/>
                <w:sz w:val="26"/>
                <w:highlight w:val="green"/>
              </w:rPr>
            </w:pPr>
          </w:p>
        </w:tc>
        <w:tc>
          <w:tcPr>
            <w:tcW w:w="738" w:type="dxa"/>
            <w:gridSpan w:val="2"/>
          </w:tcPr>
          <w:p w:rsidR="009D36EB" w:rsidRPr="00847798" w:rsidRDefault="009D36EB" w:rsidP="00B97D30">
            <w:pPr>
              <w:rPr>
                <w:color w:val="auto"/>
                <w:sz w:val="26"/>
                <w:highlight w:val="green"/>
              </w:rPr>
            </w:pPr>
          </w:p>
        </w:tc>
      </w:tr>
      <w:tr w:rsidR="00B97D30" w:rsidRPr="00231DF6" w:rsidTr="00000AD0">
        <w:trPr>
          <w:gridAfter w:val="1"/>
          <w:wAfter w:w="18" w:type="dxa"/>
        </w:trPr>
        <w:tc>
          <w:tcPr>
            <w:tcW w:w="5958" w:type="dxa"/>
            <w:gridSpan w:val="3"/>
            <w:vAlign w:val="center"/>
          </w:tcPr>
          <w:p w:rsidR="00B97D30" w:rsidRPr="00231DF6" w:rsidRDefault="00407F11" w:rsidP="00407F11">
            <w:pPr>
              <w:jc w:val="center"/>
              <w:rPr>
                <w:color w:val="auto"/>
                <w:sz w:val="26"/>
                <w:szCs w:val="26"/>
              </w:rPr>
            </w:pPr>
            <w:r w:rsidRPr="00231DF6">
              <w:rPr>
                <w:color w:val="auto"/>
                <w:sz w:val="26"/>
                <w:szCs w:val="26"/>
              </w:rPr>
              <w:t>Pennsylvania Public Utility Commission</w:t>
            </w:r>
          </w:p>
          <w:p w:rsidR="00407F11" w:rsidRPr="00231DF6" w:rsidRDefault="00407F11" w:rsidP="00407F11">
            <w:pPr>
              <w:jc w:val="center"/>
              <w:rPr>
                <w:color w:val="auto"/>
                <w:sz w:val="26"/>
                <w:szCs w:val="26"/>
              </w:rPr>
            </w:pPr>
            <w:r w:rsidRPr="00231DF6">
              <w:rPr>
                <w:color w:val="auto"/>
                <w:sz w:val="26"/>
                <w:szCs w:val="26"/>
              </w:rPr>
              <w:t>v.</w:t>
            </w:r>
          </w:p>
          <w:p w:rsidR="00407F11" w:rsidRPr="00231DF6" w:rsidRDefault="00407F11" w:rsidP="00407F11">
            <w:pPr>
              <w:jc w:val="center"/>
              <w:rPr>
                <w:color w:val="auto"/>
                <w:sz w:val="26"/>
                <w:szCs w:val="26"/>
              </w:rPr>
            </w:pPr>
            <w:r w:rsidRPr="00231DF6">
              <w:rPr>
                <w:color w:val="auto"/>
                <w:sz w:val="26"/>
                <w:szCs w:val="26"/>
              </w:rPr>
              <w:t>PPL Electric Utilities Corporation</w:t>
            </w:r>
          </w:p>
        </w:tc>
        <w:tc>
          <w:tcPr>
            <w:tcW w:w="4320" w:type="dxa"/>
            <w:gridSpan w:val="3"/>
          </w:tcPr>
          <w:p w:rsidR="00584FE3" w:rsidRPr="00231DF6" w:rsidRDefault="00584FE3" w:rsidP="009D36EB">
            <w:pPr>
              <w:jc w:val="center"/>
              <w:rPr>
                <w:color w:val="auto"/>
                <w:sz w:val="26"/>
              </w:rPr>
            </w:pPr>
            <w:r w:rsidRPr="00231DF6">
              <w:rPr>
                <w:color w:val="auto"/>
                <w:sz w:val="26"/>
              </w:rPr>
              <w:t>Docket Number:</w:t>
            </w:r>
          </w:p>
          <w:p w:rsidR="00B97D30" w:rsidRPr="00231DF6" w:rsidRDefault="00A15B78" w:rsidP="009D36EB">
            <w:pPr>
              <w:jc w:val="center"/>
              <w:rPr>
                <w:color w:val="auto"/>
                <w:sz w:val="26"/>
              </w:rPr>
            </w:pPr>
            <w:r w:rsidRPr="00231DF6">
              <w:rPr>
                <w:color w:val="auto"/>
                <w:sz w:val="26"/>
              </w:rPr>
              <w:t>R</w:t>
            </w:r>
            <w:r w:rsidR="00B97D30" w:rsidRPr="00231DF6">
              <w:rPr>
                <w:color w:val="auto"/>
                <w:sz w:val="26"/>
              </w:rPr>
              <w:t>-</w:t>
            </w:r>
            <w:r w:rsidR="00231DF6" w:rsidRPr="00231DF6">
              <w:rPr>
                <w:color w:val="auto"/>
                <w:sz w:val="26"/>
              </w:rPr>
              <w:t>2009-2149789</w:t>
            </w:r>
          </w:p>
          <w:p w:rsidR="00F32804" w:rsidRPr="00231DF6" w:rsidRDefault="00F32804" w:rsidP="009D36EB">
            <w:pPr>
              <w:jc w:val="center"/>
              <w:rPr>
                <w:color w:val="auto"/>
                <w:sz w:val="26"/>
              </w:rPr>
            </w:pPr>
          </w:p>
        </w:tc>
      </w:tr>
      <w:tr w:rsidR="00B97D30" w:rsidRPr="00231DF6">
        <w:trPr>
          <w:gridAfter w:val="1"/>
          <w:wAfter w:w="18" w:type="dxa"/>
        </w:trPr>
        <w:tc>
          <w:tcPr>
            <w:tcW w:w="5958" w:type="dxa"/>
            <w:gridSpan w:val="3"/>
          </w:tcPr>
          <w:p w:rsidR="00B97D30" w:rsidRPr="00231DF6" w:rsidRDefault="00B97D30" w:rsidP="00B97D30">
            <w:pPr>
              <w:rPr>
                <w:color w:val="auto"/>
                <w:sz w:val="26"/>
              </w:rPr>
            </w:pPr>
          </w:p>
        </w:tc>
        <w:tc>
          <w:tcPr>
            <w:tcW w:w="4320" w:type="dxa"/>
            <w:gridSpan w:val="3"/>
          </w:tcPr>
          <w:p w:rsidR="00B97D30" w:rsidRPr="00231DF6" w:rsidRDefault="00B97D30" w:rsidP="00B97D30">
            <w:pPr>
              <w:jc w:val="right"/>
              <w:rPr>
                <w:color w:val="auto"/>
                <w:sz w:val="26"/>
              </w:rPr>
            </w:pPr>
          </w:p>
        </w:tc>
      </w:tr>
    </w:tbl>
    <w:p w:rsidR="00B97D30" w:rsidRPr="00231DF6" w:rsidRDefault="00B97D30" w:rsidP="000F3AEF">
      <w:pPr>
        <w:pStyle w:val="Heading1"/>
        <w:spacing w:line="360" w:lineRule="auto"/>
        <w:rPr>
          <w:color w:val="auto"/>
        </w:rPr>
      </w:pPr>
      <w:r w:rsidRPr="00231DF6">
        <w:rPr>
          <w:color w:val="auto"/>
        </w:rPr>
        <w:t>ORDER</w:t>
      </w:r>
    </w:p>
    <w:p w:rsidR="00B97D30" w:rsidRPr="00231DF6" w:rsidRDefault="00B97D30" w:rsidP="000F3AEF">
      <w:pPr>
        <w:spacing w:line="360" w:lineRule="auto"/>
        <w:rPr>
          <w:color w:val="auto"/>
          <w:sz w:val="26"/>
        </w:rPr>
      </w:pPr>
    </w:p>
    <w:p w:rsidR="00B97D30" w:rsidRPr="00231DF6" w:rsidRDefault="00B97D30" w:rsidP="006E1CD8">
      <w:pPr>
        <w:spacing w:line="360" w:lineRule="auto"/>
        <w:rPr>
          <w:color w:val="auto"/>
          <w:sz w:val="26"/>
        </w:rPr>
      </w:pPr>
      <w:r w:rsidRPr="00231DF6">
        <w:rPr>
          <w:b/>
          <w:color w:val="auto"/>
          <w:sz w:val="26"/>
        </w:rPr>
        <w:t>BY THE COMMISSION:</w:t>
      </w:r>
    </w:p>
    <w:p w:rsidR="00B97D30" w:rsidRPr="00847798" w:rsidRDefault="00B97D30" w:rsidP="006E1CD8">
      <w:pPr>
        <w:spacing w:line="360" w:lineRule="auto"/>
        <w:rPr>
          <w:color w:val="auto"/>
          <w:sz w:val="26"/>
          <w:highlight w:val="green"/>
        </w:rPr>
      </w:pPr>
    </w:p>
    <w:p w:rsidR="00E14562" w:rsidRDefault="00E14562" w:rsidP="00FE6F59">
      <w:pPr>
        <w:spacing w:line="360" w:lineRule="auto"/>
        <w:ind w:firstLine="1440"/>
        <w:rPr>
          <w:color w:val="auto"/>
          <w:sz w:val="26"/>
          <w:szCs w:val="26"/>
        </w:rPr>
      </w:pPr>
      <w:r w:rsidRPr="00E14562">
        <w:rPr>
          <w:color w:val="auto"/>
          <w:sz w:val="26"/>
          <w:szCs w:val="26"/>
        </w:rPr>
        <w:t xml:space="preserve">On </w:t>
      </w:r>
      <w:r>
        <w:rPr>
          <w:color w:val="auto"/>
          <w:sz w:val="26"/>
          <w:szCs w:val="26"/>
        </w:rPr>
        <w:t xml:space="preserve">December 28, 2009, PPL Electric Utilities Corporation </w:t>
      </w:r>
      <w:r w:rsidRPr="00E14562">
        <w:rPr>
          <w:color w:val="auto"/>
          <w:sz w:val="26"/>
          <w:szCs w:val="26"/>
        </w:rPr>
        <w:t>(“PPL” or “the Company”) filed Supplement No. 80 to Tariff Electric-Pa. P.U.C No. 201 (</w:t>
      </w:r>
      <w:r>
        <w:rPr>
          <w:color w:val="auto"/>
          <w:sz w:val="26"/>
          <w:szCs w:val="26"/>
        </w:rPr>
        <w:t>“</w:t>
      </w:r>
      <w:r w:rsidRPr="00E14562">
        <w:rPr>
          <w:color w:val="auto"/>
          <w:sz w:val="26"/>
          <w:szCs w:val="26"/>
        </w:rPr>
        <w:t>Supplement No. 80</w:t>
      </w:r>
      <w:r>
        <w:rPr>
          <w:color w:val="auto"/>
          <w:sz w:val="26"/>
          <w:szCs w:val="26"/>
        </w:rPr>
        <w:t>”</w:t>
      </w:r>
      <w:r w:rsidRPr="00E14562">
        <w:rPr>
          <w:color w:val="auto"/>
          <w:sz w:val="26"/>
          <w:szCs w:val="26"/>
        </w:rPr>
        <w:t xml:space="preserve">) to become effective February 26, 2010.  </w:t>
      </w:r>
      <w:r w:rsidR="00BF01BC" w:rsidRPr="006F139A">
        <w:rPr>
          <w:color w:val="auto"/>
          <w:sz w:val="26"/>
          <w:szCs w:val="26"/>
        </w:rPr>
        <w:t>Supplement No. 80</w:t>
      </w:r>
      <w:r w:rsidR="00BF01BC">
        <w:rPr>
          <w:color w:val="auto"/>
          <w:sz w:val="26"/>
          <w:szCs w:val="26"/>
        </w:rPr>
        <w:t xml:space="preserve"> was filed in response to the Order of Administrative Law Judge Susan D. Colwell dated December 7, 2009, which directed PPL to file a tariff supplement containing the continuation of the Company’s reconcilable Universal Service Rider (“USR”).  </w:t>
      </w:r>
      <w:r w:rsidR="006F139A">
        <w:rPr>
          <w:color w:val="auto"/>
          <w:sz w:val="26"/>
          <w:szCs w:val="26"/>
        </w:rPr>
        <w:t xml:space="preserve">On February 25, 2010, PPL </w:t>
      </w:r>
      <w:r>
        <w:rPr>
          <w:color w:val="auto"/>
          <w:sz w:val="26"/>
          <w:szCs w:val="26"/>
        </w:rPr>
        <w:t>filed to voluntarily extend the effective date of Supple</w:t>
      </w:r>
      <w:r w:rsidR="006F139A">
        <w:rPr>
          <w:color w:val="auto"/>
          <w:sz w:val="26"/>
          <w:szCs w:val="26"/>
        </w:rPr>
        <w:t>ment No. 80 to March 26, 2010</w:t>
      </w:r>
      <w:r w:rsidR="00283918">
        <w:rPr>
          <w:color w:val="auto"/>
          <w:sz w:val="26"/>
          <w:szCs w:val="26"/>
        </w:rPr>
        <w:t xml:space="preserve">, and on </w:t>
      </w:r>
      <w:r w:rsidR="00325FE3">
        <w:rPr>
          <w:color w:val="auto"/>
          <w:sz w:val="26"/>
          <w:szCs w:val="26"/>
        </w:rPr>
        <w:t>March 19, 2010, PPL filed to further extend the effe</w:t>
      </w:r>
      <w:r w:rsidR="00BF01BC">
        <w:rPr>
          <w:color w:val="auto"/>
          <w:sz w:val="26"/>
          <w:szCs w:val="26"/>
        </w:rPr>
        <w:t xml:space="preserve">ctive date </w:t>
      </w:r>
      <w:r w:rsidR="00325FE3">
        <w:rPr>
          <w:color w:val="auto"/>
          <w:sz w:val="26"/>
          <w:szCs w:val="26"/>
        </w:rPr>
        <w:t>to April 25, 2010</w:t>
      </w:r>
      <w:r w:rsidR="006F139A">
        <w:rPr>
          <w:color w:val="auto"/>
          <w:sz w:val="26"/>
          <w:szCs w:val="26"/>
        </w:rPr>
        <w:t xml:space="preserve">.  </w:t>
      </w:r>
    </w:p>
    <w:p w:rsidR="00E62BA7" w:rsidRDefault="00E62BA7" w:rsidP="001619A8">
      <w:pPr>
        <w:ind w:firstLine="1440"/>
        <w:rPr>
          <w:color w:val="auto"/>
          <w:sz w:val="26"/>
          <w:szCs w:val="26"/>
        </w:rPr>
      </w:pPr>
    </w:p>
    <w:p w:rsidR="00E62BA7" w:rsidRPr="00E14562" w:rsidRDefault="00E62BA7" w:rsidP="00FE6F59">
      <w:pPr>
        <w:spacing w:line="360" w:lineRule="auto"/>
        <w:ind w:firstLine="1440"/>
        <w:rPr>
          <w:color w:val="auto"/>
          <w:sz w:val="26"/>
          <w:szCs w:val="26"/>
        </w:rPr>
      </w:pPr>
      <w:r>
        <w:rPr>
          <w:color w:val="auto"/>
          <w:sz w:val="26"/>
          <w:szCs w:val="26"/>
        </w:rPr>
        <w:t xml:space="preserve">On </w:t>
      </w:r>
      <w:r w:rsidR="001C5655">
        <w:rPr>
          <w:color w:val="auto"/>
          <w:sz w:val="26"/>
          <w:szCs w:val="26"/>
        </w:rPr>
        <w:t xml:space="preserve">January 11, 2010, </w:t>
      </w:r>
      <w:r w:rsidR="00765F61">
        <w:rPr>
          <w:color w:val="auto"/>
          <w:sz w:val="26"/>
          <w:szCs w:val="26"/>
        </w:rPr>
        <w:t>Eric Joseph Epstein</w:t>
      </w:r>
      <w:r w:rsidR="001C5655">
        <w:rPr>
          <w:color w:val="auto"/>
          <w:sz w:val="26"/>
          <w:szCs w:val="26"/>
        </w:rPr>
        <w:t xml:space="preserve"> (“Mr. Epstein”) filed a </w:t>
      </w:r>
      <w:r w:rsidR="00C32A94">
        <w:rPr>
          <w:color w:val="auto"/>
          <w:sz w:val="26"/>
          <w:szCs w:val="26"/>
        </w:rPr>
        <w:t>Petition to Intervene</w:t>
      </w:r>
      <w:r w:rsidR="001C5655">
        <w:rPr>
          <w:color w:val="auto"/>
          <w:sz w:val="26"/>
          <w:szCs w:val="26"/>
        </w:rPr>
        <w:t xml:space="preserve"> in this proceeding, and on January 14, 2010, the Sustainable Energy Fund of Central Eastern Pennsylvania (“SEF”) likewi</w:t>
      </w:r>
      <w:r w:rsidR="009D5877">
        <w:rPr>
          <w:color w:val="auto"/>
          <w:sz w:val="26"/>
          <w:szCs w:val="26"/>
        </w:rPr>
        <w:t xml:space="preserve">se filed a </w:t>
      </w:r>
      <w:r w:rsidR="00C32A94">
        <w:rPr>
          <w:color w:val="auto"/>
          <w:sz w:val="26"/>
          <w:szCs w:val="26"/>
        </w:rPr>
        <w:t>Petition to Intervene</w:t>
      </w:r>
      <w:r w:rsidR="001C5655">
        <w:rPr>
          <w:color w:val="auto"/>
          <w:sz w:val="26"/>
          <w:szCs w:val="26"/>
        </w:rPr>
        <w:t xml:space="preserve">.  In their respective </w:t>
      </w:r>
      <w:r w:rsidR="002B72F8">
        <w:rPr>
          <w:color w:val="auto"/>
          <w:sz w:val="26"/>
          <w:szCs w:val="26"/>
        </w:rPr>
        <w:t xml:space="preserve">petitions, </w:t>
      </w:r>
      <w:r w:rsidR="009D5877">
        <w:rPr>
          <w:color w:val="auto"/>
          <w:sz w:val="26"/>
          <w:szCs w:val="26"/>
        </w:rPr>
        <w:t xml:space="preserve">Mr. Epstein and SEF raised a number of issues with regard to PPL’s proposed Supplement No. 80.  </w:t>
      </w:r>
      <w:r w:rsidR="008E0E39">
        <w:rPr>
          <w:color w:val="auto"/>
          <w:sz w:val="26"/>
          <w:szCs w:val="26"/>
        </w:rPr>
        <w:t xml:space="preserve">  Also, on February 1, 2010, the Office of Consumer </w:t>
      </w:r>
      <w:r w:rsidR="008E0E39">
        <w:rPr>
          <w:color w:val="auto"/>
          <w:sz w:val="26"/>
          <w:szCs w:val="26"/>
        </w:rPr>
        <w:lastRenderedPageBreak/>
        <w:t xml:space="preserve">Advocate (“OCA”) filed a </w:t>
      </w:r>
      <w:r w:rsidR="00C32A94">
        <w:rPr>
          <w:color w:val="auto"/>
          <w:sz w:val="26"/>
          <w:szCs w:val="26"/>
        </w:rPr>
        <w:t>Notice of Intervention</w:t>
      </w:r>
      <w:r w:rsidR="008E0E39">
        <w:rPr>
          <w:color w:val="auto"/>
          <w:sz w:val="26"/>
          <w:szCs w:val="26"/>
        </w:rPr>
        <w:t xml:space="preserve">.  </w:t>
      </w:r>
      <w:r w:rsidR="009D5877">
        <w:rPr>
          <w:color w:val="auto"/>
          <w:sz w:val="26"/>
          <w:szCs w:val="26"/>
        </w:rPr>
        <w:t>These</w:t>
      </w:r>
      <w:r w:rsidR="008E0E39">
        <w:rPr>
          <w:color w:val="auto"/>
          <w:sz w:val="26"/>
          <w:szCs w:val="26"/>
        </w:rPr>
        <w:t xml:space="preserve"> filings</w:t>
      </w:r>
      <w:r w:rsidR="009D5877">
        <w:rPr>
          <w:color w:val="auto"/>
          <w:sz w:val="26"/>
          <w:szCs w:val="26"/>
        </w:rPr>
        <w:t xml:space="preserve"> will be discussed more fully below.</w:t>
      </w:r>
    </w:p>
    <w:p w:rsidR="00BA7B8E" w:rsidRPr="00847798" w:rsidRDefault="00BA7B8E">
      <w:pPr>
        <w:rPr>
          <w:color w:val="auto"/>
          <w:sz w:val="26"/>
          <w:szCs w:val="26"/>
          <w:highlight w:val="green"/>
        </w:rPr>
      </w:pPr>
    </w:p>
    <w:p w:rsidR="00BA7B8E" w:rsidRPr="00904AB8" w:rsidRDefault="00904AB8" w:rsidP="00BA7B8E">
      <w:pPr>
        <w:spacing w:line="360" w:lineRule="auto"/>
        <w:rPr>
          <w:b/>
          <w:color w:val="auto"/>
          <w:sz w:val="26"/>
          <w:szCs w:val="26"/>
          <w:u w:val="single"/>
        </w:rPr>
      </w:pPr>
      <w:r w:rsidRPr="00904AB8">
        <w:rPr>
          <w:b/>
          <w:color w:val="auto"/>
          <w:sz w:val="26"/>
          <w:szCs w:val="26"/>
          <w:u w:val="single"/>
        </w:rPr>
        <w:t>Background</w:t>
      </w:r>
    </w:p>
    <w:p w:rsidR="00DE2C8B" w:rsidRPr="00847798" w:rsidRDefault="00DE2C8B" w:rsidP="00075879">
      <w:pPr>
        <w:ind w:firstLine="720"/>
        <w:rPr>
          <w:color w:val="auto"/>
          <w:sz w:val="26"/>
          <w:szCs w:val="26"/>
          <w:highlight w:val="green"/>
        </w:rPr>
      </w:pPr>
    </w:p>
    <w:p w:rsidR="00AB7DB8" w:rsidRDefault="00904AB8" w:rsidP="005C2E43">
      <w:pPr>
        <w:spacing w:line="360" w:lineRule="auto"/>
        <w:ind w:firstLine="1440"/>
        <w:rPr>
          <w:color w:val="auto"/>
          <w:sz w:val="26"/>
          <w:szCs w:val="26"/>
        </w:rPr>
      </w:pPr>
      <w:r w:rsidRPr="00904AB8">
        <w:rPr>
          <w:color w:val="auto"/>
          <w:sz w:val="26"/>
          <w:szCs w:val="26"/>
        </w:rPr>
        <w:t xml:space="preserve">PPL’s USR </w:t>
      </w:r>
      <w:r>
        <w:rPr>
          <w:color w:val="auto"/>
          <w:sz w:val="26"/>
          <w:szCs w:val="26"/>
        </w:rPr>
        <w:t xml:space="preserve">is a </w:t>
      </w:r>
      <w:r w:rsidR="00283ECC">
        <w:rPr>
          <w:color w:val="auto"/>
          <w:sz w:val="26"/>
          <w:szCs w:val="26"/>
        </w:rPr>
        <w:t xml:space="preserve">reconcilable </w:t>
      </w:r>
      <w:r>
        <w:rPr>
          <w:color w:val="auto"/>
          <w:sz w:val="26"/>
          <w:szCs w:val="26"/>
        </w:rPr>
        <w:t>tariff mechanism</w:t>
      </w:r>
      <w:r w:rsidR="00972979">
        <w:rPr>
          <w:color w:val="auto"/>
          <w:sz w:val="26"/>
          <w:szCs w:val="26"/>
        </w:rPr>
        <w:t xml:space="preserve"> under which the Company collects certain expenses associated with the universal service programs</w:t>
      </w:r>
      <w:r w:rsidR="00AF5A4C">
        <w:rPr>
          <w:rStyle w:val="FootnoteReference"/>
          <w:color w:val="auto"/>
          <w:sz w:val="26"/>
          <w:szCs w:val="26"/>
        </w:rPr>
        <w:footnoteReference w:id="1"/>
      </w:r>
      <w:r w:rsidR="007130C9">
        <w:rPr>
          <w:color w:val="auto"/>
          <w:sz w:val="26"/>
          <w:szCs w:val="26"/>
        </w:rPr>
        <w:t xml:space="preserve"> provided by PPL to </w:t>
      </w:r>
      <w:r w:rsidR="00972979">
        <w:rPr>
          <w:color w:val="auto"/>
          <w:sz w:val="26"/>
          <w:szCs w:val="26"/>
        </w:rPr>
        <w:t>qualifying residential customers.</w:t>
      </w:r>
      <w:r w:rsidR="00D64DEF">
        <w:rPr>
          <w:color w:val="auto"/>
          <w:sz w:val="26"/>
          <w:szCs w:val="26"/>
        </w:rPr>
        <w:t xml:space="preserve">  </w:t>
      </w:r>
      <w:r w:rsidR="00283ECC">
        <w:rPr>
          <w:color w:val="auto"/>
          <w:sz w:val="26"/>
          <w:szCs w:val="26"/>
        </w:rPr>
        <w:t>The current USR was adopted as part of the Settlement</w:t>
      </w:r>
      <w:r w:rsidR="003A04DB">
        <w:rPr>
          <w:rStyle w:val="FootnoteReference"/>
          <w:color w:val="auto"/>
          <w:sz w:val="26"/>
          <w:szCs w:val="26"/>
        </w:rPr>
        <w:footnoteReference w:id="2"/>
      </w:r>
      <w:r w:rsidR="00283ECC">
        <w:rPr>
          <w:color w:val="auto"/>
          <w:sz w:val="26"/>
          <w:szCs w:val="26"/>
        </w:rPr>
        <w:t xml:space="preserve"> of PPL’s 2007 base rate proceeding</w:t>
      </w:r>
      <w:r w:rsidR="005E5B7F">
        <w:rPr>
          <w:color w:val="auto"/>
          <w:sz w:val="26"/>
          <w:szCs w:val="26"/>
        </w:rPr>
        <w:t xml:space="preserve"> at Docket No. R-00072155.</w:t>
      </w:r>
      <w:r w:rsidR="005E5B7F">
        <w:rPr>
          <w:rStyle w:val="FootnoteReference"/>
          <w:color w:val="auto"/>
          <w:sz w:val="26"/>
          <w:szCs w:val="26"/>
        </w:rPr>
        <w:footnoteReference w:id="3"/>
      </w:r>
      <w:r w:rsidR="00827B3A">
        <w:rPr>
          <w:color w:val="auto"/>
          <w:sz w:val="26"/>
          <w:szCs w:val="26"/>
        </w:rPr>
        <w:t xml:space="preserve">  The Settlement </w:t>
      </w:r>
      <w:r w:rsidR="0070526C">
        <w:rPr>
          <w:color w:val="auto"/>
          <w:sz w:val="26"/>
          <w:szCs w:val="26"/>
        </w:rPr>
        <w:t>contained a number of points regarding</w:t>
      </w:r>
      <w:r w:rsidR="00827B3A">
        <w:rPr>
          <w:color w:val="auto"/>
          <w:sz w:val="26"/>
          <w:szCs w:val="26"/>
        </w:rPr>
        <w:t xml:space="preserve"> the USR, including </w:t>
      </w:r>
      <w:r w:rsidR="0070526C">
        <w:rPr>
          <w:color w:val="auto"/>
          <w:sz w:val="26"/>
          <w:szCs w:val="26"/>
        </w:rPr>
        <w:t xml:space="preserve">provisions relating to the issue of reconciliation.  Specifically, </w:t>
      </w:r>
      <w:r w:rsidR="00C848C7">
        <w:rPr>
          <w:color w:val="auto"/>
          <w:sz w:val="26"/>
          <w:szCs w:val="26"/>
        </w:rPr>
        <w:t>Paragraph 25 (a</w:t>
      </w:r>
      <w:r w:rsidR="003F7684">
        <w:rPr>
          <w:color w:val="auto"/>
          <w:sz w:val="26"/>
          <w:szCs w:val="26"/>
        </w:rPr>
        <w:t xml:space="preserve">) of </w:t>
      </w:r>
      <w:r w:rsidR="0070526C">
        <w:rPr>
          <w:color w:val="auto"/>
          <w:sz w:val="26"/>
          <w:szCs w:val="26"/>
        </w:rPr>
        <w:t xml:space="preserve">the Settlement provided </w:t>
      </w:r>
      <w:r w:rsidR="003F7684">
        <w:rPr>
          <w:color w:val="auto"/>
          <w:sz w:val="26"/>
          <w:szCs w:val="26"/>
        </w:rPr>
        <w:t xml:space="preserve">in part </w:t>
      </w:r>
      <w:r w:rsidR="0070526C">
        <w:rPr>
          <w:color w:val="auto"/>
          <w:sz w:val="26"/>
          <w:szCs w:val="26"/>
        </w:rPr>
        <w:t>that “</w:t>
      </w:r>
      <w:r w:rsidR="0070526C" w:rsidRPr="0070526C">
        <w:rPr>
          <w:color w:val="auto"/>
          <w:sz w:val="26"/>
          <w:szCs w:val="26"/>
        </w:rPr>
        <w:t>the reconciliation provisions of the USR are approved on a pilot basis for 2008 and 2009, including any under/over collections for 2009, which would be collected or refunded in 2010.</w:t>
      </w:r>
      <w:r w:rsidR="009B5450">
        <w:rPr>
          <w:color w:val="auto"/>
          <w:sz w:val="26"/>
          <w:szCs w:val="26"/>
        </w:rPr>
        <w:t xml:space="preserve">”  In addition, </w:t>
      </w:r>
      <w:r w:rsidR="003F7684">
        <w:rPr>
          <w:color w:val="auto"/>
          <w:sz w:val="26"/>
          <w:szCs w:val="26"/>
        </w:rPr>
        <w:t xml:space="preserve">Paragraph 25 (e) of </w:t>
      </w:r>
      <w:r w:rsidR="009B5450">
        <w:rPr>
          <w:color w:val="auto"/>
          <w:sz w:val="26"/>
          <w:szCs w:val="26"/>
        </w:rPr>
        <w:t>the Settlement c</w:t>
      </w:r>
      <w:r w:rsidR="003F7684">
        <w:rPr>
          <w:color w:val="auto"/>
          <w:sz w:val="26"/>
          <w:szCs w:val="26"/>
        </w:rPr>
        <w:t>ontained the following provision</w:t>
      </w:r>
      <w:r w:rsidR="009B5450">
        <w:rPr>
          <w:color w:val="auto"/>
          <w:sz w:val="26"/>
          <w:szCs w:val="26"/>
        </w:rPr>
        <w:t>:</w:t>
      </w:r>
    </w:p>
    <w:p w:rsidR="009B5450" w:rsidRDefault="009B5450" w:rsidP="001619A8">
      <w:pPr>
        <w:ind w:firstLine="1440"/>
        <w:rPr>
          <w:color w:val="auto"/>
          <w:sz w:val="26"/>
          <w:szCs w:val="26"/>
        </w:rPr>
      </w:pPr>
    </w:p>
    <w:p w:rsidR="00132D66" w:rsidRPr="00132D66" w:rsidRDefault="00132D66" w:rsidP="00132D66">
      <w:pPr>
        <w:ind w:left="1440" w:right="1440"/>
        <w:rPr>
          <w:color w:val="auto"/>
          <w:sz w:val="26"/>
          <w:szCs w:val="26"/>
        </w:rPr>
      </w:pPr>
      <w:r w:rsidRPr="00132D66">
        <w:rPr>
          <w:color w:val="auto"/>
          <w:sz w:val="26"/>
          <w:szCs w:val="26"/>
        </w:rPr>
        <w:t xml:space="preserve">No later than July 1, 2009, PPL Electric will convene a meeting or meetings, as appropriate, with interested parties, to discuss whether continued reconciliation of the USR is necessary or appropriate.  At the meetings, all parties may also raise USR issues, in addition to reconciliation, based on changes in law after the approval of this Settlement.  If a consensus can be reached among the interested parties, PPL Electric will follow that consensus for its 2010 USR filing.  If consensus cannot be reached, PPL Electric will file its preferred approach on or before October 1, 2009, and all parties will be provided an opportunity to support or oppose PPL Electric’s proposal.  The USR mechanism established by </w:t>
      </w:r>
      <w:r w:rsidRPr="00132D66">
        <w:rPr>
          <w:color w:val="auto"/>
          <w:sz w:val="26"/>
          <w:szCs w:val="26"/>
        </w:rPr>
        <w:lastRenderedPageBreak/>
        <w:t>this Settlement will remain in place until a new mechanism is approved by the Commission.</w:t>
      </w:r>
    </w:p>
    <w:p w:rsidR="009B5450" w:rsidRPr="00132D66" w:rsidRDefault="009B5450" w:rsidP="001619A8">
      <w:pPr>
        <w:ind w:firstLine="1440"/>
        <w:rPr>
          <w:color w:val="auto"/>
          <w:sz w:val="26"/>
          <w:szCs w:val="26"/>
        </w:rPr>
      </w:pPr>
    </w:p>
    <w:p w:rsidR="00335F4C" w:rsidRPr="005762B2" w:rsidRDefault="005762B2" w:rsidP="005762B2">
      <w:pPr>
        <w:spacing w:line="360" w:lineRule="auto"/>
        <w:ind w:firstLine="1440"/>
        <w:rPr>
          <w:color w:val="auto"/>
          <w:sz w:val="26"/>
          <w:szCs w:val="26"/>
        </w:rPr>
      </w:pPr>
      <w:r w:rsidRPr="005762B2">
        <w:rPr>
          <w:color w:val="auto"/>
          <w:sz w:val="26"/>
          <w:szCs w:val="26"/>
        </w:rPr>
        <w:t>PPL held a series of meetings in accordance with this Settlement provision, and no consensus was reached.</w:t>
      </w:r>
      <w:r w:rsidR="00BC4156">
        <w:rPr>
          <w:color w:val="auto"/>
          <w:sz w:val="26"/>
          <w:szCs w:val="26"/>
        </w:rPr>
        <w:t xml:space="preserve">  As a result, on September 28, 2009, PPL filed</w:t>
      </w:r>
      <w:r w:rsidR="00167788">
        <w:rPr>
          <w:color w:val="auto"/>
          <w:sz w:val="26"/>
          <w:szCs w:val="26"/>
        </w:rPr>
        <w:t xml:space="preserve"> its “preferred approach” with the Commission in the form of a letter </w:t>
      </w:r>
      <w:r w:rsidR="00BC4156">
        <w:rPr>
          <w:color w:val="auto"/>
          <w:sz w:val="26"/>
          <w:szCs w:val="26"/>
        </w:rPr>
        <w:t>stating that it intended to continue in effect its current reconciled USR mechanism.  PPL further opined in its letter that because it was proposing no change to its current USR mechanism, no tariff filing was necessary.</w:t>
      </w:r>
    </w:p>
    <w:p w:rsidR="005762B2" w:rsidRPr="005762B2" w:rsidRDefault="005762B2" w:rsidP="00335F4C">
      <w:pPr>
        <w:ind w:firstLine="720"/>
        <w:rPr>
          <w:color w:val="auto"/>
          <w:sz w:val="26"/>
          <w:szCs w:val="26"/>
        </w:rPr>
      </w:pPr>
    </w:p>
    <w:p w:rsidR="005762B2" w:rsidRDefault="00834484" w:rsidP="00AB574D">
      <w:pPr>
        <w:spacing w:line="360" w:lineRule="auto"/>
        <w:ind w:firstLine="720"/>
        <w:rPr>
          <w:color w:val="auto"/>
          <w:sz w:val="26"/>
          <w:szCs w:val="26"/>
        </w:rPr>
      </w:pPr>
      <w:r>
        <w:rPr>
          <w:color w:val="auto"/>
          <w:sz w:val="26"/>
          <w:szCs w:val="26"/>
        </w:rPr>
        <w:tab/>
        <w:t xml:space="preserve">On October 13, 2009, </w:t>
      </w:r>
      <w:r w:rsidR="008272FD">
        <w:rPr>
          <w:color w:val="auto"/>
          <w:sz w:val="26"/>
          <w:szCs w:val="26"/>
        </w:rPr>
        <w:t>Mr. Epstein and SEF</w:t>
      </w:r>
      <w:r w:rsidR="00307B46">
        <w:rPr>
          <w:color w:val="auto"/>
          <w:sz w:val="26"/>
          <w:szCs w:val="26"/>
        </w:rPr>
        <w:t xml:space="preserve"> </w:t>
      </w:r>
      <w:r w:rsidR="00E968D0">
        <w:rPr>
          <w:color w:val="auto"/>
          <w:sz w:val="26"/>
          <w:szCs w:val="26"/>
        </w:rPr>
        <w:t>both filed letter-complaints in which they contended that the 2007 Settlement required PPL to submit a tariff filing with regard to its USR, rather than simply filing a letter indicating that it would continue its current USR without change.</w:t>
      </w:r>
      <w:r w:rsidR="0084200F">
        <w:rPr>
          <w:color w:val="auto"/>
          <w:sz w:val="26"/>
          <w:szCs w:val="26"/>
        </w:rPr>
        <w:t xml:space="preserve">  SEF argued that PPL’s letter “attempts to deprive other parties of their due process rights, also in direct contravention of the 2007 base rate proceeding settlement, and </w:t>
      </w:r>
      <w:r w:rsidR="009D026D">
        <w:rPr>
          <w:color w:val="auto"/>
          <w:sz w:val="26"/>
          <w:szCs w:val="26"/>
        </w:rPr>
        <w:t>unilaterally</w:t>
      </w:r>
      <w:r w:rsidR="0084200F">
        <w:rPr>
          <w:color w:val="auto"/>
          <w:sz w:val="26"/>
          <w:szCs w:val="26"/>
        </w:rPr>
        <w:t xml:space="preserve"> substitutes PPL electric’s </w:t>
      </w:r>
      <w:r w:rsidR="009D026D">
        <w:rPr>
          <w:color w:val="auto"/>
          <w:sz w:val="26"/>
          <w:szCs w:val="26"/>
        </w:rPr>
        <w:t>judgment</w:t>
      </w:r>
      <w:r w:rsidR="0084200F">
        <w:rPr>
          <w:color w:val="auto"/>
          <w:sz w:val="26"/>
          <w:szCs w:val="26"/>
        </w:rPr>
        <w:t xml:space="preserve"> relative to the continuation of the existing USR mechanism for that of the Commission.”</w:t>
      </w:r>
    </w:p>
    <w:p w:rsidR="00E321FA" w:rsidRDefault="00E321FA" w:rsidP="001619A8">
      <w:pPr>
        <w:ind w:firstLine="720"/>
        <w:rPr>
          <w:color w:val="auto"/>
          <w:sz w:val="26"/>
          <w:szCs w:val="26"/>
        </w:rPr>
      </w:pPr>
    </w:p>
    <w:p w:rsidR="00A72B3C" w:rsidRDefault="00E321FA" w:rsidP="00A72B3C">
      <w:pPr>
        <w:spacing w:line="360" w:lineRule="auto"/>
        <w:ind w:firstLine="720"/>
        <w:rPr>
          <w:color w:val="auto"/>
          <w:sz w:val="26"/>
          <w:szCs w:val="26"/>
        </w:rPr>
      </w:pPr>
      <w:r>
        <w:rPr>
          <w:color w:val="auto"/>
          <w:sz w:val="26"/>
          <w:szCs w:val="26"/>
        </w:rPr>
        <w:tab/>
        <w:t>The letter-com</w:t>
      </w:r>
      <w:r w:rsidR="00B940E0">
        <w:rPr>
          <w:color w:val="auto"/>
          <w:sz w:val="26"/>
          <w:szCs w:val="26"/>
        </w:rPr>
        <w:t>plaints were assigned to ALJ Colwell, who directed PPL to submit responses.</w:t>
      </w:r>
      <w:r w:rsidR="00FD05C9">
        <w:rPr>
          <w:color w:val="auto"/>
          <w:sz w:val="26"/>
          <w:szCs w:val="26"/>
        </w:rPr>
        <w:t xml:space="preserve">  Accordingly, on November 9</w:t>
      </w:r>
      <w:r w:rsidR="00834484">
        <w:rPr>
          <w:color w:val="auto"/>
          <w:sz w:val="26"/>
          <w:szCs w:val="26"/>
        </w:rPr>
        <w:t xml:space="preserve">, 2009, </w:t>
      </w:r>
      <w:r w:rsidR="00FD05C9">
        <w:rPr>
          <w:color w:val="auto"/>
          <w:sz w:val="26"/>
          <w:szCs w:val="26"/>
        </w:rPr>
        <w:t xml:space="preserve">the Company filed an Answer and a Motion for Judgment on the Pleadings with respect to each letter-complaint.  On December 7, 2009, </w:t>
      </w:r>
      <w:r w:rsidR="00C44048">
        <w:rPr>
          <w:color w:val="auto"/>
          <w:sz w:val="26"/>
          <w:szCs w:val="26"/>
        </w:rPr>
        <w:t xml:space="preserve">ALJ </w:t>
      </w:r>
      <w:r w:rsidR="00A72B3C">
        <w:rPr>
          <w:color w:val="auto"/>
          <w:sz w:val="26"/>
          <w:szCs w:val="26"/>
        </w:rPr>
        <w:t xml:space="preserve">Colwell </w:t>
      </w:r>
      <w:r w:rsidR="00C44048">
        <w:rPr>
          <w:color w:val="auto"/>
          <w:sz w:val="26"/>
          <w:szCs w:val="26"/>
        </w:rPr>
        <w:t xml:space="preserve">issued an Order </w:t>
      </w:r>
      <w:r w:rsidR="00BB5C9D">
        <w:rPr>
          <w:color w:val="auto"/>
          <w:sz w:val="26"/>
          <w:szCs w:val="26"/>
        </w:rPr>
        <w:t xml:space="preserve">in which she ruled that PPL’s September 28, 2009 letter “is insufficient to satisfy the requirement of the approved </w:t>
      </w:r>
      <w:r w:rsidR="008F66C9">
        <w:rPr>
          <w:color w:val="auto"/>
          <w:sz w:val="26"/>
          <w:szCs w:val="26"/>
        </w:rPr>
        <w:t xml:space="preserve">[Settlement] </w:t>
      </w:r>
      <w:r w:rsidR="00BB5C9D">
        <w:rPr>
          <w:color w:val="auto"/>
          <w:sz w:val="26"/>
          <w:szCs w:val="26"/>
        </w:rPr>
        <w:t>l</w:t>
      </w:r>
      <w:r w:rsidR="00A72B3C">
        <w:rPr>
          <w:color w:val="auto"/>
          <w:sz w:val="26"/>
          <w:szCs w:val="26"/>
        </w:rPr>
        <w:t>anguage, and the Company will be directed to file a proposed tariff.”</w:t>
      </w:r>
      <w:r w:rsidR="00B13BAC" w:rsidRPr="00B13BAC">
        <w:rPr>
          <w:rStyle w:val="FootnoteReference"/>
          <w:color w:val="auto"/>
          <w:sz w:val="26"/>
          <w:szCs w:val="26"/>
        </w:rPr>
        <w:t xml:space="preserve"> </w:t>
      </w:r>
      <w:r w:rsidR="00B13BAC">
        <w:rPr>
          <w:rStyle w:val="FootnoteReference"/>
          <w:color w:val="auto"/>
          <w:sz w:val="26"/>
          <w:szCs w:val="26"/>
        </w:rPr>
        <w:footnoteReference w:id="4"/>
      </w:r>
      <w:r w:rsidR="00CC2C70">
        <w:rPr>
          <w:color w:val="auto"/>
          <w:sz w:val="26"/>
          <w:szCs w:val="26"/>
        </w:rPr>
        <w:t xml:space="preserve">  T</w:t>
      </w:r>
      <w:r w:rsidR="00A72B3C">
        <w:rPr>
          <w:color w:val="auto"/>
          <w:sz w:val="26"/>
          <w:szCs w:val="26"/>
        </w:rPr>
        <w:t>he ALJ directed that “</w:t>
      </w:r>
      <w:r w:rsidR="00A72B3C" w:rsidRPr="00A72B3C">
        <w:rPr>
          <w:color w:val="auto"/>
          <w:sz w:val="26"/>
          <w:szCs w:val="26"/>
        </w:rPr>
        <w:t xml:space="preserve">within twenty days of the date of this Order PPL Electric Utilities Corporation shall file a proposed tariff containing the continuation of the reconcilable </w:t>
      </w:r>
      <w:r w:rsidR="00A72B3C" w:rsidRPr="00A72B3C">
        <w:rPr>
          <w:color w:val="auto"/>
          <w:sz w:val="26"/>
          <w:szCs w:val="26"/>
        </w:rPr>
        <w:lastRenderedPageBreak/>
        <w:t>Universal Service Rate consistent with Paragraph 25 (e) of the Joint Petition for Settlement approved in this docket, served upon all parties of record to this docket, in order to afford all parties an opportunity to support or oppose the PPL Electric Utilities Corporation proposal.</w:t>
      </w:r>
      <w:r w:rsidR="00A72B3C">
        <w:rPr>
          <w:color w:val="auto"/>
          <w:sz w:val="26"/>
          <w:szCs w:val="26"/>
        </w:rPr>
        <w:t>”</w:t>
      </w:r>
      <w:r w:rsidR="00A72B3C" w:rsidRPr="00A72B3C">
        <w:rPr>
          <w:color w:val="auto"/>
          <w:sz w:val="26"/>
          <w:szCs w:val="26"/>
        </w:rPr>
        <w:t xml:space="preserve">  </w:t>
      </w:r>
      <w:r w:rsidR="00CC2C70">
        <w:rPr>
          <w:color w:val="auto"/>
          <w:sz w:val="26"/>
          <w:szCs w:val="26"/>
        </w:rPr>
        <w:t xml:space="preserve">In response to ALJ Colwell’s Order, PPL filed its Supplement No. 80.  </w:t>
      </w:r>
    </w:p>
    <w:p w:rsidR="002C73F0" w:rsidRDefault="002C73F0" w:rsidP="001619A8">
      <w:pPr>
        <w:ind w:firstLine="720"/>
        <w:rPr>
          <w:color w:val="auto"/>
          <w:sz w:val="26"/>
          <w:szCs w:val="26"/>
        </w:rPr>
      </w:pPr>
    </w:p>
    <w:p w:rsidR="002C73F0" w:rsidRPr="002C73F0" w:rsidRDefault="002C73F0" w:rsidP="002C73F0">
      <w:pPr>
        <w:spacing w:line="360" w:lineRule="auto"/>
        <w:rPr>
          <w:b/>
          <w:color w:val="auto"/>
          <w:sz w:val="26"/>
          <w:szCs w:val="26"/>
          <w:u w:val="single"/>
        </w:rPr>
      </w:pPr>
      <w:r w:rsidRPr="002C73F0">
        <w:rPr>
          <w:b/>
          <w:color w:val="auto"/>
          <w:sz w:val="26"/>
          <w:szCs w:val="26"/>
          <w:u w:val="single"/>
        </w:rPr>
        <w:t>PPL’s Supplement No. 80</w:t>
      </w:r>
    </w:p>
    <w:p w:rsidR="00E321FA" w:rsidRDefault="00E321FA" w:rsidP="001619A8">
      <w:pPr>
        <w:ind w:firstLine="720"/>
        <w:rPr>
          <w:color w:val="auto"/>
          <w:sz w:val="26"/>
          <w:szCs w:val="26"/>
        </w:rPr>
      </w:pPr>
    </w:p>
    <w:p w:rsidR="000F4FFA" w:rsidRDefault="000F4FFA" w:rsidP="00AB574D">
      <w:pPr>
        <w:spacing w:line="360" w:lineRule="auto"/>
        <w:ind w:firstLine="720"/>
        <w:rPr>
          <w:color w:val="auto"/>
          <w:sz w:val="26"/>
          <w:szCs w:val="26"/>
        </w:rPr>
      </w:pPr>
      <w:r>
        <w:rPr>
          <w:color w:val="auto"/>
          <w:sz w:val="26"/>
          <w:szCs w:val="26"/>
        </w:rPr>
        <w:tab/>
        <w:t>Supplement No. 80 contains a single change from the Company’s currently existing USR, namely, the addition of the following sentence:  “Annual reconciliation of the Company’s USR will continue unless or until modified by the Commission.”</w:t>
      </w:r>
      <w:r w:rsidR="00211CC8">
        <w:rPr>
          <w:color w:val="auto"/>
          <w:sz w:val="26"/>
          <w:szCs w:val="26"/>
        </w:rPr>
        <w:t xml:space="preserve">  In all other respects the USR remains unchanged.  </w:t>
      </w:r>
      <w:r w:rsidR="004065C0">
        <w:rPr>
          <w:color w:val="auto"/>
          <w:sz w:val="26"/>
          <w:szCs w:val="26"/>
        </w:rPr>
        <w:t xml:space="preserve">In its Statement of Reasons accompanying its filing of Supplement No. 80, </w:t>
      </w:r>
      <w:r w:rsidR="00211CC8">
        <w:rPr>
          <w:color w:val="auto"/>
          <w:sz w:val="26"/>
          <w:szCs w:val="26"/>
        </w:rPr>
        <w:t>PPL contends that the addition of this sentence is actually unnecessary because the currently effective reconcilable USR mechanism contains no te</w:t>
      </w:r>
      <w:r w:rsidR="006958DB">
        <w:rPr>
          <w:color w:val="auto"/>
          <w:sz w:val="26"/>
          <w:szCs w:val="26"/>
        </w:rPr>
        <w:t>rmination date, and because under the terms of the 2007 Settlement, the current USR mechanism remains in effect until any new mechanism is approved by the Commission.  However, the Company asserts that the sentence has been added in order to focus the purpose of the filing</w:t>
      </w:r>
      <w:r w:rsidR="001A1E79">
        <w:rPr>
          <w:color w:val="auto"/>
          <w:sz w:val="26"/>
          <w:szCs w:val="26"/>
        </w:rPr>
        <w:t xml:space="preserve"> on the matter of reconciliation.</w:t>
      </w:r>
    </w:p>
    <w:p w:rsidR="008954F1" w:rsidRDefault="008954F1" w:rsidP="001619A8">
      <w:pPr>
        <w:ind w:firstLine="720"/>
        <w:rPr>
          <w:color w:val="auto"/>
          <w:sz w:val="26"/>
          <w:szCs w:val="26"/>
        </w:rPr>
      </w:pPr>
    </w:p>
    <w:p w:rsidR="00066337" w:rsidRDefault="008954F1" w:rsidP="00AB574D">
      <w:pPr>
        <w:spacing w:line="360" w:lineRule="auto"/>
        <w:ind w:firstLine="720"/>
        <w:rPr>
          <w:color w:val="auto"/>
          <w:sz w:val="26"/>
          <w:szCs w:val="26"/>
        </w:rPr>
      </w:pPr>
      <w:r>
        <w:rPr>
          <w:color w:val="auto"/>
          <w:sz w:val="26"/>
          <w:szCs w:val="26"/>
        </w:rPr>
        <w:tab/>
        <w:t>In</w:t>
      </w:r>
      <w:r w:rsidR="00C75D27">
        <w:rPr>
          <w:color w:val="auto"/>
          <w:sz w:val="26"/>
          <w:szCs w:val="26"/>
        </w:rPr>
        <w:t xml:space="preserve"> it</w:t>
      </w:r>
      <w:r w:rsidR="009B750B">
        <w:rPr>
          <w:color w:val="auto"/>
          <w:sz w:val="26"/>
          <w:szCs w:val="26"/>
        </w:rPr>
        <w:t>s</w:t>
      </w:r>
      <w:r w:rsidR="00C75D27">
        <w:rPr>
          <w:color w:val="auto"/>
          <w:sz w:val="26"/>
          <w:szCs w:val="26"/>
        </w:rPr>
        <w:t xml:space="preserve"> Statement of Reasons</w:t>
      </w:r>
      <w:r w:rsidR="009B750B">
        <w:rPr>
          <w:color w:val="auto"/>
          <w:sz w:val="26"/>
          <w:szCs w:val="26"/>
        </w:rPr>
        <w:t>, PPL</w:t>
      </w:r>
      <w:r>
        <w:rPr>
          <w:color w:val="auto"/>
          <w:sz w:val="26"/>
          <w:szCs w:val="26"/>
        </w:rPr>
        <w:t xml:space="preserve"> support</w:t>
      </w:r>
      <w:r w:rsidR="009B750B">
        <w:rPr>
          <w:color w:val="auto"/>
          <w:sz w:val="26"/>
          <w:szCs w:val="26"/>
        </w:rPr>
        <w:t>s</w:t>
      </w:r>
      <w:r>
        <w:rPr>
          <w:color w:val="auto"/>
          <w:sz w:val="26"/>
          <w:szCs w:val="26"/>
        </w:rPr>
        <w:t xml:space="preserve"> its proposal to continue the reconciliation of its</w:t>
      </w:r>
      <w:r w:rsidR="009B750B">
        <w:rPr>
          <w:color w:val="auto"/>
          <w:sz w:val="26"/>
          <w:szCs w:val="26"/>
        </w:rPr>
        <w:t xml:space="preserve"> current USR without change by asserting</w:t>
      </w:r>
      <w:r w:rsidR="00943CC2">
        <w:rPr>
          <w:color w:val="auto"/>
          <w:sz w:val="26"/>
          <w:szCs w:val="26"/>
        </w:rPr>
        <w:t xml:space="preserve"> that </w:t>
      </w:r>
      <w:r w:rsidR="00066337">
        <w:rPr>
          <w:color w:val="auto"/>
          <w:sz w:val="26"/>
          <w:szCs w:val="26"/>
        </w:rPr>
        <w:t>it is permitted by law to maintain a cost recovery mechanism designed to fully recover it</w:t>
      </w:r>
      <w:r w:rsidR="00C75D27">
        <w:rPr>
          <w:color w:val="auto"/>
          <w:sz w:val="26"/>
          <w:szCs w:val="26"/>
        </w:rPr>
        <w:t>s</w:t>
      </w:r>
      <w:r w:rsidR="00066337">
        <w:rPr>
          <w:color w:val="auto"/>
          <w:sz w:val="26"/>
          <w:szCs w:val="26"/>
        </w:rPr>
        <w:t xml:space="preserve"> universal service costs</w:t>
      </w:r>
      <w:r w:rsidR="009B750B">
        <w:rPr>
          <w:color w:val="auto"/>
          <w:sz w:val="26"/>
          <w:szCs w:val="26"/>
        </w:rPr>
        <w:t>.</w:t>
      </w:r>
      <w:r w:rsidR="00433BE9">
        <w:rPr>
          <w:rStyle w:val="FootnoteReference"/>
          <w:color w:val="auto"/>
          <w:sz w:val="26"/>
          <w:szCs w:val="26"/>
        </w:rPr>
        <w:footnoteReference w:id="5"/>
      </w:r>
      <w:r w:rsidR="009B750B">
        <w:rPr>
          <w:color w:val="auto"/>
          <w:sz w:val="26"/>
          <w:szCs w:val="26"/>
        </w:rPr>
        <w:t xml:space="preserve">  PPL further argues </w:t>
      </w:r>
      <w:r w:rsidR="00066337">
        <w:rPr>
          <w:color w:val="auto"/>
          <w:sz w:val="26"/>
          <w:szCs w:val="26"/>
        </w:rPr>
        <w:t>that this Commission has concluded that utilities may employ reconcilable surcharge mechanisms for such cost recovery.</w:t>
      </w:r>
      <w:r w:rsidR="009E6DD0">
        <w:rPr>
          <w:rStyle w:val="FootnoteReference"/>
          <w:color w:val="auto"/>
          <w:sz w:val="26"/>
          <w:szCs w:val="26"/>
        </w:rPr>
        <w:footnoteReference w:id="6"/>
      </w:r>
      <w:r w:rsidR="00C75D27">
        <w:rPr>
          <w:color w:val="auto"/>
          <w:sz w:val="26"/>
          <w:szCs w:val="26"/>
        </w:rPr>
        <w:t xml:space="preserve">  In this regard PPL cites a number of recent decision</w:t>
      </w:r>
      <w:r w:rsidR="008C7122">
        <w:rPr>
          <w:color w:val="auto"/>
          <w:sz w:val="26"/>
          <w:szCs w:val="26"/>
        </w:rPr>
        <w:t>s</w:t>
      </w:r>
      <w:r w:rsidR="00C75D27">
        <w:rPr>
          <w:color w:val="auto"/>
          <w:sz w:val="26"/>
          <w:szCs w:val="26"/>
        </w:rPr>
        <w:t xml:space="preserve"> in which this Commission has approved recovery of universal service costs throu</w:t>
      </w:r>
      <w:r w:rsidR="0077741B">
        <w:rPr>
          <w:color w:val="auto"/>
          <w:sz w:val="26"/>
          <w:szCs w:val="26"/>
        </w:rPr>
        <w:t>gh reconcilable surcharges for other</w:t>
      </w:r>
      <w:r w:rsidR="00C75D27">
        <w:rPr>
          <w:color w:val="auto"/>
          <w:sz w:val="26"/>
          <w:szCs w:val="26"/>
        </w:rPr>
        <w:t xml:space="preserve"> utilities.</w:t>
      </w:r>
    </w:p>
    <w:p w:rsidR="005762B2" w:rsidRPr="005762B2" w:rsidRDefault="005762B2" w:rsidP="00335F4C">
      <w:pPr>
        <w:ind w:firstLine="720"/>
        <w:rPr>
          <w:color w:val="auto"/>
          <w:sz w:val="26"/>
          <w:szCs w:val="26"/>
        </w:rPr>
      </w:pPr>
    </w:p>
    <w:p w:rsidR="005762B2" w:rsidRDefault="005762B2" w:rsidP="001619A8">
      <w:pPr>
        <w:ind w:firstLine="720"/>
        <w:rPr>
          <w:color w:val="auto"/>
          <w:sz w:val="26"/>
          <w:szCs w:val="26"/>
        </w:rPr>
      </w:pPr>
    </w:p>
    <w:p w:rsidR="000D6F51" w:rsidRPr="005762B2" w:rsidRDefault="000D6F51" w:rsidP="001619A8">
      <w:pPr>
        <w:ind w:firstLine="720"/>
        <w:rPr>
          <w:color w:val="auto"/>
          <w:sz w:val="26"/>
          <w:szCs w:val="26"/>
        </w:rPr>
      </w:pPr>
    </w:p>
    <w:p w:rsidR="00BA7B8E" w:rsidRPr="00A3720B" w:rsidRDefault="00A3720B" w:rsidP="00BA7B8E">
      <w:pPr>
        <w:rPr>
          <w:b/>
          <w:color w:val="auto"/>
          <w:sz w:val="26"/>
          <w:szCs w:val="26"/>
          <w:u w:val="single"/>
        </w:rPr>
      </w:pPr>
      <w:r w:rsidRPr="00A3720B">
        <w:rPr>
          <w:b/>
          <w:color w:val="auto"/>
          <w:sz w:val="26"/>
          <w:szCs w:val="26"/>
          <w:u w:val="single"/>
        </w:rPr>
        <w:t>Petitions to Intervene</w:t>
      </w:r>
    </w:p>
    <w:p w:rsidR="00A3720B" w:rsidRPr="00A3720B" w:rsidRDefault="00A3720B" w:rsidP="00BA7B8E">
      <w:pPr>
        <w:rPr>
          <w:b/>
          <w:color w:val="auto"/>
          <w:sz w:val="26"/>
          <w:szCs w:val="26"/>
          <w:u w:val="single"/>
        </w:rPr>
      </w:pPr>
    </w:p>
    <w:p w:rsidR="000D3891" w:rsidRDefault="00A3720B" w:rsidP="00FF6D1A">
      <w:pPr>
        <w:spacing w:line="360" w:lineRule="auto"/>
        <w:rPr>
          <w:color w:val="auto"/>
          <w:sz w:val="26"/>
          <w:szCs w:val="26"/>
        </w:rPr>
      </w:pPr>
      <w:r w:rsidRPr="00A3720B">
        <w:rPr>
          <w:color w:val="auto"/>
          <w:sz w:val="26"/>
          <w:szCs w:val="26"/>
        </w:rPr>
        <w:tab/>
      </w:r>
      <w:r w:rsidRPr="00A3720B">
        <w:rPr>
          <w:color w:val="auto"/>
          <w:sz w:val="26"/>
          <w:szCs w:val="26"/>
        </w:rPr>
        <w:tab/>
        <w:t>As noted ea</w:t>
      </w:r>
      <w:r w:rsidR="00D13E6D">
        <w:rPr>
          <w:color w:val="auto"/>
          <w:sz w:val="26"/>
          <w:szCs w:val="26"/>
        </w:rPr>
        <w:t xml:space="preserve">rlier, Mr. Epstein and SEF </w:t>
      </w:r>
      <w:r w:rsidRPr="00A3720B">
        <w:rPr>
          <w:color w:val="auto"/>
          <w:sz w:val="26"/>
          <w:szCs w:val="26"/>
        </w:rPr>
        <w:t xml:space="preserve">both filed </w:t>
      </w:r>
      <w:r w:rsidR="00F614A8">
        <w:rPr>
          <w:color w:val="auto"/>
          <w:sz w:val="26"/>
          <w:szCs w:val="26"/>
        </w:rPr>
        <w:t>Petitions to Intervene</w:t>
      </w:r>
      <w:r w:rsidR="00B30425">
        <w:rPr>
          <w:color w:val="auto"/>
          <w:sz w:val="26"/>
          <w:szCs w:val="26"/>
        </w:rPr>
        <w:t xml:space="preserve"> in this proceeding, raising a number of issues and arguments in oppositi</w:t>
      </w:r>
      <w:r w:rsidR="000D3891">
        <w:rPr>
          <w:color w:val="auto"/>
          <w:sz w:val="26"/>
          <w:szCs w:val="26"/>
        </w:rPr>
        <w:t>on to PPL’s Supplement No. 80.</w:t>
      </w:r>
    </w:p>
    <w:p w:rsidR="000D3891" w:rsidRDefault="000D3891" w:rsidP="000D3891">
      <w:pPr>
        <w:rPr>
          <w:color w:val="auto"/>
          <w:sz w:val="26"/>
          <w:szCs w:val="26"/>
        </w:rPr>
      </w:pPr>
    </w:p>
    <w:p w:rsidR="00641594" w:rsidRDefault="000D3891" w:rsidP="00FF6D1A">
      <w:pPr>
        <w:spacing w:line="360" w:lineRule="auto"/>
        <w:rPr>
          <w:color w:val="auto"/>
          <w:sz w:val="26"/>
          <w:szCs w:val="26"/>
        </w:rPr>
      </w:pPr>
      <w:r>
        <w:rPr>
          <w:color w:val="auto"/>
          <w:sz w:val="26"/>
          <w:szCs w:val="26"/>
        </w:rPr>
        <w:tab/>
      </w:r>
      <w:r>
        <w:rPr>
          <w:color w:val="auto"/>
          <w:sz w:val="26"/>
          <w:szCs w:val="26"/>
        </w:rPr>
        <w:tab/>
      </w:r>
      <w:r w:rsidR="009E3A08" w:rsidRPr="00D81D13">
        <w:rPr>
          <w:color w:val="auto"/>
          <w:sz w:val="26"/>
          <w:szCs w:val="26"/>
        </w:rPr>
        <w:t>Mr. Epstein is a residential customer of PPL, and has participated as a</w:t>
      </w:r>
      <w:r w:rsidR="00FF6D1A" w:rsidRPr="00D81D13">
        <w:rPr>
          <w:color w:val="auto"/>
          <w:sz w:val="26"/>
          <w:szCs w:val="26"/>
        </w:rPr>
        <w:t>n active</w:t>
      </w:r>
      <w:r w:rsidR="009E3A08" w:rsidRPr="00D81D13">
        <w:rPr>
          <w:color w:val="auto"/>
          <w:sz w:val="26"/>
          <w:szCs w:val="26"/>
        </w:rPr>
        <w:t xml:space="preserve"> party in numerous PPL proceedings, including th</w:t>
      </w:r>
      <w:r w:rsidR="00FF6D1A" w:rsidRPr="00D81D13">
        <w:rPr>
          <w:color w:val="auto"/>
          <w:sz w:val="26"/>
          <w:szCs w:val="26"/>
        </w:rPr>
        <w:t xml:space="preserve">e Company’s </w:t>
      </w:r>
      <w:r w:rsidR="009E3A08" w:rsidRPr="00D81D13">
        <w:rPr>
          <w:color w:val="auto"/>
          <w:sz w:val="26"/>
          <w:szCs w:val="26"/>
        </w:rPr>
        <w:t xml:space="preserve">2007 base rate proceeding, </w:t>
      </w:r>
      <w:r w:rsidR="00FF6D1A" w:rsidRPr="00D81D13">
        <w:rPr>
          <w:color w:val="auto"/>
          <w:sz w:val="26"/>
          <w:szCs w:val="26"/>
        </w:rPr>
        <w:t>in which he was a party to the Settlement of that proceeding</w:t>
      </w:r>
      <w:r w:rsidR="00FF6D1A" w:rsidRPr="008C2C8A">
        <w:rPr>
          <w:color w:val="auto"/>
          <w:sz w:val="26"/>
          <w:szCs w:val="26"/>
        </w:rPr>
        <w:t xml:space="preserve">.  </w:t>
      </w:r>
      <w:r w:rsidR="009E3A08" w:rsidRPr="008C2C8A">
        <w:rPr>
          <w:color w:val="auto"/>
          <w:sz w:val="26"/>
          <w:szCs w:val="26"/>
        </w:rPr>
        <w:t xml:space="preserve">In his </w:t>
      </w:r>
      <w:r w:rsidR="00C32A94">
        <w:rPr>
          <w:color w:val="auto"/>
          <w:sz w:val="26"/>
          <w:szCs w:val="26"/>
        </w:rPr>
        <w:t>Petition to Intervene</w:t>
      </w:r>
      <w:r w:rsidR="008C2C8A">
        <w:rPr>
          <w:color w:val="auto"/>
          <w:sz w:val="26"/>
          <w:szCs w:val="26"/>
        </w:rPr>
        <w:t>, Mr. Epstein asserts that his evaluation of PPL’s USR reveals the following issues:</w:t>
      </w:r>
    </w:p>
    <w:p w:rsidR="008C2C8A" w:rsidRDefault="00183F1C" w:rsidP="000D49D6">
      <w:pPr>
        <w:pStyle w:val="ListParagraph"/>
        <w:numPr>
          <w:ilvl w:val="0"/>
          <w:numId w:val="13"/>
        </w:numPr>
        <w:ind w:left="1440" w:right="720"/>
        <w:rPr>
          <w:color w:val="auto"/>
          <w:sz w:val="26"/>
          <w:szCs w:val="26"/>
        </w:rPr>
      </w:pPr>
      <w:r w:rsidRPr="008E73D7">
        <w:rPr>
          <w:color w:val="auto"/>
          <w:sz w:val="26"/>
          <w:szCs w:val="26"/>
        </w:rPr>
        <w:t>PPL’s metrics for evaluating the efficacy of CAP and On Track are ineffective and arbitrary.</w:t>
      </w:r>
    </w:p>
    <w:p w:rsidR="008E73D7" w:rsidRPr="008E73D7" w:rsidRDefault="008E73D7" w:rsidP="000D49D6">
      <w:pPr>
        <w:pStyle w:val="ListParagraph"/>
        <w:ind w:right="720"/>
        <w:rPr>
          <w:color w:val="auto"/>
          <w:sz w:val="26"/>
          <w:szCs w:val="26"/>
        </w:rPr>
      </w:pPr>
    </w:p>
    <w:p w:rsidR="00B73867" w:rsidRDefault="00B73867" w:rsidP="000D49D6">
      <w:pPr>
        <w:pStyle w:val="ListParagraph"/>
        <w:numPr>
          <w:ilvl w:val="0"/>
          <w:numId w:val="13"/>
        </w:numPr>
        <w:ind w:left="1440" w:right="720"/>
        <w:rPr>
          <w:color w:val="auto"/>
          <w:sz w:val="26"/>
          <w:szCs w:val="26"/>
        </w:rPr>
      </w:pPr>
      <w:r w:rsidRPr="008E73D7">
        <w:rPr>
          <w:color w:val="auto"/>
          <w:sz w:val="26"/>
          <w:szCs w:val="26"/>
        </w:rPr>
        <w:t>PPL’s Key Performance Indicators for customer service, customer satisfaction, and service reliability are ineffective and arbitrary.</w:t>
      </w:r>
    </w:p>
    <w:p w:rsidR="008E73D7" w:rsidRPr="008E73D7" w:rsidRDefault="008E73D7" w:rsidP="000D49D6">
      <w:pPr>
        <w:pStyle w:val="ListParagraph"/>
        <w:ind w:left="1440" w:right="720"/>
        <w:rPr>
          <w:color w:val="auto"/>
          <w:sz w:val="26"/>
          <w:szCs w:val="26"/>
        </w:rPr>
      </w:pPr>
    </w:p>
    <w:p w:rsidR="00B73867" w:rsidRDefault="00B73867" w:rsidP="000D49D6">
      <w:pPr>
        <w:pStyle w:val="ListParagraph"/>
        <w:numPr>
          <w:ilvl w:val="0"/>
          <w:numId w:val="13"/>
        </w:numPr>
        <w:ind w:left="1440" w:right="720"/>
        <w:rPr>
          <w:color w:val="auto"/>
          <w:sz w:val="26"/>
          <w:szCs w:val="26"/>
        </w:rPr>
      </w:pPr>
      <w:r w:rsidRPr="008E73D7">
        <w:rPr>
          <w:color w:val="auto"/>
          <w:sz w:val="26"/>
          <w:szCs w:val="26"/>
        </w:rPr>
        <w:t>PPL’s administrative costs are excessive.</w:t>
      </w:r>
    </w:p>
    <w:p w:rsidR="008E73D7" w:rsidRPr="008E73D7" w:rsidRDefault="008E73D7" w:rsidP="000D49D6">
      <w:pPr>
        <w:pStyle w:val="ListParagraph"/>
        <w:ind w:left="1440" w:right="720"/>
        <w:rPr>
          <w:color w:val="auto"/>
          <w:sz w:val="26"/>
          <w:szCs w:val="26"/>
        </w:rPr>
      </w:pPr>
    </w:p>
    <w:p w:rsidR="00B73867" w:rsidRDefault="00B73867" w:rsidP="000D49D6">
      <w:pPr>
        <w:pStyle w:val="ListParagraph"/>
        <w:numPr>
          <w:ilvl w:val="0"/>
          <w:numId w:val="13"/>
        </w:numPr>
        <w:ind w:left="1440" w:right="720"/>
        <w:rPr>
          <w:color w:val="auto"/>
          <w:sz w:val="26"/>
          <w:szCs w:val="26"/>
        </w:rPr>
      </w:pPr>
      <w:r w:rsidRPr="008E73D7">
        <w:rPr>
          <w:color w:val="auto"/>
          <w:sz w:val="26"/>
          <w:szCs w:val="26"/>
        </w:rPr>
        <w:t>PPL has stated that some of the expenditures under the Work by Outsiders category are being performed by organizations associated with PPL Corporation.  PPL also stated its affiliates are providing administrative services.  In both instances, “double dipping” and excessive costs need to be evaluated.</w:t>
      </w:r>
    </w:p>
    <w:p w:rsidR="008E73D7" w:rsidRPr="008E73D7" w:rsidRDefault="008E73D7" w:rsidP="000D49D6">
      <w:pPr>
        <w:pStyle w:val="ListParagraph"/>
        <w:ind w:left="1440" w:right="720"/>
        <w:rPr>
          <w:color w:val="auto"/>
          <w:sz w:val="26"/>
          <w:szCs w:val="26"/>
        </w:rPr>
      </w:pPr>
    </w:p>
    <w:p w:rsidR="00B73867" w:rsidRDefault="00B73867" w:rsidP="000D49D6">
      <w:pPr>
        <w:pStyle w:val="ListParagraph"/>
        <w:numPr>
          <w:ilvl w:val="0"/>
          <w:numId w:val="13"/>
        </w:numPr>
        <w:ind w:left="1440" w:right="720"/>
        <w:rPr>
          <w:color w:val="auto"/>
          <w:sz w:val="26"/>
          <w:szCs w:val="26"/>
        </w:rPr>
      </w:pPr>
      <w:r w:rsidRPr="008E73D7">
        <w:rPr>
          <w:color w:val="auto"/>
          <w:sz w:val="26"/>
          <w:szCs w:val="26"/>
        </w:rPr>
        <w:t>Shutoffs of electric service to PPL customers are excessive, arbitrary, and have resulted in systemic challenges to public health including several fatalities.</w:t>
      </w:r>
    </w:p>
    <w:p w:rsidR="008E73D7" w:rsidRPr="008E73D7" w:rsidRDefault="008E73D7" w:rsidP="000D49D6">
      <w:pPr>
        <w:pStyle w:val="ListParagraph"/>
        <w:ind w:left="1440" w:right="720"/>
        <w:rPr>
          <w:color w:val="auto"/>
          <w:sz w:val="26"/>
          <w:szCs w:val="26"/>
        </w:rPr>
      </w:pPr>
    </w:p>
    <w:p w:rsidR="00B73867" w:rsidRPr="008E73D7" w:rsidRDefault="00B73867" w:rsidP="000D49D6">
      <w:pPr>
        <w:pStyle w:val="ListParagraph"/>
        <w:numPr>
          <w:ilvl w:val="0"/>
          <w:numId w:val="13"/>
        </w:numPr>
        <w:ind w:left="1440" w:right="720"/>
        <w:rPr>
          <w:color w:val="auto"/>
          <w:sz w:val="26"/>
          <w:szCs w:val="26"/>
        </w:rPr>
      </w:pPr>
      <w:r w:rsidRPr="008E73D7">
        <w:rPr>
          <w:color w:val="auto"/>
          <w:sz w:val="26"/>
          <w:szCs w:val="26"/>
        </w:rPr>
        <w:t xml:space="preserve">Data projections for this USR filing are based on outdated </w:t>
      </w:r>
      <w:r w:rsidR="00536001" w:rsidRPr="008E73D7">
        <w:rPr>
          <w:color w:val="auto"/>
          <w:sz w:val="26"/>
          <w:szCs w:val="26"/>
        </w:rPr>
        <w:t>census</w:t>
      </w:r>
      <w:r w:rsidRPr="008E73D7">
        <w:rPr>
          <w:color w:val="auto"/>
          <w:sz w:val="26"/>
          <w:szCs w:val="26"/>
        </w:rPr>
        <w:t xml:space="preserve"> material from 2000.  PPL needs to </w:t>
      </w:r>
      <w:r w:rsidR="00536001" w:rsidRPr="008E73D7">
        <w:rPr>
          <w:color w:val="auto"/>
          <w:sz w:val="26"/>
          <w:szCs w:val="26"/>
        </w:rPr>
        <w:t>recompute</w:t>
      </w:r>
      <w:r w:rsidRPr="008E73D7">
        <w:rPr>
          <w:color w:val="auto"/>
          <w:sz w:val="26"/>
          <w:szCs w:val="26"/>
        </w:rPr>
        <w:t xml:space="preserve"> its assumptions based on 2008 data points.</w:t>
      </w:r>
    </w:p>
    <w:p w:rsidR="00B73867" w:rsidRDefault="00B73867" w:rsidP="001619A8">
      <w:pPr>
        <w:rPr>
          <w:color w:val="auto"/>
          <w:sz w:val="26"/>
          <w:szCs w:val="26"/>
        </w:rPr>
      </w:pPr>
    </w:p>
    <w:p w:rsidR="00847F0A" w:rsidRDefault="00526202" w:rsidP="00FF6D1A">
      <w:pPr>
        <w:spacing w:line="360" w:lineRule="auto"/>
        <w:rPr>
          <w:color w:val="auto"/>
          <w:sz w:val="26"/>
          <w:szCs w:val="26"/>
        </w:rPr>
      </w:pPr>
      <w:r>
        <w:rPr>
          <w:color w:val="auto"/>
          <w:sz w:val="26"/>
          <w:szCs w:val="26"/>
        </w:rPr>
        <w:tab/>
      </w:r>
      <w:r>
        <w:rPr>
          <w:color w:val="auto"/>
          <w:sz w:val="26"/>
          <w:szCs w:val="26"/>
        </w:rPr>
        <w:tab/>
        <w:t>Mr. Epstein requests an evening Public Input Hearing in Harrisburg with respect to PPL’s Supplement No. 80.</w:t>
      </w:r>
    </w:p>
    <w:p w:rsidR="007E305B" w:rsidRDefault="007E305B" w:rsidP="00FE6F59">
      <w:pPr>
        <w:spacing w:line="360" w:lineRule="auto"/>
        <w:ind w:firstLine="1440"/>
        <w:rPr>
          <w:color w:val="auto"/>
          <w:sz w:val="26"/>
          <w:szCs w:val="26"/>
        </w:rPr>
      </w:pPr>
    </w:p>
    <w:p w:rsidR="007C599F" w:rsidRDefault="002B5BCD" w:rsidP="00FE6F59">
      <w:pPr>
        <w:spacing w:line="360" w:lineRule="auto"/>
        <w:ind w:firstLine="1440"/>
        <w:rPr>
          <w:color w:val="auto"/>
          <w:sz w:val="26"/>
          <w:szCs w:val="26"/>
        </w:rPr>
      </w:pPr>
      <w:r w:rsidRPr="005F0611">
        <w:rPr>
          <w:color w:val="auto"/>
          <w:sz w:val="26"/>
          <w:szCs w:val="26"/>
        </w:rPr>
        <w:lastRenderedPageBreak/>
        <w:t>SEF is a Pennsylvania corporation established at the conclusion of PPL’s Electric Restructuring proceeding,</w:t>
      </w:r>
      <w:r w:rsidRPr="005F0611">
        <w:rPr>
          <w:rStyle w:val="FootnoteReference"/>
          <w:color w:val="auto"/>
          <w:sz w:val="26"/>
          <w:szCs w:val="26"/>
        </w:rPr>
        <w:footnoteReference w:id="7"/>
      </w:r>
      <w:r w:rsidRPr="005F0611">
        <w:rPr>
          <w:color w:val="auto"/>
          <w:sz w:val="26"/>
          <w:szCs w:val="26"/>
        </w:rPr>
        <w:t xml:space="preserve"> and pursuant to the terms of the Joint Settlement</w:t>
      </w:r>
      <w:r w:rsidR="00152065" w:rsidRPr="005F0611">
        <w:rPr>
          <w:rStyle w:val="FootnoteReference"/>
          <w:color w:val="auto"/>
          <w:sz w:val="26"/>
          <w:szCs w:val="26"/>
        </w:rPr>
        <w:footnoteReference w:id="8"/>
      </w:r>
      <w:r w:rsidRPr="005F0611">
        <w:rPr>
          <w:color w:val="auto"/>
          <w:sz w:val="26"/>
          <w:szCs w:val="26"/>
        </w:rPr>
        <w:t xml:space="preserve"> filed in that proceeding.  SEF states in its </w:t>
      </w:r>
      <w:r w:rsidR="00C32A94">
        <w:rPr>
          <w:color w:val="auto"/>
          <w:sz w:val="26"/>
          <w:szCs w:val="26"/>
        </w:rPr>
        <w:t>Petition to Intervene</w:t>
      </w:r>
      <w:r w:rsidRPr="005F0611">
        <w:rPr>
          <w:color w:val="auto"/>
          <w:sz w:val="26"/>
          <w:szCs w:val="26"/>
        </w:rPr>
        <w:t xml:space="preserve"> that its mission is to promote and invest in energy efficiency, renewable energy and energy education in order to provide </w:t>
      </w:r>
      <w:r w:rsidR="001000C6" w:rsidRPr="005F0611">
        <w:rPr>
          <w:color w:val="auto"/>
          <w:sz w:val="26"/>
          <w:szCs w:val="26"/>
        </w:rPr>
        <w:t>opportunities</w:t>
      </w:r>
      <w:r w:rsidRPr="005F0611">
        <w:rPr>
          <w:color w:val="auto"/>
          <w:sz w:val="26"/>
          <w:szCs w:val="26"/>
        </w:rPr>
        <w:t xml:space="preserve"> and benefits for PPL ratepayers</w:t>
      </w:r>
      <w:r w:rsidR="00AE3637" w:rsidRPr="005F0611">
        <w:rPr>
          <w:color w:val="auto"/>
          <w:sz w:val="26"/>
          <w:szCs w:val="26"/>
        </w:rPr>
        <w:t xml:space="preserve">, including low-income ratepayers.  </w:t>
      </w:r>
      <w:r w:rsidR="003F2CCD">
        <w:rPr>
          <w:color w:val="auto"/>
          <w:sz w:val="26"/>
          <w:szCs w:val="26"/>
        </w:rPr>
        <w:t>SEF has participated as an active party in numerous PPL proceedings, including</w:t>
      </w:r>
      <w:r w:rsidR="003F2CCD" w:rsidRPr="003F2CCD">
        <w:rPr>
          <w:color w:val="auto"/>
          <w:sz w:val="26"/>
          <w:szCs w:val="26"/>
        </w:rPr>
        <w:t xml:space="preserve"> </w:t>
      </w:r>
      <w:r w:rsidR="003F2CCD" w:rsidRPr="00D81D13">
        <w:rPr>
          <w:color w:val="auto"/>
          <w:sz w:val="26"/>
          <w:szCs w:val="26"/>
        </w:rPr>
        <w:t>the Company’s 2007 b</w:t>
      </w:r>
      <w:r w:rsidR="00B304EF">
        <w:rPr>
          <w:color w:val="auto"/>
          <w:sz w:val="26"/>
          <w:szCs w:val="26"/>
        </w:rPr>
        <w:t>ase rate proceeding, in which it</w:t>
      </w:r>
      <w:r w:rsidR="003F2CCD" w:rsidRPr="00D81D13">
        <w:rPr>
          <w:color w:val="auto"/>
          <w:sz w:val="26"/>
          <w:szCs w:val="26"/>
        </w:rPr>
        <w:t xml:space="preserve"> was a party to the Settlement of that proceeding</w:t>
      </w:r>
      <w:r w:rsidR="003F2CCD" w:rsidRPr="008C2C8A">
        <w:rPr>
          <w:color w:val="auto"/>
          <w:sz w:val="26"/>
          <w:szCs w:val="26"/>
        </w:rPr>
        <w:t xml:space="preserve">.  </w:t>
      </w:r>
      <w:r w:rsidR="0018680F">
        <w:rPr>
          <w:color w:val="auto"/>
          <w:sz w:val="26"/>
          <w:szCs w:val="26"/>
        </w:rPr>
        <w:t>SEF states that it has actively participated in the discussions relative to the continuation of the USR mechanism.</w:t>
      </w:r>
    </w:p>
    <w:p w:rsidR="007C599F" w:rsidRDefault="007C599F" w:rsidP="00FE6F59">
      <w:pPr>
        <w:spacing w:line="360" w:lineRule="auto"/>
        <w:ind w:firstLine="1440"/>
        <w:rPr>
          <w:color w:val="auto"/>
          <w:sz w:val="26"/>
          <w:szCs w:val="26"/>
        </w:rPr>
      </w:pPr>
    </w:p>
    <w:p w:rsidR="00571FB6" w:rsidRDefault="0018680F" w:rsidP="00FE6F59">
      <w:pPr>
        <w:spacing w:line="360" w:lineRule="auto"/>
        <w:ind w:firstLine="1440"/>
        <w:rPr>
          <w:color w:val="auto"/>
          <w:sz w:val="26"/>
          <w:szCs w:val="26"/>
        </w:rPr>
      </w:pPr>
      <w:r>
        <w:rPr>
          <w:color w:val="auto"/>
          <w:sz w:val="26"/>
          <w:szCs w:val="26"/>
        </w:rPr>
        <w:t>SEF describes its concerns regarding PPL’s USR mechanism as follows:</w:t>
      </w:r>
    </w:p>
    <w:p w:rsidR="0018680F" w:rsidRDefault="0018680F" w:rsidP="001619A8">
      <w:pPr>
        <w:ind w:firstLine="1440"/>
        <w:rPr>
          <w:color w:val="auto"/>
          <w:sz w:val="26"/>
          <w:szCs w:val="26"/>
        </w:rPr>
      </w:pPr>
    </w:p>
    <w:p w:rsidR="0018680F" w:rsidRDefault="007D4BCB" w:rsidP="000F306E">
      <w:pPr>
        <w:ind w:left="1440" w:right="1440"/>
        <w:rPr>
          <w:color w:val="auto"/>
          <w:sz w:val="26"/>
          <w:szCs w:val="26"/>
        </w:rPr>
      </w:pPr>
      <w:r>
        <w:rPr>
          <w:color w:val="auto"/>
          <w:sz w:val="26"/>
          <w:szCs w:val="26"/>
        </w:rPr>
        <w:t xml:space="preserve">Limited discovery relative </w:t>
      </w:r>
      <w:r w:rsidR="002C055E">
        <w:rPr>
          <w:color w:val="auto"/>
          <w:sz w:val="26"/>
          <w:szCs w:val="26"/>
        </w:rPr>
        <w:t>to the USR mechanism has shown that some of the expenditures associated with universal service programs are rendered by affiliates of PPL, or organizations associated with PPL, with those expenditures being recovered through the USR mechanism.  Since internal administrative costs are not recovered through the USR recovery mechanism, issues exist relative to the appropriateness of the affiliate expenditures and their recovery through the USR mechanism.  In addition, PPL’s WRAP program incorporates solar water heating as part of WRAP, which is not subject to the Commission’s payback criteria, as noted in PPL’s Universal Service and Conservation Plan for 2007-2010, contained in Appendix A of PPL’s tariff, Supplement No. 59 to Electric Pa. P.U.C. No. 201, original Page No. 43.  Even though PPL committed to continue to offer solar water heating as a standard WRAP measure as</w:t>
      </w:r>
      <w:r w:rsidR="000F306E">
        <w:rPr>
          <w:color w:val="auto"/>
          <w:sz w:val="26"/>
          <w:szCs w:val="26"/>
        </w:rPr>
        <w:t xml:space="preserve"> part of the overall W</w:t>
      </w:r>
      <w:r w:rsidR="002C055E">
        <w:rPr>
          <w:color w:val="auto"/>
          <w:sz w:val="26"/>
          <w:szCs w:val="26"/>
        </w:rPr>
        <w:t>RAP budget in its Universal Service and Conservation Plan for 2007-2010, PPL has failed to follow through on this commitment.</w:t>
      </w:r>
    </w:p>
    <w:p w:rsidR="000F306E" w:rsidRDefault="000F306E" w:rsidP="001619A8">
      <w:pPr>
        <w:ind w:firstLine="1440"/>
        <w:rPr>
          <w:color w:val="auto"/>
          <w:sz w:val="26"/>
          <w:szCs w:val="26"/>
        </w:rPr>
      </w:pPr>
    </w:p>
    <w:p w:rsidR="00AE39F3" w:rsidRDefault="00682555" w:rsidP="00FE6F59">
      <w:pPr>
        <w:spacing w:line="360" w:lineRule="auto"/>
        <w:ind w:firstLine="1440"/>
        <w:rPr>
          <w:color w:val="auto"/>
          <w:sz w:val="26"/>
          <w:szCs w:val="26"/>
        </w:rPr>
      </w:pPr>
      <w:r>
        <w:rPr>
          <w:color w:val="auto"/>
          <w:sz w:val="26"/>
          <w:szCs w:val="26"/>
        </w:rPr>
        <w:t>SEF requests that the Commission grant it full party status in this proceeding, and that the Commission assign this matter to the Office of Administrative Law Judge and hold hearings on the continuation of PPL’s USR recovery mechanism.</w:t>
      </w:r>
    </w:p>
    <w:p w:rsidR="008E0E39" w:rsidRDefault="008E0E39" w:rsidP="001619A8">
      <w:pPr>
        <w:ind w:firstLine="1440"/>
        <w:rPr>
          <w:color w:val="auto"/>
          <w:sz w:val="26"/>
          <w:szCs w:val="26"/>
        </w:rPr>
      </w:pPr>
    </w:p>
    <w:p w:rsidR="008E0E39" w:rsidRDefault="00670635" w:rsidP="00FE6F59">
      <w:pPr>
        <w:spacing w:line="360" w:lineRule="auto"/>
        <w:ind w:firstLine="1440"/>
        <w:rPr>
          <w:color w:val="auto"/>
          <w:sz w:val="26"/>
          <w:szCs w:val="26"/>
        </w:rPr>
      </w:pPr>
      <w:r>
        <w:rPr>
          <w:color w:val="auto"/>
          <w:sz w:val="26"/>
          <w:szCs w:val="26"/>
        </w:rPr>
        <w:t xml:space="preserve">Finally, as noted above, the OCA filed a </w:t>
      </w:r>
      <w:r w:rsidR="00C32A94">
        <w:rPr>
          <w:color w:val="auto"/>
          <w:sz w:val="26"/>
          <w:szCs w:val="26"/>
        </w:rPr>
        <w:t>Notice of Intervention</w:t>
      </w:r>
      <w:r>
        <w:rPr>
          <w:color w:val="auto"/>
          <w:sz w:val="26"/>
          <w:szCs w:val="26"/>
        </w:rPr>
        <w:t xml:space="preserve"> in this proceeding.  The OCA raised no specific issues with respect to PPL’s proposed Supplement No. 80, but stated that its intervention was filed to ensure that the Company’s proposal is just and reasonable. </w:t>
      </w:r>
    </w:p>
    <w:p w:rsidR="00486E76" w:rsidRPr="00217268" w:rsidRDefault="00486E76" w:rsidP="001619A8">
      <w:pPr>
        <w:ind w:firstLine="720"/>
        <w:rPr>
          <w:color w:val="auto"/>
          <w:sz w:val="26"/>
          <w:szCs w:val="26"/>
        </w:rPr>
      </w:pPr>
    </w:p>
    <w:p w:rsidR="00486E76" w:rsidRPr="00217268" w:rsidRDefault="00486E76" w:rsidP="00486E76">
      <w:pPr>
        <w:spacing w:line="360" w:lineRule="auto"/>
        <w:rPr>
          <w:b/>
          <w:color w:val="auto"/>
          <w:sz w:val="26"/>
          <w:szCs w:val="26"/>
          <w:u w:val="single"/>
        </w:rPr>
      </w:pPr>
      <w:r w:rsidRPr="00217268">
        <w:rPr>
          <w:b/>
          <w:color w:val="auto"/>
          <w:sz w:val="26"/>
          <w:szCs w:val="26"/>
          <w:u w:val="single"/>
        </w:rPr>
        <w:t>Disposition</w:t>
      </w:r>
    </w:p>
    <w:p w:rsidR="00486E76" w:rsidRPr="00217268" w:rsidRDefault="00486E76" w:rsidP="001619A8">
      <w:pPr>
        <w:rPr>
          <w:color w:val="auto"/>
          <w:sz w:val="26"/>
          <w:szCs w:val="26"/>
        </w:rPr>
      </w:pPr>
    </w:p>
    <w:p w:rsidR="00BA5207" w:rsidRDefault="00BA5207" w:rsidP="00217268">
      <w:pPr>
        <w:spacing w:line="360" w:lineRule="auto"/>
        <w:ind w:firstLine="1440"/>
        <w:rPr>
          <w:color w:val="auto"/>
          <w:sz w:val="26"/>
          <w:szCs w:val="26"/>
        </w:rPr>
      </w:pPr>
      <w:r w:rsidRPr="00BA5207">
        <w:rPr>
          <w:color w:val="auto"/>
          <w:sz w:val="26"/>
          <w:szCs w:val="26"/>
        </w:rPr>
        <w:t>As</w:t>
      </w:r>
      <w:r>
        <w:rPr>
          <w:color w:val="auto"/>
          <w:sz w:val="26"/>
          <w:szCs w:val="26"/>
        </w:rPr>
        <w:t xml:space="preserve"> discussed above, PPL filed its proposed Supplement No. 80 in response to the Order of ALJ Colwell, who ruled that </w:t>
      </w:r>
      <w:r w:rsidR="00831DC9">
        <w:rPr>
          <w:color w:val="auto"/>
          <w:sz w:val="26"/>
          <w:szCs w:val="26"/>
        </w:rPr>
        <w:t xml:space="preserve">a tariff filing was necessary in order for the Company to comply with the terms of Paragraph 25 (e) of the Settlement </w:t>
      </w:r>
      <w:r w:rsidR="00894D60">
        <w:rPr>
          <w:color w:val="auto"/>
          <w:sz w:val="26"/>
          <w:szCs w:val="26"/>
        </w:rPr>
        <w:t>filed by the parties in PPL’s</w:t>
      </w:r>
      <w:r w:rsidR="002A7C2C">
        <w:rPr>
          <w:color w:val="auto"/>
          <w:sz w:val="26"/>
          <w:szCs w:val="26"/>
        </w:rPr>
        <w:t xml:space="preserve"> 2007 base rate proceeding.</w:t>
      </w:r>
      <w:r w:rsidR="00D13084">
        <w:rPr>
          <w:color w:val="auto"/>
          <w:sz w:val="26"/>
          <w:szCs w:val="26"/>
        </w:rPr>
        <w:t xml:space="preserve">  This provision of the Settlement </w:t>
      </w:r>
      <w:r w:rsidR="00AB20E4">
        <w:rPr>
          <w:color w:val="auto"/>
          <w:sz w:val="26"/>
          <w:szCs w:val="26"/>
        </w:rPr>
        <w:t xml:space="preserve">provided that PPL was </w:t>
      </w:r>
      <w:r w:rsidR="00AB20E4" w:rsidRPr="00386EE4">
        <w:rPr>
          <w:color w:val="auto"/>
          <w:sz w:val="26"/>
          <w:szCs w:val="26"/>
        </w:rPr>
        <w:t>to hold meetings on the continued reconciliation of its USR, and if no consensus could b</w:t>
      </w:r>
      <w:r w:rsidR="00386EE4" w:rsidRPr="00386EE4">
        <w:rPr>
          <w:color w:val="auto"/>
          <w:sz w:val="26"/>
          <w:szCs w:val="26"/>
        </w:rPr>
        <w:t>e reached on that issue</w:t>
      </w:r>
      <w:r w:rsidR="00AB20E4" w:rsidRPr="00386EE4">
        <w:rPr>
          <w:color w:val="auto"/>
          <w:sz w:val="26"/>
          <w:szCs w:val="26"/>
        </w:rPr>
        <w:t>, PPL would then file its preferred approach on or before October 1, 2009, and all parties would be provided an opport</w:t>
      </w:r>
      <w:r w:rsidR="00386EE4" w:rsidRPr="00386EE4">
        <w:rPr>
          <w:color w:val="auto"/>
          <w:sz w:val="26"/>
          <w:szCs w:val="26"/>
        </w:rPr>
        <w:t>unity to support or oppose the Company’s</w:t>
      </w:r>
      <w:r w:rsidR="00AB20E4" w:rsidRPr="00386EE4">
        <w:rPr>
          <w:color w:val="auto"/>
          <w:sz w:val="26"/>
          <w:szCs w:val="26"/>
        </w:rPr>
        <w:t xml:space="preserve"> proposal.  </w:t>
      </w:r>
      <w:r w:rsidR="00386EE4">
        <w:rPr>
          <w:color w:val="auto"/>
          <w:sz w:val="26"/>
          <w:szCs w:val="26"/>
        </w:rPr>
        <w:t xml:space="preserve">Thus, Paragraph 25 (e) </w:t>
      </w:r>
      <w:r w:rsidR="00D13084">
        <w:rPr>
          <w:color w:val="auto"/>
          <w:sz w:val="26"/>
          <w:szCs w:val="26"/>
        </w:rPr>
        <w:t>dealt specifically with the</w:t>
      </w:r>
      <w:r w:rsidR="00386EE4">
        <w:rPr>
          <w:color w:val="auto"/>
          <w:sz w:val="26"/>
          <w:szCs w:val="26"/>
        </w:rPr>
        <w:t xml:space="preserve"> limited</w:t>
      </w:r>
      <w:r w:rsidR="00D13084">
        <w:rPr>
          <w:color w:val="auto"/>
          <w:sz w:val="26"/>
          <w:szCs w:val="26"/>
        </w:rPr>
        <w:t xml:space="preserve"> issue of whether</w:t>
      </w:r>
      <w:r w:rsidR="00EC4BD4" w:rsidRPr="00EC4BD4">
        <w:rPr>
          <w:color w:val="auto"/>
          <w:sz w:val="26"/>
          <w:szCs w:val="26"/>
        </w:rPr>
        <w:t xml:space="preserve"> </w:t>
      </w:r>
      <w:r w:rsidR="00EC4BD4">
        <w:rPr>
          <w:color w:val="auto"/>
          <w:sz w:val="26"/>
          <w:szCs w:val="26"/>
        </w:rPr>
        <w:t xml:space="preserve">continued reconciliation of </w:t>
      </w:r>
      <w:r w:rsidR="00BE67E5">
        <w:rPr>
          <w:color w:val="auto"/>
          <w:sz w:val="26"/>
          <w:szCs w:val="26"/>
        </w:rPr>
        <w:t>PPL</w:t>
      </w:r>
      <w:r w:rsidR="00EC4BD4">
        <w:rPr>
          <w:color w:val="auto"/>
          <w:sz w:val="26"/>
          <w:szCs w:val="26"/>
        </w:rPr>
        <w:t>’s</w:t>
      </w:r>
      <w:r w:rsidR="00EC4BD4" w:rsidRPr="00132D66">
        <w:rPr>
          <w:color w:val="auto"/>
          <w:sz w:val="26"/>
          <w:szCs w:val="26"/>
        </w:rPr>
        <w:t xml:space="preserve"> USR is necessary or appropriate</w:t>
      </w:r>
      <w:r w:rsidR="00AB20E4">
        <w:rPr>
          <w:color w:val="auto"/>
          <w:sz w:val="26"/>
          <w:szCs w:val="26"/>
        </w:rPr>
        <w:t xml:space="preserve">. </w:t>
      </w:r>
      <w:r w:rsidR="00967CC3">
        <w:rPr>
          <w:color w:val="auto"/>
          <w:sz w:val="26"/>
          <w:szCs w:val="26"/>
        </w:rPr>
        <w:t xml:space="preserve"> </w:t>
      </w:r>
      <w:r w:rsidR="006E625C">
        <w:rPr>
          <w:color w:val="auto"/>
          <w:sz w:val="26"/>
          <w:szCs w:val="26"/>
        </w:rPr>
        <w:t>As evidenced by t</w:t>
      </w:r>
      <w:r w:rsidR="00BE67E5">
        <w:rPr>
          <w:color w:val="auto"/>
          <w:sz w:val="26"/>
          <w:szCs w:val="26"/>
        </w:rPr>
        <w:t>he Company’s</w:t>
      </w:r>
      <w:r w:rsidR="006E625C">
        <w:rPr>
          <w:color w:val="auto"/>
          <w:sz w:val="26"/>
          <w:szCs w:val="26"/>
        </w:rPr>
        <w:t xml:space="preserve"> filing, its</w:t>
      </w:r>
      <w:r w:rsidR="00BE67E5">
        <w:rPr>
          <w:color w:val="auto"/>
          <w:sz w:val="26"/>
          <w:szCs w:val="26"/>
        </w:rPr>
        <w:t xml:space="preserve"> “preferred approach”</w:t>
      </w:r>
      <w:r w:rsidR="00967CC3">
        <w:rPr>
          <w:color w:val="auto"/>
          <w:sz w:val="26"/>
          <w:szCs w:val="26"/>
        </w:rPr>
        <w:t xml:space="preserve"> </w:t>
      </w:r>
      <w:r w:rsidR="00BE67E5">
        <w:rPr>
          <w:color w:val="auto"/>
          <w:sz w:val="26"/>
          <w:szCs w:val="26"/>
        </w:rPr>
        <w:t>is to continue annual reconciliation of its USR unless or until modified by the Commission.</w:t>
      </w:r>
    </w:p>
    <w:p w:rsidR="00C218B4" w:rsidRDefault="00C218B4" w:rsidP="00FC161D">
      <w:pPr>
        <w:ind w:firstLine="1440"/>
        <w:rPr>
          <w:color w:val="auto"/>
          <w:sz w:val="26"/>
          <w:szCs w:val="26"/>
        </w:rPr>
      </w:pPr>
    </w:p>
    <w:p w:rsidR="00C218B4" w:rsidRDefault="00C218B4" w:rsidP="00217268">
      <w:pPr>
        <w:spacing w:line="360" w:lineRule="auto"/>
        <w:ind w:firstLine="1440"/>
        <w:rPr>
          <w:color w:val="auto"/>
          <w:sz w:val="26"/>
          <w:szCs w:val="26"/>
        </w:rPr>
      </w:pPr>
      <w:r>
        <w:rPr>
          <w:color w:val="auto"/>
          <w:sz w:val="26"/>
          <w:szCs w:val="26"/>
        </w:rPr>
        <w:t>Both Mr. Epstein and SEF responded to PPL’s proposal to continue its annual reconciliation of the USR b</w:t>
      </w:r>
      <w:r w:rsidR="002F709A">
        <w:rPr>
          <w:color w:val="auto"/>
          <w:sz w:val="26"/>
          <w:szCs w:val="26"/>
        </w:rPr>
        <w:t>y filing petitions to intervene</w:t>
      </w:r>
      <w:r>
        <w:rPr>
          <w:color w:val="auto"/>
          <w:sz w:val="26"/>
          <w:szCs w:val="26"/>
        </w:rPr>
        <w:t xml:space="preserve"> in which they raise a number of issues regarding </w:t>
      </w:r>
      <w:r w:rsidR="00317AA3">
        <w:rPr>
          <w:color w:val="auto"/>
          <w:sz w:val="26"/>
          <w:szCs w:val="26"/>
        </w:rPr>
        <w:t>PPL’s USR.  However, these issues clea</w:t>
      </w:r>
      <w:r w:rsidR="00911365">
        <w:rPr>
          <w:color w:val="auto"/>
          <w:sz w:val="26"/>
          <w:szCs w:val="26"/>
        </w:rPr>
        <w:t>rly go beyond the narrow question</w:t>
      </w:r>
      <w:r w:rsidR="00317AA3">
        <w:rPr>
          <w:color w:val="auto"/>
          <w:sz w:val="26"/>
          <w:szCs w:val="26"/>
        </w:rPr>
        <w:t xml:space="preserve"> of wh</w:t>
      </w:r>
      <w:r w:rsidR="00724F03">
        <w:rPr>
          <w:color w:val="auto"/>
          <w:sz w:val="26"/>
          <w:szCs w:val="26"/>
        </w:rPr>
        <w:t>ether the annual reconciliation provision should be continued.</w:t>
      </w:r>
      <w:r w:rsidR="00EC2798">
        <w:rPr>
          <w:color w:val="auto"/>
          <w:sz w:val="26"/>
          <w:szCs w:val="26"/>
        </w:rPr>
        <w:t xml:space="preserve">  </w:t>
      </w:r>
      <w:r w:rsidR="006F68DA">
        <w:rPr>
          <w:color w:val="auto"/>
          <w:sz w:val="26"/>
          <w:szCs w:val="26"/>
        </w:rPr>
        <w:t>T</w:t>
      </w:r>
      <w:r w:rsidR="004C1F91">
        <w:rPr>
          <w:color w:val="auto"/>
          <w:sz w:val="26"/>
          <w:szCs w:val="26"/>
        </w:rPr>
        <w:t>he concerns raised</w:t>
      </w:r>
      <w:r w:rsidR="00EC2798">
        <w:rPr>
          <w:color w:val="auto"/>
          <w:sz w:val="26"/>
          <w:szCs w:val="26"/>
        </w:rPr>
        <w:t xml:space="preserve"> by b</w:t>
      </w:r>
      <w:r w:rsidR="00895FE9">
        <w:rPr>
          <w:color w:val="auto"/>
          <w:sz w:val="26"/>
          <w:szCs w:val="26"/>
        </w:rPr>
        <w:t xml:space="preserve">oth Mr. Epstein and SEF </w:t>
      </w:r>
      <w:r w:rsidR="004C1F91">
        <w:rPr>
          <w:color w:val="auto"/>
          <w:sz w:val="26"/>
          <w:szCs w:val="26"/>
        </w:rPr>
        <w:t>appear to cover a wide variety o</w:t>
      </w:r>
      <w:r w:rsidR="004E1F7B">
        <w:rPr>
          <w:color w:val="auto"/>
          <w:sz w:val="26"/>
          <w:szCs w:val="26"/>
        </w:rPr>
        <w:t>f issues relating to the PPL</w:t>
      </w:r>
      <w:r w:rsidR="004C1F91">
        <w:rPr>
          <w:color w:val="auto"/>
          <w:sz w:val="26"/>
          <w:szCs w:val="26"/>
        </w:rPr>
        <w:t>’s overall universal service</w:t>
      </w:r>
      <w:r w:rsidR="00C65AA2">
        <w:rPr>
          <w:color w:val="auto"/>
          <w:sz w:val="26"/>
          <w:szCs w:val="26"/>
        </w:rPr>
        <w:t xml:space="preserve"> plan, touching on</w:t>
      </w:r>
      <w:r w:rsidR="00DA4077">
        <w:rPr>
          <w:color w:val="auto"/>
          <w:sz w:val="26"/>
          <w:szCs w:val="26"/>
        </w:rPr>
        <w:t xml:space="preserve"> such matters as program design, budget, implementation, and evaluation.  Moreover, neit</w:t>
      </w:r>
      <w:r w:rsidR="00C65AA2">
        <w:rPr>
          <w:color w:val="auto"/>
          <w:sz w:val="26"/>
          <w:szCs w:val="26"/>
        </w:rPr>
        <w:t xml:space="preserve">her Mr. Epstein nor SEF </w:t>
      </w:r>
      <w:r w:rsidR="00C65AA2">
        <w:rPr>
          <w:color w:val="auto"/>
          <w:sz w:val="26"/>
          <w:szCs w:val="26"/>
        </w:rPr>
        <w:lastRenderedPageBreak/>
        <w:t xml:space="preserve">specifically address the question of reconciliation in their respective petitions, </w:t>
      </w:r>
      <w:r w:rsidR="00B04950">
        <w:rPr>
          <w:color w:val="auto"/>
          <w:sz w:val="26"/>
          <w:szCs w:val="26"/>
        </w:rPr>
        <w:t>n</w:t>
      </w:r>
      <w:r w:rsidR="00C65AA2">
        <w:rPr>
          <w:color w:val="auto"/>
          <w:sz w:val="26"/>
          <w:szCs w:val="26"/>
        </w:rPr>
        <w:t>or</w:t>
      </w:r>
      <w:r w:rsidR="00B04950">
        <w:rPr>
          <w:color w:val="auto"/>
          <w:sz w:val="26"/>
          <w:szCs w:val="26"/>
        </w:rPr>
        <w:t xml:space="preserve"> do they</w:t>
      </w:r>
      <w:r w:rsidR="00C65AA2">
        <w:rPr>
          <w:color w:val="auto"/>
          <w:sz w:val="26"/>
          <w:szCs w:val="26"/>
        </w:rPr>
        <w:t xml:space="preserve"> explain how the issues they raise might relate to the reconciliation provision</w:t>
      </w:r>
      <w:r w:rsidR="004E1F7B">
        <w:rPr>
          <w:color w:val="auto"/>
          <w:sz w:val="26"/>
          <w:szCs w:val="26"/>
        </w:rPr>
        <w:t xml:space="preserve"> in the Company’s USR</w:t>
      </w:r>
      <w:r w:rsidR="00C65AA2">
        <w:rPr>
          <w:color w:val="auto"/>
          <w:sz w:val="26"/>
          <w:szCs w:val="26"/>
        </w:rPr>
        <w:t>.</w:t>
      </w:r>
      <w:r w:rsidR="001A261C">
        <w:rPr>
          <w:color w:val="auto"/>
          <w:sz w:val="26"/>
          <w:szCs w:val="26"/>
        </w:rPr>
        <w:t xml:space="preserve">  For these reasons we do no</w:t>
      </w:r>
      <w:r w:rsidR="00BC2B86">
        <w:rPr>
          <w:color w:val="auto"/>
          <w:sz w:val="26"/>
          <w:szCs w:val="26"/>
        </w:rPr>
        <w:t>t believe this proceeding to be the</w:t>
      </w:r>
      <w:r w:rsidR="001A261C">
        <w:rPr>
          <w:color w:val="auto"/>
          <w:sz w:val="26"/>
          <w:szCs w:val="26"/>
        </w:rPr>
        <w:t xml:space="preserve"> appropriate forum</w:t>
      </w:r>
      <w:r w:rsidR="00E64881">
        <w:rPr>
          <w:color w:val="auto"/>
          <w:sz w:val="26"/>
          <w:szCs w:val="26"/>
        </w:rPr>
        <w:t xml:space="preserve"> in which</w:t>
      </w:r>
      <w:r w:rsidR="001A261C">
        <w:rPr>
          <w:color w:val="auto"/>
          <w:sz w:val="26"/>
          <w:szCs w:val="26"/>
        </w:rPr>
        <w:t xml:space="preserve"> to fully address the issues presented by Mr. Epstein and SEF.</w:t>
      </w:r>
      <w:r w:rsidR="001D2FD4">
        <w:rPr>
          <w:rStyle w:val="FootnoteReference"/>
          <w:color w:val="auto"/>
          <w:sz w:val="26"/>
          <w:szCs w:val="26"/>
        </w:rPr>
        <w:footnoteReference w:id="9"/>
      </w:r>
    </w:p>
    <w:p w:rsidR="00EA33EF" w:rsidRDefault="00EA33EF" w:rsidP="00FC161D">
      <w:pPr>
        <w:ind w:firstLine="1440"/>
        <w:rPr>
          <w:color w:val="auto"/>
          <w:sz w:val="26"/>
          <w:szCs w:val="26"/>
        </w:rPr>
      </w:pPr>
    </w:p>
    <w:p w:rsidR="007959CE" w:rsidRDefault="00E64881" w:rsidP="00217268">
      <w:pPr>
        <w:spacing w:line="360" w:lineRule="auto"/>
        <w:ind w:firstLine="1440"/>
        <w:rPr>
          <w:color w:val="auto"/>
          <w:sz w:val="26"/>
          <w:szCs w:val="26"/>
        </w:rPr>
      </w:pPr>
      <w:r>
        <w:rPr>
          <w:color w:val="auto"/>
          <w:sz w:val="26"/>
          <w:szCs w:val="26"/>
        </w:rPr>
        <w:t xml:space="preserve">We note that </w:t>
      </w:r>
      <w:r w:rsidR="0010110A">
        <w:rPr>
          <w:color w:val="auto"/>
          <w:sz w:val="26"/>
          <w:szCs w:val="26"/>
        </w:rPr>
        <w:t>under the Commission’s regulations regarding universal service and energy conservation plans</w:t>
      </w:r>
      <w:r w:rsidR="00793563">
        <w:rPr>
          <w:color w:val="auto"/>
          <w:sz w:val="26"/>
          <w:szCs w:val="26"/>
        </w:rPr>
        <w:t xml:space="preserve"> for electric distribution companies (“EDCs”)</w:t>
      </w:r>
      <w:r w:rsidR="00E02E0E">
        <w:rPr>
          <w:color w:val="auto"/>
          <w:sz w:val="26"/>
          <w:szCs w:val="26"/>
        </w:rPr>
        <w:t>,</w:t>
      </w:r>
      <w:r w:rsidR="00440DDC">
        <w:rPr>
          <w:rStyle w:val="FootnoteReference"/>
          <w:color w:val="auto"/>
          <w:sz w:val="26"/>
          <w:szCs w:val="26"/>
        </w:rPr>
        <w:footnoteReference w:id="10"/>
      </w:r>
      <w:r w:rsidR="0010110A">
        <w:rPr>
          <w:color w:val="auto"/>
          <w:sz w:val="26"/>
          <w:szCs w:val="26"/>
        </w:rPr>
        <w:t xml:space="preserve"> ea</w:t>
      </w:r>
      <w:r w:rsidR="00793563">
        <w:rPr>
          <w:color w:val="auto"/>
          <w:sz w:val="26"/>
          <w:szCs w:val="26"/>
        </w:rPr>
        <w:t xml:space="preserve">ch </w:t>
      </w:r>
      <w:r w:rsidR="00A2742F">
        <w:rPr>
          <w:color w:val="auto"/>
          <w:sz w:val="26"/>
          <w:szCs w:val="26"/>
        </w:rPr>
        <w:t>EDC</w:t>
      </w:r>
      <w:r w:rsidR="00793563">
        <w:rPr>
          <w:color w:val="auto"/>
          <w:sz w:val="26"/>
          <w:szCs w:val="26"/>
        </w:rPr>
        <w:t xml:space="preserve"> </w:t>
      </w:r>
      <w:r w:rsidR="0010110A">
        <w:rPr>
          <w:color w:val="auto"/>
          <w:sz w:val="26"/>
          <w:szCs w:val="26"/>
        </w:rPr>
        <w:t>is required to submit</w:t>
      </w:r>
      <w:r w:rsidR="00EE0C91">
        <w:rPr>
          <w:color w:val="auto"/>
          <w:sz w:val="26"/>
          <w:szCs w:val="26"/>
        </w:rPr>
        <w:t>,</w:t>
      </w:r>
      <w:r w:rsidR="0010110A">
        <w:rPr>
          <w:color w:val="auto"/>
          <w:sz w:val="26"/>
          <w:szCs w:val="26"/>
        </w:rPr>
        <w:t xml:space="preserve"> for our approval</w:t>
      </w:r>
      <w:r w:rsidR="00EE0C91">
        <w:rPr>
          <w:color w:val="auto"/>
          <w:sz w:val="26"/>
          <w:szCs w:val="26"/>
        </w:rPr>
        <w:t>,</w:t>
      </w:r>
      <w:r w:rsidR="0010110A">
        <w:rPr>
          <w:color w:val="auto"/>
          <w:sz w:val="26"/>
          <w:szCs w:val="26"/>
        </w:rPr>
        <w:t xml:space="preserve"> an updated universal service and energy conservation plan every three years.  These three-year plans are to be su</w:t>
      </w:r>
      <w:r w:rsidR="00A2742F">
        <w:rPr>
          <w:color w:val="auto"/>
          <w:sz w:val="26"/>
          <w:szCs w:val="26"/>
        </w:rPr>
        <w:t xml:space="preserve">bmitted by the EDCs </w:t>
      </w:r>
      <w:r w:rsidR="0065306F">
        <w:rPr>
          <w:color w:val="auto"/>
          <w:sz w:val="26"/>
          <w:szCs w:val="26"/>
        </w:rPr>
        <w:t>on a staggered basis, and are to be</w:t>
      </w:r>
      <w:r w:rsidR="00EE0C91">
        <w:rPr>
          <w:color w:val="auto"/>
          <w:sz w:val="26"/>
          <w:szCs w:val="26"/>
        </w:rPr>
        <w:t xml:space="preserve"> filed</w:t>
      </w:r>
      <w:r w:rsidR="0065306F">
        <w:rPr>
          <w:color w:val="auto"/>
          <w:sz w:val="26"/>
          <w:szCs w:val="26"/>
        </w:rPr>
        <w:t xml:space="preserve"> to cover the next three calendar years.  The regulations </w:t>
      </w:r>
      <w:r w:rsidR="0041716E">
        <w:rPr>
          <w:color w:val="auto"/>
          <w:sz w:val="26"/>
          <w:szCs w:val="26"/>
        </w:rPr>
        <w:t>require that for each component of the EDC’s universal service and energy conservation plan, the plan shall include, but not be limited to, the following elements:</w:t>
      </w:r>
    </w:p>
    <w:p w:rsidR="002D292F" w:rsidRDefault="002D292F" w:rsidP="00FC161D">
      <w:pPr>
        <w:ind w:firstLine="1440"/>
        <w:rPr>
          <w:color w:val="auto"/>
          <w:sz w:val="26"/>
          <w:szCs w:val="26"/>
        </w:rPr>
      </w:pPr>
    </w:p>
    <w:p w:rsidR="002D292F" w:rsidRPr="002D292F" w:rsidRDefault="002D292F" w:rsidP="002D292F">
      <w:pPr>
        <w:pStyle w:val="ListParagraph"/>
        <w:numPr>
          <w:ilvl w:val="0"/>
          <w:numId w:val="15"/>
        </w:numPr>
        <w:rPr>
          <w:color w:val="auto"/>
          <w:sz w:val="26"/>
          <w:szCs w:val="26"/>
        </w:rPr>
      </w:pPr>
      <w:r w:rsidRPr="002D292F">
        <w:rPr>
          <w:color w:val="auto"/>
          <w:sz w:val="26"/>
          <w:szCs w:val="26"/>
        </w:rPr>
        <w:t>Program description.</w:t>
      </w:r>
    </w:p>
    <w:p w:rsidR="002D292F" w:rsidRPr="002D292F" w:rsidRDefault="002D292F" w:rsidP="002D292F">
      <w:pPr>
        <w:pStyle w:val="ListParagraph"/>
        <w:numPr>
          <w:ilvl w:val="0"/>
          <w:numId w:val="15"/>
        </w:numPr>
        <w:rPr>
          <w:color w:val="auto"/>
          <w:sz w:val="26"/>
          <w:szCs w:val="26"/>
        </w:rPr>
      </w:pPr>
      <w:r w:rsidRPr="002D292F">
        <w:rPr>
          <w:color w:val="auto"/>
          <w:sz w:val="26"/>
          <w:szCs w:val="26"/>
        </w:rPr>
        <w:t>Eligibility criteria.</w:t>
      </w:r>
    </w:p>
    <w:p w:rsidR="002D292F" w:rsidRPr="002D292F" w:rsidRDefault="002D292F" w:rsidP="002D292F">
      <w:pPr>
        <w:pStyle w:val="ListParagraph"/>
        <w:numPr>
          <w:ilvl w:val="0"/>
          <w:numId w:val="15"/>
        </w:numPr>
        <w:rPr>
          <w:color w:val="auto"/>
          <w:sz w:val="26"/>
          <w:szCs w:val="26"/>
        </w:rPr>
      </w:pPr>
      <w:r w:rsidRPr="002D292F">
        <w:rPr>
          <w:color w:val="auto"/>
          <w:sz w:val="26"/>
          <w:szCs w:val="26"/>
        </w:rPr>
        <w:t>Projected needs assessment.</w:t>
      </w:r>
    </w:p>
    <w:p w:rsidR="002D292F" w:rsidRPr="002D292F" w:rsidRDefault="002D292F" w:rsidP="002D292F">
      <w:pPr>
        <w:pStyle w:val="ListParagraph"/>
        <w:numPr>
          <w:ilvl w:val="0"/>
          <w:numId w:val="15"/>
        </w:numPr>
        <w:rPr>
          <w:color w:val="auto"/>
          <w:sz w:val="26"/>
          <w:szCs w:val="26"/>
        </w:rPr>
      </w:pPr>
      <w:r w:rsidRPr="002D292F">
        <w:rPr>
          <w:color w:val="auto"/>
          <w:sz w:val="26"/>
          <w:szCs w:val="26"/>
        </w:rPr>
        <w:t>Projected enrollment levels.</w:t>
      </w:r>
    </w:p>
    <w:p w:rsidR="002D292F" w:rsidRPr="002D292F" w:rsidRDefault="002D292F" w:rsidP="002D292F">
      <w:pPr>
        <w:pStyle w:val="ListParagraph"/>
        <w:numPr>
          <w:ilvl w:val="0"/>
          <w:numId w:val="15"/>
        </w:numPr>
        <w:rPr>
          <w:color w:val="auto"/>
          <w:sz w:val="26"/>
          <w:szCs w:val="26"/>
        </w:rPr>
      </w:pPr>
      <w:r w:rsidRPr="002D292F">
        <w:rPr>
          <w:color w:val="auto"/>
          <w:sz w:val="26"/>
          <w:szCs w:val="26"/>
        </w:rPr>
        <w:t>Program budget.</w:t>
      </w:r>
    </w:p>
    <w:p w:rsidR="002D292F" w:rsidRPr="002D292F" w:rsidRDefault="002D292F" w:rsidP="002D292F">
      <w:pPr>
        <w:pStyle w:val="ListParagraph"/>
        <w:numPr>
          <w:ilvl w:val="0"/>
          <w:numId w:val="15"/>
        </w:numPr>
        <w:rPr>
          <w:color w:val="auto"/>
          <w:sz w:val="26"/>
          <w:szCs w:val="26"/>
        </w:rPr>
      </w:pPr>
      <w:r w:rsidRPr="002D292F">
        <w:rPr>
          <w:color w:val="auto"/>
          <w:sz w:val="26"/>
          <w:szCs w:val="26"/>
        </w:rPr>
        <w:t>Plans to use community-based organizations.</w:t>
      </w:r>
    </w:p>
    <w:p w:rsidR="002D292F" w:rsidRPr="002D292F" w:rsidRDefault="002D292F" w:rsidP="002D292F">
      <w:pPr>
        <w:pStyle w:val="ListParagraph"/>
        <w:numPr>
          <w:ilvl w:val="0"/>
          <w:numId w:val="15"/>
        </w:numPr>
        <w:rPr>
          <w:color w:val="auto"/>
          <w:sz w:val="26"/>
          <w:szCs w:val="26"/>
        </w:rPr>
      </w:pPr>
      <w:r w:rsidRPr="002D292F">
        <w:rPr>
          <w:color w:val="auto"/>
          <w:sz w:val="26"/>
          <w:szCs w:val="26"/>
        </w:rPr>
        <w:t>Organizational structure of staff responsible for universal service programs.</w:t>
      </w:r>
    </w:p>
    <w:p w:rsidR="002D292F" w:rsidRDefault="002D292F" w:rsidP="002D292F">
      <w:pPr>
        <w:pStyle w:val="ListParagraph"/>
        <w:numPr>
          <w:ilvl w:val="0"/>
          <w:numId w:val="15"/>
        </w:numPr>
        <w:rPr>
          <w:color w:val="auto"/>
          <w:sz w:val="26"/>
          <w:szCs w:val="26"/>
        </w:rPr>
      </w:pPr>
      <w:r w:rsidRPr="002D292F">
        <w:rPr>
          <w:color w:val="auto"/>
          <w:sz w:val="26"/>
          <w:szCs w:val="26"/>
        </w:rPr>
        <w:t>Explanation of any differences between the EDC’s approved plan and the implementation of that plan.  The EDC should include a plan to address those differences.</w:t>
      </w:r>
    </w:p>
    <w:p w:rsidR="003666C9" w:rsidRDefault="003666C9" w:rsidP="003666C9">
      <w:pPr>
        <w:rPr>
          <w:color w:val="auto"/>
          <w:sz w:val="26"/>
          <w:szCs w:val="26"/>
        </w:rPr>
      </w:pPr>
    </w:p>
    <w:p w:rsidR="003666C9" w:rsidRPr="003666C9" w:rsidRDefault="003666C9" w:rsidP="003666C9">
      <w:pPr>
        <w:rPr>
          <w:color w:val="auto"/>
          <w:sz w:val="26"/>
          <w:szCs w:val="26"/>
        </w:rPr>
      </w:pPr>
      <w:r>
        <w:rPr>
          <w:color w:val="auto"/>
          <w:sz w:val="26"/>
          <w:szCs w:val="26"/>
        </w:rPr>
        <w:t>The Commission is required to act on the plan within 90 days.</w:t>
      </w:r>
    </w:p>
    <w:p w:rsidR="007959CE" w:rsidRDefault="007959CE" w:rsidP="00FC161D">
      <w:pPr>
        <w:ind w:firstLine="1440"/>
        <w:rPr>
          <w:color w:val="auto"/>
          <w:sz w:val="26"/>
          <w:szCs w:val="26"/>
        </w:rPr>
      </w:pPr>
    </w:p>
    <w:p w:rsidR="00E147CB" w:rsidRDefault="00E02E0E" w:rsidP="0041716E">
      <w:pPr>
        <w:spacing w:line="360" w:lineRule="auto"/>
        <w:ind w:firstLine="1440"/>
        <w:rPr>
          <w:color w:val="auto"/>
          <w:sz w:val="26"/>
          <w:szCs w:val="26"/>
        </w:rPr>
      </w:pPr>
      <w:r>
        <w:rPr>
          <w:color w:val="auto"/>
          <w:sz w:val="26"/>
          <w:szCs w:val="26"/>
        </w:rPr>
        <w:lastRenderedPageBreak/>
        <w:t>I</w:t>
      </w:r>
      <w:r w:rsidR="00EA33EF">
        <w:rPr>
          <w:color w:val="auto"/>
          <w:sz w:val="26"/>
          <w:szCs w:val="26"/>
        </w:rPr>
        <w:t xml:space="preserve">n </w:t>
      </w:r>
      <w:r>
        <w:rPr>
          <w:color w:val="auto"/>
          <w:sz w:val="26"/>
          <w:szCs w:val="26"/>
        </w:rPr>
        <w:t>PPL’s recently filed base rate proceeding</w:t>
      </w:r>
      <w:r w:rsidR="00E64881">
        <w:rPr>
          <w:color w:val="auto"/>
          <w:sz w:val="26"/>
          <w:szCs w:val="26"/>
        </w:rPr>
        <w:t xml:space="preserve"> </w:t>
      </w:r>
      <w:r>
        <w:rPr>
          <w:color w:val="auto"/>
          <w:sz w:val="26"/>
          <w:szCs w:val="26"/>
        </w:rPr>
        <w:t>which is now</w:t>
      </w:r>
      <w:r w:rsidR="00EA33EF">
        <w:rPr>
          <w:color w:val="auto"/>
          <w:sz w:val="26"/>
          <w:szCs w:val="26"/>
        </w:rPr>
        <w:t xml:space="preserve"> before the Commission,</w:t>
      </w:r>
      <w:r w:rsidR="00E64881">
        <w:rPr>
          <w:rStyle w:val="FootnoteReference"/>
          <w:color w:val="auto"/>
          <w:sz w:val="26"/>
          <w:szCs w:val="26"/>
        </w:rPr>
        <w:footnoteReference w:id="11"/>
      </w:r>
      <w:r w:rsidR="00374071">
        <w:rPr>
          <w:color w:val="auto"/>
          <w:sz w:val="26"/>
          <w:szCs w:val="26"/>
        </w:rPr>
        <w:t xml:space="preserve"> </w:t>
      </w:r>
      <w:r>
        <w:rPr>
          <w:color w:val="auto"/>
          <w:sz w:val="26"/>
          <w:szCs w:val="26"/>
        </w:rPr>
        <w:t>the Company indicates that it intends to file</w:t>
      </w:r>
      <w:r w:rsidR="00E41007">
        <w:rPr>
          <w:color w:val="auto"/>
          <w:sz w:val="26"/>
          <w:szCs w:val="26"/>
        </w:rPr>
        <w:t xml:space="preserve"> its next three-year</w:t>
      </w:r>
      <w:r w:rsidR="007C0F48">
        <w:rPr>
          <w:color w:val="auto"/>
          <w:sz w:val="26"/>
          <w:szCs w:val="26"/>
        </w:rPr>
        <w:t xml:space="preserve"> universal service and energy conservation</w:t>
      </w:r>
      <w:r w:rsidR="00E41007">
        <w:rPr>
          <w:color w:val="auto"/>
          <w:sz w:val="26"/>
          <w:szCs w:val="26"/>
        </w:rPr>
        <w:t xml:space="preserve"> plan by June 1, 2010, to be effective from January 1, 2011 through December 31, 2013.</w:t>
      </w:r>
      <w:r w:rsidR="00762422">
        <w:rPr>
          <w:rStyle w:val="FootnoteReference"/>
          <w:color w:val="auto"/>
          <w:sz w:val="26"/>
          <w:szCs w:val="26"/>
        </w:rPr>
        <w:footnoteReference w:id="12"/>
      </w:r>
      <w:r w:rsidR="00E147CB">
        <w:rPr>
          <w:color w:val="auto"/>
          <w:sz w:val="26"/>
          <w:szCs w:val="26"/>
        </w:rPr>
        <w:t xml:space="preserve">  This plan will describe how the Company will implement its various universal service programs, and will include</w:t>
      </w:r>
      <w:r w:rsidR="004746FD">
        <w:rPr>
          <w:color w:val="auto"/>
          <w:sz w:val="26"/>
          <w:szCs w:val="26"/>
        </w:rPr>
        <w:t xml:space="preserve"> the elements required by our regulations.</w:t>
      </w:r>
      <w:r w:rsidR="002C050D">
        <w:rPr>
          <w:color w:val="auto"/>
          <w:sz w:val="26"/>
          <w:szCs w:val="26"/>
        </w:rPr>
        <w:t xml:space="preserve">  </w:t>
      </w:r>
      <w:r w:rsidR="00FA7C64">
        <w:rPr>
          <w:color w:val="auto"/>
          <w:sz w:val="26"/>
          <w:szCs w:val="26"/>
        </w:rPr>
        <w:t>Thus, PPL’</w:t>
      </w:r>
      <w:r w:rsidR="000E1D2D">
        <w:rPr>
          <w:color w:val="auto"/>
          <w:sz w:val="26"/>
          <w:szCs w:val="26"/>
        </w:rPr>
        <w:t>s impending</w:t>
      </w:r>
      <w:r w:rsidR="00FA7C64">
        <w:rPr>
          <w:color w:val="auto"/>
          <w:sz w:val="26"/>
          <w:szCs w:val="26"/>
        </w:rPr>
        <w:t xml:space="preserve"> filing of its next three-year universal service and energy conservation plan will</w:t>
      </w:r>
      <w:r w:rsidR="007F1D44">
        <w:rPr>
          <w:color w:val="auto"/>
          <w:sz w:val="26"/>
          <w:szCs w:val="26"/>
        </w:rPr>
        <w:t xml:space="preserve"> necessarily</w:t>
      </w:r>
      <w:r w:rsidR="00F52D5E">
        <w:rPr>
          <w:color w:val="auto"/>
          <w:sz w:val="26"/>
          <w:szCs w:val="26"/>
        </w:rPr>
        <w:t xml:space="preserve"> cover</w:t>
      </w:r>
      <w:r w:rsidR="002B4757">
        <w:rPr>
          <w:color w:val="auto"/>
          <w:sz w:val="26"/>
          <w:szCs w:val="26"/>
        </w:rPr>
        <w:t xml:space="preserve"> the entire range</w:t>
      </w:r>
      <w:r w:rsidR="00FA7C64">
        <w:rPr>
          <w:color w:val="auto"/>
          <w:sz w:val="26"/>
          <w:szCs w:val="26"/>
        </w:rPr>
        <w:t xml:space="preserve"> of</w:t>
      </w:r>
      <w:r w:rsidR="002B4757">
        <w:rPr>
          <w:color w:val="auto"/>
          <w:sz w:val="26"/>
          <w:szCs w:val="26"/>
        </w:rPr>
        <w:t xml:space="preserve"> elements and issues </w:t>
      </w:r>
      <w:r w:rsidR="00F52D5E">
        <w:rPr>
          <w:color w:val="auto"/>
          <w:sz w:val="26"/>
          <w:szCs w:val="26"/>
        </w:rPr>
        <w:t>relating to</w:t>
      </w:r>
      <w:r w:rsidR="002B4757">
        <w:rPr>
          <w:color w:val="auto"/>
          <w:sz w:val="26"/>
          <w:szCs w:val="26"/>
        </w:rPr>
        <w:t xml:space="preserve"> its various universal service programs, and would be the more appropriate forum in which </w:t>
      </w:r>
      <w:r w:rsidR="00F52D5E">
        <w:rPr>
          <w:color w:val="auto"/>
          <w:sz w:val="26"/>
          <w:szCs w:val="26"/>
        </w:rPr>
        <w:t xml:space="preserve">to address the concerns raised by </w:t>
      </w:r>
      <w:r w:rsidR="007F1D44">
        <w:rPr>
          <w:color w:val="auto"/>
          <w:sz w:val="26"/>
          <w:szCs w:val="26"/>
        </w:rPr>
        <w:t>Mr. Epstein and SEF in the in</w:t>
      </w:r>
      <w:r w:rsidR="00F52D5E">
        <w:rPr>
          <w:color w:val="auto"/>
          <w:sz w:val="26"/>
          <w:szCs w:val="26"/>
        </w:rPr>
        <w:t>stant proceeding.</w:t>
      </w:r>
      <w:r w:rsidR="000E5A04">
        <w:rPr>
          <w:color w:val="auto"/>
          <w:sz w:val="26"/>
          <w:szCs w:val="26"/>
        </w:rPr>
        <w:t xml:space="preserve">  Accordingly, we will direct PPL to serve a copy of its </w:t>
      </w:r>
      <w:r w:rsidR="000E1D2D">
        <w:rPr>
          <w:color w:val="auto"/>
          <w:sz w:val="26"/>
          <w:szCs w:val="26"/>
        </w:rPr>
        <w:t xml:space="preserve">upcoming universal service and </w:t>
      </w:r>
      <w:r w:rsidR="00407F05">
        <w:rPr>
          <w:color w:val="auto"/>
          <w:sz w:val="26"/>
          <w:szCs w:val="26"/>
        </w:rPr>
        <w:t xml:space="preserve">energy </w:t>
      </w:r>
      <w:r w:rsidR="000E1D2D">
        <w:rPr>
          <w:color w:val="auto"/>
          <w:sz w:val="26"/>
          <w:szCs w:val="26"/>
        </w:rPr>
        <w:t xml:space="preserve">conservation </w:t>
      </w:r>
      <w:r w:rsidR="00407F05">
        <w:rPr>
          <w:color w:val="auto"/>
          <w:sz w:val="26"/>
          <w:szCs w:val="26"/>
        </w:rPr>
        <w:t xml:space="preserve">plan filing on both Mr. Epstein and SEF, and </w:t>
      </w:r>
      <w:r w:rsidR="00CA191E">
        <w:rPr>
          <w:color w:val="auto"/>
          <w:sz w:val="26"/>
          <w:szCs w:val="26"/>
        </w:rPr>
        <w:t>will advise Mr. Epstein and SEF to</w:t>
      </w:r>
      <w:r w:rsidR="003D2784">
        <w:rPr>
          <w:color w:val="auto"/>
          <w:sz w:val="26"/>
          <w:szCs w:val="26"/>
        </w:rPr>
        <w:t xml:space="preserve"> participate and</w:t>
      </w:r>
      <w:r w:rsidR="00CA191E">
        <w:rPr>
          <w:color w:val="auto"/>
          <w:sz w:val="26"/>
          <w:szCs w:val="26"/>
        </w:rPr>
        <w:t xml:space="preserve"> </w:t>
      </w:r>
      <w:r w:rsidR="000369F8">
        <w:rPr>
          <w:color w:val="auto"/>
          <w:sz w:val="26"/>
          <w:szCs w:val="26"/>
        </w:rPr>
        <w:t>raise whatever issues they deem</w:t>
      </w:r>
      <w:r w:rsidR="003D445D">
        <w:rPr>
          <w:color w:val="auto"/>
          <w:sz w:val="26"/>
          <w:szCs w:val="26"/>
        </w:rPr>
        <w:t xml:space="preserve"> relevant </w:t>
      </w:r>
      <w:r w:rsidR="00866E9B">
        <w:rPr>
          <w:color w:val="auto"/>
          <w:sz w:val="26"/>
          <w:szCs w:val="26"/>
        </w:rPr>
        <w:t xml:space="preserve">to the Company’s universal service programs </w:t>
      </w:r>
      <w:r w:rsidR="003D445D">
        <w:rPr>
          <w:color w:val="auto"/>
          <w:sz w:val="26"/>
          <w:szCs w:val="26"/>
        </w:rPr>
        <w:t>in that proceeding</w:t>
      </w:r>
      <w:r w:rsidR="003D2784">
        <w:rPr>
          <w:color w:val="auto"/>
          <w:sz w:val="26"/>
          <w:szCs w:val="26"/>
        </w:rPr>
        <w:t>.</w:t>
      </w:r>
      <w:r w:rsidR="003539AE">
        <w:rPr>
          <w:color w:val="auto"/>
          <w:sz w:val="26"/>
          <w:szCs w:val="26"/>
        </w:rPr>
        <w:t xml:space="preserve">  We will also direct PPL to serve a copy of its upcoming universal service and energy conservation plan filing on the OCA.</w:t>
      </w:r>
    </w:p>
    <w:p w:rsidR="008E2BF4" w:rsidRDefault="008E2BF4" w:rsidP="00FC161D">
      <w:pPr>
        <w:ind w:firstLine="1440"/>
        <w:rPr>
          <w:color w:val="auto"/>
          <w:sz w:val="26"/>
          <w:szCs w:val="26"/>
        </w:rPr>
      </w:pPr>
    </w:p>
    <w:p w:rsidR="00CF36CE" w:rsidRPr="00FA456B" w:rsidRDefault="008E2BF4" w:rsidP="00FE6F59">
      <w:pPr>
        <w:spacing w:line="360" w:lineRule="auto"/>
        <w:ind w:firstLine="1440"/>
        <w:rPr>
          <w:color w:val="auto"/>
          <w:sz w:val="26"/>
          <w:szCs w:val="26"/>
        </w:rPr>
      </w:pPr>
      <w:r>
        <w:rPr>
          <w:color w:val="auto"/>
          <w:sz w:val="26"/>
          <w:szCs w:val="26"/>
        </w:rPr>
        <w:t>As for PPL’s pr</w:t>
      </w:r>
      <w:r w:rsidR="00FA456B">
        <w:rPr>
          <w:color w:val="auto"/>
          <w:sz w:val="26"/>
          <w:szCs w:val="26"/>
        </w:rPr>
        <w:t>oposal</w:t>
      </w:r>
      <w:r>
        <w:rPr>
          <w:color w:val="auto"/>
          <w:sz w:val="26"/>
          <w:szCs w:val="26"/>
        </w:rPr>
        <w:t xml:space="preserve"> to maintain the annual reconciliation of its current USR</w:t>
      </w:r>
      <w:r w:rsidR="00FA456B">
        <w:rPr>
          <w:color w:val="auto"/>
          <w:sz w:val="26"/>
          <w:szCs w:val="26"/>
        </w:rPr>
        <w:t xml:space="preserve"> as filed in the instant proceeding</w:t>
      </w:r>
      <w:r>
        <w:rPr>
          <w:color w:val="auto"/>
          <w:sz w:val="26"/>
          <w:szCs w:val="26"/>
        </w:rPr>
        <w:t xml:space="preserve">, we </w:t>
      </w:r>
      <w:r w:rsidR="00D03F96">
        <w:rPr>
          <w:color w:val="auto"/>
          <w:sz w:val="26"/>
          <w:szCs w:val="26"/>
        </w:rPr>
        <w:t>note</w:t>
      </w:r>
      <w:r w:rsidR="00010C62">
        <w:rPr>
          <w:color w:val="auto"/>
          <w:sz w:val="26"/>
          <w:szCs w:val="26"/>
        </w:rPr>
        <w:t xml:space="preserve"> that</w:t>
      </w:r>
      <w:r w:rsidR="00256874">
        <w:rPr>
          <w:color w:val="auto"/>
          <w:sz w:val="26"/>
          <w:szCs w:val="26"/>
        </w:rPr>
        <w:t xml:space="preserve"> </w:t>
      </w:r>
      <w:r w:rsidR="00954B50" w:rsidRPr="00954B50">
        <w:rPr>
          <w:color w:val="auto"/>
          <w:sz w:val="26"/>
          <w:szCs w:val="26"/>
        </w:rPr>
        <w:t>in our 2006 CAP Order</w:t>
      </w:r>
      <w:r w:rsidR="00010C62">
        <w:rPr>
          <w:color w:val="auto"/>
          <w:sz w:val="26"/>
          <w:szCs w:val="26"/>
        </w:rPr>
        <w:t>,</w:t>
      </w:r>
      <w:r w:rsidR="00954B50">
        <w:rPr>
          <w:rStyle w:val="FootnoteReference"/>
          <w:color w:val="auto"/>
          <w:sz w:val="26"/>
          <w:szCs w:val="26"/>
        </w:rPr>
        <w:footnoteReference w:id="13"/>
      </w:r>
      <w:r w:rsidR="00010C62">
        <w:rPr>
          <w:color w:val="auto"/>
          <w:sz w:val="26"/>
          <w:szCs w:val="26"/>
        </w:rPr>
        <w:t xml:space="preserve"> we pointed out</w:t>
      </w:r>
      <w:r w:rsidR="00954B50">
        <w:rPr>
          <w:color w:val="auto"/>
          <w:sz w:val="26"/>
          <w:szCs w:val="26"/>
        </w:rPr>
        <w:t xml:space="preserve"> </w:t>
      </w:r>
      <w:r w:rsidR="00056B06">
        <w:rPr>
          <w:color w:val="auto"/>
          <w:sz w:val="26"/>
          <w:szCs w:val="26"/>
        </w:rPr>
        <w:t xml:space="preserve">that </w:t>
      </w:r>
      <w:r w:rsidR="00010C62">
        <w:rPr>
          <w:color w:val="000000"/>
          <w:sz w:val="26"/>
          <w:szCs w:val="26"/>
        </w:rPr>
        <w:t>“[b]</w:t>
      </w:r>
      <w:r w:rsidR="00010C62" w:rsidRPr="00D13468">
        <w:rPr>
          <w:color w:val="000000"/>
          <w:sz w:val="26"/>
          <w:szCs w:val="26"/>
        </w:rPr>
        <w:t xml:space="preserve">oth the Electricity Competition Act and the Natural Gas Competition Act state explicitly </w:t>
      </w:r>
      <w:r w:rsidR="00010C62">
        <w:rPr>
          <w:color w:val="000000"/>
          <w:sz w:val="26"/>
          <w:szCs w:val="26"/>
        </w:rPr>
        <w:t>that utilities have a right to ‘fully recover’</w:t>
      </w:r>
      <w:r w:rsidR="00010C62" w:rsidRPr="00D13468">
        <w:rPr>
          <w:color w:val="000000"/>
          <w:sz w:val="26"/>
          <w:szCs w:val="26"/>
        </w:rPr>
        <w:t xml:space="preserve"> their costs incurred in providing universal service programs.</w:t>
      </w:r>
      <w:r w:rsidR="00010C62">
        <w:rPr>
          <w:color w:val="000000"/>
          <w:sz w:val="26"/>
          <w:szCs w:val="26"/>
        </w:rPr>
        <w:t>”</w:t>
      </w:r>
      <w:r w:rsidR="00010C62" w:rsidRPr="00D13468">
        <w:rPr>
          <w:rStyle w:val="FootnoteReference"/>
          <w:color w:val="000000"/>
          <w:sz w:val="26"/>
          <w:szCs w:val="26"/>
        </w:rPr>
        <w:footnoteReference w:id="14"/>
      </w:r>
      <w:r w:rsidR="00010C62" w:rsidRPr="00D13468">
        <w:rPr>
          <w:color w:val="000000"/>
          <w:sz w:val="26"/>
          <w:szCs w:val="26"/>
        </w:rPr>
        <w:t xml:space="preserve">  </w:t>
      </w:r>
      <w:r w:rsidR="00360676">
        <w:rPr>
          <w:color w:val="000000"/>
          <w:sz w:val="26"/>
          <w:szCs w:val="26"/>
        </w:rPr>
        <w:t xml:space="preserve">We also ruled that </w:t>
      </w:r>
      <w:r w:rsidR="00360676">
        <w:rPr>
          <w:color w:val="auto"/>
          <w:sz w:val="26"/>
          <w:szCs w:val="26"/>
        </w:rPr>
        <w:t>“[a]t the utility’s option, it may request a surcharge that is subject to reconciliation, or a surcharge that is adjusted prospectively on a quarterly basis.”</w:t>
      </w:r>
      <w:r w:rsidR="00B40434">
        <w:rPr>
          <w:color w:val="auto"/>
          <w:sz w:val="26"/>
          <w:szCs w:val="26"/>
        </w:rPr>
        <w:t xml:space="preserve">  Of those two options, </w:t>
      </w:r>
      <w:r w:rsidR="00983A87">
        <w:rPr>
          <w:color w:val="auto"/>
          <w:sz w:val="26"/>
          <w:szCs w:val="26"/>
        </w:rPr>
        <w:t>PPL has chosen the</w:t>
      </w:r>
      <w:r w:rsidR="00360676">
        <w:rPr>
          <w:color w:val="auto"/>
          <w:sz w:val="26"/>
          <w:szCs w:val="26"/>
        </w:rPr>
        <w:t xml:space="preserve"> reconcilable surcharge</w:t>
      </w:r>
      <w:r w:rsidR="00983A87">
        <w:rPr>
          <w:color w:val="auto"/>
          <w:sz w:val="26"/>
          <w:szCs w:val="26"/>
        </w:rPr>
        <w:t>,</w:t>
      </w:r>
      <w:r w:rsidR="00360676">
        <w:rPr>
          <w:color w:val="auto"/>
          <w:sz w:val="26"/>
          <w:szCs w:val="26"/>
        </w:rPr>
        <w:t xml:space="preserve"> </w:t>
      </w:r>
      <w:r w:rsidR="00BD1F43">
        <w:rPr>
          <w:color w:val="auto"/>
          <w:sz w:val="26"/>
          <w:szCs w:val="26"/>
        </w:rPr>
        <w:lastRenderedPageBreak/>
        <w:t>which has been in place since the conclusion of its 2007 base rate proceeding</w:t>
      </w:r>
      <w:r w:rsidR="006D366C">
        <w:rPr>
          <w:color w:val="auto"/>
          <w:sz w:val="26"/>
          <w:szCs w:val="26"/>
        </w:rPr>
        <w:t xml:space="preserve"> and has worked efficiently since January 1, 2008</w:t>
      </w:r>
      <w:r w:rsidR="00BD1F43">
        <w:rPr>
          <w:color w:val="auto"/>
          <w:sz w:val="26"/>
          <w:szCs w:val="26"/>
        </w:rPr>
        <w:t xml:space="preserve">.  This option </w:t>
      </w:r>
      <w:r w:rsidR="00360676">
        <w:rPr>
          <w:color w:val="auto"/>
          <w:sz w:val="26"/>
          <w:szCs w:val="26"/>
        </w:rPr>
        <w:t xml:space="preserve">would appear to be </w:t>
      </w:r>
      <w:r w:rsidR="00C84502">
        <w:rPr>
          <w:color w:val="auto"/>
          <w:sz w:val="26"/>
          <w:szCs w:val="26"/>
        </w:rPr>
        <w:t>ideally designed to</w:t>
      </w:r>
      <w:r w:rsidR="00F64EF8">
        <w:rPr>
          <w:color w:val="auto"/>
          <w:sz w:val="26"/>
          <w:szCs w:val="26"/>
        </w:rPr>
        <w:t xml:space="preserve"> </w:t>
      </w:r>
      <w:r w:rsidR="00C84502">
        <w:rPr>
          <w:color w:val="auto"/>
          <w:sz w:val="26"/>
          <w:szCs w:val="26"/>
        </w:rPr>
        <w:t xml:space="preserve">promote </w:t>
      </w:r>
      <w:r w:rsidR="00360676">
        <w:rPr>
          <w:color w:val="auto"/>
          <w:sz w:val="26"/>
          <w:szCs w:val="26"/>
        </w:rPr>
        <w:t>full</w:t>
      </w:r>
      <w:r w:rsidR="00F64EF8">
        <w:rPr>
          <w:color w:val="auto"/>
          <w:sz w:val="26"/>
          <w:szCs w:val="26"/>
        </w:rPr>
        <w:t xml:space="preserve"> cost</w:t>
      </w:r>
      <w:r w:rsidR="00360676">
        <w:rPr>
          <w:color w:val="auto"/>
          <w:sz w:val="26"/>
          <w:szCs w:val="26"/>
        </w:rPr>
        <w:t xml:space="preserve"> recovery</w:t>
      </w:r>
      <w:r w:rsidR="00B40434">
        <w:rPr>
          <w:color w:val="auto"/>
          <w:sz w:val="26"/>
          <w:szCs w:val="26"/>
        </w:rPr>
        <w:t xml:space="preserve"> as mandated by the Electricity </w:t>
      </w:r>
      <w:r w:rsidR="00EC19BD">
        <w:rPr>
          <w:color w:val="auto"/>
          <w:sz w:val="26"/>
          <w:szCs w:val="26"/>
        </w:rPr>
        <w:t>Competition Act since</w:t>
      </w:r>
      <w:r w:rsidR="00360676">
        <w:rPr>
          <w:color w:val="auto"/>
          <w:sz w:val="26"/>
          <w:szCs w:val="26"/>
        </w:rPr>
        <w:t xml:space="preserve"> it allows the utility to recoup undercollected costs</w:t>
      </w:r>
      <w:r w:rsidR="00740C4D">
        <w:rPr>
          <w:color w:val="auto"/>
          <w:sz w:val="26"/>
          <w:szCs w:val="26"/>
        </w:rPr>
        <w:t>,</w:t>
      </w:r>
      <w:r w:rsidR="00360676">
        <w:rPr>
          <w:color w:val="auto"/>
          <w:sz w:val="26"/>
          <w:szCs w:val="26"/>
        </w:rPr>
        <w:t xml:space="preserve"> while ensuring that customers </w:t>
      </w:r>
      <w:r w:rsidR="00740C4D">
        <w:rPr>
          <w:color w:val="auto"/>
          <w:sz w:val="26"/>
          <w:szCs w:val="26"/>
        </w:rPr>
        <w:t>are compensated</w:t>
      </w:r>
      <w:r w:rsidR="00360676">
        <w:rPr>
          <w:color w:val="auto"/>
          <w:sz w:val="26"/>
          <w:szCs w:val="26"/>
        </w:rPr>
        <w:t xml:space="preserve"> for any overcollected costs.</w:t>
      </w:r>
      <w:r w:rsidR="00EC19BD">
        <w:rPr>
          <w:color w:val="auto"/>
          <w:sz w:val="26"/>
          <w:szCs w:val="26"/>
        </w:rPr>
        <w:t xml:space="preserve">  </w:t>
      </w:r>
      <w:r w:rsidR="00E70522">
        <w:rPr>
          <w:color w:val="auto"/>
          <w:sz w:val="26"/>
          <w:szCs w:val="26"/>
        </w:rPr>
        <w:t>N</w:t>
      </w:r>
      <w:r w:rsidR="00EC19BD">
        <w:rPr>
          <w:color w:val="auto"/>
          <w:sz w:val="26"/>
          <w:szCs w:val="26"/>
        </w:rPr>
        <w:t xml:space="preserve">either Mr. Epstein nor SEF have </w:t>
      </w:r>
      <w:r w:rsidR="00E70522">
        <w:rPr>
          <w:color w:val="auto"/>
          <w:sz w:val="26"/>
          <w:szCs w:val="26"/>
        </w:rPr>
        <w:t>proposed any alternative to the Company’s annual reconciliation mechanism</w:t>
      </w:r>
      <w:r w:rsidR="00193954">
        <w:rPr>
          <w:color w:val="auto"/>
          <w:sz w:val="26"/>
          <w:szCs w:val="26"/>
        </w:rPr>
        <w:t xml:space="preserve"> in this case</w:t>
      </w:r>
      <w:r w:rsidR="002F6D5F">
        <w:rPr>
          <w:color w:val="auto"/>
          <w:sz w:val="26"/>
          <w:szCs w:val="26"/>
        </w:rPr>
        <w:t xml:space="preserve">, </w:t>
      </w:r>
      <w:r w:rsidR="00E70522">
        <w:rPr>
          <w:color w:val="auto"/>
          <w:sz w:val="26"/>
          <w:szCs w:val="26"/>
        </w:rPr>
        <w:t>nor have they provided any reason to reject the Company’s approach</w:t>
      </w:r>
      <w:r w:rsidR="00FF51F9">
        <w:rPr>
          <w:color w:val="auto"/>
          <w:sz w:val="26"/>
          <w:szCs w:val="26"/>
        </w:rPr>
        <w:t xml:space="preserve">.  </w:t>
      </w:r>
      <w:r w:rsidR="00BB47C4">
        <w:rPr>
          <w:color w:val="auto"/>
          <w:sz w:val="26"/>
          <w:szCs w:val="26"/>
        </w:rPr>
        <w:t>T</w:t>
      </w:r>
      <w:r w:rsidR="00F64EF8">
        <w:rPr>
          <w:color w:val="auto"/>
          <w:sz w:val="26"/>
          <w:szCs w:val="26"/>
        </w:rPr>
        <w:t>hus,</w:t>
      </w:r>
      <w:r w:rsidR="00836D63">
        <w:rPr>
          <w:color w:val="auto"/>
          <w:sz w:val="26"/>
          <w:szCs w:val="26"/>
        </w:rPr>
        <w:t xml:space="preserve"> we find no reason to disapprove</w:t>
      </w:r>
      <w:r w:rsidR="00463D35">
        <w:rPr>
          <w:color w:val="auto"/>
          <w:sz w:val="26"/>
          <w:szCs w:val="26"/>
        </w:rPr>
        <w:t xml:space="preserve"> PPL’s proposal at this time.</w:t>
      </w:r>
      <w:r w:rsidR="00F64EF8">
        <w:rPr>
          <w:color w:val="auto"/>
          <w:sz w:val="26"/>
          <w:szCs w:val="26"/>
        </w:rPr>
        <w:t xml:space="preserve">  </w:t>
      </w:r>
      <w:r w:rsidR="00BB4198">
        <w:rPr>
          <w:color w:val="auto"/>
          <w:sz w:val="26"/>
          <w:szCs w:val="26"/>
        </w:rPr>
        <w:t>Accordingly</w:t>
      </w:r>
      <w:r w:rsidR="00D65DD4">
        <w:rPr>
          <w:color w:val="auto"/>
          <w:sz w:val="26"/>
          <w:szCs w:val="26"/>
        </w:rPr>
        <w:t>, we will approve PPL’s</w:t>
      </w:r>
      <w:r w:rsidR="00FA456B">
        <w:rPr>
          <w:color w:val="auto"/>
          <w:sz w:val="26"/>
          <w:szCs w:val="26"/>
        </w:rPr>
        <w:t xml:space="preserve"> proposal as set forth in its</w:t>
      </w:r>
      <w:r w:rsidR="00843A5D">
        <w:rPr>
          <w:color w:val="auto"/>
          <w:sz w:val="26"/>
          <w:szCs w:val="26"/>
        </w:rPr>
        <w:t xml:space="preserve"> Supplement No. 80</w:t>
      </w:r>
      <w:r w:rsidR="00D65DD4">
        <w:rPr>
          <w:color w:val="auto"/>
          <w:sz w:val="26"/>
          <w:szCs w:val="26"/>
        </w:rPr>
        <w:t>, subject to any further findings and conclusions reached upon our subsequent review of PPL’s forthcoming three-year universal service and energy conservation plan filing</w:t>
      </w:r>
      <w:r w:rsidR="00BB4198">
        <w:rPr>
          <w:color w:val="auto"/>
          <w:sz w:val="26"/>
          <w:szCs w:val="26"/>
        </w:rPr>
        <w:t>;</w:t>
      </w:r>
      <w:r w:rsidR="00FA456B">
        <w:rPr>
          <w:color w:val="auto"/>
          <w:sz w:val="26"/>
          <w:szCs w:val="26"/>
        </w:rPr>
        <w:t xml:space="preserve">  </w:t>
      </w:r>
      <w:r w:rsidR="00CF36CE" w:rsidRPr="00FA456B">
        <w:rPr>
          <w:b/>
          <w:color w:val="auto"/>
          <w:sz w:val="26"/>
          <w:szCs w:val="26"/>
        </w:rPr>
        <w:t>THEREFORE,</w:t>
      </w:r>
    </w:p>
    <w:p w:rsidR="00757B8A" w:rsidRPr="00FA456B" w:rsidRDefault="00CF36CE" w:rsidP="001619A8">
      <w:pPr>
        <w:rPr>
          <w:b/>
          <w:color w:val="auto"/>
          <w:sz w:val="26"/>
          <w:szCs w:val="26"/>
        </w:rPr>
      </w:pPr>
      <w:r w:rsidRPr="00FA456B">
        <w:rPr>
          <w:b/>
          <w:color w:val="auto"/>
          <w:sz w:val="26"/>
          <w:szCs w:val="26"/>
        </w:rPr>
        <w:tab/>
      </w:r>
    </w:p>
    <w:p w:rsidR="00CF36CE" w:rsidRPr="00FA456B" w:rsidRDefault="00CF36CE" w:rsidP="003C332F">
      <w:pPr>
        <w:spacing w:line="360" w:lineRule="auto"/>
        <w:ind w:firstLine="720"/>
        <w:rPr>
          <w:b/>
          <w:color w:val="auto"/>
          <w:sz w:val="26"/>
          <w:szCs w:val="26"/>
        </w:rPr>
      </w:pPr>
      <w:r w:rsidRPr="00FA456B">
        <w:rPr>
          <w:b/>
          <w:color w:val="auto"/>
          <w:sz w:val="26"/>
          <w:szCs w:val="26"/>
        </w:rPr>
        <w:t>IT IS ORDERED:</w:t>
      </w:r>
    </w:p>
    <w:p w:rsidR="00E01C36" w:rsidRPr="00FD596B" w:rsidRDefault="00E01C36" w:rsidP="001619A8">
      <w:pPr>
        <w:rPr>
          <w:color w:val="auto"/>
          <w:sz w:val="26"/>
          <w:szCs w:val="26"/>
        </w:rPr>
      </w:pPr>
    </w:p>
    <w:p w:rsidR="00AA0E4C" w:rsidRPr="00FD596B" w:rsidRDefault="005B1CC0" w:rsidP="00AA0E4C">
      <w:pPr>
        <w:spacing w:line="360" w:lineRule="auto"/>
        <w:ind w:firstLine="1440"/>
        <w:rPr>
          <w:color w:val="auto"/>
          <w:sz w:val="26"/>
          <w:szCs w:val="26"/>
        </w:rPr>
      </w:pPr>
      <w:r w:rsidRPr="00FD596B">
        <w:rPr>
          <w:color w:val="auto"/>
          <w:sz w:val="26"/>
          <w:szCs w:val="26"/>
        </w:rPr>
        <w:t>1.</w:t>
      </w:r>
      <w:r w:rsidRPr="00FD596B">
        <w:rPr>
          <w:color w:val="auto"/>
          <w:sz w:val="26"/>
          <w:szCs w:val="26"/>
        </w:rPr>
        <w:tab/>
      </w:r>
      <w:r w:rsidR="00AA0E4C" w:rsidRPr="00FD596B">
        <w:rPr>
          <w:color w:val="auto"/>
          <w:sz w:val="26"/>
          <w:szCs w:val="26"/>
        </w:rPr>
        <w:t>That</w:t>
      </w:r>
      <w:r w:rsidR="00BF7231" w:rsidRPr="00FD596B">
        <w:rPr>
          <w:color w:val="auto"/>
          <w:sz w:val="26"/>
          <w:szCs w:val="26"/>
        </w:rPr>
        <w:t xml:space="preserve"> the language change proposed by</w:t>
      </w:r>
      <w:r w:rsidR="00AA0E4C" w:rsidRPr="00FD596B">
        <w:rPr>
          <w:color w:val="auto"/>
          <w:sz w:val="26"/>
          <w:szCs w:val="26"/>
        </w:rPr>
        <w:t xml:space="preserve"> PPL Electric Utilities Corporation</w:t>
      </w:r>
      <w:r w:rsidR="00BF7231" w:rsidRPr="00FD596B">
        <w:rPr>
          <w:color w:val="auto"/>
          <w:sz w:val="26"/>
          <w:szCs w:val="26"/>
        </w:rPr>
        <w:t xml:space="preserve"> in its </w:t>
      </w:r>
      <w:r w:rsidR="00AA0E4C" w:rsidRPr="00FD596B">
        <w:rPr>
          <w:color w:val="auto"/>
          <w:sz w:val="26"/>
          <w:szCs w:val="26"/>
        </w:rPr>
        <w:t>Supplement No. 80 to Tariff Electric-Pa. P.U.C No. 201</w:t>
      </w:r>
      <w:r w:rsidR="00BF7231" w:rsidRPr="00FD596B">
        <w:rPr>
          <w:color w:val="auto"/>
          <w:sz w:val="26"/>
          <w:szCs w:val="26"/>
        </w:rPr>
        <w:t xml:space="preserve"> </w:t>
      </w:r>
      <w:r w:rsidR="004565F1">
        <w:rPr>
          <w:color w:val="auto"/>
          <w:sz w:val="26"/>
          <w:szCs w:val="26"/>
        </w:rPr>
        <w:t>is</w:t>
      </w:r>
      <w:r w:rsidR="00AA0E4C" w:rsidRPr="00FD596B">
        <w:rPr>
          <w:color w:val="auto"/>
          <w:sz w:val="26"/>
          <w:szCs w:val="26"/>
        </w:rPr>
        <w:t xml:space="preserve"> </w:t>
      </w:r>
      <w:r w:rsidR="00F1370D">
        <w:rPr>
          <w:color w:val="auto"/>
          <w:sz w:val="26"/>
          <w:szCs w:val="26"/>
        </w:rPr>
        <w:t xml:space="preserve">hereby </w:t>
      </w:r>
      <w:r w:rsidR="00AA0E4C" w:rsidRPr="00FD596B">
        <w:rPr>
          <w:color w:val="auto"/>
          <w:sz w:val="26"/>
          <w:szCs w:val="26"/>
        </w:rPr>
        <w:t>approved as filed.</w:t>
      </w:r>
    </w:p>
    <w:p w:rsidR="00FD596B" w:rsidRDefault="00FD596B" w:rsidP="004565F1">
      <w:pPr>
        <w:ind w:firstLine="1440"/>
        <w:rPr>
          <w:color w:val="auto"/>
          <w:sz w:val="26"/>
          <w:szCs w:val="26"/>
          <w:highlight w:val="green"/>
        </w:rPr>
      </w:pPr>
    </w:p>
    <w:p w:rsidR="00FD596B" w:rsidRDefault="00FD596B" w:rsidP="00AA0E4C">
      <w:pPr>
        <w:spacing w:line="360" w:lineRule="auto"/>
        <w:ind w:firstLine="1440"/>
        <w:rPr>
          <w:color w:val="auto"/>
          <w:sz w:val="26"/>
          <w:szCs w:val="26"/>
        </w:rPr>
      </w:pPr>
      <w:r w:rsidRPr="00256EE9">
        <w:rPr>
          <w:color w:val="auto"/>
          <w:sz w:val="26"/>
          <w:szCs w:val="26"/>
        </w:rPr>
        <w:t>2.</w:t>
      </w:r>
      <w:r w:rsidRPr="00256EE9">
        <w:rPr>
          <w:color w:val="auto"/>
          <w:sz w:val="26"/>
          <w:szCs w:val="26"/>
        </w:rPr>
        <w:tab/>
        <w:t>That the</w:t>
      </w:r>
      <w:r>
        <w:rPr>
          <w:color w:val="auto"/>
          <w:sz w:val="26"/>
          <w:szCs w:val="26"/>
        </w:rPr>
        <w:t xml:space="preserve"> annual reconciliation of PPL Electric Utilities Corporation’s currently effective Universal Service Rider</w:t>
      </w:r>
      <w:r w:rsidR="00256EE9">
        <w:rPr>
          <w:color w:val="auto"/>
          <w:sz w:val="26"/>
          <w:szCs w:val="26"/>
        </w:rPr>
        <w:t xml:space="preserve"> </w:t>
      </w:r>
      <w:r w:rsidR="004565F1">
        <w:rPr>
          <w:color w:val="auto"/>
          <w:sz w:val="26"/>
          <w:szCs w:val="26"/>
        </w:rPr>
        <w:t>is</w:t>
      </w:r>
      <w:r w:rsidR="00256EE9">
        <w:rPr>
          <w:color w:val="auto"/>
          <w:sz w:val="26"/>
          <w:szCs w:val="26"/>
        </w:rPr>
        <w:t xml:space="preserve"> </w:t>
      </w:r>
      <w:r w:rsidR="00F1370D">
        <w:rPr>
          <w:color w:val="auto"/>
          <w:sz w:val="26"/>
          <w:szCs w:val="26"/>
        </w:rPr>
        <w:t xml:space="preserve">hereby </w:t>
      </w:r>
      <w:r w:rsidR="00256EE9">
        <w:rPr>
          <w:color w:val="auto"/>
          <w:sz w:val="26"/>
          <w:szCs w:val="26"/>
        </w:rPr>
        <w:t xml:space="preserve">permitted to </w:t>
      </w:r>
      <w:r>
        <w:rPr>
          <w:color w:val="auto"/>
          <w:sz w:val="26"/>
          <w:szCs w:val="26"/>
        </w:rPr>
        <w:t>continue unless or until modified by the Commission</w:t>
      </w:r>
      <w:r w:rsidR="00256EE9">
        <w:rPr>
          <w:color w:val="auto"/>
          <w:sz w:val="26"/>
          <w:szCs w:val="26"/>
        </w:rPr>
        <w:t>.</w:t>
      </w:r>
    </w:p>
    <w:p w:rsidR="00256EE9" w:rsidRDefault="00256EE9" w:rsidP="004565F1">
      <w:pPr>
        <w:ind w:firstLine="1440"/>
        <w:rPr>
          <w:color w:val="auto"/>
          <w:sz w:val="26"/>
          <w:szCs w:val="26"/>
        </w:rPr>
      </w:pPr>
    </w:p>
    <w:p w:rsidR="00256EE9" w:rsidRPr="0047171E" w:rsidRDefault="00256EE9" w:rsidP="00256EE9">
      <w:pPr>
        <w:spacing w:line="360" w:lineRule="auto"/>
        <w:ind w:firstLine="1440"/>
        <w:rPr>
          <w:color w:val="auto"/>
          <w:sz w:val="26"/>
          <w:szCs w:val="26"/>
        </w:rPr>
      </w:pPr>
      <w:r>
        <w:rPr>
          <w:color w:val="auto"/>
          <w:sz w:val="26"/>
          <w:szCs w:val="26"/>
        </w:rPr>
        <w:t>3.</w:t>
      </w:r>
      <w:r>
        <w:rPr>
          <w:color w:val="auto"/>
          <w:sz w:val="26"/>
          <w:szCs w:val="26"/>
        </w:rPr>
        <w:tab/>
        <w:t>That PPL Electric Utilities</w:t>
      </w:r>
      <w:r w:rsidR="0047171E">
        <w:rPr>
          <w:color w:val="auto"/>
          <w:sz w:val="26"/>
          <w:szCs w:val="26"/>
        </w:rPr>
        <w:t xml:space="preserve"> </w:t>
      </w:r>
      <w:r w:rsidR="0047171E" w:rsidRPr="0047171E">
        <w:rPr>
          <w:color w:val="auto"/>
          <w:sz w:val="26"/>
          <w:szCs w:val="26"/>
        </w:rPr>
        <w:t>Corporation</w:t>
      </w:r>
      <w:r w:rsidRPr="0047171E">
        <w:rPr>
          <w:color w:val="auto"/>
          <w:sz w:val="26"/>
          <w:szCs w:val="26"/>
        </w:rPr>
        <w:t xml:space="preserve"> serve a copy of its forthcoming universal service and energy conservation plan on </w:t>
      </w:r>
      <w:r w:rsidR="003539AE">
        <w:rPr>
          <w:color w:val="auto"/>
          <w:sz w:val="26"/>
          <w:szCs w:val="26"/>
        </w:rPr>
        <w:t xml:space="preserve">the OCA, </w:t>
      </w:r>
      <w:r w:rsidR="00765F61">
        <w:rPr>
          <w:color w:val="auto"/>
          <w:sz w:val="26"/>
          <w:szCs w:val="26"/>
        </w:rPr>
        <w:t>Eric Joseph Epstein</w:t>
      </w:r>
      <w:r w:rsidR="003539AE">
        <w:rPr>
          <w:color w:val="auto"/>
          <w:sz w:val="26"/>
          <w:szCs w:val="26"/>
        </w:rPr>
        <w:t>,</w:t>
      </w:r>
      <w:r w:rsidR="0047171E" w:rsidRPr="0047171E">
        <w:rPr>
          <w:color w:val="auto"/>
          <w:sz w:val="26"/>
          <w:szCs w:val="26"/>
        </w:rPr>
        <w:t xml:space="preserve"> and</w:t>
      </w:r>
      <w:r w:rsidRPr="0047171E">
        <w:rPr>
          <w:color w:val="auto"/>
          <w:sz w:val="26"/>
          <w:szCs w:val="26"/>
        </w:rPr>
        <w:t xml:space="preserve"> the Sustainable Energy Fund of Central Eastern Pennsylvania</w:t>
      </w:r>
      <w:r w:rsidR="0047171E" w:rsidRPr="0047171E">
        <w:rPr>
          <w:color w:val="auto"/>
          <w:sz w:val="26"/>
          <w:szCs w:val="26"/>
        </w:rPr>
        <w:t>.</w:t>
      </w:r>
    </w:p>
    <w:p w:rsidR="00B85B4E" w:rsidRPr="00990917" w:rsidRDefault="00B85B4E" w:rsidP="001619A8">
      <w:pPr>
        <w:rPr>
          <w:color w:val="auto"/>
          <w:sz w:val="26"/>
          <w:szCs w:val="26"/>
        </w:rPr>
      </w:pPr>
    </w:p>
    <w:p w:rsidR="00B85B4E" w:rsidRPr="00990917" w:rsidRDefault="00190B54" w:rsidP="00FE6F59">
      <w:pPr>
        <w:spacing w:line="360" w:lineRule="auto"/>
        <w:ind w:firstLine="1440"/>
        <w:rPr>
          <w:color w:val="auto"/>
          <w:sz w:val="26"/>
          <w:szCs w:val="26"/>
        </w:rPr>
      </w:pPr>
      <w:r w:rsidRPr="00990917">
        <w:rPr>
          <w:color w:val="auto"/>
          <w:sz w:val="26"/>
          <w:szCs w:val="26"/>
        </w:rPr>
        <w:t>4.</w:t>
      </w:r>
      <w:r w:rsidRPr="00990917">
        <w:rPr>
          <w:color w:val="auto"/>
          <w:sz w:val="26"/>
          <w:szCs w:val="26"/>
        </w:rPr>
        <w:tab/>
        <w:t>That the Petition</w:t>
      </w:r>
      <w:r w:rsidR="00B85B4E" w:rsidRPr="00990917">
        <w:rPr>
          <w:color w:val="auto"/>
          <w:sz w:val="26"/>
          <w:szCs w:val="26"/>
        </w:rPr>
        <w:t xml:space="preserve"> to Intervene filed</w:t>
      </w:r>
      <w:r w:rsidR="00B76770" w:rsidRPr="00990917">
        <w:rPr>
          <w:color w:val="auto"/>
          <w:sz w:val="26"/>
          <w:szCs w:val="26"/>
        </w:rPr>
        <w:t xml:space="preserve"> in this proceeding</w:t>
      </w:r>
      <w:r w:rsidR="005C5D1A" w:rsidRPr="00990917">
        <w:rPr>
          <w:color w:val="auto"/>
          <w:sz w:val="26"/>
          <w:szCs w:val="26"/>
        </w:rPr>
        <w:t xml:space="preserve"> by </w:t>
      </w:r>
      <w:r w:rsidR="00765F61">
        <w:rPr>
          <w:color w:val="auto"/>
          <w:sz w:val="26"/>
          <w:szCs w:val="26"/>
        </w:rPr>
        <w:t>Eric Joseph Epstein</w:t>
      </w:r>
      <w:r w:rsidR="005C5D1A" w:rsidRPr="00990917">
        <w:rPr>
          <w:color w:val="auto"/>
          <w:sz w:val="26"/>
          <w:szCs w:val="26"/>
        </w:rPr>
        <w:t xml:space="preserve"> </w:t>
      </w:r>
      <w:r w:rsidRPr="00990917">
        <w:rPr>
          <w:color w:val="auto"/>
          <w:sz w:val="26"/>
          <w:szCs w:val="26"/>
        </w:rPr>
        <w:t>is</w:t>
      </w:r>
      <w:r w:rsidR="00B76770" w:rsidRPr="00990917">
        <w:rPr>
          <w:color w:val="auto"/>
          <w:sz w:val="26"/>
          <w:szCs w:val="26"/>
        </w:rPr>
        <w:t xml:space="preserve"> </w:t>
      </w:r>
      <w:r w:rsidR="003E06BD" w:rsidRPr="00990917">
        <w:rPr>
          <w:color w:val="auto"/>
          <w:sz w:val="26"/>
          <w:szCs w:val="26"/>
        </w:rPr>
        <w:t>hereby</w:t>
      </w:r>
      <w:r w:rsidR="00B76770" w:rsidRPr="00990917">
        <w:rPr>
          <w:color w:val="auto"/>
          <w:sz w:val="26"/>
          <w:szCs w:val="26"/>
        </w:rPr>
        <w:t xml:space="preserve"> granted.</w:t>
      </w:r>
    </w:p>
    <w:p w:rsidR="00190B54" w:rsidRPr="00990917" w:rsidRDefault="00190B54" w:rsidP="001619A8">
      <w:pPr>
        <w:ind w:firstLine="1440"/>
        <w:rPr>
          <w:color w:val="auto"/>
          <w:sz w:val="26"/>
          <w:szCs w:val="26"/>
        </w:rPr>
      </w:pPr>
    </w:p>
    <w:p w:rsidR="00190B54" w:rsidRPr="00990917" w:rsidRDefault="008C2901" w:rsidP="00190B54">
      <w:pPr>
        <w:spacing w:line="360" w:lineRule="auto"/>
        <w:ind w:firstLine="1440"/>
        <w:rPr>
          <w:color w:val="auto"/>
          <w:sz w:val="26"/>
          <w:szCs w:val="26"/>
        </w:rPr>
      </w:pPr>
      <w:r>
        <w:rPr>
          <w:color w:val="auto"/>
          <w:sz w:val="26"/>
          <w:szCs w:val="26"/>
        </w:rPr>
        <w:t>5</w:t>
      </w:r>
      <w:r w:rsidR="00190B54" w:rsidRPr="00990917">
        <w:rPr>
          <w:color w:val="auto"/>
          <w:sz w:val="26"/>
          <w:szCs w:val="26"/>
        </w:rPr>
        <w:t>.</w:t>
      </w:r>
      <w:r w:rsidR="00190B54" w:rsidRPr="00990917">
        <w:rPr>
          <w:color w:val="auto"/>
          <w:sz w:val="26"/>
          <w:szCs w:val="26"/>
        </w:rPr>
        <w:tab/>
        <w:t>That the Petition to Intervene filed in this proceeding by the Sustainable Energy Fund of Centra</w:t>
      </w:r>
      <w:r w:rsidR="005C5D1A" w:rsidRPr="00990917">
        <w:rPr>
          <w:color w:val="auto"/>
          <w:sz w:val="26"/>
          <w:szCs w:val="26"/>
        </w:rPr>
        <w:t xml:space="preserve">l Eastern Pennsylvania </w:t>
      </w:r>
      <w:r w:rsidR="00190B54" w:rsidRPr="00990917">
        <w:rPr>
          <w:color w:val="auto"/>
          <w:sz w:val="26"/>
          <w:szCs w:val="26"/>
        </w:rPr>
        <w:t>is hereby granted.</w:t>
      </w:r>
    </w:p>
    <w:p w:rsidR="005B1CC0" w:rsidRPr="00990917" w:rsidRDefault="005B1CC0" w:rsidP="001619A8">
      <w:pPr>
        <w:rPr>
          <w:color w:val="auto"/>
          <w:sz w:val="26"/>
          <w:szCs w:val="26"/>
        </w:rPr>
      </w:pPr>
    </w:p>
    <w:p w:rsidR="003A0A92" w:rsidRDefault="008C2901" w:rsidP="003A0A92">
      <w:pPr>
        <w:spacing w:line="360" w:lineRule="auto"/>
        <w:ind w:firstLine="1440"/>
        <w:rPr>
          <w:color w:val="auto"/>
          <w:sz w:val="26"/>
          <w:szCs w:val="26"/>
        </w:rPr>
      </w:pPr>
      <w:r>
        <w:rPr>
          <w:color w:val="auto"/>
          <w:sz w:val="26"/>
          <w:szCs w:val="26"/>
        </w:rPr>
        <w:t>6</w:t>
      </w:r>
      <w:r w:rsidR="00494B6D" w:rsidRPr="00990917">
        <w:rPr>
          <w:color w:val="auto"/>
          <w:sz w:val="26"/>
          <w:szCs w:val="26"/>
        </w:rPr>
        <w:t>.</w:t>
      </w:r>
      <w:r w:rsidR="00494B6D" w:rsidRPr="00990917">
        <w:rPr>
          <w:color w:val="auto"/>
          <w:sz w:val="26"/>
          <w:szCs w:val="26"/>
        </w:rPr>
        <w:tab/>
        <w:t xml:space="preserve">That a copy of this Order </w:t>
      </w:r>
      <w:r w:rsidR="003E06BD" w:rsidRPr="00990917">
        <w:rPr>
          <w:color w:val="auto"/>
          <w:sz w:val="26"/>
          <w:szCs w:val="26"/>
        </w:rPr>
        <w:t>be served upon PPL Electric Utilities Corporation</w:t>
      </w:r>
      <w:r w:rsidR="005B1CC0" w:rsidRPr="00990917">
        <w:rPr>
          <w:color w:val="auto"/>
          <w:sz w:val="26"/>
          <w:szCs w:val="26"/>
        </w:rPr>
        <w:t xml:space="preserve">, the Office of Trial Staff, the Office of Consumer Advocate, the Office of Small Business Advocate, </w:t>
      </w:r>
      <w:r w:rsidR="00765F61">
        <w:rPr>
          <w:color w:val="auto"/>
          <w:sz w:val="26"/>
          <w:szCs w:val="26"/>
        </w:rPr>
        <w:t>Eric Joseph Epstein</w:t>
      </w:r>
      <w:r w:rsidR="00CE0627" w:rsidRPr="00990917">
        <w:rPr>
          <w:color w:val="auto"/>
          <w:sz w:val="26"/>
          <w:szCs w:val="26"/>
        </w:rPr>
        <w:t xml:space="preserve">, the Sustainable Energy Fund of Central Eastern Pennsylvania, </w:t>
      </w:r>
      <w:r w:rsidR="008D719A" w:rsidRPr="00990917">
        <w:rPr>
          <w:color w:val="auto"/>
          <w:sz w:val="26"/>
          <w:szCs w:val="26"/>
        </w:rPr>
        <w:t xml:space="preserve">and all </w:t>
      </w:r>
      <w:r w:rsidR="00A310A6" w:rsidRPr="00990917">
        <w:rPr>
          <w:color w:val="auto"/>
          <w:sz w:val="26"/>
          <w:szCs w:val="26"/>
        </w:rPr>
        <w:t xml:space="preserve">other </w:t>
      </w:r>
      <w:r w:rsidR="008D719A" w:rsidRPr="00990917">
        <w:rPr>
          <w:color w:val="auto"/>
          <w:sz w:val="26"/>
          <w:szCs w:val="26"/>
        </w:rPr>
        <w:t xml:space="preserve">parties </w:t>
      </w:r>
      <w:r w:rsidR="003A0A92" w:rsidRPr="00990917">
        <w:rPr>
          <w:color w:val="auto"/>
          <w:sz w:val="26"/>
          <w:szCs w:val="26"/>
        </w:rPr>
        <w:t xml:space="preserve">to </w:t>
      </w:r>
      <w:r w:rsidR="00A310A6" w:rsidRPr="00990917">
        <w:rPr>
          <w:color w:val="auto"/>
          <w:sz w:val="26"/>
          <w:szCs w:val="26"/>
        </w:rPr>
        <w:t xml:space="preserve">the </w:t>
      </w:r>
      <w:r w:rsidR="003A0A92" w:rsidRPr="00990917">
        <w:rPr>
          <w:color w:val="auto"/>
          <w:sz w:val="26"/>
          <w:szCs w:val="26"/>
        </w:rPr>
        <w:t>Joint Stipulation for Settlement of Rate Investigation</w:t>
      </w:r>
      <w:r w:rsidR="00A310A6" w:rsidRPr="00990917">
        <w:rPr>
          <w:i/>
          <w:color w:val="auto"/>
          <w:sz w:val="26"/>
          <w:szCs w:val="26"/>
        </w:rPr>
        <w:t xml:space="preserve"> </w:t>
      </w:r>
      <w:r w:rsidR="00A310A6" w:rsidRPr="00990917">
        <w:rPr>
          <w:color w:val="auto"/>
          <w:sz w:val="26"/>
          <w:szCs w:val="26"/>
        </w:rPr>
        <w:t>approved in PPL Electric Utilities Corporation’s 2007 base rate proceeding</w:t>
      </w:r>
      <w:r w:rsidR="003A0A92" w:rsidRPr="00990917">
        <w:rPr>
          <w:color w:val="auto"/>
          <w:sz w:val="26"/>
          <w:szCs w:val="26"/>
        </w:rPr>
        <w:t xml:space="preserve"> at Docket No. R-00072155.</w:t>
      </w:r>
    </w:p>
    <w:p w:rsidR="00666117" w:rsidRPr="00990917" w:rsidRDefault="00666117" w:rsidP="00666117">
      <w:pPr>
        <w:ind w:firstLine="1440"/>
        <w:rPr>
          <w:color w:val="auto"/>
          <w:sz w:val="26"/>
          <w:szCs w:val="26"/>
        </w:rPr>
      </w:pPr>
    </w:p>
    <w:p w:rsidR="006062E1" w:rsidRPr="00990917" w:rsidRDefault="006062E1" w:rsidP="001619A8">
      <w:pPr>
        <w:rPr>
          <w:color w:val="auto"/>
          <w:sz w:val="26"/>
          <w:szCs w:val="26"/>
        </w:rPr>
      </w:pPr>
    </w:p>
    <w:p w:rsidR="001C04DB" w:rsidRPr="00990917" w:rsidRDefault="001C04DB" w:rsidP="001619A8">
      <w:pPr>
        <w:rPr>
          <w:color w:val="auto"/>
          <w:sz w:val="26"/>
          <w:szCs w:val="26"/>
        </w:rPr>
      </w:pPr>
    </w:p>
    <w:p w:rsidR="00CF36CE" w:rsidRPr="00C807D5" w:rsidRDefault="00CF36CE" w:rsidP="000E3D47">
      <w:pPr>
        <w:ind w:left="5040"/>
        <w:rPr>
          <w:b/>
          <w:color w:val="auto"/>
          <w:sz w:val="26"/>
          <w:szCs w:val="26"/>
        </w:rPr>
      </w:pPr>
      <w:r w:rsidRPr="00C807D5">
        <w:rPr>
          <w:b/>
          <w:color w:val="auto"/>
          <w:sz w:val="26"/>
          <w:szCs w:val="26"/>
        </w:rPr>
        <w:t>BY THE COMMISSION,</w:t>
      </w:r>
    </w:p>
    <w:p w:rsidR="00CF36CE" w:rsidRPr="00C807D5" w:rsidRDefault="00CF36CE" w:rsidP="000E3D47">
      <w:pPr>
        <w:ind w:left="5040"/>
        <w:rPr>
          <w:b/>
          <w:color w:val="auto"/>
          <w:sz w:val="26"/>
          <w:szCs w:val="26"/>
        </w:rPr>
      </w:pPr>
    </w:p>
    <w:p w:rsidR="000E3D47" w:rsidRPr="00C807D5" w:rsidRDefault="005C4662" w:rsidP="000E3D47">
      <w:pPr>
        <w:ind w:left="5040"/>
        <w:rPr>
          <w:b/>
          <w:color w:val="auto"/>
          <w:sz w:val="26"/>
          <w:szCs w:val="26"/>
        </w:rPr>
      </w:pPr>
      <w:r w:rsidRPr="005C4662">
        <w:rPr>
          <w:b/>
          <w:color w:val="auto"/>
          <w:sz w:val="26"/>
          <w:szCs w:val="26"/>
        </w:rPr>
        <w:drawing>
          <wp:inline distT="0" distB="0" distL="0" distR="0">
            <wp:extent cx="2200275" cy="838200"/>
            <wp:effectExtent l="19050" t="0" r="9525" b="0"/>
            <wp:docPr id="1" name="Pictur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inline>
        </w:drawing>
      </w:r>
    </w:p>
    <w:p w:rsidR="000E3D47" w:rsidRPr="00C807D5" w:rsidRDefault="000E3D47" w:rsidP="000E3D47">
      <w:pPr>
        <w:ind w:left="5040"/>
        <w:rPr>
          <w:b/>
          <w:color w:val="auto"/>
          <w:sz w:val="26"/>
          <w:szCs w:val="26"/>
        </w:rPr>
      </w:pPr>
    </w:p>
    <w:p w:rsidR="00CF36CE" w:rsidRPr="00C807D5" w:rsidRDefault="005C4662" w:rsidP="000E3D47">
      <w:pPr>
        <w:ind w:left="5040"/>
        <w:rPr>
          <w:color w:val="auto"/>
          <w:sz w:val="26"/>
          <w:szCs w:val="26"/>
        </w:rPr>
      </w:pPr>
      <w:r>
        <w:rPr>
          <w:color w:val="auto"/>
          <w:sz w:val="26"/>
          <w:szCs w:val="26"/>
        </w:rPr>
        <w:t>Rosemary Chiavetta</w:t>
      </w:r>
    </w:p>
    <w:p w:rsidR="00CF36CE" w:rsidRPr="00C807D5" w:rsidRDefault="00CF36CE" w:rsidP="000E3D47">
      <w:pPr>
        <w:ind w:left="5040"/>
        <w:rPr>
          <w:color w:val="auto"/>
          <w:sz w:val="26"/>
          <w:szCs w:val="26"/>
        </w:rPr>
      </w:pPr>
      <w:r w:rsidRPr="00C807D5">
        <w:rPr>
          <w:color w:val="auto"/>
          <w:sz w:val="26"/>
          <w:szCs w:val="26"/>
        </w:rPr>
        <w:t>Secretary</w:t>
      </w:r>
    </w:p>
    <w:p w:rsidR="00CF36CE" w:rsidRPr="00C807D5" w:rsidRDefault="00CF36CE" w:rsidP="000E3D47">
      <w:pPr>
        <w:spacing w:line="360" w:lineRule="auto"/>
        <w:rPr>
          <w:color w:val="auto"/>
          <w:sz w:val="26"/>
          <w:szCs w:val="26"/>
        </w:rPr>
      </w:pPr>
      <w:r w:rsidRPr="00C807D5">
        <w:rPr>
          <w:color w:val="auto"/>
          <w:sz w:val="26"/>
          <w:szCs w:val="26"/>
        </w:rPr>
        <w:t>(SEAL)</w:t>
      </w:r>
    </w:p>
    <w:p w:rsidR="000E3D47" w:rsidRPr="00C807D5" w:rsidRDefault="000E3D47" w:rsidP="001619A8">
      <w:pPr>
        <w:rPr>
          <w:color w:val="auto"/>
          <w:sz w:val="26"/>
          <w:szCs w:val="26"/>
        </w:rPr>
      </w:pPr>
    </w:p>
    <w:p w:rsidR="00CF36CE" w:rsidRPr="00C807D5" w:rsidRDefault="007B01A5" w:rsidP="000E3D47">
      <w:pPr>
        <w:spacing w:line="360" w:lineRule="auto"/>
        <w:rPr>
          <w:color w:val="auto"/>
          <w:sz w:val="26"/>
          <w:szCs w:val="26"/>
        </w:rPr>
      </w:pPr>
      <w:r w:rsidRPr="00C807D5">
        <w:rPr>
          <w:color w:val="auto"/>
          <w:sz w:val="26"/>
          <w:szCs w:val="26"/>
        </w:rPr>
        <w:t>ORDER ADOPTED:</w:t>
      </w:r>
      <w:r w:rsidR="009A2B4C" w:rsidRPr="00C807D5">
        <w:rPr>
          <w:color w:val="auto"/>
          <w:sz w:val="26"/>
          <w:szCs w:val="26"/>
        </w:rPr>
        <w:t xml:space="preserve"> </w:t>
      </w:r>
      <w:r w:rsidR="00956EE0">
        <w:rPr>
          <w:color w:val="auto"/>
          <w:sz w:val="26"/>
          <w:szCs w:val="26"/>
        </w:rPr>
        <w:t xml:space="preserve"> April 22</w:t>
      </w:r>
      <w:r w:rsidR="00C807D5" w:rsidRPr="00C807D5">
        <w:rPr>
          <w:color w:val="auto"/>
          <w:sz w:val="26"/>
          <w:szCs w:val="26"/>
        </w:rPr>
        <w:t>, 2010</w:t>
      </w:r>
    </w:p>
    <w:p w:rsidR="009A7F4F" w:rsidRPr="00701F7E" w:rsidRDefault="00CF36CE" w:rsidP="000E3D47">
      <w:pPr>
        <w:spacing w:line="360" w:lineRule="auto"/>
        <w:rPr>
          <w:color w:val="auto"/>
          <w:sz w:val="26"/>
          <w:szCs w:val="26"/>
        </w:rPr>
      </w:pPr>
      <w:r w:rsidRPr="00C807D5">
        <w:rPr>
          <w:color w:val="auto"/>
          <w:sz w:val="26"/>
          <w:szCs w:val="26"/>
        </w:rPr>
        <w:t xml:space="preserve">ORDER ENTERED: </w:t>
      </w:r>
      <w:r w:rsidR="00E9777F" w:rsidRPr="00C807D5">
        <w:rPr>
          <w:color w:val="auto"/>
          <w:sz w:val="26"/>
          <w:szCs w:val="26"/>
        </w:rPr>
        <w:t xml:space="preserve"> </w:t>
      </w:r>
      <w:r w:rsidR="00CB3C45">
        <w:rPr>
          <w:color w:val="auto"/>
          <w:sz w:val="26"/>
          <w:szCs w:val="26"/>
        </w:rPr>
        <w:t>April 26, 2010</w:t>
      </w:r>
    </w:p>
    <w:sectPr w:rsidR="009A7F4F" w:rsidRPr="00701F7E" w:rsidSect="00DB460F">
      <w:footerReference w:type="even" r:id="rId9"/>
      <w:footerReference w:type="default" r:id="rId10"/>
      <w:footerReference w:type="first" r:id="rId11"/>
      <w:pgSz w:w="12240" w:h="15840"/>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777" w:rsidRDefault="002F2777">
      <w:r>
        <w:separator/>
      </w:r>
    </w:p>
  </w:endnote>
  <w:endnote w:type="continuationSeparator" w:id="0">
    <w:p w:rsidR="002F2777" w:rsidRDefault="002F2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Default="00681DBE">
    <w:pPr>
      <w:pStyle w:val="Footer"/>
      <w:framePr w:wrap="around" w:vAnchor="text" w:hAnchor="margin" w:xAlign="center" w:y="1"/>
      <w:rPr>
        <w:rStyle w:val="PageNumber"/>
      </w:rPr>
    </w:pPr>
    <w:r>
      <w:rPr>
        <w:rStyle w:val="PageNumber"/>
      </w:rPr>
      <w:fldChar w:fldCharType="begin"/>
    </w:r>
    <w:r w:rsidR="00F85A1D">
      <w:rPr>
        <w:rStyle w:val="PageNumber"/>
      </w:rPr>
      <w:instrText xml:space="preserve">PAGE  </w:instrText>
    </w:r>
    <w:r>
      <w:rPr>
        <w:rStyle w:val="PageNumber"/>
      </w:rPr>
      <w:fldChar w:fldCharType="end"/>
    </w:r>
  </w:p>
  <w:p w:rsidR="00F85A1D" w:rsidRDefault="00F85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Pr="001E72C6" w:rsidRDefault="00681DBE">
    <w:pPr>
      <w:pStyle w:val="Footer"/>
      <w:framePr w:wrap="around" w:vAnchor="text" w:hAnchor="margin" w:xAlign="center" w:y="1"/>
      <w:rPr>
        <w:rStyle w:val="PageNumber"/>
        <w:color w:val="auto"/>
      </w:rPr>
    </w:pPr>
    <w:r w:rsidRPr="001E72C6">
      <w:rPr>
        <w:rStyle w:val="PageNumber"/>
        <w:color w:val="auto"/>
      </w:rPr>
      <w:fldChar w:fldCharType="begin"/>
    </w:r>
    <w:r w:rsidR="00F85A1D" w:rsidRPr="001E72C6">
      <w:rPr>
        <w:rStyle w:val="PageNumber"/>
        <w:color w:val="auto"/>
      </w:rPr>
      <w:instrText xml:space="preserve">PAGE  </w:instrText>
    </w:r>
    <w:r w:rsidRPr="001E72C6">
      <w:rPr>
        <w:rStyle w:val="PageNumber"/>
        <w:color w:val="auto"/>
      </w:rPr>
      <w:fldChar w:fldCharType="separate"/>
    </w:r>
    <w:r w:rsidR="00CB3C45">
      <w:rPr>
        <w:rStyle w:val="PageNumber"/>
        <w:noProof/>
        <w:color w:val="auto"/>
      </w:rPr>
      <w:t>11</w:t>
    </w:r>
    <w:r w:rsidRPr="001E72C6">
      <w:rPr>
        <w:rStyle w:val="PageNumber"/>
        <w:color w:val="auto"/>
      </w:rPr>
      <w:fldChar w:fldCharType="end"/>
    </w:r>
  </w:p>
  <w:p w:rsidR="00F85A1D" w:rsidRDefault="00F85A1D">
    <w:pPr>
      <w:pStyle w:val="Footer"/>
      <w:rPr>
        <w:color w:val="80008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Default="00F85A1D">
    <w:pPr>
      <w:pStyle w:val="Footer"/>
      <w:rPr>
        <w:sz w:val="16"/>
      </w:rPr>
    </w:pPr>
  </w:p>
  <w:p w:rsidR="00F85A1D" w:rsidRDefault="00F85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777" w:rsidRDefault="002F2777">
      <w:r>
        <w:separator/>
      </w:r>
    </w:p>
  </w:footnote>
  <w:footnote w:type="continuationSeparator" w:id="0">
    <w:p w:rsidR="002F2777" w:rsidRDefault="002F2777">
      <w:r>
        <w:continuationSeparator/>
      </w:r>
    </w:p>
  </w:footnote>
  <w:footnote w:id="1">
    <w:p w:rsidR="00AF5A4C" w:rsidRPr="00BE340F" w:rsidRDefault="00AF5A4C">
      <w:pPr>
        <w:pStyle w:val="FootnoteText"/>
        <w:rPr>
          <w:color w:val="auto"/>
          <w:sz w:val="26"/>
          <w:szCs w:val="26"/>
        </w:rPr>
      </w:pPr>
      <w:r w:rsidRPr="00BE340F">
        <w:rPr>
          <w:color w:val="auto"/>
        </w:rPr>
        <w:tab/>
      </w:r>
      <w:r w:rsidRPr="00BE340F">
        <w:rPr>
          <w:rStyle w:val="FootnoteReference"/>
          <w:color w:val="auto"/>
        </w:rPr>
        <w:footnoteRef/>
      </w:r>
      <w:r w:rsidRPr="00BE340F">
        <w:rPr>
          <w:color w:val="auto"/>
        </w:rPr>
        <w:t xml:space="preserve"> </w:t>
      </w:r>
      <w:r w:rsidRPr="00BE340F">
        <w:rPr>
          <w:color w:val="auto"/>
        </w:rPr>
        <w:tab/>
      </w:r>
      <w:r w:rsidRPr="00BE340F">
        <w:rPr>
          <w:color w:val="auto"/>
          <w:sz w:val="26"/>
          <w:szCs w:val="26"/>
        </w:rPr>
        <w:t>PPL’s universal service programs</w:t>
      </w:r>
      <w:r w:rsidR="00BE340F" w:rsidRPr="00BE340F">
        <w:rPr>
          <w:color w:val="auto"/>
          <w:sz w:val="26"/>
          <w:szCs w:val="26"/>
        </w:rPr>
        <w:t xml:space="preserve"> are </w:t>
      </w:r>
      <w:r w:rsidR="00C87FBF">
        <w:rPr>
          <w:color w:val="auto"/>
          <w:sz w:val="26"/>
          <w:szCs w:val="26"/>
        </w:rPr>
        <w:t xml:space="preserve">1) </w:t>
      </w:r>
      <w:r w:rsidR="00BE340F" w:rsidRPr="00BE340F">
        <w:rPr>
          <w:color w:val="auto"/>
          <w:sz w:val="26"/>
          <w:szCs w:val="26"/>
        </w:rPr>
        <w:t>its customer assistance program know</w:t>
      </w:r>
      <w:r w:rsidR="00C87FBF">
        <w:rPr>
          <w:color w:val="auto"/>
          <w:sz w:val="26"/>
          <w:szCs w:val="26"/>
        </w:rPr>
        <w:t>n</w:t>
      </w:r>
      <w:r w:rsidR="00BE340F" w:rsidRPr="00BE340F">
        <w:rPr>
          <w:color w:val="auto"/>
          <w:sz w:val="26"/>
          <w:szCs w:val="26"/>
        </w:rPr>
        <w:t xml:space="preserve"> as On Track, and </w:t>
      </w:r>
      <w:r w:rsidR="00C87FBF">
        <w:rPr>
          <w:color w:val="auto"/>
          <w:sz w:val="26"/>
          <w:szCs w:val="26"/>
        </w:rPr>
        <w:t xml:space="preserve">2) </w:t>
      </w:r>
      <w:r w:rsidR="00BE340F" w:rsidRPr="00BE340F">
        <w:rPr>
          <w:color w:val="auto"/>
          <w:sz w:val="26"/>
          <w:szCs w:val="26"/>
        </w:rPr>
        <w:t>its low income usage reduction program known as WRAP.</w:t>
      </w:r>
    </w:p>
    <w:p w:rsidR="00BE340F" w:rsidRPr="00BE340F" w:rsidRDefault="00BE340F">
      <w:pPr>
        <w:pStyle w:val="FootnoteText"/>
        <w:rPr>
          <w:color w:val="auto"/>
        </w:rPr>
      </w:pPr>
    </w:p>
  </w:footnote>
  <w:footnote w:id="2">
    <w:p w:rsidR="003A04DB" w:rsidRPr="00464E16" w:rsidRDefault="003A04DB" w:rsidP="003A04DB">
      <w:pPr>
        <w:pStyle w:val="FootnoteText"/>
        <w:rPr>
          <w:color w:val="auto"/>
          <w:sz w:val="26"/>
          <w:szCs w:val="26"/>
        </w:rPr>
      </w:pPr>
      <w:r>
        <w:tab/>
      </w:r>
      <w:r w:rsidRPr="0024265C">
        <w:rPr>
          <w:rStyle w:val="FootnoteReference"/>
          <w:color w:val="auto"/>
        </w:rPr>
        <w:footnoteRef/>
      </w:r>
      <w:r>
        <w:tab/>
        <w:t xml:space="preserve"> </w:t>
      </w:r>
      <w:r w:rsidRPr="003A04DB">
        <w:rPr>
          <w:i/>
          <w:color w:val="auto"/>
          <w:sz w:val="26"/>
          <w:szCs w:val="26"/>
        </w:rPr>
        <w:t>Joint Stipulation for Settlement of Rate Investigation</w:t>
      </w:r>
      <w:r w:rsidRPr="002A4351">
        <w:rPr>
          <w:i/>
          <w:color w:val="auto"/>
          <w:sz w:val="26"/>
          <w:szCs w:val="26"/>
        </w:rPr>
        <w:t xml:space="preserve">, </w:t>
      </w:r>
      <w:r w:rsidR="002A4351" w:rsidRPr="002A4351">
        <w:rPr>
          <w:color w:val="auto"/>
          <w:sz w:val="26"/>
          <w:szCs w:val="26"/>
        </w:rPr>
        <w:t>filed August 30, 2008 at Docket No. R-00072155</w:t>
      </w:r>
      <w:r w:rsidRPr="002A4351">
        <w:rPr>
          <w:color w:val="auto"/>
          <w:sz w:val="26"/>
          <w:szCs w:val="26"/>
        </w:rPr>
        <w:t>.</w:t>
      </w:r>
    </w:p>
    <w:p w:rsidR="003A04DB" w:rsidRDefault="003A04DB">
      <w:pPr>
        <w:pStyle w:val="FootnoteText"/>
      </w:pPr>
    </w:p>
  </w:footnote>
  <w:footnote w:id="3">
    <w:p w:rsidR="005E5B7F" w:rsidRPr="0024265C" w:rsidRDefault="005E5B7F">
      <w:pPr>
        <w:pStyle w:val="FootnoteText"/>
        <w:rPr>
          <w:color w:val="auto"/>
          <w:sz w:val="26"/>
          <w:szCs w:val="26"/>
        </w:rPr>
      </w:pPr>
      <w:r>
        <w:tab/>
      </w:r>
      <w:r w:rsidRPr="0024265C">
        <w:rPr>
          <w:rStyle w:val="FootnoteReference"/>
          <w:color w:val="auto"/>
          <w:sz w:val="26"/>
          <w:szCs w:val="26"/>
        </w:rPr>
        <w:footnoteRef/>
      </w:r>
      <w:r w:rsidRPr="0024265C">
        <w:rPr>
          <w:color w:val="auto"/>
          <w:sz w:val="26"/>
          <w:szCs w:val="26"/>
        </w:rPr>
        <w:tab/>
      </w:r>
      <w:r w:rsidR="0024265C" w:rsidRPr="001560E4">
        <w:rPr>
          <w:i/>
          <w:color w:val="auto"/>
          <w:sz w:val="26"/>
          <w:szCs w:val="26"/>
        </w:rPr>
        <w:t>Pennsylvania Public Utility Commission et al. v. PPL Electric Utilities Corporation</w:t>
      </w:r>
      <w:r w:rsidR="0024265C" w:rsidRPr="0024265C">
        <w:rPr>
          <w:color w:val="auto"/>
          <w:sz w:val="26"/>
          <w:szCs w:val="26"/>
        </w:rPr>
        <w:t>, Docket No. R-00072155, Opinion and Order entered December 6, 2007.</w:t>
      </w:r>
      <w:r w:rsidRPr="0024265C">
        <w:rPr>
          <w:color w:val="auto"/>
          <w:sz w:val="26"/>
          <w:szCs w:val="26"/>
        </w:rPr>
        <w:t xml:space="preserve"> </w:t>
      </w:r>
    </w:p>
  </w:footnote>
  <w:footnote w:id="4">
    <w:p w:rsidR="00B13BAC" w:rsidRPr="00B13BAC" w:rsidRDefault="00B13BAC" w:rsidP="00B13BAC">
      <w:pPr>
        <w:pStyle w:val="FootnoteText"/>
        <w:rPr>
          <w:color w:val="auto"/>
          <w:sz w:val="26"/>
          <w:szCs w:val="26"/>
        </w:rPr>
      </w:pPr>
      <w:r>
        <w:tab/>
      </w:r>
      <w:r w:rsidRPr="00B13BAC">
        <w:rPr>
          <w:rStyle w:val="FootnoteReference"/>
          <w:color w:val="auto"/>
        </w:rPr>
        <w:footnoteRef/>
      </w:r>
      <w:r w:rsidRPr="00B13BAC">
        <w:rPr>
          <w:color w:val="auto"/>
        </w:rPr>
        <w:t xml:space="preserve"> </w:t>
      </w:r>
      <w:r>
        <w:tab/>
      </w:r>
      <w:r w:rsidR="00AD3492">
        <w:rPr>
          <w:color w:val="auto"/>
          <w:sz w:val="26"/>
          <w:szCs w:val="26"/>
        </w:rPr>
        <w:t>In her Order, the ALJ quoted</w:t>
      </w:r>
      <w:r w:rsidRPr="00B13BAC">
        <w:rPr>
          <w:color w:val="auto"/>
          <w:sz w:val="26"/>
          <w:szCs w:val="26"/>
        </w:rPr>
        <w:t xml:space="preserve"> a paragraph from PPL’s Statement in Support of the 2007 Settlement in which the Company references the types of information it has agreed to</w:t>
      </w:r>
      <w:r w:rsidR="00AD3492">
        <w:rPr>
          <w:color w:val="auto"/>
          <w:sz w:val="26"/>
          <w:szCs w:val="26"/>
        </w:rPr>
        <w:t xml:space="preserve"> provide to the parties, and states</w:t>
      </w:r>
      <w:r w:rsidRPr="00B13BAC">
        <w:rPr>
          <w:color w:val="auto"/>
          <w:sz w:val="26"/>
          <w:szCs w:val="26"/>
        </w:rPr>
        <w:t xml:space="preserve"> that “[t]his will provide the Parties and the Commission with valuable input for PPL Electric’s 2010</w:t>
      </w:r>
      <w:r w:rsidR="00AD3492">
        <w:rPr>
          <w:color w:val="auto"/>
          <w:sz w:val="26"/>
          <w:szCs w:val="26"/>
        </w:rPr>
        <w:t xml:space="preserve"> USR filing.”  The ALJ concluded</w:t>
      </w:r>
      <w:r w:rsidRPr="00B13BAC">
        <w:rPr>
          <w:color w:val="auto"/>
          <w:sz w:val="26"/>
          <w:szCs w:val="26"/>
        </w:rPr>
        <w:t xml:space="preserve"> that “[i]t would be difficult to interpret this paragraph in a way that would do anything other than anticipate a tariff filing.”</w:t>
      </w:r>
    </w:p>
  </w:footnote>
  <w:footnote w:id="5">
    <w:p w:rsidR="00433BE9" w:rsidRDefault="00433BE9">
      <w:pPr>
        <w:pStyle w:val="FootnoteText"/>
        <w:rPr>
          <w:color w:val="auto"/>
          <w:sz w:val="26"/>
          <w:szCs w:val="26"/>
        </w:rPr>
      </w:pPr>
      <w:r>
        <w:tab/>
      </w:r>
      <w:r w:rsidRPr="00433BE9">
        <w:rPr>
          <w:rStyle w:val="FootnoteReference"/>
          <w:color w:val="auto"/>
        </w:rPr>
        <w:footnoteRef/>
      </w:r>
      <w:r w:rsidRPr="00433BE9">
        <w:rPr>
          <w:color w:val="auto"/>
        </w:rPr>
        <w:t xml:space="preserve"> </w:t>
      </w:r>
      <w:r>
        <w:tab/>
      </w:r>
      <w:r w:rsidRPr="00C75D27">
        <w:rPr>
          <w:i/>
          <w:color w:val="auto"/>
          <w:sz w:val="26"/>
          <w:szCs w:val="26"/>
        </w:rPr>
        <w:t>See</w:t>
      </w:r>
      <w:r w:rsidRPr="00433BE9">
        <w:rPr>
          <w:color w:val="auto"/>
          <w:sz w:val="26"/>
          <w:szCs w:val="26"/>
        </w:rPr>
        <w:t xml:space="preserve"> 66 Pa. C.S. § 2804(8)</w:t>
      </w:r>
      <w:r w:rsidR="00AE2473">
        <w:rPr>
          <w:color w:val="auto"/>
          <w:sz w:val="26"/>
          <w:szCs w:val="26"/>
        </w:rPr>
        <w:t>.</w:t>
      </w:r>
      <w:r w:rsidRPr="00433BE9">
        <w:rPr>
          <w:color w:val="auto"/>
          <w:sz w:val="26"/>
          <w:szCs w:val="26"/>
        </w:rPr>
        <w:t xml:space="preserve"> </w:t>
      </w:r>
    </w:p>
    <w:p w:rsidR="009E6DD0" w:rsidRPr="00433BE9" w:rsidRDefault="009E6DD0">
      <w:pPr>
        <w:pStyle w:val="FootnoteText"/>
        <w:rPr>
          <w:color w:val="auto"/>
          <w:sz w:val="26"/>
          <w:szCs w:val="26"/>
        </w:rPr>
      </w:pPr>
    </w:p>
  </w:footnote>
  <w:footnote w:id="6">
    <w:p w:rsidR="009E6DD0" w:rsidRDefault="009E6DD0">
      <w:pPr>
        <w:pStyle w:val="FootnoteText"/>
      </w:pPr>
      <w:r>
        <w:tab/>
      </w:r>
      <w:r w:rsidRPr="009E6DD0">
        <w:rPr>
          <w:rStyle w:val="FootnoteReference"/>
          <w:color w:val="auto"/>
        </w:rPr>
        <w:footnoteRef/>
      </w:r>
      <w:r w:rsidRPr="009E6DD0">
        <w:rPr>
          <w:color w:val="auto"/>
        </w:rPr>
        <w:t xml:space="preserve"> </w:t>
      </w:r>
      <w:r>
        <w:tab/>
      </w:r>
      <w:r w:rsidR="00AE2473" w:rsidRPr="00AE2473">
        <w:rPr>
          <w:i/>
          <w:color w:val="auto"/>
          <w:sz w:val="26"/>
          <w:szCs w:val="26"/>
        </w:rPr>
        <w:t>See</w:t>
      </w:r>
      <w:r w:rsidR="00AE2473">
        <w:t xml:space="preserve"> </w:t>
      </w:r>
      <w:r w:rsidRPr="009E6DD0">
        <w:rPr>
          <w:i/>
          <w:color w:val="auto"/>
          <w:sz w:val="26"/>
          <w:szCs w:val="26"/>
        </w:rPr>
        <w:t>Re:  Customer Assistance Program</w:t>
      </w:r>
      <w:r w:rsidR="00894F10">
        <w:rPr>
          <w:i/>
          <w:color w:val="auto"/>
          <w:sz w:val="26"/>
          <w:szCs w:val="26"/>
        </w:rPr>
        <w:t>s:</w:t>
      </w:r>
      <w:r w:rsidR="00663BEC">
        <w:rPr>
          <w:i/>
          <w:color w:val="auto"/>
          <w:sz w:val="26"/>
          <w:szCs w:val="26"/>
        </w:rPr>
        <w:t xml:space="preserve"> </w:t>
      </w:r>
      <w:r w:rsidRPr="009E6DD0">
        <w:rPr>
          <w:i/>
          <w:color w:val="auto"/>
          <w:sz w:val="26"/>
          <w:szCs w:val="26"/>
        </w:rPr>
        <w:t xml:space="preserve"> Funding Levels and Cost Recovery Mechanisms</w:t>
      </w:r>
      <w:r>
        <w:rPr>
          <w:color w:val="auto"/>
          <w:sz w:val="26"/>
          <w:szCs w:val="26"/>
        </w:rPr>
        <w:t xml:space="preserve">, Docket No. M-00051923, </w:t>
      </w:r>
      <w:r w:rsidR="00663BEC">
        <w:rPr>
          <w:color w:val="auto"/>
          <w:sz w:val="26"/>
          <w:szCs w:val="26"/>
        </w:rPr>
        <w:t xml:space="preserve">Final Investigatory </w:t>
      </w:r>
      <w:r>
        <w:rPr>
          <w:color w:val="auto"/>
          <w:sz w:val="26"/>
          <w:szCs w:val="26"/>
        </w:rPr>
        <w:t>Order entered December 18, 2006</w:t>
      </w:r>
      <w:r w:rsidR="00AE2473">
        <w:rPr>
          <w:color w:val="auto"/>
          <w:sz w:val="26"/>
          <w:szCs w:val="26"/>
        </w:rPr>
        <w:t>.</w:t>
      </w:r>
    </w:p>
  </w:footnote>
  <w:footnote w:id="7">
    <w:p w:rsidR="002B5BCD" w:rsidRPr="00F62941" w:rsidRDefault="00464E16" w:rsidP="002B5BCD">
      <w:pPr>
        <w:pStyle w:val="FootnoteText"/>
        <w:rPr>
          <w:color w:val="auto"/>
          <w:sz w:val="26"/>
          <w:szCs w:val="26"/>
        </w:rPr>
      </w:pPr>
      <w:r>
        <w:rPr>
          <w:color w:val="auto"/>
          <w:sz w:val="26"/>
          <w:szCs w:val="26"/>
        </w:rPr>
        <w:tab/>
      </w:r>
      <w:r w:rsidR="002B5BCD" w:rsidRPr="00F62941">
        <w:rPr>
          <w:rStyle w:val="FootnoteReference"/>
          <w:color w:val="auto"/>
          <w:sz w:val="26"/>
          <w:szCs w:val="26"/>
        </w:rPr>
        <w:footnoteRef/>
      </w:r>
      <w:r w:rsidRPr="00F62941">
        <w:rPr>
          <w:color w:val="auto"/>
          <w:sz w:val="26"/>
          <w:szCs w:val="26"/>
        </w:rPr>
        <w:tab/>
      </w:r>
      <w:r w:rsidR="00A870CB" w:rsidRPr="00F62941">
        <w:rPr>
          <w:i/>
          <w:color w:val="auto"/>
          <w:sz w:val="26"/>
          <w:szCs w:val="26"/>
        </w:rPr>
        <w:t>Application of Pennsylvania Power &amp; Light Company for Approval of its Restructuring Plan Under Section 2806 of the Public Utility Code, et al</w:t>
      </w:r>
      <w:r w:rsidR="00A870CB" w:rsidRPr="00F62941">
        <w:rPr>
          <w:color w:val="auto"/>
          <w:sz w:val="26"/>
          <w:szCs w:val="26"/>
        </w:rPr>
        <w:t xml:space="preserve">., Docket No. R-00973954, </w:t>
      </w:r>
      <w:r w:rsidR="001000C6" w:rsidRPr="00F62941">
        <w:rPr>
          <w:color w:val="auto"/>
          <w:sz w:val="26"/>
          <w:szCs w:val="26"/>
        </w:rPr>
        <w:t>Final Order e</w:t>
      </w:r>
      <w:r w:rsidR="00A870CB" w:rsidRPr="00F62941">
        <w:rPr>
          <w:color w:val="auto"/>
          <w:sz w:val="26"/>
          <w:szCs w:val="26"/>
        </w:rPr>
        <w:t xml:space="preserve">ntered </w:t>
      </w:r>
      <w:r w:rsidR="001000C6" w:rsidRPr="00F62941">
        <w:rPr>
          <w:color w:val="auto"/>
          <w:sz w:val="26"/>
          <w:szCs w:val="26"/>
        </w:rPr>
        <w:t>August 13, 1998.</w:t>
      </w:r>
    </w:p>
    <w:p w:rsidR="00152065" w:rsidRPr="00F62941" w:rsidRDefault="00152065" w:rsidP="002B5BCD">
      <w:pPr>
        <w:pStyle w:val="FootnoteText"/>
        <w:rPr>
          <w:color w:val="auto"/>
          <w:sz w:val="26"/>
          <w:szCs w:val="26"/>
        </w:rPr>
      </w:pPr>
    </w:p>
  </w:footnote>
  <w:footnote w:id="8">
    <w:p w:rsidR="00152065" w:rsidRPr="00464E16" w:rsidRDefault="00464E16">
      <w:pPr>
        <w:pStyle w:val="FootnoteText"/>
        <w:rPr>
          <w:color w:val="auto"/>
          <w:sz w:val="26"/>
          <w:szCs w:val="26"/>
        </w:rPr>
      </w:pPr>
      <w:r w:rsidRPr="00F62941">
        <w:rPr>
          <w:color w:val="auto"/>
          <w:sz w:val="26"/>
          <w:szCs w:val="26"/>
        </w:rPr>
        <w:tab/>
      </w:r>
      <w:r w:rsidR="00152065" w:rsidRPr="00F62941">
        <w:rPr>
          <w:rStyle w:val="FootnoteReference"/>
          <w:color w:val="auto"/>
          <w:sz w:val="26"/>
          <w:szCs w:val="26"/>
        </w:rPr>
        <w:footnoteRef/>
      </w:r>
      <w:r w:rsidRPr="00F62941">
        <w:rPr>
          <w:color w:val="auto"/>
          <w:sz w:val="26"/>
          <w:szCs w:val="26"/>
        </w:rPr>
        <w:tab/>
      </w:r>
      <w:r w:rsidR="00152065" w:rsidRPr="00F62941">
        <w:rPr>
          <w:i/>
          <w:color w:val="auto"/>
          <w:sz w:val="26"/>
          <w:szCs w:val="26"/>
        </w:rPr>
        <w:t>Joint Petition for Full Settlement of PP&amp;L, Inc.’s Restructuring Plan and Related Court Proceedings</w:t>
      </w:r>
      <w:r w:rsidR="00152065" w:rsidRPr="00F62941">
        <w:rPr>
          <w:color w:val="auto"/>
          <w:sz w:val="26"/>
          <w:szCs w:val="26"/>
        </w:rPr>
        <w:t>, filed August 12, 1998 at Docket No. R-00973954.</w:t>
      </w:r>
    </w:p>
  </w:footnote>
  <w:footnote w:id="9">
    <w:p w:rsidR="001D2FD4" w:rsidRDefault="001D2FD4">
      <w:pPr>
        <w:pStyle w:val="FootnoteText"/>
        <w:rPr>
          <w:color w:val="auto"/>
          <w:sz w:val="26"/>
          <w:szCs w:val="26"/>
        </w:rPr>
      </w:pPr>
      <w:r>
        <w:tab/>
      </w:r>
      <w:r w:rsidRPr="00AA7EDD">
        <w:rPr>
          <w:rStyle w:val="FootnoteReference"/>
          <w:color w:val="auto"/>
          <w:sz w:val="26"/>
          <w:szCs w:val="26"/>
        </w:rPr>
        <w:footnoteRef/>
      </w:r>
      <w:r w:rsidRPr="00AA7EDD">
        <w:rPr>
          <w:color w:val="auto"/>
          <w:sz w:val="26"/>
          <w:szCs w:val="26"/>
        </w:rPr>
        <w:t xml:space="preserve"> </w:t>
      </w:r>
      <w:r w:rsidRPr="00AA7EDD">
        <w:rPr>
          <w:color w:val="auto"/>
          <w:sz w:val="26"/>
          <w:szCs w:val="26"/>
        </w:rPr>
        <w:tab/>
        <w:t>Although Paragrap</w:t>
      </w:r>
      <w:r w:rsidR="00AA7EDD">
        <w:rPr>
          <w:color w:val="auto"/>
          <w:sz w:val="26"/>
          <w:szCs w:val="26"/>
        </w:rPr>
        <w:t xml:space="preserve">h 25 (e) of the 2007 rate case Settlement permitted the parties to </w:t>
      </w:r>
      <w:r w:rsidR="00AA7EDD" w:rsidRPr="00132D66">
        <w:rPr>
          <w:color w:val="auto"/>
          <w:sz w:val="26"/>
          <w:szCs w:val="26"/>
        </w:rPr>
        <w:t xml:space="preserve">raise </w:t>
      </w:r>
      <w:r w:rsidR="00AA7EDD">
        <w:rPr>
          <w:color w:val="auto"/>
          <w:sz w:val="26"/>
          <w:szCs w:val="26"/>
        </w:rPr>
        <w:t>USR issues in addition to reconciliation</w:t>
      </w:r>
      <w:r w:rsidR="00AA7EDD" w:rsidRPr="00132D66">
        <w:rPr>
          <w:color w:val="auto"/>
          <w:sz w:val="26"/>
          <w:szCs w:val="26"/>
        </w:rPr>
        <w:t xml:space="preserve"> based on changes i</w:t>
      </w:r>
      <w:r w:rsidR="00AA7EDD">
        <w:rPr>
          <w:color w:val="auto"/>
          <w:sz w:val="26"/>
          <w:szCs w:val="26"/>
        </w:rPr>
        <w:t>n law after the approval of the</w:t>
      </w:r>
      <w:r w:rsidR="00AA7EDD" w:rsidRPr="00132D66">
        <w:rPr>
          <w:color w:val="auto"/>
          <w:sz w:val="26"/>
          <w:szCs w:val="26"/>
        </w:rPr>
        <w:t xml:space="preserve"> Settlement</w:t>
      </w:r>
      <w:r w:rsidR="00AA7EDD">
        <w:rPr>
          <w:color w:val="auto"/>
          <w:sz w:val="26"/>
          <w:szCs w:val="26"/>
        </w:rPr>
        <w:t>,</w:t>
      </w:r>
      <w:r w:rsidR="002952BB">
        <w:rPr>
          <w:color w:val="auto"/>
          <w:sz w:val="26"/>
          <w:szCs w:val="26"/>
        </w:rPr>
        <w:t xml:space="preserve"> no changes in law relating to universal service programs</w:t>
      </w:r>
      <w:r w:rsidR="00B66FFF">
        <w:rPr>
          <w:color w:val="auto"/>
          <w:sz w:val="26"/>
          <w:szCs w:val="26"/>
        </w:rPr>
        <w:t xml:space="preserve"> have been adopted</w:t>
      </w:r>
      <w:r w:rsidR="002952BB">
        <w:rPr>
          <w:color w:val="auto"/>
          <w:sz w:val="26"/>
          <w:szCs w:val="26"/>
        </w:rPr>
        <w:t>.</w:t>
      </w:r>
    </w:p>
    <w:p w:rsidR="00AA7EDD" w:rsidRDefault="00AA7EDD">
      <w:pPr>
        <w:pStyle w:val="FootnoteText"/>
      </w:pPr>
    </w:p>
  </w:footnote>
  <w:footnote w:id="10">
    <w:p w:rsidR="00440DDC" w:rsidRPr="00440DDC" w:rsidRDefault="00440DDC">
      <w:pPr>
        <w:pStyle w:val="FootnoteText"/>
        <w:rPr>
          <w:color w:val="auto"/>
          <w:sz w:val="26"/>
          <w:szCs w:val="26"/>
        </w:rPr>
      </w:pPr>
      <w:r w:rsidRPr="00440DDC">
        <w:rPr>
          <w:color w:val="auto"/>
          <w:sz w:val="26"/>
          <w:szCs w:val="26"/>
        </w:rPr>
        <w:tab/>
      </w:r>
      <w:r w:rsidRPr="00440DDC">
        <w:rPr>
          <w:rStyle w:val="FootnoteReference"/>
          <w:color w:val="auto"/>
          <w:sz w:val="26"/>
          <w:szCs w:val="26"/>
        </w:rPr>
        <w:footnoteRef/>
      </w:r>
      <w:r w:rsidRPr="00440DDC">
        <w:rPr>
          <w:color w:val="auto"/>
          <w:sz w:val="26"/>
          <w:szCs w:val="26"/>
        </w:rPr>
        <w:t xml:space="preserve"> </w:t>
      </w:r>
      <w:r w:rsidRPr="00440DDC">
        <w:rPr>
          <w:color w:val="auto"/>
          <w:sz w:val="26"/>
          <w:szCs w:val="26"/>
        </w:rPr>
        <w:tab/>
      </w:r>
      <w:r w:rsidRPr="00F80541">
        <w:rPr>
          <w:i/>
          <w:color w:val="auto"/>
          <w:sz w:val="26"/>
          <w:szCs w:val="26"/>
        </w:rPr>
        <w:t>See</w:t>
      </w:r>
      <w:r w:rsidRPr="00440DDC">
        <w:rPr>
          <w:color w:val="auto"/>
          <w:sz w:val="26"/>
          <w:szCs w:val="26"/>
        </w:rPr>
        <w:t xml:space="preserve"> 52 Pa. Code § 54.74</w:t>
      </w:r>
    </w:p>
    <w:p w:rsidR="00440DDC" w:rsidRDefault="00440DDC">
      <w:pPr>
        <w:pStyle w:val="FootnoteText"/>
      </w:pPr>
    </w:p>
  </w:footnote>
  <w:footnote w:id="11">
    <w:p w:rsidR="00E64881" w:rsidRDefault="00E64881">
      <w:pPr>
        <w:pStyle w:val="FootnoteText"/>
        <w:rPr>
          <w:color w:val="auto"/>
          <w:sz w:val="26"/>
          <w:szCs w:val="26"/>
        </w:rPr>
      </w:pPr>
      <w:r>
        <w:tab/>
      </w:r>
      <w:r w:rsidRPr="00654759">
        <w:rPr>
          <w:rStyle w:val="FootnoteReference"/>
          <w:color w:val="auto"/>
          <w:sz w:val="26"/>
          <w:szCs w:val="26"/>
        </w:rPr>
        <w:footnoteRef/>
      </w:r>
      <w:r w:rsidRPr="00654759">
        <w:rPr>
          <w:color w:val="auto"/>
          <w:sz w:val="26"/>
          <w:szCs w:val="26"/>
        </w:rPr>
        <w:t xml:space="preserve"> </w:t>
      </w:r>
      <w:r w:rsidRPr="00654759">
        <w:rPr>
          <w:color w:val="auto"/>
          <w:sz w:val="26"/>
          <w:szCs w:val="26"/>
        </w:rPr>
        <w:tab/>
        <w:t>Filed March 31, 2010 at Docket No. R-2010-2161694</w:t>
      </w:r>
      <w:r w:rsidR="00654759" w:rsidRPr="00654759">
        <w:rPr>
          <w:color w:val="auto"/>
          <w:sz w:val="26"/>
          <w:szCs w:val="26"/>
        </w:rPr>
        <w:t>.</w:t>
      </w:r>
    </w:p>
    <w:p w:rsidR="00762422" w:rsidRPr="00654759" w:rsidRDefault="00762422">
      <w:pPr>
        <w:pStyle w:val="FootnoteText"/>
        <w:rPr>
          <w:color w:val="auto"/>
          <w:sz w:val="26"/>
          <w:szCs w:val="26"/>
        </w:rPr>
      </w:pPr>
    </w:p>
  </w:footnote>
  <w:footnote w:id="12">
    <w:p w:rsidR="00762422" w:rsidRDefault="00762422">
      <w:pPr>
        <w:pStyle w:val="FootnoteText"/>
        <w:rPr>
          <w:color w:val="auto"/>
          <w:sz w:val="26"/>
          <w:szCs w:val="26"/>
        </w:rPr>
      </w:pPr>
      <w:r w:rsidRPr="00762422">
        <w:rPr>
          <w:color w:val="auto"/>
          <w:sz w:val="26"/>
          <w:szCs w:val="26"/>
        </w:rPr>
        <w:tab/>
      </w:r>
      <w:r w:rsidRPr="00762422">
        <w:rPr>
          <w:rStyle w:val="FootnoteReference"/>
          <w:color w:val="auto"/>
          <w:sz w:val="26"/>
          <w:szCs w:val="26"/>
        </w:rPr>
        <w:footnoteRef/>
      </w:r>
      <w:r w:rsidRPr="00762422">
        <w:rPr>
          <w:color w:val="auto"/>
          <w:sz w:val="26"/>
          <w:szCs w:val="26"/>
        </w:rPr>
        <w:t xml:space="preserve"> </w:t>
      </w:r>
      <w:r w:rsidRPr="00762422">
        <w:rPr>
          <w:color w:val="auto"/>
          <w:sz w:val="26"/>
          <w:szCs w:val="26"/>
        </w:rPr>
        <w:tab/>
        <w:t>PPL Statement No. 9, Direct Testimony of Timothy R. Dahl.</w:t>
      </w:r>
    </w:p>
    <w:p w:rsidR="00D0134E" w:rsidRPr="00762422" w:rsidRDefault="00D0134E">
      <w:pPr>
        <w:pStyle w:val="FootnoteText"/>
        <w:rPr>
          <w:color w:val="auto"/>
          <w:sz w:val="26"/>
          <w:szCs w:val="26"/>
        </w:rPr>
      </w:pPr>
    </w:p>
  </w:footnote>
  <w:footnote w:id="13">
    <w:p w:rsidR="00954B50" w:rsidRDefault="00954B50" w:rsidP="00954B50">
      <w:pPr>
        <w:pStyle w:val="FootnoteText"/>
        <w:rPr>
          <w:color w:val="auto"/>
          <w:sz w:val="26"/>
          <w:szCs w:val="26"/>
        </w:rPr>
      </w:pPr>
      <w:r>
        <w:tab/>
      </w:r>
      <w:r w:rsidRPr="00776C6A">
        <w:rPr>
          <w:rStyle w:val="FootnoteReference"/>
          <w:color w:val="auto"/>
          <w:sz w:val="26"/>
          <w:szCs w:val="26"/>
        </w:rPr>
        <w:footnoteRef/>
      </w:r>
      <w:r w:rsidRPr="00776C6A">
        <w:rPr>
          <w:color w:val="auto"/>
          <w:sz w:val="26"/>
          <w:szCs w:val="26"/>
        </w:rPr>
        <w:t xml:space="preserve"> </w:t>
      </w:r>
      <w:r w:rsidRPr="00776C6A">
        <w:rPr>
          <w:sz w:val="26"/>
          <w:szCs w:val="26"/>
        </w:rPr>
        <w:tab/>
      </w:r>
      <w:r w:rsidR="00F90B40" w:rsidRPr="00F90B40">
        <w:rPr>
          <w:i/>
          <w:color w:val="auto"/>
          <w:sz w:val="26"/>
          <w:szCs w:val="26"/>
        </w:rPr>
        <w:t>See Re:</w:t>
      </w:r>
      <w:r w:rsidR="00F90B40">
        <w:rPr>
          <w:sz w:val="26"/>
          <w:szCs w:val="26"/>
        </w:rPr>
        <w:t xml:space="preserve">  </w:t>
      </w:r>
      <w:r w:rsidRPr="009E6DD0">
        <w:rPr>
          <w:i/>
          <w:color w:val="auto"/>
          <w:sz w:val="26"/>
          <w:szCs w:val="26"/>
        </w:rPr>
        <w:t>Customer Assistance Program</w:t>
      </w:r>
      <w:r>
        <w:rPr>
          <w:i/>
          <w:color w:val="auto"/>
          <w:sz w:val="26"/>
          <w:szCs w:val="26"/>
        </w:rPr>
        <w:t xml:space="preserve">s:  </w:t>
      </w:r>
      <w:r w:rsidRPr="009E6DD0">
        <w:rPr>
          <w:i/>
          <w:color w:val="auto"/>
          <w:sz w:val="26"/>
          <w:szCs w:val="26"/>
        </w:rPr>
        <w:t>Funding Levels and Cost Recovery Mechanisms</w:t>
      </w:r>
      <w:r>
        <w:rPr>
          <w:color w:val="auto"/>
          <w:sz w:val="26"/>
          <w:szCs w:val="26"/>
        </w:rPr>
        <w:t>, Docket No. M-00051923, Final Investigatory Order entered December 18, 2006.</w:t>
      </w:r>
    </w:p>
    <w:p w:rsidR="00360676" w:rsidRDefault="00360676" w:rsidP="00954B50">
      <w:pPr>
        <w:pStyle w:val="FootnoteText"/>
      </w:pPr>
    </w:p>
  </w:footnote>
  <w:footnote w:id="14">
    <w:p w:rsidR="00010C62" w:rsidRPr="0008023A" w:rsidRDefault="00010C62" w:rsidP="00010C62">
      <w:pPr>
        <w:pStyle w:val="FootnoteText"/>
        <w:rPr>
          <w:color w:val="auto"/>
          <w:sz w:val="26"/>
          <w:szCs w:val="26"/>
        </w:rPr>
      </w:pPr>
      <w:r>
        <w:rPr>
          <w:sz w:val="22"/>
          <w:szCs w:val="22"/>
        </w:rPr>
        <w:tab/>
      </w:r>
      <w:r w:rsidRPr="0008023A">
        <w:rPr>
          <w:rStyle w:val="FootnoteReference"/>
          <w:color w:val="auto"/>
          <w:sz w:val="26"/>
          <w:szCs w:val="26"/>
        </w:rPr>
        <w:footnoteRef/>
      </w:r>
      <w:r w:rsidRPr="0008023A">
        <w:rPr>
          <w:color w:val="auto"/>
          <w:sz w:val="26"/>
          <w:szCs w:val="26"/>
        </w:rPr>
        <w:t xml:space="preserve">  </w:t>
      </w:r>
      <w:r w:rsidRPr="0008023A">
        <w:rPr>
          <w:color w:val="auto"/>
          <w:sz w:val="26"/>
          <w:szCs w:val="26"/>
        </w:rPr>
        <w:tab/>
        <w:t xml:space="preserve"> </w:t>
      </w:r>
      <w:r w:rsidRPr="00010C62">
        <w:rPr>
          <w:i/>
          <w:color w:val="auto"/>
          <w:sz w:val="26"/>
          <w:szCs w:val="26"/>
        </w:rPr>
        <w:t>See</w:t>
      </w:r>
      <w:r>
        <w:rPr>
          <w:color w:val="auto"/>
          <w:sz w:val="26"/>
          <w:szCs w:val="26"/>
        </w:rPr>
        <w:t xml:space="preserve"> </w:t>
      </w:r>
      <w:r w:rsidRPr="0008023A">
        <w:rPr>
          <w:color w:val="auto"/>
          <w:sz w:val="26"/>
          <w:szCs w:val="26"/>
        </w:rPr>
        <w:t>66 Pa. C.S. § 2804(8), (9); 66 Pa. C.S. § 2203(6).</w:t>
      </w:r>
    </w:p>
    <w:p w:rsidR="00010C62" w:rsidRPr="00644BD2" w:rsidRDefault="00010C62" w:rsidP="00010C62">
      <w:pPr>
        <w:pStyle w:val="FootnoteText"/>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0EB"/>
    <w:multiLevelType w:val="hybridMultilevel"/>
    <w:tmpl w:val="C4349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C41B5"/>
    <w:multiLevelType w:val="hybridMultilevel"/>
    <w:tmpl w:val="7F04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664EF"/>
    <w:multiLevelType w:val="hybridMultilevel"/>
    <w:tmpl w:val="F8242254"/>
    <w:lvl w:ilvl="0" w:tplc="92A2F3C2">
      <w:start w:val="3"/>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7BC0FB0"/>
    <w:multiLevelType w:val="singleLevel"/>
    <w:tmpl w:val="F44CA66A"/>
    <w:lvl w:ilvl="0">
      <w:start w:val="1"/>
      <w:numFmt w:val="lowerLetter"/>
      <w:lvlText w:val="(%1)"/>
      <w:lvlJc w:val="left"/>
      <w:pPr>
        <w:tabs>
          <w:tab w:val="num" w:pos="2160"/>
        </w:tabs>
        <w:ind w:left="2160" w:hanging="720"/>
      </w:pPr>
      <w:rPr>
        <w:rFonts w:hint="default"/>
      </w:rPr>
    </w:lvl>
  </w:abstractNum>
  <w:abstractNum w:abstractNumId="4">
    <w:nsid w:val="33475D05"/>
    <w:multiLevelType w:val="hybridMultilevel"/>
    <w:tmpl w:val="A44A3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A563D"/>
    <w:multiLevelType w:val="hybridMultilevel"/>
    <w:tmpl w:val="D0B4FE3C"/>
    <w:lvl w:ilvl="0" w:tplc="6BC00E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6A4471"/>
    <w:multiLevelType w:val="hybridMultilevel"/>
    <w:tmpl w:val="A6687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F43D8"/>
    <w:multiLevelType w:val="hybridMultilevel"/>
    <w:tmpl w:val="3A6CABAC"/>
    <w:lvl w:ilvl="0" w:tplc="76AE69B8">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46D69B3"/>
    <w:multiLevelType w:val="hybridMultilevel"/>
    <w:tmpl w:val="B0729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10E10"/>
    <w:multiLevelType w:val="hybridMultilevel"/>
    <w:tmpl w:val="496C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22527"/>
    <w:multiLevelType w:val="hybridMultilevel"/>
    <w:tmpl w:val="203C046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5FF7D47"/>
    <w:multiLevelType w:val="hybridMultilevel"/>
    <w:tmpl w:val="B85E7A32"/>
    <w:lvl w:ilvl="0" w:tplc="39782C8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8C02B73"/>
    <w:multiLevelType w:val="hybridMultilevel"/>
    <w:tmpl w:val="9A7293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6F3D49"/>
    <w:multiLevelType w:val="hybridMultilevel"/>
    <w:tmpl w:val="CC682664"/>
    <w:lvl w:ilvl="0" w:tplc="37ECC2B0">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EF0093E"/>
    <w:multiLevelType w:val="hybridMultilevel"/>
    <w:tmpl w:val="8AF4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11"/>
  </w:num>
  <w:num w:numId="5">
    <w:abstractNumId w:val="3"/>
  </w:num>
  <w:num w:numId="6">
    <w:abstractNumId w:val="5"/>
  </w:num>
  <w:num w:numId="7">
    <w:abstractNumId w:val="13"/>
  </w:num>
  <w:num w:numId="8">
    <w:abstractNumId w:val="9"/>
  </w:num>
  <w:num w:numId="9">
    <w:abstractNumId w:val="4"/>
  </w:num>
  <w:num w:numId="10">
    <w:abstractNumId w:val="8"/>
  </w:num>
  <w:num w:numId="11">
    <w:abstractNumId w:val="1"/>
  </w:num>
  <w:num w:numId="12">
    <w:abstractNumId w:val="14"/>
  </w:num>
  <w:num w:numId="13">
    <w:abstractNumId w:val="6"/>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7D30"/>
    <w:rsid w:val="00000AD0"/>
    <w:rsid w:val="00000BDB"/>
    <w:rsid w:val="00001348"/>
    <w:rsid w:val="000016B8"/>
    <w:rsid w:val="00002DA2"/>
    <w:rsid w:val="000032D1"/>
    <w:rsid w:val="00004345"/>
    <w:rsid w:val="000063F5"/>
    <w:rsid w:val="00007245"/>
    <w:rsid w:val="00010C62"/>
    <w:rsid w:val="000148D9"/>
    <w:rsid w:val="00017C79"/>
    <w:rsid w:val="00017E45"/>
    <w:rsid w:val="00021687"/>
    <w:rsid w:val="00021691"/>
    <w:rsid w:val="00021919"/>
    <w:rsid w:val="00022A31"/>
    <w:rsid w:val="0002502C"/>
    <w:rsid w:val="000254FE"/>
    <w:rsid w:val="000261D3"/>
    <w:rsid w:val="00027AB8"/>
    <w:rsid w:val="00027C0D"/>
    <w:rsid w:val="000337A1"/>
    <w:rsid w:val="000369F8"/>
    <w:rsid w:val="000400D9"/>
    <w:rsid w:val="000404CC"/>
    <w:rsid w:val="00041019"/>
    <w:rsid w:val="00041549"/>
    <w:rsid w:val="000422F7"/>
    <w:rsid w:val="00043F57"/>
    <w:rsid w:val="00045BBC"/>
    <w:rsid w:val="00046E20"/>
    <w:rsid w:val="0005051D"/>
    <w:rsid w:val="000507BE"/>
    <w:rsid w:val="000510F6"/>
    <w:rsid w:val="00051963"/>
    <w:rsid w:val="00055639"/>
    <w:rsid w:val="00056B06"/>
    <w:rsid w:val="00060E36"/>
    <w:rsid w:val="00060ED7"/>
    <w:rsid w:val="00062047"/>
    <w:rsid w:val="000626DC"/>
    <w:rsid w:val="00062AE3"/>
    <w:rsid w:val="00064BC3"/>
    <w:rsid w:val="0006613C"/>
    <w:rsid w:val="00066337"/>
    <w:rsid w:val="000736CF"/>
    <w:rsid w:val="00075879"/>
    <w:rsid w:val="00075A2D"/>
    <w:rsid w:val="00075C63"/>
    <w:rsid w:val="00077698"/>
    <w:rsid w:val="0008023A"/>
    <w:rsid w:val="00081FC3"/>
    <w:rsid w:val="000825AD"/>
    <w:rsid w:val="000835A2"/>
    <w:rsid w:val="000844B8"/>
    <w:rsid w:val="00085226"/>
    <w:rsid w:val="000872DE"/>
    <w:rsid w:val="00087695"/>
    <w:rsid w:val="000901E1"/>
    <w:rsid w:val="00091B43"/>
    <w:rsid w:val="000947FA"/>
    <w:rsid w:val="00094F4A"/>
    <w:rsid w:val="0009769B"/>
    <w:rsid w:val="000978B1"/>
    <w:rsid w:val="00097EB1"/>
    <w:rsid w:val="000A1CBE"/>
    <w:rsid w:val="000A2362"/>
    <w:rsid w:val="000A3AC8"/>
    <w:rsid w:val="000A5308"/>
    <w:rsid w:val="000A76A0"/>
    <w:rsid w:val="000A7FF8"/>
    <w:rsid w:val="000B0151"/>
    <w:rsid w:val="000B0CE3"/>
    <w:rsid w:val="000B1057"/>
    <w:rsid w:val="000B143F"/>
    <w:rsid w:val="000B1563"/>
    <w:rsid w:val="000B1711"/>
    <w:rsid w:val="000B318B"/>
    <w:rsid w:val="000B4B82"/>
    <w:rsid w:val="000C02C6"/>
    <w:rsid w:val="000C23CC"/>
    <w:rsid w:val="000C2C21"/>
    <w:rsid w:val="000C2D6A"/>
    <w:rsid w:val="000C4131"/>
    <w:rsid w:val="000C53E5"/>
    <w:rsid w:val="000C61D6"/>
    <w:rsid w:val="000D032A"/>
    <w:rsid w:val="000D3891"/>
    <w:rsid w:val="000D45D7"/>
    <w:rsid w:val="000D4826"/>
    <w:rsid w:val="000D49D6"/>
    <w:rsid w:val="000D623F"/>
    <w:rsid w:val="000D6F51"/>
    <w:rsid w:val="000D74B4"/>
    <w:rsid w:val="000E18A8"/>
    <w:rsid w:val="000E1D2D"/>
    <w:rsid w:val="000E1E74"/>
    <w:rsid w:val="000E2E65"/>
    <w:rsid w:val="000E370D"/>
    <w:rsid w:val="000E3D47"/>
    <w:rsid w:val="000E3EFB"/>
    <w:rsid w:val="000E56C9"/>
    <w:rsid w:val="000E5A04"/>
    <w:rsid w:val="000E69B7"/>
    <w:rsid w:val="000F0234"/>
    <w:rsid w:val="000F07FA"/>
    <w:rsid w:val="000F14A1"/>
    <w:rsid w:val="000F15DA"/>
    <w:rsid w:val="000F208B"/>
    <w:rsid w:val="000F306E"/>
    <w:rsid w:val="000F3AEF"/>
    <w:rsid w:val="000F40DE"/>
    <w:rsid w:val="000F4705"/>
    <w:rsid w:val="000F472E"/>
    <w:rsid w:val="000F4FFA"/>
    <w:rsid w:val="000F54D4"/>
    <w:rsid w:val="000F57CB"/>
    <w:rsid w:val="001000C6"/>
    <w:rsid w:val="00100952"/>
    <w:rsid w:val="00100EDF"/>
    <w:rsid w:val="0010110A"/>
    <w:rsid w:val="00102CE8"/>
    <w:rsid w:val="00103CE4"/>
    <w:rsid w:val="00105DCA"/>
    <w:rsid w:val="0010689B"/>
    <w:rsid w:val="00111832"/>
    <w:rsid w:val="001124F1"/>
    <w:rsid w:val="001127A5"/>
    <w:rsid w:val="00114131"/>
    <w:rsid w:val="0011465E"/>
    <w:rsid w:val="00115764"/>
    <w:rsid w:val="00115D29"/>
    <w:rsid w:val="0011670F"/>
    <w:rsid w:val="00116901"/>
    <w:rsid w:val="00117ADC"/>
    <w:rsid w:val="00121761"/>
    <w:rsid w:val="001227BF"/>
    <w:rsid w:val="00122B2D"/>
    <w:rsid w:val="00123032"/>
    <w:rsid w:val="001238C1"/>
    <w:rsid w:val="0012747A"/>
    <w:rsid w:val="00127E7C"/>
    <w:rsid w:val="00130328"/>
    <w:rsid w:val="00131867"/>
    <w:rsid w:val="00131B2D"/>
    <w:rsid w:val="00132175"/>
    <w:rsid w:val="00132179"/>
    <w:rsid w:val="001323E0"/>
    <w:rsid w:val="00132D4E"/>
    <w:rsid w:val="00132D66"/>
    <w:rsid w:val="001341F3"/>
    <w:rsid w:val="0014147D"/>
    <w:rsid w:val="00141872"/>
    <w:rsid w:val="001504C9"/>
    <w:rsid w:val="00151068"/>
    <w:rsid w:val="00152065"/>
    <w:rsid w:val="001560E4"/>
    <w:rsid w:val="001561F6"/>
    <w:rsid w:val="0015624B"/>
    <w:rsid w:val="00156C9C"/>
    <w:rsid w:val="00156E35"/>
    <w:rsid w:val="00157D8B"/>
    <w:rsid w:val="00160B61"/>
    <w:rsid w:val="001619A8"/>
    <w:rsid w:val="001624AB"/>
    <w:rsid w:val="001629E3"/>
    <w:rsid w:val="00162E29"/>
    <w:rsid w:val="00165822"/>
    <w:rsid w:val="00166DD5"/>
    <w:rsid w:val="00167788"/>
    <w:rsid w:val="0017120A"/>
    <w:rsid w:val="00171949"/>
    <w:rsid w:val="00171C95"/>
    <w:rsid w:val="0017304D"/>
    <w:rsid w:val="00174D69"/>
    <w:rsid w:val="0017599F"/>
    <w:rsid w:val="00175E74"/>
    <w:rsid w:val="00175F52"/>
    <w:rsid w:val="00176AA1"/>
    <w:rsid w:val="001836FD"/>
    <w:rsid w:val="001839BF"/>
    <w:rsid w:val="00183F1C"/>
    <w:rsid w:val="001850F7"/>
    <w:rsid w:val="00185CEA"/>
    <w:rsid w:val="0018680F"/>
    <w:rsid w:val="00190B54"/>
    <w:rsid w:val="00191327"/>
    <w:rsid w:val="00191BE6"/>
    <w:rsid w:val="001936EC"/>
    <w:rsid w:val="001937A2"/>
    <w:rsid w:val="00193954"/>
    <w:rsid w:val="00193FEF"/>
    <w:rsid w:val="00196149"/>
    <w:rsid w:val="001A0528"/>
    <w:rsid w:val="001A195D"/>
    <w:rsid w:val="001A1E79"/>
    <w:rsid w:val="001A261C"/>
    <w:rsid w:val="001A34FE"/>
    <w:rsid w:val="001A35BF"/>
    <w:rsid w:val="001A476A"/>
    <w:rsid w:val="001A7970"/>
    <w:rsid w:val="001B1CD9"/>
    <w:rsid w:val="001B4654"/>
    <w:rsid w:val="001B56C7"/>
    <w:rsid w:val="001B76EC"/>
    <w:rsid w:val="001B7C79"/>
    <w:rsid w:val="001C04CF"/>
    <w:rsid w:val="001C04DB"/>
    <w:rsid w:val="001C0BCD"/>
    <w:rsid w:val="001C2750"/>
    <w:rsid w:val="001C2ADA"/>
    <w:rsid w:val="001C5655"/>
    <w:rsid w:val="001C60E1"/>
    <w:rsid w:val="001C6C05"/>
    <w:rsid w:val="001D0C2E"/>
    <w:rsid w:val="001D24C2"/>
    <w:rsid w:val="001D2FD4"/>
    <w:rsid w:val="001D3B5C"/>
    <w:rsid w:val="001D3C10"/>
    <w:rsid w:val="001D3F3F"/>
    <w:rsid w:val="001D6CCE"/>
    <w:rsid w:val="001D74F2"/>
    <w:rsid w:val="001E003D"/>
    <w:rsid w:val="001E028A"/>
    <w:rsid w:val="001E03B1"/>
    <w:rsid w:val="001E148E"/>
    <w:rsid w:val="001E1A40"/>
    <w:rsid w:val="001E1FC9"/>
    <w:rsid w:val="001E24FA"/>
    <w:rsid w:val="001E27D9"/>
    <w:rsid w:val="001E3DC6"/>
    <w:rsid w:val="001E72C6"/>
    <w:rsid w:val="001F0651"/>
    <w:rsid w:val="001F0FBB"/>
    <w:rsid w:val="001F400F"/>
    <w:rsid w:val="001F44B1"/>
    <w:rsid w:val="001F49D5"/>
    <w:rsid w:val="001F4E01"/>
    <w:rsid w:val="001F524E"/>
    <w:rsid w:val="001F622F"/>
    <w:rsid w:val="001F6B35"/>
    <w:rsid w:val="001F7AED"/>
    <w:rsid w:val="00201986"/>
    <w:rsid w:val="00201B54"/>
    <w:rsid w:val="00202220"/>
    <w:rsid w:val="002028A0"/>
    <w:rsid w:val="0020393D"/>
    <w:rsid w:val="00204DA6"/>
    <w:rsid w:val="002073E7"/>
    <w:rsid w:val="002079FA"/>
    <w:rsid w:val="00211BAC"/>
    <w:rsid w:val="00211CC8"/>
    <w:rsid w:val="00214A5C"/>
    <w:rsid w:val="00215CE0"/>
    <w:rsid w:val="00217268"/>
    <w:rsid w:val="00217B38"/>
    <w:rsid w:val="0022033A"/>
    <w:rsid w:val="002205BE"/>
    <w:rsid w:val="00220CE7"/>
    <w:rsid w:val="00221327"/>
    <w:rsid w:val="00222747"/>
    <w:rsid w:val="002229DB"/>
    <w:rsid w:val="002243BF"/>
    <w:rsid w:val="002268EA"/>
    <w:rsid w:val="0022728B"/>
    <w:rsid w:val="00227292"/>
    <w:rsid w:val="00227399"/>
    <w:rsid w:val="0023074F"/>
    <w:rsid w:val="0023165A"/>
    <w:rsid w:val="00231DF6"/>
    <w:rsid w:val="00232EE2"/>
    <w:rsid w:val="00233105"/>
    <w:rsid w:val="00233B57"/>
    <w:rsid w:val="00235E2D"/>
    <w:rsid w:val="00236166"/>
    <w:rsid w:val="002361D9"/>
    <w:rsid w:val="00237A50"/>
    <w:rsid w:val="00241DCF"/>
    <w:rsid w:val="00242149"/>
    <w:rsid w:val="0024265C"/>
    <w:rsid w:val="002436D2"/>
    <w:rsid w:val="00244F9B"/>
    <w:rsid w:val="00245BA4"/>
    <w:rsid w:val="00247025"/>
    <w:rsid w:val="002503F1"/>
    <w:rsid w:val="002544BD"/>
    <w:rsid w:val="00254660"/>
    <w:rsid w:val="00254CCB"/>
    <w:rsid w:val="00256874"/>
    <w:rsid w:val="00256EE9"/>
    <w:rsid w:val="00260B01"/>
    <w:rsid w:val="00264FF3"/>
    <w:rsid w:val="00265D16"/>
    <w:rsid w:val="00266405"/>
    <w:rsid w:val="00266CC6"/>
    <w:rsid w:val="0026792D"/>
    <w:rsid w:val="00270FE4"/>
    <w:rsid w:val="002719AE"/>
    <w:rsid w:val="002726E3"/>
    <w:rsid w:val="00272A1C"/>
    <w:rsid w:val="00273CD7"/>
    <w:rsid w:val="002742B8"/>
    <w:rsid w:val="0027438D"/>
    <w:rsid w:val="00274DC8"/>
    <w:rsid w:val="002755CB"/>
    <w:rsid w:val="00276CBC"/>
    <w:rsid w:val="002805B2"/>
    <w:rsid w:val="0028338D"/>
    <w:rsid w:val="00283918"/>
    <w:rsid w:val="00283ECC"/>
    <w:rsid w:val="002840FA"/>
    <w:rsid w:val="00286A36"/>
    <w:rsid w:val="00287CB4"/>
    <w:rsid w:val="0029286D"/>
    <w:rsid w:val="0029434D"/>
    <w:rsid w:val="00294DEA"/>
    <w:rsid w:val="002952BB"/>
    <w:rsid w:val="00297DE6"/>
    <w:rsid w:val="002A05F1"/>
    <w:rsid w:val="002A112B"/>
    <w:rsid w:val="002A1C57"/>
    <w:rsid w:val="002A30A2"/>
    <w:rsid w:val="002A403D"/>
    <w:rsid w:val="002A4351"/>
    <w:rsid w:val="002A5340"/>
    <w:rsid w:val="002A5696"/>
    <w:rsid w:val="002A700F"/>
    <w:rsid w:val="002A7C2C"/>
    <w:rsid w:val="002B00C5"/>
    <w:rsid w:val="002B1519"/>
    <w:rsid w:val="002B4757"/>
    <w:rsid w:val="002B5BCD"/>
    <w:rsid w:val="002B6047"/>
    <w:rsid w:val="002B72F8"/>
    <w:rsid w:val="002B737F"/>
    <w:rsid w:val="002B762F"/>
    <w:rsid w:val="002C050D"/>
    <w:rsid w:val="002C055E"/>
    <w:rsid w:val="002C0771"/>
    <w:rsid w:val="002C0AD5"/>
    <w:rsid w:val="002C0E86"/>
    <w:rsid w:val="002C1036"/>
    <w:rsid w:val="002C24E6"/>
    <w:rsid w:val="002C2B2E"/>
    <w:rsid w:val="002C442D"/>
    <w:rsid w:val="002C6687"/>
    <w:rsid w:val="002C7019"/>
    <w:rsid w:val="002C73F0"/>
    <w:rsid w:val="002D1681"/>
    <w:rsid w:val="002D292F"/>
    <w:rsid w:val="002D2CA3"/>
    <w:rsid w:val="002D3311"/>
    <w:rsid w:val="002D5330"/>
    <w:rsid w:val="002D5384"/>
    <w:rsid w:val="002D6A70"/>
    <w:rsid w:val="002D6FF6"/>
    <w:rsid w:val="002E0758"/>
    <w:rsid w:val="002E0B2D"/>
    <w:rsid w:val="002E0E52"/>
    <w:rsid w:val="002E1EBE"/>
    <w:rsid w:val="002E2A42"/>
    <w:rsid w:val="002E2A54"/>
    <w:rsid w:val="002E2B54"/>
    <w:rsid w:val="002E2C32"/>
    <w:rsid w:val="002E7A29"/>
    <w:rsid w:val="002F0CC7"/>
    <w:rsid w:val="002F128D"/>
    <w:rsid w:val="002F1F00"/>
    <w:rsid w:val="002F2777"/>
    <w:rsid w:val="002F6D5F"/>
    <w:rsid w:val="002F6FAB"/>
    <w:rsid w:val="002F709A"/>
    <w:rsid w:val="002F72DE"/>
    <w:rsid w:val="002F7928"/>
    <w:rsid w:val="0030051A"/>
    <w:rsid w:val="00302475"/>
    <w:rsid w:val="003024B9"/>
    <w:rsid w:val="003032A7"/>
    <w:rsid w:val="00304947"/>
    <w:rsid w:val="003066C4"/>
    <w:rsid w:val="003078FC"/>
    <w:rsid w:val="00307B46"/>
    <w:rsid w:val="003109FB"/>
    <w:rsid w:val="00310B19"/>
    <w:rsid w:val="00311FD4"/>
    <w:rsid w:val="00317AA3"/>
    <w:rsid w:val="00320722"/>
    <w:rsid w:val="00321724"/>
    <w:rsid w:val="00321DDD"/>
    <w:rsid w:val="00324DDB"/>
    <w:rsid w:val="00325214"/>
    <w:rsid w:val="003253B5"/>
    <w:rsid w:val="00325FE3"/>
    <w:rsid w:val="003265FB"/>
    <w:rsid w:val="003271AD"/>
    <w:rsid w:val="00330048"/>
    <w:rsid w:val="0033112B"/>
    <w:rsid w:val="0033191D"/>
    <w:rsid w:val="00332F89"/>
    <w:rsid w:val="00334792"/>
    <w:rsid w:val="00335F4C"/>
    <w:rsid w:val="0033687A"/>
    <w:rsid w:val="00337BBD"/>
    <w:rsid w:val="0034334E"/>
    <w:rsid w:val="00345069"/>
    <w:rsid w:val="00350369"/>
    <w:rsid w:val="00350947"/>
    <w:rsid w:val="00352E41"/>
    <w:rsid w:val="0035313C"/>
    <w:rsid w:val="00353424"/>
    <w:rsid w:val="00353643"/>
    <w:rsid w:val="003539AE"/>
    <w:rsid w:val="003546E3"/>
    <w:rsid w:val="003546F2"/>
    <w:rsid w:val="00354A6A"/>
    <w:rsid w:val="00354C76"/>
    <w:rsid w:val="003560CF"/>
    <w:rsid w:val="003561B1"/>
    <w:rsid w:val="003572A1"/>
    <w:rsid w:val="00360676"/>
    <w:rsid w:val="003606F9"/>
    <w:rsid w:val="00365985"/>
    <w:rsid w:val="00365D5D"/>
    <w:rsid w:val="00365E2F"/>
    <w:rsid w:val="003666C9"/>
    <w:rsid w:val="0036778E"/>
    <w:rsid w:val="0037086C"/>
    <w:rsid w:val="00374038"/>
    <w:rsid w:val="00374071"/>
    <w:rsid w:val="0037567C"/>
    <w:rsid w:val="003765D4"/>
    <w:rsid w:val="00377298"/>
    <w:rsid w:val="0038147D"/>
    <w:rsid w:val="00383BBD"/>
    <w:rsid w:val="0038488B"/>
    <w:rsid w:val="003866D2"/>
    <w:rsid w:val="00386EE4"/>
    <w:rsid w:val="003903D6"/>
    <w:rsid w:val="00391C4E"/>
    <w:rsid w:val="00391FC3"/>
    <w:rsid w:val="003920A3"/>
    <w:rsid w:val="00392498"/>
    <w:rsid w:val="00393E8B"/>
    <w:rsid w:val="00394613"/>
    <w:rsid w:val="0039594F"/>
    <w:rsid w:val="003967AF"/>
    <w:rsid w:val="00397C23"/>
    <w:rsid w:val="003A02A2"/>
    <w:rsid w:val="003A03AB"/>
    <w:rsid w:val="003A04DB"/>
    <w:rsid w:val="003A0A92"/>
    <w:rsid w:val="003A0D07"/>
    <w:rsid w:val="003A26AA"/>
    <w:rsid w:val="003A3E43"/>
    <w:rsid w:val="003A4594"/>
    <w:rsid w:val="003A6315"/>
    <w:rsid w:val="003A6A0A"/>
    <w:rsid w:val="003A6FF6"/>
    <w:rsid w:val="003A7850"/>
    <w:rsid w:val="003B0074"/>
    <w:rsid w:val="003B19E6"/>
    <w:rsid w:val="003B1ABC"/>
    <w:rsid w:val="003C1212"/>
    <w:rsid w:val="003C1332"/>
    <w:rsid w:val="003C2110"/>
    <w:rsid w:val="003C27A9"/>
    <w:rsid w:val="003C3299"/>
    <w:rsid w:val="003C332F"/>
    <w:rsid w:val="003C36D0"/>
    <w:rsid w:val="003C4C2F"/>
    <w:rsid w:val="003C588D"/>
    <w:rsid w:val="003C6FD2"/>
    <w:rsid w:val="003D0075"/>
    <w:rsid w:val="003D03E9"/>
    <w:rsid w:val="003D0E69"/>
    <w:rsid w:val="003D2784"/>
    <w:rsid w:val="003D3A6F"/>
    <w:rsid w:val="003D445D"/>
    <w:rsid w:val="003D55F7"/>
    <w:rsid w:val="003D55FB"/>
    <w:rsid w:val="003D5DCB"/>
    <w:rsid w:val="003D6427"/>
    <w:rsid w:val="003D6F88"/>
    <w:rsid w:val="003E022A"/>
    <w:rsid w:val="003E06BD"/>
    <w:rsid w:val="003E200C"/>
    <w:rsid w:val="003E20D2"/>
    <w:rsid w:val="003E2D01"/>
    <w:rsid w:val="003E5AA1"/>
    <w:rsid w:val="003E6BC1"/>
    <w:rsid w:val="003F14DD"/>
    <w:rsid w:val="003F2CCD"/>
    <w:rsid w:val="003F3145"/>
    <w:rsid w:val="003F3EA2"/>
    <w:rsid w:val="003F40C6"/>
    <w:rsid w:val="003F525D"/>
    <w:rsid w:val="003F58AA"/>
    <w:rsid w:val="003F722C"/>
    <w:rsid w:val="003F7684"/>
    <w:rsid w:val="003F7790"/>
    <w:rsid w:val="00401E27"/>
    <w:rsid w:val="00402B91"/>
    <w:rsid w:val="004039CF"/>
    <w:rsid w:val="00403A97"/>
    <w:rsid w:val="00403ABF"/>
    <w:rsid w:val="00403F5B"/>
    <w:rsid w:val="00405305"/>
    <w:rsid w:val="004058C7"/>
    <w:rsid w:val="004065C0"/>
    <w:rsid w:val="00407F05"/>
    <w:rsid w:val="00407F11"/>
    <w:rsid w:val="00410A25"/>
    <w:rsid w:val="00410BDC"/>
    <w:rsid w:val="00412ECF"/>
    <w:rsid w:val="00412F14"/>
    <w:rsid w:val="0041324B"/>
    <w:rsid w:val="004132BF"/>
    <w:rsid w:val="0041380F"/>
    <w:rsid w:val="004144A0"/>
    <w:rsid w:val="00415955"/>
    <w:rsid w:val="00415F56"/>
    <w:rsid w:val="0041716E"/>
    <w:rsid w:val="0042207F"/>
    <w:rsid w:val="0042280F"/>
    <w:rsid w:val="00424ABF"/>
    <w:rsid w:val="004260B2"/>
    <w:rsid w:val="00427468"/>
    <w:rsid w:val="004277F9"/>
    <w:rsid w:val="00427B56"/>
    <w:rsid w:val="00431352"/>
    <w:rsid w:val="00431605"/>
    <w:rsid w:val="0043195E"/>
    <w:rsid w:val="0043289A"/>
    <w:rsid w:val="004334A7"/>
    <w:rsid w:val="0043384B"/>
    <w:rsid w:val="00433BE9"/>
    <w:rsid w:val="0043416E"/>
    <w:rsid w:val="004357AD"/>
    <w:rsid w:val="004371E5"/>
    <w:rsid w:val="0044079F"/>
    <w:rsid w:val="00440DDC"/>
    <w:rsid w:val="00441E26"/>
    <w:rsid w:val="00443DA4"/>
    <w:rsid w:val="00446B51"/>
    <w:rsid w:val="0045112F"/>
    <w:rsid w:val="00451170"/>
    <w:rsid w:val="00451E25"/>
    <w:rsid w:val="00452AE6"/>
    <w:rsid w:val="0045367C"/>
    <w:rsid w:val="004537A1"/>
    <w:rsid w:val="00453BEE"/>
    <w:rsid w:val="00454D9F"/>
    <w:rsid w:val="004565F1"/>
    <w:rsid w:val="00460D5B"/>
    <w:rsid w:val="00461605"/>
    <w:rsid w:val="00462FA5"/>
    <w:rsid w:val="00462FFC"/>
    <w:rsid w:val="004634DB"/>
    <w:rsid w:val="004638C8"/>
    <w:rsid w:val="00463D35"/>
    <w:rsid w:val="00464538"/>
    <w:rsid w:val="00464E16"/>
    <w:rsid w:val="00465401"/>
    <w:rsid w:val="0046585F"/>
    <w:rsid w:val="00465FAE"/>
    <w:rsid w:val="004678E7"/>
    <w:rsid w:val="00471307"/>
    <w:rsid w:val="0047171E"/>
    <w:rsid w:val="00471CE5"/>
    <w:rsid w:val="004724BC"/>
    <w:rsid w:val="00472731"/>
    <w:rsid w:val="00473944"/>
    <w:rsid w:val="00474571"/>
    <w:rsid w:val="004746FD"/>
    <w:rsid w:val="004756A4"/>
    <w:rsid w:val="004800B8"/>
    <w:rsid w:val="00483F7C"/>
    <w:rsid w:val="00484101"/>
    <w:rsid w:val="0048481C"/>
    <w:rsid w:val="00486E76"/>
    <w:rsid w:val="00490D3A"/>
    <w:rsid w:val="00490FD0"/>
    <w:rsid w:val="004913C1"/>
    <w:rsid w:val="00491A91"/>
    <w:rsid w:val="00492960"/>
    <w:rsid w:val="00494B6D"/>
    <w:rsid w:val="00494C17"/>
    <w:rsid w:val="00494E68"/>
    <w:rsid w:val="0049566E"/>
    <w:rsid w:val="00496F98"/>
    <w:rsid w:val="00497C19"/>
    <w:rsid w:val="004A01E1"/>
    <w:rsid w:val="004A02B2"/>
    <w:rsid w:val="004A333C"/>
    <w:rsid w:val="004A4F7F"/>
    <w:rsid w:val="004A5030"/>
    <w:rsid w:val="004B10E5"/>
    <w:rsid w:val="004B1A42"/>
    <w:rsid w:val="004B36C0"/>
    <w:rsid w:val="004B39BE"/>
    <w:rsid w:val="004B5EFE"/>
    <w:rsid w:val="004B64BF"/>
    <w:rsid w:val="004C1985"/>
    <w:rsid w:val="004C1F91"/>
    <w:rsid w:val="004C78ED"/>
    <w:rsid w:val="004C7C7A"/>
    <w:rsid w:val="004D0276"/>
    <w:rsid w:val="004D0808"/>
    <w:rsid w:val="004D1847"/>
    <w:rsid w:val="004D1D66"/>
    <w:rsid w:val="004D1F37"/>
    <w:rsid w:val="004D4F46"/>
    <w:rsid w:val="004D56DA"/>
    <w:rsid w:val="004D5BA2"/>
    <w:rsid w:val="004D639C"/>
    <w:rsid w:val="004D6918"/>
    <w:rsid w:val="004D7524"/>
    <w:rsid w:val="004E0833"/>
    <w:rsid w:val="004E12DB"/>
    <w:rsid w:val="004E1836"/>
    <w:rsid w:val="004E19BE"/>
    <w:rsid w:val="004E1F7B"/>
    <w:rsid w:val="004E2DFE"/>
    <w:rsid w:val="004E3558"/>
    <w:rsid w:val="004E45D2"/>
    <w:rsid w:val="004E66BF"/>
    <w:rsid w:val="004E6F53"/>
    <w:rsid w:val="004E77E4"/>
    <w:rsid w:val="004E796C"/>
    <w:rsid w:val="004F059E"/>
    <w:rsid w:val="004F085E"/>
    <w:rsid w:val="004F08DB"/>
    <w:rsid w:val="004F2749"/>
    <w:rsid w:val="004F29DC"/>
    <w:rsid w:val="004F2C59"/>
    <w:rsid w:val="004F3345"/>
    <w:rsid w:val="004F383F"/>
    <w:rsid w:val="004F3A32"/>
    <w:rsid w:val="004F4DD5"/>
    <w:rsid w:val="004F5F11"/>
    <w:rsid w:val="004F6280"/>
    <w:rsid w:val="004F6EDF"/>
    <w:rsid w:val="004F78DC"/>
    <w:rsid w:val="00501C7E"/>
    <w:rsid w:val="005025A1"/>
    <w:rsid w:val="00503277"/>
    <w:rsid w:val="00503D93"/>
    <w:rsid w:val="0050406B"/>
    <w:rsid w:val="00504FB9"/>
    <w:rsid w:val="005067F8"/>
    <w:rsid w:val="00506A62"/>
    <w:rsid w:val="00511D8B"/>
    <w:rsid w:val="00512796"/>
    <w:rsid w:val="0051297E"/>
    <w:rsid w:val="00513BC2"/>
    <w:rsid w:val="00514DC5"/>
    <w:rsid w:val="0051542B"/>
    <w:rsid w:val="00515931"/>
    <w:rsid w:val="00515A60"/>
    <w:rsid w:val="00516083"/>
    <w:rsid w:val="00520814"/>
    <w:rsid w:val="005212DF"/>
    <w:rsid w:val="0052210E"/>
    <w:rsid w:val="00522419"/>
    <w:rsid w:val="005234A4"/>
    <w:rsid w:val="00523F04"/>
    <w:rsid w:val="005252BC"/>
    <w:rsid w:val="00525E1A"/>
    <w:rsid w:val="00525FC3"/>
    <w:rsid w:val="00526202"/>
    <w:rsid w:val="005263DF"/>
    <w:rsid w:val="00526564"/>
    <w:rsid w:val="00526F6A"/>
    <w:rsid w:val="00527466"/>
    <w:rsid w:val="00527A9E"/>
    <w:rsid w:val="0053006E"/>
    <w:rsid w:val="005305BC"/>
    <w:rsid w:val="0053101D"/>
    <w:rsid w:val="005312E8"/>
    <w:rsid w:val="0053214D"/>
    <w:rsid w:val="005331C1"/>
    <w:rsid w:val="00533794"/>
    <w:rsid w:val="00534761"/>
    <w:rsid w:val="00536001"/>
    <w:rsid w:val="005364E7"/>
    <w:rsid w:val="0053652E"/>
    <w:rsid w:val="00537DCC"/>
    <w:rsid w:val="005400B0"/>
    <w:rsid w:val="00542744"/>
    <w:rsid w:val="0054285B"/>
    <w:rsid w:val="00544646"/>
    <w:rsid w:val="00545DD0"/>
    <w:rsid w:val="005505F4"/>
    <w:rsid w:val="00553DA2"/>
    <w:rsid w:val="0055416F"/>
    <w:rsid w:val="0056050F"/>
    <w:rsid w:val="00560C1E"/>
    <w:rsid w:val="0056150D"/>
    <w:rsid w:val="00561DC4"/>
    <w:rsid w:val="005622AD"/>
    <w:rsid w:val="00565502"/>
    <w:rsid w:val="005660F0"/>
    <w:rsid w:val="0056712B"/>
    <w:rsid w:val="00571FB6"/>
    <w:rsid w:val="00572030"/>
    <w:rsid w:val="0057224A"/>
    <w:rsid w:val="00572DF1"/>
    <w:rsid w:val="0057473F"/>
    <w:rsid w:val="005750DB"/>
    <w:rsid w:val="005762B2"/>
    <w:rsid w:val="00576EAA"/>
    <w:rsid w:val="005773D8"/>
    <w:rsid w:val="0058003A"/>
    <w:rsid w:val="005806E0"/>
    <w:rsid w:val="005814B8"/>
    <w:rsid w:val="0058450C"/>
    <w:rsid w:val="00584FE3"/>
    <w:rsid w:val="005851E8"/>
    <w:rsid w:val="0058536E"/>
    <w:rsid w:val="00587304"/>
    <w:rsid w:val="005877FD"/>
    <w:rsid w:val="00587C49"/>
    <w:rsid w:val="00587D6C"/>
    <w:rsid w:val="00590DE3"/>
    <w:rsid w:val="005929CE"/>
    <w:rsid w:val="005936AF"/>
    <w:rsid w:val="00595FE8"/>
    <w:rsid w:val="0059630C"/>
    <w:rsid w:val="0059698D"/>
    <w:rsid w:val="0059740F"/>
    <w:rsid w:val="005A06C1"/>
    <w:rsid w:val="005A06C5"/>
    <w:rsid w:val="005A284A"/>
    <w:rsid w:val="005A34E8"/>
    <w:rsid w:val="005A4E01"/>
    <w:rsid w:val="005A4F32"/>
    <w:rsid w:val="005A778B"/>
    <w:rsid w:val="005A7C96"/>
    <w:rsid w:val="005B10FB"/>
    <w:rsid w:val="005B193A"/>
    <w:rsid w:val="005B1BCE"/>
    <w:rsid w:val="005B1CC0"/>
    <w:rsid w:val="005B2C12"/>
    <w:rsid w:val="005B2E01"/>
    <w:rsid w:val="005B34CD"/>
    <w:rsid w:val="005B45CA"/>
    <w:rsid w:val="005B576E"/>
    <w:rsid w:val="005B6D45"/>
    <w:rsid w:val="005B6D7D"/>
    <w:rsid w:val="005B6E70"/>
    <w:rsid w:val="005C0EED"/>
    <w:rsid w:val="005C1406"/>
    <w:rsid w:val="005C1C54"/>
    <w:rsid w:val="005C2D25"/>
    <w:rsid w:val="005C2DC9"/>
    <w:rsid w:val="005C2E43"/>
    <w:rsid w:val="005C3E76"/>
    <w:rsid w:val="005C4662"/>
    <w:rsid w:val="005C5ACF"/>
    <w:rsid w:val="005C5D1A"/>
    <w:rsid w:val="005C5FA6"/>
    <w:rsid w:val="005C6FFF"/>
    <w:rsid w:val="005D02E6"/>
    <w:rsid w:val="005D0793"/>
    <w:rsid w:val="005D1262"/>
    <w:rsid w:val="005D1327"/>
    <w:rsid w:val="005D26CC"/>
    <w:rsid w:val="005D2B8F"/>
    <w:rsid w:val="005D3A58"/>
    <w:rsid w:val="005D58BD"/>
    <w:rsid w:val="005D7B2D"/>
    <w:rsid w:val="005D7CD1"/>
    <w:rsid w:val="005E07D3"/>
    <w:rsid w:val="005E0B8D"/>
    <w:rsid w:val="005E1CFD"/>
    <w:rsid w:val="005E1FA0"/>
    <w:rsid w:val="005E3D5B"/>
    <w:rsid w:val="005E4563"/>
    <w:rsid w:val="005E4DE9"/>
    <w:rsid w:val="005E56A5"/>
    <w:rsid w:val="005E5B7F"/>
    <w:rsid w:val="005E6819"/>
    <w:rsid w:val="005E771E"/>
    <w:rsid w:val="005E7B2B"/>
    <w:rsid w:val="005F0611"/>
    <w:rsid w:val="005F068E"/>
    <w:rsid w:val="005F0E45"/>
    <w:rsid w:val="005F26C2"/>
    <w:rsid w:val="005F44B8"/>
    <w:rsid w:val="005F4688"/>
    <w:rsid w:val="006002DE"/>
    <w:rsid w:val="006013FB"/>
    <w:rsid w:val="0060397A"/>
    <w:rsid w:val="006054C9"/>
    <w:rsid w:val="006059DA"/>
    <w:rsid w:val="00605BBA"/>
    <w:rsid w:val="00605DE7"/>
    <w:rsid w:val="006062E1"/>
    <w:rsid w:val="00606E6C"/>
    <w:rsid w:val="00610FFE"/>
    <w:rsid w:val="0061161F"/>
    <w:rsid w:val="00613BD7"/>
    <w:rsid w:val="0061522E"/>
    <w:rsid w:val="00615EBC"/>
    <w:rsid w:val="006213AF"/>
    <w:rsid w:val="00621CDC"/>
    <w:rsid w:val="00622627"/>
    <w:rsid w:val="0062313B"/>
    <w:rsid w:val="006240EF"/>
    <w:rsid w:val="00624463"/>
    <w:rsid w:val="00624566"/>
    <w:rsid w:val="00624A38"/>
    <w:rsid w:val="00624FF0"/>
    <w:rsid w:val="00625A92"/>
    <w:rsid w:val="00626D61"/>
    <w:rsid w:val="00631EFD"/>
    <w:rsid w:val="006354FE"/>
    <w:rsid w:val="00636CA2"/>
    <w:rsid w:val="006403D3"/>
    <w:rsid w:val="00641594"/>
    <w:rsid w:val="00641A4F"/>
    <w:rsid w:val="00642966"/>
    <w:rsid w:val="00642E6D"/>
    <w:rsid w:val="006435C4"/>
    <w:rsid w:val="00644076"/>
    <w:rsid w:val="00644BA5"/>
    <w:rsid w:val="00645269"/>
    <w:rsid w:val="00645ED4"/>
    <w:rsid w:val="0064744F"/>
    <w:rsid w:val="00647E0C"/>
    <w:rsid w:val="006502AA"/>
    <w:rsid w:val="0065111B"/>
    <w:rsid w:val="00651436"/>
    <w:rsid w:val="0065306F"/>
    <w:rsid w:val="00654752"/>
    <w:rsid w:val="00654759"/>
    <w:rsid w:val="00655505"/>
    <w:rsid w:val="0065556F"/>
    <w:rsid w:val="00661EE4"/>
    <w:rsid w:val="00663584"/>
    <w:rsid w:val="006639DA"/>
    <w:rsid w:val="00663BEC"/>
    <w:rsid w:val="00663D86"/>
    <w:rsid w:val="00666117"/>
    <w:rsid w:val="00666943"/>
    <w:rsid w:val="0066796C"/>
    <w:rsid w:val="00670635"/>
    <w:rsid w:val="00671D69"/>
    <w:rsid w:val="006733EC"/>
    <w:rsid w:val="00673F81"/>
    <w:rsid w:val="0067518E"/>
    <w:rsid w:val="0067729A"/>
    <w:rsid w:val="00680703"/>
    <w:rsid w:val="00680DDB"/>
    <w:rsid w:val="00681DBE"/>
    <w:rsid w:val="00682555"/>
    <w:rsid w:val="00683236"/>
    <w:rsid w:val="00683B78"/>
    <w:rsid w:val="00684048"/>
    <w:rsid w:val="00687A3A"/>
    <w:rsid w:val="00691A47"/>
    <w:rsid w:val="00692D1E"/>
    <w:rsid w:val="006940B6"/>
    <w:rsid w:val="006958DB"/>
    <w:rsid w:val="00696FCD"/>
    <w:rsid w:val="00697CFC"/>
    <w:rsid w:val="006A0F0A"/>
    <w:rsid w:val="006A1E3D"/>
    <w:rsid w:val="006A21C0"/>
    <w:rsid w:val="006A230C"/>
    <w:rsid w:val="006A2F07"/>
    <w:rsid w:val="006A4F76"/>
    <w:rsid w:val="006A5EC1"/>
    <w:rsid w:val="006A6F11"/>
    <w:rsid w:val="006A7ADB"/>
    <w:rsid w:val="006B0377"/>
    <w:rsid w:val="006B06D7"/>
    <w:rsid w:val="006B448E"/>
    <w:rsid w:val="006B5B2A"/>
    <w:rsid w:val="006B5BD1"/>
    <w:rsid w:val="006B5CD9"/>
    <w:rsid w:val="006B6DD6"/>
    <w:rsid w:val="006C00B0"/>
    <w:rsid w:val="006C1694"/>
    <w:rsid w:val="006C1AE1"/>
    <w:rsid w:val="006C1BAC"/>
    <w:rsid w:val="006C22C0"/>
    <w:rsid w:val="006C4022"/>
    <w:rsid w:val="006C49D3"/>
    <w:rsid w:val="006C4C83"/>
    <w:rsid w:val="006C516F"/>
    <w:rsid w:val="006C5993"/>
    <w:rsid w:val="006C5A9A"/>
    <w:rsid w:val="006C607B"/>
    <w:rsid w:val="006C7B03"/>
    <w:rsid w:val="006D26E1"/>
    <w:rsid w:val="006D27A0"/>
    <w:rsid w:val="006D2E65"/>
    <w:rsid w:val="006D3498"/>
    <w:rsid w:val="006D366C"/>
    <w:rsid w:val="006D36FA"/>
    <w:rsid w:val="006D4E52"/>
    <w:rsid w:val="006D5B52"/>
    <w:rsid w:val="006D70AD"/>
    <w:rsid w:val="006E02FE"/>
    <w:rsid w:val="006E0B05"/>
    <w:rsid w:val="006E1CD8"/>
    <w:rsid w:val="006E1EED"/>
    <w:rsid w:val="006E42A6"/>
    <w:rsid w:val="006E42FE"/>
    <w:rsid w:val="006E498C"/>
    <w:rsid w:val="006E5954"/>
    <w:rsid w:val="006E625C"/>
    <w:rsid w:val="006E6FCF"/>
    <w:rsid w:val="006E7861"/>
    <w:rsid w:val="006E7C68"/>
    <w:rsid w:val="006F0E32"/>
    <w:rsid w:val="006F139A"/>
    <w:rsid w:val="006F1D3C"/>
    <w:rsid w:val="006F2E54"/>
    <w:rsid w:val="006F483F"/>
    <w:rsid w:val="006F503F"/>
    <w:rsid w:val="006F6424"/>
    <w:rsid w:val="006F6494"/>
    <w:rsid w:val="006F68DA"/>
    <w:rsid w:val="006F7938"/>
    <w:rsid w:val="0070179E"/>
    <w:rsid w:val="007018B0"/>
    <w:rsid w:val="00701F7E"/>
    <w:rsid w:val="0070352A"/>
    <w:rsid w:val="00703988"/>
    <w:rsid w:val="00704FC3"/>
    <w:rsid w:val="0070526C"/>
    <w:rsid w:val="00705667"/>
    <w:rsid w:val="00707492"/>
    <w:rsid w:val="007102E1"/>
    <w:rsid w:val="007130C9"/>
    <w:rsid w:val="00713915"/>
    <w:rsid w:val="00715EFC"/>
    <w:rsid w:val="00716F74"/>
    <w:rsid w:val="00720214"/>
    <w:rsid w:val="00720A3E"/>
    <w:rsid w:val="00721001"/>
    <w:rsid w:val="007225B3"/>
    <w:rsid w:val="007226FB"/>
    <w:rsid w:val="0072380E"/>
    <w:rsid w:val="00724F03"/>
    <w:rsid w:val="0072745B"/>
    <w:rsid w:val="0073087C"/>
    <w:rsid w:val="00730C8C"/>
    <w:rsid w:val="00730EE8"/>
    <w:rsid w:val="007316E2"/>
    <w:rsid w:val="00731ECD"/>
    <w:rsid w:val="007346E5"/>
    <w:rsid w:val="00735F7A"/>
    <w:rsid w:val="00736060"/>
    <w:rsid w:val="007404FF"/>
    <w:rsid w:val="00740C4D"/>
    <w:rsid w:val="00741A1E"/>
    <w:rsid w:val="00743BBC"/>
    <w:rsid w:val="00744543"/>
    <w:rsid w:val="00746681"/>
    <w:rsid w:val="00746A65"/>
    <w:rsid w:val="0075041D"/>
    <w:rsid w:val="00751221"/>
    <w:rsid w:val="00755346"/>
    <w:rsid w:val="00756853"/>
    <w:rsid w:val="007575E0"/>
    <w:rsid w:val="00757B8A"/>
    <w:rsid w:val="00760014"/>
    <w:rsid w:val="00760BB1"/>
    <w:rsid w:val="00760D94"/>
    <w:rsid w:val="0076179A"/>
    <w:rsid w:val="00761A75"/>
    <w:rsid w:val="00761EDA"/>
    <w:rsid w:val="00762422"/>
    <w:rsid w:val="00762BC6"/>
    <w:rsid w:val="0076326B"/>
    <w:rsid w:val="0076390E"/>
    <w:rsid w:val="00764A43"/>
    <w:rsid w:val="00765F61"/>
    <w:rsid w:val="00766C0F"/>
    <w:rsid w:val="00766E00"/>
    <w:rsid w:val="0076732D"/>
    <w:rsid w:val="007710E2"/>
    <w:rsid w:val="00773E22"/>
    <w:rsid w:val="00775B81"/>
    <w:rsid w:val="00776810"/>
    <w:rsid w:val="00776C6A"/>
    <w:rsid w:val="00776C7B"/>
    <w:rsid w:val="00776D93"/>
    <w:rsid w:val="00777174"/>
    <w:rsid w:val="0077741B"/>
    <w:rsid w:val="00777FF7"/>
    <w:rsid w:val="00780631"/>
    <w:rsid w:val="0078078F"/>
    <w:rsid w:val="007815CA"/>
    <w:rsid w:val="00782E5E"/>
    <w:rsid w:val="00784272"/>
    <w:rsid w:val="0078477B"/>
    <w:rsid w:val="00790C01"/>
    <w:rsid w:val="007918E8"/>
    <w:rsid w:val="00793563"/>
    <w:rsid w:val="007953DB"/>
    <w:rsid w:val="007959CE"/>
    <w:rsid w:val="00796DBA"/>
    <w:rsid w:val="00797480"/>
    <w:rsid w:val="007A0B5B"/>
    <w:rsid w:val="007A30E9"/>
    <w:rsid w:val="007A38F4"/>
    <w:rsid w:val="007A4BF0"/>
    <w:rsid w:val="007A5252"/>
    <w:rsid w:val="007A53B5"/>
    <w:rsid w:val="007A5C7C"/>
    <w:rsid w:val="007A6353"/>
    <w:rsid w:val="007A64DD"/>
    <w:rsid w:val="007A6D37"/>
    <w:rsid w:val="007B0050"/>
    <w:rsid w:val="007B01A5"/>
    <w:rsid w:val="007B063C"/>
    <w:rsid w:val="007B0FFE"/>
    <w:rsid w:val="007B63ED"/>
    <w:rsid w:val="007B64D5"/>
    <w:rsid w:val="007C03EB"/>
    <w:rsid w:val="007C0F48"/>
    <w:rsid w:val="007C314F"/>
    <w:rsid w:val="007C3C66"/>
    <w:rsid w:val="007C599F"/>
    <w:rsid w:val="007C6B8F"/>
    <w:rsid w:val="007C6BBC"/>
    <w:rsid w:val="007D0F68"/>
    <w:rsid w:val="007D12C7"/>
    <w:rsid w:val="007D2478"/>
    <w:rsid w:val="007D2A5D"/>
    <w:rsid w:val="007D34E5"/>
    <w:rsid w:val="007D4B78"/>
    <w:rsid w:val="007D4BCB"/>
    <w:rsid w:val="007D4C11"/>
    <w:rsid w:val="007D4E60"/>
    <w:rsid w:val="007D6BE9"/>
    <w:rsid w:val="007D6C74"/>
    <w:rsid w:val="007D7BDD"/>
    <w:rsid w:val="007E0260"/>
    <w:rsid w:val="007E305B"/>
    <w:rsid w:val="007E38EF"/>
    <w:rsid w:val="007E652C"/>
    <w:rsid w:val="007E70FF"/>
    <w:rsid w:val="007F1B7D"/>
    <w:rsid w:val="007F1D44"/>
    <w:rsid w:val="007F24D6"/>
    <w:rsid w:val="007F2598"/>
    <w:rsid w:val="007F3673"/>
    <w:rsid w:val="007F4131"/>
    <w:rsid w:val="007F49E4"/>
    <w:rsid w:val="007F6483"/>
    <w:rsid w:val="00802AE4"/>
    <w:rsid w:val="0080368D"/>
    <w:rsid w:val="00804951"/>
    <w:rsid w:val="00804FE0"/>
    <w:rsid w:val="00805195"/>
    <w:rsid w:val="00805C95"/>
    <w:rsid w:val="008062FD"/>
    <w:rsid w:val="00807D48"/>
    <w:rsid w:val="008107E7"/>
    <w:rsid w:val="00811500"/>
    <w:rsid w:val="00811CE5"/>
    <w:rsid w:val="008146DD"/>
    <w:rsid w:val="00815065"/>
    <w:rsid w:val="0081554C"/>
    <w:rsid w:val="00815A1C"/>
    <w:rsid w:val="00815B48"/>
    <w:rsid w:val="008208EC"/>
    <w:rsid w:val="00821C46"/>
    <w:rsid w:val="00821C5E"/>
    <w:rsid w:val="00824BE7"/>
    <w:rsid w:val="0082653E"/>
    <w:rsid w:val="00826B19"/>
    <w:rsid w:val="008272FD"/>
    <w:rsid w:val="00827B3A"/>
    <w:rsid w:val="00827FD5"/>
    <w:rsid w:val="00830A04"/>
    <w:rsid w:val="00830ECE"/>
    <w:rsid w:val="00831DC9"/>
    <w:rsid w:val="00831DFE"/>
    <w:rsid w:val="008324C7"/>
    <w:rsid w:val="00833D4A"/>
    <w:rsid w:val="00834484"/>
    <w:rsid w:val="00835585"/>
    <w:rsid w:val="00835A48"/>
    <w:rsid w:val="00835F71"/>
    <w:rsid w:val="00836D63"/>
    <w:rsid w:val="00837B08"/>
    <w:rsid w:val="008419BE"/>
    <w:rsid w:val="0084200F"/>
    <w:rsid w:val="008424C4"/>
    <w:rsid w:val="00842887"/>
    <w:rsid w:val="00843A5D"/>
    <w:rsid w:val="008457B3"/>
    <w:rsid w:val="00847798"/>
    <w:rsid w:val="008477EB"/>
    <w:rsid w:val="0084784C"/>
    <w:rsid w:val="00847F0A"/>
    <w:rsid w:val="00851C85"/>
    <w:rsid w:val="00855EBA"/>
    <w:rsid w:val="00860643"/>
    <w:rsid w:val="00864319"/>
    <w:rsid w:val="008647D8"/>
    <w:rsid w:val="00864E8F"/>
    <w:rsid w:val="008659B3"/>
    <w:rsid w:val="008660AE"/>
    <w:rsid w:val="00866E9B"/>
    <w:rsid w:val="00867856"/>
    <w:rsid w:val="008679DD"/>
    <w:rsid w:val="00870298"/>
    <w:rsid w:val="008720B3"/>
    <w:rsid w:val="00872387"/>
    <w:rsid w:val="00874728"/>
    <w:rsid w:val="008762BE"/>
    <w:rsid w:val="00876472"/>
    <w:rsid w:val="00880B1E"/>
    <w:rsid w:val="00881974"/>
    <w:rsid w:val="008822C6"/>
    <w:rsid w:val="00884BBE"/>
    <w:rsid w:val="00886215"/>
    <w:rsid w:val="008906A7"/>
    <w:rsid w:val="00890DAB"/>
    <w:rsid w:val="00891563"/>
    <w:rsid w:val="0089192A"/>
    <w:rsid w:val="00891E5E"/>
    <w:rsid w:val="0089230A"/>
    <w:rsid w:val="00893338"/>
    <w:rsid w:val="00894D60"/>
    <w:rsid w:val="00894E84"/>
    <w:rsid w:val="00894F10"/>
    <w:rsid w:val="008954F1"/>
    <w:rsid w:val="00895815"/>
    <w:rsid w:val="00895FE9"/>
    <w:rsid w:val="00896FD4"/>
    <w:rsid w:val="00897128"/>
    <w:rsid w:val="008A0244"/>
    <w:rsid w:val="008A2A87"/>
    <w:rsid w:val="008A4A3D"/>
    <w:rsid w:val="008A6329"/>
    <w:rsid w:val="008B0D93"/>
    <w:rsid w:val="008B56B2"/>
    <w:rsid w:val="008B6216"/>
    <w:rsid w:val="008B6E67"/>
    <w:rsid w:val="008B7B1F"/>
    <w:rsid w:val="008C03F3"/>
    <w:rsid w:val="008C069C"/>
    <w:rsid w:val="008C287C"/>
    <w:rsid w:val="008C2901"/>
    <w:rsid w:val="008C2C8A"/>
    <w:rsid w:val="008C2E6A"/>
    <w:rsid w:val="008C4606"/>
    <w:rsid w:val="008C6AF0"/>
    <w:rsid w:val="008C6D24"/>
    <w:rsid w:val="008C6D37"/>
    <w:rsid w:val="008C7122"/>
    <w:rsid w:val="008C7C44"/>
    <w:rsid w:val="008D0E9B"/>
    <w:rsid w:val="008D1559"/>
    <w:rsid w:val="008D30F1"/>
    <w:rsid w:val="008D312F"/>
    <w:rsid w:val="008D4406"/>
    <w:rsid w:val="008D4D85"/>
    <w:rsid w:val="008D5040"/>
    <w:rsid w:val="008D559D"/>
    <w:rsid w:val="008D719A"/>
    <w:rsid w:val="008D79D6"/>
    <w:rsid w:val="008E0797"/>
    <w:rsid w:val="008E0D17"/>
    <w:rsid w:val="008E0E39"/>
    <w:rsid w:val="008E2AB0"/>
    <w:rsid w:val="008E2BF4"/>
    <w:rsid w:val="008E2E67"/>
    <w:rsid w:val="008E3805"/>
    <w:rsid w:val="008E395B"/>
    <w:rsid w:val="008E39B4"/>
    <w:rsid w:val="008E3D34"/>
    <w:rsid w:val="008E5258"/>
    <w:rsid w:val="008E54CF"/>
    <w:rsid w:val="008E5E0D"/>
    <w:rsid w:val="008E6147"/>
    <w:rsid w:val="008E65BC"/>
    <w:rsid w:val="008E6671"/>
    <w:rsid w:val="008E6AE5"/>
    <w:rsid w:val="008E73D7"/>
    <w:rsid w:val="008E7850"/>
    <w:rsid w:val="008F050C"/>
    <w:rsid w:val="008F0EA9"/>
    <w:rsid w:val="008F2C1B"/>
    <w:rsid w:val="008F302D"/>
    <w:rsid w:val="008F30F9"/>
    <w:rsid w:val="008F3810"/>
    <w:rsid w:val="008F3C1F"/>
    <w:rsid w:val="008F4610"/>
    <w:rsid w:val="008F49EE"/>
    <w:rsid w:val="008F66C9"/>
    <w:rsid w:val="008F6F4D"/>
    <w:rsid w:val="008F7C0D"/>
    <w:rsid w:val="008F7CD0"/>
    <w:rsid w:val="0090193C"/>
    <w:rsid w:val="00901AD8"/>
    <w:rsid w:val="009025C8"/>
    <w:rsid w:val="009026AE"/>
    <w:rsid w:val="009041F5"/>
    <w:rsid w:val="00904AB8"/>
    <w:rsid w:val="00904FF2"/>
    <w:rsid w:val="00905E33"/>
    <w:rsid w:val="009070C3"/>
    <w:rsid w:val="00910A0F"/>
    <w:rsid w:val="00911365"/>
    <w:rsid w:val="009122ED"/>
    <w:rsid w:val="009124AA"/>
    <w:rsid w:val="00912710"/>
    <w:rsid w:val="0091353C"/>
    <w:rsid w:val="0091444B"/>
    <w:rsid w:val="009144F3"/>
    <w:rsid w:val="00914D66"/>
    <w:rsid w:val="00914EE6"/>
    <w:rsid w:val="00915785"/>
    <w:rsid w:val="00915B69"/>
    <w:rsid w:val="00915D00"/>
    <w:rsid w:val="00916C18"/>
    <w:rsid w:val="0092081F"/>
    <w:rsid w:val="00921827"/>
    <w:rsid w:val="00925950"/>
    <w:rsid w:val="00932E7F"/>
    <w:rsid w:val="00933622"/>
    <w:rsid w:val="00933662"/>
    <w:rsid w:val="00934557"/>
    <w:rsid w:val="009355FE"/>
    <w:rsid w:val="00936404"/>
    <w:rsid w:val="009378C4"/>
    <w:rsid w:val="009402D4"/>
    <w:rsid w:val="00940BDE"/>
    <w:rsid w:val="0094153C"/>
    <w:rsid w:val="00942801"/>
    <w:rsid w:val="00943A6D"/>
    <w:rsid w:val="00943CC2"/>
    <w:rsid w:val="00943FD2"/>
    <w:rsid w:val="009447F0"/>
    <w:rsid w:val="00946181"/>
    <w:rsid w:val="00946540"/>
    <w:rsid w:val="009465FA"/>
    <w:rsid w:val="00946614"/>
    <w:rsid w:val="00946D24"/>
    <w:rsid w:val="00947294"/>
    <w:rsid w:val="0095086D"/>
    <w:rsid w:val="009513A4"/>
    <w:rsid w:val="00951EB5"/>
    <w:rsid w:val="00951EB8"/>
    <w:rsid w:val="009539CC"/>
    <w:rsid w:val="00954B50"/>
    <w:rsid w:val="009557D2"/>
    <w:rsid w:val="00956A2D"/>
    <w:rsid w:val="00956A3E"/>
    <w:rsid w:val="00956EE0"/>
    <w:rsid w:val="00957C0F"/>
    <w:rsid w:val="009619EB"/>
    <w:rsid w:val="0096209C"/>
    <w:rsid w:val="00962951"/>
    <w:rsid w:val="00964927"/>
    <w:rsid w:val="00966515"/>
    <w:rsid w:val="00967CC3"/>
    <w:rsid w:val="009711D2"/>
    <w:rsid w:val="009715A3"/>
    <w:rsid w:val="00971BC2"/>
    <w:rsid w:val="009727B7"/>
    <w:rsid w:val="00972979"/>
    <w:rsid w:val="009733A1"/>
    <w:rsid w:val="00976A69"/>
    <w:rsid w:val="00976E3E"/>
    <w:rsid w:val="00977545"/>
    <w:rsid w:val="009800B2"/>
    <w:rsid w:val="009803F1"/>
    <w:rsid w:val="00980AC1"/>
    <w:rsid w:val="009822F1"/>
    <w:rsid w:val="00983A87"/>
    <w:rsid w:val="00983C84"/>
    <w:rsid w:val="009866B1"/>
    <w:rsid w:val="009868C1"/>
    <w:rsid w:val="0098692F"/>
    <w:rsid w:val="009869B9"/>
    <w:rsid w:val="00986E98"/>
    <w:rsid w:val="009903CB"/>
    <w:rsid w:val="00990917"/>
    <w:rsid w:val="009909D9"/>
    <w:rsid w:val="00991078"/>
    <w:rsid w:val="009929EE"/>
    <w:rsid w:val="00992B2F"/>
    <w:rsid w:val="009935D1"/>
    <w:rsid w:val="009962A1"/>
    <w:rsid w:val="00996B27"/>
    <w:rsid w:val="009A257A"/>
    <w:rsid w:val="009A2915"/>
    <w:rsid w:val="009A2B4C"/>
    <w:rsid w:val="009A3309"/>
    <w:rsid w:val="009A417F"/>
    <w:rsid w:val="009A6B30"/>
    <w:rsid w:val="009A7F4F"/>
    <w:rsid w:val="009B08A6"/>
    <w:rsid w:val="009B128C"/>
    <w:rsid w:val="009B1F50"/>
    <w:rsid w:val="009B34BB"/>
    <w:rsid w:val="009B3D79"/>
    <w:rsid w:val="009B407F"/>
    <w:rsid w:val="009B4AAF"/>
    <w:rsid w:val="009B541E"/>
    <w:rsid w:val="009B5450"/>
    <w:rsid w:val="009B6017"/>
    <w:rsid w:val="009B67FB"/>
    <w:rsid w:val="009B6A40"/>
    <w:rsid w:val="009B6FF6"/>
    <w:rsid w:val="009B750B"/>
    <w:rsid w:val="009C10DD"/>
    <w:rsid w:val="009C155B"/>
    <w:rsid w:val="009C18B5"/>
    <w:rsid w:val="009C2057"/>
    <w:rsid w:val="009C2333"/>
    <w:rsid w:val="009C4C0C"/>
    <w:rsid w:val="009C4CA9"/>
    <w:rsid w:val="009C4DEE"/>
    <w:rsid w:val="009C4E5A"/>
    <w:rsid w:val="009C50A1"/>
    <w:rsid w:val="009D026D"/>
    <w:rsid w:val="009D04C7"/>
    <w:rsid w:val="009D12F5"/>
    <w:rsid w:val="009D36EB"/>
    <w:rsid w:val="009D45F3"/>
    <w:rsid w:val="009D57BB"/>
    <w:rsid w:val="009D5877"/>
    <w:rsid w:val="009E0208"/>
    <w:rsid w:val="009E1DD7"/>
    <w:rsid w:val="009E2528"/>
    <w:rsid w:val="009E2E9F"/>
    <w:rsid w:val="009E3A08"/>
    <w:rsid w:val="009E49DB"/>
    <w:rsid w:val="009E51F1"/>
    <w:rsid w:val="009E5540"/>
    <w:rsid w:val="009E5733"/>
    <w:rsid w:val="009E5CAA"/>
    <w:rsid w:val="009E68A2"/>
    <w:rsid w:val="009E6DD0"/>
    <w:rsid w:val="009F20A5"/>
    <w:rsid w:val="009F6AD5"/>
    <w:rsid w:val="00A00849"/>
    <w:rsid w:val="00A02694"/>
    <w:rsid w:val="00A03B69"/>
    <w:rsid w:val="00A043E3"/>
    <w:rsid w:val="00A04EA3"/>
    <w:rsid w:val="00A051A9"/>
    <w:rsid w:val="00A059B2"/>
    <w:rsid w:val="00A07AD1"/>
    <w:rsid w:val="00A07C8F"/>
    <w:rsid w:val="00A11576"/>
    <w:rsid w:val="00A11B45"/>
    <w:rsid w:val="00A13459"/>
    <w:rsid w:val="00A135F2"/>
    <w:rsid w:val="00A15B78"/>
    <w:rsid w:val="00A15F00"/>
    <w:rsid w:val="00A168A8"/>
    <w:rsid w:val="00A215A5"/>
    <w:rsid w:val="00A2181F"/>
    <w:rsid w:val="00A23283"/>
    <w:rsid w:val="00A251DE"/>
    <w:rsid w:val="00A25FF6"/>
    <w:rsid w:val="00A26856"/>
    <w:rsid w:val="00A2742F"/>
    <w:rsid w:val="00A30D30"/>
    <w:rsid w:val="00A310A6"/>
    <w:rsid w:val="00A322D8"/>
    <w:rsid w:val="00A33722"/>
    <w:rsid w:val="00A33C1B"/>
    <w:rsid w:val="00A342B0"/>
    <w:rsid w:val="00A3720B"/>
    <w:rsid w:val="00A428D7"/>
    <w:rsid w:val="00A43878"/>
    <w:rsid w:val="00A43E1A"/>
    <w:rsid w:val="00A45BC1"/>
    <w:rsid w:val="00A465A4"/>
    <w:rsid w:val="00A46E52"/>
    <w:rsid w:val="00A4721D"/>
    <w:rsid w:val="00A51518"/>
    <w:rsid w:val="00A51A6E"/>
    <w:rsid w:val="00A520D9"/>
    <w:rsid w:val="00A52D8D"/>
    <w:rsid w:val="00A53D3E"/>
    <w:rsid w:val="00A554E7"/>
    <w:rsid w:val="00A55843"/>
    <w:rsid w:val="00A56CDE"/>
    <w:rsid w:val="00A6080E"/>
    <w:rsid w:val="00A621BB"/>
    <w:rsid w:val="00A63B20"/>
    <w:rsid w:val="00A6436A"/>
    <w:rsid w:val="00A64867"/>
    <w:rsid w:val="00A648C9"/>
    <w:rsid w:val="00A64B26"/>
    <w:rsid w:val="00A650F3"/>
    <w:rsid w:val="00A66024"/>
    <w:rsid w:val="00A702FB"/>
    <w:rsid w:val="00A7050C"/>
    <w:rsid w:val="00A70D6D"/>
    <w:rsid w:val="00A71B97"/>
    <w:rsid w:val="00A72531"/>
    <w:rsid w:val="00A72B3C"/>
    <w:rsid w:val="00A735F8"/>
    <w:rsid w:val="00A73D3C"/>
    <w:rsid w:val="00A73EFD"/>
    <w:rsid w:val="00A74A43"/>
    <w:rsid w:val="00A75E4C"/>
    <w:rsid w:val="00A80051"/>
    <w:rsid w:val="00A80529"/>
    <w:rsid w:val="00A836B6"/>
    <w:rsid w:val="00A870CB"/>
    <w:rsid w:val="00A9055B"/>
    <w:rsid w:val="00A906D8"/>
    <w:rsid w:val="00A910FE"/>
    <w:rsid w:val="00A919E7"/>
    <w:rsid w:val="00A94432"/>
    <w:rsid w:val="00A9520A"/>
    <w:rsid w:val="00A967F4"/>
    <w:rsid w:val="00A97A2E"/>
    <w:rsid w:val="00A97FEF"/>
    <w:rsid w:val="00AA0E4C"/>
    <w:rsid w:val="00AA153C"/>
    <w:rsid w:val="00AA27EF"/>
    <w:rsid w:val="00AA62A9"/>
    <w:rsid w:val="00AA71D6"/>
    <w:rsid w:val="00AA7EDD"/>
    <w:rsid w:val="00AB0852"/>
    <w:rsid w:val="00AB09EE"/>
    <w:rsid w:val="00AB20E4"/>
    <w:rsid w:val="00AB3E2B"/>
    <w:rsid w:val="00AB574D"/>
    <w:rsid w:val="00AB7AFB"/>
    <w:rsid w:val="00AB7DB8"/>
    <w:rsid w:val="00AB7E9B"/>
    <w:rsid w:val="00AC033D"/>
    <w:rsid w:val="00AC2407"/>
    <w:rsid w:val="00AC25DB"/>
    <w:rsid w:val="00AC2F04"/>
    <w:rsid w:val="00AC343A"/>
    <w:rsid w:val="00AC35E9"/>
    <w:rsid w:val="00AC37D3"/>
    <w:rsid w:val="00AC3B9C"/>
    <w:rsid w:val="00AC7250"/>
    <w:rsid w:val="00AC7E46"/>
    <w:rsid w:val="00AD04D8"/>
    <w:rsid w:val="00AD3492"/>
    <w:rsid w:val="00AD5892"/>
    <w:rsid w:val="00AE0993"/>
    <w:rsid w:val="00AE0C1A"/>
    <w:rsid w:val="00AE22B3"/>
    <w:rsid w:val="00AE2473"/>
    <w:rsid w:val="00AE28DC"/>
    <w:rsid w:val="00AE3637"/>
    <w:rsid w:val="00AE39F3"/>
    <w:rsid w:val="00AE43A9"/>
    <w:rsid w:val="00AF0B37"/>
    <w:rsid w:val="00AF23F3"/>
    <w:rsid w:val="00AF2FC0"/>
    <w:rsid w:val="00AF309B"/>
    <w:rsid w:val="00AF3FDE"/>
    <w:rsid w:val="00AF5A4C"/>
    <w:rsid w:val="00AF7E58"/>
    <w:rsid w:val="00B0098C"/>
    <w:rsid w:val="00B01BE8"/>
    <w:rsid w:val="00B04950"/>
    <w:rsid w:val="00B05B3F"/>
    <w:rsid w:val="00B05B5F"/>
    <w:rsid w:val="00B105F1"/>
    <w:rsid w:val="00B119F8"/>
    <w:rsid w:val="00B12A6B"/>
    <w:rsid w:val="00B13BAC"/>
    <w:rsid w:val="00B16095"/>
    <w:rsid w:val="00B17277"/>
    <w:rsid w:val="00B175DF"/>
    <w:rsid w:val="00B20CC3"/>
    <w:rsid w:val="00B21AE5"/>
    <w:rsid w:val="00B22195"/>
    <w:rsid w:val="00B25643"/>
    <w:rsid w:val="00B2668F"/>
    <w:rsid w:val="00B30425"/>
    <w:rsid w:val="00B304EF"/>
    <w:rsid w:val="00B31B0E"/>
    <w:rsid w:val="00B31BD1"/>
    <w:rsid w:val="00B3583F"/>
    <w:rsid w:val="00B35910"/>
    <w:rsid w:val="00B35D6D"/>
    <w:rsid w:val="00B36673"/>
    <w:rsid w:val="00B379A7"/>
    <w:rsid w:val="00B37DB2"/>
    <w:rsid w:val="00B40434"/>
    <w:rsid w:val="00B4149E"/>
    <w:rsid w:val="00B41A9F"/>
    <w:rsid w:val="00B4435D"/>
    <w:rsid w:val="00B456DD"/>
    <w:rsid w:val="00B45C02"/>
    <w:rsid w:val="00B45FD9"/>
    <w:rsid w:val="00B50C8F"/>
    <w:rsid w:val="00B5179E"/>
    <w:rsid w:val="00B53059"/>
    <w:rsid w:val="00B548C4"/>
    <w:rsid w:val="00B54A99"/>
    <w:rsid w:val="00B56729"/>
    <w:rsid w:val="00B570E5"/>
    <w:rsid w:val="00B57FE0"/>
    <w:rsid w:val="00B57FFD"/>
    <w:rsid w:val="00B62F62"/>
    <w:rsid w:val="00B63934"/>
    <w:rsid w:val="00B66300"/>
    <w:rsid w:val="00B66FFF"/>
    <w:rsid w:val="00B67656"/>
    <w:rsid w:val="00B704DD"/>
    <w:rsid w:val="00B73867"/>
    <w:rsid w:val="00B748DF"/>
    <w:rsid w:val="00B74CC0"/>
    <w:rsid w:val="00B75115"/>
    <w:rsid w:val="00B75F06"/>
    <w:rsid w:val="00B76770"/>
    <w:rsid w:val="00B82BD5"/>
    <w:rsid w:val="00B83364"/>
    <w:rsid w:val="00B83561"/>
    <w:rsid w:val="00B83952"/>
    <w:rsid w:val="00B84D5D"/>
    <w:rsid w:val="00B8525D"/>
    <w:rsid w:val="00B85B4E"/>
    <w:rsid w:val="00B865A7"/>
    <w:rsid w:val="00B86A7D"/>
    <w:rsid w:val="00B87523"/>
    <w:rsid w:val="00B87D6B"/>
    <w:rsid w:val="00B92379"/>
    <w:rsid w:val="00B92D81"/>
    <w:rsid w:val="00B936DB"/>
    <w:rsid w:val="00B9407B"/>
    <w:rsid w:val="00B940E0"/>
    <w:rsid w:val="00B94609"/>
    <w:rsid w:val="00B948D7"/>
    <w:rsid w:val="00B95F99"/>
    <w:rsid w:val="00B964FA"/>
    <w:rsid w:val="00B970AE"/>
    <w:rsid w:val="00B97D30"/>
    <w:rsid w:val="00BA0ACD"/>
    <w:rsid w:val="00BA2075"/>
    <w:rsid w:val="00BA2E7D"/>
    <w:rsid w:val="00BA3551"/>
    <w:rsid w:val="00BA3BD2"/>
    <w:rsid w:val="00BA4673"/>
    <w:rsid w:val="00BA4F3A"/>
    <w:rsid w:val="00BA5207"/>
    <w:rsid w:val="00BA5851"/>
    <w:rsid w:val="00BA6202"/>
    <w:rsid w:val="00BA6966"/>
    <w:rsid w:val="00BA77CF"/>
    <w:rsid w:val="00BA7B8E"/>
    <w:rsid w:val="00BB0EF9"/>
    <w:rsid w:val="00BB3333"/>
    <w:rsid w:val="00BB4198"/>
    <w:rsid w:val="00BB47C4"/>
    <w:rsid w:val="00BB5C9D"/>
    <w:rsid w:val="00BB6EF2"/>
    <w:rsid w:val="00BC16A3"/>
    <w:rsid w:val="00BC2B86"/>
    <w:rsid w:val="00BC3CF1"/>
    <w:rsid w:val="00BC4156"/>
    <w:rsid w:val="00BC4E75"/>
    <w:rsid w:val="00BC5252"/>
    <w:rsid w:val="00BC56B8"/>
    <w:rsid w:val="00BC5A9E"/>
    <w:rsid w:val="00BD073C"/>
    <w:rsid w:val="00BD1F43"/>
    <w:rsid w:val="00BD3998"/>
    <w:rsid w:val="00BD78AD"/>
    <w:rsid w:val="00BE0914"/>
    <w:rsid w:val="00BE1A89"/>
    <w:rsid w:val="00BE1BC6"/>
    <w:rsid w:val="00BE340F"/>
    <w:rsid w:val="00BE3417"/>
    <w:rsid w:val="00BE3513"/>
    <w:rsid w:val="00BE6405"/>
    <w:rsid w:val="00BE67E5"/>
    <w:rsid w:val="00BE6CFA"/>
    <w:rsid w:val="00BE70CF"/>
    <w:rsid w:val="00BE7CD2"/>
    <w:rsid w:val="00BE7F4C"/>
    <w:rsid w:val="00BF01BC"/>
    <w:rsid w:val="00BF0EA9"/>
    <w:rsid w:val="00BF1C4A"/>
    <w:rsid w:val="00BF1E08"/>
    <w:rsid w:val="00BF21D5"/>
    <w:rsid w:val="00BF27FA"/>
    <w:rsid w:val="00BF5D8B"/>
    <w:rsid w:val="00BF7170"/>
    <w:rsid w:val="00BF7231"/>
    <w:rsid w:val="00C0044C"/>
    <w:rsid w:val="00C02C45"/>
    <w:rsid w:val="00C032BA"/>
    <w:rsid w:val="00C032C8"/>
    <w:rsid w:val="00C033C2"/>
    <w:rsid w:val="00C03B54"/>
    <w:rsid w:val="00C0563F"/>
    <w:rsid w:val="00C063AB"/>
    <w:rsid w:val="00C06521"/>
    <w:rsid w:val="00C0758D"/>
    <w:rsid w:val="00C0776E"/>
    <w:rsid w:val="00C102C6"/>
    <w:rsid w:val="00C10DE5"/>
    <w:rsid w:val="00C121D4"/>
    <w:rsid w:val="00C124E5"/>
    <w:rsid w:val="00C13E1D"/>
    <w:rsid w:val="00C14D04"/>
    <w:rsid w:val="00C15613"/>
    <w:rsid w:val="00C15B3E"/>
    <w:rsid w:val="00C17693"/>
    <w:rsid w:val="00C17D77"/>
    <w:rsid w:val="00C20497"/>
    <w:rsid w:val="00C218B4"/>
    <w:rsid w:val="00C2378A"/>
    <w:rsid w:val="00C23877"/>
    <w:rsid w:val="00C24CA5"/>
    <w:rsid w:val="00C254EE"/>
    <w:rsid w:val="00C25B6A"/>
    <w:rsid w:val="00C26AC9"/>
    <w:rsid w:val="00C26EBA"/>
    <w:rsid w:val="00C32A94"/>
    <w:rsid w:val="00C333E5"/>
    <w:rsid w:val="00C34C6B"/>
    <w:rsid w:val="00C34CD5"/>
    <w:rsid w:val="00C4021A"/>
    <w:rsid w:val="00C415F0"/>
    <w:rsid w:val="00C419D3"/>
    <w:rsid w:val="00C44048"/>
    <w:rsid w:val="00C44503"/>
    <w:rsid w:val="00C4583D"/>
    <w:rsid w:val="00C45DC6"/>
    <w:rsid w:val="00C46B18"/>
    <w:rsid w:val="00C46B7D"/>
    <w:rsid w:val="00C47A63"/>
    <w:rsid w:val="00C47D66"/>
    <w:rsid w:val="00C51440"/>
    <w:rsid w:val="00C51C37"/>
    <w:rsid w:val="00C52446"/>
    <w:rsid w:val="00C53686"/>
    <w:rsid w:val="00C53CEE"/>
    <w:rsid w:val="00C53D86"/>
    <w:rsid w:val="00C55019"/>
    <w:rsid w:val="00C56396"/>
    <w:rsid w:val="00C60761"/>
    <w:rsid w:val="00C61163"/>
    <w:rsid w:val="00C6158E"/>
    <w:rsid w:val="00C61AAC"/>
    <w:rsid w:val="00C63999"/>
    <w:rsid w:val="00C64EDA"/>
    <w:rsid w:val="00C64FE8"/>
    <w:rsid w:val="00C65AA2"/>
    <w:rsid w:val="00C6655E"/>
    <w:rsid w:val="00C66B6B"/>
    <w:rsid w:val="00C70623"/>
    <w:rsid w:val="00C72337"/>
    <w:rsid w:val="00C72E88"/>
    <w:rsid w:val="00C73437"/>
    <w:rsid w:val="00C73F50"/>
    <w:rsid w:val="00C7540F"/>
    <w:rsid w:val="00C75D27"/>
    <w:rsid w:val="00C8070A"/>
    <w:rsid w:val="00C807D5"/>
    <w:rsid w:val="00C83F8E"/>
    <w:rsid w:val="00C84502"/>
    <w:rsid w:val="00C848C7"/>
    <w:rsid w:val="00C86288"/>
    <w:rsid w:val="00C87381"/>
    <w:rsid w:val="00C87FBF"/>
    <w:rsid w:val="00C912D0"/>
    <w:rsid w:val="00C92589"/>
    <w:rsid w:val="00C97835"/>
    <w:rsid w:val="00CA083A"/>
    <w:rsid w:val="00CA191E"/>
    <w:rsid w:val="00CA1A8A"/>
    <w:rsid w:val="00CA2649"/>
    <w:rsid w:val="00CA321B"/>
    <w:rsid w:val="00CA4DE2"/>
    <w:rsid w:val="00CA519B"/>
    <w:rsid w:val="00CA535B"/>
    <w:rsid w:val="00CA5597"/>
    <w:rsid w:val="00CA6EF8"/>
    <w:rsid w:val="00CB0024"/>
    <w:rsid w:val="00CB0FD6"/>
    <w:rsid w:val="00CB232F"/>
    <w:rsid w:val="00CB2813"/>
    <w:rsid w:val="00CB2B20"/>
    <w:rsid w:val="00CB2F22"/>
    <w:rsid w:val="00CB3C45"/>
    <w:rsid w:val="00CB4EA2"/>
    <w:rsid w:val="00CB74E1"/>
    <w:rsid w:val="00CC1FE3"/>
    <w:rsid w:val="00CC26F7"/>
    <w:rsid w:val="00CC2C70"/>
    <w:rsid w:val="00CC2DCD"/>
    <w:rsid w:val="00CC4EE6"/>
    <w:rsid w:val="00CC4F5E"/>
    <w:rsid w:val="00CC611D"/>
    <w:rsid w:val="00CC64A8"/>
    <w:rsid w:val="00CD0BDB"/>
    <w:rsid w:val="00CD0DAE"/>
    <w:rsid w:val="00CD4256"/>
    <w:rsid w:val="00CD6F99"/>
    <w:rsid w:val="00CE0627"/>
    <w:rsid w:val="00CE45A1"/>
    <w:rsid w:val="00CE55ED"/>
    <w:rsid w:val="00CE5623"/>
    <w:rsid w:val="00CE589A"/>
    <w:rsid w:val="00CE7114"/>
    <w:rsid w:val="00CE7F79"/>
    <w:rsid w:val="00CF0384"/>
    <w:rsid w:val="00CF1237"/>
    <w:rsid w:val="00CF21AC"/>
    <w:rsid w:val="00CF36CE"/>
    <w:rsid w:val="00CF4911"/>
    <w:rsid w:val="00CF5AB8"/>
    <w:rsid w:val="00CF60A6"/>
    <w:rsid w:val="00CF6146"/>
    <w:rsid w:val="00CF6400"/>
    <w:rsid w:val="00CF6B50"/>
    <w:rsid w:val="00D00164"/>
    <w:rsid w:val="00D0021D"/>
    <w:rsid w:val="00D0107E"/>
    <w:rsid w:val="00D0115F"/>
    <w:rsid w:val="00D0134E"/>
    <w:rsid w:val="00D0263A"/>
    <w:rsid w:val="00D02DDC"/>
    <w:rsid w:val="00D03F96"/>
    <w:rsid w:val="00D051D1"/>
    <w:rsid w:val="00D116F0"/>
    <w:rsid w:val="00D119E0"/>
    <w:rsid w:val="00D129C6"/>
    <w:rsid w:val="00D13084"/>
    <w:rsid w:val="00D13138"/>
    <w:rsid w:val="00D13E6D"/>
    <w:rsid w:val="00D14CF6"/>
    <w:rsid w:val="00D15629"/>
    <w:rsid w:val="00D172A0"/>
    <w:rsid w:val="00D1795E"/>
    <w:rsid w:val="00D17B0E"/>
    <w:rsid w:val="00D2011C"/>
    <w:rsid w:val="00D204C5"/>
    <w:rsid w:val="00D20E15"/>
    <w:rsid w:val="00D217D5"/>
    <w:rsid w:val="00D22387"/>
    <w:rsid w:val="00D22A31"/>
    <w:rsid w:val="00D23E00"/>
    <w:rsid w:val="00D26D00"/>
    <w:rsid w:val="00D273C8"/>
    <w:rsid w:val="00D30DBA"/>
    <w:rsid w:val="00D31194"/>
    <w:rsid w:val="00D313A2"/>
    <w:rsid w:val="00D32499"/>
    <w:rsid w:val="00D32F93"/>
    <w:rsid w:val="00D340C2"/>
    <w:rsid w:val="00D34E04"/>
    <w:rsid w:val="00D35D7C"/>
    <w:rsid w:val="00D36D11"/>
    <w:rsid w:val="00D36DDD"/>
    <w:rsid w:val="00D375C7"/>
    <w:rsid w:val="00D41367"/>
    <w:rsid w:val="00D4550E"/>
    <w:rsid w:val="00D455BB"/>
    <w:rsid w:val="00D45946"/>
    <w:rsid w:val="00D45D48"/>
    <w:rsid w:val="00D46235"/>
    <w:rsid w:val="00D474FF"/>
    <w:rsid w:val="00D5064E"/>
    <w:rsid w:val="00D50BFB"/>
    <w:rsid w:val="00D51619"/>
    <w:rsid w:val="00D525E2"/>
    <w:rsid w:val="00D5269F"/>
    <w:rsid w:val="00D5289A"/>
    <w:rsid w:val="00D53590"/>
    <w:rsid w:val="00D54B33"/>
    <w:rsid w:val="00D54F26"/>
    <w:rsid w:val="00D55155"/>
    <w:rsid w:val="00D55268"/>
    <w:rsid w:val="00D5544A"/>
    <w:rsid w:val="00D56ADA"/>
    <w:rsid w:val="00D60570"/>
    <w:rsid w:val="00D60B71"/>
    <w:rsid w:val="00D6178C"/>
    <w:rsid w:val="00D6185C"/>
    <w:rsid w:val="00D64168"/>
    <w:rsid w:val="00D64A5A"/>
    <w:rsid w:val="00D64DEF"/>
    <w:rsid w:val="00D65DD4"/>
    <w:rsid w:val="00D6603C"/>
    <w:rsid w:val="00D672C9"/>
    <w:rsid w:val="00D675F2"/>
    <w:rsid w:val="00D71923"/>
    <w:rsid w:val="00D75AB8"/>
    <w:rsid w:val="00D76680"/>
    <w:rsid w:val="00D77AC6"/>
    <w:rsid w:val="00D8075D"/>
    <w:rsid w:val="00D81D13"/>
    <w:rsid w:val="00D829C3"/>
    <w:rsid w:val="00D82F45"/>
    <w:rsid w:val="00D86C9C"/>
    <w:rsid w:val="00D8722C"/>
    <w:rsid w:val="00D87428"/>
    <w:rsid w:val="00D87980"/>
    <w:rsid w:val="00D92F84"/>
    <w:rsid w:val="00D9347B"/>
    <w:rsid w:val="00D9665A"/>
    <w:rsid w:val="00D97439"/>
    <w:rsid w:val="00D974FC"/>
    <w:rsid w:val="00DA010A"/>
    <w:rsid w:val="00DA29F6"/>
    <w:rsid w:val="00DA2F27"/>
    <w:rsid w:val="00DA3F44"/>
    <w:rsid w:val="00DA4077"/>
    <w:rsid w:val="00DA574E"/>
    <w:rsid w:val="00DA5ABB"/>
    <w:rsid w:val="00DA718D"/>
    <w:rsid w:val="00DB0BE4"/>
    <w:rsid w:val="00DB25A7"/>
    <w:rsid w:val="00DB37B6"/>
    <w:rsid w:val="00DB460F"/>
    <w:rsid w:val="00DB792F"/>
    <w:rsid w:val="00DC00B0"/>
    <w:rsid w:val="00DC1EC5"/>
    <w:rsid w:val="00DC1FE0"/>
    <w:rsid w:val="00DC4A60"/>
    <w:rsid w:val="00DD0A75"/>
    <w:rsid w:val="00DD1F91"/>
    <w:rsid w:val="00DD2E57"/>
    <w:rsid w:val="00DD3ECF"/>
    <w:rsid w:val="00DD424D"/>
    <w:rsid w:val="00DD4451"/>
    <w:rsid w:val="00DD4E71"/>
    <w:rsid w:val="00DD67C2"/>
    <w:rsid w:val="00DD6E56"/>
    <w:rsid w:val="00DE107F"/>
    <w:rsid w:val="00DE12F7"/>
    <w:rsid w:val="00DE1F24"/>
    <w:rsid w:val="00DE2C8B"/>
    <w:rsid w:val="00DE46CA"/>
    <w:rsid w:val="00DE616F"/>
    <w:rsid w:val="00DE65AB"/>
    <w:rsid w:val="00DF0F3E"/>
    <w:rsid w:val="00DF2984"/>
    <w:rsid w:val="00DF3006"/>
    <w:rsid w:val="00DF4AF8"/>
    <w:rsid w:val="00DF5165"/>
    <w:rsid w:val="00DF5E66"/>
    <w:rsid w:val="00E00D2A"/>
    <w:rsid w:val="00E01944"/>
    <w:rsid w:val="00E01BD5"/>
    <w:rsid w:val="00E01C36"/>
    <w:rsid w:val="00E01FC2"/>
    <w:rsid w:val="00E02BE8"/>
    <w:rsid w:val="00E02E0E"/>
    <w:rsid w:val="00E02E55"/>
    <w:rsid w:val="00E054AC"/>
    <w:rsid w:val="00E05EFB"/>
    <w:rsid w:val="00E06BD8"/>
    <w:rsid w:val="00E06BF1"/>
    <w:rsid w:val="00E11371"/>
    <w:rsid w:val="00E13DE5"/>
    <w:rsid w:val="00E14562"/>
    <w:rsid w:val="00E147CB"/>
    <w:rsid w:val="00E14FC2"/>
    <w:rsid w:val="00E160E9"/>
    <w:rsid w:val="00E173BB"/>
    <w:rsid w:val="00E173BC"/>
    <w:rsid w:val="00E17A96"/>
    <w:rsid w:val="00E21B5A"/>
    <w:rsid w:val="00E2489B"/>
    <w:rsid w:val="00E25A6E"/>
    <w:rsid w:val="00E263F3"/>
    <w:rsid w:val="00E27D53"/>
    <w:rsid w:val="00E27D8D"/>
    <w:rsid w:val="00E321FA"/>
    <w:rsid w:val="00E3300B"/>
    <w:rsid w:val="00E33735"/>
    <w:rsid w:val="00E33829"/>
    <w:rsid w:val="00E33AA4"/>
    <w:rsid w:val="00E3453D"/>
    <w:rsid w:val="00E35D70"/>
    <w:rsid w:val="00E3652E"/>
    <w:rsid w:val="00E3655C"/>
    <w:rsid w:val="00E36B6D"/>
    <w:rsid w:val="00E37FE0"/>
    <w:rsid w:val="00E40A13"/>
    <w:rsid w:val="00E40C49"/>
    <w:rsid w:val="00E41007"/>
    <w:rsid w:val="00E43129"/>
    <w:rsid w:val="00E45816"/>
    <w:rsid w:val="00E52CFA"/>
    <w:rsid w:val="00E54576"/>
    <w:rsid w:val="00E550BA"/>
    <w:rsid w:val="00E550BD"/>
    <w:rsid w:val="00E57D17"/>
    <w:rsid w:val="00E60F0E"/>
    <w:rsid w:val="00E62BA7"/>
    <w:rsid w:val="00E6308A"/>
    <w:rsid w:val="00E64881"/>
    <w:rsid w:val="00E64C1B"/>
    <w:rsid w:val="00E677F0"/>
    <w:rsid w:val="00E703FA"/>
    <w:rsid w:val="00E70522"/>
    <w:rsid w:val="00E724AE"/>
    <w:rsid w:val="00E73604"/>
    <w:rsid w:val="00E73658"/>
    <w:rsid w:val="00E74C64"/>
    <w:rsid w:val="00E751DC"/>
    <w:rsid w:val="00E75DB4"/>
    <w:rsid w:val="00E762BB"/>
    <w:rsid w:val="00E773B6"/>
    <w:rsid w:val="00E7760D"/>
    <w:rsid w:val="00E81913"/>
    <w:rsid w:val="00E830E8"/>
    <w:rsid w:val="00E83249"/>
    <w:rsid w:val="00E83719"/>
    <w:rsid w:val="00E84079"/>
    <w:rsid w:val="00E84369"/>
    <w:rsid w:val="00E85BAC"/>
    <w:rsid w:val="00E87702"/>
    <w:rsid w:val="00E90A39"/>
    <w:rsid w:val="00E90AE7"/>
    <w:rsid w:val="00E916F5"/>
    <w:rsid w:val="00E91BF5"/>
    <w:rsid w:val="00E91C92"/>
    <w:rsid w:val="00E9279D"/>
    <w:rsid w:val="00E9446E"/>
    <w:rsid w:val="00E968D0"/>
    <w:rsid w:val="00E976C7"/>
    <w:rsid w:val="00E9777F"/>
    <w:rsid w:val="00EA14D1"/>
    <w:rsid w:val="00EA2CFC"/>
    <w:rsid w:val="00EA33EF"/>
    <w:rsid w:val="00EA3BD3"/>
    <w:rsid w:val="00EA4921"/>
    <w:rsid w:val="00EA5188"/>
    <w:rsid w:val="00EA635B"/>
    <w:rsid w:val="00EA742E"/>
    <w:rsid w:val="00EB349C"/>
    <w:rsid w:val="00EB47D0"/>
    <w:rsid w:val="00EB4B7E"/>
    <w:rsid w:val="00EB53BF"/>
    <w:rsid w:val="00EB7B5C"/>
    <w:rsid w:val="00EC1729"/>
    <w:rsid w:val="00EC19BD"/>
    <w:rsid w:val="00EC2798"/>
    <w:rsid w:val="00EC4BD4"/>
    <w:rsid w:val="00EC6DDC"/>
    <w:rsid w:val="00EC7741"/>
    <w:rsid w:val="00EC7A99"/>
    <w:rsid w:val="00ED1658"/>
    <w:rsid w:val="00ED211B"/>
    <w:rsid w:val="00ED2EB5"/>
    <w:rsid w:val="00ED33C1"/>
    <w:rsid w:val="00ED3B88"/>
    <w:rsid w:val="00ED446F"/>
    <w:rsid w:val="00ED533B"/>
    <w:rsid w:val="00ED6CB3"/>
    <w:rsid w:val="00ED7D92"/>
    <w:rsid w:val="00EE0BDA"/>
    <w:rsid w:val="00EE0C91"/>
    <w:rsid w:val="00EE238F"/>
    <w:rsid w:val="00EE28C2"/>
    <w:rsid w:val="00EE2962"/>
    <w:rsid w:val="00EE4AAB"/>
    <w:rsid w:val="00EE5B92"/>
    <w:rsid w:val="00EE5F69"/>
    <w:rsid w:val="00EE77B9"/>
    <w:rsid w:val="00EE7B7E"/>
    <w:rsid w:val="00EE7DDC"/>
    <w:rsid w:val="00EF2F8F"/>
    <w:rsid w:val="00EF3623"/>
    <w:rsid w:val="00EF5081"/>
    <w:rsid w:val="00EF5612"/>
    <w:rsid w:val="00EF5DB6"/>
    <w:rsid w:val="00F01731"/>
    <w:rsid w:val="00F02239"/>
    <w:rsid w:val="00F10ED1"/>
    <w:rsid w:val="00F12FB2"/>
    <w:rsid w:val="00F1370D"/>
    <w:rsid w:val="00F139D8"/>
    <w:rsid w:val="00F152B7"/>
    <w:rsid w:val="00F16BBC"/>
    <w:rsid w:val="00F21CE3"/>
    <w:rsid w:val="00F21FAD"/>
    <w:rsid w:val="00F309EE"/>
    <w:rsid w:val="00F315BB"/>
    <w:rsid w:val="00F32804"/>
    <w:rsid w:val="00F35DF5"/>
    <w:rsid w:val="00F36D89"/>
    <w:rsid w:val="00F36F5F"/>
    <w:rsid w:val="00F377E4"/>
    <w:rsid w:val="00F37F1F"/>
    <w:rsid w:val="00F4059B"/>
    <w:rsid w:val="00F43AD2"/>
    <w:rsid w:val="00F4435B"/>
    <w:rsid w:val="00F44BF5"/>
    <w:rsid w:val="00F479A0"/>
    <w:rsid w:val="00F508F6"/>
    <w:rsid w:val="00F521F2"/>
    <w:rsid w:val="00F52D5E"/>
    <w:rsid w:val="00F5301C"/>
    <w:rsid w:val="00F57767"/>
    <w:rsid w:val="00F614A8"/>
    <w:rsid w:val="00F62941"/>
    <w:rsid w:val="00F63A84"/>
    <w:rsid w:val="00F64E2C"/>
    <w:rsid w:val="00F64EF8"/>
    <w:rsid w:val="00F706B1"/>
    <w:rsid w:val="00F719BA"/>
    <w:rsid w:val="00F73EE3"/>
    <w:rsid w:val="00F762EB"/>
    <w:rsid w:val="00F76B73"/>
    <w:rsid w:val="00F77420"/>
    <w:rsid w:val="00F77C8F"/>
    <w:rsid w:val="00F80541"/>
    <w:rsid w:val="00F81548"/>
    <w:rsid w:val="00F8281E"/>
    <w:rsid w:val="00F842E8"/>
    <w:rsid w:val="00F85A1D"/>
    <w:rsid w:val="00F90B40"/>
    <w:rsid w:val="00F91955"/>
    <w:rsid w:val="00F91BC4"/>
    <w:rsid w:val="00F946D8"/>
    <w:rsid w:val="00F9583C"/>
    <w:rsid w:val="00F96D0C"/>
    <w:rsid w:val="00FA07DF"/>
    <w:rsid w:val="00FA1578"/>
    <w:rsid w:val="00FA1A60"/>
    <w:rsid w:val="00FA21F9"/>
    <w:rsid w:val="00FA3156"/>
    <w:rsid w:val="00FA4103"/>
    <w:rsid w:val="00FA456B"/>
    <w:rsid w:val="00FA4A9F"/>
    <w:rsid w:val="00FA512B"/>
    <w:rsid w:val="00FA5450"/>
    <w:rsid w:val="00FA7C64"/>
    <w:rsid w:val="00FB0266"/>
    <w:rsid w:val="00FB0B3A"/>
    <w:rsid w:val="00FB0B42"/>
    <w:rsid w:val="00FB2A00"/>
    <w:rsid w:val="00FB2C5A"/>
    <w:rsid w:val="00FB2EFA"/>
    <w:rsid w:val="00FB468D"/>
    <w:rsid w:val="00FB5220"/>
    <w:rsid w:val="00FB6260"/>
    <w:rsid w:val="00FB67BB"/>
    <w:rsid w:val="00FB6DE9"/>
    <w:rsid w:val="00FB741C"/>
    <w:rsid w:val="00FB785C"/>
    <w:rsid w:val="00FB7DCE"/>
    <w:rsid w:val="00FC161D"/>
    <w:rsid w:val="00FC3081"/>
    <w:rsid w:val="00FC3FE4"/>
    <w:rsid w:val="00FC60A9"/>
    <w:rsid w:val="00FC7DC0"/>
    <w:rsid w:val="00FD005A"/>
    <w:rsid w:val="00FD04E2"/>
    <w:rsid w:val="00FD05C9"/>
    <w:rsid w:val="00FD1231"/>
    <w:rsid w:val="00FD45C4"/>
    <w:rsid w:val="00FD596B"/>
    <w:rsid w:val="00FE3AC5"/>
    <w:rsid w:val="00FE6F59"/>
    <w:rsid w:val="00FE7D48"/>
    <w:rsid w:val="00FE7F4E"/>
    <w:rsid w:val="00FF0554"/>
    <w:rsid w:val="00FF2BBB"/>
    <w:rsid w:val="00FF34A4"/>
    <w:rsid w:val="00FF34FC"/>
    <w:rsid w:val="00FF3C08"/>
    <w:rsid w:val="00FF51F9"/>
    <w:rsid w:val="00FF629D"/>
    <w:rsid w:val="00FF689D"/>
    <w:rsid w:val="00FF6D1A"/>
    <w:rsid w:val="00FF6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B69"/>
    <w:rPr>
      <w:color w:val="0000FF"/>
      <w:sz w:val="24"/>
    </w:rPr>
  </w:style>
  <w:style w:type="paragraph" w:styleId="Heading1">
    <w:name w:val="heading 1"/>
    <w:basedOn w:val="Normal"/>
    <w:next w:val="Normal"/>
    <w:qFormat/>
    <w:rsid w:val="009909D9"/>
    <w:pPr>
      <w:keepNext/>
      <w:tabs>
        <w:tab w:val="left" w:pos="1440"/>
      </w:tabs>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9D9"/>
    <w:pPr>
      <w:tabs>
        <w:tab w:val="center" w:pos="4320"/>
        <w:tab w:val="right" w:pos="8640"/>
      </w:tabs>
    </w:pPr>
  </w:style>
  <w:style w:type="paragraph" w:styleId="Footer">
    <w:name w:val="footer"/>
    <w:basedOn w:val="Normal"/>
    <w:rsid w:val="009909D9"/>
    <w:pPr>
      <w:tabs>
        <w:tab w:val="center" w:pos="4320"/>
        <w:tab w:val="right" w:pos="8640"/>
      </w:tabs>
    </w:pPr>
  </w:style>
  <w:style w:type="character" w:styleId="PageNumber">
    <w:name w:val="page number"/>
    <w:basedOn w:val="DefaultParagraphFont"/>
    <w:rsid w:val="009909D9"/>
  </w:style>
  <w:style w:type="paragraph" w:styleId="BodyText">
    <w:name w:val="Body Text"/>
    <w:basedOn w:val="Normal"/>
    <w:rsid w:val="009909D9"/>
    <w:pPr>
      <w:tabs>
        <w:tab w:val="left" w:pos="-1440"/>
        <w:tab w:val="left" w:pos="-720"/>
        <w:tab w:val="left" w:pos="0"/>
        <w:tab w:val="left" w:pos="432"/>
        <w:tab w:val="left" w:pos="576"/>
        <w:tab w:val="left" w:pos="1440"/>
        <w:tab w:val="left" w:pos="2086"/>
        <w:tab w:val="left" w:pos="2880"/>
      </w:tabs>
      <w:suppressAutoHyphens/>
      <w:spacing w:line="360" w:lineRule="auto"/>
    </w:pPr>
    <w:rPr>
      <w:kern w:val="2"/>
      <w:sz w:val="26"/>
    </w:rPr>
  </w:style>
  <w:style w:type="paragraph" w:styleId="BodyText2">
    <w:name w:val="Body Text 2"/>
    <w:basedOn w:val="Normal"/>
    <w:rsid w:val="009909D9"/>
    <w:pPr>
      <w:tabs>
        <w:tab w:val="left" w:pos="-1440"/>
        <w:tab w:val="left" w:pos="-720"/>
        <w:tab w:val="left" w:pos="0"/>
        <w:tab w:val="left" w:pos="432"/>
        <w:tab w:val="left" w:pos="576"/>
        <w:tab w:val="left" w:pos="720"/>
        <w:tab w:val="left" w:pos="1440"/>
        <w:tab w:val="left" w:pos="2086"/>
        <w:tab w:val="left" w:pos="2880"/>
      </w:tabs>
      <w:suppressAutoHyphens/>
      <w:spacing w:line="360" w:lineRule="auto"/>
    </w:pPr>
    <w:rPr>
      <w:color w:val="auto"/>
      <w:kern w:val="2"/>
      <w:sz w:val="26"/>
    </w:rPr>
  </w:style>
  <w:style w:type="paragraph" w:styleId="BodyTextIndent">
    <w:name w:val="Body Text Indent"/>
    <w:basedOn w:val="Normal"/>
    <w:rsid w:val="009909D9"/>
    <w:pPr>
      <w:spacing w:line="360" w:lineRule="auto"/>
      <w:ind w:firstLine="1440"/>
    </w:pPr>
    <w:rPr>
      <w:sz w:val="26"/>
    </w:rPr>
  </w:style>
  <w:style w:type="paragraph" w:styleId="BalloonText">
    <w:name w:val="Balloon Text"/>
    <w:basedOn w:val="Normal"/>
    <w:semiHidden/>
    <w:rsid w:val="006A2F07"/>
    <w:rPr>
      <w:rFonts w:ascii="Tahoma" w:hAnsi="Tahoma" w:cs="Tahoma"/>
      <w:sz w:val="16"/>
      <w:szCs w:val="16"/>
    </w:rPr>
  </w:style>
  <w:style w:type="paragraph" w:customStyle="1" w:styleId="p3">
    <w:name w:val="p3"/>
    <w:basedOn w:val="Normal"/>
    <w:rsid w:val="00C17693"/>
    <w:pPr>
      <w:widowControl w:val="0"/>
      <w:tabs>
        <w:tab w:val="left" w:pos="204"/>
      </w:tabs>
      <w:autoSpaceDE w:val="0"/>
      <w:autoSpaceDN w:val="0"/>
      <w:adjustRightInd w:val="0"/>
    </w:pPr>
    <w:rPr>
      <w:color w:val="auto"/>
      <w:szCs w:val="24"/>
    </w:rPr>
  </w:style>
  <w:style w:type="paragraph" w:styleId="FootnoteText">
    <w:name w:val="footnote text"/>
    <w:basedOn w:val="Normal"/>
    <w:semiHidden/>
    <w:rsid w:val="00E43129"/>
    <w:rPr>
      <w:sz w:val="20"/>
    </w:rPr>
  </w:style>
  <w:style w:type="character" w:styleId="FootnoteReference">
    <w:name w:val="footnote reference"/>
    <w:basedOn w:val="DefaultParagraphFont"/>
    <w:semiHidden/>
    <w:rsid w:val="00E43129"/>
    <w:rPr>
      <w:vertAlign w:val="superscript"/>
    </w:rPr>
  </w:style>
  <w:style w:type="paragraph" w:styleId="BlockText">
    <w:name w:val="Block Text"/>
    <w:basedOn w:val="Normal"/>
    <w:rsid w:val="00B748DF"/>
    <w:pPr>
      <w:tabs>
        <w:tab w:val="left" w:pos="0"/>
      </w:tabs>
      <w:spacing w:line="360" w:lineRule="auto"/>
      <w:ind w:left="720" w:right="-1411" w:hanging="720"/>
    </w:pPr>
    <w:rPr>
      <w:color w:val="auto"/>
      <w:sz w:val="26"/>
    </w:rPr>
  </w:style>
  <w:style w:type="paragraph" w:customStyle="1" w:styleId="t1">
    <w:name w:val="t1"/>
    <w:basedOn w:val="Normal"/>
    <w:rsid w:val="00A428D7"/>
    <w:pPr>
      <w:widowControl w:val="0"/>
      <w:autoSpaceDE w:val="0"/>
      <w:autoSpaceDN w:val="0"/>
      <w:adjustRightInd w:val="0"/>
    </w:pPr>
    <w:rPr>
      <w:color w:val="auto"/>
      <w:szCs w:val="24"/>
    </w:rPr>
  </w:style>
  <w:style w:type="paragraph" w:customStyle="1" w:styleId="t2">
    <w:name w:val="t2"/>
    <w:basedOn w:val="Normal"/>
    <w:rsid w:val="00A428D7"/>
    <w:pPr>
      <w:widowControl w:val="0"/>
      <w:autoSpaceDE w:val="0"/>
      <w:autoSpaceDN w:val="0"/>
      <w:adjustRightInd w:val="0"/>
    </w:pPr>
    <w:rPr>
      <w:color w:val="auto"/>
      <w:szCs w:val="24"/>
    </w:rPr>
  </w:style>
  <w:style w:type="paragraph" w:customStyle="1" w:styleId="t3">
    <w:name w:val="t3"/>
    <w:basedOn w:val="Normal"/>
    <w:rsid w:val="00A428D7"/>
    <w:pPr>
      <w:widowControl w:val="0"/>
      <w:autoSpaceDE w:val="0"/>
      <w:autoSpaceDN w:val="0"/>
      <w:adjustRightInd w:val="0"/>
    </w:pPr>
    <w:rPr>
      <w:color w:val="auto"/>
      <w:szCs w:val="24"/>
    </w:rPr>
  </w:style>
  <w:style w:type="paragraph" w:customStyle="1" w:styleId="p4">
    <w:name w:val="p4"/>
    <w:basedOn w:val="Normal"/>
    <w:rsid w:val="00A428D7"/>
    <w:pPr>
      <w:widowControl w:val="0"/>
      <w:tabs>
        <w:tab w:val="left" w:pos="7256"/>
      </w:tabs>
      <w:autoSpaceDE w:val="0"/>
      <w:autoSpaceDN w:val="0"/>
      <w:adjustRightInd w:val="0"/>
      <w:ind w:left="5816"/>
    </w:pPr>
    <w:rPr>
      <w:color w:val="auto"/>
      <w:szCs w:val="24"/>
    </w:rPr>
  </w:style>
  <w:style w:type="paragraph" w:customStyle="1" w:styleId="c5">
    <w:name w:val="c5"/>
    <w:basedOn w:val="Normal"/>
    <w:rsid w:val="00A428D7"/>
    <w:pPr>
      <w:widowControl w:val="0"/>
      <w:autoSpaceDE w:val="0"/>
      <w:autoSpaceDN w:val="0"/>
      <w:adjustRightInd w:val="0"/>
      <w:jc w:val="center"/>
    </w:pPr>
    <w:rPr>
      <w:color w:val="auto"/>
      <w:szCs w:val="24"/>
    </w:rPr>
  </w:style>
  <w:style w:type="paragraph" w:customStyle="1" w:styleId="p6">
    <w:name w:val="p6"/>
    <w:basedOn w:val="Normal"/>
    <w:rsid w:val="00A428D7"/>
    <w:pPr>
      <w:widowControl w:val="0"/>
      <w:tabs>
        <w:tab w:val="left" w:pos="204"/>
      </w:tabs>
      <w:autoSpaceDE w:val="0"/>
      <w:autoSpaceDN w:val="0"/>
      <w:adjustRightInd w:val="0"/>
    </w:pPr>
    <w:rPr>
      <w:color w:val="auto"/>
      <w:szCs w:val="24"/>
    </w:rPr>
  </w:style>
  <w:style w:type="table" w:styleId="TableGrid">
    <w:name w:val="Table Grid"/>
    <w:basedOn w:val="TableNormal"/>
    <w:rsid w:val="00996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671D69"/>
    <w:rPr>
      <w:rFonts w:ascii="Courier New" w:hAnsi="Courier New" w:cs="Courier New"/>
      <w:sz w:val="20"/>
    </w:rPr>
  </w:style>
  <w:style w:type="paragraph" w:styleId="DocumentMap">
    <w:name w:val="Document Map"/>
    <w:basedOn w:val="Normal"/>
    <w:link w:val="DocumentMapChar"/>
    <w:rsid w:val="003C332F"/>
    <w:rPr>
      <w:rFonts w:ascii="Tahoma" w:hAnsi="Tahoma" w:cs="Tahoma"/>
      <w:sz w:val="16"/>
      <w:szCs w:val="16"/>
    </w:rPr>
  </w:style>
  <w:style w:type="character" w:customStyle="1" w:styleId="DocumentMapChar">
    <w:name w:val="Document Map Char"/>
    <w:basedOn w:val="DefaultParagraphFont"/>
    <w:link w:val="DocumentMap"/>
    <w:rsid w:val="003C332F"/>
    <w:rPr>
      <w:rFonts w:ascii="Tahoma" w:hAnsi="Tahoma" w:cs="Tahoma"/>
      <w:color w:val="0000FF"/>
      <w:sz w:val="16"/>
      <w:szCs w:val="16"/>
    </w:rPr>
  </w:style>
  <w:style w:type="paragraph" w:styleId="ListParagraph">
    <w:name w:val="List Paragraph"/>
    <w:basedOn w:val="Normal"/>
    <w:uiPriority w:val="34"/>
    <w:qFormat/>
    <w:rsid w:val="00E01C36"/>
    <w:pPr>
      <w:ind w:left="720"/>
    </w:pPr>
  </w:style>
</w:styles>
</file>

<file path=word/webSettings.xml><?xml version="1.0" encoding="utf-8"?>
<w:webSettings xmlns:r="http://schemas.openxmlformats.org/officeDocument/2006/relationships" xmlns:w="http://schemas.openxmlformats.org/wordprocessingml/2006/main">
  <w:divs>
    <w:div w:id="74936133">
      <w:bodyDiv w:val="1"/>
      <w:marLeft w:val="0"/>
      <w:marRight w:val="0"/>
      <w:marTop w:val="0"/>
      <w:marBottom w:val="0"/>
      <w:divBdr>
        <w:top w:val="none" w:sz="0" w:space="0" w:color="auto"/>
        <w:left w:val="none" w:sz="0" w:space="0" w:color="auto"/>
        <w:bottom w:val="none" w:sz="0" w:space="0" w:color="auto"/>
        <w:right w:val="none" w:sz="0" w:space="0" w:color="auto"/>
      </w:divBdr>
    </w:div>
    <w:div w:id="138889386">
      <w:bodyDiv w:val="1"/>
      <w:marLeft w:val="0"/>
      <w:marRight w:val="0"/>
      <w:marTop w:val="0"/>
      <w:marBottom w:val="0"/>
      <w:divBdr>
        <w:top w:val="none" w:sz="0" w:space="0" w:color="auto"/>
        <w:left w:val="none" w:sz="0" w:space="0" w:color="auto"/>
        <w:bottom w:val="none" w:sz="0" w:space="0" w:color="auto"/>
        <w:right w:val="none" w:sz="0" w:space="0" w:color="auto"/>
      </w:divBdr>
    </w:div>
    <w:div w:id="1089303556">
      <w:bodyDiv w:val="1"/>
      <w:marLeft w:val="0"/>
      <w:marRight w:val="0"/>
      <w:marTop w:val="0"/>
      <w:marBottom w:val="0"/>
      <w:divBdr>
        <w:top w:val="none" w:sz="0" w:space="0" w:color="auto"/>
        <w:left w:val="none" w:sz="0" w:space="0" w:color="auto"/>
        <w:bottom w:val="none" w:sz="0" w:space="0" w:color="auto"/>
        <w:right w:val="none" w:sz="0" w:space="0" w:color="auto"/>
      </w:divBdr>
    </w:div>
    <w:div w:id="1194221789">
      <w:bodyDiv w:val="1"/>
      <w:marLeft w:val="0"/>
      <w:marRight w:val="0"/>
      <w:marTop w:val="0"/>
      <w:marBottom w:val="0"/>
      <w:divBdr>
        <w:top w:val="none" w:sz="0" w:space="0" w:color="auto"/>
        <w:left w:val="none" w:sz="0" w:space="0" w:color="auto"/>
        <w:bottom w:val="none" w:sz="0" w:space="0" w:color="auto"/>
        <w:right w:val="none" w:sz="0" w:space="0" w:color="auto"/>
      </w:divBdr>
    </w:div>
    <w:div w:id="1203254217">
      <w:bodyDiv w:val="1"/>
      <w:marLeft w:val="0"/>
      <w:marRight w:val="0"/>
      <w:marTop w:val="0"/>
      <w:marBottom w:val="0"/>
      <w:divBdr>
        <w:top w:val="none" w:sz="0" w:space="0" w:color="auto"/>
        <w:left w:val="none" w:sz="0" w:space="0" w:color="auto"/>
        <w:bottom w:val="none" w:sz="0" w:space="0" w:color="auto"/>
        <w:right w:val="none" w:sz="0" w:space="0" w:color="auto"/>
      </w:divBdr>
    </w:div>
    <w:div w:id="12682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C3D81-FB6D-4D42-A93B-7A105F9D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FUS-1082*; R-00994804.O; METED</vt:lpstr>
    </vt:vector>
  </TitlesOfParts>
  <Company>PA PUC</Company>
  <LinksUpToDate>false</LinksUpToDate>
  <CharactersWithSpaces>17653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FUS-1082*; R-00994804.O; METED</dc:title>
  <dc:subject/>
  <dc:creator>MIS</dc:creator>
  <cp:keywords/>
  <cp:lastModifiedBy>Administrator</cp:lastModifiedBy>
  <cp:revision>42</cp:revision>
  <cp:lastPrinted>2009-10-20T12:19:00Z</cp:lastPrinted>
  <dcterms:created xsi:type="dcterms:W3CDTF">2010-04-20T13:48:00Z</dcterms:created>
  <dcterms:modified xsi:type="dcterms:W3CDTF">2010-04-26T14:37:00Z</dcterms:modified>
</cp:coreProperties>
</file>