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EF513B" w:rsidRPr="00EF513B" w:rsidTr="0060235A">
        <w:tc>
          <w:tcPr>
            <w:tcW w:w="9576" w:type="dxa"/>
          </w:tcPr>
          <w:p w:rsidR="00EF513B" w:rsidRPr="00EF513B" w:rsidRDefault="00EF513B" w:rsidP="0060235A">
            <w:pPr>
              <w:jc w:val="center"/>
              <w:rPr>
                <w:b/>
              </w:rPr>
            </w:pPr>
            <w:r w:rsidRPr="00EF513B">
              <w:rPr>
                <w:b/>
              </w:rPr>
              <w:t>PENNSYLVANIA</w:t>
            </w:r>
          </w:p>
          <w:p w:rsidR="00EF513B" w:rsidRPr="00EF513B" w:rsidRDefault="00EF513B" w:rsidP="0060235A">
            <w:pPr>
              <w:jc w:val="center"/>
              <w:rPr>
                <w:b/>
              </w:rPr>
            </w:pPr>
            <w:r w:rsidRPr="00EF513B">
              <w:rPr>
                <w:b/>
              </w:rPr>
              <w:t>PUBLIC UTILITY COMMISSION</w:t>
            </w:r>
          </w:p>
          <w:p w:rsidR="00EF513B" w:rsidRPr="00EF513B" w:rsidRDefault="00EF513B" w:rsidP="0060235A">
            <w:pPr>
              <w:jc w:val="center"/>
              <w:rPr>
                <w:b/>
              </w:rPr>
            </w:pPr>
            <w:r w:rsidRPr="00EF513B">
              <w:rPr>
                <w:b/>
              </w:rPr>
              <w:t>Harrisburg, PA 17105-3265</w:t>
            </w:r>
          </w:p>
        </w:tc>
      </w:tr>
    </w:tbl>
    <w:p w:rsidR="00EF513B" w:rsidRPr="00EF513B" w:rsidRDefault="00EF513B" w:rsidP="00EF513B">
      <w:pPr>
        <w:jc w:val="center"/>
      </w:pPr>
    </w:p>
    <w:tbl>
      <w:tblPr>
        <w:tblStyle w:val="TableGrid"/>
        <w:tblW w:w="0" w:type="auto"/>
        <w:tblInd w:w="49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08"/>
      </w:tblGrid>
      <w:tr w:rsidR="00EF513B" w:rsidRPr="00EF513B" w:rsidTr="0060235A">
        <w:tc>
          <w:tcPr>
            <w:tcW w:w="4608" w:type="dxa"/>
          </w:tcPr>
          <w:p w:rsidR="00EF513B" w:rsidRPr="00EF513B" w:rsidRDefault="00EF513B" w:rsidP="00964285">
            <w:pPr>
              <w:jc w:val="right"/>
            </w:pPr>
            <w:r w:rsidRPr="00EF513B">
              <w:t xml:space="preserve">Public Meeting held </w:t>
            </w:r>
            <w:r w:rsidR="00964285">
              <w:t>March 25</w:t>
            </w:r>
            <w:r w:rsidRPr="00EF513B">
              <w:t>, 20</w:t>
            </w:r>
            <w:r w:rsidR="00964285">
              <w:t>10</w:t>
            </w:r>
          </w:p>
        </w:tc>
      </w:tr>
    </w:tbl>
    <w:p w:rsidR="00EF513B" w:rsidRPr="00EF513B" w:rsidRDefault="00EF513B" w:rsidP="00EF513B">
      <w:pPr>
        <w:jc w:val="righ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88"/>
      </w:tblGrid>
      <w:tr w:rsidR="00EF513B" w:rsidRPr="00EF513B" w:rsidTr="0060235A">
        <w:tc>
          <w:tcPr>
            <w:tcW w:w="2988" w:type="dxa"/>
          </w:tcPr>
          <w:p w:rsidR="00EF513B" w:rsidRPr="00EF513B" w:rsidRDefault="00EF513B" w:rsidP="0060235A">
            <w:r w:rsidRPr="00EF513B">
              <w:t>Commissioners Present:</w:t>
            </w:r>
          </w:p>
        </w:tc>
      </w:tr>
    </w:tbl>
    <w:p w:rsidR="00EF513B" w:rsidRPr="00EF513B" w:rsidRDefault="00EF513B" w:rsidP="00EF513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88"/>
      </w:tblGrid>
      <w:tr w:rsidR="00EF513B" w:rsidRPr="00EF513B" w:rsidTr="0060235A">
        <w:tc>
          <w:tcPr>
            <w:tcW w:w="3888" w:type="dxa"/>
          </w:tcPr>
          <w:p w:rsidR="00EF513B" w:rsidRPr="00EF513B" w:rsidRDefault="00EF513B" w:rsidP="0060235A">
            <w:r w:rsidRPr="00EF513B">
              <w:t>James H. Cawley, Chairman</w:t>
            </w:r>
          </w:p>
          <w:p w:rsidR="00EF513B" w:rsidRPr="00EF513B" w:rsidRDefault="00EF513B" w:rsidP="0060235A">
            <w:r w:rsidRPr="00EF513B">
              <w:t>Tyrone J. Christy, Vice Chairman</w:t>
            </w:r>
          </w:p>
          <w:p w:rsidR="00EF513B" w:rsidRPr="00EF513B" w:rsidRDefault="00EF513B" w:rsidP="0060235A">
            <w:r w:rsidRPr="00EF513B">
              <w:t>Wayne E. Gardner</w:t>
            </w:r>
          </w:p>
          <w:p w:rsidR="00EF513B" w:rsidRPr="00EF513B" w:rsidRDefault="00EF513B" w:rsidP="0060235A">
            <w:r w:rsidRPr="00EF513B">
              <w:t>Robert F. Powelson</w:t>
            </w:r>
          </w:p>
        </w:tc>
      </w:tr>
    </w:tbl>
    <w:p w:rsidR="00EF513B" w:rsidRPr="00EF513B" w:rsidRDefault="00EF513B" w:rsidP="00EF513B"/>
    <w:p w:rsidR="00EF513B" w:rsidRPr="00EF513B" w:rsidRDefault="00EF513B" w:rsidP="00EF513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EF513B" w:rsidRPr="00EF513B" w:rsidTr="0060235A">
        <w:tc>
          <w:tcPr>
            <w:tcW w:w="4788" w:type="dxa"/>
          </w:tcPr>
          <w:p w:rsidR="00EF513B" w:rsidRPr="00EF513B" w:rsidRDefault="00964285" w:rsidP="0060235A">
            <w:r>
              <w:t>Linda Nugent</w:t>
            </w:r>
          </w:p>
        </w:tc>
        <w:tc>
          <w:tcPr>
            <w:tcW w:w="4788" w:type="dxa"/>
          </w:tcPr>
          <w:p w:rsidR="00EF513B" w:rsidRPr="00EF513B" w:rsidRDefault="00EF513B" w:rsidP="0060235A">
            <w:pPr>
              <w:jc w:val="right"/>
            </w:pPr>
            <w:r w:rsidRPr="00EF513B">
              <w:t>C-2009-209</w:t>
            </w:r>
            <w:r w:rsidR="00952CBE">
              <w:t>6243</w:t>
            </w:r>
          </w:p>
        </w:tc>
      </w:tr>
    </w:tbl>
    <w:p w:rsidR="00EF513B" w:rsidRPr="00EF513B" w:rsidRDefault="00EF513B" w:rsidP="00EF513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58"/>
      </w:tblGrid>
      <w:tr w:rsidR="00EF513B" w:rsidRPr="00EF513B" w:rsidTr="0060235A">
        <w:tc>
          <w:tcPr>
            <w:tcW w:w="2358" w:type="dxa"/>
          </w:tcPr>
          <w:p w:rsidR="00EF513B" w:rsidRPr="00EF513B" w:rsidRDefault="00EF513B" w:rsidP="0060235A">
            <w:pPr>
              <w:jc w:val="center"/>
            </w:pPr>
            <w:r w:rsidRPr="00EF513B">
              <w:t>v.</w:t>
            </w:r>
          </w:p>
        </w:tc>
      </w:tr>
    </w:tbl>
    <w:p w:rsidR="00EF513B" w:rsidRPr="00EF513B" w:rsidRDefault="00EF513B" w:rsidP="00EF513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98"/>
      </w:tblGrid>
      <w:tr w:rsidR="00EF513B" w:rsidRPr="00EF513B" w:rsidTr="0060235A">
        <w:tc>
          <w:tcPr>
            <w:tcW w:w="2898" w:type="dxa"/>
          </w:tcPr>
          <w:p w:rsidR="00EF513B" w:rsidRPr="00EF513B" w:rsidRDefault="009055FB" w:rsidP="0060235A">
            <w:r>
              <w:t>PECO Energy Company</w:t>
            </w:r>
          </w:p>
        </w:tc>
      </w:tr>
    </w:tbl>
    <w:p w:rsidR="00EF513B" w:rsidRPr="00EF513B" w:rsidRDefault="00EF513B" w:rsidP="00EF513B"/>
    <w:p w:rsidR="00EF513B" w:rsidRPr="00EF513B" w:rsidRDefault="00EF513B" w:rsidP="00EF513B"/>
    <w:tbl>
      <w:tblPr>
        <w:tblStyle w:val="TableGrid"/>
        <w:tblW w:w="0" w:type="auto"/>
        <w:tblInd w:w="28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20"/>
      </w:tblGrid>
      <w:tr w:rsidR="00EF513B" w:rsidRPr="00EF513B" w:rsidTr="0060235A">
        <w:tc>
          <w:tcPr>
            <w:tcW w:w="4320" w:type="dxa"/>
          </w:tcPr>
          <w:p w:rsidR="00EF513B" w:rsidRPr="00EF513B" w:rsidRDefault="00EF513B" w:rsidP="0060235A">
            <w:pPr>
              <w:jc w:val="center"/>
              <w:rPr>
                <w:b/>
              </w:rPr>
            </w:pPr>
            <w:r w:rsidRPr="00EF513B">
              <w:rPr>
                <w:b/>
              </w:rPr>
              <w:t>OPINION AND ORDER</w:t>
            </w:r>
          </w:p>
        </w:tc>
      </w:tr>
    </w:tbl>
    <w:p w:rsidR="00EF513B" w:rsidRPr="00EF513B" w:rsidRDefault="00EF513B" w:rsidP="00EF513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58"/>
      </w:tblGrid>
      <w:tr w:rsidR="00EF513B" w:rsidRPr="00DD379A" w:rsidTr="0060235A">
        <w:tc>
          <w:tcPr>
            <w:tcW w:w="3258" w:type="dxa"/>
          </w:tcPr>
          <w:p w:rsidR="00007A1F" w:rsidRDefault="00007A1F" w:rsidP="00DD379A">
            <w:pPr>
              <w:spacing w:line="360" w:lineRule="auto"/>
              <w:rPr>
                <w:b/>
              </w:rPr>
            </w:pPr>
          </w:p>
          <w:p w:rsidR="00EF513B" w:rsidRPr="00DD379A" w:rsidRDefault="00EF513B" w:rsidP="00DD379A">
            <w:pPr>
              <w:spacing w:line="360" w:lineRule="auto"/>
              <w:rPr>
                <w:b/>
              </w:rPr>
            </w:pPr>
            <w:r w:rsidRPr="00DD379A">
              <w:rPr>
                <w:b/>
              </w:rPr>
              <w:t>BY THE COMMISSION:</w:t>
            </w:r>
          </w:p>
        </w:tc>
      </w:tr>
    </w:tbl>
    <w:p w:rsidR="0037103D" w:rsidRPr="00DD379A" w:rsidRDefault="0037103D" w:rsidP="007F7AAA">
      <w:pPr>
        <w:spacing w:line="360" w:lineRule="auto"/>
        <w:rPr>
          <w:u w:val="single"/>
        </w:rPr>
      </w:pPr>
    </w:p>
    <w:p w:rsidR="00DD379A" w:rsidRPr="00DD379A" w:rsidRDefault="00DD379A" w:rsidP="007F7AAA">
      <w:pPr>
        <w:pStyle w:val="BodyText"/>
        <w:tabs>
          <w:tab w:val="clear" w:pos="0"/>
          <w:tab w:val="clear" w:pos="720"/>
          <w:tab w:val="clear" w:pos="1440"/>
        </w:tabs>
        <w:spacing w:line="360" w:lineRule="auto"/>
        <w:ind w:firstLine="1440"/>
        <w:jc w:val="left"/>
        <w:rPr>
          <w:sz w:val="26"/>
          <w:szCs w:val="26"/>
        </w:rPr>
      </w:pPr>
      <w:r w:rsidRPr="00DD379A">
        <w:rPr>
          <w:sz w:val="26"/>
          <w:szCs w:val="26"/>
        </w:rPr>
        <w:t xml:space="preserve">Before the Pennsylvania Public Utility Commission (Commission) for consideration is the Initial Decision of Special Agent (SA) David A. Alexander, issued on </w:t>
      </w:r>
      <w:r w:rsidR="007F7AAA">
        <w:rPr>
          <w:sz w:val="26"/>
          <w:szCs w:val="26"/>
        </w:rPr>
        <w:t>December 29</w:t>
      </w:r>
      <w:r w:rsidRPr="00DD379A">
        <w:rPr>
          <w:sz w:val="26"/>
          <w:szCs w:val="26"/>
        </w:rPr>
        <w:t xml:space="preserve">, 2009.  The proceeding concerned a Formal Complaint filed by </w:t>
      </w:r>
      <w:r w:rsidR="007F7AAA">
        <w:rPr>
          <w:sz w:val="26"/>
          <w:szCs w:val="26"/>
        </w:rPr>
        <w:t>Linda Nugent (</w:t>
      </w:r>
      <w:r w:rsidRPr="00DD379A">
        <w:rPr>
          <w:sz w:val="26"/>
          <w:szCs w:val="26"/>
        </w:rPr>
        <w:t xml:space="preserve">Complainant) with the Commission against </w:t>
      </w:r>
      <w:r w:rsidR="007F7AAA">
        <w:rPr>
          <w:sz w:val="26"/>
          <w:szCs w:val="26"/>
        </w:rPr>
        <w:t>PECO Energy Company (PECO or</w:t>
      </w:r>
      <w:r w:rsidRPr="00DD379A">
        <w:rPr>
          <w:sz w:val="26"/>
          <w:szCs w:val="26"/>
        </w:rPr>
        <w:t xml:space="preserve"> Respondent) which alleged </w:t>
      </w:r>
      <w:r w:rsidR="007F7AAA">
        <w:rPr>
          <w:sz w:val="26"/>
          <w:szCs w:val="26"/>
        </w:rPr>
        <w:t>an inability to pay electric and natural gas bill.  As relief, the Complainant requested a payment arrangement</w:t>
      </w:r>
      <w:r w:rsidR="004E465D">
        <w:rPr>
          <w:sz w:val="26"/>
          <w:szCs w:val="26"/>
        </w:rPr>
        <w:t>.</w:t>
      </w:r>
    </w:p>
    <w:p w:rsidR="00DD379A" w:rsidRPr="00DD379A" w:rsidRDefault="00DD379A" w:rsidP="007F7AAA">
      <w:pPr>
        <w:pStyle w:val="BodyText"/>
        <w:spacing w:line="360" w:lineRule="auto"/>
        <w:jc w:val="left"/>
        <w:rPr>
          <w:sz w:val="26"/>
          <w:szCs w:val="26"/>
        </w:rPr>
      </w:pPr>
    </w:p>
    <w:p w:rsidR="00DD379A" w:rsidRDefault="00DD379A" w:rsidP="007F7AAA">
      <w:pPr>
        <w:pStyle w:val="BodyText"/>
        <w:spacing w:line="360" w:lineRule="auto"/>
        <w:jc w:val="left"/>
        <w:rPr>
          <w:sz w:val="26"/>
          <w:szCs w:val="26"/>
        </w:rPr>
      </w:pPr>
      <w:r w:rsidRPr="00DD379A">
        <w:rPr>
          <w:sz w:val="26"/>
          <w:szCs w:val="26"/>
        </w:rPr>
        <w:tab/>
      </w:r>
      <w:r w:rsidRPr="00DD379A">
        <w:rPr>
          <w:sz w:val="26"/>
          <w:szCs w:val="26"/>
        </w:rPr>
        <w:tab/>
        <w:t xml:space="preserve">In his Initial Decision, SA Alexander found that </w:t>
      </w:r>
      <w:r w:rsidR="00F01CF4">
        <w:rPr>
          <w:sz w:val="26"/>
          <w:szCs w:val="26"/>
        </w:rPr>
        <w:t xml:space="preserve">the </w:t>
      </w:r>
      <w:r w:rsidR="0091039F">
        <w:rPr>
          <w:sz w:val="26"/>
          <w:szCs w:val="26"/>
        </w:rPr>
        <w:t xml:space="preserve">provisions of Chapter14 apply </w:t>
      </w:r>
      <w:r w:rsidR="007B01EF">
        <w:rPr>
          <w:sz w:val="26"/>
          <w:szCs w:val="26"/>
        </w:rPr>
        <w:t xml:space="preserve">since this Complaint is not an appeal of a prior </w:t>
      </w:r>
      <w:r w:rsidR="00177E70">
        <w:rPr>
          <w:sz w:val="26"/>
          <w:szCs w:val="26"/>
        </w:rPr>
        <w:t xml:space="preserve">Commission action, but a request for a new payment arrangement, and because the Complainant did not honor a </w:t>
      </w:r>
      <w:r w:rsidR="0038645C">
        <w:rPr>
          <w:sz w:val="26"/>
          <w:szCs w:val="26"/>
        </w:rPr>
        <w:lastRenderedPageBreak/>
        <w:t>p</w:t>
      </w:r>
      <w:r w:rsidR="00177E70">
        <w:rPr>
          <w:sz w:val="26"/>
          <w:szCs w:val="26"/>
        </w:rPr>
        <w:t>ast Commission issued payment arrangement</w:t>
      </w:r>
      <w:r w:rsidR="0091039F">
        <w:rPr>
          <w:sz w:val="26"/>
          <w:szCs w:val="26"/>
        </w:rPr>
        <w:t>.</w:t>
      </w:r>
      <w:r w:rsidR="00387FE5">
        <w:rPr>
          <w:sz w:val="26"/>
          <w:szCs w:val="26"/>
        </w:rPr>
        <w:t xml:space="preserve">  SA Alexander found that the Complainant is not entitled to an</w:t>
      </w:r>
      <w:r w:rsidR="00DD477D">
        <w:rPr>
          <w:sz w:val="26"/>
          <w:szCs w:val="26"/>
        </w:rPr>
        <w:t>o</w:t>
      </w:r>
      <w:r w:rsidR="00387FE5">
        <w:rPr>
          <w:sz w:val="26"/>
          <w:szCs w:val="26"/>
        </w:rPr>
        <w:t xml:space="preserve">ther payment arrangement but is expected to </w:t>
      </w:r>
      <w:r w:rsidR="003338DC">
        <w:rPr>
          <w:sz w:val="26"/>
          <w:szCs w:val="26"/>
        </w:rPr>
        <w:t>honor the last payment arrangement as determined in Bureau of Consumer Services (BCS) Case No. 2242082.  I.D. at 7.</w:t>
      </w:r>
    </w:p>
    <w:p w:rsidR="0030326F" w:rsidRPr="00DD379A" w:rsidRDefault="0030326F" w:rsidP="007F7AAA">
      <w:pPr>
        <w:pStyle w:val="BodyText"/>
        <w:spacing w:line="360" w:lineRule="auto"/>
        <w:jc w:val="left"/>
        <w:rPr>
          <w:sz w:val="26"/>
          <w:szCs w:val="26"/>
        </w:rPr>
      </w:pPr>
    </w:p>
    <w:p w:rsidR="00DD379A" w:rsidRPr="00DD379A" w:rsidRDefault="00DD379A" w:rsidP="007F7AAA">
      <w:pPr>
        <w:pStyle w:val="BodyText"/>
        <w:spacing w:line="360" w:lineRule="auto"/>
        <w:ind w:firstLine="1440"/>
        <w:jc w:val="left"/>
        <w:rPr>
          <w:sz w:val="26"/>
          <w:szCs w:val="26"/>
        </w:rPr>
      </w:pPr>
      <w:r w:rsidRPr="00DD379A">
        <w:rPr>
          <w:sz w:val="26"/>
          <w:szCs w:val="26"/>
        </w:rPr>
        <w:t>No Exceptions were filed.  Nevertheless, we have exercised our right to review the Initial Decision pursuant to 66 Pa. C.S. § 332(h).  For the reasons set forth below, we shall modify the Initial Decision consistent with this Opinion and Order.</w:t>
      </w:r>
    </w:p>
    <w:p w:rsidR="006E1674" w:rsidRDefault="006E1674" w:rsidP="00665F43">
      <w:pPr>
        <w:jc w:val="center"/>
        <w:rPr>
          <w:u w:val="single"/>
        </w:rPr>
      </w:pPr>
    </w:p>
    <w:p w:rsidR="00C456FA" w:rsidRPr="00EF513B" w:rsidRDefault="00C456FA" w:rsidP="00665F43">
      <w:pPr>
        <w:jc w:val="center"/>
        <w:rPr>
          <w:u w:val="single"/>
        </w:rPr>
      </w:pPr>
    </w:p>
    <w:p w:rsidR="0037103D" w:rsidRPr="00007A1F" w:rsidRDefault="00172C95" w:rsidP="0091039F">
      <w:pPr>
        <w:jc w:val="center"/>
        <w:outlineLvl w:val="0"/>
        <w:rPr>
          <w:b/>
          <w:u w:val="single"/>
        </w:rPr>
      </w:pPr>
      <w:r w:rsidRPr="00007A1F">
        <w:rPr>
          <w:b/>
          <w:sz w:val="28"/>
        </w:rPr>
        <w:t>H</w:t>
      </w:r>
      <w:r w:rsidR="0091039F" w:rsidRPr="00007A1F">
        <w:rPr>
          <w:b/>
          <w:sz w:val="28"/>
        </w:rPr>
        <w:t>istory of the Proceeding</w:t>
      </w:r>
    </w:p>
    <w:p w:rsidR="0037103D" w:rsidRPr="00EF513B" w:rsidRDefault="0037103D" w:rsidP="0037103D">
      <w:pPr>
        <w:jc w:val="center"/>
        <w:rPr>
          <w:u w:val="single"/>
        </w:rPr>
      </w:pPr>
    </w:p>
    <w:p w:rsidR="0037103D" w:rsidRPr="00EF513B" w:rsidRDefault="0037103D" w:rsidP="0037103D">
      <w:pPr>
        <w:tabs>
          <w:tab w:val="left" w:pos="2160"/>
        </w:tabs>
        <w:spacing w:line="360" w:lineRule="auto"/>
        <w:ind w:firstLine="1440"/>
      </w:pPr>
      <w:r w:rsidRPr="00EF513B">
        <w:t xml:space="preserve">On March 19, 2009, </w:t>
      </w:r>
      <w:r w:rsidR="00F727B5">
        <w:t xml:space="preserve">the </w:t>
      </w:r>
      <w:r w:rsidRPr="00EF513B">
        <w:t xml:space="preserve">Complainant filed a </w:t>
      </w:r>
      <w:r w:rsidR="007737ED">
        <w:t xml:space="preserve">Formal </w:t>
      </w:r>
      <w:r w:rsidR="0030326F">
        <w:t>Complaint</w:t>
      </w:r>
      <w:r w:rsidRPr="00EF513B">
        <w:t xml:space="preserve"> </w:t>
      </w:r>
      <w:r w:rsidR="007737ED">
        <w:t xml:space="preserve">(Complaint) </w:t>
      </w:r>
      <w:r w:rsidRPr="00EF513B">
        <w:t>with the Commissio</w:t>
      </w:r>
      <w:r w:rsidR="0030326F">
        <w:t>n</w:t>
      </w:r>
      <w:r w:rsidR="001470A8">
        <w:t xml:space="preserve"> against </w:t>
      </w:r>
      <w:r w:rsidRPr="00EF513B">
        <w:t xml:space="preserve">PECO, </w:t>
      </w:r>
      <w:r w:rsidR="007737ED">
        <w:t xml:space="preserve">in </w:t>
      </w:r>
      <w:r w:rsidR="00C93A86" w:rsidRPr="00EF513B">
        <w:t xml:space="preserve">which </w:t>
      </w:r>
      <w:r w:rsidR="007737ED">
        <w:t xml:space="preserve">she </w:t>
      </w:r>
      <w:r w:rsidR="00C93A86" w:rsidRPr="00EF513B">
        <w:t xml:space="preserve">alleged an inability to pay her electric </w:t>
      </w:r>
      <w:r w:rsidR="002C0D15" w:rsidRPr="00EF513B">
        <w:t xml:space="preserve">and natural gas </w:t>
      </w:r>
      <w:r w:rsidR="00C93A86" w:rsidRPr="00EF513B">
        <w:t>utility bill.  As relief, she requested a payment arrangement</w:t>
      </w:r>
      <w:r w:rsidRPr="00EF513B">
        <w:t xml:space="preserve">.  On </w:t>
      </w:r>
      <w:r w:rsidR="00C93A86" w:rsidRPr="00EF513B">
        <w:t>or about April 27, 2009</w:t>
      </w:r>
      <w:r w:rsidRPr="00EF513B">
        <w:t xml:space="preserve">, </w:t>
      </w:r>
      <w:r w:rsidR="001470A8">
        <w:t>PECO</w:t>
      </w:r>
      <w:r w:rsidRPr="00EF513B">
        <w:t xml:space="preserve"> filed an Answer </w:t>
      </w:r>
      <w:r w:rsidR="005B08D4" w:rsidRPr="00EF513B">
        <w:t>which denied</w:t>
      </w:r>
      <w:r w:rsidRPr="00EF513B">
        <w:t xml:space="preserve"> the material allegations of the Complaint.</w:t>
      </w:r>
    </w:p>
    <w:p w:rsidR="0037103D" w:rsidRPr="00EF513B" w:rsidRDefault="0037103D" w:rsidP="0037103D">
      <w:pPr>
        <w:tabs>
          <w:tab w:val="left" w:pos="2160"/>
        </w:tabs>
        <w:spacing w:line="360" w:lineRule="auto"/>
        <w:ind w:firstLine="1440"/>
      </w:pPr>
    </w:p>
    <w:p w:rsidR="0037103D" w:rsidRPr="00EF513B" w:rsidRDefault="00F77D64" w:rsidP="00FD1198">
      <w:pPr>
        <w:spacing w:line="360" w:lineRule="auto"/>
        <w:ind w:firstLine="1440"/>
      </w:pPr>
      <w:r>
        <w:t xml:space="preserve">The </w:t>
      </w:r>
      <w:r w:rsidR="00FD1093" w:rsidRPr="00EF513B">
        <w:t>Complain</w:t>
      </w:r>
      <w:r w:rsidR="00FD1093">
        <w:t>ant</w:t>
      </w:r>
      <w:r w:rsidR="004505EE" w:rsidRPr="00EF513B">
        <w:t xml:space="preserve"> </w:t>
      </w:r>
      <w:r w:rsidR="00F41D9E">
        <w:t xml:space="preserve">stated that her Complaint </w:t>
      </w:r>
      <w:r w:rsidR="004505EE" w:rsidRPr="00EF513B">
        <w:t>is</w:t>
      </w:r>
      <w:r w:rsidR="0037103D" w:rsidRPr="00EF513B">
        <w:t xml:space="preserve"> an appeal of an informal decision issued on </w:t>
      </w:r>
      <w:r w:rsidR="00C93A86" w:rsidRPr="00EF513B">
        <w:t xml:space="preserve">December 15, </w:t>
      </w:r>
      <w:r w:rsidR="005B08D4" w:rsidRPr="00EF513B">
        <w:t>200</w:t>
      </w:r>
      <w:r w:rsidR="007A5490" w:rsidRPr="00EF513B">
        <w:t>8</w:t>
      </w:r>
      <w:r w:rsidR="00525C5B" w:rsidRPr="00EF513B">
        <w:t>,</w:t>
      </w:r>
      <w:r w:rsidR="0037103D" w:rsidRPr="00EF513B">
        <w:t xml:space="preserve"> by the Commission’s Bureau of Consumer Service (BCS), BCS Case No. </w:t>
      </w:r>
      <w:r w:rsidR="00FF7A28" w:rsidRPr="00EF513B">
        <w:t>2242082</w:t>
      </w:r>
      <w:r w:rsidR="0037103D" w:rsidRPr="00EF513B">
        <w:t xml:space="preserve">, </w:t>
      </w:r>
      <w:r w:rsidR="00C93A86" w:rsidRPr="00EF513B">
        <w:t xml:space="preserve">which determined that Ms. Nugent must pay a special budget amount of $886.00 per month. </w:t>
      </w:r>
      <w:r w:rsidR="00665F43" w:rsidRPr="00EF513B">
        <w:t xml:space="preserve"> </w:t>
      </w:r>
      <w:r w:rsidR="00C93A86" w:rsidRPr="00EF513B">
        <w:t xml:space="preserve">That amount includes </w:t>
      </w:r>
      <w:r w:rsidR="005B3B0F">
        <w:t xml:space="preserve">the </w:t>
      </w:r>
      <w:r w:rsidR="00C93A86" w:rsidRPr="00EF513B">
        <w:t xml:space="preserve">$429.00 regular budget </w:t>
      </w:r>
      <w:r w:rsidR="005B3B0F">
        <w:t xml:space="preserve">payment </w:t>
      </w:r>
      <w:r w:rsidR="00C93A86" w:rsidRPr="00EF513B">
        <w:t>plus $457.</w:t>
      </w:r>
      <w:r w:rsidR="00C71A00" w:rsidRPr="00EF513B">
        <w:t>00</w:t>
      </w:r>
      <w:r w:rsidR="00C93A86" w:rsidRPr="00EF513B">
        <w:t xml:space="preserve"> </w:t>
      </w:r>
      <w:r w:rsidR="005B3B0F">
        <w:t>toward her</w:t>
      </w:r>
      <w:r w:rsidR="00C93A86" w:rsidRPr="00EF513B">
        <w:t xml:space="preserve"> arrearage</w:t>
      </w:r>
      <w:r w:rsidR="0037103D" w:rsidRPr="00EF513B">
        <w:t>.</w:t>
      </w:r>
      <w:r w:rsidR="00C71A00" w:rsidRPr="00EF513B">
        <w:t xml:space="preserve">  Answer ¶4.</w:t>
      </w:r>
      <w:r w:rsidR="0037103D" w:rsidRPr="00EF513B">
        <w:t xml:space="preserve">  </w:t>
      </w:r>
    </w:p>
    <w:p w:rsidR="0037103D" w:rsidRPr="00EF513B" w:rsidRDefault="0037103D" w:rsidP="0037103D">
      <w:pPr>
        <w:tabs>
          <w:tab w:val="left" w:pos="2160"/>
        </w:tabs>
        <w:spacing w:line="360" w:lineRule="auto"/>
        <w:ind w:firstLine="1440"/>
      </w:pPr>
    </w:p>
    <w:p w:rsidR="0037103D" w:rsidRPr="00EF513B" w:rsidRDefault="0037103D" w:rsidP="0037103D">
      <w:pPr>
        <w:tabs>
          <w:tab w:val="left" w:pos="2160"/>
        </w:tabs>
        <w:spacing w:line="360" w:lineRule="auto"/>
        <w:ind w:firstLine="1440"/>
      </w:pPr>
      <w:r w:rsidRPr="00EF513B">
        <w:t xml:space="preserve">A Prehearing Order was issued on </w:t>
      </w:r>
      <w:r w:rsidR="00C71A00" w:rsidRPr="00EF513B">
        <w:t>May 27</w:t>
      </w:r>
      <w:r w:rsidRPr="00EF513B">
        <w:t>, 200</w:t>
      </w:r>
      <w:r w:rsidR="00C71A00" w:rsidRPr="00EF513B">
        <w:t>9</w:t>
      </w:r>
      <w:r w:rsidRPr="00EF513B">
        <w:t xml:space="preserve">, </w:t>
      </w:r>
      <w:r w:rsidR="007A5490" w:rsidRPr="00EF513B">
        <w:t>which advised</w:t>
      </w:r>
      <w:r w:rsidRPr="00EF513B">
        <w:t xml:space="preserve"> the parties of the date and time of the scheduled hearing, inform</w:t>
      </w:r>
      <w:r w:rsidR="007A5490" w:rsidRPr="00EF513B">
        <w:t>ed</w:t>
      </w:r>
      <w:r w:rsidRPr="00EF513B">
        <w:t xml:space="preserve"> them of the procedures applicable to this proceeding and direct</w:t>
      </w:r>
      <w:r w:rsidR="007A5490" w:rsidRPr="00EF513B">
        <w:t>ed</w:t>
      </w:r>
      <w:r w:rsidRPr="00EF513B">
        <w:t xml:space="preserve"> the submission of documents prior to the hearing.  The Prehearing Order reminded the parties of their responsibility to advise the presiding officer of any change in the telephone number at which they were to be contacted.  </w:t>
      </w:r>
    </w:p>
    <w:p w:rsidR="0037103D" w:rsidRPr="00EF513B" w:rsidRDefault="0037103D" w:rsidP="0037103D">
      <w:pPr>
        <w:spacing w:line="360" w:lineRule="auto"/>
      </w:pPr>
    </w:p>
    <w:p w:rsidR="000A277F" w:rsidRPr="00EF513B" w:rsidRDefault="0037103D" w:rsidP="0037103D">
      <w:pPr>
        <w:tabs>
          <w:tab w:val="left" w:pos="2160"/>
        </w:tabs>
        <w:spacing w:line="360" w:lineRule="auto"/>
        <w:ind w:firstLine="1440"/>
      </w:pPr>
      <w:r w:rsidRPr="00EF513B">
        <w:lastRenderedPageBreak/>
        <w:t>The Telephone Hearing convened as scheduled on July 2</w:t>
      </w:r>
      <w:r w:rsidR="00D76A6D" w:rsidRPr="00EF513B">
        <w:t>9</w:t>
      </w:r>
      <w:r w:rsidRPr="00EF513B">
        <w:t>, 200</w:t>
      </w:r>
      <w:r w:rsidR="00D76A6D" w:rsidRPr="00EF513B">
        <w:t>9</w:t>
      </w:r>
      <w:r w:rsidRPr="00EF513B">
        <w:t xml:space="preserve">, at </w:t>
      </w:r>
      <w:r w:rsidR="00D76A6D" w:rsidRPr="00EF513B">
        <w:t>10</w:t>
      </w:r>
      <w:r w:rsidRPr="00EF513B">
        <w:t xml:space="preserve">:00 </w:t>
      </w:r>
      <w:r w:rsidR="00D76A6D" w:rsidRPr="00EF513B">
        <w:t>a</w:t>
      </w:r>
      <w:r w:rsidRPr="00EF513B">
        <w:t xml:space="preserve">.m.  </w:t>
      </w:r>
      <w:r w:rsidR="00F77D64">
        <w:t>S</w:t>
      </w:r>
      <w:r w:rsidR="000E6414">
        <w:t>A Alexander</w:t>
      </w:r>
      <w:r w:rsidR="00D76A6D" w:rsidRPr="00EF513B">
        <w:t xml:space="preserve"> attempted to contact Ms. </w:t>
      </w:r>
      <w:r w:rsidRPr="00EF513B">
        <w:t xml:space="preserve">Nugent </w:t>
      </w:r>
      <w:r w:rsidR="00D76A6D" w:rsidRPr="00EF513B">
        <w:t xml:space="preserve">at the telephone number </w:t>
      </w:r>
      <w:r w:rsidR="00D76A6D" w:rsidRPr="002B0ECA">
        <w:t>she listed on her Complaint</w:t>
      </w:r>
      <w:r w:rsidR="002B0ECA">
        <w:t>.</w:t>
      </w:r>
      <w:r w:rsidR="007A5490" w:rsidRPr="00EF513B">
        <w:t xml:space="preserve">  N</w:t>
      </w:r>
      <w:r w:rsidR="00D76A6D" w:rsidRPr="00EF513B">
        <w:t>o one answered the telephone and a message</w:t>
      </w:r>
      <w:r w:rsidR="00782AC6">
        <w:t xml:space="preserve"> was left</w:t>
      </w:r>
      <w:r w:rsidR="00D76A6D" w:rsidRPr="00EF513B">
        <w:t xml:space="preserve"> on the telephone answering machin</w:t>
      </w:r>
      <w:r w:rsidR="000A277F" w:rsidRPr="00EF513B">
        <w:t>e</w:t>
      </w:r>
      <w:r w:rsidR="00D76A6D" w:rsidRPr="00EF513B">
        <w:t>/voice m</w:t>
      </w:r>
      <w:r w:rsidR="000A277F" w:rsidRPr="00EF513B">
        <w:t>a</w:t>
      </w:r>
      <w:r w:rsidR="00D76A6D" w:rsidRPr="00EF513B">
        <w:t xml:space="preserve">il system </w:t>
      </w:r>
      <w:r w:rsidR="00782AC6">
        <w:t>advising</w:t>
      </w:r>
      <w:r w:rsidR="00D76A6D" w:rsidRPr="00EF513B">
        <w:t xml:space="preserve"> the Complain</w:t>
      </w:r>
      <w:r w:rsidR="00525C5B" w:rsidRPr="00EF513B">
        <w:t>an</w:t>
      </w:r>
      <w:r w:rsidR="00D76A6D" w:rsidRPr="00EF513B">
        <w:t xml:space="preserve">t that this was the date and time of the scheduled telephonic hearing.  </w:t>
      </w:r>
      <w:r w:rsidR="00782AC6">
        <w:t>T</w:t>
      </w:r>
      <w:r w:rsidR="00D76A6D" w:rsidRPr="00EF513B">
        <w:t xml:space="preserve">he </w:t>
      </w:r>
      <w:r w:rsidR="00234946" w:rsidRPr="00EF513B">
        <w:t>hearing</w:t>
      </w:r>
      <w:r w:rsidR="00782AC6">
        <w:t xml:space="preserve"> recessed</w:t>
      </w:r>
      <w:r w:rsidR="00D76A6D" w:rsidRPr="00EF513B">
        <w:t xml:space="preserve"> </w:t>
      </w:r>
      <w:r w:rsidR="00782AC6">
        <w:t xml:space="preserve">for </w:t>
      </w:r>
      <w:r w:rsidR="00D76A6D" w:rsidRPr="00EF513B">
        <w:t>ten minutes before the Complain</w:t>
      </w:r>
      <w:r w:rsidR="00525C5B" w:rsidRPr="00EF513B">
        <w:t>an</w:t>
      </w:r>
      <w:r w:rsidR="00D76A6D" w:rsidRPr="00EF513B">
        <w:t>t</w:t>
      </w:r>
      <w:r w:rsidR="00782AC6">
        <w:t xml:space="preserve"> was called</w:t>
      </w:r>
      <w:r w:rsidR="00D76A6D" w:rsidRPr="00EF513B">
        <w:t xml:space="preserve"> again. </w:t>
      </w:r>
      <w:r w:rsidR="000E6414">
        <w:t xml:space="preserve">Subsequently, a second attempt </w:t>
      </w:r>
      <w:r w:rsidR="00865B8C">
        <w:t xml:space="preserve">was made </w:t>
      </w:r>
      <w:r w:rsidR="000E6414">
        <w:t>to call t</w:t>
      </w:r>
      <w:r w:rsidR="000A277F" w:rsidRPr="00EF513B">
        <w:t>he Complain</w:t>
      </w:r>
      <w:r w:rsidR="00525C5B" w:rsidRPr="00EF513B">
        <w:t>an</w:t>
      </w:r>
      <w:r w:rsidR="000A277F" w:rsidRPr="00EF513B">
        <w:t>t</w:t>
      </w:r>
      <w:r w:rsidR="00782AC6">
        <w:t xml:space="preserve"> </w:t>
      </w:r>
      <w:r w:rsidR="000A277F" w:rsidRPr="00EF513B">
        <w:t xml:space="preserve">at the </w:t>
      </w:r>
      <w:r w:rsidR="00865B8C">
        <w:t xml:space="preserve">listed </w:t>
      </w:r>
      <w:r w:rsidR="000A277F" w:rsidRPr="00EF513B">
        <w:t>number</w:t>
      </w:r>
      <w:r w:rsidR="00865B8C">
        <w:t>;</w:t>
      </w:r>
      <w:r w:rsidR="000E6414">
        <w:t xml:space="preserve"> </w:t>
      </w:r>
      <w:r w:rsidR="000A277F" w:rsidRPr="00EF513B">
        <w:t>and again</w:t>
      </w:r>
      <w:r w:rsidR="003762F0" w:rsidRPr="00EF513B">
        <w:t>,</w:t>
      </w:r>
      <w:r w:rsidR="000A277F" w:rsidRPr="00EF513B">
        <w:t xml:space="preserve"> no one answered the telephone.  </w:t>
      </w:r>
      <w:r w:rsidR="00152B85">
        <w:t xml:space="preserve">The </w:t>
      </w:r>
      <w:r w:rsidR="000A277F" w:rsidRPr="00EF513B">
        <w:t>Complainant failed to appear.  Tishekia Williams</w:t>
      </w:r>
      <w:r w:rsidRPr="00EF513B">
        <w:t xml:space="preserve">, Esq., represented the Respondent </w:t>
      </w:r>
      <w:r w:rsidR="00C01FB4" w:rsidRPr="00EF513B">
        <w:t xml:space="preserve">and </w:t>
      </w:r>
      <w:r w:rsidR="000A277F" w:rsidRPr="00EF513B">
        <w:t xml:space="preserve">moved for dismissal of the matter with prejudice for failure to prosecute.   </w:t>
      </w:r>
      <w:r w:rsidR="000D4EC0">
        <w:t xml:space="preserve">I.D. at </w:t>
      </w:r>
      <w:r w:rsidR="00D92BEC">
        <w:t>2.</w:t>
      </w:r>
    </w:p>
    <w:p w:rsidR="000A277F" w:rsidRPr="00EF513B" w:rsidRDefault="000A277F" w:rsidP="0037103D">
      <w:pPr>
        <w:tabs>
          <w:tab w:val="left" w:pos="2160"/>
        </w:tabs>
        <w:spacing w:line="360" w:lineRule="auto"/>
        <w:ind w:firstLine="1440"/>
      </w:pPr>
    </w:p>
    <w:p w:rsidR="00505E72" w:rsidRDefault="000A277F" w:rsidP="0037103D">
      <w:pPr>
        <w:tabs>
          <w:tab w:val="left" w:pos="2160"/>
        </w:tabs>
        <w:spacing w:line="360" w:lineRule="auto"/>
        <w:ind w:firstLine="1440"/>
      </w:pPr>
      <w:r w:rsidRPr="00EF513B">
        <w:t xml:space="preserve">On or about July 30, 2009, Ms. Nugent left a message on the Office of Administrative </w:t>
      </w:r>
      <w:r w:rsidR="00505E72" w:rsidRPr="00EF513B">
        <w:t>L</w:t>
      </w:r>
      <w:r w:rsidRPr="00EF513B">
        <w:t xml:space="preserve">aw </w:t>
      </w:r>
      <w:r w:rsidR="00505E72" w:rsidRPr="00EF513B">
        <w:t>J</w:t>
      </w:r>
      <w:r w:rsidRPr="00EF513B">
        <w:t xml:space="preserve">udge </w:t>
      </w:r>
      <w:r w:rsidR="00505E72" w:rsidRPr="00EF513B">
        <w:t xml:space="preserve">(OALJ) </w:t>
      </w:r>
      <w:r w:rsidRPr="00EF513B">
        <w:t xml:space="preserve">telephone </w:t>
      </w:r>
      <w:r w:rsidR="007A5490" w:rsidRPr="00EF513B">
        <w:t>system</w:t>
      </w:r>
      <w:r w:rsidRPr="00EF513B">
        <w:t xml:space="preserve"> </w:t>
      </w:r>
      <w:r w:rsidR="00865B8C">
        <w:t xml:space="preserve">inquiring </w:t>
      </w:r>
      <w:r w:rsidR="00505E72" w:rsidRPr="00EF513B">
        <w:t xml:space="preserve">as to why </w:t>
      </w:r>
      <w:r w:rsidR="00D92BEC">
        <w:t>she was not</w:t>
      </w:r>
      <w:r w:rsidR="00505E72" w:rsidRPr="00EF513B">
        <w:t xml:space="preserve"> call</w:t>
      </w:r>
      <w:r w:rsidR="00D92BEC">
        <w:t>ed</w:t>
      </w:r>
      <w:r w:rsidR="00505E72" w:rsidRPr="00EF513B">
        <w:t xml:space="preserve"> on the scheduled</w:t>
      </w:r>
      <w:r w:rsidR="00D92BEC">
        <w:t xml:space="preserve"> hearing</w:t>
      </w:r>
      <w:r w:rsidR="00505E72" w:rsidRPr="00EF513B">
        <w:t xml:space="preserve"> date.  It was </w:t>
      </w:r>
      <w:r w:rsidR="00525C5B" w:rsidRPr="00EF513B">
        <w:t>then</w:t>
      </w:r>
      <w:r w:rsidR="00505E72" w:rsidRPr="00EF513B">
        <w:t xml:space="preserve"> discovered that </w:t>
      </w:r>
      <w:r w:rsidR="00865B8C">
        <w:t xml:space="preserve">the </w:t>
      </w:r>
      <w:r w:rsidR="007A5490" w:rsidRPr="00EF513B">
        <w:t>Complainant</w:t>
      </w:r>
      <w:r w:rsidR="004B5DAB" w:rsidRPr="00EF513B">
        <w:t xml:space="preserve"> wrote down an incorrect</w:t>
      </w:r>
      <w:r w:rsidR="00505E72" w:rsidRPr="00EF513B">
        <w:t xml:space="preserve"> telephone number</w:t>
      </w:r>
      <w:r w:rsidR="00A24147" w:rsidRPr="00EF513B">
        <w:t xml:space="preserve"> on the Compl</w:t>
      </w:r>
      <w:r w:rsidR="00234946" w:rsidRPr="00EF513B">
        <w:t>a</w:t>
      </w:r>
      <w:r w:rsidR="00A24147" w:rsidRPr="00EF513B">
        <w:t xml:space="preserve">int.  </w:t>
      </w:r>
    </w:p>
    <w:p w:rsidR="00D92BEC" w:rsidRPr="00EF513B" w:rsidRDefault="00D92BEC" w:rsidP="0037103D">
      <w:pPr>
        <w:tabs>
          <w:tab w:val="left" w:pos="2160"/>
        </w:tabs>
        <w:spacing w:line="360" w:lineRule="auto"/>
        <w:ind w:firstLine="1440"/>
      </w:pPr>
    </w:p>
    <w:p w:rsidR="00A838CE" w:rsidRPr="00EF513B" w:rsidRDefault="00505E72" w:rsidP="0037103D">
      <w:pPr>
        <w:tabs>
          <w:tab w:val="left" w:pos="2160"/>
        </w:tabs>
        <w:spacing w:line="360" w:lineRule="auto"/>
        <w:ind w:firstLine="1440"/>
      </w:pPr>
      <w:r w:rsidRPr="00EF513B">
        <w:t>Because Ms. Nugent contacted the PUC in a prompt fashion after she did not hear from the Commission, a new Telephone Hearing Notice, dated August 13, 2009</w:t>
      </w:r>
      <w:r w:rsidR="00C2199B" w:rsidRPr="00EF513B">
        <w:t>,</w:t>
      </w:r>
      <w:r w:rsidRPr="00EF513B">
        <w:t xml:space="preserve"> was issued.  The Notice </w:t>
      </w:r>
      <w:r w:rsidR="00A838CE" w:rsidRPr="00EF513B">
        <w:t>advised the parties that a Telephonic Hearing in this matter would take place on Monday</w:t>
      </w:r>
      <w:r w:rsidR="00C2199B" w:rsidRPr="00EF513B">
        <w:t>,</w:t>
      </w:r>
      <w:r w:rsidR="00A838CE" w:rsidRPr="00EF513B">
        <w:t xml:space="preserve"> October 26, 2009</w:t>
      </w:r>
      <w:r w:rsidR="00C2199B" w:rsidRPr="00EF513B">
        <w:t>,</w:t>
      </w:r>
      <w:r w:rsidR="00A838CE" w:rsidRPr="00EF513B">
        <w:t xml:space="preserve"> at 10:00 a.m.</w:t>
      </w:r>
    </w:p>
    <w:p w:rsidR="00A838CE" w:rsidRPr="00EF513B" w:rsidRDefault="00A838CE" w:rsidP="0037103D">
      <w:pPr>
        <w:tabs>
          <w:tab w:val="left" w:pos="2160"/>
        </w:tabs>
        <w:spacing w:line="360" w:lineRule="auto"/>
        <w:ind w:firstLine="1440"/>
      </w:pPr>
    </w:p>
    <w:p w:rsidR="0037103D" w:rsidRPr="00EF513B" w:rsidRDefault="00A838CE" w:rsidP="0037103D">
      <w:pPr>
        <w:tabs>
          <w:tab w:val="left" w:pos="2160"/>
        </w:tabs>
        <w:spacing w:line="360" w:lineRule="auto"/>
        <w:ind w:firstLine="1440"/>
      </w:pPr>
      <w:r w:rsidRPr="00EF513B">
        <w:t>The Telephone Hearing convened as scheduled on October 2</w:t>
      </w:r>
      <w:r w:rsidR="00525C5B" w:rsidRPr="00EF513B">
        <w:t>6</w:t>
      </w:r>
      <w:r w:rsidRPr="00EF513B">
        <w:t>, 2009, at 10:00 a.m.</w:t>
      </w:r>
      <w:r w:rsidRPr="00EF513B">
        <w:rPr>
          <w:rStyle w:val="FootnoteReference"/>
        </w:rPr>
        <w:footnoteReference w:id="1"/>
      </w:r>
      <w:r w:rsidRPr="00EF513B">
        <w:t xml:space="preserve">  Ms. Nugent appeared </w:t>
      </w:r>
      <w:r w:rsidRPr="00EF513B">
        <w:rPr>
          <w:i/>
        </w:rPr>
        <w:t>pro se</w:t>
      </w:r>
      <w:r w:rsidRPr="00EF513B">
        <w:t xml:space="preserve"> and testified on </w:t>
      </w:r>
      <w:r w:rsidR="00B437E3">
        <w:t>her own</w:t>
      </w:r>
      <w:r w:rsidRPr="00EF513B">
        <w:t xml:space="preserve"> behalf</w:t>
      </w:r>
      <w:r w:rsidR="00B437E3">
        <w:t xml:space="preserve">.  </w:t>
      </w:r>
      <w:r w:rsidR="005B08D4" w:rsidRPr="00EF513B">
        <w:t xml:space="preserve">Tishekia Williams, Esq., represented </w:t>
      </w:r>
      <w:r w:rsidR="00B437E3">
        <w:t>PECO</w:t>
      </w:r>
      <w:r w:rsidR="005B08D4" w:rsidRPr="00EF513B">
        <w:t xml:space="preserve"> </w:t>
      </w:r>
      <w:r w:rsidR="0037103D" w:rsidRPr="00EF513B">
        <w:t xml:space="preserve">which sponsored four exhibits and presented the testimony of </w:t>
      </w:r>
      <w:r w:rsidR="005B08D4" w:rsidRPr="00EF513B">
        <w:t>one</w:t>
      </w:r>
      <w:r w:rsidR="0037103D" w:rsidRPr="00EF513B">
        <w:t xml:space="preserve"> witness, </w:t>
      </w:r>
      <w:r w:rsidR="005B08D4" w:rsidRPr="00EF513B">
        <w:t>Dana McCollum</w:t>
      </w:r>
      <w:r w:rsidR="0037103D" w:rsidRPr="00EF513B">
        <w:t xml:space="preserve"> who works as a regulatory assessor for </w:t>
      </w:r>
      <w:r w:rsidR="00B437E3">
        <w:t>PECO</w:t>
      </w:r>
      <w:r w:rsidR="0037103D" w:rsidRPr="00EF513B">
        <w:t xml:space="preserve">.   </w:t>
      </w:r>
    </w:p>
    <w:p w:rsidR="0037103D" w:rsidRPr="00EF513B" w:rsidRDefault="0037103D" w:rsidP="0037103D">
      <w:pPr>
        <w:tabs>
          <w:tab w:val="left" w:pos="2160"/>
        </w:tabs>
        <w:spacing w:line="360" w:lineRule="auto"/>
        <w:ind w:firstLine="1440"/>
      </w:pPr>
    </w:p>
    <w:p w:rsidR="0037103D" w:rsidRPr="00EF513B" w:rsidRDefault="0037103D" w:rsidP="0037103D">
      <w:pPr>
        <w:tabs>
          <w:tab w:val="left" w:pos="2160"/>
        </w:tabs>
        <w:spacing w:line="360" w:lineRule="auto"/>
        <w:ind w:firstLine="1440"/>
        <w:outlineLvl w:val="0"/>
      </w:pPr>
      <w:r w:rsidRPr="00EF513B">
        <w:t xml:space="preserve">The record closed on </w:t>
      </w:r>
      <w:r w:rsidR="005B08D4" w:rsidRPr="00EF513B">
        <w:t>October 26</w:t>
      </w:r>
      <w:r w:rsidRPr="00EF513B">
        <w:t>, 200</w:t>
      </w:r>
      <w:r w:rsidR="005B08D4" w:rsidRPr="00EF513B">
        <w:t>9</w:t>
      </w:r>
      <w:r w:rsidRPr="00EF513B">
        <w:t xml:space="preserve">.  </w:t>
      </w:r>
    </w:p>
    <w:p w:rsidR="0037103D" w:rsidRPr="00EF513B" w:rsidRDefault="0037103D" w:rsidP="0037103D">
      <w:pPr>
        <w:tabs>
          <w:tab w:val="left" w:pos="2160"/>
        </w:tabs>
        <w:spacing w:line="360" w:lineRule="auto"/>
      </w:pPr>
    </w:p>
    <w:p w:rsidR="00633C68" w:rsidRDefault="0037103D" w:rsidP="00007A1F">
      <w:pPr>
        <w:tabs>
          <w:tab w:val="left" w:pos="2160"/>
        </w:tabs>
        <w:spacing w:line="360" w:lineRule="auto"/>
        <w:jc w:val="center"/>
        <w:outlineLvl w:val="0"/>
        <w:rPr>
          <w:b/>
        </w:rPr>
      </w:pPr>
      <w:r w:rsidRPr="00007A1F">
        <w:rPr>
          <w:b/>
        </w:rPr>
        <w:t>D</w:t>
      </w:r>
      <w:r w:rsidR="00007A1F" w:rsidRPr="00007A1F">
        <w:rPr>
          <w:b/>
        </w:rPr>
        <w:t>iscussion</w:t>
      </w:r>
    </w:p>
    <w:p w:rsidR="00007A1F" w:rsidRPr="00007A1F" w:rsidRDefault="00007A1F" w:rsidP="00007A1F">
      <w:pPr>
        <w:tabs>
          <w:tab w:val="left" w:pos="2160"/>
        </w:tabs>
        <w:spacing w:line="360" w:lineRule="auto"/>
        <w:jc w:val="center"/>
        <w:outlineLvl w:val="0"/>
        <w:rPr>
          <w:rFonts w:ascii="Times New (W1)" w:hAnsi="Times New (W1)"/>
          <w:b/>
        </w:rPr>
      </w:pPr>
    </w:p>
    <w:p w:rsidR="00297211" w:rsidRDefault="00297211" w:rsidP="00297211">
      <w:pPr>
        <w:spacing w:line="360" w:lineRule="auto"/>
        <w:ind w:firstLine="1440"/>
        <w:rPr>
          <w:rFonts w:ascii="Times New (W1)" w:hAnsi="Times New (W1)"/>
        </w:rPr>
      </w:pPr>
      <w:r w:rsidRPr="0066037B">
        <w:rPr>
          <w:rFonts w:ascii="Times New (W1)" w:hAnsi="Times New (W1)"/>
        </w:rPr>
        <w:t>As the proponent of a rule or order, the Complainant in this proceeding bear</w:t>
      </w:r>
      <w:r>
        <w:rPr>
          <w:rFonts w:ascii="Times New (W1)" w:hAnsi="Times New (W1)"/>
        </w:rPr>
        <w:t>s</w:t>
      </w:r>
      <w:r w:rsidRPr="0066037B">
        <w:rPr>
          <w:rFonts w:ascii="Times New (W1)" w:hAnsi="Times New (W1)"/>
        </w:rPr>
        <w:t xml:space="preserve"> the burden of proof pursuant to Section 332(a) of</w:t>
      </w:r>
      <w:r>
        <w:rPr>
          <w:rFonts w:ascii="Times New (W1)" w:hAnsi="Times New (W1)"/>
        </w:rPr>
        <w:t xml:space="preserve"> the Public Utility Code (Code),</w:t>
      </w:r>
      <w:r w:rsidRPr="0066037B">
        <w:rPr>
          <w:rFonts w:ascii="Times New (W1)" w:hAnsi="Times New (W1)"/>
        </w:rPr>
        <w:t xml:space="preserve">  66 Pa.</w:t>
      </w:r>
      <w:r>
        <w:rPr>
          <w:rFonts w:ascii="Times New (W1)" w:hAnsi="Times New (W1)"/>
        </w:rPr>
        <w:t xml:space="preserve"> C.S. § 332(a), which provides that the party seeking a rule or order from the Commission has the burden of proof in that proceeding.  It is axiomatic that “[a] litigant’s burden of proof before administrative tribunals as well as before most civil proceedings is satisfied by establishing a preponderance of evidence which is substantial and legally credible.”</w:t>
      </w:r>
      <w:r w:rsidRPr="0066037B">
        <w:rPr>
          <w:rFonts w:ascii="Times New (W1)" w:hAnsi="Times New (W1)"/>
        </w:rPr>
        <w:t xml:space="preserve">  </w:t>
      </w:r>
      <w:r w:rsidRPr="0066037B">
        <w:rPr>
          <w:rFonts w:ascii="Times New (W1)" w:hAnsi="Times New (W1)"/>
          <w:i/>
          <w:iCs/>
        </w:rPr>
        <w:t xml:space="preserve">Samuel J. Lansberry, Inc. v. </w:t>
      </w:r>
      <w:smartTag w:uri="urn:schemas-microsoft-com:office:smarttags" w:element="State">
        <w:r w:rsidRPr="0066037B">
          <w:rPr>
            <w:rFonts w:ascii="Times New (W1)" w:hAnsi="Times New (W1)"/>
            <w:i/>
            <w:iCs/>
          </w:rPr>
          <w:t>Pennsylvania</w:t>
        </w:r>
      </w:smartTag>
      <w:r w:rsidRPr="0066037B">
        <w:rPr>
          <w:rFonts w:ascii="Times New (W1)" w:hAnsi="Times New (W1)"/>
          <w:i/>
          <w:iCs/>
        </w:rPr>
        <w:t xml:space="preserve"> Public Utility Commission</w:t>
      </w:r>
      <w:r w:rsidRPr="0066037B">
        <w:rPr>
          <w:rFonts w:ascii="Times New (W1)" w:hAnsi="Times New (W1)"/>
        </w:rPr>
        <w:t>, 578 A.2d 600</w:t>
      </w:r>
      <w:r>
        <w:rPr>
          <w:rFonts w:ascii="Times New (W1)" w:hAnsi="Times New (W1)"/>
        </w:rPr>
        <w:t>, 602</w:t>
      </w:r>
      <w:r w:rsidRPr="0066037B">
        <w:rPr>
          <w:rFonts w:ascii="Times New (W1)" w:hAnsi="Times New (W1)"/>
        </w:rPr>
        <w:t xml:space="preserve"> (</w:t>
      </w:r>
      <w:smartTag w:uri="urn:schemas-microsoft-com:office:smarttags" w:element="place">
        <w:smartTag w:uri="urn:schemas-microsoft-com:office:smarttags" w:element="State">
          <w:r w:rsidRPr="0066037B">
            <w:rPr>
              <w:rFonts w:ascii="Times New (W1)" w:hAnsi="Times New (W1)"/>
            </w:rPr>
            <w:t>Pa.</w:t>
          </w:r>
        </w:smartTag>
      </w:smartTag>
      <w:r w:rsidRPr="0066037B">
        <w:rPr>
          <w:rFonts w:ascii="Times New (W1)" w:hAnsi="Times New (W1)"/>
        </w:rPr>
        <w:t xml:space="preserve"> Cmwlth. 1990).  </w:t>
      </w:r>
    </w:p>
    <w:p w:rsidR="0037103D" w:rsidRPr="00EF513B" w:rsidRDefault="0037103D" w:rsidP="0037103D">
      <w:pPr>
        <w:spacing w:line="360" w:lineRule="auto"/>
        <w:ind w:firstLine="1440"/>
      </w:pPr>
    </w:p>
    <w:p w:rsidR="0037103D" w:rsidRPr="00EF513B" w:rsidRDefault="0037103D" w:rsidP="0037103D">
      <w:pPr>
        <w:spacing w:line="360" w:lineRule="auto"/>
        <w:ind w:firstLine="1440"/>
      </w:pPr>
      <w:r w:rsidRPr="00EF513B">
        <w:t xml:space="preserve">The Responsible Utility Customer Protection Act, 66 Pa. C.S. </w:t>
      </w:r>
      <w:r w:rsidR="005B2AEA">
        <w:t>§</w:t>
      </w:r>
      <w:r w:rsidRPr="00EF513B">
        <w:t xml:space="preserve">§ 1401, </w:t>
      </w:r>
      <w:r w:rsidRPr="00EF513B">
        <w:rPr>
          <w:i/>
        </w:rPr>
        <w:t>et seq</w:t>
      </w:r>
      <w:r w:rsidR="007147D6">
        <w:t>.</w:t>
      </w:r>
      <w:r w:rsidR="00B03757">
        <w:t>,</w:t>
      </w:r>
      <w:r w:rsidR="007147D6">
        <w:t xml:space="preserve"> </w:t>
      </w:r>
      <w:r w:rsidRPr="00EF513B">
        <w:t>(the Act or Chapter 14) applies to complaints alleging inability to pay and requesting a Commission-issued payment arrangement.  This law provides strict guidelines that the Commission must follow in handling customer complaints.  Section 1403 of the Public Utility Code defines “Payment Agreement” as follows:</w:t>
      </w:r>
    </w:p>
    <w:p w:rsidR="0037103D" w:rsidRPr="00EF513B" w:rsidRDefault="0037103D" w:rsidP="0037103D"/>
    <w:p w:rsidR="0037103D" w:rsidRPr="00EF513B" w:rsidRDefault="0037103D" w:rsidP="007147D6">
      <w:pPr>
        <w:ind w:left="1440" w:right="1440"/>
      </w:pPr>
      <w:r w:rsidRPr="00EF513B">
        <w:t>An agreement whereby a customer who admits liability for billed service is permitted to amortize or pay the unpaid balance of the account in one or more payments.</w:t>
      </w:r>
    </w:p>
    <w:p w:rsidR="0037103D" w:rsidRPr="00EF513B" w:rsidRDefault="0037103D" w:rsidP="0037103D">
      <w:pPr>
        <w:spacing w:line="360" w:lineRule="auto"/>
        <w:ind w:left="1440" w:right="1440"/>
      </w:pPr>
    </w:p>
    <w:p w:rsidR="0037103D" w:rsidRPr="00EF513B" w:rsidRDefault="0037103D" w:rsidP="0037103D">
      <w:pPr>
        <w:tabs>
          <w:tab w:val="left" w:pos="8640"/>
        </w:tabs>
        <w:spacing w:line="360" w:lineRule="auto"/>
      </w:pPr>
      <w:r w:rsidRPr="00EF513B">
        <w:t>66 Pa. C.S. § 1403</w:t>
      </w:r>
      <w:r w:rsidR="0014095A">
        <w:t>.</w:t>
      </w:r>
      <w:r w:rsidRPr="00EF513B">
        <w:t xml:space="preserve"> </w:t>
      </w:r>
      <w:r w:rsidR="0014095A">
        <w:t xml:space="preserve"> </w:t>
      </w:r>
      <w:r w:rsidRPr="00EF513B">
        <w:t>Section 1405 of the Public Utility Code regarding payment arrangement reads in pertinent part:</w:t>
      </w:r>
    </w:p>
    <w:p w:rsidR="006B71DE" w:rsidRDefault="006B71DE"/>
    <w:p w:rsidR="007147D6" w:rsidRDefault="0037103D" w:rsidP="000D39D7">
      <w:pPr>
        <w:ind w:left="2160" w:right="1440"/>
      </w:pPr>
      <w:r w:rsidRPr="00EF513B">
        <w:t xml:space="preserve">(d) NUMBER OF PAYMENT ARRANGEMENTS – </w:t>
      </w:r>
      <w:r w:rsidRPr="00EF513B">
        <w:rPr>
          <w:b/>
          <w:u w:val="single"/>
        </w:rPr>
        <w:t>Absent a change in income</w:t>
      </w:r>
      <w:r w:rsidRPr="00EF513B">
        <w:t xml:space="preserve">, the Commission shall not establish or order a public utility to establish a second or subsequent payment agreement if a customer has defaulted on a previous payment agreement.  A public utility may, at its discretion, enter into a second or </w:t>
      </w:r>
    </w:p>
    <w:p w:rsidR="007147D6" w:rsidRDefault="007147D6">
      <w:r>
        <w:br w:type="page"/>
      </w:r>
    </w:p>
    <w:p w:rsidR="0037103D" w:rsidRPr="00EF513B" w:rsidRDefault="0037103D" w:rsidP="000D39D7">
      <w:pPr>
        <w:ind w:left="2160" w:right="1440"/>
      </w:pPr>
      <w:r w:rsidRPr="00EF513B">
        <w:lastRenderedPageBreak/>
        <w:t>subsequent payment agreement with a customer.</w:t>
      </w:r>
      <w:r w:rsidR="00C63632" w:rsidRPr="00EF513B">
        <w:t xml:space="preserve"> </w:t>
      </w:r>
      <w:r w:rsidR="00C63632" w:rsidRPr="00EF513B">
        <w:rPr>
          <w:b/>
        </w:rPr>
        <w:t>(emphasis added)</w:t>
      </w:r>
    </w:p>
    <w:p w:rsidR="0037103D" w:rsidRPr="00EF513B" w:rsidRDefault="0037103D" w:rsidP="0037103D">
      <w:pPr>
        <w:spacing w:line="360" w:lineRule="auto"/>
        <w:ind w:left="1440" w:right="1440"/>
      </w:pPr>
    </w:p>
    <w:p w:rsidR="0037103D" w:rsidRDefault="0037103D" w:rsidP="0037103D">
      <w:pPr>
        <w:tabs>
          <w:tab w:val="left" w:pos="9360"/>
        </w:tabs>
        <w:spacing w:line="360" w:lineRule="auto"/>
        <w:outlineLvl w:val="0"/>
      </w:pPr>
      <w:r w:rsidRPr="00EF513B">
        <w:t xml:space="preserve">66 Pa. C.S. § 1405(d).  </w:t>
      </w:r>
    </w:p>
    <w:p w:rsidR="0014095A" w:rsidRPr="00EF513B" w:rsidRDefault="0014095A" w:rsidP="0037103D">
      <w:pPr>
        <w:tabs>
          <w:tab w:val="left" w:pos="9360"/>
        </w:tabs>
        <w:spacing w:line="360" w:lineRule="auto"/>
        <w:outlineLvl w:val="0"/>
      </w:pPr>
    </w:p>
    <w:p w:rsidR="001368C6" w:rsidRPr="00EF513B" w:rsidRDefault="00E1161F" w:rsidP="007147D6">
      <w:pPr>
        <w:spacing w:line="360" w:lineRule="auto"/>
        <w:ind w:firstLine="1440"/>
      </w:pPr>
      <w:r w:rsidRPr="00EF513B">
        <w:t xml:space="preserve">Ms. Nugent has a very poor payment history with </w:t>
      </w:r>
      <w:r w:rsidR="0014095A">
        <w:t>PECO</w:t>
      </w:r>
      <w:r w:rsidRPr="00EF513B">
        <w:t>.  From November</w:t>
      </w:r>
      <w:r w:rsidR="003544E9">
        <w:t> </w:t>
      </w:r>
      <w:r w:rsidRPr="00EF513B">
        <w:t>15, 2007</w:t>
      </w:r>
      <w:r w:rsidR="009C561D" w:rsidRPr="00EF513B">
        <w:t>,</w:t>
      </w:r>
      <w:r w:rsidRPr="00EF513B">
        <w:t xml:space="preserve"> until December 18, 2008</w:t>
      </w:r>
      <w:r w:rsidR="009C561D" w:rsidRPr="00EF513B">
        <w:t>,</w:t>
      </w:r>
      <w:r w:rsidRPr="00EF513B">
        <w:t xml:space="preserve"> when BCS </w:t>
      </w:r>
      <w:r w:rsidR="009C561D" w:rsidRPr="00EF513B">
        <w:t xml:space="preserve">Decision No. 2242082 was </w:t>
      </w:r>
      <w:r w:rsidRPr="00EF513B">
        <w:t>issued</w:t>
      </w:r>
      <w:r w:rsidR="009C561D" w:rsidRPr="00EF513B">
        <w:t>,</w:t>
      </w:r>
      <w:r w:rsidRPr="00EF513B">
        <w:t xml:space="preserve"> Ms. Nugent </w:t>
      </w:r>
      <w:r w:rsidR="00D64EEF" w:rsidRPr="00EF513B">
        <w:t>d</w:t>
      </w:r>
      <w:r w:rsidRPr="00EF513B">
        <w:t xml:space="preserve">id not make any payments in her account.  PECO Exhibit 1.  Beginning in January of 2009, Complainant attempted to “pay down” her </w:t>
      </w:r>
      <w:r w:rsidR="00A24147" w:rsidRPr="00EF513B">
        <w:t>bill</w:t>
      </w:r>
      <w:r w:rsidR="00956D67" w:rsidRPr="00EF513B">
        <w:t>,</w:t>
      </w:r>
      <w:r w:rsidRPr="00EF513B">
        <w:t xml:space="preserve"> however, </w:t>
      </w:r>
      <w:r w:rsidR="00956D67" w:rsidRPr="00EF513B">
        <w:t xml:space="preserve">her payments could only be described as </w:t>
      </w:r>
      <w:r w:rsidR="00780093" w:rsidRPr="00EF513B">
        <w:t>sporadic</w:t>
      </w:r>
      <w:r w:rsidR="00956D67" w:rsidRPr="00EF513B">
        <w:t xml:space="preserve"> and consequently, she </w:t>
      </w:r>
      <w:r w:rsidRPr="00EF513B">
        <w:t xml:space="preserve">has not honored the BCS payment arrangement agreement. </w:t>
      </w:r>
      <w:r w:rsidR="00E222C7" w:rsidRPr="00EF513B">
        <w:t xml:space="preserve"> For example, i</w:t>
      </w:r>
      <w:r w:rsidR="00245341" w:rsidRPr="00EF513B">
        <w:t xml:space="preserve">n March of 2009, Ms. Nugent made </w:t>
      </w:r>
      <w:r w:rsidR="004505EE" w:rsidRPr="00EF513B">
        <w:t xml:space="preserve">a </w:t>
      </w:r>
      <w:r w:rsidR="00245341" w:rsidRPr="00EF513B">
        <w:t xml:space="preserve">payment of $655.00 only to have that amount returned to her for </w:t>
      </w:r>
      <w:r w:rsidR="00C476C1" w:rsidRPr="00EF513B">
        <w:t>in</w:t>
      </w:r>
      <w:r w:rsidR="00245341" w:rsidRPr="00EF513B">
        <w:t>sufficient</w:t>
      </w:r>
      <w:r w:rsidR="00E222C7" w:rsidRPr="00EF513B">
        <w:t>-</w:t>
      </w:r>
      <w:r w:rsidR="00245341" w:rsidRPr="00EF513B">
        <w:t>funds in her account</w:t>
      </w:r>
      <w:r w:rsidR="00E222C7" w:rsidRPr="00EF513B">
        <w:t>.  I</w:t>
      </w:r>
      <w:r w:rsidR="00245341" w:rsidRPr="00EF513B">
        <w:t xml:space="preserve">n June of 2009, Ms. Nugent made two payments, one in the amount of $276.09 and </w:t>
      </w:r>
      <w:r w:rsidR="00E222C7" w:rsidRPr="00EF513B">
        <w:t xml:space="preserve">the other in the amount of </w:t>
      </w:r>
      <w:r w:rsidR="00245341" w:rsidRPr="00EF513B">
        <w:t xml:space="preserve">$650.00.  In July of 2009, Complainant </w:t>
      </w:r>
      <w:r w:rsidR="00E222C7" w:rsidRPr="00EF513B">
        <w:t xml:space="preserve">again </w:t>
      </w:r>
      <w:r w:rsidR="00245341" w:rsidRPr="00EF513B">
        <w:t>made two payments o</w:t>
      </w:r>
      <w:r w:rsidR="00E222C7" w:rsidRPr="00EF513B">
        <w:t>ne in the amount of</w:t>
      </w:r>
      <w:r w:rsidR="00245341" w:rsidRPr="00EF513B">
        <w:t xml:space="preserve"> $250.00 and </w:t>
      </w:r>
      <w:r w:rsidR="00E222C7" w:rsidRPr="00EF513B">
        <w:t xml:space="preserve">another in the amount of </w:t>
      </w:r>
      <w:r w:rsidR="00245341" w:rsidRPr="00EF513B">
        <w:t xml:space="preserve">$336.01. </w:t>
      </w:r>
      <w:r w:rsidRPr="00EF513B">
        <w:t xml:space="preserve"> </w:t>
      </w:r>
      <w:r w:rsidR="00245341" w:rsidRPr="00EF513B">
        <w:t>She has not made any payment</w:t>
      </w:r>
      <w:r w:rsidR="00E222C7" w:rsidRPr="00EF513B">
        <w:t>s</w:t>
      </w:r>
      <w:r w:rsidR="00245341" w:rsidRPr="00EF513B">
        <w:t xml:space="preserve"> since July</w:t>
      </w:r>
      <w:r w:rsidR="00152B85">
        <w:t xml:space="preserve"> 2009</w:t>
      </w:r>
      <w:r w:rsidR="00245341" w:rsidRPr="00EF513B">
        <w:t xml:space="preserve">.  </w:t>
      </w:r>
      <w:r w:rsidRPr="00EF513B">
        <w:t>As of the date of the hearing, the balance on</w:t>
      </w:r>
      <w:r w:rsidR="00F90AAB">
        <w:t xml:space="preserve"> her account was $11,375.73.</w:t>
      </w:r>
      <w:r w:rsidR="00DB27C6">
        <w:t xml:space="preserve">  I.D. at 6</w:t>
      </w:r>
      <w:r w:rsidR="00F90AAB">
        <w:t>.</w:t>
      </w:r>
    </w:p>
    <w:p w:rsidR="001368C6" w:rsidRPr="00EF513B" w:rsidRDefault="001368C6" w:rsidP="001368C6">
      <w:pPr>
        <w:spacing w:line="360" w:lineRule="auto"/>
        <w:ind w:firstLine="1440"/>
      </w:pPr>
    </w:p>
    <w:p w:rsidR="003F708D" w:rsidRPr="00EF513B" w:rsidRDefault="00FD1093" w:rsidP="001368C6">
      <w:pPr>
        <w:spacing w:line="360" w:lineRule="auto"/>
        <w:ind w:firstLine="1440"/>
      </w:pPr>
      <w:r>
        <w:t>As shown in the table below, t</w:t>
      </w:r>
      <w:r w:rsidR="00F41D9E">
        <w:t xml:space="preserve">he </w:t>
      </w:r>
      <w:r w:rsidR="001368C6" w:rsidRPr="00EF513B">
        <w:t xml:space="preserve">Complainant received five </w:t>
      </w:r>
      <w:r w:rsidR="003F708D" w:rsidRPr="00EF513B">
        <w:t xml:space="preserve">total </w:t>
      </w:r>
      <w:r w:rsidR="001368C6" w:rsidRPr="00EF513B">
        <w:t xml:space="preserve">payment arrangements </w:t>
      </w:r>
      <w:r w:rsidR="00F41D9E" w:rsidRPr="00EF513B">
        <w:t>over the past several years</w:t>
      </w:r>
      <w:r w:rsidR="00F41D9E">
        <w:t xml:space="preserve"> </w:t>
      </w:r>
      <w:r w:rsidR="003F708D" w:rsidRPr="00EF513B">
        <w:t xml:space="preserve">and </w:t>
      </w:r>
      <w:r w:rsidR="00F41D9E" w:rsidRPr="00EF513B">
        <w:t xml:space="preserve">has not honored any </w:t>
      </w:r>
      <w:r w:rsidR="00F41D9E">
        <w:t>of them</w:t>
      </w:r>
      <w:r w:rsidR="00066E04">
        <w:t>.</w:t>
      </w:r>
    </w:p>
    <w:p w:rsidR="00DF244A" w:rsidRDefault="00DF244A"/>
    <w:tbl>
      <w:tblPr>
        <w:tblW w:w="100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58"/>
        <w:gridCol w:w="1915"/>
        <w:gridCol w:w="1915"/>
        <w:gridCol w:w="1915"/>
        <w:gridCol w:w="1916"/>
      </w:tblGrid>
      <w:tr w:rsidR="003F708D" w:rsidRPr="00EF513B" w:rsidTr="00AB4207">
        <w:tc>
          <w:tcPr>
            <w:tcW w:w="2358" w:type="dxa"/>
            <w:vAlign w:val="center"/>
          </w:tcPr>
          <w:p w:rsidR="003F708D" w:rsidRPr="00EF513B" w:rsidRDefault="003F708D" w:rsidP="00AB4207">
            <w:pPr>
              <w:spacing w:line="360" w:lineRule="auto"/>
              <w:jc w:val="center"/>
            </w:pPr>
            <w:r w:rsidRPr="00EF513B">
              <w:t>Date</w:t>
            </w:r>
          </w:p>
        </w:tc>
        <w:tc>
          <w:tcPr>
            <w:tcW w:w="1915" w:type="dxa"/>
            <w:vAlign w:val="center"/>
          </w:tcPr>
          <w:p w:rsidR="003F708D" w:rsidRPr="00EF513B" w:rsidRDefault="003F708D" w:rsidP="00AB4207">
            <w:pPr>
              <w:spacing w:line="360" w:lineRule="auto"/>
              <w:jc w:val="center"/>
            </w:pPr>
            <w:r w:rsidRPr="00EF513B">
              <w:t>Type of Agreement</w:t>
            </w:r>
          </w:p>
        </w:tc>
        <w:tc>
          <w:tcPr>
            <w:tcW w:w="1915" w:type="dxa"/>
            <w:vAlign w:val="center"/>
          </w:tcPr>
          <w:p w:rsidR="003F708D" w:rsidRPr="00EF513B" w:rsidRDefault="003F708D" w:rsidP="00AB4207">
            <w:pPr>
              <w:spacing w:line="360" w:lineRule="auto"/>
              <w:jc w:val="center"/>
            </w:pPr>
            <w:r w:rsidRPr="00EF513B">
              <w:t>Balance</w:t>
            </w:r>
          </w:p>
        </w:tc>
        <w:tc>
          <w:tcPr>
            <w:tcW w:w="1915" w:type="dxa"/>
            <w:vAlign w:val="center"/>
          </w:tcPr>
          <w:p w:rsidR="003F708D" w:rsidRPr="00EF513B" w:rsidRDefault="003F708D" w:rsidP="00AB4207">
            <w:pPr>
              <w:spacing w:line="360" w:lineRule="auto"/>
              <w:jc w:val="center"/>
            </w:pPr>
            <w:r w:rsidRPr="00EF513B">
              <w:t>Installment</w:t>
            </w:r>
          </w:p>
        </w:tc>
        <w:tc>
          <w:tcPr>
            <w:tcW w:w="1916" w:type="dxa"/>
            <w:vAlign w:val="center"/>
          </w:tcPr>
          <w:p w:rsidR="003F708D" w:rsidRPr="00EF513B" w:rsidRDefault="003F708D" w:rsidP="00AB4207">
            <w:pPr>
              <w:spacing w:line="360" w:lineRule="auto"/>
              <w:jc w:val="center"/>
            </w:pPr>
            <w:r w:rsidRPr="00EF513B">
              <w:t>Status</w:t>
            </w:r>
          </w:p>
        </w:tc>
      </w:tr>
      <w:tr w:rsidR="003F708D" w:rsidRPr="00EF513B" w:rsidTr="00AB4207">
        <w:tc>
          <w:tcPr>
            <w:tcW w:w="2358" w:type="dxa"/>
          </w:tcPr>
          <w:p w:rsidR="003F708D" w:rsidRPr="00AB4207" w:rsidRDefault="003F708D" w:rsidP="00723D73">
            <w:pPr>
              <w:spacing w:line="360" w:lineRule="auto"/>
              <w:rPr>
                <w:sz w:val="24"/>
                <w:szCs w:val="24"/>
              </w:rPr>
            </w:pPr>
            <w:r w:rsidRPr="00AB4207">
              <w:rPr>
                <w:sz w:val="24"/>
                <w:szCs w:val="24"/>
              </w:rPr>
              <w:t>December 15, 2008</w:t>
            </w:r>
          </w:p>
        </w:tc>
        <w:tc>
          <w:tcPr>
            <w:tcW w:w="1915" w:type="dxa"/>
          </w:tcPr>
          <w:p w:rsidR="003F708D" w:rsidRPr="00AB4207" w:rsidRDefault="00471FB7" w:rsidP="00723D73">
            <w:pPr>
              <w:spacing w:line="360" w:lineRule="auto"/>
              <w:rPr>
                <w:sz w:val="24"/>
                <w:szCs w:val="24"/>
              </w:rPr>
            </w:pPr>
            <w:r w:rsidRPr="00AB4207">
              <w:rPr>
                <w:sz w:val="24"/>
                <w:szCs w:val="24"/>
              </w:rPr>
              <w:t>BCS</w:t>
            </w:r>
            <w:r w:rsidR="003F708D" w:rsidRPr="00AB4207">
              <w:rPr>
                <w:sz w:val="24"/>
                <w:szCs w:val="24"/>
              </w:rPr>
              <w:t xml:space="preserve"> 2242098</w:t>
            </w:r>
          </w:p>
        </w:tc>
        <w:tc>
          <w:tcPr>
            <w:tcW w:w="1915" w:type="dxa"/>
          </w:tcPr>
          <w:p w:rsidR="003F708D" w:rsidRPr="00AB4207" w:rsidRDefault="003F708D" w:rsidP="00AB4207">
            <w:pPr>
              <w:spacing w:line="360" w:lineRule="auto"/>
              <w:jc w:val="center"/>
              <w:rPr>
                <w:sz w:val="24"/>
                <w:szCs w:val="24"/>
              </w:rPr>
            </w:pPr>
            <w:r w:rsidRPr="00AB4207">
              <w:rPr>
                <w:sz w:val="24"/>
                <w:szCs w:val="24"/>
              </w:rPr>
              <w:t>$10,954.73</w:t>
            </w:r>
          </w:p>
        </w:tc>
        <w:tc>
          <w:tcPr>
            <w:tcW w:w="1915" w:type="dxa"/>
          </w:tcPr>
          <w:p w:rsidR="003F708D" w:rsidRPr="00AB4207" w:rsidRDefault="003F708D" w:rsidP="00AB4207">
            <w:pPr>
              <w:spacing w:line="360" w:lineRule="auto"/>
              <w:jc w:val="center"/>
              <w:rPr>
                <w:sz w:val="24"/>
                <w:szCs w:val="24"/>
              </w:rPr>
            </w:pPr>
            <w:r w:rsidRPr="00AB4207">
              <w:rPr>
                <w:sz w:val="24"/>
                <w:szCs w:val="24"/>
              </w:rPr>
              <w:t>$457.00</w:t>
            </w:r>
          </w:p>
        </w:tc>
        <w:tc>
          <w:tcPr>
            <w:tcW w:w="1916" w:type="dxa"/>
          </w:tcPr>
          <w:p w:rsidR="003F708D" w:rsidRPr="00AB4207" w:rsidRDefault="003F708D" w:rsidP="00AB4207">
            <w:pPr>
              <w:spacing w:line="360" w:lineRule="auto"/>
              <w:jc w:val="center"/>
              <w:rPr>
                <w:sz w:val="24"/>
                <w:szCs w:val="24"/>
              </w:rPr>
            </w:pPr>
            <w:r w:rsidRPr="00AB4207">
              <w:rPr>
                <w:sz w:val="24"/>
                <w:szCs w:val="24"/>
              </w:rPr>
              <w:t>Not Kept</w:t>
            </w:r>
          </w:p>
        </w:tc>
      </w:tr>
      <w:tr w:rsidR="003F708D" w:rsidRPr="00EF513B" w:rsidTr="00AB4207">
        <w:tc>
          <w:tcPr>
            <w:tcW w:w="2358" w:type="dxa"/>
          </w:tcPr>
          <w:p w:rsidR="003F708D" w:rsidRPr="00AB4207" w:rsidRDefault="003F708D" w:rsidP="00723D73">
            <w:pPr>
              <w:spacing w:line="360" w:lineRule="auto"/>
              <w:rPr>
                <w:sz w:val="24"/>
                <w:szCs w:val="24"/>
              </w:rPr>
            </w:pPr>
            <w:r w:rsidRPr="00AB4207">
              <w:rPr>
                <w:sz w:val="24"/>
                <w:szCs w:val="24"/>
              </w:rPr>
              <w:t>September 16, 2006</w:t>
            </w:r>
          </w:p>
        </w:tc>
        <w:tc>
          <w:tcPr>
            <w:tcW w:w="1915" w:type="dxa"/>
          </w:tcPr>
          <w:p w:rsidR="003F708D" w:rsidRPr="00AB4207" w:rsidRDefault="003F708D" w:rsidP="00723D73">
            <w:pPr>
              <w:spacing w:line="360" w:lineRule="auto"/>
              <w:rPr>
                <w:sz w:val="24"/>
                <w:szCs w:val="24"/>
              </w:rPr>
            </w:pPr>
            <w:r w:rsidRPr="00AB4207">
              <w:rPr>
                <w:sz w:val="24"/>
                <w:szCs w:val="24"/>
              </w:rPr>
              <w:t>PAR (Level 2)</w:t>
            </w:r>
          </w:p>
        </w:tc>
        <w:tc>
          <w:tcPr>
            <w:tcW w:w="1915" w:type="dxa"/>
          </w:tcPr>
          <w:p w:rsidR="003F708D" w:rsidRPr="00AB4207" w:rsidRDefault="003F708D" w:rsidP="00AB4207">
            <w:pPr>
              <w:spacing w:line="360" w:lineRule="auto"/>
              <w:jc w:val="center"/>
              <w:rPr>
                <w:sz w:val="24"/>
                <w:szCs w:val="24"/>
              </w:rPr>
            </w:pPr>
            <w:r w:rsidRPr="00AB4207">
              <w:rPr>
                <w:sz w:val="24"/>
                <w:szCs w:val="24"/>
              </w:rPr>
              <w:t>$2,650.77</w:t>
            </w:r>
          </w:p>
        </w:tc>
        <w:tc>
          <w:tcPr>
            <w:tcW w:w="1915" w:type="dxa"/>
          </w:tcPr>
          <w:p w:rsidR="003F708D" w:rsidRPr="00AB4207" w:rsidRDefault="003F708D" w:rsidP="00AB4207">
            <w:pPr>
              <w:spacing w:line="360" w:lineRule="auto"/>
              <w:jc w:val="center"/>
              <w:rPr>
                <w:sz w:val="24"/>
                <w:szCs w:val="24"/>
              </w:rPr>
            </w:pPr>
            <w:r w:rsidRPr="00AB4207">
              <w:rPr>
                <w:sz w:val="24"/>
                <w:szCs w:val="24"/>
              </w:rPr>
              <w:t>$110.45</w:t>
            </w:r>
          </w:p>
        </w:tc>
        <w:tc>
          <w:tcPr>
            <w:tcW w:w="1916" w:type="dxa"/>
          </w:tcPr>
          <w:p w:rsidR="003F708D" w:rsidRPr="00AB4207" w:rsidRDefault="003F708D" w:rsidP="00AB4207">
            <w:pPr>
              <w:spacing w:line="360" w:lineRule="auto"/>
              <w:jc w:val="center"/>
              <w:rPr>
                <w:sz w:val="24"/>
                <w:szCs w:val="24"/>
              </w:rPr>
            </w:pPr>
            <w:r w:rsidRPr="00AB4207">
              <w:rPr>
                <w:sz w:val="24"/>
                <w:szCs w:val="24"/>
              </w:rPr>
              <w:t>Not Kept</w:t>
            </w:r>
          </w:p>
        </w:tc>
      </w:tr>
      <w:tr w:rsidR="003F708D" w:rsidRPr="00EF513B" w:rsidTr="00AB4207">
        <w:tc>
          <w:tcPr>
            <w:tcW w:w="2358" w:type="dxa"/>
          </w:tcPr>
          <w:p w:rsidR="003F708D" w:rsidRPr="00AB4207" w:rsidRDefault="003F708D" w:rsidP="00723D73">
            <w:pPr>
              <w:spacing w:line="360" w:lineRule="auto"/>
              <w:rPr>
                <w:sz w:val="24"/>
                <w:szCs w:val="24"/>
              </w:rPr>
            </w:pPr>
            <w:r w:rsidRPr="00AB4207">
              <w:rPr>
                <w:sz w:val="24"/>
                <w:szCs w:val="24"/>
              </w:rPr>
              <w:t>February 7, 2005</w:t>
            </w:r>
          </w:p>
        </w:tc>
        <w:tc>
          <w:tcPr>
            <w:tcW w:w="1915" w:type="dxa"/>
          </w:tcPr>
          <w:p w:rsidR="003F708D" w:rsidRPr="00AB4207" w:rsidRDefault="003F708D" w:rsidP="00723D73">
            <w:pPr>
              <w:spacing w:line="360" w:lineRule="auto"/>
              <w:rPr>
                <w:sz w:val="24"/>
                <w:szCs w:val="24"/>
              </w:rPr>
            </w:pPr>
            <w:r w:rsidRPr="00AB4207">
              <w:rPr>
                <w:sz w:val="24"/>
                <w:szCs w:val="24"/>
              </w:rPr>
              <w:t>PAR (Level 3)</w:t>
            </w:r>
          </w:p>
        </w:tc>
        <w:tc>
          <w:tcPr>
            <w:tcW w:w="1915" w:type="dxa"/>
          </w:tcPr>
          <w:p w:rsidR="003F708D" w:rsidRPr="00AB4207" w:rsidRDefault="003F708D" w:rsidP="00AB4207">
            <w:pPr>
              <w:spacing w:line="360" w:lineRule="auto"/>
              <w:jc w:val="center"/>
              <w:rPr>
                <w:sz w:val="24"/>
                <w:szCs w:val="24"/>
              </w:rPr>
            </w:pPr>
            <w:r w:rsidRPr="00AB4207">
              <w:rPr>
                <w:sz w:val="24"/>
                <w:szCs w:val="24"/>
              </w:rPr>
              <w:t>$783.60</w:t>
            </w:r>
          </w:p>
        </w:tc>
        <w:tc>
          <w:tcPr>
            <w:tcW w:w="1915" w:type="dxa"/>
          </w:tcPr>
          <w:p w:rsidR="003F708D" w:rsidRPr="00AB4207" w:rsidRDefault="003F708D" w:rsidP="00AB4207">
            <w:pPr>
              <w:spacing w:line="360" w:lineRule="auto"/>
              <w:jc w:val="center"/>
              <w:rPr>
                <w:sz w:val="24"/>
                <w:szCs w:val="24"/>
              </w:rPr>
            </w:pPr>
            <w:r w:rsidRPr="00AB4207">
              <w:rPr>
                <w:sz w:val="24"/>
                <w:szCs w:val="24"/>
              </w:rPr>
              <w:t>$100.00</w:t>
            </w:r>
          </w:p>
        </w:tc>
        <w:tc>
          <w:tcPr>
            <w:tcW w:w="1916" w:type="dxa"/>
          </w:tcPr>
          <w:p w:rsidR="003F708D" w:rsidRPr="00AB4207" w:rsidRDefault="003F708D" w:rsidP="00AB4207">
            <w:pPr>
              <w:spacing w:line="360" w:lineRule="auto"/>
              <w:jc w:val="center"/>
              <w:rPr>
                <w:sz w:val="24"/>
                <w:szCs w:val="24"/>
              </w:rPr>
            </w:pPr>
            <w:r w:rsidRPr="00AB4207">
              <w:rPr>
                <w:sz w:val="24"/>
                <w:szCs w:val="24"/>
              </w:rPr>
              <w:t>Not Kept</w:t>
            </w:r>
          </w:p>
        </w:tc>
      </w:tr>
      <w:tr w:rsidR="003F708D" w:rsidRPr="00EF513B" w:rsidTr="00AB4207">
        <w:tc>
          <w:tcPr>
            <w:tcW w:w="2358" w:type="dxa"/>
          </w:tcPr>
          <w:p w:rsidR="003F708D" w:rsidRPr="00EF513B" w:rsidRDefault="003F708D" w:rsidP="00723D73">
            <w:pPr>
              <w:spacing w:line="360" w:lineRule="auto"/>
            </w:pPr>
            <w:r w:rsidRPr="00EF513B">
              <w:t>March 25, 2003</w:t>
            </w:r>
          </w:p>
        </w:tc>
        <w:tc>
          <w:tcPr>
            <w:tcW w:w="1915" w:type="dxa"/>
          </w:tcPr>
          <w:p w:rsidR="003F708D" w:rsidRPr="00EF513B" w:rsidRDefault="003F708D" w:rsidP="00723D73">
            <w:pPr>
              <w:spacing w:line="360" w:lineRule="auto"/>
            </w:pPr>
            <w:r w:rsidRPr="00EF513B">
              <w:t>BCS 1328584</w:t>
            </w:r>
          </w:p>
        </w:tc>
        <w:tc>
          <w:tcPr>
            <w:tcW w:w="1915" w:type="dxa"/>
          </w:tcPr>
          <w:p w:rsidR="003F708D" w:rsidRPr="00EF513B" w:rsidRDefault="003F708D" w:rsidP="00AB4207">
            <w:pPr>
              <w:spacing w:line="360" w:lineRule="auto"/>
              <w:jc w:val="center"/>
            </w:pPr>
            <w:r w:rsidRPr="00EF513B">
              <w:t>$3,500.97</w:t>
            </w:r>
          </w:p>
        </w:tc>
        <w:tc>
          <w:tcPr>
            <w:tcW w:w="1915" w:type="dxa"/>
          </w:tcPr>
          <w:p w:rsidR="003F708D" w:rsidRPr="00EF513B" w:rsidRDefault="003F708D" w:rsidP="00AB4207">
            <w:pPr>
              <w:spacing w:line="360" w:lineRule="auto"/>
              <w:jc w:val="center"/>
            </w:pPr>
            <w:r w:rsidRPr="00EF513B">
              <w:t>$40.00</w:t>
            </w:r>
          </w:p>
        </w:tc>
        <w:tc>
          <w:tcPr>
            <w:tcW w:w="1916" w:type="dxa"/>
          </w:tcPr>
          <w:p w:rsidR="003F708D" w:rsidRPr="00EF513B" w:rsidRDefault="003F708D" w:rsidP="00AB4207">
            <w:pPr>
              <w:spacing w:line="360" w:lineRule="auto"/>
              <w:jc w:val="center"/>
            </w:pPr>
            <w:r w:rsidRPr="00EF513B">
              <w:t>Not Kept</w:t>
            </w:r>
          </w:p>
        </w:tc>
      </w:tr>
      <w:tr w:rsidR="003F708D" w:rsidRPr="00EF513B" w:rsidTr="00AB4207">
        <w:tc>
          <w:tcPr>
            <w:tcW w:w="2358" w:type="dxa"/>
          </w:tcPr>
          <w:p w:rsidR="003F708D" w:rsidRPr="00EF513B" w:rsidRDefault="003F708D" w:rsidP="00723D73">
            <w:pPr>
              <w:spacing w:line="360" w:lineRule="auto"/>
            </w:pPr>
            <w:r w:rsidRPr="00EF513B">
              <w:t>January 25, 2002</w:t>
            </w:r>
          </w:p>
        </w:tc>
        <w:tc>
          <w:tcPr>
            <w:tcW w:w="1915" w:type="dxa"/>
          </w:tcPr>
          <w:p w:rsidR="003F708D" w:rsidRPr="00EF513B" w:rsidRDefault="003F708D" w:rsidP="00723D73">
            <w:pPr>
              <w:spacing w:line="360" w:lineRule="auto"/>
            </w:pPr>
            <w:r w:rsidRPr="00EF513B">
              <w:t>BCS 1039497</w:t>
            </w:r>
          </w:p>
        </w:tc>
        <w:tc>
          <w:tcPr>
            <w:tcW w:w="1915" w:type="dxa"/>
          </w:tcPr>
          <w:p w:rsidR="003F708D" w:rsidRPr="00EF513B" w:rsidRDefault="003F708D" w:rsidP="00AB4207">
            <w:pPr>
              <w:spacing w:line="360" w:lineRule="auto"/>
              <w:jc w:val="center"/>
            </w:pPr>
            <w:r w:rsidRPr="00EF513B">
              <w:t>$2,585.96</w:t>
            </w:r>
          </w:p>
        </w:tc>
        <w:tc>
          <w:tcPr>
            <w:tcW w:w="1915" w:type="dxa"/>
          </w:tcPr>
          <w:p w:rsidR="003F708D" w:rsidRPr="00EF513B" w:rsidRDefault="003F708D" w:rsidP="00AB4207">
            <w:pPr>
              <w:spacing w:line="360" w:lineRule="auto"/>
              <w:jc w:val="center"/>
            </w:pPr>
            <w:r w:rsidRPr="00EF513B">
              <w:t>$15</w:t>
            </w:r>
            <w:r w:rsidR="004F7EE7" w:rsidRPr="00EF513B">
              <w:t>.</w:t>
            </w:r>
            <w:r w:rsidRPr="00EF513B">
              <w:t>00</w:t>
            </w:r>
          </w:p>
        </w:tc>
        <w:tc>
          <w:tcPr>
            <w:tcW w:w="1916" w:type="dxa"/>
          </w:tcPr>
          <w:p w:rsidR="003F708D" w:rsidRPr="00EF513B" w:rsidRDefault="003F708D" w:rsidP="00AB4207">
            <w:pPr>
              <w:spacing w:line="360" w:lineRule="auto"/>
              <w:jc w:val="center"/>
            </w:pPr>
            <w:r w:rsidRPr="00EF513B">
              <w:t>Not Kept</w:t>
            </w:r>
          </w:p>
        </w:tc>
      </w:tr>
    </w:tbl>
    <w:p w:rsidR="003F708D" w:rsidRPr="00EF513B" w:rsidRDefault="003F708D" w:rsidP="003F708D">
      <w:pPr>
        <w:spacing w:line="360" w:lineRule="auto"/>
        <w:ind w:firstLine="1440"/>
      </w:pPr>
    </w:p>
    <w:p w:rsidR="003F708D" w:rsidRDefault="003F708D" w:rsidP="009C561D">
      <w:pPr>
        <w:spacing w:line="360" w:lineRule="auto"/>
      </w:pPr>
      <w:r w:rsidRPr="00EF513B">
        <w:t>PECO Exhibit 2.</w:t>
      </w:r>
    </w:p>
    <w:p w:rsidR="00B80447" w:rsidRPr="00EF513B" w:rsidRDefault="00B80447" w:rsidP="009C561D">
      <w:pPr>
        <w:spacing w:line="360" w:lineRule="auto"/>
      </w:pPr>
    </w:p>
    <w:p w:rsidR="00E87E7C" w:rsidRPr="00EF513B" w:rsidRDefault="0076164F" w:rsidP="001368C6">
      <w:pPr>
        <w:spacing w:line="360" w:lineRule="auto"/>
        <w:ind w:firstLine="1440"/>
      </w:pPr>
      <w:r>
        <w:t>In his Initial Decision SA Alexander found that b</w:t>
      </w:r>
      <w:r w:rsidR="00F31C73" w:rsidRPr="00EF513B">
        <w:t xml:space="preserve">ecause this Complaint is not an appeal but a request for a </w:t>
      </w:r>
      <w:r w:rsidR="00381417" w:rsidRPr="00EF513B">
        <w:t xml:space="preserve">new </w:t>
      </w:r>
      <w:r w:rsidR="00F31C73" w:rsidRPr="00EF513B">
        <w:t xml:space="preserve">payment arrangement, </w:t>
      </w:r>
      <w:r w:rsidR="00A304B6" w:rsidRPr="00EF513B">
        <w:t xml:space="preserve">and because </w:t>
      </w:r>
      <w:r w:rsidR="00EC100C">
        <w:t xml:space="preserve">the </w:t>
      </w:r>
      <w:r w:rsidR="00A304B6" w:rsidRPr="00EF513B">
        <w:t xml:space="preserve">Complainant did not honor a past Commission issued payment arrangement, </w:t>
      </w:r>
      <w:r w:rsidR="00381417" w:rsidRPr="00EF513B">
        <w:t xml:space="preserve">provisions of </w:t>
      </w:r>
      <w:r w:rsidR="0027539B" w:rsidRPr="00EF513B">
        <w:t>Chapter 14</w:t>
      </w:r>
      <w:r w:rsidR="00381417" w:rsidRPr="00EF513B">
        <w:t xml:space="preserve"> </w:t>
      </w:r>
      <w:r w:rsidR="0027539B" w:rsidRPr="00EF513B">
        <w:t>appl</w:t>
      </w:r>
      <w:r w:rsidR="00381417" w:rsidRPr="00EF513B">
        <w:t>y</w:t>
      </w:r>
      <w:r w:rsidR="0027539B" w:rsidRPr="00EF513B">
        <w:t xml:space="preserve"> to this </w:t>
      </w:r>
      <w:r w:rsidR="00E55AAF">
        <w:t>Complaint</w:t>
      </w:r>
      <w:r w:rsidR="0027539B" w:rsidRPr="00EF513B">
        <w:t xml:space="preserve">.  </w:t>
      </w:r>
      <w:r w:rsidR="00E55AAF">
        <w:t>Ms. Nugent</w:t>
      </w:r>
      <w:r w:rsidR="00E87E7C" w:rsidRPr="00EF513B">
        <w:t xml:space="preserve"> testified that in 2008, she had a yearly gross household income of $80,000</w:t>
      </w:r>
      <w:r w:rsidR="0027539B" w:rsidRPr="00EF513B">
        <w:t xml:space="preserve">. </w:t>
      </w:r>
      <w:r w:rsidR="004F7EE7" w:rsidRPr="00EF513B">
        <w:t xml:space="preserve"> </w:t>
      </w:r>
      <w:r>
        <w:t xml:space="preserve">However, </w:t>
      </w:r>
      <w:r w:rsidR="00E55AAF">
        <w:t>Ms. Nugent</w:t>
      </w:r>
      <w:r w:rsidR="0027539B" w:rsidRPr="00EF513B">
        <w:t xml:space="preserve"> has </w:t>
      </w:r>
      <w:r w:rsidR="00832DF1" w:rsidRPr="00EF513B">
        <w:t xml:space="preserve">not </w:t>
      </w:r>
      <w:r w:rsidR="0027539B" w:rsidRPr="00EF513B">
        <w:t xml:space="preserve">experienced any change of income which would allow </w:t>
      </w:r>
      <w:r w:rsidR="00381417" w:rsidRPr="00EF513B">
        <w:t xml:space="preserve">for </w:t>
      </w:r>
      <w:r w:rsidR="0027539B" w:rsidRPr="00EF513B">
        <w:t>a new payment arrangement.</w:t>
      </w:r>
      <w:r>
        <w:t xml:space="preserve">  I.D. at 7.</w:t>
      </w:r>
      <w:r w:rsidR="0027539B" w:rsidRPr="00EF513B">
        <w:t xml:space="preserve">  </w:t>
      </w:r>
      <w:r w:rsidR="00462AFB">
        <w:t>66 Pa. C.S.</w:t>
      </w:r>
      <w:r w:rsidR="000D39D7" w:rsidRPr="00EF513B">
        <w:t xml:space="preserve"> § 1405(d</w:t>
      </w:r>
      <w:r w:rsidR="00443AE9" w:rsidRPr="00EF513B">
        <w:t xml:space="preserve">).  </w:t>
      </w:r>
      <w:r w:rsidR="002D07DE">
        <w:t>SA Alexander also found that b</w:t>
      </w:r>
      <w:r w:rsidR="00D53F95" w:rsidRPr="00EF513B">
        <w:t xml:space="preserve">ecause there is no proof of a change in income, </w:t>
      </w:r>
      <w:r w:rsidR="007842C6">
        <w:t xml:space="preserve">the </w:t>
      </w:r>
      <w:r w:rsidR="00D53F95" w:rsidRPr="00EF513B">
        <w:t xml:space="preserve">Complainant </w:t>
      </w:r>
      <w:r w:rsidR="007C6761" w:rsidRPr="00EF513B">
        <w:t>i</w:t>
      </w:r>
      <w:r w:rsidR="00D53F95" w:rsidRPr="00EF513B">
        <w:t xml:space="preserve">s not entitled to another payment arrangement.  </w:t>
      </w:r>
      <w:r w:rsidR="007842C6">
        <w:t xml:space="preserve">However, according to the SA the </w:t>
      </w:r>
      <w:r w:rsidR="00E87E7C" w:rsidRPr="00EF513B">
        <w:t xml:space="preserve">Complainant </w:t>
      </w:r>
      <w:r w:rsidR="00814365" w:rsidRPr="00EF513B">
        <w:t xml:space="preserve">is required to pay the amount determined in BCS Case No. </w:t>
      </w:r>
      <w:r w:rsidR="00FF7A28" w:rsidRPr="00EF513B">
        <w:t>2242082</w:t>
      </w:r>
      <w:r w:rsidR="00AF4437">
        <w:t xml:space="preserve"> which was established prior to the commencement of this proceeding</w:t>
      </w:r>
      <w:r w:rsidR="00814365" w:rsidRPr="00EF513B">
        <w:t>.</w:t>
      </w:r>
      <w:r w:rsidR="007842C6">
        <w:t xml:space="preserve">  I.D. at 7.</w:t>
      </w:r>
      <w:r w:rsidR="00814365" w:rsidRPr="00EF513B">
        <w:t xml:space="preserve">  </w:t>
      </w:r>
      <w:r w:rsidR="007842C6">
        <w:t xml:space="preserve">Accordingly, SA </w:t>
      </w:r>
      <w:r w:rsidR="00EC100C">
        <w:t xml:space="preserve">Alexander </w:t>
      </w:r>
      <w:r w:rsidR="00814365" w:rsidRPr="00EF513B">
        <w:t xml:space="preserve">directed </w:t>
      </w:r>
      <w:r w:rsidR="00B869CB">
        <w:t xml:space="preserve">Ms. Nugent </w:t>
      </w:r>
      <w:r w:rsidR="00EC100C">
        <w:t xml:space="preserve">to </w:t>
      </w:r>
      <w:r w:rsidR="00B869CB">
        <w:t>pay the</w:t>
      </w:r>
      <w:r w:rsidR="00814365" w:rsidRPr="00EF513B">
        <w:t xml:space="preserve"> </w:t>
      </w:r>
      <w:r w:rsidR="00880E07">
        <w:t>BCS-issued s</w:t>
      </w:r>
      <w:r w:rsidR="00814365" w:rsidRPr="00EF513B">
        <w:t xml:space="preserve">pecial budget amount of $886.00 per month which </w:t>
      </w:r>
      <w:r w:rsidR="004222E3" w:rsidRPr="00EF513B">
        <w:t xml:space="preserve">includes </w:t>
      </w:r>
      <w:r w:rsidR="00814365" w:rsidRPr="00EF513B">
        <w:t>$429.00 regular budget plus</w:t>
      </w:r>
      <w:r w:rsidR="00B869CB">
        <w:t xml:space="preserve"> $457.00 to pay toward her</w:t>
      </w:r>
      <w:r w:rsidR="007842C6">
        <w:t xml:space="preserve"> arrearage.  I.D. at 7.</w:t>
      </w:r>
    </w:p>
    <w:p w:rsidR="00E87E7C" w:rsidRPr="00EF513B" w:rsidRDefault="00E87E7C" w:rsidP="001368C6">
      <w:pPr>
        <w:spacing w:line="360" w:lineRule="auto"/>
        <w:ind w:firstLine="1440"/>
      </w:pPr>
    </w:p>
    <w:p w:rsidR="0061350D" w:rsidRDefault="00823841" w:rsidP="00823841">
      <w:pPr>
        <w:spacing w:line="360" w:lineRule="auto"/>
        <w:ind w:firstLine="1440"/>
      </w:pPr>
      <w:r>
        <w:t>While we</w:t>
      </w:r>
      <w:r w:rsidR="00F01CF4">
        <w:t xml:space="preserve"> agree with</w:t>
      </w:r>
      <w:r w:rsidR="0061350D">
        <w:t xml:space="preserve"> S</w:t>
      </w:r>
      <w:r w:rsidR="00EC100C">
        <w:t xml:space="preserve">A Alexander’s </w:t>
      </w:r>
      <w:r w:rsidR="0061350D">
        <w:t xml:space="preserve">findings, </w:t>
      </w:r>
      <w:r>
        <w:t>we</w:t>
      </w:r>
      <w:r w:rsidR="0061350D">
        <w:t xml:space="preserve"> believe he erred in ordering Ms. Nugent to adhere to the BCS-issued payment arrangement</w:t>
      </w:r>
      <w:r w:rsidR="00DD06AC">
        <w:t xml:space="preserve"> at Case No. 2242082</w:t>
      </w:r>
      <w:r w:rsidR="0061350D">
        <w:t>.</w:t>
      </w:r>
      <w:r w:rsidR="001F13AF">
        <w:t xml:space="preserve"> </w:t>
      </w:r>
      <w:r w:rsidR="0061350D">
        <w:t xml:space="preserve"> This Commission has held that</w:t>
      </w:r>
      <w:r w:rsidR="0061350D" w:rsidRPr="00BE7839">
        <w:t xml:space="preserve"> a customer that </w:t>
      </w:r>
      <w:r w:rsidR="0061350D" w:rsidRPr="00A93412">
        <w:rPr>
          <w:b/>
          <w:i/>
        </w:rPr>
        <w:t>timely</w:t>
      </w:r>
      <w:r w:rsidR="0061350D" w:rsidRPr="00BE7839">
        <w:t xml:space="preserve"> appeals a BCS decision is to pay current, undisputed amounts during the time the formal complaint is pending review.  A customer cannot be deemed in default of a </w:t>
      </w:r>
      <w:r w:rsidR="0061350D" w:rsidRPr="00A93412">
        <w:rPr>
          <w:b/>
          <w:i/>
        </w:rPr>
        <w:t>timely</w:t>
      </w:r>
      <w:r w:rsidR="0061350D" w:rsidRPr="00BE7839">
        <w:t xml:space="preserve"> appealed payment arrangement directed by a </w:t>
      </w:r>
      <w:smartTag w:uri="urn:schemas-microsoft-com:office:smarttags" w:element="stockticker">
        <w:r w:rsidR="0061350D" w:rsidRPr="00BE7839">
          <w:t>BCS</w:t>
        </w:r>
      </w:smartTag>
      <w:r w:rsidR="0061350D" w:rsidRPr="00BE7839">
        <w:t xml:space="preserve"> informal decision until the </w:t>
      </w:r>
      <w:r w:rsidR="006E5327">
        <w:t>f</w:t>
      </w:r>
      <w:r w:rsidR="0061350D" w:rsidRPr="00BE7839">
        <w:t xml:space="preserve">ormal </w:t>
      </w:r>
      <w:r w:rsidR="006E5327">
        <w:t>c</w:t>
      </w:r>
      <w:r w:rsidR="0061350D" w:rsidRPr="00BE7839">
        <w:t xml:space="preserve">omplaint on appeal is ultimately adjudicated and a final </w:t>
      </w:r>
      <w:r w:rsidR="006E5327">
        <w:t>o</w:t>
      </w:r>
      <w:r w:rsidR="0061350D" w:rsidRPr="00BE7839">
        <w:t xml:space="preserve">rder is issued by the Commission.  </w:t>
      </w:r>
      <w:r w:rsidR="0061350D" w:rsidRPr="00BE7839">
        <w:rPr>
          <w:i/>
        </w:rPr>
        <w:t>Kalamets v. Columbia Gas of PA, Inc.</w:t>
      </w:r>
      <w:r w:rsidR="0061350D" w:rsidRPr="00BE7839">
        <w:t>, Docket No.</w:t>
      </w:r>
      <w:r w:rsidR="0061350D">
        <w:t xml:space="preserve"> </w:t>
      </w:r>
      <w:r w:rsidR="0061350D" w:rsidRPr="00BE7839">
        <w:t xml:space="preserve">Z-01701441 (Order Entered October 14, 2005).  Here, </w:t>
      </w:r>
      <w:r w:rsidR="0061350D">
        <w:t xml:space="preserve">Ms. Nugent’s Complaint is an </w:t>
      </w:r>
      <w:r w:rsidR="0061350D">
        <w:rPr>
          <w:b/>
          <w:i/>
        </w:rPr>
        <w:t>untimely</w:t>
      </w:r>
      <w:r w:rsidR="0061350D">
        <w:t xml:space="preserve"> appeal of the BCS decision, and as such, the Complaint is not challenging the BCS decision but a request for a second, more favorable payment arrangement.</w:t>
      </w:r>
    </w:p>
    <w:p w:rsidR="0061350D" w:rsidRDefault="0061350D" w:rsidP="0061350D"/>
    <w:p w:rsidR="001368C6" w:rsidRDefault="0061350D" w:rsidP="0061350D">
      <w:pPr>
        <w:spacing w:line="360" w:lineRule="auto"/>
        <w:ind w:firstLine="1440"/>
      </w:pPr>
      <w:r>
        <w:t xml:space="preserve">Since Ms. Nugent defaulted on the BCS-issued payment arrangement </w:t>
      </w:r>
      <w:r w:rsidR="00FA3F0E">
        <w:t xml:space="preserve">at Case No. 2242082 </w:t>
      </w:r>
      <w:r>
        <w:t xml:space="preserve">and there is no evidence that she experienced a change in income, the </w:t>
      </w:r>
      <w:r>
        <w:lastRenderedPageBreak/>
        <w:t>Commission is prohibited from issuing a subsequent payment arrangement.  66 Pa. C.S. §</w:t>
      </w:r>
      <w:r w:rsidR="00F41D9E">
        <w:t> </w:t>
      </w:r>
      <w:r>
        <w:t xml:space="preserve">1405(d).  Accordingly, the complaint should be dismissed and the full balance considered </w:t>
      </w:r>
      <w:r w:rsidR="007F77CB">
        <w:t>being</w:t>
      </w:r>
      <w:r>
        <w:t xml:space="preserve"> due and payable</w:t>
      </w:r>
      <w:r w:rsidR="005763D4">
        <w:t>.</w:t>
      </w:r>
    </w:p>
    <w:p w:rsidR="005763D4" w:rsidRDefault="005763D4" w:rsidP="0061350D">
      <w:pPr>
        <w:spacing w:line="360" w:lineRule="auto"/>
        <w:ind w:firstLine="1440"/>
      </w:pPr>
    </w:p>
    <w:p w:rsidR="005763D4" w:rsidRPr="00F41D9E" w:rsidRDefault="005763D4" w:rsidP="005763D4">
      <w:pPr>
        <w:spacing w:line="360" w:lineRule="auto"/>
        <w:jc w:val="center"/>
        <w:rPr>
          <w:b/>
        </w:rPr>
      </w:pPr>
      <w:r w:rsidRPr="00F41D9E">
        <w:rPr>
          <w:b/>
        </w:rPr>
        <w:t>C</w:t>
      </w:r>
      <w:r w:rsidR="00F41D9E" w:rsidRPr="00F41D9E">
        <w:rPr>
          <w:b/>
        </w:rPr>
        <w:t>onclusion</w:t>
      </w:r>
    </w:p>
    <w:p w:rsidR="005763D4" w:rsidRDefault="005763D4" w:rsidP="005763D4">
      <w:pPr>
        <w:spacing w:line="360" w:lineRule="auto"/>
      </w:pPr>
    </w:p>
    <w:p w:rsidR="0037103D" w:rsidRPr="00EF513B" w:rsidRDefault="005763D4" w:rsidP="0037103D">
      <w:pPr>
        <w:spacing w:line="360" w:lineRule="auto"/>
        <w:ind w:firstLine="1440"/>
      </w:pPr>
      <w:r>
        <w:t xml:space="preserve">Based upon our review of the record established in this proceeding and the </w:t>
      </w:r>
      <w:r w:rsidR="007F77CB">
        <w:t>statutory</w:t>
      </w:r>
      <w:r>
        <w:t xml:space="preserve"> requirements of Chapter 14, we shall modify</w:t>
      </w:r>
      <w:r w:rsidR="003B1B0E">
        <w:t xml:space="preserve"> the Initial </w:t>
      </w:r>
      <w:r>
        <w:t>D</w:t>
      </w:r>
      <w:r w:rsidR="003B1B0E">
        <w:t>ecision</w:t>
      </w:r>
      <w:r>
        <w:t xml:space="preserve"> of S</w:t>
      </w:r>
      <w:r w:rsidR="00FD1093">
        <w:t xml:space="preserve">A </w:t>
      </w:r>
      <w:r>
        <w:t>Alexander consistent with this Opinion and Order</w:t>
      </w:r>
      <w:r w:rsidR="0000221C">
        <w:t xml:space="preserve">.  </w:t>
      </w:r>
      <w:r w:rsidR="0037103D" w:rsidRPr="0000221C">
        <w:rPr>
          <w:b/>
        </w:rPr>
        <w:t>THEREFORE,</w:t>
      </w:r>
    </w:p>
    <w:p w:rsidR="0037103D" w:rsidRPr="00EF513B" w:rsidRDefault="0037103D" w:rsidP="0037103D">
      <w:pPr>
        <w:spacing w:line="360" w:lineRule="auto"/>
        <w:ind w:firstLine="1440"/>
      </w:pPr>
    </w:p>
    <w:p w:rsidR="0037103D" w:rsidRPr="0000221C" w:rsidRDefault="0037103D" w:rsidP="0037103D">
      <w:pPr>
        <w:spacing w:line="360" w:lineRule="auto"/>
        <w:ind w:firstLine="1440"/>
        <w:outlineLvl w:val="0"/>
        <w:rPr>
          <w:b/>
        </w:rPr>
      </w:pPr>
      <w:r w:rsidRPr="0000221C">
        <w:rPr>
          <w:b/>
        </w:rPr>
        <w:t xml:space="preserve">IT IS ORDERED: </w:t>
      </w:r>
    </w:p>
    <w:p w:rsidR="00E005E7" w:rsidRDefault="00E005E7" w:rsidP="0037103D">
      <w:pPr>
        <w:spacing w:line="360" w:lineRule="auto"/>
        <w:ind w:firstLine="1440"/>
        <w:outlineLvl w:val="0"/>
      </w:pPr>
    </w:p>
    <w:p w:rsidR="00E005E7" w:rsidRPr="00EF513B" w:rsidRDefault="00E005E7" w:rsidP="0037103D">
      <w:pPr>
        <w:spacing w:line="360" w:lineRule="auto"/>
        <w:ind w:firstLine="1440"/>
        <w:outlineLvl w:val="0"/>
      </w:pPr>
      <w:r>
        <w:t>1.</w:t>
      </w:r>
      <w:r>
        <w:tab/>
        <w:t xml:space="preserve">That the Initial Decision of Special Agent David A. Alexander is modified consistent with this </w:t>
      </w:r>
      <w:r w:rsidR="003C2855">
        <w:t xml:space="preserve">Opinion and </w:t>
      </w:r>
      <w:r>
        <w:t>Order.</w:t>
      </w:r>
    </w:p>
    <w:p w:rsidR="0037103D" w:rsidRPr="00EF513B" w:rsidRDefault="0037103D" w:rsidP="0037103D">
      <w:pPr>
        <w:spacing w:line="360" w:lineRule="auto"/>
        <w:ind w:firstLine="1440"/>
      </w:pPr>
    </w:p>
    <w:p w:rsidR="0037103D" w:rsidRPr="00EF513B" w:rsidRDefault="00E005E7" w:rsidP="00E005E7">
      <w:pPr>
        <w:spacing w:line="360" w:lineRule="auto"/>
        <w:ind w:firstLine="1440"/>
      </w:pPr>
      <w:r>
        <w:t>2.</w:t>
      </w:r>
      <w:r>
        <w:tab/>
      </w:r>
      <w:r w:rsidR="0037103D" w:rsidRPr="00EF513B">
        <w:t xml:space="preserve">That the </w:t>
      </w:r>
      <w:r w:rsidR="00FD1093">
        <w:t>Formal C</w:t>
      </w:r>
      <w:r w:rsidR="0037103D" w:rsidRPr="00EF513B">
        <w:t xml:space="preserve">omplaint of Linda Nugent against PECO Energy Company at Docket No. C-2009-2096243 is dismissed. </w:t>
      </w:r>
    </w:p>
    <w:p w:rsidR="00832DF1" w:rsidRPr="00EF513B" w:rsidRDefault="00832DF1" w:rsidP="0037103D">
      <w:pPr>
        <w:spacing w:line="360" w:lineRule="auto"/>
        <w:ind w:firstLine="1440"/>
      </w:pPr>
    </w:p>
    <w:p w:rsidR="0037103D" w:rsidRPr="00EF513B" w:rsidRDefault="003C2855" w:rsidP="0037103D">
      <w:pPr>
        <w:spacing w:line="360" w:lineRule="auto"/>
        <w:ind w:firstLine="1440"/>
      </w:pPr>
      <w:r>
        <w:t>3</w:t>
      </w:r>
      <w:r w:rsidR="0037103D" w:rsidRPr="00EF513B">
        <w:t>.</w:t>
      </w:r>
      <w:r w:rsidR="0037103D" w:rsidRPr="00EF513B">
        <w:tab/>
        <w:t xml:space="preserve">That PECO Energy Company is authorized to suspend or terminate </w:t>
      </w:r>
      <w:r w:rsidR="006D23E2">
        <w:t>the Complainant’s</w:t>
      </w:r>
      <w:r w:rsidR="0037103D" w:rsidRPr="00EF513B">
        <w:t xml:space="preserve"> utility service in accordance with the Commission’s statute and regulations.</w:t>
      </w:r>
    </w:p>
    <w:p w:rsidR="0037103D" w:rsidRPr="00EF513B" w:rsidRDefault="0037103D" w:rsidP="0037103D">
      <w:pPr>
        <w:spacing w:line="360" w:lineRule="auto"/>
        <w:ind w:firstLine="1440"/>
      </w:pPr>
    </w:p>
    <w:p w:rsidR="00FD1093" w:rsidRDefault="00FD1093">
      <w:r>
        <w:br w:type="page"/>
      </w:r>
    </w:p>
    <w:p w:rsidR="0037103D" w:rsidRDefault="003C2855" w:rsidP="0037103D">
      <w:pPr>
        <w:spacing w:line="360" w:lineRule="auto"/>
        <w:ind w:firstLine="1440"/>
      </w:pPr>
      <w:r>
        <w:lastRenderedPageBreak/>
        <w:t>4</w:t>
      </w:r>
      <w:r w:rsidR="0037103D" w:rsidRPr="00EF513B">
        <w:t>.</w:t>
      </w:r>
      <w:r w:rsidR="0037103D" w:rsidRPr="00EF513B">
        <w:tab/>
        <w:t>That the record at Docket No. C-2009-2096243 is marked closed.</w:t>
      </w:r>
    </w:p>
    <w:p w:rsidR="00EE759C" w:rsidRDefault="00EE759C" w:rsidP="0037103D">
      <w:pPr>
        <w:spacing w:line="360" w:lineRule="auto"/>
        <w:ind w:firstLine="1440"/>
      </w:pPr>
    </w:p>
    <w:p w:rsidR="003C2855" w:rsidRDefault="00720CC8" w:rsidP="0037103D">
      <w:pPr>
        <w:spacing w:line="360" w:lineRule="auto"/>
        <w:ind w:firstLine="1440"/>
      </w:pPr>
      <w:r>
        <w:rPr>
          <w:noProof/>
        </w:rPr>
        <w:drawing>
          <wp:anchor distT="0" distB="0" distL="114300" distR="114300" simplePos="0" relativeHeight="251659264" behindDoc="1" locked="0" layoutInCell="1" allowOverlap="1">
            <wp:simplePos x="0" y="0"/>
            <wp:positionH relativeFrom="column">
              <wp:posOffset>3124200</wp:posOffset>
            </wp:positionH>
            <wp:positionV relativeFrom="paragraph">
              <wp:posOffset>258445</wp:posOffset>
            </wp:positionV>
            <wp:extent cx="2211705" cy="836295"/>
            <wp:effectExtent l="19050" t="0" r="0" b="0"/>
            <wp:wrapNone/>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11705" cy="836295"/>
                    </a:xfrm>
                    <a:prstGeom prst="rect">
                      <a:avLst/>
                    </a:prstGeom>
                    <a:noFill/>
                    <a:ln w="9525">
                      <a:noFill/>
                      <a:miter lim="800000"/>
                      <a:headEnd/>
                      <a:tailEnd/>
                    </a:ln>
                  </pic:spPr>
                </pic:pic>
              </a:graphicData>
            </a:graphic>
          </wp:anchor>
        </w:drawing>
      </w:r>
    </w:p>
    <w:p w:rsidR="00EE759C" w:rsidRPr="008004C1" w:rsidRDefault="00EE759C" w:rsidP="003C2855">
      <w:pPr>
        <w:pStyle w:val="BodyText"/>
        <w:tabs>
          <w:tab w:val="clear" w:pos="-720"/>
          <w:tab w:val="clear" w:pos="0"/>
          <w:tab w:val="clear" w:pos="720"/>
          <w:tab w:val="clear" w:pos="1440"/>
        </w:tabs>
        <w:ind w:firstLine="5400"/>
      </w:pPr>
      <w:r w:rsidRPr="008004C1">
        <w:rPr>
          <w:b/>
        </w:rPr>
        <w:t>BY THE COMMISSION</w:t>
      </w:r>
      <w:r w:rsidRPr="008004C1">
        <w:t>,</w:t>
      </w:r>
    </w:p>
    <w:p w:rsidR="00EE759C" w:rsidRPr="008004C1" w:rsidRDefault="00EE759C" w:rsidP="00EE759C">
      <w:pPr>
        <w:tabs>
          <w:tab w:val="left" w:pos="4320"/>
        </w:tabs>
      </w:pPr>
    </w:p>
    <w:p w:rsidR="00EE759C" w:rsidRPr="008004C1" w:rsidRDefault="00EE759C" w:rsidP="00EE759C">
      <w:pPr>
        <w:tabs>
          <w:tab w:val="left" w:pos="4320"/>
        </w:tabs>
      </w:pPr>
    </w:p>
    <w:p w:rsidR="00EE759C" w:rsidRPr="008004C1" w:rsidRDefault="00643871" w:rsidP="00EE759C">
      <w:pPr>
        <w:ind w:firstLine="5400"/>
      </w:pPr>
      <w:r>
        <w:t>Rosemary Chiavetta</w:t>
      </w:r>
    </w:p>
    <w:p w:rsidR="00EE759C" w:rsidRDefault="00EE759C" w:rsidP="003C2855">
      <w:pPr>
        <w:ind w:firstLine="5400"/>
      </w:pPr>
      <w:r w:rsidRPr="008004C1">
        <w:t>Secretary</w:t>
      </w:r>
    </w:p>
    <w:p w:rsidR="00EE759C" w:rsidRDefault="00EE759C" w:rsidP="00EE759C">
      <w:pPr>
        <w:tabs>
          <w:tab w:val="left" w:pos="4320"/>
        </w:tabs>
      </w:pPr>
    </w:p>
    <w:p w:rsidR="00EE759C" w:rsidRPr="008004C1" w:rsidRDefault="00EE759C" w:rsidP="00EE759C">
      <w:pPr>
        <w:tabs>
          <w:tab w:val="left" w:pos="4320"/>
        </w:tabs>
      </w:pPr>
    </w:p>
    <w:p w:rsidR="00EE759C" w:rsidRPr="008004C1" w:rsidRDefault="00EE759C" w:rsidP="00EE759C">
      <w:pPr>
        <w:tabs>
          <w:tab w:val="left" w:pos="4320"/>
        </w:tabs>
      </w:pPr>
      <w:r w:rsidRPr="008004C1">
        <w:t>(SEAL)</w:t>
      </w:r>
    </w:p>
    <w:p w:rsidR="00EE759C" w:rsidRDefault="00EE759C" w:rsidP="00EE759C">
      <w:pPr>
        <w:tabs>
          <w:tab w:val="left" w:pos="4320"/>
        </w:tabs>
      </w:pPr>
    </w:p>
    <w:p w:rsidR="00EE759C" w:rsidRPr="008004C1" w:rsidRDefault="00EE759C" w:rsidP="00EE759C">
      <w:pPr>
        <w:tabs>
          <w:tab w:val="left" w:pos="4320"/>
        </w:tabs>
      </w:pPr>
      <w:r w:rsidRPr="008004C1">
        <w:t xml:space="preserve">ORDER ADOPTED: </w:t>
      </w:r>
      <w:r>
        <w:t>March 25, 2010</w:t>
      </w:r>
    </w:p>
    <w:p w:rsidR="00EE759C" w:rsidRPr="008004C1" w:rsidRDefault="00EE759C" w:rsidP="00EE759C">
      <w:pPr>
        <w:tabs>
          <w:tab w:val="left" w:pos="4320"/>
        </w:tabs>
      </w:pPr>
    </w:p>
    <w:p w:rsidR="00EE759C" w:rsidRPr="00720CC8" w:rsidRDefault="00EE759C" w:rsidP="00EE759C">
      <w:pPr>
        <w:tabs>
          <w:tab w:val="left" w:pos="4320"/>
        </w:tabs>
        <w:rPr>
          <w:b/>
        </w:rPr>
      </w:pPr>
      <w:r>
        <w:t>ORDER ENTERED:</w:t>
      </w:r>
      <w:r w:rsidR="00720CC8">
        <w:t xml:space="preserve">  </w:t>
      </w:r>
      <w:r w:rsidR="00720CC8" w:rsidRPr="00720CC8">
        <w:rPr>
          <w:b/>
        </w:rPr>
        <w:t>April 26, 2010</w:t>
      </w:r>
    </w:p>
    <w:sectPr w:rsidR="00EE759C" w:rsidRPr="00720CC8" w:rsidSect="00665F43">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23A6" w:rsidRDefault="00CF23A6" w:rsidP="0037103D">
      <w:r>
        <w:separator/>
      </w:r>
    </w:p>
  </w:endnote>
  <w:endnote w:type="continuationSeparator" w:id="0">
    <w:p w:rsidR="00CF23A6" w:rsidRDefault="00CF23A6" w:rsidP="003710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New (W1)">
    <w:altName w:val="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574" w:rsidRDefault="00841960" w:rsidP="00970574">
    <w:pPr>
      <w:pStyle w:val="Footer"/>
      <w:framePr w:wrap="around" w:vAnchor="text" w:hAnchor="margin" w:xAlign="center" w:y="1"/>
      <w:rPr>
        <w:rStyle w:val="PageNumber"/>
      </w:rPr>
    </w:pPr>
    <w:r>
      <w:rPr>
        <w:rStyle w:val="PageNumber"/>
      </w:rPr>
      <w:fldChar w:fldCharType="begin"/>
    </w:r>
    <w:r w:rsidR="00970574">
      <w:rPr>
        <w:rStyle w:val="PageNumber"/>
      </w:rPr>
      <w:instrText xml:space="preserve">PAGE  </w:instrText>
    </w:r>
    <w:r>
      <w:rPr>
        <w:rStyle w:val="PageNumber"/>
      </w:rPr>
      <w:fldChar w:fldCharType="end"/>
    </w:r>
  </w:p>
  <w:p w:rsidR="00970574" w:rsidRDefault="0097057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574" w:rsidRPr="00D521F9" w:rsidRDefault="00841960" w:rsidP="00970574">
    <w:pPr>
      <w:pStyle w:val="Footer"/>
      <w:framePr w:wrap="around" w:vAnchor="text" w:hAnchor="margin" w:xAlign="center" w:y="1"/>
      <w:rPr>
        <w:rStyle w:val="PageNumber"/>
        <w:sz w:val="20"/>
        <w:szCs w:val="20"/>
      </w:rPr>
    </w:pPr>
    <w:r w:rsidRPr="00D521F9">
      <w:rPr>
        <w:rStyle w:val="PageNumber"/>
        <w:sz w:val="20"/>
        <w:szCs w:val="20"/>
      </w:rPr>
      <w:fldChar w:fldCharType="begin"/>
    </w:r>
    <w:r w:rsidR="00970574" w:rsidRPr="00D521F9">
      <w:rPr>
        <w:rStyle w:val="PageNumber"/>
        <w:sz w:val="20"/>
        <w:szCs w:val="20"/>
      </w:rPr>
      <w:instrText xml:space="preserve">PAGE  </w:instrText>
    </w:r>
    <w:r w:rsidRPr="00D521F9">
      <w:rPr>
        <w:rStyle w:val="PageNumber"/>
        <w:sz w:val="20"/>
        <w:szCs w:val="20"/>
      </w:rPr>
      <w:fldChar w:fldCharType="separate"/>
    </w:r>
    <w:r w:rsidR="00720CC8">
      <w:rPr>
        <w:rStyle w:val="PageNumber"/>
        <w:noProof/>
        <w:sz w:val="20"/>
        <w:szCs w:val="20"/>
      </w:rPr>
      <w:t>8</w:t>
    </w:r>
    <w:r w:rsidRPr="00D521F9">
      <w:rPr>
        <w:rStyle w:val="PageNumber"/>
        <w:sz w:val="20"/>
        <w:szCs w:val="20"/>
      </w:rPr>
      <w:fldChar w:fldCharType="end"/>
    </w:r>
  </w:p>
  <w:p w:rsidR="00970574" w:rsidRPr="00D521F9" w:rsidRDefault="00970574">
    <w:pPr>
      <w:pStyle w:val="Footer"/>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23A6" w:rsidRDefault="00CF23A6" w:rsidP="0037103D">
      <w:r>
        <w:separator/>
      </w:r>
    </w:p>
  </w:footnote>
  <w:footnote w:type="continuationSeparator" w:id="0">
    <w:p w:rsidR="00CF23A6" w:rsidRDefault="00CF23A6" w:rsidP="0037103D">
      <w:r>
        <w:continuationSeparator/>
      </w:r>
    </w:p>
  </w:footnote>
  <w:footnote w:id="1">
    <w:p w:rsidR="00A838CE" w:rsidRPr="003F5D2A" w:rsidRDefault="003F5D2A">
      <w:pPr>
        <w:pStyle w:val="FootnoteText"/>
        <w:rPr>
          <w:sz w:val="26"/>
          <w:szCs w:val="26"/>
        </w:rPr>
      </w:pPr>
      <w:r>
        <w:rPr>
          <w:sz w:val="26"/>
          <w:szCs w:val="26"/>
        </w:rPr>
        <w:tab/>
      </w:r>
      <w:r w:rsidR="00A838CE" w:rsidRPr="003F5D2A">
        <w:rPr>
          <w:rStyle w:val="FootnoteReference"/>
          <w:sz w:val="26"/>
          <w:szCs w:val="26"/>
        </w:rPr>
        <w:footnoteRef/>
      </w:r>
      <w:r>
        <w:rPr>
          <w:sz w:val="26"/>
          <w:szCs w:val="26"/>
        </w:rPr>
        <w:tab/>
      </w:r>
      <w:r w:rsidR="00A838CE" w:rsidRPr="003F5D2A">
        <w:rPr>
          <w:sz w:val="26"/>
          <w:szCs w:val="26"/>
        </w:rPr>
        <w:t>A tape recording of the hearing was made, no court reporter was present.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C5E741E"/>
    <w:multiLevelType w:val="hybridMultilevel"/>
    <w:tmpl w:val="4DA06622"/>
    <w:lvl w:ilvl="0" w:tplc="771CCFD8">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1"/>
    <w:footnote w:id="0"/>
  </w:footnotePr>
  <w:endnotePr>
    <w:endnote w:id="-1"/>
    <w:endnote w:id="0"/>
  </w:endnotePr>
  <w:compat/>
  <w:rsids>
    <w:rsidRoot w:val="0037103D"/>
    <w:rsid w:val="0000221C"/>
    <w:rsid w:val="00007A1F"/>
    <w:rsid w:val="00016725"/>
    <w:rsid w:val="0002440D"/>
    <w:rsid w:val="00027DB5"/>
    <w:rsid w:val="00042B57"/>
    <w:rsid w:val="00043F7D"/>
    <w:rsid w:val="000545ED"/>
    <w:rsid w:val="00066E04"/>
    <w:rsid w:val="000749D9"/>
    <w:rsid w:val="00077423"/>
    <w:rsid w:val="00083DAD"/>
    <w:rsid w:val="00086F50"/>
    <w:rsid w:val="00087EC1"/>
    <w:rsid w:val="00092F3E"/>
    <w:rsid w:val="000A22F7"/>
    <w:rsid w:val="000A277F"/>
    <w:rsid w:val="000A50AE"/>
    <w:rsid w:val="000B466C"/>
    <w:rsid w:val="000B5361"/>
    <w:rsid w:val="000D39D7"/>
    <w:rsid w:val="000D4EC0"/>
    <w:rsid w:val="000E1968"/>
    <w:rsid w:val="000E6414"/>
    <w:rsid w:val="000F6FF7"/>
    <w:rsid w:val="00100176"/>
    <w:rsid w:val="001071B6"/>
    <w:rsid w:val="00126282"/>
    <w:rsid w:val="00131E15"/>
    <w:rsid w:val="001368C6"/>
    <w:rsid w:val="0014095A"/>
    <w:rsid w:val="001446FE"/>
    <w:rsid w:val="001470A8"/>
    <w:rsid w:val="00152B85"/>
    <w:rsid w:val="00156933"/>
    <w:rsid w:val="00172C95"/>
    <w:rsid w:val="0017674C"/>
    <w:rsid w:val="00177E70"/>
    <w:rsid w:val="00186B3D"/>
    <w:rsid w:val="001A2A97"/>
    <w:rsid w:val="001C0383"/>
    <w:rsid w:val="001C3014"/>
    <w:rsid w:val="001E31DC"/>
    <w:rsid w:val="001E3FCA"/>
    <w:rsid w:val="001E506D"/>
    <w:rsid w:val="001F13AF"/>
    <w:rsid w:val="00200411"/>
    <w:rsid w:val="0020346F"/>
    <w:rsid w:val="00234946"/>
    <w:rsid w:val="002365AB"/>
    <w:rsid w:val="00236661"/>
    <w:rsid w:val="00245341"/>
    <w:rsid w:val="00247910"/>
    <w:rsid w:val="00250EEF"/>
    <w:rsid w:val="00252607"/>
    <w:rsid w:val="00256AAC"/>
    <w:rsid w:val="002744CD"/>
    <w:rsid w:val="0027539B"/>
    <w:rsid w:val="00284150"/>
    <w:rsid w:val="002921AF"/>
    <w:rsid w:val="00297211"/>
    <w:rsid w:val="002A0263"/>
    <w:rsid w:val="002B0ECA"/>
    <w:rsid w:val="002B6ED4"/>
    <w:rsid w:val="002C0D15"/>
    <w:rsid w:val="002D023E"/>
    <w:rsid w:val="002D07DE"/>
    <w:rsid w:val="002E1021"/>
    <w:rsid w:val="002E655E"/>
    <w:rsid w:val="0030326F"/>
    <w:rsid w:val="003116CA"/>
    <w:rsid w:val="00315473"/>
    <w:rsid w:val="00315910"/>
    <w:rsid w:val="003167E4"/>
    <w:rsid w:val="00330C68"/>
    <w:rsid w:val="003338DC"/>
    <w:rsid w:val="003544E9"/>
    <w:rsid w:val="0037103D"/>
    <w:rsid w:val="00375AF3"/>
    <w:rsid w:val="003762F0"/>
    <w:rsid w:val="00381417"/>
    <w:rsid w:val="0038645C"/>
    <w:rsid w:val="00387FE5"/>
    <w:rsid w:val="00394B97"/>
    <w:rsid w:val="003B0362"/>
    <w:rsid w:val="003B1B0E"/>
    <w:rsid w:val="003C2855"/>
    <w:rsid w:val="003C58CA"/>
    <w:rsid w:val="003D5CAA"/>
    <w:rsid w:val="003E31CF"/>
    <w:rsid w:val="003F5D2A"/>
    <w:rsid w:val="003F708D"/>
    <w:rsid w:val="0040235A"/>
    <w:rsid w:val="004222E3"/>
    <w:rsid w:val="004263CC"/>
    <w:rsid w:val="004359F9"/>
    <w:rsid w:val="00443AE9"/>
    <w:rsid w:val="00443FFF"/>
    <w:rsid w:val="004500C9"/>
    <w:rsid w:val="004505EE"/>
    <w:rsid w:val="00454DE3"/>
    <w:rsid w:val="00462AFB"/>
    <w:rsid w:val="00471FB7"/>
    <w:rsid w:val="004775E5"/>
    <w:rsid w:val="004848F8"/>
    <w:rsid w:val="00496B1C"/>
    <w:rsid w:val="004A07FA"/>
    <w:rsid w:val="004A5347"/>
    <w:rsid w:val="004A596B"/>
    <w:rsid w:val="004A6954"/>
    <w:rsid w:val="004B5DAB"/>
    <w:rsid w:val="004D0BB4"/>
    <w:rsid w:val="004E016F"/>
    <w:rsid w:val="004E465D"/>
    <w:rsid w:val="004F4388"/>
    <w:rsid w:val="004F7EE7"/>
    <w:rsid w:val="00505E72"/>
    <w:rsid w:val="0052099F"/>
    <w:rsid w:val="0052447B"/>
    <w:rsid w:val="00525C5B"/>
    <w:rsid w:val="00526E08"/>
    <w:rsid w:val="00543C5C"/>
    <w:rsid w:val="00553733"/>
    <w:rsid w:val="005566C1"/>
    <w:rsid w:val="0057631D"/>
    <w:rsid w:val="005763D4"/>
    <w:rsid w:val="005814BA"/>
    <w:rsid w:val="005A0D68"/>
    <w:rsid w:val="005A31D0"/>
    <w:rsid w:val="005B08D4"/>
    <w:rsid w:val="005B12B0"/>
    <w:rsid w:val="005B2AEA"/>
    <w:rsid w:val="005B3B0F"/>
    <w:rsid w:val="005B40E1"/>
    <w:rsid w:val="005C5F90"/>
    <w:rsid w:val="005C6575"/>
    <w:rsid w:val="005D21AA"/>
    <w:rsid w:val="005D5CB0"/>
    <w:rsid w:val="005E77A3"/>
    <w:rsid w:val="00600D0B"/>
    <w:rsid w:val="00601537"/>
    <w:rsid w:val="0061350D"/>
    <w:rsid w:val="00624947"/>
    <w:rsid w:val="00633C68"/>
    <w:rsid w:val="00643871"/>
    <w:rsid w:val="00665F43"/>
    <w:rsid w:val="00667DFD"/>
    <w:rsid w:val="006762DA"/>
    <w:rsid w:val="00694D6A"/>
    <w:rsid w:val="00697FB3"/>
    <w:rsid w:val="006A38F1"/>
    <w:rsid w:val="006B5C8A"/>
    <w:rsid w:val="006B5D58"/>
    <w:rsid w:val="006B5EBE"/>
    <w:rsid w:val="006B71DE"/>
    <w:rsid w:val="006C7954"/>
    <w:rsid w:val="006D23E2"/>
    <w:rsid w:val="006D2E6E"/>
    <w:rsid w:val="006D54F5"/>
    <w:rsid w:val="006E1674"/>
    <w:rsid w:val="006E2576"/>
    <w:rsid w:val="006E5327"/>
    <w:rsid w:val="00711A67"/>
    <w:rsid w:val="007147D6"/>
    <w:rsid w:val="00714805"/>
    <w:rsid w:val="007207BF"/>
    <w:rsid w:val="00720CC8"/>
    <w:rsid w:val="007225A1"/>
    <w:rsid w:val="00723D73"/>
    <w:rsid w:val="00745600"/>
    <w:rsid w:val="007476CB"/>
    <w:rsid w:val="0076164F"/>
    <w:rsid w:val="00764273"/>
    <w:rsid w:val="00765094"/>
    <w:rsid w:val="007737ED"/>
    <w:rsid w:val="00780093"/>
    <w:rsid w:val="00782AC6"/>
    <w:rsid w:val="007842C6"/>
    <w:rsid w:val="00790D57"/>
    <w:rsid w:val="007A5490"/>
    <w:rsid w:val="007B01EF"/>
    <w:rsid w:val="007B6C4C"/>
    <w:rsid w:val="007C6761"/>
    <w:rsid w:val="007C6FAF"/>
    <w:rsid w:val="007F77CB"/>
    <w:rsid w:val="007F7AAA"/>
    <w:rsid w:val="00803299"/>
    <w:rsid w:val="00804B22"/>
    <w:rsid w:val="00807240"/>
    <w:rsid w:val="008114F5"/>
    <w:rsid w:val="00814365"/>
    <w:rsid w:val="00815B61"/>
    <w:rsid w:val="00823841"/>
    <w:rsid w:val="00832DF1"/>
    <w:rsid w:val="008378DE"/>
    <w:rsid w:val="00841960"/>
    <w:rsid w:val="00852514"/>
    <w:rsid w:val="0086264D"/>
    <w:rsid w:val="00864AFA"/>
    <w:rsid w:val="00865B8C"/>
    <w:rsid w:val="00880268"/>
    <w:rsid w:val="00880E07"/>
    <w:rsid w:val="008873BB"/>
    <w:rsid w:val="0089215F"/>
    <w:rsid w:val="00897ED1"/>
    <w:rsid w:val="008A464D"/>
    <w:rsid w:val="008A6AC2"/>
    <w:rsid w:val="008B4695"/>
    <w:rsid w:val="008C0D63"/>
    <w:rsid w:val="008C12E4"/>
    <w:rsid w:val="008C247C"/>
    <w:rsid w:val="008D1B1C"/>
    <w:rsid w:val="008E4941"/>
    <w:rsid w:val="008E5A05"/>
    <w:rsid w:val="008F5851"/>
    <w:rsid w:val="009007B3"/>
    <w:rsid w:val="009055FB"/>
    <w:rsid w:val="0091039F"/>
    <w:rsid w:val="00916D91"/>
    <w:rsid w:val="00924BE7"/>
    <w:rsid w:val="00930190"/>
    <w:rsid w:val="00933A9A"/>
    <w:rsid w:val="0094745A"/>
    <w:rsid w:val="00950E66"/>
    <w:rsid w:val="00952CBE"/>
    <w:rsid w:val="00956D67"/>
    <w:rsid w:val="00964285"/>
    <w:rsid w:val="00970574"/>
    <w:rsid w:val="00974EB9"/>
    <w:rsid w:val="009821D9"/>
    <w:rsid w:val="009864CB"/>
    <w:rsid w:val="009879E5"/>
    <w:rsid w:val="009912C9"/>
    <w:rsid w:val="009B1609"/>
    <w:rsid w:val="009B55FD"/>
    <w:rsid w:val="009C561D"/>
    <w:rsid w:val="009D261C"/>
    <w:rsid w:val="009D6DB7"/>
    <w:rsid w:val="009E5001"/>
    <w:rsid w:val="009E5345"/>
    <w:rsid w:val="009F66F1"/>
    <w:rsid w:val="00A1151A"/>
    <w:rsid w:val="00A229A7"/>
    <w:rsid w:val="00A24147"/>
    <w:rsid w:val="00A304B6"/>
    <w:rsid w:val="00A460F2"/>
    <w:rsid w:val="00A6270A"/>
    <w:rsid w:val="00A65616"/>
    <w:rsid w:val="00A70B32"/>
    <w:rsid w:val="00A725CE"/>
    <w:rsid w:val="00A838CE"/>
    <w:rsid w:val="00A9009A"/>
    <w:rsid w:val="00AB0C21"/>
    <w:rsid w:val="00AB4207"/>
    <w:rsid w:val="00AF4437"/>
    <w:rsid w:val="00B03757"/>
    <w:rsid w:val="00B05767"/>
    <w:rsid w:val="00B20BA1"/>
    <w:rsid w:val="00B437E3"/>
    <w:rsid w:val="00B46F17"/>
    <w:rsid w:val="00B552D4"/>
    <w:rsid w:val="00B80447"/>
    <w:rsid w:val="00B869CB"/>
    <w:rsid w:val="00B9601C"/>
    <w:rsid w:val="00BB4BDA"/>
    <w:rsid w:val="00BE7D22"/>
    <w:rsid w:val="00BF0F73"/>
    <w:rsid w:val="00BF3CDD"/>
    <w:rsid w:val="00BF54F7"/>
    <w:rsid w:val="00BF5B98"/>
    <w:rsid w:val="00BF76B1"/>
    <w:rsid w:val="00C01FB4"/>
    <w:rsid w:val="00C07627"/>
    <w:rsid w:val="00C11E04"/>
    <w:rsid w:val="00C124D9"/>
    <w:rsid w:val="00C1294E"/>
    <w:rsid w:val="00C14D44"/>
    <w:rsid w:val="00C175F1"/>
    <w:rsid w:val="00C2199B"/>
    <w:rsid w:val="00C456FA"/>
    <w:rsid w:val="00C476C1"/>
    <w:rsid w:val="00C579E5"/>
    <w:rsid w:val="00C63632"/>
    <w:rsid w:val="00C71A00"/>
    <w:rsid w:val="00C93A86"/>
    <w:rsid w:val="00CB11AB"/>
    <w:rsid w:val="00CD2D89"/>
    <w:rsid w:val="00CF23A6"/>
    <w:rsid w:val="00CF52B5"/>
    <w:rsid w:val="00D025C4"/>
    <w:rsid w:val="00D06209"/>
    <w:rsid w:val="00D12879"/>
    <w:rsid w:val="00D158B0"/>
    <w:rsid w:val="00D53F95"/>
    <w:rsid w:val="00D64EEF"/>
    <w:rsid w:val="00D7603A"/>
    <w:rsid w:val="00D76A6D"/>
    <w:rsid w:val="00D8552C"/>
    <w:rsid w:val="00D92BEC"/>
    <w:rsid w:val="00D971EB"/>
    <w:rsid w:val="00DA6F00"/>
    <w:rsid w:val="00DB0CDD"/>
    <w:rsid w:val="00DB1F1C"/>
    <w:rsid w:val="00DB27C6"/>
    <w:rsid w:val="00DD06AC"/>
    <w:rsid w:val="00DD3409"/>
    <w:rsid w:val="00DD379A"/>
    <w:rsid w:val="00DD477D"/>
    <w:rsid w:val="00DD74C4"/>
    <w:rsid w:val="00DE6C9C"/>
    <w:rsid w:val="00DF244A"/>
    <w:rsid w:val="00DF3D01"/>
    <w:rsid w:val="00DF476C"/>
    <w:rsid w:val="00E005E7"/>
    <w:rsid w:val="00E01CF5"/>
    <w:rsid w:val="00E1161F"/>
    <w:rsid w:val="00E127F9"/>
    <w:rsid w:val="00E16390"/>
    <w:rsid w:val="00E168C7"/>
    <w:rsid w:val="00E21CAA"/>
    <w:rsid w:val="00E222C7"/>
    <w:rsid w:val="00E32D62"/>
    <w:rsid w:val="00E37580"/>
    <w:rsid w:val="00E413DF"/>
    <w:rsid w:val="00E424CC"/>
    <w:rsid w:val="00E42908"/>
    <w:rsid w:val="00E55AAF"/>
    <w:rsid w:val="00E57C5E"/>
    <w:rsid w:val="00E61CEB"/>
    <w:rsid w:val="00E734AF"/>
    <w:rsid w:val="00E74899"/>
    <w:rsid w:val="00E87E7C"/>
    <w:rsid w:val="00EC100C"/>
    <w:rsid w:val="00EC6DE0"/>
    <w:rsid w:val="00EE759C"/>
    <w:rsid w:val="00EF513B"/>
    <w:rsid w:val="00F01AD2"/>
    <w:rsid w:val="00F01CF4"/>
    <w:rsid w:val="00F11C24"/>
    <w:rsid w:val="00F174AB"/>
    <w:rsid w:val="00F2481B"/>
    <w:rsid w:val="00F31C73"/>
    <w:rsid w:val="00F37763"/>
    <w:rsid w:val="00F40EBD"/>
    <w:rsid w:val="00F41D9E"/>
    <w:rsid w:val="00F450F2"/>
    <w:rsid w:val="00F47AF3"/>
    <w:rsid w:val="00F54588"/>
    <w:rsid w:val="00F71786"/>
    <w:rsid w:val="00F727B5"/>
    <w:rsid w:val="00F77D64"/>
    <w:rsid w:val="00F90AAB"/>
    <w:rsid w:val="00F927D3"/>
    <w:rsid w:val="00FA3F0E"/>
    <w:rsid w:val="00FA6049"/>
    <w:rsid w:val="00FB3AAD"/>
    <w:rsid w:val="00FB5AF9"/>
    <w:rsid w:val="00FD03D0"/>
    <w:rsid w:val="00FD1093"/>
    <w:rsid w:val="00FD1198"/>
    <w:rsid w:val="00FF7A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ockticker"/>
  <w:smartTagType w:namespaceuri="urn:schemas-microsoft-com:office:smarttags" w:name="State"/>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6"/>
        <w:szCs w:val="26"/>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03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37103D"/>
    <w:rPr>
      <w:sz w:val="20"/>
      <w:szCs w:val="20"/>
    </w:rPr>
  </w:style>
  <w:style w:type="character" w:customStyle="1" w:styleId="FootnoteTextChar">
    <w:name w:val="Footnote Text Char"/>
    <w:basedOn w:val="DefaultParagraphFont"/>
    <w:link w:val="FootnoteText"/>
    <w:semiHidden/>
    <w:rsid w:val="0037103D"/>
    <w:rPr>
      <w:rFonts w:ascii="Times New Roman" w:eastAsia="Calibri" w:hAnsi="Times New Roman" w:cs="Times New Roman"/>
      <w:sz w:val="20"/>
      <w:szCs w:val="20"/>
    </w:rPr>
  </w:style>
  <w:style w:type="character" w:styleId="FootnoteReference">
    <w:name w:val="footnote reference"/>
    <w:basedOn w:val="DefaultParagraphFont"/>
    <w:semiHidden/>
    <w:rsid w:val="0037103D"/>
    <w:rPr>
      <w:rFonts w:cs="Times New Roman"/>
      <w:vertAlign w:val="superscript"/>
    </w:rPr>
  </w:style>
  <w:style w:type="paragraph" w:styleId="Footer">
    <w:name w:val="footer"/>
    <w:basedOn w:val="Normal"/>
    <w:link w:val="FooterChar"/>
    <w:rsid w:val="0037103D"/>
    <w:pPr>
      <w:tabs>
        <w:tab w:val="center" w:pos="4320"/>
        <w:tab w:val="right" w:pos="8640"/>
      </w:tabs>
    </w:pPr>
  </w:style>
  <w:style w:type="character" w:customStyle="1" w:styleId="FooterChar">
    <w:name w:val="Footer Char"/>
    <w:basedOn w:val="DefaultParagraphFont"/>
    <w:link w:val="Footer"/>
    <w:rsid w:val="0037103D"/>
    <w:rPr>
      <w:rFonts w:ascii="Times New Roman" w:eastAsia="Calibri" w:hAnsi="Times New Roman" w:cs="Times New Roman"/>
      <w:sz w:val="26"/>
      <w:szCs w:val="26"/>
    </w:rPr>
  </w:style>
  <w:style w:type="character" w:styleId="PageNumber">
    <w:name w:val="page number"/>
    <w:basedOn w:val="DefaultParagraphFont"/>
    <w:rsid w:val="0037103D"/>
    <w:rPr>
      <w:rFonts w:cs="Times New Roman"/>
    </w:rPr>
  </w:style>
  <w:style w:type="paragraph" w:customStyle="1" w:styleId="TxBrt1">
    <w:name w:val="TxBr_t1"/>
    <w:basedOn w:val="Normal"/>
    <w:rsid w:val="0037103D"/>
    <w:pPr>
      <w:widowControl w:val="0"/>
      <w:autoSpaceDE w:val="0"/>
      <w:autoSpaceDN w:val="0"/>
      <w:adjustRightInd w:val="0"/>
      <w:spacing w:line="240" w:lineRule="atLeast"/>
    </w:pPr>
    <w:rPr>
      <w:sz w:val="24"/>
      <w:szCs w:val="24"/>
    </w:rPr>
  </w:style>
  <w:style w:type="paragraph" w:customStyle="1" w:styleId="TxBrc2">
    <w:name w:val="TxBr_c2"/>
    <w:basedOn w:val="Normal"/>
    <w:rsid w:val="0037103D"/>
    <w:pPr>
      <w:widowControl w:val="0"/>
      <w:autoSpaceDE w:val="0"/>
      <w:autoSpaceDN w:val="0"/>
      <w:adjustRightInd w:val="0"/>
      <w:spacing w:line="240" w:lineRule="atLeast"/>
      <w:jc w:val="center"/>
    </w:pPr>
    <w:rPr>
      <w:sz w:val="24"/>
      <w:szCs w:val="24"/>
    </w:rPr>
  </w:style>
  <w:style w:type="paragraph" w:customStyle="1" w:styleId="TxBrp3">
    <w:name w:val="TxBr_p3"/>
    <w:basedOn w:val="Normal"/>
    <w:rsid w:val="0037103D"/>
    <w:pPr>
      <w:widowControl w:val="0"/>
      <w:tabs>
        <w:tab w:val="left" w:pos="204"/>
      </w:tabs>
      <w:autoSpaceDE w:val="0"/>
      <w:autoSpaceDN w:val="0"/>
      <w:adjustRightInd w:val="0"/>
      <w:spacing w:line="419" w:lineRule="atLeast"/>
    </w:pPr>
    <w:rPr>
      <w:sz w:val="24"/>
      <w:szCs w:val="24"/>
    </w:rPr>
  </w:style>
  <w:style w:type="paragraph" w:styleId="BodyText">
    <w:name w:val="Body Text"/>
    <w:basedOn w:val="Normal"/>
    <w:link w:val="BodyTextChar"/>
    <w:rsid w:val="0037103D"/>
    <w:pPr>
      <w:tabs>
        <w:tab w:val="left" w:pos="-1440"/>
        <w:tab w:val="left" w:pos="-720"/>
        <w:tab w:val="left" w:pos="0"/>
        <w:tab w:val="left" w:pos="720"/>
        <w:tab w:val="left" w:pos="1440"/>
      </w:tabs>
      <w:spacing w:line="480" w:lineRule="auto"/>
      <w:jc w:val="both"/>
    </w:pPr>
    <w:rPr>
      <w:rFonts w:eastAsia="Times New Roman"/>
      <w:sz w:val="24"/>
      <w:szCs w:val="20"/>
    </w:rPr>
  </w:style>
  <w:style w:type="character" w:customStyle="1" w:styleId="BodyTextChar">
    <w:name w:val="Body Text Char"/>
    <w:basedOn w:val="DefaultParagraphFont"/>
    <w:link w:val="BodyText"/>
    <w:rsid w:val="0037103D"/>
    <w:rPr>
      <w:rFonts w:ascii="Times New Roman" w:eastAsia="Times New Roman" w:hAnsi="Times New Roman" w:cs="Times New Roman"/>
      <w:sz w:val="24"/>
      <w:szCs w:val="20"/>
    </w:rPr>
  </w:style>
  <w:style w:type="table" w:styleId="TableGrid">
    <w:name w:val="Table Grid"/>
    <w:basedOn w:val="TableNormal"/>
    <w:uiPriority w:val="59"/>
    <w:rsid w:val="00A9009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87E7C"/>
    <w:rPr>
      <w:rFonts w:ascii="Tahoma" w:hAnsi="Tahoma" w:cs="Tahoma"/>
      <w:sz w:val="16"/>
      <w:szCs w:val="16"/>
    </w:rPr>
  </w:style>
  <w:style w:type="character" w:customStyle="1" w:styleId="BalloonTextChar">
    <w:name w:val="Balloon Text Char"/>
    <w:basedOn w:val="DefaultParagraphFont"/>
    <w:link w:val="BalloonText"/>
    <w:uiPriority w:val="99"/>
    <w:semiHidden/>
    <w:rsid w:val="00E87E7C"/>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A5CA97-691E-440C-A2EA-3A6BFE511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1597</Words>
  <Characters>9105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davalexand</dc:creator>
  <cp:keywords/>
  <dc:description/>
  <cp:lastModifiedBy>joyce marie farner</cp:lastModifiedBy>
  <cp:revision>11</cp:revision>
  <cp:lastPrinted>2010-04-26T17:12:00Z</cp:lastPrinted>
  <dcterms:created xsi:type="dcterms:W3CDTF">2010-04-16T15:32:00Z</dcterms:created>
  <dcterms:modified xsi:type="dcterms:W3CDTF">2010-04-26T17:12:00Z</dcterms:modified>
</cp:coreProperties>
</file>