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E1B" w:rsidRPr="00B065CC" w:rsidRDefault="00140E1B">
      <w:pPr>
        <w:pStyle w:val="Title"/>
        <w:rPr>
          <w:sz w:val="24"/>
          <w:szCs w:val="24"/>
        </w:rPr>
      </w:pPr>
      <w:r w:rsidRPr="00B065CC">
        <w:rPr>
          <w:sz w:val="24"/>
          <w:szCs w:val="24"/>
        </w:rPr>
        <w:t>BEFORE THE</w:t>
      </w:r>
    </w:p>
    <w:p w:rsidR="00140E1B" w:rsidRPr="00B065CC" w:rsidRDefault="00140E1B">
      <w:pPr>
        <w:pStyle w:val="Subtitle"/>
        <w:rPr>
          <w:sz w:val="24"/>
          <w:szCs w:val="24"/>
        </w:rPr>
      </w:pPr>
      <w:r w:rsidRPr="00B065CC">
        <w:rPr>
          <w:sz w:val="24"/>
          <w:szCs w:val="24"/>
        </w:rPr>
        <w:t>PENNSYLVANIA PUBLIC UTILITY COMMISSION</w:t>
      </w:r>
    </w:p>
    <w:p w:rsidR="00140E1B" w:rsidRPr="00B065CC" w:rsidRDefault="00140E1B">
      <w:pPr>
        <w:tabs>
          <w:tab w:val="left" w:pos="720"/>
        </w:tabs>
        <w:rPr>
          <w:kern w:val="26"/>
          <w:sz w:val="24"/>
          <w:szCs w:val="24"/>
        </w:rPr>
      </w:pPr>
    </w:p>
    <w:p w:rsidR="00140E1B" w:rsidRPr="00B065CC" w:rsidRDefault="00140E1B">
      <w:pPr>
        <w:tabs>
          <w:tab w:val="left" w:pos="720"/>
        </w:tabs>
        <w:rPr>
          <w:kern w:val="26"/>
          <w:sz w:val="24"/>
          <w:szCs w:val="24"/>
        </w:rPr>
      </w:pPr>
    </w:p>
    <w:p w:rsidR="00140E1B" w:rsidRPr="00B065CC" w:rsidRDefault="00140E1B">
      <w:pPr>
        <w:tabs>
          <w:tab w:val="left" w:pos="720"/>
        </w:tabs>
        <w:rPr>
          <w:kern w:val="26"/>
          <w:sz w:val="24"/>
          <w:szCs w:val="24"/>
        </w:rPr>
      </w:pPr>
    </w:p>
    <w:p w:rsidR="00140E1B" w:rsidRPr="00B065CC" w:rsidRDefault="00140E1B">
      <w:pPr>
        <w:rPr>
          <w:sz w:val="24"/>
          <w:szCs w:val="24"/>
        </w:rPr>
      </w:pPr>
      <w:r w:rsidRPr="00B065CC">
        <w:rPr>
          <w:sz w:val="24"/>
          <w:szCs w:val="24"/>
        </w:rPr>
        <w:t xml:space="preserve">Petition of PECO Energy Company for </w:t>
      </w:r>
      <w:r w:rsidRPr="00B065CC">
        <w:rPr>
          <w:sz w:val="24"/>
          <w:szCs w:val="24"/>
        </w:rPr>
        <w:tab/>
      </w:r>
      <w:r w:rsidRPr="00B065CC">
        <w:rPr>
          <w:sz w:val="24"/>
          <w:szCs w:val="24"/>
        </w:rPr>
        <w:tab/>
        <w:t>:</w:t>
      </w:r>
    </w:p>
    <w:p w:rsidR="00140E1B" w:rsidRPr="00B065CC" w:rsidRDefault="00140E1B">
      <w:pPr>
        <w:rPr>
          <w:sz w:val="24"/>
          <w:szCs w:val="24"/>
        </w:rPr>
      </w:pPr>
      <w:r w:rsidRPr="00B065CC">
        <w:rPr>
          <w:sz w:val="24"/>
          <w:szCs w:val="24"/>
        </w:rPr>
        <w:t>Approval of its Revised Electric Purchase</w:t>
      </w:r>
      <w:r w:rsidRPr="00B065CC">
        <w:rPr>
          <w:sz w:val="24"/>
          <w:szCs w:val="24"/>
        </w:rPr>
        <w:tab/>
      </w:r>
      <w:r w:rsidRPr="00B065CC">
        <w:rPr>
          <w:sz w:val="24"/>
          <w:szCs w:val="24"/>
        </w:rPr>
        <w:tab/>
        <w:t>:</w:t>
      </w:r>
    </w:p>
    <w:p w:rsidR="00140E1B" w:rsidRPr="00B065CC" w:rsidRDefault="0021295B">
      <w:pPr>
        <w:rPr>
          <w:sz w:val="24"/>
          <w:szCs w:val="24"/>
        </w:rPr>
      </w:pPr>
      <w:r>
        <w:rPr>
          <w:sz w:val="24"/>
          <w:szCs w:val="24"/>
        </w:rPr>
        <w:t>o</w:t>
      </w:r>
      <w:r w:rsidR="00140E1B" w:rsidRPr="00B065CC">
        <w:rPr>
          <w:sz w:val="24"/>
          <w:szCs w:val="24"/>
        </w:rPr>
        <w:t>f Receivables Program</w:t>
      </w:r>
      <w:r w:rsidR="00140E1B" w:rsidRPr="00B065CC">
        <w:rPr>
          <w:sz w:val="24"/>
          <w:szCs w:val="24"/>
        </w:rPr>
        <w:tab/>
      </w:r>
      <w:r w:rsidR="00140E1B" w:rsidRPr="00B065CC">
        <w:rPr>
          <w:sz w:val="24"/>
          <w:szCs w:val="24"/>
        </w:rPr>
        <w:tab/>
      </w:r>
      <w:r w:rsidR="00140E1B" w:rsidRPr="00B065CC">
        <w:rPr>
          <w:sz w:val="24"/>
          <w:szCs w:val="24"/>
        </w:rPr>
        <w:tab/>
      </w:r>
      <w:r w:rsidR="00140E1B" w:rsidRPr="00B065CC">
        <w:rPr>
          <w:sz w:val="24"/>
          <w:szCs w:val="24"/>
        </w:rPr>
        <w:tab/>
        <w:t>:</w:t>
      </w:r>
      <w:r w:rsidR="00140E1B" w:rsidRPr="00B065CC">
        <w:rPr>
          <w:sz w:val="24"/>
          <w:szCs w:val="24"/>
        </w:rPr>
        <w:tab/>
      </w:r>
      <w:r w:rsidR="00140E1B" w:rsidRPr="00B065CC">
        <w:rPr>
          <w:sz w:val="24"/>
          <w:szCs w:val="24"/>
        </w:rPr>
        <w:tab/>
        <w:t>P-2009-2143607</w:t>
      </w:r>
    </w:p>
    <w:p w:rsidR="00140E1B" w:rsidRPr="00B065CC" w:rsidRDefault="00140E1B">
      <w:pPr>
        <w:tabs>
          <w:tab w:val="left" w:pos="720"/>
        </w:tabs>
        <w:rPr>
          <w:kern w:val="26"/>
          <w:sz w:val="24"/>
          <w:szCs w:val="24"/>
        </w:rPr>
      </w:pPr>
    </w:p>
    <w:p w:rsidR="00140E1B" w:rsidRPr="00B065CC" w:rsidRDefault="00140E1B">
      <w:pPr>
        <w:tabs>
          <w:tab w:val="left" w:pos="720"/>
        </w:tabs>
        <w:rPr>
          <w:kern w:val="26"/>
          <w:sz w:val="24"/>
          <w:szCs w:val="24"/>
        </w:rPr>
      </w:pPr>
    </w:p>
    <w:p w:rsidR="00140E1B" w:rsidRPr="00B065CC" w:rsidRDefault="00140E1B">
      <w:pPr>
        <w:rPr>
          <w:sz w:val="24"/>
          <w:szCs w:val="24"/>
        </w:rPr>
      </w:pPr>
    </w:p>
    <w:p w:rsidR="00140E1B" w:rsidRPr="00B065CC" w:rsidRDefault="00140E1B">
      <w:pPr>
        <w:rPr>
          <w:sz w:val="24"/>
          <w:szCs w:val="24"/>
        </w:rPr>
      </w:pPr>
    </w:p>
    <w:p w:rsidR="00140E1B" w:rsidRPr="00B065CC" w:rsidRDefault="00140E1B">
      <w:pPr>
        <w:pStyle w:val="Heading1"/>
        <w:rPr>
          <w:b/>
          <w:sz w:val="24"/>
          <w:szCs w:val="24"/>
        </w:rPr>
      </w:pPr>
      <w:bookmarkStart w:id="0" w:name="_Toc259699895"/>
      <w:bookmarkStart w:id="1" w:name="_Toc259706155"/>
      <w:r w:rsidRPr="00B065CC">
        <w:rPr>
          <w:b/>
          <w:sz w:val="24"/>
          <w:szCs w:val="24"/>
        </w:rPr>
        <w:t>RECOMMENDED DECISION</w:t>
      </w:r>
      <w:bookmarkEnd w:id="0"/>
      <w:bookmarkEnd w:id="1"/>
    </w:p>
    <w:p w:rsidR="00140E1B" w:rsidRPr="00B065CC" w:rsidRDefault="00140E1B">
      <w:pPr>
        <w:rPr>
          <w:sz w:val="24"/>
          <w:szCs w:val="24"/>
        </w:rPr>
      </w:pPr>
    </w:p>
    <w:p w:rsidR="00140E1B" w:rsidRPr="00B065CC" w:rsidRDefault="00140E1B">
      <w:pPr>
        <w:rPr>
          <w:sz w:val="24"/>
          <w:szCs w:val="24"/>
        </w:rPr>
      </w:pPr>
    </w:p>
    <w:p w:rsidR="00140E1B" w:rsidRPr="00B065CC" w:rsidRDefault="00140E1B">
      <w:pPr>
        <w:pStyle w:val="Heading2"/>
        <w:spacing w:line="240" w:lineRule="auto"/>
        <w:rPr>
          <w:sz w:val="24"/>
          <w:szCs w:val="24"/>
          <w:u w:val="none"/>
        </w:rPr>
      </w:pPr>
      <w:bookmarkStart w:id="2" w:name="_Toc259699896"/>
      <w:bookmarkStart w:id="3" w:name="_Toc259706156"/>
      <w:r w:rsidRPr="00B065CC">
        <w:rPr>
          <w:sz w:val="24"/>
          <w:szCs w:val="24"/>
          <w:u w:val="none"/>
        </w:rPr>
        <w:t>Before</w:t>
      </w:r>
      <w:bookmarkEnd w:id="2"/>
      <w:bookmarkEnd w:id="3"/>
    </w:p>
    <w:p w:rsidR="00140E1B" w:rsidRPr="00B065CC" w:rsidRDefault="00140E1B">
      <w:pPr>
        <w:pStyle w:val="Heading4"/>
        <w:spacing w:line="240" w:lineRule="auto"/>
        <w:rPr>
          <w:b w:val="0"/>
          <w:sz w:val="24"/>
          <w:szCs w:val="24"/>
        </w:rPr>
      </w:pPr>
      <w:r w:rsidRPr="00B065CC">
        <w:rPr>
          <w:b w:val="0"/>
          <w:sz w:val="24"/>
          <w:szCs w:val="24"/>
        </w:rPr>
        <w:t>Cynthia Williams Fordham</w:t>
      </w:r>
    </w:p>
    <w:p w:rsidR="00180ABC" w:rsidRDefault="00140E1B">
      <w:pPr>
        <w:jc w:val="center"/>
        <w:rPr>
          <w:sz w:val="24"/>
          <w:szCs w:val="24"/>
        </w:rPr>
        <w:sectPr w:rsidR="00180ABC" w:rsidSect="0097378D">
          <w:footerReference w:type="even" r:id="rId8"/>
          <w:footerReference w:type="default" r:id="rId9"/>
          <w:pgSz w:w="12240" w:h="15840" w:code="1"/>
          <w:pgMar w:top="1440" w:right="1440" w:bottom="1440" w:left="1440" w:header="0" w:footer="432" w:gutter="0"/>
          <w:pgNumType w:fmt="lowerRoman"/>
          <w:cols w:space="720"/>
          <w:noEndnote/>
          <w:titlePg/>
        </w:sectPr>
      </w:pPr>
      <w:r w:rsidRPr="00B065CC">
        <w:rPr>
          <w:sz w:val="24"/>
          <w:szCs w:val="24"/>
        </w:rPr>
        <w:t>Administrative Law Judge</w:t>
      </w:r>
    </w:p>
    <w:p w:rsidR="00001D7C" w:rsidRDefault="006171A1" w:rsidP="006171A1">
      <w:pPr>
        <w:pStyle w:val="TOCHeading"/>
        <w:jc w:val="center"/>
        <w:rPr>
          <w:rFonts w:ascii="Times New Roman" w:hAnsi="Times New Roman"/>
          <w:b w:val="0"/>
          <w:color w:val="000000"/>
          <w:sz w:val="24"/>
          <w:szCs w:val="24"/>
          <w:u w:val="single"/>
        </w:rPr>
      </w:pPr>
      <w:r w:rsidRPr="00956980">
        <w:rPr>
          <w:rFonts w:ascii="Times New Roman" w:hAnsi="Times New Roman"/>
          <w:b w:val="0"/>
          <w:color w:val="000000"/>
          <w:sz w:val="24"/>
          <w:szCs w:val="24"/>
          <w:u w:val="single"/>
        </w:rPr>
        <w:lastRenderedPageBreak/>
        <w:t>TABLE OF CONTENTS</w:t>
      </w:r>
    </w:p>
    <w:p w:rsidR="00400ACC" w:rsidRPr="00400ACC" w:rsidRDefault="00400ACC" w:rsidP="00400ACC"/>
    <w:p w:rsidR="00E00722" w:rsidRPr="00FE1610" w:rsidRDefault="00700522">
      <w:pPr>
        <w:pStyle w:val="TOC1"/>
        <w:rPr>
          <w:rFonts w:ascii="Calibri" w:hAnsi="Calibri"/>
          <w:noProof/>
          <w:sz w:val="24"/>
          <w:szCs w:val="24"/>
        </w:rPr>
      </w:pPr>
      <w:r w:rsidRPr="00FE1610">
        <w:rPr>
          <w:sz w:val="24"/>
          <w:szCs w:val="24"/>
        </w:rPr>
        <w:fldChar w:fldCharType="begin"/>
      </w:r>
      <w:r w:rsidR="00001D7C" w:rsidRPr="00FE1610">
        <w:rPr>
          <w:sz w:val="24"/>
          <w:szCs w:val="24"/>
        </w:rPr>
        <w:instrText xml:space="preserve"> TOC \o "1-3" \h \z \u </w:instrText>
      </w:r>
      <w:r w:rsidRPr="00FE1610">
        <w:rPr>
          <w:sz w:val="24"/>
          <w:szCs w:val="24"/>
        </w:rPr>
        <w:fldChar w:fldCharType="separate"/>
      </w:r>
    </w:p>
    <w:p w:rsidR="00E00722" w:rsidRPr="00FE1610" w:rsidRDefault="002B1E25">
      <w:pPr>
        <w:pStyle w:val="TOC1"/>
        <w:rPr>
          <w:rFonts w:ascii="Calibri" w:hAnsi="Calibri"/>
          <w:noProof/>
          <w:sz w:val="24"/>
          <w:szCs w:val="24"/>
        </w:rPr>
      </w:pPr>
      <w:r w:rsidRPr="00FE1610">
        <w:rPr>
          <w:rStyle w:val="Hyperlink"/>
          <w:noProof/>
          <w:sz w:val="24"/>
          <w:szCs w:val="24"/>
          <w:u w:val="none"/>
        </w:rPr>
        <w:t xml:space="preserve"> </w:t>
      </w:r>
      <w:hyperlink w:anchor="_Toc259706157" w:history="1">
        <w:r w:rsidR="00E00722" w:rsidRPr="00FE1610">
          <w:rPr>
            <w:rStyle w:val="Hyperlink"/>
            <w:noProof/>
            <w:sz w:val="24"/>
            <w:szCs w:val="24"/>
          </w:rPr>
          <w:t xml:space="preserve">I. </w:t>
        </w:r>
        <w:r w:rsidRPr="00FE1610">
          <w:rPr>
            <w:rStyle w:val="Hyperlink"/>
            <w:noProof/>
            <w:sz w:val="24"/>
            <w:szCs w:val="24"/>
          </w:rPr>
          <w:t xml:space="preserve"> </w:t>
        </w:r>
        <w:r w:rsidR="00E00722" w:rsidRPr="00FE1610">
          <w:rPr>
            <w:rStyle w:val="Hyperlink"/>
            <w:noProof/>
            <w:sz w:val="24"/>
            <w:szCs w:val="24"/>
          </w:rPr>
          <w:t>HISTORY OF THE PROCEEDING</w:t>
        </w:r>
        <w:r w:rsidR="00E00722" w:rsidRPr="00FE1610">
          <w:rPr>
            <w:noProof/>
            <w:webHidden/>
            <w:sz w:val="24"/>
            <w:szCs w:val="24"/>
          </w:rPr>
          <w:tab/>
        </w:r>
        <w:r w:rsidR="00700522" w:rsidRPr="00FE1610">
          <w:rPr>
            <w:noProof/>
            <w:webHidden/>
            <w:sz w:val="24"/>
            <w:szCs w:val="24"/>
          </w:rPr>
          <w:fldChar w:fldCharType="begin"/>
        </w:r>
        <w:r w:rsidR="00E00722" w:rsidRPr="00FE1610">
          <w:rPr>
            <w:noProof/>
            <w:webHidden/>
            <w:sz w:val="24"/>
            <w:szCs w:val="24"/>
          </w:rPr>
          <w:instrText xml:space="preserve"> PAGEREF _Toc259706157 \h </w:instrText>
        </w:r>
        <w:r w:rsidR="00700522" w:rsidRPr="00FE1610">
          <w:rPr>
            <w:noProof/>
            <w:webHidden/>
            <w:sz w:val="24"/>
            <w:szCs w:val="24"/>
          </w:rPr>
        </w:r>
        <w:r w:rsidR="00700522" w:rsidRPr="00FE1610">
          <w:rPr>
            <w:noProof/>
            <w:webHidden/>
            <w:sz w:val="24"/>
            <w:szCs w:val="24"/>
          </w:rPr>
          <w:fldChar w:fldCharType="separate"/>
        </w:r>
        <w:r w:rsidR="00795792">
          <w:rPr>
            <w:noProof/>
            <w:webHidden/>
            <w:sz w:val="24"/>
            <w:szCs w:val="24"/>
          </w:rPr>
          <w:t>1</w:t>
        </w:r>
        <w:r w:rsidR="00700522" w:rsidRPr="00FE1610">
          <w:rPr>
            <w:noProof/>
            <w:webHidden/>
            <w:sz w:val="24"/>
            <w:szCs w:val="24"/>
          </w:rPr>
          <w:fldChar w:fldCharType="end"/>
        </w:r>
      </w:hyperlink>
    </w:p>
    <w:p w:rsidR="005E14E5" w:rsidRDefault="00700522">
      <w:pPr>
        <w:pStyle w:val="TOC1"/>
        <w:rPr>
          <w:rStyle w:val="Hyperlink"/>
          <w:noProof/>
          <w:sz w:val="24"/>
          <w:szCs w:val="24"/>
        </w:rPr>
      </w:pPr>
      <w:r w:rsidRPr="00FE1610">
        <w:rPr>
          <w:rStyle w:val="Hyperlink"/>
          <w:noProof/>
          <w:sz w:val="24"/>
          <w:szCs w:val="24"/>
        </w:rPr>
        <w:fldChar w:fldCharType="begin"/>
      </w:r>
      <w:r w:rsidR="00E00722" w:rsidRPr="00FE1610">
        <w:rPr>
          <w:rStyle w:val="Hyperlink"/>
          <w:noProof/>
          <w:sz w:val="24"/>
          <w:szCs w:val="24"/>
        </w:rPr>
        <w:instrText xml:space="preserve"> </w:instrText>
      </w:r>
      <w:r w:rsidR="00E00722" w:rsidRPr="00FE1610">
        <w:rPr>
          <w:noProof/>
          <w:sz w:val="24"/>
          <w:szCs w:val="24"/>
        </w:rPr>
        <w:instrText>HYPERLINK \l "_Toc259706164"</w:instrText>
      </w:r>
      <w:r w:rsidR="00E00722" w:rsidRPr="00FE1610">
        <w:rPr>
          <w:rStyle w:val="Hyperlink"/>
          <w:noProof/>
          <w:sz w:val="24"/>
          <w:szCs w:val="24"/>
        </w:rPr>
        <w:instrText xml:space="preserve"> </w:instrText>
      </w:r>
      <w:r w:rsidRPr="00FE1610">
        <w:rPr>
          <w:rStyle w:val="Hyperlink"/>
          <w:noProof/>
          <w:sz w:val="24"/>
          <w:szCs w:val="24"/>
        </w:rPr>
        <w:fldChar w:fldCharType="separate"/>
      </w:r>
      <w:r w:rsidR="002B1E25" w:rsidRPr="00FE1610">
        <w:rPr>
          <w:rStyle w:val="Hyperlink"/>
          <w:noProof/>
          <w:sz w:val="24"/>
          <w:szCs w:val="24"/>
        </w:rPr>
        <w:t xml:space="preserve">II.  </w:t>
      </w:r>
      <w:r w:rsidR="00E00722" w:rsidRPr="00FE1610">
        <w:rPr>
          <w:rStyle w:val="Hyperlink"/>
          <w:noProof/>
          <w:sz w:val="24"/>
          <w:szCs w:val="24"/>
        </w:rPr>
        <w:t>DESCRIPTION AND TERMS OF</w:t>
      </w:r>
      <w:r w:rsidR="005E14E5">
        <w:rPr>
          <w:rStyle w:val="Hyperlink"/>
          <w:noProof/>
          <w:sz w:val="24"/>
          <w:szCs w:val="24"/>
        </w:rPr>
        <w:t xml:space="preserve"> THE JOINT PETITION FOR PARTIAL</w:t>
      </w:r>
    </w:p>
    <w:p w:rsidR="00E00722" w:rsidRPr="00FE1610" w:rsidRDefault="005E14E5">
      <w:pPr>
        <w:pStyle w:val="TOC1"/>
        <w:rPr>
          <w:rFonts w:ascii="Calibri" w:hAnsi="Calibri"/>
          <w:noProof/>
          <w:sz w:val="24"/>
          <w:szCs w:val="24"/>
        </w:rPr>
      </w:pPr>
      <w:r>
        <w:rPr>
          <w:rStyle w:val="Hyperlink"/>
          <w:noProof/>
          <w:sz w:val="24"/>
          <w:szCs w:val="24"/>
        </w:rPr>
        <w:t xml:space="preserve">     </w:t>
      </w:r>
      <w:r w:rsidR="00FE1610">
        <w:rPr>
          <w:rStyle w:val="Hyperlink"/>
          <w:noProof/>
          <w:sz w:val="24"/>
          <w:szCs w:val="24"/>
        </w:rPr>
        <w:t xml:space="preserve"> </w:t>
      </w:r>
      <w:r w:rsidR="00FE1610" w:rsidRPr="00FE1610">
        <w:rPr>
          <w:rStyle w:val="Hyperlink"/>
          <w:noProof/>
          <w:sz w:val="24"/>
          <w:szCs w:val="24"/>
        </w:rPr>
        <w:t>SETTLEMENT</w:t>
      </w:r>
      <w:r w:rsidR="00E00722" w:rsidRPr="00FE1610">
        <w:rPr>
          <w:noProof/>
          <w:webHidden/>
          <w:sz w:val="24"/>
          <w:szCs w:val="24"/>
        </w:rPr>
        <w:tab/>
      </w:r>
      <w:r w:rsidR="00700522" w:rsidRPr="00FE1610">
        <w:rPr>
          <w:noProof/>
          <w:webHidden/>
          <w:sz w:val="24"/>
          <w:szCs w:val="24"/>
        </w:rPr>
        <w:fldChar w:fldCharType="begin"/>
      </w:r>
      <w:r w:rsidR="00E00722" w:rsidRPr="00FE1610">
        <w:rPr>
          <w:noProof/>
          <w:webHidden/>
          <w:sz w:val="24"/>
          <w:szCs w:val="24"/>
        </w:rPr>
        <w:instrText xml:space="preserve"> PAGEREF _Toc259706164 \h </w:instrText>
      </w:r>
      <w:r w:rsidR="00700522" w:rsidRPr="00FE1610">
        <w:rPr>
          <w:noProof/>
          <w:webHidden/>
          <w:sz w:val="24"/>
          <w:szCs w:val="24"/>
        </w:rPr>
      </w:r>
      <w:r w:rsidR="00700522" w:rsidRPr="00FE1610">
        <w:rPr>
          <w:noProof/>
          <w:webHidden/>
          <w:sz w:val="24"/>
          <w:szCs w:val="24"/>
        </w:rPr>
        <w:fldChar w:fldCharType="separate"/>
      </w:r>
      <w:r w:rsidR="00795792">
        <w:rPr>
          <w:noProof/>
          <w:webHidden/>
          <w:sz w:val="24"/>
          <w:szCs w:val="24"/>
        </w:rPr>
        <w:t>6</w:t>
      </w:r>
      <w:r w:rsidR="00700522" w:rsidRPr="00FE1610">
        <w:rPr>
          <w:noProof/>
          <w:webHidden/>
          <w:sz w:val="24"/>
          <w:szCs w:val="24"/>
        </w:rPr>
        <w:fldChar w:fldCharType="end"/>
      </w:r>
      <w:r w:rsidR="00700522" w:rsidRPr="00FE1610">
        <w:rPr>
          <w:rStyle w:val="Hyperlink"/>
          <w:noProof/>
          <w:sz w:val="24"/>
          <w:szCs w:val="24"/>
        </w:rPr>
        <w:fldChar w:fldCharType="end"/>
      </w:r>
    </w:p>
    <w:p w:rsidR="00E00722" w:rsidRPr="00FE1610" w:rsidRDefault="00700522">
      <w:pPr>
        <w:pStyle w:val="TOC1"/>
        <w:rPr>
          <w:rFonts w:ascii="Calibri" w:hAnsi="Calibri"/>
          <w:noProof/>
          <w:sz w:val="24"/>
          <w:szCs w:val="24"/>
        </w:rPr>
      </w:pPr>
      <w:hyperlink w:anchor="_Toc259706181" w:history="1">
        <w:r w:rsidR="00E00722" w:rsidRPr="00FE1610">
          <w:rPr>
            <w:rStyle w:val="Hyperlink"/>
            <w:noProof/>
            <w:sz w:val="24"/>
            <w:szCs w:val="24"/>
          </w:rPr>
          <w:t>III. DISCUSSION</w:t>
        </w:r>
        <w:r w:rsidR="00E00722" w:rsidRPr="00FE1610">
          <w:rPr>
            <w:noProof/>
            <w:webHidden/>
            <w:sz w:val="24"/>
            <w:szCs w:val="24"/>
          </w:rPr>
          <w:tab/>
        </w:r>
        <w:r w:rsidRPr="00FE1610">
          <w:rPr>
            <w:noProof/>
            <w:webHidden/>
            <w:sz w:val="24"/>
            <w:szCs w:val="24"/>
          </w:rPr>
          <w:fldChar w:fldCharType="begin"/>
        </w:r>
        <w:r w:rsidR="00E00722" w:rsidRPr="00FE1610">
          <w:rPr>
            <w:noProof/>
            <w:webHidden/>
            <w:sz w:val="24"/>
            <w:szCs w:val="24"/>
          </w:rPr>
          <w:instrText xml:space="preserve"> PAGEREF _Toc259706181 \h </w:instrText>
        </w:r>
        <w:r w:rsidRPr="00FE1610">
          <w:rPr>
            <w:noProof/>
            <w:webHidden/>
            <w:sz w:val="24"/>
            <w:szCs w:val="24"/>
          </w:rPr>
        </w:r>
        <w:r w:rsidRPr="00FE1610">
          <w:rPr>
            <w:noProof/>
            <w:webHidden/>
            <w:sz w:val="24"/>
            <w:szCs w:val="24"/>
          </w:rPr>
          <w:fldChar w:fldCharType="separate"/>
        </w:r>
        <w:r w:rsidR="00795792">
          <w:rPr>
            <w:noProof/>
            <w:webHidden/>
            <w:sz w:val="24"/>
            <w:szCs w:val="24"/>
          </w:rPr>
          <w:t>14</w:t>
        </w:r>
        <w:r w:rsidRPr="00FE1610">
          <w:rPr>
            <w:noProof/>
            <w:webHidden/>
            <w:sz w:val="24"/>
            <w:szCs w:val="24"/>
          </w:rPr>
          <w:fldChar w:fldCharType="end"/>
        </w:r>
      </w:hyperlink>
    </w:p>
    <w:p w:rsidR="00E00722" w:rsidRPr="00FE1610" w:rsidRDefault="002B1E25">
      <w:pPr>
        <w:pStyle w:val="TOC1"/>
        <w:rPr>
          <w:rFonts w:ascii="Calibri" w:hAnsi="Calibri"/>
          <w:noProof/>
          <w:sz w:val="24"/>
          <w:szCs w:val="24"/>
        </w:rPr>
      </w:pPr>
      <w:r w:rsidRPr="00FE1610">
        <w:rPr>
          <w:rStyle w:val="Hyperlink"/>
          <w:noProof/>
          <w:sz w:val="24"/>
          <w:szCs w:val="24"/>
          <w:u w:val="none"/>
        </w:rPr>
        <w:tab/>
        <w:t xml:space="preserve">  </w:t>
      </w:r>
      <w:hyperlink w:anchor="_Toc259706182" w:history="1">
        <w:r w:rsidR="00E00722" w:rsidRPr="00FE1610">
          <w:rPr>
            <w:rStyle w:val="Hyperlink"/>
            <w:noProof/>
            <w:sz w:val="24"/>
            <w:szCs w:val="24"/>
          </w:rPr>
          <w:t>A.</w:t>
        </w:r>
        <w:r w:rsidR="00E00722" w:rsidRPr="00FE1610">
          <w:rPr>
            <w:rFonts w:ascii="Calibri" w:hAnsi="Calibri"/>
            <w:noProof/>
            <w:sz w:val="24"/>
            <w:szCs w:val="24"/>
          </w:rPr>
          <w:tab/>
        </w:r>
        <w:r w:rsidR="00E00722" w:rsidRPr="00FE1610">
          <w:rPr>
            <w:rStyle w:val="Hyperlink"/>
            <w:noProof/>
            <w:sz w:val="24"/>
            <w:szCs w:val="24"/>
          </w:rPr>
          <w:t>Background</w:t>
        </w:r>
        <w:r w:rsidR="00E00722" w:rsidRPr="00FE1610">
          <w:rPr>
            <w:noProof/>
            <w:webHidden/>
            <w:sz w:val="24"/>
            <w:szCs w:val="24"/>
          </w:rPr>
          <w:tab/>
        </w:r>
        <w:r w:rsidR="00700522" w:rsidRPr="00FE1610">
          <w:rPr>
            <w:noProof/>
            <w:webHidden/>
            <w:sz w:val="24"/>
            <w:szCs w:val="24"/>
          </w:rPr>
          <w:fldChar w:fldCharType="begin"/>
        </w:r>
        <w:r w:rsidR="00E00722" w:rsidRPr="00FE1610">
          <w:rPr>
            <w:noProof/>
            <w:webHidden/>
            <w:sz w:val="24"/>
            <w:szCs w:val="24"/>
          </w:rPr>
          <w:instrText xml:space="preserve"> PAGEREF _Toc259706182 \h </w:instrText>
        </w:r>
        <w:r w:rsidR="00700522" w:rsidRPr="00FE1610">
          <w:rPr>
            <w:noProof/>
            <w:webHidden/>
            <w:sz w:val="24"/>
            <w:szCs w:val="24"/>
          </w:rPr>
        </w:r>
        <w:r w:rsidR="00700522" w:rsidRPr="00FE1610">
          <w:rPr>
            <w:noProof/>
            <w:webHidden/>
            <w:sz w:val="24"/>
            <w:szCs w:val="24"/>
          </w:rPr>
          <w:fldChar w:fldCharType="separate"/>
        </w:r>
        <w:r w:rsidR="00795792">
          <w:rPr>
            <w:noProof/>
            <w:webHidden/>
            <w:sz w:val="24"/>
            <w:szCs w:val="24"/>
          </w:rPr>
          <w:t>14</w:t>
        </w:r>
        <w:r w:rsidR="00700522" w:rsidRPr="00FE1610">
          <w:rPr>
            <w:noProof/>
            <w:webHidden/>
            <w:sz w:val="24"/>
            <w:szCs w:val="24"/>
          </w:rPr>
          <w:fldChar w:fldCharType="end"/>
        </w:r>
      </w:hyperlink>
    </w:p>
    <w:p w:rsidR="00E00722" w:rsidRPr="00FE1610" w:rsidRDefault="002B1E25">
      <w:pPr>
        <w:pStyle w:val="TOC1"/>
        <w:rPr>
          <w:rFonts w:ascii="Calibri" w:hAnsi="Calibri"/>
          <w:noProof/>
          <w:sz w:val="24"/>
          <w:szCs w:val="24"/>
        </w:rPr>
      </w:pPr>
      <w:r w:rsidRPr="00FE1610">
        <w:rPr>
          <w:rStyle w:val="Hyperlink"/>
          <w:noProof/>
          <w:sz w:val="24"/>
          <w:szCs w:val="24"/>
          <w:u w:val="none"/>
        </w:rPr>
        <w:tab/>
        <w:t xml:space="preserve">  </w:t>
      </w:r>
      <w:hyperlink w:anchor="_Toc259706183" w:history="1">
        <w:r w:rsidR="00E00722" w:rsidRPr="00FE1610">
          <w:rPr>
            <w:rStyle w:val="Hyperlink"/>
            <w:noProof/>
            <w:sz w:val="24"/>
            <w:szCs w:val="24"/>
          </w:rPr>
          <w:t>B.</w:t>
        </w:r>
        <w:r w:rsidR="00E00722" w:rsidRPr="00FE1610">
          <w:rPr>
            <w:rFonts w:ascii="Calibri" w:hAnsi="Calibri"/>
            <w:noProof/>
            <w:sz w:val="24"/>
            <w:szCs w:val="24"/>
          </w:rPr>
          <w:tab/>
        </w:r>
        <w:r w:rsidR="00E00722" w:rsidRPr="00FE1610">
          <w:rPr>
            <w:rStyle w:val="Hyperlink"/>
            <w:noProof/>
            <w:sz w:val="24"/>
            <w:szCs w:val="24"/>
          </w:rPr>
          <w:t>Burden of proof</w:t>
        </w:r>
        <w:r w:rsidR="00E00722" w:rsidRPr="00FE1610">
          <w:rPr>
            <w:noProof/>
            <w:webHidden/>
            <w:sz w:val="24"/>
            <w:szCs w:val="24"/>
          </w:rPr>
          <w:tab/>
        </w:r>
        <w:r w:rsidR="00700522" w:rsidRPr="00FE1610">
          <w:rPr>
            <w:noProof/>
            <w:webHidden/>
            <w:sz w:val="24"/>
            <w:szCs w:val="24"/>
          </w:rPr>
          <w:fldChar w:fldCharType="begin"/>
        </w:r>
        <w:r w:rsidR="00E00722" w:rsidRPr="00FE1610">
          <w:rPr>
            <w:noProof/>
            <w:webHidden/>
            <w:sz w:val="24"/>
            <w:szCs w:val="24"/>
          </w:rPr>
          <w:instrText xml:space="preserve"> PAGEREF _Toc259706183 \h </w:instrText>
        </w:r>
        <w:r w:rsidR="00700522" w:rsidRPr="00FE1610">
          <w:rPr>
            <w:noProof/>
            <w:webHidden/>
            <w:sz w:val="24"/>
            <w:szCs w:val="24"/>
          </w:rPr>
        </w:r>
        <w:r w:rsidR="00700522" w:rsidRPr="00FE1610">
          <w:rPr>
            <w:noProof/>
            <w:webHidden/>
            <w:sz w:val="24"/>
            <w:szCs w:val="24"/>
          </w:rPr>
          <w:fldChar w:fldCharType="separate"/>
        </w:r>
        <w:r w:rsidR="00795792">
          <w:rPr>
            <w:noProof/>
            <w:webHidden/>
            <w:sz w:val="24"/>
            <w:szCs w:val="24"/>
          </w:rPr>
          <w:t>16</w:t>
        </w:r>
        <w:r w:rsidR="00700522" w:rsidRPr="00FE1610">
          <w:rPr>
            <w:noProof/>
            <w:webHidden/>
            <w:sz w:val="24"/>
            <w:szCs w:val="24"/>
          </w:rPr>
          <w:fldChar w:fldCharType="end"/>
        </w:r>
      </w:hyperlink>
    </w:p>
    <w:p w:rsidR="00E00722" w:rsidRPr="00FE1610" w:rsidRDefault="002B1E25">
      <w:pPr>
        <w:pStyle w:val="TOC1"/>
        <w:rPr>
          <w:rFonts w:ascii="Calibri" w:hAnsi="Calibri"/>
          <w:noProof/>
          <w:sz w:val="24"/>
          <w:szCs w:val="24"/>
        </w:rPr>
      </w:pPr>
      <w:r w:rsidRPr="00FE1610">
        <w:rPr>
          <w:rStyle w:val="Hyperlink"/>
          <w:noProof/>
          <w:sz w:val="24"/>
          <w:szCs w:val="24"/>
          <w:u w:val="none"/>
        </w:rPr>
        <w:tab/>
        <w:t xml:space="preserve">  </w:t>
      </w:r>
      <w:hyperlink w:anchor="_Toc259706184" w:history="1">
        <w:r w:rsidR="00E00722" w:rsidRPr="00FE1610">
          <w:rPr>
            <w:rStyle w:val="Hyperlink"/>
            <w:noProof/>
            <w:sz w:val="24"/>
            <w:szCs w:val="24"/>
          </w:rPr>
          <w:t>C.</w:t>
        </w:r>
        <w:r w:rsidR="00E00722" w:rsidRPr="00FE1610">
          <w:rPr>
            <w:rFonts w:ascii="Calibri" w:hAnsi="Calibri"/>
            <w:noProof/>
            <w:sz w:val="24"/>
            <w:szCs w:val="24"/>
          </w:rPr>
          <w:tab/>
        </w:r>
        <w:r w:rsidR="00E00722" w:rsidRPr="00FE1610">
          <w:rPr>
            <w:rStyle w:val="Hyperlink"/>
            <w:noProof/>
            <w:sz w:val="24"/>
            <w:szCs w:val="24"/>
          </w:rPr>
          <w:t>Joint Petition</w:t>
        </w:r>
        <w:r w:rsidR="00E00722" w:rsidRPr="00FE1610">
          <w:rPr>
            <w:noProof/>
            <w:webHidden/>
            <w:sz w:val="24"/>
            <w:szCs w:val="24"/>
          </w:rPr>
          <w:tab/>
        </w:r>
        <w:r w:rsidR="00700522" w:rsidRPr="00FE1610">
          <w:rPr>
            <w:noProof/>
            <w:webHidden/>
            <w:sz w:val="24"/>
            <w:szCs w:val="24"/>
          </w:rPr>
          <w:fldChar w:fldCharType="begin"/>
        </w:r>
        <w:r w:rsidR="00E00722" w:rsidRPr="00FE1610">
          <w:rPr>
            <w:noProof/>
            <w:webHidden/>
            <w:sz w:val="24"/>
            <w:szCs w:val="24"/>
          </w:rPr>
          <w:instrText xml:space="preserve"> PAGEREF _Toc259706184 \h </w:instrText>
        </w:r>
        <w:r w:rsidR="00700522" w:rsidRPr="00FE1610">
          <w:rPr>
            <w:noProof/>
            <w:webHidden/>
            <w:sz w:val="24"/>
            <w:szCs w:val="24"/>
          </w:rPr>
        </w:r>
        <w:r w:rsidR="00700522" w:rsidRPr="00FE1610">
          <w:rPr>
            <w:noProof/>
            <w:webHidden/>
            <w:sz w:val="24"/>
            <w:szCs w:val="24"/>
          </w:rPr>
          <w:fldChar w:fldCharType="separate"/>
        </w:r>
        <w:r w:rsidR="00795792">
          <w:rPr>
            <w:noProof/>
            <w:webHidden/>
            <w:sz w:val="24"/>
            <w:szCs w:val="24"/>
          </w:rPr>
          <w:t>17</w:t>
        </w:r>
        <w:r w:rsidR="00700522" w:rsidRPr="00FE1610">
          <w:rPr>
            <w:noProof/>
            <w:webHidden/>
            <w:sz w:val="24"/>
            <w:szCs w:val="24"/>
          </w:rPr>
          <w:fldChar w:fldCharType="end"/>
        </w:r>
      </w:hyperlink>
    </w:p>
    <w:p w:rsidR="00E00722" w:rsidRPr="00FE1610" w:rsidRDefault="002B1E25">
      <w:pPr>
        <w:pStyle w:val="TOC1"/>
        <w:rPr>
          <w:rFonts w:ascii="Calibri" w:hAnsi="Calibri"/>
          <w:noProof/>
          <w:sz w:val="24"/>
          <w:szCs w:val="24"/>
        </w:rPr>
      </w:pPr>
      <w:r w:rsidRPr="00FE1610">
        <w:rPr>
          <w:rStyle w:val="Hyperlink"/>
          <w:noProof/>
          <w:sz w:val="24"/>
          <w:szCs w:val="24"/>
          <w:u w:val="none"/>
        </w:rPr>
        <w:tab/>
      </w:r>
      <w:r w:rsidRPr="00FE1610">
        <w:rPr>
          <w:rStyle w:val="Hyperlink"/>
          <w:noProof/>
          <w:sz w:val="24"/>
          <w:szCs w:val="24"/>
          <w:u w:val="none"/>
        </w:rPr>
        <w:tab/>
      </w:r>
      <w:hyperlink w:anchor="_Toc259706185" w:history="1">
        <w:r w:rsidR="00E00722" w:rsidRPr="00FE1610">
          <w:rPr>
            <w:rStyle w:val="Hyperlink"/>
            <w:noProof/>
            <w:sz w:val="24"/>
            <w:szCs w:val="24"/>
          </w:rPr>
          <w:t>1.</w:t>
        </w:r>
        <w:r w:rsidRPr="00FE1610">
          <w:rPr>
            <w:rStyle w:val="Hyperlink"/>
            <w:noProof/>
            <w:sz w:val="24"/>
            <w:szCs w:val="24"/>
          </w:rPr>
          <w:t xml:space="preserve">  </w:t>
        </w:r>
        <w:r w:rsidR="00E00722" w:rsidRPr="00FE1610">
          <w:rPr>
            <w:rStyle w:val="Hyperlink"/>
            <w:noProof/>
            <w:sz w:val="24"/>
            <w:szCs w:val="24"/>
          </w:rPr>
          <w:t>Parties Statements in Support</w:t>
        </w:r>
        <w:r w:rsidR="00E00722" w:rsidRPr="00FE1610">
          <w:rPr>
            <w:noProof/>
            <w:webHidden/>
            <w:sz w:val="24"/>
            <w:szCs w:val="24"/>
          </w:rPr>
          <w:tab/>
        </w:r>
        <w:r w:rsidR="00700522" w:rsidRPr="00FE1610">
          <w:rPr>
            <w:noProof/>
            <w:webHidden/>
            <w:sz w:val="24"/>
            <w:szCs w:val="24"/>
          </w:rPr>
          <w:fldChar w:fldCharType="begin"/>
        </w:r>
        <w:r w:rsidR="00E00722" w:rsidRPr="00FE1610">
          <w:rPr>
            <w:noProof/>
            <w:webHidden/>
            <w:sz w:val="24"/>
            <w:szCs w:val="24"/>
          </w:rPr>
          <w:instrText xml:space="preserve"> PAGEREF _Toc259706185 \h </w:instrText>
        </w:r>
        <w:r w:rsidR="00700522" w:rsidRPr="00FE1610">
          <w:rPr>
            <w:noProof/>
            <w:webHidden/>
            <w:sz w:val="24"/>
            <w:szCs w:val="24"/>
          </w:rPr>
        </w:r>
        <w:r w:rsidR="00700522" w:rsidRPr="00FE1610">
          <w:rPr>
            <w:noProof/>
            <w:webHidden/>
            <w:sz w:val="24"/>
            <w:szCs w:val="24"/>
          </w:rPr>
          <w:fldChar w:fldCharType="separate"/>
        </w:r>
        <w:r w:rsidR="00795792">
          <w:rPr>
            <w:noProof/>
            <w:webHidden/>
            <w:sz w:val="24"/>
            <w:szCs w:val="24"/>
          </w:rPr>
          <w:t>17</w:t>
        </w:r>
        <w:r w:rsidR="00700522" w:rsidRPr="00FE1610">
          <w:rPr>
            <w:noProof/>
            <w:webHidden/>
            <w:sz w:val="24"/>
            <w:szCs w:val="24"/>
          </w:rPr>
          <w:fldChar w:fldCharType="end"/>
        </w:r>
      </w:hyperlink>
    </w:p>
    <w:p w:rsidR="00E00722" w:rsidRPr="00FE1610" w:rsidRDefault="002B1E25">
      <w:pPr>
        <w:pStyle w:val="TOC1"/>
        <w:rPr>
          <w:rFonts w:ascii="Calibri" w:hAnsi="Calibri"/>
          <w:noProof/>
          <w:sz w:val="24"/>
          <w:szCs w:val="24"/>
        </w:rPr>
      </w:pPr>
      <w:r w:rsidRPr="00FE1610">
        <w:rPr>
          <w:rStyle w:val="Hyperlink"/>
          <w:noProof/>
          <w:sz w:val="24"/>
          <w:szCs w:val="24"/>
          <w:u w:val="none"/>
        </w:rPr>
        <w:tab/>
      </w:r>
      <w:r w:rsidRPr="00FE1610">
        <w:rPr>
          <w:rStyle w:val="Hyperlink"/>
          <w:noProof/>
          <w:sz w:val="24"/>
          <w:szCs w:val="24"/>
          <w:u w:val="none"/>
        </w:rPr>
        <w:tab/>
      </w:r>
      <w:hyperlink w:anchor="_Toc259706186" w:history="1">
        <w:r w:rsidR="00E00722" w:rsidRPr="00FE1610">
          <w:rPr>
            <w:rStyle w:val="Hyperlink"/>
            <w:noProof/>
            <w:sz w:val="24"/>
            <w:szCs w:val="24"/>
          </w:rPr>
          <w:t>2.</w:t>
        </w:r>
        <w:r w:rsidRPr="00FE1610">
          <w:rPr>
            <w:rStyle w:val="Hyperlink"/>
            <w:noProof/>
            <w:sz w:val="24"/>
            <w:szCs w:val="24"/>
          </w:rPr>
          <w:t xml:space="preserve">  </w:t>
        </w:r>
        <w:r w:rsidR="00E00722" w:rsidRPr="00FE1610">
          <w:rPr>
            <w:rStyle w:val="Hyperlink"/>
            <w:noProof/>
            <w:sz w:val="24"/>
            <w:szCs w:val="24"/>
          </w:rPr>
          <w:t>OTS Opposition to Joint Petition</w:t>
        </w:r>
        <w:r w:rsidR="00E00722" w:rsidRPr="00FE1610">
          <w:rPr>
            <w:noProof/>
            <w:webHidden/>
            <w:sz w:val="24"/>
            <w:szCs w:val="24"/>
          </w:rPr>
          <w:tab/>
        </w:r>
        <w:r w:rsidR="00700522" w:rsidRPr="00FE1610">
          <w:rPr>
            <w:noProof/>
            <w:webHidden/>
            <w:sz w:val="24"/>
            <w:szCs w:val="24"/>
          </w:rPr>
          <w:fldChar w:fldCharType="begin"/>
        </w:r>
        <w:r w:rsidR="00E00722" w:rsidRPr="00FE1610">
          <w:rPr>
            <w:noProof/>
            <w:webHidden/>
            <w:sz w:val="24"/>
            <w:szCs w:val="24"/>
          </w:rPr>
          <w:instrText xml:space="preserve"> PAGEREF _Toc259706186 \h </w:instrText>
        </w:r>
        <w:r w:rsidR="00700522" w:rsidRPr="00FE1610">
          <w:rPr>
            <w:noProof/>
            <w:webHidden/>
            <w:sz w:val="24"/>
            <w:szCs w:val="24"/>
          </w:rPr>
        </w:r>
        <w:r w:rsidR="00700522" w:rsidRPr="00FE1610">
          <w:rPr>
            <w:noProof/>
            <w:webHidden/>
            <w:sz w:val="24"/>
            <w:szCs w:val="24"/>
          </w:rPr>
          <w:fldChar w:fldCharType="separate"/>
        </w:r>
        <w:r w:rsidR="00795792">
          <w:rPr>
            <w:noProof/>
            <w:webHidden/>
            <w:sz w:val="24"/>
            <w:szCs w:val="24"/>
          </w:rPr>
          <w:t>23</w:t>
        </w:r>
        <w:r w:rsidR="00700522" w:rsidRPr="00FE1610">
          <w:rPr>
            <w:noProof/>
            <w:webHidden/>
            <w:sz w:val="24"/>
            <w:szCs w:val="24"/>
          </w:rPr>
          <w:fldChar w:fldCharType="end"/>
        </w:r>
      </w:hyperlink>
    </w:p>
    <w:p w:rsidR="00E00722" w:rsidRPr="00FE1610" w:rsidRDefault="002B1E25">
      <w:pPr>
        <w:pStyle w:val="TOC1"/>
        <w:rPr>
          <w:rFonts w:ascii="Calibri" w:hAnsi="Calibri"/>
          <w:noProof/>
          <w:sz w:val="24"/>
          <w:szCs w:val="24"/>
        </w:rPr>
      </w:pPr>
      <w:r w:rsidRPr="00FE1610">
        <w:rPr>
          <w:rStyle w:val="Hyperlink"/>
          <w:noProof/>
          <w:sz w:val="24"/>
          <w:szCs w:val="24"/>
          <w:u w:val="none"/>
        </w:rPr>
        <w:tab/>
      </w:r>
      <w:r w:rsidRPr="00FE1610">
        <w:rPr>
          <w:rStyle w:val="Hyperlink"/>
          <w:noProof/>
          <w:sz w:val="24"/>
          <w:szCs w:val="24"/>
          <w:u w:val="none"/>
        </w:rPr>
        <w:tab/>
      </w:r>
      <w:hyperlink w:anchor="_Toc259706187" w:history="1">
        <w:r w:rsidR="00E00722" w:rsidRPr="00FE1610">
          <w:rPr>
            <w:rStyle w:val="Hyperlink"/>
            <w:noProof/>
            <w:sz w:val="24"/>
            <w:szCs w:val="24"/>
          </w:rPr>
          <w:t>3.</w:t>
        </w:r>
        <w:r w:rsidRPr="00FE1610">
          <w:rPr>
            <w:rStyle w:val="Hyperlink"/>
            <w:noProof/>
            <w:sz w:val="24"/>
            <w:szCs w:val="24"/>
          </w:rPr>
          <w:t xml:space="preserve">  </w:t>
        </w:r>
        <w:r w:rsidR="00E00722" w:rsidRPr="00FE1610">
          <w:rPr>
            <w:rStyle w:val="Hyperlink"/>
            <w:noProof/>
            <w:sz w:val="24"/>
            <w:szCs w:val="24"/>
          </w:rPr>
          <w:t>Disposition</w:t>
        </w:r>
        <w:r w:rsidR="00E00722" w:rsidRPr="00FE1610">
          <w:rPr>
            <w:noProof/>
            <w:webHidden/>
            <w:sz w:val="24"/>
            <w:szCs w:val="24"/>
          </w:rPr>
          <w:tab/>
        </w:r>
        <w:r w:rsidR="00700522" w:rsidRPr="00FE1610">
          <w:rPr>
            <w:noProof/>
            <w:webHidden/>
            <w:sz w:val="24"/>
            <w:szCs w:val="24"/>
          </w:rPr>
          <w:fldChar w:fldCharType="begin"/>
        </w:r>
        <w:r w:rsidR="00E00722" w:rsidRPr="00FE1610">
          <w:rPr>
            <w:noProof/>
            <w:webHidden/>
            <w:sz w:val="24"/>
            <w:szCs w:val="24"/>
          </w:rPr>
          <w:instrText xml:space="preserve"> PAGEREF _Toc259706187 \h </w:instrText>
        </w:r>
        <w:r w:rsidR="00700522" w:rsidRPr="00FE1610">
          <w:rPr>
            <w:noProof/>
            <w:webHidden/>
            <w:sz w:val="24"/>
            <w:szCs w:val="24"/>
          </w:rPr>
        </w:r>
        <w:r w:rsidR="00700522" w:rsidRPr="00FE1610">
          <w:rPr>
            <w:noProof/>
            <w:webHidden/>
            <w:sz w:val="24"/>
            <w:szCs w:val="24"/>
          </w:rPr>
          <w:fldChar w:fldCharType="separate"/>
        </w:r>
        <w:r w:rsidR="00795792">
          <w:rPr>
            <w:noProof/>
            <w:webHidden/>
            <w:sz w:val="24"/>
            <w:szCs w:val="24"/>
          </w:rPr>
          <w:t>25</w:t>
        </w:r>
        <w:r w:rsidR="00700522" w:rsidRPr="00FE1610">
          <w:rPr>
            <w:noProof/>
            <w:webHidden/>
            <w:sz w:val="24"/>
            <w:szCs w:val="24"/>
          </w:rPr>
          <w:fldChar w:fldCharType="end"/>
        </w:r>
      </w:hyperlink>
    </w:p>
    <w:p w:rsidR="00E00722" w:rsidRPr="00FE1610" w:rsidRDefault="002B1E25" w:rsidP="00FE1610">
      <w:pPr>
        <w:pStyle w:val="TOC1"/>
        <w:ind w:left="720" w:hanging="720"/>
        <w:rPr>
          <w:rFonts w:ascii="Calibri" w:hAnsi="Calibri"/>
          <w:noProof/>
          <w:sz w:val="24"/>
          <w:szCs w:val="24"/>
        </w:rPr>
      </w:pPr>
      <w:r w:rsidRPr="00FE1610">
        <w:rPr>
          <w:rStyle w:val="Hyperlink"/>
          <w:noProof/>
          <w:sz w:val="24"/>
          <w:szCs w:val="24"/>
          <w:u w:val="none"/>
        </w:rPr>
        <w:tab/>
        <w:t xml:space="preserve">  </w:t>
      </w:r>
      <w:hyperlink w:anchor="_Toc259706188" w:history="1">
        <w:r w:rsidR="00E00722" w:rsidRPr="00FE1610">
          <w:rPr>
            <w:rStyle w:val="Hyperlink"/>
            <w:noProof/>
            <w:sz w:val="24"/>
            <w:szCs w:val="24"/>
          </w:rPr>
          <w:t>D.</w:t>
        </w:r>
        <w:r w:rsidR="00E00722" w:rsidRPr="00FE1610">
          <w:rPr>
            <w:rFonts w:ascii="Calibri" w:hAnsi="Calibri"/>
            <w:noProof/>
            <w:sz w:val="24"/>
            <w:szCs w:val="24"/>
          </w:rPr>
          <w:tab/>
        </w:r>
        <w:r w:rsidR="00E00722" w:rsidRPr="00FE1610">
          <w:rPr>
            <w:rStyle w:val="Hyperlink"/>
            <w:noProof/>
            <w:sz w:val="24"/>
            <w:szCs w:val="24"/>
          </w:rPr>
          <w:t>PECO’s Proposal To Terminate Service Based On EGS</w:t>
        </w:r>
        <w:r w:rsidR="00FE1610">
          <w:rPr>
            <w:rStyle w:val="Hyperlink"/>
            <w:noProof/>
            <w:sz w:val="24"/>
            <w:szCs w:val="24"/>
          </w:rPr>
          <w:t xml:space="preserve"> Charges Incurred Prior To        Janu</w:t>
        </w:r>
        <w:r w:rsidR="00E00722" w:rsidRPr="00FE1610">
          <w:rPr>
            <w:rStyle w:val="Hyperlink"/>
            <w:noProof/>
            <w:sz w:val="24"/>
            <w:szCs w:val="24"/>
          </w:rPr>
          <w:t>ry 1, 2011</w:t>
        </w:r>
        <w:r w:rsidR="00E00722" w:rsidRPr="00FE1610">
          <w:rPr>
            <w:noProof/>
            <w:webHidden/>
            <w:sz w:val="24"/>
            <w:szCs w:val="24"/>
          </w:rPr>
          <w:tab/>
        </w:r>
        <w:r w:rsidR="00700522" w:rsidRPr="00FE1610">
          <w:rPr>
            <w:noProof/>
            <w:webHidden/>
            <w:sz w:val="24"/>
            <w:szCs w:val="24"/>
          </w:rPr>
          <w:fldChar w:fldCharType="begin"/>
        </w:r>
        <w:r w:rsidR="00E00722" w:rsidRPr="00FE1610">
          <w:rPr>
            <w:noProof/>
            <w:webHidden/>
            <w:sz w:val="24"/>
            <w:szCs w:val="24"/>
          </w:rPr>
          <w:instrText xml:space="preserve"> PAGEREF _Toc259706188 \h </w:instrText>
        </w:r>
        <w:r w:rsidR="00700522" w:rsidRPr="00FE1610">
          <w:rPr>
            <w:noProof/>
            <w:webHidden/>
            <w:sz w:val="24"/>
            <w:szCs w:val="24"/>
          </w:rPr>
        </w:r>
        <w:r w:rsidR="00700522" w:rsidRPr="00FE1610">
          <w:rPr>
            <w:noProof/>
            <w:webHidden/>
            <w:sz w:val="24"/>
            <w:szCs w:val="24"/>
          </w:rPr>
          <w:fldChar w:fldCharType="separate"/>
        </w:r>
        <w:r w:rsidR="00795792">
          <w:rPr>
            <w:noProof/>
            <w:webHidden/>
            <w:sz w:val="24"/>
            <w:szCs w:val="24"/>
          </w:rPr>
          <w:t>26</w:t>
        </w:r>
        <w:r w:rsidR="00700522" w:rsidRPr="00FE1610">
          <w:rPr>
            <w:noProof/>
            <w:webHidden/>
            <w:sz w:val="24"/>
            <w:szCs w:val="24"/>
          </w:rPr>
          <w:fldChar w:fldCharType="end"/>
        </w:r>
      </w:hyperlink>
    </w:p>
    <w:p w:rsidR="00E00722" w:rsidRPr="00FE1610" w:rsidRDefault="002B1E25">
      <w:pPr>
        <w:pStyle w:val="TOC1"/>
        <w:rPr>
          <w:rFonts w:ascii="Calibri" w:hAnsi="Calibri"/>
          <w:noProof/>
          <w:sz w:val="24"/>
          <w:szCs w:val="24"/>
        </w:rPr>
      </w:pPr>
      <w:r w:rsidRPr="00FE1610">
        <w:rPr>
          <w:rStyle w:val="Hyperlink"/>
          <w:noProof/>
          <w:sz w:val="24"/>
          <w:szCs w:val="24"/>
          <w:u w:val="none"/>
        </w:rPr>
        <w:tab/>
      </w:r>
      <w:r w:rsidRPr="00FE1610">
        <w:rPr>
          <w:rStyle w:val="Hyperlink"/>
          <w:noProof/>
          <w:sz w:val="24"/>
          <w:szCs w:val="24"/>
          <w:u w:val="none"/>
        </w:rPr>
        <w:tab/>
      </w:r>
      <w:hyperlink w:anchor="_Toc259706189" w:history="1">
        <w:r w:rsidR="00E00722" w:rsidRPr="00FE1610">
          <w:rPr>
            <w:rStyle w:val="Hyperlink"/>
            <w:noProof/>
            <w:sz w:val="24"/>
            <w:szCs w:val="24"/>
          </w:rPr>
          <w:t>1.</w:t>
        </w:r>
        <w:r w:rsidRPr="00FE1610">
          <w:rPr>
            <w:rStyle w:val="Hyperlink"/>
            <w:noProof/>
            <w:sz w:val="24"/>
            <w:szCs w:val="24"/>
          </w:rPr>
          <w:t xml:space="preserve">  </w:t>
        </w:r>
        <w:r w:rsidR="00E00722" w:rsidRPr="00FE1610">
          <w:rPr>
            <w:rStyle w:val="Hyperlink"/>
            <w:noProof/>
            <w:sz w:val="24"/>
            <w:szCs w:val="24"/>
          </w:rPr>
          <w:t>PECO’s Position and RESA’s Support for PECO’s Position</w:t>
        </w:r>
        <w:r w:rsidR="00E00722" w:rsidRPr="00FE1610">
          <w:rPr>
            <w:noProof/>
            <w:webHidden/>
            <w:sz w:val="24"/>
            <w:szCs w:val="24"/>
          </w:rPr>
          <w:tab/>
        </w:r>
        <w:r w:rsidR="00700522" w:rsidRPr="00FE1610">
          <w:rPr>
            <w:noProof/>
            <w:webHidden/>
            <w:sz w:val="24"/>
            <w:szCs w:val="24"/>
          </w:rPr>
          <w:fldChar w:fldCharType="begin"/>
        </w:r>
        <w:r w:rsidR="00E00722" w:rsidRPr="00FE1610">
          <w:rPr>
            <w:noProof/>
            <w:webHidden/>
            <w:sz w:val="24"/>
            <w:szCs w:val="24"/>
          </w:rPr>
          <w:instrText xml:space="preserve"> PAGEREF _Toc259706189 \h </w:instrText>
        </w:r>
        <w:r w:rsidR="00700522" w:rsidRPr="00FE1610">
          <w:rPr>
            <w:noProof/>
            <w:webHidden/>
            <w:sz w:val="24"/>
            <w:szCs w:val="24"/>
          </w:rPr>
        </w:r>
        <w:r w:rsidR="00700522" w:rsidRPr="00FE1610">
          <w:rPr>
            <w:noProof/>
            <w:webHidden/>
            <w:sz w:val="24"/>
            <w:szCs w:val="24"/>
          </w:rPr>
          <w:fldChar w:fldCharType="separate"/>
        </w:r>
        <w:r w:rsidR="00795792">
          <w:rPr>
            <w:noProof/>
            <w:webHidden/>
            <w:sz w:val="24"/>
            <w:szCs w:val="24"/>
          </w:rPr>
          <w:t>26</w:t>
        </w:r>
        <w:r w:rsidR="00700522" w:rsidRPr="00FE1610">
          <w:rPr>
            <w:noProof/>
            <w:webHidden/>
            <w:sz w:val="24"/>
            <w:szCs w:val="24"/>
          </w:rPr>
          <w:fldChar w:fldCharType="end"/>
        </w:r>
      </w:hyperlink>
    </w:p>
    <w:p w:rsidR="00E00722" w:rsidRPr="00FE1610" w:rsidRDefault="002B1E25">
      <w:pPr>
        <w:pStyle w:val="TOC1"/>
        <w:rPr>
          <w:rFonts w:ascii="Calibri" w:hAnsi="Calibri"/>
          <w:noProof/>
          <w:sz w:val="24"/>
          <w:szCs w:val="24"/>
        </w:rPr>
      </w:pPr>
      <w:r w:rsidRPr="00FE1610">
        <w:rPr>
          <w:rStyle w:val="Hyperlink"/>
          <w:noProof/>
          <w:sz w:val="24"/>
          <w:szCs w:val="24"/>
          <w:u w:val="none"/>
        </w:rPr>
        <w:tab/>
      </w:r>
      <w:r w:rsidRPr="00FE1610">
        <w:rPr>
          <w:rStyle w:val="Hyperlink"/>
          <w:noProof/>
          <w:sz w:val="24"/>
          <w:szCs w:val="24"/>
          <w:u w:val="none"/>
        </w:rPr>
        <w:tab/>
      </w:r>
      <w:hyperlink w:anchor="_Toc259706190" w:history="1">
        <w:r w:rsidR="00E00722" w:rsidRPr="00FE1610">
          <w:rPr>
            <w:rStyle w:val="Hyperlink"/>
            <w:noProof/>
            <w:sz w:val="24"/>
            <w:szCs w:val="24"/>
          </w:rPr>
          <w:t>2.</w:t>
        </w:r>
        <w:r w:rsidRPr="00FE1610">
          <w:rPr>
            <w:rStyle w:val="Hyperlink"/>
            <w:noProof/>
            <w:sz w:val="24"/>
            <w:szCs w:val="24"/>
          </w:rPr>
          <w:t xml:space="preserve">  </w:t>
        </w:r>
        <w:r w:rsidR="00E00722" w:rsidRPr="00FE1610">
          <w:rPr>
            <w:rStyle w:val="Hyperlink"/>
            <w:noProof/>
            <w:sz w:val="24"/>
            <w:szCs w:val="24"/>
          </w:rPr>
          <w:t>OCA and OSBA Oppose PECO’s Position</w:t>
        </w:r>
        <w:r w:rsidR="00E00722" w:rsidRPr="00FE1610">
          <w:rPr>
            <w:noProof/>
            <w:webHidden/>
            <w:sz w:val="24"/>
            <w:szCs w:val="24"/>
          </w:rPr>
          <w:tab/>
        </w:r>
        <w:r w:rsidR="00700522" w:rsidRPr="00FE1610">
          <w:rPr>
            <w:noProof/>
            <w:webHidden/>
            <w:sz w:val="24"/>
            <w:szCs w:val="24"/>
          </w:rPr>
          <w:fldChar w:fldCharType="begin"/>
        </w:r>
        <w:r w:rsidR="00E00722" w:rsidRPr="00FE1610">
          <w:rPr>
            <w:noProof/>
            <w:webHidden/>
            <w:sz w:val="24"/>
            <w:szCs w:val="24"/>
          </w:rPr>
          <w:instrText xml:space="preserve"> PAGEREF _Toc259706190 \h </w:instrText>
        </w:r>
        <w:r w:rsidR="00700522" w:rsidRPr="00FE1610">
          <w:rPr>
            <w:noProof/>
            <w:webHidden/>
            <w:sz w:val="24"/>
            <w:szCs w:val="24"/>
          </w:rPr>
        </w:r>
        <w:r w:rsidR="00700522" w:rsidRPr="00FE1610">
          <w:rPr>
            <w:noProof/>
            <w:webHidden/>
            <w:sz w:val="24"/>
            <w:szCs w:val="24"/>
          </w:rPr>
          <w:fldChar w:fldCharType="separate"/>
        </w:r>
        <w:r w:rsidR="00795792">
          <w:rPr>
            <w:noProof/>
            <w:webHidden/>
            <w:sz w:val="24"/>
            <w:szCs w:val="24"/>
          </w:rPr>
          <w:t>28</w:t>
        </w:r>
        <w:r w:rsidR="00700522" w:rsidRPr="00FE1610">
          <w:rPr>
            <w:noProof/>
            <w:webHidden/>
            <w:sz w:val="24"/>
            <w:szCs w:val="24"/>
          </w:rPr>
          <w:fldChar w:fldCharType="end"/>
        </w:r>
      </w:hyperlink>
    </w:p>
    <w:p w:rsidR="00E00722" w:rsidRPr="00FE1610" w:rsidRDefault="002B1E25">
      <w:pPr>
        <w:pStyle w:val="TOC1"/>
        <w:rPr>
          <w:rFonts w:ascii="Calibri" w:hAnsi="Calibri"/>
          <w:noProof/>
          <w:sz w:val="24"/>
          <w:szCs w:val="24"/>
        </w:rPr>
      </w:pPr>
      <w:r w:rsidRPr="00FE1610">
        <w:rPr>
          <w:rStyle w:val="Hyperlink"/>
          <w:noProof/>
          <w:sz w:val="24"/>
          <w:szCs w:val="24"/>
          <w:u w:val="none"/>
        </w:rPr>
        <w:tab/>
      </w:r>
      <w:r w:rsidRPr="00FE1610">
        <w:rPr>
          <w:rStyle w:val="Hyperlink"/>
          <w:noProof/>
          <w:sz w:val="24"/>
          <w:szCs w:val="24"/>
          <w:u w:val="none"/>
        </w:rPr>
        <w:tab/>
      </w:r>
      <w:hyperlink w:anchor="_Toc259706191" w:history="1">
        <w:r w:rsidR="00E00722" w:rsidRPr="00FE1610">
          <w:rPr>
            <w:rStyle w:val="Hyperlink"/>
            <w:noProof/>
            <w:sz w:val="24"/>
            <w:szCs w:val="24"/>
          </w:rPr>
          <w:t>3.</w:t>
        </w:r>
        <w:r w:rsidRPr="00FE1610">
          <w:rPr>
            <w:rStyle w:val="Hyperlink"/>
            <w:noProof/>
            <w:sz w:val="24"/>
            <w:szCs w:val="24"/>
          </w:rPr>
          <w:t xml:space="preserve">  </w:t>
        </w:r>
        <w:r w:rsidR="00E00722" w:rsidRPr="00FE1610">
          <w:rPr>
            <w:rStyle w:val="Hyperlink"/>
            <w:noProof/>
            <w:sz w:val="24"/>
            <w:szCs w:val="24"/>
          </w:rPr>
          <w:t>PECO’s Response</w:t>
        </w:r>
        <w:r w:rsidR="00E00722" w:rsidRPr="00FE1610">
          <w:rPr>
            <w:noProof/>
            <w:webHidden/>
            <w:sz w:val="24"/>
            <w:szCs w:val="24"/>
          </w:rPr>
          <w:tab/>
        </w:r>
        <w:r w:rsidR="00700522" w:rsidRPr="00FE1610">
          <w:rPr>
            <w:noProof/>
            <w:webHidden/>
            <w:sz w:val="24"/>
            <w:szCs w:val="24"/>
          </w:rPr>
          <w:fldChar w:fldCharType="begin"/>
        </w:r>
        <w:r w:rsidR="00E00722" w:rsidRPr="00FE1610">
          <w:rPr>
            <w:noProof/>
            <w:webHidden/>
            <w:sz w:val="24"/>
            <w:szCs w:val="24"/>
          </w:rPr>
          <w:instrText xml:space="preserve"> PAGEREF _Toc259706191 \h </w:instrText>
        </w:r>
        <w:r w:rsidR="00700522" w:rsidRPr="00FE1610">
          <w:rPr>
            <w:noProof/>
            <w:webHidden/>
            <w:sz w:val="24"/>
            <w:szCs w:val="24"/>
          </w:rPr>
        </w:r>
        <w:r w:rsidR="00700522" w:rsidRPr="00FE1610">
          <w:rPr>
            <w:noProof/>
            <w:webHidden/>
            <w:sz w:val="24"/>
            <w:szCs w:val="24"/>
          </w:rPr>
          <w:fldChar w:fldCharType="separate"/>
        </w:r>
        <w:r w:rsidR="00795792">
          <w:rPr>
            <w:noProof/>
            <w:webHidden/>
            <w:sz w:val="24"/>
            <w:szCs w:val="24"/>
          </w:rPr>
          <w:t>34</w:t>
        </w:r>
        <w:r w:rsidR="00700522" w:rsidRPr="00FE1610">
          <w:rPr>
            <w:noProof/>
            <w:webHidden/>
            <w:sz w:val="24"/>
            <w:szCs w:val="24"/>
          </w:rPr>
          <w:fldChar w:fldCharType="end"/>
        </w:r>
      </w:hyperlink>
    </w:p>
    <w:p w:rsidR="00E00722" w:rsidRPr="00FE1610" w:rsidRDefault="002B1E25">
      <w:pPr>
        <w:pStyle w:val="TOC1"/>
        <w:rPr>
          <w:rFonts w:ascii="Calibri" w:hAnsi="Calibri"/>
          <w:noProof/>
          <w:sz w:val="24"/>
          <w:szCs w:val="24"/>
        </w:rPr>
      </w:pPr>
      <w:r w:rsidRPr="00FE1610">
        <w:rPr>
          <w:rStyle w:val="Hyperlink"/>
          <w:noProof/>
          <w:sz w:val="24"/>
          <w:szCs w:val="24"/>
          <w:u w:val="none"/>
        </w:rPr>
        <w:tab/>
      </w:r>
      <w:r w:rsidRPr="00FE1610">
        <w:rPr>
          <w:rStyle w:val="Hyperlink"/>
          <w:noProof/>
          <w:sz w:val="24"/>
          <w:szCs w:val="24"/>
          <w:u w:val="none"/>
        </w:rPr>
        <w:tab/>
      </w:r>
      <w:hyperlink w:anchor="_Toc259706192" w:history="1">
        <w:r w:rsidR="00E00722" w:rsidRPr="00FE1610">
          <w:rPr>
            <w:rStyle w:val="Hyperlink"/>
            <w:noProof/>
            <w:sz w:val="24"/>
            <w:szCs w:val="24"/>
          </w:rPr>
          <w:t>4.</w:t>
        </w:r>
        <w:r w:rsidRPr="00FE1610">
          <w:rPr>
            <w:rStyle w:val="Hyperlink"/>
            <w:noProof/>
            <w:sz w:val="24"/>
            <w:szCs w:val="24"/>
          </w:rPr>
          <w:t xml:space="preserve">  </w:t>
        </w:r>
        <w:r w:rsidR="00E00722" w:rsidRPr="00FE1610">
          <w:rPr>
            <w:rStyle w:val="Hyperlink"/>
            <w:noProof/>
            <w:sz w:val="24"/>
            <w:szCs w:val="24"/>
          </w:rPr>
          <w:t>Disposition</w:t>
        </w:r>
        <w:r w:rsidR="00E00722" w:rsidRPr="00FE1610">
          <w:rPr>
            <w:noProof/>
            <w:webHidden/>
            <w:sz w:val="24"/>
            <w:szCs w:val="24"/>
          </w:rPr>
          <w:tab/>
        </w:r>
        <w:r w:rsidR="00700522" w:rsidRPr="00FE1610">
          <w:rPr>
            <w:noProof/>
            <w:webHidden/>
            <w:sz w:val="24"/>
            <w:szCs w:val="24"/>
          </w:rPr>
          <w:fldChar w:fldCharType="begin"/>
        </w:r>
        <w:r w:rsidR="00E00722" w:rsidRPr="00FE1610">
          <w:rPr>
            <w:noProof/>
            <w:webHidden/>
            <w:sz w:val="24"/>
            <w:szCs w:val="24"/>
          </w:rPr>
          <w:instrText xml:space="preserve"> PAGEREF _Toc259706192 \h </w:instrText>
        </w:r>
        <w:r w:rsidR="00700522" w:rsidRPr="00FE1610">
          <w:rPr>
            <w:noProof/>
            <w:webHidden/>
            <w:sz w:val="24"/>
            <w:szCs w:val="24"/>
          </w:rPr>
        </w:r>
        <w:r w:rsidR="00700522" w:rsidRPr="00FE1610">
          <w:rPr>
            <w:noProof/>
            <w:webHidden/>
            <w:sz w:val="24"/>
            <w:szCs w:val="24"/>
          </w:rPr>
          <w:fldChar w:fldCharType="separate"/>
        </w:r>
        <w:r w:rsidR="00795792">
          <w:rPr>
            <w:noProof/>
            <w:webHidden/>
            <w:sz w:val="24"/>
            <w:szCs w:val="24"/>
          </w:rPr>
          <w:t>34</w:t>
        </w:r>
        <w:r w:rsidR="00700522" w:rsidRPr="00FE1610">
          <w:rPr>
            <w:noProof/>
            <w:webHidden/>
            <w:sz w:val="24"/>
            <w:szCs w:val="24"/>
          </w:rPr>
          <w:fldChar w:fldCharType="end"/>
        </w:r>
      </w:hyperlink>
    </w:p>
    <w:p w:rsidR="00E00722" w:rsidRPr="00FE1610" w:rsidRDefault="002B1E25" w:rsidP="00FE1610">
      <w:pPr>
        <w:pStyle w:val="TOC1"/>
        <w:ind w:left="720" w:hanging="720"/>
        <w:rPr>
          <w:rFonts w:ascii="Calibri" w:hAnsi="Calibri"/>
          <w:noProof/>
          <w:sz w:val="24"/>
          <w:szCs w:val="24"/>
        </w:rPr>
      </w:pPr>
      <w:r w:rsidRPr="00FE1610">
        <w:rPr>
          <w:rStyle w:val="Hyperlink"/>
          <w:noProof/>
          <w:sz w:val="24"/>
          <w:szCs w:val="24"/>
          <w:u w:val="none"/>
        </w:rPr>
        <w:tab/>
        <w:t xml:space="preserve">   </w:t>
      </w:r>
      <w:hyperlink w:anchor="_Toc259706193" w:history="1">
        <w:r w:rsidR="00E00722" w:rsidRPr="00FE1610">
          <w:rPr>
            <w:rStyle w:val="Hyperlink"/>
            <w:noProof/>
            <w:sz w:val="24"/>
            <w:szCs w:val="24"/>
          </w:rPr>
          <w:t>E.</w:t>
        </w:r>
        <w:r w:rsidR="00E00722" w:rsidRPr="00FE1610">
          <w:rPr>
            <w:rFonts w:ascii="Calibri" w:hAnsi="Calibri"/>
            <w:noProof/>
            <w:sz w:val="24"/>
            <w:szCs w:val="24"/>
          </w:rPr>
          <w:tab/>
        </w:r>
        <w:r w:rsidR="00E00722" w:rsidRPr="00FE1610">
          <w:rPr>
            <w:rStyle w:val="Hyperlink"/>
            <w:noProof/>
            <w:sz w:val="24"/>
            <w:szCs w:val="24"/>
          </w:rPr>
          <w:t>OTS’ Proposal to require PECO to unbundle its g</w:t>
        </w:r>
        <w:r w:rsidR="00C22302">
          <w:rPr>
            <w:rStyle w:val="Hyperlink"/>
            <w:noProof/>
            <w:sz w:val="24"/>
            <w:szCs w:val="24"/>
          </w:rPr>
          <w:t>eneration-related uncollectible</w:t>
        </w:r>
        <w:r w:rsidR="00FE1610">
          <w:rPr>
            <w:rStyle w:val="Hyperlink"/>
            <w:noProof/>
            <w:sz w:val="24"/>
            <w:szCs w:val="24"/>
          </w:rPr>
          <w:t xml:space="preserve"> accounts </w:t>
        </w:r>
        <w:r w:rsidR="00E00722" w:rsidRPr="00FE1610">
          <w:rPr>
            <w:rStyle w:val="Hyperlink"/>
            <w:noProof/>
            <w:sz w:val="24"/>
            <w:szCs w:val="24"/>
          </w:rPr>
          <w:t>expense from its distribution rates for collection from default service customers</w:t>
        </w:r>
        <w:r w:rsidR="00E00722" w:rsidRPr="00FE1610">
          <w:rPr>
            <w:noProof/>
            <w:webHidden/>
            <w:sz w:val="24"/>
            <w:szCs w:val="24"/>
          </w:rPr>
          <w:tab/>
        </w:r>
        <w:r w:rsidR="00700522" w:rsidRPr="00FE1610">
          <w:rPr>
            <w:noProof/>
            <w:webHidden/>
            <w:sz w:val="24"/>
            <w:szCs w:val="24"/>
          </w:rPr>
          <w:fldChar w:fldCharType="begin"/>
        </w:r>
        <w:r w:rsidR="00E00722" w:rsidRPr="00FE1610">
          <w:rPr>
            <w:noProof/>
            <w:webHidden/>
            <w:sz w:val="24"/>
            <w:szCs w:val="24"/>
          </w:rPr>
          <w:instrText xml:space="preserve"> PAGEREF _Toc259706193 \h </w:instrText>
        </w:r>
        <w:r w:rsidR="00700522" w:rsidRPr="00FE1610">
          <w:rPr>
            <w:noProof/>
            <w:webHidden/>
            <w:sz w:val="24"/>
            <w:szCs w:val="24"/>
          </w:rPr>
        </w:r>
        <w:r w:rsidR="00700522" w:rsidRPr="00FE1610">
          <w:rPr>
            <w:noProof/>
            <w:webHidden/>
            <w:sz w:val="24"/>
            <w:szCs w:val="24"/>
          </w:rPr>
          <w:fldChar w:fldCharType="separate"/>
        </w:r>
        <w:r w:rsidR="00795792">
          <w:rPr>
            <w:noProof/>
            <w:webHidden/>
            <w:sz w:val="24"/>
            <w:szCs w:val="24"/>
          </w:rPr>
          <w:t>36</w:t>
        </w:r>
        <w:r w:rsidR="00700522" w:rsidRPr="00FE1610">
          <w:rPr>
            <w:noProof/>
            <w:webHidden/>
            <w:sz w:val="24"/>
            <w:szCs w:val="24"/>
          </w:rPr>
          <w:fldChar w:fldCharType="end"/>
        </w:r>
      </w:hyperlink>
    </w:p>
    <w:p w:rsidR="00E00722" w:rsidRPr="00FE1610" w:rsidRDefault="002B1E25">
      <w:pPr>
        <w:pStyle w:val="TOC1"/>
        <w:rPr>
          <w:rFonts w:ascii="Calibri" w:hAnsi="Calibri"/>
          <w:noProof/>
          <w:sz w:val="24"/>
          <w:szCs w:val="24"/>
        </w:rPr>
      </w:pPr>
      <w:r w:rsidRPr="00FE1610">
        <w:rPr>
          <w:rStyle w:val="Hyperlink"/>
          <w:noProof/>
          <w:sz w:val="24"/>
          <w:szCs w:val="24"/>
          <w:u w:val="none"/>
        </w:rPr>
        <w:tab/>
      </w:r>
      <w:r w:rsidRPr="00FE1610">
        <w:rPr>
          <w:rStyle w:val="Hyperlink"/>
          <w:noProof/>
          <w:sz w:val="24"/>
          <w:szCs w:val="24"/>
          <w:u w:val="none"/>
        </w:rPr>
        <w:tab/>
      </w:r>
      <w:hyperlink w:anchor="_Toc259706194" w:history="1">
        <w:r w:rsidR="00E00722" w:rsidRPr="00FE1610">
          <w:rPr>
            <w:rStyle w:val="Hyperlink"/>
            <w:noProof/>
            <w:sz w:val="24"/>
            <w:szCs w:val="24"/>
          </w:rPr>
          <w:t>1.</w:t>
        </w:r>
        <w:r w:rsidRPr="00FE1610">
          <w:rPr>
            <w:rStyle w:val="Hyperlink"/>
            <w:noProof/>
            <w:sz w:val="24"/>
            <w:szCs w:val="24"/>
          </w:rPr>
          <w:t xml:space="preserve">  </w:t>
        </w:r>
        <w:r w:rsidR="00E00722" w:rsidRPr="00FE1610">
          <w:rPr>
            <w:rStyle w:val="Hyperlink"/>
            <w:noProof/>
            <w:sz w:val="24"/>
            <w:szCs w:val="24"/>
          </w:rPr>
          <w:t>PECO’s Proposal</w:t>
        </w:r>
        <w:r w:rsidR="00E00722" w:rsidRPr="00FE1610">
          <w:rPr>
            <w:noProof/>
            <w:webHidden/>
            <w:sz w:val="24"/>
            <w:szCs w:val="24"/>
          </w:rPr>
          <w:tab/>
        </w:r>
        <w:r w:rsidR="00700522" w:rsidRPr="00FE1610">
          <w:rPr>
            <w:noProof/>
            <w:webHidden/>
            <w:sz w:val="24"/>
            <w:szCs w:val="24"/>
          </w:rPr>
          <w:fldChar w:fldCharType="begin"/>
        </w:r>
        <w:r w:rsidR="00E00722" w:rsidRPr="00FE1610">
          <w:rPr>
            <w:noProof/>
            <w:webHidden/>
            <w:sz w:val="24"/>
            <w:szCs w:val="24"/>
          </w:rPr>
          <w:instrText xml:space="preserve"> PAGEREF _Toc259706194 \h </w:instrText>
        </w:r>
        <w:r w:rsidR="00700522" w:rsidRPr="00FE1610">
          <w:rPr>
            <w:noProof/>
            <w:webHidden/>
            <w:sz w:val="24"/>
            <w:szCs w:val="24"/>
          </w:rPr>
        </w:r>
        <w:r w:rsidR="00700522" w:rsidRPr="00FE1610">
          <w:rPr>
            <w:noProof/>
            <w:webHidden/>
            <w:sz w:val="24"/>
            <w:szCs w:val="24"/>
          </w:rPr>
          <w:fldChar w:fldCharType="separate"/>
        </w:r>
        <w:r w:rsidR="00795792">
          <w:rPr>
            <w:noProof/>
            <w:webHidden/>
            <w:sz w:val="24"/>
            <w:szCs w:val="24"/>
          </w:rPr>
          <w:t>36</w:t>
        </w:r>
        <w:r w:rsidR="00700522" w:rsidRPr="00FE1610">
          <w:rPr>
            <w:noProof/>
            <w:webHidden/>
            <w:sz w:val="24"/>
            <w:szCs w:val="24"/>
          </w:rPr>
          <w:fldChar w:fldCharType="end"/>
        </w:r>
      </w:hyperlink>
    </w:p>
    <w:p w:rsidR="00E00722" w:rsidRPr="00FE1610" w:rsidRDefault="002B1E25">
      <w:pPr>
        <w:pStyle w:val="TOC1"/>
        <w:rPr>
          <w:rFonts w:ascii="Calibri" w:hAnsi="Calibri"/>
          <w:noProof/>
          <w:sz w:val="24"/>
          <w:szCs w:val="24"/>
        </w:rPr>
      </w:pPr>
      <w:r w:rsidRPr="00FE1610">
        <w:rPr>
          <w:rStyle w:val="Hyperlink"/>
          <w:noProof/>
          <w:sz w:val="24"/>
          <w:szCs w:val="24"/>
          <w:u w:val="none"/>
        </w:rPr>
        <w:tab/>
      </w:r>
      <w:r w:rsidRPr="00FE1610">
        <w:rPr>
          <w:rStyle w:val="Hyperlink"/>
          <w:noProof/>
          <w:sz w:val="24"/>
          <w:szCs w:val="24"/>
          <w:u w:val="none"/>
        </w:rPr>
        <w:tab/>
      </w:r>
      <w:hyperlink w:anchor="_Toc259706195" w:history="1">
        <w:r w:rsidR="00E00722" w:rsidRPr="00FE1610">
          <w:rPr>
            <w:rStyle w:val="Hyperlink"/>
            <w:noProof/>
            <w:sz w:val="24"/>
            <w:szCs w:val="24"/>
          </w:rPr>
          <w:t>2.</w:t>
        </w:r>
        <w:r w:rsidRPr="00FE1610">
          <w:rPr>
            <w:rStyle w:val="Hyperlink"/>
            <w:noProof/>
            <w:sz w:val="24"/>
            <w:szCs w:val="24"/>
          </w:rPr>
          <w:t xml:space="preserve">  </w:t>
        </w:r>
        <w:r w:rsidR="00E00722" w:rsidRPr="00FE1610">
          <w:rPr>
            <w:rStyle w:val="Hyperlink"/>
            <w:noProof/>
            <w:sz w:val="24"/>
            <w:szCs w:val="24"/>
          </w:rPr>
          <w:t>OTS Proposal</w:t>
        </w:r>
        <w:r w:rsidR="00E00722" w:rsidRPr="00FE1610">
          <w:rPr>
            <w:noProof/>
            <w:webHidden/>
            <w:sz w:val="24"/>
            <w:szCs w:val="24"/>
          </w:rPr>
          <w:tab/>
        </w:r>
        <w:r w:rsidR="00700522" w:rsidRPr="00FE1610">
          <w:rPr>
            <w:noProof/>
            <w:webHidden/>
            <w:sz w:val="24"/>
            <w:szCs w:val="24"/>
          </w:rPr>
          <w:fldChar w:fldCharType="begin"/>
        </w:r>
        <w:r w:rsidR="00E00722" w:rsidRPr="00FE1610">
          <w:rPr>
            <w:noProof/>
            <w:webHidden/>
            <w:sz w:val="24"/>
            <w:szCs w:val="24"/>
          </w:rPr>
          <w:instrText xml:space="preserve"> PAGEREF _Toc259706195 \h </w:instrText>
        </w:r>
        <w:r w:rsidR="00700522" w:rsidRPr="00FE1610">
          <w:rPr>
            <w:noProof/>
            <w:webHidden/>
            <w:sz w:val="24"/>
            <w:szCs w:val="24"/>
          </w:rPr>
        </w:r>
        <w:r w:rsidR="00700522" w:rsidRPr="00FE1610">
          <w:rPr>
            <w:noProof/>
            <w:webHidden/>
            <w:sz w:val="24"/>
            <w:szCs w:val="24"/>
          </w:rPr>
          <w:fldChar w:fldCharType="separate"/>
        </w:r>
        <w:r w:rsidR="00795792">
          <w:rPr>
            <w:noProof/>
            <w:webHidden/>
            <w:sz w:val="24"/>
            <w:szCs w:val="24"/>
          </w:rPr>
          <w:t>36</w:t>
        </w:r>
        <w:r w:rsidR="00700522" w:rsidRPr="00FE1610">
          <w:rPr>
            <w:noProof/>
            <w:webHidden/>
            <w:sz w:val="24"/>
            <w:szCs w:val="24"/>
          </w:rPr>
          <w:fldChar w:fldCharType="end"/>
        </w:r>
      </w:hyperlink>
    </w:p>
    <w:p w:rsidR="00E00722" w:rsidRPr="00FE1610" w:rsidRDefault="002B1E25">
      <w:pPr>
        <w:pStyle w:val="TOC1"/>
        <w:rPr>
          <w:rFonts w:ascii="Calibri" w:hAnsi="Calibri"/>
          <w:noProof/>
          <w:sz w:val="24"/>
          <w:szCs w:val="24"/>
        </w:rPr>
      </w:pPr>
      <w:r w:rsidRPr="00FE1610">
        <w:rPr>
          <w:rStyle w:val="Hyperlink"/>
          <w:noProof/>
          <w:sz w:val="24"/>
          <w:szCs w:val="24"/>
          <w:u w:val="none"/>
        </w:rPr>
        <w:tab/>
      </w:r>
      <w:r w:rsidRPr="00FE1610">
        <w:rPr>
          <w:rStyle w:val="Hyperlink"/>
          <w:noProof/>
          <w:sz w:val="24"/>
          <w:szCs w:val="24"/>
          <w:u w:val="none"/>
        </w:rPr>
        <w:tab/>
      </w:r>
      <w:hyperlink w:anchor="_Toc259706196" w:history="1">
        <w:r w:rsidR="00E00722" w:rsidRPr="00FE1610">
          <w:rPr>
            <w:rStyle w:val="Hyperlink"/>
            <w:noProof/>
            <w:sz w:val="24"/>
            <w:szCs w:val="24"/>
          </w:rPr>
          <w:t>3.</w:t>
        </w:r>
        <w:r w:rsidRPr="00FE1610">
          <w:rPr>
            <w:rStyle w:val="Hyperlink"/>
            <w:noProof/>
            <w:sz w:val="24"/>
            <w:szCs w:val="24"/>
          </w:rPr>
          <w:t xml:space="preserve">  </w:t>
        </w:r>
        <w:r w:rsidR="00E00722" w:rsidRPr="00FE1610">
          <w:rPr>
            <w:rStyle w:val="Hyperlink"/>
            <w:noProof/>
            <w:sz w:val="24"/>
            <w:szCs w:val="24"/>
          </w:rPr>
          <w:t>Response</w:t>
        </w:r>
        <w:r w:rsidR="00E00722" w:rsidRPr="00FE1610">
          <w:rPr>
            <w:noProof/>
            <w:webHidden/>
            <w:sz w:val="24"/>
            <w:szCs w:val="24"/>
          </w:rPr>
          <w:tab/>
        </w:r>
        <w:r w:rsidR="00700522" w:rsidRPr="00FE1610">
          <w:rPr>
            <w:noProof/>
            <w:webHidden/>
            <w:sz w:val="24"/>
            <w:szCs w:val="24"/>
          </w:rPr>
          <w:fldChar w:fldCharType="begin"/>
        </w:r>
        <w:r w:rsidR="00E00722" w:rsidRPr="00FE1610">
          <w:rPr>
            <w:noProof/>
            <w:webHidden/>
            <w:sz w:val="24"/>
            <w:szCs w:val="24"/>
          </w:rPr>
          <w:instrText xml:space="preserve"> PAGEREF _Toc259706196 \h </w:instrText>
        </w:r>
        <w:r w:rsidR="00700522" w:rsidRPr="00FE1610">
          <w:rPr>
            <w:noProof/>
            <w:webHidden/>
            <w:sz w:val="24"/>
            <w:szCs w:val="24"/>
          </w:rPr>
        </w:r>
        <w:r w:rsidR="00700522" w:rsidRPr="00FE1610">
          <w:rPr>
            <w:noProof/>
            <w:webHidden/>
            <w:sz w:val="24"/>
            <w:szCs w:val="24"/>
          </w:rPr>
          <w:fldChar w:fldCharType="separate"/>
        </w:r>
        <w:r w:rsidR="00795792">
          <w:rPr>
            <w:noProof/>
            <w:webHidden/>
            <w:sz w:val="24"/>
            <w:szCs w:val="24"/>
          </w:rPr>
          <w:t>40</w:t>
        </w:r>
        <w:r w:rsidR="00700522" w:rsidRPr="00FE1610">
          <w:rPr>
            <w:noProof/>
            <w:webHidden/>
            <w:sz w:val="24"/>
            <w:szCs w:val="24"/>
          </w:rPr>
          <w:fldChar w:fldCharType="end"/>
        </w:r>
      </w:hyperlink>
    </w:p>
    <w:p w:rsidR="00E00722" w:rsidRPr="00FE1610" w:rsidRDefault="002B1E25">
      <w:pPr>
        <w:pStyle w:val="TOC1"/>
        <w:rPr>
          <w:rFonts w:ascii="Calibri" w:hAnsi="Calibri"/>
          <w:noProof/>
          <w:sz w:val="24"/>
          <w:szCs w:val="24"/>
        </w:rPr>
      </w:pPr>
      <w:r w:rsidRPr="00FE1610">
        <w:rPr>
          <w:rStyle w:val="Hyperlink"/>
          <w:noProof/>
          <w:sz w:val="24"/>
          <w:szCs w:val="24"/>
          <w:u w:val="none"/>
        </w:rPr>
        <w:tab/>
      </w:r>
      <w:r w:rsidRPr="00FE1610">
        <w:rPr>
          <w:rStyle w:val="Hyperlink"/>
          <w:noProof/>
          <w:sz w:val="24"/>
          <w:szCs w:val="24"/>
          <w:u w:val="none"/>
        </w:rPr>
        <w:tab/>
      </w:r>
      <w:hyperlink w:anchor="_Toc259706197" w:history="1">
        <w:r w:rsidR="00E00722" w:rsidRPr="00FE1610">
          <w:rPr>
            <w:rStyle w:val="Hyperlink"/>
            <w:noProof/>
            <w:sz w:val="24"/>
            <w:szCs w:val="24"/>
          </w:rPr>
          <w:t>4.</w:t>
        </w:r>
        <w:r w:rsidRPr="00FE1610">
          <w:rPr>
            <w:rStyle w:val="Hyperlink"/>
            <w:noProof/>
            <w:sz w:val="24"/>
            <w:szCs w:val="24"/>
          </w:rPr>
          <w:t xml:space="preserve">  </w:t>
        </w:r>
        <w:r w:rsidR="00E00722" w:rsidRPr="00FE1610">
          <w:rPr>
            <w:rStyle w:val="Hyperlink"/>
            <w:noProof/>
            <w:sz w:val="24"/>
            <w:szCs w:val="24"/>
          </w:rPr>
          <w:t>Disposition</w:t>
        </w:r>
        <w:r w:rsidR="00E00722" w:rsidRPr="00FE1610">
          <w:rPr>
            <w:noProof/>
            <w:webHidden/>
            <w:sz w:val="24"/>
            <w:szCs w:val="24"/>
          </w:rPr>
          <w:tab/>
        </w:r>
        <w:r w:rsidR="00700522" w:rsidRPr="00FE1610">
          <w:rPr>
            <w:noProof/>
            <w:webHidden/>
            <w:sz w:val="24"/>
            <w:szCs w:val="24"/>
          </w:rPr>
          <w:fldChar w:fldCharType="begin"/>
        </w:r>
        <w:r w:rsidR="00E00722" w:rsidRPr="00FE1610">
          <w:rPr>
            <w:noProof/>
            <w:webHidden/>
            <w:sz w:val="24"/>
            <w:szCs w:val="24"/>
          </w:rPr>
          <w:instrText xml:space="preserve"> PAGEREF _Toc259706197 \h </w:instrText>
        </w:r>
        <w:r w:rsidR="00700522" w:rsidRPr="00FE1610">
          <w:rPr>
            <w:noProof/>
            <w:webHidden/>
            <w:sz w:val="24"/>
            <w:szCs w:val="24"/>
          </w:rPr>
        </w:r>
        <w:r w:rsidR="00700522" w:rsidRPr="00FE1610">
          <w:rPr>
            <w:noProof/>
            <w:webHidden/>
            <w:sz w:val="24"/>
            <w:szCs w:val="24"/>
          </w:rPr>
          <w:fldChar w:fldCharType="separate"/>
        </w:r>
        <w:r w:rsidR="00795792">
          <w:rPr>
            <w:noProof/>
            <w:webHidden/>
            <w:sz w:val="24"/>
            <w:szCs w:val="24"/>
          </w:rPr>
          <w:t>46</w:t>
        </w:r>
        <w:r w:rsidR="00700522" w:rsidRPr="00FE1610">
          <w:rPr>
            <w:noProof/>
            <w:webHidden/>
            <w:sz w:val="24"/>
            <w:szCs w:val="24"/>
          </w:rPr>
          <w:fldChar w:fldCharType="end"/>
        </w:r>
      </w:hyperlink>
    </w:p>
    <w:p w:rsidR="00E00722" w:rsidRPr="00FE1610" w:rsidRDefault="002B1E25">
      <w:pPr>
        <w:pStyle w:val="TOC1"/>
        <w:rPr>
          <w:rFonts w:ascii="Calibri" w:hAnsi="Calibri"/>
          <w:noProof/>
          <w:sz w:val="24"/>
          <w:szCs w:val="24"/>
        </w:rPr>
      </w:pPr>
      <w:r w:rsidRPr="00FE1610">
        <w:rPr>
          <w:rStyle w:val="Hyperlink"/>
          <w:noProof/>
          <w:color w:val="000000"/>
          <w:sz w:val="24"/>
          <w:szCs w:val="24"/>
          <w:u w:val="none"/>
        </w:rPr>
        <w:t xml:space="preserve">IV. </w:t>
      </w:r>
      <w:hyperlink w:anchor="_Toc259706198" w:history="1">
        <w:r w:rsidR="00E00722" w:rsidRPr="00FE1610">
          <w:rPr>
            <w:rStyle w:val="Hyperlink"/>
            <w:bCs/>
            <w:noProof/>
            <w:sz w:val="24"/>
            <w:szCs w:val="24"/>
          </w:rPr>
          <w:t>CONCLUSIONS OF LAW</w:t>
        </w:r>
        <w:r w:rsidR="00E00722" w:rsidRPr="00FE1610">
          <w:rPr>
            <w:noProof/>
            <w:webHidden/>
            <w:sz w:val="24"/>
            <w:szCs w:val="24"/>
          </w:rPr>
          <w:tab/>
        </w:r>
        <w:r w:rsidR="00700522" w:rsidRPr="00FE1610">
          <w:rPr>
            <w:noProof/>
            <w:webHidden/>
            <w:sz w:val="24"/>
            <w:szCs w:val="24"/>
          </w:rPr>
          <w:fldChar w:fldCharType="begin"/>
        </w:r>
        <w:r w:rsidR="00E00722" w:rsidRPr="00FE1610">
          <w:rPr>
            <w:noProof/>
            <w:webHidden/>
            <w:sz w:val="24"/>
            <w:szCs w:val="24"/>
          </w:rPr>
          <w:instrText xml:space="preserve"> PAGEREF _Toc259706198 \h </w:instrText>
        </w:r>
        <w:r w:rsidR="00700522" w:rsidRPr="00FE1610">
          <w:rPr>
            <w:noProof/>
            <w:webHidden/>
            <w:sz w:val="24"/>
            <w:szCs w:val="24"/>
          </w:rPr>
        </w:r>
        <w:r w:rsidR="00700522" w:rsidRPr="00FE1610">
          <w:rPr>
            <w:noProof/>
            <w:webHidden/>
            <w:sz w:val="24"/>
            <w:szCs w:val="24"/>
          </w:rPr>
          <w:fldChar w:fldCharType="separate"/>
        </w:r>
        <w:r w:rsidR="00795792">
          <w:rPr>
            <w:noProof/>
            <w:webHidden/>
            <w:sz w:val="24"/>
            <w:szCs w:val="24"/>
          </w:rPr>
          <w:t>46</w:t>
        </w:r>
        <w:r w:rsidR="00700522" w:rsidRPr="00FE1610">
          <w:rPr>
            <w:noProof/>
            <w:webHidden/>
            <w:sz w:val="24"/>
            <w:szCs w:val="24"/>
          </w:rPr>
          <w:fldChar w:fldCharType="end"/>
        </w:r>
      </w:hyperlink>
    </w:p>
    <w:p w:rsidR="00E00722" w:rsidRPr="00FE1610" w:rsidRDefault="002B1E25">
      <w:pPr>
        <w:pStyle w:val="TOC1"/>
        <w:rPr>
          <w:rFonts w:ascii="Calibri" w:hAnsi="Calibri"/>
          <w:noProof/>
          <w:sz w:val="24"/>
          <w:szCs w:val="24"/>
        </w:rPr>
      </w:pPr>
      <w:r w:rsidRPr="00FE1610">
        <w:rPr>
          <w:rStyle w:val="Hyperlink"/>
          <w:noProof/>
          <w:color w:val="000000"/>
          <w:sz w:val="24"/>
          <w:szCs w:val="24"/>
          <w:u w:val="none"/>
        </w:rPr>
        <w:t xml:space="preserve">V.  </w:t>
      </w:r>
      <w:hyperlink w:anchor="_Toc259706199" w:history="1">
        <w:r w:rsidR="00E00722" w:rsidRPr="00FE1610">
          <w:rPr>
            <w:rStyle w:val="Hyperlink"/>
            <w:noProof/>
            <w:sz w:val="24"/>
            <w:szCs w:val="24"/>
          </w:rPr>
          <w:t>ORDER</w:t>
        </w:r>
        <w:r w:rsidR="00E00722" w:rsidRPr="00FE1610">
          <w:rPr>
            <w:noProof/>
            <w:webHidden/>
            <w:sz w:val="24"/>
            <w:szCs w:val="24"/>
          </w:rPr>
          <w:tab/>
        </w:r>
        <w:r w:rsidR="00700522" w:rsidRPr="00FE1610">
          <w:rPr>
            <w:noProof/>
            <w:webHidden/>
            <w:sz w:val="24"/>
            <w:szCs w:val="24"/>
          </w:rPr>
          <w:fldChar w:fldCharType="begin"/>
        </w:r>
        <w:r w:rsidR="00E00722" w:rsidRPr="00FE1610">
          <w:rPr>
            <w:noProof/>
            <w:webHidden/>
            <w:sz w:val="24"/>
            <w:szCs w:val="24"/>
          </w:rPr>
          <w:instrText xml:space="preserve"> PAGEREF _Toc259706199 \h </w:instrText>
        </w:r>
        <w:r w:rsidR="00700522" w:rsidRPr="00FE1610">
          <w:rPr>
            <w:noProof/>
            <w:webHidden/>
            <w:sz w:val="24"/>
            <w:szCs w:val="24"/>
          </w:rPr>
        </w:r>
        <w:r w:rsidR="00700522" w:rsidRPr="00FE1610">
          <w:rPr>
            <w:noProof/>
            <w:webHidden/>
            <w:sz w:val="24"/>
            <w:szCs w:val="24"/>
          </w:rPr>
          <w:fldChar w:fldCharType="separate"/>
        </w:r>
        <w:r w:rsidR="00795792">
          <w:rPr>
            <w:noProof/>
            <w:webHidden/>
            <w:sz w:val="24"/>
            <w:szCs w:val="24"/>
          </w:rPr>
          <w:t>47</w:t>
        </w:r>
        <w:r w:rsidR="00700522" w:rsidRPr="00FE1610">
          <w:rPr>
            <w:noProof/>
            <w:webHidden/>
            <w:sz w:val="24"/>
            <w:szCs w:val="24"/>
          </w:rPr>
          <w:fldChar w:fldCharType="end"/>
        </w:r>
      </w:hyperlink>
    </w:p>
    <w:p w:rsidR="00001D7C" w:rsidRPr="00FE1610" w:rsidRDefault="00700522">
      <w:pPr>
        <w:rPr>
          <w:sz w:val="24"/>
          <w:szCs w:val="24"/>
        </w:rPr>
      </w:pPr>
      <w:r w:rsidRPr="00FE1610">
        <w:rPr>
          <w:sz w:val="24"/>
          <w:szCs w:val="24"/>
        </w:rPr>
        <w:fldChar w:fldCharType="end"/>
      </w:r>
    </w:p>
    <w:p w:rsidR="00180ABC" w:rsidRDefault="00180ABC" w:rsidP="00180ABC">
      <w:pPr>
        <w:rPr>
          <w:sz w:val="24"/>
          <w:szCs w:val="24"/>
        </w:rPr>
      </w:pPr>
    </w:p>
    <w:p w:rsidR="00180ABC" w:rsidRDefault="00180ABC">
      <w:pPr>
        <w:jc w:val="center"/>
        <w:rPr>
          <w:sz w:val="24"/>
          <w:szCs w:val="24"/>
        </w:rPr>
      </w:pPr>
    </w:p>
    <w:p w:rsidR="00180ABC" w:rsidRDefault="00180ABC">
      <w:pPr>
        <w:jc w:val="center"/>
        <w:rPr>
          <w:sz w:val="24"/>
          <w:szCs w:val="24"/>
        </w:rPr>
        <w:sectPr w:rsidR="00180ABC" w:rsidSect="0097378D">
          <w:pgSz w:w="12240" w:h="15840" w:code="1"/>
          <w:pgMar w:top="1440" w:right="1440" w:bottom="1440" w:left="1440" w:header="0" w:footer="432" w:gutter="0"/>
          <w:pgNumType w:fmt="lowerRoman" w:start="1"/>
          <w:cols w:space="720"/>
          <w:noEndnote/>
          <w:docGrid w:linePitch="354"/>
        </w:sectPr>
      </w:pPr>
    </w:p>
    <w:p w:rsidR="00140E1B" w:rsidRPr="00B065CC" w:rsidRDefault="00140E1B" w:rsidP="00C07360">
      <w:pPr>
        <w:pStyle w:val="Heading1"/>
        <w:rPr>
          <w:sz w:val="24"/>
          <w:szCs w:val="24"/>
        </w:rPr>
      </w:pPr>
      <w:bookmarkStart w:id="4" w:name="_Toc259706157"/>
      <w:r w:rsidRPr="00B065CC">
        <w:rPr>
          <w:sz w:val="24"/>
          <w:szCs w:val="24"/>
          <w:u w:val="none"/>
        </w:rPr>
        <w:lastRenderedPageBreak/>
        <w:t xml:space="preserve">I. </w:t>
      </w:r>
      <w:r w:rsidRPr="00B065CC">
        <w:rPr>
          <w:sz w:val="24"/>
          <w:szCs w:val="24"/>
        </w:rPr>
        <w:t>HISTORY OF THE PROCEEDING</w:t>
      </w:r>
      <w:bookmarkEnd w:id="4"/>
    </w:p>
    <w:p w:rsidR="00140E1B" w:rsidRPr="00B065CC" w:rsidRDefault="00140E1B">
      <w:pPr>
        <w:spacing w:line="360" w:lineRule="auto"/>
        <w:rPr>
          <w:sz w:val="24"/>
          <w:szCs w:val="24"/>
        </w:rPr>
      </w:pPr>
    </w:p>
    <w:p w:rsidR="00140E1B" w:rsidRPr="00B065CC" w:rsidRDefault="00140E1B">
      <w:pPr>
        <w:pStyle w:val="OutlineL3"/>
        <w:numPr>
          <w:ilvl w:val="0"/>
          <w:numId w:val="0"/>
        </w:numPr>
        <w:spacing w:line="360" w:lineRule="auto"/>
        <w:rPr>
          <w:szCs w:val="24"/>
        </w:rPr>
      </w:pPr>
      <w:r w:rsidRPr="00B065CC">
        <w:rPr>
          <w:szCs w:val="24"/>
        </w:rPr>
        <w:tab/>
      </w:r>
      <w:r w:rsidRPr="00B065CC">
        <w:rPr>
          <w:szCs w:val="24"/>
        </w:rPr>
        <w:tab/>
      </w:r>
      <w:bookmarkStart w:id="5" w:name="_Toc259699898"/>
      <w:bookmarkStart w:id="6" w:name="_Toc259706158"/>
      <w:r w:rsidRPr="00B065CC">
        <w:rPr>
          <w:szCs w:val="24"/>
        </w:rPr>
        <w:t>On November 20, 2009, PECO Energy Company, Inc.</w:t>
      </w:r>
      <w:r w:rsidRPr="00B065CC">
        <w:rPr>
          <w:kern w:val="2"/>
          <w:szCs w:val="24"/>
        </w:rPr>
        <w:t xml:space="preserve"> </w:t>
      </w:r>
      <w:r w:rsidRPr="00B065CC">
        <w:rPr>
          <w:szCs w:val="24"/>
        </w:rPr>
        <w:t xml:space="preserve">(“PECO” or “Respondent”) filed the Petition of PECO Energy Company for Approval of its Revised Electric Purchase of Receivables Program (the “Revised POR Program”).  In its Petition, PECO requested that the Commission approve the Revised Electric POR Program to permit PECO to: (1) purchase the customer receivables of electric generation suppliers (“EGSs”) participating in PECO’s consolidated billing option for basic retail electricity supply services in PECO’s service territory, without recourse by PECO to those suppliers for receivables that PECO cannot collect; (2) discount temporarily the purchase of those receivables to recover PECO’s initial implementation costs for the Revised Electric POR Program; and (3) conduct collection activities with respect to all purchased EGS receivables and, if necessary, terminate electric service to any customer whose account (including the EGS receivable purchased by PECO) remains unpaid, in whole or in part, with all such collection and termination activity to be conducted in accordance with Chapter 14 of the Pennsylvania Public Utility Code and Chapter 56 of the Commission’s regulations (52 Pa. Code Chapter 56).  In addition in this Petition, PECO requested Commission approval of the filing of related tariff supplements to PECO’s current Electric Generation Supplier Coordination Tariff and to the Electric Tariff which the Commission has approved for use beginning January 1, 2011.  </w:t>
      </w:r>
      <w:r w:rsidRPr="00B065CC">
        <w:rPr>
          <w:i/>
          <w:szCs w:val="24"/>
        </w:rPr>
        <w:t>See</w:t>
      </w:r>
      <w:r w:rsidRPr="00B065CC">
        <w:rPr>
          <w:szCs w:val="24"/>
        </w:rPr>
        <w:t xml:space="preserve"> </w:t>
      </w:r>
      <w:r w:rsidRPr="00B065CC">
        <w:rPr>
          <w:i/>
          <w:szCs w:val="24"/>
        </w:rPr>
        <w:t>Petition of PECO Energy Company for Approval of its Default Service Program and Rate Mitigation Plan,</w:t>
      </w:r>
      <w:r w:rsidRPr="00B065CC">
        <w:rPr>
          <w:szCs w:val="24"/>
        </w:rPr>
        <w:t xml:space="preserve"> Docket No. P-2008-2062739 (Order entered June 2, 2009) (“</w:t>
      </w:r>
      <w:r w:rsidRPr="00B065CC">
        <w:rPr>
          <w:i/>
          <w:szCs w:val="24"/>
        </w:rPr>
        <w:t>Default Service Settlement</w:t>
      </w:r>
      <w:r w:rsidRPr="00B065CC">
        <w:rPr>
          <w:szCs w:val="24"/>
        </w:rPr>
        <w:t>”).  PECO proposed the Revised POR program in accordance with the Commission approved settlement of PECO’s default service program for the provision of electric service after December 31, 2010</w:t>
      </w:r>
      <w:r w:rsidR="00814CD8" w:rsidRPr="00B065CC">
        <w:rPr>
          <w:szCs w:val="24"/>
        </w:rPr>
        <w:t xml:space="preserve">. </w:t>
      </w:r>
      <w:r w:rsidRPr="00B065CC">
        <w:rPr>
          <w:szCs w:val="24"/>
        </w:rPr>
        <w:t xml:space="preserve"> PECO’s transition period under Pennsylvania’s Electricity Generation Customer Choice and Competition Act, 66 Pa.C.S. § 2801, </w:t>
      </w:r>
      <w:r w:rsidRPr="00B065CC">
        <w:rPr>
          <w:i/>
          <w:szCs w:val="24"/>
        </w:rPr>
        <w:t>et seq.,</w:t>
      </w:r>
      <w:r w:rsidRPr="00B065CC">
        <w:rPr>
          <w:szCs w:val="24"/>
        </w:rPr>
        <w:t xml:space="preserve"> (the “Competition Act”) and </w:t>
      </w:r>
      <w:r w:rsidR="00814CD8" w:rsidRPr="00B065CC">
        <w:rPr>
          <w:szCs w:val="24"/>
        </w:rPr>
        <w:t xml:space="preserve">its </w:t>
      </w:r>
      <w:r w:rsidRPr="00B065CC">
        <w:rPr>
          <w:szCs w:val="24"/>
        </w:rPr>
        <w:t>current capped rates for electric generation will end</w:t>
      </w:r>
      <w:r w:rsidR="00814CD8" w:rsidRPr="00B065CC">
        <w:rPr>
          <w:szCs w:val="24"/>
        </w:rPr>
        <w:t xml:space="preserve"> on December 31, 2010</w:t>
      </w:r>
      <w:r w:rsidRPr="00B065CC">
        <w:rPr>
          <w:szCs w:val="24"/>
        </w:rPr>
        <w:t xml:space="preserve">.  </w:t>
      </w:r>
      <w:r w:rsidRPr="00B065CC">
        <w:rPr>
          <w:i/>
          <w:szCs w:val="24"/>
        </w:rPr>
        <w:t>Id</w:t>
      </w:r>
      <w:r w:rsidRPr="00B065CC">
        <w:rPr>
          <w:szCs w:val="24"/>
        </w:rPr>
        <w:t xml:space="preserve">.  As required by the </w:t>
      </w:r>
      <w:r w:rsidRPr="00B065CC">
        <w:rPr>
          <w:i/>
          <w:iCs/>
          <w:szCs w:val="24"/>
        </w:rPr>
        <w:t>Default Service Settlement</w:t>
      </w:r>
      <w:r w:rsidRPr="00B065CC">
        <w:rPr>
          <w:szCs w:val="24"/>
        </w:rPr>
        <w:t>, PECO conducted three stakeholder meetings to discuss ideas for revising its POR program in preparation for filing the Petition.  Accompanying its Petition, PECO filed the direct testimony of John J. McCawley, P.E., PECO Statement No. 1, with exhibits.</w:t>
      </w:r>
      <w:bookmarkEnd w:id="5"/>
      <w:bookmarkEnd w:id="6"/>
      <w:r w:rsidRPr="00B065CC">
        <w:rPr>
          <w:szCs w:val="24"/>
        </w:rPr>
        <w:t xml:space="preserve"> </w:t>
      </w:r>
    </w:p>
    <w:p w:rsidR="00140E1B" w:rsidRPr="00B065CC" w:rsidRDefault="00140E1B">
      <w:pPr>
        <w:pStyle w:val="OutlineL3"/>
        <w:numPr>
          <w:ilvl w:val="0"/>
          <w:numId w:val="0"/>
        </w:numPr>
        <w:tabs>
          <w:tab w:val="num" w:pos="1440"/>
        </w:tabs>
        <w:spacing w:after="0" w:line="360" w:lineRule="auto"/>
        <w:rPr>
          <w:szCs w:val="24"/>
        </w:rPr>
      </w:pPr>
    </w:p>
    <w:p w:rsidR="00140E1B" w:rsidRPr="00B065CC" w:rsidRDefault="00140E1B" w:rsidP="00956980">
      <w:pPr>
        <w:pStyle w:val="OutlineL3"/>
        <w:numPr>
          <w:ilvl w:val="0"/>
          <w:numId w:val="0"/>
        </w:numPr>
        <w:tabs>
          <w:tab w:val="num" w:pos="0"/>
        </w:tabs>
        <w:spacing w:after="0" w:line="360" w:lineRule="auto"/>
        <w:rPr>
          <w:szCs w:val="24"/>
        </w:rPr>
      </w:pPr>
      <w:r w:rsidRPr="00B065CC">
        <w:rPr>
          <w:szCs w:val="24"/>
        </w:rPr>
        <w:lastRenderedPageBreak/>
        <w:tab/>
      </w:r>
      <w:r w:rsidRPr="00B065CC">
        <w:rPr>
          <w:szCs w:val="24"/>
        </w:rPr>
        <w:tab/>
      </w:r>
      <w:bookmarkStart w:id="7" w:name="_Toc259699899"/>
      <w:bookmarkStart w:id="8" w:name="_Toc259706159"/>
      <w:r w:rsidRPr="00B065CC">
        <w:rPr>
          <w:szCs w:val="24"/>
        </w:rPr>
        <w:t>The matter was assigned to Administrative Law Judge Cynthia Williams Fordham.</w:t>
      </w:r>
      <w:bookmarkEnd w:id="7"/>
      <w:bookmarkEnd w:id="8"/>
    </w:p>
    <w:p w:rsidR="00140E1B" w:rsidRPr="00B065CC" w:rsidRDefault="00140E1B" w:rsidP="00956980">
      <w:pPr>
        <w:spacing w:line="360" w:lineRule="auto"/>
        <w:rPr>
          <w:sz w:val="24"/>
          <w:szCs w:val="24"/>
        </w:rPr>
      </w:pPr>
    </w:p>
    <w:p w:rsidR="00140E1B" w:rsidRPr="00B065CC" w:rsidRDefault="00140E1B">
      <w:pPr>
        <w:spacing w:line="360" w:lineRule="auto"/>
        <w:rPr>
          <w:sz w:val="24"/>
          <w:szCs w:val="24"/>
        </w:rPr>
      </w:pPr>
      <w:r w:rsidRPr="00B065CC">
        <w:rPr>
          <w:sz w:val="24"/>
          <w:szCs w:val="24"/>
        </w:rPr>
        <w:tab/>
      </w:r>
      <w:r w:rsidRPr="00B065CC">
        <w:rPr>
          <w:sz w:val="24"/>
          <w:szCs w:val="24"/>
        </w:rPr>
        <w:tab/>
        <w:t xml:space="preserve">The Office of Small Business Advocate (“OSBA”), through its counsel, filed a Notice of Intervention, Public Statement and an Answer on December 4, 2009.  </w:t>
      </w:r>
    </w:p>
    <w:p w:rsidR="00140E1B" w:rsidRPr="00B065CC" w:rsidRDefault="00140E1B">
      <w:pPr>
        <w:spacing w:line="360" w:lineRule="auto"/>
        <w:rPr>
          <w:sz w:val="24"/>
          <w:szCs w:val="24"/>
        </w:rPr>
      </w:pPr>
    </w:p>
    <w:p w:rsidR="00140E1B" w:rsidRPr="00B065CC" w:rsidRDefault="00140E1B">
      <w:pPr>
        <w:spacing w:line="360" w:lineRule="auto"/>
        <w:rPr>
          <w:sz w:val="24"/>
          <w:szCs w:val="24"/>
        </w:rPr>
      </w:pPr>
      <w:r w:rsidRPr="00B065CC">
        <w:rPr>
          <w:sz w:val="24"/>
          <w:szCs w:val="24"/>
        </w:rPr>
        <w:tab/>
      </w:r>
      <w:r w:rsidRPr="00B065CC">
        <w:rPr>
          <w:sz w:val="24"/>
          <w:szCs w:val="24"/>
        </w:rPr>
        <w:tab/>
        <w:t xml:space="preserve">The Office of Consumer Advocate (“OCA”), through its counsel, filed a Notice of Intervention, Public Statement and an Answer on December 4, 2009.  </w:t>
      </w:r>
    </w:p>
    <w:p w:rsidR="00140E1B" w:rsidRPr="00B065CC" w:rsidRDefault="00140E1B">
      <w:pPr>
        <w:spacing w:line="360" w:lineRule="auto"/>
        <w:rPr>
          <w:sz w:val="24"/>
          <w:szCs w:val="24"/>
        </w:rPr>
      </w:pPr>
    </w:p>
    <w:p w:rsidR="00140E1B" w:rsidRPr="00B065CC" w:rsidRDefault="00140E1B">
      <w:pPr>
        <w:spacing w:line="360" w:lineRule="auto"/>
        <w:rPr>
          <w:sz w:val="24"/>
          <w:szCs w:val="24"/>
        </w:rPr>
      </w:pPr>
      <w:r w:rsidRPr="00B065CC">
        <w:rPr>
          <w:sz w:val="24"/>
          <w:szCs w:val="24"/>
        </w:rPr>
        <w:tab/>
      </w:r>
      <w:r w:rsidRPr="00B065CC">
        <w:rPr>
          <w:sz w:val="24"/>
          <w:szCs w:val="24"/>
        </w:rPr>
        <w:tab/>
        <w:t>On December 10, 2009, the Office of Trial Staff (“OTS”), through its counsel, filed an Answer to the Petition.</w:t>
      </w:r>
    </w:p>
    <w:p w:rsidR="00140E1B" w:rsidRPr="00B065CC" w:rsidRDefault="00140E1B">
      <w:pPr>
        <w:spacing w:line="360" w:lineRule="auto"/>
        <w:rPr>
          <w:sz w:val="24"/>
          <w:szCs w:val="24"/>
        </w:rPr>
      </w:pPr>
    </w:p>
    <w:p w:rsidR="00140E1B" w:rsidRPr="00B065CC" w:rsidRDefault="00140E1B">
      <w:pPr>
        <w:spacing w:line="360" w:lineRule="auto"/>
        <w:rPr>
          <w:sz w:val="24"/>
          <w:szCs w:val="24"/>
        </w:rPr>
      </w:pPr>
      <w:r w:rsidRPr="00B065CC">
        <w:rPr>
          <w:sz w:val="24"/>
          <w:szCs w:val="24"/>
        </w:rPr>
        <w:tab/>
      </w:r>
      <w:r w:rsidRPr="00B065CC">
        <w:rPr>
          <w:sz w:val="24"/>
          <w:szCs w:val="24"/>
        </w:rPr>
        <w:tab/>
        <w:t xml:space="preserve">The Philadelphia Area Industrial Energy Users Group (“PAIEUG”), through its counsel, filed a Petition to Intervene on December 14, 2009. </w:t>
      </w:r>
    </w:p>
    <w:p w:rsidR="00140E1B" w:rsidRPr="00B065CC" w:rsidRDefault="00140E1B">
      <w:pPr>
        <w:spacing w:line="360" w:lineRule="auto"/>
        <w:rPr>
          <w:sz w:val="24"/>
          <w:szCs w:val="24"/>
        </w:rPr>
      </w:pPr>
    </w:p>
    <w:p w:rsidR="00140E1B" w:rsidRDefault="00140E1B">
      <w:pPr>
        <w:spacing w:line="360" w:lineRule="auto"/>
        <w:rPr>
          <w:sz w:val="24"/>
          <w:szCs w:val="24"/>
        </w:rPr>
      </w:pPr>
      <w:r w:rsidRPr="00B065CC">
        <w:rPr>
          <w:sz w:val="24"/>
          <w:szCs w:val="24"/>
        </w:rPr>
        <w:tab/>
      </w:r>
      <w:r w:rsidRPr="00B065CC">
        <w:rPr>
          <w:sz w:val="24"/>
          <w:szCs w:val="24"/>
        </w:rPr>
        <w:tab/>
        <w:t xml:space="preserve">The Retail Energy Supply Association (“RESA”), through its counsel, filed a Petition to Intervene on December 14, 2009. </w:t>
      </w:r>
    </w:p>
    <w:p w:rsidR="00956980" w:rsidRPr="00B065CC" w:rsidRDefault="00956980">
      <w:pPr>
        <w:spacing w:line="360" w:lineRule="auto"/>
        <w:rPr>
          <w:sz w:val="24"/>
          <w:szCs w:val="24"/>
        </w:rPr>
      </w:pPr>
    </w:p>
    <w:p w:rsidR="00140E1B" w:rsidRPr="00B065CC" w:rsidRDefault="00140E1B">
      <w:pPr>
        <w:spacing w:line="360" w:lineRule="auto"/>
        <w:rPr>
          <w:sz w:val="24"/>
          <w:szCs w:val="24"/>
        </w:rPr>
      </w:pPr>
      <w:r w:rsidRPr="00B065CC">
        <w:rPr>
          <w:sz w:val="24"/>
          <w:szCs w:val="24"/>
        </w:rPr>
        <w:tab/>
      </w:r>
      <w:r w:rsidRPr="00B065CC">
        <w:rPr>
          <w:sz w:val="24"/>
          <w:szCs w:val="24"/>
        </w:rPr>
        <w:tab/>
        <w:t xml:space="preserve">Direct Energy Services, LLC, (“Direct Energy”) through its counsel, filed a Petition to Intervene on December 14, 2009. </w:t>
      </w:r>
    </w:p>
    <w:p w:rsidR="00140E1B" w:rsidRPr="00B065CC" w:rsidRDefault="00140E1B">
      <w:pPr>
        <w:spacing w:line="360" w:lineRule="auto"/>
        <w:rPr>
          <w:sz w:val="24"/>
          <w:szCs w:val="24"/>
        </w:rPr>
      </w:pPr>
    </w:p>
    <w:p w:rsidR="00140E1B" w:rsidRPr="00B065CC" w:rsidRDefault="00140E1B">
      <w:pPr>
        <w:spacing w:line="360" w:lineRule="auto"/>
        <w:rPr>
          <w:sz w:val="24"/>
          <w:szCs w:val="24"/>
        </w:rPr>
      </w:pPr>
      <w:r w:rsidRPr="00B065CC">
        <w:rPr>
          <w:sz w:val="24"/>
          <w:szCs w:val="24"/>
        </w:rPr>
        <w:tab/>
      </w:r>
      <w:r w:rsidRPr="00B065CC">
        <w:rPr>
          <w:sz w:val="24"/>
          <w:szCs w:val="24"/>
        </w:rPr>
        <w:tab/>
        <w:t xml:space="preserve">Constellation NewEnergy, Inc, (“Constellation”) through its counsel, filed a Petition to Intervene on December 16, 2009. </w:t>
      </w:r>
    </w:p>
    <w:p w:rsidR="00140E1B" w:rsidRPr="00B065CC" w:rsidRDefault="00140E1B">
      <w:pPr>
        <w:spacing w:line="360" w:lineRule="auto"/>
        <w:rPr>
          <w:sz w:val="24"/>
          <w:szCs w:val="24"/>
        </w:rPr>
      </w:pPr>
    </w:p>
    <w:p w:rsidR="00140E1B" w:rsidRPr="00B065CC" w:rsidRDefault="00140E1B" w:rsidP="00956980">
      <w:pPr>
        <w:pStyle w:val="OutlineL3"/>
        <w:numPr>
          <w:ilvl w:val="0"/>
          <w:numId w:val="0"/>
        </w:numPr>
        <w:tabs>
          <w:tab w:val="num" w:pos="0"/>
        </w:tabs>
        <w:spacing w:after="0" w:line="360" w:lineRule="auto"/>
        <w:rPr>
          <w:szCs w:val="24"/>
        </w:rPr>
      </w:pPr>
      <w:r w:rsidRPr="00B065CC">
        <w:rPr>
          <w:szCs w:val="24"/>
        </w:rPr>
        <w:tab/>
      </w:r>
      <w:r w:rsidRPr="00B065CC">
        <w:rPr>
          <w:szCs w:val="24"/>
        </w:rPr>
        <w:tab/>
      </w:r>
      <w:bookmarkStart w:id="9" w:name="_Toc259699900"/>
      <w:bookmarkStart w:id="10" w:name="_Toc259706160"/>
      <w:r w:rsidRPr="00B065CC">
        <w:rPr>
          <w:szCs w:val="24"/>
        </w:rPr>
        <w:t>When Dominion Retail, Inc., (“Dominion Retail”) through its counsel, filed a Petition to Intervene on December 3, 2009, an incorrect docket number was included.  After the docket number was corrected, the petition was filed with the instant matter.</w:t>
      </w:r>
      <w:bookmarkEnd w:id="9"/>
      <w:bookmarkEnd w:id="10"/>
      <w:r w:rsidRPr="00B065CC">
        <w:rPr>
          <w:szCs w:val="24"/>
        </w:rPr>
        <w:t xml:space="preserve"> </w:t>
      </w:r>
    </w:p>
    <w:p w:rsidR="00140E1B" w:rsidRPr="00B065CC" w:rsidRDefault="00140E1B" w:rsidP="00956980">
      <w:pPr>
        <w:spacing w:line="360" w:lineRule="auto"/>
        <w:rPr>
          <w:sz w:val="24"/>
          <w:szCs w:val="24"/>
        </w:rPr>
      </w:pPr>
    </w:p>
    <w:p w:rsidR="00140E1B" w:rsidRPr="00B065CC" w:rsidRDefault="00140E1B">
      <w:pPr>
        <w:rPr>
          <w:sz w:val="24"/>
          <w:szCs w:val="24"/>
        </w:rPr>
      </w:pPr>
      <w:r w:rsidRPr="00B065CC">
        <w:rPr>
          <w:sz w:val="24"/>
          <w:szCs w:val="24"/>
        </w:rPr>
        <w:tab/>
      </w:r>
      <w:r w:rsidRPr="00B065CC">
        <w:rPr>
          <w:sz w:val="24"/>
          <w:szCs w:val="24"/>
        </w:rPr>
        <w:tab/>
        <w:t>A Prehearing Order was issued on December 18, 2009.</w:t>
      </w:r>
    </w:p>
    <w:p w:rsidR="00140E1B" w:rsidRPr="00B065CC" w:rsidRDefault="00140E1B">
      <w:pPr>
        <w:spacing w:line="360" w:lineRule="auto"/>
        <w:rPr>
          <w:sz w:val="24"/>
          <w:szCs w:val="24"/>
        </w:rPr>
      </w:pPr>
    </w:p>
    <w:p w:rsidR="00140E1B" w:rsidRPr="00B065CC" w:rsidRDefault="00140E1B">
      <w:pPr>
        <w:spacing w:line="360" w:lineRule="auto"/>
        <w:rPr>
          <w:sz w:val="24"/>
          <w:szCs w:val="24"/>
        </w:rPr>
      </w:pPr>
      <w:r w:rsidRPr="00B065CC">
        <w:rPr>
          <w:sz w:val="24"/>
          <w:szCs w:val="24"/>
        </w:rPr>
        <w:lastRenderedPageBreak/>
        <w:tab/>
      </w:r>
      <w:r w:rsidRPr="00B065CC">
        <w:rPr>
          <w:sz w:val="24"/>
          <w:szCs w:val="24"/>
        </w:rPr>
        <w:tab/>
        <w:t>Prehearing Memoranda were filed by PECO, OCA, OTS, OSBA, PAIEUG, RESA, Direct Energy, Constellation and Dominion Retail.</w:t>
      </w:r>
    </w:p>
    <w:p w:rsidR="00140E1B" w:rsidRPr="00B065CC" w:rsidRDefault="00140E1B">
      <w:pPr>
        <w:spacing w:line="360" w:lineRule="auto"/>
        <w:rPr>
          <w:sz w:val="24"/>
          <w:szCs w:val="24"/>
        </w:rPr>
      </w:pPr>
    </w:p>
    <w:p w:rsidR="00140E1B" w:rsidRPr="00B065CC" w:rsidRDefault="00140E1B">
      <w:pPr>
        <w:spacing w:line="360" w:lineRule="auto"/>
        <w:rPr>
          <w:sz w:val="24"/>
          <w:szCs w:val="24"/>
        </w:rPr>
      </w:pPr>
      <w:r w:rsidRPr="00B065CC">
        <w:rPr>
          <w:sz w:val="24"/>
          <w:szCs w:val="24"/>
        </w:rPr>
        <w:tab/>
      </w:r>
      <w:r w:rsidRPr="00B065CC">
        <w:rPr>
          <w:sz w:val="24"/>
          <w:szCs w:val="24"/>
        </w:rPr>
        <w:tab/>
        <w:t xml:space="preserve">A prehearing conference was held on Tuesday, January 5, 2010.  Counsel for PECO, OCA, OTS, OSBA, PAIEUG, RESA, Direct Energy, Constellation and Dominion Retail participated.  Since there were no objections to the Petitions to Intervene, the petitions filed by the following entities were granted:  PAIEUG, RESA, Direct Energy, Constellation and Dominion Retail.  During the prehearing conference a schedule was established for the submission of testimony and the conduct of hearings.  Specifically, a schedule was adopted for all testimony to be submitted in writing in advance of hearings.  Evidentiary hearings were scheduled for March 4 and 5, 2010.  </w:t>
      </w:r>
    </w:p>
    <w:p w:rsidR="00140E1B" w:rsidRPr="00B065CC" w:rsidRDefault="00140E1B">
      <w:pPr>
        <w:spacing w:line="360" w:lineRule="auto"/>
        <w:rPr>
          <w:sz w:val="24"/>
          <w:szCs w:val="24"/>
        </w:rPr>
      </w:pPr>
    </w:p>
    <w:p w:rsidR="00140E1B" w:rsidRPr="00B065CC" w:rsidRDefault="00140E1B">
      <w:pPr>
        <w:spacing w:line="360" w:lineRule="auto"/>
        <w:rPr>
          <w:sz w:val="24"/>
          <w:szCs w:val="24"/>
        </w:rPr>
      </w:pPr>
      <w:r w:rsidRPr="00B065CC">
        <w:rPr>
          <w:sz w:val="24"/>
          <w:szCs w:val="24"/>
        </w:rPr>
        <w:tab/>
      </w:r>
      <w:r w:rsidRPr="00B065CC">
        <w:rPr>
          <w:sz w:val="24"/>
          <w:szCs w:val="24"/>
        </w:rPr>
        <w:tab/>
        <w:t xml:space="preserve">In Prehearing Order #2, dated January 22, 2010, the schedule was memorialized and PECO’s Motion for a Protective Order was granted. </w:t>
      </w:r>
    </w:p>
    <w:p w:rsidR="00140E1B" w:rsidRPr="00B065CC" w:rsidRDefault="00140E1B">
      <w:pPr>
        <w:spacing w:line="360" w:lineRule="auto"/>
        <w:rPr>
          <w:sz w:val="24"/>
          <w:szCs w:val="24"/>
        </w:rPr>
      </w:pPr>
    </w:p>
    <w:p w:rsidR="00140E1B" w:rsidRPr="00B065CC" w:rsidRDefault="00140E1B">
      <w:pPr>
        <w:pStyle w:val="OutlineL3"/>
        <w:numPr>
          <w:ilvl w:val="0"/>
          <w:numId w:val="0"/>
        </w:numPr>
        <w:spacing w:line="360" w:lineRule="auto"/>
        <w:rPr>
          <w:szCs w:val="24"/>
        </w:rPr>
      </w:pPr>
      <w:r w:rsidRPr="00B065CC">
        <w:rPr>
          <w:szCs w:val="24"/>
        </w:rPr>
        <w:tab/>
      </w:r>
      <w:r w:rsidRPr="00B065CC">
        <w:rPr>
          <w:szCs w:val="24"/>
        </w:rPr>
        <w:tab/>
      </w:r>
      <w:bookmarkStart w:id="11" w:name="_Toc259699901"/>
      <w:bookmarkStart w:id="12" w:name="_Toc259706161"/>
      <w:r w:rsidRPr="00B065CC">
        <w:rPr>
          <w:szCs w:val="24"/>
        </w:rPr>
        <w:t xml:space="preserve">On February 2, 2010, OTS, OCA, OSBA, RESA and </w:t>
      </w:r>
      <w:r w:rsidR="00AD40A0" w:rsidRPr="00B065CC">
        <w:rPr>
          <w:szCs w:val="24"/>
        </w:rPr>
        <w:t>Dominion Retail</w:t>
      </w:r>
      <w:r w:rsidRPr="00B065CC">
        <w:rPr>
          <w:szCs w:val="24"/>
        </w:rPr>
        <w:t xml:space="preserve"> submitted direct testimony and the accompanying exhibits.  On February 5, 2010, </w:t>
      </w:r>
      <w:r w:rsidR="00814CD8" w:rsidRPr="00B065CC">
        <w:rPr>
          <w:szCs w:val="24"/>
        </w:rPr>
        <w:t xml:space="preserve">OTS submitted </w:t>
      </w:r>
      <w:r w:rsidRPr="00B065CC">
        <w:rPr>
          <w:szCs w:val="24"/>
        </w:rPr>
        <w:t xml:space="preserve">supplemental direct testimony and the accompanying exhibit.  On February 22, 2010, PECO, OTS, OCA, RESA and </w:t>
      </w:r>
      <w:r w:rsidR="00AD40A0" w:rsidRPr="00B065CC">
        <w:rPr>
          <w:szCs w:val="24"/>
        </w:rPr>
        <w:t>Dominion Retail</w:t>
      </w:r>
      <w:r w:rsidRPr="00B065CC">
        <w:rPr>
          <w:szCs w:val="24"/>
        </w:rPr>
        <w:t xml:space="preserve"> submitted rebuttal testimony.  </w:t>
      </w:r>
      <w:r w:rsidR="00AD40A0" w:rsidRPr="00B065CC">
        <w:rPr>
          <w:szCs w:val="24"/>
        </w:rPr>
        <w:t>Dominion Retail</w:t>
      </w:r>
      <w:r w:rsidRPr="00B065CC">
        <w:rPr>
          <w:szCs w:val="24"/>
        </w:rPr>
        <w:t xml:space="preserve"> and OTS submitted surrebuttal testimony and the accompanying exhibits on March 1, 2010.  PECO, OSBA and OCA submitted surrebuttal testimony and the accompanying exhibits on March 3, 2010.</w:t>
      </w:r>
      <w:bookmarkEnd w:id="11"/>
      <w:bookmarkEnd w:id="12"/>
    </w:p>
    <w:p w:rsidR="00140E1B" w:rsidRPr="00B065CC" w:rsidRDefault="00140E1B">
      <w:pPr>
        <w:pStyle w:val="OutlineL3"/>
        <w:numPr>
          <w:ilvl w:val="0"/>
          <w:numId w:val="0"/>
        </w:numPr>
        <w:spacing w:after="0" w:line="360" w:lineRule="auto"/>
        <w:rPr>
          <w:szCs w:val="24"/>
        </w:rPr>
      </w:pPr>
    </w:p>
    <w:p w:rsidR="00140E1B" w:rsidRPr="00B065CC" w:rsidRDefault="00140E1B" w:rsidP="00956980">
      <w:pPr>
        <w:pStyle w:val="OutlineL3"/>
        <w:numPr>
          <w:ilvl w:val="0"/>
          <w:numId w:val="0"/>
        </w:numPr>
        <w:spacing w:after="0" w:line="360" w:lineRule="auto"/>
        <w:rPr>
          <w:szCs w:val="24"/>
        </w:rPr>
      </w:pPr>
      <w:r w:rsidRPr="00B065CC">
        <w:rPr>
          <w:szCs w:val="24"/>
        </w:rPr>
        <w:tab/>
      </w:r>
      <w:r w:rsidRPr="00B065CC">
        <w:rPr>
          <w:szCs w:val="24"/>
        </w:rPr>
        <w:tab/>
      </w:r>
      <w:bookmarkStart w:id="13" w:name="_Toc259699902"/>
      <w:bookmarkStart w:id="14" w:name="_Toc259706162"/>
      <w:r w:rsidRPr="00B065CC">
        <w:rPr>
          <w:szCs w:val="24"/>
        </w:rPr>
        <w:t xml:space="preserve">Subsequent to the Prehearing Conference, the parties to the proceeding engaged in extensive discussions to try to achieve a settlement of some or all of the issues in this case.  Before the hearings </w:t>
      </w:r>
      <w:r w:rsidR="00814CD8" w:rsidRPr="00B065CC">
        <w:rPr>
          <w:szCs w:val="24"/>
        </w:rPr>
        <w:t>scheduled f</w:t>
      </w:r>
      <w:r w:rsidRPr="00B065CC">
        <w:rPr>
          <w:szCs w:val="24"/>
        </w:rPr>
        <w:t>o</w:t>
      </w:r>
      <w:r w:rsidR="00814CD8" w:rsidRPr="00B065CC">
        <w:rPr>
          <w:szCs w:val="24"/>
        </w:rPr>
        <w:t>r</w:t>
      </w:r>
      <w:r w:rsidRPr="00B065CC">
        <w:rPr>
          <w:szCs w:val="24"/>
        </w:rPr>
        <w:t xml:space="preserve"> March 4 and 5, 2010, the parties advised the undersigned </w:t>
      </w:r>
      <w:r w:rsidR="0021295B">
        <w:rPr>
          <w:szCs w:val="24"/>
        </w:rPr>
        <w:t>that: (1) the parties settled on</w:t>
      </w:r>
      <w:r w:rsidRPr="00B065CC">
        <w:rPr>
          <w:szCs w:val="24"/>
        </w:rPr>
        <w:t xml:space="preserve"> all but two issues; (2) the parties would like to reserve the outstanding two issues for briefing; and (3) that cross-examination of </w:t>
      </w:r>
      <w:r w:rsidR="00732C78" w:rsidRPr="00B065CC">
        <w:rPr>
          <w:szCs w:val="24"/>
        </w:rPr>
        <w:t xml:space="preserve">the </w:t>
      </w:r>
      <w:r w:rsidRPr="00B065CC">
        <w:rPr>
          <w:szCs w:val="24"/>
        </w:rPr>
        <w:t xml:space="preserve">witnesses on the remaining issues had been waived.  At the request of the parties, the hearings were cancelled.  The undersigned approved the parties’ request to file a Stipulation to admit all of the parties’ written testimony </w:t>
      </w:r>
      <w:r w:rsidRPr="00B065CC">
        <w:rPr>
          <w:szCs w:val="24"/>
        </w:rPr>
        <w:lastRenderedPageBreak/>
        <w:t xml:space="preserve">and exhibits.  In addition, the date for </w:t>
      </w:r>
      <w:r w:rsidR="00732C78" w:rsidRPr="00B065CC">
        <w:rPr>
          <w:szCs w:val="24"/>
        </w:rPr>
        <w:t xml:space="preserve">the </w:t>
      </w:r>
      <w:r w:rsidRPr="00B065CC">
        <w:rPr>
          <w:szCs w:val="24"/>
        </w:rPr>
        <w:t>submission of the main briefs was extended to allow the signatories to complete the settlement document.</w:t>
      </w:r>
      <w:bookmarkEnd w:id="13"/>
      <w:bookmarkEnd w:id="14"/>
      <w:r w:rsidRPr="00B065CC">
        <w:rPr>
          <w:szCs w:val="24"/>
        </w:rPr>
        <w:t xml:space="preserve">  </w:t>
      </w:r>
    </w:p>
    <w:p w:rsidR="00140E1B" w:rsidRPr="00B065CC" w:rsidRDefault="00140E1B">
      <w:pPr>
        <w:pStyle w:val="OutlineL3"/>
        <w:numPr>
          <w:ilvl w:val="0"/>
          <w:numId w:val="0"/>
        </w:numPr>
        <w:spacing w:after="0" w:line="360" w:lineRule="auto"/>
        <w:rPr>
          <w:szCs w:val="24"/>
        </w:rPr>
      </w:pPr>
    </w:p>
    <w:p w:rsidR="00140E1B" w:rsidRPr="00B065CC" w:rsidRDefault="00140E1B" w:rsidP="00956980">
      <w:pPr>
        <w:pStyle w:val="OutlineL3"/>
        <w:numPr>
          <w:ilvl w:val="0"/>
          <w:numId w:val="0"/>
        </w:numPr>
        <w:spacing w:after="0" w:line="360" w:lineRule="auto"/>
        <w:rPr>
          <w:b/>
          <w:szCs w:val="24"/>
        </w:rPr>
      </w:pPr>
      <w:r w:rsidRPr="00B065CC">
        <w:rPr>
          <w:szCs w:val="24"/>
        </w:rPr>
        <w:tab/>
      </w:r>
      <w:r w:rsidRPr="00B065CC">
        <w:rPr>
          <w:szCs w:val="24"/>
        </w:rPr>
        <w:tab/>
      </w:r>
      <w:bookmarkStart w:id="15" w:name="_Toc259699903"/>
      <w:bookmarkStart w:id="16" w:name="_Toc259706163"/>
      <w:r w:rsidRPr="00B065CC">
        <w:rPr>
          <w:szCs w:val="24"/>
        </w:rPr>
        <w:t>Main briefs were filed by PECO, OCA, OSBA, OTS, RESA/Direct Energy</w:t>
      </w:r>
      <w:r w:rsidRPr="00B065CC">
        <w:rPr>
          <w:rStyle w:val="FootnoteReference"/>
          <w:szCs w:val="24"/>
        </w:rPr>
        <w:footnoteReference w:id="1"/>
      </w:r>
      <w:r w:rsidRPr="00B065CC">
        <w:rPr>
          <w:szCs w:val="24"/>
        </w:rPr>
        <w:t>, and Dominion Retail on March 22, 2010</w:t>
      </w:r>
      <w:r w:rsidRPr="00B065CC">
        <w:rPr>
          <w:b/>
          <w:szCs w:val="24"/>
        </w:rPr>
        <w:t>.</w:t>
      </w:r>
      <w:bookmarkEnd w:id="15"/>
      <w:bookmarkEnd w:id="16"/>
    </w:p>
    <w:p w:rsidR="00140E1B" w:rsidRPr="00B065CC" w:rsidRDefault="00140E1B">
      <w:pPr>
        <w:pStyle w:val="OutlineL3"/>
        <w:numPr>
          <w:ilvl w:val="0"/>
          <w:numId w:val="0"/>
        </w:numPr>
        <w:spacing w:after="0" w:line="360" w:lineRule="auto"/>
        <w:rPr>
          <w:szCs w:val="24"/>
        </w:rPr>
      </w:pPr>
    </w:p>
    <w:p w:rsidR="00140E1B" w:rsidRPr="00B065CC" w:rsidRDefault="00140E1B">
      <w:pPr>
        <w:pStyle w:val="BodyText"/>
        <w:tabs>
          <w:tab w:val="clear" w:pos="1980"/>
          <w:tab w:val="left" w:pos="0"/>
        </w:tabs>
        <w:spacing w:line="360" w:lineRule="auto"/>
        <w:jc w:val="left"/>
        <w:rPr>
          <w:rFonts w:ascii="Times New Roman" w:hAnsi="Times New Roman"/>
          <w:b/>
          <w:sz w:val="24"/>
          <w:szCs w:val="24"/>
        </w:rPr>
      </w:pPr>
      <w:r w:rsidRPr="00B065CC">
        <w:rPr>
          <w:rFonts w:ascii="Times New Roman" w:hAnsi="Times New Roman"/>
          <w:sz w:val="24"/>
          <w:szCs w:val="24"/>
        </w:rPr>
        <w:tab/>
      </w:r>
      <w:r w:rsidRPr="00B065CC">
        <w:rPr>
          <w:rFonts w:ascii="Times New Roman" w:hAnsi="Times New Roman"/>
          <w:sz w:val="24"/>
          <w:szCs w:val="24"/>
        </w:rPr>
        <w:tab/>
        <w:t>The Joint Petition for Partial Settlement (“Joint Petition” or “Settlement”) was filed on March 22, 2010.  It was executed by counsel for PECO, OCA, OSBA, Constellation, RESA, Direct Energy, and Dominion Retail</w:t>
      </w:r>
      <w:r w:rsidRPr="00B065CC">
        <w:rPr>
          <w:rFonts w:ascii="Times New Roman" w:hAnsi="Times New Roman"/>
          <w:b/>
          <w:sz w:val="24"/>
          <w:szCs w:val="24"/>
        </w:rPr>
        <w:t>.</w:t>
      </w:r>
      <w:r w:rsidRPr="00B065CC">
        <w:rPr>
          <w:rFonts w:ascii="Times New Roman" w:hAnsi="Times New Roman"/>
          <w:sz w:val="24"/>
          <w:szCs w:val="24"/>
        </w:rPr>
        <w:t xml:space="preserve">  The Joint Petition contained Statements in Support of the Joint Petition from the signatory parties. </w:t>
      </w:r>
      <w:r w:rsidRPr="00B065CC">
        <w:rPr>
          <w:rFonts w:ascii="Times New Roman" w:hAnsi="Times New Roman"/>
          <w:b/>
          <w:sz w:val="24"/>
          <w:szCs w:val="24"/>
        </w:rPr>
        <w:t xml:space="preserve"> </w:t>
      </w:r>
      <w:r w:rsidRPr="00B065CC">
        <w:rPr>
          <w:rFonts w:ascii="Times New Roman" w:hAnsi="Times New Roman"/>
          <w:sz w:val="24"/>
          <w:szCs w:val="24"/>
        </w:rPr>
        <w:t>Although</w:t>
      </w:r>
      <w:r w:rsidRPr="00B065CC">
        <w:rPr>
          <w:rFonts w:ascii="Times New Roman" w:hAnsi="Times New Roman"/>
          <w:b/>
          <w:sz w:val="24"/>
          <w:szCs w:val="24"/>
        </w:rPr>
        <w:t xml:space="preserve"> </w:t>
      </w:r>
      <w:r w:rsidRPr="00B065CC">
        <w:rPr>
          <w:rFonts w:ascii="Times New Roman" w:hAnsi="Times New Roman"/>
          <w:sz w:val="24"/>
          <w:szCs w:val="24"/>
        </w:rPr>
        <w:t>PAIEUG did not sign the Joint Petition, it did not oppose the Joint Petition (Joint Petition at 1,</w:t>
      </w:r>
      <w:r w:rsidR="00F65434">
        <w:rPr>
          <w:rFonts w:ascii="Times New Roman" w:hAnsi="Times New Roman"/>
          <w:sz w:val="24"/>
          <w:szCs w:val="24"/>
        </w:rPr>
        <w:t xml:space="preserve"> PECO’s Statement in Support at </w:t>
      </w:r>
      <w:r w:rsidRPr="00B065CC">
        <w:rPr>
          <w:rFonts w:ascii="Times New Roman" w:hAnsi="Times New Roman"/>
          <w:sz w:val="24"/>
          <w:szCs w:val="24"/>
        </w:rPr>
        <w:t>1).  OTS opposed the Joint Petition and included the reasons for opposing the Joint Petition in its reply brief.</w:t>
      </w:r>
    </w:p>
    <w:p w:rsidR="00140E1B" w:rsidRPr="00B065CC" w:rsidRDefault="00140E1B">
      <w:pPr>
        <w:spacing w:line="360" w:lineRule="auto"/>
        <w:rPr>
          <w:sz w:val="24"/>
          <w:szCs w:val="24"/>
        </w:rPr>
      </w:pPr>
    </w:p>
    <w:p w:rsidR="00140E1B" w:rsidRPr="00B065CC" w:rsidRDefault="00140E1B">
      <w:pPr>
        <w:spacing w:line="360" w:lineRule="auto"/>
        <w:rPr>
          <w:sz w:val="24"/>
          <w:szCs w:val="24"/>
        </w:rPr>
      </w:pPr>
      <w:r w:rsidRPr="00B065CC">
        <w:rPr>
          <w:sz w:val="24"/>
          <w:szCs w:val="24"/>
        </w:rPr>
        <w:tab/>
      </w:r>
      <w:r w:rsidRPr="00B065CC">
        <w:rPr>
          <w:sz w:val="24"/>
          <w:szCs w:val="24"/>
        </w:rPr>
        <w:tab/>
        <w:t>A Stipulation for Admission of Testimony and Exhibits was filed by counsel for PECO, OSBA, OCA, OTS, RESA, Direct Energy, Dominion Retail, Constellation and PAIEUG</w:t>
      </w:r>
      <w:r w:rsidR="00F70373" w:rsidRPr="00B065CC">
        <w:rPr>
          <w:sz w:val="24"/>
          <w:szCs w:val="24"/>
        </w:rPr>
        <w:t xml:space="preserve"> </w:t>
      </w:r>
      <w:r w:rsidRPr="00B065CC">
        <w:rPr>
          <w:sz w:val="24"/>
          <w:szCs w:val="24"/>
        </w:rPr>
        <w:t xml:space="preserve">on March 23, 2010.  The parties stipulated to the authenticity of their respective statements, waived cross-examination of the witnesses sponsoring the statements and exhibits and moved for admission into the evidentiary record the statements and exhibits identified in the Stipulation for Admission of </w:t>
      </w:r>
      <w:r w:rsidR="006805B5" w:rsidRPr="00B065CC">
        <w:rPr>
          <w:sz w:val="24"/>
          <w:szCs w:val="24"/>
        </w:rPr>
        <w:t>Testimony and Exhibits</w:t>
      </w:r>
      <w:r w:rsidRPr="00B065CC">
        <w:rPr>
          <w:sz w:val="24"/>
          <w:szCs w:val="24"/>
        </w:rPr>
        <w:t xml:space="preserve">.  The </w:t>
      </w:r>
      <w:r w:rsidR="00F70373" w:rsidRPr="00B065CC">
        <w:rPr>
          <w:sz w:val="24"/>
          <w:szCs w:val="24"/>
        </w:rPr>
        <w:t>request to admit the statements and exhibits</w:t>
      </w:r>
      <w:r w:rsidRPr="00B065CC">
        <w:rPr>
          <w:sz w:val="24"/>
          <w:szCs w:val="24"/>
        </w:rPr>
        <w:t xml:space="preserve"> is hereby granted.  </w:t>
      </w:r>
    </w:p>
    <w:p w:rsidR="00140E1B" w:rsidRPr="00B065CC" w:rsidRDefault="00140E1B">
      <w:pPr>
        <w:spacing w:line="360" w:lineRule="auto"/>
        <w:rPr>
          <w:sz w:val="24"/>
          <w:szCs w:val="24"/>
        </w:rPr>
      </w:pPr>
    </w:p>
    <w:p w:rsidR="00140E1B" w:rsidRPr="00B065CC" w:rsidRDefault="00140E1B">
      <w:pPr>
        <w:spacing w:line="360" w:lineRule="auto"/>
        <w:rPr>
          <w:sz w:val="24"/>
          <w:szCs w:val="24"/>
        </w:rPr>
      </w:pPr>
      <w:r w:rsidRPr="00B065CC">
        <w:rPr>
          <w:sz w:val="24"/>
          <w:szCs w:val="24"/>
        </w:rPr>
        <w:tab/>
      </w:r>
      <w:r w:rsidRPr="00B065CC">
        <w:rPr>
          <w:sz w:val="24"/>
          <w:szCs w:val="24"/>
        </w:rPr>
        <w:tab/>
        <w:t xml:space="preserve">The following statements and exhibits were identified in the Stipulation:  </w:t>
      </w:r>
    </w:p>
    <w:p w:rsidR="00140E1B" w:rsidRPr="00B065CC" w:rsidRDefault="00140E1B">
      <w:pPr>
        <w:spacing w:line="360" w:lineRule="auto"/>
        <w:rPr>
          <w:sz w:val="24"/>
          <w:szCs w:val="24"/>
        </w:rPr>
      </w:pPr>
    </w:p>
    <w:p w:rsidR="00140E1B" w:rsidRPr="00B065CC" w:rsidRDefault="00140E1B">
      <w:pPr>
        <w:spacing w:line="360" w:lineRule="auto"/>
        <w:jc w:val="center"/>
        <w:rPr>
          <w:sz w:val="24"/>
          <w:szCs w:val="24"/>
          <w:u w:val="single"/>
        </w:rPr>
      </w:pPr>
      <w:r w:rsidRPr="00B065CC">
        <w:rPr>
          <w:sz w:val="24"/>
          <w:szCs w:val="24"/>
          <w:u w:val="single"/>
        </w:rPr>
        <w:t>PECO</w:t>
      </w:r>
    </w:p>
    <w:p w:rsidR="00140E1B" w:rsidRPr="00B065CC" w:rsidRDefault="00140E1B">
      <w:pPr>
        <w:spacing w:line="360" w:lineRule="auto"/>
        <w:rPr>
          <w:sz w:val="24"/>
          <w:szCs w:val="24"/>
        </w:rPr>
      </w:pPr>
      <w:r w:rsidRPr="00B065CC">
        <w:rPr>
          <w:sz w:val="24"/>
          <w:szCs w:val="24"/>
        </w:rPr>
        <w:t>PECO Statement Nos. 1, 1-R and 1-SR</w:t>
      </w:r>
      <w:r w:rsidR="006805B5" w:rsidRPr="00B065CC">
        <w:rPr>
          <w:sz w:val="24"/>
          <w:szCs w:val="24"/>
        </w:rPr>
        <w:t xml:space="preserve"> </w:t>
      </w:r>
      <w:r w:rsidRPr="00B065CC">
        <w:rPr>
          <w:sz w:val="24"/>
          <w:szCs w:val="24"/>
        </w:rPr>
        <w:t>-</w:t>
      </w:r>
      <w:r w:rsidR="006805B5" w:rsidRPr="00B065CC">
        <w:rPr>
          <w:sz w:val="24"/>
          <w:szCs w:val="24"/>
        </w:rPr>
        <w:t xml:space="preserve"> </w:t>
      </w:r>
      <w:r w:rsidRPr="00B065CC">
        <w:rPr>
          <w:sz w:val="24"/>
          <w:szCs w:val="24"/>
        </w:rPr>
        <w:t>the direct, rebuttal and surrebuttal testimony of John J. McCawley, P.E.</w:t>
      </w:r>
      <w:r w:rsidR="006805B5" w:rsidRPr="00B065CC">
        <w:rPr>
          <w:sz w:val="24"/>
          <w:szCs w:val="24"/>
        </w:rPr>
        <w:t>,</w:t>
      </w:r>
      <w:r w:rsidRPr="00B065CC">
        <w:rPr>
          <w:sz w:val="24"/>
          <w:szCs w:val="24"/>
        </w:rPr>
        <w:t xml:space="preserve"> and PECO Exhibits JJM-1, JJM-2, JJM-3, JJM-4 and JJM-5.</w:t>
      </w:r>
    </w:p>
    <w:p w:rsidR="0043737C" w:rsidRDefault="0043737C">
      <w:pPr>
        <w:spacing w:line="360" w:lineRule="auto"/>
        <w:jc w:val="center"/>
        <w:rPr>
          <w:sz w:val="24"/>
          <w:szCs w:val="24"/>
          <w:u w:val="single"/>
        </w:rPr>
      </w:pPr>
    </w:p>
    <w:p w:rsidR="00F65434" w:rsidRDefault="00F65434">
      <w:pPr>
        <w:spacing w:line="360" w:lineRule="auto"/>
        <w:jc w:val="center"/>
        <w:rPr>
          <w:sz w:val="24"/>
          <w:szCs w:val="24"/>
          <w:u w:val="single"/>
        </w:rPr>
      </w:pPr>
    </w:p>
    <w:p w:rsidR="00140E1B" w:rsidRPr="00B065CC" w:rsidRDefault="00140E1B">
      <w:pPr>
        <w:spacing w:line="360" w:lineRule="auto"/>
        <w:jc w:val="center"/>
        <w:rPr>
          <w:sz w:val="24"/>
          <w:szCs w:val="24"/>
          <w:u w:val="single"/>
        </w:rPr>
      </w:pPr>
      <w:r w:rsidRPr="00B065CC">
        <w:rPr>
          <w:sz w:val="24"/>
          <w:szCs w:val="24"/>
          <w:u w:val="single"/>
        </w:rPr>
        <w:t>OCA</w:t>
      </w:r>
    </w:p>
    <w:p w:rsidR="00140E1B" w:rsidRPr="00B065CC" w:rsidRDefault="00140E1B" w:rsidP="00956980">
      <w:pPr>
        <w:spacing w:line="360" w:lineRule="auto"/>
        <w:rPr>
          <w:sz w:val="24"/>
          <w:szCs w:val="24"/>
        </w:rPr>
      </w:pPr>
      <w:r w:rsidRPr="00B065CC">
        <w:rPr>
          <w:sz w:val="24"/>
          <w:szCs w:val="24"/>
        </w:rPr>
        <w:t xml:space="preserve">OCA Statement Nos. 1, 1-R and 1-SR </w:t>
      </w:r>
      <w:r w:rsidR="006805B5" w:rsidRPr="00B065CC">
        <w:rPr>
          <w:sz w:val="24"/>
          <w:szCs w:val="24"/>
        </w:rPr>
        <w:t>-</w:t>
      </w:r>
      <w:r w:rsidRPr="00B065CC">
        <w:rPr>
          <w:sz w:val="24"/>
          <w:szCs w:val="24"/>
        </w:rPr>
        <w:t xml:space="preserve"> the direct, rebuttal and s</w:t>
      </w:r>
      <w:r w:rsidR="00F65434">
        <w:rPr>
          <w:sz w:val="24"/>
          <w:szCs w:val="24"/>
        </w:rPr>
        <w:t>urrebuttal testimony of Barbara </w:t>
      </w:r>
      <w:r w:rsidRPr="00B065CC">
        <w:rPr>
          <w:sz w:val="24"/>
          <w:szCs w:val="24"/>
        </w:rPr>
        <w:t>R. Alexander and OCA Exhibits BA-1, BA-2 and BA-3.</w:t>
      </w:r>
    </w:p>
    <w:p w:rsidR="00140E1B" w:rsidRPr="00B065CC" w:rsidRDefault="00140E1B" w:rsidP="00956980">
      <w:pPr>
        <w:spacing w:line="360" w:lineRule="auto"/>
        <w:rPr>
          <w:sz w:val="24"/>
          <w:szCs w:val="24"/>
        </w:rPr>
      </w:pPr>
    </w:p>
    <w:p w:rsidR="00140E1B" w:rsidRPr="00B065CC" w:rsidRDefault="00140E1B">
      <w:pPr>
        <w:spacing w:line="360" w:lineRule="auto"/>
        <w:jc w:val="center"/>
        <w:rPr>
          <w:sz w:val="24"/>
          <w:szCs w:val="24"/>
          <w:u w:val="single"/>
        </w:rPr>
      </w:pPr>
      <w:r w:rsidRPr="00B065CC">
        <w:rPr>
          <w:sz w:val="24"/>
          <w:szCs w:val="24"/>
          <w:u w:val="single"/>
        </w:rPr>
        <w:t>OSBA</w:t>
      </w:r>
    </w:p>
    <w:p w:rsidR="00140E1B" w:rsidRPr="00B065CC" w:rsidRDefault="00140E1B" w:rsidP="00956980">
      <w:pPr>
        <w:spacing w:line="360" w:lineRule="auto"/>
        <w:rPr>
          <w:sz w:val="24"/>
          <w:szCs w:val="24"/>
        </w:rPr>
      </w:pPr>
      <w:r w:rsidRPr="00B065CC">
        <w:rPr>
          <w:sz w:val="24"/>
          <w:szCs w:val="24"/>
        </w:rPr>
        <w:t xml:space="preserve">OSBA Statement Nos. 1 and 2 - the direct and surrebuttal testimony of Brian Kalcic. </w:t>
      </w:r>
    </w:p>
    <w:p w:rsidR="00140E1B" w:rsidRPr="00B065CC" w:rsidRDefault="00140E1B" w:rsidP="00956980">
      <w:pPr>
        <w:spacing w:line="360" w:lineRule="auto"/>
        <w:rPr>
          <w:sz w:val="24"/>
          <w:szCs w:val="24"/>
          <w:u w:val="single"/>
        </w:rPr>
      </w:pPr>
    </w:p>
    <w:p w:rsidR="00140E1B" w:rsidRPr="00B065CC" w:rsidRDefault="00140E1B">
      <w:pPr>
        <w:spacing w:line="360" w:lineRule="auto"/>
        <w:jc w:val="center"/>
        <w:rPr>
          <w:sz w:val="24"/>
          <w:szCs w:val="24"/>
          <w:u w:val="single"/>
        </w:rPr>
      </w:pPr>
      <w:r w:rsidRPr="00B065CC">
        <w:rPr>
          <w:sz w:val="24"/>
          <w:szCs w:val="24"/>
          <w:u w:val="single"/>
        </w:rPr>
        <w:t>OTS</w:t>
      </w:r>
    </w:p>
    <w:p w:rsidR="00140E1B" w:rsidRPr="00B065CC" w:rsidRDefault="00140E1B">
      <w:pPr>
        <w:spacing w:line="360" w:lineRule="auto"/>
        <w:rPr>
          <w:sz w:val="24"/>
          <w:szCs w:val="24"/>
        </w:rPr>
      </w:pPr>
      <w:r w:rsidRPr="00B065CC">
        <w:rPr>
          <w:sz w:val="24"/>
          <w:szCs w:val="24"/>
        </w:rPr>
        <w:t>OTS Statement Nos. 1, 1-S, 1-R and 1-SR - the direct and supplemental direct, rebuttal and surrebuttal testimony of Emily Sears and OTS Exhibits 1, 1-S and 1-SR.</w:t>
      </w:r>
    </w:p>
    <w:p w:rsidR="00140E1B" w:rsidRPr="00B065CC" w:rsidRDefault="00140E1B">
      <w:pPr>
        <w:spacing w:line="360" w:lineRule="auto"/>
        <w:rPr>
          <w:sz w:val="24"/>
          <w:szCs w:val="24"/>
        </w:rPr>
      </w:pPr>
    </w:p>
    <w:p w:rsidR="00140E1B" w:rsidRPr="00B065CC" w:rsidRDefault="00140E1B">
      <w:pPr>
        <w:spacing w:line="360" w:lineRule="auto"/>
        <w:jc w:val="center"/>
        <w:rPr>
          <w:sz w:val="24"/>
          <w:szCs w:val="24"/>
          <w:u w:val="single"/>
        </w:rPr>
      </w:pPr>
      <w:r w:rsidRPr="00B065CC">
        <w:rPr>
          <w:sz w:val="24"/>
          <w:szCs w:val="24"/>
          <w:u w:val="single"/>
        </w:rPr>
        <w:t>Dominion Retail, Inc.</w:t>
      </w:r>
    </w:p>
    <w:p w:rsidR="00140E1B" w:rsidRPr="00B065CC" w:rsidRDefault="00140E1B" w:rsidP="00C82D6A">
      <w:pPr>
        <w:spacing w:line="360" w:lineRule="auto"/>
        <w:rPr>
          <w:b/>
          <w:sz w:val="24"/>
          <w:szCs w:val="24"/>
        </w:rPr>
      </w:pPr>
      <w:r w:rsidRPr="00B065CC">
        <w:rPr>
          <w:sz w:val="24"/>
          <w:szCs w:val="24"/>
        </w:rPr>
        <w:t>Dominion Retail St</w:t>
      </w:r>
      <w:r w:rsidR="0043737C">
        <w:rPr>
          <w:sz w:val="24"/>
          <w:szCs w:val="24"/>
        </w:rPr>
        <w:t>atement</w:t>
      </w:r>
      <w:r w:rsidRPr="00B065CC">
        <w:rPr>
          <w:sz w:val="24"/>
          <w:szCs w:val="24"/>
        </w:rPr>
        <w:t>. No</w:t>
      </w:r>
      <w:r w:rsidR="00C82D6A" w:rsidRPr="00B065CC">
        <w:rPr>
          <w:sz w:val="24"/>
          <w:szCs w:val="24"/>
        </w:rPr>
        <w:t>s</w:t>
      </w:r>
      <w:r w:rsidRPr="00B065CC">
        <w:rPr>
          <w:sz w:val="24"/>
          <w:szCs w:val="24"/>
        </w:rPr>
        <w:t>. 1, 1-R and 1-SR</w:t>
      </w:r>
      <w:r w:rsidR="006805B5" w:rsidRPr="00B065CC">
        <w:rPr>
          <w:sz w:val="24"/>
          <w:szCs w:val="24"/>
        </w:rPr>
        <w:t xml:space="preserve"> </w:t>
      </w:r>
      <w:r w:rsidRPr="00B065CC">
        <w:rPr>
          <w:sz w:val="24"/>
          <w:szCs w:val="24"/>
        </w:rPr>
        <w:t>-</w:t>
      </w:r>
      <w:r w:rsidR="006805B5" w:rsidRPr="00B065CC">
        <w:rPr>
          <w:sz w:val="24"/>
          <w:szCs w:val="24"/>
        </w:rPr>
        <w:t xml:space="preserve"> </w:t>
      </w:r>
      <w:r w:rsidRPr="00B065CC">
        <w:rPr>
          <w:sz w:val="24"/>
          <w:szCs w:val="24"/>
        </w:rPr>
        <w:t>the direct, rebuttal and surrebuttal testimony of Thomas J. Butler.</w:t>
      </w:r>
    </w:p>
    <w:p w:rsidR="00C82D6A" w:rsidRPr="00B065CC" w:rsidRDefault="00C82D6A" w:rsidP="006338E3">
      <w:pPr>
        <w:spacing w:line="360" w:lineRule="auto"/>
        <w:rPr>
          <w:b/>
          <w:sz w:val="24"/>
          <w:szCs w:val="24"/>
        </w:rPr>
      </w:pPr>
    </w:p>
    <w:p w:rsidR="00140E1B" w:rsidRPr="00B065CC" w:rsidRDefault="00140E1B">
      <w:pPr>
        <w:suppressAutoHyphens/>
        <w:spacing w:line="360" w:lineRule="auto"/>
        <w:jc w:val="center"/>
        <w:rPr>
          <w:sz w:val="24"/>
          <w:szCs w:val="24"/>
          <w:u w:val="single"/>
        </w:rPr>
      </w:pPr>
      <w:r w:rsidRPr="00B065CC">
        <w:rPr>
          <w:sz w:val="24"/>
          <w:szCs w:val="24"/>
          <w:u w:val="single"/>
        </w:rPr>
        <w:t>RESA</w:t>
      </w:r>
    </w:p>
    <w:p w:rsidR="00140E1B" w:rsidRPr="00B065CC" w:rsidRDefault="00140E1B" w:rsidP="00C4125B">
      <w:pPr>
        <w:spacing w:line="360" w:lineRule="auto"/>
        <w:rPr>
          <w:b/>
          <w:sz w:val="24"/>
          <w:szCs w:val="24"/>
        </w:rPr>
      </w:pPr>
      <w:r w:rsidRPr="00B065CC">
        <w:rPr>
          <w:sz w:val="24"/>
          <w:szCs w:val="24"/>
        </w:rPr>
        <w:t>RESA Statement No</w:t>
      </w:r>
      <w:r w:rsidR="00C82D6A" w:rsidRPr="00B065CC">
        <w:rPr>
          <w:sz w:val="24"/>
          <w:szCs w:val="24"/>
        </w:rPr>
        <w:t>s</w:t>
      </w:r>
      <w:r w:rsidRPr="00B065CC">
        <w:rPr>
          <w:sz w:val="24"/>
          <w:szCs w:val="24"/>
        </w:rPr>
        <w:t>. 1 and 1-R</w:t>
      </w:r>
      <w:r w:rsidR="006805B5" w:rsidRPr="00B065CC">
        <w:rPr>
          <w:sz w:val="24"/>
          <w:szCs w:val="24"/>
        </w:rPr>
        <w:t xml:space="preserve"> </w:t>
      </w:r>
      <w:r w:rsidRPr="00B065CC">
        <w:rPr>
          <w:sz w:val="24"/>
          <w:szCs w:val="24"/>
        </w:rPr>
        <w:t>-</w:t>
      </w:r>
      <w:r w:rsidR="006805B5" w:rsidRPr="00B065CC">
        <w:rPr>
          <w:sz w:val="24"/>
          <w:szCs w:val="24"/>
        </w:rPr>
        <w:t xml:space="preserve"> </w:t>
      </w:r>
      <w:r w:rsidRPr="00B065CC">
        <w:rPr>
          <w:sz w:val="24"/>
          <w:szCs w:val="24"/>
        </w:rPr>
        <w:t>the direct and rebuttal testimony of Richard J. Hudson, Jr.</w:t>
      </w:r>
      <w:r w:rsidR="006805B5" w:rsidRPr="00B065CC">
        <w:rPr>
          <w:sz w:val="24"/>
          <w:szCs w:val="24"/>
        </w:rPr>
        <w:t>,</w:t>
      </w:r>
      <w:r w:rsidRPr="00B065CC">
        <w:rPr>
          <w:sz w:val="24"/>
          <w:szCs w:val="24"/>
        </w:rPr>
        <w:t xml:space="preserve"> and RESA Ex. RJH-1.</w:t>
      </w:r>
    </w:p>
    <w:p w:rsidR="00C81EBA" w:rsidRPr="00B065CC" w:rsidRDefault="00C81EBA">
      <w:pPr>
        <w:suppressAutoHyphens/>
        <w:spacing w:line="360" w:lineRule="auto"/>
        <w:rPr>
          <w:b/>
          <w:sz w:val="24"/>
          <w:szCs w:val="24"/>
        </w:rPr>
      </w:pPr>
    </w:p>
    <w:p w:rsidR="00140E1B" w:rsidRPr="00B065CC" w:rsidRDefault="00140E1B">
      <w:pPr>
        <w:suppressAutoHyphens/>
        <w:spacing w:line="360" w:lineRule="auto"/>
        <w:rPr>
          <w:b/>
          <w:sz w:val="24"/>
          <w:szCs w:val="24"/>
        </w:rPr>
      </w:pPr>
      <w:r w:rsidRPr="00B065CC">
        <w:rPr>
          <w:b/>
          <w:sz w:val="24"/>
          <w:szCs w:val="24"/>
        </w:rPr>
        <w:tab/>
      </w:r>
      <w:r w:rsidRPr="00B065CC">
        <w:rPr>
          <w:b/>
          <w:sz w:val="24"/>
          <w:szCs w:val="24"/>
        </w:rPr>
        <w:tab/>
      </w:r>
      <w:r w:rsidRPr="00B065CC">
        <w:rPr>
          <w:sz w:val="24"/>
          <w:szCs w:val="24"/>
        </w:rPr>
        <w:t>PECO, OCA, OSBA, OTS, RESA/Direct Energy, and Dominion Retail filed reply briefs on April 1, 2010</w:t>
      </w:r>
      <w:r w:rsidRPr="00B065CC">
        <w:rPr>
          <w:b/>
          <w:sz w:val="24"/>
          <w:szCs w:val="24"/>
        </w:rPr>
        <w:t>.</w:t>
      </w:r>
      <w:r w:rsidRPr="00B065CC">
        <w:rPr>
          <w:rStyle w:val="FootnoteReference"/>
          <w:sz w:val="24"/>
          <w:szCs w:val="24"/>
        </w:rPr>
        <w:footnoteReference w:id="2"/>
      </w:r>
    </w:p>
    <w:p w:rsidR="00140E1B" w:rsidRPr="00B065CC" w:rsidRDefault="00140E1B">
      <w:pPr>
        <w:suppressAutoHyphens/>
        <w:spacing w:line="360" w:lineRule="auto"/>
        <w:rPr>
          <w:b/>
          <w:sz w:val="24"/>
          <w:szCs w:val="24"/>
        </w:rPr>
      </w:pPr>
    </w:p>
    <w:p w:rsidR="00140E1B" w:rsidRPr="00B065CC" w:rsidRDefault="00140E1B">
      <w:pPr>
        <w:suppressAutoHyphens/>
        <w:spacing w:line="360" w:lineRule="auto"/>
        <w:rPr>
          <w:sz w:val="24"/>
          <w:szCs w:val="24"/>
        </w:rPr>
      </w:pPr>
      <w:r w:rsidRPr="00B065CC">
        <w:rPr>
          <w:b/>
          <w:sz w:val="24"/>
          <w:szCs w:val="24"/>
        </w:rPr>
        <w:tab/>
      </w:r>
      <w:r w:rsidRPr="00B065CC">
        <w:rPr>
          <w:b/>
          <w:sz w:val="24"/>
          <w:szCs w:val="24"/>
        </w:rPr>
        <w:tab/>
      </w:r>
      <w:r w:rsidRPr="00B065CC">
        <w:rPr>
          <w:sz w:val="24"/>
          <w:szCs w:val="24"/>
        </w:rPr>
        <w:t xml:space="preserve">The record consists of a 13 page prehearing transcript, the Company’s Petition, the statements and exhibits of the parties (listed above), the Joint Petition for Partial Settlement with attachments, and the main and reply briefs of PECO, OCA, OTS, OSBA, RESA/Direct Energy, and Dominion Retail. </w:t>
      </w:r>
    </w:p>
    <w:p w:rsidR="00140E1B" w:rsidRDefault="00140E1B">
      <w:pPr>
        <w:suppressAutoHyphens/>
        <w:spacing w:line="360" w:lineRule="auto"/>
        <w:rPr>
          <w:sz w:val="24"/>
          <w:szCs w:val="24"/>
        </w:rPr>
      </w:pPr>
    </w:p>
    <w:p w:rsidR="006338E3" w:rsidRPr="00B065CC" w:rsidRDefault="006338E3">
      <w:pPr>
        <w:suppressAutoHyphens/>
        <w:spacing w:line="360" w:lineRule="auto"/>
        <w:rPr>
          <w:sz w:val="24"/>
          <w:szCs w:val="24"/>
        </w:rPr>
      </w:pPr>
    </w:p>
    <w:p w:rsidR="00140E1B" w:rsidRPr="00B065CC" w:rsidRDefault="00140E1B" w:rsidP="00C07360">
      <w:pPr>
        <w:pStyle w:val="Heading1"/>
        <w:rPr>
          <w:sz w:val="24"/>
          <w:szCs w:val="24"/>
        </w:rPr>
      </w:pPr>
      <w:bookmarkStart w:id="17" w:name="_Toc259706164"/>
      <w:r w:rsidRPr="0043737C">
        <w:rPr>
          <w:sz w:val="24"/>
          <w:szCs w:val="24"/>
          <w:u w:val="none"/>
        </w:rPr>
        <w:lastRenderedPageBreak/>
        <w:t xml:space="preserve">II. </w:t>
      </w:r>
      <w:r w:rsidRPr="00B065CC">
        <w:rPr>
          <w:sz w:val="24"/>
          <w:szCs w:val="24"/>
        </w:rPr>
        <w:t>DESCRIPTION AND TERMS OF THE JOINT PETITION FOR PARTIAL SETTLEMENT</w:t>
      </w:r>
      <w:bookmarkEnd w:id="17"/>
      <w:r w:rsidRPr="00B065CC">
        <w:rPr>
          <w:sz w:val="24"/>
          <w:szCs w:val="24"/>
        </w:rPr>
        <w:t xml:space="preserve"> </w:t>
      </w:r>
    </w:p>
    <w:p w:rsidR="00140E1B" w:rsidRPr="00B065CC" w:rsidRDefault="00140E1B" w:rsidP="002E4533">
      <w:pPr>
        <w:suppressAutoHyphens/>
        <w:spacing w:line="360" w:lineRule="auto"/>
        <w:jc w:val="center"/>
        <w:rPr>
          <w:sz w:val="24"/>
          <w:szCs w:val="24"/>
          <w:u w:val="single"/>
        </w:rPr>
      </w:pPr>
    </w:p>
    <w:p w:rsidR="00140E1B" w:rsidRPr="00B065CC" w:rsidRDefault="00140E1B">
      <w:pPr>
        <w:spacing w:line="360" w:lineRule="auto"/>
        <w:rPr>
          <w:sz w:val="24"/>
          <w:szCs w:val="24"/>
        </w:rPr>
      </w:pPr>
      <w:r w:rsidRPr="00B065CC">
        <w:rPr>
          <w:sz w:val="24"/>
          <w:szCs w:val="24"/>
        </w:rPr>
        <w:tab/>
      </w:r>
      <w:r w:rsidRPr="00B065CC">
        <w:rPr>
          <w:sz w:val="24"/>
          <w:szCs w:val="24"/>
        </w:rPr>
        <w:tab/>
        <w:t>The Joint Petition is a fourteen (14) page document signed by counsel for PECO, OCA, OSBA, Constellation, RESA, Direct Energy, and Dominion Retail.  The following documents were attached to the Joint Petition</w:t>
      </w:r>
      <w:r w:rsidRPr="00B065CC">
        <w:rPr>
          <w:b/>
          <w:sz w:val="24"/>
          <w:szCs w:val="24"/>
        </w:rPr>
        <w:t xml:space="preserve">:  </w:t>
      </w:r>
      <w:r w:rsidRPr="00B065CC">
        <w:rPr>
          <w:sz w:val="24"/>
          <w:szCs w:val="24"/>
        </w:rPr>
        <w:t>Exhibit 1 - PECO Electric Generation Supplier Coordination Tariff Supplement No. ___ (Blackline); Exhibit 2 - PECO Electric Tariff Supplement No. ___ (Blackline); Statement A - Statement in Support of Joint Petition for Partial Settlement of PECO Energy Company; Statement B - Statement in Support of Joint Petition for Partial Settlement of the Office of Consumer Advocate; Statement C - Statement in Support of Joint Petition for Partial Settlement of the Office of Small Business Advocate; Statement D - Statement in Support of Joint Petition for Partial Settlement of Constellation NewEnergy, Inc.; Statement E - Statement in Support of Joint Petition for Partial Settlement of Dominion Retail, Inc.; and Statement F - Statement in Support of Joint Petition for Partial Settlement of the Retail Energy Supply Association and Direct Energy Services, LLC.</w:t>
      </w:r>
    </w:p>
    <w:p w:rsidR="00140E1B" w:rsidRPr="00B065CC" w:rsidRDefault="00140E1B">
      <w:pPr>
        <w:spacing w:line="360" w:lineRule="auto"/>
        <w:rPr>
          <w:sz w:val="24"/>
          <w:szCs w:val="24"/>
        </w:rPr>
      </w:pPr>
    </w:p>
    <w:p w:rsidR="00140E1B" w:rsidRPr="00B065CC" w:rsidRDefault="00140E1B">
      <w:pPr>
        <w:spacing w:line="360" w:lineRule="auto"/>
        <w:rPr>
          <w:sz w:val="24"/>
          <w:szCs w:val="24"/>
        </w:rPr>
      </w:pPr>
      <w:r w:rsidRPr="00B065CC">
        <w:rPr>
          <w:sz w:val="24"/>
          <w:szCs w:val="24"/>
        </w:rPr>
        <w:tab/>
      </w:r>
      <w:r w:rsidRPr="00B065CC">
        <w:rPr>
          <w:sz w:val="24"/>
          <w:szCs w:val="24"/>
        </w:rPr>
        <w:tab/>
        <w:t>The essential terms of the Joint Petition for Partial Settlement are set forth in paragraph 9.  The parties state that the settlement is in the public interest in paragraph 10.  Paragraph 11 contains additional terms and conditions.  Paragraphs 9 through 1</w:t>
      </w:r>
      <w:r w:rsidR="00F65434">
        <w:rPr>
          <w:sz w:val="24"/>
          <w:szCs w:val="24"/>
        </w:rPr>
        <w:t>6</w:t>
      </w:r>
      <w:r w:rsidRPr="00B065CC">
        <w:rPr>
          <w:sz w:val="24"/>
          <w:szCs w:val="24"/>
        </w:rPr>
        <w:t xml:space="preserve"> are reproduced below:</w:t>
      </w:r>
    </w:p>
    <w:p w:rsidR="006805B5" w:rsidRPr="00B065CC" w:rsidRDefault="006805B5">
      <w:pPr>
        <w:spacing w:line="360" w:lineRule="auto"/>
        <w:rPr>
          <w:sz w:val="24"/>
          <w:szCs w:val="24"/>
        </w:rPr>
      </w:pPr>
    </w:p>
    <w:p w:rsidR="00140E1B" w:rsidRPr="00B065CC" w:rsidRDefault="00140E1B">
      <w:pPr>
        <w:pStyle w:val="OutlineL3"/>
        <w:numPr>
          <w:ilvl w:val="0"/>
          <w:numId w:val="0"/>
        </w:numPr>
        <w:spacing w:line="360" w:lineRule="auto"/>
        <w:ind w:firstLine="720"/>
        <w:rPr>
          <w:szCs w:val="24"/>
        </w:rPr>
      </w:pPr>
      <w:bookmarkStart w:id="18" w:name="_Toc259699905"/>
      <w:bookmarkStart w:id="19" w:name="_Toc259706165"/>
      <w:r w:rsidRPr="00B065CC">
        <w:rPr>
          <w:szCs w:val="24"/>
        </w:rPr>
        <w:t>9.</w:t>
      </w:r>
      <w:r w:rsidRPr="00B065CC">
        <w:rPr>
          <w:szCs w:val="24"/>
        </w:rPr>
        <w:tab/>
        <w:t>Except as provided below, PECO’s Revised Electric POR filing is approved as filed, including the tariff revisions which are shown in Exhibits 1 and 2 to this Joint Petition, and all costs of implementing the Revised Electric POR Program (including modifications and additions set forth below) will be recovered through the Program’s temporary discount on purchased EGS receivables.</w:t>
      </w:r>
      <w:bookmarkEnd w:id="18"/>
      <w:bookmarkEnd w:id="19"/>
    </w:p>
    <w:p w:rsidR="00140E1B" w:rsidRPr="00B065CC" w:rsidRDefault="004D17EB">
      <w:pPr>
        <w:pStyle w:val="OutlineL3"/>
        <w:numPr>
          <w:ilvl w:val="0"/>
          <w:numId w:val="0"/>
        </w:numPr>
        <w:spacing w:after="0" w:line="360" w:lineRule="auto"/>
        <w:ind w:firstLine="720"/>
        <w:rPr>
          <w:szCs w:val="24"/>
        </w:rPr>
      </w:pPr>
      <w:r>
        <w:rPr>
          <w:szCs w:val="24"/>
        </w:rPr>
        <w:br w:type="page"/>
      </w:r>
    </w:p>
    <w:p w:rsidR="00140E1B" w:rsidRPr="00B065CC" w:rsidRDefault="00140E1B" w:rsidP="00C07360">
      <w:pPr>
        <w:pStyle w:val="OutlineL2"/>
        <w:tabs>
          <w:tab w:val="clear" w:pos="2070"/>
          <w:tab w:val="num" w:pos="0"/>
        </w:tabs>
        <w:spacing w:line="360" w:lineRule="auto"/>
        <w:ind w:left="720" w:firstLine="0"/>
        <w:outlineLvl w:val="0"/>
        <w:rPr>
          <w:b/>
          <w:szCs w:val="24"/>
        </w:rPr>
      </w:pPr>
      <w:bookmarkStart w:id="20" w:name="_Toc257031549"/>
      <w:bookmarkStart w:id="21" w:name="_Toc259699906"/>
      <w:bookmarkStart w:id="22" w:name="_Toc259706166"/>
      <w:r w:rsidRPr="00B065CC">
        <w:rPr>
          <w:b/>
          <w:szCs w:val="24"/>
        </w:rPr>
        <w:lastRenderedPageBreak/>
        <w:t>Basic Electricity Supply</w:t>
      </w:r>
      <w:bookmarkEnd w:id="20"/>
      <w:bookmarkEnd w:id="21"/>
      <w:bookmarkEnd w:id="22"/>
    </w:p>
    <w:p w:rsidR="00140E1B" w:rsidRDefault="00140E1B">
      <w:pPr>
        <w:pStyle w:val="OutlineL4"/>
        <w:tabs>
          <w:tab w:val="num" w:pos="2160"/>
        </w:tabs>
        <w:spacing w:line="360" w:lineRule="auto"/>
        <w:ind w:left="0" w:firstLine="1440"/>
        <w:rPr>
          <w:szCs w:val="24"/>
        </w:rPr>
      </w:pPr>
      <w:r w:rsidRPr="00B065CC">
        <w:rPr>
          <w:szCs w:val="24"/>
        </w:rPr>
        <w:t>Only receivables associated with basic electricity supply will be eligible for purchase by PECO.  Basic electricity supply shall be defined as follows: energy (including renewable energy) and renewable energy or alternative energy credits (RECs/AECs) procured by an EGS, provided that the RECs/AECs are bundled with the associated delivered energy.  Basic electricity supply does not include a non-generation product (e.g., service contract for appliances, or payment for energy reductions such as demand response products), or renewable or alternative energy credits that are not associated with delivered energy.  For residential customers, basic electricity supply shall not include early contract cancellation fees, late fees or security deposits assessed by an EGS.</w:t>
      </w:r>
    </w:p>
    <w:p w:rsidR="00140E1B" w:rsidRPr="00B065CC" w:rsidRDefault="00140E1B" w:rsidP="00C07360">
      <w:pPr>
        <w:pStyle w:val="OutlineL2"/>
        <w:keepNext/>
        <w:keepLines/>
        <w:tabs>
          <w:tab w:val="clear" w:pos="2070"/>
          <w:tab w:val="num" w:pos="1440"/>
        </w:tabs>
        <w:spacing w:after="360" w:line="360" w:lineRule="auto"/>
        <w:ind w:left="1440" w:hanging="720"/>
        <w:outlineLvl w:val="0"/>
        <w:rPr>
          <w:b/>
          <w:szCs w:val="24"/>
        </w:rPr>
      </w:pPr>
      <w:bookmarkStart w:id="23" w:name="_Toc257031550"/>
      <w:bookmarkStart w:id="24" w:name="_Toc259699907"/>
      <w:bookmarkStart w:id="25" w:name="_Toc259706167"/>
      <w:r w:rsidRPr="00B065CC">
        <w:rPr>
          <w:b/>
          <w:szCs w:val="24"/>
        </w:rPr>
        <w:t>Bill Disputes</w:t>
      </w:r>
      <w:bookmarkEnd w:id="23"/>
      <w:bookmarkEnd w:id="24"/>
      <w:bookmarkEnd w:id="25"/>
    </w:p>
    <w:p w:rsidR="00140E1B" w:rsidRPr="00B065CC" w:rsidRDefault="00140E1B">
      <w:pPr>
        <w:pStyle w:val="OutlineL4"/>
        <w:numPr>
          <w:ilvl w:val="3"/>
          <w:numId w:val="26"/>
        </w:numPr>
        <w:tabs>
          <w:tab w:val="num" w:pos="2160"/>
        </w:tabs>
        <w:spacing w:line="360" w:lineRule="auto"/>
        <w:ind w:left="0" w:firstLine="1440"/>
        <w:rPr>
          <w:szCs w:val="24"/>
        </w:rPr>
      </w:pPr>
      <w:r w:rsidRPr="00B065CC">
        <w:rPr>
          <w:szCs w:val="24"/>
        </w:rPr>
        <w:t>PECO will manage bill disputes related to purchased EGS receivables in the same manner as bill disputes related to default service, except that PECO will be permitted to suspend payment of the portion of an EGS receivable that is the subject of a formal or informal dispute proceeding before the Commission or an allegation made to PECO by a customer: (i) that the customer was placed on EGS service without customer permission; or (ii) that the customer’s EGS rate is incorrect.  A customer allegation that a bill does not reflect the correct amount of energy delivered to the customer, or a customer’s claim of an inability to pay, shall not constitute a dispute for purposes of PECO’s obligation to pay the EGS its undisputed charges if such allegation or claim is not the subject of a formal or informal complaint before the Commission.  If a formal or informal complaint is resolved by the Commission in favor of the EGS, PECO shall fully and promptly remit the withheld accounts receivable amount to the EGS.  PECO will continue to work in good faith with EGSs to resolve customer disputes in a prompt and timely fashion.  EGSs shall retain the right, notwithstanding anything in the Settlement, to challenge before the PUC a PECO decision to withhold accounts receivable payments.</w:t>
      </w:r>
    </w:p>
    <w:p w:rsidR="00707783" w:rsidRDefault="00707783">
      <w:pPr>
        <w:rPr>
          <w:b/>
          <w:sz w:val="24"/>
          <w:szCs w:val="24"/>
        </w:rPr>
      </w:pPr>
      <w:bookmarkStart w:id="26" w:name="_Toc257031551"/>
      <w:bookmarkStart w:id="27" w:name="_Toc259699908"/>
      <w:bookmarkStart w:id="28" w:name="_Toc259706168"/>
      <w:r>
        <w:rPr>
          <w:b/>
          <w:szCs w:val="24"/>
        </w:rPr>
        <w:br w:type="page"/>
      </w:r>
    </w:p>
    <w:p w:rsidR="00140E1B" w:rsidRPr="00B065CC" w:rsidRDefault="00140E1B" w:rsidP="00C07360">
      <w:pPr>
        <w:pStyle w:val="OutlineL2"/>
        <w:keepNext/>
        <w:keepLines/>
        <w:tabs>
          <w:tab w:val="clear" w:pos="2070"/>
          <w:tab w:val="num" w:pos="1440"/>
        </w:tabs>
        <w:spacing w:after="360" w:line="360" w:lineRule="auto"/>
        <w:ind w:left="1440" w:hanging="720"/>
        <w:outlineLvl w:val="0"/>
        <w:rPr>
          <w:b/>
          <w:szCs w:val="24"/>
        </w:rPr>
      </w:pPr>
      <w:r w:rsidRPr="00B065CC">
        <w:rPr>
          <w:b/>
          <w:szCs w:val="24"/>
        </w:rPr>
        <w:lastRenderedPageBreak/>
        <w:t>EGS Notification</w:t>
      </w:r>
      <w:bookmarkEnd w:id="26"/>
      <w:bookmarkEnd w:id="27"/>
      <w:bookmarkEnd w:id="28"/>
    </w:p>
    <w:p w:rsidR="00140E1B" w:rsidRPr="00B065CC" w:rsidRDefault="00140E1B">
      <w:pPr>
        <w:pStyle w:val="OutlineL4"/>
        <w:numPr>
          <w:ilvl w:val="3"/>
          <w:numId w:val="27"/>
        </w:numPr>
        <w:tabs>
          <w:tab w:val="num" w:pos="2160"/>
        </w:tabs>
        <w:spacing w:line="360" w:lineRule="auto"/>
        <w:ind w:left="0" w:firstLine="1440"/>
        <w:rPr>
          <w:szCs w:val="24"/>
        </w:rPr>
      </w:pPr>
      <w:r w:rsidRPr="00B065CC">
        <w:rPr>
          <w:szCs w:val="24"/>
        </w:rPr>
        <w:t>PECO and RESA will develop the specifications and cost to implement an EDI transaction to notify EGSs prior to customer termination (“the EDI Transaction”) in coordination with the Commission’s Electronic Data Exchange Working Group.  PECO and RESA agree that the design of the transaction will provide that the proposed transaction would be sent on the same day as PECO sends its written notice of termination to a customer and include the projected customer service termination date.  Upon finalization of a transaction design, and cost projection, if RESA agrees that the EDI Transaction should be implemented, PECO will work in good faith with suppliers to establish a supplier testing and implementation schedule.  PECO may provide the notification only for shopping commercial and industrial customers in the event that implementation of the notification for all customers is materially more expensive in light of the total implementation costs of the Revised Electric POR Program.</w:t>
      </w:r>
    </w:p>
    <w:p w:rsidR="00140E1B" w:rsidRPr="00B065CC" w:rsidRDefault="00140E1B" w:rsidP="00C07360">
      <w:pPr>
        <w:pStyle w:val="OutlineL2"/>
        <w:keepNext/>
        <w:keepLines/>
        <w:tabs>
          <w:tab w:val="clear" w:pos="2070"/>
          <w:tab w:val="num" w:pos="1440"/>
        </w:tabs>
        <w:spacing w:after="360" w:line="360" w:lineRule="auto"/>
        <w:ind w:left="1440" w:hanging="720"/>
        <w:outlineLvl w:val="0"/>
        <w:rPr>
          <w:b/>
          <w:szCs w:val="24"/>
        </w:rPr>
      </w:pPr>
      <w:bookmarkStart w:id="29" w:name="_Toc257031552"/>
      <w:bookmarkStart w:id="30" w:name="_Toc259699909"/>
      <w:bookmarkStart w:id="31" w:name="_Toc259706169"/>
      <w:r w:rsidRPr="00B065CC">
        <w:rPr>
          <w:b/>
          <w:szCs w:val="24"/>
        </w:rPr>
        <w:t>Status Reports</w:t>
      </w:r>
      <w:bookmarkEnd w:id="29"/>
      <w:bookmarkEnd w:id="30"/>
      <w:bookmarkEnd w:id="31"/>
    </w:p>
    <w:p w:rsidR="00140E1B" w:rsidRPr="00B065CC" w:rsidRDefault="00140E1B">
      <w:pPr>
        <w:pStyle w:val="OutlineL4"/>
        <w:numPr>
          <w:ilvl w:val="3"/>
          <w:numId w:val="28"/>
        </w:numPr>
        <w:tabs>
          <w:tab w:val="num" w:pos="2160"/>
        </w:tabs>
        <w:spacing w:line="360" w:lineRule="auto"/>
        <w:ind w:left="0" w:firstLine="1440"/>
        <w:rPr>
          <w:szCs w:val="24"/>
        </w:rPr>
      </w:pPr>
      <w:r w:rsidRPr="00B065CC">
        <w:rPr>
          <w:szCs w:val="24"/>
        </w:rPr>
        <w:t>PECO will provide periodic status reports to the parties of its progress in implementing the systems, software and procedures necessary to institute the Revised Electric POR Program.  Upon a final non-appealable order approving this Settlement by the Commission, PECO will hold monthly and, starting September, 2010, bi-weekly conference calls with the parties to report on the status of PECO’s implementation of the Revised Electric POR Program and its readiness to provide service to EGS customers starting January, 2011.</w:t>
      </w:r>
    </w:p>
    <w:p w:rsidR="00140E1B" w:rsidRPr="00B065CC" w:rsidRDefault="00140E1B" w:rsidP="00C07360">
      <w:pPr>
        <w:pStyle w:val="OutlineL2"/>
        <w:keepNext/>
        <w:keepLines/>
        <w:tabs>
          <w:tab w:val="clear" w:pos="2070"/>
          <w:tab w:val="num" w:pos="1440"/>
        </w:tabs>
        <w:spacing w:after="360" w:line="360" w:lineRule="auto"/>
        <w:ind w:left="1440" w:hanging="720"/>
        <w:outlineLvl w:val="0"/>
        <w:rPr>
          <w:b/>
          <w:szCs w:val="24"/>
        </w:rPr>
      </w:pPr>
      <w:bookmarkStart w:id="32" w:name="_Toc257031553"/>
      <w:bookmarkStart w:id="33" w:name="_Toc259699910"/>
      <w:bookmarkStart w:id="34" w:name="_Toc259706170"/>
      <w:r w:rsidRPr="00B065CC">
        <w:rPr>
          <w:b/>
          <w:szCs w:val="24"/>
        </w:rPr>
        <w:t>Consolidated Billing for Residential Customers</w:t>
      </w:r>
      <w:bookmarkEnd w:id="32"/>
      <w:bookmarkEnd w:id="33"/>
      <w:bookmarkEnd w:id="34"/>
    </w:p>
    <w:p w:rsidR="00BD132A" w:rsidRDefault="00140E1B">
      <w:pPr>
        <w:pStyle w:val="OutlineL4"/>
        <w:numPr>
          <w:ilvl w:val="3"/>
          <w:numId w:val="29"/>
        </w:numPr>
        <w:tabs>
          <w:tab w:val="num" w:pos="2160"/>
        </w:tabs>
        <w:spacing w:line="360" w:lineRule="auto"/>
        <w:ind w:left="0" w:firstLine="1440"/>
        <w:rPr>
          <w:szCs w:val="24"/>
        </w:rPr>
      </w:pPr>
      <w:r w:rsidRPr="00B065CC">
        <w:rPr>
          <w:szCs w:val="24"/>
        </w:rPr>
        <w:t xml:space="preserve">For residential customers only, any EGS utilizing EDC consolidated billing shall be required to utilize EDC consolidated billing for all of the EGS’s residential customers, and all such residential accounts shall be included in PECO’s Revised Electric POR Program.  If an EGS is providing a residential customer with a service or product that does not meet the definition of “basic electricity supply” as defined in paragraph 9.A(1), or if the EGS is providing a service or product to residential customers that PECO’s EDC consolidating billing system cannot accommodate, the EGS shall be permitted to issue a separate bill for such service </w:t>
      </w:r>
    </w:p>
    <w:p w:rsidR="00140E1B" w:rsidRPr="00B065CC" w:rsidRDefault="00140E1B" w:rsidP="00BD132A">
      <w:pPr>
        <w:pStyle w:val="OutlineL4"/>
        <w:numPr>
          <w:ilvl w:val="0"/>
          <w:numId w:val="0"/>
        </w:numPr>
        <w:tabs>
          <w:tab w:val="num" w:pos="2430"/>
        </w:tabs>
        <w:spacing w:line="360" w:lineRule="auto"/>
        <w:rPr>
          <w:szCs w:val="24"/>
        </w:rPr>
      </w:pPr>
      <w:r w:rsidRPr="00B065CC">
        <w:rPr>
          <w:szCs w:val="24"/>
        </w:rPr>
        <w:lastRenderedPageBreak/>
        <w:t>or product in accordance with PECO’s Separate EDC/EGS Billing procedures for that customer if the EGS provides written certification to PECO that the service or product cannot be billed under EDC consolidated billing.  EGSs will not deny service to residential customers whose accounts are included in PECO’s Revised Electric POR Program for credit-related reasons and will not ask residential customers for deposits separate from any deposit required by PECO pursuant to Commission regulations and Act 201.</w:t>
      </w:r>
    </w:p>
    <w:p w:rsidR="00140E1B" w:rsidRPr="00B065CC" w:rsidRDefault="00140E1B" w:rsidP="00C07360">
      <w:pPr>
        <w:pStyle w:val="OutlineL2"/>
        <w:keepNext/>
        <w:keepLines/>
        <w:tabs>
          <w:tab w:val="clear" w:pos="2070"/>
          <w:tab w:val="num" w:pos="1440"/>
        </w:tabs>
        <w:spacing w:after="360" w:line="360" w:lineRule="auto"/>
        <w:ind w:left="1440" w:hanging="720"/>
        <w:outlineLvl w:val="0"/>
        <w:rPr>
          <w:b/>
          <w:szCs w:val="24"/>
        </w:rPr>
      </w:pPr>
      <w:bookmarkStart w:id="35" w:name="_Toc257031554"/>
      <w:bookmarkStart w:id="36" w:name="_Toc259699911"/>
      <w:bookmarkStart w:id="37" w:name="_Toc259706171"/>
      <w:r w:rsidRPr="00B065CC">
        <w:rPr>
          <w:b/>
          <w:szCs w:val="24"/>
        </w:rPr>
        <w:t>Customer Education and Notification</w:t>
      </w:r>
      <w:bookmarkEnd w:id="35"/>
      <w:bookmarkEnd w:id="36"/>
      <w:bookmarkEnd w:id="37"/>
    </w:p>
    <w:p w:rsidR="00140E1B" w:rsidRPr="00B065CC" w:rsidRDefault="00140E1B">
      <w:pPr>
        <w:pStyle w:val="OutlineL4"/>
        <w:numPr>
          <w:ilvl w:val="3"/>
          <w:numId w:val="30"/>
        </w:numPr>
        <w:tabs>
          <w:tab w:val="num" w:pos="2160"/>
        </w:tabs>
        <w:spacing w:line="360" w:lineRule="auto"/>
        <w:ind w:left="0" w:firstLine="1440"/>
        <w:rPr>
          <w:szCs w:val="24"/>
        </w:rPr>
      </w:pPr>
      <w:r w:rsidRPr="00B065CC">
        <w:rPr>
          <w:szCs w:val="24"/>
        </w:rPr>
        <w:t>PECO shall work with the parties to develop customer education and notification materials to be posted on PECO’s website and stated in enrollment letters sent to PECO customers transferring generation service to an EGS and in a one-time notification by letter to existing EGS customers in PECO’s service territory after the earliest date that PECO’s price-to-compare (“PTC”) for 2011 is calculated and posted publicly.  These materials shall include the following information and the additional information specified in paragraph 9.F(2) and 9.F(3), as applicable:</w:t>
      </w:r>
    </w:p>
    <w:p w:rsidR="00140E1B" w:rsidRPr="00B065CC" w:rsidRDefault="00140E1B" w:rsidP="00D41FA0">
      <w:pPr>
        <w:pStyle w:val="OutlineL5"/>
        <w:tabs>
          <w:tab w:val="clear" w:pos="3600"/>
          <w:tab w:val="num" w:pos="0"/>
          <w:tab w:val="left" w:pos="2160"/>
        </w:tabs>
        <w:spacing w:after="240" w:line="360" w:lineRule="auto"/>
        <w:ind w:left="0" w:firstLine="2160"/>
        <w:rPr>
          <w:szCs w:val="24"/>
        </w:rPr>
      </w:pPr>
      <w:r w:rsidRPr="00B065CC">
        <w:rPr>
          <w:szCs w:val="24"/>
        </w:rPr>
        <w:t>Effective January 1, 2011, the customer’s service may be terminated for failure to pay for generation service provided by an EGS, as may be modified by resolution of paragraph 9.G(1)(a) below;</w:t>
      </w:r>
    </w:p>
    <w:p w:rsidR="00140E1B" w:rsidRPr="00B065CC" w:rsidRDefault="00140E1B" w:rsidP="00D41FA0">
      <w:pPr>
        <w:pStyle w:val="OutlineL5"/>
        <w:tabs>
          <w:tab w:val="clear" w:pos="3600"/>
          <w:tab w:val="num" w:pos="0"/>
          <w:tab w:val="left" w:pos="2160"/>
        </w:tabs>
        <w:spacing w:after="240" w:line="360" w:lineRule="auto"/>
        <w:ind w:left="0" w:firstLine="2160"/>
        <w:rPr>
          <w:szCs w:val="24"/>
        </w:rPr>
      </w:pPr>
      <w:r w:rsidRPr="00B065CC">
        <w:rPr>
          <w:szCs w:val="24"/>
        </w:rPr>
        <w:t>The price charged by the customer’s EGS for electric generation supply service could be either higher or lower than the rate the customer would owe to PECO if the customer bought default electric generation supply service from PECO.</w:t>
      </w:r>
    </w:p>
    <w:p w:rsidR="00140E1B" w:rsidRPr="00B065CC" w:rsidRDefault="00140E1B">
      <w:pPr>
        <w:pStyle w:val="OutlineL4"/>
        <w:tabs>
          <w:tab w:val="num" w:pos="2160"/>
        </w:tabs>
        <w:spacing w:line="360" w:lineRule="auto"/>
        <w:ind w:left="0" w:firstLine="1440"/>
        <w:rPr>
          <w:szCs w:val="24"/>
        </w:rPr>
      </w:pPr>
      <w:r w:rsidRPr="00B065CC">
        <w:rPr>
          <w:szCs w:val="24"/>
        </w:rPr>
        <w:t>For shopping customers in rate classes R, RH, GS, PD, and HT, the one-time notification will include the following information:</w:t>
      </w:r>
    </w:p>
    <w:p w:rsidR="00140E1B" w:rsidRPr="00B065CC" w:rsidRDefault="00140E1B" w:rsidP="00D41FA0">
      <w:pPr>
        <w:pStyle w:val="OutlineL5"/>
        <w:tabs>
          <w:tab w:val="clear" w:pos="3600"/>
          <w:tab w:val="num" w:pos="0"/>
          <w:tab w:val="left" w:pos="2160"/>
        </w:tabs>
        <w:spacing w:after="240" w:line="360" w:lineRule="auto"/>
        <w:ind w:left="0" w:firstLine="2160"/>
        <w:rPr>
          <w:szCs w:val="24"/>
        </w:rPr>
      </w:pPr>
      <w:r w:rsidRPr="00B065CC">
        <w:rPr>
          <w:szCs w:val="24"/>
        </w:rPr>
        <w:t xml:space="preserve">The charges the customer currently is paying for electric generation supply service from their EGS can be found on the customer’s bill.  For more information about current rates and charges, the customer should contact their EGS at the telephone number listed on the bill.  For customers in rate classes GS, PD, and HT, the rate those customers would pay, if they were to purchase default electric generation supply service from PECO, can be found at </w:t>
      </w:r>
      <w:hyperlink r:id="rId10" w:history="1">
        <w:r w:rsidR="00D41FA0" w:rsidRPr="00B065CC">
          <w:rPr>
            <w:rStyle w:val="Hyperlink"/>
            <w:szCs w:val="24"/>
          </w:rPr>
          <w:t>http://www.peco.com/pecobiz/energy_rates/energy_choice/pricetocompare.htm</w:t>
        </w:r>
      </w:hyperlink>
      <w:r w:rsidR="00D41FA0" w:rsidRPr="00B065CC">
        <w:rPr>
          <w:szCs w:val="24"/>
        </w:rPr>
        <w:t xml:space="preserve"> </w:t>
      </w:r>
      <w:r w:rsidRPr="00B065CC">
        <w:rPr>
          <w:szCs w:val="24"/>
        </w:rPr>
        <w:t xml:space="preserve">(or the Commission website).  For customers in rate classes R and RH, the rate those customers would pay, if they were to purchase default electric generation supply service from PECO, can be found at PECO’s website, the OCA’s website, and/or a website specified by the Commission.  The notification will also contain a PECO telephone number which the customer may use to obtain rate information. </w:t>
      </w:r>
    </w:p>
    <w:p w:rsidR="00140E1B" w:rsidRPr="00B065CC" w:rsidRDefault="00140E1B">
      <w:pPr>
        <w:pStyle w:val="OutlineL4"/>
        <w:tabs>
          <w:tab w:val="num" w:pos="2160"/>
        </w:tabs>
        <w:spacing w:line="360" w:lineRule="auto"/>
        <w:ind w:left="0" w:firstLine="1440"/>
        <w:rPr>
          <w:szCs w:val="24"/>
        </w:rPr>
      </w:pPr>
      <w:r w:rsidRPr="00B065CC">
        <w:rPr>
          <w:szCs w:val="24"/>
        </w:rPr>
        <w:t>For customers in rate classes R, RH, GS, PD and HT, whose EGS service start date is on or after January 1, 2011, the enrollment letter sent to them as switching customers will include a notice about the new termination rules that will include the following information:</w:t>
      </w:r>
    </w:p>
    <w:p w:rsidR="00140E1B" w:rsidRPr="00B065CC" w:rsidRDefault="00140E1B" w:rsidP="00D41FA0">
      <w:pPr>
        <w:pStyle w:val="OutlineL5"/>
        <w:tabs>
          <w:tab w:val="clear" w:pos="3600"/>
          <w:tab w:val="num" w:pos="0"/>
          <w:tab w:val="left" w:pos="2160"/>
        </w:tabs>
        <w:spacing w:after="240" w:line="360" w:lineRule="auto"/>
        <w:ind w:left="0" w:firstLine="2160"/>
        <w:rPr>
          <w:szCs w:val="24"/>
        </w:rPr>
      </w:pPr>
      <w:r w:rsidRPr="00B065CC">
        <w:rPr>
          <w:szCs w:val="24"/>
        </w:rPr>
        <w:t xml:space="preserve">For customers in rate classes GS, PD, and HT, the customer-specific rate that the customer paid to PECO, before it switched, can be found in the message section of the customer’s most recent bill from PECO.  The rate the customer would have paid, had the customer continued to purchase default electric generation supply service from PECO, can be found at </w:t>
      </w:r>
      <w:hyperlink r:id="rId11" w:history="1">
        <w:r w:rsidRPr="00B065CC">
          <w:rPr>
            <w:rStyle w:val="Hyperlink"/>
            <w:szCs w:val="24"/>
          </w:rPr>
          <w:t>http://www.peco.com/pecobiz/energy_rates/energy_choice/pricetocompare.htm</w:t>
        </w:r>
      </w:hyperlink>
      <w:r w:rsidRPr="00B065CC">
        <w:rPr>
          <w:szCs w:val="24"/>
        </w:rPr>
        <w:t xml:space="preserve"> (or the Commission website).  For customers in rate classes R and RH, the rate those customers would have paid, had those customers continued to purchase default electric generation supply service from PECO, can be found at PECO’s website, the OCA’s website, and/or a website specified by the Commission.  The notification will also contain a PECO telephone number which the customer may use to obtain rate information.</w:t>
      </w:r>
    </w:p>
    <w:p w:rsidR="00140E1B" w:rsidRPr="00B065CC" w:rsidRDefault="00140E1B" w:rsidP="00D41FA0">
      <w:pPr>
        <w:pStyle w:val="OutlineL5"/>
        <w:tabs>
          <w:tab w:val="clear" w:pos="3600"/>
          <w:tab w:val="num" w:pos="0"/>
          <w:tab w:val="left" w:pos="2160"/>
        </w:tabs>
        <w:spacing w:after="240" w:line="360" w:lineRule="auto"/>
        <w:ind w:left="0" w:firstLine="2160"/>
        <w:rPr>
          <w:szCs w:val="24"/>
        </w:rPr>
      </w:pPr>
      <w:r w:rsidRPr="00B065CC">
        <w:rPr>
          <w:szCs w:val="24"/>
        </w:rPr>
        <w:t>If the customer does not already know the rate the customer will be charged for generation service from an EGS, the customer should contact the EGS, whose phone number will be included in the enrollment letter.</w:t>
      </w:r>
    </w:p>
    <w:p w:rsidR="00140E1B" w:rsidRPr="00B065CC" w:rsidRDefault="00140E1B">
      <w:pPr>
        <w:pStyle w:val="OutlineL4"/>
        <w:tabs>
          <w:tab w:val="num" w:pos="2160"/>
        </w:tabs>
        <w:spacing w:line="360" w:lineRule="auto"/>
        <w:ind w:left="0" w:firstLine="1440"/>
        <w:rPr>
          <w:szCs w:val="24"/>
        </w:rPr>
      </w:pPr>
      <w:r w:rsidRPr="00B065CC">
        <w:rPr>
          <w:szCs w:val="24"/>
        </w:rPr>
        <w:t>PECO’s website shall contain a statement informing customers that the PTC will vary in future periods due to changes in consumption patterns and changes in PECO’s cost of generation supply.</w:t>
      </w:r>
    </w:p>
    <w:p w:rsidR="00140E1B" w:rsidRPr="00B065CC" w:rsidRDefault="00140E1B" w:rsidP="00C07360">
      <w:pPr>
        <w:pStyle w:val="OutlineL2"/>
        <w:keepNext/>
        <w:keepLines/>
        <w:tabs>
          <w:tab w:val="clear" w:pos="2070"/>
          <w:tab w:val="num" w:pos="1440"/>
        </w:tabs>
        <w:spacing w:after="360" w:line="360" w:lineRule="auto"/>
        <w:ind w:left="1440" w:hanging="720"/>
        <w:outlineLvl w:val="0"/>
        <w:rPr>
          <w:b/>
          <w:szCs w:val="24"/>
        </w:rPr>
      </w:pPr>
      <w:bookmarkStart w:id="38" w:name="_Toc257031555"/>
      <w:bookmarkStart w:id="39" w:name="_Toc259699912"/>
      <w:bookmarkStart w:id="40" w:name="_Toc259706172"/>
      <w:r w:rsidRPr="00B065CC">
        <w:rPr>
          <w:b/>
          <w:szCs w:val="24"/>
        </w:rPr>
        <w:t>Issues Reserved for Briefing</w:t>
      </w:r>
      <w:bookmarkEnd w:id="38"/>
      <w:bookmarkEnd w:id="39"/>
      <w:bookmarkEnd w:id="40"/>
    </w:p>
    <w:p w:rsidR="00140E1B" w:rsidRDefault="00140E1B">
      <w:pPr>
        <w:pStyle w:val="OutlineL4"/>
        <w:numPr>
          <w:ilvl w:val="3"/>
          <w:numId w:val="31"/>
        </w:numPr>
        <w:tabs>
          <w:tab w:val="num" w:pos="2160"/>
        </w:tabs>
        <w:spacing w:line="360" w:lineRule="auto"/>
        <w:ind w:left="0" w:firstLine="1440"/>
        <w:rPr>
          <w:szCs w:val="24"/>
        </w:rPr>
      </w:pPr>
      <w:r w:rsidRPr="00B065CC">
        <w:rPr>
          <w:szCs w:val="24"/>
        </w:rPr>
        <w:t>The following issues (the “Reserved Issues”) are reserved for briefing in this proceeding:</w:t>
      </w:r>
    </w:p>
    <w:p w:rsidR="00ED017A" w:rsidRPr="00B065CC" w:rsidRDefault="00ED017A" w:rsidP="00ED017A">
      <w:pPr>
        <w:pStyle w:val="OutlineL4"/>
        <w:numPr>
          <w:ilvl w:val="0"/>
          <w:numId w:val="0"/>
        </w:numPr>
        <w:tabs>
          <w:tab w:val="num" w:pos="2430"/>
        </w:tabs>
        <w:spacing w:line="360" w:lineRule="auto"/>
        <w:ind w:left="1440"/>
        <w:rPr>
          <w:szCs w:val="24"/>
        </w:rPr>
      </w:pPr>
    </w:p>
    <w:p w:rsidR="00140E1B" w:rsidRPr="00B065CC" w:rsidRDefault="00140E1B" w:rsidP="00D41FA0">
      <w:pPr>
        <w:pStyle w:val="OutlineL5"/>
        <w:tabs>
          <w:tab w:val="clear" w:pos="3600"/>
          <w:tab w:val="num" w:pos="0"/>
          <w:tab w:val="left" w:pos="2160"/>
        </w:tabs>
        <w:spacing w:after="240" w:line="360" w:lineRule="auto"/>
        <w:ind w:left="0" w:firstLine="2160"/>
        <w:rPr>
          <w:szCs w:val="24"/>
        </w:rPr>
      </w:pPr>
      <w:r w:rsidRPr="00B065CC">
        <w:rPr>
          <w:szCs w:val="24"/>
        </w:rPr>
        <w:t>Whether PECO can terminate electric service to customers after January 1, 2011, based upon costs for EGS service incurred by such customers prior to January 1, 2011; and</w:t>
      </w:r>
    </w:p>
    <w:p w:rsidR="00140E1B" w:rsidRPr="00B065CC" w:rsidRDefault="00140E1B" w:rsidP="00D41FA0">
      <w:pPr>
        <w:pStyle w:val="OutlineL5"/>
        <w:tabs>
          <w:tab w:val="clear" w:pos="3600"/>
          <w:tab w:val="num" w:pos="0"/>
          <w:tab w:val="left" w:pos="2160"/>
        </w:tabs>
        <w:spacing w:after="240" w:line="360" w:lineRule="auto"/>
        <w:ind w:left="0" w:firstLine="2160"/>
        <w:rPr>
          <w:szCs w:val="24"/>
        </w:rPr>
      </w:pPr>
      <w:r w:rsidRPr="00B065CC">
        <w:rPr>
          <w:szCs w:val="24"/>
        </w:rPr>
        <w:t>Whether PECO should be required to unbundle its generation-related uncollectible accounts expense from its distribution rates for collection from default service customers and also purchase EGS receivables at a discount corresponding to PECO’s uncollectible expense, implementation costs and any administrative costs.</w:t>
      </w:r>
    </w:p>
    <w:p w:rsidR="00140E1B" w:rsidRPr="00B065CC" w:rsidRDefault="00140E1B" w:rsidP="00C07360">
      <w:pPr>
        <w:pStyle w:val="OutlineL2"/>
        <w:keepNext/>
        <w:keepLines/>
        <w:tabs>
          <w:tab w:val="clear" w:pos="2070"/>
          <w:tab w:val="num" w:pos="1440"/>
        </w:tabs>
        <w:spacing w:after="360" w:line="360" w:lineRule="auto"/>
        <w:ind w:left="1440" w:hanging="720"/>
        <w:outlineLvl w:val="0"/>
        <w:rPr>
          <w:b/>
          <w:szCs w:val="24"/>
        </w:rPr>
      </w:pPr>
      <w:bookmarkStart w:id="41" w:name="_Toc257031556"/>
      <w:bookmarkStart w:id="42" w:name="_Toc259699913"/>
      <w:bookmarkStart w:id="43" w:name="_Toc259706173"/>
      <w:r w:rsidRPr="00B065CC">
        <w:rPr>
          <w:b/>
          <w:szCs w:val="24"/>
        </w:rPr>
        <w:t>Future Consideration of Program Terms and Conditions</w:t>
      </w:r>
      <w:bookmarkEnd w:id="41"/>
      <w:bookmarkEnd w:id="42"/>
      <w:bookmarkEnd w:id="43"/>
    </w:p>
    <w:p w:rsidR="00140E1B" w:rsidRPr="00B065CC" w:rsidRDefault="00140E1B">
      <w:pPr>
        <w:pStyle w:val="OutlineL4"/>
        <w:numPr>
          <w:ilvl w:val="3"/>
          <w:numId w:val="25"/>
        </w:numPr>
        <w:tabs>
          <w:tab w:val="num" w:pos="2160"/>
        </w:tabs>
        <w:spacing w:line="360" w:lineRule="auto"/>
        <w:ind w:left="0" w:firstLine="1440"/>
        <w:rPr>
          <w:szCs w:val="24"/>
        </w:rPr>
      </w:pPr>
      <w:r w:rsidRPr="00B065CC">
        <w:rPr>
          <w:szCs w:val="24"/>
        </w:rPr>
        <w:t>The parties agree that the terms and conditions of PECO’s Revised Electric POR Program (as modified by this Settlement) shall not be raised or revisited by any party until PECO’s next default service proceeding for the period commencing June 1, 2013, provided, however, that nothing in this Settlement shall preclude a party from enforcing the terms and conditions of PECO’s Revised Electric POR Program (as modified by this Settlement).  No party will affirmatively seek further unbundling of PECO’s generation-related service costs (e.g., uncollectible accounts expense, call center charges, etc.) in PECO’s next distribution rate case proceeding.</w:t>
      </w:r>
    </w:p>
    <w:p w:rsidR="00140E1B" w:rsidRPr="00B065CC" w:rsidRDefault="00140E1B">
      <w:pPr>
        <w:pStyle w:val="OutlineL4"/>
        <w:tabs>
          <w:tab w:val="num" w:pos="2160"/>
        </w:tabs>
        <w:spacing w:line="360" w:lineRule="auto"/>
        <w:ind w:left="0" w:firstLine="1440"/>
        <w:rPr>
          <w:szCs w:val="24"/>
        </w:rPr>
      </w:pPr>
      <w:r w:rsidRPr="00B065CC">
        <w:rPr>
          <w:szCs w:val="24"/>
        </w:rPr>
        <w:t xml:space="preserve">The parties further agree that nothing in this Settlement shall preclude a party from challenging the reasonableness of the Revised Electric POR Program implementation costs (not including any costs to implement the EDI Transaction agreed to in paragraph 9.C(1)) if such costs exceed $ 2.5 million (the “Implementation Cost Total”).  With respect to the costs associated with implementing the EDI Transaction, the parties agree that, if RESA agrees that the EDI Transaction should be implemented, the cost shall be recovered as an additional implementation cost and no party shall challenge the reasonableness of such costs.  If the Commission should determine that PECO cannot terminate electric service to customers after January 1, 2011 based upon costs for EGS service incurred by such customers prior to January 1, 2011, any additional related implementation cost shall be included in the costs recovered through the temporary discount by an extension of the period of the recovery of the temporary discount </w:t>
      </w:r>
      <w:r w:rsidRPr="00B065CC">
        <w:rPr>
          <w:szCs w:val="24"/>
        </w:rPr>
        <w:lastRenderedPageBreak/>
        <w:t>and the Implementation Cost Total shall be increased to $3.0 million.  In no event shall the percentage amount of the temporary discount be changed.</w:t>
      </w:r>
    </w:p>
    <w:p w:rsidR="00140E1B" w:rsidRPr="00B065CC" w:rsidRDefault="00140E1B">
      <w:pPr>
        <w:pStyle w:val="OutlineL3"/>
        <w:numPr>
          <w:ilvl w:val="0"/>
          <w:numId w:val="0"/>
        </w:numPr>
        <w:spacing w:after="0" w:line="360" w:lineRule="auto"/>
        <w:rPr>
          <w:szCs w:val="24"/>
        </w:rPr>
      </w:pPr>
    </w:p>
    <w:p w:rsidR="00140E1B" w:rsidRPr="00B065CC" w:rsidRDefault="00524552">
      <w:pPr>
        <w:pStyle w:val="OutlineL3"/>
        <w:numPr>
          <w:ilvl w:val="0"/>
          <w:numId w:val="0"/>
        </w:numPr>
        <w:spacing w:line="360" w:lineRule="auto"/>
        <w:rPr>
          <w:szCs w:val="24"/>
        </w:rPr>
      </w:pPr>
      <w:bookmarkStart w:id="44" w:name="_Toc259699914"/>
      <w:bookmarkStart w:id="45" w:name="_Toc259706174"/>
      <w:r>
        <w:rPr>
          <w:szCs w:val="24"/>
        </w:rPr>
        <w:tab/>
      </w:r>
      <w:r w:rsidR="00140E1B" w:rsidRPr="00B065CC">
        <w:rPr>
          <w:szCs w:val="24"/>
        </w:rPr>
        <w:t>10.</w:t>
      </w:r>
      <w:r w:rsidR="00140E1B" w:rsidRPr="00B065CC">
        <w:rPr>
          <w:szCs w:val="24"/>
        </w:rPr>
        <w:tab/>
        <w:t xml:space="preserve">PECO, OCA, OSBA, Constellation, RESA, Direct Energy, and </w:t>
      </w:r>
      <w:r w:rsidR="00AD40A0" w:rsidRPr="00B065CC">
        <w:rPr>
          <w:szCs w:val="24"/>
        </w:rPr>
        <w:t>Dominion Retail</w:t>
      </w:r>
      <w:r w:rsidR="00140E1B" w:rsidRPr="00B065CC">
        <w:rPr>
          <w:szCs w:val="24"/>
        </w:rPr>
        <w:t xml:space="preserve"> have each prepared, and attached to this Joint Petition, Statements in Support identified as Statements A through F, respectively, setting forth the bases on which they believe the Settlement is in the public interest.</w:t>
      </w:r>
      <w:bookmarkEnd w:id="44"/>
      <w:bookmarkEnd w:id="45"/>
    </w:p>
    <w:p w:rsidR="00140E1B" w:rsidRPr="00B065CC" w:rsidRDefault="00140E1B">
      <w:pPr>
        <w:pStyle w:val="OutlineL3"/>
        <w:numPr>
          <w:ilvl w:val="0"/>
          <w:numId w:val="0"/>
        </w:numPr>
        <w:spacing w:after="0" w:line="360" w:lineRule="auto"/>
        <w:rPr>
          <w:szCs w:val="24"/>
        </w:rPr>
      </w:pPr>
    </w:p>
    <w:p w:rsidR="00140E1B" w:rsidRPr="00B065CC" w:rsidRDefault="00524552">
      <w:pPr>
        <w:pStyle w:val="OutlineL3"/>
        <w:numPr>
          <w:ilvl w:val="0"/>
          <w:numId w:val="0"/>
        </w:numPr>
        <w:spacing w:line="360" w:lineRule="auto"/>
        <w:rPr>
          <w:szCs w:val="24"/>
        </w:rPr>
      </w:pPr>
      <w:bookmarkStart w:id="46" w:name="_Toc259699915"/>
      <w:bookmarkStart w:id="47" w:name="_Toc259706175"/>
      <w:r>
        <w:rPr>
          <w:szCs w:val="24"/>
        </w:rPr>
        <w:tab/>
      </w:r>
      <w:r w:rsidR="00140E1B" w:rsidRPr="00B065CC">
        <w:rPr>
          <w:szCs w:val="24"/>
        </w:rPr>
        <w:t>11.</w:t>
      </w:r>
      <w:r w:rsidR="00140E1B" w:rsidRPr="00B065CC">
        <w:rPr>
          <w:szCs w:val="24"/>
        </w:rPr>
        <w:tab/>
        <w:t>The Joint Petitioners submit that the Settlement is in the public interest for the following additional reasons:</w:t>
      </w:r>
      <w:bookmarkEnd w:id="46"/>
      <w:bookmarkEnd w:id="47"/>
    </w:p>
    <w:p w:rsidR="00140E1B" w:rsidRPr="00B065CC" w:rsidRDefault="00140E1B">
      <w:pPr>
        <w:pStyle w:val="OutlineL3"/>
        <w:numPr>
          <w:ilvl w:val="0"/>
          <w:numId w:val="0"/>
        </w:numPr>
        <w:spacing w:after="0" w:line="360" w:lineRule="auto"/>
        <w:rPr>
          <w:szCs w:val="24"/>
        </w:rPr>
      </w:pPr>
    </w:p>
    <w:p w:rsidR="00140E1B" w:rsidRPr="00B065CC" w:rsidRDefault="00140E1B">
      <w:pPr>
        <w:spacing w:after="120" w:line="360" w:lineRule="auto"/>
        <w:ind w:left="1080" w:hanging="360"/>
        <w:rPr>
          <w:sz w:val="24"/>
          <w:szCs w:val="24"/>
        </w:rPr>
      </w:pPr>
      <w:r w:rsidRPr="00B065CC">
        <w:rPr>
          <w:sz w:val="24"/>
          <w:szCs w:val="24"/>
        </w:rPr>
        <w:t>•</w:t>
      </w:r>
      <w:r w:rsidRPr="00B065CC">
        <w:rPr>
          <w:sz w:val="24"/>
          <w:szCs w:val="24"/>
        </w:rPr>
        <w:tab/>
      </w:r>
      <w:r w:rsidRPr="00B065CC">
        <w:rPr>
          <w:b/>
          <w:i/>
          <w:sz w:val="24"/>
          <w:szCs w:val="24"/>
        </w:rPr>
        <w:t>Substantial Litigation And Associated Costs Will Be Avoided</w:t>
      </w:r>
      <w:r w:rsidRPr="00B065CC">
        <w:rPr>
          <w:sz w:val="24"/>
          <w:szCs w:val="24"/>
        </w:rPr>
        <w:t>.  The Settlement amicably and expeditiously resolves a number of important and potentially contentious issues.  The administrative burden and costs to litigate these matters to conclusion would be significant.</w:t>
      </w:r>
    </w:p>
    <w:p w:rsidR="00140E1B" w:rsidRPr="00B065CC" w:rsidRDefault="00140E1B">
      <w:pPr>
        <w:spacing w:after="120" w:line="360" w:lineRule="auto"/>
        <w:ind w:left="1080" w:hanging="360"/>
        <w:rPr>
          <w:sz w:val="24"/>
          <w:szCs w:val="24"/>
        </w:rPr>
      </w:pPr>
      <w:r w:rsidRPr="00B065CC">
        <w:rPr>
          <w:sz w:val="24"/>
          <w:szCs w:val="24"/>
        </w:rPr>
        <w:t>•</w:t>
      </w:r>
      <w:r w:rsidRPr="00B065CC">
        <w:rPr>
          <w:sz w:val="24"/>
          <w:szCs w:val="24"/>
        </w:rPr>
        <w:tab/>
      </w:r>
      <w:r w:rsidRPr="00B065CC">
        <w:rPr>
          <w:b/>
          <w:i/>
          <w:sz w:val="24"/>
          <w:szCs w:val="24"/>
        </w:rPr>
        <w:t>The Settlement Is Consistent With Commission Policies Promoting Negotiated Settlements</w:t>
      </w:r>
      <w:r w:rsidRPr="00B065CC">
        <w:rPr>
          <w:sz w:val="24"/>
          <w:szCs w:val="24"/>
        </w:rPr>
        <w:t>.  The Joint Petitioners arrived at the Settlement terms after conducting discovery and engaging in in-depth discussions over several weeks.  The Settlement terms and conditions constitute a carefully crafted package representing reasonable negotiated compromises on the issues addressed herein.  Thus, the Settlement is consistent with the Commission’s rules and practices encouraging negotiated settlements (</w:t>
      </w:r>
      <w:r w:rsidRPr="00B065CC">
        <w:rPr>
          <w:i/>
          <w:sz w:val="24"/>
          <w:szCs w:val="24"/>
        </w:rPr>
        <w:t>See</w:t>
      </w:r>
      <w:r w:rsidRPr="00B065CC">
        <w:rPr>
          <w:sz w:val="24"/>
          <w:szCs w:val="24"/>
        </w:rPr>
        <w:t xml:space="preserve"> 52 Pa. Code §§ 5.231, 69.391, 69.401), and, with the ALJ’s approval of the Stipulation for admission of testimony and exhibits, is supported by a substantial record.</w:t>
      </w:r>
    </w:p>
    <w:p w:rsidR="00140E1B" w:rsidRPr="00B065CC" w:rsidRDefault="00140E1B" w:rsidP="00781393">
      <w:pPr>
        <w:spacing w:line="360" w:lineRule="auto"/>
        <w:ind w:left="360" w:hanging="360"/>
        <w:rPr>
          <w:sz w:val="24"/>
          <w:szCs w:val="24"/>
        </w:rPr>
      </w:pPr>
    </w:p>
    <w:p w:rsidR="00140E1B" w:rsidRPr="00B065CC" w:rsidRDefault="00140E1B" w:rsidP="00524552">
      <w:pPr>
        <w:pStyle w:val="OutlineL3"/>
        <w:numPr>
          <w:ilvl w:val="0"/>
          <w:numId w:val="14"/>
        </w:numPr>
        <w:spacing w:line="360" w:lineRule="auto"/>
        <w:ind w:left="0" w:firstLine="720"/>
        <w:rPr>
          <w:szCs w:val="24"/>
        </w:rPr>
      </w:pPr>
      <w:bookmarkStart w:id="48" w:name="_Toc259699916"/>
      <w:bookmarkStart w:id="49" w:name="_Toc259706176"/>
      <w:r w:rsidRPr="00B065CC">
        <w:rPr>
          <w:szCs w:val="24"/>
        </w:rPr>
        <w:t>The Commission’s approval of the Settlement shall not be construed as approval of any party’s position on any issue, except to the extent required to effectuate the terms and agreements of the Settlement.  Accordingly, this Settlement may not be cited as precedent in any future proceeding, except to the extent required to implement this Settlement.</w:t>
      </w:r>
      <w:bookmarkEnd w:id="48"/>
      <w:bookmarkEnd w:id="49"/>
    </w:p>
    <w:p w:rsidR="00140E1B" w:rsidRDefault="00140E1B" w:rsidP="007738FB">
      <w:pPr>
        <w:pStyle w:val="OutlineL3"/>
        <w:numPr>
          <w:ilvl w:val="0"/>
          <w:numId w:val="14"/>
        </w:numPr>
        <w:spacing w:line="360" w:lineRule="auto"/>
        <w:ind w:left="0" w:firstLine="720"/>
        <w:rPr>
          <w:szCs w:val="24"/>
        </w:rPr>
      </w:pPr>
      <w:bookmarkStart w:id="50" w:name="_Toc259699917"/>
      <w:bookmarkStart w:id="51" w:name="_Toc259706177"/>
      <w:r w:rsidRPr="00B065CC">
        <w:rPr>
          <w:szCs w:val="24"/>
        </w:rPr>
        <w:lastRenderedPageBreak/>
        <w:t>It is understood and agreed among the Joint Petitioners that the Settlement is the result of compromise and does not necessarily represent the position(s) that would be advanced by any party in this or any other proceeding, if it were fully litigated.</w:t>
      </w:r>
      <w:bookmarkEnd w:id="50"/>
      <w:bookmarkEnd w:id="51"/>
    </w:p>
    <w:p w:rsidR="00DC4565" w:rsidRPr="00B065CC" w:rsidRDefault="00DC4565" w:rsidP="007738FB">
      <w:pPr>
        <w:pStyle w:val="OutlineL3"/>
        <w:numPr>
          <w:ilvl w:val="0"/>
          <w:numId w:val="0"/>
        </w:numPr>
        <w:spacing w:after="0" w:line="360" w:lineRule="auto"/>
        <w:ind w:firstLine="720"/>
        <w:rPr>
          <w:szCs w:val="24"/>
        </w:rPr>
      </w:pPr>
    </w:p>
    <w:p w:rsidR="00140E1B" w:rsidRPr="00B065CC" w:rsidRDefault="00140E1B" w:rsidP="007738FB">
      <w:pPr>
        <w:pStyle w:val="OutlineL3"/>
        <w:numPr>
          <w:ilvl w:val="0"/>
          <w:numId w:val="14"/>
        </w:numPr>
        <w:spacing w:line="360" w:lineRule="auto"/>
        <w:ind w:left="0" w:firstLine="720"/>
        <w:rPr>
          <w:szCs w:val="24"/>
        </w:rPr>
      </w:pPr>
      <w:bookmarkStart w:id="52" w:name="_Toc259699918"/>
      <w:bookmarkStart w:id="53" w:name="_Toc259706178"/>
      <w:r w:rsidRPr="00B065CC">
        <w:rPr>
          <w:szCs w:val="24"/>
        </w:rPr>
        <w:t>This Settlement is being presented only in the context of this proceeding in an effort to resolve the proceeding in a manner that is fair and reasonable.  The Settlement is the product of compromise.  This Settlement is presented without prejudice to any position which any of the parties may have advanced and without prejudice to the position any of the parties may advance in the future on the merits of the issues in future proceedings, except to the extent necessary to effectuate the terms and conditions of this Settlement.</w:t>
      </w:r>
      <w:bookmarkEnd w:id="52"/>
      <w:bookmarkEnd w:id="53"/>
      <w:r w:rsidRPr="00B065CC">
        <w:rPr>
          <w:szCs w:val="24"/>
        </w:rPr>
        <w:t xml:space="preserve"> </w:t>
      </w:r>
    </w:p>
    <w:p w:rsidR="00140E1B" w:rsidRPr="00B065CC" w:rsidRDefault="00140E1B" w:rsidP="007738FB">
      <w:pPr>
        <w:pStyle w:val="ListParagraph"/>
        <w:spacing w:line="360" w:lineRule="auto"/>
        <w:ind w:firstLine="720"/>
        <w:rPr>
          <w:sz w:val="24"/>
          <w:szCs w:val="24"/>
        </w:rPr>
      </w:pPr>
    </w:p>
    <w:p w:rsidR="00140E1B" w:rsidRPr="00B065CC" w:rsidRDefault="00140E1B" w:rsidP="007738FB">
      <w:pPr>
        <w:pStyle w:val="OutlineL3"/>
        <w:numPr>
          <w:ilvl w:val="0"/>
          <w:numId w:val="14"/>
        </w:numPr>
        <w:spacing w:line="360" w:lineRule="auto"/>
        <w:ind w:left="0" w:firstLine="720"/>
        <w:rPr>
          <w:szCs w:val="24"/>
        </w:rPr>
      </w:pPr>
      <w:bookmarkStart w:id="54" w:name="_Toc259699919"/>
      <w:bookmarkStart w:id="55" w:name="_Toc259706179"/>
      <w:r w:rsidRPr="00B065CC">
        <w:rPr>
          <w:szCs w:val="24"/>
        </w:rPr>
        <w:t>This Settlement is conditioned upon the Commission’s approval of the terms and conditions contained herein without modification.  If the Commission should disapprove the Settlement or modify any terms and conditions herein (including, without limitation, by ruling that PECO must unbundle its generation-related uncollectible accounts expense), this Settlement may be withdrawn upon written notice to the Commission and all active parties within five (5) business days following entry of the Commission’s Order by any of the Joint Petitioners and, in such event, shall be of no force and effect.  In the event that the Commission disapproves the Settlement or the Company or any other Joint Petitioner elects to withdraw the Settlement as provided above, the Joint Petitioners reserve their respective rights to fully litigate this case, including, but not limited to, presentation of witnesses, cross-examination and legal argument through submission of Briefs, Exceptions and Replies to Exceptions.</w:t>
      </w:r>
      <w:bookmarkEnd w:id="54"/>
      <w:bookmarkEnd w:id="55"/>
    </w:p>
    <w:p w:rsidR="00140E1B" w:rsidRPr="00B065CC" w:rsidRDefault="00140E1B" w:rsidP="007738FB">
      <w:pPr>
        <w:pStyle w:val="ListParagraph"/>
        <w:ind w:firstLine="720"/>
        <w:rPr>
          <w:sz w:val="24"/>
          <w:szCs w:val="24"/>
        </w:rPr>
      </w:pPr>
    </w:p>
    <w:p w:rsidR="00140E1B" w:rsidRPr="00B065CC" w:rsidRDefault="00140E1B" w:rsidP="007738FB">
      <w:pPr>
        <w:pStyle w:val="OutlineL3"/>
        <w:numPr>
          <w:ilvl w:val="0"/>
          <w:numId w:val="14"/>
        </w:numPr>
        <w:spacing w:after="0" w:line="360" w:lineRule="auto"/>
        <w:ind w:left="0" w:firstLine="720"/>
        <w:rPr>
          <w:szCs w:val="24"/>
        </w:rPr>
      </w:pPr>
      <w:bookmarkStart w:id="56" w:name="_Toc259699920"/>
      <w:bookmarkStart w:id="57" w:name="_Toc259706180"/>
      <w:r w:rsidRPr="00B065CC">
        <w:rPr>
          <w:szCs w:val="24"/>
        </w:rPr>
        <w:t>If the ALJ, in the Recommended Decision, recommends that the Commission adopt the Settlement as herein proposed without modification, the Joint Petitioners agree to waive the filing of Exceptions with respect to any issues addressed by the Settlement.  However, the Joint Petitioners do not waive their rights to file Exceptions with respect to any modifications to the terms and conditions of this Settlement, or any additional matters proposed by the ALJ in the Recommended Decision (including the ALJ’s determination regarding the Reserved Issues).  The Joint Petitioners also reserve the right to file Replies to any Exceptions that may be filed.</w:t>
      </w:r>
      <w:bookmarkEnd w:id="56"/>
      <w:bookmarkEnd w:id="57"/>
    </w:p>
    <w:p w:rsidR="006338E3" w:rsidRPr="00B065CC" w:rsidRDefault="006338E3" w:rsidP="00781393">
      <w:pPr>
        <w:spacing w:line="360" w:lineRule="auto"/>
        <w:ind w:firstLine="1440"/>
        <w:rPr>
          <w:sz w:val="24"/>
          <w:szCs w:val="24"/>
        </w:rPr>
      </w:pPr>
    </w:p>
    <w:p w:rsidR="00140E1B" w:rsidRPr="00B065CC" w:rsidRDefault="00140E1B" w:rsidP="00DC4565">
      <w:pPr>
        <w:pStyle w:val="Heading1"/>
        <w:rPr>
          <w:sz w:val="24"/>
          <w:szCs w:val="24"/>
        </w:rPr>
      </w:pPr>
      <w:bookmarkStart w:id="58" w:name="_Toc259706181"/>
      <w:r w:rsidRPr="00B065CC">
        <w:rPr>
          <w:sz w:val="24"/>
          <w:szCs w:val="24"/>
          <w:u w:val="none"/>
        </w:rPr>
        <w:lastRenderedPageBreak/>
        <w:t>I</w:t>
      </w:r>
      <w:r w:rsidR="002B675E" w:rsidRPr="00B065CC">
        <w:rPr>
          <w:sz w:val="24"/>
          <w:szCs w:val="24"/>
          <w:u w:val="none"/>
        </w:rPr>
        <w:t>II</w:t>
      </w:r>
      <w:r w:rsidRPr="00B065CC">
        <w:rPr>
          <w:sz w:val="24"/>
          <w:szCs w:val="24"/>
          <w:u w:val="none"/>
        </w:rPr>
        <w:t xml:space="preserve">. </w:t>
      </w:r>
      <w:r w:rsidRPr="00B065CC">
        <w:rPr>
          <w:sz w:val="24"/>
          <w:szCs w:val="24"/>
        </w:rPr>
        <w:t>DISCUSSION</w:t>
      </w:r>
      <w:bookmarkEnd w:id="58"/>
    </w:p>
    <w:p w:rsidR="00140E1B" w:rsidRPr="00B065CC" w:rsidRDefault="00140E1B" w:rsidP="00DC4565">
      <w:pPr>
        <w:pStyle w:val="FootnoteText"/>
        <w:widowControl/>
        <w:tabs>
          <w:tab w:val="left" w:pos="-720"/>
        </w:tabs>
        <w:suppressAutoHyphens/>
        <w:spacing w:line="360" w:lineRule="auto"/>
        <w:rPr>
          <w:sz w:val="24"/>
          <w:szCs w:val="24"/>
        </w:rPr>
      </w:pPr>
    </w:p>
    <w:p w:rsidR="00140E1B" w:rsidRPr="00B065CC" w:rsidRDefault="00140E1B" w:rsidP="000A3537">
      <w:pPr>
        <w:pStyle w:val="Heading1"/>
        <w:jc w:val="left"/>
        <w:rPr>
          <w:sz w:val="24"/>
          <w:szCs w:val="24"/>
        </w:rPr>
      </w:pPr>
      <w:bookmarkStart w:id="59" w:name="_Toc259706182"/>
      <w:r w:rsidRPr="006338E3">
        <w:rPr>
          <w:sz w:val="24"/>
          <w:szCs w:val="24"/>
          <w:u w:val="none"/>
        </w:rPr>
        <w:t>A.</w:t>
      </w:r>
      <w:r w:rsidRPr="006338E3">
        <w:rPr>
          <w:sz w:val="24"/>
          <w:szCs w:val="24"/>
          <w:u w:val="none"/>
        </w:rPr>
        <w:tab/>
      </w:r>
      <w:r w:rsidRPr="00B065CC">
        <w:rPr>
          <w:sz w:val="24"/>
          <w:szCs w:val="24"/>
        </w:rPr>
        <w:t>Background</w:t>
      </w:r>
      <w:bookmarkEnd w:id="59"/>
    </w:p>
    <w:p w:rsidR="00140E1B" w:rsidRPr="00B065CC" w:rsidRDefault="00140E1B">
      <w:pPr>
        <w:tabs>
          <w:tab w:val="left" w:pos="-720"/>
        </w:tabs>
        <w:suppressAutoHyphens/>
        <w:spacing w:line="360" w:lineRule="auto"/>
        <w:rPr>
          <w:sz w:val="24"/>
          <w:szCs w:val="24"/>
          <w:u w:val="single"/>
        </w:rPr>
      </w:pPr>
    </w:p>
    <w:p w:rsidR="00140E1B" w:rsidRPr="00B065CC" w:rsidRDefault="00140E1B">
      <w:pPr>
        <w:tabs>
          <w:tab w:val="left" w:pos="-720"/>
        </w:tabs>
        <w:suppressAutoHyphens/>
        <w:spacing w:line="360" w:lineRule="auto"/>
        <w:rPr>
          <w:sz w:val="24"/>
          <w:szCs w:val="24"/>
        </w:rPr>
      </w:pPr>
      <w:r w:rsidRPr="00B065CC">
        <w:rPr>
          <w:sz w:val="24"/>
          <w:szCs w:val="24"/>
        </w:rPr>
        <w:tab/>
      </w:r>
      <w:r w:rsidRPr="00B065CC">
        <w:rPr>
          <w:sz w:val="24"/>
          <w:szCs w:val="24"/>
        </w:rPr>
        <w:tab/>
        <w:t>PECO is a corporation organized and existing under the laws of the Commonwealth of Pennsylvania with its principal office in Philadelphia, Pennsylvania.  PECO provides electric delivery service to approximately 1.6 million customers and natural gas delivery service to approximately 475,000 customers in Southeastern Pennsylvania (PECO’s Petition ¶1).</w:t>
      </w:r>
    </w:p>
    <w:p w:rsidR="00140E1B" w:rsidRPr="00B065CC" w:rsidRDefault="00140E1B">
      <w:pPr>
        <w:tabs>
          <w:tab w:val="left" w:pos="-720"/>
        </w:tabs>
        <w:suppressAutoHyphens/>
        <w:spacing w:line="360" w:lineRule="auto"/>
        <w:rPr>
          <w:sz w:val="24"/>
          <w:szCs w:val="24"/>
        </w:rPr>
      </w:pPr>
    </w:p>
    <w:p w:rsidR="00140E1B" w:rsidRPr="00B065CC" w:rsidRDefault="00140E1B">
      <w:pPr>
        <w:tabs>
          <w:tab w:val="left" w:pos="-720"/>
        </w:tabs>
        <w:suppressAutoHyphens/>
        <w:spacing w:line="360" w:lineRule="auto"/>
        <w:rPr>
          <w:sz w:val="24"/>
          <w:szCs w:val="24"/>
        </w:rPr>
      </w:pPr>
      <w:r w:rsidRPr="00B065CC">
        <w:rPr>
          <w:sz w:val="24"/>
          <w:szCs w:val="24"/>
        </w:rPr>
        <w:tab/>
      </w:r>
      <w:r w:rsidRPr="00B065CC">
        <w:rPr>
          <w:sz w:val="24"/>
          <w:szCs w:val="24"/>
        </w:rPr>
        <w:tab/>
        <w:t xml:space="preserve">The Electricity Generation Customer Choice and Competition Act (the “Competition Act”), 66 Pa.C.S. § 2801, </w:t>
      </w:r>
      <w:r w:rsidRPr="00B065CC">
        <w:rPr>
          <w:i/>
          <w:sz w:val="24"/>
          <w:szCs w:val="24"/>
        </w:rPr>
        <w:t>et seq</w:t>
      </w:r>
      <w:r w:rsidRPr="00B065CC">
        <w:rPr>
          <w:sz w:val="24"/>
          <w:szCs w:val="24"/>
        </w:rPr>
        <w:t>., restructured the provision of retail electric service in Pennsylvania by mandating the introduction of customer choice for retail electric generation supply by January 1, 1999.  This Act became effective on January 1, 1997.  66 Pa.C.S. § 2801 (PECO’s Petition ¶2).</w:t>
      </w:r>
    </w:p>
    <w:p w:rsidR="00140E1B" w:rsidRPr="00B065CC" w:rsidRDefault="00140E1B">
      <w:pPr>
        <w:tabs>
          <w:tab w:val="left" w:pos="-720"/>
        </w:tabs>
        <w:suppressAutoHyphens/>
        <w:spacing w:line="360" w:lineRule="auto"/>
        <w:rPr>
          <w:sz w:val="24"/>
          <w:szCs w:val="24"/>
        </w:rPr>
      </w:pPr>
    </w:p>
    <w:p w:rsidR="00140E1B" w:rsidRPr="00B065CC" w:rsidRDefault="00140E1B">
      <w:pPr>
        <w:tabs>
          <w:tab w:val="left" w:pos="-720"/>
        </w:tabs>
        <w:suppressAutoHyphens/>
        <w:spacing w:line="360" w:lineRule="auto"/>
        <w:rPr>
          <w:sz w:val="24"/>
          <w:szCs w:val="24"/>
        </w:rPr>
      </w:pPr>
      <w:r w:rsidRPr="00B065CC">
        <w:rPr>
          <w:sz w:val="24"/>
          <w:szCs w:val="24"/>
        </w:rPr>
        <w:tab/>
      </w:r>
      <w:r w:rsidRPr="00B065CC">
        <w:rPr>
          <w:sz w:val="24"/>
          <w:szCs w:val="24"/>
        </w:rPr>
        <w:tab/>
        <w:t xml:space="preserve">On April 1, 1997, PECO submitted a comprehensive restructuring plan in accordance with the Competition Act.  After extensive litigation and settlement proceedings, PECO and the other parties submitted a Joint Petition for Settlement (the “Restructuring Settlement”) which resolved all of the issues concerning PECO’s restructuring plan.  The </w:t>
      </w:r>
      <w:r w:rsidRPr="00B065CC">
        <w:rPr>
          <w:i/>
          <w:iCs/>
          <w:sz w:val="24"/>
          <w:szCs w:val="24"/>
        </w:rPr>
        <w:t>Restructuring Settlement</w:t>
      </w:r>
      <w:r w:rsidRPr="00B065CC">
        <w:rPr>
          <w:sz w:val="24"/>
          <w:szCs w:val="24"/>
        </w:rPr>
        <w:t xml:space="preserve"> was approved by the Commission on May 14, 1998.  </w:t>
      </w:r>
      <w:r w:rsidRPr="00B065CC">
        <w:rPr>
          <w:i/>
          <w:sz w:val="24"/>
          <w:szCs w:val="24"/>
        </w:rPr>
        <w:t>See Application of PECO Energy Company for Approval of its Restructuring Plan under Section 2806 of the Public Utility Code, et al</w:t>
      </w:r>
      <w:r w:rsidRPr="00B065CC">
        <w:rPr>
          <w:sz w:val="24"/>
          <w:szCs w:val="24"/>
        </w:rPr>
        <w:t>., Docket Nos. R-000973953 and P-00971265 (PECO’s Petition ¶3).</w:t>
      </w:r>
    </w:p>
    <w:p w:rsidR="00140E1B" w:rsidRPr="00B065CC" w:rsidRDefault="00140E1B">
      <w:pPr>
        <w:tabs>
          <w:tab w:val="left" w:pos="-720"/>
        </w:tabs>
        <w:suppressAutoHyphens/>
        <w:spacing w:line="360" w:lineRule="auto"/>
        <w:rPr>
          <w:sz w:val="24"/>
          <w:szCs w:val="24"/>
        </w:rPr>
      </w:pPr>
    </w:p>
    <w:p w:rsidR="00140E1B" w:rsidRPr="00B065CC" w:rsidRDefault="00140E1B">
      <w:pPr>
        <w:tabs>
          <w:tab w:val="left" w:pos="-720"/>
        </w:tabs>
        <w:suppressAutoHyphens/>
        <w:spacing w:line="360" w:lineRule="auto"/>
        <w:rPr>
          <w:sz w:val="24"/>
          <w:szCs w:val="24"/>
        </w:rPr>
      </w:pPr>
      <w:r w:rsidRPr="00B065CC">
        <w:rPr>
          <w:sz w:val="24"/>
          <w:szCs w:val="24"/>
        </w:rPr>
        <w:tab/>
      </w:r>
      <w:r w:rsidRPr="00B065CC">
        <w:rPr>
          <w:sz w:val="24"/>
          <w:szCs w:val="24"/>
        </w:rPr>
        <w:tab/>
        <w:t xml:space="preserve">PECO’s </w:t>
      </w:r>
      <w:r w:rsidRPr="00B065CC">
        <w:rPr>
          <w:i/>
          <w:sz w:val="24"/>
          <w:szCs w:val="24"/>
        </w:rPr>
        <w:t>Restructuring Settlement</w:t>
      </w:r>
      <w:r w:rsidRPr="00B065CC">
        <w:rPr>
          <w:sz w:val="24"/>
          <w:szCs w:val="24"/>
        </w:rPr>
        <w:t xml:space="preserve"> included an extensive program to support retail competition, containing specific standards for competitive billing and collection.  </w:t>
      </w:r>
      <w:r w:rsidRPr="00B065CC">
        <w:rPr>
          <w:i/>
          <w:sz w:val="24"/>
          <w:szCs w:val="24"/>
        </w:rPr>
        <w:t xml:space="preserve">See </w:t>
      </w:r>
      <w:r w:rsidRPr="00B065CC">
        <w:rPr>
          <w:i/>
          <w:iCs/>
          <w:sz w:val="24"/>
          <w:szCs w:val="24"/>
        </w:rPr>
        <w:t>Restructuring Settlement</w:t>
      </w:r>
      <w:r w:rsidRPr="00B065CC">
        <w:rPr>
          <w:sz w:val="24"/>
          <w:szCs w:val="24"/>
        </w:rPr>
        <w:t xml:space="preserve"> ¶22 &amp; Appendix C.  The standards for PECO’s billing and collection program were subsequently organized into PECO’s Electric Generation Supplier Coordination Tariff (“EGS Supplier Tariff”).  This tariff has governed the retail supply interaction and coordination of PECO and EGSs since January 1, 1999 (PECO’s Petition ¶4)</w:t>
      </w:r>
      <w:r w:rsidR="007752D4" w:rsidRPr="00B065CC">
        <w:rPr>
          <w:sz w:val="24"/>
          <w:szCs w:val="24"/>
        </w:rPr>
        <w:t>.</w:t>
      </w:r>
    </w:p>
    <w:p w:rsidR="00140E1B" w:rsidRPr="00B065CC" w:rsidRDefault="00140E1B">
      <w:pPr>
        <w:tabs>
          <w:tab w:val="left" w:pos="-720"/>
        </w:tabs>
        <w:suppressAutoHyphens/>
        <w:spacing w:line="360" w:lineRule="auto"/>
        <w:rPr>
          <w:sz w:val="24"/>
          <w:szCs w:val="24"/>
        </w:rPr>
      </w:pPr>
    </w:p>
    <w:p w:rsidR="00140E1B" w:rsidRPr="00B065CC" w:rsidRDefault="00140E1B">
      <w:pPr>
        <w:tabs>
          <w:tab w:val="left" w:pos="-720"/>
        </w:tabs>
        <w:suppressAutoHyphens/>
        <w:spacing w:line="360" w:lineRule="auto"/>
        <w:rPr>
          <w:sz w:val="24"/>
          <w:szCs w:val="24"/>
        </w:rPr>
      </w:pPr>
      <w:r w:rsidRPr="00B065CC">
        <w:rPr>
          <w:sz w:val="24"/>
          <w:szCs w:val="24"/>
        </w:rPr>
        <w:lastRenderedPageBreak/>
        <w:tab/>
      </w:r>
      <w:r w:rsidRPr="00B065CC">
        <w:rPr>
          <w:sz w:val="24"/>
          <w:szCs w:val="24"/>
        </w:rPr>
        <w:tab/>
        <w:t>Under the EGS Supplier Tariff, PECO offers three billing options:  (1) Separate EDC/EGS billing, which is also known as dual billing, where PECO and the EGS send separate bills directly to the customer; (2) Consolidated EGS billing, where the EGS bills for all charges; and (3) Consolidated EDC billing, the option used by most electric distribution companies (“EDCs”).  Under the Consolidated EDC billing option, PECO transmits metered customer usage data to the EGS, the EGS calculates its customers’ charges for EGS service and transmits the charges to PECO electronically.  PECO then sends a single bill to the customer which consists of both EGS and PECO charges (PECO’s Petition ¶5).</w:t>
      </w:r>
    </w:p>
    <w:p w:rsidR="00140E1B" w:rsidRPr="00B065CC" w:rsidRDefault="00140E1B">
      <w:pPr>
        <w:tabs>
          <w:tab w:val="left" w:pos="-720"/>
        </w:tabs>
        <w:suppressAutoHyphens/>
        <w:spacing w:line="360" w:lineRule="auto"/>
        <w:rPr>
          <w:sz w:val="24"/>
          <w:szCs w:val="24"/>
        </w:rPr>
      </w:pPr>
    </w:p>
    <w:p w:rsidR="00140E1B" w:rsidRPr="00B065CC" w:rsidRDefault="00140E1B">
      <w:pPr>
        <w:tabs>
          <w:tab w:val="left" w:pos="-720"/>
        </w:tabs>
        <w:suppressAutoHyphens/>
        <w:spacing w:line="360" w:lineRule="auto"/>
        <w:rPr>
          <w:sz w:val="24"/>
          <w:szCs w:val="24"/>
        </w:rPr>
      </w:pPr>
      <w:r w:rsidRPr="00B065CC">
        <w:rPr>
          <w:sz w:val="24"/>
          <w:szCs w:val="24"/>
        </w:rPr>
        <w:tab/>
      </w:r>
      <w:r w:rsidRPr="00B065CC">
        <w:rPr>
          <w:sz w:val="24"/>
          <w:szCs w:val="24"/>
        </w:rPr>
        <w:tab/>
        <w:t>Under the Consolidated EDC billing program, PECO pays the EGS, dollar for dollar, all undisputed EGS charges billed by PECO regardless of whether or not the customer has paid PECO for the charges for up to 90 days.  At the end of the 90 day period, the account is considered seriously delinquent and PECO’s current practice is to revert customers to dual billing for non-payment of EGS charges (PECO’s Petition ¶6)</w:t>
      </w:r>
      <w:r w:rsidR="007752D4" w:rsidRPr="00B065CC">
        <w:rPr>
          <w:sz w:val="24"/>
          <w:szCs w:val="24"/>
        </w:rPr>
        <w:t>.</w:t>
      </w:r>
    </w:p>
    <w:p w:rsidR="00140E1B" w:rsidRPr="00B065CC" w:rsidRDefault="00140E1B">
      <w:pPr>
        <w:tabs>
          <w:tab w:val="left" w:pos="-720"/>
        </w:tabs>
        <w:suppressAutoHyphens/>
        <w:spacing w:line="360" w:lineRule="auto"/>
        <w:rPr>
          <w:sz w:val="24"/>
          <w:szCs w:val="24"/>
        </w:rPr>
      </w:pPr>
    </w:p>
    <w:p w:rsidR="00140E1B" w:rsidRDefault="00140E1B">
      <w:pPr>
        <w:tabs>
          <w:tab w:val="left" w:pos="-720"/>
        </w:tabs>
        <w:suppressAutoHyphens/>
        <w:spacing w:line="360" w:lineRule="auto"/>
        <w:rPr>
          <w:sz w:val="24"/>
          <w:szCs w:val="24"/>
        </w:rPr>
      </w:pPr>
      <w:r w:rsidRPr="00B065CC">
        <w:rPr>
          <w:sz w:val="24"/>
          <w:szCs w:val="24"/>
        </w:rPr>
        <w:tab/>
      </w:r>
      <w:r w:rsidRPr="00B065CC">
        <w:rPr>
          <w:sz w:val="24"/>
          <w:szCs w:val="24"/>
        </w:rPr>
        <w:tab/>
        <w:t>PECO’s expenses associated with its current POR program, including uncollectible expenses, are recovered through its distribution rates (PECO’s Petition ¶7).</w:t>
      </w:r>
    </w:p>
    <w:p w:rsidR="006338E3" w:rsidRPr="00B065CC" w:rsidRDefault="006338E3">
      <w:pPr>
        <w:tabs>
          <w:tab w:val="left" w:pos="-720"/>
        </w:tabs>
        <w:suppressAutoHyphens/>
        <w:spacing w:line="360" w:lineRule="auto"/>
        <w:rPr>
          <w:sz w:val="24"/>
          <w:szCs w:val="24"/>
        </w:rPr>
      </w:pPr>
    </w:p>
    <w:p w:rsidR="00140E1B" w:rsidRPr="00B065CC" w:rsidRDefault="00140E1B">
      <w:pPr>
        <w:tabs>
          <w:tab w:val="left" w:pos="-720"/>
        </w:tabs>
        <w:suppressAutoHyphens/>
        <w:spacing w:line="360" w:lineRule="auto"/>
        <w:rPr>
          <w:sz w:val="24"/>
          <w:szCs w:val="24"/>
        </w:rPr>
      </w:pPr>
      <w:r w:rsidRPr="00B065CC">
        <w:rPr>
          <w:sz w:val="24"/>
          <w:szCs w:val="24"/>
        </w:rPr>
        <w:tab/>
      </w:r>
      <w:r w:rsidRPr="00B065CC">
        <w:rPr>
          <w:sz w:val="24"/>
          <w:szCs w:val="24"/>
        </w:rPr>
        <w:tab/>
        <w:t xml:space="preserve">On September 10, 2008, PECO filed its proposed program for procurement of default service supply in accordance with the requirements of the Competition Act as amended by Act 129 of 2008.  </w:t>
      </w:r>
      <w:r w:rsidRPr="00B065CC">
        <w:rPr>
          <w:i/>
          <w:sz w:val="24"/>
          <w:szCs w:val="24"/>
        </w:rPr>
        <w:t>See</w:t>
      </w:r>
      <w:r w:rsidRPr="00B065CC">
        <w:rPr>
          <w:sz w:val="24"/>
          <w:szCs w:val="24"/>
        </w:rPr>
        <w:t xml:space="preserve"> 66 Pa.C.S. § 2807(e)(3.1).  By Order entered June 2, 2009, the Commission approved the </w:t>
      </w:r>
      <w:r w:rsidRPr="00B065CC">
        <w:rPr>
          <w:i/>
          <w:iCs/>
          <w:sz w:val="24"/>
          <w:szCs w:val="24"/>
        </w:rPr>
        <w:t>Default Service Settlement</w:t>
      </w:r>
      <w:r w:rsidRPr="00B065CC">
        <w:rPr>
          <w:sz w:val="24"/>
          <w:szCs w:val="24"/>
        </w:rPr>
        <w:t xml:space="preserve"> </w:t>
      </w:r>
      <w:r w:rsidR="00450123" w:rsidRPr="00B065CC">
        <w:rPr>
          <w:sz w:val="24"/>
          <w:szCs w:val="24"/>
        </w:rPr>
        <w:t xml:space="preserve">filed by </w:t>
      </w:r>
      <w:r w:rsidRPr="00B065CC">
        <w:rPr>
          <w:sz w:val="24"/>
          <w:szCs w:val="24"/>
        </w:rPr>
        <w:t>PECO and the parties to the default service proceeding (PECO’s Petition ¶8).</w:t>
      </w:r>
    </w:p>
    <w:p w:rsidR="00140E1B" w:rsidRPr="00B065CC" w:rsidRDefault="00140E1B">
      <w:pPr>
        <w:tabs>
          <w:tab w:val="left" w:pos="-720"/>
        </w:tabs>
        <w:suppressAutoHyphens/>
        <w:spacing w:line="360" w:lineRule="auto"/>
        <w:rPr>
          <w:sz w:val="24"/>
          <w:szCs w:val="24"/>
        </w:rPr>
      </w:pPr>
    </w:p>
    <w:p w:rsidR="00140E1B" w:rsidRPr="00B065CC" w:rsidRDefault="00140E1B">
      <w:pPr>
        <w:tabs>
          <w:tab w:val="left" w:pos="-720"/>
        </w:tabs>
        <w:suppressAutoHyphens/>
        <w:spacing w:line="360" w:lineRule="auto"/>
        <w:rPr>
          <w:sz w:val="24"/>
          <w:szCs w:val="24"/>
        </w:rPr>
      </w:pPr>
      <w:r w:rsidRPr="00B065CC">
        <w:rPr>
          <w:sz w:val="24"/>
          <w:szCs w:val="24"/>
        </w:rPr>
        <w:tab/>
      </w:r>
      <w:r w:rsidRPr="00B065CC">
        <w:rPr>
          <w:sz w:val="24"/>
          <w:szCs w:val="24"/>
        </w:rPr>
        <w:tab/>
        <w:t xml:space="preserve">The </w:t>
      </w:r>
      <w:r w:rsidRPr="00B065CC">
        <w:rPr>
          <w:i/>
          <w:iCs/>
          <w:sz w:val="24"/>
          <w:szCs w:val="24"/>
        </w:rPr>
        <w:t>Default Service Settlement</w:t>
      </w:r>
      <w:r w:rsidRPr="00B065CC">
        <w:rPr>
          <w:sz w:val="24"/>
          <w:szCs w:val="24"/>
        </w:rPr>
        <w:t xml:space="preserve"> required PECO to either file a revised POR program as a part of its next general electric distribution rate case under Section 1308(d) of the Public Utility Code, 66 Pa.C.S. § 1308(d), to become effective on or before January 1, 2011, or file a stand - alone POR program no later than July 1, 2010 (PECO’s Petition ¶9).</w:t>
      </w:r>
    </w:p>
    <w:p w:rsidR="00B76759" w:rsidRDefault="00B76759">
      <w:pPr>
        <w:rPr>
          <w:sz w:val="24"/>
          <w:szCs w:val="24"/>
        </w:rPr>
      </w:pPr>
      <w:r>
        <w:rPr>
          <w:sz w:val="24"/>
          <w:szCs w:val="24"/>
        </w:rPr>
        <w:br w:type="page"/>
      </w:r>
    </w:p>
    <w:p w:rsidR="006338E3" w:rsidRPr="00B065CC" w:rsidRDefault="006338E3">
      <w:pPr>
        <w:tabs>
          <w:tab w:val="left" w:pos="-720"/>
        </w:tabs>
        <w:suppressAutoHyphens/>
        <w:spacing w:line="360" w:lineRule="auto"/>
        <w:rPr>
          <w:sz w:val="24"/>
          <w:szCs w:val="24"/>
        </w:rPr>
      </w:pPr>
    </w:p>
    <w:p w:rsidR="00140E1B" w:rsidRPr="00B065CC" w:rsidRDefault="00140E1B" w:rsidP="000A3537">
      <w:pPr>
        <w:pStyle w:val="Heading1"/>
        <w:jc w:val="left"/>
        <w:rPr>
          <w:sz w:val="24"/>
          <w:szCs w:val="24"/>
        </w:rPr>
      </w:pPr>
      <w:bookmarkStart w:id="60" w:name="_Toc259706183"/>
      <w:r w:rsidRPr="006338E3">
        <w:rPr>
          <w:sz w:val="24"/>
          <w:szCs w:val="24"/>
          <w:u w:val="none"/>
        </w:rPr>
        <w:t>B.</w:t>
      </w:r>
      <w:r w:rsidR="009F18DC" w:rsidRPr="006338E3">
        <w:rPr>
          <w:sz w:val="24"/>
          <w:szCs w:val="24"/>
          <w:u w:val="none"/>
        </w:rPr>
        <w:tab/>
      </w:r>
      <w:r w:rsidRPr="00B065CC">
        <w:rPr>
          <w:sz w:val="24"/>
          <w:szCs w:val="24"/>
        </w:rPr>
        <w:t>Burden of proof</w:t>
      </w:r>
      <w:bookmarkEnd w:id="60"/>
    </w:p>
    <w:p w:rsidR="00140E1B" w:rsidRPr="00B065CC" w:rsidRDefault="00140E1B">
      <w:pPr>
        <w:tabs>
          <w:tab w:val="left" w:pos="-720"/>
        </w:tabs>
        <w:suppressAutoHyphens/>
        <w:spacing w:line="360" w:lineRule="auto"/>
        <w:rPr>
          <w:sz w:val="24"/>
          <w:szCs w:val="24"/>
        </w:rPr>
      </w:pPr>
    </w:p>
    <w:p w:rsidR="00140E1B" w:rsidRPr="00B065CC" w:rsidRDefault="00140E1B">
      <w:pPr>
        <w:tabs>
          <w:tab w:val="left" w:pos="-720"/>
        </w:tabs>
        <w:suppressAutoHyphens/>
        <w:spacing w:line="360" w:lineRule="auto"/>
        <w:rPr>
          <w:sz w:val="24"/>
          <w:szCs w:val="24"/>
        </w:rPr>
      </w:pPr>
      <w:r w:rsidRPr="00B065CC">
        <w:rPr>
          <w:sz w:val="24"/>
          <w:szCs w:val="24"/>
        </w:rPr>
        <w:tab/>
      </w:r>
      <w:r w:rsidRPr="00B065CC">
        <w:rPr>
          <w:sz w:val="24"/>
          <w:szCs w:val="24"/>
        </w:rPr>
        <w:tab/>
        <w:t xml:space="preserve">Pursuant to Section 332(a) of the Public Utility Code, 66 Pa.C.S. § 332(a), the burden of proof is on the proponent of a rule or order.  In this proceeding, the Petitioner is the proponent of a rule or order.  Therefore, the Petitioner bears the burden of proving by a preponderance of the evidence that the Petition is reasonable and should be approved.  Section 332 (a) of the Public Utility Code, 66 Pa. C. S. § 332(a), </w:t>
      </w:r>
      <w:r w:rsidRPr="00B065CC">
        <w:rPr>
          <w:i/>
          <w:sz w:val="24"/>
          <w:szCs w:val="24"/>
        </w:rPr>
        <w:t>Se-Ling Hosiery v. Margulies</w:t>
      </w:r>
      <w:r w:rsidRPr="00B065CC">
        <w:rPr>
          <w:sz w:val="24"/>
          <w:szCs w:val="24"/>
        </w:rPr>
        <w:t>,</w:t>
      </w:r>
      <w:r w:rsidR="00B76759">
        <w:rPr>
          <w:sz w:val="24"/>
          <w:szCs w:val="24"/>
        </w:rPr>
        <w:t xml:space="preserve"> 364 Pa. 45, 70 A.2d 854 (1950);</w:t>
      </w:r>
      <w:r w:rsidRPr="00B065CC">
        <w:rPr>
          <w:sz w:val="24"/>
          <w:szCs w:val="24"/>
        </w:rPr>
        <w:t xml:space="preserve"> </w:t>
      </w:r>
      <w:r w:rsidRPr="00B76759">
        <w:rPr>
          <w:i/>
          <w:sz w:val="24"/>
          <w:szCs w:val="24"/>
        </w:rPr>
        <w:t xml:space="preserve">Samuel </w:t>
      </w:r>
      <w:r w:rsidRPr="00B065CC">
        <w:rPr>
          <w:i/>
          <w:sz w:val="24"/>
          <w:szCs w:val="24"/>
        </w:rPr>
        <w:t>J. Lansberry, Inc. v. Pa. Public Utility Commission</w:t>
      </w:r>
      <w:r w:rsidRPr="00B065CC">
        <w:rPr>
          <w:sz w:val="24"/>
          <w:szCs w:val="24"/>
        </w:rPr>
        <w:t xml:space="preserve">, 578 A.2d 600, 602 (Pa. Cmwlth. 1990).  </w:t>
      </w:r>
    </w:p>
    <w:p w:rsidR="00140E1B" w:rsidRPr="00B065CC" w:rsidRDefault="00140E1B">
      <w:pPr>
        <w:tabs>
          <w:tab w:val="left" w:pos="-720"/>
        </w:tabs>
        <w:suppressAutoHyphens/>
        <w:spacing w:line="360" w:lineRule="auto"/>
        <w:rPr>
          <w:sz w:val="24"/>
          <w:szCs w:val="24"/>
        </w:rPr>
      </w:pPr>
    </w:p>
    <w:p w:rsidR="00140E1B" w:rsidRPr="00B065CC" w:rsidRDefault="00140E1B">
      <w:pPr>
        <w:tabs>
          <w:tab w:val="left" w:pos="-720"/>
        </w:tabs>
        <w:suppressAutoHyphens/>
        <w:spacing w:line="360" w:lineRule="auto"/>
        <w:rPr>
          <w:sz w:val="24"/>
          <w:szCs w:val="24"/>
        </w:rPr>
      </w:pPr>
      <w:r w:rsidRPr="00B065CC">
        <w:rPr>
          <w:sz w:val="24"/>
          <w:szCs w:val="24"/>
        </w:rPr>
        <w:tab/>
      </w:r>
      <w:r w:rsidRPr="00B065CC">
        <w:rPr>
          <w:sz w:val="24"/>
          <w:szCs w:val="24"/>
        </w:rPr>
        <w:tab/>
        <w:t xml:space="preserve">The record in this proceeding must be reviewed to determine whether the Petitioner has satisfied its burden of proof.  If the burden of proof has been satisfied, then it must be determined whether the opposing parties have submitted evidence of “co-equal” value or weight to refute the Petitioner’s evidence.  If this has occurred, the burden of proof has not been satisfied, unless the Petitioner presented additional evidence.  </w:t>
      </w:r>
      <w:r w:rsidRPr="00B065CC">
        <w:rPr>
          <w:i/>
          <w:sz w:val="24"/>
          <w:szCs w:val="24"/>
        </w:rPr>
        <w:t>Morrissey v. Pa. Dept. of Highways</w:t>
      </w:r>
      <w:r w:rsidRPr="00B065CC">
        <w:rPr>
          <w:sz w:val="24"/>
          <w:szCs w:val="24"/>
        </w:rPr>
        <w:t>, 424 Pa. 87, 225 A.2d 895 (1967).</w:t>
      </w:r>
    </w:p>
    <w:p w:rsidR="00140E1B" w:rsidRPr="00B065CC" w:rsidRDefault="00140E1B">
      <w:pPr>
        <w:tabs>
          <w:tab w:val="left" w:pos="-720"/>
        </w:tabs>
        <w:suppressAutoHyphens/>
        <w:spacing w:line="360" w:lineRule="auto"/>
        <w:rPr>
          <w:sz w:val="24"/>
          <w:szCs w:val="24"/>
        </w:rPr>
      </w:pPr>
    </w:p>
    <w:p w:rsidR="00140E1B" w:rsidRPr="00B065CC" w:rsidRDefault="00140E1B">
      <w:pPr>
        <w:tabs>
          <w:tab w:val="left" w:pos="-720"/>
        </w:tabs>
        <w:suppressAutoHyphens/>
        <w:spacing w:line="360" w:lineRule="auto"/>
        <w:rPr>
          <w:sz w:val="24"/>
          <w:szCs w:val="24"/>
        </w:rPr>
      </w:pPr>
      <w:r w:rsidRPr="00B065CC">
        <w:rPr>
          <w:sz w:val="24"/>
          <w:szCs w:val="24"/>
        </w:rPr>
        <w:tab/>
      </w:r>
      <w:r w:rsidRPr="00B065CC">
        <w:rPr>
          <w:sz w:val="24"/>
          <w:szCs w:val="24"/>
        </w:rPr>
        <w:tab/>
        <w:t xml:space="preserve">In addition to determining whether the Petitioner has satisfied its burden of proof, care must be exercised to insure that the Commission’s decision is supported by substantial evidence.  2 Pa.C.S. § 704.  The term “substantial evidence” has been defined by various Pennsylvania courts as such relevant evidence that a reasonable mind might accept as adequate to support a conclusion.  Substantial evidence is more than a mere trace of evidence or a suspicion of the existence of a fact sought to be established.  </w:t>
      </w:r>
      <w:r w:rsidRPr="00B065CC">
        <w:rPr>
          <w:i/>
          <w:sz w:val="24"/>
          <w:szCs w:val="24"/>
        </w:rPr>
        <w:t>Norfolk &amp; Western Ry. Co. v. Pa. P.U.C.</w:t>
      </w:r>
      <w:r w:rsidRPr="00B065CC">
        <w:rPr>
          <w:sz w:val="24"/>
          <w:szCs w:val="24"/>
        </w:rPr>
        <w:t xml:space="preserve">, 489 Pa.109, 413 A. 2d 1037 (1980); </w:t>
      </w:r>
      <w:r w:rsidRPr="00B065CC">
        <w:rPr>
          <w:i/>
          <w:sz w:val="24"/>
          <w:szCs w:val="24"/>
        </w:rPr>
        <w:t>Murphy v. Dept. of Public Welfare</w:t>
      </w:r>
      <w:r w:rsidRPr="00B065CC">
        <w:rPr>
          <w:sz w:val="24"/>
          <w:szCs w:val="24"/>
        </w:rPr>
        <w:t>, 85 Pa. Cmwlth. Ct. 23, 480 A.2d 382 (1984).</w:t>
      </w:r>
    </w:p>
    <w:p w:rsidR="002B675E" w:rsidRPr="00B065CC" w:rsidRDefault="002B675E">
      <w:pPr>
        <w:tabs>
          <w:tab w:val="left" w:pos="-720"/>
        </w:tabs>
        <w:suppressAutoHyphens/>
        <w:spacing w:line="360" w:lineRule="auto"/>
        <w:rPr>
          <w:sz w:val="24"/>
          <w:szCs w:val="24"/>
        </w:rPr>
      </w:pPr>
    </w:p>
    <w:p w:rsidR="00140E1B" w:rsidRPr="00B065CC" w:rsidRDefault="00140E1B" w:rsidP="001534E2">
      <w:pPr>
        <w:pStyle w:val="BodyText"/>
        <w:tabs>
          <w:tab w:val="clear" w:pos="1980"/>
          <w:tab w:val="left" w:pos="-720"/>
          <w:tab w:val="left" w:pos="0"/>
        </w:tabs>
        <w:suppressAutoHyphens/>
        <w:spacing w:line="360" w:lineRule="auto"/>
        <w:jc w:val="left"/>
        <w:rPr>
          <w:rFonts w:ascii="Times New Roman" w:hAnsi="Times New Roman"/>
          <w:sz w:val="24"/>
          <w:szCs w:val="24"/>
        </w:rPr>
      </w:pPr>
      <w:r w:rsidRPr="00B065CC">
        <w:rPr>
          <w:rFonts w:ascii="Times New Roman" w:hAnsi="Times New Roman"/>
          <w:b/>
          <w:sz w:val="24"/>
          <w:szCs w:val="24"/>
        </w:rPr>
        <w:tab/>
      </w:r>
      <w:r w:rsidRPr="00B065CC">
        <w:rPr>
          <w:rFonts w:ascii="Times New Roman" w:hAnsi="Times New Roman"/>
          <w:b/>
          <w:sz w:val="24"/>
          <w:szCs w:val="24"/>
        </w:rPr>
        <w:tab/>
      </w:r>
      <w:r w:rsidRPr="00B065CC">
        <w:rPr>
          <w:rFonts w:ascii="Times New Roman" w:hAnsi="Times New Roman"/>
          <w:sz w:val="24"/>
          <w:szCs w:val="24"/>
        </w:rPr>
        <w:t xml:space="preserve">To determine whether the parties’ Settlement should be approved, one must decide whether the Settlement promotes the public interest.  See </w:t>
      </w:r>
      <w:r w:rsidRPr="00B065CC">
        <w:rPr>
          <w:rFonts w:ascii="Times New Roman" w:hAnsi="Times New Roman"/>
          <w:i/>
          <w:sz w:val="24"/>
          <w:szCs w:val="24"/>
        </w:rPr>
        <w:t>Pennsylvania Public Utility Commission v. C.S. Water &amp; Sewer Associates</w:t>
      </w:r>
      <w:r w:rsidRPr="00B065CC">
        <w:rPr>
          <w:rFonts w:ascii="Times New Roman" w:hAnsi="Times New Roman"/>
          <w:sz w:val="24"/>
          <w:szCs w:val="24"/>
        </w:rPr>
        <w:t xml:space="preserve">, 74 Pa. P.U. C. 767 (1991); </w:t>
      </w:r>
      <w:r w:rsidRPr="00B065CC">
        <w:rPr>
          <w:rFonts w:ascii="Times New Roman" w:hAnsi="Times New Roman"/>
          <w:i/>
          <w:sz w:val="24"/>
          <w:szCs w:val="24"/>
        </w:rPr>
        <w:t>Pennsylvania Public Utility Commission v. Philadelphia Electric Company</w:t>
      </w:r>
      <w:r w:rsidRPr="00B065CC">
        <w:rPr>
          <w:rFonts w:ascii="Times New Roman" w:hAnsi="Times New Roman"/>
          <w:sz w:val="24"/>
          <w:szCs w:val="24"/>
        </w:rPr>
        <w:t>, 60 Pa. P.U. C. 1 (1985).</w:t>
      </w:r>
    </w:p>
    <w:p w:rsidR="00850D83" w:rsidRPr="00B065CC" w:rsidRDefault="00850D83">
      <w:pPr>
        <w:pStyle w:val="BodyText"/>
        <w:tabs>
          <w:tab w:val="left" w:pos="-720"/>
        </w:tabs>
        <w:suppressAutoHyphens/>
        <w:spacing w:line="360" w:lineRule="auto"/>
        <w:ind w:firstLine="90"/>
        <w:jc w:val="left"/>
        <w:rPr>
          <w:rFonts w:ascii="Times New Roman" w:hAnsi="Times New Roman"/>
          <w:sz w:val="24"/>
          <w:szCs w:val="24"/>
          <w:u w:val="single"/>
        </w:rPr>
      </w:pPr>
    </w:p>
    <w:p w:rsidR="00B82E87" w:rsidRDefault="00140E1B" w:rsidP="000A3537">
      <w:pPr>
        <w:pStyle w:val="BodyText"/>
        <w:tabs>
          <w:tab w:val="clear" w:pos="1980"/>
          <w:tab w:val="left" w:pos="-720"/>
          <w:tab w:val="left" w:pos="0"/>
        </w:tabs>
        <w:suppressAutoHyphens/>
        <w:spacing w:line="360" w:lineRule="auto"/>
        <w:jc w:val="left"/>
        <w:outlineLvl w:val="0"/>
        <w:rPr>
          <w:rFonts w:ascii="Times New Roman" w:hAnsi="Times New Roman"/>
          <w:sz w:val="24"/>
          <w:szCs w:val="24"/>
          <w:u w:val="single"/>
        </w:rPr>
      </w:pPr>
      <w:bookmarkStart w:id="61" w:name="_Toc259706184"/>
      <w:r w:rsidRPr="00B065CC">
        <w:rPr>
          <w:rFonts w:ascii="Times New Roman" w:hAnsi="Times New Roman"/>
          <w:sz w:val="24"/>
          <w:szCs w:val="24"/>
        </w:rPr>
        <w:t>C.</w:t>
      </w:r>
      <w:r w:rsidR="009F18DC" w:rsidRPr="00B065CC">
        <w:rPr>
          <w:rFonts w:ascii="Times New Roman" w:hAnsi="Times New Roman"/>
          <w:sz w:val="24"/>
          <w:szCs w:val="24"/>
        </w:rPr>
        <w:tab/>
      </w:r>
      <w:r w:rsidR="00450123" w:rsidRPr="00B065CC">
        <w:rPr>
          <w:rFonts w:ascii="Times New Roman" w:hAnsi="Times New Roman"/>
          <w:sz w:val="24"/>
          <w:szCs w:val="24"/>
          <w:u w:val="single"/>
        </w:rPr>
        <w:t>Joint Petition</w:t>
      </w:r>
      <w:bookmarkEnd w:id="61"/>
    </w:p>
    <w:p w:rsidR="00E86DA6" w:rsidRPr="00B065CC" w:rsidRDefault="00E86DA6" w:rsidP="00E86DA6">
      <w:pPr>
        <w:pStyle w:val="BodyText"/>
        <w:tabs>
          <w:tab w:val="clear" w:pos="1980"/>
          <w:tab w:val="left" w:pos="-720"/>
          <w:tab w:val="left" w:pos="0"/>
        </w:tabs>
        <w:suppressAutoHyphens/>
        <w:spacing w:line="360" w:lineRule="auto"/>
        <w:jc w:val="left"/>
        <w:rPr>
          <w:rFonts w:ascii="Times New Roman" w:hAnsi="Times New Roman"/>
          <w:sz w:val="24"/>
          <w:szCs w:val="24"/>
          <w:u w:val="single"/>
        </w:rPr>
      </w:pPr>
    </w:p>
    <w:p w:rsidR="00140E1B" w:rsidRPr="00B065CC" w:rsidRDefault="009F18DC" w:rsidP="00E00722">
      <w:pPr>
        <w:pStyle w:val="BodyText"/>
        <w:tabs>
          <w:tab w:val="clear" w:pos="1980"/>
          <w:tab w:val="left" w:pos="-720"/>
          <w:tab w:val="left" w:pos="0"/>
        </w:tabs>
        <w:suppressAutoHyphens/>
        <w:spacing w:line="360" w:lineRule="auto"/>
        <w:jc w:val="left"/>
        <w:outlineLvl w:val="0"/>
        <w:rPr>
          <w:rFonts w:ascii="Times New Roman" w:hAnsi="Times New Roman"/>
          <w:sz w:val="24"/>
          <w:szCs w:val="24"/>
          <w:u w:val="single"/>
        </w:rPr>
      </w:pPr>
      <w:r w:rsidRPr="00B065CC">
        <w:rPr>
          <w:rFonts w:ascii="Times New Roman" w:hAnsi="Times New Roman"/>
          <w:sz w:val="24"/>
          <w:szCs w:val="24"/>
        </w:rPr>
        <w:tab/>
      </w:r>
      <w:bookmarkStart w:id="62" w:name="_Toc259706185"/>
      <w:r w:rsidR="00B82E87" w:rsidRPr="00B065CC">
        <w:rPr>
          <w:rFonts w:ascii="Times New Roman" w:hAnsi="Times New Roman"/>
          <w:sz w:val="24"/>
          <w:szCs w:val="24"/>
        </w:rPr>
        <w:t>1.</w:t>
      </w:r>
      <w:r w:rsidRPr="00B065CC">
        <w:rPr>
          <w:rFonts w:ascii="Times New Roman" w:hAnsi="Times New Roman"/>
          <w:sz w:val="24"/>
          <w:szCs w:val="24"/>
        </w:rPr>
        <w:tab/>
      </w:r>
      <w:r w:rsidR="00140E1B" w:rsidRPr="00B065CC">
        <w:rPr>
          <w:rFonts w:ascii="Times New Roman" w:hAnsi="Times New Roman"/>
          <w:sz w:val="24"/>
          <w:szCs w:val="24"/>
          <w:u w:val="single"/>
        </w:rPr>
        <w:t>Parties</w:t>
      </w:r>
      <w:r w:rsidR="002E4533">
        <w:rPr>
          <w:rFonts w:ascii="Times New Roman" w:hAnsi="Times New Roman"/>
          <w:sz w:val="24"/>
          <w:szCs w:val="24"/>
          <w:u w:val="single"/>
        </w:rPr>
        <w:t>’</w:t>
      </w:r>
      <w:r w:rsidR="00140E1B" w:rsidRPr="00B065CC">
        <w:rPr>
          <w:rFonts w:ascii="Times New Roman" w:hAnsi="Times New Roman"/>
          <w:sz w:val="24"/>
          <w:szCs w:val="24"/>
          <w:u w:val="single"/>
        </w:rPr>
        <w:t xml:space="preserve"> Statements in Support</w:t>
      </w:r>
      <w:bookmarkEnd w:id="62"/>
    </w:p>
    <w:p w:rsidR="00140E1B" w:rsidRPr="00B065CC" w:rsidRDefault="00140E1B" w:rsidP="00E86DA6">
      <w:pPr>
        <w:pStyle w:val="BodyText"/>
        <w:tabs>
          <w:tab w:val="left" w:pos="-720"/>
        </w:tabs>
        <w:suppressAutoHyphens/>
        <w:spacing w:line="360" w:lineRule="auto"/>
        <w:ind w:firstLine="86"/>
        <w:jc w:val="left"/>
        <w:rPr>
          <w:rFonts w:ascii="Times New Roman" w:hAnsi="Times New Roman"/>
          <w:sz w:val="24"/>
          <w:szCs w:val="24"/>
          <w:u w:val="single"/>
        </w:rPr>
      </w:pPr>
    </w:p>
    <w:p w:rsidR="00140E1B" w:rsidRPr="00B065CC" w:rsidRDefault="00140E1B">
      <w:pPr>
        <w:pStyle w:val="BodyText"/>
        <w:tabs>
          <w:tab w:val="clear" w:pos="1980"/>
          <w:tab w:val="left" w:pos="-720"/>
          <w:tab w:val="left" w:pos="0"/>
        </w:tabs>
        <w:suppressAutoHyphens/>
        <w:spacing w:line="360" w:lineRule="auto"/>
        <w:jc w:val="left"/>
        <w:rPr>
          <w:rFonts w:ascii="Times New Roman" w:hAnsi="Times New Roman"/>
          <w:sz w:val="24"/>
          <w:szCs w:val="24"/>
        </w:rPr>
      </w:pPr>
      <w:r w:rsidRPr="00B065CC">
        <w:rPr>
          <w:rFonts w:ascii="Times New Roman" w:hAnsi="Times New Roman"/>
          <w:sz w:val="24"/>
          <w:szCs w:val="24"/>
        </w:rPr>
        <w:tab/>
      </w:r>
      <w:r w:rsidRPr="00B065CC">
        <w:rPr>
          <w:rFonts w:ascii="Times New Roman" w:hAnsi="Times New Roman"/>
          <w:sz w:val="24"/>
          <w:szCs w:val="24"/>
        </w:rPr>
        <w:tab/>
        <w:t>P</w:t>
      </w:r>
      <w:r w:rsidR="00B76759">
        <w:rPr>
          <w:rFonts w:ascii="Times New Roman" w:hAnsi="Times New Roman"/>
          <w:sz w:val="24"/>
          <w:szCs w:val="24"/>
        </w:rPr>
        <w:t>ECO stated that the S</w:t>
      </w:r>
      <w:r w:rsidRPr="00B065CC">
        <w:rPr>
          <w:rFonts w:ascii="Times New Roman" w:hAnsi="Times New Roman"/>
          <w:sz w:val="24"/>
          <w:szCs w:val="24"/>
        </w:rPr>
        <w:t xml:space="preserve">ettlement is in the public interest and fully satisfies PECO’s POR obligations under the </w:t>
      </w:r>
      <w:r w:rsidRPr="00B065CC">
        <w:rPr>
          <w:rFonts w:ascii="Times New Roman" w:hAnsi="Times New Roman"/>
          <w:i/>
          <w:iCs/>
          <w:sz w:val="24"/>
          <w:szCs w:val="24"/>
        </w:rPr>
        <w:t>Default Service Settlement</w:t>
      </w:r>
      <w:r w:rsidRPr="00B065CC">
        <w:rPr>
          <w:rFonts w:ascii="Times New Roman" w:hAnsi="Times New Roman"/>
          <w:sz w:val="24"/>
          <w:szCs w:val="24"/>
        </w:rPr>
        <w:t xml:space="preserve"> (PECO’s Statement in Support at 2).  PECO explained that in paragraph 66 of the </w:t>
      </w:r>
      <w:r w:rsidRPr="00B065CC">
        <w:rPr>
          <w:rFonts w:ascii="Times New Roman" w:hAnsi="Times New Roman"/>
          <w:i/>
          <w:iCs/>
          <w:sz w:val="24"/>
          <w:szCs w:val="24"/>
        </w:rPr>
        <w:t>Default Service Settlement</w:t>
      </w:r>
      <w:r w:rsidRPr="00B065CC">
        <w:rPr>
          <w:rFonts w:ascii="Times New Roman" w:hAnsi="Times New Roman"/>
          <w:sz w:val="24"/>
          <w:szCs w:val="24"/>
        </w:rPr>
        <w:t xml:space="preserve"> certain elements were identified that were required to be included in PECO’s revised POR program. </w:t>
      </w:r>
      <w:r w:rsidRPr="00B065CC">
        <w:rPr>
          <w:rFonts w:ascii="Times New Roman" w:hAnsi="Times New Roman"/>
          <w:i/>
          <w:sz w:val="24"/>
          <w:szCs w:val="24"/>
        </w:rPr>
        <w:t>Id</w:t>
      </w:r>
      <w:r w:rsidRPr="00B065CC">
        <w:rPr>
          <w:rFonts w:ascii="Times New Roman" w:hAnsi="Times New Roman"/>
          <w:sz w:val="24"/>
          <w:szCs w:val="24"/>
        </w:rPr>
        <w:t xml:space="preserve">.  PECO concluded that the Revised </w:t>
      </w:r>
      <w:r w:rsidR="00B76759">
        <w:rPr>
          <w:rFonts w:ascii="Times New Roman" w:hAnsi="Times New Roman"/>
          <w:sz w:val="24"/>
          <w:szCs w:val="24"/>
        </w:rPr>
        <w:t>POR program as modified by the S</w:t>
      </w:r>
      <w:r w:rsidRPr="00B065CC">
        <w:rPr>
          <w:rFonts w:ascii="Times New Roman" w:hAnsi="Times New Roman"/>
          <w:sz w:val="24"/>
          <w:szCs w:val="24"/>
        </w:rPr>
        <w:t xml:space="preserve">ettlement is consistent with the </w:t>
      </w:r>
      <w:r w:rsidRPr="00B065CC">
        <w:rPr>
          <w:rFonts w:ascii="Times New Roman" w:hAnsi="Times New Roman"/>
          <w:i/>
          <w:iCs/>
          <w:sz w:val="24"/>
          <w:szCs w:val="24"/>
        </w:rPr>
        <w:t>Default Service Settlement</w:t>
      </w:r>
      <w:r w:rsidRPr="00B065CC">
        <w:rPr>
          <w:rFonts w:ascii="Times New Roman" w:hAnsi="Times New Roman"/>
          <w:sz w:val="24"/>
          <w:szCs w:val="24"/>
        </w:rPr>
        <w:t xml:space="preserve"> and represents a proper balancing of customer protections and the interests of PECO, </w:t>
      </w:r>
      <w:r w:rsidR="00450123" w:rsidRPr="00B065CC">
        <w:rPr>
          <w:rFonts w:ascii="Times New Roman" w:hAnsi="Times New Roman"/>
          <w:sz w:val="24"/>
          <w:szCs w:val="24"/>
        </w:rPr>
        <w:t xml:space="preserve">the </w:t>
      </w:r>
      <w:r w:rsidRPr="00B065CC">
        <w:rPr>
          <w:rFonts w:ascii="Times New Roman" w:hAnsi="Times New Roman"/>
          <w:sz w:val="24"/>
          <w:szCs w:val="24"/>
        </w:rPr>
        <w:t xml:space="preserve">participating EGSs and </w:t>
      </w:r>
      <w:r w:rsidR="00450123" w:rsidRPr="00B065CC">
        <w:rPr>
          <w:rFonts w:ascii="Times New Roman" w:hAnsi="Times New Roman"/>
          <w:sz w:val="24"/>
          <w:szCs w:val="24"/>
        </w:rPr>
        <w:t xml:space="preserve">the </w:t>
      </w:r>
      <w:r w:rsidRPr="00B065CC">
        <w:rPr>
          <w:rFonts w:ascii="Times New Roman" w:hAnsi="Times New Roman"/>
          <w:sz w:val="24"/>
          <w:szCs w:val="24"/>
        </w:rPr>
        <w:t xml:space="preserve">other stakeholders (PECO’s Statement in Support at 3).  </w:t>
      </w:r>
    </w:p>
    <w:p w:rsidR="00140E1B" w:rsidRPr="00B065CC" w:rsidRDefault="00140E1B">
      <w:pPr>
        <w:pStyle w:val="BodyText"/>
        <w:tabs>
          <w:tab w:val="left" w:pos="-720"/>
        </w:tabs>
        <w:suppressAutoHyphens/>
        <w:spacing w:line="360" w:lineRule="auto"/>
        <w:jc w:val="left"/>
        <w:rPr>
          <w:rFonts w:ascii="Times New Roman" w:hAnsi="Times New Roman"/>
          <w:sz w:val="24"/>
          <w:szCs w:val="24"/>
        </w:rPr>
      </w:pPr>
    </w:p>
    <w:p w:rsidR="00754363" w:rsidRDefault="00754363" w:rsidP="00754363">
      <w:pPr>
        <w:pStyle w:val="BodyText"/>
        <w:tabs>
          <w:tab w:val="clear" w:pos="1980"/>
          <w:tab w:val="left" w:pos="-720"/>
          <w:tab w:val="left" w:pos="0"/>
        </w:tabs>
        <w:suppressAutoHyphens/>
        <w:spacing w:line="360" w:lineRule="auto"/>
        <w:jc w:val="left"/>
        <w:rPr>
          <w:rFonts w:ascii="Times New Roman" w:hAnsi="Times New Roman"/>
          <w:sz w:val="24"/>
          <w:szCs w:val="24"/>
        </w:rPr>
      </w:pPr>
      <w:r w:rsidRPr="00B065CC">
        <w:rPr>
          <w:rFonts w:ascii="Times New Roman" w:hAnsi="Times New Roman"/>
          <w:sz w:val="24"/>
          <w:szCs w:val="24"/>
        </w:rPr>
        <w:tab/>
      </w:r>
      <w:r w:rsidRPr="00B065CC">
        <w:rPr>
          <w:rFonts w:ascii="Times New Roman" w:hAnsi="Times New Roman"/>
          <w:sz w:val="24"/>
          <w:szCs w:val="24"/>
        </w:rPr>
        <w:tab/>
        <w:t>OCA submitted that its witness, Barbara Alexander</w:t>
      </w:r>
      <w:r w:rsidR="00FC75E0" w:rsidRPr="00B065CC">
        <w:rPr>
          <w:rFonts w:ascii="Times New Roman" w:hAnsi="Times New Roman"/>
          <w:sz w:val="24"/>
          <w:szCs w:val="24"/>
        </w:rPr>
        <w:t>,</w:t>
      </w:r>
      <w:r w:rsidRPr="00B065CC">
        <w:rPr>
          <w:rFonts w:ascii="Times New Roman" w:hAnsi="Times New Roman"/>
          <w:sz w:val="24"/>
          <w:szCs w:val="24"/>
        </w:rPr>
        <w:t xml:space="preserve"> </w:t>
      </w:r>
      <w:r w:rsidR="00FC75E0" w:rsidRPr="00B065CC">
        <w:rPr>
          <w:rFonts w:ascii="Times New Roman" w:hAnsi="Times New Roman"/>
          <w:sz w:val="24"/>
          <w:szCs w:val="24"/>
        </w:rPr>
        <w:t xml:space="preserve">proposed </w:t>
      </w:r>
      <w:r w:rsidRPr="00B065CC">
        <w:rPr>
          <w:rFonts w:ascii="Times New Roman" w:hAnsi="Times New Roman"/>
          <w:sz w:val="24"/>
          <w:szCs w:val="24"/>
        </w:rPr>
        <w:t>modifications</w:t>
      </w:r>
      <w:r w:rsidR="00FC75E0" w:rsidRPr="00B065CC">
        <w:rPr>
          <w:rFonts w:ascii="Times New Roman" w:hAnsi="Times New Roman"/>
          <w:sz w:val="24"/>
          <w:szCs w:val="24"/>
        </w:rPr>
        <w:t xml:space="preserve"> to the Revised POR Program.  In the Joint Petition, the parties agreed to include consumer protections that are critical when customers can be terminated for unpaid EGS charges (OCA Statement in Support at 4).</w:t>
      </w:r>
      <w:r w:rsidR="005F4098" w:rsidRPr="00B065CC">
        <w:rPr>
          <w:rFonts w:ascii="Times New Roman" w:hAnsi="Times New Roman"/>
          <w:sz w:val="24"/>
          <w:szCs w:val="24"/>
        </w:rPr>
        <w:t xml:space="preserve">  The OCA supported the Settlement because it is beneficial to PECO’s distribution service customers.  The OCA agreed that the Settlement is fair and reasonable (OCA Statement in Support at 8).</w:t>
      </w:r>
    </w:p>
    <w:p w:rsidR="00E86DA6" w:rsidRPr="00B065CC" w:rsidRDefault="00E86DA6" w:rsidP="00754363">
      <w:pPr>
        <w:pStyle w:val="BodyText"/>
        <w:tabs>
          <w:tab w:val="clear" w:pos="1980"/>
          <w:tab w:val="left" w:pos="-720"/>
          <w:tab w:val="left" w:pos="0"/>
        </w:tabs>
        <w:suppressAutoHyphens/>
        <w:spacing w:line="360" w:lineRule="auto"/>
        <w:jc w:val="left"/>
        <w:rPr>
          <w:rFonts w:ascii="Times New Roman" w:hAnsi="Times New Roman"/>
          <w:sz w:val="24"/>
          <w:szCs w:val="24"/>
        </w:rPr>
      </w:pPr>
    </w:p>
    <w:p w:rsidR="00140E1B" w:rsidRPr="00B065CC" w:rsidRDefault="00140E1B">
      <w:pPr>
        <w:pStyle w:val="BodyText"/>
        <w:tabs>
          <w:tab w:val="clear" w:pos="1980"/>
          <w:tab w:val="left" w:pos="-720"/>
          <w:tab w:val="left" w:pos="0"/>
        </w:tabs>
        <w:suppressAutoHyphens/>
        <w:spacing w:line="360" w:lineRule="auto"/>
        <w:jc w:val="left"/>
        <w:rPr>
          <w:rFonts w:ascii="Times New Roman" w:hAnsi="Times New Roman"/>
          <w:sz w:val="24"/>
          <w:szCs w:val="24"/>
        </w:rPr>
      </w:pPr>
      <w:r w:rsidRPr="00B065CC">
        <w:rPr>
          <w:rFonts w:ascii="Times New Roman" w:hAnsi="Times New Roman"/>
          <w:sz w:val="24"/>
          <w:szCs w:val="24"/>
        </w:rPr>
        <w:tab/>
      </w:r>
      <w:r w:rsidRPr="00B065CC">
        <w:rPr>
          <w:rFonts w:ascii="Times New Roman" w:hAnsi="Times New Roman"/>
          <w:sz w:val="24"/>
          <w:szCs w:val="24"/>
        </w:rPr>
        <w:tab/>
        <w:t xml:space="preserve">OSBA stated that in </w:t>
      </w:r>
      <w:r w:rsidRPr="00B065CC">
        <w:rPr>
          <w:rFonts w:ascii="Times New Roman" w:hAnsi="Times New Roman"/>
          <w:i/>
          <w:sz w:val="24"/>
          <w:szCs w:val="24"/>
        </w:rPr>
        <w:t>PECO’s Default Service Settlement</w:t>
      </w:r>
      <w:r w:rsidRPr="00B065CC">
        <w:rPr>
          <w:rFonts w:ascii="Times New Roman" w:hAnsi="Times New Roman"/>
          <w:sz w:val="24"/>
          <w:szCs w:val="24"/>
        </w:rPr>
        <w:t xml:space="preserve"> P-2008-2062739 (Order entered June 2, 2009)</w:t>
      </w:r>
      <w:r w:rsidR="005F4098" w:rsidRPr="00B065CC">
        <w:rPr>
          <w:rFonts w:ascii="Times New Roman" w:hAnsi="Times New Roman"/>
          <w:sz w:val="24"/>
          <w:szCs w:val="24"/>
        </w:rPr>
        <w:t>,</w:t>
      </w:r>
      <w:r w:rsidRPr="00B065CC">
        <w:rPr>
          <w:rFonts w:ascii="Times New Roman" w:hAnsi="Times New Roman"/>
          <w:sz w:val="24"/>
          <w:szCs w:val="24"/>
        </w:rPr>
        <w:t xml:space="preserve"> PECO agreed that if payments from shopping customers were insufficient to cover the cost of the receivables purchased from the EGSs, PECO would not try to recover the shortfall from other customers (OSBA Statement in Support at 3).  PECO’s revised POR program complies with the </w:t>
      </w:r>
      <w:r w:rsidRPr="00B065CC">
        <w:rPr>
          <w:rFonts w:ascii="Times New Roman" w:hAnsi="Times New Roman"/>
          <w:i/>
          <w:sz w:val="24"/>
          <w:szCs w:val="24"/>
        </w:rPr>
        <w:t xml:space="preserve">Default Service Settlement </w:t>
      </w:r>
      <w:r w:rsidRPr="00B065CC">
        <w:rPr>
          <w:rFonts w:ascii="Times New Roman" w:hAnsi="Times New Roman"/>
          <w:sz w:val="24"/>
          <w:szCs w:val="24"/>
        </w:rPr>
        <w:t>prohibiting recovery of shortfalls from non-shopping customers (OSBA Statement in Support at 3).</w:t>
      </w:r>
    </w:p>
    <w:p w:rsidR="00C155FF" w:rsidRPr="00B065CC" w:rsidRDefault="00C155FF" w:rsidP="004B358A">
      <w:pPr>
        <w:pStyle w:val="BodyText"/>
        <w:tabs>
          <w:tab w:val="clear" w:pos="1980"/>
          <w:tab w:val="left" w:pos="-720"/>
          <w:tab w:val="left" w:pos="0"/>
        </w:tabs>
        <w:suppressAutoHyphens/>
        <w:spacing w:line="360" w:lineRule="auto"/>
        <w:jc w:val="left"/>
        <w:rPr>
          <w:rFonts w:ascii="Times New Roman" w:hAnsi="Times New Roman"/>
          <w:sz w:val="24"/>
          <w:szCs w:val="24"/>
        </w:rPr>
      </w:pPr>
    </w:p>
    <w:p w:rsidR="004B358A" w:rsidRPr="00B065CC" w:rsidRDefault="004B358A" w:rsidP="004B358A">
      <w:pPr>
        <w:pStyle w:val="BodyText"/>
        <w:tabs>
          <w:tab w:val="clear" w:pos="1980"/>
          <w:tab w:val="left" w:pos="-720"/>
          <w:tab w:val="left" w:pos="0"/>
        </w:tabs>
        <w:suppressAutoHyphens/>
        <w:spacing w:line="360" w:lineRule="auto"/>
        <w:jc w:val="left"/>
        <w:rPr>
          <w:rFonts w:ascii="Times New Roman" w:hAnsi="Times New Roman"/>
          <w:sz w:val="24"/>
          <w:szCs w:val="24"/>
        </w:rPr>
      </w:pPr>
      <w:r w:rsidRPr="00B065CC">
        <w:rPr>
          <w:rFonts w:ascii="Times New Roman" w:hAnsi="Times New Roman"/>
          <w:sz w:val="24"/>
          <w:szCs w:val="24"/>
        </w:rPr>
        <w:tab/>
      </w:r>
      <w:r w:rsidRPr="00B065CC">
        <w:rPr>
          <w:rFonts w:ascii="Times New Roman" w:hAnsi="Times New Roman"/>
          <w:sz w:val="24"/>
          <w:szCs w:val="24"/>
        </w:rPr>
        <w:tab/>
        <w:t xml:space="preserve">Dominion Retail submitted that the Joint Petition provides a fair and reasonable modification to PECO’s POR program.  </w:t>
      </w:r>
      <w:r w:rsidR="00450123" w:rsidRPr="00B065CC">
        <w:rPr>
          <w:rFonts w:ascii="Times New Roman" w:hAnsi="Times New Roman"/>
          <w:sz w:val="24"/>
          <w:szCs w:val="24"/>
        </w:rPr>
        <w:t>Dominion Retail stated that t</w:t>
      </w:r>
      <w:r w:rsidR="004177F8" w:rsidRPr="00B065CC">
        <w:rPr>
          <w:rFonts w:ascii="Times New Roman" w:hAnsi="Times New Roman"/>
          <w:sz w:val="24"/>
          <w:szCs w:val="24"/>
        </w:rPr>
        <w:t xml:space="preserve">he proposed modified POR program should allow for the development of a more competitive market for retail electric supply </w:t>
      </w:r>
      <w:r w:rsidR="004177F8" w:rsidRPr="00B065CC">
        <w:rPr>
          <w:rFonts w:ascii="Times New Roman" w:hAnsi="Times New Roman"/>
          <w:sz w:val="24"/>
          <w:szCs w:val="24"/>
        </w:rPr>
        <w:lastRenderedPageBreak/>
        <w:t xml:space="preserve">in PECO’s service territory and </w:t>
      </w:r>
      <w:r w:rsidR="00C155FF" w:rsidRPr="00B065CC">
        <w:rPr>
          <w:rFonts w:ascii="Times New Roman" w:hAnsi="Times New Roman"/>
          <w:sz w:val="24"/>
          <w:szCs w:val="24"/>
        </w:rPr>
        <w:t xml:space="preserve">that </w:t>
      </w:r>
      <w:r w:rsidR="00450123" w:rsidRPr="00B065CC">
        <w:rPr>
          <w:rFonts w:ascii="Times New Roman" w:hAnsi="Times New Roman"/>
          <w:sz w:val="24"/>
          <w:szCs w:val="24"/>
        </w:rPr>
        <w:t xml:space="preserve">it </w:t>
      </w:r>
      <w:r w:rsidR="004177F8" w:rsidRPr="00B065CC">
        <w:rPr>
          <w:rFonts w:ascii="Times New Roman" w:hAnsi="Times New Roman"/>
          <w:sz w:val="24"/>
          <w:szCs w:val="24"/>
        </w:rPr>
        <w:t xml:space="preserve">is in the public interest (Dominion Retail’s Statement in Support at 2).  </w:t>
      </w:r>
      <w:r w:rsidRPr="00B065CC">
        <w:rPr>
          <w:rFonts w:ascii="Times New Roman" w:hAnsi="Times New Roman"/>
          <w:sz w:val="24"/>
          <w:szCs w:val="24"/>
        </w:rPr>
        <w:t>Therefore, Dominion Retail supported the approval of the Joint Petition (</w:t>
      </w:r>
      <w:r w:rsidR="00AD40A0" w:rsidRPr="00B065CC">
        <w:rPr>
          <w:rFonts w:ascii="Times New Roman" w:hAnsi="Times New Roman"/>
          <w:sz w:val="24"/>
          <w:szCs w:val="24"/>
        </w:rPr>
        <w:t>Dominion Retail</w:t>
      </w:r>
      <w:r w:rsidRPr="00B065CC">
        <w:rPr>
          <w:rFonts w:ascii="Times New Roman" w:hAnsi="Times New Roman"/>
          <w:sz w:val="24"/>
          <w:szCs w:val="24"/>
        </w:rPr>
        <w:t xml:space="preserve"> Statement in Support at 1).</w:t>
      </w:r>
    </w:p>
    <w:p w:rsidR="004177F8" w:rsidRPr="00B065CC" w:rsidRDefault="004177F8">
      <w:pPr>
        <w:pStyle w:val="BodyText"/>
        <w:tabs>
          <w:tab w:val="clear" w:pos="1980"/>
          <w:tab w:val="left" w:pos="-720"/>
          <w:tab w:val="left" w:pos="0"/>
        </w:tabs>
        <w:suppressAutoHyphens/>
        <w:spacing w:line="360" w:lineRule="auto"/>
        <w:jc w:val="left"/>
        <w:rPr>
          <w:rFonts w:ascii="Times New Roman" w:hAnsi="Times New Roman"/>
          <w:sz w:val="24"/>
          <w:szCs w:val="24"/>
        </w:rPr>
      </w:pPr>
    </w:p>
    <w:p w:rsidR="00140E1B" w:rsidRPr="00B065CC" w:rsidRDefault="00140E1B">
      <w:pPr>
        <w:pStyle w:val="BodyText"/>
        <w:tabs>
          <w:tab w:val="clear" w:pos="1980"/>
          <w:tab w:val="left" w:pos="-720"/>
          <w:tab w:val="left" w:pos="0"/>
        </w:tabs>
        <w:suppressAutoHyphens/>
        <w:spacing w:line="360" w:lineRule="auto"/>
        <w:jc w:val="left"/>
        <w:rPr>
          <w:rFonts w:ascii="Times New Roman" w:hAnsi="Times New Roman"/>
          <w:sz w:val="24"/>
          <w:szCs w:val="24"/>
        </w:rPr>
      </w:pPr>
      <w:r w:rsidRPr="00B065CC">
        <w:rPr>
          <w:rFonts w:ascii="Times New Roman" w:hAnsi="Times New Roman"/>
          <w:sz w:val="24"/>
          <w:szCs w:val="24"/>
        </w:rPr>
        <w:tab/>
      </w:r>
      <w:r w:rsidRPr="00B065CC">
        <w:rPr>
          <w:rFonts w:ascii="Times New Roman" w:hAnsi="Times New Roman"/>
          <w:sz w:val="24"/>
          <w:szCs w:val="24"/>
        </w:rPr>
        <w:tab/>
        <w:t>RESA and Direct Energy filed a Joint Statement in Support of Joint Petition for Settlement.  RESA is a non-profit organization and trade association of retail energy suppliers whose members include several companies that are licensed EGSs in the Commonwealth of Pennsylvania and sell, or are authorized to sell, electric energy in PECO’s service territory</w:t>
      </w:r>
      <w:r w:rsidR="004E1E98" w:rsidRPr="00B065CC">
        <w:rPr>
          <w:rFonts w:ascii="Times New Roman" w:hAnsi="Times New Roman"/>
          <w:sz w:val="24"/>
          <w:szCs w:val="24"/>
        </w:rPr>
        <w:t>.</w:t>
      </w:r>
      <w:r w:rsidRPr="00B065CC">
        <w:rPr>
          <w:rFonts w:ascii="Times New Roman" w:hAnsi="Times New Roman"/>
          <w:sz w:val="24"/>
          <w:szCs w:val="24"/>
        </w:rPr>
        <w:t xml:space="preserve"> (RESA/Direct Energy Statement in Support at 1).  RESA’s members include Constellation NewEnergy, Inc.; Direct Energy Services, LLC; </w:t>
      </w:r>
      <w:r w:rsidR="00C155FF" w:rsidRPr="00B065CC">
        <w:rPr>
          <w:rFonts w:ascii="Times New Roman" w:hAnsi="Times New Roman"/>
          <w:sz w:val="24"/>
          <w:szCs w:val="24"/>
        </w:rPr>
        <w:t xml:space="preserve">and </w:t>
      </w:r>
      <w:r w:rsidRPr="00B065CC">
        <w:rPr>
          <w:rFonts w:ascii="Times New Roman" w:hAnsi="Times New Roman"/>
          <w:sz w:val="24"/>
          <w:szCs w:val="24"/>
        </w:rPr>
        <w:t>Exelon Energy Company (RESA/Direct Energy Statement in Support at 1).  Notwithstanding its concerns about various aspects of PECO’s proposal, RESA/Direct Energy supports the POR program as modified by the Settlement because it will insure that a workable POR program is implemented in time for PECO’s market opening in January 2011</w:t>
      </w:r>
      <w:r w:rsidR="00754363" w:rsidRPr="00B065CC">
        <w:rPr>
          <w:rFonts w:ascii="Times New Roman" w:hAnsi="Times New Roman"/>
          <w:sz w:val="24"/>
          <w:szCs w:val="24"/>
        </w:rPr>
        <w:t xml:space="preserve"> </w:t>
      </w:r>
      <w:r w:rsidRPr="00B065CC">
        <w:rPr>
          <w:rFonts w:ascii="Times New Roman" w:hAnsi="Times New Roman"/>
          <w:sz w:val="24"/>
          <w:szCs w:val="24"/>
        </w:rPr>
        <w:t xml:space="preserve">(RESA/Direct Energy Statement in Support at 2). </w:t>
      </w:r>
    </w:p>
    <w:p w:rsidR="00140E1B" w:rsidRDefault="00140E1B" w:rsidP="006338E3">
      <w:pPr>
        <w:pStyle w:val="BodyText"/>
        <w:tabs>
          <w:tab w:val="left" w:pos="-720"/>
        </w:tabs>
        <w:suppressAutoHyphens/>
        <w:spacing w:line="360" w:lineRule="auto"/>
        <w:jc w:val="left"/>
        <w:rPr>
          <w:rFonts w:ascii="Times New Roman" w:hAnsi="Times New Roman"/>
          <w:sz w:val="24"/>
          <w:szCs w:val="24"/>
        </w:rPr>
      </w:pPr>
    </w:p>
    <w:p w:rsidR="00140E1B" w:rsidRPr="00B065CC" w:rsidRDefault="00140E1B">
      <w:pPr>
        <w:pStyle w:val="BodyText"/>
        <w:tabs>
          <w:tab w:val="left" w:pos="-720"/>
        </w:tabs>
        <w:suppressAutoHyphens/>
        <w:spacing w:line="360" w:lineRule="auto"/>
        <w:jc w:val="center"/>
        <w:rPr>
          <w:rFonts w:ascii="Times New Roman" w:hAnsi="Times New Roman"/>
          <w:sz w:val="24"/>
          <w:szCs w:val="24"/>
          <w:u w:val="single"/>
        </w:rPr>
      </w:pPr>
      <w:r w:rsidRPr="00B065CC">
        <w:rPr>
          <w:rFonts w:ascii="Times New Roman" w:hAnsi="Times New Roman"/>
          <w:sz w:val="24"/>
          <w:szCs w:val="24"/>
          <w:u w:val="single"/>
        </w:rPr>
        <w:t>9</w:t>
      </w:r>
      <w:r w:rsidR="00754363" w:rsidRPr="00B065CC">
        <w:rPr>
          <w:rFonts w:ascii="Times New Roman" w:hAnsi="Times New Roman"/>
          <w:sz w:val="24"/>
          <w:szCs w:val="24"/>
          <w:u w:val="single"/>
        </w:rPr>
        <w:t>.</w:t>
      </w:r>
      <w:r w:rsidR="006C556C" w:rsidRPr="00B065CC">
        <w:rPr>
          <w:rFonts w:ascii="Times New Roman" w:hAnsi="Times New Roman"/>
          <w:sz w:val="24"/>
          <w:szCs w:val="24"/>
          <w:u w:val="single"/>
        </w:rPr>
        <w:t xml:space="preserve"> </w:t>
      </w:r>
      <w:r w:rsidRPr="00B065CC">
        <w:rPr>
          <w:rFonts w:ascii="Times New Roman" w:hAnsi="Times New Roman"/>
          <w:sz w:val="24"/>
          <w:szCs w:val="24"/>
          <w:u w:val="single"/>
        </w:rPr>
        <w:t>A Basic Electricity Supply</w:t>
      </w:r>
    </w:p>
    <w:p w:rsidR="00140E1B" w:rsidRPr="00B065CC" w:rsidRDefault="00140E1B" w:rsidP="006338E3">
      <w:pPr>
        <w:pStyle w:val="BodyText"/>
        <w:tabs>
          <w:tab w:val="left" w:pos="-720"/>
        </w:tabs>
        <w:suppressAutoHyphens/>
        <w:spacing w:line="360" w:lineRule="auto"/>
        <w:jc w:val="left"/>
        <w:rPr>
          <w:rFonts w:ascii="Times New Roman" w:hAnsi="Times New Roman"/>
          <w:sz w:val="24"/>
          <w:szCs w:val="24"/>
        </w:rPr>
      </w:pPr>
    </w:p>
    <w:p w:rsidR="00140E1B" w:rsidRPr="00B065CC" w:rsidRDefault="00140E1B" w:rsidP="00E76291">
      <w:pPr>
        <w:pStyle w:val="FootnoteText"/>
        <w:spacing w:line="360" w:lineRule="auto"/>
        <w:rPr>
          <w:sz w:val="24"/>
          <w:szCs w:val="24"/>
        </w:rPr>
      </w:pPr>
      <w:r w:rsidRPr="00B065CC">
        <w:rPr>
          <w:sz w:val="24"/>
          <w:szCs w:val="24"/>
        </w:rPr>
        <w:tab/>
      </w:r>
      <w:r w:rsidRPr="00B065CC">
        <w:rPr>
          <w:sz w:val="24"/>
          <w:szCs w:val="24"/>
        </w:rPr>
        <w:tab/>
        <w:t xml:space="preserve">In response to a concern expressed by OCA, EGSs will comply with the revised definition of “basic electric supply” set forth in the </w:t>
      </w:r>
      <w:r w:rsidR="00C155FF" w:rsidRPr="00B065CC">
        <w:rPr>
          <w:sz w:val="24"/>
          <w:szCs w:val="24"/>
        </w:rPr>
        <w:t>Settlement</w:t>
      </w:r>
      <w:r w:rsidRPr="00B065CC">
        <w:rPr>
          <w:sz w:val="24"/>
          <w:szCs w:val="24"/>
        </w:rPr>
        <w:t xml:space="preserve">.  This definition specifically excludes early contract cancellation fees, late fees or security deposits assessed by an EGS to a residential customer (PECO’s Statement in Support at 4).  OCA stated that OCA’s witness Barbara Alexander recommended that PECO revise the definition of “basic electricity supply” to be consistent with the definition that the Commission adopted in the recent </w:t>
      </w:r>
      <w:r w:rsidR="006C556C" w:rsidRPr="00B065CC">
        <w:rPr>
          <w:i/>
          <w:sz w:val="24"/>
          <w:szCs w:val="24"/>
        </w:rPr>
        <w:t xml:space="preserve">Petition of PPL Utilities Corporation Requesting Approval of a Voluntary Purchase of Accounts Receivables Program and Merchant Function Charge, Docket No. P-2009- </w:t>
      </w:r>
      <w:r w:rsidR="006C556C" w:rsidRPr="00B065CC">
        <w:rPr>
          <w:sz w:val="24"/>
          <w:szCs w:val="24"/>
        </w:rPr>
        <w:t>2129502 (</w:t>
      </w:r>
      <w:r w:rsidR="00E76291" w:rsidRPr="00B065CC">
        <w:rPr>
          <w:sz w:val="24"/>
          <w:szCs w:val="24"/>
        </w:rPr>
        <w:t xml:space="preserve">Order entered November 19, </w:t>
      </w:r>
      <w:r w:rsidR="006C556C" w:rsidRPr="00B065CC">
        <w:rPr>
          <w:sz w:val="24"/>
          <w:szCs w:val="24"/>
        </w:rPr>
        <w:t xml:space="preserve">2009) </w:t>
      </w:r>
      <w:r w:rsidRPr="00B065CC">
        <w:rPr>
          <w:sz w:val="24"/>
          <w:szCs w:val="24"/>
        </w:rPr>
        <w:t>(OCA Statement in Support at 4)</w:t>
      </w:r>
      <w:r w:rsidRPr="00B065CC">
        <w:rPr>
          <w:i/>
          <w:sz w:val="24"/>
          <w:szCs w:val="24"/>
        </w:rPr>
        <w:t>.</w:t>
      </w:r>
      <w:r w:rsidRPr="00B065CC">
        <w:rPr>
          <w:sz w:val="24"/>
          <w:szCs w:val="24"/>
        </w:rPr>
        <w:t xml:space="preserve">  OCA submitted that the improved definition is critical to protecting residential customers who can be terminated by PECO based on unpaid EGS charges under the revised POR program (OCA Statement in Support at 4, 5).</w:t>
      </w:r>
    </w:p>
    <w:p w:rsidR="00140E1B" w:rsidRPr="00B065CC" w:rsidRDefault="00140E1B" w:rsidP="00834340">
      <w:pPr>
        <w:pStyle w:val="BodyText"/>
        <w:tabs>
          <w:tab w:val="left" w:pos="-720"/>
        </w:tabs>
        <w:suppressAutoHyphens/>
        <w:spacing w:line="360" w:lineRule="auto"/>
        <w:jc w:val="left"/>
        <w:rPr>
          <w:rFonts w:ascii="Times New Roman" w:hAnsi="Times New Roman"/>
          <w:sz w:val="24"/>
          <w:szCs w:val="24"/>
        </w:rPr>
      </w:pPr>
    </w:p>
    <w:p w:rsidR="00140E1B" w:rsidRPr="00B065CC" w:rsidRDefault="00140E1B">
      <w:pPr>
        <w:pStyle w:val="BodyText"/>
        <w:tabs>
          <w:tab w:val="clear" w:pos="1980"/>
          <w:tab w:val="left" w:pos="-720"/>
        </w:tabs>
        <w:suppressAutoHyphens/>
        <w:spacing w:line="360" w:lineRule="auto"/>
        <w:jc w:val="left"/>
        <w:rPr>
          <w:rFonts w:ascii="Times New Roman" w:hAnsi="Times New Roman"/>
          <w:sz w:val="24"/>
          <w:szCs w:val="24"/>
        </w:rPr>
      </w:pPr>
      <w:r w:rsidRPr="00B065CC">
        <w:rPr>
          <w:rFonts w:ascii="Times New Roman" w:hAnsi="Times New Roman"/>
          <w:sz w:val="24"/>
          <w:szCs w:val="24"/>
        </w:rPr>
        <w:lastRenderedPageBreak/>
        <w:tab/>
      </w:r>
      <w:r w:rsidRPr="00B065CC">
        <w:rPr>
          <w:rFonts w:ascii="Times New Roman" w:hAnsi="Times New Roman"/>
          <w:sz w:val="24"/>
          <w:szCs w:val="24"/>
        </w:rPr>
        <w:tab/>
        <w:t>RESA indicated that it is willing to accept the proposed definition of basic electric supply as modified by the Settlement at this time.  However, RESA may wish to revisit this definition as the market develops in the future (RESA/Direct Energy Statement in Support at 5).</w:t>
      </w:r>
    </w:p>
    <w:p w:rsidR="00140E1B" w:rsidRPr="00B065CC" w:rsidRDefault="00140E1B" w:rsidP="006338E3">
      <w:pPr>
        <w:pStyle w:val="BodyText"/>
        <w:tabs>
          <w:tab w:val="left" w:pos="-720"/>
        </w:tabs>
        <w:suppressAutoHyphens/>
        <w:spacing w:line="360" w:lineRule="auto"/>
        <w:jc w:val="left"/>
        <w:rPr>
          <w:rFonts w:ascii="Times New Roman" w:hAnsi="Times New Roman"/>
          <w:sz w:val="24"/>
          <w:szCs w:val="24"/>
        </w:rPr>
      </w:pPr>
    </w:p>
    <w:p w:rsidR="00140E1B" w:rsidRPr="00B065CC" w:rsidRDefault="00140E1B">
      <w:pPr>
        <w:pStyle w:val="BodyText"/>
        <w:tabs>
          <w:tab w:val="left" w:pos="-720"/>
        </w:tabs>
        <w:suppressAutoHyphens/>
        <w:spacing w:line="360" w:lineRule="auto"/>
        <w:jc w:val="center"/>
        <w:rPr>
          <w:rFonts w:ascii="Times New Roman" w:hAnsi="Times New Roman"/>
          <w:sz w:val="24"/>
          <w:szCs w:val="24"/>
          <w:u w:val="single"/>
        </w:rPr>
      </w:pPr>
      <w:r w:rsidRPr="00B065CC">
        <w:rPr>
          <w:rFonts w:ascii="Times New Roman" w:hAnsi="Times New Roman"/>
          <w:sz w:val="24"/>
          <w:szCs w:val="24"/>
          <w:u w:val="single"/>
        </w:rPr>
        <w:t>9</w:t>
      </w:r>
      <w:r w:rsidR="00E76291" w:rsidRPr="00B065CC">
        <w:rPr>
          <w:rFonts w:ascii="Times New Roman" w:hAnsi="Times New Roman"/>
          <w:sz w:val="24"/>
          <w:szCs w:val="24"/>
          <w:u w:val="single"/>
        </w:rPr>
        <w:t>.</w:t>
      </w:r>
      <w:r w:rsidR="00803CA5" w:rsidRPr="00B065CC">
        <w:rPr>
          <w:rFonts w:ascii="Times New Roman" w:hAnsi="Times New Roman"/>
          <w:sz w:val="24"/>
          <w:szCs w:val="24"/>
          <w:u w:val="single"/>
        </w:rPr>
        <w:t xml:space="preserve"> </w:t>
      </w:r>
      <w:r w:rsidRPr="00B065CC">
        <w:rPr>
          <w:rFonts w:ascii="Times New Roman" w:hAnsi="Times New Roman"/>
          <w:sz w:val="24"/>
          <w:szCs w:val="24"/>
          <w:u w:val="single"/>
        </w:rPr>
        <w:t>B Bill Disputes</w:t>
      </w:r>
    </w:p>
    <w:p w:rsidR="00140E1B" w:rsidRPr="00B065CC" w:rsidRDefault="00140E1B" w:rsidP="006338E3">
      <w:pPr>
        <w:pStyle w:val="BodyText"/>
        <w:tabs>
          <w:tab w:val="left" w:pos="-720"/>
        </w:tabs>
        <w:suppressAutoHyphens/>
        <w:spacing w:line="360" w:lineRule="auto"/>
        <w:jc w:val="left"/>
        <w:rPr>
          <w:rFonts w:ascii="Times New Roman" w:hAnsi="Times New Roman"/>
          <w:sz w:val="24"/>
          <w:szCs w:val="24"/>
          <w:u w:val="single"/>
        </w:rPr>
      </w:pPr>
    </w:p>
    <w:p w:rsidR="00140E1B" w:rsidRPr="00B065CC" w:rsidRDefault="00BF6715" w:rsidP="00781393">
      <w:pPr>
        <w:pStyle w:val="BodyText"/>
        <w:tabs>
          <w:tab w:val="clear" w:pos="1980"/>
          <w:tab w:val="left" w:pos="-720"/>
          <w:tab w:val="left" w:pos="0"/>
        </w:tabs>
        <w:suppressAutoHyphens/>
        <w:spacing w:line="360" w:lineRule="auto"/>
        <w:jc w:val="left"/>
        <w:rPr>
          <w:rFonts w:ascii="Times New Roman" w:hAnsi="Times New Roman"/>
          <w:sz w:val="24"/>
          <w:szCs w:val="24"/>
        </w:rPr>
      </w:pPr>
      <w:r w:rsidRPr="00B065CC">
        <w:rPr>
          <w:rFonts w:ascii="Times New Roman" w:hAnsi="Times New Roman"/>
          <w:sz w:val="24"/>
          <w:szCs w:val="24"/>
        </w:rPr>
        <w:tab/>
      </w:r>
      <w:r w:rsidRPr="00B065CC">
        <w:rPr>
          <w:rFonts w:ascii="Times New Roman" w:hAnsi="Times New Roman"/>
          <w:sz w:val="24"/>
          <w:szCs w:val="24"/>
        </w:rPr>
        <w:tab/>
        <w:t xml:space="preserve">Under the Settlement, PECO will handle bill disputes regarding purchased EGS receivables in the same way it handles disputes concerning default service with some exceptions.  PECO </w:t>
      </w:r>
      <w:r w:rsidR="00720131" w:rsidRPr="00B065CC">
        <w:rPr>
          <w:rFonts w:ascii="Times New Roman" w:hAnsi="Times New Roman"/>
          <w:sz w:val="24"/>
          <w:szCs w:val="24"/>
        </w:rPr>
        <w:t xml:space="preserve">and RESA </w:t>
      </w:r>
      <w:r w:rsidRPr="00B065CC">
        <w:rPr>
          <w:rFonts w:ascii="Times New Roman" w:hAnsi="Times New Roman"/>
          <w:sz w:val="24"/>
          <w:szCs w:val="24"/>
        </w:rPr>
        <w:t>supported this provision</w:t>
      </w:r>
      <w:r w:rsidR="00720131" w:rsidRPr="00B065CC">
        <w:rPr>
          <w:rFonts w:ascii="Times New Roman" w:hAnsi="Times New Roman"/>
          <w:sz w:val="24"/>
          <w:szCs w:val="24"/>
        </w:rPr>
        <w:t xml:space="preserve"> (PECO Statement in Support at 8, 9; RESA/Direct Energy Statement in Support at </w:t>
      </w:r>
      <w:r w:rsidR="0097608A" w:rsidRPr="00B065CC">
        <w:rPr>
          <w:rFonts w:ascii="Times New Roman" w:hAnsi="Times New Roman"/>
          <w:sz w:val="24"/>
          <w:szCs w:val="24"/>
        </w:rPr>
        <w:t xml:space="preserve">5).  </w:t>
      </w:r>
      <w:r w:rsidR="001564D6" w:rsidRPr="00B065CC">
        <w:rPr>
          <w:rFonts w:ascii="Times New Roman" w:hAnsi="Times New Roman"/>
          <w:sz w:val="24"/>
          <w:szCs w:val="24"/>
        </w:rPr>
        <w:t xml:space="preserve">Since the customer would initiate billing disputes with PECO and PECO could withhold payment to the EGS until the dispute is resolved, </w:t>
      </w:r>
      <w:r w:rsidR="00140E1B" w:rsidRPr="00B065CC">
        <w:rPr>
          <w:rFonts w:ascii="Times New Roman" w:hAnsi="Times New Roman"/>
          <w:sz w:val="24"/>
          <w:szCs w:val="24"/>
        </w:rPr>
        <w:t>RESA state</w:t>
      </w:r>
      <w:r w:rsidR="001564D6" w:rsidRPr="00B065CC">
        <w:rPr>
          <w:rFonts w:ascii="Times New Roman" w:hAnsi="Times New Roman"/>
          <w:sz w:val="24"/>
          <w:szCs w:val="24"/>
        </w:rPr>
        <w:t>d</w:t>
      </w:r>
      <w:r w:rsidR="00140E1B" w:rsidRPr="00B065CC">
        <w:rPr>
          <w:rFonts w:ascii="Times New Roman" w:hAnsi="Times New Roman"/>
          <w:sz w:val="24"/>
          <w:szCs w:val="24"/>
        </w:rPr>
        <w:t xml:space="preserve"> that th</w:t>
      </w:r>
      <w:r w:rsidR="001564D6" w:rsidRPr="00B065CC">
        <w:rPr>
          <w:rFonts w:ascii="Times New Roman" w:hAnsi="Times New Roman"/>
          <w:sz w:val="24"/>
          <w:szCs w:val="24"/>
        </w:rPr>
        <w:t>is</w:t>
      </w:r>
      <w:r w:rsidR="00140E1B" w:rsidRPr="00B065CC">
        <w:rPr>
          <w:rFonts w:ascii="Times New Roman" w:hAnsi="Times New Roman"/>
          <w:sz w:val="24"/>
          <w:szCs w:val="24"/>
        </w:rPr>
        <w:t xml:space="preserve"> resolution provides consistency to customers</w:t>
      </w:r>
      <w:r w:rsidR="001564D6" w:rsidRPr="00B065CC">
        <w:rPr>
          <w:rFonts w:ascii="Times New Roman" w:hAnsi="Times New Roman"/>
          <w:sz w:val="24"/>
          <w:szCs w:val="24"/>
        </w:rPr>
        <w:t xml:space="preserve"> </w:t>
      </w:r>
      <w:r w:rsidR="00140E1B" w:rsidRPr="00B065CC">
        <w:rPr>
          <w:rFonts w:ascii="Times New Roman" w:hAnsi="Times New Roman"/>
          <w:sz w:val="24"/>
          <w:szCs w:val="24"/>
        </w:rPr>
        <w:t>(RESA/Direct Energy Statement in Sup</w:t>
      </w:r>
      <w:r w:rsidR="00E536D3">
        <w:rPr>
          <w:rFonts w:ascii="Times New Roman" w:hAnsi="Times New Roman"/>
          <w:sz w:val="24"/>
          <w:szCs w:val="24"/>
        </w:rPr>
        <w:t>port at </w:t>
      </w:r>
      <w:r w:rsidR="00140E1B" w:rsidRPr="00B065CC">
        <w:rPr>
          <w:rFonts w:ascii="Times New Roman" w:hAnsi="Times New Roman"/>
          <w:sz w:val="24"/>
          <w:szCs w:val="24"/>
        </w:rPr>
        <w:t>5).</w:t>
      </w:r>
    </w:p>
    <w:p w:rsidR="00140E1B" w:rsidRDefault="00140E1B" w:rsidP="006338E3">
      <w:pPr>
        <w:pStyle w:val="BodyText"/>
        <w:tabs>
          <w:tab w:val="left" w:pos="-720"/>
        </w:tabs>
        <w:suppressAutoHyphens/>
        <w:spacing w:line="360" w:lineRule="auto"/>
        <w:jc w:val="left"/>
        <w:rPr>
          <w:rFonts w:ascii="Times New Roman" w:hAnsi="Times New Roman"/>
          <w:sz w:val="24"/>
          <w:szCs w:val="24"/>
        </w:rPr>
      </w:pPr>
    </w:p>
    <w:p w:rsidR="00140E1B" w:rsidRPr="00B065CC" w:rsidRDefault="00140E1B">
      <w:pPr>
        <w:pStyle w:val="BodyText"/>
        <w:tabs>
          <w:tab w:val="left" w:pos="-720"/>
        </w:tabs>
        <w:suppressAutoHyphens/>
        <w:spacing w:line="360" w:lineRule="auto"/>
        <w:jc w:val="center"/>
        <w:rPr>
          <w:rFonts w:ascii="Times New Roman" w:hAnsi="Times New Roman"/>
          <w:sz w:val="24"/>
          <w:szCs w:val="24"/>
          <w:u w:val="single"/>
        </w:rPr>
      </w:pPr>
      <w:r w:rsidRPr="00B065CC">
        <w:rPr>
          <w:rFonts w:ascii="Times New Roman" w:hAnsi="Times New Roman"/>
          <w:sz w:val="24"/>
          <w:szCs w:val="24"/>
          <w:u w:val="single"/>
        </w:rPr>
        <w:t>9</w:t>
      </w:r>
      <w:r w:rsidR="00E76291" w:rsidRPr="00B065CC">
        <w:rPr>
          <w:rFonts w:ascii="Times New Roman" w:hAnsi="Times New Roman"/>
          <w:sz w:val="24"/>
          <w:szCs w:val="24"/>
          <w:u w:val="single"/>
        </w:rPr>
        <w:t>.</w:t>
      </w:r>
      <w:r w:rsidR="00803CA5" w:rsidRPr="00B065CC">
        <w:rPr>
          <w:rFonts w:ascii="Times New Roman" w:hAnsi="Times New Roman"/>
          <w:sz w:val="24"/>
          <w:szCs w:val="24"/>
          <w:u w:val="single"/>
        </w:rPr>
        <w:t xml:space="preserve"> </w:t>
      </w:r>
      <w:r w:rsidRPr="00B065CC">
        <w:rPr>
          <w:rFonts w:ascii="Times New Roman" w:hAnsi="Times New Roman"/>
          <w:sz w:val="24"/>
          <w:szCs w:val="24"/>
          <w:u w:val="single"/>
        </w:rPr>
        <w:t>C EGS Notification</w:t>
      </w:r>
    </w:p>
    <w:p w:rsidR="00140E1B" w:rsidRPr="00B065CC" w:rsidRDefault="00140E1B" w:rsidP="006338E3">
      <w:pPr>
        <w:pStyle w:val="BodyText"/>
        <w:tabs>
          <w:tab w:val="left" w:pos="-720"/>
        </w:tabs>
        <w:suppressAutoHyphens/>
        <w:spacing w:line="360" w:lineRule="auto"/>
        <w:jc w:val="left"/>
        <w:rPr>
          <w:rFonts w:ascii="Times New Roman" w:hAnsi="Times New Roman"/>
          <w:sz w:val="24"/>
          <w:szCs w:val="24"/>
        </w:rPr>
      </w:pPr>
    </w:p>
    <w:p w:rsidR="00140E1B" w:rsidRPr="00B065CC" w:rsidRDefault="00140E1B" w:rsidP="00DC4565">
      <w:pPr>
        <w:pStyle w:val="BodyText"/>
        <w:tabs>
          <w:tab w:val="clear" w:pos="1980"/>
          <w:tab w:val="left" w:pos="-720"/>
          <w:tab w:val="left" w:pos="0"/>
        </w:tabs>
        <w:suppressAutoHyphens/>
        <w:spacing w:line="360" w:lineRule="auto"/>
        <w:jc w:val="left"/>
        <w:rPr>
          <w:rFonts w:ascii="Times New Roman" w:hAnsi="Times New Roman"/>
          <w:sz w:val="24"/>
          <w:szCs w:val="24"/>
        </w:rPr>
      </w:pPr>
      <w:r w:rsidRPr="00B065CC">
        <w:rPr>
          <w:rFonts w:ascii="Times New Roman" w:hAnsi="Times New Roman"/>
          <w:sz w:val="24"/>
          <w:szCs w:val="24"/>
        </w:rPr>
        <w:tab/>
      </w:r>
      <w:r w:rsidRPr="00B065CC">
        <w:rPr>
          <w:rFonts w:ascii="Times New Roman" w:hAnsi="Times New Roman"/>
          <w:sz w:val="24"/>
          <w:szCs w:val="24"/>
        </w:rPr>
        <w:tab/>
        <w:t>PECO and RESA agreed to develop specifications to implement an EDI transaction to provide advance notification to EGSs that one of its customers is being terminated for nonpayment (PECO’s Statement in Support at 7, 8).  RESA raised this concern because it is important that the EGS receive notice from PECO that one of the EGS’s customers is being terminated for non-payment as soon as the termination actually occurs so that the EGS can limit or reduce its market risk (RESA/Direct Energy Statement in Support at 5, 6).</w:t>
      </w:r>
    </w:p>
    <w:p w:rsidR="00140E1B" w:rsidRDefault="00140E1B" w:rsidP="00DC4565">
      <w:pPr>
        <w:pStyle w:val="BodyText"/>
        <w:tabs>
          <w:tab w:val="left" w:pos="-720"/>
        </w:tabs>
        <w:suppressAutoHyphens/>
        <w:spacing w:line="360" w:lineRule="auto"/>
        <w:jc w:val="left"/>
        <w:rPr>
          <w:rFonts w:ascii="Times New Roman" w:hAnsi="Times New Roman"/>
          <w:sz w:val="24"/>
          <w:szCs w:val="24"/>
        </w:rPr>
      </w:pPr>
    </w:p>
    <w:p w:rsidR="00140E1B" w:rsidRPr="00B065CC" w:rsidRDefault="00140E1B">
      <w:pPr>
        <w:pStyle w:val="BodyText"/>
        <w:tabs>
          <w:tab w:val="left" w:pos="-720"/>
        </w:tabs>
        <w:suppressAutoHyphens/>
        <w:spacing w:line="360" w:lineRule="auto"/>
        <w:jc w:val="center"/>
        <w:rPr>
          <w:rFonts w:ascii="Times New Roman" w:hAnsi="Times New Roman"/>
          <w:sz w:val="24"/>
          <w:szCs w:val="24"/>
          <w:u w:val="single"/>
        </w:rPr>
      </w:pPr>
      <w:r w:rsidRPr="00B065CC">
        <w:rPr>
          <w:rFonts w:ascii="Times New Roman" w:hAnsi="Times New Roman"/>
          <w:sz w:val="24"/>
          <w:szCs w:val="24"/>
          <w:u w:val="single"/>
        </w:rPr>
        <w:t>9</w:t>
      </w:r>
      <w:r w:rsidR="00E76291" w:rsidRPr="00B065CC">
        <w:rPr>
          <w:rFonts w:ascii="Times New Roman" w:hAnsi="Times New Roman"/>
          <w:sz w:val="24"/>
          <w:szCs w:val="24"/>
          <w:u w:val="single"/>
        </w:rPr>
        <w:t>.</w:t>
      </w:r>
      <w:r w:rsidR="00803CA5" w:rsidRPr="00B065CC">
        <w:rPr>
          <w:rFonts w:ascii="Times New Roman" w:hAnsi="Times New Roman"/>
          <w:sz w:val="24"/>
          <w:szCs w:val="24"/>
          <w:u w:val="single"/>
        </w:rPr>
        <w:t xml:space="preserve"> </w:t>
      </w:r>
      <w:r w:rsidRPr="00B065CC">
        <w:rPr>
          <w:rFonts w:ascii="Times New Roman" w:hAnsi="Times New Roman"/>
          <w:sz w:val="24"/>
          <w:szCs w:val="24"/>
          <w:u w:val="single"/>
        </w:rPr>
        <w:t>D Status Reports</w:t>
      </w:r>
    </w:p>
    <w:p w:rsidR="00140E1B" w:rsidRPr="00B065CC" w:rsidRDefault="00140E1B" w:rsidP="00DC4565">
      <w:pPr>
        <w:pStyle w:val="BodyText"/>
        <w:tabs>
          <w:tab w:val="left" w:pos="-720"/>
        </w:tabs>
        <w:suppressAutoHyphens/>
        <w:spacing w:line="360" w:lineRule="auto"/>
        <w:jc w:val="left"/>
        <w:rPr>
          <w:rFonts w:ascii="Times New Roman" w:hAnsi="Times New Roman"/>
          <w:sz w:val="24"/>
          <w:szCs w:val="24"/>
        </w:rPr>
      </w:pPr>
    </w:p>
    <w:p w:rsidR="00140E1B" w:rsidRPr="00B065CC" w:rsidRDefault="00140E1B">
      <w:pPr>
        <w:pStyle w:val="BodyText"/>
        <w:tabs>
          <w:tab w:val="clear" w:pos="1980"/>
          <w:tab w:val="left" w:pos="-720"/>
          <w:tab w:val="left" w:pos="0"/>
        </w:tabs>
        <w:suppressAutoHyphens/>
        <w:spacing w:line="360" w:lineRule="auto"/>
        <w:jc w:val="left"/>
        <w:rPr>
          <w:rFonts w:ascii="Times New Roman" w:hAnsi="Times New Roman"/>
          <w:sz w:val="24"/>
          <w:szCs w:val="24"/>
        </w:rPr>
      </w:pPr>
      <w:r w:rsidRPr="00B065CC">
        <w:rPr>
          <w:rFonts w:ascii="Times New Roman" w:hAnsi="Times New Roman"/>
          <w:sz w:val="24"/>
          <w:szCs w:val="24"/>
        </w:rPr>
        <w:tab/>
      </w:r>
      <w:r w:rsidRPr="00B065CC">
        <w:rPr>
          <w:rFonts w:ascii="Times New Roman" w:hAnsi="Times New Roman"/>
          <w:sz w:val="24"/>
          <w:szCs w:val="24"/>
        </w:rPr>
        <w:tab/>
        <w:t xml:space="preserve">Pursuant to the </w:t>
      </w:r>
      <w:r w:rsidR="004D3CA3" w:rsidRPr="00B065CC">
        <w:rPr>
          <w:rFonts w:ascii="Times New Roman" w:hAnsi="Times New Roman"/>
          <w:sz w:val="24"/>
          <w:szCs w:val="24"/>
        </w:rPr>
        <w:t>Settlement</w:t>
      </w:r>
      <w:r w:rsidRPr="00B065CC">
        <w:rPr>
          <w:rFonts w:ascii="Times New Roman" w:hAnsi="Times New Roman"/>
          <w:sz w:val="24"/>
          <w:szCs w:val="24"/>
        </w:rPr>
        <w:t>, PECO will provide periodic status reports to the parties about its progress in implementing the systems, software and procedures to institute the Revised Electric POR Program (PECO Statement in Support at 9, 10).  When the Commission issues a final non-</w:t>
      </w:r>
      <w:r w:rsidR="00F811E5">
        <w:rPr>
          <w:rFonts w:ascii="Times New Roman" w:hAnsi="Times New Roman"/>
          <w:sz w:val="24"/>
          <w:szCs w:val="24"/>
        </w:rPr>
        <w:t>appealable order approving the S</w:t>
      </w:r>
      <w:r w:rsidRPr="00B065CC">
        <w:rPr>
          <w:rFonts w:ascii="Times New Roman" w:hAnsi="Times New Roman"/>
          <w:sz w:val="24"/>
          <w:szCs w:val="24"/>
        </w:rPr>
        <w:t xml:space="preserve">ettlement, PECO will hold monthly and, beginning in September 2010, biweekly conference calls with the parties to report on the status of PECO’s implementation of the Revised Electric POR Program and its readiness to provide </w:t>
      </w:r>
      <w:r w:rsidRPr="00B065CC">
        <w:rPr>
          <w:rFonts w:ascii="Times New Roman" w:hAnsi="Times New Roman"/>
          <w:sz w:val="24"/>
          <w:szCs w:val="24"/>
        </w:rPr>
        <w:lastRenderedPageBreak/>
        <w:t xml:space="preserve">service to EGS customers starting in January 2011 (PECO’s Statement in Support at 10).  The status reports will enable PECO and the parties to monitor the status of the billing and collection systems modifications needed to implement the POR program so that </w:t>
      </w:r>
      <w:r w:rsidR="00505FE4">
        <w:rPr>
          <w:rFonts w:ascii="Times New Roman" w:hAnsi="Times New Roman"/>
          <w:sz w:val="24"/>
          <w:szCs w:val="24"/>
        </w:rPr>
        <w:t xml:space="preserve">the </w:t>
      </w:r>
      <w:r w:rsidRPr="00B065CC">
        <w:rPr>
          <w:rFonts w:ascii="Times New Roman" w:hAnsi="Times New Roman"/>
          <w:sz w:val="24"/>
          <w:szCs w:val="24"/>
        </w:rPr>
        <w:t>EGS</w:t>
      </w:r>
      <w:r w:rsidR="00505FE4">
        <w:rPr>
          <w:rFonts w:ascii="Times New Roman" w:hAnsi="Times New Roman"/>
          <w:sz w:val="24"/>
          <w:szCs w:val="24"/>
        </w:rPr>
        <w:t>s</w:t>
      </w:r>
      <w:r w:rsidRPr="00B065CC">
        <w:rPr>
          <w:rFonts w:ascii="Times New Roman" w:hAnsi="Times New Roman"/>
          <w:sz w:val="24"/>
          <w:szCs w:val="24"/>
        </w:rPr>
        <w:t xml:space="preserve"> can make adjustments and place customers in the POR program as soon as possible in January 2011 (RESA/Direct Energy Statement in Support at 6).</w:t>
      </w:r>
    </w:p>
    <w:p w:rsidR="00140E1B" w:rsidRPr="00B065CC" w:rsidRDefault="00140E1B">
      <w:pPr>
        <w:pStyle w:val="BodyText"/>
        <w:tabs>
          <w:tab w:val="left" w:pos="-720"/>
        </w:tabs>
        <w:suppressAutoHyphens/>
        <w:spacing w:line="360" w:lineRule="auto"/>
        <w:jc w:val="left"/>
        <w:rPr>
          <w:rFonts w:ascii="Times New Roman" w:hAnsi="Times New Roman"/>
          <w:sz w:val="24"/>
          <w:szCs w:val="24"/>
        </w:rPr>
      </w:pPr>
    </w:p>
    <w:p w:rsidR="00140E1B" w:rsidRPr="00B065CC" w:rsidRDefault="00140E1B">
      <w:pPr>
        <w:pStyle w:val="BodyText"/>
        <w:tabs>
          <w:tab w:val="left" w:pos="-720"/>
        </w:tabs>
        <w:suppressAutoHyphens/>
        <w:spacing w:line="360" w:lineRule="auto"/>
        <w:jc w:val="center"/>
        <w:rPr>
          <w:rFonts w:ascii="Times New Roman" w:hAnsi="Times New Roman"/>
          <w:sz w:val="24"/>
          <w:szCs w:val="24"/>
          <w:u w:val="single"/>
        </w:rPr>
      </w:pPr>
      <w:r w:rsidRPr="00B065CC">
        <w:rPr>
          <w:rFonts w:ascii="Times New Roman" w:hAnsi="Times New Roman"/>
          <w:sz w:val="24"/>
          <w:szCs w:val="24"/>
          <w:u w:val="single"/>
        </w:rPr>
        <w:t>9</w:t>
      </w:r>
      <w:r w:rsidR="00E26FDA" w:rsidRPr="00B065CC">
        <w:rPr>
          <w:rFonts w:ascii="Times New Roman" w:hAnsi="Times New Roman"/>
          <w:sz w:val="24"/>
          <w:szCs w:val="24"/>
          <w:u w:val="single"/>
        </w:rPr>
        <w:t>.</w:t>
      </w:r>
      <w:r w:rsidR="00803CA5" w:rsidRPr="00B065CC">
        <w:rPr>
          <w:rFonts w:ascii="Times New Roman" w:hAnsi="Times New Roman"/>
          <w:sz w:val="24"/>
          <w:szCs w:val="24"/>
          <w:u w:val="single"/>
        </w:rPr>
        <w:t xml:space="preserve"> </w:t>
      </w:r>
      <w:r w:rsidRPr="00B065CC">
        <w:rPr>
          <w:rFonts w:ascii="Times New Roman" w:hAnsi="Times New Roman"/>
          <w:sz w:val="24"/>
          <w:szCs w:val="24"/>
          <w:u w:val="single"/>
        </w:rPr>
        <w:t>E Consolidated Billing for Residential Customers</w:t>
      </w:r>
    </w:p>
    <w:p w:rsidR="00140E1B" w:rsidRPr="00B065CC" w:rsidRDefault="00140E1B">
      <w:pPr>
        <w:pStyle w:val="BodyText"/>
        <w:tabs>
          <w:tab w:val="left" w:pos="-720"/>
        </w:tabs>
        <w:suppressAutoHyphens/>
        <w:spacing w:line="360" w:lineRule="auto"/>
        <w:jc w:val="left"/>
        <w:rPr>
          <w:rFonts w:ascii="Times New Roman" w:hAnsi="Times New Roman"/>
          <w:sz w:val="24"/>
          <w:szCs w:val="24"/>
        </w:rPr>
      </w:pPr>
    </w:p>
    <w:p w:rsidR="00140E1B" w:rsidRPr="00B065CC" w:rsidRDefault="00140E1B">
      <w:pPr>
        <w:pStyle w:val="BodyText"/>
        <w:tabs>
          <w:tab w:val="clear" w:pos="1980"/>
          <w:tab w:val="left" w:pos="-720"/>
          <w:tab w:val="left" w:pos="0"/>
        </w:tabs>
        <w:suppressAutoHyphens/>
        <w:spacing w:line="360" w:lineRule="auto"/>
        <w:jc w:val="left"/>
        <w:rPr>
          <w:rFonts w:ascii="Times New Roman" w:hAnsi="Times New Roman"/>
          <w:sz w:val="24"/>
          <w:szCs w:val="24"/>
        </w:rPr>
      </w:pPr>
      <w:r w:rsidRPr="00B065CC">
        <w:rPr>
          <w:rFonts w:ascii="Times New Roman" w:hAnsi="Times New Roman"/>
          <w:sz w:val="24"/>
          <w:szCs w:val="24"/>
        </w:rPr>
        <w:tab/>
      </w:r>
      <w:r w:rsidRPr="00B065CC">
        <w:rPr>
          <w:rFonts w:ascii="Times New Roman" w:hAnsi="Times New Roman"/>
          <w:sz w:val="24"/>
          <w:szCs w:val="24"/>
        </w:rPr>
        <w:tab/>
        <w:t>PECO modified its EDC Consolidated billing requirement for residential customers.  I</w:t>
      </w:r>
      <w:r w:rsidR="001C0957">
        <w:rPr>
          <w:rFonts w:ascii="Times New Roman" w:hAnsi="Times New Roman"/>
          <w:sz w:val="24"/>
          <w:szCs w:val="24"/>
        </w:rPr>
        <w:t>n accordance with paragraph 9.E</w:t>
      </w:r>
      <w:r w:rsidR="00F811E5">
        <w:rPr>
          <w:rFonts w:ascii="Times New Roman" w:hAnsi="Times New Roman"/>
          <w:sz w:val="24"/>
          <w:szCs w:val="24"/>
        </w:rPr>
        <w:t>(1) of the S</w:t>
      </w:r>
      <w:r w:rsidRPr="00B065CC">
        <w:rPr>
          <w:rFonts w:ascii="Times New Roman" w:hAnsi="Times New Roman"/>
          <w:sz w:val="24"/>
          <w:szCs w:val="24"/>
        </w:rPr>
        <w:t>ettlement, any EGS utilizing EDC consolidated billing shall be required to use EDC consolidated billing for all of the EGS’s residential customers.  If the EGS provides written certification to PECO that the service or product cannot be billed under EDC consolidated billing, the EGS shall be permitted to issue a separate bill for the service or product (PECO Statement in Support at 5).  After complying with the appropriate customer protection provisions, PECO has the right to terminate service if a customer fails to pay EGS charges, for basic electricity supply,</w:t>
      </w:r>
      <w:r w:rsidR="00F811E5">
        <w:rPr>
          <w:rFonts w:ascii="Times New Roman" w:hAnsi="Times New Roman"/>
          <w:sz w:val="24"/>
          <w:szCs w:val="24"/>
        </w:rPr>
        <w:t xml:space="preserve"> </w:t>
      </w:r>
      <w:r w:rsidRPr="00B065CC">
        <w:rPr>
          <w:rFonts w:ascii="Times New Roman" w:hAnsi="Times New Roman"/>
          <w:sz w:val="24"/>
          <w:szCs w:val="24"/>
        </w:rPr>
        <w:t xml:space="preserve">which have been assigned to PECO.  </w:t>
      </w:r>
    </w:p>
    <w:p w:rsidR="004E57D6" w:rsidRPr="00B065CC" w:rsidRDefault="004E57D6">
      <w:pPr>
        <w:pStyle w:val="BodyText"/>
        <w:tabs>
          <w:tab w:val="clear" w:pos="1980"/>
          <w:tab w:val="left" w:pos="-720"/>
          <w:tab w:val="left" w:pos="0"/>
        </w:tabs>
        <w:suppressAutoHyphens/>
        <w:spacing w:line="360" w:lineRule="auto"/>
        <w:jc w:val="left"/>
        <w:rPr>
          <w:rFonts w:ascii="Times New Roman" w:hAnsi="Times New Roman"/>
          <w:sz w:val="24"/>
          <w:szCs w:val="24"/>
        </w:rPr>
      </w:pPr>
    </w:p>
    <w:p w:rsidR="00140E1B" w:rsidRDefault="004E57D6" w:rsidP="004E57D6">
      <w:pPr>
        <w:pStyle w:val="BodyText"/>
        <w:tabs>
          <w:tab w:val="clear" w:pos="1980"/>
          <w:tab w:val="left" w:pos="-720"/>
          <w:tab w:val="left" w:pos="0"/>
        </w:tabs>
        <w:suppressAutoHyphens/>
        <w:spacing w:line="360" w:lineRule="auto"/>
        <w:jc w:val="left"/>
        <w:rPr>
          <w:rFonts w:ascii="Times New Roman" w:hAnsi="Times New Roman"/>
          <w:sz w:val="24"/>
          <w:szCs w:val="24"/>
        </w:rPr>
      </w:pPr>
      <w:r w:rsidRPr="00B065CC">
        <w:rPr>
          <w:rFonts w:ascii="Times New Roman" w:hAnsi="Times New Roman"/>
          <w:sz w:val="24"/>
          <w:szCs w:val="24"/>
        </w:rPr>
        <w:tab/>
      </w:r>
      <w:r w:rsidRPr="00B065CC">
        <w:rPr>
          <w:rFonts w:ascii="Times New Roman" w:hAnsi="Times New Roman"/>
          <w:sz w:val="24"/>
          <w:szCs w:val="24"/>
        </w:rPr>
        <w:tab/>
        <w:t xml:space="preserve">PECO’s position is that this provision satisfies two of the POR program elements required by the </w:t>
      </w:r>
      <w:r w:rsidRPr="00B065CC">
        <w:rPr>
          <w:rFonts w:ascii="Times New Roman" w:hAnsi="Times New Roman"/>
          <w:i/>
          <w:iCs/>
          <w:sz w:val="24"/>
          <w:szCs w:val="24"/>
        </w:rPr>
        <w:t>Default Service Settlement</w:t>
      </w:r>
      <w:r w:rsidRPr="00B065CC">
        <w:rPr>
          <w:rFonts w:ascii="Times New Roman" w:hAnsi="Times New Roman"/>
          <w:sz w:val="24"/>
          <w:szCs w:val="24"/>
        </w:rPr>
        <w:t>.  PECO can purchase receivables “without recourse” to the EGS supplier and the reversion of customers to dual billing for non-payment of EGS charges after 90 days delinquency is eliminated (PECO’s Statement in Support at 5, 6).  OCA mentioned that other POR programs prohibit participating EGSs from charging security deposits or requiring credit checks as part of the customer’s enrollment with an EGS (OCA Statement in Sup</w:t>
      </w:r>
      <w:r w:rsidR="00D76B66">
        <w:rPr>
          <w:rFonts w:ascii="Times New Roman" w:hAnsi="Times New Roman"/>
          <w:sz w:val="24"/>
          <w:szCs w:val="24"/>
        </w:rPr>
        <w:t>port at 5).  Therefore, in the S</w:t>
      </w:r>
      <w:r w:rsidRPr="00B065CC">
        <w:rPr>
          <w:rFonts w:ascii="Times New Roman" w:hAnsi="Times New Roman"/>
          <w:sz w:val="24"/>
          <w:szCs w:val="24"/>
        </w:rPr>
        <w:t>ettlement, Ms. Alexander recommended that as a condition of participation in PECO’s Revised POR, EGSs must agree not to charge their residential customers a security deposit or deny service to residential customers for credit-related reasons.</w:t>
      </w:r>
    </w:p>
    <w:p w:rsidR="003E291C" w:rsidRPr="00B065CC" w:rsidRDefault="003E291C" w:rsidP="004E57D6">
      <w:pPr>
        <w:pStyle w:val="BodyText"/>
        <w:tabs>
          <w:tab w:val="clear" w:pos="1980"/>
          <w:tab w:val="left" w:pos="-720"/>
          <w:tab w:val="left" w:pos="0"/>
        </w:tabs>
        <w:suppressAutoHyphens/>
        <w:spacing w:line="360" w:lineRule="auto"/>
        <w:jc w:val="left"/>
        <w:rPr>
          <w:rFonts w:ascii="Times New Roman" w:hAnsi="Times New Roman"/>
          <w:sz w:val="24"/>
          <w:szCs w:val="24"/>
        </w:rPr>
      </w:pPr>
    </w:p>
    <w:p w:rsidR="00140E1B" w:rsidRPr="00B065CC" w:rsidRDefault="00140E1B">
      <w:pPr>
        <w:pStyle w:val="BodyText"/>
        <w:tabs>
          <w:tab w:val="clear" w:pos="1980"/>
          <w:tab w:val="left" w:pos="-720"/>
          <w:tab w:val="left" w:pos="0"/>
        </w:tabs>
        <w:suppressAutoHyphens/>
        <w:spacing w:line="360" w:lineRule="auto"/>
        <w:jc w:val="left"/>
        <w:rPr>
          <w:rFonts w:ascii="Times New Roman" w:hAnsi="Times New Roman"/>
          <w:sz w:val="24"/>
          <w:szCs w:val="24"/>
        </w:rPr>
      </w:pPr>
      <w:r w:rsidRPr="00B065CC">
        <w:rPr>
          <w:rFonts w:ascii="Times New Roman" w:hAnsi="Times New Roman"/>
          <w:sz w:val="24"/>
          <w:szCs w:val="24"/>
        </w:rPr>
        <w:tab/>
      </w:r>
      <w:r w:rsidRPr="00B065CC">
        <w:rPr>
          <w:rFonts w:ascii="Times New Roman" w:hAnsi="Times New Roman"/>
          <w:sz w:val="24"/>
          <w:szCs w:val="24"/>
        </w:rPr>
        <w:tab/>
        <w:t>RESA agree</w:t>
      </w:r>
      <w:r w:rsidR="00C62F94" w:rsidRPr="00B065CC">
        <w:rPr>
          <w:rFonts w:ascii="Times New Roman" w:hAnsi="Times New Roman"/>
          <w:sz w:val="24"/>
          <w:szCs w:val="24"/>
        </w:rPr>
        <w:t>d</w:t>
      </w:r>
      <w:r w:rsidRPr="00B065CC">
        <w:rPr>
          <w:rFonts w:ascii="Times New Roman" w:hAnsi="Times New Roman"/>
          <w:sz w:val="24"/>
          <w:szCs w:val="24"/>
        </w:rPr>
        <w:t xml:space="preserve"> that consolidated billing for residential customers promotes economic efficiency.  By avoiding unnecessary duplication of billing, remittance and collection </w:t>
      </w:r>
      <w:r w:rsidRPr="00B065CC">
        <w:rPr>
          <w:rFonts w:ascii="Times New Roman" w:hAnsi="Times New Roman"/>
          <w:sz w:val="24"/>
          <w:szCs w:val="24"/>
        </w:rPr>
        <w:lastRenderedPageBreak/>
        <w:t>systems, PECO’s POR program should lower costs for customers, PECO and EGSs (RESA/Direct Energy Statement in Support at 6).</w:t>
      </w:r>
    </w:p>
    <w:p w:rsidR="00140E1B" w:rsidRPr="00B065CC" w:rsidRDefault="00140E1B">
      <w:pPr>
        <w:pStyle w:val="BodyText"/>
        <w:tabs>
          <w:tab w:val="left" w:pos="-720"/>
        </w:tabs>
        <w:suppressAutoHyphens/>
        <w:spacing w:line="360" w:lineRule="auto"/>
        <w:jc w:val="left"/>
        <w:rPr>
          <w:rFonts w:ascii="Times New Roman" w:hAnsi="Times New Roman"/>
          <w:sz w:val="24"/>
          <w:szCs w:val="24"/>
        </w:rPr>
      </w:pPr>
    </w:p>
    <w:p w:rsidR="00140E1B" w:rsidRPr="00B065CC" w:rsidRDefault="00140E1B">
      <w:pPr>
        <w:pStyle w:val="BodyText"/>
        <w:tabs>
          <w:tab w:val="left" w:pos="-720"/>
        </w:tabs>
        <w:suppressAutoHyphens/>
        <w:spacing w:line="360" w:lineRule="auto"/>
        <w:jc w:val="center"/>
        <w:rPr>
          <w:rFonts w:ascii="Times New Roman" w:hAnsi="Times New Roman"/>
          <w:sz w:val="24"/>
          <w:szCs w:val="24"/>
          <w:u w:val="single"/>
        </w:rPr>
      </w:pPr>
      <w:r w:rsidRPr="00B065CC">
        <w:rPr>
          <w:rFonts w:ascii="Times New Roman" w:hAnsi="Times New Roman"/>
          <w:sz w:val="24"/>
          <w:szCs w:val="24"/>
          <w:u w:val="single"/>
        </w:rPr>
        <w:t>9</w:t>
      </w:r>
      <w:r w:rsidR="00803CA5" w:rsidRPr="00B065CC">
        <w:rPr>
          <w:rFonts w:ascii="Times New Roman" w:hAnsi="Times New Roman"/>
          <w:sz w:val="24"/>
          <w:szCs w:val="24"/>
          <w:u w:val="single"/>
        </w:rPr>
        <w:t xml:space="preserve">. </w:t>
      </w:r>
      <w:r w:rsidRPr="00B065CC">
        <w:rPr>
          <w:rFonts w:ascii="Times New Roman" w:hAnsi="Times New Roman"/>
          <w:sz w:val="24"/>
          <w:szCs w:val="24"/>
          <w:u w:val="single"/>
        </w:rPr>
        <w:t>F Customer Education and Notification</w:t>
      </w:r>
    </w:p>
    <w:p w:rsidR="00140E1B" w:rsidRPr="00B065CC" w:rsidRDefault="00140E1B">
      <w:pPr>
        <w:pStyle w:val="BodyText"/>
        <w:tabs>
          <w:tab w:val="left" w:pos="-720"/>
        </w:tabs>
        <w:suppressAutoHyphens/>
        <w:spacing w:line="360" w:lineRule="auto"/>
        <w:jc w:val="center"/>
        <w:rPr>
          <w:rFonts w:ascii="Times New Roman" w:hAnsi="Times New Roman"/>
          <w:sz w:val="24"/>
          <w:szCs w:val="24"/>
          <w:u w:val="single"/>
        </w:rPr>
      </w:pPr>
    </w:p>
    <w:p w:rsidR="00140E1B" w:rsidRPr="00B065CC" w:rsidRDefault="00140E1B">
      <w:pPr>
        <w:pStyle w:val="BodyText"/>
        <w:tabs>
          <w:tab w:val="clear" w:pos="1980"/>
          <w:tab w:val="left" w:pos="-720"/>
          <w:tab w:val="left" w:pos="0"/>
        </w:tabs>
        <w:suppressAutoHyphens/>
        <w:spacing w:line="360" w:lineRule="auto"/>
        <w:jc w:val="left"/>
        <w:rPr>
          <w:rFonts w:ascii="Times New Roman" w:hAnsi="Times New Roman"/>
          <w:sz w:val="24"/>
          <w:szCs w:val="24"/>
        </w:rPr>
      </w:pPr>
      <w:r w:rsidRPr="00B065CC">
        <w:rPr>
          <w:rFonts w:ascii="Times New Roman" w:hAnsi="Times New Roman"/>
          <w:sz w:val="24"/>
          <w:szCs w:val="24"/>
        </w:rPr>
        <w:tab/>
      </w:r>
      <w:r w:rsidRPr="00B065CC">
        <w:rPr>
          <w:rFonts w:ascii="Times New Roman" w:hAnsi="Times New Roman"/>
          <w:sz w:val="24"/>
          <w:szCs w:val="24"/>
        </w:rPr>
        <w:tab/>
        <w:t xml:space="preserve">In response to concerns raised by OCA, OSBA, RESA and </w:t>
      </w:r>
      <w:r w:rsidR="00AD40A0" w:rsidRPr="00B065CC">
        <w:rPr>
          <w:rFonts w:ascii="Times New Roman" w:hAnsi="Times New Roman"/>
          <w:sz w:val="24"/>
          <w:szCs w:val="24"/>
        </w:rPr>
        <w:t>Dominion Retail</w:t>
      </w:r>
      <w:r w:rsidRPr="00B065CC">
        <w:rPr>
          <w:rFonts w:ascii="Times New Roman" w:hAnsi="Times New Roman"/>
          <w:sz w:val="24"/>
          <w:szCs w:val="24"/>
        </w:rPr>
        <w:t xml:space="preserve">, PECO agreed to work with the parties to develop customer education and notification materials to be posted on PECO’s website and </w:t>
      </w:r>
      <w:r w:rsidR="00C62F94" w:rsidRPr="00B065CC">
        <w:rPr>
          <w:rFonts w:ascii="Times New Roman" w:hAnsi="Times New Roman"/>
          <w:sz w:val="24"/>
          <w:szCs w:val="24"/>
        </w:rPr>
        <w:t>to be includ</w:t>
      </w:r>
      <w:r w:rsidRPr="00B065CC">
        <w:rPr>
          <w:rFonts w:ascii="Times New Roman" w:hAnsi="Times New Roman"/>
          <w:sz w:val="24"/>
          <w:szCs w:val="24"/>
        </w:rPr>
        <w:t xml:space="preserve">ed in enrollment letters sent to PECO customers transferring </w:t>
      </w:r>
      <w:r w:rsidR="00C62F94" w:rsidRPr="00B065CC">
        <w:rPr>
          <w:rFonts w:ascii="Times New Roman" w:hAnsi="Times New Roman"/>
          <w:sz w:val="24"/>
          <w:szCs w:val="24"/>
        </w:rPr>
        <w:t xml:space="preserve">their </w:t>
      </w:r>
      <w:r w:rsidRPr="00B065CC">
        <w:rPr>
          <w:rFonts w:ascii="Times New Roman" w:hAnsi="Times New Roman"/>
          <w:sz w:val="24"/>
          <w:szCs w:val="24"/>
        </w:rPr>
        <w:t xml:space="preserve">generation service to an EGS (PECO’s Statement in Support at 7).  </w:t>
      </w:r>
    </w:p>
    <w:p w:rsidR="00140E1B" w:rsidRPr="00B065CC" w:rsidRDefault="00140E1B">
      <w:pPr>
        <w:pStyle w:val="BodyText"/>
        <w:tabs>
          <w:tab w:val="left" w:pos="-720"/>
        </w:tabs>
        <w:suppressAutoHyphens/>
        <w:spacing w:line="360" w:lineRule="auto"/>
        <w:jc w:val="left"/>
        <w:rPr>
          <w:rFonts w:ascii="Times New Roman" w:hAnsi="Times New Roman"/>
          <w:sz w:val="24"/>
          <w:szCs w:val="24"/>
        </w:rPr>
      </w:pPr>
    </w:p>
    <w:p w:rsidR="00140E1B" w:rsidRPr="00B065CC" w:rsidRDefault="00140E1B">
      <w:pPr>
        <w:pStyle w:val="BodyText"/>
        <w:tabs>
          <w:tab w:val="clear" w:pos="1980"/>
          <w:tab w:val="left" w:pos="-720"/>
          <w:tab w:val="left" w:pos="0"/>
        </w:tabs>
        <w:suppressAutoHyphens/>
        <w:spacing w:line="360" w:lineRule="auto"/>
        <w:jc w:val="left"/>
        <w:rPr>
          <w:rFonts w:ascii="Times New Roman" w:hAnsi="Times New Roman"/>
          <w:sz w:val="24"/>
          <w:szCs w:val="24"/>
        </w:rPr>
      </w:pPr>
      <w:r w:rsidRPr="00B065CC">
        <w:rPr>
          <w:rFonts w:ascii="Times New Roman" w:hAnsi="Times New Roman"/>
          <w:sz w:val="24"/>
          <w:szCs w:val="24"/>
        </w:rPr>
        <w:tab/>
      </w:r>
      <w:r w:rsidRPr="00B065CC">
        <w:rPr>
          <w:rFonts w:ascii="Times New Roman" w:hAnsi="Times New Roman"/>
          <w:sz w:val="24"/>
          <w:szCs w:val="24"/>
        </w:rPr>
        <w:tab/>
        <w:t>OCA’s position is that the Joint Petition provides an improved plan to assure that customers receive much-needed notice of the change that, under the Revised POR program, PECO will be able to terminate service to customers based on EGS charges, not just charges for PECO’s own service.  PECO will notify consumers that they can contact PECO, the EGSs, look at the OCA’s shopping guide webpage, or view the Commission’s website for information about rates for comparable services (OCA Statement in Support at 7).  The content of the customer notification will be finalized after the Commission resolves the issue of whether PECO will be able to terminate service for unpaid EGS charges incurred before the effective date of the Revised POR program (OCA Statement in Support at 7).</w:t>
      </w:r>
    </w:p>
    <w:p w:rsidR="00140E1B" w:rsidRPr="00B065CC" w:rsidRDefault="00140E1B">
      <w:pPr>
        <w:pStyle w:val="BodyText"/>
        <w:tabs>
          <w:tab w:val="left" w:pos="-720"/>
        </w:tabs>
        <w:suppressAutoHyphens/>
        <w:spacing w:line="360" w:lineRule="auto"/>
        <w:jc w:val="left"/>
        <w:rPr>
          <w:rFonts w:ascii="Times New Roman" w:hAnsi="Times New Roman"/>
          <w:sz w:val="24"/>
          <w:szCs w:val="24"/>
        </w:rPr>
      </w:pPr>
    </w:p>
    <w:p w:rsidR="00140E1B" w:rsidRPr="00B065CC" w:rsidRDefault="00140E1B">
      <w:pPr>
        <w:pStyle w:val="BodyText"/>
        <w:tabs>
          <w:tab w:val="clear" w:pos="1980"/>
          <w:tab w:val="left" w:pos="-720"/>
          <w:tab w:val="left" w:pos="0"/>
        </w:tabs>
        <w:suppressAutoHyphens/>
        <w:spacing w:line="360" w:lineRule="auto"/>
        <w:jc w:val="left"/>
        <w:rPr>
          <w:rFonts w:ascii="Times New Roman" w:hAnsi="Times New Roman"/>
          <w:sz w:val="24"/>
          <w:szCs w:val="24"/>
        </w:rPr>
      </w:pPr>
      <w:r w:rsidRPr="00B065CC">
        <w:rPr>
          <w:rFonts w:ascii="Times New Roman" w:hAnsi="Times New Roman"/>
          <w:sz w:val="24"/>
          <w:szCs w:val="24"/>
        </w:rPr>
        <w:tab/>
      </w:r>
      <w:r w:rsidRPr="00B065CC">
        <w:rPr>
          <w:rFonts w:ascii="Times New Roman" w:hAnsi="Times New Roman"/>
          <w:sz w:val="24"/>
          <w:szCs w:val="24"/>
        </w:rPr>
        <w:tab/>
        <w:t>OSBA received numerous complaints from customers who were transferred from default service to EGS service in connection with PECO’s 2003 market share threshold (“MST”) program.  Many of the participants complained that they were paying EGS rates that were higher than PECO’s default service rates (OSBA Statement in Support at 4).  OSBA maintains that customers participating in the MST program are entitled to notification that they have the right to return to default service and that doing so could make them less vulnerable to termination.  OSBA is satisfied with the notification requirements set forth in section 9F of the Settlement since the requirements are based on the recommendations of OSBA witness Brian Kalcic (OSBA Statement in Support at 4-9).</w:t>
      </w:r>
    </w:p>
    <w:p w:rsidR="00140E1B" w:rsidRPr="00B065CC" w:rsidRDefault="00140E1B">
      <w:pPr>
        <w:pStyle w:val="BodyText"/>
        <w:tabs>
          <w:tab w:val="left" w:pos="-720"/>
        </w:tabs>
        <w:suppressAutoHyphens/>
        <w:spacing w:line="360" w:lineRule="auto"/>
        <w:jc w:val="left"/>
        <w:rPr>
          <w:rFonts w:ascii="Times New Roman" w:hAnsi="Times New Roman"/>
          <w:sz w:val="24"/>
          <w:szCs w:val="24"/>
        </w:rPr>
      </w:pPr>
    </w:p>
    <w:p w:rsidR="00140E1B" w:rsidRPr="00B065CC" w:rsidRDefault="00140E1B">
      <w:pPr>
        <w:pStyle w:val="BodyText"/>
        <w:tabs>
          <w:tab w:val="clear" w:pos="1980"/>
          <w:tab w:val="left" w:pos="-720"/>
          <w:tab w:val="left" w:pos="0"/>
        </w:tabs>
        <w:suppressAutoHyphens/>
        <w:spacing w:line="360" w:lineRule="auto"/>
        <w:jc w:val="left"/>
        <w:rPr>
          <w:rFonts w:ascii="Times New Roman" w:hAnsi="Times New Roman"/>
          <w:sz w:val="24"/>
          <w:szCs w:val="24"/>
        </w:rPr>
      </w:pPr>
      <w:r w:rsidRPr="00B065CC">
        <w:rPr>
          <w:rFonts w:ascii="Times New Roman" w:hAnsi="Times New Roman"/>
          <w:sz w:val="24"/>
          <w:szCs w:val="24"/>
        </w:rPr>
        <w:lastRenderedPageBreak/>
        <w:tab/>
      </w:r>
      <w:r w:rsidRPr="00B065CC">
        <w:rPr>
          <w:rFonts w:ascii="Times New Roman" w:hAnsi="Times New Roman"/>
          <w:sz w:val="24"/>
          <w:szCs w:val="24"/>
        </w:rPr>
        <w:tab/>
        <w:t xml:space="preserve">RESA/Direct Energy </w:t>
      </w:r>
      <w:r w:rsidR="0097608A" w:rsidRPr="00B065CC">
        <w:rPr>
          <w:rFonts w:ascii="Times New Roman" w:hAnsi="Times New Roman"/>
          <w:sz w:val="24"/>
          <w:szCs w:val="24"/>
        </w:rPr>
        <w:t xml:space="preserve">and </w:t>
      </w:r>
      <w:r w:rsidR="00AD40A0" w:rsidRPr="00B065CC">
        <w:rPr>
          <w:rFonts w:ascii="Times New Roman" w:hAnsi="Times New Roman"/>
          <w:sz w:val="24"/>
          <w:szCs w:val="24"/>
        </w:rPr>
        <w:t>Dominion Retail</w:t>
      </w:r>
      <w:r w:rsidR="0097608A" w:rsidRPr="00B065CC">
        <w:rPr>
          <w:rFonts w:ascii="Times New Roman" w:hAnsi="Times New Roman"/>
          <w:sz w:val="24"/>
          <w:szCs w:val="24"/>
        </w:rPr>
        <w:t xml:space="preserve"> </w:t>
      </w:r>
      <w:r w:rsidRPr="00B065CC">
        <w:rPr>
          <w:rFonts w:ascii="Times New Roman" w:hAnsi="Times New Roman"/>
          <w:sz w:val="24"/>
          <w:szCs w:val="24"/>
        </w:rPr>
        <w:t>support</w:t>
      </w:r>
      <w:r w:rsidR="0097608A" w:rsidRPr="00B065CC">
        <w:rPr>
          <w:rFonts w:ascii="Times New Roman" w:hAnsi="Times New Roman"/>
          <w:sz w:val="24"/>
          <w:szCs w:val="24"/>
        </w:rPr>
        <w:t>ed the provision on</w:t>
      </w:r>
      <w:r w:rsidRPr="00B065CC">
        <w:rPr>
          <w:rFonts w:ascii="Times New Roman" w:hAnsi="Times New Roman"/>
          <w:sz w:val="24"/>
          <w:szCs w:val="24"/>
        </w:rPr>
        <w:t xml:space="preserve"> customer education</w:t>
      </w:r>
      <w:r w:rsidR="0097608A" w:rsidRPr="00B065CC">
        <w:rPr>
          <w:rFonts w:ascii="Times New Roman" w:hAnsi="Times New Roman"/>
          <w:sz w:val="24"/>
          <w:szCs w:val="24"/>
        </w:rPr>
        <w:t xml:space="preserve"> (</w:t>
      </w:r>
      <w:r w:rsidR="00AD40A0" w:rsidRPr="00B065CC">
        <w:rPr>
          <w:rFonts w:ascii="Times New Roman" w:hAnsi="Times New Roman"/>
          <w:sz w:val="24"/>
          <w:szCs w:val="24"/>
        </w:rPr>
        <w:t>Dominion Retail</w:t>
      </w:r>
      <w:r w:rsidR="0097608A" w:rsidRPr="00B065CC">
        <w:rPr>
          <w:rFonts w:ascii="Times New Roman" w:hAnsi="Times New Roman"/>
          <w:sz w:val="24"/>
          <w:szCs w:val="24"/>
        </w:rPr>
        <w:t xml:space="preserve"> Statement in Support at 1; RESA/Direct Energy Statement in Support at 6)</w:t>
      </w:r>
      <w:r w:rsidRPr="00B065CC">
        <w:rPr>
          <w:rFonts w:ascii="Times New Roman" w:hAnsi="Times New Roman"/>
          <w:sz w:val="24"/>
          <w:szCs w:val="24"/>
        </w:rPr>
        <w:t>.</w:t>
      </w:r>
      <w:r w:rsidR="00285079" w:rsidRPr="00B065CC">
        <w:rPr>
          <w:rFonts w:ascii="Times New Roman" w:hAnsi="Times New Roman"/>
          <w:sz w:val="24"/>
          <w:szCs w:val="24"/>
        </w:rPr>
        <w:t xml:space="preserve"> </w:t>
      </w:r>
      <w:r w:rsidRPr="00B065CC">
        <w:rPr>
          <w:rFonts w:ascii="Times New Roman" w:hAnsi="Times New Roman"/>
          <w:sz w:val="24"/>
          <w:szCs w:val="24"/>
        </w:rPr>
        <w:t xml:space="preserve"> Th</w:t>
      </w:r>
      <w:r w:rsidR="00C62F94" w:rsidRPr="00B065CC">
        <w:rPr>
          <w:rFonts w:ascii="Times New Roman" w:hAnsi="Times New Roman"/>
          <w:sz w:val="24"/>
          <w:szCs w:val="24"/>
        </w:rPr>
        <w:t>ey contend that th</w:t>
      </w:r>
      <w:r w:rsidRPr="00B065CC">
        <w:rPr>
          <w:rFonts w:ascii="Times New Roman" w:hAnsi="Times New Roman"/>
          <w:sz w:val="24"/>
          <w:szCs w:val="24"/>
        </w:rPr>
        <w:t xml:space="preserve">is </w:t>
      </w:r>
      <w:r w:rsidR="00C62F94" w:rsidRPr="00B065CC">
        <w:rPr>
          <w:rFonts w:ascii="Times New Roman" w:hAnsi="Times New Roman"/>
          <w:sz w:val="24"/>
          <w:szCs w:val="24"/>
        </w:rPr>
        <w:t xml:space="preserve">provision </w:t>
      </w:r>
      <w:r w:rsidRPr="00B065CC">
        <w:rPr>
          <w:rFonts w:ascii="Times New Roman" w:hAnsi="Times New Roman"/>
          <w:sz w:val="24"/>
          <w:szCs w:val="24"/>
        </w:rPr>
        <w:t>should promote choice for all customers (RESA/Direct Energy Statement in Support at 6).</w:t>
      </w:r>
    </w:p>
    <w:p w:rsidR="00140E1B" w:rsidRPr="00B065CC" w:rsidRDefault="00140E1B">
      <w:pPr>
        <w:pStyle w:val="BodyText"/>
        <w:tabs>
          <w:tab w:val="left" w:pos="-720"/>
        </w:tabs>
        <w:suppressAutoHyphens/>
        <w:spacing w:line="360" w:lineRule="auto"/>
        <w:jc w:val="left"/>
        <w:rPr>
          <w:rFonts w:ascii="Times New Roman" w:hAnsi="Times New Roman"/>
          <w:sz w:val="24"/>
          <w:szCs w:val="24"/>
        </w:rPr>
      </w:pPr>
    </w:p>
    <w:p w:rsidR="00140E1B" w:rsidRPr="00B065CC" w:rsidRDefault="00140E1B">
      <w:pPr>
        <w:pStyle w:val="BodyText"/>
        <w:tabs>
          <w:tab w:val="left" w:pos="-720"/>
        </w:tabs>
        <w:suppressAutoHyphens/>
        <w:spacing w:line="360" w:lineRule="auto"/>
        <w:jc w:val="center"/>
        <w:rPr>
          <w:rFonts w:ascii="Times New Roman" w:hAnsi="Times New Roman"/>
          <w:sz w:val="24"/>
          <w:szCs w:val="24"/>
          <w:u w:val="single"/>
        </w:rPr>
      </w:pPr>
      <w:r w:rsidRPr="00B065CC">
        <w:rPr>
          <w:rFonts w:ascii="Times New Roman" w:hAnsi="Times New Roman"/>
          <w:sz w:val="24"/>
          <w:szCs w:val="24"/>
          <w:u w:val="single"/>
        </w:rPr>
        <w:t>9</w:t>
      </w:r>
      <w:r w:rsidR="00931EE9" w:rsidRPr="00B065CC">
        <w:rPr>
          <w:rFonts w:ascii="Times New Roman" w:hAnsi="Times New Roman"/>
          <w:sz w:val="24"/>
          <w:szCs w:val="24"/>
          <w:u w:val="single"/>
        </w:rPr>
        <w:t xml:space="preserve">. </w:t>
      </w:r>
      <w:r w:rsidRPr="00B065CC">
        <w:rPr>
          <w:rFonts w:ascii="Times New Roman" w:hAnsi="Times New Roman"/>
          <w:sz w:val="24"/>
          <w:szCs w:val="24"/>
          <w:u w:val="single"/>
        </w:rPr>
        <w:t>H Future Consideration of Program Terms and Conditions</w:t>
      </w:r>
    </w:p>
    <w:p w:rsidR="00140E1B" w:rsidRPr="00B065CC" w:rsidRDefault="00140E1B">
      <w:pPr>
        <w:pStyle w:val="BodyText"/>
        <w:tabs>
          <w:tab w:val="left" w:pos="-720"/>
        </w:tabs>
        <w:suppressAutoHyphens/>
        <w:spacing w:line="360" w:lineRule="auto"/>
        <w:jc w:val="center"/>
        <w:rPr>
          <w:rFonts w:ascii="Times New Roman" w:hAnsi="Times New Roman"/>
          <w:sz w:val="24"/>
          <w:szCs w:val="24"/>
        </w:rPr>
      </w:pPr>
    </w:p>
    <w:p w:rsidR="00140E1B" w:rsidRDefault="00140E1B">
      <w:pPr>
        <w:pStyle w:val="BodyText"/>
        <w:tabs>
          <w:tab w:val="clear" w:pos="1980"/>
          <w:tab w:val="left" w:pos="-720"/>
          <w:tab w:val="left" w:pos="0"/>
        </w:tabs>
        <w:suppressAutoHyphens/>
        <w:spacing w:line="360" w:lineRule="auto"/>
        <w:jc w:val="left"/>
        <w:rPr>
          <w:rFonts w:ascii="Times New Roman" w:hAnsi="Times New Roman"/>
          <w:sz w:val="24"/>
          <w:szCs w:val="24"/>
        </w:rPr>
      </w:pPr>
      <w:r w:rsidRPr="00B065CC">
        <w:rPr>
          <w:rFonts w:ascii="Times New Roman" w:hAnsi="Times New Roman"/>
          <w:sz w:val="24"/>
          <w:szCs w:val="24"/>
        </w:rPr>
        <w:tab/>
      </w:r>
      <w:r w:rsidRPr="00B065CC">
        <w:rPr>
          <w:rFonts w:ascii="Times New Roman" w:hAnsi="Times New Roman"/>
          <w:sz w:val="24"/>
          <w:szCs w:val="24"/>
        </w:rPr>
        <w:tab/>
        <w:t xml:space="preserve">OCA agreed with PECO’s proposal </w:t>
      </w:r>
      <w:r w:rsidR="00931EE9" w:rsidRPr="00B065CC">
        <w:rPr>
          <w:rFonts w:ascii="Times New Roman" w:hAnsi="Times New Roman"/>
          <w:sz w:val="24"/>
          <w:szCs w:val="24"/>
        </w:rPr>
        <w:t xml:space="preserve">to apply a temporary discount to the receivables </w:t>
      </w:r>
      <w:r w:rsidRPr="00B065CC">
        <w:rPr>
          <w:rFonts w:ascii="Times New Roman" w:hAnsi="Times New Roman"/>
          <w:sz w:val="24"/>
          <w:szCs w:val="24"/>
        </w:rPr>
        <w:t xml:space="preserve">to recover </w:t>
      </w:r>
      <w:r w:rsidR="00931EE9" w:rsidRPr="00B065CC">
        <w:rPr>
          <w:rFonts w:ascii="Times New Roman" w:hAnsi="Times New Roman"/>
          <w:sz w:val="24"/>
          <w:szCs w:val="24"/>
        </w:rPr>
        <w:t xml:space="preserve">its implementation costs.  OCA agreed that </w:t>
      </w:r>
      <w:r w:rsidRPr="00B065CC">
        <w:rPr>
          <w:rFonts w:ascii="Times New Roman" w:hAnsi="Times New Roman"/>
          <w:sz w:val="24"/>
          <w:szCs w:val="24"/>
        </w:rPr>
        <w:t xml:space="preserve">these costs </w:t>
      </w:r>
      <w:r w:rsidR="00931EE9" w:rsidRPr="00B065CC">
        <w:rPr>
          <w:rFonts w:ascii="Times New Roman" w:hAnsi="Times New Roman"/>
          <w:sz w:val="24"/>
          <w:szCs w:val="24"/>
        </w:rPr>
        <w:t xml:space="preserve">should be recovered </w:t>
      </w:r>
      <w:r w:rsidRPr="00B065CC">
        <w:rPr>
          <w:rFonts w:ascii="Times New Roman" w:hAnsi="Times New Roman"/>
          <w:sz w:val="24"/>
          <w:szCs w:val="24"/>
        </w:rPr>
        <w:t>from EGSs (OCA Statement in Support at 7).  If additional implementation costs are incurred within the specified parameters, the discount rate would not increase, it would remain in effect for a longer time.  OCA maintains that this is fair and reasonable (OCA Statement in Support at 8).</w:t>
      </w:r>
    </w:p>
    <w:p w:rsidR="006338E3" w:rsidRPr="00B065CC" w:rsidRDefault="006338E3">
      <w:pPr>
        <w:pStyle w:val="BodyText"/>
        <w:tabs>
          <w:tab w:val="clear" w:pos="1980"/>
          <w:tab w:val="left" w:pos="-720"/>
          <w:tab w:val="left" w:pos="0"/>
        </w:tabs>
        <w:suppressAutoHyphens/>
        <w:spacing w:line="360" w:lineRule="auto"/>
        <w:jc w:val="left"/>
        <w:rPr>
          <w:rFonts w:ascii="Times New Roman" w:hAnsi="Times New Roman"/>
          <w:sz w:val="24"/>
          <w:szCs w:val="24"/>
        </w:rPr>
      </w:pPr>
    </w:p>
    <w:p w:rsidR="00140E1B" w:rsidRPr="00B065CC" w:rsidRDefault="00140E1B">
      <w:pPr>
        <w:pStyle w:val="BodyText"/>
        <w:tabs>
          <w:tab w:val="clear" w:pos="1980"/>
          <w:tab w:val="left" w:pos="-720"/>
          <w:tab w:val="left" w:pos="0"/>
        </w:tabs>
        <w:suppressAutoHyphens/>
        <w:spacing w:line="360" w:lineRule="auto"/>
        <w:jc w:val="left"/>
        <w:rPr>
          <w:rFonts w:ascii="Times New Roman" w:hAnsi="Times New Roman"/>
          <w:sz w:val="24"/>
          <w:szCs w:val="24"/>
        </w:rPr>
      </w:pPr>
      <w:r w:rsidRPr="00B065CC">
        <w:rPr>
          <w:rFonts w:ascii="Times New Roman" w:hAnsi="Times New Roman"/>
          <w:sz w:val="24"/>
          <w:szCs w:val="24"/>
        </w:rPr>
        <w:tab/>
      </w:r>
      <w:r w:rsidRPr="00B065CC">
        <w:rPr>
          <w:rFonts w:ascii="Times New Roman" w:hAnsi="Times New Roman"/>
          <w:sz w:val="24"/>
          <w:szCs w:val="24"/>
        </w:rPr>
        <w:tab/>
        <w:t>PECO state</w:t>
      </w:r>
      <w:r w:rsidR="00EF77AC" w:rsidRPr="00B065CC">
        <w:rPr>
          <w:rFonts w:ascii="Times New Roman" w:hAnsi="Times New Roman"/>
          <w:sz w:val="24"/>
          <w:szCs w:val="24"/>
        </w:rPr>
        <w:t>d</w:t>
      </w:r>
      <w:r w:rsidR="005C1790">
        <w:rPr>
          <w:rFonts w:ascii="Times New Roman" w:hAnsi="Times New Roman"/>
          <w:sz w:val="24"/>
          <w:szCs w:val="24"/>
        </w:rPr>
        <w:t xml:space="preserve"> that the S</w:t>
      </w:r>
      <w:r w:rsidRPr="00B065CC">
        <w:rPr>
          <w:rFonts w:ascii="Times New Roman" w:hAnsi="Times New Roman"/>
          <w:sz w:val="24"/>
          <w:szCs w:val="24"/>
        </w:rPr>
        <w:t>ettlement reduces administrative burdens and litigation costs by identifying an appropriate venue for parties to seek changes in the future (PECO’s Statement in Support at 10).  The Joint Petitioners agree</w:t>
      </w:r>
      <w:r w:rsidR="00EF77AC" w:rsidRPr="00B065CC">
        <w:rPr>
          <w:rFonts w:ascii="Times New Roman" w:hAnsi="Times New Roman"/>
          <w:sz w:val="24"/>
          <w:szCs w:val="24"/>
        </w:rPr>
        <w:t>d</w:t>
      </w:r>
      <w:r w:rsidRPr="00B065CC">
        <w:rPr>
          <w:rFonts w:ascii="Times New Roman" w:hAnsi="Times New Roman"/>
          <w:sz w:val="24"/>
          <w:szCs w:val="24"/>
        </w:rPr>
        <w:t xml:space="preserve"> that the terms and condition of PECO’s Revised Electric POR program (as revised by the Settlement) will not be raised or revisited by any party until PECO’s next default service proceeding for the period commencing June 1, 2013. This does not prevent a party from enforcing the terms and conditions of the program (PECO’s Statement in Support at 10, 11).</w:t>
      </w:r>
    </w:p>
    <w:p w:rsidR="00140E1B" w:rsidRPr="00B065CC" w:rsidRDefault="00140E1B">
      <w:pPr>
        <w:pStyle w:val="BodyText"/>
        <w:tabs>
          <w:tab w:val="left" w:pos="-720"/>
        </w:tabs>
        <w:suppressAutoHyphens/>
        <w:spacing w:line="360" w:lineRule="auto"/>
        <w:jc w:val="left"/>
        <w:rPr>
          <w:rFonts w:ascii="Times New Roman" w:hAnsi="Times New Roman"/>
          <w:sz w:val="24"/>
          <w:szCs w:val="24"/>
        </w:rPr>
      </w:pPr>
    </w:p>
    <w:p w:rsidR="00140E1B" w:rsidRDefault="00140E1B">
      <w:pPr>
        <w:pStyle w:val="BodyText"/>
        <w:tabs>
          <w:tab w:val="clear" w:pos="1980"/>
          <w:tab w:val="left" w:pos="-720"/>
          <w:tab w:val="left" w:pos="0"/>
        </w:tabs>
        <w:suppressAutoHyphens/>
        <w:spacing w:line="360" w:lineRule="auto"/>
        <w:jc w:val="left"/>
        <w:rPr>
          <w:rFonts w:ascii="Times New Roman" w:hAnsi="Times New Roman"/>
          <w:sz w:val="24"/>
          <w:szCs w:val="24"/>
        </w:rPr>
      </w:pPr>
      <w:r w:rsidRPr="00B065CC">
        <w:rPr>
          <w:rFonts w:ascii="Times New Roman" w:hAnsi="Times New Roman"/>
          <w:sz w:val="24"/>
          <w:szCs w:val="24"/>
        </w:rPr>
        <w:tab/>
      </w:r>
      <w:r w:rsidRPr="00B065CC">
        <w:rPr>
          <w:rFonts w:ascii="Times New Roman" w:hAnsi="Times New Roman"/>
          <w:sz w:val="24"/>
          <w:szCs w:val="24"/>
        </w:rPr>
        <w:tab/>
        <w:t>OSBA support</w:t>
      </w:r>
      <w:r w:rsidR="00EF77AC" w:rsidRPr="00B065CC">
        <w:rPr>
          <w:rFonts w:ascii="Times New Roman" w:hAnsi="Times New Roman"/>
          <w:sz w:val="24"/>
          <w:szCs w:val="24"/>
        </w:rPr>
        <w:t>ed</w:t>
      </w:r>
      <w:r w:rsidR="00D76B66">
        <w:rPr>
          <w:rFonts w:ascii="Times New Roman" w:hAnsi="Times New Roman"/>
          <w:sz w:val="24"/>
          <w:szCs w:val="24"/>
        </w:rPr>
        <w:t xml:space="preserve"> the proposed S</w:t>
      </w:r>
      <w:r w:rsidRPr="00B065CC">
        <w:rPr>
          <w:rFonts w:ascii="Times New Roman" w:hAnsi="Times New Roman"/>
          <w:sz w:val="24"/>
          <w:szCs w:val="24"/>
        </w:rPr>
        <w:t>ettlement and request</w:t>
      </w:r>
      <w:r w:rsidR="00EF77AC" w:rsidRPr="00B065CC">
        <w:rPr>
          <w:rFonts w:ascii="Times New Roman" w:hAnsi="Times New Roman"/>
          <w:sz w:val="24"/>
          <w:szCs w:val="24"/>
        </w:rPr>
        <w:t>ed</w:t>
      </w:r>
      <w:r w:rsidRPr="00B065CC">
        <w:rPr>
          <w:rFonts w:ascii="Times New Roman" w:hAnsi="Times New Roman"/>
          <w:sz w:val="24"/>
          <w:szCs w:val="24"/>
        </w:rPr>
        <w:t xml:space="preserve"> that the Administrative Law Judge and the Commission approve the Settlement document in its entirety without modification (OSBA’s Statement in Support at 10).</w:t>
      </w:r>
    </w:p>
    <w:p w:rsidR="00D76B66" w:rsidRPr="00B065CC" w:rsidRDefault="00D76B66">
      <w:pPr>
        <w:pStyle w:val="BodyText"/>
        <w:tabs>
          <w:tab w:val="clear" w:pos="1980"/>
          <w:tab w:val="left" w:pos="-720"/>
          <w:tab w:val="left" w:pos="0"/>
        </w:tabs>
        <w:suppressAutoHyphens/>
        <w:spacing w:line="360" w:lineRule="auto"/>
        <w:jc w:val="left"/>
        <w:rPr>
          <w:rFonts w:ascii="Times New Roman" w:hAnsi="Times New Roman"/>
          <w:sz w:val="24"/>
          <w:szCs w:val="24"/>
        </w:rPr>
      </w:pPr>
    </w:p>
    <w:p w:rsidR="00140E1B" w:rsidRPr="00B065CC" w:rsidRDefault="00140E1B" w:rsidP="001534E2">
      <w:pPr>
        <w:pStyle w:val="BodyText"/>
        <w:tabs>
          <w:tab w:val="clear" w:pos="1980"/>
          <w:tab w:val="left" w:pos="-720"/>
          <w:tab w:val="left" w:pos="0"/>
        </w:tabs>
        <w:suppressAutoHyphens/>
        <w:spacing w:line="360" w:lineRule="auto"/>
        <w:jc w:val="left"/>
        <w:rPr>
          <w:rFonts w:ascii="Times New Roman" w:hAnsi="Times New Roman"/>
          <w:sz w:val="24"/>
          <w:szCs w:val="24"/>
        </w:rPr>
      </w:pPr>
      <w:r w:rsidRPr="00B065CC">
        <w:rPr>
          <w:rFonts w:ascii="Times New Roman" w:hAnsi="Times New Roman"/>
          <w:sz w:val="24"/>
          <w:szCs w:val="24"/>
        </w:rPr>
        <w:tab/>
      </w:r>
      <w:r w:rsidRPr="00B065CC">
        <w:rPr>
          <w:rFonts w:ascii="Times New Roman" w:hAnsi="Times New Roman"/>
          <w:sz w:val="24"/>
          <w:szCs w:val="24"/>
        </w:rPr>
        <w:tab/>
        <w:t xml:space="preserve">Constellation NewEnergy, Inc. submitted a letter in support of the Retail Energy Supply Association’s and Direct Energy Services, LLC’s Joint Statement in Support of the Commission’s approval of the Joint Petition for Settlement.  </w:t>
      </w:r>
    </w:p>
    <w:p w:rsidR="00140E1B" w:rsidRPr="00B065CC" w:rsidRDefault="00140E1B">
      <w:pPr>
        <w:pStyle w:val="BodyText"/>
        <w:tabs>
          <w:tab w:val="left" w:pos="-720"/>
        </w:tabs>
        <w:suppressAutoHyphens/>
        <w:spacing w:line="360" w:lineRule="auto"/>
        <w:jc w:val="left"/>
        <w:rPr>
          <w:rFonts w:ascii="Times New Roman" w:hAnsi="Times New Roman"/>
          <w:sz w:val="24"/>
          <w:szCs w:val="24"/>
        </w:rPr>
      </w:pPr>
    </w:p>
    <w:p w:rsidR="00140E1B" w:rsidRPr="00B065CC" w:rsidRDefault="00140E1B">
      <w:pPr>
        <w:pStyle w:val="BodyText"/>
        <w:tabs>
          <w:tab w:val="clear" w:pos="1980"/>
          <w:tab w:val="left" w:pos="-720"/>
        </w:tabs>
        <w:suppressAutoHyphens/>
        <w:spacing w:line="360" w:lineRule="auto"/>
        <w:jc w:val="left"/>
        <w:rPr>
          <w:rFonts w:ascii="Times New Roman" w:hAnsi="Times New Roman"/>
          <w:sz w:val="24"/>
          <w:szCs w:val="24"/>
        </w:rPr>
      </w:pPr>
      <w:r w:rsidRPr="00B065CC">
        <w:rPr>
          <w:rFonts w:ascii="Times New Roman" w:hAnsi="Times New Roman"/>
          <w:sz w:val="24"/>
          <w:szCs w:val="24"/>
        </w:rPr>
        <w:lastRenderedPageBreak/>
        <w:tab/>
      </w:r>
      <w:r w:rsidRPr="00B065CC">
        <w:rPr>
          <w:rFonts w:ascii="Times New Roman" w:hAnsi="Times New Roman"/>
          <w:sz w:val="24"/>
          <w:szCs w:val="24"/>
        </w:rPr>
        <w:tab/>
        <w:t>Dominion Retail state</w:t>
      </w:r>
      <w:r w:rsidR="004177F8" w:rsidRPr="00B065CC">
        <w:rPr>
          <w:rFonts w:ascii="Times New Roman" w:hAnsi="Times New Roman"/>
          <w:sz w:val="24"/>
          <w:szCs w:val="24"/>
        </w:rPr>
        <w:t>d</w:t>
      </w:r>
      <w:r w:rsidRPr="00B065CC">
        <w:rPr>
          <w:rFonts w:ascii="Times New Roman" w:hAnsi="Times New Roman"/>
          <w:sz w:val="24"/>
          <w:szCs w:val="24"/>
        </w:rPr>
        <w:t xml:space="preserve"> that the Joint Petition offers a reasonable compromise on most of the issues raised in this proceeding.  Since Dominion Retail believes that the Joint Petition will provide for fair and reasonable modification of PECO’s POR program, it supports the approval of the Joint Petition (Dominion Retail’s Statement in Support at 1).  Dominion Retail asks that the Commission expeditiously approve PECO’s POR program as modified by the settlement and as addressed in the briefs (Dominion Retail’s Statement in Support at 2)</w:t>
      </w:r>
    </w:p>
    <w:p w:rsidR="00140E1B" w:rsidRPr="00B065CC" w:rsidRDefault="00140E1B">
      <w:pPr>
        <w:pStyle w:val="BodyText"/>
        <w:tabs>
          <w:tab w:val="left" w:pos="-720"/>
        </w:tabs>
        <w:suppressAutoHyphens/>
        <w:spacing w:line="360" w:lineRule="auto"/>
        <w:jc w:val="left"/>
        <w:rPr>
          <w:rFonts w:ascii="Times New Roman" w:hAnsi="Times New Roman"/>
          <w:sz w:val="24"/>
          <w:szCs w:val="24"/>
          <w:u w:val="single"/>
        </w:rPr>
      </w:pPr>
    </w:p>
    <w:p w:rsidR="00140E1B" w:rsidRPr="00B065CC" w:rsidRDefault="00190FCA" w:rsidP="00E00722">
      <w:pPr>
        <w:pStyle w:val="BodyText"/>
        <w:tabs>
          <w:tab w:val="clear" w:pos="1980"/>
          <w:tab w:val="left" w:pos="-720"/>
          <w:tab w:val="left" w:pos="0"/>
        </w:tabs>
        <w:suppressAutoHyphens/>
        <w:spacing w:line="360" w:lineRule="auto"/>
        <w:jc w:val="left"/>
        <w:outlineLvl w:val="0"/>
        <w:rPr>
          <w:rFonts w:ascii="Times New Roman" w:hAnsi="Times New Roman"/>
          <w:sz w:val="24"/>
          <w:szCs w:val="24"/>
          <w:u w:val="single"/>
        </w:rPr>
      </w:pPr>
      <w:r w:rsidRPr="00B065CC">
        <w:rPr>
          <w:rFonts w:ascii="Times New Roman" w:hAnsi="Times New Roman"/>
          <w:sz w:val="24"/>
          <w:szCs w:val="24"/>
        </w:rPr>
        <w:tab/>
      </w:r>
      <w:bookmarkStart w:id="63" w:name="_Toc259699925"/>
      <w:bookmarkStart w:id="64" w:name="_Toc259706186"/>
      <w:r w:rsidR="00B82E87" w:rsidRPr="00B065CC">
        <w:rPr>
          <w:rFonts w:ascii="Times New Roman" w:hAnsi="Times New Roman"/>
          <w:sz w:val="24"/>
          <w:szCs w:val="24"/>
        </w:rPr>
        <w:t>2.</w:t>
      </w:r>
      <w:r w:rsidRPr="00B065CC">
        <w:rPr>
          <w:rFonts w:ascii="Times New Roman" w:hAnsi="Times New Roman"/>
          <w:sz w:val="24"/>
          <w:szCs w:val="24"/>
        </w:rPr>
        <w:tab/>
      </w:r>
      <w:r w:rsidR="00140E1B" w:rsidRPr="00B065CC">
        <w:rPr>
          <w:rFonts w:ascii="Times New Roman" w:hAnsi="Times New Roman"/>
          <w:sz w:val="24"/>
          <w:szCs w:val="24"/>
          <w:u w:val="single"/>
        </w:rPr>
        <w:t>OTS Opposition to Joint Petition</w:t>
      </w:r>
      <w:bookmarkEnd w:id="63"/>
      <w:bookmarkEnd w:id="64"/>
    </w:p>
    <w:p w:rsidR="00A20F27" w:rsidRPr="00B065CC" w:rsidRDefault="00A20F27">
      <w:pPr>
        <w:pStyle w:val="BodyText"/>
        <w:tabs>
          <w:tab w:val="left" w:pos="-720"/>
        </w:tabs>
        <w:suppressAutoHyphens/>
        <w:spacing w:line="360" w:lineRule="auto"/>
        <w:jc w:val="left"/>
        <w:rPr>
          <w:rFonts w:ascii="Times New Roman" w:hAnsi="Times New Roman"/>
          <w:sz w:val="24"/>
          <w:szCs w:val="24"/>
          <w:u w:val="single"/>
        </w:rPr>
      </w:pPr>
    </w:p>
    <w:p w:rsidR="00140E1B" w:rsidRPr="00B065CC" w:rsidRDefault="00140E1B" w:rsidP="001534E2">
      <w:pPr>
        <w:spacing w:line="360" w:lineRule="auto"/>
        <w:rPr>
          <w:sz w:val="24"/>
          <w:szCs w:val="24"/>
        </w:rPr>
      </w:pPr>
      <w:r w:rsidRPr="00B065CC">
        <w:rPr>
          <w:sz w:val="24"/>
          <w:szCs w:val="24"/>
        </w:rPr>
        <w:tab/>
      </w:r>
      <w:r w:rsidRPr="00B065CC">
        <w:rPr>
          <w:sz w:val="24"/>
          <w:szCs w:val="24"/>
        </w:rPr>
        <w:tab/>
        <w:t>OTS argued that the Joint Petition, as presented, is not in the public interest and must be modified.  OTS agreed that the Settlement Agreement is based on a level of compromise among the signatories and contains many positive provisions that resolve many of the initially disputed issues</w:t>
      </w:r>
      <w:r w:rsidR="00EF77AC" w:rsidRPr="00B065CC">
        <w:rPr>
          <w:sz w:val="24"/>
          <w:szCs w:val="24"/>
        </w:rPr>
        <w:t>.  However</w:t>
      </w:r>
      <w:r w:rsidRPr="00B065CC">
        <w:rPr>
          <w:sz w:val="24"/>
          <w:szCs w:val="24"/>
        </w:rPr>
        <w:t xml:space="preserve">, OTS </w:t>
      </w:r>
      <w:r w:rsidR="00EF77AC" w:rsidRPr="00B065CC">
        <w:rPr>
          <w:sz w:val="24"/>
          <w:szCs w:val="24"/>
        </w:rPr>
        <w:t>co</w:t>
      </w:r>
      <w:r w:rsidRPr="00B065CC">
        <w:rPr>
          <w:sz w:val="24"/>
          <w:szCs w:val="24"/>
        </w:rPr>
        <w:t>nt</w:t>
      </w:r>
      <w:r w:rsidR="00EF77AC" w:rsidRPr="00B065CC">
        <w:rPr>
          <w:sz w:val="24"/>
          <w:szCs w:val="24"/>
        </w:rPr>
        <w:t>end</w:t>
      </w:r>
      <w:r w:rsidR="00190FCA" w:rsidRPr="00B065CC">
        <w:rPr>
          <w:sz w:val="24"/>
          <w:szCs w:val="24"/>
        </w:rPr>
        <w:t>ed</w:t>
      </w:r>
      <w:r w:rsidR="00EF77AC" w:rsidRPr="00B065CC">
        <w:rPr>
          <w:sz w:val="24"/>
          <w:szCs w:val="24"/>
        </w:rPr>
        <w:t xml:space="preserve"> that</w:t>
      </w:r>
      <w:r w:rsidRPr="00B065CC">
        <w:rPr>
          <w:sz w:val="24"/>
          <w:szCs w:val="24"/>
        </w:rPr>
        <w:t xml:space="preserve"> the Joint Petition contains averments that are not in the public interest and </w:t>
      </w:r>
      <w:r w:rsidR="00190FCA" w:rsidRPr="00B065CC">
        <w:rPr>
          <w:sz w:val="24"/>
          <w:szCs w:val="24"/>
        </w:rPr>
        <w:t xml:space="preserve">it </w:t>
      </w:r>
      <w:r w:rsidRPr="00B065CC">
        <w:rPr>
          <w:sz w:val="24"/>
          <w:szCs w:val="24"/>
        </w:rPr>
        <w:t xml:space="preserve">suffers from a lack of credible evidentiary support.  OTS recommended that the Joint Petition be rejected, unless modified, because it fails to satisfy the standards allowing for approval of a settlement.  The averment addressing modification of the Settlement Agreement is one of the provisions that OTS finds violates the public interest (OTS </w:t>
      </w:r>
      <w:r w:rsidR="00704A69" w:rsidRPr="00B065CC">
        <w:rPr>
          <w:sz w:val="24"/>
          <w:szCs w:val="24"/>
        </w:rPr>
        <w:t>Reply Brief (“</w:t>
      </w:r>
      <w:r w:rsidRPr="00B065CC">
        <w:rPr>
          <w:sz w:val="24"/>
          <w:szCs w:val="24"/>
        </w:rPr>
        <w:t>R.</w:t>
      </w:r>
      <w:r w:rsidR="009F0D81" w:rsidRPr="00B065CC">
        <w:rPr>
          <w:sz w:val="24"/>
          <w:szCs w:val="24"/>
        </w:rPr>
        <w:t xml:space="preserve"> </w:t>
      </w:r>
      <w:r w:rsidRPr="00B065CC">
        <w:rPr>
          <w:sz w:val="24"/>
          <w:szCs w:val="24"/>
        </w:rPr>
        <w:t>B</w:t>
      </w:r>
      <w:r w:rsidR="009F0D81" w:rsidRPr="00B065CC">
        <w:rPr>
          <w:sz w:val="24"/>
          <w:szCs w:val="24"/>
        </w:rPr>
        <w:t>.</w:t>
      </w:r>
      <w:r w:rsidR="00704A69" w:rsidRPr="00B065CC">
        <w:rPr>
          <w:sz w:val="24"/>
          <w:szCs w:val="24"/>
        </w:rPr>
        <w:t>”)</w:t>
      </w:r>
      <w:r w:rsidRPr="00B065CC">
        <w:rPr>
          <w:sz w:val="24"/>
          <w:szCs w:val="24"/>
        </w:rPr>
        <w:t xml:space="preserve"> at </w:t>
      </w:r>
      <w:r w:rsidR="00941091" w:rsidRPr="00B065CC">
        <w:rPr>
          <w:sz w:val="24"/>
          <w:szCs w:val="24"/>
        </w:rPr>
        <w:t>8, 9</w:t>
      </w:r>
      <w:r w:rsidRPr="00B065CC">
        <w:rPr>
          <w:sz w:val="24"/>
          <w:szCs w:val="24"/>
        </w:rPr>
        <w:t>).</w:t>
      </w:r>
    </w:p>
    <w:p w:rsidR="00140E1B" w:rsidRPr="00B065CC" w:rsidRDefault="00140E1B" w:rsidP="004D7EFA">
      <w:pPr>
        <w:spacing w:line="360" w:lineRule="auto"/>
        <w:ind w:left="86" w:right="-446"/>
        <w:rPr>
          <w:sz w:val="24"/>
          <w:szCs w:val="24"/>
        </w:rPr>
      </w:pPr>
    </w:p>
    <w:p w:rsidR="00140E1B" w:rsidRPr="00B065CC" w:rsidRDefault="00140E1B" w:rsidP="001534E2">
      <w:pPr>
        <w:spacing w:line="360" w:lineRule="auto"/>
        <w:rPr>
          <w:sz w:val="24"/>
          <w:szCs w:val="24"/>
        </w:rPr>
      </w:pPr>
      <w:r w:rsidRPr="00B065CC">
        <w:rPr>
          <w:sz w:val="24"/>
          <w:szCs w:val="24"/>
        </w:rPr>
        <w:tab/>
      </w:r>
      <w:r w:rsidRPr="00B065CC">
        <w:rPr>
          <w:sz w:val="24"/>
          <w:szCs w:val="24"/>
        </w:rPr>
        <w:tab/>
        <w:t xml:space="preserve">Although </w:t>
      </w:r>
      <w:r w:rsidR="00036650" w:rsidRPr="00B065CC">
        <w:rPr>
          <w:sz w:val="24"/>
          <w:szCs w:val="24"/>
        </w:rPr>
        <w:t>it</w:t>
      </w:r>
      <w:r w:rsidRPr="00B065CC">
        <w:rPr>
          <w:sz w:val="24"/>
          <w:szCs w:val="24"/>
        </w:rPr>
        <w:t xml:space="preserve"> recognize</w:t>
      </w:r>
      <w:r w:rsidR="00941091" w:rsidRPr="00B065CC">
        <w:rPr>
          <w:sz w:val="24"/>
          <w:szCs w:val="24"/>
        </w:rPr>
        <w:t>d</w:t>
      </w:r>
      <w:r w:rsidRPr="00B065CC">
        <w:rPr>
          <w:sz w:val="24"/>
          <w:szCs w:val="24"/>
        </w:rPr>
        <w:t xml:space="preserve"> that the Commission </w:t>
      </w:r>
      <w:r w:rsidR="00941091" w:rsidRPr="00B065CC">
        <w:rPr>
          <w:sz w:val="24"/>
          <w:szCs w:val="24"/>
        </w:rPr>
        <w:t xml:space="preserve">has a policy </w:t>
      </w:r>
      <w:r w:rsidRPr="00B065CC">
        <w:rPr>
          <w:sz w:val="24"/>
          <w:szCs w:val="24"/>
        </w:rPr>
        <w:t>o</w:t>
      </w:r>
      <w:r w:rsidR="00941091" w:rsidRPr="00B065CC">
        <w:rPr>
          <w:sz w:val="24"/>
          <w:szCs w:val="24"/>
        </w:rPr>
        <w:t>f</w:t>
      </w:r>
      <w:r w:rsidRPr="00B065CC">
        <w:rPr>
          <w:sz w:val="24"/>
          <w:szCs w:val="24"/>
        </w:rPr>
        <w:t xml:space="preserve"> encourag</w:t>
      </w:r>
      <w:r w:rsidR="00941091" w:rsidRPr="00B065CC">
        <w:rPr>
          <w:sz w:val="24"/>
          <w:szCs w:val="24"/>
        </w:rPr>
        <w:t>ing</w:t>
      </w:r>
      <w:r w:rsidRPr="00B065CC">
        <w:rPr>
          <w:sz w:val="24"/>
          <w:szCs w:val="24"/>
        </w:rPr>
        <w:t xml:space="preserve"> settlements, </w:t>
      </w:r>
      <w:r w:rsidR="00036650" w:rsidRPr="00B065CC">
        <w:rPr>
          <w:sz w:val="24"/>
          <w:szCs w:val="24"/>
        </w:rPr>
        <w:t xml:space="preserve">OTS asserted that a </w:t>
      </w:r>
      <w:r w:rsidRPr="00B065CC">
        <w:rPr>
          <w:sz w:val="24"/>
          <w:szCs w:val="24"/>
        </w:rPr>
        <w:t xml:space="preserve">Commission </w:t>
      </w:r>
      <w:r w:rsidR="00036650" w:rsidRPr="00B065CC">
        <w:rPr>
          <w:sz w:val="24"/>
          <w:szCs w:val="24"/>
        </w:rPr>
        <w:t>r</w:t>
      </w:r>
      <w:r w:rsidRPr="00B065CC">
        <w:rPr>
          <w:sz w:val="24"/>
          <w:szCs w:val="24"/>
        </w:rPr>
        <w:t>egulation promoting settlements cannot supersede the legal review necessary when evaluating this agreement.  OTS contend</w:t>
      </w:r>
      <w:r w:rsidR="00036650" w:rsidRPr="00B065CC">
        <w:rPr>
          <w:sz w:val="24"/>
          <w:szCs w:val="24"/>
        </w:rPr>
        <w:t>ed</w:t>
      </w:r>
      <w:r w:rsidRPr="00B065CC">
        <w:rPr>
          <w:sz w:val="24"/>
          <w:szCs w:val="24"/>
        </w:rPr>
        <w:t xml:space="preserve"> that this non-unanimous agreement is </w:t>
      </w:r>
      <w:r w:rsidR="00036650" w:rsidRPr="00B065CC">
        <w:rPr>
          <w:sz w:val="24"/>
          <w:szCs w:val="24"/>
        </w:rPr>
        <w:t>o</w:t>
      </w:r>
      <w:r w:rsidRPr="00B065CC">
        <w:rPr>
          <w:sz w:val="24"/>
          <w:szCs w:val="24"/>
        </w:rPr>
        <w:t>n</w:t>
      </w:r>
      <w:r w:rsidR="00036650" w:rsidRPr="00B065CC">
        <w:rPr>
          <w:sz w:val="24"/>
          <w:szCs w:val="24"/>
        </w:rPr>
        <w:t>ly</w:t>
      </w:r>
      <w:r w:rsidRPr="00B065CC">
        <w:rPr>
          <w:sz w:val="24"/>
          <w:szCs w:val="24"/>
        </w:rPr>
        <w:t xml:space="preserve"> a stipulation among the signatories.  It is well settled that approval of the proposed Settlement Agreement requires the determination that the terms contained therein are in the public interest.</w:t>
      </w:r>
      <w:r w:rsidR="00176DA2" w:rsidRPr="00B065CC">
        <w:rPr>
          <w:sz w:val="24"/>
          <w:szCs w:val="24"/>
        </w:rPr>
        <w:t xml:space="preserve">  </w:t>
      </w:r>
      <w:r w:rsidR="00176DA2" w:rsidRPr="00B065CC">
        <w:rPr>
          <w:i/>
          <w:sz w:val="24"/>
          <w:szCs w:val="24"/>
        </w:rPr>
        <w:t>Pennsylvania Public Utility Commission v. C S Water and Sewer Assoc.</w:t>
      </w:r>
      <w:r w:rsidR="00176DA2" w:rsidRPr="00B065CC">
        <w:rPr>
          <w:sz w:val="24"/>
          <w:szCs w:val="24"/>
        </w:rPr>
        <w:t>,</w:t>
      </w:r>
      <w:r w:rsidR="00176DA2" w:rsidRPr="00B065CC">
        <w:rPr>
          <w:i/>
          <w:sz w:val="24"/>
          <w:szCs w:val="24"/>
        </w:rPr>
        <w:t xml:space="preserve"> </w:t>
      </w:r>
      <w:r w:rsidR="00D76B66">
        <w:rPr>
          <w:sz w:val="24"/>
          <w:szCs w:val="24"/>
        </w:rPr>
        <w:t>74 Pa. PUC 767 (1991);</w:t>
      </w:r>
      <w:r w:rsidR="00176DA2" w:rsidRPr="00B065CC">
        <w:rPr>
          <w:sz w:val="24"/>
          <w:szCs w:val="24"/>
        </w:rPr>
        <w:t xml:space="preserve"> </w:t>
      </w:r>
      <w:r w:rsidR="00176DA2" w:rsidRPr="00B065CC">
        <w:rPr>
          <w:i/>
          <w:sz w:val="24"/>
          <w:szCs w:val="24"/>
        </w:rPr>
        <w:t>Pennsylvania Public Utility Commission v. Philadelphia Electric Co.</w:t>
      </w:r>
      <w:r w:rsidR="00176DA2" w:rsidRPr="00B065CC">
        <w:rPr>
          <w:sz w:val="24"/>
          <w:szCs w:val="24"/>
        </w:rPr>
        <w:t>, 60 Pa. PUC 1 (1985).</w:t>
      </w:r>
      <w:r w:rsidRPr="00B065CC">
        <w:rPr>
          <w:sz w:val="24"/>
          <w:szCs w:val="24"/>
        </w:rPr>
        <w:t xml:space="preserve">  OTS maintains that the Joint Petition, as filed, fails to satisfy the standards for approval (OTS R. B</w:t>
      </w:r>
      <w:r w:rsidR="00190FCA" w:rsidRPr="00B065CC">
        <w:rPr>
          <w:sz w:val="24"/>
          <w:szCs w:val="24"/>
        </w:rPr>
        <w:t>.</w:t>
      </w:r>
      <w:r w:rsidRPr="00B065CC">
        <w:rPr>
          <w:sz w:val="24"/>
          <w:szCs w:val="24"/>
        </w:rPr>
        <w:t xml:space="preserve"> at </w:t>
      </w:r>
      <w:r w:rsidR="00036650" w:rsidRPr="00B065CC">
        <w:rPr>
          <w:sz w:val="24"/>
          <w:szCs w:val="24"/>
        </w:rPr>
        <w:t>9</w:t>
      </w:r>
      <w:r w:rsidRPr="00B065CC">
        <w:rPr>
          <w:sz w:val="24"/>
          <w:szCs w:val="24"/>
        </w:rPr>
        <w:t>).</w:t>
      </w:r>
    </w:p>
    <w:p w:rsidR="00140E1B" w:rsidRPr="00B065CC" w:rsidRDefault="00140E1B" w:rsidP="004D7EFA">
      <w:pPr>
        <w:spacing w:line="360" w:lineRule="auto"/>
        <w:ind w:left="86" w:right="-446"/>
        <w:rPr>
          <w:sz w:val="24"/>
          <w:szCs w:val="24"/>
        </w:rPr>
      </w:pPr>
    </w:p>
    <w:p w:rsidR="00D76B66" w:rsidRDefault="00140E1B" w:rsidP="00222CEF">
      <w:pPr>
        <w:spacing w:line="360" w:lineRule="auto"/>
        <w:rPr>
          <w:sz w:val="24"/>
          <w:szCs w:val="24"/>
        </w:rPr>
      </w:pPr>
      <w:r w:rsidRPr="00B065CC">
        <w:rPr>
          <w:sz w:val="24"/>
          <w:szCs w:val="24"/>
        </w:rPr>
        <w:tab/>
      </w:r>
      <w:r w:rsidRPr="00B065CC">
        <w:rPr>
          <w:sz w:val="24"/>
          <w:szCs w:val="24"/>
        </w:rPr>
        <w:tab/>
      </w:r>
    </w:p>
    <w:p w:rsidR="00D76B66" w:rsidRDefault="00D76B66">
      <w:pPr>
        <w:rPr>
          <w:sz w:val="24"/>
          <w:szCs w:val="24"/>
        </w:rPr>
      </w:pPr>
      <w:r>
        <w:rPr>
          <w:sz w:val="24"/>
          <w:szCs w:val="24"/>
        </w:rPr>
        <w:br w:type="page"/>
      </w:r>
    </w:p>
    <w:p w:rsidR="00140E1B" w:rsidRPr="00B065CC" w:rsidRDefault="00140E1B" w:rsidP="00D76B66">
      <w:pPr>
        <w:spacing w:line="360" w:lineRule="auto"/>
        <w:ind w:firstLine="1440"/>
        <w:rPr>
          <w:sz w:val="24"/>
          <w:szCs w:val="24"/>
        </w:rPr>
      </w:pPr>
      <w:r w:rsidRPr="00B065CC">
        <w:rPr>
          <w:sz w:val="24"/>
          <w:szCs w:val="24"/>
        </w:rPr>
        <w:lastRenderedPageBreak/>
        <w:t>As an opponent of the Joint Petition, OTS does n</w:t>
      </w:r>
      <w:r w:rsidR="00D76B66">
        <w:rPr>
          <w:sz w:val="24"/>
          <w:szCs w:val="24"/>
        </w:rPr>
        <w:t xml:space="preserve">ot consider itself bound by the </w:t>
      </w:r>
      <w:r w:rsidR="00176DA2" w:rsidRPr="00B065CC">
        <w:rPr>
          <w:sz w:val="24"/>
          <w:szCs w:val="24"/>
        </w:rPr>
        <w:t>terms of the Settlement</w:t>
      </w:r>
      <w:r w:rsidRPr="00B065CC">
        <w:rPr>
          <w:sz w:val="24"/>
          <w:szCs w:val="24"/>
        </w:rPr>
        <w:t>.</w:t>
      </w:r>
      <w:r w:rsidR="00E7117C" w:rsidRPr="00B065CC">
        <w:rPr>
          <w:sz w:val="24"/>
          <w:szCs w:val="24"/>
        </w:rPr>
        <w:t xml:space="preserve"> </w:t>
      </w:r>
      <w:r w:rsidRPr="00B065CC">
        <w:rPr>
          <w:sz w:val="24"/>
          <w:szCs w:val="24"/>
        </w:rPr>
        <w:t xml:space="preserve"> OTS </w:t>
      </w:r>
      <w:r w:rsidR="00E7117C" w:rsidRPr="00B065CC">
        <w:rPr>
          <w:sz w:val="24"/>
          <w:szCs w:val="24"/>
        </w:rPr>
        <w:t>stated</w:t>
      </w:r>
      <w:r w:rsidRPr="00B065CC">
        <w:rPr>
          <w:sz w:val="24"/>
          <w:szCs w:val="24"/>
        </w:rPr>
        <w:t xml:space="preserve"> that the Future Consideration of Program Terms and Conditions contained in Issue H(1) of Averment 9 may be interpreted as precluding any party from evaluating any issues associated with this POR plan in any proceeding outside PECO’s next default service plan filing</w:t>
      </w:r>
      <w:r w:rsidR="00E7117C" w:rsidRPr="00B065CC">
        <w:rPr>
          <w:sz w:val="24"/>
          <w:szCs w:val="24"/>
        </w:rPr>
        <w:t xml:space="preserve"> (OTS R. B</w:t>
      </w:r>
      <w:r w:rsidR="009F0D81" w:rsidRPr="00B065CC">
        <w:rPr>
          <w:sz w:val="24"/>
          <w:szCs w:val="24"/>
        </w:rPr>
        <w:t>.</w:t>
      </w:r>
      <w:r w:rsidR="00E7117C" w:rsidRPr="00B065CC">
        <w:rPr>
          <w:sz w:val="24"/>
          <w:szCs w:val="24"/>
        </w:rPr>
        <w:t xml:space="preserve"> at 9)</w:t>
      </w:r>
      <w:r w:rsidRPr="00B065CC">
        <w:rPr>
          <w:sz w:val="24"/>
          <w:szCs w:val="24"/>
        </w:rPr>
        <w:t xml:space="preserve">.  Specifically, the clause seeks to limit the scope of the investigation of the Company’s next base rate case by barring the review of unbundling PECO’s non-jurisdictional generation related costs.  </w:t>
      </w:r>
      <w:r w:rsidR="00E7117C" w:rsidRPr="00B065CC">
        <w:rPr>
          <w:sz w:val="24"/>
          <w:szCs w:val="24"/>
        </w:rPr>
        <w:t>OTS maintained that</w:t>
      </w:r>
      <w:r w:rsidR="003F4F85" w:rsidRPr="00B065CC">
        <w:rPr>
          <w:sz w:val="24"/>
          <w:szCs w:val="24"/>
        </w:rPr>
        <w:t xml:space="preserve"> to</w:t>
      </w:r>
      <w:r w:rsidRPr="00B065CC">
        <w:rPr>
          <w:sz w:val="24"/>
          <w:szCs w:val="24"/>
        </w:rPr>
        <w:t xml:space="preserve"> the extent </w:t>
      </w:r>
      <w:r w:rsidR="003F4F85" w:rsidRPr="00B065CC">
        <w:rPr>
          <w:sz w:val="24"/>
          <w:szCs w:val="24"/>
        </w:rPr>
        <w:t xml:space="preserve">that </w:t>
      </w:r>
      <w:r w:rsidRPr="00B065CC">
        <w:rPr>
          <w:sz w:val="24"/>
          <w:szCs w:val="24"/>
        </w:rPr>
        <w:t>this provision could be interpreted as barring the review of PECO’s generation related costs in its next base rate case by non-signator</w:t>
      </w:r>
      <w:r w:rsidR="00843FCD" w:rsidRPr="00B065CC">
        <w:rPr>
          <w:sz w:val="24"/>
          <w:szCs w:val="24"/>
        </w:rPr>
        <w:t>y parties;</w:t>
      </w:r>
      <w:r w:rsidRPr="00B065CC">
        <w:rPr>
          <w:sz w:val="24"/>
          <w:szCs w:val="24"/>
        </w:rPr>
        <w:t xml:space="preserve"> the provision is unreasonable and </w:t>
      </w:r>
      <w:r w:rsidR="003F4F85" w:rsidRPr="00B065CC">
        <w:rPr>
          <w:sz w:val="24"/>
          <w:szCs w:val="24"/>
        </w:rPr>
        <w:t xml:space="preserve">is </w:t>
      </w:r>
      <w:r w:rsidR="000901DD">
        <w:rPr>
          <w:sz w:val="24"/>
          <w:szCs w:val="24"/>
        </w:rPr>
        <w:t>not in the public interest.</w:t>
      </w:r>
      <w:r w:rsidRPr="00B065CC">
        <w:rPr>
          <w:sz w:val="24"/>
          <w:szCs w:val="24"/>
        </w:rPr>
        <w:t xml:space="preserve">  OTS voiced its opposition to this type of provision and intends to discharge its duties through a thorough and complete review of any filing submitted by PECO, including its base rate case filed March 31, 2010 at Docket No. R-2010-2161575</w:t>
      </w:r>
      <w:r w:rsidR="003F4F85" w:rsidRPr="00B065CC">
        <w:rPr>
          <w:sz w:val="24"/>
          <w:szCs w:val="24"/>
        </w:rPr>
        <w:t xml:space="preserve"> (OTS R. B</w:t>
      </w:r>
      <w:r w:rsidR="00704A69" w:rsidRPr="00B065CC">
        <w:rPr>
          <w:sz w:val="24"/>
          <w:szCs w:val="24"/>
        </w:rPr>
        <w:t>.</w:t>
      </w:r>
      <w:r w:rsidR="003F4F85" w:rsidRPr="00B065CC">
        <w:rPr>
          <w:sz w:val="24"/>
          <w:szCs w:val="24"/>
        </w:rPr>
        <w:t xml:space="preserve"> at 10)</w:t>
      </w:r>
      <w:r w:rsidRPr="00B065CC">
        <w:rPr>
          <w:sz w:val="24"/>
          <w:szCs w:val="24"/>
        </w:rPr>
        <w:t>.</w:t>
      </w:r>
    </w:p>
    <w:p w:rsidR="00140E1B" w:rsidRPr="00B065CC" w:rsidRDefault="00140E1B" w:rsidP="00A47FC6">
      <w:pPr>
        <w:spacing w:line="360" w:lineRule="auto"/>
        <w:rPr>
          <w:sz w:val="24"/>
          <w:szCs w:val="24"/>
        </w:rPr>
      </w:pPr>
    </w:p>
    <w:p w:rsidR="00140E1B" w:rsidRPr="00B065CC" w:rsidRDefault="00140E1B">
      <w:pPr>
        <w:spacing w:line="360" w:lineRule="auto"/>
        <w:rPr>
          <w:sz w:val="24"/>
          <w:szCs w:val="24"/>
        </w:rPr>
      </w:pPr>
      <w:r w:rsidRPr="00B065CC">
        <w:rPr>
          <w:sz w:val="24"/>
          <w:szCs w:val="24"/>
        </w:rPr>
        <w:tab/>
      </w:r>
      <w:r w:rsidRPr="00B065CC">
        <w:rPr>
          <w:sz w:val="24"/>
          <w:szCs w:val="24"/>
        </w:rPr>
        <w:tab/>
        <w:t xml:space="preserve">OTS </w:t>
      </w:r>
      <w:r w:rsidR="00F140CB" w:rsidRPr="00B065CC">
        <w:rPr>
          <w:sz w:val="24"/>
          <w:szCs w:val="24"/>
        </w:rPr>
        <w:t xml:space="preserve">asserted that although it </w:t>
      </w:r>
      <w:r w:rsidRPr="00B065CC">
        <w:rPr>
          <w:sz w:val="24"/>
          <w:szCs w:val="24"/>
        </w:rPr>
        <w:t>has not submitted testimony on many of the issues presented in the Joint Petition, the presence of Averment No. 15 contradicts the provisions contained therein by allowing for withdrawal upon the modification of any proposed stipulation.  Averment 15 reads</w:t>
      </w:r>
      <w:r w:rsidR="00EB5D62" w:rsidRPr="00B065CC">
        <w:rPr>
          <w:sz w:val="24"/>
          <w:szCs w:val="24"/>
        </w:rPr>
        <w:t xml:space="preserve"> as follows</w:t>
      </w:r>
      <w:r w:rsidRPr="00B065CC">
        <w:rPr>
          <w:sz w:val="24"/>
          <w:szCs w:val="24"/>
        </w:rPr>
        <w:t>:</w:t>
      </w:r>
    </w:p>
    <w:p w:rsidR="00222CEF" w:rsidRPr="00B065CC" w:rsidRDefault="00222CEF">
      <w:pPr>
        <w:spacing w:line="360" w:lineRule="auto"/>
        <w:rPr>
          <w:sz w:val="24"/>
          <w:szCs w:val="24"/>
        </w:rPr>
      </w:pPr>
    </w:p>
    <w:p w:rsidR="00140E1B" w:rsidRPr="00B065CC" w:rsidRDefault="00140E1B">
      <w:pPr>
        <w:ind w:left="720" w:right="720" w:firstLine="720"/>
        <w:rPr>
          <w:sz w:val="24"/>
          <w:szCs w:val="24"/>
        </w:rPr>
      </w:pPr>
      <w:r w:rsidRPr="00B065CC">
        <w:rPr>
          <w:sz w:val="24"/>
          <w:szCs w:val="24"/>
        </w:rPr>
        <w:t xml:space="preserve">[t]his Settlement is conditioned upon the Commission’s approval of the terms and conditions contained herein without modification.  If the Commission should disapprove the Settlement or modify any terms and conditions herein </w:t>
      </w:r>
      <w:r w:rsidRPr="00B065CC">
        <w:rPr>
          <w:b/>
          <w:sz w:val="24"/>
          <w:szCs w:val="24"/>
        </w:rPr>
        <w:t>(including, without limitation, by ruling that PECO must unbundle its generation-related uncollectible accounts expense)</w:t>
      </w:r>
      <w:r w:rsidRPr="00B065CC">
        <w:rPr>
          <w:sz w:val="24"/>
          <w:szCs w:val="24"/>
        </w:rPr>
        <w:t>, [</w:t>
      </w:r>
      <w:r w:rsidRPr="00B065CC">
        <w:rPr>
          <w:i/>
          <w:sz w:val="24"/>
          <w:szCs w:val="24"/>
        </w:rPr>
        <w:t>emphasis added</w:t>
      </w:r>
      <w:r w:rsidRPr="00B065CC">
        <w:rPr>
          <w:sz w:val="24"/>
          <w:szCs w:val="24"/>
        </w:rPr>
        <w:t>] this Settlement may be withdrawn upon written notice to the Commission and all active parties within five (5) business days following entry of the Commission’s Order by any of the Joint Petitioners and, in such event, shall be of no force and effect.  In the event that the Commission disapproves the Settlement or the Company or any other Joint Petitioner elects to withdraw the Settlement as provided above, the Joint Petitioners reserve their respective rights to fully litigate this case, including, but not limited to, presentation of witnesses, cross-examination and legal argument through submission of Briefs, Exceptions and Replies to Exceptions.</w:t>
      </w:r>
    </w:p>
    <w:p w:rsidR="00AE7D4E" w:rsidRDefault="00AE7D4E" w:rsidP="00AE7D4E">
      <w:pPr>
        <w:ind w:left="720" w:right="720" w:hanging="720"/>
        <w:rPr>
          <w:sz w:val="24"/>
          <w:szCs w:val="24"/>
        </w:rPr>
      </w:pPr>
    </w:p>
    <w:p w:rsidR="005A1990" w:rsidRPr="00B065CC" w:rsidRDefault="00EB5D62" w:rsidP="00AE7D4E">
      <w:pPr>
        <w:ind w:left="720" w:right="720" w:hanging="720"/>
        <w:rPr>
          <w:sz w:val="24"/>
          <w:szCs w:val="24"/>
        </w:rPr>
      </w:pPr>
      <w:r w:rsidRPr="00B065CC">
        <w:rPr>
          <w:sz w:val="24"/>
          <w:szCs w:val="24"/>
        </w:rPr>
        <w:t>Joint Petition for Partial Settlement, Averment 15, at 12-13</w:t>
      </w:r>
      <w:r w:rsidR="00CC0BF4" w:rsidRPr="00B065CC">
        <w:rPr>
          <w:sz w:val="24"/>
          <w:szCs w:val="24"/>
        </w:rPr>
        <w:t>; OTS R. B. at 11</w:t>
      </w:r>
      <w:r w:rsidRPr="00B065CC">
        <w:rPr>
          <w:sz w:val="24"/>
          <w:szCs w:val="24"/>
        </w:rPr>
        <w:t>.</w:t>
      </w:r>
    </w:p>
    <w:p w:rsidR="00D76B66" w:rsidRDefault="0079717C" w:rsidP="0079717C">
      <w:pPr>
        <w:spacing w:line="360" w:lineRule="auto"/>
        <w:rPr>
          <w:sz w:val="24"/>
          <w:szCs w:val="24"/>
        </w:rPr>
      </w:pPr>
      <w:r w:rsidRPr="00B065CC">
        <w:rPr>
          <w:sz w:val="24"/>
          <w:szCs w:val="24"/>
        </w:rPr>
        <w:tab/>
      </w:r>
      <w:r w:rsidRPr="00B065CC">
        <w:rPr>
          <w:sz w:val="24"/>
          <w:szCs w:val="24"/>
        </w:rPr>
        <w:tab/>
      </w:r>
    </w:p>
    <w:p w:rsidR="00D76B66" w:rsidRDefault="00D76B66">
      <w:pPr>
        <w:rPr>
          <w:sz w:val="24"/>
          <w:szCs w:val="24"/>
        </w:rPr>
      </w:pPr>
      <w:r>
        <w:rPr>
          <w:sz w:val="24"/>
          <w:szCs w:val="24"/>
        </w:rPr>
        <w:br w:type="page"/>
      </w:r>
    </w:p>
    <w:p w:rsidR="00A35F22" w:rsidRDefault="00A35F22" w:rsidP="00D76B66">
      <w:pPr>
        <w:spacing w:line="360" w:lineRule="auto"/>
        <w:ind w:firstLine="1440"/>
        <w:rPr>
          <w:sz w:val="24"/>
          <w:szCs w:val="24"/>
        </w:rPr>
      </w:pPr>
    </w:p>
    <w:p w:rsidR="00140E1B" w:rsidRPr="00B065CC" w:rsidRDefault="00140E1B" w:rsidP="00D76B66">
      <w:pPr>
        <w:spacing w:line="360" w:lineRule="auto"/>
        <w:ind w:firstLine="1440"/>
        <w:rPr>
          <w:sz w:val="24"/>
          <w:szCs w:val="24"/>
        </w:rPr>
      </w:pPr>
      <w:r w:rsidRPr="00B065CC">
        <w:rPr>
          <w:sz w:val="24"/>
          <w:szCs w:val="24"/>
        </w:rPr>
        <w:t>O</w:t>
      </w:r>
      <w:r w:rsidR="0079717C" w:rsidRPr="00B065CC">
        <w:rPr>
          <w:sz w:val="24"/>
          <w:szCs w:val="24"/>
        </w:rPr>
        <w:t xml:space="preserve">TS argued that </w:t>
      </w:r>
      <w:r w:rsidRPr="00B065CC">
        <w:rPr>
          <w:sz w:val="24"/>
          <w:szCs w:val="24"/>
        </w:rPr>
        <w:t>this provision is not in the pub</w:t>
      </w:r>
      <w:r w:rsidR="0079717C" w:rsidRPr="00B065CC">
        <w:rPr>
          <w:sz w:val="24"/>
          <w:szCs w:val="24"/>
        </w:rPr>
        <w:t xml:space="preserve">lic interest in this proceeding </w:t>
      </w:r>
      <w:r w:rsidRPr="00B065CC">
        <w:rPr>
          <w:sz w:val="24"/>
          <w:szCs w:val="24"/>
        </w:rPr>
        <w:t>s</w:t>
      </w:r>
      <w:r w:rsidR="0079717C" w:rsidRPr="00B065CC">
        <w:rPr>
          <w:sz w:val="24"/>
          <w:szCs w:val="24"/>
        </w:rPr>
        <w:t>ince</w:t>
      </w:r>
      <w:r w:rsidRPr="00B065CC">
        <w:rPr>
          <w:sz w:val="24"/>
          <w:szCs w:val="24"/>
        </w:rPr>
        <w:t xml:space="preserve"> the outcome of an issue reserved for resolution by </w:t>
      </w:r>
      <w:r w:rsidR="0079717C" w:rsidRPr="00B065CC">
        <w:rPr>
          <w:sz w:val="24"/>
          <w:szCs w:val="24"/>
        </w:rPr>
        <w:t>the undersigned</w:t>
      </w:r>
      <w:r w:rsidRPr="00B065CC">
        <w:rPr>
          <w:sz w:val="24"/>
          <w:szCs w:val="24"/>
        </w:rPr>
        <w:t xml:space="preserve"> is intentionally included as grounds for revocation of the Settlement Agreement.  The use of this provision in a non-unanimous settlement proposal is highly inappropriate.  OTS interpret</w:t>
      </w:r>
      <w:r w:rsidR="0079717C" w:rsidRPr="00B065CC">
        <w:rPr>
          <w:sz w:val="24"/>
          <w:szCs w:val="24"/>
        </w:rPr>
        <w:t>ed</w:t>
      </w:r>
      <w:r w:rsidRPr="00B065CC">
        <w:rPr>
          <w:sz w:val="24"/>
          <w:szCs w:val="24"/>
        </w:rPr>
        <w:t xml:space="preserve"> this provision as an attempt by the signatories to </w:t>
      </w:r>
      <w:r w:rsidR="005D751B" w:rsidRPr="00B065CC">
        <w:rPr>
          <w:sz w:val="24"/>
          <w:szCs w:val="24"/>
        </w:rPr>
        <w:t>influence</w:t>
      </w:r>
      <w:r w:rsidRPr="00B065CC">
        <w:rPr>
          <w:sz w:val="24"/>
          <w:szCs w:val="24"/>
        </w:rPr>
        <w:t xml:space="preserve"> the outcome of an issue reserved for litigation.  This is simply inconsistent with the practice of carving an issue out for independent resolution and entirely unnecessary in this proceeding.  The provision allowing for withdrawal </w:t>
      </w:r>
      <w:r w:rsidR="003A3A67">
        <w:rPr>
          <w:sz w:val="24"/>
          <w:szCs w:val="24"/>
        </w:rPr>
        <w:t>when a term of the s</w:t>
      </w:r>
      <w:r w:rsidR="0079717C" w:rsidRPr="00B065CC">
        <w:rPr>
          <w:sz w:val="24"/>
          <w:szCs w:val="24"/>
        </w:rPr>
        <w:t xml:space="preserve">ettlement is </w:t>
      </w:r>
      <w:r w:rsidRPr="00B065CC">
        <w:rPr>
          <w:sz w:val="24"/>
          <w:szCs w:val="24"/>
        </w:rPr>
        <w:t>alter</w:t>
      </w:r>
      <w:r w:rsidR="0079717C" w:rsidRPr="00B065CC">
        <w:rPr>
          <w:sz w:val="24"/>
          <w:szCs w:val="24"/>
        </w:rPr>
        <w:t>ed</w:t>
      </w:r>
      <w:r w:rsidRPr="00B065CC">
        <w:rPr>
          <w:sz w:val="24"/>
          <w:szCs w:val="24"/>
        </w:rPr>
        <w:t xml:space="preserve"> may have some merit in </w:t>
      </w:r>
      <w:r w:rsidR="00EF5385" w:rsidRPr="00B065CC">
        <w:rPr>
          <w:sz w:val="24"/>
          <w:szCs w:val="24"/>
        </w:rPr>
        <w:t>certain</w:t>
      </w:r>
      <w:r w:rsidRPr="00B065CC">
        <w:rPr>
          <w:sz w:val="24"/>
          <w:szCs w:val="24"/>
        </w:rPr>
        <w:t xml:space="preserve"> circumstances.  However, </w:t>
      </w:r>
      <w:r w:rsidR="002C71F6" w:rsidRPr="00B065CC">
        <w:rPr>
          <w:sz w:val="24"/>
          <w:szCs w:val="24"/>
        </w:rPr>
        <w:t xml:space="preserve">OTS asserted that, </w:t>
      </w:r>
      <w:r w:rsidRPr="00B065CC">
        <w:rPr>
          <w:sz w:val="24"/>
          <w:szCs w:val="24"/>
        </w:rPr>
        <w:t>in th</w:t>
      </w:r>
      <w:r w:rsidR="00741E6D" w:rsidRPr="00B065CC">
        <w:rPr>
          <w:sz w:val="24"/>
          <w:szCs w:val="24"/>
        </w:rPr>
        <w:t>is</w:t>
      </w:r>
      <w:r w:rsidRPr="00B065CC">
        <w:rPr>
          <w:sz w:val="24"/>
          <w:szCs w:val="24"/>
        </w:rPr>
        <w:t xml:space="preserve"> case</w:t>
      </w:r>
      <w:r w:rsidR="002C71F6" w:rsidRPr="00B065CC">
        <w:rPr>
          <w:sz w:val="24"/>
          <w:szCs w:val="24"/>
        </w:rPr>
        <w:t>,</w:t>
      </w:r>
      <w:r w:rsidRPr="00B065CC">
        <w:rPr>
          <w:sz w:val="24"/>
          <w:szCs w:val="24"/>
        </w:rPr>
        <w:t xml:space="preserve"> </w:t>
      </w:r>
      <w:r w:rsidR="005D751B" w:rsidRPr="00B065CC">
        <w:rPr>
          <w:sz w:val="24"/>
          <w:szCs w:val="24"/>
        </w:rPr>
        <w:t xml:space="preserve">it is </w:t>
      </w:r>
      <w:r w:rsidR="00741E6D" w:rsidRPr="00B065CC">
        <w:rPr>
          <w:sz w:val="24"/>
          <w:szCs w:val="24"/>
        </w:rPr>
        <w:t xml:space="preserve">an inappropriate, and unnecessary, provision </w:t>
      </w:r>
      <w:r w:rsidR="00EF5385" w:rsidRPr="00B065CC">
        <w:rPr>
          <w:sz w:val="24"/>
          <w:szCs w:val="24"/>
        </w:rPr>
        <w:t>(Joint Petition, Averment 9G, at 9-10</w:t>
      </w:r>
      <w:r w:rsidR="005D751B" w:rsidRPr="00B065CC">
        <w:rPr>
          <w:sz w:val="24"/>
          <w:szCs w:val="24"/>
        </w:rPr>
        <w:t>)</w:t>
      </w:r>
      <w:r w:rsidR="00EF5385" w:rsidRPr="00B065CC">
        <w:rPr>
          <w:sz w:val="24"/>
          <w:szCs w:val="24"/>
        </w:rPr>
        <w:t>.</w:t>
      </w:r>
      <w:r w:rsidR="00741E6D" w:rsidRPr="00B065CC">
        <w:rPr>
          <w:sz w:val="24"/>
          <w:szCs w:val="24"/>
        </w:rPr>
        <w:t xml:space="preserve">  </w:t>
      </w:r>
      <w:r w:rsidRPr="00B065CC">
        <w:rPr>
          <w:sz w:val="24"/>
          <w:szCs w:val="24"/>
        </w:rPr>
        <w:t>OTS maintain</w:t>
      </w:r>
      <w:r w:rsidR="002C71F6" w:rsidRPr="00B065CC">
        <w:rPr>
          <w:sz w:val="24"/>
          <w:szCs w:val="24"/>
        </w:rPr>
        <w:t>ed</w:t>
      </w:r>
      <w:r w:rsidRPr="00B065CC">
        <w:rPr>
          <w:sz w:val="24"/>
          <w:szCs w:val="24"/>
        </w:rPr>
        <w:t xml:space="preserve"> that the stipulation among the parties is otherwise sound and should not be disturbed based on the outcome of litigated issues (OTS R. B</w:t>
      </w:r>
      <w:r w:rsidR="009F0D81" w:rsidRPr="00B065CC">
        <w:rPr>
          <w:sz w:val="24"/>
          <w:szCs w:val="24"/>
        </w:rPr>
        <w:t>.</w:t>
      </w:r>
      <w:r w:rsidRPr="00B065CC">
        <w:rPr>
          <w:sz w:val="24"/>
          <w:szCs w:val="24"/>
        </w:rPr>
        <w:t xml:space="preserve"> at </w:t>
      </w:r>
      <w:r w:rsidR="00CC0BF4" w:rsidRPr="00B065CC">
        <w:rPr>
          <w:sz w:val="24"/>
          <w:szCs w:val="24"/>
        </w:rPr>
        <w:t>11, 12</w:t>
      </w:r>
      <w:r w:rsidRPr="00B065CC">
        <w:rPr>
          <w:sz w:val="24"/>
          <w:szCs w:val="24"/>
        </w:rPr>
        <w:t>).</w:t>
      </w:r>
    </w:p>
    <w:p w:rsidR="005D751B" w:rsidRPr="00B065CC" w:rsidRDefault="005D751B" w:rsidP="008971C3">
      <w:pPr>
        <w:spacing w:line="360" w:lineRule="auto"/>
        <w:rPr>
          <w:sz w:val="24"/>
          <w:szCs w:val="24"/>
        </w:rPr>
      </w:pPr>
    </w:p>
    <w:p w:rsidR="00140E1B" w:rsidRPr="00B065CC" w:rsidRDefault="00140E1B" w:rsidP="008971C3">
      <w:pPr>
        <w:pStyle w:val="OutlineL6"/>
        <w:numPr>
          <w:ilvl w:val="0"/>
          <w:numId w:val="0"/>
        </w:numPr>
        <w:spacing w:after="0" w:line="360" w:lineRule="auto"/>
        <w:outlineLvl w:val="9"/>
      </w:pPr>
      <w:r w:rsidRPr="00B065CC">
        <w:tab/>
      </w:r>
      <w:r w:rsidRPr="00B065CC">
        <w:tab/>
        <w:t>Consequently, OTS oppose</w:t>
      </w:r>
      <w:r w:rsidR="002C71F6" w:rsidRPr="00B065CC">
        <w:t>d</w:t>
      </w:r>
      <w:r w:rsidRPr="00B065CC">
        <w:t xml:space="preserve"> the Joint Petition in its present form and maintain</w:t>
      </w:r>
      <w:r w:rsidR="002C71F6" w:rsidRPr="00B065CC">
        <w:t>ed</w:t>
      </w:r>
      <w:r w:rsidRPr="00B065CC">
        <w:t xml:space="preserve"> that the provisions are not supported by substantial evidence in the record allowing for a recommendation that it be approved.  Any agreement that attempts to limit the rights of parties cannot be considered in the public interest.</w:t>
      </w:r>
    </w:p>
    <w:p w:rsidR="00CC0BF4" w:rsidRPr="00B065CC" w:rsidRDefault="00CC0BF4" w:rsidP="009104F7">
      <w:pPr>
        <w:pStyle w:val="BodyText2"/>
        <w:spacing w:line="360" w:lineRule="auto"/>
        <w:rPr>
          <w:sz w:val="24"/>
          <w:szCs w:val="24"/>
        </w:rPr>
      </w:pPr>
    </w:p>
    <w:p w:rsidR="00CC0BF4" w:rsidRPr="00B065CC" w:rsidRDefault="002C71F6" w:rsidP="00E00722">
      <w:pPr>
        <w:pStyle w:val="BodyText2"/>
        <w:outlineLvl w:val="0"/>
        <w:rPr>
          <w:sz w:val="24"/>
          <w:szCs w:val="24"/>
          <w:u w:val="single"/>
        </w:rPr>
      </w:pPr>
      <w:r w:rsidRPr="00B065CC">
        <w:rPr>
          <w:sz w:val="24"/>
          <w:szCs w:val="24"/>
        </w:rPr>
        <w:tab/>
      </w:r>
      <w:bookmarkStart w:id="65" w:name="_Toc259699926"/>
      <w:bookmarkStart w:id="66" w:name="_Toc259706187"/>
      <w:r w:rsidR="00B82E87" w:rsidRPr="00B065CC">
        <w:rPr>
          <w:sz w:val="24"/>
          <w:szCs w:val="24"/>
        </w:rPr>
        <w:t>3.</w:t>
      </w:r>
      <w:r w:rsidRPr="00B065CC">
        <w:rPr>
          <w:sz w:val="24"/>
          <w:szCs w:val="24"/>
        </w:rPr>
        <w:tab/>
      </w:r>
      <w:r w:rsidR="00CC0BF4" w:rsidRPr="00B065CC">
        <w:rPr>
          <w:sz w:val="24"/>
          <w:szCs w:val="24"/>
          <w:u w:val="single"/>
        </w:rPr>
        <w:t>Disposition</w:t>
      </w:r>
      <w:bookmarkEnd w:id="65"/>
      <w:bookmarkEnd w:id="66"/>
    </w:p>
    <w:p w:rsidR="00CC0BF4" w:rsidRPr="00B065CC" w:rsidRDefault="00CC0BF4" w:rsidP="009104F7">
      <w:pPr>
        <w:pStyle w:val="BodyText2"/>
        <w:spacing w:line="360" w:lineRule="auto"/>
        <w:rPr>
          <w:sz w:val="24"/>
          <w:szCs w:val="24"/>
        </w:rPr>
      </w:pPr>
    </w:p>
    <w:p w:rsidR="006D11E5" w:rsidRDefault="00CC0BF4" w:rsidP="005D2CB6">
      <w:pPr>
        <w:pStyle w:val="BodyText2"/>
        <w:spacing w:line="360" w:lineRule="auto"/>
        <w:rPr>
          <w:sz w:val="24"/>
          <w:szCs w:val="24"/>
        </w:rPr>
      </w:pPr>
      <w:r w:rsidRPr="00B065CC">
        <w:rPr>
          <w:sz w:val="24"/>
          <w:szCs w:val="24"/>
        </w:rPr>
        <w:tab/>
      </w:r>
      <w:r w:rsidRPr="00B065CC">
        <w:rPr>
          <w:sz w:val="24"/>
          <w:szCs w:val="24"/>
        </w:rPr>
        <w:tab/>
      </w:r>
      <w:r w:rsidR="002E1667" w:rsidRPr="00B065CC">
        <w:rPr>
          <w:sz w:val="24"/>
          <w:szCs w:val="24"/>
        </w:rPr>
        <w:t>Seven of t</w:t>
      </w:r>
      <w:r w:rsidRPr="00B065CC">
        <w:rPr>
          <w:sz w:val="24"/>
          <w:szCs w:val="24"/>
        </w:rPr>
        <w:t>he</w:t>
      </w:r>
      <w:r w:rsidR="002E1667" w:rsidRPr="00B065CC">
        <w:rPr>
          <w:sz w:val="24"/>
          <w:szCs w:val="24"/>
        </w:rPr>
        <w:t xml:space="preserve"> nine parties in this case signed the Joint Petition.  One other party, PAIEUG</w:t>
      </w:r>
      <w:r w:rsidR="002C71F6" w:rsidRPr="00B065CC">
        <w:rPr>
          <w:sz w:val="24"/>
          <w:szCs w:val="24"/>
        </w:rPr>
        <w:t>,</w:t>
      </w:r>
      <w:r w:rsidR="002E1667" w:rsidRPr="00B065CC">
        <w:rPr>
          <w:sz w:val="24"/>
          <w:szCs w:val="24"/>
        </w:rPr>
        <w:t xml:space="preserve"> did not oppose the Joint Petition.  The signatories have provided compelling reasons for approving PECO’s revised POR as modified by the Joint Petition. </w:t>
      </w:r>
      <w:r w:rsidR="006D11E5" w:rsidRPr="00B065CC">
        <w:rPr>
          <w:sz w:val="24"/>
          <w:szCs w:val="24"/>
        </w:rPr>
        <w:t xml:space="preserve"> </w:t>
      </w:r>
      <w:r w:rsidR="002E1667" w:rsidRPr="00B065CC">
        <w:rPr>
          <w:sz w:val="24"/>
          <w:szCs w:val="24"/>
        </w:rPr>
        <w:t xml:space="preserve">OTS </w:t>
      </w:r>
      <w:r w:rsidR="006D11E5" w:rsidRPr="00B065CC">
        <w:rPr>
          <w:sz w:val="24"/>
          <w:szCs w:val="24"/>
        </w:rPr>
        <w:t xml:space="preserve">has cited two reasons for rejecting the </w:t>
      </w:r>
      <w:r w:rsidR="003A3A67">
        <w:rPr>
          <w:sz w:val="24"/>
          <w:szCs w:val="24"/>
        </w:rPr>
        <w:t>S</w:t>
      </w:r>
      <w:r w:rsidR="006D11E5" w:rsidRPr="00B065CC">
        <w:rPr>
          <w:sz w:val="24"/>
          <w:szCs w:val="24"/>
        </w:rPr>
        <w:t>ettlement.</w:t>
      </w:r>
    </w:p>
    <w:p w:rsidR="00DC4565" w:rsidRPr="00B065CC" w:rsidRDefault="00DC4565" w:rsidP="005D2CB6">
      <w:pPr>
        <w:pStyle w:val="BodyText2"/>
        <w:spacing w:line="360" w:lineRule="auto"/>
        <w:rPr>
          <w:sz w:val="24"/>
          <w:szCs w:val="24"/>
        </w:rPr>
      </w:pPr>
    </w:p>
    <w:p w:rsidR="00A35F22" w:rsidRDefault="006D11E5" w:rsidP="00A35F22">
      <w:pPr>
        <w:pStyle w:val="BodyText2"/>
        <w:spacing w:line="360" w:lineRule="auto"/>
        <w:ind w:right="-90"/>
        <w:rPr>
          <w:sz w:val="24"/>
          <w:szCs w:val="24"/>
        </w:rPr>
      </w:pPr>
      <w:r w:rsidRPr="00B065CC">
        <w:rPr>
          <w:sz w:val="24"/>
          <w:szCs w:val="24"/>
        </w:rPr>
        <w:tab/>
      </w:r>
      <w:r w:rsidRPr="00B065CC">
        <w:rPr>
          <w:sz w:val="24"/>
          <w:szCs w:val="24"/>
        </w:rPr>
        <w:tab/>
        <w:t xml:space="preserve">OTS’ </w:t>
      </w:r>
      <w:r w:rsidR="003A3A67">
        <w:rPr>
          <w:sz w:val="24"/>
          <w:szCs w:val="24"/>
        </w:rPr>
        <w:t>first reason for rejecting the S</w:t>
      </w:r>
      <w:r w:rsidRPr="00B065CC">
        <w:rPr>
          <w:sz w:val="24"/>
          <w:szCs w:val="24"/>
        </w:rPr>
        <w:t>ettlement</w:t>
      </w:r>
      <w:r w:rsidR="00D72850" w:rsidRPr="00B065CC">
        <w:rPr>
          <w:sz w:val="24"/>
          <w:szCs w:val="24"/>
        </w:rPr>
        <w:t xml:space="preserve"> is that </w:t>
      </w:r>
      <w:r w:rsidR="00764568" w:rsidRPr="00B065CC">
        <w:rPr>
          <w:sz w:val="24"/>
          <w:szCs w:val="24"/>
        </w:rPr>
        <w:t>the parties agreed not to raise or revisit any of the terms and conditions of PECO’s Revised Electric POR Program (as modified by this Settlement) until PECO’s next default service proceeding</w:t>
      </w:r>
      <w:r w:rsidR="00D72850" w:rsidRPr="00B065CC">
        <w:rPr>
          <w:sz w:val="24"/>
          <w:szCs w:val="24"/>
        </w:rPr>
        <w:t>.  Even if this was meant to limit the issues a party raises, that</w:t>
      </w:r>
      <w:r w:rsidR="00764568" w:rsidRPr="00B065CC">
        <w:rPr>
          <w:sz w:val="24"/>
          <w:szCs w:val="24"/>
        </w:rPr>
        <w:t xml:space="preserve"> does not mean that a non-signatory party cannot raise the issue</w:t>
      </w:r>
      <w:r w:rsidR="00656FA6" w:rsidRPr="00B065CC">
        <w:rPr>
          <w:sz w:val="24"/>
          <w:szCs w:val="24"/>
        </w:rPr>
        <w:t xml:space="preserve"> in </w:t>
      </w:r>
    </w:p>
    <w:p w:rsidR="00A35F22" w:rsidRDefault="00A35F22">
      <w:pPr>
        <w:rPr>
          <w:sz w:val="24"/>
          <w:szCs w:val="24"/>
        </w:rPr>
      </w:pPr>
      <w:r>
        <w:rPr>
          <w:sz w:val="24"/>
          <w:szCs w:val="24"/>
        </w:rPr>
        <w:br w:type="page"/>
      </w:r>
    </w:p>
    <w:p w:rsidR="00CC0BF4" w:rsidRDefault="00656FA6" w:rsidP="00A35F22">
      <w:pPr>
        <w:pStyle w:val="BodyText2"/>
        <w:spacing w:line="360" w:lineRule="auto"/>
        <w:ind w:right="-90"/>
        <w:rPr>
          <w:sz w:val="24"/>
          <w:szCs w:val="24"/>
        </w:rPr>
      </w:pPr>
      <w:r w:rsidRPr="00B065CC">
        <w:rPr>
          <w:sz w:val="24"/>
          <w:szCs w:val="24"/>
        </w:rPr>
        <w:lastRenderedPageBreak/>
        <w:t xml:space="preserve">another proceeding.  Since there were some issues that the signatory parties mentioned that they want to revisit, it was reasonable to </w:t>
      </w:r>
      <w:r w:rsidR="009D0204" w:rsidRPr="00B065CC">
        <w:rPr>
          <w:sz w:val="24"/>
          <w:szCs w:val="24"/>
        </w:rPr>
        <w:t xml:space="preserve">include a term that is similar to a “stay out provision” in rate cases.  </w:t>
      </w:r>
    </w:p>
    <w:p w:rsidR="00A35F22" w:rsidRPr="00B065CC" w:rsidRDefault="00A35F22" w:rsidP="00A35F22">
      <w:pPr>
        <w:pStyle w:val="BodyText2"/>
        <w:spacing w:line="360" w:lineRule="auto"/>
        <w:ind w:right="-90"/>
        <w:rPr>
          <w:sz w:val="24"/>
          <w:szCs w:val="24"/>
        </w:rPr>
      </w:pPr>
    </w:p>
    <w:p w:rsidR="009D0204" w:rsidRPr="00B065CC" w:rsidRDefault="009D0204" w:rsidP="005D2CB6">
      <w:pPr>
        <w:pStyle w:val="BodyText2"/>
        <w:spacing w:line="360" w:lineRule="auto"/>
        <w:rPr>
          <w:sz w:val="24"/>
          <w:szCs w:val="24"/>
        </w:rPr>
      </w:pPr>
      <w:r w:rsidRPr="00B065CC">
        <w:rPr>
          <w:sz w:val="24"/>
          <w:szCs w:val="24"/>
        </w:rPr>
        <w:tab/>
      </w:r>
      <w:r w:rsidRPr="00B065CC">
        <w:rPr>
          <w:sz w:val="24"/>
          <w:szCs w:val="24"/>
        </w:rPr>
        <w:tab/>
        <w:t>OTS pointed out that the language concerning re</w:t>
      </w:r>
      <w:r w:rsidR="003A3A67">
        <w:rPr>
          <w:sz w:val="24"/>
          <w:szCs w:val="24"/>
        </w:rPr>
        <w:t>asons for withdrawing from the S</w:t>
      </w:r>
      <w:r w:rsidRPr="00B065CC">
        <w:rPr>
          <w:sz w:val="24"/>
          <w:szCs w:val="24"/>
        </w:rPr>
        <w:t>ettlement included modification of a provision in PECO’s Petit</w:t>
      </w:r>
      <w:r w:rsidR="003A3A67">
        <w:rPr>
          <w:sz w:val="24"/>
          <w:szCs w:val="24"/>
        </w:rPr>
        <w:t>ion that was not a part of the S</w:t>
      </w:r>
      <w:r w:rsidRPr="00B065CC">
        <w:rPr>
          <w:sz w:val="24"/>
          <w:szCs w:val="24"/>
        </w:rPr>
        <w:t xml:space="preserve">ettlement.  It is true that it is inconsistent to brief the issue for </w:t>
      </w:r>
      <w:r w:rsidR="008B1E5C" w:rsidRPr="00B065CC">
        <w:rPr>
          <w:sz w:val="24"/>
          <w:szCs w:val="24"/>
        </w:rPr>
        <w:t xml:space="preserve">the undersigned and the Commission to decide and </w:t>
      </w:r>
      <w:r w:rsidR="00A049F5" w:rsidRPr="00B065CC">
        <w:rPr>
          <w:sz w:val="24"/>
          <w:szCs w:val="24"/>
        </w:rPr>
        <w:t xml:space="preserve">then </w:t>
      </w:r>
      <w:r w:rsidR="008B1E5C" w:rsidRPr="00B065CC">
        <w:rPr>
          <w:sz w:val="24"/>
          <w:szCs w:val="24"/>
        </w:rPr>
        <w:t xml:space="preserve">state that if PECO is required to unbundle its generation-related uncollectible accounts expense, any party can withdraw.  However, since the undersigned is not recommending that PECO unbundle its generation-related uncollectible accounts expense, the issue is moot.  </w:t>
      </w:r>
      <w:r w:rsidR="00571FDB" w:rsidRPr="00B065CC">
        <w:rPr>
          <w:sz w:val="24"/>
          <w:szCs w:val="24"/>
        </w:rPr>
        <w:t>(See discussion below.)</w:t>
      </w:r>
    </w:p>
    <w:p w:rsidR="00571FDB" w:rsidRPr="00B065CC" w:rsidRDefault="00571FDB" w:rsidP="009104F7">
      <w:pPr>
        <w:pStyle w:val="BodyText2"/>
        <w:spacing w:line="360" w:lineRule="auto"/>
        <w:rPr>
          <w:sz w:val="24"/>
          <w:szCs w:val="24"/>
        </w:rPr>
      </w:pPr>
    </w:p>
    <w:p w:rsidR="00571FDB" w:rsidRPr="00B065CC" w:rsidRDefault="00571FDB" w:rsidP="005D2CB6">
      <w:pPr>
        <w:pStyle w:val="BodyText2"/>
        <w:spacing w:line="360" w:lineRule="auto"/>
        <w:rPr>
          <w:sz w:val="24"/>
          <w:szCs w:val="24"/>
        </w:rPr>
      </w:pPr>
      <w:r w:rsidRPr="00B065CC">
        <w:rPr>
          <w:sz w:val="24"/>
          <w:szCs w:val="24"/>
        </w:rPr>
        <w:tab/>
      </w:r>
      <w:r w:rsidRPr="00B065CC">
        <w:rPr>
          <w:sz w:val="24"/>
          <w:szCs w:val="24"/>
        </w:rPr>
        <w:tab/>
        <w:t xml:space="preserve">In light of the above, the undersigned finds that the Settlement allows the parties to conserve resources, incur less expense, and avoid the uncertainties associated with a fully litigated case. </w:t>
      </w:r>
    </w:p>
    <w:p w:rsidR="00A049F5" w:rsidRPr="00B065CC" w:rsidRDefault="00A049F5" w:rsidP="005D2CB6">
      <w:pPr>
        <w:pStyle w:val="BodyText2"/>
        <w:spacing w:line="360" w:lineRule="auto"/>
        <w:rPr>
          <w:sz w:val="24"/>
          <w:szCs w:val="24"/>
        </w:rPr>
      </w:pPr>
    </w:p>
    <w:p w:rsidR="00571FDB" w:rsidRPr="00B065CC" w:rsidRDefault="00571FDB" w:rsidP="005D2CB6">
      <w:pPr>
        <w:pStyle w:val="BodyText2"/>
        <w:spacing w:line="360" w:lineRule="auto"/>
        <w:rPr>
          <w:sz w:val="24"/>
          <w:szCs w:val="24"/>
        </w:rPr>
      </w:pPr>
      <w:r w:rsidRPr="00B065CC">
        <w:rPr>
          <w:b/>
          <w:sz w:val="24"/>
          <w:szCs w:val="24"/>
        </w:rPr>
        <w:tab/>
      </w:r>
      <w:r w:rsidRPr="00B065CC">
        <w:rPr>
          <w:b/>
          <w:sz w:val="24"/>
          <w:szCs w:val="24"/>
        </w:rPr>
        <w:tab/>
      </w:r>
      <w:r w:rsidRPr="00B065CC">
        <w:rPr>
          <w:sz w:val="24"/>
          <w:szCs w:val="24"/>
        </w:rPr>
        <w:t xml:space="preserve">After considering the Joint Petition for </w:t>
      </w:r>
      <w:r w:rsidR="00282A91" w:rsidRPr="00B065CC">
        <w:rPr>
          <w:sz w:val="24"/>
          <w:szCs w:val="24"/>
        </w:rPr>
        <w:t xml:space="preserve">Partial </w:t>
      </w:r>
      <w:r w:rsidRPr="00B065CC">
        <w:rPr>
          <w:sz w:val="24"/>
          <w:szCs w:val="24"/>
        </w:rPr>
        <w:t xml:space="preserve">Settlement, including the </w:t>
      </w:r>
      <w:r w:rsidR="00282A91" w:rsidRPr="00B065CC">
        <w:rPr>
          <w:sz w:val="24"/>
          <w:szCs w:val="24"/>
        </w:rPr>
        <w:t>customer service protections, the customer educa</w:t>
      </w:r>
      <w:r w:rsidRPr="00B065CC">
        <w:rPr>
          <w:sz w:val="24"/>
          <w:szCs w:val="24"/>
        </w:rPr>
        <w:t xml:space="preserve">tion </w:t>
      </w:r>
      <w:r w:rsidR="00282A91" w:rsidRPr="00B065CC">
        <w:rPr>
          <w:sz w:val="24"/>
          <w:szCs w:val="24"/>
        </w:rPr>
        <w:t xml:space="preserve">and notice provisions, the billing dispute procedures, </w:t>
      </w:r>
      <w:r w:rsidRPr="00B065CC">
        <w:rPr>
          <w:sz w:val="24"/>
          <w:szCs w:val="24"/>
        </w:rPr>
        <w:t xml:space="preserve">the Company’s </w:t>
      </w:r>
      <w:r w:rsidR="00282A91" w:rsidRPr="00B065CC">
        <w:rPr>
          <w:sz w:val="24"/>
          <w:szCs w:val="24"/>
        </w:rPr>
        <w:t>status reports to the other parties</w:t>
      </w:r>
      <w:r w:rsidRPr="00B065CC">
        <w:rPr>
          <w:sz w:val="24"/>
          <w:szCs w:val="24"/>
        </w:rPr>
        <w:t xml:space="preserve">, the </w:t>
      </w:r>
      <w:r w:rsidR="00282A91" w:rsidRPr="00B065CC">
        <w:rPr>
          <w:sz w:val="24"/>
          <w:szCs w:val="24"/>
        </w:rPr>
        <w:t>notifications to the EGSs</w:t>
      </w:r>
      <w:r w:rsidRPr="00B065CC">
        <w:rPr>
          <w:sz w:val="24"/>
          <w:szCs w:val="24"/>
        </w:rPr>
        <w:t xml:space="preserve">, and the savings achieved by not litigating the case fully, it is my opinion that the Settlement is fair, just, reasonable and in the public interest.  Accordingly, I recommend that the Joint Petition for </w:t>
      </w:r>
      <w:r w:rsidR="00282A91" w:rsidRPr="00B065CC">
        <w:rPr>
          <w:sz w:val="24"/>
          <w:szCs w:val="24"/>
        </w:rPr>
        <w:t xml:space="preserve">Partial </w:t>
      </w:r>
      <w:r w:rsidRPr="00B065CC">
        <w:rPr>
          <w:sz w:val="24"/>
          <w:szCs w:val="24"/>
        </w:rPr>
        <w:t>Settlement be approved.</w:t>
      </w:r>
    </w:p>
    <w:p w:rsidR="00DC4565" w:rsidRDefault="00DC4565" w:rsidP="00DC4565">
      <w:pPr>
        <w:pStyle w:val="BodyText2"/>
        <w:spacing w:line="360" w:lineRule="auto"/>
        <w:rPr>
          <w:sz w:val="24"/>
          <w:szCs w:val="24"/>
        </w:rPr>
      </w:pPr>
      <w:bookmarkStart w:id="67" w:name="_Toc259706188"/>
    </w:p>
    <w:p w:rsidR="00571FDB" w:rsidRPr="00B065CC" w:rsidRDefault="00B82E87" w:rsidP="00446B89">
      <w:pPr>
        <w:pStyle w:val="BodyText2"/>
        <w:spacing w:line="360" w:lineRule="auto"/>
        <w:rPr>
          <w:sz w:val="24"/>
          <w:szCs w:val="24"/>
          <w:u w:val="single"/>
        </w:rPr>
      </w:pPr>
      <w:r w:rsidRPr="00B065CC">
        <w:rPr>
          <w:sz w:val="24"/>
          <w:szCs w:val="24"/>
        </w:rPr>
        <w:t>D.</w:t>
      </w:r>
      <w:r w:rsidR="00531643" w:rsidRPr="00B065CC">
        <w:rPr>
          <w:sz w:val="24"/>
          <w:szCs w:val="24"/>
        </w:rPr>
        <w:tab/>
      </w:r>
      <w:r w:rsidRPr="00B065CC">
        <w:rPr>
          <w:sz w:val="24"/>
          <w:szCs w:val="24"/>
          <w:u w:val="single"/>
        </w:rPr>
        <w:t xml:space="preserve">PECO’s </w:t>
      </w:r>
      <w:r w:rsidR="00983C0B" w:rsidRPr="00B065CC">
        <w:rPr>
          <w:sz w:val="24"/>
          <w:szCs w:val="24"/>
          <w:u w:val="single"/>
        </w:rPr>
        <w:t xml:space="preserve">Proposal </w:t>
      </w:r>
      <w:r w:rsidRPr="00B065CC">
        <w:rPr>
          <w:sz w:val="24"/>
          <w:szCs w:val="24"/>
          <w:u w:val="single"/>
        </w:rPr>
        <w:t>To Terminate Service Based On EGS Charges Incurred Prior To January 1, 2011</w:t>
      </w:r>
      <w:bookmarkEnd w:id="67"/>
    </w:p>
    <w:p w:rsidR="00DF4735" w:rsidRPr="00B065CC" w:rsidRDefault="00DF4735" w:rsidP="00105204">
      <w:pPr>
        <w:pStyle w:val="BodyText2"/>
        <w:spacing w:line="360" w:lineRule="auto"/>
        <w:rPr>
          <w:sz w:val="24"/>
          <w:szCs w:val="24"/>
          <w:u w:val="single"/>
        </w:rPr>
      </w:pPr>
    </w:p>
    <w:p w:rsidR="00983C0B" w:rsidRDefault="00983C0B" w:rsidP="000A3537">
      <w:pPr>
        <w:pStyle w:val="BodyText2"/>
        <w:spacing w:line="360" w:lineRule="auto"/>
        <w:outlineLvl w:val="0"/>
        <w:rPr>
          <w:sz w:val="24"/>
          <w:szCs w:val="24"/>
        </w:rPr>
      </w:pPr>
      <w:r w:rsidRPr="00B065CC">
        <w:rPr>
          <w:sz w:val="24"/>
          <w:szCs w:val="24"/>
        </w:rPr>
        <w:tab/>
      </w:r>
      <w:bookmarkStart w:id="68" w:name="_Toc259699928"/>
      <w:bookmarkStart w:id="69" w:name="_Toc259706189"/>
      <w:r w:rsidRPr="00B065CC">
        <w:rPr>
          <w:sz w:val="24"/>
          <w:szCs w:val="24"/>
        </w:rPr>
        <w:t>1.</w:t>
      </w:r>
      <w:r w:rsidRPr="00B065CC">
        <w:rPr>
          <w:sz w:val="24"/>
          <w:szCs w:val="24"/>
        </w:rPr>
        <w:tab/>
      </w:r>
      <w:r w:rsidRPr="00B065CC">
        <w:rPr>
          <w:sz w:val="24"/>
          <w:szCs w:val="24"/>
          <w:u w:val="single"/>
        </w:rPr>
        <w:t xml:space="preserve">PECO’s Position </w:t>
      </w:r>
      <w:r w:rsidR="00A36B82" w:rsidRPr="00B065CC">
        <w:rPr>
          <w:sz w:val="24"/>
          <w:szCs w:val="24"/>
          <w:u w:val="single"/>
        </w:rPr>
        <w:t xml:space="preserve">and RESA’s </w:t>
      </w:r>
      <w:r w:rsidRPr="00B065CC">
        <w:rPr>
          <w:sz w:val="24"/>
          <w:szCs w:val="24"/>
          <w:u w:val="single"/>
        </w:rPr>
        <w:t>Support</w:t>
      </w:r>
      <w:r w:rsidR="00A36B82" w:rsidRPr="00B065CC">
        <w:rPr>
          <w:sz w:val="24"/>
          <w:szCs w:val="24"/>
          <w:u w:val="single"/>
        </w:rPr>
        <w:t xml:space="preserve"> for PECO’s Position</w:t>
      </w:r>
      <w:bookmarkEnd w:id="68"/>
      <w:bookmarkEnd w:id="69"/>
      <w:r w:rsidRPr="00B065CC">
        <w:rPr>
          <w:sz w:val="24"/>
          <w:szCs w:val="24"/>
        </w:rPr>
        <w:t xml:space="preserve">  </w:t>
      </w:r>
    </w:p>
    <w:p w:rsidR="00446B89" w:rsidRPr="00B065CC" w:rsidRDefault="00446B89" w:rsidP="000A3537">
      <w:pPr>
        <w:pStyle w:val="BodyText2"/>
        <w:spacing w:line="360" w:lineRule="auto"/>
        <w:outlineLvl w:val="0"/>
        <w:rPr>
          <w:sz w:val="24"/>
          <w:szCs w:val="24"/>
        </w:rPr>
      </w:pPr>
    </w:p>
    <w:p w:rsidR="00A35F22" w:rsidRDefault="00DF4735" w:rsidP="00DF4735">
      <w:pPr>
        <w:pStyle w:val="BodyText2"/>
        <w:spacing w:line="360" w:lineRule="auto"/>
        <w:rPr>
          <w:i/>
          <w:sz w:val="24"/>
          <w:szCs w:val="24"/>
        </w:rPr>
      </w:pPr>
      <w:r w:rsidRPr="00B065CC">
        <w:rPr>
          <w:sz w:val="24"/>
          <w:szCs w:val="24"/>
        </w:rPr>
        <w:tab/>
      </w:r>
      <w:r w:rsidRPr="00B065CC">
        <w:rPr>
          <w:sz w:val="24"/>
          <w:szCs w:val="24"/>
        </w:rPr>
        <w:tab/>
      </w:r>
      <w:r w:rsidR="00D82626" w:rsidRPr="00B065CC">
        <w:rPr>
          <w:sz w:val="24"/>
          <w:szCs w:val="24"/>
        </w:rPr>
        <w:t>PECO</w:t>
      </w:r>
      <w:r w:rsidRPr="00B065CC">
        <w:rPr>
          <w:sz w:val="24"/>
          <w:szCs w:val="24"/>
        </w:rPr>
        <w:t xml:space="preserve"> explained that its </w:t>
      </w:r>
      <w:r w:rsidR="00D82626" w:rsidRPr="00B065CC">
        <w:rPr>
          <w:sz w:val="24"/>
          <w:szCs w:val="24"/>
        </w:rPr>
        <w:t xml:space="preserve">ability to terminate service based on </w:t>
      </w:r>
      <w:r w:rsidR="009F0D81" w:rsidRPr="00B065CC">
        <w:rPr>
          <w:sz w:val="24"/>
          <w:szCs w:val="24"/>
        </w:rPr>
        <w:t xml:space="preserve">unpaid </w:t>
      </w:r>
      <w:r w:rsidR="00D82626" w:rsidRPr="00B065CC">
        <w:rPr>
          <w:sz w:val="24"/>
          <w:szCs w:val="24"/>
        </w:rPr>
        <w:t xml:space="preserve">EGS charges was addressed in both PECO’s </w:t>
      </w:r>
      <w:r w:rsidR="00D82626" w:rsidRPr="00B065CC">
        <w:rPr>
          <w:i/>
          <w:sz w:val="24"/>
          <w:szCs w:val="24"/>
        </w:rPr>
        <w:t>Restructuring Settlemen</w:t>
      </w:r>
      <w:r w:rsidR="00294B0D" w:rsidRPr="00B065CC">
        <w:rPr>
          <w:i/>
          <w:sz w:val="24"/>
          <w:szCs w:val="24"/>
        </w:rPr>
        <w:t>t</w:t>
      </w:r>
      <w:r w:rsidR="00D82626" w:rsidRPr="00B065CC">
        <w:rPr>
          <w:sz w:val="24"/>
          <w:szCs w:val="24"/>
        </w:rPr>
        <w:t xml:space="preserve"> and the </w:t>
      </w:r>
      <w:r w:rsidR="00D82626" w:rsidRPr="00B065CC">
        <w:rPr>
          <w:i/>
          <w:sz w:val="24"/>
          <w:szCs w:val="24"/>
        </w:rPr>
        <w:t>Default Service Settlement</w:t>
      </w:r>
    </w:p>
    <w:p w:rsidR="00A35F22" w:rsidRDefault="00A35F22">
      <w:pPr>
        <w:rPr>
          <w:i/>
          <w:sz w:val="24"/>
          <w:szCs w:val="24"/>
        </w:rPr>
      </w:pPr>
      <w:r>
        <w:rPr>
          <w:i/>
          <w:sz w:val="24"/>
          <w:szCs w:val="24"/>
        </w:rPr>
        <w:br w:type="page"/>
      </w:r>
    </w:p>
    <w:p w:rsidR="00D82626" w:rsidRDefault="003557A5" w:rsidP="00DF4735">
      <w:pPr>
        <w:pStyle w:val="BodyText2"/>
        <w:spacing w:line="360" w:lineRule="auto"/>
        <w:rPr>
          <w:sz w:val="24"/>
          <w:szCs w:val="24"/>
        </w:rPr>
      </w:pPr>
      <w:r w:rsidRPr="00B065CC">
        <w:rPr>
          <w:i/>
          <w:sz w:val="24"/>
          <w:szCs w:val="24"/>
        </w:rPr>
        <w:lastRenderedPageBreak/>
        <w:t xml:space="preserve"> </w:t>
      </w:r>
      <w:r w:rsidRPr="00B065CC">
        <w:rPr>
          <w:sz w:val="24"/>
          <w:szCs w:val="24"/>
        </w:rPr>
        <w:t>(PECO Main Brief (“M.B.”) at 3)</w:t>
      </w:r>
      <w:r w:rsidR="00D82626" w:rsidRPr="00B065CC">
        <w:rPr>
          <w:sz w:val="24"/>
          <w:szCs w:val="24"/>
        </w:rPr>
        <w:t xml:space="preserve">.  </w:t>
      </w:r>
      <w:r w:rsidR="00531643" w:rsidRPr="00B065CC">
        <w:rPr>
          <w:sz w:val="24"/>
          <w:szCs w:val="24"/>
        </w:rPr>
        <w:t>The parties agreed that u</w:t>
      </w:r>
      <w:r w:rsidR="00D82626" w:rsidRPr="00B065CC">
        <w:rPr>
          <w:sz w:val="24"/>
          <w:szCs w:val="24"/>
        </w:rPr>
        <w:t xml:space="preserve">nder the </w:t>
      </w:r>
      <w:r w:rsidR="00D82626" w:rsidRPr="00B065CC">
        <w:rPr>
          <w:i/>
          <w:sz w:val="24"/>
          <w:szCs w:val="24"/>
        </w:rPr>
        <w:t>Restructuring Settlement</w:t>
      </w:r>
      <w:r w:rsidR="00D82626" w:rsidRPr="00B065CC">
        <w:rPr>
          <w:sz w:val="24"/>
          <w:szCs w:val="24"/>
        </w:rPr>
        <w:t xml:space="preserve">, PECO is precluded from terminating electric service to a customer who is delinquent on payment of EGS charges until after December 31, 2010.  </w:t>
      </w:r>
      <w:r w:rsidR="006601A3" w:rsidRPr="00B065CC">
        <w:rPr>
          <w:sz w:val="24"/>
          <w:szCs w:val="24"/>
        </w:rPr>
        <w:t xml:space="preserve">Paragraph ¶22 of the </w:t>
      </w:r>
      <w:r w:rsidR="00D82626" w:rsidRPr="00B065CC">
        <w:rPr>
          <w:i/>
          <w:sz w:val="24"/>
          <w:szCs w:val="24"/>
        </w:rPr>
        <w:t>Restructuring Settlement</w:t>
      </w:r>
      <w:r w:rsidR="00D82626" w:rsidRPr="00B065CC">
        <w:rPr>
          <w:sz w:val="24"/>
          <w:szCs w:val="24"/>
        </w:rPr>
        <w:t xml:space="preserve">, </w:t>
      </w:r>
      <w:r w:rsidR="006601A3" w:rsidRPr="00B065CC">
        <w:rPr>
          <w:sz w:val="24"/>
          <w:szCs w:val="24"/>
        </w:rPr>
        <w:t xml:space="preserve">provides that </w:t>
      </w:r>
      <w:r w:rsidR="00D82626" w:rsidRPr="00B065CC">
        <w:rPr>
          <w:sz w:val="24"/>
          <w:szCs w:val="24"/>
        </w:rPr>
        <w:t>“Physical termination of service may only be permitted for failure to pay for EDC or [Provider of Last Resort] service.”</w:t>
      </w:r>
      <w:r w:rsidR="006601A3" w:rsidRPr="00B065CC">
        <w:rPr>
          <w:sz w:val="24"/>
          <w:szCs w:val="24"/>
        </w:rPr>
        <w:t xml:space="preserve">  In addition, </w:t>
      </w:r>
      <w:r w:rsidR="00D82626" w:rsidRPr="00B065CC">
        <w:rPr>
          <w:sz w:val="24"/>
          <w:szCs w:val="24"/>
        </w:rPr>
        <w:t xml:space="preserve">¶43 </w:t>
      </w:r>
      <w:r w:rsidR="006601A3" w:rsidRPr="00B065CC">
        <w:rPr>
          <w:sz w:val="24"/>
          <w:szCs w:val="24"/>
        </w:rPr>
        <w:t xml:space="preserve">reads as follows: </w:t>
      </w:r>
      <w:r w:rsidR="00D82626" w:rsidRPr="00B065CC">
        <w:rPr>
          <w:sz w:val="24"/>
          <w:szCs w:val="24"/>
        </w:rPr>
        <w:t xml:space="preserve">“This settlement, including all of the terms and conditions set forth above, shall expire on December 31, 2010.”  </w:t>
      </w:r>
      <w:r w:rsidRPr="00B065CC">
        <w:rPr>
          <w:sz w:val="24"/>
          <w:szCs w:val="24"/>
        </w:rPr>
        <w:t>(PECO M. B. at 3, 4</w:t>
      </w:r>
      <w:r w:rsidR="00883510" w:rsidRPr="00B065CC">
        <w:rPr>
          <w:sz w:val="24"/>
          <w:szCs w:val="24"/>
        </w:rPr>
        <w:t>; OSBA M. B. at 8</w:t>
      </w:r>
      <w:r w:rsidRPr="00B065CC">
        <w:rPr>
          <w:sz w:val="24"/>
          <w:szCs w:val="24"/>
        </w:rPr>
        <w:t>).</w:t>
      </w:r>
      <w:r w:rsidR="006601A3" w:rsidRPr="00B065CC">
        <w:rPr>
          <w:sz w:val="24"/>
          <w:szCs w:val="24"/>
        </w:rPr>
        <w:t xml:space="preserve"> </w:t>
      </w:r>
      <w:r w:rsidRPr="00B065CC">
        <w:rPr>
          <w:sz w:val="24"/>
          <w:szCs w:val="24"/>
        </w:rPr>
        <w:t xml:space="preserve"> </w:t>
      </w:r>
      <w:r w:rsidR="00D82626" w:rsidRPr="00B065CC">
        <w:rPr>
          <w:sz w:val="24"/>
          <w:szCs w:val="24"/>
        </w:rPr>
        <w:t xml:space="preserve">In addition, the </w:t>
      </w:r>
      <w:r w:rsidR="00D82626" w:rsidRPr="00B065CC">
        <w:rPr>
          <w:i/>
          <w:sz w:val="24"/>
          <w:szCs w:val="24"/>
        </w:rPr>
        <w:t>Default Service Settlement</w:t>
      </w:r>
      <w:r w:rsidR="00D82626" w:rsidRPr="00B065CC">
        <w:rPr>
          <w:sz w:val="24"/>
          <w:szCs w:val="24"/>
        </w:rPr>
        <w:t xml:space="preserve"> identifies certain minimum requirements for a revised purchase of receivables program, including the following: “PECO will have the ability to terminate service to a customer for the customer’s non-payment of supplier charges in the same manner and to the same extent that PECO could terminate service to such a customer for non-payment of EDC charges, subject to appropriate consumer protections to be developed in consultation with the parties to this Settlement.”  </w:t>
      </w:r>
      <w:r w:rsidR="00D82626" w:rsidRPr="00B065CC">
        <w:rPr>
          <w:i/>
          <w:sz w:val="24"/>
          <w:szCs w:val="24"/>
        </w:rPr>
        <w:t>See</w:t>
      </w:r>
      <w:r w:rsidR="00D82626" w:rsidRPr="00B065CC">
        <w:rPr>
          <w:sz w:val="24"/>
          <w:szCs w:val="24"/>
        </w:rPr>
        <w:t xml:space="preserve"> </w:t>
      </w:r>
      <w:r w:rsidR="00D82626" w:rsidRPr="00B065CC">
        <w:rPr>
          <w:i/>
          <w:sz w:val="24"/>
          <w:szCs w:val="24"/>
        </w:rPr>
        <w:t>Default Service Settlement</w:t>
      </w:r>
      <w:r w:rsidR="00D82626" w:rsidRPr="00B065CC">
        <w:rPr>
          <w:sz w:val="24"/>
          <w:szCs w:val="24"/>
        </w:rPr>
        <w:t xml:space="preserve">, ¶66. </w:t>
      </w:r>
      <w:r w:rsidRPr="00B065CC">
        <w:rPr>
          <w:sz w:val="24"/>
          <w:szCs w:val="24"/>
        </w:rPr>
        <w:t>(PECO M. B. at 4).</w:t>
      </w:r>
      <w:r w:rsidR="00D82626" w:rsidRPr="00B065CC">
        <w:rPr>
          <w:sz w:val="24"/>
          <w:szCs w:val="24"/>
        </w:rPr>
        <w:t xml:space="preserve"> </w:t>
      </w:r>
    </w:p>
    <w:p w:rsidR="006338E3" w:rsidRPr="00B065CC" w:rsidRDefault="006338E3" w:rsidP="00DF4735">
      <w:pPr>
        <w:pStyle w:val="BodyText2"/>
        <w:spacing w:line="360" w:lineRule="auto"/>
        <w:rPr>
          <w:sz w:val="24"/>
          <w:szCs w:val="24"/>
        </w:rPr>
      </w:pPr>
    </w:p>
    <w:p w:rsidR="00D82626" w:rsidRPr="00B065CC" w:rsidRDefault="00531643" w:rsidP="00DF4735">
      <w:pPr>
        <w:pStyle w:val="BodyText2"/>
        <w:spacing w:line="360" w:lineRule="auto"/>
        <w:rPr>
          <w:sz w:val="24"/>
          <w:szCs w:val="24"/>
        </w:rPr>
      </w:pPr>
      <w:r w:rsidRPr="00B065CC">
        <w:rPr>
          <w:sz w:val="24"/>
          <w:szCs w:val="24"/>
        </w:rPr>
        <w:tab/>
      </w:r>
      <w:r w:rsidRPr="00B065CC">
        <w:rPr>
          <w:sz w:val="24"/>
          <w:szCs w:val="24"/>
        </w:rPr>
        <w:tab/>
        <w:t xml:space="preserve">PECO’s position is that </w:t>
      </w:r>
      <w:r w:rsidR="00D82626" w:rsidRPr="00B065CC">
        <w:rPr>
          <w:sz w:val="24"/>
          <w:szCs w:val="24"/>
        </w:rPr>
        <w:t xml:space="preserve">the </w:t>
      </w:r>
      <w:r w:rsidR="00D82626" w:rsidRPr="00B065CC">
        <w:rPr>
          <w:i/>
          <w:sz w:val="24"/>
          <w:szCs w:val="24"/>
        </w:rPr>
        <w:t>Restructuring Settlement</w:t>
      </w:r>
      <w:r w:rsidR="00D82626" w:rsidRPr="00B065CC">
        <w:rPr>
          <w:sz w:val="24"/>
          <w:szCs w:val="24"/>
        </w:rPr>
        <w:t xml:space="preserve"> and </w:t>
      </w:r>
      <w:r w:rsidR="00D82626" w:rsidRPr="00B065CC">
        <w:rPr>
          <w:i/>
          <w:sz w:val="24"/>
          <w:szCs w:val="24"/>
        </w:rPr>
        <w:t>Default Service Settlement</w:t>
      </w:r>
      <w:r w:rsidR="00D82626" w:rsidRPr="00B065CC">
        <w:rPr>
          <w:sz w:val="24"/>
          <w:szCs w:val="24"/>
        </w:rPr>
        <w:t xml:space="preserve"> </w:t>
      </w:r>
      <w:r w:rsidRPr="00B065CC">
        <w:rPr>
          <w:sz w:val="24"/>
          <w:szCs w:val="24"/>
        </w:rPr>
        <w:t>allow</w:t>
      </w:r>
      <w:r w:rsidR="00D82626" w:rsidRPr="00B065CC">
        <w:rPr>
          <w:sz w:val="24"/>
          <w:szCs w:val="24"/>
        </w:rPr>
        <w:t xml:space="preserve"> PECO </w:t>
      </w:r>
      <w:r w:rsidRPr="00B065CC">
        <w:rPr>
          <w:sz w:val="24"/>
          <w:szCs w:val="24"/>
        </w:rPr>
        <w:t>to</w:t>
      </w:r>
      <w:r w:rsidR="00D82626" w:rsidRPr="00B065CC">
        <w:rPr>
          <w:sz w:val="24"/>
          <w:szCs w:val="24"/>
        </w:rPr>
        <w:t xml:space="preserve"> terminate service to customers for failure to pay EGS charges for basic electric supply, including unpaid charges that accrued before </w:t>
      </w:r>
      <w:r w:rsidRPr="00B065CC">
        <w:rPr>
          <w:sz w:val="24"/>
          <w:szCs w:val="24"/>
        </w:rPr>
        <w:t xml:space="preserve">January 1, 2011, </w:t>
      </w:r>
      <w:r w:rsidR="00D82626" w:rsidRPr="00B065CC">
        <w:rPr>
          <w:sz w:val="24"/>
          <w:szCs w:val="24"/>
        </w:rPr>
        <w:t>the Revised Electric POR Program’s implementation date</w:t>
      </w:r>
      <w:r w:rsidR="003557A5" w:rsidRPr="00B065CC">
        <w:rPr>
          <w:sz w:val="24"/>
          <w:szCs w:val="24"/>
        </w:rPr>
        <w:t xml:space="preserve"> (PECO M. B. at 4; </w:t>
      </w:r>
      <w:r w:rsidR="00D82626" w:rsidRPr="00B065CC">
        <w:rPr>
          <w:sz w:val="24"/>
          <w:szCs w:val="24"/>
        </w:rPr>
        <w:t>PECO St. No. 1</w:t>
      </w:r>
      <w:r w:rsidR="003557A5" w:rsidRPr="00B065CC">
        <w:rPr>
          <w:sz w:val="24"/>
          <w:szCs w:val="24"/>
        </w:rPr>
        <w:t xml:space="preserve"> at</w:t>
      </w:r>
      <w:r w:rsidR="00D82626" w:rsidRPr="00B065CC">
        <w:rPr>
          <w:sz w:val="24"/>
          <w:szCs w:val="24"/>
        </w:rPr>
        <w:t xml:space="preserve"> 13-14</w:t>
      </w:r>
      <w:r w:rsidR="003557A5" w:rsidRPr="00B065CC">
        <w:rPr>
          <w:sz w:val="24"/>
          <w:szCs w:val="24"/>
        </w:rPr>
        <w:t>)</w:t>
      </w:r>
      <w:r w:rsidR="00D82626" w:rsidRPr="00B065CC">
        <w:rPr>
          <w:sz w:val="24"/>
          <w:szCs w:val="24"/>
        </w:rPr>
        <w:t xml:space="preserve">.  </w:t>
      </w:r>
      <w:r w:rsidR="00BE2B19" w:rsidRPr="00B065CC">
        <w:rPr>
          <w:sz w:val="24"/>
          <w:szCs w:val="24"/>
        </w:rPr>
        <w:t>PECO asserted that t</w:t>
      </w:r>
      <w:r w:rsidR="00D82626" w:rsidRPr="00B065CC">
        <w:rPr>
          <w:sz w:val="24"/>
          <w:szCs w:val="24"/>
        </w:rPr>
        <w:t xml:space="preserve">he ability to terminate service for such charges will reduce </w:t>
      </w:r>
      <w:r w:rsidR="00BE2B19" w:rsidRPr="00B065CC">
        <w:rPr>
          <w:sz w:val="24"/>
          <w:szCs w:val="24"/>
        </w:rPr>
        <w:t xml:space="preserve">program </w:t>
      </w:r>
      <w:r w:rsidR="00D82626" w:rsidRPr="00B065CC">
        <w:rPr>
          <w:sz w:val="24"/>
          <w:szCs w:val="24"/>
        </w:rPr>
        <w:t xml:space="preserve">implementation costs, simplify </w:t>
      </w:r>
      <w:r w:rsidR="00BE2B19" w:rsidRPr="00B065CC">
        <w:rPr>
          <w:sz w:val="24"/>
          <w:szCs w:val="24"/>
        </w:rPr>
        <w:t xml:space="preserve">program </w:t>
      </w:r>
      <w:r w:rsidR="00D82626" w:rsidRPr="00B065CC">
        <w:rPr>
          <w:sz w:val="24"/>
          <w:szCs w:val="24"/>
        </w:rPr>
        <w:t xml:space="preserve">procedures, and clarify the operation of the </w:t>
      </w:r>
      <w:r w:rsidR="00BE2B19" w:rsidRPr="00B065CC">
        <w:rPr>
          <w:sz w:val="24"/>
          <w:szCs w:val="24"/>
        </w:rPr>
        <w:t xml:space="preserve">program </w:t>
      </w:r>
      <w:r w:rsidR="00D82626" w:rsidRPr="00B065CC">
        <w:rPr>
          <w:sz w:val="24"/>
          <w:szCs w:val="24"/>
        </w:rPr>
        <w:t>for customers, EGSs and others.  PECO estimate</w:t>
      </w:r>
      <w:r w:rsidR="00BE2B19" w:rsidRPr="00B065CC">
        <w:rPr>
          <w:sz w:val="24"/>
          <w:szCs w:val="24"/>
        </w:rPr>
        <w:t>d</w:t>
      </w:r>
      <w:r w:rsidR="00D82626" w:rsidRPr="00B065CC">
        <w:rPr>
          <w:sz w:val="24"/>
          <w:szCs w:val="24"/>
        </w:rPr>
        <w:t xml:space="preserve"> that it will avoid approximately $500,000 in implementation costs if it has the ability to terminate service based on unpaid EGS charges incurred prior to January 1, 2011.  The avoided system modifications would include the overhaul of processes for arrearage calculations, collections and terminations in order to create and maintain separately parallel paths for handling supplier accounts receivable based on the dates those receivables were incurred</w:t>
      </w:r>
      <w:r w:rsidR="005C3BE3" w:rsidRPr="00B065CC">
        <w:rPr>
          <w:sz w:val="24"/>
          <w:szCs w:val="24"/>
        </w:rPr>
        <w:t xml:space="preserve"> (PECO M. B. at 4, 5; </w:t>
      </w:r>
      <w:r w:rsidR="00D82626" w:rsidRPr="00B065CC">
        <w:rPr>
          <w:sz w:val="24"/>
          <w:szCs w:val="24"/>
        </w:rPr>
        <w:t>PECO St. No. 1-R</w:t>
      </w:r>
      <w:r w:rsidR="005C3BE3" w:rsidRPr="00B065CC">
        <w:rPr>
          <w:sz w:val="24"/>
          <w:szCs w:val="24"/>
        </w:rPr>
        <w:t xml:space="preserve"> at</w:t>
      </w:r>
      <w:r w:rsidR="00D82626" w:rsidRPr="00B065CC">
        <w:rPr>
          <w:sz w:val="24"/>
          <w:szCs w:val="24"/>
        </w:rPr>
        <w:t xml:space="preserve"> 6</w:t>
      </w:r>
      <w:r w:rsidR="005C3BE3" w:rsidRPr="00B065CC">
        <w:rPr>
          <w:sz w:val="24"/>
          <w:szCs w:val="24"/>
        </w:rPr>
        <w:t>)</w:t>
      </w:r>
      <w:r w:rsidR="00D82626" w:rsidRPr="00B065CC">
        <w:rPr>
          <w:sz w:val="24"/>
          <w:szCs w:val="24"/>
        </w:rPr>
        <w:t>.</w:t>
      </w:r>
    </w:p>
    <w:p w:rsidR="00EA6403" w:rsidRPr="00B065CC" w:rsidRDefault="001341DE" w:rsidP="001341DE">
      <w:pPr>
        <w:pStyle w:val="BodyText2"/>
        <w:spacing w:line="360" w:lineRule="auto"/>
        <w:rPr>
          <w:sz w:val="24"/>
          <w:szCs w:val="24"/>
        </w:rPr>
      </w:pPr>
      <w:r>
        <w:rPr>
          <w:sz w:val="24"/>
          <w:szCs w:val="24"/>
        </w:rPr>
        <w:br w:type="page"/>
      </w:r>
      <w:r w:rsidR="005C3BE3" w:rsidRPr="00B065CC">
        <w:rPr>
          <w:sz w:val="24"/>
          <w:szCs w:val="24"/>
        </w:rPr>
        <w:lastRenderedPageBreak/>
        <w:tab/>
      </w:r>
      <w:r w:rsidR="005C3BE3" w:rsidRPr="00B065CC">
        <w:rPr>
          <w:sz w:val="24"/>
          <w:szCs w:val="24"/>
        </w:rPr>
        <w:tab/>
      </w:r>
      <w:r w:rsidR="006601A3" w:rsidRPr="00B065CC">
        <w:rPr>
          <w:sz w:val="24"/>
          <w:szCs w:val="24"/>
        </w:rPr>
        <w:t>PECO stated that a</w:t>
      </w:r>
      <w:r w:rsidR="00D82626" w:rsidRPr="00B065CC">
        <w:rPr>
          <w:sz w:val="24"/>
          <w:szCs w:val="24"/>
        </w:rPr>
        <w:t xml:space="preserve">ll </w:t>
      </w:r>
      <w:r w:rsidR="006601A3" w:rsidRPr="00B065CC">
        <w:rPr>
          <w:sz w:val="24"/>
          <w:szCs w:val="24"/>
        </w:rPr>
        <w:t xml:space="preserve">of the </w:t>
      </w:r>
      <w:r w:rsidR="00D82626" w:rsidRPr="00B065CC">
        <w:rPr>
          <w:sz w:val="24"/>
          <w:szCs w:val="24"/>
        </w:rPr>
        <w:t>parties except the OCA and OSBA</w:t>
      </w:r>
      <w:r w:rsidR="00D82626" w:rsidRPr="00B065CC">
        <w:rPr>
          <w:sz w:val="24"/>
          <w:szCs w:val="24"/>
          <w:vertAlign w:val="superscript"/>
        </w:rPr>
        <w:footnoteReference w:id="3"/>
      </w:r>
      <w:r w:rsidR="00D82626" w:rsidRPr="00B065CC">
        <w:rPr>
          <w:sz w:val="24"/>
          <w:szCs w:val="24"/>
        </w:rPr>
        <w:t xml:space="preserve"> agree with, or do not oppose, the Company’s proposal to terminate service for EGS charges incurred before January 1, 2011</w:t>
      </w:r>
      <w:r w:rsidR="005C3BE3" w:rsidRPr="00B065CC">
        <w:rPr>
          <w:sz w:val="24"/>
          <w:szCs w:val="24"/>
        </w:rPr>
        <w:t xml:space="preserve"> (PECO M. B. at 5)</w:t>
      </w:r>
      <w:r w:rsidR="00D82626" w:rsidRPr="00B065CC">
        <w:rPr>
          <w:sz w:val="24"/>
          <w:szCs w:val="24"/>
        </w:rPr>
        <w:t xml:space="preserve">.  </w:t>
      </w:r>
      <w:r w:rsidR="00EA6403" w:rsidRPr="00B065CC">
        <w:rPr>
          <w:sz w:val="24"/>
          <w:szCs w:val="24"/>
        </w:rPr>
        <w:t>RESA join</w:t>
      </w:r>
      <w:r w:rsidR="001A4C63" w:rsidRPr="00B065CC">
        <w:rPr>
          <w:sz w:val="24"/>
          <w:szCs w:val="24"/>
        </w:rPr>
        <w:t>ed</w:t>
      </w:r>
      <w:r w:rsidR="00EA6403" w:rsidRPr="00B065CC">
        <w:rPr>
          <w:sz w:val="24"/>
          <w:szCs w:val="24"/>
        </w:rPr>
        <w:t xml:space="preserve"> PECO in citing implementation costs as a basis to approve PECO’s position (RESA M.B. at 3-4, 16-17).  RESA also suggested that these costs may potentially deter EGSs from participating in PECO’s electric supply market (RESA M.B. at 4).</w:t>
      </w:r>
    </w:p>
    <w:p w:rsidR="00D82626" w:rsidRPr="00B065CC" w:rsidRDefault="00D82626" w:rsidP="00EF38BE">
      <w:pPr>
        <w:pStyle w:val="BodyText2"/>
        <w:spacing w:line="360" w:lineRule="auto"/>
        <w:rPr>
          <w:sz w:val="24"/>
          <w:szCs w:val="24"/>
        </w:rPr>
      </w:pPr>
    </w:p>
    <w:p w:rsidR="00983C0B" w:rsidRPr="00B065CC" w:rsidRDefault="00983C0B" w:rsidP="000A3537">
      <w:pPr>
        <w:pStyle w:val="BodyText2"/>
        <w:spacing w:line="360" w:lineRule="auto"/>
        <w:outlineLvl w:val="0"/>
        <w:rPr>
          <w:sz w:val="24"/>
          <w:szCs w:val="24"/>
          <w:u w:val="single"/>
        </w:rPr>
      </w:pPr>
      <w:r w:rsidRPr="00B065CC">
        <w:rPr>
          <w:sz w:val="24"/>
          <w:szCs w:val="24"/>
        </w:rPr>
        <w:tab/>
      </w:r>
      <w:bookmarkStart w:id="70" w:name="_Toc259699929"/>
      <w:bookmarkStart w:id="71" w:name="_Toc259706190"/>
      <w:r w:rsidRPr="00B065CC">
        <w:rPr>
          <w:sz w:val="24"/>
          <w:szCs w:val="24"/>
        </w:rPr>
        <w:t>2.</w:t>
      </w:r>
      <w:r w:rsidRPr="00B065CC">
        <w:rPr>
          <w:sz w:val="24"/>
          <w:szCs w:val="24"/>
        </w:rPr>
        <w:tab/>
      </w:r>
      <w:r w:rsidRPr="00B065CC">
        <w:rPr>
          <w:sz w:val="24"/>
          <w:szCs w:val="24"/>
          <w:u w:val="single"/>
        </w:rPr>
        <w:t>OCA and OSBA Oppose PECO’s Position</w:t>
      </w:r>
      <w:bookmarkEnd w:id="70"/>
      <w:bookmarkEnd w:id="71"/>
    </w:p>
    <w:p w:rsidR="00983C0B" w:rsidRPr="00B065CC" w:rsidRDefault="00983C0B" w:rsidP="00EF38BE">
      <w:pPr>
        <w:pStyle w:val="BodyText2"/>
        <w:spacing w:line="360" w:lineRule="auto"/>
        <w:rPr>
          <w:sz w:val="24"/>
          <w:szCs w:val="24"/>
        </w:rPr>
      </w:pPr>
    </w:p>
    <w:p w:rsidR="00D82626" w:rsidRPr="00B065CC" w:rsidRDefault="00A4508A" w:rsidP="00D82626">
      <w:pPr>
        <w:spacing w:line="360" w:lineRule="auto"/>
        <w:rPr>
          <w:sz w:val="24"/>
          <w:szCs w:val="24"/>
        </w:rPr>
      </w:pPr>
      <w:r w:rsidRPr="00B065CC">
        <w:rPr>
          <w:sz w:val="24"/>
          <w:szCs w:val="24"/>
        </w:rPr>
        <w:tab/>
      </w:r>
      <w:r w:rsidR="00D82626" w:rsidRPr="00B065CC">
        <w:rPr>
          <w:sz w:val="24"/>
          <w:szCs w:val="24"/>
        </w:rPr>
        <w:tab/>
      </w:r>
      <w:r w:rsidRPr="00B065CC">
        <w:rPr>
          <w:sz w:val="24"/>
          <w:szCs w:val="24"/>
        </w:rPr>
        <w:t>OCA and OSBA a</w:t>
      </w:r>
      <w:r w:rsidR="00D82626" w:rsidRPr="00B065CC">
        <w:rPr>
          <w:sz w:val="24"/>
          <w:szCs w:val="24"/>
        </w:rPr>
        <w:t>rgue</w:t>
      </w:r>
      <w:r w:rsidRPr="00B065CC">
        <w:rPr>
          <w:sz w:val="24"/>
          <w:szCs w:val="24"/>
        </w:rPr>
        <w:t>d</w:t>
      </w:r>
      <w:r w:rsidR="00D82626" w:rsidRPr="00B065CC">
        <w:rPr>
          <w:sz w:val="24"/>
          <w:szCs w:val="24"/>
        </w:rPr>
        <w:t xml:space="preserve"> </w:t>
      </w:r>
      <w:r w:rsidRPr="00B065CC">
        <w:rPr>
          <w:sz w:val="24"/>
          <w:szCs w:val="24"/>
        </w:rPr>
        <w:t>that PECO’s</w:t>
      </w:r>
      <w:r w:rsidR="00D82626" w:rsidRPr="00B065CC">
        <w:rPr>
          <w:sz w:val="24"/>
          <w:szCs w:val="24"/>
        </w:rPr>
        <w:t xml:space="preserve"> proposal to terminate customers for unpaid EGS charges that were incurred prior to January 1, 2011, is </w:t>
      </w:r>
      <w:r w:rsidRPr="00B065CC">
        <w:rPr>
          <w:sz w:val="24"/>
          <w:szCs w:val="24"/>
        </w:rPr>
        <w:t xml:space="preserve">not </w:t>
      </w:r>
      <w:r w:rsidR="00D82626" w:rsidRPr="00B065CC">
        <w:rPr>
          <w:sz w:val="24"/>
          <w:szCs w:val="24"/>
        </w:rPr>
        <w:t xml:space="preserve">consistent with the </w:t>
      </w:r>
      <w:r w:rsidR="00D82626" w:rsidRPr="00B065CC">
        <w:rPr>
          <w:i/>
          <w:iCs/>
          <w:sz w:val="24"/>
          <w:szCs w:val="24"/>
        </w:rPr>
        <w:t>Restructuring Settlement</w:t>
      </w:r>
      <w:r w:rsidR="00D82626" w:rsidRPr="00B065CC">
        <w:rPr>
          <w:sz w:val="24"/>
          <w:szCs w:val="24"/>
        </w:rPr>
        <w:t xml:space="preserve"> and the </w:t>
      </w:r>
      <w:r w:rsidR="00D82626" w:rsidRPr="00B065CC">
        <w:rPr>
          <w:i/>
          <w:iCs/>
          <w:sz w:val="24"/>
          <w:szCs w:val="24"/>
        </w:rPr>
        <w:t>Default Service Settlement</w:t>
      </w:r>
      <w:r w:rsidR="009A1981" w:rsidRPr="00B065CC">
        <w:rPr>
          <w:sz w:val="24"/>
          <w:szCs w:val="24"/>
        </w:rPr>
        <w:t xml:space="preserve"> </w:t>
      </w:r>
      <w:r w:rsidRPr="00B065CC">
        <w:rPr>
          <w:sz w:val="24"/>
          <w:szCs w:val="24"/>
        </w:rPr>
        <w:t>(OCA</w:t>
      </w:r>
      <w:r w:rsidR="003C380A" w:rsidRPr="00B065CC">
        <w:rPr>
          <w:sz w:val="24"/>
          <w:szCs w:val="24"/>
        </w:rPr>
        <w:t xml:space="preserve"> M.B.</w:t>
      </w:r>
      <w:r w:rsidRPr="00B065CC">
        <w:rPr>
          <w:sz w:val="24"/>
          <w:szCs w:val="24"/>
        </w:rPr>
        <w:t xml:space="preserve"> at </w:t>
      </w:r>
      <w:r w:rsidR="003C380A" w:rsidRPr="00B065CC">
        <w:rPr>
          <w:sz w:val="24"/>
          <w:szCs w:val="24"/>
        </w:rPr>
        <w:t>5-7</w:t>
      </w:r>
      <w:r w:rsidR="00E33DB5" w:rsidRPr="00B065CC">
        <w:rPr>
          <w:sz w:val="24"/>
          <w:szCs w:val="24"/>
        </w:rPr>
        <w:t>, OCA R.B. at 4</w:t>
      </w:r>
      <w:r w:rsidRPr="00B065CC">
        <w:rPr>
          <w:sz w:val="24"/>
          <w:szCs w:val="24"/>
        </w:rPr>
        <w:t>; OSBA R. B. at 6, 7).</w:t>
      </w:r>
      <w:r w:rsidR="00FE382A" w:rsidRPr="00B065CC">
        <w:rPr>
          <w:sz w:val="24"/>
          <w:szCs w:val="24"/>
        </w:rPr>
        <w:t xml:space="preserve"> </w:t>
      </w:r>
    </w:p>
    <w:p w:rsidR="00FE382A" w:rsidRPr="00B065CC" w:rsidRDefault="00FE382A" w:rsidP="00EF38BE">
      <w:pPr>
        <w:spacing w:line="360" w:lineRule="auto"/>
        <w:rPr>
          <w:sz w:val="24"/>
          <w:szCs w:val="24"/>
        </w:rPr>
      </w:pPr>
    </w:p>
    <w:p w:rsidR="009A1981" w:rsidRPr="00B065CC" w:rsidRDefault="00390556" w:rsidP="00D82626">
      <w:pPr>
        <w:spacing w:line="360" w:lineRule="auto"/>
        <w:rPr>
          <w:sz w:val="24"/>
          <w:szCs w:val="24"/>
        </w:rPr>
      </w:pPr>
      <w:r w:rsidRPr="00B065CC">
        <w:rPr>
          <w:sz w:val="24"/>
          <w:szCs w:val="24"/>
        </w:rPr>
        <w:tab/>
      </w:r>
      <w:r w:rsidR="00D82626" w:rsidRPr="00B065CC">
        <w:rPr>
          <w:sz w:val="24"/>
          <w:szCs w:val="24"/>
        </w:rPr>
        <w:tab/>
        <w:t xml:space="preserve">It is undisputed that </w:t>
      </w:r>
      <w:r w:rsidR="007E16F5" w:rsidRPr="00B065CC">
        <w:rPr>
          <w:sz w:val="24"/>
          <w:szCs w:val="24"/>
        </w:rPr>
        <w:t xml:space="preserve">under </w:t>
      </w:r>
      <w:r w:rsidR="00D82626" w:rsidRPr="00B065CC">
        <w:rPr>
          <w:sz w:val="24"/>
          <w:szCs w:val="24"/>
        </w:rPr>
        <w:t xml:space="preserve">the terms of the </w:t>
      </w:r>
      <w:r w:rsidR="00D82626" w:rsidRPr="00B065CC">
        <w:rPr>
          <w:i/>
          <w:iCs/>
          <w:sz w:val="24"/>
          <w:szCs w:val="24"/>
        </w:rPr>
        <w:t>Restructuring Settlement</w:t>
      </w:r>
      <w:r w:rsidR="00D82626" w:rsidRPr="00B065CC">
        <w:rPr>
          <w:sz w:val="24"/>
          <w:szCs w:val="24"/>
        </w:rPr>
        <w:t xml:space="preserve"> PECO customers </w:t>
      </w:r>
      <w:r w:rsidR="007E16F5" w:rsidRPr="00B065CC">
        <w:rPr>
          <w:sz w:val="24"/>
          <w:szCs w:val="24"/>
        </w:rPr>
        <w:t xml:space="preserve">are protected </w:t>
      </w:r>
      <w:r w:rsidR="00D82626" w:rsidRPr="00B065CC">
        <w:rPr>
          <w:sz w:val="24"/>
          <w:szCs w:val="24"/>
        </w:rPr>
        <w:t>from termination for unpaid EGS charges through December 31, 2010</w:t>
      </w:r>
      <w:r w:rsidR="009A1981" w:rsidRPr="00B065CC">
        <w:rPr>
          <w:sz w:val="24"/>
          <w:szCs w:val="24"/>
        </w:rPr>
        <w:t xml:space="preserve"> </w:t>
      </w:r>
      <w:r w:rsidR="007E16F5" w:rsidRPr="00B065CC">
        <w:rPr>
          <w:sz w:val="24"/>
          <w:szCs w:val="24"/>
        </w:rPr>
        <w:t>(</w:t>
      </w:r>
      <w:r w:rsidR="009A1981" w:rsidRPr="00B065CC">
        <w:rPr>
          <w:sz w:val="24"/>
          <w:szCs w:val="24"/>
        </w:rPr>
        <w:t>PECO M</w:t>
      </w:r>
      <w:r w:rsidR="007E16F5" w:rsidRPr="00B065CC">
        <w:rPr>
          <w:sz w:val="24"/>
          <w:szCs w:val="24"/>
        </w:rPr>
        <w:t>.</w:t>
      </w:r>
      <w:r w:rsidR="009A1981" w:rsidRPr="00B065CC">
        <w:rPr>
          <w:sz w:val="24"/>
          <w:szCs w:val="24"/>
        </w:rPr>
        <w:t xml:space="preserve"> B</w:t>
      </w:r>
      <w:r w:rsidR="007E16F5" w:rsidRPr="00B065CC">
        <w:rPr>
          <w:sz w:val="24"/>
          <w:szCs w:val="24"/>
        </w:rPr>
        <w:t>.</w:t>
      </w:r>
      <w:r w:rsidR="009A1981" w:rsidRPr="00B065CC">
        <w:rPr>
          <w:sz w:val="24"/>
          <w:szCs w:val="24"/>
        </w:rPr>
        <w:t xml:space="preserve"> at 3-4; OCA M</w:t>
      </w:r>
      <w:r w:rsidR="007E16F5" w:rsidRPr="00B065CC">
        <w:rPr>
          <w:sz w:val="24"/>
          <w:szCs w:val="24"/>
        </w:rPr>
        <w:t>.</w:t>
      </w:r>
      <w:r w:rsidR="009A1981" w:rsidRPr="00B065CC">
        <w:rPr>
          <w:sz w:val="24"/>
          <w:szCs w:val="24"/>
        </w:rPr>
        <w:t xml:space="preserve"> B</w:t>
      </w:r>
      <w:r w:rsidR="007E16F5" w:rsidRPr="00B065CC">
        <w:rPr>
          <w:sz w:val="24"/>
          <w:szCs w:val="24"/>
        </w:rPr>
        <w:t>.</w:t>
      </w:r>
      <w:r w:rsidR="009A1981" w:rsidRPr="00B065CC">
        <w:rPr>
          <w:sz w:val="24"/>
          <w:szCs w:val="24"/>
        </w:rPr>
        <w:t xml:space="preserve"> at 3; OSBA M</w:t>
      </w:r>
      <w:r w:rsidR="007E16F5" w:rsidRPr="00B065CC">
        <w:rPr>
          <w:sz w:val="24"/>
          <w:szCs w:val="24"/>
        </w:rPr>
        <w:t>.</w:t>
      </w:r>
      <w:r w:rsidR="009A1981" w:rsidRPr="00B065CC">
        <w:rPr>
          <w:sz w:val="24"/>
          <w:szCs w:val="24"/>
        </w:rPr>
        <w:t xml:space="preserve"> B</w:t>
      </w:r>
      <w:r w:rsidR="007E16F5" w:rsidRPr="00B065CC">
        <w:rPr>
          <w:sz w:val="24"/>
          <w:szCs w:val="24"/>
        </w:rPr>
        <w:t>.</w:t>
      </w:r>
      <w:r w:rsidR="009A1981" w:rsidRPr="00B065CC">
        <w:rPr>
          <w:sz w:val="24"/>
          <w:szCs w:val="24"/>
        </w:rPr>
        <w:t xml:space="preserve"> at 8</w:t>
      </w:r>
      <w:r w:rsidR="00276ECB" w:rsidRPr="00B065CC">
        <w:rPr>
          <w:sz w:val="24"/>
          <w:szCs w:val="24"/>
        </w:rPr>
        <w:t>; OSBA R. B. at 6</w:t>
      </w:r>
      <w:r w:rsidR="007E16F5" w:rsidRPr="00B065CC">
        <w:rPr>
          <w:sz w:val="24"/>
          <w:szCs w:val="24"/>
        </w:rPr>
        <w:t>)</w:t>
      </w:r>
      <w:r w:rsidR="009A1981" w:rsidRPr="00B065CC">
        <w:rPr>
          <w:sz w:val="24"/>
          <w:szCs w:val="24"/>
        </w:rPr>
        <w:t>.</w:t>
      </w:r>
      <w:r w:rsidR="00D82626" w:rsidRPr="00B065CC">
        <w:rPr>
          <w:sz w:val="24"/>
          <w:szCs w:val="24"/>
        </w:rPr>
        <w:t xml:space="preserve">  However, the terms of PECO’s proposed POR program would permit the Company to terminate the same customers for EGS charges that were incurred prior to January 1, 2011</w:t>
      </w:r>
      <w:r w:rsidR="009A1981" w:rsidRPr="00B065CC">
        <w:rPr>
          <w:sz w:val="24"/>
          <w:szCs w:val="24"/>
        </w:rPr>
        <w:t xml:space="preserve"> (PECO M</w:t>
      </w:r>
      <w:r w:rsidR="00276ECB" w:rsidRPr="00B065CC">
        <w:rPr>
          <w:sz w:val="24"/>
          <w:szCs w:val="24"/>
        </w:rPr>
        <w:t>.</w:t>
      </w:r>
      <w:r w:rsidR="009A1981" w:rsidRPr="00B065CC">
        <w:rPr>
          <w:sz w:val="24"/>
          <w:szCs w:val="24"/>
        </w:rPr>
        <w:t xml:space="preserve"> B</w:t>
      </w:r>
      <w:r w:rsidR="00276ECB" w:rsidRPr="00B065CC">
        <w:rPr>
          <w:sz w:val="24"/>
          <w:szCs w:val="24"/>
        </w:rPr>
        <w:t>.</w:t>
      </w:r>
      <w:r w:rsidR="009A1981" w:rsidRPr="00B065CC">
        <w:rPr>
          <w:sz w:val="24"/>
          <w:szCs w:val="24"/>
        </w:rPr>
        <w:t xml:space="preserve"> at 4).</w:t>
      </w:r>
      <w:r w:rsidR="00D82626" w:rsidRPr="00B065CC">
        <w:rPr>
          <w:sz w:val="24"/>
          <w:szCs w:val="24"/>
        </w:rPr>
        <w:t xml:space="preserve">  </w:t>
      </w:r>
    </w:p>
    <w:p w:rsidR="002C59D7" w:rsidRPr="00B065CC" w:rsidRDefault="002C59D7" w:rsidP="00B90969">
      <w:pPr>
        <w:spacing w:line="360" w:lineRule="auto"/>
        <w:rPr>
          <w:sz w:val="24"/>
          <w:szCs w:val="24"/>
        </w:rPr>
      </w:pPr>
    </w:p>
    <w:p w:rsidR="00275A3B" w:rsidRPr="00B065CC" w:rsidRDefault="002C59D7" w:rsidP="002C59D7">
      <w:pPr>
        <w:spacing w:line="360" w:lineRule="auto"/>
        <w:rPr>
          <w:sz w:val="24"/>
          <w:szCs w:val="24"/>
        </w:rPr>
      </w:pPr>
      <w:r w:rsidRPr="00B065CC">
        <w:rPr>
          <w:sz w:val="24"/>
          <w:szCs w:val="24"/>
        </w:rPr>
        <w:tab/>
      </w:r>
      <w:r w:rsidRPr="00B065CC">
        <w:rPr>
          <w:sz w:val="24"/>
          <w:szCs w:val="24"/>
        </w:rPr>
        <w:tab/>
        <w:t xml:space="preserve">OCA and OSBA emphasized that the 1998 </w:t>
      </w:r>
      <w:r w:rsidRPr="00B065CC">
        <w:rPr>
          <w:i/>
          <w:iCs/>
          <w:sz w:val="24"/>
          <w:szCs w:val="24"/>
        </w:rPr>
        <w:t>Restructuring Settlement</w:t>
      </w:r>
      <w:r w:rsidRPr="00B065CC">
        <w:rPr>
          <w:sz w:val="24"/>
          <w:szCs w:val="24"/>
        </w:rPr>
        <w:t xml:space="preserve">, and all of its terms and conditions, remains in effect until December 31, 2010.  </w:t>
      </w:r>
      <w:r w:rsidRPr="00B065CC">
        <w:rPr>
          <w:i/>
          <w:iCs/>
          <w:sz w:val="24"/>
          <w:szCs w:val="24"/>
        </w:rPr>
        <w:t>Restructuring Settlement</w:t>
      </w:r>
      <w:r w:rsidRPr="00B065CC">
        <w:rPr>
          <w:sz w:val="24"/>
          <w:szCs w:val="24"/>
        </w:rPr>
        <w:t xml:space="preserve">, ¶43.  </w:t>
      </w:r>
      <w:r w:rsidR="00275A3B" w:rsidRPr="00B065CC">
        <w:rPr>
          <w:sz w:val="24"/>
          <w:szCs w:val="24"/>
        </w:rPr>
        <w:t>According to t</w:t>
      </w:r>
      <w:r w:rsidRPr="00B065CC">
        <w:rPr>
          <w:sz w:val="24"/>
          <w:szCs w:val="24"/>
        </w:rPr>
        <w:t xml:space="preserve">he </w:t>
      </w:r>
      <w:r w:rsidRPr="00B065CC">
        <w:rPr>
          <w:i/>
          <w:sz w:val="24"/>
          <w:szCs w:val="24"/>
        </w:rPr>
        <w:t>Restructuring Settlement</w:t>
      </w:r>
      <w:r w:rsidRPr="00B065CC">
        <w:rPr>
          <w:sz w:val="24"/>
          <w:szCs w:val="24"/>
        </w:rPr>
        <w:t xml:space="preserve"> only unpaid PECO charges for distribution or PLR service may be the basis for termination of PECO service (OCA M.B. at 5-7; OCA R.B. at </w:t>
      </w:r>
      <w:r w:rsidR="00450496">
        <w:rPr>
          <w:sz w:val="24"/>
          <w:szCs w:val="24"/>
        </w:rPr>
        <w:t>5; OSBA M.B. at 5; OSBA R.B. at 6</w:t>
      </w:r>
      <w:r w:rsidRPr="00B065CC">
        <w:rPr>
          <w:sz w:val="24"/>
          <w:szCs w:val="24"/>
        </w:rPr>
        <w:t xml:space="preserve">).  </w:t>
      </w:r>
    </w:p>
    <w:p w:rsidR="00275A3B" w:rsidRPr="00B065CC" w:rsidRDefault="00275A3B" w:rsidP="00B90969">
      <w:pPr>
        <w:spacing w:line="360" w:lineRule="auto"/>
        <w:rPr>
          <w:sz w:val="24"/>
          <w:szCs w:val="24"/>
        </w:rPr>
      </w:pPr>
    </w:p>
    <w:p w:rsidR="00BA3E9C" w:rsidRDefault="00BA3E9C">
      <w:pPr>
        <w:rPr>
          <w:sz w:val="24"/>
          <w:szCs w:val="24"/>
        </w:rPr>
      </w:pPr>
      <w:r>
        <w:rPr>
          <w:sz w:val="24"/>
          <w:szCs w:val="24"/>
        </w:rPr>
        <w:br w:type="page"/>
      </w:r>
    </w:p>
    <w:p w:rsidR="002C59D7" w:rsidRDefault="002C59D7" w:rsidP="00AD24AA">
      <w:pPr>
        <w:spacing w:line="360" w:lineRule="auto"/>
        <w:ind w:firstLine="1440"/>
        <w:rPr>
          <w:sz w:val="24"/>
          <w:szCs w:val="24"/>
        </w:rPr>
      </w:pPr>
      <w:r w:rsidRPr="00B065CC">
        <w:rPr>
          <w:sz w:val="24"/>
          <w:szCs w:val="24"/>
        </w:rPr>
        <w:lastRenderedPageBreak/>
        <w:t xml:space="preserve">However, according to PECO, tracking EGS charges for service provided under the protections of the </w:t>
      </w:r>
      <w:r w:rsidRPr="00B065CC">
        <w:rPr>
          <w:i/>
          <w:iCs/>
          <w:sz w:val="24"/>
          <w:szCs w:val="24"/>
        </w:rPr>
        <w:t>Restructuring Settlement</w:t>
      </w:r>
      <w:r w:rsidRPr="00B065CC">
        <w:rPr>
          <w:sz w:val="24"/>
          <w:szCs w:val="24"/>
        </w:rPr>
        <w:t xml:space="preserve"> would be inconvenient and </w:t>
      </w:r>
      <w:r w:rsidR="00450496">
        <w:rPr>
          <w:sz w:val="24"/>
          <w:szCs w:val="24"/>
        </w:rPr>
        <w:t>expensive</w:t>
      </w:r>
      <w:r w:rsidRPr="00B065CC">
        <w:rPr>
          <w:sz w:val="24"/>
          <w:szCs w:val="24"/>
        </w:rPr>
        <w:t xml:space="preserve"> (PECO M.B. at 3-5).  </w:t>
      </w:r>
    </w:p>
    <w:p w:rsidR="00450496" w:rsidRPr="00B065CC" w:rsidRDefault="00450496" w:rsidP="00AD24AA">
      <w:pPr>
        <w:spacing w:line="360" w:lineRule="auto"/>
        <w:ind w:firstLine="1440"/>
        <w:rPr>
          <w:sz w:val="24"/>
          <w:szCs w:val="24"/>
        </w:rPr>
      </w:pPr>
    </w:p>
    <w:p w:rsidR="002C59D7" w:rsidRPr="00B065CC" w:rsidRDefault="002C59D7" w:rsidP="00B90969">
      <w:pPr>
        <w:spacing w:line="360" w:lineRule="auto"/>
        <w:rPr>
          <w:sz w:val="24"/>
          <w:szCs w:val="24"/>
        </w:rPr>
      </w:pPr>
      <w:r w:rsidRPr="00B065CC">
        <w:rPr>
          <w:sz w:val="24"/>
          <w:szCs w:val="24"/>
        </w:rPr>
        <w:tab/>
      </w:r>
      <w:r w:rsidRPr="00B065CC">
        <w:rPr>
          <w:sz w:val="24"/>
          <w:szCs w:val="24"/>
        </w:rPr>
        <w:tab/>
        <w:t xml:space="preserve">The OCA insisted that the protections of the </w:t>
      </w:r>
      <w:r w:rsidRPr="00B065CC">
        <w:rPr>
          <w:i/>
          <w:iCs/>
          <w:sz w:val="24"/>
          <w:szCs w:val="24"/>
        </w:rPr>
        <w:t>Restructuring Settlement</w:t>
      </w:r>
      <w:r w:rsidRPr="00B065CC">
        <w:rPr>
          <w:sz w:val="24"/>
          <w:szCs w:val="24"/>
        </w:rPr>
        <w:t xml:space="preserve"> </w:t>
      </w:r>
      <w:r w:rsidR="00A07C6B" w:rsidRPr="00B065CC">
        <w:rPr>
          <w:sz w:val="24"/>
          <w:szCs w:val="24"/>
        </w:rPr>
        <w:t xml:space="preserve">cannot be changed </w:t>
      </w:r>
      <w:r w:rsidRPr="00B065CC">
        <w:rPr>
          <w:sz w:val="24"/>
          <w:szCs w:val="24"/>
        </w:rPr>
        <w:t xml:space="preserve">before the expiration of the </w:t>
      </w:r>
      <w:r w:rsidRPr="00B065CC">
        <w:rPr>
          <w:i/>
          <w:sz w:val="24"/>
          <w:szCs w:val="24"/>
        </w:rPr>
        <w:t>Restructuring Settlement</w:t>
      </w:r>
      <w:r w:rsidRPr="00B065CC">
        <w:rPr>
          <w:sz w:val="24"/>
          <w:szCs w:val="24"/>
        </w:rPr>
        <w:t xml:space="preserve">.  </w:t>
      </w:r>
      <w:r w:rsidR="00A07C6B" w:rsidRPr="00B065CC">
        <w:rPr>
          <w:sz w:val="24"/>
          <w:szCs w:val="24"/>
        </w:rPr>
        <w:t xml:space="preserve">Under </w:t>
      </w:r>
      <w:r w:rsidRPr="00B065CC">
        <w:rPr>
          <w:sz w:val="24"/>
          <w:szCs w:val="24"/>
        </w:rPr>
        <w:t>its existing POR program, PECO cannot terminate customers for unpaid EGS charges (OCA M.B. at 3, 6</w:t>
      </w:r>
      <w:r w:rsidR="00450496">
        <w:rPr>
          <w:sz w:val="24"/>
          <w:szCs w:val="24"/>
        </w:rPr>
        <w:t>; OCA R.B. at 5</w:t>
      </w:r>
      <w:r w:rsidRPr="00B065CC">
        <w:rPr>
          <w:sz w:val="24"/>
          <w:szCs w:val="24"/>
        </w:rPr>
        <w:t xml:space="preserve">).  If a customer has unpaid EGS charges, after 90 days PECO can convert the customer to dual billing where the EGS then becomes responsible for billing and collection of its own charges.  If the EGS does not want to perform this service, the EGS can have the customer returned to PECO’s default service.  </w:t>
      </w:r>
      <w:r w:rsidR="00A07C6B" w:rsidRPr="00B065CC">
        <w:rPr>
          <w:sz w:val="24"/>
          <w:szCs w:val="24"/>
        </w:rPr>
        <w:t>(OCA M.B</w:t>
      </w:r>
      <w:r w:rsidRPr="00B065CC">
        <w:rPr>
          <w:sz w:val="24"/>
          <w:szCs w:val="24"/>
        </w:rPr>
        <w:t>. at 3, 6-7</w:t>
      </w:r>
      <w:r w:rsidR="00A07C6B" w:rsidRPr="00B065CC">
        <w:rPr>
          <w:sz w:val="24"/>
          <w:szCs w:val="24"/>
        </w:rPr>
        <w:t>)</w:t>
      </w:r>
      <w:r w:rsidRPr="00B065CC">
        <w:rPr>
          <w:sz w:val="24"/>
          <w:szCs w:val="24"/>
        </w:rPr>
        <w:t>.  It is only after the customer is returned to default service and accrues an arrearage of default service charges that PECO is authorized to terminate the customer’s service.</w:t>
      </w:r>
      <w:r w:rsidRPr="00B065CC">
        <w:rPr>
          <w:rStyle w:val="FootnoteReference"/>
          <w:sz w:val="24"/>
          <w:szCs w:val="24"/>
        </w:rPr>
        <w:footnoteReference w:id="4"/>
      </w:r>
      <w:r w:rsidR="00450496">
        <w:rPr>
          <w:sz w:val="24"/>
          <w:szCs w:val="24"/>
        </w:rPr>
        <w:t xml:space="preserve">  (OCA R.B. at 5).</w:t>
      </w:r>
      <w:r w:rsidRPr="00B065CC">
        <w:rPr>
          <w:sz w:val="24"/>
          <w:szCs w:val="24"/>
        </w:rPr>
        <w:t xml:space="preserve">  </w:t>
      </w:r>
    </w:p>
    <w:p w:rsidR="002C59D7" w:rsidRPr="00B065CC" w:rsidRDefault="002C59D7" w:rsidP="00AC4FF7">
      <w:pPr>
        <w:spacing w:line="360" w:lineRule="auto"/>
        <w:jc w:val="both"/>
        <w:rPr>
          <w:sz w:val="24"/>
          <w:szCs w:val="24"/>
        </w:rPr>
      </w:pPr>
    </w:p>
    <w:p w:rsidR="002C59D7" w:rsidRPr="00B065CC" w:rsidRDefault="002C59D7" w:rsidP="00B90969">
      <w:pPr>
        <w:spacing w:line="360" w:lineRule="auto"/>
        <w:rPr>
          <w:sz w:val="24"/>
          <w:szCs w:val="24"/>
        </w:rPr>
      </w:pPr>
      <w:r w:rsidRPr="00B065CC">
        <w:rPr>
          <w:sz w:val="24"/>
          <w:szCs w:val="24"/>
        </w:rPr>
        <w:tab/>
      </w:r>
      <w:r w:rsidRPr="00B065CC">
        <w:rPr>
          <w:sz w:val="24"/>
          <w:szCs w:val="24"/>
        </w:rPr>
        <w:tab/>
        <w:t xml:space="preserve">The OCA submitted that these are important consumer protections which were bargained for as part of the </w:t>
      </w:r>
      <w:r w:rsidRPr="00B065CC">
        <w:rPr>
          <w:i/>
          <w:iCs/>
          <w:sz w:val="24"/>
          <w:szCs w:val="24"/>
        </w:rPr>
        <w:t>Restructuring Settlement</w:t>
      </w:r>
      <w:r w:rsidRPr="00B065CC">
        <w:rPr>
          <w:sz w:val="24"/>
          <w:szCs w:val="24"/>
        </w:rPr>
        <w:t xml:space="preserve"> and are part of PECO’s existing POR program implemented under the </w:t>
      </w:r>
      <w:r w:rsidRPr="00B065CC">
        <w:rPr>
          <w:i/>
          <w:iCs/>
          <w:sz w:val="24"/>
          <w:szCs w:val="24"/>
        </w:rPr>
        <w:t>Restructuring Settlement</w:t>
      </w:r>
      <w:r w:rsidRPr="00B065CC">
        <w:rPr>
          <w:sz w:val="24"/>
          <w:szCs w:val="24"/>
        </w:rPr>
        <w:t xml:space="preserve">.  </w:t>
      </w:r>
      <w:r w:rsidR="00C27860" w:rsidRPr="00B065CC">
        <w:rPr>
          <w:sz w:val="24"/>
          <w:szCs w:val="24"/>
        </w:rPr>
        <w:t>OCA and OSBA’s position is that t</w:t>
      </w:r>
      <w:r w:rsidRPr="00B065CC">
        <w:rPr>
          <w:sz w:val="24"/>
          <w:szCs w:val="24"/>
        </w:rPr>
        <w:t xml:space="preserve">he </w:t>
      </w:r>
      <w:r w:rsidRPr="00B065CC">
        <w:rPr>
          <w:i/>
          <w:iCs/>
          <w:sz w:val="24"/>
          <w:szCs w:val="24"/>
        </w:rPr>
        <w:t>Default Service Settlement</w:t>
      </w:r>
      <w:r w:rsidRPr="00B065CC">
        <w:rPr>
          <w:sz w:val="24"/>
          <w:szCs w:val="24"/>
        </w:rPr>
        <w:t xml:space="preserve"> does not disturb, nor was it intended to disturb, the </w:t>
      </w:r>
      <w:r w:rsidRPr="00B065CC">
        <w:rPr>
          <w:i/>
          <w:iCs/>
          <w:sz w:val="24"/>
          <w:szCs w:val="24"/>
        </w:rPr>
        <w:t>Restructuring Settlement</w:t>
      </w:r>
      <w:r w:rsidRPr="00B065CC">
        <w:rPr>
          <w:sz w:val="24"/>
          <w:szCs w:val="24"/>
        </w:rPr>
        <w:t xml:space="preserve">.  The </w:t>
      </w:r>
      <w:r w:rsidRPr="00B065CC">
        <w:rPr>
          <w:i/>
          <w:iCs/>
          <w:sz w:val="24"/>
          <w:szCs w:val="24"/>
        </w:rPr>
        <w:t>Default Service Settlement</w:t>
      </w:r>
      <w:r w:rsidRPr="00B065CC">
        <w:rPr>
          <w:sz w:val="24"/>
          <w:szCs w:val="24"/>
        </w:rPr>
        <w:t xml:space="preserve"> specifically calls for the revised POR program to be implemented on January 1, 2011.  The </w:t>
      </w:r>
      <w:r w:rsidRPr="00B065CC">
        <w:rPr>
          <w:i/>
          <w:iCs/>
          <w:sz w:val="24"/>
          <w:szCs w:val="24"/>
        </w:rPr>
        <w:t>Default Service Settlement</w:t>
      </w:r>
      <w:r w:rsidRPr="00B065CC">
        <w:rPr>
          <w:sz w:val="24"/>
          <w:szCs w:val="24"/>
        </w:rPr>
        <w:t xml:space="preserve"> provides:</w:t>
      </w:r>
    </w:p>
    <w:p w:rsidR="002C59D7" w:rsidRPr="00B065CC" w:rsidRDefault="002C59D7" w:rsidP="00AC4FF7">
      <w:pPr>
        <w:ind w:left="1440" w:right="1440"/>
        <w:rPr>
          <w:sz w:val="24"/>
          <w:szCs w:val="24"/>
        </w:rPr>
      </w:pPr>
      <w:r w:rsidRPr="00B065CC">
        <w:rPr>
          <w:sz w:val="24"/>
          <w:szCs w:val="24"/>
        </w:rPr>
        <w:t>PECO will file a revised purchase of receivables (“POR”) program as part of its next general electric distribution base rate case under Section 1308(d) of the Public Utility Code (“Electric Distribution Base Rate Case”).  If PECO does not file an Electric Distribution Base Rate Case proposing new base rates to become effective, after full suspension, on or before January 1, 2011, then it will file a stand-alone POR program no later than July 1, 2010 and will request that the Commission decide that case in sufficient time to implement the revised POR program on January 1, 2011.</w:t>
      </w:r>
    </w:p>
    <w:p w:rsidR="002C59D7" w:rsidRPr="00B065CC" w:rsidRDefault="002C59D7" w:rsidP="002C59D7">
      <w:pPr>
        <w:ind w:left="1440" w:right="1440"/>
        <w:jc w:val="both"/>
        <w:rPr>
          <w:sz w:val="24"/>
          <w:szCs w:val="24"/>
        </w:rPr>
      </w:pPr>
    </w:p>
    <w:p w:rsidR="002C59D7" w:rsidRDefault="002C59D7" w:rsidP="002C59D7">
      <w:pPr>
        <w:spacing w:line="480" w:lineRule="auto"/>
        <w:jc w:val="both"/>
        <w:rPr>
          <w:sz w:val="24"/>
          <w:szCs w:val="24"/>
        </w:rPr>
      </w:pPr>
      <w:r w:rsidRPr="00B065CC">
        <w:rPr>
          <w:i/>
          <w:sz w:val="24"/>
          <w:szCs w:val="24"/>
        </w:rPr>
        <w:t>Default Service Settlement</w:t>
      </w:r>
      <w:r w:rsidRPr="00B065CC">
        <w:rPr>
          <w:sz w:val="24"/>
          <w:szCs w:val="24"/>
        </w:rPr>
        <w:t xml:space="preserve"> ¶ 65.</w:t>
      </w:r>
      <w:r w:rsidR="00340201">
        <w:rPr>
          <w:sz w:val="24"/>
          <w:szCs w:val="24"/>
        </w:rPr>
        <w:t xml:space="preserve">  (OCA R.B. at 6).</w:t>
      </w:r>
    </w:p>
    <w:p w:rsidR="00BA3E9C" w:rsidRDefault="002C59D7" w:rsidP="00AC4FF7">
      <w:pPr>
        <w:spacing w:line="360" w:lineRule="auto"/>
        <w:rPr>
          <w:sz w:val="24"/>
          <w:szCs w:val="24"/>
        </w:rPr>
      </w:pPr>
      <w:r w:rsidRPr="00B065CC">
        <w:rPr>
          <w:sz w:val="24"/>
          <w:szCs w:val="24"/>
        </w:rPr>
        <w:tab/>
      </w:r>
      <w:r w:rsidRPr="00B065CC">
        <w:rPr>
          <w:sz w:val="24"/>
          <w:szCs w:val="24"/>
        </w:rPr>
        <w:tab/>
      </w:r>
    </w:p>
    <w:p w:rsidR="00BA3E9C" w:rsidRDefault="00BA3E9C" w:rsidP="00AC4FF7">
      <w:pPr>
        <w:spacing w:line="360" w:lineRule="auto"/>
        <w:rPr>
          <w:sz w:val="24"/>
          <w:szCs w:val="24"/>
        </w:rPr>
      </w:pPr>
    </w:p>
    <w:p w:rsidR="002C59D7" w:rsidRPr="00B065CC" w:rsidRDefault="00A07C6B" w:rsidP="00BA3E9C">
      <w:pPr>
        <w:spacing w:line="360" w:lineRule="auto"/>
        <w:ind w:firstLine="1440"/>
        <w:rPr>
          <w:sz w:val="24"/>
          <w:szCs w:val="24"/>
        </w:rPr>
      </w:pPr>
      <w:r w:rsidRPr="00B065CC">
        <w:rPr>
          <w:sz w:val="24"/>
          <w:szCs w:val="24"/>
        </w:rPr>
        <w:t xml:space="preserve">OCA and OSBA </w:t>
      </w:r>
      <w:r w:rsidR="00E1316F" w:rsidRPr="00B065CC">
        <w:rPr>
          <w:sz w:val="24"/>
          <w:szCs w:val="24"/>
        </w:rPr>
        <w:t>stated that t</w:t>
      </w:r>
      <w:r w:rsidR="002C59D7" w:rsidRPr="00B065CC">
        <w:rPr>
          <w:sz w:val="24"/>
          <w:szCs w:val="24"/>
        </w:rPr>
        <w:t xml:space="preserve">he </w:t>
      </w:r>
      <w:r w:rsidR="002C59D7" w:rsidRPr="00B065CC">
        <w:rPr>
          <w:i/>
          <w:iCs/>
          <w:sz w:val="24"/>
          <w:szCs w:val="24"/>
        </w:rPr>
        <w:t>Default Service Settlement</w:t>
      </w:r>
      <w:r w:rsidR="002C59D7" w:rsidRPr="00B065CC">
        <w:rPr>
          <w:sz w:val="24"/>
          <w:szCs w:val="24"/>
        </w:rPr>
        <w:t xml:space="preserve"> does </w:t>
      </w:r>
      <w:r w:rsidR="002C59D7" w:rsidRPr="00B065CC">
        <w:rPr>
          <w:i/>
          <w:sz w:val="24"/>
          <w:szCs w:val="24"/>
        </w:rPr>
        <w:t>not</w:t>
      </w:r>
      <w:r w:rsidR="002C59D7" w:rsidRPr="00B065CC">
        <w:rPr>
          <w:sz w:val="24"/>
          <w:szCs w:val="24"/>
        </w:rPr>
        <w:t xml:space="preserve"> provide PECO with the ability to terminate service based on unpaid EGS charges for service incurred </w:t>
      </w:r>
      <w:r w:rsidR="002C59D7" w:rsidRPr="00B065CC">
        <w:rPr>
          <w:i/>
          <w:sz w:val="24"/>
          <w:szCs w:val="24"/>
        </w:rPr>
        <w:t>before</w:t>
      </w:r>
      <w:r w:rsidR="002C59D7" w:rsidRPr="00B065CC">
        <w:rPr>
          <w:sz w:val="24"/>
          <w:szCs w:val="24"/>
        </w:rPr>
        <w:t xml:space="preserve"> PECO’s Revised POR program is implemented.  PECO’s proposal to terminate service to customers based on EGS charges incurred before the Revised POR Program takes effect would alter the protections bargained for under the </w:t>
      </w:r>
      <w:r w:rsidR="002C59D7" w:rsidRPr="00B065CC">
        <w:rPr>
          <w:i/>
          <w:iCs/>
          <w:sz w:val="24"/>
          <w:szCs w:val="24"/>
        </w:rPr>
        <w:t>Restructuring Settlement</w:t>
      </w:r>
      <w:r w:rsidR="002C59D7" w:rsidRPr="00B065CC">
        <w:rPr>
          <w:sz w:val="24"/>
          <w:szCs w:val="24"/>
        </w:rPr>
        <w:t>, protections that are reflective of the design of the existing POR program</w:t>
      </w:r>
      <w:r w:rsidR="004B7512">
        <w:rPr>
          <w:sz w:val="24"/>
          <w:szCs w:val="24"/>
        </w:rPr>
        <w:t xml:space="preserve"> </w:t>
      </w:r>
      <w:r w:rsidR="002C59D7" w:rsidRPr="00B065CC">
        <w:rPr>
          <w:sz w:val="24"/>
          <w:szCs w:val="24"/>
        </w:rPr>
        <w:t>(See OCA M.B. at 3-9; OCA St. 1 at 6-7, 18</w:t>
      </w:r>
      <w:r w:rsidR="00340201">
        <w:rPr>
          <w:sz w:val="24"/>
          <w:szCs w:val="24"/>
        </w:rPr>
        <w:t>; OSBA R.B. at 7</w:t>
      </w:r>
      <w:r w:rsidR="002C59D7" w:rsidRPr="00B065CC">
        <w:rPr>
          <w:sz w:val="24"/>
          <w:szCs w:val="24"/>
        </w:rPr>
        <w:t xml:space="preserve">).  </w:t>
      </w:r>
    </w:p>
    <w:p w:rsidR="002C59D7" w:rsidRPr="00B065CC" w:rsidRDefault="002C59D7" w:rsidP="004B7512">
      <w:pPr>
        <w:spacing w:line="360" w:lineRule="auto"/>
        <w:jc w:val="both"/>
        <w:rPr>
          <w:sz w:val="24"/>
          <w:szCs w:val="24"/>
        </w:rPr>
      </w:pPr>
    </w:p>
    <w:p w:rsidR="00276ECB" w:rsidRPr="00B065CC" w:rsidRDefault="00E907AA" w:rsidP="00D82626">
      <w:pPr>
        <w:spacing w:line="360" w:lineRule="auto"/>
        <w:rPr>
          <w:sz w:val="24"/>
          <w:szCs w:val="24"/>
        </w:rPr>
      </w:pPr>
      <w:r w:rsidRPr="00B065CC">
        <w:rPr>
          <w:sz w:val="24"/>
          <w:szCs w:val="24"/>
        </w:rPr>
        <w:tab/>
      </w:r>
      <w:r w:rsidR="00D82626" w:rsidRPr="00B065CC">
        <w:rPr>
          <w:sz w:val="24"/>
          <w:szCs w:val="24"/>
        </w:rPr>
        <w:tab/>
      </w:r>
      <w:r w:rsidR="00276ECB" w:rsidRPr="00B065CC">
        <w:rPr>
          <w:sz w:val="24"/>
          <w:szCs w:val="24"/>
        </w:rPr>
        <w:t>OSBA contended that d</w:t>
      </w:r>
      <w:r w:rsidR="00D82626" w:rsidRPr="00B065CC">
        <w:rPr>
          <w:sz w:val="24"/>
          <w:szCs w:val="24"/>
        </w:rPr>
        <w:t xml:space="preserve">espite </w:t>
      </w:r>
      <w:r w:rsidR="001C26E0" w:rsidRPr="00B065CC">
        <w:rPr>
          <w:sz w:val="24"/>
          <w:szCs w:val="24"/>
        </w:rPr>
        <w:t xml:space="preserve">the </w:t>
      </w:r>
      <w:r w:rsidR="00D82626" w:rsidRPr="00B065CC">
        <w:rPr>
          <w:sz w:val="24"/>
          <w:szCs w:val="24"/>
        </w:rPr>
        <w:t xml:space="preserve">arguments based on the interpretation of a document, PECO </w:t>
      </w:r>
      <w:r w:rsidR="00276ECB" w:rsidRPr="00B065CC">
        <w:rPr>
          <w:sz w:val="24"/>
          <w:szCs w:val="24"/>
        </w:rPr>
        <w:t xml:space="preserve">failed to </w:t>
      </w:r>
      <w:r w:rsidR="00D82626" w:rsidRPr="00B065CC">
        <w:rPr>
          <w:sz w:val="24"/>
          <w:szCs w:val="24"/>
        </w:rPr>
        <w:t>cite</w:t>
      </w:r>
      <w:r w:rsidR="00276ECB" w:rsidRPr="00B065CC">
        <w:rPr>
          <w:sz w:val="24"/>
          <w:szCs w:val="24"/>
        </w:rPr>
        <w:t xml:space="preserve"> any</w:t>
      </w:r>
      <w:r w:rsidR="00D82626" w:rsidRPr="00B065CC">
        <w:rPr>
          <w:sz w:val="24"/>
          <w:szCs w:val="24"/>
        </w:rPr>
        <w:t xml:space="preserve">thing in the </w:t>
      </w:r>
      <w:r w:rsidR="00D82626" w:rsidRPr="00B065CC">
        <w:rPr>
          <w:i/>
          <w:iCs/>
          <w:sz w:val="24"/>
          <w:szCs w:val="24"/>
        </w:rPr>
        <w:t>Restructuring Settlement</w:t>
      </w:r>
      <w:r w:rsidR="00D82626" w:rsidRPr="00B065CC">
        <w:rPr>
          <w:sz w:val="24"/>
          <w:szCs w:val="24"/>
        </w:rPr>
        <w:t xml:space="preserve"> which explicitly or implicitly authorizes termination after December 31, 2010, for EGS charges which were not paid by that date.  Therefore, the </w:t>
      </w:r>
      <w:r w:rsidR="00D82626" w:rsidRPr="00B065CC">
        <w:rPr>
          <w:i/>
          <w:iCs/>
          <w:sz w:val="24"/>
          <w:szCs w:val="24"/>
        </w:rPr>
        <w:t>Restructuring Settlement</w:t>
      </w:r>
      <w:r w:rsidR="00D82626" w:rsidRPr="00B065CC">
        <w:rPr>
          <w:sz w:val="24"/>
          <w:szCs w:val="24"/>
        </w:rPr>
        <w:t xml:space="preserve"> does not authorize such terminations</w:t>
      </w:r>
      <w:r w:rsidR="00276ECB" w:rsidRPr="00B065CC">
        <w:rPr>
          <w:sz w:val="24"/>
          <w:szCs w:val="24"/>
        </w:rPr>
        <w:t xml:space="preserve"> (OSBA R. B. at 6, 7)</w:t>
      </w:r>
      <w:r w:rsidR="00D82626" w:rsidRPr="00B065CC">
        <w:rPr>
          <w:sz w:val="24"/>
          <w:szCs w:val="24"/>
        </w:rPr>
        <w:t xml:space="preserve">. </w:t>
      </w:r>
    </w:p>
    <w:p w:rsidR="001C26E0" w:rsidRPr="00B065CC" w:rsidRDefault="001C26E0" w:rsidP="004B7512">
      <w:pPr>
        <w:spacing w:line="360" w:lineRule="auto"/>
        <w:rPr>
          <w:sz w:val="24"/>
          <w:szCs w:val="24"/>
        </w:rPr>
      </w:pPr>
    </w:p>
    <w:p w:rsidR="00D82626" w:rsidRDefault="00390556" w:rsidP="00D82626">
      <w:pPr>
        <w:spacing w:line="360" w:lineRule="auto"/>
        <w:rPr>
          <w:sz w:val="24"/>
          <w:szCs w:val="24"/>
        </w:rPr>
      </w:pPr>
      <w:r w:rsidRPr="00B065CC">
        <w:rPr>
          <w:sz w:val="24"/>
          <w:szCs w:val="24"/>
        </w:rPr>
        <w:tab/>
      </w:r>
      <w:r w:rsidR="00D82626" w:rsidRPr="00B065CC">
        <w:rPr>
          <w:sz w:val="24"/>
          <w:szCs w:val="24"/>
        </w:rPr>
        <w:tab/>
      </w:r>
      <w:r w:rsidR="00E907AA" w:rsidRPr="00B065CC">
        <w:rPr>
          <w:sz w:val="24"/>
          <w:szCs w:val="24"/>
        </w:rPr>
        <w:t xml:space="preserve">OSBA submitted that </w:t>
      </w:r>
      <w:r w:rsidR="00D82626" w:rsidRPr="00B065CC">
        <w:rPr>
          <w:sz w:val="24"/>
          <w:szCs w:val="24"/>
        </w:rPr>
        <w:t xml:space="preserve">there is no language in the </w:t>
      </w:r>
      <w:r w:rsidR="00D82626" w:rsidRPr="00B065CC">
        <w:rPr>
          <w:i/>
          <w:iCs/>
          <w:sz w:val="24"/>
          <w:szCs w:val="24"/>
        </w:rPr>
        <w:t>Default Service Settlement</w:t>
      </w:r>
      <w:r w:rsidR="00D82626" w:rsidRPr="00B065CC">
        <w:rPr>
          <w:sz w:val="24"/>
          <w:szCs w:val="24"/>
        </w:rPr>
        <w:t xml:space="preserve"> that contemplates the termination of a customer for non-payment of EGS charges incurred prior</w:t>
      </w:r>
      <w:r w:rsidR="00340201">
        <w:rPr>
          <w:sz w:val="24"/>
          <w:szCs w:val="24"/>
        </w:rPr>
        <w:t xml:space="preserve"> to January 1, 2011.  The</w:t>
      </w:r>
      <w:r w:rsidR="00D82626" w:rsidRPr="00B065CC">
        <w:rPr>
          <w:sz w:val="24"/>
          <w:szCs w:val="24"/>
        </w:rPr>
        <w:t xml:space="preserve"> language </w:t>
      </w:r>
      <w:r w:rsidR="00340201">
        <w:rPr>
          <w:sz w:val="24"/>
          <w:szCs w:val="24"/>
        </w:rPr>
        <w:t xml:space="preserve">in the </w:t>
      </w:r>
      <w:r w:rsidR="00340201" w:rsidRPr="00340201">
        <w:rPr>
          <w:i/>
          <w:sz w:val="24"/>
          <w:szCs w:val="24"/>
        </w:rPr>
        <w:t>Default Service Settlement</w:t>
      </w:r>
      <w:r w:rsidR="00340201">
        <w:rPr>
          <w:sz w:val="24"/>
          <w:szCs w:val="24"/>
        </w:rPr>
        <w:t xml:space="preserve"> </w:t>
      </w:r>
      <w:r w:rsidR="00D82626" w:rsidRPr="00B065CC">
        <w:rPr>
          <w:sz w:val="24"/>
          <w:szCs w:val="24"/>
        </w:rPr>
        <w:t xml:space="preserve">is </w:t>
      </w:r>
      <w:r w:rsidR="00D82626" w:rsidRPr="00B065CC">
        <w:rPr>
          <w:i/>
          <w:sz w:val="24"/>
          <w:szCs w:val="24"/>
        </w:rPr>
        <w:t>prospective</w:t>
      </w:r>
      <w:r w:rsidR="00D82626" w:rsidRPr="00B065CC">
        <w:rPr>
          <w:sz w:val="24"/>
          <w:szCs w:val="24"/>
        </w:rPr>
        <w:t>, not retrospective</w:t>
      </w:r>
      <w:r w:rsidR="00582895" w:rsidRPr="00B065CC">
        <w:rPr>
          <w:sz w:val="24"/>
          <w:szCs w:val="24"/>
        </w:rPr>
        <w:t xml:space="preserve"> (OSBA R.B. at 7)</w:t>
      </w:r>
      <w:r w:rsidR="00D82626" w:rsidRPr="00B065CC">
        <w:rPr>
          <w:sz w:val="24"/>
          <w:szCs w:val="24"/>
        </w:rPr>
        <w:t xml:space="preserve">.  </w:t>
      </w:r>
      <w:r w:rsidR="00E1316F" w:rsidRPr="00B065CC">
        <w:rPr>
          <w:sz w:val="24"/>
          <w:szCs w:val="24"/>
        </w:rPr>
        <w:t>Accordingly,</w:t>
      </w:r>
      <w:r w:rsidR="00D82626" w:rsidRPr="00B065CC">
        <w:rPr>
          <w:sz w:val="24"/>
          <w:szCs w:val="24"/>
        </w:rPr>
        <w:t xml:space="preserve"> </w:t>
      </w:r>
      <w:r w:rsidR="00E907AA" w:rsidRPr="00B065CC">
        <w:rPr>
          <w:sz w:val="24"/>
          <w:szCs w:val="24"/>
        </w:rPr>
        <w:t xml:space="preserve">OSBA objected to </w:t>
      </w:r>
      <w:r w:rsidR="00D82626" w:rsidRPr="00B065CC">
        <w:rPr>
          <w:sz w:val="24"/>
          <w:szCs w:val="24"/>
        </w:rPr>
        <w:t>the retrospective application of termination procedures to previously protected customers</w:t>
      </w:r>
      <w:r w:rsidR="00582895" w:rsidRPr="00B065CC">
        <w:rPr>
          <w:sz w:val="24"/>
          <w:szCs w:val="24"/>
        </w:rPr>
        <w:t xml:space="preserve"> (OSBA R</w:t>
      </w:r>
      <w:r w:rsidR="00E907AA" w:rsidRPr="00B065CC">
        <w:rPr>
          <w:sz w:val="24"/>
          <w:szCs w:val="24"/>
        </w:rPr>
        <w:t>.</w:t>
      </w:r>
      <w:r w:rsidR="00582895" w:rsidRPr="00B065CC">
        <w:rPr>
          <w:sz w:val="24"/>
          <w:szCs w:val="24"/>
        </w:rPr>
        <w:t>B. at 7).</w:t>
      </w:r>
      <w:r w:rsidR="00D82626" w:rsidRPr="00B065CC">
        <w:rPr>
          <w:sz w:val="24"/>
          <w:szCs w:val="24"/>
        </w:rPr>
        <w:t xml:space="preserve">  </w:t>
      </w:r>
    </w:p>
    <w:p w:rsidR="006338E3" w:rsidRPr="00B065CC" w:rsidRDefault="006338E3" w:rsidP="00D82626">
      <w:pPr>
        <w:spacing w:line="360" w:lineRule="auto"/>
        <w:rPr>
          <w:sz w:val="24"/>
          <w:szCs w:val="24"/>
        </w:rPr>
      </w:pPr>
    </w:p>
    <w:p w:rsidR="00BA3E9C" w:rsidRDefault="00185AC9" w:rsidP="004B7512">
      <w:pPr>
        <w:spacing w:line="360" w:lineRule="auto"/>
        <w:rPr>
          <w:sz w:val="24"/>
          <w:szCs w:val="24"/>
        </w:rPr>
      </w:pPr>
      <w:r w:rsidRPr="00B065CC">
        <w:rPr>
          <w:sz w:val="24"/>
          <w:szCs w:val="24"/>
        </w:rPr>
        <w:tab/>
      </w:r>
      <w:r w:rsidRPr="00B065CC">
        <w:rPr>
          <w:sz w:val="24"/>
          <w:szCs w:val="24"/>
        </w:rPr>
        <w:tab/>
      </w:r>
      <w:r w:rsidR="00582895" w:rsidRPr="00B065CC">
        <w:rPr>
          <w:sz w:val="24"/>
          <w:szCs w:val="24"/>
        </w:rPr>
        <w:t xml:space="preserve">OCA noted </w:t>
      </w:r>
      <w:r w:rsidRPr="00B065CC">
        <w:rPr>
          <w:sz w:val="24"/>
          <w:szCs w:val="24"/>
        </w:rPr>
        <w:t>the significant differences between the design of the existing POR and the revised POR.  Under PECO’s Revised POR program, PECO will accept for consolidated billing and purchase without recourse only those EGS charges which the EGS certifies comply with the tariffed definition of basic electricity supply</w:t>
      </w:r>
      <w:r w:rsidR="00F86509" w:rsidRPr="00B065CC">
        <w:rPr>
          <w:sz w:val="24"/>
          <w:szCs w:val="24"/>
        </w:rPr>
        <w:t xml:space="preserve"> (</w:t>
      </w:r>
      <w:r w:rsidRPr="00B065CC">
        <w:rPr>
          <w:sz w:val="24"/>
          <w:szCs w:val="24"/>
        </w:rPr>
        <w:t>OCA M.B. at 8-9; see Joint Petition</w:t>
      </w:r>
      <w:r w:rsidR="00F03449">
        <w:rPr>
          <w:sz w:val="24"/>
          <w:szCs w:val="24"/>
        </w:rPr>
        <w:t xml:space="preserve">, </w:t>
      </w:r>
      <w:r w:rsidR="005657B9">
        <w:rPr>
          <w:sz w:val="24"/>
          <w:szCs w:val="24"/>
        </w:rPr>
        <w:t>¶</w:t>
      </w:r>
      <w:r w:rsidRPr="00B065CC">
        <w:rPr>
          <w:sz w:val="24"/>
          <w:szCs w:val="24"/>
        </w:rPr>
        <w:t>9.A.</w:t>
      </w:r>
      <w:r w:rsidR="00F86509" w:rsidRPr="00B065CC">
        <w:rPr>
          <w:sz w:val="24"/>
          <w:szCs w:val="24"/>
        </w:rPr>
        <w:t>)</w:t>
      </w:r>
      <w:r w:rsidR="005657B9">
        <w:rPr>
          <w:sz w:val="24"/>
          <w:szCs w:val="24"/>
        </w:rPr>
        <w:t>.</w:t>
      </w:r>
      <w:r w:rsidRPr="00B065CC">
        <w:rPr>
          <w:sz w:val="24"/>
          <w:szCs w:val="24"/>
        </w:rPr>
        <w:t xml:space="preserve">  That tariff definition has been agreed to by the parties to the </w:t>
      </w:r>
      <w:r w:rsidR="00F03449">
        <w:rPr>
          <w:sz w:val="24"/>
          <w:szCs w:val="24"/>
        </w:rPr>
        <w:t>Joint Petition</w:t>
      </w:r>
      <w:r w:rsidRPr="00B065CC">
        <w:rPr>
          <w:sz w:val="24"/>
          <w:szCs w:val="24"/>
        </w:rPr>
        <w:t xml:space="preserve"> and will only take effect, after Commission approval, on January 1, 2011.  The definition of basic electric supply specifically ensures </w:t>
      </w:r>
      <w:r w:rsidR="00E1316F" w:rsidRPr="00B065CC">
        <w:rPr>
          <w:sz w:val="24"/>
          <w:szCs w:val="24"/>
        </w:rPr>
        <w:t xml:space="preserve">that termination of essential utility service </w:t>
      </w:r>
      <w:r w:rsidR="00825836" w:rsidRPr="00B065CC">
        <w:rPr>
          <w:sz w:val="24"/>
          <w:szCs w:val="24"/>
        </w:rPr>
        <w:t xml:space="preserve">is based </w:t>
      </w:r>
      <w:r w:rsidRPr="00B065CC">
        <w:rPr>
          <w:sz w:val="24"/>
          <w:szCs w:val="24"/>
        </w:rPr>
        <w:t xml:space="preserve">only </w:t>
      </w:r>
      <w:r w:rsidR="003F50BE">
        <w:rPr>
          <w:sz w:val="24"/>
          <w:szCs w:val="24"/>
        </w:rPr>
        <w:t xml:space="preserve">on </w:t>
      </w:r>
      <w:r w:rsidR="00825836" w:rsidRPr="00B065CC">
        <w:rPr>
          <w:sz w:val="24"/>
          <w:szCs w:val="24"/>
        </w:rPr>
        <w:t xml:space="preserve">failure to pay </w:t>
      </w:r>
      <w:r w:rsidRPr="00B065CC">
        <w:rPr>
          <w:sz w:val="24"/>
          <w:szCs w:val="24"/>
        </w:rPr>
        <w:t xml:space="preserve">charges associated with the delivered electric supply, and not charges for early cancellation fees, deposits or other unregulated charges.  In contrast, EGS charges for service which PECO </w:t>
      </w:r>
    </w:p>
    <w:p w:rsidR="00BA3E9C" w:rsidRDefault="00BA3E9C">
      <w:pPr>
        <w:rPr>
          <w:sz w:val="24"/>
          <w:szCs w:val="24"/>
        </w:rPr>
      </w:pPr>
      <w:r>
        <w:rPr>
          <w:sz w:val="24"/>
          <w:szCs w:val="24"/>
        </w:rPr>
        <w:br w:type="page"/>
      </w:r>
    </w:p>
    <w:p w:rsidR="00BA3E9C" w:rsidRDefault="00BA3E9C" w:rsidP="004B7512">
      <w:pPr>
        <w:spacing w:line="360" w:lineRule="auto"/>
        <w:rPr>
          <w:sz w:val="24"/>
          <w:szCs w:val="24"/>
        </w:rPr>
      </w:pPr>
    </w:p>
    <w:p w:rsidR="00F86509" w:rsidRPr="00B065CC" w:rsidRDefault="00185AC9" w:rsidP="004B7512">
      <w:pPr>
        <w:spacing w:line="360" w:lineRule="auto"/>
        <w:rPr>
          <w:sz w:val="24"/>
          <w:szCs w:val="24"/>
        </w:rPr>
      </w:pPr>
      <w:r w:rsidRPr="00B065CC">
        <w:rPr>
          <w:sz w:val="24"/>
          <w:szCs w:val="24"/>
        </w:rPr>
        <w:t>might bill for under its existing POR program are not subject to such screening and limitation</w:t>
      </w:r>
      <w:r w:rsidR="00F86509" w:rsidRPr="00B065CC">
        <w:rPr>
          <w:sz w:val="24"/>
          <w:szCs w:val="24"/>
        </w:rPr>
        <w:t xml:space="preserve"> (</w:t>
      </w:r>
      <w:r w:rsidRPr="00B065CC">
        <w:rPr>
          <w:sz w:val="24"/>
          <w:szCs w:val="24"/>
        </w:rPr>
        <w:t>OCA M.B. at 8-9; see OCA St. 1 at 8-9</w:t>
      </w:r>
      <w:r w:rsidR="00F86509" w:rsidRPr="00B065CC">
        <w:rPr>
          <w:sz w:val="24"/>
          <w:szCs w:val="24"/>
        </w:rPr>
        <w:t>)</w:t>
      </w:r>
      <w:r w:rsidRPr="00B065CC">
        <w:rPr>
          <w:sz w:val="24"/>
          <w:szCs w:val="24"/>
        </w:rPr>
        <w:t>.</w:t>
      </w:r>
    </w:p>
    <w:p w:rsidR="00825836" w:rsidRPr="00B065CC" w:rsidRDefault="00825836" w:rsidP="00200289">
      <w:pPr>
        <w:spacing w:line="360" w:lineRule="auto"/>
        <w:jc w:val="both"/>
        <w:rPr>
          <w:sz w:val="24"/>
          <w:szCs w:val="24"/>
        </w:rPr>
      </w:pPr>
    </w:p>
    <w:p w:rsidR="00D82626" w:rsidRPr="00B065CC" w:rsidRDefault="00825836" w:rsidP="00200289">
      <w:pPr>
        <w:spacing w:line="360" w:lineRule="auto"/>
        <w:rPr>
          <w:sz w:val="24"/>
          <w:szCs w:val="24"/>
        </w:rPr>
      </w:pPr>
      <w:r w:rsidRPr="00B065CC">
        <w:rPr>
          <w:sz w:val="24"/>
          <w:szCs w:val="24"/>
        </w:rPr>
        <w:tab/>
      </w:r>
      <w:r w:rsidRPr="00B065CC">
        <w:rPr>
          <w:sz w:val="24"/>
          <w:szCs w:val="24"/>
        </w:rPr>
        <w:tab/>
        <w:t xml:space="preserve">OCA and </w:t>
      </w:r>
      <w:r w:rsidR="00185AC9" w:rsidRPr="00B065CC">
        <w:rPr>
          <w:sz w:val="24"/>
          <w:szCs w:val="24"/>
        </w:rPr>
        <w:t>OSBA</w:t>
      </w:r>
      <w:r w:rsidRPr="00B065CC">
        <w:rPr>
          <w:sz w:val="24"/>
          <w:szCs w:val="24"/>
        </w:rPr>
        <w:t xml:space="preserve"> </w:t>
      </w:r>
      <w:r w:rsidR="003C5730" w:rsidRPr="00B065CC">
        <w:rPr>
          <w:sz w:val="24"/>
          <w:szCs w:val="24"/>
        </w:rPr>
        <w:t>contended that g</w:t>
      </w:r>
      <w:r w:rsidR="00D82626" w:rsidRPr="00B065CC">
        <w:rPr>
          <w:sz w:val="24"/>
          <w:szCs w:val="24"/>
        </w:rPr>
        <w:t>iven the</w:t>
      </w:r>
      <w:r w:rsidR="003C5730" w:rsidRPr="00B065CC">
        <w:rPr>
          <w:sz w:val="24"/>
          <w:szCs w:val="24"/>
        </w:rPr>
        <w:t>ir</w:t>
      </w:r>
      <w:r w:rsidR="00D82626" w:rsidRPr="00B065CC">
        <w:rPr>
          <w:sz w:val="24"/>
          <w:szCs w:val="24"/>
        </w:rPr>
        <w:t xml:space="preserve"> opposition</w:t>
      </w:r>
      <w:r w:rsidR="003C5730" w:rsidRPr="00B065CC">
        <w:rPr>
          <w:sz w:val="24"/>
          <w:szCs w:val="24"/>
        </w:rPr>
        <w:t xml:space="preserve"> </w:t>
      </w:r>
      <w:r w:rsidR="00D82626" w:rsidRPr="00B065CC">
        <w:rPr>
          <w:sz w:val="24"/>
          <w:szCs w:val="24"/>
        </w:rPr>
        <w:t xml:space="preserve">to PECO’s proposal to terminate for pre-2011 EGS charges, there is no basis for concluding that the parties to the </w:t>
      </w:r>
      <w:r w:rsidR="00D82626" w:rsidRPr="00B065CC">
        <w:rPr>
          <w:i/>
          <w:iCs/>
          <w:sz w:val="24"/>
          <w:szCs w:val="24"/>
        </w:rPr>
        <w:t>Default Service Settlement</w:t>
      </w:r>
      <w:r w:rsidR="00D82626" w:rsidRPr="00B065CC">
        <w:rPr>
          <w:sz w:val="24"/>
          <w:szCs w:val="24"/>
        </w:rPr>
        <w:t xml:space="preserve"> agreed that “appropriate consumer protections” include an opportunity for PECO to terminat</w:t>
      </w:r>
      <w:r w:rsidR="003C5730" w:rsidRPr="00B065CC">
        <w:rPr>
          <w:sz w:val="24"/>
          <w:szCs w:val="24"/>
        </w:rPr>
        <w:t xml:space="preserve">e customers for unpaid EGS charges that were </w:t>
      </w:r>
      <w:r w:rsidR="00D82626" w:rsidRPr="00B065CC">
        <w:rPr>
          <w:sz w:val="24"/>
          <w:szCs w:val="24"/>
        </w:rPr>
        <w:t>in</w:t>
      </w:r>
      <w:r w:rsidR="003C5730" w:rsidRPr="00B065CC">
        <w:rPr>
          <w:sz w:val="24"/>
          <w:szCs w:val="24"/>
        </w:rPr>
        <w:t>curred prior to January 1, 2011</w:t>
      </w:r>
      <w:r w:rsidR="00D82626" w:rsidRPr="00B065CC">
        <w:rPr>
          <w:sz w:val="24"/>
          <w:szCs w:val="24"/>
        </w:rPr>
        <w:t xml:space="preserve">.  There is also no basis for concluding that the parties to the </w:t>
      </w:r>
      <w:r w:rsidR="00D82626" w:rsidRPr="00B065CC">
        <w:rPr>
          <w:i/>
          <w:iCs/>
          <w:sz w:val="24"/>
          <w:szCs w:val="24"/>
        </w:rPr>
        <w:t>Default Service Settlement</w:t>
      </w:r>
      <w:r w:rsidR="00D82626" w:rsidRPr="00B065CC">
        <w:rPr>
          <w:sz w:val="24"/>
          <w:szCs w:val="24"/>
        </w:rPr>
        <w:t xml:space="preserve"> agreed that it would be consistent with “appropriate consumer protections” for PECO to terminate customers who owed money to an EGS - but not to PECO - on December 31, 2010</w:t>
      </w:r>
      <w:r w:rsidR="00F86509" w:rsidRPr="00B065CC">
        <w:rPr>
          <w:sz w:val="24"/>
          <w:szCs w:val="24"/>
        </w:rPr>
        <w:t xml:space="preserve"> (</w:t>
      </w:r>
      <w:r w:rsidR="00F03449">
        <w:rPr>
          <w:sz w:val="24"/>
          <w:szCs w:val="24"/>
        </w:rPr>
        <w:t xml:space="preserve">OCA R.B. at 7; </w:t>
      </w:r>
      <w:r w:rsidR="00F86509" w:rsidRPr="00B065CC">
        <w:rPr>
          <w:sz w:val="24"/>
          <w:szCs w:val="24"/>
        </w:rPr>
        <w:t>OSBA R.</w:t>
      </w:r>
      <w:r w:rsidR="00F03449">
        <w:rPr>
          <w:sz w:val="24"/>
          <w:szCs w:val="24"/>
        </w:rPr>
        <w:t xml:space="preserve"> B. at 7</w:t>
      </w:r>
      <w:r w:rsidR="00F86509" w:rsidRPr="00B065CC">
        <w:rPr>
          <w:sz w:val="24"/>
          <w:szCs w:val="24"/>
        </w:rPr>
        <w:t>)</w:t>
      </w:r>
      <w:r w:rsidR="00D82626" w:rsidRPr="00B065CC">
        <w:rPr>
          <w:sz w:val="24"/>
          <w:szCs w:val="24"/>
        </w:rPr>
        <w:t xml:space="preserve">. </w:t>
      </w:r>
    </w:p>
    <w:p w:rsidR="00F86509" w:rsidRPr="00B065CC" w:rsidRDefault="00F86509" w:rsidP="00325C20">
      <w:pPr>
        <w:spacing w:line="360" w:lineRule="auto"/>
        <w:rPr>
          <w:sz w:val="24"/>
          <w:szCs w:val="24"/>
        </w:rPr>
      </w:pPr>
    </w:p>
    <w:p w:rsidR="00185AC9" w:rsidRDefault="00185AC9" w:rsidP="00200289">
      <w:pPr>
        <w:spacing w:line="360" w:lineRule="auto"/>
        <w:rPr>
          <w:sz w:val="24"/>
          <w:szCs w:val="24"/>
        </w:rPr>
      </w:pPr>
      <w:r w:rsidRPr="00B065CC">
        <w:rPr>
          <w:sz w:val="24"/>
          <w:szCs w:val="24"/>
        </w:rPr>
        <w:tab/>
      </w:r>
      <w:r w:rsidRPr="00B065CC">
        <w:rPr>
          <w:sz w:val="24"/>
          <w:szCs w:val="24"/>
        </w:rPr>
        <w:tab/>
      </w:r>
      <w:r w:rsidR="00F86509" w:rsidRPr="00B065CC">
        <w:rPr>
          <w:sz w:val="24"/>
          <w:szCs w:val="24"/>
        </w:rPr>
        <w:t>OCA stated that b</w:t>
      </w:r>
      <w:r w:rsidRPr="00B065CC">
        <w:rPr>
          <w:sz w:val="24"/>
          <w:szCs w:val="24"/>
        </w:rPr>
        <w:t xml:space="preserve">oth PECO and RESA ask the Commission to find that avoidance of implementation costs justifies denying EGS customers receiving service under PECO’s current POR program the protection against termination that is contained in the </w:t>
      </w:r>
      <w:r w:rsidRPr="00B065CC">
        <w:rPr>
          <w:i/>
          <w:iCs/>
          <w:sz w:val="24"/>
          <w:szCs w:val="24"/>
        </w:rPr>
        <w:t>Restructuring Settlement</w:t>
      </w:r>
      <w:r w:rsidRPr="00B065CC">
        <w:rPr>
          <w:sz w:val="24"/>
          <w:szCs w:val="24"/>
        </w:rPr>
        <w:t>, in the event that the customer is in arrears after PECO’s Revised POR takes effect</w:t>
      </w:r>
      <w:r w:rsidR="00AD5F1D" w:rsidRPr="00B065CC">
        <w:rPr>
          <w:sz w:val="24"/>
          <w:szCs w:val="24"/>
        </w:rPr>
        <w:t xml:space="preserve"> (</w:t>
      </w:r>
      <w:r w:rsidR="00822FA6" w:rsidRPr="00B065CC">
        <w:rPr>
          <w:sz w:val="24"/>
          <w:szCs w:val="24"/>
        </w:rPr>
        <w:t xml:space="preserve">OCA R. B. at 8; </w:t>
      </w:r>
      <w:r w:rsidRPr="00B065CC">
        <w:rPr>
          <w:sz w:val="24"/>
          <w:szCs w:val="24"/>
        </w:rPr>
        <w:t>PECO M.B. at 4; RESA M.B. at 3-4, 16-17</w:t>
      </w:r>
      <w:r w:rsidR="00AD5F1D" w:rsidRPr="00B065CC">
        <w:rPr>
          <w:sz w:val="24"/>
          <w:szCs w:val="24"/>
        </w:rPr>
        <w:t>)</w:t>
      </w:r>
      <w:r w:rsidRPr="00B065CC">
        <w:rPr>
          <w:sz w:val="24"/>
          <w:szCs w:val="24"/>
        </w:rPr>
        <w:t xml:space="preserve">.  In its direct case, PECO suggested that approval would reduce program implementation costs and simplify program procedures </w:t>
      </w:r>
      <w:r w:rsidR="00844CE8" w:rsidRPr="00B065CC">
        <w:rPr>
          <w:sz w:val="24"/>
          <w:szCs w:val="24"/>
        </w:rPr>
        <w:t>(</w:t>
      </w:r>
      <w:r w:rsidRPr="00B065CC">
        <w:rPr>
          <w:sz w:val="24"/>
          <w:szCs w:val="24"/>
        </w:rPr>
        <w:t>PECO St. 1 at 13-14</w:t>
      </w:r>
      <w:r w:rsidR="00844CE8" w:rsidRPr="00B065CC">
        <w:rPr>
          <w:sz w:val="24"/>
          <w:szCs w:val="24"/>
        </w:rPr>
        <w:t>)</w:t>
      </w:r>
      <w:r w:rsidRPr="00B065CC">
        <w:rPr>
          <w:sz w:val="24"/>
          <w:szCs w:val="24"/>
        </w:rPr>
        <w:t xml:space="preserve">.  PECO only quantified the implementation costs in rebuttal as $500,000 </w:t>
      </w:r>
      <w:r w:rsidR="00844CE8" w:rsidRPr="00B065CC">
        <w:rPr>
          <w:sz w:val="24"/>
          <w:szCs w:val="24"/>
        </w:rPr>
        <w:t>(</w:t>
      </w:r>
      <w:r w:rsidRPr="00B065CC">
        <w:rPr>
          <w:sz w:val="24"/>
          <w:szCs w:val="24"/>
        </w:rPr>
        <w:t>PECO St. 1-R at 6</w:t>
      </w:r>
      <w:r w:rsidR="00844CE8" w:rsidRPr="00B065CC">
        <w:rPr>
          <w:sz w:val="24"/>
          <w:szCs w:val="24"/>
        </w:rPr>
        <w:t>)</w:t>
      </w:r>
      <w:r w:rsidRPr="00B065CC">
        <w:rPr>
          <w:sz w:val="24"/>
          <w:szCs w:val="24"/>
        </w:rPr>
        <w:t>.  RESA suggest</w:t>
      </w:r>
      <w:r w:rsidR="00AD5F1D" w:rsidRPr="00B065CC">
        <w:rPr>
          <w:sz w:val="24"/>
          <w:szCs w:val="24"/>
        </w:rPr>
        <w:t>ed</w:t>
      </w:r>
      <w:r w:rsidRPr="00B065CC">
        <w:rPr>
          <w:sz w:val="24"/>
          <w:szCs w:val="24"/>
        </w:rPr>
        <w:t xml:space="preserve"> that these costs may potentially deter EGSs from participating in PECO’s electric supply market</w:t>
      </w:r>
      <w:r w:rsidR="00AD5F1D" w:rsidRPr="00B065CC">
        <w:rPr>
          <w:sz w:val="24"/>
          <w:szCs w:val="24"/>
        </w:rPr>
        <w:t xml:space="preserve"> (</w:t>
      </w:r>
      <w:r w:rsidRPr="00B065CC">
        <w:rPr>
          <w:sz w:val="24"/>
          <w:szCs w:val="24"/>
        </w:rPr>
        <w:t>RESA M.B. at 4</w:t>
      </w:r>
      <w:r w:rsidR="00AD5F1D" w:rsidRPr="00B065CC">
        <w:rPr>
          <w:sz w:val="24"/>
          <w:szCs w:val="24"/>
        </w:rPr>
        <w:t>)</w:t>
      </w:r>
      <w:r w:rsidRPr="00B065CC">
        <w:rPr>
          <w:sz w:val="24"/>
          <w:szCs w:val="24"/>
        </w:rPr>
        <w:t>.</w:t>
      </w:r>
    </w:p>
    <w:p w:rsidR="006338E3" w:rsidRPr="00B065CC" w:rsidRDefault="006338E3" w:rsidP="00200289">
      <w:pPr>
        <w:spacing w:line="360" w:lineRule="auto"/>
        <w:rPr>
          <w:sz w:val="24"/>
          <w:szCs w:val="24"/>
        </w:rPr>
      </w:pPr>
    </w:p>
    <w:p w:rsidR="00BA3E9C" w:rsidRDefault="00185AC9" w:rsidP="00E70A8C">
      <w:pPr>
        <w:spacing w:line="360" w:lineRule="auto"/>
        <w:rPr>
          <w:sz w:val="24"/>
          <w:szCs w:val="24"/>
        </w:rPr>
      </w:pPr>
      <w:r w:rsidRPr="00B065CC">
        <w:rPr>
          <w:sz w:val="24"/>
          <w:szCs w:val="24"/>
        </w:rPr>
        <w:tab/>
      </w:r>
      <w:r w:rsidRPr="00B065CC">
        <w:rPr>
          <w:sz w:val="24"/>
          <w:szCs w:val="24"/>
        </w:rPr>
        <w:tab/>
        <w:t>The OCA submit</w:t>
      </w:r>
      <w:r w:rsidR="00AD5F1D" w:rsidRPr="00B065CC">
        <w:rPr>
          <w:sz w:val="24"/>
          <w:szCs w:val="24"/>
        </w:rPr>
        <w:t>ted</w:t>
      </w:r>
      <w:r w:rsidRPr="00B065CC">
        <w:rPr>
          <w:sz w:val="24"/>
          <w:szCs w:val="24"/>
        </w:rPr>
        <w:t xml:space="preserve"> that the </w:t>
      </w:r>
      <w:r w:rsidR="00EF2413" w:rsidRPr="00B065CC">
        <w:rPr>
          <w:sz w:val="24"/>
          <w:szCs w:val="24"/>
        </w:rPr>
        <w:t xml:space="preserve">PECO’s and RESA’s </w:t>
      </w:r>
      <w:r w:rsidR="00E70A8C">
        <w:rPr>
          <w:sz w:val="24"/>
          <w:szCs w:val="24"/>
        </w:rPr>
        <w:t>arguments</w:t>
      </w:r>
      <w:r w:rsidRPr="00B065CC">
        <w:rPr>
          <w:sz w:val="24"/>
          <w:szCs w:val="24"/>
        </w:rPr>
        <w:t xml:space="preserve"> are unconvincing.  First, cost and convenience cannot be used as an excuse to abrogate consumer protection commitments made in the </w:t>
      </w:r>
      <w:r w:rsidRPr="00B065CC">
        <w:rPr>
          <w:i/>
          <w:iCs/>
          <w:sz w:val="24"/>
          <w:szCs w:val="24"/>
        </w:rPr>
        <w:t>Restructuring Settlement</w:t>
      </w:r>
      <w:r w:rsidRPr="00B065CC">
        <w:rPr>
          <w:sz w:val="24"/>
          <w:szCs w:val="24"/>
        </w:rPr>
        <w:t>.  PECO had several choices as to how to structure its revised POR program.  PECO selected a design that results in a short term transition from one program design to the next that must be addressed.  Second, the Company</w:t>
      </w:r>
      <w:r w:rsidR="004929B1" w:rsidRPr="00B065CC">
        <w:rPr>
          <w:sz w:val="24"/>
          <w:szCs w:val="24"/>
        </w:rPr>
        <w:t xml:space="preserve"> has only provided </w:t>
      </w:r>
      <w:r w:rsidRPr="00B065CC">
        <w:rPr>
          <w:sz w:val="24"/>
          <w:szCs w:val="24"/>
        </w:rPr>
        <w:t>estimates of implementation costs</w:t>
      </w:r>
      <w:r w:rsidR="004929B1" w:rsidRPr="00B065CC">
        <w:rPr>
          <w:sz w:val="24"/>
          <w:szCs w:val="24"/>
        </w:rPr>
        <w:t xml:space="preserve"> without</w:t>
      </w:r>
      <w:r w:rsidRPr="00B065CC">
        <w:rPr>
          <w:sz w:val="24"/>
          <w:szCs w:val="24"/>
        </w:rPr>
        <w:t xml:space="preserve"> detail</w:t>
      </w:r>
      <w:r w:rsidR="004929B1" w:rsidRPr="00B065CC">
        <w:rPr>
          <w:sz w:val="24"/>
          <w:szCs w:val="24"/>
        </w:rPr>
        <w:t>s</w:t>
      </w:r>
      <w:r w:rsidRPr="00B065CC">
        <w:rPr>
          <w:sz w:val="24"/>
          <w:szCs w:val="24"/>
        </w:rPr>
        <w:t xml:space="preserve"> </w:t>
      </w:r>
      <w:r w:rsidR="00822FA6" w:rsidRPr="00B065CC">
        <w:rPr>
          <w:sz w:val="24"/>
          <w:szCs w:val="24"/>
        </w:rPr>
        <w:t xml:space="preserve">(OCA R. B. at 8, 9; </w:t>
      </w:r>
      <w:r w:rsidRPr="00B065CC">
        <w:rPr>
          <w:sz w:val="24"/>
          <w:szCs w:val="24"/>
        </w:rPr>
        <w:t>OCA St. 1 at 14</w:t>
      </w:r>
      <w:r w:rsidR="0038644C" w:rsidRPr="00B065CC">
        <w:rPr>
          <w:sz w:val="24"/>
          <w:szCs w:val="24"/>
        </w:rPr>
        <w:t>; PECO St. 1-R at 6</w:t>
      </w:r>
      <w:r w:rsidR="00822FA6" w:rsidRPr="00B065CC">
        <w:rPr>
          <w:sz w:val="24"/>
          <w:szCs w:val="24"/>
        </w:rPr>
        <w:t>)</w:t>
      </w:r>
      <w:r w:rsidRPr="00B065CC">
        <w:rPr>
          <w:sz w:val="24"/>
          <w:szCs w:val="24"/>
        </w:rPr>
        <w:t xml:space="preserve">.  </w:t>
      </w:r>
      <w:r w:rsidR="00EF2413" w:rsidRPr="00B065CC">
        <w:rPr>
          <w:sz w:val="24"/>
          <w:szCs w:val="24"/>
        </w:rPr>
        <w:t xml:space="preserve">OCA argued that </w:t>
      </w:r>
      <w:r w:rsidRPr="00B065CC">
        <w:rPr>
          <w:sz w:val="24"/>
          <w:szCs w:val="24"/>
        </w:rPr>
        <w:t xml:space="preserve">PECO’s estimate of the cost to resolve the transition issue </w:t>
      </w:r>
    </w:p>
    <w:p w:rsidR="00BA3E9C" w:rsidRDefault="00BA3E9C">
      <w:pPr>
        <w:rPr>
          <w:sz w:val="24"/>
          <w:szCs w:val="24"/>
        </w:rPr>
      </w:pPr>
      <w:r>
        <w:rPr>
          <w:sz w:val="24"/>
          <w:szCs w:val="24"/>
        </w:rPr>
        <w:br w:type="page"/>
      </w:r>
    </w:p>
    <w:p w:rsidR="00185AC9" w:rsidRPr="00B065CC" w:rsidRDefault="00185AC9" w:rsidP="00E70A8C">
      <w:pPr>
        <w:spacing w:line="360" w:lineRule="auto"/>
        <w:rPr>
          <w:sz w:val="24"/>
          <w:szCs w:val="24"/>
        </w:rPr>
      </w:pPr>
      <w:r w:rsidRPr="00B065CC">
        <w:rPr>
          <w:sz w:val="24"/>
          <w:szCs w:val="24"/>
        </w:rPr>
        <w:lastRenderedPageBreak/>
        <w:t>should not be given weight when considering the need for PECO to meet its existing obligation</w:t>
      </w:r>
      <w:r w:rsidR="004929B1" w:rsidRPr="00B065CC">
        <w:rPr>
          <w:sz w:val="24"/>
          <w:szCs w:val="24"/>
        </w:rPr>
        <w:t xml:space="preserve"> (OCA R. B. at </w:t>
      </w:r>
      <w:r w:rsidR="00844CE8" w:rsidRPr="00B065CC">
        <w:rPr>
          <w:sz w:val="24"/>
          <w:szCs w:val="24"/>
        </w:rPr>
        <w:t>8, 9</w:t>
      </w:r>
      <w:r w:rsidR="004929B1" w:rsidRPr="00B065CC">
        <w:rPr>
          <w:sz w:val="24"/>
          <w:szCs w:val="24"/>
        </w:rPr>
        <w:t>)</w:t>
      </w:r>
      <w:r w:rsidRPr="00B065CC">
        <w:rPr>
          <w:sz w:val="24"/>
          <w:szCs w:val="24"/>
        </w:rPr>
        <w:t>.</w:t>
      </w:r>
    </w:p>
    <w:p w:rsidR="004929B1" w:rsidRPr="00B065CC" w:rsidRDefault="004929B1" w:rsidP="00A44F78">
      <w:pPr>
        <w:spacing w:line="360" w:lineRule="auto"/>
        <w:jc w:val="both"/>
        <w:rPr>
          <w:sz w:val="24"/>
          <w:szCs w:val="24"/>
        </w:rPr>
      </w:pPr>
    </w:p>
    <w:p w:rsidR="00185AC9" w:rsidRPr="00B065CC" w:rsidRDefault="00185AC9" w:rsidP="00A44F78">
      <w:pPr>
        <w:spacing w:line="360" w:lineRule="auto"/>
        <w:rPr>
          <w:sz w:val="24"/>
          <w:szCs w:val="24"/>
        </w:rPr>
      </w:pPr>
      <w:r w:rsidRPr="00B065CC">
        <w:rPr>
          <w:sz w:val="24"/>
          <w:szCs w:val="24"/>
        </w:rPr>
        <w:tab/>
      </w:r>
      <w:r w:rsidRPr="00B065CC">
        <w:rPr>
          <w:sz w:val="24"/>
          <w:szCs w:val="24"/>
        </w:rPr>
        <w:tab/>
        <w:t xml:space="preserve">The OCA </w:t>
      </w:r>
      <w:r w:rsidR="004929B1" w:rsidRPr="00B065CC">
        <w:rPr>
          <w:sz w:val="24"/>
          <w:szCs w:val="24"/>
        </w:rPr>
        <w:t>contended</w:t>
      </w:r>
      <w:r w:rsidRPr="00B065CC">
        <w:rPr>
          <w:sz w:val="24"/>
          <w:szCs w:val="24"/>
        </w:rPr>
        <w:t xml:space="preserve"> that the provisions of the Joint Petition for Partial Settlement regarding the revised POR in this case also undermine both PECO’s and RESA’s positions.  The Partial Settlement, which RESA signed, expressly allows PECO to recover these implementation costs from EGSs through the temporary discount</w:t>
      </w:r>
      <w:r w:rsidR="00D74CEB">
        <w:rPr>
          <w:sz w:val="24"/>
          <w:szCs w:val="24"/>
        </w:rPr>
        <w:t xml:space="preserve"> (OCA R. B. at 9; </w:t>
      </w:r>
      <w:r w:rsidR="00BD2AF6">
        <w:rPr>
          <w:sz w:val="24"/>
          <w:szCs w:val="24"/>
        </w:rPr>
        <w:t>See Joint Petition ¶</w:t>
      </w:r>
      <w:r w:rsidRPr="00B065CC">
        <w:rPr>
          <w:sz w:val="24"/>
          <w:szCs w:val="24"/>
        </w:rPr>
        <w:t>9</w:t>
      </w:r>
      <w:r w:rsidR="00D74CEB">
        <w:rPr>
          <w:sz w:val="24"/>
          <w:szCs w:val="24"/>
        </w:rPr>
        <w:t>)</w:t>
      </w:r>
      <w:r w:rsidRPr="00B065CC">
        <w:rPr>
          <w:sz w:val="24"/>
          <w:szCs w:val="24"/>
        </w:rPr>
        <w:t xml:space="preserve">.  PECO would not bear the costs of assuring that EGS customers receive all appropriate protections during the transition from PECO’s existing POR program under the </w:t>
      </w:r>
      <w:r w:rsidRPr="00B065CC">
        <w:rPr>
          <w:i/>
          <w:iCs/>
          <w:sz w:val="24"/>
          <w:szCs w:val="24"/>
        </w:rPr>
        <w:t>Restructuring Settlement</w:t>
      </w:r>
      <w:r w:rsidRPr="00B065CC">
        <w:rPr>
          <w:sz w:val="24"/>
          <w:szCs w:val="24"/>
        </w:rPr>
        <w:t xml:space="preserve"> to PECO’s Revised POR program.  The </w:t>
      </w:r>
      <w:r w:rsidR="00D74CEB">
        <w:rPr>
          <w:sz w:val="24"/>
          <w:szCs w:val="24"/>
        </w:rPr>
        <w:t>Joint Petition</w:t>
      </w:r>
      <w:r w:rsidRPr="00B065CC">
        <w:rPr>
          <w:sz w:val="24"/>
          <w:szCs w:val="24"/>
        </w:rPr>
        <w:t xml:space="preserve"> provides that the temporary discount would not increase from 0.2% if these additional costs were incurred; rather the 0.2% temporary discount would continue in effect until PECO has recouped the costs of protecting these EGS customers.  </w:t>
      </w:r>
      <w:r w:rsidR="0038644C" w:rsidRPr="00B065CC">
        <w:rPr>
          <w:sz w:val="24"/>
          <w:szCs w:val="24"/>
        </w:rPr>
        <w:t xml:space="preserve">Joint Petition </w:t>
      </w:r>
      <w:r w:rsidR="00BD2AF6">
        <w:rPr>
          <w:sz w:val="24"/>
          <w:szCs w:val="24"/>
        </w:rPr>
        <w:t>at ¶</w:t>
      </w:r>
      <w:r w:rsidRPr="00B065CC">
        <w:rPr>
          <w:sz w:val="24"/>
          <w:szCs w:val="24"/>
        </w:rPr>
        <w:t>9.H.(2).  Th</w:t>
      </w:r>
      <w:r w:rsidR="004929B1" w:rsidRPr="00B065CC">
        <w:rPr>
          <w:sz w:val="24"/>
          <w:szCs w:val="24"/>
        </w:rPr>
        <w:t>erefore</w:t>
      </w:r>
      <w:r w:rsidRPr="00B065CC">
        <w:rPr>
          <w:sz w:val="24"/>
          <w:szCs w:val="24"/>
        </w:rPr>
        <w:t xml:space="preserve">, </w:t>
      </w:r>
      <w:r w:rsidR="0038644C" w:rsidRPr="00B065CC">
        <w:rPr>
          <w:sz w:val="24"/>
          <w:szCs w:val="24"/>
        </w:rPr>
        <w:t xml:space="preserve">OCA </w:t>
      </w:r>
      <w:r w:rsidR="00A0741B" w:rsidRPr="00B065CC">
        <w:rPr>
          <w:sz w:val="24"/>
          <w:szCs w:val="24"/>
        </w:rPr>
        <w:t xml:space="preserve">maintained that </w:t>
      </w:r>
      <w:r w:rsidRPr="00B065CC">
        <w:rPr>
          <w:sz w:val="24"/>
          <w:szCs w:val="24"/>
        </w:rPr>
        <w:t>RESA’s argument that the costs could potentially deter</w:t>
      </w:r>
      <w:r w:rsidR="00D74CEB">
        <w:rPr>
          <w:sz w:val="24"/>
          <w:szCs w:val="24"/>
        </w:rPr>
        <w:t xml:space="preserve"> </w:t>
      </w:r>
      <w:r w:rsidRPr="00B065CC">
        <w:rPr>
          <w:sz w:val="24"/>
          <w:szCs w:val="24"/>
        </w:rPr>
        <w:t>EGSs</w:t>
      </w:r>
      <w:r w:rsidR="00D74CEB">
        <w:rPr>
          <w:sz w:val="24"/>
          <w:szCs w:val="24"/>
        </w:rPr>
        <w:t xml:space="preserve"> from participating in PECO’s electric supply market is</w:t>
      </w:r>
      <w:r w:rsidRPr="00B065CC">
        <w:rPr>
          <w:sz w:val="24"/>
          <w:szCs w:val="24"/>
        </w:rPr>
        <w:t xml:space="preserve"> without merit as the discount will not increase at all under the settlement </w:t>
      </w:r>
      <w:r w:rsidR="004929B1" w:rsidRPr="00B065CC">
        <w:rPr>
          <w:sz w:val="24"/>
          <w:szCs w:val="24"/>
        </w:rPr>
        <w:t xml:space="preserve">(OCA R. B. at </w:t>
      </w:r>
      <w:r w:rsidR="00844CE8" w:rsidRPr="00B065CC">
        <w:rPr>
          <w:sz w:val="24"/>
          <w:szCs w:val="24"/>
        </w:rPr>
        <w:t>9</w:t>
      </w:r>
      <w:r w:rsidR="004929B1" w:rsidRPr="00B065CC">
        <w:rPr>
          <w:sz w:val="24"/>
          <w:szCs w:val="24"/>
        </w:rPr>
        <w:t>).</w:t>
      </w:r>
    </w:p>
    <w:p w:rsidR="004929B1" w:rsidRPr="00B065CC" w:rsidRDefault="004929B1" w:rsidP="004B6AD5">
      <w:pPr>
        <w:spacing w:line="360" w:lineRule="auto"/>
        <w:jc w:val="both"/>
        <w:rPr>
          <w:sz w:val="24"/>
          <w:szCs w:val="24"/>
        </w:rPr>
      </w:pPr>
    </w:p>
    <w:p w:rsidR="00D82626" w:rsidRPr="00492B78" w:rsidRDefault="00A0741B" w:rsidP="004B6AD5">
      <w:pPr>
        <w:spacing w:line="360" w:lineRule="auto"/>
      </w:pPr>
      <w:r w:rsidRPr="00B065CC">
        <w:rPr>
          <w:sz w:val="24"/>
          <w:szCs w:val="24"/>
        </w:rPr>
        <w:tab/>
      </w:r>
      <w:r w:rsidRPr="00B065CC">
        <w:rPr>
          <w:sz w:val="24"/>
          <w:szCs w:val="24"/>
        </w:rPr>
        <w:tab/>
      </w:r>
      <w:r w:rsidR="00D82626" w:rsidRPr="00B065CC">
        <w:rPr>
          <w:sz w:val="24"/>
          <w:szCs w:val="24"/>
        </w:rPr>
        <w:t>RESA/Direct</w:t>
      </w:r>
      <w:r w:rsidR="00F704D9" w:rsidRPr="00B065CC">
        <w:rPr>
          <w:sz w:val="24"/>
          <w:szCs w:val="24"/>
        </w:rPr>
        <w:t xml:space="preserve"> Energy</w:t>
      </w:r>
      <w:r w:rsidR="00D82626" w:rsidRPr="00B065CC">
        <w:rPr>
          <w:sz w:val="24"/>
          <w:szCs w:val="24"/>
        </w:rPr>
        <w:t xml:space="preserve"> note</w:t>
      </w:r>
      <w:r w:rsidR="00F704D9" w:rsidRPr="00B065CC">
        <w:rPr>
          <w:sz w:val="24"/>
          <w:szCs w:val="24"/>
        </w:rPr>
        <w:t>d</w:t>
      </w:r>
      <w:r w:rsidR="00D82626" w:rsidRPr="00B065CC">
        <w:rPr>
          <w:sz w:val="24"/>
          <w:szCs w:val="24"/>
        </w:rPr>
        <w:t xml:space="preserve"> th</w:t>
      </w:r>
      <w:r w:rsidR="00F704D9" w:rsidRPr="00B065CC">
        <w:rPr>
          <w:sz w:val="24"/>
          <w:szCs w:val="24"/>
        </w:rPr>
        <w:t>at</w:t>
      </w:r>
      <w:r w:rsidR="004B6AD5">
        <w:rPr>
          <w:sz w:val="24"/>
          <w:szCs w:val="24"/>
        </w:rPr>
        <w:t xml:space="preserve"> </w:t>
      </w:r>
      <w:r w:rsidR="00D82626" w:rsidRPr="00B065CC">
        <w:rPr>
          <w:sz w:val="24"/>
          <w:szCs w:val="24"/>
        </w:rPr>
        <w:t>EGSs would bear the burden of paying the $500,000 if PECO is not permitted to terminate for pre-2011 unpaid EGS charges</w:t>
      </w:r>
      <w:r w:rsidR="00F704D9" w:rsidRPr="00B065CC">
        <w:rPr>
          <w:sz w:val="24"/>
          <w:szCs w:val="24"/>
        </w:rPr>
        <w:t xml:space="preserve"> (RESA/Direct M.B. at 17).</w:t>
      </w:r>
      <w:r w:rsidR="00D82626" w:rsidRPr="00B065CC">
        <w:rPr>
          <w:sz w:val="24"/>
          <w:szCs w:val="24"/>
        </w:rPr>
        <w:t xml:space="preserve">  </w:t>
      </w:r>
      <w:r w:rsidR="00F704D9" w:rsidRPr="00B065CC">
        <w:rPr>
          <w:sz w:val="24"/>
          <w:szCs w:val="24"/>
        </w:rPr>
        <w:t xml:space="preserve">OSBA stated that </w:t>
      </w:r>
      <w:r w:rsidR="00D82626" w:rsidRPr="00B065CC">
        <w:rPr>
          <w:sz w:val="24"/>
          <w:szCs w:val="24"/>
        </w:rPr>
        <w:t xml:space="preserve">RESA/Direct </w:t>
      </w:r>
      <w:r w:rsidR="00F704D9" w:rsidRPr="00B065CC">
        <w:rPr>
          <w:sz w:val="24"/>
          <w:szCs w:val="24"/>
        </w:rPr>
        <w:t xml:space="preserve">Energy </w:t>
      </w:r>
      <w:r w:rsidR="00D82626" w:rsidRPr="00B065CC">
        <w:rPr>
          <w:sz w:val="24"/>
          <w:szCs w:val="24"/>
        </w:rPr>
        <w:t>d</w:t>
      </w:r>
      <w:r w:rsidR="00F704D9" w:rsidRPr="00B065CC">
        <w:rPr>
          <w:sz w:val="24"/>
          <w:szCs w:val="24"/>
        </w:rPr>
        <w:t>id</w:t>
      </w:r>
      <w:r w:rsidR="00D82626" w:rsidRPr="00B065CC">
        <w:rPr>
          <w:sz w:val="24"/>
          <w:szCs w:val="24"/>
        </w:rPr>
        <w:t xml:space="preserve"> not acknowledge </w:t>
      </w:r>
      <w:r w:rsidRPr="00B065CC">
        <w:rPr>
          <w:sz w:val="24"/>
          <w:szCs w:val="24"/>
        </w:rPr>
        <w:t xml:space="preserve">that </w:t>
      </w:r>
      <w:r w:rsidR="00D82626" w:rsidRPr="00B065CC">
        <w:rPr>
          <w:sz w:val="24"/>
          <w:szCs w:val="24"/>
        </w:rPr>
        <w:t>PECO will be purchasing EGS receivables as of December 31, 2010, that were never owed to PECO, and presumably would have been losses that the EGSs would never have recovered</w:t>
      </w:r>
      <w:r w:rsidR="00492B78">
        <w:rPr>
          <w:sz w:val="24"/>
          <w:szCs w:val="24"/>
        </w:rPr>
        <w:t xml:space="preserve"> (OSBA R.B. </w:t>
      </w:r>
      <w:r w:rsidR="00492B78">
        <w:t>at </w:t>
      </w:r>
      <w:r w:rsidR="001F4BDE" w:rsidRPr="00492B78">
        <w:t>8</w:t>
      </w:r>
      <w:r w:rsidR="001F4BDE">
        <w:rPr>
          <w:sz w:val="24"/>
          <w:szCs w:val="24"/>
        </w:rPr>
        <w:t>).</w:t>
      </w:r>
      <w:r w:rsidR="00D82626" w:rsidRPr="00B065CC">
        <w:rPr>
          <w:sz w:val="24"/>
          <w:szCs w:val="24"/>
        </w:rPr>
        <w:t xml:space="preserve">  </w:t>
      </w:r>
      <w:r w:rsidR="00F704D9" w:rsidRPr="00B065CC">
        <w:rPr>
          <w:sz w:val="24"/>
          <w:szCs w:val="24"/>
        </w:rPr>
        <w:t>OSBA contended that t</w:t>
      </w:r>
      <w:r w:rsidR="00D82626" w:rsidRPr="00B065CC">
        <w:rPr>
          <w:sz w:val="24"/>
          <w:szCs w:val="24"/>
        </w:rPr>
        <w:t>h</w:t>
      </w:r>
      <w:r w:rsidR="00F704D9" w:rsidRPr="00B065CC">
        <w:rPr>
          <w:sz w:val="24"/>
          <w:szCs w:val="24"/>
        </w:rPr>
        <w:t xml:space="preserve">e money that the EGSs receive from PECO </w:t>
      </w:r>
      <w:r w:rsidR="00D82626" w:rsidRPr="00B065CC">
        <w:rPr>
          <w:sz w:val="24"/>
          <w:szCs w:val="24"/>
        </w:rPr>
        <w:t>could offset any additional implementation costs that PECO would impose on the EGSs if the Commission rejects PECO’s request to terminate for pre-2011 unpaid EGS charges</w:t>
      </w:r>
      <w:r w:rsidR="00F704D9" w:rsidRPr="00B065CC">
        <w:rPr>
          <w:sz w:val="24"/>
          <w:szCs w:val="24"/>
        </w:rPr>
        <w:t xml:space="preserve"> (OSBA R. B. at 6, 7)</w:t>
      </w:r>
      <w:r w:rsidR="00D82626" w:rsidRPr="00B065CC">
        <w:rPr>
          <w:sz w:val="24"/>
          <w:szCs w:val="24"/>
        </w:rPr>
        <w:t>.</w:t>
      </w:r>
    </w:p>
    <w:p w:rsidR="0063175E" w:rsidRPr="00B065CC" w:rsidRDefault="0063175E" w:rsidP="004B6AD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36"/>
          <w:tab w:val="right" w:pos="9360"/>
        </w:tabs>
        <w:spacing w:line="360" w:lineRule="auto"/>
        <w:rPr>
          <w:sz w:val="24"/>
          <w:szCs w:val="24"/>
        </w:rPr>
      </w:pPr>
    </w:p>
    <w:p w:rsidR="00D82626" w:rsidRPr="00B065CC" w:rsidRDefault="00D82626" w:rsidP="004929B1">
      <w:pPr>
        <w:tabs>
          <w:tab w:val="left" w:pos="0"/>
        </w:tabs>
        <w:spacing w:line="360" w:lineRule="auto"/>
        <w:rPr>
          <w:sz w:val="24"/>
          <w:szCs w:val="24"/>
        </w:rPr>
      </w:pPr>
      <w:r w:rsidRPr="00B065CC">
        <w:rPr>
          <w:sz w:val="24"/>
          <w:szCs w:val="24"/>
        </w:rPr>
        <w:tab/>
      </w:r>
      <w:r w:rsidR="00B934E3" w:rsidRPr="00B065CC">
        <w:rPr>
          <w:sz w:val="24"/>
          <w:szCs w:val="24"/>
        </w:rPr>
        <w:tab/>
        <w:t xml:space="preserve">OSBA noted that </w:t>
      </w:r>
      <w:r w:rsidRPr="00B065CC">
        <w:rPr>
          <w:sz w:val="24"/>
          <w:szCs w:val="24"/>
        </w:rPr>
        <w:t>PECO</w:t>
      </w:r>
      <w:r w:rsidR="00B934E3" w:rsidRPr="00B065CC">
        <w:rPr>
          <w:sz w:val="24"/>
          <w:szCs w:val="24"/>
        </w:rPr>
        <w:t xml:space="preserve"> failed to explain </w:t>
      </w:r>
      <w:r w:rsidRPr="00B065CC">
        <w:rPr>
          <w:sz w:val="24"/>
          <w:szCs w:val="24"/>
        </w:rPr>
        <w:t>why the Company should purchase debts owed to EGSs</w:t>
      </w:r>
      <w:r w:rsidR="00B934E3" w:rsidRPr="00B065CC">
        <w:rPr>
          <w:sz w:val="24"/>
          <w:szCs w:val="24"/>
        </w:rPr>
        <w:t xml:space="preserve"> (OSBA R. B. at 6, 7)</w:t>
      </w:r>
      <w:r w:rsidRPr="00B065CC">
        <w:rPr>
          <w:sz w:val="24"/>
          <w:szCs w:val="24"/>
        </w:rPr>
        <w:t xml:space="preserve">.  </w:t>
      </w:r>
      <w:r w:rsidR="00B934E3" w:rsidRPr="00B065CC">
        <w:rPr>
          <w:sz w:val="24"/>
          <w:szCs w:val="24"/>
        </w:rPr>
        <w:t xml:space="preserve">In addition, OSBA argued that </w:t>
      </w:r>
      <w:r w:rsidRPr="00B065CC">
        <w:rPr>
          <w:sz w:val="24"/>
          <w:szCs w:val="24"/>
        </w:rPr>
        <w:t>PECO</w:t>
      </w:r>
      <w:r w:rsidR="00B934E3" w:rsidRPr="00B065CC">
        <w:rPr>
          <w:sz w:val="24"/>
          <w:szCs w:val="24"/>
        </w:rPr>
        <w:t xml:space="preserve"> failed to </w:t>
      </w:r>
      <w:r w:rsidR="00CC0005">
        <w:rPr>
          <w:sz w:val="24"/>
          <w:szCs w:val="24"/>
        </w:rPr>
        <w:t>provide</w:t>
      </w:r>
      <w:r w:rsidRPr="00B065CC">
        <w:rPr>
          <w:sz w:val="24"/>
          <w:szCs w:val="24"/>
        </w:rPr>
        <w:t xml:space="preserve"> </w:t>
      </w:r>
      <w:r w:rsidR="00B934E3" w:rsidRPr="00B065CC">
        <w:rPr>
          <w:sz w:val="24"/>
          <w:szCs w:val="24"/>
        </w:rPr>
        <w:t xml:space="preserve">evidence to show </w:t>
      </w:r>
      <w:r w:rsidRPr="00B065CC">
        <w:rPr>
          <w:sz w:val="24"/>
          <w:szCs w:val="24"/>
        </w:rPr>
        <w:t>why the Commission should permit PECO to terminate customers for debts which were not owed to PECO prior to the Company’s purchase of receivables as of December 31, 2010</w:t>
      </w:r>
      <w:r w:rsidR="00B934E3" w:rsidRPr="00B065CC">
        <w:rPr>
          <w:sz w:val="24"/>
          <w:szCs w:val="24"/>
        </w:rPr>
        <w:t xml:space="preserve"> (OSBA R. B. at 6, 7)</w:t>
      </w:r>
      <w:r w:rsidRPr="00B065CC">
        <w:rPr>
          <w:sz w:val="24"/>
          <w:szCs w:val="24"/>
        </w:rPr>
        <w:t>.</w:t>
      </w:r>
    </w:p>
    <w:p w:rsidR="00095DC2" w:rsidRPr="00B065CC" w:rsidRDefault="00B934E3" w:rsidP="00536451">
      <w:pPr>
        <w:tabs>
          <w:tab w:val="right" w:pos="0"/>
        </w:tabs>
        <w:spacing w:line="360" w:lineRule="auto"/>
        <w:rPr>
          <w:sz w:val="24"/>
          <w:szCs w:val="24"/>
        </w:rPr>
      </w:pPr>
      <w:r w:rsidRPr="00B065CC">
        <w:rPr>
          <w:sz w:val="24"/>
          <w:szCs w:val="24"/>
        </w:rPr>
        <w:lastRenderedPageBreak/>
        <w:tab/>
      </w:r>
      <w:r w:rsidRPr="00B065CC">
        <w:rPr>
          <w:sz w:val="24"/>
          <w:szCs w:val="24"/>
        </w:rPr>
        <w:tab/>
        <w:t xml:space="preserve">RESA/Direct Energy stated in </w:t>
      </w:r>
      <w:r w:rsidR="00D82626" w:rsidRPr="00B065CC">
        <w:rPr>
          <w:sz w:val="24"/>
          <w:szCs w:val="24"/>
        </w:rPr>
        <w:t>proposed Conclusion of Law #6</w:t>
      </w:r>
      <w:r w:rsidRPr="00B065CC">
        <w:rPr>
          <w:sz w:val="24"/>
          <w:szCs w:val="24"/>
        </w:rPr>
        <w:t xml:space="preserve"> that </w:t>
      </w:r>
      <w:r w:rsidR="00D82626" w:rsidRPr="00B065CC">
        <w:rPr>
          <w:sz w:val="24"/>
          <w:szCs w:val="24"/>
        </w:rPr>
        <w:t>OCA did not sustain its burden of showing that its proposal to restrict PECO’s ability to terminate service for customers after January 1, 2011, based upon costs for EGS service incurred by such customers prior to January 1, 2011, is necessary or appropriate and, therefore, this proposal is rejected</w:t>
      </w:r>
      <w:r w:rsidR="00536451" w:rsidRPr="00B065CC">
        <w:rPr>
          <w:sz w:val="24"/>
          <w:szCs w:val="24"/>
        </w:rPr>
        <w:t xml:space="preserve"> </w:t>
      </w:r>
      <w:r w:rsidR="00244D5A">
        <w:rPr>
          <w:sz w:val="24"/>
          <w:szCs w:val="24"/>
        </w:rPr>
        <w:t>(</w:t>
      </w:r>
      <w:r w:rsidR="00536451" w:rsidRPr="00B065CC">
        <w:rPr>
          <w:sz w:val="24"/>
          <w:szCs w:val="24"/>
        </w:rPr>
        <w:t>RESA/Direct M.B. at B-1</w:t>
      </w:r>
      <w:r w:rsidR="00244D5A">
        <w:rPr>
          <w:sz w:val="24"/>
          <w:szCs w:val="24"/>
        </w:rPr>
        <w:t>)</w:t>
      </w:r>
      <w:r w:rsidR="00536451" w:rsidRPr="00B065CC">
        <w:rPr>
          <w:sz w:val="24"/>
          <w:szCs w:val="24"/>
        </w:rPr>
        <w:t xml:space="preserve">.  </w:t>
      </w:r>
      <w:r w:rsidR="00D82626" w:rsidRPr="00B065CC">
        <w:rPr>
          <w:sz w:val="24"/>
          <w:szCs w:val="24"/>
        </w:rPr>
        <w:t xml:space="preserve">However, </w:t>
      </w:r>
      <w:r w:rsidR="00536451" w:rsidRPr="00B065CC">
        <w:rPr>
          <w:sz w:val="24"/>
          <w:szCs w:val="24"/>
        </w:rPr>
        <w:t>OSBA submit</w:t>
      </w:r>
      <w:r w:rsidR="00244D5A">
        <w:rPr>
          <w:sz w:val="24"/>
          <w:szCs w:val="24"/>
        </w:rPr>
        <w:t>ted</w:t>
      </w:r>
      <w:r w:rsidR="00536451" w:rsidRPr="00B065CC">
        <w:rPr>
          <w:sz w:val="24"/>
          <w:szCs w:val="24"/>
        </w:rPr>
        <w:t xml:space="preserve"> that since PECO is the par</w:t>
      </w:r>
      <w:r w:rsidR="000B2E84">
        <w:rPr>
          <w:sz w:val="24"/>
          <w:szCs w:val="24"/>
        </w:rPr>
        <w:t xml:space="preserve">ty seeking affirmative relief </w:t>
      </w:r>
      <w:r w:rsidR="00536451" w:rsidRPr="00B065CC">
        <w:rPr>
          <w:sz w:val="24"/>
          <w:szCs w:val="24"/>
        </w:rPr>
        <w:t>from th</w:t>
      </w:r>
      <w:r w:rsidR="00244D5A">
        <w:rPr>
          <w:sz w:val="24"/>
          <w:szCs w:val="24"/>
        </w:rPr>
        <w:t>e Commission in this proceeding</w:t>
      </w:r>
      <w:r w:rsidR="0048679F">
        <w:rPr>
          <w:sz w:val="24"/>
          <w:szCs w:val="24"/>
        </w:rPr>
        <w:t>,</w:t>
      </w:r>
      <w:r w:rsidR="00244D5A">
        <w:rPr>
          <w:sz w:val="24"/>
          <w:szCs w:val="24"/>
        </w:rPr>
        <w:t xml:space="preserve"> PECO has the burden of proving that the proposal is reasonable</w:t>
      </w:r>
      <w:r w:rsidR="00095DC2" w:rsidRPr="00B065CC">
        <w:rPr>
          <w:sz w:val="24"/>
          <w:szCs w:val="24"/>
        </w:rPr>
        <w:t xml:space="preserve"> (</w:t>
      </w:r>
      <w:r w:rsidR="00244D5A">
        <w:rPr>
          <w:sz w:val="24"/>
          <w:szCs w:val="24"/>
        </w:rPr>
        <w:t>OSBA R. B. at 9, 10</w:t>
      </w:r>
      <w:r w:rsidR="00095DC2" w:rsidRPr="00B065CC">
        <w:rPr>
          <w:sz w:val="24"/>
          <w:szCs w:val="24"/>
        </w:rPr>
        <w:t>)</w:t>
      </w:r>
      <w:r w:rsidR="00536451" w:rsidRPr="00B065CC">
        <w:rPr>
          <w:sz w:val="24"/>
          <w:szCs w:val="24"/>
        </w:rPr>
        <w:t xml:space="preserve">.  </w:t>
      </w:r>
    </w:p>
    <w:p w:rsidR="004929B1" w:rsidRPr="00B065CC" w:rsidRDefault="004929B1" w:rsidP="000B2E8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36"/>
          <w:tab w:val="right" w:pos="9360"/>
        </w:tabs>
        <w:spacing w:line="360" w:lineRule="auto"/>
        <w:rPr>
          <w:sz w:val="24"/>
          <w:szCs w:val="24"/>
        </w:rPr>
      </w:pPr>
    </w:p>
    <w:p w:rsidR="00D82626" w:rsidRPr="00B065CC" w:rsidRDefault="00095DC2" w:rsidP="007702CF">
      <w:pPr>
        <w:tabs>
          <w:tab w:val="left" w:pos="0"/>
        </w:tabs>
        <w:spacing w:line="360" w:lineRule="auto"/>
        <w:rPr>
          <w:sz w:val="24"/>
          <w:szCs w:val="24"/>
        </w:rPr>
      </w:pPr>
      <w:r w:rsidRPr="00B065CC">
        <w:rPr>
          <w:sz w:val="24"/>
          <w:szCs w:val="24"/>
        </w:rPr>
        <w:tab/>
      </w:r>
      <w:r w:rsidRPr="00B065CC">
        <w:rPr>
          <w:sz w:val="24"/>
          <w:szCs w:val="24"/>
        </w:rPr>
        <w:tab/>
        <w:t xml:space="preserve">Furthermore, OSBA asserted that </w:t>
      </w:r>
      <w:r w:rsidR="00D82626" w:rsidRPr="00B065CC">
        <w:rPr>
          <w:sz w:val="24"/>
          <w:szCs w:val="24"/>
        </w:rPr>
        <w:t>PECO fail</w:t>
      </w:r>
      <w:r w:rsidRPr="00B065CC">
        <w:rPr>
          <w:sz w:val="24"/>
          <w:szCs w:val="24"/>
        </w:rPr>
        <w:t>ed</w:t>
      </w:r>
      <w:r w:rsidR="00D82626" w:rsidRPr="00B065CC">
        <w:rPr>
          <w:sz w:val="24"/>
          <w:szCs w:val="24"/>
        </w:rPr>
        <w:t xml:space="preserve"> to address the degree to which PECO has already recovered unpaid EGS charges through its distribution rates.  Even assuming that the Commission is willing to permit PECO to terminate customers for unpaid pre-2011 EGS charges, PECO is not entitled to that relief without evidence that it actually has failed to collect those unpaid EGS charges through the uncollectibles expense in its distribution rates.  PECO has presented no such evidence</w:t>
      </w:r>
      <w:r w:rsidR="00041D34" w:rsidRPr="00B065CC">
        <w:rPr>
          <w:sz w:val="24"/>
          <w:szCs w:val="24"/>
        </w:rPr>
        <w:t xml:space="preserve"> (OSBA</w:t>
      </w:r>
      <w:r w:rsidR="0048679F">
        <w:rPr>
          <w:sz w:val="24"/>
          <w:szCs w:val="24"/>
        </w:rPr>
        <w:t xml:space="preserve"> M</w:t>
      </w:r>
      <w:r w:rsidR="00041D34" w:rsidRPr="00B065CC">
        <w:rPr>
          <w:sz w:val="24"/>
          <w:szCs w:val="24"/>
        </w:rPr>
        <w:t xml:space="preserve"> B. at</w:t>
      </w:r>
      <w:r w:rsidR="0048679F">
        <w:rPr>
          <w:sz w:val="24"/>
          <w:szCs w:val="24"/>
        </w:rPr>
        <w:t xml:space="preserve"> 10; OSBA R.B. at 10</w:t>
      </w:r>
      <w:r w:rsidR="00041D34" w:rsidRPr="00B065CC">
        <w:rPr>
          <w:sz w:val="24"/>
          <w:szCs w:val="24"/>
        </w:rPr>
        <w:t>)</w:t>
      </w:r>
      <w:r w:rsidR="00D82626" w:rsidRPr="00B065CC">
        <w:rPr>
          <w:sz w:val="24"/>
          <w:szCs w:val="24"/>
        </w:rPr>
        <w:t>.</w:t>
      </w:r>
    </w:p>
    <w:p w:rsidR="0063391F" w:rsidRPr="00B065CC" w:rsidRDefault="0063391F" w:rsidP="000B2E84">
      <w:pPr>
        <w:tabs>
          <w:tab w:val="left" w:pos="0"/>
        </w:tabs>
        <w:spacing w:line="360" w:lineRule="auto"/>
        <w:rPr>
          <w:sz w:val="24"/>
          <w:szCs w:val="24"/>
        </w:rPr>
      </w:pPr>
    </w:p>
    <w:p w:rsidR="008B20C7" w:rsidRDefault="0063391F" w:rsidP="000B2E84">
      <w:pPr>
        <w:spacing w:line="360" w:lineRule="auto"/>
        <w:rPr>
          <w:sz w:val="24"/>
          <w:szCs w:val="24"/>
        </w:rPr>
      </w:pPr>
      <w:r w:rsidRPr="00B065CC">
        <w:rPr>
          <w:sz w:val="24"/>
          <w:szCs w:val="24"/>
        </w:rPr>
        <w:tab/>
      </w:r>
      <w:r w:rsidRPr="00B065CC">
        <w:rPr>
          <w:sz w:val="24"/>
          <w:szCs w:val="24"/>
        </w:rPr>
        <w:tab/>
        <w:t xml:space="preserve">PECO’s final argument is that EGS customers will receive “advance notice,” pursuant to the </w:t>
      </w:r>
      <w:r w:rsidR="008953EA">
        <w:rPr>
          <w:sz w:val="24"/>
          <w:szCs w:val="24"/>
        </w:rPr>
        <w:t>Joint Petition</w:t>
      </w:r>
      <w:r w:rsidRPr="00B065CC">
        <w:rPr>
          <w:sz w:val="24"/>
          <w:szCs w:val="24"/>
        </w:rPr>
        <w:t xml:space="preserve">, of PECO’s change in termination policy (PECO M.B. at 5).  The </w:t>
      </w:r>
      <w:r w:rsidR="008953EA">
        <w:rPr>
          <w:sz w:val="24"/>
          <w:szCs w:val="24"/>
        </w:rPr>
        <w:t>Joint Petition</w:t>
      </w:r>
      <w:r w:rsidRPr="00B065CC">
        <w:rPr>
          <w:sz w:val="24"/>
          <w:szCs w:val="24"/>
        </w:rPr>
        <w:t xml:space="preserve"> provides that PECO will provide current EGS customers with a one-time notice of PECO’s change in policy for the Revised POR.</w:t>
      </w:r>
      <w:r w:rsidR="008953EA">
        <w:rPr>
          <w:sz w:val="24"/>
          <w:szCs w:val="24"/>
        </w:rPr>
        <w:t xml:space="preserve">  (OCA R.B. at 10; </w:t>
      </w:r>
      <w:r w:rsidRPr="00B065CC">
        <w:rPr>
          <w:sz w:val="24"/>
          <w:szCs w:val="24"/>
        </w:rPr>
        <w:t>Joint Pet</w:t>
      </w:r>
      <w:r w:rsidR="005657B9">
        <w:rPr>
          <w:sz w:val="24"/>
          <w:szCs w:val="24"/>
        </w:rPr>
        <w:t>ition ¶</w:t>
      </w:r>
      <w:r w:rsidR="00312825">
        <w:rPr>
          <w:sz w:val="24"/>
          <w:szCs w:val="24"/>
        </w:rPr>
        <w:t>9.F</w:t>
      </w:r>
      <w:r w:rsidRPr="00B065CC">
        <w:rPr>
          <w:sz w:val="24"/>
          <w:szCs w:val="24"/>
        </w:rPr>
        <w:t>(1)(a)</w:t>
      </w:r>
      <w:r w:rsidR="008953EA">
        <w:rPr>
          <w:sz w:val="24"/>
          <w:szCs w:val="24"/>
        </w:rPr>
        <w:t>)</w:t>
      </w:r>
      <w:r w:rsidRPr="00B065CC">
        <w:rPr>
          <w:sz w:val="24"/>
          <w:szCs w:val="24"/>
        </w:rPr>
        <w:t xml:space="preserve">.  The timing of this one-time notice to current EGS customers will depend on when price to compare information is available from PECO.  </w:t>
      </w:r>
      <w:r w:rsidRPr="00496445">
        <w:rPr>
          <w:i/>
          <w:sz w:val="24"/>
          <w:szCs w:val="24"/>
        </w:rPr>
        <w:t>Id</w:t>
      </w:r>
      <w:r w:rsidRPr="00B065CC">
        <w:rPr>
          <w:sz w:val="24"/>
          <w:szCs w:val="24"/>
        </w:rPr>
        <w:t xml:space="preserve">.  PECO’s argument, however, ignores the fact that some customers may have been shopping for some time prior to the receipt of any notice from PECO, and may have already entered contracts with EGSs that do not contain this fundamental change in terms </w:t>
      </w:r>
      <w:r w:rsidR="008953EA">
        <w:rPr>
          <w:sz w:val="24"/>
          <w:szCs w:val="24"/>
        </w:rPr>
        <w:t xml:space="preserve">and conditions (OCA R. B. at 10; </w:t>
      </w:r>
      <w:r w:rsidRPr="00B065CC">
        <w:rPr>
          <w:sz w:val="24"/>
          <w:szCs w:val="24"/>
        </w:rPr>
        <w:t xml:space="preserve">OCA M.B. at 6; OCA St. 1 at 16).  </w:t>
      </w:r>
      <w:r w:rsidR="00095DC2" w:rsidRPr="00B065CC">
        <w:rPr>
          <w:sz w:val="24"/>
          <w:szCs w:val="24"/>
        </w:rPr>
        <w:t xml:space="preserve">OCA argued that the </w:t>
      </w:r>
      <w:r w:rsidR="00D82626" w:rsidRPr="00B065CC">
        <w:rPr>
          <w:sz w:val="24"/>
          <w:szCs w:val="24"/>
        </w:rPr>
        <w:t xml:space="preserve">customer notices directed at advising customers of the prospective change in PECO’s termination policy </w:t>
      </w:r>
      <w:r w:rsidR="00095DC2" w:rsidRPr="00B065CC">
        <w:rPr>
          <w:sz w:val="24"/>
          <w:szCs w:val="24"/>
        </w:rPr>
        <w:t>are not</w:t>
      </w:r>
      <w:r w:rsidR="00D82626" w:rsidRPr="00B065CC">
        <w:rPr>
          <w:sz w:val="24"/>
          <w:szCs w:val="24"/>
        </w:rPr>
        <w:t xml:space="preserve"> suffic</w:t>
      </w:r>
      <w:r w:rsidR="00095DC2" w:rsidRPr="00B065CC">
        <w:rPr>
          <w:sz w:val="24"/>
          <w:szCs w:val="24"/>
        </w:rPr>
        <w:t>i</w:t>
      </w:r>
      <w:r w:rsidR="00D82626" w:rsidRPr="00B065CC">
        <w:rPr>
          <w:sz w:val="24"/>
          <w:szCs w:val="24"/>
        </w:rPr>
        <w:t>e</w:t>
      </w:r>
      <w:r w:rsidR="00095DC2" w:rsidRPr="00B065CC">
        <w:rPr>
          <w:sz w:val="24"/>
          <w:szCs w:val="24"/>
        </w:rPr>
        <w:t>nt</w:t>
      </w:r>
      <w:r w:rsidR="00D82626" w:rsidRPr="00B065CC">
        <w:rPr>
          <w:sz w:val="24"/>
          <w:szCs w:val="24"/>
        </w:rPr>
        <w:t xml:space="preserve"> to warn current shopping customers.  </w:t>
      </w:r>
      <w:r w:rsidRPr="00B065CC">
        <w:rPr>
          <w:sz w:val="24"/>
          <w:szCs w:val="24"/>
        </w:rPr>
        <w:t>(</w:t>
      </w:r>
      <w:r w:rsidR="00D82626" w:rsidRPr="008A7D75">
        <w:rPr>
          <w:i/>
          <w:sz w:val="24"/>
          <w:szCs w:val="24"/>
        </w:rPr>
        <w:t>Id</w:t>
      </w:r>
      <w:r w:rsidR="00D82626" w:rsidRPr="00B065CC">
        <w:rPr>
          <w:sz w:val="24"/>
          <w:szCs w:val="24"/>
        </w:rPr>
        <w:t>. at 5</w:t>
      </w:r>
      <w:r w:rsidRPr="00B065CC">
        <w:rPr>
          <w:sz w:val="24"/>
          <w:szCs w:val="24"/>
        </w:rPr>
        <w:t>)</w:t>
      </w:r>
      <w:r w:rsidR="00D82626" w:rsidRPr="00B065CC">
        <w:rPr>
          <w:sz w:val="24"/>
          <w:szCs w:val="24"/>
        </w:rPr>
        <w:t xml:space="preserve">.  </w:t>
      </w:r>
    </w:p>
    <w:p w:rsidR="00020212" w:rsidRDefault="00020212" w:rsidP="000B2E84">
      <w:pPr>
        <w:spacing w:line="360" w:lineRule="auto"/>
        <w:rPr>
          <w:sz w:val="24"/>
          <w:szCs w:val="24"/>
        </w:rPr>
      </w:pPr>
    </w:p>
    <w:p w:rsidR="00020212" w:rsidRPr="00B065CC" w:rsidRDefault="00020212" w:rsidP="000B2E84">
      <w:pPr>
        <w:spacing w:line="360" w:lineRule="auto"/>
        <w:rPr>
          <w:sz w:val="24"/>
          <w:szCs w:val="24"/>
        </w:rPr>
      </w:pPr>
      <w:r>
        <w:rPr>
          <w:sz w:val="24"/>
          <w:szCs w:val="24"/>
        </w:rPr>
        <w:tab/>
      </w:r>
      <w:r>
        <w:rPr>
          <w:sz w:val="24"/>
          <w:szCs w:val="24"/>
        </w:rPr>
        <w:tab/>
        <w:t>OSBA questioned whether PECO will apply the consumer protection to non-residential customers since Chapter 14 only applies to residential customers and it is not clear whether Chapter 56 applies to non-residential customers (OSBA M.B. at 11).</w:t>
      </w:r>
    </w:p>
    <w:p w:rsidR="00D82626" w:rsidRPr="00B065CC" w:rsidRDefault="008B20C7" w:rsidP="005928A8">
      <w:pPr>
        <w:spacing w:line="360" w:lineRule="auto"/>
        <w:rPr>
          <w:sz w:val="24"/>
          <w:szCs w:val="24"/>
        </w:rPr>
      </w:pPr>
      <w:r w:rsidRPr="00B065CC">
        <w:rPr>
          <w:sz w:val="24"/>
          <w:szCs w:val="24"/>
        </w:rPr>
        <w:lastRenderedPageBreak/>
        <w:tab/>
      </w:r>
      <w:r w:rsidRPr="00B065CC">
        <w:rPr>
          <w:sz w:val="24"/>
          <w:szCs w:val="24"/>
        </w:rPr>
        <w:tab/>
        <w:t xml:space="preserve">OCA and OSBA submitted that </w:t>
      </w:r>
      <w:r w:rsidR="00D82626" w:rsidRPr="00B065CC">
        <w:rPr>
          <w:sz w:val="24"/>
          <w:szCs w:val="24"/>
        </w:rPr>
        <w:t>none of PECO’s and RESA’s arguments support approval of PECO’s request to include EGS charges for service provided under PECO’s existing POR program as a basis for termination of PECO service after PECO’s Revised POR program takes effect</w:t>
      </w:r>
      <w:r w:rsidR="008E38EC" w:rsidRPr="00B065CC">
        <w:rPr>
          <w:sz w:val="24"/>
          <w:szCs w:val="24"/>
        </w:rPr>
        <w:t xml:space="preserve"> (</w:t>
      </w:r>
      <w:r w:rsidR="00020212">
        <w:rPr>
          <w:sz w:val="24"/>
          <w:szCs w:val="24"/>
        </w:rPr>
        <w:t>OCA R</w:t>
      </w:r>
      <w:r w:rsidR="00D82626" w:rsidRPr="00B065CC">
        <w:rPr>
          <w:sz w:val="24"/>
          <w:szCs w:val="24"/>
        </w:rPr>
        <w:t>.B. 3-9</w:t>
      </w:r>
      <w:r w:rsidR="00020212">
        <w:rPr>
          <w:sz w:val="24"/>
          <w:szCs w:val="24"/>
        </w:rPr>
        <w:t>; OSBA R.B. at 6-9</w:t>
      </w:r>
      <w:r w:rsidR="008E38EC" w:rsidRPr="00B065CC">
        <w:rPr>
          <w:sz w:val="24"/>
          <w:szCs w:val="24"/>
        </w:rPr>
        <w:t>)</w:t>
      </w:r>
      <w:r w:rsidR="00D82626" w:rsidRPr="00B065CC">
        <w:rPr>
          <w:sz w:val="24"/>
          <w:szCs w:val="24"/>
        </w:rPr>
        <w:t>.</w:t>
      </w:r>
      <w:r w:rsidRPr="00B065CC">
        <w:rPr>
          <w:sz w:val="24"/>
          <w:szCs w:val="24"/>
        </w:rPr>
        <w:t xml:space="preserve">  </w:t>
      </w:r>
      <w:r w:rsidR="008E38EC" w:rsidRPr="00B065CC">
        <w:rPr>
          <w:sz w:val="24"/>
          <w:szCs w:val="24"/>
        </w:rPr>
        <w:t xml:space="preserve">OCA </w:t>
      </w:r>
      <w:r w:rsidRPr="00B065CC">
        <w:rPr>
          <w:sz w:val="24"/>
          <w:szCs w:val="24"/>
        </w:rPr>
        <w:t xml:space="preserve">and OSBA </w:t>
      </w:r>
      <w:r w:rsidR="008E38EC" w:rsidRPr="00B065CC">
        <w:rPr>
          <w:sz w:val="24"/>
          <w:szCs w:val="24"/>
        </w:rPr>
        <w:t>urge</w:t>
      </w:r>
      <w:r w:rsidRPr="00B065CC">
        <w:rPr>
          <w:sz w:val="24"/>
          <w:szCs w:val="24"/>
        </w:rPr>
        <w:t>d</w:t>
      </w:r>
      <w:r w:rsidR="008E38EC" w:rsidRPr="00B065CC">
        <w:rPr>
          <w:sz w:val="24"/>
          <w:szCs w:val="24"/>
        </w:rPr>
        <w:t xml:space="preserve"> t</w:t>
      </w:r>
      <w:r w:rsidR="00D82626" w:rsidRPr="00B065CC">
        <w:rPr>
          <w:sz w:val="24"/>
          <w:szCs w:val="24"/>
        </w:rPr>
        <w:t xml:space="preserve">he Commission </w:t>
      </w:r>
      <w:r w:rsidR="008E38EC" w:rsidRPr="00B065CC">
        <w:rPr>
          <w:sz w:val="24"/>
          <w:szCs w:val="24"/>
        </w:rPr>
        <w:t>t</w:t>
      </w:r>
      <w:r w:rsidR="00D82626" w:rsidRPr="00B065CC">
        <w:rPr>
          <w:sz w:val="24"/>
          <w:szCs w:val="24"/>
        </w:rPr>
        <w:t>o find that PECO’s ability to terminate service for unpaid EGS charges attaches only to those EGS charges for service incurred on and after PECO’s Revised POR is implemented and only for those EGS charges for basic electricity supply as certified by EGSs eligible to participate in PECO’s Revised POR program.</w:t>
      </w:r>
      <w:r w:rsidR="00020212">
        <w:rPr>
          <w:sz w:val="24"/>
          <w:szCs w:val="24"/>
        </w:rPr>
        <w:t xml:space="preserve">  (</w:t>
      </w:r>
      <w:r w:rsidR="005B6C17">
        <w:rPr>
          <w:sz w:val="24"/>
          <w:szCs w:val="24"/>
        </w:rPr>
        <w:t xml:space="preserve">OCA M.B. at 10; OCA R.B. at 11; </w:t>
      </w:r>
      <w:r w:rsidR="00020212">
        <w:rPr>
          <w:sz w:val="24"/>
          <w:szCs w:val="24"/>
        </w:rPr>
        <w:t>OSBA M.B. at 14; OSBA R.B. at 11</w:t>
      </w:r>
      <w:r w:rsidR="005B6C17">
        <w:rPr>
          <w:sz w:val="24"/>
          <w:szCs w:val="24"/>
        </w:rPr>
        <w:t>).</w:t>
      </w:r>
      <w:r w:rsidR="00D82626" w:rsidRPr="00B065CC">
        <w:rPr>
          <w:sz w:val="24"/>
          <w:szCs w:val="24"/>
        </w:rPr>
        <w:t xml:space="preserve"> </w:t>
      </w:r>
    </w:p>
    <w:p w:rsidR="007F6D18" w:rsidRPr="00B065CC" w:rsidRDefault="007F6D18" w:rsidP="005928A8">
      <w:pPr>
        <w:spacing w:line="360" w:lineRule="auto"/>
        <w:jc w:val="both"/>
        <w:rPr>
          <w:sz w:val="24"/>
          <w:szCs w:val="24"/>
        </w:rPr>
      </w:pPr>
    </w:p>
    <w:p w:rsidR="007F6D18" w:rsidRPr="00B065CC" w:rsidRDefault="007F6D18" w:rsidP="00350A60">
      <w:pPr>
        <w:pStyle w:val="Heading1"/>
        <w:ind w:firstLine="720"/>
        <w:jc w:val="left"/>
        <w:rPr>
          <w:sz w:val="24"/>
          <w:szCs w:val="24"/>
        </w:rPr>
      </w:pPr>
      <w:bookmarkStart w:id="72" w:name="_Toc259699930"/>
      <w:bookmarkStart w:id="73" w:name="_Toc259706191"/>
      <w:r w:rsidRPr="006338E3">
        <w:rPr>
          <w:sz w:val="24"/>
          <w:szCs w:val="24"/>
          <w:u w:val="none"/>
        </w:rPr>
        <w:t>3.</w:t>
      </w:r>
      <w:r w:rsidRPr="006338E3">
        <w:rPr>
          <w:sz w:val="24"/>
          <w:szCs w:val="24"/>
          <w:u w:val="none"/>
        </w:rPr>
        <w:tab/>
      </w:r>
      <w:r w:rsidRPr="00B065CC">
        <w:rPr>
          <w:sz w:val="24"/>
          <w:szCs w:val="24"/>
        </w:rPr>
        <w:t>PECO’s Re</w:t>
      </w:r>
      <w:r w:rsidR="0040108E" w:rsidRPr="00B065CC">
        <w:rPr>
          <w:sz w:val="24"/>
          <w:szCs w:val="24"/>
        </w:rPr>
        <w:t>sponse</w:t>
      </w:r>
      <w:bookmarkEnd w:id="72"/>
      <w:bookmarkEnd w:id="73"/>
    </w:p>
    <w:p w:rsidR="007F6D18" w:rsidRPr="00B065CC" w:rsidRDefault="007F6D18" w:rsidP="005928A8">
      <w:pPr>
        <w:spacing w:line="360" w:lineRule="auto"/>
        <w:jc w:val="both"/>
        <w:rPr>
          <w:sz w:val="24"/>
          <w:szCs w:val="24"/>
        </w:rPr>
      </w:pPr>
    </w:p>
    <w:p w:rsidR="0040108E" w:rsidRPr="00B065CC" w:rsidRDefault="00BC7E25" w:rsidP="005928A8">
      <w:pPr>
        <w:spacing w:line="360" w:lineRule="auto"/>
        <w:rPr>
          <w:sz w:val="24"/>
          <w:szCs w:val="24"/>
        </w:rPr>
      </w:pPr>
      <w:r w:rsidRPr="00B065CC">
        <w:rPr>
          <w:sz w:val="24"/>
          <w:szCs w:val="24"/>
        </w:rPr>
        <w:tab/>
      </w:r>
      <w:r w:rsidR="0040108E" w:rsidRPr="00B065CC">
        <w:rPr>
          <w:sz w:val="24"/>
          <w:szCs w:val="24"/>
        </w:rPr>
        <w:tab/>
      </w:r>
      <w:r w:rsidR="00B858F0" w:rsidRPr="00B065CC">
        <w:rPr>
          <w:sz w:val="24"/>
          <w:szCs w:val="24"/>
        </w:rPr>
        <w:t xml:space="preserve">PECO asserted that OCA and OSBA are ignoring the </w:t>
      </w:r>
      <w:r w:rsidR="00B858F0" w:rsidRPr="00B065CC">
        <w:rPr>
          <w:i/>
          <w:sz w:val="24"/>
          <w:szCs w:val="24"/>
        </w:rPr>
        <w:t>Default Service Settlement</w:t>
      </w:r>
      <w:r w:rsidR="00B858F0" w:rsidRPr="00B065CC">
        <w:rPr>
          <w:sz w:val="24"/>
          <w:szCs w:val="24"/>
        </w:rPr>
        <w:t xml:space="preserve"> (PECO R.B. at 4).  PECO denied that the </w:t>
      </w:r>
      <w:r w:rsidR="00B858F0" w:rsidRPr="00B065CC">
        <w:rPr>
          <w:i/>
          <w:sz w:val="24"/>
          <w:szCs w:val="24"/>
        </w:rPr>
        <w:t>Restructuring Settlement</w:t>
      </w:r>
      <w:r w:rsidR="00B858F0" w:rsidRPr="00B065CC">
        <w:rPr>
          <w:sz w:val="24"/>
          <w:szCs w:val="24"/>
        </w:rPr>
        <w:t xml:space="preserve"> imposes a restriction on termination for pre-2011 EGS arrearages (PECO R. B. at 5).</w:t>
      </w:r>
    </w:p>
    <w:p w:rsidR="00B858F0" w:rsidRPr="00B065CC" w:rsidRDefault="00B858F0" w:rsidP="00876A16">
      <w:pPr>
        <w:spacing w:line="360" w:lineRule="auto"/>
        <w:jc w:val="both"/>
        <w:rPr>
          <w:sz w:val="24"/>
          <w:szCs w:val="24"/>
        </w:rPr>
      </w:pPr>
    </w:p>
    <w:p w:rsidR="00BC7E25" w:rsidRPr="00B065CC" w:rsidRDefault="00BC7E25" w:rsidP="005928A8">
      <w:pPr>
        <w:spacing w:line="360" w:lineRule="auto"/>
        <w:rPr>
          <w:sz w:val="24"/>
          <w:szCs w:val="24"/>
        </w:rPr>
      </w:pPr>
      <w:r w:rsidRPr="00B065CC">
        <w:rPr>
          <w:sz w:val="24"/>
          <w:szCs w:val="24"/>
        </w:rPr>
        <w:tab/>
      </w:r>
      <w:r w:rsidRPr="00B065CC">
        <w:rPr>
          <w:sz w:val="24"/>
          <w:szCs w:val="24"/>
        </w:rPr>
        <w:tab/>
        <w:t xml:space="preserve">PECO argued that there are flaws in OSBA’s argument regarding double recovery (PECO R. B. at 5).  First, the argument is based on factual contentions advanced for the first time in OSBA’s main brief (PECO R.B. at 5).  Second, there is no basis for assuming that PECO’s right to terminate for pre-2011 EGS arrearages will reduce its overall uncollectible accounts expense.  </w:t>
      </w:r>
      <w:r w:rsidR="00E45781" w:rsidRPr="00B065CC">
        <w:rPr>
          <w:sz w:val="24"/>
          <w:szCs w:val="24"/>
        </w:rPr>
        <w:t xml:space="preserve">Third, the uncollectible accounts expense is usually based on a multi-year average of accounts receivable written off less actual recoveries.  Thus, the potential for “double recovery” would be eliminated in future base rate cases (PECO R. B. at 6). </w:t>
      </w:r>
    </w:p>
    <w:p w:rsidR="00E45781" w:rsidRPr="00B065CC" w:rsidRDefault="00E45781" w:rsidP="007F6D18">
      <w:pPr>
        <w:spacing w:line="360" w:lineRule="auto"/>
        <w:jc w:val="both"/>
        <w:rPr>
          <w:sz w:val="24"/>
          <w:szCs w:val="24"/>
        </w:rPr>
      </w:pPr>
    </w:p>
    <w:p w:rsidR="002A1EBE" w:rsidRDefault="00B33F06" w:rsidP="00876A16">
      <w:pPr>
        <w:spacing w:line="360" w:lineRule="auto"/>
        <w:rPr>
          <w:sz w:val="24"/>
          <w:szCs w:val="24"/>
        </w:rPr>
      </w:pPr>
      <w:r w:rsidRPr="00B065CC">
        <w:rPr>
          <w:sz w:val="24"/>
          <w:szCs w:val="24"/>
        </w:rPr>
        <w:tab/>
      </w:r>
      <w:r w:rsidRPr="00B065CC">
        <w:rPr>
          <w:sz w:val="24"/>
          <w:szCs w:val="24"/>
        </w:rPr>
        <w:tab/>
        <w:t xml:space="preserve">PECO </w:t>
      </w:r>
      <w:r w:rsidR="002A1EBE" w:rsidRPr="00B065CC">
        <w:rPr>
          <w:sz w:val="24"/>
          <w:szCs w:val="24"/>
        </w:rPr>
        <w:t>insisted that OCA’s and OSBA’s objections lack merit and should be rejected.</w:t>
      </w:r>
    </w:p>
    <w:p w:rsidR="00876A16" w:rsidRPr="00B065CC" w:rsidRDefault="00876A16" w:rsidP="00876A16">
      <w:pPr>
        <w:spacing w:line="360" w:lineRule="auto"/>
        <w:rPr>
          <w:sz w:val="24"/>
          <w:szCs w:val="24"/>
        </w:rPr>
      </w:pPr>
    </w:p>
    <w:p w:rsidR="00D82626" w:rsidRPr="00B065CC" w:rsidRDefault="00883510" w:rsidP="000A3537">
      <w:pPr>
        <w:pStyle w:val="Heading1"/>
        <w:jc w:val="left"/>
        <w:rPr>
          <w:sz w:val="24"/>
          <w:szCs w:val="24"/>
        </w:rPr>
      </w:pPr>
      <w:r w:rsidRPr="00350A60">
        <w:rPr>
          <w:sz w:val="24"/>
          <w:szCs w:val="24"/>
          <w:u w:val="none"/>
        </w:rPr>
        <w:tab/>
      </w:r>
      <w:bookmarkStart w:id="74" w:name="_Toc259699931"/>
      <w:bookmarkStart w:id="75" w:name="_Toc259706192"/>
      <w:r w:rsidRPr="00350A60">
        <w:rPr>
          <w:sz w:val="24"/>
          <w:szCs w:val="24"/>
          <w:u w:val="none"/>
        </w:rPr>
        <w:t>4.</w:t>
      </w:r>
      <w:r w:rsidRPr="00350A60">
        <w:rPr>
          <w:sz w:val="24"/>
          <w:szCs w:val="24"/>
          <w:u w:val="none"/>
        </w:rPr>
        <w:tab/>
      </w:r>
      <w:r w:rsidRPr="00B065CC">
        <w:rPr>
          <w:sz w:val="24"/>
          <w:szCs w:val="24"/>
        </w:rPr>
        <w:t>Disposition</w:t>
      </w:r>
      <w:bookmarkEnd w:id="74"/>
      <w:bookmarkEnd w:id="75"/>
    </w:p>
    <w:p w:rsidR="00883510" w:rsidRPr="00B065CC" w:rsidRDefault="00883510" w:rsidP="00441F94">
      <w:pPr>
        <w:pStyle w:val="BodyText2"/>
        <w:spacing w:line="360" w:lineRule="auto"/>
        <w:rPr>
          <w:sz w:val="24"/>
          <w:szCs w:val="24"/>
          <w:u w:val="single"/>
        </w:rPr>
      </w:pPr>
    </w:p>
    <w:p w:rsidR="00883510" w:rsidRPr="00B065CC" w:rsidRDefault="00883510" w:rsidP="000D1C28">
      <w:pPr>
        <w:pStyle w:val="BodyText2"/>
        <w:spacing w:line="360" w:lineRule="auto"/>
        <w:rPr>
          <w:sz w:val="24"/>
          <w:szCs w:val="24"/>
        </w:rPr>
      </w:pPr>
      <w:r w:rsidRPr="00B065CC">
        <w:rPr>
          <w:sz w:val="24"/>
          <w:szCs w:val="24"/>
        </w:rPr>
        <w:tab/>
      </w:r>
      <w:r w:rsidRPr="00B065CC">
        <w:rPr>
          <w:sz w:val="24"/>
          <w:szCs w:val="24"/>
        </w:rPr>
        <w:tab/>
        <w:t xml:space="preserve">It is undisputed that PECO has been allowed to recover the uncollectible portion of the EGS charges and its program expenses through its distribution rates.  </w:t>
      </w:r>
      <w:r w:rsidR="000D1C28" w:rsidRPr="00B065CC">
        <w:rPr>
          <w:sz w:val="24"/>
          <w:szCs w:val="24"/>
        </w:rPr>
        <w:t xml:space="preserve">Thus, PECO was able to recover the payments that it made to the EGSs for customers who did not pay PECO.  </w:t>
      </w:r>
      <w:r w:rsidR="000D1C28" w:rsidRPr="00B065CC">
        <w:rPr>
          <w:sz w:val="24"/>
          <w:szCs w:val="24"/>
        </w:rPr>
        <w:lastRenderedPageBreak/>
        <w:t xml:space="preserve">Accordingly, although PECO could not terminate the customer’s service for failure to pay the EGS charges, </w:t>
      </w:r>
      <w:r w:rsidR="003F74EF" w:rsidRPr="00B065CC">
        <w:rPr>
          <w:sz w:val="24"/>
          <w:szCs w:val="24"/>
        </w:rPr>
        <w:t xml:space="preserve">after 90 days </w:t>
      </w:r>
      <w:r w:rsidR="000D1C28" w:rsidRPr="00B065CC">
        <w:rPr>
          <w:sz w:val="24"/>
          <w:szCs w:val="24"/>
        </w:rPr>
        <w:t xml:space="preserve">PECO could convert the delinquent customer to dual billing.  Then the EGS was responsible for collecting any overdue amounts related to generation service.  </w:t>
      </w:r>
      <w:r w:rsidR="003F74EF" w:rsidRPr="00B065CC">
        <w:rPr>
          <w:sz w:val="24"/>
          <w:szCs w:val="24"/>
        </w:rPr>
        <w:t xml:space="preserve">In addition, PECO could recover the payments that it made to the EGS on behalf of the delinquent customer through its distribution rates. </w:t>
      </w:r>
      <w:r w:rsidR="000D1C28" w:rsidRPr="00B065CC">
        <w:rPr>
          <w:sz w:val="24"/>
          <w:szCs w:val="24"/>
        </w:rPr>
        <w:t xml:space="preserve"> </w:t>
      </w:r>
    </w:p>
    <w:p w:rsidR="00661B3D" w:rsidRPr="00B065CC" w:rsidRDefault="00661B3D" w:rsidP="00441F94">
      <w:pPr>
        <w:pStyle w:val="BodyText2"/>
        <w:spacing w:line="360" w:lineRule="auto"/>
        <w:rPr>
          <w:sz w:val="24"/>
          <w:szCs w:val="24"/>
          <w:u w:val="single"/>
        </w:rPr>
      </w:pPr>
    </w:p>
    <w:p w:rsidR="003F74EF" w:rsidRPr="00B065CC" w:rsidRDefault="003F74EF" w:rsidP="00423522">
      <w:pPr>
        <w:pStyle w:val="BodyText2"/>
        <w:spacing w:line="360" w:lineRule="auto"/>
        <w:rPr>
          <w:sz w:val="24"/>
          <w:szCs w:val="24"/>
        </w:rPr>
      </w:pPr>
      <w:r w:rsidRPr="00B065CC">
        <w:rPr>
          <w:sz w:val="24"/>
          <w:szCs w:val="24"/>
        </w:rPr>
        <w:tab/>
      </w:r>
      <w:r w:rsidRPr="00B065CC">
        <w:rPr>
          <w:sz w:val="24"/>
          <w:szCs w:val="24"/>
        </w:rPr>
        <w:tab/>
      </w:r>
      <w:r w:rsidR="004523C4" w:rsidRPr="00B065CC">
        <w:rPr>
          <w:sz w:val="24"/>
          <w:szCs w:val="24"/>
        </w:rPr>
        <w:t xml:space="preserve">PECO now proposes </w:t>
      </w:r>
      <w:r w:rsidR="00840203" w:rsidRPr="00B065CC">
        <w:rPr>
          <w:sz w:val="24"/>
          <w:szCs w:val="24"/>
        </w:rPr>
        <w:t xml:space="preserve">as a part of its Revised POR program </w:t>
      </w:r>
      <w:r w:rsidR="004523C4" w:rsidRPr="00B065CC">
        <w:rPr>
          <w:sz w:val="24"/>
          <w:szCs w:val="24"/>
        </w:rPr>
        <w:t>to purchase the receivables from the EGSs</w:t>
      </w:r>
      <w:r w:rsidR="00840203" w:rsidRPr="00B065CC">
        <w:rPr>
          <w:sz w:val="24"/>
          <w:szCs w:val="24"/>
        </w:rPr>
        <w:t>, have all rights to collect the receivables and to retain all paymen</w:t>
      </w:r>
      <w:r w:rsidR="00BE42B1">
        <w:rPr>
          <w:sz w:val="24"/>
          <w:szCs w:val="24"/>
        </w:rPr>
        <w:t xml:space="preserve">ts from customers </w:t>
      </w:r>
      <w:r w:rsidR="00F97D3C">
        <w:rPr>
          <w:sz w:val="24"/>
          <w:szCs w:val="24"/>
        </w:rPr>
        <w:t>(</w:t>
      </w:r>
      <w:r w:rsidR="00BE42B1">
        <w:rPr>
          <w:sz w:val="24"/>
          <w:szCs w:val="24"/>
        </w:rPr>
        <w:t>Petition at ¶</w:t>
      </w:r>
      <w:r w:rsidR="00840203" w:rsidRPr="00B065CC">
        <w:rPr>
          <w:sz w:val="24"/>
          <w:szCs w:val="24"/>
        </w:rPr>
        <w:t>22</w:t>
      </w:r>
      <w:r w:rsidR="004523C4" w:rsidRPr="00B065CC">
        <w:rPr>
          <w:sz w:val="24"/>
          <w:szCs w:val="24"/>
        </w:rPr>
        <w:t>.</w:t>
      </w:r>
      <w:r w:rsidR="00F97D3C">
        <w:rPr>
          <w:sz w:val="24"/>
          <w:szCs w:val="24"/>
        </w:rPr>
        <w:t>)</w:t>
      </w:r>
      <w:r w:rsidR="004523C4" w:rsidRPr="00B065CC">
        <w:rPr>
          <w:sz w:val="24"/>
          <w:szCs w:val="24"/>
        </w:rPr>
        <w:t xml:space="preserve">  </w:t>
      </w:r>
      <w:r w:rsidR="00BE42B1">
        <w:rPr>
          <w:sz w:val="24"/>
          <w:szCs w:val="24"/>
        </w:rPr>
        <w:t>In addition ¶</w:t>
      </w:r>
      <w:r w:rsidR="007F61D2" w:rsidRPr="00B065CC">
        <w:rPr>
          <w:sz w:val="24"/>
          <w:szCs w:val="24"/>
        </w:rPr>
        <w:t>23 allows PECO to terminate a customer’s service for the customer’s failure to pay EGS charges for basic electricity supply which was assigned to PECO.  The termination will occur after PECO complies with customer service protection provisions</w:t>
      </w:r>
      <w:r w:rsidR="00C71FB6" w:rsidRPr="00B065CC">
        <w:rPr>
          <w:sz w:val="24"/>
          <w:szCs w:val="24"/>
        </w:rPr>
        <w:t>.  “PECO further proposes that it have the right to terminate customers where the unpaid EGS charges for basic electric supply were incurred or billed before the Revised POR Program is implemented on January 1, 2011</w:t>
      </w:r>
      <w:r w:rsidR="00BA4B19" w:rsidRPr="00B065CC">
        <w:rPr>
          <w:sz w:val="24"/>
          <w:szCs w:val="24"/>
        </w:rPr>
        <w:t>.</w:t>
      </w:r>
      <w:r w:rsidR="00C71FB6" w:rsidRPr="00B065CC">
        <w:rPr>
          <w:sz w:val="24"/>
          <w:szCs w:val="24"/>
        </w:rPr>
        <w:t xml:space="preserve"> …</w:t>
      </w:r>
      <w:r w:rsidR="00BA4B19" w:rsidRPr="00B065CC">
        <w:rPr>
          <w:sz w:val="24"/>
          <w:szCs w:val="24"/>
        </w:rPr>
        <w:t xml:space="preserve"> </w:t>
      </w:r>
      <w:r w:rsidR="00C71FB6" w:rsidRPr="00B065CC">
        <w:rPr>
          <w:sz w:val="24"/>
          <w:szCs w:val="24"/>
        </w:rPr>
        <w:t>Customers seeking reconnection will be required to pay PECO unpaid charges, all reconnection fees, unpaid EGS charges and any late payment charges for basic electricity supply.”</w:t>
      </w:r>
    </w:p>
    <w:p w:rsidR="00840203" w:rsidRPr="00B065CC" w:rsidRDefault="00840203" w:rsidP="0040536B">
      <w:pPr>
        <w:pStyle w:val="BodyText2"/>
        <w:spacing w:line="360" w:lineRule="auto"/>
        <w:rPr>
          <w:sz w:val="24"/>
          <w:szCs w:val="24"/>
        </w:rPr>
      </w:pPr>
    </w:p>
    <w:p w:rsidR="00A846C9" w:rsidRPr="00A028A4" w:rsidRDefault="00A846C9" w:rsidP="00423522">
      <w:pPr>
        <w:pStyle w:val="BodyText2"/>
        <w:spacing w:line="360" w:lineRule="auto"/>
        <w:rPr>
          <w:sz w:val="24"/>
          <w:szCs w:val="24"/>
        </w:rPr>
      </w:pPr>
      <w:r w:rsidRPr="00B065CC">
        <w:rPr>
          <w:sz w:val="24"/>
          <w:szCs w:val="24"/>
        </w:rPr>
        <w:tab/>
      </w:r>
      <w:r w:rsidRPr="00B065CC">
        <w:rPr>
          <w:sz w:val="24"/>
          <w:szCs w:val="24"/>
        </w:rPr>
        <w:tab/>
        <w:t xml:space="preserve">The arguments advanced by OCA and OSBA concerning the retroactive effect of terminating customers for EGS charges that were protected in the </w:t>
      </w:r>
      <w:r w:rsidRPr="00B065CC">
        <w:rPr>
          <w:i/>
          <w:sz w:val="24"/>
          <w:szCs w:val="24"/>
        </w:rPr>
        <w:t xml:space="preserve">Restructuring Settlement </w:t>
      </w:r>
      <w:r w:rsidRPr="00B065CC">
        <w:rPr>
          <w:sz w:val="24"/>
          <w:szCs w:val="24"/>
        </w:rPr>
        <w:t xml:space="preserve">are persuasive.  It is not clear </w:t>
      </w:r>
      <w:r w:rsidR="00F97D0D" w:rsidRPr="00B065CC">
        <w:rPr>
          <w:sz w:val="24"/>
          <w:szCs w:val="24"/>
        </w:rPr>
        <w:t xml:space="preserve">why PECO decided to purchase the receivables.  However, it is undisputed that PECO has been able to recover the 90 day payments made to EGSs and will be able to recover implementation costs if unable to terminate customers with unpaid EGS charges.  </w:t>
      </w:r>
      <w:r w:rsidR="003E3100" w:rsidRPr="00B065CC">
        <w:rPr>
          <w:sz w:val="24"/>
          <w:szCs w:val="24"/>
        </w:rPr>
        <w:t xml:space="preserve">The language in the </w:t>
      </w:r>
      <w:r w:rsidR="003E3100" w:rsidRPr="00B065CC">
        <w:rPr>
          <w:i/>
          <w:sz w:val="24"/>
          <w:szCs w:val="24"/>
        </w:rPr>
        <w:t>Default Settlement</w:t>
      </w:r>
      <w:r w:rsidR="003E3100" w:rsidRPr="00B065CC">
        <w:rPr>
          <w:sz w:val="24"/>
          <w:szCs w:val="24"/>
        </w:rPr>
        <w:t xml:space="preserve"> does not change the protections afforded in the </w:t>
      </w:r>
      <w:r w:rsidR="003E3100" w:rsidRPr="00B065CC">
        <w:rPr>
          <w:i/>
          <w:sz w:val="24"/>
          <w:szCs w:val="24"/>
        </w:rPr>
        <w:t>Restructuring Settlement.</w:t>
      </w:r>
      <w:r w:rsidR="00A028A4">
        <w:rPr>
          <w:i/>
          <w:sz w:val="24"/>
          <w:szCs w:val="24"/>
        </w:rPr>
        <w:t xml:space="preserve">  </w:t>
      </w:r>
      <w:r w:rsidR="00A028A4">
        <w:rPr>
          <w:sz w:val="24"/>
          <w:szCs w:val="24"/>
        </w:rPr>
        <w:t xml:space="preserve">Furthermore, it is not clear that the consumer protections referenced by PECO will be applied to non-residential customers.  </w:t>
      </w:r>
    </w:p>
    <w:p w:rsidR="00F97D0D" w:rsidRPr="00B065CC" w:rsidRDefault="00F97D0D" w:rsidP="0040536B">
      <w:pPr>
        <w:pStyle w:val="BodyText2"/>
        <w:spacing w:line="360" w:lineRule="auto"/>
        <w:rPr>
          <w:sz w:val="24"/>
          <w:szCs w:val="24"/>
        </w:rPr>
      </w:pPr>
    </w:p>
    <w:p w:rsidR="00F92094" w:rsidRDefault="00A846C9" w:rsidP="00423522">
      <w:pPr>
        <w:pStyle w:val="BodyText2"/>
        <w:spacing w:line="360" w:lineRule="auto"/>
        <w:rPr>
          <w:sz w:val="24"/>
          <w:szCs w:val="24"/>
        </w:rPr>
      </w:pPr>
      <w:r w:rsidRPr="00B065CC">
        <w:rPr>
          <w:sz w:val="24"/>
          <w:szCs w:val="24"/>
        </w:rPr>
        <w:tab/>
      </w:r>
      <w:r w:rsidRPr="00B065CC">
        <w:rPr>
          <w:sz w:val="24"/>
          <w:szCs w:val="24"/>
        </w:rPr>
        <w:tab/>
      </w:r>
      <w:r w:rsidR="00F97D0D" w:rsidRPr="00B065CC">
        <w:rPr>
          <w:sz w:val="24"/>
          <w:szCs w:val="24"/>
        </w:rPr>
        <w:t xml:space="preserve">Consequently, it is my opinion that </w:t>
      </w:r>
      <w:r w:rsidR="00423522" w:rsidRPr="00B065CC">
        <w:rPr>
          <w:sz w:val="24"/>
          <w:szCs w:val="24"/>
        </w:rPr>
        <w:t xml:space="preserve">PECO’s ability to terminate service for unpaid EGS charges </w:t>
      </w:r>
      <w:r w:rsidR="00F97D0D" w:rsidRPr="00B065CC">
        <w:rPr>
          <w:sz w:val="24"/>
          <w:szCs w:val="24"/>
        </w:rPr>
        <w:t xml:space="preserve">should </w:t>
      </w:r>
      <w:r w:rsidR="00423522" w:rsidRPr="00B065CC">
        <w:rPr>
          <w:sz w:val="24"/>
          <w:szCs w:val="24"/>
        </w:rPr>
        <w:t>a</w:t>
      </w:r>
      <w:r w:rsidR="00EA01A7" w:rsidRPr="00B065CC">
        <w:rPr>
          <w:sz w:val="24"/>
          <w:szCs w:val="24"/>
        </w:rPr>
        <w:t>pply</w:t>
      </w:r>
      <w:r w:rsidR="00423522" w:rsidRPr="00B065CC">
        <w:rPr>
          <w:sz w:val="24"/>
          <w:szCs w:val="24"/>
        </w:rPr>
        <w:t xml:space="preserve"> only to those EGS charges for service incurred on and after PECO’s Revised POR is implemented and only for those EGS charges for basic electricity supply. </w:t>
      </w:r>
      <w:r w:rsidR="00F97D0D" w:rsidRPr="00B065CC">
        <w:rPr>
          <w:sz w:val="24"/>
          <w:szCs w:val="24"/>
        </w:rPr>
        <w:t xml:space="preserve"> </w:t>
      </w:r>
    </w:p>
    <w:p w:rsidR="00F92094" w:rsidRDefault="00F92094">
      <w:pPr>
        <w:rPr>
          <w:sz w:val="24"/>
          <w:szCs w:val="24"/>
        </w:rPr>
      </w:pPr>
      <w:r>
        <w:rPr>
          <w:sz w:val="24"/>
          <w:szCs w:val="24"/>
        </w:rPr>
        <w:br w:type="page"/>
      </w:r>
    </w:p>
    <w:p w:rsidR="00FF4F9E" w:rsidRDefault="00FF4F9E" w:rsidP="00423522">
      <w:pPr>
        <w:pStyle w:val="BodyText2"/>
        <w:spacing w:line="360" w:lineRule="auto"/>
        <w:rPr>
          <w:sz w:val="24"/>
          <w:szCs w:val="24"/>
        </w:rPr>
      </w:pPr>
    </w:p>
    <w:p w:rsidR="00423522" w:rsidRPr="00B065CC" w:rsidRDefault="00F97D0D" w:rsidP="00423522">
      <w:pPr>
        <w:pStyle w:val="BodyText2"/>
        <w:spacing w:line="360" w:lineRule="auto"/>
        <w:rPr>
          <w:sz w:val="24"/>
          <w:szCs w:val="24"/>
        </w:rPr>
      </w:pPr>
      <w:r w:rsidRPr="00B065CC">
        <w:rPr>
          <w:sz w:val="24"/>
          <w:szCs w:val="24"/>
        </w:rPr>
        <w:t xml:space="preserve">Accordingly, </w:t>
      </w:r>
      <w:r w:rsidR="00423522" w:rsidRPr="00B065CC">
        <w:rPr>
          <w:sz w:val="24"/>
          <w:szCs w:val="24"/>
        </w:rPr>
        <w:t>PECO’s proposal to treat unpaid EGS charges for service incurred before the effective date of PECO’s Revised POR Program as a basis for termination of electricity service</w:t>
      </w:r>
      <w:r w:rsidRPr="00B065CC">
        <w:rPr>
          <w:sz w:val="24"/>
          <w:szCs w:val="24"/>
        </w:rPr>
        <w:t xml:space="preserve"> is denied</w:t>
      </w:r>
      <w:r w:rsidR="00423522" w:rsidRPr="00B065CC">
        <w:rPr>
          <w:sz w:val="24"/>
          <w:szCs w:val="24"/>
        </w:rPr>
        <w:t>.</w:t>
      </w:r>
    </w:p>
    <w:p w:rsidR="00423522" w:rsidRPr="00B065CC" w:rsidRDefault="00423522" w:rsidP="0040536B">
      <w:pPr>
        <w:pStyle w:val="BodyText2"/>
        <w:spacing w:line="360" w:lineRule="auto"/>
        <w:rPr>
          <w:sz w:val="24"/>
          <w:szCs w:val="24"/>
        </w:rPr>
      </w:pPr>
    </w:p>
    <w:p w:rsidR="007F6D18" w:rsidRDefault="007F6D18" w:rsidP="007D355B">
      <w:pPr>
        <w:pStyle w:val="OutlineL5"/>
        <w:numPr>
          <w:ilvl w:val="0"/>
          <w:numId w:val="0"/>
        </w:numPr>
        <w:tabs>
          <w:tab w:val="left" w:pos="0"/>
        </w:tabs>
        <w:spacing w:after="0" w:line="360" w:lineRule="auto"/>
        <w:outlineLvl w:val="0"/>
        <w:rPr>
          <w:szCs w:val="24"/>
          <w:u w:val="single"/>
        </w:rPr>
      </w:pPr>
      <w:bookmarkStart w:id="76" w:name="_Toc259706193"/>
      <w:r w:rsidRPr="00B065CC">
        <w:rPr>
          <w:szCs w:val="24"/>
        </w:rPr>
        <w:t>E.</w:t>
      </w:r>
      <w:r w:rsidRPr="00B065CC">
        <w:rPr>
          <w:szCs w:val="24"/>
        </w:rPr>
        <w:tab/>
      </w:r>
      <w:r w:rsidR="003E3100" w:rsidRPr="00B065CC">
        <w:rPr>
          <w:szCs w:val="24"/>
          <w:u w:val="single"/>
        </w:rPr>
        <w:t xml:space="preserve">OTS’ Proposal to </w:t>
      </w:r>
      <w:r w:rsidRPr="00B065CC">
        <w:rPr>
          <w:szCs w:val="24"/>
          <w:u w:val="single"/>
        </w:rPr>
        <w:t>require</w:t>
      </w:r>
      <w:r w:rsidR="003E3100" w:rsidRPr="00B065CC">
        <w:rPr>
          <w:szCs w:val="24"/>
          <w:u w:val="single"/>
        </w:rPr>
        <w:t xml:space="preserve"> PECO </w:t>
      </w:r>
      <w:r w:rsidRPr="00B065CC">
        <w:rPr>
          <w:szCs w:val="24"/>
          <w:u w:val="single"/>
        </w:rPr>
        <w:t>to unbundle its generation-related uncollectible accounts expense from its distribution rates for collection from default service customers</w:t>
      </w:r>
      <w:bookmarkEnd w:id="76"/>
    </w:p>
    <w:p w:rsidR="0040536B" w:rsidRPr="00B065CC" w:rsidRDefault="0040536B" w:rsidP="007D355B">
      <w:pPr>
        <w:pStyle w:val="OutlineL5"/>
        <w:numPr>
          <w:ilvl w:val="0"/>
          <w:numId w:val="0"/>
        </w:numPr>
        <w:tabs>
          <w:tab w:val="left" w:pos="0"/>
        </w:tabs>
        <w:spacing w:after="0" w:line="360" w:lineRule="auto"/>
        <w:rPr>
          <w:szCs w:val="24"/>
        </w:rPr>
      </w:pPr>
    </w:p>
    <w:p w:rsidR="00770D2D" w:rsidRPr="00B065CC" w:rsidRDefault="00770D2D" w:rsidP="00350A60">
      <w:pPr>
        <w:pStyle w:val="Heading1"/>
        <w:ind w:firstLine="720"/>
        <w:jc w:val="left"/>
        <w:rPr>
          <w:sz w:val="24"/>
          <w:szCs w:val="24"/>
        </w:rPr>
      </w:pPr>
      <w:bookmarkStart w:id="77" w:name="_Toc259699933"/>
      <w:bookmarkStart w:id="78" w:name="_Toc259706194"/>
      <w:r w:rsidRPr="00350A60">
        <w:rPr>
          <w:sz w:val="24"/>
          <w:szCs w:val="24"/>
          <w:u w:val="none"/>
        </w:rPr>
        <w:t>1.</w:t>
      </w:r>
      <w:r w:rsidRPr="00350A60">
        <w:rPr>
          <w:sz w:val="24"/>
          <w:szCs w:val="24"/>
          <w:u w:val="none"/>
        </w:rPr>
        <w:tab/>
      </w:r>
      <w:r w:rsidRPr="00B065CC">
        <w:rPr>
          <w:sz w:val="24"/>
          <w:szCs w:val="24"/>
        </w:rPr>
        <w:t>PECO’s Proposal</w:t>
      </w:r>
      <w:bookmarkEnd w:id="77"/>
      <w:bookmarkEnd w:id="78"/>
    </w:p>
    <w:p w:rsidR="00770D2D" w:rsidRPr="00B065CC" w:rsidRDefault="00770D2D" w:rsidP="007D355B">
      <w:pPr>
        <w:spacing w:line="360" w:lineRule="auto"/>
        <w:rPr>
          <w:sz w:val="24"/>
          <w:szCs w:val="24"/>
          <w:u w:val="single"/>
        </w:rPr>
      </w:pPr>
    </w:p>
    <w:p w:rsidR="00023AC9" w:rsidRPr="00B065CC" w:rsidRDefault="007723DB" w:rsidP="007723DB">
      <w:pPr>
        <w:spacing w:line="360" w:lineRule="auto"/>
        <w:rPr>
          <w:sz w:val="24"/>
          <w:szCs w:val="24"/>
        </w:rPr>
      </w:pPr>
      <w:r w:rsidRPr="00B065CC">
        <w:rPr>
          <w:sz w:val="24"/>
          <w:szCs w:val="24"/>
        </w:rPr>
        <w:tab/>
      </w:r>
      <w:r w:rsidRPr="00B065CC">
        <w:rPr>
          <w:sz w:val="24"/>
          <w:szCs w:val="24"/>
        </w:rPr>
        <w:tab/>
      </w:r>
      <w:r w:rsidR="00770D2D" w:rsidRPr="00B065CC">
        <w:rPr>
          <w:sz w:val="24"/>
          <w:szCs w:val="24"/>
        </w:rPr>
        <w:t>PECO proposed to employ an initial temporary discount of 0.2% on the receivables purchased by PECO to recover the implementation costs of the Revised Electric POR Program.  The ongoing operating and administrative costs of the Program would be included in PECO’s subsequent electric distribution base rate cases</w:t>
      </w:r>
      <w:r w:rsidR="00023AC9" w:rsidRPr="00B065CC">
        <w:rPr>
          <w:sz w:val="24"/>
          <w:szCs w:val="24"/>
        </w:rPr>
        <w:t xml:space="preserve"> (PECO M. B. at 6)</w:t>
      </w:r>
      <w:r w:rsidR="00770D2D" w:rsidRPr="00B065CC">
        <w:rPr>
          <w:sz w:val="24"/>
          <w:szCs w:val="24"/>
        </w:rPr>
        <w:t>.  PECO also proposes to continue to recover uncollectible expense</w:t>
      </w:r>
      <w:r w:rsidR="00A261BA">
        <w:rPr>
          <w:sz w:val="24"/>
          <w:szCs w:val="24"/>
        </w:rPr>
        <w:t>s</w:t>
      </w:r>
      <w:r w:rsidR="00770D2D" w:rsidRPr="00B065CC">
        <w:rPr>
          <w:sz w:val="24"/>
          <w:szCs w:val="24"/>
        </w:rPr>
        <w:t xml:space="preserve"> (including the expense associated with purchased EGS receivables) in its distribution rates</w:t>
      </w:r>
      <w:r w:rsidR="00023AC9" w:rsidRPr="00B065CC">
        <w:rPr>
          <w:sz w:val="24"/>
          <w:szCs w:val="24"/>
        </w:rPr>
        <w:t xml:space="preserve"> (</w:t>
      </w:r>
      <w:r w:rsidR="00770D2D" w:rsidRPr="00B065CC">
        <w:rPr>
          <w:i/>
          <w:sz w:val="24"/>
          <w:szCs w:val="24"/>
        </w:rPr>
        <w:t xml:space="preserve">See </w:t>
      </w:r>
      <w:r w:rsidR="006F51A4">
        <w:rPr>
          <w:sz w:val="24"/>
          <w:szCs w:val="24"/>
        </w:rPr>
        <w:t>Petition ¶¶</w:t>
      </w:r>
      <w:r w:rsidR="00770D2D" w:rsidRPr="00B065CC">
        <w:rPr>
          <w:sz w:val="24"/>
          <w:szCs w:val="24"/>
        </w:rPr>
        <w:t>19-21; PECO St. No. 1, pp. 14-16</w:t>
      </w:r>
      <w:r w:rsidR="00023AC9" w:rsidRPr="00B065CC">
        <w:rPr>
          <w:sz w:val="24"/>
          <w:szCs w:val="24"/>
        </w:rPr>
        <w:t>)</w:t>
      </w:r>
      <w:r w:rsidR="00770D2D" w:rsidRPr="00B065CC">
        <w:rPr>
          <w:sz w:val="24"/>
          <w:szCs w:val="24"/>
        </w:rPr>
        <w:t>.  All parties except the OTS agree with, or do not oppose, the Company’s proposed method for recovering POR-related costs</w:t>
      </w:r>
      <w:r w:rsidR="00023AC9" w:rsidRPr="00B065CC">
        <w:rPr>
          <w:sz w:val="24"/>
          <w:szCs w:val="24"/>
        </w:rPr>
        <w:t xml:space="preserve"> (PECO M. B. at 6)</w:t>
      </w:r>
      <w:r w:rsidR="00770D2D" w:rsidRPr="00B065CC">
        <w:rPr>
          <w:sz w:val="24"/>
          <w:szCs w:val="24"/>
        </w:rPr>
        <w:t xml:space="preserve">. </w:t>
      </w:r>
    </w:p>
    <w:p w:rsidR="00023AC9" w:rsidRPr="00B065CC" w:rsidRDefault="00023AC9" w:rsidP="000B0D65">
      <w:pPr>
        <w:spacing w:line="360" w:lineRule="auto"/>
        <w:rPr>
          <w:sz w:val="24"/>
          <w:szCs w:val="24"/>
        </w:rPr>
      </w:pPr>
    </w:p>
    <w:p w:rsidR="00770D2D" w:rsidRPr="00B065CC" w:rsidRDefault="00023AC9" w:rsidP="00EB494D">
      <w:pPr>
        <w:spacing w:line="360" w:lineRule="auto"/>
        <w:rPr>
          <w:sz w:val="24"/>
          <w:szCs w:val="24"/>
        </w:rPr>
      </w:pPr>
      <w:r w:rsidRPr="00B065CC">
        <w:rPr>
          <w:sz w:val="24"/>
          <w:szCs w:val="24"/>
        </w:rPr>
        <w:tab/>
      </w:r>
      <w:r w:rsidRPr="00B065CC">
        <w:rPr>
          <w:sz w:val="24"/>
          <w:szCs w:val="24"/>
        </w:rPr>
        <w:tab/>
      </w:r>
      <w:r w:rsidR="00770D2D" w:rsidRPr="00B065CC">
        <w:rPr>
          <w:sz w:val="24"/>
          <w:szCs w:val="24"/>
        </w:rPr>
        <w:t>The OTS recommends significant revisions to PECO’s cost recovery method that it admits will “achieve the same result” as PECO’s proposal</w:t>
      </w:r>
      <w:r w:rsidRPr="00B065CC">
        <w:rPr>
          <w:sz w:val="24"/>
          <w:szCs w:val="24"/>
        </w:rPr>
        <w:t xml:space="preserve"> (PECO M. B. at 6;</w:t>
      </w:r>
      <w:r w:rsidR="000B0D65">
        <w:rPr>
          <w:sz w:val="24"/>
          <w:szCs w:val="24"/>
        </w:rPr>
        <w:t xml:space="preserve"> </w:t>
      </w:r>
      <w:r w:rsidR="00770D2D" w:rsidRPr="00B065CC">
        <w:rPr>
          <w:i/>
          <w:sz w:val="24"/>
          <w:szCs w:val="24"/>
        </w:rPr>
        <w:t xml:space="preserve">See </w:t>
      </w:r>
      <w:r w:rsidR="00770D2D" w:rsidRPr="00B065CC">
        <w:rPr>
          <w:sz w:val="24"/>
          <w:szCs w:val="24"/>
        </w:rPr>
        <w:t>OTS St. No. 1-SR, p. 3</w:t>
      </w:r>
      <w:r w:rsidRPr="00B065CC">
        <w:rPr>
          <w:sz w:val="24"/>
          <w:szCs w:val="24"/>
        </w:rPr>
        <w:t>)</w:t>
      </w:r>
      <w:r w:rsidR="00770D2D" w:rsidRPr="00B065CC">
        <w:rPr>
          <w:sz w:val="24"/>
          <w:szCs w:val="24"/>
        </w:rPr>
        <w:t>.</w:t>
      </w:r>
    </w:p>
    <w:p w:rsidR="00770D2D" w:rsidRDefault="00770D2D" w:rsidP="00EB494D">
      <w:pPr>
        <w:spacing w:line="360" w:lineRule="auto"/>
        <w:rPr>
          <w:sz w:val="24"/>
          <w:szCs w:val="24"/>
          <w:u w:val="single"/>
        </w:rPr>
      </w:pPr>
    </w:p>
    <w:p w:rsidR="00770D2D" w:rsidRPr="00B065CC" w:rsidRDefault="00770D2D" w:rsidP="00350A60">
      <w:pPr>
        <w:pStyle w:val="Heading1"/>
        <w:ind w:firstLine="720"/>
        <w:jc w:val="left"/>
        <w:rPr>
          <w:sz w:val="24"/>
          <w:szCs w:val="24"/>
        </w:rPr>
      </w:pPr>
      <w:bookmarkStart w:id="79" w:name="_Toc259699934"/>
      <w:bookmarkStart w:id="80" w:name="_Toc259706195"/>
      <w:r w:rsidRPr="00350A60">
        <w:rPr>
          <w:sz w:val="24"/>
          <w:szCs w:val="24"/>
          <w:u w:val="none"/>
        </w:rPr>
        <w:t>2.</w:t>
      </w:r>
      <w:r w:rsidRPr="00350A60">
        <w:rPr>
          <w:sz w:val="24"/>
          <w:szCs w:val="24"/>
          <w:u w:val="none"/>
        </w:rPr>
        <w:tab/>
      </w:r>
      <w:r w:rsidRPr="00B065CC">
        <w:rPr>
          <w:sz w:val="24"/>
          <w:szCs w:val="24"/>
        </w:rPr>
        <w:t>OTS</w:t>
      </w:r>
      <w:r w:rsidR="001E0144">
        <w:rPr>
          <w:sz w:val="24"/>
          <w:szCs w:val="24"/>
        </w:rPr>
        <w:t>’</w:t>
      </w:r>
      <w:r w:rsidRPr="00B065CC">
        <w:rPr>
          <w:sz w:val="24"/>
          <w:szCs w:val="24"/>
        </w:rPr>
        <w:t xml:space="preserve"> Proposal</w:t>
      </w:r>
      <w:bookmarkEnd w:id="79"/>
      <w:bookmarkEnd w:id="80"/>
    </w:p>
    <w:p w:rsidR="00770D2D" w:rsidRPr="00B065CC" w:rsidRDefault="00770D2D" w:rsidP="00906BC9">
      <w:pPr>
        <w:spacing w:line="360" w:lineRule="auto"/>
        <w:rPr>
          <w:sz w:val="24"/>
          <w:szCs w:val="24"/>
          <w:u w:val="single"/>
        </w:rPr>
      </w:pPr>
    </w:p>
    <w:p w:rsidR="007723DB" w:rsidRPr="00B065CC" w:rsidRDefault="00023AC9" w:rsidP="007723DB">
      <w:pPr>
        <w:spacing w:line="360" w:lineRule="auto"/>
        <w:rPr>
          <w:sz w:val="24"/>
          <w:szCs w:val="24"/>
        </w:rPr>
      </w:pPr>
      <w:r w:rsidRPr="00B065CC">
        <w:rPr>
          <w:sz w:val="24"/>
          <w:szCs w:val="24"/>
        </w:rPr>
        <w:tab/>
      </w:r>
      <w:r w:rsidRPr="00B065CC">
        <w:rPr>
          <w:sz w:val="24"/>
          <w:szCs w:val="24"/>
        </w:rPr>
        <w:tab/>
        <w:t>OTS’ position is that, i</w:t>
      </w:r>
      <w:r w:rsidR="007723DB" w:rsidRPr="00B065CC">
        <w:rPr>
          <w:sz w:val="24"/>
          <w:szCs w:val="24"/>
        </w:rPr>
        <w:t>n the instant proceeding, PECO’s proposal understates the administrative factor and completely ignores the inclusion of an appropriate factor for uncollectible accounts.  The Company has not presented substantial evidence, as defined by the Courts, in support of the omission of these key elements from its proposed POR program</w:t>
      </w:r>
      <w:r w:rsidR="00B065CC" w:rsidRPr="00B065CC">
        <w:rPr>
          <w:sz w:val="24"/>
          <w:szCs w:val="24"/>
        </w:rPr>
        <w:t xml:space="preserve"> (OTS M.B. at 9)</w:t>
      </w:r>
      <w:r w:rsidR="007723DB" w:rsidRPr="00B065CC">
        <w:rPr>
          <w:sz w:val="24"/>
          <w:szCs w:val="24"/>
        </w:rPr>
        <w:t xml:space="preserve">.  </w:t>
      </w:r>
    </w:p>
    <w:p w:rsidR="00B065CC" w:rsidRPr="00B065CC" w:rsidRDefault="00B065CC" w:rsidP="007723DB">
      <w:pPr>
        <w:spacing w:line="360" w:lineRule="auto"/>
        <w:rPr>
          <w:sz w:val="24"/>
          <w:szCs w:val="24"/>
        </w:rPr>
      </w:pPr>
    </w:p>
    <w:p w:rsidR="00FF4F9E" w:rsidRDefault="00B065CC" w:rsidP="00FF4F9E">
      <w:pPr>
        <w:spacing w:line="360" w:lineRule="auto"/>
        <w:rPr>
          <w:sz w:val="24"/>
          <w:szCs w:val="24"/>
        </w:rPr>
      </w:pPr>
      <w:r w:rsidRPr="00B065CC">
        <w:rPr>
          <w:sz w:val="24"/>
          <w:szCs w:val="24"/>
        </w:rPr>
        <w:tab/>
      </w:r>
      <w:r w:rsidRPr="00B065CC">
        <w:rPr>
          <w:sz w:val="24"/>
          <w:szCs w:val="24"/>
        </w:rPr>
        <w:tab/>
      </w:r>
      <w:r w:rsidR="00FF4F9E">
        <w:rPr>
          <w:sz w:val="24"/>
          <w:szCs w:val="24"/>
        </w:rPr>
        <w:br w:type="page"/>
      </w:r>
    </w:p>
    <w:p w:rsidR="007723DB" w:rsidRDefault="00B065CC" w:rsidP="00FF4F9E">
      <w:pPr>
        <w:spacing w:line="360" w:lineRule="auto"/>
        <w:ind w:firstLine="1440"/>
        <w:rPr>
          <w:sz w:val="24"/>
          <w:szCs w:val="24"/>
        </w:rPr>
      </w:pPr>
      <w:r w:rsidRPr="00B065CC">
        <w:rPr>
          <w:sz w:val="24"/>
          <w:szCs w:val="24"/>
        </w:rPr>
        <w:lastRenderedPageBreak/>
        <w:t>OTS contended that t</w:t>
      </w:r>
      <w:r w:rsidR="007723DB" w:rsidRPr="00B065CC">
        <w:rPr>
          <w:sz w:val="24"/>
          <w:szCs w:val="24"/>
        </w:rPr>
        <w:t>he appropriate discount rate to be applied to PECO’s POR is 2.27% for residential customers and .34% for small commercial and industrial customers.  For residential customers, the discount rate includes an allowance for uncollectible accounts of 2.07%.  For small commercial and industrial customers the uncollectible accounts component is 0.14%</w:t>
      </w:r>
      <w:r>
        <w:rPr>
          <w:sz w:val="24"/>
          <w:szCs w:val="24"/>
        </w:rPr>
        <w:t xml:space="preserve"> </w:t>
      </w:r>
      <w:r w:rsidRPr="00B065CC">
        <w:rPr>
          <w:sz w:val="24"/>
          <w:szCs w:val="24"/>
        </w:rPr>
        <w:t>(OTS M.B. at 9</w:t>
      </w:r>
      <w:r>
        <w:rPr>
          <w:sz w:val="24"/>
          <w:szCs w:val="24"/>
        </w:rPr>
        <w:t xml:space="preserve">; </w:t>
      </w:r>
      <w:r w:rsidRPr="00B065CC">
        <w:rPr>
          <w:sz w:val="24"/>
          <w:szCs w:val="24"/>
        </w:rPr>
        <w:t>OTS Statement No. 1-S, pp. 2-3, OTS Exhibit No. 1-S, pp. 1-3</w:t>
      </w:r>
      <w:r>
        <w:rPr>
          <w:sz w:val="24"/>
          <w:szCs w:val="24"/>
        </w:rPr>
        <w:t>)</w:t>
      </w:r>
      <w:r w:rsidRPr="00B065CC">
        <w:rPr>
          <w:sz w:val="24"/>
          <w:szCs w:val="24"/>
        </w:rPr>
        <w:t>.</w:t>
      </w:r>
      <w:r>
        <w:rPr>
          <w:sz w:val="24"/>
          <w:szCs w:val="24"/>
        </w:rPr>
        <w:t xml:space="preserve">  </w:t>
      </w:r>
      <w:r w:rsidR="007723DB" w:rsidRPr="00B065CC">
        <w:rPr>
          <w:sz w:val="24"/>
          <w:szCs w:val="24"/>
        </w:rPr>
        <w:t xml:space="preserve">Without the inclusion of an uncollectible accounts expense factor in the proposed discount </w:t>
      </w:r>
      <w:r w:rsidR="00672716">
        <w:rPr>
          <w:sz w:val="24"/>
          <w:szCs w:val="24"/>
        </w:rPr>
        <w:t xml:space="preserve">OTS’ position is that </w:t>
      </w:r>
      <w:r w:rsidR="007723DB" w:rsidRPr="00B065CC">
        <w:rPr>
          <w:sz w:val="24"/>
          <w:szCs w:val="24"/>
        </w:rPr>
        <w:t>there will be an improper shifting of non-jurisdictional generation expenses from the EGS to the jurisdictional distribution ratepayers</w:t>
      </w:r>
      <w:r w:rsidR="00C15DFC">
        <w:rPr>
          <w:sz w:val="24"/>
          <w:szCs w:val="24"/>
        </w:rPr>
        <w:t xml:space="preserve"> </w:t>
      </w:r>
      <w:r w:rsidR="00C15DFC" w:rsidRPr="00B065CC">
        <w:rPr>
          <w:sz w:val="24"/>
          <w:szCs w:val="24"/>
        </w:rPr>
        <w:t>(OTS M.B. at 9)</w:t>
      </w:r>
      <w:r w:rsidR="007723DB" w:rsidRPr="00B065CC">
        <w:rPr>
          <w:sz w:val="24"/>
          <w:szCs w:val="24"/>
        </w:rPr>
        <w:t xml:space="preserve">.   </w:t>
      </w:r>
    </w:p>
    <w:p w:rsidR="00672716" w:rsidRDefault="00672716" w:rsidP="007723DB">
      <w:pPr>
        <w:spacing w:line="360" w:lineRule="auto"/>
        <w:rPr>
          <w:sz w:val="24"/>
          <w:szCs w:val="24"/>
        </w:rPr>
      </w:pPr>
    </w:p>
    <w:p w:rsidR="007723DB" w:rsidRPr="00B065CC" w:rsidRDefault="00B065CC" w:rsidP="007723DB">
      <w:pPr>
        <w:spacing w:line="360" w:lineRule="auto"/>
        <w:rPr>
          <w:sz w:val="24"/>
          <w:szCs w:val="24"/>
        </w:rPr>
      </w:pPr>
      <w:r>
        <w:rPr>
          <w:sz w:val="24"/>
          <w:szCs w:val="24"/>
        </w:rPr>
        <w:tab/>
      </w:r>
      <w:r w:rsidR="007723DB" w:rsidRPr="00B065CC">
        <w:rPr>
          <w:sz w:val="24"/>
          <w:szCs w:val="24"/>
        </w:rPr>
        <w:tab/>
      </w:r>
      <w:r>
        <w:rPr>
          <w:sz w:val="24"/>
          <w:szCs w:val="24"/>
        </w:rPr>
        <w:t>OTS stated that t</w:t>
      </w:r>
      <w:r w:rsidR="007723DB" w:rsidRPr="00B065CC">
        <w:rPr>
          <w:sz w:val="24"/>
          <w:szCs w:val="24"/>
        </w:rPr>
        <w:t xml:space="preserve">he use of a discounted rate methodology is appropriate in this proceeding, as it was in the PPL </w:t>
      </w:r>
      <w:r w:rsidR="00AC4BCF">
        <w:rPr>
          <w:sz w:val="24"/>
          <w:szCs w:val="24"/>
        </w:rPr>
        <w:t xml:space="preserve">POR </w:t>
      </w:r>
      <w:r w:rsidR="007723DB" w:rsidRPr="00B065CC">
        <w:rPr>
          <w:sz w:val="24"/>
          <w:szCs w:val="24"/>
        </w:rPr>
        <w:t>proceeding, because it reflects the added risk of the uncollectible account expense associated with the Electric Generation Supplier’s receivables being purchased</w:t>
      </w:r>
      <w:r>
        <w:rPr>
          <w:sz w:val="24"/>
          <w:szCs w:val="24"/>
        </w:rPr>
        <w:t xml:space="preserve"> (OTS M.B. at </w:t>
      </w:r>
      <w:r w:rsidR="00C15DFC">
        <w:rPr>
          <w:sz w:val="24"/>
          <w:szCs w:val="24"/>
        </w:rPr>
        <w:t>9</w:t>
      </w:r>
      <w:r w:rsidR="001D15AE">
        <w:rPr>
          <w:sz w:val="24"/>
          <w:szCs w:val="24"/>
        </w:rPr>
        <w:t>; OTS R. B. at 3</w:t>
      </w:r>
      <w:r w:rsidR="00C15DFC">
        <w:rPr>
          <w:sz w:val="24"/>
          <w:szCs w:val="24"/>
        </w:rPr>
        <w:t>)</w:t>
      </w:r>
      <w:r w:rsidR="007723DB" w:rsidRPr="00B065CC">
        <w:rPr>
          <w:sz w:val="24"/>
          <w:szCs w:val="24"/>
        </w:rPr>
        <w:t>.</w:t>
      </w:r>
      <w:r>
        <w:rPr>
          <w:sz w:val="24"/>
          <w:szCs w:val="24"/>
        </w:rPr>
        <w:t xml:space="preserve"> </w:t>
      </w:r>
      <w:r w:rsidR="007723DB" w:rsidRPr="00B065CC">
        <w:rPr>
          <w:sz w:val="24"/>
          <w:szCs w:val="24"/>
        </w:rPr>
        <w:t xml:space="preserve"> A discount rate is simply an allowance, or reduction, from the gross amount due.  While an intervening party representing Electric Generation Suppliers recognizes the impact of uncollectible accounts, PECO’s proposal will insulate the non-jurisdictional entity while exposing the jurisdictional customers to the burden of subsidizing the program.  </w:t>
      </w:r>
      <w:r w:rsidR="00CA7944">
        <w:rPr>
          <w:sz w:val="24"/>
          <w:szCs w:val="24"/>
        </w:rPr>
        <w:t xml:space="preserve">OTS claims that </w:t>
      </w:r>
      <w:r w:rsidR="007723DB" w:rsidRPr="00B065CC">
        <w:rPr>
          <w:sz w:val="24"/>
          <w:szCs w:val="24"/>
        </w:rPr>
        <w:t xml:space="preserve">PECO </w:t>
      </w:r>
      <w:r w:rsidR="00CA7944">
        <w:rPr>
          <w:sz w:val="24"/>
          <w:szCs w:val="24"/>
        </w:rPr>
        <w:t xml:space="preserve">is </w:t>
      </w:r>
      <w:r w:rsidR="007723DB" w:rsidRPr="00B065CC">
        <w:rPr>
          <w:sz w:val="24"/>
          <w:szCs w:val="24"/>
        </w:rPr>
        <w:t>propos</w:t>
      </w:r>
      <w:r w:rsidR="00CA7944">
        <w:rPr>
          <w:sz w:val="24"/>
          <w:szCs w:val="24"/>
        </w:rPr>
        <w:t>ing</w:t>
      </w:r>
      <w:r w:rsidR="007723DB" w:rsidRPr="00B065CC">
        <w:rPr>
          <w:sz w:val="24"/>
          <w:szCs w:val="24"/>
        </w:rPr>
        <w:t xml:space="preserve"> that distribution customers pay for the portion of the EGS generation related bills that are not collected.  </w:t>
      </w:r>
      <w:r w:rsidR="00C15DFC">
        <w:rPr>
          <w:sz w:val="24"/>
          <w:szCs w:val="24"/>
        </w:rPr>
        <w:t xml:space="preserve">OTS asserted that </w:t>
      </w:r>
      <w:r w:rsidR="007723DB" w:rsidRPr="00B065CC">
        <w:rPr>
          <w:sz w:val="24"/>
          <w:szCs w:val="24"/>
        </w:rPr>
        <w:t>this proposal is improper and must be rejected</w:t>
      </w:r>
      <w:r w:rsidR="00C15DFC">
        <w:rPr>
          <w:sz w:val="24"/>
          <w:szCs w:val="24"/>
        </w:rPr>
        <w:t xml:space="preserve"> </w:t>
      </w:r>
      <w:r w:rsidR="00C15DFC" w:rsidRPr="00B065CC">
        <w:rPr>
          <w:sz w:val="24"/>
          <w:szCs w:val="24"/>
        </w:rPr>
        <w:t xml:space="preserve">(OTS M.B. at </w:t>
      </w:r>
      <w:r w:rsidR="00C15DFC">
        <w:rPr>
          <w:sz w:val="24"/>
          <w:szCs w:val="24"/>
        </w:rPr>
        <w:t>10</w:t>
      </w:r>
      <w:r w:rsidR="00C15DFC" w:rsidRPr="00B065CC">
        <w:rPr>
          <w:sz w:val="24"/>
          <w:szCs w:val="24"/>
        </w:rPr>
        <w:t>)</w:t>
      </w:r>
      <w:r w:rsidR="007723DB" w:rsidRPr="00B065CC">
        <w:rPr>
          <w:sz w:val="24"/>
          <w:szCs w:val="24"/>
        </w:rPr>
        <w:t>.</w:t>
      </w:r>
    </w:p>
    <w:p w:rsidR="00770D2D" w:rsidRPr="00B065CC" w:rsidRDefault="00770D2D" w:rsidP="008C2930">
      <w:pPr>
        <w:spacing w:line="360" w:lineRule="auto"/>
        <w:rPr>
          <w:sz w:val="24"/>
          <w:szCs w:val="24"/>
          <w:u w:val="single"/>
        </w:rPr>
      </w:pPr>
    </w:p>
    <w:p w:rsidR="00FF4F9E" w:rsidRDefault="00EB494D" w:rsidP="00EB494D">
      <w:pPr>
        <w:spacing w:line="360" w:lineRule="auto"/>
        <w:rPr>
          <w:sz w:val="24"/>
          <w:szCs w:val="24"/>
        </w:rPr>
      </w:pPr>
      <w:r w:rsidRPr="00B065CC">
        <w:rPr>
          <w:sz w:val="24"/>
          <w:szCs w:val="24"/>
        </w:rPr>
        <w:tab/>
      </w:r>
      <w:r w:rsidRPr="00B065CC">
        <w:rPr>
          <w:sz w:val="24"/>
          <w:szCs w:val="24"/>
        </w:rPr>
        <w:tab/>
      </w:r>
      <w:r w:rsidR="003E3100" w:rsidRPr="00B065CC">
        <w:rPr>
          <w:sz w:val="24"/>
          <w:szCs w:val="24"/>
        </w:rPr>
        <w:t>OTS argued that a</w:t>
      </w:r>
      <w:r w:rsidRPr="00B065CC">
        <w:rPr>
          <w:sz w:val="24"/>
          <w:szCs w:val="24"/>
        </w:rPr>
        <w:t xml:space="preserve"> properly designed POR program includes a Discount Rate that reflects the assignment of costs to the appropriate parties.  PECO’s proposal, as endorsed by Dominion Retail and RESA contains a provision that is not in the public interest and must be rejected</w:t>
      </w:r>
      <w:r w:rsidR="00A96E30" w:rsidRPr="00B065CC">
        <w:rPr>
          <w:sz w:val="24"/>
          <w:szCs w:val="24"/>
        </w:rPr>
        <w:t xml:space="preserve"> (OTS </w:t>
      </w:r>
      <w:r w:rsidR="00C15DFC">
        <w:rPr>
          <w:sz w:val="24"/>
          <w:szCs w:val="24"/>
        </w:rPr>
        <w:t>M. B. at 1</w:t>
      </w:r>
      <w:r w:rsidR="001D15AE">
        <w:rPr>
          <w:sz w:val="24"/>
          <w:szCs w:val="24"/>
        </w:rPr>
        <w:t>1</w:t>
      </w:r>
      <w:r w:rsidR="00A96E30" w:rsidRPr="00B065CC">
        <w:rPr>
          <w:sz w:val="24"/>
          <w:szCs w:val="24"/>
        </w:rPr>
        <w:t>)</w:t>
      </w:r>
      <w:r w:rsidRPr="00B065CC">
        <w:rPr>
          <w:sz w:val="24"/>
          <w:szCs w:val="24"/>
        </w:rPr>
        <w:t xml:space="preserve">.  </w:t>
      </w:r>
      <w:r w:rsidR="00A96E30" w:rsidRPr="00B065CC">
        <w:rPr>
          <w:sz w:val="24"/>
          <w:szCs w:val="24"/>
        </w:rPr>
        <w:t>OTS submitted that t</w:t>
      </w:r>
      <w:r w:rsidRPr="00B065CC">
        <w:rPr>
          <w:sz w:val="24"/>
          <w:szCs w:val="24"/>
        </w:rPr>
        <w:t xml:space="preserve">he issue in this proceeding is whether the uncollectible accounts expense associated with the non-jurisdictional EGS should be collected from the jurisdictional </w:t>
      </w:r>
      <w:r w:rsidR="00A96E30" w:rsidRPr="00B065CC">
        <w:rPr>
          <w:sz w:val="24"/>
          <w:szCs w:val="24"/>
        </w:rPr>
        <w:t xml:space="preserve">distribution </w:t>
      </w:r>
      <w:r w:rsidRPr="00B065CC">
        <w:rPr>
          <w:sz w:val="24"/>
          <w:szCs w:val="24"/>
        </w:rPr>
        <w:t xml:space="preserve">ratepayer.  </w:t>
      </w:r>
      <w:r w:rsidR="00AC7C3E">
        <w:rPr>
          <w:sz w:val="24"/>
          <w:szCs w:val="24"/>
        </w:rPr>
        <w:t>OTS’</w:t>
      </w:r>
      <w:r w:rsidR="00A96E30" w:rsidRPr="00B065CC">
        <w:rPr>
          <w:sz w:val="24"/>
          <w:szCs w:val="24"/>
        </w:rPr>
        <w:t xml:space="preserve"> position is that t</w:t>
      </w:r>
      <w:r w:rsidRPr="00B065CC">
        <w:rPr>
          <w:sz w:val="24"/>
          <w:szCs w:val="24"/>
        </w:rPr>
        <w:t>he avoided costs of a non-jurisdictional EGS should not be shifted to jurisdictional ratepayers</w:t>
      </w:r>
      <w:r w:rsidR="00CA7944">
        <w:rPr>
          <w:sz w:val="24"/>
          <w:szCs w:val="24"/>
        </w:rPr>
        <w:t xml:space="preserve"> (OTS M.B. at 11</w:t>
      </w:r>
      <w:r w:rsidR="00F41B1F">
        <w:rPr>
          <w:sz w:val="24"/>
          <w:szCs w:val="24"/>
        </w:rPr>
        <w:t>; OTS R.B. at 2</w:t>
      </w:r>
      <w:r w:rsidR="00CA7944">
        <w:rPr>
          <w:sz w:val="24"/>
          <w:szCs w:val="24"/>
        </w:rPr>
        <w:t>)</w:t>
      </w:r>
      <w:r w:rsidRPr="00B065CC">
        <w:rPr>
          <w:sz w:val="24"/>
          <w:szCs w:val="24"/>
        </w:rPr>
        <w:t>.  “The use of the discount rate OTS is proposing will properly assign the generation related uncollectible expense to the EGS.”</w:t>
      </w:r>
      <w:r w:rsidR="00A96E30" w:rsidRPr="00B065CC">
        <w:rPr>
          <w:sz w:val="24"/>
          <w:szCs w:val="24"/>
        </w:rPr>
        <w:t xml:space="preserve"> </w:t>
      </w:r>
      <w:r w:rsidR="00BA7844">
        <w:rPr>
          <w:sz w:val="24"/>
          <w:szCs w:val="24"/>
        </w:rPr>
        <w:t xml:space="preserve"> </w:t>
      </w:r>
      <w:r w:rsidR="00A96E30" w:rsidRPr="00B065CC">
        <w:rPr>
          <w:sz w:val="24"/>
          <w:szCs w:val="24"/>
        </w:rPr>
        <w:t xml:space="preserve">(OTS R.B. at </w:t>
      </w:r>
      <w:r w:rsidR="00F41B1F">
        <w:rPr>
          <w:sz w:val="24"/>
          <w:szCs w:val="24"/>
        </w:rPr>
        <w:t>2</w:t>
      </w:r>
      <w:r w:rsidR="00E50751" w:rsidRPr="00B065CC">
        <w:rPr>
          <w:sz w:val="24"/>
          <w:szCs w:val="24"/>
        </w:rPr>
        <w:t>;</w:t>
      </w:r>
      <w:r w:rsidR="00A96E30" w:rsidRPr="00B065CC">
        <w:rPr>
          <w:sz w:val="24"/>
          <w:szCs w:val="24"/>
        </w:rPr>
        <w:t xml:space="preserve"> OTS Statement No. 1-R at 3).  OTS recommend</w:t>
      </w:r>
      <w:r w:rsidR="00F41B1F">
        <w:rPr>
          <w:sz w:val="24"/>
          <w:szCs w:val="24"/>
        </w:rPr>
        <w:t>ed</w:t>
      </w:r>
      <w:r w:rsidR="00A96E30" w:rsidRPr="00B065CC">
        <w:rPr>
          <w:sz w:val="24"/>
          <w:szCs w:val="24"/>
        </w:rPr>
        <w:t xml:space="preserve"> that </w:t>
      </w:r>
      <w:r w:rsidRPr="00B065CC">
        <w:rPr>
          <w:sz w:val="24"/>
          <w:szCs w:val="24"/>
        </w:rPr>
        <w:t xml:space="preserve">PECO’s generation related uncollectible accounts </w:t>
      </w:r>
      <w:r w:rsidR="00A96E30" w:rsidRPr="00B065CC">
        <w:rPr>
          <w:sz w:val="24"/>
          <w:szCs w:val="24"/>
        </w:rPr>
        <w:t xml:space="preserve">expense be unbundled </w:t>
      </w:r>
      <w:r w:rsidRPr="00B065CC">
        <w:rPr>
          <w:sz w:val="24"/>
          <w:szCs w:val="24"/>
        </w:rPr>
        <w:t xml:space="preserve">from </w:t>
      </w:r>
    </w:p>
    <w:p w:rsidR="00FF4F9E" w:rsidRDefault="00FF4F9E">
      <w:pPr>
        <w:rPr>
          <w:sz w:val="24"/>
          <w:szCs w:val="24"/>
        </w:rPr>
      </w:pPr>
      <w:r>
        <w:rPr>
          <w:sz w:val="24"/>
          <w:szCs w:val="24"/>
        </w:rPr>
        <w:br w:type="page"/>
      </w:r>
    </w:p>
    <w:p w:rsidR="00EB494D" w:rsidRPr="00B065CC" w:rsidRDefault="00EB494D" w:rsidP="00EB494D">
      <w:pPr>
        <w:spacing w:line="360" w:lineRule="auto"/>
        <w:rPr>
          <w:sz w:val="24"/>
          <w:szCs w:val="24"/>
        </w:rPr>
      </w:pPr>
      <w:r w:rsidRPr="00B065CC">
        <w:rPr>
          <w:sz w:val="24"/>
          <w:szCs w:val="24"/>
        </w:rPr>
        <w:lastRenderedPageBreak/>
        <w:t>distribution rates and collect</w:t>
      </w:r>
      <w:r w:rsidR="00E50751" w:rsidRPr="00B065CC">
        <w:rPr>
          <w:sz w:val="24"/>
          <w:szCs w:val="24"/>
        </w:rPr>
        <w:t>ed</w:t>
      </w:r>
      <w:r w:rsidRPr="00B065CC">
        <w:rPr>
          <w:sz w:val="24"/>
          <w:szCs w:val="24"/>
        </w:rPr>
        <w:t xml:space="preserve"> from default service customers through a surcharge per </w:t>
      </w:r>
      <w:r w:rsidR="00C96EF0">
        <w:rPr>
          <w:sz w:val="24"/>
          <w:szCs w:val="24"/>
        </w:rPr>
        <w:t>kW</w:t>
      </w:r>
      <w:r w:rsidR="00AC4BCF" w:rsidRPr="00B065CC">
        <w:rPr>
          <w:sz w:val="24"/>
          <w:szCs w:val="24"/>
        </w:rPr>
        <w:t xml:space="preserve">h </w:t>
      </w:r>
      <w:r w:rsidRPr="00B065CC">
        <w:rPr>
          <w:sz w:val="24"/>
          <w:szCs w:val="24"/>
        </w:rPr>
        <w:t xml:space="preserve">is appropriate because it put everyone on a </w:t>
      </w:r>
      <w:r w:rsidR="00D235D4">
        <w:rPr>
          <w:sz w:val="24"/>
          <w:szCs w:val="24"/>
        </w:rPr>
        <w:t>“</w:t>
      </w:r>
      <w:r w:rsidRPr="00B065CC">
        <w:rPr>
          <w:sz w:val="24"/>
          <w:szCs w:val="24"/>
        </w:rPr>
        <w:t>level playing field.”</w:t>
      </w:r>
      <w:r w:rsidR="00E50751" w:rsidRPr="00B065CC">
        <w:rPr>
          <w:sz w:val="24"/>
          <w:szCs w:val="24"/>
        </w:rPr>
        <w:t xml:space="preserve"> </w:t>
      </w:r>
      <w:r w:rsidR="00BA7844">
        <w:rPr>
          <w:sz w:val="24"/>
          <w:szCs w:val="24"/>
        </w:rPr>
        <w:t xml:space="preserve"> </w:t>
      </w:r>
      <w:r w:rsidR="00E50751" w:rsidRPr="00B065CC">
        <w:rPr>
          <w:sz w:val="24"/>
          <w:szCs w:val="24"/>
        </w:rPr>
        <w:t xml:space="preserve">(OTS R.B. at </w:t>
      </w:r>
      <w:r w:rsidR="00F41B1F">
        <w:rPr>
          <w:sz w:val="24"/>
          <w:szCs w:val="24"/>
        </w:rPr>
        <w:t>2</w:t>
      </w:r>
      <w:r w:rsidR="00E50751" w:rsidRPr="00B065CC">
        <w:rPr>
          <w:sz w:val="24"/>
          <w:szCs w:val="24"/>
        </w:rPr>
        <w:t>; OTS Statement No. 1 at. 10).</w:t>
      </w:r>
    </w:p>
    <w:p w:rsidR="0022309A" w:rsidRPr="00B065CC" w:rsidRDefault="0022309A" w:rsidP="00B15C79">
      <w:pPr>
        <w:spacing w:line="360" w:lineRule="auto"/>
        <w:rPr>
          <w:sz w:val="24"/>
          <w:szCs w:val="24"/>
        </w:rPr>
      </w:pPr>
    </w:p>
    <w:p w:rsidR="00EB494D" w:rsidRPr="00B065CC" w:rsidRDefault="00EB494D" w:rsidP="00EB494D">
      <w:pPr>
        <w:spacing w:line="360" w:lineRule="auto"/>
        <w:rPr>
          <w:sz w:val="24"/>
          <w:szCs w:val="24"/>
        </w:rPr>
      </w:pPr>
      <w:r w:rsidRPr="00B065CC">
        <w:rPr>
          <w:sz w:val="24"/>
          <w:szCs w:val="24"/>
        </w:rPr>
        <w:tab/>
      </w:r>
      <w:r w:rsidRPr="00B065CC">
        <w:rPr>
          <w:sz w:val="24"/>
          <w:szCs w:val="24"/>
        </w:rPr>
        <w:tab/>
        <w:t>OTS submitted that the Commission provided guidance on the development of a proper Purchase of Receivables (“POR”) Plan in its Order in PPL’s POR proceeding</w:t>
      </w:r>
      <w:r w:rsidR="00F41B1F">
        <w:rPr>
          <w:sz w:val="24"/>
          <w:szCs w:val="24"/>
        </w:rPr>
        <w:t>.</w:t>
      </w:r>
      <w:r w:rsidRPr="00B065CC">
        <w:rPr>
          <w:rStyle w:val="FootnoteReference"/>
          <w:sz w:val="24"/>
          <w:szCs w:val="24"/>
        </w:rPr>
        <w:footnoteReference w:id="5"/>
      </w:r>
      <w:r w:rsidRPr="00B065CC">
        <w:rPr>
          <w:sz w:val="24"/>
          <w:szCs w:val="24"/>
        </w:rPr>
        <w:t xml:space="preserve"> </w:t>
      </w:r>
      <w:r w:rsidR="00F41B1F">
        <w:rPr>
          <w:sz w:val="24"/>
          <w:szCs w:val="24"/>
        </w:rPr>
        <w:t xml:space="preserve"> </w:t>
      </w:r>
      <w:r w:rsidRPr="00B065CC">
        <w:rPr>
          <w:sz w:val="24"/>
          <w:szCs w:val="24"/>
        </w:rPr>
        <w:t xml:space="preserve">In that Order, </w:t>
      </w:r>
      <w:r w:rsidR="00F41B1F">
        <w:rPr>
          <w:sz w:val="24"/>
          <w:szCs w:val="24"/>
        </w:rPr>
        <w:t xml:space="preserve">OTS asserted that </w:t>
      </w:r>
      <w:r w:rsidRPr="00B065CC">
        <w:rPr>
          <w:sz w:val="24"/>
          <w:szCs w:val="24"/>
        </w:rPr>
        <w:t>the Commission properly assigned jurisdictional and non-jurisdictional costs</w:t>
      </w:r>
      <w:r w:rsidR="00F41B1F">
        <w:rPr>
          <w:sz w:val="24"/>
          <w:szCs w:val="24"/>
        </w:rPr>
        <w:t xml:space="preserve"> (OTS R.B. at 3)</w:t>
      </w:r>
      <w:r w:rsidR="00D235D4">
        <w:rPr>
          <w:sz w:val="24"/>
          <w:szCs w:val="24"/>
        </w:rPr>
        <w:t>.  The Commission</w:t>
      </w:r>
      <w:r w:rsidRPr="00B065CC">
        <w:rPr>
          <w:sz w:val="24"/>
          <w:szCs w:val="24"/>
        </w:rPr>
        <w:t xml:space="preserve"> recognized that a properly designed POR Plan utilizes a discount rate that includes a factor for uncollectible accounts expense.  OTS contend</w:t>
      </w:r>
      <w:r w:rsidR="0022309A" w:rsidRPr="00B065CC">
        <w:rPr>
          <w:sz w:val="24"/>
          <w:szCs w:val="24"/>
        </w:rPr>
        <w:t>ed</w:t>
      </w:r>
      <w:r w:rsidRPr="00B065CC">
        <w:rPr>
          <w:sz w:val="24"/>
          <w:szCs w:val="24"/>
        </w:rPr>
        <w:t xml:space="preserve"> that there is no credible evidence in the instant proceeding to suggest that the same treatment is not appropriate here.  </w:t>
      </w:r>
      <w:r w:rsidR="0022309A" w:rsidRPr="00B065CC">
        <w:rPr>
          <w:sz w:val="24"/>
          <w:szCs w:val="24"/>
        </w:rPr>
        <w:t>OTS insisted tha</w:t>
      </w:r>
      <w:r w:rsidRPr="00B065CC">
        <w:rPr>
          <w:sz w:val="24"/>
          <w:szCs w:val="24"/>
        </w:rPr>
        <w:t xml:space="preserve">t, </w:t>
      </w:r>
      <w:r w:rsidR="0022309A" w:rsidRPr="00B065CC">
        <w:rPr>
          <w:sz w:val="24"/>
          <w:szCs w:val="24"/>
        </w:rPr>
        <w:t xml:space="preserve">if </w:t>
      </w:r>
      <w:r w:rsidRPr="00B065CC">
        <w:rPr>
          <w:sz w:val="24"/>
          <w:szCs w:val="24"/>
        </w:rPr>
        <w:t xml:space="preserve">the standards established in the PPL proceeding </w:t>
      </w:r>
      <w:r w:rsidR="0022309A" w:rsidRPr="00B065CC">
        <w:rPr>
          <w:sz w:val="24"/>
          <w:szCs w:val="24"/>
        </w:rPr>
        <w:t xml:space="preserve">are not followed, it </w:t>
      </w:r>
      <w:r w:rsidRPr="00B065CC">
        <w:rPr>
          <w:sz w:val="24"/>
          <w:szCs w:val="24"/>
        </w:rPr>
        <w:t>will create a situation where an Electric Distribution Company (“EDC”) in one service territory will have different standards than an EDC in another territory.  In addition, an EGS in one service territory would be subjected to different standards than an EGS in another service territory or the same EGS would have different standards in different territories</w:t>
      </w:r>
      <w:r w:rsidR="00F41B1F">
        <w:rPr>
          <w:sz w:val="24"/>
          <w:szCs w:val="24"/>
        </w:rPr>
        <w:t xml:space="preserve"> (OTS R.B. at </w:t>
      </w:r>
      <w:r w:rsidR="00C144C5">
        <w:rPr>
          <w:sz w:val="24"/>
          <w:szCs w:val="24"/>
        </w:rPr>
        <w:t>3</w:t>
      </w:r>
      <w:r w:rsidR="00F41B1F">
        <w:rPr>
          <w:sz w:val="24"/>
          <w:szCs w:val="24"/>
        </w:rPr>
        <w:t>)</w:t>
      </w:r>
      <w:r w:rsidRPr="00B065CC">
        <w:rPr>
          <w:sz w:val="24"/>
          <w:szCs w:val="24"/>
        </w:rPr>
        <w:t xml:space="preserve">.  </w:t>
      </w:r>
      <w:r w:rsidR="00C144C5">
        <w:rPr>
          <w:sz w:val="24"/>
          <w:szCs w:val="24"/>
        </w:rPr>
        <w:t>OTS noted that b</w:t>
      </w:r>
      <w:r w:rsidRPr="00B065CC">
        <w:rPr>
          <w:sz w:val="24"/>
          <w:szCs w:val="24"/>
        </w:rPr>
        <w:t>oth RESA and Dominion Retail provide services in PPL’s territory as well as PECO’s.  An inconsistent result would allow for different operating parameters in these two service territories.  In addition, each of these parties was a signatory to the agreement reached in the PPL proceeding.</w:t>
      </w:r>
      <w:r w:rsidR="00C144C5">
        <w:rPr>
          <w:sz w:val="24"/>
          <w:szCs w:val="24"/>
        </w:rPr>
        <w:t xml:space="preserve"> </w:t>
      </w:r>
      <w:r w:rsidRPr="00B065CC">
        <w:rPr>
          <w:sz w:val="24"/>
          <w:szCs w:val="24"/>
        </w:rPr>
        <w:t xml:space="preserve"> </w:t>
      </w:r>
      <w:r w:rsidR="00E50751" w:rsidRPr="00B065CC">
        <w:rPr>
          <w:sz w:val="24"/>
          <w:szCs w:val="24"/>
        </w:rPr>
        <w:t>OTS contended t</w:t>
      </w:r>
      <w:r w:rsidRPr="00B065CC">
        <w:rPr>
          <w:sz w:val="24"/>
          <w:szCs w:val="24"/>
        </w:rPr>
        <w:t xml:space="preserve">hat by failing to provide consistency in POR programs, an EGS would have the opportunity to shop </w:t>
      </w:r>
      <w:r w:rsidR="00D235D4">
        <w:rPr>
          <w:sz w:val="24"/>
          <w:szCs w:val="24"/>
        </w:rPr>
        <w:t>its</w:t>
      </w:r>
      <w:r w:rsidRPr="00B065CC">
        <w:rPr>
          <w:sz w:val="24"/>
          <w:szCs w:val="24"/>
        </w:rPr>
        <w:t xml:space="preserve"> supply to the most advantageous market</w:t>
      </w:r>
      <w:r w:rsidR="00E50751" w:rsidRPr="00B065CC">
        <w:rPr>
          <w:sz w:val="24"/>
          <w:szCs w:val="24"/>
        </w:rPr>
        <w:t xml:space="preserve"> and r</w:t>
      </w:r>
      <w:r w:rsidRPr="00B065CC">
        <w:rPr>
          <w:sz w:val="24"/>
          <w:szCs w:val="24"/>
        </w:rPr>
        <w:t>atepayers are potentially harmed by this practice.  OTS maintain</w:t>
      </w:r>
      <w:r w:rsidR="0022309A" w:rsidRPr="00B065CC">
        <w:rPr>
          <w:sz w:val="24"/>
          <w:szCs w:val="24"/>
        </w:rPr>
        <w:t>ed</w:t>
      </w:r>
      <w:r w:rsidRPr="00B065CC">
        <w:rPr>
          <w:sz w:val="24"/>
          <w:szCs w:val="24"/>
        </w:rPr>
        <w:t xml:space="preserve"> that POR programs must have a level of consistency throughout the Commonwealth in order to provide the same level of protections and opportunities to all participants</w:t>
      </w:r>
      <w:r w:rsidR="00C144C5">
        <w:rPr>
          <w:sz w:val="24"/>
          <w:szCs w:val="24"/>
        </w:rPr>
        <w:t xml:space="preserve"> (OTS R.B. at 3, 4)</w:t>
      </w:r>
      <w:r w:rsidRPr="00B065CC">
        <w:rPr>
          <w:sz w:val="24"/>
          <w:szCs w:val="24"/>
        </w:rPr>
        <w:t xml:space="preserve">.  </w:t>
      </w:r>
      <w:r w:rsidR="00E50751" w:rsidRPr="00B065CC">
        <w:rPr>
          <w:sz w:val="24"/>
          <w:szCs w:val="24"/>
        </w:rPr>
        <w:t xml:space="preserve">OTS </w:t>
      </w:r>
      <w:r w:rsidR="00D235D4">
        <w:rPr>
          <w:sz w:val="24"/>
          <w:szCs w:val="24"/>
        </w:rPr>
        <w:t xml:space="preserve">contended </w:t>
      </w:r>
      <w:r w:rsidR="00E50751" w:rsidRPr="00B065CC">
        <w:rPr>
          <w:sz w:val="24"/>
          <w:szCs w:val="24"/>
        </w:rPr>
        <w:t xml:space="preserve">that </w:t>
      </w:r>
      <w:r w:rsidRPr="00B065CC">
        <w:rPr>
          <w:sz w:val="24"/>
          <w:szCs w:val="24"/>
        </w:rPr>
        <w:t xml:space="preserve">PECO, RESA and Dominion Retail have failed to provide substantial evidence demonstrating why an EGS in the PECO service territory should be afforded terms that are more advantageous than the terms enforced in the PPL service territory.  </w:t>
      </w:r>
      <w:r w:rsidR="0027090E" w:rsidRPr="00B065CC">
        <w:rPr>
          <w:sz w:val="24"/>
          <w:szCs w:val="24"/>
        </w:rPr>
        <w:t xml:space="preserve">OTS stated that </w:t>
      </w:r>
      <w:r w:rsidRPr="00B065CC">
        <w:rPr>
          <w:sz w:val="24"/>
          <w:szCs w:val="24"/>
        </w:rPr>
        <w:t xml:space="preserve">the record does not support the differing treatment of uncollectible accounts expense recovery presented in the Commission approved PPL proceeding and PECO’s plan (OTS R.B. at </w:t>
      </w:r>
      <w:r w:rsidR="00C144C5">
        <w:rPr>
          <w:sz w:val="24"/>
          <w:szCs w:val="24"/>
        </w:rPr>
        <w:t>4, 5</w:t>
      </w:r>
      <w:r w:rsidRPr="00B065CC">
        <w:rPr>
          <w:sz w:val="24"/>
          <w:szCs w:val="24"/>
        </w:rPr>
        <w:t>).</w:t>
      </w:r>
    </w:p>
    <w:p w:rsidR="00EB494D" w:rsidRPr="00B065CC" w:rsidRDefault="0022309A" w:rsidP="00EB494D">
      <w:pPr>
        <w:spacing w:line="360" w:lineRule="auto"/>
        <w:rPr>
          <w:sz w:val="24"/>
          <w:szCs w:val="24"/>
        </w:rPr>
      </w:pPr>
      <w:r w:rsidRPr="00B065CC">
        <w:rPr>
          <w:sz w:val="24"/>
          <w:szCs w:val="24"/>
        </w:rPr>
        <w:lastRenderedPageBreak/>
        <w:tab/>
      </w:r>
      <w:r w:rsidR="00EB494D" w:rsidRPr="00B065CC">
        <w:rPr>
          <w:sz w:val="24"/>
          <w:szCs w:val="24"/>
        </w:rPr>
        <w:tab/>
        <w:t xml:space="preserve">The attempt to shift the burden of proof to the Office of Trial Staff is improper and inconsistent with proper utility regulation in the Commonwealth.  PECO retains the burden of proving that its plan is in the public interest.  </w:t>
      </w:r>
      <w:r w:rsidRPr="00B065CC">
        <w:rPr>
          <w:sz w:val="24"/>
          <w:szCs w:val="24"/>
        </w:rPr>
        <w:t>OTS submitted that the</w:t>
      </w:r>
      <w:r w:rsidR="00EB494D" w:rsidRPr="00B065CC">
        <w:rPr>
          <w:sz w:val="24"/>
          <w:szCs w:val="24"/>
        </w:rPr>
        <w:t xml:space="preserve"> standard has not been met</w:t>
      </w:r>
      <w:r w:rsidRPr="00B065CC">
        <w:rPr>
          <w:sz w:val="24"/>
          <w:szCs w:val="24"/>
        </w:rPr>
        <w:t xml:space="preserve"> and that </w:t>
      </w:r>
      <w:r w:rsidR="00EB494D" w:rsidRPr="00B065CC">
        <w:rPr>
          <w:sz w:val="24"/>
          <w:szCs w:val="24"/>
        </w:rPr>
        <w:t>PECO’s proposal must be rejected as filed.  The proper cure to the noted defect is to include the appropriate discount rate in its POR Plan.  As OTS has presented, and the Commission has approved in PPL, the proper discount rate or a POR includes a factor for uncollectible accounts expense</w:t>
      </w:r>
      <w:r w:rsidR="00AC4BCF">
        <w:rPr>
          <w:sz w:val="24"/>
          <w:szCs w:val="24"/>
        </w:rPr>
        <w:t xml:space="preserve"> (OTS R.B. at 5)</w:t>
      </w:r>
      <w:r w:rsidR="00EB494D" w:rsidRPr="00B065CC">
        <w:rPr>
          <w:sz w:val="24"/>
          <w:szCs w:val="24"/>
        </w:rPr>
        <w:t>.</w:t>
      </w:r>
    </w:p>
    <w:p w:rsidR="0022309A" w:rsidRPr="00B065CC" w:rsidRDefault="0022309A" w:rsidP="002641C1">
      <w:pPr>
        <w:spacing w:line="360" w:lineRule="auto"/>
        <w:rPr>
          <w:sz w:val="24"/>
          <w:szCs w:val="24"/>
        </w:rPr>
      </w:pPr>
    </w:p>
    <w:p w:rsidR="00EB494D" w:rsidRPr="00B065CC" w:rsidRDefault="0022309A" w:rsidP="00EB494D">
      <w:pPr>
        <w:spacing w:line="360" w:lineRule="auto"/>
        <w:rPr>
          <w:sz w:val="24"/>
          <w:szCs w:val="24"/>
        </w:rPr>
      </w:pPr>
      <w:r w:rsidRPr="00B065CC">
        <w:rPr>
          <w:sz w:val="24"/>
          <w:szCs w:val="24"/>
        </w:rPr>
        <w:tab/>
      </w:r>
      <w:r w:rsidR="00EB494D" w:rsidRPr="00B065CC">
        <w:rPr>
          <w:sz w:val="24"/>
          <w:szCs w:val="24"/>
        </w:rPr>
        <w:tab/>
      </w:r>
      <w:r w:rsidR="007C29ED" w:rsidRPr="00B065CC">
        <w:rPr>
          <w:sz w:val="24"/>
          <w:szCs w:val="24"/>
        </w:rPr>
        <w:t xml:space="preserve">OTS </w:t>
      </w:r>
      <w:r w:rsidR="00240CC0">
        <w:rPr>
          <w:sz w:val="24"/>
          <w:szCs w:val="24"/>
        </w:rPr>
        <w:t>contended that t</w:t>
      </w:r>
      <w:r w:rsidR="00EB494D" w:rsidRPr="00B065CC">
        <w:rPr>
          <w:sz w:val="24"/>
          <w:szCs w:val="24"/>
        </w:rPr>
        <w:t>he record evidence supports the uncollectible factor presented by OTS as it is based on the Company’s own information</w:t>
      </w:r>
      <w:r w:rsidR="00240CC0">
        <w:rPr>
          <w:sz w:val="24"/>
          <w:szCs w:val="24"/>
        </w:rPr>
        <w:t xml:space="preserve"> (OTS R.B. at 5)</w:t>
      </w:r>
      <w:r w:rsidR="00EB494D" w:rsidRPr="00B065CC">
        <w:rPr>
          <w:sz w:val="24"/>
          <w:szCs w:val="24"/>
        </w:rPr>
        <w:t xml:space="preserve">.  </w:t>
      </w:r>
      <w:r w:rsidR="00D117CB">
        <w:rPr>
          <w:sz w:val="24"/>
          <w:szCs w:val="24"/>
        </w:rPr>
        <w:t>O</w:t>
      </w:r>
      <w:r w:rsidR="00EB494D" w:rsidRPr="00B065CC">
        <w:rPr>
          <w:sz w:val="24"/>
          <w:szCs w:val="24"/>
        </w:rPr>
        <w:t>T</w:t>
      </w:r>
      <w:r w:rsidR="00D117CB">
        <w:rPr>
          <w:sz w:val="24"/>
          <w:szCs w:val="24"/>
        </w:rPr>
        <w:t>S</w:t>
      </w:r>
      <w:r w:rsidR="00304151">
        <w:rPr>
          <w:sz w:val="24"/>
          <w:szCs w:val="24"/>
        </w:rPr>
        <w:t>’</w:t>
      </w:r>
      <w:r w:rsidR="00EB494D" w:rsidRPr="00B065CC">
        <w:rPr>
          <w:sz w:val="24"/>
          <w:szCs w:val="24"/>
        </w:rPr>
        <w:t xml:space="preserve"> proposed uncollectible accounts expense factor is based solely on PECO’s response to an </w:t>
      </w:r>
      <w:r w:rsidR="00D117CB" w:rsidRPr="00B065CC">
        <w:rPr>
          <w:sz w:val="24"/>
          <w:szCs w:val="24"/>
        </w:rPr>
        <w:t xml:space="preserve">interrogatory </w:t>
      </w:r>
      <w:r w:rsidR="00EB494D" w:rsidRPr="00B065CC">
        <w:rPr>
          <w:sz w:val="24"/>
          <w:szCs w:val="24"/>
        </w:rPr>
        <w:t xml:space="preserve">requesting this information.  Arguments that it is incorrect or </w:t>
      </w:r>
      <w:r w:rsidR="007C29ED" w:rsidRPr="00B065CC">
        <w:rPr>
          <w:sz w:val="24"/>
          <w:szCs w:val="24"/>
        </w:rPr>
        <w:t xml:space="preserve">that it </w:t>
      </w:r>
      <w:r w:rsidR="00EB494D" w:rsidRPr="00B065CC">
        <w:rPr>
          <w:sz w:val="24"/>
          <w:szCs w:val="24"/>
        </w:rPr>
        <w:t>does</w:t>
      </w:r>
      <w:r w:rsidR="007C29ED" w:rsidRPr="00B065CC">
        <w:rPr>
          <w:sz w:val="24"/>
          <w:szCs w:val="24"/>
        </w:rPr>
        <w:t xml:space="preserve"> </w:t>
      </w:r>
      <w:r w:rsidR="00EB494D" w:rsidRPr="00B065CC">
        <w:rPr>
          <w:sz w:val="24"/>
          <w:szCs w:val="24"/>
        </w:rPr>
        <w:t>n</w:t>
      </w:r>
      <w:r w:rsidR="007C29ED" w:rsidRPr="00B065CC">
        <w:rPr>
          <w:sz w:val="24"/>
          <w:szCs w:val="24"/>
        </w:rPr>
        <w:t>o</w:t>
      </w:r>
      <w:r w:rsidR="00EB494D" w:rsidRPr="00B065CC">
        <w:rPr>
          <w:sz w:val="24"/>
          <w:szCs w:val="24"/>
        </w:rPr>
        <w:t>t reflect the proper calculation are unfounded as they are based on PECO’s experi</w:t>
      </w:r>
      <w:r w:rsidR="00D235D4">
        <w:rPr>
          <w:sz w:val="24"/>
          <w:szCs w:val="24"/>
        </w:rPr>
        <w:t>ence as reported to OTS in its d</w:t>
      </w:r>
      <w:r w:rsidR="00EB494D" w:rsidRPr="00B065CC">
        <w:rPr>
          <w:sz w:val="24"/>
          <w:szCs w:val="24"/>
        </w:rPr>
        <w:t xml:space="preserve">iscovery response.  The issue raised </w:t>
      </w:r>
      <w:r w:rsidR="007C29ED" w:rsidRPr="00B065CC">
        <w:rPr>
          <w:sz w:val="24"/>
          <w:szCs w:val="24"/>
        </w:rPr>
        <w:t xml:space="preserve">by </w:t>
      </w:r>
      <w:r w:rsidR="00EB494D" w:rsidRPr="00B065CC">
        <w:rPr>
          <w:sz w:val="24"/>
          <w:szCs w:val="24"/>
        </w:rPr>
        <w:t>RESA</w:t>
      </w:r>
      <w:r w:rsidR="007C29ED" w:rsidRPr="00B065CC">
        <w:rPr>
          <w:sz w:val="24"/>
          <w:szCs w:val="24"/>
        </w:rPr>
        <w:t xml:space="preserve"> in it</w:t>
      </w:r>
      <w:r w:rsidR="00EB494D" w:rsidRPr="00B065CC">
        <w:rPr>
          <w:sz w:val="24"/>
          <w:szCs w:val="24"/>
        </w:rPr>
        <w:t xml:space="preserve">s </w:t>
      </w:r>
      <w:r w:rsidR="007C29ED" w:rsidRPr="00B065CC">
        <w:rPr>
          <w:sz w:val="24"/>
          <w:szCs w:val="24"/>
        </w:rPr>
        <w:t>b</w:t>
      </w:r>
      <w:r w:rsidR="00EB494D" w:rsidRPr="00B065CC">
        <w:rPr>
          <w:sz w:val="24"/>
          <w:szCs w:val="24"/>
        </w:rPr>
        <w:t>rief that the uncollectible accounts expense percentage is inconsistent with Duquesne Light’s, PPL’s or any other EDC presenting a POR program is irrelevant</w:t>
      </w:r>
      <w:r w:rsidR="0027090E" w:rsidRPr="00B065CC">
        <w:rPr>
          <w:sz w:val="24"/>
          <w:szCs w:val="24"/>
        </w:rPr>
        <w:t xml:space="preserve"> </w:t>
      </w:r>
      <w:r w:rsidR="00240CC0">
        <w:rPr>
          <w:sz w:val="24"/>
          <w:szCs w:val="24"/>
        </w:rPr>
        <w:t xml:space="preserve">(OTS M.B. at 6; </w:t>
      </w:r>
      <w:r w:rsidR="0027090E" w:rsidRPr="00B065CC">
        <w:rPr>
          <w:sz w:val="24"/>
          <w:szCs w:val="24"/>
        </w:rPr>
        <w:t xml:space="preserve">RESA M.B. at 12). </w:t>
      </w:r>
      <w:r w:rsidR="002641C1">
        <w:rPr>
          <w:sz w:val="24"/>
          <w:szCs w:val="24"/>
        </w:rPr>
        <w:t xml:space="preserve"> </w:t>
      </w:r>
      <w:r w:rsidR="00EB494D" w:rsidRPr="00B065CC">
        <w:rPr>
          <w:sz w:val="24"/>
          <w:szCs w:val="24"/>
        </w:rPr>
        <w:t>The purpose of this proceeding is not to establish the proper standards based on an industry average, the relevant argument is the assignment of costs experienced by PECO.  PECO reported the calculations directly to OTS and these percentages represent the level of funds currently recovered from ratepayers by the Company in its rates.  The appropriate calculation can be updated in relevant upcoming proceedings, but the basis for the inclusion of an uncollectible accounts factor in a discount rate remains</w:t>
      </w:r>
      <w:r w:rsidR="00240CC0">
        <w:rPr>
          <w:sz w:val="24"/>
          <w:szCs w:val="24"/>
        </w:rPr>
        <w:t xml:space="preserve"> (OTS M.B. at 6)</w:t>
      </w:r>
      <w:r w:rsidR="00EB494D" w:rsidRPr="00B065CC">
        <w:rPr>
          <w:sz w:val="24"/>
          <w:szCs w:val="24"/>
        </w:rPr>
        <w:t xml:space="preserve">.  </w:t>
      </w:r>
    </w:p>
    <w:p w:rsidR="007C29ED" w:rsidRDefault="007C29ED" w:rsidP="002641C1">
      <w:pPr>
        <w:spacing w:line="360" w:lineRule="auto"/>
        <w:rPr>
          <w:sz w:val="24"/>
          <w:szCs w:val="24"/>
        </w:rPr>
      </w:pPr>
    </w:p>
    <w:p w:rsidR="00304151" w:rsidRDefault="00D117CB" w:rsidP="00304151">
      <w:pPr>
        <w:spacing w:line="360" w:lineRule="auto"/>
        <w:ind w:right="-90"/>
        <w:rPr>
          <w:sz w:val="24"/>
          <w:szCs w:val="24"/>
        </w:rPr>
      </w:pPr>
      <w:r>
        <w:rPr>
          <w:sz w:val="24"/>
          <w:szCs w:val="24"/>
        </w:rPr>
        <w:tab/>
      </w:r>
      <w:r>
        <w:rPr>
          <w:sz w:val="24"/>
          <w:szCs w:val="24"/>
        </w:rPr>
        <w:tab/>
        <w:t>OTS maintained that t</w:t>
      </w:r>
      <w:r w:rsidR="00EB494D" w:rsidRPr="00B065CC">
        <w:rPr>
          <w:sz w:val="24"/>
          <w:szCs w:val="24"/>
        </w:rPr>
        <w:t>he unbundling of jurisdictional and non-jurisdictional expenses allows for the proper assignment of costs while providing the necessary protections for interested parties</w:t>
      </w:r>
      <w:r w:rsidR="00A72783">
        <w:rPr>
          <w:sz w:val="24"/>
          <w:szCs w:val="24"/>
        </w:rPr>
        <w:t xml:space="preserve"> </w:t>
      </w:r>
      <w:r>
        <w:rPr>
          <w:sz w:val="24"/>
          <w:szCs w:val="24"/>
        </w:rPr>
        <w:t>(OTS R.B. at 8)</w:t>
      </w:r>
      <w:r w:rsidR="00EB494D" w:rsidRPr="00B065CC">
        <w:rPr>
          <w:sz w:val="24"/>
          <w:szCs w:val="24"/>
        </w:rPr>
        <w:t xml:space="preserve">.  Unbundling protects both shopping and non-shopping customers by ensuring that there are no cross subsidies.  Shopping customers will be protected from the double recovery of uncollectible accounts expense that may potentially be included in their generation rates as well as their distribution rates.  “The shopping customers should not be required to subsidize the electric service of default customers who remain with the Company, just </w:t>
      </w:r>
    </w:p>
    <w:p w:rsidR="00304151" w:rsidRDefault="00304151">
      <w:pPr>
        <w:rPr>
          <w:sz w:val="24"/>
          <w:szCs w:val="24"/>
        </w:rPr>
      </w:pPr>
      <w:r>
        <w:rPr>
          <w:sz w:val="24"/>
          <w:szCs w:val="24"/>
        </w:rPr>
        <w:br w:type="page"/>
      </w:r>
    </w:p>
    <w:p w:rsidR="00EB494D" w:rsidRDefault="00EB494D" w:rsidP="00304151">
      <w:pPr>
        <w:spacing w:line="360" w:lineRule="auto"/>
        <w:ind w:right="-90"/>
        <w:rPr>
          <w:sz w:val="24"/>
          <w:szCs w:val="24"/>
        </w:rPr>
      </w:pPr>
      <w:r w:rsidRPr="00B065CC">
        <w:rPr>
          <w:sz w:val="24"/>
          <w:szCs w:val="24"/>
        </w:rPr>
        <w:lastRenderedPageBreak/>
        <w:t>as default customers should not be required to subsidize those customers who shop.”  This principle is supported in the Commission’s decision in PPL’s POR Program and the record in this proceeding provides no support for different treatment.  OTS maintain</w:t>
      </w:r>
      <w:r w:rsidR="00D117CB">
        <w:rPr>
          <w:sz w:val="24"/>
          <w:szCs w:val="24"/>
        </w:rPr>
        <w:t>ed</w:t>
      </w:r>
      <w:r w:rsidRPr="00B065CC">
        <w:rPr>
          <w:sz w:val="24"/>
          <w:szCs w:val="24"/>
        </w:rPr>
        <w:t xml:space="preserve"> that this provision should be applied in this, and every POR Program to ensure that ratepayers and companies across the Commonwealth are all treated equally</w:t>
      </w:r>
      <w:r w:rsidR="00D117CB">
        <w:rPr>
          <w:sz w:val="24"/>
          <w:szCs w:val="24"/>
        </w:rPr>
        <w:t xml:space="preserve"> (OTS R.B. at 8)</w:t>
      </w:r>
      <w:r w:rsidRPr="00B065CC">
        <w:rPr>
          <w:sz w:val="24"/>
          <w:szCs w:val="24"/>
        </w:rPr>
        <w:t>.  There is simply no support for the premise that one service territory should have parameters that differ from another service territory.  To do so would require unequal treatment for ratepayers and companies in these areas</w:t>
      </w:r>
      <w:r w:rsidR="00D117CB">
        <w:rPr>
          <w:sz w:val="24"/>
          <w:szCs w:val="24"/>
        </w:rPr>
        <w:t xml:space="preserve"> (OTS R.B. at 8)</w:t>
      </w:r>
      <w:r w:rsidRPr="00B065CC">
        <w:rPr>
          <w:sz w:val="24"/>
          <w:szCs w:val="24"/>
        </w:rPr>
        <w:t>.</w:t>
      </w:r>
    </w:p>
    <w:p w:rsidR="00802534" w:rsidRPr="00B065CC" w:rsidRDefault="00802534" w:rsidP="00A72783">
      <w:pPr>
        <w:spacing w:line="360" w:lineRule="auto"/>
        <w:rPr>
          <w:sz w:val="24"/>
          <w:szCs w:val="24"/>
        </w:rPr>
      </w:pPr>
    </w:p>
    <w:p w:rsidR="00240CC0" w:rsidRDefault="00802534" w:rsidP="00350A60">
      <w:pPr>
        <w:pStyle w:val="Heading1"/>
        <w:ind w:firstLine="720"/>
        <w:jc w:val="left"/>
        <w:rPr>
          <w:sz w:val="24"/>
          <w:szCs w:val="24"/>
        </w:rPr>
      </w:pPr>
      <w:bookmarkStart w:id="81" w:name="_Toc259699935"/>
      <w:bookmarkStart w:id="82" w:name="_Toc259706196"/>
      <w:r w:rsidRPr="00350A60">
        <w:rPr>
          <w:sz w:val="24"/>
          <w:szCs w:val="24"/>
          <w:u w:val="none"/>
        </w:rPr>
        <w:t>3.</w:t>
      </w:r>
      <w:r w:rsidRPr="00350A60">
        <w:rPr>
          <w:sz w:val="24"/>
          <w:szCs w:val="24"/>
          <w:u w:val="none"/>
        </w:rPr>
        <w:tab/>
      </w:r>
      <w:r w:rsidRPr="00802534">
        <w:rPr>
          <w:sz w:val="24"/>
          <w:szCs w:val="24"/>
        </w:rPr>
        <w:t>Response</w:t>
      </w:r>
      <w:bookmarkEnd w:id="81"/>
      <w:bookmarkEnd w:id="82"/>
    </w:p>
    <w:p w:rsidR="00802534" w:rsidRDefault="00802534" w:rsidP="00A72783">
      <w:pPr>
        <w:spacing w:line="360" w:lineRule="auto"/>
        <w:ind w:right="-360"/>
        <w:rPr>
          <w:sz w:val="24"/>
          <w:szCs w:val="24"/>
        </w:rPr>
      </w:pPr>
    </w:p>
    <w:p w:rsidR="00802534" w:rsidRPr="00802534" w:rsidRDefault="00802534" w:rsidP="00A72783">
      <w:pPr>
        <w:pStyle w:val="BodyText2"/>
        <w:spacing w:line="360" w:lineRule="auto"/>
        <w:rPr>
          <w:sz w:val="24"/>
          <w:szCs w:val="24"/>
        </w:rPr>
      </w:pPr>
      <w:r w:rsidRPr="00802534">
        <w:rPr>
          <w:sz w:val="24"/>
          <w:szCs w:val="24"/>
        </w:rPr>
        <w:tab/>
      </w:r>
      <w:r w:rsidRPr="00802534">
        <w:rPr>
          <w:sz w:val="24"/>
          <w:szCs w:val="24"/>
        </w:rPr>
        <w:tab/>
      </w:r>
      <w:r>
        <w:rPr>
          <w:sz w:val="24"/>
          <w:szCs w:val="24"/>
        </w:rPr>
        <w:t>PECO argued that i</w:t>
      </w:r>
      <w:r w:rsidRPr="00802534">
        <w:rPr>
          <w:sz w:val="24"/>
          <w:szCs w:val="24"/>
        </w:rPr>
        <w:t xml:space="preserve">n surrebuttal testimony, the OTS’ witness conceded that the uncollectible rate should be the same “for both shopping and non-shopping customers.” </w:t>
      </w:r>
      <w:r>
        <w:rPr>
          <w:sz w:val="24"/>
          <w:szCs w:val="24"/>
        </w:rPr>
        <w:t xml:space="preserve">(PECO M. B. at </w:t>
      </w:r>
      <w:r w:rsidR="00C96EF0">
        <w:rPr>
          <w:sz w:val="24"/>
          <w:szCs w:val="24"/>
        </w:rPr>
        <w:t>7</w:t>
      </w:r>
      <w:r>
        <w:rPr>
          <w:sz w:val="24"/>
          <w:szCs w:val="24"/>
        </w:rPr>
        <w:t xml:space="preserve">; </w:t>
      </w:r>
      <w:r w:rsidRPr="00802534">
        <w:rPr>
          <w:sz w:val="24"/>
          <w:szCs w:val="24"/>
        </w:rPr>
        <w:t>OTS St. No. 1-SR</w:t>
      </w:r>
      <w:r w:rsidR="00C96EF0">
        <w:rPr>
          <w:sz w:val="24"/>
          <w:szCs w:val="24"/>
        </w:rPr>
        <w:t xml:space="preserve"> at</w:t>
      </w:r>
      <w:r w:rsidRPr="00802534">
        <w:rPr>
          <w:sz w:val="24"/>
          <w:szCs w:val="24"/>
        </w:rPr>
        <w:t xml:space="preserve"> 4</w:t>
      </w:r>
      <w:r w:rsidR="00C96EF0">
        <w:rPr>
          <w:sz w:val="24"/>
          <w:szCs w:val="24"/>
        </w:rPr>
        <w:t>; PECO R. B. at 8)</w:t>
      </w:r>
      <w:r w:rsidRPr="00802534">
        <w:rPr>
          <w:sz w:val="24"/>
          <w:szCs w:val="24"/>
        </w:rPr>
        <w:t xml:space="preserve">.  Thus, under either PECO’s proposal (i.e., uncollectible accounts expense recovered in distribution rates that apply to all customers) or the approach recommended by OTS (i.e., uncollectible accounts expense included in EGSs charges for shopping customers and in a separate surcharge applied only to default service customers), all customers will be paying the same level of uncollectible expense on a per-kWh basis.  </w:t>
      </w:r>
      <w:r w:rsidR="00C96EF0" w:rsidRPr="00802534">
        <w:rPr>
          <w:sz w:val="24"/>
          <w:szCs w:val="24"/>
        </w:rPr>
        <w:t>S</w:t>
      </w:r>
      <w:r w:rsidR="00C96EF0">
        <w:rPr>
          <w:sz w:val="24"/>
          <w:szCs w:val="24"/>
        </w:rPr>
        <w:t>inc</w:t>
      </w:r>
      <w:r w:rsidR="00C96EF0" w:rsidRPr="00802534">
        <w:rPr>
          <w:sz w:val="24"/>
          <w:szCs w:val="24"/>
        </w:rPr>
        <w:t xml:space="preserve">e </w:t>
      </w:r>
      <w:r w:rsidRPr="00802534">
        <w:rPr>
          <w:sz w:val="24"/>
          <w:szCs w:val="24"/>
        </w:rPr>
        <w:t>the rate would be the same for all customers under either approach, there is no risk of inequality or improper “subsidization” associated with PECO’s cost recovery method</w:t>
      </w:r>
      <w:r w:rsidR="00C96EF0">
        <w:rPr>
          <w:sz w:val="24"/>
          <w:szCs w:val="24"/>
        </w:rPr>
        <w:t xml:space="preserve"> (PECO M. B. at </w:t>
      </w:r>
      <w:r w:rsidR="00671BB9">
        <w:rPr>
          <w:sz w:val="24"/>
          <w:szCs w:val="24"/>
        </w:rPr>
        <w:t>7).</w:t>
      </w:r>
      <w:r w:rsidRPr="00802534">
        <w:rPr>
          <w:sz w:val="24"/>
          <w:szCs w:val="24"/>
        </w:rPr>
        <w:t xml:space="preserve">  </w:t>
      </w:r>
    </w:p>
    <w:p w:rsidR="00802534" w:rsidRPr="00802534" w:rsidRDefault="00802534" w:rsidP="00A72783">
      <w:pPr>
        <w:pStyle w:val="BodyText2"/>
        <w:spacing w:line="360" w:lineRule="auto"/>
        <w:rPr>
          <w:sz w:val="24"/>
          <w:szCs w:val="24"/>
        </w:rPr>
      </w:pPr>
      <w:r w:rsidRPr="00802534">
        <w:rPr>
          <w:sz w:val="24"/>
          <w:szCs w:val="24"/>
        </w:rPr>
        <w:t>Given the fact that the PECO and OTS proposals “achieve the same result,” the relevant inquiry is which proposal will recover POR-related costs in a more efficient and appropriate manner.  The OTS proposal will require separate tracking, on an ongoing basis, of POR-related implementation costs, administrative costs and uncollectible expense.  It will also require that PECO develop and obtain Commission approval for a new surcharge to recover default service-related uncollectible expense from default service customers and make annual filings with the Commission under the associated adjustment clause</w:t>
      </w:r>
      <w:r w:rsidR="00671BB9">
        <w:rPr>
          <w:sz w:val="24"/>
          <w:szCs w:val="24"/>
        </w:rPr>
        <w:t xml:space="preserve"> (PECO M. B. at 7)</w:t>
      </w:r>
      <w:r w:rsidRPr="00802534">
        <w:rPr>
          <w:sz w:val="24"/>
          <w:szCs w:val="24"/>
        </w:rPr>
        <w:t xml:space="preserve">.  PECO’s proposal, on the other hand, requires the separate tracking of POR-related implementation costs only, which will then be recovered directly through a temporary discount on purchased receivables.  POR-related uncollectible expense, as well as any ongoing operating and administrative costs, will be recovered through distribution rates.  PECO believes, and the EGSs agree, that its cost recovery </w:t>
      </w:r>
      <w:r w:rsidRPr="00802534">
        <w:rPr>
          <w:sz w:val="24"/>
          <w:szCs w:val="24"/>
        </w:rPr>
        <w:lastRenderedPageBreak/>
        <w:t>method is simpler and will be easier to administer</w:t>
      </w:r>
      <w:r w:rsidR="00671BB9">
        <w:rPr>
          <w:sz w:val="24"/>
          <w:szCs w:val="24"/>
        </w:rPr>
        <w:t xml:space="preserve"> (PECO M. B. at 7, 8;</w:t>
      </w:r>
      <w:r w:rsidRPr="00802534">
        <w:rPr>
          <w:sz w:val="24"/>
          <w:szCs w:val="24"/>
        </w:rPr>
        <w:t xml:space="preserve"> RESA St. No. 1-R, p. 4; Dominion </w:t>
      </w:r>
      <w:r w:rsidR="00671BB9">
        <w:rPr>
          <w:sz w:val="24"/>
          <w:szCs w:val="24"/>
        </w:rPr>
        <w:t xml:space="preserve">Retail </w:t>
      </w:r>
      <w:r w:rsidR="001E7BCE">
        <w:rPr>
          <w:sz w:val="24"/>
          <w:szCs w:val="24"/>
        </w:rPr>
        <w:t xml:space="preserve">St. No. 1-R at </w:t>
      </w:r>
      <w:r w:rsidRPr="00802534">
        <w:rPr>
          <w:sz w:val="24"/>
          <w:szCs w:val="24"/>
        </w:rPr>
        <w:t>7</w:t>
      </w:r>
      <w:r w:rsidR="00534269">
        <w:rPr>
          <w:sz w:val="24"/>
          <w:szCs w:val="24"/>
        </w:rPr>
        <w:t xml:space="preserve">; RESA </w:t>
      </w:r>
      <w:r w:rsidR="0024702D">
        <w:rPr>
          <w:sz w:val="24"/>
          <w:szCs w:val="24"/>
        </w:rPr>
        <w:t>R</w:t>
      </w:r>
      <w:r w:rsidR="003C7C36">
        <w:rPr>
          <w:sz w:val="24"/>
          <w:szCs w:val="24"/>
        </w:rPr>
        <w:t>.</w:t>
      </w:r>
      <w:r w:rsidR="00671BB9">
        <w:rPr>
          <w:sz w:val="24"/>
          <w:szCs w:val="24"/>
        </w:rPr>
        <w:t>B</w:t>
      </w:r>
      <w:r w:rsidR="0024702D">
        <w:rPr>
          <w:sz w:val="24"/>
          <w:szCs w:val="24"/>
        </w:rPr>
        <w:t xml:space="preserve">. </w:t>
      </w:r>
      <w:r w:rsidR="00671BB9">
        <w:rPr>
          <w:sz w:val="24"/>
          <w:szCs w:val="24"/>
        </w:rPr>
        <w:t xml:space="preserve">at </w:t>
      </w:r>
      <w:r w:rsidR="0024702D">
        <w:rPr>
          <w:sz w:val="24"/>
          <w:szCs w:val="24"/>
        </w:rPr>
        <w:t>10</w:t>
      </w:r>
      <w:r w:rsidR="00671BB9">
        <w:rPr>
          <w:sz w:val="24"/>
          <w:szCs w:val="24"/>
        </w:rPr>
        <w:t xml:space="preserve">; Dominion Retail </w:t>
      </w:r>
      <w:r w:rsidR="00F96664">
        <w:rPr>
          <w:sz w:val="24"/>
          <w:szCs w:val="24"/>
        </w:rPr>
        <w:t>R.</w:t>
      </w:r>
      <w:r w:rsidR="00671BB9">
        <w:rPr>
          <w:sz w:val="24"/>
          <w:szCs w:val="24"/>
        </w:rPr>
        <w:t>B</w:t>
      </w:r>
      <w:r w:rsidR="00F96664">
        <w:rPr>
          <w:sz w:val="24"/>
          <w:szCs w:val="24"/>
        </w:rPr>
        <w:t>. at 8)</w:t>
      </w:r>
      <w:r w:rsidRPr="00802534">
        <w:rPr>
          <w:sz w:val="24"/>
          <w:szCs w:val="24"/>
        </w:rPr>
        <w:t>.</w:t>
      </w:r>
    </w:p>
    <w:p w:rsidR="00F96664" w:rsidRDefault="00F96664" w:rsidP="003C7C36">
      <w:pPr>
        <w:pStyle w:val="BodyText2"/>
        <w:spacing w:line="360" w:lineRule="auto"/>
        <w:rPr>
          <w:sz w:val="24"/>
          <w:szCs w:val="24"/>
        </w:rPr>
      </w:pPr>
    </w:p>
    <w:p w:rsidR="00802534" w:rsidRPr="00802534" w:rsidRDefault="00F96664" w:rsidP="00534269">
      <w:pPr>
        <w:pStyle w:val="BodyText2"/>
        <w:spacing w:line="360" w:lineRule="auto"/>
        <w:rPr>
          <w:sz w:val="24"/>
          <w:szCs w:val="24"/>
        </w:rPr>
      </w:pPr>
      <w:r>
        <w:rPr>
          <w:sz w:val="24"/>
          <w:szCs w:val="24"/>
        </w:rPr>
        <w:tab/>
      </w:r>
      <w:r>
        <w:rPr>
          <w:sz w:val="24"/>
          <w:szCs w:val="24"/>
        </w:rPr>
        <w:tab/>
      </w:r>
      <w:r w:rsidR="00802534" w:rsidRPr="00802534">
        <w:rPr>
          <w:sz w:val="24"/>
          <w:szCs w:val="24"/>
        </w:rPr>
        <w:t xml:space="preserve">In addition to providing simplicity, PECO’s proposal will appropriately support the development of retail competition.  By recovering all uncollectible expense in its distribution rates, PECO will create a straightforward “level playing field” for all EGSs and default generation suppliers.  When combined with the purchase of receivables without discount (after program implementation costs are recovered), PECO believes that this “level playing field” will provide significant support to retail competition in its territory.  </w:t>
      </w:r>
      <w:r w:rsidR="001A4A91">
        <w:rPr>
          <w:sz w:val="24"/>
          <w:szCs w:val="24"/>
        </w:rPr>
        <w:t>(</w:t>
      </w:r>
      <w:r w:rsidR="00802534" w:rsidRPr="00802534">
        <w:rPr>
          <w:i/>
          <w:sz w:val="24"/>
          <w:szCs w:val="24"/>
        </w:rPr>
        <w:t>See</w:t>
      </w:r>
      <w:r w:rsidR="007635A1">
        <w:rPr>
          <w:sz w:val="24"/>
          <w:szCs w:val="24"/>
        </w:rPr>
        <w:t xml:space="preserve"> PECO St. No. 1-R</w:t>
      </w:r>
      <w:r w:rsidR="00802534" w:rsidRPr="00802534">
        <w:rPr>
          <w:sz w:val="24"/>
          <w:szCs w:val="24"/>
        </w:rPr>
        <w:t xml:space="preserve"> </w:t>
      </w:r>
      <w:r w:rsidR="001A4A91">
        <w:rPr>
          <w:sz w:val="24"/>
          <w:szCs w:val="24"/>
        </w:rPr>
        <w:t>at</w:t>
      </w:r>
      <w:r w:rsidR="00802534" w:rsidRPr="00802534">
        <w:rPr>
          <w:sz w:val="24"/>
          <w:szCs w:val="24"/>
        </w:rPr>
        <w:t xml:space="preserve"> 14-15</w:t>
      </w:r>
      <w:r w:rsidR="001A4A91">
        <w:rPr>
          <w:sz w:val="24"/>
          <w:szCs w:val="24"/>
        </w:rPr>
        <w:t>)</w:t>
      </w:r>
      <w:r w:rsidR="00802534" w:rsidRPr="00802534">
        <w:rPr>
          <w:sz w:val="24"/>
          <w:szCs w:val="24"/>
        </w:rPr>
        <w:t xml:space="preserve">.  </w:t>
      </w:r>
      <w:r w:rsidR="001A4A91">
        <w:rPr>
          <w:sz w:val="24"/>
          <w:szCs w:val="24"/>
        </w:rPr>
        <w:t xml:space="preserve">PECO </w:t>
      </w:r>
      <w:r w:rsidR="00802534" w:rsidRPr="00802534">
        <w:rPr>
          <w:sz w:val="24"/>
          <w:szCs w:val="24"/>
        </w:rPr>
        <w:t xml:space="preserve">noted that, pursuant to the Settlement, all parties other than the OTS have agreed that the issue of unbundling generation-related uncollectible accounts expense should be deferred until PECO’s next Default Service proceeding.  For all these reasons, </w:t>
      </w:r>
      <w:r w:rsidR="001A4A91">
        <w:rPr>
          <w:sz w:val="24"/>
          <w:szCs w:val="24"/>
        </w:rPr>
        <w:t xml:space="preserve">PECO recommended that </w:t>
      </w:r>
      <w:r w:rsidR="00802534" w:rsidRPr="00802534">
        <w:rPr>
          <w:sz w:val="24"/>
          <w:szCs w:val="24"/>
        </w:rPr>
        <w:t>the OTS cost recovery proposal be rejected</w:t>
      </w:r>
      <w:r>
        <w:rPr>
          <w:sz w:val="24"/>
          <w:szCs w:val="24"/>
        </w:rPr>
        <w:t xml:space="preserve"> (PECO M. B. at 8; PECO R. B. </w:t>
      </w:r>
      <w:r w:rsidR="001E7BCE">
        <w:rPr>
          <w:sz w:val="24"/>
          <w:szCs w:val="24"/>
        </w:rPr>
        <w:t xml:space="preserve">at </w:t>
      </w:r>
      <w:r>
        <w:rPr>
          <w:sz w:val="24"/>
          <w:szCs w:val="24"/>
        </w:rPr>
        <w:t>9)</w:t>
      </w:r>
      <w:r w:rsidR="00802534" w:rsidRPr="00802534">
        <w:rPr>
          <w:sz w:val="24"/>
          <w:szCs w:val="24"/>
        </w:rPr>
        <w:t>.</w:t>
      </w:r>
    </w:p>
    <w:p w:rsidR="00EE5C8A" w:rsidRDefault="00EE5C8A" w:rsidP="00E72FDE">
      <w:pPr>
        <w:spacing w:line="360" w:lineRule="auto"/>
        <w:rPr>
          <w:sz w:val="24"/>
          <w:szCs w:val="24"/>
        </w:rPr>
      </w:pPr>
    </w:p>
    <w:p w:rsidR="00EE5C8A" w:rsidRDefault="00EE5C8A" w:rsidP="005E3D33">
      <w:pPr>
        <w:spacing w:line="360" w:lineRule="auto"/>
        <w:rPr>
          <w:sz w:val="24"/>
          <w:szCs w:val="24"/>
        </w:rPr>
      </w:pPr>
      <w:r>
        <w:rPr>
          <w:sz w:val="24"/>
          <w:szCs w:val="24"/>
        </w:rPr>
        <w:tab/>
      </w:r>
      <w:r>
        <w:rPr>
          <w:sz w:val="24"/>
          <w:szCs w:val="24"/>
        </w:rPr>
        <w:tab/>
        <w:t xml:space="preserve">Dominion Retail </w:t>
      </w:r>
      <w:r w:rsidR="001F5215">
        <w:rPr>
          <w:sz w:val="24"/>
          <w:szCs w:val="24"/>
        </w:rPr>
        <w:t xml:space="preserve">contended that the discount rate proposed by OTS is incorrect because it is based on information from PECO’s 1997 restructuring filing </w:t>
      </w:r>
      <w:r w:rsidR="00A66EC9">
        <w:rPr>
          <w:sz w:val="24"/>
          <w:szCs w:val="24"/>
        </w:rPr>
        <w:t>(Dominion Retail M. B. at 9).  In addition, Dominion Retail submitted that OTS failed to present a rationale for rejecting PECO’s proposal</w:t>
      </w:r>
      <w:r w:rsidR="00DD4507">
        <w:rPr>
          <w:sz w:val="24"/>
          <w:szCs w:val="24"/>
        </w:rPr>
        <w:t>, Dominion Retail noted that the proposal</w:t>
      </w:r>
      <w:r w:rsidR="00A66EC9">
        <w:rPr>
          <w:sz w:val="24"/>
          <w:szCs w:val="24"/>
        </w:rPr>
        <w:t xml:space="preserve"> is a continuation of </w:t>
      </w:r>
      <w:r w:rsidR="004B3D05">
        <w:rPr>
          <w:sz w:val="24"/>
          <w:szCs w:val="24"/>
        </w:rPr>
        <w:t>PECO’s</w:t>
      </w:r>
      <w:r w:rsidR="00A66EC9">
        <w:rPr>
          <w:sz w:val="24"/>
          <w:szCs w:val="24"/>
        </w:rPr>
        <w:t xml:space="preserve"> present procedures (Dominion Retail M. B. at 10). </w:t>
      </w:r>
    </w:p>
    <w:p w:rsidR="00350A60" w:rsidRDefault="00350A60" w:rsidP="005E3D33">
      <w:pPr>
        <w:spacing w:line="360" w:lineRule="auto"/>
        <w:rPr>
          <w:sz w:val="24"/>
          <w:szCs w:val="24"/>
        </w:rPr>
      </w:pPr>
    </w:p>
    <w:p w:rsidR="00B33188" w:rsidRPr="00B065CC" w:rsidRDefault="00B33188" w:rsidP="005E3D33">
      <w:pPr>
        <w:spacing w:line="360" w:lineRule="auto"/>
        <w:rPr>
          <w:b/>
          <w:sz w:val="24"/>
          <w:szCs w:val="24"/>
        </w:rPr>
      </w:pPr>
      <w:r w:rsidRPr="00B065CC">
        <w:rPr>
          <w:sz w:val="24"/>
          <w:szCs w:val="24"/>
        </w:rPr>
        <w:tab/>
      </w:r>
      <w:r w:rsidRPr="00B065CC">
        <w:rPr>
          <w:sz w:val="24"/>
          <w:szCs w:val="24"/>
        </w:rPr>
        <w:tab/>
      </w:r>
      <w:r w:rsidR="005A5BAD">
        <w:rPr>
          <w:sz w:val="24"/>
          <w:szCs w:val="24"/>
        </w:rPr>
        <w:t xml:space="preserve">Dominion Retail insisted that </w:t>
      </w:r>
      <w:r w:rsidRPr="00B065CC">
        <w:rPr>
          <w:sz w:val="24"/>
          <w:szCs w:val="24"/>
        </w:rPr>
        <w:t xml:space="preserve">the OTS </w:t>
      </w:r>
      <w:r w:rsidR="005A5BAD">
        <w:rPr>
          <w:sz w:val="24"/>
          <w:szCs w:val="24"/>
        </w:rPr>
        <w:t>is</w:t>
      </w:r>
      <w:r w:rsidRPr="00B065CC">
        <w:rPr>
          <w:sz w:val="24"/>
          <w:szCs w:val="24"/>
        </w:rPr>
        <w:t xml:space="preserve"> not prohibited from citing the PPL Joint Petition as preceden</w:t>
      </w:r>
      <w:r w:rsidR="00F53EF7">
        <w:rPr>
          <w:sz w:val="24"/>
          <w:szCs w:val="24"/>
        </w:rPr>
        <w:t xml:space="preserve">t on the issue of cost recovery. </w:t>
      </w:r>
      <w:r w:rsidRPr="00B065CC">
        <w:rPr>
          <w:sz w:val="24"/>
          <w:szCs w:val="24"/>
        </w:rPr>
        <w:t xml:space="preserve"> </w:t>
      </w:r>
      <w:r w:rsidR="00F53EF7">
        <w:rPr>
          <w:sz w:val="24"/>
          <w:szCs w:val="24"/>
        </w:rPr>
        <w:t xml:space="preserve">In addition, </w:t>
      </w:r>
      <w:r w:rsidR="000F39F7" w:rsidRPr="00B065CC">
        <w:rPr>
          <w:sz w:val="24"/>
          <w:szCs w:val="24"/>
        </w:rPr>
        <w:t>Dominion Retail</w:t>
      </w:r>
      <w:r w:rsidR="006634CA" w:rsidRPr="00B065CC">
        <w:rPr>
          <w:sz w:val="24"/>
          <w:szCs w:val="24"/>
        </w:rPr>
        <w:t xml:space="preserve"> argued that </w:t>
      </w:r>
      <w:r w:rsidRPr="00B065CC">
        <w:rPr>
          <w:sz w:val="24"/>
          <w:szCs w:val="24"/>
        </w:rPr>
        <w:t>the PPL Final Order d</w:t>
      </w:r>
      <w:r w:rsidR="006634CA" w:rsidRPr="00B065CC">
        <w:rPr>
          <w:sz w:val="24"/>
          <w:szCs w:val="24"/>
        </w:rPr>
        <w:t xml:space="preserve">oes not </w:t>
      </w:r>
      <w:r w:rsidRPr="00B065CC">
        <w:rPr>
          <w:sz w:val="24"/>
          <w:szCs w:val="24"/>
        </w:rPr>
        <w:t>i</w:t>
      </w:r>
      <w:r w:rsidR="006634CA" w:rsidRPr="00B065CC">
        <w:rPr>
          <w:sz w:val="24"/>
          <w:szCs w:val="24"/>
        </w:rPr>
        <w:t>nclu</w:t>
      </w:r>
      <w:r w:rsidRPr="00B065CC">
        <w:rPr>
          <w:sz w:val="24"/>
          <w:szCs w:val="24"/>
        </w:rPr>
        <w:t>d</w:t>
      </w:r>
      <w:r w:rsidR="006634CA" w:rsidRPr="00B065CC">
        <w:rPr>
          <w:sz w:val="24"/>
          <w:szCs w:val="24"/>
        </w:rPr>
        <w:t xml:space="preserve">e a statement from </w:t>
      </w:r>
      <w:r w:rsidRPr="00B065CC">
        <w:rPr>
          <w:sz w:val="24"/>
          <w:szCs w:val="24"/>
        </w:rPr>
        <w:t xml:space="preserve">the Commission </w:t>
      </w:r>
      <w:r w:rsidR="006634CA" w:rsidRPr="00B065CC">
        <w:rPr>
          <w:sz w:val="24"/>
          <w:szCs w:val="24"/>
        </w:rPr>
        <w:t xml:space="preserve">stating that </w:t>
      </w:r>
      <w:r w:rsidRPr="00B065CC">
        <w:rPr>
          <w:sz w:val="24"/>
          <w:szCs w:val="24"/>
        </w:rPr>
        <w:t>the cost recovery structure approved in that Order was mandatory for all subsequent POR programs, nor did the Commission say that the only appropriate cost recovery methodology for POR programs would be to impose a discount and unbundling structure.  In fact, there is no discussion of the notion at all except to mention t</w:t>
      </w:r>
      <w:r w:rsidR="00E72FDE">
        <w:rPr>
          <w:sz w:val="24"/>
          <w:szCs w:val="24"/>
        </w:rPr>
        <w:t>hat the S</w:t>
      </w:r>
      <w:r w:rsidRPr="00B065CC">
        <w:rPr>
          <w:sz w:val="24"/>
          <w:szCs w:val="24"/>
        </w:rPr>
        <w:t xml:space="preserve">ettlement contains such a provision.  </w:t>
      </w:r>
      <w:r w:rsidR="006634CA" w:rsidRPr="00B065CC">
        <w:rPr>
          <w:sz w:val="24"/>
          <w:szCs w:val="24"/>
        </w:rPr>
        <w:t xml:space="preserve">Contrary </w:t>
      </w:r>
      <w:r w:rsidRPr="00B065CC">
        <w:rPr>
          <w:sz w:val="24"/>
          <w:szCs w:val="24"/>
        </w:rPr>
        <w:t>to the OTS position, there is no legal basis to assert that the PPL Final Order controls here in any manner.  The OTS argumen</w:t>
      </w:r>
      <w:r w:rsidR="00901E7C" w:rsidRPr="00B065CC">
        <w:rPr>
          <w:sz w:val="24"/>
          <w:szCs w:val="24"/>
        </w:rPr>
        <w:t>t must, therefore, be rejected (</w:t>
      </w:r>
      <w:r w:rsidRPr="00B065CC">
        <w:rPr>
          <w:sz w:val="24"/>
          <w:szCs w:val="24"/>
        </w:rPr>
        <w:t>Dominion Retail R.B. at 5</w:t>
      </w:r>
      <w:r w:rsidR="00901E7C" w:rsidRPr="00B065CC">
        <w:rPr>
          <w:sz w:val="24"/>
          <w:szCs w:val="24"/>
        </w:rPr>
        <w:t>)</w:t>
      </w:r>
      <w:r w:rsidR="000B469F" w:rsidRPr="00B065CC">
        <w:rPr>
          <w:sz w:val="24"/>
          <w:szCs w:val="24"/>
        </w:rPr>
        <w:t>.</w:t>
      </w:r>
      <w:r w:rsidRPr="00B065CC">
        <w:rPr>
          <w:sz w:val="24"/>
          <w:szCs w:val="24"/>
        </w:rPr>
        <w:t xml:space="preserve"> </w:t>
      </w:r>
    </w:p>
    <w:p w:rsidR="00B33188" w:rsidRPr="00B065CC" w:rsidRDefault="00B33188" w:rsidP="00B366A1">
      <w:pPr>
        <w:pStyle w:val="BodyText2"/>
        <w:spacing w:line="360" w:lineRule="auto"/>
        <w:rPr>
          <w:sz w:val="24"/>
          <w:szCs w:val="24"/>
        </w:rPr>
      </w:pPr>
    </w:p>
    <w:p w:rsidR="00140E1B" w:rsidRPr="00B065CC" w:rsidRDefault="00901E7C">
      <w:pPr>
        <w:pStyle w:val="BodyText2"/>
        <w:spacing w:line="360" w:lineRule="auto"/>
        <w:rPr>
          <w:sz w:val="24"/>
          <w:szCs w:val="24"/>
        </w:rPr>
      </w:pPr>
      <w:r w:rsidRPr="00B065CC">
        <w:rPr>
          <w:sz w:val="24"/>
          <w:szCs w:val="24"/>
        </w:rPr>
        <w:lastRenderedPageBreak/>
        <w:tab/>
      </w:r>
      <w:r w:rsidRPr="00B065CC">
        <w:rPr>
          <w:sz w:val="24"/>
          <w:szCs w:val="24"/>
        </w:rPr>
        <w:tab/>
      </w:r>
      <w:r w:rsidR="000F39F7" w:rsidRPr="00B065CC">
        <w:rPr>
          <w:sz w:val="24"/>
          <w:szCs w:val="24"/>
        </w:rPr>
        <w:t>RESA denied that it</w:t>
      </w:r>
      <w:r w:rsidR="00140E1B" w:rsidRPr="00B065CC">
        <w:rPr>
          <w:sz w:val="24"/>
          <w:szCs w:val="24"/>
        </w:rPr>
        <w:t xml:space="preserve"> fully supported PPL’s proposal to address uncollectible accounts expense in its 2010 POR program.</w:t>
      </w:r>
      <w:r w:rsidR="00D5061F">
        <w:rPr>
          <w:sz w:val="24"/>
          <w:szCs w:val="24"/>
        </w:rPr>
        <w:t xml:space="preserve">  (RESA/Direct Energy R.B. at 7).</w:t>
      </w:r>
      <w:r w:rsidR="00140E1B" w:rsidRPr="00B065CC">
        <w:rPr>
          <w:sz w:val="24"/>
          <w:szCs w:val="24"/>
        </w:rPr>
        <w:t xml:space="preserve">  In fact, RESA specifically opposed PPL’s proposed (and ultimately adopted) recovery of uncollectible accounts expense and advocated that PPL should recover all of its uncollectible accounts expense through distribution rates (as PECO has proposed </w:t>
      </w:r>
      <w:r w:rsidR="00D5061F">
        <w:rPr>
          <w:sz w:val="24"/>
          <w:szCs w:val="24"/>
        </w:rPr>
        <w:t>in the instant case</w:t>
      </w:r>
      <w:r w:rsidR="00140E1B" w:rsidRPr="00B065CC">
        <w:rPr>
          <w:sz w:val="24"/>
          <w:szCs w:val="24"/>
        </w:rPr>
        <w:t xml:space="preserve"> with RESA/Direct Energy’s support)</w:t>
      </w:r>
      <w:r w:rsidR="000F39F7" w:rsidRPr="00B065CC">
        <w:rPr>
          <w:sz w:val="24"/>
          <w:szCs w:val="24"/>
        </w:rPr>
        <w:t xml:space="preserve">.  </w:t>
      </w:r>
      <w:r w:rsidR="007A6B3F">
        <w:rPr>
          <w:sz w:val="24"/>
          <w:szCs w:val="24"/>
        </w:rPr>
        <w:t>(</w:t>
      </w:r>
      <w:r w:rsidR="000F39F7" w:rsidRPr="00B065CC">
        <w:rPr>
          <w:sz w:val="24"/>
          <w:szCs w:val="24"/>
        </w:rPr>
        <w:t>RESA</w:t>
      </w:r>
      <w:r w:rsidR="007A6B3F">
        <w:rPr>
          <w:sz w:val="24"/>
          <w:szCs w:val="24"/>
        </w:rPr>
        <w:t>/Direct Energy R.B. at 7; RESA</w:t>
      </w:r>
      <w:r w:rsidR="000F39F7" w:rsidRPr="00B065CC">
        <w:rPr>
          <w:sz w:val="24"/>
          <w:szCs w:val="24"/>
        </w:rPr>
        <w:t xml:space="preserve"> St. No. 1 at 5-9).  </w:t>
      </w:r>
      <w:r w:rsidR="00140E1B" w:rsidRPr="00B065CC">
        <w:rPr>
          <w:sz w:val="24"/>
          <w:szCs w:val="24"/>
        </w:rPr>
        <w:t>While RESA/Direct Energy continued to maintain that PPL’s proposed approach was not preferable, it made clear that it was willing to accept the settlement to ensure that a POR program would be established in time for market opening in January 2010 (less than two months after the date main briefs were filed).  Specifically, RESA/Direct Energy stated:</w:t>
      </w:r>
    </w:p>
    <w:p w:rsidR="00901E7C" w:rsidRPr="00B065CC" w:rsidRDefault="00901E7C">
      <w:pPr>
        <w:pStyle w:val="BodyText2"/>
        <w:spacing w:line="360" w:lineRule="auto"/>
        <w:rPr>
          <w:sz w:val="24"/>
          <w:szCs w:val="24"/>
        </w:rPr>
      </w:pPr>
    </w:p>
    <w:p w:rsidR="00140E1B" w:rsidRDefault="00140E1B" w:rsidP="003973BB">
      <w:pPr>
        <w:pStyle w:val="BodyText1"/>
      </w:pPr>
      <w:r w:rsidRPr="00B065CC">
        <w:t xml:space="preserve">Because a functioning POR program is so crucial for the facilitation of competition, the Retail Energy Supply Association (“RESA”) and Direct Energy Services, LLC (“Direct Energy”) (collectively “RESA/Direct Energy”) reached a settlement with all parties in this proceeding to implement a compromise program </w:t>
      </w:r>
      <w:r w:rsidRPr="00B065CC">
        <w:rPr>
          <w:u w:val="single"/>
        </w:rPr>
        <w:t>for 2010 only</w:t>
      </w:r>
      <w:r w:rsidRPr="00B065CC">
        <w:t xml:space="preserve"> which permits PPL to move forward with implementing a POR program this coming January.  The settlement addresses almost all of the program’s elements including how EGSs will be able to enroll small commercial and industrial (“C&amp;I”) customers into PPL’s POR program for 2010.  Although RESA/Direct Energy do not support all aspects of the settlement as the appropriate long-term policy for POR programs (and reserve their rights to challenge those aspects in the future), implementation of a workable POR program on January 1, 2010 was the ultimate goal.  </w:t>
      </w:r>
    </w:p>
    <w:p w:rsidR="00A66EC9" w:rsidRPr="00B065CC" w:rsidRDefault="00A66EC9" w:rsidP="003973BB">
      <w:pPr>
        <w:pStyle w:val="BodyText1"/>
      </w:pPr>
    </w:p>
    <w:p w:rsidR="00242414" w:rsidRPr="00B065CC" w:rsidRDefault="00A66EC9" w:rsidP="003973BB">
      <w:pPr>
        <w:pStyle w:val="BodyText1"/>
      </w:pPr>
      <w:r w:rsidRPr="009E4FD0">
        <w:rPr>
          <w:i/>
        </w:rPr>
        <w:t>Petition of PPL Electric Utilities Corporation Requesting Approval of a Voluntary Purchase of Receivables Program and Merchant Function Charge</w:t>
      </w:r>
      <w:r w:rsidRPr="00A66EC9">
        <w:t>, Docket No. P-2009-2129502, Main Brief of The Retail Energy Supply Association and Direct Energy Services, LLC dated October 30, 2009 at 2 (citations omitted, emphasis original).</w:t>
      </w:r>
      <w:r w:rsidR="001B5297">
        <w:t xml:space="preserve"> (RESA/Direct Energy R. B. at 7)</w:t>
      </w:r>
    </w:p>
    <w:p w:rsidR="00CD4FA5" w:rsidRPr="00B065CC" w:rsidRDefault="00CD4FA5" w:rsidP="00F875A9">
      <w:pPr>
        <w:pStyle w:val="BodyText2"/>
        <w:spacing w:line="360" w:lineRule="auto"/>
        <w:rPr>
          <w:sz w:val="24"/>
          <w:szCs w:val="24"/>
        </w:rPr>
      </w:pPr>
    </w:p>
    <w:p w:rsidR="00304151" w:rsidRDefault="00CD4FA5">
      <w:pPr>
        <w:pStyle w:val="BodyText2"/>
        <w:spacing w:line="360" w:lineRule="auto"/>
        <w:rPr>
          <w:sz w:val="24"/>
          <w:szCs w:val="24"/>
        </w:rPr>
      </w:pPr>
      <w:r w:rsidRPr="00B065CC">
        <w:rPr>
          <w:sz w:val="24"/>
          <w:szCs w:val="24"/>
        </w:rPr>
        <w:tab/>
      </w:r>
      <w:r w:rsidRPr="00B065CC">
        <w:rPr>
          <w:sz w:val="24"/>
          <w:szCs w:val="24"/>
        </w:rPr>
        <w:tab/>
        <w:t xml:space="preserve">RESA </w:t>
      </w:r>
      <w:r w:rsidR="001B5297">
        <w:rPr>
          <w:sz w:val="24"/>
          <w:szCs w:val="24"/>
        </w:rPr>
        <w:t xml:space="preserve">also objected to OTS’ reliance on the PPL POR case and </w:t>
      </w:r>
      <w:r w:rsidRPr="00B065CC">
        <w:rPr>
          <w:sz w:val="24"/>
          <w:szCs w:val="24"/>
        </w:rPr>
        <w:t>cited several differences between the instant case and the PPL case.  First,</w:t>
      </w:r>
      <w:r w:rsidR="00140E1B" w:rsidRPr="00B065CC">
        <w:rPr>
          <w:sz w:val="24"/>
          <w:szCs w:val="24"/>
        </w:rPr>
        <w:t xml:space="preserve"> PPL’s POR proceeding was on an extremely expedited schedule.  The Commission established due dates for the proceeding by notice dated September 25, 2009, entered its final decision on November 19, 2009</w:t>
      </w:r>
      <w:r w:rsidR="009E4FD0">
        <w:rPr>
          <w:sz w:val="24"/>
          <w:szCs w:val="24"/>
        </w:rPr>
        <w:t>,</w:t>
      </w:r>
      <w:r w:rsidR="00140E1B" w:rsidRPr="00B065CC">
        <w:rPr>
          <w:sz w:val="24"/>
          <w:szCs w:val="24"/>
        </w:rPr>
        <w:t xml:space="preserve"> and PPL’s </w:t>
      </w:r>
    </w:p>
    <w:p w:rsidR="00304151" w:rsidRDefault="00304151">
      <w:pPr>
        <w:rPr>
          <w:sz w:val="24"/>
          <w:szCs w:val="24"/>
        </w:rPr>
      </w:pPr>
      <w:r>
        <w:rPr>
          <w:sz w:val="24"/>
          <w:szCs w:val="24"/>
        </w:rPr>
        <w:br w:type="page"/>
      </w:r>
    </w:p>
    <w:p w:rsidR="00242414" w:rsidRPr="00B065CC" w:rsidRDefault="00140E1B">
      <w:pPr>
        <w:pStyle w:val="BodyText2"/>
        <w:spacing w:line="360" w:lineRule="auto"/>
        <w:rPr>
          <w:sz w:val="24"/>
          <w:szCs w:val="24"/>
        </w:rPr>
      </w:pPr>
      <w:r w:rsidRPr="00B065CC">
        <w:rPr>
          <w:sz w:val="24"/>
          <w:szCs w:val="24"/>
        </w:rPr>
        <w:lastRenderedPageBreak/>
        <w:t xml:space="preserve">POR Program became operable on January 1, 2010.  </w:t>
      </w:r>
      <w:r w:rsidR="00CD4FA5" w:rsidRPr="00B065CC">
        <w:rPr>
          <w:sz w:val="24"/>
          <w:szCs w:val="24"/>
        </w:rPr>
        <w:t>In a</w:t>
      </w:r>
      <w:r w:rsidRPr="00B065CC">
        <w:rPr>
          <w:sz w:val="24"/>
          <w:szCs w:val="24"/>
        </w:rPr>
        <w:t>ddition, the approved PPL POR program is limited to 2010.  For these reasons, as explained in the quote above, RESA/Direct Energy chose to lend limited</w:t>
      </w:r>
      <w:r w:rsidR="00F875A9">
        <w:rPr>
          <w:sz w:val="24"/>
          <w:szCs w:val="24"/>
        </w:rPr>
        <w:t xml:space="preserve"> support to this aspect of the S</w:t>
      </w:r>
      <w:r w:rsidRPr="00B065CC">
        <w:rPr>
          <w:sz w:val="24"/>
          <w:szCs w:val="24"/>
        </w:rPr>
        <w:t xml:space="preserve">ettlement even though it had reservations and made </w:t>
      </w:r>
      <w:r w:rsidR="00F875A9">
        <w:rPr>
          <w:sz w:val="24"/>
          <w:szCs w:val="24"/>
        </w:rPr>
        <w:t>clear that its approval of the S</w:t>
      </w:r>
      <w:r w:rsidRPr="00B065CC">
        <w:rPr>
          <w:sz w:val="24"/>
          <w:szCs w:val="24"/>
        </w:rPr>
        <w:t>ettlement was fact specific and did not waive its rights to challenge the various program aspects</w:t>
      </w:r>
      <w:r w:rsidR="00C5588F">
        <w:rPr>
          <w:sz w:val="24"/>
          <w:szCs w:val="24"/>
        </w:rPr>
        <w:t xml:space="preserve"> </w:t>
      </w:r>
      <w:r w:rsidR="00C5588F" w:rsidRPr="00C5588F">
        <w:rPr>
          <w:sz w:val="24"/>
          <w:szCs w:val="24"/>
        </w:rPr>
        <w:t xml:space="preserve">(RESA/Direct Energy R. B. at </w:t>
      </w:r>
      <w:r w:rsidR="00C5588F">
        <w:rPr>
          <w:sz w:val="24"/>
          <w:szCs w:val="24"/>
        </w:rPr>
        <w:t>8</w:t>
      </w:r>
      <w:r w:rsidR="00C5588F" w:rsidRPr="00C5588F">
        <w:rPr>
          <w:sz w:val="24"/>
          <w:szCs w:val="24"/>
        </w:rPr>
        <w:t>)</w:t>
      </w:r>
      <w:r w:rsidRPr="00B065CC">
        <w:rPr>
          <w:sz w:val="24"/>
          <w:szCs w:val="24"/>
        </w:rPr>
        <w:t xml:space="preserve">.  </w:t>
      </w:r>
    </w:p>
    <w:p w:rsidR="001B5297" w:rsidRDefault="001B5297" w:rsidP="00F875A9">
      <w:pPr>
        <w:pStyle w:val="BodyText2"/>
        <w:spacing w:line="360" w:lineRule="auto"/>
        <w:rPr>
          <w:sz w:val="24"/>
          <w:szCs w:val="24"/>
          <w:u w:val="single"/>
        </w:rPr>
      </w:pPr>
    </w:p>
    <w:p w:rsidR="00140E1B" w:rsidRPr="00B065CC" w:rsidRDefault="00242414">
      <w:pPr>
        <w:pStyle w:val="BodyText2"/>
        <w:spacing w:line="360" w:lineRule="auto"/>
        <w:rPr>
          <w:sz w:val="24"/>
          <w:szCs w:val="24"/>
        </w:rPr>
      </w:pPr>
      <w:r w:rsidRPr="00B065CC">
        <w:rPr>
          <w:sz w:val="24"/>
          <w:szCs w:val="24"/>
        </w:rPr>
        <w:tab/>
      </w:r>
      <w:r w:rsidRPr="00B065CC">
        <w:rPr>
          <w:sz w:val="24"/>
          <w:szCs w:val="24"/>
        </w:rPr>
        <w:tab/>
      </w:r>
      <w:r w:rsidR="00140E1B" w:rsidRPr="00B065CC">
        <w:rPr>
          <w:sz w:val="24"/>
          <w:szCs w:val="24"/>
        </w:rPr>
        <w:t>OTS claim</w:t>
      </w:r>
      <w:r w:rsidR="004830B1">
        <w:rPr>
          <w:sz w:val="24"/>
          <w:szCs w:val="24"/>
        </w:rPr>
        <w:t>s</w:t>
      </w:r>
      <w:r w:rsidR="00140E1B" w:rsidRPr="00B065CC">
        <w:rPr>
          <w:sz w:val="24"/>
          <w:szCs w:val="24"/>
        </w:rPr>
        <w:t xml:space="preserve"> that both its proposal and PECO’s proposal would “achieve the same result” in terms of addressing generation-related uncollectible accounts expense</w:t>
      </w:r>
      <w:r w:rsidR="004830B1" w:rsidRPr="004830B1">
        <w:rPr>
          <w:sz w:val="18"/>
          <w:szCs w:val="18"/>
        </w:rPr>
        <w:t xml:space="preserve"> </w:t>
      </w:r>
      <w:r w:rsidR="004830B1">
        <w:rPr>
          <w:sz w:val="18"/>
          <w:szCs w:val="18"/>
        </w:rPr>
        <w:t>(</w:t>
      </w:r>
      <w:r w:rsidR="00B60325">
        <w:rPr>
          <w:sz w:val="24"/>
          <w:szCs w:val="24"/>
        </w:rPr>
        <w:t>PECO M.B. at </w:t>
      </w:r>
      <w:r w:rsidR="004830B1" w:rsidRPr="004830B1">
        <w:rPr>
          <w:sz w:val="24"/>
          <w:szCs w:val="24"/>
        </w:rPr>
        <w:t>6</w:t>
      </w:r>
      <w:r w:rsidR="004830B1">
        <w:rPr>
          <w:sz w:val="24"/>
          <w:szCs w:val="24"/>
        </w:rPr>
        <w:t>).</w:t>
      </w:r>
      <w:r w:rsidR="00140E1B" w:rsidRPr="00B065CC">
        <w:rPr>
          <w:sz w:val="24"/>
          <w:szCs w:val="24"/>
        </w:rPr>
        <w:t xml:space="preserve">  RESA/Direct Energy agrees that, as a matter of general policy, full unbundling can achieve the same competitively neutral result as implementing a POR program with a zero discount rate for uncollectible costs.  Both methods, if properly implemented, can place EGSs on equal footing in terms of bad debt expense as compared to the EDC.  As the record makes clear, PECO’s proposal is the one that is favored by the EGS parties in this proceeding and is the one that is most likely to encourage the development of a competitive market</w:t>
      </w:r>
      <w:r w:rsidR="004830B1">
        <w:rPr>
          <w:sz w:val="24"/>
          <w:szCs w:val="24"/>
        </w:rPr>
        <w:t xml:space="preserve"> </w:t>
      </w:r>
      <w:r w:rsidR="00304151">
        <w:rPr>
          <w:sz w:val="24"/>
          <w:szCs w:val="24"/>
        </w:rPr>
        <w:t>(RESA/Direct Energy R. B. at </w:t>
      </w:r>
      <w:r w:rsidR="004830B1">
        <w:rPr>
          <w:sz w:val="24"/>
          <w:szCs w:val="24"/>
        </w:rPr>
        <w:t>4</w:t>
      </w:r>
      <w:r w:rsidR="004830B1" w:rsidRPr="004830B1">
        <w:rPr>
          <w:sz w:val="24"/>
          <w:szCs w:val="24"/>
        </w:rPr>
        <w:t>)</w:t>
      </w:r>
      <w:r w:rsidR="00140E1B" w:rsidRPr="00B065CC">
        <w:rPr>
          <w:sz w:val="24"/>
          <w:szCs w:val="24"/>
        </w:rPr>
        <w:t xml:space="preserve">.  </w:t>
      </w:r>
    </w:p>
    <w:p w:rsidR="00713374" w:rsidRPr="00B065CC" w:rsidRDefault="00713374" w:rsidP="00C51CCC">
      <w:pPr>
        <w:pStyle w:val="BodyText2"/>
        <w:spacing w:line="360" w:lineRule="auto"/>
        <w:rPr>
          <w:sz w:val="24"/>
          <w:szCs w:val="24"/>
        </w:rPr>
      </w:pPr>
    </w:p>
    <w:p w:rsidR="00304151" w:rsidRDefault="00713374">
      <w:pPr>
        <w:pStyle w:val="BodyText2"/>
        <w:spacing w:line="360" w:lineRule="auto"/>
        <w:rPr>
          <w:sz w:val="24"/>
          <w:szCs w:val="24"/>
        </w:rPr>
      </w:pPr>
      <w:r w:rsidRPr="00B065CC">
        <w:rPr>
          <w:sz w:val="24"/>
          <w:szCs w:val="24"/>
        </w:rPr>
        <w:tab/>
      </w:r>
      <w:r w:rsidRPr="00B065CC">
        <w:rPr>
          <w:sz w:val="24"/>
          <w:szCs w:val="24"/>
        </w:rPr>
        <w:tab/>
      </w:r>
      <w:r w:rsidR="004830B1">
        <w:rPr>
          <w:sz w:val="24"/>
          <w:szCs w:val="24"/>
        </w:rPr>
        <w:t xml:space="preserve">RESA </w:t>
      </w:r>
      <w:r w:rsidR="00375E74">
        <w:rPr>
          <w:sz w:val="24"/>
          <w:szCs w:val="24"/>
        </w:rPr>
        <w:t xml:space="preserve">noted that </w:t>
      </w:r>
      <w:r w:rsidR="00140E1B" w:rsidRPr="00B065CC">
        <w:rPr>
          <w:sz w:val="24"/>
          <w:szCs w:val="24"/>
        </w:rPr>
        <w:t>the record provides at least three concrete examples of how ado</w:t>
      </w:r>
      <w:r w:rsidR="00334DF0">
        <w:rPr>
          <w:sz w:val="24"/>
          <w:szCs w:val="24"/>
        </w:rPr>
        <w:t>ption of OTS’</w:t>
      </w:r>
      <w:r w:rsidR="00140E1B" w:rsidRPr="00B065CC">
        <w:rPr>
          <w:sz w:val="24"/>
          <w:szCs w:val="24"/>
        </w:rPr>
        <w:t xml:space="preserve"> proposal could complicate PECO’s POR program and throw into doubt whether EGSs would find the newly designed program desirable enough to promote market entry.</w:t>
      </w:r>
      <w:r w:rsidR="00FA3566">
        <w:rPr>
          <w:sz w:val="24"/>
          <w:szCs w:val="24"/>
        </w:rPr>
        <w:t xml:space="preserve">  First, the foundation of OTS’</w:t>
      </w:r>
      <w:r w:rsidR="00140E1B" w:rsidRPr="00B065CC">
        <w:rPr>
          <w:sz w:val="24"/>
          <w:szCs w:val="24"/>
        </w:rPr>
        <w:t xml:space="preserve"> proposal (to use an uncollectible expense factor dev</w:t>
      </w:r>
      <w:r w:rsidR="00FA3566">
        <w:rPr>
          <w:sz w:val="24"/>
          <w:szCs w:val="24"/>
        </w:rPr>
        <w:t>eloped in 1997) would force EGS</w:t>
      </w:r>
      <w:r w:rsidR="00140E1B" w:rsidRPr="00B065CC">
        <w:rPr>
          <w:sz w:val="24"/>
          <w:szCs w:val="24"/>
        </w:rPr>
        <w:t>s to factor into their decision a</w:t>
      </w:r>
      <w:r w:rsidR="00375E74">
        <w:rPr>
          <w:sz w:val="24"/>
          <w:szCs w:val="24"/>
        </w:rPr>
        <w:t>n</w:t>
      </w:r>
      <w:r w:rsidR="00140E1B" w:rsidRPr="00B065CC">
        <w:rPr>
          <w:sz w:val="24"/>
          <w:szCs w:val="24"/>
        </w:rPr>
        <w:t xml:space="preserve"> outdated uncollectible expense factor which has no rational relationship to the current general understanding of uncollectible levels experienced today</w:t>
      </w:r>
      <w:r w:rsidR="00375E74">
        <w:rPr>
          <w:sz w:val="24"/>
          <w:szCs w:val="24"/>
        </w:rPr>
        <w:t xml:space="preserve"> (</w:t>
      </w:r>
      <w:r w:rsidR="00375E74" w:rsidRPr="00375E74">
        <w:rPr>
          <w:sz w:val="24"/>
          <w:szCs w:val="24"/>
        </w:rPr>
        <w:t>RESA/Direct Energy M.B. at 12</w:t>
      </w:r>
      <w:r w:rsidR="00B86461">
        <w:rPr>
          <w:sz w:val="24"/>
          <w:szCs w:val="24"/>
        </w:rPr>
        <w:t xml:space="preserve">, </w:t>
      </w:r>
      <w:r w:rsidR="00375E74" w:rsidRPr="00375E74">
        <w:rPr>
          <w:sz w:val="24"/>
          <w:szCs w:val="24"/>
        </w:rPr>
        <w:t>13</w:t>
      </w:r>
      <w:r w:rsidR="00375E74">
        <w:rPr>
          <w:sz w:val="24"/>
          <w:szCs w:val="24"/>
        </w:rPr>
        <w:t>)</w:t>
      </w:r>
      <w:r w:rsidR="00140E1B" w:rsidRPr="00375E74">
        <w:rPr>
          <w:sz w:val="24"/>
          <w:szCs w:val="24"/>
        </w:rPr>
        <w:t>.</w:t>
      </w:r>
      <w:r w:rsidR="00140E1B" w:rsidRPr="00B065CC">
        <w:rPr>
          <w:sz w:val="24"/>
          <w:szCs w:val="24"/>
        </w:rPr>
        <w:t xml:space="preserve"> </w:t>
      </w:r>
      <w:r w:rsidR="00B87127">
        <w:rPr>
          <w:sz w:val="24"/>
          <w:szCs w:val="24"/>
        </w:rPr>
        <w:t xml:space="preserve"> Second, implementation of OTS’</w:t>
      </w:r>
      <w:r w:rsidR="00140E1B" w:rsidRPr="00B065CC">
        <w:rPr>
          <w:sz w:val="24"/>
          <w:szCs w:val="24"/>
        </w:rPr>
        <w:t xml:space="preserve"> proposal in strict adherence to how it was adopted in PPL, could result in implementation of a complicated EGS uncollectible tracking mechanism that requires careful monitoring and calculations, administrative processes, costly EDC systems modifications, and potential litigation</w:t>
      </w:r>
      <w:r w:rsidR="00375E74" w:rsidRPr="00375E74">
        <w:t xml:space="preserve"> </w:t>
      </w:r>
      <w:r w:rsidR="00375E74" w:rsidRPr="00B86461">
        <w:rPr>
          <w:sz w:val="24"/>
          <w:szCs w:val="24"/>
        </w:rPr>
        <w:t>(RESA/Direct Energy M. B. at 15)</w:t>
      </w:r>
      <w:r w:rsidR="00B86461">
        <w:rPr>
          <w:sz w:val="24"/>
          <w:szCs w:val="24"/>
        </w:rPr>
        <w:t>.</w:t>
      </w:r>
      <w:r w:rsidR="00140E1B" w:rsidRPr="00B065CC">
        <w:rPr>
          <w:sz w:val="24"/>
          <w:szCs w:val="24"/>
        </w:rPr>
        <w:t xml:space="preserve">  All of this would add additional burdens, costs and unce</w:t>
      </w:r>
      <w:r w:rsidR="00FA3566">
        <w:rPr>
          <w:sz w:val="24"/>
          <w:szCs w:val="24"/>
        </w:rPr>
        <w:t xml:space="preserve">rtainty into this process, </w:t>
      </w:r>
      <w:r w:rsidR="00140E1B" w:rsidRPr="00B065CC">
        <w:rPr>
          <w:sz w:val="24"/>
          <w:szCs w:val="24"/>
        </w:rPr>
        <w:t>impacting how EGSs may view the desirability of entering into this market.</w:t>
      </w:r>
      <w:r w:rsidR="00375E74">
        <w:rPr>
          <w:sz w:val="24"/>
          <w:szCs w:val="24"/>
        </w:rPr>
        <w:t xml:space="preserve">  </w:t>
      </w:r>
      <w:r w:rsidR="00140E1B" w:rsidRPr="00B065CC">
        <w:rPr>
          <w:sz w:val="24"/>
          <w:szCs w:val="24"/>
        </w:rPr>
        <w:t xml:space="preserve">Finally, if adopted as proposed by OTS, there is no dispute that PECO would be required to discount the EGS receivables purchased at </w:t>
      </w:r>
      <w:r w:rsidR="00140E1B" w:rsidRPr="00B065CC">
        <w:rPr>
          <w:sz w:val="24"/>
          <w:szCs w:val="24"/>
          <w:u w:val="single"/>
        </w:rPr>
        <w:t>significantly</w:t>
      </w:r>
      <w:r w:rsidR="00140E1B" w:rsidRPr="00B065CC">
        <w:rPr>
          <w:sz w:val="24"/>
          <w:szCs w:val="24"/>
        </w:rPr>
        <w:t xml:space="preserve"> higher discounted rates than </w:t>
      </w:r>
    </w:p>
    <w:p w:rsidR="00304151" w:rsidRDefault="00304151">
      <w:pPr>
        <w:rPr>
          <w:sz w:val="24"/>
          <w:szCs w:val="24"/>
        </w:rPr>
      </w:pPr>
      <w:r>
        <w:rPr>
          <w:sz w:val="24"/>
          <w:szCs w:val="24"/>
        </w:rPr>
        <w:br w:type="page"/>
      </w:r>
    </w:p>
    <w:p w:rsidR="00140E1B" w:rsidRDefault="00140E1B">
      <w:pPr>
        <w:pStyle w:val="BodyText2"/>
        <w:spacing w:line="360" w:lineRule="auto"/>
        <w:rPr>
          <w:sz w:val="24"/>
          <w:szCs w:val="24"/>
        </w:rPr>
      </w:pPr>
      <w:r w:rsidRPr="00B065CC">
        <w:rPr>
          <w:sz w:val="24"/>
          <w:szCs w:val="24"/>
        </w:rPr>
        <w:lastRenderedPageBreak/>
        <w:t>proposed.  For residential customers, the discount would increase by 11</w:t>
      </w:r>
      <w:r w:rsidR="00557B5B" w:rsidRPr="00B065CC">
        <w:rPr>
          <w:sz w:val="24"/>
          <w:szCs w:val="24"/>
        </w:rPr>
        <w:t>3</w:t>
      </w:r>
      <w:r w:rsidRPr="00B065CC">
        <w:rPr>
          <w:sz w:val="24"/>
          <w:szCs w:val="24"/>
        </w:rPr>
        <w:t>5% from the currently proposed .2% to 2.27%.  For small C&amp;I customers, the discount would increase by 170% from .2% to .34%.  For large C&amp;I customers, the discount would increase by 275% from .2% to .55%.</w:t>
      </w:r>
      <w:r w:rsidRPr="00B065CC">
        <w:rPr>
          <w:rStyle w:val="FootnoteReference"/>
          <w:sz w:val="24"/>
          <w:szCs w:val="24"/>
        </w:rPr>
        <w:footnoteReference w:id="6"/>
      </w:r>
      <w:r w:rsidRPr="00B065CC">
        <w:rPr>
          <w:sz w:val="24"/>
          <w:szCs w:val="24"/>
        </w:rPr>
        <w:t xml:space="preserve">  There is no dispute that the greater the discount at which PECO purchases an EGS’s receivables the less attractive market entry looks to a potential EGS. </w:t>
      </w:r>
      <w:r w:rsidR="00375E74">
        <w:rPr>
          <w:sz w:val="24"/>
          <w:szCs w:val="24"/>
        </w:rPr>
        <w:t xml:space="preserve"> </w:t>
      </w:r>
      <w:r w:rsidRPr="00B065CC">
        <w:rPr>
          <w:sz w:val="24"/>
          <w:szCs w:val="24"/>
        </w:rPr>
        <w:t>The cost of uncollectible account expense would ultimately be socialized under either proposal.  Under the OTS’ approach the cost of uncollectibles would be reflected in the discount rate charged to EGSs and the EGSs would either pass this cost onto all of their customers in their rates or choose not to participate in the POR program.  If EGSs choose not to participate in the POR program, then customers will remain on default service and uncollectible costs will be socialized through default service rates because uncollectible costs would be unbundled through an adder applied to default service</w:t>
      </w:r>
      <w:r w:rsidR="00375E74">
        <w:rPr>
          <w:sz w:val="24"/>
          <w:szCs w:val="24"/>
        </w:rPr>
        <w:t xml:space="preserve"> </w:t>
      </w:r>
      <w:r w:rsidR="00375E74" w:rsidRPr="00375E74">
        <w:rPr>
          <w:sz w:val="24"/>
          <w:szCs w:val="24"/>
        </w:rPr>
        <w:t xml:space="preserve">(RESA/Direct Energy R. B. at </w:t>
      </w:r>
      <w:r w:rsidR="00375E74">
        <w:rPr>
          <w:sz w:val="24"/>
          <w:szCs w:val="24"/>
        </w:rPr>
        <w:t>4, 5</w:t>
      </w:r>
      <w:r w:rsidR="00375E74" w:rsidRPr="00375E74">
        <w:rPr>
          <w:sz w:val="24"/>
          <w:szCs w:val="24"/>
        </w:rPr>
        <w:t>)</w:t>
      </w:r>
      <w:r w:rsidRPr="00B065CC">
        <w:rPr>
          <w:sz w:val="24"/>
          <w:szCs w:val="24"/>
        </w:rPr>
        <w:t xml:space="preserve">.  </w:t>
      </w:r>
    </w:p>
    <w:p w:rsidR="00F941BF" w:rsidRPr="00B065CC" w:rsidRDefault="00F941BF" w:rsidP="001C114D">
      <w:pPr>
        <w:pStyle w:val="BodyText2"/>
        <w:spacing w:line="360" w:lineRule="auto"/>
        <w:rPr>
          <w:sz w:val="24"/>
          <w:szCs w:val="24"/>
        </w:rPr>
      </w:pPr>
    </w:p>
    <w:p w:rsidR="00140E1B" w:rsidRPr="00B065CC" w:rsidRDefault="00F941BF">
      <w:pPr>
        <w:pStyle w:val="BodyText2"/>
        <w:spacing w:line="360" w:lineRule="auto"/>
        <w:rPr>
          <w:sz w:val="24"/>
          <w:szCs w:val="24"/>
        </w:rPr>
      </w:pPr>
      <w:r w:rsidRPr="00B065CC">
        <w:rPr>
          <w:sz w:val="24"/>
          <w:szCs w:val="24"/>
        </w:rPr>
        <w:tab/>
      </w:r>
      <w:r w:rsidRPr="00B065CC">
        <w:rPr>
          <w:sz w:val="24"/>
          <w:szCs w:val="24"/>
        </w:rPr>
        <w:tab/>
      </w:r>
      <w:r w:rsidR="00140E1B" w:rsidRPr="00B065CC">
        <w:rPr>
          <w:sz w:val="24"/>
          <w:szCs w:val="24"/>
        </w:rPr>
        <w:t xml:space="preserve">At the outset, there were many significant differences present in the PPL POR proceeding that are not present here.  PPL proposed the mechanism that OTS advocates here.  After full consideration of the concept, PECO </w:t>
      </w:r>
      <w:r w:rsidR="004B6192">
        <w:rPr>
          <w:sz w:val="24"/>
          <w:szCs w:val="24"/>
        </w:rPr>
        <w:t xml:space="preserve">did </w:t>
      </w:r>
      <w:r w:rsidR="00140E1B" w:rsidRPr="00B065CC">
        <w:rPr>
          <w:sz w:val="24"/>
          <w:szCs w:val="24"/>
        </w:rPr>
        <w:t>not cho</w:t>
      </w:r>
      <w:r w:rsidR="004B6192">
        <w:rPr>
          <w:sz w:val="24"/>
          <w:szCs w:val="24"/>
        </w:rPr>
        <w:t>o</w:t>
      </w:r>
      <w:r w:rsidR="00140E1B" w:rsidRPr="00B065CC">
        <w:rPr>
          <w:sz w:val="24"/>
          <w:szCs w:val="24"/>
        </w:rPr>
        <w:t>se to propose it.</w:t>
      </w:r>
      <w:r w:rsidR="004B6192">
        <w:rPr>
          <w:sz w:val="24"/>
          <w:szCs w:val="24"/>
        </w:rPr>
        <w:t xml:space="preserve">  (RESA/Direct Energy R.B. at 6).</w:t>
      </w:r>
      <w:r w:rsidR="00140E1B" w:rsidRPr="00B065CC">
        <w:rPr>
          <w:sz w:val="24"/>
          <w:szCs w:val="24"/>
        </w:rPr>
        <w:t xml:space="preserve">  While RESA/Direct Energy fully support the idea that all EDCs in Pennsylvania should operate under uniform standards and uniform tariffs, the fact is that each EDC has its own billing systems and unique service territory issu</w:t>
      </w:r>
      <w:r w:rsidR="004B6192">
        <w:rPr>
          <w:sz w:val="24"/>
          <w:szCs w:val="24"/>
        </w:rPr>
        <w:t>es that prevent such uniformity</w:t>
      </w:r>
      <w:r w:rsidR="00140E1B" w:rsidRPr="00B065CC">
        <w:rPr>
          <w:sz w:val="24"/>
          <w:szCs w:val="24"/>
        </w:rPr>
        <w:t>.  Therefore,</w:t>
      </w:r>
      <w:r w:rsidR="004B6192">
        <w:rPr>
          <w:sz w:val="24"/>
          <w:szCs w:val="24"/>
        </w:rPr>
        <w:t xml:space="preserve"> RESA submits that</w:t>
      </w:r>
      <w:r w:rsidR="00140E1B" w:rsidRPr="00B065CC">
        <w:rPr>
          <w:sz w:val="24"/>
          <w:szCs w:val="24"/>
        </w:rPr>
        <w:t xml:space="preserve"> deference should be given to PECO in its decision to recommend </w:t>
      </w:r>
      <w:r w:rsidR="004B6192">
        <w:rPr>
          <w:sz w:val="24"/>
          <w:szCs w:val="24"/>
        </w:rPr>
        <w:t>a</w:t>
      </w:r>
      <w:r w:rsidR="00140E1B" w:rsidRPr="00B065CC">
        <w:rPr>
          <w:sz w:val="24"/>
          <w:szCs w:val="24"/>
        </w:rPr>
        <w:t xml:space="preserve"> proposal </w:t>
      </w:r>
      <w:r w:rsidR="004B6192">
        <w:rPr>
          <w:sz w:val="24"/>
          <w:szCs w:val="24"/>
        </w:rPr>
        <w:t xml:space="preserve">that </w:t>
      </w:r>
      <w:r w:rsidR="00140E1B" w:rsidRPr="00B065CC">
        <w:rPr>
          <w:sz w:val="24"/>
          <w:szCs w:val="24"/>
        </w:rPr>
        <w:t>achieves the goal of appropriately structuring a POR program that will encourage EGSs to participate in the market.</w:t>
      </w:r>
      <w:r w:rsidR="004B6192">
        <w:rPr>
          <w:sz w:val="24"/>
          <w:szCs w:val="24"/>
        </w:rPr>
        <w:t xml:space="preserve">  (RESA/Direct Energy R.B. at 6, 7).</w:t>
      </w:r>
    </w:p>
    <w:p w:rsidR="00A750B3" w:rsidRPr="00B065CC" w:rsidRDefault="00A750B3" w:rsidP="001C114D">
      <w:pPr>
        <w:pStyle w:val="BodyText2"/>
        <w:spacing w:line="360" w:lineRule="auto"/>
        <w:rPr>
          <w:sz w:val="24"/>
          <w:szCs w:val="24"/>
        </w:rPr>
      </w:pPr>
    </w:p>
    <w:p w:rsidR="00304151" w:rsidRDefault="00A750B3">
      <w:pPr>
        <w:pStyle w:val="BodyText2"/>
        <w:spacing w:line="360" w:lineRule="auto"/>
        <w:rPr>
          <w:sz w:val="24"/>
          <w:szCs w:val="24"/>
        </w:rPr>
      </w:pPr>
      <w:r w:rsidRPr="00B065CC">
        <w:rPr>
          <w:sz w:val="24"/>
          <w:szCs w:val="24"/>
        </w:rPr>
        <w:tab/>
      </w:r>
      <w:r w:rsidRPr="00B065CC">
        <w:rPr>
          <w:sz w:val="24"/>
          <w:szCs w:val="24"/>
        </w:rPr>
        <w:tab/>
      </w:r>
      <w:r w:rsidR="003973BB">
        <w:rPr>
          <w:sz w:val="24"/>
          <w:szCs w:val="24"/>
        </w:rPr>
        <w:t xml:space="preserve">RESA explained that </w:t>
      </w:r>
      <w:r w:rsidR="00B87127">
        <w:rPr>
          <w:sz w:val="24"/>
          <w:szCs w:val="24"/>
        </w:rPr>
        <w:t>OTS’</w:t>
      </w:r>
      <w:r w:rsidR="00140E1B" w:rsidRPr="00B065CC">
        <w:rPr>
          <w:sz w:val="24"/>
          <w:szCs w:val="24"/>
        </w:rPr>
        <w:t xml:space="preserve"> sole reliance on PPL’s 2010 POR program ignores the POR programs that are in place in the service territories of Duquesne Light Company (“Duquesne”)</w:t>
      </w:r>
      <w:r w:rsidR="00140E1B" w:rsidRPr="00B065CC">
        <w:rPr>
          <w:rStyle w:val="FootnoteReference"/>
          <w:sz w:val="24"/>
          <w:szCs w:val="24"/>
        </w:rPr>
        <w:footnoteReference w:id="7"/>
      </w:r>
      <w:r w:rsidR="00140E1B" w:rsidRPr="00B065CC">
        <w:rPr>
          <w:sz w:val="24"/>
          <w:szCs w:val="24"/>
        </w:rPr>
        <w:t xml:space="preserve"> and Pike County Light &amp; Power Company (“PCL&amp;P”)</w:t>
      </w:r>
      <w:r w:rsidR="00140E1B" w:rsidRPr="00B065CC">
        <w:rPr>
          <w:rStyle w:val="FootnoteReference"/>
          <w:sz w:val="24"/>
          <w:szCs w:val="24"/>
        </w:rPr>
        <w:footnoteReference w:id="8"/>
      </w:r>
      <w:r w:rsidR="00140E1B" w:rsidRPr="00B065CC">
        <w:rPr>
          <w:sz w:val="24"/>
          <w:szCs w:val="24"/>
        </w:rPr>
        <w:t xml:space="preserve"> in Pennsylvania.  </w:t>
      </w:r>
    </w:p>
    <w:p w:rsidR="00304151" w:rsidRDefault="00304151">
      <w:pPr>
        <w:rPr>
          <w:sz w:val="24"/>
          <w:szCs w:val="24"/>
        </w:rPr>
      </w:pPr>
      <w:r>
        <w:rPr>
          <w:sz w:val="24"/>
          <w:szCs w:val="24"/>
        </w:rPr>
        <w:br w:type="page"/>
      </w:r>
    </w:p>
    <w:p w:rsidR="00140E1B" w:rsidRPr="00B065CC" w:rsidRDefault="00140E1B">
      <w:pPr>
        <w:pStyle w:val="BodyText2"/>
        <w:spacing w:line="360" w:lineRule="auto"/>
        <w:rPr>
          <w:sz w:val="24"/>
          <w:szCs w:val="24"/>
        </w:rPr>
      </w:pPr>
      <w:r w:rsidRPr="00B065CC">
        <w:rPr>
          <w:sz w:val="24"/>
          <w:szCs w:val="24"/>
        </w:rPr>
        <w:lastRenderedPageBreak/>
        <w:t>Further, guidelines for implementation of a POR program for the service territories of Metropolitan Edison Company and Pennsylvania Electric Company (collectively “Met-Ed/Penelec”) have been approved by the Commission.</w:t>
      </w:r>
      <w:r w:rsidRPr="00B065CC">
        <w:rPr>
          <w:rStyle w:val="FootnoteReference"/>
          <w:sz w:val="24"/>
          <w:szCs w:val="24"/>
        </w:rPr>
        <w:footnoteReference w:id="9"/>
      </w:r>
      <w:r w:rsidRPr="00B065CC">
        <w:rPr>
          <w:sz w:val="24"/>
          <w:szCs w:val="24"/>
        </w:rPr>
        <w:t xml:space="preserve"> </w:t>
      </w:r>
      <w:r w:rsidR="00B86461">
        <w:rPr>
          <w:sz w:val="24"/>
          <w:szCs w:val="24"/>
        </w:rPr>
        <w:t xml:space="preserve"> </w:t>
      </w:r>
      <w:r w:rsidR="00B86461" w:rsidRPr="00B86461">
        <w:rPr>
          <w:sz w:val="24"/>
          <w:szCs w:val="24"/>
        </w:rPr>
        <w:t xml:space="preserve">(RESA/Direct Energy R. B. at </w:t>
      </w:r>
      <w:r w:rsidR="00B86461">
        <w:rPr>
          <w:sz w:val="24"/>
          <w:szCs w:val="24"/>
        </w:rPr>
        <w:t>9</w:t>
      </w:r>
      <w:r w:rsidR="00B86461" w:rsidRPr="00B86461">
        <w:rPr>
          <w:sz w:val="24"/>
          <w:szCs w:val="24"/>
        </w:rPr>
        <w:t>)</w:t>
      </w:r>
      <w:r w:rsidRPr="00B065CC">
        <w:rPr>
          <w:sz w:val="24"/>
          <w:szCs w:val="24"/>
        </w:rPr>
        <w:t xml:space="preserve"> </w:t>
      </w:r>
    </w:p>
    <w:p w:rsidR="00A750B3" w:rsidRPr="00B065CC" w:rsidRDefault="00A750B3" w:rsidP="001C114D">
      <w:pPr>
        <w:pStyle w:val="BodyText2"/>
        <w:spacing w:line="360" w:lineRule="auto"/>
        <w:rPr>
          <w:sz w:val="24"/>
          <w:szCs w:val="24"/>
        </w:rPr>
      </w:pPr>
    </w:p>
    <w:p w:rsidR="00140E1B" w:rsidRDefault="00A750B3" w:rsidP="003973BB">
      <w:pPr>
        <w:pStyle w:val="BodyText2"/>
        <w:spacing w:line="360" w:lineRule="auto"/>
        <w:rPr>
          <w:sz w:val="24"/>
          <w:szCs w:val="24"/>
        </w:rPr>
      </w:pPr>
      <w:r w:rsidRPr="00B065CC">
        <w:rPr>
          <w:sz w:val="24"/>
          <w:szCs w:val="24"/>
        </w:rPr>
        <w:tab/>
      </w:r>
      <w:r w:rsidRPr="00B065CC">
        <w:rPr>
          <w:sz w:val="24"/>
          <w:szCs w:val="24"/>
        </w:rPr>
        <w:tab/>
      </w:r>
      <w:r w:rsidR="00140E1B" w:rsidRPr="00B065CC">
        <w:rPr>
          <w:sz w:val="24"/>
          <w:szCs w:val="24"/>
        </w:rPr>
        <w:t>Each of these POR programs addresses how to socialize the cost of uncollectible accounts expense associated with generation service differently.  The PCL&amp;P POR program has been in place since the Commission ordered it in 2006.  All generation-related uncollectible expense is recovered thro</w:t>
      </w:r>
      <w:r w:rsidR="00B87127">
        <w:rPr>
          <w:sz w:val="24"/>
          <w:szCs w:val="24"/>
        </w:rPr>
        <w:t>ugh distribution rates and EGSs</w:t>
      </w:r>
      <w:r w:rsidR="00140E1B" w:rsidRPr="00B065CC">
        <w:rPr>
          <w:sz w:val="24"/>
          <w:szCs w:val="24"/>
        </w:rPr>
        <w:t xml:space="preserve"> receivables are purchased at 0% discount.  For Duquesne, a negotiated uncollectible rate for EGS customers was derived and all distribution customers (which include both default service and EGS customers) pay for the costs of default service related uncollectibles that may exceed the level of the negotiated discount rate.  For Met-Ed and Penelec, generation related uncollectibles will be recovered via a non-bypassable charge, either in distribution rates or as a separate mechanism (which is essentially the same proposal put forth by PECO).  As this sampling of current and future POR programs </w:t>
      </w:r>
      <w:r w:rsidR="003973BB">
        <w:rPr>
          <w:sz w:val="24"/>
          <w:szCs w:val="24"/>
        </w:rPr>
        <w:t>demonstrates</w:t>
      </w:r>
      <w:r w:rsidR="00140E1B" w:rsidRPr="00B065CC">
        <w:rPr>
          <w:sz w:val="24"/>
          <w:szCs w:val="24"/>
        </w:rPr>
        <w:t>, the approach that has been more often adopted for the long term is more closely aligned with the PECO proposal rather than the 2010 PPL POR structure</w:t>
      </w:r>
      <w:r w:rsidR="003973BB">
        <w:rPr>
          <w:sz w:val="24"/>
          <w:szCs w:val="24"/>
        </w:rPr>
        <w:t xml:space="preserve"> </w:t>
      </w:r>
      <w:r w:rsidR="003973BB" w:rsidRPr="003973BB">
        <w:rPr>
          <w:sz w:val="24"/>
          <w:szCs w:val="24"/>
        </w:rPr>
        <w:t xml:space="preserve">(RESA/Direct Energy R. B. at </w:t>
      </w:r>
      <w:r w:rsidR="003973BB">
        <w:rPr>
          <w:sz w:val="24"/>
          <w:szCs w:val="24"/>
        </w:rPr>
        <w:t>9, 10</w:t>
      </w:r>
      <w:r w:rsidR="003973BB" w:rsidRPr="003973BB">
        <w:rPr>
          <w:sz w:val="24"/>
          <w:szCs w:val="24"/>
        </w:rPr>
        <w:t>)</w:t>
      </w:r>
      <w:r w:rsidR="00140E1B" w:rsidRPr="00B065CC">
        <w:rPr>
          <w:sz w:val="24"/>
          <w:szCs w:val="24"/>
        </w:rPr>
        <w:t xml:space="preserve">.  </w:t>
      </w:r>
    </w:p>
    <w:p w:rsidR="00D0510F" w:rsidRDefault="00D0510F" w:rsidP="003973BB">
      <w:pPr>
        <w:pStyle w:val="BodyText2"/>
        <w:spacing w:line="360" w:lineRule="auto"/>
        <w:rPr>
          <w:sz w:val="24"/>
          <w:szCs w:val="24"/>
        </w:rPr>
      </w:pPr>
    </w:p>
    <w:p w:rsidR="00D0510F" w:rsidRPr="00B065CC" w:rsidRDefault="00D0510F" w:rsidP="00D0510F">
      <w:pPr>
        <w:pStyle w:val="BodyText2"/>
        <w:spacing w:line="360" w:lineRule="auto"/>
        <w:rPr>
          <w:sz w:val="24"/>
          <w:szCs w:val="24"/>
        </w:rPr>
      </w:pPr>
      <w:r>
        <w:rPr>
          <w:sz w:val="24"/>
          <w:szCs w:val="24"/>
        </w:rPr>
        <w:tab/>
      </w:r>
      <w:r w:rsidRPr="00B065CC">
        <w:rPr>
          <w:sz w:val="24"/>
          <w:szCs w:val="24"/>
        </w:rPr>
        <w:t>The EGS parties in this case support PECO’s proposal and have raised legitimate and undisputed conc</w:t>
      </w:r>
      <w:r w:rsidR="00B87127">
        <w:rPr>
          <w:sz w:val="24"/>
          <w:szCs w:val="24"/>
        </w:rPr>
        <w:t>erns about how adoption of OTS’</w:t>
      </w:r>
      <w:r w:rsidRPr="00B065CC">
        <w:rPr>
          <w:sz w:val="24"/>
          <w:szCs w:val="24"/>
        </w:rPr>
        <w:t xml:space="preserve"> proposal could negatively impact the development of the competitive market.</w:t>
      </w:r>
      <w:r w:rsidRPr="00B065CC">
        <w:rPr>
          <w:rStyle w:val="FootnoteReference"/>
          <w:sz w:val="24"/>
          <w:szCs w:val="24"/>
        </w:rPr>
        <w:footnoteReference w:id="10"/>
      </w:r>
      <w:r w:rsidRPr="00B065CC">
        <w:rPr>
          <w:sz w:val="24"/>
          <w:szCs w:val="24"/>
        </w:rPr>
        <w:t xml:space="preserve">  Thus, </w:t>
      </w:r>
      <w:r>
        <w:rPr>
          <w:sz w:val="24"/>
          <w:szCs w:val="24"/>
        </w:rPr>
        <w:t xml:space="preserve">RESA/Direct Energy recommended that </w:t>
      </w:r>
      <w:r w:rsidRPr="00B065CC">
        <w:rPr>
          <w:sz w:val="24"/>
          <w:szCs w:val="24"/>
        </w:rPr>
        <w:t>OTS’ proposal should be rejected and PECO’s adopted as the approach most consistent with achieving the goals of the Competition Act</w:t>
      </w:r>
      <w:r>
        <w:rPr>
          <w:sz w:val="24"/>
          <w:szCs w:val="24"/>
        </w:rPr>
        <w:t xml:space="preserve"> </w:t>
      </w:r>
      <w:r w:rsidRPr="00B86461">
        <w:rPr>
          <w:sz w:val="24"/>
          <w:szCs w:val="24"/>
        </w:rPr>
        <w:t xml:space="preserve">(RESA/Direct Energy R. B. at </w:t>
      </w:r>
      <w:r>
        <w:rPr>
          <w:sz w:val="24"/>
          <w:szCs w:val="24"/>
        </w:rPr>
        <w:t>6</w:t>
      </w:r>
      <w:r w:rsidRPr="00B86461">
        <w:rPr>
          <w:sz w:val="24"/>
          <w:szCs w:val="24"/>
        </w:rPr>
        <w:t>)</w:t>
      </w:r>
      <w:r w:rsidRPr="00B065CC">
        <w:rPr>
          <w:sz w:val="24"/>
          <w:szCs w:val="24"/>
        </w:rPr>
        <w:t>.</w:t>
      </w:r>
    </w:p>
    <w:p w:rsidR="00D0510F" w:rsidRDefault="00D0510F" w:rsidP="003973BB">
      <w:pPr>
        <w:pStyle w:val="BodyText2"/>
        <w:spacing w:line="360" w:lineRule="auto"/>
        <w:rPr>
          <w:sz w:val="24"/>
          <w:szCs w:val="24"/>
        </w:rPr>
      </w:pPr>
    </w:p>
    <w:p w:rsidR="00B979D2" w:rsidRDefault="00FD27C2" w:rsidP="000A3537">
      <w:pPr>
        <w:pStyle w:val="BodyText2"/>
        <w:spacing w:line="360" w:lineRule="auto"/>
        <w:outlineLvl w:val="0"/>
        <w:rPr>
          <w:sz w:val="24"/>
          <w:szCs w:val="24"/>
        </w:rPr>
      </w:pPr>
      <w:r>
        <w:rPr>
          <w:sz w:val="24"/>
          <w:szCs w:val="24"/>
        </w:rPr>
        <w:tab/>
      </w:r>
      <w:bookmarkStart w:id="83" w:name="_Toc259699936"/>
      <w:bookmarkStart w:id="84" w:name="_Toc259706197"/>
    </w:p>
    <w:p w:rsidR="00B979D2" w:rsidRDefault="00B979D2">
      <w:pPr>
        <w:rPr>
          <w:sz w:val="24"/>
          <w:szCs w:val="24"/>
        </w:rPr>
      </w:pPr>
      <w:r>
        <w:rPr>
          <w:sz w:val="24"/>
          <w:szCs w:val="24"/>
        </w:rPr>
        <w:br w:type="page"/>
      </w:r>
    </w:p>
    <w:p w:rsidR="00B979D2" w:rsidRDefault="00B979D2" w:rsidP="000A3537">
      <w:pPr>
        <w:pStyle w:val="BodyText2"/>
        <w:spacing w:line="360" w:lineRule="auto"/>
        <w:outlineLvl w:val="0"/>
        <w:rPr>
          <w:sz w:val="24"/>
          <w:szCs w:val="24"/>
        </w:rPr>
      </w:pPr>
    </w:p>
    <w:p w:rsidR="003973BB" w:rsidRDefault="00FD27C2" w:rsidP="000A3537">
      <w:pPr>
        <w:pStyle w:val="BodyText2"/>
        <w:spacing w:line="360" w:lineRule="auto"/>
        <w:outlineLvl w:val="0"/>
        <w:rPr>
          <w:sz w:val="24"/>
          <w:szCs w:val="24"/>
        </w:rPr>
      </w:pPr>
      <w:r>
        <w:rPr>
          <w:sz w:val="24"/>
          <w:szCs w:val="24"/>
        </w:rPr>
        <w:t>4.</w:t>
      </w:r>
      <w:r>
        <w:rPr>
          <w:sz w:val="24"/>
          <w:szCs w:val="24"/>
        </w:rPr>
        <w:tab/>
      </w:r>
      <w:r w:rsidRPr="00FD27C2">
        <w:rPr>
          <w:sz w:val="24"/>
          <w:szCs w:val="24"/>
          <w:u w:val="single"/>
        </w:rPr>
        <w:t>Disposition</w:t>
      </w:r>
      <w:bookmarkEnd w:id="83"/>
      <w:bookmarkEnd w:id="84"/>
    </w:p>
    <w:p w:rsidR="00FD27C2" w:rsidRDefault="00FD27C2" w:rsidP="00902DC5">
      <w:pPr>
        <w:pStyle w:val="BodyText2"/>
        <w:spacing w:line="360" w:lineRule="auto"/>
        <w:rPr>
          <w:sz w:val="24"/>
          <w:szCs w:val="24"/>
        </w:rPr>
      </w:pPr>
    </w:p>
    <w:p w:rsidR="00FD27C2" w:rsidRDefault="00FD27C2" w:rsidP="003973BB">
      <w:pPr>
        <w:pStyle w:val="BodyText2"/>
        <w:spacing w:line="360" w:lineRule="auto"/>
        <w:rPr>
          <w:sz w:val="24"/>
          <w:szCs w:val="24"/>
        </w:rPr>
      </w:pPr>
      <w:r>
        <w:rPr>
          <w:sz w:val="24"/>
          <w:szCs w:val="24"/>
        </w:rPr>
        <w:tab/>
      </w:r>
      <w:r>
        <w:rPr>
          <w:sz w:val="24"/>
          <w:szCs w:val="24"/>
        </w:rPr>
        <w:tab/>
      </w:r>
      <w:r w:rsidR="006614F5">
        <w:rPr>
          <w:sz w:val="24"/>
          <w:szCs w:val="24"/>
        </w:rPr>
        <w:t xml:space="preserve">In this case </w:t>
      </w:r>
      <w:r>
        <w:rPr>
          <w:sz w:val="24"/>
          <w:szCs w:val="24"/>
        </w:rPr>
        <w:t xml:space="preserve">PECO has proposed a method for recovering uncollectible expenses that it currently uses.  In addition, PECO has presented evidence to show that the method is reasonable.  </w:t>
      </w:r>
      <w:r w:rsidR="008F2D23">
        <w:rPr>
          <w:sz w:val="24"/>
          <w:szCs w:val="24"/>
        </w:rPr>
        <w:t>Thus, PECO established a prima facie case.</w:t>
      </w:r>
    </w:p>
    <w:p w:rsidR="00FD27C2" w:rsidRDefault="00FD27C2" w:rsidP="003973BB">
      <w:pPr>
        <w:pStyle w:val="BodyText2"/>
        <w:spacing w:line="360" w:lineRule="auto"/>
        <w:rPr>
          <w:sz w:val="24"/>
          <w:szCs w:val="24"/>
        </w:rPr>
      </w:pPr>
    </w:p>
    <w:p w:rsidR="008F2D23" w:rsidRDefault="00FD27C2" w:rsidP="003973BB">
      <w:pPr>
        <w:pStyle w:val="BodyText2"/>
        <w:spacing w:line="360" w:lineRule="auto"/>
        <w:rPr>
          <w:sz w:val="24"/>
          <w:szCs w:val="24"/>
        </w:rPr>
      </w:pPr>
      <w:r>
        <w:rPr>
          <w:sz w:val="24"/>
          <w:szCs w:val="24"/>
        </w:rPr>
        <w:tab/>
      </w:r>
      <w:r>
        <w:rPr>
          <w:sz w:val="24"/>
          <w:szCs w:val="24"/>
        </w:rPr>
        <w:tab/>
        <w:t xml:space="preserve">OTS objected to PECO’s proposal and proposed another method </w:t>
      </w:r>
      <w:r w:rsidR="001449B0">
        <w:rPr>
          <w:sz w:val="24"/>
          <w:szCs w:val="24"/>
        </w:rPr>
        <w:t xml:space="preserve">which requires PECO to unbundle non-jurisdictional charges.  OTS has also argued that PECO should use PPL’s POR as a guideline.  </w:t>
      </w:r>
    </w:p>
    <w:p w:rsidR="008F2D23" w:rsidRDefault="008F2D23" w:rsidP="00902DC5">
      <w:pPr>
        <w:pStyle w:val="BodyText2"/>
        <w:spacing w:line="360" w:lineRule="auto"/>
        <w:rPr>
          <w:sz w:val="24"/>
          <w:szCs w:val="24"/>
        </w:rPr>
      </w:pPr>
    </w:p>
    <w:p w:rsidR="008F2D23" w:rsidRDefault="008F2D23" w:rsidP="003973BB">
      <w:pPr>
        <w:pStyle w:val="BodyText2"/>
        <w:spacing w:line="360" w:lineRule="auto"/>
        <w:rPr>
          <w:sz w:val="24"/>
          <w:szCs w:val="24"/>
        </w:rPr>
      </w:pPr>
      <w:r>
        <w:rPr>
          <w:sz w:val="24"/>
          <w:szCs w:val="24"/>
        </w:rPr>
        <w:tab/>
      </w:r>
      <w:r>
        <w:rPr>
          <w:sz w:val="24"/>
          <w:szCs w:val="24"/>
        </w:rPr>
        <w:tab/>
      </w:r>
      <w:r w:rsidR="00287BA6">
        <w:rPr>
          <w:sz w:val="24"/>
          <w:szCs w:val="24"/>
        </w:rPr>
        <w:t xml:space="preserve">In response, </w:t>
      </w:r>
      <w:r w:rsidR="001449B0">
        <w:rPr>
          <w:sz w:val="24"/>
          <w:szCs w:val="24"/>
        </w:rPr>
        <w:t xml:space="preserve">PECO, RESA/Direct Energy and Dominion Retail have presented evidence to show that PPL’s POR was </w:t>
      </w:r>
      <w:r w:rsidR="00AB5096">
        <w:rPr>
          <w:sz w:val="24"/>
          <w:szCs w:val="24"/>
        </w:rPr>
        <w:t xml:space="preserve">on an expedited schedule and the terms of the Settlement expire in December 2010.  In addition, there are other utilities that have Commission approved PORs that are more like PECO’s proposal than PPL’s POR.  Furthermore, OTS’ witness has admitted that the </w:t>
      </w:r>
      <w:r>
        <w:rPr>
          <w:sz w:val="24"/>
          <w:szCs w:val="24"/>
        </w:rPr>
        <w:t xml:space="preserve">unbundling approach would achieve the same result as PECO’s proposal.  </w:t>
      </w:r>
    </w:p>
    <w:p w:rsidR="008F2D23" w:rsidRDefault="008F2D23" w:rsidP="00902DC5">
      <w:pPr>
        <w:pStyle w:val="BodyText2"/>
        <w:spacing w:line="360" w:lineRule="auto"/>
        <w:rPr>
          <w:sz w:val="24"/>
          <w:szCs w:val="24"/>
        </w:rPr>
      </w:pPr>
    </w:p>
    <w:p w:rsidR="008F2D23" w:rsidRDefault="008F2D23" w:rsidP="003973BB">
      <w:pPr>
        <w:pStyle w:val="BodyText2"/>
        <w:spacing w:line="360" w:lineRule="auto"/>
        <w:rPr>
          <w:sz w:val="24"/>
          <w:szCs w:val="24"/>
        </w:rPr>
      </w:pPr>
      <w:r>
        <w:rPr>
          <w:sz w:val="24"/>
          <w:szCs w:val="24"/>
        </w:rPr>
        <w:tab/>
      </w:r>
      <w:r>
        <w:rPr>
          <w:sz w:val="24"/>
          <w:szCs w:val="24"/>
        </w:rPr>
        <w:tab/>
        <w:t xml:space="preserve">PECO has presented evidence to show that its proposal is reasonable </w:t>
      </w:r>
      <w:r w:rsidR="00287BA6">
        <w:rPr>
          <w:sz w:val="24"/>
          <w:szCs w:val="24"/>
        </w:rPr>
        <w:t>and should be accepted.  Accordingly, PECO’s proposal is approved.  OTS’ request to have PECO use the alternate proposal is denied.</w:t>
      </w:r>
    </w:p>
    <w:p w:rsidR="00287BA6" w:rsidRDefault="00287BA6" w:rsidP="00902DC5">
      <w:pPr>
        <w:pStyle w:val="BodyText2"/>
        <w:spacing w:line="360" w:lineRule="auto"/>
        <w:rPr>
          <w:sz w:val="24"/>
          <w:szCs w:val="24"/>
        </w:rPr>
      </w:pPr>
    </w:p>
    <w:p w:rsidR="00140E1B" w:rsidRPr="00B065CC" w:rsidRDefault="00140E1B" w:rsidP="000A3537">
      <w:pPr>
        <w:pStyle w:val="BodyText"/>
        <w:tabs>
          <w:tab w:val="left" w:pos="-720"/>
        </w:tabs>
        <w:suppressAutoHyphens/>
        <w:spacing w:line="360" w:lineRule="auto"/>
        <w:ind w:firstLine="86"/>
        <w:jc w:val="center"/>
        <w:outlineLvl w:val="0"/>
        <w:rPr>
          <w:rFonts w:ascii="Times New Roman" w:hAnsi="Times New Roman"/>
          <w:bCs/>
          <w:sz w:val="24"/>
          <w:szCs w:val="24"/>
          <w:u w:val="single"/>
        </w:rPr>
      </w:pPr>
      <w:bookmarkStart w:id="85" w:name="_Toc259706198"/>
      <w:r w:rsidRPr="00B065CC">
        <w:rPr>
          <w:rFonts w:ascii="Times New Roman" w:hAnsi="Times New Roman"/>
          <w:bCs/>
          <w:sz w:val="24"/>
          <w:szCs w:val="24"/>
          <w:u w:val="single"/>
        </w:rPr>
        <w:t>CONCLUSIONS OF LAW</w:t>
      </w:r>
      <w:bookmarkEnd w:id="85"/>
    </w:p>
    <w:p w:rsidR="00287BA6" w:rsidRDefault="00287BA6" w:rsidP="00902DC5">
      <w:pPr>
        <w:pStyle w:val="BodyText"/>
        <w:tabs>
          <w:tab w:val="clear" w:pos="1980"/>
          <w:tab w:val="left" w:pos="-720"/>
          <w:tab w:val="left" w:pos="0"/>
        </w:tabs>
        <w:suppressAutoHyphens/>
        <w:spacing w:line="360" w:lineRule="auto"/>
        <w:jc w:val="left"/>
        <w:rPr>
          <w:rFonts w:ascii="Times New Roman" w:hAnsi="Times New Roman"/>
          <w:sz w:val="24"/>
          <w:szCs w:val="24"/>
        </w:rPr>
      </w:pPr>
    </w:p>
    <w:p w:rsidR="00140E1B" w:rsidRPr="00B065CC" w:rsidRDefault="00140E1B">
      <w:pPr>
        <w:pStyle w:val="BodyText"/>
        <w:tabs>
          <w:tab w:val="clear" w:pos="1980"/>
          <w:tab w:val="left" w:pos="-720"/>
          <w:tab w:val="left" w:pos="0"/>
        </w:tabs>
        <w:suppressAutoHyphens/>
        <w:spacing w:line="360" w:lineRule="auto"/>
        <w:jc w:val="left"/>
        <w:rPr>
          <w:rFonts w:ascii="Times New Roman" w:hAnsi="Times New Roman"/>
          <w:sz w:val="24"/>
          <w:szCs w:val="24"/>
        </w:rPr>
      </w:pPr>
      <w:r w:rsidRPr="00B065CC">
        <w:rPr>
          <w:rFonts w:ascii="Times New Roman" w:hAnsi="Times New Roman"/>
          <w:sz w:val="24"/>
          <w:szCs w:val="24"/>
        </w:rPr>
        <w:tab/>
      </w:r>
      <w:r w:rsidRPr="00B065CC">
        <w:rPr>
          <w:rFonts w:ascii="Times New Roman" w:hAnsi="Times New Roman"/>
          <w:sz w:val="24"/>
          <w:szCs w:val="24"/>
        </w:rPr>
        <w:tab/>
        <w:t>1.</w:t>
      </w:r>
      <w:r w:rsidRPr="00B065CC">
        <w:rPr>
          <w:rFonts w:ascii="Times New Roman" w:hAnsi="Times New Roman"/>
          <w:sz w:val="24"/>
          <w:szCs w:val="24"/>
        </w:rPr>
        <w:tab/>
        <w:t>The Commission has jurisdiction over the parties and subject matter in this proceeding.  66 Pa. C.S. § 701.</w:t>
      </w:r>
    </w:p>
    <w:p w:rsidR="00140E1B" w:rsidRPr="00B065CC" w:rsidRDefault="00140E1B" w:rsidP="00902DC5">
      <w:pPr>
        <w:spacing w:line="360" w:lineRule="auto"/>
        <w:rPr>
          <w:sz w:val="24"/>
          <w:szCs w:val="24"/>
        </w:rPr>
      </w:pPr>
    </w:p>
    <w:p w:rsidR="00140E1B" w:rsidRDefault="00140E1B">
      <w:pPr>
        <w:pStyle w:val="BodyText"/>
        <w:tabs>
          <w:tab w:val="clear" w:pos="1980"/>
          <w:tab w:val="left" w:pos="-720"/>
          <w:tab w:val="left" w:pos="0"/>
        </w:tabs>
        <w:suppressAutoHyphens/>
        <w:spacing w:line="360" w:lineRule="auto"/>
        <w:jc w:val="left"/>
        <w:rPr>
          <w:rFonts w:ascii="Times New Roman" w:hAnsi="Times New Roman"/>
          <w:sz w:val="24"/>
          <w:szCs w:val="24"/>
        </w:rPr>
      </w:pPr>
      <w:r w:rsidRPr="00B065CC">
        <w:rPr>
          <w:rFonts w:ascii="Times New Roman" w:hAnsi="Times New Roman"/>
          <w:sz w:val="24"/>
          <w:szCs w:val="24"/>
        </w:rPr>
        <w:tab/>
      </w:r>
      <w:r w:rsidRPr="00B065CC">
        <w:rPr>
          <w:rFonts w:ascii="Times New Roman" w:hAnsi="Times New Roman"/>
          <w:sz w:val="24"/>
          <w:szCs w:val="24"/>
        </w:rPr>
        <w:tab/>
        <w:t>2.</w:t>
      </w:r>
      <w:r w:rsidRPr="00B065CC">
        <w:rPr>
          <w:rFonts w:ascii="Times New Roman" w:hAnsi="Times New Roman"/>
          <w:sz w:val="24"/>
          <w:szCs w:val="24"/>
        </w:rPr>
        <w:tab/>
        <w:t>That the Petitioner, PECO Energy Company, has the burden of proof in this matter pursuant to 66 Pa.C.S. § 332(a).</w:t>
      </w:r>
    </w:p>
    <w:p w:rsidR="00B979D2" w:rsidRDefault="00B979D2">
      <w:pPr>
        <w:pStyle w:val="BodyText"/>
        <w:tabs>
          <w:tab w:val="clear" w:pos="1980"/>
          <w:tab w:val="left" w:pos="-720"/>
          <w:tab w:val="left" w:pos="0"/>
        </w:tabs>
        <w:suppressAutoHyphens/>
        <w:spacing w:line="360" w:lineRule="auto"/>
        <w:jc w:val="left"/>
        <w:rPr>
          <w:rFonts w:ascii="Times New Roman" w:hAnsi="Times New Roman"/>
          <w:sz w:val="24"/>
          <w:szCs w:val="24"/>
        </w:rPr>
      </w:pPr>
    </w:p>
    <w:p w:rsidR="00B979D2" w:rsidRPr="00B065CC" w:rsidRDefault="00B979D2">
      <w:pPr>
        <w:pStyle w:val="BodyText"/>
        <w:tabs>
          <w:tab w:val="clear" w:pos="1980"/>
          <w:tab w:val="left" w:pos="-720"/>
          <w:tab w:val="left" w:pos="0"/>
        </w:tabs>
        <w:suppressAutoHyphens/>
        <w:spacing w:line="360" w:lineRule="auto"/>
        <w:jc w:val="left"/>
        <w:rPr>
          <w:rFonts w:ascii="Times New Roman" w:hAnsi="Times New Roman"/>
          <w:sz w:val="24"/>
          <w:szCs w:val="24"/>
        </w:rPr>
      </w:pPr>
    </w:p>
    <w:p w:rsidR="00140E1B" w:rsidRDefault="00140E1B">
      <w:pPr>
        <w:pStyle w:val="BodyText"/>
        <w:tabs>
          <w:tab w:val="clear" w:pos="1980"/>
          <w:tab w:val="left" w:pos="-720"/>
          <w:tab w:val="left" w:pos="0"/>
        </w:tabs>
        <w:suppressAutoHyphens/>
        <w:spacing w:line="360" w:lineRule="auto"/>
        <w:jc w:val="left"/>
        <w:rPr>
          <w:rFonts w:ascii="Times New Roman" w:hAnsi="Times New Roman"/>
          <w:sz w:val="24"/>
          <w:szCs w:val="24"/>
        </w:rPr>
      </w:pPr>
      <w:r w:rsidRPr="00B065CC">
        <w:rPr>
          <w:rFonts w:ascii="Times New Roman" w:hAnsi="Times New Roman"/>
          <w:sz w:val="24"/>
          <w:szCs w:val="24"/>
        </w:rPr>
        <w:lastRenderedPageBreak/>
        <w:tab/>
      </w:r>
      <w:r w:rsidRPr="00B065CC">
        <w:rPr>
          <w:rFonts w:ascii="Times New Roman" w:hAnsi="Times New Roman"/>
          <w:sz w:val="24"/>
          <w:szCs w:val="24"/>
        </w:rPr>
        <w:tab/>
        <w:t>3.</w:t>
      </w:r>
      <w:r w:rsidRPr="00B065CC">
        <w:rPr>
          <w:rFonts w:ascii="Times New Roman" w:hAnsi="Times New Roman"/>
          <w:sz w:val="24"/>
          <w:szCs w:val="24"/>
        </w:rPr>
        <w:tab/>
        <w:t>PECO</w:t>
      </w:r>
      <w:r w:rsidR="00131F1D" w:rsidRPr="00B065CC">
        <w:rPr>
          <w:rFonts w:ascii="Times New Roman" w:hAnsi="Times New Roman"/>
          <w:sz w:val="24"/>
          <w:szCs w:val="24"/>
        </w:rPr>
        <w:t xml:space="preserve"> Energy Company</w:t>
      </w:r>
      <w:r w:rsidRPr="00B065CC">
        <w:rPr>
          <w:rFonts w:ascii="Times New Roman" w:hAnsi="Times New Roman"/>
          <w:sz w:val="24"/>
          <w:szCs w:val="24"/>
        </w:rPr>
        <w:t>’s Petition, as modified by the Joint Petition for Settlement</w:t>
      </w:r>
      <w:r w:rsidR="005F7AAE" w:rsidRPr="00B065CC">
        <w:rPr>
          <w:rFonts w:ascii="Times New Roman" w:hAnsi="Times New Roman"/>
          <w:sz w:val="24"/>
          <w:szCs w:val="24"/>
        </w:rPr>
        <w:t xml:space="preserve"> and this recommended decision</w:t>
      </w:r>
      <w:r w:rsidRPr="00B065CC">
        <w:rPr>
          <w:rFonts w:ascii="Times New Roman" w:hAnsi="Times New Roman"/>
          <w:sz w:val="24"/>
          <w:szCs w:val="24"/>
        </w:rPr>
        <w:t xml:space="preserve">, is reasonable and is in the public interest. </w:t>
      </w:r>
    </w:p>
    <w:p w:rsidR="002754A8" w:rsidRPr="00B065CC" w:rsidRDefault="002754A8">
      <w:pPr>
        <w:pStyle w:val="BodyText"/>
        <w:tabs>
          <w:tab w:val="clear" w:pos="1980"/>
          <w:tab w:val="left" w:pos="-720"/>
          <w:tab w:val="left" w:pos="0"/>
        </w:tabs>
        <w:suppressAutoHyphens/>
        <w:spacing w:line="360" w:lineRule="auto"/>
        <w:jc w:val="left"/>
        <w:rPr>
          <w:rFonts w:ascii="Times New Roman" w:hAnsi="Times New Roman"/>
          <w:sz w:val="24"/>
          <w:szCs w:val="24"/>
        </w:rPr>
      </w:pPr>
    </w:p>
    <w:p w:rsidR="00375D90" w:rsidRPr="00B065CC" w:rsidRDefault="00375D90">
      <w:pPr>
        <w:pStyle w:val="BodyText"/>
        <w:tabs>
          <w:tab w:val="clear" w:pos="1980"/>
          <w:tab w:val="left" w:pos="-720"/>
          <w:tab w:val="left" w:pos="0"/>
        </w:tabs>
        <w:suppressAutoHyphens/>
        <w:spacing w:line="360" w:lineRule="auto"/>
        <w:jc w:val="left"/>
        <w:rPr>
          <w:rFonts w:ascii="Times New Roman" w:hAnsi="Times New Roman"/>
          <w:sz w:val="24"/>
          <w:szCs w:val="24"/>
        </w:rPr>
      </w:pPr>
      <w:r w:rsidRPr="00B065CC">
        <w:rPr>
          <w:rFonts w:ascii="Times New Roman" w:hAnsi="Times New Roman"/>
          <w:sz w:val="24"/>
          <w:szCs w:val="24"/>
        </w:rPr>
        <w:tab/>
      </w:r>
      <w:r w:rsidRPr="00B065CC">
        <w:rPr>
          <w:rFonts w:ascii="Times New Roman" w:hAnsi="Times New Roman"/>
          <w:sz w:val="24"/>
          <w:szCs w:val="24"/>
        </w:rPr>
        <w:tab/>
        <w:t>4.</w:t>
      </w:r>
      <w:r w:rsidRPr="00B065CC">
        <w:rPr>
          <w:rFonts w:ascii="Times New Roman" w:hAnsi="Times New Roman"/>
          <w:sz w:val="24"/>
          <w:szCs w:val="24"/>
        </w:rPr>
        <w:tab/>
        <w:t xml:space="preserve">PECO </w:t>
      </w:r>
      <w:r w:rsidR="00131F1D" w:rsidRPr="00B065CC">
        <w:rPr>
          <w:rFonts w:ascii="Times New Roman" w:hAnsi="Times New Roman"/>
          <w:sz w:val="24"/>
          <w:szCs w:val="24"/>
        </w:rPr>
        <w:t xml:space="preserve">Energy Company </w:t>
      </w:r>
      <w:r w:rsidRPr="00B065CC">
        <w:rPr>
          <w:rFonts w:ascii="Times New Roman" w:hAnsi="Times New Roman"/>
          <w:sz w:val="24"/>
          <w:szCs w:val="24"/>
        </w:rPr>
        <w:t xml:space="preserve">has failed to sustain its burden of proving that it is authorized to terminate customers for EGS charges incurred prior to </w:t>
      </w:r>
      <w:r w:rsidR="00131F1D" w:rsidRPr="00B065CC">
        <w:rPr>
          <w:rFonts w:ascii="Times New Roman" w:hAnsi="Times New Roman"/>
          <w:sz w:val="24"/>
          <w:szCs w:val="24"/>
        </w:rPr>
        <w:t>January 1, 2011.</w:t>
      </w:r>
    </w:p>
    <w:p w:rsidR="00375D90" w:rsidRPr="00B065CC" w:rsidRDefault="00375D90">
      <w:pPr>
        <w:pStyle w:val="BodyText"/>
        <w:tabs>
          <w:tab w:val="clear" w:pos="1980"/>
          <w:tab w:val="left" w:pos="-720"/>
          <w:tab w:val="left" w:pos="0"/>
        </w:tabs>
        <w:suppressAutoHyphens/>
        <w:spacing w:line="360" w:lineRule="auto"/>
        <w:jc w:val="left"/>
        <w:rPr>
          <w:rFonts w:ascii="Times New Roman" w:hAnsi="Times New Roman"/>
          <w:sz w:val="24"/>
          <w:szCs w:val="24"/>
        </w:rPr>
      </w:pPr>
    </w:p>
    <w:p w:rsidR="00375D90" w:rsidRPr="00B065CC" w:rsidRDefault="00375D90">
      <w:pPr>
        <w:pStyle w:val="BodyText"/>
        <w:tabs>
          <w:tab w:val="clear" w:pos="1980"/>
          <w:tab w:val="left" w:pos="-720"/>
          <w:tab w:val="left" w:pos="0"/>
        </w:tabs>
        <w:suppressAutoHyphens/>
        <w:spacing w:line="360" w:lineRule="auto"/>
        <w:jc w:val="left"/>
        <w:rPr>
          <w:rFonts w:ascii="Times New Roman" w:hAnsi="Times New Roman"/>
          <w:sz w:val="24"/>
          <w:szCs w:val="24"/>
        </w:rPr>
      </w:pPr>
      <w:r w:rsidRPr="00B065CC">
        <w:rPr>
          <w:rFonts w:ascii="Times New Roman" w:hAnsi="Times New Roman"/>
          <w:sz w:val="24"/>
          <w:szCs w:val="24"/>
        </w:rPr>
        <w:tab/>
      </w:r>
      <w:r w:rsidRPr="00B065CC">
        <w:rPr>
          <w:rFonts w:ascii="Times New Roman" w:hAnsi="Times New Roman"/>
          <w:sz w:val="24"/>
          <w:szCs w:val="24"/>
        </w:rPr>
        <w:tab/>
        <w:t>5.</w:t>
      </w:r>
      <w:r w:rsidRPr="00B065CC">
        <w:rPr>
          <w:rFonts w:ascii="Times New Roman" w:hAnsi="Times New Roman"/>
          <w:sz w:val="24"/>
          <w:szCs w:val="24"/>
        </w:rPr>
        <w:tab/>
      </w:r>
      <w:r w:rsidR="00131F1D" w:rsidRPr="00B065CC">
        <w:rPr>
          <w:rFonts w:ascii="Times New Roman" w:hAnsi="Times New Roman"/>
          <w:sz w:val="24"/>
          <w:szCs w:val="24"/>
        </w:rPr>
        <w:t xml:space="preserve">PECO Energy Company has sustained its burden </w:t>
      </w:r>
      <w:r w:rsidR="006940B9">
        <w:rPr>
          <w:rFonts w:ascii="Times New Roman" w:hAnsi="Times New Roman"/>
          <w:sz w:val="24"/>
          <w:szCs w:val="24"/>
        </w:rPr>
        <w:t>of proving that its proposal</w:t>
      </w:r>
      <w:r w:rsidR="00131F1D" w:rsidRPr="00B065CC">
        <w:rPr>
          <w:rFonts w:ascii="Times New Roman" w:hAnsi="Times New Roman"/>
          <w:sz w:val="24"/>
          <w:szCs w:val="24"/>
        </w:rPr>
        <w:t xml:space="preserve"> is reasonable and more cost effective than the u</w:t>
      </w:r>
      <w:r w:rsidRPr="00B065CC">
        <w:rPr>
          <w:rFonts w:ascii="Times New Roman" w:hAnsi="Times New Roman"/>
          <w:sz w:val="24"/>
          <w:szCs w:val="24"/>
        </w:rPr>
        <w:t>nbundling</w:t>
      </w:r>
      <w:r w:rsidR="00131F1D" w:rsidRPr="00B065CC">
        <w:rPr>
          <w:rFonts w:ascii="Times New Roman" w:hAnsi="Times New Roman"/>
          <w:sz w:val="24"/>
          <w:szCs w:val="24"/>
        </w:rPr>
        <w:t xml:space="preserve"> proposal advanced by the Office of Trial Staff.</w:t>
      </w:r>
    </w:p>
    <w:p w:rsidR="00131F1D" w:rsidRPr="00B065CC" w:rsidRDefault="00131F1D" w:rsidP="008F789B">
      <w:pPr>
        <w:pStyle w:val="BodyText"/>
        <w:tabs>
          <w:tab w:val="clear" w:pos="1980"/>
          <w:tab w:val="left" w:pos="-720"/>
          <w:tab w:val="left" w:pos="0"/>
        </w:tabs>
        <w:suppressAutoHyphens/>
        <w:spacing w:line="360" w:lineRule="auto"/>
        <w:jc w:val="left"/>
        <w:rPr>
          <w:rFonts w:ascii="Times New Roman" w:hAnsi="Times New Roman"/>
          <w:sz w:val="24"/>
          <w:szCs w:val="24"/>
        </w:rPr>
      </w:pPr>
    </w:p>
    <w:p w:rsidR="00140E1B" w:rsidRPr="00B065CC" w:rsidRDefault="00140E1B" w:rsidP="000A3537">
      <w:pPr>
        <w:pStyle w:val="BodyText"/>
        <w:tabs>
          <w:tab w:val="left" w:pos="-720"/>
        </w:tabs>
        <w:suppressAutoHyphens/>
        <w:spacing w:line="360" w:lineRule="auto"/>
        <w:ind w:firstLine="90"/>
        <w:jc w:val="center"/>
        <w:outlineLvl w:val="0"/>
        <w:rPr>
          <w:rFonts w:ascii="Times New Roman" w:hAnsi="Times New Roman"/>
          <w:sz w:val="24"/>
          <w:szCs w:val="24"/>
        </w:rPr>
      </w:pPr>
      <w:bookmarkStart w:id="86" w:name="_Toc259706199"/>
      <w:r w:rsidRPr="00B065CC">
        <w:rPr>
          <w:rFonts w:ascii="Times New Roman" w:hAnsi="Times New Roman"/>
          <w:sz w:val="24"/>
          <w:szCs w:val="24"/>
          <w:u w:val="single"/>
        </w:rPr>
        <w:t>ORDER</w:t>
      </w:r>
      <w:bookmarkEnd w:id="86"/>
    </w:p>
    <w:p w:rsidR="00140E1B" w:rsidRPr="00B065CC" w:rsidRDefault="00140E1B" w:rsidP="008F789B">
      <w:pPr>
        <w:tabs>
          <w:tab w:val="left" w:pos="-720"/>
        </w:tabs>
        <w:suppressAutoHyphens/>
        <w:spacing w:line="360" w:lineRule="auto"/>
        <w:jc w:val="both"/>
        <w:rPr>
          <w:spacing w:val="-3"/>
          <w:sz w:val="24"/>
          <w:szCs w:val="24"/>
        </w:rPr>
      </w:pPr>
    </w:p>
    <w:p w:rsidR="00140E1B" w:rsidRPr="00B065CC" w:rsidRDefault="00140E1B">
      <w:pPr>
        <w:tabs>
          <w:tab w:val="left" w:pos="-720"/>
        </w:tabs>
        <w:suppressAutoHyphens/>
        <w:spacing w:line="360" w:lineRule="auto"/>
        <w:jc w:val="both"/>
        <w:rPr>
          <w:spacing w:val="-3"/>
          <w:sz w:val="24"/>
          <w:szCs w:val="24"/>
        </w:rPr>
      </w:pPr>
      <w:r w:rsidRPr="00B065CC">
        <w:rPr>
          <w:spacing w:val="-3"/>
          <w:sz w:val="24"/>
          <w:szCs w:val="24"/>
        </w:rPr>
        <w:tab/>
      </w:r>
      <w:r w:rsidRPr="00B065CC">
        <w:rPr>
          <w:spacing w:val="-3"/>
          <w:sz w:val="24"/>
          <w:szCs w:val="24"/>
        </w:rPr>
        <w:tab/>
        <w:t>THEREFORE,</w:t>
      </w:r>
    </w:p>
    <w:p w:rsidR="00140E1B" w:rsidRPr="00B065CC" w:rsidRDefault="00140E1B" w:rsidP="00FD1BF8">
      <w:pPr>
        <w:tabs>
          <w:tab w:val="left" w:pos="-720"/>
        </w:tabs>
        <w:suppressAutoHyphens/>
        <w:spacing w:line="360" w:lineRule="auto"/>
        <w:jc w:val="both"/>
        <w:rPr>
          <w:spacing w:val="-3"/>
          <w:sz w:val="24"/>
          <w:szCs w:val="24"/>
        </w:rPr>
      </w:pPr>
    </w:p>
    <w:p w:rsidR="00140E1B" w:rsidRPr="00B065CC" w:rsidRDefault="00140E1B">
      <w:pPr>
        <w:pStyle w:val="BodyText3"/>
        <w:tabs>
          <w:tab w:val="clear" w:pos="4680"/>
          <w:tab w:val="left" w:pos="-720"/>
          <w:tab w:val="center" w:pos="0"/>
        </w:tabs>
        <w:rPr>
          <w:sz w:val="24"/>
          <w:szCs w:val="24"/>
        </w:rPr>
      </w:pPr>
      <w:r w:rsidRPr="00B065CC">
        <w:rPr>
          <w:sz w:val="24"/>
          <w:szCs w:val="24"/>
        </w:rPr>
        <w:tab/>
      </w:r>
      <w:r w:rsidRPr="00B065CC">
        <w:rPr>
          <w:sz w:val="24"/>
          <w:szCs w:val="24"/>
        </w:rPr>
        <w:tab/>
        <w:t>IT IS RECOMMENDED:</w:t>
      </w:r>
    </w:p>
    <w:p w:rsidR="00140E1B" w:rsidRPr="00B065CC" w:rsidRDefault="00140E1B" w:rsidP="00FD1BF8">
      <w:pPr>
        <w:tabs>
          <w:tab w:val="left" w:pos="-720"/>
        </w:tabs>
        <w:suppressAutoHyphens/>
        <w:spacing w:line="360" w:lineRule="auto"/>
        <w:rPr>
          <w:spacing w:val="-3"/>
          <w:sz w:val="24"/>
          <w:szCs w:val="24"/>
        </w:rPr>
      </w:pPr>
    </w:p>
    <w:p w:rsidR="00CA6CF7" w:rsidRPr="00B065CC" w:rsidRDefault="00CA6CF7" w:rsidP="00CA6CF7">
      <w:pPr>
        <w:spacing w:line="360" w:lineRule="auto"/>
        <w:rPr>
          <w:spacing w:val="-3"/>
          <w:sz w:val="24"/>
          <w:szCs w:val="24"/>
        </w:rPr>
      </w:pPr>
      <w:r w:rsidRPr="00B065CC">
        <w:rPr>
          <w:spacing w:val="-3"/>
          <w:sz w:val="24"/>
          <w:szCs w:val="24"/>
        </w:rPr>
        <w:tab/>
      </w:r>
      <w:r w:rsidRPr="00B065CC">
        <w:rPr>
          <w:spacing w:val="-3"/>
          <w:sz w:val="24"/>
          <w:szCs w:val="24"/>
        </w:rPr>
        <w:tab/>
        <w:t>1.</w:t>
      </w:r>
      <w:r w:rsidRPr="00B065CC">
        <w:rPr>
          <w:spacing w:val="-3"/>
          <w:sz w:val="24"/>
          <w:szCs w:val="24"/>
        </w:rPr>
        <w:tab/>
        <w:t>That the Joint Petition for Settlement submitted by the Company, the Office of Consumer Advocate, the Office of Small Business Advocate, Constellation NewEnergy, Inc. Direct Energy Services, Inc., Dominion Retail, Inc. and the Retail Energy Supply Association (all such parties collectively referred to as the “Joint Petitioners”)</w:t>
      </w:r>
      <w:r w:rsidRPr="00B065CC">
        <w:rPr>
          <w:sz w:val="24"/>
          <w:szCs w:val="24"/>
        </w:rPr>
        <w:t xml:space="preserve"> at </w:t>
      </w:r>
      <w:r w:rsidRPr="00B065CC">
        <w:rPr>
          <w:spacing w:val="-3"/>
          <w:sz w:val="24"/>
          <w:szCs w:val="24"/>
        </w:rPr>
        <w:t xml:space="preserve">Docket No. </w:t>
      </w:r>
      <w:r w:rsidRPr="00B065CC">
        <w:rPr>
          <w:sz w:val="24"/>
          <w:szCs w:val="24"/>
        </w:rPr>
        <w:t xml:space="preserve">P-2009-2143607, including all terms and conditions thereof, </w:t>
      </w:r>
      <w:r w:rsidRPr="00B065CC">
        <w:rPr>
          <w:spacing w:val="-3"/>
          <w:sz w:val="24"/>
          <w:szCs w:val="24"/>
        </w:rPr>
        <w:t>is hereby approved.</w:t>
      </w:r>
    </w:p>
    <w:p w:rsidR="00CA6CF7" w:rsidRPr="00B065CC" w:rsidRDefault="00CA6CF7" w:rsidP="00FD1BF8">
      <w:pPr>
        <w:spacing w:line="360" w:lineRule="auto"/>
        <w:rPr>
          <w:spacing w:val="-3"/>
          <w:sz w:val="24"/>
          <w:szCs w:val="24"/>
        </w:rPr>
      </w:pPr>
    </w:p>
    <w:p w:rsidR="00140E1B" w:rsidRPr="00B065CC" w:rsidRDefault="00140E1B">
      <w:pPr>
        <w:spacing w:line="360" w:lineRule="auto"/>
        <w:rPr>
          <w:spacing w:val="-3"/>
          <w:sz w:val="24"/>
          <w:szCs w:val="24"/>
        </w:rPr>
      </w:pPr>
      <w:r w:rsidRPr="00B065CC">
        <w:rPr>
          <w:spacing w:val="-3"/>
          <w:sz w:val="24"/>
          <w:szCs w:val="24"/>
        </w:rPr>
        <w:tab/>
      </w:r>
      <w:r w:rsidRPr="00B065CC">
        <w:rPr>
          <w:spacing w:val="-3"/>
          <w:sz w:val="24"/>
          <w:szCs w:val="24"/>
        </w:rPr>
        <w:tab/>
      </w:r>
      <w:r w:rsidR="00A12D8E" w:rsidRPr="00B065CC">
        <w:rPr>
          <w:spacing w:val="-3"/>
          <w:sz w:val="24"/>
          <w:szCs w:val="24"/>
        </w:rPr>
        <w:t>2</w:t>
      </w:r>
      <w:r w:rsidRPr="00B065CC">
        <w:rPr>
          <w:spacing w:val="-3"/>
          <w:sz w:val="24"/>
          <w:szCs w:val="24"/>
        </w:rPr>
        <w:t>.</w:t>
      </w:r>
      <w:r w:rsidRPr="00B065CC">
        <w:rPr>
          <w:spacing w:val="-3"/>
          <w:sz w:val="24"/>
          <w:szCs w:val="24"/>
        </w:rPr>
        <w:tab/>
        <w:t>That the Petition</w:t>
      </w:r>
      <w:r w:rsidR="00A12D8E" w:rsidRPr="00B065CC">
        <w:rPr>
          <w:spacing w:val="-3"/>
          <w:sz w:val="24"/>
          <w:szCs w:val="24"/>
        </w:rPr>
        <w:t xml:space="preserve"> of PECO Energy for Approval of Its Revised Electric Purchase of Receivables Program</w:t>
      </w:r>
      <w:r w:rsidRPr="00B065CC">
        <w:rPr>
          <w:spacing w:val="-3"/>
          <w:sz w:val="24"/>
          <w:szCs w:val="24"/>
        </w:rPr>
        <w:t>, as modified by the Joint Petition for Partial Settlement</w:t>
      </w:r>
      <w:r w:rsidR="005F7AAE" w:rsidRPr="00B065CC">
        <w:rPr>
          <w:spacing w:val="-3"/>
          <w:sz w:val="24"/>
          <w:szCs w:val="24"/>
        </w:rPr>
        <w:t xml:space="preserve"> and this </w:t>
      </w:r>
      <w:r w:rsidR="00A12D8E" w:rsidRPr="00B065CC">
        <w:rPr>
          <w:spacing w:val="-3"/>
          <w:sz w:val="24"/>
          <w:szCs w:val="24"/>
        </w:rPr>
        <w:t>Recommended Decision</w:t>
      </w:r>
      <w:r w:rsidRPr="00B065CC">
        <w:rPr>
          <w:spacing w:val="-3"/>
          <w:sz w:val="24"/>
          <w:szCs w:val="24"/>
        </w:rPr>
        <w:t>, is approved.</w:t>
      </w:r>
    </w:p>
    <w:p w:rsidR="00140E1B" w:rsidRPr="00B065CC" w:rsidRDefault="00140E1B" w:rsidP="00FD1BF8">
      <w:pPr>
        <w:spacing w:line="360" w:lineRule="auto"/>
        <w:rPr>
          <w:spacing w:val="-3"/>
          <w:sz w:val="24"/>
          <w:szCs w:val="24"/>
        </w:rPr>
      </w:pPr>
    </w:p>
    <w:p w:rsidR="00140E1B" w:rsidRPr="00B065CC" w:rsidRDefault="00140E1B">
      <w:pPr>
        <w:spacing w:line="360" w:lineRule="auto"/>
        <w:rPr>
          <w:sz w:val="24"/>
          <w:szCs w:val="24"/>
        </w:rPr>
      </w:pPr>
      <w:r w:rsidRPr="00B065CC">
        <w:rPr>
          <w:spacing w:val="-3"/>
          <w:sz w:val="24"/>
          <w:szCs w:val="24"/>
        </w:rPr>
        <w:tab/>
      </w:r>
      <w:r w:rsidRPr="00B065CC">
        <w:rPr>
          <w:spacing w:val="-3"/>
          <w:sz w:val="24"/>
          <w:szCs w:val="24"/>
        </w:rPr>
        <w:tab/>
        <w:t>3.</w:t>
      </w:r>
      <w:r w:rsidRPr="00B065CC">
        <w:rPr>
          <w:spacing w:val="-3"/>
          <w:sz w:val="24"/>
          <w:szCs w:val="24"/>
        </w:rPr>
        <w:tab/>
        <w:t>That u</w:t>
      </w:r>
      <w:r w:rsidRPr="00B065CC">
        <w:rPr>
          <w:sz w:val="24"/>
          <w:szCs w:val="24"/>
        </w:rPr>
        <w:t>pon</w:t>
      </w:r>
      <w:r w:rsidRPr="00B065CC">
        <w:rPr>
          <w:spacing w:val="-3"/>
          <w:sz w:val="24"/>
          <w:szCs w:val="24"/>
        </w:rPr>
        <w:t xml:space="preserve"> entry of the Commission Order approving the recommendation to adopt the Petition </w:t>
      </w:r>
      <w:r w:rsidR="00307E5A" w:rsidRPr="00B065CC">
        <w:rPr>
          <w:spacing w:val="-3"/>
          <w:sz w:val="24"/>
          <w:szCs w:val="24"/>
        </w:rPr>
        <w:t xml:space="preserve">of PECO Energy for Approval of Its Revised Electric Purchase of Receivables Program, </w:t>
      </w:r>
      <w:r w:rsidRPr="00B065CC">
        <w:rPr>
          <w:spacing w:val="-3"/>
          <w:sz w:val="24"/>
          <w:szCs w:val="24"/>
        </w:rPr>
        <w:t>as modified by the Joint Petition for Partial Settlement</w:t>
      </w:r>
      <w:r w:rsidR="00A12D8E" w:rsidRPr="00B065CC">
        <w:rPr>
          <w:spacing w:val="-3"/>
          <w:sz w:val="24"/>
          <w:szCs w:val="24"/>
        </w:rPr>
        <w:t xml:space="preserve"> and the Recommended Decision</w:t>
      </w:r>
      <w:r w:rsidRPr="00B065CC">
        <w:rPr>
          <w:spacing w:val="-3"/>
          <w:sz w:val="24"/>
          <w:szCs w:val="24"/>
        </w:rPr>
        <w:t xml:space="preserve">, PECO Energy Company </w:t>
      </w:r>
      <w:r w:rsidR="00A12D8E" w:rsidRPr="00B065CC">
        <w:rPr>
          <w:spacing w:val="-3"/>
          <w:sz w:val="24"/>
          <w:szCs w:val="24"/>
        </w:rPr>
        <w:t xml:space="preserve">shall </w:t>
      </w:r>
      <w:r w:rsidRPr="00B065CC">
        <w:rPr>
          <w:sz w:val="24"/>
          <w:szCs w:val="24"/>
        </w:rPr>
        <w:t xml:space="preserve">be permitted to file </w:t>
      </w:r>
      <w:r w:rsidR="00307E5A" w:rsidRPr="00B065CC">
        <w:rPr>
          <w:sz w:val="24"/>
          <w:szCs w:val="24"/>
        </w:rPr>
        <w:t>a</w:t>
      </w:r>
      <w:r w:rsidRPr="00B065CC">
        <w:rPr>
          <w:sz w:val="24"/>
          <w:szCs w:val="24"/>
        </w:rPr>
        <w:t xml:space="preserve"> tariff and tariff supplement </w:t>
      </w:r>
      <w:r w:rsidR="00307E5A" w:rsidRPr="00B065CC">
        <w:rPr>
          <w:sz w:val="24"/>
          <w:szCs w:val="24"/>
        </w:rPr>
        <w:t>cons</w:t>
      </w:r>
      <w:r w:rsidRPr="00B065CC">
        <w:rPr>
          <w:sz w:val="24"/>
          <w:szCs w:val="24"/>
        </w:rPr>
        <w:t>i</w:t>
      </w:r>
      <w:r w:rsidR="00307E5A" w:rsidRPr="00B065CC">
        <w:rPr>
          <w:sz w:val="24"/>
          <w:szCs w:val="24"/>
        </w:rPr>
        <w:t>ste</w:t>
      </w:r>
      <w:r w:rsidRPr="00B065CC">
        <w:rPr>
          <w:sz w:val="24"/>
          <w:szCs w:val="24"/>
        </w:rPr>
        <w:t>n</w:t>
      </w:r>
      <w:r w:rsidR="00307E5A" w:rsidRPr="00B065CC">
        <w:rPr>
          <w:sz w:val="24"/>
          <w:szCs w:val="24"/>
        </w:rPr>
        <w:t xml:space="preserve">t with </w:t>
      </w:r>
      <w:r w:rsidR="00307E5A" w:rsidRPr="00B065CC">
        <w:rPr>
          <w:sz w:val="24"/>
          <w:szCs w:val="24"/>
        </w:rPr>
        <w:lastRenderedPageBreak/>
        <w:t>the Commiss</w:t>
      </w:r>
      <w:r w:rsidRPr="00B065CC">
        <w:rPr>
          <w:sz w:val="24"/>
          <w:szCs w:val="24"/>
        </w:rPr>
        <w:t>ion</w:t>
      </w:r>
      <w:r w:rsidR="00307E5A" w:rsidRPr="00B065CC">
        <w:rPr>
          <w:sz w:val="24"/>
          <w:szCs w:val="24"/>
        </w:rPr>
        <w:t xml:space="preserve"> Order</w:t>
      </w:r>
      <w:r w:rsidR="00FD00F3" w:rsidRPr="00B065CC">
        <w:rPr>
          <w:sz w:val="24"/>
          <w:szCs w:val="24"/>
        </w:rPr>
        <w:t xml:space="preserve"> </w:t>
      </w:r>
      <w:r w:rsidRPr="00B065CC">
        <w:rPr>
          <w:sz w:val="24"/>
          <w:szCs w:val="24"/>
        </w:rPr>
        <w:t xml:space="preserve">to become effective on one day’s notice after entry of the Commission’s </w:t>
      </w:r>
      <w:r w:rsidR="00FD00F3" w:rsidRPr="00B065CC">
        <w:rPr>
          <w:sz w:val="24"/>
          <w:szCs w:val="24"/>
        </w:rPr>
        <w:t>Final Order.</w:t>
      </w:r>
    </w:p>
    <w:p w:rsidR="00140E1B" w:rsidRPr="00B065CC" w:rsidRDefault="00140E1B" w:rsidP="00FD1BF8">
      <w:pPr>
        <w:spacing w:line="360" w:lineRule="auto"/>
        <w:rPr>
          <w:spacing w:val="-3"/>
          <w:sz w:val="24"/>
          <w:szCs w:val="24"/>
        </w:rPr>
      </w:pPr>
    </w:p>
    <w:p w:rsidR="00140E1B" w:rsidRPr="00B065CC" w:rsidRDefault="00140E1B">
      <w:pPr>
        <w:spacing w:line="360" w:lineRule="auto"/>
        <w:rPr>
          <w:spacing w:val="-3"/>
          <w:sz w:val="24"/>
          <w:szCs w:val="24"/>
        </w:rPr>
      </w:pPr>
      <w:r w:rsidRPr="00B065CC">
        <w:rPr>
          <w:spacing w:val="-3"/>
          <w:sz w:val="24"/>
          <w:szCs w:val="24"/>
        </w:rPr>
        <w:tab/>
      </w:r>
      <w:r w:rsidRPr="00B065CC">
        <w:rPr>
          <w:spacing w:val="-3"/>
          <w:sz w:val="24"/>
          <w:szCs w:val="24"/>
        </w:rPr>
        <w:tab/>
        <w:t>4.</w:t>
      </w:r>
      <w:r w:rsidRPr="00B065CC">
        <w:rPr>
          <w:spacing w:val="-3"/>
          <w:sz w:val="24"/>
          <w:szCs w:val="24"/>
        </w:rPr>
        <w:tab/>
        <w:t>That following are admitted into the record of this proceeding:</w:t>
      </w:r>
    </w:p>
    <w:p w:rsidR="00140E1B" w:rsidRPr="00B065CC" w:rsidRDefault="00140E1B" w:rsidP="00FD1BF8">
      <w:pPr>
        <w:spacing w:line="360" w:lineRule="auto"/>
        <w:rPr>
          <w:spacing w:val="-3"/>
          <w:sz w:val="24"/>
          <w:szCs w:val="24"/>
        </w:rPr>
      </w:pPr>
    </w:p>
    <w:p w:rsidR="00140E1B" w:rsidRDefault="00140E1B" w:rsidP="00AE1264">
      <w:pPr>
        <w:ind w:left="2880" w:hanging="720"/>
        <w:rPr>
          <w:spacing w:val="-3"/>
          <w:sz w:val="24"/>
          <w:szCs w:val="24"/>
        </w:rPr>
      </w:pPr>
      <w:r w:rsidRPr="00B065CC">
        <w:rPr>
          <w:spacing w:val="-3"/>
          <w:sz w:val="24"/>
          <w:szCs w:val="24"/>
        </w:rPr>
        <w:t>(a)</w:t>
      </w:r>
      <w:r w:rsidRPr="00B065CC">
        <w:rPr>
          <w:spacing w:val="-3"/>
          <w:sz w:val="24"/>
          <w:szCs w:val="24"/>
        </w:rPr>
        <w:tab/>
        <w:t>the Joint Petition for Settlement, including the exhibits and statements;</w:t>
      </w:r>
    </w:p>
    <w:p w:rsidR="008F789B" w:rsidRPr="00B065CC" w:rsidRDefault="008F789B" w:rsidP="008F789B">
      <w:pPr>
        <w:ind w:left="2880" w:hanging="720"/>
        <w:rPr>
          <w:spacing w:val="-3"/>
          <w:sz w:val="24"/>
          <w:szCs w:val="24"/>
        </w:rPr>
      </w:pPr>
    </w:p>
    <w:p w:rsidR="00140E1B" w:rsidRPr="00B065CC" w:rsidRDefault="00140E1B" w:rsidP="00AE1264">
      <w:pPr>
        <w:ind w:left="2880" w:hanging="720"/>
        <w:rPr>
          <w:spacing w:val="-3"/>
          <w:sz w:val="24"/>
          <w:szCs w:val="24"/>
        </w:rPr>
      </w:pPr>
      <w:r w:rsidRPr="00B065CC">
        <w:rPr>
          <w:spacing w:val="-3"/>
          <w:sz w:val="24"/>
          <w:szCs w:val="24"/>
        </w:rPr>
        <w:t>(b)</w:t>
      </w:r>
      <w:r w:rsidRPr="00B065CC">
        <w:rPr>
          <w:spacing w:val="-3"/>
          <w:sz w:val="24"/>
          <w:szCs w:val="24"/>
        </w:rPr>
        <w:tab/>
        <w:t>the Stipulation for Admission of Testimony and Exhibits, dated March 23, 2010;</w:t>
      </w:r>
    </w:p>
    <w:p w:rsidR="00140E1B" w:rsidRPr="00B065CC" w:rsidRDefault="00140E1B" w:rsidP="00FD1BF8">
      <w:pPr>
        <w:ind w:left="2160"/>
        <w:rPr>
          <w:spacing w:val="-3"/>
          <w:sz w:val="24"/>
          <w:szCs w:val="24"/>
        </w:rPr>
      </w:pPr>
    </w:p>
    <w:p w:rsidR="00140E1B" w:rsidRPr="00B065CC" w:rsidRDefault="00140E1B">
      <w:pPr>
        <w:ind w:left="2880" w:hanging="720"/>
        <w:rPr>
          <w:sz w:val="24"/>
          <w:szCs w:val="24"/>
        </w:rPr>
      </w:pPr>
      <w:r w:rsidRPr="00B065CC">
        <w:rPr>
          <w:spacing w:val="-3"/>
          <w:sz w:val="24"/>
          <w:szCs w:val="24"/>
        </w:rPr>
        <w:t>(c)</w:t>
      </w:r>
      <w:r w:rsidRPr="00B065CC">
        <w:rPr>
          <w:spacing w:val="-3"/>
          <w:sz w:val="24"/>
          <w:szCs w:val="24"/>
        </w:rPr>
        <w:tab/>
        <w:t xml:space="preserve">PECO Statement Nos. 1, </w:t>
      </w:r>
      <w:r w:rsidRPr="00B065CC">
        <w:rPr>
          <w:sz w:val="24"/>
          <w:szCs w:val="24"/>
        </w:rPr>
        <w:t>1-R and 1-SR</w:t>
      </w:r>
      <w:r w:rsidRPr="00B065CC">
        <w:rPr>
          <w:spacing w:val="-3"/>
          <w:sz w:val="24"/>
          <w:szCs w:val="24"/>
        </w:rPr>
        <w:t xml:space="preserve"> (the direct</w:t>
      </w:r>
      <w:r w:rsidRPr="00B065CC">
        <w:rPr>
          <w:sz w:val="24"/>
          <w:szCs w:val="24"/>
        </w:rPr>
        <w:t xml:space="preserve">, rebuttal and surrebuttal </w:t>
      </w:r>
      <w:r w:rsidRPr="00B065CC">
        <w:rPr>
          <w:spacing w:val="-3"/>
          <w:sz w:val="24"/>
          <w:szCs w:val="24"/>
        </w:rPr>
        <w:t xml:space="preserve">testimony </w:t>
      </w:r>
      <w:r w:rsidRPr="00B065CC">
        <w:rPr>
          <w:sz w:val="24"/>
          <w:szCs w:val="24"/>
        </w:rPr>
        <w:t xml:space="preserve">of </w:t>
      </w:r>
      <w:r w:rsidRPr="00B065CC">
        <w:rPr>
          <w:bCs/>
          <w:sz w:val="24"/>
          <w:szCs w:val="24"/>
        </w:rPr>
        <w:t>John J. McCawley, P.E</w:t>
      </w:r>
      <w:r w:rsidRPr="00B065CC">
        <w:rPr>
          <w:b/>
          <w:sz w:val="24"/>
          <w:szCs w:val="24"/>
        </w:rPr>
        <w:t>.,</w:t>
      </w:r>
      <w:r w:rsidRPr="00B065CC">
        <w:rPr>
          <w:sz w:val="24"/>
          <w:szCs w:val="24"/>
        </w:rPr>
        <w:t xml:space="preserve"> and PECO Exhibits JJM-1, JJM-2, JJM-3, JJM-4 and JJM-5.</w:t>
      </w:r>
    </w:p>
    <w:p w:rsidR="00140E1B" w:rsidRPr="00B065CC" w:rsidRDefault="00140E1B" w:rsidP="00FD1BF8">
      <w:pPr>
        <w:ind w:left="2880" w:hanging="720"/>
        <w:rPr>
          <w:spacing w:val="-3"/>
          <w:sz w:val="24"/>
          <w:szCs w:val="24"/>
        </w:rPr>
      </w:pPr>
    </w:p>
    <w:p w:rsidR="00140E1B" w:rsidRPr="00B065CC" w:rsidRDefault="00140E1B">
      <w:pPr>
        <w:ind w:left="2880" w:hanging="720"/>
        <w:rPr>
          <w:sz w:val="24"/>
          <w:szCs w:val="24"/>
        </w:rPr>
      </w:pPr>
      <w:r w:rsidRPr="00B065CC">
        <w:rPr>
          <w:sz w:val="24"/>
          <w:szCs w:val="24"/>
        </w:rPr>
        <w:t>(d)</w:t>
      </w:r>
      <w:r w:rsidRPr="00B065CC">
        <w:rPr>
          <w:sz w:val="24"/>
          <w:szCs w:val="24"/>
        </w:rPr>
        <w:tab/>
        <w:t xml:space="preserve">OTS Statement </w:t>
      </w:r>
      <w:r w:rsidRPr="00B065CC">
        <w:rPr>
          <w:bCs/>
          <w:sz w:val="24"/>
          <w:szCs w:val="24"/>
        </w:rPr>
        <w:t>Nos</w:t>
      </w:r>
      <w:r w:rsidRPr="00B065CC">
        <w:rPr>
          <w:sz w:val="24"/>
          <w:szCs w:val="24"/>
        </w:rPr>
        <w:t>. 1, 1-S, 1-R and 1-SR - the direct and supplemental direct, rebuttal and surrebuttal testimony of Emily Sears and OTS Exhibits 1, 1-S and 1-SR.</w:t>
      </w:r>
    </w:p>
    <w:p w:rsidR="00140E1B" w:rsidRPr="00B065CC" w:rsidRDefault="00140E1B">
      <w:pPr>
        <w:ind w:left="2880" w:hanging="720"/>
        <w:rPr>
          <w:sz w:val="24"/>
          <w:szCs w:val="24"/>
        </w:rPr>
      </w:pPr>
    </w:p>
    <w:p w:rsidR="00140E1B" w:rsidRPr="00B065CC" w:rsidRDefault="00140E1B">
      <w:pPr>
        <w:ind w:left="2880" w:hanging="720"/>
        <w:rPr>
          <w:sz w:val="24"/>
          <w:szCs w:val="24"/>
        </w:rPr>
      </w:pPr>
      <w:r w:rsidRPr="00B065CC">
        <w:rPr>
          <w:sz w:val="24"/>
          <w:szCs w:val="24"/>
        </w:rPr>
        <w:t>(e)</w:t>
      </w:r>
      <w:r w:rsidRPr="00B065CC">
        <w:rPr>
          <w:sz w:val="24"/>
          <w:szCs w:val="24"/>
        </w:rPr>
        <w:tab/>
        <w:t xml:space="preserve">OCA Statement Nos. 1, 1-R and 1-SR (the direct, rebuttal and surrebuttal testimony of </w:t>
      </w:r>
      <w:r w:rsidRPr="00B065CC">
        <w:rPr>
          <w:bCs/>
          <w:sz w:val="24"/>
          <w:szCs w:val="24"/>
        </w:rPr>
        <w:t>Barbara R. Alexander</w:t>
      </w:r>
      <w:r w:rsidRPr="00B065CC">
        <w:rPr>
          <w:sz w:val="24"/>
          <w:szCs w:val="24"/>
        </w:rPr>
        <w:t xml:space="preserve"> and OCA Exhibits BA-1, BA-2 and BA;</w:t>
      </w:r>
    </w:p>
    <w:p w:rsidR="00140E1B" w:rsidRPr="00B065CC" w:rsidRDefault="00140E1B">
      <w:pPr>
        <w:ind w:left="2880" w:hanging="720"/>
        <w:rPr>
          <w:sz w:val="24"/>
          <w:szCs w:val="24"/>
        </w:rPr>
      </w:pPr>
    </w:p>
    <w:p w:rsidR="00140E1B" w:rsidRPr="00B065CC" w:rsidRDefault="00140E1B">
      <w:pPr>
        <w:ind w:left="2880" w:hanging="720"/>
        <w:rPr>
          <w:sz w:val="24"/>
          <w:szCs w:val="24"/>
        </w:rPr>
      </w:pPr>
      <w:r w:rsidRPr="00B065CC">
        <w:rPr>
          <w:sz w:val="24"/>
          <w:szCs w:val="24"/>
        </w:rPr>
        <w:t>(f)</w:t>
      </w:r>
      <w:r w:rsidRPr="00B065CC">
        <w:rPr>
          <w:sz w:val="24"/>
          <w:szCs w:val="24"/>
        </w:rPr>
        <w:tab/>
        <w:t xml:space="preserve">OSBA Statement Nos. 1 and 2 - the direct and surrebuttal testimony of </w:t>
      </w:r>
      <w:r w:rsidRPr="00B065CC">
        <w:rPr>
          <w:bCs/>
          <w:sz w:val="24"/>
          <w:szCs w:val="24"/>
        </w:rPr>
        <w:t>Brian Kalcic</w:t>
      </w:r>
      <w:r w:rsidRPr="00B065CC">
        <w:rPr>
          <w:b/>
          <w:sz w:val="24"/>
          <w:szCs w:val="24"/>
        </w:rPr>
        <w:t>.</w:t>
      </w:r>
      <w:r w:rsidRPr="00B065CC">
        <w:rPr>
          <w:sz w:val="24"/>
          <w:szCs w:val="24"/>
        </w:rPr>
        <w:t xml:space="preserve"> </w:t>
      </w:r>
    </w:p>
    <w:p w:rsidR="00140E1B" w:rsidRPr="00B065CC" w:rsidRDefault="00140E1B">
      <w:pPr>
        <w:ind w:left="2880" w:hanging="720"/>
        <w:rPr>
          <w:sz w:val="24"/>
          <w:szCs w:val="24"/>
        </w:rPr>
      </w:pPr>
    </w:p>
    <w:p w:rsidR="00140E1B" w:rsidRPr="00B065CC" w:rsidRDefault="00140E1B">
      <w:pPr>
        <w:ind w:left="2880" w:hanging="720"/>
        <w:rPr>
          <w:b/>
          <w:sz w:val="24"/>
          <w:szCs w:val="24"/>
        </w:rPr>
      </w:pPr>
      <w:r w:rsidRPr="00B065CC">
        <w:rPr>
          <w:sz w:val="24"/>
          <w:szCs w:val="24"/>
        </w:rPr>
        <w:t>(g)</w:t>
      </w:r>
      <w:r w:rsidRPr="00B065CC">
        <w:rPr>
          <w:sz w:val="24"/>
          <w:szCs w:val="24"/>
        </w:rPr>
        <w:tab/>
        <w:t xml:space="preserve">Dominion Retail Statement Nos. 1, 1-R and 1-SR-the direct, rebuttal and surrebuttal testimony of </w:t>
      </w:r>
      <w:r w:rsidRPr="00B065CC">
        <w:rPr>
          <w:bCs/>
          <w:sz w:val="24"/>
          <w:szCs w:val="24"/>
        </w:rPr>
        <w:t>Thomas J. Butler.</w:t>
      </w:r>
    </w:p>
    <w:p w:rsidR="00140E1B" w:rsidRPr="00B065CC" w:rsidRDefault="00140E1B">
      <w:pPr>
        <w:ind w:left="2880" w:hanging="720"/>
        <w:rPr>
          <w:sz w:val="24"/>
          <w:szCs w:val="24"/>
        </w:rPr>
      </w:pPr>
    </w:p>
    <w:p w:rsidR="00140E1B" w:rsidRPr="00B065CC" w:rsidRDefault="00140E1B">
      <w:pPr>
        <w:ind w:left="2880" w:hanging="720"/>
        <w:rPr>
          <w:bCs/>
          <w:sz w:val="24"/>
          <w:szCs w:val="24"/>
        </w:rPr>
      </w:pPr>
      <w:r w:rsidRPr="00B065CC">
        <w:rPr>
          <w:sz w:val="24"/>
          <w:szCs w:val="24"/>
        </w:rPr>
        <w:t>(</w:t>
      </w:r>
      <w:r w:rsidR="00A12D8E" w:rsidRPr="00B065CC">
        <w:rPr>
          <w:sz w:val="24"/>
          <w:szCs w:val="24"/>
        </w:rPr>
        <w:t>h</w:t>
      </w:r>
      <w:r w:rsidRPr="00B065CC">
        <w:rPr>
          <w:sz w:val="24"/>
          <w:szCs w:val="24"/>
        </w:rPr>
        <w:t>)</w:t>
      </w:r>
      <w:r w:rsidRPr="00B065CC">
        <w:rPr>
          <w:sz w:val="24"/>
          <w:szCs w:val="24"/>
        </w:rPr>
        <w:tab/>
      </w:r>
      <w:r w:rsidRPr="00B065CC">
        <w:rPr>
          <w:bCs/>
          <w:sz w:val="24"/>
          <w:szCs w:val="24"/>
        </w:rPr>
        <w:t>RESA Statement Nos. 1 and 1-R (the direct and rebuttal testimony of Richard J. Hudson, Jr.</w:t>
      </w:r>
    </w:p>
    <w:p w:rsidR="00140E1B" w:rsidRPr="00B065CC" w:rsidRDefault="00140E1B" w:rsidP="00FD1BF8">
      <w:pPr>
        <w:spacing w:line="360" w:lineRule="auto"/>
        <w:ind w:left="2880" w:hanging="720"/>
        <w:rPr>
          <w:sz w:val="24"/>
          <w:szCs w:val="24"/>
        </w:rPr>
      </w:pPr>
    </w:p>
    <w:p w:rsidR="00140E1B" w:rsidRPr="00B065CC" w:rsidRDefault="00FD00F3">
      <w:pPr>
        <w:tabs>
          <w:tab w:val="left" w:pos="-720"/>
        </w:tabs>
        <w:suppressAutoHyphens/>
        <w:spacing w:line="360" w:lineRule="auto"/>
        <w:ind w:firstLine="1440"/>
        <w:rPr>
          <w:sz w:val="24"/>
          <w:szCs w:val="24"/>
        </w:rPr>
      </w:pPr>
      <w:r w:rsidRPr="00B065CC">
        <w:rPr>
          <w:sz w:val="24"/>
          <w:szCs w:val="24"/>
        </w:rPr>
        <w:t>5</w:t>
      </w:r>
      <w:r w:rsidR="00140E1B" w:rsidRPr="00B065CC">
        <w:rPr>
          <w:sz w:val="24"/>
          <w:szCs w:val="24"/>
        </w:rPr>
        <w:t>.</w:t>
      </w:r>
      <w:r w:rsidR="00140E1B" w:rsidRPr="00B065CC">
        <w:rPr>
          <w:sz w:val="24"/>
          <w:szCs w:val="24"/>
        </w:rPr>
        <w:tab/>
      </w:r>
      <w:r w:rsidR="00140E1B" w:rsidRPr="00B065CC">
        <w:rPr>
          <w:spacing w:val="-3"/>
          <w:sz w:val="24"/>
          <w:szCs w:val="24"/>
        </w:rPr>
        <w:t xml:space="preserve">That </w:t>
      </w:r>
      <w:r w:rsidR="00140E1B" w:rsidRPr="00B065CC">
        <w:rPr>
          <w:sz w:val="24"/>
          <w:szCs w:val="24"/>
        </w:rPr>
        <w:t>upon acceptance and approval by the Commission of the tariff and tariff supplements filed by PECO Energy Company consistent with this Order, this proceeding at Docket No. P-2009-2143607 shall be marked closed.</w:t>
      </w:r>
    </w:p>
    <w:p w:rsidR="00CA067F" w:rsidRDefault="00CA067F">
      <w:pPr>
        <w:tabs>
          <w:tab w:val="left" w:pos="-720"/>
        </w:tabs>
        <w:suppressAutoHyphens/>
        <w:rPr>
          <w:spacing w:val="-3"/>
          <w:sz w:val="24"/>
          <w:szCs w:val="24"/>
        </w:rPr>
      </w:pPr>
    </w:p>
    <w:p w:rsidR="00956980" w:rsidRPr="00B065CC" w:rsidRDefault="00956980">
      <w:pPr>
        <w:tabs>
          <w:tab w:val="left" w:pos="-720"/>
        </w:tabs>
        <w:suppressAutoHyphens/>
        <w:rPr>
          <w:spacing w:val="-3"/>
          <w:sz w:val="24"/>
          <w:szCs w:val="24"/>
        </w:rPr>
      </w:pPr>
    </w:p>
    <w:p w:rsidR="00CA067F" w:rsidRPr="00B065CC" w:rsidRDefault="00CA067F">
      <w:pPr>
        <w:tabs>
          <w:tab w:val="left" w:pos="-720"/>
        </w:tabs>
        <w:suppressAutoHyphens/>
        <w:rPr>
          <w:spacing w:val="-3"/>
          <w:sz w:val="24"/>
          <w:szCs w:val="24"/>
        </w:rPr>
      </w:pPr>
    </w:p>
    <w:p w:rsidR="00140E1B" w:rsidRPr="00B065CC" w:rsidRDefault="00140E1B">
      <w:pPr>
        <w:tabs>
          <w:tab w:val="left" w:pos="-720"/>
        </w:tabs>
        <w:suppressAutoHyphens/>
        <w:rPr>
          <w:spacing w:val="-3"/>
          <w:sz w:val="24"/>
          <w:szCs w:val="24"/>
        </w:rPr>
      </w:pPr>
      <w:r w:rsidRPr="00B065CC">
        <w:rPr>
          <w:spacing w:val="-3"/>
          <w:sz w:val="24"/>
          <w:szCs w:val="24"/>
        </w:rPr>
        <w:t>Date:</w:t>
      </w:r>
      <w:r w:rsidRPr="00B065CC">
        <w:rPr>
          <w:spacing w:val="-3"/>
          <w:sz w:val="24"/>
          <w:szCs w:val="24"/>
        </w:rPr>
        <w:tab/>
      </w:r>
      <w:r w:rsidRPr="00B065CC">
        <w:rPr>
          <w:spacing w:val="-3"/>
          <w:sz w:val="24"/>
          <w:szCs w:val="24"/>
          <w:u w:val="single"/>
        </w:rPr>
        <w:t xml:space="preserve">April </w:t>
      </w:r>
      <w:r w:rsidR="00FD00F3" w:rsidRPr="00B065CC">
        <w:rPr>
          <w:spacing w:val="-3"/>
          <w:sz w:val="24"/>
          <w:szCs w:val="24"/>
          <w:u w:val="single"/>
        </w:rPr>
        <w:t>2</w:t>
      </w:r>
      <w:r w:rsidR="00837BA8">
        <w:rPr>
          <w:spacing w:val="-3"/>
          <w:sz w:val="24"/>
          <w:szCs w:val="24"/>
          <w:u w:val="single"/>
        </w:rPr>
        <w:t>2</w:t>
      </w:r>
      <w:r w:rsidRPr="00B065CC">
        <w:rPr>
          <w:spacing w:val="-3"/>
          <w:sz w:val="24"/>
          <w:szCs w:val="24"/>
          <w:u w:val="single"/>
        </w:rPr>
        <w:t>, 2010</w:t>
      </w:r>
      <w:r w:rsidRPr="00B065CC">
        <w:rPr>
          <w:spacing w:val="-3"/>
          <w:sz w:val="24"/>
          <w:szCs w:val="24"/>
        </w:rPr>
        <w:tab/>
      </w:r>
      <w:r w:rsidRPr="00B065CC">
        <w:rPr>
          <w:spacing w:val="-3"/>
          <w:sz w:val="24"/>
          <w:szCs w:val="24"/>
        </w:rPr>
        <w:tab/>
      </w:r>
      <w:r w:rsidRPr="00B065CC">
        <w:rPr>
          <w:spacing w:val="-3"/>
          <w:sz w:val="24"/>
          <w:szCs w:val="24"/>
        </w:rPr>
        <w:tab/>
      </w:r>
      <w:r w:rsidRPr="00B065CC">
        <w:rPr>
          <w:spacing w:val="-3"/>
          <w:sz w:val="24"/>
          <w:szCs w:val="24"/>
        </w:rPr>
        <w:tab/>
        <w:t>________________________________</w:t>
      </w:r>
    </w:p>
    <w:p w:rsidR="00140E1B" w:rsidRPr="00B065CC" w:rsidRDefault="00140E1B">
      <w:pPr>
        <w:tabs>
          <w:tab w:val="left" w:pos="-720"/>
        </w:tabs>
        <w:suppressAutoHyphens/>
        <w:rPr>
          <w:spacing w:val="-3"/>
          <w:sz w:val="24"/>
          <w:szCs w:val="24"/>
        </w:rPr>
      </w:pPr>
      <w:r w:rsidRPr="00B065CC">
        <w:rPr>
          <w:spacing w:val="-3"/>
          <w:sz w:val="24"/>
          <w:szCs w:val="24"/>
        </w:rPr>
        <w:tab/>
      </w:r>
      <w:r w:rsidRPr="00B065CC">
        <w:rPr>
          <w:spacing w:val="-3"/>
          <w:sz w:val="24"/>
          <w:szCs w:val="24"/>
        </w:rPr>
        <w:tab/>
      </w:r>
      <w:r w:rsidRPr="00B065CC">
        <w:rPr>
          <w:spacing w:val="-3"/>
          <w:sz w:val="24"/>
          <w:szCs w:val="24"/>
        </w:rPr>
        <w:tab/>
      </w:r>
      <w:r w:rsidRPr="00B065CC">
        <w:rPr>
          <w:spacing w:val="-3"/>
          <w:sz w:val="24"/>
          <w:szCs w:val="24"/>
        </w:rPr>
        <w:tab/>
      </w:r>
      <w:r w:rsidRPr="00B065CC">
        <w:rPr>
          <w:spacing w:val="-3"/>
          <w:sz w:val="24"/>
          <w:szCs w:val="24"/>
        </w:rPr>
        <w:tab/>
      </w:r>
      <w:r w:rsidRPr="00B065CC">
        <w:rPr>
          <w:spacing w:val="-3"/>
          <w:sz w:val="24"/>
          <w:szCs w:val="24"/>
        </w:rPr>
        <w:tab/>
      </w:r>
      <w:r w:rsidRPr="00B065CC">
        <w:rPr>
          <w:spacing w:val="-3"/>
          <w:sz w:val="24"/>
          <w:szCs w:val="24"/>
        </w:rPr>
        <w:tab/>
        <w:t>Cynthia Williams Fordham</w:t>
      </w:r>
    </w:p>
    <w:p w:rsidR="009133BB" w:rsidRPr="009133BB" w:rsidRDefault="00140E1B" w:rsidP="002571F7">
      <w:pPr>
        <w:tabs>
          <w:tab w:val="left" w:pos="-720"/>
        </w:tabs>
        <w:suppressAutoHyphens/>
        <w:rPr>
          <w:caps/>
          <w:sz w:val="24"/>
          <w:szCs w:val="24"/>
        </w:rPr>
      </w:pPr>
      <w:r w:rsidRPr="00B065CC">
        <w:rPr>
          <w:spacing w:val="-3"/>
          <w:sz w:val="24"/>
          <w:szCs w:val="24"/>
        </w:rPr>
        <w:tab/>
      </w:r>
      <w:r w:rsidRPr="00B065CC">
        <w:rPr>
          <w:spacing w:val="-3"/>
          <w:sz w:val="24"/>
          <w:szCs w:val="24"/>
        </w:rPr>
        <w:tab/>
      </w:r>
      <w:r w:rsidRPr="00B065CC">
        <w:rPr>
          <w:spacing w:val="-3"/>
          <w:sz w:val="24"/>
          <w:szCs w:val="24"/>
        </w:rPr>
        <w:tab/>
      </w:r>
      <w:r w:rsidRPr="00B065CC">
        <w:rPr>
          <w:spacing w:val="-3"/>
          <w:sz w:val="24"/>
          <w:szCs w:val="24"/>
        </w:rPr>
        <w:tab/>
      </w:r>
      <w:r w:rsidRPr="00B065CC">
        <w:rPr>
          <w:spacing w:val="-3"/>
          <w:sz w:val="24"/>
          <w:szCs w:val="24"/>
        </w:rPr>
        <w:tab/>
      </w:r>
      <w:r w:rsidRPr="00B065CC">
        <w:rPr>
          <w:spacing w:val="-3"/>
          <w:sz w:val="24"/>
          <w:szCs w:val="24"/>
        </w:rPr>
        <w:tab/>
      </w:r>
      <w:r w:rsidRPr="00B065CC">
        <w:rPr>
          <w:spacing w:val="-3"/>
          <w:sz w:val="24"/>
          <w:szCs w:val="24"/>
        </w:rPr>
        <w:tab/>
        <w:t>Administrative Law Judge</w:t>
      </w:r>
      <w:r w:rsidR="002571F7" w:rsidRPr="009133BB">
        <w:rPr>
          <w:caps/>
          <w:sz w:val="24"/>
          <w:szCs w:val="24"/>
        </w:rPr>
        <w:t xml:space="preserve"> </w:t>
      </w:r>
    </w:p>
    <w:p w:rsidR="006F299A" w:rsidRPr="009133BB" w:rsidRDefault="006F299A">
      <w:pPr>
        <w:tabs>
          <w:tab w:val="left" w:pos="-720"/>
        </w:tabs>
        <w:suppressAutoHyphens/>
        <w:rPr>
          <w:spacing w:val="-3"/>
          <w:sz w:val="24"/>
          <w:szCs w:val="24"/>
        </w:rPr>
      </w:pPr>
    </w:p>
    <w:sectPr w:rsidR="006F299A" w:rsidRPr="009133BB" w:rsidSect="002571F7">
      <w:pgSz w:w="12240" w:h="15840" w:code="1"/>
      <w:pgMar w:top="1440" w:right="1440" w:bottom="1440" w:left="1440" w:header="0" w:footer="432"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644" w:rsidRDefault="003E4644">
      <w:r>
        <w:separator/>
      </w:r>
    </w:p>
  </w:endnote>
  <w:endnote w:type="continuationSeparator" w:id="0">
    <w:p w:rsidR="003E4644" w:rsidRDefault="003E46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3F5" w:rsidRDefault="00B823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823F5" w:rsidRDefault="00B823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3F5" w:rsidRDefault="00B823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57AC">
      <w:rPr>
        <w:rStyle w:val="PageNumber"/>
        <w:noProof/>
      </w:rPr>
      <w:t>47</w:t>
    </w:r>
    <w:r>
      <w:rPr>
        <w:rStyle w:val="PageNumber"/>
      </w:rPr>
      <w:fldChar w:fldCharType="end"/>
    </w:r>
  </w:p>
  <w:p w:rsidR="00B823F5" w:rsidRDefault="00B823F5">
    <w:pPr>
      <w:pStyle w:val="Caption"/>
      <w:tabs>
        <w:tab w:val="left" w:pos="0"/>
        <w:tab w:val="center" w:pos="4320"/>
        <w:tab w:val="right" w:pos="8640"/>
        <w:tab w:val="left" w:pos="9360"/>
      </w:tabs>
      <w:suppressAutoHyphens/>
      <w:spacing w:line="1" w:lineRule="exact"/>
      <w:ind w:left="1470" w:right="-1410"/>
    </w:pPr>
  </w:p>
  <w:p w:rsidR="00B823F5" w:rsidRDefault="00B823F5">
    <w:pPr>
      <w:pStyle w:val="Caption"/>
      <w:tabs>
        <w:tab w:val="left" w:pos="0"/>
        <w:tab w:val="center" w:pos="4320"/>
        <w:tab w:val="right" w:pos="8640"/>
        <w:tab w:val="left" w:pos="9360"/>
      </w:tabs>
      <w:suppressAutoHyphens/>
      <w:spacing w:line="1" w:lineRule="exact"/>
      <w:ind w:left="1470" w:right="-1410"/>
    </w:pPr>
  </w:p>
  <w:p w:rsidR="00B823F5" w:rsidRDefault="00B823F5">
    <w:pPr>
      <w:pStyle w:val="Caption"/>
      <w:tabs>
        <w:tab w:val="left" w:pos="0"/>
        <w:tab w:val="center" w:pos="4320"/>
        <w:tab w:val="right" w:pos="8640"/>
        <w:tab w:val="left" w:pos="9360"/>
      </w:tabs>
      <w:suppressAutoHyphens/>
      <w:spacing w:line="1" w:lineRule="exact"/>
      <w:ind w:left="1470" w:right="-1410"/>
    </w:pPr>
  </w:p>
  <w:p w:rsidR="00B823F5" w:rsidRDefault="00B823F5">
    <w:pPr>
      <w:pStyle w:val="Caption"/>
      <w:tabs>
        <w:tab w:val="left" w:pos="0"/>
        <w:tab w:val="center" w:pos="4320"/>
        <w:tab w:val="right" w:pos="8640"/>
        <w:tab w:val="left" w:pos="9360"/>
      </w:tabs>
      <w:suppressAutoHyphens/>
      <w:spacing w:line="1" w:lineRule="exact"/>
      <w:ind w:left="1470" w:right="-1410"/>
    </w:pPr>
  </w:p>
  <w:p w:rsidR="00B823F5" w:rsidRDefault="00B823F5">
    <w:pPr>
      <w:pStyle w:val="Caption"/>
      <w:tabs>
        <w:tab w:val="left" w:pos="0"/>
        <w:tab w:val="center" w:pos="4320"/>
        <w:tab w:val="right" w:pos="8640"/>
        <w:tab w:val="left" w:pos="9360"/>
      </w:tabs>
      <w:suppressAutoHyphens/>
      <w:spacing w:line="1" w:lineRule="exact"/>
      <w:ind w:left="1470" w:right="-1410"/>
    </w:pPr>
  </w:p>
  <w:p w:rsidR="00B823F5" w:rsidRDefault="00B823F5">
    <w:pPr>
      <w:pStyle w:val="Caption"/>
      <w:tabs>
        <w:tab w:val="left" w:pos="0"/>
        <w:tab w:val="center" w:pos="4320"/>
        <w:tab w:val="right" w:pos="8640"/>
        <w:tab w:val="left" w:pos="9360"/>
      </w:tabs>
      <w:suppressAutoHyphens/>
      <w:spacing w:line="1" w:lineRule="exact"/>
      <w:ind w:left="1470" w:right="-1410"/>
      <w:rPr>
        <w:vanish/>
      </w:rPr>
    </w:pPr>
    <w:r>
      <w:rPr>
        <w:vanish/>
      </w:rPr>
      <w:fldChar w:fldCharType="begin"/>
    </w:r>
    <w:r>
      <w:rPr>
        <w:vanish/>
      </w:rPr>
      <w:instrText>seq _endnote  \* Arabic</w:instrText>
    </w:r>
    <w:r>
      <w:rPr>
        <w:vanish/>
      </w:rPr>
      <w:fldChar w:fldCharType="separate"/>
    </w:r>
    <w:r w:rsidR="00E357AC">
      <w:rPr>
        <w:b/>
        <w:bCs/>
        <w:noProof/>
        <w:vanish/>
      </w:rPr>
      <w:t>Error! Main Document Only.</w:t>
    </w:r>
    <w:r>
      <w:rPr>
        <w:vanish/>
      </w:rPr>
      <w:fldChar w:fldCharType="end"/>
    </w:r>
  </w:p>
  <w:p w:rsidR="00B823F5" w:rsidRDefault="00B823F5">
    <w:pPr>
      <w:tabs>
        <w:tab w:val="left" w:pos="0"/>
        <w:tab w:val="center" w:pos="4320"/>
        <w:tab w:val="right" w:pos="8640"/>
        <w:tab w:val="left" w:pos="9360"/>
      </w:tabs>
      <w:suppressAutoHyphens/>
      <w:rPr>
        <w:sz w:val="22"/>
      </w:rPr>
    </w:pPr>
    <w:r>
      <w:rPr>
        <w:sz w:val="22"/>
      </w:rPr>
      <w:tab/>
    </w:r>
  </w:p>
  <w:p w:rsidR="00B823F5" w:rsidRDefault="00B823F5">
    <w:pPr>
      <w:tabs>
        <w:tab w:val="left" w:pos="0"/>
        <w:tab w:val="center" w:pos="4320"/>
        <w:tab w:val="right" w:pos="8640"/>
        <w:tab w:val="left" w:pos="9360"/>
      </w:tabs>
      <w:suppressAutoHyphens/>
      <w:jc w:val="cen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644" w:rsidRDefault="003E4644">
      <w:r>
        <w:separator/>
      </w:r>
    </w:p>
  </w:footnote>
  <w:footnote w:type="continuationSeparator" w:id="0">
    <w:p w:rsidR="003E4644" w:rsidRDefault="003E4644">
      <w:r>
        <w:continuationSeparator/>
      </w:r>
    </w:p>
  </w:footnote>
  <w:footnote w:id="1">
    <w:p w:rsidR="00B823F5" w:rsidRPr="007E5562" w:rsidRDefault="00B823F5" w:rsidP="00E536D3">
      <w:pPr>
        <w:pStyle w:val="FootnoteText"/>
        <w:ind w:firstLine="720"/>
        <w:rPr>
          <w:sz w:val="20"/>
        </w:rPr>
      </w:pPr>
      <w:r>
        <w:rPr>
          <w:rStyle w:val="FootnoteReference"/>
          <w:sz w:val="24"/>
          <w:szCs w:val="24"/>
        </w:rPr>
        <w:footnoteRef/>
      </w:r>
      <w:r>
        <w:rPr>
          <w:sz w:val="24"/>
          <w:szCs w:val="24"/>
        </w:rPr>
        <w:t xml:space="preserve"> </w:t>
      </w:r>
      <w:r>
        <w:rPr>
          <w:sz w:val="24"/>
          <w:szCs w:val="24"/>
        </w:rPr>
        <w:tab/>
      </w:r>
      <w:r>
        <w:rPr>
          <w:sz w:val="20"/>
        </w:rPr>
        <w:t>RESA and Direct Energy are represented by the same counsel.  A Joint Statement in Support and joint main and reply briefs were filed on behalf of RESA and Direct Energy.</w:t>
      </w:r>
    </w:p>
  </w:footnote>
  <w:footnote w:id="2">
    <w:p w:rsidR="00B823F5" w:rsidRDefault="00B823F5" w:rsidP="00E536D3">
      <w:pPr>
        <w:pStyle w:val="FootnoteText"/>
        <w:ind w:firstLine="720"/>
        <w:rPr>
          <w:sz w:val="24"/>
          <w:szCs w:val="24"/>
        </w:rPr>
      </w:pPr>
      <w:r>
        <w:rPr>
          <w:rStyle w:val="FootnoteReference"/>
          <w:sz w:val="24"/>
          <w:szCs w:val="24"/>
        </w:rPr>
        <w:footnoteRef/>
      </w:r>
      <w:r>
        <w:rPr>
          <w:sz w:val="24"/>
          <w:szCs w:val="24"/>
        </w:rPr>
        <w:t xml:space="preserve"> </w:t>
      </w:r>
      <w:r>
        <w:rPr>
          <w:sz w:val="24"/>
          <w:szCs w:val="24"/>
        </w:rPr>
        <w:tab/>
      </w:r>
      <w:r>
        <w:rPr>
          <w:sz w:val="20"/>
        </w:rPr>
        <w:t>Constellation and PAIEUG did not file a main or reply brief</w:t>
      </w:r>
      <w:r>
        <w:rPr>
          <w:sz w:val="24"/>
          <w:szCs w:val="24"/>
        </w:rPr>
        <w:t>.</w:t>
      </w:r>
    </w:p>
    <w:p w:rsidR="00B823F5" w:rsidRPr="007E5562" w:rsidRDefault="00B823F5">
      <w:pPr>
        <w:pStyle w:val="FootnoteText"/>
      </w:pPr>
    </w:p>
  </w:footnote>
  <w:footnote w:id="3">
    <w:p w:rsidR="00B823F5" w:rsidRPr="00EF38BE" w:rsidRDefault="00B823F5" w:rsidP="00B60325">
      <w:pPr>
        <w:pStyle w:val="FootnoteText"/>
        <w:ind w:firstLine="720"/>
        <w:rPr>
          <w:sz w:val="20"/>
        </w:rPr>
      </w:pPr>
      <w:r w:rsidRPr="00D82626">
        <w:rPr>
          <w:rStyle w:val="FootnoteReference"/>
          <w:sz w:val="24"/>
          <w:szCs w:val="24"/>
        </w:rPr>
        <w:footnoteRef/>
      </w:r>
      <w:r w:rsidRPr="00D82626">
        <w:rPr>
          <w:sz w:val="24"/>
          <w:szCs w:val="24"/>
        </w:rPr>
        <w:t xml:space="preserve"> </w:t>
      </w:r>
      <w:r>
        <w:rPr>
          <w:sz w:val="24"/>
          <w:szCs w:val="24"/>
        </w:rPr>
        <w:tab/>
      </w:r>
      <w:r w:rsidRPr="00EF38BE">
        <w:rPr>
          <w:sz w:val="20"/>
        </w:rPr>
        <w:t xml:space="preserve">The OSBA did not address the issue in testimony except to note that it would brief the issue, as appropriate.  </w:t>
      </w:r>
      <w:r w:rsidRPr="00EF38BE">
        <w:rPr>
          <w:i/>
          <w:sz w:val="20"/>
        </w:rPr>
        <w:t>See</w:t>
      </w:r>
      <w:r w:rsidRPr="00EF38BE">
        <w:rPr>
          <w:sz w:val="20"/>
        </w:rPr>
        <w:t xml:space="preserve"> OSBA St. No. 1</w:t>
      </w:r>
      <w:r>
        <w:rPr>
          <w:sz w:val="20"/>
        </w:rPr>
        <w:t xml:space="preserve"> at</w:t>
      </w:r>
      <w:r w:rsidRPr="00EF38BE">
        <w:rPr>
          <w:sz w:val="20"/>
        </w:rPr>
        <w:t xml:space="preserve"> 3.</w:t>
      </w:r>
    </w:p>
  </w:footnote>
  <w:footnote w:id="4">
    <w:p w:rsidR="00B823F5" w:rsidRDefault="00B823F5" w:rsidP="00B60325">
      <w:pPr>
        <w:pStyle w:val="FootnoteText"/>
        <w:ind w:firstLine="720"/>
        <w:rPr>
          <w:sz w:val="24"/>
          <w:szCs w:val="24"/>
        </w:rPr>
      </w:pPr>
      <w:r>
        <w:rPr>
          <w:rStyle w:val="FootnoteReference"/>
          <w:sz w:val="24"/>
          <w:szCs w:val="24"/>
        </w:rPr>
        <w:footnoteRef/>
      </w:r>
      <w:r>
        <w:rPr>
          <w:sz w:val="24"/>
          <w:szCs w:val="24"/>
        </w:rPr>
        <w:t xml:space="preserve"> </w:t>
      </w:r>
      <w:r>
        <w:rPr>
          <w:sz w:val="24"/>
          <w:szCs w:val="24"/>
        </w:rPr>
        <w:tab/>
      </w:r>
      <w:r w:rsidRPr="00B90969">
        <w:rPr>
          <w:sz w:val="20"/>
        </w:rPr>
        <w:t xml:space="preserve">OCA explained that as part of the comprehensive </w:t>
      </w:r>
      <w:r w:rsidRPr="00B90969">
        <w:rPr>
          <w:i/>
          <w:iCs/>
          <w:sz w:val="20"/>
        </w:rPr>
        <w:t>Restructuring Settlement</w:t>
      </w:r>
      <w:r w:rsidRPr="00B90969">
        <w:rPr>
          <w:sz w:val="20"/>
        </w:rPr>
        <w:t xml:space="preserve">, PECO assumed the risk and cost of uncollected or unpaid EGS charges for this 90 day period.  Since the </w:t>
      </w:r>
      <w:r w:rsidRPr="00B90969">
        <w:rPr>
          <w:i/>
          <w:iCs/>
          <w:sz w:val="20"/>
        </w:rPr>
        <w:t>Restructuring Settlement</w:t>
      </w:r>
      <w:r w:rsidRPr="00B90969">
        <w:rPr>
          <w:sz w:val="20"/>
        </w:rPr>
        <w:t xml:space="preserve"> is in effect until December 31, 2010, PECO is to bear this risk for all charges associated with service up to that date.</w:t>
      </w:r>
      <w:r>
        <w:rPr>
          <w:sz w:val="24"/>
          <w:szCs w:val="24"/>
        </w:rPr>
        <w:t xml:space="preserve"> </w:t>
      </w:r>
    </w:p>
  </w:footnote>
  <w:footnote w:id="5">
    <w:p w:rsidR="00B823F5" w:rsidRPr="00B15C79" w:rsidRDefault="00B823F5" w:rsidP="00B60325">
      <w:pPr>
        <w:pStyle w:val="FootnoteText"/>
        <w:ind w:firstLine="720"/>
        <w:rPr>
          <w:sz w:val="20"/>
        </w:rPr>
      </w:pPr>
      <w:r>
        <w:rPr>
          <w:rStyle w:val="FootnoteReference"/>
          <w:sz w:val="24"/>
          <w:szCs w:val="24"/>
        </w:rPr>
        <w:footnoteRef/>
      </w:r>
      <w:r>
        <w:rPr>
          <w:sz w:val="24"/>
          <w:szCs w:val="24"/>
        </w:rPr>
        <w:t xml:space="preserve"> </w:t>
      </w:r>
      <w:r>
        <w:rPr>
          <w:sz w:val="24"/>
          <w:szCs w:val="24"/>
        </w:rPr>
        <w:tab/>
      </w:r>
      <w:r w:rsidRPr="00B15C79">
        <w:rPr>
          <w:i/>
          <w:sz w:val="20"/>
        </w:rPr>
        <w:t>Petition of PPL Utilities Corporation Requesting Approval of a Voluntary Purchase of Accounts Receivables Program and Merchant Function Charge</w:t>
      </w:r>
      <w:r w:rsidRPr="00B15C79">
        <w:rPr>
          <w:sz w:val="20"/>
        </w:rPr>
        <w:t>, Docket No. P-2009-2129502 (2009).</w:t>
      </w:r>
    </w:p>
  </w:footnote>
  <w:footnote w:id="6">
    <w:p w:rsidR="00B823F5" w:rsidRPr="00557B5B" w:rsidRDefault="00B823F5" w:rsidP="00DF6F63">
      <w:pPr>
        <w:pStyle w:val="FootnoteText"/>
        <w:ind w:firstLine="720"/>
        <w:rPr>
          <w:sz w:val="18"/>
          <w:szCs w:val="18"/>
        </w:rPr>
      </w:pPr>
      <w:r w:rsidRPr="00557B5B">
        <w:rPr>
          <w:rStyle w:val="FootnoteReference"/>
          <w:sz w:val="18"/>
          <w:szCs w:val="18"/>
        </w:rPr>
        <w:footnoteRef/>
      </w:r>
      <w:r>
        <w:rPr>
          <w:sz w:val="18"/>
          <w:szCs w:val="18"/>
        </w:rPr>
        <w:t xml:space="preserve"> </w:t>
      </w:r>
      <w:r>
        <w:rPr>
          <w:sz w:val="18"/>
          <w:szCs w:val="18"/>
        </w:rPr>
        <w:tab/>
      </w:r>
      <w:r w:rsidRPr="00557B5B">
        <w:rPr>
          <w:sz w:val="18"/>
          <w:szCs w:val="18"/>
        </w:rPr>
        <w:t>OTS M.B. at 9.  As an example, for residential customers PECO proposes to temporarily discount the receivables by .2% while OTS supports a 2.27% discount rate.  Dividing 2.27% by .20% equals 11.35 and multiplying that by 100 results in an 1135% difference between the</w:t>
      </w:r>
      <w:r>
        <w:rPr>
          <w:sz w:val="24"/>
        </w:rPr>
        <w:t xml:space="preserve"> </w:t>
      </w:r>
      <w:r w:rsidRPr="00557B5B">
        <w:rPr>
          <w:sz w:val="18"/>
          <w:szCs w:val="18"/>
        </w:rPr>
        <w:t>discount rate proposed by PECO and that supported by OTS.</w:t>
      </w:r>
    </w:p>
  </w:footnote>
  <w:footnote w:id="7">
    <w:p w:rsidR="00B823F5" w:rsidRPr="00A750B3" w:rsidRDefault="00B823F5" w:rsidP="00DF6F63">
      <w:pPr>
        <w:pStyle w:val="FootnoteText"/>
        <w:ind w:firstLine="720"/>
        <w:rPr>
          <w:sz w:val="18"/>
          <w:szCs w:val="18"/>
        </w:rPr>
      </w:pPr>
      <w:r w:rsidRPr="00A750B3">
        <w:rPr>
          <w:rStyle w:val="FootnoteReference"/>
          <w:sz w:val="18"/>
          <w:szCs w:val="18"/>
        </w:rPr>
        <w:footnoteRef/>
      </w:r>
      <w:r>
        <w:rPr>
          <w:sz w:val="18"/>
          <w:szCs w:val="18"/>
        </w:rPr>
        <w:t xml:space="preserve"> </w:t>
      </w:r>
      <w:r>
        <w:rPr>
          <w:sz w:val="18"/>
          <w:szCs w:val="18"/>
        </w:rPr>
        <w:tab/>
      </w:r>
      <w:r w:rsidRPr="00A750B3">
        <w:rPr>
          <w:i/>
          <w:sz w:val="18"/>
          <w:szCs w:val="18"/>
        </w:rPr>
        <w:t>Petition of Duquesne Light Company for Approval Of a Default Service Plan for the</w:t>
      </w:r>
      <w:r>
        <w:rPr>
          <w:i/>
          <w:sz w:val="24"/>
        </w:rPr>
        <w:t xml:space="preserve"> </w:t>
      </w:r>
      <w:r w:rsidRPr="00A750B3">
        <w:rPr>
          <w:i/>
          <w:sz w:val="18"/>
          <w:szCs w:val="18"/>
        </w:rPr>
        <w:t>Period January 1, 2008</w:t>
      </w:r>
      <w:r>
        <w:rPr>
          <w:i/>
          <w:sz w:val="24"/>
        </w:rPr>
        <w:t xml:space="preserve"> </w:t>
      </w:r>
      <w:r w:rsidRPr="00A750B3">
        <w:rPr>
          <w:i/>
          <w:sz w:val="18"/>
          <w:szCs w:val="18"/>
        </w:rPr>
        <w:t xml:space="preserve">Through December 31, </w:t>
      </w:r>
      <w:r w:rsidRPr="00A750B3">
        <w:rPr>
          <w:sz w:val="18"/>
          <w:szCs w:val="18"/>
        </w:rPr>
        <w:t>2010, Docket No. P-00072247, Order entered June 22, 2007.</w:t>
      </w:r>
    </w:p>
  </w:footnote>
  <w:footnote w:id="8">
    <w:p w:rsidR="00B823F5" w:rsidRPr="003A224D" w:rsidRDefault="00B823F5" w:rsidP="00DF6F63">
      <w:pPr>
        <w:pStyle w:val="FootnoteText"/>
        <w:ind w:firstLine="720"/>
        <w:rPr>
          <w:sz w:val="18"/>
          <w:szCs w:val="18"/>
        </w:rPr>
      </w:pPr>
      <w:r w:rsidRPr="003A224D">
        <w:rPr>
          <w:rStyle w:val="FootnoteReference"/>
          <w:sz w:val="18"/>
          <w:szCs w:val="18"/>
        </w:rPr>
        <w:footnoteRef/>
      </w:r>
      <w:r>
        <w:rPr>
          <w:sz w:val="18"/>
          <w:szCs w:val="18"/>
        </w:rPr>
        <w:t xml:space="preserve"> </w:t>
      </w:r>
      <w:r>
        <w:rPr>
          <w:sz w:val="18"/>
          <w:szCs w:val="18"/>
        </w:rPr>
        <w:tab/>
      </w:r>
      <w:r w:rsidRPr="003A224D">
        <w:rPr>
          <w:i/>
          <w:sz w:val="18"/>
          <w:szCs w:val="18"/>
        </w:rPr>
        <w:t>Petition of Direct Energy Service, LLC For Issuance of Emergency Order</w:t>
      </w:r>
      <w:r w:rsidRPr="003A224D">
        <w:rPr>
          <w:sz w:val="18"/>
          <w:szCs w:val="18"/>
        </w:rPr>
        <w:t>, Docket No. P-00062205, Final Opinion and Order entered April 20, 2006.</w:t>
      </w:r>
    </w:p>
  </w:footnote>
  <w:footnote w:id="9">
    <w:p w:rsidR="00B823F5" w:rsidRPr="003A224D" w:rsidRDefault="00B823F5">
      <w:pPr>
        <w:pStyle w:val="FootnoteText"/>
        <w:rPr>
          <w:sz w:val="18"/>
          <w:szCs w:val="18"/>
        </w:rPr>
      </w:pPr>
      <w:r>
        <w:rPr>
          <w:sz w:val="18"/>
          <w:szCs w:val="18"/>
        </w:rPr>
        <w:tab/>
      </w:r>
      <w:r w:rsidRPr="003A224D">
        <w:rPr>
          <w:rStyle w:val="FootnoteReference"/>
          <w:sz w:val="18"/>
          <w:szCs w:val="18"/>
        </w:rPr>
        <w:footnoteRef/>
      </w:r>
      <w:r w:rsidRPr="003A224D">
        <w:rPr>
          <w:sz w:val="18"/>
          <w:szCs w:val="18"/>
        </w:rPr>
        <w:t xml:space="preserve"> </w:t>
      </w:r>
      <w:r w:rsidRPr="003A224D">
        <w:rPr>
          <w:sz w:val="18"/>
          <w:szCs w:val="18"/>
        </w:rPr>
        <w:tab/>
      </w:r>
      <w:r w:rsidRPr="003A224D">
        <w:rPr>
          <w:i/>
          <w:sz w:val="18"/>
          <w:szCs w:val="18"/>
        </w:rPr>
        <w:t>Joint Petition of Metropolitan Edison Company and Pennsylvania Electric Company for Approval of their Default Service Programs</w:t>
      </w:r>
      <w:r w:rsidRPr="003A224D">
        <w:rPr>
          <w:sz w:val="18"/>
          <w:szCs w:val="18"/>
        </w:rPr>
        <w:t xml:space="preserve"> Opinion and Order at Docket Nos. P-2009-2093053 and P-2009-2093054 entered November 6, 2009.</w:t>
      </w:r>
    </w:p>
  </w:footnote>
  <w:footnote w:id="10">
    <w:p w:rsidR="00B823F5" w:rsidRPr="00915472" w:rsidRDefault="00B823F5" w:rsidP="00D0510F">
      <w:pPr>
        <w:pStyle w:val="FootnoteText"/>
        <w:rPr>
          <w:sz w:val="18"/>
          <w:szCs w:val="18"/>
        </w:rPr>
      </w:pPr>
      <w:r>
        <w:rPr>
          <w:sz w:val="18"/>
          <w:szCs w:val="18"/>
        </w:rPr>
        <w:tab/>
      </w:r>
      <w:r w:rsidRPr="00F941BF">
        <w:rPr>
          <w:rStyle w:val="FootnoteReference"/>
          <w:sz w:val="18"/>
          <w:szCs w:val="18"/>
        </w:rPr>
        <w:footnoteRef/>
      </w:r>
      <w:r w:rsidRPr="00F941BF">
        <w:rPr>
          <w:sz w:val="18"/>
          <w:szCs w:val="18"/>
        </w:rPr>
        <w:t xml:space="preserve"> </w:t>
      </w:r>
      <w:r w:rsidRPr="00F941BF">
        <w:rPr>
          <w:sz w:val="18"/>
          <w:szCs w:val="18"/>
        </w:rPr>
        <w:tab/>
      </w:r>
      <w:r w:rsidRPr="00915472">
        <w:rPr>
          <w:sz w:val="18"/>
          <w:szCs w:val="18"/>
        </w:rPr>
        <w:t>In addition to impacting the development of the competitive market, the record does not support OTS’s underlying reasons why its proposal should be adopted but rather “merely rearranges how this subsidization of costs is implemented and could create a less efficient means of recovering uncollectible accounts expense.”  RESA/Direct Energy M.B. at 11 – 14.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FE8FE34"/>
    <w:lvl w:ilvl="0">
      <w:start w:val="1"/>
      <w:numFmt w:val="decimal"/>
      <w:lvlText w:val="%1."/>
      <w:lvlJc w:val="left"/>
      <w:pPr>
        <w:tabs>
          <w:tab w:val="num" w:pos="1800"/>
        </w:tabs>
        <w:ind w:left="1800" w:hanging="360"/>
      </w:pPr>
    </w:lvl>
  </w:abstractNum>
  <w:abstractNum w:abstractNumId="1">
    <w:nsid w:val="FFFFFF7D"/>
    <w:multiLevelType w:val="singleLevel"/>
    <w:tmpl w:val="33D00C00"/>
    <w:lvl w:ilvl="0">
      <w:start w:val="1"/>
      <w:numFmt w:val="decimal"/>
      <w:lvlText w:val="%1."/>
      <w:lvlJc w:val="left"/>
      <w:pPr>
        <w:tabs>
          <w:tab w:val="num" w:pos="1440"/>
        </w:tabs>
        <w:ind w:left="1440" w:hanging="360"/>
      </w:pPr>
    </w:lvl>
  </w:abstractNum>
  <w:abstractNum w:abstractNumId="2">
    <w:nsid w:val="FFFFFF7E"/>
    <w:multiLevelType w:val="singleLevel"/>
    <w:tmpl w:val="4590FD18"/>
    <w:lvl w:ilvl="0">
      <w:start w:val="1"/>
      <w:numFmt w:val="decimal"/>
      <w:lvlText w:val="%1."/>
      <w:lvlJc w:val="left"/>
      <w:pPr>
        <w:tabs>
          <w:tab w:val="num" w:pos="1080"/>
        </w:tabs>
        <w:ind w:left="1080" w:hanging="360"/>
      </w:pPr>
    </w:lvl>
  </w:abstractNum>
  <w:abstractNum w:abstractNumId="3">
    <w:nsid w:val="FFFFFF7F"/>
    <w:multiLevelType w:val="singleLevel"/>
    <w:tmpl w:val="E584B38A"/>
    <w:lvl w:ilvl="0">
      <w:start w:val="1"/>
      <w:numFmt w:val="decimal"/>
      <w:lvlText w:val="%1."/>
      <w:lvlJc w:val="left"/>
      <w:pPr>
        <w:tabs>
          <w:tab w:val="num" w:pos="720"/>
        </w:tabs>
        <w:ind w:left="720" w:hanging="360"/>
      </w:pPr>
    </w:lvl>
  </w:abstractNum>
  <w:abstractNum w:abstractNumId="4">
    <w:nsid w:val="FFFFFF80"/>
    <w:multiLevelType w:val="singleLevel"/>
    <w:tmpl w:val="66B46C4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DAC95A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84A25E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CC03B6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E065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9A9278AE"/>
    <w:lvl w:ilvl="0">
      <w:start w:val="1"/>
      <w:numFmt w:val="bullet"/>
      <w:lvlText w:val=""/>
      <w:lvlJc w:val="left"/>
      <w:pPr>
        <w:tabs>
          <w:tab w:val="num" w:pos="360"/>
        </w:tabs>
        <w:ind w:left="360" w:hanging="360"/>
      </w:pPr>
      <w:rPr>
        <w:rFonts w:ascii="Symbol" w:hAnsi="Symbol" w:hint="default"/>
      </w:rPr>
    </w:lvl>
  </w:abstractNum>
  <w:abstractNum w:abstractNumId="10">
    <w:nsid w:val="0C3A4DE3"/>
    <w:multiLevelType w:val="hybridMultilevel"/>
    <w:tmpl w:val="772C2E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4D37AD"/>
    <w:multiLevelType w:val="singleLevel"/>
    <w:tmpl w:val="6860B998"/>
    <w:lvl w:ilvl="0">
      <w:start w:val="1"/>
      <w:numFmt w:val="lowerRoman"/>
      <w:lvlText w:val="(%1) "/>
      <w:legacy w:legacy="1" w:legacySpace="0" w:legacyIndent="360"/>
      <w:lvlJc w:val="left"/>
      <w:pPr>
        <w:ind w:left="2520" w:hanging="360"/>
      </w:pPr>
      <w:rPr>
        <w:rFonts w:ascii="Times New Roman" w:hAnsi="Times New Roman" w:hint="default"/>
        <w:b w:val="0"/>
        <w:i w:val="0"/>
        <w:sz w:val="24"/>
        <w:u w:val="none"/>
      </w:rPr>
    </w:lvl>
  </w:abstractNum>
  <w:abstractNum w:abstractNumId="12">
    <w:nsid w:val="1F0113C8"/>
    <w:multiLevelType w:val="singleLevel"/>
    <w:tmpl w:val="0CC4FC92"/>
    <w:lvl w:ilvl="0">
      <w:start w:val="6"/>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3">
    <w:nsid w:val="25C23047"/>
    <w:multiLevelType w:val="hybridMultilevel"/>
    <w:tmpl w:val="44A4B288"/>
    <w:lvl w:ilvl="0" w:tplc="501E1510">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7692D05"/>
    <w:multiLevelType w:val="hybridMultilevel"/>
    <w:tmpl w:val="398622D2"/>
    <w:lvl w:ilvl="0" w:tplc="632AA458">
      <w:start w:val="1"/>
      <w:numFmt w:val="decimal"/>
      <w:lvlText w:val="%1."/>
      <w:lvlJc w:val="left"/>
      <w:pPr>
        <w:tabs>
          <w:tab w:val="num" w:pos="446"/>
        </w:tabs>
        <w:ind w:left="446" w:hanging="360"/>
      </w:pPr>
      <w:rPr>
        <w:rFonts w:hint="default"/>
      </w:rPr>
    </w:lvl>
    <w:lvl w:ilvl="1" w:tplc="04090019" w:tentative="1">
      <w:start w:val="1"/>
      <w:numFmt w:val="lowerLetter"/>
      <w:lvlText w:val="%2."/>
      <w:lvlJc w:val="left"/>
      <w:pPr>
        <w:tabs>
          <w:tab w:val="num" w:pos="1166"/>
        </w:tabs>
        <w:ind w:left="1166" w:hanging="360"/>
      </w:pPr>
    </w:lvl>
    <w:lvl w:ilvl="2" w:tplc="0409001B" w:tentative="1">
      <w:start w:val="1"/>
      <w:numFmt w:val="lowerRoman"/>
      <w:lvlText w:val="%3."/>
      <w:lvlJc w:val="right"/>
      <w:pPr>
        <w:tabs>
          <w:tab w:val="num" w:pos="1886"/>
        </w:tabs>
        <w:ind w:left="1886" w:hanging="180"/>
      </w:pPr>
    </w:lvl>
    <w:lvl w:ilvl="3" w:tplc="0409000F" w:tentative="1">
      <w:start w:val="1"/>
      <w:numFmt w:val="decimal"/>
      <w:lvlText w:val="%4."/>
      <w:lvlJc w:val="left"/>
      <w:pPr>
        <w:tabs>
          <w:tab w:val="num" w:pos="2606"/>
        </w:tabs>
        <w:ind w:left="2606" w:hanging="360"/>
      </w:pPr>
    </w:lvl>
    <w:lvl w:ilvl="4" w:tplc="04090019" w:tentative="1">
      <w:start w:val="1"/>
      <w:numFmt w:val="lowerLetter"/>
      <w:lvlText w:val="%5."/>
      <w:lvlJc w:val="left"/>
      <w:pPr>
        <w:tabs>
          <w:tab w:val="num" w:pos="3326"/>
        </w:tabs>
        <w:ind w:left="3326" w:hanging="360"/>
      </w:pPr>
    </w:lvl>
    <w:lvl w:ilvl="5" w:tplc="0409001B" w:tentative="1">
      <w:start w:val="1"/>
      <w:numFmt w:val="lowerRoman"/>
      <w:lvlText w:val="%6."/>
      <w:lvlJc w:val="right"/>
      <w:pPr>
        <w:tabs>
          <w:tab w:val="num" w:pos="4046"/>
        </w:tabs>
        <w:ind w:left="4046" w:hanging="180"/>
      </w:pPr>
    </w:lvl>
    <w:lvl w:ilvl="6" w:tplc="0409000F" w:tentative="1">
      <w:start w:val="1"/>
      <w:numFmt w:val="decimal"/>
      <w:lvlText w:val="%7."/>
      <w:lvlJc w:val="left"/>
      <w:pPr>
        <w:tabs>
          <w:tab w:val="num" w:pos="4766"/>
        </w:tabs>
        <w:ind w:left="4766" w:hanging="360"/>
      </w:pPr>
    </w:lvl>
    <w:lvl w:ilvl="7" w:tplc="04090019" w:tentative="1">
      <w:start w:val="1"/>
      <w:numFmt w:val="lowerLetter"/>
      <w:lvlText w:val="%8."/>
      <w:lvlJc w:val="left"/>
      <w:pPr>
        <w:tabs>
          <w:tab w:val="num" w:pos="5486"/>
        </w:tabs>
        <w:ind w:left="5486" w:hanging="360"/>
      </w:pPr>
    </w:lvl>
    <w:lvl w:ilvl="8" w:tplc="0409001B" w:tentative="1">
      <w:start w:val="1"/>
      <w:numFmt w:val="lowerRoman"/>
      <w:lvlText w:val="%9."/>
      <w:lvlJc w:val="right"/>
      <w:pPr>
        <w:tabs>
          <w:tab w:val="num" w:pos="6206"/>
        </w:tabs>
        <w:ind w:left="6206" w:hanging="180"/>
      </w:pPr>
    </w:lvl>
  </w:abstractNum>
  <w:abstractNum w:abstractNumId="15">
    <w:nsid w:val="32B504F3"/>
    <w:multiLevelType w:val="hybridMultilevel"/>
    <w:tmpl w:val="E9AAC9C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3C141D92"/>
    <w:multiLevelType w:val="hybridMultilevel"/>
    <w:tmpl w:val="F10015CA"/>
    <w:lvl w:ilvl="0" w:tplc="3000F2DE">
      <w:start w:val="1"/>
      <w:numFmt w:val="lowerLetter"/>
      <w:lvlText w:val="(%1)"/>
      <w:lvlJc w:val="left"/>
      <w:pPr>
        <w:ind w:left="540" w:hanging="45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nsid w:val="3C901528"/>
    <w:multiLevelType w:val="hybridMultilevel"/>
    <w:tmpl w:val="85ACB0E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43957193"/>
    <w:multiLevelType w:val="singleLevel"/>
    <w:tmpl w:val="AC26C3EC"/>
    <w:lvl w:ilvl="0">
      <w:start w:val="1"/>
      <w:numFmt w:val="bullet"/>
      <w:lvlText w:val=""/>
      <w:lvlJc w:val="left"/>
      <w:pPr>
        <w:tabs>
          <w:tab w:val="num" w:pos="360"/>
        </w:tabs>
        <w:ind w:left="72" w:hanging="72"/>
      </w:pPr>
      <w:rPr>
        <w:rFonts w:ascii="Wingdings" w:hAnsi="Wingdings" w:hint="default"/>
      </w:rPr>
    </w:lvl>
  </w:abstractNum>
  <w:abstractNum w:abstractNumId="19">
    <w:nsid w:val="4B6B03D4"/>
    <w:multiLevelType w:val="multilevel"/>
    <w:tmpl w:val="FE409B3A"/>
    <w:name w:val="zzmpOutline||Outline|2|3|1|1|2|41||1|4|0||1|4|0||1|4|1||1|4|0||1|4|9||1|4|0||1|4|0||1|4|0||"/>
    <w:lvl w:ilvl="0">
      <w:start w:val="1"/>
      <w:numFmt w:val="upperRoman"/>
      <w:pStyle w:val="OutlineL1"/>
      <w:lvlText w:val="%1."/>
      <w:lvlJc w:val="left"/>
      <w:pPr>
        <w:tabs>
          <w:tab w:val="num" w:pos="720"/>
        </w:tabs>
        <w:ind w:left="0" w:firstLine="0"/>
      </w:pPr>
      <w:rPr>
        <w:rFonts w:ascii="Times New Roman" w:hAnsi="Times New Roman" w:cs="Times New Roman" w:hint="default"/>
        <w:b/>
        <w:i w:val="0"/>
        <w:caps/>
        <w:smallCaps w:val="0"/>
        <w:strike w:val="0"/>
        <w:dstrike w:val="0"/>
        <w:sz w:val="24"/>
        <w:u w:val="none"/>
        <w:effect w:val="none"/>
      </w:rPr>
    </w:lvl>
    <w:lvl w:ilvl="1">
      <w:start w:val="1"/>
      <w:numFmt w:val="upperLetter"/>
      <w:pStyle w:val="OutlineL2"/>
      <w:lvlText w:val="%2."/>
      <w:lvlJc w:val="left"/>
      <w:pPr>
        <w:tabs>
          <w:tab w:val="num" w:pos="2070"/>
        </w:tabs>
        <w:ind w:left="630" w:firstLine="720"/>
      </w:pPr>
      <w:rPr>
        <w:rFonts w:hint="default"/>
        <w:b w:val="0"/>
        <w:i w:val="0"/>
        <w:caps w:val="0"/>
        <w:strike w:val="0"/>
        <w:dstrike w:val="0"/>
        <w:sz w:val="24"/>
        <w:u w:val="none"/>
        <w:effect w:val="none"/>
      </w:rPr>
    </w:lvl>
    <w:lvl w:ilvl="2">
      <w:start w:val="1"/>
      <w:numFmt w:val="lowerLetter"/>
      <w:pStyle w:val="OutlineL3"/>
      <w:lvlText w:val="%3."/>
      <w:lvlJc w:val="left"/>
      <w:pPr>
        <w:tabs>
          <w:tab w:val="num" w:pos="2160"/>
        </w:tabs>
        <w:ind w:left="0" w:firstLine="1440"/>
      </w:pPr>
      <w:rPr>
        <w:rFonts w:ascii="Times New Roman" w:hAnsi="Times New Roman" w:cs="Times New Roman" w:hint="default"/>
        <w:b w:val="0"/>
        <w:i w:val="0"/>
        <w:caps w:val="0"/>
        <w:strike w:val="0"/>
        <w:dstrike w:val="0"/>
        <w:sz w:val="24"/>
        <w:u w:val="none"/>
        <w:effect w:val="none"/>
      </w:rPr>
    </w:lvl>
    <w:lvl w:ilvl="3">
      <w:start w:val="1"/>
      <w:numFmt w:val="decimal"/>
      <w:lvlRestart w:val="1"/>
      <w:pStyle w:val="OutlineL4"/>
      <w:lvlText w:val="(%4)"/>
      <w:lvlJc w:val="left"/>
      <w:pPr>
        <w:tabs>
          <w:tab w:val="num" w:pos="2430"/>
        </w:tabs>
        <w:ind w:left="-450" w:firstLine="2160"/>
      </w:pPr>
      <w:rPr>
        <w:rFonts w:ascii="Times New Roman" w:hAnsi="Times New Roman" w:cs="Times New Roman" w:hint="default"/>
        <w:b w:val="0"/>
        <w:i w:val="0"/>
        <w:caps w:val="0"/>
        <w:strike w:val="0"/>
        <w:dstrike w:val="0"/>
        <w:sz w:val="24"/>
        <w:u w:val="none"/>
        <w:effect w:val="none"/>
      </w:rPr>
    </w:lvl>
    <w:lvl w:ilvl="4">
      <w:start w:val="1"/>
      <w:numFmt w:val="lowerLetter"/>
      <w:pStyle w:val="OutlineL5"/>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upperLetter"/>
      <w:lvlRestart w:val="0"/>
      <w:pStyle w:val="OutlineL6"/>
      <w:lvlText w:val="APPENDIX %6"/>
      <w:lvlJc w:val="left"/>
      <w:pPr>
        <w:tabs>
          <w:tab w:val="num" w:pos="2880"/>
        </w:tabs>
        <w:ind w:left="0" w:firstLine="0"/>
      </w:pPr>
      <w:rPr>
        <w:rFonts w:ascii="Times New Roman" w:hAnsi="Times New Roman" w:cs="Times New Roman" w:hint="default"/>
        <w:b/>
        <w:i w:val="0"/>
        <w:caps w:val="0"/>
        <w:strike w:val="0"/>
        <w:dstrike w:val="0"/>
        <w:sz w:val="24"/>
        <w:u w:val="none"/>
        <w:effect w:val="none"/>
      </w:rPr>
    </w:lvl>
    <w:lvl w:ilvl="6">
      <w:start w:val="1"/>
      <w:numFmt w:val="decimal"/>
      <w:pStyle w:val="OutlineL7"/>
      <w:lvlText w:val="(%7)"/>
      <w:lvlJc w:val="left"/>
      <w:pPr>
        <w:tabs>
          <w:tab w:val="num" w:pos="5040"/>
        </w:tabs>
        <w:ind w:left="0" w:firstLine="4320"/>
      </w:pPr>
      <w:rPr>
        <w:rFonts w:ascii="Times New Roman" w:hAnsi="Times New Roman" w:cs="Times New Roman" w:hint="default"/>
        <w:b w:val="0"/>
        <w:i w:val="0"/>
        <w:caps w:val="0"/>
        <w:strike w:val="0"/>
        <w:dstrike w:val="0"/>
        <w:sz w:val="24"/>
        <w:u w:val="none"/>
        <w:effect w:val="none"/>
      </w:rPr>
    </w:lvl>
    <w:lvl w:ilvl="7">
      <w:start w:val="1"/>
      <w:numFmt w:val="lowerRoman"/>
      <w:pStyle w:val="OutlineL8"/>
      <w:lvlText w:val="%8)"/>
      <w:lvlJc w:val="left"/>
      <w:pPr>
        <w:tabs>
          <w:tab w:val="num" w:pos="5760"/>
        </w:tabs>
        <w:ind w:left="0" w:firstLine="5040"/>
      </w:pPr>
      <w:rPr>
        <w:rFonts w:ascii="Times New Roman" w:hAnsi="Times New Roman" w:cs="Times New Roman" w:hint="default"/>
        <w:b w:val="0"/>
        <w:i w:val="0"/>
        <w:caps w:val="0"/>
        <w:strike w:val="0"/>
        <w:dstrike w:val="0"/>
        <w:sz w:val="24"/>
        <w:u w:val="none"/>
        <w:effect w:val="none"/>
      </w:rPr>
    </w:lvl>
    <w:lvl w:ilvl="8">
      <w:start w:val="1"/>
      <w:numFmt w:val="lowerLetter"/>
      <w:pStyle w:val="OutlineL9"/>
      <w:lvlText w:val="%9)"/>
      <w:lvlJc w:val="left"/>
      <w:pPr>
        <w:tabs>
          <w:tab w:val="num" w:pos="6480"/>
        </w:tabs>
        <w:ind w:left="0" w:firstLine="5760"/>
      </w:pPr>
      <w:rPr>
        <w:rFonts w:ascii="Times New Roman" w:hAnsi="Times New Roman" w:cs="Times New Roman" w:hint="default"/>
        <w:b w:val="0"/>
        <w:i w:val="0"/>
        <w:caps w:val="0"/>
        <w:strike w:val="0"/>
        <w:dstrike w:val="0"/>
        <w:sz w:val="24"/>
        <w:u w:val="none"/>
        <w:effect w:val="none"/>
      </w:rPr>
    </w:lvl>
  </w:abstractNum>
  <w:abstractNum w:abstractNumId="20">
    <w:nsid w:val="4C687151"/>
    <w:multiLevelType w:val="hybridMultilevel"/>
    <w:tmpl w:val="DF405E90"/>
    <w:lvl w:ilvl="0" w:tplc="5E12582A">
      <w:start w:val="12"/>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A413FD9"/>
    <w:multiLevelType w:val="hybridMultilevel"/>
    <w:tmpl w:val="9F60AD50"/>
    <w:lvl w:ilvl="0" w:tplc="F10AD5D4">
      <w:start w:val="2"/>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B3E6E9A"/>
    <w:multiLevelType w:val="multilevel"/>
    <w:tmpl w:val="7C404148"/>
    <w:lvl w:ilvl="0">
      <w:start w:val="1"/>
      <w:numFmt w:val="upperRoman"/>
      <w:lvlText w:val="%1."/>
      <w:lvlJc w:val="left"/>
      <w:pPr>
        <w:tabs>
          <w:tab w:val="num" w:pos="4680"/>
        </w:tabs>
        <w:ind w:left="4680" w:hanging="720"/>
      </w:pPr>
      <w:rPr>
        <w:rFonts w:cs="Times New Roman" w:hint="default"/>
        <w:b/>
        <w:vanish w:val="0"/>
        <w:color w:val="000000"/>
        <w:u w:val="none"/>
      </w:rPr>
    </w:lvl>
    <w:lvl w:ilvl="1">
      <w:start w:val="1"/>
      <w:numFmt w:val="upperLetter"/>
      <w:lvlText w:val="%2."/>
      <w:lvlJc w:val="left"/>
      <w:pPr>
        <w:tabs>
          <w:tab w:val="num" w:pos="1440"/>
        </w:tabs>
        <w:ind w:left="1440" w:hanging="720"/>
      </w:pPr>
      <w:rPr>
        <w:rFonts w:cs="Times New Roman" w:hint="default"/>
        <w:vanish w:val="0"/>
        <w:color w:val="000000"/>
        <w:u w:val="none"/>
      </w:rPr>
    </w:lvl>
    <w:lvl w:ilvl="2">
      <w:start w:val="1"/>
      <w:numFmt w:val="decimal"/>
      <w:lvlText w:val="%3."/>
      <w:lvlJc w:val="left"/>
      <w:pPr>
        <w:tabs>
          <w:tab w:val="num" w:pos="1980"/>
        </w:tabs>
        <w:ind w:left="1980" w:hanging="720"/>
      </w:pPr>
      <w:rPr>
        <w:rFonts w:cs="Times New Roman" w:hint="default"/>
        <w:i w:val="0"/>
        <w:vanish w:val="0"/>
        <w:color w:val="000000"/>
        <w:u w:val="none"/>
      </w:rPr>
    </w:lvl>
    <w:lvl w:ilvl="3">
      <w:start w:val="1"/>
      <w:numFmt w:val="lowerLetter"/>
      <w:lvlText w:val="%4."/>
      <w:lvlJc w:val="left"/>
      <w:pPr>
        <w:tabs>
          <w:tab w:val="num" w:pos="2700"/>
        </w:tabs>
        <w:ind w:left="2700" w:hanging="720"/>
      </w:pPr>
      <w:rPr>
        <w:rFonts w:cs="Times New Roman" w:hint="default"/>
        <w:i w:val="0"/>
        <w:vanish w:val="0"/>
        <w:color w:val="000000"/>
        <w:u w:val="none"/>
      </w:rPr>
    </w:lvl>
    <w:lvl w:ilvl="4">
      <w:start w:val="1"/>
      <w:numFmt w:val="lowerRoman"/>
      <w:lvlText w:val="%5."/>
      <w:lvlJc w:val="left"/>
      <w:pPr>
        <w:tabs>
          <w:tab w:val="num" w:pos="3600"/>
        </w:tabs>
        <w:ind w:left="3600" w:hanging="720"/>
      </w:pPr>
      <w:rPr>
        <w:rFonts w:cs="Times New Roman" w:hint="default"/>
        <w:vanish w:val="0"/>
        <w:color w:val="000000"/>
        <w:u w:val="none"/>
      </w:rPr>
    </w:lvl>
    <w:lvl w:ilvl="5">
      <w:start w:val="1"/>
      <w:numFmt w:val="lowerLetter"/>
      <w:lvlText w:val="(%6)"/>
      <w:lvlJc w:val="left"/>
      <w:pPr>
        <w:tabs>
          <w:tab w:val="num" w:pos="4320"/>
        </w:tabs>
        <w:ind w:left="4320" w:hanging="720"/>
      </w:pPr>
      <w:rPr>
        <w:rFonts w:cs="Times New Roman" w:hint="default"/>
        <w:vanish w:val="0"/>
        <w:color w:val="000000"/>
        <w:u w:val="none"/>
      </w:rPr>
    </w:lvl>
    <w:lvl w:ilvl="6">
      <w:start w:val="1"/>
      <w:numFmt w:val="lowerRoman"/>
      <w:lvlText w:val="(%7)"/>
      <w:lvlJc w:val="left"/>
      <w:pPr>
        <w:tabs>
          <w:tab w:val="num" w:pos="5040"/>
        </w:tabs>
        <w:ind w:left="5040" w:hanging="720"/>
      </w:pPr>
      <w:rPr>
        <w:rFonts w:cs="Times New Roman" w:hint="default"/>
        <w:vanish w:val="0"/>
        <w:color w:val="000000"/>
        <w:u w:val="none"/>
      </w:rPr>
    </w:lvl>
    <w:lvl w:ilvl="7">
      <w:start w:val="1"/>
      <w:numFmt w:val="decimal"/>
      <w:lvlText w:val="%8)"/>
      <w:lvlJc w:val="left"/>
      <w:pPr>
        <w:tabs>
          <w:tab w:val="num" w:pos="5760"/>
        </w:tabs>
        <w:ind w:left="5760" w:hanging="720"/>
      </w:pPr>
      <w:rPr>
        <w:rFonts w:cs="Times New Roman" w:hint="default"/>
        <w:vanish w:val="0"/>
        <w:color w:val="000000"/>
        <w:u w:val="none"/>
      </w:rPr>
    </w:lvl>
    <w:lvl w:ilvl="8">
      <w:start w:val="1"/>
      <w:numFmt w:val="lowerLetter"/>
      <w:lvlText w:val="%9)"/>
      <w:lvlJc w:val="left"/>
      <w:pPr>
        <w:tabs>
          <w:tab w:val="num" w:pos="6480"/>
        </w:tabs>
        <w:ind w:left="6480" w:hanging="720"/>
      </w:pPr>
      <w:rPr>
        <w:rFonts w:cs="Times New Roman" w:hint="default"/>
        <w:vanish w:val="0"/>
        <w:color w:val="000000"/>
        <w:u w:val="none"/>
      </w:rPr>
    </w:lvl>
  </w:abstractNum>
  <w:num w:numId="1">
    <w:abstractNumId w:val="12"/>
  </w:num>
  <w:num w:numId="2">
    <w:abstractNumId w:val="12"/>
    <w:lvlOverride w:ilvl="0">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lvlOverride>
  </w:num>
  <w:num w:numId="3">
    <w:abstractNumId w:val="11"/>
  </w:num>
  <w:num w:numId="4">
    <w:abstractNumId w:val="18"/>
  </w:num>
  <w:num w:numId="5">
    <w:abstractNumId w:val="19"/>
  </w:num>
  <w:num w:numId="6">
    <w:abstractNumId w:val="19"/>
    <w:lvlOverride w:ilvl="0">
      <w:startOverride w:val="1"/>
    </w:lvlOverride>
    <w:lvlOverride w:ilvl="1">
      <w:startOverride w:val="8"/>
    </w:lvlOverride>
  </w:num>
  <w:num w:numId="7">
    <w:abstractNumId w:val="19"/>
  </w:num>
  <w:num w:numId="8">
    <w:abstractNumId w:val="15"/>
  </w:num>
  <w:num w:numId="9">
    <w:abstractNumId w:val="17"/>
  </w:num>
  <w:num w:numId="10">
    <w:abstractNumId w:val="10"/>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0"/>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22"/>
  </w:num>
  <w:num w:numId="3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3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C42354"/>
    <w:rsid w:val="00001D7C"/>
    <w:rsid w:val="000030D5"/>
    <w:rsid w:val="00006FD5"/>
    <w:rsid w:val="00020212"/>
    <w:rsid w:val="00023AC9"/>
    <w:rsid w:val="000278F0"/>
    <w:rsid w:val="00036650"/>
    <w:rsid w:val="00041D34"/>
    <w:rsid w:val="00057019"/>
    <w:rsid w:val="000901DD"/>
    <w:rsid w:val="00095DC2"/>
    <w:rsid w:val="000A3537"/>
    <w:rsid w:val="000B0D65"/>
    <w:rsid w:val="000B2E84"/>
    <w:rsid w:val="000B469F"/>
    <w:rsid w:val="000D1C28"/>
    <w:rsid w:val="000E3690"/>
    <w:rsid w:val="000F39F7"/>
    <w:rsid w:val="00105204"/>
    <w:rsid w:val="00131F1D"/>
    <w:rsid w:val="001341DE"/>
    <w:rsid w:val="001400FD"/>
    <w:rsid w:val="00140E1B"/>
    <w:rsid w:val="001449B0"/>
    <w:rsid w:val="001534E2"/>
    <w:rsid w:val="001564D6"/>
    <w:rsid w:val="001764D1"/>
    <w:rsid w:val="00176DA2"/>
    <w:rsid w:val="00177320"/>
    <w:rsid w:val="00180ABC"/>
    <w:rsid w:val="00184BE7"/>
    <w:rsid w:val="00185AC9"/>
    <w:rsid w:val="00187F56"/>
    <w:rsid w:val="00190FCA"/>
    <w:rsid w:val="001A0161"/>
    <w:rsid w:val="001A4A91"/>
    <w:rsid w:val="001A4C63"/>
    <w:rsid w:val="001B5297"/>
    <w:rsid w:val="001C0957"/>
    <w:rsid w:val="001C114D"/>
    <w:rsid w:val="001C26E0"/>
    <w:rsid w:val="001C64D9"/>
    <w:rsid w:val="001D15AE"/>
    <w:rsid w:val="001E0144"/>
    <w:rsid w:val="001E2A34"/>
    <w:rsid w:val="001E7BCE"/>
    <w:rsid w:val="001F036C"/>
    <w:rsid w:val="001F4BDE"/>
    <w:rsid w:val="001F5215"/>
    <w:rsid w:val="00200289"/>
    <w:rsid w:val="00210EE9"/>
    <w:rsid w:val="0021295B"/>
    <w:rsid w:val="00222CEF"/>
    <w:rsid w:val="0022309A"/>
    <w:rsid w:val="00240CC0"/>
    <w:rsid w:val="00242414"/>
    <w:rsid w:val="002445F9"/>
    <w:rsid w:val="00244D5A"/>
    <w:rsid w:val="0024702D"/>
    <w:rsid w:val="002571F7"/>
    <w:rsid w:val="002641C1"/>
    <w:rsid w:val="0027090E"/>
    <w:rsid w:val="002754A8"/>
    <w:rsid w:val="00275A3B"/>
    <w:rsid w:val="00276ECB"/>
    <w:rsid w:val="00282A91"/>
    <w:rsid w:val="00284C77"/>
    <w:rsid w:val="00285079"/>
    <w:rsid w:val="00287BA6"/>
    <w:rsid w:val="00291DDB"/>
    <w:rsid w:val="00294B0D"/>
    <w:rsid w:val="002A1EBE"/>
    <w:rsid w:val="002B1E25"/>
    <w:rsid w:val="002B4862"/>
    <w:rsid w:val="002B675E"/>
    <w:rsid w:val="002C1AFF"/>
    <w:rsid w:val="002C1E8D"/>
    <w:rsid w:val="002C59D7"/>
    <w:rsid w:val="002C71F6"/>
    <w:rsid w:val="002E1667"/>
    <w:rsid w:val="002E4533"/>
    <w:rsid w:val="00304151"/>
    <w:rsid w:val="00307E5A"/>
    <w:rsid w:val="00312825"/>
    <w:rsid w:val="00322E05"/>
    <w:rsid w:val="00325C20"/>
    <w:rsid w:val="00334DF0"/>
    <w:rsid w:val="00340201"/>
    <w:rsid w:val="00346278"/>
    <w:rsid w:val="00350A60"/>
    <w:rsid w:val="003557A5"/>
    <w:rsid w:val="00373AED"/>
    <w:rsid w:val="00375A90"/>
    <w:rsid w:val="00375D90"/>
    <w:rsid w:val="00375E74"/>
    <w:rsid w:val="00385827"/>
    <w:rsid w:val="0038644C"/>
    <w:rsid w:val="003865D3"/>
    <w:rsid w:val="00390556"/>
    <w:rsid w:val="00393DB4"/>
    <w:rsid w:val="003973BB"/>
    <w:rsid w:val="003A224D"/>
    <w:rsid w:val="003A3A67"/>
    <w:rsid w:val="003B0E61"/>
    <w:rsid w:val="003C380A"/>
    <w:rsid w:val="003C5730"/>
    <w:rsid w:val="003C7C36"/>
    <w:rsid w:val="003E095F"/>
    <w:rsid w:val="003E291C"/>
    <w:rsid w:val="003E3100"/>
    <w:rsid w:val="003E4644"/>
    <w:rsid w:val="003F4F85"/>
    <w:rsid w:val="003F50BE"/>
    <w:rsid w:val="003F590C"/>
    <w:rsid w:val="003F74EF"/>
    <w:rsid w:val="00400ACC"/>
    <w:rsid w:val="0040108E"/>
    <w:rsid w:val="0040536B"/>
    <w:rsid w:val="004177F8"/>
    <w:rsid w:val="00423522"/>
    <w:rsid w:val="0043737C"/>
    <w:rsid w:val="00441F94"/>
    <w:rsid w:val="00446B89"/>
    <w:rsid w:val="00450123"/>
    <w:rsid w:val="00450496"/>
    <w:rsid w:val="004514E0"/>
    <w:rsid w:val="004523C4"/>
    <w:rsid w:val="00460F71"/>
    <w:rsid w:val="004649E8"/>
    <w:rsid w:val="004760CD"/>
    <w:rsid w:val="004830B1"/>
    <w:rsid w:val="0048679F"/>
    <w:rsid w:val="004929B1"/>
    <w:rsid w:val="00492B78"/>
    <w:rsid w:val="00496445"/>
    <w:rsid w:val="004B1E62"/>
    <w:rsid w:val="004B358A"/>
    <w:rsid w:val="004B3D05"/>
    <w:rsid w:val="004B6192"/>
    <w:rsid w:val="004B6AD5"/>
    <w:rsid w:val="004B7512"/>
    <w:rsid w:val="004D17EB"/>
    <w:rsid w:val="004D3CA3"/>
    <w:rsid w:val="004D7EFA"/>
    <w:rsid w:val="004E1763"/>
    <w:rsid w:val="004E1E98"/>
    <w:rsid w:val="004E57D6"/>
    <w:rsid w:val="004F2946"/>
    <w:rsid w:val="004F486F"/>
    <w:rsid w:val="00505FE4"/>
    <w:rsid w:val="00506DC0"/>
    <w:rsid w:val="005209C1"/>
    <w:rsid w:val="00521D4F"/>
    <w:rsid w:val="00524552"/>
    <w:rsid w:val="00524D73"/>
    <w:rsid w:val="00531643"/>
    <w:rsid w:val="00534269"/>
    <w:rsid w:val="00536451"/>
    <w:rsid w:val="00544DD0"/>
    <w:rsid w:val="00557B5B"/>
    <w:rsid w:val="00564308"/>
    <w:rsid w:val="00564E9B"/>
    <w:rsid w:val="005657B9"/>
    <w:rsid w:val="00571FDB"/>
    <w:rsid w:val="00582895"/>
    <w:rsid w:val="005928A8"/>
    <w:rsid w:val="005A1990"/>
    <w:rsid w:val="005A1BA0"/>
    <w:rsid w:val="005A3604"/>
    <w:rsid w:val="005A5BAD"/>
    <w:rsid w:val="005B6C17"/>
    <w:rsid w:val="005C1790"/>
    <w:rsid w:val="005C3BE3"/>
    <w:rsid w:val="005D2CB6"/>
    <w:rsid w:val="005D751B"/>
    <w:rsid w:val="005E14E5"/>
    <w:rsid w:val="005E3D33"/>
    <w:rsid w:val="005F4098"/>
    <w:rsid w:val="005F7AAE"/>
    <w:rsid w:val="006171A1"/>
    <w:rsid w:val="00627A8A"/>
    <w:rsid w:val="0063175E"/>
    <w:rsid w:val="006338E3"/>
    <w:rsid w:val="0063391F"/>
    <w:rsid w:val="0063462F"/>
    <w:rsid w:val="00656FA6"/>
    <w:rsid w:val="006601A3"/>
    <w:rsid w:val="006614F5"/>
    <w:rsid w:val="00661B3D"/>
    <w:rsid w:val="006634CA"/>
    <w:rsid w:val="00671BB9"/>
    <w:rsid w:val="00672716"/>
    <w:rsid w:val="00673BDC"/>
    <w:rsid w:val="006805B5"/>
    <w:rsid w:val="006940B9"/>
    <w:rsid w:val="006C01B3"/>
    <w:rsid w:val="006C34C7"/>
    <w:rsid w:val="006C556C"/>
    <w:rsid w:val="006D02F0"/>
    <w:rsid w:val="006D11E5"/>
    <w:rsid w:val="006E35B7"/>
    <w:rsid w:val="006F299A"/>
    <w:rsid w:val="006F51A4"/>
    <w:rsid w:val="00700522"/>
    <w:rsid w:val="00704A69"/>
    <w:rsid w:val="00707783"/>
    <w:rsid w:val="00713374"/>
    <w:rsid w:val="00720131"/>
    <w:rsid w:val="00732C78"/>
    <w:rsid w:val="00741E6D"/>
    <w:rsid w:val="00754363"/>
    <w:rsid w:val="007635A1"/>
    <w:rsid w:val="00764568"/>
    <w:rsid w:val="007702CF"/>
    <w:rsid w:val="00770D2D"/>
    <w:rsid w:val="007723DB"/>
    <w:rsid w:val="00772A37"/>
    <w:rsid w:val="007738FB"/>
    <w:rsid w:val="007752D4"/>
    <w:rsid w:val="00781393"/>
    <w:rsid w:val="00790CA8"/>
    <w:rsid w:val="00795792"/>
    <w:rsid w:val="0079717C"/>
    <w:rsid w:val="007A6B3F"/>
    <w:rsid w:val="007C29ED"/>
    <w:rsid w:val="007D355B"/>
    <w:rsid w:val="007E16F5"/>
    <w:rsid w:val="007E2CD8"/>
    <w:rsid w:val="007E5562"/>
    <w:rsid w:val="007F61D2"/>
    <w:rsid w:val="007F6D18"/>
    <w:rsid w:val="00802534"/>
    <w:rsid w:val="00803CA5"/>
    <w:rsid w:val="00814CD8"/>
    <w:rsid w:val="00822FA6"/>
    <w:rsid w:val="00825836"/>
    <w:rsid w:val="00834340"/>
    <w:rsid w:val="00837BA8"/>
    <w:rsid w:val="00840203"/>
    <w:rsid w:val="00843FCD"/>
    <w:rsid w:val="00844CE8"/>
    <w:rsid w:val="00845CC1"/>
    <w:rsid w:val="00850D83"/>
    <w:rsid w:val="00860081"/>
    <w:rsid w:val="00863AFD"/>
    <w:rsid w:val="00876149"/>
    <w:rsid w:val="00876A16"/>
    <w:rsid w:val="00880B6D"/>
    <w:rsid w:val="00883510"/>
    <w:rsid w:val="008907CA"/>
    <w:rsid w:val="008953EA"/>
    <w:rsid w:val="008967F3"/>
    <w:rsid w:val="008971C3"/>
    <w:rsid w:val="008A7D75"/>
    <w:rsid w:val="008B1E5C"/>
    <w:rsid w:val="008B20C7"/>
    <w:rsid w:val="008C2930"/>
    <w:rsid w:val="008D45D5"/>
    <w:rsid w:val="008E38EC"/>
    <w:rsid w:val="008F2D23"/>
    <w:rsid w:val="008F789B"/>
    <w:rsid w:val="00901E7C"/>
    <w:rsid w:val="00902DC5"/>
    <w:rsid w:val="00906BC9"/>
    <w:rsid w:val="009104F7"/>
    <w:rsid w:val="009133BB"/>
    <w:rsid w:val="00915472"/>
    <w:rsid w:val="00924DAA"/>
    <w:rsid w:val="009310E0"/>
    <w:rsid w:val="00931EE9"/>
    <w:rsid w:val="00941091"/>
    <w:rsid w:val="00941252"/>
    <w:rsid w:val="00956980"/>
    <w:rsid w:val="00962813"/>
    <w:rsid w:val="0097378D"/>
    <w:rsid w:val="0097608A"/>
    <w:rsid w:val="00983C0B"/>
    <w:rsid w:val="009A1981"/>
    <w:rsid w:val="009D0204"/>
    <w:rsid w:val="009E4FD0"/>
    <w:rsid w:val="009F0D81"/>
    <w:rsid w:val="009F13DC"/>
    <w:rsid w:val="009F18DC"/>
    <w:rsid w:val="00A028A4"/>
    <w:rsid w:val="00A049F5"/>
    <w:rsid w:val="00A0741B"/>
    <w:rsid w:val="00A07C6B"/>
    <w:rsid w:val="00A12D8E"/>
    <w:rsid w:val="00A20F27"/>
    <w:rsid w:val="00A261BA"/>
    <w:rsid w:val="00A35F22"/>
    <w:rsid w:val="00A36B82"/>
    <w:rsid w:val="00A44F78"/>
    <w:rsid w:val="00A4508A"/>
    <w:rsid w:val="00A47FC6"/>
    <w:rsid w:val="00A564C2"/>
    <w:rsid w:val="00A66EC9"/>
    <w:rsid w:val="00A72783"/>
    <w:rsid w:val="00A73113"/>
    <w:rsid w:val="00A750B3"/>
    <w:rsid w:val="00A846C9"/>
    <w:rsid w:val="00A920BE"/>
    <w:rsid w:val="00A96E30"/>
    <w:rsid w:val="00A977CB"/>
    <w:rsid w:val="00AB5096"/>
    <w:rsid w:val="00AB64D9"/>
    <w:rsid w:val="00AC2B29"/>
    <w:rsid w:val="00AC4259"/>
    <w:rsid w:val="00AC4BCF"/>
    <w:rsid w:val="00AC4FF7"/>
    <w:rsid w:val="00AC7C3E"/>
    <w:rsid w:val="00AD24AA"/>
    <w:rsid w:val="00AD40A0"/>
    <w:rsid w:val="00AD5F1D"/>
    <w:rsid w:val="00AE1264"/>
    <w:rsid w:val="00AE7D4E"/>
    <w:rsid w:val="00B065CC"/>
    <w:rsid w:val="00B14258"/>
    <w:rsid w:val="00B15C79"/>
    <w:rsid w:val="00B33188"/>
    <w:rsid w:val="00B33F06"/>
    <w:rsid w:val="00B3566B"/>
    <w:rsid w:val="00B366A1"/>
    <w:rsid w:val="00B60325"/>
    <w:rsid w:val="00B603EB"/>
    <w:rsid w:val="00B70BD1"/>
    <w:rsid w:val="00B76759"/>
    <w:rsid w:val="00B823F5"/>
    <w:rsid w:val="00B82E87"/>
    <w:rsid w:val="00B858F0"/>
    <w:rsid w:val="00B86461"/>
    <w:rsid w:val="00B87127"/>
    <w:rsid w:val="00B90969"/>
    <w:rsid w:val="00B934E3"/>
    <w:rsid w:val="00B979D2"/>
    <w:rsid w:val="00BA3E9C"/>
    <w:rsid w:val="00BA4B19"/>
    <w:rsid w:val="00BA7844"/>
    <w:rsid w:val="00BC7E25"/>
    <w:rsid w:val="00BD132A"/>
    <w:rsid w:val="00BD2AF6"/>
    <w:rsid w:val="00BE2B19"/>
    <w:rsid w:val="00BE42B1"/>
    <w:rsid w:val="00BF6715"/>
    <w:rsid w:val="00C07360"/>
    <w:rsid w:val="00C144C5"/>
    <w:rsid w:val="00C155FF"/>
    <w:rsid w:val="00C15DFC"/>
    <w:rsid w:val="00C22302"/>
    <w:rsid w:val="00C27860"/>
    <w:rsid w:val="00C4125B"/>
    <w:rsid w:val="00C42354"/>
    <w:rsid w:val="00C51CCC"/>
    <w:rsid w:val="00C5588F"/>
    <w:rsid w:val="00C62F94"/>
    <w:rsid w:val="00C71FB6"/>
    <w:rsid w:val="00C81EBA"/>
    <w:rsid w:val="00C82D6A"/>
    <w:rsid w:val="00C96EF0"/>
    <w:rsid w:val="00CA067F"/>
    <w:rsid w:val="00CA6CF7"/>
    <w:rsid w:val="00CA7944"/>
    <w:rsid w:val="00CB52D4"/>
    <w:rsid w:val="00CC0005"/>
    <w:rsid w:val="00CC0BF4"/>
    <w:rsid w:val="00CC68A6"/>
    <w:rsid w:val="00CD4FA5"/>
    <w:rsid w:val="00D03F66"/>
    <w:rsid w:val="00D0510F"/>
    <w:rsid w:val="00D0760A"/>
    <w:rsid w:val="00D117CB"/>
    <w:rsid w:val="00D165D3"/>
    <w:rsid w:val="00D235D4"/>
    <w:rsid w:val="00D3381C"/>
    <w:rsid w:val="00D40F11"/>
    <w:rsid w:val="00D41FA0"/>
    <w:rsid w:val="00D42F08"/>
    <w:rsid w:val="00D5061F"/>
    <w:rsid w:val="00D61658"/>
    <w:rsid w:val="00D72850"/>
    <w:rsid w:val="00D74CEB"/>
    <w:rsid w:val="00D76B66"/>
    <w:rsid w:val="00D7760B"/>
    <w:rsid w:val="00D82626"/>
    <w:rsid w:val="00DC4565"/>
    <w:rsid w:val="00DD4507"/>
    <w:rsid w:val="00DE5B54"/>
    <w:rsid w:val="00DF4735"/>
    <w:rsid w:val="00DF6F63"/>
    <w:rsid w:val="00E00722"/>
    <w:rsid w:val="00E04E4E"/>
    <w:rsid w:val="00E1316F"/>
    <w:rsid w:val="00E179A8"/>
    <w:rsid w:val="00E26FDA"/>
    <w:rsid w:val="00E331BB"/>
    <w:rsid w:val="00E33DB5"/>
    <w:rsid w:val="00E357AC"/>
    <w:rsid w:val="00E43DF1"/>
    <w:rsid w:val="00E45781"/>
    <w:rsid w:val="00E47E80"/>
    <w:rsid w:val="00E50751"/>
    <w:rsid w:val="00E51810"/>
    <w:rsid w:val="00E536D3"/>
    <w:rsid w:val="00E70698"/>
    <w:rsid w:val="00E70A8C"/>
    <w:rsid w:val="00E7117C"/>
    <w:rsid w:val="00E72FDE"/>
    <w:rsid w:val="00E76291"/>
    <w:rsid w:val="00E8013A"/>
    <w:rsid w:val="00E8036A"/>
    <w:rsid w:val="00E86DA6"/>
    <w:rsid w:val="00E907AA"/>
    <w:rsid w:val="00EA01A7"/>
    <w:rsid w:val="00EA6403"/>
    <w:rsid w:val="00EB494D"/>
    <w:rsid w:val="00EB5D62"/>
    <w:rsid w:val="00EC63D2"/>
    <w:rsid w:val="00ED017A"/>
    <w:rsid w:val="00EE5C8A"/>
    <w:rsid w:val="00EF2413"/>
    <w:rsid w:val="00EF38BE"/>
    <w:rsid w:val="00EF5385"/>
    <w:rsid w:val="00EF77AC"/>
    <w:rsid w:val="00F03449"/>
    <w:rsid w:val="00F0400B"/>
    <w:rsid w:val="00F140CB"/>
    <w:rsid w:val="00F41B1F"/>
    <w:rsid w:val="00F53EF7"/>
    <w:rsid w:val="00F55F1E"/>
    <w:rsid w:val="00F65434"/>
    <w:rsid w:val="00F70373"/>
    <w:rsid w:val="00F704D9"/>
    <w:rsid w:val="00F811E5"/>
    <w:rsid w:val="00F86509"/>
    <w:rsid w:val="00F875A9"/>
    <w:rsid w:val="00F92094"/>
    <w:rsid w:val="00F941BF"/>
    <w:rsid w:val="00F96664"/>
    <w:rsid w:val="00F97D0D"/>
    <w:rsid w:val="00F97D3C"/>
    <w:rsid w:val="00FA3566"/>
    <w:rsid w:val="00FB2E48"/>
    <w:rsid w:val="00FB559B"/>
    <w:rsid w:val="00FC75E0"/>
    <w:rsid w:val="00FD00F3"/>
    <w:rsid w:val="00FD1BF8"/>
    <w:rsid w:val="00FD27C2"/>
    <w:rsid w:val="00FD6CFB"/>
    <w:rsid w:val="00FE1610"/>
    <w:rsid w:val="00FE25A5"/>
    <w:rsid w:val="00FE382A"/>
    <w:rsid w:val="00FF4F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522"/>
    <w:rPr>
      <w:sz w:val="26"/>
    </w:rPr>
  </w:style>
  <w:style w:type="paragraph" w:styleId="Heading1">
    <w:name w:val="heading 1"/>
    <w:basedOn w:val="Normal"/>
    <w:next w:val="Normal"/>
    <w:qFormat/>
    <w:rsid w:val="00700522"/>
    <w:pPr>
      <w:keepNext/>
      <w:jc w:val="center"/>
      <w:outlineLvl w:val="0"/>
    </w:pPr>
    <w:rPr>
      <w:u w:val="single"/>
    </w:rPr>
  </w:style>
  <w:style w:type="paragraph" w:styleId="Heading2">
    <w:name w:val="heading 2"/>
    <w:basedOn w:val="Normal"/>
    <w:next w:val="Normal"/>
    <w:qFormat/>
    <w:rsid w:val="00700522"/>
    <w:pPr>
      <w:keepNext/>
      <w:tabs>
        <w:tab w:val="left" w:pos="-720"/>
      </w:tabs>
      <w:suppressAutoHyphens/>
      <w:spacing w:line="480" w:lineRule="auto"/>
      <w:jc w:val="center"/>
      <w:outlineLvl w:val="1"/>
    </w:pPr>
    <w:rPr>
      <w:u w:val="single"/>
    </w:rPr>
  </w:style>
  <w:style w:type="paragraph" w:styleId="Heading3">
    <w:name w:val="heading 3"/>
    <w:basedOn w:val="Normal"/>
    <w:next w:val="Normal"/>
    <w:qFormat/>
    <w:rsid w:val="00700522"/>
    <w:pPr>
      <w:keepNext/>
      <w:spacing w:line="360" w:lineRule="auto"/>
      <w:outlineLvl w:val="2"/>
    </w:pPr>
    <w:rPr>
      <w:b/>
      <w:sz w:val="24"/>
      <w:szCs w:val="24"/>
    </w:rPr>
  </w:style>
  <w:style w:type="paragraph" w:styleId="Heading4">
    <w:name w:val="heading 4"/>
    <w:basedOn w:val="Normal"/>
    <w:next w:val="Normal"/>
    <w:qFormat/>
    <w:rsid w:val="00700522"/>
    <w:pPr>
      <w:keepNext/>
      <w:spacing w:line="36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700522"/>
    <w:pPr>
      <w:widowControl w:val="0"/>
    </w:pPr>
  </w:style>
  <w:style w:type="character" w:styleId="FootnoteReference">
    <w:name w:val="footnote reference"/>
    <w:aliases w:val="footnote text"/>
    <w:basedOn w:val="DefaultParagraphFont"/>
    <w:semiHidden/>
    <w:rsid w:val="00700522"/>
    <w:rPr>
      <w:vertAlign w:val="superscript"/>
    </w:rPr>
  </w:style>
  <w:style w:type="paragraph" w:styleId="Caption">
    <w:name w:val="caption"/>
    <w:basedOn w:val="Normal"/>
    <w:next w:val="Normal"/>
    <w:qFormat/>
    <w:rsid w:val="00700522"/>
    <w:pPr>
      <w:widowControl w:val="0"/>
    </w:pPr>
  </w:style>
  <w:style w:type="character" w:styleId="PageNumber">
    <w:name w:val="page number"/>
    <w:basedOn w:val="DefaultParagraphFont"/>
    <w:semiHidden/>
    <w:rsid w:val="00700522"/>
  </w:style>
  <w:style w:type="paragraph" w:styleId="Footer">
    <w:name w:val="footer"/>
    <w:basedOn w:val="Normal"/>
    <w:link w:val="FooterChar"/>
    <w:uiPriority w:val="99"/>
    <w:rsid w:val="00700522"/>
    <w:pPr>
      <w:tabs>
        <w:tab w:val="center" w:pos="4320"/>
        <w:tab w:val="right" w:pos="8640"/>
      </w:tabs>
    </w:pPr>
  </w:style>
  <w:style w:type="paragraph" w:styleId="Header">
    <w:name w:val="header"/>
    <w:basedOn w:val="Normal"/>
    <w:semiHidden/>
    <w:rsid w:val="00700522"/>
    <w:pPr>
      <w:tabs>
        <w:tab w:val="center" w:pos="4320"/>
        <w:tab w:val="right" w:pos="8640"/>
      </w:tabs>
    </w:pPr>
  </w:style>
  <w:style w:type="paragraph" w:styleId="Title">
    <w:name w:val="Title"/>
    <w:basedOn w:val="Normal"/>
    <w:qFormat/>
    <w:rsid w:val="00700522"/>
    <w:pPr>
      <w:jc w:val="center"/>
    </w:pPr>
    <w:rPr>
      <w:b/>
    </w:rPr>
  </w:style>
  <w:style w:type="paragraph" w:styleId="Subtitle">
    <w:name w:val="Subtitle"/>
    <w:basedOn w:val="Normal"/>
    <w:qFormat/>
    <w:rsid w:val="00700522"/>
    <w:pPr>
      <w:jc w:val="center"/>
    </w:pPr>
    <w:rPr>
      <w:b/>
    </w:rPr>
  </w:style>
  <w:style w:type="paragraph" w:styleId="BodyText">
    <w:name w:val="Body Text"/>
    <w:basedOn w:val="Normal"/>
    <w:semiHidden/>
    <w:rsid w:val="00700522"/>
    <w:pPr>
      <w:tabs>
        <w:tab w:val="left" w:pos="1980"/>
      </w:tabs>
      <w:spacing w:line="480" w:lineRule="auto"/>
      <w:jc w:val="both"/>
    </w:pPr>
    <w:rPr>
      <w:rFonts w:ascii="Courier" w:hAnsi="Courier"/>
    </w:rPr>
  </w:style>
  <w:style w:type="paragraph" w:styleId="BodyText3">
    <w:name w:val="Body Text 3"/>
    <w:basedOn w:val="Normal"/>
    <w:semiHidden/>
    <w:rsid w:val="00700522"/>
    <w:pPr>
      <w:tabs>
        <w:tab w:val="center" w:pos="4680"/>
      </w:tabs>
      <w:suppressAutoHyphens/>
      <w:spacing w:line="360" w:lineRule="auto"/>
      <w:jc w:val="both"/>
    </w:pPr>
    <w:rPr>
      <w:spacing w:val="-3"/>
    </w:rPr>
  </w:style>
  <w:style w:type="paragraph" w:styleId="BodyText2">
    <w:name w:val="Body Text 2"/>
    <w:aliases w:val="B2,WB Body Text 2"/>
    <w:basedOn w:val="Normal"/>
    <w:semiHidden/>
    <w:rsid w:val="00700522"/>
    <w:pPr>
      <w:tabs>
        <w:tab w:val="left" w:pos="-720"/>
      </w:tabs>
      <w:suppressAutoHyphens/>
      <w:spacing w:line="480" w:lineRule="auto"/>
    </w:pPr>
  </w:style>
  <w:style w:type="paragraph" w:styleId="BalloonText">
    <w:name w:val="Balloon Text"/>
    <w:basedOn w:val="Normal"/>
    <w:semiHidden/>
    <w:rsid w:val="00700522"/>
    <w:rPr>
      <w:rFonts w:ascii="Tahoma" w:hAnsi="Tahoma" w:cs="Tahoma"/>
      <w:sz w:val="16"/>
      <w:szCs w:val="16"/>
    </w:rPr>
  </w:style>
  <w:style w:type="paragraph" w:styleId="CommentText">
    <w:name w:val="annotation text"/>
    <w:basedOn w:val="Normal"/>
    <w:semiHidden/>
    <w:rsid w:val="00700522"/>
    <w:rPr>
      <w:sz w:val="20"/>
    </w:rPr>
  </w:style>
  <w:style w:type="character" w:styleId="CommentReference">
    <w:name w:val="annotation reference"/>
    <w:basedOn w:val="DefaultParagraphFont"/>
    <w:semiHidden/>
    <w:rsid w:val="00700522"/>
    <w:rPr>
      <w:sz w:val="16"/>
      <w:szCs w:val="16"/>
    </w:rPr>
  </w:style>
  <w:style w:type="character" w:customStyle="1" w:styleId="FootnoteTextChar">
    <w:name w:val="Footnote Text Char"/>
    <w:basedOn w:val="DefaultParagraphFont"/>
    <w:semiHidden/>
    <w:rsid w:val="00700522"/>
    <w:rPr>
      <w:sz w:val="26"/>
    </w:rPr>
  </w:style>
  <w:style w:type="paragraph" w:customStyle="1" w:styleId="OutlineL1">
    <w:name w:val="Outline_L1"/>
    <w:basedOn w:val="Normal"/>
    <w:next w:val="FootnoteText"/>
    <w:rsid w:val="00700522"/>
    <w:pPr>
      <w:keepNext/>
      <w:numPr>
        <w:numId w:val="5"/>
      </w:numPr>
      <w:spacing w:after="240"/>
      <w:jc w:val="center"/>
      <w:outlineLvl w:val="0"/>
    </w:pPr>
    <w:rPr>
      <w:rFonts w:ascii="Times New Roman Bold" w:hAnsi="Times New Roman Bold"/>
      <w:b/>
      <w:caps/>
      <w:sz w:val="24"/>
    </w:rPr>
  </w:style>
  <w:style w:type="paragraph" w:customStyle="1" w:styleId="OutlineL2">
    <w:name w:val="Outline_L2"/>
    <w:basedOn w:val="OutlineL1"/>
    <w:rsid w:val="00700522"/>
    <w:pPr>
      <w:keepNext w:val="0"/>
      <w:numPr>
        <w:ilvl w:val="1"/>
      </w:numPr>
      <w:spacing w:line="480" w:lineRule="auto"/>
      <w:jc w:val="left"/>
      <w:outlineLvl w:val="1"/>
    </w:pPr>
    <w:rPr>
      <w:rFonts w:ascii="Times New Roman" w:hAnsi="Times New Roman"/>
      <w:b w:val="0"/>
      <w:caps w:val="0"/>
    </w:rPr>
  </w:style>
  <w:style w:type="paragraph" w:customStyle="1" w:styleId="OutlineL3">
    <w:name w:val="Outline_L3"/>
    <w:basedOn w:val="OutlineL2"/>
    <w:rsid w:val="00700522"/>
    <w:pPr>
      <w:numPr>
        <w:ilvl w:val="2"/>
      </w:numPr>
      <w:spacing w:after="120"/>
      <w:outlineLvl w:val="2"/>
    </w:pPr>
  </w:style>
  <w:style w:type="paragraph" w:customStyle="1" w:styleId="OutlineL4">
    <w:name w:val="Outline_L4"/>
    <w:basedOn w:val="OutlineL3"/>
    <w:rsid w:val="00700522"/>
    <w:pPr>
      <w:numPr>
        <w:ilvl w:val="3"/>
      </w:numPr>
      <w:outlineLvl w:val="3"/>
    </w:pPr>
  </w:style>
  <w:style w:type="paragraph" w:customStyle="1" w:styleId="OutlineL5">
    <w:name w:val="Outline_L5"/>
    <w:basedOn w:val="OutlineL4"/>
    <w:rsid w:val="00700522"/>
    <w:pPr>
      <w:numPr>
        <w:ilvl w:val="4"/>
      </w:numPr>
      <w:spacing w:line="240" w:lineRule="auto"/>
      <w:outlineLvl w:val="4"/>
    </w:pPr>
  </w:style>
  <w:style w:type="paragraph" w:customStyle="1" w:styleId="OutlineL6">
    <w:name w:val="Outline_L6"/>
    <w:basedOn w:val="OutlineL5"/>
    <w:rsid w:val="00700522"/>
    <w:pPr>
      <w:numPr>
        <w:ilvl w:val="5"/>
      </w:numPr>
      <w:spacing w:after="240"/>
      <w:outlineLvl w:val="5"/>
    </w:pPr>
    <w:rPr>
      <w:szCs w:val="24"/>
    </w:rPr>
  </w:style>
  <w:style w:type="paragraph" w:customStyle="1" w:styleId="OutlineL7">
    <w:name w:val="Outline_L7"/>
    <w:basedOn w:val="OutlineL6"/>
    <w:rsid w:val="00700522"/>
    <w:pPr>
      <w:numPr>
        <w:ilvl w:val="6"/>
      </w:numPr>
      <w:outlineLvl w:val="6"/>
    </w:pPr>
    <w:rPr>
      <w:rFonts w:ascii="Times New Roman Bold" w:hAnsi="Times New Roman Bold"/>
      <w:b/>
    </w:rPr>
  </w:style>
  <w:style w:type="paragraph" w:customStyle="1" w:styleId="OutlineL8">
    <w:name w:val="Outline_L8"/>
    <w:basedOn w:val="OutlineL7"/>
    <w:rsid w:val="00700522"/>
    <w:pPr>
      <w:numPr>
        <w:ilvl w:val="7"/>
      </w:numPr>
      <w:outlineLvl w:val="7"/>
    </w:pPr>
  </w:style>
  <w:style w:type="paragraph" w:customStyle="1" w:styleId="OutlineL9">
    <w:name w:val="Outline_L9"/>
    <w:basedOn w:val="OutlineL8"/>
    <w:rsid w:val="00700522"/>
    <w:pPr>
      <w:numPr>
        <w:ilvl w:val="8"/>
      </w:numPr>
      <w:outlineLvl w:val="8"/>
    </w:pPr>
  </w:style>
  <w:style w:type="paragraph" w:styleId="PlainText">
    <w:name w:val="Plain Text"/>
    <w:basedOn w:val="Normal"/>
    <w:semiHidden/>
    <w:unhideWhenUsed/>
    <w:rsid w:val="00700522"/>
    <w:rPr>
      <w:rFonts w:ascii="Consolas" w:eastAsia="Calibri" w:hAnsi="Consolas"/>
      <w:sz w:val="21"/>
      <w:szCs w:val="21"/>
    </w:rPr>
  </w:style>
  <w:style w:type="character" w:customStyle="1" w:styleId="PlainTextChar">
    <w:name w:val="Plain Text Char"/>
    <w:basedOn w:val="DefaultParagraphFont"/>
    <w:rsid w:val="00700522"/>
    <w:rPr>
      <w:rFonts w:ascii="Consolas" w:eastAsia="Calibri" w:hAnsi="Consolas"/>
      <w:sz w:val="21"/>
      <w:szCs w:val="21"/>
    </w:rPr>
  </w:style>
  <w:style w:type="paragraph" w:styleId="ListParagraph">
    <w:name w:val="List Paragraph"/>
    <w:basedOn w:val="Normal"/>
    <w:uiPriority w:val="34"/>
    <w:qFormat/>
    <w:rsid w:val="00700522"/>
    <w:pPr>
      <w:ind w:left="720"/>
    </w:pPr>
  </w:style>
  <w:style w:type="character" w:styleId="Hyperlink">
    <w:name w:val="Hyperlink"/>
    <w:basedOn w:val="DefaultParagraphFont"/>
    <w:uiPriority w:val="99"/>
    <w:unhideWhenUsed/>
    <w:rsid w:val="00700522"/>
    <w:rPr>
      <w:color w:val="0000FF"/>
      <w:u w:val="single"/>
    </w:rPr>
  </w:style>
  <w:style w:type="character" w:customStyle="1" w:styleId="BodyTextChar">
    <w:name w:val="Body Text Char"/>
    <w:basedOn w:val="DefaultParagraphFont"/>
    <w:semiHidden/>
    <w:rsid w:val="00700522"/>
    <w:rPr>
      <w:rFonts w:ascii="Courier" w:hAnsi="Courier"/>
      <w:sz w:val="26"/>
    </w:rPr>
  </w:style>
  <w:style w:type="character" w:customStyle="1" w:styleId="BodyText2Char">
    <w:name w:val="Body Text 2 Char"/>
    <w:basedOn w:val="DefaultParagraphFont"/>
    <w:semiHidden/>
    <w:rsid w:val="00700522"/>
    <w:rPr>
      <w:sz w:val="26"/>
    </w:rPr>
  </w:style>
  <w:style w:type="character" w:customStyle="1" w:styleId="BodyText3Char">
    <w:name w:val="Body Text 3 Char"/>
    <w:basedOn w:val="DefaultParagraphFont"/>
    <w:semiHidden/>
    <w:rsid w:val="00700522"/>
    <w:rPr>
      <w:spacing w:val="-3"/>
      <w:sz w:val="26"/>
    </w:rPr>
  </w:style>
  <w:style w:type="character" w:styleId="FollowedHyperlink">
    <w:name w:val="FollowedHyperlink"/>
    <w:basedOn w:val="DefaultParagraphFont"/>
    <w:semiHidden/>
    <w:rsid w:val="00700522"/>
    <w:rPr>
      <w:color w:val="800080"/>
      <w:u w:val="single"/>
    </w:rPr>
  </w:style>
  <w:style w:type="paragraph" w:customStyle="1" w:styleId="BodyText1">
    <w:name w:val="Body Text 1"/>
    <w:aliases w:val="B1,WB Body Text 1"/>
    <w:basedOn w:val="Normal"/>
    <w:autoRedefine/>
    <w:rsid w:val="003973BB"/>
    <w:pPr>
      <w:ind w:left="1260" w:right="1440"/>
    </w:pPr>
    <w:rPr>
      <w:sz w:val="24"/>
      <w:szCs w:val="24"/>
    </w:rPr>
  </w:style>
  <w:style w:type="paragraph" w:styleId="ListNumber">
    <w:name w:val="List Number"/>
    <w:basedOn w:val="Normal"/>
    <w:semiHidden/>
    <w:rsid w:val="00700522"/>
    <w:pPr>
      <w:numPr>
        <w:numId w:val="20"/>
      </w:numPr>
      <w:tabs>
        <w:tab w:val="clear" w:pos="360"/>
        <w:tab w:val="num" w:pos="720"/>
      </w:tabs>
      <w:spacing w:after="240"/>
      <w:ind w:left="720" w:hanging="720"/>
    </w:pPr>
    <w:rPr>
      <w:sz w:val="24"/>
      <w:szCs w:val="24"/>
    </w:rPr>
  </w:style>
  <w:style w:type="paragraph" w:customStyle="1" w:styleId="FirmDouble05">
    <w:name w:val="Firm Double 05"/>
    <w:basedOn w:val="Normal"/>
    <w:rsid w:val="00770D2D"/>
    <w:pPr>
      <w:spacing w:line="480" w:lineRule="auto"/>
      <w:ind w:firstLine="720"/>
    </w:pPr>
    <w:rPr>
      <w:sz w:val="24"/>
      <w:szCs w:val="24"/>
    </w:rPr>
  </w:style>
  <w:style w:type="paragraph" w:styleId="TOCHeading">
    <w:name w:val="TOC Heading"/>
    <w:basedOn w:val="Heading1"/>
    <w:next w:val="Normal"/>
    <w:uiPriority w:val="39"/>
    <w:semiHidden/>
    <w:unhideWhenUsed/>
    <w:qFormat/>
    <w:rsid w:val="00001D7C"/>
    <w:pPr>
      <w:keepLines/>
      <w:spacing w:before="480" w:line="276" w:lineRule="auto"/>
      <w:jc w:val="left"/>
      <w:outlineLvl w:val="9"/>
    </w:pPr>
    <w:rPr>
      <w:rFonts w:ascii="Cambria" w:hAnsi="Cambria"/>
      <w:b/>
      <w:bCs/>
      <w:color w:val="365F91"/>
      <w:sz w:val="28"/>
      <w:szCs w:val="28"/>
      <w:u w:val="none"/>
    </w:rPr>
  </w:style>
  <w:style w:type="paragraph" w:styleId="TOC1">
    <w:name w:val="toc 1"/>
    <w:basedOn w:val="Normal"/>
    <w:next w:val="Normal"/>
    <w:autoRedefine/>
    <w:uiPriority w:val="39"/>
    <w:unhideWhenUsed/>
    <w:rsid w:val="00D7760B"/>
    <w:pPr>
      <w:tabs>
        <w:tab w:val="left" w:pos="270"/>
        <w:tab w:val="left" w:pos="720"/>
        <w:tab w:val="right" w:leader="dot" w:pos="9350"/>
      </w:tabs>
    </w:pPr>
  </w:style>
  <w:style w:type="paragraph" w:styleId="TOC2">
    <w:name w:val="toc 2"/>
    <w:basedOn w:val="Normal"/>
    <w:next w:val="Normal"/>
    <w:autoRedefine/>
    <w:uiPriority w:val="39"/>
    <w:unhideWhenUsed/>
    <w:rsid w:val="00001D7C"/>
    <w:pPr>
      <w:ind w:left="260"/>
    </w:pPr>
  </w:style>
  <w:style w:type="paragraph" w:styleId="TOC3">
    <w:name w:val="toc 3"/>
    <w:basedOn w:val="Normal"/>
    <w:next w:val="Normal"/>
    <w:autoRedefine/>
    <w:uiPriority w:val="39"/>
    <w:unhideWhenUsed/>
    <w:rsid w:val="00001D7C"/>
    <w:pPr>
      <w:ind w:left="520"/>
    </w:pPr>
  </w:style>
  <w:style w:type="character" w:customStyle="1" w:styleId="FooterChar">
    <w:name w:val="Footer Char"/>
    <w:basedOn w:val="DefaultParagraphFont"/>
    <w:link w:val="Footer"/>
    <w:uiPriority w:val="99"/>
    <w:rsid w:val="00006FD5"/>
    <w:rPr>
      <w:sz w:val="26"/>
    </w:rPr>
  </w:style>
  <w:style w:type="paragraph" w:styleId="EndnoteText">
    <w:name w:val="endnote text"/>
    <w:basedOn w:val="Normal"/>
    <w:link w:val="EndnoteTextChar"/>
    <w:semiHidden/>
    <w:rsid w:val="00544DD0"/>
    <w:rPr>
      <w:rFonts w:ascii="Courier" w:hAnsi="Courier"/>
      <w:sz w:val="24"/>
    </w:rPr>
  </w:style>
  <w:style w:type="character" w:customStyle="1" w:styleId="EndnoteTextChar">
    <w:name w:val="Endnote Text Char"/>
    <w:basedOn w:val="DefaultParagraphFont"/>
    <w:link w:val="EndnoteText"/>
    <w:semiHidden/>
    <w:rsid w:val="00544DD0"/>
    <w:rPr>
      <w:rFonts w:ascii="Courier" w:hAnsi="Courier"/>
      <w:sz w:val="24"/>
    </w:rPr>
  </w:style>
</w:styles>
</file>

<file path=word/webSettings.xml><?xml version="1.0" encoding="utf-8"?>
<w:webSettings xmlns:r="http://schemas.openxmlformats.org/officeDocument/2006/relationships" xmlns:w="http://schemas.openxmlformats.org/wordprocessingml/2006/main">
  <w:divs>
    <w:div w:id="177233146">
      <w:bodyDiv w:val="1"/>
      <w:marLeft w:val="0"/>
      <w:marRight w:val="0"/>
      <w:marTop w:val="0"/>
      <w:marBottom w:val="0"/>
      <w:divBdr>
        <w:top w:val="none" w:sz="0" w:space="0" w:color="auto"/>
        <w:left w:val="none" w:sz="0" w:space="0" w:color="auto"/>
        <w:bottom w:val="none" w:sz="0" w:space="0" w:color="auto"/>
        <w:right w:val="none" w:sz="0" w:space="0" w:color="auto"/>
      </w:divBdr>
    </w:div>
    <w:div w:id="752359118">
      <w:bodyDiv w:val="1"/>
      <w:marLeft w:val="0"/>
      <w:marRight w:val="0"/>
      <w:marTop w:val="0"/>
      <w:marBottom w:val="0"/>
      <w:divBdr>
        <w:top w:val="none" w:sz="0" w:space="0" w:color="auto"/>
        <w:left w:val="none" w:sz="0" w:space="0" w:color="auto"/>
        <w:bottom w:val="none" w:sz="0" w:space="0" w:color="auto"/>
        <w:right w:val="none" w:sz="0" w:space="0" w:color="auto"/>
      </w:divBdr>
    </w:div>
    <w:div w:id="1017806605">
      <w:bodyDiv w:val="1"/>
      <w:marLeft w:val="0"/>
      <w:marRight w:val="0"/>
      <w:marTop w:val="0"/>
      <w:marBottom w:val="0"/>
      <w:divBdr>
        <w:top w:val="none" w:sz="0" w:space="0" w:color="auto"/>
        <w:left w:val="none" w:sz="0" w:space="0" w:color="auto"/>
        <w:bottom w:val="none" w:sz="0" w:space="0" w:color="auto"/>
        <w:right w:val="none" w:sz="0" w:space="0" w:color="auto"/>
      </w:divBdr>
    </w:div>
    <w:div w:id="1046249396">
      <w:bodyDiv w:val="1"/>
      <w:marLeft w:val="0"/>
      <w:marRight w:val="0"/>
      <w:marTop w:val="0"/>
      <w:marBottom w:val="0"/>
      <w:divBdr>
        <w:top w:val="none" w:sz="0" w:space="0" w:color="auto"/>
        <w:left w:val="none" w:sz="0" w:space="0" w:color="auto"/>
        <w:bottom w:val="none" w:sz="0" w:space="0" w:color="auto"/>
        <w:right w:val="none" w:sz="0" w:space="0" w:color="auto"/>
      </w:divBdr>
    </w:div>
    <w:div w:id="1307511341">
      <w:bodyDiv w:val="1"/>
      <w:marLeft w:val="0"/>
      <w:marRight w:val="0"/>
      <w:marTop w:val="0"/>
      <w:marBottom w:val="0"/>
      <w:divBdr>
        <w:top w:val="none" w:sz="0" w:space="0" w:color="auto"/>
        <w:left w:val="none" w:sz="0" w:space="0" w:color="auto"/>
        <w:bottom w:val="none" w:sz="0" w:space="0" w:color="auto"/>
        <w:right w:val="none" w:sz="0" w:space="0" w:color="auto"/>
      </w:divBdr>
    </w:div>
    <w:div w:id="1733459183">
      <w:bodyDiv w:val="1"/>
      <w:marLeft w:val="0"/>
      <w:marRight w:val="0"/>
      <w:marTop w:val="0"/>
      <w:marBottom w:val="0"/>
      <w:divBdr>
        <w:top w:val="none" w:sz="0" w:space="0" w:color="auto"/>
        <w:left w:val="none" w:sz="0" w:space="0" w:color="auto"/>
        <w:bottom w:val="none" w:sz="0" w:space="0" w:color="auto"/>
        <w:right w:val="none" w:sz="0" w:space="0" w:color="auto"/>
      </w:divBdr>
    </w:div>
    <w:div w:id="1764452096">
      <w:bodyDiv w:val="1"/>
      <w:marLeft w:val="0"/>
      <w:marRight w:val="0"/>
      <w:marTop w:val="0"/>
      <w:marBottom w:val="0"/>
      <w:divBdr>
        <w:top w:val="none" w:sz="0" w:space="0" w:color="auto"/>
        <w:left w:val="none" w:sz="0" w:space="0" w:color="auto"/>
        <w:bottom w:val="none" w:sz="0" w:space="0" w:color="auto"/>
        <w:right w:val="none" w:sz="0" w:space="0" w:color="auto"/>
      </w:divBdr>
    </w:div>
    <w:div w:id="212947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co.com/pecobiz/energy_rates/energy_choice/pricetocompare.htm" TargetMode="External"/><Relationship Id="rId5" Type="http://schemas.openxmlformats.org/officeDocument/2006/relationships/webSettings" Target="webSettings.xml"/><Relationship Id="rId10" Type="http://schemas.openxmlformats.org/officeDocument/2006/relationships/hyperlink" Target="http://www.peco.com/pecobiz/energy_rates/energy_choice/pricetocompare.htm"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DFD2B-7D3F-408D-9A3F-6022A787E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50</Pages>
  <Words>15136</Words>
  <Characters>86279</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BEFORE THE </vt:lpstr>
    </vt:vector>
  </TitlesOfParts>
  <Company>Amerigas</Company>
  <LinksUpToDate>false</LinksUpToDate>
  <CharactersWithSpaces>101213</CharactersWithSpaces>
  <SharedDoc>false</SharedDoc>
  <HLinks>
    <vt:vector size="192" baseType="variant">
      <vt:variant>
        <vt:i4>65575</vt:i4>
      </vt:variant>
      <vt:variant>
        <vt:i4>159</vt:i4>
      </vt:variant>
      <vt:variant>
        <vt:i4>0</vt:i4>
      </vt:variant>
      <vt:variant>
        <vt:i4>5</vt:i4>
      </vt:variant>
      <vt:variant>
        <vt:lpwstr>mailto:bnaum@mwn.com</vt:lpwstr>
      </vt:variant>
      <vt:variant>
        <vt:lpwstr/>
      </vt:variant>
      <vt:variant>
        <vt:i4>7077964</vt:i4>
      </vt:variant>
      <vt:variant>
        <vt:i4>156</vt:i4>
      </vt:variant>
      <vt:variant>
        <vt:i4>0</vt:i4>
      </vt:variant>
      <vt:variant>
        <vt:i4>5</vt:i4>
      </vt:variant>
      <vt:variant>
        <vt:lpwstr>mailto:cmincavage@mwn.com</vt:lpwstr>
      </vt:variant>
      <vt:variant>
        <vt:lpwstr/>
      </vt:variant>
      <vt:variant>
        <vt:i4>6488146</vt:i4>
      </vt:variant>
      <vt:variant>
        <vt:i4>153</vt:i4>
      </vt:variant>
      <vt:variant>
        <vt:i4>0</vt:i4>
      </vt:variant>
      <vt:variant>
        <vt:i4>5</vt:i4>
      </vt:variant>
      <vt:variant>
        <vt:lpwstr>mailto:czwick@mwn.com</vt:lpwstr>
      </vt:variant>
      <vt:variant>
        <vt:lpwstr/>
      </vt:variant>
      <vt:variant>
        <vt:i4>7995420</vt:i4>
      </vt:variant>
      <vt:variant>
        <vt:i4>150</vt:i4>
      </vt:variant>
      <vt:variant>
        <vt:i4>0</vt:i4>
      </vt:variant>
      <vt:variant>
        <vt:i4>5</vt:i4>
      </vt:variant>
      <vt:variant>
        <vt:lpwstr>mailto:dasmus@state.pa.us</vt:lpwstr>
      </vt:variant>
      <vt:variant>
        <vt:lpwstr/>
      </vt:variant>
      <vt:variant>
        <vt:i4>7995462</vt:i4>
      </vt:variant>
      <vt:variant>
        <vt:i4>147</vt:i4>
      </vt:variant>
      <vt:variant>
        <vt:i4>0</vt:i4>
      </vt:variant>
      <vt:variant>
        <vt:i4>5</vt:i4>
      </vt:variant>
      <vt:variant>
        <vt:lpwstr>mailto:cvasudevan@morganlewis.com</vt:lpwstr>
      </vt:variant>
      <vt:variant>
        <vt:lpwstr/>
      </vt:variant>
      <vt:variant>
        <vt:i4>7733331</vt:i4>
      </vt:variant>
      <vt:variant>
        <vt:i4>144</vt:i4>
      </vt:variant>
      <vt:variant>
        <vt:i4>0</vt:i4>
      </vt:variant>
      <vt:variant>
        <vt:i4>5</vt:i4>
      </vt:variant>
      <vt:variant>
        <vt:lpwstr>mailto:kkulak@morganlewis.com</vt:lpwstr>
      </vt:variant>
      <vt:variant>
        <vt:lpwstr/>
      </vt:variant>
      <vt:variant>
        <vt:i4>655414</vt:i4>
      </vt:variant>
      <vt:variant>
        <vt:i4>141</vt:i4>
      </vt:variant>
      <vt:variant>
        <vt:i4>0</vt:i4>
      </vt:variant>
      <vt:variant>
        <vt:i4>5</vt:i4>
      </vt:variant>
      <vt:variant>
        <vt:lpwstr>mailto:tgadsden@morganlewis.com</vt:lpwstr>
      </vt:variant>
      <vt:variant>
        <vt:lpwstr/>
      </vt:variant>
      <vt:variant>
        <vt:i4>4194347</vt:i4>
      </vt:variant>
      <vt:variant>
        <vt:i4>138</vt:i4>
      </vt:variant>
      <vt:variant>
        <vt:i4>0</vt:i4>
      </vt:variant>
      <vt:variant>
        <vt:i4>5</vt:i4>
      </vt:variant>
      <vt:variant>
        <vt:lpwstr>mailto:anthony.gay@exeloncorp.com</vt:lpwstr>
      </vt:variant>
      <vt:variant>
        <vt:lpwstr/>
      </vt:variant>
      <vt:variant>
        <vt:i4>7012365</vt:i4>
      </vt:variant>
      <vt:variant>
        <vt:i4>135</vt:i4>
      </vt:variant>
      <vt:variant>
        <vt:i4>0</vt:i4>
      </vt:variant>
      <vt:variant>
        <vt:i4>5</vt:i4>
      </vt:variant>
      <vt:variant>
        <vt:lpwstr>mailto:jack.garfinkle@exeloncorp.com</vt:lpwstr>
      </vt:variant>
      <vt:variant>
        <vt:lpwstr/>
      </vt:variant>
      <vt:variant>
        <vt:i4>7471214</vt:i4>
      </vt:variant>
      <vt:variant>
        <vt:i4>132</vt:i4>
      </vt:variant>
      <vt:variant>
        <vt:i4>0</vt:i4>
      </vt:variant>
      <vt:variant>
        <vt:i4>5</vt:i4>
      </vt:variant>
      <vt:variant>
        <vt:lpwstr>http://www.peco.com/pecobiz/energy_rates/energy_choice/pricetocompare.htm</vt:lpwstr>
      </vt:variant>
      <vt:variant>
        <vt:lpwstr/>
      </vt:variant>
      <vt:variant>
        <vt:i4>7471214</vt:i4>
      </vt:variant>
      <vt:variant>
        <vt:i4>129</vt:i4>
      </vt:variant>
      <vt:variant>
        <vt:i4>0</vt:i4>
      </vt:variant>
      <vt:variant>
        <vt:i4>5</vt:i4>
      </vt:variant>
      <vt:variant>
        <vt:lpwstr>http://www.peco.com/pecobiz/energy_rates/energy_choice/pricetocompare.htm</vt:lpwstr>
      </vt:variant>
      <vt:variant>
        <vt:lpwstr/>
      </vt:variant>
      <vt:variant>
        <vt:i4>1703994</vt:i4>
      </vt:variant>
      <vt:variant>
        <vt:i4>122</vt:i4>
      </vt:variant>
      <vt:variant>
        <vt:i4>0</vt:i4>
      </vt:variant>
      <vt:variant>
        <vt:i4>5</vt:i4>
      </vt:variant>
      <vt:variant>
        <vt:lpwstr/>
      </vt:variant>
      <vt:variant>
        <vt:lpwstr>_Toc259706199</vt:lpwstr>
      </vt:variant>
      <vt:variant>
        <vt:i4>1703994</vt:i4>
      </vt:variant>
      <vt:variant>
        <vt:i4>116</vt:i4>
      </vt:variant>
      <vt:variant>
        <vt:i4>0</vt:i4>
      </vt:variant>
      <vt:variant>
        <vt:i4>5</vt:i4>
      </vt:variant>
      <vt:variant>
        <vt:lpwstr/>
      </vt:variant>
      <vt:variant>
        <vt:lpwstr>_Toc259706198</vt:lpwstr>
      </vt:variant>
      <vt:variant>
        <vt:i4>1703994</vt:i4>
      </vt:variant>
      <vt:variant>
        <vt:i4>110</vt:i4>
      </vt:variant>
      <vt:variant>
        <vt:i4>0</vt:i4>
      </vt:variant>
      <vt:variant>
        <vt:i4>5</vt:i4>
      </vt:variant>
      <vt:variant>
        <vt:lpwstr/>
      </vt:variant>
      <vt:variant>
        <vt:lpwstr>_Toc259706197</vt:lpwstr>
      </vt:variant>
      <vt:variant>
        <vt:i4>1703994</vt:i4>
      </vt:variant>
      <vt:variant>
        <vt:i4>104</vt:i4>
      </vt:variant>
      <vt:variant>
        <vt:i4>0</vt:i4>
      </vt:variant>
      <vt:variant>
        <vt:i4>5</vt:i4>
      </vt:variant>
      <vt:variant>
        <vt:lpwstr/>
      </vt:variant>
      <vt:variant>
        <vt:lpwstr>_Toc259706196</vt:lpwstr>
      </vt:variant>
      <vt:variant>
        <vt:i4>1703994</vt:i4>
      </vt:variant>
      <vt:variant>
        <vt:i4>98</vt:i4>
      </vt:variant>
      <vt:variant>
        <vt:i4>0</vt:i4>
      </vt:variant>
      <vt:variant>
        <vt:i4>5</vt:i4>
      </vt:variant>
      <vt:variant>
        <vt:lpwstr/>
      </vt:variant>
      <vt:variant>
        <vt:lpwstr>_Toc259706195</vt:lpwstr>
      </vt:variant>
      <vt:variant>
        <vt:i4>1703994</vt:i4>
      </vt:variant>
      <vt:variant>
        <vt:i4>92</vt:i4>
      </vt:variant>
      <vt:variant>
        <vt:i4>0</vt:i4>
      </vt:variant>
      <vt:variant>
        <vt:i4>5</vt:i4>
      </vt:variant>
      <vt:variant>
        <vt:lpwstr/>
      </vt:variant>
      <vt:variant>
        <vt:lpwstr>_Toc259706194</vt:lpwstr>
      </vt:variant>
      <vt:variant>
        <vt:i4>1703994</vt:i4>
      </vt:variant>
      <vt:variant>
        <vt:i4>86</vt:i4>
      </vt:variant>
      <vt:variant>
        <vt:i4>0</vt:i4>
      </vt:variant>
      <vt:variant>
        <vt:i4>5</vt:i4>
      </vt:variant>
      <vt:variant>
        <vt:lpwstr/>
      </vt:variant>
      <vt:variant>
        <vt:lpwstr>_Toc259706193</vt:lpwstr>
      </vt:variant>
      <vt:variant>
        <vt:i4>1703994</vt:i4>
      </vt:variant>
      <vt:variant>
        <vt:i4>80</vt:i4>
      </vt:variant>
      <vt:variant>
        <vt:i4>0</vt:i4>
      </vt:variant>
      <vt:variant>
        <vt:i4>5</vt:i4>
      </vt:variant>
      <vt:variant>
        <vt:lpwstr/>
      </vt:variant>
      <vt:variant>
        <vt:lpwstr>_Toc259706192</vt:lpwstr>
      </vt:variant>
      <vt:variant>
        <vt:i4>1703994</vt:i4>
      </vt:variant>
      <vt:variant>
        <vt:i4>74</vt:i4>
      </vt:variant>
      <vt:variant>
        <vt:i4>0</vt:i4>
      </vt:variant>
      <vt:variant>
        <vt:i4>5</vt:i4>
      </vt:variant>
      <vt:variant>
        <vt:lpwstr/>
      </vt:variant>
      <vt:variant>
        <vt:lpwstr>_Toc259706191</vt:lpwstr>
      </vt:variant>
      <vt:variant>
        <vt:i4>1703994</vt:i4>
      </vt:variant>
      <vt:variant>
        <vt:i4>68</vt:i4>
      </vt:variant>
      <vt:variant>
        <vt:i4>0</vt:i4>
      </vt:variant>
      <vt:variant>
        <vt:i4>5</vt:i4>
      </vt:variant>
      <vt:variant>
        <vt:lpwstr/>
      </vt:variant>
      <vt:variant>
        <vt:lpwstr>_Toc259706190</vt:lpwstr>
      </vt:variant>
      <vt:variant>
        <vt:i4>1769530</vt:i4>
      </vt:variant>
      <vt:variant>
        <vt:i4>62</vt:i4>
      </vt:variant>
      <vt:variant>
        <vt:i4>0</vt:i4>
      </vt:variant>
      <vt:variant>
        <vt:i4>5</vt:i4>
      </vt:variant>
      <vt:variant>
        <vt:lpwstr/>
      </vt:variant>
      <vt:variant>
        <vt:lpwstr>_Toc259706189</vt:lpwstr>
      </vt:variant>
      <vt:variant>
        <vt:i4>1769530</vt:i4>
      </vt:variant>
      <vt:variant>
        <vt:i4>56</vt:i4>
      </vt:variant>
      <vt:variant>
        <vt:i4>0</vt:i4>
      </vt:variant>
      <vt:variant>
        <vt:i4>5</vt:i4>
      </vt:variant>
      <vt:variant>
        <vt:lpwstr/>
      </vt:variant>
      <vt:variant>
        <vt:lpwstr>_Toc259706188</vt:lpwstr>
      </vt:variant>
      <vt:variant>
        <vt:i4>1769530</vt:i4>
      </vt:variant>
      <vt:variant>
        <vt:i4>50</vt:i4>
      </vt:variant>
      <vt:variant>
        <vt:i4>0</vt:i4>
      </vt:variant>
      <vt:variant>
        <vt:i4>5</vt:i4>
      </vt:variant>
      <vt:variant>
        <vt:lpwstr/>
      </vt:variant>
      <vt:variant>
        <vt:lpwstr>_Toc259706187</vt:lpwstr>
      </vt:variant>
      <vt:variant>
        <vt:i4>1769530</vt:i4>
      </vt:variant>
      <vt:variant>
        <vt:i4>44</vt:i4>
      </vt:variant>
      <vt:variant>
        <vt:i4>0</vt:i4>
      </vt:variant>
      <vt:variant>
        <vt:i4>5</vt:i4>
      </vt:variant>
      <vt:variant>
        <vt:lpwstr/>
      </vt:variant>
      <vt:variant>
        <vt:lpwstr>_Toc259706186</vt:lpwstr>
      </vt:variant>
      <vt:variant>
        <vt:i4>1769530</vt:i4>
      </vt:variant>
      <vt:variant>
        <vt:i4>38</vt:i4>
      </vt:variant>
      <vt:variant>
        <vt:i4>0</vt:i4>
      </vt:variant>
      <vt:variant>
        <vt:i4>5</vt:i4>
      </vt:variant>
      <vt:variant>
        <vt:lpwstr/>
      </vt:variant>
      <vt:variant>
        <vt:lpwstr>_Toc259706185</vt:lpwstr>
      </vt:variant>
      <vt:variant>
        <vt:i4>1769530</vt:i4>
      </vt:variant>
      <vt:variant>
        <vt:i4>32</vt:i4>
      </vt:variant>
      <vt:variant>
        <vt:i4>0</vt:i4>
      </vt:variant>
      <vt:variant>
        <vt:i4>5</vt:i4>
      </vt:variant>
      <vt:variant>
        <vt:lpwstr/>
      </vt:variant>
      <vt:variant>
        <vt:lpwstr>_Toc259706184</vt:lpwstr>
      </vt:variant>
      <vt:variant>
        <vt:i4>1769530</vt:i4>
      </vt:variant>
      <vt:variant>
        <vt:i4>26</vt:i4>
      </vt:variant>
      <vt:variant>
        <vt:i4>0</vt:i4>
      </vt:variant>
      <vt:variant>
        <vt:i4>5</vt:i4>
      </vt:variant>
      <vt:variant>
        <vt:lpwstr/>
      </vt:variant>
      <vt:variant>
        <vt:lpwstr>_Toc259706183</vt:lpwstr>
      </vt:variant>
      <vt:variant>
        <vt:i4>1769530</vt:i4>
      </vt:variant>
      <vt:variant>
        <vt:i4>20</vt:i4>
      </vt:variant>
      <vt:variant>
        <vt:i4>0</vt:i4>
      </vt:variant>
      <vt:variant>
        <vt:i4>5</vt:i4>
      </vt:variant>
      <vt:variant>
        <vt:lpwstr/>
      </vt:variant>
      <vt:variant>
        <vt:lpwstr>_Toc259706182</vt:lpwstr>
      </vt:variant>
      <vt:variant>
        <vt:i4>1769530</vt:i4>
      </vt:variant>
      <vt:variant>
        <vt:i4>14</vt:i4>
      </vt:variant>
      <vt:variant>
        <vt:i4>0</vt:i4>
      </vt:variant>
      <vt:variant>
        <vt:i4>5</vt:i4>
      </vt:variant>
      <vt:variant>
        <vt:lpwstr/>
      </vt:variant>
      <vt:variant>
        <vt:lpwstr>_Toc259706181</vt:lpwstr>
      </vt:variant>
      <vt:variant>
        <vt:i4>1376314</vt:i4>
      </vt:variant>
      <vt:variant>
        <vt:i4>8</vt:i4>
      </vt:variant>
      <vt:variant>
        <vt:i4>0</vt:i4>
      </vt:variant>
      <vt:variant>
        <vt:i4>5</vt:i4>
      </vt:variant>
      <vt:variant>
        <vt:lpwstr/>
      </vt:variant>
      <vt:variant>
        <vt:lpwstr>_Toc259706164</vt:lpwstr>
      </vt:variant>
      <vt:variant>
        <vt:i4>1441850</vt:i4>
      </vt:variant>
      <vt:variant>
        <vt:i4>2</vt:i4>
      </vt:variant>
      <vt:variant>
        <vt:i4>0</vt:i4>
      </vt:variant>
      <vt:variant>
        <vt:i4>5</vt:i4>
      </vt:variant>
      <vt:variant>
        <vt:lpwstr/>
      </vt:variant>
      <vt:variant>
        <vt:lpwstr>_Toc259706157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dc:title>
  <dc:subject/>
  <dc:creator>FORDHAM</dc:creator>
  <cp:keywords/>
  <dc:description/>
  <cp:lastModifiedBy>shoffner</cp:lastModifiedBy>
  <cp:revision>19</cp:revision>
  <cp:lastPrinted>2010-04-28T14:07:00Z</cp:lastPrinted>
  <dcterms:created xsi:type="dcterms:W3CDTF">2010-04-28T12:59:00Z</dcterms:created>
  <dcterms:modified xsi:type="dcterms:W3CDTF">2010-04-28T15:32:00Z</dcterms:modified>
</cp:coreProperties>
</file>