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A6" w:rsidRPr="00F461A6" w:rsidRDefault="00F461A6" w:rsidP="001B6A74">
      <w:pPr>
        <w:spacing w:line="240" w:lineRule="auto"/>
        <w:ind w:firstLine="0"/>
        <w:jc w:val="center"/>
        <w:rPr>
          <w:b/>
          <w:szCs w:val="26"/>
        </w:rPr>
      </w:pPr>
      <w:r w:rsidRPr="00F461A6">
        <w:rPr>
          <w:b/>
          <w:szCs w:val="26"/>
        </w:rPr>
        <w:t>PENNSYLVANIA</w:t>
      </w:r>
    </w:p>
    <w:p w:rsidR="00F461A6" w:rsidRPr="00F461A6" w:rsidRDefault="00F461A6" w:rsidP="001B6A74">
      <w:pPr>
        <w:spacing w:line="240" w:lineRule="auto"/>
        <w:ind w:firstLine="0"/>
        <w:jc w:val="center"/>
        <w:rPr>
          <w:b/>
          <w:szCs w:val="26"/>
        </w:rPr>
      </w:pPr>
      <w:r w:rsidRPr="00F461A6">
        <w:rPr>
          <w:b/>
          <w:szCs w:val="26"/>
        </w:rPr>
        <w:t>PUBLIC UTILITY COMMISSION</w:t>
      </w:r>
    </w:p>
    <w:p w:rsidR="00F461A6" w:rsidRPr="00F461A6" w:rsidRDefault="00F461A6" w:rsidP="001B6A74">
      <w:pPr>
        <w:spacing w:line="240" w:lineRule="auto"/>
        <w:ind w:firstLine="0"/>
        <w:jc w:val="center"/>
        <w:rPr>
          <w:b/>
          <w:szCs w:val="26"/>
        </w:rPr>
      </w:pPr>
      <w:r w:rsidRPr="00F461A6">
        <w:rPr>
          <w:b/>
          <w:szCs w:val="26"/>
        </w:rPr>
        <w:t>Harrisburg, PA  17105-3265</w:t>
      </w:r>
    </w:p>
    <w:p w:rsidR="00F461A6" w:rsidRPr="00F461A6" w:rsidRDefault="00F461A6" w:rsidP="00AB1E94">
      <w:pPr>
        <w:ind w:firstLine="0"/>
        <w:rPr>
          <w:szCs w:val="26"/>
        </w:rPr>
      </w:pPr>
    </w:p>
    <w:p w:rsidR="00F461A6" w:rsidRPr="00F461A6" w:rsidRDefault="00F461A6" w:rsidP="00AB1E94">
      <w:pPr>
        <w:ind w:firstLine="0"/>
        <w:rPr>
          <w:szCs w:val="26"/>
        </w:rPr>
      </w:pPr>
    </w:p>
    <w:p w:rsidR="00F461A6" w:rsidRPr="00F461A6" w:rsidRDefault="00F461A6" w:rsidP="00AB1E94">
      <w:pPr>
        <w:ind w:firstLine="0"/>
        <w:jc w:val="right"/>
        <w:rPr>
          <w:szCs w:val="26"/>
        </w:rPr>
      </w:pPr>
      <w:r w:rsidRPr="00F461A6">
        <w:rPr>
          <w:szCs w:val="26"/>
        </w:rPr>
        <w:tab/>
      </w:r>
      <w:r w:rsidRPr="00F461A6">
        <w:rPr>
          <w:szCs w:val="26"/>
        </w:rPr>
        <w:tab/>
      </w:r>
      <w:r w:rsidRPr="00F461A6">
        <w:rPr>
          <w:szCs w:val="26"/>
        </w:rPr>
        <w:tab/>
      </w:r>
      <w:r w:rsidRPr="00F461A6">
        <w:rPr>
          <w:szCs w:val="26"/>
        </w:rPr>
        <w:tab/>
      </w:r>
      <w:r w:rsidRPr="00F461A6">
        <w:rPr>
          <w:szCs w:val="26"/>
        </w:rPr>
        <w:tab/>
      </w:r>
      <w:r w:rsidRPr="00F461A6">
        <w:rPr>
          <w:szCs w:val="26"/>
        </w:rPr>
        <w:tab/>
        <w:t xml:space="preserve">            Public Meeting held </w:t>
      </w:r>
      <w:r w:rsidR="009F2A43">
        <w:rPr>
          <w:szCs w:val="26"/>
        </w:rPr>
        <w:t xml:space="preserve">April </w:t>
      </w:r>
      <w:r w:rsidR="00F91F57">
        <w:rPr>
          <w:szCs w:val="26"/>
        </w:rPr>
        <w:t>22</w:t>
      </w:r>
      <w:r w:rsidRPr="00F461A6">
        <w:rPr>
          <w:szCs w:val="26"/>
        </w:rPr>
        <w:t>, 20</w:t>
      </w:r>
      <w:r w:rsidR="00921D1C">
        <w:rPr>
          <w:szCs w:val="26"/>
        </w:rPr>
        <w:t>10</w:t>
      </w:r>
    </w:p>
    <w:p w:rsidR="00F461A6" w:rsidRPr="00F461A6" w:rsidRDefault="00F461A6" w:rsidP="00AB1E94">
      <w:pPr>
        <w:ind w:firstLine="0"/>
        <w:rPr>
          <w:szCs w:val="26"/>
        </w:rPr>
      </w:pPr>
    </w:p>
    <w:p w:rsidR="00F461A6" w:rsidRPr="00F461A6" w:rsidRDefault="00F461A6" w:rsidP="00AB1E94">
      <w:pPr>
        <w:ind w:firstLine="0"/>
        <w:rPr>
          <w:szCs w:val="26"/>
        </w:rPr>
      </w:pPr>
      <w:r w:rsidRPr="00F461A6">
        <w:rPr>
          <w:szCs w:val="26"/>
        </w:rPr>
        <w:t>Commissioners Present:</w:t>
      </w:r>
    </w:p>
    <w:p w:rsidR="00F461A6" w:rsidRPr="00F461A6" w:rsidRDefault="00F461A6" w:rsidP="00AB1E94">
      <w:pPr>
        <w:spacing w:line="240" w:lineRule="auto"/>
        <w:ind w:firstLine="0"/>
        <w:rPr>
          <w:szCs w:val="26"/>
        </w:rPr>
      </w:pPr>
    </w:p>
    <w:p w:rsidR="00F461A6" w:rsidRPr="00F461A6" w:rsidRDefault="00F461A6" w:rsidP="00AB1E94">
      <w:pPr>
        <w:spacing w:line="240" w:lineRule="auto"/>
        <w:ind w:firstLine="0"/>
        <w:rPr>
          <w:szCs w:val="26"/>
        </w:rPr>
      </w:pPr>
      <w:r w:rsidRPr="00F461A6">
        <w:rPr>
          <w:szCs w:val="26"/>
        </w:rPr>
        <w:tab/>
        <w:t>James H. Cawley, Chairman</w:t>
      </w:r>
    </w:p>
    <w:p w:rsidR="00F461A6" w:rsidRPr="00F461A6" w:rsidRDefault="00F461A6" w:rsidP="00AB1E94">
      <w:pPr>
        <w:spacing w:line="240" w:lineRule="auto"/>
        <w:ind w:firstLine="0"/>
        <w:rPr>
          <w:szCs w:val="26"/>
        </w:rPr>
      </w:pPr>
      <w:r w:rsidRPr="00F461A6">
        <w:rPr>
          <w:szCs w:val="26"/>
        </w:rPr>
        <w:tab/>
        <w:t>Tyrone J. Christy, Vice Chairman</w:t>
      </w:r>
      <w:r w:rsidR="006E1A57">
        <w:rPr>
          <w:szCs w:val="26"/>
        </w:rPr>
        <w:t>, Dissent</w:t>
      </w:r>
    </w:p>
    <w:p w:rsidR="00F461A6" w:rsidRDefault="00F461A6" w:rsidP="00AB1E94">
      <w:pPr>
        <w:spacing w:line="240" w:lineRule="auto"/>
        <w:ind w:firstLine="0"/>
        <w:rPr>
          <w:szCs w:val="26"/>
        </w:rPr>
      </w:pPr>
      <w:r w:rsidRPr="00F461A6">
        <w:rPr>
          <w:szCs w:val="26"/>
        </w:rPr>
        <w:tab/>
        <w:t>Wayne E. Gardner</w:t>
      </w:r>
      <w:r w:rsidR="006E1A57">
        <w:rPr>
          <w:szCs w:val="26"/>
        </w:rPr>
        <w:t>, Statement</w:t>
      </w:r>
    </w:p>
    <w:p w:rsidR="00F97E2E" w:rsidRPr="00F461A6" w:rsidRDefault="00F97E2E" w:rsidP="00AB1E94">
      <w:pPr>
        <w:spacing w:line="240" w:lineRule="auto"/>
        <w:ind w:firstLine="0"/>
        <w:rPr>
          <w:szCs w:val="26"/>
        </w:rPr>
      </w:pPr>
      <w:r>
        <w:rPr>
          <w:szCs w:val="26"/>
        </w:rPr>
        <w:tab/>
      </w:r>
      <w:r w:rsidRPr="00F461A6">
        <w:rPr>
          <w:szCs w:val="26"/>
        </w:rPr>
        <w:t>Robert F. Powelson</w:t>
      </w:r>
    </w:p>
    <w:p w:rsidR="00F461A6" w:rsidRDefault="00F461A6" w:rsidP="00AB1E94">
      <w:pPr>
        <w:spacing w:line="240" w:lineRule="auto"/>
        <w:ind w:firstLine="0"/>
        <w:rPr>
          <w:szCs w:val="26"/>
        </w:rPr>
      </w:pPr>
    </w:p>
    <w:p w:rsidR="00325B18" w:rsidRDefault="00325B18" w:rsidP="00AB1E94">
      <w:pPr>
        <w:spacing w:line="240" w:lineRule="auto"/>
        <w:ind w:firstLine="0"/>
        <w:rPr>
          <w:szCs w:val="26"/>
        </w:rPr>
      </w:pPr>
    </w:p>
    <w:p w:rsidR="00E22BC7" w:rsidRDefault="00E22BC7" w:rsidP="00AB1E94">
      <w:pPr>
        <w:spacing w:line="240" w:lineRule="auto"/>
        <w:ind w:firstLine="0"/>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22BC7" w:rsidTr="00D26482">
        <w:tc>
          <w:tcPr>
            <w:tcW w:w="4788" w:type="dxa"/>
          </w:tcPr>
          <w:p w:rsidR="00E22BC7" w:rsidRDefault="00E22BC7" w:rsidP="00AB1E94">
            <w:pPr>
              <w:spacing w:line="240" w:lineRule="auto"/>
              <w:ind w:firstLine="0"/>
              <w:rPr>
                <w:szCs w:val="26"/>
              </w:rPr>
            </w:pPr>
            <w:r>
              <w:rPr>
                <w:szCs w:val="26"/>
              </w:rPr>
              <w:t xml:space="preserve">Petition of </w:t>
            </w:r>
            <w:r w:rsidR="00187084">
              <w:rPr>
                <w:szCs w:val="26"/>
              </w:rPr>
              <w:t xml:space="preserve">PECO Energy Company </w:t>
            </w:r>
            <w:r>
              <w:rPr>
                <w:szCs w:val="26"/>
              </w:rPr>
              <w:t xml:space="preserve">for </w:t>
            </w:r>
            <w:r w:rsidR="00020830">
              <w:rPr>
                <w:szCs w:val="26"/>
              </w:rPr>
              <w:t>Approval of Smart Meter Technology Procurement and Installation Plan</w:t>
            </w:r>
          </w:p>
        </w:tc>
        <w:tc>
          <w:tcPr>
            <w:tcW w:w="4788" w:type="dxa"/>
          </w:tcPr>
          <w:p w:rsidR="00E22BC7" w:rsidRDefault="00A82CAB" w:rsidP="00AB1E94">
            <w:pPr>
              <w:ind w:firstLine="0"/>
              <w:jc w:val="right"/>
              <w:rPr>
                <w:szCs w:val="26"/>
              </w:rPr>
            </w:pPr>
            <w:r>
              <w:rPr>
                <w:szCs w:val="26"/>
              </w:rPr>
              <w:t>Docket</w:t>
            </w:r>
            <w:r w:rsidR="00020830">
              <w:rPr>
                <w:szCs w:val="26"/>
              </w:rPr>
              <w:t xml:space="preserve"> No</w:t>
            </w:r>
            <w:r w:rsidR="00E22BC7">
              <w:rPr>
                <w:szCs w:val="26"/>
              </w:rPr>
              <w:t>.</w:t>
            </w:r>
            <w:r w:rsidR="00020830">
              <w:rPr>
                <w:szCs w:val="26"/>
              </w:rPr>
              <w:t xml:space="preserve"> </w:t>
            </w:r>
            <w:r w:rsidR="00065CDD">
              <w:rPr>
                <w:szCs w:val="26"/>
              </w:rPr>
              <w:t>M-2009-</w:t>
            </w:r>
            <w:r w:rsidR="00B520B7">
              <w:rPr>
                <w:szCs w:val="26"/>
              </w:rPr>
              <w:t>21239</w:t>
            </w:r>
            <w:r w:rsidR="00D02B2D">
              <w:rPr>
                <w:szCs w:val="26"/>
              </w:rPr>
              <w:t>4</w:t>
            </w:r>
            <w:r w:rsidR="00B520B7">
              <w:rPr>
                <w:szCs w:val="26"/>
              </w:rPr>
              <w:t>4</w:t>
            </w:r>
          </w:p>
          <w:p w:rsidR="00E22BC7" w:rsidRDefault="00E22BC7" w:rsidP="00AB1E94">
            <w:pPr>
              <w:ind w:firstLine="0"/>
              <w:rPr>
                <w:szCs w:val="26"/>
              </w:rPr>
            </w:pPr>
          </w:p>
        </w:tc>
      </w:tr>
    </w:tbl>
    <w:p w:rsidR="00E22BC7" w:rsidRDefault="00E22BC7" w:rsidP="00AB1E94">
      <w:pPr>
        <w:rPr>
          <w:szCs w:val="26"/>
        </w:rPr>
      </w:pPr>
    </w:p>
    <w:p w:rsidR="00A66BFA" w:rsidRDefault="00A66BFA" w:rsidP="004D3FD8">
      <w:pPr>
        <w:ind w:firstLine="0"/>
        <w:jc w:val="center"/>
        <w:rPr>
          <w:b/>
          <w:szCs w:val="26"/>
        </w:rPr>
      </w:pPr>
    </w:p>
    <w:p w:rsidR="00B848EC" w:rsidRDefault="003A5D24" w:rsidP="004276C7">
      <w:pPr>
        <w:ind w:firstLine="0"/>
        <w:jc w:val="center"/>
        <w:rPr>
          <w:b/>
          <w:szCs w:val="26"/>
        </w:rPr>
      </w:pPr>
      <w:r>
        <w:rPr>
          <w:b/>
          <w:szCs w:val="26"/>
        </w:rPr>
        <w:t>OPINION AND ORDER</w:t>
      </w:r>
    </w:p>
    <w:p w:rsidR="00B23F3F" w:rsidRDefault="00B23F3F">
      <w:pPr>
        <w:spacing w:after="200" w:line="276" w:lineRule="auto"/>
        <w:ind w:firstLine="0"/>
        <w:rPr>
          <w:b/>
          <w:szCs w:val="26"/>
        </w:rPr>
        <w:sectPr w:rsidR="00B23F3F" w:rsidSect="00B23F3F">
          <w:footerReference w:type="default" r:id="rId8"/>
          <w:headerReference w:type="first" r:id="rId9"/>
          <w:footerReference w:type="first" r:id="rId10"/>
          <w:pgSz w:w="12240" w:h="15840"/>
          <w:pgMar w:top="1440" w:right="1440" w:bottom="1440" w:left="1440" w:header="720" w:footer="720" w:gutter="0"/>
          <w:pgNumType w:fmt="lowerRoman" w:start="1"/>
          <w:cols w:space="720"/>
          <w:titlePg/>
          <w:docGrid w:linePitch="360"/>
        </w:sectPr>
      </w:pPr>
    </w:p>
    <w:p w:rsidR="00B848EC" w:rsidRDefault="00B848EC">
      <w:pPr>
        <w:spacing w:after="200" w:line="276" w:lineRule="auto"/>
        <w:ind w:firstLine="0"/>
        <w:rPr>
          <w:b/>
          <w:szCs w:val="26"/>
        </w:rPr>
      </w:pPr>
    </w:p>
    <w:p w:rsidR="006E2C4D" w:rsidRDefault="006E2C4D" w:rsidP="004D3FD8">
      <w:pPr>
        <w:ind w:firstLine="0"/>
        <w:jc w:val="center"/>
        <w:rPr>
          <w:b/>
          <w:szCs w:val="26"/>
        </w:rPr>
      </w:pPr>
    </w:p>
    <w:sdt>
      <w:sdtPr>
        <w:rPr>
          <w:rFonts w:ascii="Times New Roman" w:eastAsia="Times New Roman" w:hAnsi="Times New Roman" w:cs="Times New Roman"/>
          <w:b w:val="0"/>
          <w:bCs w:val="0"/>
          <w:color w:val="auto"/>
          <w:sz w:val="26"/>
          <w:szCs w:val="24"/>
        </w:rPr>
        <w:id w:val="141539500"/>
        <w:docPartObj>
          <w:docPartGallery w:val="Table of Contents"/>
          <w:docPartUnique/>
        </w:docPartObj>
      </w:sdtPr>
      <w:sdtContent>
        <w:p w:rsidR="00F2328E" w:rsidRPr="00E815C2" w:rsidRDefault="00F2328E" w:rsidP="00B848EC">
          <w:pPr>
            <w:pStyle w:val="TOCHeading"/>
            <w:jc w:val="center"/>
            <w:rPr>
              <w:color w:val="auto"/>
            </w:rPr>
          </w:pPr>
          <w:r w:rsidRPr="00E815C2">
            <w:rPr>
              <w:color w:val="auto"/>
            </w:rPr>
            <w:t>Table of Contents</w:t>
          </w:r>
        </w:p>
        <w:p w:rsidR="00410DC1" w:rsidRPr="00410DC1" w:rsidRDefault="00410DC1" w:rsidP="00410DC1"/>
        <w:p w:rsidR="00716848" w:rsidRDefault="003D6E16">
          <w:pPr>
            <w:pStyle w:val="TOC1"/>
            <w:rPr>
              <w:rFonts w:asciiTheme="minorHAnsi" w:eastAsiaTheme="minorEastAsia" w:hAnsiTheme="minorHAnsi" w:cstheme="minorBidi"/>
              <w:noProof/>
              <w:sz w:val="22"/>
              <w:szCs w:val="22"/>
            </w:rPr>
          </w:pPr>
          <w:r>
            <w:fldChar w:fldCharType="begin"/>
          </w:r>
          <w:r w:rsidR="00F2328E">
            <w:instrText xml:space="preserve"> TOC \o "1-3" \h \z \u </w:instrText>
          </w:r>
          <w:r>
            <w:fldChar w:fldCharType="separate"/>
          </w:r>
          <w:hyperlink w:anchor="_Toc260130890" w:history="1">
            <w:r w:rsidR="00716848" w:rsidRPr="00FC03F4">
              <w:rPr>
                <w:rStyle w:val="Hyperlink"/>
                <w:noProof/>
              </w:rPr>
              <w:t>I.</w:t>
            </w:r>
            <w:r w:rsidR="00716848">
              <w:rPr>
                <w:rFonts w:asciiTheme="minorHAnsi" w:eastAsiaTheme="minorEastAsia" w:hAnsiTheme="minorHAnsi" w:cstheme="minorBidi"/>
                <w:noProof/>
                <w:sz w:val="22"/>
                <w:szCs w:val="22"/>
              </w:rPr>
              <w:t xml:space="preserve">    </w:t>
            </w:r>
            <w:r w:rsidR="00716848" w:rsidRPr="00FC03F4">
              <w:rPr>
                <w:rStyle w:val="Hyperlink"/>
                <w:noProof/>
              </w:rPr>
              <w:t>Introduction</w:t>
            </w:r>
            <w:r w:rsidR="00716848">
              <w:rPr>
                <w:rStyle w:val="Hyperlink"/>
                <w:noProof/>
              </w:rPr>
              <w:t>…….</w:t>
            </w:r>
            <w:r w:rsidR="00716848">
              <w:rPr>
                <w:noProof/>
                <w:webHidden/>
              </w:rPr>
              <w:tab/>
            </w:r>
            <w:r>
              <w:rPr>
                <w:noProof/>
                <w:webHidden/>
              </w:rPr>
              <w:fldChar w:fldCharType="begin"/>
            </w:r>
            <w:r w:rsidR="00716848">
              <w:rPr>
                <w:noProof/>
                <w:webHidden/>
              </w:rPr>
              <w:instrText xml:space="preserve"> PAGEREF _Toc260130890 \h </w:instrText>
            </w:r>
            <w:r>
              <w:rPr>
                <w:noProof/>
                <w:webHidden/>
              </w:rPr>
            </w:r>
            <w:r>
              <w:rPr>
                <w:noProof/>
                <w:webHidden/>
              </w:rPr>
              <w:fldChar w:fldCharType="separate"/>
            </w:r>
            <w:r w:rsidR="00345DF8">
              <w:rPr>
                <w:noProof/>
                <w:webHidden/>
              </w:rPr>
              <w:t>1</w:t>
            </w:r>
            <w:r>
              <w:rPr>
                <w:noProof/>
                <w:webHidden/>
              </w:rPr>
              <w:fldChar w:fldCharType="end"/>
            </w:r>
          </w:hyperlink>
        </w:p>
        <w:p w:rsidR="00716848" w:rsidRDefault="003D6E16">
          <w:pPr>
            <w:pStyle w:val="TOC1"/>
            <w:rPr>
              <w:rFonts w:asciiTheme="minorHAnsi" w:eastAsiaTheme="minorEastAsia" w:hAnsiTheme="minorHAnsi" w:cstheme="minorBidi"/>
              <w:noProof/>
              <w:sz w:val="22"/>
              <w:szCs w:val="22"/>
            </w:rPr>
          </w:pPr>
          <w:hyperlink w:anchor="_Toc260130891" w:history="1">
            <w:r w:rsidR="00716848" w:rsidRPr="00FC03F4">
              <w:rPr>
                <w:rStyle w:val="Hyperlink"/>
                <w:noProof/>
              </w:rPr>
              <w:t xml:space="preserve">II. </w:t>
            </w:r>
            <w:r w:rsidR="00716848">
              <w:rPr>
                <w:rStyle w:val="Hyperlink"/>
                <w:noProof/>
              </w:rPr>
              <w:t xml:space="preserve"> B</w:t>
            </w:r>
            <w:r w:rsidR="00716848" w:rsidRPr="00FC03F4">
              <w:rPr>
                <w:rStyle w:val="Hyperlink"/>
                <w:noProof/>
              </w:rPr>
              <w:t>ackground</w:t>
            </w:r>
            <w:r w:rsidR="00716848">
              <w:rPr>
                <w:rStyle w:val="Hyperlink"/>
                <w:noProof/>
              </w:rPr>
              <w:t>…….</w:t>
            </w:r>
            <w:r w:rsidR="00716848">
              <w:rPr>
                <w:noProof/>
                <w:webHidden/>
              </w:rPr>
              <w:tab/>
            </w:r>
            <w:r>
              <w:rPr>
                <w:noProof/>
                <w:webHidden/>
              </w:rPr>
              <w:fldChar w:fldCharType="begin"/>
            </w:r>
            <w:r w:rsidR="00716848">
              <w:rPr>
                <w:noProof/>
                <w:webHidden/>
              </w:rPr>
              <w:instrText xml:space="preserve"> PAGEREF _Toc260130891 \h </w:instrText>
            </w:r>
            <w:r>
              <w:rPr>
                <w:noProof/>
                <w:webHidden/>
              </w:rPr>
            </w:r>
            <w:r>
              <w:rPr>
                <w:noProof/>
                <w:webHidden/>
              </w:rPr>
              <w:fldChar w:fldCharType="separate"/>
            </w:r>
            <w:r w:rsidR="00345DF8">
              <w:rPr>
                <w:noProof/>
                <w:webHidden/>
              </w:rPr>
              <w:t>2</w:t>
            </w:r>
            <w:r>
              <w:rPr>
                <w:noProof/>
                <w:webHidden/>
              </w:rPr>
              <w:fldChar w:fldCharType="end"/>
            </w:r>
          </w:hyperlink>
        </w:p>
        <w:p w:rsidR="00716848" w:rsidRDefault="003D6E16">
          <w:pPr>
            <w:pStyle w:val="TOC2"/>
            <w:rPr>
              <w:rFonts w:asciiTheme="minorHAnsi" w:eastAsiaTheme="minorEastAsia" w:hAnsiTheme="minorHAnsi" w:cstheme="minorBidi"/>
              <w:noProof/>
              <w:sz w:val="22"/>
              <w:szCs w:val="22"/>
            </w:rPr>
          </w:pPr>
          <w:hyperlink w:anchor="_Toc260130892" w:history="1">
            <w:r w:rsidR="00716848" w:rsidRPr="00FC03F4">
              <w:rPr>
                <w:rStyle w:val="Hyperlink"/>
                <w:noProof/>
              </w:rPr>
              <w:t>A.</w:t>
            </w:r>
            <w:r w:rsidR="00716848">
              <w:rPr>
                <w:rFonts w:asciiTheme="minorHAnsi" w:eastAsiaTheme="minorEastAsia" w:hAnsiTheme="minorHAnsi" w:cstheme="minorBidi"/>
                <w:noProof/>
                <w:sz w:val="22"/>
                <w:szCs w:val="22"/>
              </w:rPr>
              <w:tab/>
            </w:r>
            <w:r w:rsidR="00716848" w:rsidRPr="00FC03F4">
              <w:rPr>
                <w:rStyle w:val="Hyperlink"/>
                <w:noProof/>
              </w:rPr>
              <w:t>Act 129</w:t>
            </w:r>
            <w:r w:rsidR="00716848">
              <w:rPr>
                <w:rStyle w:val="Hyperlink"/>
                <w:noProof/>
              </w:rPr>
              <w:t>….</w:t>
            </w:r>
            <w:r w:rsidR="00716848">
              <w:rPr>
                <w:noProof/>
                <w:webHidden/>
              </w:rPr>
              <w:tab/>
            </w:r>
            <w:r>
              <w:rPr>
                <w:noProof/>
                <w:webHidden/>
              </w:rPr>
              <w:fldChar w:fldCharType="begin"/>
            </w:r>
            <w:r w:rsidR="00716848">
              <w:rPr>
                <w:noProof/>
                <w:webHidden/>
              </w:rPr>
              <w:instrText xml:space="preserve"> PAGEREF _Toc260130892 \h </w:instrText>
            </w:r>
            <w:r>
              <w:rPr>
                <w:noProof/>
                <w:webHidden/>
              </w:rPr>
            </w:r>
            <w:r>
              <w:rPr>
                <w:noProof/>
                <w:webHidden/>
              </w:rPr>
              <w:fldChar w:fldCharType="separate"/>
            </w:r>
            <w:r w:rsidR="00345DF8">
              <w:rPr>
                <w:noProof/>
                <w:webHidden/>
              </w:rPr>
              <w:t>2</w:t>
            </w:r>
            <w:r>
              <w:rPr>
                <w:noProof/>
                <w:webHidden/>
              </w:rPr>
              <w:fldChar w:fldCharType="end"/>
            </w:r>
          </w:hyperlink>
        </w:p>
        <w:p w:rsidR="00716848" w:rsidRDefault="003D6E16">
          <w:pPr>
            <w:pStyle w:val="TOC2"/>
            <w:rPr>
              <w:rFonts w:asciiTheme="minorHAnsi" w:eastAsiaTheme="minorEastAsia" w:hAnsiTheme="minorHAnsi" w:cstheme="minorBidi"/>
              <w:noProof/>
              <w:sz w:val="22"/>
              <w:szCs w:val="22"/>
            </w:rPr>
          </w:pPr>
          <w:hyperlink w:anchor="_Toc260130893" w:history="1">
            <w:r w:rsidR="00716848" w:rsidRPr="00FC03F4">
              <w:rPr>
                <w:rStyle w:val="Hyperlink"/>
                <w:noProof/>
              </w:rPr>
              <w:t>B.</w:t>
            </w:r>
            <w:r w:rsidR="00716848">
              <w:rPr>
                <w:rFonts w:asciiTheme="minorHAnsi" w:eastAsiaTheme="minorEastAsia" w:hAnsiTheme="minorHAnsi" w:cstheme="minorBidi"/>
                <w:noProof/>
                <w:sz w:val="22"/>
                <w:szCs w:val="22"/>
              </w:rPr>
              <w:tab/>
            </w:r>
            <w:r w:rsidR="00716848" w:rsidRPr="00FC03F4">
              <w:rPr>
                <w:rStyle w:val="Hyperlink"/>
                <w:noProof/>
              </w:rPr>
              <w:t>The Company</w:t>
            </w:r>
            <w:r w:rsidR="00716848">
              <w:rPr>
                <w:noProof/>
                <w:webHidden/>
              </w:rPr>
              <w:tab/>
            </w:r>
            <w:r>
              <w:rPr>
                <w:noProof/>
                <w:webHidden/>
              </w:rPr>
              <w:fldChar w:fldCharType="begin"/>
            </w:r>
            <w:r w:rsidR="00716848">
              <w:rPr>
                <w:noProof/>
                <w:webHidden/>
              </w:rPr>
              <w:instrText xml:space="preserve"> PAGEREF _Toc260130893 \h </w:instrText>
            </w:r>
            <w:r>
              <w:rPr>
                <w:noProof/>
                <w:webHidden/>
              </w:rPr>
            </w:r>
            <w:r>
              <w:rPr>
                <w:noProof/>
                <w:webHidden/>
              </w:rPr>
              <w:fldChar w:fldCharType="separate"/>
            </w:r>
            <w:r w:rsidR="00345DF8">
              <w:rPr>
                <w:noProof/>
                <w:webHidden/>
              </w:rPr>
              <w:t>3</w:t>
            </w:r>
            <w:r>
              <w:rPr>
                <w:noProof/>
                <w:webHidden/>
              </w:rPr>
              <w:fldChar w:fldCharType="end"/>
            </w:r>
          </w:hyperlink>
        </w:p>
        <w:p w:rsidR="00716848" w:rsidRDefault="003D6E16">
          <w:pPr>
            <w:pStyle w:val="TOC1"/>
            <w:rPr>
              <w:rFonts w:asciiTheme="minorHAnsi" w:eastAsiaTheme="minorEastAsia" w:hAnsiTheme="minorHAnsi" w:cstheme="minorBidi"/>
              <w:noProof/>
              <w:sz w:val="22"/>
              <w:szCs w:val="22"/>
            </w:rPr>
          </w:pPr>
          <w:hyperlink w:anchor="_Toc260130894" w:history="1">
            <w:r w:rsidR="00716848" w:rsidRPr="00FC03F4">
              <w:rPr>
                <w:rStyle w:val="Hyperlink"/>
                <w:noProof/>
              </w:rPr>
              <w:t>III.  Procedural History</w:t>
            </w:r>
            <w:r w:rsidR="00716848">
              <w:rPr>
                <w:noProof/>
                <w:webHidden/>
              </w:rPr>
              <w:tab/>
            </w:r>
            <w:r>
              <w:rPr>
                <w:noProof/>
                <w:webHidden/>
              </w:rPr>
              <w:fldChar w:fldCharType="begin"/>
            </w:r>
            <w:r w:rsidR="00716848">
              <w:rPr>
                <w:noProof/>
                <w:webHidden/>
              </w:rPr>
              <w:instrText xml:space="preserve"> PAGEREF _Toc260130894 \h </w:instrText>
            </w:r>
            <w:r>
              <w:rPr>
                <w:noProof/>
                <w:webHidden/>
              </w:rPr>
            </w:r>
            <w:r>
              <w:rPr>
                <w:noProof/>
                <w:webHidden/>
              </w:rPr>
              <w:fldChar w:fldCharType="separate"/>
            </w:r>
            <w:r w:rsidR="00345DF8">
              <w:rPr>
                <w:noProof/>
                <w:webHidden/>
              </w:rPr>
              <w:t>3</w:t>
            </w:r>
            <w:r>
              <w:rPr>
                <w:noProof/>
                <w:webHidden/>
              </w:rPr>
              <w:fldChar w:fldCharType="end"/>
            </w:r>
          </w:hyperlink>
        </w:p>
        <w:p w:rsidR="00716848" w:rsidRDefault="003D6E16">
          <w:pPr>
            <w:pStyle w:val="TOC1"/>
            <w:rPr>
              <w:rFonts w:asciiTheme="minorHAnsi" w:eastAsiaTheme="minorEastAsia" w:hAnsiTheme="minorHAnsi" w:cstheme="minorBidi"/>
              <w:noProof/>
              <w:sz w:val="22"/>
              <w:szCs w:val="22"/>
            </w:rPr>
          </w:pPr>
          <w:hyperlink w:anchor="_Toc260130895" w:history="1">
            <w:r w:rsidR="00716848" w:rsidRPr="00FC03F4">
              <w:rPr>
                <w:rStyle w:val="Hyperlink"/>
                <w:noProof/>
              </w:rPr>
              <w:t>IV. Description of the Plan</w:t>
            </w:r>
            <w:r w:rsidR="00716848">
              <w:rPr>
                <w:noProof/>
                <w:webHidden/>
              </w:rPr>
              <w:tab/>
            </w:r>
            <w:r>
              <w:rPr>
                <w:noProof/>
                <w:webHidden/>
              </w:rPr>
              <w:fldChar w:fldCharType="begin"/>
            </w:r>
            <w:r w:rsidR="00716848">
              <w:rPr>
                <w:noProof/>
                <w:webHidden/>
              </w:rPr>
              <w:instrText xml:space="preserve"> PAGEREF _Toc260130895 \h </w:instrText>
            </w:r>
            <w:r>
              <w:rPr>
                <w:noProof/>
                <w:webHidden/>
              </w:rPr>
            </w:r>
            <w:r>
              <w:rPr>
                <w:noProof/>
                <w:webHidden/>
              </w:rPr>
              <w:fldChar w:fldCharType="separate"/>
            </w:r>
            <w:r w:rsidR="00345DF8">
              <w:rPr>
                <w:noProof/>
                <w:webHidden/>
              </w:rPr>
              <w:t>6</w:t>
            </w:r>
            <w:r>
              <w:rPr>
                <w:noProof/>
                <w:webHidden/>
              </w:rPr>
              <w:fldChar w:fldCharType="end"/>
            </w:r>
          </w:hyperlink>
        </w:p>
        <w:p w:rsidR="00716848" w:rsidRDefault="003D6E16">
          <w:pPr>
            <w:pStyle w:val="TOC1"/>
            <w:rPr>
              <w:rFonts w:asciiTheme="minorHAnsi" w:eastAsiaTheme="minorEastAsia" w:hAnsiTheme="minorHAnsi" w:cstheme="minorBidi"/>
              <w:noProof/>
              <w:sz w:val="22"/>
              <w:szCs w:val="22"/>
            </w:rPr>
          </w:pPr>
          <w:hyperlink w:anchor="_Toc260130896" w:history="1">
            <w:r w:rsidR="00716848" w:rsidRPr="00FC03F4">
              <w:rPr>
                <w:rStyle w:val="Hyperlink"/>
                <w:noProof/>
              </w:rPr>
              <w:t>V.</w:t>
            </w:r>
            <w:r w:rsidR="00716848">
              <w:rPr>
                <w:rFonts w:asciiTheme="minorHAnsi" w:eastAsiaTheme="minorEastAsia" w:hAnsiTheme="minorHAnsi" w:cstheme="minorBidi"/>
                <w:noProof/>
                <w:sz w:val="22"/>
                <w:szCs w:val="22"/>
              </w:rPr>
              <w:t xml:space="preserve">   </w:t>
            </w:r>
            <w:r w:rsidR="00716848" w:rsidRPr="00FC03F4">
              <w:rPr>
                <w:rStyle w:val="Hyperlink"/>
                <w:noProof/>
              </w:rPr>
              <w:t>Discussion</w:t>
            </w:r>
            <w:r w:rsidR="00716848">
              <w:rPr>
                <w:rStyle w:val="Hyperlink"/>
                <w:noProof/>
              </w:rPr>
              <w:t>……..</w:t>
            </w:r>
            <w:r w:rsidR="00716848">
              <w:rPr>
                <w:noProof/>
                <w:webHidden/>
              </w:rPr>
              <w:tab/>
            </w:r>
            <w:r>
              <w:rPr>
                <w:noProof/>
                <w:webHidden/>
              </w:rPr>
              <w:fldChar w:fldCharType="begin"/>
            </w:r>
            <w:r w:rsidR="00716848">
              <w:rPr>
                <w:noProof/>
                <w:webHidden/>
              </w:rPr>
              <w:instrText xml:space="preserve"> PAGEREF _Toc260130896 \h </w:instrText>
            </w:r>
            <w:r>
              <w:rPr>
                <w:noProof/>
                <w:webHidden/>
              </w:rPr>
            </w:r>
            <w:r>
              <w:rPr>
                <w:noProof/>
                <w:webHidden/>
              </w:rPr>
              <w:fldChar w:fldCharType="separate"/>
            </w:r>
            <w:r w:rsidR="00345DF8">
              <w:rPr>
                <w:noProof/>
                <w:webHidden/>
              </w:rPr>
              <w:t>8</w:t>
            </w:r>
            <w:r>
              <w:rPr>
                <w:noProof/>
                <w:webHidden/>
              </w:rPr>
              <w:fldChar w:fldCharType="end"/>
            </w:r>
          </w:hyperlink>
        </w:p>
        <w:p w:rsidR="00716848" w:rsidRDefault="003D6E16">
          <w:pPr>
            <w:pStyle w:val="TOC2"/>
            <w:rPr>
              <w:rFonts w:asciiTheme="minorHAnsi" w:eastAsiaTheme="minorEastAsia" w:hAnsiTheme="minorHAnsi" w:cstheme="minorBidi"/>
              <w:noProof/>
              <w:sz w:val="22"/>
              <w:szCs w:val="22"/>
            </w:rPr>
          </w:pPr>
          <w:hyperlink w:anchor="_Toc260130897" w:history="1">
            <w:r w:rsidR="00716848" w:rsidRPr="00FC03F4">
              <w:rPr>
                <w:rStyle w:val="Hyperlink"/>
                <w:noProof/>
              </w:rPr>
              <w:t>A.</w:t>
            </w:r>
            <w:r w:rsidR="00716848">
              <w:rPr>
                <w:rFonts w:asciiTheme="minorHAnsi" w:eastAsiaTheme="minorEastAsia" w:hAnsiTheme="minorHAnsi" w:cstheme="minorBidi"/>
                <w:noProof/>
                <w:sz w:val="22"/>
                <w:szCs w:val="22"/>
              </w:rPr>
              <w:tab/>
            </w:r>
            <w:r w:rsidR="00716848" w:rsidRPr="00FC03F4">
              <w:rPr>
                <w:rStyle w:val="Hyperlink"/>
                <w:noProof/>
              </w:rPr>
              <w:t>Joint Petition for Partial Settlement</w:t>
            </w:r>
            <w:r w:rsidR="00716848">
              <w:rPr>
                <w:noProof/>
                <w:webHidden/>
              </w:rPr>
              <w:tab/>
            </w:r>
            <w:r>
              <w:rPr>
                <w:noProof/>
                <w:webHidden/>
              </w:rPr>
              <w:fldChar w:fldCharType="begin"/>
            </w:r>
            <w:r w:rsidR="00716848">
              <w:rPr>
                <w:noProof/>
                <w:webHidden/>
              </w:rPr>
              <w:instrText xml:space="preserve"> PAGEREF _Toc260130897 \h </w:instrText>
            </w:r>
            <w:r>
              <w:rPr>
                <w:noProof/>
                <w:webHidden/>
              </w:rPr>
            </w:r>
            <w:r>
              <w:rPr>
                <w:noProof/>
                <w:webHidden/>
              </w:rPr>
              <w:fldChar w:fldCharType="separate"/>
            </w:r>
            <w:r w:rsidR="00345DF8">
              <w:rPr>
                <w:noProof/>
                <w:webHidden/>
              </w:rPr>
              <w:t>8</w:t>
            </w:r>
            <w:r>
              <w:rPr>
                <w:noProof/>
                <w:webHidden/>
              </w:rPr>
              <w:fldChar w:fldCharType="end"/>
            </w:r>
          </w:hyperlink>
        </w:p>
        <w:p w:rsidR="00716848" w:rsidRDefault="003D6E16">
          <w:pPr>
            <w:pStyle w:val="TOC3"/>
            <w:rPr>
              <w:rFonts w:asciiTheme="minorHAnsi" w:eastAsiaTheme="minorEastAsia" w:hAnsiTheme="minorHAnsi" w:cstheme="minorBidi"/>
              <w:noProof/>
              <w:sz w:val="22"/>
              <w:szCs w:val="22"/>
            </w:rPr>
          </w:pPr>
          <w:hyperlink w:anchor="_Toc260130898" w:history="1">
            <w:r w:rsidR="00716848" w:rsidRPr="00FC03F4">
              <w:rPr>
                <w:rStyle w:val="Hyperlink"/>
                <w:noProof/>
              </w:rPr>
              <w:t xml:space="preserve">1. </w:t>
            </w:r>
            <w:r w:rsidR="00716848">
              <w:rPr>
                <w:rFonts w:asciiTheme="minorHAnsi" w:eastAsiaTheme="minorEastAsia" w:hAnsiTheme="minorHAnsi" w:cstheme="minorBidi"/>
                <w:noProof/>
                <w:sz w:val="22"/>
                <w:szCs w:val="22"/>
              </w:rPr>
              <w:tab/>
            </w:r>
            <w:r w:rsidR="00716848" w:rsidRPr="00FC03F4">
              <w:rPr>
                <w:rStyle w:val="Hyperlink"/>
                <w:noProof/>
              </w:rPr>
              <w:t>Stakeholder Process</w:t>
            </w:r>
            <w:r w:rsidR="00716848">
              <w:rPr>
                <w:noProof/>
                <w:webHidden/>
              </w:rPr>
              <w:tab/>
            </w:r>
            <w:r>
              <w:rPr>
                <w:noProof/>
                <w:webHidden/>
              </w:rPr>
              <w:fldChar w:fldCharType="begin"/>
            </w:r>
            <w:r w:rsidR="00716848">
              <w:rPr>
                <w:noProof/>
                <w:webHidden/>
              </w:rPr>
              <w:instrText xml:space="preserve"> PAGEREF _Toc260130898 \h </w:instrText>
            </w:r>
            <w:r>
              <w:rPr>
                <w:noProof/>
                <w:webHidden/>
              </w:rPr>
            </w:r>
            <w:r>
              <w:rPr>
                <w:noProof/>
                <w:webHidden/>
              </w:rPr>
              <w:fldChar w:fldCharType="separate"/>
            </w:r>
            <w:r w:rsidR="00345DF8">
              <w:rPr>
                <w:noProof/>
                <w:webHidden/>
              </w:rPr>
              <w:t>9</w:t>
            </w:r>
            <w:r>
              <w:rPr>
                <w:noProof/>
                <w:webHidden/>
              </w:rPr>
              <w:fldChar w:fldCharType="end"/>
            </w:r>
          </w:hyperlink>
        </w:p>
        <w:p w:rsidR="00716848" w:rsidRDefault="003D6E16">
          <w:pPr>
            <w:pStyle w:val="TOC3"/>
            <w:rPr>
              <w:rFonts w:asciiTheme="minorHAnsi" w:eastAsiaTheme="minorEastAsia" w:hAnsiTheme="minorHAnsi" w:cstheme="minorBidi"/>
              <w:noProof/>
              <w:sz w:val="22"/>
              <w:szCs w:val="22"/>
            </w:rPr>
          </w:pPr>
          <w:hyperlink w:anchor="_Toc260130899" w:history="1">
            <w:r w:rsidR="00716848" w:rsidRPr="00FC03F4">
              <w:rPr>
                <w:rStyle w:val="Hyperlink"/>
                <w:noProof/>
              </w:rPr>
              <w:t>2.</w:t>
            </w:r>
            <w:r w:rsidR="00716848">
              <w:rPr>
                <w:rFonts w:asciiTheme="minorHAnsi" w:eastAsiaTheme="minorEastAsia" w:hAnsiTheme="minorHAnsi" w:cstheme="minorBidi"/>
                <w:noProof/>
                <w:sz w:val="22"/>
                <w:szCs w:val="22"/>
              </w:rPr>
              <w:tab/>
            </w:r>
            <w:r w:rsidR="00716848" w:rsidRPr="00FC03F4">
              <w:rPr>
                <w:rStyle w:val="Hyperlink"/>
                <w:noProof/>
              </w:rPr>
              <w:t>Customer Research and Education</w:t>
            </w:r>
            <w:r w:rsidR="00716848">
              <w:rPr>
                <w:noProof/>
                <w:webHidden/>
              </w:rPr>
              <w:tab/>
            </w:r>
            <w:r>
              <w:rPr>
                <w:noProof/>
                <w:webHidden/>
              </w:rPr>
              <w:fldChar w:fldCharType="begin"/>
            </w:r>
            <w:r w:rsidR="00716848">
              <w:rPr>
                <w:noProof/>
                <w:webHidden/>
              </w:rPr>
              <w:instrText xml:space="preserve"> PAGEREF _Toc260130899 \h </w:instrText>
            </w:r>
            <w:r>
              <w:rPr>
                <w:noProof/>
                <w:webHidden/>
              </w:rPr>
            </w:r>
            <w:r>
              <w:rPr>
                <w:noProof/>
                <w:webHidden/>
              </w:rPr>
              <w:fldChar w:fldCharType="separate"/>
            </w:r>
            <w:r w:rsidR="00345DF8">
              <w:rPr>
                <w:noProof/>
                <w:webHidden/>
              </w:rPr>
              <w:t>10</w:t>
            </w:r>
            <w:r>
              <w:rPr>
                <w:noProof/>
                <w:webHidden/>
              </w:rPr>
              <w:fldChar w:fldCharType="end"/>
            </w:r>
          </w:hyperlink>
        </w:p>
        <w:p w:rsidR="00716848" w:rsidRDefault="003D6E16">
          <w:pPr>
            <w:pStyle w:val="TOC3"/>
            <w:rPr>
              <w:rFonts w:asciiTheme="minorHAnsi" w:eastAsiaTheme="minorEastAsia" w:hAnsiTheme="minorHAnsi" w:cstheme="minorBidi"/>
              <w:noProof/>
              <w:sz w:val="22"/>
              <w:szCs w:val="22"/>
            </w:rPr>
          </w:pPr>
          <w:hyperlink w:anchor="_Toc260130900" w:history="1">
            <w:r w:rsidR="00716848" w:rsidRPr="00FC03F4">
              <w:rPr>
                <w:rStyle w:val="Hyperlink"/>
                <w:noProof/>
              </w:rPr>
              <w:t xml:space="preserve">3. </w:t>
            </w:r>
            <w:r w:rsidR="00716848">
              <w:rPr>
                <w:rFonts w:asciiTheme="minorHAnsi" w:eastAsiaTheme="minorEastAsia" w:hAnsiTheme="minorHAnsi" w:cstheme="minorBidi"/>
                <w:noProof/>
                <w:sz w:val="22"/>
                <w:szCs w:val="22"/>
              </w:rPr>
              <w:tab/>
            </w:r>
            <w:r w:rsidR="00716848" w:rsidRPr="00FC03F4">
              <w:rPr>
                <w:rStyle w:val="Hyperlink"/>
                <w:noProof/>
              </w:rPr>
              <w:t>Remote Connect/Disconnect</w:t>
            </w:r>
            <w:r w:rsidR="00716848">
              <w:rPr>
                <w:noProof/>
                <w:webHidden/>
              </w:rPr>
              <w:tab/>
            </w:r>
            <w:r>
              <w:rPr>
                <w:noProof/>
                <w:webHidden/>
              </w:rPr>
              <w:fldChar w:fldCharType="begin"/>
            </w:r>
            <w:r w:rsidR="00716848">
              <w:rPr>
                <w:noProof/>
                <w:webHidden/>
              </w:rPr>
              <w:instrText xml:space="preserve"> PAGEREF _Toc260130900 \h </w:instrText>
            </w:r>
            <w:r>
              <w:rPr>
                <w:noProof/>
                <w:webHidden/>
              </w:rPr>
            </w:r>
            <w:r>
              <w:rPr>
                <w:noProof/>
                <w:webHidden/>
              </w:rPr>
              <w:fldChar w:fldCharType="separate"/>
            </w:r>
            <w:r w:rsidR="00345DF8">
              <w:rPr>
                <w:noProof/>
                <w:webHidden/>
              </w:rPr>
              <w:t>11</w:t>
            </w:r>
            <w:r>
              <w:rPr>
                <w:noProof/>
                <w:webHidden/>
              </w:rPr>
              <w:fldChar w:fldCharType="end"/>
            </w:r>
          </w:hyperlink>
        </w:p>
        <w:p w:rsidR="00716848" w:rsidRDefault="003D6E16">
          <w:pPr>
            <w:pStyle w:val="TOC3"/>
            <w:rPr>
              <w:rFonts w:asciiTheme="minorHAnsi" w:eastAsiaTheme="minorEastAsia" w:hAnsiTheme="minorHAnsi" w:cstheme="minorBidi"/>
              <w:noProof/>
              <w:sz w:val="22"/>
              <w:szCs w:val="22"/>
            </w:rPr>
          </w:pPr>
          <w:hyperlink w:anchor="_Toc260130901" w:history="1">
            <w:r w:rsidR="00716848" w:rsidRPr="00FC03F4">
              <w:rPr>
                <w:rStyle w:val="Hyperlink"/>
                <w:noProof/>
              </w:rPr>
              <w:t>4.</w:t>
            </w:r>
            <w:r w:rsidR="00716848">
              <w:rPr>
                <w:rFonts w:asciiTheme="minorHAnsi" w:eastAsiaTheme="minorEastAsia" w:hAnsiTheme="minorHAnsi" w:cstheme="minorBidi"/>
                <w:noProof/>
                <w:sz w:val="22"/>
                <w:szCs w:val="22"/>
              </w:rPr>
              <w:tab/>
            </w:r>
            <w:r w:rsidR="00716848" w:rsidRPr="00FC03F4">
              <w:rPr>
                <w:rStyle w:val="Hyperlink"/>
                <w:noProof/>
              </w:rPr>
              <w:t>Return on Equity</w:t>
            </w:r>
            <w:r w:rsidR="00716848">
              <w:rPr>
                <w:noProof/>
                <w:webHidden/>
              </w:rPr>
              <w:tab/>
            </w:r>
            <w:r>
              <w:rPr>
                <w:noProof/>
                <w:webHidden/>
              </w:rPr>
              <w:fldChar w:fldCharType="begin"/>
            </w:r>
            <w:r w:rsidR="00716848">
              <w:rPr>
                <w:noProof/>
                <w:webHidden/>
              </w:rPr>
              <w:instrText xml:space="preserve"> PAGEREF _Toc260130901 \h </w:instrText>
            </w:r>
            <w:r>
              <w:rPr>
                <w:noProof/>
                <w:webHidden/>
              </w:rPr>
            </w:r>
            <w:r>
              <w:rPr>
                <w:noProof/>
                <w:webHidden/>
              </w:rPr>
              <w:fldChar w:fldCharType="separate"/>
            </w:r>
            <w:r w:rsidR="00345DF8">
              <w:rPr>
                <w:noProof/>
                <w:webHidden/>
              </w:rPr>
              <w:t>13</w:t>
            </w:r>
            <w:r>
              <w:rPr>
                <w:noProof/>
                <w:webHidden/>
              </w:rPr>
              <w:fldChar w:fldCharType="end"/>
            </w:r>
          </w:hyperlink>
        </w:p>
        <w:p w:rsidR="00716848" w:rsidRDefault="003D6E16">
          <w:pPr>
            <w:pStyle w:val="TOC3"/>
            <w:rPr>
              <w:rFonts w:asciiTheme="minorHAnsi" w:eastAsiaTheme="minorEastAsia" w:hAnsiTheme="minorHAnsi" w:cstheme="minorBidi"/>
              <w:noProof/>
              <w:sz w:val="22"/>
              <w:szCs w:val="22"/>
            </w:rPr>
          </w:pPr>
          <w:hyperlink w:anchor="_Toc260130902" w:history="1">
            <w:r w:rsidR="00716848" w:rsidRPr="00FC03F4">
              <w:rPr>
                <w:rStyle w:val="Hyperlink"/>
                <w:noProof/>
              </w:rPr>
              <w:t xml:space="preserve">5. </w:t>
            </w:r>
            <w:r w:rsidR="00716848">
              <w:rPr>
                <w:rFonts w:asciiTheme="minorHAnsi" w:eastAsiaTheme="minorEastAsia" w:hAnsiTheme="minorHAnsi" w:cstheme="minorBidi"/>
                <w:noProof/>
                <w:sz w:val="22"/>
                <w:szCs w:val="22"/>
              </w:rPr>
              <w:tab/>
            </w:r>
            <w:r w:rsidR="00716848" w:rsidRPr="00FC03F4">
              <w:rPr>
                <w:rStyle w:val="Hyperlink"/>
                <w:noProof/>
              </w:rPr>
              <w:t>Cost Allocation</w:t>
            </w:r>
            <w:r w:rsidR="00716848">
              <w:rPr>
                <w:noProof/>
                <w:webHidden/>
              </w:rPr>
              <w:tab/>
            </w:r>
            <w:r>
              <w:rPr>
                <w:noProof/>
                <w:webHidden/>
              </w:rPr>
              <w:fldChar w:fldCharType="begin"/>
            </w:r>
            <w:r w:rsidR="00716848">
              <w:rPr>
                <w:noProof/>
                <w:webHidden/>
              </w:rPr>
              <w:instrText xml:space="preserve"> PAGEREF _Toc260130902 \h </w:instrText>
            </w:r>
            <w:r>
              <w:rPr>
                <w:noProof/>
                <w:webHidden/>
              </w:rPr>
            </w:r>
            <w:r>
              <w:rPr>
                <w:noProof/>
                <w:webHidden/>
              </w:rPr>
              <w:fldChar w:fldCharType="separate"/>
            </w:r>
            <w:r w:rsidR="00345DF8">
              <w:rPr>
                <w:noProof/>
                <w:webHidden/>
              </w:rPr>
              <w:t>15</w:t>
            </w:r>
            <w:r>
              <w:rPr>
                <w:noProof/>
                <w:webHidden/>
              </w:rPr>
              <w:fldChar w:fldCharType="end"/>
            </w:r>
          </w:hyperlink>
        </w:p>
        <w:p w:rsidR="00716848" w:rsidRDefault="003D6E16">
          <w:pPr>
            <w:pStyle w:val="TOC3"/>
            <w:rPr>
              <w:rFonts w:asciiTheme="minorHAnsi" w:eastAsiaTheme="minorEastAsia" w:hAnsiTheme="minorHAnsi" w:cstheme="minorBidi"/>
              <w:noProof/>
              <w:sz w:val="22"/>
              <w:szCs w:val="22"/>
            </w:rPr>
          </w:pPr>
          <w:hyperlink w:anchor="_Toc260130903" w:history="1">
            <w:r w:rsidR="00716848" w:rsidRPr="00FC03F4">
              <w:rPr>
                <w:rStyle w:val="Hyperlink"/>
                <w:noProof/>
              </w:rPr>
              <w:t>6.</w:t>
            </w:r>
            <w:r w:rsidR="00716848">
              <w:rPr>
                <w:rFonts w:asciiTheme="minorHAnsi" w:eastAsiaTheme="minorEastAsia" w:hAnsiTheme="minorHAnsi" w:cstheme="minorBidi"/>
                <w:noProof/>
                <w:sz w:val="22"/>
                <w:szCs w:val="22"/>
              </w:rPr>
              <w:tab/>
            </w:r>
            <w:r w:rsidR="00716848" w:rsidRPr="00FC03F4">
              <w:rPr>
                <w:rStyle w:val="Hyperlink"/>
                <w:noProof/>
              </w:rPr>
              <w:t>Recovery of Automated Meter Reading (AMR) Investment</w:t>
            </w:r>
            <w:r w:rsidR="00716848">
              <w:rPr>
                <w:noProof/>
                <w:webHidden/>
              </w:rPr>
              <w:tab/>
            </w:r>
            <w:r>
              <w:rPr>
                <w:noProof/>
                <w:webHidden/>
              </w:rPr>
              <w:fldChar w:fldCharType="begin"/>
            </w:r>
            <w:r w:rsidR="00716848">
              <w:rPr>
                <w:noProof/>
                <w:webHidden/>
              </w:rPr>
              <w:instrText xml:space="preserve"> PAGEREF _Toc260130903 \h </w:instrText>
            </w:r>
            <w:r>
              <w:rPr>
                <w:noProof/>
                <w:webHidden/>
              </w:rPr>
            </w:r>
            <w:r>
              <w:rPr>
                <w:noProof/>
                <w:webHidden/>
              </w:rPr>
              <w:fldChar w:fldCharType="separate"/>
            </w:r>
            <w:r w:rsidR="00345DF8">
              <w:rPr>
                <w:noProof/>
                <w:webHidden/>
              </w:rPr>
              <w:t>16</w:t>
            </w:r>
            <w:r>
              <w:rPr>
                <w:noProof/>
                <w:webHidden/>
              </w:rPr>
              <w:fldChar w:fldCharType="end"/>
            </w:r>
          </w:hyperlink>
        </w:p>
        <w:p w:rsidR="00716848" w:rsidRDefault="003D6E16">
          <w:pPr>
            <w:pStyle w:val="TOC3"/>
            <w:rPr>
              <w:rFonts w:asciiTheme="minorHAnsi" w:eastAsiaTheme="minorEastAsia" w:hAnsiTheme="minorHAnsi" w:cstheme="minorBidi"/>
              <w:noProof/>
              <w:sz w:val="22"/>
              <w:szCs w:val="22"/>
            </w:rPr>
          </w:pPr>
          <w:hyperlink w:anchor="_Toc260130904" w:history="1">
            <w:r w:rsidR="00716848" w:rsidRPr="00FC03F4">
              <w:rPr>
                <w:rStyle w:val="Hyperlink"/>
                <w:noProof/>
              </w:rPr>
              <w:t>7.</w:t>
            </w:r>
            <w:r w:rsidR="00716848">
              <w:rPr>
                <w:rFonts w:asciiTheme="minorHAnsi" w:eastAsiaTheme="minorEastAsia" w:hAnsiTheme="minorHAnsi" w:cstheme="minorBidi"/>
                <w:noProof/>
                <w:sz w:val="22"/>
                <w:szCs w:val="22"/>
              </w:rPr>
              <w:tab/>
            </w:r>
            <w:r w:rsidR="00716848" w:rsidRPr="00FC03F4">
              <w:rPr>
                <w:rStyle w:val="Hyperlink"/>
                <w:noProof/>
              </w:rPr>
              <w:t>Cost Recovery</w:t>
            </w:r>
            <w:r w:rsidR="00716848">
              <w:rPr>
                <w:noProof/>
                <w:webHidden/>
              </w:rPr>
              <w:tab/>
            </w:r>
            <w:r>
              <w:rPr>
                <w:noProof/>
                <w:webHidden/>
              </w:rPr>
              <w:fldChar w:fldCharType="begin"/>
            </w:r>
            <w:r w:rsidR="00716848">
              <w:rPr>
                <w:noProof/>
                <w:webHidden/>
              </w:rPr>
              <w:instrText xml:space="preserve"> PAGEREF _Toc260130904 \h </w:instrText>
            </w:r>
            <w:r>
              <w:rPr>
                <w:noProof/>
                <w:webHidden/>
              </w:rPr>
            </w:r>
            <w:r>
              <w:rPr>
                <w:noProof/>
                <w:webHidden/>
              </w:rPr>
              <w:fldChar w:fldCharType="separate"/>
            </w:r>
            <w:r w:rsidR="00345DF8">
              <w:rPr>
                <w:noProof/>
                <w:webHidden/>
              </w:rPr>
              <w:t>16</w:t>
            </w:r>
            <w:r>
              <w:rPr>
                <w:noProof/>
                <w:webHidden/>
              </w:rPr>
              <w:fldChar w:fldCharType="end"/>
            </w:r>
          </w:hyperlink>
        </w:p>
        <w:p w:rsidR="00716848" w:rsidRDefault="003D6E16">
          <w:pPr>
            <w:pStyle w:val="TOC3"/>
            <w:rPr>
              <w:rFonts w:asciiTheme="minorHAnsi" w:eastAsiaTheme="minorEastAsia" w:hAnsiTheme="minorHAnsi" w:cstheme="minorBidi"/>
              <w:noProof/>
              <w:sz w:val="22"/>
              <w:szCs w:val="22"/>
            </w:rPr>
          </w:pPr>
          <w:hyperlink w:anchor="_Toc260130905" w:history="1">
            <w:r w:rsidR="00716848" w:rsidRPr="00FC03F4">
              <w:rPr>
                <w:rStyle w:val="Hyperlink"/>
                <w:noProof/>
              </w:rPr>
              <w:t>8.</w:t>
            </w:r>
            <w:r w:rsidR="00716848">
              <w:rPr>
                <w:rFonts w:asciiTheme="minorHAnsi" w:eastAsiaTheme="minorEastAsia" w:hAnsiTheme="minorHAnsi" w:cstheme="minorBidi"/>
                <w:noProof/>
                <w:sz w:val="22"/>
                <w:szCs w:val="22"/>
              </w:rPr>
              <w:tab/>
            </w:r>
            <w:r w:rsidR="00716848" w:rsidRPr="00FC03F4">
              <w:rPr>
                <w:rStyle w:val="Hyperlink"/>
                <w:noProof/>
              </w:rPr>
              <w:t xml:space="preserve"> SMCRS Filing Schedule, Reconciliation and Adjustment</w:t>
            </w:r>
            <w:r w:rsidR="00716848">
              <w:rPr>
                <w:noProof/>
                <w:webHidden/>
              </w:rPr>
              <w:tab/>
            </w:r>
            <w:r>
              <w:rPr>
                <w:noProof/>
                <w:webHidden/>
              </w:rPr>
              <w:fldChar w:fldCharType="begin"/>
            </w:r>
            <w:r w:rsidR="00716848">
              <w:rPr>
                <w:noProof/>
                <w:webHidden/>
              </w:rPr>
              <w:instrText xml:space="preserve"> PAGEREF _Toc260130905 \h </w:instrText>
            </w:r>
            <w:r>
              <w:rPr>
                <w:noProof/>
                <w:webHidden/>
              </w:rPr>
            </w:r>
            <w:r>
              <w:rPr>
                <w:noProof/>
                <w:webHidden/>
              </w:rPr>
              <w:fldChar w:fldCharType="separate"/>
            </w:r>
            <w:r w:rsidR="00345DF8">
              <w:rPr>
                <w:noProof/>
                <w:webHidden/>
              </w:rPr>
              <w:t>17</w:t>
            </w:r>
            <w:r>
              <w:rPr>
                <w:noProof/>
                <w:webHidden/>
              </w:rPr>
              <w:fldChar w:fldCharType="end"/>
            </w:r>
          </w:hyperlink>
        </w:p>
        <w:p w:rsidR="00716848" w:rsidRDefault="003D6E16">
          <w:pPr>
            <w:pStyle w:val="TOC3"/>
            <w:rPr>
              <w:rFonts w:asciiTheme="minorHAnsi" w:eastAsiaTheme="minorEastAsia" w:hAnsiTheme="minorHAnsi" w:cstheme="minorBidi"/>
              <w:noProof/>
              <w:sz w:val="22"/>
              <w:szCs w:val="22"/>
            </w:rPr>
          </w:pPr>
          <w:hyperlink w:anchor="_Toc260130906" w:history="1">
            <w:r w:rsidR="00716848" w:rsidRPr="00FC03F4">
              <w:rPr>
                <w:rStyle w:val="Hyperlink"/>
                <w:noProof/>
              </w:rPr>
              <w:t xml:space="preserve">9. </w:t>
            </w:r>
            <w:r w:rsidR="00716848">
              <w:rPr>
                <w:rFonts w:asciiTheme="minorHAnsi" w:eastAsiaTheme="minorEastAsia" w:hAnsiTheme="minorHAnsi" w:cstheme="minorBidi"/>
                <w:noProof/>
                <w:sz w:val="22"/>
                <w:szCs w:val="22"/>
              </w:rPr>
              <w:tab/>
            </w:r>
            <w:r w:rsidR="00716848" w:rsidRPr="00FC03F4">
              <w:rPr>
                <w:rStyle w:val="Hyperlink"/>
                <w:noProof/>
              </w:rPr>
              <w:t>American Recovery and Reinvestment Act (ARRA) Compliance and Taxation</w:t>
            </w:r>
            <w:r w:rsidR="00716848">
              <w:rPr>
                <w:noProof/>
                <w:webHidden/>
              </w:rPr>
              <w:tab/>
            </w:r>
            <w:r>
              <w:rPr>
                <w:noProof/>
                <w:webHidden/>
              </w:rPr>
              <w:fldChar w:fldCharType="begin"/>
            </w:r>
            <w:r w:rsidR="00716848">
              <w:rPr>
                <w:noProof/>
                <w:webHidden/>
              </w:rPr>
              <w:instrText xml:space="preserve"> PAGEREF _Toc260130906 \h </w:instrText>
            </w:r>
            <w:r>
              <w:rPr>
                <w:noProof/>
                <w:webHidden/>
              </w:rPr>
            </w:r>
            <w:r>
              <w:rPr>
                <w:noProof/>
                <w:webHidden/>
              </w:rPr>
              <w:fldChar w:fldCharType="separate"/>
            </w:r>
            <w:r w:rsidR="00345DF8">
              <w:rPr>
                <w:noProof/>
                <w:webHidden/>
              </w:rPr>
              <w:t>18</w:t>
            </w:r>
            <w:r>
              <w:rPr>
                <w:noProof/>
                <w:webHidden/>
              </w:rPr>
              <w:fldChar w:fldCharType="end"/>
            </w:r>
          </w:hyperlink>
        </w:p>
        <w:p w:rsidR="00F81DE4" w:rsidRDefault="00F81DE4">
          <w:pPr>
            <w:spacing w:after="200" w:line="276" w:lineRule="auto"/>
            <w:ind w:firstLine="0"/>
            <w:rPr>
              <w:rStyle w:val="Hyperlink"/>
              <w:noProof/>
            </w:rPr>
          </w:pPr>
          <w:r>
            <w:rPr>
              <w:rStyle w:val="Hyperlink"/>
              <w:noProof/>
            </w:rPr>
            <w:br w:type="page"/>
          </w:r>
        </w:p>
        <w:p w:rsidR="00716848" w:rsidRDefault="003D6E16">
          <w:pPr>
            <w:pStyle w:val="TOC2"/>
            <w:rPr>
              <w:rFonts w:asciiTheme="minorHAnsi" w:eastAsiaTheme="minorEastAsia" w:hAnsiTheme="minorHAnsi" w:cstheme="minorBidi"/>
              <w:noProof/>
              <w:sz w:val="22"/>
              <w:szCs w:val="22"/>
            </w:rPr>
          </w:pPr>
          <w:hyperlink w:anchor="_Toc260130907" w:history="1">
            <w:r w:rsidR="00716848" w:rsidRPr="00FC03F4">
              <w:rPr>
                <w:rStyle w:val="Hyperlink"/>
                <w:noProof/>
              </w:rPr>
              <w:t xml:space="preserve">B. </w:t>
            </w:r>
            <w:r w:rsidR="00716848">
              <w:rPr>
                <w:rFonts w:asciiTheme="minorHAnsi" w:eastAsiaTheme="minorEastAsia" w:hAnsiTheme="minorHAnsi" w:cstheme="minorBidi"/>
                <w:noProof/>
                <w:sz w:val="22"/>
                <w:szCs w:val="22"/>
              </w:rPr>
              <w:tab/>
            </w:r>
            <w:r w:rsidR="00716848" w:rsidRPr="00FC03F4">
              <w:rPr>
                <w:rStyle w:val="Hyperlink"/>
                <w:noProof/>
              </w:rPr>
              <w:t>Issues Not Addressed in the Settlement Petition</w:t>
            </w:r>
            <w:r w:rsidR="00716848">
              <w:rPr>
                <w:noProof/>
                <w:webHidden/>
              </w:rPr>
              <w:tab/>
            </w:r>
            <w:r>
              <w:rPr>
                <w:noProof/>
                <w:webHidden/>
              </w:rPr>
              <w:fldChar w:fldCharType="begin"/>
            </w:r>
            <w:r w:rsidR="00716848">
              <w:rPr>
                <w:noProof/>
                <w:webHidden/>
              </w:rPr>
              <w:instrText xml:space="preserve"> PAGEREF _Toc260130907 \h </w:instrText>
            </w:r>
            <w:r>
              <w:rPr>
                <w:noProof/>
                <w:webHidden/>
              </w:rPr>
            </w:r>
            <w:r>
              <w:rPr>
                <w:noProof/>
                <w:webHidden/>
              </w:rPr>
              <w:fldChar w:fldCharType="separate"/>
            </w:r>
            <w:r w:rsidR="00345DF8">
              <w:rPr>
                <w:noProof/>
                <w:webHidden/>
              </w:rPr>
              <w:t>20</w:t>
            </w:r>
            <w:r>
              <w:rPr>
                <w:noProof/>
                <w:webHidden/>
              </w:rPr>
              <w:fldChar w:fldCharType="end"/>
            </w:r>
          </w:hyperlink>
        </w:p>
        <w:p w:rsidR="00716848" w:rsidRDefault="003D6E16">
          <w:pPr>
            <w:pStyle w:val="TOC3"/>
            <w:rPr>
              <w:rFonts w:asciiTheme="minorHAnsi" w:eastAsiaTheme="minorEastAsia" w:hAnsiTheme="minorHAnsi" w:cstheme="minorBidi"/>
              <w:noProof/>
              <w:sz w:val="22"/>
              <w:szCs w:val="22"/>
            </w:rPr>
          </w:pPr>
          <w:hyperlink w:anchor="_Toc260130908" w:history="1">
            <w:r w:rsidR="00716848" w:rsidRPr="00FC03F4">
              <w:rPr>
                <w:rStyle w:val="Hyperlink"/>
                <w:noProof/>
              </w:rPr>
              <w:t>1.</w:t>
            </w:r>
            <w:r w:rsidR="00716848">
              <w:rPr>
                <w:rFonts w:asciiTheme="minorHAnsi" w:eastAsiaTheme="minorEastAsia" w:hAnsiTheme="minorHAnsi" w:cstheme="minorBidi"/>
                <w:noProof/>
                <w:sz w:val="22"/>
                <w:szCs w:val="22"/>
              </w:rPr>
              <w:tab/>
            </w:r>
            <w:r w:rsidR="00716848" w:rsidRPr="00FC03F4">
              <w:rPr>
                <w:rStyle w:val="Hyperlink"/>
                <w:noProof/>
              </w:rPr>
              <w:t xml:space="preserve"> Allocation of Common Costs</w:t>
            </w:r>
            <w:r w:rsidR="00716848">
              <w:rPr>
                <w:noProof/>
                <w:webHidden/>
              </w:rPr>
              <w:tab/>
            </w:r>
            <w:r>
              <w:rPr>
                <w:noProof/>
                <w:webHidden/>
              </w:rPr>
              <w:fldChar w:fldCharType="begin"/>
            </w:r>
            <w:r w:rsidR="00716848">
              <w:rPr>
                <w:noProof/>
                <w:webHidden/>
              </w:rPr>
              <w:instrText xml:space="preserve"> PAGEREF _Toc260130908 \h </w:instrText>
            </w:r>
            <w:r>
              <w:rPr>
                <w:noProof/>
                <w:webHidden/>
              </w:rPr>
            </w:r>
            <w:r>
              <w:rPr>
                <w:noProof/>
                <w:webHidden/>
              </w:rPr>
              <w:fldChar w:fldCharType="separate"/>
            </w:r>
            <w:r w:rsidR="00345DF8">
              <w:rPr>
                <w:noProof/>
                <w:webHidden/>
              </w:rPr>
              <w:t>20</w:t>
            </w:r>
            <w:r>
              <w:rPr>
                <w:noProof/>
                <w:webHidden/>
              </w:rPr>
              <w:fldChar w:fldCharType="end"/>
            </w:r>
          </w:hyperlink>
        </w:p>
        <w:p w:rsidR="00716848" w:rsidRDefault="003D6E16">
          <w:pPr>
            <w:pStyle w:val="TOC3"/>
            <w:rPr>
              <w:rFonts w:asciiTheme="minorHAnsi" w:eastAsiaTheme="minorEastAsia" w:hAnsiTheme="minorHAnsi" w:cstheme="minorBidi"/>
              <w:noProof/>
              <w:sz w:val="22"/>
              <w:szCs w:val="22"/>
            </w:rPr>
          </w:pPr>
          <w:hyperlink w:anchor="_Toc260130909" w:history="1">
            <w:r w:rsidR="00716848" w:rsidRPr="00FC03F4">
              <w:rPr>
                <w:rStyle w:val="Hyperlink"/>
                <w:noProof/>
              </w:rPr>
              <w:t>2.</w:t>
            </w:r>
            <w:r w:rsidR="00716848">
              <w:rPr>
                <w:rFonts w:asciiTheme="minorHAnsi" w:eastAsiaTheme="minorEastAsia" w:hAnsiTheme="minorHAnsi" w:cstheme="minorBidi"/>
                <w:noProof/>
                <w:sz w:val="22"/>
                <w:szCs w:val="22"/>
              </w:rPr>
              <w:tab/>
            </w:r>
            <w:r w:rsidR="00716848" w:rsidRPr="00FC03F4">
              <w:rPr>
                <w:rStyle w:val="Hyperlink"/>
                <w:noProof/>
              </w:rPr>
              <w:t>Recovery of Costs from the Small C&amp;I Class</w:t>
            </w:r>
            <w:r w:rsidR="00716848">
              <w:rPr>
                <w:noProof/>
                <w:webHidden/>
              </w:rPr>
              <w:tab/>
            </w:r>
            <w:r>
              <w:rPr>
                <w:noProof/>
                <w:webHidden/>
              </w:rPr>
              <w:fldChar w:fldCharType="begin"/>
            </w:r>
            <w:r w:rsidR="00716848">
              <w:rPr>
                <w:noProof/>
                <w:webHidden/>
              </w:rPr>
              <w:instrText xml:space="preserve"> PAGEREF _Toc260130909 \h </w:instrText>
            </w:r>
            <w:r>
              <w:rPr>
                <w:noProof/>
                <w:webHidden/>
              </w:rPr>
            </w:r>
            <w:r>
              <w:rPr>
                <w:noProof/>
                <w:webHidden/>
              </w:rPr>
              <w:fldChar w:fldCharType="separate"/>
            </w:r>
            <w:r w:rsidR="00345DF8">
              <w:rPr>
                <w:noProof/>
                <w:webHidden/>
              </w:rPr>
              <w:t>26</w:t>
            </w:r>
            <w:r>
              <w:rPr>
                <w:noProof/>
                <w:webHidden/>
              </w:rPr>
              <w:fldChar w:fldCharType="end"/>
            </w:r>
          </w:hyperlink>
        </w:p>
        <w:p w:rsidR="00716848" w:rsidRDefault="003D6E16">
          <w:pPr>
            <w:pStyle w:val="TOC3"/>
            <w:rPr>
              <w:rFonts w:asciiTheme="minorHAnsi" w:eastAsiaTheme="minorEastAsia" w:hAnsiTheme="minorHAnsi" w:cstheme="minorBidi"/>
              <w:noProof/>
              <w:sz w:val="22"/>
              <w:szCs w:val="22"/>
            </w:rPr>
          </w:pPr>
          <w:hyperlink w:anchor="_Toc260130910" w:history="1">
            <w:r w:rsidR="00716848" w:rsidRPr="00FC03F4">
              <w:rPr>
                <w:rStyle w:val="Hyperlink"/>
                <w:noProof/>
              </w:rPr>
              <w:t>3.</w:t>
            </w:r>
            <w:r w:rsidR="00716848">
              <w:rPr>
                <w:rFonts w:asciiTheme="minorHAnsi" w:eastAsiaTheme="minorEastAsia" w:hAnsiTheme="minorHAnsi" w:cstheme="minorBidi"/>
                <w:noProof/>
                <w:sz w:val="22"/>
                <w:szCs w:val="22"/>
              </w:rPr>
              <w:tab/>
            </w:r>
            <w:r w:rsidR="00716848" w:rsidRPr="00FC03F4">
              <w:rPr>
                <w:rStyle w:val="Hyperlink"/>
                <w:noProof/>
              </w:rPr>
              <w:t>Sub-hourly Metering</w:t>
            </w:r>
            <w:r w:rsidR="00716848">
              <w:rPr>
                <w:noProof/>
                <w:webHidden/>
              </w:rPr>
              <w:tab/>
            </w:r>
            <w:r>
              <w:rPr>
                <w:noProof/>
                <w:webHidden/>
              </w:rPr>
              <w:fldChar w:fldCharType="begin"/>
            </w:r>
            <w:r w:rsidR="00716848">
              <w:rPr>
                <w:noProof/>
                <w:webHidden/>
              </w:rPr>
              <w:instrText xml:space="preserve"> PAGEREF _Toc260130910 \h </w:instrText>
            </w:r>
            <w:r>
              <w:rPr>
                <w:noProof/>
                <w:webHidden/>
              </w:rPr>
            </w:r>
            <w:r>
              <w:rPr>
                <w:noProof/>
                <w:webHidden/>
              </w:rPr>
              <w:fldChar w:fldCharType="separate"/>
            </w:r>
            <w:r w:rsidR="00345DF8">
              <w:rPr>
                <w:noProof/>
                <w:webHidden/>
              </w:rPr>
              <w:t>26</w:t>
            </w:r>
            <w:r>
              <w:rPr>
                <w:noProof/>
                <w:webHidden/>
              </w:rPr>
              <w:fldChar w:fldCharType="end"/>
            </w:r>
          </w:hyperlink>
        </w:p>
        <w:p w:rsidR="00716848" w:rsidRDefault="003D6E16">
          <w:pPr>
            <w:pStyle w:val="TOC3"/>
            <w:rPr>
              <w:rFonts w:asciiTheme="minorHAnsi" w:eastAsiaTheme="minorEastAsia" w:hAnsiTheme="minorHAnsi" w:cstheme="minorBidi"/>
              <w:noProof/>
              <w:sz w:val="22"/>
              <w:szCs w:val="22"/>
            </w:rPr>
          </w:pPr>
          <w:hyperlink w:anchor="_Toc260130911" w:history="1">
            <w:r w:rsidR="00716848" w:rsidRPr="00FC03F4">
              <w:rPr>
                <w:rStyle w:val="Hyperlink"/>
                <w:noProof/>
              </w:rPr>
              <w:t>4.</w:t>
            </w:r>
            <w:r w:rsidR="00716848">
              <w:rPr>
                <w:rFonts w:asciiTheme="minorHAnsi" w:eastAsiaTheme="minorEastAsia" w:hAnsiTheme="minorHAnsi" w:cstheme="minorBidi"/>
                <w:noProof/>
                <w:sz w:val="22"/>
                <w:szCs w:val="22"/>
              </w:rPr>
              <w:tab/>
            </w:r>
            <w:r w:rsidR="00716848" w:rsidRPr="00FC03F4">
              <w:rPr>
                <w:rStyle w:val="Hyperlink"/>
                <w:noProof/>
              </w:rPr>
              <w:t>Electric Data Interchange Historic Interval Usage (EDI HIU)                                                    Protocols</w:t>
            </w:r>
            <w:r w:rsidR="00716848">
              <w:rPr>
                <w:noProof/>
                <w:webHidden/>
              </w:rPr>
              <w:tab/>
            </w:r>
            <w:r>
              <w:rPr>
                <w:noProof/>
                <w:webHidden/>
              </w:rPr>
              <w:fldChar w:fldCharType="begin"/>
            </w:r>
            <w:r w:rsidR="00716848">
              <w:rPr>
                <w:noProof/>
                <w:webHidden/>
              </w:rPr>
              <w:instrText xml:space="preserve"> PAGEREF _Toc260130911 \h </w:instrText>
            </w:r>
            <w:r>
              <w:rPr>
                <w:noProof/>
                <w:webHidden/>
              </w:rPr>
            </w:r>
            <w:r>
              <w:rPr>
                <w:noProof/>
                <w:webHidden/>
              </w:rPr>
              <w:fldChar w:fldCharType="separate"/>
            </w:r>
            <w:r w:rsidR="00345DF8">
              <w:rPr>
                <w:noProof/>
                <w:webHidden/>
              </w:rPr>
              <w:t>28</w:t>
            </w:r>
            <w:r>
              <w:rPr>
                <w:noProof/>
                <w:webHidden/>
              </w:rPr>
              <w:fldChar w:fldCharType="end"/>
            </w:r>
          </w:hyperlink>
        </w:p>
        <w:p w:rsidR="00716848" w:rsidRDefault="003D6E16">
          <w:pPr>
            <w:pStyle w:val="TOC1"/>
            <w:rPr>
              <w:rFonts w:asciiTheme="minorHAnsi" w:eastAsiaTheme="minorEastAsia" w:hAnsiTheme="minorHAnsi" w:cstheme="minorBidi"/>
              <w:noProof/>
              <w:sz w:val="22"/>
              <w:szCs w:val="22"/>
            </w:rPr>
          </w:pPr>
          <w:hyperlink w:anchor="_Toc260130912" w:history="1">
            <w:r w:rsidR="00716848" w:rsidRPr="00FC03F4">
              <w:rPr>
                <w:rStyle w:val="Hyperlink"/>
                <w:noProof/>
              </w:rPr>
              <w:t>VI.  Conclusion</w:t>
            </w:r>
            <w:r w:rsidR="00716848">
              <w:rPr>
                <w:rStyle w:val="Hyperlink"/>
                <w:noProof/>
              </w:rPr>
              <w:t xml:space="preserve"> ……</w:t>
            </w:r>
            <w:r w:rsidR="00716848">
              <w:rPr>
                <w:noProof/>
                <w:webHidden/>
              </w:rPr>
              <w:tab/>
            </w:r>
            <w:r>
              <w:rPr>
                <w:noProof/>
                <w:webHidden/>
              </w:rPr>
              <w:fldChar w:fldCharType="begin"/>
            </w:r>
            <w:r w:rsidR="00716848">
              <w:rPr>
                <w:noProof/>
                <w:webHidden/>
              </w:rPr>
              <w:instrText xml:space="preserve"> PAGEREF _Toc260130912 \h </w:instrText>
            </w:r>
            <w:r>
              <w:rPr>
                <w:noProof/>
                <w:webHidden/>
              </w:rPr>
            </w:r>
            <w:r>
              <w:rPr>
                <w:noProof/>
                <w:webHidden/>
              </w:rPr>
              <w:fldChar w:fldCharType="separate"/>
            </w:r>
            <w:r w:rsidR="00345DF8">
              <w:rPr>
                <w:noProof/>
                <w:webHidden/>
              </w:rPr>
              <w:t>29</w:t>
            </w:r>
            <w:r>
              <w:rPr>
                <w:noProof/>
                <w:webHidden/>
              </w:rPr>
              <w:fldChar w:fldCharType="end"/>
            </w:r>
          </w:hyperlink>
        </w:p>
        <w:p w:rsidR="00F2328E" w:rsidRDefault="003D6E16" w:rsidP="00F2328E">
          <w:pPr>
            <w:ind w:firstLine="0"/>
          </w:pPr>
          <w:r>
            <w:fldChar w:fldCharType="end"/>
          </w:r>
        </w:p>
      </w:sdtContent>
    </w:sdt>
    <w:p w:rsidR="00B23F3F" w:rsidRDefault="00B23F3F">
      <w:pPr>
        <w:spacing w:after="200" w:line="276" w:lineRule="auto"/>
        <w:ind w:firstLine="0"/>
        <w:rPr>
          <w:b/>
          <w:szCs w:val="26"/>
        </w:rPr>
        <w:sectPr w:rsidR="00B23F3F" w:rsidSect="00F96EDF">
          <w:footerReference w:type="first" r:id="rId11"/>
          <w:pgSz w:w="12240" w:h="15840"/>
          <w:pgMar w:top="1440" w:right="1440" w:bottom="1440" w:left="1440" w:header="720" w:footer="720" w:gutter="0"/>
          <w:pgNumType w:fmt="lowerRoman" w:start="1"/>
          <w:cols w:space="720"/>
          <w:titlePg/>
          <w:docGrid w:linePitch="360"/>
        </w:sectPr>
      </w:pPr>
    </w:p>
    <w:p w:rsidR="006E2C4D" w:rsidRDefault="006E2C4D">
      <w:pPr>
        <w:spacing w:after="200" w:line="276" w:lineRule="auto"/>
        <w:ind w:firstLine="0"/>
        <w:rPr>
          <w:b/>
          <w:szCs w:val="26"/>
        </w:rPr>
      </w:pPr>
    </w:p>
    <w:p w:rsidR="00581D51" w:rsidRPr="00581D51" w:rsidRDefault="00581D51" w:rsidP="004D3FD8">
      <w:pPr>
        <w:ind w:firstLine="0"/>
        <w:rPr>
          <w:b/>
          <w:szCs w:val="26"/>
        </w:rPr>
      </w:pPr>
      <w:r>
        <w:rPr>
          <w:b/>
          <w:szCs w:val="26"/>
        </w:rPr>
        <w:t>BY THE COMMISSION:</w:t>
      </w:r>
    </w:p>
    <w:p w:rsidR="00581D51" w:rsidRDefault="00581D51" w:rsidP="00581D51">
      <w:pPr>
        <w:rPr>
          <w:szCs w:val="26"/>
        </w:rPr>
      </w:pPr>
    </w:p>
    <w:p w:rsidR="00953AB2" w:rsidRDefault="00953AB2" w:rsidP="00E815C2">
      <w:pPr>
        <w:pStyle w:val="Heading1"/>
      </w:pPr>
      <w:bookmarkStart w:id="0" w:name="_Toc260130890"/>
      <w:r>
        <w:t>I.</w:t>
      </w:r>
      <w:r>
        <w:tab/>
        <w:t xml:space="preserve"> Introduction</w:t>
      </w:r>
      <w:bookmarkEnd w:id="0"/>
    </w:p>
    <w:p w:rsidR="00953AB2" w:rsidRDefault="00953AB2" w:rsidP="00581D51">
      <w:pPr>
        <w:rPr>
          <w:szCs w:val="26"/>
        </w:rPr>
      </w:pPr>
    </w:p>
    <w:p w:rsidR="004933B3" w:rsidRDefault="00B5299B" w:rsidP="0030275C">
      <w:pPr>
        <w:rPr>
          <w:szCs w:val="26"/>
        </w:rPr>
      </w:pPr>
      <w:bookmarkStart w:id="1" w:name="_Toc242516214"/>
      <w:r w:rsidRPr="00B5299B">
        <w:rPr>
          <w:szCs w:val="26"/>
        </w:rPr>
        <w:t xml:space="preserve">Before the Pennsylvania Public Utility Commission (Commission) for consideration and disposition are </w:t>
      </w:r>
      <w:r w:rsidR="005C1718">
        <w:rPr>
          <w:szCs w:val="26"/>
        </w:rPr>
        <w:t>t</w:t>
      </w:r>
      <w:r w:rsidR="005C1718" w:rsidRPr="00B5299B">
        <w:rPr>
          <w:szCs w:val="26"/>
        </w:rPr>
        <w:t>he Initial Decision (I</w:t>
      </w:r>
      <w:r w:rsidR="005C1718">
        <w:rPr>
          <w:szCs w:val="26"/>
        </w:rPr>
        <w:t>.</w:t>
      </w:r>
      <w:r w:rsidR="005C1718" w:rsidRPr="00B5299B">
        <w:rPr>
          <w:szCs w:val="26"/>
        </w:rPr>
        <w:t>D</w:t>
      </w:r>
      <w:r w:rsidR="005C1718">
        <w:rPr>
          <w:szCs w:val="26"/>
        </w:rPr>
        <w:t>.</w:t>
      </w:r>
      <w:r w:rsidR="005C1718" w:rsidRPr="00B5299B">
        <w:rPr>
          <w:szCs w:val="26"/>
        </w:rPr>
        <w:t>) issued by Administrative Law Judge (ALJ)</w:t>
      </w:r>
      <w:r w:rsidR="005C1718">
        <w:rPr>
          <w:szCs w:val="26"/>
        </w:rPr>
        <w:t xml:space="preserve"> Marlane R. Chestnut on January 28, 2010, and </w:t>
      </w:r>
      <w:r w:rsidRPr="00B5299B">
        <w:rPr>
          <w:szCs w:val="26"/>
        </w:rPr>
        <w:t>the Exceptions of</w:t>
      </w:r>
      <w:r w:rsidR="00D02B2D">
        <w:rPr>
          <w:szCs w:val="26"/>
        </w:rPr>
        <w:t xml:space="preserve"> the Office of Consumer Advocate (OCA) </w:t>
      </w:r>
      <w:r w:rsidRPr="00B5299B">
        <w:rPr>
          <w:szCs w:val="26"/>
        </w:rPr>
        <w:t xml:space="preserve">filed </w:t>
      </w:r>
      <w:r w:rsidR="005C1718">
        <w:rPr>
          <w:szCs w:val="26"/>
        </w:rPr>
        <w:t xml:space="preserve">with respect thereto </w:t>
      </w:r>
      <w:r w:rsidRPr="00B5299B">
        <w:rPr>
          <w:szCs w:val="26"/>
        </w:rPr>
        <w:t>on February</w:t>
      </w:r>
      <w:r w:rsidR="008A5C69">
        <w:rPr>
          <w:szCs w:val="26"/>
        </w:rPr>
        <w:t>17</w:t>
      </w:r>
      <w:r w:rsidRPr="00B5299B">
        <w:rPr>
          <w:szCs w:val="26"/>
        </w:rPr>
        <w:t>, 2010</w:t>
      </w:r>
      <w:r w:rsidR="005C1718">
        <w:rPr>
          <w:szCs w:val="26"/>
        </w:rPr>
        <w:t>.</w:t>
      </w:r>
      <w:r w:rsidR="008B4236">
        <w:rPr>
          <w:szCs w:val="26"/>
        </w:rPr>
        <w:t xml:space="preserve">  Replies to Exceptions were filed on</w:t>
      </w:r>
      <w:r w:rsidR="00065CDD">
        <w:rPr>
          <w:szCs w:val="26"/>
        </w:rPr>
        <w:t xml:space="preserve"> </w:t>
      </w:r>
      <w:r w:rsidR="008B4236">
        <w:rPr>
          <w:szCs w:val="26"/>
        </w:rPr>
        <w:t>March 1, 2010</w:t>
      </w:r>
      <w:r w:rsidR="00A94550">
        <w:rPr>
          <w:szCs w:val="26"/>
        </w:rPr>
        <w:t>,</w:t>
      </w:r>
      <w:r w:rsidR="008B4236">
        <w:rPr>
          <w:szCs w:val="26"/>
        </w:rPr>
        <w:t xml:space="preserve"> by </w:t>
      </w:r>
      <w:r w:rsidR="00B81810">
        <w:rPr>
          <w:szCs w:val="26"/>
        </w:rPr>
        <w:t>the PECO Energy Company (PECO)</w:t>
      </w:r>
      <w:r w:rsidR="00E815C2">
        <w:rPr>
          <w:szCs w:val="26"/>
        </w:rPr>
        <w:t>,</w:t>
      </w:r>
      <w:r w:rsidR="00B81810">
        <w:rPr>
          <w:szCs w:val="26"/>
        </w:rPr>
        <w:t xml:space="preserve"> </w:t>
      </w:r>
      <w:r w:rsidR="004F6B14">
        <w:rPr>
          <w:szCs w:val="26"/>
        </w:rPr>
        <w:t>the Office of Small Business Advocate (OSBA) and the Philadelphia Area Industrial Users Group</w:t>
      </w:r>
      <w:r w:rsidR="00324309">
        <w:rPr>
          <w:rStyle w:val="FootnoteReference"/>
          <w:szCs w:val="26"/>
        </w:rPr>
        <w:footnoteReference w:id="1"/>
      </w:r>
      <w:r w:rsidR="004F6B14">
        <w:rPr>
          <w:szCs w:val="26"/>
        </w:rPr>
        <w:t xml:space="preserve"> (PAIEUG)</w:t>
      </w:r>
      <w:r w:rsidR="00F81647">
        <w:rPr>
          <w:szCs w:val="26"/>
        </w:rPr>
        <w:t>.</w:t>
      </w:r>
      <w:r w:rsidR="00466BEA">
        <w:rPr>
          <w:szCs w:val="26"/>
        </w:rPr>
        <w:t xml:space="preserve">  </w:t>
      </w:r>
    </w:p>
    <w:p w:rsidR="00466BEA" w:rsidRDefault="00466BEA" w:rsidP="0030275C">
      <w:pPr>
        <w:rPr>
          <w:szCs w:val="26"/>
        </w:rPr>
      </w:pPr>
    </w:p>
    <w:p w:rsidR="00466BEA" w:rsidRDefault="00466BEA" w:rsidP="0030275C">
      <w:pPr>
        <w:rPr>
          <w:szCs w:val="26"/>
        </w:rPr>
      </w:pPr>
      <w:r>
        <w:rPr>
          <w:szCs w:val="26"/>
        </w:rPr>
        <w:t xml:space="preserve">Included in the Initial Decision </w:t>
      </w:r>
      <w:r w:rsidR="002A08C1">
        <w:rPr>
          <w:szCs w:val="26"/>
        </w:rPr>
        <w:t>is a recommendation for the Commission to approve</w:t>
      </w:r>
      <w:r w:rsidR="00324309">
        <w:rPr>
          <w:szCs w:val="26"/>
        </w:rPr>
        <w:t>,</w:t>
      </w:r>
      <w:r w:rsidR="002A08C1">
        <w:rPr>
          <w:szCs w:val="26"/>
        </w:rPr>
        <w:t xml:space="preserve"> </w:t>
      </w:r>
      <w:r w:rsidR="00324309">
        <w:rPr>
          <w:szCs w:val="26"/>
        </w:rPr>
        <w:t xml:space="preserve">without modification, </w:t>
      </w:r>
      <w:r w:rsidR="002A08C1">
        <w:rPr>
          <w:szCs w:val="26"/>
        </w:rPr>
        <w:t xml:space="preserve">the Joint Petition for Partial Settlement </w:t>
      </w:r>
      <w:r w:rsidR="00CF0B9E">
        <w:rPr>
          <w:szCs w:val="26"/>
        </w:rPr>
        <w:t xml:space="preserve">(Settlement Petition) </w:t>
      </w:r>
      <w:r w:rsidR="002A08C1">
        <w:rPr>
          <w:szCs w:val="26"/>
        </w:rPr>
        <w:t>filed by PECO</w:t>
      </w:r>
      <w:r w:rsidR="00B81810">
        <w:rPr>
          <w:szCs w:val="26"/>
        </w:rPr>
        <w:t>,</w:t>
      </w:r>
      <w:r w:rsidR="002A08C1">
        <w:rPr>
          <w:szCs w:val="26"/>
        </w:rPr>
        <w:t xml:space="preserve"> the OCA, </w:t>
      </w:r>
      <w:r w:rsidR="00C63BAF">
        <w:rPr>
          <w:szCs w:val="26"/>
        </w:rPr>
        <w:t xml:space="preserve">the </w:t>
      </w:r>
      <w:r w:rsidR="005C6CA0">
        <w:rPr>
          <w:szCs w:val="26"/>
        </w:rPr>
        <w:t xml:space="preserve">OSBA, </w:t>
      </w:r>
      <w:r w:rsidR="00C90541">
        <w:rPr>
          <w:szCs w:val="26"/>
        </w:rPr>
        <w:t>the Department of Environmental Protection (DEP), the Clean Air Council (CAC), Constellation NewEnergy, Inc</w:t>
      </w:r>
      <w:r w:rsidR="005C6CA0">
        <w:rPr>
          <w:szCs w:val="26"/>
        </w:rPr>
        <w:t>.</w:t>
      </w:r>
      <w:r w:rsidR="00C90541">
        <w:rPr>
          <w:szCs w:val="26"/>
        </w:rPr>
        <w:t xml:space="preserve"> and the Constellation New Energy</w:t>
      </w:r>
      <w:r w:rsidR="002D39E5">
        <w:rPr>
          <w:szCs w:val="26"/>
        </w:rPr>
        <w:t xml:space="preserve"> Commodities </w:t>
      </w:r>
      <w:r w:rsidR="00CD7FEF">
        <w:rPr>
          <w:szCs w:val="26"/>
        </w:rPr>
        <w:t>G</w:t>
      </w:r>
      <w:r w:rsidR="002D39E5">
        <w:rPr>
          <w:szCs w:val="26"/>
        </w:rPr>
        <w:t xml:space="preserve">roup, Inc. </w:t>
      </w:r>
      <w:r w:rsidR="00C90541">
        <w:rPr>
          <w:szCs w:val="26"/>
        </w:rPr>
        <w:t xml:space="preserve">(Constellation), </w:t>
      </w:r>
      <w:r w:rsidR="002D39E5">
        <w:rPr>
          <w:szCs w:val="26"/>
        </w:rPr>
        <w:t xml:space="preserve">and the Association of Community Associations for </w:t>
      </w:r>
      <w:r w:rsidR="005C6CA0">
        <w:rPr>
          <w:szCs w:val="26"/>
        </w:rPr>
        <w:t>R</w:t>
      </w:r>
      <w:r w:rsidR="002D39E5">
        <w:rPr>
          <w:szCs w:val="26"/>
        </w:rPr>
        <w:t xml:space="preserve">eform Now (ACORN). </w:t>
      </w:r>
      <w:r w:rsidR="0034149C">
        <w:rPr>
          <w:szCs w:val="26"/>
        </w:rPr>
        <w:t xml:space="preserve"> </w:t>
      </w:r>
      <w:r w:rsidR="00A370EF">
        <w:rPr>
          <w:szCs w:val="26"/>
        </w:rPr>
        <w:t xml:space="preserve">Consistent with the Settlement Petition, the Initial Decision </w:t>
      </w:r>
      <w:r w:rsidR="0034149C">
        <w:rPr>
          <w:szCs w:val="26"/>
        </w:rPr>
        <w:t xml:space="preserve">recommended that PECO’s Smart Meter Technology Procurement and Installation </w:t>
      </w:r>
      <w:r w:rsidR="00C63BAF">
        <w:rPr>
          <w:szCs w:val="26"/>
        </w:rPr>
        <w:t xml:space="preserve">Plan </w:t>
      </w:r>
      <w:r w:rsidR="0034149C">
        <w:rPr>
          <w:szCs w:val="26"/>
        </w:rPr>
        <w:t>(Plan) be approved as amended by the Settlement Petition</w:t>
      </w:r>
      <w:r w:rsidR="00E815C2">
        <w:rPr>
          <w:szCs w:val="26"/>
        </w:rPr>
        <w:t>.</w:t>
      </w:r>
      <w:r w:rsidR="0034149C">
        <w:rPr>
          <w:szCs w:val="26"/>
        </w:rPr>
        <w:t xml:space="preserve">  </w:t>
      </w:r>
      <w:r w:rsidR="00A370EF">
        <w:rPr>
          <w:szCs w:val="26"/>
        </w:rPr>
        <w:t>The Initial Decision also contain</w:t>
      </w:r>
      <w:r w:rsidR="00C63BAF">
        <w:rPr>
          <w:szCs w:val="26"/>
        </w:rPr>
        <w:t>ed</w:t>
      </w:r>
      <w:r w:rsidR="00A370EF">
        <w:rPr>
          <w:szCs w:val="26"/>
        </w:rPr>
        <w:t xml:space="preserve"> recommendations on two issues not resolved by the Settlement Petition. </w:t>
      </w:r>
    </w:p>
    <w:p w:rsidR="00A66BFA" w:rsidRDefault="00A66BFA" w:rsidP="0030275C">
      <w:pPr>
        <w:rPr>
          <w:szCs w:val="26"/>
        </w:rPr>
      </w:pPr>
    </w:p>
    <w:p w:rsidR="00B830F4" w:rsidRDefault="00953AB2" w:rsidP="00324309">
      <w:pPr>
        <w:pStyle w:val="Heading1"/>
        <w:keepLines w:val="0"/>
        <w:rPr>
          <w:szCs w:val="26"/>
        </w:rPr>
      </w:pPr>
      <w:bookmarkStart w:id="2" w:name="_Toc252882410"/>
      <w:bookmarkStart w:id="3" w:name="_Toc260130891"/>
      <w:r>
        <w:rPr>
          <w:szCs w:val="26"/>
        </w:rPr>
        <w:t>I</w:t>
      </w:r>
      <w:r w:rsidR="005E25A9">
        <w:rPr>
          <w:szCs w:val="26"/>
        </w:rPr>
        <w:t>I</w:t>
      </w:r>
      <w:r w:rsidR="00E815C2">
        <w:rPr>
          <w:szCs w:val="26"/>
        </w:rPr>
        <w:t>.</w:t>
      </w:r>
      <w:r w:rsidR="00B6382E">
        <w:rPr>
          <w:szCs w:val="26"/>
        </w:rPr>
        <w:t xml:space="preserve"> </w:t>
      </w:r>
      <w:r w:rsidR="006F4B78">
        <w:rPr>
          <w:szCs w:val="26"/>
        </w:rPr>
        <w:tab/>
      </w:r>
      <w:bookmarkEnd w:id="1"/>
      <w:r w:rsidR="00020830">
        <w:rPr>
          <w:szCs w:val="26"/>
        </w:rPr>
        <w:t>Background</w:t>
      </w:r>
      <w:bookmarkEnd w:id="2"/>
      <w:bookmarkEnd w:id="3"/>
    </w:p>
    <w:p w:rsidR="00DD22A6" w:rsidRDefault="00DD22A6" w:rsidP="00324309">
      <w:pPr>
        <w:keepNext/>
        <w:rPr>
          <w:szCs w:val="26"/>
        </w:rPr>
      </w:pPr>
    </w:p>
    <w:p w:rsidR="0093002C" w:rsidRDefault="00FD7119" w:rsidP="00324309">
      <w:pPr>
        <w:pStyle w:val="Heading2"/>
        <w:keepLines w:val="0"/>
      </w:pPr>
      <w:bookmarkStart w:id="4" w:name="_Toc252882411"/>
      <w:bookmarkStart w:id="5" w:name="_Toc260130892"/>
      <w:r>
        <w:t>A.</w:t>
      </w:r>
      <w:r>
        <w:tab/>
        <w:t>Act 129</w:t>
      </w:r>
      <w:bookmarkEnd w:id="4"/>
      <w:bookmarkEnd w:id="5"/>
      <w:r w:rsidR="00A7443B">
        <w:t xml:space="preserve"> </w:t>
      </w:r>
    </w:p>
    <w:p w:rsidR="00B65CF8" w:rsidRDefault="00B65CF8" w:rsidP="00F15DBB">
      <w:pPr>
        <w:rPr>
          <w:szCs w:val="26"/>
        </w:rPr>
      </w:pPr>
    </w:p>
    <w:p w:rsidR="0065303B" w:rsidRDefault="0065303B" w:rsidP="0065303B">
      <w:pPr>
        <w:pStyle w:val="p3"/>
        <w:widowControl/>
        <w:tabs>
          <w:tab w:val="clear" w:pos="204"/>
        </w:tabs>
      </w:pPr>
      <w:r w:rsidRPr="00920883">
        <w:t>Governor Edward Rendell signed Act 129 of 2008 (“the Act” or “Act 129”) into law on October </w:t>
      </w:r>
      <w:r w:rsidR="005974D8">
        <w:t>15, 2008. The Act took effect thirty</w:t>
      </w:r>
      <w:r w:rsidRPr="00920883">
        <w:t xml:space="preserve"> days thereafter on November 14, 2008.  Among other things, the Act specifically directed that</w:t>
      </w:r>
      <w:r w:rsidR="000F1824">
        <w:t xml:space="preserve"> </w:t>
      </w:r>
      <w:r w:rsidRPr="00920883">
        <w:t>electric distribution companies (“EDCs”)</w:t>
      </w:r>
      <w:r w:rsidR="000F1824">
        <w:t xml:space="preserve"> with at least 100,000 customers</w:t>
      </w:r>
      <w:r w:rsidRPr="00920883">
        <w:t xml:space="preserve"> file, with the Commission for approval, a smart meter technology procurement and installation plan. 66 Pa. C.S. §</w:t>
      </w:r>
      <w:r>
        <w:t> </w:t>
      </w:r>
      <w:r w:rsidR="00367A78">
        <w:t xml:space="preserve">2807(f)(1).  </w:t>
      </w:r>
      <w:r w:rsidR="000F1824">
        <w:t xml:space="preserve">These plans </w:t>
      </w:r>
      <w:r w:rsidR="00C63BAF">
        <w:t xml:space="preserve">were to </w:t>
      </w:r>
      <w:r w:rsidR="000F1824">
        <w:t>be filed by August 14, 2009</w:t>
      </w:r>
      <w:r w:rsidR="00536A11">
        <w:t xml:space="preserve">.  Each plan must </w:t>
      </w:r>
      <w:r w:rsidRPr="00920883">
        <w:t>describe the smart meter technologies the EDC proposes to install, upon request from a customer at the customer’s expense, in new construction</w:t>
      </w:r>
      <w:r w:rsidR="004D7A83">
        <w:t>,</w:t>
      </w:r>
      <w:r w:rsidRPr="00920883">
        <w:t xml:space="preserve"> and in accordance with a depreciation schedule not to exceed 15 years.  66 Pa. C.S. §§ 2807(f)(1) and (2).  The Act also establishes </w:t>
      </w:r>
      <w:r>
        <w:t>a requirement for EDCs to make available to third parties</w:t>
      </w:r>
      <w:r w:rsidR="00D76DE9">
        <w:t>,</w:t>
      </w:r>
      <w:r>
        <w:t xml:space="preserve"> </w:t>
      </w:r>
      <w:r w:rsidR="00D76DE9">
        <w:t xml:space="preserve">upon customer consent, </w:t>
      </w:r>
      <w:r>
        <w:t xml:space="preserve">direct </w:t>
      </w:r>
      <w:r w:rsidRPr="00920883">
        <w:t>meter</w:t>
      </w:r>
      <w:r>
        <w:t xml:space="preserve"> access</w:t>
      </w:r>
      <w:r w:rsidRPr="00920883">
        <w:t xml:space="preserve"> and </w:t>
      </w:r>
      <w:r>
        <w:t xml:space="preserve">electronic access to </w:t>
      </w:r>
      <w:r w:rsidRPr="00920883">
        <w:t>meter data</w:t>
      </w:r>
      <w:r w:rsidR="00D76DE9">
        <w:t>.</w:t>
      </w:r>
      <w:r w:rsidRPr="00920883">
        <w:t xml:space="preserve"> 66 Pa. C.S. § 2807(f)(3).  The Act further defines minimum s</w:t>
      </w:r>
      <w:r>
        <w:t>m</w:t>
      </w:r>
      <w:r w:rsidRPr="00920883">
        <w:t xml:space="preserve">art meter technology capabilities.  66 Pa. C.S. </w:t>
      </w:r>
      <w:r w:rsidR="00E815C2">
        <w:t xml:space="preserve">         </w:t>
      </w:r>
      <w:r w:rsidRPr="00920883">
        <w:t xml:space="preserve">§ 2807(g).  Finally, the Act establishes acceptable cost recovery methods.  66 Pa. C.S. </w:t>
      </w:r>
      <w:r w:rsidR="00E815C2">
        <w:t xml:space="preserve">    </w:t>
      </w:r>
      <w:r w:rsidRPr="00920883">
        <w:t>§ 2807(7).</w:t>
      </w:r>
    </w:p>
    <w:p w:rsidR="0065303B" w:rsidRDefault="0065303B" w:rsidP="0065303B">
      <w:pPr>
        <w:pStyle w:val="p3"/>
        <w:widowControl/>
        <w:tabs>
          <w:tab w:val="clear" w:pos="204"/>
        </w:tabs>
      </w:pPr>
    </w:p>
    <w:p w:rsidR="00CD2AA2" w:rsidRPr="00367A78" w:rsidRDefault="0065303B" w:rsidP="004D7A83">
      <w:pPr>
        <w:pStyle w:val="p3"/>
        <w:widowControl/>
        <w:tabs>
          <w:tab w:val="clear" w:pos="204"/>
        </w:tabs>
      </w:pPr>
      <w:r>
        <w:t xml:space="preserve">On March 30, 2009, the Commission issued a Secretarial Letter seeking comments on a draft staff proposal and additional questions regarding EDC smart meter procurement and installation.  </w:t>
      </w:r>
      <w:r w:rsidR="004D7A83">
        <w:t xml:space="preserve">On June 24, 2009, the Commission </w:t>
      </w:r>
      <w:r w:rsidR="00367A78">
        <w:t xml:space="preserve">outlined </w:t>
      </w:r>
      <w:r w:rsidR="00016010">
        <w:t xml:space="preserve">the standards each </w:t>
      </w:r>
      <w:r w:rsidR="00367A78">
        <w:t xml:space="preserve">smart meter </w:t>
      </w:r>
      <w:r w:rsidR="00016010">
        <w:t xml:space="preserve">plan must meet and </w:t>
      </w:r>
      <w:r w:rsidR="00C6084F">
        <w:t>provided</w:t>
      </w:r>
      <w:r w:rsidR="00016010">
        <w:t xml:space="preserve"> guidance on the procedures to be followed for submittal, review and approval of all aspects of each smart meter plan.  </w:t>
      </w:r>
      <w:r w:rsidR="004D7A83" w:rsidRPr="00016010">
        <w:rPr>
          <w:i/>
        </w:rPr>
        <w:t>Smart Meter Procurement and Installation</w:t>
      </w:r>
      <w:r w:rsidR="004D7A83">
        <w:t xml:space="preserve">, Docket No. </w:t>
      </w:r>
      <w:r w:rsidR="00016010">
        <w:t>M-2009-2092655 (</w:t>
      </w:r>
      <w:r w:rsidR="00016010">
        <w:rPr>
          <w:i/>
        </w:rPr>
        <w:t>Implementation Order</w:t>
      </w:r>
      <w:r w:rsidR="00016010">
        <w:t xml:space="preserve">).  </w:t>
      </w:r>
    </w:p>
    <w:p w:rsidR="000C3B57" w:rsidRDefault="000C3B57" w:rsidP="00CD2AA2">
      <w:pPr>
        <w:pStyle w:val="Heading2"/>
        <w:keepNext w:val="0"/>
        <w:keepLines w:val="0"/>
      </w:pPr>
      <w:bookmarkStart w:id="6" w:name="_Toc252882412"/>
    </w:p>
    <w:p w:rsidR="00FD7119" w:rsidRDefault="00FD7119" w:rsidP="000C3B57">
      <w:pPr>
        <w:pStyle w:val="Heading2"/>
        <w:keepLines w:val="0"/>
      </w:pPr>
      <w:bookmarkStart w:id="7" w:name="_Toc260130893"/>
      <w:r>
        <w:lastRenderedPageBreak/>
        <w:t>B.</w:t>
      </w:r>
      <w:r>
        <w:tab/>
        <w:t>The Compan</w:t>
      </w:r>
      <w:bookmarkEnd w:id="6"/>
      <w:r w:rsidR="00065CDD">
        <w:t>y</w:t>
      </w:r>
      <w:bookmarkEnd w:id="7"/>
    </w:p>
    <w:p w:rsidR="007F38AB" w:rsidRDefault="007F38AB" w:rsidP="000C3B57">
      <w:pPr>
        <w:keepNext/>
      </w:pPr>
    </w:p>
    <w:p w:rsidR="00065CDD" w:rsidRDefault="00BF3386" w:rsidP="000C3B57">
      <w:pPr>
        <w:keepNext/>
        <w:rPr>
          <w:szCs w:val="26"/>
        </w:rPr>
      </w:pPr>
      <w:r>
        <w:rPr>
          <w:szCs w:val="26"/>
        </w:rPr>
        <w:t xml:space="preserve">PECO provides electric delivery service to approximately 1.6 million customers and natural gas delivery service to approximately 475,000 customers in Southeastern Pennsylvania.  PECO is </w:t>
      </w:r>
      <w:r w:rsidR="00C63BAF">
        <w:rPr>
          <w:szCs w:val="26"/>
        </w:rPr>
        <w:t xml:space="preserve">a </w:t>
      </w:r>
      <w:r>
        <w:rPr>
          <w:szCs w:val="26"/>
        </w:rPr>
        <w:t xml:space="preserve">Pennsylvania corporation with </w:t>
      </w:r>
      <w:r w:rsidR="00F41400">
        <w:rPr>
          <w:szCs w:val="26"/>
        </w:rPr>
        <w:t xml:space="preserve">its principal offices in Philadelphia, Pennsylvania. </w:t>
      </w:r>
      <w:bookmarkStart w:id="8" w:name="_Toc252882413"/>
      <w:bookmarkStart w:id="9" w:name="_Toc242516218"/>
      <w:r w:rsidR="00F41400">
        <w:rPr>
          <w:szCs w:val="26"/>
        </w:rPr>
        <w:t xml:space="preserve"> </w:t>
      </w:r>
    </w:p>
    <w:p w:rsidR="002D39E5" w:rsidRDefault="002D39E5" w:rsidP="00CD2AA2">
      <w:pPr>
        <w:rPr>
          <w:rFonts w:eastAsiaTheme="majorEastAsia" w:cstheme="majorBidi"/>
          <w:b/>
          <w:bCs/>
          <w:szCs w:val="26"/>
        </w:rPr>
      </w:pPr>
    </w:p>
    <w:p w:rsidR="00CD2AA2" w:rsidRDefault="00953AB2" w:rsidP="00CD2AA2">
      <w:pPr>
        <w:pStyle w:val="Heading1"/>
        <w:keepNext w:val="0"/>
        <w:keepLines w:val="0"/>
        <w:rPr>
          <w:szCs w:val="26"/>
        </w:rPr>
      </w:pPr>
      <w:bookmarkStart w:id="10" w:name="_Toc260130894"/>
      <w:r>
        <w:rPr>
          <w:szCs w:val="26"/>
        </w:rPr>
        <w:t>I</w:t>
      </w:r>
      <w:r w:rsidR="00FD7119">
        <w:rPr>
          <w:szCs w:val="26"/>
        </w:rPr>
        <w:t xml:space="preserve">II.  </w:t>
      </w:r>
      <w:r w:rsidR="00FD7119">
        <w:rPr>
          <w:szCs w:val="26"/>
        </w:rPr>
        <w:tab/>
        <w:t>Procedural History</w:t>
      </w:r>
      <w:bookmarkEnd w:id="8"/>
      <w:bookmarkEnd w:id="10"/>
    </w:p>
    <w:p w:rsidR="00CD2AA2" w:rsidRDefault="00CD2AA2" w:rsidP="006E2C4D"/>
    <w:p w:rsidR="00D63828" w:rsidRDefault="008F1D60" w:rsidP="006E2C4D">
      <w:r w:rsidRPr="00CD2AA2">
        <w:t xml:space="preserve">On August 14, 2009, PECO filed with the </w:t>
      </w:r>
      <w:r w:rsidR="00DB037E" w:rsidRPr="00CD2AA2">
        <w:t xml:space="preserve">Commission </w:t>
      </w:r>
      <w:r w:rsidRPr="00CD2AA2">
        <w:t>its “Petition of PECO Energy Company for Approval of its Smart Meter Technology Procurement and Installation Plan” (</w:t>
      </w:r>
      <w:r w:rsidR="00DB037E" w:rsidRPr="00CD2AA2">
        <w:t xml:space="preserve">Plan </w:t>
      </w:r>
      <w:r w:rsidRPr="00CD2AA2">
        <w:t>Petition)</w:t>
      </w:r>
      <w:r w:rsidR="00DB037E" w:rsidRPr="00CD2AA2">
        <w:t xml:space="preserve">.  The Plan Petition requested that </w:t>
      </w:r>
      <w:r w:rsidRPr="00CD2AA2">
        <w:t xml:space="preserve">the Commission approve the </w:t>
      </w:r>
      <w:r w:rsidR="00CA08AF" w:rsidRPr="00CD2AA2">
        <w:t>Plan in accordance with 66 Pa. C.S. §</w:t>
      </w:r>
      <w:r w:rsidR="00E937E3" w:rsidRPr="00CD2AA2">
        <w:t xml:space="preserve"> 2807(f)(1).  </w:t>
      </w:r>
      <w:r w:rsidR="0009371E">
        <w:t>Specifically, the Plan Petition requests the Commission to</w:t>
      </w:r>
      <w:r w:rsidR="00E76912">
        <w:t xml:space="preserve">: </w:t>
      </w:r>
    </w:p>
    <w:p w:rsidR="00E33CAA" w:rsidRDefault="00E33CAA" w:rsidP="006E2C4D">
      <w:pPr>
        <w:rPr>
          <w:b/>
        </w:rPr>
      </w:pPr>
    </w:p>
    <w:p w:rsidR="004F5785" w:rsidRDefault="00E32794">
      <w:pPr>
        <w:spacing w:after="240"/>
        <w:ind w:left="1440" w:firstLine="0"/>
      </w:pPr>
      <w:r>
        <w:t>(</w:t>
      </w:r>
      <w:r w:rsidR="00E76912">
        <w:t>1)</w:t>
      </w:r>
      <w:r w:rsidR="0009371E">
        <w:t xml:space="preserve"> find that the Plan satisfies </w:t>
      </w:r>
      <w:r w:rsidR="00E76912">
        <w:t>the requirements of 66 Pa. C.S. § 2807</w:t>
      </w:r>
      <w:r w:rsidR="00552BC5">
        <w:t>(f)(1)–</w:t>
      </w:r>
      <w:r w:rsidR="005E41A2">
        <w:t>(</w:t>
      </w:r>
      <w:r w:rsidR="00552BC5">
        <w:t>f</w:t>
      </w:r>
      <w:r w:rsidR="005E41A2">
        <w:t>)</w:t>
      </w:r>
      <w:r w:rsidR="00552BC5">
        <w:t xml:space="preserve">(3) and the </w:t>
      </w:r>
      <w:r w:rsidR="00552BC5" w:rsidRPr="00552BC5">
        <w:rPr>
          <w:i/>
        </w:rPr>
        <w:t>Implementation Order</w:t>
      </w:r>
      <w:r w:rsidR="005E41A2">
        <w:t>;</w:t>
      </w:r>
      <w:r w:rsidR="00552BC5">
        <w:t xml:space="preserve"> </w:t>
      </w:r>
    </w:p>
    <w:p w:rsidR="00D63828" w:rsidRPr="00E32794" w:rsidRDefault="00012541" w:rsidP="00E815C2">
      <w:pPr>
        <w:spacing w:after="240"/>
        <w:rPr>
          <w:b/>
        </w:rPr>
      </w:pPr>
      <w:r w:rsidRPr="00E32794">
        <w:t xml:space="preserve">(2) </w:t>
      </w:r>
      <w:r w:rsidR="00B110F3" w:rsidRPr="00E32794">
        <w:t xml:space="preserve">approve the deployment of up to 600,000 smart meters by PECO; </w:t>
      </w:r>
    </w:p>
    <w:p w:rsidR="004F5785" w:rsidRDefault="00B110F3">
      <w:pPr>
        <w:spacing w:after="240"/>
        <w:ind w:left="1440" w:firstLine="0"/>
        <w:rPr>
          <w:b/>
        </w:rPr>
      </w:pPr>
      <w:r w:rsidRPr="00E32794">
        <w:t xml:space="preserve">(3) approve the tariff provisions and cost recovery mechanism pursuant to 66 Pa. </w:t>
      </w:r>
      <w:r w:rsidR="003F514E" w:rsidRPr="00E32794">
        <w:t>C.S. § 1307 to recover the costs incurred by PECO in t</w:t>
      </w:r>
      <w:r w:rsidR="005E41A2">
        <w:t>he implementation and operation</w:t>
      </w:r>
      <w:r w:rsidR="003F514E" w:rsidRPr="00E32794">
        <w:t xml:space="preserve"> of its Plan; and </w:t>
      </w:r>
    </w:p>
    <w:p w:rsidR="004F5785" w:rsidRDefault="003F514E">
      <w:pPr>
        <w:ind w:left="1440" w:firstLine="0"/>
        <w:rPr>
          <w:b/>
        </w:rPr>
      </w:pPr>
      <w:r w:rsidRPr="00E32794">
        <w:t xml:space="preserve">(4) approve the proposed incremental charges </w:t>
      </w:r>
      <w:r w:rsidR="00D63828" w:rsidRPr="00E32794">
        <w:t>for installation of individual smart</w:t>
      </w:r>
      <w:r w:rsidRPr="00E32794">
        <w:t xml:space="preserve"> </w:t>
      </w:r>
      <w:r w:rsidR="00D63828" w:rsidRPr="00E32794">
        <w:t xml:space="preserve">meters in advance of system-wide deployment pursuant </w:t>
      </w:r>
      <w:r w:rsidR="005E41A2">
        <w:t xml:space="preserve">to </w:t>
      </w:r>
      <w:r w:rsidR="00D63828" w:rsidRPr="00E32794">
        <w:t xml:space="preserve">66 Pa. C.S. </w:t>
      </w:r>
      <w:r w:rsidR="00F704A4">
        <w:t xml:space="preserve"> </w:t>
      </w:r>
      <w:r w:rsidR="00D63828" w:rsidRPr="00E32794">
        <w:t xml:space="preserve">§ 2807(f)(2)(i). </w:t>
      </w:r>
    </w:p>
    <w:p w:rsidR="00E32794" w:rsidRPr="00E32794" w:rsidRDefault="00E32794" w:rsidP="006E2C4D">
      <w:pPr>
        <w:rPr>
          <w:b/>
        </w:rPr>
      </w:pPr>
    </w:p>
    <w:p w:rsidR="00CB0338" w:rsidRPr="00CD2AA2" w:rsidRDefault="008F1D60" w:rsidP="006E2C4D">
      <w:pPr>
        <w:rPr>
          <w:b/>
        </w:rPr>
      </w:pPr>
      <w:r w:rsidRPr="00CD2AA2">
        <w:t xml:space="preserve">Included with the Petition </w:t>
      </w:r>
      <w:r w:rsidR="00FD1D10" w:rsidRPr="00CD2AA2">
        <w:t>were PECO’s direct testimony, associated exhibits, the Plan and an Appendix to the Plan.</w:t>
      </w:r>
      <w:r w:rsidR="00CB0338" w:rsidRPr="00CD2AA2">
        <w:t xml:space="preserve">  </w:t>
      </w:r>
      <w:r w:rsidRPr="00CD2AA2">
        <w:t xml:space="preserve">The Petition was served on the </w:t>
      </w:r>
      <w:r w:rsidRPr="00CD2AA2">
        <w:lastRenderedPageBreak/>
        <w:t xml:space="preserve">Commission’s Office of Trial Staff (OTS), the OCA, </w:t>
      </w:r>
      <w:r w:rsidR="000C3B57">
        <w:t xml:space="preserve">the </w:t>
      </w:r>
      <w:r w:rsidRPr="00CD2AA2">
        <w:t xml:space="preserve">OSBA, licensed electric generation suppliers and other interested entities.  </w:t>
      </w:r>
    </w:p>
    <w:p w:rsidR="00CB0338" w:rsidRDefault="00CB0338" w:rsidP="00CD2AA2">
      <w:pPr>
        <w:rPr>
          <w:szCs w:val="26"/>
        </w:rPr>
      </w:pPr>
    </w:p>
    <w:p w:rsidR="008E776A" w:rsidRPr="008F1D60" w:rsidRDefault="008E776A" w:rsidP="008E776A">
      <w:pPr>
        <w:keepNext/>
        <w:rPr>
          <w:szCs w:val="26"/>
        </w:rPr>
      </w:pPr>
      <w:r>
        <w:rPr>
          <w:szCs w:val="26"/>
        </w:rPr>
        <w:t>A</w:t>
      </w:r>
      <w:r w:rsidRPr="008F1D60">
        <w:rPr>
          <w:szCs w:val="26"/>
        </w:rPr>
        <w:t xml:space="preserve"> Notice of Appearance was filed on August 20, 2009</w:t>
      </w:r>
      <w:r w:rsidR="000C3B57">
        <w:rPr>
          <w:szCs w:val="26"/>
        </w:rPr>
        <w:t>,</w:t>
      </w:r>
      <w:r w:rsidRPr="008F1D60">
        <w:rPr>
          <w:szCs w:val="26"/>
        </w:rPr>
        <w:t xml:space="preserve"> by </w:t>
      </w:r>
      <w:r w:rsidR="000C3B57">
        <w:rPr>
          <w:szCs w:val="26"/>
        </w:rPr>
        <w:t xml:space="preserve">the </w:t>
      </w:r>
      <w:r w:rsidRPr="008F1D60">
        <w:rPr>
          <w:szCs w:val="26"/>
        </w:rPr>
        <w:t xml:space="preserve">OTS.  On September 1, 2009, </w:t>
      </w:r>
      <w:r w:rsidR="000C3B57">
        <w:rPr>
          <w:szCs w:val="26"/>
        </w:rPr>
        <w:t xml:space="preserve">the </w:t>
      </w:r>
      <w:r w:rsidRPr="008F1D60">
        <w:rPr>
          <w:szCs w:val="26"/>
        </w:rPr>
        <w:t>OCA filed a Notice of Intervention and Public Statement.  A Notice of Intervention, Public Statement, and Notice of Appearance w</w:t>
      </w:r>
      <w:r w:rsidR="006513D1">
        <w:rPr>
          <w:szCs w:val="26"/>
        </w:rPr>
        <w:t>ere</w:t>
      </w:r>
      <w:r w:rsidRPr="008F1D60">
        <w:rPr>
          <w:szCs w:val="26"/>
        </w:rPr>
        <w:t xml:space="preserve"> filed on September 25, 2009</w:t>
      </w:r>
      <w:r w:rsidR="006513D1">
        <w:rPr>
          <w:szCs w:val="26"/>
        </w:rPr>
        <w:t>,</w:t>
      </w:r>
      <w:r w:rsidRPr="008F1D60">
        <w:rPr>
          <w:szCs w:val="26"/>
        </w:rPr>
        <w:t xml:space="preserve"> by </w:t>
      </w:r>
      <w:r w:rsidR="000C3B57">
        <w:rPr>
          <w:szCs w:val="26"/>
        </w:rPr>
        <w:t xml:space="preserve">the </w:t>
      </w:r>
      <w:r w:rsidRPr="008F1D60">
        <w:rPr>
          <w:szCs w:val="26"/>
        </w:rPr>
        <w:t>OSBA.</w:t>
      </w:r>
    </w:p>
    <w:p w:rsidR="008E776A" w:rsidRDefault="008E776A" w:rsidP="00CD2AA2">
      <w:pPr>
        <w:rPr>
          <w:szCs w:val="26"/>
        </w:rPr>
      </w:pPr>
    </w:p>
    <w:p w:rsidR="008F1D60" w:rsidRPr="008F1D60" w:rsidRDefault="00CB0338" w:rsidP="00CD2AA2">
      <w:pPr>
        <w:rPr>
          <w:szCs w:val="26"/>
        </w:rPr>
      </w:pPr>
      <w:r>
        <w:rPr>
          <w:szCs w:val="26"/>
        </w:rPr>
        <w:t xml:space="preserve">A </w:t>
      </w:r>
      <w:r w:rsidR="008F1D60" w:rsidRPr="008F1D60">
        <w:rPr>
          <w:szCs w:val="26"/>
        </w:rPr>
        <w:t xml:space="preserve">notice of the filing </w:t>
      </w:r>
      <w:r>
        <w:rPr>
          <w:szCs w:val="26"/>
        </w:rPr>
        <w:t xml:space="preserve">was published </w:t>
      </w:r>
      <w:r w:rsidR="008F1D60" w:rsidRPr="008F1D60">
        <w:rPr>
          <w:szCs w:val="26"/>
        </w:rPr>
        <w:t xml:space="preserve">in the </w:t>
      </w:r>
      <w:r w:rsidR="008F1D60" w:rsidRPr="00CB0338">
        <w:rPr>
          <w:i/>
          <w:szCs w:val="26"/>
        </w:rPr>
        <w:t>Pennsylvania Bulletin</w:t>
      </w:r>
      <w:r>
        <w:rPr>
          <w:szCs w:val="26"/>
        </w:rPr>
        <w:t xml:space="preserve"> on </w:t>
      </w:r>
      <w:r w:rsidRPr="008F1D60">
        <w:rPr>
          <w:szCs w:val="26"/>
        </w:rPr>
        <w:t>August 29, 2009</w:t>
      </w:r>
      <w:r w:rsidR="00EA6548">
        <w:rPr>
          <w:szCs w:val="26"/>
        </w:rPr>
        <w:t>,</w:t>
      </w:r>
      <w:r w:rsidR="00A91693">
        <w:rPr>
          <w:szCs w:val="26"/>
        </w:rPr>
        <w:t xml:space="preserve"> at </w:t>
      </w:r>
      <w:r w:rsidR="008F1D60" w:rsidRPr="008F1D60">
        <w:rPr>
          <w:szCs w:val="26"/>
        </w:rPr>
        <w:t xml:space="preserve">39 </w:t>
      </w:r>
      <w:r w:rsidR="008F1D60" w:rsidRPr="000C3B57">
        <w:rPr>
          <w:i/>
          <w:szCs w:val="26"/>
        </w:rPr>
        <w:t>Pa.B.</w:t>
      </w:r>
      <w:r w:rsidR="008F1D60" w:rsidRPr="008F1D60">
        <w:rPr>
          <w:szCs w:val="26"/>
        </w:rPr>
        <w:t xml:space="preserve"> 5218</w:t>
      </w:r>
      <w:r w:rsidR="00A91693">
        <w:rPr>
          <w:szCs w:val="26"/>
        </w:rPr>
        <w:t>.</w:t>
      </w:r>
      <w:r w:rsidR="008F1D60" w:rsidRPr="008F1D60">
        <w:rPr>
          <w:szCs w:val="26"/>
        </w:rPr>
        <w:t xml:space="preserve">  Notice to the public also was provided through published notices in all major newspapers serving PECO’s service territory, issuance of a press release to all major media in the service territory and the posting of the entire filing on the company’s website. </w:t>
      </w:r>
      <w:r w:rsidR="00A91693">
        <w:rPr>
          <w:szCs w:val="26"/>
        </w:rPr>
        <w:t xml:space="preserve"> </w:t>
      </w:r>
      <w:r w:rsidR="009357DE">
        <w:rPr>
          <w:szCs w:val="26"/>
        </w:rPr>
        <w:t>I.D.</w:t>
      </w:r>
      <w:r w:rsidR="00A91693">
        <w:rPr>
          <w:szCs w:val="26"/>
        </w:rPr>
        <w:t xml:space="preserve"> at 2.</w:t>
      </w:r>
    </w:p>
    <w:p w:rsidR="008F1D60" w:rsidRDefault="008F1D60" w:rsidP="008F1D60">
      <w:pPr>
        <w:keepNext/>
        <w:rPr>
          <w:szCs w:val="26"/>
        </w:rPr>
      </w:pPr>
    </w:p>
    <w:p w:rsidR="00A10542" w:rsidRPr="00C86516" w:rsidRDefault="00A10542" w:rsidP="00A10542">
      <w:pPr>
        <w:keepNext/>
      </w:pPr>
      <w:r w:rsidRPr="008F1D60">
        <w:rPr>
          <w:szCs w:val="26"/>
        </w:rPr>
        <w:t>Petitions to Intervene were filed by PAIEUG</w:t>
      </w:r>
      <w:r>
        <w:rPr>
          <w:szCs w:val="26"/>
        </w:rPr>
        <w:t xml:space="preserve"> on </w:t>
      </w:r>
      <w:r w:rsidRPr="008F1D60">
        <w:rPr>
          <w:szCs w:val="26"/>
        </w:rPr>
        <w:t>September 10, 2009</w:t>
      </w:r>
      <w:r w:rsidR="00E815C2">
        <w:rPr>
          <w:szCs w:val="26"/>
        </w:rPr>
        <w:t>,</w:t>
      </w:r>
      <w:r w:rsidRPr="008F1D60">
        <w:rPr>
          <w:szCs w:val="26"/>
        </w:rPr>
        <w:t xml:space="preserve"> the DEP</w:t>
      </w:r>
      <w:r>
        <w:rPr>
          <w:szCs w:val="26"/>
        </w:rPr>
        <w:t xml:space="preserve"> on </w:t>
      </w:r>
      <w:r w:rsidRPr="008F1D60">
        <w:rPr>
          <w:szCs w:val="26"/>
        </w:rPr>
        <w:t>September 18, 2009</w:t>
      </w:r>
      <w:r w:rsidR="00E815C2">
        <w:rPr>
          <w:szCs w:val="26"/>
        </w:rPr>
        <w:t>,</w:t>
      </w:r>
      <w:r w:rsidRPr="008F1D60">
        <w:rPr>
          <w:szCs w:val="26"/>
        </w:rPr>
        <w:t xml:space="preserve"> CAC</w:t>
      </w:r>
      <w:r>
        <w:rPr>
          <w:szCs w:val="26"/>
        </w:rPr>
        <w:t xml:space="preserve"> on</w:t>
      </w:r>
      <w:r w:rsidRPr="008F1D60">
        <w:rPr>
          <w:szCs w:val="26"/>
        </w:rPr>
        <w:t xml:space="preserve"> September 23, 2009</w:t>
      </w:r>
      <w:r w:rsidR="00E815C2">
        <w:rPr>
          <w:szCs w:val="26"/>
        </w:rPr>
        <w:t>,</w:t>
      </w:r>
      <w:r w:rsidR="0062090A">
        <w:rPr>
          <w:szCs w:val="26"/>
        </w:rPr>
        <w:t xml:space="preserve"> </w:t>
      </w:r>
      <w:r w:rsidRPr="008F1D60">
        <w:rPr>
          <w:szCs w:val="26"/>
        </w:rPr>
        <w:t xml:space="preserve">Constellation </w:t>
      </w:r>
      <w:r>
        <w:rPr>
          <w:szCs w:val="26"/>
        </w:rPr>
        <w:t>on September 25, 2009</w:t>
      </w:r>
      <w:r w:rsidR="00E815C2">
        <w:rPr>
          <w:szCs w:val="26"/>
        </w:rPr>
        <w:t>,</w:t>
      </w:r>
      <w:r>
        <w:rPr>
          <w:szCs w:val="26"/>
        </w:rPr>
        <w:t xml:space="preserve"> and AC</w:t>
      </w:r>
      <w:r w:rsidRPr="00C86516">
        <w:t>ORN</w:t>
      </w:r>
      <w:r>
        <w:t xml:space="preserve"> on September </w:t>
      </w:r>
      <w:r w:rsidRPr="00C86516">
        <w:t xml:space="preserve">25, 2009.   </w:t>
      </w:r>
    </w:p>
    <w:p w:rsidR="00297CC7" w:rsidRDefault="00297CC7" w:rsidP="008F1D60">
      <w:pPr>
        <w:keepNext/>
        <w:rPr>
          <w:szCs w:val="26"/>
        </w:rPr>
      </w:pPr>
    </w:p>
    <w:p w:rsidR="00B03AD8" w:rsidRPr="00C86516" w:rsidRDefault="00B03AD8" w:rsidP="00B03AD8">
      <w:r w:rsidRPr="00C86516">
        <w:t xml:space="preserve">On September 25, 2009, </w:t>
      </w:r>
      <w:r w:rsidR="00E815C2">
        <w:t>C</w:t>
      </w:r>
      <w:r w:rsidRPr="00C86516">
        <w:t xml:space="preserve">omments were filed by </w:t>
      </w:r>
      <w:r w:rsidR="0062090A">
        <w:t xml:space="preserve">the </w:t>
      </w:r>
      <w:r w:rsidRPr="00C86516">
        <w:t>OCA,</w:t>
      </w:r>
      <w:r w:rsidR="0062090A">
        <w:t xml:space="preserve"> the</w:t>
      </w:r>
      <w:r w:rsidRPr="00C86516">
        <w:t xml:space="preserve"> OTS, </w:t>
      </w:r>
      <w:r w:rsidR="0062090A">
        <w:t xml:space="preserve">the </w:t>
      </w:r>
      <w:r w:rsidRPr="00C86516">
        <w:t>DEP and ACORN.</w:t>
      </w:r>
    </w:p>
    <w:p w:rsidR="00B03AD8" w:rsidRDefault="00B03AD8" w:rsidP="008F1D60">
      <w:pPr>
        <w:keepNext/>
        <w:rPr>
          <w:szCs w:val="26"/>
        </w:rPr>
      </w:pPr>
    </w:p>
    <w:p w:rsidR="008F1D60" w:rsidRPr="008F1D60" w:rsidRDefault="005A38B7" w:rsidP="008F1D60">
      <w:pPr>
        <w:keepNext/>
        <w:rPr>
          <w:szCs w:val="26"/>
        </w:rPr>
      </w:pPr>
      <w:r>
        <w:rPr>
          <w:szCs w:val="26"/>
        </w:rPr>
        <w:t>A</w:t>
      </w:r>
      <w:r w:rsidR="008F1D60" w:rsidRPr="008F1D60">
        <w:rPr>
          <w:szCs w:val="26"/>
        </w:rPr>
        <w:t xml:space="preserve"> prehearing conference was </w:t>
      </w:r>
      <w:r>
        <w:rPr>
          <w:szCs w:val="26"/>
        </w:rPr>
        <w:t>held</w:t>
      </w:r>
      <w:r w:rsidR="008F1D60" w:rsidRPr="008F1D60">
        <w:rPr>
          <w:szCs w:val="26"/>
        </w:rPr>
        <w:t xml:space="preserve"> in Harrisburg on September 29, 2009</w:t>
      </w:r>
      <w:r>
        <w:rPr>
          <w:szCs w:val="26"/>
        </w:rPr>
        <w:t xml:space="preserve">. </w:t>
      </w:r>
      <w:r w:rsidR="004C500F">
        <w:rPr>
          <w:szCs w:val="26"/>
        </w:rPr>
        <w:t xml:space="preserve"> Present and participating through Counsel were PECO, ACORN, Constellation, </w:t>
      </w:r>
      <w:r w:rsidR="0062090A">
        <w:rPr>
          <w:szCs w:val="26"/>
        </w:rPr>
        <w:t xml:space="preserve">the </w:t>
      </w:r>
      <w:r w:rsidR="004C500F">
        <w:rPr>
          <w:szCs w:val="26"/>
        </w:rPr>
        <w:t xml:space="preserve">DEP, </w:t>
      </w:r>
      <w:r w:rsidR="0062090A">
        <w:rPr>
          <w:szCs w:val="26"/>
        </w:rPr>
        <w:t xml:space="preserve">the </w:t>
      </w:r>
      <w:r w:rsidR="004C500F">
        <w:rPr>
          <w:szCs w:val="26"/>
        </w:rPr>
        <w:t xml:space="preserve">OCA, </w:t>
      </w:r>
      <w:r w:rsidR="0062090A">
        <w:rPr>
          <w:szCs w:val="26"/>
        </w:rPr>
        <w:t xml:space="preserve">the </w:t>
      </w:r>
      <w:r w:rsidR="004C500F">
        <w:rPr>
          <w:szCs w:val="26"/>
        </w:rPr>
        <w:t xml:space="preserve">OSBA, </w:t>
      </w:r>
      <w:r w:rsidR="0062090A">
        <w:rPr>
          <w:szCs w:val="26"/>
        </w:rPr>
        <w:t xml:space="preserve">the </w:t>
      </w:r>
      <w:r w:rsidR="004C500F">
        <w:rPr>
          <w:szCs w:val="26"/>
        </w:rPr>
        <w:t xml:space="preserve">OTS, </w:t>
      </w:r>
      <w:r w:rsidR="008D4E32">
        <w:rPr>
          <w:szCs w:val="26"/>
        </w:rPr>
        <w:t xml:space="preserve">and </w:t>
      </w:r>
      <w:r w:rsidR="004C500F">
        <w:rPr>
          <w:szCs w:val="26"/>
        </w:rPr>
        <w:t>PAIEUG</w:t>
      </w:r>
      <w:r w:rsidR="008D4E32">
        <w:rPr>
          <w:szCs w:val="26"/>
        </w:rPr>
        <w:t xml:space="preserve">. </w:t>
      </w:r>
      <w:r w:rsidR="004C500F">
        <w:rPr>
          <w:szCs w:val="26"/>
        </w:rPr>
        <w:t xml:space="preserve"> </w:t>
      </w:r>
    </w:p>
    <w:p w:rsidR="008F1D60" w:rsidRPr="008F1D60" w:rsidRDefault="008F1D60" w:rsidP="00B70906">
      <w:pPr>
        <w:keepNext/>
        <w:rPr>
          <w:szCs w:val="26"/>
        </w:rPr>
      </w:pPr>
    </w:p>
    <w:p w:rsidR="008F1D60" w:rsidRPr="00B70906" w:rsidRDefault="008F1D60" w:rsidP="00B70906">
      <w:pPr>
        <w:rPr>
          <w:bCs/>
          <w:szCs w:val="26"/>
        </w:rPr>
      </w:pPr>
      <w:r w:rsidRPr="00B70906">
        <w:rPr>
          <w:bCs/>
          <w:szCs w:val="26"/>
        </w:rPr>
        <w:t>On October 6, 2009, PECO file</w:t>
      </w:r>
      <w:r w:rsidR="003D7D24">
        <w:rPr>
          <w:bCs/>
          <w:szCs w:val="26"/>
        </w:rPr>
        <w:t>d and served revised PECO Exh. 1,</w:t>
      </w:r>
      <w:r w:rsidRPr="00B70906">
        <w:rPr>
          <w:bCs/>
          <w:szCs w:val="26"/>
        </w:rPr>
        <w:t xml:space="preserve">which contained revisions to </w:t>
      </w:r>
      <w:r w:rsidR="00DE4F88">
        <w:rPr>
          <w:bCs/>
          <w:szCs w:val="26"/>
        </w:rPr>
        <w:t xml:space="preserve">the </w:t>
      </w:r>
      <w:r w:rsidRPr="00B70906">
        <w:rPr>
          <w:bCs/>
          <w:szCs w:val="26"/>
        </w:rPr>
        <w:t xml:space="preserve">Plan.  </w:t>
      </w:r>
    </w:p>
    <w:p w:rsidR="008F1D60" w:rsidRPr="00B70906" w:rsidRDefault="008F1D60" w:rsidP="008F1D60">
      <w:pPr>
        <w:rPr>
          <w:bCs/>
          <w:szCs w:val="26"/>
        </w:rPr>
      </w:pPr>
    </w:p>
    <w:p w:rsidR="008F1D60" w:rsidRPr="002D734B" w:rsidRDefault="008F1D60" w:rsidP="00B70906">
      <w:pPr>
        <w:rPr>
          <w:bCs/>
          <w:szCs w:val="26"/>
        </w:rPr>
      </w:pPr>
      <w:r w:rsidRPr="002D734B">
        <w:rPr>
          <w:bCs/>
          <w:szCs w:val="26"/>
        </w:rPr>
        <w:lastRenderedPageBreak/>
        <w:t xml:space="preserve">The technical conference required by the </w:t>
      </w:r>
      <w:r w:rsidRPr="002D734B">
        <w:rPr>
          <w:bCs/>
          <w:i/>
          <w:szCs w:val="26"/>
        </w:rPr>
        <w:t>Implementation Order</w:t>
      </w:r>
      <w:r w:rsidRPr="002D734B">
        <w:rPr>
          <w:bCs/>
          <w:szCs w:val="26"/>
        </w:rPr>
        <w:t xml:space="preserve"> was held in Harrisburg on October 7, 2009, under the direction of Administrative Law Judge David A. Salapa.  Participants included PECO, </w:t>
      </w:r>
      <w:r w:rsidR="0062090A">
        <w:rPr>
          <w:bCs/>
          <w:szCs w:val="26"/>
        </w:rPr>
        <w:t xml:space="preserve">the </w:t>
      </w:r>
      <w:r w:rsidRPr="002D734B">
        <w:rPr>
          <w:bCs/>
          <w:szCs w:val="26"/>
        </w:rPr>
        <w:t xml:space="preserve">OTS, </w:t>
      </w:r>
      <w:r w:rsidR="0062090A">
        <w:rPr>
          <w:bCs/>
          <w:szCs w:val="26"/>
        </w:rPr>
        <w:t xml:space="preserve">the </w:t>
      </w:r>
      <w:r w:rsidRPr="002D734B">
        <w:rPr>
          <w:bCs/>
          <w:szCs w:val="26"/>
        </w:rPr>
        <w:t xml:space="preserve">OCA, </w:t>
      </w:r>
      <w:r w:rsidR="0062090A">
        <w:rPr>
          <w:bCs/>
          <w:szCs w:val="26"/>
        </w:rPr>
        <w:t xml:space="preserve">the </w:t>
      </w:r>
      <w:r w:rsidRPr="002D734B">
        <w:rPr>
          <w:bCs/>
          <w:szCs w:val="26"/>
        </w:rPr>
        <w:t xml:space="preserve">OSBA, </w:t>
      </w:r>
      <w:r w:rsidR="0062090A">
        <w:rPr>
          <w:bCs/>
          <w:szCs w:val="26"/>
        </w:rPr>
        <w:t xml:space="preserve">the </w:t>
      </w:r>
      <w:r w:rsidRPr="002D734B">
        <w:rPr>
          <w:bCs/>
          <w:szCs w:val="26"/>
        </w:rPr>
        <w:t xml:space="preserve">DEP, ACORN and CAC.  Three witnesses were presented by PECO for questioning by the </w:t>
      </w:r>
      <w:r w:rsidR="00F704A4">
        <w:rPr>
          <w:bCs/>
          <w:szCs w:val="26"/>
        </w:rPr>
        <w:t>P</w:t>
      </w:r>
      <w:r w:rsidRPr="002D734B">
        <w:rPr>
          <w:bCs/>
          <w:szCs w:val="26"/>
        </w:rPr>
        <w:t>arties.</w:t>
      </w:r>
    </w:p>
    <w:p w:rsidR="00EA62CC" w:rsidRDefault="00EA62CC" w:rsidP="0074696C">
      <w:pPr>
        <w:rPr>
          <w:szCs w:val="26"/>
        </w:rPr>
      </w:pPr>
    </w:p>
    <w:p w:rsidR="008F1D60" w:rsidRPr="00770B78" w:rsidRDefault="000A603F" w:rsidP="0074696C">
      <w:pPr>
        <w:rPr>
          <w:bCs/>
          <w:szCs w:val="26"/>
        </w:rPr>
      </w:pPr>
      <w:r w:rsidRPr="00770B78">
        <w:rPr>
          <w:szCs w:val="26"/>
        </w:rPr>
        <w:t xml:space="preserve">A hearing was held in Harrisburg on </w:t>
      </w:r>
      <w:r w:rsidR="008F1D60" w:rsidRPr="00770B78">
        <w:rPr>
          <w:szCs w:val="26"/>
        </w:rPr>
        <w:t>November 13, 2009</w:t>
      </w:r>
      <w:r w:rsidRPr="00770B78">
        <w:rPr>
          <w:szCs w:val="26"/>
        </w:rPr>
        <w:t>.</w:t>
      </w:r>
      <w:r w:rsidR="008F1D60" w:rsidRPr="00770B78">
        <w:rPr>
          <w:szCs w:val="26"/>
        </w:rPr>
        <w:t xml:space="preserve">  All parties other than CAC were present and participated through counsel.  </w:t>
      </w:r>
      <w:r w:rsidRPr="00770B78">
        <w:rPr>
          <w:szCs w:val="26"/>
        </w:rPr>
        <w:t xml:space="preserve">PECO’s </w:t>
      </w:r>
      <w:r w:rsidR="0074696C" w:rsidRPr="00770B78">
        <w:rPr>
          <w:szCs w:val="26"/>
        </w:rPr>
        <w:t xml:space="preserve">filing </w:t>
      </w:r>
      <w:r w:rsidR="008F1D60" w:rsidRPr="00770B78">
        <w:rPr>
          <w:szCs w:val="26"/>
        </w:rPr>
        <w:t>(Vols</w:t>
      </w:r>
      <w:r w:rsidR="00DE4F88">
        <w:rPr>
          <w:szCs w:val="26"/>
        </w:rPr>
        <w:t>.</w:t>
      </w:r>
      <w:r w:rsidR="008F1D60" w:rsidRPr="00770B78">
        <w:rPr>
          <w:szCs w:val="26"/>
        </w:rPr>
        <w:t xml:space="preserve"> I and II, including the Plan </w:t>
      </w:r>
      <w:r w:rsidR="00DE4F88">
        <w:rPr>
          <w:szCs w:val="26"/>
        </w:rPr>
        <w:t xml:space="preserve">as revised </w:t>
      </w:r>
      <w:r w:rsidR="008F1D60" w:rsidRPr="00770B78">
        <w:rPr>
          <w:szCs w:val="26"/>
        </w:rPr>
        <w:t xml:space="preserve">on October 6, 2009) was admitted into the record as PECO Exh. 1 and an affidavit of PECO witness Adams (including attachments) was admitted into the record as PECO Exh. 2.  </w:t>
      </w:r>
      <w:r w:rsidR="008F1D60" w:rsidRPr="00770B78">
        <w:rPr>
          <w:bCs/>
          <w:szCs w:val="26"/>
        </w:rPr>
        <w:t>Upon the presentation of affidavits regarding the adoption of their respective statements and exhibits, admitted into the record without cross-examination were the statements and exhibits of PECO</w:t>
      </w:r>
      <w:r w:rsidR="0074696C" w:rsidRPr="00770B78">
        <w:rPr>
          <w:bCs/>
          <w:szCs w:val="26"/>
        </w:rPr>
        <w:t>,</w:t>
      </w:r>
      <w:r w:rsidR="008F1D60" w:rsidRPr="00770B78">
        <w:rPr>
          <w:bCs/>
          <w:szCs w:val="26"/>
        </w:rPr>
        <w:t xml:space="preserve"> </w:t>
      </w:r>
      <w:r w:rsidR="00770B78">
        <w:rPr>
          <w:bCs/>
          <w:szCs w:val="26"/>
        </w:rPr>
        <w:t xml:space="preserve">the </w:t>
      </w:r>
      <w:r w:rsidR="008F1D60" w:rsidRPr="00770B78">
        <w:rPr>
          <w:bCs/>
          <w:szCs w:val="26"/>
        </w:rPr>
        <w:t>OTS</w:t>
      </w:r>
      <w:r w:rsidR="0074696C" w:rsidRPr="00770B78">
        <w:rPr>
          <w:bCs/>
          <w:szCs w:val="26"/>
        </w:rPr>
        <w:t>,</w:t>
      </w:r>
      <w:r w:rsidR="008F1D60" w:rsidRPr="00770B78">
        <w:rPr>
          <w:bCs/>
          <w:szCs w:val="26"/>
        </w:rPr>
        <w:t xml:space="preserve"> Constellation</w:t>
      </w:r>
      <w:r w:rsidR="00F704A4">
        <w:rPr>
          <w:bCs/>
          <w:szCs w:val="26"/>
        </w:rPr>
        <w:t>,</w:t>
      </w:r>
      <w:r w:rsidR="008F1D60" w:rsidRPr="00770B78">
        <w:rPr>
          <w:bCs/>
          <w:szCs w:val="26"/>
        </w:rPr>
        <w:t xml:space="preserve"> </w:t>
      </w:r>
      <w:r w:rsidR="00770B78">
        <w:rPr>
          <w:bCs/>
          <w:szCs w:val="26"/>
        </w:rPr>
        <w:t xml:space="preserve">the </w:t>
      </w:r>
      <w:r w:rsidR="008F1D60" w:rsidRPr="00770B78">
        <w:rPr>
          <w:bCs/>
          <w:szCs w:val="26"/>
        </w:rPr>
        <w:t>OCA</w:t>
      </w:r>
      <w:r w:rsidR="0074696C" w:rsidRPr="00770B78">
        <w:rPr>
          <w:bCs/>
          <w:szCs w:val="26"/>
        </w:rPr>
        <w:t>,</w:t>
      </w:r>
      <w:r w:rsidR="008F1D60" w:rsidRPr="00770B78">
        <w:rPr>
          <w:bCs/>
          <w:szCs w:val="26"/>
        </w:rPr>
        <w:t xml:space="preserve"> ACORN</w:t>
      </w:r>
      <w:r w:rsidR="0074696C" w:rsidRPr="00770B78">
        <w:rPr>
          <w:bCs/>
          <w:szCs w:val="26"/>
        </w:rPr>
        <w:t>,</w:t>
      </w:r>
      <w:r w:rsidR="008F1D60" w:rsidRPr="00770B78">
        <w:rPr>
          <w:bCs/>
          <w:szCs w:val="26"/>
        </w:rPr>
        <w:t xml:space="preserve"> </w:t>
      </w:r>
      <w:r w:rsidR="00770B78">
        <w:rPr>
          <w:bCs/>
          <w:szCs w:val="26"/>
        </w:rPr>
        <w:t xml:space="preserve">the </w:t>
      </w:r>
      <w:r w:rsidR="008F1D60" w:rsidRPr="00770B78">
        <w:rPr>
          <w:bCs/>
          <w:szCs w:val="26"/>
        </w:rPr>
        <w:t>OSBA</w:t>
      </w:r>
      <w:r w:rsidR="0074696C" w:rsidRPr="00770B78">
        <w:rPr>
          <w:bCs/>
          <w:szCs w:val="26"/>
        </w:rPr>
        <w:t>,</w:t>
      </w:r>
      <w:r w:rsidR="008F1D60" w:rsidRPr="00770B78">
        <w:rPr>
          <w:bCs/>
          <w:szCs w:val="26"/>
        </w:rPr>
        <w:t xml:space="preserve"> and PAIEUG</w:t>
      </w:r>
      <w:r w:rsidR="0074696C" w:rsidRPr="00770B78">
        <w:rPr>
          <w:bCs/>
          <w:szCs w:val="26"/>
        </w:rPr>
        <w:t>.</w:t>
      </w:r>
      <w:r w:rsidR="008F1D60" w:rsidRPr="00770B78">
        <w:rPr>
          <w:bCs/>
          <w:szCs w:val="26"/>
        </w:rPr>
        <w:t xml:space="preserve"> </w:t>
      </w:r>
    </w:p>
    <w:p w:rsidR="0074696C" w:rsidRPr="00770B78" w:rsidRDefault="0074696C" w:rsidP="008F1D60">
      <w:pPr>
        <w:rPr>
          <w:bCs/>
          <w:szCs w:val="26"/>
        </w:rPr>
      </w:pPr>
    </w:p>
    <w:p w:rsidR="008F1D60" w:rsidRPr="00770B78" w:rsidRDefault="008F1D60" w:rsidP="00DC5E47">
      <w:pPr>
        <w:keepNext/>
        <w:rPr>
          <w:szCs w:val="26"/>
        </w:rPr>
      </w:pPr>
      <w:r w:rsidRPr="00770B78">
        <w:rPr>
          <w:szCs w:val="26"/>
        </w:rPr>
        <w:t xml:space="preserve">On November 25, 2009, </w:t>
      </w:r>
      <w:r w:rsidR="00A06B55" w:rsidRPr="00770B78">
        <w:rPr>
          <w:szCs w:val="26"/>
        </w:rPr>
        <w:t xml:space="preserve">the </w:t>
      </w:r>
      <w:r w:rsidRPr="00770B78">
        <w:rPr>
          <w:szCs w:val="26"/>
        </w:rPr>
        <w:t xml:space="preserve">Settlement Petition was filed by PECO, </w:t>
      </w:r>
      <w:r w:rsidR="00770B78">
        <w:rPr>
          <w:szCs w:val="26"/>
        </w:rPr>
        <w:t xml:space="preserve">the </w:t>
      </w:r>
      <w:r w:rsidRPr="00770B78">
        <w:rPr>
          <w:szCs w:val="26"/>
        </w:rPr>
        <w:t xml:space="preserve">OCA, </w:t>
      </w:r>
      <w:r w:rsidR="00770B78">
        <w:rPr>
          <w:szCs w:val="26"/>
        </w:rPr>
        <w:t xml:space="preserve">the </w:t>
      </w:r>
      <w:r w:rsidRPr="00770B78">
        <w:rPr>
          <w:szCs w:val="26"/>
        </w:rPr>
        <w:t xml:space="preserve">OSBA, Constellation, </w:t>
      </w:r>
      <w:r w:rsidR="00770B78">
        <w:rPr>
          <w:szCs w:val="26"/>
        </w:rPr>
        <w:t xml:space="preserve">the </w:t>
      </w:r>
      <w:r w:rsidRPr="00770B78">
        <w:rPr>
          <w:szCs w:val="26"/>
        </w:rPr>
        <w:t>DEP, CAC and ACORN</w:t>
      </w:r>
      <w:r w:rsidR="00910CA3" w:rsidRPr="00770B78">
        <w:rPr>
          <w:szCs w:val="26"/>
        </w:rPr>
        <w:t>.</w:t>
      </w:r>
      <w:r w:rsidRPr="00770B78">
        <w:rPr>
          <w:szCs w:val="26"/>
        </w:rPr>
        <w:t xml:space="preserve">  Statements in support of the </w:t>
      </w:r>
      <w:r w:rsidR="00910CA3" w:rsidRPr="00770B78">
        <w:rPr>
          <w:szCs w:val="26"/>
        </w:rPr>
        <w:t xml:space="preserve">Settlement Petition were submitted by </w:t>
      </w:r>
      <w:r w:rsidRPr="00770B78">
        <w:rPr>
          <w:szCs w:val="26"/>
        </w:rPr>
        <w:t>each of the settling parties</w:t>
      </w:r>
      <w:r w:rsidR="00DE4F88">
        <w:rPr>
          <w:szCs w:val="26"/>
        </w:rPr>
        <w:t>.</w:t>
      </w:r>
      <w:r w:rsidRPr="00770B78">
        <w:rPr>
          <w:szCs w:val="26"/>
        </w:rPr>
        <w:t xml:space="preserve"> </w:t>
      </w:r>
      <w:r w:rsidR="00DE4F88">
        <w:rPr>
          <w:szCs w:val="26"/>
        </w:rPr>
        <w:t>Th</w:t>
      </w:r>
      <w:r w:rsidR="00770B78">
        <w:rPr>
          <w:szCs w:val="26"/>
        </w:rPr>
        <w:t xml:space="preserve">e </w:t>
      </w:r>
      <w:r w:rsidR="00910CA3" w:rsidRPr="00770B78">
        <w:rPr>
          <w:szCs w:val="26"/>
        </w:rPr>
        <w:t>OTS and PAIEU</w:t>
      </w:r>
      <w:r w:rsidR="00423282" w:rsidRPr="00770B78">
        <w:rPr>
          <w:szCs w:val="26"/>
        </w:rPr>
        <w:t>G</w:t>
      </w:r>
      <w:r w:rsidR="00910CA3" w:rsidRPr="00770B78">
        <w:rPr>
          <w:szCs w:val="26"/>
        </w:rPr>
        <w:t xml:space="preserve"> submitted </w:t>
      </w:r>
      <w:r w:rsidRPr="00770B78">
        <w:rPr>
          <w:szCs w:val="26"/>
        </w:rPr>
        <w:t>statements of non-opposition</w:t>
      </w:r>
      <w:r w:rsidR="00910CA3" w:rsidRPr="00770B78">
        <w:rPr>
          <w:szCs w:val="26"/>
        </w:rPr>
        <w:t>.</w:t>
      </w:r>
      <w:r w:rsidR="00DC5E47" w:rsidRPr="00770B78">
        <w:rPr>
          <w:szCs w:val="26"/>
        </w:rPr>
        <w:t xml:space="preserve">  Settlement Petition, Attachments A-K.  </w:t>
      </w:r>
      <w:r w:rsidR="007D21B6" w:rsidRPr="00770B78">
        <w:rPr>
          <w:szCs w:val="26"/>
        </w:rPr>
        <w:t xml:space="preserve">As discussed, </w:t>
      </w:r>
      <w:r w:rsidR="007D21B6" w:rsidRPr="00770B78">
        <w:rPr>
          <w:i/>
          <w:szCs w:val="26"/>
        </w:rPr>
        <w:t>infra</w:t>
      </w:r>
      <w:r w:rsidR="007D21B6" w:rsidRPr="00770B78">
        <w:rPr>
          <w:szCs w:val="26"/>
        </w:rPr>
        <w:t xml:space="preserve">, </w:t>
      </w:r>
      <w:r w:rsidR="00712CB8">
        <w:rPr>
          <w:szCs w:val="26"/>
        </w:rPr>
        <w:t xml:space="preserve">the </w:t>
      </w:r>
      <w:r w:rsidR="00883823" w:rsidRPr="00770B78">
        <w:rPr>
          <w:szCs w:val="26"/>
        </w:rPr>
        <w:t xml:space="preserve">Settlement Petition </w:t>
      </w:r>
      <w:r w:rsidR="00400CD3" w:rsidRPr="00770B78">
        <w:rPr>
          <w:szCs w:val="26"/>
        </w:rPr>
        <w:t>proposes to re</w:t>
      </w:r>
      <w:r w:rsidR="00B27078" w:rsidRPr="00770B78">
        <w:rPr>
          <w:szCs w:val="26"/>
        </w:rPr>
        <w:t xml:space="preserve">solve all of the issues </w:t>
      </w:r>
      <w:r w:rsidR="00D67708">
        <w:rPr>
          <w:szCs w:val="26"/>
        </w:rPr>
        <w:t xml:space="preserve">addressed in this proceeding, </w:t>
      </w:r>
      <w:r w:rsidR="00B27078" w:rsidRPr="00770B78">
        <w:rPr>
          <w:szCs w:val="26"/>
        </w:rPr>
        <w:t>except</w:t>
      </w:r>
      <w:r w:rsidR="003F70B8" w:rsidRPr="00770B78">
        <w:rPr>
          <w:szCs w:val="26"/>
        </w:rPr>
        <w:t>:</w:t>
      </w:r>
      <w:r w:rsidR="00B27078" w:rsidRPr="00770B78">
        <w:rPr>
          <w:szCs w:val="26"/>
        </w:rPr>
        <w:t xml:space="preserve"> </w:t>
      </w:r>
      <w:r w:rsidR="00712CB8">
        <w:rPr>
          <w:szCs w:val="26"/>
        </w:rPr>
        <w:t>(</w:t>
      </w:r>
      <w:r w:rsidR="003F70B8" w:rsidRPr="00770B78">
        <w:rPr>
          <w:szCs w:val="26"/>
        </w:rPr>
        <w:t xml:space="preserve">1) </w:t>
      </w:r>
      <w:r w:rsidR="0066449F">
        <w:rPr>
          <w:szCs w:val="26"/>
        </w:rPr>
        <w:t xml:space="preserve">how to </w:t>
      </w:r>
      <w:r w:rsidR="00B27078" w:rsidRPr="00770B78">
        <w:rPr>
          <w:szCs w:val="26"/>
        </w:rPr>
        <w:t>allocat</w:t>
      </w:r>
      <w:r w:rsidR="00F704A4">
        <w:rPr>
          <w:szCs w:val="26"/>
        </w:rPr>
        <w:t>e</w:t>
      </w:r>
      <w:r w:rsidR="00A7091E" w:rsidRPr="00770B78">
        <w:rPr>
          <w:szCs w:val="26"/>
        </w:rPr>
        <w:t xml:space="preserve"> the costs </w:t>
      </w:r>
      <w:r w:rsidR="003F70B8" w:rsidRPr="00770B78">
        <w:rPr>
          <w:szCs w:val="26"/>
        </w:rPr>
        <w:t xml:space="preserve">to implement the Plan, </w:t>
      </w:r>
      <w:r w:rsidR="00A7091E" w:rsidRPr="00770B78">
        <w:rPr>
          <w:szCs w:val="26"/>
        </w:rPr>
        <w:t>other than those of the smart meters themselves</w:t>
      </w:r>
      <w:r w:rsidR="003F70B8" w:rsidRPr="00770B78">
        <w:rPr>
          <w:szCs w:val="26"/>
        </w:rPr>
        <w:t xml:space="preserve"> </w:t>
      </w:r>
      <w:r w:rsidR="007A2632">
        <w:rPr>
          <w:szCs w:val="26"/>
        </w:rPr>
        <w:t>(common costs)</w:t>
      </w:r>
      <w:r w:rsidR="00712CB8">
        <w:rPr>
          <w:szCs w:val="26"/>
        </w:rPr>
        <w:t>;</w:t>
      </w:r>
      <w:r w:rsidR="007A2632">
        <w:rPr>
          <w:szCs w:val="26"/>
        </w:rPr>
        <w:t xml:space="preserve"> </w:t>
      </w:r>
      <w:r w:rsidR="003F70B8" w:rsidRPr="00770B78">
        <w:rPr>
          <w:szCs w:val="26"/>
        </w:rPr>
        <w:t xml:space="preserve">and </w:t>
      </w:r>
      <w:r w:rsidR="00712CB8">
        <w:rPr>
          <w:szCs w:val="26"/>
        </w:rPr>
        <w:t>(</w:t>
      </w:r>
      <w:r w:rsidR="003F70B8" w:rsidRPr="00770B78">
        <w:rPr>
          <w:szCs w:val="26"/>
        </w:rPr>
        <w:t xml:space="preserve">2) </w:t>
      </w:r>
      <w:r w:rsidR="009C2679" w:rsidRPr="00770B78">
        <w:rPr>
          <w:szCs w:val="26"/>
        </w:rPr>
        <w:t xml:space="preserve">whether costs allocated to small commercial and industrial customers </w:t>
      </w:r>
      <w:r w:rsidR="00AC5572" w:rsidRPr="00770B78">
        <w:rPr>
          <w:szCs w:val="26"/>
        </w:rPr>
        <w:t xml:space="preserve">should be recovered on a </w:t>
      </w:r>
      <w:r w:rsidR="009E296E" w:rsidRPr="00770B78">
        <w:rPr>
          <w:szCs w:val="26"/>
        </w:rPr>
        <w:t>kW</w:t>
      </w:r>
      <w:r w:rsidR="00AC5572" w:rsidRPr="00770B78">
        <w:rPr>
          <w:szCs w:val="26"/>
        </w:rPr>
        <w:t xml:space="preserve">h or customer charge basis. </w:t>
      </w:r>
      <w:r w:rsidR="00A7091E" w:rsidRPr="00770B78">
        <w:rPr>
          <w:szCs w:val="26"/>
        </w:rPr>
        <w:t xml:space="preserve"> </w:t>
      </w:r>
      <w:r w:rsidR="009E296E" w:rsidRPr="00770B78">
        <w:rPr>
          <w:szCs w:val="26"/>
        </w:rPr>
        <w:t>Settlement Petition at 7-8.</w:t>
      </w:r>
    </w:p>
    <w:p w:rsidR="008F1D60" w:rsidRPr="00770B78" w:rsidRDefault="008F1D60" w:rsidP="008F1D60">
      <w:pPr>
        <w:rPr>
          <w:bCs/>
          <w:szCs w:val="26"/>
        </w:rPr>
      </w:pPr>
    </w:p>
    <w:p w:rsidR="008F1D60" w:rsidRPr="00EB313E" w:rsidRDefault="008F1D60" w:rsidP="003D7D24">
      <w:pPr>
        <w:rPr>
          <w:bCs/>
          <w:szCs w:val="26"/>
        </w:rPr>
      </w:pPr>
      <w:r w:rsidRPr="00EB313E">
        <w:rPr>
          <w:bCs/>
          <w:szCs w:val="26"/>
        </w:rPr>
        <w:t xml:space="preserve">Main Briefs </w:t>
      </w:r>
      <w:r w:rsidR="0043750A" w:rsidRPr="00EB313E">
        <w:rPr>
          <w:bCs/>
          <w:szCs w:val="26"/>
        </w:rPr>
        <w:t xml:space="preserve">addressing the two outstanding issues, cited </w:t>
      </w:r>
      <w:r w:rsidR="0043750A" w:rsidRPr="00EB313E">
        <w:rPr>
          <w:bCs/>
          <w:i/>
          <w:szCs w:val="26"/>
        </w:rPr>
        <w:t>supra</w:t>
      </w:r>
      <w:r w:rsidR="0043750A" w:rsidRPr="00EB313E">
        <w:rPr>
          <w:bCs/>
          <w:szCs w:val="26"/>
        </w:rPr>
        <w:t xml:space="preserve">, </w:t>
      </w:r>
      <w:r w:rsidRPr="00EB313E">
        <w:rPr>
          <w:bCs/>
          <w:szCs w:val="26"/>
        </w:rPr>
        <w:t>were filed on December 2, 2009</w:t>
      </w:r>
      <w:r w:rsidR="0043750A" w:rsidRPr="00EB313E">
        <w:rPr>
          <w:bCs/>
          <w:szCs w:val="26"/>
        </w:rPr>
        <w:t>,</w:t>
      </w:r>
      <w:r w:rsidRPr="00EB313E">
        <w:rPr>
          <w:bCs/>
          <w:szCs w:val="26"/>
        </w:rPr>
        <w:t xml:space="preserve"> by PECO, </w:t>
      </w:r>
      <w:r w:rsidR="0043750A" w:rsidRPr="00EB313E">
        <w:rPr>
          <w:bCs/>
          <w:szCs w:val="26"/>
        </w:rPr>
        <w:t xml:space="preserve">the </w:t>
      </w:r>
      <w:r w:rsidRPr="00EB313E">
        <w:rPr>
          <w:bCs/>
          <w:szCs w:val="26"/>
        </w:rPr>
        <w:t xml:space="preserve">OCA, </w:t>
      </w:r>
      <w:r w:rsidR="0043750A" w:rsidRPr="00EB313E">
        <w:rPr>
          <w:bCs/>
          <w:szCs w:val="26"/>
        </w:rPr>
        <w:t xml:space="preserve">the </w:t>
      </w:r>
      <w:r w:rsidRPr="00EB313E">
        <w:rPr>
          <w:bCs/>
          <w:szCs w:val="26"/>
        </w:rPr>
        <w:t xml:space="preserve">OSBA and PAIEUG.  </w:t>
      </w:r>
      <w:r w:rsidR="0043750A" w:rsidRPr="00EB313E">
        <w:rPr>
          <w:bCs/>
          <w:szCs w:val="26"/>
        </w:rPr>
        <w:t xml:space="preserve">All four parties filed </w:t>
      </w:r>
      <w:r w:rsidRPr="00EB313E">
        <w:rPr>
          <w:bCs/>
          <w:szCs w:val="26"/>
        </w:rPr>
        <w:t>Reply Briefs on December 9, 2009</w:t>
      </w:r>
      <w:r w:rsidR="0043750A" w:rsidRPr="00EB313E">
        <w:rPr>
          <w:bCs/>
          <w:szCs w:val="26"/>
        </w:rPr>
        <w:t xml:space="preserve">.  </w:t>
      </w:r>
      <w:r w:rsidRPr="00EB313E">
        <w:rPr>
          <w:bCs/>
          <w:szCs w:val="26"/>
        </w:rPr>
        <w:t>The record was closed on December 9, 2009</w:t>
      </w:r>
      <w:r w:rsidR="003D7D24" w:rsidRPr="00EB313E">
        <w:rPr>
          <w:bCs/>
          <w:szCs w:val="26"/>
        </w:rPr>
        <w:t>.</w:t>
      </w:r>
    </w:p>
    <w:p w:rsidR="003D7D24" w:rsidRPr="00EB313E" w:rsidRDefault="003D7D24" w:rsidP="008F1D60">
      <w:pPr>
        <w:rPr>
          <w:bCs/>
          <w:szCs w:val="26"/>
        </w:rPr>
      </w:pPr>
    </w:p>
    <w:p w:rsidR="008F1D60" w:rsidRDefault="003D7D24" w:rsidP="00EB313E">
      <w:pPr>
        <w:rPr>
          <w:szCs w:val="26"/>
        </w:rPr>
      </w:pPr>
      <w:r w:rsidRPr="00EB313E">
        <w:rPr>
          <w:szCs w:val="26"/>
        </w:rPr>
        <w:t xml:space="preserve">On January </w:t>
      </w:r>
      <w:r w:rsidR="00DD673D">
        <w:rPr>
          <w:szCs w:val="26"/>
        </w:rPr>
        <w:t>28</w:t>
      </w:r>
      <w:r w:rsidRPr="00EB313E">
        <w:rPr>
          <w:szCs w:val="26"/>
        </w:rPr>
        <w:t xml:space="preserve">, 2010, the ALJ issued her Initial Decision </w:t>
      </w:r>
      <w:r w:rsidR="00F4244A" w:rsidRPr="00EB313E">
        <w:rPr>
          <w:szCs w:val="26"/>
        </w:rPr>
        <w:t xml:space="preserve">which recommended, </w:t>
      </w:r>
      <w:r w:rsidR="00F4244A" w:rsidRPr="00EB313E">
        <w:rPr>
          <w:i/>
          <w:szCs w:val="26"/>
        </w:rPr>
        <w:t>inter alia</w:t>
      </w:r>
      <w:r w:rsidR="00F4244A" w:rsidRPr="00EB313E">
        <w:rPr>
          <w:szCs w:val="26"/>
        </w:rPr>
        <w:t xml:space="preserve">, that the Settlement </w:t>
      </w:r>
      <w:r w:rsidR="0066449F">
        <w:rPr>
          <w:szCs w:val="26"/>
        </w:rPr>
        <w:t>P</w:t>
      </w:r>
      <w:r w:rsidR="00F4244A" w:rsidRPr="00EB313E">
        <w:rPr>
          <w:szCs w:val="26"/>
        </w:rPr>
        <w:t xml:space="preserve">etition be approved.  </w:t>
      </w:r>
      <w:r w:rsidR="00234887" w:rsidRPr="00EB313E">
        <w:rPr>
          <w:szCs w:val="26"/>
        </w:rPr>
        <w:t>As discussed</w:t>
      </w:r>
      <w:r w:rsidR="008931FB">
        <w:rPr>
          <w:szCs w:val="26"/>
        </w:rPr>
        <w:t>,</w:t>
      </w:r>
      <w:r w:rsidR="00234887" w:rsidRPr="00EB313E">
        <w:rPr>
          <w:szCs w:val="26"/>
        </w:rPr>
        <w:t xml:space="preserve"> </w:t>
      </w:r>
      <w:r w:rsidR="00234887" w:rsidRPr="00EB313E">
        <w:rPr>
          <w:i/>
          <w:szCs w:val="26"/>
        </w:rPr>
        <w:t>infra</w:t>
      </w:r>
      <w:r w:rsidR="00234887" w:rsidRPr="00EB313E">
        <w:rPr>
          <w:szCs w:val="26"/>
        </w:rPr>
        <w:t xml:space="preserve">, the ALJ recommended that common costs be allocated based on the number of customers in each customer class, as proposed by PECO in its Plan.  </w:t>
      </w:r>
      <w:r w:rsidR="006B6B46" w:rsidRPr="00EB313E">
        <w:rPr>
          <w:szCs w:val="26"/>
        </w:rPr>
        <w:t>With that recommendation, the ALJ found that the allocation of costs to the small commercial and industrial class is resolved.</w:t>
      </w:r>
      <w:r w:rsidR="00234887" w:rsidRPr="00EB313E">
        <w:rPr>
          <w:szCs w:val="26"/>
        </w:rPr>
        <w:t xml:space="preserve"> </w:t>
      </w:r>
      <w:r w:rsidR="006B6B46" w:rsidRPr="00EB313E">
        <w:rPr>
          <w:szCs w:val="26"/>
        </w:rPr>
        <w:t xml:space="preserve"> </w:t>
      </w:r>
    </w:p>
    <w:p w:rsidR="00DD673D" w:rsidRPr="00EB313E" w:rsidRDefault="00DD673D" w:rsidP="00EB313E">
      <w:pPr>
        <w:rPr>
          <w:szCs w:val="26"/>
        </w:rPr>
      </w:pPr>
    </w:p>
    <w:p w:rsidR="00DD673D" w:rsidRDefault="00BB6026" w:rsidP="00DD673D">
      <w:pPr>
        <w:rPr>
          <w:szCs w:val="26"/>
        </w:rPr>
      </w:pPr>
      <w:r>
        <w:rPr>
          <w:szCs w:val="26"/>
        </w:rPr>
        <w:t xml:space="preserve">On February 17, 2009, </w:t>
      </w:r>
      <w:r w:rsidR="00DD673D">
        <w:rPr>
          <w:szCs w:val="26"/>
        </w:rPr>
        <w:t xml:space="preserve">the OCA </w:t>
      </w:r>
      <w:r w:rsidR="00DD673D" w:rsidRPr="00B5299B">
        <w:rPr>
          <w:szCs w:val="26"/>
        </w:rPr>
        <w:t xml:space="preserve">filed </w:t>
      </w:r>
      <w:r>
        <w:rPr>
          <w:szCs w:val="26"/>
        </w:rPr>
        <w:t xml:space="preserve">Exceptions </w:t>
      </w:r>
      <w:r w:rsidR="00DD673D" w:rsidRPr="00B5299B">
        <w:rPr>
          <w:szCs w:val="26"/>
        </w:rPr>
        <w:t>to the Initial Decision</w:t>
      </w:r>
      <w:r>
        <w:rPr>
          <w:szCs w:val="26"/>
        </w:rPr>
        <w:t xml:space="preserve">. </w:t>
      </w:r>
      <w:r w:rsidR="00DD673D">
        <w:rPr>
          <w:szCs w:val="26"/>
        </w:rPr>
        <w:t xml:space="preserve">Replies to </w:t>
      </w:r>
      <w:r w:rsidR="00EA62CC">
        <w:rPr>
          <w:szCs w:val="26"/>
        </w:rPr>
        <w:t xml:space="preserve">the OCA’s </w:t>
      </w:r>
      <w:r w:rsidR="00DD673D">
        <w:rPr>
          <w:szCs w:val="26"/>
        </w:rPr>
        <w:t xml:space="preserve">Exceptions were filed on March 1, 2010 by </w:t>
      </w:r>
      <w:r>
        <w:rPr>
          <w:szCs w:val="26"/>
        </w:rPr>
        <w:t xml:space="preserve">PECO, </w:t>
      </w:r>
      <w:r w:rsidR="00DD673D">
        <w:rPr>
          <w:szCs w:val="26"/>
        </w:rPr>
        <w:t>the OSBA</w:t>
      </w:r>
      <w:r>
        <w:rPr>
          <w:szCs w:val="26"/>
        </w:rPr>
        <w:t xml:space="preserve">, and </w:t>
      </w:r>
      <w:r w:rsidR="00DD673D">
        <w:rPr>
          <w:szCs w:val="26"/>
        </w:rPr>
        <w:t xml:space="preserve">PAIEUG.  </w:t>
      </w:r>
    </w:p>
    <w:p w:rsidR="00DE4F88" w:rsidRDefault="00DE4F88" w:rsidP="00211C4A">
      <w:pPr>
        <w:pStyle w:val="Heading1"/>
        <w:keepLines w:val="0"/>
      </w:pPr>
      <w:bookmarkStart w:id="11" w:name="_Toc252882414"/>
    </w:p>
    <w:p w:rsidR="001A395D" w:rsidRPr="00400F3D" w:rsidRDefault="00A66BFA" w:rsidP="00211C4A">
      <w:pPr>
        <w:pStyle w:val="Heading1"/>
        <w:keepLines w:val="0"/>
      </w:pPr>
      <w:bookmarkStart w:id="12" w:name="_Toc260130895"/>
      <w:r>
        <w:t>I</w:t>
      </w:r>
      <w:r w:rsidR="00953AB2">
        <w:t>V</w:t>
      </w:r>
      <w:r w:rsidR="0066449F">
        <w:t>.</w:t>
      </w:r>
      <w:r w:rsidR="00B6382E" w:rsidRPr="00400F3D">
        <w:t xml:space="preserve"> </w:t>
      </w:r>
      <w:r w:rsidR="006F4B78" w:rsidRPr="00400F3D">
        <w:tab/>
      </w:r>
      <w:r w:rsidR="001A395D" w:rsidRPr="00400F3D">
        <w:t>Description of the Plan</w:t>
      </w:r>
      <w:bookmarkEnd w:id="9"/>
      <w:bookmarkEnd w:id="11"/>
      <w:bookmarkEnd w:id="12"/>
      <w:r w:rsidR="001A395D" w:rsidRPr="00400F3D">
        <w:t xml:space="preserve"> </w:t>
      </w:r>
    </w:p>
    <w:p w:rsidR="00D3017E" w:rsidRDefault="00D3017E" w:rsidP="00EC7A4E">
      <w:pPr>
        <w:keepNext/>
        <w:rPr>
          <w:szCs w:val="26"/>
        </w:rPr>
      </w:pPr>
      <w:bookmarkStart w:id="13" w:name="_Toc242516221"/>
    </w:p>
    <w:p w:rsidR="006C5BC2" w:rsidRDefault="00D3017E" w:rsidP="00DE4F88">
      <w:pPr>
        <w:rPr>
          <w:szCs w:val="26"/>
        </w:rPr>
      </w:pPr>
      <w:r>
        <w:rPr>
          <w:szCs w:val="26"/>
        </w:rPr>
        <w:t>PECO</w:t>
      </w:r>
      <w:r w:rsidR="00EA62CC">
        <w:rPr>
          <w:szCs w:val="26"/>
        </w:rPr>
        <w:t xml:space="preserve">’s Plan </w:t>
      </w:r>
      <w:r w:rsidR="00365B88">
        <w:rPr>
          <w:szCs w:val="26"/>
        </w:rPr>
        <w:t xml:space="preserve">includes the design, procurement, deployment and operation of inter-related smart meter systems.  </w:t>
      </w:r>
      <w:r w:rsidR="001C22C9">
        <w:rPr>
          <w:szCs w:val="26"/>
        </w:rPr>
        <w:t xml:space="preserve">PECO </w:t>
      </w:r>
      <w:r>
        <w:rPr>
          <w:szCs w:val="26"/>
        </w:rPr>
        <w:t xml:space="preserve">proposes to implement its Plan in two phases.  Phase </w:t>
      </w:r>
      <w:r w:rsidR="00D42DAD">
        <w:rPr>
          <w:szCs w:val="26"/>
        </w:rPr>
        <w:t>One</w:t>
      </w:r>
      <w:r>
        <w:rPr>
          <w:szCs w:val="26"/>
        </w:rPr>
        <w:t xml:space="preserve"> will focus on the selection of the smart meter technology to be deployed, the implementation</w:t>
      </w:r>
      <w:r w:rsidR="001C22C9">
        <w:rPr>
          <w:szCs w:val="26"/>
        </w:rPr>
        <w:t xml:space="preserve"> of a data management system and other information technology investments, the testing and validation </w:t>
      </w:r>
      <w:r w:rsidR="00D42DAD">
        <w:rPr>
          <w:szCs w:val="26"/>
        </w:rPr>
        <w:t xml:space="preserve">of the Smart Meter technology and the deployment of the advanced metering infrastructure communications network.  The first phase also involves the deployment of smart meters in controlled quantities </w:t>
      </w:r>
      <w:r w:rsidR="00765C1D">
        <w:rPr>
          <w:szCs w:val="26"/>
        </w:rPr>
        <w:t xml:space="preserve">and a program to test dynamic pricing and customer acceptance.  Phase One began </w:t>
      </w:r>
      <w:r w:rsidR="0074265D">
        <w:rPr>
          <w:szCs w:val="26"/>
        </w:rPr>
        <w:t xml:space="preserve">in the third quarter of 2009 and is projected to run through the third quarter of 2012.  Phase Two will complete the deployment of </w:t>
      </w:r>
      <w:r w:rsidR="00325E8F">
        <w:rPr>
          <w:szCs w:val="26"/>
        </w:rPr>
        <w:t xml:space="preserve">smart meters across the service territory and is expected to begin in the fourth quarter of 2012. PECO Exh. 1, Revised Plan Volume 2 at </w:t>
      </w:r>
      <w:r w:rsidR="005A51C4">
        <w:rPr>
          <w:szCs w:val="26"/>
        </w:rPr>
        <w:t>1</w:t>
      </w:r>
      <w:r w:rsidR="00325E8F">
        <w:rPr>
          <w:szCs w:val="26"/>
        </w:rPr>
        <w:t>-</w:t>
      </w:r>
      <w:r w:rsidR="005A51C4">
        <w:rPr>
          <w:szCs w:val="26"/>
        </w:rPr>
        <w:t xml:space="preserve">2 and Appendix 1. </w:t>
      </w:r>
    </w:p>
    <w:p w:rsidR="00B72BF3" w:rsidRDefault="00B72BF3" w:rsidP="00B72BF3">
      <w:pPr>
        <w:keepNext/>
        <w:rPr>
          <w:szCs w:val="26"/>
        </w:rPr>
      </w:pPr>
    </w:p>
    <w:p w:rsidR="00C22DAF" w:rsidRDefault="00D36E3A" w:rsidP="00B72BF3">
      <w:pPr>
        <w:rPr>
          <w:szCs w:val="26"/>
        </w:rPr>
      </w:pPr>
      <w:r>
        <w:rPr>
          <w:szCs w:val="26"/>
        </w:rPr>
        <w:t xml:space="preserve">PECO projected the costs </w:t>
      </w:r>
      <w:r w:rsidR="0066449F">
        <w:rPr>
          <w:szCs w:val="26"/>
        </w:rPr>
        <w:t xml:space="preserve">to </w:t>
      </w:r>
      <w:r>
        <w:rPr>
          <w:szCs w:val="26"/>
        </w:rPr>
        <w:t xml:space="preserve">implement Phase One to be </w:t>
      </w:r>
      <w:r w:rsidR="00F70E58">
        <w:rPr>
          <w:szCs w:val="26"/>
        </w:rPr>
        <w:t xml:space="preserve">approximately </w:t>
      </w:r>
      <w:r>
        <w:rPr>
          <w:szCs w:val="26"/>
        </w:rPr>
        <w:t>$2</w:t>
      </w:r>
      <w:r w:rsidR="000D6494">
        <w:rPr>
          <w:szCs w:val="26"/>
        </w:rPr>
        <w:t>15</w:t>
      </w:r>
      <w:r>
        <w:rPr>
          <w:szCs w:val="26"/>
        </w:rPr>
        <w:t xml:space="preserve"> million if it were to install 100,000 smart meters</w:t>
      </w:r>
      <w:r w:rsidR="00AB7BED">
        <w:rPr>
          <w:szCs w:val="26"/>
        </w:rPr>
        <w:t xml:space="preserve"> during this phase</w:t>
      </w:r>
      <w:r>
        <w:rPr>
          <w:szCs w:val="26"/>
        </w:rPr>
        <w:t xml:space="preserve">.  </w:t>
      </w:r>
      <w:r w:rsidR="000D6494">
        <w:rPr>
          <w:szCs w:val="26"/>
        </w:rPr>
        <w:t xml:space="preserve">PECO states that these costs may vary between $125 million and $225 million depending on </w:t>
      </w:r>
      <w:r w:rsidR="009E436D">
        <w:rPr>
          <w:szCs w:val="26"/>
        </w:rPr>
        <w:t xml:space="preserve">actual meter, </w:t>
      </w:r>
      <w:r w:rsidR="000D6494">
        <w:rPr>
          <w:szCs w:val="26"/>
        </w:rPr>
        <w:t xml:space="preserve">equipment, </w:t>
      </w:r>
      <w:r w:rsidR="009E436D">
        <w:rPr>
          <w:szCs w:val="26"/>
        </w:rPr>
        <w:t>installation</w:t>
      </w:r>
      <w:r w:rsidR="000D6494">
        <w:rPr>
          <w:szCs w:val="26"/>
        </w:rPr>
        <w:t xml:space="preserve"> and IT development costs</w:t>
      </w:r>
      <w:r w:rsidR="009E436D">
        <w:rPr>
          <w:szCs w:val="26"/>
        </w:rPr>
        <w:t xml:space="preserve">.  Stranded costs add another $6 million </w:t>
      </w:r>
      <w:r w:rsidR="00C22DAF">
        <w:rPr>
          <w:szCs w:val="26"/>
        </w:rPr>
        <w:t xml:space="preserve">for a projected total of $221 million.  </w:t>
      </w:r>
      <w:r>
        <w:rPr>
          <w:szCs w:val="26"/>
        </w:rPr>
        <w:t>PECO Exh. 1, Revised Plan Volume 2 at 34</w:t>
      </w:r>
      <w:r w:rsidR="00C22DAF">
        <w:rPr>
          <w:szCs w:val="26"/>
        </w:rPr>
        <w:t xml:space="preserve"> and 36</w:t>
      </w:r>
      <w:r>
        <w:rPr>
          <w:szCs w:val="26"/>
        </w:rPr>
        <w:t xml:space="preserve">.  </w:t>
      </w:r>
    </w:p>
    <w:p w:rsidR="00B72BF3" w:rsidRDefault="00B72BF3" w:rsidP="00B72BF3">
      <w:pPr>
        <w:rPr>
          <w:szCs w:val="26"/>
        </w:rPr>
      </w:pPr>
    </w:p>
    <w:p w:rsidR="0044529C" w:rsidRDefault="00AB7BED" w:rsidP="00AC4648">
      <w:pPr>
        <w:rPr>
          <w:szCs w:val="26"/>
        </w:rPr>
      </w:pPr>
      <w:r>
        <w:rPr>
          <w:szCs w:val="26"/>
        </w:rPr>
        <w:t xml:space="preserve">In August 2009, PECO filed an application for assistance with the U.S. Department of Energy </w:t>
      </w:r>
      <w:r w:rsidR="00760E48">
        <w:rPr>
          <w:szCs w:val="26"/>
        </w:rPr>
        <w:t xml:space="preserve">(DOE) </w:t>
      </w:r>
      <w:r>
        <w:rPr>
          <w:szCs w:val="26"/>
        </w:rPr>
        <w:t>under its Smart Grid Investment Grant Program</w:t>
      </w:r>
      <w:r w:rsidR="00760E48">
        <w:rPr>
          <w:szCs w:val="26"/>
        </w:rPr>
        <w:t xml:space="preserve"> for $200 million in matching federal funds.  By letter dated October 27, 2009, the DOE </w:t>
      </w:r>
      <w:r w:rsidR="0044529C">
        <w:rPr>
          <w:szCs w:val="26"/>
        </w:rPr>
        <w:t>notified</w:t>
      </w:r>
      <w:r w:rsidR="00760E48">
        <w:rPr>
          <w:szCs w:val="26"/>
        </w:rPr>
        <w:t xml:space="preserve"> PECO that </w:t>
      </w:r>
      <w:r w:rsidR="0044529C">
        <w:rPr>
          <w:szCs w:val="26"/>
        </w:rPr>
        <w:t xml:space="preserve">its application had been selected for award negotiations.  If PECO receives the full award, PECO will expand the </w:t>
      </w:r>
      <w:r w:rsidR="004F0021">
        <w:rPr>
          <w:szCs w:val="26"/>
        </w:rPr>
        <w:t>initial</w:t>
      </w:r>
      <w:r w:rsidR="0044529C">
        <w:rPr>
          <w:szCs w:val="26"/>
        </w:rPr>
        <w:t xml:space="preserve"> deployment </w:t>
      </w:r>
      <w:r w:rsidR="004F0021">
        <w:rPr>
          <w:szCs w:val="26"/>
        </w:rPr>
        <w:t xml:space="preserve">of smart meters from 100,000 meters to 600,000 meters.  PECO Exh. 2.  The net effect of the </w:t>
      </w:r>
      <w:r w:rsidR="008326E9">
        <w:rPr>
          <w:szCs w:val="26"/>
        </w:rPr>
        <w:t xml:space="preserve">federal </w:t>
      </w:r>
      <w:r w:rsidR="004F0021">
        <w:rPr>
          <w:szCs w:val="26"/>
        </w:rPr>
        <w:t xml:space="preserve">grant and the increased costs associated with deploying an additional </w:t>
      </w:r>
      <w:r w:rsidR="00A015ED">
        <w:rPr>
          <w:szCs w:val="26"/>
        </w:rPr>
        <w:t xml:space="preserve">500,000 smart meters </w:t>
      </w:r>
      <w:r w:rsidR="00671D92">
        <w:rPr>
          <w:szCs w:val="26"/>
        </w:rPr>
        <w:t xml:space="preserve">and additional stranded costs </w:t>
      </w:r>
      <w:r w:rsidR="00A015ED">
        <w:rPr>
          <w:szCs w:val="26"/>
        </w:rPr>
        <w:t xml:space="preserve">would reduce the </w:t>
      </w:r>
      <w:r w:rsidR="00C22DAF">
        <w:rPr>
          <w:szCs w:val="26"/>
        </w:rPr>
        <w:t xml:space="preserve">projected </w:t>
      </w:r>
      <w:r w:rsidR="00A015ED">
        <w:rPr>
          <w:szCs w:val="26"/>
        </w:rPr>
        <w:t xml:space="preserve">Phase One total costs from $221 million to $193 million.  </w:t>
      </w:r>
      <w:r w:rsidR="008326E9">
        <w:rPr>
          <w:szCs w:val="26"/>
        </w:rPr>
        <w:t xml:space="preserve">As indicated </w:t>
      </w:r>
      <w:r w:rsidR="008326E9" w:rsidRPr="008326E9">
        <w:rPr>
          <w:i/>
          <w:szCs w:val="26"/>
        </w:rPr>
        <w:t>supra</w:t>
      </w:r>
      <w:r w:rsidR="008326E9">
        <w:rPr>
          <w:szCs w:val="26"/>
        </w:rPr>
        <w:t xml:space="preserve">, the actual cost may vary from PECO’s projections.  </w:t>
      </w:r>
      <w:r w:rsidR="00A015ED">
        <w:rPr>
          <w:szCs w:val="26"/>
        </w:rPr>
        <w:t>PECO Exh. 1, Revised Plan Volume 2 at 34</w:t>
      </w:r>
      <w:r w:rsidR="000354EB">
        <w:rPr>
          <w:szCs w:val="26"/>
        </w:rPr>
        <w:t>, 38-39</w:t>
      </w:r>
      <w:r w:rsidR="00A015ED">
        <w:rPr>
          <w:szCs w:val="26"/>
        </w:rPr>
        <w:t>.</w:t>
      </w:r>
    </w:p>
    <w:p w:rsidR="00635C87" w:rsidRDefault="00635C87" w:rsidP="00AC4648">
      <w:pPr>
        <w:rPr>
          <w:szCs w:val="26"/>
        </w:rPr>
      </w:pPr>
    </w:p>
    <w:p w:rsidR="009331B6" w:rsidRDefault="00635C87" w:rsidP="002E30FB">
      <w:pPr>
        <w:rPr>
          <w:szCs w:val="26"/>
        </w:rPr>
      </w:pPr>
      <w:r>
        <w:rPr>
          <w:szCs w:val="26"/>
        </w:rPr>
        <w:t xml:space="preserve">PECO proposes to implement its Smart Meter Plan through three major </w:t>
      </w:r>
      <w:r w:rsidR="00AC4648">
        <w:rPr>
          <w:szCs w:val="26"/>
        </w:rPr>
        <w:t>filing</w:t>
      </w:r>
      <w:r w:rsidR="0066449F">
        <w:rPr>
          <w:szCs w:val="26"/>
        </w:rPr>
        <w:t>s</w:t>
      </w:r>
      <w:r w:rsidR="00AC4648">
        <w:rPr>
          <w:szCs w:val="26"/>
        </w:rPr>
        <w:t xml:space="preserve"> with the Commission.  Through the instant filing, PECO seeks to establish its Smart Meter Plan and receive approval of its </w:t>
      </w:r>
      <w:r w:rsidR="00BE4009">
        <w:rPr>
          <w:szCs w:val="26"/>
        </w:rPr>
        <w:t>Smart Meter technology procurement process. Second, in June 2010, PECO</w:t>
      </w:r>
      <w:r w:rsidR="0066449F">
        <w:rPr>
          <w:szCs w:val="26"/>
        </w:rPr>
        <w:t xml:space="preserve"> </w:t>
      </w:r>
      <w:r w:rsidR="00BE4009">
        <w:rPr>
          <w:szCs w:val="26"/>
        </w:rPr>
        <w:t xml:space="preserve">plans to file an initial dynamic pricing and customer acceptance program.  Third, in 2012, PECO will file a universal meter deployment plan for its remaining </w:t>
      </w:r>
      <w:r w:rsidR="005D5CFA">
        <w:rPr>
          <w:szCs w:val="26"/>
        </w:rPr>
        <w:t xml:space="preserve">customers.  </w:t>
      </w:r>
      <w:r w:rsidR="009331B6">
        <w:rPr>
          <w:szCs w:val="26"/>
        </w:rPr>
        <w:t>PECO Exh</w:t>
      </w:r>
      <w:r w:rsidR="0066449F">
        <w:rPr>
          <w:szCs w:val="26"/>
        </w:rPr>
        <w:t>.</w:t>
      </w:r>
      <w:r w:rsidR="009331B6">
        <w:rPr>
          <w:szCs w:val="26"/>
        </w:rPr>
        <w:t xml:space="preserve"> 1 at 2.</w:t>
      </w:r>
    </w:p>
    <w:p w:rsidR="002E30FB" w:rsidRDefault="002E30FB" w:rsidP="002E30FB">
      <w:pPr>
        <w:rPr>
          <w:szCs w:val="26"/>
        </w:rPr>
      </w:pPr>
    </w:p>
    <w:p w:rsidR="009331B6" w:rsidRDefault="00490513" w:rsidP="00187DB6">
      <w:pPr>
        <w:rPr>
          <w:szCs w:val="26"/>
        </w:rPr>
      </w:pPr>
      <w:r>
        <w:rPr>
          <w:szCs w:val="26"/>
        </w:rPr>
        <w:lastRenderedPageBreak/>
        <w:t>Pursuant to 66 Pa. C.S. § 2807(f)(7)</w:t>
      </w:r>
      <w:r w:rsidR="002E30FB">
        <w:rPr>
          <w:szCs w:val="26"/>
        </w:rPr>
        <w:t xml:space="preserve">, PECO </w:t>
      </w:r>
      <w:r>
        <w:rPr>
          <w:szCs w:val="26"/>
        </w:rPr>
        <w:t xml:space="preserve">has elected to establish a non-bypassable Smart </w:t>
      </w:r>
      <w:r w:rsidR="002E30FB">
        <w:rPr>
          <w:szCs w:val="26"/>
        </w:rPr>
        <w:t>M</w:t>
      </w:r>
      <w:r>
        <w:rPr>
          <w:szCs w:val="26"/>
        </w:rPr>
        <w:t>et</w:t>
      </w:r>
      <w:r w:rsidR="002E30FB">
        <w:rPr>
          <w:szCs w:val="26"/>
        </w:rPr>
        <w:t>e</w:t>
      </w:r>
      <w:r>
        <w:rPr>
          <w:szCs w:val="26"/>
        </w:rPr>
        <w:t xml:space="preserve">r Cost Recovery </w:t>
      </w:r>
      <w:r w:rsidR="00E74D9C">
        <w:rPr>
          <w:szCs w:val="26"/>
        </w:rPr>
        <w:t xml:space="preserve">Rider </w:t>
      </w:r>
      <w:r w:rsidR="002E30FB">
        <w:rPr>
          <w:szCs w:val="26"/>
        </w:rPr>
        <w:t>under 66 Pa. C.S. § 1307 to recover the costs of the Plan.</w:t>
      </w:r>
    </w:p>
    <w:p w:rsidR="00635C87" w:rsidRDefault="00635C87" w:rsidP="00F333D8">
      <w:pPr>
        <w:rPr>
          <w:szCs w:val="26"/>
        </w:rPr>
      </w:pPr>
    </w:p>
    <w:p w:rsidR="001A395D" w:rsidRPr="00F4227B" w:rsidRDefault="00B72BF3" w:rsidP="0079157C">
      <w:pPr>
        <w:pStyle w:val="Heading1"/>
        <w:keepLines w:val="0"/>
      </w:pPr>
      <w:bookmarkStart w:id="14" w:name="_Toc252882415"/>
      <w:bookmarkStart w:id="15" w:name="_Toc260130896"/>
      <w:r>
        <w:t>V.</w:t>
      </w:r>
      <w:r w:rsidR="006F4B78" w:rsidRPr="00F4227B">
        <w:tab/>
      </w:r>
      <w:r w:rsidR="001A395D" w:rsidRPr="00F4227B">
        <w:t>Discussion</w:t>
      </w:r>
      <w:bookmarkEnd w:id="13"/>
      <w:bookmarkEnd w:id="14"/>
      <w:bookmarkEnd w:id="15"/>
    </w:p>
    <w:p w:rsidR="00422F86" w:rsidRDefault="00422F86" w:rsidP="0079157C">
      <w:pPr>
        <w:keepNext/>
        <w:rPr>
          <w:szCs w:val="26"/>
        </w:rPr>
      </w:pPr>
    </w:p>
    <w:p w:rsidR="008333CE" w:rsidRDefault="008333CE" w:rsidP="0079157C">
      <w:pPr>
        <w:keepNext/>
      </w:pPr>
      <w:r>
        <w:rPr>
          <w:szCs w:val="26"/>
        </w:rPr>
        <w:t xml:space="preserve">In Commission proceedings, </w:t>
      </w:r>
      <w:r w:rsidRPr="008F0B41">
        <w:rPr>
          <w:szCs w:val="26"/>
        </w:rPr>
        <w:t>the proponent of a rule or order</w:t>
      </w:r>
      <w:r>
        <w:rPr>
          <w:szCs w:val="26"/>
        </w:rPr>
        <w:t xml:space="preserve"> bears</w:t>
      </w:r>
      <w:r w:rsidRPr="008F0B41">
        <w:rPr>
          <w:szCs w:val="26"/>
        </w:rPr>
        <w:t xml:space="preserve"> the burden of </w:t>
      </w:r>
      <w:r>
        <w:rPr>
          <w:szCs w:val="26"/>
        </w:rPr>
        <w:t>p</w:t>
      </w:r>
      <w:r w:rsidRPr="008F0B41">
        <w:rPr>
          <w:szCs w:val="26"/>
        </w:rPr>
        <w:t>roof</w:t>
      </w:r>
      <w:r>
        <w:rPr>
          <w:szCs w:val="26"/>
        </w:rPr>
        <w:t xml:space="preserve">. </w:t>
      </w:r>
      <w:r w:rsidRPr="008F0B41">
        <w:rPr>
          <w:szCs w:val="26"/>
        </w:rPr>
        <w:t xml:space="preserve"> 66 Pa. C.S. § 332(a).  </w:t>
      </w:r>
      <w:r>
        <w:rPr>
          <w:szCs w:val="26"/>
        </w:rPr>
        <w:t xml:space="preserve">To satisfy that burden, the proponent of a rule or order must prove each element of its case by a preponderance of the evidence.  </w:t>
      </w:r>
      <w:r w:rsidRPr="008F0B41">
        <w:rPr>
          <w:i/>
          <w:iCs/>
          <w:szCs w:val="26"/>
        </w:rPr>
        <w:t>Samuel J. Lansberry, Inc. v. P</w:t>
      </w:r>
      <w:r>
        <w:rPr>
          <w:i/>
          <w:iCs/>
          <w:szCs w:val="26"/>
        </w:rPr>
        <w:t>a. PUC</w:t>
      </w:r>
      <w:r w:rsidRPr="008F0B41">
        <w:rPr>
          <w:szCs w:val="26"/>
        </w:rPr>
        <w:t>, 578 A.2d 600 (Pa. C</w:t>
      </w:r>
      <w:r>
        <w:rPr>
          <w:szCs w:val="26"/>
        </w:rPr>
        <w:t>m</w:t>
      </w:r>
      <w:r w:rsidRPr="008F0B41">
        <w:rPr>
          <w:szCs w:val="26"/>
        </w:rPr>
        <w:t>w</w:t>
      </w:r>
      <w:r>
        <w:rPr>
          <w:szCs w:val="26"/>
        </w:rPr>
        <w:t>lth</w:t>
      </w:r>
      <w:r w:rsidRPr="008F0B41">
        <w:rPr>
          <w:szCs w:val="26"/>
        </w:rPr>
        <w:t xml:space="preserve">. 1990).  </w:t>
      </w:r>
      <w:r>
        <w:rPr>
          <w:szCs w:val="26"/>
        </w:rPr>
        <w:t xml:space="preserve">A preponderance of the evidence is established by presenting evidence that is more convincing, by even the smallest amount, than that presented by the other parties to the case.  </w:t>
      </w:r>
      <w:r>
        <w:rPr>
          <w:i/>
          <w:szCs w:val="26"/>
        </w:rPr>
        <w:t xml:space="preserve">Se-Ling Hosiery v. </w:t>
      </w:r>
      <w:r w:rsidR="001C010A">
        <w:rPr>
          <w:i/>
          <w:szCs w:val="26"/>
        </w:rPr>
        <w:t>Marg</w:t>
      </w:r>
      <w:r w:rsidRPr="00122405">
        <w:rPr>
          <w:i/>
          <w:szCs w:val="26"/>
        </w:rPr>
        <w:t>ulies</w:t>
      </w:r>
      <w:r>
        <w:rPr>
          <w:szCs w:val="26"/>
        </w:rPr>
        <w:t xml:space="preserve">, 364 Pa. 45, 70 A.2d 854 (1950).  </w:t>
      </w:r>
      <w:r w:rsidRPr="00122405">
        <w:rPr>
          <w:szCs w:val="26"/>
        </w:rPr>
        <w:t>Additionally</w:t>
      </w:r>
      <w:r w:rsidRPr="008F0B41">
        <w:rPr>
          <w:szCs w:val="26"/>
        </w:rPr>
        <w:t xml:space="preserve">, </w:t>
      </w:r>
      <w:r>
        <w:rPr>
          <w:szCs w:val="26"/>
        </w:rPr>
        <w:t xml:space="preserve">this Commission’s </w:t>
      </w:r>
      <w:r w:rsidRPr="008F0B41">
        <w:t xml:space="preserve">decision </w:t>
      </w:r>
      <w:r>
        <w:t>mu</w:t>
      </w:r>
      <w:r w:rsidRPr="008F0B41">
        <w:t>s</w:t>
      </w:r>
      <w:r>
        <w:t>t be</w:t>
      </w:r>
      <w:r w:rsidRPr="008F0B41">
        <w:t xml:space="preserve"> supported by substantial evidence in the record. </w:t>
      </w:r>
      <w:r>
        <w:t xml:space="preserve"> </w:t>
      </w:r>
      <w:r w:rsidRPr="008F0B41">
        <w:t>More is required than a mere trace of evidence or a suspicion of the existence of a fact sought to be established.</w:t>
      </w:r>
      <w:r>
        <w:t xml:space="preserve">  </w:t>
      </w:r>
      <w:r>
        <w:rPr>
          <w:i/>
        </w:rPr>
        <w:t xml:space="preserve">Norfolk &amp; Western Ry. Co. v. Pa. PUC, </w:t>
      </w:r>
      <w:r>
        <w:t>489 Pa. 109, 413 A.2d 1037 (1980).</w:t>
      </w:r>
    </w:p>
    <w:p w:rsidR="00412936" w:rsidRDefault="00412936" w:rsidP="00DB1424">
      <w:pPr>
        <w:rPr>
          <w:szCs w:val="26"/>
        </w:rPr>
      </w:pPr>
    </w:p>
    <w:p w:rsidR="004C62AB" w:rsidRDefault="008333CE" w:rsidP="00367979">
      <w:r>
        <w:rPr>
          <w:szCs w:val="26"/>
        </w:rPr>
        <w:t>W</w:t>
      </w:r>
      <w:r w:rsidR="00367979" w:rsidRPr="00AC6C96">
        <w:rPr>
          <w:szCs w:val="26"/>
        </w:rPr>
        <w:t>e note that any issue that we do not specifically address herein has been duly considered and will be denied without further discussion.  It is well settled that we are not required to consider expressly or at length each conten</w:t>
      </w:r>
      <w:r w:rsidR="00272CBD">
        <w:rPr>
          <w:szCs w:val="26"/>
        </w:rPr>
        <w:t>tion or argument raised by the P</w:t>
      </w:r>
      <w:r w:rsidR="00367979" w:rsidRPr="00AC6C96">
        <w:rPr>
          <w:szCs w:val="26"/>
        </w:rPr>
        <w:t xml:space="preserve">arties.  </w:t>
      </w:r>
      <w:hyperlink r:id="rId12" w:history="1">
        <w:r w:rsidR="00367979" w:rsidRPr="00367979">
          <w:rPr>
            <w:rStyle w:val="Emphasis"/>
            <w:color w:val="000000"/>
            <w:szCs w:val="26"/>
          </w:rPr>
          <w:t>Consolidated Rail Corporation v. Pa. PUC</w:t>
        </w:r>
        <w:r w:rsidR="00367979" w:rsidRPr="00367979">
          <w:rPr>
            <w:rStyle w:val="Hyperlink"/>
            <w:color w:val="000000"/>
            <w:szCs w:val="26"/>
            <w:u w:val="none"/>
          </w:rPr>
          <w:t>, 625 A.2d 741 (Pa. Cmwlth. 1993);</w:t>
        </w:r>
      </w:hyperlink>
      <w:r w:rsidR="00367979" w:rsidRPr="00367979">
        <w:rPr>
          <w:color w:val="000000"/>
          <w:szCs w:val="26"/>
        </w:rPr>
        <w:t xml:space="preserve"> </w:t>
      </w:r>
      <w:r w:rsidR="00367979" w:rsidRPr="00367979">
        <w:rPr>
          <w:rStyle w:val="Emphasis"/>
          <w:color w:val="000000"/>
          <w:szCs w:val="26"/>
        </w:rPr>
        <w:t>see</w:t>
      </w:r>
      <w:r w:rsidR="000662FC">
        <w:rPr>
          <w:rStyle w:val="Emphasis"/>
          <w:color w:val="000000"/>
          <w:szCs w:val="26"/>
        </w:rPr>
        <w:t xml:space="preserve"> also</w:t>
      </w:r>
      <w:r w:rsidR="00367979" w:rsidRPr="00367979">
        <w:rPr>
          <w:rStyle w:val="Emphasis"/>
          <w:color w:val="000000"/>
          <w:szCs w:val="26"/>
        </w:rPr>
        <w:t xml:space="preserve">, generally, </w:t>
      </w:r>
      <w:hyperlink r:id="rId13" w:history="1">
        <w:r w:rsidR="00367979" w:rsidRPr="00367979">
          <w:rPr>
            <w:rStyle w:val="Emphasis"/>
            <w:color w:val="000000"/>
            <w:szCs w:val="26"/>
          </w:rPr>
          <w:t>University of Pennsyl</w:t>
        </w:r>
        <w:r w:rsidR="00367979" w:rsidRPr="00367979">
          <w:rPr>
            <w:rStyle w:val="Emphasis"/>
            <w:color w:val="000000"/>
            <w:szCs w:val="26"/>
          </w:rPr>
          <w:softHyphen/>
          <w:t>vania v. Pa. PUC</w:t>
        </w:r>
        <w:r w:rsidR="00B44C3F">
          <w:rPr>
            <w:rStyle w:val="Hyperlink"/>
            <w:color w:val="000000"/>
            <w:szCs w:val="26"/>
            <w:u w:val="none"/>
          </w:rPr>
          <w:t>, 485 A.2d 1217 (Pa. </w:t>
        </w:r>
        <w:r w:rsidR="00367979" w:rsidRPr="00367979">
          <w:rPr>
            <w:rStyle w:val="Hyperlink"/>
            <w:color w:val="000000"/>
            <w:szCs w:val="26"/>
            <w:u w:val="none"/>
          </w:rPr>
          <w:t>Cmwlth. 1984).</w:t>
        </w:r>
      </w:hyperlink>
    </w:p>
    <w:p w:rsidR="004C62AB" w:rsidRDefault="004C62AB" w:rsidP="00367979">
      <w:pPr>
        <w:rPr>
          <w:szCs w:val="26"/>
        </w:rPr>
      </w:pPr>
    </w:p>
    <w:p w:rsidR="000A5DDF" w:rsidRDefault="00C265BD" w:rsidP="00F4227B">
      <w:pPr>
        <w:pStyle w:val="Heading2"/>
      </w:pPr>
      <w:bookmarkStart w:id="16" w:name="_Toc260130897"/>
      <w:r w:rsidRPr="00F4227B">
        <w:t>A.</w:t>
      </w:r>
      <w:r w:rsidR="00CA4BCB" w:rsidRPr="00F4227B">
        <w:tab/>
      </w:r>
      <w:r w:rsidRPr="00F4227B">
        <w:t>Joint Petition for Partial Settlement</w:t>
      </w:r>
      <w:bookmarkEnd w:id="16"/>
    </w:p>
    <w:p w:rsidR="00BF0CA0" w:rsidRPr="00BF0CA0" w:rsidRDefault="00BF0CA0" w:rsidP="00BF0CA0"/>
    <w:p w:rsidR="00BF0CA0" w:rsidRDefault="0074731C" w:rsidP="00BF0CA0">
      <w:pPr>
        <w:tabs>
          <w:tab w:val="center" w:pos="720"/>
        </w:tabs>
        <w:suppressAutoHyphens/>
        <w:rPr>
          <w:szCs w:val="26"/>
        </w:rPr>
      </w:pPr>
      <w:r>
        <w:rPr>
          <w:szCs w:val="26"/>
        </w:rPr>
        <w:t>As discussed</w:t>
      </w:r>
      <w:r w:rsidR="00B64A6B">
        <w:rPr>
          <w:szCs w:val="26"/>
        </w:rPr>
        <w:t>,</w:t>
      </w:r>
      <w:r>
        <w:rPr>
          <w:szCs w:val="26"/>
        </w:rPr>
        <w:t xml:space="preserve"> </w:t>
      </w:r>
      <w:r w:rsidRPr="0074731C">
        <w:rPr>
          <w:i/>
          <w:szCs w:val="26"/>
        </w:rPr>
        <w:t>supra,</w:t>
      </w:r>
      <w:r>
        <w:rPr>
          <w:szCs w:val="26"/>
        </w:rPr>
        <w:t xml:space="preserve"> a</w:t>
      </w:r>
      <w:r w:rsidRPr="00770B78">
        <w:rPr>
          <w:szCs w:val="26"/>
        </w:rPr>
        <w:t xml:space="preserve"> Settlement Petition was filed by PECO, </w:t>
      </w:r>
      <w:r>
        <w:rPr>
          <w:szCs w:val="26"/>
        </w:rPr>
        <w:t xml:space="preserve">the </w:t>
      </w:r>
      <w:r w:rsidRPr="00770B78">
        <w:rPr>
          <w:szCs w:val="26"/>
        </w:rPr>
        <w:t xml:space="preserve">OCA, </w:t>
      </w:r>
      <w:r>
        <w:rPr>
          <w:szCs w:val="26"/>
        </w:rPr>
        <w:t xml:space="preserve">the </w:t>
      </w:r>
      <w:r w:rsidRPr="00770B78">
        <w:rPr>
          <w:szCs w:val="26"/>
        </w:rPr>
        <w:t xml:space="preserve">OSBA, Constellation, </w:t>
      </w:r>
      <w:r>
        <w:rPr>
          <w:szCs w:val="26"/>
        </w:rPr>
        <w:t xml:space="preserve">the </w:t>
      </w:r>
      <w:r w:rsidRPr="00770B78">
        <w:rPr>
          <w:szCs w:val="26"/>
        </w:rPr>
        <w:t xml:space="preserve">DEP, CAC and ACORN.  </w:t>
      </w:r>
      <w:r w:rsidR="00BF0CA0" w:rsidRPr="00A54E7F">
        <w:rPr>
          <w:szCs w:val="26"/>
        </w:rPr>
        <w:t xml:space="preserve">Pursuant to our Regulations at 52 </w:t>
      </w:r>
      <w:r w:rsidR="00BF0CA0" w:rsidRPr="00A54E7F">
        <w:rPr>
          <w:szCs w:val="26"/>
        </w:rPr>
        <w:lastRenderedPageBreak/>
        <w:t xml:space="preserve">Pa. Code § 5.231, it is the Commission’s policy to promote settlements.  However, the Commission must review proposed settlements to determine whether the terms are in the public interest. </w:t>
      </w:r>
      <w:r w:rsidR="00BF0CA0" w:rsidRPr="00A54E7F">
        <w:rPr>
          <w:i/>
          <w:szCs w:val="26"/>
        </w:rPr>
        <w:t>Pa. PUC v. Philadelphia Gas Works</w:t>
      </w:r>
      <w:r w:rsidR="00BF0CA0" w:rsidRPr="00A54E7F">
        <w:rPr>
          <w:szCs w:val="26"/>
        </w:rPr>
        <w:t>,</w:t>
      </w:r>
      <w:r w:rsidR="0049668E">
        <w:rPr>
          <w:szCs w:val="26"/>
        </w:rPr>
        <w:t xml:space="preserve"> Docket No. </w:t>
      </w:r>
      <w:r w:rsidR="00BF0CA0" w:rsidRPr="00A54E7F">
        <w:rPr>
          <w:szCs w:val="26"/>
        </w:rPr>
        <w:t xml:space="preserve">M-00031768 (January 7, 2004); 52 Pa. Code § 69.1201.  </w:t>
      </w:r>
    </w:p>
    <w:p w:rsidR="00A86CBF" w:rsidRDefault="00A86CBF" w:rsidP="00F4227B">
      <w:pPr>
        <w:pStyle w:val="Heading3"/>
      </w:pPr>
    </w:p>
    <w:p w:rsidR="00C265BD" w:rsidRPr="00F4227B" w:rsidRDefault="00C265BD" w:rsidP="00BF0CA0">
      <w:pPr>
        <w:pStyle w:val="Heading3"/>
        <w:keepLines w:val="0"/>
      </w:pPr>
      <w:bookmarkStart w:id="17" w:name="_Toc260130898"/>
      <w:r w:rsidRPr="00F4227B">
        <w:t xml:space="preserve">1. </w:t>
      </w:r>
      <w:r w:rsidR="00CA4BCB" w:rsidRPr="00F4227B">
        <w:tab/>
      </w:r>
      <w:r w:rsidRPr="00F4227B">
        <w:t>Stakeholder Process</w:t>
      </w:r>
      <w:bookmarkEnd w:id="17"/>
    </w:p>
    <w:p w:rsidR="00CA4BCB" w:rsidRDefault="00CA4BCB" w:rsidP="00BF0CA0">
      <w:pPr>
        <w:keepNext/>
      </w:pPr>
    </w:p>
    <w:p w:rsidR="00C265BD" w:rsidRPr="003D63CB" w:rsidRDefault="00D32A61" w:rsidP="00BF0CA0">
      <w:pPr>
        <w:keepNext/>
        <w:rPr>
          <w:rStyle w:val="Emphasis"/>
          <w:i w:val="0"/>
        </w:rPr>
      </w:pPr>
      <w:r w:rsidRPr="003D63CB">
        <w:rPr>
          <w:rStyle w:val="Emphasis"/>
          <w:i w:val="0"/>
        </w:rPr>
        <w:t xml:space="preserve">In the direct testimony filed with PECO’s Plan Petition, PECO stated that it would </w:t>
      </w:r>
      <w:r w:rsidR="006F44A6" w:rsidRPr="003D63CB">
        <w:rPr>
          <w:rStyle w:val="Emphasis"/>
          <w:i w:val="0"/>
        </w:rPr>
        <w:t xml:space="preserve">initiate a collaborative process with interested statutory advocates, government entities, meter technology providers and other stakeholders to design an </w:t>
      </w:r>
      <w:r w:rsidR="003E7675" w:rsidRPr="003D63CB">
        <w:rPr>
          <w:rStyle w:val="Emphasis"/>
          <w:i w:val="0"/>
        </w:rPr>
        <w:t>initial</w:t>
      </w:r>
      <w:r w:rsidR="006F44A6" w:rsidRPr="003D63CB">
        <w:rPr>
          <w:rStyle w:val="Emphasis"/>
          <w:i w:val="0"/>
        </w:rPr>
        <w:t xml:space="preserve"> dynamic pricing and customer acceptance process. </w:t>
      </w:r>
      <w:r w:rsidRPr="003D63CB">
        <w:rPr>
          <w:rStyle w:val="Emphasis"/>
          <w:i w:val="0"/>
        </w:rPr>
        <w:t xml:space="preserve"> </w:t>
      </w:r>
      <w:r w:rsidR="003E7675" w:rsidRPr="003D63CB">
        <w:rPr>
          <w:rStyle w:val="Emphasis"/>
          <w:i w:val="0"/>
        </w:rPr>
        <w:t>PECO St. No. 1 at 7.</w:t>
      </w:r>
    </w:p>
    <w:p w:rsidR="003E7675" w:rsidRDefault="003E7675" w:rsidP="003E7675"/>
    <w:p w:rsidR="003E7675" w:rsidRDefault="00352BA2" w:rsidP="005A07A8">
      <w:r>
        <w:t xml:space="preserve">The proposed Settlement Petition provides more </w:t>
      </w:r>
      <w:r w:rsidR="00A92E9D">
        <w:t xml:space="preserve">specificity with regard to the issues that will be addressed, the scheduling of meetings, and the resolution of unresolved issues.  The Settlement Petition </w:t>
      </w:r>
      <w:r w:rsidR="00233B1E">
        <w:t xml:space="preserve">provides that PECO will meet with stakeholders in December 2009, January 2010, February 2010 and no less than two times per year through December 2012.  The </w:t>
      </w:r>
      <w:r w:rsidR="00D1013C">
        <w:t xml:space="preserve">stakeholder meetings will address, at the minimum, </w:t>
      </w:r>
      <w:r w:rsidR="00233B1E">
        <w:t xml:space="preserve">eight </w:t>
      </w:r>
      <w:r w:rsidR="00332D36">
        <w:t xml:space="preserve">specific </w:t>
      </w:r>
      <w:r w:rsidR="00D1013C">
        <w:t xml:space="preserve">subject </w:t>
      </w:r>
      <w:r w:rsidR="00332D36">
        <w:t xml:space="preserve">areas delineated in the Settlement Petition.  Any unresolved issues will be presented to the Commission </w:t>
      </w:r>
      <w:r w:rsidR="005A07A8">
        <w:t xml:space="preserve">in conjunction with </w:t>
      </w:r>
      <w:r w:rsidR="00F55656">
        <w:t xml:space="preserve">either </w:t>
      </w:r>
      <w:r w:rsidR="005A07A8">
        <w:t xml:space="preserve">PECO’s June 2010 filing regarding Dynamic Pricing and Customer Acceptance Testing or PECO’s 2012 filing regarding Universal Deployment. </w:t>
      </w:r>
      <w:r w:rsidR="00F55656">
        <w:t xml:space="preserve"> Settlement Petition at 4-5.</w:t>
      </w:r>
    </w:p>
    <w:p w:rsidR="00F55656" w:rsidRDefault="00F55656" w:rsidP="005A07A8"/>
    <w:p w:rsidR="00F55656" w:rsidRDefault="00491823" w:rsidP="005A07A8">
      <w:r>
        <w:t xml:space="preserve">In support of these amendments, the OCA </w:t>
      </w:r>
      <w:r w:rsidR="0021772C">
        <w:t>state</w:t>
      </w:r>
      <w:r w:rsidR="004C522B">
        <w:t>d</w:t>
      </w:r>
      <w:r w:rsidR="0021772C">
        <w:t xml:space="preserve"> that “This increased specificity will allow for a robust process, encourage a two-way dialogue and allow for a better-informed process for both stakeholders and the company.”  The OCA also submit</w:t>
      </w:r>
      <w:r w:rsidR="004C522B">
        <w:t>ted</w:t>
      </w:r>
      <w:r w:rsidR="0021772C">
        <w:t xml:space="preserve"> that these goals were achieved in the stakeholder process </w:t>
      </w:r>
      <w:r w:rsidR="004C522B">
        <w:t xml:space="preserve">associated with PECO’s EE&amp;C Plan and that </w:t>
      </w:r>
      <w:r w:rsidR="0049668E">
        <w:t xml:space="preserve">the </w:t>
      </w:r>
      <w:r w:rsidR="004C522B">
        <w:t>smart metering stakeholder process “will build on this success.”  OCA Statement of Support of the Settlement Petitio</w:t>
      </w:r>
      <w:r w:rsidR="00D8699F">
        <w:t xml:space="preserve">n at 3-4. </w:t>
      </w:r>
    </w:p>
    <w:p w:rsidR="001A64EC" w:rsidRPr="00C265BD" w:rsidRDefault="001A64EC" w:rsidP="001A64EC">
      <w:pPr>
        <w:spacing w:line="240" w:lineRule="auto"/>
      </w:pPr>
    </w:p>
    <w:p w:rsidR="0014672E" w:rsidRDefault="00284CEF" w:rsidP="0014672E">
      <w:bookmarkStart w:id="18" w:name="_Toc242516351"/>
      <w:r>
        <w:t xml:space="preserve">In its Statement of Support, the DEP </w:t>
      </w:r>
      <w:r w:rsidR="00D1088A">
        <w:t>point</w:t>
      </w:r>
      <w:r w:rsidR="0014672E">
        <w:t>ed</w:t>
      </w:r>
      <w:r w:rsidR="00D1088A">
        <w:t xml:space="preserve"> out that much work still needs to be done on PECO’s Plan and the proposed collaborative process adds an important layer of transparent participation to the future development of the Plan</w:t>
      </w:r>
      <w:r w:rsidR="00B87CEE">
        <w:t>.  DEP Stateme</w:t>
      </w:r>
      <w:r w:rsidR="00AD5F17">
        <w:t>n</w:t>
      </w:r>
      <w:r w:rsidR="00B87CEE">
        <w:t xml:space="preserve">t of Support of Settlement Petition at 5.  </w:t>
      </w:r>
    </w:p>
    <w:p w:rsidR="0014672E" w:rsidRDefault="0014672E" w:rsidP="0014672E"/>
    <w:p w:rsidR="006D3F85" w:rsidRDefault="00B87CEE" w:rsidP="0014672E">
      <w:r>
        <w:t>ACORN submit</w:t>
      </w:r>
      <w:r w:rsidR="0014672E">
        <w:t>ted</w:t>
      </w:r>
      <w:r>
        <w:t xml:space="preserve"> that the proposed stakeholder meetings will provide a forum to discuss how </w:t>
      </w:r>
      <w:r w:rsidR="00CA6691">
        <w:t>to design both dynamic pricing schemes that will not disadvantage low income customers and marketing programs targeted to low income customers.  ACORN Statement of Support of the Settlement Petition at 2.</w:t>
      </w:r>
    </w:p>
    <w:p w:rsidR="00CA6691" w:rsidRDefault="00CA6691" w:rsidP="006D3F85">
      <w:pPr>
        <w:ind w:firstLine="0"/>
      </w:pPr>
    </w:p>
    <w:p w:rsidR="005A234C" w:rsidRDefault="0049668E" w:rsidP="00573144">
      <w:r>
        <w:t xml:space="preserve">We agree with </w:t>
      </w:r>
      <w:r w:rsidR="00397AD2">
        <w:t>the OCA, DEP</w:t>
      </w:r>
      <w:r w:rsidR="00D944E6">
        <w:t xml:space="preserve"> </w:t>
      </w:r>
      <w:r w:rsidR="00397AD2">
        <w:t xml:space="preserve">and ACORN, </w:t>
      </w:r>
      <w:r>
        <w:t>that a</w:t>
      </w:r>
      <w:r w:rsidR="00D944E6">
        <w:t xml:space="preserve"> more definitive and robust collaborative between PECO and the various stakeholders can only </w:t>
      </w:r>
      <w:r w:rsidR="00573144">
        <w:t>add to the effectiveness and efficiency of the Plan.  In addition</w:t>
      </w:r>
      <w:r w:rsidR="00B422E8">
        <w:t xml:space="preserve">, </w:t>
      </w:r>
      <w:r w:rsidR="00F37261">
        <w:t xml:space="preserve">the incorporation of any </w:t>
      </w:r>
      <w:r w:rsidR="00B422E8">
        <w:t xml:space="preserve">unresolved issues </w:t>
      </w:r>
      <w:r w:rsidR="00F37261">
        <w:t xml:space="preserve">in the two forthcoming </w:t>
      </w:r>
      <w:r w:rsidR="00DE27FB">
        <w:t xml:space="preserve">smart metering </w:t>
      </w:r>
      <w:r w:rsidR="00B422E8">
        <w:t xml:space="preserve">proceedings </w:t>
      </w:r>
      <w:r w:rsidR="00BF739D">
        <w:t xml:space="preserve">should </w:t>
      </w:r>
      <w:r w:rsidR="00F37261">
        <w:t>enhance the likelihood that these issues will be resolved in a timely manner.</w:t>
      </w:r>
      <w:r w:rsidR="00BF739D">
        <w:t xml:space="preserve"> </w:t>
      </w:r>
      <w:r w:rsidR="004F2FCD">
        <w:t xml:space="preserve">  As part of PECO’s June 2010 filing regarding Dynamic Pricing and Customer Acceptance Testing, PECO should also address how it intends </w:t>
      </w:r>
      <w:r w:rsidR="00C8100A">
        <w:t>t</w:t>
      </w:r>
      <w:r w:rsidR="004F2FCD">
        <w:t xml:space="preserve">o recover the default service costs of its dynamic pricing option, including customer education </w:t>
      </w:r>
      <w:r w:rsidR="00206369">
        <w:t>on</w:t>
      </w:r>
      <w:r w:rsidR="004F2FCD">
        <w:t xml:space="preserve"> its dynamic pricing services.  </w:t>
      </w:r>
    </w:p>
    <w:p w:rsidR="00425379" w:rsidRPr="005A234C" w:rsidRDefault="00425379" w:rsidP="00573144">
      <w:pPr>
        <w:rPr>
          <w:color w:val="C00000"/>
        </w:rPr>
      </w:pPr>
    </w:p>
    <w:p w:rsidR="00CA6691" w:rsidRDefault="00CA6691" w:rsidP="00680330">
      <w:pPr>
        <w:pStyle w:val="Heading3"/>
        <w:keepLines w:val="0"/>
      </w:pPr>
      <w:bookmarkStart w:id="19" w:name="_Toc260130899"/>
      <w:r>
        <w:t>2.</w:t>
      </w:r>
      <w:r>
        <w:tab/>
        <w:t xml:space="preserve">Customer </w:t>
      </w:r>
      <w:r w:rsidR="008E1631">
        <w:t>R</w:t>
      </w:r>
      <w:r>
        <w:t>esearch and Education</w:t>
      </w:r>
      <w:bookmarkEnd w:id="19"/>
    </w:p>
    <w:p w:rsidR="00680330" w:rsidRDefault="00680330" w:rsidP="00680330">
      <w:pPr>
        <w:keepNext/>
      </w:pPr>
    </w:p>
    <w:p w:rsidR="00203239" w:rsidRDefault="00680330" w:rsidP="00203239">
      <w:r>
        <w:t xml:space="preserve">The Settlement Petition states that PECO plans to address the need for any additional customer research and education on the deployment of Smart Meters as part of its implementation plan to be filed in June 2010.  </w:t>
      </w:r>
      <w:r w:rsidR="00203239">
        <w:t>Settlement Petition at 6.</w:t>
      </w:r>
    </w:p>
    <w:p w:rsidR="00203239" w:rsidRDefault="00203239" w:rsidP="00203239"/>
    <w:p w:rsidR="00203239" w:rsidRDefault="00203239" w:rsidP="00203239">
      <w:r>
        <w:t>ACORN aver</w:t>
      </w:r>
      <w:r w:rsidR="0014672E">
        <w:t>red</w:t>
      </w:r>
      <w:r>
        <w:t xml:space="preserve"> that the implementation of smart metering is going to be confusing for many residential customers because the kinds of service are quite different from traditional service offered in the past.  ACORN </w:t>
      </w:r>
      <w:r w:rsidR="00025264">
        <w:t>submit</w:t>
      </w:r>
      <w:r w:rsidR="0014672E">
        <w:t>ted</w:t>
      </w:r>
      <w:r w:rsidR="00025264">
        <w:t xml:space="preserve"> that low income </w:t>
      </w:r>
      <w:r w:rsidR="00025264">
        <w:lastRenderedPageBreak/>
        <w:t>households tend to have lower education levels and its seems reasonable to expect they may have greater difficulty understanding how smart meters, dynamic pricing and real time pricing will work.  ACORN state</w:t>
      </w:r>
      <w:r w:rsidR="0014672E">
        <w:t>d</w:t>
      </w:r>
      <w:r w:rsidR="007D4BD8">
        <w:t xml:space="preserve"> that</w:t>
      </w:r>
      <w:r w:rsidR="00025264">
        <w:t xml:space="preserve"> to the extent that the Settlement </w:t>
      </w:r>
      <w:r w:rsidR="00AA0EF4">
        <w:t>P</w:t>
      </w:r>
      <w:r w:rsidR="00025264">
        <w:t xml:space="preserve">etition </w:t>
      </w:r>
      <w:r w:rsidR="00AA0EF4">
        <w:t>expresses PECO’s intention to remain open to providing additional education, then the Settlement Petition is in the Public Interest.  ACORN Statement of Support of the Settlement Petition at 2.</w:t>
      </w:r>
    </w:p>
    <w:p w:rsidR="00425379" w:rsidRDefault="00425379" w:rsidP="00203239"/>
    <w:p w:rsidR="00425379" w:rsidRDefault="009A704F" w:rsidP="00203239">
      <w:r>
        <w:t>To maximize the potential success of the program, i</w:t>
      </w:r>
      <w:r w:rsidR="00425379">
        <w:t xml:space="preserve">t is </w:t>
      </w:r>
      <w:r>
        <w:t xml:space="preserve">very </w:t>
      </w:r>
      <w:r w:rsidR="00425379">
        <w:t xml:space="preserve">important that PECO’s customers are fully aware of the </w:t>
      </w:r>
      <w:r w:rsidR="004A433E">
        <w:t xml:space="preserve">characteristics and </w:t>
      </w:r>
      <w:r>
        <w:t xml:space="preserve">potential benefits of the forthcoming smart metering opportunities.  </w:t>
      </w:r>
      <w:r w:rsidR="004A433E">
        <w:t xml:space="preserve">To that end, </w:t>
      </w:r>
      <w:r w:rsidR="0014672E">
        <w:t xml:space="preserve">we believe that </w:t>
      </w:r>
      <w:r w:rsidR="004A433E">
        <w:t xml:space="preserve">further research and consideration into customer education </w:t>
      </w:r>
      <w:r w:rsidR="006324A5">
        <w:t>prior to the June 2010 filing can only enhance the success of the program.</w:t>
      </w:r>
    </w:p>
    <w:p w:rsidR="00AA0EF4" w:rsidRDefault="00AA0EF4" w:rsidP="00203239"/>
    <w:p w:rsidR="00AA0EF4" w:rsidRDefault="00AA0EF4" w:rsidP="00AA0EF4">
      <w:pPr>
        <w:pStyle w:val="Heading3"/>
      </w:pPr>
      <w:bookmarkStart w:id="20" w:name="_Toc260130900"/>
      <w:r>
        <w:t xml:space="preserve">3. </w:t>
      </w:r>
      <w:r>
        <w:tab/>
        <w:t>Remote Connect/Disconnect</w:t>
      </w:r>
      <w:bookmarkEnd w:id="20"/>
    </w:p>
    <w:p w:rsidR="001B3F0C" w:rsidRPr="001B3F0C" w:rsidRDefault="001B3F0C" w:rsidP="001B3F0C"/>
    <w:p w:rsidR="00680330" w:rsidRDefault="001B3F0C" w:rsidP="00680330">
      <w:pPr>
        <w:keepNext/>
      </w:pPr>
      <w:r>
        <w:t xml:space="preserve">In our investigation into Electric Distribution Company (EDC) Smart Meter </w:t>
      </w:r>
      <w:r w:rsidR="00831E0A">
        <w:t>P</w:t>
      </w:r>
      <w:r>
        <w:t xml:space="preserve">rocurement and Installation at Docket No. </w:t>
      </w:r>
      <w:r w:rsidR="00831E0A">
        <w:t xml:space="preserve">M-2009-2092655, we addressed the issues related to the capability of smart meters to remotely disconnect and reconnect service.  </w:t>
      </w:r>
      <w:r w:rsidR="00CF7B08" w:rsidRPr="00CF7B08">
        <w:rPr>
          <w:i/>
        </w:rPr>
        <w:t>Implementation Order</w:t>
      </w:r>
      <w:r w:rsidR="00CF7B08">
        <w:t xml:space="preserve"> at 17-18.  </w:t>
      </w:r>
      <w:r w:rsidR="002A1025">
        <w:t xml:space="preserve">In our </w:t>
      </w:r>
      <w:r w:rsidR="002A1025" w:rsidRPr="004761FF">
        <w:rPr>
          <w:i/>
        </w:rPr>
        <w:t>Implementation Order</w:t>
      </w:r>
      <w:r w:rsidR="002A1025">
        <w:t xml:space="preserve"> we s</w:t>
      </w:r>
      <w:r w:rsidR="00AD5F17">
        <w:t>t</w:t>
      </w:r>
      <w:r w:rsidR="002A1025">
        <w:t>ated</w:t>
      </w:r>
      <w:r w:rsidR="00CF7B08">
        <w:t>:</w:t>
      </w:r>
    </w:p>
    <w:p w:rsidR="00CF7B08" w:rsidRDefault="00CF7B08" w:rsidP="00CF7B08">
      <w:pPr>
        <w:spacing w:line="240" w:lineRule="auto"/>
        <w:ind w:left="1440" w:right="1440" w:firstLine="0"/>
      </w:pPr>
    </w:p>
    <w:p w:rsidR="00CF7B08" w:rsidRDefault="00CF7B08" w:rsidP="00CF7B08">
      <w:pPr>
        <w:spacing w:line="240" w:lineRule="auto"/>
        <w:ind w:left="1440" w:right="1440" w:firstLine="0"/>
      </w:pPr>
      <w:r>
        <w:t>The policy issues and procedures regarding termination and reconnection of service are addressed in the Public Utility Code (“Code”), at 66 Pa.C.S. §§ 1401</w:t>
      </w:r>
      <w:r>
        <w:noBreakHyphen/>
        <w:t>1418 and this Commission’s regulations.  Requiring the ability to remotely disconnect and reconnect service in no way abrogates an EDC’s obligation to adhere to the Code or this Commission’s regulations.  Therefore, the Commission will require that smart meters have a capability to remotely disconnect and reconnect service as it provides the ability to increase safety, efficiency and cost benefits.</w:t>
      </w:r>
    </w:p>
    <w:p w:rsidR="00C035D5" w:rsidRDefault="00C035D5" w:rsidP="001A64EC">
      <w:pPr>
        <w:spacing w:line="240" w:lineRule="auto"/>
        <w:ind w:left="1440" w:right="1440" w:firstLine="0"/>
      </w:pPr>
    </w:p>
    <w:p w:rsidR="00CF7B08" w:rsidRDefault="00BE78DA" w:rsidP="00AC6854">
      <w:pPr>
        <w:ind w:firstLine="0"/>
      </w:pPr>
      <w:r w:rsidRPr="00CF7B08">
        <w:rPr>
          <w:i/>
        </w:rPr>
        <w:t>Implementation Order</w:t>
      </w:r>
      <w:r w:rsidR="00CF7B08">
        <w:t xml:space="preserve"> at 18.</w:t>
      </w:r>
    </w:p>
    <w:p w:rsidR="003A24CD" w:rsidRDefault="003A24CD" w:rsidP="00AC6854">
      <w:pPr>
        <w:ind w:firstLine="0"/>
      </w:pPr>
    </w:p>
    <w:p w:rsidR="003A24CD" w:rsidRDefault="003A24CD" w:rsidP="003A24CD">
      <w:r>
        <w:t xml:space="preserve">In its testimony in the instant proceeding, the OCA expressed its concern that PECO has not developed the proper protocols </w:t>
      </w:r>
      <w:r w:rsidR="0049668E">
        <w:t>for</w:t>
      </w:r>
      <w:r>
        <w:t xml:space="preserve"> the implementation of the disconnect/reconnect functionality.  The OCA explained</w:t>
      </w:r>
      <w:r w:rsidR="0049668E">
        <w:t>,</w:t>
      </w:r>
      <w:r>
        <w:t xml:space="preserve"> that currently</w:t>
      </w:r>
      <w:r w:rsidR="0049668E">
        <w:t>,</w:t>
      </w:r>
      <w:r>
        <w:t xml:space="preserve"> to achieve a disconnection, PECO must send a trained technician to the customer’s property to, </w:t>
      </w:r>
      <w:r w:rsidRPr="003835B6">
        <w:rPr>
          <w:i/>
        </w:rPr>
        <w:t>inter alia</w:t>
      </w:r>
      <w:r>
        <w:t xml:space="preserve">, prevent any inadvertent disconnection to properties that are occupied or to prevent harm that may result from a voluntary disconnect in the case of a multi-family building.  OCA St. No. 1S at 4. </w:t>
      </w:r>
    </w:p>
    <w:p w:rsidR="001D337B" w:rsidRDefault="001D337B" w:rsidP="00AC6854">
      <w:pPr>
        <w:ind w:firstLine="0"/>
      </w:pPr>
    </w:p>
    <w:p w:rsidR="00CF7B08" w:rsidRDefault="00DB1712" w:rsidP="00BB4D94">
      <w:r>
        <w:t xml:space="preserve">The Settlement Petition provides that PECO will comply with Chapter 14 of the Public </w:t>
      </w:r>
      <w:r w:rsidR="002952E4">
        <w:t>U</w:t>
      </w:r>
      <w:r>
        <w:t xml:space="preserve">tility Code </w:t>
      </w:r>
      <w:r w:rsidR="0049668E">
        <w:t>(Code)</w:t>
      </w:r>
      <w:r w:rsidR="00FA3B76">
        <w:t>,</w:t>
      </w:r>
      <w:r w:rsidR="0049668E">
        <w:t xml:space="preserve"> </w:t>
      </w:r>
      <w:r w:rsidR="002952E4">
        <w:t xml:space="preserve">66 Pa. C.S. § 1401, </w:t>
      </w:r>
      <w:r w:rsidR="002952E4" w:rsidRPr="002952E4">
        <w:rPr>
          <w:i/>
        </w:rPr>
        <w:t>et seq</w:t>
      </w:r>
      <w:r w:rsidR="002952E4" w:rsidRPr="002952E4">
        <w:t>.</w:t>
      </w:r>
      <w:r w:rsidRPr="002952E4">
        <w:t xml:space="preserve"> </w:t>
      </w:r>
      <w:r w:rsidR="002952E4">
        <w:t>and Chapter 56 of the Commission’s Regulations</w:t>
      </w:r>
      <w:r w:rsidR="00FA3B76">
        <w:t>,</w:t>
      </w:r>
      <w:r w:rsidR="002952E4">
        <w:t xml:space="preserve"> 52 Pa. Code § 56.91, </w:t>
      </w:r>
      <w:r w:rsidR="002952E4" w:rsidRPr="002952E4">
        <w:rPr>
          <w:i/>
        </w:rPr>
        <w:t>et seq</w:t>
      </w:r>
      <w:r w:rsidR="002952E4" w:rsidRPr="002952E4">
        <w:t>.</w:t>
      </w:r>
      <w:r w:rsidR="00FA3B76">
        <w:t>,</w:t>
      </w:r>
      <w:r w:rsidR="002952E4" w:rsidRPr="002952E4">
        <w:t xml:space="preserve"> </w:t>
      </w:r>
      <w:r w:rsidR="002952E4">
        <w:t xml:space="preserve">with respect </w:t>
      </w:r>
      <w:r w:rsidR="00AD3112">
        <w:t>to the application of the remote connect/disconnect capability for the termination of service.  PECO will also, at the minimum</w:t>
      </w:r>
      <w:r w:rsidR="00CB59F3">
        <w:t xml:space="preserve">: </w:t>
      </w:r>
      <w:r w:rsidR="00E34877">
        <w:t>(</w:t>
      </w:r>
      <w:r w:rsidR="00CB59F3">
        <w:t>1)</w:t>
      </w:r>
      <w:r w:rsidR="00AD3112">
        <w:t xml:space="preserve"> </w:t>
      </w:r>
      <w:r w:rsidR="00CB59F3">
        <w:t xml:space="preserve">send an appropriately trained employee to </w:t>
      </w:r>
      <w:r w:rsidR="00892AA0">
        <w:t xml:space="preserve">make contact with a responsible adult; </w:t>
      </w:r>
      <w:r w:rsidR="00E34877">
        <w:t>(</w:t>
      </w:r>
      <w:r w:rsidR="00892AA0">
        <w:t>2) where personal contact is not made, provide a notice containing specific information relating to PECO’s programs and payment information</w:t>
      </w:r>
      <w:r w:rsidR="00FA3B76">
        <w:t>;</w:t>
      </w:r>
      <w:r w:rsidR="006F1CC8">
        <w:t xml:space="preserve"> </w:t>
      </w:r>
      <w:r w:rsidR="008D0D5C">
        <w:t xml:space="preserve">and </w:t>
      </w:r>
      <w:r w:rsidR="00E34877">
        <w:t>(</w:t>
      </w:r>
      <w:r w:rsidR="008D0D5C">
        <w:t xml:space="preserve">3) stop termination if the customer can show </w:t>
      </w:r>
      <w:r w:rsidR="009B076C">
        <w:t xml:space="preserve">specific confirmation of payment. </w:t>
      </w:r>
      <w:r w:rsidR="00CB59F3">
        <w:t xml:space="preserve"> </w:t>
      </w:r>
      <w:r w:rsidR="009B076C">
        <w:t xml:space="preserve">PECO agrees to charge a reduced restoration fee where the remote feature is utilized and that restoration timeframe improvements will be considered as part of the collaborative process.  </w:t>
      </w:r>
      <w:r w:rsidR="00BB4D94">
        <w:t>Settlement Petition at 7.</w:t>
      </w:r>
    </w:p>
    <w:p w:rsidR="004761FF" w:rsidRDefault="004761FF" w:rsidP="00BB4D94"/>
    <w:p w:rsidR="004761FF" w:rsidRDefault="004761FF" w:rsidP="00BB4D94">
      <w:r>
        <w:t>The OCA state</w:t>
      </w:r>
      <w:r w:rsidR="0014672E">
        <w:t>d</w:t>
      </w:r>
      <w:r>
        <w:t xml:space="preserve"> that the Settlement Petition addresses its concern relative to the use of the remote connect/disconnect feature and hopes the collaborative process will address the necessary protocols.  OCA Statement </w:t>
      </w:r>
      <w:r w:rsidR="007608A8">
        <w:t>of</w:t>
      </w:r>
      <w:r>
        <w:t xml:space="preserve"> Support of the Settlement Petition at 4.  </w:t>
      </w:r>
    </w:p>
    <w:p w:rsidR="00BB4D94" w:rsidRDefault="00BB4D94" w:rsidP="00AC6854">
      <w:pPr>
        <w:ind w:firstLine="0"/>
      </w:pPr>
    </w:p>
    <w:p w:rsidR="00AA656D" w:rsidRDefault="0062467F" w:rsidP="00D42541">
      <w:r>
        <w:t xml:space="preserve">As indicated by the ALJ, the protocols contained </w:t>
      </w:r>
      <w:r w:rsidR="007608A8">
        <w:t xml:space="preserve">in </w:t>
      </w:r>
      <w:r>
        <w:t xml:space="preserve">the Settlement Petition will ensure that customers are not adversely affected by the use of the remote </w:t>
      </w:r>
      <w:r>
        <w:lastRenderedPageBreak/>
        <w:t xml:space="preserve">connect/disconnect </w:t>
      </w:r>
      <w:r w:rsidR="00D42541">
        <w:t xml:space="preserve">feature.  The Settlement Petition makes it clear that all consumer protections provided by statute or the Commission’s regulations will be maintained or enhanced, and that PECO staff will be appropriately trained.  </w:t>
      </w:r>
      <w:r w:rsidR="009357DE">
        <w:t>I.D.</w:t>
      </w:r>
      <w:r w:rsidR="00D42541">
        <w:t xml:space="preserve"> at 22.  </w:t>
      </w:r>
      <w:r w:rsidR="008B5EE5">
        <w:t xml:space="preserve">We concur with the ALJ and look to the collaborative process to </w:t>
      </w:r>
      <w:r w:rsidR="006322C0">
        <w:t xml:space="preserve">continue to </w:t>
      </w:r>
      <w:r w:rsidR="002B7E2E">
        <w:t>develop</w:t>
      </w:r>
      <w:r w:rsidR="006322C0">
        <w:t xml:space="preserve"> th</w:t>
      </w:r>
      <w:r w:rsidR="002B7E2E">
        <w:t>e</w:t>
      </w:r>
      <w:r w:rsidR="006322C0">
        <w:t xml:space="preserve"> necessary protocols </w:t>
      </w:r>
      <w:r w:rsidR="00AA656D">
        <w:t>to ensure that remote shutoffs and reconnections are implemented with proper safeguards and procedures.</w:t>
      </w:r>
    </w:p>
    <w:p w:rsidR="007608A8" w:rsidRDefault="007608A8" w:rsidP="00D42541"/>
    <w:p w:rsidR="00BB4D94" w:rsidRPr="002952E4" w:rsidRDefault="00BB4D94" w:rsidP="00F672F1">
      <w:pPr>
        <w:pStyle w:val="Heading3"/>
        <w:keepLines w:val="0"/>
      </w:pPr>
      <w:bookmarkStart w:id="21" w:name="_Toc260130901"/>
      <w:r>
        <w:t>4.</w:t>
      </w:r>
      <w:r>
        <w:tab/>
        <w:t>Return on Equity</w:t>
      </w:r>
      <w:bookmarkEnd w:id="21"/>
    </w:p>
    <w:p w:rsidR="00680330" w:rsidRPr="00680330" w:rsidRDefault="00680330" w:rsidP="00F672F1">
      <w:pPr>
        <w:keepNext/>
      </w:pPr>
    </w:p>
    <w:p w:rsidR="006D3F85" w:rsidRDefault="00582835" w:rsidP="007608A8">
      <w:r>
        <w:t>Act 129 allows EDCs to recover “all reasonable and prudent cost</w:t>
      </w:r>
      <w:r w:rsidR="00C82469">
        <w:t>s</w:t>
      </w:r>
      <w:r>
        <w:t xml:space="preserve"> of providing smart meter technology</w:t>
      </w:r>
      <w:r w:rsidR="00C74161">
        <w:t>”</w:t>
      </w:r>
      <w:r>
        <w:t xml:space="preserve"> including, </w:t>
      </w:r>
      <w:r w:rsidRPr="00582835">
        <w:rPr>
          <w:i/>
        </w:rPr>
        <w:t>inter alia</w:t>
      </w:r>
      <w:r>
        <w:t xml:space="preserve">, the capital costs </w:t>
      </w:r>
      <w:r w:rsidR="00F672F1">
        <w:t xml:space="preserve">over the useful life </w:t>
      </w:r>
      <w:r w:rsidR="00C74161">
        <w:t xml:space="preserve">of any equipment and facilities that may be needed to implement the smart meter plan.  66 Pa. C.S. § 2807(f)(7).  </w:t>
      </w:r>
      <w:r w:rsidR="00027AC8">
        <w:t xml:space="preserve">In the </w:t>
      </w:r>
      <w:r w:rsidR="00027AC8" w:rsidRPr="00027AC8">
        <w:rPr>
          <w:i/>
        </w:rPr>
        <w:t>Implementation Order</w:t>
      </w:r>
      <w:r w:rsidR="00027AC8">
        <w:t xml:space="preserve">, the Commission </w:t>
      </w:r>
      <w:r w:rsidR="00C82469">
        <w:t xml:space="preserve">stated </w:t>
      </w:r>
      <w:r w:rsidR="00027AC8">
        <w:t xml:space="preserve">that the </w:t>
      </w:r>
      <w:r w:rsidR="00C82469">
        <w:t xml:space="preserve">costs to be recovered by EDCs shall include a return component based on the EDC’s weighted cost of capital.  </w:t>
      </w:r>
      <w:r w:rsidR="00B5060F" w:rsidRPr="00B5060F">
        <w:rPr>
          <w:i/>
        </w:rPr>
        <w:t>Implementation Order</w:t>
      </w:r>
      <w:r w:rsidR="00B5060F">
        <w:t xml:space="preserve"> at 29.  </w:t>
      </w:r>
    </w:p>
    <w:p w:rsidR="00B5060F" w:rsidRDefault="00B5060F" w:rsidP="007608A8"/>
    <w:p w:rsidR="0099133D" w:rsidRDefault="00B5060F" w:rsidP="007608A8">
      <w:r>
        <w:t xml:space="preserve">The Settlement Petition provides that </w:t>
      </w:r>
      <w:r w:rsidR="008A4BC4">
        <w:t xml:space="preserve">the </w:t>
      </w:r>
      <w:r w:rsidR="00263EAF">
        <w:t xml:space="preserve">return on rate base component of the </w:t>
      </w:r>
      <w:r w:rsidR="008A4BC4">
        <w:t xml:space="preserve">initial Smart Meter Surcharge </w:t>
      </w:r>
      <w:r w:rsidR="00263EAF">
        <w:t xml:space="preserve">will be calculated using PECO’s actual capital structure reported in the most recent </w:t>
      </w:r>
      <w:r w:rsidR="00082599">
        <w:t xml:space="preserve">quarterly earnings report filed with the Commission.  </w:t>
      </w:r>
      <w:r w:rsidR="00083240">
        <w:t xml:space="preserve">Settlement Petition at 7.  </w:t>
      </w:r>
      <w:r w:rsidR="00907550">
        <w:t xml:space="preserve">In its Plan Petition, </w:t>
      </w:r>
      <w:r w:rsidR="00083240">
        <w:t xml:space="preserve">PECO had initially proposed a return on equity of 11.5%.  PECO Exh. ABC-2 at 1g.  </w:t>
      </w:r>
      <w:r w:rsidR="00907550">
        <w:t>The Settlement Petition provides that t</w:t>
      </w:r>
      <w:r w:rsidR="00082599">
        <w:t xml:space="preserve">he return on equity </w:t>
      </w:r>
      <w:r w:rsidR="00977919">
        <w:t xml:space="preserve">(ROE) </w:t>
      </w:r>
      <w:r w:rsidR="00082599">
        <w:t xml:space="preserve">will initially be set at 10.5% and the cost </w:t>
      </w:r>
      <w:r w:rsidR="00977919">
        <w:t xml:space="preserve">of debt and preferred stock will </w:t>
      </w:r>
      <w:r w:rsidR="00560DEE">
        <w:t xml:space="preserve">be </w:t>
      </w:r>
      <w:r w:rsidR="00977919">
        <w:t xml:space="preserve">based on actual rates presented in PECO’s quarterly earnings report to the Commission.  </w:t>
      </w:r>
      <w:r w:rsidR="003A6F81">
        <w:t>Under the Settlement Petition, t</w:t>
      </w:r>
      <w:r w:rsidR="00977919">
        <w:t xml:space="preserve">he ROE </w:t>
      </w:r>
      <w:r w:rsidR="003A6F81">
        <w:t xml:space="preserve">would </w:t>
      </w:r>
      <w:r w:rsidR="00977919">
        <w:t xml:space="preserve">be adjusted to reflect the ROE </w:t>
      </w:r>
      <w:r w:rsidR="00EF5D43">
        <w:t xml:space="preserve">allowed by the Commission in a base rate case that shall be effective within one </w:t>
      </w:r>
      <w:r w:rsidR="00EF5D43">
        <w:lastRenderedPageBreak/>
        <w:t>year of the initial Smart Meter Surcharge</w:t>
      </w:r>
      <w:r w:rsidR="00B23B6E">
        <w:rPr>
          <w:rStyle w:val="FootnoteReference"/>
        </w:rPr>
        <w:footnoteReference w:id="2"/>
      </w:r>
      <w:r w:rsidR="00EF5D43">
        <w:t xml:space="preserve">.  The ROE </w:t>
      </w:r>
      <w:r w:rsidR="003A6F81">
        <w:t xml:space="preserve">would </w:t>
      </w:r>
      <w:r w:rsidR="0014672E">
        <w:t xml:space="preserve">then </w:t>
      </w:r>
      <w:r w:rsidR="00EF5D43">
        <w:t xml:space="preserve">be adjusted back to the </w:t>
      </w:r>
      <w:r w:rsidR="00E62ABE">
        <w:t>initial implementation of the Smart Meter Surcharge</w:t>
      </w:r>
      <w:r w:rsidR="00253B78">
        <w:t>.  Settlement Petition at 7</w:t>
      </w:r>
      <w:r w:rsidR="000A6C3F">
        <w:t>.</w:t>
      </w:r>
      <w:r w:rsidR="00E62ABE">
        <w:t xml:space="preserve"> </w:t>
      </w:r>
      <w:r w:rsidR="003E691E">
        <w:t xml:space="preserve"> </w:t>
      </w:r>
    </w:p>
    <w:p w:rsidR="00CF6EA7" w:rsidRDefault="00CF6EA7" w:rsidP="00F672F1">
      <w:pPr>
        <w:keepNext/>
      </w:pPr>
    </w:p>
    <w:p w:rsidR="00524AD2" w:rsidRDefault="00524AD2" w:rsidP="00F672F1">
      <w:pPr>
        <w:keepNext/>
      </w:pPr>
      <w:r>
        <w:t xml:space="preserve">In </w:t>
      </w:r>
      <w:r w:rsidR="00251BD0">
        <w:t>its</w:t>
      </w:r>
      <w:r w:rsidR="0026406C">
        <w:t xml:space="preserve"> </w:t>
      </w:r>
      <w:r>
        <w:t xml:space="preserve">direct testimony, the OCA </w:t>
      </w:r>
      <w:r w:rsidR="00284558">
        <w:t xml:space="preserve">initially recommended, </w:t>
      </w:r>
      <w:r w:rsidR="0099091F" w:rsidRPr="0099091F">
        <w:rPr>
          <w:i/>
        </w:rPr>
        <w:t>inter alia,</w:t>
      </w:r>
      <w:r w:rsidR="00284558">
        <w:t xml:space="preserve"> </w:t>
      </w:r>
      <w:r>
        <w:t xml:space="preserve">that </w:t>
      </w:r>
      <w:r w:rsidR="00284558">
        <w:t xml:space="preserve">in situations where </w:t>
      </w:r>
      <w:r w:rsidR="00916109">
        <w:t>more than three years ha</w:t>
      </w:r>
      <w:r w:rsidR="000A6C3F">
        <w:t>ve</w:t>
      </w:r>
      <w:r w:rsidR="00916109">
        <w:t xml:space="preserve"> elapsed since the Commission has approved an equity return in a fully</w:t>
      </w:r>
      <w:r w:rsidR="00FC7209">
        <w:t>-</w:t>
      </w:r>
      <w:r w:rsidR="00916109">
        <w:t xml:space="preserve">litigated rate </w:t>
      </w:r>
      <w:r w:rsidR="00DD5BDE">
        <w:t>proceeding,</w:t>
      </w:r>
      <w:r w:rsidR="00916109">
        <w:t xml:space="preserve"> the equity return </w:t>
      </w:r>
      <w:r w:rsidR="00994C49">
        <w:t xml:space="preserve">used for determining the </w:t>
      </w:r>
      <w:r w:rsidR="000A6C3F">
        <w:t>Smart Meter Cost Recovery Charge (</w:t>
      </w:r>
      <w:r w:rsidR="00994C49">
        <w:t>SMCRC</w:t>
      </w:r>
      <w:r w:rsidR="000A6C3F">
        <w:t>)</w:t>
      </w:r>
      <w:r w:rsidR="00994C49">
        <w:t xml:space="preserve"> </w:t>
      </w:r>
      <w:r w:rsidR="00DD5BDE">
        <w:t xml:space="preserve">should be based on the most recent “Report on the Quarterly Earnings of Jurisdictional Utilities” (Quarterly Earnings Report) prepared by the Commission’s </w:t>
      </w:r>
      <w:r w:rsidR="009E2BA9">
        <w:t>B</w:t>
      </w:r>
      <w:r w:rsidR="00DD5BDE">
        <w:t>ureau o</w:t>
      </w:r>
      <w:r w:rsidR="009E2BA9">
        <w:t>f</w:t>
      </w:r>
      <w:r w:rsidR="00DD5BDE">
        <w:t xml:space="preserve"> Fixed Utility Services</w:t>
      </w:r>
      <w:r w:rsidR="00E75C4E">
        <w:t xml:space="preserve"> (FUS)</w:t>
      </w:r>
      <w:r w:rsidR="00DD5BDE">
        <w:t xml:space="preserve">.  </w:t>
      </w:r>
      <w:r w:rsidR="00225BF1">
        <w:t xml:space="preserve">OCA St. No. 2 at 5.  </w:t>
      </w:r>
      <w:r w:rsidR="00DD5BDE">
        <w:t xml:space="preserve">The </w:t>
      </w:r>
      <w:r w:rsidR="009E2BA9">
        <w:t>OCA noted that i</w:t>
      </w:r>
      <w:r w:rsidR="000A6C3F">
        <w:t>t</w:t>
      </w:r>
      <w:r w:rsidR="009E2BA9">
        <w:t xml:space="preserve"> has been almost twenty years </w:t>
      </w:r>
      <w:r w:rsidR="00225BF1">
        <w:t xml:space="preserve">since PECO’s last electric base rate case.  </w:t>
      </w:r>
      <w:r w:rsidR="0099091F" w:rsidRPr="0099091F">
        <w:rPr>
          <w:i/>
        </w:rPr>
        <w:t>Id</w:t>
      </w:r>
      <w:r w:rsidR="00225BF1">
        <w:t xml:space="preserve">. at 7. </w:t>
      </w:r>
      <w:r w:rsidR="00DD5BDE">
        <w:t xml:space="preserve"> </w:t>
      </w:r>
      <w:r w:rsidR="00151A0A">
        <w:t>The OCA</w:t>
      </w:r>
      <w:r w:rsidR="00FB12FD">
        <w:t xml:space="preserve"> and </w:t>
      </w:r>
      <w:r w:rsidR="00FC7209">
        <w:t xml:space="preserve">the </w:t>
      </w:r>
      <w:r w:rsidR="00FB12FD">
        <w:t xml:space="preserve">OTS </w:t>
      </w:r>
      <w:r w:rsidR="00151A0A">
        <w:t xml:space="preserve">reported that </w:t>
      </w:r>
      <w:r w:rsidR="00E75C4E">
        <w:t>after the Commission approved the use of Distribution System Improvement Charges (DS</w:t>
      </w:r>
      <w:r w:rsidR="00776F24">
        <w:t>I</w:t>
      </w:r>
      <w:r w:rsidR="00E75C4E">
        <w:t xml:space="preserve">Cs) by water utilities, FUS began developing and publishing a return on equity explicitly for use in determining </w:t>
      </w:r>
      <w:r w:rsidR="00994C49">
        <w:t xml:space="preserve">DSIC returns. </w:t>
      </w:r>
      <w:r w:rsidR="00E75C4E">
        <w:t xml:space="preserve"> </w:t>
      </w:r>
      <w:r w:rsidR="00FB12FD">
        <w:t>OCA Exh. No. 1 at 6</w:t>
      </w:r>
      <w:r w:rsidR="000A6C3F">
        <w:t>;</w:t>
      </w:r>
      <w:r w:rsidR="00FB12FD">
        <w:t xml:space="preserve">  OTS St. No. 1 at 14.  </w:t>
      </w:r>
      <w:r w:rsidR="00994C49">
        <w:t xml:space="preserve">The OCA recommended that the Commission direct FUS </w:t>
      </w:r>
      <w:r w:rsidR="000A6C3F">
        <w:t xml:space="preserve">to </w:t>
      </w:r>
      <w:r w:rsidR="00A20B3B">
        <w:t xml:space="preserve">begin publishing a return on equity specifically applicable for SMCRC.  </w:t>
      </w:r>
      <w:r w:rsidR="00FB12FD">
        <w:t xml:space="preserve">OCA St. No. 1 at </w:t>
      </w:r>
      <w:r w:rsidR="00A20B3B">
        <w:t xml:space="preserve">6. </w:t>
      </w:r>
      <w:r w:rsidR="00FB12FD">
        <w:t xml:space="preserve"> The OTS also recommended </w:t>
      </w:r>
      <w:r w:rsidR="00B906AC">
        <w:t xml:space="preserve">using </w:t>
      </w:r>
      <w:r w:rsidR="001338D1">
        <w:t xml:space="preserve">a rate of return from </w:t>
      </w:r>
      <w:r w:rsidR="00B906AC">
        <w:t>the FUS Quarterly Earnings Report</w:t>
      </w:r>
      <w:r w:rsidR="001338D1">
        <w:t xml:space="preserve"> which is based on the Commission’s established barometer group.</w:t>
      </w:r>
      <w:r w:rsidR="00B906AC">
        <w:t xml:space="preserve">  OTS St. No. 1 at 14. </w:t>
      </w:r>
    </w:p>
    <w:p w:rsidR="004668E6" w:rsidRDefault="004668E6" w:rsidP="00F672F1">
      <w:pPr>
        <w:keepNext/>
      </w:pPr>
    </w:p>
    <w:p w:rsidR="004668E6" w:rsidRDefault="00387314" w:rsidP="000142C1">
      <w:r w:rsidRPr="00387314">
        <w:rPr>
          <w:rFonts w:eastAsiaTheme="majorEastAsia"/>
        </w:rPr>
        <w:t xml:space="preserve">We concur with the terms of the Settlement Petition to the extent that it creates an interim return on equity </w:t>
      </w:r>
      <w:r w:rsidR="00D94D2F">
        <w:rPr>
          <w:rFonts w:eastAsiaTheme="majorEastAsia"/>
        </w:rPr>
        <w:t xml:space="preserve">of 10.5% </w:t>
      </w:r>
      <w:r w:rsidRPr="00387314">
        <w:rPr>
          <w:rFonts w:eastAsiaTheme="majorEastAsia"/>
        </w:rPr>
        <w:t xml:space="preserve">that will be replaced retroactively with the actual return approved by the Commission in PECO’s next base rate proceeding.  </w:t>
      </w:r>
      <w:r w:rsidR="00D94D2F">
        <w:t>However</w:t>
      </w:r>
      <w:r w:rsidR="001D60E0">
        <w:t xml:space="preserve">, </w:t>
      </w:r>
      <w:r w:rsidR="009B51CA">
        <w:t>i</w:t>
      </w:r>
      <w:r w:rsidR="001D60E0">
        <w:t>f at any time in the future, PECO’s last litigated case is more than three years old, the quarterly rate of return for the electric utility barometer group from the</w:t>
      </w:r>
      <w:r w:rsidR="004C3836" w:rsidRPr="004C3836">
        <w:rPr>
          <w:b/>
          <w:sz w:val="32"/>
        </w:rPr>
        <w:t xml:space="preserve"> </w:t>
      </w:r>
      <w:r w:rsidR="004C3836" w:rsidRPr="004C3836">
        <w:rPr>
          <w:szCs w:val="26"/>
        </w:rPr>
        <w:t xml:space="preserve">Report on Quarterly Earnings of Jurisdictional Utilities prepared by the Commission’s Bureau of </w:t>
      </w:r>
      <w:r w:rsidR="004C3836" w:rsidRPr="004C3836">
        <w:rPr>
          <w:szCs w:val="26"/>
        </w:rPr>
        <w:lastRenderedPageBreak/>
        <w:t>Fixed Utility Services</w:t>
      </w:r>
      <w:r w:rsidR="001D60E0">
        <w:t xml:space="preserve"> </w:t>
      </w:r>
      <w:r w:rsidR="00D4564C">
        <w:t>shall be used until a rate of return is determined in a subsequent litigated case, to be effective for the subsequent three-year period.</w:t>
      </w:r>
    </w:p>
    <w:p w:rsidR="004668E6" w:rsidRDefault="004668E6"/>
    <w:p w:rsidR="00251BD0" w:rsidRDefault="00251BD0" w:rsidP="00251BD0">
      <w:r>
        <w:t xml:space="preserve">In the event that </w:t>
      </w:r>
      <w:r w:rsidR="00ED0A2B">
        <w:t>the parties to a</w:t>
      </w:r>
      <w:r w:rsidR="00380336">
        <w:t xml:space="preserve"> </w:t>
      </w:r>
      <w:r>
        <w:t xml:space="preserve">PECO base rate case </w:t>
      </w:r>
      <w:r w:rsidR="00ED0A2B">
        <w:t>reach a proposed settlement</w:t>
      </w:r>
      <w:r>
        <w:t xml:space="preserve">, we shall direct the </w:t>
      </w:r>
      <w:r w:rsidR="00380336">
        <w:t>p</w:t>
      </w:r>
      <w:r>
        <w:t xml:space="preserve">arties to establish a ROE for the purpose </w:t>
      </w:r>
      <w:r w:rsidR="00380336">
        <w:t xml:space="preserve">of the </w:t>
      </w:r>
      <w:r>
        <w:t xml:space="preserve">SMCRC mechanism as part of that proceeding. </w:t>
      </w:r>
    </w:p>
    <w:p w:rsidR="004F5785" w:rsidRDefault="004F5785"/>
    <w:p w:rsidR="00193F8F" w:rsidRDefault="00253B78" w:rsidP="00011189">
      <w:pPr>
        <w:pStyle w:val="Heading3"/>
        <w:keepLines w:val="0"/>
      </w:pPr>
      <w:bookmarkStart w:id="22" w:name="_Toc260130902"/>
      <w:r w:rsidRPr="000B2FE9">
        <w:t xml:space="preserve">5. </w:t>
      </w:r>
      <w:r w:rsidR="000B2FE9" w:rsidRPr="000B2FE9">
        <w:tab/>
      </w:r>
      <w:r w:rsidRPr="000B2FE9">
        <w:t>Cost Allocation</w:t>
      </w:r>
      <w:bookmarkEnd w:id="22"/>
    </w:p>
    <w:p w:rsidR="003F63A3" w:rsidRPr="003F63A3" w:rsidRDefault="003F63A3" w:rsidP="003F63A3"/>
    <w:p w:rsidR="003861F1" w:rsidRDefault="00193F8F" w:rsidP="00011189">
      <w:pPr>
        <w:keepNext/>
      </w:pPr>
      <w:r>
        <w:t>PECO has proposed to aggregate the individual rate classes into three general rate groups for the purpose of allocating smart meter costs.  The “Residential” group includes Rates R, RH and OP; the “Small C&amp;I</w:t>
      </w:r>
      <w:r w:rsidR="003676F0">
        <w:t>” consists of Rate GS</w:t>
      </w:r>
      <w:r w:rsidR="005B7446">
        <w:t>;</w:t>
      </w:r>
      <w:r w:rsidR="003676F0">
        <w:t xml:space="preserve"> and “Large C&amp;I” includes Rates HT, PD and EP.  PECO Exh. ABC-3.</w:t>
      </w:r>
    </w:p>
    <w:p w:rsidR="00004279" w:rsidRDefault="00004279" w:rsidP="003861F1"/>
    <w:p w:rsidR="00AE7D65" w:rsidRDefault="00876408" w:rsidP="00101B77">
      <w:pPr>
        <w:keepNext/>
        <w:ind w:firstLine="2160"/>
        <w:rPr>
          <w:b/>
        </w:rPr>
      </w:pPr>
      <w:r w:rsidRPr="00876408">
        <w:rPr>
          <w:b/>
        </w:rPr>
        <w:t>a.</w:t>
      </w:r>
      <w:r w:rsidRPr="00876408">
        <w:rPr>
          <w:b/>
        </w:rPr>
        <w:tab/>
        <w:t>Direct Meter Costs</w:t>
      </w:r>
      <w:r>
        <w:rPr>
          <w:b/>
        </w:rPr>
        <w:t xml:space="preserve">  </w:t>
      </w:r>
    </w:p>
    <w:p w:rsidR="00AE7D65" w:rsidRDefault="00AE7D65" w:rsidP="00101B77">
      <w:pPr>
        <w:keepNext/>
        <w:ind w:firstLine="2160"/>
        <w:rPr>
          <w:b/>
        </w:rPr>
      </w:pPr>
    </w:p>
    <w:p w:rsidR="003861F1" w:rsidRDefault="00193F8F" w:rsidP="00101B77">
      <w:pPr>
        <w:keepNext/>
      </w:pPr>
      <w:r>
        <w:t xml:space="preserve">All of the </w:t>
      </w:r>
      <w:r w:rsidR="00D0161C">
        <w:t>P</w:t>
      </w:r>
      <w:r>
        <w:t>arties agree</w:t>
      </w:r>
      <w:r w:rsidR="003F63A3">
        <w:t>d</w:t>
      </w:r>
      <w:r>
        <w:t xml:space="preserve"> that the costs to procure and install the smart meters </w:t>
      </w:r>
      <w:r w:rsidR="00D0161C">
        <w:t>(</w:t>
      </w:r>
      <w:r>
        <w:t>direct meter costs</w:t>
      </w:r>
      <w:r w:rsidR="00D0161C">
        <w:t>)</w:t>
      </w:r>
      <w:r>
        <w:t xml:space="preserve"> can be identified by customer class.  PECO MB at 3.  Consequently, t</w:t>
      </w:r>
      <w:r w:rsidR="00083543" w:rsidRPr="00083543">
        <w:t xml:space="preserve">he Settlement Petition provides that the </w:t>
      </w:r>
      <w:r>
        <w:t xml:space="preserve">direct meter costs </w:t>
      </w:r>
      <w:r w:rsidR="00083543">
        <w:t xml:space="preserve">shall be directly assigned to the individual classes of service.  </w:t>
      </w:r>
      <w:r w:rsidR="00701B70">
        <w:t xml:space="preserve">Settlement Petition at 7.  </w:t>
      </w:r>
      <w:r w:rsidR="00071FE1">
        <w:t xml:space="preserve">We believe that this allocation of direct meter costs is appropriate and should be adopted. </w:t>
      </w:r>
    </w:p>
    <w:p w:rsidR="00701B70" w:rsidRPr="00BF47DB" w:rsidRDefault="00701B70" w:rsidP="00AE7D65">
      <w:pPr>
        <w:rPr>
          <w:color w:val="FF0000"/>
        </w:rPr>
      </w:pPr>
    </w:p>
    <w:p w:rsidR="00AE7D65" w:rsidRDefault="00083543" w:rsidP="007953E6">
      <w:pPr>
        <w:keepNext/>
        <w:ind w:firstLine="2160"/>
        <w:rPr>
          <w:b/>
        </w:rPr>
      </w:pPr>
      <w:r w:rsidRPr="00301995">
        <w:rPr>
          <w:rStyle w:val="Heading4Char"/>
        </w:rPr>
        <w:t>b.</w:t>
      </w:r>
      <w:r w:rsidR="00301995" w:rsidRPr="00301995">
        <w:rPr>
          <w:rStyle w:val="Heading4Char"/>
        </w:rPr>
        <w:tab/>
        <w:t>Common Costs</w:t>
      </w:r>
      <w:r w:rsidR="00301995" w:rsidRPr="00301995">
        <w:rPr>
          <w:b/>
        </w:rPr>
        <w:t xml:space="preserve"> </w:t>
      </w:r>
    </w:p>
    <w:p w:rsidR="00AE7D65" w:rsidRDefault="00AE7D65" w:rsidP="007953E6">
      <w:pPr>
        <w:keepNext/>
        <w:ind w:firstLine="2160"/>
        <w:rPr>
          <w:b/>
        </w:rPr>
      </w:pPr>
    </w:p>
    <w:p w:rsidR="00AE7D65" w:rsidRDefault="00301995" w:rsidP="007953E6">
      <w:pPr>
        <w:keepNext/>
      </w:pPr>
      <w:r w:rsidRPr="00301995">
        <w:t>The allocation of</w:t>
      </w:r>
      <w:r>
        <w:rPr>
          <w:b/>
        </w:rPr>
        <w:t xml:space="preserve"> </w:t>
      </w:r>
      <w:r w:rsidRPr="00770B78">
        <w:rPr>
          <w:szCs w:val="26"/>
        </w:rPr>
        <w:t xml:space="preserve">the costs to implement the Plan, other than the </w:t>
      </w:r>
      <w:r>
        <w:rPr>
          <w:szCs w:val="26"/>
        </w:rPr>
        <w:t>direct</w:t>
      </w:r>
      <w:r w:rsidRPr="00770B78">
        <w:rPr>
          <w:szCs w:val="26"/>
        </w:rPr>
        <w:t xml:space="preserve"> meter</w:t>
      </w:r>
      <w:r>
        <w:rPr>
          <w:szCs w:val="26"/>
        </w:rPr>
        <w:t xml:space="preserve"> costs</w:t>
      </w:r>
      <w:r w:rsidR="00267A9B">
        <w:rPr>
          <w:szCs w:val="26"/>
        </w:rPr>
        <w:t>,</w:t>
      </w:r>
      <w:r>
        <w:rPr>
          <w:szCs w:val="26"/>
        </w:rPr>
        <w:t xml:space="preserve"> </w:t>
      </w:r>
      <w:r w:rsidR="00267A9B">
        <w:rPr>
          <w:szCs w:val="26"/>
        </w:rPr>
        <w:t>w</w:t>
      </w:r>
      <w:r w:rsidR="00AE7D65">
        <w:rPr>
          <w:szCs w:val="26"/>
        </w:rPr>
        <w:t>as</w:t>
      </w:r>
      <w:r w:rsidR="00267A9B">
        <w:rPr>
          <w:szCs w:val="26"/>
        </w:rPr>
        <w:t xml:space="preserve"> not resolved in the Settlement Petition.  </w:t>
      </w:r>
      <w:r w:rsidR="00AE7D65">
        <w:t xml:space="preserve">This issue will be addressed </w:t>
      </w:r>
      <w:r w:rsidR="00AE7D65" w:rsidRPr="00AE7D65">
        <w:rPr>
          <w:i/>
        </w:rPr>
        <w:t>infra</w:t>
      </w:r>
      <w:r w:rsidR="00AE7D65">
        <w:t xml:space="preserve">, as part of our discussion of the </w:t>
      </w:r>
      <w:r w:rsidR="00211C4A">
        <w:t>unresolved issues.</w:t>
      </w:r>
    </w:p>
    <w:p w:rsidR="00701B70" w:rsidRDefault="00701B70" w:rsidP="00AE7D65"/>
    <w:p w:rsidR="00267A9B" w:rsidRDefault="00663B1C" w:rsidP="00572656">
      <w:pPr>
        <w:pStyle w:val="Heading3"/>
        <w:keepLines w:val="0"/>
      </w:pPr>
      <w:bookmarkStart w:id="23" w:name="_Toc260130903"/>
      <w:r>
        <w:lastRenderedPageBreak/>
        <w:t>6.</w:t>
      </w:r>
      <w:r>
        <w:tab/>
        <w:t xml:space="preserve">Recovery of Automated Meter </w:t>
      </w:r>
      <w:r w:rsidR="006470E0">
        <w:t>R</w:t>
      </w:r>
      <w:r>
        <w:t>eading (AMR) Investment</w:t>
      </w:r>
      <w:bookmarkEnd w:id="23"/>
    </w:p>
    <w:p w:rsidR="00663B1C" w:rsidRDefault="00663B1C" w:rsidP="00572656">
      <w:pPr>
        <w:keepNext/>
      </w:pPr>
    </w:p>
    <w:p w:rsidR="0091230E" w:rsidRDefault="0091230E" w:rsidP="00572656">
      <w:pPr>
        <w:keepNext/>
      </w:pPr>
      <w:r>
        <w:t xml:space="preserve">To the extent that PECO deploys </w:t>
      </w:r>
      <w:r w:rsidR="005A119E">
        <w:t xml:space="preserve">smart meters sooner than required to replace failures of its existing AMR </w:t>
      </w:r>
      <w:r w:rsidR="00ED4104">
        <w:t xml:space="preserve">meters </w:t>
      </w:r>
      <w:r w:rsidR="005A119E">
        <w:t xml:space="preserve">and meter communication modules, it will incur accelerated depreciation on these existing meters and modules.  </w:t>
      </w:r>
      <w:r w:rsidR="00ED4104">
        <w:t xml:space="preserve">The total amount of accelerated depreciation will depend on the actual timeline </w:t>
      </w:r>
      <w:r w:rsidR="00B0004F">
        <w:t xml:space="preserve">for universal deployment of the new smart meters. </w:t>
      </w:r>
      <w:r w:rsidR="005A119E">
        <w:t xml:space="preserve">PECO St. No. 4 at 8. </w:t>
      </w:r>
    </w:p>
    <w:p w:rsidR="00B0004F" w:rsidRDefault="00B0004F" w:rsidP="00663B1C"/>
    <w:p w:rsidR="00FF4FC3" w:rsidRDefault="00B0004F" w:rsidP="00663B1C">
      <w:r>
        <w:t xml:space="preserve">The Settlement Petition </w:t>
      </w:r>
      <w:r w:rsidR="00134F14">
        <w:t>provide</w:t>
      </w:r>
      <w:r w:rsidR="00283C5D">
        <w:t>s</w:t>
      </w:r>
      <w:r w:rsidR="00385B4B">
        <w:t xml:space="preserve">, </w:t>
      </w:r>
      <w:r w:rsidR="00385B4B" w:rsidRPr="00385B4B">
        <w:rPr>
          <w:i/>
        </w:rPr>
        <w:t>inter alia</w:t>
      </w:r>
      <w:r w:rsidR="00385B4B">
        <w:t xml:space="preserve">, </w:t>
      </w:r>
      <w:r w:rsidR="00134F14">
        <w:t>that PECO’s recovery of its AMR investment as of January 1, 2011</w:t>
      </w:r>
      <w:r w:rsidR="00FB05A9">
        <w:t>,</w:t>
      </w:r>
      <w:r w:rsidR="00134F14">
        <w:t xml:space="preserve"> and any subsequent additional transition investme</w:t>
      </w:r>
      <w:r w:rsidR="00233463">
        <w:t>n</w:t>
      </w:r>
      <w:r w:rsidR="00134F14">
        <w:t xml:space="preserve">t </w:t>
      </w:r>
      <w:r w:rsidR="00233463">
        <w:t xml:space="preserve">shall be recovered in equal installments in the Smart Meter surcharge over a period ending December 31, 2020.  </w:t>
      </w:r>
      <w:r w:rsidR="00385B4B">
        <w:t>Settlement Petition at 8-9.</w:t>
      </w:r>
      <w:r w:rsidR="00FF4FC3">
        <w:t xml:space="preserve">  </w:t>
      </w:r>
    </w:p>
    <w:p w:rsidR="00FF4FC3" w:rsidRDefault="00FF4FC3" w:rsidP="00663B1C"/>
    <w:p w:rsidR="00663B1C" w:rsidRDefault="00FF4FC3" w:rsidP="00663B1C">
      <w:r>
        <w:t xml:space="preserve">We concur with the ALJ that this is a reasonable way </w:t>
      </w:r>
      <w:r w:rsidR="00333997">
        <w:t xml:space="preserve">for PECO to recover its investment.  </w:t>
      </w:r>
      <w:r w:rsidR="009357DE">
        <w:t>I.D.</w:t>
      </w:r>
      <w:r w:rsidR="00333997">
        <w:t xml:space="preserve"> at 23. </w:t>
      </w:r>
    </w:p>
    <w:p w:rsidR="00385B4B" w:rsidRDefault="00385B4B" w:rsidP="00663B1C"/>
    <w:p w:rsidR="00385B4B" w:rsidRDefault="00385B4B" w:rsidP="00101B77">
      <w:pPr>
        <w:pStyle w:val="Heading3"/>
        <w:keepLines w:val="0"/>
      </w:pPr>
      <w:bookmarkStart w:id="24" w:name="_Toc260130904"/>
      <w:r>
        <w:t>7.</w:t>
      </w:r>
      <w:r>
        <w:tab/>
        <w:t>Cost Recovery</w:t>
      </w:r>
      <w:bookmarkEnd w:id="24"/>
    </w:p>
    <w:p w:rsidR="00385B4B" w:rsidRDefault="00385B4B" w:rsidP="00101B77">
      <w:pPr>
        <w:keepNext/>
      </w:pPr>
    </w:p>
    <w:p w:rsidR="00663B1C" w:rsidRDefault="002B348D" w:rsidP="00101B77">
      <w:pPr>
        <w:keepNext/>
      </w:pPr>
      <w:r>
        <w:t xml:space="preserve">PECO initially proposed to </w:t>
      </w:r>
      <w:r w:rsidR="00387266">
        <w:t xml:space="preserve">recover </w:t>
      </w:r>
      <w:r>
        <w:t xml:space="preserve">the charge </w:t>
      </w:r>
      <w:r w:rsidR="002A6CF1">
        <w:t xml:space="preserve">resulting from the </w:t>
      </w:r>
      <w:r>
        <w:t xml:space="preserve">Smart Meter Cost Recovery </w:t>
      </w:r>
      <w:r w:rsidR="00702502">
        <w:t>Surcharge (</w:t>
      </w:r>
      <w:r w:rsidR="007B4DB9">
        <w:t>SMCR</w:t>
      </w:r>
      <w:r w:rsidR="00702502">
        <w:t>S</w:t>
      </w:r>
      <w:r w:rsidR="007B4DB9">
        <w:t xml:space="preserve">) </w:t>
      </w:r>
      <w:r w:rsidR="002A6CF1">
        <w:t xml:space="preserve">in the customer charge component of each customer’s bill.  </w:t>
      </w:r>
      <w:r w:rsidR="00B158A4">
        <w:t>Consequently, t</w:t>
      </w:r>
      <w:r w:rsidR="002A6CF1">
        <w:t>he charges recovered from each customer class would not vary</w:t>
      </w:r>
      <w:r w:rsidR="00572656">
        <w:t xml:space="preserve"> based on</w:t>
      </w:r>
      <w:r w:rsidR="002A6CF1">
        <w:t xml:space="preserve"> individual customers</w:t>
      </w:r>
      <w:r w:rsidR="00572656">
        <w:t>’</w:t>
      </w:r>
      <w:r w:rsidR="002A6CF1">
        <w:t xml:space="preserve"> usage.  PECO aver</w:t>
      </w:r>
      <w:r w:rsidR="003F63A3">
        <w:t>red</w:t>
      </w:r>
      <w:r w:rsidR="002A6CF1">
        <w:t xml:space="preserve"> that its proposal is consistent with the way metering costs are treated fo</w:t>
      </w:r>
      <w:r w:rsidR="00B158A4">
        <w:t xml:space="preserve">r </w:t>
      </w:r>
      <w:r w:rsidR="002A6CF1">
        <w:t xml:space="preserve">ratemaking purposes.  </w:t>
      </w:r>
      <w:r w:rsidR="00B158A4">
        <w:t>PECO St. No. 5 at 15.</w:t>
      </w:r>
    </w:p>
    <w:p w:rsidR="00B158A4" w:rsidRDefault="00B158A4" w:rsidP="00663B1C"/>
    <w:p w:rsidR="00B158A4" w:rsidRDefault="00B158A4" w:rsidP="00663B1C">
      <w:r>
        <w:t xml:space="preserve">The OCA recommended that </w:t>
      </w:r>
      <w:r w:rsidR="003E2FBA">
        <w:t xml:space="preserve">the </w:t>
      </w:r>
      <w:r w:rsidR="007B4DB9">
        <w:t>SMCR</w:t>
      </w:r>
      <w:r w:rsidR="00702502">
        <w:t>S</w:t>
      </w:r>
      <w:r w:rsidR="007B4DB9">
        <w:t xml:space="preserve"> charges</w:t>
      </w:r>
      <w:r w:rsidR="003E2FBA">
        <w:t xml:space="preserve"> allocated to the residential class should be </w:t>
      </w:r>
      <w:r w:rsidR="00814753">
        <w:t xml:space="preserve">either: </w:t>
      </w:r>
      <w:r w:rsidR="00FB05A9">
        <w:t>(</w:t>
      </w:r>
      <w:r w:rsidR="00814753">
        <w:t xml:space="preserve">1) </w:t>
      </w:r>
      <w:r w:rsidR="003E2FBA">
        <w:t>allocated on a per kWh basis</w:t>
      </w:r>
      <w:r w:rsidR="009033AC">
        <w:t>,</w:t>
      </w:r>
      <w:r w:rsidR="003E2FBA">
        <w:t xml:space="preserve"> or </w:t>
      </w:r>
      <w:r w:rsidR="00A5726A">
        <w:t>(</w:t>
      </w:r>
      <w:r w:rsidR="003E2FBA">
        <w:t>2)</w:t>
      </w:r>
      <w:r w:rsidR="00A5726A">
        <w:t xml:space="preserve"> allocated such that</w:t>
      </w:r>
      <w:r w:rsidR="003E2FBA">
        <w:t xml:space="preserve"> the meter costs </w:t>
      </w:r>
      <w:r w:rsidR="00814753">
        <w:t xml:space="preserve">be allocated on a customer-charge basis and all indirect costs be </w:t>
      </w:r>
      <w:r w:rsidR="00814753">
        <w:lastRenderedPageBreak/>
        <w:t>allocated on a per kWh basis.  In support of its per kWh allocation, the OCA argued that residential custo</w:t>
      </w:r>
      <w:r w:rsidR="00BF4A21">
        <w:t xml:space="preserve">mers with greater usage stand to realize greater benefits from the smart meter capabilities.  OCA St. No. 2 at 13. </w:t>
      </w:r>
    </w:p>
    <w:p w:rsidR="00B158A4" w:rsidRDefault="00B158A4" w:rsidP="00663B1C"/>
    <w:p w:rsidR="00B158A4" w:rsidRDefault="00BA7A36" w:rsidP="00663B1C">
      <w:r>
        <w:t xml:space="preserve">The Settlement Petition provides that </w:t>
      </w:r>
      <w:r w:rsidR="007B4DB9">
        <w:t>SMCR</w:t>
      </w:r>
      <w:r w:rsidR="00702502">
        <w:t>S</w:t>
      </w:r>
      <w:r w:rsidR="007B4DB9">
        <w:t xml:space="preserve"> charges </w:t>
      </w:r>
      <w:r>
        <w:t xml:space="preserve">allocated to the residential class be recovered on a per kWh basis </w:t>
      </w:r>
      <w:r w:rsidR="00AE5F3D">
        <w:t xml:space="preserve">and the costs for all commercial and industrial customers be recovered through a customer charge.  Settlement Petition at 8.  </w:t>
      </w:r>
    </w:p>
    <w:p w:rsidR="00572656" w:rsidRDefault="00572656" w:rsidP="00663B1C"/>
    <w:p w:rsidR="00333997" w:rsidRDefault="00363B2F" w:rsidP="00663B1C">
      <w:r>
        <w:t xml:space="preserve">The OSBA </w:t>
      </w:r>
      <w:r w:rsidR="00E75EA2">
        <w:t xml:space="preserve">supports the cost allocation and cost recovery methodologies presented in the Settlement Petition.  However, the OSBA’s support of the recovery of all </w:t>
      </w:r>
      <w:r w:rsidR="00702502">
        <w:t>SMCRS</w:t>
      </w:r>
      <w:r w:rsidR="00E75EA2">
        <w:t xml:space="preserve"> </w:t>
      </w:r>
      <w:r w:rsidR="00702502">
        <w:t>charges</w:t>
      </w:r>
      <w:r w:rsidR="00E75EA2">
        <w:t xml:space="preserve"> </w:t>
      </w:r>
      <w:r w:rsidR="0092588F">
        <w:t xml:space="preserve">to small commercial and industrial customers </w:t>
      </w:r>
      <w:r w:rsidR="00E75EA2">
        <w:t>on a customer-charge basis is dependent on the allocation o</w:t>
      </w:r>
      <w:r w:rsidR="00EF4E8E">
        <w:t>f</w:t>
      </w:r>
      <w:r w:rsidR="00E75EA2">
        <w:t xml:space="preserve"> common costs.  </w:t>
      </w:r>
      <w:r w:rsidR="00EF4E8E">
        <w:t xml:space="preserve">If the Commission were to adopt the OCA’s recommendation to allocate common costs among the rate classes on a per kWh basis, then the OSBA recommends that only the direct meter costs be allocated to small </w:t>
      </w:r>
      <w:r w:rsidR="00E631D8">
        <w:t xml:space="preserve">commercial and industrial customers through a customer charge and common costs be allocated on a per kWh basis.  OSBA </w:t>
      </w:r>
      <w:r w:rsidR="003F63A3">
        <w:t>R.</w:t>
      </w:r>
      <w:r w:rsidR="00E631D8">
        <w:t>Ex</w:t>
      </w:r>
      <w:r w:rsidR="00D0161C">
        <w:t>c</w:t>
      </w:r>
      <w:r w:rsidR="00E631D8">
        <w:t>. at 15-18.</w:t>
      </w:r>
      <w:r w:rsidR="00702502">
        <w:t xml:space="preserve">   </w:t>
      </w:r>
    </w:p>
    <w:p w:rsidR="00333997" w:rsidRDefault="00333997" w:rsidP="00663B1C"/>
    <w:p w:rsidR="00AE5F3D" w:rsidRDefault="00333997" w:rsidP="00663B1C">
      <w:r>
        <w:t xml:space="preserve">We </w:t>
      </w:r>
      <w:r w:rsidR="0092588F">
        <w:t>believe that the modifications to the cost recovery methodology contained in the Settlement Petition are reasona</w:t>
      </w:r>
      <w:r w:rsidR="00611085">
        <w:t>ble and should be adopted.</w:t>
      </w:r>
      <w:r>
        <w:t xml:space="preserve"> </w:t>
      </w:r>
      <w:r w:rsidR="00611085">
        <w:t xml:space="preserve"> </w:t>
      </w:r>
      <w:r w:rsidR="0057241B">
        <w:t xml:space="preserve">Since the OSBA’s position on the allocation of </w:t>
      </w:r>
      <w:r w:rsidR="00F16310">
        <w:t xml:space="preserve">costs to small commercial and industrial </w:t>
      </w:r>
      <w:r w:rsidR="00611085">
        <w:t xml:space="preserve">customers </w:t>
      </w:r>
      <w:r w:rsidR="00F16310">
        <w:t xml:space="preserve">is dependent </w:t>
      </w:r>
      <w:r w:rsidR="00611085">
        <w:t xml:space="preserve">on </w:t>
      </w:r>
      <w:r w:rsidR="00F16310">
        <w:t>the resolution of the allocation of common costs among the three rate classes, t</w:t>
      </w:r>
      <w:r w:rsidR="00702502">
        <w:t xml:space="preserve">his issue will be addressed </w:t>
      </w:r>
      <w:r w:rsidR="00702502" w:rsidRPr="00AE7D65">
        <w:rPr>
          <w:i/>
        </w:rPr>
        <w:t>infra</w:t>
      </w:r>
      <w:r w:rsidR="00702502">
        <w:t xml:space="preserve">, </w:t>
      </w:r>
      <w:r w:rsidR="00AE7D65">
        <w:t xml:space="preserve">as part of our discussion of the </w:t>
      </w:r>
      <w:r w:rsidR="007C414D">
        <w:t xml:space="preserve">unresolved issues. </w:t>
      </w:r>
    </w:p>
    <w:p w:rsidR="00E631D8" w:rsidRDefault="00E631D8" w:rsidP="00663B1C"/>
    <w:p w:rsidR="00BA36AD" w:rsidRDefault="009E32FC" w:rsidP="009E32FC">
      <w:pPr>
        <w:pStyle w:val="Heading3"/>
      </w:pPr>
      <w:bookmarkStart w:id="25" w:name="_Toc260130905"/>
      <w:r>
        <w:t>8.</w:t>
      </w:r>
      <w:r>
        <w:tab/>
        <w:t xml:space="preserve"> </w:t>
      </w:r>
      <w:r w:rsidR="00755770">
        <w:t xml:space="preserve">SMCRS </w:t>
      </w:r>
      <w:r>
        <w:t>Filing Schedule</w:t>
      </w:r>
      <w:r w:rsidR="00755770">
        <w:t>, Reconciliation and Adjustment</w:t>
      </w:r>
      <w:bookmarkEnd w:id="25"/>
    </w:p>
    <w:p w:rsidR="00755770" w:rsidRDefault="00755770" w:rsidP="00755770"/>
    <w:p w:rsidR="00311EB6" w:rsidRDefault="00573391" w:rsidP="00755770">
      <w:r>
        <w:t xml:space="preserve">In its direct testimony, the OTS proposed, </w:t>
      </w:r>
      <w:r w:rsidRPr="00573391">
        <w:rPr>
          <w:i/>
        </w:rPr>
        <w:t>inter alia</w:t>
      </w:r>
      <w:r>
        <w:t xml:space="preserve">, a uniform filing and reconciliation schedule for all EDCs </w:t>
      </w:r>
      <w:r w:rsidR="007C3E36">
        <w:t xml:space="preserve">implementing smart meter surcharges and that </w:t>
      </w:r>
      <w:r w:rsidR="007C3E36">
        <w:lastRenderedPageBreak/>
        <w:t xml:space="preserve">quarterly filings and adjustments be made in addition to the annual process proposed by PECO. </w:t>
      </w:r>
      <w:r w:rsidR="00311EB6">
        <w:t>OTS St. No. 1 at 6-9.</w:t>
      </w:r>
    </w:p>
    <w:p w:rsidR="00311EB6" w:rsidRDefault="00311EB6" w:rsidP="00755770"/>
    <w:p w:rsidR="009E32FC" w:rsidRDefault="00311EB6" w:rsidP="009E32FC">
      <w:r>
        <w:t>Consistent with the OTS recommendation</w:t>
      </w:r>
      <w:r w:rsidR="00AF1644">
        <w:t>,</w:t>
      </w:r>
      <w:r>
        <w:t xml:space="preserve"> the Settlement Petition provides </w:t>
      </w:r>
      <w:r w:rsidR="000916C2">
        <w:t xml:space="preserve">that PECO will make a filing each August 1 to reconcile the costs to be recovered through the Smart Meter Surcharge for the 12-month period ending June 30.  Any over/under recovery </w:t>
      </w:r>
      <w:r w:rsidR="004200C4">
        <w:t>will be included in the SMCRS effective January 1</w:t>
      </w:r>
      <w:r w:rsidR="00611085">
        <w:t xml:space="preserve"> </w:t>
      </w:r>
      <w:r w:rsidR="004200C4">
        <w:t xml:space="preserve">of the following year. Interest on both over and under recoveries will be at the rate of six percent. </w:t>
      </w:r>
      <w:r w:rsidR="00AF1644">
        <w:t xml:space="preserve"> The Settlement Petition also provides for quarterly filings effective January 1, April 1, July 1, and October 1.  A quarterly adjustment will be implemented if a quarterly filing indicates the surcharge would increase or decrease by more t</w:t>
      </w:r>
      <w:r w:rsidR="00F16310">
        <w:t>han five percent.   Settlement P</w:t>
      </w:r>
      <w:r w:rsidR="00AF1644">
        <w:t>etition at 8.</w:t>
      </w:r>
      <w:r w:rsidR="004200C4">
        <w:t xml:space="preserve">  </w:t>
      </w:r>
      <w:r w:rsidR="000916C2">
        <w:t xml:space="preserve"> </w:t>
      </w:r>
    </w:p>
    <w:p w:rsidR="00C01220" w:rsidRDefault="00C01220" w:rsidP="009E32FC"/>
    <w:p w:rsidR="00AE4803" w:rsidRDefault="00AE4803" w:rsidP="009E32FC">
      <w:r>
        <w:t>We support the adoption of the OTS</w:t>
      </w:r>
      <w:r w:rsidR="00611085">
        <w:t>’s</w:t>
      </w:r>
      <w:r>
        <w:t xml:space="preserve"> recommendation for a uniform procedural schedule of all EDCs implementing a </w:t>
      </w:r>
      <w:r w:rsidR="005C2F5F">
        <w:t>SMCRC</w:t>
      </w:r>
      <w:r w:rsidR="00611085">
        <w:t>S</w:t>
      </w:r>
      <w:r w:rsidR="005C2F5F">
        <w:t xml:space="preserve"> and the imposition of interest at 6% for over and </w:t>
      </w:r>
      <w:r w:rsidR="005D4A93">
        <w:t>under collections</w:t>
      </w:r>
      <w:r>
        <w:t xml:space="preserve">.  </w:t>
      </w:r>
      <w:r w:rsidR="00DF51D1">
        <w:t>While we may</w:t>
      </w:r>
      <w:r>
        <w:t xml:space="preserve"> not have required PECO to submit quarterly filings</w:t>
      </w:r>
      <w:r w:rsidR="00DF51D1">
        <w:t xml:space="preserve">, we will not disturb this component of the Settlement because </w:t>
      </w:r>
      <w:r w:rsidR="008B49EB">
        <w:t xml:space="preserve">PECO will be tracking </w:t>
      </w:r>
      <w:r w:rsidR="00992CEB">
        <w:t xml:space="preserve">the revenue and costs associated with the Surcharge anyway </w:t>
      </w:r>
      <w:r w:rsidR="00DF51D1">
        <w:t xml:space="preserve">and </w:t>
      </w:r>
      <w:r w:rsidR="00992CEB">
        <w:t xml:space="preserve">it </w:t>
      </w:r>
      <w:r w:rsidR="00DF51D1">
        <w:t xml:space="preserve">will enable the parties </w:t>
      </w:r>
      <w:r w:rsidR="008B49EB">
        <w:t xml:space="preserve">to assess the need for potential interim adjustments to the </w:t>
      </w:r>
      <w:r w:rsidR="005D4A93">
        <w:t>SMCRC</w:t>
      </w:r>
      <w:r w:rsidR="00611085">
        <w:t>S</w:t>
      </w:r>
      <w:r w:rsidR="008B49EB">
        <w:t xml:space="preserve">.  </w:t>
      </w:r>
    </w:p>
    <w:p w:rsidR="008B49EB" w:rsidRDefault="008B49EB" w:rsidP="009E32FC"/>
    <w:p w:rsidR="009E32FC" w:rsidRDefault="009E32FC" w:rsidP="009E32FC">
      <w:pPr>
        <w:pStyle w:val="Heading3"/>
        <w:spacing w:line="240" w:lineRule="auto"/>
        <w:ind w:left="2160" w:hanging="720"/>
      </w:pPr>
      <w:bookmarkStart w:id="26" w:name="_Toc260130906"/>
      <w:r>
        <w:t xml:space="preserve">9. </w:t>
      </w:r>
      <w:r>
        <w:tab/>
        <w:t>American Recovery and Reinvestment Act (ARRA) Compliance and Taxation</w:t>
      </w:r>
      <w:bookmarkEnd w:id="26"/>
    </w:p>
    <w:p w:rsidR="009E32FC" w:rsidRDefault="009E32FC" w:rsidP="009E32FC"/>
    <w:p w:rsidR="009E32FC" w:rsidRDefault="000179FC" w:rsidP="009E32FC">
      <w:pPr>
        <w:rPr>
          <w:szCs w:val="26"/>
        </w:rPr>
      </w:pPr>
      <w:r>
        <w:t xml:space="preserve">As discussed, </w:t>
      </w:r>
      <w:r w:rsidRPr="000179FC">
        <w:rPr>
          <w:i/>
        </w:rPr>
        <w:t>supra,</w:t>
      </w:r>
      <w:r>
        <w:t xml:space="preserve"> </w:t>
      </w:r>
      <w:r>
        <w:rPr>
          <w:szCs w:val="26"/>
        </w:rPr>
        <w:t xml:space="preserve">PECO filed an application for assistance with the U.S. Department of Energy (DOE) under its Smart Grid Investment Grant Program for $200 million in matching federal funds.  By letter dated October 27, 2009, the DOE notified PECO that its application had been selected for award negotiations.  </w:t>
      </w:r>
    </w:p>
    <w:p w:rsidR="000179FC" w:rsidRDefault="000179FC" w:rsidP="009E32FC">
      <w:pPr>
        <w:rPr>
          <w:szCs w:val="26"/>
        </w:rPr>
      </w:pPr>
    </w:p>
    <w:p w:rsidR="000179FC" w:rsidRDefault="000179FC" w:rsidP="009E32FC">
      <w:r>
        <w:lastRenderedPageBreak/>
        <w:t xml:space="preserve">Under the Settlement Petition, PECO may seek recovery of the reasonable costs of securing </w:t>
      </w:r>
      <w:r w:rsidR="00D24A23">
        <w:t xml:space="preserve">the ARRA funding and the compliance and reporting costs related to the </w:t>
      </w:r>
      <w:r w:rsidR="00CE4287">
        <w:t xml:space="preserve">federal </w:t>
      </w:r>
      <w:r w:rsidR="00D24A23">
        <w:t xml:space="preserve">grant as part of its SMCRS filing. </w:t>
      </w:r>
      <w:r w:rsidR="0010022E">
        <w:t xml:space="preserve"> Settlement Petition at 9.</w:t>
      </w:r>
    </w:p>
    <w:p w:rsidR="00CE4287" w:rsidRDefault="00CE4287" w:rsidP="009E32FC"/>
    <w:p w:rsidR="009B4DFA" w:rsidRDefault="007C3590" w:rsidP="009E32FC">
      <w:r>
        <w:t xml:space="preserve">In its Plan Petition, PECO </w:t>
      </w:r>
      <w:r w:rsidR="009B4DFA">
        <w:t>considered any funds it received from an ARRA grant as taxable</w:t>
      </w:r>
      <w:r w:rsidR="004F2A86">
        <w:t xml:space="preserve"> income</w:t>
      </w:r>
      <w:r w:rsidR="009B4DFA">
        <w:t>. PECO St. No. 5 at 1</w:t>
      </w:r>
      <w:r w:rsidR="00027ECA">
        <w:t>3</w:t>
      </w:r>
      <w:r w:rsidR="009B4DFA">
        <w:t xml:space="preserve">, PECO Exh. ABC-2 at 1f.  </w:t>
      </w:r>
      <w:r w:rsidR="00D00904">
        <w:t xml:space="preserve"> In response to interrogatories from the OCA, PECO </w:t>
      </w:r>
      <w:r w:rsidR="00FD2991">
        <w:t>stated that</w:t>
      </w:r>
      <w:r w:rsidR="00D00904">
        <w:t xml:space="preserve"> there is no direct guidance from which to conclude that the ARRA grants are taxable income. </w:t>
      </w:r>
      <w:r w:rsidR="00E77FDC">
        <w:t xml:space="preserve"> OCA St. No. 2 at 8.</w:t>
      </w:r>
    </w:p>
    <w:p w:rsidR="00E77FDC" w:rsidRDefault="00E77FDC" w:rsidP="009E32FC"/>
    <w:p w:rsidR="00992CEB" w:rsidRDefault="00E77FDC" w:rsidP="009E32FC">
      <w:r>
        <w:t>In light of this uncertainty over whether ARRA funds received by PECO will be considered as taxable income, the Settlement Petition</w:t>
      </w:r>
      <w:r w:rsidR="0010022E">
        <w:t xml:space="preserve"> provides for the scenario that the ARRA grant funds are determined </w:t>
      </w:r>
      <w:r w:rsidR="00D776F3">
        <w:t xml:space="preserve">to be </w:t>
      </w:r>
      <w:r w:rsidR="0010022E">
        <w:t xml:space="preserve">not taxable.  </w:t>
      </w:r>
      <w:r w:rsidR="00D776F3">
        <w:t xml:space="preserve">Unless a determination is made prior to the implementation of the SMCRS, </w:t>
      </w:r>
      <w:r w:rsidR="00453554">
        <w:t xml:space="preserve">the surcharge will calculated on the basis that the federal funds are taxable.  However, if the federal funds are subsequently determined not </w:t>
      </w:r>
      <w:r w:rsidR="00FD2991">
        <w:t xml:space="preserve">to </w:t>
      </w:r>
      <w:r w:rsidR="00453554">
        <w:t xml:space="preserve">be subject to taxes, the corresponding reduction in smart metering costs will be reflected as an over-recovery through the </w:t>
      </w:r>
      <w:r w:rsidR="00F95CA4">
        <w:t>SMCR</w:t>
      </w:r>
      <w:r w:rsidR="00611085">
        <w:t>S</w:t>
      </w:r>
      <w:r w:rsidR="00F95CA4">
        <w:t xml:space="preserve"> reconciliation mechanism.  Settlement Petition at 9.  </w:t>
      </w:r>
    </w:p>
    <w:p w:rsidR="00992CEB" w:rsidRDefault="00992CEB" w:rsidP="009E32FC"/>
    <w:p w:rsidR="004668E6" w:rsidRDefault="002F3E97">
      <w:r>
        <w:t>We concur with the proposed treatment of tax expenses associated with the ARRA grant funds.  If these funds are determined not to be subject to taxes, tax expenses collected though the S</w:t>
      </w:r>
      <w:r w:rsidR="0049696A">
        <w:t>MCR</w:t>
      </w:r>
      <w:r w:rsidR="00611085">
        <w:t>S</w:t>
      </w:r>
      <w:r>
        <w:t xml:space="preserve"> will be </w:t>
      </w:r>
      <w:r w:rsidR="0049696A">
        <w:t>directly credited thorough the S</w:t>
      </w:r>
      <w:r w:rsidR="00611085">
        <w:t>M</w:t>
      </w:r>
      <w:r w:rsidR="0049696A">
        <w:t>CR</w:t>
      </w:r>
      <w:r w:rsidR="00611085">
        <w:t>S</w:t>
      </w:r>
      <w:r w:rsidR="004010CF">
        <w:t xml:space="preserve"> </w:t>
      </w:r>
      <w:r w:rsidR="00081C59">
        <w:rPr>
          <w:rStyle w:val="FootnoteReference"/>
        </w:rPr>
        <w:footnoteReference w:id="3"/>
      </w:r>
      <w:r w:rsidR="000142C1">
        <w:t>.</w:t>
      </w:r>
      <w:r w:rsidR="0049696A">
        <w:t xml:space="preserve"> </w:t>
      </w:r>
    </w:p>
    <w:p w:rsidR="00E631D8" w:rsidRDefault="00E631D8" w:rsidP="00663B1C"/>
    <w:p w:rsidR="00FD2991" w:rsidRDefault="00FD2991" w:rsidP="00FD2991">
      <w:pPr>
        <w:pStyle w:val="Heading2"/>
      </w:pPr>
      <w:bookmarkStart w:id="27" w:name="_Toc260130907"/>
      <w:r>
        <w:lastRenderedPageBreak/>
        <w:t xml:space="preserve">B. </w:t>
      </w:r>
      <w:r>
        <w:tab/>
        <w:t>Issues</w:t>
      </w:r>
      <w:r w:rsidR="00191603">
        <w:t xml:space="preserve"> Not Addressed in </w:t>
      </w:r>
      <w:r w:rsidR="00611085">
        <w:t xml:space="preserve">the </w:t>
      </w:r>
      <w:r w:rsidR="00191603">
        <w:t>Settlement Petition</w:t>
      </w:r>
      <w:bookmarkEnd w:id="27"/>
    </w:p>
    <w:p w:rsidR="00076F9A" w:rsidRDefault="00076F9A" w:rsidP="00211C4A">
      <w:pPr>
        <w:pStyle w:val="Heading3"/>
      </w:pPr>
    </w:p>
    <w:p w:rsidR="00AA2B8F" w:rsidRDefault="00AA2B8F" w:rsidP="00211C4A">
      <w:pPr>
        <w:pStyle w:val="Heading3"/>
      </w:pPr>
      <w:bookmarkStart w:id="28" w:name="_Toc260130908"/>
      <w:r>
        <w:t>1.</w:t>
      </w:r>
      <w:r w:rsidR="00211C4A">
        <w:tab/>
      </w:r>
      <w:r>
        <w:t xml:space="preserve"> Allocation of Common Costs</w:t>
      </w:r>
      <w:bookmarkEnd w:id="28"/>
      <w:r>
        <w:t xml:space="preserve"> </w:t>
      </w:r>
    </w:p>
    <w:p w:rsidR="00554403" w:rsidRPr="00554403" w:rsidRDefault="00554403" w:rsidP="00554403"/>
    <w:p w:rsidR="00BF47DB" w:rsidRDefault="00555FD1" w:rsidP="00211C4A">
      <w:pPr>
        <w:rPr>
          <w:szCs w:val="26"/>
        </w:rPr>
      </w:pPr>
      <w:r w:rsidRPr="00554403">
        <w:rPr>
          <w:szCs w:val="26"/>
        </w:rPr>
        <w:t>As discussed</w:t>
      </w:r>
      <w:r w:rsidR="00B64A8E">
        <w:rPr>
          <w:szCs w:val="26"/>
        </w:rPr>
        <w:t>,</w:t>
      </w:r>
      <w:r w:rsidRPr="00554403">
        <w:rPr>
          <w:szCs w:val="26"/>
        </w:rPr>
        <w:t xml:space="preserve"> </w:t>
      </w:r>
      <w:r w:rsidRPr="00554403">
        <w:rPr>
          <w:i/>
          <w:szCs w:val="26"/>
        </w:rPr>
        <w:t>supra</w:t>
      </w:r>
      <w:r w:rsidRPr="00554403">
        <w:rPr>
          <w:szCs w:val="26"/>
        </w:rPr>
        <w:t xml:space="preserve">, all of the </w:t>
      </w:r>
      <w:r w:rsidR="00611085">
        <w:rPr>
          <w:szCs w:val="26"/>
        </w:rPr>
        <w:t>P</w:t>
      </w:r>
      <w:r w:rsidRPr="00554403">
        <w:rPr>
          <w:szCs w:val="26"/>
        </w:rPr>
        <w:t>arties agree</w:t>
      </w:r>
      <w:r w:rsidR="003F63A3">
        <w:rPr>
          <w:szCs w:val="26"/>
        </w:rPr>
        <w:t>d</w:t>
      </w:r>
      <w:r w:rsidRPr="00554403">
        <w:rPr>
          <w:szCs w:val="26"/>
        </w:rPr>
        <w:t xml:space="preserve"> that the costs to procure and install the smart meters or the </w:t>
      </w:r>
      <w:r w:rsidR="00076F9A">
        <w:rPr>
          <w:szCs w:val="26"/>
        </w:rPr>
        <w:t>“</w:t>
      </w:r>
      <w:r w:rsidRPr="00554403">
        <w:rPr>
          <w:szCs w:val="26"/>
        </w:rPr>
        <w:t>direct meter costs</w:t>
      </w:r>
      <w:r w:rsidR="00076F9A">
        <w:rPr>
          <w:szCs w:val="26"/>
        </w:rPr>
        <w:t>”</w:t>
      </w:r>
      <w:r w:rsidRPr="00554403">
        <w:rPr>
          <w:szCs w:val="26"/>
        </w:rPr>
        <w:t xml:space="preserve"> can be identified by customer class</w:t>
      </w:r>
      <w:r w:rsidR="00554403">
        <w:rPr>
          <w:szCs w:val="26"/>
        </w:rPr>
        <w:t xml:space="preserve"> and </w:t>
      </w:r>
      <w:r w:rsidR="00F166B9">
        <w:rPr>
          <w:szCs w:val="26"/>
        </w:rPr>
        <w:t xml:space="preserve">should be </w:t>
      </w:r>
      <w:r w:rsidR="00554403">
        <w:rPr>
          <w:szCs w:val="26"/>
        </w:rPr>
        <w:t>allocated accordingly</w:t>
      </w:r>
      <w:r w:rsidRPr="00554403">
        <w:rPr>
          <w:szCs w:val="26"/>
        </w:rPr>
        <w:t xml:space="preserve">.  </w:t>
      </w:r>
      <w:r w:rsidR="00554403">
        <w:rPr>
          <w:szCs w:val="26"/>
        </w:rPr>
        <w:t>However</w:t>
      </w:r>
      <w:r w:rsidR="00076F9A">
        <w:rPr>
          <w:szCs w:val="26"/>
        </w:rPr>
        <w:t>,</w:t>
      </w:r>
      <w:r w:rsidR="00554403">
        <w:rPr>
          <w:szCs w:val="26"/>
        </w:rPr>
        <w:t xml:space="preserve"> the costs incurred to manage the meter data and to integrate the new meter system </w:t>
      </w:r>
      <w:r w:rsidR="00D37AF2">
        <w:rPr>
          <w:szCs w:val="26"/>
        </w:rPr>
        <w:t xml:space="preserve">with </w:t>
      </w:r>
      <w:r w:rsidR="00076F9A">
        <w:rPr>
          <w:szCs w:val="26"/>
        </w:rPr>
        <w:t>PECO’s existing billing system or “common costs” cannot be directly assigned to specific customer classes.  These common costs include</w:t>
      </w:r>
      <w:r w:rsidRPr="00554403">
        <w:rPr>
          <w:szCs w:val="26"/>
        </w:rPr>
        <w:t xml:space="preserve">: </w:t>
      </w:r>
      <w:r w:rsidR="00A53AEB">
        <w:rPr>
          <w:szCs w:val="26"/>
        </w:rPr>
        <w:t>(</w:t>
      </w:r>
      <w:r w:rsidRPr="00554403">
        <w:rPr>
          <w:szCs w:val="26"/>
        </w:rPr>
        <w:t>1) the meter data management system</w:t>
      </w:r>
      <w:r w:rsidR="00A53AEB" w:rsidRPr="00554403">
        <w:rPr>
          <w:szCs w:val="26"/>
        </w:rPr>
        <w:t>,</w:t>
      </w:r>
      <w:r w:rsidR="00A53AEB">
        <w:rPr>
          <w:szCs w:val="26"/>
        </w:rPr>
        <w:t>(</w:t>
      </w:r>
      <w:r w:rsidRPr="00554403">
        <w:rPr>
          <w:szCs w:val="26"/>
        </w:rPr>
        <w:t xml:space="preserve">2) information technology investments, </w:t>
      </w:r>
      <w:r w:rsidR="00A53AEB">
        <w:rPr>
          <w:szCs w:val="26"/>
        </w:rPr>
        <w:t>(</w:t>
      </w:r>
      <w:r w:rsidRPr="00554403">
        <w:rPr>
          <w:szCs w:val="26"/>
        </w:rPr>
        <w:t xml:space="preserve">3) the communications network and </w:t>
      </w:r>
      <w:r w:rsidR="00A53AEB">
        <w:rPr>
          <w:szCs w:val="26"/>
        </w:rPr>
        <w:t>(</w:t>
      </w:r>
      <w:r w:rsidRPr="00554403">
        <w:rPr>
          <w:szCs w:val="26"/>
        </w:rPr>
        <w:t>4) support and management of the Plan.  PECO MB at 3</w:t>
      </w:r>
      <w:r w:rsidR="00076F9A">
        <w:rPr>
          <w:szCs w:val="26"/>
        </w:rPr>
        <w:t>.</w:t>
      </w:r>
    </w:p>
    <w:p w:rsidR="00CB5920" w:rsidRDefault="00CB5920" w:rsidP="00211C4A">
      <w:pPr>
        <w:rPr>
          <w:szCs w:val="26"/>
        </w:rPr>
      </w:pPr>
    </w:p>
    <w:p w:rsidR="00D84EF1" w:rsidRDefault="00D84EF1" w:rsidP="00211C4A">
      <w:pPr>
        <w:rPr>
          <w:szCs w:val="26"/>
        </w:rPr>
      </w:pPr>
      <w:r>
        <w:rPr>
          <w:szCs w:val="26"/>
        </w:rPr>
        <w:t xml:space="preserve">The Commission addressed the allocation of smart meter costs among the customer classes in the </w:t>
      </w:r>
      <w:r w:rsidRPr="006F4D2C">
        <w:rPr>
          <w:i/>
          <w:szCs w:val="26"/>
        </w:rPr>
        <w:t xml:space="preserve">Implementation </w:t>
      </w:r>
      <w:r w:rsidR="006F4D2C" w:rsidRPr="006F4D2C">
        <w:rPr>
          <w:i/>
          <w:szCs w:val="26"/>
        </w:rPr>
        <w:t>O</w:t>
      </w:r>
      <w:r w:rsidRPr="006F4D2C">
        <w:rPr>
          <w:i/>
          <w:szCs w:val="26"/>
        </w:rPr>
        <w:t>rder</w:t>
      </w:r>
      <w:r>
        <w:rPr>
          <w:szCs w:val="26"/>
        </w:rPr>
        <w:t>.</w:t>
      </w:r>
    </w:p>
    <w:p w:rsidR="00D84EF1" w:rsidRDefault="00D84EF1" w:rsidP="00211C4A">
      <w:pPr>
        <w:rPr>
          <w:szCs w:val="26"/>
        </w:rPr>
      </w:pPr>
    </w:p>
    <w:p w:rsidR="00D84EF1" w:rsidRDefault="00D84EF1" w:rsidP="00D84EF1">
      <w:pPr>
        <w:spacing w:line="240" w:lineRule="auto"/>
        <w:ind w:left="1440" w:right="1440" w:firstLine="720"/>
      </w:pPr>
      <w:r w:rsidRPr="00920883">
        <w:t>The Commission will require that all measures associated with an EDC’s smart metering plan shall be financed by the customer class that receives the benefit of such measures.  In order to ensure that proper allocation takes place, it will be necessary for the utilities to determine the total costs related to their smart metering plans, as discussed in E.1.  Once these costs have been determined, we will require the EDC to allocate those costs to the classes whom derive benefit from such costs.  Any costs that can be clearly shown to benefit solely one specific class should be assigned wholly to that class.  Those costs that provide benefit across multiple classes should be allocated among the appropriate classes using reasonable cost of service practices.</w:t>
      </w:r>
    </w:p>
    <w:p w:rsidR="006F4D2C" w:rsidRDefault="006F4D2C" w:rsidP="00394405">
      <w:pPr>
        <w:ind w:left="1440" w:right="1440" w:firstLine="720"/>
      </w:pPr>
    </w:p>
    <w:p w:rsidR="0010151A" w:rsidRDefault="006F4D2C" w:rsidP="006F4D2C">
      <w:pPr>
        <w:ind w:firstLine="0"/>
        <w:rPr>
          <w:szCs w:val="26"/>
        </w:rPr>
      </w:pPr>
      <w:r w:rsidRPr="00446E1C">
        <w:rPr>
          <w:i/>
          <w:szCs w:val="26"/>
        </w:rPr>
        <w:t>Implementation Order</w:t>
      </w:r>
      <w:r>
        <w:rPr>
          <w:szCs w:val="26"/>
        </w:rPr>
        <w:t xml:space="preserve"> at 32</w:t>
      </w:r>
      <w:r w:rsidR="003F63A3">
        <w:rPr>
          <w:szCs w:val="26"/>
        </w:rPr>
        <w:t>.</w:t>
      </w:r>
    </w:p>
    <w:p w:rsidR="0010151A" w:rsidRDefault="0010151A" w:rsidP="00211C4A">
      <w:pPr>
        <w:rPr>
          <w:szCs w:val="26"/>
        </w:rPr>
      </w:pPr>
    </w:p>
    <w:p w:rsidR="00211C4A" w:rsidRPr="00211C4A" w:rsidRDefault="00CB5920" w:rsidP="00211C4A">
      <w:r>
        <w:rPr>
          <w:szCs w:val="26"/>
        </w:rPr>
        <w:lastRenderedPageBreak/>
        <w:t xml:space="preserve">PECO proposed to allocate the common costs based on the number of customers in each rate class.  </w:t>
      </w:r>
      <w:r w:rsidR="007C2469">
        <w:rPr>
          <w:szCs w:val="26"/>
        </w:rPr>
        <w:t xml:space="preserve">PECO averred that the size of the network needed to read the meters and the size of the system used to store meter data are a function of the number of meter locations that have to be connected.  </w:t>
      </w:r>
      <w:r w:rsidR="00C660F0">
        <w:rPr>
          <w:szCs w:val="26"/>
        </w:rPr>
        <w:t>PECO St. No. 5-R at 7.</w:t>
      </w:r>
    </w:p>
    <w:p w:rsidR="00FD2991" w:rsidRDefault="00FD2991" w:rsidP="00FD2991"/>
    <w:p w:rsidR="00263F3E" w:rsidRDefault="00DC4E27" w:rsidP="00263F3E">
      <w:r>
        <w:t>The OCA point</w:t>
      </w:r>
      <w:r w:rsidR="003F63A3">
        <w:t>ed</w:t>
      </w:r>
      <w:r>
        <w:t xml:space="preserve"> out that the common costs are estimated to be about $198 million and will account for more than half of the total program costs during the first three years of PECO’s Plan. </w:t>
      </w:r>
      <w:r w:rsidR="007E3B1F">
        <w:t xml:space="preserve"> </w:t>
      </w:r>
      <w:r w:rsidR="005C0EDA">
        <w:t xml:space="preserve">OCA MB at 9-10. </w:t>
      </w:r>
      <w:r w:rsidR="00263F3E">
        <w:t xml:space="preserve">The OCA submitted that PECO’s Large C&amp;I customer class is responsible for 33% of the retail revenues and 44% of the total energy usage </w:t>
      </w:r>
      <w:r w:rsidR="00EA0FF7">
        <w:t>yet</w:t>
      </w:r>
      <w:r w:rsidR="00263F3E">
        <w:t xml:space="preserve"> under PECO’s proposed allocation would incur only 0.2% of the common costs.  In contrast, the OCA state</w:t>
      </w:r>
      <w:r w:rsidR="00FF0E1F">
        <w:t>d</w:t>
      </w:r>
      <w:r w:rsidR="00263F3E">
        <w:t xml:space="preserve"> that the Residential Class </w:t>
      </w:r>
      <w:r w:rsidR="00F166B9">
        <w:t>is</w:t>
      </w:r>
      <w:r w:rsidR="00263F3E">
        <w:t xml:space="preserve"> responsible for </w:t>
      </w:r>
      <w:r w:rsidR="00CD4628">
        <w:t>44</w:t>
      </w:r>
      <w:r w:rsidR="00263F3E">
        <w:t xml:space="preserve">% of </w:t>
      </w:r>
      <w:r w:rsidR="00CD4628">
        <w:t xml:space="preserve">retail </w:t>
      </w:r>
      <w:r w:rsidR="00263F3E">
        <w:t xml:space="preserve">revenues and </w:t>
      </w:r>
      <w:r w:rsidR="00CD4628">
        <w:t>3</w:t>
      </w:r>
      <w:r w:rsidR="00263F3E">
        <w:t xml:space="preserve">4% of the energy usage yet will incur </w:t>
      </w:r>
      <w:r w:rsidR="00CD4628">
        <w:t>90</w:t>
      </w:r>
      <w:r w:rsidR="00263F3E">
        <w:t xml:space="preserve">% of the total common costs.  </w:t>
      </w:r>
      <w:r w:rsidR="005C0EDA" w:rsidRPr="005C0EDA">
        <w:rPr>
          <w:i/>
        </w:rPr>
        <w:t>Id</w:t>
      </w:r>
      <w:r w:rsidR="005C0EDA">
        <w:t xml:space="preserve">. at 13.  </w:t>
      </w:r>
      <w:r w:rsidR="00263F3E">
        <w:t>The OCA stated that under PECO’s proposed allocation, residential customers would bear nearly 90% of the common costs “even though it is far from clear that residential customers would receive anything close to 90% of the benefits of those costs.</w:t>
      </w:r>
      <w:r w:rsidR="00CD4628">
        <w:t>”</w:t>
      </w:r>
      <w:r w:rsidR="00263F3E">
        <w:t xml:space="preserve">  </w:t>
      </w:r>
      <w:r w:rsidR="005C0EDA" w:rsidRPr="005C0EDA">
        <w:rPr>
          <w:i/>
        </w:rPr>
        <w:t>Id</w:t>
      </w:r>
      <w:r w:rsidR="005C0EDA">
        <w:t xml:space="preserve">. at 8.  </w:t>
      </w:r>
      <w:r w:rsidR="004701AA">
        <w:t xml:space="preserve">The OCA averred that PECO’s allocation of common costs assumes that a small residential customer using 500 kWh per month will receive the same benefit as a large industrial customer with </w:t>
      </w:r>
      <w:r w:rsidR="00CD4628">
        <w:t xml:space="preserve">a </w:t>
      </w:r>
      <w:r w:rsidR="004701AA">
        <w:t xml:space="preserve">50 MW load and an 80% load factor.  OCA St. No. 3 at 5. </w:t>
      </w:r>
    </w:p>
    <w:p w:rsidR="009B1993" w:rsidRDefault="009B1993" w:rsidP="007E3B1F"/>
    <w:p w:rsidR="00A240AD" w:rsidRDefault="00DC4E27" w:rsidP="00FD2991">
      <w:r>
        <w:t>The OCA argue</w:t>
      </w:r>
      <w:r w:rsidR="009E08A4">
        <w:t>d</w:t>
      </w:r>
      <w:r>
        <w:t xml:space="preserve"> that the </w:t>
      </w:r>
      <w:r w:rsidR="00784B21" w:rsidRPr="00D16802">
        <w:rPr>
          <w:i/>
        </w:rPr>
        <w:t>Implementation Order</w:t>
      </w:r>
      <w:r w:rsidR="00784B21">
        <w:t xml:space="preserve"> indicates that smart meter plan costs “are appropriately allocated” to those customers that derive the benefit of those costs.  </w:t>
      </w:r>
      <w:r w:rsidR="00967544">
        <w:t>The OCA also submit</w:t>
      </w:r>
      <w:r w:rsidR="009E08A4">
        <w:t>ted</w:t>
      </w:r>
      <w:r w:rsidR="00967544">
        <w:t xml:space="preserve"> that the Preamble of Act 129 states that one of the main goals of the Act is to reduce the cost and price instability of electric energy.  </w:t>
      </w:r>
      <w:r w:rsidR="00CD76EC">
        <w:t>The OCA aver</w:t>
      </w:r>
      <w:r w:rsidR="009E08A4">
        <w:t>red</w:t>
      </w:r>
      <w:r w:rsidR="00CD76EC">
        <w:t xml:space="preserve"> that </w:t>
      </w:r>
      <w:r w:rsidR="009E08A4">
        <w:t xml:space="preserve">allocating these costs based on energy and demand recognizes </w:t>
      </w:r>
      <w:r w:rsidR="007767EC">
        <w:t xml:space="preserve">the purpose of Act 129 and that larger customers will derive far greater benefits from both smart meter systems and the enhanced technological capabilities.  </w:t>
      </w:r>
      <w:r w:rsidR="005C0EDA">
        <w:t xml:space="preserve">OCA MB at </w:t>
      </w:r>
      <w:r w:rsidR="00967544">
        <w:t>8</w:t>
      </w:r>
      <w:r w:rsidR="007767EC">
        <w:t>-9</w:t>
      </w:r>
      <w:r w:rsidR="00967544">
        <w:t>.</w:t>
      </w:r>
      <w:r w:rsidR="009B1993">
        <w:t xml:space="preserve">  </w:t>
      </w:r>
      <w:r w:rsidR="00CA23D1">
        <w:t xml:space="preserve">The OCA proposed that </w:t>
      </w:r>
      <w:r w:rsidR="006F2A4B">
        <w:t xml:space="preserve">common costs be allocated among the customer classes based on the </w:t>
      </w:r>
      <w:r w:rsidR="006F2A4B">
        <w:lastRenderedPageBreak/>
        <w:t xml:space="preserve">arithmetic average of each </w:t>
      </w:r>
      <w:r w:rsidR="00BA5B7E">
        <w:t>class’s</w:t>
      </w:r>
      <w:r w:rsidR="006F2A4B">
        <w:t xml:space="preserve"> percentage of metered energy consumption and percentage of </w:t>
      </w:r>
      <w:r w:rsidR="00356203">
        <w:t xml:space="preserve">PECO’s annual single coincident peak.  OCA St. No. 3 at 8. </w:t>
      </w:r>
    </w:p>
    <w:p w:rsidR="00957E8A" w:rsidRDefault="00957E8A" w:rsidP="00FD2991"/>
    <w:p w:rsidR="00FD2991" w:rsidRDefault="00A5696E" w:rsidP="00663B1C">
      <w:r>
        <w:t>In response to the OCA’s proposed allocation of common costs, PECO argue</w:t>
      </w:r>
      <w:r w:rsidR="00BB7307">
        <w:t>d</w:t>
      </w:r>
      <w:r>
        <w:t xml:space="preserve"> that </w:t>
      </w:r>
      <w:r w:rsidR="00C80E3C">
        <w:t xml:space="preserve">the </w:t>
      </w:r>
      <w:r w:rsidR="00C80E3C" w:rsidRPr="00C80E3C">
        <w:rPr>
          <w:i/>
        </w:rPr>
        <w:t>Implementation Order</w:t>
      </w:r>
      <w:r w:rsidR="00C80E3C">
        <w:t xml:space="preserve"> does not provide a benefits-based allocation </w:t>
      </w:r>
      <w:r w:rsidR="005D021E">
        <w:t>of</w:t>
      </w:r>
      <w:r w:rsidR="00A62AE6">
        <w:t>`</w:t>
      </w:r>
      <w:r w:rsidR="00A62AE6">
        <w:tab/>
      </w:r>
      <w:r w:rsidR="00C80E3C">
        <w:t xml:space="preserve"> costs not capable of direct assignment.  </w:t>
      </w:r>
      <w:r w:rsidR="00404F5B">
        <w:t xml:space="preserve">PECO </w:t>
      </w:r>
      <w:r w:rsidR="00FE2399">
        <w:t xml:space="preserve">acknowledged that in the </w:t>
      </w:r>
      <w:r w:rsidR="00FE2399" w:rsidRPr="00FE2399">
        <w:rPr>
          <w:i/>
        </w:rPr>
        <w:t>I</w:t>
      </w:r>
      <w:r w:rsidR="00FE2399">
        <w:rPr>
          <w:i/>
        </w:rPr>
        <w:t>m</w:t>
      </w:r>
      <w:r w:rsidR="00FE2399" w:rsidRPr="00FE2399">
        <w:rPr>
          <w:i/>
        </w:rPr>
        <w:t>plementation Order</w:t>
      </w:r>
      <w:r w:rsidR="00394405">
        <w:rPr>
          <w:i/>
        </w:rPr>
        <w:t>,</w:t>
      </w:r>
      <w:r w:rsidR="00FE2399">
        <w:t xml:space="preserve"> </w:t>
      </w:r>
      <w:r w:rsidR="00EA2A93">
        <w:t xml:space="preserve">the Commission </w:t>
      </w:r>
      <w:r w:rsidR="00FE2399">
        <w:t xml:space="preserve">issued </w:t>
      </w:r>
      <w:r w:rsidR="00EA2A93">
        <w:t xml:space="preserve">a </w:t>
      </w:r>
      <w:r w:rsidR="00FE2399">
        <w:t>“</w:t>
      </w:r>
      <w:r w:rsidR="00EA2A93">
        <w:t>general directive</w:t>
      </w:r>
      <w:r w:rsidR="00FE2399">
        <w:t>”</w:t>
      </w:r>
      <w:r w:rsidR="00EA2A93">
        <w:t xml:space="preserve"> that “all measures associated with an EDC’s smart metering program shall be financed by the customer class that receives the benefit of such measures.” </w:t>
      </w:r>
      <w:r w:rsidR="00D96501">
        <w:t>PECO</w:t>
      </w:r>
      <w:r w:rsidR="00EA2A93">
        <w:t xml:space="preserve"> aver</w:t>
      </w:r>
      <w:r w:rsidR="00FF0E1F">
        <w:t>red</w:t>
      </w:r>
      <w:r w:rsidR="00EA2A93">
        <w:t xml:space="preserve"> that following that “general guideline</w:t>
      </w:r>
      <w:r w:rsidR="00CD4628">
        <w:t>,</w:t>
      </w:r>
      <w:r w:rsidR="00EA2A93">
        <w:t xml:space="preserve">” </w:t>
      </w:r>
      <w:r w:rsidR="00AE44DC">
        <w:t xml:space="preserve">the Commission gave “specific instructions” that costs that can be identified with a particular class be allocated to that class and costs that cannot be assigned to a particular class be allocated among the classes using reasonable cost of service principles. </w:t>
      </w:r>
      <w:r w:rsidR="00EA2A93">
        <w:t xml:space="preserve"> </w:t>
      </w:r>
      <w:r w:rsidR="00AE44DC">
        <w:t xml:space="preserve">PECO MB at 9. </w:t>
      </w:r>
      <w:r w:rsidR="00D96501">
        <w:t xml:space="preserve"> </w:t>
      </w:r>
      <w:r w:rsidR="004B3CFC">
        <w:t>In addition, PECO argue</w:t>
      </w:r>
      <w:r w:rsidR="00A627D9">
        <w:t xml:space="preserve">d that there is no evidence to support the OCA’s assumption that the usage reductions enabled by smart metering technology </w:t>
      </w:r>
      <w:r w:rsidR="00404F5B">
        <w:t xml:space="preserve">will provide </w:t>
      </w:r>
      <w:r w:rsidR="00A627D9">
        <w:t xml:space="preserve">benefits </w:t>
      </w:r>
      <w:r w:rsidR="00404F5B">
        <w:t>to each class proportionate to its demand or energy.</w:t>
      </w:r>
      <w:r w:rsidR="00FE2399">
        <w:t xml:space="preserve"> </w:t>
      </w:r>
      <w:r w:rsidR="004B3CFC">
        <w:t xml:space="preserve"> </w:t>
      </w:r>
      <w:r w:rsidR="00404F5B" w:rsidRPr="00404F5B">
        <w:rPr>
          <w:i/>
        </w:rPr>
        <w:t>Id</w:t>
      </w:r>
      <w:r w:rsidR="00404F5B">
        <w:t xml:space="preserve">. at 12. </w:t>
      </w:r>
    </w:p>
    <w:p w:rsidR="00404F5B" w:rsidRDefault="00404F5B" w:rsidP="00663B1C"/>
    <w:p w:rsidR="00404F5B" w:rsidRDefault="007F1B38" w:rsidP="00663B1C">
      <w:r>
        <w:t>In addition to arguments similar to those presented by PECO, PAIEUG submit</w:t>
      </w:r>
      <w:r w:rsidR="00E509AF">
        <w:t>ted</w:t>
      </w:r>
      <w:r>
        <w:t xml:space="preserve"> that </w:t>
      </w:r>
      <w:r w:rsidR="00D64815">
        <w:t xml:space="preserve">the </w:t>
      </w:r>
      <w:r>
        <w:t xml:space="preserve">OCA’s proposed cost allocation </w:t>
      </w:r>
      <w:r w:rsidR="00E509AF">
        <w:t xml:space="preserve">ignores the fact that Large C&amp;I customers will not realize “most of the actual, direct, and quantifiable benefits expressly delineated” in Act 129. </w:t>
      </w:r>
      <w:r>
        <w:t xml:space="preserve"> </w:t>
      </w:r>
      <w:r w:rsidR="00E509AF">
        <w:t xml:space="preserve">PAIEUG averred that </w:t>
      </w:r>
      <w:r w:rsidR="001E0C0F">
        <w:t xml:space="preserve">the majority of </w:t>
      </w:r>
      <w:r w:rsidR="00CD4628">
        <w:t>L</w:t>
      </w:r>
      <w:r w:rsidR="001E0C0F">
        <w:t xml:space="preserve">arge C&amp;I customers are already intensively managing their energy needs, pursuing energy efficiency and demand response opportunities, and have already made </w:t>
      </w:r>
      <w:r w:rsidR="001025E0">
        <w:t>a</w:t>
      </w:r>
      <w:r w:rsidR="001E0C0F">
        <w:t xml:space="preserve"> substantial investment in smart meter technology.  PAIEUG MB at 18.  </w:t>
      </w:r>
      <w:r w:rsidR="00FB5F97">
        <w:t>PAIEUG also argued that</w:t>
      </w:r>
      <w:r w:rsidR="001025E0">
        <w:t>,</w:t>
      </w:r>
      <w:r w:rsidR="00FB5F97">
        <w:t xml:space="preserve"> in addition to being an inappropriate allocation of costs, the OCA’s proposal would “simply constitute a </w:t>
      </w:r>
      <w:r w:rsidR="004957E5">
        <w:t xml:space="preserve">disproportionate and discriminatory shift in responsibility” of costs from the residential class to PECO’s C&amp;I customers. </w:t>
      </w:r>
      <w:r w:rsidR="00FF0E1F">
        <w:t xml:space="preserve"> </w:t>
      </w:r>
      <w:r w:rsidR="004957E5">
        <w:t xml:space="preserve">PAIEUG MB at 21.   </w:t>
      </w:r>
    </w:p>
    <w:p w:rsidR="007C7CF3" w:rsidRDefault="007C7CF3" w:rsidP="00663B1C"/>
    <w:p w:rsidR="00404F5B" w:rsidRDefault="00FE2399" w:rsidP="00663B1C">
      <w:r>
        <w:lastRenderedPageBreak/>
        <w:t>The OSBA also supported the allocation of common costs proposed by PECO and opposed the OCA’s proposal.  However, in the event that the Commission w</w:t>
      </w:r>
      <w:r w:rsidR="000142C1">
        <w:t>as</w:t>
      </w:r>
      <w:r>
        <w:t xml:space="preserve"> to be persuaded by the OCA’s arguments, the OSBA proposed an alternative </w:t>
      </w:r>
      <w:r w:rsidR="00631005">
        <w:t>cost-based allocation of common costs.  The alternative is to allocate the common costs using the same allocation proposed for direct metering costs</w:t>
      </w:r>
      <w:r w:rsidR="00E330C8">
        <w:t>.</w:t>
      </w:r>
      <w:r w:rsidR="00F34063">
        <w:t xml:space="preserve">  </w:t>
      </w:r>
      <w:r w:rsidR="00631005">
        <w:t xml:space="preserve">The </w:t>
      </w:r>
      <w:r w:rsidR="00230420">
        <w:t xml:space="preserve">OSBA </w:t>
      </w:r>
      <w:r w:rsidR="00F34063">
        <w:t>state</w:t>
      </w:r>
      <w:r w:rsidR="00230420">
        <w:t>d</w:t>
      </w:r>
      <w:r w:rsidR="00F34063">
        <w:t xml:space="preserve"> that this alternative would </w:t>
      </w:r>
      <w:r w:rsidR="00230420">
        <w:t xml:space="preserve">provide some relief to the residential rate class </w:t>
      </w:r>
      <w:r w:rsidR="00927754">
        <w:t>by reducing its share of the common costs from 89.9% to 83%.  OSBA MB at 17.</w:t>
      </w:r>
    </w:p>
    <w:p w:rsidR="00927754" w:rsidRDefault="00927754" w:rsidP="00663B1C"/>
    <w:p w:rsidR="001523C1" w:rsidRDefault="00446DDE" w:rsidP="00663B1C">
      <w:r>
        <w:t xml:space="preserve">The ALJ </w:t>
      </w:r>
      <w:r w:rsidR="00A4652A">
        <w:t>recommended that PECO’s plan should not be modified as prop</w:t>
      </w:r>
      <w:r w:rsidR="00E37DBF">
        <w:t>osed by the OCA.  The ALJ stated</w:t>
      </w:r>
      <w:r w:rsidR="00A4652A">
        <w:t xml:space="preserve"> that assigning the costs to the </w:t>
      </w:r>
      <w:r w:rsidR="00D95937">
        <w:t xml:space="preserve">various customer classes </w:t>
      </w:r>
      <w:r w:rsidR="00A4652A">
        <w:t xml:space="preserve">based on the benefits received is not how metering costs have been allocated by the Commission and should not be adopted here. </w:t>
      </w:r>
      <w:r w:rsidR="00E37DBF">
        <w:t xml:space="preserve"> The ALJ concluded</w:t>
      </w:r>
      <w:r w:rsidR="004B6121">
        <w:t xml:space="preserve"> that </w:t>
      </w:r>
      <w:r w:rsidR="001523C1">
        <w:t>‘[c]learly, metering costs – whether those associated with the current meters or the smart meters that will eventually be deployed – vary with the number of customers.”</w:t>
      </w:r>
      <w:r w:rsidR="00900267">
        <w:t xml:space="preserve">  </w:t>
      </w:r>
      <w:r w:rsidR="009357DE">
        <w:t>I.D.</w:t>
      </w:r>
      <w:r w:rsidR="0039013C">
        <w:t xml:space="preserve"> at 27.</w:t>
      </w:r>
    </w:p>
    <w:p w:rsidR="00B24154" w:rsidRDefault="00B24154" w:rsidP="00663B1C"/>
    <w:p w:rsidR="00257CAA" w:rsidRDefault="001523C1">
      <w:pPr>
        <w:spacing w:line="240" w:lineRule="auto"/>
      </w:pPr>
      <w:r>
        <w:t xml:space="preserve">In response to the OCA’s interpretation of the </w:t>
      </w:r>
      <w:r w:rsidR="004A2F1A">
        <w:t xml:space="preserve">language in the </w:t>
      </w:r>
      <w:r w:rsidRPr="001523C1">
        <w:rPr>
          <w:i/>
        </w:rPr>
        <w:t>Implementation Order</w:t>
      </w:r>
      <w:r>
        <w:t xml:space="preserve">, </w:t>
      </w:r>
      <w:r w:rsidR="0039013C">
        <w:t xml:space="preserve">the ALJ </w:t>
      </w:r>
      <w:r w:rsidR="00565FFA">
        <w:t>states</w:t>
      </w:r>
      <w:r w:rsidR="0039013C">
        <w:t>:</w:t>
      </w:r>
      <w:r w:rsidR="004A2F1A">
        <w:t xml:space="preserve"> </w:t>
      </w:r>
    </w:p>
    <w:p w:rsidR="00900267" w:rsidRDefault="00900267" w:rsidP="00F32606">
      <w:pPr>
        <w:spacing w:line="240" w:lineRule="auto"/>
      </w:pPr>
    </w:p>
    <w:p w:rsidR="0039013C" w:rsidRPr="00C86516" w:rsidRDefault="0039013C" w:rsidP="0039013C">
      <w:pPr>
        <w:spacing w:line="240" w:lineRule="auto"/>
        <w:ind w:left="1440" w:right="1440" w:firstLine="720"/>
      </w:pPr>
      <w:r w:rsidRPr="00C86516">
        <w:t>The Commission statement relied on by the OCA (that costs should be allocated to the customers who derive the benefit from those costs) is merely a general cost of service statement that recognizes that customers should not bear the costs of facilities not used to serve them, and is modified by the immediately following specific directives concerning direct costs (directly and wholly assigned to the affected class) and common costs (allocated using reasonable cost of services practices).</w:t>
      </w:r>
    </w:p>
    <w:p w:rsidR="00900267" w:rsidRDefault="009357DE" w:rsidP="0039013C">
      <w:pPr>
        <w:ind w:firstLine="0"/>
      </w:pPr>
      <w:r>
        <w:t>I.D.</w:t>
      </w:r>
      <w:r w:rsidR="0039013C">
        <w:t xml:space="preserve"> at 28.</w:t>
      </w:r>
    </w:p>
    <w:p w:rsidR="0039013C" w:rsidRDefault="0039013C" w:rsidP="0039013C">
      <w:pPr>
        <w:ind w:firstLine="0"/>
      </w:pPr>
    </w:p>
    <w:p w:rsidR="0039013C" w:rsidRDefault="001A1B3E" w:rsidP="00D0073E">
      <w:r>
        <w:t xml:space="preserve">The ALJ also concurred with the position presented by PECO, PAIEUG and OSBA that even if the benefits </w:t>
      </w:r>
      <w:r w:rsidR="002A37E0">
        <w:t>for</w:t>
      </w:r>
      <w:r>
        <w:t xml:space="preserve"> each class could be accurately measured, there is no support for the assumption that each customer class would derive the benefits from </w:t>
      </w:r>
      <w:r>
        <w:lastRenderedPageBreak/>
        <w:t xml:space="preserve">smart meter technology in direct proportion to </w:t>
      </w:r>
      <w:r w:rsidR="002A37E0">
        <w:t xml:space="preserve">the class’s demand and energy usage.  </w:t>
      </w:r>
      <w:r w:rsidR="00565FFA">
        <w:t>The ALJ stated</w:t>
      </w:r>
      <w:r w:rsidR="001A1AD6">
        <w:t xml:space="preserve"> that this would shift a large portion of the residential class costs to the other rate classes resulting in a subsidization of the residential class. </w:t>
      </w:r>
      <w:r w:rsidR="002A37E0">
        <w:t xml:space="preserve">Citing </w:t>
      </w:r>
      <w:r w:rsidR="002A37E0" w:rsidRPr="002A37E0">
        <w:rPr>
          <w:i/>
        </w:rPr>
        <w:t>Lloyd v. Pa. Pub. Util. Comm’n</w:t>
      </w:r>
      <w:r w:rsidR="002A37E0">
        <w:t>, 904 A.2d. 1010, 1020 (Pa. C</w:t>
      </w:r>
      <w:r w:rsidR="0039772D">
        <w:t>mwlth</w:t>
      </w:r>
      <w:r w:rsidR="002A37E0">
        <w:t>. 2006)</w:t>
      </w:r>
      <w:r w:rsidR="00565FFA">
        <w:t xml:space="preserve"> (</w:t>
      </w:r>
      <w:r w:rsidR="00565FFA" w:rsidRPr="00565FFA">
        <w:rPr>
          <w:i/>
        </w:rPr>
        <w:t>Lloyd</w:t>
      </w:r>
      <w:r w:rsidR="00565FFA">
        <w:t>)</w:t>
      </w:r>
      <w:r w:rsidR="002A37E0">
        <w:t xml:space="preserve">, </w:t>
      </w:r>
      <w:r w:rsidR="001A1AD6">
        <w:t xml:space="preserve">the ALJ </w:t>
      </w:r>
      <w:r w:rsidR="00CA38CC">
        <w:t>found</w:t>
      </w:r>
      <w:r w:rsidR="001A1AD6">
        <w:t xml:space="preserve"> that this would produce unjust and unreasonable rates since the rates would not be based on a cost</w:t>
      </w:r>
      <w:r w:rsidR="00565FFA">
        <w:t>-</w:t>
      </w:r>
      <w:r w:rsidR="001A1AD6">
        <w:t>of</w:t>
      </w:r>
      <w:r w:rsidR="00565FFA">
        <w:t>-</w:t>
      </w:r>
      <w:r w:rsidR="001A1AD6">
        <w:t xml:space="preserve">service study.  </w:t>
      </w:r>
      <w:r w:rsidR="009357DE">
        <w:t>I.D.</w:t>
      </w:r>
      <w:r w:rsidR="001A1AD6">
        <w:t xml:space="preserve"> at 29. </w:t>
      </w:r>
    </w:p>
    <w:p w:rsidR="001A1AD6" w:rsidRDefault="001A1AD6" w:rsidP="0039013C">
      <w:pPr>
        <w:ind w:firstLine="0"/>
      </w:pPr>
    </w:p>
    <w:p w:rsidR="001A1AD6" w:rsidRDefault="00CA38CC" w:rsidP="0024604B">
      <w:r>
        <w:t xml:space="preserve">The ALJ acknowledged the alternate allocation methodology proposed by the OSBA and concluded that it was unnecessary to address </w:t>
      </w:r>
      <w:r w:rsidR="0061059C">
        <w:t xml:space="preserve">OSBA’s </w:t>
      </w:r>
      <w:r>
        <w:t xml:space="preserve">proposal in light of her </w:t>
      </w:r>
      <w:r w:rsidR="0024604B">
        <w:t xml:space="preserve">recommendation to adopt PECO’s allocation methodology. </w:t>
      </w:r>
      <w:r w:rsidR="0024604B" w:rsidRPr="0024604B">
        <w:rPr>
          <w:i/>
        </w:rPr>
        <w:t>Id.</w:t>
      </w:r>
      <w:r w:rsidR="0024604B">
        <w:t xml:space="preserve"> </w:t>
      </w:r>
    </w:p>
    <w:p w:rsidR="0024604B" w:rsidRDefault="0024604B" w:rsidP="0039013C">
      <w:pPr>
        <w:ind w:firstLine="0"/>
      </w:pPr>
    </w:p>
    <w:p w:rsidR="0024604B" w:rsidRDefault="00917902" w:rsidP="00986A90">
      <w:r>
        <w:t xml:space="preserve">The OCA excepts to the ALJ’s finding that the OCA’s proposed allocation of common costs is inconsistent with traditional cost allocation principles. </w:t>
      </w:r>
      <w:r w:rsidR="00986A90">
        <w:t xml:space="preserve"> The OCA argues the underlying tenet of cost of service studies is to allocate costs among the classes in proportion to which the classes have caused those costs to be incurred.  </w:t>
      </w:r>
      <w:r w:rsidR="00F8707C">
        <w:t>The OCA points to its direct testimony which aver</w:t>
      </w:r>
      <w:r w:rsidR="00FF0E1F">
        <w:t>red</w:t>
      </w:r>
      <w:r w:rsidR="00F8707C">
        <w:t xml:space="preserve"> that what causes the costs of smart metering to be incurred are the benefits that are expected to be derived from the deployment of such a system.  OCA Ex</w:t>
      </w:r>
      <w:r w:rsidR="001025E0">
        <w:t>c</w:t>
      </w:r>
      <w:r w:rsidR="00F8707C">
        <w:t xml:space="preserve">. at 5-6. </w:t>
      </w:r>
    </w:p>
    <w:p w:rsidR="00A6487D" w:rsidRDefault="00A6487D" w:rsidP="00986A90"/>
    <w:p w:rsidR="0024604B" w:rsidRDefault="00A6487D" w:rsidP="00986A90">
      <w:r>
        <w:t xml:space="preserve">The OCA also requests that the ALJ’s and PAIEUG’s position that the Commonwealth Court’s decision </w:t>
      </w:r>
      <w:r w:rsidR="00112A49">
        <w:t xml:space="preserve">in </w:t>
      </w:r>
      <w:r w:rsidRPr="00A6487D">
        <w:rPr>
          <w:i/>
        </w:rPr>
        <w:t>Lloyd</w:t>
      </w:r>
      <w:r w:rsidRPr="00A6487D">
        <w:t xml:space="preserve"> </w:t>
      </w:r>
      <w:r w:rsidR="00112A49">
        <w:t xml:space="preserve">supports PECO’s proposed allocation of common costs be rejected.  </w:t>
      </w:r>
      <w:r w:rsidR="00027AEC">
        <w:t xml:space="preserve">The OCA submits that the </w:t>
      </w:r>
      <w:r w:rsidR="00027AEC" w:rsidRPr="00027AEC">
        <w:rPr>
          <w:i/>
        </w:rPr>
        <w:t>Lloyd</w:t>
      </w:r>
      <w:r w:rsidR="00027AEC">
        <w:t xml:space="preserve"> decision upholds the allocation of the Sustainable Energy Fund (SEF) costs to all classes of customers on the basis that all ratepayers benefit from SEF’s activities.  The OCA argues</w:t>
      </w:r>
      <w:r w:rsidR="00897BE5">
        <w:t>,</w:t>
      </w:r>
      <w:r w:rsidR="00027AEC">
        <w:t xml:space="preserve"> that </w:t>
      </w:r>
      <w:r w:rsidR="006C4F64">
        <w:t>in the face of an argument by industrial customers that SEF provides no demonstrable benefits to ratepayers, the Court stated “</w:t>
      </w:r>
      <w:r w:rsidR="00FF0E1F">
        <w:t>[w]</w:t>
      </w:r>
      <w:r w:rsidR="006C4F64">
        <w:t>hat the core of tha</w:t>
      </w:r>
      <w:r w:rsidR="00FF0E1F">
        <w:t>t argument ignores is that the G</w:t>
      </w:r>
      <w:r w:rsidR="006C4F64">
        <w:t xml:space="preserve">eneral Assembly has specifically authorized that public service programs such as SEF be funded.” </w:t>
      </w:r>
      <w:r w:rsidR="00A6686C">
        <w:t xml:space="preserve"> </w:t>
      </w:r>
      <w:r w:rsidR="00897BE5" w:rsidRPr="00897BE5">
        <w:rPr>
          <w:i/>
        </w:rPr>
        <w:t>Lloyd</w:t>
      </w:r>
      <w:r w:rsidR="00897BE5">
        <w:t xml:space="preserve"> at 1025. </w:t>
      </w:r>
      <w:r w:rsidR="00486F3D">
        <w:t xml:space="preserve"> </w:t>
      </w:r>
      <w:r w:rsidR="00A737C7">
        <w:t xml:space="preserve">The OCA </w:t>
      </w:r>
      <w:r w:rsidR="00107F5A">
        <w:t>submits that the Court note</w:t>
      </w:r>
      <w:r w:rsidR="00D16451">
        <w:t>d</w:t>
      </w:r>
      <w:r w:rsidR="00107F5A">
        <w:t xml:space="preserve"> that the purpose of the </w:t>
      </w:r>
      <w:r w:rsidR="00107F5A">
        <w:lastRenderedPageBreak/>
        <w:t>SEF is “to promote the development and use of renewable energy a</w:t>
      </w:r>
      <w:r w:rsidR="00836D99">
        <w:t>n</w:t>
      </w:r>
      <w:r w:rsidR="00107F5A">
        <w:t xml:space="preserve">d clean </w:t>
      </w:r>
      <w:r w:rsidR="00836D99">
        <w:t xml:space="preserve">energy technologies, energy conservation and efficiency which promote clean energy.”  </w:t>
      </w:r>
      <w:r w:rsidR="00757DC2" w:rsidRPr="00757DC2">
        <w:rPr>
          <w:i/>
        </w:rPr>
        <w:t>Lloyd</w:t>
      </w:r>
      <w:r w:rsidR="00897BE5">
        <w:t xml:space="preserve"> at 1024.  </w:t>
      </w:r>
      <w:r w:rsidR="00836D99">
        <w:t xml:space="preserve">The OCA concludes that similar to the SEF, the smart metering program established by Act 129 </w:t>
      </w:r>
      <w:r w:rsidR="00C60708">
        <w:t>“</w:t>
      </w:r>
      <w:r w:rsidR="00836D99">
        <w:t xml:space="preserve">seeks to further the availability of adequate, reliable, affordable, efficient, and environmentally sustainable </w:t>
      </w:r>
      <w:r w:rsidR="00C60708">
        <w:t>electric service at the least cost, taking into account the benefits of price stability over time and the impact on the environment.”  OCA Ex</w:t>
      </w:r>
      <w:r w:rsidR="00D16451">
        <w:t>c</w:t>
      </w:r>
      <w:r w:rsidR="00C60708">
        <w:t xml:space="preserve">. at 9. </w:t>
      </w:r>
    </w:p>
    <w:p w:rsidR="00C60708" w:rsidRDefault="0061496E" w:rsidP="00986A90">
      <w:r>
        <w:t xml:space="preserve"> </w:t>
      </w:r>
    </w:p>
    <w:p w:rsidR="008814CD" w:rsidRDefault="0061496E" w:rsidP="00986A90">
      <w:pPr>
        <w:rPr>
          <w:szCs w:val="26"/>
        </w:rPr>
      </w:pPr>
      <w:r>
        <w:t xml:space="preserve">We concur with the ALJ’s explanation of the </w:t>
      </w:r>
      <w:r w:rsidRPr="0061496E">
        <w:rPr>
          <w:i/>
        </w:rPr>
        <w:t>Implementation Order</w:t>
      </w:r>
      <w:r>
        <w:t xml:space="preserve">.  It is our intention that </w:t>
      </w:r>
      <w:r w:rsidR="00246AF6">
        <w:t xml:space="preserve">the costs of </w:t>
      </w:r>
      <w:r w:rsidR="0049265D">
        <w:t xml:space="preserve">the </w:t>
      </w:r>
      <w:r w:rsidR="00246AF6" w:rsidRPr="00554403">
        <w:rPr>
          <w:szCs w:val="26"/>
        </w:rPr>
        <w:t>meter data management system</w:t>
      </w:r>
      <w:r w:rsidR="00246AF6">
        <w:rPr>
          <w:szCs w:val="26"/>
        </w:rPr>
        <w:t>, the</w:t>
      </w:r>
      <w:r w:rsidR="00246AF6" w:rsidRPr="00554403">
        <w:rPr>
          <w:szCs w:val="26"/>
        </w:rPr>
        <w:t xml:space="preserve"> information technology investments, the communications network and </w:t>
      </w:r>
      <w:r w:rsidR="00246AF6">
        <w:rPr>
          <w:szCs w:val="26"/>
        </w:rPr>
        <w:t xml:space="preserve">the </w:t>
      </w:r>
      <w:r w:rsidR="00246AF6" w:rsidRPr="00554403">
        <w:rPr>
          <w:szCs w:val="26"/>
        </w:rPr>
        <w:t>support</w:t>
      </w:r>
      <w:r w:rsidR="00FF0E1F">
        <w:rPr>
          <w:szCs w:val="26"/>
        </w:rPr>
        <w:t xml:space="preserve"> and</w:t>
      </w:r>
      <w:r w:rsidR="00246AF6" w:rsidRPr="00554403">
        <w:rPr>
          <w:szCs w:val="26"/>
        </w:rPr>
        <w:t xml:space="preserve"> management </w:t>
      </w:r>
      <w:r w:rsidR="00246AF6">
        <w:rPr>
          <w:szCs w:val="26"/>
        </w:rPr>
        <w:t xml:space="preserve">activities </w:t>
      </w:r>
      <w:r w:rsidR="00246AF6" w:rsidRPr="00554403">
        <w:rPr>
          <w:szCs w:val="26"/>
        </w:rPr>
        <w:t>of the Plan</w:t>
      </w:r>
      <w:r w:rsidR="00FF0E1F">
        <w:rPr>
          <w:szCs w:val="26"/>
        </w:rPr>
        <w:t>,</w:t>
      </w:r>
      <w:r w:rsidR="00246AF6">
        <w:rPr>
          <w:szCs w:val="26"/>
        </w:rPr>
        <w:t xml:space="preserve"> </w:t>
      </w:r>
      <w:r w:rsidR="007B06E7">
        <w:rPr>
          <w:szCs w:val="26"/>
        </w:rPr>
        <w:t xml:space="preserve">and other common costs be allocated to the customer classes based </w:t>
      </w:r>
      <w:r w:rsidR="00B273B9">
        <w:rPr>
          <w:szCs w:val="26"/>
        </w:rPr>
        <w:t xml:space="preserve">upon </w:t>
      </w:r>
      <w:r w:rsidR="0049265D">
        <w:rPr>
          <w:szCs w:val="26"/>
        </w:rPr>
        <w:t xml:space="preserve">the extent to which these investments and services enable customers to participate in the smart meter program.  </w:t>
      </w:r>
      <w:r w:rsidR="00D16E69">
        <w:rPr>
          <w:szCs w:val="26"/>
        </w:rPr>
        <w:t xml:space="preserve">Since the size of the network needed to read the meters and the size of the system used to store meter data is most closely reflected by the number of meter locations that have to be connected, we find that common costs should be allocated based on the number </w:t>
      </w:r>
      <w:r w:rsidR="00D16451">
        <w:rPr>
          <w:szCs w:val="26"/>
        </w:rPr>
        <w:t xml:space="preserve">of </w:t>
      </w:r>
      <w:r w:rsidR="00D16E69">
        <w:rPr>
          <w:szCs w:val="26"/>
        </w:rPr>
        <w:t xml:space="preserve">meters </w:t>
      </w:r>
      <w:r w:rsidR="00E54239">
        <w:rPr>
          <w:szCs w:val="26"/>
        </w:rPr>
        <w:t>connected to the system.</w:t>
      </w:r>
      <w:r w:rsidR="008814CD">
        <w:rPr>
          <w:szCs w:val="26"/>
        </w:rPr>
        <w:t xml:space="preserve">  </w:t>
      </w:r>
    </w:p>
    <w:p w:rsidR="008814CD" w:rsidRDefault="008814CD" w:rsidP="00986A90">
      <w:pPr>
        <w:rPr>
          <w:szCs w:val="26"/>
        </w:rPr>
      </w:pPr>
    </w:p>
    <w:p w:rsidR="00D91BC3" w:rsidRDefault="008814CD" w:rsidP="00917C56">
      <w:r>
        <w:rPr>
          <w:szCs w:val="26"/>
        </w:rPr>
        <w:t xml:space="preserve">Even if we were to </w:t>
      </w:r>
      <w:r w:rsidR="00D16451">
        <w:rPr>
          <w:szCs w:val="26"/>
        </w:rPr>
        <w:t>adopt</w:t>
      </w:r>
      <w:r>
        <w:rPr>
          <w:szCs w:val="26"/>
        </w:rPr>
        <w:t xml:space="preserve"> the OCA’s position that common costs were to </w:t>
      </w:r>
      <w:r w:rsidR="00B273B9">
        <w:rPr>
          <w:szCs w:val="26"/>
        </w:rPr>
        <w:t xml:space="preserve">be </w:t>
      </w:r>
      <w:r>
        <w:rPr>
          <w:szCs w:val="26"/>
        </w:rPr>
        <w:t xml:space="preserve">allocated based on the conservation and load management benefits realized by the customers in each rate class, </w:t>
      </w:r>
      <w:r w:rsidR="00F61452">
        <w:rPr>
          <w:szCs w:val="26"/>
        </w:rPr>
        <w:t xml:space="preserve">an allocation </w:t>
      </w:r>
      <w:r w:rsidR="0008211C">
        <w:rPr>
          <w:szCs w:val="26"/>
        </w:rPr>
        <w:t xml:space="preserve">based on customer energy consumption and demand would not reflect those incremental benefits.  As discussed, </w:t>
      </w:r>
      <w:r w:rsidR="0008211C" w:rsidRPr="00917C56">
        <w:rPr>
          <w:i/>
          <w:szCs w:val="26"/>
        </w:rPr>
        <w:t>supra</w:t>
      </w:r>
      <w:r w:rsidR="0008211C">
        <w:rPr>
          <w:szCs w:val="26"/>
        </w:rPr>
        <w:t xml:space="preserve">, there is a </w:t>
      </w:r>
      <w:r w:rsidR="00917C56">
        <w:rPr>
          <w:szCs w:val="26"/>
        </w:rPr>
        <w:t>considerable variation</w:t>
      </w:r>
      <w:r w:rsidR="0008211C">
        <w:rPr>
          <w:szCs w:val="26"/>
        </w:rPr>
        <w:t xml:space="preserve"> in the extent to which customers in the </w:t>
      </w:r>
      <w:r w:rsidR="00917C56">
        <w:rPr>
          <w:szCs w:val="26"/>
        </w:rPr>
        <w:t>three rate classes have already undertaken conservation and demand management endeavors. `</w:t>
      </w:r>
      <w:bookmarkStart w:id="29" w:name="_Toc252882416"/>
    </w:p>
    <w:p w:rsidR="00D91BC3" w:rsidRDefault="00D91BC3" w:rsidP="00940B59">
      <w:pPr>
        <w:pStyle w:val="Heading1"/>
      </w:pPr>
    </w:p>
    <w:p w:rsidR="00D91BC3" w:rsidRDefault="00917C56" w:rsidP="004010CF">
      <w:pPr>
        <w:pStyle w:val="Heading3"/>
        <w:keepLines w:val="0"/>
      </w:pPr>
      <w:bookmarkStart w:id="30" w:name="_Toc260130909"/>
      <w:r>
        <w:t>2.</w:t>
      </w:r>
      <w:r>
        <w:tab/>
        <w:t xml:space="preserve">Recovery of Costs from the Small </w:t>
      </w:r>
      <w:r w:rsidR="00DC6765">
        <w:t>C&amp;I Class</w:t>
      </w:r>
      <w:bookmarkEnd w:id="30"/>
    </w:p>
    <w:p w:rsidR="00DC6765" w:rsidRPr="00DC6765" w:rsidRDefault="00DC6765" w:rsidP="004010CF">
      <w:pPr>
        <w:keepNext/>
      </w:pPr>
    </w:p>
    <w:p w:rsidR="00917C56" w:rsidRDefault="00010B8F" w:rsidP="004010CF">
      <w:pPr>
        <w:keepNext/>
      </w:pPr>
      <w:r>
        <w:t>As discussed</w:t>
      </w:r>
      <w:r w:rsidR="00856475">
        <w:t>,</w:t>
      </w:r>
      <w:r>
        <w:t xml:space="preserve"> </w:t>
      </w:r>
      <w:r w:rsidRPr="00010B8F">
        <w:rPr>
          <w:i/>
        </w:rPr>
        <w:t>supra</w:t>
      </w:r>
      <w:r>
        <w:t>, the Settlement Petition provides that all metering costs will be re</w:t>
      </w:r>
      <w:r w:rsidR="005B27C6">
        <w:t xml:space="preserve">covered from both small and large C&amp;I customers through </w:t>
      </w:r>
      <w:r w:rsidR="00D16451">
        <w:t>a</w:t>
      </w:r>
      <w:r w:rsidR="005B27C6">
        <w:t xml:space="preserve"> customer charge and from residential customers on a per kWh basis.  </w:t>
      </w:r>
      <w:r w:rsidR="00954ACF">
        <w:t xml:space="preserve">The </w:t>
      </w:r>
      <w:r w:rsidR="00DC6765">
        <w:t xml:space="preserve">OSBA </w:t>
      </w:r>
      <w:r w:rsidR="00954ACF">
        <w:t xml:space="preserve">requests that the Commission </w:t>
      </w:r>
      <w:r w:rsidR="00737597">
        <w:t>direct that common costs be allocated to the small C&amp;I customers on a per kWh basis,</w:t>
      </w:r>
      <w:r w:rsidR="00954ACF">
        <w:t xml:space="preserve"> if the Commission were to adopt the OCA’s proposed allocation of common costs.  </w:t>
      </w:r>
      <w:r w:rsidR="00737597">
        <w:t xml:space="preserve">Otherwise, </w:t>
      </w:r>
      <w:r w:rsidR="00D16451">
        <w:t>t</w:t>
      </w:r>
      <w:r w:rsidR="00737597">
        <w:t xml:space="preserve">he OSBA supports the allocation proposed in the Settlement </w:t>
      </w:r>
      <w:r w:rsidR="00D16451">
        <w:t>P</w:t>
      </w:r>
      <w:r w:rsidR="00737597">
        <w:t xml:space="preserve">etition. </w:t>
      </w:r>
      <w:r w:rsidR="00954ACF">
        <w:t>OSBA Exc. at 15</w:t>
      </w:r>
      <w:r w:rsidR="00737597">
        <w:t>-19</w:t>
      </w:r>
      <w:r w:rsidR="00954ACF">
        <w:t xml:space="preserve">.  </w:t>
      </w:r>
      <w:r w:rsidR="00AF521F">
        <w:t xml:space="preserve">Since we are adopting the allocation of common costs </w:t>
      </w:r>
      <w:r w:rsidR="00511382">
        <w:t xml:space="preserve">as </w:t>
      </w:r>
      <w:r w:rsidR="00AF521F">
        <w:t xml:space="preserve">set forth in the Plan, we </w:t>
      </w:r>
      <w:r w:rsidR="00737597">
        <w:t xml:space="preserve">do </w:t>
      </w:r>
      <w:r w:rsidR="00D16451">
        <w:t xml:space="preserve">not </w:t>
      </w:r>
      <w:r w:rsidR="00737597">
        <w:t xml:space="preserve">need to address a recovery methodology different </w:t>
      </w:r>
      <w:r w:rsidR="00106E4F">
        <w:t xml:space="preserve">from the </w:t>
      </w:r>
      <w:r w:rsidR="00737597">
        <w:t xml:space="preserve"> methodology </w:t>
      </w:r>
      <w:r w:rsidR="00511382">
        <w:t>proposed in the Settlement petition.</w:t>
      </w:r>
      <w:r w:rsidR="00AF521F">
        <w:t xml:space="preserve"> </w:t>
      </w:r>
    </w:p>
    <w:p w:rsidR="00917C56" w:rsidRDefault="00917C56" w:rsidP="00917C56"/>
    <w:p w:rsidR="006546AC" w:rsidRPr="007D018F" w:rsidRDefault="006546AC" w:rsidP="00FF0E1F">
      <w:pPr>
        <w:pStyle w:val="Heading3"/>
        <w:keepLines w:val="0"/>
      </w:pPr>
      <w:bookmarkStart w:id="31" w:name="_Toc260130910"/>
      <w:r>
        <w:t>3.</w:t>
      </w:r>
      <w:r>
        <w:tab/>
        <w:t>Sub-hourly Metering</w:t>
      </w:r>
      <w:bookmarkEnd w:id="31"/>
    </w:p>
    <w:p w:rsidR="006546AC" w:rsidRPr="007D018F" w:rsidRDefault="006546AC" w:rsidP="00FF0E1F">
      <w:pPr>
        <w:keepNext/>
        <w:rPr>
          <w:szCs w:val="26"/>
        </w:rPr>
      </w:pPr>
    </w:p>
    <w:p w:rsidR="00EE1664" w:rsidRDefault="006546AC" w:rsidP="00FF0E1F">
      <w:pPr>
        <w:keepNext/>
        <w:rPr>
          <w:color w:val="000000"/>
          <w:szCs w:val="26"/>
        </w:rPr>
      </w:pPr>
      <w:r w:rsidRPr="007D018F">
        <w:rPr>
          <w:color w:val="000000"/>
          <w:szCs w:val="26"/>
        </w:rPr>
        <w:t xml:space="preserve">The </w:t>
      </w:r>
      <w:r w:rsidRPr="00DD126B">
        <w:rPr>
          <w:i/>
          <w:color w:val="000000"/>
          <w:szCs w:val="26"/>
        </w:rPr>
        <w:t>Implementation Order</w:t>
      </w:r>
      <w:r w:rsidRPr="007D018F">
        <w:rPr>
          <w:color w:val="000000"/>
          <w:szCs w:val="26"/>
        </w:rPr>
        <w:t xml:space="preserve"> requires parties to address the ability to provide hourly </w:t>
      </w:r>
      <w:r w:rsidRPr="00816D81">
        <w:rPr>
          <w:i/>
          <w:color w:val="000000"/>
          <w:szCs w:val="26"/>
        </w:rPr>
        <w:t>or more frequent</w:t>
      </w:r>
      <w:r w:rsidRPr="007D018F">
        <w:rPr>
          <w:color w:val="000000"/>
          <w:szCs w:val="26"/>
        </w:rPr>
        <w:t xml:space="preserve"> energy usage data.  </w:t>
      </w:r>
      <w:r w:rsidRPr="00DD126B">
        <w:rPr>
          <w:i/>
          <w:color w:val="000000"/>
          <w:szCs w:val="26"/>
        </w:rPr>
        <w:t>Implementation Order</w:t>
      </w:r>
      <w:r>
        <w:rPr>
          <w:color w:val="000000"/>
          <w:szCs w:val="26"/>
        </w:rPr>
        <w:t xml:space="preserve"> at 16.  </w:t>
      </w:r>
      <w:r w:rsidRPr="007D018F">
        <w:rPr>
          <w:color w:val="000000"/>
          <w:szCs w:val="26"/>
        </w:rPr>
        <w:t>While energy markets only require information on hourly usage, these requirements may not be responsive to the</w:t>
      </w:r>
      <w:r>
        <w:rPr>
          <w:color w:val="000000"/>
          <w:szCs w:val="26"/>
        </w:rPr>
        <w:t xml:space="preserve"> regional transmission organization </w:t>
      </w:r>
      <w:r w:rsidRPr="007D018F">
        <w:rPr>
          <w:color w:val="000000"/>
          <w:szCs w:val="26"/>
        </w:rPr>
        <w:t xml:space="preserve">requirements of </w:t>
      </w:r>
      <w:r w:rsidRPr="00816D81">
        <w:rPr>
          <w:i/>
          <w:color w:val="000000"/>
          <w:szCs w:val="26"/>
        </w:rPr>
        <w:t>ancillary</w:t>
      </w:r>
      <w:r w:rsidRPr="007D018F">
        <w:rPr>
          <w:color w:val="000000"/>
          <w:szCs w:val="26"/>
        </w:rPr>
        <w:t xml:space="preserve"> services.  </w:t>
      </w:r>
    </w:p>
    <w:p w:rsidR="00EE1664" w:rsidRDefault="00EE1664" w:rsidP="00FF0E1F">
      <w:pPr>
        <w:keepNext/>
        <w:rPr>
          <w:color w:val="000000"/>
          <w:szCs w:val="26"/>
        </w:rPr>
      </w:pPr>
    </w:p>
    <w:p w:rsidR="006546AC" w:rsidRPr="007D018F" w:rsidRDefault="00EE1664" w:rsidP="00FF0E1F">
      <w:pPr>
        <w:keepNext/>
        <w:rPr>
          <w:color w:val="000000"/>
          <w:szCs w:val="26"/>
        </w:rPr>
      </w:pPr>
      <w:r>
        <w:rPr>
          <w:color w:val="000000"/>
          <w:szCs w:val="26"/>
        </w:rPr>
        <w:t>As discussed</w:t>
      </w:r>
      <w:r w:rsidR="00D96EE5">
        <w:rPr>
          <w:color w:val="000000"/>
          <w:szCs w:val="26"/>
        </w:rPr>
        <w:t>,</w:t>
      </w:r>
      <w:r>
        <w:rPr>
          <w:color w:val="000000"/>
          <w:szCs w:val="26"/>
        </w:rPr>
        <w:t xml:space="preserve"> </w:t>
      </w:r>
      <w:r w:rsidRPr="00EE1664">
        <w:rPr>
          <w:i/>
          <w:color w:val="000000"/>
          <w:szCs w:val="26"/>
        </w:rPr>
        <w:t>supra</w:t>
      </w:r>
      <w:r>
        <w:rPr>
          <w:color w:val="000000"/>
          <w:szCs w:val="26"/>
        </w:rPr>
        <w:t xml:space="preserve">, the Settlement Petition </w:t>
      </w:r>
      <w:r w:rsidR="00C73CBD">
        <w:rPr>
          <w:color w:val="000000"/>
          <w:szCs w:val="26"/>
        </w:rPr>
        <w:t>establishe</w:t>
      </w:r>
      <w:r w:rsidR="00FF0E1F">
        <w:rPr>
          <w:color w:val="000000"/>
          <w:szCs w:val="26"/>
        </w:rPr>
        <w:t>s</w:t>
      </w:r>
      <w:r w:rsidR="00C73CBD">
        <w:rPr>
          <w:color w:val="000000"/>
          <w:szCs w:val="26"/>
        </w:rPr>
        <w:t xml:space="preserve"> a definitive stakeholder process and specific issues to be addressed as part of the process.  By this Opinion and </w:t>
      </w:r>
      <w:r w:rsidR="00D36D89">
        <w:rPr>
          <w:color w:val="000000"/>
          <w:szCs w:val="26"/>
        </w:rPr>
        <w:t>O</w:t>
      </w:r>
      <w:r w:rsidR="00C73CBD">
        <w:rPr>
          <w:color w:val="000000"/>
          <w:szCs w:val="26"/>
        </w:rPr>
        <w:t xml:space="preserve">rder, we direct PECO and request that </w:t>
      </w:r>
      <w:r w:rsidR="00D36D89">
        <w:rPr>
          <w:color w:val="000000"/>
          <w:szCs w:val="26"/>
        </w:rPr>
        <w:t xml:space="preserve">the other </w:t>
      </w:r>
      <w:r w:rsidR="00D16451">
        <w:rPr>
          <w:color w:val="000000"/>
          <w:szCs w:val="26"/>
        </w:rPr>
        <w:t>P</w:t>
      </w:r>
      <w:r w:rsidR="006546AC" w:rsidRPr="007D018F">
        <w:rPr>
          <w:color w:val="000000"/>
          <w:szCs w:val="26"/>
        </w:rPr>
        <w:t>arties address the need, ability, and cost</w:t>
      </w:r>
      <w:r w:rsidR="006546AC">
        <w:rPr>
          <w:color w:val="000000"/>
          <w:szCs w:val="26"/>
        </w:rPr>
        <w:t xml:space="preserve"> for sub-hourly metering.  </w:t>
      </w:r>
      <w:r w:rsidR="00C73CBD">
        <w:rPr>
          <w:color w:val="000000"/>
          <w:szCs w:val="26"/>
        </w:rPr>
        <w:t>Specifically, t</w:t>
      </w:r>
      <w:r w:rsidR="006546AC">
        <w:rPr>
          <w:color w:val="000000"/>
          <w:szCs w:val="26"/>
        </w:rPr>
        <w:t>he P</w:t>
      </w:r>
      <w:r w:rsidR="006546AC" w:rsidRPr="007D018F">
        <w:rPr>
          <w:color w:val="000000"/>
          <w:szCs w:val="26"/>
        </w:rPr>
        <w:t xml:space="preserve">arties should address the following issues for residential, small </w:t>
      </w:r>
      <w:r w:rsidR="00FF0E1F">
        <w:rPr>
          <w:color w:val="000000"/>
          <w:szCs w:val="26"/>
        </w:rPr>
        <w:t>C&amp;I</w:t>
      </w:r>
      <w:r w:rsidR="006546AC">
        <w:rPr>
          <w:color w:val="000000"/>
          <w:szCs w:val="26"/>
        </w:rPr>
        <w:t xml:space="preserve"> </w:t>
      </w:r>
      <w:r w:rsidR="006546AC" w:rsidRPr="007D018F">
        <w:rPr>
          <w:color w:val="000000"/>
          <w:szCs w:val="26"/>
        </w:rPr>
        <w:t xml:space="preserve">and large </w:t>
      </w:r>
      <w:r w:rsidR="00FF0E1F">
        <w:rPr>
          <w:color w:val="000000"/>
          <w:szCs w:val="26"/>
        </w:rPr>
        <w:t>C&amp;I</w:t>
      </w:r>
      <w:r w:rsidR="006546AC">
        <w:rPr>
          <w:color w:val="000000"/>
          <w:szCs w:val="26"/>
        </w:rPr>
        <w:t xml:space="preserve"> </w:t>
      </w:r>
      <w:r w:rsidR="006546AC" w:rsidRPr="007D018F">
        <w:rPr>
          <w:color w:val="000000"/>
          <w:szCs w:val="26"/>
        </w:rPr>
        <w:t>customers</w:t>
      </w:r>
      <w:r w:rsidR="00D16451">
        <w:rPr>
          <w:color w:val="000000"/>
          <w:szCs w:val="26"/>
        </w:rPr>
        <w:t>:</w:t>
      </w:r>
    </w:p>
    <w:p w:rsidR="006546AC" w:rsidRPr="007D018F" w:rsidRDefault="006546AC" w:rsidP="006546AC">
      <w:pPr>
        <w:rPr>
          <w:color w:val="000000"/>
          <w:szCs w:val="26"/>
        </w:rPr>
      </w:pPr>
    </w:p>
    <w:p w:rsidR="006546AC" w:rsidRPr="007D018F" w:rsidRDefault="006546AC" w:rsidP="000B5DC7">
      <w:pPr>
        <w:numPr>
          <w:ilvl w:val="0"/>
          <w:numId w:val="22"/>
        </w:numPr>
        <w:spacing w:after="240" w:line="240" w:lineRule="auto"/>
        <w:ind w:left="1440" w:right="1440" w:hanging="720"/>
        <w:rPr>
          <w:szCs w:val="26"/>
        </w:rPr>
      </w:pPr>
      <w:r>
        <w:rPr>
          <w:szCs w:val="26"/>
        </w:rPr>
        <w:t>What are the capabilities</w:t>
      </w:r>
      <w:r w:rsidRPr="007D018F">
        <w:rPr>
          <w:szCs w:val="26"/>
        </w:rPr>
        <w:t xml:space="preserve"> and limitations of proposed smart meters to measure and record sub-hourly usage?</w:t>
      </w:r>
    </w:p>
    <w:p w:rsidR="006546AC" w:rsidRPr="007D018F" w:rsidRDefault="006546AC" w:rsidP="000B5DC7">
      <w:pPr>
        <w:numPr>
          <w:ilvl w:val="0"/>
          <w:numId w:val="22"/>
        </w:numPr>
        <w:spacing w:after="240" w:line="240" w:lineRule="auto"/>
        <w:ind w:left="1440" w:right="1440" w:hanging="720"/>
        <w:rPr>
          <w:szCs w:val="26"/>
        </w:rPr>
      </w:pPr>
      <w:r>
        <w:rPr>
          <w:szCs w:val="26"/>
        </w:rPr>
        <w:lastRenderedPageBreak/>
        <w:t>What are the capabilities</w:t>
      </w:r>
      <w:r w:rsidRPr="007D018F">
        <w:rPr>
          <w:szCs w:val="26"/>
        </w:rPr>
        <w:t xml:space="preserve"> and limitations of proposed smart meter communication and data storag</w:t>
      </w:r>
      <w:r>
        <w:rPr>
          <w:szCs w:val="26"/>
        </w:rPr>
        <w:t>e systems to transmit and stor</w:t>
      </w:r>
      <w:r w:rsidRPr="007D018F">
        <w:rPr>
          <w:szCs w:val="26"/>
        </w:rPr>
        <w:t>e sub-hourly usage information?</w:t>
      </w:r>
    </w:p>
    <w:p w:rsidR="006546AC" w:rsidRPr="007D018F" w:rsidRDefault="006546AC" w:rsidP="000B5DC7">
      <w:pPr>
        <w:numPr>
          <w:ilvl w:val="0"/>
          <w:numId w:val="22"/>
        </w:numPr>
        <w:spacing w:after="240" w:line="240" w:lineRule="auto"/>
        <w:ind w:left="1440" w:right="1440" w:hanging="720"/>
        <w:rPr>
          <w:szCs w:val="26"/>
        </w:rPr>
      </w:pPr>
      <w:r w:rsidRPr="007D018F">
        <w:rPr>
          <w:szCs w:val="26"/>
        </w:rPr>
        <w:t>What are the sub-hourly PJM requirements for participation in ancillary service markets?</w:t>
      </w:r>
    </w:p>
    <w:p w:rsidR="006546AC" w:rsidRPr="007D018F" w:rsidRDefault="006546AC" w:rsidP="000B5DC7">
      <w:pPr>
        <w:numPr>
          <w:ilvl w:val="0"/>
          <w:numId w:val="22"/>
        </w:numPr>
        <w:spacing w:after="240" w:line="240" w:lineRule="auto"/>
        <w:ind w:left="1440" w:right="1440" w:hanging="720"/>
        <w:rPr>
          <w:szCs w:val="26"/>
        </w:rPr>
      </w:pPr>
      <w:r w:rsidRPr="007D018F">
        <w:rPr>
          <w:szCs w:val="26"/>
        </w:rPr>
        <w:t>What are the Compan</w:t>
      </w:r>
      <w:r w:rsidR="00D16451">
        <w:rPr>
          <w:szCs w:val="26"/>
        </w:rPr>
        <w:t>y’</w:t>
      </w:r>
      <w:r>
        <w:rPr>
          <w:szCs w:val="26"/>
        </w:rPr>
        <w:t>s</w:t>
      </w:r>
      <w:r w:rsidRPr="007D018F">
        <w:rPr>
          <w:szCs w:val="26"/>
        </w:rPr>
        <w:t xml:space="preserve"> incremental smart meter, communication, data storage, and data sharing costs associated with these sub-hourly requirements for ancillary services?</w:t>
      </w:r>
    </w:p>
    <w:p w:rsidR="006546AC" w:rsidRPr="007D018F" w:rsidRDefault="006546AC" w:rsidP="000B5DC7">
      <w:pPr>
        <w:numPr>
          <w:ilvl w:val="0"/>
          <w:numId w:val="22"/>
        </w:numPr>
        <w:spacing w:after="240" w:line="240" w:lineRule="auto"/>
        <w:ind w:left="1440" w:right="1440" w:hanging="720"/>
        <w:rPr>
          <w:szCs w:val="26"/>
        </w:rPr>
      </w:pPr>
      <w:r w:rsidRPr="007D018F">
        <w:rPr>
          <w:szCs w:val="26"/>
        </w:rPr>
        <w:t xml:space="preserve">What are the incremental equipment and installation costs of pulse data recorders used to measure sub-hourly meter data?  </w:t>
      </w:r>
    </w:p>
    <w:p w:rsidR="006546AC" w:rsidRPr="007D018F" w:rsidRDefault="006546AC" w:rsidP="000B5DC7">
      <w:pPr>
        <w:numPr>
          <w:ilvl w:val="0"/>
          <w:numId w:val="22"/>
        </w:numPr>
        <w:spacing w:after="240" w:line="240" w:lineRule="auto"/>
        <w:ind w:left="1440" w:right="1440" w:hanging="720"/>
        <w:rPr>
          <w:szCs w:val="26"/>
        </w:rPr>
      </w:pPr>
      <w:r w:rsidRPr="007D018F">
        <w:rPr>
          <w:szCs w:val="26"/>
        </w:rPr>
        <w:t>Is a pulse data recorder attached to the Compan</w:t>
      </w:r>
      <w:r w:rsidR="00CF0834">
        <w:rPr>
          <w:szCs w:val="26"/>
        </w:rPr>
        <w:t>y’</w:t>
      </w:r>
      <w:r>
        <w:rPr>
          <w:szCs w:val="26"/>
        </w:rPr>
        <w:t>s</w:t>
      </w:r>
      <w:r w:rsidRPr="007D018F">
        <w:rPr>
          <w:szCs w:val="26"/>
        </w:rPr>
        <w:t xml:space="preserve"> meter sufficiently accurate for use by PJM in its ancillary markets, or is redundant metering required to meet PJM standards?</w:t>
      </w:r>
    </w:p>
    <w:p w:rsidR="006546AC" w:rsidRPr="007D018F" w:rsidRDefault="006546AC" w:rsidP="000B5DC7">
      <w:pPr>
        <w:numPr>
          <w:ilvl w:val="0"/>
          <w:numId w:val="22"/>
        </w:numPr>
        <w:spacing w:after="240" w:line="240" w:lineRule="auto"/>
        <w:ind w:left="1440" w:right="1440" w:hanging="720"/>
        <w:rPr>
          <w:szCs w:val="26"/>
        </w:rPr>
      </w:pPr>
      <w:r w:rsidRPr="007D018F">
        <w:rPr>
          <w:szCs w:val="26"/>
        </w:rPr>
        <w:t xml:space="preserve">What are the additional customer costs associated with (1) transferring pulse meter information from the meter to inside the customer’s premise, (2) processing this data into </w:t>
      </w:r>
      <w:r w:rsidR="00CF0834">
        <w:rPr>
          <w:szCs w:val="26"/>
        </w:rPr>
        <w:t xml:space="preserve">a </w:t>
      </w:r>
      <w:r w:rsidRPr="007D018F">
        <w:rPr>
          <w:szCs w:val="26"/>
        </w:rPr>
        <w:t xml:space="preserve">usable format, (3) communicating the data to a </w:t>
      </w:r>
      <w:r>
        <w:rPr>
          <w:szCs w:val="26"/>
        </w:rPr>
        <w:t xml:space="preserve">third </w:t>
      </w:r>
      <w:r w:rsidRPr="007D018F">
        <w:rPr>
          <w:szCs w:val="26"/>
        </w:rPr>
        <w:t>party or PJM?</w:t>
      </w:r>
    </w:p>
    <w:p w:rsidR="00092561" w:rsidRDefault="006546AC">
      <w:pPr>
        <w:numPr>
          <w:ilvl w:val="0"/>
          <w:numId w:val="22"/>
        </w:numPr>
        <w:spacing w:line="240" w:lineRule="auto"/>
        <w:ind w:left="1440" w:right="1440" w:hanging="720"/>
        <w:rPr>
          <w:szCs w:val="26"/>
        </w:rPr>
      </w:pPr>
      <w:r w:rsidRPr="007D018F">
        <w:rPr>
          <w:szCs w:val="26"/>
        </w:rPr>
        <w:t>To the extent a customer requests sub-hourly data, what, if any</w:t>
      </w:r>
      <w:r w:rsidR="008337F9">
        <w:rPr>
          <w:szCs w:val="26"/>
        </w:rPr>
        <w:t>,</w:t>
      </w:r>
      <w:r w:rsidRPr="007D018F">
        <w:rPr>
          <w:szCs w:val="26"/>
        </w:rPr>
        <w:t xml:space="preserve"> cost recovery charge is appropriate.  For example, would it be appropriate to have a customer charge that varies with the level of sub-hourly metering requested, and, if so, what would those sub-hourly metering charges be?</w:t>
      </w:r>
    </w:p>
    <w:p w:rsidR="006546AC" w:rsidRPr="007D018F" w:rsidRDefault="006546AC" w:rsidP="006546AC">
      <w:pPr>
        <w:rPr>
          <w:szCs w:val="26"/>
        </w:rPr>
      </w:pPr>
    </w:p>
    <w:p w:rsidR="006546AC" w:rsidRPr="007D018F" w:rsidRDefault="000B5DC7" w:rsidP="006546AC">
      <w:pPr>
        <w:rPr>
          <w:szCs w:val="26"/>
        </w:rPr>
      </w:pPr>
      <w:r>
        <w:rPr>
          <w:szCs w:val="26"/>
        </w:rPr>
        <w:t xml:space="preserve">As a supplement to the collaborative </w:t>
      </w:r>
      <w:r w:rsidR="00D36D89">
        <w:rPr>
          <w:szCs w:val="26"/>
        </w:rPr>
        <w:t xml:space="preserve">process </w:t>
      </w:r>
      <w:r w:rsidR="00DE30AE">
        <w:rPr>
          <w:szCs w:val="26"/>
        </w:rPr>
        <w:t xml:space="preserve">with </w:t>
      </w:r>
      <w:r w:rsidR="00D36D89">
        <w:rPr>
          <w:szCs w:val="26"/>
        </w:rPr>
        <w:t xml:space="preserve">the Parties, PECO shall provide a </w:t>
      </w:r>
      <w:r w:rsidR="00D36D89" w:rsidRPr="007D018F">
        <w:rPr>
          <w:szCs w:val="26"/>
        </w:rPr>
        <w:t>thorough cost/benefi</w:t>
      </w:r>
      <w:r w:rsidR="00D36D89">
        <w:rPr>
          <w:szCs w:val="26"/>
        </w:rPr>
        <w:t xml:space="preserve">t analysis for review by the </w:t>
      </w:r>
      <w:r w:rsidR="00CF0834">
        <w:rPr>
          <w:szCs w:val="26"/>
        </w:rPr>
        <w:t>P</w:t>
      </w:r>
      <w:r w:rsidR="00D36D89" w:rsidRPr="007D018F">
        <w:rPr>
          <w:szCs w:val="26"/>
        </w:rPr>
        <w:t>arties.</w:t>
      </w:r>
      <w:r w:rsidR="00D36D89">
        <w:rPr>
          <w:szCs w:val="26"/>
        </w:rPr>
        <w:t xml:space="preserve"> </w:t>
      </w:r>
      <w:r w:rsidR="006546AC" w:rsidRPr="007D018F">
        <w:rPr>
          <w:szCs w:val="26"/>
        </w:rPr>
        <w:t xml:space="preserve"> </w:t>
      </w:r>
      <w:r w:rsidR="00D36D89">
        <w:rPr>
          <w:szCs w:val="26"/>
        </w:rPr>
        <w:t>T</w:t>
      </w:r>
      <w:r w:rsidR="006546AC" w:rsidRPr="007D018F">
        <w:rPr>
          <w:szCs w:val="26"/>
        </w:rPr>
        <w:t xml:space="preserve">he results </w:t>
      </w:r>
      <w:r w:rsidR="00E45BAC">
        <w:rPr>
          <w:szCs w:val="26"/>
        </w:rPr>
        <w:t xml:space="preserve">of the collaborative process on sub-hourly metering shall </w:t>
      </w:r>
      <w:r w:rsidR="006546AC" w:rsidRPr="007D018F">
        <w:rPr>
          <w:szCs w:val="26"/>
        </w:rPr>
        <w:t xml:space="preserve">be </w:t>
      </w:r>
      <w:r w:rsidR="00307864">
        <w:rPr>
          <w:szCs w:val="26"/>
        </w:rPr>
        <w:t>submitted with the initial dynamic pricing and customer acceptance program expected to be filed with the Commission in June 2010.</w:t>
      </w:r>
    </w:p>
    <w:p w:rsidR="009B72C5" w:rsidRDefault="009B72C5" w:rsidP="00917C56"/>
    <w:p w:rsidR="00092561" w:rsidRDefault="00EA20C7">
      <w:pPr>
        <w:pStyle w:val="Heading3"/>
        <w:keepLines w:val="0"/>
      </w:pPr>
      <w:bookmarkStart w:id="32" w:name="_Toc260130911"/>
      <w:r>
        <w:lastRenderedPageBreak/>
        <w:t>4</w:t>
      </w:r>
      <w:r w:rsidR="00864A18">
        <w:t>.</w:t>
      </w:r>
      <w:r w:rsidR="00864A18">
        <w:tab/>
        <w:t>E</w:t>
      </w:r>
      <w:r>
        <w:t>lectric Data Interchange Historic Interval Usage (</w:t>
      </w:r>
      <w:r w:rsidR="00272FA4">
        <w:t xml:space="preserve">EDI </w:t>
      </w:r>
      <w:r>
        <w:t xml:space="preserve">HIU) </w:t>
      </w:r>
      <w:r w:rsidR="009B3173">
        <w:t xml:space="preserve">                            </w:t>
      </w:r>
      <w:r w:rsidR="009B3173">
        <w:tab/>
        <w:t xml:space="preserve">                      </w:t>
      </w:r>
      <w:r w:rsidR="00272FA4">
        <w:t>Protocols</w:t>
      </w:r>
      <w:bookmarkEnd w:id="32"/>
    </w:p>
    <w:p w:rsidR="00092561" w:rsidRDefault="00092561">
      <w:pPr>
        <w:keepNext/>
      </w:pPr>
    </w:p>
    <w:p w:rsidR="00092561" w:rsidRDefault="0099091F">
      <w:pPr>
        <w:pStyle w:val="FootnoteText"/>
        <w:keepNext/>
        <w:rPr>
          <w:bCs/>
          <w:sz w:val="26"/>
          <w:szCs w:val="26"/>
        </w:rPr>
      </w:pPr>
      <w:r w:rsidRPr="0099091F">
        <w:rPr>
          <w:sz w:val="26"/>
          <w:szCs w:val="26"/>
        </w:rPr>
        <w:t xml:space="preserve">Embedded in PECO’s Plan was a commitment to provide consumption data and other customer information to third parties via established EDI protocols and data transfer methods described in the </w:t>
      </w:r>
      <w:r w:rsidRPr="0099091F">
        <w:rPr>
          <w:i/>
          <w:sz w:val="26"/>
          <w:szCs w:val="26"/>
        </w:rPr>
        <w:t>Implementation Order</w:t>
      </w:r>
      <w:r w:rsidRPr="0099091F">
        <w:rPr>
          <w:sz w:val="26"/>
          <w:szCs w:val="26"/>
        </w:rPr>
        <w:t>.</w:t>
      </w:r>
      <w:r w:rsidR="006D53E0">
        <w:rPr>
          <w:sz w:val="26"/>
          <w:szCs w:val="26"/>
        </w:rPr>
        <w:t xml:space="preserve"> PECO St. No. 2 at 14.</w:t>
      </w:r>
      <w:r w:rsidRPr="0099091F">
        <w:rPr>
          <w:sz w:val="26"/>
          <w:szCs w:val="26"/>
        </w:rPr>
        <w:t xml:space="preserve">  Pursuant to our </w:t>
      </w:r>
      <w:r w:rsidRPr="0099091F">
        <w:rPr>
          <w:i/>
          <w:sz w:val="26"/>
          <w:szCs w:val="26"/>
        </w:rPr>
        <w:t>Implementation Order</w:t>
      </w:r>
      <w:r w:rsidRPr="0099091F">
        <w:rPr>
          <w:sz w:val="26"/>
          <w:szCs w:val="26"/>
        </w:rPr>
        <w:t xml:space="preserve">, </w:t>
      </w:r>
      <w:r w:rsidR="006D53E0">
        <w:rPr>
          <w:sz w:val="26"/>
          <w:szCs w:val="26"/>
        </w:rPr>
        <w:t xml:space="preserve">the </w:t>
      </w:r>
      <w:r w:rsidRPr="0099091F">
        <w:rPr>
          <w:sz w:val="26"/>
          <w:szCs w:val="26"/>
        </w:rPr>
        <w:t xml:space="preserve">EDCs were strongly encouraged to implement </w:t>
      </w:r>
      <w:r w:rsidRPr="0099091F">
        <w:rPr>
          <w:color w:val="000000"/>
          <w:sz w:val="26"/>
          <w:szCs w:val="26"/>
        </w:rPr>
        <w:t>a new historical interval usage transaction in order to provide customers and their designated agents with 12 months of interval usage data.</w:t>
      </w:r>
      <w:r w:rsidR="006D53E0" w:rsidRPr="006D53E0">
        <w:t xml:space="preserve"> </w:t>
      </w:r>
      <w:r w:rsidRPr="0099091F">
        <w:rPr>
          <w:i/>
          <w:sz w:val="26"/>
          <w:szCs w:val="26"/>
        </w:rPr>
        <w:t>Implementation Order</w:t>
      </w:r>
      <w:r w:rsidRPr="0099091F">
        <w:rPr>
          <w:sz w:val="26"/>
          <w:szCs w:val="26"/>
        </w:rPr>
        <w:t xml:space="preserve"> at 25.</w:t>
      </w:r>
      <w:r w:rsidRPr="0099091F">
        <w:rPr>
          <w:color w:val="000000"/>
          <w:sz w:val="26"/>
          <w:szCs w:val="26"/>
        </w:rPr>
        <w:t xml:space="preserve">  Under the </w:t>
      </w:r>
      <w:r w:rsidR="006D53E0">
        <w:rPr>
          <w:color w:val="000000"/>
          <w:sz w:val="26"/>
          <w:szCs w:val="26"/>
        </w:rPr>
        <w:t xml:space="preserve">Settlement Petition, </w:t>
      </w:r>
      <w:r w:rsidRPr="0099091F">
        <w:rPr>
          <w:bCs/>
          <w:sz w:val="26"/>
          <w:szCs w:val="26"/>
        </w:rPr>
        <w:t xml:space="preserve">PECO committed to provide direct access to licensed electric generation suppliers or other third parties authorized by the Commission, </w:t>
      </w:r>
      <w:r w:rsidRPr="0099091F">
        <w:rPr>
          <w:bCs/>
          <w:i/>
          <w:sz w:val="26"/>
          <w:szCs w:val="26"/>
        </w:rPr>
        <w:t>by means of EDI transactions</w:t>
      </w:r>
      <w:r w:rsidRPr="0099091F">
        <w:rPr>
          <w:bCs/>
          <w:sz w:val="26"/>
          <w:szCs w:val="26"/>
        </w:rPr>
        <w:t>, of the data currently available from its existing AMR system and any additional Advanced Read Services it is able to provide.</w:t>
      </w:r>
      <w:r w:rsidR="00445361">
        <w:rPr>
          <w:bCs/>
          <w:sz w:val="26"/>
          <w:szCs w:val="26"/>
        </w:rPr>
        <w:t xml:space="preserve"> I</w:t>
      </w:r>
      <w:r w:rsidR="007B6F94">
        <w:rPr>
          <w:bCs/>
          <w:sz w:val="26"/>
          <w:szCs w:val="26"/>
        </w:rPr>
        <w:t>.</w:t>
      </w:r>
      <w:r w:rsidR="00445361">
        <w:rPr>
          <w:bCs/>
          <w:sz w:val="26"/>
          <w:szCs w:val="26"/>
        </w:rPr>
        <w:t>D</w:t>
      </w:r>
      <w:r w:rsidR="007B6F94">
        <w:rPr>
          <w:bCs/>
          <w:sz w:val="26"/>
          <w:szCs w:val="26"/>
        </w:rPr>
        <w:t>.</w:t>
      </w:r>
      <w:r w:rsidR="00445361">
        <w:rPr>
          <w:bCs/>
          <w:sz w:val="26"/>
          <w:szCs w:val="26"/>
        </w:rPr>
        <w:t xml:space="preserve"> at 16. </w:t>
      </w:r>
      <w:r w:rsidRPr="0099091F">
        <w:rPr>
          <w:bCs/>
          <w:sz w:val="26"/>
          <w:szCs w:val="26"/>
        </w:rPr>
        <w:t xml:space="preserve">  </w:t>
      </w:r>
    </w:p>
    <w:p w:rsidR="004F5785" w:rsidRDefault="004F5785">
      <w:pPr>
        <w:pStyle w:val="p4"/>
        <w:spacing w:line="360" w:lineRule="auto"/>
        <w:ind w:firstLine="1440"/>
        <w:rPr>
          <w:bCs/>
          <w:sz w:val="26"/>
          <w:szCs w:val="26"/>
        </w:rPr>
      </w:pPr>
    </w:p>
    <w:p w:rsidR="004F5785" w:rsidRDefault="0099091F">
      <w:pPr>
        <w:pStyle w:val="p4"/>
        <w:spacing w:line="360" w:lineRule="auto"/>
        <w:ind w:firstLine="1440"/>
        <w:rPr>
          <w:color w:val="000000"/>
          <w:sz w:val="26"/>
          <w:szCs w:val="26"/>
        </w:rPr>
      </w:pPr>
      <w:r w:rsidRPr="0099091F">
        <w:rPr>
          <w:color w:val="000000"/>
          <w:sz w:val="26"/>
          <w:szCs w:val="26"/>
        </w:rPr>
        <w:t xml:space="preserve">While we commend PECO for </w:t>
      </w:r>
      <w:r w:rsidR="00272FA4">
        <w:rPr>
          <w:color w:val="000000"/>
          <w:sz w:val="26"/>
          <w:szCs w:val="26"/>
        </w:rPr>
        <w:t>its</w:t>
      </w:r>
      <w:r w:rsidRPr="0099091F">
        <w:rPr>
          <w:color w:val="000000"/>
          <w:sz w:val="26"/>
          <w:szCs w:val="26"/>
        </w:rPr>
        <w:t xml:space="preserve"> commitment to use EDI protocols to provide consumption and other information to third parties</w:t>
      </w:r>
      <w:r w:rsidR="00E90F9E">
        <w:rPr>
          <w:color w:val="000000"/>
          <w:sz w:val="26"/>
          <w:szCs w:val="26"/>
        </w:rPr>
        <w:t xml:space="preserve">, </w:t>
      </w:r>
      <w:r w:rsidR="00445361">
        <w:rPr>
          <w:color w:val="000000"/>
          <w:sz w:val="26"/>
          <w:szCs w:val="26"/>
        </w:rPr>
        <w:t>n</w:t>
      </w:r>
      <w:r w:rsidRPr="0099091F">
        <w:rPr>
          <w:color w:val="000000"/>
          <w:sz w:val="26"/>
          <w:szCs w:val="26"/>
        </w:rPr>
        <w:t xml:space="preserve">either the record nor the </w:t>
      </w:r>
      <w:r w:rsidR="007B6F94">
        <w:rPr>
          <w:color w:val="000000"/>
          <w:sz w:val="26"/>
          <w:szCs w:val="26"/>
        </w:rPr>
        <w:t>S</w:t>
      </w:r>
      <w:r w:rsidRPr="0099091F">
        <w:rPr>
          <w:color w:val="000000"/>
          <w:sz w:val="26"/>
          <w:szCs w:val="26"/>
        </w:rPr>
        <w:t xml:space="preserve">ettlement </w:t>
      </w:r>
      <w:r w:rsidR="007B6F94">
        <w:rPr>
          <w:color w:val="000000"/>
          <w:sz w:val="26"/>
          <w:szCs w:val="26"/>
        </w:rPr>
        <w:t xml:space="preserve">Petition </w:t>
      </w:r>
      <w:r w:rsidRPr="0099091F">
        <w:rPr>
          <w:color w:val="000000"/>
          <w:sz w:val="26"/>
          <w:szCs w:val="26"/>
        </w:rPr>
        <w:t xml:space="preserve">addresses how or when the Company plans </w:t>
      </w:r>
      <w:r w:rsidR="007B6F94">
        <w:rPr>
          <w:color w:val="000000"/>
          <w:sz w:val="26"/>
          <w:szCs w:val="26"/>
        </w:rPr>
        <w:t>to</w:t>
      </w:r>
      <w:r w:rsidRPr="0099091F">
        <w:rPr>
          <w:color w:val="000000"/>
          <w:sz w:val="26"/>
          <w:szCs w:val="26"/>
        </w:rPr>
        <w:t xml:space="preserve"> implement</w:t>
      </w:r>
      <w:r w:rsidR="007B6F94">
        <w:rPr>
          <w:color w:val="000000"/>
          <w:sz w:val="26"/>
          <w:szCs w:val="26"/>
        </w:rPr>
        <w:t xml:space="preserve"> </w:t>
      </w:r>
      <w:r w:rsidRPr="0099091F">
        <w:rPr>
          <w:color w:val="000000"/>
          <w:sz w:val="26"/>
          <w:szCs w:val="26"/>
        </w:rPr>
        <w:t xml:space="preserve">these transactions.  Other utilities throughout the Commonwealth have or will be soon implementing HIU transaction capabilities, and </w:t>
      </w:r>
      <w:r w:rsidR="00445361">
        <w:rPr>
          <w:color w:val="000000"/>
          <w:sz w:val="26"/>
          <w:szCs w:val="26"/>
        </w:rPr>
        <w:t>we</w:t>
      </w:r>
      <w:r w:rsidRPr="0099091F">
        <w:rPr>
          <w:color w:val="000000"/>
          <w:sz w:val="26"/>
          <w:szCs w:val="26"/>
        </w:rPr>
        <w:t xml:space="preserve"> believe it would be prudent to seek comments from </w:t>
      </w:r>
      <w:r w:rsidR="00445361">
        <w:rPr>
          <w:color w:val="000000"/>
          <w:sz w:val="26"/>
          <w:szCs w:val="26"/>
        </w:rPr>
        <w:t>PECO</w:t>
      </w:r>
      <w:r w:rsidRPr="0099091F">
        <w:rPr>
          <w:color w:val="000000"/>
          <w:sz w:val="26"/>
          <w:szCs w:val="26"/>
        </w:rPr>
        <w:t xml:space="preserve"> and other interested parties on whether PECO should adopt these protocols, and if so, how and when they should be implemented.   </w:t>
      </w:r>
    </w:p>
    <w:p w:rsidR="007F5A0D" w:rsidRDefault="007F5A0D" w:rsidP="007F5A0D">
      <w:pPr>
        <w:pStyle w:val="p4"/>
      </w:pPr>
    </w:p>
    <w:p w:rsidR="004F5785" w:rsidRDefault="0099091F">
      <w:pPr>
        <w:pStyle w:val="p4"/>
        <w:spacing w:line="360" w:lineRule="auto"/>
        <w:ind w:firstLine="1440"/>
        <w:rPr>
          <w:sz w:val="26"/>
          <w:szCs w:val="26"/>
        </w:rPr>
      </w:pPr>
      <w:r w:rsidRPr="0099091F">
        <w:rPr>
          <w:sz w:val="26"/>
          <w:szCs w:val="26"/>
        </w:rPr>
        <w:t xml:space="preserve">Therefore, by this Opinion and </w:t>
      </w:r>
      <w:r w:rsidR="00F00E44">
        <w:rPr>
          <w:sz w:val="26"/>
          <w:szCs w:val="26"/>
        </w:rPr>
        <w:t>O</w:t>
      </w:r>
      <w:r w:rsidRPr="0099091F">
        <w:rPr>
          <w:sz w:val="26"/>
          <w:szCs w:val="26"/>
        </w:rPr>
        <w:t xml:space="preserve">rder, we shall solicit comments on the appropriateness of requiring PECO to implement the EDI HIU protocols.  </w:t>
      </w:r>
      <w:r w:rsidR="00272FA4">
        <w:rPr>
          <w:sz w:val="26"/>
          <w:szCs w:val="26"/>
        </w:rPr>
        <w:t>We direct PECO to file Comments</w:t>
      </w:r>
      <w:r w:rsidR="00B562DC">
        <w:rPr>
          <w:sz w:val="26"/>
          <w:szCs w:val="26"/>
        </w:rPr>
        <w:t>,</w:t>
      </w:r>
      <w:r w:rsidR="00272FA4">
        <w:rPr>
          <w:sz w:val="26"/>
          <w:szCs w:val="26"/>
        </w:rPr>
        <w:t xml:space="preserve"> and other i</w:t>
      </w:r>
      <w:r w:rsidRPr="0099091F">
        <w:rPr>
          <w:sz w:val="26"/>
          <w:szCs w:val="26"/>
        </w:rPr>
        <w:t xml:space="preserve">nterested parties are encouraged to comment on the adequacy and timeliness of PECO’s current interval usage data processes, so as to assist the Commission in its decision.  </w:t>
      </w:r>
      <w:r w:rsidR="0035286A">
        <w:rPr>
          <w:sz w:val="26"/>
          <w:szCs w:val="26"/>
        </w:rPr>
        <w:t>We</w:t>
      </w:r>
      <w:r w:rsidRPr="0099091F">
        <w:rPr>
          <w:sz w:val="26"/>
          <w:szCs w:val="26"/>
        </w:rPr>
        <w:t xml:space="preserve"> believe that</w:t>
      </w:r>
      <w:r w:rsidR="00272FA4">
        <w:rPr>
          <w:sz w:val="26"/>
          <w:szCs w:val="26"/>
        </w:rPr>
        <w:t>,</w:t>
      </w:r>
      <w:r w:rsidRPr="0099091F">
        <w:rPr>
          <w:sz w:val="26"/>
          <w:szCs w:val="26"/>
        </w:rPr>
        <w:t xml:space="preserve"> if </w:t>
      </w:r>
      <w:r w:rsidR="0035286A">
        <w:rPr>
          <w:sz w:val="26"/>
          <w:szCs w:val="26"/>
        </w:rPr>
        <w:t xml:space="preserve">the Commission is to </w:t>
      </w:r>
      <w:r w:rsidRPr="0099091F">
        <w:rPr>
          <w:sz w:val="26"/>
          <w:szCs w:val="26"/>
        </w:rPr>
        <w:t xml:space="preserve">require </w:t>
      </w:r>
      <w:r w:rsidR="0035286A">
        <w:rPr>
          <w:sz w:val="26"/>
          <w:szCs w:val="26"/>
        </w:rPr>
        <w:t>PECO</w:t>
      </w:r>
      <w:r w:rsidRPr="0099091F">
        <w:rPr>
          <w:sz w:val="26"/>
          <w:szCs w:val="26"/>
        </w:rPr>
        <w:t xml:space="preserve"> to make these changes, it should be done in an expedient manner</w:t>
      </w:r>
      <w:r w:rsidR="0035286A">
        <w:rPr>
          <w:sz w:val="26"/>
          <w:szCs w:val="26"/>
        </w:rPr>
        <w:t xml:space="preserve">.  </w:t>
      </w:r>
      <w:r w:rsidR="00F00E44">
        <w:rPr>
          <w:sz w:val="26"/>
          <w:szCs w:val="26"/>
        </w:rPr>
        <w:t xml:space="preserve">Therefore, </w:t>
      </w:r>
      <w:r w:rsidRPr="0099091F">
        <w:rPr>
          <w:sz w:val="26"/>
          <w:szCs w:val="26"/>
        </w:rPr>
        <w:t xml:space="preserve">Comments should </w:t>
      </w:r>
      <w:r w:rsidR="007B6F94">
        <w:rPr>
          <w:sz w:val="26"/>
          <w:szCs w:val="26"/>
        </w:rPr>
        <w:t xml:space="preserve">be </w:t>
      </w:r>
      <w:r w:rsidR="00F00E44">
        <w:rPr>
          <w:sz w:val="26"/>
          <w:szCs w:val="26"/>
        </w:rPr>
        <w:t>filed with the Commission on or before May 1</w:t>
      </w:r>
      <w:r w:rsidR="00755E9E">
        <w:rPr>
          <w:sz w:val="26"/>
          <w:szCs w:val="26"/>
        </w:rPr>
        <w:t>7</w:t>
      </w:r>
      <w:r w:rsidR="00F00E44">
        <w:rPr>
          <w:sz w:val="26"/>
          <w:szCs w:val="26"/>
        </w:rPr>
        <w:t>, 2010</w:t>
      </w:r>
      <w:r w:rsidR="00A635BE">
        <w:rPr>
          <w:sz w:val="26"/>
          <w:szCs w:val="26"/>
        </w:rPr>
        <w:t>,</w:t>
      </w:r>
      <w:r w:rsidR="00272FA4">
        <w:rPr>
          <w:sz w:val="26"/>
          <w:szCs w:val="26"/>
        </w:rPr>
        <w:t xml:space="preserve"> so that the </w:t>
      </w:r>
      <w:r w:rsidR="00931497">
        <w:rPr>
          <w:sz w:val="26"/>
          <w:szCs w:val="26"/>
        </w:rPr>
        <w:t>Commission</w:t>
      </w:r>
      <w:r w:rsidR="00272FA4">
        <w:rPr>
          <w:sz w:val="26"/>
          <w:szCs w:val="26"/>
        </w:rPr>
        <w:t xml:space="preserve"> </w:t>
      </w:r>
      <w:r w:rsidR="00272FA4">
        <w:rPr>
          <w:sz w:val="26"/>
          <w:szCs w:val="26"/>
        </w:rPr>
        <w:lastRenderedPageBreak/>
        <w:t xml:space="preserve">can </w:t>
      </w:r>
      <w:r w:rsidR="00931497">
        <w:rPr>
          <w:sz w:val="26"/>
          <w:szCs w:val="26"/>
        </w:rPr>
        <w:t xml:space="preserve">address these issues at its May 20, 2010 </w:t>
      </w:r>
      <w:r w:rsidR="00F11A02">
        <w:rPr>
          <w:sz w:val="26"/>
          <w:szCs w:val="26"/>
        </w:rPr>
        <w:t>P</w:t>
      </w:r>
      <w:r w:rsidR="00931497">
        <w:rPr>
          <w:sz w:val="26"/>
          <w:szCs w:val="26"/>
        </w:rPr>
        <w:t xml:space="preserve">ublic </w:t>
      </w:r>
      <w:r w:rsidR="00F11A02">
        <w:rPr>
          <w:sz w:val="26"/>
          <w:szCs w:val="26"/>
        </w:rPr>
        <w:t>M</w:t>
      </w:r>
      <w:r w:rsidR="00931497">
        <w:rPr>
          <w:sz w:val="26"/>
          <w:szCs w:val="26"/>
        </w:rPr>
        <w:t xml:space="preserve">eeting. </w:t>
      </w:r>
      <w:r w:rsidR="00B60BBE">
        <w:rPr>
          <w:sz w:val="26"/>
          <w:szCs w:val="26"/>
        </w:rPr>
        <w:t xml:space="preserve"> In order to meet these time constraints, the Commission will not accept </w:t>
      </w:r>
      <w:r w:rsidR="00931497">
        <w:rPr>
          <w:sz w:val="26"/>
          <w:szCs w:val="26"/>
        </w:rPr>
        <w:t>R</w:t>
      </w:r>
      <w:r w:rsidR="00B60BBE">
        <w:rPr>
          <w:sz w:val="26"/>
          <w:szCs w:val="26"/>
        </w:rPr>
        <w:t xml:space="preserve">eplies to the Comments. </w:t>
      </w:r>
    </w:p>
    <w:p w:rsidR="004F5785" w:rsidRDefault="004F5785">
      <w:pPr>
        <w:pStyle w:val="Heading3"/>
      </w:pPr>
    </w:p>
    <w:p w:rsidR="009A077C" w:rsidRDefault="006F4B78" w:rsidP="00257CAA">
      <w:pPr>
        <w:pStyle w:val="Heading1"/>
        <w:keepLines w:val="0"/>
      </w:pPr>
      <w:bookmarkStart w:id="33" w:name="_Toc260130912"/>
      <w:r>
        <w:t>V</w:t>
      </w:r>
      <w:r w:rsidR="00D823BC">
        <w:t>I</w:t>
      </w:r>
      <w:r w:rsidR="00B6382E">
        <w:t xml:space="preserve">.  </w:t>
      </w:r>
      <w:r>
        <w:tab/>
      </w:r>
      <w:r w:rsidR="009A077C" w:rsidRPr="00352094">
        <w:t>Conclusion</w:t>
      </w:r>
      <w:bookmarkEnd w:id="18"/>
      <w:bookmarkEnd w:id="29"/>
      <w:bookmarkEnd w:id="33"/>
    </w:p>
    <w:p w:rsidR="00DE30AE" w:rsidRPr="00DE30AE" w:rsidRDefault="00DE30AE" w:rsidP="00257CAA">
      <w:pPr>
        <w:keepNext/>
      </w:pPr>
    </w:p>
    <w:p w:rsidR="00D47468" w:rsidRDefault="0056212D" w:rsidP="00257CAA">
      <w:pPr>
        <w:keepNext/>
        <w:rPr>
          <w:b/>
        </w:rPr>
      </w:pPr>
      <w:r>
        <w:rPr>
          <w:szCs w:val="26"/>
        </w:rPr>
        <w:t xml:space="preserve">For the reasons set forth </w:t>
      </w:r>
      <w:r w:rsidR="008337F9">
        <w:rPr>
          <w:szCs w:val="26"/>
        </w:rPr>
        <w:t>her</w:t>
      </w:r>
      <w:r w:rsidR="00F11A02">
        <w:rPr>
          <w:szCs w:val="26"/>
        </w:rPr>
        <w:t>e</w:t>
      </w:r>
      <w:r w:rsidR="008337F9">
        <w:rPr>
          <w:szCs w:val="26"/>
        </w:rPr>
        <w:t>inabove</w:t>
      </w:r>
      <w:r>
        <w:rPr>
          <w:szCs w:val="26"/>
        </w:rPr>
        <w:t xml:space="preserve">, we </w:t>
      </w:r>
      <w:r w:rsidR="008228F4">
        <w:rPr>
          <w:szCs w:val="26"/>
        </w:rPr>
        <w:t xml:space="preserve">conclude that </w:t>
      </w:r>
      <w:r>
        <w:rPr>
          <w:szCs w:val="26"/>
        </w:rPr>
        <w:t xml:space="preserve">the Settlement </w:t>
      </w:r>
      <w:r w:rsidR="00A84BA0">
        <w:rPr>
          <w:szCs w:val="26"/>
        </w:rPr>
        <w:t xml:space="preserve">Petition is in the public interest and should be </w:t>
      </w:r>
      <w:r w:rsidR="00E23500">
        <w:rPr>
          <w:szCs w:val="26"/>
        </w:rPr>
        <w:t>adopted</w:t>
      </w:r>
      <w:r w:rsidR="00931497">
        <w:rPr>
          <w:szCs w:val="26"/>
        </w:rPr>
        <w:t xml:space="preserve"> as modified, </w:t>
      </w:r>
      <w:r w:rsidR="00F654F4">
        <w:rPr>
          <w:szCs w:val="26"/>
        </w:rPr>
        <w:t>consistent</w:t>
      </w:r>
      <w:r w:rsidR="00931497">
        <w:rPr>
          <w:szCs w:val="26"/>
        </w:rPr>
        <w:t xml:space="preserve"> with this Opinion and </w:t>
      </w:r>
      <w:r w:rsidR="00A635BE">
        <w:rPr>
          <w:szCs w:val="26"/>
        </w:rPr>
        <w:t>O</w:t>
      </w:r>
      <w:r w:rsidR="00931497">
        <w:rPr>
          <w:szCs w:val="26"/>
        </w:rPr>
        <w:t>rder.</w:t>
      </w:r>
      <w:r w:rsidR="00A84BA0">
        <w:rPr>
          <w:szCs w:val="26"/>
        </w:rPr>
        <w:t xml:space="preserve"> </w:t>
      </w:r>
      <w:r w:rsidR="00C95E6D">
        <w:rPr>
          <w:szCs w:val="26"/>
        </w:rPr>
        <w:t xml:space="preserve"> </w:t>
      </w:r>
      <w:r w:rsidR="00293F19">
        <w:rPr>
          <w:szCs w:val="26"/>
        </w:rPr>
        <w:t>We</w:t>
      </w:r>
      <w:r w:rsidR="00931497">
        <w:rPr>
          <w:szCs w:val="26"/>
        </w:rPr>
        <w:t xml:space="preserve"> direct </w:t>
      </w:r>
      <w:r w:rsidR="00293F19">
        <w:t xml:space="preserve">PECO </w:t>
      </w:r>
      <w:r w:rsidR="00931497">
        <w:t xml:space="preserve">to </w:t>
      </w:r>
      <w:r w:rsidR="00293F19">
        <w:t>file Comments</w:t>
      </w:r>
      <w:r w:rsidR="00A635BE">
        <w:t>,</w:t>
      </w:r>
      <w:r w:rsidR="00293F19">
        <w:t xml:space="preserve"> and </w:t>
      </w:r>
      <w:r w:rsidR="00931497">
        <w:t xml:space="preserve">other </w:t>
      </w:r>
      <w:r w:rsidR="00293F19">
        <w:t>interested parties are invited to file Comments</w:t>
      </w:r>
      <w:r w:rsidR="00931497">
        <w:t>,</w:t>
      </w:r>
      <w:r w:rsidR="00293F19">
        <w:t xml:space="preserve"> on the adequacy and timeliness of PECO’s current interval usage processes and the appropriateness of requiring PECO to implement EDI HIU protocols.  </w:t>
      </w:r>
      <w:r w:rsidR="00A84BA0">
        <w:rPr>
          <w:szCs w:val="26"/>
        </w:rPr>
        <w:t xml:space="preserve">We find that </w:t>
      </w:r>
      <w:r w:rsidR="008228F4">
        <w:rPr>
          <w:szCs w:val="26"/>
        </w:rPr>
        <w:t xml:space="preserve">the revised </w:t>
      </w:r>
      <w:r w:rsidR="00C95E6D" w:rsidRPr="00C86516">
        <w:t>Plan</w:t>
      </w:r>
      <w:r w:rsidR="00A84BA0">
        <w:t>,</w:t>
      </w:r>
      <w:r w:rsidR="00C95E6D" w:rsidRPr="00C86516">
        <w:t xml:space="preserve"> </w:t>
      </w:r>
      <w:r w:rsidR="00A84BA0">
        <w:t>as amended by the Settlement Petition</w:t>
      </w:r>
      <w:r w:rsidR="007F4D62">
        <w:t xml:space="preserve"> and this Opinion and Order</w:t>
      </w:r>
      <w:r w:rsidR="005A6038">
        <w:t>,</w:t>
      </w:r>
      <w:r w:rsidR="00A84BA0">
        <w:t xml:space="preserve"> is</w:t>
      </w:r>
      <w:r w:rsidR="00C95E6D" w:rsidRPr="00C86516">
        <w:t xml:space="preserve"> </w:t>
      </w:r>
      <w:r w:rsidR="008228F4">
        <w:rPr>
          <w:szCs w:val="26"/>
        </w:rPr>
        <w:t xml:space="preserve">in the </w:t>
      </w:r>
      <w:r w:rsidR="00B60BBE">
        <w:rPr>
          <w:szCs w:val="26"/>
        </w:rPr>
        <w:t>p</w:t>
      </w:r>
      <w:r w:rsidR="008228F4">
        <w:rPr>
          <w:szCs w:val="26"/>
        </w:rPr>
        <w:t xml:space="preserve">ublic </w:t>
      </w:r>
      <w:r w:rsidR="00B60BBE">
        <w:rPr>
          <w:szCs w:val="26"/>
        </w:rPr>
        <w:t>i</w:t>
      </w:r>
      <w:r w:rsidR="008228F4">
        <w:rPr>
          <w:szCs w:val="26"/>
        </w:rPr>
        <w:t xml:space="preserve">nterest and </w:t>
      </w:r>
      <w:r w:rsidR="008228F4">
        <w:t>satisfies the requirements of 66 Pa. C.S. § 2807(f)(1)–</w:t>
      </w:r>
      <w:r w:rsidR="005A6038">
        <w:t>(</w:t>
      </w:r>
      <w:r w:rsidR="008228F4">
        <w:t>f</w:t>
      </w:r>
      <w:r w:rsidR="005A6038">
        <w:t>)</w:t>
      </w:r>
      <w:r w:rsidR="008228F4">
        <w:t xml:space="preserve">(3) and the </w:t>
      </w:r>
      <w:r w:rsidR="008228F4" w:rsidRPr="00552BC5">
        <w:rPr>
          <w:i/>
        </w:rPr>
        <w:t>Implementation Order</w:t>
      </w:r>
      <w:r w:rsidR="00A84BA0">
        <w:t xml:space="preserve">.  </w:t>
      </w:r>
      <w:r w:rsidR="00A94E24">
        <w:t xml:space="preserve">Unless the Parties to this proceeding notify the Commission that they do not support the Settlement Petition as amended by this Opinion and Order </w:t>
      </w:r>
      <w:r w:rsidR="00F65876">
        <w:t>by May 1</w:t>
      </w:r>
      <w:r w:rsidR="004F5785">
        <w:t>7</w:t>
      </w:r>
      <w:r w:rsidR="00F65876">
        <w:t xml:space="preserve">, 2010, </w:t>
      </w:r>
      <w:r w:rsidR="005A6038">
        <w:t>PECO is permitted to implement its Plan, as amended by the Settlement Petition</w:t>
      </w:r>
      <w:r w:rsidR="00F65876">
        <w:t xml:space="preserve"> and this Opinion and Order.</w:t>
      </w:r>
      <w:r w:rsidR="005A6038">
        <w:t xml:space="preserve">  PECO shall submit its SMCRS to the Commission for approval.  Copies of this filing shall be served on all Parties to this proceeding.  </w:t>
      </w:r>
      <w:r w:rsidR="00A84BA0">
        <w:t xml:space="preserve">The </w:t>
      </w:r>
      <w:r w:rsidR="00D83F8C">
        <w:rPr>
          <w:szCs w:val="26"/>
        </w:rPr>
        <w:t xml:space="preserve">Exceptions filed </w:t>
      </w:r>
      <w:r w:rsidR="00C95E6D">
        <w:rPr>
          <w:szCs w:val="26"/>
        </w:rPr>
        <w:t xml:space="preserve">by the OCA are denied.  Accordingly, we will adopt </w:t>
      </w:r>
      <w:r>
        <w:rPr>
          <w:szCs w:val="26"/>
        </w:rPr>
        <w:t>the Initial Decision of ALJ Chestnut</w:t>
      </w:r>
      <w:r w:rsidR="00F65876">
        <w:rPr>
          <w:szCs w:val="26"/>
        </w:rPr>
        <w:t xml:space="preserve"> as </w:t>
      </w:r>
      <w:r w:rsidR="00F654F4">
        <w:rPr>
          <w:szCs w:val="26"/>
        </w:rPr>
        <w:t>modified</w:t>
      </w:r>
      <w:r w:rsidR="00F65876">
        <w:rPr>
          <w:szCs w:val="26"/>
        </w:rPr>
        <w:t xml:space="preserve"> by this Opinion and Order</w:t>
      </w:r>
      <w:r w:rsidR="00E23500">
        <w:rPr>
          <w:szCs w:val="26"/>
        </w:rPr>
        <w:t>.</w:t>
      </w:r>
      <w:r w:rsidR="00D83F8C">
        <w:rPr>
          <w:szCs w:val="26"/>
        </w:rPr>
        <w:t xml:space="preserve"> </w:t>
      </w:r>
      <w:r w:rsidR="00920080">
        <w:rPr>
          <w:b/>
        </w:rPr>
        <w:t>TH</w:t>
      </w:r>
      <w:r w:rsidR="009F398E" w:rsidRPr="003C63B1">
        <w:rPr>
          <w:b/>
        </w:rPr>
        <w:t xml:space="preserve">EREFORE; </w:t>
      </w:r>
    </w:p>
    <w:p w:rsidR="00486F3D" w:rsidRDefault="00486F3D" w:rsidP="00C95E6D">
      <w:pPr>
        <w:rPr>
          <w:b/>
        </w:rPr>
      </w:pPr>
    </w:p>
    <w:p w:rsidR="009F398E" w:rsidRDefault="009F398E" w:rsidP="00C6084F">
      <w:pPr>
        <w:keepNext/>
        <w:rPr>
          <w:b/>
        </w:rPr>
      </w:pPr>
      <w:r w:rsidRPr="003C63B1">
        <w:rPr>
          <w:b/>
        </w:rPr>
        <w:t>IT IS ORDERED:</w:t>
      </w:r>
    </w:p>
    <w:p w:rsidR="00D16404" w:rsidRDefault="00D16404" w:rsidP="00C6084F">
      <w:pPr>
        <w:keepNext/>
        <w:rPr>
          <w:b/>
        </w:rPr>
      </w:pPr>
    </w:p>
    <w:p w:rsidR="00B8040C" w:rsidRPr="00AB1238" w:rsidRDefault="00B8040C" w:rsidP="00B8040C">
      <w:pPr>
        <w:keepNext/>
      </w:pPr>
      <w:r>
        <w:t>1.</w:t>
      </w:r>
      <w:r>
        <w:tab/>
        <w:t>T</w:t>
      </w:r>
      <w:r w:rsidRPr="00C86516">
        <w:t xml:space="preserve">hat the </w:t>
      </w:r>
      <w:r>
        <w:t xml:space="preserve">Petition of PECO Energy Company for Approval of its revised Smart Meter Technology Procurement and Installation Plan, and the </w:t>
      </w:r>
      <w:r w:rsidRPr="00C86516">
        <w:t>Joint Petition for Partial Settlement at Docket No.</w:t>
      </w:r>
      <w:r>
        <w:t xml:space="preserve"> </w:t>
      </w:r>
      <w:r w:rsidRPr="00C86516">
        <w:t>M-2009-2123944 filed by PECO Energy Company</w:t>
      </w:r>
      <w:r>
        <w:t>;</w:t>
      </w:r>
      <w:r w:rsidRPr="00C86516">
        <w:t xml:space="preserve"> the Office of Consumer Advocate</w:t>
      </w:r>
      <w:r>
        <w:t>;</w:t>
      </w:r>
      <w:r w:rsidRPr="00C86516">
        <w:t xml:space="preserve"> the Offic</w:t>
      </w:r>
      <w:r>
        <w:t xml:space="preserve">e of Small Business Advocate; </w:t>
      </w:r>
      <w:r w:rsidRPr="00C86516">
        <w:t>the Department of Environmental Protection</w:t>
      </w:r>
      <w:r>
        <w:t>;</w:t>
      </w:r>
      <w:r w:rsidRPr="00C86516">
        <w:t xml:space="preserve"> the Clean</w:t>
      </w:r>
      <w:r>
        <w:t xml:space="preserve"> Air Council; Constellation </w:t>
      </w:r>
      <w:r>
        <w:lastRenderedPageBreak/>
        <w:t>New</w:t>
      </w:r>
      <w:r w:rsidRPr="00C86516">
        <w:t>Energy, Inc. and Constellation Energy Commodities Group, Inc.</w:t>
      </w:r>
      <w:r>
        <w:t>;</w:t>
      </w:r>
      <w:r w:rsidRPr="00C86516">
        <w:t xml:space="preserve"> and the Association of </w:t>
      </w:r>
      <w:r w:rsidRPr="00AB1238">
        <w:t>Community Organizations for Reform Now, are granted, each subject to the following conditions:</w:t>
      </w:r>
    </w:p>
    <w:p w:rsidR="00B8040C" w:rsidRDefault="00B8040C" w:rsidP="00B8040C">
      <w:pPr>
        <w:keepNext/>
      </w:pPr>
    </w:p>
    <w:p w:rsidR="00B8040C" w:rsidRPr="00AB1238" w:rsidRDefault="00B8040C" w:rsidP="00B8040C">
      <w:pPr>
        <w:keepNext/>
        <w:ind w:firstLine="2160"/>
      </w:pPr>
      <w:r w:rsidRPr="00AB1238">
        <w:t>a.</w:t>
      </w:r>
      <w:r w:rsidRPr="00AB1238">
        <w:tab/>
        <w:t>That the revised Smart Meter Technology Procurement and Installation Plan</w:t>
      </w:r>
      <w:r>
        <w:t xml:space="preserve">, as revised by the </w:t>
      </w:r>
      <w:r w:rsidRPr="00AB1238">
        <w:t>Partial Settlement</w:t>
      </w:r>
      <w:r>
        <w:t>,</w:t>
      </w:r>
      <w:r w:rsidRPr="00AB1238">
        <w:t xml:space="preserve"> shall be modified as set forth in this Opinion and Order.</w:t>
      </w:r>
    </w:p>
    <w:p w:rsidR="00B8040C" w:rsidRDefault="00B8040C" w:rsidP="00B8040C">
      <w:pPr>
        <w:keepNext/>
        <w:ind w:left="720"/>
        <w:rPr>
          <w:color w:val="FF0000"/>
          <w:u w:val="single"/>
        </w:rPr>
      </w:pPr>
    </w:p>
    <w:p w:rsidR="00B8040C" w:rsidRPr="005B57A2" w:rsidRDefault="00B8040C" w:rsidP="00B8040C">
      <w:pPr>
        <w:keepNext/>
        <w:ind w:firstLine="2160"/>
      </w:pPr>
      <w:r w:rsidRPr="005B57A2">
        <w:t>b.</w:t>
      </w:r>
      <w:r w:rsidRPr="005B57A2">
        <w:tab/>
        <w:t xml:space="preserve">That none of the Parties to the </w:t>
      </w:r>
      <w:r w:rsidR="00BC1C63">
        <w:t xml:space="preserve">Joint Petition for </w:t>
      </w:r>
      <w:r w:rsidRPr="005B57A2">
        <w:t xml:space="preserve">Partial Settlement </w:t>
      </w:r>
      <w:r>
        <w:t xml:space="preserve">shall </w:t>
      </w:r>
      <w:r w:rsidRPr="005B57A2">
        <w:t>file with the Commission, on or before May 1</w:t>
      </w:r>
      <w:r w:rsidR="005F5A4D">
        <w:t>7</w:t>
      </w:r>
      <w:r w:rsidRPr="005B57A2">
        <w:t xml:space="preserve">, 2010, written notice that said Party is withdrawing from the Partial Settlement. </w:t>
      </w:r>
    </w:p>
    <w:p w:rsidR="00B8040C" w:rsidRDefault="00B8040C" w:rsidP="00B8040C"/>
    <w:p w:rsidR="00B8040C" w:rsidRDefault="00B8040C" w:rsidP="00B8040C">
      <w:pPr>
        <w:ind w:firstLine="2160"/>
      </w:pPr>
      <w:r>
        <w:t>c.</w:t>
      </w:r>
      <w:r>
        <w:tab/>
      </w:r>
      <w:r>
        <w:rPr>
          <w:spacing w:val="-3"/>
          <w:szCs w:val="26"/>
          <w:u w:color="000000"/>
        </w:rPr>
        <w:t xml:space="preserve">That the Commission </w:t>
      </w:r>
      <w:r w:rsidR="00C9780D">
        <w:rPr>
          <w:spacing w:val="-3"/>
          <w:szCs w:val="26"/>
          <w:u w:color="000000"/>
        </w:rPr>
        <w:t xml:space="preserve"> </w:t>
      </w:r>
      <w:r>
        <w:rPr>
          <w:spacing w:val="-3"/>
          <w:szCs w:val="26"/>
          <w:u w:color="000000"/>
        </w:rPr>
        <w:t>reserves the right to issue a subsequ</w:t>
      </w:r>
      <w:r w:rsidR="00C9780D">
        <w:rPr>
          <w:spacing w:val="-3"/>
          <w:szCs w:val="26"/>
          <w:u w:color="000000"/>
        </w:rPr>
        <w:t>ent Order that may incorporate ad</w:t>
      </w:r>
      <w:r>
        <w:rPr>
          <w:spacing w:val="-3"/>
          <w:szCs w:val="26"/>
          <w:u w:color="000000"/>
        </w:rPr>
        <w:t xml:space="preserve">ditional modifications in the </w:t>
      </w:r>
      <w:r>
        <w:t>revised Smart Meter Technology Procurement and Installation Plan, as revised by the</w:t>
      </w:r>
      <w:r>
        <w:rPr>
          <w:spacing w:val="-3"/>
          <w:szCs w:val="26"/>
          <w:u w:color="000000"/>
        </w:rPr>
        <w:t xml:space="preserve"> </w:t>
      </w:r>
      <w:r w:rsidR="00BC1C63">
        <w:rPr>
          <w:spacing w:val="-3"/>
          <w:szCs w:val="26"/>
          <w:u w:color="000000"/>
        </w:rPr>
        <w:t xml:space="preserve">Joint Petition for </w:t>
      </w:r>
      <w:r>
        <w:rPr>
          <w:spacing w:val="-3"/>
          <w:szCs w:val="26"/>
          <w:u w:color="000000"/>
        </w:rPr>
        <w:t xml:space="preserve">Partial Settlement and this Opinion and Order, based upon the Comments received regarding </w:t>
      </w:r>
      <w:r>
        <w:t xml:space="preserve">the adequacy and timeliness of PECO’s current interval usage processes and the appropriateness of requiring PECO to implement electric data interchange historical interval usage protocols.  </w:t>
      </w:r>
    </w:p>
    <w:p w:rsidR="00B8040C" w:rsidRDefault="00B8040C" w:rsidP="00B8040C">
      <w:pPr>
        <w:ind w:firstLine="2160"/>
      </w:pPr>
    </w:p>
    <w:p w:rsidR="00B8040C" w:rsidRDefault="00B8040C" w:rsidP="00B8040C">
      <w:r>
        <w:t>2.</w:t>
      </w:r>
      <w:r>
        <w:tab/>
        <w:t xml:space="preserve">That PECO shall file Comments, and other interested Parties are invited to file Comments, on the adequacy and timeliness of PECO’s current interval usage processes and the appropriateness of requiring PECO to implement electric data interchange historical interval usage protocols.  All Comments shall be filed with the Commission </w:t>
      </w:r>
      <w:r w:rsidR="005F5A4D">
        <w:t xml:space="preserve">Secretary and the Director of the Commission’s Office of Special Assistants </w:t>
      </w:r>
      <w:r>
        <w:t>on or before May 1</w:t>
      </w:r>
      <w:r w:rsidR="005F5A4D">
        <w:t>7</w:t>
      </w:r>
      <w:r>
        <w:t>, 2010.  Replies to Comments will not be accepted.</w:t>
      </w:r>
    </w:p>
    <w:p w:rsidR="00B8040C" w:rsidRDefault="00B8040C" w:rsidP="00B8040C"/>
    <w:p w:rsidR="00B8040C" w:rsidRDefault="00B8040C" w:rsidP="00B8040C">
      <w:r>
        <w:lastRenderedPageBreak/>
        <w:t>3.</w:t>
      </w:r>
      <w:r>
        <w:tab/>
        <w:t xml:space="preserve">That PECO is permitted to implement the revised </w:t>
      </w:r>
      <w:r w:rsidRPr="00C86516">
        <w:t>Smart Meter Technology Pr</w:t>
      </w:r>
      <w:r>
        <w:t xml:space="preserve">ocurement and Installation Plan, </w:t>
      </w:r>
      <w:r w:rsidRPr="00C86516">
        <w:t xml:space="preserve">as </w:t>
      </w:r>
      <w:r>
        <w:t xml:space="preserve">amended by the </w:t>
      </w:r>
      <w:r w:rsidRPr="00C86516">
        <w:t>Joint Petition for Partial Settlement</w:t>
      </w:r>
      <w:r>
        <w:t xml:space="preserve"> and this Opinion and Order,</w:t>
      </w:r>
      <w:r w:rsidRPr="00C82D4E">
        <w:t xml:space="preserve"> </w:t>
      </w:r>
      <w:r>
        <w:t xml:space="preserve">subject to the conditions set forth in Ordering Paragraph No. 1. </w:t>
      </w:r>
    </w:p>
    <w:p w:rsidR="00B8040C" w:rsidRDefault="00B8040C" w:rsidP="00B8040C"/>
    <w:p w:rsidR="00B8040C" w:rsidRDefault="00B8040C" w:rsidP="00B8040C">
      <w:r>
        <w:t>4.</w:t>
      </w:r>
      <w:r>
        <w:tab/>
      </w:r>
      <w:r w:rsidRPr="008F1F3E">
        <w:rPr>
          <w:spacing w:val="-3"/>
        </w:rPr>
        <w:t>That on or after May 1</w:t>
      </w:r>
      <w:r w:rsidR="0042285C">
        <w:rPr>
          <w:spacing w:val="-3"/>
        </w:rPr>
        <w:t>8</w:t>
      </w:r>
      <w:r w:rsidRPr="008F1F3E">
        <w:rPr>
          <w:spacing w:val="-3"/>
        </w:rPr>
        <w:t>, 2010, and subject to the conditions set fort</w:t>
      </w:r>
      <w:r>
        <w:rPr>
          <w:spacing w:val="-3"/>
        </w:rPr>
        <w:t xml:space="preserve">h in Ordering Paragraph No. 1, </w:t>
      </w:r>
      <w:r w:rsidRPr="008F1F3E">
        <w:rPr>
          <w:spacing w:val="-3"/>
        </w:rPr>
        <w:t>PECO Energy Company is</w:t>
      </w:r>
      <w:r w:rsidRPr="00C86516">
        <w:t xml:space="preserve"> permitted to file tariff</w:t>
      </w:r>
      <w:r>
        <w:t>s</w:t>
      </w:r>
      <w:r w:rsidRPr="00C86516">
        <w:t xml:space="preserve"> and tariff supplements </w:t>
      </w:r>
      <w:r>
        <w:t xml:space="preserve">to implement a Smart Meter Cost Recovery Surcharge that sets forth the specific charge per kWh to be included in the base rates of the residential rate class and the specific monthly charges per customer to be included in the customer charge of non-residential rate classes.  PECO Energy Company shall also file supporting documentation reflecting the calculation of these charges.  Copies of this filing shall be served on all Parties to this proceeding.  PECO Energy Company </w:t>
      </w:r>
      <w:r>
        <w:rPr>
          <w:szCs w:val="26"/>
        </w:rPr>
        <w:t>shall not begin collecting rates pursuant to its tariff until it is approved by this Commission</w:t>
      </w:r>
      <w:r w:rsidR="00E14372">
        <w:rPr>
          <w:szCs w:val="26"/>
        </w:rPr>
        <w:t>.</w:t>
      </w:r>
    </w:p>
    <w:p w:rsidR="00B8040C" w:rsidRDefault="00B8040C" w:rsidP="00B8040C">
      <w:pPr>
        <w:suppressAutoHyphens/>
      </w:pPr>
    </w:p>
    <w:p w:rsidR="00B8040C" w:rsidRDefault="00B8040C" w:rsidP="00B8040C">
      <w:pPr>
        <w:suppressAutoHyphens/>
      </w:pPr>
      <w:r>
        <w:rPr>
          <w:spacing w:val="-3"/>
        </w:rPr>
        <w:t>5.</w:t>
      </w:r>
      <w:r>
        <w:rPr>
          <w:spacing w:val="-3"/>
        </w:rPr>
        <w:tab/>
      </w:r>
      <w:r w:rsidRPr="008F1F3E">
        <w:rPr>
          <w:spacing w:val="-3"/>
        </w:rPr>
        <w:t>That</w:t>
      </w:r>
      <w:r>
        <w:rPr>
          <w:spacing w:val="-3"/>
        </w:rPr>
        <w:t>,</w:t>
      </w:r>
      <w:r w:rsidRPr="008F1F3E">
        <w:rPr>
          <w:spacing w:val="-3"/>
        </w:rPr>
        <w:t xml:space="preserve"> subject to the conditions set forth</w:t>
      </w:r>
      <w:r>
        <w:rPr>
          <w:spacing w:val="-3"/>
        </w:rPr>
        <w:t xml:space="preserve"> in Ordering Paragraph No. 1,</w:t>
      </w:r>
      <w:r w:rsidR="00DA29C3">
        <w:rPr>
          <w:spacing w:val="-3"/>
        </w:rPr>
        <w:t xml:space="preserve"> </w:t>
      </w:r>
      <w:r w:rsidRPr="008F1F3E">
        <w:rPr>
          <w:spacing w:val="-3"/>
        </w:rPr>
        <w:t>PECO Energy Company is</w:t>
      </w:r>
      <w:r w:rsidRPr="00C86516">
        <w:t xml:space="preserve"> permitted to file</w:t>
      </w:r>
      <w:r>
        <w:t xml:space="preserve"> its proposed Tariff Rule 14.10 containing Provisions for Customer-Requested Smart Meters as submitted in Attachment B to the </w:t>
      </w:r>
      <w:r w:rsidRPr="00C86516">
        <w:t>Joint Petition for Partial Settlement</w:t>
      </w:r>
      <w:r>
        <w:t xml:space="preserve">.  </w:t>
      </w:r>
    </w:p>
    <w:p w:rsidR="00B8040C" w:rsidRDefault="00B8040C" w:rsidP="00B8040C">
      <w:pPr>
        <w:suppressAutoHyphens/>
      </w:pPr>
    </w:p>
    <w:p w:rsidR="00B8040C" w:rsidRDefault="00B8040C" w:rsidP="00B8040C">
      <w:pPr>
        <w:suppressAutoHyphens/>
      </w:pPr>
      <w:r>
        <w:t>6.</w:t>
      </w:r>
      <w:r>
        <w:tab/>
        <w:t xml:space="preserve">That the tariffs and tariff supplements addressed in Ordering Paragraphs Nos. 4 and 5 may become </w:t>
      </w:r>
      <w:r w:rsidRPr="00C86516">
        <w:t xml:space="preserve">effective on </w:t>
      </w:r>
      <w:r>
        <w:t>less than statutory notice pursuant to 52 Pa. Code §§ 53.31 and 53.101</w:t>
      </w:r>
      <w:r w:rsidR="00125CDC">
        <w:t>.</w:t>
      </w:r>
    </w:p>
    <w:p w:rsidR="00B8040C" w:rsidRDefault="00B8040C" w:rsidP="00B8040C">
      <w:pPr>
        <w:pStyle w:val="ListParagraph"/>
        <w:suppressAutoHyphens/>
      </w:pPr>
    </w:p>
    <w:p w:rsidR="00B8040C" w:rsidRDefault="00B8040C" w:rsidP="00B8040C">
      <w:r>
        <w:t>7.</w:t>
      </w:r>
      <w:r>
        <w:tab/>
        <w:t>That the Initial Decision of Administrative Law Judge Marlane R. Chestnut, issued on March 1, 2010, is adopted as amended by this Opinion and Order.</w:t>
      </w:r>
    </w:p>
    <w:p w:rsidR="00B8040C" w:rsidRDefault="00B8040C" w:rsidP="00B8040C"/>
    <w:p w:rsidR="00B8040C" w:rsidRDefault="00B8040C" w:rsidP="00B8040C">
      <w:r>
        <w:lastRenderedPageBreak/>
        <w:t>8.</w:t>
      </w:r>
      <w:r>
        <w:tab/>
        <w:t xml:space="preserve">That the Exceptions filed by the Office of Consumer Advocate are denied. </w:t>
      </w:r>
    </w:p>
    <w:p w:rsidR="00B8040C" w:rsidRDefault="00B8040C" w:rsidP="00B8040C"/>
    <w:p w:rsidR="00DC508E" w:rsidRDefault="0006770A" w:rsidP="00B8040C">
      <w:r>
        <w:t>9.</w:t>
      </w:r>
      <w:r>
        <w:tab/>
      </w:r>
      <w:r w:rsidR="00DC508E">
        <w:t xml:space="preserve">That in the event that </w:t>
      </w:r>
      <w:r w:rsidR="001E64B2">
        <w:t xml:space="preserve">the parties to </w:t>
      </w:r>
      <w:r w:rsidR="00DC508E">
        <w:t xml:space="preserve">a base rate </w:t>
      </w:r>
      <w:r>
        <w:t xml:space="preserve">proceeding </w:t>
      </w:r>
      <w:r w:rsidR="00DC508E">
        <w:t xml:space="preserve">for PECO Energy Company </w:t>
      </w:r>
      <w:r w:rsidR="001E64B2">
        <w:t>reach a proposed settlement</w:t>
      </w:r>
      <w:r w:rsidR="00DC508E">
        <w:t xml:space="preserve">, the </w:t>
      </w:r>
      <w:r w:rsidR="001E64B2">
        <w:t>p</w:t>
      </w:r>
      <w:r w:rsidR="00DC508E">
        <w:t xml:space="preserve">arties shall establish a rate of return on equity for the purpose </w:t>
      </w:r>
      <w:r w:rsidR="000239B6">
        <w:t xml:space="preserve">of </w:t>
      </w:r>
      <w:r w:rsidR="00DC508E">
        <w:t>implementing the Smart Meter Cost Recovery Surcharge.</w:t>
      </w:r>
    </w:p>
    <w:p w:rsidR="00DC508E" w:rsidRDefault="00DC508E" w:rsidP="00B8040C"/>
    <w:p w:rsidR="00206369" w:rsidRDefault="00206369" w:rsidP="00206369">
      <w:r>
        <w:t>10.</w:t>
      </w:r>
      <w:r>
        <w:tab/>
        <w:t xml:space="preserve">That, as part of the collaborative process set forth in the </w:t>
      </w:r>
      <w:r w:rsidR="00486F3D">
        <w:t>Joint Petition for Partial Settlement</w:t>
      </w:r>
      <w:r>
        <w:t xml:space="preserve">, </w:t>
      </w:r>
      <w:r w:rsidR="00976D46">
        <w:t xml:space="preserve">PECO Energy Company shall and </w:t>
      </w:r>
      <w:r>
        <w:t xml:space="preserve">the </w:t>
      </w:r>
      <w:r w:rsidR="00976D46">
        <w:t>P</w:t>
      </w:r>
      <w:r>
        <w:t>arties</w:t>
      </w:r>
      <w:r w:rsidR="00976D46">
        <w:t xml:space="preserve"> are requested to </w:t>
      </w:r>
      <w:r w:rsidRPr="007D018F">
        <w:rPr>
          <w:color w:val="000000"/>
          <w:szCs w:val="26"/>
        </w:rPr>
        <w:t>address the need, ability, and cost</w:t>
      </w:r>
      <w:r>
        <w:rPr>
          <w:color w:val="000000"/>
          <w:szCs w:val="26"/>
        </w:rPr>
        <w:t xml:space="preserve"> for sub-hourly metering.  </w:t>
      </w:r>
    </w:p>
    <w:p w:rsidR="00206369" w:rsidRDefault="00206369" w:rsidP="00B8040C"/>
    <w:p w:rsidR="00B8040C" w:rsidRDefault="0006770A" w:rsidP="00B8040C">
      <w:r>
        <w:t>1</w:t>
      </w:r>
      <w:r w:rsidR="00206369">
        <w:t>1</w:t>
      </w:r>
      <w:r w:rsidR="00B8040C">
        <w:t>.</w:t>
      </w:r>
      <w:r w:rsidR="00B8040C">
        <w:tab/>
        <w:t xml:space="preserve">That any directive, requirement, disposition or the like contained in the body of this Opinion and Order, which is not the subject of an individual Ordering Paragraph, shall have the full force and effect as if fully contained in this part. </w:t>
      </w:r>
    </w:p>
    <w:p w:rsidR="002D3EAB" w:rsidRDefault="002D3EAB" w:rsidP="00B8040C"/>
    <w:p w:rsidR="00B8040C" w:rsidRPr="003C63B1" w:rsidRDefault="00C9780D" w:rsidP="00B8040C">
      <w:pPr>
        <w:tabs>
          <w:tab w:val="left" w:pos="-720"/>
        </w:tabs>
        <w:suppressAutoHyphens/>
        <w:ind w:firstLine="0"/>
      </w:pPr>
      <w:r>
        <w:rPr>
          <w:b/>
          <w:noProof/>
        </w:rPr>
        <w:drawing>
          <wp:anchor distT="0" distB="0" distL="114300" distR="114300" simplePos="0" relativeHeight="251659264" behindDoc="1" locked="0" layoutInCell="1" allowOverlap="1">
            <wp:simplePos x="0" y="0"/>
            <wp:positionH relativeFrom="column">
              <wp:posOffset>3028950</wp:posOffset>
            </wp:positionH>
            <wp:positionV relativeFrom="paragraph">
              <wp:posOffset>147955</wp:posOffset>
            </wp:positionV>
            <wp:extent cx="2216150"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16150" cy="838200"/>
                    </a:xfrm>
                    <a:prstGeom prst="rect">
                      <a:avLst/>
                    </a:prstGeom>
                    <a:noFill/>
                    <a:ln w="9525">
                      <a:noFill/>
                      <a:miter lim="800000"/>
                      <a:headEnd/>
                      <a:tailEnd/>
                    </a:ln>
                  </pic:spPr>
                </pic:pic>
              </a:graphicData>
            </a:graphic>
          </wp:anchor>
        </w:drawing>
      </w:r>
      <w:r w:rsidR="00B8040C" w:rsidRPr="003C63B1">
        <w:rPr>
          <w:b/>
        </w:rPr>
        <w:tab/>
      </w:r>
      <w:r w:rsidR="00B8040C" w:rsidRPr="003C63B1">
        <w:rPr>
          <w:b/>
        </w:rPr>
        <w:tab/>
      </w:r>
      <w:r w:rsidR="00B8040C" w:rsidRPr="003C63B1">
        <w:rPr>
          <w:b/>
        </w:rPr>
        <w:tab/>
      </w:r>
      <w:r w:rsidR="00B8040C" w:rsidRPr="003C63B1">
        <w:rPr>
          <w:b/>
        </w:rPr>
        <w:tab/>
      </w:r>
      <w:r w:rsidR="00B8040C" w:rsidRPr="003C63B1">
        <w:rPr>
          <w:b/>
        </w:rPr>
        <w:tab/>
      </w:r>
      <w:r w:rsidR="00B8040C" w:rsidRPr="003C63B1">
        <w:rPr>
          <w:b/>
        </w:rPr>
        <w:tab/>
      </w:r>
      <w:r w:rsidR="00B8040C" w:rsidRPr="003C63B1">
        <w:rPr>
          <w:b/>
        </w:rPr>
        <w:tab/>
        <w:t>BY THE COMMISSION,</w:t>
      </w:r>
    </w:p>
    <w:p w:rsidR="00B8040C" w:rsidRPr="003C63B1" w:rsidRDefault="00B8040C" w:rsidP="00B8040C">
      <w:pPr>
        <w:tabs>
          <w:tab w:val="left" w:pos="-720"/>
        </w:tabs>
        <w:suppressAutoHyphens/>
        <w:ind w:firstLine="0"/>
      </w:pPr>
    </w:p>
    <w:p w:rsidR="00B8040C" w:rsidRPr="003C63B1" w:rsidRDefault="00B8040C" w:rsidP="00B8040C">
      <w:pPr>
        <w:tabs>
          <w:tab w:val="left" w:pos="-720"/>
        </w:tabs>
        <w:suppressAutoHyphens/>
        <w:ind w:firstLine="0"/>
      </w:pPr>
    </w:p>
    <w:p w:rsidR="00B8040C" w:rsidRPr="003C63B1" w:rsidRDefault="00B8040C" w:rsidP="007953E6">
      <w:pPr>
        <w:tabs>
          <w:tab w:val="left" w:pos="-720"/>
        </w:tabs>
        <w:suppressAutoHyphens/>
        <w:spacing w:line="240" w:lineRule="auto"/>
        <w:ind w:firstLine="0"/>
      </w:pPr>
      <w:r>
        <w:tab/>
      </w:r>
      <w:r>
        <w:tab/>
      </w:r>
      <w:r>
        <w:tab/>
      </w:r>
      <w:r>
        <w:tab/>
      </w:r>
      <w:r>
        <w:tab/>
      </w:r>
      <w:r>
        <w:tab/>
      </w:r>
      <w:r>
        <w:tab/>
        <w:t>Rosemary Chiavetta</w:t>
      </w:r>
    </w:p>
    <w:p w:rsidR="00B8040C" w:rsidRPr="003C63B1" w:rsidRDefault="00B8040C" w:rsidP="00B8040C">
      <w:pPr>
        <w:tabs>
          <w:tab w:val="left" w:pos="-720"/>
        </w:tabs>
        <w:suppressAutoHyphens/>
        <w:ind w:firstLine="0"/>
      </w:pPr>
      <w:r w:rsidRPr="003C63B1">
        <w:tab/>
      </w:r>
      <w:r w:rsidRPr="003C63B1">
        <w:tab/>
      </w:r>
      <w:r w:rsidRPr="003C63B1">
        <w:tab/>
      </w:r>
      <w:r w:rsidRPr="003C63B1">
        <w:tab/>
      </w:r>
      <w:r w:rsidRPr="003C63B1">
        <w:tab/>
      </w:r>
      <w:r w:rsidRPr="003C63B1">
        <w:tab/>
      </w:r>
      <w:r w:rsidRPr="003C63B1">
        <w:tab/>
        <w:t>Secretary</w:t>
      </w:r>
    </w:p>
    <w:p w:rsidR="00B8040C" w:rsidRPr="003C63B1" w:rsidRDefault="00B8040C" w:rsidP="00B8040C">
      <w:pPr>
        <w:tabs>
          <w:tab w:val="left" w:pos="-720"/>
        </w:tabs>
        <w:suppressAutoHyphens/>
        <w:ind w:firstLine="0"/>
      </w:pPr>
    </w:p>
    <w:p w:rsidR="00B8040C" w:rsidRPr="003C63B1" w:rsidRDefault="00B8040C" w:rsidP="00B8040C">
      <w:pPr>
        <w:tabs>
          <w:tab w:val="left" w:pos="-720"/>
        </w:tabs>
        <w:suppressAutoHyphens/>
        <w:ind w:firstLine="0"/>
      </w:pPr>
      <w:r w:rsidRPr="003C63B1">
        <w:t>(SEAL)</w:t>
      </w:r>
    </w:p>
    <w:p w:rsidR="00B8040C" w:rsidRPr="003C63B1" w:rsidRDefault="00B8040C" w:rsidP="00B8040C">
      <w:pPr>
        <w:tabs>
          <w:tab w:val="left" w:pos="-720"/>
        </w:tabs>
        <w:suppressAutoHyphens/>
        <w:ind w:firstLine="0"/>
      </w:pPr>
    </w:p>
    <w:p w:rsidR="00B8040C" w:rsidRPr="003C63B1" w:rsidRDefault="00B8040C" w:rsidP="00B8040C">
      <w:pPr>
        <w:tabs>
          <w:tab w:val="left" w:pos="-720"/>
        </w:tabs>
        <w:suppressAutoHyphens/>
        <w:ind w:firstLine="0"/>
      </w:pPr>
      <w:r>
        <w:t>ORDER ADOPTED:  April 22, 2010</w:t>
      </w:r>
    </w:p>
    <w:p w:rsidR="00B8040C" w:rsidRPr="00C9780D" w:rsidRDefault="00B8040C" w:rsidP="00B8040C">
      <w:pPr>
        <w:tabs>
          <w:tab w:val="left" w:pos="-720"/>
        </w:tabs>
        <w:suppressAutoHyphens/>
        <w:ind w:firstLine="0"/>
        <w:rPr>
          <w:b/>
        </w:rPr>
      </w:pPr>
      <w:r w:rsidRPr="003C63B1">
        <w:t xml:space="preserve">ORDER ENTERED: </w:t>
      </w:r>
      <w:r>
        <w:t xml:space="preserve">  </w:t>
      </w:r>
      <w:r w:rsidR="00C9780D">
        <w:rPr>
          <w:b/>
        </w:rPr>
        <w:t>May 6, 2010</w:t>
      </w:r>
    </w:p>
    <w:p w:rsidR="009A077C" w:rsidRPr="00DB1424" w:rsidRDefault="009A077C" w:rsidP="00B8040C">
      <w:pPr>
        <w:rPr>
          <w:szCs w:val="26"/>
        </w:rPr>
      </w:pPr>
    </w:p>
    <w:sectPr w:rsidR="009A077C" w:rsidRPr="00DB1424" w:rsidSect="00805EB4">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FDA" w:rsidRDefault="00AA6FDA" w:rsidP="008F250B">
      <w:r>
        <w:separator/>
      </w:r>
    </w:p>
  </w:endnote>
  <w:endnote w:type="continuationSeparator" w:id="0">
    <w:p w:rsidR="00AA6FDA" w:rsidRDefault="00AA6FDA" w:rsidP="008F2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5846"/>
      <w:docPartObj>
        <w:docPartGallery w:val="Page Numbers (Bottom of Page)"/>
        <w:docPartUnique/>
      </w:docPartObj>
    </w:sdtPr>
    <w:sdtContent>
      <w:p w:rsidR="00257CAA" w:rsidRDefault="003D6E16" w:rsidP="0049668E">
        <w:pPr>
          <w:pStyle w:val="Footer"/>
          <w:ind w:firstLine="0"/>
          <w:jc w:val="center"/>
        </w:pPr>
        <w:fldSimple w:instr=" PAGE   \* MERGEFORMAT ">
          <w:r w:rsidR="00345DF8">
            <w:rPr>
              <w:noProof/>
            </w:rPr>
            <w:t>ii</w:t>
          </w:r>
        </w:fldSimple>
      </w:p>
    </w:sdtContent>
  </w:sdt>
  <w:p w:rsidR="00257CAA" w:rsidRDefault="00257C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CAA" w:rsidRDefault="00257CAA" w:rsidP="006F1CC8">
    <w:pPr>
      <w:pStyle w:val="Footer"/>
      <w:ind w:firstLine="0"/>
      <w:jc w:val="center"/>
    </w:pPr>
  </w:p>
  <w:p w:rsidR="00257CAA" w:rsidRDefault="00257C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92196"/>
      <w:docPartObj>
        <w:docPartGallery w:val="Page Numbers (Bottom of Page)"/>
        <w:docPartUnique/>
      </w:docPartObj>
    </w:sdtPr>
    <w:sdtContent>
      <w:p w:rsidR="00257CAA" w:rsidRDefault="003D6E16" w:rsidP="006F1CC8">
        <w:pPr>
          <w:pStyle w:val="Footer"/>
          <w:ind w:firstLine="0"/>
          <w:jc w:val="center"/>
        </w:pPr>
        <w:fldSimple w:instr=" PAGE   \* MERGEFORMAT ">
          <w:r w:rsidR="00345DF8">
            <w:rPr>
              <w:noProof/>
            </w:rPr>
            <w:t>i</w:t>
          </w:r>
        </w:fldSimple>
      </w:p>
    </w:sdtContent>
  </w:sdt>
  <w:p w:rsidR="00257CAA" w:rsidRDefault="00257C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FDA" w:rsidRDefault="00AA6FDA" w:rsidP="008F250B">
      <w:r>
        <w:separator/>
      </w:r>
    </w:p>
  </w:footnote>
  <w:footnote w:type="continuationSeparator" w:id="0">
    <w:p w:rsidR="00AA6FDA" w:rsidRDefault="00AA6FDA" w:rsidP="008F250B">
      <w:r>
        <w:continuationSeparator/>
      </w:r>
    </w:p>
  </w:footnote>
  <w:footnote w:id="1">
    <w:p w:rsidR="00257CAA" w:rsidRPr="00324309" w:rsidRDefault="00257CAA" w:rsidP="005E25A9">
      <w:pPr>
        <w:pStyle w:val="FootnoteText"/>
        <w:spacing w:line="240" w:lineRule="auto"/>
        <w:ind w:firstLine="720"/>
        <w:rPr>
          <w:sz w:val="26"/>
          <w:szCs w:val="26"/>
        </w:rPr>
      </w:pPr>
      <w:r w:rsidRPr="00324309">
        <w:rPr>
          <w:rStyle w:val="FootnoteReference"/>
          <w:sz w:val="26"/>
          <w:szCs w:val="26"/>
        </w:rPr>
        <w:footnoteRef/>
      </w:r>
      <w:r w:rsidRPr="00324309">
        <w:rPr>
          <w:sz w:val="26"/>
          <w:szCs w:val="26"/>
        </w:rPr>
        <w:t xml:space="preserve"> </w:t>
      </w:r>
      <w:r>
        <w:rPr>
          <w:sz w:val="26"/>
          <w:szCs w:val="26"/>
        </w:rPr>
        <w:tab/>
      </w:r>
      <w:r w:rsidRPr="00324309">
        <w:rPr>
          <w:sz w:val="26"/>
          <w:szCs w:val="26"/>
        </w:rPr>
        <w:t>For the purpose of this proceeding, the members of PAIEUG, listed on Attachment A to its Petition to Intervene, are Air Liquide Industrial U.S., LP</w:t>
      </w:r>
      <w:r>
        <w:rPr>
          <w:sz w:val="26"/>
          <w:szCs w:val="26"/>
        </w:rPr>
        <w:t>;</w:t>
      </w:r>
      <w:r w:rsidRPr="00324309">
        <w:rPr>
          <w:sz w:val="26"/>
          <w:szCs w:val="26"/>
        </w:rPr>
        <w:t xml:space="preserve"> The Boeing Company</w:t>
      </w:r>
      <w:r>
        <w:rPr>
          <w:sz w:val="26"/>
          <w:szCs w:val="26"/>
        </w:rPr>
        <w:t>;</w:t>
      </w:r>
      <w:r w:rsidRPr="00324309">
        <w:rPr>
          <w:sz w:val="26"/>
          <w:szCs w:val="26"/>
        </w:rPr>
        <w:t xml:space="preserve"> Buckeye Partners, L.P.</w:t>
      </w:r>
      <w:r>
        <w:rPr>
          <w:sz w:val="26"/>
          <w:szCs w:val="26"/>
        </w:rPr>
        <w:t>;</w:t>
      </w:r>
      <w:r w:rsidRPr="00324309">
        <w:rPr>
          <w:sz w:val="26"/>
          <w:szCs w:val="26"/>
        </w:rPr>
        <w:t xml:space="preserve"> Drexel University</w:t>
      </w:r>
      <w:r>
        <w:rPr>
          <w:sz w:val="26"/>
          <w:szCs w:val="26"/>
        </w:rPr>
        <w:t>;</w:t>
      </w:r>
      <w:r w:rsidRPr="00324309">
        <w:rPr>
          <w:sz w:val="26"/>
          <w:szCs w:val="26"/>
        </w:rPr>
        <w:t xml:space="preserve"> Franklin Mills Associates Limited Partnership</w:t>
      </w:r>
      <w:r>
        <w:rPr>
          <w:sz w:val="26"/>
          <w:szCs w:val="26"/>
        </w:rPr>
        <w:t>;</w:t>
      </w:r>
      <w:r w:rsidRPr="00324309">
        <w:rPr>
          <w:sz w:val="26"/>
          <w:szCs w:val="26"/>
        </w:rPr>
        <w:t xml:space="preserve"> GlaxoSmithKline</w:t>
      </w:r>
      <w:r>
        <w:rPr>
          <w:sz w:val="26"/>
          <w:szCs w:val="26"/>
        </w:rPr>
        <w:t>;</w:t>
      </w:r>
      <w:r w:rsidRPr="00324309">
        <w:rPr>
          <w:sz w:val="26"/>
          <w:szCs w:val="26"/>
        </w:rPr>
        <w:t xml:space="preserve"> Jefferson Health System</w:t>
      </w:r>
      <w:r>
        <w:rPr>
          <w:sz w:val="26"/>
          <w:szCs w:val="26"/>
        </w:rPr>
        <w:t>;</w:t>
      </w:r>
      <w:r w:rsidRPr="00324309">
        <w:rPr>
          <w:sz w:val="26"/>
          <w:szCs w:val="26"/>
        </w:rPr>
        <w:t xml:space="preserve"> Kimberly-Clark Corporation</w:t>
      </w:r>
      <w:r>
        <w:rPr>
          <w:sz w:val="26"/>
          <w:szCs w:val="26"/>
        </w:rPr>
        <w:t>;</w:t>
      </w:r>
      <w:r w:rsidRPr="00324309">
        <w:rPr>
          <w:sz w:val="26"/>
          <w:szCs w:val="26"/>
        </w:rPr>
        <w:t xml:space="preserve"> Merck &amp; Co., Inc.</w:t>
      </w:r>
      <w:r>
        <w:rPr>
          <w:sz w:val="26"/>
          <w:szCs w:val="26"/>
        </w:rPr>
        <w:t>;</w:t>
      </w:r>
      <w:r w:rsidRPr="00324309">
        <w:rPr>
          <w:sz w:val="26"/>
          <w:szCs w:val="26"/>
        </w:rPr>
        <w:t xml:space="preserve"> Saint Joseph’s University</w:t>
      </w:r>
      <w:r>
        <w:rPr>
          <w:sz w:val="26"/>
          <w:szCs w:val="26"/>
        </w:rPr>
        <w:t>;</w:t>
      </w:r>
      <w:r w:rsidRPr="00324309">
        <w:rPr>
          <w:sz w:val="26"/>
          <w:szCs w:val="26"/>
        </w:rPr>
        <w:t xml:space="preserve"> Sanofi-Aventis</w:t>
      </w:r>
      <w:r>
        <w:rPr>
          <w:sz w:val="26"/>
          <w:szCs w:val="26"/>
        </w:rPr>
        <w:t>;</w:t>
      </w:r>
      <w:r w:rsidRPr="00324309">
        <w:rPr>
          <w:sz w:val="26"/>
          <w:szCs w:val="26"/>
        </w:rPr>
        <w:t xml:space="preserve"> Temple University</w:t>
      </w:r>
      <w:r>
        <w:rPr>
          <w:sz w:val="26"/>
          <w:szCs w:val="26"/>
        </w:rPr>
        <w:t>;</w:t>
      </w:r>
      <w:r w:rsidRPr="00324309">
        <w:rPr>
          <w:sz w:val="26"/>
          <w:szCs w:val="26"/>
        </w:rPr>
        <w:t xml:space="preserve"> and Villanova University.  </w:t>
      </w:r>
    </w:p>
  </w:footnote>
  <w:footnote w:id="2">
    <w:p w:rsidR="00257CAA" w:rsidRPr="00B23B6E" w:rsidRDefault="00257CAA" w:rsidP="00393703">
      <w:pPr>
        <w:pStyle w:val="FootnoteText"/>
        <w:spacing w:line="240" w:lineRule="auto"/>
        <w:ind w:firstLine="720"/>
        <w:rPr>
          <w:sz w:val="26"/>
          <w:szCs w:val="26"/>
        </w:rPr>
      </w:pPr>
      <w:r w:rsidRPr="00B23B6E">
        <w:rPr>
          <w:rStyle w:val="FootnoteReference"/>
          <w:sz w:val="26"/>
          <w:szCs w:val="26"/>
        </w:rPr>
        <w:footnoteRef/>
      </w:r>
      <w:r w:rsidRPr="00B23B6E">
        <w:rPr>
          <w:sz w:val="26"/>
          <w:szCs w:val="26"/>
        </w:rPr>
        <w:t xml:space="preserve"> </w:t>
      </w:r>
      <w:r w:rsidRPr="00B23B6E">
        <w:rPr>
          <w:sz w:val="26"/>
          <w:szCs w:val="26"/>
        </w:rPr>
        <w:tab/>
        <w:t xml:space="preserve">On March 31, 2010, PECO filed a general base rate filing </w:t>
      </w:r>
      <w:r>
        <w:rPr>
          <w:sz w:val="26"/>
          <w:szCs w:val="26"/>
        </w:rPr>
        <w:t xml:space="preserve">with the Commission </w:t>
      </w:r>
      <w:r w:rsidRPr="00B23B6E">
        <w:rPr>
          <w:sz w:val="26"/>
          <w:szCs w:val="26"/>
        </w:rPr>
        <w:t>at Docket No.</w:t>
      </w:r>
      <w:r>
        <w:rPr>
          <w:sz w:val="26"/>
          <w:szCs w:val="26"/>
        </w:rPr>
        <w:t xml:space="preserve"> </w:t>
      </w:r>
      <w:r w:rsidRPr="00B23B6E">
        <w:rPr>
          <w:sz w:val="26"/>
          <w:szCs w:val="26"/>
        </w:rPr>
        <w:t>R-2010-2161575.</w:t>
      </w:r>
    </w:p>
  </w:footnote>
  <w:footnote w:id="3">
    <w:p w:rsidR="00257CAA" w:rsidRPr="00C30F52" w:rsidRDefault="00257CAA" w:rsidP="00081C59">
      <w:pPr>
        <w:pStyle w:val="FootnoteText"/>
        <w:spacing w:line="240" w:lineRule="auto"/>
        <w:ind w:firstLine="720"/>
        <w:rPr>
          <w:sz w:val="26"/>
          <w:szCs w:val="26"/>
        </w:rPr>
      </w:pPr>
      <w:r w:rsidRPr="00081C59">
        <w:rPr>
          <w:rStyle w:val="FootnoteReference"/>
          <w:sz w:val="26"/>
          <w:szCs w:val="26"/>
        </w:rPr>
        <w:footnoteRef/>
      </w:r>
      <w:r>
        <w:rPr>
          <w:sz w:val="26"/>
          <w:szCs w:val="26"/>
        </w:rPr>
        <w:tab/>
      </w:r>
      <w:r w:rsidRPr="00C30F52">
        <w:rPr>
          <w:sz w:val="26"/>
          <w:szCs w:val="26"/>
        </w:rPr>
        <w:t>We note that subsequent to the filing of the Settlement Petition, the Internal Revenue Service issued Revenue Procedure 2101-20 that provides a safe harbor that treats Smart Grid Investment Grants as nontaxable contributions to capital.  This Revenue Procedure is effective March 10, 2010.</w:t>
      </w:r>
    </w:p>
    <w:p w:rsidR="00257CAA" w:rsidRDefault="00257CAA">
      <w:pPr>
        <w:pStyle w:val="FootnoteText"/>
      </w:pP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CAA" w:rsidRDefault="00257CAA" w:rsidP="00FD1DB9">
    <w:pPr>
      <w:pStyle w:val="Header"/>
      <w:tabs>
        <w:tab w:val="clear" w:pos="4680"/>
        <w:tab w:val="clear" w:pos="9360"/>
        <w:tab w:val="left" w:pos="3665"/>
      </w:tabs>
      <w:ind w:left="2880" w:firstLine="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4BC1"/>
    <w:multiLevelType w:val="hybridMultilevel"/>
    <w:tmpl w:val="61F6A3A2"/>
    <w:lvl w:ilvl="0" w:tplc="08C02DE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4462019"/>
    <w:multiLevelType w:val="hybridMultilevel"/>
    <w:tmpl w:val="4CE4498A"/>
    <w:lvl w:ilvl="0" w:tplc="FD04456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4F846DE"/>
    <w:multiLevelType w:val="hybridMultilevel"/>
    <w:tmpl w:val="9FE0E1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B2503"/>
    <w:multiLevelType w:val="hybridMultilevel"/>
    <w:tmpl w:val="CEFC4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969BE"/>
    <w:multiLevelType w:val="hybridMultilevel"/>
    <w:tmpl w:val="DCAEA9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BDC3A5C"/>
    <w:multiLevelType w:val="hybridMultilevel"/>
    <w:tmpl w:val="4E4AD8B2"/>
    <w:lvl w:ilvl="0" w:tplc="E2DEE8D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0C9D0C74"/>
    <w:multiLevelType w:val="hybridMultilevel"/>
    <w:tmpl w:val="BF747698"/>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227D9"/>
    <w:multiLevelType w:val="hybridMultilevel"/>
    <w:tmpl w:val="8DF0B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0136D3"/>
    <w:multiLevelType w:val="hybridMultilevel"/>
    <w:tmpl w:val="581EFDA0"/>
    <w:lvl w:ilvl="0" w:tplc="28580E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8D25571"/>
    <w:multiLevelType w:val="hybridMultilevel"/>
    <w:tmpl w:val="308010A4"/>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0C2858"/>
    <w:multiLevelType w:val="hybridMultilevel"/>
    <w:tmpl w:val="D68C62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DCE1A15"/>
    <w:multiLevelType w:val="hybridMultilevel"/>
    <w:tmpl w:val="84508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2E2647"/>
    <w:multiLevelType w:val="hybridMultilevel"/>
    <w:tmpl w:val="76D446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63C7C65"/>
    <w:multiLevelType w:val="hybridMultilevel"/>
    <w:tmpl w:val="61F6A3A2"/>
    <w:lvl w:ilvl="0" w:tplc="08C02DE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642798D"/>
    <w:multiLevelType w:val="hybridMultilevel"/>
    <w:tmpl w:val="D264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536341"/>
    <w:multiLevelType w:val="multilevel"/>
    <w:tmpl w:val="A6DE31F6"/>
    <w:name w:val="zzmpBrief||Brief|3|1|1|1|2|41||1|0|33||1|0|32||1|0|33||1|0|32||1|0|32||1|0|32||1|0|32||1|0|32||"/>
    <w:lvl w:ilvl="0">
      <w:start w:val="1"/>
      <w:numFmt w:val="upperRoman"/>
      <w:pStyle w:val="BriefL1"/>
      <w:lvlText w:val="%1."/>
      <w:lvlJc w:val="left"/>
      <w:pPr>
        <w:tabs>
          <w:tab w:val="num" w:pos="720"/>
        </w:tabs>
        <w:ind w:left="0" w:firstLine="0"/>
      </w:pPr>
      <w:rPr>
        <w:b/>
        <w:i w:val="0"/>
        <w:caps/>
        <w:smallCaps w:val="0"/>
        <w:u w:val="none"/>
      </w:rPr>
    </w:lvl>
    <w:lvl w:ilvl="1">
      <w:start w:val="1"/>
      <w:numFmt w:val="upperLetter"/>
      <w:pStyle w:val="BriefL2"/>
      <w:lvlText w:val="%2."/>
      <w:lvlJc w:val="left"/>
      <w:pPr>
        <w:tabs>
          <w:tab w:val="num" w:pos="1440"/>
        </w:tabs>
        <w:ind w:left="1440" w:hanging="720"/>
      </w:pPr>
      <w:rPr>
        <w:b/>
        <w:i w:val="0"/>
        <w:caps w:val="0"/>
        <w:u w:val="none"/>
      </w:rPr>
    </w:lvl>
    <w:lvl w:ilvl="2">
      <w:start w:val="1"/>
      <w:numFmt w:val="decimal"/>
      <w:pStyle w:val="BriefL3"/>
      <w:lvlText w:val="%3."/>
      <w:lvlJc w:val="left"/>
      <w:pPr>
        <w:tabs>
          <w:tab w:val="num" w:pos="2160"/>
        </w:tabs>
        <w:ind w:left="2160" w:hanging="720"/>
      </w:pPr>
      <w:rPr>
        <w:b/>
        <w:i w:val="0"/>
        <w:caps w:val="0"/>
        <w:u w:val="none"/>
      </w:rPr>
    </w:lvl>
    <w:lvl w:ilvl="3">
      <w:start w:val="1"/>
      <w:numFmt w:val="lowerLetter"/>
      <w:pStyle w:val="BriefL4"/>
      <w:lvlText w:val="%4."/>
      <w:lvlJc w:val="left"/>
      <w:pPr>
        <w:tabs>
          <w:tab w:val="num" w:pos="2880"/>
        </w:tabs>
        <w:ind w:left="2880" w:hanging="720"/>
      </w:pPr>
      <w:rPr>
        <w:b/>
        <w:i w:val="0"/>
        <w:caps w:val="0"/>
        <w:u w:val="none"/>
      </w:rPr>
    </w:lvl>
    <w:lvl w:ilvl="4">
      <w:start w:val="1"/>
      <w:numFmt w:val="decimal"/>
      <w:pStyle w:val="BriefL5"/>
      <w:lvlText w:val="(%5)"/>
      <w:lvlJc w:val="left"/>
      <w:pPr>
        <w:tabs>
          <w:tab w:val="num" w:pos="3600"/>
        </w:tabs>
        <w:ind w:left="3600" w:hanging="720"/>
      </w:pPr>
      <w:rPr>
        <w:b w:val="0"/>
        <w:i w:val="0"/>
        <w:caps w:val="0"/>
        <w:u w:val="none"/>
      </w:rPr>
    </w:lvl>
    <w:lvl w:ilvl="5">
      <w:start w:val="1"/>
      <w:numFmt w:val="lowerLetter"/>
      <w:pStyle w:val="BriefL6"/>
      <w:lvlText w:val="(%6)"/>
      <w:lvlJc w:val="left"/>
      <w:pPr>
        <w:tabs>
          <w:tab w:val="num" w:pos="4320"/>
        </w:tabs>
        <w:ind w:left="4320" w:hanging="720"/>
      </w:pPr>
      <w:rPr>
        <w:b w:val="0"/>
        <w:i w:val="0"/>
        <w:caps w:val="0"/>
        <w:u w:val="none"/>
      </w:rPr>
    </w:lvl>
    <w:lvl w:ilvl="6">
      <w:start w:val="1"/>
      <w:numFmt w:val="lowerRoman"/>
      <w:pStyle w:val="BriefL7"/>
      <w:lvlText w:val="(%7)"/>
      <w:lvlJc w:val="left"/>
      <w:pPr>
        <w:tabs>
          <w:tab w:val="num" w:pos="5040"/>
        </w:tabs>
        <w:ind w:left="5040" w:hanging="720"/>
      </w:pPr>
      <w:rPr>
        <w:b w:val="0"/>
        <w:i w:val="0"/>
        <w:caps w:val="0"/>
        <w:u w:val="none"/>
      </w:rPr>
    </w:lvl>
    <w:lvl w:ilvl="7">
      <w:start w:val="1"/>
      <w:numFmt w:val="lowerLetter"/>
      <w:pStyle w:val="BriefL8"/>
      <w:lvlText w:val="%8)"/>
      <w:lvlJc w:val="left"/>
      <w:pPr>
        <w:tabs>
          <w:tab w:val="num" w:pos="5760"/>
        </w:tabs>
        <w:ind w:left="5760" w:hanging="720"/>
      </w:pPr>
      <w:rPr>
        <w:b w:val="0"/>
        <w:i w:val="0"/>
        <w:caps w:val="0"/>
        <w:u w:val="none"/>
      </w:rPr>
    </w:lvl>
    <w:lvl w:ilvl="8">
      <w:start w:val="1"/>
      <w:numFmt w:val="lowerRoman"/>
      <w:pStyle w:val="BriefL9"/>
      <w:lvlText w:val="%9)"/>
      <w:lvlJc w:val="left"/>
      <w:pPr>
        <w:tabs>
          <w:tab w:val="num" w:pos="6480"/>
        </w:tabs>
        <w:ind w:left="6480" w:hanging="720"/>
      </w:pPr>
      <w:rPr>
        <w:b w:val="0"/>
        <w:i w:val="0"/>
        <w:caps w:val="0"/>
        <w:u w:val="none"/>
      </w:rPr>
    </w:lvl>
  </w:abstractNum>
  <w:abstractNum w:abstractNumId="16">
    <w:nsid w:val="2E540004"/>
    <w:multiLevelType w:val="hybridMultilevel"/>
    <w:tmpl w:val="4CB08930"/>
    <w:lvl w:ilvl="0" w:tplc="C2E461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51658DA"/>
    <w:multiLevelType w:val="hybridMultilevel"/>
    <w:tmpl w:val="CB9A90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5F94DB5"/>
    <w:multiLevelType w:val="hybridMultilevel"/>
    <w:tmpl w:val="62140D30"/>
    <w:lvl w:ilvl="0" w:tplc="6512B954">
      <w:start w:val="1"/>
      <w:numFmt w:val="upperLetter"/>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nsid w:val="380C5EF2"/>
    <w:multiLevelType w:val="hybridMultilevel"/>
    <w:tmpl w:val="62140D30"/>
    <w:lvl w:ilvl="0" w:tplc="6512B954">
      <w:start w:val="1"/>
      <w:numFmt w:val="upperLetter"/>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nsid w:val="3B8A6E55"/>
    <w:multiLevelType w:val="hybridMultilevel"/>
    <w:tmpl w:val="237CC600"/>
    <w:lvl w:ilvl="0" w:tplc="58EA9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8945D1"/>
    <w:multiLevelType w:val="hybridMultilevel"/>
    <w:tmpl w:val="96269FEE"/>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8B4213"/>
    <w:multiLevelType w:val="hybridMultilevel"/>
    <w:tmpl w:val="560A2EFA"/>
    <w:lvl w:ilvl="0" w:tplc="BDA889A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5BD2953"/>
    <w:multiLevelType w:val="hybridMultilevel"/>
    <w:tmpl w:val="4322D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107266"/>
    <w:multiLevelType w:val="hybridMultilevel"/>
    <w:tmpl w:val="0BB8D87C"/>
    <w:lvl w:ilvl="0" w:tplc="53E86940">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99207E"/>
    <w:multiLevelType w:val="hybridMultilevel"/>
    <w:tmpl w:val="74B24CE0"/>
    <w:lvl w:ilvl="0" w:tplc="53E86940">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DA1F16"/>
    <w:multiLevelType w:val="hybridMultilevel"/>
    <w:tmpl w:val="AEAEE65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nsid w:val="5AC86A0B"/>
    <w:multiLevelType w:val="hybridMultilevel"/>
    <w:tmpl w:val="15C8F870"/>
    <w:lvl w:ilvl="0" w:tplc="6F4AE60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5C306546"/>
    <w:multiLevelType w:val="hybridMultilevel"/>
    <w:tmpl w:val="D1E4B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F47109"/>
    <w:multiLevelType w:val="hybridMultilevel"/>
    <w:tmpl w:val="CC1A7610"/>
    <w:lvl w:ilvl="0" w:tplc="53E86940">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C7E6092"/>
    <w:multiLevelType w:val="hybridMultilevel"/>
    <w:tmpl w:val="D8D4EBF6"/>
    <w:lvl w:ilvl="0" w:tplc="B060004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nsid w:val="7127237A"/>
    <w:multiLevelType w:val="hybridMultilevel"/>
    <w:tmpl w:val="D0DC3730"/>
    <w:lvl w:ilvl="0" w:tplc="8A6EFF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CF0D57"/>
    <w:multiLevelType w:val="hybridMultilevel"/>
    <w:tmpl w:val="C91268B4"/>
    <w:lvl w:ilvl="0" w:tplc="4A6442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766E3603"/>
    <w:multiLevelType w:val="hybridMultilevel"/>
    <w:tmpl w:val="AE0A24E0"/>
    <w:lvl w:ilvl="0" w:tplc="5C3854E8">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7C9B26E7"/>
    <w:multiLevelType w:val="hybridMultilevel"/>
    <w:tmpl w:val="61F6A3A2"/>
    <w:lvl w:ilvl="0" w:tplc="08C02DE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1"/>
  </w:num>
  <w:num w:numId="2">
    <w:abstractNumId w:val="20"/>
  </w:num>
  <w:num w:numId="3">
    <w:abstractNumId w:val="5"/>
  </w:num>
  <w:num w:numId="4">
    <w:abstractNumId w:val="22"/>
  </w:num>
  <w:num w:numId="5">
    <w:abstractNumId w:val="19"/>
  </w:num>
  <w:num w:numId="6">
    <w:abstractNumId w:val="18"/>
  </w:num>
  <w:num w:numId="7">
    <w:abstractNumId w:val="15"/>
  </w:num>
  <w:num w:numId="8">
    <w:abstractNumId w:val="12"/>
  </w:num>
  <w:num w:numId="9">
    <w:abstractNumId w:val="17"/>
  </w:num>
  <w:num w:numId="10">
    <w:abstractNumId w:val="4"/>
  </w:num>
  <w:num w:numId="11">
    <w:abstractNumId w:val="14"/>
  </w:num>
  <w:num w:numId="12">
    <w:abstractNumId w:val="30"/>
  </w:num>
  <w:num w:numId="13">
    <w:abstractNumId w:val="1"/>
  </w:num>
  <w:num w:numId="14">
    <w:abstractNumId w:val="16"/>
  </w:num>
  <w:num w:numId="15">
    <w:abstractNumId w:val="8"/>
  </w:num>
  <w:num w:numId="16">
    <w:abstractNumId w:val="0"/>
  </w:num>
  <w:num w:numId="17">
    <w:abstractNumId w:val="32"/>
  </w:num>
  <w:num w:numId="18">
    <w:abstractNumId w:val="33"/>
  </w:num>
  <w:num w:numId="19">
    <w:abstractNumId w:val="27"/>
  </w:num>
  <w:num w:numId="20">
    <w:abstractNumId w:val="34"/>
  </w:num>
  <w:num w:numId="21">
    <w:abstractNumId w:val="13"/>
  </w:num>
  <w:num w:numId="22">
    <w:abstractNumId w:val="26"/>
  </w:num>
  <w:num w:numId="23">
    <w:abstractNumId w:val="7"/>
  </w:num>
  <w:num w:numId="24">
    <w:abstractNumId w:val="23"/>
  </w:num>
  <w:num w:numId="25">
    <w:abstractNumId w:val="3"/>
  </w:num>
  <w:num w:numId="26">
    <w:abstractNumId w:val="11"/>
  </w:num>
  <w:num w:numId="27">
    <w:abstractNumId w:val="2"/>
  </w:num>
  <w:num w:numId="28">
    <w:abstractNumId w:val="29"/>
  </w:num>
  <w:num w:numId="29">
    <w:abstractNumId w:val="10"/>
  </w:num>
  <w:num w:numId="30">
    <w:abstractNumId w:val="21"/>
  </w:num>
  <w:num w:numId="31">
    <w:abstractNumId w:val="28"/>
  </w:num>
  <w:num w:numId="32">
    <w:abstractNumId w:val="24"/>
  </w:num>
  <w:num w:numId="33">
    <w:abstractNumId w:val="25"/>
  </w:num>
  <w:num w:numId="34">
    <w:abstractNumId w:val="6"/>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F461A6"/>
    <w:rsid w:val="000004A8"/>
    <w:rsid w:val="00000D10"/>
    <w:rsid w:val="000017DE"/>
    <w:rsid w:val="00004279"/>
    <w:rsid w:val="00004E31"/>
    <w:rsid w:val="000050A5"/>
    <w:rsid w:val="0000701D"/>
    <w:rsid w:val="00007355"/>
    <w:rsid w:val="00010B60"/>
    <w:rsid w:val="00010B8F"/>
    <w:rsid w:val="00010C5A"/>
    <w:rsid w:val="00010DC0"/>
    <w:rsid w:val="00010E15"/>
    <w:rsid w:val="00010EC3"/>
    <w:rsid w:val="00011080"/>
    <w:rsid w:val="00011146"/>
    <w:rsid w:val="00011189"/>
    <w:rsid w:val="00012541"/>
    <w:rsid w:val="00012624"/>
    <w:rsid w:val="0001265B"/>
    <w:rsid w:val="00013409"/>
    <w:rsid w:val="00013762"/>
    <w:rsid w:val="00013A71"/>
    <w:rsid w:val="000142C1"/>
    <w:rsid w:val="00014AC1"/>
    <w:rsid w:val="00014AC5"/>
    <w:rsid w:val="00014C80"/>
    <w:rsid w:val="00016010"/>
    <w:rsid w:val="00016B13"/>
    <w:rsid w:val="00016BFB"/>
    <w:rsid w:val="000173A1"/>
    <w:rsid w:val="00017503"/>
    <w:rsid w:val="000177C2"/>
    <w:rsid w:val="000177E9"/>
    <w:rsid w:val="00017811"/>
    <w:rsid w:val="00017852"/>
    <w:rsid w:val="000179FC"/>
    <w:rsid w:val="00017FE8"/>
    <w:rsid w:val="00020830"/>
    <w:rsid w:val="00020D1E"/>
    <w:rsid w:val="00020EE2"/>
    <w:rsid w:val="000212DB"/>
    <w:rsid w:val="00021493"/>
    <w:rsid w:val="0002216B"/>
    <w:rsid w:val="00022398"/>
    <w:rsid w:val="000227CD"/>
    <w:rsid w:val="00022AE1"/>
    <w:rsid w:val="00022B74"/>
    <w:rsid w:val="00022C4F"/>
    <w:rsid w:val="000239B6"/>
    <w:rsid w:val="00023ACB"/>
    <w:rsid w:val="00023BD3"/>
    <w:rsid w:val="000249DC"/>
    <w:rsid w:val="00025264"/>
    <w:rsid w:val="00025AC4"/>
    <w:rsid w:val="00025AE3"/>
    <w:rsid w:val="00026207"/>
    <w:rsid w:val="000262F4"/>
    <w:rsid w:val="00026612"/>
    <w:rsid w:val="00026C07"/>
    <w:rsid w:val="00027AC8"/>
    <w:rsid w:val="00027AEC"/>
    <w:rsid w:val="00027ECA"/>
    <w:rsid w:val="00031345"/>
    <w:rsid w:val="0003176C"/>
    <w:rsid w:val="000329C2"/>
    <w:rsid w:val="00033054"/>
    <w:rsid w:val="0003351A"/>
    <w:rsid w:val="00033853"/>
    <w:rsid w:val="00034FFB"/>
    <w:rsid w:val="0003530B"/>
    <w:rsid w:val="000354EB"/>
    <w:rsid w:val="00035848"/>
    <w:rsid w:val="0003731E"/>
    <w:rsid w:val="000374AC"/>
    <w:rsid w:val="000403DD"/>
    <w:rsid w:val="000414C0"/>
    <w:rsid w:val="000421FE"/>
    <w:rsid w:val="00042754"/>
    <w:rsid w:val="0004330A"/>
    <w:rsid w:val="00043FE9"/>
    <w:rsid w:val="00046B4F"/>
    <w:rsid w:val="00047236"/>
    <w:rsid w:val="00047304"/>
    <w:rsid w:val="0004734D"/>
    <w:rsid w:val="00047404"/>
    <w:rsid w:val="00047F4A"/>
    <w:rsid w:val="00050437"/>
    <w:rsid w:val="00050A52"/>
    <w:rsid w:val="0005126E"/>
    <w:rsid w:val="000518D3"/>
    <w:rsid w:val="00051AC5"/>
    <w:rsid w:val="00051C07"/>
    <w:rsid w:val="00051DBA"/>
    <w:rsid w:val="00054612"/>
    <w:rsid w:val="000547D7"/>
    <w:rsid w:val="00054827"/>
    <w:rsid w:val="0005510D"/>
    <w:rsid w:val="000552F7"/>
    <w:rsid w:val="0005549C"/>
    <w:rsid w:val="0005598E"/>
    <w:rsid w:val="00055F69"/>
    <w:rsid w:val="00056286"/>
    <w:rsid w:val="00056446"/>
    <w:rsid w:val="0005685C"/>
    <w:rsid w:val="000576A7"/>
    <w:rsid w:val="000618B0"/>
    <w:rsid w:val="0006266B"/>
    <w:rsid w:val="000649EC"/>
    <w:rsid w:val="00065045"/>
    <w:rsid w:val="000656BA"/>
    <w:rsid w:val="00065CDD"/>
    <w:rsid w:val="000662FC"/>
    <w:rsid w:val="00066C7D"/>
    <w:rsid w:val="00066DC8"/>
    <w:rsid w:val="00066FA5"/>
    <w:rsid w:val="0006770A"/>
    <w:rsid w:val="00067981"/>
    <w:rsid w:val="00071FE1"/>
    <w:rsid w:val="00073201"/>
    <w:rsid w:val="000735F8"/>
    <w:rsid w:val="00073FA7"/>
    <w:rsid w:val="0007482E"/>
    <w:rsid w:val="000750D0"/>
    <w:rsid w:val="00075E35"/>
    <w:rsid w:val="00076F15"/>
    <w:rsid w:val="00076F9A"/>
    <w:rsid w:val="00080100"/>
    <w:rsid w:val="000801AA"/>
    <w:rsid w:val="000806C8"/>
    <w:rsid w:val="000807C4"/>
    <w:rsid w:val="000807C6"/>
    <w:rsid w:val="00080CF1"/>
    <w:rsid w:val="000819B2"/>
    <w:rsid w:val="00081C59"/>
    <w:rsid w:val="0008211C"/>
    <w:rsid w:val="00082599"/>
    <w:rsid w:val="00083240"/>
    <w:rsid w:val="00083543"/>
    <w:rsid w:val="0008373F"/>
    <w:rsid w:val="000843A7"/>
    <w:rsid w:val="0008467D"/>
    <w:rsid w:val="000854A4"/>
    <w:rsid w:val="00085623"/>
    <w:rsid w:val="00085DD9"/>
    <w:rsid w:val="000865FB"/>
    <w:rsid w:val="000867F2"/>
    <w:rsid w:val="00086ABF"/>
    <w:rsid w:val="00086B1A"/>
    <w:rsid w:val="000906BB"/>
    <w:rsid w:val="000906DC"/>
    <w:rsid w:val="00090996"/>
    <w:rsid w:val="00090B35"/>
    <w:rsid w:val="000916C2"/>
    <w:rsid w:val="00091B39"/>
    <w:rsid w:val="00091D10"/>
    <w:rsid w:val="000924A7"/>
    <w:rsid w:val="00092561"/>
    <w:rsid w:val="0009371E"/>
    <w:rsid w:val="0009383E"/>
    <w:rsid w:val="000939BC"/>
    <w:rsid w:val="000940D5"/>
    <w:rsid w:val="00094E89"/>
    <w:rsid w:val="00094FA2"/>
    <w:rsid w:val="0009568F"/>
    <w:rsid w:val="00095BB7"/>
    <w:rsid w:val="00095C0E"/>
    <w:rsid w:val="000966B5"/>
    <w:rsid w:val="00096E5E"/>
    <w:rsid w:val="00097504"/>
    <w:rsid w:val="000A081C"/>
    <w:rsid w:val="000A1B06"/>
    <w:rsid w:val="000A1EAC"/>
    <w:rsid w:val="000A1F3E"/>
    <w:rsid w:val="000A365D"/>
    <w:rsid w:val="000A3BBC"/>
    <w:rsid w:val="000A3E2D"/>
    <w:rsid w:val="000A43FA"/>
    <w:rsid w:val="000A4527"/>
    <w:rsid w:val="000A4AD2"/>
    <w:rsid w:val="000A5DDF"/>
    <w:rsid w:val="000A603F"/>
    <w:rsid w:val="000A6C3F"/>
    <w:rsid w:val="000A6E82"/>
    <w:rsid w:val="000A78C9"/>
    <w:rsid w:val="000A78D1"/>
    <w:rsid w:val="000B056B"/>
    <w:rsid w:val="000B1D68"/>
    <w:rsid w:val="000B2067"/>
    <w:rsid w:val="000B216D"/>
    <w:rsid w:val="000B27CC"/>
    <w:rsid w:val="000B2AA0"/>
    <w:rsid w:val="000B2FE9"/>
    <w:rsid w:val="000B4CFD"/>
    <w:rsid w:val="000B4D2E"/>
    <w:rsid w:val="000B4EAE"/>
    <w:rsid w:val="000B51E9"/>
    <w:rsid w:val="000B5451"/>
    <w:rsid w:val="000B5724"/>
    <w:rsid w:val="000B5DC7"/>
    <w:rsid w:val="000B6B15"/>
    <w:rsid w:val="000B6DA3"/>
    <w:rsid w:val="000B70B7"/>
    <w:rsid w:val="000B768B"/>
    <w:rsid w:val="000B7C04"/>
    <w:rsid w:val="000B7CF5"/>
    <w:rsid w:val="000C072F"/>
    <w:rsid w:val="000C0FF1"/>
    <w:rsid w:val="000C1912"/>
    <w:rsid w:val="000C25D6"/>
    <w:rsid w:val="000C2AE3"/>
    <w:rsid w:val="000C35C3"/>
    <w:rsid w:val="000C3662"/>
    <w:rsid w:val="000C3B57"/>
    <w:rsid w:val="000C3BAB"/>
    <w:rsid w:val="000C3D32"/>
    <w:rsid w:val="000C414C"/>
    <w:rsid w:val="000C45E8"/>
    <w:rsid w:val="000C5027"/>
    <w:rsid w:val="000C68E9"/>
    <w:rsid w:val="000C6C08"/>
    <w:rsid w:val="000C76E0"/>
    <w:rsid w:val="000D029C"/>
    <w:rsid w:val="000D07C7"/>
    <w:rsid w:val="000D1340"/>
    <w:rsid w:val="000D18F4"/>
    <w:rsid w:val="000D2A7B"/>
    <w:rsid w:val="000D3381"/>
    <w:rsid w:val="000D3661"/>
    <w:rsid w:val="000D470A"/>
    <w:rsid w:val="000D6494"/>
    <w:rsid w:val="000D6CE7"/>
    <w:rsid w:val="000D77C0"/>
    <w:rsid w:val="000E0E2E"/>
    <w:rsid w:val="000E0F94"/>
    <w:rsid w:val="000E10C0"/>
    <w:rsid w:val="000E12B6"/>
    <w:rsid w:val="000E21DC"/>
    <w:rsid w:val="000E2A28"/>
    <w:rsid w:val="000E396E"/>
    <w:rsid w:val="000E42EE"/>
    <w:rsid w:val="000E4EBD"/>
    <w:rsid w:val="000E751F"/>
    <w:rsid w:val="000F0964"/>
    <w:rsid w:val="000F1824"/>
    <w:rsid w:val="000F18AD"/>
    <w:rsid w:val="000F23EE"/>
    <w:rsid w:val="000F2BBB"/>
    <w:rsid w:val="000F3524"/>
    <w:rsid w:val="000F383E"/>
    <w:rsid w:val="000F38E1"/>
    <w:rsid w:val="000F3914"/>
    <w:rsid w:val="000F477C"/>
    <w:rsid w:val="000F4EEF"/>
    <w:rsid w:val="000F6027"/>
    <w:rsid w:val="000F6694"/>
    <w:rsid w:val="000F74FF"/>
    <w:rsid w:val="000F79BB"/>
    <w:rsid w:val="000F7A89"/>
    <w:rsid w:val="000F7B03"/>
    <w:rsid w:val="000F7C17"/>
    <w:rsid w:val="0010022E"/>
    <w:rsid w:val="001009CD"/>
    <w:rsid w:val="00100D08"/>
    <w:rsid w:val="00100D31"/>
    <w:rsid w:val="0010151A"/>
    <w:rsid w:val="00101601"/>
    <w:rsid w:val="00101667"/>
    <w:rsid w:val="00101B77"/>
    <w:rsid w:val="001025E0"/>
    <w:rsid w:val="00102EC4"/>
    <w:rsid w:val="001034C6"/>
    <w:rsid w:val="00104243"/>
    <w:rsid w:val="001048C1"/>
    <w:rsid w:val="00106D89"/>
    <w:rsid w:val="00106E4F"/>
    <w:rsid w:val="00107041"/>
    <w:rsid w:val="00107F5A"/>
    <w:rsid w:val="001102F2"/>
    <w:rsid w:val="0011041F"/>
    <w:rsid w:val="0011069B"/>
    <w:rsid w:val="001106E8"/>
    <w:rsid w:val="00110701"/>
    <w:rsid w:val="00110A35"/>
    <w:rsid w:val="0011138C"/>
    <w:rsid w:val="00111758"/>
    <w:rsid w:val="00112041"/>
    <w:rsid w:val="00112863"/>
    <w:rsid w:val="00112A49"/>
    <w:rsid w:val="00112BA4"/>
    <w:rsid w:val="00114212"/>
    <w:rsid w:val="0011561B"/>
    <w:rsid w:val="0011598A"/>
    <w:rsid w:val="00115E51"/>
    <w:rsid w:val="001164F4"/>
    <w:rsid w:val="001167B2"/>
    <w:rsid w:val="00117C62"/>
    <w:rsid w:val="00117CB2"/>
    <w:rsid w:val="001207D5"/>
    <w:rsid w:val="00120ED1"/>
    <w:rsid w:val="00122B42"/>
    <w:rsid w:val="00123455"/>
    <w:rsid w:val="0012383B"/>
    <w:rsid w:val="00124980"/>
    <w:rsid w:val="00124A2D"/>
    <w:rsid w:val="00125CDC"/>
    <w:rsid w:val="001267D4"/>
    <w:rsid w:val="00126B65"/>
    <w:rsid w:val="00126BF3"/>
    <w:rsid w:val="00126F03"/>
    <w:rsid w:val="00126F43"/>
    <w:rsid w:val="0012745A"/>
    <w:rsid w:val="00127636"/>
    <w:rsid w:val="001306AD"/>
    <w:rsid w:val="00131C9F"/>
    <w:rsid w:val="00131E29"/>
    <w:rsid w:val="00132400"/>
    <w:rsid w:val="001338D1"/>
    <w:rsid w:val="00134EB9"/>
    <w:rsid w:val="00134F14"/>
    <w:rsid w:val="001360FC"/>
    <w:rsid w:val="001362F3"/>
    <w:rsid w:val="00136D6F"/>
    <w:rsid w:val="00137D20"/>
    <w:rsid w:val="00137EDF"/>
    <w:rsid w:val="001416F8"/>
    <w:rsid w:val="00141751"/>
    <w:rsid w:val="00142B4B"/>
    <w:rsid w:val="00143341"/>
    <w:rsid w:val="001435FD"/>
    <w:rsid w:val="0014375D"/>
    <w:rsid w:val="00143A76"/>
    <w:rsid w:val="00143E8B"/>
    <w:rsid w:val="0014401E"/>
    <w:rsid w:val="001441F7"/>
    <w:rsid w:val="0014426C"/>
    <w:rsid w:val="00144341"/>
    <w:rsid w:val="001444C6"/>
    <w:rsid w:val="0014672E"/>
    <w:rsid w:val="00146E86"/>
    <w:rsid w:val="001470AD"/>
    <w:rsid w:val="00147145"/>
    <w:rsid w:val="00150A71"/>
    <w:rsid w:val="00151750"/>
    <w:rsid w:val="00151A0A"/>
    <w:rsid w:val="00151BBC"/>
    <w:rsid w:val="00151F00"/>
    <w:rsid w:val="00152000"/>
    <w:rsid w:val="001523C1"/>
    <w:rsid w:val="00152436"/>
    <w:rsid w:val="001537D2"/>
    <w:rsid w:val="00153D05"/>
    <w:rsid w:val="00154497"/>
    <w:rsid w:val="001546F5"/>
    <w:rsid w:val="0015521D"/>
    <w:rsid w:val="00156616"/>
    <w:rsid w:val="0016013C"/>
    <w:rsid w:val="00161B5B"/>
    <w:rsid w:val="0016271B"/>
    <w:rsid w:val="00162AE9"/>
    <w:rsid w:val="001639C2"/>
    <w:rsid w:val="00164CD4"/>
    <w:rsid w:val="001661DD"/>
    <w:rsid w:val="0016632E"/>
    <w:rsid w:val="001663C8"/>
    <w:rsid w:val="00166C56"/>
    <w:rsid w:val="001677B1"/>
    <w:rsid w:val="00167862"/>
    <w:rsid w:val="00167964"/>
    <w:rsid w:val="001703BA"/>
    <w:rsid w:val="00170C83"/>
    <w:rsid w:val="00171FC4"/>
    <w:rsid w:val="00172142"/>
    <w:rsid w:val="001724DF"/>
    <w:rsid w:val="00173408"/>
    <w:rsid w:val="00173571"/>
    <w:rsid w:val="001738EA"/>
    <w:rsid w:val="00173A06"/>
    <w:rsid w:val="00173AC1"/>
    <w:rsid w:val="001742A8"/>
    <w:rsid w:val="00174CCE"/>
    <w:rsid w:val="00174D3D"/>
    <w:rsid w:val="001751E4"/>
    <w:rsid w:val="00175D60"/>
    <w:rsid w:val="00177277"/>
    <w:rsid w:val="001804F9"/>
    <w:rsid w:val="00181615"/>
    <w:rsid w:val="00181644"/>
    <w:rsid w:val="00182238"/>
    <w:rsid w:val="00182713"/>
    <w:rsid w:val="00182CA7"/>
    <w:rsid w:val="00182ECC"/>
    <w:rsid w:val="001832EB"/>
    <w:rsid w:val="00183DA1"/>
    <w:rsid w:val="00184137"/>
    <w:rsid w:val="001843FD"/>
    <w:rsid w:val="0018452B"/>
    <w:rsid w:val="00184812"/>
    <w:rsid w:val="00184E1C"/>
    <w:rsid w:val="001851C2"/>
    <w:rsid w:val="001851F3"/>
    <w:rsid w:val="0018567A"/>
    <w:rsid w:val="00186ACC"/>
    <w:rsid w:val="00187084"/>
    <w:rsid w:val="00187DB6"/>
    <w:rsid w:val="00187DC0"/>
    <w:rsid w:val="00190841"/>
    <w:rsid w:val="00190895"/>
    <w:rsid w:val="00191603"/>
    <w:rsid w:val="001927FC"/>
    <w:rsid w:val="0019292A"/>
    <w:rsid w:val="001935BB"/>
    <w:rsid w:val="00193F8F"/>
    <w:rsid w:val="00194296"/>
    <w:rsid w:val="0019448A"/>
    <w:rsid w:val="001962B2"/>
    <w:rsid w:val="00197273"/>
    <w:rsid w:val="001972DA"/>
    <w:rsid w:val="00197371"/>
    <w:rsid w:val="00197C4B"/>
    <w:rsid w:val="001A005F"/>
    <w:rsid w:val="001A038D"/>
    <w:rsid w:val="001A05D7"/>
    <w:rsid w:val="001A13A9"/>
    <w:rsid w:val="001A1AD6"/>
    <w:rsid w:val="001A1B3E"/>
    <w:rsid w:val="001A1F1E"/>
    <w:rsid w:val="001A25C4"/>
    <w:rsid w:val="001A29E2"/>
    <w:rsid w:val="001A2E28"/>
    <w:rsid w:val="001A361E"/>
    <w:rsid w:val="001A395D"/>
    <w:rsid w:val="001A4132"/>
    <w:rsid w:val="001A45D7"/>
    <w:rsid w:val="001A4952"/>
    <w:rsid w:val="001A4A4E"/>
    <w:rsid w:val="001A4BE5"/>
    <w:rsid w:val="001A5400"/>
    <w:rsid w:val="001A64EC"/>
    <w:rsid w:val="001A70B8"/>
    <w:rsid w:val="001B0859"/>
    <w:rsid w:val="001B383B"/>
    <w:rsid w:val="001B3BD8"/>
    <w:rsid w:val="001B3F0C"/>
    <w:rsid w:val="001B5DD6"/>
    <w:rsid w:val="001B6442"/>
    <w:rsid w:val="001B6595"/>
    <w:rsid w:val="001B69D6"/>
    <w:rsid w:val="001B6A74"/>
    <w:rsid w:val="001B6C4B"/>
    <w:rsid w:val="001B751A"/>
    <w:rsid w:val="001C010A"/>
    <w:rsid w:val="001C185A"/>
    <w:rsid w:val="001C1DCA"/>
    <w:rsid w:val="001C2249"/>
    <w:rsid w:val="001C22C9"/>
    <w:rsid w:val="001C2811"/>
    <w:rsid w:val="001C2C70"/>
    <w:rsid w:val="001C307A"/>
    <w:rsid w:val="001C59AE"/>
    <w:rsid w:val="001C5E64"/>
    <w:rsid w:val="001C5F5E"/>
    <w:rsid w:val="001C6609"/>
    <w:rsid w:val="001C67A1"/>
    <w:rsid w:val="001C718B"/>
    <w:rsid w:val="001D05F6"/>
    <w:rsid w:val="001D0B88"/>
    <w:rsid w:val="001D0D76"/>
    <w:rsid w:val="001D2277"/>
    <w:rsid w:val="001D337B"/>
    <w:rsid w:val="001D3AE6"/>
    <w:rsid w:val="001D44D5"/>
    <w:rsid w:val="001D4729"/>
    <w:rsid w:val="001D4F01"/>
    <w:rsid w:val="001D60E0"/>
    <w:rsid w:val="001D6963"/>
    <w:rsid w:val="001D6E22"/>
    <w:rsid w:val="001D6E85"/>
    <w:rsid w:val="001D7DC2"/>
    <w:rsid w:val="001E0C0F"/>
    <w:rsid w:val="001E1276"/>
    <w:rsid w:val="001E131E"/>
    <w:rsid w:val="001E1AEB"/>
    <w:rsid w:val="001E2A99"/>
    <w:rsid w:val="001E3672"/>
    <w:rsid w:val="001E3FA5"/>
    <w:rsid w:val="001E4463"/>
    <w:rsid w:val="001E46BE"/>
    <w:rsid w:val="001E4A76"/>
    <w:rsid w:val="001E4B37"/>
    <w:rsid w:val="001E5077"/>
    <w:rsid w:val="001E523A"/>
    <w:rsid w:val="001E5AF9"/>
    <w:rsid w:val="001E5F90"/>
    <w:rsid w:val="001E64B2"/>
    <w:rsid w:val="001E694B"/>
    <w:rsid w:val="001E7C7B"/>
    <w:rsid w:val="001F0D6A"/>
    <w:rsid w:val="001F1988"/>
    <w:rsid w:val="001F1D20"/>
    <w:rsid w:val="001F4F60"/>
    <w:rsid w:val="001F5433"/>
    <w:rsid w:val="001F71E3"/>
    <w:rsid w:val="001F7379"/>
    <w:rsid w:val="002005DE"/>
    <w:rsid w:val="00201BF3"/>
    <w:rsid w:val="00201F45"/>
    <w:rsid w:val="00202775"/>
    <w:rsid w:val="00203239"/>
    <w:rsid w:val="00203FB5"/>
    <w:rsid w:val="002045ED"/>
    <w:rsid w:val="002049CB"/>
    <w:rsid w:val="00206369"/>
    <w:rsid w:val="00207D61"/>
    <w:rsid w:val="00207DEB"/>
    <w:rsid w:val="002100A5"/>
    <w:rsid w:val="002104B2"/>
    <w:rsid w:val="002109CE"/>
    <w:rsid w:val="0021132F"/>
    <w:rsid w:val="00211C4A"/>
    <w:rsid w:val="002127FA"/>
    <w:rsid w:val="0021290C"/>
    <w:rsid w:val="00213897"/>
    <w:rsid w:val="00214324"/>
    <w:rsid w:val="00214B02"/>
    <w:rsid w:val="00214DC5"/>
    <w:rsid w:val="0021596A"/>
    <w:rsid w:val="0021616A"/>
    <w:rsid w:val="0021628C"/>
    <w:rsid w:val="00216FEF"/>
    <w:rsid w:val="00217053"/>
    <w:rsid w:val="002173E4"/>
    <w:rsid w:val="0021772C"/>
    <w:rsid w:val="00217A05"/>
    <w:rsid w:val="00217C19"/>
    <w:rsid w:val="00220157"/>
    <w:rsid w:val="00220329"/>
    <w:rsid w:val="002226C1"/>
    <w:rsid w:val="00225BF1"/>
    <w:rsid w:val="002260B4"/>
    <w:rsid w:val="00226AE1"/>
    <w:rsid w:val="00227CB6"/>
    <w:rsid w:val="00227DD0"/>
    <w:rsid w:val="002300C0"/>
    <w:rsid w:val="00230365"/>
    <w:rsid w:val="00230420"/>
    <w:rsid w:val="002307C2"/>
    <w:rsid w:val="00230B02"/>
    <w:rsid w:val="00230BEA"/>
    <w:rsid w:val="00231464"/>
    <w:rsid w:val="002315B5"/>
    <w:rsid w:val="00231CC7"/>
    <w:rsid w:val="00233463"/>
    <w:rsid w:val="00233680"/>
    <w:rsid w:val="00233B1E"/>
    <w:rsid w:val="00233C21"/>
    <w:rsid w:val="00234026"/>
    <w:rsid w:val="0023477C"/>
    <w:rsid w:val="00234887"/>
    <w:rsid w:val="0023535B"/>
    <w:rsid w:val="002354F0"/>
    <w:rsid w:val="002356E4"/>
    <w:rsid w:val="0023602C"/>
    <w:rsid w:val="002408D8"/>
    <w:rsid w:val="00240D7B"/>
    <w:rsid w:val="002415ED"/>
    <w:rsid w:val="00241951"/>
    <w:rsid w:val="0024259E"/>
    <w:rsid w:val="00243DB3"/>
    <w:rsid w:val="00244CC5"/>
    <w:rsid w:val="0024604B"/>
    <w:rsid w:val="002461C9"/>
    <w:rsid w:val="00246419"/>
    <w:rsid w:val="0024644A"/>
    <w:rsid w:val="00246631"/>
    <w:rsid w:val="00246AF6"/>
    <w:rsid w:val="00247967"/>
    <w:rsid w:val="00247DAB"/>
    <w:rsid w:val="00250370"/>
    <w:rsid w:val="00250C83"/>
    <w:rsid w:val="00251BD0"/>
    <w:rsid w:val="00251EF2"/>
    <w:rsid w:val="0025247C"/>
    <w:rsid w:val="00253421"/>
    <w:rsid w:val="0025362E"/>
    <w:rsid w:val="00253B78"/>
    <w:rsid w:val="00255535"/>
    <w:rsid w:val="00255F65"/>
    <w:rsid w:val="00256FB1"/>
    <w:rsid w:val="00257CAA"/>
    <w:rsid w:val="00260697"/>
    <w:rsid w:val="00260CC3"/>
    <w:rsid w:val="00260FC9"/>
    <w:rsid w:val="00261A7E"/>
    <w:rsid w:val="00261E2B"/>
    <w:rsid w:val="002625C1"/>
    <w:rsid w:val="00262958"/>
    <w:rsid w:val="00263EAF"/>
    <w:rsid w:val="00263F3E"/>
    <w:rsid w:val="0026406C"/>
    <w:rsid w:val="00264094"/>
    <w:rsid w:val="002651C3"/>
    <w:rsid w:val="002667F1"/>
    <w:rsid w:val="00266853"/>
    <w:rsid w:val="00267A54"/>
    <w:rsid w:val="00267A9B"/>
    <w:rsid w:val="00270BFC"/>
    <w:rsid w:val="002723F5"/>
    <w:rsid w:val="00272569"/>
    <w:rsid w:val="00272608"/>
    <w:rsid w:val="00272CBD"/>
    <w:rsid w:val="00272FA4"/>
    <w:rsid w:val="00272FA8"/>
    <w:rsid w:val="0027394B"/>
    <w:rsid w:val="00273E21"/>
    <w:rsid w:val="00274CD9"/>
    <w:rsid w:val="002750A7"/>
    <w:rsid w:val="0028093B"/>
    <w:rsid w:val="00281F41"/>
    <w:rsid w:val="002824F7"/>
    <w:rsid w:val="00282EFF"/>
    <w:rsid w:val="002832D0"/>
    <w:rsid w:val="00283C5D"/>
    <w:rsid w:val="00283F72"/>
    <w:rsid w:val="00284558"/>
    <w:rsid w:val="00284CEF"/>
    <w:rsid w:val="00285257"/>
    <w:rsid w:val="002867F0"/>
    <w:rsid w:val="00286976"/>
    <w:rsid w:val="00286BE7"/>
    <w:rsid w:val="00287295"/>
    <w:rsid w:val="00287323"/>
    <w:rsid w:val="00287D04"/>
    <w:rsid w:val="00287D7F"/>
    <w:rsid w:val="00291F68"/>
    <w:rsid w:val="00292BA6"/>
    <w:rsid w:val="0029321C"/>
    <w:rsid w:val="00293A89"/>
    <w:rsid w:val="00293BA3"/>
    <w:rsid w:val="00293CF3"/>
    <w:rsid w:val="00293F19"/>
    <w:rsid w:val="002947B2"/>
    <w:rsid w:val="0029493F"/>
    <w:rsid w:val="002952E4"/>
    <w:rsid w:val="0029659E"/>
    <w:rsid w:val="00297385"/>
    <w:rsid w:val="00297CC7"/>
    <w:rsid w:val="002A0564"/>
    <w:rsid w:val="002A0668"/>
    <w:rsid w:val="002A08C1"/>
    <w:rsid w:val="002A1025"/>
    <w:rsid w:val="002A1814"/>
    <w:rsid w:val="002A2AD7"/>
    <w:rsid w:val="002A3191"/>
    <w:rsid w:val="002A3381"/>
    <w:rsid w:val="002A3637"/>
    <w:rsid w:val="002A37E0"/>
    <w:rsid w:val="002A6CF1"/>
    <w:rsid w:val="002B135A"/>
    <w:rsid w:val="002B1CD6"/>
    <w:rsid w:val="002B3184"/>
    <w:rsid w:val="002B348C"/>
    <w:rsid w:val="002B348D"/>
    <w:rsid w:val="002B3F1C"/>
    <w:rsid w:val="002B40C2"/>
    <w:rsid w:val="002B4CEA"/>
    <w:rsid w:val="002B5913"/>
    <w:rsid w:val="002B5F1A"/>
    <w:rsid w:val="002B5FFC"/>
    <w:rsid w:val="002B60E0"/>
    <w:rsid w:val="002B7558"/>
    <w:rsid w:val="002B7E2E"/>
    <w:rsid w:val="002C0BEB"/>
    <w:rsid w:val="002C23A5"/>
    <w:rsid w:val="002C2CCD"/>
    <w:rsid w:val="002C46CD"/>
    <w:rsid w:val="002C54A9"/>
    <w:rsid w:val="002C5CA2"/>
    <w:rsid w:val="002C645D"/>
    <w:rsid w:val="002C6DFF"/>
    <w:rsid w:val="002C715C"/>
    <w:rsid w:val="002C79D5"/>
    <w:rsid w:val="002C7F47"/>
    <w:rsid w:val="002D06B6"/>
    <w:rsid w:val="002D160D"/>
    <w:rsid w:val="002D16EA"/>
    <w:rsid w:val="002D201A"/>
    <w:rsid w:val="002D308A"/>
    <w:rsid w:val="002D31F9"/>
    <w:rsid w:val="002D39E5"/>
    <w:rsid w:val="002D3C42"/>
    <w:rsid w:val="002D3EAB"/>
    <w:rsid w:val="002D3FFC"/>
    <w:rsid w:val="002D401D"/>
    <w:rsid w:val="002D40FF"/>
    <w:rsid w:val="002D4200"/>
    <w:rsid w:val="002D4ECD"/>
    <w:rsid w:val="002D52E3"/>
    <w:rsid w:val="002D564C"/>
    <w:rsid w:val="002D6357"/>
    <w:rsid w:val="002D734B"/>
    <w:rsid w:val="002D79AF"/>
    <w:rsid w:val="002E06A2"/>
    <w:rsid w:val="002E10AB"/>
    <w:rsid w:val="002E117F"/>
    <w:rsid w:val="002E30FB"/>
    <w:rsid w:val="002E387E"/>
    <w:rsid w:val="002E3A37"/>
    <w:rsid w:val="002E3B7F"/>
    <w:rsid w:val="002E4B66"/>
    <w:rsid w:val="002E4DBE"/>
    <w:rsid w:val="002E61AD"/>
    <w:rsid w:val="002E6643"/>
    <w:rsid w:val="002E68FC"/>
    <w:rsid w:val="002E6E54"/>
    <w:rsid w:val="002F0B27"/>
    <w:rsid w:val="002F1A26"/>
    <w:rsid w:val="002F1D8D"/>
    <w:rsid w:val="002F2895"/>
    <w:rsid w:val="002F392D"/>
    <w:rsid w:val="002F3E97"/>
    <w:rsid w:val="002F4190"/>
    <w:rsid w:val="002F6AD0"/>
    <w:rsid w:val="002F7E35"/>
    <w:rsid w:val="00300A38"/>
    <w:rsid w:val="003014CE"/>
    <w:rsid w:val="003018AA"/>
    <w:rsid w:val="00301995"/>
    <w:rsid w:val="00302308"/>
    <w:rsid w:val="0030248E"/>
    <w:rsid w:val="0030275C"/>
    <w:rsid w:val="00306615"/>
    <w:rsid w:val="00306798"/>
    <w:rsid w:val="00306C97"/>
    <w:rsid w:val="0030745F"/>
    <w:rsid w:val="00307864"/>
    <w:rsid w:val="003079B7"/>
    <w:rsid w:val="00310460"/>
    <w:rsid w:val="0031079C"/>
    <w:rsid w:val="00310FBA"/>
    <w:rsid w:val="00310FEF"/>
    <w:rsid w:val="00311210"/>
    <w:rsid w:val="003114D5"/>
    <w:rsid w:val="00311716"/>
    <w:rsid w:val="00311EB6"/>
    <w:rsid w:val="00314205"/>
    <w:rsid w:val="0031481C"/>
    <w:rsid w:val="00314A85"/>
    <w:rsid w:val="00314F79"/>
    <w:rsid w:val="0031559E"/>
    <w:rsid w:val="00316D28"/>
    <w:rsid w:val="003171EE"/>
    <w:rsid w:val="00317293"/>
    <w:rsid w:val="003179AD"/>
    <w:rsid w:val="00321A7A"/>
    <w:rsid w:val="00321F34"/>
    <w:rsid w:val="00322E5A"/>
    <w:rsid w:val="00322EA3"/>
    <w:rsid w:val="00323D56"/>
    <w:rsid w:val="003241CB"/>
    <w:rsid w:val="00324309"/>
    <w:rsid w:val="0032447C"/>
    <w:rsid w:val="00324E9E"/>
    <w:rsid w:val="003252CE"/>
    <w:rsid w:val="003253F3"/>
    <w:rsid w:val="00325B18"/>
    <w:rsid w:val="00325C92"/>
    <w:rsid w:val="00325E8F"/>
    <w:rsid w:val="003270AB"/>
    <w:rsid w:val="003274CF"/>
    <w:rsid w:val="00327792"/>
    <w:rsid w:val="003279A8"/>
    <w:rsid w:val="00327D82"/>
    <w:rsid w:val="00327E17"/>
    <w:rsid w:val="0033088E"/>
    <w:rsid w:val="00331175"/>
    <w:rsid w:val="003317B8"/>
    <w:rsid w:val="003318C0"/>
    <w:rsid w:val="00331F46"/>
    <w:rsid w:val="00331F5D"/>
    <w:rsid w:val="00332C38"/>
    <w:rsid w:val="00332D36"/>
    <w:rsid w:val="00332F8C"/>
    <w:rsid w:val="00333997"/>
    <w:rsid w:val="00333E19"/>
    <w:rsid w:val="003346E3"/>
    <w:rsid w:val="00334D20"/>
    <w:rsid w:val="003350D9"/>
    <w:rsid w:val="003361C0"/>
    <w:rsid w:val="0033643A"/>
    <w:rsid w:val="003368A3"/>
    <w:rsid w:val="00336F53"/>
    <w:rsid w:val="0034149C"/>
    <w:rsid w:val="003414F7"/>
    <w:rsid w:val="003423A4"/>
    <w:rsid w:val="00342E33"/>
    <w:rsid w:val="003439C3"/>
    <w:rsid w:val="00344CC2"/>
    <w:rsid w:val="0034541A"/>
    <w:rsid w:val="0034560C"/>
    <w:rsid w:val="00345DF8"/>
    <w:rsid w:val="003465D3"/>
    <w:rsid w:val="003467BF"/>
    <w:rsid w:val="003477A9"/>
    <w:rsid w:val="00347CAC"/>
    <w:rsid w:val="00347DE0"/>
    <w:rsid w:val="00347FEE"/>
    <w:rsid w:val="003501E8"/>
    <w:rsid w:val="0035051B"/>
    <w:rsid w:val="003516C8"/>
    <w:rsid w:val="00351756"/>
    <w:rsid w:val="00351A54"/>
    <w:rsid w:val="00351BEA"/>
    <w:rsid w:val="00352094"/>
    <w:rsid w:val="0035286A"/>
    <w:rsid w:val="00352BA2"/>
    <w:rsid w:val="00353AF2"/>
    <w:rsid w:val="00353F55"/>
    <w:rsid w:val="00353FAF"/>
    <w:rsid w:val="00354B2A"/>
    <w:rsid w:val="00355AE5"/>
    <w:rsid w:val="00356163"/>
    <w:rsid w:val="00356203"/>
    <w:rsid w:val="003565FD"/>
    <w:rsid w:val="00356761"/>
    <w:rsid w:val="00356998"/>
    <w:rsid w:val="003575DB"/>
    <w:rsid w:val="0036067D"/>
    <w:rsid w:val="00360C1C"/>
    <w:rsid w:val="00360C77"/>
    <w:rsid w:val="0036238B"/>
    <w:rsid w:val="003629F7"/>
    <w:rsid w:val="00362C2D"/>
    <w:rsid w:val="003636D4"/>
    <w:rsid w:val="00363A08"/>
    <w:rsid w:val="00363B2F"/>
    <w:rsid w:val="003645D8"/>
    <w:rsid w:val="003653BB"/>
    <w:rsid w:val="00365B88"/>
    <w:rsid w:val="00365F20"/>
    <w:rsid w:val="00366328"/>
    <w:rsid w:val="003665B0"/>
    <w:rsid w:val="00366670"/>
    <w:rsid w:val="00366EBB"/>
    <w:rsid w:val="003676F0"/>
    <w:rsid w:val="00367979"/>
    <w:rsid w:val="00367A78"/>
    <w:rsid w:val="00367B7D"/>
    <w:rsid w:val="0037109F"/>
    <w:rsid w:val="00371380"/>
    <w:rsid w:val="003720DA"/>
    <w:rsid w:val="00372156"/>
    <w:rsid w:val="00372723"/>
    <w:rsid w:val="00373530"/>
    <w:rsid w:val="00373735"/>
    <w:rsid w:val="00374371"/>
    <w:rsid w:val="00375347"/>
    <w:rsid w:val="00375422"/>
    <w:rsid w:val="003755FB"/>
    <w:rsid w:val="00375708"/>
    <w:rsid w:val="0037577C"/>
    <w:rsid w:val="00376479"/>
    <w:rsid w:val="0037690D"/>
    <w:rsid w:val="0037723D"/>
    <w:rsid w:val="00377A9F"/>
    <w:rsid w:val="003800EF"/>
    <w:rsid w:val="00380336"/>
    <w:rsid w:val="00380794"/>
    <w:rsid w:val="003808F6"/>
    <w:rsid w:val="003819AD"/>
    <w:rsid w:val="00381B7A"/>
    <w:rsid w:val="0038250A"/>
    <w:rsid w:val="003835B6"/>
    <w:rsid w:val="00383DF6"/>
    <w:rsid w:val="0038403D"/>
    <w:rsid w:val="00384296"/>
    <w:rsid w:val="00384BDF"/>
    <w:rsid w:val="00385390"/>
    <w:rsid w:val="0038544B"/>
    <w:rsid w:val="00385502"/>
    <w:rsid w:val="00385B4B"/>
    <w:rsid w:val="00385BAD"/>
    <w:rsid w:val="003861F1"/>
    <w:rsid w:val="00386627"/>
    <w:rsid w:val="00386A96"/>
    <w:rsid w:val="00386B22"/>
    <w:rsid w:val="00386F1E"/>
    <w:rsid w:val="00387266"/>
    <w:rsid w:val="00387314"/>
    <w:rsid w:val="0038785C"/>
    <w:rsid w:val="00387EBF"/>
    <w:rsid w:val="00390048"/>
    <w:rsid w:val="0039013C"/>
    <w:rsid w:val="0039030A"/>
    <w:rsid w:val="00390508"/>
    <w:rsid w:val="003907BA"/>
    <w:rsid w:val="00390C8D"/>
    <w:rsid w:val="003912B0"/>
    <w:rsid w:val="003918CB"/>
    <w:rsid w:val="00391BB0"/>
    <w:rsid w:val="003921DF"/>
    <w:rsid w:val="00392938"/>
    <w:rsid w:val="00393016"/>
    <w:rsid w:val="00393703"/>
    <w:rsid w:val="0039380C"/>
    <w:rsid w:val="00394092"/>
    <w:rsid w:val="003943A7"/>
    <w:rsid w:val="00394405"/>
    <w:rsid w:val="00394605"/>
    <w:rsid w:val="00394B4F"/>
    <w:rsid w:val="00395642"/>
    <w:rsid w:val="003958FA"/>
    <w:rsid w:val="00395974"/>
    <w:rsid w:val="003967F4"/>
    <w:rsid w:val="00396BF8"/>
    <w:rsid w:val="003975E7"/>
    <w:rsid w:val="0039772D"/>
    <w:rsid w:val="0039795E"/>
    <w:rsid w:val="00397AD2"/>
    <w:rsid w:val="00397BC3"/>
    <w:rsid w:val="00397BDF"/>
    <w:rsid w:val="003A0182"/>
    <w:rsid w:val="003A104E"/>
    <w:rsid w:val="003A1640"/>
    <w:rsid w:val="003A1AC5"/>
    <w:rsid w:val="003A1D3E"/>
    <w:rsid w:val="003A1D4E"/>
    <w:rsid w:val="003A2253"/>
    <w:rsid w:val="003A24CD"/>
    <w:rsid w:val="003A2FB7"/>
    <w:rsid w:val="003A4496"/>
    <w:rsid w:val="003A49E6"/>
    <w:rsid w:val="003A4FDE"/>
    <w:rsid w:val="003A591E"/>
    <w:rsid w:val="003A5D24"/>
    <w:rsid w:val="003A633A"/>
    <w:rsid w:val="003A6F81"/>
    <w:rsid w:val="003B30E9"/>
    <w:rsid w:val="003B4687"/>
    <w:rsid w:val="003B481E"/>
    <w:rsid w:val="003B5C17"/>
    <w:rsid w:val="003B5C7C"/>
    <w:rsid w:val="003B6F80"/>
    <w:rsid w:val="003C05F3"/>
    <w:rsid w:val="003C061A"/>
    <w:rsid w:val="003C1BC5"/>
    <w:rsid w:val="003C1CBC"/>
    <w:rsid w:val="003C26E6"/>
    <w:rsid w:val="003C2D37"/>
    <w:rsid w:val="003C2D9D"/>
    <w:rsid w:val="003C30E1"/>
    <w:rsid w:val="003C3140"/>
    <w:rsid w:val="003C3302"/>
    <w:rsid w:val="003C3438"/>
    <w:rsid w:val="003C444B"/>
    <w:rsid w:val="003C5C58"/>
    <w:rsid w:val="003C6110"/>
    <w:rsid w:val="003C7B50"/>
    <w:rsid w:val="003D0A27"/>
    <w:rsid w:val="003D0B91"/>
    <w:rsid w:val="003D0CE1"/>
    <w:rsid w:val="003D14CC"/>
    <w:rsid w:val="003D174E"/>
    <w:rsid w:val="003D18C4"/>
    <w:rsid w:val="003D2AC5"/>
    <w:rsid w:val="003D4482"/>
    <w:rsid w:val="003D47AD"/>
    <w:rsid w:val="003D47FE"/>
    <w:rsid w:val="003D50D8"/>
    <w:rsid w:val="003D546E"/>
    <w:rsid w:val="003D571F"/>
    <w:rsid w:val="003D5961"/>
    <w:rsid w:val="003D5ED7"/>
    <w:rsid w:val="003D602B"/>
    <w:rsid w:val="003D638F"/>
    <w:rsid w:val="003D63CB"/>
    <w:rsid w:val="003D65BF"/>
    <w:rsid w:val="003D6AB5"/>
    <w:rsid w:val="003D6E16"/>
    <w:rsid w:val="003D7314"/>
    <w:rsid w:val="003D748D"/>
    <w:rsid w:val="003D7565"/>
    <w:rsid w:val="003D7D24"/>
    <w:rsid w:val="003E0DDB"/>
    <w:rsid w:val="003E21F1"/>
    <w:rsid w:val="003E2276"/>
    <w:rsid w:val="003E2FBA"/>
    <w:rsid w:val="003E33A6"/>
    <w:rsid w:val="003E3549"/>
    <w:rsid w:val="003E3FD6"/>
    <w:rsid w:val="003E4EAA"/>
    <w:rsid w:val="003E505E"/>
    <w:rsid w:val="003E5535"/>
    <w:rsid w:val="003E556F"/>
    <w:rsid w:val="003E58B9"/>
    <w:rsid w:val="003E6448"/>
    <w:rsid w:val="003E67AC"/>
    <w:rsid w:val="003E691E"/>
    <w:rsid w:val="003E693B"/>
    <w:rsid w:val="003E6E9B"/>
    <w:rsid w:val="003E7243"/>
    <w:rsid w:val="003E72FA"/>
    <w:rsid w:val="003E74D6"/>
    <w:rsid w:val="003E7675"/>
    <w:rsid w:val="003E7B78"/>
    <w:rsid w:val="003F031F"/>
    <w:rsid w:val="003F0363"/>
    <w:rsid w:val="003F07D0"/>
    <w:rsid w:val="003F1512"/>
    <w:rsid w:val="003F163C"/>
    <w:rsid w:val="003F2336"/>
    <w:rsid w:val="003F2FD7"/>
    <w:rsid w:val="003F514E"/>
    <w:rsid w:val="003F54C8"/>
    <w:rsid w:val="003F5D5D"/>
    <w:rsid w:val="003F60BD"/>
    <w:rsid w:val="003F63A3"/>
    <w:rsid w:val="003F646B"/>
    <w:rsid w:val="003F6B27"/>
    <w:rsid w:val="003F70B8"/>
    <w:rsid w:val="00400CD3"/>
    <w:rsid w:val="00400F3D"/>
    <w:rsid w:val="004010CF"/>
    <w:rsid w:val="004013E8"/>
    <w:rsid w:val="0040204C"/>
    <w:rsid w:val="004025BD"/>
    <w:rsid w:val="00403AF9"/>
    <w:rsid w:val="00403BEC"/>
    <w:rsid w:val="00404088"/>
    <w:rsid w:val="00404842"/>
    <w:rsid w:val="00404F5B"/>
    <w:rsid w:val="004064DA"/>
    <w:rsid w:val="00406EB7"/>
    <w:rsid w:val="0040771B"/>
    <w:rsid w:val="0041031C"/>
    <w:rsid w:val="00410DC1"/>
    <w:rsid w:val="00411330"/>
    <w:rsid w:val="00411452"/>
    <w:rsid w:val="004125FA"/>
    <w:rsid w:val="00412936"/>
    <w:rsid w:val="00412D2D"/>
    <w:rsid w:val="00413564"/>
    <w:rsid w:val="00414EA5"/>
    <w:rsid w:val="004166CD"/>
    <w:rsid w:val="00416C23"/>
    <w:rsid w:val="004173E3"/>
    <w:rsid w:val="004177CF"/>
    <w:rsid w:val="00417829"/>
    <w:rsid w:val="00417D8B"/>
    <w:rsid w:val="004200C4"/>
    <w:rsid w:val="00421358"/>
    <w:rsid w:val="00421740"/>
    <w:rsid w:val="00421C89"/>
    <w:rsid w:val="0042205F"/>
    <w:rsid w:val="00422588"/>
    <w:rsid w:val="004226F9"/>
    <w:rsid w:val="0042285C"/>
    <w:rsid w:val="00422F86"/>
    <w:rsid w:val="00423071"/>
    <w:rsid w:val="00423282"/>
    <w:rsid w:val="0042333B"/>
    <w:rsid w:val="00423EB9"/>
    <w:rsid w:val="00424D23"/>
    <w:rsid w:val="00424F78"/>
    <w:rsid w:val="00425379"/>
    <w:rsid w:val="004254DF"/>
    <w:rsid w:val="004261E0"/>
    <w:rsid w:val="004274EB"/>
    <w:rsid w:val="004276C7"/>
    <w:rsid w:val="00430262"/>
    <w:rsid w:val="00430926"/>
    <w:rsid w:val="00430A44"/>
    <w:rsid w:val="00432F9B"/>
    <w:rsid w:val="0043322C"/>
    <w:rsid w:val="00434243"/>
    <w:rsid w:val="00434683"/>
    <w:rsid w:val="00435AD6"/>
    <w:rsid w:val="00436B9F"/>
    <w:rsid w:val="00436C58"/>
    <w:rsid w:val="00436F6C"/>
    <w:rsid w:val="0043750A"/>
    <w:rsid w:val="004375E7"/>
    <w:rsid w:val="00437DAA"/>
    <w:rsid w:val="00440693"/>
    <w:rsid w:val="00440771"/>
    <w:rsid w:val="00441174"/>
    <w:rsid w:val="00442759"/>
    <w:rsid w:val="00442768"/>
    <w:rsid w:val="004438F4"/>
    <w:rsid w:val="00443F92"/>
    <w:rsid w:val="00444427"/>
    <w:rsid w:val="00444B27"/>
    <w:rsid w:val="0044529C"/>
    <w:rsid w:val="00445361"/>
    <w:rsid w:val="00445362"/>
    <w:rsid w:val="00446DDE"/>
    <w:rsid w:val="00446E1C"/>
    <w:rsid w:val="004472E5"/>
    <w:rsid w:val="004475C9"/>
    <w:rsid w:val="0044784E"/>
    <w:rsid w:val="00447AE3"/>
    <w:rsid w:val="004517BC"/>
    <w:rsid w:val="00451C06"/>
    <w:rsid w:val="004534E2"/>
    <w:rsid w:val="00453554"/>
    <w:rsid w:val="0045368F"/>
    <w:rsid w:val="004537DC"/>
    <w:rsid w:val="00453943"/>
    <w:rsid w:val="00454282"/>
    <w:rsid w:val="00454571"/>
    <w:rsid w:val="0045461B"/>
    <w:rsid w:val="00454715"/>
    <w:rsid w:val="00454B28"/>
    <w:rsid w:val="00454B73"/>
    <w:rsid w:val="00455F70"/>
    <w:rsid w:val="004572DD"/>
    <w:rsid w:val="00457B50"/>
    <w:rsid w:val="004603BF"/>
    <w:rsid w:val="0046282B"/>
    <w:rsid w:val="00462DFA"/>
    <w:rsid w:val="00463624"/>
    <w:rsid w:val="00463AB6"/>
    <w:rsid w:val="004640C5"/>
    <w:rsid w:val="00464407"/>
    <w:rsid w:val="004648CC"/>
    <w:rsid w:val="004649C2"/>
    <w:rsid w:val="00464A8C"/>
    <w:rsid w:val="00465099"/>
    <w:rsid w:val="00465A06"/>
    <w:rsid w:val="00465AD0"/>
    <w:rsid w:val="0046606B"/>
    <w:rsid w:val="004668E6"/>
    <w:rsid w:val="00466944"/>
    <w:rsid w:val="00466BEA"/>
    <w:rsid w:val="004701AA"/>
    <w:rsid w:val="004715F2"/>
    <w:rsid w:val="00471725"/>
    <w:rsid w:val="004726D3"/>
    <w:rsid w:val="004747F4"/>
    <w:rsid w:val="00474866"/>
    <w:rsid w:val="0047608F"/>
    <w:rsid w:val="004761FF"/>
    <w:rsid w:val="0047627F"/>
    <w:rsid w:val="00476554"/>
    <w:rsid w:val="00476BFC"/>
    <w:rsid w:val="00477D28"/>
    <w:rsid w:val="00480185"/>
    <w:rsid w:val="00480882"/>
    <w:rsid w:val="00481471"/>
    <w:rsid w:val="00482649"/>
    <w:rsid w:val="00483B95"/>
    <w:rsid w:val="00484FA6"/>
    <w:rsid w:val="00485B01"/>
    <w:rsid w:val="00485DC0"/>
    <w:rsid w:val="00485E57"/>
    <w:rsid w:val="00486BC7"/>
    <w:rsid w:val="00486CBB"/>
    <w:rsid w:val="00486CBF"/>
    <w:rsid w:val="00486F3D"/>
    <w:rsid w:val="0048774B"/>
    <w:rsid w:val="00487870"/>
    <w:rsid w:val="0049019F"/>
    <w:rsid w:val="00490513"/>
    <w:rsid w:val="004912DF"/>
    <w:rsid w:val="0049157F"/>
    <w:rsid w:val="00491823"/>
    <w:rsid w:val="004919C1"/>
    <w:rsid w:val="00491D91"/>
    <w:rsid w:val="00491F48"/>
    <w:rsid w:val="0049265D"/>
    <w:rsid w:val="00493006"/>
    <w:rsid w:val="004933B3"/>
    <w:rsid w:val="00495357"/>
    <w:rsid w:val="0049552F"/>
    <w:rsid w:val="004957E5"/>
    <w:rsid w:val="00495EA8"/>
    <w:rsid w:val="0049668E"/>
    <w:rsid w:val="0049696A"/>
    <w:rsid w:val="00497883"/>
    <w:rsid w:val="004A085D"/>
    <w:rsid w:val="004A093D"/>
    <w:rsid w:val="004A16BE"/>
    <w:rsid w:val="004A2E4E"/>
    <w:rsid w:val="004A2F1A"/>
    <w:rsid w:val="004A2F9F"/>
    <w:rsid w:val="004A3CDD"/>
    <w:rsid w:val="004A433E"/>
    <w:rsid w:val="004A4DEB"/>
    <w:rsid w:val="004A545D"/>
    <w:rsid w:val="004A57D4"/>
    <w:rsid w:val="004B19A9"/>
    <w:rsid w:val="004B211C"/>
    <w:rsid w:val="004B2A16"/>
    <w:rsid w:val="004B2BE5"/>
    <w:rsid w:val="004B2CAB"/>
    <w:rsid w:val="004B3CFC"/>
    <w:rsid w:val="004B484D"/>
    <w:rsid w:val="004B5D1F"/>
    <w:rsid w:val="004B6121"/>
    <w:rsid w:val="004B667D"/>
    <w:rsid w:val="004C0069"/>
    <w:rsid w:val="004C0715"/>
    <w:rsid w:val="004C155F"/>
    <w:rsid w:val="004C1CD2"/>
    <w:rsid w:val="004C1D6D"/>
    <w:rsid w:val="004C25EF"/>
    <w:rsid w:val="004C29F3"/>
    <w:rsid w:val="004C34FB"/>
    <w:rsid w:val="004C3836"/>
    <w:rsid w:val="004C500F"/>
    <w:rsid w:val="004C522B"/>
    <w:rsid w:val="004C533A"/>
    <w:rsid w:val="004C62AB"/>
    <w:rsid w:val="004C6969"/>
    <w:rsid w:val="004C69BC"/>
    <w:rsid w:val="004C6EEB"/>
    <w:rsid w:val="004D112B"/>
    <w:rsid w:val="004D1CC1"/>
    <w:rsid w:val="004D207C"/>
    <w:rsid w:val="004D2793"/>
    <w:rsid w:val="004D3FD8"/>
    <w:rsid w:val="004D44AD"/>
    <w:rsid w:val="004D50EB"/>
    <w:rsid w:val="004D5664"/>
    <w:rsid w:val="004D5ADB"/>
    <w:rsid w:val="004D623E"/>
    <w:rsid w:val="004D7103"/>
    <w:rsid w:val="004D7A83"/>
    <w:rsid w:val="004D7F52"/>
    <w:rsid w:val="004E018A"/>
    <w:rsid w:val="004E030A"/>
    <w:rsid w:val="004E0D67"/>
    <w:rsid w:val="004E3268"/>
    <w:rsid w:val="004E387E"/>
    <w:rsid w:val="004E442F"/>
    <w:rsid w:val="004E45E6"/>
    <w:rsid w:val="004E66A4"/>
    <w:rsid w:val="004E678B"/>
    <w:rsid w:val="004F0021"/>
    <w:rsid w:val="004F04D9"/>
    <w:rsid w:val="004F05C7"/>
    <w:rsid w:val="004F1919"/>
    <w:rsid w:val="004F1AE5"/>
    <w:rsid w:val="004F22DA"/>
    <w:rsid w:val="004F25EB"/>
    <w:rsid w:val="004F2673"/>
    <w:rsid w:val="004F2A86"/>
    <w:rsid w:val="004F2F59"/>
    <w:rsid w:val="004F2FCD"/>
    <w:rsid w:val="004F515A"/>
    <w:rsid w:val="004F5552"/>
    <w:rsid w:val="004F5785"/>
    <w:rsid w:val="004F5A1E"/>
    <w:rsid w:val="004F6B14"/>
    <w:rsid w:val="004F6D76"/>
    <w:rsid w:val="004F6FBB"/>
    <w:rsid w:val="00500769"/>
    <w:rsid w:val="00500B07"/>
    <w:rsid w:val="0050134D"/>
    <w:rsid w:val="00501D74"/>
    <w:rsid w:val="00502097"/>
    <w:rsid w:val="005021B2"/>
    <w:rsid w:val="00503DFC"/>
    <w:rsid w:val="00504834"/>
    <w:rsid w:val="00504B11"/>
    <w:rsid w:val="0050570E"/>
    <w:rsid w:val="00505AEE"/>
    <w:rsid w:val="0050632E"/>
    <w:rsid w:val="0050640D"/>
    <w:rsid w:val="005076C2"/>
    <w:rsid w:val="005077C8"/>
    <w:rsid w:val="005077E8"/>
    <w:rsid w:val="00507B63"/>
    <w:rsid w:val="005105AC"/>
    <w:rsid w:val="005106B9"/>
    <w:rsid w:val="00510A1A"/>
    <w:rsid w:val="00511030"/>
    <w:rsid w:val="00511062"/>
    <w:rsid w:val="00511318"/>
    <w:rsid w:val="00511382"/>
    <w:rsid w:val="00511AE2"/>
    <w:rsid w:val="00512007"/>
    <w:rsid w:val="00512938"/>
    <w:rsid w:val="00512D4E"/>
    <w:rsid w:val="00513354"/>
    <w:rsid w:val="0051434D"/>
    <w:rsid w:val="00514507"/>
    <w:rsid w:val="005151B7"/>
    <w:rsid w:val="005158A0"/>
    <w:rsid w:val="00515C2E"/>
    <w:rsid w:val="00516791"/>
    <w:rsid w:val="0051722E"/>
    <w:rsid w:val="005176F7"/>
    <w:rsid w:val="00517B9C"/>
    <w:rsid w:val="00520015"/>
    <w:rsid w:val="0052113D"/>
    <w:rsid w:val="0052194F"/>
    <w:rsid w:val="00522218"/>
    <w:rsid w:val="00524AD2"/>
    <w:rsid w:val="00525400"/>
    <w:rsid w:val="0052582B"/>
    <w:rsid w:val="00525B7C"/>
    <w:rsid w:val="00525C93"/>
    <w:rsid w:val="00530774"/>
    <w:rsid w:val="00530FE3"/>
    <w:rsid w:val="005312B8"/>
    <w:rsid w:val="0053161F"/>
    <w:rsid w:val="0053196D"/>
    <w:rsid w:val="0053197D"/>
    <w:rsid w:val="005322F9"/>
    <w:rsid w:val="005325FC"/>
    <w:rsid w:val="00532950"/>
    <w:rsid w:val="00532D5C"/>
    <w:rsid w:val="00533647"/>
    <w:rsid w:val="005338DF"/>
    <w:rsid w:val="005346B9"/>
    <w:rsid w:val="0053497E"/>
    <w:rsid w:val="00535E7E"/>
    <w:rsid w:val="00536011"/>
    <w:rsid w:val="00536A11"/>
    <w:rsid w:val="005374EE"/>
    <w:rsid w:val="00540830"/>
    <w:rsid w:val="0054174C"/>
    <w:rsid w:val="0054205C"/>
    <w:rsid w:val="00542DF2"/>
    <w:rsid w:val="005430FD"/>
    <w:rsid w:val="0054324A"/>
    <w:rsid w:val="005436A6"/>
    <w:rsid w:val="00543B63"/>
    <w:rsid w:val="00543D20"/>
    <w:rsid w:val="00544AE6"/>
    <w:rsid w:val="00544B9A"/>
    <w:rsid w:val="0054645B"/>
    <w:rsid w:val="00547659"/>
    <w:rsid w:val="00550025"/>
    <w:rsid w:val="005507B5"/>
    <w:rsid w:val="005509BB"/>
    <w:rsid w:val="00551FEB"/>
    <w:rsid w:val="005528BA"/>
    <w:rsid w:val="00552BC5"/>
    <w:rsid w:val="00552F5E"/>
    <w:rsid w:val="005531AD"/>
    <w:rsid w:val="005532F9"/>
    <w:rsid w:val="00553E14"/>
    <w:rsid w:val="00553FBD"/>
    <w:rsid w:val="00554403"/>
    <w:rsid w:val="0055440B"/>
    <w:rsid w:val="0055505E"/>
    <w:rsid w:val="00555263"/>
    <w:rsid w:val="00555FD1"/>
    <w:rsid w:val="005566C1"/>
    <w:rsid w:val="0055708D"/>
    <w:rsid w:val="0055761A"/>
    <w:rsid w:val="00557DF7"/>
    <w:rsid w:val="00560403"/>
    <w:rsid w:val="005605EF"/>
    <w:rsid w:val="00560DEE"/>
    <w:rsid w:val="00560F55"/>
    <w:rsid w:val="005615ED"/>
    <w:rsid w:val="00561CA6"/>
    <w:rsid w:val="0056212D"/>
    <w:rsid w:val="005632F1"/>
    <w:rsid w:val="0056380E"/>
    <w:rsid w:val="005640F0"/>
    <w:rsid w:val="00565FFA"/>
    <w:rsid w:val="0056602B"/>
    <w:rsid w:val="00566428"/>
    <w:rsid w:val="0056717C"/>
    <w:rsid w:val="00570386"/>
    <w:rsid w:val="00570FF7"/>
    <w:rsid w:val="0057210D"/>
    <w:rsid w:val="0057241B"/>
    <w:rsid w:val="00572656"/>
    <w:rsid w:val="00573144"/>
    <w:rsid w:val="00573391"/>
    <w:rsid w:val="005741B9"/>
    <w:rsid w:val="00575E74"/>
    <w:rsid w:val="005768FF"/>
    <w:rsid w:val="00576E82"/>
    <w:rsid w:val="00577A49"/>
    <w:rsid w:val="0058063A"/>
    <w:rsid w:val="00580D90"/>
    <w:rsid w:val="0058140C"/>
    <w:rsid w:val="00581A01"/>
    <w:rsid w:val="00581AE8"/>
    <w:rsid w:val="00581D51"/>
    <w:rsid w:val="00581F14"/>
    <w:rsid w:val="00581F87"/>
    <w:rsid w:val="005826DC"/>
    <w:rsid w:val="00582835"/>
    <w:rsid w:val="005838C4"/>
    <w:rsid w:val="00583978"/>
    <w:rsid w:val="00584085"/>
    <w:rsid w:val="005843D4"/>
    <w:rsid w:val="0058483F"/>
    <w:rsid w:val="00584A97"/>
    <w:rsid w:val="00584B5E"/>
    <w:rsid w:val="00585064"/>
    <w:rsid w:val="005865CC"/>
    <w:rsid w:val="00586B7D"/>
    <w:rsid w:val="00590A04"/>
    <w:rsid w:val="00590C17"/>
    <w:rsid w:val="00590ECF"/>
    <w:rsid w:val="00591237"/>
    <w:rsid w:val="00591F16"/>
    <w:rsid w:val="005920B7"/>
    <w:rsid w:val="005933F8"/>
    <w:rsid w:val="00593B49"/>
    <w:rsid w:val="00593D1C"/>
    <w:rsid w:val="00594E34"/>
    <w:rsid w:val="00595172"/>
    <w:rsid w:val="00595A15"/>
    <w:rsid w:val="00596A0B"/>
    <w:rsid w:val="00596E05"/>
    <w:rsid w:val="005970FA"/>
    <w:rsid w:val="005974D8"/>
    <w:rsid w:val="00597F3C"/>
    <w:rsid w:val="005A0405"/>
    <w:rsid w:val="005A07A8"/>
    <w:rsid w:val="005A0AF7"/>
    <w:rsid w:val="005A119E"/>
    <w:rsid w:val="005A18BA"/>
    <w:rsid w:val="005A1E0A"/>
    <w:rsid w:val="005A1EEC"/>
    <w:rsid w:val="005A2298"/>
    <w:rsid w:val="005A234C"/>
    <w:rsid w:val="005A2DB4"/>
    <w:rsid w:val="005A38B7"/>
    <w:rsid w:val="005A462B"/>
    <w:rsid w:val="005A46F3"/>
    <w:rsid w:val="005A4835"/>
    <w:rsid w:val="005A51C4"/>
    <w:rsid w:val="005A55C5"/>
    <w:rsid w:val="005A5F7D"/>
    <w:rsid w:val="005A6038"/>
    <w:rsid w:val="005A642E"/>
    <w:rsid w:val="005A6542"/>
    <w:rsid w:val="005A69BD"/>
    <w:rsid w:val="005A7C22"/>
    <w:rsid w:val="005B0874"/>
    <w:rsid w:val="005B095C"/>
    <w:rsid w:val="005B109A"/>
    <w:rsid w:val="005B1144"/>
    <w:rsid w:val="005B15A2"/>
    <w:rsid w:val="005B1757"/>
    <w:rsid w:val="005B27C6"/>
    <w:rsid w:val="005B3428"/>
    <w:rsid w:val="005B368B"/>
    <w:rsid w:val="005B413D"/>
    <w:rsid w:val="005B4C03"/>
    <w:rsid w:val="005B4CE3"/>
    <w:rsid w:val="005B4E52"/>
    <w:rsid w:val="005B4FC2"/>
    <w:rsid w:val="005B529F"/>
    <w:rsid w:val="005B63A5"/>
    <w:rsid w:val="005B66E2"/>
    <w:rsid w:val="005B7446"/>
    <w:rsid w:val="005B7588"/>
    <w:rsid w:val="005B7B8A"/>
    <w:rsid w:val="005C0B68"/>
    <w:rsid w:val="005C0EDA"/>
    <w:rsid w:val="005C1718"/>
    <w:rsid w:val="005C1B3D"/>
    <w:rsid w:val="005C2F5F"/>
    <w:rsid w:val="005C3803"/>
    <w:rsid w:val="005C3C58"/>
    <w:rsid w:val="005C4296"/>
    <w:rsid w:val="005C42A9"/>
    <w:rsid w:val="005C4DA9"/>
    <w:rsid w:val="005C5196"/>
    <w:rsid w:val="005C532B"/>
    <w:rsid w:val="005C5BFF"/>
    <w:rsid w:val="005C6CA0"/>
    <w:rsid w:val="005C7540"/>
    <w:rsid w:val="005C7B71"/>
    <w:rsid w:val="005C7BA5"/>
    <w:rsid w:val="005D021E"/>
    <w:rsid w:val="005D0555"/>
    <w:rsid w:val="005D0885"/>
    <w:rsid w:val="005D08FE"/>
    <w:rsid w:val="005D0987"/>
    <w:rsid w:val="005D1420"/>
    <w:rsid w:val="005D1617"/>
    <w:rsid w:val="005D1DB1"/>
    <w:rsid w:val="005D205D"/>
    <w:rsid w:val="005D2C75"/>
    <w:rsid w:val="005D307B"/>
    <w:rsid w:val="005D3A98"/>
    <w:rsid w:val="005D4A93"/>
    <w:rsid w:val="005D50EB"/>
    <w:rsid w:val="005D5B5C"/>
    <w:rsid w:val="005D5CA7"/>
    <w:rsid w:val="005D5CFA"/>
    <w:rsid w:val="005D615C"/>
    <w:rsid w:val="005E0C6B"/>
    <w:rsid w:val="005E1087"/>
    <w:rsid w:val="005E1A9B"/>
    <w:rsid w:val="005E1DC7"/>
    <w:rsid w:val="005E213A"/>
    <w:rsid w:val="005E2537"/>
    <w:rsid w:val="005E25A9"/>
    <w:rsid w:val="005E2B3D"/>
    <w:rsid w:val="005E2CA8"/>
    <w:rsid w:val="005E41A2"/>
    <w:rsid w:val="005E4A83"/>
    <w:rsid w:val="005E4AC2"/>
    <w:rsid w:val="005E4B85"/>
    <w:rsid w:val="005E4C3B"/>
    <w:rsid w:val="005E5175"/>
    <w:rsid w:val="005E530A"/>
    <w:rsid w:val="005E64B8"/>
    <w:rsid w:val="005E6960"/>
    <w:rsid w:val="005E71E7"/>
    <w:rsid w:val="005E7929"/>
    <w:rsid w:val="005F0971"/>
    <w:rsid w:val="005F10A1"/>
    <w:rsid w:val="005F1523"/>
    <w:rsid w:val="005F289F"/>
    <w:rsid w:val="005F2F55"/>
    <w:rsid w:val="005F5A4D"/>
    <w:rsid w:val="005F61B8"/>
    <w:rsid w:val="005F6AE1"/>
    <w:rsid w:val="005F73A6"/>
    <w:rsid w:val="005F7DB5"/>
    <w:rsid w:val="006011B2"/>
    <w:rsid w:val="00602AE0"/>
    <w:rsid w:val="00602CE6"/>
    <w:rsid w:val="00603213"/>
    <w:rsid w:val="00603340"/>
    <w:rsid w:val="006042B6"/>
    <w:rsid w:val="006052F6"/>
    <w:rsid w:val="00605482"/>
    <w:rsid w:val="00606128"/>
    <w:rsid w:val="006063D9"/>
    <w:rsid w:val="006075B0"/>
    <w:rsid w:val="00607880"/>
    <w:rsid w:val="0060795D"/>
    <w:rsid w:val="00607A9E"/>
    <w:rsid w:val="0061059C"/>
    <w:rsid w:val="0061066E"/>
    <w:rsid w:val="0061075A"/>
    <w:rsid w:val="00611085"/>
    <w:rsid w:val="0061111F"/>
    <w:rsid w:val="006129A9"/>
    <w:rsid w:val="006146C4"/>
    <w:rsid w:val="0061496E"/>
    <w:rsid w:val="00614B4F"/>
    <w:rsid w:val="00614CC9"/>
    <w:rsid w:val="00615171"/>
    <w:rsid w:val="0061599D"/>
    <w:rsid w:val="006160A5"/>
    <w:rsid w:val="00616477"/>
    <w:rsid w:val="00617518"/>
    <w:rsid w:val="00617EF0"/>
    <w:rsid w:val="006200D8"/>
    <w:rsid w:val="006201A6"/>
    <w:rsid w:val="0062090A"/>
    <w:rsid w:val="00620AC2"/>
    <w:rsid w:val="00620B77"/>
    <w:rsid w:val="00620B93"/>
    <w:rsid w:val="00621738"/>
    <w:rsid w:val="00621B81"/>
    <w:rsid w:val="00621EE0"/>
    <w:rsid w:val="00621FF3"/>
    <w:rsid w:val="006225A1"/>
    <w:rsid w:val="00623484"/>
    <w:rsid w:val="006234A2"/>
    <w:rsid w:val="00623D6C"/>
    <w:rsid w:val="00623F7E"/>
    <w:rsid w:val="006240AD"/>
    <w:rsid w:val="0062467F"/>
    <w:rsid w:val="0062513B"/>
    <w:rsid w:val="00625B20"/>
    <w:rsid w:val="006260D5"/>
    <w:rsid w:val="006262E8"/>
    <w:rsid w:val="00627102"/>
    <w:rsid w:val="00627C6A"/>
    <w:rsid w:val="00631005"/>
    <w:rsid w:val="0063161D"/>
    <w:rsid w:val="00631D0A"/>
    <w:rsid w:val="006322C0"/>
    <w:rsid w:val="006323FA"/>
    <w:rsid w:val="006324A5"/>
    <w:rsid w:val="00632DF1"/>
    <w:rsid w:val="00633933"/>
    <w:rsid w:val="00634B08"/>
    <w:rsid w:val="006351F2"/>
    <w:rsid w:val="00635326"/>
    <w:rsid w:val="006353CF"/>
    <w:rsid w:val="00635844"/>
    <w:rsid w:val="00635C87"/>
    <w:rsid w:val="00635ECA"/>
    <w:rsid w:val="006360B6"/>
    <w:rsid w:val="00636760"/>
    <w:rsid w:val="00636C5A"/>
    <w:rsid w:val="00636DA6"/>
    <w:rsid w:val="006372BB"/>
    <w:rsid w:val="00637766"/>
    <w:rsid w:val="00640678"/>
    <w:rsid w:val="00640A40"/>
    <w:rsid w:val="00641DCF"/>
    <w:rsid w:val="00642A78"/>
    <w:rsid w:val="0064461F"/>
    <w:rsid w:val="00646320"/>
    <w:rsid w:val="0064632B"/>
    <w:rsid w:val="00646CE3"/>
    <w:rsid w:val="006470E0"/>
    <w:rsid w:val="0064797E"/>
    <w:rsid w:val="00647AA3"/>
    <w:rsid w:val="00650759"/>
    <w:rsid w:val="00650A6D"/>
    <w:rsid w:val="00650E87"/>
    <w:rsid w:val="006513D1"/>
    <w:rsid w:val="00651D1F"/>
    <w:rsid w:val="00652429"/>
    <w:rsid w:val="00652AAD"/>
    <w:rsid w:val="00652DFC"/>
    <w:rsid w:val="0065303B"/>
    <w:rsid w:val="00653C9B"/>
    <w:rsid w:val="00654036"/>
    <w:rsid w:val="006546AC"/>
    <w:rsid w:val="00654E90"/>
    <w:rsid w:val="00655C6B"/>
    <w:rsid w:val="00655DBD"/>
    <w:rsid w:val="006573A1"/>
    <w:rsid w:val="00657D04"/>
    <w:rsid w:val="0066039C"/>
    <w:rsid w:val="006619A7"/>
    <w:rsid w:val="00661B0E"/>
    <w:rsid w:val="00661C0F"/>
    <w:rsid w:val="00662C2E"/>
    <w:rsid w:val="00662E2B"/>
    <w:rsid w:val="00663B1C"/>
    <w:rsid w:val="00663FAF"/>
    <w:rsid w:val="0066449F"/>
    <w:rsid w:val="00665246"/>
    <w:rsid w:val="00666A48"/>
    <w:rsid w:val="00667093"/>
    <w:rsid w:val="0066715A"/>
    <w:rsid w:val="006678DC"/>
    <w:rsid w:val="006703B1"/>
    <w:rsid w:val="00670C51"/>
    <w:rsid w:val="00670E8E"/>
    <w:rsid w:val="00671D92"/>
    <w:rsid w:val="00671E38"/>
    <w:rsid w:val="00671E60"/>
    <w:rsid w:val="006730D4"/>
    <w:rsid w:val="006735FA"/>
    <w:rsid w:val="006745B4"/>
    <w:rsid w:val="00675C08"/>
    <w:rsid w:val="006761B6"/>
    <w:rsid w:val="006762FD"/>
    <w:rsid w:val="0067709B"/>
    <w:rsid w:val="00680330"/>
    <w:rsid w:val="00681EA3"/>
    <w:rsid w:val="00682EC6"/>
    <w:rsid w:val="006831E9"/>
    <w:rsid w:val="00683763"/>
    <w:rsid w:val="0068409B"/>
    <w:rsid w:val="00684C27"/>
    <w:rsid w:val="00684F52"/>
    <w:rsid w:val="00686484"/>
    <w:rsid w:val="0068717F"/>
    <w:rsid w:val="00687C55"/>
    <w:rsid w:val="00690DB8"/>
    <w:rsid w:val="0069196A"/>
    <w:rsid w:val="00691B48"/>
    <w:rsid w:val="00691BDA"/>
    <w:rsid w:val="00694144"/>
    <w:rsid w:val="006949BA"/>
    <w:rsid w:val="00695B97"/>
    <w:rsid w:val="00696B5D"/>
    <w:rsid w:val="00697009"/>
    <w:rsid w:val="0069730A"/>
    <w:rsid w:val="00697663"/>
    <w:rsid w:val="006A0D2A"/>
    <w:rsid w:val="006A1766"/>
    <w:rsid w:val="006A54BB"/>
    <w:rsid w:val="006A6019"/>
    <w:rsid w:val="006A752D"/>
    <w:rsid w:val="006B09BB"/>
    <w:rsid w:val="006B2D6A"/>
    <w:rsid w:val="006B3B6E"/>
    <w:rsid w:val="006B48A4"/>
    <w:rsid w:val="006B4BF8"/>
    <w:rsid w:val="006B55AC"/>
    <w:rsid w:val="006B5C41"/>
    <w:rsid w:val="006B5F69"/>
    <w:rsid w:val="006B6302"/>
    <w:rsid w:val="006B6719"/>
    <w:rsid w:val="006B6B46"/>
    <w:rsid w:val="006B6BD4"/>
    <w:rsid w:val="006B79AA"/>
    <w:rsid w:val="006C0276"/>
    <w:rsid w:val="006C0CD7"/>
    <w:rsid w:val="006C0F4D"/>
    <w:rsid w:val="006C20C2"/>
    <w:rsid w:val="006C2617"/>
    <w:rsid w:val="006C3030"/>
    <w:rsid w:val="006C3886"/>
    <w:rsid w:val="006C3991"/>
    <w:rsid w:val="006C3FEA"/>
    <w:rsid w:val="006C494A"/>
    <w:rsid w:val="006C4E01"/>
    <w:rsid w:val="006C4F64"/>
    <w:rsid w:val="006C52F8"/>
    <w:rsid w:val="006C52FF"/>
    <w:rsid w:val="006C5BC2"/>
    <w:rsid w:val="006C655C"/>
    <w:rsid w:val="006C6CE7"/>
    <w:rsid w:val="006C6DA4"/>
    <w:rsid w:val="006C6EF4"/>
    <w:rsid w:val="006D0790"/>
    <w:rsid w:val="006D09DD"/>
    <w:rsid w:val="006D14F5"/>
    <w:rsid w:val="006D1616"/>
    <w:rsid w:val="006D28D3"/>
    <w:rsid w:val="006D2ADC"/>
    <w:rsid w:val="006D34C4"/>
    <w:rsid w:val="006D3F85"/>
    <w:rsid w:val="006D428A"/>
    <w:rsid w:val="006D429A"/>
    <w:rsid w:val="006D52B0"/>
    <w:rsid w:val="006D53E0"/>
    <w:rsid w:val="006D59B0"/>
    <w:rsid w:val="006D6B3E"/>
    <w:rsid w:val="006D760C"/>
    <w:rsid w:val="006D7818"/>
    <w:rsid w:val="006E01E9"/>
    <w:rsid w:val="006E0223"/>
    <w:rsid w:val="006E0381"/>
    <w:rsid w:val="006E0528"/>
    <w:rsid w:val="006E08FF"/>
    <w:rsid w:val="006E1A57"/>
    <w:rsid w:val="006E1E44"/>
    <w:rsid w:val="006E2681"/>
    <w:rsid w:val="006E2840"/>
    <w:rsid w:val="006E2C4D"/>
    <w:rsid w:val="006E2EDA"/>
    <w:rsid w:val="006E391C"/>
    <w:rsid w:val="006E397C"/>
    <w:rsid w:val="006E3DED"/>
    <w:rsid w:val="006E4B25"/>
    <w:rsid w:val="006E5A70"/>
    <w:rsid w:val="006E6555"/>
    <w:rsid w:val="006E7624"/>
    <w:rsid w:val="006E7970"/>
    <w:rsid w:val="006E7F86"/>
    <w:rsid w:val="006F0C78"/>
    <w:rsid w:val="006F10B1"/>
    <w:rsid w:val="006F1549"/>
    <w:rsid w:val="006F1CC8"/>
    <w:rsid w:val="006F23DC"/>
    <w:rsid w:val="006F240A"/>
    <w:rsid w:val="006F2A4B"/>
    <w:rsid w:val="006F2ADC"/>
    <w:rsid w:val="006F2B1B"/>
    <w:rsid w:val="006F2BA4"/>
    <w:rsid w:val="006F3129"/>
    <w:rsid w:val="006F4132"/>
    <w:rsid w:val="006F44A6"/>
    <w:rsid w:val="006F4B78"/>
    <w:rsid w:val="006F4D2C"/>
    <w:rsid w:val="006F62BC"/>
    <w:rsid w:val="006F6426"/>
    <w:rsid w:val="006F64BE"/>
    <w:rsid w:val="006F68A2"/>
    <w:rsid w:val="006F7850"/>
    <w:rsid w:val="007010CE"/>
    <w:rsid w:val="0070121D"/>
    <w:rsid w:val="00701B70"/>
    <w:rsid w:val="00701D13"/>
    <w:rsid w:val="007021AD"/>
    <w:rsid w:val="00702450"/>
    <w:rsid w:val="00702502"/>
    <w:rsid w:val="007030AD"/>
    <w:rsid w:val="007040E9"/>
    <w:rsid w:val="00704C37"/>
    <w:rsid w:val="007059A7"/>
    <w:rsid w:val="007063D4"/>
    <w:rsid w:val="00706580"/>
    <w:rsid w:val="00706ABB"/>
    <w:rsid w:val="0070705E"/>
    <w:rsid w:val="00707A3A"/>
    <w:rsid w:val="00707C42"/>
    <w:rsid w:val="0071050D"/>
    <w:rsid w:val="00710770"/>
    <w:rsid w:val="00710824"/>
    <w:rsid w:val="00712CB8"/>
    <w:rsid w:val="00713216"/>
    <w:rsid w:val="00713369"/>
    <w:rsid w:val="00714448"/>
    <w:rsid w:val="007156AC"/>
    <w:rsid w:val="00716848"/>
    <w:rsid w:val="00716857"/>
    <w:rsid w:val="00716AEF"/>
    <w:rsid w:val="00717282"/>
    <w:rsid w:val="00717ABD"/>
    <w:rsid w:val="00717ACE"/>
    <w:rsid w:val="00717FD7"/>
    <w:rsid w:val="00720949"/>
    <w:rsid w:val="007212F7"/>
    <w:rsid w:val="00721561"/>
    <w:rsid w:val="00721752"/>
    <w:rsid w:val="00722B3B"/>
    <w:rsid w:val="00722CF0"/>
    <w:rsid w:val="00722DD4"/>
    <w:rsid w:val="00722FEA"/>
    <w:rsid w:val="00724CBA"/>
    <w:rsid w:val="00725F2C"/>
    <w:rsid w:val="00726972"/>
    <w:rsid w:val="00727037"/>
    <w:rsid w:val="00727370"/>
    <w:rsid w:val="007300AE"/>
    <w:rsid w:val="00730127"/>
    <w:rsid w:val="00731D93"/>
    <w:rsid w:val="00731FF7"/>
    <w:rsid w:val="00732111"/>
    <w:rsid w:val="0073238B"/>
    <w:rsid w:val="007346C8"/>
    <w:rsid w:val="007348B9"/>
    <w:rsid w:val="007359B7"/>
    <w:rsid w:val="00735E25"/>
    <w:rsid w:val="00736545"/>
    <w:rsid w:val="00737597"/>
    <w:rsid w:val="00737EE7"/>
    <w:rsid w:val="007413B9"/>
    <w:rsid w:val="0074265D"/>
    <w:rsid w:val="00742891"/>
    <w:rsid w:val="00742972"/>
    <w:rsid w:val="00742D65"/>
    <w:rsid w:val="00744568"/>
    <w:rsid w:val="00744E49"/>
    <w:rsid w:val="007452B2"/>
    <w:rsid w:val="007455B5"/>
    <w:rsid w:val="0074696C"/>
    <w:rsid w:val="00747250"/>
    <w:rsid w:val="0074731C"/>
    <w:rsid w:val="00747C9D"/>
    <w:rsid w:val="00747D05"/>
    <w:rsid w:val="00750BFC"/>
    <w:rsid w:val="007510F9"/>
    <w:rsid w:val="00751C0F"/>
    <w:rsid w:val="00751FC9"/>
    <w:rsid w:val="00752036"/>
    <w:rsid w:val="00752315"/>
    <w:rsid w:val="00753610"/>
    <w:rsid w:val="007543B0"/>
    <w:rsid w:val="0075471E"/>
    <w:rsid w:val="0075555B"/>
    <w:rsid w:val="00755770"/>
    <w:rsid w:val="00755E9E"/>
    <w:rsid w:val="007568A9"/>
    <w:rsid w:val="00757C9B"/>
    <w:rsid w:val="00757DC2"/>
    <w:rsid w:val="00760563"/>
    <w:rsid w:val="007606D5"/>
    <w:rsid w:val="007608A8"/>
    <w:rsid w:val="00760E48"/>
    <w:rsid w:val="00760FE5"/>
    <w:rsid w:val="007616BB"/>
    <w:rsid w:val="007620C5"/>
    <w:rsid w:val="007622A9"/>
    <w:rsid w:val="0076246E"/>
    <w:rsid w:val="00763160"/>
    <w:rsid w:val="00763213"/>
    <w:rsid w:val="00764BDC"/>
    <w:rsid w:val="00764E09"/>
    <w:rsid w:val="00765C1D"/>
    <w:rsid w:val="00767B6E"/>
    <w:rsid w:val="00770B78"/>
    <w:rsid w:val="007710AF"/>
    <w:rsid w:val="00771AC3"/>
    <w:rsid w:val="007724D2"/>
    <w:rsid w:val="00773A6E"/>
    <w:rsid w:val="007742BE"/>
    <w:rsid w:val="00774849"/>
    <w:rsid w:val="00774F82"/>
    <w:rsid w:val="00775AD5"/>
    <w:rsid w:val="0077639A"/>
    <w:rsid w:val="007767EC"/>
    <w:rsid w:val="00776903"/>
    <w:rsid w:val="00776AB5"/>
    <w:rsid w:val="00776F24"/>
    <w:rsid w:val="0078100C"/>
    <w:rsid w:val="0078121D"/>
    <w:rsid w:val="00781444"/>
    <w:rsid w:val="007819FC"/>
    <w:rsid w:val="00782080"/>
    <w:rsid w:val="00782780"/>
    <w:rsid w:val="007827EA"/>
    <w:rsid w:val="007838F4"/>
    <w:rsid w:val="00783A6E"/>
    <w:rsid w:val="00783DA6"/>
    <w:rsid w:val="00784113"/>
    <w:rsid w:val="007841DD"/>
    <w:rsid w:val="00784B21"/>
    <w:rsid w:val="00784BE2"/>
    <w:rsid w:val="007854E6"/>
    <w:rsid w:val="00785990"/>
    <w:rsid w:val="00785D2D"/>
    <w:rsid w:val="0078772C"/>
    <w:rsid w:val="007878E4"/>
    <w:rsid w:val="007908F2"/>
    <w:rsid w:val="00790D65"/>
    <w:rsid w:val="00791408"/>
    <w:rsid w:val="0079157C"/>
    <w:rsid w:val="00791824"/>
    <w:rsid w:val="00793890"/>
    <w:rsid w:val="00793A23"/>
    <w:rsid w:val="00794908"/>
    <w:rsid w:val="007953E6"/>
    <w:rsid w:val="00796B5E"/>
    <w:rsid w:val="007A07C5"/>
    <w:rsid w:val="007A0AEE"/>
    <w:rsid w:val="007A148E"/>
    <w:rsid w:val="007A1EBF"/>
    <w:rsid w:val="007A1FCB"/>
    <w:rsid w:val="007A203D"/>
    <w:rsid w:val="007A22B8"/>
    <w:rsid w:val="007A232D"/>
    <w:rsid w:val="007A2632"/>
    <w:rsid w:val="007A2761"/>
    <w:rsid w:val="007A2DD5"/>
    <w:rsid w:val="007A3CC1"/>
    <w:rsid w:val="007A426D"/>
    <w:rsid w:val="007A4272"/>
    <w:rsid w:val="007A43CA"/>
    <w:rsid w:val="007A47D5"/>
    <w:rsid w:val="007A4BA6"/>
    <w:rsid w:val="007A4E0E"/>
    <w:rsid w:val="007A5191"/>
    <w:rsid w:val="007A6991"/>
    <w:rsid w:val="007A7452"/>
    <w:rsid w:val="007B0491"/>
    <w:rsid w:val="007B06E7"/>
    <w:rsid w:val="007B0E63"/>
    <w:rsid w:val="007B337A"/>
    <w:rsid w:val="007B3AE8"/>
    <w:rsid w:val="007B3D5C"/>
    <w:rsid w:val="007B3DFE"/>
    <w:rsid w:val="007B4131"/>
    <w:rsid w:val="007B4418"/>
    <w:rsid w:val="007B4DB9"/>
    <w:rsid w:val="007B559A"/>
    <w:rsid w:val="007B6CEF"/>
    <w:rsid w:val="007B6E8F"/>
    <w:rsid w:val="007B6F94"/>
    <w:rsid w:val="007B7156"/>
    <w:rsid w:val="007B7460"/>
    <w:rsid w:val="007B78CB"/>
    <w:rsid w:val="007B7BE4"/>
    <w:rsid w:val="007B7F67"/>
    <w:rsid w:val="007C173D"/>
    <w:rsid w:val="007C1822"/>
    <w:rsid w:val="007C18BD"/>
    <w:rsid w:val="007C2380"/>
    <w:rsid w:val="007C2469"/>
    <w:rsid w:val="007C2E95"/>
    <w:rsid w:val="007C34FB"/>
    <w:rsid w:val="007C3590"/>
    <w:rsid w:val="007C3A9E"/>
    <w:rsid w:val="007C3E36"/>
    <w:rsid w:val="007C3E82"/>
    <w:rsid w:val="007C4079"/>
    <w:rsid w:val="007C414D"/>
    <w:rsid w:val="007C44A6"/>
    <w:rsid w:val="007C56B0"/>
    <w:rsid w:val="007C64EB"/>
    <w:rsid w:val="007C6748"/>
    <w:rsid w:val="007C6F14"/>
    <w:rsid w:val="007C7420"/>
    <w:rsid w:val="007C7CF3"/>
    <w:rsid w:val="007D0396"/>
    <w:rsid w:val="007D21B6"/>
    <w:rsid w:val="007D24C0"/>
    <w:rsid w:val="007D2665"/>
    <w:rsid w:val="007D2761"/>
    <w:rsid w:val="007D314C"/>
    <w:rsid w:val="007D3A37"/>
    <w:rsid w:val="007D3AA0"/>
    <w:rsid w:val="007D3B44"/>
    <w:rsid w:val="007D3C69"/>
    <w:rsid w:val="007D42F4"/>
    <w:rsid w:val="007D478F"/>
    <w:rsid w:val="007D4BD8"/>
    <w:rsid w:val="007D4D8C"/>
    <w:rsid w:val="007D528E"/>
    <w:rsid w:val="007D57C3"/>
    <w:rsid w:val="007D5BFE"/>
    <w:rsid w:val="007D5ECF"/>
    <w:rsid w:val="007D635E"/>
    <w:rsid w:val="007D6634"/>
    <w:rsid w:val="007D697B"/>
    <w:rsid w:val="007D727B"/>
    <w:rsid w:val="007E00E1"/>
    <w:rsid w:val="007E09B1"/>
    <w:rsid w:val="007E1795"/>
    <w:rsid w:val="007E1CF7"/>
    <w:rsid w:val="007E2815"/>
    <w:rsid w:val="007E2F0D"/>
    <w:rsid w:val="007E318F"/>
    <w:rsid w:val="007E382B"/>
    <w:rsid w:val="007E3B1F"/>
    <w:rsid w:val="007E6CA8"/>
    <w:rsid w:val="007E6EB0"/>
    <w:rsid w:val="007E774E"/>
    <w:rsid w:val="007E7D28"/>
    <w:rsid w:val="007F0287"/>
    <w:rsid w:val="007F1B38"/>
    <w:rsid w:val="007F241C"/>
    <w:rsid w:val="007F2487"/>
    <w:rsid w:val="007F24FD"/>
    <w:rsid w:val="007F38AB"/>
    <w:rsid w:val="007F4D62"/>
    <w:rsid w:val="007F509E"/>
    <w:rsid w:val="007F5970"/>
    <w:rsid w:val="007F5A0D"/>
    <w:rsid w:val="007F5A3C"/>
    <w:rsid w:val="007F5B3A"/>
    <w:rsid w:val="007F5DE8"/>
    <w:rsid w:val="007F6349"/>
    <w:rsid w:val="007F6C12"/>
    <w:rsid w:val="007F7076"/>
    <w:rsid w:val="007F727A"/>
    <w:rsid w:val="007F77B6"/>
    <w:rsid w:val="007F7CD0"/>
    <w:rsid w:val="00800A75"/>
    <w:rsid w:val="00801DD3"/>
    <w:rsid w:val="00801DE2"/>
    <w:rsid w:val="00802D5D"/>
    <w:rsid w:val="008034CF"/>
    <w:rsid w:val="00803A9C"/>
    <w:rsid w:val="00803AFA"/>
    <w:rsid w:val="00803EF3"/>
    <w:rsid w:val="00805CC9"/>
    <w:rsid w:val="00805EB4"/>
    <w:rsid w:val="008064A9"/>
    <w:rsid w:val="008104B1"/>
    <w:rsid w:val="00810603"/>
    <w:rsid w:val="00811CF2"/>
    <w:rsid w:val="0081244E"/>
    <w:rsid w:val="0081358D"/>
    <w:rsid w:val="008135EF"/>
    <w:rsid w:val="008146FF"/>
    <w:rsid w:val="00814753"/>
    <w:rsid w:val="00814A67"/>
    <w:rsid w:val="00814BDD"/>
    <w:rsid w:val="00814FDE"/>
    <w:rsid w:val="00815212"/>
    <w:rsid w:val="00815524"/>
    <w:rsid w:val="0081669D"/>
    <w:rsid w:val="00816DFD"/>
    <w:rsid w:val="008170BE"/>
    <w:rsid w:val="00817B83"/>
    <w:rsid w:val="00820F9B"/>
    <w:rsid w:val="00821766"/>
    <w:rsid w:val="00821938"/>
    <w:rsid w:val="00821CC0"/>
    <w:rsid w:val="00822468"/>
    <w:rsid w:val="008228F4"/>
    <w:rsid w:val="00823739"/>
    <w:rsid w:val="00823A00"/>
    <w:rsid w:val="008244C4"/>
    <w:rsid w:val="00824687"/>
    <w:rsid w:val="0082487F"/>
    <w:rsid w:val="00824A2E"/>
    <w:rsid w:val="00824AE3"/>
    <w:rsid w:val="00825447"/>
    <w:rsid w:val="00825AD8"/>
    <w:rsid w:val="0082685C"/>
    <w:rsid w:val="00827940"/>
    <w:rsid w:val="00827FBB"/>
    <w:rsid w:val="008305B8"/>
    <w:rsid w:val="008305DB"/>
    <w:rsid w:val="00831C64"/>
    <w:rsid w:val="00831E0A"/>
    <w:rsid w:val="008322B3"/>
    <w:rsid w:val="008326E9"/>
    <w:rsid w:val="0083324D"/>
    <w:rsid w:val="008333CE"/>
    <w:rsid w:val="0083378A"/>
    <w:rsid w:val="008337F9"/>
    <w:rsid w:val="0083429F"/>
    <w:rsid w:val="00834444"/>
    <w:rsid w:val="00834DB4"/>
    <w:rsid w:val="00836AB3"/>
    <w:rsid w:val="00836D99"/>
    <w:rsid w:val="00837590"/>
    <w:rsid w:val="008378E1"/>
    <w:rsid w:val="008406AC"/>
    <w:rsid w:val="00840CEB"/>
    <w:rsid w:val="00841733"/>
    <w:rsid w:val="00842227"/>
    <w:rsid w:val="008424AC"/>
    <w:rsid w:val="00844183"/>
    <w:rsid w:val="00844C15"/>
    <w:rsid w:val="00845910"/>
    <w:rsid w:val="00845F99"/>
    <w:rsid w:val="008478A7"/>
    <w:rsid w:val="00850030"/>
    <w:rsid w:val="00850BC6"/>
    <w:rsid w:val="008513B7"/>
    <w:rsid w:val="00851692"/>
    <w:rsid w:val="008522F9"/>
    <w:rsid w:val="00852A6B"/>
    <w:rsid w:val="0085319C"/>
    <w:rsid w:val="008532B9"/>
    <w:rsid w:val="008536DB"/>
    <w:rsid w:val="00853BC2"/>
    <w:rsid w:val="0085464E"/>
    <w:rsid w:val="00854B0D"/>
    <w:rsid w:val="0085535A"/>
    <w:rsid w:val="008558C9"/>
    <w:rsid w:val="008559BB"/>
    <w:rsid w:val="00855FBA"/>
    <w:rsid w:val="00856475"/>
    <w:rsid w:val="0085650D"/>
    <w:rsid w:val="00856FF8"/>
    <w:rsid w:val="00857315"/>
    <w:rsid w:val="0085798E"/>
    <w:rsid w:val="00857C96"/>
    <w:rsid w:val="008600BA"/>
    <w:rsid w:val="00860481"/>
    <w:rsid w:val="00860846"/>
    <w:rsid w:val="00860FBE"/>
    <w:rsid w:val="0086236A"/>
    <w:rsid w:val="00862D33"/>
    <w:rsid w:val="00863880"/>
    <w:rsid w:val="00863B5C"/>
    <w:rsid w:val="00864A18"/>
    <w:rsid w:val="00864BB3"/>
    <w:rsid w:val="00865D6C"/>
    <w:rsid w:val="00865DB6"/>
    <w:rsid w:val="00865E10"/>
    <w:rsid w:val="0086627F"/>
    <w:rsid w:val="0086645E"/>
    <w:rsid w:val="0086719F"/>
    <w:rsid w:val="00867C71"/>
    <w:rsid w:val="00870758"/>
    <w:rsid w:val="008728BE"/>
    <w:rsid w:val="008729A7"/>
    <w:rsid w:val="00872A9F"/>
    <w:rsid w:val="00872BC0"/>
    <w:rsid w:val="008734BC"/>
    <w:rsid w:val="008738B4"/>
    <w:rsid w:val="00875629"/>
    <w:rsid w:val="00875CEA"/>
    <w:rsid w:val="00876408"/>
    <w:rsid w:val="0087664D"/>
    <w:rsid w:val="0087687F"/>
    <w:rsid w:val="00876E2C"/>
    <w:rsid w:val="00876F91"/>
    <w:rsid w:val="0087709B"/>
    <w:rsid w:val="00877C1A"/>
    <w:rsid w:val="008814CD"/>
    <w:rsid w:val="00882ADC"/>
    <w:rsid w:val="00883823"/>
    <w:rsid w:val="00883E89"/>
    <w:rsid w:val="00883F91"/>
    <w:rsid w:val="00884EB3"/>
    <w:rsid w:val="00886591"/>
    <w:rsid w:val="00886B79"/>
    <w:rsid w:val="0088705E"/>
    <w:rsid w:val="00890E0D"/>
    <w:rsid w:val="00891762"/>
    <w:rsid w:val="00891959"/>
    <w:rsid w:val="00892629"/>
    <w:rsid w:val="00892762"/>
    <w:rsid w:val="00892AA0"/>
    <w:rsid w:val="008931FB"/>
    <w:rsid w:val="00893917"/>
    <w:rsid w:val="00893DFB"/>
    <w:rsid w:val="008954DF"/>
    <w:rsid w:val="00895A98"/>
    <w:rsid w:val="00895EA7"/>
    <w:rsid w:val="008966F0"/>
    <w:rsid w:val="00896B35"/>
    <w:rsid w:val="008970E3"/>
    <w:rsid w:val="00897BE5"/>
    <w:rsid w:val="008A02BA"/>
    <w:rsid w:val="008A0DDE"/>
    <w:rsid w:val="008A28F9"/>
    <w:rsid w:val="008A2C40"/>
    <w:rsid w:val="008A4557"/>
    <w:rsid w:val="008A4645"/>
    <w:rsid w:val="008A4BC4"/>
    <w:rsid w:val="008A5B1F"/>
    <w:rsid w:val="008A5C69"/>
    <w:rsid w:val="008A65A0"/>
    <w:rsid w:val="008B0138"/>
    <w:rsid w:val="008B0560"/>
    <w:rsid w:val="008B0783"/>
    <w:rsid w:val="008B0EB9"/>
    <w:rsid w:val="008B13D0"/>
    <w:rsid w:val="008B1DD0"/>
    <w:rsid w:val="008B1EDA"/>
    <w:rsid w:val="008B3228"/>
    <w:rsid w:val="008B39D1"/>
    <w:rsid w:val="008B4236"/>
    <w:rsid w:val="008B493E"/>
    <w:rsid w:val="008B49EB"/>
    <w:rsid w:val="008B5EE5"/>
    <w:rsid w:val="008B6DBA"/>
    <w:rsid w:val="008B76A7"/>
    <w:rsid w:val="008B7E71"/>
    <w:rsid w:val="008C01E5"/>
    <w:rsid w:val="008C02CB"/>
    <w:rsid w:val="008C19F2"/>
    <w:rsid w:val="008C2472"/>
    <w:rsid w:val="008C318C"/>
    <w:rsid w:val="008C3420"/>
    <w:rsid w:val="008C78C8"/>
    <w:rsid w:val="008C7905"/>
    <w:rsid w:val="008D0648"/>
    <w:rsid w:val="008D0905"/>
    <w:rsid w:val="008D0D5C"/>
    <w:rsid w:val="008D0FD8"/>
    <w:rsid w:val="008D10EF"/>
    <w:rsid w:val="008D1187"/>
    <w:rsid w:val="008D1BB2"/>
    <w:rsid w:val="008D1FD4"/>
    <w:rsid w:val="008D2C2E"/>
    <w:rsid w:val="008D2FB6"/>
    <w:rsid w:val="008D3767"/>
    <w:rsid w:val="008D439F"/>
    <w:rsid w:val="008D4E32"/>
    <w:rsid w:val="008D5E8A"/>
    <w:rsid w:val="008D688D"/>
    <w:rsid w:val="008D6E16"/>
    <w:rsid w:val="008D7487"/>
    <w:rsid w:val="008D7524"/>
    <w:rsid w:val="008D75E8"/>
    <w:rsid w:val="008E0F51"/>
    <w:rsid w:val="008E10E9"/>
    <w:rsid w:val="008E128F"/>
    <w:rsid w:val="008E13E7"/>
    <w:rsid w:val="008E1631"/>
    <w:rsid w:val="008E2821"/>
    <w:rsid w:val="008E3F85"/>
    <w:rsid w:val="008E4C54"/>
    <w:rsid w:val="008E5268"/>
    <w:rsid w:val="008E5602"/>
    <w:rsid w:val="008E5D09"/>
    <w:rsid w:val="008E63D7"/>
    <w:rsid w:val="008E657A"/>
    <w:rsid w:val="008E6C5B"/>
    <w:rsid w:val="008E726A"/>
    <w:rsid w:val="008E7710"/>
    <w:rsid w:val="008E776A"/>
    <w:rsid w:val="008E7C8E"/>
    <w:rsid w:val="008F053C"/>
    <w:rsid w:val="008F0AB6"/>
    <w:rsid w:val="008F0B1A"/>
    <w:rsid w:val="008F0E7F"/>
    <w:rsid w:val="008F1D60"/>
    <w:rsid w:val="008F1D7B"/>
    <w:rsid w:val="008F250B"/>
    <w:rsid w:val="008F2C6B"/>
    <w:rsid w:val="008F46B9"/>
    <w:rsid w:val="008F49C5"/>
    <w:rsid w:val="008F55E3"/>
    <w:rsid w:val="008F606B"/>
    <w:rsid w:val="008F6839"/>
    <w:rsid w:val="008F6DCA"/>
    <w:rsid w:val="00900267"/>
    <w:rsid w:val="009004D4"/>
    <w:rsid w:val="00901122"/>
    <w:rsid w:val="00901A60"/>
    <w:rsid w:val="00901F0B"/>
    <w:rsid w:val="00901F94"/>
    <w:rsid w:val="009027D2"/>
    <w:rsid w:val="009030FD"/>
    <w:rsid w:val="009033AC"/>
    <w:rsid w:val="009036A4"/>
    <w:rsid w:val="00903CA8"/>
    <w:rsid w:val="00903F34"/>
    <w:rsid w:val="00904147"/>
    <w:rsid w:val="00906519"/>
    <w:rsid w:val="00907550"/>
    <w:rsid w:val="009078F5"/>
    <w:rsid w:val="00907942"/>
    <w:rsid w:val="00907D4E"/>
    <w:rsid w:val="0091039F"/>
    <w:rsid w:val="00910CA3"/>
    <w:rsid w:val="009122A1"/>
    <w:rsid w:val="009122C0"/>
    <w:rsid w:val="0091230E"/>
    <w:rsid w:val="00912316"/>
    <w:rsid w:val="009129CC"/>
    <w:rsid w:val="009136BF"/>
    <w:rsid w:val="00913A64"/>
    <w:rsid w:val="00914155"/>
    <w:rsid w:val="009143DC"/>
    <w:rsid w:val="009146B3"/>
    <w:rsid w:val="0091493B"/>
    <w:rsid w:val="0091493E"/>
    <w:rsid w:val="00914BE2"/>
    <w:rsid w:val="00915D0D"/>
    <w:rsid w:val="00915EA4"/>
    <w:rsid w:val="00915FAB"/>
    <w:rsid w:val="00916109"/>
    <w:rsid w:val="009168D0"/>
    <w:rsid w:val="00916F96"/>
    <w:rsid w:val="009170FC"/>
    <w:rsid w:val="00917902"/>
    <w:rsid w:val="00917C56"/>
    <w:rsid w:val="00917E05"/>
    <w:rsid w:val="00917F01"/>
    <w:rsid w:val="00920080"/>
    <w:rsid w:val="009200D2"/>
    <w:rsid w:val="0092013B"/>
    <w:rsid w:val="00920345"/>
    <w:rsid w:val="00920B4A"/>
    <w:rsid w:val="009211F6"/>
    <w:rsid w:val="00921BB6"/>
    <w:rsid w:val="00921D1C"/>
    <w:rsid w:val="00922A66"/>
    <w:rsid w:val="00922B86"/>
    <w:rsid w:val="00922DB9"/>
    <w:rsid w:val="009239E4"/>
    <w:rsid w:val="00924504"/>
    <w:rsid w:val="009245D7"/>
    <w:rsid w:val="009251C9"/>
    <w:rsid w:val="0092588F"/>
    <w:rsid w:val="00926AC4"/>
    <w:rsid w:val="00927547"/>
    <w:rsid w:val="0092771C"/>
    <w:rsid w:val="00927754"/>
    <w:rsid w:val="0093002C"/>
    <w:rsid w:val="00930147"/>
    <w:rsid w:val="00930407"/>
    <w:rsid w:val="00930E63"/>
    <w:rsid w:val="00931497"/>
    <w:rsid w:val="009316B7"/>
    <w:rsid w:val="00931BCB"/>
    <w:rsid w:val="00932A39"/>
    <w:rsid w:val="0093300D"/>
    <w:rsid w:val="009331B6"/>
    <w:rsid w:val="00934005"/>
    <w:rsid w:val="0093438E"/>
    <w:rsid w:val="00934A95"/>
    <w:rsid w:val="00934D0F"/>
    <w:rsid w:val="00935580"/>
    <w:rsid w:val="009357DE"/>
    <w:rsid w:val="009358F8"/>
    <w:rsid w:val="00936368"/>
    <w:rsid w:val="00937718"/>
    <w:rsid w:val="00937B36"/>
    <w:rsid w:val="009403A0"/>
    <w:rsid w:val="00940B59"/>
    <w:rsid w:val="00941268"/>
    <w:rsid w:val="00941D36"/>
    <w:rsid w:val="00942436"/>
    <w:rsid w:val="009425DF"/>
    <w:rsid w:val="00942F2B"/>
    <w:rsid w:val="009430A5"/>
    <w:rsid w:val="0094312B"/>
    <w:rsid w:val="009432CB"/>
    <w:rsid w:val="00943716"/>
    <w:rsid w:val="009440E8"/>
    <w:rsid w:val="009446ED"/>
    <w:rsid w:val="009458EB"/>
    <w:rsid w:val="00946A92"/>
    <w:rsid w:val="00946EA3"/>
    <w:rsid w:val="009470C5"/>
    <w:rsid w:val="0094756A"/>
    <w:rsid w:val="00947D67"/>
    <w:rsid w:val="00947F47"/>
    <w:rsid w:val="00950B4B"/>
    <w:rsid w:val="00951B2B"/>
    <w:rsid w:val="00951E43"/>
    <w:rsid w:val="00951F63"/>
    <w:rsid w:val="00952478"/>
    <w:rsid w:val="00952831"/>
    <w:rsid w:val="00952981"/>
    <w:rsid w:val="00952A3D"/>
    <w:rsid w:val="00953162"/>
    <w:rsid w:val="00953AB2"/>
    <w:rsid w:val="00954ACF"/>
    <w:rsid w:val="00954D1A"/>
    <w:rsid w:val="009551DB"/>
    <w:rsid w:val="009552D4"/>
    <w:rsid w:val="00955BC7"/>
    <w:rsid w:val="00955D7B"/>
    <w:rsid w:val="009568B5"/>
    <w:rsid w:val="00956BAC"/>
    <w:rsid w:val="0095737F"/>
    <w:rsid w:val="00957A1D"/>
    <w:rsid w:val="00957E8A"/>
    <w:rsid w:val="00960955"/>
    <w:rsid w:val="00962691"/>
    <w:rsid w:val="00962B26"/>
    <w:rsid w:val="00963818"/>
    <w:rsid w:val="00964208"/>
    <w:rsid w:val="00965C10"/>
    <w:rsid w:val="00965C63"/>
    <w:rsid w:val="0096733E"/>
    <w:rsid w:val="0096742A"/>
    <w:rsid w:val="00967544"/>
    <w:rsid w:val="009677C1"/>
    <w:rsid w:val="00970646"/>
    <w:rsid w:val="00970F81"/>
    <w:rsid w:val="0097186F"/>
    <w:rsid w:val="0097236D"/>
    <w:rsid w:val="009727EC"/>
    <w:rsid w:val="00973300"/>
    <w:rsid w:val="0097351D"/>
    <w:rsid w:val="00974544"/>
    <w:rsid w:val="00974CD0"/>
    <w:rsid w:val="00974DAF"/>
    <w:rsid w:val="009763AA"/>
    <w:rsid w:val="00976D46"/>
    <w:rsid w:val="00977919"/>
    <w:rsid w:val="0098019D"/>
    <w:rsid w:val="00980F0D"/>
    <w:rsid w:val="009819BD"/>
    <w:rsid w:val="00982309"/>
    <w:rsid w:val="0098384C"/>
    <w:rsid w:val="00985537"/>
    <w:rsid w:val="00986A90"/>
    <w:rsid w:val="009876CF"/>
    <w:rsid w:val="00987B1B"/>
    <w:rsid w:val="0099030A"/>
    <w:rsid w:val="009907E6"/>
    <w:rsid w:val="0099091F"/>
    <w:rsid w:val="00990C3D"/>
    <w:rsid w:val="00990C57"/>
    <w:rsid w:val="0099133D"/>
    <w:rsid w:val="00992410"/>
    <w:rsid w:val="0099297B"/>
    <w:rsid w:val="00992CEB"/>
    <w:rsid w:val="00992D1E"/>
    <w:rsid w:val="009930B2"/>
    <w:rsid w:val="00993893"/>
    <w:rsid w:val="00993908"/>
    <w:rsid w:val="00994889"/>
    <w:rsid w:val="009949F8"/>
    <w:rsid w:val="00994C49"/>
    <w:rsid w:val="00995505"/>
    <w:rsid w:val="009955BB"/>
    <w:rsid w:val="00995D34"/>
    <w:rsid w:val="0099619C"/>
    <w:rsid w:val="009971EC"/>
    <w:rsid w:val="009A0168"/>
    <w:rsid w:val="009A0751"/>
    <w:rsid w:val="009A077C"/>
    <w:rsid w:val="009A0788"/>
    <w:rsid w:val="009A178B"/>
    <w:rsid w:val="009A193A"/>
    <w:rsid w:val="009A395A"/>
    <w:rsid w:val="009A3D83"/>
    <w:rsid w:val="009A4E61"/>
    <w:rsid w:val="009A64BB"/>
    <w:rsid w:val="009A6E96"/>
    <w:rsid w:val="009A704F"/>
    <w:rsid w:val="009A72D1"/>
    <w:rsid w:val="009B076C"/>
    <w:rsid w:val="009B1993"/>
    <w:rsid w:val="009B19F1"/>
    <w:rsid w:val="009B1CDC"/>
    <w:rsid w:val="009B3173"/>
    <w:rsid w:val="009B4B4C"/>
    <w:rsid w:val="009B4DFA"/>
    <w:rsid w:val="009B5017"/>
    <w:rsid w:val="009B51CA"/>
    <w:rsid w:val="009B61F1"/>
    <w:rsid w:val="009B6890"/>
    <w:rsid w:val="009B6F76"/>
    <w:rsid w:val="009B72C5"/>
    <w:rsid w:val="009B7519"/>
    <w:rsid w:val="009C00AF"/>
    <w:rsid w:val="009C0A33"/>
    <w:rsid w:val="009C0A7A"/>
    <w:rsid w:val="009C1107"/>
    <w:rsid w:val="009C155F"/>
    <w:rsid w:val="009C2223"/>
    <w:rsid w:val="009C2679"/>
    <w:rsid w:val="009C35D5"/>
    <w:rsid w:val="009C419B"/>
    <w:rsid w:val="009C449E"/>
    <w:rsid w:val="009C480B"/>
    <w:rsid w:val="009C499C"/>
    <w:rsid w:val="009C5E66"/>
    <w:rsid w:val="009C5EAC"/>
    <w:rsid w:val="009C643E"/>
    <w:rsid w:val="009C6F38"/>
    <w:rsid w:val="009C75A5"/>
    <w:rsid w:val="009C7D54"/>
    <w:rsid w:val="009D021F"/>
    <w:rsid w:val="009D04EC"/>
    <w:rsid w:val="009D057B"/>
    <w:rsid w:val="009D0C82"/>
    <w:rsid w:val="009D0D86"/>
    <w:rsid w:val="009D12BD"/>
    <w:rsid w:val="009D16CC"/>
    <w:rsid w:val="009D1E82"/>
    <w:rsid w:val="009D1EF4"/>
    <w:rsid w:val="009D29AA"/>
    <w:rsid w:val="009D3687"/>
    <w:rsid w:val="009D3EFE"/>
    <w:rsid w:val="009D46AE"/>
    <w:rsid w:val="009D5233"/>
    <w:rsid w:val="009D55C3"/>
    <w:rsid w:val="009D5741"/>
    <w:rsid w:val="009D6100"/>
    <w:rsid w:val="009D6D35"/>
    <w:rsid w:val="009D7D33"/>
    <w:rsid w:val="009E08A4"/>
    <w:rsid w:val="009E1597"/>
    <w:rsid w:val="009E199A"/>
    <w:rsid w:val="009E26A1"/>
    <w:rsid w:val="009E296E"/>
    <w:rsid w:val="009E2982"/>
    <w:rsid w:val="009E2AB9"/>
    <w:rsid w:val="009E2BA9"/>
    <w:rsid w:val="009E32FC"/>
    <w:rsid w:val="009E3E8B"/>
    <w:rsid w:val="009E436D"/>
    <w:rsid w:val="009E5099"/>
    <w:rsid w:val="009E5360"/>
    <w:rsid w:val="009F0252"/>
    <w:rsid w:val="009F1547"/>
    <w:rsid w:val="009F27B3"/>
    <w:rsid w:val="009F2A43"/>
    <w:rsid w:val="009F398E"/>
    <w:rsid w:val="009F3FC7"/>
    <w:rsid w:val="009F5022"/>
    <w:rsid w:val="009F5AA4"/>
    <w:rsid w:val="009F623B"/>
    <w:rsid w:val="009F6246"/>
    <w:rsid w:val="009F7E33"/>
    <w:rsid w:val="009F7FAE"/>
    <w:rsid w:val="00A00CF8"/>
    <w:rsid w:val="00A00DA5"/>
    <w:rsid w:val="00A015ED"/>
    <w:rsid w:val="00A016DD"/>
    <w:rsid w:val="00A019C2"/>
    <w:rsid w:val="00A01A36"/>
    <w:rsid w:val="00A01B25"/>
    <w:rsid w:val="00A01B45"/>
    <w:rsid w:val="00A024BC"/>
    <w:rsid w:val="00A02CE8"/>
    <w:rsid w:val="00A02EAA"/>
    <w:rsid w:val="00A0338C"/>
    <w:rsid w:val="00A034BC"/>
    <w:rsid w:val="00A03AC0"/>
    <w:rsid w:val="00A03DF8"/>
    <w:rsid w:val="00A03DFA"/>
    <w:rsid w:val="00A04F57"/>
    <w:rsid w:val="00A051EB"/>
    <w:rsid w:val="00A0686E"/>
    <w:rsid w:val="00A06B55"/>
    <w:rsid w:val="00A10542"/>
    <w:rsid w:val="00A106CC"/>
    <w:rsid w:val="00A108BD"/>
    <w:rsid w:val="00A10A4A"/>
    <w:rsid w:val="00A12417"/>
    <w:rsid w:val="00A13091"/>
    <w:rsid w:val="00A14C15"/>
    <w:rsid w:val="00A1573D"/>
    <w:rsid w:val="00A159D3"/>
    <w:rsid w:val="00A1670E"/>
    <w:rsid w:val="00A167C3"/>
    <w:rsid w:val="00A16D1F"/>
    <w:rsid w:val="00A17480"/>
    <w:rsid w:val="00A208EF"/>
    <w:rsid w:val="00A20A91"/>
    <w:rsid w:val="00A20B3B"/>
    <w:rsid w:val="00A21582"/>
    <w:rsid w:val="00A227E2"/>
    <w:rsid w:val="00A22A54"/>
    <w:rsid w:val="00A23CB0"/>
    <w:rsid w:val="00A240AD"/>
    <w:rsid w:val="00A247EB"/>
    <w:rsid w:val="00A24AA2"/>
    <w:rsid w:val="00A24E10"/>
    <w:rsid w:val="00A2506F"/>
    <w:rsid w:val="00A25346"/>
    <w:rsid w:val="00A25F06"/>
    <w:rsid w:val="00A26DF2"/>
    <w:rsid w:val="00A27DEE"/>
    <w:rsid w:val="00A27E20"/>
    <w:rsid w:val="00A304E2"/>
    <w:rsid w:val="00A308F1"/>
    <w:rsid w:val="00A309D3"/>
    <w:rsid w:val="00A32165"/>
    <w:rsid w:val="00A32453"/>
    <w:rsid w:val="00A329F2"/>
    <w:rsid w:val="00A32F2D"/>
    <w:rsid w:val="00A333A5"/>
    <w:rsid w:val="00A3527D"/>
    <w:rsid w:val="00A35A5B"/>
    <w:rsid w:val="00A36172"/>
    <w:rsid w:val="00A36BEF"/>
    <w:rsid w:val="00A370EF"/>
    <w:rsid w:val="00A3715A"/>
    <w:rsid w:val="00A40EF9"/>
    <w:rsid w:val="00A41062"/>
    <w:rsid w:val="00A429AE"/>
    <w:rsid w:val="00A42D49"/>
    <w:rsid w:val="00A42F55"/>
    <w:rsid w:val="00A43320"/>
    <w:rsid w:val="00A44F74"/>
    <w:rsid w:val="00A4562B"/>
    <w:rsid w:val="00A4652A"/>
    <w:rsid w:val="00A466F1"/>
    <w:rsid w:val="00A513A6"/>
    <w:rsid w:val="00A5173A"/>
    <w:rsid w:val="00A51C59"/>
    <w:rsid w:val="00A51D9A"/>
    <w:rsid w:val="00A535E5"/>
    <w:rsid w:val="00A53AEB"/>
    <w:rsid w:val="00A54577"/>
    <w:rsid w:val="00A558AC"/>
    <w:rsid w:val="00A559BD"/>
    <w:rsid w:val="00A55B49"/>
    <w:rsid w:val="00A55D5C"/>
    <w:rsid w:val="00A5696E"/>
    <w:rsid w:val="00A5726A"/>
    <w:rsid w:val="00A60175"/>
    <w:rsid w:val="00A6049B"/>
    <w:rsid w:val="00A606B7"/>
    <w:rsid w:val="00A60B20"/>
    <w:rsid w:val="00A61381"/>
    <w:rsid w:val="00A62039"/>
    <w:rsid w:val="00A627D9"/>
    <w:rsid w:val="00A62AE6"/>
    <w:rsid w:val="00A634AA"/>
    <w:rsid w:val="00A635BE"/>
    <w:rsid w:val="00A635D3"/>
    <w:rsid w:val="00A63C71"/>
    <w:rsid w:val="00A647C6"/>
    <w:rsid w:val="00A64874"/>
    <w:rsid w:val="00A6487D"/>
    <w:rsid w:val="00A64C55"/>
    <w:rsid w:val="00A64F00"/>
    <w:rsid w:val="00A6562E"/>
    <w:rsid w:val="00A659EF"/>
    <w:rsid w:val="00A65CE8"/>
    <w:rsid w:val="00A65F77"/>
    <w:rsid w:val="00A66246"/>
    <w:rsid w:val="00A6634B"/>
    <w:rsid w:val="00A666B0"/>
    <w:rsid w:val="00A6686C"/>
    <w:rsid w:val="00A668C3"/>
    <w:rsid w:val="00A66BED"/>
    <w:rsid w:val="00A66BFA"/>
    <w:rsid w:val="00A66F14"/>
    <w:rsid w:val="00A6707E"/>
    <w:rsid w:val="00A670F5"/>
    <w:rsid w:val="00A67923"/>
    <w:rsid w:val="00A67C12"/>
    <w:rsid w:val="00A67D87"/>
    <w:rsid w:val="00A70769"/>
    <w:rsid w:val="00A7091E"/>
    <w:rsid w:val="00A70B3B"/>
    <w:rsid w:val="00A70DAF"/>
    <w:rsid w:val="00A714D6"/>
    <w:rsid w:val="00A71E02"/>
    <w:rsid w:val="00A72D55"/>
    <w:rsid w:val="00A72E0E"/>
    <w:rsid w:val="00A737C7"/>
    <w:rsid w:val="00A73A25"/>
    <w:rsid w:val="00A742BA"/>
    <w:rsid w:val="00A74301"/>
    <w:rsid w:val="00A7443B"/>
    <w:rsid w:val="00A7464F"/>
    <w:rsid w:val="00A748AC"/>
    <w:rsid w:val="00A75C72"/>
    <w:rsid w:val="00A75F8D"/>
    <w:rsid w:val="00A7768D"/>
    <w:rsid w:val="00A80034"/>
    <w:rsid w:val="00A8128E"/>
    <w:rsid w:val="00A82960"/>
    <w:rsid w:val="00A82CAB"/>
    <w:rsid w:val="00A833D9"/>
    <w:rsid w:val="00A8376B"/>
    <w:rsid w:val="00A83D9E"/>
    <w:rsid w:val="00A84BA0"/>
    <w:rsid w:val="00A84FA3"/>
    <w:rsid w:val="00A8501B"/>
    <w:rsid w:val="00A85644"/>
    <w:rsid w:val="00A8570F"/>
    <w:rsid w:val="00A85786"/>
    <w:rsid w:val="00A860DA"/>
    <w:rsid w:val="00A86942"/>
    <w:rsid w:val="00A86CBF"/>
    <w:rsid w:val="00A90031"/>
    <w:rsid w:val="00A910F0"/>
    <w:rsid w:val="00A91693"/>
    <w:rsid w:val="00A91821"/>
    <w:rsid w:val="00A92E9D"/>
    <w:rsid w:val="00A94550"/>
    <w:rsid w:val="00A94AB5"/>
    <w:rsid w:val="00A94E24"/>
    <w:rsid w:val="00A952B2"/>
    <w:rsid w:val="00A96ECC"/>
    <w:rsid w:val="00A9751A"/>
    <w:rsid w:val="00A9759D"/>
    <w:rsid w:val="00A97DA0"/>
    <w:rsid w:val="00AA01BE"/>
    <w:rsid w:val="00AA034C"/>
    <w:rsid w:val="00AA0EF4"/>
    <w:rsid w:val="00AA16D0"/>
    <w:rsid w:val="00AA19A1"/>
    <w:rsid w:val="00AA1B97"/>
    <w:rsid w:val="00AA204C"/>
    <w:rsid w:val="00AA271E"/>
    <w:rsid w:val="00AA2B22"/>
    <w:rsid w:val="00AA2B8F"/>
    <w:rsid w:val="00AA2DF8"/>
    <w:rsid w:val="00AA5C75"/>
    <w:rsid w:val="00AA614F"/>
    <w:rsid w:val="00AA656D"/>
    <w:rsid w:val="00AA65E8"/>
    <w:rsid w:val="00AA66D3"/>
    <w:rsid w:val="00AA6B29"/>
    <w:rsid w:val="00AA6B98"/>
    <w:rsid w:val="00AA6FDA"/>
    <w:rsid w:val="00AA792C"/>
    <w:rsid w:val="00AA7E2D"/>
    <w:rsid w:val="00AB14B6"/>
    <w:rsid w:val="00AB1E94"/>
    <w:rsid w:val="00AB2504"/>
    <w:rsid w:val="00AB250A"/>
    <w:rsid w:val="00AB270A"/>
    <w:rsid w:val="00AB2889"/>
    <w:rsid w:val="00AB2BE2"/>
    <w:rsid w:val="00AB2E35"/>
    <w:rsid w:val="00AB2F18"/>
    <w:rsid w:val="00AB33BC"/>
    <w:rsid w:val="00AB42A6"/>
    <w:rsid w:val="00AB4312"/>
    <w:rsid w:val="00AB43A0"/>
    <w:rsid w:val="00AB45E7"/>
    <w:rsid w:val="00AB472B"/>
    <w:rsid w:val="00AB4852"/>
    <w:rsid w:val="00AB4873"/>
    <w:rsid w:val="00AB5041"/>
    <w:rsid w:val="00AB505C"/>
    <w:rsid w:val="00AB5CD2"/>
    <w:rsid w:val="00AB7BED"/>
    <w:rsid w:val="00AB7DBD"/>
    <w:rsid w:val="00AC02C8"/>
    <w:rsid w:val="00AC1061"/>
    <w:rsid w:val="00AC2F6E"/>
    <w:rsid w:val="00AC3300"/>
    <w:rsid w:val="00AC39BA"/>
    <w:rsid w:val="00AC3A73"/>
    <w:rsid w:val="00AC3A87"/>
    <w:rsid w:val="00AC3D9F"/>
    <w:rsid w:val="00AC42DA"/>
    <w:rsid w:val="00AC446B"/>
    <w:rsid w:val="00AC459C"/>
    <w:rsid w:val="00AC4648"/>
    <w:rsid w:val="00AC4FDF"/>
    <w:rsid w:val="00AC5572"/>
    <w:rsid w:val="00AC57B8"/>
    <w:rsid w:val="00AC67B3"/>
    <w:rsid w:val="00AC6854"/>
    <w:rsid w:val="00AC6A34"/>
    <w:rsid w:val="00AC7EE2"/>
    <w:rsid w:val="00AD01D4"/>
    <w:rsid w:val="00AD0C21"/>
    <w:rsid w:val="00AD0DBF"/>
    <w:rsid w:val="00AD0ED3"/>
    <w:rsid w:val="00AD2E77"/>
    <w:rsid w:val="00AD3026"/>
    <w:rsid w:val="00AD3112"/>
    <w:rsid w:val="00AD36CA"/>
    <w:rsid w:val="00AD390D"/>
    <w:rsid w:val="00AD3D25"/>
    <w:rsid w:val="00AD41AF"/>
    <w:rsid w:val="00AD4319"/>
    <w:rsid w:val="00AD4AF1"/>
    <w:rsid w:val="00AD5F17"/>
    <w:rsid w:val="00AD6354"/>
    <w:rsid w:val="00AD6861"/>
    <w:rsid w:val="00AD6DAF"/>
    <w:rsid w:val="00AD7695"/>
    <w:rsid w:val="00AE0B4F"/>
    <w:rsid w:val="00AE1071"/>
    <w:rsid w:val="00AE26A8"/>
    <w:rsid w:val="00AE2CCE"/>
    <w:rsid w:val="00AE33FF"/>
    <w:rsid w:val="00AE44DC"/>
    <w:rsid w:val="00AE4803"/>
    <w:rsid w:val="00AE4FE2"/>
    <w:rsid w:val="00AE5F3D"/>
    <w:rsid w:val="00AE5FFD"/>
    <w:rsid w:val="00AE60D6"/>
    <w:rsid w:val="00AE7D65"/>
    <w:rsid w:val="00AE7E07"/>
    <w:rsid w:val="00AF03E9"/>
    <w:rsid w:val="00AF0698"/>
    <w:rsid w:val="00AF0BC6"/>
    <w:rsid w:val="00AF1644"/>
    <w:rsid w:val="00AF164F"/>
    <w:rsid w:val="00AF16B7"/>
    <w:rsid w:val="00AF34B3"/>
    <w:rsid w:val="00AF3934"/>
    <w:rsid w:val="00AF4493"/>
    <w:rsid w:val="00AF45F8"/>
    <w:rsid w:val="00AF4AFC"/>
    <w:rsid w:val="00AF4E31"/>
    <w:rsid w:val="00AF4FD9"/>
    <w:rsid w:val="00AF5203"/>
    <w:rsid w:val="00AF521F"/>
    <w:rsid w:val="00AF7407"/>
    <w:rsid w:val="00AF7E18"/>
    <w:rsid w:val="00B0004F"/>
    <w:rsid w:val="00B00EE9"/>
    <w:rsid w:val="00B00F32"/>
    <w:rsid w:val="00B015F0"/>
    <w:rsid w:val="00B02655"/>
    <w:rsid w:val="00B036F8"/>
    <w:rsid w:val="00B037E1"/>
    <w:rsid w:val="00B038C3"/>
    <w:rsid w:val="00B03AD8"/>
    <w:rsid w:val="00B03C03"/>
    <w:rsid w:val="00B043F7"/>
    <w:rsid w:val="00B046C9"/>
    <w:rsid w:val="00B0514F"/>
    <w:rsid w:val="00B051A1"/>
    <w:rsid w:val="00B05489"/>
    <w:rsid w:val="00B05763"/>
    <w:rsid w:val="00B05852"/>
    <w:rsid w:val="00B05BA5"/>
    <w:rsid w:val="00B07BA6"/>
    <w:rsid w:val="00B101A3"/>
    <w:rsid w:val="00B104F8"/>
    <w:rsid w:val="00B110F3"/>
    <w:rsid w:val="00B111A0"/>
    <w:rsid w:val="00B11DA9"/>
    <w:rsid w:val="00B1295F"/>
    <w:rsid w:val="00B1311C"/>
    <w:rsid w:val="00B1413D"/>
    <w:rsid w:val="00B1447D"/>
    <w:rsid w:val="00B158A4"/>
    <w:rsid w:val="00B15F01"/>
    <w:rsid w:val="00B15FC5"/>
    <w:rsid w:val="00B16DE8"/>
    <w:rsid w:val="00B204A4"/>
    <w:rsid w:val="00B2059D"/>
    <w:rsid w:val="00B2082B"/>
    <w:rsid w:val="00B20A6D"/>
    <w:rsid w:val="00B20E5C"/>
    <w:rsid w:val="00B20F81"/>
    <w:rsid w:val="00B21183"/>
    <w:rsid w:val="00B227DB"/>
    <w:rsid w:val="00B22FF4"/>
    <w:rsid w:val="00B23B6E"/>
    <w:rsid w:val="00B23EF8"/>
    <w:rsid w:val="00B23F3F"/>
    <w:rsid w:val="00B24154"/>
    <w:rsid w:val="00B25A91"/>
    <w:rsid w:val="00B25C20"/>
    <w:rsid w:val="00B27078"/>
    <w:rsid w:val="00B273A9"/>
    <w:rsid w:val="00B273B9"/>
    <w:rsid w:val="00B274B8"/>
    <w:rsid w:val="00B3130C"/>
    <w:rsid w:val="00B31D9E"/>
    <w:rsid w:val="00B320E9"/>
    <w:rsid w:val="00B322EA"/>
    <w:rsid w:val="00B32F98"/>
    <w:rsid w:val="00B32FDD"/>
    <w:rsid w:val="00B3341E"/>
    <w:rsid w:val="00B33A1A"/>
    <w:rsid w:val="00B33DAE"/>
    <w:rsid w:val="00B36200"/>
    <w:rsid w:val="00B37C9F"/>
    <w:rsid w:val="00B40143"/>
    <w:rsid w:val="00B40AA0"/>
    <w:rsid w:val="00B41195"/>
    <w:rsid w:val="00B4138C"/>
    <w:rsid w:val="00B41997"/>
    <w:rsid w:val="00B422E8"/>
    <w:rsid w:val="00B42D8D"/>
    <w:rsid w:val="00B433DF"/>
    <w:rsid w:val="00B4353F"/>
    <w:rsid w:val="00B44C3F"/>
    <w:rsid w:val="00B4568D"/>
    <w:rsid w:val="00B46D22"/>
    <w:rsid w:val="00B46F4E"/>
    <w:rsid w:val="00B470FF"/>
    <w:rsid w:val="00B47BA9"/>
    <w:rsid w:val="00B5060F"/>
    <w:rsid w:val="00B51013"/>
    <w:rsid w:val="00B51310"/>
    <w:rsid w:val="00B51DFE"/>
    <w:rsid w:val="00B520B7"/>
    <w:rsid w:val="00B52340"/>
    <w:rsid w:val="00B5280C"/>
    <w:rsid w:val="00B52866"/>
    <w:rsid w:val="00B5299B"/>
    <w:rsid w:val="00B52EE2"/>
    <w:rsid w:val="00B535E9"/>
    <w:rsid w:val="00B559E6"/>
    <w:rsid w:val="00B55AFA"/>
    <w:rsid w:val="00B55F3F"/>
    <w:rsid w:val="00B562DC"/>
    <w:rsid w:val="00B56534"/>
    <w:rsid w:val="00B56F60"/>
    <w:rsid w:val="00B57126"/>
    <w:rsid w:val="00B57742"/>
    <w:rsid w:val="00B602C5"/>
    <w:rsid w:val="00B60A36"/>
    <w:rsid w:val="00B60BBE"/>
    <w:rsid w:val="00B60E76"/>
    <w:rsid w:val="00B612D6"/>
    <w:rsid w:val="00B61585"/>
    <w:rsid w:val="00B6313B"/>
    <w:rsid w:val="00B6382E"/>
    <w:rsid w:val="00B63830"/>
    <w:rsid w:val="00B646BC"/>
    <w:rsid w:val="00B64A6B"/>
    <w:rsid w:val="00B64A8E"/>
    <w:rsid w:val="00B65CF8"/>
    <w:rsid w:val="00B707A7"/>
    <w:rsid w:val="00B70906"/>
    <w:rsid w:val="00B70EC6"/>
    <w:rsid w:val="00B71820"/>
    <w:rsid w:val="00B7239B"/>
    <w:rsid w:val="00B72BF3"/>
    <w:rsid w:val="00B732FA"/>
    <w:rsid w:val="00B76A81"/>
    <w:rsid w:val="00B77395"/>
    <w:rsid w:val="00B77556"/>
    <w:rsid w:val="00B77FBB"/>
    <w:rsid w:val="00B8040C"/>
    <w:rsid w:val="00B80B4F"/>
    <w:rsid w:val="00B81395"/>
    <w:rsid w:val="00B81810"/>
    <w:rsid w:val="00B8235E"/>
    <w:rsid w:val="00B82BDB"/>
    <w:rsid w:val="00B82E39"/>
    <w:rsid w:val="00B830F4"/>
    <w:rsid w:val="00B8310C"/>
    <w:rsid w:val="00B8450E"/>
    <w:rsid w:val="00B848EC"/>
    <w:rsid w:val="00B84B7D"/>
    <w:rsid w:val="00B858C2"/>
    <w:rsid w:val="00B85AAE"/>
    <w:rsid w:val="00B8615D"/>
    <w:rsid w:val="00B866A0"/>
    <w:rsid w:val="00B86B44"/>
    <w:rsid w:val="00B86F6C"/>
    <w:rsid w:val="00B87981"/>
    <w:rsid w:val="00B87C55"/>
    <w:rsid w:val="00B87CEE"/>
    <w:rsid w:val="00B90667"/>
    <w:rsid w:val="00B906AC"/>
    <w:rsid w:val="00B92B7D"/>
    <w:rsid w:val="00B93A80"/>
    <w:rsid w:val="00B94786"/>
    <w:rsid w:val="00B94A45"/>
    <w:rsid w:val="00B94BD1"/>
    <w:rsid w:val="00B95595"/>
    <w:rsid w:val="00B95BED"/>
    <w:rsid w:val="00B95E35"/>
    <w:rsid w:val="00B96064"/>
    <w:rsid w:val="00B96AFC"/>
    <w:rsid w:val="00B96B37"/>
    <w:rsid w:val="00B96F5F"/>
    <w:rsid w:val="00B96FAE"/>
    <w:rsid w:val="00BA1CA3"/>
    <w:rsid w:val="00BA1F49"/>
    <w:rsid w:val="00BA2B07"/>
    <w:rsid w:val="00BA2EAA"/>
    <w:rsid w:val="00BA32AB"/>
    <w:rsid w:val="00BA36AD"/>
    <w:rsid w:val="00BA3FCD"/>
    <w:rsid w:val="00BA43AD"/>
    <w:rsid w:val="00BA4883"/>
    <w:rsid w:val="00BA5766"/>
    <w:rsid w:val="00BA5B7E"/>
    <w:rsid w:val="00BA5DEB"/>
    <w:rsid w:val="00BA77D7"/>
    <w:rsid w:val="00BA7A36"/>
    <w:rsid w:val="00BA7B34"/>
    <w:rsid w:val="00BA7C22"/>
    <w:rsid w:val="00BB0053"/>
    <w:rsid w:val="00BB05AB"/>
    <w:rsid w:val="00BB1D93"/>
    <w:rsid w:val="00BB210A"/>
    <w:rsid w:val="00BB255E"/>
    <w:rsid w:val="00BB256B"/>
    <w:rsid w:val="00BB3038"/>
    <w:rsid w:val="00BB42AC"/>
    <w:rsid w:val="00BB48ED"/>
    <w:rsid w:val="00BB4D94"/>
    <w:rsid w:val="00BB5FBB"/>
    <w:rsid w:val="00BB6026"/>
    <w:rsid w:val="00BB6552"/>
    <w:rsid w:val="00BB67A3"/>
    <w:rsid w:val="00BB6AD9"/>
    <w:rsid w:val="00BB6B4E"/>
    <w:rsid w:val="00BB6B4F"/>
    <w:rsid w:val="00BB7075"/>
    <w:rsid w:val="00BB7307"/>
    <w:rsid w:val="00BB7F6C"/>
    <w:rsid w:val="00BC034E"/>
    <w:rsid w:val="00BC1C63"/>
    <w:rsid w:val="00BC3E7D"/>
    <w:rsid w:val="00BC4505"/>
    <w:rsid w:val="00BC4922"/>
    <w:rsid w:val="00BC5234"/>
    <w:rsid w:val="00BC67F8"/>
    <w:rsid w:val="00BC6A49"/>
    <w:rsid w:val="00BC6D3B"/>
    <w:rsid w:val="00BC741B"/>
    <w:rsid w:val="00BD0C5D"/>
    <w:rsid w:val="00BD1192"/>
    <w:rsid w:val="00BD148D"/>
    <w:rsid w:val="00BD3E44"/>
    <w:rsid w:val="00BD4545"/>
    <w:rsid w:val="00BD4A97"/>
    <w:rsid w:val="00BD7870"/>
    <w:rsid w:val="00BD7C68"/>
    <w:rsid w:val="00BD7E61"/>
    <w:rsid w:val="00BE01D1"/>
    <w:rsid w:val="00BE1219"/>
    <w:rsid w:val="00BE4009"/>
    <w:rsid w:val="00BE41A9"/>
    <w:rsid w:val="00BE41FA"/>
    <w:rsid w:val="00BE5052"/>
    <w:rsid w:val="00BE5F56"/>
    <w:rsid w:val="00BE6A9B"/>
    <w:rsid w:val="00BE6FD1"/>
    <w:rsid w:val="00BE7085"/>
    <w:rsid w:val="00BE71B2"/>
    <w:rsid w:val="00BE73FF"/>
    <w:rsid w:val="00BE78DA"/>
    <w:rsid w:val="00BE7F1A"/>
    <w:rsid w:val="00BF0CA0"/>
    <w:rsid w:val="00BF1D3E"/>
    <w:rsid w:val="00BF215D"/>
    <w:rsid w:val="00BF31DC"/>
    <w:rsid w:val="00BF3386"/>
    <w:rsid w:val="00BF3CC6"/>
    <w:rsid w:val="00BF47DB"/>
    <w:rsid w:val="00BF4A21"/>
    <w:rsid w:val="00BF6601"/>
    <w:rsid w:val="00BF66C6"/>
    <w:rsid w:val="00BF6DF3"/>
    <w:rsid w:val="00BF7028"/>
    <w:rsid w:val="00BF71BA"/>
    <w:rsid w:val="00BF739D"/>
    <w:rsid w:val="00BF7D33"/>
    <w:rsid w:val="00BF7FFC"/>
    <w:rsid w:val="00C002FA"/>
    <w:rsid w:val="00C00930"/>
    <w:rsid w:val="00C01220"/>
    <w:rsid w:val="00C02E6C"/>
    <w:rsid w:val="00C03022"/>
    <w:rsid w:val="00C03198"/>
    <w:rsid w:val="00C035D5"/>
    <w:rsid w:val="00C03776"/>
    <w:rsid w:val="00C0460E"/>
    <w:rsid w:val="00C05CEF"/>
    <w:rsid w:val="00C05E45"/>
    <w:rsid w:val="00C06655"/>
    <w:rsid w:val="00C119B6"/>
    <w:rsid w:val="00C121DE"/>
    <w:rsid w:val="00C122C8"/>
    <w:rsid w:val="00C127C5"/>
    <w:rsid w:val="00C12D1E"/>
    <w:rsid w:val="00C12E49"/>
    <w:rsid w:val="00C13821"/>
    <w:rsid w:val="00C144C3"/>
    <w:rsid w:val="00C145FD"/>
    <w:rsid w:val="00C155B4"/>
    <w:rsid w:val="00C158A1"/>
    <w:rsid w:val="00C159FB"/>
    <w:rsid w:val="00C160C3"/>
    <w:rsid w:val="00C1689D"/>
    <w:rsid w:val="00C16B53"/>
    <w:rsid w:val="00C16C9D"/>
    <w:rsid w:val="00C16FF9"/>
    <w:rsid w:val="00C176AB"/>
    <w:rsid w:val="00C21982"/>
    <w:rsid w:val="00C21C9D"/>
    <w:rsid w:val="00C223F2"/>
    <w:rsid w:val="00C22DAF"/>
    <w:rsid w:val="00C22FC4"/>
    <w:rsid w:val="00C2330E"/>
    <w:rsid w:val="00C23549"/>
    <w:rsid w:val="00C23B8F"/>
    <w:rsid w:val="00C23CDC"/>
    <w:rsid w:val="00C23FB8"/>
    <w:rsid w:val="00C26154"/>
    <w:rsid w:val="00C262AF"/>
    <w:rsid w:val="00C265BD"/>
    <w:rsid w:val="00C26BD5"/>
    <w:rsid w:val="00C3088F"/>
    <w:rsid w:val="00C311EA"/>
    <w:rsid w:val="00C3256E"/>
    <w:rsid w:val="00C326CF"/>
    <w:rsid w:val="00C32DFA"/>
    <w:rsid w:val="00C32E2C"/>
    <w:rsid w:val="00C33130"/>
    <w:rsid w:val="00C34ABA"/>
    <w:rsid w:val="00C34D7A"/>
    <w:rsid w:val="00C3650A"/>
    <w:rsid w:val="00C36A3F"/>
    <w:rsid w:val="00C373D2"/>
    <w:rsid w:val="00C37D21"/>
    <w:rsid w:val="00C400E2"/>
    <w:rsid w:val="00C40147"/>
    <w:rsid w:val="00C40249"/>
    <w:rsid w:val="00C40A28"/>
    <w:rsid w:val="00C413D4"/>
    <w:rsid w:val="00C41A84"/>
    <w:rsid w:val="00C4221D"/>
    <w:rsid w:val="00C42256"/>
    <w:rsid w:val="00C429AB"/>
    <w:rsid w:val="00C431DF"/>
    <w:rsid w:val="00C4369D"/>
    <w:rsid w:val="00C43D99"/>
    <w:rsid w:val="00C44863"/>
    <w:rsid w:val="00C4654A"/>
    <w:rsid w:val="00C46A55"/>
    <w:rsid w:val="00C502A3"/>
    <w:rsid w:val="00C5031E"/>
    <w:rsid w:val="00C50926"/>
    <w:rsid w:val="00C511C7"/>
    <w:rsid w:val="00C52324"/>
    <w:rsid w:val="00C5364B"/>
    <w:rsid w:val="00C53FA6"/>
    <w:rsid w:val="00C54021"/>
    <w:rsid w:val="00C54225"/>
    <w:rsid w:val="00C54FDA"/>
    <w:rsid w:val="00C54FE7"/>
    <w:rsid w:val="00C552A9"/>
    <w:rsid w:val="00C554CF"/>
    <w:rsid w:val="00C55ABE"/>
    <w:rsid w:val="00C60708"/>
    <w:rsid w:val="00C6084F"/>
    <w:rsid w:val="00C62273"/>
    <w:rsid w:val="00C62C95"/>
    <w:rsid w:val="00C63BAF"/>
    <w:rsid w:val="00C63DA5"/>
    <w:rsid w:val="00C648E8"/>
    <w:rsid w:val="00C660CA"/>
    <w:rsid w:val="00C660F0"/>
    <w:rsid w:val="00C67877"/>
    <w:rsid w:val="00C70CCA"/>
    <w:rsid w:val="00C70EA3"/>
    <w:rsid w:val="00C70F06"/>
    <w:rsid w:val="00C714AE"/>
    <w:rsid w:val="00C71E68"/>
    <w:rsid w:val="00C722F2"/>
    <w:rsid w:val="00C73CBD"/>
    <w:rsid w:val="00C73F19"/>
    <w:rsid w:val="00C74161"/>
    <w:rsid w:val="00C74588"/>
    <w:rsid w:val="00C755EE"/>
    <w:rsid w:val="00C75655"/>
    <w:rsid w:val="00C758A6"/>
    <w:rsid w:val="00C77364"/>
    <w:rsid w:val="00C80E3C"/>
    <w:rsid w:val="00C8100A"/>
    <w:rsid w:val="00C814D0"/>
    <w:rsid w:val="00C8175E"/>
    <w:rsid w:val="00C817B2"/>
    <w:rsid w:val="00C82469"/>
    <w:rsid w:val="00C82D40"/>
    <w:rsid w:val="00C82D4E"/>
    <w:rsid w:val="00C82DE5"/>
    <w:rsid w:val="00C83F34"/>
    <w:rsid w:val="00C84009"/>
    <w:rsid w:val="00C8460B"/>
    <w:rsid w:val="00C846AB"/>
    <w:rsid w:val="00C854A2"/>
    <w:rsid w:val="00C85970"/>
    <w:rsid w:val="00C86797"/>
    <w:rsid w:val="00C86849"/>
    <w:rsid w:val="00C868F6"/>
    <w:rsid w:val="00C86946"/>
    <w:rsid w:val="00C86EF0"/>
    <w:rsid w:val="00C875B5"/>
    <w:rsid w:val="00C8780E"/>
    <w:rsid w:val="00C87BE6"/>
    <w:rsid w:val="00C90541"/>
    <w:rsid w:val="00C90E24"/>
    <w:rsid w:val="00C913F1"/>
    <w:rsid w:val="00C918CE"/>
    <w:rsid w:val="00C92441"/>
    <w:rsid w:val="00C932CB"/>
    <w:rsid w:val="00C9341F"/>
    <w:rsid w:val="00C93DB8"/>
    <w:rsid w:val="00C9514E"/>
    <w:rsid w:val="00C95E6D"/>
    <w:rsid w:val="00C96B72"/>
    <w:rsid w:val="00C9744B"/>
    <w:rsid w:val="00C9780D"/>
    <w:rsid w:val="00C97AAE"/>
    <w:rsid w:val="00C97EBB"/>
    <w:rsid w:val="00CA08AF"/>
    <w:rsid w:val="00CA1503"/>
    <w:rsid w:val="00CA23D1"/>
    <w:rsid w:val="00CA32CD"/>
    <w:rsid w:val="00CA38CC"/>
    <w:rsid w:val="00CA3A35"/>
    <w:rsid w:val="00CA3AE8"/>
    <w:rsid w:val="00CA40B4"/>
    <w:rsid w:val="00CA4BCB"/>
    <w:rsid w:val="00CA4CF7"/>
    <w:rsid w:val="00CA5464"/>
    <w:rsid w:val="00CA548D"/>
    <w:rsid w:val="00CA5768"/>
    <w:rsid w:val="00CA5DBB"/>
    <w:rsid w:val="00CA6691"/>
    <w:rsid w:val="00CA721A"/>
    <w:rsid w:val="00CA76B8"/>
    <w:rsid w:val="00CA7BA6"/>
    <w:rsid w:val="00CB0338"/>
    <w:rsid w:val="00CB08DE"/>
    <w:rsid w:val="00CB152F"/>
    <w:rsid w:val="00CB2A92"/>
    <w:rsid w:val="00CB2A96"/>
    <w:rsid w:val="00CB4144"/>
    <w:rsid w:val="00CB41FE"/>
    <w:rsid w:val="00CB5405"/>
    <w:rsid w:val="00CB56F9"/>
    <w:rsid w:val="00CB5754"/>
    <w:rsid w:val="00CB5920"/>
    <w:rsid w:val="00CB59F3"/>
    <w:rsid w:val="00CB61B6"/>
    <w:rsid w:val="00CB641E"/>
    <w:rsid w:val="00CB7302"/>
    <w:rsid w:val="00CC0530"/>
    <w:rsid w:val="00CC06AD"/>
    <w:rsid w:val="00CC1199"/>
    <w:rsid w:val="00CC1A94"/>
    <w:rsid w:val="00CC20DE"/>
    <w:rsid w:val="00CC2D84"/>
    <w:rsid w:val="00CC32C5"/>
    <w:rsid w:val="00CC3607"/>
    <w:rsid w:val="00CC409B"/>
    <w:rsid w:val="00CC4B64"/>
    <w:rsid w:val="00CC52AB"/>
    <w:rsid w:val="00CC5662"/>
    <w:rsid w:val="00CC6EF0"/>
    <w:rsid w:val="00CC75DC"/>
    <w:rsid w:val="00CC7AA2"/>
    <w:rsid w:val="00CD0068"/>
    <w:rsid w:val="00CD0C7E"/>
    <w:rsid w:val="00CD138D"/>
    <w:rsid w:val="00CD1A02"/>
    <w:rsid w:val="00CD1B82"/>
    <w:rsid w:val="00CD2AA2"/>
    <w:rsid w:val="00CD2AFF"/>
    <w:rsid w:val="00CD2B4F"/>
    <w:rsid w:val="00CD4578"/>
    <w:rsid w:val="00CD4628"/>
    <w:rsid w:val="00CD4673"/>
    <w:rsid w:val="00CD4813"/>
    <w:rsid w:val="00CD5089"/>
    <w:rsid w:val="00CD5EBD"/>
    <w:rsid w:val="00CD6C8D"/>
    <w:rsid w:val="00CD76EC"/>
    <w:rsid w:val="00CD79CA"/>
    <w:rsid w:val="00CD7A02"/>
    <w:rsid w:val="00CD7FEF"/>
    <w:rsid w:val="00CE01CF"/>
    <w:rsid w:val="00CE03C3"/>
    <w:rsid w:val="00CE04DB"/>
    <w:rsid w:val="00CE0BC7"/>
    <w:rsid w:val="00CE12F0"/>
    <w:rsid w:val="00CE1D2D"/>
    <w:rsid w:val="00CE2CD0"/>
    <w:rsid w:val="00CE2FF4"/>
    <w:rsid w:val="00CE335D"/>
    <w:rsid w:val="00CE3387"/>
    <w:rsid w:val="00CE3ED8"/>
    <w:rsid w:val="00CE4193"/>
    <w:rsid w:val="00CE4287"/>
    <w:rsid w:val="00CE4773"/>
    <w:rsid w:val="00CE4F96"/>
    <w:rsid w:val="00CE52E2"/>
    <w:rsid w:val="00CE567D"/>
    <w:rsid w:val="00CE6D8D"/>
    <w:rsid w:val="00CE716E"/>
    <w:rsid w:val="00CE7944"/>
    <w:rsid w:val="00CF05D0"/>
    <w:rsid w:val="00CF05E2"/>
    <w:rsid w:val="00CF0834"/>
    <w:rsid w:val="00CF0B9E"/>
    <w:rsid w:val="00CF0FD7"/>
    <w:rsid w:val="00CF23E2"/>
    <w:rsid w:val="00CF2473"/>
    <w:rsid w:val="00CF257A"/>
    <w:rsid w:val="00CF2DE7"/>
    <w:rsid w:val="00CF3FF6"/>
    <w:rsid w:val="00CF4A94"/>
    <w:rsid w:val="00CF5494"/>
    <w:rsid w:val="00CF5B47"/>
    <w:rsid w:val="00CF5F87"/>
    <w:rsid w:val="00CF65C2"/>
    <w:rsid w:val="00CF6B15"/>
    <w:rsid w:val="00CF6EA7"/>
    <w:rsid w:val="00CF7B08"/>
    <w:rsid w:val="00D00117"/>
    <w:rsid w:val="00D0073E"/>
    <w:rsid w:val="00D007D1"/>
    <w:rsid w:val="00D00904"/>
    <w:rsid w:val="00D01483"/>
    <w:rsid w:val="00D0161C"/>
    <w:rsid w:val="00D0167E"/>
    <w:rsid w:val="00D01690"/>
    <w:rsid w:val="00D02868"/>
    <w:rsid w:val="00D02B2D"/>
    <w:rsid w:val="00D02C08"/>
    <w:rsid w:val="00D0332E"/>
    <w:rsid w:val="00D05B23"/>
    <w:rsid w:val="00D05F28"/>
    <w:rsid w:val="00D063BE"/>
    <w:rsid w:val="00D07252"/>
    <w:rsid w:val="00D1013C"/>
    <w:rsid w:val="00D1088A"/>
    <w:rsid w:val="00D12387"/>
    <w:rsid w:val="00D133D4"/>
    <w:rsid w:val="00D13705"/>
    <w:rsid w:val="00D144C9"/>
    <w:rsid w:val="00D149E1"/>
    <w:rsid w:val="00D15068"/>
    <w:rsid w:val="00D150F7"/>
    <w:rsid w:val="00D16008"/>
    <w:rsid w:val="00D1610D"/>
    <w:rsid w:val="00D16404"/>
    <w:rsid w:val="00D16451"/>
    <w:rsid w:val="00D1661B"/>
    <w:rsid w:val="00D16802"/>
    <w:rsid w:val="00D16E69"/>
    <w:rsid w:val="00D17678"/>
    <w:rsid w:val="00D17B6C"/>
    <w:rsid w:val="00D17D09"/>
    <w:rsid w:val="00D20F80"/>
    <w:rsid w:val="00D226B2"/>
    <w:rsid w:val="00D227C5"/>
    <w:rsid w:val="00D22C75"/>
    <w:rsid w:val="00D23CBC"/>
    <w:rsid w:val="00D23F43"/>
    <w:rsid w:val="00D2455F"/>
    <w:rsid w:val="00D2458A"/>
    <w:rsid w:val="00D246E8"/>
    <w:rsid w:val="00D24A23"/>
    <w:rsid w:val="00D25696"/>
    <w:rsid w:val="00D25CD4"/>
    <w:rsid w:val="00D261C8"/>
    <w:rsid w:val="00D261F9"/>
    <w:rsid w:val="00D26482"/>
    <w:rsid w:val="00D2686E"/>
    <w:rsid w:val="00D27972"/>
    <w:rsid w:val="00D27A35"/>
    <w:rsid w:val="00D3017E"/>
    <w:rsid w:val="00D309AB"/>
    <w:rsid w:val="00D318D2"/>
    <w:rsid w:val="00D31AAA"/>
    <w:rsid w:val="00D31B47"/>
    <w:rsid w:val="00D32A61"/>
    <w:rsid w:val="00D32ACB"/>
    <w:rsid w:val="00D335BC"/>
    <w:rsid w:val="00D3381C"/>
    <w:rsid w:val="00D33C33"/>
    <w:rsid w:val="00D33D87"/>
    <w:rsid w:val="00D34505"/>
    <w:rsid w:val="00D345D5"/>
    <w:rsid w:val="00D359A7"/>
    <w:rsid w:val="00D36553"/>
    <w:rsid w:val="00D36C2B"/>
    <w:rsid w:val="00D36D89"/>
    <w:rsid w:val="00D36E3A"/>
    <w:rsid w:val="00D37710"/>
    <w:rsid w:val="00D37AF2"/>
    <w:rsid w:val="00D37EDC"/>
    <w:rsid w:val="00D37FDF"/>
    <w:rsid w:val="00D4008B"/>
    <w:rsid w:val="00D4069D"/>
    <w:rsid w:val="00D40FE1"/>
    <w:rsid w:val="00D41500"/>
    <w:rsid w:val="00D41B2E"/>
    <w:rsid w:val="00D42541"/>
    <w:rsid w:val="00D426F5"/>
    <w:rsid w:val="00D42978"/>
    <w:rsid w:val="00D42DAD"/>
    <w:rsid w:val="00D437C2"/>
    <w:rsid w:val="00D439A4"/>
    <w:rsid w:val="00D43A24"/>
    <w:rsid w:val="00D43AFC"/>
    <w:rsid w:val="00D44080"/>
    <w:rsid w:val="00D44ACE"/>
    <w:rsid w:val="00D450E6"/>
    <w:rsid w:val="00D4564C"/>
    <w:rsid w:val="00D4599A"/>
    <w:rsid w:val="00D473F7"/>
    <w:rsid w:val="00D47468"/>
    <w:rsid w:val="00D478A5"/>
    <w:rsid w:val="00D47F6E"/>
    <w:rsid w:val="00D5054C"/>
    <w:rsid w:val="00D5204F"/>
    <w:rsid w:val="00D52F37"/>
    <w:rsid w:val="00D53460"/>
    <w:rsid w:val="00D53658"/>
    <w:rsid w:val="00D5449E"/>
    <w:rsid w:val="00D54581"/>
    <w:rsid w:val="00D5640A"/>
    <w:rsid w:val="00D60232"/>
    <w:rsid w:val="00D61F24"/>
    <w:rsid w:val="00D63828"/>
    <w:rsid w:val="00D64815"/>
    <w:rsid w:val="00D64BE4"/>
    <w:rsid w:val="00D656F5"/>
    <w:rsid w:val="00D657AC"/>
    <w:rsid w:val="00D65F88"/>
    <w:rsid w:val="00D67449"/>
    <w:rsid w:val="00D67708"/>
    <w:rsid w:val="00D67B3F"/>
    <w:rsid w:val="00D70163"/>
    <w:rsid w:val="00D705D7"/>
    <w:rsid w:val="00D722DF"/>
    <w:rsid w:val="00D74C8F"/>
    <w:rsid w:val="00D751AC"/>
    <w:rsid w:val="00D76057"/>
    <w:rsid w:val="00D76AA8"/>
    <w:rsid w:val="00D76C3F"/>
    <w:rsid w:val="00D76DE9"/>
    <w:rsid w:val="00D7720E"/>
    <w:rsid w:val="00D77439"/>
    <w:rsid w:val="00D776F3"/>
    <w:rsid w:val="00D77C9E"/>
    <w:rsid w:val="00D80A6D"/>
    <w:rsid w:val="00D82375"/>
    <w:rsid w:val="00D823BC"/>
    <w:rsid w:val="00D82E2E"/>
    <w:rsid w:val="00D83188"/>
    <w:rsid w:val="00D838DC"/>
    <w:rsid w:val="00D83F6D"/>
    <w:rsid w:val="00D83F8C"/>
    <w:rsid w:val="00D84EF1"/>
    <w:rsid w:val="00D84F1D"/>
    <w:rsid w:val="00D8506A"/>
    <w:rsid w:val="00D856B7"/>
    <w:rsid w:val="00D85793"/>
    <w:rsid w:val="00D8620D"/>
    <w:rsid w:val="00D8621B"/>
    <w:rsid w:val="00D8699F"/>
    <w:rsid w:val="00D86E47"/>
    <w:rsid w:val="00D87F4B"/>
    <w:rsid w:val="00D90AD6"/>
    <w:rsid w:val="00D91BC3"/>
    <w:rsid w:val="00D928F2"/>
    <w:rsid w:val="00D94003"/>
    <w:rsid w:val="00D9448A"/>
    <w:rsid w:val="00D944E6"/>
    <w:rsid w:val="00D94D2F"/>
    <w:rsid w:val="00D95669"/>
    <w:rsid w:val="00D95937"/>
    <w:rsid w:val="00D96501"/>
    <w:rsid w:val="00D96EE5"/>
    <w:rsid w:val="00DA009C"/>
    <w:rsid w:val="00DA06B5"/>
    <w:rsid w:val="00DA0CA5"/>
    <w:rsid w:val="00DA0CEC"/>
    <w:rsid w:val="00DA2267"/>
    <w:rsid w:val="00DA2469"/>
    <w:rsid w:val="00DA29C3"/>
    <w:rsid w:val="00DA3BB2"/>
    <w:rsid w:val="00DA4BA9"/>
    <w:rsid w:val="00DA4E35"/>
    <w:rsid w:val="00DA5F60"/>
    <w:rsid w:val="00DA6A1D"/>
    <w:rsid w:val="00DA6A67"/>
    <w:rsid w:val="00DA77A2"/>
    <w:rsid w:val="00DB037E"/>
    <w:rsid w:val="00DB1424"/>
    <w:rsid w:val="00DB150F"/>
    <w:rsid w:val="00DB16AC"/>
    <w:rsid w:val="00DB16FB"/>
    <w:rsid w:val="00DB1712"/>
    <w:rsid w:val="00DB2339"/>
    <w:rsid w:val="00DB2822"/>
    <w:rsid w:val="00DB2BCE"/>
    <w:rsid w:val="00DB47B5"/>
    <w:rsid w:val="00DB47E8"/>
    <w:rsid w:val="00DB74D3"/>
    <w:rsid w:val="00DB7904"/>
    <w:rsid w:val="00DB7A39"/>
    <w:rsid w:val="00DC15C6"/>
    <w:rsid w:val="00DC189D"/>
    <w:rsid w:val="00DC1C83"/>
    <w:rsid w:val="00DC3A1C"/>
    <w:rsid w:val="00DC42B6"/>
    <w:rsid w:val="00DC4E27"/>
    <w:rsid w:val="00DC508E"/>
    <w:rsid w:val="00DC5790"/>
    <w:rsid w:val="00DC5C32"/>
    <w:rsid w:val="00DC5D22"/>
    <w:rsid w:val="00DC5E47"/>
    <w:rsid w:val="00DC6765"/>
    <w:rsid w:val="00DC6D19"/>
    <w:rsid w:val="00DC6D31"/>
    <w:rsid w:val="00DC7682"/>
    <w:rsid w:val="00DD0E70"/>
    <w:rsid w:val="00DD142C"/>
    <w:rsid w:val="00DD1A90"/>
    <w:rsid w:val="00DD1A99"/>
    <w:rsid w:val="00DD1B92"/>
    <w:rsid w:val="00DD1DD9"/>
    <w:rsid w:val="00DD22A6"/>
    <w:rsid w:val="00DD3E7F"/>
    <w:rsid w:val="00DD45D2"/>
    <w:rsid w:val="00DD4F74"/>
    <w:rsid w:val="00DD5098"/>
    <w:rsid w:val="00DD52B4"/>
    <w:rsid w:val="00DD5618"/>
    <w:rsid w:val="00DD5AA5"/>
    <w:rsid w:val="00DD5BDE"/>
    <w:rsid w:val="00DD5DEE"/>
    <w:rsid w:val="00DD63B0"/>
    <w:rsid w:val="00DD6669"/>
    <w:rsid w:val="00DD673D"/>
    <w:rsid w:val="00DD6EBB"/>
    <w:rsid w:val="00DD70E1"/>
    <w:rsid w:val="00DD7D7D"/>
    <w:rsid w:val="00DE003B"/>
    <w:rsid w:val="00DE0ECF"/>
    <w:rsid w:val="00DE1703"/>
    <w:rsid w:val="00DE19ED"/>
    <w:rsid w:val="00DE27FB"/>
    <w:rsid w:val="00DE30AE"/>
    <w:rsid w:val="00DE36C6"/>
    <w:rsid w:val="00DE3DE3"/>
    <w:rsid w:val="00DE45A7"/>
    <w:rsid w:val="00DE4E62"/>
    <w:rsid w:val="00DE4F88"/>
    <w:rsid w:val="00DE5384"/>
    <w:rsid w:val="00DE6207"/>
    <w:rsid w:val="00DE76C4"/>
    <w:rsid w:val="00DE7EA4"/>
    <w:rsid w:val="00DF064D"/>
    <w:rsid w:val="00DF115A"/>
    <w:rsid w:val="00DF152A"/>
    <w:rsid w:val="00DF1708"/>
    <w:rsid w:val="00DF2325"/>
    <w:rsid w:val="00DF2DF8"/>
    <w:rsid w:val="00DF33BB"/>
    <w:rsid w:val="00DF43AB"/>
    <w:rsid w:val="00DF49B6"/>
    <w:rsid w:val="00DF51D1"/>
    <w:rsid w:val="00DF5AA4"/>
    <w:rsid w:val="00DF5C9C"/>
    <w:rsid w:val="00DF5DC2"/>
    <w:rsid w:val="00DF68A3"/>
    <w:rsid w:val="00DF6D57"/>
    <w:rsid w:val="00DF7147"/>
    <w:rsid w:val="00DF7180"/>
    <w:rsid w:val="00DF748E"/>
    <w:rsid w:val="00DF74D6"/>
    <w:rsid w:val="00E007A7"/>
    <w:rsid w:val="00E0133C"/>
    <w:rsid w:val="00E01B1A"/>
    <w:rsid w:val="00E02171"/>
    <w:rsid w:val="00E025C5"/>
    <w:rsid w:val="00E02D9B"/>
    <w:rsid w:val="00E03327"/>
    <w:rsid w:val="00E03C40"/>
    <w:rsid w:val="00E04E4E"/>
    <w:rsid w:val="00E0735A"/>
    <w:rsid w:val="00E07E50"/>
    <w:rsid w:val="00E108BB"/>
    <w:rsid w:val="00E10C2D"/>
    <w:rsid w:val="00E10CC7"/>
    <w:rsid w:val="00E11A3C"/>
    <w:rsid w:val="00E1225D"/>
    <w:rsid w:val="00E12B2C"/>
    <w:rsid w:val="00E12BEC"/>
    <w:rsid w:val="00E13F26"/>
    <w:rsid w:val="00E140B6"/>
    <w:rsid w:val="00E14372"/>
    <w:rsid w:val="00E143EC"/>
    <w:rsid w:val="00E152F6"/>
    <w:rsid w:val="00E15DBA"/>
    <w:rsid w:val="00E16F39"/>
    <w:rsid w:val="00E17B4B"/>
    <w:rsid w:val="00E20740"/>
    <w:rsid w:val="00E208D7"/>
    <w:rsid w:val="00E20CDA"/>
    <w:rsid w:val="00E22040"/>
    <w:rsid w:val="00E22BC7"/>
    <w:rsid w:val="00E23500"/>
    <w:rsid w:val="00E25063"/>
    <w:rsid w:val="00E25173"/>
    <w:rsid w:val="00E255A4"/>
    <w:rsid w:val="00E25D94"/>
    <w:rsid w:val="00E26AD1"/>
    <w:rsid w:val="00E26D46"/>
    <w:rsid w:val="00E303CA"/>
    <w:rsid w:val="00E305A6"/>
    <w:rsid w:val="00E311D5"/>
    <w:rsid w:val="00E318FD"/>
    <w:rsid w:val="00E31B60"/>
    <w:rsid w:val="00E31BCA"/>
    <w:rsid w:val="00E31CBD"/>
    <w:rsid w:val="00E325F6"/>
    <w:rsid w:val="00E3263C"/>
    <w:rsid w:val="00E32794"/>
    <w:rsid w:val="00E32CDC"/>
    <w:rsid w:val="00E330C8"/>
    <w:rsid w:val="00E33CAA"/>
    <w:rsid w:val="00E34503"/>
    <w:rsid w:val="00E34877"/>
    <w:rsid w:val="00E34CC3"/>
    <w:rsid w:val="00E350CD"/>
    <w:rsid w:val="00E351B1"/>
    <w:rsid w:val="00E35D75"/>
    <w:rsid w:val="00E36896"/>
    <w:rsid w:val="00E371A5"/>
    <w:rsid w:val="00E37781"/>
    <w:rsid w:val="00E37C45"/>
    <w:rsid w:val="00E37DBF"/>
    <w:rsid w:val="00E40D8B"/>
    <w:rsid w:val="00E410E7"/>
    <w:rsid w:val="00E41587"/>
    <w:rsid w:val="00E41D9E"/>
    <w:rsid w:val="00E42497"/>
    <w:rsid w:val="00E4252C"/>
    <w:rsid w:val="00E433CF"/>
    <w:rsid w:val="00E43713"/>
    <w:rsid w:val="00E4578C"/>
    <w:rsid w:val="00E45A7F"/>
    <w:rsid w:val="00E45BAC"/>
    <w:rsid w:val="00E45FFD"/>
    <w:rsid w:val="00E477BA"/>
    <w:rsid w:val="00E477DD"/>
    <w:rsid w:val="00E47D81"/>
    <w:rsid w:val="00E47F12"/>
    <w:rsid w:val="00E500B0"/>
    <w:rsid w:val="00E5071C"/>
    <w:rsid w:val="00E50823"/>
    <w:rsid w:val="00E509AF"/>
    <w:rsid w:val="00E50CB0"/>
    <w:rsid w:val="00E51183"/>
    <w:rsid w:val="00E514F0"/>
    <w:rsid w:val="00E52C6C"/>
    <w:rsid w:val="00E537CB"/>
    <w:rsid w:val="00E538C7"/>
    <w:rsid w:val="00E54239"/>
    <w:rsid w:val="00E545EB"/>
    <w:rsid w:val="00E54676"/>
    <w:rsid w:val="00E5513D"/>
    <w:rsid w:val="00E55360"/>
    <w:rsid w:val="00E561F4"/>
    <w:rsid w:val="00E564BF"/>
    <w:rsid w:val="00E5770A"/>
    <w:rsid w:val="00E57962"/>
    <w:rsid w:val="00E579DA"/>
    <w:rsid w:val="00E57A7D"/>
    <w:rsid w:val="00E57B9D"/>
    <w:rsid w:val="00E600D8"/>
    <w:rsid w:val="00E609CA"/>
    <w:rsid w:val="00E617B8"/>
    <w:rsid w:val="00E619D8"/>
    <w:rsid w:val="00E61D18"/>
    <w:rsid w:val="00E623D1"/>
    <w:rsid w:val="00E62783"/>
    <w:rsid w:val="00E62ABE"/>
    <w:rsid w:val="00E631D8"/>
    <w:rsid w:val="00E63A57"/>
    <w:rsid w:val="00E657CB"/>
    <w:rsid w:val="00E705B5"/>
    <w:rsid w:val="00E705B7"/>
    <w:rsid w:val="00E70804"/>
    <w:rsid w:val="00E70DFA"/>
    <w:rsid w:val="00E71364"/>
    <w:rsid w:val="00E71C15"/>
    <w:rsid w:val="00E73BFD"/>
    <w:rsid w:val="00E73F9E"/>
    <w:rsid w:val="00E7445E"/>
    <w:rsid w:val="00E74775"/>
    <w:rsid w:val="00E74B57"/>
    <w:rsid w:val="00E74D66"/>
    <w:rsid w:val="00E74D9C"/>
    <w:rsid w:val="00E75C4E"/>
    <w:rsid w:val="00E75EA2"/>
    <w:rsid w:val="00E768C9"/>
    <w:rsid w:val="00E76912"/>
    <w:rsid w:val="00E76CE3"/>
    <w:rsid w:val="00E77CEA"/>
    <w:rsid w:val="00E77DB7"/>
    <w:rsid w:val="00E77F7F"/>
    <w:rsid w:val="00E77F97"/>
    <w:rsid w:val="00E77FDC"/>
    <w:rsid w:val="00E80EAA"/>
    <w:rsid w:val="00E815C2"/>
    <w:rsid w:val="00E8174C"/>
    <w:rsid w:val="00E81EB1"/>
    <w:rsid w:val="00E82A73"/>
    <w:rsid w:val="00E83B58"/>
    <w:rsid w:val="00E83D30"/>
    <w:rsid w:val="00E8417E"/>
    <w:rsid w:val="00E844F3"/>
    <w:rsid w:val="00E847DA"/>
    <w:rsid w:val="00E8480D"/>
    <w:rsid w:val="00E85560"/>
    <w:rsid w:val="00E866DA"/>
    <w:rsid w:val="00E86C35"/>
    <w:rsid w:val="00E87457"/>
    <w:rsid w:val="00E87BB6"/>
    <w:rsid w:val="00E90F9E"/>
    <w:rsid w:val="00E915FA"/>
    <w:rsid w:val="00E91A5A"/>
    <w:rsid w:val="00E932ED"/>
    <w:rsid w:val="00E93359"/>
    <w:rsid w:val="00E937E3"/>
    <w:rsid w:val="00E9389A"/>
    <w:rsid w:val="00E94BE1"/>
    <w:rsid w:val="00E95821"/>
    <w:rsid w:val="00E95E66"/>
    <w:rsid w:val="00E96817"/>
    <w:rsid w:val="00E96D15"/>
    <w:rsid w:val="00E97217"/>
    <w:rsid w:val="00E97885"/>
    <w:rsid w:val="00EA0FF7"/>
    <w:rsid w:val="00EA1731"/>
    <w:rsid w:val="00EA1E6F"/>
    <w:rsid w:val="00EA20C7"/>
    <w:rsid w:val="00EA2164"/>
    <w:rsid w:val="00EA2365"/>
    <w:rsid w:val="00EA2A93"/>
    <w:rsid w:val="00EA2EE4"/>
    <w:rsid w:val="00EA3A87"/>
    <w:rsid w:val="00EA5019"/>
    <w:rsid w:val="00EA50B3"/>
    <w:rsid w:val="00EA5870"/>
    <w:rsid w:val="00EA5E3B"/>
    <w:rsid w:val="00EA62CC"/>
    <w:rsid w:val="00EA6548"/>
    <w:rsid w:val="00EA6929"/>
    <w:rsid w:val="00EA6F69"/>
    <w:rsid w:val="00EA730E"/>
    <w:rsid w:val="00EA772C"/>
    <w:rsid w:val="00EB055B"/>
    <w:rsid w:val="00EB313E"/>
    <w:rsid w:val="00EB3F90"/>
    <w:rsid w:val="00EB4CF3"/>
    <w:rsid w:val="00EB4EF9"/>
    <w:rsid w:val="00EB5218"/>
    <w:rsid w:val="00EB5773"/>
    <w:rsid w:val="00EB6139"/>
    <w:rsid w:val="00EB713A"/>
    <w:rsid w:val="00EC1212"/>
    <w:rsid w:val="00EC1A74"/>
    <w:rsid w:val="00EC1D3D"/>
    <w:rsid w:val="00EC2404"/>
    <w:rsid w:val="00EC2517"/>
    <w:rsid w:val="00EC26BC"/>
    <w:rsid w:val="00EC2E27"/>
    <w:rsid w:val="00EC40F6"/>
    <w:rsid w:val="00EC415F"/>
    <w:rsid w:val="00EC421D"/>
    <w:rsid w:val="00EC448B"/>
    <w:rsid w:val="00EC4539"/>
    <w:rsid w:val="00EC48D7"/>
    <w:rsid w:val="00EC4922"/>
    <w:rsid w:val="00EC498A"/>
    <w:rsid w:val="00EC4DF2"/>
    <w:rsid w:val="00EC4F69"/>
    <w:rsid w:val="00EC5BD5"/>
    <w:rsid w:val="00EC714A"/>
    <w:rsid w:val="00EC7A4E"/>
    <w:rsid w:val="00EC7E67"/>
    <w:rsid w:val="00EC7F85"/>
    <w:rsid w:val="00ED03C3"/>
    <w:rsid w:val="00ED083A"/>
    <w:rsid w:val="00ED0A2B"/>
    <w:rsid w:val="00ED1CC4"/>
    <w:rsid w:val="00ED1FED"/>
    <w:rsid w:val="00ED20E2"/>
    <w:rsid w:val="00ED2111"/>
    <w:rsid w:val="00ED29BC"/>
    <w:rsid w:val="00ED36E4"/>
    <w:rsid w:val="00ED4104"/>
    <w:rsid w:val="00ED468F"/>
    <w:rsid w:val="00ED53A1"/>
    <w:rsid w:val="00ED60F8"/>
    <w:rsid w:val="00ED65B0"/>
    <w:rsid w:val="00ED6711"/>
    <w:rsid w:val="00ED7B6B"/>
    <w:rsid w:val="00EE09B8"/>
    <w:rsid w:val="00EE0B3E"/>
    <w:rsid w:val="00EE14D2"/>
    <w:rsid w:val="00EE1664"/>
    <w:rsid w:val="00EE36E5"/>
    <w:rsid w:val="00EE36EB"/>
    <w:rsid w:val="00EE3E62"/>
    <w:rsid w:val="00EE40FF"/>
    <w:rsid w:val="00EE45D3"/>
    <w:rsid w:val="00EE6345"/>
    <w:rsid w:val="00EE72FA"/>
    <w:rsid w:val="00EE7728"/>
    <w:rsid w:val="00EE7898"/>
    <w:rsid w:val="00EE7CCD"/>
    <w:rsid w:val="00EF0406"/>
    <w:rsid w:val="00EF2BD2"/>
    <w:rsid w:val="00EF2D02"/>
    <w:rsid w:val="00EF359D"/>
    <w:rsid w:val="00EF4E8E"/>
    <w:rsid w:val="00EF5D43"/>
    <w:rsid w:val="00EF64F0"/>
    <w:rsid w:val="00EF70A9"/>
    <w:rsid w:val="00EF7251"/>
    <w:rsid w:val="00EF7C75"/>
    <w:rsid w:val="00F00E44"/>
    <w:rsid w:val="00F01526"/>
    <w:rsid w:val="00F019DD"/>
    <w:rsid w:val="00F01C4C"/>
    <w:rsid w:val="00F02BEE"/>
    <w:rsid w:val="00F031C7"/>
    <w:rsid w:val="00F03DF6"/>
    <w:rsid w:val="00F0406A"/>
    <w:rsid w:val="00F047AC"/>
    <w:rsid w:val="00F04BA9"/>
    <w:rsid w:val="00F059CA"/>
    <w:rsid w:val="00F060A2"/>
    <w:rsid w:val="00F0678F"/>
    <w:rsid w:val="00F06DF8"/>
    <w:rsid w:val="00F07210"/>
    <w:rsid w:val="00F1010C"/>
    <w:rsid w:val="00F10202"/>
    <w:rsid w:val="00F10E63"/>
    <w:rsid w:val="00F114A8"/>
    <w:rsid w:val="00F11A02"/>
    <w:rsid w:val="00F11EF3"/>
    <w:rsid w:val="00F128DE"/>
    <w:rsid w:val="00F12FA9"/>
    <w:rsid w:val="00F13036"/>
    <w:rsid w:val="00F1401D"/>
    <w:rsid w:val="00F15DBB"/>
    <w:rsid w:val="00F16154"/>
    <w:rsid w:val="00F16310"/>
    <w:rsid w:val="00F1661C"/>
    <w:rsid w:val="00F166B9"/>
    <w:rsid w:val="00F16714"/>
    <w:rsid w:val="00F16F50"/>
    <w:rsid w:val="00F170A0"/>
    <w:rsid w:val="00F20E28"/>
    <w:rsid w:val="00F21621"/>
    <w:rsid w:val="00F218A5"/>
    <w:rsid w:val="00F21EBC"/>
    <w:rsid w:val="00F22C46"/>
    <w:rsid w:val="00F22E39"/>
    <w:rsid w:val="00F2328E"/>
    <w:rsid w:val="00F233BA"/>
    <w:rsid w:val="00F23407"/>
    <w:rsid w:val="00F23829"/>
    <w:rsid w:val="00F23A29"/>
    <w:rsid w:val="00F23A41"/>
    <w:rsid w:val="00F23C64"/>
    <w:rsid w:val="00F244A8"/>
    <w:rsid w:val="00F244F8"/>
    <w:rsid w:val="00F24C01"/>
    <w:rsid w:val="00F24D75"/>
    <w:rsid w:val="00F25285"/>
    <w:rsid w:val="00F261E3"/>
    <w:rsid w:val="00F262C6"/>
    <w:rsid w:val="00F27245"/>
    <w:rsid w:val="00F27D82"/>
    <w:rsid w:val="00F300C7"/>
    <w:rsid w:val="00F301DE"/>
    <w:rsid w:val="00F3028A"/>
    <w:rsid w:val="00F30FB1"/>
    <w:rsid w:val="00F31917"/>
    <w:rsid w:val="00F31FEC"/>
    <w:rsid w:val="00F325CB"/>
    <w:rsid w:val="00F32606"/>
    <w:rsid w:val="00F332D1"/>
    <w:rsid w:val="00F333D8"/>
    <w:rsid w:val="00F335E7"/>
    <w:rsid w:val="00F34063"/>
    <w:rsid w:val="00F34A10"/>
    <w:rsid w:val="00F34F33"/>
    <w:rsid w:val="00F352DD"/>
    <w:rsid w:val="00F35BAB"/>
    <w:rsid w:val="00F36C8D"/>
    <w:rsid w:val="00F37261"/>
    <w:rsid w:val="00F40573"/>
    <w:rsid w:val="00F40737"/>
    <w:rsid w:val="00F41400"/>
    <w:rsid w:val="00F4157C"/>
    <w:rsid w:val="00F420DE"/>
    <w:rsid w:val="00F4227B"/>
    <w:rsid w:val="00F42436"/>
    <w:rsid w:val="00F4244A"/>
    <w:rsid w:val="00F427D1"/>
    <w:rsid w:val="00F42ADB"/>
    <w:rsid w:val="00F4329E"/>
    <w:rsid w:val="00F44D9B"/>
    <w:rsid w:val="00F459D8"/>
    <w:rsid w:val="00F45F49"/>
    <w:rsid w:val="00F461A6"/>
    <w:rsid w:val="00F46EF7"/>
    <w:rsid w:val="00F505E6"/>
    <w:rsid w:val="00F51A31"/>
    <w:rsid w:val="00F51EC8"/>
    <w:rsid w:val="00F5203B"/>
    <w:rsid w:val="00F524CF"/>
    <w:rsid w:val="00F52A7A"/>
    <w:rsid w:val="00F55656"/>
    <w:rsid w:val="00F56608"/>
    <w:rsid w:val="00F57211"/>
    <w:rsid w:val="00F57355"/>
    <w:rsid w:val="00F60223"/>
    <w:rsid w:val="00F60DA0"/>
    <w:rsid w:val="00F610A8"/>
    <w:rsid w:val="00F61411"/>
    <w:rsid w:val="00F6142C"/>
    <w:rsid w:val="00F61452"/>
    <w:rsid w:val="00F61D56"/>
    <w:rsid w:val="00F6234C"/>
    <w:rsid w:val="00F643FB"/>
    <w:rsid w:val="00F64A23"/>
    <w:rsid w:val="00F654F4"/>
    <w:rsid w:val="00F6551C"/>
    <w:rsid w:val="00F65876"/>
    <w:rsid w:val="00F659E9"/>
    <w:rsid w:val="00F662F3"/>
    <w:rsid w:val="00F667C1"/>
    <w:rsid w:val="00F672F1"/>
    <w:rsid w:val="00F67415"/>
    <w:rsid w:val="00F67442"/>
    <w:rsid w:val="00F704A4"/>
    <w:rsid w:val="00F70E58"/>
    <w:rsid w:val="00F70F3A"/>
    <w:rsid w:val="00F7217C"/>
    <w:rsid w:val="00F72730"/>
    <w:rsid w:val="00F729E6"/>
    <w:rsid w:val="00F730DD"/>
    <w:rsid w:val="00F740FB"/>
    <w:rsid w:val="00F7440F"/>
    <w:rsid w:val="00F75B73"/>
    <w:rsid w:val="00F77E88"/>
    <w:rsid w:val="00F8040A"/>
    <w:rsid w:val="00F80C70"/>
    <w:rsid w:val="00F81647"/>
    <w:rsid w:val="00F81DE4"/>
    <w:rsid w:val="00F81DFF"/>
    <w:rsid w:val="00F821C6"/>
    <w:rsid w:val="00F821E0"/>
    <w:rsid w:val="00F824C9"/>
    <w:rsid w:val="00F831E3"/>
    <w:rsid w:val="00F8320E"/>
    <w:rsid w:val="00F84124"/>
    <w:rsid w:val="00F8546B"/>
    <w:rsid w:val="00F862D6"/>
    <w:rsid w:val="00F8667F"/>
    <w:rsid w:val="00F86882"/>
    <w:rsid w:val="00F8707C"/>
    <w:rsid w:val="00F872EF"/>
    <w:rsid w:val="00F9023D"/>
    <w:rsid w:val="00F915F7"/>
    <w:rsid w:val="00F91F57"/>
    <w:rsid w:val="00F92F8A"/>
    <w:rsid w:val="00F941BE"/>
    <w:rsid w:val="00F943D6"/>
    <w:rsid w:val="00F94670"/>
    <w:rsid w:val="00F94A11"/>
    <w:rsid w:val="00F94E1B"/>
    <w:rsid w:val="00F95BEA"/>
    <w:rsid w:val="00F95CA4"/>
    <w:rsid w:val="00F9615B"/>
    <w:rsid w:val="00F969D4"/>
    <w:rsid w:val="00F96E76"/>
    <w:rsid w:val="00F96EDF"/>
    <w:rsid w:val="00F97464"/>
    <w:rsid w:val="00F97E2E"/>
    <w:rsid w:val="00FA1A82"/>
    <w:rsid w:val="00FA1D37"/>
    <w:rsid w:val="00FA1FAE"/>
    <w:rsid w:val="00FA2E78"/>
    <w:rsid w:val="00FA3958"/>
    <w:rsid w:val="00FA3B76"/>
    <w:rsid w:val="00FA3CC1"/>
    <w:rsid w:val="00FA3ECA"/>
    <w:rsid w:val="00FA47AD"/>
    <w:rsid w:val="00FA5005"/>
    <w:rsid w:val="00FA6283"/>
    <w:rsid w:val="00FA6428"/>
    <w:rsid w:val="00FA7830"/>
    <w:rsid w:val="00FA7B03"/>
    <w:rsid w:val="00FB0249"/>
    <w:rsid w:val="00FB05A9"/>
    <w:rsid w:val="00FB063B"/>
    <w:rsid w:val="00FB08DD"/>
    <w:rsid w:val="00FB0A30"/>
    <w:rsid w:val="00FB0ACA"/>
    <w:rsid w:val="00FB103D"/>
    <w:rsid w:val="00FB12FD"/>
    <w:rsid w:val="00FB1686"/>
    <w:rsid w:val="00FB1DC8"/>
    <w:rsid w:val="00FB2384"/>
    <w:rsid w:val="00FB3DE7"/>
    <w:rsid w:val="00FB3F62"/>
    <w:rsid w:val="00FB42A5"/>
    <w:rsid w:val="00FB5116"/>
    <w:rsid w:val="00FB587B"/>
    <w:rsid w:val="00FB5F97"/>
    <w:rsid w:val="00FB668C"/>
    <w:rsid w:val="00FB6865"/>
    <w:rsid w:val="00FB6C1D"/>
    <w:rsid w:val="00FB705A"/>
    <w:rsid w:val="00FB716C"/>
    <w:rsid w:val="00FB7715"/>
    <w:rsid w:val="00FB7DCD"/>
    <w:rsid w:val="00FB7FCA"/>
    <w:rsid w:val="00FC0733"/>
    <w:rsid w:val="00FC08AE"/>
    <w:rsid w:val="00FC0A9D"/>
    <w:rsid w:val="00FC0C2B"/>
    <w:rsid w:val="00FC22D2"/>
    <w:rsid w:val="00FC43E7"/>
    <w:rsid w:val="00FC5753"/>
    <w:rsid w:val="00FC579D"/>
    <w:rsid w:val="00FC5C1D"/>
    <w:rsid w:val="00FC6782"/>
    <w:rsid w:val="00FC6949"/>
    <w:rsid w:val="00FC6980"/>
    <w:rsid w:val="00FC7209"/>
    <w:rsid w:val="00FC77CA"/>
    <w:rsid w:val="00FD01E5"/>
    <w:rsid w:val="00FD0201"/>
    <w:rsid w:val="00FD03CF"/>
    <w:rsid w:val="00FD04FC"/>
    <w:rsid w:val="00FD09CA"/>
    <w:rsid w:val="00FD0D06"/>
    <w:rsid w:val="00FD1108"/>
    <w:rsid w:val="00FD1C2C"/>
    <w:rsid w:val="00FD1C6A"/>
    <w:rsid w:val="00FD1D10"/>
    <w:rsid w:val="00FD1DB9"/>
    <w:rsid w:val="00FD22F7"/>
    <w:rsid w:val="00FD2991"/>
    <w:rsid w:val="00FD2F09"/>
    <w:rsid w:val="00FD36B1"/>
    <w:rsid w:val="00FD36FC"/>
    <w:rsid w:val="00FD4C77"/>
    <w:rsid w:val="00FD4FF8"/>
    <w:rsid w:val="00FD63E2"/>
    <w:rsid w:val="00FD64DB"/>
    <w:rsid w:val="00FD7119"/>
    <w:rsid w:val="00FD7331"/>
    <w:rsid w:val="00FD77B0"/>
    <w:rsid w:val="00FE17B3"/>
    <w:rsid w:val="00FE198F"/>
    <w:rsid w:val="00FE227A"/>
    <w:rsid w:val="00FE2399"/>
    <w:rsid w:val="00FE28F9"/>
    <w:rsid w:val="00FE36BF"/>
    <w:rsid w:val="00FE4409"/>
    <w:rsid w:val="00FE4BAF"/>
    <w:rsid w:val="00FE5CE6"/>
    <w:rsid w:val="00FE5FC7"/>
    <w:rsid w:val="00FE6401"/>
    <w:rsid w:val="00FE743B"/>
    <w:rsid w:val="00FE7F25"/>
    <w:rsid w:val="00FF094B"/>
    <w:rsid w:val="00FF0956"/>
    <w:rsid w:val="00FF0B20"/>
    <w:rsid w:val="00FF0E1F"/>
    <w:rsid w:val="00FF1714"/>
    <w:rsid w:val="00FF1768"/>
    <w:rsid w:val="00FF298D"/>
    <w:rsid w:val="00FF2B2C"/>
    <w:rsid w:val="00FF3850"/>
    <w:rsid w:val="00FF39A3"/>
    <w:rsid w:val="00FF4555"/>
    <w:rsid w:val="00FF4FC3"/>
    <w:rsid w:val="00FF614E"/>
    <w:rsid w:val="00FF6517"/>
    <w:rsid w:val="00FF79C9"/>
    <w:rsid w:val="00FF7C0E"/>
    <w:rsid w:val="00FF7D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3CB"/>
    <w:pPr>
      <w:spacing w:after="0" w:line="360" w:lineRule="auto"/>
      <w:ind w:firstLine="1440"/>
    </w:pPr>
    <w:rPr>
      <w:rFonts w:ascii="Times New Roman" w:eastAsia="Times New Roman" w:hAnsi="Times New Roman" w:cs="Times New Roman"/>
      <w:sz w:val="26"/>
      <w:szCs w:val="24"/>
    </w:rPr>
  </w:style>
  <w:style w:type="paragraph" w:styleId="Heading1">
    <w:name w:val="heading 1"/>
    <w:basedOn w:val="Normal"/>
    <w:next w:val="Normal"/>
    <w:link w:val="Heading1Char"/>
    <w:uiPriority w:val="9"/>
    <w:qFormat/>
    <w:rsid w:val="00F4227B"/>
    <w:pPr>
      <w:keepNext/>
      <w:keepLines/>
      <w:ind w:firstLine="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4227B"/>
    <w:pPr>
      <w:keepNext/>
      <w:keepLines/>
      <w:ind w:firstLine="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4227B"/>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695B97"/>
    <w:pPr>
      <w:keepNext/>
      <w:keepLines/>
      <w:ind w:left="216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95B97"/>
    <w:pPr>
      <w:keepNext/>
      <w:keepLines/>
      <w:ind w:left="2880"/>
      <w:outlineLvl w:val="4"/>
    </w:pPr>
    <w:rPr>
      <w:rFonts w:eastAsiaTheme="majorEastAsia" w:cstheme="majorBidi"/>
      <w:b/>
    </w:rPr>
  </w:style>
  <w:style w:type="paragraph" w:styleId="Heading6">
    <w:name w:val="heading 6"/>
    <w:basedOn w:val="Normal"/>
    <w:next w:val="Normal"/>
    <w:link w:val="Heading6Char"/>
    <w:uiPriority w:val="9"/>
    <w:unhideWhenUsed/>
    <w:qFormat/>
    <w:rsid w:val="008E4C54"/>
    <w:pPr>
      <w:keepNext/>
      <w:keepLines/>
      <w:ind w:firstLine="3600"/>
      <w:outlineLvl w:val="5"/>
    </w:pPr>
    <w:rPr>
      <w:rFonts w:eastAsiaTheme="majorEastAsia"/>
      <w:b/>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1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4227B"/>
    <w:rPr>
      <w:rFonts w:ascii="Times New Roman" w:eastAsiaTheme="majorEastAsia" w:hAnsi="Times New Roman" w:cstheme="majorBidi"/>
      <w:b/>
      <w:bCs/>
      <w:sz w:val="26"/>
      <w:szCs w:val="28"/>
    </w:rPr>
  </w:style>
  <w:style w:type="paragraph" w:styleId="ListParagraph">
    <w:name w:val="List Paragraph"/>
    <w:basedOn w:val="Normal"/>
    <w:uiPriority w:val="34"/>
    <w:qFormat/>
    <w:rsid w:val="00DB1424"/>
    <w:pPr>
      <w:ind w:left="720"/>
      <w:contextualSpacing/>
    </w:pPr>
  </w:style>
  <w:style w:type="paragraph" w:styleId="TOC1">
    <w:name w:val="toc 1"/>
    <w:basedOn w:val="Normal"/>
    <w:next w:val="Normal"/>
    <w:autoRedefine/>
    <w:uiPriority w:val="39"/>
    <w:unhideWhenUsed/>
    <w:qFormat/>
    <w:rsid w:val="00B848EC"/>
    <w:pPr>
      <w:tabs>
        <w:tab w:val="left" w:pos="2160"/>
        <w:tab w:val="right" w:leader="dot" w:pos="9350"/>
      </w:tabs>
      <w:spacing w:after="100"/>
      <w:ind w:firstLine="0"/>
    </w:pPr>
  </w:style>
  <w:style w:type="character" w:styleId="Hyperlink">
    <w:name w:val="Hyperlink"/>
    <w:basedOn w:val="DefaultParagraphFont"/>
    <w:uiPriority w:val="99"/>
    <w:unhideWhenUsed/>
    <w:rsid w:val="004D1CC1"/>
    <w:rPr>
      <w:color w:val="5F5F5F" w:themeColor="hyperlink"/>
      <w:u w:val="single"/>
    </w:rPr>
  </w:style>
  <w:style w:type="character" w:customStyle="1" w:styleId="Heading2Char">
    <w:name w:val="Heading 2 Char"/>
    <w:basedOn w:val="DefaultParagraphFont"/>
    <w:link w:val="Heading2"/>
    <w:uiPriority w:val="9"/>
    <w:rsid w:val="00F4227B"/>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F4227B"/>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9"/>
    <w:rsid w:val="00695B97"/>
    <w:rPr>
      <w:rFonts w:ascii="Times New Roman" w:eastAsiaTheme="majorEastAsia" w:hAnsi="Times New Roman" w:cstheme="majorBidi"/>
      <w:b/>
      <w:bCs/>
      <w:iCs/>
      <w:sz w:val="26"/>
      <w:szCs w:val="24"/>
    </w:rPr>
  </w:style>
  <w:style w:type="paragraph" w:styleId="TOC2">
    <w:name w:val="toc 2"/>
    <w:basedOn w:val="Normal"/>
    <w:next w:val="Normal"/>
    <w:autoRedefine/>
    <w:uiPriority w:val="39"/>
    <w:unhideWhenUsed/>
    <w:qFormat/>
    <w:rsid w:val="00B848EC"/>
    <w:pPr>
      <w:tabs>
        <w:tab w:val="left" w:pos="1080"/>
        <w:tab w:val="left" w:pos="2160"/>
        <w:tab w:val="right" w:leader="dot" w:pos="9350"/>
      </w:tabs>
      <w:spacing w:after="100"/>
      <w:ind w:left="360" w:firstLine="0"/>
    </w:pPr>
  </w:style>
  <w:style w:type="paragraph" w:styleId="TOC3">
    <w:name w:val="toc 3"/>
    <w:basedOn w:val="Normal"/>
    <w:next w:val="Normal"/>
    <w:autoRedefine/>
    <w:uiPriority w:val="39"/>
    <w:unhideWhenUsed/>
    <w:qFormat/>
    <w:rsid w:val="00B848EC"/>
    <w:pPr>
      <w:tabs>
        <w:tab w:val="left" w:pos="1440"/>
        <w:tab w:val="left" w:pos="2335"/>
        <w:tab w:val="right" w:leader="dot" w:pos="9350"/>
      </w:tabs>
      <w:spacing w:after="100"/>
      <w:ind w:left="1440" w:hanging="720"/>
    </w:pPr>
  </w:style>
  <w:style w:type="paragraph" w:styleId="TOC4">
    <w:name w:val="toc 4"/>
    <w:basedOn w:val="Normal"/>
    <w:next w:val="Normal"/>
    <w:autoRedefine/>
    <w:uiPriority w:val="39"/>
    <w:unhideWhenUsed/>
    <w:rsid w:val="00E02D9B"/>
    <w:pPr>
      <w:tabs>
        <w:tab w:val="left" w:pos="1800"/>
        <w:tab w:val="right" w:leader="dot" w:pos="9350"/>
      </w:tabs>
      <w:spacing w:after="100"/>
      <w:ind w:left="720"/>
    </w:pPr>
  </w:style>
  <w:style w:type="character" w:customStyle="1" w:styleId="Heading5Char">
    <w:name w:val="Heading 5 Char"/>
    <w:basedOn w:val="DefaultParagraphFont"/>
    <w:link w:val="Heading5"/>
    <w:uiPriority w:val="9"/>
    <w:rsid w:val="00695B97"/>
    <w:rPr>
      <w:rFonts w:ascii="Times New Roman" w:eastAsiaTheme="majorEastAsia" w:hAnsi="Times New Roman" w:cstheme="majorBidi"/>
      <w:b/>
      <w:sz w:val="26"/>
      <w:szCs w:val="24"/>
    </w:rPr>
  </w:style>
  <w:style w:type="paragraph" w:styleId="TOC5">
    <w:name w:val="toc 5"/>
    <w:basedOn w:val="Normal"/>
    <w:next w:val="Normal"/>
    <w:autoRedefine/>
    <w:uiPriority w:val="39"/>
    <w:unhideWhenUsed/>
    <w:rsid w:val="00E02D9B"/>
    <w:pPr>
      <w:tabs>
        <w:tab w:val="left" w:pos="2160"/>
        <w:tab w:val="right" w:leader="dot" w:pos="9350"/>
      </w:tabs>
      <w:spacing w:after="100"/>
      <w:ind w:left="2160" w:hanging="1200"/>
    </w:pPr>
  </w:style>
  <w:style w:type="paragraph" w:styleId="Header">
    <w:name w:val="header"/>
    <w:basedOn w:val="Normal"/>
    <w:link w:val="HeaderChar"/>
    <w:uiPriority w:val="99"/>
    <w:unhideWhenUsed/>
    <w:rsid w:val="008F250B"/>
    <w:pPr>
      <w:tabs>
        <w:tab w:val="center" w:pos="4680"/>
        <w:tab w:val="right" w:pos="9360"/>
      </w:tabs>
    </w:pPr>
  </w:style>
  <w:style w:type="character" w:customStyle="1" w:styleId="HeaderChar">
    <w:name w:val="Header Char"/>
    <w:basedOn w:val="DefaultParagraphFont"/>
    <w:link w:val="Header"/>
    <w:uiPriority w:val="99"/>
    <w:rsid w:val="008F25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250B"/>
    <w:pPr>
      <w:tabs>
        <w:tab w:val="center" w:pos="4680"/>
        <w:tab w:val="right" w:pos="9360"/>
      </w:tabs>
    </w:pPr>
  </w:style>
  <w:style w:type="character" w:customStyle="1" w:styleId="FooterChar">
    <w:name w:val="Footer Char"/>
    <w:basedOn w:val="DefaultParagraphFont"/>
    <w:link w:val="Footer"/>
    <w:uiPriority w:val="99"/>
    <w:rsid w:val="008F250B"/>
    <w:rPr>
      <w:rFonts w:ascii="Times New Roman" w:eastAsia="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uiPriority w:val="99"/>
    <w:unhideWhenUsed/>
    <w:rsid w:val="003E58B9"/>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uiPriority w:val="99"/>
    <w:rsid w:val="003E58B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3E58B9"/>
    <w:rPr>
      <w:vertAlign w:val="superscript"/>
    </w:rPr>
  </w:style>
  <w:style w:type="paragraph" w:customStyle="1" w:styleId="p3">
    <w:name w:val="p3"/>
    <w:basedOn w:val="Normal"/>
    <w:rsid w:val="00A308F1"/>
    <w:pPr>
      <w:widowControl w:val="0"/>
      <w:tabs>
        <w:tab w:val="left" w:pos="204"/>
      </w:tabs>
      <w:autoSpaceDE w:val="0"/>
      <w:autoSpaceDN w:val="0"/>
      <w:adjustRightInd w:val="0"/>
    </w:pPr>
  </w:style>
  <w:style w:type="paragraph" w:styleId="TOC6">
    <w:name w:val="toc 6"/>
    <w:basedOn w:val="Normal"/>
    <w:next w:val="Normal"/>
    <w:autoRedefine/>
    <w:uiPriority w:val="39"/>
    <w:unhideWhenUsed/>
    <w:rsid w:val="00D439A4"/>
    <w:pPr>
      <w:tabs>
        <w:tab w:val="left" w:pos="1800"/>
        <w:tab w:val="right" w:leader="dot" w:pos="9350"/>
      </w:tabs>
      <w:spacing w:after="100" w:line="276" w:lineRule="auto"/>
      <w:ind w:left="1100"/>
    </w:pPr>
    <w:rPr>
      <w:rFonts w:eastAsiaTheme="minorEastAsia"/>
      <w:noProof/>
      <w:sz w:val="22"/>
      <w:szCs w:val="22"/>
    </w:rPr>
  </w:style>
  <w:style w:type="paragraph" w:styleId="TOC7">
    <w:name w:val="toc 7"/>
    <w:basedOn w:val="Normal"/>
    <w:next w:val="Normal"/>
    <w:autoRedefine/>
    <w:uiPriority w:val="39"/>
    <w:unhideWhenUsed/>
    <w:rsid w:val="00543B6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43B6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43B63"/>
    <w:pPr>
      <w:spacing w:after="100" w:line="276" w:lineRule="auto"/>
      <w:ind w:left="1760"/>
    </w:pPr>
    <w:rPr>
      <w:rFonts w:asciiTheme="minorHAnsi" w:eastAsiaTheme="minorEastAsia" w:hAnsiTheme="minorHAnsi" w:cstheme="minorBidi"/>
      <w:sz w:val="22"/>
      <w:szCs w:val="22"/>
    </w:rPr>
  </w:style>
  <w:style w:type="paragraph" w:customStyle="1" w:styleId="Default">
    <w:name w:val="Default"/>
    <w:rsid w:val="00A8003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E5FC7"/>
    <w:rPr>
      <w:rFonts w:ascii="Tahoma" w:hAnsi="Tahoma" w:cs="Tahoma"/>
      <w:sz w:val="16"/>
      <w:szCs w:val="16"/>
    </w:rPr>
  </w:style>
  <w:style w:type="character" w:customStyle="1" w:styleId="BalloonTextChar">
    <w:name w:val="Balloon Text Char"/>
    <w:basedOn w:val="DefaultParagraphFont"/>
    <w:link w:val="BalloonText"/>
    <w:uiPriority w:val="99"/>
    <w:semiHidden/>
    <w:rsid w:val="00FE5FC7"/>
    <w:rPr>
      <w:rFonts w:ascii="Tahoma" w:eastAsia="Times New Roman" w:hAnsi="Tahoma" w:cs="Tahoma"/>
      <w:sz w:val="16"/>
      <w:szCs w:val="16"/>
    </w:rPr>
  </w:style>
  <w:style w:type="character" w:styleId="Emphasis">
    <w:name w:val="Emphasis"/>
    <w:basedOn w:val="DefaultParagraphFont"/>
    <w:qFormat/>
    <w:rsid w:val="00367979"/>
    <w:rPr>
      <w:i/>
      <w:iCs/>
    </w:rPr>
  </w:style>
  <w:style w:type="paragraph" w:styleId="BodyText2">
    <w:name w:val="Body Text 2"/>
    <w:basedOn w:val="Normal"/>
    <w:link w:val="BodyText2Char"/>
    <w:rsid w:val="003653BB"/>
    <w:pPr>
      <w:spacing w:line="480" w:lineRule="auto"/>
      <w:ind w:firstLine="720"/>
      <w:jc w:val="both"/>
    </w:pPr>
  </w:style>
  <w:style w:type="character" w:customStyle="1" w:styleId="BodyText2Char">
    <w:name w:val="Body Text 2 Char"/>
    <w:basedOn w:val="DefaultParagraphFont"/>
    <w:link w:val="BodyText2"/>
    <w:rsid w:val="003653BB"/>
    <w:rPr>
      <w:rFonts w:ascii="Times New Roman" w:eastAsia="Times New Roman" w:hAnsi="Times New Roman" w:cs="Times New Roman"/>
      <w:sz w:val="24"/>
      <w:szCs w:val="24"/>
    </w:rPr>
  </w:style>
  <w:style w:type="paragraph" w:styleId="NoSpacing">
    <w:name w:val="No Spacing"/>
    <w:uiPriority w:val="1"/>
    <w:qFormat/>
    <w:rsid w:val="00AB7DBD"/>
    <w:pPr>
      <w:spacing w:after="0" w:line="240" w:lineRule="auto"/>
    </w:pPr>
    <w:rPr>
      <w:rFonts w:ascii="Calibri" w:eastAsia="Times New Roman" w:hAnsi="Calibri" w:cs="Times New Roman"/>
    </w:rPr>
  </w:style>
  <w:style w:type="character" w:customStyle="1" w:styleId="Heading6Char">
    <w:name w:val="Heading 6 Char"/>
    <w:basedOn w:val="DefaultParagraphFont"/>
    <w:link w:val="Heading6"/>
    <w:uiPriority w:val="9"/>
    <w:rsid w:val="008E4C54"/>
    <w:rPr>
      <w:rFonts w:ascii="Times New Roman" w:eastAsiaTheme="majorEastAsia" w:hAnsi="Times New Roman" w:cs="Times New Roman"/>
      <w:b/>
      <w:iCs/>
      <w:sz w:val="26"/>
      <w:szCs w:val="26"/>
    </w:rPr>
  </w:style>
  <w:style w:type="character" w:styleId="LineNumber">
    <w:name w:val="line number"/>
    <w:basedOn w:val="DefaultParagraphFont"/>
    <w:rsid w:val="00540830"/>
    <w:rPr>
      <w:rFonts w:ascii="Times New Roman" w:hAnsi="Times New Roman"/>
      <w:sz w:val="24"/>
    </w:rPr>
  </w:style>
  <w:style w:type="paragraph" w:styleId="BodyText">
    <w:name w:val="Body Text"/>
    <w:basedOn w:val="Normal"/>
    <w:link w:val="BodyTextChar"/>
    <w:uiPriority w:val="99"/>
    <w:semiHidden/>
    <w:unhideWhenUsed/>
    <w:rsid w:val="004517BC"/>
    <w:pPr>
      <w:spacing w:after="120"/>
    </w:pPr>
  </w:style>
  <w:style w:type="character" w:customStyle="1" w:styleId="BodyTextChar">
    <w:name w:val="Body Text Char"/>
    <w:basedOn w:val="DefaultParagraphFont"/>
    <w:link w:val="BodyText"/>
    <w:uiPriority w:val="99"/>
    <w:semiHidden/>
    <w:rsid w:val="004517BC"/>
    <w:rPr>
      <w:rFonts w:ascii="Times New Roman" w:eastAsia="Times New Roman" w:hAnsi="Times New Roman" w:cs="Times New Roman"/>
      <w:sz w:val="24"/>
      <w:szCs w:val="24"/>
    </w:rPr>
  </w:style>
  <w:style w:type="paragraph" w:customStyle="1" w:styleId="FirmDouble05">
    <w:name w:val="Firm Double 05"/>
    <w:basedOn w:val="Normal"/>
    <w:rsid w:val="004517BC"/>
    <w:pPr>
      <w:spacing w:after="120" w:line="480" w:lineRule="auto"/>
      <w:ind w:firstLine="720"/>
    </w:pPr>
  </w:style>
  <w:style w:type="paragraph" w:customStyle="1" w:styleId="BriefL1">
    <w:name w:val="Brief_L1"/>
    <w:basedOn w:val="Normal"/>
    <w:next w:val="BodyText"/>
    <w:rsid w:val="004517BC"/>
    <w:pPr>
      <w:numPr>
        <w:numId w:val="7"/>
      </w:numPr>
      <w:spacing w:after="360"/>
      <w:jc w:val="center"/>
      <w:outlineLvl w:val="0"/>
    </w:pPr>
    <w:rPr>
      <w:b/>
      <w:caps/>
      <w:szCs w:val="20"/>
    </w:rPr>
  </w:style>
  <w:style w:type="paragraph" w:customStyle="1" w:styleId="BriefL2">
    <w:name w:val="Brief_L2"/>
    <w:basedOn w:val="BriefL1"/>
    <w:next w:val="BodyText"/>
    <w:rsid w:val="004517BC"/>
    <w:pPr>
      <w:keepNext/>
      <w:keepLines/>
      <w:numPr>
        <w:ilvl w:val="1"/>
      </w:numPr>
      <w:jc w:val="left"/>
      <w:outlineLvl w:val="1"/>
    </w:pPr>
    <w:rPr>
      <w:caps w:val="0"/>
    </w:rPr>
  </w:style>
  <w:style w:type="paragraph" w:customStyle="1" w:styleId="BriefL3">
    <w:name w:val="Brief_L3"/>
    <w:basedOn w:val="BriefL2"/>
    <w:rsid w:val="004517BC"/>
    <w:pPr>
      <w:keepNext w:val="0"/>
      <w:keepLines w:val="0"/>
      <w:numPr>
        <w:ilvl w:val="2"/>
      </w:numPr>
      <w:spacing w:after="240"/>
      <w:outlineLvl w:val="2"/>
    </w:pPr>
    <w:rPr>
      <w:rFonts w:ascii="Times New Roman Bold" w:hAnsi="Times New Roman Bold"/>
    </w:rPr>
  </w:style>
  <w:style w:type="paragraph" w:customStyle="1" w:styleId="BriefL4">
    <w:name w:val="Brief_L4"/>
    <w:basedOn w:val="BriefL3"/>
    <w:next w:val="BodyText"/>
    <w:rsid w:val="004517BC"/>
    <w:pPr>
      <w:numPr>
        <w:ilvl w:val="3"/>
      </w:numPr>
      <w:outlineLvl w:val="3"/>
    </w:pPr>
    <w:rPr>
      <w:rFonts w:ascii="Times New Roman" w:hAnsi="Times New Roman"/>
    </w:rPr>
  </w:style>
  <w:style w:type="paragraph" w:customStyle="1" w:styleId="BriefL5">
    <w:name w:val="Brief_L5"/>
    <w:basedOn w:val="BriefL4"/>
    <w:next w:val="BodyText"/>
    <w:rsid w:val="004517BC"/>
    <w:pPr>
      <w:numPr>
        <w:ilvl w:val="4"/>
      </w:numPr>
      <w:outlineLvl w:val="4"/>
    </w:pPr>
    <w:rPr>
      <w:rFonts w:ascii="Times New Roman Bold" w:hAnsi="Times New Roman Bold"/>
    </w:rPr>
  </w:style>
  <w:style w:type="paragraph" w:customStyle="1" w:styleId="BriefL6">
    <w:name w:val="Brief_L6"/>
    <w:basedOn w:val="BriefL5"/>
    <w:next w:val="BodyText"/>
    <w:rsid w:val="004517BC"/>
    <w:pPr>
      <w:numPr>
        <w:ilvl w:val="5"/>
      </w:numPr>
      <w:outlineLvl w:val="5"/>
    </w:pPr>
  </w:style>
  <w:style w:type="paragraph" w:customStyle="1" w:styleId="BriefL7">
    <w:name w:val="Brief_L7"/>
    <w:basedOn w:val="BriefL6"/>
    <w:next w:val="BodyText"/>
    <w:rsid w:val="004517BC"/>
    <w:pPr>
      <w:numPr>
        <w:ilvl w:val="6"/>
      </w:numPr>
      <w:outlineLvl w:val="6"/>
    </w:pPr>
  </w:style>
  <w:style w:type="paragraph" w:customStyle="1" w:styleId="BriefL8">
    <w:name w:val="Brief_L8"/>
    <w:basedOn w:val="BriefL7"/>
    <w:next w:val="BodyText"/>
    <w:rsid w:val="004517BC"/>
    <w:pPr>
      <w:numPr>
        <w:ilvl w:val="7"/>
      </w:numPr>
      <w:outlineLvl w:val="7"/>
    </w:pPr>
  </w:style>
  <w:style w:type="paragraph" w:customStyle="1" w:styleId="BriefL9">
    <w:name w:val="Brief_L9"/>
    <w:basedOn w:val="BriefL8"/>
    <w:next w:val="BodyText"/>
    <w:rsid w:val="004517BC"/>
    <w:pPr>
      <w:numPr>
        <w:ilvl w:val="8"/>
      </w:numPr>
      <w:outlineLvl w:val="8"/>
    </w:pPr>
  </w:style>
  <w:style w:type="paragraph" w:styleId="TOCHeading">
    <w:name w:val="TOC Heading"/>
    <w:basedOn w:val="Heading1"/>
    <w:next w:val="Normal"/>
    <w:uiPriority w:val="39"/>
    <w:unhideWhenUsed/>
    <w:qFormat/>
    <w:rsid w:val="008F2C6B"/>
    <w:pPr>
      <w:spacing w:before="480" w:line="276" w:lineRule="auto"/>
      <w:outlineLvl w:val="9"/>
    </w:pPr>
    <w:rPr>
      <w:rFonts w:asciiTheme="majorHAnsi" w:hAnsiTheme="majorHAnsi"/>
      <w:color w:val="A5A5A5" w:themeColor="accent1" w:themeShade="BF"/>
      <w:sz w:val="28"/>
    </w:rPr>
  </w:style>
  <w:style w:type="paragraph" w:customStyle="1" w:styleId="p4">
    <w:name w:val="p4"/>
    <w:basedOn w:val="Normal"/>
    <w:uiPriority w:val="99"/>
    <w:rsid w:val="007F5A0D"/>
    <w:pPr>
      <w:widowControl w:val="0"/>
      <w:tabs>
        <w:tab w:val="left" w:pos="725"/>
      </w:tabs>
      <w:autoSpaceDE w:val="0"/>
      <w:autoSpaceDN w:val="0"/>
      <w:adjustRightInd w:val="0"/>
      <w:spacing w:line="240" w:lineRule="auto"/>
      <w:ind w:firstLine="725"/>
    </w:pPr>
    <w:rPr>
      <w:sz w:val="24"/>
    </w:rPr>
  </w:style>
  <w:style w:type="character" w:styleId="CommentReference">
    <w:name w:val="annotation reference"/>
    <w:basedOn w:val="DefaultParagraphFont"/>
    <w:uiPriority w:val="99"/>
    <w:semiHidden/>
    <w:unhideWhenUsed/>
    <w:rsid w:val="0039772D"/>
    <w:rPr>
      <w:sz w:val="16"/>
      <w:szCs w:val="16"/>
    </w:rPr>
  </w:style>
  <w:style w:type="paragraph" w:styleId="CommentText">
    <w:name w:val="annotation text"/>
    <w:basedOn w:val="Normal"/>
    <w:link w:val="CommentTextChar"/>
    <w:uiPriority w:val="99"/>
    <w:semiHidden/>
    <w:unhideWhenUsed/>
    <w:rsid w:val="0039772D"/>
    <w:pPr>
      <w:spacing w:line="240" w:lineRule="auto"/>
    </w:pPr>
    <w:rPr>
      <w:sz w:val="20"/>
      <w:szCs w:val="20"/>
    </w:rPr>
  </w:style>
  <w:style w:type="character" w:customStyle="1" w:styleId="CommentTextChar">
    <w:name w:val="Comment Text Char"/>
    <w:basedOn w:val="DefaultParagraphFont"/>
    <w:link w:val="CommentText"/>
    <w:uiPriority w:val="99"/>
    <w:semiHidden/>
    <w:rsid w:val="003977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72D"/>
    <w:rPr>
      <w:b/>
      <w:bCs/>
    </w:rPr>
  </w:style>
  <w:style w:type="character" w:customStyle="1" w:styleId="CommentSubjectChar">
    <w:name w:val="Comment Subject Char"/>
    <w:basedOn w:val="CommentTextChar"/>
    <w:link w:val="CommentSubject"/>
    <w:uiPriority w:val="99"/>
    <w:semiHidden/>
    <w:rsid w:val="0039772D"/>
    <w:rPr>
      <w:b/>
      <w:bCs/>
    </w:rPr>
  </w:style>
</w:styles>
</file>

<file path=word/webSettings.xml><?xml version="1.0" encoding="utf-8"?>
<w:webSettings xmlns:r="http://schemas.openxmlformats.org/officeDocument/2006/relationships" xmlns:w="http://schemas.openxmlformats.org/wordprocessingml/2006/main">
  <w:divs>
    <w:div w:id="53356231">
      <w:bodyDiv w:val="1"/>
      <w:marLeft w:val="0"/>
      <w:marRight w:val="0"/>
      <w:marTop w:val="0"/>
      <w:marBottom w:val="0"/>
      <w:divBdr>
        <w:top w:val="none" w:sz="0" w:space="0" w:color="auto"/>
        <w:left w:val="none" w:sz="0" w:space="0" w:color="auto"/>
        <w:bottom w:val="none" w:sz="0" w:space="0" w:color="auto"/>
        <w:right w:val="none" w:sz="0" w:space="0" w:color="auto"/>
      </w:divBdr>
    </w:div>
    <w:div w:id="124853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547F3-2EF8-4422-9FDE-F7F7E87F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35</Pages>
  <Words>8549</Words>
  <Characters>48731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joyce marie farner</cp:lastModifiedBy>
  <cp:revision>4</cp:revision>
  <cp:lastPrinted>2010-05-06T11:47:00Z</cp:lastPrinted>
  <dcterms:created xsi:type="dcterms:W3CDTF">2010-05-05T20:48:00Z</dcterms:created>
  <dcterms:modified xsi:type="dcterms:W3CDTF">2010-05-06T11:48:00Z</dcterms:modified>
</cp:coreProperties>
</file>