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tabs>
          <w:tab w:val="center" w:pos="7200"/>
        </w:tabs>
        <w:jc w:val="both"/>
        <w:rPr>
          <w:b/>
        </w:rPr>
      </w:pPr>
      <w:r>
        <w:tab/>
      </w:r>
      <w:r>
        <w:rPr>
          <w:b/>
        </w:rPr>
        <w:t xml:space="preserve">IN THE MATTER OF THE APPLICATION OF: </w:t>
      </w:r>
      <w:r w:rsidR="002A12C8">
        <w:rPr>
          <w:b/>
        </w:rPr>
        <w:t>A-2009-2121686</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2A12C8">
        <w:rPr>
          <w:b/>
          <w:sz w:val="24"/>
        </w:rPr>
        <w:t>U.S. Gas &amp; Electric, Inc. d/b/a Pennsylvania Gas &amp; Electric</w:t>
      </w:r>
      <w:r>
        <w:rPr>
          <w:b/>
          <w:sz w:val="24"/>
        </w:rPr>
        <w:t xml:space="preserve"> for the right to begin to offer, render, furnish or supply natural gas supply services to </w:t>
      </w:r>
      <w:r w:rsidR="002A12C8">
        <w:rPr>
          <w:b/>
          <w:sz w:val="24"/>
        </w:rPr>
        <w:t>residential, small commercial (less than 6,000 MCF annually), commercial (greater than 6,000 MCF annually), industrial, and governmental customers in the additional natural gas distribution company service territories of UGI-Penn Natural Gas and Columbia Gas of Pennsylvania</w:t>
      </w:r>
      <w:r>
        <w:rPr>
          <w:b/>
          <w:sz w:val="24"/>
        </w:rPr>
        <w:t>,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2A12C8">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6</w:t>
      </w:r>
      <w:r w:rsidRPr="002A12C8">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May 2010</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2A12C8"/>
    <w:rsid w:val="005E649B"/>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2010-05-06T18:21:00Z</cp:lastPrinted>
  <dcterms:created xsi:type="dcterms:W3CDTF">2010-05-06T18:21:00Z</dcterms:created>
  <dcterms:modified xsi:type="dcterms:W3CDTF">2010-05-06T18:21:00Z</dcterms:modified>
</cp:coreProperties>
</file>