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1A6" w:rsidRPr="00F461A6" w:rsidRDefault="00F461A6" w:rsidP="00F461A6">
      <w:pPr>
        <w:jc w:val="center"/>
        <w:rPr>
          <w:b/>
          <w:sz w:val="26"/>
          <w:szCs w:val="26"/>
        </w:rPr>
      </w:pPr>
      <w:r w:rsidRPr="00F461A6">
        <w:rPr>
          <w:b/>
          <w:sz w:val="26"/>
          <w:szCs w:val="26"/>
        </w:rPr>
        <w:t>PENNSYLVANIA</w:t>
      </w:r>
    </w:p>
    <w:p w:rsidR="00F461A6" w:rsidRPr="00F461A6" w:rsidRDefault="00F461A6" w:rsidP="00F461A6">
      <w:pPr>
        <w:jc w:val="center"/>
        <w:rPr>
          <w:b/>
          <w:sz w:val="26"/>
          <w:szCs w:val="26"/>
        </w:rPr>
      </w:pPr>
      <w:r w:rsidRPr="00F461A6">
        <w:rPr>
          <w:b/>
          <w:sz w:val="26"/>
          <w:szCs w:val="26"/>
        </w:rPr>
        <w:t>PUBLIC UTILITY COMMISSION</w:t>
      </w:r>
    </w:p>
    <w:p w:rsidR="00F461A6" w:rsidRPr="00F461A6" w:rsidRDefault="00F461A6" w:rsidP="00F461A6">
      <w:pPr>
        <w:jc w:val="center"/>
        <w:rPr>
          <w:b/>
          <w:sz w:val="26"/>
          <w:szCs w:val="26"/>
        </w:rPr>
      </w:pPr>
      <w:r w:rsidRPr="00F461A6">
        <w:rPr>
          <w:b/>
          <w:sz w:val="26"/>
          <w:szCs w:val="26"/>
        </w:rPr>
        <w:t>Harrisburg, PA  17105-3265</w:t>
      </w:r>
    </w:p>
    <w:p w:rsidR="00F461A6" w:rsidRPr="00F461A6" w:rsidRDefault="00F461A6" w:rsidP="00F461A6">
      <w:pPr>
        <w:rPr>
          <w:sz w:val="26"/>
          <w:szCs w:val="26"/>
        </w:rPr>
      </w:pPr>
    </w:p>
    <w:p w:rsidR="00F461A6" w:rsidRPr="00F461A6" w:rsidRDefault="00F461A6" w:rsidP="00F461A6">
      <w:pPr>
        <w:rPr>
          <w:sz w:val="26"/>
          <w:szCs w:val="26"/>
        </w:rPr>
      </w:pPr>
    </w:p>
    <w:p w:rsidR="00F461A6" w:rsidRPr="00F461A6" w:rsidRDefault="00F461A6" w:rsidP="00F461A6">
      <w:pPr>
        <w:jc w:val="right"/>
        <w:rPr>
          <w:sz w:val="26"/>
          <w:szCs w:val="26"/>
        </w:rPr>
      </w:pPr>
      <w:r w:rsidRPr="00F461A6">
        <w:rPr>
          <w:sz w:val="26"/>
          <w:szCs w:val="26"/>
        </w:rPr>
        <w:tab/>
      </w:r>
      <w:r w:rsidRPr="00F461A6">
        <w:rPr>
          <w:sz w:val="26"/>
          <w:szCs w:val="26"/>
        </w:rPr>
        <w:tab/>
      </w:r>
      <w:r w:rsidRPr="00F461A6">
        <w:rPr>
          <w:sz w:val="26"/>
          <w:szCs w:val="26"/>
        </w:rPr>
        <w:tab/>
      </w:r>
      <w:r w:rsidRPr="00F461A6">
        <w:rPr>
          <w:sz w:val="26"/>
          <w:szCs w:val="26"/>
        </w:rPr>
        <w:tab/>
      </w:r>
      <w:r w:rsidRPr="00F461A6">
        <w:rPr>
          <w:sz w:val="26"/>
          <w:szCs w:val="26"/>
        </w:rPr>
        <w:tab/>
      </w:r>
      <w:r w:rsidRPr="00F461A6">
        <w:rPr>
          <w:sz w:val="26"/>
          <w:szCs w:val="26"/>
        </w:rPr>
        <w:tab/>
        <w:t xml:space="preserve">            Public Meeting held </w:t>
      </w:r>
      <w:r w:rsidR="009F2A43">
        <w:rPr>
          <w:sz w:val="26"/>
          <w:szCs w:val="26"/>
        </w:rPr>
        <w:t xml:space="preserve">April </w:t>
      </w:r>
      <w:r w:rsidR="002A1DEC">
        <w:rPr>
          <w:sz w:val="26"/>
          <w:szCs w:val="26"/>
        </w:rPr>
        <w:t>15</w:t>
      </w:r>
      <w:r w:rsidRPr="00F461A6">
        <w:rPr>
          <w:sz w:val="26"/>
          <w:szCs w:val="26"/>
        </w:rPr>
        <w:t>, 20</w:t>
      </w:r>
      <w:r w:rsidR="00921D1C">
        <w:rPr>
          <w:sz w:val="26"/>
          <w:szCs w:val="26"/>
        </w:rPr>
        <w:t>10</w:t>
      </w:r>
    </w:p>
    <w:p w:rsidR="00F461A6" w:rsidRPr="00F461A6" w:rsidRDefault="00F461A6" w:rsidP="00F461A6">
      <w:pPr>
        <w:rPr>
          <w:sz w:val="26"/>
          <w:szCs w:val="26"/>
        </w:rPr>
      </w:pPr>
    </w:p>
    <w:p w:rsidR="00F461A6" w:rsidRPr="00F461A6" w:rsidRDefault="00F461A6" w:rsidP="00F461A6">
      <w:pPr>
        <w:rPr>
          <w:sz w:val="26"/>
          <w:szCs w:val="26"/>
        </w:rPr>
      </w:pPr>
      <w:r w:rsidRPr="00F461A6">
        <w:rPr>
          <w:sz w:val="26"/>
          <w:szCs w:val="26"/>
        </w:rPr>
        <w:t>Commissioners Present:</w:t>
      </w:r>
    </w:p>
    <w:p w:rsidR="00F461A6" w:rsidRPr="00F461A6" w:rsidRDefault="00F461A6" w:rsidP="00F461A6">
      <w:pPr>
        <w:rPr>
          <w:sz w:val="26"/>
          <w:szCs w:val="26"/>
        </w:rPr>
      </w:pPr>
    </w:p>
    <w:p w:rsidR="00F461A6" w:rsidRPr="00F461A6" w:rsidRDefault="00F461A6" w:rsidP="00F461A6">
      <w:pPr>
        <w:rPr>
          <w:sz w:val="26"/>
          <w:szCs w:val="26"/>
        </w:rPr>
      </w:pPr>
      <w:r w:rsidRPr="00F461A6">
        <w:rPr>
          <w:sz w:val="26"/>
          <w:szCs w:val="26"/>
        </w:rPr>
        <w:tab/>
        <w:t>James H. Cawley, Chairman</w:t>
      </w:r>
    </w:p>
    <w:p w:rsidR="00F461A6" w:rsidRPr="00F461A6" w:rsidRDefault="00F461A6" w:rsidP="00F461A6">
      <w:pPr>
        <w:rPr>
          <w:sz w:val="26"/>
          <w:szCs w:val="26"/>
        </w:rPr>
      </w:pPr>
      <w:r w:rsidRPr="00F461A6">
        <w:rPr>
          <w:sz w:val="26"/>
          <w:szCs w:val="26"/>
        </w:rPr>
        <w:tab/>
        <w:t>Tyrone J. Christy, Vice Chairman</w:t>
      </w:r>
      <w:r w:rsidR="008C6667">
        <w:rPr>
          <w:sz w:val="26"/>
          <w:szCs w:val="26"/>
        </w:rPr>
        <w:t>, Dissenting</w:t>
      </w:r>
    </w:p>
    <w:p w:rsidR="00F461A6" w:rsidRDefault="00F461A6" w:rsidP="00F461A6">
      <w:pPr>
        <w:rPr>
          <w:sz w:val="26"/>
          <w:szCs w:val="26"/>
        </w:rPr>
      </w:pPr>
      <w:r w:rsidRPr="00F461A6">
        <w:rPr>
          <w:sz w:val="26"/>
          <w:szCs w:val="26"/>
        </w:rPr>
        <w:tab/>
        <w:t>Wayne E. Gardner</w:t>
      </w:r>
    </w:p>
    <w:p w:rsidR="00F97E2E" w:rsidRPr="00F461A6" w:rsidRDefault="00F97E2E" w:rsidP="00F461A6">
      <w:pPr>
        <w:rPr>
          <w:sz w:val="26"/>
          <w:szCs w:val="26"/>
        </w:rPr>
      </w:pPr>
      <w:r>
        <w:rPr>
          <w:sz w:val="26"/>
          <w:szCs w:val="26"/>
        </w:rPr>
        <w:tab/>
      </w:r>
      <w:r w:rsidRPr="00F461A6">
        <w:rPr>
          <w:sz w:val="26"/>
          <w:szCs w:val="26"/>
        </w:rPr>
        <w:t>Robert F. Powelson</w:t>
      </w:r>
    </w:p>
    <w:p w:rsidR="00F461A6" w:rsidRDefault="00F461A6" w:rsidP="00F461A6">
      <w:pPr>
        <w:rPr>
          <w:sz w:val="26"/>
          <w:szCs w:val="26"/>
        </w:rPr>
      </w:pPr>
    </w:p>
    <w:p w:rsidR="00325B18" w:rsidRDefault="00325B18" w:rsidP="00F461A6">
      <w:pPr>
        <w:rPr>
          <w:sz w:val="26"/>
          <w:szCs w:val="26"/>
        </w:rPr>
      </w:pPr>
    </w:p>
    <w:p w:rsidR="00E22BC7" w:rsidRDefault="00E22BC7" w:rsidP="00F461A6">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E22BC7" w:rsidTr="00D26482">
        <w:tc>
          <w:tcPr>
            <w:tcW w:w="4788" w:type="dxa"/>
          </w:tcPr>
          <w:p w:rsidR="00E22BC7" w:rsidRDefault="00E22BC7" w:rsidP="002A1DEC">
            <w:pPr>
              <w:rPr>
                <w:sz w:val="26"/>
                <w:szCs w:val="26"/>
              </w:rPr>
            </w:pPr>
            <w:r>
              <w:rPr>
                <w:sz w:val="26"/>
                <w:szCs w:val="26"/>
              </w:rPr>
              <w:t xml:space="preserve">Petition of </w:t>
            </w:r>
            <w:r w:rsidR="002A1DEC">
              <w:rPr>
                <w:sz w:val="26"/>
                <w:szCs w:val="26"/>
              </w:rPr>
              <w:t>Duquesne Light Company</w:t>
            </w:r>
            <w:r w:rsidR="00065CDD">
              <w:rPr>
                <w:sz w:val="26"/>
                <w:szCs w:val="26"/>
              </w:rPr>
              <w:t xml:space="preserve"> </w:t>
            </w:r>
            <w:r>
              <w:rPr>
                <w:sz w:val="26"/>
                <w:szCs w:val="26"/>
              </w:rPr>
              <w:t xml:space="preserve">for </w:t>
            </w:r>
            <w:r w:rsidR="00020830">
              <w:rPr>
                <w:sz w:val="26"/>
                <w:szCs w:val="26"/>
              </w:rPr>
              <w:t>Approval of Smart Meter Technology Procurement and Installation Plan</w:t>
            </w:r>
          </w:p>
        </w:tc>
        <w:tc>
          <w:tcPr>
            <w:tcW w:w="4788" w:type="dxa"/>
          </w:tcPr>
          <w:p w:rsidR="00E22BC7" w:rsidRDefault="00A82CAB" w:rsidP="00E255A4">
            <w:pPr>
              <w:jc w:val="right"/>
              <w:rPr>
                <w:sz w:val="26"/>
                <w:szCs w:val="26"/>
              </w:rPr>
            </w:pPr>
            <w:r>
              <w:rPr>
                <w:sz w:val="26"/>
                <w:szCs w:val="26"/>
              </w:rPr>
              <w:t>Docket</w:t>
            </w:r>
            <w:r w:rsidR="00020830">
              <w:rPr>
                <w:sz w:val="26"/>
                <w:szCs w:val="26"/>
              </w:rPr>
              <w:t xml:space="preserve"> No</w:t>
            </w:r>
            <w:r w:rsidR="00E22BC7">
              <w:rPr>
                <w:sz w:val="26"/>
                <w:szCs w:val="26"/>
              </w:rPr>
              <w:t>.</w:t>
            </w:r>
            <w:r w:rsidR="00020830">
              <w:rPr>
                <w:sz w:val="26"/>
                <w:szCs w:val="26"/>
              </w:rPr>
              <w:t xml:space="preserve"> </w:t>
            </w:r>
            <w:r w:rsidR="00065CDD">
              <w:rPr>
                <w:sz w:val="26"/>
                <w:szCs w:val="26"/>
              </w:rPr>
              <w:t>M-2009-</w:t>
            </w:r>
            <w:r w:rsidR="002A1DEC">
              <w:rPr>
                <w:sz w:val="26"/>
                <w:szCs w:val="26"/>
              </w:rPr>
              <w:t>2123948</w:t>
            </w:r>
          </w:p>
          <w:p w:rsidR="00E22BC7" w:rsidRDefault="00E22BC7" w:rsidP="00F461A6">
            <w:pPr>
              <w:rPr>
                <w:sz w:val="26"/>
                <w:szCs w:val="26"/>
              </w:rPr>
            </w:pPr>
          </w:p>
        </w:tc>
      </w:tr>
    </w:tbl>
    <w:p w:rsidR="00E22BC7" w:rsidRDefault="00E22BC7" w:rsidP="00F461A6">
      <w:pPr>
        <w:rPr>
          <w:sz w:val="26"/>
          <w:szCs w:val="26"/>
        </w:rPr>
      </w:pPr>
    </w:p>
    <w:p w:rsidR="001E2A70" w:rsidRPr="00E308E9" w:rsidRDefault="00C26860" w:rsidP="00C26860">
      <w:pPr>
        <w:pStyle w:val="TOCHeading"/>
        <w:jc w:val="center"/>
        <w:rPr>
          <w:rFonts w:ascii="Times New Roman" w:hAnsi="Times New Roman" w:cs="Times New Roman"/>
          <w:b w:val="0"/>
          <w:sz w:val="26"/>
          <w:szCs w:val="26"/>
        </w:rPr>
      </w:pPr>
      <w:r>
        <w:rPr>
          <w:b w:val="0"/>
          <w:sz w:val="26"/>
          <w:szCs w:val="26"/>
        </w:rPr>
        <w:br w:type="page"/>
      </w:r>
    </w:p>
    <w:p w:rsidR="00EB45E3" w:rsidRPr="009D6E3C" w:rsidRDefault="00EB45E3" w:rsidP="00EB45E3">
      <w:pPr>
        <w:pStyle w:val="TOC1"/>
        <w:rPr>
          <w:b/>
          <w:sz w:val="26"/>
          <w:szCs w:val="26"/>
        </w:rPr>
      </w:pPr>
      <w:r w:rsidRPr="009D6E3C">
        <w:rPr>
          <w:b/>
          <w:sz w:val="26"/>
          <w:szCs w:val="26"/>
        </w:rPr>
        <w:lastRenderedPageBreak/>
        <w:t>Table of Contents</w:t>
      </w:r>
    </w:p>
    <w:p w:rsidR="000A0995" w:rsidRPr="009D6E3C" w:rsidRDefault="000A0995" w:rsidP="000A0995">
      <w:pPr>
        <w:rPr>
          <w:sz w:val="26"/>
          <w:szCs w:val="26"/>
        </w:rPr>
      </w:pPr>
    </w:p>
    <w:p w:rsidR="00D7481E" w:rsidRDefault="0043675C">
      <w:pPr>
        <w:pStyle w:val="TOC1"/>
        <w:rPr>
          <w:rFonts w:asciiTheme="minorHAnsi" w:eastAsiaTheme="minorEastAsia" w:hAnsiTheme="minorHAnsi" w:cstheme="minorBidi"/>
          <w:noProof/>
          <w:sz w:val="22"/>
          <w:szCs w:val="22"/>
        </w:rPr>
      </w:pPr>
      <w:r w:rsidRPr="009D6E3C">
        <w:rPr>
          <w:b/>
          <w:sz w:val="26"/>
          <w:szCs w:val="26"/>
        </w:rPr>
        <w:fldChar w:fldCharType="begin"/>
      </w:r>
      <w:r w:rsidR="00874295" w:rsidRPr="009D6E3C">
        <w:rPr>
          <w:b/>
          <w:sz w:val="26"/>
          <w:szCs w:val="26"/>
        </w:rPr>
        <w:instrText xml:space="preserve"> TOC \o "1-5" \h \z \u </w:instrText>
      </w:r>
      <w:r w:rsidRPr="009D6E3C">
        <w:rPr>
          <w:b/>
          <w:sz w:val="26"/>
          <w:szCs w:val="26"/>
        </w:rPr>
        <w:fldChar w:fldCharType="separate"/>
      </w:r>
      <w:hyperlink w:anchor="_Toc260906573" w:history="1">
        <w:r w:rsidR="00D7481E" w:rsidRPr="003B6BEA">
          <w:rPr>
            <w:rStyle w:val="Hyperlink"/>
            <w:noProof/>
          </w:rPr>
          <w:t xml:space="preserve">I.  </w:t>
        </w:r>
        <w:r w:rsidR="00D7481E">
          <w:rPr>
            <w:rFonts w:asciiTheme="minorHAnsi" w:eastAsiaTheme="minorEastAsia" w:hAnsiTheme="minorHAnsi" w:cstheme="minorBidi"/>
            <w:noProof/>
            <w:sz w:val="22"/>
            <w:szCs w:val="22"/>
          </w:rPr>
          <w:tab/>
        </w:r>
        <w:r w:rsidR="00D7481E" w:rsidRPr="003B6BEA">
          <w:rPr>
            <w:rStyle w:val="Hyperlink"/>
            <w:noProof/>
          </w:rPr>
          <w:t>Introduction</w:t>
        </w:r>
        <w:r w:rsidR="00D7481E">
          <w:rPr>
            <w:noProof/>
            <w:webHidden/>
          </w:rPr>
          <w:tab/>
        </w:r>
        <w:r>
          <w:rPr>
            <w:noProof/>
            <w:webHidden/>
          </w:rPr>
          <w:fldChar w:fldCharType="begin"/>
        </w:r>
        <w:r w:rsidR="00D7481E">
          <w:rPr>
            <w:noProof/>
            <w:webHidden/>
          </w:rPr>
          <w:instrText xml:space="preserve"> PAGEREF _Toc260906573 \h </w:instrText>
        </w:r>
        <w:r>
          <w:rPr>
            <w:noProof/>
            <w:webHidden/>
          </w:rPr>
        </w:r>
        <w:r>
          <w:rPr>
            <w:noProof/>
            <w:webHidden/>
          </w:rPr>
          <w:fldChar w:fldCharType="separate"/>
        </w:r>
        <w:r w:rsidR="006F0576">
          <w:rPr>
            <w:noProof/>
            <w:webHidden/>
          </w:rPr>
          <w:t>1</w:t>
        </w:r>
        <w:r>
          <w:rPr>
            <w:noProof/>
            <w:webHidden/>
          </w:rPr>
          <w:fldChar w:fldCharType="end"/>
        </w:r>
      </w:hyperlink>
    </w:p>
    <w:p w:rsidR="00D7481E" w:rsidRDefault="0043675C">
      <w:pPr>
        <w:pStyle w:val="TOC1"/>
        <w:rPr>
          <w:rFonts w:asciiTheme="minorHAnsi" w:eastAsiaTheme="minorEastAsia" w:hAnsiTheme="minorHAnsi" w:cstheme="minorBidi"/>
          <w:noProof/>
          <w:sz w:val="22"/>
          <w:szCs w:val="22"/>
        </w:rPr>
      </w:pPr>
      <w:hyperlink w:anchor="_Toc260906574" w:history="1">
        <w:r w:rsidR="00D7481E" w:rsidRPr="003B6BEA">
          <w:rPr>
            <w:rStyle w:val="Hyperlink"/>
            <w:noProof/>
          </w:rPr>
          <w:t xml:space="preserve">II.  </w:t>
        </w:r>
        <w:r w:rsidR="00D7481E">
          <w:rPr>
            <w:rFonts w:asciiTheme="minorHAnsi" w:eastAsiaTheme="minorEastAsia" w:hAnsiTheme="minorHAnsi" w:cstheme="minorBidi"/>
            <w:noProof/>
            <w:sz w:val="22"/>
            <w:szCs w:val="22"/>
          </w:rPr>
          <w:tab/>
        </w:r>
        <w:r w:rsidR="00D7481E" w:rsidRPr="003B6BEA">
          <w:rPr>
            <w:rStyle w:val="Hyperlink"/>
            <w:noProof/>
          </w:rPr>
          <w:t>Background</w:t>
        </w:r>
        <w:r w:rsidR="00D7481E">
          <w:rPr>
            <w:noProof/>
            <w:webHidden/>
          </w:rPr>
          <w:tab/>
        </w:r>
        <w:r>
          <w:rPr>
            <w:noProof/>
            <w:webHidden/>
          </w:rPr>
          <w:fldChar w:fldCharType="begin"/>
        </w:r>
        <w:r w:rsidR="00D7481E">
          <w:rPr>
            <w:noProof/>
            <w:webHidden/>
          </w:rPr>
          <w:instrText xml:space="preserve"> PAGEREF _Toc260906574 \h </w:instrText>
        </w:r>
        <w:r>
          <w:rPr>
            <w:noProof/>
            <w:webHidden/>
          </w:rPr>
        </w:r>
        <w:r>
          <w:rPr>
            <w:noProof/>
            <w:webHidden/>
          </w:rPr>
          <w:fldChar w:fldCharType="separate"/>
        </w:r>
        <w:r w:rsidR="006F0576">
          <w:rPr>
            <w:noProof/>
            <w:webHidden/>
          </w:rPr>
          <w:t>1</w:t>
        </w:r>
        <w:r>
          <w:rPr>
            <w:noProof/>
            <w:webHidden/>
          </w:rPr>
          <w:fldChar w:fldCharType="end"/>
        </w:r>
      </w:hyperlink>
    </w:p>
    <w:p w:rsidR="00D7481E" w:rsidRDefault="0043675C">
      <w:pPr>
        <w:pStyle w:val="TOC2"/>
        <w:rPr>
          <w:rFonts w:asciiTheme="minorHAnsi" w:eastAsiaTheme="minorEastAsia" w:hAnsiTheme="minorHAnsi" w:cstheme="minorBidi"/>
          <w:noProof/>
          <w:sz w:val="22"/>
          <w:szCs w:val="22"/>
        </w:rPr>
      </w:pPr>
      <w:hyperlink w:anchor="_Toc260906575" w:history="1">
        <w:r w:rsidR="00D7481E" w:rsidRPr="003B6BEA">
          <w:rPr>
            <w:rStyle w:val="Hyperlink"/>
            <w:noProof/>
          </w:rPr>
          <w:t>A.</w:t>
        </w:r>
        <w:r w:rsidR="00D7481E">
          <w:rPr>
            <w:rFonts w:asciiTheme="minorHAnsi" w:eastAsiaTheme="minorEastAsia" w:hAnsiTheme="minorHAnsi" w:cstheme="minorBidi"/>
            <w:noProof/>
            <w:sz w:val="22"/>
            <w:szCs w:val="22"/>
          </w:rPr>
          <w:tab/>
        </w:r>
        <w:r w:rsidR="00D7481E" w:rsidRPr="003B6BEA">
          <w:rPr>
            <w:rStyle w:val="Hyperlink"/>
            <w:noProof/>
          </w:rPr>
          <w:t>Act 129</w:t>
        </w:r>
        <w:r w:rsidR="00D7481E">
          <w:rPr>
            <w:noProof/>
            <w:webHidden/>
          </w:rPr>
          <w:tab/>
        </w:r>
        <w:r>
          <w:rPr>
            <w:noProof/>
            <w:webHidden/>
          </w:rPr>
          <w:fldChar w:fldCharType="begin"/>
        </w:r>
        <w:r w:rsidR="00D7481E">
          <w:rPr>
            <w:noProof/>
            <w:webHidden/>
          </w:rPr>
          <w:instrText xml:space="preserve"> PAGEREF _Toc260906575 \h </w:instrText>
        </w:r>
        <w:r>
          <w:rPr>
            <w:noProof/>
            <w:webHidden/>
          </w:rPr>
        </w:r>
        <w:r>
          <w:rPr>
            <w:noProof/>
            <w:webHidden/>
          </w:rPr>
          <w:fldChar w:fldCharType="separate"/>
        </w:r>
        <w:r w:rsidR="006F0576">
          <w:rPr>
            <w:noProof/>
            <w:webHidden/>
          </w:rPr>
          <w:t>1</w:t>
        </w:r>
        <w:r>
          <w:rPr>
            <w:noProof/>
            <w:webHidden/>
          </w:rPr>
          <w:fldChar w:fldCharType="end"/>
        </w:r>
      </w:hyperlink>
    </w:p>
    <w:p w:rsidR="00D7481E" w:rsidRDefault="0043675C">
      <w:pPr>
        <w:pStyle w:val="TOC2"/>
        <w:rPr>
          <w:rFonts w:asciiTheme="minorHAnsi" w:eastAsiaTheme="minorEastAsia" w:hAnsiTheme="minorHAnsi" w:cstheme="minorBidi"/>
          <w:noProof/>
          <w:sz w:val="22"/>
          <w:szCs w:val="22"/>
        </w:rPr>
      </w:pPr>
      <w:hyperlink w:anchor="_Toc260906576" w:history="1">
        <w:r w:rsidR="00D7481E" w:rsidRPr="003B6BEA">
          <w:rPr>
            <w:rStyle w:val="Hyperlink"/>
            <w:noProof/>
          </w:rPr>
          <w:t>B.</w:t>
        </w:r>
        <w:r w:rsidR="00D7481E">
          <w:rPr>
            <w:rFonts w:asciiTheme="minorHAnsi" w:eastAsiaTheme="minorEastAsia" w:hAnsiTheme="minorHAnsi" w:cstheme="minorBidi"/>
            <w:noProof/>
            <w:sz w:val="22"/>
            <w:szCs w:val="22"/>
          </w:rPr>
          <w:tab/>
        </w:r>
        <w:r w:rsidR="00D7481E" w:rsidRPr="003B6BEA">
          <w:rPr>
            <w:rStyle w:val="Hyperlink"/>
            <w:noProof/>
          </w:rPr>
          <w:t>The Company</w:t>
        </w:r>
        <w:r w:rsidR="00D7481E">
          <w:rPr>
            <w:noProof/>
            <w:webHidden/>
          </w:rPr>
          <w:tab/>
        </w:r>
        <w:r>
          <w:rPr>
            <w:noProof/>
            <w:webHidden/>
          </w:rPr>
          <w:fldChar w:fldCharType="begin"/>
        </w:r>
        <w:r w:rsidR="00D7481E">
          <w:rPr>
            <w:noProof/>
            <w:webHidden/>
          </w:rPr>
          <w:instrText xml:space="preserve"> PAGEREF _Toc260906576 \h </w:instrText>
        </w:r>
        <w:r>
          <w:rPr>
            <w:noProof/>
            <w:webHidden/>
          </w:rPr>
        </w:r>
        <w:r>
          <w:rPr>
            <w:noProof/>
            <w:webHidden/>
          </w:rPr>
          <w:fldChar w:fldCharType="separate"/>
        </w:r>
        <w:r w:rsidR="006F0576">
          <w:rPr>
            <w:noProof/>
            <w:webHidden/>
          </w:rPr>
          <w:t>2</w:t>
        </w:r>
        <w:r>
          <w:rPr>
            <w:noProof/>
            <w:webHidden/>
          </w:rPr>
          <w:fldChar w:fldCharType="end"/>
        </w:r>
      </w:hyperlink>
    </w:p>
    <w:p w:rsidR="00D7481E" w:rsidRDefault="0043675C">
      <w:pPr>
        <w:pStyle w:val="TOC1"/>
        <w:rPr>
          <w:rFonts w:asciiTheme="minorHAnsi" w:eastAsiaTheme="minorEastAsia" w:hAnsiTheme="minorHAnsi" w:cstheme="minorBidi"/>
          <w:noProof/>
          <w:sz w:val="22"/>
          <w:szCs w:val="22"/>
        </w:rPr>
      </w:pPr>
      <w:hyperlink w:anchor="_Toc260906577" w:history="1">
        <w:r w:rsidR="00D7481E" w:rsidRPr="003B6BEA">
          <w:rPr>
            <w:rStyle w:val="Hyperlink"/>
            <w:noProof/>
          </w:rPr>
          <w:t xml:space="preserve">III.  </w:t>
        </w:r>
        <w:r w:rsidR="00D7481E">
          <w:rPr>
            <w:rFonts w:asciiTheme="minorHAnsi" w:eastAsiaTheme="minorEastAsia" w:hAnsiTheme="minorHAnsi" w:cstheme="minorBidi"/>
            <w:noProof/>
            <w:sz w:val="22"/>
            <w:szCs w:val="22"/>
          </w:rPr>
          <w:tab/>
        </w:r>
        <w:r w:rsidR="00D7481E" w:rsidRPr="003B6BEA">
          <w:rPr>
            <w:rStyle w:val="Hyperlink"/>
            <w:noProof/>
          </w:rPr>
          <w:t>Procedural History</w:t>
        </w:r>
        <w:r w:rsidR="00D7481E">
          <w:rPr>
            <w:noProof/>
            <w:webHidden/>
          </w:rPr>
          <w:tab/>
        </w:r>
        <w:r>
          <w:rPr>
            <w:noProof/>
            <w:webHidden/>
          </w:rPr>
          <w:fldChar w:fldCharType="begin"/>
        </w:r>
        <w:r w:rsidR="00D7481E">
          <w:rPr>
            <w:noProof/>
            <w:webHidden/>
          </w:rPr>
          <w:instrText xml:space="preserve"> PAGEREF _Toc260906577 \h </w:instrText>
        </w:r>
        <w:r>
          <w:rPr>
            <w:noProof/>
            <w:webHidden/>
          </w:rPr>
        </w:r>
        <w:r>
          <w:rPr>
            <w:noProof/>
            <w:webHidden/>
          </w:rPr>
          <w:fldChar w:fldCharType="separate"/>
        </w:r>
        <w:r w:rsidR="006F0576">
          <w:rPr>
            <w:noProof/>
            <w:webHidden/>
          </w:rPr>
          <w:t>2</w:t>
        </w:r>
        <w:r>
          <w:rPr>
            <w:noProof/>
            <w:webHidden/>
          </w:rPr>
          <w:fldChar w:fldCharType="end"/>
        </w:r>
      </w:hyperlink>
    </w:p>
    <w:p w:rsidR="00D7481E" w:rsidRDefault="0043675C">
      <w:pPr>
        <w:pStyle w:val="TOC1"/>
        <w:rPr>
          <w:rFonts w:asciiTheme="minorHAnsi" w:eastAsiaTheme="minorEastAsia" w:hAnsiTheme="minorHAnsi" w:cstheme="minorBidi"/>
          <w:noProof/>
          <w:sz w:val="22"/>
          <w:szCs w:val="22"/>
        </w:rPr>
      </w:pPr>
      <w:hyperlink w:anchor="_Toc260906578" w:history="1">
        <w:r w:rsidR="00D7481E" w:rsidRPr="003B6BEA">
          <w:rPr>
            <w:rStyle w:val="Hyperlink"/>
            <w:noProof/>
          </w:rPr>
          <w:t xml:space="preserve">IV.  </w:t>
        </w:r>
        <w:r w:rsidR="00D7481E">
          <w:rPr>
            <w:rFonts w:asciiTheme="minorHAnsi" w:eastAsiaTheme="minorEastAsia" w:hAnsiTheme="minorHAnsi" w:cstheme="minorBidi"/>
            <w:noProof/>
            <w:sz w:val="22"/>
            <w:szCs w:val="22"/>
          </w:rPr>
          <w:tab/>
        </w:r>
        <w:r w:rsidR="00D7481E" w:rsidRPr="003B6BEA">
          <w:rPr>
            <w:rStyle w:val="Hyperlink"/>
            <w:noProof/>
          </w:rPr>
          <w:t>Description of the Plan</w:t>
        </w:r>
        <w:r w:rsidR="00D7481E">
          <w:rPr>
            <w:noProof/>
            <w:webHidden/>
          </w:rPr>
          <w:tab/>
        </w:r>
        <w:r>
          <w:rPr>
            <w:noProof/>
            <w:webHidden/>
          </w:rPr>
          <w:fldChar w:fldCharType="begin"/>
        </w:r>
        <w:r w:rsidR="00D7481E">
          <w:rPr>
            <w:noProof/>
            <w:webHidden/>
          </w:rPr>
          <w:instrText xml:space="preserve"> PAGEREF _Toc260906578 \h </w:instrText>
        </w:r>
        <w:r>
          <w:rPr>
            <w:noProof/>
            <w:webHidden/>
          </w:rPr>
        </w:r>
        <w:r>
          <w:rPr>
            <w:noProof/>
            <w:webHidden/>
          </w:rPr>
          <w:fldChar w:fldCharType="separate"/>
        </w:r>
        <w:r w:rsidR="006F0576">
          <w:rPr>
            <w:noProof/>
            <w:webHidden/>
          </w:rPr>
          <w:t>3</w:t>
        </w:r>
        <w:r>
          <w:rPr>
            <w:noProof/>
            <w:webHidden/>
          </w:rPr>
          <w:fldChar w:fldCharType="end"/>
        </w:r>
      </w:hyperlink>
    </w:p>
    <w:p w:rsidR="00D7481E" w:rsidRDefault="0043675C">
      <w:pPr>
        <w:pStyle w:val="TOC2"/>
        <w:rPr>
          <w:rFonts w:asciiTheme="minorHAnsi" w:eastAsiaTheme="minorEastAsia" w:hAnsiTheme="minorHAnsi" w:cstheme="minorBidi"/>
          <w:noProof/>
          <w:sz w:val="22"/>
          <w:szCs w:val="22"/>
        </w:rPr>
      </w:pPr>
      <w:hyperlink w:anchor="_Toc260906579" w:history="1">
        <w:r w:rsidR="00D7481E" w:rsidRPr="003B6BEA">
          <w:rPr>
            <w:rStyle w:val="Hyperlink"/>
            <w:noProof/>
          </w:rPr>
          <w:t>A.</w:t>
        </w:r>
        <w:r w:rsidR="00D7481E">
          <w:rPr>
            <w:rFonts w:asciiTheme="minorHAnsi" w:eastAsiaTheme="minorEastAsia" w:hAnsiTheme="minorHAnsi" w:cstheme="minorBidi"/>
            <w:noProof/>
            <w:sz w:val="22"/>
            <w:szCs w:val="22"/>
          </w:rPr>
          <w:tab/>
        </w:r>
        <w:r w:rsidR="00D7481E" w:rsidRPr="003B6BEA">
          <w:rPr>
            <w:rStyle w:val="Hyperlink"/>
            <w:noProof/>
          </w:rPr>
          <w:t>Grace Period Analysis</w:t>
        </w:r>
        <w:r w:rsidR="00D7481E">
          <w:rPr>
            <w:noProof/>
            <w:webHidden/>
          </w:rPr>
          <w:tab/>
        </w:r>
        <w:r>
          <w:rPr>
            <w:noProof/>
            <w:webHidden/>
          </w:rPr>
          <w:fldChar w:fldCharType="begin"/>
        </w:r>
        <w:r w:rsidR="00D7481E">
          <w:rPr>
            <w:noProof/>
            <w:webHidden/>
          </w:rPr>
          <w:instrText xml:space="preserve"> PAGEREF _Toc260906579 \h </w:instrText>
        </w:r>
        <w:r>
          <w:rPr>
            <w:noProof/>
            <w:webHidden/>
          </w:rPr>
        </w:r>
        <w:r>
          <w:rPr>
            <w:noProof/>
            <w:webHidden/>
          </w:rPr>
          <w:fldChar w:fldCharType="separate"/>
        </w:r>
        <w:r w:rsidR="006F0576">
          <w:rPr>
            <w:noProof/>
            <w:webHidden/>
          </w:rPr>
          <w:t>4</w:t>
        </w:r>
        <w:r>
          <w:rPr>
            <w:noProof/>
            <w:webHidden/>
          </w:rPr>
          <w:fldChar w:fldCharType="end"/>
        </w:r>
      </w:hyperlink>
    </w:p>
    <w:p w:rsidR="00D7481E" w:rsidRDefault="0043675C">
      <w:pPr>
        <w:pStyle w:val="TOC2"/>
        <w:rPr>
          <w:rFonts w:asciiTheme="minorHAnsi" w:eastAsiaTheme="minorEastAsia" w:hAnsiTheme="minorHAnsi" w:cstheme="minorBidi"/>
          <w:noProof/>
          <w:sz w:val="22"/>
          <w:szCs w:val="22"/>
        </w:rPr>
      </w:pPr>
      <w:hyperlink w:anchor="_Toc260906580" w:history="1">
        <w:r w:rsidR="00D7481E" w:rsidRPr="003B6BEA">
          <w:rPr>
            <w:rStyle w:val="Hyperlink"/>
            <w:noProof/>
          </w:rPr>
          <w:t>B.</w:t>
        </w:r>
        <w:r w:rsidR="00D7481E">
          <w:rPr>
            <w:rFonts w:asciiTheme="minorHAnsi" w:eastAsiaTheme="minorEastAsia" w:hAnsiTheme="minorHAnsi" w:cstheme="minorBidi"/>
            <w:noProof/>
            <w:sz w:val="22"/>
            <w:szCs w:val="22"/>
          </w:rPr>
          <w:tab/>
        </w:r>
        <w:r w:rsidR="00D7481E" w:rsidRPr="003B6BEA">
          <w:rPr>
            <w:rStyle w:val="Hyperlink"/>
            <w:noProof/>
          </w:rPr>
          <w:t>Future Filings</w:t>
        </w:r>
        <w:r w:rsidR="00D7481E">
          <w:rPr>
            <w:noProof/>
            <w:webHidden/>
          </w:rPr>
          <w:tab/>
        </w:r>
        <w:r>
          <w:rPr>
            <w:noProof/>
            <w:webHidden/>
          </w:rPr>
          <w:fldChar w:fldCharType="begin"/>
        </w:r>
        <w:r w:rsidR="00D7481E">
          <w:rPr>
            <w:noProof/>
            <w:webHidden/>
          </w:rPr>
          <w:instrText xml:space="preserve"> PAGEREF _Toc260906580 \h </w:instrText>
        </w:r>
        <w:r>
          <w:rPr>
            <w:noProof/>
            <w:webHidden/>
          </w:rPr>
        </w:r>
        <w:r>
          <w:rPr>
            <w:noProof/>
            <w:webHidden/>
          </w:rPr>
          <w:fldChar w:fldCharType="separate"/>
        </w:r>
        <w:r w:rsidR="006F0576">
          <w:rPr>
            <w:noProof/>
            <w:webHidden/>
          </w:rPr>
          <w:t>6</w:t>
        </w:r>
        <w:r>
          <w:rPr>
            <w:noProof/>
            <w:webHidden/>
          </w:rPr>
          <w:fldChar w:fldCharType="end"/>
        </w:r>
      </w:hyperlink>
    </w:p>
    <w:p w:rsidR="00D7481E" w:rsidRDefault="0043675C">
      <w:pPr>
        <w:pStyle w:val="TOC1"/>
        <w:rPr>
          <w:rFonts w:asciiTheme="minorHAnsi" w:eastAsiaTheme="minorEastAsia" w:hAnsiTheme="minorHAnsi" w:cstheme="minorBidi"/>
          <w:noProof/>
          <w:sz w:val="22"/>
          <w:szCs w:val="22"/>
        </w:rPr>
      </w:pPr>
      <w:hyperlink w:anchor="_Toc260906581" w:history="1">
        <w:r w:rsidR="00D7481E" w:rsidRPr="003B6BEA">
          <w:rPr>
            <w:rStyle w:val="Hyperlink"/>
            <w:noProof/>
          </w:rPr>
          <w:t xml:space="preserve">V.  </w:t>
        </w:r>
        <w:r w:rsidR="00D7481E">
          <w:rPr>
            <w:rFonts w:asciiTheme="minorHAnsi" w:eastAsiaTheme="minorEastAsia" w:hAnsiTheme="minorHAnsi" w:cstheme="minorBidi"/>
            <w:noProof/>
            <w:sz w:val="22"/>
            <w:szCs w:val="22"/>
          </w:rPr>
          <w:tab/>
        </w:r>
        <w:r w:rsidR="00D7481E" w:rsidRPr="003B6BEA">
          <w:rPr>
            <w:rStyle w:val="Hyperlink"/>
            <w:noProof/>
          </w:rPr>
          <w:t>Discussion</w:t>
        </w:r>
        <w:r w:rsidR="00D7481E">
          <w:rPr>
            <w:noProof/>
            <w:webHidden/>
          </w:rPr>
          <w:tab/>
        </w:r>
        <w:r>
          <w:rPr>
            <w:noProof/>
            <w:webHidden/>
          </w:rPr>
          <w:fldChar w:fldCharType="begin"/>
        </w:r>
        <w:r w:rsidR="00D7481E">
          <w:rPr>
            <w:noProof/>
            <w:webHidden/>
          </w:rPr>
          <w:instrText xml:space="preserve"> PAGEREF _Toc260906581 \h </w:instrText>
        </w:r>
        <w:r>
          <w:rPr>
            <w:noProof/>
            <w:webHidden/>
          </w:rPr>
        </w:r>
        <w:r>
          <w:rPr>
            <w:noProof/>
            <w:webHidden/>
          </w:rPr>
          <w:fldChar w:fldCharType="separate"/>
        </w:r>
        <w:r w:rsidR="006F0576">
          <w:rPr>
            <w:noProof/>
            <w:webHidden/>
          </w:rPr>
          <w:t>7</w:t>
        </w:r>
        <w:r>
          <w:rPr>
            <w:noProof/>
            <w:webHidden/>
          </w:rPr>
          <w:fldChar w:fldCharType="end"/>
        </w:r>
      </w:hyperlink>
    </w:p>
    <w:p w:rsidR="00D7481E" w:rsidRDefault="0043675C">
      <w:pPr>
        <w:pStyle w:val="TOC2"/>
        <w:rPr>
          <w:rFonts w:asciiTheme="minorHAnsi" w:eastAsiaTheme="minorEastAsia" w:hAnsiTheme="minorHAnsi" w:cstheme="minorBidi"/>
          <w:noProof/>
          <w:sz w:val="22"/>
          <w:szCs w:val="22"/>
        </w:rPr>
      </w:pPr>
      <w:hyperlink w:anchor="_Toc260906582" w:history="1">
        <w:r w:rsidR="00D7481E" w:rsidRPr="003B6BEA">
          <w:rPr>
            <w:rStyle w:val="Hyperlink"/>
            <w:noProof/>
          </w:rPr>
          <w:t>A.</w:t>
        </w:r>
        <w:r w:rsidR="00D7481E">
          <w:rPr>
            <w:rFonts w:asciiTheme="minorHAnsi" w:eastAsiaTheme="minorEastAsia" w:hAnsiTheme="minorHAnsi" w:cstheme="minorBidi"/>
            <w:noProof/>
            <w:sz w:val="22"/>
            <w:szCs w:val="22"/>
          </w:rPr>
          <w:tab/>
        </w:r>
        <w:r w:rsidR="00D7481E" w:rsidRPr="003B6BEA">
          <w:rPr>
            <w:rStyle w:val="Hyperlink"/>
            <w:noProof/>
          </w:rPr>
          <w:t xml:space="preserve">     SMP Costs and Cost Recovery Issues</w:t>
        </w:r>
        <w:r w:rsidR="00D7481E">
          <w:rPr>
            <w:noProof/>
            <w:webHidden/>
          </w:rPr>
          <w:tab/>
        </w:r>
        <w:r>
          <w:rPr>
            <w:noProof/>
            <w:webHidden/>
          </w:rPr>
          <w:fldChar w:fldCharType="begin"/>
        </w:r>
        <w:r w:rsidR="00D7481E">
          <w:rPr>
            <w:noProof/>
            <w:webHidden/>
          </w:rPr>
          <w:instrText xml:space="preserve"> PAGEREF _Toc260906582 \h </w:instrText>
        </w:r>
        <w:r>
          <w:rPr>
            <w:noProof/>
            <w:webHidden/>
          </w:rPr>
        </w:r>
        <w:r>
          <w:rPr>
            <w:noProof/>
            <w:webHidden/>
          </w:rPr>
          <w:fldChar w:fldCharType="separate"/>
        </w:r>
        <w:r w:rsidR="006F0576">
          <w:rPr>
            <w:noProof/>
            <w:webHidden/>
          </w:rPr>
          <w:t>8</w:t>
        </w:r>
        <w:r>
          <w:rPr>
            <w:noProof/>
            <w:webHidden/>
          </w:rPr>
          <w:fldChar w:fldCharType="end"/>
        </w:r>
      </w:hyperlink>
    </w:p>
    <w:p w:rsidR="00D7481E" w:rsidRDefault="0043675C">
      <w:pPr>
        <w:pStyle w:val="TOC3"/>
        <w:rPr>
          <w:rFonts w:asciiTheme="minorHAnsi" w:eastAsiaTheme="minorEastAsia" w:hAnsiTheme="minorHAnsi" w:cstheme="minorBidi"/>
          <w:noProof/>
          <w:sz w:val="22"/>
          <w:szCs w:val="22"/>
        </w:rPr>
      </w:pPr>
      <w:hyperlink w:anchor="_Toc260906583" w:history="1">
        <w:r w:rsidR="00D7481E" w:rsidRPr="003B6BEA">
          <w:rPr>
            <w:rStyle w:val="Hyperlink"/>
            <w:noProof/>
          </w:rPr>
          <w:t>1.</w:t>
        </w:r>
        <w:r w:rsidR="00D7481E">
          <w:rPr>
            <w:rFonts w:asciiTheme="minorHAnsi" w:eastAsiaTheme="minorEastAsia" w:hAnsiTheme="minorHAnsi" w:cstheme="minorBidi"/>
            <w:noProof/>
            <w:sz w:val="22"/>
            <w:szCs w:val="22"/>
          </w:rPr>
          <w:tab/>
        </w:r>
        <w:r w:rsidR="00D7481E" w:rsidRPr="003B6BEA">
          <w:rPr>
            <w:rStyle w:val="Hyperlink"/>
            <w:noProof/>
          </w:rPr>
          <w:t xml:space="preserve"> Cost Allocation of Common Costs</w:t>
        </w:r>
        <w:r w:rsidR="00D7481E">
          <w:rPr>
            <w:noProof/>
            <w:webHidden/>
          </w:rPr>
          <w:tab/>
        </w:r>
        <w:r>
          <w:rPr>
            <w:noProof/>
            <w:webHidden/>
          </w:rPr>
          <w:fldChar w:fldCharType="begin"/>
        </w:r>
        <w:r w:rsidR="00D7481E">
          <w:rPr>
            <w:noProof/>
            <w:webHidden/>
          </w:rPr>
          <w:instrText xml:space="preserve"> PAGEREF _Toc260906583 \h </w:instrText>
        </w:r>
        <w:r>
          <w:rPr>
            <w:noProof/>
            <w:webHidden/>
          </w:rPr>
        </w:r>
        <w:r>
          <w:rPr>
            <w:noProof/>
            <w:webHidden/>
          </w:rPr>
          <w:fldChar w:fldCharType="separate"/>
        </w:r>
        <w:r w:rsidR="006F0576">
          <w:rPr>
            <w:noProof/>
            <w:webHidden/>
          </w:rPr>
          <w:t>8</w:t>
        </w:r>
        <w:r>
          <w:rPr>
            <w:noProof/>
            <w:webHidden/>
          </w:rPr>
          <w:fldChar w:fldCharType="end"/>
        </w:r>
      </w:hyperlink>
    </w:p>
    <w:p w:rsidR="00D7481E" w:rsidRDefault="0043675C">
      <w:pPr>
        <w:pStyle w:val="TOC4"/>
        <w:rPr>
          <w:rFonts w:asciiTheme="minorHAnsi" w:eastAsiaTheme="minorEastAsia" w:hAnsiTheme="minorHAnsi" w:cstheme="minorBidi"/>
          <w:noProof/>
          <w:sz w:val="22"/>
          <w:szCs w:val="22"/>
        </w:rPr>
      </w:pPr>
      <w:hyperlink w:anchor="_Toc260906584" w:history="1">
        <w:r w:rsidR="00D7481E" w:rsidRPr="003B6BEA">
          <w:rPr>
            <w:rStyle w:val="Hyperlink"/>
            <w:noProof/>
          </w:rPr>
          <w:t>a.</w:t>
        </w:r>
        <w:r w:rsidR="00D7481E">
          <w:rPr>
            <w:rFonts w:asciiTheme="minorHAnsi" w:eastAsiaTheme="minorEastAsia" w:hAnsiTheme="minorHAnsi" w:cstheme="minorBidi"/>
            <w:noProof/>
            <w:sz w:val="22"/>
            <w:szCs w:val="22"/>
          </w:rPr>
          <w:tab/>
        </w:r>
        <w:r w:rsidR="00D7481E" w:rsidRPr="003B6BEA">
          <w:rPr>
            <w:rStyle w:val="Hyperlink"/>
            <w:noProof/>
          </w:rPr>
          <w:t>Provisions of the Plan</w:t>
        </w:r>
        <w:r w:rsidR="00D7481E">
          <w:rPr>
            <w:noProof/>
            <w:webHidden/>
          </w:rPr>
          <w:tab/>
        </w:r>
        <w:r>
          <w:rPr>
            <w:noProof/>
            <w:webHidden/>
          </w:rPr>
          <w:fldChar w:fldCharType="begin"/>
        </w:r>
        <w:r w:rsidR="00D7481E">
          <w:rPr>
            <w:noProof/>
            <w:webHidden/>
          </w:rPr>
          <w:instrText xml:space="preserve"> PAGEREF _Toc260906584 \h </w:instrText>
        </w:r>
        <w:r>
          <w:rPr>
            <w:noProof/>
            <w:webHidden/>
          </w:rPr>
        </w:r>
        <w:r>
          <w:rPr>
            <w:noProof/>
            <w:webHidden/>
          </w:rPr>
          <w:fldChar w:fldCharType="separate"/>
        </w:r>
        <w:r w:rsidR="006F0576">
          <w:rPr>
            <w:noProof/>
            <w:webHidden/>
          </w:rPr>
          <w:t>8</w:t>
        </w:r>
        <w:r>
          <w:rPr>
            <w:noProof/>
            <w:webHidden/>
          </w:rPr>
          <w:fldChar w:fldCharType="end"/>
        </w:r>
      </w:hyperlink>
    </w:p>
    <w:p w:rsidR="00D7481E" w:rsidRDefault="0043675C">
      <w:pPr>
        <w:pStyle w:val="TOC4"/>
        <w:rPr>
          <w:rFonts w:asciiTheme="minorHAnsi" w:eastAsiaTheme="minorEastAsia" w:hAnsiTheme="minorHAnsi" w:cstheme="minorBidi"/>
          <w:noProof/>
          <w:sz w:val="22"/>
          <w:szCs w:val="22"/>
        </w:rPr>
      </w:pPr>
      <w:hyperlink w:anchor="_Toc260906585" w:history="1">
        <w:r w:rsidR="00D7481E" w:rsidRPr="003B6BEA">
          <w:rPr>
            <w:rStyle w:val="Hyperlink"/>
            <w:noProof/>
          </w:rPr>
          <w:t>b.</w:t>
        </w:r>
        <w:r w:rsidR="00D7481E">
          <w:rPr>
            <w:rFonts w:asciiTheme="minorHAnsi" w:eastAsiaTheme="minorEastAsia" w:hAnsiTheme="minorHAnsi" w:cstheme="minorBidi"/>
            <w:noProof/>
            <w:sz w:val="22"/>
            <w:szCs w:val="22"/>
          </w:rPr>
          <w:tab/>
        </w:r>
        <w:r w:rsidR="00D7481E" w:rsidRPr="003B6BEA">
          <w:rPr>
            <w:rStyle w:val="Hyperlink"/>
            <w:noProof/>
          </w:rPr>
          <w:t>ALJ Recommendation</w:t>
        </w:r>
        <w:r w:rsidR="00D7481E">
          <w:rPr>
            <w:noProof/>
            <w:webHidden/>
          </w:rPr>
          <w:tab/>
        </w:r>
        <w:r>
          <w:rPr>
            <w:noProof/>
            <w:webHidden/>
          </w:rPr>
          <w:fldChar w:fldCharType="begin"/>
        </w:r>
        <w:r w:rsidR="00D7481E">
          <w:rPr>
            <w:noProof/>
            <w:webHidden/>
          </w:rPr>
          <w:instrText xml:space="preserve"> PAGEREF _Toc260906585 \h </w:instrText>
        </w:r>
        <w:r>
          <w:rPr>
            <w:noProof/>
            <w:webHidden/>
          </w:rPr>
        </w:r>
        <w:r>
          <w:rPr>
            <w:noProof/>
            <w:webHidden/>
          </w:rPr>
          <w:fldChar w:fldCharType="separate"/>
        </w:r>
        <w:r w:rsidR="006F0576">
          <w:rPr>
            <w:noProof/>
            <w:webHidden/>
          </w:rPr>
          <w:t>9</w:t>
        </w:r>
        <w:r>
          <w:rPr>
            <w:noProof/>
            <w:webHidden/>
          </w:rPr>
          <w:fldChar w:fldCharType="end"/>
        </w:r>
      </w:hyperlink>
    </w:p>
    <w:p w:rsidR="00D7481E" w:rsidRDefault="0043675C">
      <w:pPr>
        <w:pStyle w:val="TOC4"/>
        <w:rPr>
          <w:rFonts w:asciiTheme="minorHAnsi" w:eastAsiaTheme="minorEastAsia" w:hAnsiTheme="minorHAnsi" w:cstheme="minorBidi"/>
          <w:noProof/>
          <w:sz w:val="22"/>
          <w:szCs w:val="22"/>
        </w:rPr>
      </w:pPr>
      <w:hyperlink w:anchor="_Toc260906586" w:history="1">
        <w:r w:rsidR="00D7481E" w:rsidRPr="003B6BEA">
          <w:rPr>
            <w:rStyle w:val="Hyperlink"/>
            <w:noProof/>
          </w:rPr>
          <w:t>c.</w:t>
        </w:r>
        <w:r w:rsidR="00D7481E">
          <w:rPr>
            <w:rFonts w:asciiTheme="minorHAnsi" w:eastAsiaTheme="minorEastAsia" w:hAnsiTheme="minorHAnsi" w:cstheme="minorBidi"/>
            <w:noProof/>
            <w:sz w:val="22"/>
            <w:szCs w:val="22"/>
          </w:rPr>
          <w:tab/>
        </w:r>
        <w:r w:rsidR="00D7481E" w:rsidRPr="003B6BEA">
          <w:rPr>
            <w:rStyle w:val="Hyperlink"/>
            <w:noProof/>
          </w:rPr>
          <w:t>Exceptions and Replies</w:t>
        </w:r>
        <w:r w:rsidR="00D7481E">
          <w:rPr>
            <w:noProof/>
            <w:webHidden/>
          </w:rPr>
          <w:tab/>
        </w:r>
        <w:r>
          <w:rPr>
            <w:noProof/>
            <w:webHidden/>
          </w:rPr>
          <w:fldChar w:fldCharType="begin"/>
        </w:r>
        <w:r w:rsidR="00D7481E">
          <w:rPr>
            <w:noProof/>
            <w:webHidden/>
          </w:rPr>
          <w:instrText xml:space="preserve"> PAGEREF _Toc260906586 \h </w:instrText>
        </w:r>
        <w:r>
          <w:rPr>
            <w:noProof/>
            <w:webHidden/>
          </w:rPr>
        </w:r>
        <w:r>
          <w:rPr>
            <w:noProof/>
            <w:webHidden/>
          </w:rPr>
          <w:fldChar w:fldCharType="separate"/>
        </w:r>
        <w:r w:rsidR="006F0576">
          <w:rPr>
            <w:noProof/>
            <w:webHidden/>
          </w:rPr>
          <w:t>9</w:t>
        </w:r>
        <w:r>
          <w:rPr>
            <w:noProof/>
            <w:webHidden/>
          </w:rPr>
          <w:fldChar w:fldCharType="end"/>
        </w:r>
      </w:hyperlink>
    </w:p>
    <w:p w:rsidR="00D7481E" w:rsidRDefault="0043675C">
      <w:pPr>
        <w:pStyle w:val="TOC4"/>
        <w:rPr>
          <w:rFonts w:asciiTheme="minorHAnsi" w:eastAsiaTheme="minorEastAsia" w:hAnsiTheme="minorHAnsi" w:cstheme="minorBidi"/>
          <w:noProof/>
          <w:sz w:val="22"/>
          <w:szCs w:val="22"/>
        </w:rPr>
      </w:pPr>
      <w:hyperlink w:anchor="_Toc260906587" w:history="1">
        <w:r w:rsidR="00D7481E" w:rsidRPr="003B6BEA">
          <w:rPr>
            <w:rStyle w:val="Hyperlink"/>
            <w:noProof/>
          </w:rPr>
          <w:t>d.</w:t>
        </w:r>
        <w:r w:rsidR="00D7481E">
          <w:rPr>
            <w:rFonts w:asciiTheme="minorHAnsi" w:eastAsiaTheme="minorEastAsia" w:hAnsiTheme="minorHAnsi" w:cstheme="minorBidi"/>
            <w:noProof/>
            <w:sz w:val="22"/>
            <w:szCs w:val="22"/>
          </w:rPr>
          <w:tab/>
        </w:r>
        <w:r w:rsidR="00D7481E" w:rsidRPr="003B6BEA">
          <w:rPr>
            <w:rStyle w:val="Hyperlink"/>
            <w:noProof/>
          </w:rPr>
          <w:t>Disposition</w:t>
        </w:r>
        <w:r w:rsidR="00D7481E">
          <w:rPr>
            <w:noProof/>
            <w:webHidden/>
          </w:rPr>
          <w:tab/>
        </w:r>
        <w:r>
          <w:rPr>
            <w:noProof/>
            <w:webHidden/>
          </w:rPr>
          <w:fldChar w:fldCharType="begin"/>
        </w:r>
        <w:r w:rsidR="00D7481E">
          <w:rPr>
            <w:noProof/>
            <w:webHidden/>
          </w:rPr>
          <w:instrText xml:space="preserve"> PAGEREF _Toc260906587 \h </w:instrText>
        </w:r>
        <w:r>
          <w:rPr>
            <w:noProof/>
            <w:webHidden/>
          </w:rPr>
        </w:r>
        <w:r>
          <w:rPr>
            <w:noProof/>
            <w:webHidden/>
          </w:rPr>
          <w:fldChar w:fldCharType="separate"/>
        </w:r>
        <w:r w:rsidR="006F0576">
          <w:rPr>
            <w:noProof/>
            <w:webHidden/>
          </w:rPr>
          <w:t>11</w:t>
        </w:r>
        <w:r>
          <w:rPr>
            <w:noProof/>
            <w:webHidden/>
          </w:rPr>
          <w:fldChar w:fldCharType="end"/>
        </w:r>
      </w:hyperlink>
    </w:p>
    <w:p w:rsidR="00D7481E" w:rsidRDefault="0043675C">
      <w:pPr>
        <w:pStyle w:val="TOC3"/>
        <w:rPr>
          <w:rFonts w:asciiTheme="minorHAnsi" w:eastAsiaTheme="minorEastAsia" w:hAnsiTheme="minorHAnsi" w:cstheme="minorBidi"/>
          <w:noProof/>
          <w:sz w:val="22"/>
          <w:szCs w:val="22"/>
        </w:rPr>
      </w:pPr>
      <w:hyperlink w:anchor="_Toc260906588" w:history="1">
        <w:r w:rsidR="00D7481E" w:rsidRPr="003B6BEA">
          <w:rPr>
            <w:rStyle w:val="Hyperlink"/>
            <w:noProof/>
          </w:rPr>
          <w:t>2.</w:t>
        </w:r>
        <w:r w:rsidR="00D7481E">
          <w:rPr>
            <w:rFonts w:asciiTheme="minorHAnsi" w:eastAsiaTheme="minorEastAsia" w:hAnsiTheme="minorHAnsi" w:cstheme="minorBidi"/>
            <w:noProof/>
            <w:sz w:val="22"/>
            <w:szCs w:val="22"/>
          </w:rPr>
          <w:tab/>
        </w:r>
        <w:r w:rsidR="00D7481E" w:rsidRPr="003B6BEA">
          <w:rPr>
            <w:rStyle w:val="Hyperlink"/>
            <w:noProof/>
          </w:rPr>
          <w:t>Cost Recovery</w:t>
        </w:r>
        <w:r w:rsidR="00D7481E">
          <w:rPr>
            <w:noProof/>
            <w:webHidden/>
          </w:rPr>
          <w:tab/>
        </w:r>
        <w:r>
          <w:rPr>
            <w:noProof/>
            <w:webHidden/>
          </w:rPr>
          <w:fldChar w:fldCharType="begin"/>
        </w:r>
        <w:r w:rsidR="00D7481E">
          <w:rPr>
            <w:noProof/>
            <w:webHidden/>
          </w:rPr>
          <w:instrText xml:space="preserve"> PAGEREF _Toc260906588 \h </w:instrText>
        </w:r>
        <w:r>
          <w:rPr>
            <w:noProof/>
            <w:webHidden/>
          </w:rPr>
        </w:r>
        <w:r>
          <w:rPr>
            <w:noProof/>
            <w:webHidden/>
          </w:rPr>
          <w:fldChar w:fldCharType="separate"/>
        </w:r>
        <w:r w:rsidR="006F0576">
          <w:rPr>
            <w:noProof/>
            <w:webHidden/>
          </w:rPr>
          <w:t>12</w:t>
        </w:r>
        <w:r>
          <w:rPr>
            <w:noProof/>
            <w:webHidden/>
          </w:rPr>
          <w:fldChar w:fldCharType="end"/>
        </w:r>
      </w:hyperlink>
    </w:p>
    <w:p w:rsidR="00D7481E" w:rsidRDefault="0043675C">
      <w:pPr>
        <w:pStyle w:val="TOC4"/>
        <w:rPr>
          <w:rFonts w:asciiTheme="minorHAnsi" w:eastAsiaTheme="minorEastAsia" w:hAnsiTheme="minorHAnsi" w:cstheme="minorBidi"/>
          <w:noProof/>
          <w:sz w:val="22"/>
          <w:szCs w:val="22"/>
        </w:rPr>
      </w:pPr>
      <w:hyperlink w:anchor="_Toc260906589" w:history="1">
        <w:r w:rsidR="00D7481E" w:rsidRPr="003B6BEA">
          <w:rPr>
            <w:rStyle w:val="Hyperlink"/>
            <w:noProof/>
          </w:rPr>
          <w:t>a.</w:t>
        </w:r>
        <w:r w:rsidR="00D7481E">
          <w:rPr>
            <w:rFonts w:asciiTheme="minorHAnsi" w:eastAsiaTheme="minorEastAsia" w:hAnsiTheme="minorHAnsi" w:cstheme="minorBidi"/>
            <w:noProof/>
            <w:sz w:val="22"/>
            <w:szCs w:val="22"/>
          </w:rPr>
          <w:tab/>
        </w:r>
        <w:r w:rsidR="00D7481E" w:rsidRPr="003B6BEA">
          <w:rPr>
            <w:rStyle w:val="Hyperlink"/>
            <w:noProof/>
          </w:rPr>
          <w:t>Interest on Over/Under Collections</w:t>
        </w:r>
        <w:r w:rsidR="00D7481E">
          <w:rPr>
            <w:noProof/>
            <w:webHidden/>
          </w:rPr>
          <w:tab/>
        </w:r>
        <w:r>
          <w:rPr>
            <w:noProof/>
            <w:webHidden/>
          </w:rPr>
          <w:fldChar w:fldCharType="begin"/>
        </w:r>
        <w:r w:rsidR="00D7481E">
          <w:rPr>
            <w:noProof/>
            <w:webHidden/>
          </w:rPr>
          <w:instrText xml:space="preserve"> PAGEREF _Toc260906589 \h </w:instrText>
        </w:r>
        <w:r>
          <w:rPr>
            <w:noProof/>
            <w:webHidden/>
          </w:rPr>
        </w:r>
        <w:r>
          <w:rPr>
            <w:noProof/>
            <w:webHidden/>
          </w:rPr>
          <w:fldChar w:fldCharType="separate"/>
        </w:r>
        <w:r w:rsidR="006F0576">
          <w:rPr>
            <w:noProof/>
            <w:webHidden/>
          </w:rPr>
          <w:t>12</w:t>
        </w:r>
        <w:r>
          <w:rPr>
            <w:noProof/>
            <w:webHidden/>
          </w:rPr>
          <w:fldChar w:fldCharType="end"/>
        </w:r>
      </w:hyperlink>
    </w:p>
    <w:p w:rsidR="00D7481E" w:rsidRDefault="0043675C">
      <w:pPr>
        <w:pStyle w:val="TOC5"/>
        <w:rPr>
          <w:rFonts w:asciiTheme="minorHAnsi" w:eastAsiaTheme="minorEastAsia" w:hAnsiTheme="minorHAnsi" w:cstheme="minorBidi"/>
          <w:noProof/>
          <w:sz w:val="22"/>
          <w:szCs w:val="22"/>
        </w:rPr>
      </w:pPr>
      <w:hyperlink w:anchor="_Toc260906590" w:history="1">
        <w:r w:rsidR="00D7481E" w:rsidRPr="003B6BEA">
          <w:rPr>
            <w:rStyle w:val="Hyperlink"/>
            <w:noProof/>
          </w:rPr>
          <w:t>(1)</w:t>
        </w:r>
        <w:r w:rsidR="00D7481E">
          <w:rPr>
            <w:rFonts w:asciiTheme="minorHAnsi" w:eastAsiaTheme="minorEastAsia" w:hAnsiTheme="minorHAnsi" w:cstheme="minorBidi"/>
            <w:noProof/>
            <w:sz w:val="22"/>
            <w:szCs w:val="22"/>
          </w:rPr>
          <w:tab/>
        </w:r>
        <w:r w:rsidR="00D7481E" w:rsidRPr="003B6BEA">
          <w:rPr>
            <w:rStyle w:val="Hyperlink"/>
            <w:noProof/>
          </w:rPr>
          <w:t>Provisions of the Plan</w:t>
        </w:r>
        <w:r w:rsidR="00D7481E">
          <w:rPr>
            <w:noProof/>
            <w:webHidden/>
          </w:rPr>
          <w:tab/>
        </w:r>
        <w:r>
          <w:rPr>
            <w:noProof/>
            <w:webHidden/>
          </w:rPr>
          <w:fldChar w:fldCharType="begin"/>
        </w:r>
        <w:r w:rsidR="00D7481E">
          <w:rPr>
            <w:noProof/>
            <w:webHidden/>
          </w:rPr>
          <w:instrText xml:space="preserve"> PAGEREF _Toc260906590 \h </w:instrText>
        </w:r>
        <w:r>
          <w:rPr>
            <w:noProof/>
            <w:webHidden/>
          </w:rPr>
        </w:r>
        <w:r>
          <w:rPr>
            <w:noProof/>
            <w:webHidden/>
          </w:rPr>
          <w:fldChar w:fldCharType="separate"/>
        </w:r>
        <w:r w:rsidR="006F0576">
          <w:rPr>
            <w:noProof/>
            <w:webHidden/>
          </w:rPr>
          <w:t>12</w:t>
        </w:r>
        <w:r>
          <w:rPr>
            <w:noProof/>
            <w:webHidden/>
          </w:rPr>
          <w:fldChar w:fldCharType="end"/>
        </w:r>
      </w:hyperlink>
    </w:p>
    <w:p w:rsidR="00D7481E" w:rsidRDefault="0043675C">
      <w:pPr>
        <w:pStyle w:val="TOC5"/>
        <w:rPr>
          <w:rFonts w:asciiTheme="minorHAnsi" w:eastAsiaTheme="minorEastAsia" w:hAnsiTheme="minorHAnsi" w:cstheme="minorBidi"/>
          <w:noProof/>
          <w:sz w:val="22"/>
          <w:szCs w:val="22"/>
        </w:rPr>
      </w:pPr>
      <w:hyperlink w:anchor="_Toc260906591" w:history="1">
        <w:r w:rsidR="00D7481E" w:rsidRPr="003B6BEA">
          <w:rPr>
            <w:rStyle w:val="Hyperlink"/>
            <w:noProof/>
          </w:rPr>
          <w:t>(2)</w:t>
        </w:r>
        <w:r w:rsidR="00D7481E">
          <w:rPr>
            <w:rFonts w:asciiTheme="minorHAnsi" w:eastAsiaTheme="minorEastAsia" w:hAnsiTheme="minorHAnsi" w:cstheme="minorBidi"/>
            <w:noProof/>
            <w:sz w:val="22"/>
            <w:szCs w:val="22"/>
          </w:rPr>
          <w:tab/>
        </w:r>
        <w:r w:rsidR="00D7481E" w:rsidRPr="003B6BEA">
          <w:rPr>
            <w:rStyle w:val="Hyperlink"/>
            <w:noProof/>
          </w:rPr>
          <w:t>ALJ Recommendation</w:t>
        </w:r>
        <w:r w:rsidR="00D7481E">
          <w:rPr>
            <w:noProof/>
            <w:webHidden/>
          </w:rPr>
          <w:tab/>
        </w:r>
        <w:r>
          <w:rPr>
            <w:noProof/>
            <w:webHidden/>
          </w:rPr>
          <w:fldChar w:fldCharType="begin"/>
        </w:r>
        <w:r w:rsidR="00D7481E">
          <w:rPr>
            <w:noProof/>
            <w:webHidden/>
          </w:rPr>
          <w:instrText xml:space="preserve"> PAGEREF _Toc260906591 \h </w:instrText>
        </w:r>
        <w:r>
          <w:rPr>
            <w:noProof/>
            <w:webHidden/>
          </w:rPr>
        </w:r>
        <w:r>
          <w:rPr>
            <w:noProof/>
            <w:webHidden/>
          </w:rPr>
          <w:fldChar w:fldCharType="separate"/>
        </w:r>
        <w:r w:rsidR="006F0576">
          <w:rPr>
            <w:noProof/>
            <w:webHidden/>
          </w:rPr>
          <w:t>12</w:t>
        </w:r>
        <w:r>
          <w:rPr>
            <w:noProof/>
            <w:webHidden/>
          </w:rPr>
          <w:fldChar w:fldCharType="end"/>
        </w:r>
      </w:hyperlink>
    </w:p>
    <w:p w:rsidR="00D7481E" w:rsidRDefault="0043675C">
      <w:pPr>
        <w:pStyle w:val="TOC5"/>
        <w:rPr>
          <w:rFonts w:asciiTheme="minorHAnsi" w:eastAsiaTheme="minorEastAsia" w:hAnsiTheme="minorHAnsi" w:cstheme="minorBidi"/>
          <w:noProof/>
          <w:sz w:val="22"/>
          <w:szCs w:val="22"/>
        </w:rPr>
      </w:pPr>
      <w:hyperlink w:anchor="_Toc260906592" w:history="1">
        <w:r w:rsidR="00D7481E" w:rsidRPr="003B6BEA">
          <w:rPr>
            <w:rStyle w:val="Hyperlink"/>
            <w:noProof/>
          </w:rPr>
          <w:t>(3)</w:t>
        </w:r>
        <w:r w:rsidR="00D7481E">
          <w:rPr>
            <w:rFonts w:asciiTheme="minorHAnsi" w:eastAsiaTheme="minorEastAsia" w:hAnsiTheme="minorHAnsi" w:cstheme="minorBidi"/>
            <w:noProof/>
            <w:sz w:val="22"/>
            <w:szCs w:val="22"/>
          </w:rPr>
          <w:tab/>
        </w:r>
        <w:r w:rsidR="00D7481E" w:rsidRPr="003B6BEA">
          <w:rPr>
            <w:rStyle w:val="Hyperlink"/>
            <w:noProof/>
          </w:rPr>
          <w:t>Exceptions and Replies</w:t>
        </w:r>
        <w:r w:rsidR="00D7481E">
          <w:rPr>
            <w:noProof/>
            <w:webHidden/>
          </w:rPr>
          <w:tab/>
        </w:r>
        <w:r>
          <w:rPr>
            <w:noProof/>
            <w:webHidden/>
          </w:rPr>
          <w:fldChar w:fldCharType="begin"/>
        </w:r>
        <w:r w:rsidR="00D7481E">
          <w:rPr>
            <w:noProof/>
            <w:webHidden/>
          </w:rPr>
          <w:instrText xml:space="preserve"> PAGEREF _Toc260906592 \h </w:instrText>
        </w:r>
        <w:r>
          <w:rPr>
            <w:noProof/>
            <w:webHidden/>
          </w:rPr>
        </w:r>
        <w:r>
          <w:rPr>
            <w:noProof/>
            <w:webHidden/>
          </w:rPr>
          <w:fldChar w:fldCharType="separate"/>
        </w:r>
        <w:r w:rsidR="006F0576">
          <w:rPr>
            <w:noProof/>
            <w:webHidden/>
          </w:rPr>
          <w:t>13</w:t>
        </w:r>
        <w:r>
          <w:rPr>
            <w:noProof/>
            <w:webHidden/>
          </w:rPr>
          <w:fldChar w:fldCharType="end"/>
        </w:r>
      </w:hyperlink>
    </w:p>
    <w:p w:rsidR="00D7481E" w:rsidRDefault="0043675C">
      <w:pPr>
        <w:pStyle w:val="TOC5"/>
        <w:rPr>
          <w:rFonts w:asciiTheme="minorHAnsi" w:eastAsiaTheme="minorEastAsia" w:hAnsiTheme="minorHAnsi" w:cstheme="minorBidi"/>
          <w:noProof/>
          <w:sz w:val="22"/>
          <w:szCs w:val="22"/>
        </w:rPr>
      </w:pPr>
      <w:hyperlink w:anchor="_Toc260906593" w:history="1">
        <w:r w:rsidR="00D7481E" w:rsidRPr="003B6BEA">
          <w:rPr>
            <w:rStyle w:val="Hyperlink"/>
            <w:noProof/>
          </w:rPr>
          <w:t>(4)</w:t>
        </w:r>
        <w:r w:rsidR="00D7481E">
          <w:rPr>
            <w:rFonts w:asciiTheme="minorHAnsi" w:eastAsiaTheme="minorEastAsia" w:hAnsiTheme="minorHAnsi" w:cstheme="minorBidi"/>
            <w:noProof/>
            <w:sz w:val="22"/>
            <w:szCs w:val="22"/>
          </w:rPr>
          <w:tab/>
        </w:r>
        <w:r w:rsidR="00D7481E" w:rsidRPr="003B6BEA">
          <w:rPr>
            <w:rStyle w:val="Hyperlink"/>
            <w:noProof/>
          </w:rPr>
          <w:t>Disposition</w:t>
        </w:r>
        <w:r w:rsidR="00D7481E">
          <w:rPr>
            <w:noProof/>
            <w:webHidden/>
          </w:rPr>
          <w:tab/>
        </w:r>
        <w:r>
          <w:rPr>
            <w:noProof/>
            <w:webHidden/>
          </w:rPr>
          <w:fldChar w:fldCharType="begin"/>
        </w:r>
        <w:r w:rsidR="00D7481E">
          <w:rPr>
            <w:noProof/>
            <w:webHidden/>
          </w:rPr>
          <w:instrText xml:space="preserve"> PAGEREF _Toc260906593 \h </w:instrText>
        </w:r>
        <w:r>
          <w:rPr>
            <w:noProof/>
            <w:webHidden/>
          </w:rPr>
        </w:r>
        <w:r>
          <w:rPr>
            <w:noProof/>
            <w:webHidden/>
          </w:rPr>
          <w:fldChar w:fldCharType="separate"/>
        </w:r>
        <w:r w:rsidR="006F0576">
          <w:rPr>
            <w:noProof/>
            <w:webHidden/>
          </w:rPr>
          <w:t>14</w:t>
        </w:r>
        <w:r>
          <w:rPr>
            <w:noProof/>
            <w:webHidden/>
          </w:rPr>
          <w:fldChar w:fldCharType="end"/>
        </w:r>
      </w:hyperlink>
    </w:p>
    <w:p w:rsidR="00D7481E" w:rsidRDefault="0043675C">
      <w:pPr>
        <w:pStyle w:val="TOC4"/>
        <w:rPr>
          <w:rFonts w:asciiTheme="minorHAnsi" w:eastAsiaTheme="minorEastAsia" w:hAnsiTheme="minorHAnsi" w:cstheme="minorBidi"/>
          <w:noProof/>
          <w:sz w:val="22"/>
          <w:szCs w:val="22"/>
        </w:rPr>
      </w:pPr>
      <w:hyperlink w:anchor="_Toc260906594" w:history="1">
        <w:r w:rsidR="00D7481E" w:rsidRPr="003B6BEA">
          <w:rPr>
            <w:rStyle w:val="Hyperlink"/>
            <w:noProof/>
          </w:rPr>
          <w:t>b.</w:t>
        </w:r>
        <w:r w:rsidR="00D7481E">
          <w:rPr>
            <w:rFonts w:asciiTheme="minorHAnsi" w:eastAsiaTheme="minorEastAsia" w:hAnsiTheme="minorHAnsi" w:cstheme="minorBidi"/>
            <w:noProof/>
            <w:sz w:val="22"/>
            <w:szCs w:val="22"/>
          </w:rPr>
          <w:tab/>
        </w:r>
        <w:r w:rsidR="00D7481E" w:rsidRPr="003B6BEA">
          <w:rPr>
            <w:rStyle w:val="Hyperlink"/>
            <w:noProof/>
          </w:rPr>
          <w:t>Rate Base Valuation for Quarterly Smart Meter Charge</w:t>
        </w:r>
        <w:r w:rsidR="00D7481E">
          <w:rPr>
            <w:noProof/>
            <w:webHidden/>
          </w:rPr>
          <w:tab/>
        </w:r>
        <w:r>
          <w:rPr>
            <w:noProof/>
            <w:webHidden/>
          </w:rPr>
          <w:fldChar w:fldCharType="begin"/>
        </w:r>
        <w:r w:rsidR="00D7481E">
          <w:rPr>
            <w:noProof/>
            <w:webHidden/>
          </w:rPr>
          <w:instrText xml:space="preserve"> PAGEREF _Toc260906594 \h </w:instrText>
        </w:r>
        <w:r>
          <w:rPr>
            <w:noProof/>
            <w:webHidden/>
          </w:rPr>
        </w:r>
        <w:r>
          <w:rPr>
            <w:noProof/>
            <w:webHidden/>
          </w:rPr>
          <w:fldChar w:fldCharType="separate"/>
        </w:r>
        <w:r w:rsidR="006F0576">
          <w:rPr>
            <w:noProof/>
            <w:webHidden/>
          </w:rPr>
          <w:t>15</w:t>
        </w:r>
        <w:r>
          <w:rPr>
            <w:noProof/>
            <w:webHidden/>
          </w:rPr>
          <w:fldChar w:fldCharType="end"/>
        </w:r>
      </w:hyperlink>
    </w:p>
    <w:p w:rsidR="00D7481E" w:rsidRDefault="0043675C">
      <w:pPr>
        <w:pStyle w:val="TOC5"/>
        <w:rPr>
          <w:rFonts w:asciiTheme="minorHAnsi" w:eastAsiaTheme="minorEastAsia" w:hAnsiTheme="minorHAnsi" w:cstheme="minorBidi"/>
          <w:noProof/>
          <w:sz w:val="22"/>
          <w:szCs w:val="22"/>
        </w:rPr>
      </w:pPr>
      <w:hyperlink w:anchor="_Toc260906595" w:history="1">
        <w:r w:rsidR="00D7481E" w:rsidRPr="003B6BEA">
          <w:rPr>
            <w:rStyle w:val="Hyperlink"/>
            <w:noProof/>
          </w:rPr>
          <w:t>(1)</w:t>
        </w:r>
        <w:r w:rsidR="00D7481E">
          <w:rPr>
            <w:rFonts w:asciiTheme="minorHAnsi" w:eastAsiaTheme="minorEastAsia" w:hAnsiTheme="minorHAnsi" w:cstheme="minorBidi"/>
            <w:noProof/>
            <w:sz w:val="22"/>
            <w:szCs w:val="22"/>
          </w:rPr>
          <w:tab/>
        </w:r>
        <w:r w:rsidR="00D7481E" w:rsidRPr="003B6BEA">
          <w:rPr>
            <w:rStyle w:val="Hyperlink"/>
            <w:noProof/>
          </w:rPr>
          <w:t>Provisions of the Plan</w:t>
        </w:r>
        <w:r w:rsidR="00D7481E">
          <w:rPr>
            <w:noProof/>
            <w:webHidden/>
          </w:rPr>
          <w:tab/>
        </w:r>
        <w:r>
          <w:rPr>
            <w:noProof/>
            <w:webHidden/>
          </w:rPr>
          <w:fldChar w:fldCharType="begin"/>
        </w:r>
        <w:r w:rsidR="00D7481E">
          <w:rPr>
            <w:noProof/>
            <w:webHidden/>
          </w:rPr>
          <w:instrText xml:space="preserve"> PAGEREF _Toc260906595 \h </w:instrText>
        </w:r>
        <w:r>
          <w:rPr>
            <w:noProof/>
            <w:webHidden/>
          </w:rPr>
        </w:r>
        <w:r>
          <w:rPr>
            <w:noProof/>
            <w:webHidden/>
          </w:rPr>
          <w:fldChar w:fldCharType="separate"/>
        </w:r>
        <w:r w:rsidR="006F0576">
          <w:rPr>
            <w:noProof/>
            <w:webHidden/>
          </w:rPr>
          <w:t>15</w:t>
        </w:r>
        <w:r>
          <w:rPr>
            <w:noProof/>
            <w:webHidden/>
          </w:rPr>
          <w:fldChar w:fldCharType="end"/>
        </w:r>
      </w:hyperlink>
    </w:p>
    <w:p w:rsidR="00D7481E" w:rsidRDefault="0043675C">
      <w:pPr>
        <w:pStyle w:val="TOC5"/>
        <w:rPr>
          <w:rFonts w:asciiTheme="minorHAnsi" w:eastAsiaTheme="minorEastAsia" w:hAnsiTheme="minorHAnsi" w:cstheme="minorBidi"/>
          <w:noProof/>
          <w:sz w:val="22"/>
          <w:szCs w:val="22"/>
        </w:rPr>
      </w:pPr>
      <w:hyperlink w:anchor="_Toc260906596" w:history="1">
        <w:r w:rsidR="00D7481E" w:rsidRPr="003B6BEA">
          <w:rPr>
            <w:rStyle w:val="Hyperlink"/>
            <w:noProof/>
          </w:rPr>
          <w:t>(2)</w:t>
        </w:r>
        <w:r w:rsidR="00D7481E">
          <w:rPr>
            <w:rFonts w:asciiTheme="minorHAnsi" w:eastAsiaTheme="minorEastAsia" w:hAnsiTheme="minorHAnsi" w:cstheme="minorBidi"/>
            <w:noProof/>
            <w:sz w:val="22"/>
            <w:szCs w:val="22"/>
          </w:rPr>
          <w:tab/>
        </w:r>
        <w:r w:rsidR="00D7481E" w:rsidRPr="003B6BEA">
          <w:rPr>
            <w:rStyle w:val="Hyperlink"/>
            <w:noProof/>
          </w:rPr>
          <w:t>ALJ Recommendation</w:t>
        </w:r>
        <w:r w:rsidR="00D7481E">
          <w:rPr>
            <w:noProof/>
            <w:webHidden/>
          </w:rPr>
          <w:tab/>
        </w:r>
        <w:r>
          <w:rPr>
            <w:noProof/>
            <w:webHidden/>
          </w:rPr>
          <w:fldChar w:fldCharType="begin"/>
        </w:r>
        <w:r w:rsidR="00D7481E">
          <w:rPr>
            <w:noProof/>
            <w:webHidden/>
          </w:rPr>
          <w:instrText xml:space="preserve"> PAGEREF _Toc260906596 \h </w:instrText>
        </w:r>
        <w:r>
          <w:rPr>
            <w:noProof/>
            <w:webHidden/>
          </w:rPr>
        </w:r>
        <w:r>
          <w:rPr>
            <w:noProof/>
            <w:webHidden/>
          </w:rPr>
          <w:fldChar w:fldCharType="separate"/>
        </w:r>
        <w:r w:rsidR="006F0576">
          <w:rPr>
            <w:noProof/>
            <w:webHidden/>
          </w:rPr>
          <w:t>15</w:t>
        </w:r>
        <w:r>
          <w:rPr>
            <w:noProof/>
            <w:webHidden/>
          </w:rPr>
          <w:fldChar w:fldCharType="end"/>
        </w:r>
      </w:hyperlink>
    </w:p>
    <w:p w:rsidR="00D7481E" w:rsidRDefault="0043675C">
      <w:pPr>
        <w:pStyle w:val="TOC5"/>
        <w:rPr>
          <w:rFonts w:asciiTheme="minorHAnsi" w:eastAsiaTheme="minorEastAsia" w:hAnsiTheme="minorHAnsi" w:cstheme="minorBidi"/>
          <w:noProof/>
          <w:sz w:val="22"/>
          <w:szCs w:val="22"/>
        </w:rPr>
      </w:pPr>
      <w:hyperlink w:anchor="_Toc260906597" w:history="1">
        <w:r w:rsidR="00D7481E" w:rsidRPr="003B6BEA">
          <w:rPr>
            <w:rStyle w:val="Hyperlink"/>
            <w:noProof/>
          </w:rPr>
          <w:t>(3)</w:t>
        </w:r>
        <w:r w:rsidR="00D7481E">
          <w:rPr>
            <w:rFonts w:asciiTheme="minorHAnsi" w:eastAsiaTheme="minorEastAsia" w:hAnsiTheme="minorHAnsi" w:cstheme="minorBidi"/>
            <w:noProof/>
            <w:sz w:val="22"/>
            <w:szCs w:val="22"/>
          </w:rPr>
          <w:tab/>
        </w:r>
        <w:r w:rsidR="00D7481E" w:rsidRPr="003B6BEA">
          <w:rPr>
            <w:rStyle w:val="Hyperlink"/>
            <w:noProof/>
          </w:rPr>
          <w:t>Exceptions and Replies</w:t>
        </w:r>
        <w:r w:rsidR="00D7481E">
          <w:rPr>
            <w:noProof/>
            <w:webHidden/>
          </w:rPr>
          <w:tab/>
        </w:r>
        <w:r>
          <w:rPr>
            <w:noProof/>
            <w:webHidden/>
          </w:rPr>
          <w:fldChar w:fldCharType="begin"/>
        </w:r>
        <w:r w:rsidR="00D7481E">
          <w:rPr>
            <w:noProof/>
            <w:webHidden/>
          </w:rPr>
          <w:instrText xml:space="preserve"> PAGEREF _Toc260906597 \h </w:instrText>
        </w:r>
        <w:r>
          <w:rPr>
            <w:noProof/>
            <w:webHidden/>
          </w:rPr>
        </w:r>
        <w:r>
          <w:rPr>
            <w:noProof/>
            <w:webHidden/>
          </w:rPr>
          <w:fldChar w:fldCharType="separate"/>
        </w:r>
        <w:r w:rsidR="006F0576">
          <w:rPr>
            <w:noProof/>
            <w:webHidden/>
          </w:rPr>
          <w:t>15</w:t>
        </w:r>
        <w:r>
          <w:rPr>
            <w:noProof/>
            <w:webHidden/>
          </w:rPr>
          <w:fldChar w:fldCharType="end"/>
        </w:r>
      </w:hyperlink>
    </w:p>
    <w:p w:rsidR="00D7481E" w:rsidRDefault="0043675C">
      <w:pPr>
        <w:pStyle w:val="TOC5"/>
        <w:rPr>
          <w:rFonts w:asciiTheme="minorHAnsi" w:eastAsiaTheme="minorEastAsia" w:hAnsiTheme="minorHAnsi" w:cstheme="minorBidi"/>
          <w:noProof/>
          <w:sz w:val="22"/>
          <w:szCs w:val="22"/>
        </w:rPr>
      </w:pPr>
      <w:hyperlink w:anchor="_Toc260906598" w:history="1">
        <w:r w:rsidR="00D7481E" w:rsidRPr="003B6BEA">
          <w:rPr>
            <w:rStyle w:val="Hyperlink"/>
            <w:noProof/>
          </w:rPr>
          <w:t>(4)</w:t>
        </w:r>
        <w:r w:rsidR="00D7481E">
          <w:rPr>
            <w:rFonts w:asciiTheme="minorHAnsi" w:eastAsiaTheme="minorEastAsia" w:hAnsiTheme="minorHAnsi" w:cstheme="minorBidi"/>
            <w:noProof/>
            <w:sz w:val="22"/>
            <w:szCs w:val="22"/>
          </w:rPr>
          <w:tab/>
        </w:r>
        <w:r w:rsidR="00D7481E" w:rsidRPr="003B6BEA">
          <w:rPr>
            <w:rStyle w:val="Hyperlink"/>
            <w:noProof/>
          </w:rPr>
          <w:t>Disposition</w:t>
        </w:r>
        <w:r w:rsidR="00D7481E">
          <w:rPr>
            <w:noProof/>
            <w:webHidden/>
          </w:rPr>
          <w:tab/>
        </w:r>
        <w:r>
          <w:rPr>
            <w:noProof/>
            <w:webHidden/>
          </w:rPr>
          <w:fldChar w:fldCharType="begin"/>
        </w:r>
        <w:r w:rsidR="00D7481E">
          <w:rPr>
            <w:noProof/>
            <w:webHidden/>
          </w:rPr>
          <w:instrText xml:space="preserve"> PAGEREF _Toc260906598 \h </w:instrText>
        </w:r>
        <w:r>
          <w:rPr>
            <w:noProof/>
            <w:webHidden/>
          </w:rPr>
        </w:r>
        <w:r>
          <w:rPr>
            <w:noProof/>
            <w:webHidden/>
          </w:rPr>
          <w:fldChar w:fldCharType="separate"/>
        </w:r>
        <w:r w:rsidR="006F0576">
          <w:rPr>
            <w:noProof/>
            <w:webHidden/>
          </w:rPr>
          <w:t>16</w:t>
        </w:r>
        <w:r>
          <w:rPr>
            <w:noProof/>
            <w:webHidden/>
          </w:rPr>
          <w:fldChar w:fldCharType="end"/>
        </w:r>
      </w:hyperlink>
    </w:p>
    <w:p w:rsidR="00D7481E" w:rsidRDefault="0043675C">
      <w:pPr>
        <w:pStyle w:val="TOC4"/>
        <w:rPr>
          <w:rFonts w:asciiTheme="minorHAnsi" w:eastAsiaTheme="minorEastAsia" w:hAnsiTheme="minorHAnsi" w:cstheme="minorBidi"/>
          <w:noProof/>
          <w:sz w:val="22"/>
          <w:szCs w:val="22"/>
        </w:rPr>
      </w:pPr>
      <w:hyperlink w:anchor="_Toc260906599" w:history="1">
        <w:r w:rsidR="00D7481E" w:rsidRPr="003B6BEA">
          <w:rPr>
            <w:rStyle w:val="Hyperlink"/>
            <w:noProof/>
          </w:rPr>
          <w:t>c.</w:t>
        </w:r>
        <w:r w:rsidR="00D7481E">
          <w:rPr>
            <w:rFonts w:asciiTheme="minorHAnsi" w:eastAsiaTheme="minorEastAsia" w:hAnsiTheme="minorHAnsi" w:cstheme="minorBidi"/>
            <w:noProof/>
            <w:sz w:val="22"/>
            <w:szCs w:val="22"/>
          </w:rPr>
          <w:tab/>
        </w:r>
        <w:r w:rsidR="00D7481E" w:rsidRPr="003B6BEA">
          <w:rPr>
            <w:rStyle w:val="Hyperlink"/>
            <w:noProof/>
          </w:rPr>
          <w:t>Implementation Schedule</w:t>
        </w:r>
        <w:r w:rsidR="00D7481E">
          <w:rPr>
            <w:noProof/>
            <w:webHidden/>
          </w:rPr>
          <w:tab/>
        </w:r>
        <w:r>
          <w:rPr>
            <w:noProof/>
            <w:webHidden/>
          </w:rPr>
          <w:fldChar w:fldCharType="begin"/>
        </w:r>
        <w:r w:rsidR="00D7481E">
          <w:rPr>
            <w:noProof/>
            <w:webHidden/>
          </w:rPr>
          <w:instrText xml:space="preserve"> PAGEREF _Toc260906599 \h </w:instrText>
        </w:r>
        <w:r>
          <w:rPr>
            <w:noProof/>
            <w:webHidden/>
          </w:rPr>
        </w:r>
        <w:r>
          <w:rPr>
            <w:noProof/>
            <w:webHidden/>
          </w:rPr>
          <w:fldChar w:fldCharType="separate"/>
        </w:r>
        <w:r w:rsidR="006F0576">
          <w:rPr>
            <w:noProof/>
            <w:webHidden/>
          </w:rPr>
          <w:t>16</w:t>
        </w:r>
        <w:r>
          <w:rPr>
            <w:noProof/>
            <w:webHidden/>
          </w:rPr>
          <w:fldChar w:fldCharType="end"/>
        </w:r>
      </w:hyperlink>
    </w:p>
    <w:p w:rsidR="00D7481E" w:rsidRDefault="0043675C">
      <w:pPr>
        <w:pStyle w:val="TOC5"/>
        <w:rPr>
          <w:rFonts w:asciiTheme="minorHAnsi" w:eastAsiaTheme="minorEastAsia" w:hAnsiTheme="minorHAnsi" w:cstheme="minorBidi"/>
          <w:noProof/>
          <w:sz w:val="22"/>
          <w:szCs w:val="22"/>
        </w:rPr>
      </w:pPr>
      <w:hyperlink w:anchor="_Toc260906600" w:history="1">
        <w:r w:rsidR="00D7481E" w:rsidRPr="003B6BEA">
          <w:rPr>
            <w:rStyle w:val="Hyperlink"/>
            <w:noProof/>
          </w:rPr>
          <w:t>(1)</w:t>
        </w:r>
        <w:r w:rsidR="00D7481E">
          <w:rPr>
            <w:rFonts w:asciiTheme="minorHAnsi" w:eastAsiaTheme="minorEastAsia" w:hAnsiTheme="minorHAnsi" w:cstheme="minorBidi"/>
            <w:noProof/>
            <w:sz w:val="22"/>
            <w:szCs w:val="22"/>
          </w:rPr>
          <w:tab/>
        </w:r>
        <w:r w:rsidR="00D7481E" w:rsidRPr="003B6BEA">
          <w:rPr>
            <w:rStyle w:val="Hyperlink"/>
            <w:noProof/>
          </w:rPr>
          <w:t>Parties’ Positions</w:t>
        </w:r>
        <w:r w:rsidR="00D7481E">
          <w:rPr>
            <w:noProof/>
            <w:webHidden/>
          </w:rPr>
          <w:tab/>
        </w:r>
        <w:r>
          <w:rPr>
            <w:noProof/>
            <w:webHidden/>
          </w:rPr>
          <w:fldChar w:fldCharType="begin"/>
        </w:r>
        <w:r w:rsidR="00D7481E">
          <w:rPr>
            <w:noProof/>
            <w:webHidden/>
          </w:rPr>
          <w:instrText xml:space="preserve"> PAGEREF _Toc260906600 \h </w:instrText>
        </w:r>
        <w:r>
          <w:rPr>
            <w:noProof/>
            <w:webHidden/>
          </w:rPr>
        </w:r>
        <w:r>
          <w:rPr>
            <w:noProof/>
            <w:webHidden/>
          </w:rPr>
          <w:fldChar w:fldCharType="separate"/>
        </w:r>
        <w:r w:rsidR="006F0576">
          <w:rPr>
            <w:noProof/>
            <w:webHidden/>
          </w:rPr>
          <w:t>16</w:t>
        </w:r>
        <w:r>
          <w:rPr>
            <w:noProof/>
            <w:webHidden/>
          </w:rPr>
          <w:fldChar w:fldCharType="end"/>
        </w:r>
      </w:hyperlink>
    </w:p>
    <w:p w:rsidR="00D7481E" w:rsidRDefault="0043675C">
      <w:pPr>
        <w:pStyle w:val="TOC5"/>
        <w:rPr>
          <w:rFonts w:asciiTheme="minorHAnsi" w:eastAsiaTheme="minorEastAsia" w:hAnsiTheme="minorHAnsi" w:cstheme="minorBidi"/>
          <w:noProof/>
          <w:sz w:val="22"/>
          <w:szCs w:val="22"/>
        </w:rPr>
      </w:pPr>
      <w:hyperlink w:anchor="_Toc260906601" w:history="1">
        <w:r w:rsidR="00D7481E" w:rsidRPr="003B6BEA">
          <w:rPr>
            <w:rStyle w:val="Hyperlink"/>
            <w:noProof/>
          </w:rPr>
          <w:t>(2)</w:t>
        </w:r>
        <w:r w:rsidR="00D7481E">
          <w:rPr>
            <w:rFonts w:asciiTheme="minorHAnsi" w:eastAsiaTheme="minorEastAsia" w:hAnsiTheme="minorHAnsi" w:cstheme="minorBidi"/>
            <w:noProof/>
            <w:sz w:val="22"/>
            <w:szCs w:val="22"/>
          </w:rPr>
          <w:tab/>
        </w:r>
        <w:r w:rsidR="00D7481E" w:rsidRPr="003B6BEA">
          <w:rPr>
            <w:rStyle w:val="Hyperlink"/>
            <w:noProof/>
          </w:rPr>
          <w:t>ALJ Recommendation</w:t>
        </w:r>
        <w:r w:rsidR="00D7481E">
          <w:rPr>
            <w:noProof/>
            <w:webHidden/>
          </w:rPr>
          <w:tab/>
        </w:r>
        <w:r>
          <w:rPr>
            <w:noProof/>
            <w:webHidden/>
          </w:rPr>
          <w:fldChar w:fldCharType="begin"/>
        </w:r>
        <w:r w:rsidR="00D7481E">
          <w:rPr>
            <w:noProof/>
            <w:webHidden/>
          </w:rPr>
          <w:instrText xml:space="preserve"> PAGEREF _Toc260906601 \h </w:instrText>
        </w:r>
        <w:r>
          <w:rPr>
            <w:noProof/>
            <w:webHidden/>
          </w:rPr>
        </w:r>
        <w:r>
          <w:rPr>
            <w:noProof/>
            <w:webHidden/>
          </w:rPr>
          <w:fldChar w:fldCharType="separate"/>
        </w:r>
        <w:r w:rsidR="006F0576">
          <w:rPr>
            <w:noProof/>
            <w:webHidden/>
          </w:rPr>
          <w:t>17</w:t>
        </w:r>
        <w:r>
          <w:rPr>
            <w:noProof/>
            <w:webHidden/>
          </w:rPr>
          <w:fldChar w:fldCharType="end"/>
        </w:r>
      </w:hyperlink>
    </w:p>
    <w:p w:rsidR="00D7481E" w:rsidRDefault="0043675C">
      <w:pPr>
        <w:pStyle w:val="TOC5"/>
        <w:rPr>
          <w:rFonts w:asciiTheme="minorHAnsi" w:eastAsiaTheme="minorEastAsia" w:hAnsiTheme="minorHAnsi" w:cstheme="minorBidi"/>
          <w:noProof/>
          <w:sz w:val="22"/>
          <w:szCs w:val="22"/>
        </w:rPr>
      </w:pPr>
      <w:hyperlink w:anchor="_Toc260906602" w:history="1">
        <w:r w:rsidR="00D7481E" w:rsidRPr="003B6BEA">
          <w:rPr>
            <w:rStyle w:val="Hyperlink"/>
            <w:noProof/>
          </w:rPr>
          <w:t>(3)</w:t>
        </w:r>
        <w:r w:rsidR="00D7481E">
          <w:rPr>
            <w:rFonts w:asciiTheme="minorHAnsi" w:eastAsiaTheme="minorEastAsia" w:hAnsiTheme="minorHAnsi" w:cstheme="minorBidi"/>
            <w:noProof/>
            <w:sz w:val="22"/>
            <w:szCs w:val="22"/>
          </w:rPr>
          <w:tab/>
        </w:r>
        <w:r w:rsidR="00D7481E" w:rsidRPr="003B6BEA">
          <w:rPr>
            <w:rStyle w:val="Hyperlink"/>
            <w:noProof/>
          </w:rPr>
          <w:t>Exceptions and Replies</w:t>
        </w:r>
        <w:r w:rsidR="00D7481E">
          <w:rPr>
            <w:noProof/>
            <w:webHidden/>
          </w:rPr>
          <w:tab/>
        </w:r>
        <w:r>
          <w:rPr>
            <w:noProof/>
            <w:webHidden/>
          </w:rPr>
          <w:fldChar w:fldCharType="begin"/>
        </w:r>
        <w:r w:rsidR="00D7481E">
          <w:rPr>
            <w:noProof/>
            <w:webHidden/>
          </w:rPr>
          <w:instrText xml:space="preserve"> PAGEREF _Toc260906602 \h </w:instrText>
        </w:r>
        <w:r>
          <w:rPr>
            <w:noProof/>
            <w:webHidden/>
          </w:rPr>
        </w:r>
        <w:r>
          <w:rPr>
            <w:noProof/>
            <w:webHidden/>
          </w:rPr>
          <w:fldChar w:fldCharType="separate"/>
        </w:r>
        <w:r w:rsidR="006F0576">
          <w:rPr>
            <w:noProof/>
            <w:webHidden/>
          </w:rPr>
          <w:t>17</w:t>
        </w:r>
        <w:r>
          <w:rPr>
            <w:noProof/>
            <w:webHidden/>
          </w:rPr>
          <w:fldChar w:fldCharType="end"/>
        </w:r>
      </w:hyperlink>
    </w:p>
    <w:p w:rsidR="00D7481E" w:rsidRDefault="0043675C">
      <w:pPr>
        <w:pStyle w:val="TOC5"/>
        <w:rPr>
          <w:rFonts w:asciiTheme="minorHAnsi" w:eastAsiaTheme="minorEastAsia" w:hAnsiTheme="minorHAnsi" w:cstheme="minorBidi"/>
          <w:noProof/>
          <w:sz w:val="22"/>
          <w:szCs w:val="22"/>
        </w:rPr>
      </w:pPr>
      <w:hyperlink w:anchor="_Toc260906603" w:history="1">
        <w:r w:rsidR="00D7481E" w:rsidRPr="003B6BEA">
          <w:rPr>
            <w:rStyle w:val="Hyperlink"/>
            <w:noProof/>
          </w:rPr>
          <w:t>(4)</w:t>
        </w:r>
        <w:r w:rsidR="00D7481E">
          <w:rPr>
            <w:rFonts w:asciiTheme="minorHAnsi" w:eastAsiaTheme="minorEastAsia" w:hAnsiTheme="minorHAnsi" w:cstheme="minorBidi"/>
            <w:noProof/>
            <w:sz w:val="22"/>
            <w:szCs w:val="22"/>
          </w:rPr>
          <w:tab/>
        </w:r>
        <w:r w:rsidR="00D7481E" w:rsidRPr="003B6BEA">
          <w:rPr>
            <w:rStyle w:val="Hyperlink"/>
            <w:noProof/>
          </w:rPr>
          <w:t>Disposition</w:t>
        </w:r>
        <w:r w:rsidR="00D7481E">
          <w:rPr>
            <w:noProof/>
            <w:webHidden/>
          </w:rPr>
          <w:tab/>
        </w:r>
        <w:r>
          <w:rPr>
            <w:noProof/>
            <w:webHidden/>
          </w:rPr>
          <w:fldChar w:fldCharType="begin"/>
        </w:r>
        <w:r w:rsidR="00D7481E">
          <w:rPr>
            <w:noProof/>
            <w:webHidden/>
          </w:rPr>
          <w:instrText xml:space="preserve"> PAGEREF _Toc260906603 \h </w:instrText>
        </w:r>
        <w:r>
          <w:rPr>
            <w:noProof/>
            <w:webHidden/>
          </w:rPr>
        </w:r>
        <w:r>
          <w:rPr>
            <w:noProof/>
            <w:webHidden/>
          </w:rPr>
          <w:fldChar w:fldCharType="separate"/>
        </w:r>
        <w:r w:rsidR="006F0576">
          <w:rPr>
            <w:noProof/>
            <w:webHidden/>
          </w:rPr>
          <w:t>17</w:t>
        </w:r>
        <w:r>
          <w:rPr>
            <w:noProof/>
            <w:webHidden/>
          </w:rPr>
          <w:fldChar w:fldCharType="end"/>
        </w:r>
      </w:hyperlink>
    </w:p>
    <w:p w:rsidR="00D7481E" w:rsidRDefault="0043675C">
      <w:pPr>
        <w:pStyle w:val="TOC4"/>
        <w:rPr>
          <w:rFonts w:asciiTheme="minorHAnsi" w:eastAsiaTheme="minorEastAsia" w:hAnsiTheme="minorHAnsi" w:cstheme="minorBidi"/>
          <w:noProof/>
          <w:sz w:val="22"/>
          <w:szCs w:val="22"/>
        </w:rPr>
      </w:pPr>
      <w:hyperlink w:anchor="_Toc260906604" w:history="1">
        <w:r w:rsidR="00D7481E" w:rsidRPr="003B6BEA">
          <w:rPr>
            <w:rStyle w:val="Hyperlink"/>
            <w:noProof/>
          </w:rPr>
          <w:t>d.</w:t>
        </w:r>
        <w:r w:rsidR="00D7481E">
          <w:rPr>
            <w:rFonts w:asciiTheme="minorHAnsi" w:eastAsiaTheme="minorEastAsia" w:hAnsiTheme="minorHAnsi" w:cstheme="minorBidi"/>
            <w:noProof/>
            <w:sz w:val="22"/>
            <w:szCs w:val="22"/>
          </w:rPr>
          <w:tab/>
        </w:r>
        <w:r w:rsidR="00D7481E" w:rsidRPr="003B6BEA">
          <w:rPr>
            <w:rStyle w:val="Hyperlink"/>
            <w:noProof/>
          </w:rPr>
          <w:t>Capital Structure</w:t>
        </w:r>
        <w:r w:rsidR="00D7481E">
          <w:rPr>
            <w:noProof/>
            <w:webHidden/>
          </w:rPr>
          <w:tab/>
        </w:r>
        <w:r>
          <w:rPr>
            <w:noProof/>
            <w:webHidden/>
          </w:rPr>
          <w:fldChar w:fldCharType="begin"/>
        </w:r>
        <w:r w:rsidR="00D7481E">
          <w:rPr>
            <w:noProof/>
            <w:webHidden/>
          </w:rPr>
          <w:instrText xml:space="preserve"> PAGEREF _Toc260906604 \h </w:instrText>
        </w:r>
        <w:r>
          <w:rPr>
            <w:noProof/>
            <w:webHidden/>
          </w:rPr>
        </w:r>
        <w:r>
          <w:rPr>
            <w:noProof/>
            <w:webHidden/>
          </w:rPr>
          <w:fldChar w:fldCharType="separate"/>
        </w:r>
        <w:r w:rsidR="006F0576">
          <w:rPr>
            <w:noProof/>
            <w:webHidden/>
          </w:rPr>
          <w:t>17</w:t>
        </w:r>
        <w:r>
          <w:rPr>
            <w:noProof/>
            <w:webHidden/>
          </w:rPr>
          <w:fldChar w:fldCharType="end"/>
        </w:r>
      </w:hyperlink>
    </w:p>
    <w:p w:rsidR="00D7481E" w:rsidRDefault="0043675C">
      <w:pPr>
        <w:pStyle w:val="TOC5"/>
        <w:rPr>
          <w:rFonts w:asciiTheme="minorHAnsi" w:eastAsiaTheme="minorEastAsia" w:hAnsiTheme="minorHAnsi" w:cstheme="minorBidi"/>
          <w:noProof/>
          <w:sz w:val="22"/>
          <w:szCs w:val="22"/>
        </w:rPr>
      </w:pPr>
      <w:hyperlink w:anchor="_Toc260906605" w:history="1">
        <w:r w:rsidR="00D7481E" w:rsidRPr="003B6BEA">
          <w:rPr>
            <w:rStyle w:val="Hyperlink"/>
            <w:noProof/>
          </w:rPr>
          <w:t>(1)</w:t>
        </w:r>
        <w:r w:rsidR="00D7481E">
          <w:rPr>
            <w:rFonts w:asciiTheme="minorHAnsi" w:eastAsiaTheme="minorEastAsia" w:hAnsiTheme="minorHAnsi" w:cstheme="minorBidi"/>
            <w:noProof/>
            <w:sz w:val="22"/>
            <w:szCs w:val="22"/>
          </w:rPr>
          <w:tab/>
        </w:r>
        <w:r w:rsidR="00D7481E" w:rsidRPr="003B6BEA">
          <w:rPr>
            <w:rStyle w:val="Hyperlink"/>
            <w:noProof/>
          </w:rPr>
          <w:t>Provisions of the Plan</w:t>
        </w:r>
        <w:r w:rsidR="00D7481E">
          <w:rPr>
            <w:noProof/>
            <w:webHidden/>
          </w:rPr>
          <w:tab/>
        </w:r>
        <w:r>
          <w:rPr>
            <w:noProof/>
            <w:webHidden/>
          </w:rPr>
          <w:fldChar w:fldCharType="begin"/>
        </w:r>
        <w:r w:rsidR="00D7481E">
          <w:rPr>
            <w:noProof/>
            <w:webHidden/>
          </w:rPr>
          <w:instrText xml:space="preserve"> PAGEREF _Toc260906605 \h </w:instrText>
        </w:r>
        <w:r>
          <w:rPr>
            <w:noProof/>
            <w:webHidden/>
          </w:rPr>
        </w:r>
        <w:r>
          <w:rPr>
            <w:noProof/>
            <w:webHidden/>
          </w:rPr>
          <w:fldChar w:fldCharType="separate"/>
        </w:r>
        <w:r w:rsidR="006F0576">
          <w:rPr>
            <w:noProof/>
            <w:webHidden/>
          </w:rPr>
          <w:t>17</w:t>
        </w:r>
        <w:r>
          <w:rPr>
            <w:noProof/>
            <w:webHidden/>
          </w:rPr>
          <w:fldChar w:fldCharType="end"/>
        </w:r>
      </w:hyperlink>
    </w:p>
    <w:p w:rsidR="00D7481E" w:rsidRDefault="0043675C">
      <w:pPr>
        <w:pStyle w:val="TOC5"/>
        <w:rPr>
          <w:rFonts w:asciiTheme="minorHAnsi" w:eastAsiaTheme="minorEastAsia" w:hAnsiTheme="minorHAnsi" w:cstheme="minorBidi"/>
          <w:noProof/>
          <w:sz w:val="22"/>
          <w:szCs w:val="22"/>
        </w:rPr>
      </w:pPr>
      <w:hyperlink w:anchor="_Toc260906606" w:history="1">
        <w:r w:rsidR="00D7481E" w:rsidRPr="003B6BEA">
          <w:rPr>
            <w:rStyle w:val="Hyperlink"/>
            <w:noProof/>
          </w:rPr>
          <w:t>(2)</w:t>
        </w:r>
        <w:r w:rsidR="00D7481E">
          <w:rPr>
            <w:rFonts w:asciiTheme="minorHAnsi" w:eastAsiaTheme="minorEastAsia" w:hAnsiTheme="minorHAnsi" w:cstheme="minorBidi"/>
            <w:noProof/>
            <w:sz w:val="22"/>
            <w:szCs w:val="22"/>
          </w:rPr>
          <w:tab/>
        </w:r>
        <w:r w:rsidR="00D7481E" w:rsidRPr="003B6BEA">
          <w:rPr>
            <w:rStyle w:val="Hyperlink"/>
            <w:noProof/>
          </w:rPr>
          <w:t>ALJ Recommendation</w:t>
        </w:r>
        <w:r w:rsidR="00D7481E">
          <w:rPr>
            <w:noProof/>
            <w:webHidden/>
          </w:rPr>
          <w:tab/>
        </w:r>
        <w:r>
          <w:rPr>
            <w:noProof/>
            <w:webHidden/>
          </w:rPr>
          <w:fldChar w:fldCharType="begin"/>
        </w:r>
        <w:r w:rsidR="00D7481E">
          <w:rPr>
            <w:noProof/>
            <w:webHidden/>
          </w:rPr>
          <w:instrText xml:space="preserve"> PAGEREF _Toc260906606 \h </w:instrText>
        </w:r>
        <w:r>
          <w:rPr>
            <w:noProof/>
            <w:webHidden/>
          </w:rPr>
        </w:r>
        <w:r>
          <w:rPr>
            <w:noProof/>
            <w:webHidden/>
          </w:rPr>
          <w:fldChar w:fldCharType="separate"/>
        </w:r>
        <w:r w:rsidR="006F0576">
          <w:rPr>
            <w:noProof/>
            <w:webHidden/>
          </w:rPr>
          <w:t>18</w:t>
        </w:r>
        <w:r>
          <w:rPr>
            <w:noProof/>
            <w:webHidden/>
          </w:rPr>
          <w:fldChar w:fldCharType="end"/>
        </w:r>
      </w:hyperlink>
    </w:p>
    <w:p w:rsidR="00D7481E" w:rsidRDefault="0043675C">
      <w:pPr>
        <w:pStyle w:val="TOC5"/>
        <w:rPr>
          <w:rFonts w:asciiTheme="minorHAnsi" w:eastAsiaTheme="minorEastAsia" w:hAnsiTheme="minorHAnsi" w:cstheme="minorBidi"/>
          <w:noProof/>
          <w:sz w:val="22"/>
          <w:szCs w:val="22"/>
        </w:rPr>
      </w:pPr>
      <w:hyperlink w:anchor="_Toc260906607" w:history="1">
        <w:r w:rsidR="00D7481E" w:rsidRPr="003B6BEA">
          <w:rPr>
            <w:rStyle w:val="Hyperlink"/>
            <w:noProof/>
          </w:rPr>
          <w:t>(3)</w:t>
        </w:r>
        <w:r w:rsidR="00D7481E">
          <w:rPr>
            <w:rFonts w:asciiTheme="minorHAnsi" w:eastAsiaTheme="minorEastAsia" w:hAnsiTheme="minorHAnsi" w:cstheme="minorBidi"/>
            <w:noProof/>
            <w:sz w:val="22"/>
            <w:szCs w:val="22"/>
          </w:rPr>
          <w:tab/>
        </w:r>
        <w:r w:rsidR="00D7481E" w:rsidRPr="003B6BEA">
          <w:rPr>
            <w:rStyle w:val="Hyperlink"/>
            <w:noProof/>
          </w:rPr>
          <w:t>Exceptions and Replies</w:t>
        </w:r>
        <w:r w:rsidR="00D7481E">
          <w:rPr>
            <w:noProof/>
            <w:webHidden/>
          </w:rPr>
          <w:tab/>
        </w:r>
        <w:r>
          <w:rPr>
            <w:noProof/>
            <w:webHidden/>
          </w:rPr>
          <w:fldChar w:fldCharType="begin"/>
        </w:r>
        <w:r w:rsidR="00D7481E">
          <w:rPr>
            <w:noProof/>
            <w:webHidden/>
          </w:rPr>
          <w:instrText xml:space="preserve"> PAGEREF _Toc260906607 \h </w:instrText>
        </w:r>
        <w:r>
          <w:rPr>
            <w:noProof/>
            <w:webHidden/>
          </w:rPr>
        </w:r>
        <w:r>
          <w:rPr>
            <w:noProof/>
            <w:webHidden/>
          </w:rPr>
          <w:fldChar w:fldCharType="separate"/>
        </w:r>
        <w:r w:rsidR="006F0576">
          <w:rPr>
            <w:noProof/>
            <w:webHidden/>
          </w:rPr>
          <w:t>18</w:t>
        </w:r>
        <w:r>
          <w:rPr>
            <w:noProof/>
            <w:webHidden/>
          </w:rPr>
          <w:fldChar w:fldCharType="end"/>
        </w:r>
      </w:hyperlink>
    </w:p>
    <w:p w:rsidR="00D7481E" w:rsidRDefault="0043675C">
      <w:pPr>
        <w:pStyle w:val="TOC5"/>
        <w:rPr>
          <w:rFonts w:asciiTheme="minorHAnsi" w:eastAsiaTheme="minorEastAsia" w:hAnsiTheme="minorHAnsi" w:cstheme="minorBidi"/>
          <w:noProof/>
          <w:sz w:val="22"/>
          <w:szCs w:val="22"/>
        </w:rPr>
      </w:pPr>
      <w:hyperlink w:anchor="_Toc260906608" w:history="1">
        <w:r w:rsidR="00D7481E" w:rsidRPr="003B6BEA">
          <w:rPr>
            <w:rStyle w:val="Hyperlink"/>
            <w:noProof/>
          </w:rPr>
          <w:t>(4)</w:t>
        </w:r>
        <w:r w:rsidR="00D7481E">
          <w:rPr>
            <w:rFonts w:asciiTheme="minorHAnsi" w:eastAsiaTheme="minorEastAsia" w:hAnsiTheme="minorHAnsi" w:cstheme="minorBidi"/>
            <w:noProof/>
            <w:sz w:val="22"/>
            <w:szCs w:val="22"/>
          </w:rPr>
          <w:tab/>
        </w:r>
        <w:r w:rsidR="00D7481E" w:rsidRPr="003B6BEA">
          <w:rPr>
            <w:rStyle w:val="Hyperlink"/>
            <w:noProof/>
          </w:rPr>
          <w:t>Disposition</w:t>
        </w:r>
        <w:r w:rsidR="00D7481E">
          <w:rPr>
            <w:noProof/>
            <w:webHidden/>
          </w:rPr>
          <w:tab/>
        </w:r>
        <w:r>
          <w:rPr>
            <w:noProof/>
            <w:webHidden/>
          </w:rPr>
          <w:fldChar w:fldCharType="begin"/>
        </w:r>
        <w:r w:rsidR="00D7481E">
          <w:rPr>
            <w:noProof/>
            <w:webHidden/>
          </w:rPr>
          <w:instrText xml:space="preserve"> PAGEREF _Toc260906608 \h </w:instrText>
        </w:r>
        <w:r>
          <w:rPr>
            <w:noProof/>
            <w:webHidden/>
          </w:rPr>
        </w:r>
        <w:r>
          <w:rPr>
            <w:noProof/>
            <w:webHidden/>
          </w:rPr>
          <w:fldChar w:fldCharType="separate"/>
        </w:r>
        <w:r w:rsidR="006F0576">
          <w:rPr>
            <w:noProof/>
            <w:webHidden/>
          </w:rPr>
          <w:t>19</w:t>
        </w:r>
        <w:r>
          <w:rPr>
            <w:noProof/>
            <w:webHidden/>
          </w:rPr>
          <w:fldChar w:fldCharType="end"/>
        </w:r>
      </w:hyperlink>
    </w:p>
    <w:p w:rsidR="00D7481E" w:rsidRDefault="0043675C">
      <w:pPr>
        <w:pStyle w:val="TOC4"/>
        <w:rPr>
          <w:rFonts w:asciiTheme="minorHAnsi" w:eastAsiaTheme="minorEastAsia" w:hAnsiTheme="minorHAnsi" w:cstheme="minorBidi"/>
          <w:noProof/>
          <w:sz w:val="22"/>
          <w:szCs w:val="22"/>
        </w:rPr>
      </w:pPr>
      <w:hyperlink w:anchor="_Toc260906609" w:history="1">
        <w:r w:rsidR="00D7481E" w:rsidRPr="003B6BEA">
          <w:rPr>
            <w:rStyle w:val="Hyperlink"/>
            <w:noProof/>
          </w:rPr>
          <w:t>e.</w:t>
        </w:r>
        <w:r w:rsidR="00D7481E">
          <w:rPr>
            <w:rFonts w:asciiTheme="minorHAnsi" w:eastAsiaTheme="minorEastAsia" w:hAnsiTheme="minorHAnsi" w:cstheme="minorBidi"/>
            <w:noProof/>
            <w:sz w:val="22"/>
            <w:szCs w:val="22"/>
          </w:rPr>
          <w:tab/>
        </w:r>
        <w:r w:rsidR="00D7481E" w:rsidRPr="003B6BEA">
          <w:rPr>
            <w:rStyle w:val="Hyperlink"/>
            <w:noProof/>
          </w:rPr>
          <w:t>Return on Common Equity</w:t>
        </w:r>
        <w:r w:rsidR="00D7481E">
          <w:rPr>
            <w:noProof/>
            <w:webHidden/>
          </w:rPr>
          <w:tab/>
        </w:r>
        <w:r>
          <w:rPr>
            <w:noProof/>
            <w:webHidden/>
          </w:rPr>
          <w:fldChar w:fldCharType="begin"/>
        </w:r>
        <w:r w:rsidR="00D7481E">
          <w:rPr>
            <w:noProof/>
            <w:webHidden/>
          </w:rPr>
          <w:instrText xml:space="preserve"> PAGEREF _Toc260906609 \h </w:instrText>
        </w:r>
        <w:r>
          <w:rPr>
            <w:noProof/>
            <w:webHidden/>
          </w:rPr>
        </w:r>
        <w:r>
          <w:rPr>
            <w:noProof/>
            <w:webHidden/>
          </w:rPr>
          <w:fldChar w:fldCharType="separate"/>
        </w:r>
        <w:r w:rsidR="006F0576">
          <w:rPr>
            <w:noProof/>
            <w:webHidden/>
          </w:rPr>
          <w:t>20</w:t>
        </w:r>
        <w:r>
          <w:rPr>
            <w:noProof/>
            <w:webHidden/>
          </w:rPr>
          <w:fldChar w:fldCharType="end"/>
        </w:r>
      </w:hyperlink>
    </w:p>
    <w:p w:rsidR="00D7481E" w:rsidRDefault="0043675C">
      <w:pPr>
        <w:pStyle w:val="TOC5"/>
        <w:rPr>
          <w:rFonts w:asciiTheme="minorHAnsi" w:eastAsiaTheme="minorEastAsia" w:hAnsiTheme="minorHAnsi" w:cstheme="minorBidi"/>
          <w:noProof/>
          <w:sz w:val="22"/>
          <w:szCs w:val="22"/>
        </w:rPr>
      </w:pPr>
      <w:hyperlink w:anchor="_Toc260906610" w:history="1">
        <w:r w:rsidR="00D7481E" w:rsidRPr="003B6BEA">
          <w:rPr>
            <w:rStyle w:val="Hyperlink"/>
            <w:noProof/>
          </w:rPr>
          <w:t>(1)</w:t>
        </w:r>
        <w:r w:rsidR="00D7481E">
          <w:rPr>
            <w:rFonts w:asciiTheme="minorHAnsi" w:eastAsiaTheme="minorEastAsia" w:hAnsiTheme="minorHAnsi" w:cstheme="minorBidi"/>
            <w:noProof/>
            <w:sz w:val="22"/>
            <w:szCs w:val="22"/>
          </w:rPr>
          <w:tab/>
        </w:r>
        <w:r w:rsidR="00D7481E" w:rsidRPr="003B6BEA">
          <w:rPr>
            <w:rStyle w:val="Hyperlink"/>
            <w:noProof/>
          </w:rPr>
          <w:t>Provisions of the Plan</w:t>
        </w:r>
        <w:r w:rsidR="00D7481E">
          <w:rPr>
            <w:noProof/>
            <w:webHidden/>
          </w:rPr>
          <w:tab/>
        </w:r>
        <w:r>
          <w:rPr>
            <w:noProof/>
            <w:webHidden/>
          </w:rPr>
          <w:fldChar w:fldCharType="begin"/>
        </w:r>
        <w:r w:rsidR="00D7481E">
          <w:rPr>
            <w:noProof/>
            <w:webHidden/>
          </w:rPr>
          <w:instrText xml:space="preserve"> PAGEREF _Toc260906610 \h </w:instrText>
        </w:r>
        <w:r>
          <w:rPr>
            <w:noProof/>
            <w:webHidden/>
          </w:rPr>
        </w:r>
        <w:r>
          <w:rPr>
            <w:noProof/>
            <w:webHidden/>
          </w:rPr>
          <w:fldChar w:fldCharType="separate"/>
        </w:r>
        <w:r w:rsidR="006F0576">
          <w:rPr>
            <w:noProof/>
            <w:webHidden/>
          </w:rPr>
          <w:t>20</w:t>
        </w:r>
        <w:r>
          <w:rPr>
            <w:noProof/>
            <w:webHidden/>
          </w:rPr>
          <w:fldChar w:fldCharType="end"/>
        </w:r>
      </w:hyperlink>
    </w:p>
    <w:p w:rsidR="00D7481E" w:rsidRDefault="0043675C">
      <w:pPr>
        <w:pStyle w:val="TOC5"/>
        <w:rPr>
          <w:rFonts w:asciiTheme="minorHAnsi" w:eastAsiaTheme="minorEastAsia" w:hAnsiTheme="minorHAnsi" w:cstheme="minorBidi"/>
          <w:noProof/>
          <w:sz w:val="22"/>
          <w:szCs w:val="22"/>
        </w:rPr>
      </w:pPr>
      <w:hyperlink w:anchor="_Toc260906611" w:history="1">
        <w:r w:rsidR="00D7481E" w:rsidRPr="003B6BEA">
          <w:rPr>
            <w:rStyle w:val="Hyperlink"/>
            <w:noProof/>
          </w:rPr>
          <w:t>(2)</w:t>
        </w:r>
        <w:r w:rsidR="00D7481E">
          <w:rPr>
            <w:rFonts w:asciiTheme="minorHAnsi" w:eastAsiaTheme="minorEastAsia" w:hAnsiTheme="minorHAnsi" w:cstheme="minorBidi"/>
            <w:noProof/>
            <w:sz w:val="22"/>
            <w:szCs w:val="22"/>
          </w:rPr>
          <w:tab/>
        </w:r>
        <w:r w:rsidR="00D7481E" w:rsidRPr="003B6BEA">
          <w:rPr>
            <w:rStyle w:val="Hyperlink"/>
            <w:noProof/>
          </w:rPr>
          <w:t>ALJ Recommendation</w:t>
        </w:r>
        <w:r w:rsidR="00D7481E">
          <w:rPr>
            <w:noProof/>
            <w:webHidden/>
          </w:rPr>
          <w:tab/>
        </w:r>
        <w:r>
          <w:rPr>
            <w:noProof/>
            <w:webHidden/>
          </w:rPr>
          <w:fldChar w:fldCharType="begin"/>
        </w:r>
        <w:r w:rsidR="00D7481E">
          <w:rPr>
            <w:noProof/>
            <w:webHidden/>
          </w:rPr>
          <w:instrText xml:space="preserve"> PAGEREF _Toc260906611 \h </w:instrText>
        </w:r>
        <w:r>
          <w:rPr>
            <w:noProof/>
            <w:webHidden/>
          </w:rPr>
        </w:r>
        <w:r>
          <w:rPr>
            <w:noProof/>
            <w:webHidden/>
          </w:rPr>
          <w:fldChar w:fldCharType="separate"/>
        </w:r>
        <w:r w:rsidR="006F0576">
          <w:rPr>
            <w:noProof/>
            <w:webHidden/>
          </w:rPr>
          <w:t>21</w:t>
        </w:r>
        <w:r>
          <w:rPr>
            <w:noProof/>
            <w:webHidden/>
          </w:rPr>
          <w:fldChar w:fldCharType="end"/>
        </w:r>
      </w:hyperlink>
    </w:p>
    <w:p w:rsidR="00D7481E" w:rsidRDefault="0043675C">
      <w:pPr>
        <w:pStyle w:val="TOC5"/>
        <w:rPr>
          <w:rFonts w:asciiTheme="minorHAnsi" w:eastAsiaTheme="minorEastAsia" w:hAnsiTheme="minorHAnsi" w:cstheme="minorBidi"/>
          <w:noProof/>
          <w:sz w:val="22"/>
          <w:szCs w:val="22"/>
        </w:rPr>
      </w:pPr>
      <w:hyperlink w:anchor="_Toc260906612" w:history="1">
        <w:r w:rsidR="00D7481E" w:rsidRPr="003B6BEA">
          <w:rPr>
            <w:rStyle w:val="Hyperlink"/>
            <w:noProof/>
          </w:rPr>
          <w:t>(3)</w:t>
        </w:r>
        <w:r w:rsidR="00D7481E">
          <w:rPr>
            <w:rFonts w:asciiTheme="minorHAnsi" w:eastAsiaTheme="minorEastAsia" w:hAnsiTheme="minorHAnsi" w:cstheme="minorBidi"/>
            <w:noProof/>
            <w:sz w:val="22"/>
            <w:szCs w:val="22"/>
          </w:rPr>
          <w:tab/>
        </w:r>
        <w:r w:rsidR="00D7481E" w:rsidRPr="003B6BEA">
          <w:rPr>
            <w:rStyle w:val="Hyperlink"/>
            <w:noProof/>
          </w:rPr>
          <w:t>Exceptions and Replies</w:t>
        </w:r>
        <w:r w:rsidR="00D7481E">
          <w:rPr>
            <w:noProof/>
            <w:webHidden/>
          </w:rPr>
          <w:tab/>
        </w:r>
        <w:r>
          <w:rPr>
            <w:noProof/>
            <w:webHidden/>
          </w:rPr>
          <w:fldChar w:fldCharType="begin"/>
        </w:r>
        <w:r w:rsidR="00D7481E">
          <w:rPr>
            <w:noProof/>
            <w:webHidden/>
          </w:rPr>
          <w:instrText xml:space="preserve"> PAGEREF _Toc260906612 \h </w:instrText>
        </w:r>
        <w:r>
          <w:rPr>
            <w:noProof/>
            <w:webHidden/>
          </w:rPr>
        </w:r>
        <w:r>
          <w:rPr>
            <w:noProof/>
            <w:webHidden/>
          </w:rPr>
          <w:fldChar w:fldCharType="separate"/>
        </w:r>
        <w:r w:rsidR="006F0576">
          <w:rPr>
            <w:noProof/>
            <w:webHidden/>
          </w:rPr>
          <w:t>22</w:t>
        </w:r>
        <w:r>
          <w:rPr>
            <w:noProof/>
            <w:webHidden/>
          </w:rPr>
          <w:fldChar w:fldCharType="end"/>
        </w:r>
      </w:hyperlink>
    </w:p>
    <w:p w:rsidR="00D7481E" w:rsidRDefault="0043675C">
      <w:pPr>
        <w:pStyle w:val="TOC5"/>
        <w:rPr>
          <w:rFonts w:asciiTheme="minorHAnsi" w:eastAsiaTheme="minorEastAsia" w:hAnsiTheme="minorHAnsi" w:cstheme="minorBidi"/>
          <w:noProof/>
          <w:sz w:val="22"/>
          <w:szCs w:val="22"/>
        </w:rPr>
      </w:pPr>
      <w:hyperlink w:anchor="_Toc260906613" w:history="1">
        <w:r w:rsidR="00D7481E" w:rsidRPr="003B6BEA">
          <w:rPr>
            <w:rStyle w:val="Hyperlink"/>
            <w:noProof/>
          </w:rPr>
          <w:t>(4)</w:t>
        </w:r>
        <w:r w:rsidR="00D7481E">
          <w:rPr>
            <w:rFonts w:asciiTheme="minorHAnsi" w:eastAsiaTheme="minorEastAsia" w:hAnsiTheme="minorHAnsi" w:cstheme="minorBidi"/>
            <w:noProof/>
            <w:sz w:val="22"/>
            <w:szCs w:val="22"/>
          </w:rPr>
          <w:tab/>
        </w:r>
        <w:r w:rsidR="00D7481E" w:rsidRPr="003B6BEA">
          <w:rPr>
            <w:rStyle w:val="Hyperlink"/>
            <w:noProof/>
          </w:rPr>
          <w:t>Disposition</w:t>
        </w:r>
        <w:r w:rsidR="00D7481E">
          <w:rPr>
            <w:noProof/>
            <w:webHidden/>
          </w:rPr>
          <w:tab/>
        </w:r>
        <w:r>
          <w:rPr>
            <w:noProof/>
            <w:webHidden/>
          </w:rPr>
          <w:fldChar w:fldCharType="begin"/>
        </w:r>
        <w:r w:rsidR="00D7481E">
          <w:rPr>
            <w:noProof/>
            <w:webHidden/>
          </w:rPr>
          <w:instrText xml:space="preserve"> PAGEREF _Toc260906613 \h </w:instrText>
        </w:r>
        <w:r>
          <w:rPr>
            <w:noProof/>
            <w:webHidden/>
          </w:rPr>
        </w:r>
        <w:r>
          <w:rPr>
            <w:noProof/>
            <w:webHidden/>
          </w:rPr>
          <w:fldChar w:fldCharType="separate"/>
        </w:r>
        <w:r w:rsidR="006F0576">
          <w:rPr>
            <w:noProof/>
            <w:webHidden/>
          </w:rPr>
          <w:t>24</w:t>
        </w:r>
        <w:r>
          <w:rPr>
            <w:noProof/>
            <w:webHidden/>
          </w:rPr>
          <w:fldChar w:fldCharType="end"/>
        </w:r>
      </w:hyperlink>
    </w:p>
    <w:p w:rsidR="00D7481E" w:rsidRDefault="0043675C">
      <w:pPr>
        <w:pStyle w:val="TOC2"/>
        <w:rPr>
          <w:rFonts w:asciiTheme="minorHAnsi" w:eastAsiaTheme="minorEastAsia" w:hAnsiTheme="minorHAnsi" w:cstheme="minorBidi"/>
          <w:noProof/>
          <w:sz w:val="22"/>
          <w:szCs w:val="22"/>
        </w:rPr>
      </w:pPr>
      <w:hyperlink w:anchor="_Toc260906614" w:history="1">
        <w:r w:rsidR="00D7481E" w:rsidRPr="003B6BEA">
          <w:rPr>
            <w:rStyle w:val="Hyperlink"/>
            <w:noProof/>
          </w:rPr>
          <w:t>B.</w:t>
        </w:r>
        <w:r w:rsidR="00D7481E">
          <w:rPr>
            <w:rFonts w:asciiTheme="minorHAnsi" w:eastAsiaTheme="minorEastAsia" w:hAnsiTheme="minorHAnsi" w:cstheme="minorBidi"/>
            <w:noProof/>
            <w:sz w:val="22"/>
            <w:szCs w:val="22"/>
          </w:rPr>
          <w:tab/>
        </w:r>
        <w:r w:rsidR="00D7481E" w:rsidRPr="003B6BEA">
          <w:rPr>
            <w:rStyle w:val="Hyperlink"/>
            <w:noProof/>
          </w:rPr>
          <w:t>Meter Capabilities</w:t>
        </w:r>
        <w:r w:rsidR="00D7481E">
          <w:rPr>
            <w:noProof/>
            <w:webHidden/>
          </w:rPr>
          <w:tab/>
        </w:r>
        <w:r>
          <w:rPr>
            <w:noProof/>
            <w:webHidden/>
          </w:rPr>
          <w:fldChar w:fldCharType="begin"/>
        </w:r>
        <w:r w:rsidR="00D7481E">
          <w:rPr>
            <w:noProof/>
            <w:webHidden/>
          </w:rPr>
          <w:instrText xml:space="preserve"> PAGEREF _Toc260906614 \h </w:instrText>
        </w:r>
        <w:r>
          <w:rPr>
            <w:noProof/>
            <w:webHidden/>
          </w:rPr>
        </w:r>
        <w:r>
          <w:rPr>
            <w:noProof/>
            <w:webHidden/>
          </w:rPr>
          <w:fldChar w:fldCharType="separate"/>
        </w:r>
        <w:r w:rsidR="006F0576">
          <w:rPr>
            <w:noProof/>
            <w:webHidden/>
          </w:rPr>
          <w:t>25</w:t>
        </w:r>
        <w:r>
          <w:rPr>
            <w:noProof/>
            <w:webHidden/>
          </w:rPr>
          <w:fldChar w:fldCharType="end"/>
        </w:r>
      </w:hyperlink>
    </w:p>
    <w:p w:rsidR="00D7481E" w:rsidRDefault="0043675C">
      <w:pPr>
        <w:pStyle w:val="TOC3"/>
        <w:rPr>
          <w:rFonts w:asciiTheme="minorHAnsi" w:eastAsiaTheme="minorEastAsia" w:hAnsiTheme="minorHAnsi" w:cstheme="minorBidi"/>
          <w:noProof/>
          <w:sz w:val="22"/>
          <w:szCs w:val="22"/>
        </w:rPr>
      </w:pPr>
      <w:hyperlink w:anchor="_Toc260906615" w:history="1">
        <w:r w:rsidR="00D7481E" w:rsidRPr="003B6BEA">
          <w:rPr>
            <w:rStyle w:val="Hyperlink"/>
            <w:noProof/>
          </w:rPr>
          <w:t>1.</w:t>
        </w:r>
        <w:r w:rsidR="00D7481E">
          <w:rPr>
            <w:rFonts w:asciiTheme="minorHAnsi" w:eastAsiaTheme="minorEastAsia" w:hAnsiTheme="minorHAnsi" w:cstheme="minorBidi"/>
            <w:noProof/>
            <w:sz w:val="22"/>
            <w:szCs w:val="22"/>
          </w:rPr>
          <w:tab/>
        </w:r>
        <w:r w:rsidR="00D7481E" w:rsidRPr="003B6BEA">
          <w:rPr>
            <w:rStyle w:val="Hyperlink"/>
            <w:noProof/>
          </w:rPr>
          <w:t>Provisions of the Plan</w:t>
        </w:r>
        <w:r w:rsidR="00D7481E">
          <w:rPr>
            <w:noProof/>
            <w:webHidden/>
          </w:rPr>
          <w:tab/>
        </w:r>
        <w:r>
          <w:rPr>
            <w:noProof/>
            <w:webHidden/>
          </w:rPr>
          <w:fldChar w:fldCharType="begin"/>
        </w:r>
        <w:r w:rsidR="00D7481E">
          <w:rPr>
            <w:noProof/>
            <w:webHidden/>
          </w:rPr>
          <w:instrText xml:space="preserve"> PAGEREF _Toc260906615 \h </w:instrText>
        </w:r>
        <w:r>
          <w:rPr>
            <w:noProof/>
            <w:webHidden/>
          </w:rPr>
        </w:r>
        <w:r>
          <w:rPr>
            <w:noProof/>
            <w:webHidden/>
          </w:rPr>
          <w:fldChar w:fldCharType="separate"/>
        </w:r>
        <w:r w:rsidR="006F0576">
          <w:rPr>
            <w:noProof/>
            <w:webHidden/>
          </w:rPr>
          <w:t>25</w:t>
        </w:r>
        <w:r>
          <w:rPr>
            <w:noProof/>
            <w:webHidden/>
          </w:rPr>
          <w:fldChar w:fldCharType="end"/>
        </w:r>
      </w:hyperlink>
    </w:p>
    <w:p w:rsidR="00D7481E" w:rsidRDefault="0043675C">
      <w:pPr>
        <w:pStyle w:val="TOC3"/>
        <w:rPr>
          <w:rFonts w:asciiTheme="minorHAnsi" w:eastAsiaTheme="minorEastAsia" w:hAnsiTheme="minorHAnsi" w:cstheme="minorBidi"/>
          <w:noProof/>
          <w:sz w:val="22"/>
          <w:szCs w:val="22"/>
        </w:rPr>
      </w:pPr>
      <w:hyperlink w:anchor="_Toc260906616" w:history="1">
        <w:r w:rsidR="00D7481E" w:rsidRPr="003B6BEA">
          <w:rPr>
            <w:rStyle w:val="Hyperlink"/>
            <w:noProof/>
          </w:rPr>
          <w:t>2.</w:t>
        </w:r>
        <w:r w:rsidR="00D7481E">
          <w:rPr>
            <w:rFonts w:asciiTheme="minorHAnsi" w:eastAsiaTheme="minorEastAsia" w:hAnsiTheme="minorHAnsi" w:cstheme="minorBidi"/>
            <w:noProof/>
            <w:sz w:val="22"/>
            <w:szCs w:val="22"/>
          </w:rPr>
          <w:tab/>
        </w:r>
        <w:r w:rsidR="00D7481E" w:rsidRPr="003B6BEA">
          <w:rPr>
            <w:rStyle w:val="Hyperlink"/>
            <w:noProof/>
          </w:rPr>
          <w:t>ALJ Recommendation</w:t>
        </w:r>
        <w:r w:rsidR="00D7481E">
          <w:rPr>
            <w:noProof/>
            <w:webHidden/>
          </w:rPr>
          <w:tab/>
        </w:r>
        <w:r>
          <w:rPr>
            <w:noProof/>
            <w:webHidden/>
          </w:rPr>
          <w:fldChar w:fldCharType="begin"/>
        </w:r>
        <w:r w:rsidR="00D7481E">
          <w:rPr>
            <w:noProof/>
            <w:webHidden/>
          </w:rPr>
          <w:instrText xml:space="preserve"> PAGEREF _Toc260906616 \h </w:instrText>
        </w:r>
        <w:r>
          <w:rPr>
            <w:noProof/>
            <w:webHidden/>
          </w:rPr>
        </w:r>
        <w:r>
          <w:rPr>
            <w:noProof/>
            <w:webHidden/>
          </w:rPr>
          <w:fldChar w:fldCharType="separate"/>
        </w:r>
        <w:r w:rsidR="006F0576">
          <w:rPr>
            <w:noProof/>
            <w:webHidden/>
          </w:rPr>
          <w:t>26</w:t>
        </w:r>
        <w:r>
          <w:rPr>
            <w:noProof/>
            <w:webHidden/>
          </w:rPr>
          <w:fldChar w:fldCharType="end"/>
        </w:r>
      </w:hyperlink>
    </w:p>
    <w:p w:rsidR="00D7481E" w:rsidRDefault="0043675C">
      <w:pPr>
        <w:pStyle w:val="TOC3"/>
        <w:rPr>
          <w:rFonts w:asciiTheme="minorHAnsi" w:eastAsiaTheme="minorEastAsia" w:hAnsiTheme="minorHAnsi" w:cstheme="minorBidi"/>
          <w:noProof/>
          <w:sz w:val="22"/>
          <w:szCs w:val="22"/>
        </w:rPr>
      </w:pPr>
      <w:hyperlink w:anchor="_Toc260906617" w:history="1">
        <w:r w:rsidR="00D7481E" w:rsidRPr="003B6BEA">
          <w:rPr>
            <w:rStyle w:val="Hyperlink"/>
            <w:noProof/>
          </w:rPr>
          <w:t>3.</w:t>
        </w:r>
        <w:r w:rsidR="00D7481E">
          <w:rPr>
            <w:rFonts w:asciiTheme="minorHAnsi" w:eastAsiaTheme="minorEastAsia" w:hAnsiTheme="minorHAnsi" w:cstheme="minorBidi"/>
            <w:noProof/>
            <w:sz w:val="22"/>
            <w:szCs w:val="22"/>
          </w:rPr>
          <w:tab/>
        </w:r>
        <w:r w:rsidR="00D7481E" w:rsidRPr="003B6BEA">
          <w:rPr>
            <w:rStyle w:val="Hyperlink"/>
            <w:noProof/>
          </w:rPr>
          <w:t>Exceptions and Replies</w:t>
        </w:r>
        <w:r w:rsidR="00D7481E">
          <w:rPr>
            <w:noProof/>
            <w:webHidden/>
          </w:rPr>
          <w:tab/>
        </w:r>
        <w:r>
          <w:rPr>
            <w:noProof/>
            <w:webHidden/>
          </w:rPr>
          <w:fldChar w:fldCharType="begin"/>
        </w:r>
        <w:r w:rsidR="00D7481E">
          <w:rPr>
            <w:noProof/>
            <w:webHidden/>
          </w:rPr>
          <w:instrText xml:space="preserve"> PAGEREF _Toc260906617 \h </w:instrText>
        </w:r>
        <w:r>
          <w:rPr>
            <w:noProof/>
            <w:webHidden/>
          </w:rPr>
        </w:r>
        <w:r>
          <w:rPr>
            <w:noProof/>
            <w:webHidden/>
          </w:rPr>
          <w:fldChar w:fldCharType="separate"/>
        </w:r>
        <w:r w:rsidR="006F0576">
          <w:rPr>
            <w:noProof/>
            <w:webHidden/>
          </w:rPr>
          <w:t>26</w:t>
        </w:r>
        <w:r>
          <w:rPr>
            <w:noProof/>
            <w:webHidden/>
          </w:rPr>
          <w:fldChar w:fldCharType="end"/>
        </w:r>
      </w:hyperlink>
    </w:p>
    <w:p w:rsidR="00D7481E" w:rsidRDefault="0043675C">
      <w:pPr>
        <w:pStyle w:val="TOC3"/>
        <w:rPr>
          <w:rFonts w:asciiTheme="minorHAnsi" w:eastAsiaTheme="minorEastAsia" w:hAnsiTheme="minorHAnsi" w:cstheme="minorBidi"/>
          <w:noProof/>
          <w:sz w:val="22"/>
          <w:szCs w:val="22"/>
        </w:rPr>
      </w:pPr>
      <w:hyperlink w:anchor="_Toc260906618" w:history="1">
        <w:r w:rsidR="00D7481E" w:rsidRPr="003B6BEA">
          <w:rPr>
            <w:rStyle w:val="Hyperlink"/>
            <w:noProof/>
          </w:rPr>
          <w:t>4.</w:t>
        </w:r>
        <w:r w:rsidR="00D7481E">
          <w:rPr>
            <w:rFonts w:asciiTheme="minorHAnsi" w:eastAsiaTheme="minorEastAsia" w:hAnsiTheme="minorHAnsi" w:cstheme="minorBidi"/>
            <w:noProof/>
            <w:sz w:val="22"/>
            <w:szCs w:val="22"/>
          </w:rPr>
          <w:tab/>
        </w:r>
        <w:r w:rsidR="00D7481E" w:rsidRPr="003B6BEA">
          <w:rPr>
            <w:rStyle w:val="Hyperlink"/>
            <w:noProof/>
          </w:rPr>
          <w:t>Disposition</w:t>
        </w:r>
        <w:r w:rsidR="00D7481E">
          <w:rPr>
            <w:noProof/>
            <w:webHidden/>
          </w:rPr>
          <w:tab/>
        </w:r>
        <w:r>
          <w:rPr>
            <w:noProof/>
            <w:webHidden/>
          </w:rPr>
          <w:fldChar w:fldCharType="begin"/>
        </w:r>
        <w:r w:rsidR="00D7481E">
          <w:rPr>
            <w:noProof/>
            <w:webHidden/>
          </w:rPr>
          <w:instrText xml:space="preserve"> PAGEREF _Toc260906618 \h </w:instrText>
        </w:r>
        <w:r>
          <w:rPr>
            <w:noProof/>
            <w:webHidden/>
          </w:rPr>
        </w:r>
        <w:r>
          <w:rPr>
            <w:noProof/>
            <w:webHidden/>
          </w:rPr>
          <w:fldChar w:fldCharType="separate"/>
        </w:r>
        <w:r w:rsidR="006F0576">
          <w:rPr>
            <w:noProof/>
            <w:webHidden/>
          </w:rPr>
          <w:t>27</w:t>
        </w:r>
        <w:r>
          <w:rPr>
            <w:noProof/>
            <w:webHidden/>
          </w:rPr>
          <w:fldChar w:fldCharType="end"/>
        </w:r>
      </w:hyperlink>
    </w:p>
    <w:p w:rsidR="00D7481E" w:rsidRDefault="0043675C">
      <w:pPr>
        <w:pStyle w:val="TOC2"/>
        <w:rPr>
          <w:rFonts w:asciiTheme="minorHAnsi" w:eastAsiaTheme="minorEastAsia" w:hAnsiTheme="minorHAnsi" w:cstheme="minorBidi"/>
          <w:noProof/>
          <w:sz w:val="22"/>
          <w:szCs w:val="22"/>
        </w:rPr>
      </w:pPr>
      <w:hyperlink w:anchor="_Toc260906619" w:history="1">
        <w:r w:rsidR="00D7481E" w:rsidRPr="003B6BEA">
          <w:rPr>
            <w:rStyle w:val="Hyperlink"/>
            <w:noProof/>
          </w:rPr>
          <w:t>C.</w:t>
        </w:r>
        <w:r w:rsidR="00D7481E">
          <w:rPr>
            <w:rFonts w:asciiTheme="minorHAnsi" w:eastAsiaTheme="minorEastAsia" w:hAnsiTheme="minorHAnsi" w:cstheme="minorBidi"/>
            <w:noProof/>
            <w:sz w:val="22"/>
            <w:szCs w:val="22"/>
          </w:rPr>
          <w:tab/>
        </w:r>
        <w:r w:rsidR="00D7481E" w:rsidRPr="003B6BEA">
          <w:rPr>
            <w:rStyle w:val="Hyperlink"/>
            <w:noProof/>
          </w:rPr>
          <w:t>Milestones and Implementation Schedule</w:t>
        </w:r>
        <w:r w:rsidR="00D7481E">
          <w:rPr>
            <w:noProof/>
            <w:webHidden/>
          </w:rPr>
          <w:tab/>
        </w:r>
        <w:r>
          <w:rPr>
            <w:noProof/>
            <w:webHidden/>
          </w:rPr>
          <w:fldChar w:fldCharType="begin"/>
        </w:r>
        <w:r w:rsidR="00D7481E">
          <w:rPr>
            <w:noProof/>
            <w:webHidden/>
          </w:rPr>
          <w:instrText xml:space="preserve"> PAGEREF _Toc260906619 \h </w:instrText>
        </w:r>
        <w:r>
          <w:rPr>
            <w:noProof/>
            <w:webHidden/>
          </w:rPr>
        </w:r>
        <w:r>
          <w:rPr>
            <w:noProof/>
            <w:webHidden/>
          </w:rPr>
          <w:fldChar w:fldCharType="separate"/>
        </w:r>
        <w:r w:rsidR="006F0576">
          <w:rPr>
            <w:noProof/>
            <w:webHidden/>
          </w:rPr>
          <w:t>27</w:t>
        </w:r>
        <w:r>
          <w:rPr>
            <w:noProof/>
            <w:webHidden/>
          </w:rPr>
          <w:fldChar w:fldCharType="end"/>
        </w:r>
      </w:hyperlink>
    </w:p>
    <w:p w:rsidR="00D7481E" w:rsidRDefault="0043675C">
      <w:pPr>
        <w:pStyle w:val="TOC3"/>
        <w:rPr>
          <w:rFonts w:asciiTheme="minorHAnsi" w:eastAsiaTheme="minorEastAsia" w:hAnsiTheme="minorHAnsi" w:cstheme="minorBidi"/>
          <w:noProof/>
          <w:sz w:val="22"/>
          <w:szCs w:val="22"/>
        </w:rPr>
      </w:pPr>
      <w:hyperlink w:anchor="_Toc260906620" w:history="1">
        <w:r w:rsidR="00D7481E" w:rsidRPr="003B6BEA">
          <w:rPr>
            <w:rStyle w:val="Hyperlink"/>
            <w:noProof/>
          </w:rPr>
          <w:t>1.</w:t>
        </w:r>
        <w:r w:rsidR="00D7481E">
          <w:rPr>
            <w:rFonts w:asciiTheme="minorHAnsi" w:eastAsiaTheme="minorEastAsia" w:hAnsiTheme="minorHAnsi" w:cstheme="minorBidi"/>
            <w:noProof/>
            <w:sz w:val="22"/>
            <w:szCs w:val="22"/>
          </w:rPr>
          <w:tab/>
        </w:r>
        <w:r w:rsidR="00D7481E" w:rsidRPr="003B6BEA">
          <w:rPr>
            <w:rStyle w:val="Hyperlink"/>
            <w:noProof/>
          </w:rPr>
          <w:t>Provisions of the Plan</w:t>
        </w:r>
        <w:r w:rsidR="00D7481E">
          <w:rPr>
            <w:noProof/>
            <w:webHidden/>
          </w:rPr>
          <w:tab/>
        </w:r>
        <w:r>
          <w:rPr>
            <w:noProof/>
            <w:webHidden/>
          </w:rPr>
          <w:fldChar w:fldCharType="begin"/>
        </w:r>
        <w:r w:rsidR="00D7481E">
          <w:rPr>
            <w:noProof/>
            <w:webHidden/>
          </w:rPr>
          <w:instrText xml:space="preserve"> PAGEREF _Toc260906620 \h </w:instrText>
        </w:r>
        <w:r>
          <w:rPr>
            <w:noProof/>
            <w:webHidden/>
          </w:rPr>
        </w:r>
        <w:r>
          <w:rPr>
            <w:noProof/>
            <w:webHidden/>
          </w:rPr>
          <w:fldChar w:fldCharType="separate"/>
        </w:r>
        <w:r w:rsidR="006F0576">
          <w:rPr>
            <w:noProof/>
            <w:webHidden/>
          </w:rPr>
          <w:t>27</w:t>
        </w:r>
        <w:r>
          <w:rPr>
            <w:noProof/>
            <w:webHidden/>
          </w:rPr>
          <w:fldChar w:fldCharType="end"/>
        </w:r>
      </w:hyperlink>
    </w:p>
    <w:p w:rsidR="00D7481E" w:rsidRDefault="0043675C">
      <w:pPr>
        <w:pStyle w:val="TOC3"/>
        <w:rPr>
          <w:rFonts w:asciiTheme="minorHAnsi" w:eastAsiaTheme="minorEastAsia" w:hAnsiTheme="minorHAnsi" w:cstheme="minorBidi"/>
          <w:noProof/>
          <w:sz w:val="22"/>
          <w:szCs w:val="22"/>
        </w:rPr>
      </w:pPr>
      <w:hyperlink w:anchor="_Toc260906621" w:history="1">
        <w:r w:rsidR="00D7481E" w:rsidRPr="003B6BEA">
          <w:rPr>
            <w:rStyle w:val="Hyperlink"/>
            <w:noProof/>
          </w:rPr>
          <w:t>2.</w:t>
        </w:r>
        <w:r w:rsidR="00D7481E">
          <w:rPr>
            <w:rFonts w:asciiTheme="minorHAnsi" w:eastAsiaTheme="minorEastAsia" w:hAnsiTheme="minorHAnsi" w:cstheme="minorBidi"/>
            <w:noProof/>
            <w:sz w:val="22"/>
            <w:szCs w:val="22"/>
          </w:rPr>
          <w:tab/>
        </w:r>
        <w:r w:rsidR="00D7481E" w:rsidRPr="003B6BEA">
          <w:rPr>
            <w:rStyle w:val="Hyperlink"/>
            <w:noProof/>
          </w:rPr>
          <w:t>ALJ Recommendation</w:t>
        </w:r>
        <w:r w:rsidR="00D7481E">
          <w:rPr>
            <w:noProof/>
            <w:webHidden/>
          </w:rPr>
          <w:tab/>
        </w:r>
        <w:r>
          <w:rPr>
            <w:noProof/>
            <w:webHidden/>
          </w:rPr>
          <w:fldChar w:fldCharType="begin"/>
        </w:r>
        <w:r w:rsidR="00D7481E">
          <w:rPr>
            <w:noProof/>
            <w:webHidden/>
          </w:rPr>
          <w:instrText xml:space="preserve"> PAGEREF _Toc260906621 \h </w:instrText>
        </w:r>
        <w:r>
          <w:rPr>
            <w:noProof/>
            <w:webHidden/>
          </w:rPr>
        </w:r>
        <w:r>
          <w:rPr>
            <w:noProof/>
            <w:webHidden/>
          </w:rPr>
          <w:fldChar w:fldCharType="separate"/>
        </w:r>
        <w:r w:rsidR="006F0576">
          <w:rPr>
            <w:noProof/>
            <w:webHidden/>
          </w:rPr>
          <w:t>27</w:t>
        </w:r>
        <w:r>
          <w:rPr>
            <w:noProof/>
            <w:webHidden/>
          </w:rPr>
          <w:fldChar w:fldCharType="end"/>
        </w:r>
      </w:hyperlink>
    </w:p>
    <w:p w:rsidR="00D7481E" w:rsidRDefault="0043675C">
      <w:pPr>
        <w:pStyle w:val="TOC3"/>
        <w:rPr>
          <w:rFonts w:asciiTheme="minorHAnsi" w:eastAsiaTheme="minorEastAsia" w:hAnsiTheme="minorHAnsi" w:cstheme="minorBidi"/>
          <w:noProof/>
          <w:sz w:val="22"/>
          <w:szCs w:val="22"/>
        </w:rPr>
      </w:pPr>
      <w:hyperlink w:anchor="_Toc260906622" w:history="1">
        <w:r w:rsidR="00D7481E" w:rsidRPr="003B6BEA">
          <w:rPr>
            <w:rStyle w:val="Hyperlink"/>
            <w:noProof/>
          </w:rPr>
          <w:t>3.</w:t>
        </w:r>
        <w:r w:rsidR="00D7481E">
          <w:rPr>
            <w:rFonts w:asciiTheme="minorHAnsi" w:eastAsiaTheme="minorEastAsia" w:hAnsiTheme="minorHAnsi" w:cstheme="minorBidi"/>
            <w:noProof/>
            <w:sz w:val="22"/>
            <w:szCs w:val="22"/>
          </w:rPr>
          <w:tab/>
        </w:r>
        <w:r w:rsidR="00D7481E" w:rsidRPr="003B6BEA">
          <w:rPr>
            <w:rStyle w:val="Hyperlink"/>
            <w:noProof/>
          </w:rPr>
          <w:t>Exceptions and Replies</w:t>
        </w:r>
        <w:r w:rsidR="00D7481E">
          <w:rPr>
            <w:noProof/>
            <w:webHidden/>
          </w:rPr>
          <w:tab/>
        </w:r>
        <w:r>
          <w:rPr>
            <w:noProof/>
            <w:webHidden/>
          </w:rPr>
          <w:fldChar w:fldCharType="begin"/>
        </w:r>
        <w:r w:rsidR="00D7481E">
          <w:rPr>
            <w:noProof/>
            <w:webHidden/>
          </w:rPr>
          <w:instrText xml:space="preserve"> PAGEREF _Toc260906622 \h </w:instrText>
        </w:r>
        <w:r>
          <w:rPr>
            <w:noProof/>
            <w:webHidden/>
          </w:rPr>
        </w:r>
        <w:r>
          <w:rPr>
            <w:noProof/>
            <w:webHidden/>
          </w:rPr>
          <w:fldChar w:fldCharType="separate"/>
        </w:r>
        <w:r w:rsidR="006F0576">
          <w:rPr>
            <w:noProof/>
            <w:webHidden/>
          </w:rPr>
          <w:t>28</w:t>
        </w:r>
        <w:r>
          <w:rPr>
            <w:noProof/>
            <w:webHidden/>
          </w:rPr>
          <w:fldChar w:fldCharType="end"/>
        </w:r>
      </w:hyperlink>
    </w:p>
    <w:p w:rsidR="00D7481E" w:rsidRDefault="0043675C">
      <w:pPr>
        <w:pStyle w:val="TOC3"/>
        <w:rPr>
          <w:rFonts w:asciiTheme="minorHAnsi" w:eastAsiaTheme="minorEastAsia" w:hAnsiTheme="minorHAnsi" w:cstheme="minorBidi"/>
          <w:noProof/>
          <w:sz w:val="22"/>
          <w:szCs w:val="22"/>
        </w:rPr>
      </w:pPr>
      <w:hyperlink w:anchor="_Toc260906623" w:history="1">
        <w:r w:rsidR="00D7481E" w:rsidRPr="003B6BEA">
          <w:rPr>
            <w:rStyle w:val="Hyperlink"/>
            <w:noProof/>
          </w:rPr>
          <w:t>4.</w:t>
        </w:r>
        <w:r w:rsidR="00D7481E">
          <w:rPr>
            <w:rFonts w:asciiTheme="minorHAnsi" w:eastAsiaTheme="minorEastAsia" w:hAnsiTheme="minorHAnsi" w:cstheme="minorBidi"/>
            <w:noProof/>
            <w:sz w:val="22"/>
            <w:szCs w:val="22"/>
          </w:rPr>
          <w:tab/>
        </w:r>
        <w:r w:rsidR="00D7481E" w:rsidRPr="003B6BEA">
          <w:rPr>
            <w:rStyle w:val="Hyperlink"/>
            <w:noProof/>
          </w:rPr>
          <w:t>Disposition</w:t>
        </w:r>
        <w:r w:rsidR="00D7481E">
          <w:rPr>
            <w:noProof/>
            <w:webHidden/>
          </w:rPr>
          <w:tab/>
        </w:r>
        <w:r>
          <w:rPr>
            <w:noProof/>
            <w:webHidden/>
          </w:rPr>
          <w:fldChar w:fldCharType="begin"/>
        </w:r>
        <w:r w:rsidR="00D7481E">
          <w:rPr>
            <w:noProof/>
            <w:webHidden/>
          </w:rPr>
          <w:instrText xml:space="preserve"> PAGEREF _Toc260906623 \h </w:instrText>
        </w:r>
        <w:r>
          <w:rPr>
            <w:noProof/>
            <w:webHidden/>
          </w:rPr>
        </w:r>
        <w:r>
          <w:rPr>
            <w:noProof/>
            <w:webHidden/>
          </w:rPr>
          <w:fldChar w:fldCharType="separate"/>
        </w:r>
        <w:r w:rsidR="006F0576">
          <w:rPr>
            <w:noProof/>
            <w:webHidden/>
          </w:rPr>
          <w:t>29</w:t>
        </w:r>
        <w:r>
          <w:rPr>
            <w:noProof/>
            <w:webHidden/>
          </w:rPr>
          <w:fldChar w:fldCharType="end"/>
        </w:r>
      </w:hyperlink>
    </w:p>
    <w:p w:rsidR="00D7481E" w:rsidRDefault="0043675C">
      <w:pPr>
        <w:pStyle w:val="TOC2"/>
        <w:rPr>
          <w:rFonts w:asciiTheme="minorHAnsi" w:eastAsiaTheme="minorEastAsia" w:hAnsiTheme="minorHAnsi" w:cstheme="minorBidi"/>
          <w:noProof/>
          <w:sz w:val="22"/>
          <w:szCs w:val="22"/>
        </w:rPr>
      </w:pPr>
      <w:hyperlink w:anchor="_Toc260906624" w:history="1">
        <w:r w:rsidR="00D7481E" w:rsidRPr="003B6BEA">
          <w:rPr>
            <w:rStyle w:val="Hyperlink"/>
            <w:noProof/>
          </w:rPr>
          <w:t>D.</w:t>
        </w:r>
        <w:r w:rsidR="00D7481E">
          <w:rPr>
            <w:rFonts w:asciiTheme="minorHAnsi" w:eastAsiaTheme="minorEastAsia" w:hAnsiTheme="minorHAnsi" w:cstheme="minorBidi"/>
            <w:noProof/>
            <w:sz w:val="22"/>
            <w:szCs w:val="22"/>
          </w:rPr>
          <w:tab/>
        </w:r>
        <w:r w:rsidR="00D7481E" w:rsidRPr="003B6BEA">
          <w:rPr>
            <w:rStyle w:val="Hyperlink"/>
            <w:noProof/>
          </w:rPr>
          <w:t>Fifteen Minute Interval Data</w:t>
        </w:r>
        <w:r w:rsidR="00D7481E">
          <w:rPr>
            <w:noProof/>
            <w:webHidden/>
          </w:rPr>
          <w:tab/>
        </w:r>
        <w:r>
          <w:rPr>
            <w:noProof/>
            <w:webHidden/>
          </w:rPr>
          <w:fldChar w:fldCharType="begin"/>
        </w:r>
        <w:r w:rsidR="00D7481E">
          <w:rPr>
            <w:noProof/>
            <w:webHidden/>
          </w:rPr>
          <w:instrText xml:space="preserve"> PAGEREF _Toc260906624 \h </w:instrText>
        </w:r>
        <w:r>
          <w:rPr>
            <w:noProof/>
            <w:webHidden/>
          </w:rPr>
        </w:r>
        <w:r>
          <w:rPr>
            <w:noProof/>
            <w:webHidden/>
          </w:rPr>
          <w:fldChar w:fldCharType="separate"/>
        </w:r>
        <w:r w:rsidR="006F0576">
          <w:rPr>
            <w:noProof/>
            <w:webHidden/>
          </w:rPr>
          <w:t>29</w:t>
        </w:r>
        <w:r>
          <w:rPr>
            <w:noProof/>
            <w:webHidden/>
          </w:rPr>
          <w:fldChar w:fldCharType="end"/>
        </w:r>
      </w:hyperlink>
    </w:p>
    <w:p w:rsidR="00D7481E" w:rsidRDefault="0043675C">
      <w:pPr>
        <w:pStyle w:val="TOC3"/>
        <w:rPr>
          <w:rFonts w:asciiTheme="minorHAnsi" w:eastAsiaTheme="minorEastAsia" w:hAnsiTheme="minorHAnsi" w:cstheme="minorBidi"/>
          <w:noProof/>
          <w:sz w:val="22"/>
          <w:szCs w:val="22"/>
        </w:rPr>
      </w:pPr>
      <w:hyperlink w:anchor="_Toc260906625" w:history="1">
        <w:r w:rsidR="00D7481E" w:rsidRPr="003B6BEA">
          <w:rPr>
            <w:rStyle w:val="Hyperlink"/>
            <w:noProof/>
          </w:rPr>
          <w:t>1.</w:t>
        </w:r>
        <w:r w:rsidR="00D7481E">
          <w:rPr>
            <w:rFonts w:asciiTheme="minorHAnsi" w:eastAsiaTheme="minorEastAsia" w:hAnsiTheme="minorHAnsi" w:cstheme="minorBidi"/>
            <w:noProof/>
            <w:sz w:val="22"/>
            <w:szCs w:val="22"/>
          </w:rPr>
          <w:tab/>
        </w:r>
        <w:r w:rsidR="00D7481E" w:rsidRPr="003B6BEA">
          <w:rPr>
            <w:rStyle w:val="Hyperlink"/>
            <w:noProof/>
          </w:rPr>
          <w:t>Provisions of the Plan/Parties’ Position</w:t>
        </w:r>
        <w:r w:rsidR="00D7481E">
          <w:rPr>
            <w:noProof/>
            <w:webHidden/>
          </w:rPr>
          <w:tab/>
        </w:r>
        <w:r>
          <w:rPr>
            <w:noProof/>
            <w:webHidden/>
          </w:rPr>
          <w:fldChar w:fldCharType="begin"/>
        </w:r>
        <w:r w:rsidR="00D7481E">
          <w:rPr>
            <w:noProof/>
            <w:webHidden/>
          </w:rPr>
          <w:instrText xml:space="preserve"> PAGEREF _Toc260906625 \h </w:instrText>
        </w:r>
        <w:r>
          <w:rPr>
            <w:noProof/>
            <w:webHidden/>
          </w:rPr>
        </w:r>
        <w:r>
          <w:rPr>
            <w:noProof/>
            <w:webHidden/>
          </w:rPr>
          <w:fldChar w:fldCharType="separate"/>
        </w:r>
        <w:r w:rsidR="006F0576">
          <w:rPr>
            <w:noProof/>
            <w:webHidden/>
          </w:rPr>
          <w:t>29</w:t>
        </w:r>
        <w:r>
          <w:rPr>
            <w:noProof/>
            <w:webHidden/>
          </w:rPr>
          <w:fldChar w:fldCharType="end"/>
        </w:r>
      </w:hyperlink>
    </w:p>
    <w:p w:rsidR="00D7481E" w:rsidRDefault="0043675C">
      <w:pPr>
        <w:pStyle w:val="TOC3"/>
        <w:rPr>
          <w:rFonts w:asciiTheme="minorHAnsi" w:eastAsiaTheme="minorEastAsia" w:hAnsiTheme="minorHAnsi" w:cstheme="minorBidi"/>
          <w:noProof/>
          <w:sz w:val="22"/>
          <w:szCs w:val="22"/>
        </w:rPr>
      </w:pPr>
      <w:hyperlink w:anchor="_Toc260906626" w:history="1">
        <w:r w:rsidR="00D7481E" w:rsidRPr="003B6BEA">
          <w:rPr>
            <w:rStyle w:val="Hyperlink"/>
            <w:noProof/>
          </w:rPr>
          <w:t>2.</w:t>
        </w:r>
        <w:r w:rsidR="00D7481E">
          <w:rPr>
            <w:rFonts w:asciiTheme="minorHAnsi" w:eastAsiaTheme="minorEastAsia" w:hAnsiTheme="minorHAnsi" w:cstheme="minorBidi"/>
            <w:noProof/>
            <w:sz w:val="22"/>
            <w:szCs w:val="22"/>
          </w:rPr>
          <w:tab/>
        </w:r>
        <w:r w:rsidR="00D7481E" w:rsidRPr="003B6BEA">
          <w:rPr>
            <w:rStyle w:val="Hyperlink"/>
            <w:noProof/>
          </w:rPr>
          <w:t>ALJ Recommendation</w:t>
        </w:r>
        <w:r w:rsidR="00D7481E">
          <w:rPr>
            <w:noProof/>
            <w:webHidden/>
          </w:rPr>
          <w:tab/>
        </w:r>
        <w:r>
          <w:rPr>
            <w:noProof/>
            <w:webHidden/>
          </w:rPr>
          <w:fldChar w:fldCharType="begin"/>
        </w:r>
        <w:r w:rsidR="00D7481E">
          <w:rPr>
            <w:noProof/>
            <w:webHidden/>
          </w:rPr>
          <w:instrText xml:space="preserve"> PAGEREF _Toc260906626 \h </w:instrText>
        </w:r>
        <w:r>
          <w:rPr>
            <w:noProof/>
            <w:webHidden/>
          </w:rPr>
        </w:r>
        <w:r>
          <w:rPr>
            <w:noProof/>
            <w:webHidden/>
          </w:rPr>
          <w:fldChar w:fldCharType="separate"/>
        </w:r>
        <w:r w:rsidR="006F0576">
          <w:rPr>
            <w:noProof/>
            <w:webHidden/>
          </w:rPr>
          <w:t>30</w:t>
        </w:r>
        <w:r>
          <w:rPr>
            <w:noProof/>
            <w:webHidden/>
          </w:rPr>
          <w:fldChar w:fldCharType="end"/>
        </w:r>
      </w:hyperlink>
    </w:p>
    <w:p w:rsidR="00D7481E" w:rsidRDefault="0043675C">
      <w:pPr>
        <w:pStyle w:val="TOC3"/>
        <w:rPr>
          <w:rFonts w:asciiTheme="minorHAnsi" w:eastAsiaTheme="minorEastAsia" w:hAnsiTheme="minorHAnsi" w:cstheme="minorBidi"/>
          <w:noProof/>
          <w:sz w:val="22"/>
          <w:szCs w:val="22"/>
        </w:rPr>
      </w:pPr>
      <w:hyperlink w:anchor="_Toc260906627" w:history="1">
        <w:r w:rsidR="00D7481E" w:rsidRPr="003B6BEA">
          <w:rPr>
            <w:rStyle w:val="Hyperlink"/>
            <w:noProof/>
          </w:rPr>
          <w:t>3.</w:t>
        </w:r>
        <w:r w:rsidR="00D7481E">
          <w:rPr>
            <w:rFonts w:asciiTheme="minorHAnsi" w:eastAsiaTheme="minorEastAsia" w:hAnsiTheme="minorHAnsi" w:cstheme="minorBidi"/>
            <w:noProof/>
            <w:sz w:val="22"/>
            <w:szCs w:val="22"/>
          </w:rPr>
          <w:tab/>
        </w:r>
        <w:r w:rsidR="00D7481E" w:rsidRPr="003B6BEA">
          <w:rPr>
            <w:rStyle w:val="Hyperlink"/>
            <w:noProof/>
          </w:rPr>
          <w:t>Exceptions and Replies</w:t>
        </w:r>
        <w:r w:rsidR="00D7481E">
          <w:rPr>
            <w:noProof/>
            <w:webHidden/>
          </w:rPr>
          <w:tab/>
        </w:r>
        <w:r>
          <w:rPr>
            <w:noProof/>
            <w:webHidden/>
          </w:rPr>
          <w:fldChar w:fldCharType="begin"/>
        </w:r>
        <w:r w:rsidR="00D7481E">
          <w:rPr>
            <w:noProof/>
            <w:webHidden/>
          </w:rPr>
          <w:instrText xml:space="preserve"> PAGEREF _Toc260906627 \h </w:instrText>
        </w:r>
        <w:r>
          <w:rPr>
            <w:noProof/>
            <w:webHidden/>
          </w:rPr>
        </w:r>
        <w:r>
          <w:rPr>
            <w:noProof/>
            <w:webHidden/>
          </w:rPr>
          <w:fldChar w:fldCharType="separate"/>
        </w:r>
        <w:r w:rsidR="006F0576">
          <w:rPr>
            <w:noProof/>
            <w:webHidden/>
          </w:rPr>
          <w:t>30</w:t>
        </w:r>
        <w:r>
          <w:rPr>
            <w:noProof/>
            <w:webHidden/>
          </w:rPr>
          <w:fldChar w:fldCharType="end"/>
        </w:r>
      </w:hyperlink>
    </w:p>
    <w:p w:rsidR="00D7481E" w:rsidRDefault="0043675C">
      <w:pPr>
        <w:pStyle w:val="TOC3"/>
        <w:rPr>
          <w:rFonts w:asciiTheme="minorHAnsi" w:eastAsiaTheme="minorEastAsia" w:hAnsiTheme="minorHAnsi" w:cstheme="minorBidi"/>
          <w:noProof/>
          <w:sz w:val="22"/>
          <w:szCs w:val="22"/>
        </w:rPr>
      </w:pPr>
      <w:hyperlink w:anchor="_Toc260906628" w:history="1">
        <w:r w:rsidR="00D7481E" w:rsidRPr="003B6BEA">
          <w:rPr>
            <w:rStyle w:val="Hyperlink"/>
            <w:noProof/>
          </w:rPr>
          <w:t>4.</w:t>
        </w:r>
        <w:r w:rsidR="00D7481E">
          <w:rPr>
            <w:rFonts w:asciiTheme="minorHAnsi" w:eastAsiaTheme="minorEastAsia" w:hAnsiTheme="minorHAnsi" w:cstheme="minorBidi"/>
            <w:noProof/>
            <w:sz w:val="22"/>
            <w:szCs w:val="22"/>
          </w:rPr>
          <w:tab/>
        </w:r>
        <w:r w:rsidR="00D7481E" w:rsidRPr="003B6BEA">
          <w:rPr>
            <w:rStyle w:val="Hyperlink"/>
            <w:noProof/>
          </w:rPr>
          <w:t>Disposition</w:t>
        </w:r>
        <w:r w:rsidR="00D7481E">
          <w:rPr>
            <w:noProof/>
            <w:webHidden/>
          </w:rPr>
          <w:tab/>
        </w:r>
        <w:r>
          <w:rPr>
            <w:noProof/>
            <w:webHidden/>
          </w:rPr>
          <w:fldChar w:fldCharType="begin"/>
        </w:r>
        <w:r w:rsidR="00D7481E">
          <w:rPr>
            <w:noProof/>
            <w:webHidden/>
          </w:rPr>
          <w:instrText xml:space="preserve"> PAGEREF _Toc260906628 \h </w:instrText>
        </w:r>
        <w:r>
          <w:rPr>
            <w:noProof/>
            <w:webHidden/>
          </w:rPr>
        </w:r>
        <w:r>
          <w:rPr>
            <w:noProof/>
            <w:webHidden/>
          </w:rPr>
          <w:fldChar w:fldCharType="separate"/>
        </w:r>
        <w:r w:rsidR="006F0576">
          <w:rPr>
            <w:noProof/>
            <w:webHidden/>
          </w:rPr>
          <w:t>31</w:t>
        </w:r>
        <w:r>
          <w:rPr>
            <w:noProof/>
            <w:webHidden/>
          </w:rPr>
          <w:fldChar w:fldCharType="end"/>
        </w:r>
      </w:hyperlink>
    </w:p>
    <w:p w:rsidR="00D7481E" w:rsidRDefault="0043675C">
      <w:pPr>
        <w:pStyle w:val="TOC2"/>
        <w:rPr>
          <w:rFonts w:asciiTheme="minorHAnsi" w:eastAsiaTheme="minorEastAsia" w:hAnsiTheme="minorHAnsi" w:cstheme="minorBidi"/>
          <w:noProof/>
          <w:sz w:val="22"/>
          <w:szCs w:val="22"/>
        </w:rPr>
      </w:pPr>
      <w:hyperlink w:anchor="_Toc260906629" w:history="1">
        <w:r w:rsidR="00D7481E" w:rsidRPr="003B6BEA">
          <w:rPr>
            <w:rStyle w:val="Hyperlink"/>
            <w:noProof/>
          </w:rPr>
          <w:t xml:space="preserve">VI.  </w:t>
        </w:r>
        <w:r w:rsidR="00D7481E">
          <w:rPr>
            <w:rFonts w:asciiTheme="minorHAnsi" w:eastAsiaTheme="minorEastAsia" w:hAnsiTheme="minorHAnsi" w:cstheme="minorBidi"/>
            <w:noProof/>
            <w:sz w:val="22"/>
            <w:szCs w:val="22"/>
          </w:rPr>
          <w:tab/>
        </w:r>
        <w:r w:rsidR="00D7481E" w:rsidRPr="003B6BEA">
          <w:rPr>
            <w:rStyle w:val="Hyperlink"/>
            <w:noProof/>
          </w:rPr>
          <w:t>Conclusion</w:t>
        </w:r>
        <w:r w:rsidR="00D7481E">
          <w:rPr>
            <w:noProof/>
            <w:webHidden/>
          </w:rPr>
          <w:tab/>
        </w:r>
        <w:r>
          <w:rPr>
            <w:noProof/>
            <w:webHidden/>
          </w:rPr>
          <w:fldChar w:fldCharType="begin"/>
        </w:r>
        <w:r w:rsidR="00D7481E">
          <w:rPr>
            <w:noProof/>
            <w:webHidden/>
          </w:rPr>
          <w:instrText xml:space="preserve"> PAGEREF _Toc260906629 \h </w:instrText>
        </w:r>
        <w:r>
          <w:rPr>
            <w:noProof/>
            <w:webHidden/>
          </w:rPr>
        </w:r>
        <w:r>
          <w:rPr>
            <w:noProof/>
            <w:webHidden/>
          </w:rPr>
          <w:fldChar w:fldCharType="separate"/>
        </w:r>
        <w:r w:rsidR="006F0576">
          <w:rPr>
            <w:noProof/>
            <w:webHidden/>
          </w:rPr>
          <w:t>32</w:t>
        </w:r>
        <w:r>
          <w:rPr>
            <w:noProof/>
            <w:webHidden/>
          </w:rPr>
          <w:fldChar w:fldCharType="end"/>
        </w:r>
      </w:hyperlink>
    </w:p>
    <w:p w:rsidR="00556E29" w:rsidRDefault="0043675C">
      <w:pPr>
        <w:spacing w:after="200" w:line="276" w:lineRule="auto"/>
        <w:rPr>
          <w:b/>
          <w:sz w:val="26"/>
          <w:szCs w:val="26"/>
        </w:rPr>
      </w:pPr>
      <w:r w:rsidRPr="009D6E3C">
        <w:rPr>
          <w:b/>
          <w:sz w:val="26"/>
          <w:szCs w:val="26"/>
        </w:rPr>
        <w:fldChar w:fldCharType="end"/>
      </w:r>
    </w:p>
    <w:p w:rsidR="004261E0" w:rsidRDefault="004261E0" w:rsidP="00F8320E">
      <w:pPr>
        <w:spacing w:after="200" w:line="276" w:lineRule="auto"/>
        <w:rPr>
          <w:b/>
          <w:sz w:val="26"/>
          <w:szCs w:val="26"/>
        </w:rPr>
        <w:sectPr w:rsidR="004261E0" w:rsidSect="00C34D7A">
          <w:headerReference w:type="default" r:id="rId8"/>
          <w:footerReference w:type="default" r:id="rId9"/>
          <w:pgSz w:w="12240" w:h="15840"/>
          <w:pgMar w:top="1440" w:right="1440" w:bottom="1440" w:left="1440" w:header="720" w:footer="720" w:gutter="0"/>
          <w:pgNumType w:fmt="lowerRoman" w:start="1"/>
          <w:cols w:space="720"/>
          <w:docGrid w:linePitch="360"/>
        </w:sectPr>
      </w:pPr>
    </w:p>
    <w:p w:rsidR="00F461A6" w:rsidRDefault="003A5D24" w:rsidP="00581D51">
      <w:pPr>
        <w:spacing w:line="360" w:lineRule="auto"/>
        <w:jc w:val="center"/>
        <w:rPr>
          <w:b/>
          <w:sz w:val="26"/>
          <w:szCs w:val="26"/>
        </w:rPr>
      </w:pPr>
      <w:r>
        <w:rPr>
          <w:b/>
          <w:sz w:val="26"/>
          <w:szCs w:val="26"/>
        </w:rPr>
        <w:lastRenderedPageBreak/>
        <w:t>OPINION AND ORDER</w:t>
      </w:r>
    </w:p>
    <w:p w:rsidR="00F461A6" w:rsidRDefault="00F461A6" w:rsidP="00581D51">
      <w:pPr>
        <w:spacing w:line="360" w:lineRule="auto"/>
        <w:jc w:val="center"/>
        <w:rPr>
          <w:b/>
          <w:sz w:val="26"/>
          <w:szCs w:val="26"/>
        </w:rPr>
      </w:pPr>
    </w:p>
    <w:p w:rsidR="00581D51" w:rsidRPr="00581D51" w:rsidRDefault="00581D51" w:rsidP="00581D51">
      <w:pPr>
        <w:spacing w:line="360" w:lineRule="auto"/>
        <w:rPr>
          <w:b/>
          <w:sz w:val="26"/>
          <w:szCs w:val="26"/>
        </w:rPr>
      </w:pPr>
      <w:r>
        <w:rPr>
          <w:b/>
          <w:sz w:val="26"/>
          <w:szCs w:val="26"/>
        </w:rPr>
        <w:t>BY THE COMMISSION:</w:t>
      </w:r>
    </w:p>
    <w:p w:rsidR="00581D51" w:rsidRDefault="00581D51" w:rsidP="00581D51">
      <w:pPr>
        <w:spacing w:line="360" w:lineRule="auto"/>
        <w:ind w:firstLine="1440"/>
        <w:rPr>
          <w:sz w:val="26"/>
          <w:szCs w:val="26"/>
        </w:rPr>
      </w:pPr>
    </w:p>
    <w:p w:rsidR="00DB1424" w:rsidRPr="00852327" w:rsidRDefault="00DB1424" w:rsidP="00852327">
      <w:pPr>
        <w:pStyle w:val="Heading1"/>
      </w:pPr>
      <w:bookmarkStart w:id="0" w:name="_Toc242516213"/>
      <w:bookmarkStart w:id="1" w:name="_Toc252882409"/>
      <w:bookmarkStart w:id="2" w:name="_Toc260906573"/>
      <w:r w:rsidRPr="00852327">
        <w:t>I.</w:t>
      </w:r>
      <w:r w:rsidR="00B6382E" w:rsidRPr="00852327">
        <w:t xml:space="preserve">  </w:t>
      </w:r>
      <w:r w:rsidR="006F4B78" w:rsidRPr="00852327">
        <w:tab/>
      </w:r>
      <w:r w:rsidRPr="00852327">
        <w:t>Introduction</w:t>
      </w:r>
      <w:bookmarkEnd w:id="0"/>
      <w:bookmarkEnd w:id="1"/>
      <w:bookmarkEnd w:id="2"/>
    </w:p>
    <w:p w:rsidR="00DB1424" w:rsidRPr="00B5299B" w:rsidRDefault="00DB1424" w:rsidP="00DB1424">
      <w:pPr>
        <w:spacing w:line="360" w:lineRule="auto"/>
        <w:jc w:val="center"/>
        <w:rPr>
          <w:sz w:val="26"/>
          <w:szCs w:val="26"/>
        </w:rPr>
      </w:pPr>
    </w:p>
    <w:p w:rsidR="00A95597" w:rsidRDefault="00B5299B" w:rsidP="00A95597">
      <w:pPr>
        <w:spacing w:line="360" w:lineRule="auto"/>
        <w:ind w:firstLine="1440"/>
        <w:rPr>
          <w:sz w:val="26"/>
          <w:szCs w:val="26"/>
        </w:rPr>
      </w:pPr>
      <w:bookmarkStart w:id="3" w:name="_Toc242516214"/>
      <w:r w:rsidRPr="00B5299B">
        <w:rPr>
          <w:sz w:val="26"/>
          <w:szCs w:val="26"/>
        </w:rPr>
        <w:t xml:space="preserve">Before the Pennsylvania Public Utility Commission (Commission) for consideration and disposition are the Exceptions of </w:t>
      </w:r>
      <w:r w:rsidR="002A1DEC">
        <w:rPr>
          <w:sz w:val="26"/>
          <w:szCs w:val="26"/>
        </w:rPr>
        <w:t xml:space="preserve">the Office of Consumer Advocate (OCA), the Office of Small Business Advocate (OSBA), the Office of Trial Staff (OTS), </w:t>
      </w:r>
      <w:r w:rsidR="0081211C">
        <w:rPr>
          <w:sz w:val="26"/>
          <w:szCs w:val="26"/>
        </w:rPr>
        <w:t xml:space="preserve">the Pennsylvania Department of Environmental Protection (DEP), </w:t>
      </w:r>
      <w:r w:rsidR="00447154">
        <w:rPr>
          <w:sz w:val="26"/>
          <w:szCs w:val="26"/>
        </w:rPr>
        <w:t>Citizen Power</w:t>
      </w:r>
      <w:r w:rsidR="000877F2">
        <w:rPr>
          <w:sz w:val="26"/>
          <w:szCs w:val="26"/>
        </w:rPr>
        <w:t>, Inc. (Citizen</w:t>
      </w:r>
      <w:r w:rsidR="0057774B">
        <w:rPr>
          <w:sz w:val="26"/>
          <w:szCs w:val="26"/>
        </w:rPr>
        <w:t xml:space="preserve"> Power</w:t>
      </w:r>
      <w:r w:rsidR="000877F2">
        <w:rPr>
          <w:sz w:val="26"/>
          <w:szCs w:val="26"/>
        </w:rPr>
        <w:t xml:space="preserve">) and Duquesne Industrial Intervenors (DII) </w:t>
      </w:r>
      <w:r w:rsidRPr="00B5299B">
        <w:rPr>
          <w:sz w:val="26"/>
          <w:szCs w:val="26"/>
        </w:rPr>
        <w:t xml:space="preserve">filed on </w:t>
      </w:r>
      <w:r w:rsidR="00065CDD">
        <w:rPr>
          <w:sz w:val="26"/>
          <w:szCs w:val="26"/>
        </w:rPr>
        <w:t xml:space="preserve">or about </w:t>
      </w:r>
      <w:r w:rsidRPr="00B5299B">
        <w:rPr>
          <w:sz w:val="26"/>
          <w:szCs w:val="26"/>
        </w:rPr>
        <w:t xml:space="preserve">February </w:t>
      </w:r>
      <w:r w:rsidR="000877F2">
        <w:rPr>
          <w:sz w:val="26"/>
          <w:szCs w:val="26"/>
        </w:rPr>
        <w:t>17</w:t>
      </w:r>
      <w:r w:rsidRPr="00B5299B">
        <w:rPr>
          <w:sz w:val="26"/>
          <w:szCs w:val="26"/>
        </w:rPr>
        <w:t>, 2010, to the Initial Decision (I.D.) issued</w:t>
      </w:r>
      <w:r w:rsidR="002A58A4">
        <w:rPr>
          <w:sz w:val="26"/>
          <w:szCs w:val="26"/>
        </w:rPr>
        <w:t xml:space="preserve"> in this proce</w:t>
      </w:r>
      <w:r w:rsidR="006A7F68">
        <w:rPr>
          <w:sz w:val="26"/>
          <w:szCs w:val="26"/>
        </w:rPr>
        <w:t>eding</w:t>
      </w:r>
      <w:r w:rsidRPr="00B5299B">
        <w:rPr>
          <w:sz w:val="26"/>
          <w:szCs w:val="26"/>
        </w:rPr>
        <w:t xml:space="preserve"> by Administrative Law Judge (ALJ)</w:t>
      </w:r>
      <w:r>
        <w:rPr>
          <w:sz w:val="26"/>
          <w:szCs w:val="26"/>
        </w:rPr>
        <w:t xml:space="preserve"> </w:t>
      </w:r>
      <w:r w:rsidR="000877F2">
        <w:rPr>
          <w:sz w:val="26"/>
          <w:szCs w:val="26"/>
        </w:rPr>
        <w:t>Robert P. Meehan</w:t>
      </w:r>
      <w:r w:rsidR="008B4236">
        <w:rPr>
          <w:sz w:val="26"/>
          <w:szCs w:val="26"/>
        </w:rPr>
        <w:t xml:space="preserve"> on January 28, 2010.  Replies to Exceptions were filed on</w:t>
      </w:r>
      <w:r w:rsidR="00065CDD">
        <w:rPr>
          <w:sz w:val="26"/>
          <w:szCs w:val="26"/>
        </w:rPr>
        <w:t xml:space="preserve"> or about</w:t>
      </w:r>
      <w:r w:rsidR="008B4236">
        <w:rPr>
          <w:sz w:val="26"/>
          <w:szCs w:val="26"/>
        </w:rPr>
        <w:t xml:space="preserve"> March 1, 2010</w:t>
      </w:r>
      <w:r w:rsidR="005E2262">
        <w:rPr>
          <w:sz w:val="26"/>
          <w:szCs w:val="26"/>
        </w:rPr>
        <w:t>,</w:t>
      </w:r>
      <w:r w:rsidR="008B4236">
        <w:rPr>
          <w:sz w:val="26"/>
          <w:szCs w:val="26"/>
        </w:rPr>
        <w:t xml:space="preserve"> by </w:t>
      </w:r>
      <w:r w:rsidR="006B6240">
        <w:rPr>
          <w:sz w:val="26"/>
          <w:szCs w:val="26"/>
        </w:rPr>
        <w:t>Duquesne</w:t>
      </w:r>
      <w:r w:rsidR="002774C7">
        <w:rPr>
          <w:sz w:val="26"/>
          <w:szCs w:val="26"/>
        </w:rPr>
        <w:t xml:space="preserve"> Light Company (Duquesne)</w:t>
      </w:r>
      <w:r w:rsidR="006B6240">
        <w:rPr>
          <w:sz w:val="26"/>
          <w:szCs w:val="26"/>
        </w:rPr>
        <w:t xml:space="preserve">, </w:t>
      </w:r>
      <w:r w:rsidR="006A7F68">
        <w:rPr>
          <w:sz w:val="26"/>
          <w:szCs w:val="26"/>
        </w:rPr>
        <w:t xml:space="preserve">the </w:t>
      </w:r>
      <w:r w:rsidR="006B6240">
        <w:rPr>
          <w:sz w:val="26"/>
          <w:szCs w:val="26"/>
        </w:rPr>
        <w:t xml:space="preserve">OCA, </w:t>
      </w:r>
      <w:r w:rsidR="006A7F68">
        <w:rPr>
          <w:sz w:val="26"/>
          <w:szCs w:val="26"/>
        </w:rPr>
        <w:t xml:space="preserve">the </w:t>
      </w:r>
      <w:r w:rsidR="006B6240">
        <w:rPr>
          <w:sz w:val="26"/>
          <w:szCs w:val="26"/>
        </w:rPr>
        <w:t>OSBA, and DII</w:t>
      </w:r>
      <w:r w:rsidR="008B4236">
        <w:rPr>
          <w:sz w:val="26"/>
          <w:szCs w:val="26"/>
        </w:rPr>
        <w:t>.</w:t>
      </w:r>
      <w:bookmarkStart w:id="4" w:name="_Toc252882410"/>
      <w:r w:rsidR="00F02CED">
        <w:rPr>
          <w:sz w:val="26"/>
          <w:szCs w:val="26"/>
        </w:rPr>
        <w:t xml:space="preserve">  For the reasons set forth herein, we will adopt the ALJ’s Initial Decision, as modified by this Opinion and Order.</w:t>
      </w:r>
    </w:p>
    <w:p w:rsidR="00A95597" w:rsidRDefault="00A95597" w:rsidP="00A95597">
      <w:pPr>
        <w:spacing w:line="360" w:lineRule="auto"/>
        <w:ind w:firstLine="1440"/>
        <w:rPr>
          <w:sz w:val="26"/>
          <w:szCs w:val="26"/>
        </w:rPr>
      </w:pPr>
    </w:p>
    <w:p w:rsidR="00B830F4" w:rsidRPr="00A95597" w:rsidRDefault="00B6382E" w:rsidP="001A7E0D">
      <w:pPr>
        <w:pStyle w:val="Heading1"/>
      </w:pPr>
      <w:bookmarkStart w:id="5" w:name="_Toc260906574"/>
      <w:r w:rsidRPr="00A95597">
        <w:t xml:space="preserve">II.  </w:t>
      </w:r>
      <w:r w:rsidR="006F4B78" w:rsidRPr="00A95597">
        <w:tab/>
      </w:r>
      <w:bookmarkEnd w:id="3"/>
      <w:r w:rsidR="00020830" w:rsidRPr="00A95597">
        <w:t>Background</w:t>
      </w:r>
      <w:bookmarkEnd w:id="4"/>
      <w:bookmarkEnd w:id="5"/>
    </w:p>
    <w:p w:rsidR="00DD22A6" w:rsidRDefault="00DD22A6" w:rsidP="00F15DBB">
      <w:pPr>
        <w:spacing w:line="360" w:lineRule="auto"/>
        <w:ind w:firstLine="1440"/>
        <w:rPr>
          <w:sz w:val="26"/>
          <w:szCs w:val="26"/>
        </w:rPr>
      </w:pPr>
    </w:p>
    <w:p w:rsidR="0093002C" w:rsidRPr="00B03833" w:rsidRDefault="00FD7119" w:rsidP="00B03833">
      <w:pPr>
        <w:pStyle w:val="Heading2"/>
      </w:pPr>
      <w:bookmarkStart w:id="6" w:name="_Toc252882411"/>
      <w:bookmarkStart w:id="7" w:name="_Toc260906575"/>
      <w:r w:rsidRPr="00B03833">
        <w:t>A.</w:t>
      </w:r>
      <w:r w:rsidRPr="00B03833">
        <w:tab/>
        <w:t>Act 129</w:t>
      </w:r>
      <w:bookmarkEnd w:id="6"/>
      <w:bookmarkEnd w:id="7"/>
      <w:r w:rsidR="00A7443B" w:rsidRPr="00B03833">
        <w:t xml:space="preserve"> </w:t>
      </w:r>
    </w:p>
    <w:p w:rsidR="00B65CF8" w:rsidRDefault="00B65CF8" w:rsidP="00F15DBB">
      <w:pPr>
        <w:spacing w:line="360" w:lineRule="auto"/>
        <w:ind w:firstLine="1440"/>
        <w:rPr>
          <w:sz w:val="26"/>
          <w:szCs w:val="26"/>
        </w:rPr>
      </w:pPr>
    </w:p>
    <w:p w:rsidR="00F22083" w:rsidRDefault="0065303B" w:rsidP="00F22083">
      <w:pPr>
        <w:pStyle w:val="p3"/>
        <w:widowControl/>
        <w:tabs>
          <w:tab w:val="clear" w:pos="204"/>
        </w:tabs>
        <w:spacing w:line="360" w:lineRule="auto"/>
        <w:ind w:firstLine="1440"/>
        <w:rPr>
          <w:sz w:val="26"/>
        </w:rPr>
      </w:pPr>
      <w:r w:rsidRPr="00920883">
        <w:rPr>
          <w:sz w:val="26"/>
        </w:rPr>
        <w:t>Governor Edward Rendell signed Act 129 of 2008 (“the Act” or “Act 129”) into law on October </w:t>
      </w:r>
      <w:r w:rsidR="005974D8">
        <w:rPr>
          <w:sz w:val="26"/>
        </w:rPr>
        <w:t xml:space="preserve">15, 2008. </w:t>
      </w:r>
      <w:r w:rsidR="00EB157F">
        <w:rPr>
          <w:sz w:val="26"/>
        </w:rPr>
        <w:t xml:space="preserve"> </w:t>
      </w:r>
      <w:r w:rsidR="005974D8">
        <w:rPr>
          <w:sz w:val="26"/>
        </w:rPr>
        <w:t>The Act took effect thirty</w:t>
      </w:r>
      <w:r w:rsidRPr="00920883">
        <w:rPr>
          <w:sz w:val="26"/>
        </w:rPr>
        <w:t xml:space="preserve"> days thereafter on November 14, 2008.  Among other things, the Act specifically directed that</w:t>
      </w:r>
      <w:r w:rsidR="000F1824">
        <w:rPr>
          <w:sz w:val="26"/>
        </w:rPr>
        <w:t xml:space="preserve"> </w:t>
      </w:r>
      <w:r w:rsidRPr="00920883">
        <w:rPr>
          <w:sz w:val="26"/>
        </w:rPr>
        <w:t>electric distribution companies (“EDCs”)</w:t>
      </w:r>
      <w:r w:rsidR="000F1824">
        <w:rPr>
          <w:sz w:val="26"/>
        </w:rPr>
        <w:t xml:space="preserve"> with at least 100,000 customers</w:t>
      </w:r>
      <w:r w:rsidRPr="00920883">
        <w:rPr>
          <w:sz w:val="26"/>
        </w:rPr>
        <w:t xml:space="preserve"> file, with the Commission for approval, a smart meter technology procurement and installation plan. 66 Pa. C.S. §</w:t>
      </w:r>
      <w:r>
        <w:rPr>
          <w:sz w:val="26"/>
        </w:rPr>
        <w:t> </w:t>
      </w:r>
      <w:r w:rsidR="00367A78">
        <w:rPr>
          <w:sz w:val="26"/>
        </w:rPr>
        <w:t xml:space="preserve">2807(f)(1).  </w:t>
      </w:r>
      <w:r w:rsidR="000F1824">
        <w:rPr>
          <w:sz w:val="26"/>
        </w:rPr>
        <w:t xml:space="preserve">These plans </w:t>
      </w:r>
      <w:r w:rsidR="00210182">
        <w:rPr>
          <w:sz w:val="26"/>
        </w:rPr>
        <w:t>were to</w:t>
      </w:r>
      <w:r w:rsidR="000F1824">
        <w:rPr>
          <w:sz w:val="26"/>
        </w:rPr>
        <w:t xml:space="preserve"> be filed by August 14, 2009</w:t>
      </w:r>
      <w:r w:rsidR="00536A11">
        <w:rPr>
          <w:sz w:val="26"/>
        </w:rPr>
        <w:t xml:space="preserve">.  Each plan </w:t>
      </w:r>
      <w:r w:rsidR="00210182">
        <w:rPr>
          <w:sz w:val="26"/>
        </w:rPr>
        <w:t>was to</w:t>
      </w:r>
      <w:r w:rsidR="00536A11">
        <w:rPr>
          <w:sz w:val="26"/>
        </w:rPr>
        <w:t xml:space="preserve"> </w:t>
      </w:r>
      <w:r w:rsidRPr="00920883">
        <w:rPr>
          <w:sz w:val="26"/>
        </w:rPr>
        <w:t xml:space="preserve">describe the smart meter technologies the EDC proposes to install, upon request from a </w:t>
      </w:r>
      <w:r w:rsidRPr="00920883">
        <w:rPr>
          <w:sz w:val="26"/>
        </w:rPr>
        <w:lastRenderedPageBreak/>
        <w:t>customer at the customer’s expense, in new construction</w:t>
      </w:r>
      <w:r w:rsidR="004D7A83">
        <w:rPr>
          <w:sz w:val="26"/>
        </w:rPr>
        <w:t>,</w:t>
      </w:r>
      <w:r w:rsidRPr="00920883">
        <w:rPr>
          <w:sz w:val="26"/>
        </w:rPr>
        <w:t xml:space="preserve"> and in accordance with a depreciation schedule not to exceed 15 years.  66 Pa. C.S. §§ 2807(f)(1) and (2).  The Act also establishe</w:t>
      </w:r>
      <w:r w:rsidR="00210182">
        <w:rPr>
          <w:sz w:val="26"/>
        </w:rPr>
        <w:t>d</w:t>
      </w:r>
      <w:r w:rsidRPr="00920883">
        <w:rPr>
          <w:sz w:val="26"/>
        </w:rPr>
        <w:t xml:space="preserve"> </w:t>
      </w:r>
      <w:r>
        <w:rPr>
          <w:sz w:val="26"/>
        </w:rPr>
        <w:t>a requirement for EDCs to make available to third parties</w:t>
      </w:r>
      <w:r w:rsidR="00210182">
        <w:rPr>
          <w:sz w:val="26"/>
        </w:rPr>
        <w:t>, upon customer consent,</w:t>
      </w:r>
      <w:r>
        <w:rPr>
          <w:sz w:val="26"/>
        </w:rPr>
        <w:t xml:space="preserve"> direct </w:t>
      </w:r>
      <w:r w:rsidRPr="00920883">
        <w:rPr>
          <w:sz w:val="26"/>
        </w:rPr>
        <w:t>meter</w:t>
      </w:r>
      <w:r>
        <w:rPr>
          <w:sz w:val="26"/>
        </w:rPr>
        <w:t xml:space="preserve"> access</w:t>
      </w:r>
      <w:r w:rsidRPr="00920883">
        <w:rPr>
          <w:sz w:val="26"/>
        </w:rPr>
        <w:t xml:space="preserve"> and </w:t>
      </w:r>
      <w:r>
        <w:rPr>
          <w:sz w:val="26"/>
        </w:rPr>
        <w:t xml:space="preserve">electronic access to </w:t>
      </w:r>
      <w:r w:rsidRPr="00920883">
        <w:rPr>
          <w:sz w:val="26"/>
        </w:rPr>
        <w:t>meter da</w:t>
      </w:r>
      <w:r w:rsidR="00210182">
        <w:rPr>
          <w:sz w:val="26"/>
        </w:rPr>
        <w:t>ta</w:t>
      </w:r>
      <w:r w:rsidRPr="00920883">
        <w:rPr>
          <w:sz w:val="26"/>
        </w:rPr>
        <w:t>.  66 Pa. C.S. § 2807(f)(3).  The Act further define</w:t>
      </w:r>
      <w:r w:rsidR="00D52798">
        <w:rPr>
          <w:sz w:val="26"/>
        </w:rPr>
        <w:t>d</w:t>
      </w:r>
      <w:r w:rsidRPr="00920883">
        <w:rPr>
          <w:sz w:val="26"/>
        </w:rPr>
        <w:t xml:space="preserve"> minimum s</w:t>
      </w:r>
      <w:r>
        <w:rPr>
          <w:sz w:val="26"/>
        </w:rPr>
        <w:t>m</w:t>
      </w:r>
      <w:r w:rsidRPr="00920883">
        <w:rPr>
          <w:sz w:val="26"/>
        </w:rPr>
        <w:t xml:space="preserve">art meter technology capabilities.  66 Pa. C.S. </w:t>
      </w:r>
    </w:p>
    <w:p w:rsidR="00957CA3" w:rsidRDefault="0065303B" w:rsidP="00F22083">
      <w:pPr>
        <w:pStyle w:val="p3"/>
        <w:widowControl/>
        <w:tabs>
          <w:tab w:val="clear" w:pos="204"/>
        </w:tabs>
        <w:spacing w:line="360" w:lineRule="auto"/>
        <w:rPr>
          <w:sz w:val="26"/>
        </w:rPr>
      </w:pPr>
      <w:r w:rsidRPr="00920883">
        <w:rPr>
          <w:sz w:val="26"/>
        </w:rPr>
        <w:t>§ 2807(g).  Finally, the Act establishe</w:t>
      </w:r>
      <w:r w:rsidR="00210182">
        <w:rPr>
          <w:sz w:val="26"/>
        </w:rPr>
        <w:t>d</w:t>
      </w:r>
      <w:r w:rsidRPr="00920883">
        <w:rPr>
          <w:sz w:val="26"/>
        </w:rPr>
        <w:t xml:space="preserve"> acceptable cost recovery methods.  66 Pa. C.S. </w:t>
      </w:r>
    </w:p>
    <w:p w:rsidR="0065303B" w:rsidRDefault="0065303B" w:rsidP="00957CA3">
      <w:pPr>
        <w:pStyle w:val="p3"/>
        <w:widowControl/>
        <w:tabs>
          <w:tab w:val="clear" w:pos="204"/>
        </w:tabs>
        <w:spacing w:line="360" w:lineRule="auto"/>
        <w:rPr>
          <w:sz w:val="26"/>
        </w:rPr>
      </w:pPr>
      <w:r w:rsidRPr="00920883">
        <w:rPr>
          <w:sz w:val="26"/>
        </w:rPr>
        <w:t>§ 2807(7).</w:t>
      </w:r>
    </w:p>
    <w:p w:rsidR="0065303B" w:rsidRDefault="0065303B" w:rsidP="0065303B">
      <w:pPr>
        <w:pStyle w:val="p3"/>
        <w:widowControl/>
        <w:tabs>
          <w:tab w:val="clear" w:pos="204"/>
        </w:tabs>
        <w:spacing w:line="360" w:lineRule="auto"/>
        <w:rPr>
          <w:sz w:val="26"/>
        </w:rPr>
      </w:pPr>
    </w:p>
    <w:p w:rsidR="0065303B" w:rsidRPr="00367A78" w:rsidRDefault="0065303B" w:rsidP="008A4477">
      <w:pPr>
        <w:pStyle w:val="p3"/>
        <w:widowControl/>
        <w:tabs>
          <w:tab w:val="clear" w:pos="204"/>
        </w:tabs>
        <w:spacing w:line="360" w:lineRule="auto"/>
        <w:ind w:firstLine="1440"/>
        <w:rPr>
          <w:sz w:val="26"/>
        </w:rPr>
      </w:pPr>
      <w:r>
        <w:rPr>
          <w:sz w:val="26"/>
        </w:rPr>
        <w:t xml:space="preserve">On March 30, 2009, the Commission issued a Secretarial Letter seeking comments on a draft staff proposal and additional questions regarding EDC smart meter procurement and installation.  </w:t>
      </w:r>
      <w:r w:rsidR="004D7A83">
        <w:rPr>
          <w:sz w:val="26"/>
        </w:rPr>
        <w:t xml:space="preserve">On June 24, 2009, the Commission </w:t>
      </w:r>
      <w:r w:rsidR="00367A78">
        <w:rPr>
          <w:sz w:val="26"/>
        </w:rPr>
        <w:t xml:space="preserve">outlined </w:t>
      </w:r>
      <w:r w:rsidR="00016010">
        <w:rPr>
          <w:sz w:val="26"/>
        </w:rPr>
        <w:t xml:space="preserve">the standards each </w:t>
      </w:r>
      <w:r w:rsidR="00367A78">
        <w:rPr>
          <w:sz w:val="26"/>
        </w:rPr>
        <w:t xml:space="preserve">smart meter </w:t>
      </w:r>
      <w:r w:rsidR="00016010">
        <w:rPr>
          <w:sz w:val="26"/>
        </w:rPr>
        <w:t xml:space="preserve">plan must meet and provided guidance on the procedures to be followed for submittal, review and approval of all aspects of each smart meter plan.  </w:t>
      </w:r>
      <w:r w:rsidR="004D7A83" w:rsidRPr="00016010">
        <w:rPr>
          <w:i/>
          <w:sz w:val="26"/>
        </w:rPr>
        <w:t>Smart Meter Procurement and Installation</w:t>
      </w:r>
      <w:r w:rsidR="004D7A83">
        <w:rPr>
          <w:sz w:val="26"/>
        </w:rPr>
        <w:t xml:space="preserve">, Docket No. </w:t>
      </w:r>
      <w:r w:rsidR="00016010">
        <w:rPr>
          <w:sz w:val="26"/>
        </w:rPr>
        <w:t>M-2009-2092655 (</w:t>
      </w:r>
      <w:r w:rsidR="00016010">
        <w:rPr>
          <w:i/>
          <w:sz w:val="26"/>
        </w:rPr>
        <w:t>Implementation Order</w:t>
      </w:r>
      <w:r w:rsidR="00016010">
        <w:rPr>
          <w:sz w:val="26"/>
        </w:rPr>
        <w:t xml:space="preserve">).  </w:t>
      </w:r>
    </w:p>
    <w:p w:rsidR="00783C39" w:rsidRDefault="00783C39" w:rsidP="00783C39">
      <w:pPr>
        <w:spacing w:after="200" w:line="276" w:lineRule="auto"/>
      </w:pPr>
      <w:bookmarkStart w:id="8" w:name="_Toc252882413"/>
      <w:bookmarkStart w:id="9" w:name="_Toc242516218"/>
    </w:p>
    <w:p w:rsidR="00001DFB" w:rsidRPr="00B03833" w:rsidRDefault="00001DFB" w:rsidP="00B03833">
      <w:pPr>
        <w:pStyle w:val="Heading2"/>
      </w:pPr>
      <w:bookmarkStart w:id="10" w:name="_Toc260906576"/>
      <w:r w:rsidRPr="00B03833">
        <w:t>B.</w:t>
      </w:r>
      <w:r w:rsidRPr="00B03833">
        <w:tab/>
        <w:t>The Company</w:t>
      </w:r>
      <w:bookmarkEnd w:id="10"/>
    </w:p>
    <w:p w:rsidR="00001DFB" w:rsidRDefault="00001DFB" w:rsidP="00001DFB">
      <w:pPr>
        <w:pStyle w:val="Heading2"/>
      </w:pPr>
      <w:r>
        <w:t xml:space="preserve"> </w:t>
      </w:r>
    </w:p>
    <w:p w:rsidR="00F279AD" w:rsidRDefault="00001DFB" w:rsidP="00F279AD">
      <w:pPr>
        <w:spacing w:after="200" w:line="360" w:lineRule="auto"/>
      </w:pPr>
      <w:r>
        <w:tab/>
      </w:r>
      <w:r w:rsidR="00A87AB6">
        <w:rPr>
          <w:sz w:val="26"/>
          <w:szCs w:val="26"/>
        </w:rPr>
        <w:tab/>
      </w:r>
      <w:r w:rsidR="00F279AD">
        <w:rPr>
          <w:sz w:val="26"/>
          <w:szCs w:val="26"/>
        </w:rPr>
        <w:t>Duquesne is a public utility as defined under Section 102 of the Public Utility Code</w:t>
      </w:r>
      <w:r w:rsidR="006A7F68">
        <w:rPr>
          <w:sz w:val="26"/>
          <w:szCs w:val="26"/>
        </w:rPr>
        <w:t xml:space="preserve"> (Code),</w:t>
      </w:r>
      <w:r w:rsidR="00F279AD">
        <w:rPr>
          <w:sz w:val="26"/>
          <w:szCs w:val="26"/>
        </w:rPr>
        <w:t xml:space="preserve"> 66 Pa. C.S. § 102.  </w:t>
      </w:r>
      <w:r w:rsidR="00A87AB6">
        <w:rPr>
          <w:sz w:val="26"/>
          <w:szCs w:val="26"/>
        </w:rPr>
        <w:t>Duquesne is an electric distribution company and provides electric service to approximately 579,000 customers in the City of Pittsburgh, and in Allegheny and Beaver Counties, Pennsylvania.</w:t>
      </w:r>
      <w:r>
        <w:tab/>
      </w:r>
    </w:p>
    <w:p w:rsidR="00436EF7" w:rsidRDefault="00436EF7" w:rsidP="00F279AD">
      <w:pPr>
        <w:spacing w:after="200" w:line="360" w:lineRule="auto"/>
      </w:pPr>
    </w:p>
    <w:p w:rsidR="00FD7119" w:rsidRPr="00852327" w:rsidRDefault="00FD7119" w:rsidP="00852327">
      <w:pPr>
        <w:pStyle w:val="Heading1"/>
        <w:rPr>
          <w:szCs w:val="26"/>
        </w:rPr>
      </w:pPr>
      <w:bookmarkStart w:id="11" w:name="_Toc260906577"/>
      <w:r w:rsidRPr="00852327">
        <w:rPr>
          <w:szCs w:val="26"/>
        </w:rPr>
        <w:t xml:space="preserve">III.  </w:t>
      </w:r>
      <w:r w:rsidRPr="00852327">
        <w:rPr>
          <w:szCs w:val="26"/>
        </w:rPr>
        <w:tab/>
        <w:t>Procedural History</w:t>
      </w:r>
      <w:bookmarkEnd w:id="8"/>
      <w:bookmarkEnd w:id="11"/>
    </w:p>
    <w:p w:rsidR="004D5161" w:rsidRDefault="004D5161" w:rsidP="004D5161">
      <w:pPr>
        <w:spacing w:line="360" w:lineRule="auto"/>
        <w:rPr>
          <w:sz w:val="26"/>
          <w:szCs w:val="26"/>
        </w:rPr>
      </w:pPr>
    </w:p>
    <w:p w:rsidR="00956422" w:rsidRDefault="004D5161" w:rsidP="00F279AD">
      <w:pPr>
        <w:pStyle w:val="BodyText3"/>
        <w:spacing w:line="360" w:lineRule="auto"/>
        <w:ind w:firstLine="720"/>
        <w:rPr>
          <w:sz w:val="26"/>
          <w:szCs w:val="26"/>
        </w:rPr>
      </w:pPr>
      <w:r w:rsidRPr="004D5161">
        <w:rPr>
          <w:sz w:val="26"/>
          <w:szCs w:val="26"/>
        </w:rPr>
        <w:tab/>
        <w:t xml:space="preserve">On August 14, 2009, Duquesne filed </w:t>
      </w:r>
      <w:r w:rsidR="00D91F77">
        <w:rPr>
          <w:sz w:val="26"/>
          <w:szCs w:val="26"/>
        </w:rPr>
        <w:t xml:space="preserve">a petition seeking Commission approval of </w:t>
      </w:r>
      <w:r w:rsidR="00D52798">
        <w:rPr>
          <w:sz w:val="26"/>
          <w:szCs w:val="26"/>
        </w:rPr>
        <w:t xml:space="preserve">its </w:t>
      </w:r>
      <w:r w:rsidR="00D91F77">
        <w:rPr>
          <w:sz w:val="26"/>
          <w:szCs w:val="26"/>
        </w:rPr>
        <w:t>S</w:t>
      </w:r>
      <w:r w:rsidR="00D52798">
        <w:rPr>
          <w:sz w:val="26"/>
          <w:szCs w:val="26"/>
        </w:rPr>
        <w:t xml:space="preserve">mart </w:t>
      </w:r>
      <w:r w:rsidR="00D91F77">
        <w:rPr>
          <w:sz w:val="26"/>
          <w:szCs w:val="26"/>
        </w:rPr>
        <w:t>M</w:t>
      </w:r>
      <w:r w:rsidR="00D52798">
        <w:rPr>
          <w:sz w:val="26"/>
          <w:szCs w:val="26"/>
        </w:rPr>
        <w:t xml:space="preserve">eter </w:t>
      </w:r>
      <w:r w:rsidR="00D91F77">
        <w:rPr>
          <w:sz w:val="26"/>
          <w:szCs w:val="26"/>
        </w:rPr>
        <w:t>P</w:t>
      </w:r>
      <w:r w:rsidR="00D52798">
        <w:rPr>
          <w:sz w:val="26"/>
          <w:szCs w:val="26"/>
        </w:rPr>
        <w:t xml:space="preserve">rocurement and </w:t>
      </w:r>
      <w:r w:rsidR="00D91F77">
        <w:rPr>
          <w:sz w:val="26"/>
          <w:szCs w:val="26"/>
        </w:rPr>
        <w:t>I</w:t>
      </w:r>
      <w:r w:rsidR="00D52798">
        <w:rPr>
          <w:sz w:val="26"/>
          <w:szCs w:val="26"/>
        </w:rPr>
        <w:t xml:space="preserve">nstallation </w:t>
      </w:r>
      <w:r w:rsidR="00D91F77">
        <w:rPr>
          <w:sz w:val="26"/>
          <w:szCs w:val="26"/>
        </w:rPr>
        <w:t>P</w:t>
      </w:r>
      <w:r w:rsidR="00D52798">
        <w:rPr>
          <w:sz w:val="26"/>
          <w:szCs w:val="26"/>
        </w:rPr>
        <w:t>lan</w:t>
      </w:r>
      <w:r w:rsidR="00D91F77">
        <w:rPr>
          <w:sz w:val="26"/>
          <w:szCs w:val="26"/>
        </w:rPr>
        <w:t xml:space="preserve"> (SMP).</w:t>
      </w:r>
      <w:r w:rsidR="00D52798">
        <w:rPr>
          <w:sz w:val="26"/>
          <w:szCs w:val="26"/>
        </w:rPr>
        <w:t xml:space="preserve">  </w:t>
      </w:r>
      <w:r w:rsidR="00D91F77">
        <w:rPr>
          <w:sz w:val="26"/>
          <w:szCs w:val="26"/>
        </w:rPr>
        <w:t xml:space="preserve">To recover the costs </w:t>
      </w:r>
      <w:r w:rsidR="009D3174">
        <w:rPr>
          <w:sz w:val="26"/>
          <w:szCs w:val="26"/>
        </w:rPr>
        <w:t xml:space="preserve">associated with the Plan, Duquesne filed a Smart Meter Charge </w:t>
      </w:r>
      <w:r w:rsidR="002774C7">
        <w:rPr>
          <w:sz w:val="26"/>
          <w:szCs w:val="26"/>
        </w:rPr>
        <w:t>(SMC) Rider</w:t>
      </w:r>
      <w:r w:rsidR="009D3174">
        <w:rPr>
          <w:sz w:val="26"/>
          <w:szCs w:val="26"/>
        </w:rPr>
        <w:t xml:space="preserve">.  The </w:t>
      </w:r>
      <w:r w:rsidR="009D3174">
        <w:rPr>
          <w:sz w:val="26"/>
          <w:szCs w:val="26"/>
        </w:rPr>
        <w:lastRenderedPageBreak/>
        <w:t>Petition asked the Commission to approve the Plan and authorize the implementation of the proposed tariff rider.</w:t>
      </w:r>
      <w:r w:rsidR="00956422">
        <w:rPr>
          <w:sz w:val="26"/>
          <w:szCs w:val="26"/>
        </w:rPr>
        <w:t xml:space="preserve">  Accompanying this Petition were Duquesne’s actual SMP Document and Budget, as well as the direct testimony of Duquesne witnesses Ruth A. DeLost and William V. Pfrommer.</w:t>
      </w:r>
      <w:r w:rsidR="00C8411B">
        <w:rPr>
          <w:sz w:val="26"/>
          <w:szCs w:val="26"/>
        </w:rPr>
        <w:t xml:space="preserve">  </w:t>
      </w:r>
    </w:p>
    <w:p w:rsidR="008B02A7" w:rsidRDefault="00956422" w:rsidP="00F279AD">
      <w:pPr>
        <w:pStyle w:val="BodyText3"/>
        <w:spacing w:line="360" w:lineRule="auto"/>
        <w:ind w:firstLine="720"/>
        <w:rPr>
          <w:sz w:val="26"/>
          <w:szCs w:val="26"/>
        </w:rPr>
      </w:pPr>
      <w:r>
        <w:rPr>
          <w:sz w:val="26"/>
          <w:szCs w:val="26"/>
        </w:rPr>
        <w:t xml:space="preserve">    </w:t>
      </w:r>
      <w:r w:rsidR="009D3174">
        <w:rPr>
          <w:sz w:val="26"/>
          <w:szCs w:val="26"/>
        </w:rPr>
        <w:t xml:space="preserve">  </w:t>
      </w:r>
    </w:p>
    <w:p w:rsidR="004D5161" w:rsidRPr="004D5161" w:rsidRDefault="00D52798" w:rsidP="00956422">
      <w:pPr>
        <w:pStyle w:val="BodyText3"/>
        <w:spacing w:line="360" w:lineRule="auto"/>
        <w:ind w:firstLine="1440"/>
        <w:rPr>
          <w:sz w:val="26"/>
          <w:szCs w:val="26"/>
        </w:rPr>
      </w:pPr>
      <w:r>
        <w:rPr>
          <w:sz w:val="26"/>
          <w:szCs w:val="26"/>
        </w:rPr>
        <w:t xml:space="preserve">The matter was assigned to ALJ Meehan, who held a </w:t>
      </w:r>
      <w:r w:rsidR="00506334">
        <w:rPr>
          <w:sz w:val="26"/>
          <w:szCs w:val="26"/>
        </w:rPr>
        <w:t xml:space="preserve">Prehearing Conference on October 7, 2009, which, among other matters, set the procedural schedule </w:t>
      </w:r>
      <w:r w:rsidR="00DF5449">
        <w:rPr>
          <w:sz w:val="26"/>
          <w:szCs w:val="26"/>
        </w:rPr>
        <w:t xml:space="preserve">for this proceeding.  Pursuant to that schedule, a </w:t>
      </w:r>
      <w:r>
        <w:rPr>
          <w:sz w:val="26"/>
          <w:szCs w:val="26"/>
        </w:rPr>
        <w:t xml:space="preserve">technical </w:t>
      </w:r>
      <w:r w:rsidR="00C168D7">
        <w:rPr>
          <w:sz w:val="26"/>
          <w:szCs w:val="26"/>
        </w:rPr>
        <w:t xml:space="preserve">conference </w:t>
      </w:r>
      <w:r w:rsidR="00DF5449">
        <w:rPr>
          <w:sz w:val="26"/>
          <w:szCs w:val="26"/>
        </w:rPr>
        <w:t xml:space="preserve">was held </w:t>
      </w:r>
      <w:r w:rsidR="00C168D7">
        <w:rPr>
          <w:sz w:val="26"/>
          <w:szCs w:val="26"/>
        </w:rPr>
        <w:t>on October 27, 2009</w:t>
      </w:r>
      <w:r w:rsidR="00236757">
        <w:rPr>
          <w:sz w:val="26"/>
          <w:szCs w:val="26"/>
        </w:rPr>
        <w:t>,</w:t>
      </w:r>
      <w:r w:rsidR="00DF5449">
        <w:rPr>
          <w:sz w:val="26"/>
          <w:szCs w:val="26"/>
        </w:rPr>
        <w:t xml:space="preserve"> in Harrisburg, P</w:t>
      </w:r>
      <w:r w:rsidR="006A7F68">
        <w:rPr>
          <w:sz w:val="26"/>
          <w:szCs w:val="26"/>
        </w:rPr>
        <w:t>ennsylvania</w:t>
      </w:r>
      <w:r w:rsidR="00DF5449">
        <w:rPr>
          <w:sz w:val="26"/>
          <w:szCs w:val="26"/>
        </w:rPr>
        <w:t xml:space="preserve">. </w:t>
      </w:r>
      <w:r w:rsidR="00C168D7">
        <w:rPr>
          <w:sz w:val="26"/>
          <w:szCs w:val="26"/>
        </w:rPr>
        <w:t xml:space="preserve"> </w:t>
      </w:r>
      <w:r w:rsidR="00DF5449">
        <w:rPr>
          <w:sz w:val="26"/>
          <w:szCs w:val="26"/>
        </w:rPr>
        <w:t xml:space="preserve">The evidentiary </w:t>
      </w:r>
      <w:r w:rsidR="00C168D7">
        <w:rPr>
          <w:sz w:val="26"/>
          <w:szCs w:val="26"/>
        </w:rPr>
        <w:t>hearing</w:t>
      </w:r>
      <w:r w:rsidR="00DF5449">
        <w:rPr>
          <w:sz w:val="26"/>
          <w:szCs w:val="26"/>
        </w:rPr>
        <w:t xml:space="preserve"> was held on</w:t>
      </w:r>
      <w:r w:rsidR="00C168D7">
        <w:rPr>
          <w:sz w:val="26"/>
          <w:szCs w:val="26"/>
        </w:rPr>
        <w:t xml:space="preserve"> November 17, 2009</w:t>
      </w:r>
      <w:r w:rsidR="00236757">
        <w:rPr>
          <w:sz w:val="26"/>
          <w:szCs w:val="26"/>
        </w:rPr>
        <w:t>,</w:t>
      </w:r>
      <w:r w:rsidR="00DF5449">
        <w:rPr>
          <w:sz w:val="26"/>
          <w:szCs w:val="26"/>
        </w:rPr>
        <w:t xml:space="preserve"> in Harrisburg, P</w:t>
      </w:r>
      <w:r w:rsidR="006A7F68">
        <w:rPr>
          <w:sz w:val="26"/>
          <w:szCs w:val="26"/>
        </w:rPr>
        <w:t>ennsylvania</w:t>
      </w:r>
      <w:r w:rsidR="00C168D7">
        <w:rPr>
          <w:sz w:val="26"/>
          <w:szCs w:val="26"/>
        </w:rPr>
        <w:t xml:space="preserve">.  </w:t>
      </w:r>
      <w:r w:rsidR="00C8411B">
        <w:rPr>
          <w:sz w:val="26"/>
          <w:szCs w:val="26"/>
        </w:rPr>
        <w:t xml:space="preserve">Main and </w:t>
      </w:r>
      <w:r w:rsidR="00236757">
        <w:rPr>
          <w:sz w:val="26"/>
          <w:szCs w:val="26"/>
        </w:rPr>
        <w:t>R</w:t>
      </w:r>
      <w:r w:rsidR="00C8411B">
        <w:rPr>
          <w:sz w:val="26"/>
          <w:szCs w:val="26"/>
        </w:rPr>
        <w:t xml:space="preserve">eply </w:t>
      </w:r>
      <w:r w:rsidR="00236757">
        <w:rPr>
          <w:sz w:val="26"/>
          <w:szCs w:val="26"/>
        </w:rPr>
        <w:t>B</w:t>
      </w:r>
      <w:r w:rsidR="00C8411B">
        <w:rPr>
          <w:sz w:val="26"/>
          <w:szCs w:val="26"/>
        </w:rPr>
        <w:t>riefs were filed on December 8, 2009</w:t>
      </w:r>
      <w:r w:rsidR="00236757">
        <w:rPr>
          <w:sz w:val="26"/>
          <w:szCs w:val="26"/>
        </w:rPr>
        <w:t>,</w:t>
      </w:r>
      <w:r w:rsidR="00C8411B">
        <w:rPr>
          <w:sz w:val="26"/>
          <w:szCs w:val="26"/>
        </w:rPr>
        <w:t xml:space="preserve"> and December 22, 2009.  </w:t>
      </w:r>
      <w:r w:rsidR="00C168D7">
        <w:rPr>
          <w:sz w:val="26"/>
          <w:szCs w:val="26"/>
        </w:rPr>
        <w:t xml:space="preserve">The following </w:t>
      </w:r>
      <w:r w:rsidR="00236757">
        <w:rPr>
          <w:sz w:val="26"/>
          <w:szCs w:val="26"/>
        </w:rPr>
        <w:t>P</w:t>
      </w:r>
      <w:r w:rsidR="00C168D7">
        <w:rPr>
          <w:sz w:val="26"/>
          <w:szCs w:val="26"/>
        </w:rPr>
        <w:t xml:space="preserve">arties intervened: </w:t>
      </w:r>
      <w:r>
        <w:rPr>
          <w:sz w:val="26"/>
          <w:szCs w:val="26"/>
        </w:rPr>
        <w:t xml:space="preserve"> </w:t>
      </w:r>
      <w:r w:rsidR="00C168D7">
        <w:rPr>
          <w:sz w:val="26"/>
          <w:szCs w:val="26"/>
        </w:rPr>
        <w:t>P</w:t>
      </w:r>
      <w:r w:rsidR="004D5161" w:rsidRPr="004D5161">
        <w:rPr>
          <w:sz w:val="26"/>
          <w:szCs w:val="26"/>
        </w:rPr>
        <w:t>ennsylvania Association of Community Organizations for Reform Now (ACORN)</w:t>
      </w:r>
      <w:r w:rsidR="005147F0">
        <w:rPr>
          <w:sz w:val="26"/>
          <w:szCs w:val="26"/>
        </w:rPr>
        <w:t>,</w:t>
      </w:r>
      <w:r w:rsidR="004D5161" w:rsidRPr="004D5161">
        <w:rPr>
          <w:sz w:val="26"/>
          <w:szCs w:val="26"/>
        </w:rPr>
        <w:t xml:space="preserve"> Citizen</w:t>
      </w:r>
      <w:r w:rsidR="0057774B">
        <w:rPr>
          <w:sz w:val="26"/>
          <w:szCs w:val="26"/>
        </w:rPr>
        <w:t xml:space="preserve"> Power</w:t>
      </w:r>
      <w:r w:rsidR="005147F0">
        <w:rPr>
          <w:sz w:val="26"/>
          <w:szCs w:val="26"/>
        </w:rPr>
        <w:t>,</w:t>
      </w:r>
      <w:r w:rsidR="004D5161" w:rsidRPr="004D5161">
        <w:rPr>
          <w:sz w:val="26"/>
          <w:szCs w:val="26"/>
        </w:rPr>
        <w:t xml:space="preserve"> Constellation NewEnergy, Inc./Constellation Commodities Group, Inc. (Constellation)</w:t>
      </w:r>
      <w:r w:rsidR="005147F0">
        <w:rPr>
          <w:sz w:val="26"/>
          <w:szCs w:val="26"/>
        </w:rPr>
        <w:t>,</w:t>
      </w:r>
      <w:r w:rsidR="004D5161" w:rsidRPr="004D5161">
        <w:rPr>
          <w:sz w:val="26"/>
          <w:szCs w:val="26"/>
        </w:rPr>
        <w:t xml:space="preserve"> DEP</w:t>
      </w:r>
      <w:r w:rsidR="005147F0">
        <w:rPr>
          <w:sz w:val="26"/>
          <w:szCs w:val="26"/>
        </w:rPr>
        <w:t>,</w:t>
      </w:r>
      <w:r w:rsidR="004D5161" w:rsidRPr="004D5161">
        <w:rPr>
          <w:sz w:val="26"/>
          <w:szCs w:val="26"/>
        </w:rPr>
        <w:t xml:space="preserve"> DII</w:t>
      </w:r>
      <w:r w:rsidR="005147F0">
        <w:rPr>
          <w:sz w:val="26"/>
          <w:szCs w:val="26"/>
        </w:rPr>
        <w:t>,</w:t>
      </w:r>
      <w:r w:rsidR="004D5161" w:rsidRPr="004D5161">
        <w:rPr>
          <w:sz w:val="26"/>
          <w:szCs w:val="26"/>
        </w:rPr>
        <w:t xml:space="preserve"> OCA</w:t>
      </w:r>
      <w:r w:rsidR="005147F0">
        <w:rPr>
          <w:sz w:val="26"/>
          <w:szCs w:val="26"/>
        </w:rPr>
        <w:t>,</w:t>
      </w:r>
      <w:r w:rsidR="004D5161" w:rsidRPr="004D5161">
        <w:rPr>
          <w:sz w:val="26"/>
          <w:szCs w:val="26"/>
        </w:rPr>
        <w:t xml:space="preserve"> OSBA</w:t>
      </w:r>
      <w:r w:rsidR="00ED29DF">
        <w:rPr>
          <w:sz w:val="26"/>
          <w:szCs w:val="26"/>
        </w:rPr>
        <w:t xml:space="preserve"> and OTS</w:t>
      </w:r>
      <w:r w:rsidR="004D5161" w:rsidRPr="004D5161">
        <w:rPr>
          <w:sz w:val="26"/>
          <w:szCs w:val="26"/>
        </w:rPr>
        <w:t xml:space="preserve">.  </w:t>
      </w:r>
      <w:r w:rsidR="00ED29DF">
        <w:rPr>
          <w:sz w:val="26"/>
          <w:szCs w:val="26"/>
        </w:rPr>
        <w:t xml:space="preserve">I.D. at 1.  </w:t>
      </w:r>
      <w:r w:rsidR="00AB50D3">
        <w:rPr>
          <w:sz w:val="26"/>
          <w:szCs w:val="26"/>
        </w:rPr>
        <w:t xml:space="preserve">The ALJ issued his Initial Decision on January 28, 2010.  </w:t>
      </w:r>
      <w:r w:rsidR="002774C7">
        <w:rPr>
          <w:sz w:val="26"/>
          <w:szCs w:val="26"/>
        </w:rPr>
        <w:t>As previously mentioned, t</w:t>
      </w:r>
      <w:r w:rsidR="00AB50D3">
        <w:rPr>
          <w:sz w:val="26"/>
          <w:szCs w:val="26"/>
        </w:rPr>
        <w:t xml:space="preserve">he following </w:t>
      </w:r>
      <w:r w:rsidR="00236757">
        <w:rPr>
          <w:sz w:val="26"/>
          <w:szCs w:val="26"/>
        </w:rPr>
        <w:t>P</w:t>
      </w:r>
      <w:r w:rsidR="00AB50D3">
        <w:rPr>
          <w:sz w:val="26"/>
          <w:szCs w:val="26"/>
        </w:rPr>
        <w:t xml:space="preserve">arties filed </w:t>
      </w:r>
      <w:r w:rsidR="006A7F68">
        <w:rPr>
          <w:sz w:val="26"/>
          <w:szCs w:val="26"/>
        </w:rPr>
        <w:t>E</w:t>
      </w:r>
      <w:r w:rsidR="00AB50D3">
        <w:rPr>
          <w:sz w:val="26"/>
          <w:szCs w:val="26"/>
        </w:rPr>
        <w:t xml:space="preserve">xceptions to the Initial Decision: </w:t>
      </w:r>
      <w:r w:rsidR="00F52EFB">
        <w:rPr>
          <w:sz w:val="26"/>
          <w:szCs w:val="26"/>
        </w:rPr>
        <w:t xml:space="preserve">Duquesne, </w:t>
      </w:r>
      <w:r w:rsidR="006A7F68">
        <w:rPr>
          <w:sz w:val="26"/>
          <w:szCs w:val="26"/>
        </w:rPr>
        <w:t xml:space="preserve">the </w:t>
      </w:r>
      <w:r w:rsidR="00AB50D3">
        <w:rPr>
          <w:sz w:val="26"/>
          <w:szCs w:val="26"/>
        </w:rPr>
        <w:t xml:space="preserve">OCA, </w:t>
      </w:r>
      <w:r w:rsidR="006A7F68">
        <w:rPr>
          <w:sz w:val="26"/>
          <w:szCs w:val="26"/>
        </w:rPr>
        <w:t xml:space="preserve">the </w:t>
      </w:r>
      <w:r w:rsidR="00AB50D3">
        <w:rPr>
          <w:sz w:val="26"/>
          <w:szCs w:val="26"/>
        </w:rPr>
        <w:t>OSBA, OTS, DEP, Citizen</w:t>
      </w:r>
      <w:r w:rsidR="0057774B">
        <w:rPr>
          <w:sz w:val="26"/>
          <w:szCs w:val="26"/>
        </w:rPr>
        <w:t xml:space="preserve"> Power</w:t>
      </w:r>
      <w:r w:rsidR="00AB50D3">
        <w:rPr>
          <w:sz w:val="26"/>
          <w:szCs w:val="26"/>
        </w:rPr>
        <w:t xml:space="preserve"> and DII</w:t>
      </w:r>
      <w:r w:rsidR="00F52EFB">
        <w:rPr>
          <w:sz w:val="26"/>
          <w:szCs w:val="26"/>
        </w:rPr>
        <w:t>.</w:t>
      </w:r>
      <w:r w:rsidR="00506334">
        <w:rPr>
          <w:sz w:val="26"/>
          <w:szCs w:val="26"/>
        </w:rPr>
        <w:t xml:space="preserve"> </w:t>
      </w:r>
      <w:r w:rsidR="00AB50D3">
        <w:rPr>
          <w:sz w:val="26"/>
          <w:szCs w:val="26"/>
        </w:rPr>
        <w:t xml:space="preserve"> </w:t>
      </w:r>
    </w:p>
    <w:p w:rsidR="00783C39" w:rsidRPr="00804218" w:rsidRDefault="00783C39" w:rsidP="00783C39">
      <w:pPr>
        <w:pStyle w:val="BodyText3"/>
        <w:spacing w:line="360" w:lineRule="auto"/>
        <w:rPr>
          <w:sz w:val="26"/>
          <w:szCs w:val="26"/>
        </w:rPr>
      </w:pPr>
      <w:bookmarkStart w:id="12" w:name="_Toc252882414"/>
    </w:p>
    <w:p w:rsidR="001A395D" w:rsidRPr="00852327" w:rsidRDefault="00FD7119" w:rsidP="00852327">
      <w:pPr>
        <w:pStyle w:val="Heading1"/>
        <w:rPr>
          <w:szCs w:val="26"/>
        </w:rPr>
      </w:pPr>
      <w:bookmarkStart w:id="13" w:name="_Toc260906578"/>
      <w:r w:rsidRPr="00852327">
        <w:rPr>
          <w:szCs w:val="26"/>
        </w:rPr>
        <w:t>IV</w:t>
      </w:r>
      <w:r w:rsidR="00B6382E" w:rsidRPr="00852327">
        <w:rPr>
          <w:szCs w:val="26"/>
        </w:rPr>
        <w:t xml:space="preserve">.  </w:t>
      </w:r>
      <w:r w:rsidR="006F4B78" w:rsidRPr="00852327">
        <w:rPr>
          <w:szCs w:val="26"/>
        </w:rPr>
        <w:tab/>
      </w:r>
      <w:r w:rsidR="001A395D" w:rsidRPr="00852327">
        <w:rPr>
          <w:szCs w:val="26"/>
        </w:rPr>
        <w:t>Description of the Plan</w:t>
      </w:r>
      <w:bookmarkEnd w:id="9"/>
      <w:bookmarkEnd w:id="12"/>
      <w:bookmarkEnd w:id="13"/>
      <w:r w:rsidR="001A395D" w:rsidRPr="00852327">
        <w:rPr>
          <w:szCs w:val="26"/>
        </w:rPr>
        <w:t xml:space="preserve"> </w:t>
      </w:r>
    </w:p>
    <w:p w:rsidR="0056785D" w:rsidRPr="0056785D" w:rsidRDefault="0056785D" w:rsidP="0056785D">
      <w:pPr>
        <w:pStyle w:val="BodyText3"/>
        <w:spacing w:line="360" w:lineRule="auto"/>
        <w:rPr>
          <w:sz w:val="26"/>
          <w:szCs w:val="26"/>
          <w:u w:val="single"/>
        </w:rPr>
      </w:pPr>
    </w:p>
    <w:p w:rsidR="0056785D" w:rsidRDefault="0056785D" w:rsidP="0056785D">
      <w:pPr>
        <w:pStyle w:val="BodyText3"/>
        <w:spacing w:line="360" w:lineRule="auto"/>
        <w:rPr>
          <w:sz w:val="26"/>
          <w:szCs w:val="26"/>
        </w:rPr>
      </w:pPr>
      <w:r w:rsidRPr="0056785D">
        <w:rPr>
          <w:sz w:val="26"/>
          <w:szCs w:val="26"/>
        </w:rPr>
        <w:tab/>
      </w:r>
      <w:r w:rsidRPr="0056785D">
        <w:rPr>
          <w:sz w:val="26"/>
          <w:szCs w:val="26"/>
        </w:rPr>
        <w:tab/>
        <w:t xml:space="preserve">According to Duquesne the SMP was designed to meet the requirements of Act 129 and the Commission’s </w:t>
      </w:r>
      <w:r w:rsidRPr="00A553F3">
        <w:rPr>
          <w:i/>
          <w:sz w:val="26"/>
          <w:szCs w:val="26"/>
        </w:rPr>
        <w:t>Implementation Order</w:t>
      </w:r>
      <w:r w:rsidRPr="0056785D">
        <w:rPr>
          <w:sz w:val="26"/>
          <w:szCs w:val="26"/>
        </w:rPr>
        <w:t xml:space="preserve">.  The SMP builds upon Duquesne’s existing  Advanced Meter Reading (AMR) system, which currently obtains interval reads on all large Commercial and Industrial (C&amp;I) customers, and daily reads on over 90 percent of residential and small commercial customers.  However, it is Duquesne’s position that the SMP is a “plan for a later plan,” because Duquesne believes </w:t>
      </w:r>
      <w:r w:rsidRPr="0056785D">
        <w:rPr>
          <w:sz w:val="26"/>
          <w:szCs w:val="26"/>
        </w:rPr>
        <w:lastRenderedPageBreak/>
        <w:t xml:space="preserve">it would be premature and imprudent to try to assess, evaluate and decide all the major components of its </w:t>
      </w:r>
      <w:r w:rsidR="00236757">
        <w:rPr>
          <w:sz w:val="26"/>
          <w:szCs w:val="26"/>
        </w:rPr>
        <w:t>SMP</w:t>
      </w:r>
      <w:r w:rsidRPr="0056785D">
        <w:rPr>
          <w:sz w:val="26"/>
          <w:szCs w:val="26"/>
        </w:rPr>
        <w:t xml:space="preserve"> at this juncture.  In lieu thereof, </w:t>
      </w:r>
      <w:r w:rsidR="0033702F">
        <w:rPr>
          <w:sz w:val="26"/>
          <w:szCs w:val="26"/>
        </w:rPr>
        <w:t>Duquesne</w:t>
      </w:r>
      <w:r w:rsidRPr="0056785D">
        <w:rPr>
          <w:sz w:val="26"/>
          <w:szCs w:val="26"/>
        </w:rPr>
        <w:t xml:space="preserve"> has provided information known to date which, it believes, demonstrates compliance, either now or in the future, with Commission requirements with respect to smart meters.  </w:t>
      </w:r>
      <w:r w:rsidR="007C6FFC">
        <w:rPr>
          <w:sz w:val="26"/>
          <w:szCs w:val="26"/>
        </w:rPr>
        <w:t>I.D. at</w:t>
      </w:r>
      <w:r w:rsidR="00236757">
        <w:rPr>
          <w:sz w:val="26"/>
          <w:szCs w:val="26"/>
        </w:rPr>
        <w:t> </w:t>
      </w:r>
      <w:r w:rsidR="007C6FFC">
        <w:rPr>
          <w:sz w:val="26"/>
          <w:szCs w:val="26"/>
        </w:rPr>
        <w:t xml:space="preserve"> 2.</w:t>
      </w:r>
    </w:p>
    <w:p w:rsidR="00804218" w:rsidRPr="0056785D" w:rsidRDefault="00804218" w:rsidP="0056785D">
      <w:pPr>
        <w:pStyle w:val="BodyText3"/>
        <w:spacing w:line="360" w:lineRule="auto"/>
        <w:rPr>
          <w:sz w:val="26"/>
          <w:szCs w:val="26"/>
        </w:rPr>
      </w:pPr>
    </w:p>
    <w:p w:rsidR="0056785D" w:rsidRPr="0056785D" w:rsidRDefault="0056785D" w:rsidP="0056785D">
      <w:pPr>
        <w:pStyle w:val="BodyText3"/>
        <w:spacing w:line="360" w:lineRule="auto"/>
        <w:rPr>
          <w:sz w:val="26"/>
          <w:szCs w:val="26"/>
        </w:rPr>
      </w:pPr>
      <w:r w:rsidRPr="0056785D">
        <w:rPr>
          <w:sz w:val="26"/>
          <w:szCs w:val="26"/>
        </w:rPr>
        <w:tab/>
      </w:r>
      <w:r w:rsidRPr="0056785D">
        <w:rPr>
          <w:sz w:val="26"/>
          <w:szCs w:val="26"/>
        </w:rPr>
        <w:tab/>
        <w:t xml:space="preserve">Duquesne sets forth in its </w:t>
      </w:r>
      <w:r w:rsidR="00610AD0">
        <w:rPr>
          <w:sz w:val="26"/>
          <w:szCs w:val="26"/>
        </w:rPr>
        <w:t>P</w:t>
      </w:r>
      <w:r w:rsidRPr="0056785D">
        <w:rPr>
          <w:sz w:val="26"/>
          <w:szCs w:val="26"/>
        </w:rPr>
        <w:t>lan framework for the analysis that will be conducted during the proposed Grace Period</w:t>
      </w:r>
      <w:r w:rsidR="00373FED">
        <w:rPr>
          <w:rStyle w:val="FootnoteReference"/>
          <w:sz w:val="26"/>
          <w:szCs w:val="26"/>
        </w:rPr>
        <w:footnoteReference w:id="1"/>
      </w:r>
      <w:r w:rsidRPr="0056785D">
        <w:rPr>
          <w:sz w:val="26"/>
          <w:szCs w:val="26"/>
        </w:rPr>
        <w:t xml:space="preserve"> to ensure a compliant, fully functioning, efficient and cost-effective smart meter network that benefits Duquesne’s customers, Electric Generation Suppliers (EGSs), and the electric grid as a whole.  Additional information will be provided in future filings, as described in the Plan.  Duquesne commits to provide a smart meter network that meets all Commission requirements within the designated time frame.</w:t>
      </w:r>
      <w:r w:rsidR="00AD4BE1">
        <w:rPr>
          <w:sz w:val="26"/>
          <w:szCs w:val="26"/>
        </w:rPr>
        <w:t xml:space="preserve">  I.D. at 2.</w:t>
      </w:r>
    </w:p>
    <w:p w:rsidR="0056785D" w:rsidRPr="00804218" w:rsidRDefault="0056785D" w:rsidP="0056785D">
      <w:pPr>
        <w:rPr>
          <w:sz w:val="26"/>
          <w:szCs w:val="26"/>
        </w:rPr>
      </w:pPr>
    </w:p>
    <w:p w:rsidR="00582773" w:rsidRPr="00B03833" w:rsidRDefault="00B03833" w:rsidP="00B03833">
      <w:pPr>
        <w:pStyle w:val="Heading2"/>
      </w:pPr>
      <w:bookmarkStart w:id="14" w:name="_Toc260906579"/>
      <w:r w:rsidRPr="00B03833">
        <w:t>A.</w:t>
      </w:r>
      <w:r w:rsidRPr="00B03833">
        <w:tab/>
      </w:r>
      <w:r w:rsidR="00582773" w:rsidRPr="00B03833">
        <w:t>Grace Period Analysis</w:t>
      </w:r>
      <w:bookmarkEnd w:id="14"/>
    </w:p>
    <w:p w:rsidR="00582773" w:rsidRPr="00582773" w:rsidRDefault="00582773" w:rsidP="00582773">
      <w:pPr>
        <w:pStyle w:val="BodyText3"/>
        <w:spacing w:line="360" w:lineRule="auto"/>
        <w:rPr>
          <w:sz w:val="26"/>
          <w:szCs w:val="26"/>
        </w:rPr>
      </w:pPr>
    </w:p>
    <w:p w:rsidR="008E5D5D" w:rsidRDefault="00582773" w:rsidP="00582773">
      <w:pPr>
        <w:pStyle w:val="BodyText3"/>
        <w:spacing w:line="360" w:lineRule="auto"/>
        <w:rPr>
          <w:sz w:val="26"/>
          <w:szCs w:val="26"/>
        </w:rPr>
      </w:pPr>
      <w:r w:rsidRPr="00582773">
        <w:rPr>
          <w:sz w:val="26"/>
          <w:szCs w:val="26"/>
        </w:rPr>
        <w:tab/>
      </w:r>
      <w:r w:rsidRPr="00582773">
        <w:rPr>
          <w:sz w:val="26"/>
          <w:szCs w:val="26"/>
        </w:rPr>
        <w:tab/>
        <w:t xml:space="preserve">Duquesne’s </w:t>
      </w:r>
      <w:r w:rsidR="00610AD0">
        <w:rPr>
          <w:sz w:val="26"/>
          <w:szCs w:val="26"/>
        </w:rPr>
        <w:t>P</w:t>
      </w:r>
      <w:r w:rsidRPr="00582773">
        <w:rPr>
          <w:sz w:val="26"/>
          <w:szCs w:val="26"/>
        </w:rPr>
        <w:t xml:space="preserve">lan details its network development and installation plan within the Grace Period.  For planning purposes, the scope of work for the Grace Period is comprised of two major components:  (a) Billing and Metering System Upgrades (Component 1); and (b) Smart Meter Technology Infrastructure (Component 2).  For the Billing and Metering System Upgrades, Duquesne will focus on an upgrade to its existing billing and metering systems required to comply with smart meter requirements, utilizing the Oracle Utility’s Practice project implementation methodology to address application functionality, pricing options mandated by the Act, business transformation, data conversion, deployment, interfaces, IT infrastructure, project management, quality </w:t>
      </w:r>
      <w:r w:rsidRPr="00582773">
        <w:rPr>
          <w:sz w:val="26"/>
          <w:szCs w:val="26"/>
        </w:rPr>
        <w:lastRenderedPageBreak/>
        <w:t xml:space="preserve">management, testing and training.  Component 1 of the SMP is scheduled to begin upon approval of Duquesne’s SMP (estimated to be in April of 2010) and to be completed in </w:t>
      </w:r>
    </w:p>
    <w:p w:rsidR="008E5D5D" w:rsidRDefault="00582773" w:rsidP="00582773">
      <w:pPr>
        <w:pStyle w:val="BodyText3"/>
        <w:spacing w:line="360" w:lineRule="auto"/>
        <w:rPr>
          <w:sz w:val="26"/>
          <w:szCs w:val="26"/>
        </w:rPr>
      </w:pPr>
      <w:r w:rsidRPr="00582773">
        <w:rPr>
          <w:sz w:val="26"/>
          <w:szCs w:val="26"/>
        </w:rPr>
        <w:t xml:space="preserve">December of 2011.  Duquesne has requested that all aspects of its proposed Component </w:t>
      </w:r>
    </w:p>
    <w:p w:rsidR="00582773" w:rsidRDefault="00582773" w:rsidP="00582773">
      <w:pPr>
        <w:pStyle w:val="BodyText3"/>
        <w:spacing w:line="360" w:lineRule="auto"/>
        <w:rPr>
          <w:sz w:val="26"/>
          <w:szCs w:val="26"/>
        </w:rPr>
      </w:pPr>
      <w:r w:rsidRPr="00582773">
        <w:rPr>
          <w:sz w:val="26"/>
          <w:szCs w:val="26"/>
        </w:rPr>
        <w:t>1, Billing and Metering System Upgrades be approved as part of this filing.</w:t>
      </w:r>
      <w:r w:rsidR="00AD4BE1">
        <w:rPr>
          <w:sz w:val="26"/>
          <w:szCs w:val="26"/>
        </w:rPr>
        <w:t xml:space="preserve">  I.D. at 2-3.</w:t>
      </w:r>
    </w:p>
    <w:p w:rsidR="008E5D5D" w:rsidRPr="00582773" w:rsidRDefault="008E5D5D" w:rsidP="00582773">
      <w:pPr>
        <w:pStyle w:val="BodyText3"/>
        <w:spacing w:line="360" w:lineRule="auto"/>
        <w:rPr>
          <w:sz w:val="26"/>
          <w:szCs w:val="26"/>
        </w:rPr>
      </w:pPr>
    </w:p>
    <w:p w:rsidR="00582773" w:rsidRPr="00582773" w:rsidRDefault="00582773" w:rsidP="00582773">
      <w:pPr>
        <w:pStyle w:val="BodyText3"/>
        <w:spacing w:line="360" w:lineRule="auto"/>
        <w:rPr>
          <w:sz w:val="26"/>
          <w:szCs w:val="26"/>
        </w:rPr>
      </w:pPr>
      <w:r w:rsidRPr="00582773">
        <w:rPr>
          <w:sz w:val="26"/>
          <w:szCs w:val="26"/>
        </w:rPr>
        <w:tab/>
      </w:r>
      <w:r w:rsidRPr="00582773">
        <w:rPr>
          <w:sz w:val="26"/>
          <w:szCs w:val="26"/>
        </w:rPr>
        <w:tab/>
        <w:t>With respect to Component 2, the Smart Meter Technology Infrastructure, Duquesne will focus on technical infrastructure, process and systems to support the rollout of smart meters by year end 2012, including an analysis of virtually all functions within Duquesne that will support smart meter operation and functionality.  During this phase, Duquesne will perform a gap analysis between the current meter environment and the future smart meter environment, and will develop and implement solutions to result in a final functioning product, including selection of vendors, network design, customer education process, and internal training.  Component 2 is scheduled to begin upon SMP approval (estimated to be in April of 2010) and will be completed in the last quarter of 2012.  Duquesne requests that this proposed process be approved as part of this case.  However, the results of the work of the Smart Meter Technology Infrastructure will be submitted to the Commission at a later time for review and further direction, in subsequent filings within the Grace Period.</w:t>
      </w:r>
      <w:r w:rsidR="00AD4BE1">
        <w:rPr>
          <w:sz w:val="26"/>
          <w:szCs w:val="26"/>
        </w:rPr>
        <w:t xml:space="preserve">  I.D. at 3.</w:t>
      </w:r>
      <w:r w:rsidRPr="00582773">
        <w:rPr>
          <w:sz w:val="26"/>
          <w:szCs w:val="26"/>
        </w:rPr>
        <w:t xml:space="preserve">  </w:t>
      </w:r>
    </w:p>
    <w:p w:rsidR="00582773" w:rsidRPr="00582773" w:rsidRDefault="00582773" w:rsidP="00582773">
      <w:pPr>
        <w:pStyle w:val="BodyText3"/>
        <w:spacing w:line="360" w:lineRule="auto"/>
        <w:rPr>
          <w:sz w:val="26"/>
          <w:szCs w:val="26"/>
        </w:rPr>
      </w:pPr>
    </w:p>
    <w:p w:rsidR="00582773" w:rsidRPr="00582773" w:rsidRDefault="00582773" w:rsidP="00582773">
      <w:pPr>
        <w:pStyle w:val="BodyText3"/>
        <w:spacing w:line="360" w:lineRule="auto"/>
        <w:rPr>
          <w:sz w:val="26"/>
          <w:szCs w:val="26"/>
        </w:rPr>
      </w:pPr>
      <w:r w:rsidRPr="00582773">
        <w:rPr>
          <w:sz w:val="26"/>
          <w:szCs w:val="26"/>
        </w:rPr>
        <w:tab/>
      </w:r>
      <w:r w:rsidRPr="00582773">
        <w:rPr>
          <w:sz w:val="26"/>
          <w:szCs w:val="26"/>
        </w:rPr>
        <w:tab/>
        <w:t>The SMP is further broken down by milestones.  Duquesne will assess meter capabilities, in conjunction with its “smart meter capability cost benefit analysis and filing,” including the extended capabilities identified in the Implementation Order.  Duquesne will perform a detailed analysis with respect to the milestone “assessment of needs and technological solutions and selection of technologies and vendors.”  In conjunction with this milestone, Duquesne will analyze various communication media (</w:t>
      </w:r>
      <w:r w:rsidRPr="00582773">
        <w:rPr>
          <w:i/>
          <w:sz w:val="26"/>
          <w:szCs w:val="26"/>
        </w:rPr>
        <w:t>e.g.</w:t>
      </w:r>
      <w:r w:rsidRPr="00582773">
        <w:rPr>
          <w:sz w:val="26"/>
          <w:szCs w:val="26"/>
        </w:rPr>
        <w:t xml:space="preserve"> bidirectional - meter to in home and meter to collector, licensed or unlicensed, mesh </w:t>
      </w:r>
      <w:r w:rsidRPr="00582773">
        <w:rPr>
          <w:sz w:val="26"/>
          <w:szCs w:val="26"/>
        </w:rPr>
        <w:lastRenderedPageBreak/>
        <w:t>or tower technology, etc.) and networks (data and security segregated systems and network devices).  Additionally, Duquesne will look at the hardware and software that will be necessary for the smart meter rollout, including servers and data storage.  Duquesne will review the various meter types/forms (i.e.</w:t>
      </w:r>
      <w:r w:rsidR="00373FED">
        <w:rPr>
          <w:sz w:val="26"/>
          <w:szCs w:val="26"/>
        </w:rPr>
        <w:t>,</w:t>
      </w:r>
      <w:r w:rsidRPr="00582773">
        <w:rPr>
          <w:sz w:val="26"/>
          <w:szCs w:val="26"/>
        </w:rPr>
        <w:t xml:space="preserve"> by service type, whether the meter needs to be a booster, hub, collector, etc.) in conjunction with the necessary software and security parameters.  Duquesne will analyze the various components that are tied to the meters and metering infrastructure, such as modems, cellular devices, load control interface equipment, and Home Area Network devices, among other things.  Duquesne will design the network in conjunction with the milestone “Establishment of network designs,” and will go through a detailed process to design, test and certify EDI</w:t>
      </w:r>
      <w:r w:rsidRPr="00582773">
        <w:rPr>
          <w:rStyle w:val="FootnoteReference"/>
          <w:sz w:val="26"/>
          <w:szCs w:val="26"/>
        </w:rPr>
        <w:footnoteReference w:id="2"/>
      </w:r>
      <w:r w:rsidRPr="00582773">
        <w:rPr>
          <w:sz w:val="26"/>
          <w:szCs w:val="26"/>
        </w:rPr>
        <w:t xml:space="preserve"> transactions and direct access, working through the Electronic Data Exchange Working Group (EDEWG), in conjunction with the milestone “Establishment of plans to design, test and certify EDI transactions, Web Access and Direct Access capability.”  Finally, once all of the analysis discussed above is complete, Duquesne will engage in the installation, testing and rollout of the network, and then the meters.  All of this will be done in conjunction with consumer and employee education.</w:t>
      </w:r>
      <w:r w:rsidR="00AD4BE1">
        <w:rPr>
          <w:sz w:val="26"/>
          <w:szCs w:val="26"/>
        </w:rPr>
        <w:t xml:space="preserve">  I.D. at 3-4.</w:t>
      </w:r>
    </w:p>
    <w:p w:rsidR="00DD5618" w:rsidRDefault="00A513A6" w:rsidP="003B4687">
      <w:pPr>
        <w:spacing w:line="360" w:lineRule="auto"/>
        <w:ind w:firstLine="1440"/>
        <w:rPr>
          <w:sz w:val="26"/>
          <w:szCs w:val="26"/>
        </w:rPr>
      </w:pPr>
      <w:r>
        <w:rPr>
          <w:sz w:val="26"/>
          <w:szCs w:val="26"/>
        </w:rPr>
        <w:t xml:space="preserve">  </w:t>
      </w:r>
    </w:p>
    <w:p w:rsidR="00AD4BE1" w:rsidRPr="00B03833" w:rsidRDefault="00B03833" w:rsidP="00B03833">
      <w:pPr>
        <w:pStyle w:val="Heading2"/>
      </w:pPr>
      <w:bookmarkStart w:id="15" w:name="_Toc260906580"/>
      <w:r w:rsidRPr="00B03833">
        <w:t>B.</w:t>
      </w:r>
      <w:r w:rsidRPr="00B03833">
        <w:tab/>
      </w:r>
      <w:r w:rsidR="00AD4BE1" w:rsidRPr="00B03833">
        <w:t>Future Filings</w:t>
      </w:r>
      <w:bookmarkEnd w:id="15"/>
    </w:p>
    <w:p w:rsidR="00AD4BE1" w:rsidRPr="00AD4BE1" w:rsidRDefault="00AD4BE1" w:rsidP="00AD4BE1">
      <w:pPr>
        <w:pStyle w:val="BodyText3"/>
        <w:spacing w:line="360" w:lineRule="auto"/>
        <w:rPr>
          <w:sz w:val="26"/>
          <w:szCs w:val="26"/>
        </w:rPr>
      </w:pPr>
    </w:p>
    <w:p w:rsidR="00AD4BE1" w:rsidRPr="00AD4BE1" w:rsidRDefault="00AD4BE1" w:rsidP="00AD4BE1">
      <w:pPr>
        <w:pStyle w:val="BodyText3"/>
        <w:spacing w:line="360" w:lineRule="auto"/>
        <w:rPr>
          <w:sz w:val="26"/>
          <w:szCs w:val="26"/>
        </w:rPr>
      </w:pPr>
      <w:r w:rsidRPr="00AD4BE1">
        <w:rPr>
          <w:sz w:val="26"/>
          <w:szCs w:val="26"/>
        </w:rPr>
        <w:tab/>
      </w:r>
      <w:r w:rsidRPr="00AD4BE1">
        <w:rPr>
          <w:sz w:val="26"/>
          <w:szCs w:val="26"/>
        </w:rPr>
        <w:tab/>
        <w:t xml:space="preserve">Duquesne’s SMP proposes at least three additional filings with the </w:t>
      </w:r>
      <w:r w:rsidR="0057498D">
        <w:rPr>
          <w:sz w:val="26"/>
          <w:szCs w:val="26"/>
        </w:rPr>
        <w:t xml:space="preserve">Commission </w:t>
      </w:r>
      <w:r w:rsidRPr="00AD4BE1">
        <w:rPr>
          <w:sz w:val="26"/>
          <w:szCs w:val="26"/>
        </w:rPr>
        <w:t>for approval.  They are:</w:t>
      </w:r>
    </w:p>
    <w:p w:rsidR="00AD4BE1" w:rsidRPr="00AD4BE1" w:rsidRDefault="00AD4BE1" w:rsidP="00AD4BE1">
      <w:pPr>
        <w:pStyle w:val="BodyText3"/>
        <w:spacing w:line="360" w:lineRule="auto"/>
        <w:rPr>
          <w:sz w:val="26"/>
          <w:szCs w:val="26"/>
        </w:rPr>
      </w:pPr>
    </w:p>
    <w:p w:rsidR="00AD4BE1" w:rsidRPr="00AD4BE1" w:rsidRDefault="00AD4BE1" w:rsidP="00AD4BE1">
      <w:pPr>
        <w:pStyle w:val="BodyText3"/>
        <w:tabs>
          <w:tab w:val="left" w:pos="720"/>
          <w:tab w:val="left" w:pos="1440"/>
        </w:tabs>
        <w:rPr>
          <w:sz w:val="26"/>
          <w:szCs w:val="26"/>
        </w:rPr>
      </w:pPr>
      <w:r w:rsidRPr="00AD4BE1">
        <w:rPr>
          <w:sz w:val="26"/>
          <w:szCs w:val="26"/>
        </w:rPr>
        <w:tab/>
      </w:r>
      <w:r w:rsidRPr="00AD4BE1">
        <w:rPr>
          <w:sz w:val="26"/>
          <w:szCs w:val="26"/>
        </w:rPr>
        <w:tab/>
        <w:t>July 1, 2010 – submit cost benefit analysis of meter capability</w:t>
      </w:r>
    </w:p>
    <w:p w:rsidR="00AD4BE1" w:rsidRPr="00AD4BE1" w:rsidRDefault="00AD4BE1" w:rsidP="00AD4BE1">
      <w:pPr>
        <w:pStyle w:val="BodyText3"/>
        <w:tabs>
          <w:tab w:val="left" w:pos="720"/>
          <w:tab w:val="left" w:pos="1440"/>
        </w:tabs>
        <w:rPr>
          <w:sz w:val="26"/>
          <w:szCs w:val="26"/>
        </w:rPr>
      </w:pPr>
    </w:p>
    <w:p w:rsidR="00AD4BE1" w:rsidRPr="00AD4BE1" w:rsidRDefault="00AD4BE1" w:rsidP="00AD4BE1">
      <w:pPr>
        <w:pStyle w:val="BodyText3"/>
        <w:tabs>
          <w:tab w:val="left" w:pos="720"/>
          <w:tab w:val="left" w:pos="1440"/>
        </w:tabs>
        <w:ind w:left="1440" w:hanging="1440"/>
        <w:rPr>
          <w:sz w:val="26"/>
          <w:szCs w:val="26"/>
        </w:rPr>
      </w:pPr>
      <w:r w:rsidRPr="00AD4BE1">
        <w:rPr>
          <w:sz w:val="26"/>
          <w:szCs w:val="26"/>
        </w:rPr>
        <w:lastRenderedPageBreak/>
        <w:tab/>
      </w:r>
      <w:r w:rsidRPr="00AD4BE1">
        <w:rPr>
          <w:sz w:val="26"/>
          <w:szCs w:val="26"/>
        </w:rPr>
        <w:tab/>
        <w:t>Dec. 31, 2010 – submit the intended technology and design of the smart meter infrastructure</w:t>
      </w:r>
    </w:p>
    <w:p w:rsidR="00AD4BE1" w:rsidRPr="00AD4BE1" w:rsidRDefault="00AD4BE1" w:rsidP="00AD4BE1">
      <w:pPr>
        <w:pStyle w:val="BodyText3"/>
        <w:tabs>
          <w:tab w:val="left" w:pos="720"/>
          <w:tab w:val="left" w:pos="1440"/>
        </w:tabs>
        <w:ind w:left="1440" w:hanging="1440"/>
        <w:rPr>
          <w:sz w:val="26"/>
          <w:szCs w:val="26"/>
        </w:rPr>
      </w:pPr>
    </w:p>
    <w:p w:rsidR="00AD4BE1" w:rsidRDefault="00AD4BE1" w:rsidP="00AD4BE1">
      <w:pPr>
        <w:pStyle w:val="BodyText3"/>
        <w:ind w:left="1440"/>
        <w:rPr>
          <w:sz w:val="26"/>
          <w:szCs w:val="26"/>
        </w:rPr>
      </w:pPr>
      <w:r w:rsidRPr="00AD4BE1">
        <w:rPr>
          <w:sz w:val="26"/>
          <w:szCs w:val="26"/>
        </w:rPr>
        <w:t>Dec. 31, 2011 – submit final details and smart meter implementation and schedule.</w:t>
      </w:r>
      <w:r w:rsidRPr="00AD4BE1">
        <w:rPr>
          <w:rStyle w:val="FootnoteReference"/>
          <w:sz w:val="26"/>
          <w:szCs w:val="26"/>
        </w:rPr>
        <w:footnoteReference w:id="3"/>
      </w:r>
    </w:p>
    <w:p w:rsidR="007A62C2" w:rsidRDefault="007A62C2" w:rsidP="00AD4BE1">
      <w:pPr>
        <w:pStyle w:val="BodyText3"/>
        <w:ind w:left="1440"/>
        <w:rPr>
          <w:sz w:val="26"/>
          <w:szCs w:val="26"/>
        </w:rPr>
      </w:pPr>
    </w:p>
    <w:p w:rsidR="00DD3F6C" w:rsidRDefault="007A62C2" w:rsidP="00804218">
      <w:pPr>
        <w:pStyle w:val="BodyText3"/>
        <w:rPr>
          <w:sz w:val="26"/>
          <w:szCs w:val="26"/>
        </w:rPr>
      </w:pPr>
      <w:r>
        <w:rPr>
          <w:sz w:val="26"/>
          <w:szCs w:val="26"/>
        </w:rPr>
        <w:t>I.D. at 4.</w:t>
      </w:r>
    </w:p>
    <w:p w:rsidR="0078457E" w:rsidRDefault="0078457E" w:rsidP="00804218">
      <w:pPr>
        <w:pStyle w:val="BodyText3"/>
        <w:rPr>
          <w:sz w:val="26"/>
          <w:szCs w:val="26"/>
        </w:rPr>
      </w:pPr>
    </w:p>
    <w:p w:rsidR="001A395D" w:rsidRPr="00B03833" w:rsidRDefault="00B6382E" w:rsidP="00B03833">
      <w:pPr>
        <w:pStyle w:val="Heading1"/>
      </w:pPr>
      <w:bookmarkStart w:id="16" w:name="_Toc242516221"/>
      <w:bookmarkStart w:id="17" w:name="_Toc252882415"/>
      <w:bookmarkStart w:id="18" w:name="_Toc260906581"/>
      <w:r w:rsidRPr="00B03833">
        <w:t xml:space="preserve">V.  </w:t>
      </w:r>
      <w:r w:rsidR="006F4B78" w:rsidRPr="00B03833">
        <w:tab/>
      </w:r>
      <w:r w:rsidR="001A395D" w:rsidRPr="00B03833">
        <w:t>Discussion</w:t>
      </w:r>
      <w:bookmarkEnd w:id="16"/>
      <w:bookmarkEnd w:id="17"/>
      <w:bookmarkEnd w:id="18"/>
    </w:p>
    <w:p w:rsidR="00422F86" w:rsidRDefault="00422F86" w:rsidP="00DB1424">
      <w:pPr>
        <w:spacing w:line="360" w:lineRule="auto"/>
        <w:ind w:firstLine="1440"/>
        <w:rPr>
          <w:sz w:val="26"/>
          <w:szCs w:val="26"/>
        </w:rPr>
      </w:pPr>
    </w:p>
    <w:p w:rsidR="008333CE" w:rsidRDefault="008333CE" w:rsidP="008333CE">
      <w:pPr>
        <w:spacing w:line="360" w:lineRule="auto"/>
        <w:ind w:firstLine="1440"/>
        <w:rPr>
          <w:sz w:val="26"/>
        </w:rPr>
      </w:pPr>
      <w:r>
        <w:rPr>
          <w:sz w:val="26"/>
          <w:szCs w:val="26"/>
        </w:rPr>
        <w:t xml:space="preserve">In Commission proceedings, </w:t>
      </w:r>
      <w:r w:rsidRPr="008F0B41">
        <w:rPr>
          <w:sz w:val="26"/>
          <w:szCs w:val="26"/>
        </w:rPr>
        <w:t>the proponent of a rule or order</w:t>
      </w:r>
      <w:r>
        <w:rPr>
          <w:sz w:val="26"/>
          <w:szCs w:val="26"/>
        </w:rPr>
        <w:t xml:space="preserve"> bears</w:t>
      </w:r>
      <w:r w:rsidRPr="008F0B41">
        <w:rPr>
          <w:sz w:val="26"/>
          <w:szCs w:val="26"/>
        </w:rPr>
        <w:t xml:space="preserve"> the burden of </w:t>
      </w:r>
      <w:r>
        <w:rPr>
          <w:sz w:val="26"/>
          <w:szCs w:val="26"/>
        </w:rPr>
        <w:t>p</w:t>
      </w:r>
      <w:r w:rsidRPr="008F0B41">
        <w:rPr>
          <w:sz w:val="26"/>
          <w:szCs w:val="26"/>
        </w:rPr>
        <w:t>roof</w:t>
      </w:r>
      <w:r>
        <w:rPr>
          <w:sz w:val="26"/>
          <w:szCs w:val="26"/>
        </w:rPr>
        <w:t xml:space="preserve">. </w:t>
      </w:r>
      <w:r w:rsidRPr="008F0B41">
        <w:rPr>
          <w:sz w:val="26"/>
          <w:szCs w:val="26"/>
        </w:rPr>
        <w:t xml:space="preserve"> 66 Pa. C.S. § 332(a).  </w:t>
      </w:r>
      <w:r>
        <w:rPr>
          <w:sz w:val="26"/>
          <w:szCs w:val="26"/>
        </w:rPr>
        <w:t xml:space="preserve">To satisfy that burden, the proponent of a rule or order must prove each element of its case by a preponderance of the evidence.  </w:t>
      </w:r>
      <w:r w:rsidRPr="008F0B41">
        <w:rPr>
          <w:i/>
          <w:iCs/>
          <w:sz w:val="26"/>
          <w:szCs w:val="26"/>
        </w:rPr>
        <w:t>Samuel J. Lansberry, Inc. v. P</w:t>
      </w:r>
      <w:r>
        <w:rPr>
          <w:i/>
          <w:iCs/>
          <w:sz w:val="26"/>
          <w:szCs w:val="26"/>
        </w:rPr>
        <w:t>a. PUC</w:t>
      </w:r>
      <w:r w:rsidRPr="008F0B41">
        <w:rPr>
          <w:sz w:val="26"/>
          <w:szCs w:val="26"/>
        </w:rPr>
        <w:t>, 578 A.2d 600 (Pa. C</w:t>
      </w:r>
      <w:r>
        <w:rPr>
          <w:sz w:val="26"/>
          <w:szCs w:val="26"/>
        </w:rPr>
        <w:t>m</w:t>
      </w:r>
      <w:r w:rsidRPr="008F0B41">
        <w:rPr>
          <w:sz w:val="26"/>
          <w:szCs w:val="26"/>
        </w:rPr>
        <w:t>w</w:t>
      </w:r>
      <w:r>
        <w:rPr>
          <w:sz w:val="26"/>
          <w:szCs w:val="26"/>
        </w:rPr>
        <w:t>lth</w:t>
      </w:r>
      <w:r w:rsidRPr="008F0B41">
        <w:rPr>
          <w:sz w:val="26"/>
          <w:szCs w:val="26"/>
        </w:rPr>
        <w:t xml:space="preserve">. 1990).  </w:t>
      </w:r>
      <w:r>
        <w:rPr>
          <w:sz w:val="26"/>
          <w:szCs w:val="26"/>
        </w:rPr>
        <w:t xml:space="preserve">A preponderance of the evidence is established by presenting evidence that is more convincing, by even the smallest amount, than that presented by the other parties to the case.  </w:t>
      </w:r>
      <w:r>
        <w:rPr>
          <w:i/>
          <w:sz w:val="26"/>
          <w:szCs w:val="26"/>
        </w:rPr>
        <w:t xml:space="preserve">Se-Ling Hosiery v. </w:t>
      </w:r>
      <w:r w:rsidR="001C010A">
        <w:rPr>
          <w:i/>
          <w:sz w:val="26"/>
          <w:szCs w:val="26"/>
        </w:rPr>
        <w:t>Marg</w:t>
      </w:r>
      <w:r w:rsidRPr="00122405">
        <w:rPr>
          <w:i/>
          <w:sz w:val="26"/>
          <w:szCs w:val="26"/>
        </w:rPr>
        <w:t>ulies</w:t>
      </w:r>
      <w:r>
        <w:rPr>
          <w:sz w:val="26"/>
          <w:szCs w:val="26"/>
        </w:rPr>
        <w:t xml:space="preserve">, 364 Pa. 45, 70 A.2d 854 (1950).  </w:t>
      </w:r>
      <w:r w:rsidRPr="00122405">
        <w:rPr>
          <w:sz w:val="26"/>
          <w:szCs w:val="26"/>
        </w:rPr>
        <w:t>Additionally</w:t>
      </w:r>
      <w:r w:rsidRPr="008F0B41">
        <w:rPr>
          <w:sz w:val="26"/>
          <w:szCs w:val="26"/>
        </w:rPr>
        <w:t xml:space="preserve">, </w:t>
      </w:r>
      <w:r>
        <w:rPr>
          <w:sz w:val="26"/>
          <w:szCs w:val="26"/>
        </w:rPr>
        <w:t xml:space="preserve">this Commission’s </w:t>
      </w:r>
      <w:r w:rsidRPr="008F0B41">
        <w:rPr>
          <w:sz w:val="26"/>
        </w:rPr>
        <w:t xml:space="preserve">decision </w:t>
      </w:r>
      <w:r>
        <w:rPr>
          <w:sz w:val="26"/>
        </w:rPr>
        <w:t>mu</w:t>
      </w:r>
      <w:r w:rsidRPr="008F0B41">
        <w:rPr>
          <w:sz w:val="26"/>
        </w:rPr>
        <w:t>s</w:t>
      </w:r>
      <w:r>
        <w:rPr>
          <w:sz w:val="26"/>
        </w:rPr>
        <w:t>t be</w:t>
      </w:r>
      <w:r w:rsidRPr="008F0B41">
        <w:rPr>
          <w:sz w:val="26"/>
        </w:rPr>
        <w:t xml:space="preserve"> supported by substantial evidence in the record. </w:t>
      </w:r>
      <w:r>
        <w:rPr>
          <w:sz w:val="26"/>
        </w:rPr>
        <w:t xml:space="preserve"> </w:t>
      </w:r>
      <w:r w:rsidRPr="008F0B41">
        <w:rPr>
          <w:sz w:val="26"/>
        </w:rPr>
        <w:t>More is required than a mere trace of evidence or a suspicion of the existence of a fact sought to be established.</w:t>
      </w:r>
      <w:r>
        <w:rPr>
          <w:sz w:val="26"/>
        </w:rPr>
        <w:t xml:space="preserve">  </w:t>
      </w:r>
      <w:r>
        <w:rPr>
          <w:i/>
          <w:sz w:val="26"/>
        </w:rPr>
        <w:t xml:space="preserve">Norfolk &amp; Western Ry. Co. v. Pa. PUC, </w:t>
      </w:r>
      <w:r>
        <w:rPr>
          <w:sz w:val="26"/>
        </w:rPr>
        <w:t>489 Pa. 109, 413 A.2d 1037 (1980).</w:t>
      </w:r>
    </w:p>
    <w:p w:rsidR="00412936" w:rsidRDefault="00412936" w:rsidP="00DB1424">
      <w:pPr>
        <w:spacing w:line="360" w:lineRule="auto"/>
        <w:ind w:firstLine="1440"/>
        <w:rPr>
          <w:sz w:val="26"/>
          <w:szCs w:val="26"/>
        </w:rPr>
      </w:pPr>
    </w:p>
    <w:p w:rsidR="004C62AB" w:rsidRPr="006C0BCA" w:rsidRDefault="008333CE" w:rsidP="00367979">
      <w:pPr>
        <w:spacing w:line="360" w:lineRule="auto"/>
        <w:ind w:firstLine="1440"/>
        <w:rPr>
          <w:sz w:val="26"/>
          <w:szCs w:val="26"/>
        </w:rPr>
      </w:pPr>
      <w:r>
        <w:rPr>
          <w:sz w:val="26"/>
          <w:szCs w:val="26"/>
        </w:rPr>
        <w:t>W</w:t>
      </w:r>
      <w:r w:rsidR="00367979" w:rsidRPr="00AC6C96">
        <w:rPr>
          <w:sz w:val="26"/>
          <w:szCs w:val="26"/>
        </w:rPr>
        <w:t>e note that any issue that we do not specifically address herein has been duly considered and will be denied without further discussion.  It is well settled that we are not required to consider expressly or at length each conten</w:t>
      </w:r>
      <w:r w:rsidR="00272CBD">
        <w:rPr>
          <w:sz w:val="26"/>
          <w:szCs w:val="26"/>
        </w:rPr>
        <w:t xml:space="preserve">tion or argument raised by </w:t>
      </w:r>
      <w:r w:rsidR="00272CBD" w:rsidRPr="006C0BCA">
        <w:rPr>
          <w:sz w:val="26"/>
          <w:szCs w:val="26"/>
        </w:rPr>
        <w:t>the P</w:t>
      </w:r>
      <w:r w:rsidR="00367979" w:rsidRPr="006C0BCA">
        <w:rPr>
          <w:sz w:val="26"/>
          <w:szCs w:val="26"/>
        </w:rPr>
        <w:t xml:space="preserve">arties.  </w:t>
      </w:r>
      <w:hyperlink r:id="rId10" w:history="1">
        <w:r w:rsidR="00367979" w:rsidRPr="006C0BCA">
          <w:rPr>
            <w:rStyle w:val="Emphasis"/>
            <w:color w:val="000000"/>
            <w:sz w:val="26"/>
            <w:szCs w:val="26"/>
          </w:rPr>
          <w:t>Consolidated Rail Corporation v. Pa. PUC</w:t>
        </w:r>
        <w:r w:rsidR="00367979" w:rsidRPr="006C0BCA">
          <w:rPr>
            <w:rStyle w:val="Hyperlink"/>
            <w:color w:val="000000"/>
            <w:sz w:val="26"/>
            <w:szCs w:val="26"/>
            <w:u w:val="none"/>
          </w:rPr>
          <w:t xml:space="preserve">, 625 A.2d 741 (Pa. Cmwlth. </w:t>
        </w:r>
        <w:r w:rsidR="00367979" w:rsidRPr="006C0BCA">
          <w:rPr>
            <w:rStyle w:val="Hyperlink"/>
            <w:color w:val="000000"/>
            <w:sz w:val="26"/>
            <w:szCs w:val="26"/>
            <w:u w:val="none"/>
          </w:rPr>
          <w:lastRenderedPageBreak/>
          <w:t>1993);</w:t>
        </w:r>
      </w:hyperlink>
      <w:r w:rsidR="00367979" w:rsidRPr="006C0BCA">
        <w:rPr>
          <w:color w:val="000000"/>
          <w:sz w:val="26"/>
          <w:szCs w:val="26"/>
        </w:rPr>
        <w:t xml:space="preserve"> </w:t>
      </w:r>
      <w:r w:rsidR="00367979" w:rsidRPr="006C0BCA">
        <w:rPr>
          <w:rStyle w:val="Emphasis"/>
          <w:color w:val="000000"/>
          <w:sz w:val="26"/>
          <w:szCs w:val="26"/>
        </w:rPr>
        <w:t>see</w:t>
      </w:r>
      <w:r w:rsidR="000662FC" w:rsidRPr="006C0BCA">
        <w:rPr>
          <w:rStyle w:val="Emphasis"/>
          <w:color w:val="000000"/>
          <w:sz w:val="26"/>
          <w:szCs w:val="26"/>
        </w:rPr>
        <w:t xml:space="preserve"> also</w:t>
      </w:r>
      <w:r w:rsidR="00367979" w:rsidRPr="006C0BCA">
        <w:rPr>
          <w:rStyle w:val="Emphasis"/>
          <w:color w:val="000000"/>
          <w:sz w:val="26"/>
          <w:szCs w:val="26"/>
        </w:rPr>
        <w:t xml:space="preserve">, generally, </w:t>
      </w:r>
      <w:hyperlink r:id="rId11" w:history="1">
        <w:r w:rsidR="00367979" w:rsidRPr="006C0BCA">
          <w:rPr>
            <w:rStyle w:val="Emphasis"/>
            <w:color w:val="000000"/>
            <w:sz w:val="26"/>
            <w:szCs w:val="26"/>
          </w:rPr>
          <w:t>University of Pennsyl</w:t>
        </w:r>
        <w:r w:rsidR="00367979" w:rsidRPr="006C0BCA">
          <w:rPr>
            <w:rStyle w:val="Emphasis"/>
            <w:color w:val="000000"/>
            <w:sz w:val="26"/>
            <w:szCs w:val="26"/>
          </w:rPr>
          <w:softHyphen/>
          <w:t>vania v. Pa. PUC</w:t>
        </w:r>
        <w:r w:rsidR="00B44C3F" w:rsidRPr="006C0BCA">
          <w:rPr>
            <w:rStyle w:val="Hyperlink"/>
            <w:color w:val="000000"/>
            <w:sz w:val="26"/>
            <w:szCs w:val="26"/>
            <w:u w:val="none"/>
          </w:rPr>
          <w:t>, 485 A.2d 1217 (Pa. </w:t>
        </w:r>
        <w:r w:rsidR="00367979" w:rsidRPr="006C0BCA">
          <w:rPr>
            <w:rStyle w:val="Hyperlink"/>
            <w:color w:val="000000"/>
            <w:sz w:val="26"/>
            <w:szCs w:val="26"/>
            <w:u w:val="none"/>
          </w:rPr>
          <w:t>Cmwlth. 1984).</w:t>
        </w:r>
      </w:hyperlink>
    </w:p>
    <w:p w:rsidR="0078457E" w:rsidRPr="00804218" w:rsidRDefault="0078457E" w:rsidP="00372B57">
      <w:pPr>
        <w:spacing w:line="360" w:lineRule="auto"/>
        <w:rPr>
          <w:sz w:val="26"/>
          <w:szCs w:val="26"/>
        </w:rPr>
      </w:pPr>
    </w:p>
    <w:p w:rsidR="00E7716D" w:rsidRPr="00556E29" w:rsidRDefault="00556E29" w:rsidP="00556E29">
      <w:pPr>
        <w:pStyle w:val="Heading2"/>
        <w:ind w:left="1080"/>
      </w:pPr>
      <w:bookmarkStart w:id="19" w:name="_Toc260906582"/>
      <w:r>
        <w:t>A.</w:t>
      </w:r>
      <w:r>
        <w:tab/>
        <w:t xml:space="preserve">     </w:t>
      </w:r>
      <w:r w:rsidR="00E7716D" w:rsidRPr="00556E29">
        <w:t>SMP Costs and Cost Recovery Issues</w:t>
      </w:r>
      <w:bookmarkEnd w:id="19"/>
    </w:p>
    <w:p w:rsidR="00E7716D" w:rsidRPr="00804218" w:rsidRDefault="00E7716D" w:rsidP="00367979">
      <w:pPr>
        <w:spacing w:line="360" w:lineRule="auto"/>
        <w:ind w:firstLine="1440"/>
        <w:rPr>
          <w:sz w:val="26"/>
          <w:szCs w:val="26"/>
        </w:rPr>
      </w:pPr>
    </w:p>
    <w:p w:rsidR="0061126A" w:rsidRDefault="0061126A" w:rsidP="00367979">
      <w:pPr>
        <w:spacing w:line="360" w:lineRule="auto"/>
        <w:ind w:firstLine="1440"/>
        <w:rPr>
          <w:sz w:val="26"/>
          <w:szCs w:val="26"/>
        </w:rPr>
      </w:pPr>
      <w:r>
        <w:rPr>
          <w:sz w:val="26"/>
          <w:szCs w:val="26"/>
        </w:rPr>
        <w:t xml:space="preserve">Although no Party addressed this point, we begin by noting that all Plan costs, including both expenses and capital items (net of tax) and revenues included in Duquesne’s smart meter revenues, shall not be included </w:t>
      </w:r>
      <w:r w:rsidR="00F51D18">
        <w:rPr>
          <w:sz w:val="26"/>
          <w:szCs w:val="26"/>
        </w:rPr>
        <w:t>in the revenue requirement used in future distribution base rate cases and will be subject to Commission review and audit.</w:t>
      </w:r>
    </w:p>
    <w:p w:rsidR="005021CD" w:rsidRPr="0061126A" w:rsidRDefault="005021CD" w:rsidP="00373FED">
      <w:pPr>
        <w:spacing w:line="360" w:lineRule="auto"/>
        <w:rPr>
          <w:sz w:val="26"/>
          <w:szCs w:val="26"/>
        </w:rPr>
      </w:pPr>
    </w:p>
    <w:p w:rsidR="004C62AB" w:rsidRPr="00556E29" w:rsidRDefault="00556E29" w:rsidP="00556E29">
      <w:pPr>
        <w:pStyle w:val="Heading3"/>
        <w:rPr>
          <w:szCs w:val="26"/>
        </w:rPr>
      </w:pPr>
      <w:r w:rsidRPr="00556E29">
        <w:t xml:space="preserve">    </w:t>
      </w:r>
      <w:bookmarkStart w:id="20" w:name="_Toc260906583"/>
      <w:r w:rsidRPr="00556E29">
        <w:t>1.</w:t>
      </w:r>
      <w:r w:rsidRPr="00556E29">
        <w:tab/>
      </w:r>
      <w:r>
        <w:t xml:space="preserve"> </w:t>
      </w:r>
      <w:r w:rsidR="00575D25" w:rsidRPr="00556E29">
        <w:rPr>
          <w:szCs w:val="26"/>
        </w:rPr>
        <w:t>Cost Allocation</w:t>
      </w:r>
      <w:r w:rsidR="00015D61" w:rsidRPr="00556E29">
        <w:rPr>
          <w:szCs w:val="26"/>
        </w:rPr>
        <w:t xml:space="preserve"> of Common Costs</w:t>
      </w:r>
      <w:bookmarkEnd w:id="20"/>
    </w:p>
    <w:p w:rsidR="00575D25" w:rsidRDefault="00575D25" w:rsidP="00575D25">
      <w:pPr>
        <w:spacing w:line="360" w:lineRule="auto"/>
        <w:rPr>
          <w:b/>
          <w:sz w:val="26"/>
          <w:szCs w:val="26"/>
        </w:rPr>
      </w:pPr>
    </w:p>
    <w:p w:rsidR="00E10FAC" w:rsidRPr="00556E29" w:rsidRDefault="00556E29" w:rsidP="00556E29">
      <w:pPr>
        <w:pStyle w:val="Heading4"/>
        <w:rPr>
          <w:szCs w:val="26"/>
        </w:rPr>
      </w:pPr>
      <w:bookmarkStart w:id="21" w:name="_Toc260906584"/>
      <w:r w:rsidRPr="00556E29">
        <w:t>a.</w:t>
      </w:r>
      <w:r w:rsidRPr="00556E29">
        <w:tab/>
      </w:r>
      <w:r w:rsidR="00D51EA0" w:rsidRPr="00556E29">
        <w:rPr>
          <w:szCs w:val="26"/>
        </w:rPr>
        <w:t>Provisions of the Plan</w:t>
      </w:r>
      <w:bookmarkEnd w:id="21"/>
    </w:p>
    <w:p w:rsidR="00500EE9" w:rsidRDefault="00500EE9" w:rsidP="00D51EA0">
      <w:pPr>
        <w:spacing w:line="360" w:lineRule="auto"/>
        <w:rPr>
          <w:sz w:val="26"/>
          <w:szCs w:val="26"/>
        </w:rPr>
      </w:pPr>
    </w:p>
    <w:p w:rsidR="001942EE" w:rsidRDefault="00857CFA" w:rsidP="001942EE">
      <w:pPr>
        <w:spacing w:line="360" w:lineRule="auto"/>
        <w:ind w:firstLine="1440"/>
        <w:rPr>
          <w:sz w:val="26"/>
          <w:szCs w:val="26"/>
        </w:rPr>
      </w:pPr>
      <w:r>
        <w:rPr>
          <w:sz w:val="26"/>
          <w:szCs w:val="26"/>
        </w:rPr>
        <w:t xml:space="preserve">Duquesne proposed that the </w:t>
      </w:r>
      <w:r w:rsidR="004130AC">
        <w:rPr>
          <w:sz w:val="26"/>
          <w:szCs w:val="26"/>
        </w:rPr>
        <w:t xml:space="preserve">SMP </w:t>
      </w:r>
      <w:r>
        <w:rPr>
          <w:sz w:val="26"/>
          <w:szCs w:val="26"/>
        </w:rPr>
        <w:t xml:space="preserve">common costs be allocated to two groups, customers with </w:t>
      </w:r>
      <w:r w:rsidR="004130AC">
        <w:rPr>
          <w:sz w:val="26"/>
          <w:szCs w:val="26"/>
        </w:rPr>
        <w:t xml:space="preserve">single-phase meters and customers with poly-phase meters, based upon the number of meters in each group.  </w:t>
      </w:r>
      <w:r w:rsidR="00C75600">
        <w:rPr>
          <w:sz w:val="26"/>
          <w:szCs w:val="26"/>
        </w:rPr>
        <w:t>Duquesne’s common costs include infrast</w:t>
      </w:r>
      <w:r w:rsidR="00E916EB">
        <w:rPr>
          <w:sz w:val="26"/>
          <w:szCs w:val="26"/>
        </w:rPr>
        <w:t xml:space="preserve">ructure costs such as meter data management system costs, network costs, and administrative costs.  Duquesne Exh. D-R at 6.  </w:t>
      </w:r>
      <w:r w:rsidR="00D51EA0">
        <w:rPr>
          <w:sz w:val="26"/>
          <w:szCs w:val="26"/>
        </w:rPr>
        <w:t xml:space="preserve">Duquesne’s allocation method was supported by OSBA and DII, and was contested by </w:t>
      </w:r>
      <w:r w:rsidR="00A9311E">
        <w:rPr>
          <w:sz w:val="26"/>
          <w:szCs w:val="26"/>
        </w:rPr>
        <w:t xml:space="preserve">the </w:t>
      </w:r>
      <w:r w:rsidR="00D51EA0">
        <w:rPr>
          <w:sz w:val="26"/>
          <w:szCs w:val="26"/>
        </w:rPr>
        <w:t>OCA and Citizen</w:t>
      </w:r>
      <w:r w:rsidR="0057774B">
        <w:rPr>
          <w:sz w:val="26"/>
          <w:szCs w:val="26"/>
        </w:rPr>
        <w:t xml:space="preserve"> Power</w:t>
      </w:r>
      <w:r w:rsidR="00D51EA0">
        <w:rPr>
          <w:sz w:val="26"/>
          <w:szCs w:val="26"/>
        </w:rPr>
        <w:t xml:space="preserve">.  </w:t>
      </w:r>
      <w:r w:rsidR="00A9311E">
        <w:rPr>
          <w:sz w:val="26"/>
          <w:szCs w:val="26"/>
        </w:rPr>
        <w:t xml:space="preserve">The </w:t>
      </w:r>
      <w:r w:rsidR="00D51EA0">
        <w:rPr>
          <w:sz w:val="26"/>
          <w:szCs w:val="26"/>
        </w:rPr>
        <w:t xml:space="preserve">OCA proposed to allocate common costs on the basis of energy and demand; an allocator for assigning the common costs should be based on the arithmetic average of the percentage shares of each group’s energy use at the meter and each group’s contribution to Duquesne’s annual single coincident peak.  OCA MB at 30, 36.  </w:t>
      </w:r>
      <w:r w:rsidR="00A9311E">
        <w:rPr>
          <w:sz w:val="26"/>
          <w:szCs w:val="26"/>
        </w:rPr>
        <w:t xml:space="preserve">The </w:t>
      </w:r>
      <w:r w:rsidR="00D51EA0">
        <w:rPr>
          <w:sz w:val="26"/>
          <w:szCs w:val="26"/>
        </w:rPr>
        <w:t>OCA’s approach was supported by Citizen</w:t>
      </w:r>
      <w:r w:rsidR="0057774B">
        <w:rPr>
          <w:sz w:val="26"/>
          <w:szCs w:val="26"/>
        </w:rPr>
        <w:t xml:space="preserve"> Power</w:t>
      </w:r>
      <w:r w:rsidR="00D51EA0">
        <w:rPr>
          <w:sz w:val="26"/>
          <w:szCs w:val="26"/>
        </w:rPr>
        <w:t xml:space="preserve">.  Citizen </w:t>
      </w:r>
      <w:r w:rsidR="0057774B">
        <w:rPr>
          <w:sz w:val="26"/>
          <w:szCs w:val="26"/>
        </w:rPr>
        <w:t xml:space="preserve">Power </w:t>
      </w:r>
      <w:r w:rsidR="00D51EA0">
        <w:rPr>
          <w:sz w:val="26"/>
          <w:szCs w:val="26"/>
        </w:rPr>
        <w:t xml:space="preserve">MB at 8.  </w:t>
      </w:r>
    </w:p>
    <w:p w:rsidR="00E75BD1" w:rsidRDefault="00E75BD1" w:rsidP="001942EE">
      <w:pPr>
        <w:spacing w:line="360" w:lineRule="auto"/>
        <w:ind w:firstLine="1440"/>
        <w:rPr>
          <w:sz w:val="26"/>
          <w:szCs w:val="26"/>
        </w:rPr>
      </w:pPr>
    </w:p>
    <w:p w:rsidR="00E75BD1" w:rsidRDefault="00E75BD1" w:rsidP="00E75BD1">
      <w:pPr>
        <w:spacing w:line="360" w:lineRule="auto"/>
        <w:ind w:firstLine="1440"/>
        <w:rPr>
          <w:sz w:val="26"/>
          <w:szCs w:val="26"/>
        </w:rPr>
      </w:pPr>
      <w:r>
        <w:rPr>
          <w:sz w:val="26"/>
          <w:szCs w:val="26"/>
        </w:rPr>
        <w:t xml:space="preserve">While </w:t>
      </w:r>
      <w:r w:rsidR="00A9311E">
        <w:rPr>
          <w:sz w:val="26"/>
          <w:szCs w:val="26"/>
        </w:rPr>
        <w:t xml:space="preserve">the </w:t>
      </w:r>
      <w:r>
        <w:rPr>
          <w:sz w:val="26"/>
          <w:szCs w:val="26"/>
        </w:rPr>
        <w:t xml:space="preserve">OSBA supported Duquesne’s cost allocation proposal, it offered a secondary alternative if Duquesne’s allocation was not adopted.  </w:t>
      </w:r>
      <w:r w:rsidR="00A9311E">
        <w:rPr>
          <w:sz w:val="26"/>
          <w:szCs w:val="26"/>
        </w:rPr>
        <w:t xml:space="preserve">The </w:t>
      </w:r>
      <w:r>
        <w:rPr>
          <w:sz w:val="26"/>
          <w:szCs w:val="26"/>
        </w:rPr>
        <w:t xml:space="preserve">OSBA’s </w:t>
      </w:r>
      <w:r>
        <w:rPr>
          <w:sz w:val="26"/>
          <w:szCs w:val="26"/>
        </w:rPr>
        <w:lastRenderedPageBreak/>
        <w:t xml:space="preserve">secondary alternative allocates the common costs in proportion to the allocation of the meter costs.  OSBA M.B. at 14.  </w:t>
      </w:r>
    </w:p>
    <w:p w:rsidR="004C08BC" w:rsidRDefault="004C08BC" w:rsidP="00E75BD1">
      <w:pPr>
        <w:spacing w:line="360" w:lineRule="auto"/>
        <w:rPr>
          <w:b/>
          <w:sz w:val="26"/>
          <w:szCs w:val="26"/>
        </w:rPr>
      </w:pPr>
    </w:p>
    <w:p w:rsidR="00217ABA" w:rsidRDefault="00F51D18" w:rsidP="00F51D18">
      <w:pPr>
        <w:pStyle w:val="Heading4"/>
      </w:pPr>
      <w:bookmarkStart w:id="22" w:name="_Toc260906585"/>
      <w:r>
        <w:t>b.</w:t>
      </w:r>
      <w:r>
        <w:tab/>
      </w:r>
      <w:r w:rsidR="00217ABA">
        <w:t>ALJ Recommendation</w:t>
      </w:r>
      <w:bookmarkEnd w:id="22"/>
    </w:p>
    <w:p w:rsidR="004C08BC" w:rsidRPr="004C08BC" w:rsidRDefault="004C08BC" w:rsidP="004C08BC">
      <w:pPr>
        <w:spacing w:line="360" w:lineRule="auto"/>
        <w:rPr>
          <w:b/>
          <w:sz w:val="26"/>
          <w:szCs w:val="26"/>
        </w:rPr>
      </w:pPr>
    </w:p>
    <w:p w:rsidR="00E75BD1" w:rsidRDefault="00E75BD1" w:rsidP="00E75BD1">
      <w:pPr>
        <w:pStyle w:val="ListParagraph"/>
        <w:spacing w:line="360" w:lineRule="auto"/>
        <w:ind w:left="0" w:firstLine="1440"/>
        <w:rPr>
          <w:b/>
          <w:sz w:val="26"/>
          <w:szCs w:val="26"/>
        </w:rPr>
      </w:pPr>
      <w:r>
        <w:rPr>
          <w:sz w:val="26"/>
          <w:szCs w:val="26"/>
        </w:rPr>
        <w:t xml:space="preserve">The ALJ stated that Duquesne’s proposal, based simply on the number of meters per class results in an unreasonable </w:t>
      </w:r>
      <w:r w:rsidR="00D67D12">
        <w:rPr>
          <w:sz w:val="26"/>
          <w:szCs w:val="26"/>
        </w:rPr>
        <w:t xml:space="preserve">allocation of common costs to the single-phase meter group, the members of which are primarily residential customers.  The ALJ opined that the OCA’s proposal is both theoretical and speculative as to which and how customers </w:t>
      </w:r>
      <w:r w:rsidR="006A2C94">
        <w:rPr>
          <w:sz w:val="26"/>
          <w:szCs w:val="26"/>
        </w:rPr>
        <w:t xml:space="preserve">in the various classes will “benefit” from the SMP.  Further, the ALJ concluded that the OCA’s proposal is not based on reasonable cost of service practices and results in an unreasonable allocation of the common costs to the multi-phase meter group, the members of which are primarily the small and large commercial and industrial group.  </w:t>
      </w:r>
      <w:r>
        <w:rPr>
          <w:sz w:val="26"/>
          <w:szCs w:val="26"/>
        </w:rPr>
        <w:t xml:space="preserve">The ALJ </w:t>
      </w:r>
      <w:r w:rsidR="00AC4E86">
        <w:rPr>
          <w:sz w:val="26"/>
          <w:szCs w:val="26"/>
        </w:rPr>
        <w:t xml:space="preserve">recommended </w:t>
      </w:r>
      <w:r w:rsidR="00C0424C">
        <w:rPr>
          <w:sz w:val="26"/>
          <w:szCs w:val="26"/>
        </w:rPr>
        <w:t xml:space="preserve">the adoption of </w:t>
      </w:r>
      <w:r>
        <w:rPr>
          <w:sz w:val="26"/>
          <w:szCs w:val="26"/>
        </w:rPr>
        <w:t>the OSBA</w:t>
      </w:r>
      <w:r w:rsidR="00AC4E86">
        <w:rPr>
          <w:sz w:val="26"/>
          <w:szCs w:val="26"/>
        </w:rPr>
        <w:t xml:space="preserve">’s alternative common cost allocation method which allocates the common costs among the customer classes in proportion to the meter costs directly allocated to each customer </w:t>
      </w:r>
      <w:r w:rsidR="00F21C90">
        <w:rPr>
          <w:sz w:val="26"/>
          <w:szCs w:val="26"/>
        </w:rPr>
        <w:t>class</w:t>
      </w:r>
      <w:r>
        <w:rPr>
          <w:sz w:val="26"/>
          <w:szCs w:val="26"/>
        </w:rPr>
        <w:t>.  I.D. at 19.</w:t>
      </w:r>
    </w:p>
    <w:p w:rsidR="00B07D0A" w:rsidRPr="00A95597" w:rsidRDefault="00B07D0A" w:rsidP="00A95597">
      <w:pPr>
        <w:spacing w:line="360" w:lineRule="auto"/>
        <w:rPr>
          <w:b/>
          <w:sz w:val="26"/>
          <w:szCs w:val="26"/>
        </w:rPr>
      </w:pPr>
    </w:p>
    <w:p w:rsidR="00217ABA" w:rsidRPr="00217ABA" w:rsidRDefault="00F51D18" w:rsidP="00F51D18">
      <w:pPr>
        <w:pStyle w:val="Heading4"/>
      </w:pPr>
      <w:bookmarkStart w:id="23" w:name="_Toc260906586"/>
      <w:r>
        <w:t>c.</w:t>
      </w:r>
      <w:r>
        <w:tab/>
      </w:r>
      <w:r w:rsidR="00217ABA">
        <w:t>Exceptions and Replies</w:t>
      </w:r>
      <w:bookmarkEnd w:id="23"/>
    </w:p>
    <w:p w:rsidR="00217ABA" w:rsidRDefault="00217ABA" w:rsidP="00E75BD1">
      <w:pPr>
        <w:spacing w:line="360" w:lineRule="auto"/>
        <w:rPr>
          <w:b/>
          <w:sz w:val="26"/>
          <w:szCs w:val="26"/>
        </w:rPr>
      </w:pPr>
    </w:p>
    <w:p w:rsidR="000D684F" w:rsidRDefault="007C06FC" w:rsidP="00015D61">
      <w:pPr>
        <w:spacing w:line="360" w:lineRule="auto"/>
        <w:ind w:firstLine="1440"/>
        <w:rPr>
          <w:sz w:val="26"/>
          <w:szCs w:val="26"/>
        </w:rPr>
      </w:pPr>
      <w:r>
        <w:rPr>
          <w:sz w:val="26"/>
          <w:szCs w:val="26"/>
        </w:rPr>
        <w:t xml:space="preserve">The OCA objects to the </w:t>
      </w:r>
      <w:r w:rsidR="00BC771B">
        <w:rPr>
          <w:sz w:val="26"/>
          <w:szCs w:val="26"/>
        </w:rPr>
        <w:t xml:space="preserve">ALJ’s recommendation </w:t>
      </w:r>
      <w:r w:rsidR="00D27ABB">
        <w:rPr>
          <w:sz w:val="26"/>
          <w:szCs w:val="26"/>
        </w:rPr>
        <w:t>on how</w:t>
      </w:r>
      <w:r w:rsidR="00BC771B">
        <w:rPr>
          <w:sz w:val="26"/>
          <w:szCs w:val="26"/>
        </w:rPr>
        <w:t xml:space="preserve"> </w:t>
      </w:r>
      <w:r>
        <w:rPr>
          <w:sz w:val="26"/>
          <w:szCs w:val="26"/>
        </w:rPr>
        <w:t xml:space="preserve">common costs </w:t>
      </w:r>
      <w:r w:rsidR="00BC771B">
        <w:rPr>
          <w:sz w:val="26"/>
          <w:szCs w:val="26"/>
        </w:rPr>
        <w:t xml:space="preserve">should be allocated.  The OCA argues that instead of allocating common costs on the basis of the number of meters, these costs should be allocated to the meter groups in some reasonable proportion to the benefits received by each group from the planning and implementation of the smart meter system.  </w:t>
      </w:r>
      <w:r w:rsidR="00AB09EC">
        <w:rPr>
          <w:sz w:val="26"/>
          <w:szCs w:val="26"/>
        </w:rPr>
        <w:t xml:space="preserve">The OCA contends that such an approach is consistent with the language of Act 129 which makes clear that one of the principal goals </w:t>
      </w:r>
      <w:r w:rsidR="000D684F">
        <w:rPr>
          <w:sz w:val="26"/>
          <w:szCs w:val="26"/>
        </w:rPr>
        <w:t xml:space="preserve">of the Act is to reduce the cost and price instability of electric energy.  The </w:t>
      </w:r>
      <w:r w:rsidR="00015D61">
        <w:rPr>
          <w:sz w:val="26"/>
          <w:szCs w:val="26"/>
        </w:rPr>
        <w:t xml:space="preserve">OCA excepts to the ALJ’s assertion that </w:t>
      </w:r>
      <w:r>
        <w:rPr>
          <w:sz w:val="26"/>
          <w:szCs w:val="26"/>
        </w:rPr>
        <w:t xml:space="preserve">the </w:t>
      </w:r>
      <w:r w:rsidR="00015D61">
        <w:rPr>
          <w:sz w:val="26"/>
          <w:szCs w:val="26"/>
        </w:rPr>
        <w:t xml:space="preserve">OCA’s cost allocation methodology is not based on </w:t>
      </w:r>
      <w:r w:rsidR="00015D61">
        <w:rPr>
          <w:sz w:val="26"/>
          <w:szCs w:val="26"/>
        </w:rPr>
        <w:lastRenderedPageBreak/>
        <w:t xml:space="preserve">reasonable cost of service practices.  </w:t>
      </w:r>
      <w:r w:rsidR="00A9311E">
        <w:rPr>
          <w:sz w:val="26"/>
          <w:szCs w:val="26"/>
        </w:rPr>
        <w:t xml:space="preserve">The </w:t>
      </w:r>
      <w:r w:rsidR="00015D61">
        <w:rPr>
          <w:sz w:val="26"/>
          <w:szCs w:val="26"/>
        </w:rPr>
        <w:t xml:space="preserve">OCA </w:t>
      </w:r>
      <w:r w:rsidR="00E214AC">
        <w:rPr>
          <w:sz w:val="26"/>
          <w:szCs w:val="26"/>
        </w:rPr>
        <w:t>submits</w:t>
      </w:r>
      <w:r w:rsidR="00015D61">
        <w:rPr>
          <w:sz w:val="26"/>
          <w:szCs w:val="26"/>
        </w:rPr>
        <w:t xml:space="preserve"> that its proposal is fully consistent with cost of service principles.  OCA Exc. at </w:t>
      </w:r>
      <w:r w:rsidR="00AB09EC">
        <w:rPr>
          <w:sz w:val="26"/>
          <w:szCs w:val="26"/>
        </w:rPr>
        <w:t>15-</w:t>
      </w:r>
      <w:r w:rsidR="00015D61">
        <w:rPr>
          <w:sz w:val="26"/>
          <w:szCs w:val="26"/>
        </w:rPr>
        <w:t xml:space="preserve">17.  </w:t>
      </w:r>
    </w:p>
    <w:p w:rsidR="00AE7297" w:rsidRDefault="00AE7297" w:rsidP="00015D61">
      <w:pPr>
        <w:spacing w:line="360" w:lineRule="auto"/>
        <w:ind w:firstLine="1440"/>
        <w:rPr>
          <w:sz w:val="26"/>
          <w:szCs w:val="26"/>
        </w:rPr>
      </w:pPr>
    </w:p>
    <w:p w:rsidR="00AE7297" w:rsidRPr="00D16201" w:rsidRDefault="00AE7297" w:rsidP="00AE7297">
      <w:pPr>
        <w:widowControl w:val="0"/>
        <w:spacing w:line="360" w:lineRule="auto"/>
        <w:ind w:firstLine="1440"/>
        <w:rPr>
          <w:sz w:val="26"/>
          <w:szCs w:val="26"/>
        </w:rPr>
      </w:pPr>
      <w:r>
        <w:rPr>
          <w:sz w:val="26"/>
          <w:szCs w:val="26"/>
        </w:rPr>
        <w:t>The OCA argues that the OSBA alternate approach which was adopted by the ALJ did not follow reasonable cost of service practices.  In particular, the OCA maintains that the OSBA approach did not follow the principle of cost causation.  The OCA opines that rather than replacing the OSBA alternate method with Duquesne’s method, the Commission should replace the ALJ’s recommendation with the OCA</w:t>
      </w:r>
      <w:r w:rsidR="00D27ABB">
        <w:rPr>
          <w:sz w:val="26"/>
          <w:szCs w:val="26"/>
        </w:rPr>
        <w:t>’s</w:t>
      </w:r>
      <w:r>
        <w:rPr>
          <w:sz w:val="26"/>
          <w:szCs w:val="26"/>
        </w:rPr>
        <w:t xml:space="preserve"> proposed method for common cost allocation, which is on the basis of the benefits to be received from smart meter implementation in the form of energy and demand savings.  The OCA notes that allocating costs on the basis of energy and demand will track the benefits to be real</w:t>
      </w:r>
      <w:r w:rsidR="00D27ABB">
        <w:rPr>
          <w:sz w:val="26"/>
          <w:szCs w:val="26"/>
        </w:rPr>
        <w:t>ized from smart meters.  OCA R.</w:t>
      </w:r>
      <w:r>
        <w:rPr>
          <w:sz w:val="26"/>
          <w:szCs w:val="26"/>
        </w:rPr>
        <w:t>Exc. at 3, 7.</w:t>
      </w:r>
    </w:p>
    <w:p w:rsidR="000D684F" w:rsidRDefault="000D684F" w:rsidP="00AE7297">
      <w:pPr>
        <w:spacing w:line="360" w:lineRule="auto"/>
        <w:rPr>
          <w:sz w:val="26"/>
          <w:szCs w:val="26"/>
        </w:rPr>
      </w:pPr>
    </w:p>
    <w:p w:rsidR="00015D61" w:rsidRDefault="00015D61" w:rsidP="00015D61">
      <w:pPr>
        <w:spacing w:line="360" w:lineRule="auto"/>
        <w:ind w:firstLine="1440"/>
        <w:rPr>
          <w:sz w:val="26"/>
          <w:szCs w:val="26"/>
        </w:rPr>
      </w:pPr>
      <w:r>
        <w:rPr>
          <w:sz w:val="26"/>
          <w:szCs w:val="26"/>
        </w:rPr>
        <w:t xml:space="preserve">Duquesne contends that </w:t>
      </w:r>
      <w:r w:rsidR="00A9311E">
        <w:rPr>
          <w:sz w:val="26"/>
          <w:szCs w:val="26"/>
        </w:rPr>
        <w:t xml:space="preserve">the </w:t>
      </w:r>
      <w:r>
        <w:rPr>
          <w:sz w:val="26"/>
          <w:szCs w:val="26"/>
        </w:rPr>
        <w:t>OCA’s proposal to allocate costs based upon unknown and un-quantified benefits cannot be deemed to be based upon reasonable cost of service practices.  Duquesne further argues that reasonable cost of service practices would allocate these costs based upon the costs incurred due to the particular customers, not based upon benefits.  Duquesne believes this is exactly what it proposed: the costs would be recovered based upon the number of meters, because each meter, regardless of the type, relies equally on the common infrastructure</w:t>
      </w:r>
      <w:r w:rsidR="00D27ABB">
        <w:rPr>
          <w:sz w:val="26"/>
          <w:szCs w:val="26"/>
        </w:rPr>
        <w:t xml:space="preserve"> to transmit data.  Duquesne R.</w:t>
      </w:r>
      <w:r>
        <w:rPr>
          <w:sz w:val="26"/>
          <w:szCs w:val="26"/>
        </w:rPr>
        <w:t>Exc. at 10-11.</w:t>
      </w:r>
    </w:p>
    <w:p w:rsidR="00AE7297" w:rsidRDefault="00AE7297" w:rsidP="00015D61">
      <w:pPr>
        <w:spacing w:line="360" w:lineRule="auto"/>
        <w:ind w:firstLine="1440"/>
        <w:rPr>
          <w:sz w:val="26"/>
          <w:szCs w:val="26"/>
        </w:rPr>
      </w:pPr>
    </w:p>
    <w:p w:rsidR="00E03C94" w:rsidRDefault="00AE7297" w:rsidP="00372B57">
      <w:pPr>
        <w:spacing w:line="360" w:lineRule="auto"/>
        <w:ind w:firstLine="1440"/>
        <w:rPr>
          <w:sz w:val="26"/>
          <w:szCs w:val="26"/>
        </w:rPr>
      </w:pPr>
      <w:r>
        <w:rPr>
          <w:sz w:val="26"/>
          <w:szCs w:val="26"/>
        </w:rPr>
        <w:t xml:space="preserve">Duquesne avers that although the ALJ did not adopt its original proposal, it believes his determination was reasonable.  Duquesne argues that the Commission should reject the exceptions of the OCA, OSBA, DII and Citizen Power.  Duquesne contends that if the Commission determines to reject the OSBA’s alternative cost allocation methodology, the common cost allocation methodology proposed by Duquesne based upon the number of meters in each class should be adopted.  Duquesne R. Exc. at 9.  </w:t>
      </w:r>
    </w:p>
    <w:p w:rsidR="00E03C94" w:rsidRDefault="00E03C94" w:rsidP="00E03C94">
      <w:pPr>
        <w:widowControl w:val="0"/>
        <w:spacing w:line="360" w:lineRule="auto"/>
        <w:ind w:firstLine="1440"/>
        <w:rPr>
          <w:sz w:val="26"/>
          <w:szCs w:val="26"/>
        </w:rPr>
      </w:pPr>
      <w:r w:rsidRPr="00E03C94">
        <w:rPr>
          <w:sz w:val="26"/>
          <w:szCs w:val="26"/>
        </w:rPr>
        <w:lastRenderedPageBreak/>
        <w:t xml:space="preserve">DII argues that the ALJ erred in concluding that the Company’s smart meter plan common costs should be allocated among customer classes in the same proportion as the direct costs allocated to each customer class.  </w:t>
      </w:r>
      <w:r w:rsidR="00BA20C4">
        <w:rPr>
          <w:sz w:val="26"/>
          <w:szCs w:val="26"/>
        </w:rPr>
        <w:t xml:space="preserve">DII avers that </w:t>
      </w:r>
      <w:r w:rsidR="00221014">
        <w:rPr>
          <w:sz w:val="26"/>
          <w:szCs w:val="26"/>
        </w:rPr>
        <w:t xml:space="preserve">the Commission should adopt Duquesne’s cost allocation proposal.  </w:t>
      </w:r>
      <w:r w:rsidRPr="00E03C94">
        <w:rPr>
          <w:sz w:val="26"/>
          <w:szCs w:val="26"/>
        </w:rPr>
        <w:t>DII Exc. at 5</w:t>
      </w:r>
      <w:r w:rsidR="00221014">
        <w:rPr>
          <w:sz w:val="26"/>
          <w:szCs w:val="26"/>
        </w:rPr>
        <w:t>, 9</w:t>
      </w:r>
      <w:r w:rsidRPr="00E03C94">
        <w:rPr>
          <w:sz w:val="26"/>
          <w:szCs w:val="26"/>
        </w:rPr>
        <w:t xml:space="preserve">. </w:t>
      </w:r>
      <w:r w:rsidR="00D16201">
        <w:rPr>
          <w:sz w:val="26"/>
          <w:szCs w:val="26"/>
        </w:rPr>
        <w:t xml:space="preserve"> </w:t>
      </w:r>
      <w:r w:rsidR="00D16201" w:rsidRPr="00D16201">
        <w:rPr>
          <w:sz w:val="26"/>
          <w:szCs w:val="26"/>
        </w:rPr>
        <w:t xml:space="preserve">Citizen </w:t>
      </w:r>
      <w:r w:rsidR="0057774B">
        <w:rPr>
          <w:sz w:val="26"/>
          <w:szCs w:val="26"/>
        </w:rPr>
        <w:t xml:space="preserve">Power </w:t>
      </w:r>
      <w:r w:rsidR="00D16201" w:rsidRPr="00D16201">
        <w:rPr>
          <w:sz w:val="26"/>
          <w:szCs w:val="26"/>
        </w:rPr>
        <w:t>avers that the ALJ erred in rejecting the OCA’s recommendation that the common costs of the smart meter plan be allocated between single-phase meter group and multi-phase meter group based upon the arithmetic average of the percentage shares of each group’s energy a</w:t>
      </w:r>
      <w:r w:rsidR="00D27ABB">
        <w:rPr>
          <w:sz w:val="26"/>
          <w:szCs w:val="26"/>
        </w:rPr>
        <w:t>nd</w:t>
      </w:r>
      <w:r w:rsidR="00D16201" w:rsidRPr="00D16201">
        <w:rPr>
          <w:sz w:val="26"/>
          <w:szCs w:val="26"/>
        </w:rPr>
        <w:t xml:space="preserve"> each group’s contribution to Duquesne’s annual single coincident peak.  Citizen </w:t>
      </w:r>
      <w:r w:rsidR="0057774B">
        <w:rPr>
          <w:sz w:val="26"/>
          <w:szCs w:val="26"/>
        </w:rPr>
        <w:t xml:space="preserve">Power </w:t>
      </w:r>
      <w:r w:rsidR="00D16201" w:rsidRPr="00D16201">
        <w:rPr>
          <w:sz w:val="26"/>
          <w:szCs w:val="26"/>
        </w:rPr>
        <w:t>Exc. at 5.</w:t>
      </w:r>
    </w:p>
    <w:p w:rsidR="00407F46" w:rsidRDefault="00407F46" w:rsidP="00E03C94">
      <w:pPr>
        <w:widowControl w:val="0"/>
        <w:spacing w:line="360" w:lineRule="auto"/>
        <w:ind w:firstLine="1440"/>
        <w:rPr>
          <w:sz w:val="26"/>
          <w:szCs w:val="26"/>
        </w:rPr>
      </w:pPr>
    </w:p>
    <w:p w:rsidR="00407F46" w:rsidRDefault="00DE60DD" w:rsidP="00E03C94">
      <w:pPr>
        <w:widowControl w:val="0"/>
        <w:spacing w:line="360" w:lineRule="auto"/>
        <w:ind w:firstLine="1440"/>
        <w:rPr>
          <w:sz w:val="26"/>
          <w:szCs w:val="26"/>
        </w:rPr>
      </w:pPr>
      <w:r>
        <w:rPr>
          <w:sz w:val="26"/>
          <w:szCs w:val="26"/>
        </w:rPr>
        <w:t xml:space="preserve">The </w:t>
      </w:r>
      <w:r w:rsidR="00407F46">
        <w:rPr>
          <w:sz w:val="26"/>
          <w:szCs w:val="26"/>
        </w:rPr>
        <w:t xml:space="preserve">OSBA avers that the ALJ erred in rejecting Duquesne’s recommendation to allocate common costs on the basis of the relative number of meters in each rate class group.  </w:t>
      </w:r>
      <w:r>
        <w:rPr>
          <w:sz w:val="26"/>
          <w:szCs w:val="26"/>
        </w:rPr>
        <w:t xml:space="preserve">The </w:t>
      </w:r>
      <w:r w:rsidR="00021CBE">
        <w:rPr>
          <w:sz w:val="26"/>
          <w:szCs w:val="26"/>
        </w:rPr>
        <w:t xml:space="preserve">OSBA submits that although it proposed the alternative recommended by the ALJ, the OSBA’s </w:t>
      </w:r>
      <w:r w:rsidR="00C75600">
        <w:rPr>
          <w:sz w:val="26"/>
          <w:szCs w:val="26"/>
        </w:rPr>
        <w:t>preferred allocation was, and is, the one proposed by Duquesne.  OSBA Exc. at 4.</w:t>
      </w:r>
    </w:p>
    <w:p w:rsidR="003B660B" w:rsidRDefault="003B660B" w:rsidP="00E75BD1">
      <w:pPr>
        <w:spacing w:line="360" w:lineRule="auto"/>
        <w:rPr>
          <w:b/>
          <w:sz w:val="26"/>
          <w:szCs w:val="26"/>
        </w:rPr>
      </w:pPr>
    </w:p>
    <w:p w:rsidR="00217ABA" w:rsidRPr="005D10AC" w:rsidRDefault="005D10AC" w:rsidP="005D10AC">
      <w:pPr>
        <w:pStyle w:val="Heading4"/>
      </w:pPr>
      <w:bookmarkStart w:id="24" w:name="_Toc260906587"/>
      <w:r>
        <w:t>d.</w:t>
      </w:r>
      <w:r>
        <w:tab/>
      </w:r>
      <w:r w:rsidR="00217ABA" w:rsidRPr="005D10AC">
        <w:t>Disposition</w:t>
      </w:r>
      <w:bookmarkEnd w:id="24"/>
    </w:p>
    <w:p w:rsidR="00FD360D" w:rsidRDefault="00FD360D" w:rsidP="00FD360D">
      <w:pPr>
        <w:spacing w:line="360" w:lineRule="auto"/>
        <w:rPr>
          <w:b/>
          <w:sz w:val="26"/>
          <w:szCs w:val="26"/>
        </w:rPr>
      </w:pPr>
    </w:p>
    <w:p w:rsidR="00EF0517" w:rsidRPr="00345A25" w:rsidRDefault="00345A25" w:rsidP="00345A25">
      <w:pPr>
        <w:spacing w:line="360" w:lineRule="auto"/>
        <w:ind w:firstLine="1440"/>
        <w:rPr>
          <w:sz w:val="26"/>
          <w:szCs w:val="26"/>
        </w:rPr>
      </w:pPr>
      <w:r>
        <w:rPr>
          <w:sz w:val="26"/>
          <w:szCs w:val="26"/>
        </w:rPr>
        <w:t>With regard to allocation of common costs</w:t>
      </w:r>
      <w:r w:rsidR="001E075B">
        <w:rPr>
          <w:sz w:val="26"/>
          <w:szCs w:val="26"/>
        </w:rPr>
        <w:t>,</w:t>
      </w:r>
      <w:r>
        <w:rPr>
          <w:sz w:val="26"/>
          <w:szCs w:val="26"/>
        </w:rPr>
        <w:t xml:space="preserve"> we agree with </w:t>
      </w:r>
      <w:r w:rsidR="001E075B">
        <w:rPr>
          <w:sz w:val="26"/>
          <w:szCs w:val="26"/>
        </w:rPr>
        <w:t xml:space="preserve">the positions set forth by </w:t>
      </w:r>
      <w:r>
        <w:rPr>
          <w:sz w:val="26"/>
          <w:szCs w:val="26"/>
        </w:rPr>
        <w:t xml:space="preserve">Duquesne, DII and OSBA that the allocation of common costs should be based upon the number of meters in each group.  </w:t>
      </w:r>
      <w:r w:rsidR="00EF0517" w:rsidRPr="00345A25">
        <w:rPr>
          <w:sz w:val="26"/>
          <w:szCs w:val="26"/>
        </w:rPr>
        <w:t xml:space="preserve">It is our intention that the costs of the meter data management system, the information technology investments, the communications network and the support and management activities of the Plan, and other common costs be allocated to the customer classes based </w:t>
      </w:r>
      <w:r>
        <w:rPr>
          <w:sz w:val="26"/>
          <w:szCs w:val="26"/>
        </w:rPr>
        <w:t xml:space="preserve">upon </w:t>
      </w:r>
      <w:r w:rsidR="00EF0517" w:rsidRPr="00345A25">
        <w:rPr>
          <w:sz w:val="26"/>
          <w:szCs w:val="26"/>
        </w:rPr>
        <w:t xml:space="preserve">the extent to which these investments and services enable customers to participate in the smart meter program.  Since the size of the network needed to read the meters and the size of the system used to store meter data is most closely reflected by the number of meter locations that have to be connected, we </w:t>
      </w:r>
      <w:r w:rsidR="00EF0517" w:rsidRPr="00345A25">
        <w:rPr>
          <w:sz w:val="26"/>
          <w:szCs w:val="26"/>
        </w:rPr>
        <w:lastRenderedPageBreak/>
        <w:t xml:space="preserve">find that common costs should be allocated based on the number of meters connected to the system.  </w:t>
      </w:r>
    </w:p>
    <w:p w:rsidR="00EF0517" w:rsidRPr="00345A25" w:rsidRDefault="00EF0517" w:rsidP="00345A25">
      <w:pPr>
        <w:spacing w:line="360" w:lineRule="auto"/>
        <w:rPr>
          <w:sz w:val="26"/>
          <w:szCs w:val="26"/>
        </w:rPr>
      </w:pPr>
    </w:p>
    <w:p w:rsidR="005021CD" w:rsidRDefault="00EF0517" w:rsidP="0078457E">
      <w:pPr>
        <w:spacing w:line="360" w:lineRule="auto"/>
        <w:ind w:firstLine="1440"/>
        <w:rPr>
          <w:sz w:val="26"/>
          <w:szCs w:val="26"/>
        </w:rPr>
      </w:pPr>
      <w:r w:rsidRPr="00345A25">
        <w:rPr>
          <w:sz w:val="26"/>
          <w:szCs w:val="26"/>
        </w:rPr>
        <w:t xml:space="preserve">Even if we were to adopt the OCA’s position that common costs </w:t>
      </w:r>
      <w:r w:rsidR="000D0291">
        <w:rPr>
          <w:sz w:val="26"/>
          <w:szCs w:val="26"/>
        </w:rPr>
        <w:t>should</w:t>
      </w:r>
      <w:r w:rsidRPr="00345A25">
        <w:rPr>
          <w:sz w:val="26"/>
          <w:szCs w:val="26"/>
        </w:rPr>
        <w:t xml:space="preserve"> </w:t>
      </w:r>
      <w:r w:rsidR="00345A25">
        <w:rPr>
          <w:sz w:val="26"/>
          <w:szCs w:val="26"/>
        </w:rPr>
        <w:t xml:space="preserve">be </w:t>
      </w:r>
      <w:r w:rsidRPr="00345A25">
        <w:rPr>
          <w:sz w:val="26"/>
          <w:szCs w:val="26"/>
        </w:rPr>
        <w:t xml:space="preserve">allocated based on the conservation and load management benefits realized by the customers in each rate class, an allocation based on customer energy consumption and demand would not reflect those incremental benefits.  </w:t>
      </w:r>
    </w:p>
    <w:p w:rsidR="009D1EAB" w:rsidRPr="004B43BE" w:rsidRDefault="009D1EAB" w:rsidP="0078457E">
      <w:pPr>
        <w:spacing w:line="360" w:lineRule="auto"/>
        <w:ind w:firstLine="1440"/>
        <w:rPr>
          <w:sz w:val="26"/>
          <w:szCs w:val="26"/>
        </w:rPr>
      </w:pPr>
    </w:p>
    <w:p w:rsidR="00575D25" w:rsidRPr="006D7DE9" w:rsidRDefault="006D7DE9" w:rsidP="006D7DE9">
      <w:pPr>
        <w:pStyle w:val="Heading3"/>
        <w:rPr>
          <w:szCs w:val="26"/>
        </w:rPr>
      </w:pPr>
      <w:bookmarkStart w:id="25" w:name="_Toc260906588"/>
      <w:r>
        <w:t>2.</w:t>
      </w:r>
      <w:r>
        <w:tab/>
        <w:t>Cost Recovery</w:t>
      </w:r>
      <w:bookmarkEnd w:id="25"/>
    </w:p>
    <w:p w:rsidR="00575D25" w:rsidRDefault="00575D25" w:rsidP="00E10FAC">
      <w:pPr>
        <w:spacing w:line="360" w:lineRule="auto"/>
        <w:ind w:left="2160"/>
        <w:rPr>
          <w:b/>
          <w:sz w:val="26"/>
          <w:szCs w:val="26"/>
        </w:rPr>
      </w:pPr>
    </w:p>
    <w:p w:rsidR="00E10FAC" w:rsidRDefault="006D7DE9" w:rsidP="006D7DE9">
      <w:pPr>
        <w:pStyle w:val="Heading4"/>
      </w:pPr>
      <w:bookmarkStart w:id="26" w:name="_Toc260906589"/>
      <w:r>
        <w:t>a.</w:t>
      </w:r>
      <w:r>
        <w:tab/>
      </w:r>
      <w:r w:rsidR="00E10FAC" w:rsidRPr="00C50D00">
        <w:t>Interest on Over/Under Collections</w:t>
      </w:r>
      <w:bookmarkEnd w:id="26"/>
    </w:p>
    <w:p w:rsidR="00DD3F6C" w:rsidRDefault="00DD3F6C" w:rsidP="00E10FAC">
      <w:pPr>
        <w:spacing w:line="360" w:lineRule="auto"/>
        <w:rPr>
          <w:b/>
          <w:sz w:val="26"/>
          <w:szCs w:val="26"/>
        </w:rPr>
      </w:pPr>
    </w:p>
    <w:p w:rsidR="00E10FAC" w:rsidRDefault="00584985" w:rsidP="00584985">
      <w:pPr>
        <w:pStyle w:val="Heading5"/>
      </w:pPr>
      <w:bookmarkStart w:id="27" w:name="_Toc260906590"/>
      <w:r>
        <w:t>(1)</w:t>
      </w:r>
      <w:r>
        <w:tab/>
      </w:r>
      <w:r w:rsidR="007C662E">
        <w:t>Provisions of the Plan</w:t>
      </w:r>
      <w:bookmarkEnd w:id="27"/>
    </w:p>
    <w:p w:rsidR="007C662E" w:rsidRDefault="007C662E" w:rsidP="007C662E">
      <w:pPr>
        <w:spacing w:line="360" w:lineRule="auto"/>
        <w:rPr>
          <w:b/>
          <w:sz w:val="26"/>
          <w:szCs w:val="26"/>
        </w:rPr>
      </w:pPr>
    </w:p>
    <w:p w:rsidR="007C662E" w:rsidRDefault="002B358C" w:rsidP="008959D7">
      <w:pPr>
        <w:spacing w:line="360" w:lineRule="auto"/>
        <w:ind w:firstLine="1440"/>
        <w:rPr>
          <w:sz w:val="26"/>
          <w:szCs w:val="26"/>
        </w:rPr>
      </w:pPr>
      <w:r>
        <w:rPr>
          <w:sz w:val="26"/>
          <w:szCs w:val="26"/>
        </w:rPr>
        <w:t xml:space="preserve">In its filing, </w:t>
      </w:r>
      <w:r w:rsidR="007C662E">
        <w:rPr>
          <w:sz w:val="26"/>
          <w:szCs w:val="26"/>
        </w:rPr>
        <w:t xml:space="preserve">Duquesne </w:t>
      </w:r>
      <w:r>
        <w:rPr>
          <w:sz w:val="26"/>
          <w:szCs w:val="26"/>
        </w:rPr>
        <w:t xml:space="preserve">proposed to include interest charges </w:t>
      </w:r>
      <w:r w:rsidR="008959D7">
        <w:rPr>
          <w:sz w:val="26"/>
          <w:szCs w:val="26"/>
        </w:rPr>
        <w:t xml:space="preserve">at the rate of </w:t>
      </w:r>
      <w:r w:rsidR="004B0B10">
        <w:rPr>
          <w:sz w:val="26"/>
          <w:szCs w:val="26"/>
        </w:rPr>
        <w:t>six percent</w:t>
      </w:r>
      <w:r w:rsidR="008959D7">
        <w:rPr>
          <w:sz w:val="26"/>
          <w:szCs w:val="26"/>
        </w:rPr>
        <w:t xml:space="preserve"> applicable </w:t>
      </w:r>
      <w:r w:rsidR="00985BAE">
        <w:rPr>
          <w:sz w:val="26"/>
          <w:szCs w:val="26"/>
        </w:rPr>
        <w:t>to both over and under collections of its SMC.  Duquesne SMP, Exh. D – Direct testimony of William V. Pfrommer at 8.</w:t>
      </w:r>
    </w:p>
    <w:p w:rsidR="00985BAE" w:rsidRDefault="00985BAE" w:rsidP="003121E0">
      <w:pPr>
        <w:spacing w:line="360" w:lineRule="auto"/>
        <w:rPr>
          <w:sz w:val="26"/>
          <w:szCs w:val="26"/>
        </w:rPr>
      </w:pPr>
    </w:p>
    <w:p w:rsidR="00985BAE" w:rsidRDefault="00584985" w:rsidP="00584985">
      <w:pPr>
        <w:pStyle w:val="Heading5"/>
      </w:pPr>
      <w:bookmarkStart w:id="28" w:name="_Toc260906591"/>
      <w:r>
        <w:t>(2)</w:t>
      </w:r>
      <w:r>
        <w:tab/>
      </w:r>
      <w:r w:rsidR="007B2C29">
        <w:t>ALJ Recommendation</w:t>
      </w:r>
      <w:bookmarkEnd w:id="28"/>
    </w:p>
    <w:p w:rsidR="007B2C29" w:rsidRDefault="007B2C29" w:rsidP="007B2C29">
      <w:pPr>
        <w:spacing w:line="360" w:lineRule="auto"/>
        <w:rPr>
          <w:b/>
          <w:sz w:val="26"/>
          <w:szCs w:val="26"/>
        </w:rPr>
      </w:pPr>
    </w:p>
    <w:p w:rsidR="007B2C29" w:rsidRDefault="00B77DBC" w:rsidP="00B77DBC">
      <w:pPr>
        <w:spacing w:line="360" w:lineRule="auto"/>
        <w:ind w:firstLine="1440"/>
        <w:rPr>
          <w:sz w:val="26"/>
          <w:szCs w:val="26"/>
        </w:rPr>
      </w:pPr>
      <w:r>
        <w:rPr>
          <w:sz w:val="26"/>
          <w:szCs w:val="26"/>
        </w:rPr>
        <w:t xml:space="preserve">There is some question as to whether the ALJ specifically addressed the issue of how interest should be </w:t>
      </w:r>
      <w:r w:rsidR="005025CD">
        <w:rPr>
          <w:sz w:val="26"/>
          <w:szCs w:val="26"/>
        </w:rPr>
        <w:t>a</w:t>
      </w:r>
      <w:r w:rsidR="00285978">
        <w:rPr>
          <w:sz w:val="26"/>
          <w:szCs w:val="26"/>
        </w:rPr>
        <w:t>ss</w:t>
      </w:r>
      <w:r w:rsidR="005025CD">
        <w:rPr>
          <w:sz w:val="26"/>
          <w:szCs w:val="26"/>
        </w:rPr>
        <w:t>essed</w:t>
      </w:r>
      <w:r>
        <w:rPr>
          <w:sz w:val="26"/>
          <w:szCs w:val="26"/>
        </w:rPr>
        <w:t xml:space="preserve"> through Duquesne’s SMC.  The sole reference to interest </w:t>
      </w:r>
      <w:r w:rsidR="00732D6C">
        <w:rPr>
          <w:sz w:val="26"/>
          <w:szCs w:val="26"/>
        </w:rPr>
        <w:t>in the I</w:t>
      </w:r>
      <w:r w:rsidR="00285978">
        <w:rPr>
          <w:sz w:val="26"/>
          <w:szCs w:val="26"/>
        </w:rPr>
        <w:t xml:space="preserve">nitial </w:t>
      </w:r>
      <w:r w:rsidR="00732D6C">
        <w:rPr>
          <w:sz w:val="26"/>
          <w:szCs w:val="26"/>
        </w:rPr>
        <w:t>D</w:t>
      </w:r>
      <w:r w:rsidR="00285978">
        <w:rPr>
          <w:sz w:val="26"/>
          <w:szCs w:val="26"/>
        </w:rPr>
        <w:t>ecision</w:t>
      </w:r>
      <w:r w:rsidR="00732D6C">
        <w:rPr>
          <w:sz w:val="26"/>
          <w:szCs w:val="26"/>
        </w:rPr>
        <w:t xml:space="preserve"> can be found in the section addressing the </w:t>
      </w:r>
      <w:r w:rsidR="00285978">
        <w:rPr>
          <w:sz w:val="26"/>
          <w:szCs w:val="26"/>
        </w:rPr>
        <w:t>P</w:t>
      </w:r>
      <w:r w:rsidR="00732D6C">
        <w:rPr>
          <w:sz w:val="26"/>
          <w:szCs w:val="26"/>
        </w:rPr>
        <w:t xml:space="preserve">arties’ various proposals regarding annual reconciliation of quarterly updates of the SMC, where it states, “All over-and under-recovery calculations will include interest at </w:t>
      </w:r>
      <w:r w:rsidR="004B0B10">
        <w:rPr>
          <w:sz w:val="26"/>
          <w:szCs w:val="26"/>
        </w:rPr>
        <w:t>six percent</w:t>
      </w:r>
      <w:r w:rsidR="00732D6C">
        <w:rPr>
          <w:sz w:val="26"/>
          <w:szCs w:val="26"/>
        </w:rPr>
        <w:t xml:space="preserve">.  DLC Ex. D, at 8.”  I.D. at 21.  </w:t>
      </w:r>
      <w:r w:rsidR="00E12AD4">
        <w:rPr>
          <w:sz w:val="26"/>
          <w:szCs w:val="26"/>
        </w:rPr>
        <w:t xml:space="preserve">It appears this statement merely noted that Duquesne’s </w:t>
      </w:r>
      <w:r w:rsidR="00C57F37">
        <w:rPr>
          <w:sz w:val="26"/>
          <w:szCs w:val="26"/>
        </w:rPr>
        <w:t>P</w:t>
      </w:r>
      <w:r w:rsidR="00E12AD4">
        <w:rPr>
          <w:sz w:val="26"/>
          <w:szCs w:val="26"/>
        </w:rPr>
        <w:t xml:space="preserve">lan calls for all over/under recovery calculations to include interest at </w:t>
      </w:r>
      <w:r w:rsidR="004B0B10">
        <w:rPr>
          <w:sz w:val="26"/>
          <w:szCs w:val="26"/>
        </w:rPr>
        <w:t>six percent</w:t>
      </w:r>
      <w:r w:rsidR="00E12AD4">
        <w:rPr>
          <w:sz w:val="26"/>
          <w:szCs w:val="26"/>
        </w:rPr>
        <w:t xml:space="preserve">.  </w:t>
      </w:r>
      <w:r w:rsidR="00B87720">
        <w:rPr>
          <w:sz w:val="26"/>
          <w:szCs w:val="26"/>
        </w:rPr>
        <w:t xml:space="preserve">There are no further references to the OTS </w:t>
      </w:r>
      <w:r w:rsidR="00C83F40">
        <w:rPr>
          <w:sz w:val="26"/>
          <w:szCs w:val="26"/>
        </w:rPr>
        <w:t xml:space="preserve">recommended </w:t>
      </w:r>
      <w:r w:rsidR="00B87720">
        <w:rPr>
          <w:sz w:val="26"/>
          <w:szCs w:val="26"/>
        </w:rPr>
        <w:t xml:space="preserve">interest proposal </w:t>
      </w:r>
      <w:r w:rsidR="00A51295">
        <w:rPr>
          <w:sz w:val="26"/>
          <w:szCs w:val="26"/>
        </w:rPr>
        <w:t>(</w:t>
      </w:r>
      <w:r w:rsidR="00285978">
        <w:rPr>
          <w:sz w:val="26"/>
          <w:szCs w:val="26"/>
        </w:rPr>
        <w:t xml:space="preserve">one directional </w:t>
      </w:r>
      <w:r w:rsidR="00285978">
        <w:rPr>
          <w:sz w:val="26"/>
          <w:szCs w:val="26"/>
        </w:rPr>
        <w:lastRenderedPageBreak/>
        <w:t>interest payments an</w:t>
      </w:r>
      <w:r w:rsidR="00C83F40">
        <w:rPr>
          <w:sz w:val="26"/>
          <w:szCs w:val="26"/>
        </w:rPr>
        <w:t>d interest charged to over collections at the residential mortgage rate</w:t>
      </w:r>
      <w:r w:rsidR="00A51295">
        <w:rPr>
          <w:sz w:val="26"/>
          <w:szCs w:val="26"/>
        </w:rPr>
        <w:t>)</w:t>
      </w:r>
      <w:r w:rsidR="00C83F40">
        <w:rPr>
          <w:sz w:val="26"/>
          <w:szCs w:val="26"/>
        </w:rPr>
        <w:t xml:space="preserve"> </w:t>
      </w:r>
      <w:r w:rsidR="00B87720">
        <w:rPr>
          <w:sz w:val="26"/>
          <w:szCs w:val="26"/>
        </w:rPr>
        <w:t xml:space="preserve">and no statements indicating express adoption of the Duquesne interest proposal.  </w:t>
      </w:r>
    </w:p>
    <w:p w:rsidR="00B87720" w:rsidRDefault="00B87720" w:rsidP="00B77DBC">
      <w:pPr>
        <w:spacing w:line="360" w:lineRule="auto"/>
        <w:ind w:firstLine="1440"/>
        <w:rPr>
          <w:sz w:val="26"/>
          <w:szCs w:val="26"/>
        </w:rPr>
      </w:pPr>
    </w:p>
    <w:p w:rsidR="00B87720" w:rsidRPr="00E12AD4" w:rsidRDefault="00584985" w:rsidP="00584985">
      <w:pPr>
        <w:pStyle w:val="Heading5"/>
      </w:pPr>
      <w:bookmarkStart w:id="29" w:name="_Toc260906592"/>
      <w:r>
        <w:t>(3)</w:t>
      </w:r>
      <w:r>
        <w:tab/>
      </w:r>
      <w:r w:rsidR="00B87720" w:rsidRPr="00E12AD4">
        <w:t>Exceptions and Replies</w:t>
      </w:r>
      <w:bookmarkEnd w:id="29"/>
    </w:p>
    <w:p w:rsidR="00E10FAC" w:rsidRPr="00537150" w:rsidRDefault="00E10FAC" w:rsidP="00E10FAC">
      <w:pPr>
        <w:spacing w:line="360" w:lineRule="auto"/>
        <w:rPr>
          <w:b/>
          <w:sz w:val="26"/>
          <w:szCs w:val="26"/>
        </w:rPr>
      </w:pPr>
    </w:p>
    <w:p w:rsidR="00E10FAC" w:rsidRDefault="00C57F37" w:rsidP="00DD3F6C">
      <w:pPr>
        <w:spacing w:line="360" w:lineRule="auto"/>
        <w:ind w:firstLine="1440"/>
        <w:rPr>
          <w:sz w:val="26"/>
          <w:szCs w:val="26"/>
        </w:rPr>
      </w:pPr>
      <w:r>
        <w:rPr>
          <w:sz w:val="26"/>
          <w:szCs w:val="26"/>
        </w:rPr>
        <w:t xml:space="preserve">The </w:t>
      </w:r>
      <w:r w:rsidR="00E10FAC">
        <w:rPr>
          <w:sz w:val="26"/>
          <w:szCs w:val="26"/>
        </w:rPr>
        <w:t>OTS submits that the ALJ’s I</w:t>
      </w:r>
      <w:r w:rsidR="00A51295">
        <w:rPr>
          <w:sz w:val="26"/>
          <w:szCs w:val="26"/>
        </w:rPr>
        <w:t xml:space="preserve">nitial </w:t>
      </w:r>
      <w:r w:rsidR="00E10FAC">
        <w:rPr>
          <w:sz w:val="26"/>
          <w:szCs w:val="26"/>
        </w:rPr>
        <w:t>D</w:t>
      </w:r>
      <w:r w:rsidR="00A51295">
        <w:rPr>
          <w:sz w:val="26"/>
          <w:szCs w:val="26"/>
        </w:rPr>
        <w:t>ecision</w:t>
      </w:r>
      <w:r w:rsidR="00E10FAC">
        <w:rPr>
          <w:sz w:val="26"/>
          <w:szCs w:val="26"/>
        </w:rPr>
        <w:t xml:space="preserve"> has not specifically addressed how interest should be </w:t>
      </w:r>
      <w:r w:rsidR="005025CD">
        <w:rPr>
          <w:sz w:val="26"/>
          <w:szCs w:val="26"/>
        </w:rPr>
        <w:t>a</w:t>
      </w:r>
      <w:r w:rsidR="00A51295">
        <w:rPr>
          <w:sz w:val="26"/>
          <w:szCs w:val="26"/>
        </w:rPr>
        <w:t>ss</w:t>
      </w:r>
      <w:r w:rsidR="005025CD">
        <w:rPr>
          <w:sz w:val="26"/>
          <w:szCs w:val="26"/>
        </w:rPr>
        <w:t>essed</w:t>
      </w:r>
      <w:r w:rsidR="00E10FAC">
        <w:rPr>
          <w:sz w:val="26"/>
          <w:szCs w:val="26"/>
        </w:rPr>
        <w:t xml:space="preserve"> through Duquesne’s SMC.  </w:t>
      </w:r>
      <w:r>
        <w:rPr>
          <w:sz w:val="26"/>
          <w:szCs w:val="26"/>
        </w:rPr>
        <w:t xml:space="preserve">The </w:t>
      </w:r>
      <w:r w:rsidR="00E10FAC">
        <w:rPr>
          <w:sz w:val="26"/>
          <w:szCs w:val="26"/>
        </w:rPr>
        <w:t xml:space="preserve">OTS argues that the Commission should modify Duquesne’s plan and provide for one directional interest payments on over-collections.  </w:t>
      </w:r>
      <w:r>
        <w:rPr>
          <w:sz w:val="26"/>
          <w:szCs w:val="26"/>
        </w:rPr>
        <w:t xml:space="preserve">The </w:t>
      </w:r>
      <w:r w:rsidR="00E10FAC">
        <w:rPr>
          <w:sz w:val="26"/>
          <w:szCs w:val="26"/>
        </w:rPr>
        <w:t xml:space="preserve">OTS contends that interest payments on under-collections are not warranted as the Company is already compensated for carrying costs through the rate of return component of its SMC.  Conversely, </w:t>
      </w:r>
      <w:r w:rsidR="008B675E">
        <w:rPr>
          <w:sz w:val="26"/>
          <w:szCs w:val="26"/>
        </w:rPr>
        <w:t>t</w:t>
      </w:r>
      <w:r>
        <w:rPr>
          <w:sz w:val="26"/>
          <w:szCs w:val="26"/>
        </w:rPr>
        <w:t xml:space="preserve">he </w:t>
      </w:r>
      <w:r w:rsidR="00E10FAC">
        <w:rPr>
          <w:sz w:val="26"/>
          <w:szCs w:val="26"/>
        </w:rPr>
        <w:t>OTS notes that ratepayers do not earn a rate of return on excess funds paid to the Company</w:t>
      </w:r>
      <w:r w:rsidR="00A44546">
        <w:rPr>
          <w:sz w:val="26"/>
          <w:szCs w:val="26"/>
        </w:rPr>
        <w:t>;</w:t>
      </w:r>
      <w:r w:rsidR="00E10FAC">
        <w:rPr>
          <w:sz w:val="26"/>
          <w:szCs w:val="26"/>
        </w:rPr>
        <w:t xml:space="preserve"> therefore, interest payments on net over-collections are appropriate.  OTS Exc. at </w:t>
      </w:r>
      <w:r w:rsidR="00E87FAA">
        <w:rPr>
          <w:sz w:val="26"/>
          <w:szCs w:val="26"/>
        </w:rPr>
        <w:t>7-</w:t>
      </w:r>
      <w:r w:rsidR="00E10FAC">
        <w:rPr>
          <w:sz w:val="26"/>
          <w:szCs w:val="26"/>
        </w:rPr>
        <w:t>8.</w:t>
      </w:r>
    </w:p>
    <w:p w:rsidR="005021CD" w:rsidRDefault="005021CD" w:rsidP="00DD3F6C">
      <w:pPr>
        <w:spacing w:line="360" w:lineRule="auto"/>
        <w:ind w:firstLine="1440"/>
        <w:rPr>
          <w:sz w:val="26"/>
          <w:szCs w:val="26"/>
        </w:rPr>
      </w:pPr>
    </w:p>
    <w:p w:rsidR="00E10FAC" w:rsidRDefault="00E10FAC" w:rsidP="00E10FAC">
      <w:pPr>
        <w:spacing w:line="360" w:lineRule="auto"/>
        <w:ind w:firstLine="1440"/>
        <w:rPr>
          <w:sz w:val="26"/>
          <w:szCs w:val="26"/>
        </w:rPr>
      </w:pPr>
      <w:r>
        <w:rPr>
          <w:sz w:val="26"/>
          <w:szCs w:val="26"/>
        </w:rPr>
        <w:t>Duquesne argues that the I</w:t>
      </w:r>
      <w:r w:rsidR="00A51295">
        <w:rPr>
          <w:sz w:val="26"/>
          <w:szCs w:val="26"/>
        </w:rPr>
        <w:t xml:space="preserve">nitial </w:t>
      </w:r>
      <w:r>
        <w:rPr>
          <w:sz w:val="26"/>
          <w:szCs w:val="26"/>
        </w:rPr>
        <w:t>D</w:t>
      </w:r>
      <w:r w:rsidR="00A51295">
        <w:rPr>
          <w:sz w:val="26"/>
          <w:szCs w:val="26"/>
        </w:rPr>
        <w:t>ecision</w:t>
      </w:r>
      <w:r>
        <w:rPr>
          <w:sz w:val="26"/>
          <w:szCs w:val="26"/>
        </w:rPr>
        <w:t xml:space="preserve"> </w:t>
      </w:r>
      <w:r w:rsidR="00DA2A4B">
        <w:rPr>
          <w:sz w:val="26"/>
          <w:szCs w:val="26"/>
        </w:rPr>
        <w:t xml:space="preserve">properly </w:t>
      </w:r>
      <w:r>
        <w:rPr>
          <w:sz w:val="26"/>
          <w:szCs w:val="26"/>
        </w:rPr>
        <w:t xml:space="preserve">rejects </w:t>
      </w:r>
      <w:r w:rsidR="00A44546">
        <w:rPr>
          <w:sz w:val="26"/>
          <w:szCs w:val="26"/>
        </w:rPr>
        <w:t xml:space="preserve">the </w:t>
      </w:r>
      <w:r>
        <w:rPr>
          <w:sz w:val="26"/>
          <w:szCs w:val="26"/>
        </w:rPr>
        <w:t>OTS’</w:t>
      </w:r>
      <w:r w:rsidR="00A51295">
        <w:rPr>
          <w:sz w:val="26"/>
          <w:szCs w:val="26"/>
        </w:rPr>
        <w:t>s</w:t>
      </w:r>
      <w:r>
        <w:rPr>
          <w:sz w:val="26"/>
          <w:szCs w:val="26"/>
        </w:rPr>
        <w:t xml:space="preserve"> proposed one-directional treatment of interest.  Duquesne disagrees with </w:t>
      </w:r>
      <w:r w:rsidR="00A44546">
        <w:rPr>
          <w:sz w:val="26"/>
          <w:szCs w:val="26"/>
        </w:rPr>
        <w:t xml:space="preserve">the </w:t>
      </w:r>
      <w:r>
        <w:rPr>
          <w:sz w:val="26"/>
          <w:szCs w:val="26"/>
        </w:rPr>
        <w:t>OTS and submits that if a utility has to pay interest on over-collections, then it should be able to collect interest on any</w:t>
      </w:r>
      <w:r w:rsidR="00A51295">
        <w:rPr>
          <w:sz w:val="26"/>
          <w:szCs w:val="26"/>
        </w:rPr>
        <w:t xml:space="preserve"> under-collections.  Duquesne R.</w:t>
      </w:r>
      <w:r>
        <w:rPr>
          <w:sz w:val="26"/>
          <w:szCs w:val="26"/>
        </w:rPr>
        <w:t xml:space="preserve"> Exc. at 15.</w:t>
      </w:r>
    </w:p>
    <w:p w:rsidR="00E10FAC" w:rsidRDefault="00E10FAC" w:rsidP="00E10FAC">
      <w:pPr>
        <w:spacing w:line="360" w:lineRule="auto"/>
        <w:ind w:firstLine="1440"/>
        <w:rPr>
          <w:sz w:val="26"/>
          <w:szCs w:val="26"/>
        </w:rPr>
      </w:pPr>
    </w:p>
    <w:p w:rsidR="008B675E" w:rsidRDefault="00A44546" w:rsidP="00DF3F4C">
      <w:pPr>
        <w:spacing w:line="360" w:lineRule="auto"/>
        <w:ind w:firstLine="1440"/>
        <w:rPr>
          <w:sz w:val="26"/>
          <w:szCs w:val="26"/>
        </w:rPr>
      </w:pPr>
      <w:r>
        <w:rPr>
          <w:sz w:val="26"/>
          <w:szCs w:val="26"/>
        </w:rPr>
        <w:t xml:space="preserve">The </w:t>
      </w:r>
      <w:r w:rsidR="00E10FAC">
        <w:rPr>
          <w:sz w:val="26"/>
          <w:szCs w:val="26"/>
        </w:rPr>
        <w:t>OTS suggests that the I</w:t>
      </w:r>
      <w:r w:rsidR="00A51295">
        <w:rPr>
          <w:sz w:val="26"/>
          <w:szCs w:val="26"/>
        </w:rPr>
        <w:t xml:space="preserve">nitial </w:t>
      </w:r>
      <w:r w:rsidR="00E10FAC">
        <w:rPr>
          <w:sz w:val="26"/>
          <w:szCs w:val="26"/>
        </w:rPr>
        <w:t>D</w:t>
      </w:r>
      <w:r w:rsidR="00A51295">
        <w:rPr>
          <w:sz w:val="26"/>
          <w:szCs w:val="26"/>
        </w:rPr>
        <w:t>ecision</w:t>
      </w:r>
      <w:r w:rsidR="00E10FAC">
        <w:rPr>
          <w:sz w:val="26"/>
          <w:szCs w:val="26"/>
        </w:rPr>
        <w:t xml:space="preserve"> also does not contain a definitive recommendation as to how interest should be calculated.  </w:t>
      </w:r>
      <w:r w:rsidR="00791DD8">
        <w:rPr>
          <w:sz w:val="26"/>
          <w:szCs w:val="26"/>
        </w:rPr>
        <w:t xml:space="preserve">The </w:t>
      </w:r>
      <w:r w:rsidR="00E10FAC">
        <w:rPr>
          <w:sz w:val="26"/>
          <w:szCs w:val="26"/>
        </w:rPr>
        <w:t xml:space="preserve">OTS recommends that the Commission modify Duquesne’s </w:t>
      </w:r>
      <w:r w:rsidR="00A51295">
        <w:rPr>
          <w:sz w:val="26"/>
          <w:szCs w:val="26"/>
        </w:rPr>
        <w:t>P</w:t>
      </w:r>
      <w:r w:rsidR="00E10FAC">
        <w:rPr>
          <w:sz w:val="26"/>
          <w:szCs w:val="26"/>
        </w:rPr>
        <w:t xml:space="preserve">lan and provide for interest calculated at the residential mortgage rate.  </w:t>
      </w:r>
      <w:r w:rsidR="00791DD8">
        <w:rPr>
          <w:sz w:val="26"/>
          <w:szCs w:val="26"/>
        </w:rPr>
        <w:t xml:space="preserve">The </w:t>
      </w:r>
      <w:r w:rsidR="00E10FAC">
        <w:rPr>
          <w:sz w:val="26"/>
          <w:szCs w:val="26"/>
        </w:rPr>
        <w:t xml:space="preserve">OTS points out that calculating interest at the residential mortgage rate is appropriate for smart meter costs recovery because it reflects the current cost of borrowed funds.  </w:t>
      </w:r>
      <w:r w:rsidR="00791DD8">
        <w:rPr>
          <w:sz w:val="26"/>
          <w:szCs w:val="26"/>
        </w:rPr>
        <w:t xml:space="preserve">The </w:t>
      </w:r>
      <w:r w:rsidR="00E10FAC">
        <w:rPr>
          <w:sz w:val="26"/>
          <w:szCs w:val="26"/>
        </w:rPr>
        <w:t>OTS avers that</w:t>
      </w:r>
      <w:r w:rsidR="009C3CD4">
        <w:rPr>
          <w:sz w:val="26"/>
          <w:szCs w:val="26"/>
        </w:rPr>
        <w:t>,</w:t>
      </w:r>
      <w:r w:rsidR="00E10FAC">
        <w:rPr>
          <w:sz w:val="26"/>
          <w:szCs w:val="26"/>
        </w:rPr>
        <w:t xml:space="preserve"> like Duquesne’s SMC, water utility </w:t>
      </w:r>
      <w:r w:rsidR="009C3CD4">
        <w:rPr>
          <w:sz w:val="26"/>
          <w:szCs w:val="26"/>
        </w:rPr>
        <w:t>Distribution System Improvement Charge (</w:t>
      </w:r>
      <w:r w:rsidR="00E10FAC">
        <w:rPr>
          <w:sz w:val="26"/>
          <w:szCs w:val="26"/>
        </w:rPr>
        <w:t>DSIC</w:t>
      </w:r>
      <w:r w:rsidR="009C3CD4">
        <w:rPr>
          <w:sz w:val="26"/>
          <w:szCs w:val="26"/>
        </w:rPr>
        <w:t>)</w:t>
      </w:r>
      <w:r w:rsidR="00E10FAC">
        <w:rPr>
          <w:sz w:val="26"/>
          <w:szCs w:val="26"/>
        </w:rPr>
        <w:t xml:space="preserve"> surcharges recover capital intensive investments and the Commission applies the residential mortgage rate of interest to DSIC surcharges.  OTS MB at 17; OTS Exc. at 10-11.  </w:t>
      </w:r>
    </w:p>
    <w:p w:rsidR="00E10FAC" w:rsidRDefault="00E10FAC" w:rsidP="00E10FAC">
      <w:pPr>
        <w:spacing w:line="360" w:lineRule="auto"/>
        <w:ind w:firstLine="1440"/>
        <w:rPr>
          <w:sz w:val="26"/>
          <w:szCs w:val="26"/>
        </w:rPr>
      </w:pPr>
      <w:r>
        <w:rPr>
          <w:sz w:val="26"/>
          <w:szCs w:val="26"/>
        </w:rPr>
        <w:lastRenderedPageBreak/>
        <w:t>Duquesne submits that</w:t>
      </w:r>
      <w:r w:rsidRPr="004B2A82">
        <w:rPr>
          <w:sz w:val="26"/>
          <w:szCs w:val="26"/>
        </w:rPr>
        <w:t xml:space="preserve"> </w:t>
      </w:r>
      <w:r>
        <w:rPr>
          <w:sz w:val="26"/>
          <w:szCs w:val="26"/>
        </w:rPr>
        <w:t xml:space="preserve">it accepts the ALJ’s recommendation of calculating interest at the rate of </w:t>
      </w:r>
      <w:r w:rsidR="004B0B10">
        <w:rPr>
          <w:sz w:val="26"/>
          <w:szCs w:val="26"/>
        </w:rPr>
        <w:t>six percent</w:t>
      </w:r>
      <w:r>
        <w:rPr>
          <w:sz w:val="26"/>
          <w:szCs w:val="26"/>
        </w:rPr>
        <w:t>, but it does not object to the OTS position of calculating interest at the resident</w:t>
      </w:r>
      <w:r w:rsidR="009C3CD4">
        <w:rPr>
          <w:sz w:val="26"/>
          <w:szCs w:val="26"/>
        </w:rPr>
        <w:t>ial mortgage rate.  Duquesne R.</w:t>
      </w:r>
      <w:r>
        <w:rPr>
          <w:sz w:val="26"/>
          <w:szCs w:val="26"/>
        </w:rPr>
        <w:t>Exc. at 15-16.</w:t>
      </w:r>
    </w:p>
    <w:p w:rsidR="00E10FAC" w:rsidRDefault="00E10FAC" w:rsidP="00DA2A4B">
      <w:pPr>
        <w:spacing w:line="360" w:lineRule="auto"/>
        <w:rPr>
          <w:sz w:val="26"/>
          <w:szCs w:val="26"/>
        </w:rPr>
      </w:pPr>
    </w:p>
    <w:p w:rsidR="00E10FAC" w:rsidRDefault="00584985" w:rsidP="00584985">
      <w:pPr>
        <w:pStyle w:val="Heading5"/>
      </w:pPr>
      <w:bookmarkStart w:id="30" w:name="_Toc260906593"/>
      <w:r>
        <w:t>(4)</w:t>
      </w:r>
      <w:r>
        <w:tab/>
      </w:r>
      <w:r w:rsidR="00E10FAC" w:rsidRPr="00607575">
        <w:t>Disposition</w:t>
      </w:r>
      <w:bookmarkEnd w:id="30"/>
    </w:p>
    <w:p w:rsidR="00F523AF" w:rsidRPr="00F523AF" w:rsidRDefault="00F523AF" w:rsidP="00F523AF">
      <w:pPr>
        <w:spacing w:line="360" w:lineRule="auto"/>
        <w:rPr>
          <w:b/>
          <w:sz w:val="26"/>
          <w:szCs w:val="26"/>
        </w:rPr>
      </w:pPr>
    </w:p>
    <w:p w:rsidR="00270477" w:rsidRDefault="00270477" w:rsidP="00D67C28">
      <w:pPr>
        <w:spacing w:line="360" w:lineRule="auto"/>
        <w:ind w:firstLine="1440"/>
        <w:rPr>
          <w:sz w:val="26"/>
          <w:szCs w:val="26"/>
        </w:rPr>
      </w:pPr>
      <w:r>
        <w:rPr>
          <w:sz w:val="26"/>
          <w:szCs w:val="26"/>
        </w:rPr>
        <w:t>The recovery of interest within a 1307(e) reconciliation mechanism is not specifically provided for within the statutory language.  However, the Commission does require Group I gas utilities to pay its customers interest on over-collected gas costs.  52 Pa Code § 53.66.  The Commission has also provided for the imputation of interest, at the legal rate of six percent per year, within other 1307(e) type recovery mechanisms such as Universal Service Cost Riders; Default Service Charge Riders and Consumer Education Program Cost Recovery Riders.  By providing for the imputation of interest within the</w:t>
      </w:r>
      <w:r w:rsidR="004B0B10">
        <w:rPr>
          <w:sz w:val="26"/>
          <w:szCs w:val="26"/>
        </w:rPr>
        <w:t xml:space="preserve"> SMC Rider,</w:t>
      </w:r>
      <w:r>
        <w:rPr>
          <w:sz w:val="26"/>
          <w:szCs w:val="26"/>
        </w:rPr>
        <w:t xml:space="preserve"> the utility is then able to recover all allowable costs, including the time value of money, on a full and current basis, as allowed by Act 129.  66 Pa. </w:t>
      </w:r>
      <w:r w:rsidR="0022259F">
        <w:rPr>
          <w:sz w:val="26"/>
          <w:szCs w:val="26"/>
        </w:rPr>
        <w:t>C.</w:t>
      </w:r>
      <w:r>
        <w:rPr>
          <w:sz w:val="26"/>
          <w:szCs w:val="26"/>
        </w:rPr>
        <w:t>S. § 2807(f)(7).  If the recovery of interest were not allowed the utility would not recover all of its allowable costs.</w:t>
      </w:r>
    </w:p>
    <w:p w:rsidR="004707A8" w:rsidRDefault="004707A8" w:rsidP="00D67C28">
      <w:pPr>
        <w:spacing w:line="360" w:lineRule="auto"/>
        <w:ind w:firstLine="1440"/>
        <w:rPr>
          <w:sz w:val="26"/>
          <w:szCs w:val="26"/>
        </w:rPr>
      </w:pPr>
    </w:p>
    <w:p w:rsidR="00C6077B" w:rsidRPr="00DF3F4C" w:rsidRDefault="00270477" w:rsidP="00DF3F4C">
      <w:pPr>
        <w:spacing w:line="360" w:lineRule="auto"/>
        <w:ind w:firstLine="1440"/>
        <w:rPr>
          <w:sz w:val="26"/>
          <w:szCs w:val="26"/>
        </w:rPr>
      </w:pPr>
      <w:r>
        <w:rPr>
          <w:sz w:val="26"/>
          <w:szCs w:val="26"/>
        </w:rPr>
        <w:t>Duquesne’s Plan calls for interest on net over- and under-collections at the legal rate of six percent per year.  41 P.S. § 202.  Prior Commission decisions regarding 1307(e) recovery mechanisms have provided for the imposition of interest, at the legal rate, on both over and under-collections.  We recognize that the residential mortgage interest rate is used in the reconciliation of other types of costs incurred by various utilities</w:t>
      </w:r>
      <w:r w:rsidR="009C3CD4">
        <w:rPr>
          <w:sz w:val="26"/>
          <w:szCs w:val="26"/>
        </w:rPr>
        <w:t xml:space="preserve">. </w:t>
      </w:r>
      <w:r>
        <w:rPr>
          <w:sz w:val="26"/>
          <w:szCs w:val="26"/>
        </w:rPr>
        <w:t xml:space="preserve"> </w:t>
      </w:r>
      <w:r w:rsidR="009C3CD4">
        <w:rPr>
          <w:sz w:val="26"/>
          <w:szCs w:val="26"/>
        </w:rPr>
        <w:t>H</w:t>
      </w:r>
      <w:r>
        <w:rPr>
          <w:sz w:val="26"/>
          <w:szCs w:val="26"/>
        </w:rPr>
        <w:t>owever</w:t>
      </w:r>
      <w:r w:rsidR="009C3CD4">
        <w:rPr>
          <w:sz w:val="26"/>
          <w:szCs w:val="26"/>
        </w:rPr>
        <w:t>,</w:t>
      </w:r>
      <w:r>
        <w:rPr>
          <w:sz w:val="26"/>
          <w:szCs w:val="26"/>
        </w:rPr>
        <w:t xml:space="preserve"> we believe that the legal rate, as requested by </w:t>
      </w:r>
      <w:r w:rsidR="00C6077B">
        <w:rPr>
          <w:sz w:val="26"/>
          <w:szCs w:val="26"/>
        </w:rPr>
        <w:t>Duquesne</w:t>
      </w:r>
      <w:r>
        <w:rPr>
          <w:sz w:val="26"/>
          <w:szCs w:val="26"/>
        </w:rPr>
        <w:t xml:space="preserve">, is reasonable and fulfills the requirement of the Act regarding full and current recovery.  Accordingly, </w:t>
      </w:r>
      <w:r w:rsidR="006E5F27">
        <w:rPr>
          <w:sz w:val="26"/>
          <w:szCs w:val="26"/>
        </w:rPr>
        <w:t>finding</w:t>
      </w:r>
      <w:r>
        <w:rPr>
          <w:sz w:val="26"/>
          <w:szCs w:val="26"/>
        </w:rPr>
        <w:t xml:space="preserve"> that interest calculated at the legal rate on both over and under-collections of Plan costs is reasonable and satisfies the full and current recovery provision of the Act, we shall grant the Compan</w:t>
      </w:r>
      <w:r w:rsidR="0022259F">
        <w:rPr>
          <w:sz w:val="26"/>
          <w:szCs w:val="26"/>
        </w:rPr>
        <w:t>y’s</w:t>
      </w:r>
      <w:r>
        <w:rPr>
          <w:sz w:val="26"/>
          <w:szCs w:val="26"/>
        </w:rPr>
        <w:t xml:space="preserve"> request and deny the </w:t>
      </w:r>
      <w:r w:rsidR="009C3CD4">
        <w:rPr>
          <w:sz w:val="26"/>
          <w:szCs w:val="26"/>
        </w:rPr>
        <w:t>E</w:t>
      </w:r>
      <w:r>
        <w:rPr>
          <w:sz w:val="26"/>
          <w:szCs w:val="26"/>
        </w:rPr>
        <w:t>xception of the OTS on this issue.</w:t>
      </w:r>
    </w:p>
    <w:p w:rsidR="00E12AD4" w:rsidRDefault="00623D19" w:rsidP="006D7DE9">
      <w:pPr>
        <w:pStyle w:val="Heading4"/>
      </w:pPr>
      <w:bookmarkStart w:id="31" w:name="_Toc260906594"/>
      <w:r>
        <w:lastRenderedPageBreak/>
        <w:t>b</w:t>
      </w:r>
      <w:r w:rsidR="006D7DE9">
        <w:t>.</w:t>
      </w:r>
      <w:r w:rsidR="006D7DE9">
        <w:tab/>
      </w:r>
      <w:r w:rsidR="009A78F5" w:rsidRPr="00C50D00">
        <w:t>Rate Base Valuation for Quarterly Smart Meter Charge</w:t>
      </w:r>
      <w:bookmarkEnd w:id="31"/>
    </w:p>
    <w:p w:rsidR="00E12AD4" w:rsidRDefault="00E12AD4" w:rsidP="00E10FAC">
      <w:pPr>
        <w:spacing w:line="360" w:lineRule="auto"/>
        <w:ind w:left="2160"/>
        <w:rPr>
          <w:b/>
          <w:sz w:val="26"/>
          <w:szCs w:val="26"/>
        </w:rPr>
      </w:pPr>
    </w:p>
    <w:p w:rsidR="00B2048C" w:rsidRDefault="005D10AC" w:rsidP="005D10AC">
      <w:pPr>
        <w:pStyle w:val="Heading5"/>
      </w:pPr>
      <w:bookmarkStart w:id="32" w:name="_Toc260906595"/>
      <w:r>
        <w:t>(1)</w:t>
      </w:r>
      <w:r>
        <w:tab/>
      </w:r>
      <w:r w:rsidR="00B2048C">
        <w:t>Provisions of the Plan</w:t>
      </w:r>
      <w:bookmarkEnd w:id="32"/>
    </w:p>
    <w:p w:rsidR="007D4598" w:rsidRPr="00274016" w:rsidRDefault="007D4598" w:rsidP="003E6AE3">
      <w:pPr>
        <w:spacing w:line="360" w:lineRule="auto"/>
        <w:rPr>
          <w:sz w:val="26"/>
          <w:szCs w:val="26"/>
        </w:rPr>
      </w:pPr>
    </w:p>
    <w:p w:rsidR="004707A8" w:rsidRDefault="00352656" w:rsidP="00E50435">
      <w:pPr>
        <w:spacing w:line="360" w:lineRule="auto"/>
        <w:ind w:firstLine="1440"/>
        <w:rPr>
          <w:sz w:val="26"/>
          <w:szCs w:val="26"/>
        </w:rPr>
      </w:pPr>
      <w:r>
        <w:rPr>
          <w:sz w:val="26"/>
          <w:szCs w:val="26"/>
        </w:rPr>
        <w:t xml:space="preserve">With respect </w:t>
      </w:r>
      <w:r w:rsidR="00CB6D50">
        <w:rPr>
          <w:sz w:val="26"/>
          <w:szCs w:val="26"/>
        </w:rPr>
        <w:t xml:space="preserve">to annual reconciliation of Duquesne’s SMC, it is Duquesne’s position that the reconciliation should reflect the actual timing of when an investment was placed in service and not an average rate base for the period as proposed by the OCA.  </w:t>
      </w:r>
      <w:r w:rsidR="00B47B80">
        <w:rPr>
          <w:sz w:val="26"/>
          <w:szCs w:val="26"/>
        </w:rPr>
        <w:t>D</w:t>
      </w:r>
      <w:r w:rsidR="003444A6">
        <w:rPr>
          <w:sz w:val="26"/>
          <w:szCs w:val="26"/>
        </w:rPr>
        <w:t>LC</w:t>
      </w:r>
      <w:r w:rsidR="00B47B80">
        <w:rPr>
          <w:sz w:val="26"/>
          <w:szCs w:val="26"/>
        </w:rPr>
        <w:t xml:space="preserve"> Ex. D-R at 4.</w:t>
      </w:r>
      <w:r w:rsidR="00CB6D50">
        <w:rPr>
          <w:sz w:val="26"/>
          <w:szCs w:val="26"/>
        </w:rPr>
        <w:t xml:space="preserve"> </w:t>
      </w:r>
    </w:p>
    <w:p w:rsidR="008E1A14" w:rsidRDefault="008E1A14" w:rsidP="00E50435">
      <w:pPr>
        <w:spacing w:line="360" w:lineRule="auto"/>
        <w:ind w:firstLine="1440"/>
        <w:rPr>
          <w:sz w:val="26"/>
          <w:szCs w:val="26"/>
        </w:rPr>
      </w:pPr>
    </w:p>
    <w:p w:rsidR="00B47B80" w:rsidRPr="001C2E0A" w:rsidRDefault="005D10AC" w:rsidP="005D10AC">
      <w:pPr>
        <w:pStyle w:val="Heading5"/>
      </w:pPr>
      <w:bookmarkStart w:id="33" w:name="_Toc260906596"/>
      <w:r>
        <w:t>(2)</w:t>
      </w:r>
      <w:r>
        <w:tab/>
      </w:r>
      <w:r w:rsidR="00B47B80" w:rsidRPr="001C2E0A">
        <w:t>ALJ Recommendation</w:t>
      </w:r>
      <w:bookmarkEnd w:id="33"/>
    </w:p>
    <w:p w:rsidR="00B47B80" w:rsidRDefault="00B47B80" w:rsidP="00CB6D50">
      <w:pPr>
        <w:spacing w:line="360" w:lineRule="auto"/>
        <w:ind w:firstLine="1440"/>
        <w:rPr>
          <w:sz w:val="26"/>
          <w:szCs w:val="26"/>
        </w:rPr>
      </w:pPr>
    </w:p>
    <w:p w:rsidR="00B47B80" w:rsidRDefault="00B47B80" w:rsidP="00CB6D50">
      <w:pPr>
        <w:spacing w:line="360" w:lineRule="auto"/>
        <w:ind w:firstLine="1440"/>
        <w:rPr>
          <w:sz w:val="26"/>
          <w:szCs w:val="26"/>
        </w:rPr>
      </w:pPr>
      <w:r>
        <w:rPr>
          <w:sz w:val="26"/>
          <w:szCs w:val="26"/>
        </w:rPr>
        <w:t>The ALJ recommended that Duquesne be permitted, as part of the annual reconciliation</w:t>
      </w:r>
      <w:r w:rsidR="004A0463">
        <w:rPr>
          <w:sz w:val="26"/>
          <w:szCs w:val="26"/>
        </w:rPr>
        <w:t>,</w:t>
      </w:r>
      <w:r>
        <w:rPr>
          <w:sz w:val="26"/>
          <w:szCs w:val="26"/>
        </w:rPr>
        <w:t xml:space="preserve"> to calculate the prospective SMC on the basis of historic and projected plant in service.  The ALJ did not specifically address whether the projected plant in service should be valued </w:t>
      </w:r>
      <w:r w:rsidR="001C2E0A">
        <w:rPr>
          <w:sz w:val="26"/>
          <w:szCs w:val="26"/>
        </w:rPr>
        <w:t>at the projected end-of-quarter level or at the level of the projected average plant balance for the quarter when setting the SMC prospectively.  I.D. at 21-23.</w:t>
      </w:r>
    </w:p>
    <w:p w:rsidR="001C2E0A" w:rsidRDefault="001C2E0A" w:rsidP="003444A6">
      <w:pPr>
        <w:spacing w:line="360" w:lineRule="auto"/>
        <w:rPr>
          <w:sz w:val="26"/>
          <w:szCs w:val="26"/>
        </w:rPr>
      </w:pPr>
    </w:p>
    <w:p w:rsidR="001C2E0A" w:rsidRDefault="005D10AC" w:rsidP="005D10AC">
      <w:pPr>
        <w:pStyle w:val="Heading5"/>
      </w:pPr>
      <w:bookmarkStart w:id="34" w:name="_Toc260906597"/>
      <w:r>
        <w:t>(3)</w:t>
      </w:r>
      <w:r>
        <w:tab/>
      </w:r>
      <w:r w:rsidR="001C2E0A" w:rsidRPr="001C2E0A">
        <w:t>Exceptions and Replies</w:t>
      </w:r>
      <w:bookmarkEnd w:id="34"/>
    </w:p>
    <w:p w:rsidR="001C2E0A" w:rsidRPr="001C2E0A" w:rsidRDefault="001C2E0A" w:rsidP="001C2E0A">
      <w:pPr>
        <w:spacing w:line="360" w:lineRule="auto"/>
        <w:rPr>
          <w:b/>
          <w:sz w:val="26"/>
          <w:szCs w:val="26"/>
        </w:rPr>
      </w:pPr>
    </w:p>
    <w:p w:rsidR="00AB44C9" w:rsidRDefault="0026539A" w:rsidP="00B33E61">
      <w:pPr>
        <w:spacing w:line="360" w:lineRule="auto"/>
        <w:ind w:firstLine="1440"/>
        <w:rPr>
          <w:sz w:val="26"/>
          <w:szCs w:val="26"/>
        </w:rPr>
      </w:pPr>
      <w:r w:rsidRPr="0026539A">
        <w:rPr>
          <w:sz w:val="26"/>
          <w:szCs w:val="26"/>
        </w:rPr>
        <w:t>The OCA recommends the use of the projected average plant balance for the quarter when setting the SMC prospectively.  The OCA argues that setting the rate on the basis of projected average plant balances will ensure that the c</w:t>
      </w:r>
      <w:r w:rsidR="002835D7">
        <w:rPr>
          <w:sz w:val="26"/>
          <w:szCs w:val="26"/>
        </w:rPr>
        <w:t>ollections</w:t>
      </w:r>
      <w:r w:rsidRPr="0026539A">
        <w:rPr>
          <w:sz w:val="26"/>
          <w:szCs w:val="26"/>
        </w:rPr>
        <w:t xml:space="preserve"> match the costs incurred and will minimize the annual over and under recoveries that are experienced when the annual reconciliations are conducted.  OCA Exc. at 4-6.</w:t>
      </w:r>
    </w:p>
    <w:p w:rsidR="00DF3F4C" w:rsidRDefault="00DF3F4C" w:rsidP="00B33E61">
      <w:pPr>
        <w:spacing w:line="360" w:lineRule="auto"/>
        <w:ind w:firstLine="1440"/>
        <w:rPr>
          <w:sz w:val="26"/>
          <w:szCs w:val="26"/>
        </w:rPr>
      </w:pPr>
    </w:p>
    <w:p w:rsidR="00840E51" w:rsidRDefault="0026539A" w:rsidP="00A922BD">
      <w:pPr>
        <w:widowControl w:val="0"/>
        <w:spacing w:line="360" w:lineRule="auto"/>
        <w:ind w:firstLine="1440"/>
        <w:rPr>
          <w:sz w:val="26"/>
          <w:szCs w:val="26"/>
        </w:rPr>
      </w:pPr>
      <w:r w:rsidRPr="0026539A">
        <w:rPr>
          <w:sz w:val="26"/>
          <w:szCs w:val="26"/>
        </w:rPr>
        <w:t>Duquesne maintains that the projected end-of</w:t>
      </w:r>
      <w:r w:rsidR="002835D7">
        <w:rPr>
          <w:sz w:val="26"/>
          <w:szCs w:val="26"/>
        </w:rPr>
        <w:t xml:space="preserve"> </w:t>
      </w:r>
      <w:r w:rsidRPr="0026539A">
        <w:rPr>
          <w:sz w:val="26"/>
          <w:szCs w:val="26"/>
        </w:rPr>
        <w:t xml:space="preserve">quarter plant in service value should be utilized.  </w:t>
      </w:r>
      <w:r w:rsidR="00745764">
        <w:rPr>
          <w:sz w:val="26"/>
          <w:szCs w:val="26"/>
        </w:rPr>
        <w:t xml:space="preserve">Duquesne disagrees with the OCA’s contention that end of quarter </w:t>
      </w:r>
      <w:r w:rsidR="00745764">
        <w:rPr>
          <w:sz w:val="26"/>
          <w:szCs w:val="26"/>
        </w:rPr>
        <w:lastRenderedPageBreak/>
        <w:t xml:space="preserve">projections will lead to over-recovery.  </w:t>
      </w:r>
      <w:r w:rsidR="00462E30">
        <w:rPr>
          <w:sz w:val="26"/>
          <w:szCs w:val="26"/>
        </w:rPr>
        <w:t xml:space="preserve">Duquesne submits that under-recovery situations could also occur, and the OCA’s average method will lead to under-recovery.  Finally, Duquesne argues that calculating a projected average plant in service value for a </w:t>
      </w:r>
      <w:r w:rsidR="002835D7">
        <w:rPr>
          <w:sz w:val="26"/>
          <w:szCs w:val="26"/>
        </w:rPr>
        <w:t>ninety</w:t>
      </w:r>
      <w:r w:rsidR="00462E30">
        <w:rPr>
          <w:sz w:val="26"/>
          <w:szCs w:val="26"/>
        </w:rPr>
        <w:t xml:space="preserve"> day period adds to an additional level of complexity and uncertainty because it will require monthly projections which are not </w:t>
      </w:r>
      <w:r w:rsidR="00C534B6">
        <w:rPr>
          <w:sz w:val="26"/>
          <w:szCs w:val="26"/>
        </w:rPr>
        <w:t xml:space="preserve">part of the overall plan.  </w:t>
      </w:r>
      <w:r w:rsidRPr="0026539A">
        <w:rPr>
          <w:sz w:val="26"/>
          <w:szCs w:val="26"/>
        </w:rPr>
        <w:t>Duquesne R. Exc. at 16</w:t>
      </w:r>
      <w:r w:rsidR="00745764">
        <w:rPr>
          <w:sz w:val="26"/>
          <w:szCs w:val="26"/>
        </w:rPr>
        <w:t>-17</w:t>
      </w:r>
      <w:r w:rsidRPr="0026539A">
        <w:rPr>
          <w:sz w:val="26"/>
          <w:szCs w:val="26"/>
        </w:rPr>
        <w:t>.</w:t>
      </w:r>
    </w:p>
    <w:p w:rsidR="003E6AE3" w:rsidRPr="00A922BD" w:rsidRDefault="003E6AE3" w:rsidP="00A922BD">
      <w:pPr>
        <w:widowControl w:val="0"/>
        <w:spacing w:line="360" w:lineRule="auto"/>
        <w:ind w:firstLine="1440"/>
        <w:rPr>
          <w:sz w:val="26"/>
          <w:szCs w:val="26"/>
        </w:rPr>
      </w:pPr>
    </w:p>
    <w:p w:rsidR="00634E31" w:rsidRDefault="005D10AC" w:rsidP="005D10AC">
      <w:pPr>
        <w:pStyle w:val="Heading5"/>
      </w:pPr>
      <w:bookmarkStart w:id="35" w:name="_Toc260906598"/>
      <w:r>
        <w:t>(4)</w:t>
      </w:r>
      <w:r>
        <w:tab/>
      </w:r>
      <w:r w:rsidR="00634E31" w:rsidRPr="00634E31">
        <w:t>Disposition</w:t>
      </w:r>
      <w:bookmarkEnd w:id="35"/>
    </w:p>
    <w:p w:rsidR="00DB0826" w:rsidRDefault="00DB0826" w:rsidP="00DB0826">
      <w:pPr>
        <w:spacing w:line="360" w:lineRule="auto"/>
        <w:rPr>
          <w:b/>
          <w:sz w:val="26"/>
          <w:szCs w:val="26"/>
        </w:rPr>
      </w:pPr>
    </w:p>
    <w:p w:rsidR="00DB0826" w:rsidRDefault="00E83F91" w:rsidP="00E83F91">
      <w:pPr>
        <w:spacing w:line="360" w:lineRule="auto"/>
        <w:ind w:firstLine="1440"/>
        <w:rPr>
          <w:sz w:val="26"/>
          <w:szCs w:val="26"/>
        </w:rPr>
      </w:pPr>
      <w:r>
        <w:rPr>
          <w:sz w:val="26"/>
          <w:szCs w:val="26"/>
        </w:rPr>
        <w:t xml:space="preserve">We agree with the position of the OCA that Duquesne should use the projected </w:t>
      </w:r>
      <w:r w:rsidRPr="0026539A">
        <w:rPr>
          <w:sz w:val="26"/>
          <w:szCs w:val="26"/>
        </w:rPr>
        <w:t>average plant balance for the quarter whe</w:t>
      </w:r>
      <w:r w:rsidR="002573E5">
        <w:rPr>
          <w:sz w:val="26"/>
          <w:szCs w:val="26"/>
        </w:rPr>
        <w:t xml:space="preserve">n setting the SMC prospectively since setting the rate on the basis of projected average plant balances </w:t>
      </w:r>
      <w:r w:rsidR="00466D75">
        <w:rPr>
          <w:sz w:val="26"/>
          <w:szCs w:val="26"/>
        </w:rPr>
        <w:t>more closely reflect</w:t>
      </w:r>
      <w:r w:rsidR="002835D7">
        <w:rPr>
          <w:sz w:val="26"/>
          <w:szCs w:val="26"/>
        </w:rPr>
        <w:t>s</w:t>
      </w:r>
      <w:r w:rsidR="00466D75">
        <w:rPr>
          <w:sz w:val="26"/>
          <w:szCs w:val="26"/>
        </w:rPr>
        <w:t xml:space="preserve"> the actual </w:t>
      </w:r>
      <w:r w:rsidR="00C95EE6">
        <w:rPr>
          <w:sz w:val="26"/>
          <w:szCs w:val="26"/>
        </w:rPr>
        <w:t>costs</w:t>
      </w:r>
      <w:r w:rsidR="0022259F">
        <w:rPr>
          <w:sz w:val="26"/>
          <w:szCs w:val="26"/>
        </w:rPr>
        <w:t xml:space="preserve">. </w:t>
      </w:r>
      <w:r w:rsidR="00C95EE6">
        <w:rPr>
          <w:sz w:val="26"/>
          <w:szCs w:val="26"/>
        </w:rPr>
        <w:t xml:space="preserve"> </w:t>
      </w:r>
      <w:r w:rsidR="0022259F">
        <w:rPr>
          <w:sz w:val="26"/>
          <w:szCs w:val="26"/>
        </w:rPr>
        <w:t>T</w:t>
      </w:r>
      <w:r w:rsidR="00C95EE6">
        <w:rPr>
          <w:sz w:val="26"/>
          <w:szCs w:val="26"/>
        </w:rPr>
        <w:t>herefo</w:t>
      </w:r>
      <w:r w:rsidR="00786631">
        <w:rPr>
          <w:sz w:val="26"/>
          <w:szCs w:val="26"/>
        </w:rPr>
        <w:t>r</w:t>
      </w:r>
      <w:r w:rsidR="00C95EE6">
        <w:rPr>
          <w:sz w:val="26"/>
          <w:szCs w:val="26"/>
        </w:rPr>
        <w:t>e</w:t>
      </w:r>
      <w:r w:rsidR="0022259F">
        <w:rPr>
          <w:sz w:val="26"/>
          <w:szCs w:val="26"/>
        </w:rPr>
        <w:t>,</w:t>
      </w:r>
      <w:r w:rsidR="00C95EE6">
        <w:rPr>
          <w:sz w:val="26"/>
          <w:szCs w:val="26"/>
        </w:rPr>
        <w:t xml:space="preserve"> </w:t>
      </w:r>
      <w:r w:rsidR="002573E5">
        <w:rPr>
          <w:sz w:val="26"/>
          <w:szCs w:val="26"/>
        </w:rPr>
        <w:t>the annual over and under recoveries when the annual reconciliations are conducted</w:t>
      </w:r>
      <w:r w:rsidR="0022259F">
        <w:rPr>
          <w:sz w:val="26"/>
          <w:szCs w:val="26"/>
        </w:rPr>
        <w:t xml:space="preserve"> should be minimized</w:t>
      </w:r>
      <w:r w:rsidR="002573E5">
        <w:rPr>
          <w:sz w:val="26"/>
          <w:szCs w:val="26"/>
        </w:rPr>
        <w:t>.</w:t>
      </w:r>
    </w:p>
    <w:p w:rsidR="00D916D4" w:rsidRDefault="00D916D4" w:rsidP="00DB0826">
      <w:pPr>
        <w:spacing w:line="360" w:lineRule="auto"/>
        <w:ind w:firstLine="1350"/>
        <w:rPr>
          <w:sz w:val="26"/>
          <w:szCs w:val="26"/>
        </w:rPr>
      </w:pPr>
    </w:p>
    <w:p w:rsidR="00D916D4" w:rsidRDefault="00D916D4" w:rsidP="00D916D4">
      <w:pPr>
        <w:pStyle w:val="Heading4"/>
        <w:ind w:left="0"/>
      </w:pPr>
      <w:r>
        <w:tab/>
      </w:r>
      <w:r>
        <w:tab/>
      </w:r>
      <w:r>
        <w:tab/>
      </w:r>
      <w:bookmarkStart w:id="36" w:name="_Toc260906599"/>
      <w:r>
        <w:t>c.</w:t>
      </w:r>
      <w:r>
        <w:tab/>
        <w:t>Implementation Schedule</w:t>
      </w:r>
      <w:bookmarkEnd w:id="36"/>
    </w:p>
    <w:p w:rsidR="00D916D4" w:rsidRDefault="00D916D4" w:rsidP="00D916D4"/>
    <w:p w:rsidR="00D916D4" w:rsidRDefault="00D916D4" w:rsidP="00D916D4">
      <w:pPr>
        <w:pStyle w:val="Heading5"/>
      </w:pPr>
      <w:bookmarkStart w:id="37" w:name="_Toc260906600"/>
      <w:r>
        <w:t>(1)</w:t>
      </w:r>
      <w:r>
        <w:tab/>
        <w:t>P</w:t>
      </w:r>
      <w:r w:rsidR="00912C58">
        <w:t>arties</w:t>
      </w:r>
      <w:r w:rsidR="002835D7">
        <w:t>’</w:t>
      </w:r>
      <w:r w:rsidR="00912C58">
        <w:t xml:space="preserve"> Position</w:t>
      </w:r>
      <w:r w:rsidR="002835D7">
        <w:t>s</w:t>
      </w:r>
      <w:bookmarkEnd w:id="37"/>
    </w:p>
    <w:p w:rsidR="003E6AE3" w:rsidRPr="003E6AE3" w:rsidRDefault="003E6AE3" w:rsidP="003E6AE3"/>
    <w:p w:rsidR="00406C86" w:rsidRDefault="002835D7" w:rsidP="00B33E61">
      <w:pPr>
        <w:spacing w:line="360" w:lineRule="auto"/>
        <w:ind w:firstLine="1440"/>
        <w:rPr>
          <w:sz w:val="26"/>
          <w:szCs w:val="26"/>
        </w:rPr>
      </w:pPr>
      <w:r>
        <w:rPr>
          <w:sz w:val="26"/>
          <w:szCs w:val="26"/>
        </w:rPr>
        <w:t xml:space="preserve">The </w:t>
      </w:r>
      <w:r w:rsidR="003E6AE3">
        <w:rPr>
          <w:sz w:val="26"/>
          <w:szCs w:val="26"/>
        </w:rPr>
        <w:t xml:space="preserve">OTS recommended establishing a uniform Commission designated twelve month reconciliation period ending on June 30 each year, such that the annual filings will occur on August 1 of each year.  </w:t>
      </w:r>
      <w:r>
        <w:rPr>
          <w:sz w:val="26"/>
          <w:szCs w:val="26"/>
        </w:rPr>
        <w:t xml:space="preserve">The </w:t>
      </w:r>
      <w:r w:rsidR="003E6AE3">
        <w:rPr>
          <w:sz w:val="26"/>
          <w:szCs w:val="26"/>
        </w:rPr>
        <w:t>OTS also recommended that the Commission require filing of a quarterly smart meter rate update report showing projected revenues and recoverable costs for each calendar quarter, to be submitted a minimum of ten days prior to the next calendar quarter, with effective dates January 1, April 1, July 1 and October 1.  Duquesne did not object to this OTS proposal.  Duquesne MB at 32.</w:t>
      </w:r>
    </w:p>
    <w:p w:rsidR="00DF3F4C" w:rsidRPr="00D916D4" w:rsidRDefault="00DF3F4C" w:rsidP="00B33E61">
      <w:pPr>
        <w:spacing w:line="360" w:lineRule="auto"/>
        <w:ind w:firstLine="1440"/>
      </w:pPr>
    </w:p>
    <w:p w:rsidR="00D916D4" w:rsidRDefault="00D916D4" w:rsidP="00D916D4">
      <w:pPr>
        <w:pStyle w:val="Heading5"/>
      </w:pPr>
      <w:bookmarkStart w:id="38" w:name="_Toc260906601"/>
      <w:r>
        <w:lastRenderedPageBreak/>
        <w:t>(2)</w:t>
      </w:r>
      <w:r>
        <w:tab/>
      </w:r>
      <w:r w:rsidRPr="00AE1E3C">
        <w:t>ALJ Recommendation</w:t>
      </w:r>
      <w:bookmarkEnd w:id="38"/>
    </w:p>
    <w:p w:rsidR="00912C58" w:rsidRDefault="00912C58" w:rsidP="00912C58"/>
    <w:p w:rsidR="00912C58" w:rsidRDefault="0031464A" w:rsidP="0031464A">
      <w:pPr>
        <w:spacing w:line="360" w:lineRule="auto"/>
        <w:ind w:firstLine="1440"/>
        <w:rPr>
          <w:sz w:val="26"/>
          <w:szCs w:val="26"/>
        </w:rPr>
      </w:pPr>
      <w:r>
        <w:rPr>
          <w:sz w:val="26"/>
          <w:szCs w:val="26"/>
        </w:rPr>
        <w:t>The ALJ did not address the OTS recommendation of establishing a uniform Commission designated twelve month reconciliation period.</w:t>
      </w:r>
    </w:p>
    <w:p w:rsidR="00A76940" w:rsidRPr="0031464A" w:rsidRDefault="00A76940" w:rsidP="0031464A">
      <w:pPr>
        <w:spacing w:line="360" w:lineRule="auto"/>
        <w:ind w:firstLine="1440"/>
        <w:rPr>
          <w:sz w:val="26"/>
          <w:szCs w:val="26"/>
        </w:rPr>
      </w:pPr>
    </w:p>
    <w:p w:rsidR="00D916D4" w:rsidRDefault="00D916D4" w:rsidP="00E50435">
      <w:pPr>
        <w:pStyle w:val="Heading5"/>
      </w:pPr>
      <w:bookmarkStart w:id="39" w:name="_Toc260906602"/>
      <w:r>
        <w:t>(3)</w:t>
      </w:r>
      <w:r>
        <w:tab/>
      </w:r>
      <w:r w:rsidRPr="00ED3B51">
        <w:t>Exceptions and Replies</w:t>
      </w:r>
      <w:bookmarkEnd w:id="39"/>
    </w:p>
    <w:p w:rsidR="00912C58" w:rsidRDefault="00912C58" w:rsidP="00E50435">
      <w:pPr>
        <w:spacing w:line="360" w:lineRule="auto"/>
      </w:pPr>
    </w:p>
    <w:p w:rsidR="00912C58" w:rsidRPr="002835D7" w:rsidRDefault="00912C58" w:rsidP="00E50435">
      <w:pPr>
        <w:spacing w:line="360" w:lineRule="auto"/>
        <w:ind w:left="1440"/>
        <w:rPr>
          <w:sz w:val="26"/>
          <w:szCs w:val="26"/>
        </w:rPr>
      </w:pPr>
      <w:r w:rsidRPr="002835D7">
        <w:rPr>
          <w:sz w:val="26"/>
          <w:szCs w:val="26"/>
        </w:rPr>
        <w:t xml:space="preserve">No Parties filed exceptions </w:t>
      </w:r>
      <w:r w:rsidR="002835D7">
        <w:rPr>
          <w:sz w:val="26"/>
          <w:szCs w:val="26"/>
        </w:rPr>
        <w:t>addressing</w:t>
      </w:r>
      <w:r w:rsidRPr="002835D7">
        <w:rPr>
          <w:sz w:val="26"/>
          <w:szCs w:val="26"/>
        </w:rPr>
        <w:t xml:space="preserve"> this specific issue.</w:t>
      </w:r>
    </w:p>
    <w:p w:rsidR="00912C58" w:rsidRPr="00912C58" w:rsidRDefault="00912C58" w:rsidP="00E50435">
      <w:pPr>
        <w:spacing w:line="360" w:lineRule="auto"/>
        <w:ind w:left="1440"/>
      </w:pPr>
    </w:p>
    <w:p w:rsidR="00D916D4" w:rsidRDefault="00D916D4" w:rsidP="00E50435">
      <w:pPr>
        <w:pStyle w:val="Heading5"/>
      </w:pPr>
      <w:bookmarkStart w:id="40" w:name="_Toc260906603"/>
      <w:r>
        <w:t>(4)</w:t>
      </w:r>
      <w:r>
        <w:tab/>
      </w:r>
      <w:r w:rsidRPr="0029457E">
        <w:t>Disposition</w:t>
      </w:r>
      <w:bookmarkEnd w:id="40"/>
    </w:p>
    <w:p w:rsidR="00581A5B" w:rsidRPr="00581A5B" w:rsidRDefault="00581A5B" w:rsidP="00E50435">
      <w:pPr>
        <w:spacing w:line="360" w:lineRule="auto"/>
      </w:pPr>
    </w:p>
    <w:p w:rsidR="00A922BD" w:rsidRDefault="00AB44C9" w:rsidP="00E50435">
      <w:pPr>
        <w:spacing w:line="360" w:lineRule="auto"/>
        <w:ind w:firstLine="1350"/>
        <w:rPr>
          <w:sz w:val="26"/>
          <w:szCs w:val="26"/>
        </w:rPr>
      </w:pPr>
      <w:r>
        <w:rPr>
          <w:sz w:val="26"/>
          <w:szCs w:val="26"/>
        </w:rPr>
        <w:t>Finding it otherwise reasonable, t</w:t>
      </w:r>
      <w:r w:rsidR="00581A5B">
        <w:rPr>
          <w:sz w:val="26"/>
          <w:szCs w:val="26"/>
        </w:rPr>
        <w:t>he uniform procedural schedule advocated by the O</w:t>
      </w:r>
      <w:r>
        <w:rPr>
          <w:sz w:val="26"/>
          <w:szCs w:val="26"/>
        </w:rPr>
        <w:t>TS</w:t>
      </w:r>
      <w:r w:rsidR="00581A5B">
        <w:rPr>
          <w:sz w:val="26"/>
          <w:szCs w:val="26"/>
        </w:rPr>
        <w:t>, with a 12 month reconciliation period ending June 30 of each SMP year,  requiring annual filings, effective January 1 of each year, using average plant balances for projected plant in service</w:t>
      </w:r>
      <w:r w:rsidR="00A922ED">
        <w:rPr>
          <w:sz w:val="26"/>
          <w:szCs w:val="26"/>
        </w:rPr>
        <w:t xml:space="preserve">, shall be adopted with one modification: </w:t>
      </w:r>
      <w:r w:rsidR="007A32AF">
        <w:rPr>
          <w:sz w:val="26"/>
          <w:szCs w:val="26"/>
        </w:rPr>
        <w:t>the annual reconciliation shall include monthly breakdowns.</w:t>
      </w:r>
      <w:r w:rsidR="00581A5B">
        <w:rPr>
          <w:sz w:val="26"/>
          <w:szCs w:val="26"/>
        </w:rPr>
        <w:t xml:space="preserve">  Hearings will be held by October 1.  Specifically, Duquesne shall not be required to incorporate quarterly filings, but may file for interim or quarterly adjustments as necessary to maintain a balance between SMP net costs and revenues collected under a separate cost recovery mechanism under its tariff.</w:t>
      </w:r>
    </w:p>
    <w:p w:rsidR="00987E99" w:rsidRDefault="00987E99">
      <w:pPr>
        <w:spacing w:after="200" w:line="276" w:lineRule="auto"/>
        <w:rPr>
          <w:rFonts w:eastAsiaTheme="majorEastAsia" w:cstheme="majorBidi"/>
          <w:b/>
          <w:bCs/>
          <w:iCs/>
          <w:sz w:val="26"/>
        </w:rPr>
      </w:pPr>
    </w:p>
    <w:p w:rsidR="00A922BD" w:rsidRDefault="005021CD" w:rsidP="00A922BD">
      <w:pPr>
        <w:pStyle w:val="Heading4"/>
      </w:pPr>
      <w:bookmarkStart w:id="41" w:name="_Toc260906604"/>
      <w:r>
        <w:t>d</w:t>
      </w:r>
      <w:r w:rsidR="00A922BD">
        <w:t>.</w:t>
      </w:r>
      <w:r w:rsidR="00A922BD">
        <w:tab/>
        <w:t>Capital Structure</w:t>
      </w:r>
      <w:bookmarkEnd w:id="41"/>
    </w:p>
    <w:p w:rsidR="00A922BD" w:rsidRDefault="00A922BD" w:rsidP="00A922BD">
      <w:pPr>
        <w:spacing w:line="360" w:lineRule="auto"/>
        <w:rPr>
          <w:sz w:val="26"/>
          <w:szCs w:val="26"/>
        </w:rPr>
      </w:pPr>
    </w:p>
    <w:p w:rsidR="00A922BD" w:rsidRDefault="00A922BD" w:rsidP="00A922BD">
      <w:pPr>
        <w:pStyle w:val="Heading5"/>
      </w:pPr>
      <w:bookmarkStart w:id="42" w:name="_Toc260906605"/>
      <w:r>
        <w:t>(1)</w:t>
      </w:r>
      <w:r>
        <w:tab/>
        <w:t>Provisions of the Plan</w:t>
      </w:r>
      <w:bookmarkEnd w:id="42"/>
    </w:p>
    <w:p w:rsidR="00A922BD" w:rsidRDefault="00A922BD" w:rsidP="00A922BD">
      <w:pPr>
        <w:spacing w:line="360" w:lineRule="auto"/>
        <w:ind w:left="2160"/>
        <w:rPr>
          <w:sz w:val="26"/>
          <w:szCs w:val="26"/>
        </w:rPr>
      </w:pPr>
    </w:p>
    <w:p w:rsidR="00A922BD" w:rsidRDefault="00A922BD" w:rsidP="00E338BA">
      <w:pPr>
        <w:spacing w:line="360" w:lineRule="auto"/>
        <w:ind w:firstLine="1440"/>
        <w:rPr>
          <w:sz w:val="26"/>
          <w:szCs w:val="26"/>
        </w:rPr>
      </w:pPr>
      <w:r>
        <w:rPr>
          <w:sz w:val="26"/>
          <w:szCs w:val="26"/>
        </w:rPr>
        <w:t xml:space="preserve">In its SMP, Duquesne proposed using its actual equity capitalization so long as it falls within a zone of reasonableness of 45%-59%.  According to Duquesne, its actual equity ratio is 67%, as shown on OTS Ex. 1.  Duquesne proposed that a 59% </w:t>
      </w:r>
      <w:r>
        <w:rPr>
          <w:sz w:val="26"/>
          <w:szCs w:val="26"/>
        </w:rPr>
        <w:lastRenderedPageBreak/>
        <w:t>equity ratio be used so long as its actual equity ratio is above that level.  Duquesne MB at 29;  I.D. at 29.</w:t>
      </w:r>
    </w:p>
    <w:p w:rsidR="00B33E61" w:rsidRDefault="00B33E61" w:rsidP="00E338BA">
      <w:pPr>
        <w:spacing w:line="360" w:lineRule="auto"/>
        <w:ind w:firstLine="1440"/>
        <w:rPr>
          <w:sz w:val="26"/>
          <w:szCs w:val="26"/>
        </w:rPr>
      </w:pPr>
    </w:p>
    <w:p w:rsidR="00A922BD" w:rsidRDefault="00A922BD" w:rsidP="00A922BD">
      <w:pPr>
        <w:pStyle w:val="Heading5"/>
      </w:pPr>
      <w:bookmarkStart w:id="43" w:name="_Toc260906606"/>
      <w:r>
        <w:t>(2)</w:t>
      </w:r>
      <w:r>
        <w:tab/>
      </w:r>
      <w:r w:rsidRPr="00AE1E3C">
        <w:t>ALJ Recommendation</w:t>
      </w:r>
      <w:bookmarkEnd w:id="43"/>
    </w:p>
    <w:p w:rsidR="00A922BD" w:rsidRDefault="00A922BD" w:rsidP="00A922BD">
      <w:pPr>
        <w:spacing w:line="360" w:lineRule="auto"/>
        <w:rPr>
          <w:b/>
          <w:sz w:val="26"/>
          <w:szCs w:val="26"/>
        </w:rPr>
      </w:pPr>
    </w:p>
    <w:p w:rsidR="00A922BD" w:rsidRDefault="00A922BD" w:rsidP="00A922BD">
      <w:pPr>
        <w:spacing w:line="360" w:lineRule="auto"/>
        <w:ind w:firstLine="1440"/>
        <w:rPr>
          <w:sz w:val="26"/>
          <w:szCs w:val="26"/>
        </w:rPr>
      </w:pPr>
      <w:r>
        <w:rPr>
          <w:sz w:val="26"/>
          <w:szCs w:val="26"/>
        </w:rPr>
        <w:t>The ALJ opined that Duquesne established the reasonableness of the use of its claimed 59% common equity ratio in future smart meter cost recovery proceedings.  The ALJ recommended that the Commission should permit the use of Duquesne’s recommended 59% common equity ratio so long as Duquesne’s actual common equity ratio exceeds that level.  I.D. at 31.</w:t>
      </w:r>
    </w:p>
    <w:p w:rsidR="00A922BD" w:rsidRPr="00AE1E3C" w:rsidRDefault="00A922BD" w:rsidP="00A922BD">
      <w:pPr>
        <w:spacing w:line="360" w:lineRule="auto"/>
        <w:ind w:firstLine="1440"/>
        <w:rPr>
          <w:sz w:val="26"/>
          <w:szCs w:val="26"/>
        </w:rPr>
      </w:pPr>
    </w:p>
    <w:p w:rsidR="00A922BD" w:rsidRPr="00ED3B51" w:rsidRDefault="00A922BD" w:rsidP="00A922BD">
      <w:pPr>
        <w:pStyle w:val="Heading5"/>
      </w:pPr>
      <w:bookmarkStart w:id="44" w:name="_Toc260906607"/>
      <w:r>
        <w:t>(3)</w:t>
      </w:r>
      <w:r>
        <w:tab/>
      </w:r>
      <w:r w:rsidRPr="00ED3B51">
        <w:t>Exceptions and Replies</w:t>
      </w:r>
      <w:bookmarkEnd w:id="44"/>
    </w:p>
    <w:p w:rsidR="00A922BD" w:rsidRDefault="00A922BD" w:rsidP="00A922BD">
      <w:pPr>
        <w:spacing w:line="360" w:lineRule="auto"/>
        <w:ind w:firstLine="1440"/>
        <w:rPr>
          <w:sz w:val="26"/>
          <w:szCs w:val="26"/>
        </w:rPr>
      </w:pPr>
    </w:p>
    <w:p w:rsidR="00A922BD" w:rsidRDefault="00A922BD" w:rsidP="00A922BD">
      <w:pPr>
        <w:spacing w:line="360" w:lineRule="auto"/>
        <w:ind w:firstLine="1440"/>
        <w:rPr>
          <w:sz w:val="26"/>
          <w:szCs w:val="26"/>
        </w:rPr>
      </w:pPr>
      <w:r>
        <w:rPr>
          <w:sz w:val="26"/>
          <w:szCs w:val="26"/>
        </w:rPr>
        <w:t>The OCA excepts to the ALJ’s adoption of a 59% common equity ratio.  The OCA points out that Duquesne’s claimed 59% common equity ratio came from its FERC transmission formula rate proceeding.  The OCA opposes using the common equity parameters from a FERC settled case since those values were agreed upon as part of an overall settlement of the FERC case.  The OCA argues that the case was not fully litigated and the settlement terms were not intended to be used for Pennsylvania ratemaking purposes.  The OCA points out that the ALJ rejected Duquesne’s proposed 10.9% equity return from the FERC proceeding and the OCA submits that the same reasoning that led the ALJ to reject the use of the return on equity from the FERC proceeding should have led the ALJ to reject the equity ratio that was agreed upon in that proceeding as well.  OCA Exc. at 11-12.</w:t>
      </w:r>
    </w:p>
    <w:p w:rsidR="00A922BD" w:rsidRDefault="00A922BD" w:rsidP="00A922BD">
      <w:pPr>
        <w:spacing w:line="360" w:lineRule="auto"/>
        <w:ind w:firstLine="1440"/>
        <w:rPr>
          <w:sz w:val="26"/>
          <w:szCs w:val="26"/>
        </w:rPr>
      </w:pPr>
    </w:p>
    <w:p w:rsidR="00A922BD" w:rsidRDefault="00A922BD" w:rsidP="00A922BD">
      <w:pPr>
        <w:spacing w:line="360" w:lineRule="auto"/>
        <w:ind w:firstLine="1440"/>
        <w:rPr>
          <w:sz w:val="26"/>
          <w:szCs w:val="26"/>
        </w:rPr>
      </w:pPr>
      <w:r>
        <w:rPr>
          <w:sz w:val="26"/>
          <w:szCs w:val="26"/>
        </w:rPr>
        <w:t xml:space="preserve">The OTS contends that the ALJ erroneously rejected the OTS recommendation that the Commission use a representative capital structure for Duquesne in the recovery of smart meter costs that is based upon a Commission established </w:t>
      </w:r>
      <w:r>
        <w:rPr>
          <w:sz w:val="26"/>
          <w:szCs w:val="26"/>
        </w:rPr>
        <w:lastRenderedPageBreak/>
        <w:t xml:space="preserve">barometer group used for the Quarterly Earnings Report.  The OTS argues that the ALJ failed to provide references to the record evidence that the OTS recommended hypothetical capital structure would deny Duquesne the opportunity to </w:t>
      </w:r>
      <w:r w:rsidR="00543B10">
        <w:rPr>
          <w:sz w:val="26"/>
          <w:szCs w:val="26"/>
        </w:rPr>
        <w:t xml:space="preserve">earn </w:t>
      </w:r>
      <w:r>
        <w:rPr>
          <w:sz w:val="26"/>
          <w:szCs w:val="26"/>
        </w:rPr>
        <w:t>a fair rate of return.  OTS Exc. at 15-16.</w:t>
      </w:r>
    </w:p>
    <w:p w:rsidR="00A922BD" w:rsidRDefault="00A922BD" w:rsidP="00A922BD">
      <w:pPr>
        <w:spacing w:line="360" w:lineRule="auto"/>
        <w:ind w:firstLine="1440"/>
        <w:rPr>
          <w:sz w:val="26"/>
          <w:szCs w:val="26"/>
        </w:rPr>
      </w:pPr>
    </w:p>
    <w:p w:rsidR="00A922BD" w:rsidRDefault="00A922BD" w:rsidP="00A922BD">
      <w:pPr>
        <w:spacing w:line="360" w:lineRule="auto"/>
        <w:rPr>
          <w:sz w:val="26"/>
          <w:szCs w:val="26"/>
        </w:rPr>
      </w:pPr>
      <w:r>
        <w:rPr>
          <w:sz w:val="26"/>
          <w:szCs w:val="26"/>
        </w:rPr>
        <w:tab/>
      </w:r>
      <w:r>
        <w:rPr>
          <w:sz w:val="26"/>
          <w:szCs w:val="26"/>
        </w:rPr>
        <w:tab/>
        <w:t>Duquesne supports the ALJ’s finding with respect to Capital Structure.  Duquesne submits that although the 59% common equity ratio does not match Duquesne’s actual common equity ratio of 67%, it is within a zone of reasonableness and supported as an upper limit.  Duquesne avers that the exceptions filed by the OCA and the OTS with regard to Capital Structure should be rejected.  Duquesne strongly disagrees with the OCA that the 51% equity ratio should be applied from the Met-Ed and Penelec base rate cases since the equity ratio from Met-Ed and Penelec is not representative of Duquesne’s actual capital structure nor the costs that it incurs for financing.  Duquesne R.Exc. at 5-6.</w:t>
      </w:r>
    </w:p>
    <w:p w:rsidR="00A922BD" w:rsidRDefault="00A922BD" w:rsidP="00A922BD">
      <w:pPr>
        <w:spacing w:line="360" w:lineRule="auto"/>
        <w:rPr>
          <w:sz w:val="26"/>
          <w:szCs w:val="26"/>
        </w:rPr>
      </w:pPr>
    </w:p>
    <w:p w:rsidR="00A922BD" w:rsidRDefault="00A922BD" w:rsidP="00A922BD">
      <w:pPr>
        <w:spacing w:line="360" w:lineRule="auto"/>
        <w:rPr>
          <w:sz w:val="26"/>
          <w:szCs w:val="26"/>
        </w:rPr>
      </w:pPr>
      <w:r>
        <w:rPr>
          <w:sz w:val="26"/>
          <w:szCs w:val="26"/>
        </w:rPr>
        <w:tab/>
      </w:r>
      <w:r>
        <w:rPr>
          <w:sz w:val="26"/>
          <w:szCs w:val="26"/>
        </w:rPr>
        <w:tab/>
        <w:t>Duquesne agrees with the ALJ’s finding that the “OTS made no showing that the use of a representative capital structure would result in each EDC recovering its reasonable and prudent smart meter costs, a result permitted by Section 2807(f)” and argue that this result should stand.  Duquesne R.Exc. at 8.</w:t>
      </w:r>
    </w:p>
    <w:p w:rsidR="00543B10" w:rsidRDefault="00543B10">
      <w:pPr>
        <w:spacing w:after="200" w:line="276" w:lineRule="auto"/>
        <w:rPr>
          <w:rFonts w:eastAsiaTheme="majorEastAsia" w:cstheme="majorBidi"/>
          <w:b/>
          <w:sz w:val="26"/>
        </w:rPr>
      </w:pPr>
    </w:p>
    <w:p w:rsidR="00A922BD" w:rsidRDefault="00A922BD" w:rsidP="00A922BD">
      <w:pPr>
        <w:pStyle w:val="Heading5"/>
      </w:pPr>
      <w:bookmarkStart w:id="45" w:name="_Toc260906608"/>
      <w:r>
        <w:t>(4)</w:t>
      </w:r>
      <w:r>
        <w:tab/>
      </w:r>
      <w:r w:rsidRPr="0029457E">
        <w:t>Disposition</w:t>
      </w:r>
      <w:bookmarkEnd w:id="45"/>
    </w:p>
    <w:p w:rsidR="00A922BD" w:rsidRPr="00D916D4" w:rsidRDefault="00A922BD" w:rsidP="00A922BD">
      <w:pPr>
        <w:spacing w:line="360" w:lineRule="auto"/>
        <w:rPr>
          <w:sz w:val="26"/>
          <w:szCs w:val="26"/>
        </w:rPr>
      </w:pPr>
    </w:p>
    <w:p w:rsidR="00A922BD" w:rsidRDefault="00A922BD" w:rsidP="00A922BD">
      <w:pPr>
        <w:spacing w:line="360" w:lineRule="auto"/>
        <w:ind w:firstLine="1350"/>
        <w:rPr>
          <w:sz w:val="26"/>
          <w:szCs w:val="26"/>
        </w:rPr>
      </w:pPr>
      <w:r>
        <w:rPr>
          <w:sz w:val="26"/>
          <w:szCs w:val="26"/>
        </w:rPr>
        <w:t>We will modify the decision of the ALJ.  Although we prefer a company-specific approach, we are concerned about the use of stale information whe</w:t>
      </w:r>
      <w:r w:rsidR="007A32AF">
        <w:rPr>
          <w:sz w:val="26"/>
          <w:szCs w:val="26"/>
        </w:rPr>
        <w:t>n</w:t>
      </w:r>
      <w:r>
        <w:rPr>
          <w:sz w:val="26"/>
          <w:szCs w:val="26"/>
        </w:rPr>
        <w:t xml:space="preserve"> the EDC’s most recent base rate case is dated.  Consequently, we find that the capital structure for Duquesne will be determined as follows:  If Duquesne has a capital structure from a litigated base rate case that is less than three years old</w:t>
      </w:r>
      <w:r w:rsidR="00507AAB">
        <w:rPr>
          <w:sz w:val="26"/>
          <w:szCs w:val="26"/>
        </w:rPr>
        <w:t>,</w:t>
      </w:r>
      <w:r>
        <w:rPr>
          <w:sz w:val="26"/>
          <w:szCs w:val="26"/>
        </w:rPr>
        <w:t xml:space="preserve"> the capital structure ratios</w:t>
      </w:r>
      <w:r w:rsidR="00507AAB">
        <w:rPr>
          <w:sz w:val="26"/>
          <w:szCs w:val="26"/>
        </w:rPr>
        <w:t xml:space="preserve"> used for the purposes of the</w:t>
      </w:r>
      <w:r>
        <w:rPr>
          <w:sz w:val="26"/>
          <w:szCs w:val="26"/>
        </w:rPr>
        <w:t xml:space="preserve"> base rate case shall be used for Duquesne’s smart meter cost</w:t>
      </w:r>
      <w:r w:rsidR="00507AAB">
        <w:rPr>
          <w:sz w:val="26"/>
          <w:szCs w:val="26"/>
        </w:rPr>
        <w:t xml:space="preserve"> </w:t>
      </w:r>
      <w:r w:rsidR="00507AAB">
        <w:rPr>
          <w:sz w:val="26"/>
          <w:szCs w:val="26"/>
        </w:rPr>
        <w:lastRenderedPageBreak/>
        <w:t>recovery</w:t>
      </w:r>
      <w:r>
        <w:rPr>
          <w:sz w:val="26"/>
          <w:szCs w:val="26"/>
        </w:rPr>
        <w:t>.</w:t>
      </w:r>
      <w:r w:rsidR="00507AAB">
        <w:rPr>
          <w:rStyle w:val="FootnoteReference"/>
          <w:sz w:val="26"/>
          <w:szCs w:val="26"/>
        </w:rPr>
        <w:footnoteReference w:id="4"/>
      </w:r>
      <w:r>
        <w:rPr>
          <w:sz w:val="26"/>
          <w:szCs w:val="26"/>
        </w:rPr>
        <w:t xml:space="preserve">  If Duquesne’s last litigated base rate case is more than three years old</w:t>
      </w:r>
      <w:r w:rsidR="00643CC2">
        <w:rPr>
          <w:sz w:val="26"/>
          <w:szCs w:val="26"/>
        </w:rPr>
        <w:t>,</w:t>
      </w:r>
      <w:r>
        <w:rPr>
          <w:sz w:val="26"/>
          <w:szCs w:val="26"/>
        </w:rPr>
        <w:t xml:space="preserve"> the capital structure that will be used is Duquesne’s actual capital structure included in the then most recent Quarterly Earnings Report.</w:t>
      </w:r>
      <w:r>
        <w:rPr>
          <w:rStyle w:val="FootnoteReference"/>
          <w:sz w:val="26"/>
          <w:szCs w:val="26"/>
        </w:rPr>
        <w:footnoteReference w:id="5"/>
      </w:r>
      <w:r>
        <w:rPr>
          <w:sz w:val="26"/>
          <w:szCs w:val="26"/>
        </w:rPr>
        <w:t xml:space="preserve">  If </w:t>
      </w:r>
      <w:r w:rsidR="00643CC2">
        <w:rPr>
          <w:sz w:val="26"/>
          <w:szCs w:val="26"/>
        </w:rPr>
        <w:t>the company’s actual</w:t>
      </w:r>
      <w:r>
        <w:rPr>
          <w:sz w:val="26"/>
          <w:szCs w:val="26"/>
        </w:rPr>
        <w:t xml:space="preserve"> capital structure</w:t>
      </w:r>
      <w:r w:rsidR="00056F5C">
        <w:rPr>
          <w:sz w:val="26"/>
          <w:szCs w:val="26"/>
        </w:rPr>
        <w:t xml:space="preserve"> from the Quarterly Earnings Report</w:t>
      </w:r>
      <w:r>
        <w:rPr>
          <w:sz w:val="26"/>
          <w:szCs w:val="26"/>
        </w:rPr>
        <w:t xml:space="preserve"> is outside the zone of reasonableness for the electric utility industry,</w:t>
      </w:r>
      <w:r w:rsidR="00056F5C">
        <w:rPr>
          <w:rStyle w:val="FootnoteReference"/>
          <w:sz w:val="26"/>
          <w:szCs w:val="26"/>
        </w:rPr>
        <w:footnoteReference w:id="6"/>
      </w:r>
      <w:r>
        <w:rPr>
          <w:sz w:val="26"/>
          <w:szCs w:val="26"/>
        </w:rPr>
        <w:t xml:space="preserve"> the capital structure ratio that will be used is the average of the electric utility barometer group as reflected in the then most recent Quarterly Earnings Report.  The applicable capital structure ratio shall be refreshed after the results of the next base rate case for Duquesne.  To the extent that Duquesne’s subsequent base rate case is settled, the parties are to establish the applicable capital structure ratio to apply for the purposes of the SMP recovery mechanism in that proceeding.</w:t>
      </w:r>
    </w:p>
    <w:p w:rsidR="00AA032F" w:rsidRDefault="00AA032F" w:rsidP="00643CC2">
      <w:pPr>
        <w:spacing w:line="360" w:lineRule="auto"/>
        <w:rPr>
          <w:sz w:val="26"/>
          <w:szCs w:val="26"/>
        </w:rPr>
      </w:pPr>
    </w:p>
    <w:p w:rsidR="00AA032F" w:rsidRPr="00AA032F" w:rsidRDefault="005021CD" w:rsidP="00953A48">
      <w:pPr>
        <w:pStyle w:val="Heading4"/>
        <w:rPr>
          <w:szCs w:val="26"/>
        </w:rPr>
      </w:pPr>
      <w:bookmarkStart w:id="46" w:name="_Toc260906609"/>
      <w:r>
        <w:rPr>
          <w:szCs w:val="26"/>
        </w:rPr>
        <w:t>e</w:t>
      </w:r>
      <w:r w:rsidR="00AA032F">
        <w:rPr>
          <w:szCs w:val="26"/>
        </w:rPr>
        <w:t>.</w:t>
      </w:r>
      <w:r w:rsidR="00AA032F">
        <w:rPr>
          <w:szCs w:val="26"/>
        </w:rPr>
        <w:tab/>
      </w:r>
      <w:r w:rsidR="00AA032F" w:rsidRPr="00953A48">
        <w:t>Return on Common Equity</w:t>
      </w:r>
      <w:bookmarkEnd w:id="46"/>
    </w:p>
    <w:p w:rsidR="00634E31" w:rsidRDefault="00634E31" w:rsidP="00C91C3F">
      <w:pPr>
        <w:spacing w:line="360" w:lineRule="auto"/>
        <w:rPr>
          <w:b/>
          <w:sz w:val="26"/>
          <w:szCs w:val="26"/>
        </w:rPr>
      </w:pPr>
    </w:p>
    <w:p w:rsidR="00077CB4" w:rsidRPr="00522375" w:rsidRDefault="005D10AC" w:rsidP="00522375">
      <w:pPr>
        <w:pStyle w:val="Heading5"/>
      </w:pPr>
      <w:bookmarkStart w:id="47" w:name="_Toc260906610"/>
      <w:r w:rsidRPr="00522375">
        <w:t>(1)</w:t>
      </w:r>
      <w:r w:rsidRPr="00522375">
        <w:tab/>
      </w:r>
      <w:r w:rsidR="00077CB4" w:rsidRPr="00522375">
        <w:t>Provisions of the Plan</w:t>
      </w:r>
      <w:bookmarkEnd w:id="47"/>
    </w:p>
    <w:p w:rsidR="00634E31" w:rsidRDefault="00634E31" w:rsidP="00E10FAC">
      <w:pPr>
        <w:spacing w:line="360" w:lineRule="auto"/>
        <w:ind w:left="2160"/>
        <w:rPr>
          <w:b/>
          <w:sz w:val="26"/>
          <w:szCs w:val="26"/>
        </w:rPr>
      </w:pPr>
    </w:p>
    <w:p w:rsidR="009F12E4" w:rsidRDefault="008767CC" w:rsidP="00B51DFD">
      <w:pPr>
        <w:spacing w:line="360" w:lineRule="auto"/>
        <w:ind w:firstLine="1440"/>
        <w:rPr>
          <w:sz w:val="26"/>
          <w:szCs w:val="26"/>
        </w:rPr>
      </w:pPr>
      <w:r>
        <w:rPr>
          <w:sz w:val="26"/>
          <w:szCs w:val="26"/>
        </w:rPr>
        <w:t xml:space="preserve">Act 129 provides that </w:t>
      </w:r>
      <w:r w:rsidR="00965E46">
        <w:rPr>
          <w:sz w:val="26"/>
          <w:szCs w:val="26"/>
        </w:rPr>
        <w:t>an EDC such as Duquesne may properly recover all prudent and reasonable costs related to the provision of its smart meter technology.</w:t>
      </w:r>
      <w:r w:rsidR="00965E46">
        <w:rPr>
          <w:rStyle w:val="FootnoteReference"/>
          <w:sz w:val="26"/>
          <w:szCs w:val="26"/>
        </w:rPr>
        <w:footnoteReference w:id="7"/>
      </w:r>
      <w:r w:rsidR="00965E46">
        <w:rPr>
          <w:sz w:val="26"/>
          <w:szCs w:val="26"/>
        </w:rPr>
        <w:t xml:space="preserve">  O</w:t>
      </w:r>
      <w:r>
        <w:rPr>
          <w:sz w:val="26"/>
          <w:szCs w:val="26"/>
        </w:rPr>
        <w:t>ne of th</w:t>
      </w:r>
      <w:r w:rsidR="00211FB4">
        <w:rPr>
          <w:sz w:val="26"/>
          <w:szCs w:val="26"/>
        </w:rPr>
        <w:t>ose</w:t>
      </w:r>
      <w:r>
        <w:rPr>
          <w:sz w:val="26"/>
          <w:szCs w:val="26"/>
        </w:rPr>
        <w:t xml:space="preserve"> costs that Duquesne may recover is a return component </w:t>
      </w:r>
      <w:r w:rsidR="00924A46">
        <w:rPr>
          <w:sz w:val="26"/>
          <w:szCs w:val="26"/>
        </w:rPr>
        <w:t>on capital assets acquired and reflected in Duquesne’s SMC.</w:t>
      </w:r>
      <w:r w:rsidR="00924A46">
        <w:rPr>
          <w:rStyle w:val="FootnoteReference"/>
          <w:sz w:val="26"/>
          <w:szCs w:val="26"/>
        </w:rPr>
        <w:footnoteReference w:id="8"/>
      </w:r>
      <w:r w:rsidR="00924A46">
        <w:rPr>
          <w:sz w:val="26"/>
          <w:szCs w:val="26"/>
        </w:rPr>
        <w:t xml:space="preserve">  </w:t>
      </w:r>
      <w:r w:rsidR="00DE43CD">
        <w:rPr>
          <w:sz w:val="26"/>
          <w:szCs w:val="26"/>
        </w:rPr>
        <w:t>Specifically, one of the return components is a</w:t>
      </w:r>
      <w:r w:rsidR="00FD27DC">
        <w:rPr>
          <w:sz w:val="26"/>
          <w:szCs w:val="26"/>
        </w:rPr>
        <w:t xml:space="preserve"> return on common equity</w:t>
      </w:r>
      <w:r w:rsidR="002B3C94">
        <w:rPr>
          <w:sz w:val="26"/>
          <w:szCs w:val="26"/>
        </w:rPr>
        <w:t>.</w:t>
      </w:r>
      <w:r w:rsidR="00FD27DC">
        <w:rPr>
          <w:sz w:val="26"/>
          <w:szCs w:val="26"/>
        </w:rPr>
        <w:t xml:space="preserve">  </w:t>
      </w:r>
      <w:r w:rsidR="002B3C94">
        <w:rPr>
          <w:sz w:val="26"/>
          <w:szCs w:val="26"/>
        </w:rPr>
        <w:t xml:space="preserve">In its SMP, </w:t>
      </w:r>
      <w:r w:rsidR="00FF240D">
        <w:rPr>
          <w:sz w:val="26"/>
          <w:szCs w:val="26"/>
        </w:rPr>
        <w:t xml:space="preserve">Duquesne proposed to use </w:t>
      </w:r>
      <w:r w:rsidR="00B739EB">
        <w:rPr>
          <w:sz w:val="26"/>
          <w:szCs w:val="26"/>
        </w:rPr>
        <w:t xml:space="preserve">a </w:t>
      </w:r>
      <w:r w:rsidR="00FF240D">
        <w:rPr>
          <w:sz w:val="26"/>
          <w:szCs w:val="26"/>
        </w:rPr>
        <w:t xml:space="preserve">common equity </w:t>
      </w:r>
      <w:r w:rsidR="00B739EB">
        <w:rPr>
          <w:sz w:val="26"/>
          <w:szCs w:val="26"/>
        </w:rPr>
        <w:lastRenderedPageBreak/>
        <w:t xml:space="preserve">return of 10.9% based </w:t>
      </w:r>
      <w:r w:rsidR="00681A6E">
        <w:rPr>
          <w:sz w:val="26"/>
          <w:szCs w:val="26"/>
        </w:rPr>
        <w:t xml:space="preserve">on an approved return on equity that was established in Duquesne’s most recent </w:t>
      </w:r>
      <w:r w:rsidR="00465DD0">
        <w:rPr>
          <w:sz w:val="26"/>
          <w:szCs w:val="26"/>
        </w:rPr>
        <w:t>Federal Energy Regulatory Commission (</w:t>
      </w:r>
      <w:r w:rsidR="00681A6E">
        <w:rPr>
          <w:sz w:val="26"/>
          <w:szCs w:val="26"/>
        </w:rPr>
        <w:t>FERC</w:t>
      </w:r>
      <w:r w:rsidR="00465DD0">
        <w:rPr>
          <w:sz w:val="26"/>
          <w:szCs w:val="26"/>
        </w:rPr>
        <w:t>)</w:t>
      </w:r>
      <w:r w:rsidR="00681A6E">
        <w:rPr>
          <w:sz w:val="26"/>
          <w:szCs w:val="26"/>
        </w:rPr>
        <w:t xml:space="preserve"> transmission proceeding at Docket No. EL06-000</w:t>
      </w:r>
      <w:r w:rsidR="00020A59">
        <w:rPr>
          <w:sz w:val="26"/>
          <w:szCs w:val="26"/>
        </w:rPr>
        <w:t>.</w:t>
      </w:r>
      <w:r w:rsidR="002B3C94">
        <w:rPr>
          <w:sz w:val="26"/>
          <w:szCs w:val="26"/>
        </w:rPr>
        <w:t xml:space="preserve">  I.D. at 24.</w:t>
      </w:r>
    </w:p>
    <w:p w:rsidR="00CB1163" w:rsidRDefault="00CB1163" w:rsidP="00B51DFD">
      <w:pPr>
        <w:spacing w:line="360" w:lineRule="auto"/>
        <w:ind w:firstLine="1440"/>
        <w:rPr>
          <w:sz w:val="26"/>
          <w:szCs w:val="26"/>
        </w:rPr>
      </w:pPr>
    </w:p>
    <w:p w:rsidR="00465DD0" w:rsidRDefault="009F12E4" w:rsidP="009F12E4">
      <w:pPr>
        <w:spacing w:line="360" w:lineRule="auto"/>
        <w:rPr>
          <w:sz w:val="26"/>
          <w:szCs w:val="26"/>
        </w:rPr>
      </w:pPr>
      <w:r>
        <w:rPr>
          <w:sz w:val="26"/>
          <w:szCs w:val="26"/>
        </w:rPr>
        <w:tab/>
      </w:r>
      <w:r>
        <w:rPr>
          <w:sz w:val="26"/>
          <w:szCs w:val="26"/>
        </w:rPr>
        <w:tab/>
        <w:t xml:space="preserve">The OTS and the OCA are the only </w:t>
      </w:r>
      <w:r w:rsidR="00F314D0">
        <w:rPr>
          <w:sz w:val="26"/>
          <w:szCs w:val="26"/>
        </w:rPr>
        <w:t>P</w:t>
      </w:r>
      <w:r>
        <w:rPr>
          <w:sz w:val="26"/>
          <w:szCs w:val="26"/>
        </w:rPr>
        <w:t>arties opposing Duquesne’s proposed return on equity.</w:t>
      </w:r>
    </w:p>
    <w:p w:rsidR="007D6228" w:rsidRDefault="007D6228" w:rsidP="007D6228">
      <w:pPr>
        <w:spacing w:after="200" w:line="276" w:lineRule="auto"/>
        <w:rPr>
          <w:sz w:val="26"/>
          <w:szCs w:val="26"/>
        </w:rPr>
      </w:pPr>
    </w:p>
    <w:p w:rsidR="00077CB4" w:rsidRPr="007D6228" w:rsidRDefault="005D10AC" w:rsidP="00522375">
      <w:pPr>
        <w:pStyle w:val="Heading5"/>
      </w:pPr>
      <w:bookmarkStart w:id="48" w:name="_Toc260906611"/>
      <w:r w:rsidRPr="007D6228">
        <w:t>(2)</w:t>
      </w:r>
      <w:r w:rsidRPr="007D6228">
        <w:tab/>
      </w:r>
      <w:r w:rsidR="00077CB4" w:rsidRPr="007D6228">
        <w:t>ALJ Recommendation</w:t>
      </w:r>
      <w:bookmarkEnd w:id="48"/>
    </w:p>
    <w:p w:rsidR="00077CB4" w:rsidRDefault="00077CB4" w:rsidP="00E10FAC">
      <w:pPr>
        <w:spacing w:line="360" w:lineRule="auto"/>
        <w:ind w:left="2160"/>
        <w:rPr>
          <w:b/>
          <w:sz w:val="26"/>
          <w:szCs w:val="26"/>
        </w:rPr>
      </w:pPr>
    </w:p>
    <w:p w:rsidR="00DD429A" w:rsidRDefault="003D2FBF" w:rsidP="007D6228">
      <w:pPr>
        <w:spacing w:line="360" w:lineRule="auto"/>
        <w:ind w:firstLine="1440"/>
        <w:rPr>
          <w:sz w:val="26"/>
          <w:szCs w:val="26"/>
        </w:rPr>
      </w:pPr>
      <w:r>
        <w:rPr>
          <w:sz w:val="26"/>
          <w:szCs w:val="26"/>
        </w:rPr>
        <w:t xml:space="preserve">The ALJ </w:t>
      </w:r>
      <w:r w:rsidR="00EC1B24">
        <w:rPr>
          <w:sz w:val="26"/>
          <w:szCs w:val="26"/>
        </w:rPr>
        <w:t xml:space="preserve">noted in his Initial Decision that he does not approve of the use of settled Pennsylvania EDC base rate cases since seldom do such cases result in a Commission determination on a reasonable return on equity.  The ALJ did not accept Duquesne’s 10.9% return on equity from its settled FERC proceeding.  </w:t>
      </w:r>
      <w:r w:rsidR="00DD429A">
        <w:rPr>
          <w:sz w:val="26"/>
          <w:szCs w:val="26"/>
        </w:rPr>
        <w:t>In addition, the ALJ did not accept the recommendation for a generic proceeding to determine a return on equity, as proposed by the OTS and the OCA.  I.D. at 27-28.</w:t>
      </w:r>
    </w:p>
    <w:p w:rsidR="008F6D32" w:rsidRDefault="008F6D32" w:rsidP="007D6228">
      <w:pPr>
        <w:spacing w:line="360" w:lineRule="auto"/>
        <w:ind w:firstLine="1440"/>
        <w:rPr>
          <w:sz w:val="26"/>
          <w:szCs w:val="26"/>
        </w:rPr>
      </w:pPr>
    </w:p>
    <w:p w:rsidR="00C22FEE" w:rsidRDefault="003B7A03" w:rsidP="007957F4">
      <w:pPr>
        <w:pStyle w:val="BodyText3"/>
        <w:spacing w:line="360" w:lineRule="auto"/>
        <w:ind w:firstLine="1440"/>
        <w:rPr>
          <w:sz w:val="26"/>
          <w:szCs w:val="26"/>
        </w:rPr>
      </w:pPr>
      <w:r>
        <w:rPr>
          <w:sz w:val="26"/>
          <w:szCs w:val="26"/>
        </w:rPr>
        <w:t xml:space="preserve">The following is the ALJ’s recommendation for a return on equity to be used in Duquesne’s </w:t>
      </w:r>
      <w:r w:rsidR="00EF2880">
        <w:rPr>
          <w:sz w:val="26"/>
          <w:szCs w:val="26"/>
        </w:rPr>
        <w:t xml:space="preserve">rate of return calculation of its SMC: </w:t>
      </w:r>
      <w:r w:rsidR="00C22FEE" w:rsidRPr="00C22FEE">
        <w:rPr>
          <w:sz w:val="26"/>
          <w:szCs w:val="26"/>
        </w:rPr>
        <w:t xml:space="preserve">First, the primary consideration should be the return found reasonable in its most recent fully-litigated base rate proceeding, provided such proceeding was concluded within three years of the effective date of the time Duquesne seeks to update its SMC.  Second, this return on equity should be compared to the equity returns for electric utilities in the </w:t>
      </w:r>
      <w:r w:rsidR="007957F4">
        <w:rPr>
          <w:sz w:val="26"/>
          <w:szCs w:val="26"/>
        </w:rPr>
        <w:t xml:space="preserve">Commission’s </w:t>
      </w:r>
      <w:r w:rsidR="00C22FEE" w:rsidRPr="00C22FEE">
        <w:rPr>
          <w:sz w:val="26"/>
          <w:szCs w:val="26"/>
        </w:rPr>
        <w:t xml:space="preserve">Quarterly Earnings Report.  If the equity returns in the Quarterly Earnings Report deviate more than 0.50% above or below the equity return from the most recent fully-litigated rate case, the lesser of the determined or published equity return shall be used for the rate of return calculation for the SMC for the next quarter.  In the event Duquesne has not had a fully-litigated rate case within three years of the effective date of a change in its SMC, then the equity returns for electric utilities in the Quarterly Earnings Report shall be used as a </w:t>
      </w:r>
      <w:r w:rsidR="00C22FEE" w:rsidRPr="00C22FEE">
        <w:rPr>
          <w:sz w:val="26"/>
          <w:szCs w:val="26"/>
        </w:rPr>
        <w:lastRenderedPageBreak/>
        <w:t>proxy for the equity return in the rate of return calculation of the SMC, and continue to serve as a proxy for that calculation until such time as the Commission determines a reasonable return on equity for Duquesne in a fully-litigated rate case.</w:t>
      </w:r>
      <w:r w:rsidR="007957F4">
        <w:rPr>
          <w:sz w:val="26"/>
          <w:szCs w:val="26"/>
        </w:rPr>
        <w:t xml:space="preserve">  I.D. at 28.</w:t>
      </w:r>
    </w:p>
    <w:p w:rsidR="005B1C7F" w:rsidRDefault="005B1C7F">
      <w:pPr>
        <w:spacing w:after="200" w:line="276" w:lineRule="auto"/>
        <w:rPr>
          <w:rFonts w:eastAsiaTheme="majorEastAsia" w:cstheme="majorBidi"/>
          <w:b/>
          <w:sz w:val="26"/>
        </w:rPr>
      </w:pPr>
    </w:p>
    <w:p w:rsidR="00077CB4" w:rsidRPr="00077CB4" w:rsidRDefault="002424C1" w:rsidP="002424C1">
      <w:pPr>
        <w:pStyle w:val="Heading5"/>
      </w:pPr>
      <w:bookmarkStart w:id="49" w:name="_Toc260906612"/>
      <w:r>
        <w:t>(3)</w:t>
      </w:r>
      <w:r>
        <w:tab/>
      </w:r>
      <w:r w:rsidR="00077CB4" w:rsidRPr="00077CB4">
        <w:t>Exceptions and Replies</w:t>
      </w:r>
      <w:bookmarkEnd w:id="49"/>
    </w:p>
    <w:p w:rsidR="00077CB4" w:rsidRDefault="00077CB4" w:rsidP="00E10FAC">
      <w:pPr>
        <w:spacing w:line="360" w:lineRule="auto"/>
        <w:ind w:left="2160"/>
        <w:rPr>
          <w:b/>
          <w:sz w:val="26"/>
          <w:szCs w:val="26"/>
        </w:rPr>
      </w:pPr>
    </w:p>
    <w:p w:rsidR="00C10668" w:rsidRDefault="00964D96" w:rsidP="00C10668">
      <w:pPr>
        <w:spacing w:line="360" w:lineRule="auto"/>
        <w:ind w:firstLine="1440"/>
        <w:rPr>
          <w:sz w:val="26"/>
          <w:szCs w:val="26"/>
        </w:rPr>
      </w:pPr>
      <w:r>
        <w:rPr>
          <w:sz w:val="26"/>
          <w:szCs w:val="26"/>
        </w:rPr>
        <w:t xml:space="preserve">The OTS requests that the Commission reject the ALJ’s proposed cost of common equity recommendation and adopt the OTS recommendation.  The OTS proposed that the Commission’s Bureau of Fixed Utility Services (FUS) should calculate a representative EDC cost of common equity </w:t>
      </w:r>
      <w:r w:rsidR="006F46FA">
        <w:rPr>
          <w:sz w:val="26"/>
          <w:szCs w:val="26"/>
        </w:rPr>
        <w:t xml:space="preserve">for </w:t>
      </w:r>
      <w:r w:rsidR="00742A98">
        <w:rPr>
          <w:sz w:val="26"/>
          <w:szCs w:val="26"/>
        </w:rPr>
        <w:t>all smart meter plans</w:t>
      </w:r>
      <w:r w:rsidR="00D7461B">
        <w:rPr>
          <w:sz w:val="26"/>
          <w:szCs w:val="26"/>
        </w:rPr>
        <w:t xml:space="preserve"> in the same manner that FUS currently calculates a representative water utility cost of common equity for </w:t>
      </w:r>
      <w:r w:rsidR="005B1C7F">
        <w:rPr>
          <w:sz w:val="26"/>
          <w:szCs w:val="26"/>
        </w:rPr>
        <w:t>Distribution System Improvement Charge (</w:t>
      </w:r>
      <w:r w:rsidR="00D7461B">
        <w:rPr>
          <w:sz w:val="26"/>
          <w:szCs w:val="26"/>
        </w:rPr>
        <w:t>DSIC</w:t>
      </w:r>
      <w:r w:rsidR="005B1C7F">
        <w:rPr>
          <w:sz w:val="26"/>
          <w:szCs w:val="26"/>
        </w:rPr>
        <w:t>)</w:t>
      </w:r>
      <w:r w:rsidR="00D7461B">
        <w:rPr>
          <w:sz w:val="26"/>
          <w:szCs w:val="26"/>
        </w:rPr>
        <w:t xml:space="preserve"> surcharges.  The OTS opines that its recommendation closely tracks the current cost of capital and recommends that the Commission reject the ALJ’s multistep proposal.  </w:t>
      </w:r>
    </w:p>
    <w:p w:rsidR="00D75973" w:rsidRDefault="00D7461B" w:rsidP="007D6228">
      <w:pPr>
        <w:spacing w:line="360" w:lineRule="auto"/>
        <w:rPr>
          <w:sz w:val="26"/>
          <w:szCs w:val="26"/>
        </w:rPr>
      </w:pPr>
      <w:r>
        <w:rPr>
          <w:sz w:val="26"/>
          <w:szCs w:val="26"/>
        </w:rPr>
        <w:t xml:space="preserve">OTS </w:t>
      </w:r>
      <w:r w:rsidR="006F5D3B">
        <w:rPr>
          <w:sz w:val="26"/>
          <w:szCs w:val="26"/>
        </w:rPr>
        <w:t xml:space="preserve">Exc. </w:t>
      </w:r>
      <w:r>
        <w:rPr>
          <w:sz w:val="26"/>
          <w:szCs w:val="26"/>
        </w:rPr>
        <w:t>at 11-12.</w:t>
      </w:r>
    </w:p>
    <w:p w:rsidR="008F6D32" w:rsidRDefault="008F6D32" w:rsidP="007D6228">
      <w:pPr>
        <w:spacing w:line="360" w:lineRule="auto"/>
        <w:rPr>
          <w:sz w:val="26"/>
          <w:szCs w:val="26"/>
        </w:rPr>
      </w:pPr>
    </w:p>
    <w:p w:rsidR="009B455F" w:rsidRDefault="00A07F3D" w:rsidP="0060240A">
      <w:pPr>
        <w:spacing w:line="360" w:lineRule="auto"/>
        <w:rPr>
          <w:sz w:val="26"/>
          <w:szCs w:val="26"/>
        </w:rPr>
      </w:pPr>
      <w:r>
        <w:rPr>
          <w:sz w:val="26"/>
          <w:szCs w:val="26"/>
        </w:rPr>
        <w:tab/>
      </w:r>
      <w:r>
        <w:rPr>
          <w:sz w:val="26"/>
          <w:szCs w:val="26"/>
        </w:rPr>
        <w:tab/>
        <w:t xml:space="preserve">The OTS argues that a return on common equity accepted two or three years ago does not reflect current economic conditions and therefore, the Commission should reject all portions of the ALJ’s proposal relying </w:t>
      </w:r>
      <w:r w:rsidR="006F5D3B">
        <w:rPr>
          <w:sz w:val="26"/>
          <w:szCs w:val="26"/>
        </w:rPr>
        <w:t>on returns on common equity from fully-litigated base rate cases dating up to three years from a</w:t>
      </w:r>
      <w:r w:rsidR="00742A98">
        <w:rPr>
          <w:sz w:val="26"/>
          <w:szCs w:val="26"/>
        </w:rPr>
        <w:t>n</w:t>
      </w:r>
      <w:r w:rsidR="006F5D3B">
        <w:rPr>
          <w:sz w:val="26"/>
          <w:szCs w:val="26"/>
        </w:rPr>
        <w:t xml:space="preserve"> SMC update.  OTS Exc. at 14.</w:t>
      </w:r>
    </w:p>
    <w:p w:rsidR="00C22D45" w:rsidRDefault="00C22D45" w:rsidP="0060240A">
      <w:pPr>
        <w:spacing w:line="360" w:lineRule="auto"/>
        <w:rPr>
          <w:sz w:val="26"/>
          <w:szCs w:val="26"/>
        </w:rPr>
      </w:pPr>
    </w:p>
    <w:p w:rsidR="00FF4F72" w:rsidRDefault="00C22D45" w:rsidP="0060240A">
      <w:pPr>
        <w:spacing w:line="360" w:lineRule="auto"/>
        <w:rPr>
          <w:sz w:val="26"/>
          <w:szCs w:val="26"/>
        </w:rPr>
      </w:pPr>
      <w:r>
        <w:rPr>
          <w:sz w:val="26"/>
          <w:szCs w:val="26"/>
        </w:rPr>
        <w:tab/>
      </w:r>
      <w:r>
        <w:rPr>
          <w:sz w:val="26"/>
          <w:szCs w:val="26"/>
        </w:rPr>
        <w:tab/>
        <w:t xml:space="preserve">The OCA contends that the ALJ erred by not accepting its recommendation that a 10.1% return on equity be used for computing the SMC until such time as the Commission conducts a generic proceeding to establish </w:t>
      </w:r>
      <w:r w:rsidR="00902DAD">
        <w:rPr>
          <w:sz w:val="26"/>
          <w:szCs w:val="26"/>
        </w:rPr>
        <w:t>the procedure for determining the return on equity to use when there has been no recently litigated base rate case.</w:t>
      </w:r>
      <w:r w:rsidR="00FF4F72">
        <w:rPr>
          <w:sz w:val="26"/>
          <w:szCs w:val="26"/>
        </w:rPr>
        <w:t xml:space="preserve">  OCA Exc. at 6.</w:t>
      </w:r>
    </w:p>
    <w:p w:rsidR="00784412" w:rsidRDefault="00FF4F72" w:rsidP="0060240A">
      <w:pPr>
        <w:spacing w:line="360" w:lineRule="auto"/>
        <w:rPr>
          <w:sz w:val="26"/>
          <w:szCs w:val="26"/>
        </w:rPr>
      </w:pPr>
      <w:r>
        <w:rPr>
          <w:sz w:val="26"/>
          <w:szCs w:val="26"/>
        </w:rPr>
        <w:lastRenderedPageBreak/>
        <w:tab/>
      </w:r>
      <w:r>
        <w:rPr>
          <w:sz w:val="26"/>
          <w:szCs w:val="26"/>
        </w:rPr>
        <w:tab/>
        <w:t xml:space="preserve">The OCA submits that it has offered </w:t>
      </w:r>
      <w:r w:rsidR="000E42D5">
        <w:rPr>
          <w:sz w:val="26"/>
          <w:szCs w:val="26"/>
        </w:rPr>
        <w:t>and the ALJ should adopt its</w:t>
      </w:r>
      <w:r>
        <w:rPr>
          <w:sz w:val="26"/>
          <w:szCs w:val="26"/>
        </w:rPr>
        <w:t xml:space="preserve"> three-part alternative to Duquesne’s proposed cost of equity return</w:t>
      </w:r>
      <w:r w:rsidR="00902DAD">
        <w:rPr>
          <w:sz w:val="26"/>
          <w:szCs w:val="26"/>
        </w:rPr>
        <w:t xml:space="preserve"> </w:t>
      </w:r>
      <w:r w:rsidR="004B61A3">
        <w:rPr>
          <w:sz w:val="26"/>
          <w:szCs w:val="26"/>
        </w:rPr>
        <w:t xml:space="preserve">rate.  The OCA avers that the first part of its proposal is to set an interim return on equity of 10.1% for use in calculating the SMC.  </w:t>
      </w:r>
      <w:r w:rsidR="000E42D5">
        <w:rPr>
          <w:sz w:val="26"/>
          <w:szCs w:val="26"/>
        </w:rPr>
        <w:t>The OCA points out that t</w:t>
      </w:r>
      <w:r w:rsidR="00F86EEE">
        <w:rPr>
          <w:sz w:val="26"/>
          <w:szCs w:val="26"/>
        </w:rPr>
        <w:t xml:space="preserve">he second part of </w:t>
      </w:r>
      <w:r w:rsidR="000E42D5">
        <w:rPr>
          <w:sz w:val="26"/>
          <w:szCs w:val="26"/>
        </w:rPr>
        <w:t>its</w:t>
      </w:r>
      <w:r w:rsidR="00F86EEE">
        <w:rPr>
          <w:sz w:val="26"/>
          <w:szCs w:val="26"/>
        </w:rPr>
        <w:t xml:space="preserve"> alternative </w:t>
      </w:r>
      <w:r w:rsidR="006F0BC7">
        <w:rPr>
          <w:sz w:val="26"/>
          <w:szCs w:val="26"/>
        </w:rPr>
        <w:t>recommend</w:t>
      </w:r>
      <w:r w:rsidR="00F86EEE">
        <w:rPr>
          <w:sz w:val="26"/>
          <w:szCs w:val="26"/>
        </w:rPr>
        <w:t>s</w:t>
      </w:r>
      <w:r w:rsidR="006F0BC7">
        <w:rPr>
          <w:sz w:val="26"/>
          <w:szCs w:val="26"/>
        </w:rPr>
        <w:t xml:space="preserve"> that the procedure for calculating the return applicable to EDC Smart Meter Charges be the subject of a generic proceeding.</w:t>
      </w:r>
      <w:r w:rsidR="00F86EEE">
        <w:rPr>
          <w:sz w:val="26"/>
          <w:szCs w:val="26"/>
        </w:rPr>
        <w:t xml:space="preserve">  The OCA </w:t>
      </w:r>
      <w:r w:rsidR="000E42D5">
        <w:rPr>
          <w:sz w:val="26"/>
          <w:szCs w:val="26"/>
        </w:rPr>
        <w:t>notes</w:t>
      </w:r>
      <w:r w:rsidR="00F86EEE">
        <w:rPr>
          <w:sz w:val="26"/>
          <w:szCs w:val="26"/>
        </w:rPr>
        <w:t xml:space="preserve"> that the third part of its alternative cost of equity proposal is that until such time as the Commission establishes the appropriate equity rate of return through </w:t>
      </w:r>
      <w:r w:rsidR="00214C1A">
        <w:rPr>
          <w:sz w:val="26"/>
          <w:szCs w:val="26"/>
        </w:rPr>
        <w:t>a generic proceeding or a more recent equity return is available from a Duquesne-specific distribution base rate case, the equity return that should be used in calculating Duquesne’s SMC is th</w:t>
      </w:r>
      <w:r w:rsidR="00D87EC3">
        <w:rPr>
          <w:sz w:val="26"/>
          <w:szCs w:val="26"/>
        </w:rPr>
        <w:t>e equity return of 10.1%</w:t>
      </w:r>
      <w:r w:rsidR="00742A98">
        <w:rPr>
          <w:sz w:val="26"/>
          <w:szCs w:val="26"/>
        </w:rPr>
        <w:t>,</w:t>
      </w:r>
      <w:r w:rsidR="00214C1A">
        <w:rPr>
          <w:sz w:val="26"/>
          <w:szCs w:val="26"/>
        </w:rPr>
        <w:t xml:space="preserve"> which was established in the most recent fully litigated base rate proceeding among Pennsylvania EDCs, the 2006 </w:t>
      </w:r>
      <w:r w:rsidR="006A39C8">
        <w:rPr>
          <w:sz w:val="26"/>
          <w:szCs w:val="26"/>
        </w:rPr>
        <w:t>(decided in early 2007) rate cases of Metropolitan Edison Company</w:t>
      </w:r>
      <w:r w:rsidR="00882F91">
        <w:rPr>
          <w:sz w:val="26"/>
          <w:szCs w:val="26"/>
        </w:rPr>
        <w:t xml:space="preserve"> (Met-Ed)</w:t>
      </w:r>
      <w:r w:rsidR="006A39C8">
        <w:rPr>
          <w:sz w:val="26"/>
          <w:szCs w:val="26"/>
        </w:rPr>
        <w:t xml:space="preserve"> and Pennsylvania Electric Company</w:t>
      </w:r>
      <w:r w:rsidR="00882F91">
        <w:rPr>
          <w:sz w:val="26"/>
          <w:szCs w:val="26"/>
        </w:rPr>
        <w:t xml:space="preserve"> (Penelec)</w:t>
      </w:r>
      <w:r w:rsidR="006A39C8">
        <w:rPr>
          <w:sz w:val="26"/>
          <w:szCs w:val="26"/>
        </w:rPr>
        <w:t xml:space="preserve"> at Docket Nos. </w:t>
      </w:r>
    </w:p>
    <w:p w:rsidR="00330EC9" w:rsidRDefault="006A39C8" w:rsidP="0060240A">
      <w:pPr>
        <w:spacing w:line="360" w:lineRule="auto"/>
        <w:rPr>
          <w:sz w:val="26"/>
          <w:szCs w:val="26"/>
        </w:rPr>
      </w:pPr>
      <w:r>
        <w:rPr>
          <w:sz w:val="26"/>
          <w:szCs w:val="26"/>
        </w:rPr>
        <w:t xml:space="preserve">R-00061366 and R-00061367.  </w:t>
      </w:r>
      <w:r w:rsidR="00060F40">
        <w:rPr>
          <w:sz w:val="26"/>
          <w:szCs w:val="26"/>
        </w:rPr>
        <w:t xml:space="preserve">The OCA avers that it recommended a 10.1% return on equity because Duquesne has not had a litigated rate case since 2004 and a generic proceeding for determining a procedure for the use of the Quarterly Earnings Reports has not yet been conducted.  </w:t>
      </w:r>
      <w:r w:rsidR="00D87EC3">
        <w:rPr>
          <w:sz w:val="26"/>
          <w:szCs w:val="26"/>
        </w:rPr>
        <w:t>OCA Exc. at 7-8.</w:t>
      </w:r>
    </w:p>
    <w:p w:rsidR="00E338BA" w:rsidRDefault="00E338BA" w:rsidP="0060240A">
      <w:pPr>
        <w:spacing w:line="360" w:lineRule="auto"/>
        <w:rPr>
          <w:sz w:val="26"/>
          <w:szCs w:val="26"/>
        </w:rPr>
      </w:pPr>
    </w:p>
    <w:p w:rsidR="00070548" w:rsidRDefault="00070548" w:rsidP="0060240A">
      <w:pPr>
        <w:spacing w:line="360" w:lineRule="auto"/>
        <w:rPr>
          <w:sz w:val="26"/>
          <w:szCs w:val="26"/>
        </w:rPr>
      </w:pPr>
      <w:r>
        <w:rPr>
          <w:sz w:val="26"/>
          <w:szCs w:val="26"/>
        </w:rPr>
        <w:tab/>
      </w:r>
      <w:r>
        <w:rPr>
          <w:sz w:val="26"/>
          <w:szCs w:val="26"/>
        </w:rPr>
        <w:tab/>
        <w:t xml:space="preserve">The OCA argues that a generic proceeding involving interested stakeholders would solve transparency concerns, address issues unique to the SMC and yield a procedure that would dampen volatility to the extent possible.  In summary, the OCA </w:t>
      </w:r>
      <w:r w:rsidR="00B97E27">
        <w:rPr>
          <w:sz w:val="26"/>
          <w:szCs w:val="26"/>
        </w:rPr>
        <w:t>avers that the Commission should direct that a generic proceeding be held to establish a proxy return on equity for setting Duquesne’s SMC rates when there has been no recently litigated base rate case and</w:t>
      </w:r>
      <w:r w:rsidR="00742A98">
        <w:rPr>
          <w:sz w:val="26"/>
          <w:szCs w:val="26"/>
        </w:rPr>
        <w:t>,</w:t>
      </w:r>
      <w:r w:rsidR="00B97E27">
        <w:rPr>
          <w:sz w:val="26"/>
          <w:szCs w:val="26"/>
        </w:rPr>
        <w:t xml:space="preserve"> until such a proceeding is completed, the Commission should adopt the OCA’s recommended interim cost of common equity rate of 10.1%.  OCA Exc. at 10-11.</w:t>
      </w:r>
    </w:p>
    <w:p w:rsidR="00B93F41" w:rsidRDefault="00B93F41" w:rsidP="0060240A">
      <w:pPr>
        <w:spacing w:line="360" w:lineRule="auto"/>
        <w:rPr>
          <w:sz w:val="26"/>
          <w:szCs w:val="26"/>
        </w:rPr>
      </w:pPr>
    </w:p>
    <w:p w:rsidR="00C91C3F" w:rsidRDefault="00B93F41" w:rsidP="0060240A">
      <w:pPr>
        <w:spacing w:line="360" w:lineRule="auto"/>
        <w:rPr>
          <w:sz w:val="26"/>
          <w:szCs w:val="26"/>
        </w:rPr>
      </w:pPr>
      <w:r>
        <w:rPr>
          <w:sz w:val="26"/>
          <w:szCs w:val="26"/>
        </w:rPr>
        <w:lastRenderedPageBreak/>
        <w:tab/>
      </w:r>
      <w:r>
        <w:rPr>
          <w:sz w:val="26"/>
          <w:szCs w:val="26"/>
        </w:rPr>
        <w:tab/>
        <w:t xml:space="preserve">Duquesne avers that the ALJ properly rejected the OCA’s return on equity proposal, and devised a fair method of determining return on equity.  With respect to the OCA’s </w:t>
      </w:r>
      <w:r w:rsidR="00DA0737">
        <w:rPr>
          <w:sz w:val="26"/>
          <w:szCs w:val="26"/>
        </w:rPr>
        <w:t xml:space="preserve">arguments that the ALJ should have ordered a generic proceeding to determine an equity return rate for Duquesne, Duquesne agrees that </w:t>
      </w:r>
      <w:r w:rsidR="00742A98">
        <w:rPr>
          <w:sz w:val="26"/>
          <w:szCs w:val="26"/>
        </w:rPr>
        <w:t xml:space="preserve">such an approach </w:t>
      </w:r>
      <w:r w:rsidR="00DA0737">
        <w:rPr>
          <w:sz w:val="26"/>
          <w:szCs w:val="26"/>
        </w:rPr>
        <w:t>could result in a workable solution</w:t>
      </w:r>
      <w:r w:rsidR="00571C9C">
        <w:rPr>
          <w:sz w:val="26"/>
          <w:szCs w:val="26"/>
        </w:rPr>
        <w:t>.</w:t>
      </w:r>
      <w:r w:rsidR="00E26027">
        <w:rPr>
          <w:sz w:val="26"/>
          <w:szCs w:val="26"/>
        </w:rPr>
        <w:t xml:space="preserve"> </w:t>
      </w:r>
      <w:r w:rsidR="00571C9C">
        <w:rPr>
          <w:sz w:val="26"/>
          <w:szCs w:val="26"/>
        </w:rPr>
        <w:t>H</w:t>
      </w:r>
      <w:r w:rsidR="00E26027">
        <w:rPr>
          <w:sz w:val="26"/>
          <w:szCs w:val="26"/>
        </w:rPr>
        <w:t xml:space="preserve">owever, in the interest of time and with the knowledge of what has occurred </w:t>
      </w:r>
      <w:r w:rsidR="00571C9C">
        <w:rPr>
          <w:sz w:val="26"/>
          <w:szCs w:val="26"/>
        </w:rPr>
        <w:t>with the water company DSIC, Duquesne submits, the OCA’s proposal would not result in a determination</w:t>
      </w:r>
      <w:r w:rsidR="00FA39F3">
        <w:rPr>
          <w:sz w:val="26"/>
          <w:szCs w:val="26"/>
        </w:rPr>
        <w:t xml:space="preserve"> superior</w:t>
      </w:r>
      <w:r w:rsidR="00571C9C">
        <w:rPr>
          <w:sz w:val="26"/>
          <w:szCs w:val="26"/>
        </w:rPr>
        <w:t xml:space="preserve"> to the ALJ’s recommendation.  </w:t>
      </w:r>
      <w:r w:rsidR="00742A98">
        <w:rPr>
          <w:sz w:val="26"/>
          <w:szCs w:val="26"/>
        </w:rPr>
        <w:t>Duquesne R.</w:t>
      </w:r>
      <w:r w:rsidR="00DA0737">
        <w:rPr>
          <w:sz w:val="26"/>
          <w:szCs w:val="26"/>
        </w:rPr>
        <w:t>Exc. at 2-3.</w:t>
      </w:r>
    </w:p>
    <w:p w:rsidR="00BC5E42" w:rsidRDefault="00BC5E42" w:rsidP="0060240A">
      <w:pPr>
        <w:spacing w:line="360" w:lineRule="auto"/>
        <w:rPr>
          <w:sz w:val="26"/>
          <w:szCs w:val="26"/>
        </w:rPr>
      </w:pPr>
    </w:p>
    <w:p w:rsidR="00DA0737" w:rsidRDefault="00DA0737" w:rsidP="0060240A">
      <w:pPr>
        <w:spacing w:line="360" w:lineRule="auto"/>
        <w:rPr>
          <w:sz w:val="26"/>
          <w:szCs w:val="26"/>
        </w:rPr>
      </w:pPr>
      <w:r>
        <w:rPr>
          <w:sz w:val="26"/>
          <w:szCs w:val="26"/>
        </w:rPr>
        <w:tab/>
      </w:r>
      <w:r>
        <w:rPr>
          <w:sz w:val="26"/>
          <w:szCs w:val="26"/>
        </w:rPr>
        <w:tab/>
      </w:r>
      <w:r w:rsidR="00943D3E">
        <w:rPr>
          <w:sz w:val="26"/>
          <w:szCs w:val="26"/>
        </w:rPr>
        <w:t>Regarding the OCA’s argument to utilize the 10.1% equity return rate from the Met-Ed and Penelec cases, Duquesne disagrees.  Duquesne points out that the OCA’s recommended 10.1% return on equity rate is not reflective of the credit rating, the cost of equity, nor the risk profile of Duque</w:t>
      </w:r>
      <w:r w:rsidR="005056C9">
        <w:rPr>
          <w:sz w:val="26"/>
          <w:szCs w:val="26"/>
        </w:rPr>
        <w:t xml:space="preserve">sne.  Duquesne </w:t>
      </w:r>
      <w:r w:rsidR="006164E8">
        <w:rPr>
          <w:sz w:val="26"/>
          <w:szCs w:val="26"/>
        </w:rPr>
        <w:t xml:space="preserve">posits </w:t>
      </w:r>
      <w:r w:rsidR="005056C9">
        <w:rPr>
          <w:sz w:val="26"/>
          <w:szCs w:val="26"/>
        </w:rPr>
        <w:t xml:space="preserve">that the return on equity for one utility cannot be applied to another utility, as many issues are involved including customer service, operational performance and management.  </w:t>
      </w:r>
      <w:r w:rsidR="00742A98">
        <w:rPr>
          <w:sz w:val="26"/>
          <w:szCs w:val="26"/>
        </w:rPr>
        <w:t>Duquesne R.</w:t>
      </w:r>
      <w:r w:rsidR="00E26027">
        <w:rPr>
          <w:sz w:val="26"/>
          <w:szCs w:val="26"/>
        </w:rPr>
        <w:t>Exc. at 3.</w:t>
      </w:r>
    </w:p>
    <w:p w:rsidR="00AD7E63" w:rsidRDefault="00A2771F" w:rsidP="0060240A">
      <w:pPr>
        <w:spacing w:line="360" w:lineRule="auto"/>
        <w:rPr>
          <w:sz w:val="26"/>
          <w:szCs w:val="26"/>
        </w:rPr>
      </w:pPr>
      <w:r>
        <w:rPr>
          <w:sz w:val="26"/>
          <w:szCs w:val="26"/>
        </w:rPr>
        <w:tab/>
      </w:r>
      <w:r>
        <w:rPr>
          <w:sz w:val="26"/>
          <w:szCs w:val="26"/>
        </w:rPr>
        <w:tab/>
      </w:r>
    </w:p>
    <w:p w:rsidR="00571C9C" w:rsidRDefault="002424C1" w:rsidP="002424C1">
      <w:pPr>
        <w:pStyle w:val="Heading5"/>
      </w:pPr>
      <w:bookmarkStart w:id="50" w:name="_Toc260906613"/>
      <w:r>
        <w:t>(4)</w:t>
      </w:r>
      <w:r>
        <w:tab/>
      </w:r>
      <w:r w:rsidR="00571C9C" w:rsidRPr="00571C9C">
        <w:t>Disposition</w:t>
      </w:r>
      <w:bookmarkEnd w:id="50"/>
    </w:p>
    <w:p w:rsidR="00DB1442" w:rsidRPr="0058579A" w:rsidRDefault="00DB1442" w:rsidP="00DB1442">
      <w:pPr>
        <w:rPr>
          <w:sz w:val="26"/>
          <w:szCs w:val="26"/>
        </w:rPr>
      </w:pPr>
    </w:p>
    <w:p w:rsidR="00DB1442" w:rsidRPr="0058579A" w:rsidRDefault="00DB1442" w:rsidP="0058579A">
      <w:pPr>
        <w:pStyle w:val="PlainText"/>
        <w:spacing w:line="360" w:lineRule="auto"/>
        <w:ind w:firstLine="1440"/>
        <w:rPr>
          <w:rFonts w:ascii="Times New Roman" w:hAnsi="Times New Roman" w:cs="Times New Roman"/>
          <w:sz w:val="26"/>
          <w:szCs w:val="26"/>
        </w:rPr>
      </w:pPr>
      <w:r w:rsidRPr="0058579A">
        <w:rPr>
          <w:rFonts w:ascii="Times New Roman" w:hAnsi="Times New Roman" w:cs="Times New Roman"/>
          <w:sz w:val="26"/>
          <w:szCs w:val="26"/>
        </w:rPr>
        <w:t xml:space="preserve">Based upon our review of this issue, we conclude that the cost of common equity for </w:t>
      </w:r>
      <w:r w:rsidR="0058579A">
        <w:rPr>
          <w:rFonts w:ascii="Times New Roman" w:hAnsi="Times New Roman" w:cs="Times New Roman"/>
          <w:sz w:val="26"/>
          <w:szCs w:val="26"/>
        </w:rPr>
        <w:t>Duquesne</w:t>
      </w:r>
      <w:r w:rsidRPr="0058579A">
        <w:rPr>
          <w:rFonts w:ascii="Times New Roman" w:hAnsi="Times New Roman" w:cs="Times New Roman"/>
          <w:sz w:val="26"/>
          <w:szCs w:val="26"/>
        </w:rPr>
        <w:t xml:space="preserve"> will be determined as follows:  if </w:t>
      </w:r>
      <w:r w:rsidR="0058579A">
        <w:rPr>
          <w:rFonts w:ascii="Times New Roman" w:hAnsi="Times New Roman" w:cs="Times New Roman"/>
          <w:sz w:val="26"/>
          <w:szCs w:val="26"/>
        </w:rPr>
        <w:t>Duquesne</w:t>
      </w:r>
      <w:r w:rsidRPr="0058579A">
        <w:rPr>
          <w:rFonts w:ascii="Times New Roman" w:hAnsi="Times New Roman" w:cs="Times New Roman"/>
          <w:sz w:val="26"/>
          <w:szCs w:val="26"/>
        </w:rPr>
        <w:t xml:space="preserve"> has a Return on Equity (ROE) from a litigated base rate case that is less than three years old, that ROE is to be used to determine the weighted average cost of capital under the Plan.  If, however, the last litigated base rate case is more than three years old, the Quarterly ROE </w:t>
      </w:r>
      <w:r w:rsidR="008F6D32">
        <w:rPr>
          <w:rFonts w:ascii="Times New Roman" w:hAnsi="Times New Roman" w:cs="Times New Roman"/>
          <w:sz w:val="26"/>
          <w:szCs w:val="26"/>
        </w:rPr>
        <w:t xml:space="preserve">as calculated and recommended by the Bureau of Fixed Utility Services </w:t>
      </w:r>
      <w:r w:rsidRPr="0058579A">
        <w:rPr>
          <w:rFonts w:ascii="Times New Roman" w:hAnsi="Times New Roman" w:cs="Times New Roman"/>
          <w:sz w:val="26"/>
          <w:szCs w:val="26"/>
        </w:rPr>
        <w:t xml:space="preserve">for the electric utility barometer group included in the </w:t>
      </w:r>
      <w:r w:rsidR="00742A98">
        <w:rPr>
          <w:rFonts w:ascii="Times New Roman" w:hAnsi="Times New Roman" w:cs="Times New Roman"/>
          <w:sz w:val="26"/>
          <w:szCs w:val="26"/>
        </w:rPr>
        <w:t xml:space="preserve">then most recent </w:t>
      </w:r>
      <w:r w:rsidRPr="0058579A">
        <w:rPr>
          <w:rFonts w:ascii="Times New Roman" w:hAnsi="Times New Roman" w:cs="Times New Roman"/>
          <w:sz w:val="26"/>
          <w:szCs w:val="26"/>
        </w:rPr>
        <w:t xml:space="preserve">Quarterly Earnings Report </w:t>
      </w:r>
      <w:r w:rsidR="00C744F6">
        <w:rPr>
          <w:rFonts w:ascii="Times New Roman" w:hAnsi="Times New Roman" w:cs="Times New Roman"/>
          <w:sz w:val="26"/>
          <w:szCs w:val="26"/>
        </w:rPr>
        <w:t>is</w:t>
      </w:r>
      <w:r w:rsidRPr="0058579A">
        <w:rPr>
          <w:rFonts w:ascii="Times New Roman" w:hAnsi="Times New Roman" w:cs="Times New Roman"/>
          <w:sz w:val="26"/>
          <w:szCs w:val="26"/>
        </w:rPr>
        <w:t xml:space="preserve"> to be utilized until an ROE is determined in a subsequent litigated base rate case, to be effective for the subsequent three year period.  To the extent that the subsequent base rate </w:t>
      </w:r>
      <w:r w:rsidRPr="0058579A">
        <w:rPr>
          <w:rFonts w:ascii="Times New Roman" w:hAnsi="Times New Roman" w:cs="Times New Roman"/>
          <w:sz w:val="26"/>
          <w:szCs w:val="26"/>
        </w:rPr>
        <w:lastRenderedPageBreak/>
        <w:t xml:space="preserve">case is settled, </w:t>
      </w:r>
      <w:r w:rsidR="00742A98">
        <w:rPr>
          <w:rFonts w:ascii="Times New Roman" w:hAnsi="Times New Roman" w:cs="Times New Roman"/>
          <w:sz w:val="26"/>
          <w:szCs w:val="26"/>
        </w:rPr>
        <w:t xml:space="preserve">the </w:t>
      </w:r>
      <w:r w:rsidRPr="0058579A">
        <w:rPr>
          <w:rFonts w:ascii="Times New Roman" w:hAnsi="Times New Roman" w:cs="Times New Roman"/>
          <w:sz w:val="26"/>
          <w:szCs w:val="26"/>
        </w:rPr>
        <w:t>parties are to establish the applicable ROE to apply for the purposes of the Plan recovery mechanism in that proceeding.</w:t>
      </w:r>
    </w:p>
    <w:p w:rsidR="00DB1442" w:rsidRPr="0058579A" w:rsidRDefault="00DB1442" w:rsidP="0058579A">
      <w:pPr>
        <w:pStyle w:val="PlainText"/>
        <w:spacing w:line="360" w:lineRule="auto"/>
        <w:rPr>
          <w:rFonts w:ascii="Times New Roman" w:hAnsi="Times New Roman" w:cs="Times New Roman"/>
          <w:sz w:val="26"/>
          <w:szCs w:val="26"/>
        </w:rPr>
      </w:pPr>
    </w:p>
    <w:p w:rsidR="005028D1" w:rsidRDefault="00DB1442" w:rsidP="0058579A">
      <w:pPr>
        <w:spacing w:line="360" w:lineRule="auto"/>
        <w:ind w:firstLine="1440"/>
        <w:rPr>
          <w:sz w:val="26"/>
          <w:szCs w:val="26"/>
        </w:rPr>
      </w:pPr>
      <w:r w:rsidRPr="0058579A">
        <w:rPr>
          <w:sz w:val="26"/>
          <w:szCs w:val="26"/>
        </w:rPr>
        <w:t xml:space="preserve">While the water company DSIC ROE computation is based upon a litigated allowance unless two years has passed since that ROE was established, we believe that a span of three years for those EDCs filing smart meter plans is reasonable.  Although the three year period may not represent the historic filing of our EDCs over the last two decades, we believe that, given today’s economic uncertainty, the use of a three year period to establish this component of rate recovery is also reasonable.  </w:t>
      </w:r>
    </w:p>
    <w:p w:rsidR="005028D1" w:rsidRDefault="005028D1" w:rsidP="0058579A">
      <w:pPr>
        <w:spacing w:line="360" w:lineRule="auto"/>
        <w:ind w:firstLine="1440"/>
        <w:rPr>
          <w:sz w:val="26"/>
          <w:szCs w:val="26"/>
        </w:rPr>
      </w:pPr>
    </w:p>
    <w:p w:rsidR="004707A8" w:rsidRDefault="00DB1442" w:rsidP="00A922BD">
      <w:pPr>
        <w:spacing w:line="360" w:lineRule="auto"/>
        <w:ind w:firstLine="1440"/>
        <w:rPr>
          <w:sz w:val="26"/>
          <w:szCs w:val="26"/>
        </w:rPr>
      </w:pPr>
      <w:r w:rsidRPr="0058579A">
        <w:rPr>
          <w:sz w:val="26"/>
          <w:szCs w:val="26"/>
        </w:rPr>
        <w:t>Accordingly, we shall re</w:t>
      </w:r>
      <w:r w:rsidR="00302776">
        <w:rPr>
          <w:sz w:val="26"/>
          <w:szCs w:val="26"/>
        </w:rPr>
        <w:t>ject</w:t>
      </w:r>
      <w:r w:rsidRPr="0058579A">
        <w:rPr>
          <w:sz w:val="26"/>
          <w:szCs w:val="26"/>
        </w:rPr>
        <w:t xml:space="preserve"> the recommendation of the ALJ and adopt the OTS’s position</w:t>
      </w:r>
      <w:r w:rsidR="005028D1">
        <w:rPr>
          <w:sz w:val="26"/>
          <w:szCs w:val="26"/>
        </w:rPr>
        <w:t xml:space="preserve"> with regard to </w:t>
      </w:r>
      <w:r w:rsidR="00302776">
        <w:rPr>
          <w:sz w:val="26"/>
          <w:szCs w:val="26"/>
        </w:rPr>
        <w:t>ROE</w:t>
      </w:r>
      <w:r w:rsidRPr="0058579A">
        <w:rPr>
          <w:sz w:val="26"/>
          <w:szCs w:val="26"/>
        </w:rPr>
        <w:t>.</w:t>
      </w:r>
    </w:p>
    <w:p w:rsidR="007D6228" w:rsidRDefault="007D6228" w:rsidP="007D6228">
      <w:pPr>
        <w:spacing w:line="360" w:lineRule="auto"/>
        <w:rPr>
          <w:sz w:val="26"/>
          <w:szCs w:val="26"/>
        </w:rPr>
      </w:pPr>
    </w:p>
    <w:p w:rsidR="005E135E" w:rsidRPr="00E64F3C" w:rsidRDefault="0022348D" w:rsidP="0022348D">
      <w:pPr>
        <w:pStyle w:val="Heading2"/>
      </w:pPr>
      <w:bookmarkStart w:id="51" w:name="_Toc260906614"/>
      <w:r>
        <w:t>B.</w:t>
      </w:r>
      <w:r>
        <w:tab/>
      </w:r>
      <w:r w:rsidR="005E135E" w:rsidRPr="00E64F3C">
        <w:t>Meter Capabilities</w:t>
      </w:r>
      <w:bookmarkEnd w:id="51"/>
    </w:p>
    <w:p w:rsidR="0029457E" w:rsidRDefault="0029457E" w:rsidP="0060240A">
      <w:pPr>
        <w:spacing w:line="360" w:lineRule="auto"/>
        <w:rPr>
          <w:sz w:val="26"/>
          <w:szCs w:val="26"/>
        </w:rPr>
      </w:pPr>
    </w:p>
    <w:p w:rsidR="00A444A0" w:rsidRPr="00E64F3C" w:rsidRDefault="0016608E" w:rsidP="0016608E">
      <w:pPr>
        <w:pStyle w:val="Heading3"/>
      </w:pPr>
      <w:bookmarkStart w:id="52" w:name="_Toc260906615"/>
      <w:r>
        <w:t>1.</w:t>
      </w:r>
      <w:r>
        <w:tab/>
      </w:r>
      <w:r w:rsidR="00A444A0" w:rsidRPr="00E64F3C">
        <w:t>Provisions of the Plan</w:t>
      </w:r>
      <w:bookmarkEnd w:id="52"/>
    </w:p>
    <w:p w:rsidR="00A444A0" w:rsidRDefault="00A444A0" w:rsidP="0060240A">
      <w:pPr>
        <w:spacing w:line="360" w:lineRule="auto"/>
        <w:rPr>
          <w:sz w:val="26"/>
          <w:szCs w:val="26"/>
        </w:rPr>
      </w:pPr>
    </w:p>
    <w:p w:rsidR="0029457E" w:rsidRDefault="009C64B8" w:rsidP="009C64B8">
      <w:pPr>
        <w:spacing w:line="360" w:lineRule="auto"/>
        <w:ind w:firstLine="1440"/>
        <w:rPr>
          <w:sz w:val="26"/>
          <w:szCs w:val="26"/>
        </w:rPr>
      </w:pPr>
      <w:r>
        <w:rPr>
          <w:sz w:val="26"/>
          <w:szCs w:val="26"/>
        </w:rPr>
        <w:t xml:space="preserve">With regard to the issue of whether Duquesne should be required to install Home Area Network (HAN) smart meters at this time, Duquesne has indicated that it is evaluating this matter and it will be addressed in its </w:t>
      </w:r>
      <w:r w:rsidR="00452408">
        <w:rPr>
          <w:sz w:val="26"/>
          <w:szCs w:val="26"/>
        </w:rPr>
        <w:t>July 1, 2010 filing</w:t>
      </w:r>
      <w:r>
        <w:rPr>
          <w:sz w:val="26"/>
          <w:szCs w:val="26"/>
        </w:rPr>
        <w:t xml:space="preserve"> to the Commission.</w:t>
      </w:r>
      <w:r w:rsidR="00321291">
        <w:rPr>
          <w:sz w:val="26"/>
          <w:szCs w:val="26"/>
        </w:rPr>
        <w:t xml:space="preserve">  Duquesne plans to purchase meters that will enable communications with HAN devices, however, it is Duquesne’s position that since HANs are located inside the home and on the customer side of the electric meter, this device is one for customers to purchase directly or through their authorized third party.  </w:t>
      </w:r>
      <w:r w:rsidR="007F3A7E">
        <w:rPr>
          <w:sz w:val="26"/>
          <w:szCs w:val="26"/>
        </w:rPr>
        <w:t>Duquesne indicated that the Commission does not need to decide this issue at this time.  I.D. at 32-34.</w:t>
      </w:r>
    </w:p>
    <w:p w:rsidR="00152654" w:rsidRDefault="00152654" w:rsidP="0060240A">
      <w:pPr>
        <w:spacing w:line="360" w:lineRule="auto"/>
        <w:rPr>
          <w:sz w:val="26"/>
          <w:szCs w:val="26"/>
        </w:rPr>
      </w:pPr>
    </w:p>
    <w:p w:rsidR="00C10871" w:rsidRDefault="00C10871" w:rsidP="0060240A">
      <w:pPr>
        <w:spacing w:line="360" w:lineRule="auto"/>
        <w:rPr>
          <w:sz w:val="26"/>
          <w:szCs w:val="26"/>
        </w:rPr>
      </w:pPr>
    </w:p>
    <w:p w:rsidR="007F3A7E" w:rsidRPr="00E64F3C" w:rsidRDefault="0016608E" w:rsidP="0016608E">
      <w:pPr>
        <w:pStyle w:val="Heading3"/>
      </w:pPr>
      <w:bookmarkStart w:id="53" w:name="_Toc260906616"/>
      <w:r>
        <w:lastRenderedPageBreak/>
        <w:t>2.</w:t>
      </w:r>
      <w:r>
        <w:tab/>
      </w:r>
      <w:r w:rsidR="007F3A7E" w:rsidRPr="00E64F3C">
        <w:t>ALJ Recommendation</w:t>
      </w:r>
      <w:bookmarkEnd w:id="53"/>
    </w:p>
    <w:p w:rsidR="007F3A7E" w:rsidRDefault="007F3A7E" w:rsidP="0060240A">
      <w:pPr>
        <w:spacing w:line="360" w:lineRule="auto"/>
        <w:rPr>
          <w:sz w:val="26"/>
          <w:szCs w:val="26"/>
        </w:rPr>
      </w:pPr>
    </w:p>
    <w:p w:rsidR="0016608E" w:rsidRDefault="00152654" w:rsidP="00932A84">
      <w:pPr>
        <w:spacing w:line="360" w:lineRule="auto"/>
        <w:ind w:firstLine="1440"/>
        <w:rPr>
          <w:sz w:val="26"/>
          <w:szCs w:val="26"/>
        </w:rPr>
      </w:pPr>
      <w:r>
        <w:rPr>
          <w:sz w:val="26"/>
          <w:szCs w:val="26"/>
        </w:rPr>
        <w:t>The ALJ rejected the position of DEP on requiring the installation of HAN smart meters at this time.  I.D. at 34.</w:t>
      </w:r>
    </w:p>
    <w:p w:rsidR="007D6228" w:rsidRDefault="007D6228" w:rsidP="00932A84">
      <w:pPr>
        <w:spacing w:line="360" w:lineRule="auto"/>
        <w:ind w:firstLine="1440"/>
        <w:rPr>
          <w:sz w:val="26"/>
          <w:szCs w:val="26"/>
        </w:rPr>
      </w:pPr>
    </w:p>
    <w:p w:rsidR="00152654" w:rsidRDefault="0016608E" w:rsidP="0016608E">
      <w:pPr>
        <w:pStyle w:val="Heading3"/>
      </w:pPr>
      <w:bookmarkStart w:id="54" w:name="_Toc260906617"/>
      <w:r>
        <w:t>3.</w:t>
      </w:r>
      <w:r>
        <w:tab/>
      </w:r>
      <w:r w:rsidR="00152654" w:rsidRPr="00B61FF4">
        <w:t>Exceptions and Replies</w:t>
      </w:r>
      <w:bookmarkEnd w:id="54"/>
    </w:p>
    <w:p w:rsidR="00B61FF4" w:rsidRDefault="00B61FF4" w:rsidP="00B61FF4">
      <w:pPr>
        <w:spacing w:line="360" w:lineRule="auto"/>
        <w:rPr>
          <w:b/>
          <w:sz w:val="26"/>
          <w:szCs w:val="26"/>
        </w:rPr>
      </w:pPr>
    </w:p>
    <w:p w:rsidR="00B61FF4" w:rsidRDefault="00B61FF4" w:rsidP="00C253A1">
      <w:pPr>
        <w:spacing w:line="360" w:lineRule="auto"/>
        <w:ind w:firstLine="1440"/>
        <w:rPr>
          <w:sz w:val="26"/>
          <w:szCs w:val="26"/>
        </w:rPr>
      </w:pPr>
      <w:r>
        <w:rPr>
          <w:sz w:val="26"/>
          <w:szCs w:val="26"/>
        </w:rPr>
        <w:t>D</w:t>
      </w:r>
      <w:r w:rsidR="00C253A1">
        <w:rPr>
          <w:sz w:val="26"/>
          <w:szCs w:val="26"/>
        </w:rPr>
        <w:t>EP</w:t>
      </w:r>
      <w:r>
        <w:rPr>
          <w:sz w:val="26"/>
          <w:szCs w:val="26"/>
        </w:rPr>
        <w:t xml:space="preserve"> contends that the ALJ erred in not requiring that Duquesne’s smart meters meet the definition of “Smart Meter Technology” in Act 129</w:t>
      </w:r>
      <w:r w:rsidR="00C253A1">
        <w:rPr>
          <w:sz w:val="26"/>
          <w:szCs w:val="26"/>
        </w:rPr>
        <w:t xml:space="preserve"> and the Commission’s </w:t>
      </w:r>
      <w:r w:rsidR="00C253A1" w:rsidRPr="00452408">
        <w:rPr>
          <w:i/>
          <w:sz w:val="26"/>
          <w:szCs w:val="26"/>
        </w:rPr>
        <w:t>Implementation Order</w:t>
      </w:r>
      <w:r w:rsidR="00C253A1">
        <w:rPr>
          <w:sz w:val="26"/>
          <w:szCs w:val="26"/>
        </w:rPr>
        <w:t xml:space="preserve">.  DEP </w:t>
      </w:r>
      <w:r w:rsidR="00493D61">
        <w:rPr>
          <w:sz w:val="26"/>
          <w:szCs w:val="26"/>
        </w:rPr>
        <w:t>submits that</w:t>
      </w:r>
      <w:r w:rsidR="00452408">
        <w:rPr>
          <w:sz w:val="26"/>
          <w:szCs w:val="26"/>
        </w:rPr>
        <w:t>,</w:t>
      </w:r>
      <w:r w:rsidR="00493D61">
        <w:rPr>
          <w:sz w:val="26"/>
          <w:szCs w:val="26"/>
        </w:rPr>
        <w:t xml:space="preserve"> while Duquesne’s SMP does indicate that Duquesne will evaluate HANs, Duquesne has not expressly stated it will deploy smart meters with this functionality.  DEP a</w:t>
      </w:r>
      <w:r w:rsidR="008326DF">
        <w:rPr>
          <w:sz w:val="26"/>
          <w:szCs w:val="26"/>
        </w:rPr>
        <w:t>vers</w:t>
      </w:r>
      <w:r w:rsidR="00493D61">
        <w:rPr>
          <w:sz w:val="26"/>
          <w:szCs w:val="26"/>
        </w:rPr>
        <w:t xml:space="preserve"> that the Commission’s Order approving Duquesne’s SMP should explicitly require Duquesne to deploy smart meters that enable a HAN or similarly capable method with open protocols.  </w:t>
      </w:r>
      <w:r w:rsidR="005B48C9">
        <w:rPr>
          <w:sz w:val="26"/>
          <w:szCs w:val="26"/>
        </w:rPr>
        <w:t>DEP Exc. at 4-5.</w:t>
      </w:r>
    </w:p>
    <w:p w:rsidR="005B48C9" w:rsidRDefault="005B48C9" w:rsidP="00C253A1">
      <w:pPr>
        <w:spacing w:line="360" w:lineRule="auto"/>
        <w:ind w:firstLine="1440"/>
        <w:rPr>
          <w:sz w:val="26"/>
          <w:szCs w:val="26"/>
        </w:rPr>
      </w:pPr>
    </w:p>
    <w:p w:rsidR="008D15C5" w:rsidRDefault="00F1628D" w:rsidP="00C253A1">
      <w:pPr>
        <w:spacing w:line="360" w:lineRule="auto"/>
        <w:ind w:firstLine="1440"/>
        <w:rPr>
          <w:sz w:val="26"/>
          <w:szCs w:val="26"/>
        </w:rPr>
      </w:pPr>
      <w:r>
        <w:rPr>
          <w:sz w:val="26"/>
          <w:szCs w:val="26"/>
        </w:rPr>
        <w:t>Duquesne submits that the ALJ correctly decided not to require Duquesne to deploy smart meters that include HAN at this time.  Duquesne argues that DEP</w:t>
      </w:r>
      <w:r w:rsidR="006A1EE0">
        <w:rPr>
          <w:sz w:val="26"/>
          <w:szCs w:val="26"/>
        </w:rPr>
        <w:t>’s</w:t>
      </w:r>
      <w:r>
        <w:rPr>
          <w:sz w:val="26"/>
          <w:szCs w:val="26"/>
        </w:rPr>
        <w:t xml:space="preserve"> attempt to interpret the plain language of Section 2807(g) </w:t>
      </w:r>
      <w:r w:rsidR="006A1EE0">
        <w:rPr>
          <w:sz w:val="26"/>
          <w:szCs w:val="26"/>
        </w:rPr>
        <w:t xml:space="preserve">to include a requirement for HAN or similarly capable method with open protocols is flawed.  Duquesne avers that section 2807(g) makes no mention of HAN or </w:t>
      </w:r>
      <w:r w:rsidR="00493256">
        <w:rPr>
          <w:sz w:val="26"/>
          <w:szCs w:val="26"/>
        </w:rPr>
        <w:t xml:space="preserve">any </w:t>
      </w:r>
      <w:r w:rsidR="006A1EE0">
        <w:rPr>
          <w:sz w:val="26"/>
          <w:szCs w:val="26"/>
        </w:rPr>
        <w:t xml:space="preserve">similarly capable method of open protocols.  </w:t>
      </w:r>
      <w:r w:rsidR="001D3191">
        <w:rPr>
          <w:sz w:val="26"/>
          <w:szCs w:val="26"/>
        </w:rPr>
        <w:t>Duquesne argues that this issue is specifically to be examined during the Grace Period, and may be waived after the cost-benefit analysis, as correctly determined by the ALJ.  Duquesne R. Exc. at 19-20.</w:t>
      </w:r>
    </w:p>
    <w:p w:rsidR="008D15C5" w:rsidRDefault="008D15C5" w:rsidP="00C253A1">
      <w:pPr>
        <w:spacing w:line="360" w:lineRule="auto"/>
        <w:ind w:firstLine="1440"/>
        <w:rPr>
          <w:sz w:val="26"/>
          <w:szCs w:val="26"/>
        </w:rPr>
      </w:pPr>
    </w:p>
    <w:p w:rsidR="008326DF" w:rsidRDefault="008D15C5" w:rsidP="00C253A1">
      <w:pPr>
        <w:spacing w:line="360" w:lineRule="auto"/>
        <w:ind w:firstLine="1440"/>
        <w:rPr>
          <w:sz w:val="26"/>
          <w:szCs w:val="26"/>
        </w:rPr>
      </w:pPr>
      <w:r>
        <w:rPr>
          <w:sz w:val="26"/>
          <w:szCs w:val="26"/>
        </w:rPr>
        <w:t xml:space="preserve">Duquesne reiterates that it intends to analyze the HAN capability and will submit information on HAN in future filings.  Duquesne </w:t>
      </w:r>
      <w:r w:rsidR="008326DF">
        <w:rPr>
          <w:sz w:val="26"/>
          <w:szCs w:val="26"/>
        </w:rPr>
        <w:t>agrees with the ALJ that the Commission does not need to decide this issue at this time.  Duquesne R. Exc. at 20.</w:t>
      </w:r>
    </w:p>
    <w:p w:rsidR="00152654" w:rsidRDefault="006A1EE0" w:rsidP="00C91C3F">
      <w:pPr>
        <w:spacing w:line="360" w:lineRule="auto"/>
        <w:ind w:firstLine="1440"/>
        <w:rPr>
          <w:sz w:val="26"/>
          <w:szCs w:val="26"/>
        </w:rPr>
      </w:pPr>
      <w:r>
        <w:rPr>
          <w:sz w:val="26"/>
          <w:szCs w:val="26"/>
        </w:rPr>
        <w:t xml:space="preserve"> </w:t>
      </w:r>
    </w:p>
    <w:p w:rsidR="001D5915" w:rsidRPr="001D5915" w:rsidRDefault="0016608E" w:rsidP="0016608E">
      <w:pPr>
        <w:pStyle w:val="Heading3"/>
      </w:pPr>
      <w:bookmarkStart w:id="55" w:name="_Toc260906618"/>
      <w:r>
        <w:lastRenderedPageBreak/>
        <w:t>4.</w:t>
      </w:r>
      <w:r>
        <w:tab/>
      </w:r>
      <w:r w:rsidR="001D5915" w:rsidRPr="001D5915">
        <w:t>Disposition</w:t>
      </w:r>
      <w:bookmarkEnd w:id="55"/>
    </w:p>
    <w:p w:rsidR="00A444A0" w:rsidRDefault="00A444A0" w:rsidP="000C02F4">
      <w:pPr>
        <w:spacing w:line="360" w:lineRule="auto"/>
        <w:rPr>
          <w:sz w:val="26"/>
          <w:szCs w:val="26"/>
        </w:rPr>
      </w:pPr>
    </w:p>
    <w:p w:rsidR="007D6228" w:rsidRDefault="00F403C1" w:rsidP="007D6228">
      <w:pPr>
        <w:spacing w:line="360" w:lineRule="auto"/>
        <w:ind w:firstLine="1440"/>
        <w:rPr>
          <w:sz w:val="26"/>
          <w:szCs w:val="26"/>
        </w:rPr>
      </w:pPr>
      <w:r>
        <w:rPr>
          <w:sz w:val="26"/>
          <w:szCs w:val="26"/>
        </w:rPr>
        <w:t xml:space="preserve">We will deny DEP’s Exception that Duquesne be required to deploy smart meters that include HAN at this time. </w:t>
      </w:r>
      <w:r w:rsidR="004E4831">
        <w:rPr>
          <w:sz w:val="26"/>
          <w:szCs w:val="26"/>
        </w:rPr>
        <w:t xml:space="preserve"> As previously discussed, Duquesne has indicated that it is evaluating this matter and it will be addressed in its report to the Commission.  Also, Duquesne has stated that it plans to purchase meters that will enable communications with HAN devices.  We agree with the ALJ </w:t>
      </w:r>
      <w:r w:rsidR="007A2F1B">
        <w:rPr>
          <w:sz w:val="26"/>
          <w:szCs w:val="26"/>
        </w:rPr>
        <w:t xml:space="preserve">and Duquesne that it is premature to address this issue </w:t>
      </w:r>
      <w:r w:rsidR="00A072EC">
        <w:rPr>
          <w:sz w:val="26"/>
          <w:szCs w:val="26"/>
        </w:rPr>
        <w:t>in light of further analysis that Duquesne intends to make.  T</w:t>
      </w:r>
      <w:r w:rsidR="007A2F1B">
        <w:rPr>
          <w:sz w:val="26"/>
          <w:szCs w:val="26"/>
        </w:rPr>
        <w:t>herefore</w:t>
      </w:r>
      <w:r w:rsidR="00A072EC">
        <w:rPr>
          <w:sz w:val="26"/>
          <w:szCs w:val="26"/>
        </w:rPr>
        <w:t>,</w:t>
      </w:r>
      <w:r w:rsidR="007A2F1B">
        <w:rPr>
          <w:sz w:val="26"/>
          <w:szCs w:val="26"/>
        </w:rPr>
        <w:t xml:space="preserve"> we will not require Duquesne to install smart meters with HAN capabilities at this point in time.</w:t>
      </w:r>
      <w:r w:rsidR="004E4831">
        <w:rPr>
          <w:sz w:val="26"/>
          <w:szCs w:val="26"/>
        </w:rPr>
        <w:t xml:space="preserve">   </w:t>
      </w:r>
    </w:p>
    <w:p w:rsidR="00517D77" w:rsidRDefault="00517D77" w:rsidP="000C02F4">
      <w:pPr>
        <w:spacing w:line="360" w:lineRule="auto"/>
        <w:rPr>
          <w:sz w:val="26"/>
          <w:szCs w:val="26"/>
        </w:rPr>
      </w:pPr>
    </w:p>
    <w:p w:rsidR="001D5915" w:rsidRPr="00E64F3C" w:rsidRDefault="0022348D" w:rsidP="0022348D">
      <w:pPr>
        <w:pStyle w:val="Heading2"/>
      </w:pPr>
      <w:bookmarkStart w:id="56" w:name="_Toc260906619"/>
      <w:r>
        <w:t>C.</w:t>
      </w:r>
      <w:r>
        <w:tab/>
      </w:r>
      <w:r w:rsidR="001D5915" w:rsidRPr="00E64F3C">
        <w:t>M</w:t>
      </w:r>
      <w:r w:rsidR="00F75EF1" w:rsidRPr="00E64F3C">
        <w:t>ilestones and Implementation Schedule</w:t>
      </w:r>
      <w:bookmarkEnd w:id="56"/>
    </w:p>
    <w:p w:rsidR="00152654" w:rsidRDefault="00152654" w:rsidP="0060240A">
      <w:pPr>
        <w:spacing w:line="360" w:lineRule="auto"/>
        <w:rPr>
          <w:sz w:val="26"/>
          <w:szCs w:val="26"/>
        </w:rPr>
      </w:pPr>
    </w:p>
    <w:p w:rsidR="00DB284E" w:rsidRPr="00E64F3C" w:rsidRDefault="0041512B" w:rsidP="0041512B">
      <w:pPr>
        <w:pStyle w:val="Heading3"/>
      </w:pPr>
      <w:bookmarkStart w:id="57" w:name="_Toc260906620"/>
      <w:r>
        <w:t>1.</w:t>
      </w:r>
      <w:r>
        <w:tab/>
      </w:r>
      <w:r w:rsidR="00DB284E" w:rsidRPr="00E64F3C">
        <w:t>Provisions of the Plan</w:t>
      </w:r>
      <w:bookmarkEnd w:id="57"/>
    </w:p>
    <w:p w:rsidR="00152654" w:rsidRDefault="00152654" w:rsidP="0060240A">
      <w:pPr>
        <w:spacing w:line="360" w:lineRule="auto"/>
        <w:rPr>
          <w:sz w:val="26"/>
          <w:szCs w:val="26"/>
        </w:rPr>
      </w:pPr>
    </w:p>
    <w:p w:rsidR="00D75973" w:rsidRDefault="008916E2" w:rsidP="00B14E15">
      <w:pPr>
        <w:spacing w:line="360" w:lineRule="auto"/>
        <w:ind w:firstLine="1440"/>
        <w:rPr>
          <w:sz w:val="26"/>
          <w:szCs w:val="26"/>
        </w:rPr>
      </w:pPr>
      <w:r>
        <w:rPr>
          <w:sz w:val="26"/>
          <w:szCs w:val="26"/>
        </w:rPr>
        <w:t xml:space="preserve">Duquesne’s SMP </w:t>
      </w:r>
      <w:r w:rsidR="00B14E15">
        <w:rPr>
          <w:sz w:val="26"/>
          <w:szCs w:val="26"/>
        </w:rPr>
        <w:t>and petition state</w:t>
      </w:r>
      <w:r>
        <w:rPr>
          <w:sz w:val="26"/>
          <w:szCs w:val="26"/>
        </w:rPr>
        <w:t xml:space="preserve"> that Duquesne will complete the installation of the smart meter network by October 1, 2012, complete the rollout of 8,000 smart meters by December 31, 2013</w:t>
      </w:r>
      <w:r w:rsidR="00493256">
        <w:rPr>
          <w:sz w:val="26"/>
          <w:szCs w:val="26"/>
        </w:rPr>
        <w:t>,</w:t>
      </w:r>
      <w:r>
        <w:rPr>
          <w:sz w:val="26"/>
          <w:szCs w:val="26"/>
        </w:rPr>
        <w:t xml:space="preserve"> and complete </w:t>
      </w:r>
      <w:r w:rsidR="00B14E15">
        <w:rPr>
          <w:sz w:val="26"/>
          <w:szCs w:val="26"/>
        </w:rPr>
        <w:t xml:space="preserve">system-wide deployment of smart meters by December 31, 2018.  Petition at 12; Duquesne SMP at 13.  Duquesne’s SMP also states that the “dates are approximate” and that it is simply Duquesne’s </w:t>
      </w:r>
      <w:r w:rsidR="00E968F6">
        <w:rPr>
          <w:sz w:val="26"/>
          <w:szCs w:val="26"/>
        </w:rPr>
        <w:t>“intent” to meet the 15 year deployment schedule provided by Act 129.  Petition at 10; SMP, DLC Ex. A, at 37.</w:t>
      </w:r>
    </w:p>
    <w:p w:rsidR="00E50435" w:rsidRPr="00537150" w:rsidRDefault="00E50435" w:rsidP="00537150">
      <w:pPr>
        <w:spacing w:line="360" w:lineRule="auto"/>
        <w:rPr>
          <w:b/>
          <w:sz w:val="26"/>
          <w:szCs w:val="26"/>
        </w:rPr>
      </w:pPr>
    </w:p>
    <w:p w:rsidR="00537150" w:rsidRPr="00E64F3C" w:rsidRDefault="0041512B" w:rsidP="0041512B">
      <w:pPr>
        <w:pStyle w:val="Heading3"/>
      </w:pPr>
      <w:bookmarkStart w:id="58" w:name="_Toc260906621"/>
      <w:r>
        <w:t>2.</w:t>
      </w:r>
      <w:r>
        <w:tab/>
      </w:r>
      <w:r w:rsidR="008713F9" w:rsidRPr="00E64F3C">
        <w:t>ALJ Recommendation</w:t>
      </w:r>
      <w:bookmarkEnd w:id="58"/>
    </w:p>
    <w:p w:rsidR="008713F9" w:rsidRDefault="008713F9" w:rsidP="008713F9">
      <w:pPr>
        <w:pStyle w:val="ListParagraph"/>
        <w:spacing w:line="360" w:lineRule="auto"/>
        <w:ind w:left="2160"/>
        <w:rPr>
          <w:b/>
          <w:sz w:val="26"/>
          <w:szCs w:val="26"/>
        </w:rPr>
      </w:pPr>
    </w:p>
    <w:p w:rsidR="00D823C0" w:rsidRDefault="008713F9" w:rsidP="007D6228">
      <w:pPr>
        <w:spacing w:line="360" w:lineRule="auto"/>
        <w:ind w:firstLine="1440"/>
        <w:rPr>
          <w:sz w:val="26"/>
          <w:szCs w:val="26"/>
        </w:rPr>
      </w:pPr>
      <w:r>
        <w:rPr>
          <w:sz w:val="26"/>
          <w:szCs w:val="26"/>
        </w:rPr>
        <w:t>In his Initial Decision, the ALJ noted that DEP did not present any witness proposing any change, modification, revision</w:t>
      </w:r>
      <w:r w:rsidR="00BA0905">
        <w:rPr>
          <w:sz w:val="26"/>
          <w:szCs w:val="26"/>
        </w:rPr>
        <w:t xml:space="preserve">, etc., to Duquesne’s SMP.  The ALJ </w:t>
      </w:r>
      <w:r w:rsidR="00DF1AFA">
        <w:rPr>
          <w:sz w:val="26"/>
          <w:szCs w:val="26"/>
        </w:rPr>
        <w:t xml:space="preserve">also noted that </w:t>
      </w:r>
      <w:r w:rsidR="005142AA">
        <w:rPr>
          <w:sz w:val="26"/>
          <w:szCs w:val="26"/>
        </w:rPr>
        <w:t xml:space="preserve">DEP’s position in this proceeding was set forth for the first time in its Main </w:t>
      </w:r>
      <w:r w:rsidR="005142AA">
        <w:rPr>
          <w:sz w:val="26"/>
          <w:szCs w:val="26"/>
        </w:rPr>
        <w:lastRenderedPageBreak/>
        <w:t xml:space="preserve">Brief and thus all </w:t>
      </w:r>
      <w:r w:rsidR="00452408">
        <w:rPr>
          <w:sz w:val="26"/>
          <w:szCs w:val="26"/>
        </w:rPr>
        <w:t>P</w:t>
      </w:r>
      <w:r w:rsidR="005142AA">
        <w:rPr>
          <w:sz w:val="26"/>
          <w:szCs w:val="26"/>
        </w:rPr>
        <w:t xml:space="preserve">arties were deprived from testing the reasonableness of its position during the hearing or of addressing it in their respective Main Briefs.  The ALJ pointed out that proposed adjustments of a </w:t>
      </w:r>
      <w:r w:rsidR="00452408">
        <w:rPr>
          <w:sz w:val="26"/>
          <w:szCs w:val="26"/>
        </w:rPr>
        <w:t>P</w:t>
      </w:r>
      <w:r w:rsidR="005142AA">
        <w:rPr>
          <w:sz w:val="26"/>
          <w:szCs w:val="26"/>
        </w:rPr>
        <w:t xml:space="preserve">arty </w:t>
      </w:r>
      <w:r w:rsidR="00635B17">
        <w:rPr>
          <w:sz w:val="26"/>
          <w:szCs w:val="26"/>
        </w:rPr>
        <w:t xml:space="preserve">appearing for the first time in briefs should be rejected because other </w:t>
      </w:r>
      <w:r w:rsidR="00D823C0">
        <w:rPr>
          <w:sz w:val="26"/>
          <w:szCs w:val="26"/>
        </w:rPr>
        <w:t>P</w:t>
      </w:r>
      <w:r w:rsidR="00635B17">
        <w:rPr>
          <w:sz w:val="26"/>
          <w:szCs w:val="26"/>
        </w:rPr>
        <w:t>arties have been denied the opportunity to question and test the premises of the adjustment.</w:t>
      </w:r>
      <w:r w:rsidR="00635B17">
        <w:rPr>
          <w:rStyle w:val="FootnoteReference"/>
          <w:sz w:val="26"/>
          <w:szCs w:val="26"/>
        </w:rPr>
        <w:footnoteReference w:id="9"/>
      </w:r>
      <w:r w:rsidR="00635B17">
        <w:rPr>
          <w:sz w:val="26"/>
          <w:szCs w:val="26"/>
        </w:rPr>
        <w:t xml:space="preserve">  </w:t>
      </w:r>
      <w:r w:rsidR="002D2E97">
        <w:rPr>
          <w:sz w:val="26"/>
          <w:szCs w:val="26"/>
        </w:rPr>
        <w:t>The ALJ recommended that DEP’s proposal to require Duquesne to implement its SMP by a date certain</w:t>
      </w:r>
      <w:r w:rsidR="00476369">
        <w:rPr>
          <w:sz w:val="26"/>
          <w:szCs w:val="26"/>
        </w:rPr>
        <w:t xml:space="preserve"> to complete the installation of the smart meter network by the end of the 30 month grace period be rejected.  I.D. at 34-35.</w:t>
      </w:r>
    </w:p>
    <w:p w:rsidR="00C10871" w:rsidRPr="007D6228" w:rsidRDefault="00C10871" w:rsidP="007D6228">
      <w:pPr>
        <w:spacing w:line="360" w:lineRule="auto"/>
        <w:ind w:firstLine="1440"/>
        <w:rPr>
          <w:sz w:val="26"/>
          <w:szCs w:val="26"/>
        </w:rPr>
      </w:pPr>
    </w:p>
    <w:p w:rsidR="008713F9" w:rsidRPr="008713F9" w:rsidRDefault="0041512B" w:rsidP="0041512B">
      <w:pPr>
        <w:pStyle w:val="Heading3"/>
      </w:pPr>
      <w:bookmarkStart w:id="59" w:name="_Toc260906622"/>
      <w:r>
        <w:t>3.</w:t>
      </w:r>
      <w:r>
        <w:tab/>
      </w:r>
      <w:r w:rsidR="008713F9">
        <w:t>Exceptions and Replies</w:t>
      </w:r>
      <w:bookmarkEnd w:id="59"/>
    </w:p>
    <w:p w:rsidR="00537150" w:rsidRDefault="00537150" w:rsidP="00537150">
      <w:pPr>
        <w:spacing w:line="360" w:lineRule="auto"/>
        <w:rPr>
          <w:b/>
          <w:sz w:val="26"/>
          <w:szCs w:val="26"/>
        </w:rPr>
      </w:pPr>
    </w:p>
    <w:p w:rsidR="00377696" w:rsidRDefault="006A3884" w:rsidP="00A95597">
      <w:pPr>
        <w:spacing w:line="360" w:lineRule="auto"/>
        <w:ind w:firstLine="1440"/>
        <w:rPr>
          <w:sz w:val="26"/>
          <w:szCs w:val="26"/>
        </w:rPr>
      </w:pPr>
      <w:r>
        <w:rPr>
          <w:sz w:val="26"/>
          <w:szCs w:val="26"/>
        </w:rPr>
        <w:t xml:space="preserve">DEP avers that the ALJ </w:t>
      </w:r>
      <w:r w:rsidR="00A862F4">
        <w:rPr>
          <w:sz w:val="26"/>
          <w:szCs w:val="26"/>
        </w:rPr>
        <w:t xml:space="preserve">erred in </w:t>
      </w:r>
      <w:r>
        <w:rPr>
          <w:sz w:val="26"/>
          <w:szCs w:val="26"/>
        </w:rPr>
        <w:t>declin</w:t>
      </w:r>
      <w:r w:rsidR="00A862F4">
        <w:rPr>
          <w:sz w:val="26"/>
          <w:szCs w:val="26"/>
        </w:rPr>
        <w:t>ing to order Duquesne to meet the deadlines established in Duquesne’s SMP</w:t>
      </w:r>
      <w:r w:rsidR="00BB3B0E">
        <w:rPr>
          <w:sz w:val="26"/>
          <w:szCs w:val="26"/>
        </w:rPr>
        <w:t xml:space="preserve">, Act 129 and the </w:t>
      </w:r>
      <w:r w:rsidR="00BB3B0E" w:rsidRPr="00115790">
        <w:rPr>
          <w:i/>
          <w:sz w:val="26"/>
          <w:szCs w:val="26"/>
        </w:rPr>
        <w:t>Implementation Order</w:t>
      </w:r>
      <w:r w:rsidR="00BB3B0E">
        <w:rPr>
          <w:sz w:val="26"/>
          <w:szCs w:val="26"/>
        </w:rPr>
        <w:t xml:space="preserve">.  </w:t>
      </w:r>
      <w:r w:rsidR="00F019A9">
        <w:rPr>
          <w:sz w:val="26"/>
          <w:szCs w:val="26"/>
        </w:rPr>
        <w:t xml:space="preserve">DEP </w:t>
      </w:r>
      <w:r w:rsidR="006E5726">
        <w:rPr>
          <w:sz w:val="26"/>
          <w:szCs w:val="26"/>
        </w:rPr>
        <w:t xml:space="preserve">argues that the Commission should explicitly direct Duquesne to implement its SMP by a date certain to complete the installation of the smart meter network by the end of the 30 month </w:t>
      </w:r>
      <w:r w:rsidR="00115790">
        <w:rPr>
          <w:sz w:val="26"/>
          <w:szCs w:val="26"/>
        </w:rPr>
        <w:t>G</w:t>
      </w:r>
      <w:r w:rsidR="006E5726">
        <w:rPr>
          <w:sz w:val="26"/>
          <w:szCs w:val="26"/>
        </w:rPr>
        <w:t xml:space="preserve">race </w:t>
      </w:r>
      <w:r w:rsidR="00115790">
        <w:rPr>
          <w:sz w:val="26"/>
          <w:szCs w:val="26"/>
        </w:rPr>
        <w:t>P</w:t>
      </w:r>
      <w:r w:rsidR="006E5726">
        <w:rPr>
          <w:sz w:val="26"/>
          <w:szCs w:val="26"/>
        </w:rPr>
        <w:t>eriod</w:t>
      </w:r>
      <w:r w:rsidR="001238ED">
        <w:rPr>
          <w:sz w:val="26"/>
          <w:szCs w:val="26"/>
        </w:rPr>
        <w:t xml:space="preserve">, as required by the </w:t>
      </w:r>
      <w:r w:rsidR="001238ED" w:rsidRPr="00115790">
        <w:rPr>
          <w:i/>
          <w:sz w:val="26"/>
          <w:szCs w:val="26"/>
        </w:rPr>
        <w:t>Implementation Order</w:t>
      </w:r>
      <w:r w:rsidR="001238ED">
        <w:rPr>
          <w:sz w:val="26"/>
          <w:szCs w:val="26"/>
        </w:rPr>
        <w:t>, and to complete system wide deployment of smart meters by January 1, 2019</w:t>
      </w:r>
      <w:r w:rsidR="006E5726">
        <w:rPr>
          <w:sz w:val="26"/>
          <w:szCs w:val="26"/>
        </w:rPr>
        <w:t xml:space="preserve">.  </w:t>
      </w:r>
      <w:r w:rsidR="00377696">
        <w:rPr>
          <w:sz w:val="26"/>
          <w:szCs w:val="26"/>
        </w:rPr>
        <w:t xml:space="preserve">DEP suggests that if Duquesne cannot meet </w:t>
      </w:r>
      <w:r w:rsidR="00115790">
        <w:rPr>
          <w:sz w:val="26"/>
          <w:szCs w:val="26"/>
        </w:rPr>
        <w:t>its</w:t>
      </w:r>
      <w:r w:rsidR="00377696">
        <w:rPr>
          <w:sz w:val="26"/>
          <w:szCs w:val="26"/>
        </w:rPr>
        <w:t xml:space="preserve"> target date, it can request relief from the Commission at the time such need arises.  </w:t>
      </w:r>
      <w:r w:rsidR="00BB3B0E">
        <w:rPr>
          <w:sz w:val="26"/>
          <w:szCs w:val="26"/>
        </w:rPr>
        <w:t xml:space="preserve">DEP </w:t>
      </w:r>
      <w:r w:rsidR="00377696">
        <w:rPr>
          <w:sz w:val="26"/>
          <w:szCs w:val="26"/>
        </w:rPr>
        <w:t xml:space="preserve">Exc. at </w:t>
      </w:r>
      <w:r w:rsidR="00BB3B0E">
        <w:rPr>
          <w:sz w:val="26"/>
          <w:szCs w:val="26"/>
        </w:rPr>
        <w:t>6</w:t>
      </w:r>
      <w:r w:rsidR="00377696">
        <w:rPr>
          <w:sz w:val="26"/>
          <w:szCs w:val="26"/>
        </w:rPr>
        <w:t>-8.</w:t>
      </w:r>
    </w:p>
    <w:p w:rsidR="00AD7A0A" w:rsidRDefault="00AD7A0A" w:rsidP="00A95597">
      <w:pPr>
        <w:spacing w:line="360" w:lineRule="auto"/>
        <w:ind w:firstLine="1440"/>
        <w:rPr>
          <w:sz w:val="26"/>
          <w:szCs w:val="26"/>
        </w:rPr>
      </w:pPr>
    </w:p>
    <w:p w:rsidR="00537150" w:rsidRDefault="003D543A" w:rsidP="006A3884">
      <w:pPr>
        <w:spacing w:line="360" w:lineRule="auto"/>
        <w:ind w:firstLine="1440"/>
        <w:rPr>
          <w:sz w:val="26"/>
          <w:szCs w:val="26"/>
        </w:rPr>
      </w:pPr>
      <w:r>
        <w:rPr>
          <w:sz w:val="26"/>
          <w:szCs w:val="26"/>
        </w:rPr>
        <w:t xml:space="preserve">Duquesne agrees with the ALJ’s rejection of DEP’s position.  Duquesne submits that it has every intention to meet the deadlines set forth in its SMP.  Duquesne points out that it </w:t>
      </w:r>
      <w:r w:rsidR="000C6E84">
        <w:rPr>
          <w:sz w:val="26"/>
          <w:szCs w:val="26"/>
        </w:rPr>
        <w:t xml:space="preserve">has proposed dates that could change based upon a variety of factors, including Commission approvals, unforeseen circumstances, and other matters out of Duquesne’s control.  </w:t>
      </w:r>
      <w:r w:rsidR="00926941">
        <w:rPr>
          <w:sz w:val="26"/>
          <w:szCs w:val="26"/>
        </w:rPr>
        <w:t xml:space="preserve">Duquesne </w:t>
      </w:r>
      <w:r w:rsidR="000C6E84">
        <w:rPr>
          <w:sz w:val="26"/>
          <w:szCs w:val="26"/>
        </w:rPr>
        <w:t>R. Exc. at 21-22.</w:t>
      </w:r>
      <w:r w:rsidR="00F019A9">
        <w:rPr>
          <w:sz w:val="26"/>
          <w:szCs w:val="26"/>
        </w:rPr>
        <w:t xml:space="preserve">  </w:t>
      </w:r>
    </w:p>
    <w:p w:rsidR="00F773B7" w:rsidRDefault="00F773B7" w:rsidP="00537150">
      <w:pPr>
        <w:spacing w:line="360" w:lineRule="auto"/>
        <w:rPr>
          <w:b/>
          <w:sz w:val="26"/>
          <w:szCs w:val="26"/>
        </w:rPr>
      </w:pPr>
    </w:p>
    <w:p w:rsidR="000C6E84" w:rsidRDefault="0041512B" w:rsidP="0041512B">
      <w:pPr>
        <w:pStyle w:val="Heading3"/>
      </w:pPr>
      <w:bookmarkStart w:id="60" w:name="_Toc260906623"/>
      <w:r>
        <w:lastRenderedPageBreak/>
        <w:t>4.</w:t>
      </w:r>
      <w:r>
        <w:tab/>
      </w:r>
      <w:r w:rsidR="000C6E84" w:rsidRPr="000C6E84">
        <w:t>Disposition</w:t>
      </w:r>
      <w:bookmarkEnd w:id="60"/>
    </w:p>
    <w:p w:rsidR="002B0346" w:rsidRDefault="002B0346" w:rsidP="002B0346">
      <w:pPr>
        <w:spacing w:line="360" w:lineRule="auto"/>
        <w:rPr>
          <w:b/>
          <w:sz w:val="26"/>
          <w:szCs w:val="26"/>
        </w:rPr>
      </w:pPr>
    </w:p>
    <w:p w:rsidR="005A2116" w:rsidRDefault="00AD7A0A" w:rsidP="00F32FA8">
      <w:pPr>
        <w:spacing w:line="360" w:lineRule="auto"/>
        <w:ind w:firstLine="1440"/>
        <w:rPr>
          <w:sz w:val="26"/>
          <w:szCs w:val="26"/>
        </w:rPr>
      </w:pPr>
      <w:r>
        <w:rPr>
          <w:sz w:val="26"/>
          <w:szCs w:val="26"/>
        </w:rPr>
        <w:t xml:space="preserve">In the Commission’s </w:t>
      </w:r>
      <w:r w:rsidRPr="00115790">
        <w:rPr>
          <w:i/>
          <w:sz w:val="26"/>
          <w:szCs w:val="26"/>
        </w:rPr>
        <w:t>Implementation Order</w:t>
      </w:r>
      <w:r>
        <w:rPr>
          <w:sz w:val="26"/>
          <w:szCs w:val="26"/>
        </w:rPr>
        <w:t>, we required utilities to fully install, test and rollout support equipment and software, and to have the smart meter networks up and running.</w:t>
      </w:r>
      <w:r w:rsidR="008A254F">
        <w:rPr>
          <w:rStyle w:val="FootnoteReference"/>
          <w:sz w:val="26"/>
          <w:szCs w:val="26"/>
        </w:rPr>
        <w:footnoteReference w:id="10"/>
      </w:r>
      <w:r w:rsidR="008A254F">
        <w:rPr>
          <w:sz w:val="26"/>
          <w:szCs w:val="26"/>
        </w:rPr>
        <w:t xml:space="preserve">  </w:t>
      </w:r>
      <w:r w:rsidR="000360DF">
        <w:rPr>
          <w:sz w:val="26"/>
          <w:szCs w:val="26"/>
        </w:rPr>
        <w:t xml:space="preserve">We note that Duquesne has proposed to achieve these objectives within the Commission recommended Grace Period.  Duquesne has further committed to completing installation of its smart meters in a reasonably timely fashion </w:t>
      </w:r>
      <w:r w:rsidR="00CA7D98">
        <w:rPr>
          <w:sz w:val="26"/>
          <w:szCs w:val="26"/>
        </w:rPr>
        <w:t>by January 1, 2019.  Furthermore, Duquesne has stated that it has every intention o</w:t>
      </w:r>
      <w:r w:rsidR="00115790">
        <w:rPr>
          <w:sz w:val="26"/>
          <w:szCs w:val="26"/>
        </w:rPr>
        <w:t>f</w:t>
      </w:r>
      <w:r w:rsidR="00CA7D98">
        <w:rPr>
          <w:sz w:val="26"/>
          <w:szCs w:val="26"/>
        </w:rPr>
        <w:t xml:space="preserve"> meeting its proposed deadlines, and has further committed that it would submit issues, such as any future delay, to the </w:t>
      </w:r>
      <w:r w:rsidR="00115790">
        <w:rPr>
          <w:sz w:val="26"/>
          <w:szCs w:val="26"/>
        </w:rPr>
        <w:t>P</w:t>
      </w:r>
      <w:r w:rsidR="00CA7D98">
        <w:rPr>
          <w:sz w:val="26"/>
          <w:szCs w:val="26"/>
        </w:rPr>
        <w:t>arties and the Commission for review.</w:t>
      </w:r>
      <w:r w:rsidR="0068225A">
        <w:rPr>
          <w:rStyle w:val="FootnoteReference"/>
          <w:sz w:val="26"/>
          <w:szCs w:val="26"/>
        </w:rPr>
        <w:footnoteReference w:id="11"/>
      </w:r>
      <w:r w:rsidR="0068225A">
        <w:rPr>
          <w:sz w:val="26"/>
          <w:szCs w:val="26"/>
        </w:rPr>
        <w:t xml:space="preserve">  </w:t>
      </w:r>
      <w:r w:rsidR="007B032E">
        <w:rPr>
          <w:sz w:val="26"/>
          <w:szCs w:val="26"/>
        </w:rPr>
        <w:t xml:space="preserve"> </w:t>
      </w:r>
    </w:p>
    <w:p w:rsidR="000C555A" w:rsidRDefault="000C555A" w:rsidP="00F773B7">
      <w:pPr>
        <w:spacing w:line="360" w:lineRule="auto"/>
        <w:rPr>
          <w:sz w:val="26"/>
          <w:szCs w:val="26"/>
        </w:rPr>
      </w:pPr>
    </w:p>
    <w:p w:rsidR="00332041" w:rsidRDefault="0022348D" w:rsidP="0022348D">
      <w:pPr>
        <w:pStyle w:val="Heading2"/>
      </w:pPr>
      <w:bookmarkStart w:id="61" w:name="_Toc260906624"/>
      <w:r>
        <w:t>D.</w:t>
      </w:r>
      <w:r>
        <w:tab/>
      </w:r>
      <w:r w:rsidR="00115790">
        <w:t>Fifteen</w:t>
      </w:r>
      <w:r w:rsidR="00332041">
        <w:t xml:space="preserve"> Minute Interval Data</w:t>
      </w:r>
      <w:bookmarkEnd w:id="61"/>
    </w:p>
    <w:p w:rsidR="00026105" w:rsidRDefault="00026105" w:rsidP="00026105">
      <w:pPr>
        <w:spacing w:line="360" w:lineRule="auto"/>
        <w:rPr>
          <w:b/>
          <w:sz w:val="26"/>
          <w:szCs w:val="26"/>
        </w:rPr>
      </w:pPr>
    </w:p>
    <w:p w:rsidR="00026105" w:rsidRPr="00E64F3C" w:rsidRDefault="0041512B" w:rsidP="0041512B">
      <w:pPr>
        <w:pStyle w:val="Heading3"/>
      </w:pPr>
      <w:bookmarkStart w:id="62" w:name="_Toc260906625"/>
      <w:r>
        <w:t>1.</w:t>
      </w:r>
      <w:r>
        <w:tab/>
      </w:r>
      <w:r w:rsidR="00026105" w:rsidRPr="00E64F3C">
        <w:t>Provisions of the Plan</w:t>
      </w:r>
      <w:r w:rsidR="00D17F49">
        <w:t>/Parties</w:t>
      </w:r>
      <w:r w:rsidR="00115790">
        <w:t>’</w:t>
      </w:r>
      <w:r w:rsidR="00D17F49">
        <w:t xml:space="preserve"> Position</w:t>
      </w:r>
      <w:bookmarkEnd w:id="62"/>
      <w:r w:rsidR="00D17F49">
        <w:t xml:space="preserve"> </w:t>
      </w:r>
    </w:p>
    <w:p w:rsidR="00026105" w:rsidRDefault="00026105" w:rsidP="00026105">
      <w:pPr>
        <w:spacing w:line="360" w:lineRule="auto"/>
        <w:ind w:left="720"/>
        <w:rPr>
          <w:sz w:val="26"/>
          <w:szCs w:val="26"/>
        </w:rPr>
      </w:pPr>
    </w:p>
    <w:p w:rsidR="00026105" w:rsidRDefault="00026105" w:rsidP="00324F46">
      <w:pPr>
        <w:spacing w:line="360" w:lineRule="auto"/>
        <w:ind w:firstLine="1440"/>
        <w:rPr>
          <w:sz w:val="26"/>
          <w:szCs w:val="26"/>
        </w:rPr>
      </w:pPr>
      <w:r>
        <w:rPr>
          <w:sz w:val="26"/>
          <w:szCs w:val="26"/>
        </w:rPr>
        <w:t xml:space="preserve">Duquesne’s SMP does not </w:t>
      </w:r>
      <w:r w:rsidR="00324F46">
        <w:rPr>
          <w:sz w:val="26"/>
          <w:szCs w:val="26"/>
        </w:rPr>
        <w:t xml:space="preserve">include a provision for providing </w:t>
      </w:r>
      <w:r w:rsidR="0012228E">
        <w:rPr>
          <w:sz w:val="26"/>
          <w:szCs w:val="26"/>
        </w:rPr>
        <w:t xml:space="preserve">to all customers </w:t>
      </w:r>
      <w:r w:rsidR="00324F46">
        <w:rPr>
          <w:sz w:val="26"/>
          <w:szCs w:val="26"/>
        </w:rPr>
        <w:t xml:space="preserve">meters capable of furnishing </w:t>
      </w:r>
      <w:r w:rsidR="00115790">
        <w:rPr>
          <w:sz w:val="26"/>
          <w:szCs w:val="26"/>
        </w:rPr>
        <w:t>fifteen</w:t>
      </w:r>
      <w:r w:rsidR="00324F46">
        <w:rPr>
          <w:sz w:val="26"/>
          <w:szCs w:val="26"/>
        </w:rPr>
        <w:t xml:space="preserve"> minute interval data on a daily basis.  I.D. at 32.</w:t>
      </w:r>
    </w:p>
    <w:p w:rsidR="00D17F49" w:rsidRDefault="00D17F49" w:rsidP="00324F46">
      <w:pPr>
        <w:spacing w:line="360" w:lineRule="auto"/>
        <w:ind w:firstLine="1440"/>
        <w:rPr>
          <w:sz w:val="26"/>
          <w:szCs w:val="26"/>
        </w:rPr>
      </w:pPr>
    </w:p>
    <w:p w:rsidR="00987EEF" w:rsidRDefault="00D17F49" w:rsidP="005028D1">
      <w:pPr>
        <w:spacing w:line="360" w:lineRule="auto"/>
        <w:ind w:firstLine="1440"/>
        <w:rPr>
          <w:sz w:val="26"/>
          <w:szCs w:val="26"/>
        </w:rPr>
      </w:pPr>
      <w:r>
        <w:rPr>
          <w:sz w:val="26"/>
          <w:szCs w:val="26"/>
        </w:rPr>
        <w:t xml:space="preserve">It is Constellation’s position that the </w:t>
      </w:r>
      <w:r w:rsidRPr="006C0BCA">
        <w:rPr>
          <w:i/>
          <w:sz w:val="26"/>
          <w:szCs w:val="26"/>
        </w:rPr>
        <w:t>Implementation Order</w:t>
      </w:r>
      <w:r>
        <w:rPr>
          <w:sz w:val="26"/>
          <w:szCs w:val="26"/>
        </w:rPr>
        <w:t xml:space="preserve"> requires Duquesne to provide meters to all customers capable of furnishing </w:t>
      </w:r>
      <w:r w:rsidR="00115790">
        <w:rPr>
          <w:sz w:val="26"/>
          <w:szCs w:val="26"/>
        </w:rPr>
        <w:t>fifteen</w:t>
      </w:r>
      <w:r>
        <w:rPr>
          <w:sz w:val="26"/>
          <w:szCs w:val="26"/>
        </w:rPr>
        <w:t xml:space="preserve"> minute interval data on a daily basis.  Constellation does not request </w:t>
      </w:r>
      <w:r w:rsidR="00987EEF">
        <w:rPr>
          <w:sz w:val="26"/>
          <w:szCs w:val="26"/>
        </w:rPr>
        <w:t xml:space="preserve">that Duquesne be directed to include such a capability in its approved SMP.  It requests that Duquesne be ordered to provide such information on a daily basis.  </w:t>
      </w:r>
      <w:r w:rsidR="00257D8F">
        <w:rPr>
          <w:sz w:val="26"/>
          <w:szCs w:val="26"/>
        </w:rPr>
        <w:t xml:space="preserve">At the least, Constellation requests that Duquesne be ordered to provide this information on a daily basis.  </w:t>
      </w:r>
      <w:r w:rsidR="00987EEF">
        <w:rPr>
          <w:sz w:val="26"/>
          <w:szCs w:val="26"/>
        </w:rPr>
        <w:t>Constellation M.B. at 14-17.</w:t>
      </w:r>
    </w:p>
    <w:p w:rsidR="005A1268" w:rsidRDefault="005A1268" w:rsidP="005028D1">
      <w:pPr>
        <w:spacing w:line="360" w:lineRule="auto"/>
        <w:ind w:firstLine="1440"/>
        <w:rPr>
          <w:sz w:val="26"/>
          <w:szCs w:val="26"/>
        </w:rPr>
      </w:pPr>
    </w:p>
    <w:p w:rsidR="00D17F49" w:rsidRDefault="00987EEF" w:rsidP="00324F46">
      <w:pPr>
        <w:spacing w:line="360" w:lineRule="auto"/>
        <w:ind w:firstLine="1440"/>
        <w:rPr>
          <w:sz w:val="26"/>
          <w:szCs w:val="26"/>
        </w:rPr>
      </w:pPr>
      <w:r>
        <w:rPr>
          <w:sz w:val="26"/>
          <w:szCs w:val="26"/>
        </w:rPr>
        <w:lastRenderedPageBreak/>
        <w:t xml:space="preserve">Duquesne does not agree </w:t>
      </w:r>
      <w:r w:rsidR="005D5FD1">
        <w:rPr>
          <w:sz w:val="26"/>
          <w:szCs w:val="26"/>
        </w:rPr>
        <w:t xml:space="preserve">with Constellation that such detail is necessary.  According to Duquesne such level of data is not utilized in the industry; PJM utilizes hourly data for the hourly pricing, demand peaks (1 Coincident Peak, 5 Coincident Peak), scheduling, </w:t>
      </w:r>
      <w:r w:rsidR="001B6A12">
        <w:rPr>
          <w:sz w:val="26"/>
          <w:szCs w:val="26"/>
        </w:rPr>
        <w:t xml:space="preserve">and payment.  Duquesne further argues that </w:t>
      </w:r>
      <w:r w:rsidR="008C3317">
        <w:rPr>
          <w:sz w:val="26"/>
          <w:szCs w:val="26"/>
        </w:rPr>
        <w:t>fifteen</w:t>
      </w:r>
      <w:r w:rsidR="0046190C">
        <w:rPr>
          <w:sz w:val="26"/>
          <w:szCs w:val="26"/>
        </w:rPr>
        <w:t>-</w:t>
      </w:r>
      <w:r w:rsidR="001B6A12">
        <w:rPr>
          <w:sz w:val="26"/>
          <w:szCs w:val="26"/>
        </w:rPr>
        <w:t>minute data interval creates communication, backhaul, access and storage issues, and that such data incrementally increases the costs of the supporting communication, network and system infrastructure.</w:t>
      </w:r>
      <w:r w:rsidR="00034341">
        <w:rPr>
          <w:sz w:val="26"/>
          <w:szCs w:val="26"/>
        </w:rPr>
        <w:t xml:space="preserve">  Duquesne asserts that the Commission does not need to decide this issue in this proceeding as Duquesne has committed to analyze further the costs and benefits of the extended capabilities of which the </w:t>
      </w:r>
      <w:r w:rsidR="008C3317">
        <w:rPr>
          <w:sz w:val="26"/>
          <w:szCs w:val="26"/>
        </w:rPr>
        <w:t>fifteen</w:t>
      </w:r>
      <w:r w:rsidR="00034341">
        <w:rPr>
          <w:sz w:val="26"/>
          <w:szCs w:val="26"/>
        </w:rPr>
        <w:t xml:space="preserve"> minute interval data is included, and to provide such information in its July 1, 2010 filing.</w:t>
      </w:r>
      <w:r w:rsidR="0088363E">
        <w:rPr>
          <w:sz w:val="26"/>
          <w:szCs w:val="26"/>
        </w:rPr>
        <w:t xml:space="preserve">  Duquesne Ex. C-R, at 6-7; Tr. at 97-99.</w:t>
      </w:r>
    </w:p>
    <w:p w:rsidR="00616F2F" w:rsidRDefault="00616F2F" w:rsidP="00324F46">
      <w:pPr>
        <w:spacing w:line="360" w:lineRule="auto"/>
        <w:ind w:firstLine="1440"/>
        <w:rPr>
          <w:sz w:val="26"/>
          <w:szCs w:val="26"/>
        </w:rPr>
      </w:pPr>
    </w:p>
    <w:p w:rsidR="00616F2F" w:rsidRDefault="0041512B" w:rsidP="0041512B">
      <w:pPr>
        <w:pStyle w:val="Heading3"/>
      </w:pPr>
      <w:bookmarkStart w:id="63" w:name="_Toc260906626"/>
      <w:r>
        <w:t>2.</w:t>
      </w:r>
      <w:r>
        <w:tab/>
      </w:r>
      <w:r w:rsidR="00616F2F" w:rsidRPr="00E64F3C">
        <w:t>ALJ Recommendation</w:t>
      </w:r>
      <w:bookmarkEnd w:id="63"/>
    </w:p>
    <w:p w:rsidR="00616F2F" w:rsidRDefault="00616F2F" w:rsidP="00616F2F">
      <w:pPr>
        <w:spacing w:line="360" w:lineRule="auto"/>
        <w:rPr>
          <w:b/>
          <w:sz w:val="26"/>
          <w:szCs w:val="26"/>
        </w:rPr>
      </w:pPr>
    </w:p>
    <w:p w:rsidR="00616F2F" w:rsidRDefault="00616F2F" w:rsidP="00EA448E">
      <w:pPr>
        <w:spacing w:line="360" w:lineRule="auto"/>
        <w:ind w:firstLine="1440"/>
        <w:rPr>
          <w:sz w:val="26"/>
          <w:szCs w:val="26"/>
        </w:rPr>
      </w:pPr>
      <w:r>
        <w:rPr>
          <w:sz w:val="26"/>
          <w:szCs w:val="26"/>
        </w:rPr>
        <w:t xml:space="preserve">The ALJ concluded that there is no basis for directing Duquesne to provide </w:t>
      </w:r>
      <w:r w:rsidR="00257D8F">
        <w:rPr>
          <w:sz w:val="26"/>
          <w:szCs w:val="26"/>
        </w:rPr>
        <w:t>fifteen</w:t>
      </w:r>
      <w:r>
        <w:rPr>
          <w:sz w:val="26"/>
          <w:szCs w:val="26"/>
        </w:rPr>
        <w:t xml:space="preserve"> minute interval data on an hourly basis, at this time.  </w:t>
      </w:r>
      <w:r w:rsidR="0035547C">
        <w:rPr>
          <w:sz w:val="26"/>
          <w:szCs w:val="26"/>
        </w:rPr>
        <w:t xml:space="preserve">The ALJ pointed out that this is something that Duquesne will be studying and will be included in its July 1, 2010 filing.  </w:t>
      </w:r>
      <w:r w:rsidR="00843404">
        <w:rPr>
          <w:sz w:val="26"/>
          <w:szCs w:val="26"/>
        </w:rPr>
        <w:t xml:space="preserve">The ALJ noted that a determination to require such a provision in Duquesne’s SMP should be deferred pending evaluation of the information to be submitted by Duquesne.  </w:t>
      </w:r>
      <w:r w:rsidR="0035547C">
        <w:rPr>
          <w:sz w:val="26"/>
          <w:szCs w:val="26"/>
        </w:rPr>
        <w:t>I.D. at 33.</w:t>
      </w:r>
    </w:p>
    <w:p w:rsidR="00926783" w:rsidRDefault="00926783" w:rsidP="00EA448E">
      <w:pPr>
        <w:spacing w:line="360" w:lineRule="auto"/>
        <w:ind w:firstLine="1440"/>
        <w:rPr>
          <w:sz w:val="26"/>
          <w:szCs w:val="26"/>
        </w:rPr>
      </w:pPr>
    </w:p>
    <w:p w:rsidR="00926783" w:rsidRDefault="0041512B" w:rsidP="0041512B">
      <w:pPr>
        <w:pStyle w:val="Heading3"/>
      </w:pPr>
      <w:bookmarkStart w:id="64" w:name="_Toc260906627"/>
      <w:r>
        <w:t>3.</w:t>
      </w:r>
      <w:r>
        <w:tab/>
      </w:r>
      <w:r w:rsidR="00926783">
        <w:t>Exceptions and Replies</w:t>
      </w:r>
      <w:bookmarkEnd w:id="64"/>
    </w:p>
    <w:p w:rsidR="00926783" w:rsidRDefault="00926783" w:rsidP="00926783">
      <w:pPr>
        <w:spacing w:line="360" w:lineRule="auto"/>
        <w:rPr>
          <w:b/>
          <w:sz w:val="26"/>
          <w:szCs w:val="26"/>
        </w:rPr>
      </w:pPr>
    </w:p>
    <w:p w:rsidR="00926783" w:rsidRPr="00926783" w:rsidRDefault="00926783" w:rsidP="00A30E48">
      <w:pPr>
        <w:spacing w:line="360" w:lineRule="auto"/>
        <w:ind w:left="1440"/>
        <w:rPr>
          <w:sz w:val="26"/>
          <w:szCs w:val="26"/>
        </w:rPr>
      </w:pPr>
      <w:r>
        <w:rPr>
          <w:sz w:val="26"/>
          <w:szCs w:val="26"/>
        </w:rPr>
        <w:t xml:space="preserve">No </w:t>
      </w:r>
      <w:r w:rsidR="00257D8F">
        <w:rPr>
          <w:sz w:val="26"/>
          <w:szCs w:val="26"/>
        </w:rPr>
        <w:t>P</w:t>
      </w:r>
      <w:r>
        <w:rPr>
          <w:sz w:val="26"/>
          <w:szCs w:val="26"/>
        </w:rPr>
        <w:t xml:space="preserve">arties filed </w:t>
      </w:r>
      <w:r w:rsidR="00257D8F">
        <w:rPr>
          <w:sz w:val="26"/>
          <w:szCs w:val="26"/>
        </w:rPr>
        <w:t>E</w:t>
      </w:r>
      <w:r>
        <w:rPr>
          <w:sz w:val="26"/>
          <w:szCs w:val="26"/>
        </w:rPr>
        <w:t>xceptions that specifically address this issue.</w:t>
      </w:r>
    </w:p>
    <w:p w:rsidR="00932A84" w:rsidRDefault="00932A84" w:rsidP="0088363E">
      <w:pPr>
        <w:spacing w:line="360" w:lineRule="auto"/>
        <w:rPr>
          <w:sz w:val="26"/>
          <w:szCs w:val="26"/>
        </w:rPr>
      </w:pPr>
    </w:p>
    <w:p w:rsidR="00B31288" w:rsidRDefault="00B31288" w:rsidP="0088363E">
      <w:pPr>
        <w:spacing w:line="360" w:lineRule="auto"/>
        <w:rPr>
          <w:sz w:val="26"/>
          <w:szCs w:val="26"/>
        </w:rPr>
      </w:pPr>
    </w:p>
    <w:p w:rsidR="00B31288" w:rsidRDefault="00B31288" w:rsidP="0088363E">
      <w:pPr>
        <w:spacing w:line="360" w:lineRule="auto"/>
        <w:rPr>
          <w:sz w:val="26"/>
          <w:szCs w:val="26"/>
        </w:rPr>
      </w:pPr>
    </w:p>
    <w:p w:rsidR="00843404" w:rsidRDefault="0041512B" w:rsidP="0041512B">
      <w:pPr>
        <w:pStyle w:val="Heading3"/>
      </w:pPr>
      <w:bookmarkStart w:id="65" w:name="_Toc260906628"/>
      <w:r>
        <w:lastRenderedPageBreak/>
        <w:t>4.</w:t>
      </w:r>
      <w:r>
        <w:tab/>
      </w:r>
      <w:r w:rsidR="00843404">
        <w:t>Disposition</w:t>
      </w:r>
      <w:bookmarkEnd w:id="65"/>
    </w:p>
    <w:p w:rsidR="00643D57" w:rsidRDefault="00643D57" w:rsidP="00643D57">
      <w:pPr>
        <w:spacing w:line="360" w:lineRule="auto"/>
        <w:rPr>
          <w:b/>
          <w:sz w:val="26"/>
          <w:szCs w:val="26"/>
        </w:rPr>
      </w:pPr>
    </w:p>
    <w:p w:rsidR="00643D57" w:rsidRPr="007D018F" w:rsidRDefault="00643D57" w:rsidP="00643D57">
      <w:pPr>
        <w:spacing w:line="360" w:lineRule="auto"/>
        <w:ind w:firstLine="1440"/>
        <w:rPr>
          <w:color w:val="000000"/>
          <w:sz w:val="26"/>
          <w:szCs w:val="26"/>
        </w:rPr>
      </w:pPr>
      <w:r w:rsidRPr="007D018F">
        <w:rPr>
          <w:color w:val="000000"/>
          <w:sz w:val="26"/>
          <w:szCs w:val="26"/>
        </w:rPr>
        <w:t xml:space="preserve">The </w:t>
      </w:r>
      <w:r w:rsidRPr="00DD126B">
        <w:rPr>
          <w:i/>
          <w:color w:val="000000"/>
          <w:sz w:val="26"/>
          <w:szCs w:val="26"/>
        </w:rPr>
        <w:t>Implementation Order</w:t>
      </w:r>
      <w:r w:rsidRPr="007D018F">
        <w:rPr>
          <w:color w:val="000000"/>
          <w:sz w:val="26"/>
          <w:szCs w:val="26"/>
        </w:rPr>
        <w:t xml:space="preserve"> requires </w:t>
      </w:r>
      <w:r w:rsidR="00E50435">
        <w:rPr>
          <w:color w:val="000000"/>
          <w:sz w:val="26"/>
          <w:szCs w:val="26"/>
        </w:rPr>
        <w:t>p</w:t>
      </w:r>
      <w:r w:rsidRPr="007D018F">
        <w:rPr>
          <w:color w:val="000000"/>
          <w:sz w:val="26"/>
          <w:szCs w:val="26"/>
        </w:rPr>
        <w:t xml:space="preserve">arties to address the ability to provide hourly </w:t>
      </w:r>
      <w:r w:rsidRPr="00816D81">
        <w:rPr>
          <w:i/>
          <w:color w:val="000000"/>
          <w:sz w:val="26"/>
          <w:szCs w:val="26"/>
        </w:rPr>
        <w:t>or more frequent</w:t>
      </w:r>
      <w:r w:rsidRPr="007D018F">
        <w:rPr>
          <w:color w:val="000000"/>
          <w:sz w:val="26"/>
          <w:szCs w:val="26"/>
        </w:rPr>
        <w:t xml:space="preserve"> energy usage data.  </w:t>
      </w:r>
      <w:r w:rsidRPr="00DD126B">
        <w:rPr>
          <w:i/>
          <w:color w:val="000000"/>
          <w:sz w:val="26"/>
          <w:szCs w:val="26"/>
        </w:rPr>
        <w:t>Implementation Order</w:t>
      </w:r>
      <w:r>
        <w:rPr>
          <w:color w:val="000000"/>
          <w:sz w:val="26"/>
          <w:szCs w:val="26"/>
        </w:rPr>
        <w:t xml:space="preserve"> at 16.  </w:t>
      </w:r>
      <w:r w:rsidRPr="007D018F">
        <w:rPr>
          <w:color w:val="000000"/>
          <w:sz w:val="26"/>
          <w:szCs w:val="26"/>
        </w:rPr>
        <w:t xml:space="preserve">In this proceeding, the </w:t>
      </w:r>
      <w:r w:rsidR="00257D8F">
        <w:rPr>
          <w:color w:val="000000"/>
          <w:sz w:val="26"/>
          <w:szCs w:val="26"/>
        </w:rPr>
        <w:t>P</w:t>
      </w:r>
      <w:r w:rsidRPr="007D018F">
        <w:rPr>
          <w:color w:val="000000"/>
          <w:sz w:val="26"/>
          <w:szCs w:val="26"/>
        </w:rPr>
        <w:t xml:space="preserve">arties only addressed </w:t>
      </w:r>
      <w:r w:rsidR="00257D8F">
        <w:rPr>
          <w:color w:val="000000"/>
          <w:sz w:val="26"/>
          <w:szCs w:val="26"/>
        </w:rPr>
        <w:t>fifteen</w:t>
      </w:r>
      <w:r w:rsidRPr="007D018F">
        <w:rPr>
          <w:color w:val="000000"/>
          <w:sz w:val="26"/>
          <w:szCs w:val="26"/>
        </w:rPr>
        <w:t xml:space="preserve">-minute sub-hourly metering.  While </w:t>
      </w:r>
      <w:r w:rsidR="002A4EA1">
        <w:rPr>
          <w:color w:val="000000"/>
          <w:sz w:val="26"/>
          <w:szCs w:val="26"/>
        </w:rPr>
        <w:t xml:space="preserve">Duquesne is correct in its assertion </w:t>
      </w:r>
      <w:r w:rsidR="00DD32E1">
        <w:rPr>
          <w:color w:val="000000"/>
          <w:sz w:val="26"/>
          <w:szCs w:val="26"/>
        </w:rPr>
        <w:t xml:space="preserve">that </w:t>
      </w:r>
      <w:r w:rsidRPr="007D018F">
        <w:rPr>
          <w:color w:val="000000"/>
          <w:sz w:val="26"/>
          <w:szCs w:val="26"/>
        </w:rPr>
        <w:t>energy markets only require information on hourly usage, these requirements may not be responsive to the</w:t>
      </w:r>
      <w:r>
        <w:rPr>
          <w:color w:val="000000"/>
          <w:sz w:val="26"/>
          <w:szCs w:val="26"/>
        </w:rPr>
        <w:t xml:space="preserve"> regional transmission organization </w:t>
      </w:r>
      <w:r w:rsidRPr="007D018F">
        <w:rPr>
          <w:color w:val="000000"/>
          <w:sz w:val="26"/>
          <w:szCs w:val="26"/>
        </w:rPr>
        <w:t xml:space="preserve">requirements of </w:t>
      </w:r>
      <w:r w:rsidRPr="00816D81">
        <w:rPr>
          <w:i/>
          <w:color w:val="000000"/>
          <w:sz w:val="26"/>
          <w:szCs w:val="26"/>
        </w:rPr>
        <w:t>ancillary</w:t>
      </w:r>
      <w:r w:rsidRPr="007D018F">
        <w:rPr>
          <w:color w:val="000000"/>
          <w:sz w:val="26"/>
          <w:szCs w:val="26"/>
        </w:rPr>
        <w:t xml:space="preserve"> services.  Therefore, the </w:t>
      </w:r>
      <w:r w:rsidR="00257D8F">
        <w:rPr>
          <w:color w:val="000000"/>
          <w:sz w:val="26"/>
          <w:szCs w:val="26"/>
        </w:rPr>
        <w:t>P</w:t>
      </w:r>
      <w:r w:rsidRPr="007D018F">
        <w:rPr>
          <w:color w:val="000000"/>
          <w:sz w:val="26"/>
          <w:szCs w:val="26"/>
        </w:rPr>
        <w:t>arties are asked to address the need, ability, and cost</w:t>
      </w:r>
      <w:r>
        <w:rPr>
          <w:color w:val="000000"/>
          <w:sz w:val="26"/>
          <w:szCs w:val="26"/>
        </w:rPr>
        <w:t xml:space="preserve"> for sub-hourly metering.  The P</w:t>
      </w:r>
      <w:r w:rsidRPr="007D018F">
        <w:rPr>
          <w:color w:val="000000"/>
          <w:sz w:val="26"/>
          <w:szCs w:val="26"/>
        </w:rPr>
        <w:t>arties sh</w:t>
      </w:r>
      <w:r w:rsidR="002B34B6">
        <w:rPr>
          <w:color w:val="000000"/>
          <w:sz w:val="26"/>
          <w:szCs w:val="26"/>
        </w:rPr>
        <w:t>all</w:t>
      </w:r>
      <w:r w:rsidRPr="007D018F">
        <w:rPr>
          <w:color w:val="000000"/>
          <w:sz w:val="26"/>
          <w:szCs w:val="26"/>
        </w:rPr>
        <w:t xml:space="preserve"> address the following issues for residential, small </w:t>
      </w:r>
      <w:r>
        <w:rPr>
          <w:color w:val="000000"/>
          <w:sz w:val="26"/>
          <w:szCs w:val="26"/>
        </w:rPr>
        <w:t xml:space="preserve">commercial and industrial </w:t>
      </w:r>
      <w:r w:rsidRPr="007D018F">
        <w:rPr>
          <w:color w:val="000000"/>
          <w:sz w:val="26"/>
          <w:szCs w:val="26"/>
        </w:rPr>
        <w:t xml:space="preserve">and large </w:t>
      </w:r>
      <w:r>
        <w:rPr>
          <w:color w:val="000000"/>
          <w:sz w:val="26"/>
          <w:szCs w:val="26"/>
        </w:rPr>
        <w:t xml:space="preserve">commercial and industrial </w:t>
      </w:r>
      <w:r w:rsidRPr="007D018F">
        <w:rPr>
          <w:color w:val="000000"/>
          <w:sz w:val="26"/>
          <w:szCs w:val="26"/>
        </w:rPr>
        <w:t>customers:</w:t>
      </w:r>
    </w:p>
    <w:p w:rsidR="00643D57" w:rsidRPr="007D018F" w:rsidRDefault="00643D57" w:rsidP="00643D57">
      <w:pPr>
        <w:spacing w:line="360" w:lineRule="auto"/>
        <w:rPr>
          <w:color w:val="000000"/>
          <w:sz w:val="26"/>
          <w:szCs w:val="26"/>
        </w:rPr>
      </w:pPr>
    </w:p>
    <w:p w:rsidR="00643D57" w:rsidRPr="007D018F" w:rsidRDefault="00643D57" w:rsidP="00643D57">
      <w:pPr>
        <w:numPr>
          <w:ilvl w:val="0"/>
          <w:numId w:val="14"/>
        </w:numPr>
        <w:ind w:left="1440" w:right="1440" w:hanging="720"/>
        <w:rPr>
          <w:sz w:val="26"/>
          <w:szCs w:val="26"/>
        </w:rPr>
      </w:pPr>
      <w:r>
        <w:rPr>
          <w:sz w:val="26"/>
          <w:szCs w:val="26"/>
        </w:rPr>
        <w:t>What are the capabilities</w:t>
      </w:r>
      <w:r w:rsidRPr="007D018F">
        <w:rPr>
          <w:sz w:val="26"/>
          <w:szCs w:val="26"/>
        </w:rPr>
        <w:t xml:space="preserve"> and limitations of proposed smart meters to measure and record sub-hourly usage?</w:t>
      </w:r>
    </w:p>
    <w:p w:rsidR="00643D57" w:rsidRPr="007D018F" w:rsidRDefault="00643D57" w:rsidP="00643D57">
      <w:pPr>
        <w:numPr>
          <w:ilvl w:val="0"/>
          <w:numId w:val="14"/>
        </w:numPr>
        <w:ind w:left="1440" w:right="1440" w:hanging="720"/>
        <w:rPr>
          <w:sz w:val="26"/>
          <w:szCs w:val="26"/>
        </w:rPr>
      </w:pPr>
      <w:r>
        <w:rPr>
          <w:sz w:val="26"/>
          <w:szCs w:val="26"/>
        </w:rPr>
        <w:t>What are the capabilities</w:t>
      </w:r>
      <w:r w:rsidRPr="007D018F">
        <w:rPr>
          <w:sz w:val="26"/>
          <w:szCs w:val="26"/>
        </w:rPr>
        <w:t xml:space="preserve"> and limitations of proposed smart meter communication and data storag</w:t>
      </w:r>
      <w:r>
        <w:rPr>
          <w:sz w:val="26"/>
          <w:szCs w:val="26"/>
        </w:rPr>
        <w:t>e systems to transmit and stor</w:t>
      </w:r>
      <w:r w:rsidRPr="007D018F">
        <w:rPr>
          <w:sz w:val="26"/>
          <w:szCs w:val="26"/>
        </w:rPr>
        <w:t>e sub-hourly usage information?</w:t>
      </w:r>
    </w:p>
    <w:p w:rsidR="00643D57" w:rsidRPr="007D018F" w:rsidRDefault="00643D57" w:rsidP="00643D57">
      <w:pPr>
        <w:numPr>
          <w:ilvl w:val="0"/>
          <w:numId w:val="14"/>
        </w:numPr>
        <w:ind w:left="1440" w:right="1440" w:hanging="720"/>
        <w:rPr>
          <w:sz w:val="26"/>
          <w:szCs w:val="26"/>
        </w:rPr>
      </w:pPr>
      <w:r w:rsidRPr="007D018F">
        <w:rPr>
          <w:sz w:val="26"/>
          <w:szCs w:val="26"/>
        </w:rPr>
        <w:t>What are the sub-hourly PJM requirements for participation in ancillary service markets?</w:t>
      </w:r>
    </w:p>
    <w:p w:rsidR="00643D57" w:rsidRPr="007D018F" w:rsidRDefault="00643D57" w:rsidP="00643D57">
      <w:pPr>
        <w:numPr>
          <w:ilvl w:val="0"/>
          <w:numId w:val="14"/>
        </w:numPr>
        <w:ind w:left="1440" w:right="1440" w:hanging="720"/>
        <w:rPr>
          <w:sz w:val="26"/>
          <w:szCs w:val="26"/>
        </w:rPr>
      </w:pPr>
      <w:r w:rsidRPr="007D018F">
        <w:rPr>
          <w:sz w:val="26"/>
          <w:szCs w:val="26"/>
        </w:rPr>
        <w:t>What are the Compan</w:t>
      </w:r>
      <w:r>
        <w:rPr>
          <w:sz w:val="26"/>
          <w:szCs w:val="26"/>
        </w:rPr>
        <w:t>ies’</w:t>
      </w:r>
      <w:r w:rsidRPr="007D018F">
        <w:rPr>
          <w:sz w:val="26"/>
          <w:szCs w:val="26"/>
        </w:rPr>
        <w:t xml:space="preserve"> incremental smart meter, communication, data storage, and data sharing costs associated with these sub-hourly requirements for ancillary services?</w:t>
      </w:r>
    </w:p>
    <w:p w:rsidR="00643D57" w:rsidRPr="007D018F" w:rsidRDefault="00643D57" w:rsidP="00643D57">
      <w:pPr>
        <w:numPr>
          <w:ilvl w:val="0"/>
          <w:numId w:val="14"/>
        </w:numPr>
        <w:ind w:left="1440" w:right="1440" w:hanging="720"/>
        <w:rPr>
          <w:sz w:val="26"/>
          <w:szCs w:val="26"/>
        </w:rPr>
      </w:pPr>
      <w:r w:rsidRPr="007D018F">
        <w:rPr>
          <w:sz w:val="26"/>
          <w:szCs w:val="26"/>
        </w:rPr>
        <w:t xml:space="preserve">What are the incremental equipment and installation costs of pulse data recorders used to measure sub-hourly meter data?  </w:t>
      </w:r>
    </w:p>
    <w:p w:rsidR="00643D57" w:rsidRPr="007D018F" w:rsidRDefault="00643D57" w:rsidP="00643D57">
      <w:pPr>
        <w:numPr>
          <w:ilvl w:val="0"/>
          <w:numId w:val="14"/>
        </w:numPr>
        <w:ind w:left="1440" w:right="1440" w:hanging="720"/>
        <w:rPr>
          <w:sz w:val="26"/>
          <w:szCs w:val="26"/>
        </w:rPr>
      </w:pPr>
      <w:r w:rsidRPr="007D018F">
        <w:rPr>
          <w:sz w:val="26"/>
          <w:szCs w:val="26"/>
        </w:rPr>
        <w:t>Is a pulse data recorder attached to the Compan</w:t>
      </w:r>
      <w:r>
        <w:rPr>
          <w:sz w:val="26"/>
          <w:szCs w:val="26"/>
        </w:rPr>
        <w:t>ies’</w:t>
      </w:r>
      <w:r w:rsidRPr="007D018F">
        <w:rPr>
          <w:sz w:val="26"/>
          <w:szCs w:val="26"/>
        </w:rPr>
        <w:t xml:space="preserve"> meter sufficiently accurate for use by PJM in its ancillary markets, or is redundant metering required to meet PJM standards?</w:t>
      </w:r>
    </w:p>
    <w:p w:rsidR="00643D57" w:rsidRPr="007D018F" w:rsidRDefault="00643D57" w:rsidP="00643D57">
      <w:pPr>
        <w:numPr>
          <w:ilvl w:val="0"/>
          <w:numId w:val="14"/>
        </w:numPr>
        <w:ind w:left="1440" w:right="1440" w:hanging="720"/>
        <w:rPr>
          <w:sz w:val="26"/>
          <w:szCs w:val="26"/>
        </w:rPr>
      </w:pPr>
      <w:r w:rsidRPr="007D018F">
        <w:rPr>
          <w:sz w:val="26"/>
          <w:szCs w:val="26"/>
        </w:rPr>
        <w:t xml:space="preserve">What are the additional customer costs associated with (1) transferring pulse meter information from the meter to inside the customer’s premise, (2) processing this data into usable format, (3) communicating the data to a </w:t>
      </w:r>
      <w:r>
        <w:rPr>
          <w:sz w:val="26"/>
          <w:szCs w:val="26"/>
        </w:rPr>
        <w:t xml:space="preserve">third </w:t>
      </w:r>
      <w:r w:rsidRPr="007D018F">
        <w:rPr>
          <w:sz w:val="26"/>
          <w:szCs w:val="26"/>
        </w:rPr>
        <w:t>party or PJM?</w:t>
      </w:r>
    </w:p>
    <w:p w:rsidR="005A1268" w:rsidRDefault="00643D57" w:rsidP="00E50435">
      <w:pPr>
        <w:numPr>
          <w:ilvl w:val="0"/>
          <w:numId w:val="14"/>
        </w:numPr>
        <w:ind w:left="1440" w:right="1440" w:hanging="720"/>
        <w:rPr>
          <w:sz w:val="26"/>
          <w:szCs w:val="26"/>
        </w:rPr>
      </w:pPr>
      <w:r w:rsidRPr="007D018F">
        <w:rPr>
          <w:sz w:val="26"/>
          <w:szCs w:val="26"/>
        </w:rPr>
        <w:t xml:space="preserve">To the extent a customer requests sub-hourly data, what, if any cost recovery charge is appropriate.  For example, would it be appropriate to have a customer charge that varies with </w:t>
      </w:r>
      <w:r w:rsidRPr="007D018F">
        <w:rPr>
          <w:sz w:val="26"/>
          <w:szCs w:val="26"/>
        </w:rPr>
        <w:lastRenderedPageBreak/>
        <w:t>the level of sub-hourly metering requested, and, if so, what would those sub-hourly metering charges be?</w:t>
      </w:r>
    </w:p>
    <w:p w:rsidR="00E338BA" w:rsidRPr="00E50435" w:rsidRDefault="00E338BA" w:rsidP="00E338BA">
      <w:pPr>
        <w:ind w:left="1440" w:right="1440"/>
        <w:rPr>
          <w:sz w:val="26"/>
          <w:szCs w:val="26"/>
        </w:rPr>
      </w:pPr>
    </w:p>
    <w:p w:rsidR="00643D57" w:rsidRDefault="0046190C" w:rsidP="0046190C">
      <w:pPr>
        <w:spacing w:line="360" w:lineRule="auto"/>
        <w:ind w:firstLine="1440"/>
        <w:rPr>
          <w:sz w:val="26"/>
          <w:szCs w:val="26"/>
        </w:rPr>
      </w:pPr>
      <w:r>
        <w:rPr>
          <w:sz w:val="26"/>
          <w:szCs w:val="26"/>
        </w:rPr>
        <w:t xml:space="preserve">Given the current lack of evidence regarding the benefits and costs of the </w:t>
      </w:r>
      <w:r w:rsidR="00465688">
        <w:rPr>
          <w:sz w:val="26"/>
          <w:szCs w:val="26"/>
        </w:rPr>
        <w:t>fifteen</w:t>
      </w:r>
      <w:r>
        <w:rPr>
          <w:sz w:val="26"/>
          <w:szCs w:val="26"/>
        </w:rPr>
        <w:t xml:space="preserve">-minute interval data, we shall not require Duquesne to provide </w:t>
      </w:r>
      <w:r w:rsidR="00465688">
        <w:rPr>
          <w:sz w:val="26"/>
          <w:szCs w:val="26"/>
        </w:rPr>
        <w:t>fifteen</w:t>
      </w:r>
      <w:r>
        <w:rPr>
          <w:sz w:val="26"/>
          <w:szCs w:val="26"/>
        </w:rPr>
        <w:t>-minute interval data at this time.</w:t>
      </w:r>
      <w:r w:rsidR="00D3469C">
        <w:rPr>
          <w:sz w:val="26"/>
          <w:szCs w:val="26"/>
        </w:rPr>
        <w:t xml:space="preserve">  </w:t>
      </w:r>
    </w:p>
    <w:p w:rsidR="00B31288" w:rsidRDefault="00B31288" w:rsidP="0046190C">
      <w:pPr>
        <w:spacing w:line="360" w:lineRule="auto"/>
        <w:ind w:firstLine="1440"/>
        <w:rPr>
          <w:sz w:val="26"/>
          <w:szCs w:val="26"/>
        </w:rPr>
      </w:pPr>
    </w:p>
    <w:p w:rsidR="00B31288" w:rsidRDefault="00B31288" w:rsidP="0046190C">
      <w:pPr>
        <w:spacing w:line="360" w:lineRule="auto"/>
        <w:ind w:firstLine="1440"/>
        <w:rPr>
          <w:sz w:val="26"/>
          <w:szCs w:val="26"/>
        </w:rPr>
      </w:pPr>
      <w:r>
        <w:rPr>
          <w:sz w:val="26"/>
          <w:szCs w:val="26"/>
        </w:rPr>
        <w:t xml:space="preserve">Interested parties shall, therefore, file comments on the above-listed topics within 30 days of the entry of this Order, with replies to those comments due 15 days thereafter.  </w:t>
      </w:r>
    </w:p>
    <w:p w:rsidR="002F1BD8" w:rsidRPr="00042C90" w:rsidRDefault="002F1BD8" w:rsidP="002F1BD8">
      <w:pPr>
        <w:rPr>
          <w:sz w:val="26"/>
          <w:szCs w:val="26"/>
        </w:rPr>
      </w:pPr>
    </w:p>
    <w:p w:rsidR="009A077C" w:rsidRPr="00352094" w:rsidRDefault="006F4B78" w:rsidP="00287940">
      <w:pPr>
        <w:pStyle w:val="Heading2"/>
        <w:ind w:left="0"/>
      </w:pPr>
      <w:bookmarkStart w:id="66" w:name="_Toc242516351"/>
      <w:bookmarkStart w:id="67" w:name="_Toc252882416"/>
      <w:bookmarkStart w:id="68" w:name="_Toc260906629"/>
      <w:r>
        <w:t>V</w:t>
      </w:r>
      <w:r w:rsidR="00D823BC">
        <w:t>I</w:t>
      </w:r>
      <w:r w:rsidR="00B6382E">
        <w:t xml:space="preserve">.  </w:t>
      </w:r>
      <w:r>
        <w:tab/>
      </w:r>
      <w:r w:rsidR="009A077C" w:rsidRPr="0022348D">
        <w:rPr>
          <w:rStyle w:val="Heading1Char"/>
          <w:b/>
        </w:rPr>
        <w:t>Conclusion</w:t>
      </w:r>
      <w:bookmarkEnd w:id="66"/>
      <w:bookmarkEnd w:id="67"/>
      <w:bookmarkEnd w:id="68"/>
    </w:p>
    <w:p w:rsidR="009A077C" w:rsidRDefault="009A077C" w:rsidP="009A077C">
      <w:pPr>
        <w:spacing w:line="360" w:lineRule="auto"/>
        <w:rPr>
          <w:sz w:val="26"/>
          <w:szCs w:val="26"/>
        </w:rPr>
      </w:pPr>
    </w:p>
    <w:p w:rsidR="00D47468" w:rsidRPr="00040ADE" w:rsidRDefault="00DA3934" w:rsidP="00040ADE">
      <w:pPr>
        <w:spacing w:line="360" w:lineRule="auto"/>
        <w:ind w:firstLine="1440"/>
        <w:rPr>
          <w:sz w:val="26"/>
          <w:szCs w:val="26"/>
        </w:rPr>
      </w:pPr>
      <w:r>
        <w:rPr>
          <w:sz w:val="26"/>
          <w:szCs w:val="26"/>
        </w:rPr>
        <w:t xml:space="preserve">For the reasons set forth above, we will grant the Petition of Duquesne Light Company for Approval of Smart </w:t>
      </w:r>
      <w:r w:rsidR="00451B12">
        <w:rPr>
          <w:sz w:val="26"/>
          <w:szCs w:val="26"/>
        </w:rPr>
        <w:t>Meter Technology Procurement and Installation Plan, consistent with this Opinion and Order.  Duquesne is permitted to implement its Plan, as modified herein.  Duquesne shall file with the Commission, for its approval, a tariff supplement containing a revised Smart Meter Charge Rider, which is consistent with this Opinion and Order.  Copies shall be served on all Parties to this proceeding</w:t>
      </w:r>
      <w:r w:rsidR="00465688">
        <w:rPr>
          <w:sz w:val="26"/>
          <w:szCs w:val="26"/>
        </w:rPr>
        <w:t>.  Duquesne shall not begin collecting rates pursuant to its tariff until it is approved by this Commission</w:t>
      </w:r>
      <w:r w:rsidR="00CF313C">
        <w:rPr>
          <w:sz w:val="26"/>
          <w:szCs w:val="26"/>
        </w:rPr>
        <w:t>;</w:t>
      </w:r>
      <w:r w:rsidR="00451B12">
        <w:rPr>
          <w:sz w:val="26"/>
          <w:szCs w:val="26"/>
        </w:rPr>
        <w:t xml:space="preserve"> </w:t>
      </w:r>
      <w:r w:rsidR="00465688">
        <w:rPr>
          <w:sz w:val="26"/>
          <w:szCs w:val="26"/>
        </w:rPr>
        <w:t xml:space="preserve"> </w:t>
      </w:r>
      <w:r w:rsidR="00920080">
        <w:rPr>
          <w:b/>
          <w:sz w:val="26"/>
        </w:rPr>
        <w:t>TH</w:t>
      </w:r>
      <w:r w:rsidR="009F398E" w:rsidRPr="003C63B1">
        <w:rPr>
          <w:b/>
          <w:sz w:val="26"/>
        </w:rPr>
        <w:t>EREFORE</w:t>
      </w:r>
      <w:r w:rsidR="00CF313C">
        <w:rPr>
          <w:b/>
          <w:sz w:val="26"/>
        </w:rPr>
        <w:t>,</w:t>
      </w:r>
      <w:r w:rsidR="009F398E" w:rsidRPr="003C63B1">
        <w:rPr>
          <w:b/>
          <w:sz w:val="26"/>
        </w:rPr>
        <w:t xml:space="preserve"> </w:t>
      </w:r>
    </w:p>
    <w:p w:rsidR="00D47468" w:rsidRDefault="00D47468" w:rsidP="009F398E">
      <w:pPr>
        <w:spacing w:line="360" w:lineRule="auto"/>
        <w:rPr>
          <w:b/>
          <w:sz w:val="26"/>
        </w:rPr>
      </w:pPr>
    </w:p>
    <w:p w:rsidR="009F398E" w:rsidRDefault="009F398E" w:rsidP="00040ADE">
      <w:pPr>
        <w:spacing w:line="360" w:lineRule="auto"/>
        <w:ind w:left="720" w:firstLine="720"/>
        <w:rPr>
          <w:b/>
          <w:sz w:val="26"/>
        </w:rPr>
      </w:pPr>
      <w:r w:rsidRPr="003C63B1">
        <w:rPr>
          <w:b/>
          <w:sz w:val="26"/>
        </w:rPr>
        <w:t>IT IS ORDERED:</w:t>
      </w:r>
    </w:p>
    <w:p w:rsidR="00040ADE" w:rsidRDefault="00040ADE" w:rsidP="009F398E">
      <w:pPr>
        <w:spacing w:line="360" w:lineRule="auto"/>
        <w:rPr>
          <w:b/>
          <w:sz w:val="26"/>
        </w:rPr>
      </w:pPr>
    </w:p>
    <w:p w:rsidR="00040ADE" w:rsidRDefault="00040ADE" w:rsidP="00F66F8C">
      <w:pPr>
        <w:pStyle w:val="ListParagraph"/>
        <w:numPr>
          <w:ilvl w:val="0"/>
          <w:numId w:val="16"/>
        </w:numPr>
        <w:spacing w:line="360" w:lineRule="auto"/>
        <w:ind w:left="0" w:firstLine="1440"/>
        <w:rPr>
          <w:sz w:val="26"/>
        </w:rPr>
      </w:pPr>
      <w:r>
        <w:rPr>
          <w:sz w:val="26"/>
        </w:rPr>
        <w:t>That the Petition of Duquesne Light Company for Approval of Smart Meter Technology Procurement and Installation Plan is granted, consistent</w:t>
      </w:r>
      <w:r w:rsidR="00F66F8C">
        <w:rPr>
          <w:sz w:val="26"/>
        </w:rPr>
        <w:t xml:space="preserve"> with this Opinion and Order.</w:t>
      </w:r>
    </w:p>
    <w:p w:rsidR="00F66F8C" w:rsidRDefault="00F66F8C" w:rsidP="00F66F8C">
      <w:pPr>
        <w:spacing w:line="360" w:lineRule="auto"/>
        <w:rPr>
          <w:sz w:val="26"/>
        </w:rPr>
      </w:pPr>
    </w:p>
    <w:p w:rsidR="00F66F8C" w:rsidRDefault="00F66F8C" w:rsidP="00F66F8C">
      <w:pPr>
        <w:spacing w:line="360" w:lineRule="auto"/>
        <w:ind w:firstLine="1440"/>
        <w:rPr>
          <w:sz w:val="26"/>
        </w:rPr>
      </w:pPr>
      <w:r>
        <w:rPr>
          <w:sz w:val="26"/>
        </w:rPr>
        <w:lastRenderedPageBreak/>
        <w:t>2.</w:t>
      </w:r>
      <w:r>
        <w:rPr>
          <w:sz w:val="26"/>
        </w:rPr>
        <w:tab/>
        <w:t>That the Smart Meter Technology Procurement and Installation Plan filed by Duquesne Light Company on August 14, 2009, is approved, as modified by this Opinion and Order.</w:t>
      </w:r>
    </w:p>
    <w:p w:rsidR="00F66F8C" w:rsidRDefault="00F66F8C" w:rsidP="00F66F8C">
      <w:pPr>
        <w:spacing w:line="360" w:lineRule="auto"/>
        <w:ind w:firstLine="1440"/>
        <w:rPr>
          <w:sz w:val="26"/>
        </w:rPr>
      </w:pPr>
    </w:p>
    <w:p w:rsidR="00414F24" w:rsidRDefault="00F66F8C" w:rsidP="00F66F8C">
      <w:pPr>
        <w:spacing w:line="360" w:lineRule="auto"/>
        <w:ind w:firstLine="1440"/>
        <w:rPr>
          <w:sz w:val="26"/>
        </w:rPr>
      </w:pPr>
      <w:r>
        <w:rPr>
          <w:sz w:val="26"/>
        </w:rPr>
        <w:t>3.</w:t>
      </w:r>
      <w:r>
        <w:rPr>
          <w:sz w:val="26"/>
        </w:rPr>
        <w:tab/>
      </w:r>
      <w:r w:rsidR="00414F24">
        <w:rPr>
          <w:sz w:val="26"/>
        </w:rPr>
        <w:t>That Duquesne Light Company is permitted to implement the Smart Meter Technology Procurement and Installation Plan, as modified by this Opinion and Order.</w:t>
      </w:r>
    </w:p>
    <w:p w:rsidR="00465688" w:rsidRDefault="00465688" w:rsidP="00F66F8C">
      <w:pPr>
        <w:spacing w:line="360" w:lineRule="auto"/>
        <w:ind w:firstLine="1440"/>
        <w:rPr>
          <w:sz w:val="26"/>
        </w:rPr>
      </w:pPr>
    </w:p>
    <w:p w:rsidR="00414F24" w:rsidRDefault="00414F24" w:rsidP="00F66F8C">
      <w:pPr>
        <w:spacing w:line="360" w:lineRule="auto"/>
        <w:ind w:firstLine="1440"/>
        <w:rPr>
          <w:sz w:val="26"/>
        </w:rPr>
      </w:pPr>
      <w:r>
        <w:rPr>
          <w:sz w:val="26"/>
        </w:rPr>
        <w:t>4.</w:t>
      </w:r>
      <w:r>
        <w:rPr>
          <w:sz w:val="26"/>
        </w:rPr>
        <w:tab/>
        <w:t xml:space="preserve">That upon entry of this Opinion and Order, Duquesne Light Company is permitted to file tariffs and tariff supplements to implement a Smart Meter Charge Rider, consistent with this Opinion and Order.  Duquesne </w:t>
      </w:r>
      <w:r w:rsidR="00255556">
        <w:rPr>
          <w:sz w:val="26"/>
        </w:rPr>
        <w:t>Light Company shall also file supporting documentation reflecting the calculation of these charges.  Copies shall be served on all Parties to this proceeding.</w:t>
      </w:r>
    </w:p>
    <w:p w:rsidR="00255556" w:rsidRDefault="00255556" w:rsidP="00F66F8C">
      <w:pPr>
        <w:spacing w:line="360" w:lineRule="auto"/>
        <w:ind w:firstLine="1440"/>
        <w:rPr>
          <w:sz w:val="26"/>
        </w:rPr>
      </w:pPr>
    </w:p>
    <w:p w:rsidR="00B542C2" w:rsidRDefault="0041512B" w:rsidP="00E338BA">
      <w:pPr>
        <w:spacing w:line="360" w:lineRule="auto"/>
        <w:ind w:firstLine="1530"/>
        <w:rPr>
          <w:sz w:val="26"/>
        </w:rPr>
      </w:pPr>
      <w:r>
        <w:rPr>
          <w:sz w:val="26"/>
        </w:rPr>
        <w:t>5.</w:t>
      </w:r>
      <w:r>
        <w:rPr>
          <w:sz w:val="26"/>
        </w:rPr>
        <w:tab/>
      </w:r>
      <w:r w:rsidR="00255556" w:rsidRPr="0041512B">
        <w:rPr>
          <w:sz w:val="26"/>
        </w:rPr>
        <w:t>That Duquesne Light Company’s tariff supplements may be filed upon less than statutory notice and, pursuant to the provisions of 52 Pa. C</w:t>
      </w:r>
      <w:r w:rsidR="00465688">
        <w:rPr>
          <w:sz w:val="26"/>
        </w:rPr>
        <w:t>ode</w:t>
      </w:r>
      <w:r w:rsidR="00255556" w:rsidRPr="0041512B">
        <w:rPr>
          <w:sz w:val="26"/>
        </w:rPr>
        <w:t xml:space="preserve"> </w:t>
      </w:r>
      <w:r w:rsidR="00B542C2" w:rsidRPr="0041512B">
        <w:rPr>
          <w:sz w:val="26"/>
        </w:rPr>
        <w:t>§§ 53.31 and 53.101, may be filed to be effective for service rendered on and after the date of entry of the instant Opinion and Order.</w:t>
      </w:r>
    </w:p>
    <w:p w:rsidR="00CF313C" w:rsidRDefault="00CF313C" w:rsidP="00E338BA">
      <w:pPr>
        <w:spacing w:line="360" w:lineRule="auto"/>
        <w:ind w:firstLine="1530"/>
        <w:rPr>
          <w:sz w:val="26"/>
        </w:rPr>
      </w:pPr>
    </w:p>
    <w:p w:rsidR="00B542C2" w:rsidRPr="0041512B" w:rsidRDefault="0041512B" w:rsidP="0041512B">
      <w:pPr>
        <w:spacing w:line="360" w:lineRule="auto"/>
        <w:ind w:firstLine="1530"/>
        <w:rPr>
          <w:sz w:val="26"/>
        </w:rPr>
      </w:pPr>
      <w:r>
        <w:rPr>
          <w:sz w:val="26"/>
        </w:rPr>
        <w:t>6.</w:t>
      </w:r>
      <w:r>
        <w:rPr>
          <w:sz w:val="26"/>
        </w:rPr>
        <w:tab/>
      </w:r>
      <w:r w:rsidR="00B542C2" w:rsidRPr="0041512B">
        <w:rPr>
          <w:sz w:val="26"/>
        </w:rPr>
        <w:t>That any directive, requirement, disposition or the like contained in the body of this Opinion and Order that is not the subject of an individual Ordering Paragraph shall have the full force and effect as if fully contained in this part.</w:t>
      </w:r>
    </w:p>
    <w:p w:rsidR="00B542C2" w:rsidRPr="00B542C2" w:rsidRDefault="00B542C2" w:rsidP="00B542C2">
      <w:pPr>
        <w:pStyle w:val="ListParagraph"/>
        <w:rPr>
          <w:sz w:val="26"/>
        </w:rPr>
      </w:pPr>
    </w:p>
    <w:p w:rsidR="00B542C2" w:rsidRDefault="00584985" w:rsidP="00584985">
      <w:pPr>
        <w:pStyle w:val="ListParagraph"/>
        <w:spacing w:line="360" w:lineRule="auto"/>
        <w:ind w:left="0" w:firstLine="1440"/>
        <w:rPr>
          <w:sz w:val="26"/>
        </w:rPr>
      </w:pPr>
      <w:r>
        <w:rPr>
          <w:sz w:val="26"/>
        </w:rPr>
        <w:t>7.</w:t>
      </w:r>
      <w:r>
        <w:rPr>
          <w:sz w:val="26"/>
        </w:rPr>
        <w:tab/>
      </w:r>
      <w:r w:rsidR="0092637A">
        <w:rPr>
          <w:sz w:val="26"/>
        </w:rPr>
        <w:t xml:space="preserve">That the Initial Decision issued by Administrative Law Judge Robert P. Meehan on January 28, 2010, is </w:t>
      </w:r>
      <w:r w:rsidR="00CF313C">
        <w:rPr>
          <w:sz w:val="26"/>
        </w:rPr>
        <w:t xml:space="preserve">adopted as </w:t>
      </w:r>
      <w:r w:rsidR="0092637A">
        <w:rPr>
          <w:sz w:val="26"/>
        </w:rPr>
        <w:t>modified, consistent with this Opinion and Order.</w:t>
      </w:r>
    </w:p>
    <w:p w:rsidR="0092637A" w:rsidRPr="0092637A" w:rsidRDefault="0092637A" w:rsidP="0092637A">
      <w:pPr>
        <w:pStyle w:val="ListParagraph"/>
        <w:rPr>
          <w:sz w:val="26"/>
        </w:rPr>
      </w:pPr>
    </w:p>
    <w:p w:rsidR="0092637A" w:rsidRDefault="00584985" w:rsidP="00584985">
      <w:pPr>
        <w:pStyle w:val="ListParagraph"/>
        <w:spacing w:line="360" w:lineRule="auto"/>
        <w:ind w:left="0" w:firstLine="1440"/>
        <w:rPr>
          <w:sz w:val="26"/>
        </w:rPr>
      </w:pPr>
      <w:r>
        <w:rPr>
          <w:sz w:val="26"/>
        </w:rPr>
        <w:lastRenderedPageBreak/>
        <w:t>8.</w:t>
      </w:r>
      <w:r>
        <w:rPr>
          <w:sz w:val="26"/>
        </w:rPr>
        <w:tab/>
      </w:r>
      <w:r w:rsidR="00E46877">
        <w:rPr>
          <w:sz w:val="26"/>
        </w:rPr>
        <w:t xml:space="preserve">That the Exceptions filed by the Office of Consumer Advocate are </w:t>
      </w:r>
      <w:r w:rsidR="00F3384A">
        <w:rPr>
          <w:sz w:val="26"/>
        </w:rPr>
        <w:t xml:space="preserve">granted in part and </w:t>
      </w:r>
      <w:r w:rsidR="00E46877">
        <w:rPr>
          <w:sz w:val="26"/>
        </w:rPr>
        <w:t>denied</w:t>
      </w:r>
      <w:r w:rsidR="00F3384A">
        <w:rPr>
          <w:sz w:val="26"/>
        </w:rPr>
        <w:t xml:space="preserve"> in part</w:t>
      </w:r>
      <w:r w:rsidR="00E46877">
        <w:rPr>
          <w:sz w:val="26"/>
        </w:rPr>
        <w:t>.</w:t>
      </w:r>
    </w:p>
    <w:p w:rsidR="00E46877" w:rsidRPr="00465688" w:rsidRDefault="00E46877" w:rsidP="00465688">
      <w:pPr>
        <w:rPr>
          <w:sz w:val="26"/>
        </w:rPr>
      </w:pPr>
    </w:p>
    <w:p w:rsidR="00E46877" w:rsidRDefault="00465688" w:rsidP="00584985">
      <w:pPr>
        <w:pStyle w:val="ListParagraph"/>
        <w:spacing w:line="360" w:lineRule="auto"/>
        <w:ind w:left="0" w:firstLine="1440"/>
        <w:rPr>
          <w:sz w:val="26"/>
        </w:rPr>
      </w:pPr>
      <w:r>
        <w:rPr>
          <w:sz w:val="26"/>
        </w:rPr>
        <w:t>9</w:t>
      </w:r>
      <w:r w:rsidR="00584985">
        <w:rPr>
          <w:sz w:val="26"/>
        </w:rPr>
        <w:t>.</w:t>
      </w:r>
      <w:r w:rsidR="00584985">
        <w:rPr>
          <w:sz w:val="26"/>
        </w:rPr>
        <w:tab/>
      </w:r>
      <w:r w:rsidR="00E46877">
        <w:rPr>
          <w:sz w:val="26"/>
        </w:rPr>
        <w:t xml:space="preserve">That the Exceptions </w:t>
      </w:r>
      <w:r w:rsidR="004518B1">
        <w:rPr>
          <w:sz w:val="26"/>
        </w:rPr>
        <w:t>of the Office of Trial Staff are granted in part and denied in part.</w:t>
      </w:r>
    </w:p>
    <w:p w:rsidR="004518B1" w:rsidRPr="004518B1" w:rsidRDefault="004518B1" w:rsidP="004518B1">
      <w:pPr>
        <w:pStyle w:val="ListParagraph"/>
        <w:rPr>
          <w:sz w:val="26"/>
        </w:rPr>
      </w:pPr>
    </w:p>
    <w:p w:rsidR="004518B1" w:rsidRDefault="00584985" w:rsidP="00584985">
      <w:pPr>
        <w:pStyle w:val="ListParagraph"/>
        <w:spacing w:line="360" w:lineRule="auto"/>
        <w:ind w:left="0" w:firstLine="1440"/>
        <w:rPr>
          <w:sz w:val="26"/>
        </w:rPr>
      </w:pPr>
      <w:r>
        <w:rPr>
          <w:sz w:val="26"/>
        </w:rPr>
        <w:t>1</w:t>
      </w:r>
      <w:r w:rsidR="00465688">
        <w:rPr>
          <w:sz w:val="26"/>
        </w:rPr>
        <w:t>0</w:t>
      </w:r>
      <w:r>
        <w:rPr>
          <w:sz w:val="26"/>
        </w:rPr>
        <w:t>.</w:t>
      </w:r>
      <w:r>
        <w:rPr>
          <w:sz w:val="26"/>
        </w:rPr>
        <w:tab/>
      </w:r>
      <w:r w:rsidR="004518B1">
        <w:rPr>
          <w:sz w:val="26"/>
        </w:rPr>
        <w:t>That the Exceptions of the Department of Environmental Protection are denied.</w:t>
      </w:r>
    </w:p>
    <w:p w:rsidR="004518B1" w:rsidRPr="004518B1" w:rsidRDefault="004518B1" w:rsidP="004518B1">
      <w:pPr>
        <w:pStyle w:val="ListParagraph"/>
        <w:rPr>
          <w:sz w:val="26"/>
        </w:rPr>
      </w:pPr>
    </w:p>
    <w:p w:rsidR="004518B1" w:rsidRDefault="00465688" w:rsidP="00584985">
      <w:pPr>
        <w:pStyle w:val="ListParagraph"/>
        <w:spacing w:line="360" w:lineRule="auto"/>
        <w:ind w:left="0" w:firstLine="1440"/>
        <w:rPr>
          <w:sz w:val="26"/>
        </w:rPr>
      </w:pPr>
      <w:r>
        <w:rPr>
          <w:sz w:val="26"/>
        </w:rPr>
        <w:t>11</w:t>
      </w:r>
      <w:r w:rsidR="00584985">
        <w:rPr>
          <w:sz w:val="26"/>
        </w:rPr>
        <w:t>.</w:t>
      </w:r>
      <w:r w:rsidR="00584985">
        <w:rPr>
          <w:sz w:val="26"/>
        </w:rPr>
        <w:tab/>
      </w:r>
      <w:r w:rsidR="00332EDA">
        <w:rPr>
          <w:sz w:val="26"/>
        </w:rPr>
        <w:t xml:space="preserve">That the Exceptions of </w:t>
      </w:r>
      <w:r w:rsidR="009D5D98">
        <w:rPr>
          <w:sz w:val="26"/>
        </w:rPr>
        <w:t>the Office of Small Business Advocate are granted.</w:t>
      </w:r>
    </w:p>
    <w:p w:rsidR="009D5D98" w:rsidRPr="009D5D98" w:rsidRDefault="009D5D98" w:rsidP="009D5D98">
      <w:pPr>
        <w:pStyle w:val="ListParagraph"/>
        <w:rPr>
          <w:sz w:val="26"/>
        </w:rPr>
      </w:pPr>
    </w:p>
    <w:p w:rsidR="00E02A43" w:rsidRDefault="00584985" w:rsidP="00E50435">
      <w:pPr>
        <w:pStyle w:val="ListParagraph"/>
        <w:spacing w:line="360" w:lineRule="auto"/>
        <w:ind w:left="0" w:firstLine="1440"/>
        <w:rPr>
          <w:sz w:val="26"/>
        </w:rPr>
      </w:pPr>
      <w:r>
        <w:rPr>
          <w:sz w:val="26"/>
        </w:rPr>
        <w:t>1</w:t>
      </w:r>
      <w:r w:rsidR="00361F4E">
        <w:rPr>
          <w:sz w:val="26"/>
        </w:rPr>
        <w:t>2</w:t>
      </w:r>
      <w:r>
        <w:rPr>
          <w:sz w:val="26"/>
        </w:rPr>
        <w:t>.</w:t>
      </w:r>
      <w:r>
        <w:rPr>
          <w:sz w:val="26"/>
        </w:rPr>
        <w:tab/>
      </w:r>
      <w:r w:rsidR="009D5D98">
        <w:rPr>
          <w:sz w:val="26"/>
        </w:rPr>
        <w:t xml:space="preserve">That the Exceptions of </w:t>
      </w:r>
      <w:r w:rsidR="00E02A43">
        <w:rPr>
          <w:sz w:val="26"/>
        </w:rPr>
        <w:t>Duquesne In</w:t>
      </w:r>
      <w:r w:rsidR="00443BCB">
        <w:rPr>
          <w:sz w:val="26"/>
        </w:rPr>
        <w:t>dustrial Intervenor are granted</w:t>
      </w:r>
      <w:r w:rsidR="00E02A43">
        <w:rPr>
          <w:sz w:val="26"/>
        </w:rPr>
        <w:t>.</w:t>
      </w:r>
    </w:p>
    <w:p w:rsidR="00E338BA" w:rsidRPr="00E50435" w:rsidRDefault="00E338BA" w:rsidP="00E50435">
      <w:pPr>
        <w:pStyle w:val="ListParagraph"/>
        <w:spacing w:line="360" w:lineRule="auto"/>
        <w:ind w:left="0" w:firstLine="1440"/>
        <w:rPr>
          <w:sz w:val="26"/>
        </w:rPr>
      </w:pPr>
    </w:p>
    <w:p w:rsidR="00C868AA" w:rsidRDefault="00584985" w:rsidP="00584985">
      <w:pPr>
        <w:pStyle w:val="ListParagraph"/>
        <w:spacing w:line="360" w:lineRule="auto"/>
        <w:ind w:left="1440"/>
        <w:rPr>
          <w:sz w:val="26"/>
        </w:rPr>
      </w:pPr>
      <w:r>
        <w:rPr>
          <w:sz w:val="26"/>
        </w:rPr>
        <w:t>1</w:t>
      </w:r>
      <w:r w:rsidR="00361F4E">
        <w:rPr>
          <w:sz w:val="26"/>
        </w:rPr>
        <w:t>3</w:t>
      </w:r>
      <w:r>
        <w:rPr>
          <w:sz w:val="26"/>
        </w:rPr>
        <w:t>.</w:t>
      </w:r>
      <w:r>
        <w:rPr>
          <w:sz w:val="26"/>
        </w:rPr>
        <w:tab/>
      </w:r>
      <w:r w:rsidR="00E02A43">
        <w:rPr>
          <w:sz w:val="26"/>
        </w:rPr>
        <w:t>That the Exceptions of Citizen Power</w:t>
      </w:r>
      <w:r w:rsidR="00C868AA">
        <w:rPr>
          <w:sz w:val="26"/>
        </w:rPr>
        <w:t>, Inc. be denied.</w:t>
      </w:r>
    </w:p>
    <w:p w:rsidR="009A2D72" w:rsidRDefault="009A2D72" w:rsidP="009A2D72">
      <w:pPr>
        <w:spacing w:line="360" w:lineRule="auto"/>
        <w:rPr>
          <w:sz w:val="26"/>
        </w:rPr>
      </w:pPr>
    </w:p>
    <w:p w:rsidR="009A2D72" w:rsidRPr="009A2D72" w:rsidRDefault="009A2D72" w:rsidP="009A2D72">
      <w:pPr>
        <w:spacing w:line="360" w:lineRule="auto"/>
        <w:ind w:firstLine="1440"/>
        <w:rPr>
          <w:sz w:val="26"/>
          <w:szCs w:val="26"/>
        </w:rPr>
      </w:pPr>
      <w:r>
        <w:rPr>
          <w:sz w:val="26"/>
        </w:rPr>
        <w:t>1</w:t>
      </w:r>
      <w:r w:rsidR="00361F4E">
        <w:rPr>
          <w:sz w:val="26"/>
        </w:rPr>
        <w:t>4</w:t>
      </w:r>
      <w:r>
        <w:rPr>
          <w:sz w:val="26"/>
        </w:rPr>
        <w:t>.</w:t>
      </w:r>
      <w:r>
        <w:rPr>
          <w:sz w:val="26"/>
        </w:rPr>
        <w:tab/>
        <w:t>That a</w:t>
      </w:r>
      <w:r w:rsidRPr="009A2D72">
        <w:rPr>
          <w:sz w:val="26"/>
          <w:szCs w:val="26"/>
        </w:rPr>
        <w:t xml:space="preserve">ll smart meter plan costs, including both expense and capital items (net of tax) and revenues included in </w:t>
      </w:r>
      <w:r>
        <w:rPr>
          <w:sz w:val="26"/>
          <w:szCs w:val="26"/>
        </w:rPr>
        <w:t>Duquesne Light Company</w:t>
      </w:r>
      <w:r w:rsidRPr="009A2D72">
        <w:rPr>
          <w:sz w:val="26"/>
          <w:szCs w:val="26"/>
        </w:rPr>
        <w:t xml:space="preserve">’s smart meter revenues, will not be included in the revenue requirement used in future </w:t>
      </w:r>
      <w:r w:rsidR="002A58A4">
        <w:rPr>
          <w:sz w:val="26"/>
          <w:szCs w:val="26"/>
        </w:rPr>
        <w:t>Duquesne</w:t>
      </w:r>
      <w:r w:rsidR="00054F6E">
        <w:rPr>
          <w:sz w:val="26"/>
          <w:szCs w:val="26"/>
        </w:rPr>
        <w:t xml:space="preserve"> Light Company </w:t>
      </w:r>
      <w:r w:rsidRPr="009A2D72">
        <w:rPr>
          <w:sz w:val="26"/>
          <w:szCs w:val="26"/>
        </w:rPr>
        <w:t>distribution base rate cases and will be subject to Commission review and audit.</w:t>
      </w:r>
    </w:p>
    <w:p w:rsidR="009A2D72" w:rsidRDefault="009A2D72" w:rsidP="009A2D72">
      <w:pPr>
        <w:spacing w:line="360" w:lineRule="auto"/>
        <w:ind w:left="1440"/>
        <w:rPr>
          <w:sz w:val="26"/>
        </w:rPr>
      </w:pPr>
    </w:p>
    <w:p w:rsidR="00860D8E" w:rsidRDefault="00860D8E" w:rsidP="00860D8E">
      <w:pPr>
        <w:spacing w:line="360" w:lineRule="auto"/>
        <w:ind w:firstLine="1440"/>
        <w:rPr>
          <w:sz w:val="26"/>
        </w:rPr>
      </w:pPr>
      <w:r>
        <w:rPr>
          <w:sz w:val="26"/>
        </w:rPr>
        <w:t>15.</w:t>
      </w:r>
      <w:r>
        <w:rPr>
          <w:sz w:val="26"/>
        </w:rPr>
        <w:tab/>
        <w:t>That interested parties shall file comments on the need, ability, and cost for sub-hourly metering within 30 days of the entry of this Order, with replies to those comments due 15 days thereafter.</w:t>
      </w:r>
    </w:p>
    <w:p w:rsidR="00860D8E" w:rsidRDefault="00860D8E" w:rsidP="00860D8E">
      <w:pPr>
        <w:spacing w:line="360" w:lineRule="auto"/>
        <w:ind w:firstLine="1440"/>
        <w:rPr>
          <w:sz w:val="26"/>
        </w:rPr>
      </w:pPr>
    </w:p>
    <w:p w:rsidR="006E756D" w:rsidRPr="009A2D72" w:rsidRDefault="006E756D" w:rsidP="00860D8E">
      <w:pPr>
        <w:spacing w:line="360" w:lineRule="auto"/>
        <w:ind w:firstLine="1440"/>
        <w:rPr>
          <w:sz w:val="26"/>
        </w:rPr>
      </w:pPr>
    </w:p>
    <w:p w:rsidR="00E02A43" w:rsidRPr="009A2D72" w:rsidRDefault="009A2D72" w:rsidP="00860D8E">
      <w:pPr>
        <w:spacing w:line="360" w:lineRule="auto"/>
        <w:ind w:firstLine="1440"/>
        <w:rPr>
          <w:sz w:val="26"/>
        </w:rPr>
      </w:pPr>
      <w:r>
        <w:rPr>
          <w:sz w:val="26"/>
        </w:rPr>
        <w:lastRenderedPageBreak/>
        <w:t>1</w:t>
      </w:r>
      <w:r w:rsidR="00860D8E">
        <w:rPr>
          <w:sz w:val="26"/>
        </w:rPr>
        <w:t xml:space="preserve">6.      </w:t>
      </w:r>
      <w:r w:rsidR="00C868AA" w:rsidRPr="009A2D72">
        <w:rPr>
          <w:sz w:val="26"/>
        </w:rPr>
        <w:t>That upon after acceptance and approval by the Commission of the tariff revisions filed by Duquesne Light Company, the Secretary’s Bureau shall mark th</w:t>
      </w:r>
      <w:r w:rsidR="00C00B78">
        <w:rPr>
          <w:sz w:val="26"/>
        </w:rPr>
        <w:t>is</w:t>
      </w:r>
      <w:r w:rsidR="00C868AA" w:rsidRPr="009A2D72">
        <w:rPr>
          <w:sz w:val="26"/>
        </w:rPr>
        <w:t xml:space="preserve"> case closed.</w:t>
      </w:r>
      <w:r w:rsidR="00E02A43" w:rsidRPr="009A2D72">
        <w:rPr>
          <w:sz w:val="26"/>
        </w:rPr>
        <w:t xml:space="preserve"> </w:t>
      </w:r>
    </w:p>
    <w:p w:rsidR="003A1D4E" w:rsidRDefault="00414F24" w:rsidP="00E56D8D">
      <w:pPr>
        <w:spacing w:line="360" w:lineRule="auto"/>
        <w:ind w:firstLine="1440"/>
        <w:rPr>
          <w:sz w:val="26"/>
        </w:rPr>
      </w:pPr>
      <w:r>
        <w:rPr>
          <w:sz w:val="26"/>
        </w:rPr>
        <w:t xml:space="preserve"> </w:t>
      </w:r>
    </w:p>
    <w:p w:rsidR="00EA50B3" w:rsidRDefault="00EA50B3" w:rsidP="0096733E">
      <w:pPr>
        <w:spacing w:line="360" w:lineRule="auto"/>
        <w:ind w:firstLine="1440"/>
        <w:rPr>
          <w:sz w:val="26"/>
        </w:rPr>
      </w:pPr>
    </w:p>
    <w:p w:rsidR="004C1CD2" w:rsidRPr="003C63B1" w:rsidRDefault="006F0576" w:rsidP="004C1CD2">
      <w:pPr>
        <w:tabs>
          <w:tab w:val="left" w:pos="-720"/>
        </w:tabs>
        <w:suppressAutoHyphens/>
        <w:rPr>
          <w:sz w:val="26"/>
        </w:rPr>
      </w:pPr>
      <w:r>
        <w:rPr>
          <w:b/>
          <w:noProof/>
          <w:sz w:val="26"/>
        </w:rPr>
        <w:drawing>
          <wp:anchor distT="0" distB="0" distL="114300" distR="114300" simplePos="0" relativeHeight="251658240" behindDoc="1" locked="0" layoutInCell="1" allowOverlap="1">
            <wp:simplePos x="0" y="0"/>
            <wp:positionH relativeFrom="column">
              <wp:posOffset>2933700</wp:posOffset>
            </wp:positionH>
            <wp:positionV relativeFrom="paragraph">
              <wp:posOffset>5080</wp:posOffset>
            </wp:positionV>
            <wp:extent cx="2200275" cy="838200"/>
            <wp:effectExtent l="19050" t="0" r="9525" b="0"/>
            <wp:wrapNone/>
            <wp:docPr id="4" name="Picture 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C1CD2" w:rsidRPr="003C63B1">
        <w:rPr>
          <w:b/>
          <w:sz w:val="26"/>
        </w:rPr>
        <w:tab/>
      </w:r>
      <w:r w:rsidR="004C1CD2" w:rsidRPr="003C63B1">
        <w:rPr>
          <w:b/>
          <w:sz w:val="26"/>
        </w:rPr>
        <w:tab/>
      </w:r>
      <w:r w:rsidR="004C1CD2" w:rsidRPr="003C63B1">
        <w:rPr>
          <w:b/>
          <w:sz w:val="26"/>
        </w:rPr>
        <w:tab/>
      </w:r>
      <w:r w:rsidR="004C1CD2" w:rsidRPr="003C63B1">
        <w:rPr>
          <w:b/>
          <w:sz w:val="26"/>
        </w:rPr>
        <w:tab/>
      </w:r>
      <w:r w:rsidR="004C1CD2" w:rsidRPr="003C63B1">
        <w:rPr>
          <w:b/>
          <w:sz w:val="26"/>
        </w:rPr>
        <w:tab/>
      </w:r>
      <w:r w:rsidR="004C1CD2" w:rsidRPr="003C63B1">
        <w:rPr>
          <w:b/>
          <w:sz w:val="26"/>
        </w:rPr>
        <w:tab/>
      </w:r>
      <w:r w:rsidR="004C1CD2" w:rsidRPr="003C63B1">
        <w:rPr>
          <w:b/>
          <w:sz w:val="26"/>
        </w:rPr>
        <w:tab/>
        <w:t>BY THE COMMISSION,</w:t>
      </w: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00F773B7">
        <w:rPr>
          <w:sz w:val="26"/>
        </w:rPr>
        <w:t>Rosemary Chiavetta</w:t>
      </w:r>
    </w:p>
    <w:p w:rsidR="004C1CD2" w:rsidRPr="003C63B1" w:rsidRDefault="004C1CD2" w:rsidP="004C1CD2">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4C1CD2" w:rsidRPr="003C63B1" w:rsidRDefault="004C1CD2" w:rsidP="004C1CD2">
      <w:pPr>
        <w:tabs>
          <w:tab w:val="left" w:pos="-720"/>
        </w:tabs>
        <w:suppressAutoHyphens/>
        <w:rPr>
          <w:sz w:val="26"/>
        </w:rPr>
      </w:pPr>
    </w:p>
    <w:p w:rsidR="00A14CE2" w:rsidRDefault="00A14CE2" w:rsidP="004C1CD2">
      <w:pPr>
        <w:tabs>
          <w:tab w:val="left" w:pos="-720"/>
        </w:tabs>
        <w:suppressAutoHyphens/>
        <w:rPr>
          <w:sz w:val="26"/>
        </w:rPr>
      </w:pPr>
    </w:p>
    <w:p w:rsidR="004A26DF" w:rsidRDefault="004A26DF" w:rsidP="004C1CD2">
      <w:pPr>
        <w:tabs>
          <w:tab w:val="left" w:pos="-720"/>
        </w:tabs>
        <w:suppressAutoHyphens/>
        <w:rPr>
          <w:sz w:val="26"/>
        </w:rPr>
      </w:pPr>
    </w:p>
    <w:p w:rsidR="00054F6E" w:rsidRDefault="00054F6E" w:rsidP="004C1CD2">
      <w:pPr>
        <w:tabs>
          <w:tab w:val="left" w:pos="-720"/>
        </w:tabs>
        <w:suppressAutoHyphens/>
        <w:rPr>
          <w:sz w:val="26"/>
        </w:rPr>
      </w:pPr>
    </w:p>
    <w:p w:rsidR="004C1CD2" w:rsidRPr="003C63B1" w:rsidRDefault="004C1CD2" w:rsidP="004C1CD2">
      <w:pPr>
        <w:tabs>
          <w:tab w:val="left" w:pos="-720"/>
        </w:tabs>
        <w:suppressAutoHyphens/>
        <w:rPr>
          <w:sz w:val="26"/>
        </w:rPr>
      </w:pPr>
      <w:r w:rsidRPr="003C63B1">
        <w:rPr>
          <w:sz w:val="26"/>
        </w:rPr>
        <w:t>(SEAL)</w:t>
      </w:r>
    </w:p>
    <w:p w:rsidR="004C1CD2" w:rsidRPr="003C63B1" w:rsidRDefault="004C1CD2" w:rsidP="004C1CD2">
      <w:pPr>
        <w:tabs>
          <w:tab w:val="left" w:pos="-720"/>
        </w:tabs>
        <w:suppressAutoHyphens/>
        <w:rPr>
          <w:sz w:val="26"/>
        </w:rPr>
      </w:pPr>
    </w:p>
    <w:p w:rsidR="004C1CD2" w:rsidRPr="003C63B1" w:rsidRDefault="00710770" w:rsidP="004C1CD2">
      <w:pPr>
        <w:tabs>
          <w:tab w:val="left" w:pos="-720"/>
        </w:tabs>
        <w:suppressAutoHyphens/>
        <w:rPr>
          <w:sz w:val="26"/>
        </w:rPr>
      </w:pPr>
      <w:r>
        <w:rPr>
          <w:sz w:val="26"/>
        </w:rPr>
        <w:t>OR</w:t>
      </w:r>
      <w:r w:rsidR="00065CDD">
        <w:rPr>
          <w:sz w:val="26"/>
        </w:rPr>
        <w:t>DER ADOPTED:  April</w:t>
      </w:r>
      <w:r w:rsidR="00020830">
        <w:rPr>
          <w:sz w:val="26"/>
        </w:rPr>
        <w:t xml:space="preserve"> </w:t>
      </w:r>
      <w:r w:rsidR="00EA20D5">
        <w:rPr>
          <w:sz w:val="26"/>
        </w:rPr>
        <w:t>15</w:t>
      </w:r>
      <w:r w:rsidR="002B5FFC">
        <w:rPr>
          <w:sz w:val="26"/>
        </w:rPr>
        <w:t>, 2010</w:t>
      </w:r>
    </w:p>
    <w:p w:rsidR="004C1CD2" w:rsidRPr="003C63B1" w:rsidRDefault="004C1CD2" w:rsidP="004C1CD2">
      <w:pPr>
        <w:tabs>
          <w:tab w:val="left" w:pos="-720"/>
        </w:tabs>
        <w:suppressAutoHyphens/>
        <w:rPr>
          <w:sz w:val="26"/>
        </w:rPr>
      </w:pPr>
    </w:p>
    <w:p w:rsidR="008B675E" w:rsidRDefault="004C1CD2">
      <w:pPr>
        <w:tabs>
          <w:tab w:val="left" w:pos="-720"/>
        </w:tabs>
        <w:suppressAutoHyphens/>
        <w:rPr>
          <w:sz w:val="26"/>
          <w:szCs w:val="26"/>
        </w:rPr>
      </w:pPr>
      <w:r w:rsidRPr="003C63B1">
        <w:rPr>
          <w:sz w:val="26"/>
        </w:rPr>
        <w:t xml:space="preserve">ORDER ENTERED: </w:t>
      </w:r>
      <w:r w:rsidR="00710770">
        <w:rPr>
          <w:sz w:val="26"/>
        </w:rPr>
        <w:t xml:space="preserve">  </w:t>
      </w:r>
      <w:r w:rsidR="006F0576">
        <w:rPr>
          <w:sz w:val="26"/>
        </w:rPr>
        <w:t>May 11, 2010</w:t>
      </w:r>
    </w:p>
    <w:sectPr w:rsidR="008B675E" w:rsidSect="000531EA">
      <w:footerReference w:type="first" r:id="rId13"/>
      <w:pgSz w:w="12240" w:h="15840"/>
      <w:pgMar w:top="1440" w:right="1440" w:bottom="1872"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E35" w:rsidRDefault="00BE1E35" w:rsidP="008F250B">
      <w:r>
        <w:separator/>
      </w:r>
    </w:p>
  </w:endnote>
  <w:endnote w:type="continuationSeparator" w:id="0">
    <w:p w:rsidR="00BE1E35" w:rsidRDefault="00BE1E35" w:rsidP="008F25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89266"/>
      <w:docPartObj>
        <w:docPartGallery w:val="Page Numbers (Bottom of Page)"/>
        <w:docPartUnique/>
      </w:docPartObj>
    </w:sdtPr>
    <w:sdtContent>
      <w:p w:rsidR="00860D8E" w:rsidRDefault="0043675C">
        <w:pPr>
          <w:pStyle w:val="Footer"/>
          <w:jc w:val="center"/>
        </w:pPr>
        <w:fldSimple w:instr=" PAGE   \* MERGEFORMAT ">
          <w:r w:rsidR="006F0576">
            <w:rPr>
              <w:noProof/>
            </w:rPr>
            <w:t>iii</w:t>
          </w:r>
        </w:fldSimple>
      </w:p>
    </w:sdtContent>
  </w:sdt>
  <w:p w:rsidR="00860D8E" w:rsidRDefault="00860D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582657"/>
      <w:docPartObj>
        <w:docPartGallery w:val="Page Numbers (Bottom of Page)"/>
        <w:docPartUnique/>
      </w:docPartObj>
    </w:sdtPr>
    <w:sdtContent>
      <w:p w:rsidR="00860D8E" w:rsidRDefault="0043675C">
        <w:pPr>
          <w:pStyle w:val="Footer"/>
          <w:jc w:val="center"/>
        </w:pPr>
        <w:fldSimple w:instr=" PAGE   \* MERGEFORMAT ">
          <w:r w:rsidR="006F0576">
            <w:rPr>
              <w:noProof/>
            </w:rPr>
            <w:t>1</w:t>
          </w:r>
        </w:fldSimple>
      </w:p>
    </w:sdtContent>
  </w:sdt>
  <w:p w:rsidR="00860D8E" w:rsidRDefault="00860D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E35" w:rsidRDefault="00BE1E35" w:rsidP="008F250B">
      <w:r>
        <w:separator/>
      </w:r>
    </w:p>
  </w:footnote>
  <w:footnote w:type="continuationSeparator" w:id="0">
    <w:p w:rsidR="00BE1E35" w:rsidRDefault="00BE1E35" w:rsidP="008F250B">
      <w:r>
        <w:continuationSeparator/>
      </w:r>
    </w:p>
  </w:footnote>
  <w:footnote w:id="1">
    <w:p w:rsidR="00860D8E" w:rsidRPr="00373FED" w:rsidRDefault="00860D8E" w:rsidP="00373FED">
      <w:pPr>
        <w:pStyle w:val="FootnoteText"/>
        <w:ind w:firstLine="720"/>
        <w:rPr>
          <w:sz w:val="26"/>
          <w:szCs w:val="26"/>
        </w:rPr>
      </w:pPr>
      <w:r w:rsidRPr="00373FED">
        <w:rPr>
          <w:rStyle w:val="FootnoteReference"/>
          <w:sz w:val="26"/>
          <w:szCs w:val="26"/>
        </w:rPr>
        <w:footnoteRef/>
      </w:r>
      <w:r w:rsidRPr="00373FED">
        <w:rPr>
          <w:sz w:val="26"/>
          <w:szCs w:val="26"/>
        </w:rPr>
        <w:t xml:space="preserve"> </w:t>
      </w:r>
      <w:r w:rsidRPr="00373FED">
        <w:rPr>
          <w:sz w:val="26"/>
          <w:szCs w:val="26"/>
        </w:rPr>
        <w:tab/>
        <w:t>Upon recognition that it will take time to fully develop and install the entire smart meter network, the Commission granted a grace period of 30 months following plan approval (“Grace Period”).</w:t>
      </w:r>
    </w:p>
  </w:footnote>
  <w:footnote w:id="2">
    <w:p w:rsidR="00860D8E" w:rsidRPr="00F5572A" w:rsidRDefault="00860D8E" w:rsidP="00582773">
      <w:pPr>
        <w:pStyle w:val="FootnoteText"/>
        <w:ind w:firstLine="720"/>
        <w:rPr>
          <w:sz w:val="26"/>
          <w:szCs w:val="26"/>
        </w:rPr>
      </w:pPr>
      <w:r w:rsidRPr="00804218">
        <w:rPr>
          <w:rStyle w:val="FootnoteReference"/>
          <w:sz w:val="26"/>
          <w:szCs w:val="26"/>
        </w:rPr>
        <w:footnoteRef/>
      </w:r>
      <w:r w:rsidRPr="00804218">
        <w:rPr>
          <w:sz w:val="26"/>
          <w:szCs w:val="26"/>
        </w:rPr>
        <w:t xml:space="preserve"> </w:t>
      </w:r>
      <w:r w:rsidRPr="00804218">
        <w:rPr>
          <w:sz w:val="26"/>
          <w:szCs w:val="26"/>
        </w:rPr>
        <w:tab/>
        <w:t xml:space="preserve">This acronym is undefined in either Duquesne’s </w:t>
      </w:r>
      <w:r>
        <w:rPr>
          <w:sz w:val="26"/>
          <w:szCs w:val="26"/>
        </w:rPr>
        <w:t>M</w:t>
      </w:r>
      <w:r w:rsidRPr="00804218">
        <w:rPr>
          <w:sz w:val="26"/>
          <w:szCs w:val="26"/>
        </w:rPr>
        <w:t xml:space="preserve">ain or </w:t>
      </w:r>
      <w:r>
        <w:rPr>
          <w:sz w:val="26"/>
          <w:szCs w:val="26"/>
        </w:rPr>
        <w:t>R</w:t>
      </w:r>
      <w:r w:rsidRPr="00804218">
        <w:rPr>
          <w:sz w:val="26"/>
          <w:szCs w:val="26"/>
        </w:rPr>
        <w:t xml:space="preserve">eply </w:t>
      </w:r>
      <w:r>
        <w:rPr>
          <w:sz w:val="26"/>
          <w:szCs w:val="26"/>
        </w:rPr>
        <w:t>B</w:t>
      </w:r>
      <w:r w:rsidRPr="00804218">
        <w:rPr>
          <w:sz w:val="26"/>
          <w:szCs w:val="26"/>
        </w:rPr>
        <w:t>rief.  We</w:t>
      </w:r>
      <w:r w:rsidRPr="00F5572A">
        <w:rPr>
          <w:sz w:val="26"/>
          <w:szCs w:val="26"/>
        </w:rPr>
        <w:t xml:space="preserve"> a</w:t>
      </w:r>
      <w:r>
        <w:rPr>
          <w:sz w:val="26"/>
          <w:szCs w:val="26"/>
        </w:rPr>
        <w:t>re</w:t>
      </w:r>
      <w:r w:rsidRPr="00F5572A">
        <w:rPr>
          <w:sz w:val="26"/>
          <w:szCs w:val="26"/>
        </w:rPr>
        <w:t xml:space="preserve"> presuming that it refers to “electronic data interchange.”</w:t>
      </w:r>
    </w:p>
    <w:p w:rsidR="00860D8E" w:rsidRPr="001D1151" w:rsidRDefault="00860D8E" w:rsidP="00582773">
      <w:pPr>
        <w:pStyle w:val="FootnoteText"/>
        <w:ind w:firstLine="720"/>
        <w:rPr>
          <w:sz w:val="26"/>
          <w:szCs w:val="26"/>
        </w:rPr>
      </w:pPr>
    </w:p>
  </w:footnote>
  <w:footnote w:id="3">
    <w:p w:rsidR="00860D8E" w:rsidRPr="00AD4BE1" w:rsidRDefault="00860D8E" w:rsidP="00AD4BE1">
      <w:pPr>
        <w:pStyle w:val="FootnoteText"/>
        <w:ind w:firstLine="720"/>
        <w:rPr>
          <w:sz w:val="26"/>
          <w:szCs w:val="26"/>
        </w:rPr>
      </w:pPr>
      <w:r w:rsidRPr="00AD4BE1">
        <w:rPr>
          <w:rStyle w:val="FootnoteReference"/>
          <w:sz w:val="26"/>
          <w:szCs w:val="26"/>
        </w:rPr>
        <w:footnoteRef/>
      </w:r>
      <w:r w:rsidRPr="00AD4BE1">
        <w:rPr>
          <w:sz w:val="26"/>
          <w:szCs w:val="26"/>
        </w:rPr>
        <w:t xml:space="preserve"> </w:t>
      </w:r>
      <w:r w:rsidRPr="00AD4BE1">
        <w:rPr>
          <w:sz w:val="26"/>
          <w:szCs w:val="26"/>
        </w:rPr>
        <w:tab/>
        <w:t>It is Duquesne’s position that these dates are approximate, in light of many factors, including Commission approval, uniform decisions, progress, etc.  Thus, the filings will be made “on or about” the dates propos</w:t>
      </w:r>
      <w:r>
        <w:rPr>
          <w:sz w:val="26"/>
          <w:szCs w:val="26"/>
        </w:rPr>
        <w:t xml:space="preserve">ed.  Tr. 105; DLC Ex. C-R, at </w:t>
      </w:r>
      <w:r w:rsidRPr="00AD4BE1">
        <w:rPr>
          <w:sz w:val="26"/>
          <w:szCs w:val="26"/>
        </w:rPr>
        <w:t>9.</w:t>
      </w:r>
    </w:p>
  </w:footnote>
  <w:footnote w:id="4">
    <w:p w:rsidR="00860D8E" w:rsidRPr="00F17296" w:rsidRDefault="00860D8E" w:rsidP="00F17296">
      <w:pPr>
        <w:pStyle w:val="FootnoteText"/>
        <w:ind w:firstLine="720"/>
        <w:rPr>
          <w:sz w:val="26"/>
          <w:szCs w:val="26"/>
        </w:rPr>
      </w:pPr>
      <w:r w:rsidRPr="00F17296">
        <w:rPr>
          <w:rStyle w:val="FootnoteReference"/>
          <w:sz w:val="26"/>
          <w:szCs w:val="26"/>
        </w:rPr>
        <w:footnoteRef/>
      </w:r>
      <w:r w:rsidRPr="00F17296">
        <w:rPr>
          <w:sz w:val="26"/>
          <w:szCs w:val="26"/>
        </w:rPr>
        <w:t xml:space="preserve"> </w:t>
      </w:r>
      <w:r w:rsidRPr="00F17296">
        <w:rPr>
          <w:sz w:val="26"/>
          <w:szCs w:val="26"/>
        </w:rPr>
        <w:tab/>
        <w:t>This includes a hypothetical capital structure if one is used in place of an actual capital structure in the disposition of the rate case.</w:t>
      </w:r>
    </w:p>
  </w:footnote>
  <w:footnote w:id="5">
    <w:p w:rsidR="00860D8E" w:rsidRPr="00C75575" w:rsidRDefault="00860D8E" w:rsidP="00A922BD">
      <w:pPr>
        <w:pStyle w:val="FootnoteText"/>
        <w:ind w:firstLine="720"/>
        <w:rPr>
          <w:sz w:val="26"/>
          <w:szCs w:val="26"/>
        </w:rPr>
      </w:pPr>
      <w:r w:rsidRPr="00C75575">
        <w:rPr>
          <w:rStyle w:val="FootnoteReference"/>
          <w:sz w:val="26"/>
          <w:szCs w:val="26"/>
        </w:rPr>
        <w:footnoteRef/>
      </w:r>
      <w:r w:rsidRPr="00C75575">
        <w:rPr>
          <w:sz w:val="26"/>
          <w:szCs w:val="26"/>
        </w:rPr>
        <w:t xml:space="preserve"> </w:t>
      </w:r>
      <w:r w:rsidRPr="00C75575">
        <w:rPr>
          <w:sz w:val="26"/>
          <w:szCs w:val="26"/>
        </w:rPr>
        <w:tab/>
        <w:t xml:space="preserve">We note that prior Quarterly Earnings Reports did not include </w:t>
      </w:r>
      <w:r>
        <w:rPr>
          <w:sz w:val="26"/>
          <w:szCs w:val="26"/>
        </w:rPr>
        <w:t>certain data discussed in this Opinion and Order, such as Duquesne’s actual capital structure</w:t>
      </w:r>
      <w:r w:rsidRPr="00C75575">
        <w:rPr>
          <w:sz w:val="26"/>
          <w:szCs w:val="26"/>
        </w:rPr>
        <w:t>.  Consistent with this Opinion and Order, this information will be included in the Quarterly Earnings Report beginning with the report for the period ending December 31, 2009.</w:t>
      </w:r>
      <w:r w:rsidRPr="00C75575">
        <w:rPr>
          <w:sz w:val="26"/>
          <w:szCs w:val="26"/>
        </w:rPr>
        <w:tab/>
        <w:t xml:space="preserve"> </w:t>
      </w:r>
    </w:p>
  </w:footnote>
  <w:footnote w:id="6">
    <w:p w:rsidR="00860D8E" w:rsidRPr="00056F5C" w:rsidRDefault="00860D8E" w:rsidP="00056F5C">
      <w:pPr>
        <w:pStyle w:val="FootnoteText"/>
        <w:ind w:firstLine="720"/>
        <w:rPr>
          <w:sz w:val="26"/>
          <w:szCs w:val="26"/>
        </w:rPr>
      </w:pPr>
      <w:r w:rsidRPr="00056F5C">
        <w:rPr>
          <w:rStyle w:val="FootnoteReference"/>
          <w:sz w:val="26"/>
          <w:szCs w:val="26"/>
        </w:rPr>
        <w:footnoteRef/>
      </w:r>
      <w:r w:rsidRPr="00056F5C">
        <w:rPr>
          <w:sz w:val="26"/>
          <w:szCs w:val="26"/>
        </w:rPr>
        <w:t xml:space="preserve"> </w:t>
      </w:r>
      <w:r w:rsidRPr="00056F5C">
        <w:rPr>
          <w:sz w:val="26"/>
          <w:szCs w:val="26"/>
        </w:rPr>
        <w:tab/>
        <w:t>The zone of reasonableness is defined by the capital structures of the electric barometer group included in the most recent Quarterly Earnings Report.</w:t>
      </w:r>
    </w:p>
  </w:footnote>
  <w:footnote w:id="7">
    <w:p w:rsidR="00860D8E" w:rsidRPr="00804218" w:rsidRDefault="00860D8E" w:rsidP="00AA7A2E">
      <w:pPr>
        <w:pStyle w:val="FootnoteText"/>
        <w:ind w:firstLine="720"/>
        <w:rPr>
          <w:sz w:val="26"/>
          <w:szCs w:val="26"/>
        </w:rPr>
      </w:pPr>
      <w:r w:rsidRPr="00DE43CD">
        <w:rPr>
          <w:rStyle w:val="FootnoteReference"/>
          <w:sz w:val="26"/>
          <w:szCs w:val="26"/>
        </w:rPr>
        <w:footnoteRef/>
      </w:r>
      <w:r>
        <w:rPr>
          <w:sz w:val="26"/>
          <w:szCs w:val="26"/>
        </w:rPr>
        <w:t xml:space="preserve"> </w:t>
      </w:r>
      <w:r>
        <w:rPr>
          <w:sz w:val="26"/>
          <w:szCs w:val="26"/>
        </w:rPr>
        <w:tab/>
        <w:t>66 Pa. C.S. § 2807(f)(7).</w:t>
      </w:r>
    </w:p>
  </w:footnote>
  <w:footnote w:id="8">
    <w:p w:rsidR="00860D8E" w:rsidRPr="00924A46" w:rsidRDefault="00860D8E" w:rsidP="00924A46">
      <w:pPr>
        <w:pStyle w:val="FootnoteText"/>
        <w:ind w:firstLine="720"/>
        <w:rPr>
          <w:sz w:val="26"/>
          <w:szCs w:val="26"/>
        </w:rPr>
      </w:pPr>
      <w:r w:rsidRPr="00924A46">
        <w:rPr>
          <w:rStyle w:val="FootnoteReference"/>
          <w:sz w:val="26"/>
          <w:szCs w:val="26"/>
        </w:rPr>
        <w:footnoteRef/>
      </w:r>
      <w:r w:rsidRPr="00924A46">
        <w:rPr>
          <w:sz w:val="26"/>
          <w:szCs w:val="26"/>
        </w:rPr>
        <w:t xml:space="preserve"> </w:t>
      </w:r>
      <w:r w:rsidRPr="00924A46">
        <w:rPr>
          <w:sz w:val="26"/>
          <w:szCs w:val="26"/>
        </w:rPr>
        <w:tab/>
      </w:r>
      <w:r w:rsidRPr="00CB1163">
        <w:rPr>
          <w:i/>
          <w:sz w:val="26"/>
          <w:szCs w:val="26"/>
        </w:rPr>
        <w:t>Implementation Order</w:t>
      </w:r>
      <w:r>
        <w:rPr>
          <w:sz w:val="26"/>
          <w:szCs w:val="26"/>
        </w:rPr>
        <w:t xml:space="preserve"> at 29.</w:t>
      </w:r>
    </w:p>
  </w:footnote>
  <w:footnote w:id="9">
    <w:p w:rsidR="00860D8E" w:rsidRPr="00635B17" w:rsidRDefault="00860D8E" w:rsidP="0000726E">
      <w:pPr>
        <w:pStyle w:val="FootnoteText"/>
        <w:ind w:firstLine="720"/>
        <w:rPr>
          <w:sz w:val="26"/>
          <w:szCs w:val="26"/>
        </w:rPr>
      </w:pPr>
      <w:r w:rsidRPr="00635B17">
        <w:rPr>
          <w:rStyle w:val="FootnoteReference"/>
          <w:sz w:val="26"/>
          <w:szCs w:val="26"/>
        </w:rPr>
        <w:footnoteRef/>
      </w:r>
      <w:r w:rsidRPr="00635B17">
        <w:rPr>
          <w:sz w:val="26"/>
          <w:szCs w:val="26"/>
        </w:rPr>
        <w:t xml:space="preserve"> </w:t>
      </w:r>
      <w:r w:rsidRPr="00635B17">
        <w:rPr>
          <w:sz w:val="26"/>
          <w:szCs w:val="26"/>
        </w:rPr>
        <w:tab/>
      </w:r>
      <w:r w:rsidRPr="00452408">
        <w:rPr>
          <w:i/>
          <w:sz w:val="26"/>
          <w:szCs w:val="26"/>
        </w:rPr>
        <w:t>See</w:t>
      </w:r>
      <w:r w:rsidRPr="00635B17">
        <w:rPr>
          <w:sz w:val="26"/>
          <w:szCs w:val="26"/>
        </w:rPr>
        <w:t xml:space="preserve"> </w:t>
      </w:r>
      <w:r>
        <w:rPr>
          <w:i/>
          <w:sz w:val="26"/>
          <w:szCs w:val="26"/>
        </w:rPr>
        <w:t>Pa. P</w:t>
      </w:r>
      <w:r w:rsidRPr="00635B17">
        <w:rPr>
          <w:i/>
          <w:sz w:val="26"/>
          <w:szCs w:val="26"/>
        </w:rPr>
        <w:t>UC v. UGI Corporation</w:t>
      </w:r>
      <w:r>
        <w:rPr>
          <w:i/>
          <w:sz w:val="26"/>
          <w:szCs w:val="26"/>
        </w:rPr>
        <w:t xml:space="preserve">, </w:t>
      </w:r>
      <w:r>
        <w:rPr>
          <w:sz w:val="26"/>
          <w:szCs w:val="26"/>
        </w:rPr>
        <w:t xml:space="preserve">58 Pa. P.U.C. 155, 202 (1984); </w:t>
      </w:r>
      <w:r>
        <w:rPr>
          <w:i/>
          <w:sz w:val="26"/>
          <w:szCs w:val="26"/>
        </w:rPr>
        <w:t>Pa. PUC v. Pennsylvania Power &amp; Light Co.,</w:t>
      </w:r>
      <w:r>
        <w:rPr>
          <w:sz w:val="26"/>
          <w:szCs w:val="26"/>
        </w:rPr>
        <w:t xml:space="preserve"> 57 Pa. P.U.C. 559 (1983); and </w:t>
      </w:r>
      <w:r>
        <w:rPr>
          <w:i/>
          <w:sz w:val="26"/>
          <w:szCs w:val="26"/>
        </w:rPr>
        <w:t>Philadelphia Electric Company,</w:t>
      </w:r>
      <w:r>
        <w:rPr>
          <w:sz w:val="26"/>
          <w:szCs w:val="26"/>
        </w:rPr>
        <w:t xml:space="preserve"> Docket No. R-811626. (Order entered May 21, 1982).</w:t>
      </w:r>
      <w:r w:rsidRPr="00635B17">
        <w:rPr>
          <w:sz w:val="26"/>
          <w:szCs w:val="26"/>
        </w:rPr>
        <w:t xml:space="preserve"> </w:t>
      </w:r>
    </w:p>
  </w:footnote>
  <w:footnote w:id="10">
    <w:p w:rsidR="00860D8E" w:rsidRPr="008A254F" w:rsidRDefault="00860D8E" w:rsidP="008A254F">
      <w:pPr>
        <w:pStyle w:val="FootnoteText"/>
        <w:ind w:firstLine="720"/>
        <w:rPr>
          <w:sz w:val="26"/>
          <w:szCs w:val="26"/>
        </w:rPr>
      </w:pPr>
      <w:r w:rsidRPr="008A254F">
        <w:rPr>
          <w:rStyle w:val="FootnoteReference"/>
          <w:sz w:val="26"/>
          <w:szCs w:val="26"/>
        </w:rPr>
        <w:footnoteRef/>
      </w:r>
      <w:r w:rsidRPr="008A254F">
        <w:rPr>
          <w:sz w:val="26"/>
          <w:szCs w:val="26"/>
        </w:rPr>
        <w:t xml:space="preserve"> </w:t>
      </w:r>
      <w:r w:rsidRPr="008A254F">
        <w:rPr>
          <w:sz w:val="26"/>
          <w:szCs w:val="26"/>
        </w:rPr>
        <w:tab/>
      </w:r>
      <w:r w:rsidRPr="00115790">
        <w:rPr>
          <w:i/>
          <w:sz w:val="26"/>
          <w:szCs w:val="26"/>
        </w:rPr>
        <w:t>Implementation Order</w:t>
      </w:r>
      <w:r w:rsidRPr="008A254F">
        <w:rPr>
          <w:sz w:val="26"/>
          <w:szCs w:val="26"/>
        </w:rPr>
        <w:t xml:space="preserve"> at 8.</w:t>
      </w:r>
    </w:p>
  </w:footnote>
  <w:footnote w:id="11">
    <w:p w:rsidR="00860D8E" w:rsidRPr="0068225A" w:rsidRDefault="00860D8E" w:rsidP="0068225A">
      <w:pPr>
        <w:pStyle w:val="FootnoteText"/>
        <w:ind w:firstLine="720"/>
        <w:rPr>
          <w:sz w:val="26"/>
          <w:szCs w:val="26"/>
        </w:rPr>
      </w:pPr>
      <w:r w:rsidRPr="0068225A">
        <w:rPr>
          <w:rStyle w:val="FootnoteReference"/>
          <w:sz w:val="26"/>
          <w:szCs w:val="26"/>
        </w:rPr>
        <w:footnoteRef/>
      </w:r>
      <w:r w:rsidRPr="0068225A">
        <w:rPr>
          <w:sz w:val="26"/>
          <w:szCs w:val="26"/>
        </w:rPr>
        <w:t xml:space="preserve"> </w:t>
      </w:r>
      <w:r w:rsidRPr="0068225A">
        <w:rPr>
          <w:sz w:val="26"/>
          <w:szCs w:val="26"/>
        </w:rPr>
        <w:tab/>
        <w:t>Duquesne Reply Exceptions at 22.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D8E" w:rsidRDefault="00860D8E">
    <w:pPr>
      <w:pStyle w:val="Header"/>
      <w:jc w:val="center"/>
    </w:pPr>
  </w:p>
  <w:p w:rsidR="00860D8E" w:rsidRDefault="00860D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636E"/>
    <w:multiLevelType w:val="hybridMultilevel"/>
    <w:tmpl w:val="6B98FE86"/>
    <w:lvl w:ilvl="0" w:tplc="7D78D34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59A226E"/>
    <w:multiLevelType w:val="hybridMultilevel"/>
    <w:tmpl w:val="C28E5376"/>
    <w:lvl w:ilvl="0" w:tplc="EE90B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5F5080"/>
    <w:multiLevelType w:val="hybridMultilevel"/>
    <w:tmpl w:val="360024C4"/>
    <w:lvl w:ilvl="0" w:tplc="44D4DB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3A4F57"/>
    <w:multiLevelType w:val="hybridMultilevel"/>
    <w:tmpl w:val="4DD42FFC"/>
    <w:lvl w:ilvl="0" w:tplc="2304B152">
      <w:start w:val="1"/>
      <w:numFmt w:val="upperLetter"/>
      <w:lvlText w:val="%1."/>
      <w:lvlJc w:val="left"/>
      <w:pPr>
        <w:ind w:left="1440" w:hanging="360"/>
      </w:pPr>
      <w:rPr>
        <w:rFonts w:hint="default"/>
        <w:sz w:val="26"/>
        <w:szCs w:val="26"/>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1D640E"/>
    <w:multiLevelType w:val="hybridMultilevel"/>
    <w:tmpl w:val="64CC654E"/>
    <w:lvl w:ilvl="0" w:tplc="D294FE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56722B"/>
    <w:multiLevelType w:val="hybridMultilevel"/>
    <w:tmpl w:val="126AC5DA"/>
    <w:lvl w:ilvl="0" w:tplc="D60ACCD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16061081"/>
    <w:multiLevelType w:val="hybridMultilevel"/>
    <w:tmpl w:val="8DB277CA"/>
    <w:lvl w:ilvl="0" w:tplc="D294FE02">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AB71B62"/>
    <w:multiLevelType w:val="hybridMultilevel"/>
    <w:tmpl w:val="6B98FE86"/>
    <w:lvl w:ilvl="0" w:tplc="7D78D34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1F565931"/>
    <w:multiLevelType w:val="hybridMultilevel"/>
    <w:tmpl w:val="6B98FE86"/>
    <w:lvl w:ilvl="0" w:tplc="7D78D34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2454562B"/>
    <w:multiLevelType w:val="hybridMultilevel"/>
    <w:tmpl w:val="03481854"/>
    <w:lvl w:ilvl="0" w:tplc="6B4A5C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4FD2F0D"/>
    <w:multiLevelType w:val="hybridMultilevel"/>
    <w:tmpl w:val="6DD05F50"/>
    <w:lvl w:ilvl="0" w:tplc="35F080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2B002E"/>
    <w:multiLevelType w:val="hybridMultilevel"/>
    <w:tmpl w:val="77D0EEC6"/>
    <w:lvl w:ilvl="0" w:tplc="9156F5EE">
      <w:start w:val="1"/>
      <w:numFmt w:val="upperLetter"/>
      <w:lvlText w:val="%1."/>
      <w:lvlJc w:val="left"/>
      <w:pPr>
        <w:ind w:left="1110" w:hanging="870"/>
      </w:pPr>
      <w:rPr>
        <w:rFonts w:hint="default"/>
        <w:color w:val="5F5F5F" w:themeColor="hyperlink"/>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2">
    <w:nsid w:val="2ABD44F0"/>
    <w:multiLevelType w:val="hybridMultilevel"/>
    <w:tmpl w:val="CCFC539E"/>
    <w:lvl w:ilvl="0" w:tplc="20ACCFFE">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3">
    <w:nsid w:val="2C213C55"/>
    <w:multiLevelType w:val="hybridMultilevel"/>
    <w:tmpl w:val="8F506B88"/>
    <w:lvl w:ilvl="0" w:tplc="4650B72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E536341"/>
    <w:multiLevelType w:val="multilevel"/>
    <w:tmpl w:val="A6DE31F6"/>
    <w:name w:val="zzmpBrief||Brief|3|1|1|1|2|41||1|0|33||1|0|32||1|0|33||1|0|32||1|0|32||1|0|32||1|0|32||1|0|32||"/>
    <w:lvl w:ilvl="0">
      <w:start w:val="1"/>
      <w:numFmt w:val="upperRoman"/>
      <w:pStyle w:val="BriefL1"/>
      <w:lvlText w:val="%1."/>
      <w:lvlJc w:val="left"/>
      <w:pPr>
        <w:tabs>
          <w:tab w:val="num" w:pos="720"/>
        </w:tabs>
        <w:ind w:left="0" w:firstLine="0"/>
      </w:pPr>
      <w:rPr>
        <w:b/>
        <w:i w:val="0"/>
        <w:caps/>
        <w:smallCaps w:val="0"/>
        <w:u w:val="none"/>
      </w:rPr>
    </w:lvl>
    <w:lvl w:ilvl="1">
      <w:start w:val="1"/>
      <w:numFmt w:val="upperLetter"/>
      <w:pStyle w:val="BriefL2"/>
      <w:lvlText w:val="%2."/>
      <w:lvlJc w:val="left"/>
      <w:pPr>
        <w:tabs>
          <w:tab w:val="num" w:pos="1440"/>
        </w:tabs>
        <w:ind w:left="1440" w:hanging="720"/>
      </w:pPr>
      <w:rPr>
        <w:b/>
        <w:i w:val="0"/>
        <w:caps w:val="0"/>
        <w:u w:val="none"/>
      </w:rPr>
    </w:lvl>
    <w:lvl w:ilvl="2">
      <w:start w:val="1"/>
      <w:numFmt w:val="decimal"/>
      <w:pStyle w:val="BriefL3"/>
      <w:lvlText w:val="%3."/>
      <w:lvlJc w:val="left"/>
      <w:pPr>
        <w:tabs>
          <w:tab w:val="num" w:pos="2160"/>
        </w:tabs>
        <w:ind w:left="2160" w:hanging="720"/>
      </w:pPr>
      <w:rPr>
        <w:b/>
        <w:i w:val="0"/>
        <w:caps w:val="0"/>
        <w:u w:val="none"/>
      </w:rPr>
    </w:lvl>
    <w:lvl w:ilvl="3">
      <w:start w:val="1"/>
      <w:numFmt w:val="lowerLetter"/>
      <w:pStyle w:val="BriefL4"/>
      <w:lvlText w:val="%4."/>
      <w:lvlJc w:val="left"/>
      <w:pPr>
        <w:tabs>
          <w:tab w:val="num" w:pos="2880"/>
        </w:tabs>
        <w:ind w:left="2880" w:hanging="720"/>
      </w:pPr>
      <w:rPr>
        <w:b/>
        <w:i w:val="0"/>
        <w:caps w:val="0"/>
        <w:u w:val="none"/>
      </w:rPr>
    </w:lvl>
    <w:lvl w:ilvl="4">
      <w:start w:val="1"/>
      <w:numFmt w:val="decimal"/>
      <w:pStyle w:val="BriefL5"/>
      <w:lvlText w:val="(%5)"/>
      <w:lvlJc w:val="left"/>
      <w:pPr>
        <w:tabs>
          <w:tab w:val="num" w:pos="3600"/>
        </w:tabs>
        <w:ind w:left="3600" w:hanging="720"/>
      </w:pPr>
      <w:rPr>
        <w:b w:val="0"/>
        <w:i w:val="0"/>
        <w:caps w:val="0"/>
        <w:u w:val="none"/>
      </w:rPr>
    </w:lvl>
    <w:lvl w:ilvl="5">
      <w:start w:val="1"/>
      <w:numFmt w:val="lowerLetter"/>
      <w:pStyle w:val="BriefL6"/>
      <w:lvlText w:val="(%6)"/>
      <w:lvlJc w:val="left"/>
      <w:pPr>
        <w:tabs>
          <w:tab w:val="num" w:pos="4320"/>
        </w:tabs>
        <w:ind w:left="4320" w:hanging="720"/>
      </w:pPr>
      <w:rPr>
        <w:b w:val="0"/>
        <w:i w:val="0"/>
        <w:caps w:val="0"/>
        <w:u w:val="none"/>
      </w:rPr>
    </w:lvl>
    <w:lvl w:ilvl="6">
      <w:start w:val="1"/>
      <w:numFmt w:val="lowerRoman"/>
      <w:pStyle w:val="BriefL7"/>
      <w:lvlText w:val="(%7)"/>
      <w:lvlJc w:val="left"/>
      <w:pPr>
        <w:tabs>
          <w:tab w:val="num" w:pos="5040"/>
        </w:tabs>
        <w:ind w:left="5040" w:hanging="720"/>
      </w:pPr>
      <w:rPr>
        <w:b w:val="0"/>
        <w:i w:val="0"/>
        <w:caps w:val="0"/>
        <w:u w:val="none"/>
      </w:rPr>
    </w:lvl>
    <w:lvl w:ilvl="7">
      <w:start w:val="1"/>
      <w:numFmt w:val="lowerLetter"/>
      <w:pStyle w:val="BriefL8"/>
      <w:lvlText w:val="%8)"/>
      <w:lvlJc w:val="left"/>
      <w:pPr>
        <w:tabs>
          <w:tab w:val="num" w:pos="5760"/>
        </w:tabs>
        <w:ind w:left="5760" w:hanging="720"/>
      </w:pPr>
      <w:rPr>
        <w:b w:val="0"/>
        <w:i w:val="0"/>
        <w:caps w:val="0"/>
        <w:u w:val="none"/>
      </w:rPr>
    </w:lvl>
    <w:lvl w:ilvl="8">
      <w:start w:val="1"/>
      <w:numFmt w:val="lowerRoman"/>
      <w:pStyle w:val="BriefL9"/>
      <w:lvlText w:val="%9)"/>
      <w:lvlJc w:val="left"/>
      <w:pPr>
        <w:tabs>
          <w:tab w:val="num" w:pos="6480"/>
        </w:tabs>
        <w:ind w:left="6480" w:hanging="720"/>
      </w:pPr>
      <w:rPr>
        <w:b w:val="0"/>
        <w:i w:val="0"/>
        <w:caps w:val="0"/>
        <w:u w:val="none"/>
      </w:rPr>
    </w:lvl>
  </w:abstractNum>
  <w:abstractNum w:abstractNumId="15">
    <w:nsid w:val="2FCA0846"/>
    <w:multiLevelType w:val="hybridMultilevel"/>
    <w:tmpl w:val="5FACBF9A"/>
    <w:lvl w:ilvl="0" w:tplc="D294FE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985E44"/>
    <w:multiLevelType w:val="hybridMultilevel"/>
    <w:tmpl w:val="A2AAEFE2"/>
    <w:lvl w:ilvl="0" w:tplc="F04E6BE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D51126A"/>
    <w:multiLevelType w:val="hybridMultilevel"/>
    <w:tmpl w:val="9C981C92"/>
    <w:lvl w:ilvl="0" w:tplc="66A68F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12D11F4"/>
    <w:multiLevelType w:val="hybridMultilevel"/>
    <w:tmpl w:val="A2AAEFE2"/>
    <w:lvl w:ilvl="0" w:tplc="F04E6BE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470D0536"/>
    <w:multiLevelType w:val="hybridMultilevel"/>
    <w:tmpl w:val="A8CE92C6"/>
    <w:lvl w:ilvl="0" w:tplc="BC105434">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0">
    <w:nsid w:val="4883113F"/>
    <w:multiLevelType w:val="hybridMultilevel"/>
    <w:tmpl w:val="DA4C4DAA"/>
    <w:lvl w:ilvl="0" w:tplc="D294FE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C731ADD"/>
    <w:multiLevelType w:val="hybridMultilevel"/>
    <w:tmpl w:val="03481854"/>
    <w:lvl w:ilvl="0" w:tplc="6B4A5C36">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nsid w:val="57DA1F16"/>
    <w:multiLevelType w:val="hybridMultilevel"/>
    <w:tmpl w:val="AEAEE65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3">
    <w:nsid w:val="5E88518C"/>
    <w:multiLevelType w:val="hybridMultilevel"/>
    <w:tmpl w:val="2BA81A5C"/>
    <w:lvl w:ilvl="0" w:tplc="A790C9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18461F9"/>
    <w:multiLevelType w:val="hybridMultilevel"/>
    <w:tmpl w:val="3F284D80"/>
    <w:lvl w:ilvl="0" w:tplc="16A86E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55E1AB0"/>
    <w:multiLevelType w:val="hybridMultilevel"/>
    <w:tmpl w:val="051431B0"/>
    <w:lvl w:ilvl="0" w:tplc="422E74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A551865"/>
    <w:multiLevelType w:val="hybridMultilevel"/>
    <w:tmpl w:val="355215EC"/>
    <w:lvl w:ilvl="0" w:tplc="1AA488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EC95249"/>
    <w:multiLevelType w:val="hybridMultilevel"/>
    <w:tmpl w:val="6B98FE86"/>
    <w:lvl w:ilvl="0" w:tplc="7D78D34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72E0434A"/>
    <w:multiLevelType w:val="hybridMultilevel"/>
    <w:tmpl w:val="A8C6458E"/>
    <w:lvl w:ilvl="0" w:tplc="90C8C9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58D6E09"/>
    <w:multiLevelType w:val="hybridMultilevel"/>
    <w:tmpl w:val="B88426CE"/>
    <w:lvl w:ilvl="0" w:tplc="D294FE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9017A7E"/>
    <w:multiLevelType w:val="hybridMultilevel"/>
    <w:tmpl w:val="D382E1FE"/>
    <w:lvl w:ilvl="0" w:tplc="D294FE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3"/>
  </w:num>
  <w:num w:numId="3">
    <w:abstractNumId w:val="18"/>
  </w:num>
  <w:num w:numId="4">
    <w:abstractNumId w:val="16"/>
  </w:num>
  <w:num w:numId="5">
    <w:abstractNumId w:val="0"/>
  </w:num>
  <w:num w:numId="6">
    <w:abstractNumId w:val="25"/>
  </w:num>
  <w:num w:numId="7">
    <w:abstractNumId w:val="13"/>
  </w:num>
  <w:num w:numId="8">
    <w:abstractNumId w:val="7"/>
  </w:num>
  <w:num w:numId="9">
    <w:abstractNumId w:val="8"/>
  </w:num>
  <w:num w:numId="10">
    <w:abstractNumId w:val="27"/>
  </w:num>
  <w:num w:numId="11">
    <w:abstractNumId w:val="17"/>
  </w:num>
  <w:num w:numId="12">
    <w:abstractNumId w:val="9"/>
  </w:num>
  <w:num w:numId="13">
    <w:abstractNumId w:val="21"/>
  </w:num>
  <w:num w:numId="14">
    <w:abstractNumId w:val="22"/>
  </w:num>
  <w:num w:numId="15">
    <w:abstractNumId w:val="11"/>
  </w:num>
  <w:num w:numId="16">
    <w:abstractNumId w:val="5"/>
  </w:num>
  <w:num w:numId="17">
    <w:abstractNumId w:val="2"/>
  </w:num>
  <w:num w:numId="18">
    <w:abstractNumId w:val="1"/>
  </w:num>
  <w:num w:numId="19">
    <w:abstractNumId w:val="10"/>
  </w:num>
  <w:num w:numId="20">
    <w:abstractNumId w:val="28"/>
  </w:num>
  <w:num w:numId="21">
    <w:abstractNumId w:val="26"/>
  </w:num>
  <w:num w:numId="22">
    <w:abstractNumId w:val="15"/>
  </w:num>
  <w:num w:numId="23">
    <w:abstractNumId w:val="6"/>
  </w:num>
  <w:num w:numId="24">
    <w:abstractNumId w:val="30"/>
  </w:num>
  <w:num w:numId="25">
    <w:abstractNumId w:val="20"/>
  </w:num>
  <w:num w:numId="26">
    <w:abstractNumId w:val="29"/>
  </w:num>
  <w:num w:numId="27">
    <w:abstractNumId w:val="4"/>
  </w:num>
  <w:num w:numId="28">
    <w:abstractNumId w:val="24"/>
  </w:num>
  <w:num w:numId="29">
    <w:abstractNumId w:val="23"/>
  </w:num>
  <w:num w:numId="30">
    <w:abstractNumId w:val="19"/>
  </w:num>
  <w:num w:numId="31">
    <w:abstractNumId w:val="1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F461A6"/>
    <w:rsid w:val="000004A8"/>
    <w:rsid w:val="00000D10"/>
    <w:rsid w:val="000017DE"/>
    <w:rsid w:val="00001DFB"/>
    <w:rsid w:val="00002CBB"/>
    <w:rsid w:val="00004E31"/>
    <w:rsid w:val="000050A5"/>
    <w:rsid w:val="0000701D"/>
    <w:rsid w:val="0000726E"/>
    <w:rsid w:val="00007355"/>
    <w:rsid w:val="00010B60"/>
    <w:rsid w:val="00010C5A"/>
    <w:rsid w:val="00010DC0"/>
    <w:rsid w:val="00010E15"/>
    <w:rsid w:val="00010EC3"/>
    <w:rsid w:val="00011080"/>
    <w:rsid w:val="00011146"/>
    <w:rsid w:val="000112C1"/>
    <w:rsid w:val="00012624"/>
    <w:rsid w:val="0001265B"/>
    <w:rsid w:val="00013409"/>
    <w:rsid w:val="00013762"/>
    <w:rsid w:val="00013A71"/>
    <w:rsid w:val="00014AC1"/>
    <w:rsid w:val="00014AC5"/>
    <w:rsid w:val="00014C80"/>
    <w:rsid w:val="00015D61"/>
    <w:rsid w:val="00016010"/>
    <w:rsid w:val="00016B13"/>
    <w:rsid w:val="000173A1"/>
    <w:rsid w:val="00017503"/>
    <w:rsid w:val="000177C2"/>
    <w:rsid w:val="000177E9"/>
    <w:rsid w:val="00017811"/>
    <w:rsid w:val="00017852"/>
    <w:rsid w:val="00017FE8"/>
    <w:rsid w:val="00020830"/>
    <w:rsid w:val="00020A59"/>
    <w:rsid w:val="00020D1E"/>
    <w:rsid w:val="00020EE2"/>
    <w:rsid w:val="000212DB"/>
    <w:rsid w:val="00021493"/>
    <w:rsid w:val="00021CBE"/>
    <w:rsid w:val="00021CD0"/>
    <w:rsid w:val="0002216B"/>
    <w:rsid w:val="00022398"/>
    <w:rsid w:val="000227CD"/>
    <w:rsid w:val="00022AE1"/>
    <w:rsid w:val="00022B74"/>
    <w:rsid w:val="00022C4F"/>
    <w:rsid w:val="00023ACB"/>
    <w:rsid w:val="00023BD3"/>
    <w:rsid w:val="000249DC"/>
    <w:rsid w:val="00025AC4"/>
    <w:rsid w:val="00025AE3"/>
    <w:rsid w:val="00026105"/>
    <w:rsid w:val="00026207"/>
    <w:rsid w:val="000262F4"/>
    <w:rsid w:val="00026612"/>
    <w:rsid w:val="00026C07"/>
    <w:rsid w:val="00031345"/>
    <w:rsid w:val="0003176C"/>
    <w:rsid w:val="000329C2"/>
    <w:rsid w:val="00033054"/>
    <w:rsid w:val="0003351A"/>
    <w:rsid w:val="00033563"/>
    <w:rsid w:val="00033853"/>
    <w:rsid w:val="00033CAA"/>
    <w:rsid w:val="00034341"/>
    <w:rsid w:val="00034FFB"/>
    <w:rsid w:val="0003530B"/>
    <w:rsid w:val="00035848"/>
    <w:rsid w:val="000360DF"/>
    <w:rsid w:val="0003731E"/>
    <w:rsid w:val="000374AC"/>
    <w:rsid w:val="000403DD"/>
    <w:rsid w:val="00040ADE"/>
    <w:rsid w:val="000414C0"/>
    <w:rsid w:val="000421FE"/>
    <w:rsid w:val="00042754"/>
    <w:rsid w:val="00042C90"/>
    <w:rsid w:val="0004330A"/>
    <w:rsid w:val="00043FE9"/>
    <w:rsid w:val="00045DF6"/>
    <w:rsid w:val="00046B4F"/>
    <w:rsid w:val="00046EF8"/>
    <w:rsid w:val="00047236"/>
    <w:rsid w:val="00047304"/>
    <w:rsid w:val="0004734D"/>
    <w:rsid w:val="00047404"/>
    <w:rsid w:val="00047F4A"/>
    <w:rsid w:val="00050437"/>
    <w:rsid w:val="00050A52"/>
    <w:rsid w:val="0005126E"/>
    <w:rsid w:val="000518D3"/>
    <w:rsid w:val="00051AC5"/>
    <w:rsid w:val="00051C07"/>
    <w:rsid w:val="00051DBA"/>
    <w:rsid w:val="000531EA"/>
    <w:rsid w:val="00053708"/>
    <w:rsid w:val="00054612"/>
    <w:rsid w:val="000547D7"/>
    <w:rsid w:val="00054827"/>
    <w:rsid w:val="00054F6E"/>
    <w:rsid w:val="0005510D"/>
    <w:rsid w:val="000552F7"/>
    <w:rsid w:val="0005549C"/>
    <w:rsid w:val="0005598E"/>
    <w:rsid w:val="00055F69"/>
    <w:rsid w:val="00056286"/>
    <w:rsid w:val="00056446"/>
    <w:rsid w:val="0005685C"/>
    <w:rsid w:val="00056F5C"/>
    <w:rsid w:val="000576A7"/>
    <w:rsid w:val="00060F40"/>
    <w:rsid w:val="0006266B"/>
    <w:rsid w:val="000649EC"/>
    <w:rsid w:val="00065045"/>
    <w:rsid w:val="000656BA"/>
    <w:rsid w:val="00065CDD"/>
    <w:rsid w:val="000662FC"/>
    <w:rsid w:val="00066C7D"/>
    <w:rsid w:val="00066DC8"/>
    <w:rsid w:val="00066FA5"/>
    <w:rsid w:val="0006769A"/>
    <w:rsid w:val="00067981"/>
    <w:rsid w:val="00070548"/>
    <w:rsid w:val="0007290B"/>
    <w:rsid w:val="00073201"/>
    <w:rsid w:val="000735F8"/>
    <w:rsid w:val="00073FA7"/>
    <w:rsid w:val="0007482E"/>
    <w:rsid w:val="000750D0"/>
    <w:rsid w:val="00075E35"/>
    <w:rsid w:val="00076049"/>
    <w:rsid w:val="00076F15"/>
    <w:rsid w:val="00077CB4"/>
    <w:rsid w:val="00080100"/>
    <w:rsid w:val="000801AA"/>
    <w:rsid w:val="000806C8"/>
    <w:rsid w:val="000807C4"/>
    <w:rsid w:val="000807C6"/>
    <w:rsid w:val="00080CF1"/>
    <w:rsid w:val="000811E2"/>
    <w:rsid w:val="000819B2"/>
    <w:rsid w:val="0008373F"/>
    <w:rsid w:val="000843A7"/>
    <w:rsid w:val="0008467D"/>
    <w:rsid w:val="000853BC"/>
    <w:rsid w:val="000854A4"/>
    <w:rsid w:val="00085623"/>
    <w:rsid w:val="00085DD9"/>
    <w:rsid w:val="000865FB"/>
    <w:rsid w:val="000867F2"/>
    <w:rsid w:val="00086ABF"/>
    <w:rsid w:val="00086B1A"/>
    <w:rsid w:val="000877F2"/>
    <w:rsid w:val="00087B6A"/>
    <w:rsid w:val="00087CC3"/>
    <w:rsid w:val="000906BB"/>
    <w:rsid w:val="000906DC"/>
    <w:rsid w:val="00090996"/>
    <w:rsid w:val="00090B35"/>
    <w:rsid w:val="00091D10"/>
    <w:rsid w:val="000924A7"/>
    <w:rsid w:val="000939BC"/>
    <w:rsid w:val="000940D5"/>
    <w:rsid w:val="0009466A"/>
    <w:rsid w:val="00094E89"/>
    <w:rsid w:val="00094FA2"/>
    <w:rsid w:val="000950B6"/>
    <w:rsid w:val="00095BB7"/>
    <w:rsid w:val="00095C0E"/>
    <w:rsid w:val="000966B5"/>
    <w:rsid w:val="00096E5E"/>
    <w:rsid w:val="00096F57"/>
    <w:rsid w:val="00097504"/>
    <w:rsid w:val="000A081C"/>
    <w:rsid w:val="000A0995"/>
    <w:rsid w:val="000A1B06"/>
    <w:rsid w:val="000A1EAC"/>
    <w:rsid w:val="000A1F3E"/>
    <w:rsid w:val="000A2725"/>
    <w:rsid w:val="000A365D"/>
    <w:rsid w:val="000A3BBC"/>
    <w:rsid w:val="000A3E2D"/>
    <w:rsid w:val="000A43FA"/>
    <w:rsid w:val="000A446A"/>
    <w:rsid w:val="000A4527"/>
    <w:rsid w:val="000A4AD2"/>
    <w:rsid w:val="000A6E82"/>
    <w:rsid w:val="000A78C9"/>
    <w:rsid w:val="000A78D1"/>
    <w:rsid w:val="000A7EC2"/>
    <w:rsid w:val="000B056B"/>
    <w:rsid w:val="000B1D68"/>
    <w:rsid w:val="000B2067"/>
    <w:rsid w:val="000B216D"/>
    <w:rsid w:val="000B2406"/>
    <w:rsid w:val="000B27CC"/>
    <w:rsid w:val="000B3C1D"/>
    <w:rsid w:val="000B4D2E"/>
    <w:rsid w:val="000B4EAE"/>
    <w:rsid w:val="000B5724"/>
    <w:rsid w:val="000B6B15"/>
    <w:rsid w:val="000B6DA3"/>
    <w:rsid w:val="000B70B7"/>
    <w:rsid w:val="000B768B"/>
    <w:rsid w:val="000B7C04"/>
    <w:rsid w:val="000B7CF5"/>
    <w:rsid w:val="000C02F4"/>
    <w:rsid w:val="000C072F"/>
    <w:rsid w:val="000C1912"/>
    <w:rsid w:val="000C25D6"/>
    <w:rsid w:val="000C2AE3"/>
    <w:rsid w:val="000C35C3"/>
    <w:rsid w:val="000C3662"/>
    <w:rsid w:val="000C3BAB"/>
    <w:rsid w:val="000C3D32"/>
    <w:rsid w:val="000C414C"/>
    <w:rsid w:val="000C45E8"/>
    <w:rsid w:val="000C5027"/>
    <w:rsid w:val="000C555A"/>
    <w:rsid w:val="000C68E9"/>
    <w:rsid w:val="000C6C08"/>
    <w:rsid w:val="000C6E84"/>
    <w:rsid w:val="000C76E0"/>
    <w:rsid w:val="000D0291"/>
    <w:rsid w:val="000D029C"/>
    <w:rsid w:val="000D07C7"/>
    <w:rsid w:val="000D1340"/>
    <w:rsid w:val="000D18F4"/>
    <w:rsid w:val="000D2A7B"/>
    <w:rsid w:val="000D3381"/>
    <w:rsid w:val="000D3661"/>
    <w:rsid w:val="000D470A"/>
    <w:rsid w:val="000D50A8"/>
    <w:rsid w:val="000D5E94"/>
    <w:rsid w:val="000D684F"/>
    <w:rsid w:val="000D6CE7"/>
    <w:rsid w:val="000D77C0"/>
    <w:rsid w:val="000E0E2E"/>
    <w:rsid w:val="000E0F94"/>
    <w:rsid w:val="000E103F"/>
    <w:rsid w:val="000E21DC"/>
    <w:rsid w:val="000E250B"/>
    <w:rsid w:val="000E2A28"/>
    <w:rsid w:val="000E396E"/>
    <w:rsid w:val="000E42D5"/>
    <w:rsid w:val="000E42EE"/>
    <w:rsid w:val="000E4EBD"/>
    <w:rsid w:val="000E751F"/>
    <w:rsid w:val="000F0964"/>
    <w:rsid w:val="000F1824"/>
    <w:rsid w:val="000F18AD"/>
    <w:rsid w:val="000F23EE"/>
    <w:rsid w:val="000F2BBB"/>
    <w:rsid w:val="000F3524"/>
    <w:rsid w:val="000F383E"/>
    <w:rsid w:val="000F38E1"/>
    <w:rsid w:val="000F3914"/>
    <w:rsid w:val="000F477C"/>
    <w:rsid w:val="000F4EEF"/>
    <w:rsid w:val="000F6027"/>
    <w:rsid w:val="000F6694"/>
    <w:rsid w:val="000F74FF"/>
    <w:rsid w:val="000F79BB"/>
    <w:rsid w:val="000F7A89"/>
    <w:rsid w:val="000F7B03"/>
    <w:rsid w:val="000F7C17"/>
    <w:rsid w:val="001009CD"/>
    <w:rsid w:val="00100D31"/>
    <w:rsid w:val="00101601"/>
    <w:rsid w:val="00101667"/>
    <w:rsid w:val="00102EC4"/>
    <w:rsid w:val="001034C6"/>
    <w:rsid w:val="00104243"/>
    <w:rsid w:val="001048C1"/>
    <w:rsid w:val="001048DD"/>
    <w:rsid w:val="00106D89"/>
    <w:rsid w:val="00107041"/>
    <w:rsid w:val="0011041F"/>
    <w:rsid w:val="0011069B"/>
    <w:rsid w:val="001106E8"/>
    <w:rsid w:val="00110701"/>
    <w:rsid w:val="00110783"/>
    <w:rsid w:val="0011138C"/>
    <w:rsid w:val="00112041"/>
    <w:rsid w:val="00112BA4"/>
    <w:rsid w:val="0011409A"/>
    <w:rsid w:val="00114212"/>
    <w:rsid w:val="001148CD"/>
    <w:rsid w:val="0011561B"/>
    <w:rsid w:val="00115790"/>
    <w:rsid w:val="0011598A"/>
    <w:rsid w:val="00115E51"/>
    <w:rsid w:val="001164F4"/>
    <w:rsid w:val="001167B2"/>
    <w:rsid w:val="00117C62"/>
    <w:rsid w:val="00117CB2"/>
    <w:rsid w:val="001207D5"/>
    <w:rsid w:val="0012228E"/>
    <w:rsid w:val="00122B42"/>
    <w:rsid w:val="00123455"/>
    <w:rsid w:val="0012383B"/>
    <w:rsid w:val="001238ED"/>
    <w:rsid w:val="00124980"/>
    <w:rsid w:val="00124A2D"/>
    <w:rsid w:val="001267D4"/>
    <w:rsid w:val="001269EE"/>
    <w:rsid w:val="00126B65"/>
    <w:rsid w:val="00126F03"/>
    <w:rsid w:val="00126F43"/>
    <w:rsid w:val="0012745A"/>
    <w:rsid w:val="00127636"/>
    <w:rsid w:val="00127845"/>
    <w:rsid w:val="001306AD"/>
    <w:rsid w:val="00131C9F"/>
    <w:rsid w:val="00131E29"/>
    <w:rsid w:val="00132400"/>
    <w:rsid w:val="00132699"/>
    <w:rsid w:val="00134EB9"/>
    <w:rsid w:val="001360FC"/>
    <w:rsid w:val="001362F3"/>
    <w:rsid w:val="00136D6F"/>
    <w:rsid w:val="00137D20"/>
    <w:rsid w:val="00137EDF"/>
    <w:rsid w:val="0014080E"/>
    <w:rsid w:val="00140E3E"/>
    <w:rsid w:val="001416F8"/>
    <w:rsid w:val="00141751"/>
    <w:rsid w:val="00142B4B"/>
    <w:rsid w:val="00143341"/>
    <w:rsid w:val="001435FD"/>
    <w:rsid w:val="0014375D"/>
    <w:rsid w:val="00143A76"/>
    <w:rsid w:val="00143E8B"/>
    <w:rsid w:val="0014401E"/>
    <w:rsid w:val="001441F7"/>
    <w:rsid w:val="0014426C"/>
    <w:rsid w:val="00144341"/>
    <w:rsid w:val="001444C6"/>
    <w:rsid w:val="00146760"/>
    <w:rsid w:val="00146E86"/>
    <w:rsid w:val="00147145"/>
    <w:rsid w:val="00150A71"/>
    <w:rsid w:val="00151BBC"/>
    <w:rsid w:val="00151F00"/>
    <w:rsid w:val="00152000"/>
    <w:rsid w:val="00152436"/>
    <w:rsid w:val="00152654"/>
    <w:rsid w:val="00152DEB"/>
    <w:rsid w:val="001537D2"/>
    <w:rsid w:val="00153D05"/>
    <w:rsid w:val="00154497"/>
    <w:rsid w:val="001546F5"/>
    <w:rsid w:val="0015521D"/>
    <w:rsid w:val="00156616"/>
    <w:rsid w:val="0016013C"/>
    <w:rsid w:val="00161B5B"/>
    <w:rsid w:val="0016271B"/>
    <w:rsid w:val="00162AE9"/>
    <w:rsid w:val="00162EC4"/>
    <w:rsid w:val="0016307F"/>
    <w:rsid w:val="001639C2"/>
    <w:rsid w:val="00164CD4"/>
    <w:rsid w:val="0016608E"/>
    <w:rsid w:val="001661DD"/>
    <w:rsid w:val="0016632E"/>
    <w:rsid w:val="001663C8"/>
    <w:rsid w:val="00166C56"/>
    <w:rsid w:val="00167738"/>
    <w:rsid w:val="001677B1"/>
    <w:rsid w:val="00167862"/>
    <w:rsid w:val="00167964"/>
    <w:rsid w:val="001703BA"/>
    <w:rsid w:val="00170C83"/>
    <w:rsid w:val="00171A07"/>
    <w:rsid w:val="00171FC4"/>
    <w:rsid w:val="00172142"/>
    <w:rsid w:val="001724DF"/>
    <w:rsid w:val="00173408"/>
    <w:rsid w:val="00173571"/>
    <w:rsid w:val="001738EA"/>
    <w:rsid w:val="00173A06"/>
    <w:rsid w:val="00173AC1"/>
    <w:rsid w:val="001742A8"/>
    <w:rsid w:val="00174CCE"/>
    <w:rsid w:val="00174D3D"/>
    <w:rsid w:val="001751E4"/>
    <w:rsid w:val="00175D60"/>
    <w:rsid w:val="00177277"/>
    <w:rsid w:val="00180399"/>
    <w:rsid w:val="001804F9"/>
    <w:rsid w:val="00181615"/>
    <w:rsid w:val="00181644"/>
    <w:rsid w:val="00182238"/>
    <w:rsid w:val="00182713"/>
    <w:rsid w:val="00182C95"/>
    <w:rsid w:val="00182CA7"/>
    <w:rsid w:val="00182ECC"/>
    <w:rsid w:val="001832EB"/>
    <w:rsid w:val="00184137"/>
    <w:rsid w:val="001843FD"/>
    <w:rsid w:val="0018452B"/>
    <w:rsid w:val="00184812"/>
    <w:rsid w:val="00184E1C"/>
    <w:rsid w:val="0018512A"/>
    <w:rsid w:val="001851C2"/>
    <w:rsid w:val="001851F3"/>
    <w:rsid w:val="0018567A"/>
    <w:rsid w:val="00185A62"/>
    <w:rsid w:val="00186ACC"/>
    <w:rsid w:val="00187DC0"/>
    <w:rsid w:val="00190794"/>
    <w:rsid w:val="00190841"/>
    <w:rsid w:val="00190895"/>
    <w:rsid w:val="00190C46"/>
    <w:rsid w:val="00191BB4"/>
    <w:rsid w:val="001927FC"/>
    <w:rsid w:val="0019292A"/>
    <w:rsid w:val="001935BB"/>
    <w:rsid w:val="001942EE"/>
    <w:rsid w:val="0019448A"/>
    <w:rsid w:val="001962B2"/>
    <w:rsid w:val="00197273"/>
    <w:rsid w:val="001972DA"/>
    <w:rsid w:val="00197371"/>
    <w:rsid w:val="00197C4B"/>
    <w:rsid w:val="001A005F"/>
    <w:rsid w:val="001A038D"/>
    <w:rsid w:val="001A05D7"/>
    <w:rsid w:val="001A0E36"/>
    <w:rsid w:val="001A13A9"/>
    <w:rsid w:val="001A1F1E"/>
    <w:rsid w:val="001A25C4"/>
    <w:rsid w:val="001A29E2"/>
    <w:rsid w:val="001A2E28"/>
    <w:rsid w:val="001A361E"/>
    <w:rsid w:val="001A395D"/>
    <w:rsid w:val="001A4132"/>
    <w:rsid w:val="001A45D7"/>
    <w:rsid w:val="001A4952"/>
    <w:rsid w:val="001A4A4E"/>
    <w:rsid w:val="001A4BE5"/>
    <w:rsid w:val="001A5400"/>
    <w:rsid w:val="001A70B8"/>
    <w:rsid w:val="001A7E0D"/>
    <w:rsid w:val="001B0859"/>
    <w:rsid w:val="001B1C55"/>
    <w:rsid w:val="001B3BD8"/>
    <w:rsid w:val="001B4F89"/>
    <w:rsid w:val="001B5DD6"/>
    <w:rsid w:val="001B6442"/>
    <w:rsid w:val="001B6595"/>
    <w:rsid w:val="001B69D6"/>
    <w:rsid w:val="001B6A12"/>
    <w:rsid w:val="001B6C4B"/>
    <w:rsid w:val="001B751A"/>
    <w:rsid w:val="001C010A"/>
    <w:rsid w:val="001C0EC5"/>
    <w:rsid w:val="001C185A"/>
    <w:rsid w:val="001C1B1C"/>
    <w:rsid w:val="001C1DCA"/>
    <w:rsid w:val="001C2811"/>
    <w:rsid w:val="001C2C70"/>
    <w:rsid w:val="001C2E0A"/>
    <w:rsid w:val="001C307A"/>
    <w:rsid w:val="001C583A"/>
    <w:rsid w:val="001C59AE"/>
    <w:rsid w:val="001C5B0E"/>
    <w:rsid w:val="001C5E64"/>
    <w:rsid w:val="001C5F5E"/>
    <w:rsid w:val="001C6609"/>
    <w:rsid w:val="001C67A1"/>
    <w:rsid w:val="001C718B"/>
    <w:rsid w:val="001D05F6"/>
    <w:rsid w:val="001D0B88"/>
    <w:rsid w:val="001D0D76"/>
    <w:rsid w:val="001D1151"/>
    <w:rsid w:val="001D2277"/>
    <w:rsid w:val="001D3191"/>
    <w:rsid w:val="001D3AE6"/>
    <w:rsid w:val="001D44D5"/>
    <w:rsid w:val="001D4F01"/>
    <w:rsid w:val="001D5915"/>
    <w:rsid w:val="001D5CC9"/>
    <w:rsid w:val="001D6963"/>
    <w:rsid w:val="001D6E22"/>
    <w:rsid w:val="001D6E85"/>
    <w:rsid w:val="001D7DC2"/>
    <w:rsid w:val="001E075B"/>
    <w:rsid w:val="001E1276"/>
    <w:rsid w:val="001E131E"/>
    <w:rsid w:val="001E1AEB"/>
    <w:rsid w:val="001E2A70"/>
    <w:rsid w:val="001E2A99"/>
    <w:rsid w:val="001E3672"/>
    <w:rsid w:val="001E3C80"/>
    <w:rsid w:val="001E4463"/>
    <w:rsid w:val="001E46BE"/>
    <w:rsid w:val="001E4A76"/>
    <w:rsid w:val="001E4B37"/>
    <w:rsid w:val="001E5AF9"/>
    <w:rsid w:val="001E5F90"/>
    <w:rsid w:val="001E694B"/>
    <w:rsid w:val="001E7C7B"/>
    <w:rsid w:val="001F0D6A"/>
    <w:rsid w:val="001F1988"/>
    <w:rsid w:val="001F1D20"/>
    <w:rsid w:val="001F4F60"/>
    <w:rsid w:val="001F71E3"/>
    <w:rsid w:val="001F7379"/>
    <w:rsid w:val="002005DE"/>
    <w:rsid w:val="00201BF3"/>
    <w:rsid w:val="00201F45"/>
    <w:rsid w:val="00203FB5"/>
    <w:rsid w:val="00204166"/>
    <w:rsid w:val="002045ED"/>
    <w:rsid w:val="002049CB"/>
    <w:rsid w:val="00207D61"/>
    <w:rsid w:val="00207DEB"/>
    <w:rsid w:val="002100A5"/>
    <w:rsid w:val="00210182"/>
    <w:rsid w:val="002104B2"/>
    <w:rsid w:val="002109CE"/>
    <w:rsid w:val="0021132F"/>
    <w:rsid w:val="00211FB4"/>
    <w:rsid w:val="002127FA"/>
    <w:rsid w:val="0021290C"/>
    <w:rsid w:val="00213897"/>
    <w:rsid w:val="002139EE"/>
    <w:rsid w:val="00214324"/>
    <w:rsid w:val="00214B02"/>
    <w:rsid w:val="00214C1A"/>
    <w:rsid w:val="00214DC5"/>
    <w:rsid w:val="0021596A"/>
    <w:rsid w:val="00215F28"/>
    <w:rsid w:val="0021616A"/>
    <w:rsid w:val="0021628C"/>
    <w:rsid w:val="00216FEF"/>
    <w:rsid w:val="00217053"/>
    <w:rsid w:val="00217A05"/>
    <w:rsid w:val="00217ABA"/>
    <w:rsid w:val="00217C19"/>
    <w:rsid w:val="00220157"/>
    <w:rsid w:val="00221014"/>
    <w:rsid w:val="0022259F"/>
    <w:rsid w:val="0022348D"/>
    <w:rsid w:val="002243CC"/>
    <w:rsid w:val="00224772"/>
    <w:rsid w:val="002260B4"/>
    <w:rsid w:val="00226AE1"/>
    <w:rsid w:val="00227CB6"/>
    <w:rsid w:val="00227DD0"/>
    <w:rsid w:val="002300C0"/>
    <w:rsid w:val="00230365"/>
    <w:rsid w:val="00230B02"/>
    <w:rsid w:val="00230BEA"/>
    <w:rsid w:val="00231464"/>
    <w:rsid w:val="002315B5"/>
    <w:rsid w:val="0023177A"/>
    <w:rsid w:val="00233680"/>
    <w:rsid w:val="00233C21"/>
    <w:rsid w:val="00234026"/>
    <w:rsid w:val="0023477C"/>
    <w:rsid w:val="0023535B"/>
    <w:rsid w:val="002354F0"/>
    <w:rsid w:val="002356E4"/>
    <w:rsid w:val="0023602C"/>
    <w:rsid w:val="00236757"/>
    <w:rsid w:val="002408D8"/>
    <w:rsid w:val="00240D7B"/>
    <w:rsid w:val="00241483"/>
    <w:rsid w:val="002415ED"/>
    <w:rsid w:val="00241951"/>
    <w:rsid w:val="002424C1"/>
    <w:rsid w:val="0024259E"/>
    <w:rsid w:val="00243DB3"/>
    <w:rsid w:val="00244CC5"/>
    <w:rsid w:val="002461C9"/>
    <w:rsid w:val="00246419"/>
    <w:rsid w:val="00246631"/>
    <w:rsid w:val="00247967"/>
    <w:rsid w:val="00247DAB"/>
    <w:rsid w:val="00250370"/>
    <w:rsid w:val="00250C83"/>
    <w:rsid w:val="002511B1"/>
    <w:rsid w:val="00251EF2"/>
    <w:rsid w:val="0025247C"/>
    <w:rsid w:val="00253421"/>
    <w:rsid w:val="0025362E"/>
    <w:rsid w:val="00255535"/>
    <w:rsid w:val="00255556"/>
    <w:rsid w:val="00255F65"/>
    <w:rsid w:val="00256FB1"/>
    <w:rsid w:val="002573E5"/>
    <w:rsid w:val="00257D8F"/>
    <w:rsid w:val="00260697"/>
    <w:rsid w:val="00260CC3"/>
    <w:rsid w:val="00260FC9"/>
    <w:rsid w:val="00261273"/>
    <w:rsid w:val="00261A7E"/>
    <w:rsid w:val="00261E2B"/>
    <w:rsid w:val="002625C1"/>
    <w:rsid w:val="00262958"/>
    <w:rsid w:val="00263390"/>
    <w:rsid w:val="00264094"/>
    <w:rsid w:val="0026539A"/>
    <w:rsid w:val="00265767"/>
    <w:rsid w:val="002667F1"/>
    <w:rsid w:val="00266853"/>
    <w:rsid w:val="00266DD2"/>
    <w:rsid w:val="0026736E"/>
    <w:rsid w:val="00270477"/>
    <w:rsid w:val="00270BFC"/>
    <w:rsid w:val="00272111"/>
    <w:rsid w:val="002723F5"/>
    <w:rsid w:val="00272569"/>
    <w:rsid w:val="00272608"/>
    <w:rsid w:val="00272CBD"/>
    <w:rsid w:val="00272FA8"/>
    <w:rsid w:val="00273E21"/>
    <w:rsid w:val="00274016"/>
    <w:rsid w:val="00274CD9"/>
    <w:rsid w:val="002750A7"/>
    <w:rsid w:val="002774C7"/>
    <w:rsid w:val="00277C15"/>
    <w:rsid w:val="0028093B"/>
    <w:rsid w:val="002824F7"/>
    <w:rsid w:val="00282EFF"/>
    <w:rsid w:val="002832D0"/>
    <w:rsid w:val="002835D7"/>
    <w:rsid w:val="00283F72"/>
    <w:rsid w:val="00285257"/>
    <w:rsid w:val="002858F2"/>
    <w:rsid w:val="00285978"/>
    <w:rsid w:val="002867F0"/>
    <w:rsid w:val="00286976"/>
    <w:rsid w:val="00286BE7"/>
    <w:rsid w:val="00287295"/>
    <w:rsid w:val="00287323"/>
    <w:rsid w:val="00287940"/>
    <w:rsid w:val="00287D04"/>
    <w:rsid w:val="00287D7F"/>
    <w:rsid w:val="00291F68"/>
    <w:rsid w:val="00292BA6"/>
    <w:rsid w:val="00292D42"/>
    <w:rsid w:val="0029321C"/>
    <w:rsid w:val="00293A89"/>
    <w:rsid w:val="00293BA3"/>
    <w:rsid w:val="0029457E"/>
    <w:rsid w:val="002947B2"/>
    <w:rsid w:val="0029493F"/>
    <w:rsid w:val="002953CC"/>
    <w:rsid w:val="00295FFC"/>
    <w:rsid w:val="0029659E"/>
    <w:rsid w:val="00297385"/>
    <w:rsid w:val="002A0564"/>
    <w:rsid w:val="002A0668"/>
    <w:rsid w:val="002A1814"/>
    <w:rsid w:val="002A1DEC"/>
    <w:rsid w:val="002A2AD7"/>
    <w:rsid w:val="002A3191"/>
    <w:rsid w:val="002A3381"/>
    <w:rsid w:val="002A3637"/>
    <w:rsid w:val="002A4EA1"/>
    <w:rsid w:val="002A58A4"/>
    <w:rsid w:val="002B0346"/>
    <w:rsid w:val="002B135A"/>
    <w:rsid w:val="002B1CD6"/>
    <w:rsid w:val="002B3184"/>
    <w:rsid w:val="002B34B6"/>
    <w:rsid w:val="002B358C"/>
    <w:rsid w:val="002B3C94"/>
    <w:rsid w:val="002B3F1C"/>
    <w:rsid w:val="002B40C2"/>
    <w:rsid w:val="002B4CEA"/>
    <w:rsid w:val="002B5913"/>
    <w:rsid w:val="002B5F1A"/>
    <w:rsid w:val="002B5FFC"/>
    <w:rsid w:val="002B60E0"/>
    <w:rsid w:val="002B7558"/>
    <w:rsid w:val="002C0BEB"/>
    <w:rsid w:val="002C2CCD"/>
    <w:rsid w:val="002C46CD"/>
    <w:rsid w:val="002C54A9"/>
    <w:rsid w:val="002C5CA2"/>
    <w:rsid w:val="002C6DFF"/>
    <w:rsid w:val="002C715C"/>
    <w:rsid w:val="002C79D5"/>
    <w:rsid w:val="002C7F47"/>
    <w:rsid w:val="002D06B6"/>
    <w:rsid w:val="002D1042"/>
    <w:rsid w:val="002D160D"/>
    <w:rsid w:val="002D16EA"/>
    <w:rsid w:val="002D201A"/>
    <w:rsid w:val="002D2E97"/>
    <w:rsid w:val="002D308A"/>
    <w:rsid w:val="002D31F9"/>
    <w:rsid w:val="002D3C42"/>
    <w:rsid w:val="002D3FFC"/>
    <w:rsid w:val="002D40FF"/>
    <w:rsid w:val="002D4200"/>
    <w:rsid w:val="002D4ECD"/>
    <w:rsid w:val="002D52E3"/>
    <w:rsid w:val="002D564C"/>
    <w:rsid w:val="002D6357"/>
    <w:rsid w:val="002E117F"/>
    <w:rsid w:val="002E387E"/>
    <w:rsid w:val="002E3A37"/>
    <w:rsid w:val="002E3B7F"/>
    <w:rsid w:val="002E4B66"/>
    <w:rsid w:val="002E4DBE"/>
    <w:rsid w:val="002E61AD"/>
    <w:rsid w:val="002E6643"/>
    <w:rsid w:val="002E68FC"/>
    <w:rsid w:val="002E6E54"/>
    <w:rsid w:val="002F09A5"/>
    <w:rsid w:val="002F0B27"/>
    <w:rsid w:val="002F1A26"/>
    <w:rsid w:val="002F1BD8"/>
    <w:rsid w:val="002F1D8D"/>
    <w:rsid w:val="002F392D"/>
    <w:rsid w:val="002F4190"/>
    <w:rsid w:val="002F43E2"/>
    <w:rsid w:val="002F65CC"/>
    <w:rsid w:val="002F6AD0"/>
    <w:rsid w:val="002F7E35"/>
    <w:rsid w:val="003000FF"/>
    <w:rsid w:val="00300EA0"/>
    <w:rsid w:val="003014CE"/>
    <w:rsid w:val="003018AA"/>
    <w:rsid w:val="00302308"/>
    <w:rsid w:val="0030275C"/>
    <w:rsid w:val="00302776"/>
    <w:rsid w:val="00306615"/>
    <w:rsid w:val="00306798"/>
    <w:rsid w:val="00306C97"/>
    <w:rsid w:val="0030745F"/>
    <w:rsid w:val="003079B7"/>
    <w:rsid w:val="00310460"/>
    <w:rsid w:val="0031079C"/>
    <w:rsid w:val="00310FBA"/>
    <w:rsid w:val="00310FEF"/>
    <w:rsid w:val="00311210"/>
    <w:rsid w:val="00311716"/>
    <w:rsid w:val="003121E0"/>
    <w:rsid w:val="00314205"/>
    <w:rsid w:val="0031464A"/>
    <w:rsid w:val="0031481C"/>
    <w:rsid w:val="00314A85"/>
    <w:rsid w:val="00314F79"/>
    <w:rsid w:val="0031559E"/>
    <w:rsid w:val="00316D28"/>
    <w:rsid w:val="003171EE"/>
    <w:rsid w:val="00317293"/>
    <w:rsid w:val="003175C4"/>
    <w:rsid w:val="003179AD"/>
    <w:rsid w:val="003204F7"/>
    <w:rsid w:val="00321291"/>
    <w:rsid w:val="00321A7A"/>
    <w:rsid w:val="00321F34"/>
    <w:rsid w:val="00322E5A"/>
    <w:rsid w:val="00322EA3"/>
    <w:rsid w:val="00323D56"/>
    <w:rsid w:val="0032447C"/>
    <w:rsid w:val="00324E9E"/>
    <w:rsid w:val="00324F46"/>
    <w:rsid w:val="003252CE"/>
    <w:rsid w:val="003253F3"/>
    <w:rsid w:val="00325B18"/>
    <w:rsid w:val="00325C92"/>
    <w:rsid w:val="003270AB"/>
    <w:rsid w:val="003274CF"/>
    <w:rsid w:val="00327792"/>
    <w:rsid w:val="003279A8"/>
    <w:rsid w:val="00327D82"/>
    <w:rsid w:val="00327E17"/>
    <w:rsid w:val="0033088E"/>
    <w:rsid w:val="00330EC9"/>
    <w:rsid w:val="00331175"/>
    <w:rsid w:val="003315C9"/>
    <w:rsid w:val="003318C0"/>
    <w:rsid w:val="00331F46"/>
    <w:rsid w:val="00331F5D"/>
    <w:rsid w:val="00332041"/>
    <w:rsid w:val="00332C38"/>
    <w:rsid w:val="00332EDA"/>
    <w:rsid w:val="00332F8C"/>
    <w:rsid w:val="00333E19"/>
    <w:rsid w:val="003346E3"/>
    <w:rsid w:val="00334D20"/>
    <w:rsid w:val="003350D9"/>
    <w:rsid w:val="003361C0"/>
    <w:rsid w:val="0033643A"/>
    <w:rsid w:val="003368A3"/>
    <w:rsid w:val="00336F53"/>
    <w:rsid w:val="0033702F"/>
    <w:rsid w:val="00340CFB"/>
    <w:rsid w:val="003414F7"/>
    <w:rsid w:val="003423A4"/>
    <w:rsid w:val="00342E33"/>
    <w:rsid w:val="003439C3"/>
    <w:rsid w:val="003444A6"/>
    <w:rsid w:val="00344CC2"/>
    <w:rsid w:val="0034541A"/>
    <w:rsid w:val="00345A25"/>
    <w:rsid w:val="003465D3"/>
    <w:rsid w:val="003467BF"/>
    <w:rsid w:val="003477A9"/>
    <w:rsid w:val="00347806"/>
    <w:rsid w:val="00347DE0"/>
    <w:rsid w:val="00347FEE"/>
    <w:rsid w:val="003501E8"/>
    <w:rsid w:val="0035051B"/>
    <w:rsid w:val="003516C8"/>
    <w:rsid w:val="00351756"/>
    <w:rsid w:val="00351A54"/>
    <w:rsid w:val="00351BEA"/>
    <w:rsid w:val="00352094"/>
    <w:rsid w:val="00352656"/>
    <w:rsid w:val="00353AF2"/>
    <w:rsid w:val="00353F55"/>
    <w:rsid w:val="00353FAF"/>
    <w:rsid w:val="00354B2A"/>
    <w:rsid w:val="0035547C"/>
    <w:rsid w:val="00356163"/>
    <w:rsid w:val="00356591"/>
    <w:rsid w:val="003565FD"/>
    <w:rsid w:val="00356761"/>
    <w:rsid w:val="003575DB"/>
    <w:rsid w:val="0036067D"/>
    <w:rsid w:val="00360A3B"/>
    <w:rsid w:val="00360C1C"/>
    <w:rsid w:val="00360C77"/>
    <w:rsid w:val="00361F4E"/>
    <w:rsid w:val="0036238B"/>
    <w:rsid w:val="00362C2D"/>
    <w:rsid w:val="003636D4"/>
    <w:rsid w:val="00363A08"/>
    <w:rsid w:val="003645D8"/>
    <w:rsid w:val="003653BB"/>
    <w:rsid w:val="00365F20"/>
    <w:rsid w:val="00366328"/>
    <w:rsid w:val="003665B0"/>
    <w:rsid w:val="00366670"/>
    <w:rsid w:val="00366EBB"/>
    <w:rsid w:val="00367979"/>
    <w:rsid w:val="00367A78"/>
    <w:rsid w:val="00367B7D"/>
    <w:rsid w:val="0037109F"/>
    <w:rsid w:val="0037115B"/>
    <w:rsid w:val="00371380"/>
    <w:rsid w:val="003720DA"/>
    <w:rsid w:val="00372156"/>
    <w:rsid w:val="00372723"/>
    <w:rsid w:val="00372B57"/>
    <w:rsid w:val="00373530"/>
    <w:rsid w:val="00373735"/>
    <w:rsid w:val="00373FED"/>
    <w:rsid w:val="00374371"/>
    <w:rsid w:val="00375422"/>
    <w:rsid w:val="003755FB"/>
    <w:rsid w:val="00375708"/>
    <w:rsid w:val="0037577C"/>
    <w:rsid w:val="00376479"/>
    <w:rsid w:val="0037690D"/>
    <w:rsid w:val="0037723D"/>
    <w:rsid w:val="00377696"/>
    <w:rsid w:val="00377A9F"/>
    <w:rsid w:val="003800EF"/>
    <w:rsid w:val="00380794"/>
    <w:rsid w:val="003808F6"/>
    <w:rsid w:val="003819AD"/>
    <w:rsid w:val="00381B7A"/>
    <w:rsid w:val="0038250A"/>
    <w:rsid w:val="003838AC"/>
    <w:rsid w:val="00383DF6"/>
    <w:rsid w:val="0038403D"/>
    <w:rsid w:val="00384296"/>
    <w:rsid w:val="00384B7D"/>
    <w:rsid w:val="00384BDF"/>
    <w:rsid w:val="00385390"/>
    <w:rsid w:val="0038544B"/>
    <w:rsid w:val="00385502"/>
    <w:rsid w:val="00385BAD"/>
    <w:rsid w:val="00386627"/>
    <w:rsid w:val="00386A96"/>
    <w:rsid w:val="00386B22"/>
    <w:rsid w:val="00386F1E"/>
    <w:rsid w:val="0038785C"/>
    <w:rsid w:val="00387EBF"/>
    <w:rsid w:val="00390048"/>
    <w:rsid w:val="0039030A"/>
    <w:rsid w:val="00390508"/>
    <w:rsid w:val="003907BA"/>
    <w:rsid w:val="00390C8D"/>
    <w:rsid w:val="003912B0"/>
    <w:rsid w:val="003918CB"/>
    <w:rsid w:val="00391BB0"/>
    <w:rsid w:val="003921DF"/>
    <w:rsid w:val="00392938"/>
    <w:rsid w:val="00393016"/>
    <w:rsid w:val="0039380C"/>
    <w:rsid w:val="00394092"/>
    <w:rsid w:val="003943A7"/>
    <w:rsid w:val="00394605"/>
    <w:rsid w:val="00394B4F"/>
    <w:rsid w:val="00395642"/>
    <w:rsid w:val="003958FA"/>
    <w:rsid w:val="003967F4"/>
    <w:rsid w:val="00396BF8"/>
    <w:rsid w:val="003975E7"/>
    <w:rsid w:val="00397BC3"/>
    <w:rsid w:val="00397BDF"/>
    <w:rsid w:val="003A0182"/>
    <w:rsid w:val="003A104E"/>
    <w:rsid w:val="003A1640"/>
    <w:rsid w:val="003A16AB"/>
    <w:rsid w:val="003A1AC5"/>
    <w:rsid w:val="003A1D4E"/>
    <w:rsid w:val="003A1F65"/>
    <w:rsid w:val="003A2253"/>
    <w:rsid w:val="003A2988"/>
    <w:rsid w:val="003A2FB7"/>
    <w:rsid w:val="003A4496"/>
    <w:rsid w:val="003A49E6"/>
    <w:rsid w:val="003A4FDE"/>
    <w:rsid w:val="003A591E"/>
    <w:rsid w:val="003A5D24"/>
    <w:rsid w:val="003B30E9"/>
    <w:rsid w:val="003B4687"/>
    <w:rsid w:val="003B481E"/>
    <w:rsid w:val="003B5C17"/>
    <w:rsid w:val="003B5C7C"/>
    <w:rsid w:val="003B660B"/>
    <w:rsid w:val="003B6F80"/>
    <w:rsid w:val="003B7A03"/>
    <w:rsid w:val="003C03AD"/>
    <w:rsid w:val="003C05F3"/>
    <w:rsid w:val="003C061A"/>
    <w:rsid w:val="003C1BC5"/>
    <w:rsid w:val="003C1CBC"/>
    <w:rsid w:val="003C255B"/>
    <w:rsid w:val="003C26E6"/>
    <w:rsid w:val="003C2D37"/>
    <w:rsid w:val="003C2D9D"/>
    <w:rsid w:val="003C30E1"/>
    <w:rsid w:val="003C3140"/>
    <w:rsid w:val="003C3302"/>
    <w:rsid w:val="003C3438"/>
    <w:rsid w:val="003C444B"/>
    <w:rsid w:val="003C5C58"/>
    <w:rsid w:val="003C7B50"/>
    <w:rsid w:val="003D0A27"/>
    <w:rsid w:val="003D0B91"/>
    <w:rsid w:val="003D0CE1"/>
    <w:rsid w:val="003D174E"/>
    <w:rsid w:val="003D18C4"/>
    <w:rsid w:val="003D2AC5"/>
    <w:rsid w:val="003D2FBF"/>
    <w:rsid w:val="003D4334"/>
    <w:rsid w:val="003D4482"/>
    <w:rsid w:val="003D47AD"/>
    <w:rsid w:val="003D47FE"/>
    <w:rsid w:val="003D543A"/>
    <w:rsid w:val="003D546E"/>
    <w:rsid w:val="003D571F"/>
    <w:rsid w:val="003D5961"/>
    <w:rsid w:val="003D602B"/>
    <w:rsid w:val="003D638F"/>
    <w:rsid w:val="003D65BF"/>
    <w:rsid w:val="003D6AB5"/>
    <w:rsid w:val="003D7314"/>
    <w:rsid w:val="003D748D"/>
    <w:rsid w:val="003D7565"/>
    <w:rsid w:val="003E0DDB"/>
    <w:rsid w:val="003E1210"/>
    <w:rsid w:val="003E21F1"/>
    <w:rsid w:val="003E2276"/>
    <w:rsid w:val="003E33A6"/>
    <w:rsid w:val="003E3549"/>
    <w:rsid w:val="003E3997"/>
    <w:rsid w:val="003E3FD6"/>
    <w:rsid w:val="003E4EAA"/>
    <w:rsid w:val="003E505E"/>
    <w:rsid w:val="003E5535"/>
    <w:rsid w:val="003E58B9"/>
    <w:rsid w:val="003E625A"/>
    <w:rsid w:val="003E6448"/>
    <w:rsid w:val="003E67AC"/>
    <w:rsid w:val="003E693B"/>
    <w:rsid w:val="003E6AE3"/>
    <w:rsid w:val="003E6E9B"/>
    <w:rsid w:val="003E7243"/>
    <w:rsid w:val="003E72FA"/>
    <w:rsid w:val="003E74D6"/>
    <w:rsid w:val="003E7B78"/>
    <w:rsid w:val="003F0363"/>
    <w:rsid w:val="003F07D0"/>
    <w:rsid w:val="003F163C"/>
    <w:rsid w:val="003F2336"/>
    <w:rsid w:val="003F2FD7"/>
    <w:rsid w:val="003F54C8"/>
    <w:rsid w:val="003F5D5D"/>
    <w:rsid w:val="003F60BD"/>
    <w:rsid w:val="003F646B"/>
    <w:rsid w:val="003F6B27"/>
    <w:rsid w:val="004013E8"/>
    <w:rsid w:val="0040204C"/>
    <w:rsid w:val="004025BD"/>
    <w:rsid w:val="00403AF9"/>
    <w:rsid w:val="00403BEC"/>
    <w:rsid w:val="00404088"/>
    <w:rsid w:val="004064DA"/>
    <w:rsid w:val="00406C86"/>
    <w:rsid w:val="00406EB7"/>
    <w:rsid w:val="004072C4"/>
    <w:rsid w:val="0040771B"/>
    <w:rsid w:val="00407F46"/>
    <w:rsid w:val="0041031C"/>
    <w:rsid w:val="00411330"/>
    <w:rsid w:val="00411452"/>
    <w:rsid w:val="004125FA"/>
    <w:rsid w:val="00412936"/>
    <w:rsid w:val="004130AC"/>
    <w:rsid w:val="00413564"/>
    <w:rsid w:val="00414EA5"/>
    <w:rsid w:val="00414F24"/>
    <w:rsid w:val="0041512B"/>
    <w:rsid w:val="004166CD"/>
    <w:rsid w:val="00416C23"/>
    <w:rsid w:val="004173E3"/>
    <w:rsid w:val="004177CF"/>
    <w:rsid w:val="00417829"/>
    <w:rsid w:val="00417D8B"/>
    <w:rsid w:val="00421358"/>
    <w:rsid w:val="00421724"/>
    <w:rsid w:val="00421740"/>
    <w:rsid w:val="00421C89"/>
    <w:rsid w:val="0042205F"/>
    <w:rsid w:val="00422588"/>
    <w:rsid w:val="004226F9"/>
    <w:rsid w:val="00422F86"/>
    <w:rsid w:val="00423071"/>
    <w:rsid w:val="0042333B"/>
    <w:rsid w:val="00423EB9"/>
    <w:rsid w:val="00424D23"/>
    <w:rsid w:val="00424F78"/>
    <w:rsid w:val="004254DF"/>
    <w:rsid w:val="004261E0"/>
    <w:rsid w:val="00430262"/>
    <w:rsid w:val="00430926"/>
    <w:rsid w:val="00432F9B"/>
    <w:rsid w:val="0043322C"/>
    <w:rsid w:val="00434243"/>
    <w:rsid w:val="00434683"/>
    <w:rsid w:val="00435AD6"/>
    <w:rsid w:val="0043675C"/>
    <w:rsid w:val="00436B9F"/>
    <w:rsid w:val="00436C58"/>
    <w:rsid w:val="00436EF7"/>
    <w:rsid w:val="00436F6C"/>
    <w:rsid w:val="004375E7"/>
    <w:rsid w:val="00437DAA"/>
    <w:rsid w:val="00440693"/>
    <w:rsid w:val="00440771"/>
    <w:rsid w:val="00440BF5"/>
    <w:rsid w:val="00441174"/>
    <w:rsid w:val="00442125"/>
    <w:rsid w:val="00442759"/>
    <w:rsid w:val="00442768"/>
    <w:rsid w:val="004438F4"/>
    <w:rsid w:val="00443BCB"/>
    <w:rsid w:val="00443F92"/>
    <w:rsid w:val="00444427"/>
    <w:rsid w:val="00444A34"/>
    <w:rsid w:val="00444B27"/>
    <w:rsid w:val="00445362"/>
    <w:rsid w:val="00447154"/>
    <w:rsid w:val="00447221"/>
    <w:rsid w:val="004472E5"/>
    <w:rsid w:val="004475C9"/>
    <w:rsid w:val="0044784E"/>
    <w:rsid w:val="00447AE3"/>
    <w:rsid w:val="004517BC"/>
    <w:rsid w:val="004518B1"/>
    <w:rsid w:val="00451B12"/>
    <w:rsid w:val="00451BE2"/>
    <w:rsid w:val="00451C06"/>
    <w:rsid w:val="00452408"/>
    <w:rsid w:val="004534E2"/>
    <w:rsid w:val="0045368F"/>
    <w:rsid w:val="004537DC"/>
    <w:rsid w:val="00453943"/>
    <w:rsid w:val="00454282"/>
    <w:rsid w:val="00454571"/>
    <w:rsid w:val="0045461B"/>
    <w:rsid w:val="00454715"/>
    <w:rsid w:val="00454B28"/>
    <w:rsid w:val="00454B73"/>
    <w:rsid w:val="00455B74"/>
    <w:rsid w:val="004572DD"/>
    <w:rsid w:val="004603BF"/>
    <w:rsid w:val="0046190C"/>
    <w:rsid w:val="004625BC"/>
    <w:rsid w:val="0046282B"/>
    <w:rsid w:val="00462AB7"/>
    <w:rsid w:val="00462C6C"/>
    <w:rsid w:val="00462DFA"/>
    <w:rsid w:val="00462E30"/>
    <w:rsid w:val="00463624"/>
    <w:rsid w:val="00463AB6"/>
    <w:rsid w:val="004640C5"/>
    <w:rsid w:val="00464407"/>
    <w:rsid w:val="004648CC"/>
    <w:rsid w:val="004649C2"/>
    <w:rsid w:val="00464A8C"/>
    <w:rsid w:val="00465688"/>
    <w:rsid w:val="00465A06"/>
    <w:rsid w:val="00465AD0"/>
    <w:rsid w:val="00465DD0"/>
    <w:rsid w:val="0046606B"/>
    <w:rsid w:val="00466D75"/>
    <w:rsid w:val="004707A8"/>
    <w:rsid w:val="004715F2"/>
    <w:rsid w:val="00471725"/>
    <w:rsid w:val="004726D3"/>
    <w:rsid w:val="004747F4"/>
    <w:rsid w:val="0047608F"/>
    <w:rsid w:val="0047627F"/>
    <w:rsid w:val="00476369"/>
    <w:rsid w:val="00476554"/>
    <w:rsid w:val="00476BFC"/>
    <w:rsid w:val="00477D28"/>
    <w:rsid w:val="00480185"/>
    <w:rsid w:val="00480882"/>
    <w:rsid w:val="00482649"/>
    <w:rsid w:val="00483B95"/>
    <w:rsid w:val="00484FA6"/>
    <w:rsid w:val="00485B01"/>
    <w:rsid w:val="00485DC0"/>
    <w:rsid w:val="00485E57"/>
    <w:rsid w:val="00486BC7"/>
    <w:rsid w:val="00486CBB"/>
    <w:rsid w:val="00486CBF"/>
    <w:rsid w:val="0048774B"/>
    <w:rsid w:val="00487870"/>
    <w:rsid w:val="004912DF"/>
    <w:rsid w:val="0049157F"/>
    <w:rsid w:val="004919C1"/>
    <w:rsid w:val="00491D91"/>
    <w:rsid w:val="00491F48"/>
    <w:rsid w:val="00493006"/>
    <w:rsid w:val="00493256"/>
    <w:rsid w:val="004933B3"/>
    <w:rsid w:val="00493D61"/>
    <w:rsid w:val="00495357"/>
    <w:rsid w:val="0049552F"/>
    <w:rsid w:val="00495EA8"/>
    <w:rsid w:val="00496F82"/>
    <w:rsid w:val="00497883"/>
    <w:rsid w:val="004A0463"/>
    <w:rsid w:val="004A085D"/>
    <w:rsid w:val="004A093D"/>
    <w:rsid w:val="004A16BE"/>
    <w:rsid w:val="004A26DF"/>
    <w:rsid w:val="004A2E4E"/>
    <w:rsid w:val="004A2F9F"/>
    <w:rsid w:val="004A3CDD"/>
    <w:rsid w:val="004A4DEB"/>
    <w:rsid w:val="004A545D"/>
    <w:rsid w:val="004A57D4"/>
    <w:rsid w:val="004A678D"/>
    <w:rsid w:val="004B0B10"/>
    <w:rsid w:val="004B19A9"/>
    <w:rsid w:val="004B205C"/>
    <w:rsid w:val="004B211C"/>
    <w:rsid w:val="004B2A16"/>
    <w:rsid w:val="004B2A82"/>
    <w:rsid w:val="004B2BE5"/>
    <w:rsid w:val="004B43BE"/>
    <w:rsid w:val="004B484D"/>
    <w:rsid w:val="004B5D1F"/>
    <w:rsid w:val="004B61A3"/>
    <w:rsid w:val="004B667D"/>
    <w:rsid w:val="004B71F9"/>
    <w:rsid w:val="004C0069"/>
    <w:rsid w:val="004C0715"/>
    <w:rsid w:val="004C08BC"/>
    <w:rsid w:val="004C155F"/>
    <w:rsid w:val="004C1CD2"/>
    <w:rsid w:val="004C1D6D"/>
    <w:rsid w:val="004C29F3"/>
    <w:rsid w:val="004C34FB"/>
    <w:rsid w:val="004C4AE3"/>
    <w:rsid w:val="004C533A"/>
    <w:rsid w:val="004C62AB"/>
    <w:rsid w:val="004C6969"/>
    <w:rsid w:val="004C69BC"/>
    <w:rsid w:val="004D157A"/>
    <w:rsid w:val="004D1A07"/>
    <w:rsid w:val="004D1CC1"/>
    <w:rsid w:val="004D207C"/>
    <w:rsid w:val="004D2793"/>
    <w:rsid w:val="004D30E9"/>
    <w:rsid w:val="004D44AD"/>
    <w:rsid w:val="004D50EB"/>
    <w:rsid w:val="004D5161"/>
    <w:rsid w:val="004D5664"/>
    <w:rsid w:val="004D5ADB"/>
    <w:rsid w:val="004D623E"/>
    <w:rsid w:val="004D7103"/>
    <w:rsid w:val="004D7A83"/>
    <w:rsid w:val="004D7F52"/>
    <w:rsid w:val="004E018A"/>
    <w:rsid w:val="004E030A"/>
    <w:rsid w:val="004E0D67"/>
    <w:rsid w:val="004E21D8"/>
    <w:rsid w:val="004E3268"/>
    <w:rsid w:val="004E387E"/>
    <w:rsid w:val="004E43F7"/>
    <w:rsid w:val="004E442F"/>
    <w:rsid w:val="004E45E6"/>
    <w:rsid w:val="004E4831"/>
    <w:rsid w:val="004E54C1"/>
    <w:rsid w:val="004E5CC8"/>
    <w:rsid w:val="004E66A4"/>
    <w:rsid w:val="004E678B"/>
    <w:rsid w:val="004E7919"/>
    <w:rsid w:val="004F04D9"/>
    <w:rsid w:val="004F05C7"/>
    <w:rsid w:val="004F1919"/>
    <w:rsid w:val="004F1AE5"/>
    <w:rsid w:val="004F22DA"/>
    <w:rsid w:val="004F25EB"/>
    <w:rsid w:val="004F2673"/>
    <w:rsid w:val="004F2F59"/>
    <w:rsid w:val="004F382E"/>
    <w:rsid w:val="004F5552"/>
    <w:rsid w:val="004F58B7"/>
    <w:rsid w:val="004F5A1E"/>
    <w:rsid w:val="004F6D76"/>
    <w:rsid w:val="004F6FBB"/>
    <w:rsid w:val="00500769"/>
    <w:rsid w:val="00500A22"/>
    <w:rsid w:val="00500B07"/>
    <w:rsid w:val="00500EE9"/>
    <w:rsid w:val="00501D74"/>
    <w:rsid w:val="00502097"/>
    <w:rsid w:val="005021CD"/>
    <w:rsid w:val="005025CD"/>
    <w:rsid w:val="005028D1"/>
    <w:rsid w:val="00503DFC"/>
    <w:rsid w:val="00504834"/>
    <w:rsid w:val="005056C9"/>
    <w:rsid w:val="0050570E"/>
    <w:rsid w:val="00505AEE"/>
    <w:rsid w:val="0050632E"/>
    <w:rsid w:val="00506334"/>
    <w:rsid w:val="0050640D"/>
    <w:rsid w:val="005076C2"/>
    <w:rsid w:val="005077C8"/>
    <w:rsid w:val="005077E8"/>
    <w:rsid w:val="00507AAB"/>
    <w:rsid w:val="00507B63"/>
    <w:rsid w:val="005105AC"/>
    <w:rsid w:val="005106B9"/>
    <w:rsid w:val="00510A1A"/>
    <w:rsid w:val="00511030"/>
    <w:rsid w:val="00511062"/>
    <w:rsid w:val="00511AE2"/>
    <w:rsid w:val="00512007"/>
    <w:rsid w:val="00512D4E"/>
    <w:rsid w:val="00513354"/>
    <w:rsid w:val="005142AA"/>
    <w:rsid w:val="0051434D"/>
    <w:rsid w:val="005144FA"/>
    <w:rsid w:val="00514507"/>
    <w:rsid w:val="005147F0"/>
    <w:rsid w:val="005151B7"/>
    <w:rsid w:val="005158A0"/>
    <w:rsid w:val="00515C2E"/>
    <w:rsid w:val="00515C73"/>
    <w:rsid w:val="00516791"/>
    <w:rsid w:val="00516803"/>
    <w:rsid w:val="0051722E"/>
    <w:rsid w:val="005176F7"/>
    <w:rsid w:val="005177F8"/>
    <w:rsid w:val="00517B9C"/>
    <w:rsid w:val="00517D77"/>
    <w:rsid w:val="00520015"/>
    <w:rsid w:val="00520AD9"/>
    <w:rsid w:val="0052113D"/>
    <w:rsid w:val="0052194F"/>
    <w:rsid w:val="00522218"/>
    <w:rsid w:val="00522375"/>
    <w:rsid w:val="00525400"/>
    <w:rsid w:val="0052582B"/>
    <w:rsid w:val="00525B7C"/>
    <w:rsid w:val="00525C93"/>
    <w:rsid w:val="00530774"/>
    <w:rsid w:val="00530FE3"/>
    <w:rsid w:val="005312B8"/>
    <w:rsid w:val="0053161F"/>
    <w:rsid w:val="0053196D"/>
    <w:rsid w:val="0053197D"/>
    <w:rsid w:val="005322F9"/>
    <w:rsid w:val="005325FC"/>
    <w:rsid w:val="00532D5C"/>
    <w:rsid w:val="00533647"/>
    <w:rsid w:val="005338DF"/>
    <w:rsid w:val="005346B9"/>
    <w:rsid w:val="005347F8"/>
    <w:rsid w:val="0053497E"/>
    <w:rsid w:val="00535E7E"/>
    <w:rsid w:val="00536011"/>
    <w:rsid w:val="00536A11"/>
    <w:rsid w:val="00537150"/>
    <w:rsid w:val="005374EE"/>
    <w:rsid w:val="00540830"/>
    <w:rsid w:val="0054174C"/>
    <w:rsid w:val="0054205C"/>
    <w:rsid w:val="00542DF2"/>
    <w:rsid w:val="005430FD"/>
    <w:rsid w:val="0054324A"/>
    <w:rsid w:val="005436A6"/>
    <w:rsid w:val="00543B10"/>
    <w:rsid w:val="00543B63"/>
    <w:rsid w:val="00543D20"/>
    <w:rsid w:val="005443DA"/>
    <w:rsid w:val="00544AE6"/>
    <w:rsid w:val="00544B9A"/>
    <w:rsid w:val="00545A3E"/>
    <w:rsid w:val="0054645B"/>
    <w:rsid w:val="00547659"/>
    <w:rsid w:val="00547BA2"/>
    <w:rsid w:val="00550025"/>
    <w:rsid w:val="005507B5"/>
    <w:rsid w:val="005509BB"/>
    <w:rsid w:val="00551FEB"/>
    <w:rsid w:val="005528BA"/>
    <w:rsid w:val="00552F5E"/>
    <w:rsid w:val="005532F9"/>
    <w:rsid w:val="00553E14"/>
    <w:rsid w:val="00553FBD"/>
    <w:rsid w:val="0055440B"/>
    <w:rsid w:val="00554BC5"/>
    <w:rsid w:val="0055505E"/>
    <w:rsid w:val="00555263"/>
    <w:rsid w:val="00555EE3"/>
    <w:rsid w:val="005566C1"/>
    <w:rsid w:val="00556E29"/>
    <w:rsid w:val="0055708D"/>
    <w:rsid w:val="0055761A"/>
    <w:rsid w:val="00560403"/>
    <w:rsid w:val="005605EF"/>
    <w:rsid w:val="00560F55"/>
    <w:rsid w:val="005615ED"/>
    <w:rsid w:val="00561CA6"/>
    <w:rsid w:val="005632F1"/>
    <w:rsid w:val="0056380E"/>
    <w:rsid w:val="005640F0"/>
    <w:rsid w:val="00564BBB"/>
    <w:rsid w:val="0056602B"/>
    <w:rsid w:val="00566428"/>
    <w:rsid w:val="0056717C"/>
    <w:rsid w:val="0056785D"/>
    <w:rsid w:val="00570386"/>
    <w:rsid w:val="00570FF7"/>
    <w:rsid w:val="00571C9C"/>
    <w:rsid w:val="0057210D"/>
    <w:rsid w:val="00573297"/>
    <w:rsid w:val="005738C8"/>
    <w:rsid w:val="005741B9"/>
    <w:rsid w:val="0057498D"/>
    <w:rsid w:val="00575D25"/>
    <w:rsid w:val="00575E74"/>
    <w:rsid w:val="005768FF"/>
    <w:rsid w:val="00576E82"/>
    <w:rsid w:val="0057774B"/>
    <w:rsid w:val="00577A49"/>
    <w:rsid w:val="0058063A"/>
    <w:rsid w:val="00580D90"/>
    <w:rsid w:val="0058140C"/>
    <w:rsid w:val="00581A01"/>
    <w:rsid w:val="00581A5B"/>
    <w:rsid w:val="00581AE8"/>
    <w:rsid w:val="00581D51"/>
    <w:rsid w:val="00581F87"/>
    <w:rsid w:val="005826DC"/>
    <w:rsid w:val="00582773"/>
    <w:rsid w:val="005838C4"/>
    <w:rsid w:val="00583978"/>
    <w:rsid w:val="00584085"/>
    <w:rsid w:val="005843D4"/>
    <w:rsid w:val="0058483F"/>
    <w:rsid w:val="00584985"/>
    <w:rsid w:val="00584A97"/>
    <w:rsid w:val="00584B5E"/>
    <w:rsid w:val="00585064"/>
    <w:rsid w:val="0058579A"/>
    <w:rsid w:val="005865CC"/>
    <w:rsid w:val="00586B7D"/>
    <w:rsid w:val="00590A04"/>
    <w:rsid w:val="00590C17"/>
    <w:rsid w:val="00590ECF"/>
    <w:rsid w:val="00591237"/>
    <w:rsid w:val="0059163C"/>
    <w:rsid w:val="00591F16"/>
    <w:rsid w:val="005920B7"/>
    <w:rsid w:val="005933F8"/>
    <w:rsid w:val="00593B49"/>
    <w:rsid w:val="00593D1C"/>
    <w:rsid w:val="00594E34"/>
    <w:rsid w:val="00595A15"/>
    <w:rsid w:val="00596A0B"/>
    <w:rsid w:val="00596E05"/>
    <w:rsid w:val="005970FA"/>
    <w:rsid w:val="005974D8"/>
    <w:rsid w:val="00597F3C"/>
    <w:rsid w:val="005A03E1"/>
    <w:rsid w:val="005A0405"/>
    <w:rsid w:val="005A0AF7"/>
    <w:rsid w:val="005A1268"/>
    <w:rsid w:val="005A18BA"/>
    <w:rsid w:val="005A1E0A"/>
    <w:rsid w:val="005A1EEC"/>
    <w:rsid w:val="005A2116"/>
    <w:rsid w:val="005A2298"/>
    <w:rsid w:val="005A2AD8"/>
    <w:rsid w:val="005A2DB4"/>
    <w:rsid w:val="005A462B"/>
    <w:rsid w:val="005A46F3"/>
    <w:rsid w:val="005A55C5"/>
    <w:rsid w:val="005A5F7D"/>
    <w:rsid w:val="005A6119"/>
    <w:rsid w:val="005A642E"/>
    <w:rsid w:val="005A6542"/>
    <w:rsid w:val="005A69BD"/>
    <w:rsid w:val="005A7C22"/>
    <w:rsid w:val="005B0874"/>
    <w:rsid w:val="005B095C"/>
    <w:rsid w:val="005B0F4D"/>
    <w:rsid w:val="005B109A"/>
    <w:rsid w:val="005B1144"/>
    <w:rsid w:val="005B15A2"/>
    <w:rsid w:val="005B1757"/>
    <w:rsid w:val="005B1C7F"/>
    <w:rsid w:val="005B3428"/>
    <w:rsid w:val="005B413D"/>
    <w:rsid w:val="005B48C9"/>
    <w:rsid w:val="005B4C03"/>
    <w:rsid w:val="005B4CE3"/>
    <w:rsid w:val="005B4E52"/>
    <w:rsid w:val="005B4FC2"/>
    <w:rsid w:val="005B529F"/>
    <w:rsid w:val="005B5A07"/>
    <w:rsid w:val="005B63A5"/>
    <w:rsid w:val="005B66E2"/>
    <w:rsid w:val="005B7588"/>
    <w:rsid w:val="005B7B8A"/>
    <w:rsid w:val="005C0B68"/>
    <w:rsid w:val="005C1907"/>
    <w:rsid w:val="005C1B3D"/>
    <w:rsid w:val="005C3180"/>
    <w:rsid w:val="005C3803"/>
    <w:rsid w:val="005C3C58"/>
    <w:rsid w:val="005C4296"/>
    <w:rsid w:val="005C42A9"/>
    <w:rsid w:val="005C4DA9"/>
    <w:rsid w:val="005C5196"/>
    <w:rsid w:val="005C532B"/>
    <w:rsid w:val="005C5BFF"/>
    <w:rsid w:val="005C7540"/>
    <w:rsid w:val="005C7B71"/>
    <w:rsid w:val="005C7BA5"/>
    <w:rsid w:val="005D0555"/>
    <w:rsid w:val="005D0885"/>
    <w:rsid w:val="005D08FE"/>
    <w:rsid w:val="005D0987"/>
    <w:rsid w:val="005D10AC"/>
    <w:rsid w:val="005D1420"/>
    <w:rsid w:val="005D1617"/>
    <w:rsid w:val="005D1DB1"/>
    <w:rsid w:val="005D205D"/>
    <w:rsid w:val="005D2C75"/>
    <w:rsid w:val="005D3A98"/>
    <w:rsid w:val="005D3D7B"/>
    <w:rsid w:val="005D50EB"/>
    <w:rsid w:val="005D5B5C"/>
    <w:rsid w:val="005D5CA7"/>
    <w:rsid w:val="005D5FD1"/>
    <w:rsid w:val="005D615C"/>
    <w:rsid w:val="005E1087"/>
    <w:rsid w:val="005E135E"/>
    <w:rsid w:val="005E1A9B"/>
    <w:rsid w:val="005E1DC7"/>
    <w:rsid w:val="005E213A"/>
    <w:rsid w:val="005E2262"/>
    <w:rsid w:val="005E2B3D"/>
    <w:rsid w:val="005E2CA8"/>
    <w:rsid w:val="005E4A83"/>
    <w:rsid w:val="005E4AC2"/>
    <w:rsid w:val="005E4B85"/>
    <w:rsid w:val="005E4C3B"/>
    <w:rsid w:val="005E5175"/>
    <w:rsid w:val="005E530A"/>
    <w:rsid w:val="005E64B8"/>
    <w:rsid w:val="005E6960"/>
    <w:rsid w:val="005E71E7"/>
    <w:rsid w:val="005E7929"/>
    <w:rsid w:val="005F0971"/>
    <w:rsid w:val="005F10A1"/>
    <w:rsid w:val="005F1523"/>
    <w:rsid w:val="005F289F"/>
    <w:rsid w:val="005F2F55"/>
    <w:rsid w:val="005F3332"/>
    <w:rsid w:val="005F4753"/>
    <w:rsid w:val="005F61B8"/>
    <w:rsid w:val="005F6AE1"/>
    <w:rsid w:val="005F73A6"/>
    <w:rsid w:val="005F7DB5"/>
    <w:rsid w:val="0060240A"/>
    <w:rsid w:val="00602AE0"/>
    <w:rsid w:val="00603213"/>
    <w:rsid w:val="00603340"/>
    <w:rsid w:val="006042B6"/>
    <w:rsid w:val="006052F6"/>
    <w:rsid w:val="00605482"/>
    <w:rsid w:val="00606128"/>
    <w:rsid w:val="006063D9"/>
    <w:rsid w:val="00606EA4"/>
    <w:rsid w:val="00607575"/>
    <w:rsid w:val="006075B0"/>
    <w:rsid w:val="00607880"/>
    <w:rsid w:val="0060795D"/>
    <w:rsid w:val="00607A9E"/>
    <w:rsid w:val="0061066E"/>
    <w:rsid w:val="0061075A"/>
    <w:rsid w:val="00610AD0"/>
    <w:rsid w:val="0061111F"/>
    <w:rsid w:val="0061126A"/>
    <w:rsid w:val="006146C4"/>
    <w:rsid w:val="00614B4F"/>
    <w:rsid w:val="00614CC9"/>
    <w:rsid w:val="00615171"/>
    <w:rsid w:val="0061599D"/>
    <w:rsid w:val="006160A5"/>
    <w:rsid w:val="00616477"/>
    <w:rsid w:val="006164E8"/>
    <w:rsid w:val="00616F2F"/>
    <w:rsid w:val="00617518"/>
    <w:rsid w:val="0061789C"/>
    <w:rsid w:val="00617EF0"/>
    <w:rsid w:val="006200D8"/>
    <w:rsid w:val="006201A6"/>
    <w:rsid w:val="00620AC2"/>
    <w:rsid w:val="00620B77"/>
    <w:rsid w:val="00620B93"/>
    <w:rsid w:val="00621738"/>
    <w:rsid w:val="00621B81"/>
    <w:rsid w:val="00621EE0"/>
    <w:rsid w:val="00621FF3"/>
    <w:rsid w:val="006225A1"/>
    <w:rsid w:val="00623484"/>
    <w:rsid w:val="006234A2"/>
    <w:rsid w:val="00623D19"/>
    <w:rsid w:val="00623D6C"/>
    <w:rsid w:val="006240AD"/>
    <w:rsid w:val="0062513B"/>
    <w:rsid w:val="00625B20"/>
    <w:rsid w:val="006260D5"/>
    <w:rsid w:val="00627102"/>
    <w:rsid w:val="00627C6A"/>
    <w:rsid w:val="00630535"/>
    <w:rsid w:val="0063161D"/>
    <w:rsid w:val="00631D0A"/>
    <w:rsid w:val="006323FA"/>
    <w:rsid w:val="00632DF1"/>
    <w:rsid w:val="00634B08"/>
    <w:rsid w:val="00634E31"/>
    <w:rsid w:val="006351F2"/>
    <w:rsid w:val="00635326"/>
    <w:rsid w:val="006353CF"/>
    <w:rsid w:val="00635844"/>
    <w:rsid w:val="00635B17"/>
    <w:rsid w:val="006363A8"/>
    <w:rsid w:val="00636760"/>
    <w:rsid w:val="00636C5A"/>
    <w:rsid w:val="00636DA6"/>
    <w:rsid w:val="006372BB"/>
    <w:rsid w:val="00637766"/>
    <w:rsid w:val="00640678"/>
    <w:rsid w:val="00640A40"/>
    <w:rsid w:val="00641DCF"/>
    <w:rsid w:val="00642A78"/>
    <w:rsid w:val="00642CD2"/>
    <w:rsid w:val="00643CC2"/>
    <w:rsid w:val="00643D57"/>
    <w:rsid w:val="0064461F"/>
    <w:rsid w:val="00646320"/>
    <w:rsid w:val="0064632B"/>
    <w:rsid w:val="00646BF7"/>
    <w:rsid w:val="00646CE3"/>
    <w:rsid w:val="0064797E"/>
    <w:rsid w:val="00647AA3"/>
    <w:rsid w:val="00650759"/>
    <w:rsid w:val="00650A6D"/>
    <w:rsid w:val="00650E87"/>
    <w:rsid w:val="00651D1F"/>
    <w:rsid w:val="00651D68"/>
    <w:rsid w:val="00652429"/>
    <w:rsid w:val="00652AAD"/>
    <w:rsid w:val="00652DFC"/>
    <w:rsid w:val="0065303B"/>
    <w:rsid w:val="00653C9B"/>
    <w:rsid w:val="00654036"/>
    <w:rsid w:val="00654E90"/>
    <w:rsid w:val="0065531E"/>
    <w:rsid w:val="00655C6B"/>
    <w:rsid w:val="00655DBD"/>
    <w:rsid w:val="006573A1"/>
    <w:rsid w:val="00657D04"/>
    <w:rsid w:val="0066039C"/>
    <w:rsid w:val="006619A7"/>
    <w:rsid w:val="00661B0E"/>
    <w:rsid w:val="00661C0F"/>
    <w:rsid w:val="00662C2E"/>
    <w:rsid w:val="00662E2B"/>
    <w:rsid w:val="00663FAF"/>
    <w:rsid w:val="00665246"/>
    <w:rsid w:val="00666A48"/>
    <w:rsid w:val="00667093"/>
    <w:rsid w:val="0066715A"/>
    <w:rsid w:val="006678DC"/>
    <w:rsid w:val="006703B1"/>
    <w:rsid w:val="00670C51"/>
    <w:rsid w:val="00670E8E"/>
    <w:rsid w:val="00671E38"/>
    <w:rsid w:val="00671E60"/>
    <w:rsid w:val="006730D4"/>
    <w:rsid w:val="006735FA"/>
    <w:rsid w:val="006745B4"/>
    <w:rsid w:val="00675C08"/>
    <w:rsid w:val="006761B6"/>
    <w:rsid w:val="006762FD"/>
    <w:rsid w:val="00681A6E"/>
    <w:rsid w:val="00681EA3"/>
    <w:rsid w:val="0068225A"/>
    <w:rsid w:val="00682EC6"/>
    <w:rsid w:val="006831E9"/>
    <w:rsid w:val="00683763"/>
    <w:rsid w:val="00684C27"/>
    <w:rsid w:val="00686484"/>
    <w:rsid w:val="0068717F"/>
    <w:rsid w:val="00687C55"/>
    <w:rsid w:val="00690159"/>
    <w:rsid w:val="00690DB8"/>
    <w:rsid w:val="00690DF7"/>
    <w:rsid w:val="0069196A"/>
    <w:rsid w:val="00691B48"/>
    <w:rsid w:val="00691BDA"/>
    <w:rsid w:val="00692E1C"/>
    <w:rsid w:val="00694144"/>
    <w:rsid w:val="00694891"/>
    <w:rsid w:val="006949BA"/>
    <w:rsid w:val="00694DDC"/>
    <w:rsid w:val="00695B97"/>
    <w:rsid w:val="00696B5D"/>
    <w:rsid w:val="00697009"/>
    <w:rsid w:val="0069730A"/>
    <w:rsid w:val="00697663"/>
    <w:rsid w:val="006A0D2A"/>
    <w:rsid w:val="006A1766"/>
    <w:rsid w:val="006A1B00"/>
    <w:rsid w:val="006A1EE0"/>
    <w:rsid w:val="006A2C94"/>
    <w:rsid w:val="006A3884"/>
    <w:rsid w:val="006A39C8"/>
    <w:rsid w:val="006A3D09"/>
    <w:rsid w:val="006A5266"/>
    <w:rsid w:val="006A54BB"/>
    <w:rsid w:val="006A6019"/>
    <w:rsid w:val="006A7F68"/>
    <w:rsid w:val="006B09BB"/>
    <w:rsid w:val="006B1BAB"/>
    <w:rsid w:val="006B2D6A"/>
    <w:rsid w:val="006B48A4"/>
    <w:rsid w:val="006B4BF8"/>
    <w:rsid w:val="006B55AC"/>
    <w:rsid w:val="006B5C41"/>
    <w:rsid w:val="006B5F69"/>
    <w:rsid w:val="006B6240"/>
    <w:rsid w:val="006B6302"/>
    <w:rsid w:val="006B6BD4"/>
    <w:rsid w:val="006B79AA"/>
    <w:rsid w:val="006C0276"/>
    <w:rsid w:val="006C0BCA"/>
    <w:rsid w:val="006C0CD7"/>
    <w:rsid w:val="006C0F4D"/>
    <w:rsid w:val="006C20C2"/>
    <w:rsid w:val="006C3030"/>
    <w:rsid w:val="006C3886"/>
    <w:rsid w:val="006C3991"/>
    <w:rsid w:val="006C3FEA"/>
    <w:rsid w:val="006C494A"/>
    <w:rsid w:val="006C4E01"/>
    <w:rsid w:val="006C52FF"/>
    <w:rsid w:val="006C655C"/>
    <w:rsid w:val="006C6CE7"/>
    <w:rsid w:val="006C6DA4"/>
    <w:rsid w:val="006D0790"/>
    <w:rsid w:val="006D09DD"/>
    <w:rsid w:val="006D28D3"/>
    <w:rsid w:val="006D2ADC"/>
    <w:rsid w:val="006D2B1C"/>
    <w:rsid w:val="006D30B4"/>
    <w:rsid w:val="006D34C4"/>
    <w:rsid w:val="006D428A"/>
    <w:rsid w:val="006D429A"/>
    <w:rsid w:val="006D52B0"/>
    <w:rsid w:val="006D59B0"/>
    <w:rsid w:val="006D6B3E"/>
    <w:rsid w:val="006D760C"/>
    <w:rsid w:val="006D7818"/>
    <w:rsid w:val="006D7C2F"/>
    <w:rsid w:val="006D7DE9"/>
    <w:rsid w:val="006E01E9"/>
    <w:rsid w:val="006E0223"/>
    <w:rsid w:val="006E0381"/>
    <w:rsid w:val="006E0528"/>
    <w:rsid w:val="006E08FF"/>
    <w:rsid w:val="006E0FCC"/>
    <w:rsid w:val="006E1E44"/>
    <w:rsid w:val="006E2681"/>
    <w:rsid w:val="006E2EDA"/>
    <w:rsid w:val="006E391C"/>
    <w:rsid w:val="006E397C"/>
    <w:rsid w:val="006E3DED"/>
    <w:rsid w:val="006E42B5"/>
    <w:rsid w:val="006E4B25"/>
    <w:rsid w:val="006E5726"/>
    <w:rsid w:val="006E5A70"/>
    <w:rsid w:val="006E5F27"/>
    <w:rsid w:val="006E6555"/>
    <w:rsid w:val="006E756D"/>
    <w:rsid w:val="006E7624"/>
    <w:rsid w:val="006E7970"/>
    <w:rsid w:val="006E7F86"/>
    <w:rsid w:val="006F0576"/>
    <w:rsid w:val="006F0BC7"/>
    <w:rsid w:val="006F0C78"/>
    <w:rsid w:val="006F10B1"/>
    <w:rsid w:val="006F1549"/>
    <w:rsid w:val="006F23DC"/>
    <w:rsid w:val="006F240A"/>
    <w:rsid w:val="006F2ADC"/>
    <w:rsid w:val="006F2B1B"/>
    <w:rsid w:val="006F2BA4"/>
    <w:rsid w:val="006F3129"/>
    <w:rsid w:val="006F4132"/>
    <w:rsid w:val="006F46FA"/>
    <w:rsid w:val="006F4B78"/>
    <w:rsid w:val="006F5D3B"/>
    <w:rsid w:val="006F62BC"/>
    <w:rsid w:val="006F64BE"/>
    <w:rsid w:val="006F68A2"/>
    <w:rsid w:val="006F72FC"/>
    <w:rsid w:val="006F7850"/>
    <w:rsid w:val="007004D4"/>
    <w:rsid w:val="007010CE"/>
    <w:rsid w:val="0070121D"/>
    <w:rsid w:val="00701A59"/>
    <w:rsid w:val="00701D13"/>
    <w:rsid w:val="007021AD"/>
    <w:rsid w:val="00702450"/>
    <w:rsid w:val="007040E9"/>
    <w:rsid w:val="00704C37"/>
    <w:rsid w:val="007059A7"/>
    <w:rsid w:val="007063D4"/>
    <w:rsid w:val="00706ABB"/>
    <w:rsid w:val="0070705E"/>
    <w:rsid w:val="00707A3A"/>
    <w:rsid w:val="00707C42"/>
    <w:rsid w:val="0071050D"/>
    <w:rsid w:val="00710770"/>
    <w:rsid w:val="00710824"/>
    <w:rsid w:val="00711BCC"/>
    <w:rsid w:val="00713216"/>
    <w:rsid w:val="00713369"/>
    <w:rsid w:val="00714448"/>
    <w:rsid w:val="00714EAD"/>
    <w:rsid w:val="007156AC"/>
    <w:rsid w:val="00715F1E"/>
    <w:rsid w:val="00716857"/>
    <w:rsid w:val="00716AEF"/>
    <w:rsid w:val="00717282"/>
    <w:rsid w:val="00717ABD"/>
    <w:rsid w:val="00717ACE"/>
    <w:rsid w:val="00717FD7"/>
    <w:rsid w:val="00720040"/>
    <w:rsid w:val="00720949"/>
    <w:rsid w:val="00720BAF"/>
    <w:rsid w:val="007212F7"/>
    <w:rsid w:val="00721561"/>
    <w:rsid w:val="00721752"/>
    <w:rsid w:val="00722B3B"/>
    <w:rsid w:val="00722CF0"/>
    <w:rsid w:val="00722DD4"/>
    <w:rsid w:val="00724CBA"/>
    <w:rsid w:val="00725F2C"/>
    <w:rsid w:val="00726972"/>
    <w:rsid w:val="00727037"/>
    <w:rsid w:val="00727370"/>
    <w:rsid w:val="00730127"/>
    <w:rsid w:val="00731CEA"/>
    <w:rsid w:val="00731D93"/>
    <w:rsid w:val="00731FF7"/>
    <w:rsid w:val="00732111"/>
    <w:rsid w:val="0073238B"/>
    <w:rsid w:val="00732D6C"/>
    <w:rsid w:val="007343FD"/>
    <w:rsid w:val="007348B9"/>
    <w:rsid w:val="007359B7"/>
    <w:rsid w:val="00735E25"/>
    <w:rsid w:val="00736545"/>
    <w:rsid w:val="00736892"/>
    <w:rsid w:val="00737EE7"/>
    <w:rsid w:val="007413B9"/>
    <w:rsid w:val="00742972"/>
    <w:rsid w:val="00742A98"/>
    <w:rsid w:val="00742D65"/>
    <w:rsid w:val="00744568"/>
    <w:rsid w:val="00744E49"/>
    <w:rsid w:val="007452B2"/>
    <w:rsid w:val="007455B5"/>
    <w:rsid w:val="00745764"/>
    <w:rsid w:val="00747250"/>
    <w:rsid w:val="00747C9D"/>
    <w:rsid w:val="00747D05"/>
    <w:rsid w:val="00750BFC"/>
    <w:rsid w:val="007510F9"/>
    <w:rsid w:val="00751C0F"/>
    <w:rsid w:val="00751FC9"/>
    <w:rsid w:val="00752036"/>
    <w:rsid w:val="00752315"/>
    <w:rsid w:val="00753610"/>
    <w:rsid w:val="007543B0"/>
    <w:rsid w:val="0075555B"/>
    <w:rsid w:val="007568A9"/>
    <w:rsid w:val="00757C9B"/>
    <w:rsid w:val="00757DBD"/>
    <w:rsid w:val="00760563"/>
    <w:rsid w:val="007606D5"/>
    <w:rsid w:val="00760FE5"/>
    <w:rsid w:val="007616BB"/>
    <w:rsid w:val="007620C5"/>
    <w:rsid w:val="007622A9"/>
    <w:rsid w:val="0076246E"/>
    <w:rsid w:val="00763213"/>
    <w:rsid w:val="00764BDC"/>
    <w:rsid w:val="00764E09"/>
    <w:rsid w:val="00767B6E"/>
    <w:rsid w:val="007710AF"/>
    <w:rsid w:val="00771AC3"/>
    <w:rsid w:val="007724D2"/>
    <w:rsid w:val="00773A6E"/>
    <w:rsid w:val="007742BE"/>
    <w:rsid w:val="00774849"/>
    <w:rsid w:val="00774F82"/>
    <w:rsid w:val="00775AD5"/>
    <w:rsid w:val="00775B66"/>
    <w:rsid w:val="0077639A"/>
    <w:rsid w:val="00776903"/>
    <w:rsid w:val="00776AB5"/>
    <w:rsid w:val="00780BFA"/>
    <w:rsid w:val="0078100C"/>
    <w:rsid w:val="0078121D"/>
    <w:rsid w:val="00781444"/>
    <w:rsid w:val="007819FC"/>
    <w:rsid w:val="00782780"/>
    <w:rsid w:val="007827EA"/>
    <w:rsid w:val="00782D5D"/>
    <w:rsid w:val="007838F4"/>
    <w:rsid w:val="00783A6E"/>
    <w:rsid w:val="00783C39"/>
    <w:rsid w:val="00783DA6"/>
    <w:rsid w:val="00784113"/>
    <w:rsid w:val="007841DD"/>
    <w:rsid w:val="00784412"/>
    <w:rsid w:val="0078457E"/>
    <w:rsid w:val="00784BE2"/>
    <w:rsid w:val="007854E6"/>
    <w:rsid w:val="00785990"/>
    <w:rsid w:val="00785D2D"/>
    <w:rsid w:val="00786631"/>
    <w:rsid w:val="0078772C"/>
    <w:rsid w:val="007878E4"/>
    <w:rsid w:val="007908F2"/>
    <w:rsid w:val="00790D65"/>
    <w:rsid w:val="00791408"/>
    <w:rsid w:val="00791824"/>
    <w:rsid w:val="00791DD8"/>
    <w:rsid w:val="00793A23"/>
    <w:rsid w:val="00794908"/>
    <w:rsid w:val="007957F4"/>
    <w:rsid w:val="00796B5E"/>
    <w:rsid w:val="007A07C5"/>
    <w:rsid w:val="007A0AEE"/>
    <w:rsid w:val="007A148E"/>
    <w:rsid w:val="007A1EBF"/>
    <w:rsid w:val="007A1FCB"/>
    <w:rsid w:val="007A203D"/>
    <w:rsid w:val="007A22B8"/>
    <w:rsid w:val="007A232D"/>
    <w:rsid w:val="007A2761"/>
    <w:rsid w:val="007A2DD5"/>
    <w:rsid w:val="007A2E80"/>
    <w:rsid w:val="007A2F1B"/>
    <w:rsid w:val="007A32AF"/>
    <w:rsid w:val="007A3CC1"/>
    <w:rsid w:val="007A426D"/>
    <w:rsid w:val="007A4272"/>
    <w:rsid w:val="007A43CA"/>
    <w:rsid w:val="007A47D5"/>
    <w:rsid w:val="007A4BA6"/>
    <w:rsid w:val="007A5191"/>
    <w:rsid w:val="007A5BDF"/>
    <w:rsid w:val="007A62C2"/>
    <w:rsid w:val="007A6991"/>
    <w:rsid w:val="007A7452"/>
    <w:rsid w:val="007B032E"/>
    <w:rsid w:val="007B0491"/>
    <w:rsid w:val="007B0E63"/>
    <w:rsid w:val="007B2135"/>
    <w:rsid w:val="007B2C29"/>
    <w:rsid w:val="007B337A"/>
    <w:rsid w:val="007B3AE8"/>
    <w:rsid w:val="007B3D5C"/>
    <w:rsid w:val="007B3DFE"/>
    <w:rsid w:val="007B4131"/>
    <w:rsid w:val="007B4418"/>
    <w:rsid w:val="007B559A"/>
    <w:rsid w:val="007B6E8F"/>
    <w:rsid w:val="007B7156"/>
    <w:rsid w:val="007B7460"/>
    <w:rsid w:val="007B78CB"/>
    <w:rsid w:val="007B7BE4"/>
    <w:rsid w:val="007B7F67"/>
    <w:rsid w:val="007C06FC"/>
    <w:rsid w:val="007C173D"/>
    <w:rsid w:val="007C1822"/>
    <w:rsid w:val="007C2380"/>
    <w:rsid w:val="007C2E95"/>
    <w:rsid w:val="007C34FB"/>
    <w:rsid w:val="007C3A9E"/>
    <w:rsid w:val="007C3E82"/>
    <w:rsid w:val="007C4079"/>
    <w:rsid w:val="007C44A6"/>
    <w:rsid w:val="007C56B0"/>
    <w:rsid w:val="007C5EEE"/>
    <w:rsid w:val="007C64EB"/>
    <w:rsid w:val="007C662E"/>
    <w:rsid w:val="007C6748"/>
    <w:rsid w:val="007C6F14"/>
    <w:rsid w:val="007C6FFC"/>
    <w:rsid w:val="007C7420"/>
    <w:rsid w:val="007D0396"/>
    <w:rsid w:val="007D24C0"/>
    <w:rsid w:val="007D2761"/>
    <w:rsid w:val="007D314C"/>
    <w:rsid w:val="007D3A37"/>
    <w:rsid w:val="007D3AA0"/>
    <w:rsid w:val="007D3B44"/>
    <w:rsid w:val="007D3C69"/>
    <w:rsid w:val="007D42F4"/>
    <w:rsid w:val="007D4598"/>
    <w:rsid w:val="007D478F"/>
    <w:rsid w:val="007D4D8C"/>
    <w:rsid w:val="007D5051"/>
    <w:rsid w:val="007D528E"/>
    <w:rsid w:val="007D57C3"/>
    <w:rsid w:val="007D5BFE"/>
    <w:rsid w:val="007D5ECF"/>
    <w:rsid w:val="007D6228"/>
    <w:rsid w:val="007D635E"/>
    <w:rsid w:val="007D6634"/>
    <w:rsid w:val="007D697B"/>
    <w:rsid w:val="007D727B"/>
    <w:rsid w:val="007E00E1"/>
    <w:rsid w:val="007E09B1"/>
    <w:rsid w:val="007E1394"/>
    <w:rsid w:val="007E1795"/>
    <w:rsid w:val="007E1CF7"/>
    <w:rsid w:val="007E2815"/>
    <w:rsid w:val="007E2F0D"/>
    <w:rsid w:val="007E2F7E"/>
    <w:rsid w:val="007E318F"/>
    <w:rsid w:val="007E382B"/>
    <w:rsid w:val="007E6CA8"/>
    <w:rsid w:val="007E6EB0"/>
    <w:rsid w:val="007E774E"/>
    <w:rsid w:val="007E7D28"/>
    <w:rsid w:val="007F0287"/>
    <w:rsid w:val="007F241C"/>
    <w:rsid w:val="007F2487"/>
    <w:rsid w:val="007F24FD"/>
    <w:rsid w:val="007F38AB"/>
    <w:rsid w:val="007F3970"/>
    <w:rsid w:val="007F3A7E"/>
    <w:rsid w:val="007F44A0"/>
    <w:rsid w:val="007F509E"/>
    <w:rsid w:val="007F5970"/>
    <w:rsid w:val="007F5A3C"/>
    <w:rsid w:val="007F5B3A"/>
    <w:rsid w:val="007F5DE8"/>
    <w:rsid w:val="007F6349"/>
    <w:rsid w:val="007F6C12"/>
    <w:rsid w:val="007F7076"/>
    <w:rsid w:val="007F727A"/>
    <w:rsid w:val="007F77B6"/>
    <w:rsid w:val="007F7CD0"/>
    <w:rsid w:val="00800A75"/>
    <w:rsid w:val="00801DD3"/>
    <w:rsid w:val="00801DE2"/>
    <w:rsid w:val="008034B2"/>
    <w:rsid w:val="008034CF"/>
    <w:rsid w:val="00803AFA"/>
    <w:rsid w:val="00803EF3"/>
    <w:rsid w:val="00804218"/>
    <w:rsid w:val="00805CC9"/>
    <w:rsid w:val="00805EB4"/>
    <w:rsid w:val="008064A9"/>
    <w:rsid w:val="00807158"/>
    <w:rsid w:val="008104B1"/>
    <w:rsid w:val="00810603"/>
    <w:rsid w:val="00811954"/>
    <w:rsid w:val="00811CF2"/>
    <w:rsid w:val="0081211C"/>
    <w:rsid w:val="0081244E"/>
    <w:rsid w:val="0081358D"/>
    <w:rsid w:val="008135EF"/>
    <w:rsid w:val="008146FF"/>
    <w:rsid w:val="00814A67"/>
    <w:rsid w:val="00814BDD"/>
    <w:rsid w:val="00814FDE"/>
    <w:rsid w:val="00815212"/>
    <w:rsid w:val="008154D6"/>
    <w:rsid w:val="00815524"/>
    <w:rsid w:val="008161B7"/>
    <w:rsid w:val="0081669D"/>
    <w:rsid w:val="00816DFD"/>
    <w:rsid w:val="008170BE"/>
    <w:rsid w:val="00817AD7"/>
    <w:rsid w:val="00817B83"/>
    <w:rsid w:val="00820F9B"/>
    <w:rsid w:val="00821766"/>
    <w:rsid w:val="00821938"/>
    <w:rsid w:val="00821CC0"/>
    <w:rsid w:val="00822468"/>
    <w:rsid w:val="008224A4"/>
    <w:rsid w:val="00823739"/>
    <w:rsid w:val="00823A00"/>
    <w:rsid w:val="00824003"/>
    <w:rsid w:val="008244C4"/>
    <w:rsid w:val="00824687"/>
    <w:rsid w:val="0082487F"/>
    <w:rsid w:val="00824A2E"/>
    <w:rsid w:val="00824AE3"/>
    <w:rsid w:val="00825447"/>
    <w:rsid w:val="00825AD8"/>
    <w:rsid w:val="0082685C"/>
    <w:rsid w:val="00827940"/>
    <w:rsid w:val="00827DE6"/>
    <w:rsid w:val="00827FBB"/>
    <w:rsid w:val="008305B8"/>
    <w:rsid w:val="008305DB"/>
    <w:rsid w:val="0083103D"/>
    <w:rsid w:val="00831C64"/>
    <w:rsid w:val="008322B3"/>
    <w:rsid w:val="008326DF"/>
    <w:rsid w:val="0083324D"/>
    <w:rsid w:val="008333CE"/>
    <w:rsid w:val="0083378A"/>
    <w:rsid w:val="0083429F"/>
    <w:rsid w:val="00834DB4"/>
    <w:rsid w:val="00836AB3"/>
    <w:rsid w:val="00837590"/>
    <w:rsid w:val="008378E1"/>
    <w:rsid w:val="008406AC"/>
    <w:rsid w:val="00840CEB"/>
    <w:rsid w:val="00840E51"/>
    <w:rsid w:val="00841733"/>
    <w:rsid w:val="00841E31"/>
    <w:rsid w:val="00842227"/>
    <w:rsid w:val="008424AC"/>
    <w:rsid w:val="0084255B"/>
    <w:rsid w:val="008430CA"/>
    <w:rsid w:val="00843404"/>
    <w:rsid w:val="00843F64"/>
    <w:rsid w:val="00844183"/>
    <w:rsid w:val="00844C15"/>
    <w:rsid w:val="00845F99"/>
    <w:rsid w:val="008478A7"/>
    <w:rsid w:val="00847AC7"/>
    <w:rsid w:val="00850030"/>
    <w:rsid w:val="00850BC6"/>
    <w:rsid w:val="008513B7"/>
    <w:rsid w:val="00851692"/>
    <w:rsid w:val="008522F9"/>
    <w:rsid w:val="00852327"/>
    <w:rsid w:val="00852A6B"/>
    <w:rsid w:val="008532B9"/>
    <w:rsid w:val="008536DB"/>
    <w:rsid w:val="00853BC2"/>
    <w:rsid w:val="0085464E"/>
    <w:rsid w:val="00854B0D"/>
    <w:rsid w:val="0085535A"/>
    <w:rsid w:val="008558C9"/>
    <w:rsid w:val="008559BB"/>
    <w:rsid w:val="00855FBA"/>
    <w:rsid w:val="0085650D"/>
    <w:rsid w:val="00856FF8"/>
    <w:rsid w:val="00857315"/>
    <w:rsid w:val="0085761E"/>
    <w:rsid w:val="0085798E"/>
    <w:rsid w:val="00857C96"/>
    <w:rsid w:val="00857CFA"/>
    <w:rsid w:val="008600BA"/>
    <w:rsid w:val="00860481"/>
    <w:rsid w:val="00860D8E"/>
    <w:rsid w:val="00860FBE"/>
    <w:rsid w:val="0086236A"/>
    <w:rsid w:val="00862D33"/>
    <w:rsid w:val="00862EC0"/>
    <w:rsid w:val="00863880"/>
    <w:rsid w:val="00863B5C"/>
    <w:rsid w:val="00864BB3"/>
    <w:rsid w:val="00865D6C"/>
    <w:rsid w:val="00865DB6"/>
    <w:rsid w:val="00865E10"/>
    <w:rsid w:val="0086627F"/>
    <w:rsid w:val="0086645E"/>
    <w:rsid w:val="00866AD3"/>
    <w:rsid w:val="0086719F"/>
    <w:rsid w:val="00867C71"/>
    <w:rsid w:val="00870758"/>
    <w:rsid w:val="008713F9"/>
    <w:rsid w:val="008728BE"/>
    <w:rsid w:val="008729A7"/>
    <w:rsid w:val="00872A9F"/>
    <w:rsid w:val="00872BC0"/>
    <w:rsid w:val="008734BC"/>
    <w:rsid w:val="008738B4"/>
    <w:rsid w:val="00873BF7"/>
    <w:rsid w:val="00874295"/>
    <w:rsid w:val="00875629"/>
    <w:rsid w:val="00875A11"/>
    <w:rsid w:val="00875CEA"/>
    <w:rsid w:val="0087664D"/>
    <w:rsid w:val="008767CC"/>
    <w:rsid w:val="0087687F"/>
    <w:rsid w:val="00876E2C"/>
    <w:rsid w:val="0087709B"/>
    <w:rsid w:val="00877C1A"/>
    <w:rsid w:val="0088031D"/>
    <w:rsid w:val="00882ADC"/>
    <w:rsid w:val="00882F91"/>
    <w:rsid w:val="0088363E"/>
    <w:rsid w:val="00883E89"/>
    <w:rsid w:val="00883F91"/>
    <w:rsid w:val="00884EB3"/>
    <w:rsid w:val="00886591"/>
    <w:rsid w:val="00886B79"/>
    <w:rsid w:val="00890E0D"/>
    <w:rsid w:val="008916E2"/>
    <w:rsid w:val="00891762"/>
    <w:rsid w:val="00891959"/>
    <w:rsid w:val="00892629"/>
    <w:rsid w:val="00892762"/>
    <w:rsid w:val="00893917"/>
    <w:rsid w:val="008959D7"/>
    <w:rsid w:val="00895A98"/>
    <w:rsid w:val="008966F0"/>
    <w:rsid w:val="00896B35"/>
    <w:rsid w:val="008970E3"/>
    <w:rsid w:val="008971D6"/>
    <w:rsid w:val="008A02BA"/>
    <w:rsid w:val="008A0DDE"/>
    <w:rsid w:val="008A1B43"/>
    <w:rsid w:val="008A254F"/>
    <w:rsid w:val="008A28F9"/>
    <w:rsid w:val="008A2C40"/>
    <w:rsid w:val="008A4477"/>
    <w:rsid w:val="008A4557"/>
    <w:rsid w:val="008A4645"/>
    <w:rsid w:val="008A5B1F"/>
    <w:rsid w:val="008A5F2C"/>
    <w:rsid w:val="008A65A0"/>
    <w:rsid w:val="008A6F4A"/>
    <w:rsid w:val="008B0138"/>
    <w:rsid w:val="008B02A7"/>
    <w:rsid w:val="008B0560"/>
    <w:rsid w:val="008B0783"/>
    <w:rsid w:val="008B0EB9"/>
    <w:rsid w:val="008B13D0"/>
    <w:rsid w:val="008B1DD0"/>
    <w:rsid w:val="008B1EDA"/>
    <w:rsid w:val="008B3228"/>
    <w:rsid w:val="008B39D1"/>
    <w:rsid w:val="008B4236"/>
    <w:rsid w:val="008B493E"/>
    <w:rsid w:val="008B675E"/>
    <w:rsid w:val="008B6DBA"/>
    <w:rsid w:val="008B76A7"/>
    <w:rsid w:val="008C01E5"/>
    <w:rsid w:val="008C02CB"/>
    <w:rsid w:val="008C19F2"/>
    <w:rsid w:val="008C2291"/>
    <w:rsid w:val="008C2472"/>
    <w:rsid w:val="008C318C"/>
    <w:rsid w:val="008C3317"/>
    <w:rsid w:val="008C3420"/>
    <w:rsid w:val="008C41CB"/>
    <w:rsid w:val="008C6667"/>
    <w:rsid w:val="008C78C8"/>
    <w:rsid w:val="008C7905"/>
    <w:rsid w:val="008D0648"/>
    <w:rsid w:val="008D0905"/>
    <w:rsid w:val="008D0FD8"/>
    <w:rsid w:val="008D10EF"/>
    <w:rsid w:val="008D1187"/>
    <w:rsid w:val="008D15C5"/>
    <w:rsid w:val="008D1BB2"/>
    <w:rsid w:val="008D1FD4"/>
    <w:rsid w:val="008D2C2E"/>
    <w:rsid w:val="008D2FB6"/>
    <w:rsid w:val="008D3767"/>
    <w:rsid w:val="008D439F"/>
    <w:rsid w:val="008D5E8A"/>
    <w:rsid w:val="008D688D"/>
    <w:rsid w:val="008D7487"/>
    <w:rsid w:val="008D7524"/>
    <w:rsid w:val="008D75E8"/>
    <w:rsid w:val="008E0F51"/>
    <w:rsid w:val="008E10E9"/>
    <w:rsid w:val="008E128F"/>
    <w:rsid w:val="008E1A14"/>
    <w:rsid w:val="008E2821"/>
    <w:rsid w:val="008E3F85"/>
    <w:rsid w:val="008E4C54"/>
    <w:rsid w:val="008E5268"/>
    <w:rsid w:val="008E5602"/>
    <w:rsid w:val="008E5D09"/>
    <w:rsid w:val="008E5D5D"/>
    <w:rsid w:val="008E657A"/>
    <w:rsid w:val="008E6C5B"/>
    <w:rsid w:val="008E726A"/>
    <w:rsid w:val="008E7710"/>
    <w:rsid w:val="008E7C8E"/>
    <w:rsid w:val="008F053C"/>
    <w:rsid w:val="008F0AB6"/>
    <w:rsid w:val="008F0B1A"/>
    <w:rsid w:val="008F0E7F"/>
    <w:rsid w:val="008F246C"/>
    <w:rsid w:val="008F250B"/>
    <w:rsid w:val="008F2C6B"/>
    <w:rsid w:val="008F46B9"/>
    <w:rsid w:val="008F49C5"/>
    <w:rsid w:val="008F55E3"/>
    <w:rsid w:val="008F606B"/>
    <w:rsid w:val="008F6D32"/>
    <w:rsid w:val="008F6DCA"/>
    <w:rsid w:val="009004D4"/>
    <w:rsid w:val="00901122"/>
    <w:rsid w:val="00901A60"/>
    <w:rsid w:val="00901F0B"/>
    <w:rsid w:val="00901F94"/>
    <w:rsid w:val="009027D2"/>
    <w:rsid w:val="00902DAD"/>
    <w:rsid w:val="009036A4"/>
    <w:rsid w:val="00903CA8"/>
    <w:rsid w:val="00903F34"/>
    <w:rsid w:val="00904147"/>
    <w:rsid w:val="0090558D"/>
    <w:rsid w:val="00906519"/>
    <w:rsid w:val="009078F5"/>
    <w:rsid w:val="00907D4E"/>
    <w:rsid w:val="0091039F"/>
    <w:rsid w:val="00911F75"/>
    <w:rsid w:val="009122A1"/>
    <w:rsid w:val="009122C0"/>
    <w:rsid w:val="00912316"/>
    <w:rsid w:val="009129CC"/>
    <w:rsid w:val="00912C58"/>
    <w:rsid w:val="009136BF"/>
    <w:rsid w:val="00913A64"/>
    <w:rsid w:val="00914155"/>
    <w:rsid w:val="009143DC"/>
    <w:rsid w:val="009146B3"/>
    <w:rsid w:val="0091493B"/>
    <w:rsid w:val="0091493E"/>
    <w:rsid w:val="00915D0D"/>
    <w:rsid w:val="00915EA4"/>
    <w:rsid w:val="00915FAB"/>
    <w:rsid w:val="009168D0"/>
    <w:rsid w:val="00916F96"/>
    <w:rsid w:val="009170FC"/>
    <w:rsid w:val="00917E05"/>
    <w:rsid w:val="00917F01"/>
    <w:rsid w:val="00920080"/>
    <w:rsid w:val="009200D2"/>
    <w:rsid w:val="00920345"/>
    <w:rsid w:val="00920B4A"/>
    <w:rsid w:val="009211F6"/>
    <w:rsid w:val="00921478"/>
    <w:rsid w:val="00921BB6"/>
    <w:rsid w:val="00921D1C"/>
    <w:rsid w:val="00922A66"/>
    <w:rsid w:val="00922B86"/>
    <w:rsid w:val="00922DB9"/>
    <w:rsid w:val="00923050"/>
    <w:rsid w:val="009239E4"/>
    <w:rsid w:val="00924504"/>
    <w:rsid w:val="009245D7"/>
    <w:rsid w:val="00924A46"/>
    <w:rsid w:val="009251C9"/>
    <w:rsid w:val="0092637A"/>
    <w:rsid w:val="00926783"/>
    <w:rsid w:val="00926941"/>
    <w:rsid w:val="00926AC4"/>
    <w:rsid w:val="00927547"/>
    <w:rsid w:val="0092771C"/>
    <w:rsid w:val="0093002C"/>
    <w:rsid w:val="00930147"/>
    <w:rsid w:val="00930407"/>
    <w:rsid w:val="00930E63"/>
    <w:rsid w:val="009316B7"/>
    <w:rsid w:val="00931BCB"/>
    <w:rsid w:val="00932A39"/>
    <w:rsid w:val="00932A84"/>
    <w:rsid w:val="0093300D"/>
    <w:rsid w:val="00934005"/>
    <w:rsid w:val="0093438E"/>
    <w:rsid w:val="00934A95"/>
    <w:rsid w:val="00934D0F"/>
    <w:rsid w:val="00935580"/>
    <w:rsid w:val="009358F8"/>
    <w:rsid w:val="00936368"/>
    <w:rsid w:val="00937718"/>
    <w:rsid w:val="00937B36"/>
    <w:rsid w:val="009403A0"/>
    <w:rsid w:val="00940B59"/>
    <w:rsid w:val="00941268"/>
    <w:rsid w:val="00941D36"/>
    <w:rsid w:val="00942436"/>
    <w:rsid w:val="009425DF"/>
    <w:rsid w:val="00942F2B"/>
    <w:rsid w:val="009430A5"/>
    <w:rsid w:val="009432CB"/>
    <w:rsid w:val="00943716"/>
    <w:rsid w:val="00943D3E"/>
    <w:rsid w:val="009440E8"/>
    <w:rsid w:val="009446ED"/>
    <w:rsid w:val="009458EB"/>
    <w:rsid w:val="00946A92"/>
    <w:rsid w:val="009470C5"/>
    <w:rsid w:val="0094756A"/>
    <w:rsid w:val="00947D67"/>
    <w:rsid w:val="00947F47"/>
    <w:rsid w:val="00950B4B"/>
    <w:rsid w:val="00951B2B"/>
    <w:rsid w:val="00951E43"/>
    <w:rsid w:val="00951F63"/>
    <w:rsid w:val="00952478"/>
    <w:rsid w:val="00952831"/>
    <w:rsid w:val="00952981"/>
    <w:rsid w:val="00952A3D"/>
    <w:rsid w:val="00953162"/>
    <w:rsid w:val="0095356A"/>
    <w:rsid w:val="00953A48"/>
    <w:rsid w:val="00954C32"/>
    <w:rsid w:val="00954D1A"/>
    <w:rsid w:val="009551DB"/>
    <w:rsid w:val="009552D4"/>
    <w:rsid w:val="00955D7B"/>
    <w:rsid w:val="00956422"/>
    <w:rsid w:val="009568B5"/>
    <w:rsid w:val="00956BAC"/>
    <w:rsid w:val="0095737F"/>
    <w:rsid w:val="00957A1D"/>
    <w:rsid w:val="00957CA3"/>
    <w:rsid w:val="0096067C"/>
    <w:rsid w:val="00960955"/>
    <w:rsid w:val="00962245"/>
    <w:rsid w:val="00962691"/>
    <w:rsid w:val="00962B26"/>
    <w:rsid w:val="00963818"/>
    <w:rsid w:val="00964208"/>
    <w:rsid w:val="00964D96"/>
    <w:rsid w:val="00965C10"/>
    <w:rsid w:val="00965C63"/>
    <w:rsid w:val="00965E46"/>
    <w:rsid w:val="0096733E"/>
    <w:rsid w:val="0096742A"/>
    <w:rsid w:val="009677C1"/>
    <w:rsid w:val="00970646"/>
    <w:rsid w:val="00970F81"/>
    <w:rsid w:val="0097186F"/>
    <w:rsid w:val="0097236D"/>
    <w:rsid w:val="009727EC"/>
    <w:rsid w:val="00973300"/>
    <w:rsid w:val="0097351D"/>
    <w:rsid w:val="00974544"/>
    <w:rsid w:val="00974CD0"/>
    <w:rsid w:val="00974DAF"/>
    <w:rsid w:val="009763AA"/>
    <w:rsid w:val="00977721"/>
    <w:rsid w:val="0098019D"/>
    <w:rsid w:val="00980F0D"/>
    <w:rsid w:val="009819BD"/>
    <w:rsid w:val="00982309"/>
    <w:rsid w:val="0098384C"/>
    <w:rsid w:val="00985537"/>
    <w:rsid w:val="00985BAE"/>
    <w:rsid w:val="00987B1B"/>
    <w:rsid w:val="00987E99"/>
    <w:rsid w:val="00987EEF"/>
    <w:rsid w:val="0099030A"/>
    <w:rsid w:val="009907E6"/>
    <w:rsid w:val="00990C3D"/>
    <w:rsid w:val="00990C57"/>
    <w:rsid w:val="00992410"/>
    <w:rsid w:val="0099297B"/>
    <w:rsid w:val="00992D1E"/>
    <w:rsid w:val="009930B2"/>
    <w:rsid w:val="00993893"/>
    <w:rsid w:val="00993908"/>
    <w:rsid w:val="009949F8"/>
    <w:rsid w:val="00995505"/>
    <w:rsid w:val="009955BB"/>
    <w:rsid w:val="00995D34"/>
    <w:rsid w:val="0099619C"/>
    <w:rsid w:val="00996926"/>
    <w:rsid w:val="009971EC"/>
    <w:rsid w:val="009A0168"/>
    <w:rsid w:val="009A0751"/>
    <w:rsid w:val="009A077C"/>
    <w:rsid w:val="009A0788"/>
    <w:rsid w:val="009A178B"/>
    <w:rsid w:val="009A193A"/>
    <w:rsid w:val="009A2D72"/>
    <w:rsid w:val="009A395A"/>
    <w:rsid w:val="009A3D83"/>
    <w:rsid w:val="009A4933"/>
    <w:rsid w:val="009A4E61"/>
    <w:rsid w:val="009A64BB"/>
    <w:rsid w:val="009A6E96"/>
    <w:rsid w:val="009A72D1"/>
    <w:rsid w:val="009A78F5"/>
    <w:rsid w:val="009B19F1"/>
    <w:rsid w:val="009B1CDC"/>
    <w:rsid w:val="009B455F"/>
    <w:rsid w:val="009B4B4C"/>
    <w:rsid w:val="009B5017"/>
    <w:rsid w:val="009B5CAD"/>
    <w:rsid w:val="009B61F1"/>
    <w:rsid w:val="009B6890"/>
    <w:rsid w:val="009B6F76"/>
    <w:rsid w:val="009B7519"/>
    <w:rsid w:val="009C00AF"/>
    <w:rsid w:val="009C0A33"/>
    <w:rsid w:val="009C0A7A"/>
    <w:rsid w:val="009C1107"/>
    <w:rsid w:val="009C155F"/>
    <w:rsid w:val="009C1B78"/>
    <w:rsid w:val="009C1E8E"/>
    <w:rsid w:val="009C2223"/>
    <w:rsid w:val="009C35D5"/>
    <w:rsid w:val="009C3CD4"/>
    <w:rsid w:val="009C419B"/>
    <w:rsid w:val="009C449E"/>
    <w:rsid w:val="009C480B"/>
    <w:rsid w:val="009C499C"/>
    <w:rsid w:val="009C5E66"/>
    <w:rsid w:val="009C5EAC"/>
    <w:rsid w:val="009C643E"/>
    <w:rsid w:val="009C64B8"/>
    <w:rsid w:val="009C6F38"/>
    <w:rsid w:val="009C75A5"/>
    <w:rsid w:val="009C7D54"/>
    <w:rsid w:val="009D021F"/>
    <w:rsid w:val="009D04EC"/>
    <w:rsid w:val="009D057B"/>
    <w:rsid w:val="009D0C82"/>
    <w:rsid w:val="009D0D86"/>
    <w:rsid w:val="009D12BD"/>
    <w:rsid w:val="009D16CC"/>
    <w:rsid w:val="009D1E82"/>
    <w:rsid w:val="009D1EAB"/>
    <w:rsid w:val="009D1EF4"/>
    <w:rsid w:val="009D29AA"/>
    <w:rsid w:val="009D3174"/>
    <w:rsid w:val="009D3687"/>
    <w:rsid w:val="009D46AE"/>
    <w:rsid w:val="009D5233"/>
    <w:rsid w:val="009D55C3"/>
    <w:rsid w:val="009D5741"/>
    <w:rsid w:val="009D59E0"/>
    <w:rsid w:val="009D5D98"/>
    <w:rsid w:val="009D6100"/>
    <w:rsid w:val="009D6D35"/>
    <w:rsid w:val="009D6E3C"/>
    <w:rsid w:val="009D7D33"/>
    <w:rsid w:val="009E1597"/>
    <w:rsid w:val="009E199A"/>
    <w:rsid w:val="009E19EB"/>
    <w:rsid w:val="009E26A1"/>
    <w:rsid w:val="009E2982"/>
    <w:rsid w:val="009E2AB9"/>
    <w:rsid w:val="009E3E8B"/>
    <w:rsid w:val="009E5099"/>
    <w:rsid w:val="009F0252"/>
    <w:rsid w:val="009F12E4"/>
    <w:rsid w:val="009F1547"/>
    <w:rsid w:val="009F27B3"/>
    <w:rsid w:val="009F2A43"/>
    <w:rsid w:val="009F383B"/>
    <w:rsid w:val="009F398E"/>
    <w:rsid w:val="009F3A05"/>
    <w:rsid w:val="009F3FC7"/>
    <w:rsid w:val="009F40D9"/>
    <w:rsid w:val="009F5022"/>
    <w:rsid w:val="009F5AA4"/>
    <w:rsid w:val="009F623B"/>
    <w:rsid w:val="009F6246"/>
    <w:rsid w:val="009F7E33"/>
    <w:rsid w:val="009F7FAE"/>
    <w:rsid w:val="00A00CF8"/>
    <w:rsid w:val="00A00DA5"/>
    <w:rsid w:val="00A019C2"/>
    <w:rsid w:val="00A01A36"/>
    <w:rsid w:val="00A01B25"/>
    <w:rsid w:val="00A01B45"/>
    <w:rsid w:val="00A024BC"/>
    <w:rsid w:val="00A02CE8"/>
    <w:rsid w:val="00A02EAA"/>
    <w:rsid w:val="00A0338C"/>
    <w:rsid w:val="00A034BC"/>
    <w:rsid w:val="00A03AD7"/>
    <w:rsid w:val="00A03DF8"/>
    <w:rsid w:val="00A03DFA"/>
    <w:rsid w:val="00A04C82"/>
    <w:rsid w:val="00A04F57"/>
    <w:rsid w:val="00A051EB"/>
    <w:rsid w:val="00A0686E"/>
    <w:rsid w:val="00A072EC"/>
    <w:rsid w:val="00A07F3D"/>
    <w:rsid w:val="00A106CC"/>
    <w:rsid w:val="00A108BD"/>
    <w:rsid w:val="00A10A4A"/>
    <w:rsid w:val="00A12417"/>
    <w:rsid w:val="00A13091"/>
    <w:rsid w:val="00A14173"/>
    <w:rsid w:val="00A14C15"/>
    <w:rsid w:val="00A14CE2"/>
    <w:rsid w:val="00A1573D"/>
    <w:rsid w:val="00A159D3"/>
    <w:rsid w:val="00A1670E"/>
    <w:rsid w:val="00A167C3"/>
    <w:rsid w:val="00A16D1F"/>
    <w:rsid w:val="00A17480"/>
    <w:rsid w:val="00A208EF"/>
    <w:rsid w:val="00A20A91"/>
    <w:rsid w:val="00A21582"/>
    <w:rsid w:val="00A222DD"/>
    <w:rsid w:val="00A227E2"/>
    <w:rsid w:val="00A22A54"/>
    <w:rsid w:val="00A23CB0"/>
    <w:rsid w:val="00A247EB"/>
    <w:rsid w:val="00A24AA2"/>
    <w:rsid w:val="00A24F03"/>
    <w:rsid w:val="00A2506F"/>
    <w:rsid w:val="00A25346"/>
    <w:rsid w:val="00A25F06"/>
    <w:rsid w:val="00A26DF2"/>
    <w:rsid w:val="00A2771F"/>
    <w:rsid w:val="00A27DEE"/>
    <w:rsid w:val="00A27E20"/>
    <w:rsid w:val="00A304E2"/>
    <w:rsid w:val="00A308F1"/>
    <w:rsid w:val="00A309D3"/>
    <w:rsid w:val="00A30E48"/>
    <w:rsid w:val="00A32165"/>
    <w:rsid w:val="00A32453"/>
    <w:rsid w:val="00A329F2"/>
    <w:rsid w:val="00A32F2D"/>
    <w:rsid w:val="00A333A5"/>
    <w:rsid w:val="00A3527D"/>
    <w:rsid w:val="00A35A5B"/>
    <w:rsid w:val="00A36172"/>
    <w:rsid w:val="00A36BEF"/>
    <w:rsid w:val="00A40AC1"/>
    <w:rsid w:val="00A40EF9"/>
    <w:rsid w:val="00A41062"/>
    <w:rsid w:val="00A41741"/>
    <w:rsid w:val="00A429AE"/>
    <w:rsid w:val="00A42D49"/>
    <w:rsid w:val="00A42F55"/>
    <w:rsid w:val="00A43320"/>
    <w:rsid w:val="00A444A0"/>
    <w:rsid w:val="00A44546"/>
    <w:rsid w:val="00A44F74"/>
    <w:rsid w:val="00A4562B"/>
    <w:rsid w:val="00A466F1"/>
    <w:rsid w:val="00A51295"/>
    <w:rsid w:val="00A513A6"/>
    <w:rsid w:val="00A5173A"/>
    <w:rsid w:val="00A51C59"/>
    <w:rsid w:val="00A51D9A"/>
    <w:rsid w:val="00A526AC"/>
    <w:rsid w:val="00A535E5"/>
    <w:rsid w:val="00A53AB4"/>
    <w:rsid w:val="00A54577"/>
    <w:rsid w:val="00A553F3"/>
    <w:rsid w:val="00A558AC"/>
    <w:rsid w:val="00A559BD"/>
    <w:rsid w:val="00A55B35"/>
    <w:rsid w:val="00A55B49"/>
    <w:rsid w:val="00A55D5C"/>
    <w:rsid w:val="00A55EF8"/>
    <w:rsid w:val="00A56097"/>
    <w:rsid w:val="00A60175"/>
    <w:rsid w:val="00A603C2"/>
    <w:rsid w:val="00A606B7"/>
    <w:rsid w:val="00A60B20"/>
    <w:rsid w:val="00A61381"/>
    <w:rsid w:val="00A62039"/>
    <w:rsid w:val="00A634AA"/>
    <w:rsid w:val="00A635D3"/>
    <w:rsid w:val="00A63C71"/>
    <w:rsid w:val="00A64F00"/>
    <w:rsid w:val="00A659EF"/>
    <w:rsid w:val="00A65CE8"/>
    <w:rsid w:val="00A65F77"/>
    <w:rsid w:val="00A66246"/>
    <w:rsid w:val="00A6634B"/>
    <w:rsid w:val="00A666B0"/>
    <w:rsid w:val="00A668C3"/>
    <w:rsid w:val="00A66BED"/>
    <w:rsid w:val="00A66F14"/>
    <w:rsid w:val="00A6707E"/>
    <w:rsid w:val="00A67923"/>
    <w:rsid w:val="00A67C12"/>
    <w:rsid w:val="00A67D87"/>
    <w:rsid w:val="00A70769"/>
    <w:rsid w:val="00A70B3B"/>
    <w:rsid w:val="00A70DAF"/>
    <w:rsid w:val="00A714D6"/>
    <w:rsid w:val="00A72D55"/>
    <w:rsid w:val="00A72E0E"/>
    <w:rsid w:val="00A73A25"/>
    <w:rsid w:val="00A742BA"/>
    <w:rsid w:val="00A74301"/>
    <w:rsid w:val="00A7443B"/>
    <w:rsid w:val="00A7464F"/>
    <w:rsid w:val="00A75C72"/>
    <w:rsid w:val="00A75CEC"/>
    <w:rsid w:val="00A75F8D"/>
    <w:rsid w:val="00A76940"/>
    <w:rsid w:val="00A7768D"/>
    <w:rsid w:val="00A80034"/>
    <w:rsid w:val="00A82960"/>
    <w:rsid w:val="00A82CAB"/>
    <w:rsid w:val="00A832A5"/>
    <w:rsid w:val="00A833D9"/>
    <w:rsid w:val="00A83D9E"/>
    <w:rsid w:val="00A84FA3"/>
    <w:rsid w:val="00A8501B"/>
    <w:rsid w:val="00A85644"/>
    <w:rsid w:val="00A85786"/>
    <w:rsid w:val="00A860DA"/>
    <w:rsid w:val="00A862F4"/>
    <w:rsid w:val="00A868BC"/>
    <w:rsid w:val="00A86942"/>
    <w:rsid w:val="00A8768B"/>
    <w:rsid w:val="00A87AB6"/>
    <w:rsid w:val="00A90031"/>
    <w:rsid w:val="00A910F0"/>
    <w:rsid w:val="00A91821"/>
    <w:rsid w:val="00A91E1A"/>
    <w:rsid w:val="00A922BD"/>
    <w:rsid w:val="00A922ED"/>
    <w:rsid w:val="00A9311E"/>
    <w:rsid w:val="00A932B5"/>
    <w:rsid w:val="00A93C00"/>
    <w:rsid w:val="00A94AB5"/>
    <w:rsid w:val="00A952B2"/>
    <w:rsid w:val="00A95597"/>
    <w:rsid w:val="00A96ECC"/>
    <w:rsid w:val="00A9759D"/>
    <w:rsid w:val="00A97DA0"/>
    <w:rsid w:val="00AA01BE"/>
    <w:rsid w:val="00AA0314"/>
    <w:rsid w:val="00AA032F"/>
    <w:rsid w:val="00AA034C"/>
    <w:rsid w:val="00AA16D0"/>
    <w:rsid w:val="00AA19A1"/>
    <w:rsid w:val="00AA1B97"/>
    <w:rsid w:val="00AA204C"/>
    <w:rsid w:val="00AA271E"/>
    <w:rsid w:val="00AA2B22"/>
    <w:rsid w:val="00AA2DF8"/>
    <w:rsid w:val="00AA5C75"/>
    <w:rsid w:val="00AA65E8"/>
    <w:rsid w:val="00AA6B98"/>
    <w:rsid w:val="00AA792C"/>
    <w:rsid w:val="00AA7A2E"/>
    <w:rsid w:val="00AA7E2D"/>
    <w:rsid w:val="00AB09EC"/>
    <w:rsid w:val="00AB14B6"/>
    <w:rsid w:val="00AB2504"/>
    <w:rsid w:val="00AB250A"/>
    <w:rsid w:val="00AB270A"/>
    <w:rsid w:val="00AB2889"/>
    <w:rsid w:val="00AB2BE2"/>
    <w:rsid w:val="00AB2E35"/>
    <w:rsid w:val="00AB2F18"/>
    <w:rsid w:val="00AB33BC"/>
    <w:rsid w:val="00AB42A6"/>
    <w:rsid w:val="00AB4312"/>
    <w:rsid w:val="00AB43A0"/>
    <w:rsid w:val="00AB44C9"/>
    <w:rsid w:val="00AB45E7"/>
    <w:rsid w:val="00AB472B"/>
    <w:rsid w:val="00AB4852"/>
    <w:rsid w:val="00AB4873"/>
    <w:rsid w:val="00AB5041"/>
    <w:rsid w:val="00AB50D3"/>
    <w:rsid w:val="00AB5454"/>
    <w:rsid w:val="00AB5CD2"/>
    <w:rsid w:val="00AB7DBD"/>
    <w:rsid w:val="00AC02C8"/>
    <w:rsid w:val="00AC1061"/>
    <w:rsid w:val="00AC2F6E"/>
    <w:rsid w:val="00AC3300"/>
    <w:rsid w:val="00AC39BA"/>
    <w:rsid w:val="00AC3A73"/>
    <w:rsid w:val="00AC3A87"/>
    <w:rsid w:val="00AC3D9F"/>
    <w:rsid w:val="00AC42DA"/>
    <w:rsid w:val="00AC446B"/>
    <w:rsid w:val="00AC459C"/>
    <w:rsid w:val="00AC4B16"/>
    <w:rsid w:val="00AC4E86"/>
    <w:rsid w:val="00AC57B8"/>
    <w:rsid w:val="00AC67B3"/>
    <w:rsid w:val="00AC6A34"/>
    <w:rsid w:val="00AC74DF"/>
    <w:rsid w:val="00AD01D4"/>
    <w:rsid w:val="00AD0C21"/>
    <w:rsid w:val="00AD0DBF"/>
    <w:rsid w:val="00AD0ED3"/>
    <w:rsid w:val="00AD2E77"/>
    <w:rsid w:val="00AD3026"/>
    <w:rsid w:val="00AD36CA"/>
    <w:rsid w:val="00AD390D"/>
    <w:rsid w:val="00AD3D25"/>
    <w:rsid w:val="00AD41AF"/>
    <w:rsid w:val="00AD4319"/>
    <w:rsid w:val="00AD4773"/>
    <w:rsid w:val="00AD4AF1"/>
    <w:rsid w:val="00AD4BE1"/>
    <w:rsid w:val="00AD5A4F"/>
    <w:rsid w:val="00AD6354"/>
    <w:rsid w:val="00AD6861"/>
    <w:rsid w:val="00AD6DAF"/>
    <w:rsid w:val="00AD7695"/>
    <w:rsid w:val="00AD7A0A"/>
    <w:rsid w:val="00AD7E63"/>
    <w:rsid w:val="00AD7F7B"/>
    <w:rsid w:val="00AE0B4F"/>
    <w:rsid w:val="00AE1071"/>
    <w:rsid w:val="00AE1E3C"/>
    <w:rsid w:val="00AE2588"/>
    <w:rsid w:val="00AE26A8"/>
    <w:rsid w:val="00AE2CCE"/>
    <w:rsid w:val="00AE33FF"/>
    <w:rsid w:val="00AE4FE2"/>
    <w:rsid w:val="00AE5FFD"/>
    <w:rsid w:val="00AE60D6"/>
    <w:rsid w:val="00AE6643"/>
    <w:rsid w:val="00AE7297"/>
    <w:rsid w:val="00AE7E07"/>
    <w:rsid w:val="00AF03E9"/>
    <w:rsid w:val="00AF0698"/>
    <w:rsid w:val="00AF0BC6"/>
    <w:rsid w:val="00AF10EF"/>
    <w:rsid w:val="00AF164F"/>
    <w:rsid w:val="00AF34B3"/>
    <w:rsid w:val="00AF3934"/>
    <w:rsid w:val="00AF4493"/>
    <w:rsid w:val="00AF45F8"/>
    <w:rsid w:val="00AF4AFC"/>
    <w:rsid w:val="00AF4E31"/>
    <w:rsid w:val="00AF4FD9"/>
    <w:rsid w:val="00AF5203"/>
    <w:rsid w:val="00AF7E18"/>
    <w:rsid w:val="00B00077"/>
    <w:rsid w:val="00B00EE9"/>
    <w:rsid w:val="00B00F32"/>
    <w:rsid w:val="00B015F0"/>
    <w:rsid w:val="00B02655"/>
    <w:rsid w:val="00B037E1"/>
    <w:rsid w:val="00B03833"/>
    <w:rsid w:val="00B038C3"/>
    <w:rsid w:val="00B03C03"/>
    <w:rsid w:val="00B043F7"/>
    <w:rsid w:val="00B046C9"/>
    <w:rsid w:val="00B0514F"/>
    <w:rsid w:val="00B051A1"/>
    <w:rsid w:val="00B05489"/>
    <w:rsid w:val="00B05763"/>
    <w:rsid w:val="00B05852"/>
    <w:rsid w:val="00B05BA5"/>
    <w:rsid w:val="00B06803"/>
    <w:rsid w:val="00B07BA6"/>
    <w:rsid w:val="00B07D0A"/>
    <w:rsid w:val="00B101A3"/>
    <w:rsid w:val="00B104F8"/>
    <w:rsid w:val="00B111A0"/>
    <w:rsid w:val="00B11DA9"/>
    <w:rsid w:val="00B1311C"/>
    <w:rsid w:val="00B1413D"/>
    <w:rsid w:val="00B1447D"/>
    <w:rsid w:val="00B14E15"/>
    <w:rsid w:val="00B15F01"/>
    <w:rsid w:val="00B15FC5"/>
    <w:rsid w:val="00B16312"/>
    <w:rsid w:val="00B16DE8"/>
    <w:rsid w:val="00B2048C"/>
    <w:rsid w:val="00B204A4"/>
    <w:rsid w:val="00B2059D"/>
    <w:rsid w:val="00B2082B"/>
    <w:rsid w:val="00B20A6D"/>
    <w:rsid w:val="00B20E5C"/>
    <w:rsid w:val="00B20F81"/>
    <w:rsid w:val="00B21183"/>
    <w:rsid w:val="00B227DB"/>
    <w:rsid w:val="00B22FF4"/>
    <w:rsid w:val="00B23EF8"/>
    <w:rsid w:val="00B25A91"/>
    <w:rsid w:val="00B25C20"/>
    <w:rsid w:val="00B25FB4"/>
    <w:rsid w:val="00B273A9"/>
    <w:rsid w:val="00B274B8"/>
    <w:rsid w:val="00B31288"/>
    <w:rsid w:val="00B3130C"/>
    <w:rsid w:val="00B320E9"/>
    <w:rsid w:val="00B322EA"/>
    <w:rsid w:val="00B32FDD"/>
    <w:rsid w:val="00B3341E"/>
    <w:rsid w:val="00B33A1A"/>
    <w:rsid w:val="00B33DAE"/>
    <w:rsid w:val="00B33E61"/>
    <w:rsid w:val="00B35DD8"/>
    <w:rsid w:val="00B36200"/>
    <w:rsid w:val="00B37C9F"/>
    <w:rsid w:val="00B40143"/>
    <w:rsid w:val="00B40AA0"/>
    <w:rsid w:val="00B41195"/>
    <w:rsid w:val="00B41997"/>
    <w:rsid w:val="00B42D8D"/>
    <w:rsid w:val="00B433DF"/>
    <w:rsid w:val="00B4353F"/>
    <w:rsid w:val="00B44C3F"/>
    <w:rsid w:val="00B4568D"/>
    <w:rsid w:val="00B46D22"/>
    <w:rsid w:val="00B46F4E"/>
    <w:rsid w:val="00B470FF"/>
    <w:rsid w:val="00B47221"/>
    <w:rsid w:val="00B47B80"/>
    <w:rsid w:val="00B47BA9"/>
    <w:rsid w:val="00B51013"/>
    <w:rsid w:val="00B51310"/>
    <w:rsid w:val="00B51DFD"/>
    <w:rsid w:val="00B52340"/>
    <w:rsid w:val="00B5280C"/>
    <w:rsid w:val="00B52866"/>
    <w:rsid w:val="00B5299B"/>
    <w:rsid w:val="00B52EE2"/>
    <w:rsid w:val="00B535E9"/>
    <w:rsid w:val="00B542C2"/>
    <w:rsid w:val="00B54398"/>
    <w:rsid w:val="00B559E6"/>
    <w:rsid w:val="00B55AFA"/>
    <w:rsid w:val="00B55F3F"/>
    <w:rsid w:val="00B56534"/>
    <w:rsid w:val="00B56F60"/>
    <w:rsid w:val="00B57126"/>
    <w:rsid w:val="00B57742"/>
    <w:rsid w:val="00B602C5"/>
    <w:rsid w:val="00B60A36"/>
    <w:rsid w:val="00B60E76"/>
    <w:rsid w:val="00B612D6"/>
    <w:rsid w:val="00B61585"/>
    <w:rsid w:val="00B61FF4"/>
    <w:rsid w:val="00B6313B"/>
    <w:rsid w:val="00B6382E"/>
    <w:rsid w:val="00B646BC"/>
    <w:rsid w:val="00B65637"/>
    <w:rsid w:val="00B65CF8"/>
    <w:rsid w:val="00B707A7"/>
    <w:rsid w:val="00B70EC6"/>
    <w:rsid w:val="00B71820"/>
    <w:rsid w:val="00B7239B"/>
    <w:rsid w:val="00B732FA"/>
    <w:rsid w:val="00B73809"/>
    <w:rsid w:val="00B739EB"/>
    <w:rsid w:val="00B74A63"/>
    <w:rsid w:val="00B77395"/>
    <w:rsid w:val="00B77556"/>
    <w:rsid w:val="00B77DBC"/>
    <w:rsid w:val="00B77FBB"/>
    <w:rsid w:val="00B80B4F"/>
    <w:rsid w:val="00B81395"/>
    <w:rsid w:val="00B8235E"/>
    <w:rsid w:val="00B82BDB"/>
    <w:rsid w:val="00B82E39"/>
    <w:rsid w:val="00B830F4"/>
    <w:rsid w:val="00B8310C"/>
    <w:rsid w:val="00B83FEF"/>
    <w:rsid w:val="00B8450E"/>
    <w:rsid w:val="00B84B7D"/>
    <w:rsid w:val="00B858C2"/>
    <w:rsid w:val="00B85AAE"/>
    <w:rsid w:val="00B8615D"/>
    <w:rsid w:val="00B866A0"/>
    <w:rsid w:val="00B86B44"/>
    <w:rsid w:val="00B86F6C"/>
    <w:rsid w:val="00B87720"/>
    <w:rsid w:val="00B87981"/>
    <w:rsid w:val="00B87C55"/>
    <w:rsid w:val="00B90667"/>
    <w:rsid w:val="00B91B48"/>
    <w:rsid w:val="00B92B7D"/>
    <w:rsid w:val="00B93412"/>
    <w:rsid w:val="00B93A80"/>
    <w:rsid w:val="00B93F41"/>
    <w:rsid w:val="00B94786"/>
    <w:rsid w:val="00B94A45"/>
    <w:rsid w:val="00B94BD1"/>
    <w:rsid w:val="00B95595"/>
    <w:rsid w:val="00B95BED"/>
    <w:rsid w:val="00B95E35"/>
    <w:rsid w:val="00B96064"/>
    <w:rsid w:val="00B96AFC"/>
    <w:rsid w:val="00B96B37"/>
    <w:rsid w:val="00B96F5F"/>
    <w:rsid w:val="00B96FAE"/>
    <w:rsid w:val="00B97E27"/>
    <w:rsid w:val="00BA0905"/>
    <w:rsid w:val="00BA1CA3"/>
    <w:rsid w:val="00BA1F49"/>
    <w:rsid w:val="00BA20C4"/>
    <w:rsid w:val="00BA2B07"/>
    <w:rsid w:val="00BA2EAA"/>
    <w:rsid w:val="00BA32AB"/>
    <w:rsid w:val="00BA3FCD"/>
    <w:rsid w:val="00BA43AD"/>
    <w:rsid w:val="00BA4883"/>
    <w:rsid w:val="00BA5766"/>
    <w:rsid w:val="00BA5DEB"/>
    <w:rsid w:val="00BA77D7"/>
    <w:rsid w:val="00BA7B34"/>
    <w:rsid w:val="00BA7C22"/>
    <w:rsid w:val="00BB0053"/>
    <w:rsid w:val="00BB05AB"/>
    <w:rsid w:val="00BB0F20"/>
    <w:rsid w:val="00BB1D93"/>
    <w:rsid w:val="00BB210A"/>
    <w:rsid w:val="00BB255E"/>
    <w:rsid w:val="00BB2ECE"/>
    <w:rsid w:val="00BB3038"/>
    <w:rsid w:val="00BB3B0E"/>
    <w:rsid w:val="00BB42AC"/>
    <w:rsid w:val="00BB5FBB"/>
    <w:rsid w:val="00BB6552"/>
    <w:rsid w:val="00BB67A3"/>
    <w:rsid w:val="00BB6AD9"/>
    <w:rsid w:val="00BB6B4E"/>
    <w:rsid w:val="00BB6B4F"/>
    <w:rsid w:val="00BB7075"/>
    <w:rsid w:val="00BB7F6C"/>
    <w:rsid w:val="00BC034E"/>
    <w:rsid w:val="00BC1358"/>
    <w:rsid w:val="00BC3E7D"/>
    <w:rsid w:val="00BC4185"/>
    <w:rsid w:val="00BC4505"/>
    <w:rsid w:val="00BC4922"/>
    <w:rsid w:val="00BC5E42"/>
    <w:rsid w:val="00BC67F8"/>
    <w:rsid w:val="00BC6A49"/>
    <w:rsid w:val="00BC6D3B"/>
    <w:rsid w:val="00BC741B"/>
    <w:rsid w:val="00BC771B"/>
    <w:rsid w:val="00BD1192"/>
    <w:rsid w:val="00BD148D"/>
    <w:rsid w:val="00BD3E44"/>
    <w:rsid w:val="00BD4545"/>
    <w:rsid w:val="00BD4A97"/>
    <w:rsid w:val="00BD7870"/>
    <w:rsid w:val="00BD7C68"/>
    <w:rsid w:val="00BD7E61"/>
    <w:rsid w:val="00BE01D1"/>
    <w:rsid w:val="00BE1219"/>
    <w:rsid w:val="00BE1E35"/>
    <w:rsid w:val="00BE41A9"/>
    <w:rsid w:val="00BE41FA"/>
    <w:rsid w:val="00BE5052"/>
    <w:rsid w:val="00BE5F56"/>
    <w:rsid w:val="00BE6A9B"/>
    <w:rsid w:val="00BE6FD1"/>
    <w:rsid w:val="00BE7085"/>
    <w:rsid w:val="00BE71B2"/>
    <w:rsid w:val="00BE73FF"/>
    <w:rsid w:val="00BE7F1A"/>
    <w:rsid w:val="00BF1D3E"/>
    <w:rsid w:val="00BF215D"/>
    <w:rsid w:val="00BF294B"/>
    <w:rsid w:val="00BF31DC"/>
    <w:rsid w:val="00BF3CC6"/>
    <w:rsid w:val="00BF6601"/>
    <w:rsid w:val="00BF66C6"/>
    <w:rsid w:val="00BF6DF3"/>
    <w:rsid w:val="00BF7028"/>
    <w:rsid w:val="00BF71BA"/>
    <w:rsid w:val="00BF7D33"/>
    <w:rsid w:val="00BF7FFC"/>
    <w:rsid w:val="00C002FA"/>
    <w:rsid w:val="00C00B78"/>
    <w:rsid w:val="00C02E6C"/>
    <w:rsid w:val="00C03022"/>
    <w:rsid w:val="00C03198"/>
    <w:rsid w:val="00C03776"/>
    <w:rsid w:val="00C03880"/>
    <w:rsid w:val="00C03AE9"/>
    <w:rsid w:val="00C0424C"/>
    <w:rsid w:val="00C0460E"/>
    <w:rsid w:val="00C05E45"/>
    <w:rsid w:val="00C06655"/>
    <w:rsid w:val="00C06F18"/>
    <w:rsid w:val="00C10668"/>
    <w:rsid w:val="00C10871"/>
    <w:rsid w:val="00C119B6"/>
    <w:rsid w:val="00C122C8"/>
    <w:rsid w:val="00C127C5"/>
    <w:rsid w:val="00C12D1E"/>
    <w:rsid w:val="00C12E02"/>
    <w:rsid w:val="00C12E49"/>
    <w:rsid w:val="00C13821"/>
    <w:rsid w:val="00C144C3"/>
    <w:rsid w:val="00C145FD"/>
    <w:rsid w:val="00C155B4"/>
    <w:rsid w:val="00C158A1"/>
    <w:rsid w:val="00C159FB"/>
    <w:rsid w:val="00C160C3"/>
    <w:rsid w:val="00C1689D"/>
    <w:rsid w:val="00C168D7"/>
    <w:rsid w:val="00C16B53"/>
    <w:rsid w:val="00C16C9D"/>
    <w:rsid w:val="00C16FF9"/>
    <w:rsid w:val="00C21982"/>
    <w:rsid w:val="00C223F2"/>
    <w:rsid w:val="00C22D45"/>
    <w:rsid w:val="00C22FEE"/>
    <w:rsid w:val="00C2330E"/>
    <w:rsid w:val="00C23549"/>
    <w:rsid w:val="00C23B8F"/>
    <w:rsid w:val="00C23CDC"/>
    <w:rsid w:val="00C23FB8"/>
    <w:rsid w:val="00C253A1"/>
    <w:rsid w:val="00C26154"/>
    <w:rsid w:val="00C262AF"/>
    <w:rsid w:val="00C26860"/>
    <w:rsid w:val="00C26BD5"/>
    <w:rsid w:val="00C26D7F"/>
    <w:rsid w:val="00C3088F"/>
    <w:rsid w:val="00C311EA"/>
    <w:rsid w:val="00C3256E"/>
    <w:rsid w:val="00C326CF"/>
    <w:rsid w:val="00C32DFA"/>
    <w:rsid w:val="00C32E2C"/>
    <w:rsid w:val="00C33130"/>
    <w:rsid w:val="00C34ABA"/>
    <w:rsid w:val="00C34D7A"/>
    <w:rsid w:val="00C3650A"/>
    <w:rsid w:val="00C36A3F"/>
    <w:rsid w:val="00C373D2"/>
    <w:rsid w:val="00C37D21"/>
    <w:rsid w:val="00C37E6B"/>
    <w:rsid w:val="00C400E2"/>
    <w:rsid w:val="00C40147"/>
    <w:rsid w:val="00C40249"/>
    <w:rsid w:val="00C403C5"/>
    <w:rsid w:val="00C40A28"/>
    <w:rsid w:val="00C413D4"/>
    <w:rsid w:val="00C4221D"/>
    <w:rsid w:val="00C42256"/>
    <w:rsid w:val="00C429AB"/>
    <w:rsid w:val="00C42F3D"/>
    <w:rsid w:val="00C431DF"/>
    <w:rsid w:val="00C4369D"/>
    <w:rsid w:val="00C43D99"/>
    <w:rsid w:val="00C44863"/>
    <w:rsid w:val="00C4654A"/>
    <w:rsid w:val="00C46A55"/>
    <w:rsid w:val="00C479B6"/>
    <w:rsid w:val="00C5031E"/>
    <w:rsid w:val="00C50926"/>
    <w:rsid w:val="00C50D00"/>
    <w:rsid w:val="00C511C7"/>
    <w:rsid w:val="00C52324"/>
    <w:rsid w:val="00C527EC"/>
    <w:rsid w:val="00C534B6"/>
    <w:rsid w:val="00C5364B"/>
    <w:rsid w:val="00C53E6A"/>
    <w:rsid w:val="00C53FA6"/>
    <w:rsid w:val="00C54021"/>
    <w:rsid w:val="00C54225"/>
    <w:rsid w:val="00C54FDA"/>
    <w:rsid w:val="00C54FE7"/>
    <w:rsid w:val="00C552A9"/>
    <w:rsid w:val="00C554CF"/>
    <w:rsid w:val="00C55ABE"/>
    <w:rsid w:val="00C5654A"/>
    <w:rsid w:val="00C57F37"/>
    <w:rsid w:val="00C6077B"/>
    <w:rsid w:val="00C61577"/>
    <w:rsid w:val="00C62273"/>
    <w:rsid w:val="00C63DA5"/>
    <w:rsid w:val="00C648E8"/>
    <w:rsid w:val="00C64DE4"/>
    <w:rsid w:val="00C65A26"/>
    <w:rsid w:val="00C660CA"/>
    <w:rsid w:val="00C67877"/>
    <w:rsid w:val="00C70CCA"/>
    <w:rsid w:val="00C70F06"/>
    <w:rsid w:val="00C714AE"/>
    <w:rsid w:val="00C722F2"/>
    <w:rsid w:val="00C73F19"/>
    <w:rsid w:val="00C744F6"/>
    <w:rsid w:val="00C74588"/>
    <w:rsid w:val="00C75575"/>
    <w:rsid w:val="00C75600"/>
    <w:rsid w:val="00C75655"/>
    <w:rsid w:val="00C757A5"/>
    <w:rsid w:val="00C75CDE"/>
    <w:rsid w:val="00C77364"/>
    <w:rsid w:val="00C814D0"/>
    <w:rsid w:val="00C8175E"/>
    <w:rsid w:val="00C817B2"/>
    <w:rsid w:val="00C82D40"/>
    <w:rsid w:val="00C82DE5"/>
    <w:rsid w:val="00C83F34"/>
    <w:rsid w:val="00C83F40"/>
    <w:rsid w:val="00C84009"/>
    <w:rsid w:val="00C8411B"/>
    <w:rsid w:val="00C8460B"/>
    <w:rsid w:val="00C854A2"/>
    <w:rsid w:val="00C85970"/>
    <w:rsid w:val="00C86797"/>
    <w:rsid w:val="00C86849"/>
    <w:rsid w:val="00C868AA"/>
    <w:rsid w:val="00C868F6"/>
    <w:rsid w:val="00C86946"/>
    <w:rsid w:val="00C86EF0"/>
    <w:rsid w:val="00C8780E"/>
    <w:rsid w:val="00C90E24"/>
    <w:rsid w:val="00C913F1"/>
    <w:rsid w:val="00C918CE"/>
    <w:rsid w:val="00C91C3F"/>
    <w:rsid w:val="00C92441"/>
    <w:rsid w:val="00C932CB"/>
    <w:rsid w:val="00C9341F"/>
    <w:rsid w:val="00C93DB8"/>
    <w:rsid w:val="00C940C1"/>
    <w:rsid w:val="00C9514E"/>
    <w:rsid w:val="00C95EE6"/>
    <w:rsid w:val="00C96B72"/>
    <w:rsid w:val="00C9744B"/>
    <w:rsid w:val="00C97AAE"/>
    <w:rsid w:val="00C97EBB"/>
    <w:rsid w:val="00CA0267"/>
    <w:rsid w:val="00CA0DA2"/>
    <w:rsid w:val="00CA1503"/>
    <w:rsid w:val="00CA32CD"/>
    <w:rsid w:val="00CA3A35"/>
    <w:rsid w:val="00CA3AE8"/>
    <w:rsid w:val="00CA40B4"/>
    <w:rsid w:val="00CA4CF7"/>
    <w:rsid w:val="00CA5464"/>
    <w:rsid w:val="00CA548D"/>
    <w:rsid w:val="00CA5768"/>
    <w:rsid w:val="00CA5DBB"/>
    <w:rsid w:val="00CA70C9"/>
    <w:rsid w:val="00CA721A"/>
    <w:rsid w:val="00CA76B8"/>
    <w:rsid w:val="00CA7BA6"/>
    <w:rsid w:val="00CA7D98"/>
    <w:rsid w:val="00CB08DE"/>
    <w:rsid w:val="00CB1163"/>
    <w:rsid w:val="00CB152F"/>
    <w:rsid w:val="00CB2A92"/>
    <w:rsid w:val="00CB2A96"/>
    <w:rsid w:val="00CB4144"/>
    <w:rsid w:val="00CB41FE"/>
    <w:rsid w:val="00CB5405"/>
    <w:rsid w:val="00CB56F9"/>
    <w:rsid w:val="00CB5754"/>
    <w:rsid w:val="00CB61B6"/>
    <w:rsid w:val="00CB641E"/>
    <w:rsid w:val="00CB68C6"/>
    <w:rsid w:val="00CB6D50"/>
    <w:rsid w:val="00CB7302"/>
    <w:rsid w:val="00CC0530"/>
    <w:rsid w:val="00CC06AD"/>
    <w:rsid w:val="00CC1199"/>
    <w:rsid w:val="00CC1A94"/>
    <w:rsid w:val="00CC20DE"/>
    <w:rsid w:val="00CC2D84"/>
    <w:rsid w:val="00CC32C5"/>
    <w:rsid w:val="00CC3607"/>
    <w:rsid w:val="00CC409B"/>
    <w:rsid w:val="00CC4942"/>
    <w:rsid w:val="00CC4B64"/>
    <w:rsid w:val="00CC52AB"/>
    <w:rsid w:val="00CC5662"/>
    <w:rsid w:val="00CC6EF0"/>
    <w:rsid w:val="00CC75DC"/>
    <w:rsid w:val="00CC7AA2"/>
    <w:rsid w:val="00CD0068"/>
    <w:rsid w:val="00CD0C7E"/>
    <w:rsid w:val="00CD138D"/>
    <w:rsid w:val="00CD1A02"/>
    <w:rsid w:val="00CD1B82"/>
    <w:rsid w:val="00CD2AFF"/>
    <w:rsid w:val="00CD2B4F"/>
    <w:rsid w:val="00CD4578"/>
    <w:rsid w:val="00CD4673"/>
    <w:rsid w:val="00CD4813"/>
    <w:rsid w:val="00CD5089"/>
    <w:rsid w:val="00CD6C8D"/>
    <w:rsid w:val="00CD79CA"/>
    <w:rsid w:val="00CD7A02"/>
    <w:rsid w:val="00CE00C7"/>
    <w:rsid w:val="00CE01CF"/>
    <w:rsid w:val="00CE03C3"/>
    <w:rsid w:val="00CE04DB"/>
    <w:rsid w:val="00CE0BC7"/>
    <w:rsid w:val="00CE12F0"/>
    <w:rsid w:val="00CE1D2D"/>
    <w:rsid w:val="00CE2CD0"/>
    <w:rsid w:val="00CE2FF4"/>
    <w:rsid w:val="00CE335D"/>
    <w:rsid w:val="00CE3387"/>
    <w:rsid w:val="00CE3638"/>
    <w:rsid w:val="00CE3ED8"/>
    <w:rsid w:val="00CE4193"/>
    <w:rsid w:val="00CE4F96"/>
    <w:rsid w:val="00CE52E2"/>
    <w:rsid w:val="00CE567D"/>
    <w:rsid w:val="00CE5B83"/>
    <w:rsid w:val="00CE6D8D"/>
    <w:rsid w:val="00CE716E"/>
    <w:rsid w:val="00CE7944"/>
    <w:rsid w:val="00CF05D0"/>
    <w:rsid w:val="00CF05E2"/>
    <w:rsid w:val="00CF0FD7"/>
    <w:rsid w:val="00CF23E2"/>
    <w:rsid w:val="00CF257A"/>
    <w:rsid w:val="00CF2FF5"/>
    <w:rsid w:val="00CF313C"/>
    <w:rsid w:val="00CF3FF6"/>
    <w:rsid w:val="00CF4A94"/>
    <w:rsid w:val="00CF4EDE"/>
    <w:rsid w:val="00CF5494"/>
    <w:rsid w:val="00CF5B47"/>
    <w:rsid w:val="00CF5B55"/>
    <w:rsid w:val="00CF5F87"/>
    <w:rsid w:val="00CF65C2"/>
    <w:rsid w:val="00CF6B15"/>
    <w:rsid w:val="00D007D1"/>
    <w:rsid w:val="00D01483"/>
    <w:rsid w:val="00D0167E"/>
    <w:rsid w:val="00D01690"/>
    <w:rsid w:val="00D02C08"/>
    <w:rsid w:val="00D0332E"/>
    <w:rsid w:val="00D05B46"/>
    <w:rsid w:val="00D05F28"/>
    <w:rsid w:val="00D07252"/>
    <w:rsid w:val="00D12387"/>
    <w:rsid w:val="00D133D4"/>
    <w:rsid w:val="00D13705"/>
    <w:rsid w:val="00D149E1"/>
    <w:rsid w:val="00D150F7"/>
    <w:rsid w:val="00D16008"/>
    <w:rsid w:val="00D1610D"/>
    <w:rsid w:val="00D16201"/>
    <w:rsid w:val="00D1661B"/>
    <w:rsid w:val="00D171D9"/>
    <w:rsid w:val="00D17254"/>
    <w:rsid w:val="00D17678"/>
    <w:rsid w:val="00D17D09"/>
    <w:rsid w:val="00D17F49"/>
    <w:rsid w:val="00D20F80"/>
    <w:rsid w:val="00D226B2"/>
    <w:rsid w:val="00D227C5"/>
    <w:rsid w:val="00D22C75"/>
    <w:rsid w:val="00D23CBC"/>
    <w:rsid w:val="00D23F43"/>
    <w:rsid w:val="00D2455F"/>
    <w:rsid w:val="00D2458A"/>
    <w:rsid w:val="00D246E8"/>
    <w:rsid w:val="00D25696"/>
    <w:rsid w:val="00D25CD4"/>
    <w:rsid w:val="00D261C8"/>
    <w:rsid w:val="00D261F9"/>
    <w:rsid w:val="00D26272"/>
    <w:rsid w:val="00D26482"/>
    <w:rsid w:val="00D2686E"/>
    <w:rsid w:val="00D27972"/>
    <w:rsid w:val="00D27A35"/>
    <w:rsid w:val="00D27ABB"/>
    <w:rsid w:val="00D309AB"/>
    <w:rsid w:val="00D318D2"/>
    <w:rsid w:val="00D31AAA"/>
    <w:rsid w:val="00D31B47"/>
    <w:rsid w:val="00D32ACB"/>
    <w:rsid w:val="00D335BC"/>
    <w:rsid w:val="00D3381C"/>
    <w:rsid w:val="00D33C33"/>
    <w:rsid w:val="00D33D87"/>
    <w:rsid w:val="00D34505"/>
    <w:rsid w:val="00D345D5"/>
    <w:rsid w:val="00D3469C"/>
    <w:rsid w:val="00D359A7"/>
    <w:rsid w:val="00D36553"/>
    <w:rsid w:val="00D36C2B"/>
    <w:rsid w:val="00D37710"/>
    <w:rsid w:val="00D37EDC"/>
    <w:rsid w:val="00D37FDF"/>
    <w:rsid w:val="00D4008B"/>
    <w:rsid w:val="00D4069D"/>
    <w:rsid w:val="00D40FE1"/>
    <w:rsid w:val="00D41500"/>
    <w:rsid w:val="00D41B2E"/>
    <w:rsid w:val="00D426F5"/>
    <w:rsid w:val="00D42978"/>
    <w:rsid w:val="00D437C2"/>
    <w:rsid w:val="00D439A4"/>
    <w:rsid w:val="00D43A24"/>
    <w:rsid w:val="00D43AFC"/>
    <w:rsid w:val="00D44ACE"/>
    <w:rsid w:val="00D44B33"/>
    <w:rsid w:val="00D450E6"/>
    <w:rsid w:val="00D4599A"/>
    <w:rsid w:val="00D471FB"/>
    <w:rsid w:val="00D47468"/>
    <w:rsid w:val="00D47F6E"/>
    <w:rsid w:val="00D5054C"/>
    <w:rsid w:val="00D51EA0"/>
    <w:rsid w:val="00D52798"/>
    <w:rsid w:val="00D52F37"/>
    <w:rsid w:val="00D5308B"/>
    <w:rsid w:val="00D53658"/>
    <w:rsid w:val="00D5449E"/>
    <w:rsid w:val="00D54581"/>
    <w:rsid w:val="00D5640A"/>
    <w:rsid w:val="00D60232"/>
    <w:rsid w:val="00D61F24"/>
    <w:rsid w:val="00D64BE4"/>
    <w:rsid w:val="00D656D1"/>
    <w:rsid w:val="00D656F5"/>
    <w:rsid w:val="00D657AC"/>
    <w:rsid w:val="00D65F88"/>
    <w:rsid w:val="00D66DCD"/>
    <w:rsid w:val="00D67449"/>
    <w:rsid w:val="00D67B3F"/>
    <w:rsid w:val="00D67C28"/>
    <w:rsid w:val="00D67D12"/>
    <w:rsid w:val="00D70163"/>
    <w:rsid w:val="00D705D7"/>
    <w:rsid w:val="00D722DF"/>
    <w:rsid w:val="00D73204"/>
    <w:rsid w:val="00D7461B"/>
    <w:rsid w:val="00D7481E"/>
    <w:rsid w:val="00D74C8F"/>
    <w:rsid w:val="00D751AC"/>
    <w:rsid w:val="00D75973"/>
    <w:rsid w:val="00D76057"/>
    <w:rsid w:val="00D76AA8"/>
    <w:rsid w:val="00D77439"/>
    <w:rsid w:val="00D77C9E"/>
    <w:rsid w:val="00D80A6D"/>
    <w:rsid w:val="00D82375"/>
    <w:rsid w:val="00D823BC"/>
    <w:rsid w:val="00D823C0"/>
    <w:rsid w:val="00D82E2E"/>
    <w:rsid w:val="00D83188"/>
    <w:rsid w:val="00D838DC"/>
    <w:rsid w:val="00D83F6D"/>
    <w:rsid w:val="00D84A8B"/>
    <w:rsid w:val="00D84F1D"/>
    <w:rsid w:val="00D8506A"/>
    <w:rsid w:val="00D856B7"/>
    <w:rsid w:val="00D85793"/>
    <w:rsid w:val="00D8620D"/>
    <w:rsid w:val="00D8621B"/>
    <w:rsid w:val="00D86E47"/>
    <w:rsid w:val="00D87860"/>
    <w:rsid w:val="00D87EC3"/>
    <w:rsid w:val="00D87F4B"/>
    <w:rsid w:val="00D901F9"/>
    <w:rsid w:val="00D90AD6"/>
    <w:rsid w:val="00D91045"/>
    <w:rsid w:val="00D916D4"/>
    <w:rsid w:val="00D91F77"/>
    <w:rsid w:val="00D928F2"/>
    <w:rsid w:val="00D92C4B"/>
    <w:rsid w:val="00D94003"/>
    <w:rsid w:val="00D9448A"/>
    <w:rsid w:val="00D95669"/>
    <w:rsid w:val="00D968CF"/>
    <w:rsid w:val="00D97EC4"/>
    <w:rsid w:val="00DA009C"/>
    <w:rsid w:val="00DA0135"/>
    <w:rsid w:val="00DA06B5"/>
    <w:rsid w:val="00DA0737"/>
    <w:rsid w:val="00DA0CEC"/>
    <w:rsid w:val="00DA0F83"/>
    <w:rsid w:val="00DA2267"/>
    <w:rsid w:val="00DA2469"/>
    <w:rsid w:val="00DA2A4B"/>
    <w:rsid w:val="00DA3934"/>
    <w:rsid w:val="00DA3BB2"/>
    <w:rsid w:val="00DA4BA9"/>
    <w:rsid w:val="00DA4E35"/>
    <w:rsid w:val="00DA5DB0"/>
    <w:rsid w:val="00DA5F60"/>
    <w:rsid w:val="00DA6A1D"/>
    <w:rsid w:val="00DA6A67"/>
    <w:rsid w:val="00DA77A2"/>
    <w:rsid w:val="00DB0826"/>
    <w:rsid w:val="00DB1424"/>
    <w:rsid w:val="00DB1435"/>
    <w:rsid w:val="00DB1442"/>
    <w:rsid w:val="00DB150F"/>
    <w:rsid w:val="00DB16AC"/>
    <w:rsid w:val="00DB16FB"/>
    <w:rsid w:val="00DB2339"/>
    <w:rsid w:val="00DB2582"/>
    <w:rsid w:val="00DB2822"/>
    <w:rsid w:val="00DB284E"/>
    <w:rsid w:val="00DB2BCE"/>
    <w:rsid w:val="00DB43E2"/>
    <w:rsid w:val="00DB47B5"/>
    <w:rsid w:val="00DB47E8"/>
    <w:rsid w:val="00DB74D3"/>
    <w:rsid w:val="00DB77C4"/>
    <w:rsid w:val="00DB7904"/>
    <w:rsid w:val="00DB7A39"/>
    <w:rsid w:val="00DC15C6"/>
    <w:rsid w:val="00DC189D"/>
    <w:rsid w:val="00DC3A1C"/>
    <w:rsid w:val="00DC42B6"/>
    <w:rsid w:val="00DC5790"/>
    <w:rsid w:val="00DC5C32"/>
    <w:rsid w:val="00DC5D22"/>
    <w:rsid w:val="00DC6734"/>
    <w:rsid w:val="00DC6889"/>
    <w:rsid w:val="00DC6D31"/>
    <w:rsid w:val="00DC7682"/>
    <w:rsid w:val="00DC7E5B"/>
    <w:rsid w:val="00DD0B5C"/>
    <w:rsid w:val="00DD142C"/>
    <w:rsid w:val="00DD1A90"/>
    <w:rsid w:val="00DD1A99"/>
    <w:rsid w:val="00DD1DD9"/>
    <w:rsid w:val="00DD22A6"/>
    <w:rsid w:val="00DD32E1"/>
    <w:rsid w:val="00DD3E7F"/>
    <w:rsid w:val="00DD3F6C"/>
    <w:rsid w:val="00DD429A"/>
    <w:rsid w:val="00DD45D2"/>
    <w:rsid w:val="00DD4D0B"/>
    <w:rsid w:val="00DD4F74"/>
    <w:rsid w:val="00DD52B4"/>
    <w:rsid w:val="00DD5618"/>
    <w:rsid w:val="00DD5AA5"/>
    <w:rsid w:val="00DD5DEE"/>
    <w:rsid w:val="00DD63B0"/>
    <w:rsid w:val="00DD6669"/>
    <w:rsid w:val="00DD70E1"/>
    <w:rsid w:val="00DD7D7D"/>
    <w:rsid w:val="00DE003B"/>
    <w:rsid w:val="00DE1703"/>
    <w:rsid w:val="00DE19ED"/>
    <w:rsid w:val="00DE36C6"/>
    <w:rsid w:val="00DE3831"/>
    <w:rsid w:val="00DE43CD"/>
    <w:rsid w:val="00DE45A7"/>
    <w:rsid w:val="00DE4E62"/>
    <w:rsid w:val="00DE5384"/>
    <w:rsid w:val="00DE60DD"/>
    <w:rsid w:val="00DE6207"/>
    <w:rsid w:val="00DE76C4"/>
    <w:rsid w:val="00DE7EA4"/>
    <w:rsid w:val="00DF064D"/>
    <w:rsid w:val="00DF09FE"/>
    <w:rsid w:val="00DF115A"/>
    <w:rsid w:val="00DF152A"/>
    <w:rsid w:val="00DF1AFA"/>
    <w:rsid w:val="00DF2325"/>
    <w:rsid w:val="00DF2471"/>
    <w:rsid w:val="00DF2DF8"/>
    <w:rsid w:val="00DF33BB"/>
    <w:rsid w:val="00DF3F4C"/>
    <w:rsid w:val="00DF4348"/>
    <w:rsid w:val="00DF43AB"/>
    <w:rsid w:val="00DF49B6"/>
    <w:rsid w:val="00DF5449"/>
    <w:rsid w:val="00DF5C9C"/>
    <w:rsid w:val="00DF5DC2"/>
    <w:rsid w:val="00DF68A3"/>
    <w:rsid w:val="00DF6D57"/>
    <w:rsid w:val="00DF6E7D"/>
    <w:rsid w:val="00DF7147"/>
    <w:rsid w:val="00DF7180"/>
    <w:rsid w:val="00DF748E"/>
    <w:rsid w:val="00DF74D6"/>
    <w:rsid w:val="00E007A7"/>
    <w:rsid w:val="00E01B1A"/>
    <w:rsid w:val="00E02171"/>
    <w:rsid w:val="00E025C5"/>
    <w:rsid w:val="00E02A43"/>
    <w:rsid w:val="00E02D9B"/>
    <w:rsid w:val="00E035D9"/>
    <w:rsid w:val="00E03C40"/>
    <w:rsid w:val="00E03C94"/>
    <w:rsid w:val="00E04E4E"/>
    <w:rsid w:val="00E0735A"/>
    <w:rsid w:val="00E07E50"/>
    <w:rsid w:val="00E108BB"/>
    <w:rsid w:val="00E10CC7"/>
    <w:rsid w:val="00E10FAC"/>
    <w:rsid w:val="00E11A3C"/>
    <w:rsid w:val="00E1225D"/>
    <w:rsid w:val="00E12AD4"/>
    <w:rsid w:val="00E12B2C"/>
    <w:rsid w:val="00E12BEC"/>
    <w:rsid w:val="00E13F26"/>
    <w:rsid w:val="00E140B6"/>
    <w:rsid w:val="00E143EC"/>
    <w:rsid w:val="00E152F6"/>
    <w:rsid w:val="00E15DBA"/>
    <w:rsid w:val="00E16F39"/>
    <w:rsid w:val="00E17B4B"/>
    <w:rsid w:val="00E17E20"/>
    <w:rsid w:val="00E20740"/>
    <w:rsid w:val="00E208D7"/>
    <w:rsid w:val="00E20CDA"/>
    <w:rsid w:val="00E214AC"/>
    <w:rsid w:val="00E22040"/>
    <w:rsid w:val="00E22BC7"/>
    <w:rsid w:val="00E249B4"/>
    <w:rsid w:val="00E25063"/>
    <w:rsid w:val="00E25173"/>
    <w:rsid w:val="00E255A4"/>
    <w:rsid w:val="00E25D94"/>
    <w:rsid w:val="00E26027"/>
    <w:rsid w:val="00E26AD1"/>
    <w:rsid w:val="00E26D46"/>
    <w:rsid w:val="00E305A6"/>
    <w:rsid w:val="00E308E9"/>
    <w:rsid w:val="00E311D5"/>
    <w:rsid w:val="00E318FD"/>
    <w:rsid w:val="00E31B60"/>
    <w:rsid w:val="00E31BCA"/>
    <w:rsid w:val="00E31CBD"/>
    <w:rsid w:val="00E3263C"/>
    <w:rsid w:val="00E32CDC"/>
    <w:rsid w:val="00E338BA"/>
    <w:rsid w:val="00E34503"/>
    <w:rsid w:val="00E34CC3"/>
    <w:rsid w:val="00E350CD"/>
    <w:rsid w:val="00E351B1"/>
    <w:rsid w:val="00E35D75"/>
    <w:rsid w:val="00E36896"/>
    <w:rsid w:val="00E371A5"/>
    <w:rsid w:val="00E3756D"/>
    <w:rsid w:val="00E37781"/>
    <w:rsid w:val="00E37C45"/>
    <w:rsid w:val="00E40D8B"/>
    <w:rsid w:val="00E410E7"/>
    <w:rsid w:val="00E41D9E"/>
    <w:rsid w:val="00E43349"/>
    <w:rsid w:val="00E43713"/>
    <w:rsid w:val="00E439C6"/>
    <w:rsid w:val="00E4578C"/>
    <w:rsid w:val="00E45A7F"/>
    <w:rsid w:val="00E45FFD"/>
    <w:rsid w:val="00E46877"/>
    <w:rsid w:val="00E477DD"/>
    <w:rsid w:val="00E47D81"/>
    <w:rsid w:val="00E47F12"/>
    <w:rsid w:val="00E500B0"/>
    <w:rsid w:val="00E50435"/>
    <w:rsid w:val="00E50823"/>
    <w:rsid w:val="00E50CB0"/>
    <w:rsid w:val="00E514F0"/>
    <w:rsid w:val="00E537CB"/>
    <w:rsid w:val="00E538C7"/>
    <w:rsid w:val="00E545EB"/>
    <w:rsid w:val="00E54676"/>
    <w:rsid w:val="00E5513D"/>
    <w:rsid w:val="00E55360"/>
    <w:rsid w:val="00E56000"/>
    <w:rsid w:val="00E561F4"/>
    <w:rsid w:val="00E564BF"/>
    <w:rsid w:val="00E56D8D"/>
    <w:rsid w:val="00E5770A"/>
    <w:rsid w:val="00E57962"/>
    <w:rsid w:val="00E579DA"/>
    <w:rsid w:val="00E57B9D"/>
    <w:rsid w:val="00E57BF5"/>
    <w:rsid w:val="00E600D8"/>
    <w:rsid w:val="00E609CA"/>
    <w:rsid w:val="00E617B8"/>
    <w:rsid w:val="00E619D8"/>
    <w:rsid w:val="00E61D18"/>
    <w:rsid w:val="00E623D1"/>
    <w:rsid w:val="00E62783"/>
    <w:rsid w:val="00E63A57"/>
    <w:rsid w:val="00E64F3C"/>
    <w:rsid w:val="00E657CB"/>
    <w:rsid w:val="00E67F62"/>
    <w:rsid w:val="00E705B5"/>
    <w:rsid w:val="00E705B7"/>
    <w:rsid w:val="00E70804"/>
    <w:rsid w:val="00E70DFA"/>
    <w:rsid w:val="00E71364"/>
    <w:rsid w:val="00E71C15"/>
    <w:rsid w:val="00E73BFD"/>
    <w:rsid w:val="00E73F9E"/>
    <w:rsid w:val="00E74775"/>
    <w:rsid w:val="00E74D66"/>
    <w:rsid w:val="00E75BD1"/>
    <w:rsid w:val="00E768C9"/>
    <w:rsid w:val="00E76CE3"/>
    <w:rsid w:val="00E7716D"/>
    <w:rsid w:val="00E77CEA"/>
    <w:rsid w:val="00E77F7F"/>
    <w:rsid w:val="00E77F97"/>
    <w:rsid w:val="00E80EAA"/>
    <w:rsid w:val="00E8174C"/>
    <w:rsid w:val="00E81EB1"/>
    <w:rsid w:val="00E82A73"/>
    <w:rsid w:val="00E83B58"/>
    <w:rsid w:val="00E83C4F"/>
    <w:rsid w:val="00E83D30"/>
    <w:rsid w:val="00E83F91"/>
    <w:rsid w:val="00E8417E"/>
    <w:rsid w:val="00E844F3"/>
    <w:rsid w:val="00E847DA"/>
    <w:rsid w:val="00E8480D"/>
    <w:rsid w:val="00E84F3D"/>
    <w:rsid w:val="00E85560"/>
    <w:rsid w:val="00E866DA"/>
    <w:rsid w:val="00E86C35"/>
    <w:rsid w:val="00E87457"/>
    <w:rsid w:val="00E87BB6"/>
    <w:rsid w:val="00E87FAA"/>
    <w:rsid w:val="00E915FA"/>
    <w:rsid w:val="00E916EB"/>
    <w:rsid w:val="00E91A5A"/>
    <w:rsid w:val="00E932ED"/>
    <w:rsid w:val="00E93359"/>
    <w:rsid w:val="00E9389A"/>
    <w:rsid w:val="00E94BE1"/>
    <w:rsid w:val="00E95821"/>
    <w:rsid w:val="00E95E66"/>
    <w:rsid w:val="00E96817"/>
    <w:rsid w:val="00E968F6"/>
    <w:rsid w:val="00E96D15"/>
    <w:rsid w:val="00E97123"/>
    <w:rsid w:val="00E97217"/>
    <w:rsid w:val="00E97885"/>
    <w:rsid w:val="00EA1731"/>
    <w:rsid w:val="00EA1E6F"/>
    <w:rsid w:val="00EA1F7E"/>
    <w:rsid w:val="00EA20D5"/>
    <w:rsid w:val="00EA2164"/>
    <w:rsid w:val="00EA2365"/>
    <w:rsid w:val="00EA2EE4"/>
    <w:rsid w:val="00EA3A87"/>
    <w:rsid w:val="00EA42C8"/>
    <w:rsid w:val="00EA448E"/>
    <w:rsid w:val="00EA50B3"/>
    <w:rsid w:val="00EA5870"/>
    <w:rsid w:val="00EA5E3B"/>
    <w:rsid w:val="00EA6929"/>
    <w:rsid w:val="00EA6F69"/>
    <w:rsid w:val="00EA730E"/>
    <w:rsid w:val="00EA772C"/>
    <w:rsid w:val="00EB055B"/>
    <w:rsid w:val="00EB157F"/>
    <w:rsid w:val="00EB3F90"/>
    <w:rsid w:val="00EB45E3"/>
    <w:rsid w:val="00EB4CF3"/>
    <w:rsid w:val="00EB4EF9"/>
    <w:rsid w:val="00EB5773"/>
    <w:rsid w:val="00EB713A"/>
    <w:rsid w:val="00EC1212"/>
    <w:rsid w:val="00EC1A74"/>
    <w:rsid w:val="00EC1B24"/>
    <w:rsid w:val="00EC1D3D"/>
    <w:rsid w:val="00EC2404"/>
    <w:rsid w:val="00EC2517"/>
    <w:rsid w:val="00EC26BC"/>
    <w:rsid w:val="00EC40F6"/>
    <w:rsid w:val="00EC415F"/>
    <w:rsid w:val="00EC421D"/>
    <w:rsid w:val="00EC448B"/>
    <w:rsid w:val="00EC4539"/>
    <w:rsid w:val="00EC48D7"/>
    <w:rsid w:val="00EC4922"/>
    <w:rsid w:val="00EC498A"/>
    <w:rsid w:val="00EC4DF2"/>
    <w:rsid w:val="00EC4F69"/>
    <w:rsid w:val="00EC5BD5"/>
    <w:rsid w:val="00EC714A"/>
    <w:rsid w:val="00EC7E67"/>
    <w:rsid w:val="00EC7F85"/>
    <w:rsid w:val="00ED03C3"/>
    <w:rsid w:val="00ED083A"/>
    <w:rsid w:val="00ED1CC4"/>
    <w:rsid w:val="00ED20E2"/>
    <w:rsid w:val="00ED2111"/>
    <w:rsid w:val="00ED29BC"/>
    <w:rsid w:val="00ED29DF"/>
    <w:rsid w:val="00ED36E4"/>
    <w:rsid w:val="00ED3B51"/>
    <w:rsid w:val="00ED468F"/>
    <w:rsid w:val="00ED53A1"/>
    <w:rsid w:val="00ED60F8"/>
    <w:rsid w:val="00ED6711"/>
    <w:rsid w:val="00ED7B6B"/>
    <w:rsid w:val="00EE09B8"/>
    <w:rsid w:val="00EE0B3E"/>
    <w:rsid w:val="00EE0DE8"/>
    <w:rsid w:val="00EE14D2"/>
    <w:rsid w:val="00EE36E5"/>
    <w:rsid w:val="00EE36EB"/>
    <w:rsid w:val="00EE3E62"/>
    <w:rsid w:val="00EE40FF"/>
    <w:rsid w:val="00EE45D3"/>
    <w:rsid w:val="00EE6345"/>
    <w:rsid w:val="00EE72FA"/>
    <w:rsid w:val="00EE7728"/>
    <w:rsid w:val="00EE7898"/>
    <w:rsid w:val="00EE7CCD"/>
    <w:rsid w:val="00EF0406"/>
    <w:rsid w:val="00EF0517"/>
    <w:rsid w:val="00EF20E8"/>
    <w:rsid w:val="00EF2880"/>
    <w:rsid w:val="00EF2D02"/>
    <w:rsid w:val="00EF64F0"/>
    <w:rsid w:val="00EF70A9"/>
    <w:rsid w:val="00EF7251"/>
    <w:rsid w:val="00EF7C75"/>
    <w:rsid w:val="00F0043E"/>
    <w:rsid w:val="00F01526"/>
    <w:rsid w:val="00F019A9"/>
    <w:rsid w:val="00F019DD"/>
    <w:rsid w:val="00F01C4C"/>
    <w:rsid w:val="00F028F3"/>
    <w:rsid w:val="00F02BEE"/>
    <w:rsid w:val="00F02CED"/>
    <w:rsid w:val="00F031C7"/>
    <w:rsid w:val="00F0406A"/>
    <w:rsid w:val="00F047AC"/>
    <w:rsid w:val="00F04BA9"/>
    <w:rsid w:val="00F059CA"/>
    <w:rsid w:val="00F060A2"/>
    <w:rsid w:val="00F06362"/>
    <w:rsid w:val="00F0678F"/>
    <w:rsid w:val="00F06DF8"/>
    <w:rsid w:val="00F07210"/>
    <w:rsid w:val="00F1010C"/>
    <w:rsid w:val="00F10202"/>
    <w:rsid w:val="00F10E63"/>
    <w:rsid w:val="00F114A8"/>
    <w:rsid w:val="00F11EF3"/>
    <w:rsid w:val="00F128DE"/>
    <w:rsid w:val="00F13036"/>
    <w:rsid w:val="00F1401D"/>
    <w:rsid w:val="00F15DBB"/>
    <w:rsid w:val="00F16154"/>
    <w:rsid w:val="00F1628D"/>
    <w:rsid w:val="00F1661C"/>
    <w:rsid w:val="00F16714"/>
    <w:rsid w:val="00F16F50"/>
    <w:rsid w:val="00F17296"/>
    <w:rsid w:val="00F21621"/>
    <w:rsid w:val="00F218A5"/>
    <w:rsid w:val="00F21C90"/>
    <w:rsid w:val="00F22083"/>
    <w:rsid w:val="00F22C46"/>
    <w:rsid w:val="00F22E39"/>
    <w:rsid w:val="00F233BA"/>
    <w:rsid w:val="00F23407"/>
    <w:rsid w:val="00F23829"/>
    <w:rsid w:val="00F23A29"/>
    <w:rsid w:val="00F23A41"/>
    <w:rsid w:val="00F244A8"/>
    <w:rsid w:val="00F244F8"/>
    <w:rsid w:val="00F24C84"/>
    <w:rsid w:val="00F24D75"/>
    <w:rsid w:val="00F25285"/>
    <w:rsid w:val="00F261E3"/>
    <w:rsid w:val="00F262C6"/>
    <w:rsid w:val="00F27245"/>
    <w:rsid w:val="00F279AD"/>
    <w:rsid w:val="00F27D82"/>
    <w:rsid w:val="00F300C7"/>
    <w:rsid w:val="00F301DE"/>
    <w:rsid w:val="00F3028A"/>
    <w:rsid w:val="00F30FB1"/>
    <w:rsid w:val="00F314D0"/>
    <w:rsid w:val="00F31917"/>
    <w:rsid w:val="00F31FEC"/>
    <w:rsid w:val="00F325CB"/>
    <w:rsid w:val="00F32FA8"/>
    <w:rsid w:val="00F332D1"/>
    <w:rsid w:val="00F335E7"/>
    <w:rsid w:val="00F3384A"/>
    <w:rsid w:val="00F343E2"/>
    <w:rsid w:val="00F34F33"/>
    <w:rsid w:val="00F352DD"/>
    <w:rsid w:val="00F35BAB"/>
    <w:rsid w:val="00F36C8D"/>
    <w:rsid w:val="00F403C1"/>
    <w:rsid w:val="00F40573"/>
    <w:rsid w:val="00F40737"/>
    <w:rsid w:val="00F4157C"/>
    <w:rsid w:val="00F420DE"/>
    <w:rsid w:val="00F42436"/>
    <w:rsid w:val="00F427D1"/>
    <w:rsid w:val="00F42ADB"/>
    <w:rsid w:val="00F4329E"/>
    <w:rsid w:val="00F44D9B"/>
    <w:rsid w:val="00F459D8"/>
    <w:rsid w:val="00F45F49"/>
    <w:rsid w:val="00F461A6"/>
    <w:rsid w:val="00F46EF7"/>
    <w:rsid w:val="00F505E6"/>
    <w:rsid w:val="00F51A31"/>
    <w:rsid w:val="00F51D18"/>
    <w:rsid w:val="00F51EC8"/>
    <w:rsid w:val="00F5203B"/>
    <w:rsid w:val="00F523AF"/>
    <w:rsid w:val="00F524CF"/>
    <w:rsid w:val="00F52A7A"/>
    <w:rsid w:val="00F52EFB"/>
    <w:rsid w:val="00F5572A"/>
    <w:rsid w:val="00F56608"/>
    <w:rsid w:val="00F57211"/>
    <w:rsid w:val="00F60223"/>
    <w:rsid w:val="00F60DA0"/>
    <w:rsid w:val="00F610A8"/>
    <w:rsid w:val="00F61411"/>
    <w:rsid w:val="00F6142C"/>
    <w:rsid w:val="00F61D56"/>
    <w:rsid w:val="00F6234C"/>
    <w:rsid w:val="00F62615"/>
    <w:rsid w:val="00F643FB"/>
    <w:rsid w:val="00F64A23"/>
    <w:rsid w:val="00F6551C"/>
    <w:rsid w:val="00F659E9"/>
    <w:rsid w:val="00F662F3"/>
    <w:rsid w:val="00F667C1"/>
    <w:rsid w:val="00F66F8C"/>
    <w:rsid w:val="00F6709A"/>
    <w:rsid w:val="00F67415"/>
    <w:rsid w:val="00F67442"/>
    <w:rsid w:val="00F67CAA"/>
    <w:rsid w:val="00F70F3A"/>
    <w:rsid w:val="00F7217C"/>
    <w:rsid w:val="00F72730"/>
    <w:rsid w:val="00F729E6"/>
    <w:rsid w:val="00F730DD"/>
    <w:rsid w:val="00F73899"/>
    <w:rsid w:val="00F7440F"/>
    <w:rsid w:val="00F75B73"/>
    <w:rsid w:val="00F75EF1"/>
    <w:rsid w:val="00F773B7"/>
    <w:rsid w:val="00F77E88"/>
    <w:rsid w:val="00F8040A"/>
    <w:rsid w:val="00F80C70"/>
    <w:rsid w:val="00F81DFF"/>
    <w:rsid w:val="00F821C6"/>
    <w:rsid w:val="00F821E0"/>
    <w:rsid w:val="00F824C9"/>
    <w:rsid w:val="00F831E3"/>
    <w:rsid w:val="00F8320E"/>
    <w:rsid w:val="00F84124"/>
    <w:rsid w:val="00F8535D"/>
    <w:rsid w:val="00F8546B"/>
    <w:rsid w:val="00F862D6"/>
    <w:rsid w:val="00F8667F"/>
    <w:rsid w:val="00F86882"/>
    <w:rsid w:val="00F86EEE"/>
    <w:rsid w:val="00F872EF"/>
    <w:rsid w:val="00F9023D"/>
    <w:rsid w:val="00F915F7"/>
    <w:rsid w:val="00F92F8A"/>
    <w:rsid w:val="00F941BE"/>
    <w:rsid w:val="00F943D6"/>
    <w:rsid w:val="00F94670"/>
    <w:rsid w:val="00F94A11"/>
    <w:rsid w:val="00F94E1B"/>
    <w:rsid w:val="00F95BEA"/>
    <w:rsid w:val="00F9615B"/>
    <w:rsid w:val="00F969D4"/>
    <w:rsid w:val="00F96E76"/>
    <w:rsid w:val="00F97464"/>
    <w:rsid w:val="00F97E2E"/>
    <w:rsid w:val="00FA1A82"/>
    <w:rsid w:val="00FA1D37"/>
    <w:rsid w:val="00FA1FAE"/>
    <w:rsid w:val="00FA2E78"/>
    <w:rsid w:val="00FA3958"/>
    <w:rsid w:val="00FA39F3"/>
    <w:rsid w:val="00FA3CC1"/>
    <w:rsid w:val="00FA3ECA"/>
    <w:rsid w:val="00FA47AD"/>
    <w:rsid w:val="00FA5005"/>
    <w:rsid w:val="00FA6283"/>
    <w:rsid w:val="00FA6428"/>
    <w:rsid w:val="00FA7830"/>
    <w:rsid w:val="00FA7B03"/>
    <w:rsid w:val="00FB0249"/>
    <w:rsid w:val="00FB08DD"/>
    <w:rsid w:val="00FB0A30"/>
    <w:rsid w:val="00FB0ACA"/>
    <w:rsid w:val="00FB103D"/>
    <w:rsid w:val="00FB1686"/>
    <w:rsid w:val="00FB1DC8"/>
    <w:rsid w:val="00FB2384"/>
    <w:rsid w:val="00FB2D63"/>
    <w:rsid w:val="00FB3DE7"/>
    <w:rsid w:val="00FB3F62"/>
    <w:rsid w:val="00FB42A5"/>
    <w:rsid w:val="00FB5116"/>
    <w:rsid w:val="00FB587B"/>
    <w:rsid w:val="00FB668C"/>
    <w:rsid w:val="00FB6865"/>
    <w:rsid w:val="00FB6C1D"/>
    <w:rsid w:val="00FB705A"/>
    <w:rsid w:val="00FB7715"/>
    <w:rsid w:val="00FB7DCD"/>
    <w:rsid w:val="00FB7FCA"/>
    <w:rsid w:val="00FC08AE"/>
    <w:rsid w:val="00FC09E4"/>
    <w:rsid w:val="00FC0A9D"/>
    <w:rsid w:val="00FC0C2B"/>
    <w:rsid w:val="00FC22D2"/>
    <w:rsid w:val="00FC378B"/>
    <w:rsid w:val="00FC43E7"/>
    <w:rsid w:val="00FC5753"/>
    <w:rsid w:val="00FC579D"/>
    <w:rsid w:val="00FC6782"/>
    <w:rsid w:val="00FC6949"/>
    <w:rsid w:val="00FC6980"/>
    <w:rsid w:val="00FC77CA"/>
    <w:rsid w:val="00FD01E5"/>
    <w:rsid w:val="00FD0201"/>
    <w:rsid w:val="00FD03CF"/>
    <w:rsid w:val="00FD04FC"/>
    <w:rsid w:val="00FD0D06"/>
    <w:rsid w:val="00FD1108"/>
    <w:rsid w:val="00FD1C2C"/>
    <w:rsid w:val="00FD1C6A"/>
    <w:rsid w:val="00FD22F7"/>
    <w:rsid w:val="00FD27DC"/>
    <w:rsid w:val="00FD2F09"/>
    <w:rsid w:val="00FD360D"/>
    <w:rsid w:val="00FD36B1"/>
    <w:rsid w:val="00FD4C77"/>
    <w:rsid w:val="00FD4FF8"/>
    <w:rsid w:val="00FD63E2"/>
    <w:rsid w:val="00FD6ABF"/>
    <w:rsid w:val="00FD7119"/>
    <w:rsid w:val="00FD71C0"/>
    <w:rsid w:val="00FD7331"/>
    <w:rsid w:val="00FD7399"/>
    <w:rsid w:val="00FD77B0"/>
    <w:rsid w:val="00FE010F"/>
    <w:rsid w:val="00FE17B3"/>
    <w:rsid w:val="00FE198F"/>
    <w:rsid w:val="00FE227A"/>
    <w:rsid w:val="00FE28F9"/>
    <w:rsid w:val="00FE36BF"/>
    <w:rsid w:val="00FE4409"/>
    <w:rsid w:val="00FE4BAF"/>
    <w:rsid w:val="00FE5CE6"/>
    <w:rsid w:val="00FE5FC7"/>
    <w:rsid w:val="00FE6401"/>
    <w:rsid w:val="00FE743B"/>
    <w:rsid w:val="00FE7F25"/>
    <w:rsid w:val="00FF094B"/>
    <w:rsid w:val="00FF0956"/>
    <w:rsid w:val="00FF0B20"/>
    <w:rsid w:val="00FF1714"/>
    <w:rsid w:val="00FF1768"/>
    <w:rsid w:val="00FF240D"/>
    <w:rsid w:val="00FF2B2C"/>
    <w:rsid w:val="00FF3850"/>
    <w:rsid w:val="00FF39A3"/>
    <w:rsid w:val="00FF4555"/>
    <w:rsid w:val="00FF4F72"/>
    <w:rsid w:val="00FF614E"/>
    <w:rsid w:val="00FF6517"/>
    <w:rsid w:val="00FF79C9"/>
    <w:rsid w:val="00FF7C0E"/>
    <w:rsid w:val="00FF7D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1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95B97"/>
    <w:pPr>
      <w:keepNext/>
      <w:keepLines/>
      <w:spacing w:line="360" w:lineRule="auto"/>
      <w:outlineLvl w:val="0"/>
    </w:pPr>
    <w:rPr>
      <w:rFonts w:eastAsiaTheme="majorEastAsia" w:cstheme="majorBidi"/>
      <w:b/>
      <w:bCs/>
      <w:sz w:val="26"/>
      <w:szCs w:val="28"/>
    </w:rPr>
  </w:style>
  <w:style w:type="paragraph" w:styleId="Heading2">
    <w:name w:val="heading 2"/>
    <w:basedOn w:val="Normal"/>
    <w:next w:val="Normal"/>
    <w:link w:val="Heading2Char"/>
    <w:uiPriority w:val="9"/>
    <w:unhideWhenUsed/>
    <w:qFormat/>
    <w:rsid w:val="00695B97"/>
    <w:pPr>
      <w:keepNext/>
      <w:keepLines/>
      <w:spacing w:line="360" w:lineRule="auto"/>
      <w:ind w:left="72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95B97"/>
    <w:pPr>
      <w:keepNext/>
      <w:keepLines/>
      <w:spacing w:line="360" w:lineRule="auto"/>
      <w:ind w:left="144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695B97"/>
    <w:pPr>
      <w:keepNext/>
      <w:keepLines/>
      <w:spacing w:line="360" w:lineRule="auto"/>
      <w:ind w:left="2160"/>
      <w:outlineLvl w:val="3"/>
    </w:pPr>
    <w:rPr>
      <w:rFonts w:eastAsiaTheme="majorEastAsia" w:cstheme="majorBidi"/>
      <w:b/>
      <w:bCs/>
      <w:iCs/>
      <w:sz w:val="26"/>
    </w:rPr>
  </w:style>
  <w:style w:type="paragraph" w:styleId="Heading5">
    <w:name w:val="heading 5"/>
    <w:basedOn w:val="Normal"/>
    <w:next w:val="Normal"/>
    <w:link w:val="Heading5Char"/>
    <w:uiPriority w:val="9"/>
    <w:unhideWhenUsed/>
    <w:qFormat/>
    <w:rsid w:val="00695B97"/>
    <w:pPr>
      <w:keepNext/>
      <w:keepLines/>
      <w:spacing w:line="360" w:lineRule="auto"/>
      <w:ind w:left="2880"/>
      <w:outlineLvl w:val="4"/>
    </w:pPr>
    <w:rPr>
      <w:rFonts w:eastAsiaTheme="majorEastAsia" w:cstheme="majorBidi"/>
      <w:b/>
      <w:sz w:val="26"/>
    </w:rPr>
  </w:style>
  <w:style w:type="paragraph" w:styleId="Heading6">
    <w:name w:val="heading 6"/>
    <w:basedOn w:val="Normal"/>
    <w:next w:val="Normal"/>
    <w:link w:val="Heading6Char"/>
    <w:uiPriority w:val="9"/>
    <w:unhideWhenUsed/>
    <w:qFormat/>
    <w:rsid w:val="008E4C54"/>
    <w:pPr>
      <w:keepNext/>
      <w:keepLines/>
      <w:spacing w:line="360" w:lineRule="auto"/>
      <w:ind w:firstLine="3600"/>
      <w:outlineLvl w:val="5"/>
    </w:pPr>
    <w:rPr>
      <w:rFonts w:eastAsiaTheme="majorEastAsia"/>
      <w:b/>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61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95B97"/>
    <w:rPr>
      <w:rFonts w:ascii="Times New Roman" w:eastAsiaTheme="majorEastAsia" w:hAnsi="Times New Roman" w:cstheme="majorBidi"/>
      <w:b/>
      <w:bCs/>
      <w:sz w:val="26"/>
      <w:szCs w:val="28"/>
    </w:rPr>
  </w:style>
  <w:style w:type="paragraph" w:styleId="ListParagraph">
    <w:name w:val="List Paragraph"/>
    <w:basedOn w:val="Normal"/>
    <w:uiPriority w:val="34"/>
    <w:qFormat/>
    <w:rsid w:val="00DB1424"/>
    <w:pPr>
      <w:ind w:left="720"/>
      <w:contextualSpacing/>
    </w:pPr>
  </w:style>
  <w:style w:type="paragraph" w:styleId="TOC1">
    <w:name w:val="toc 1"/>
    <w:basedOn w:val="Normal"/>
    <w:next w:val="Normal"/>
    <w:autoRedefine/>
    <w:uiPriority w:val="39"/>
    <w:unhideWhenUsed/>
    <w:qFormat/>
    <w:rsid w:val="00EB45E3"/>
    <w:pPr>
      <w:tabs>
        <w:tab w:val="left" w:pos="720"/>
        <w:tab w:val="right" w:leader="dot" w:pos="9350"/>
      </w:tabs>
      <w:spacing w:after="100"/>
      <w:jc w:val="center"/>
    </w:pPr>
  </w:style>
  <w:style w:type="character" w:styleId="Hyperlink">
    <w:name w:val="Hyperlink"/>
    <w:basedOn w:val="DefaultParagraphFont"/>
    <w:uiPriority w:val="99"/>
    <w:unhideWhenUsed/>
    <w:rsid w:val="004D1CC1"/>
    <w:rPr>
      <w:color w:val="5F5F5F" w:themeColor="hyperlink"/>
      <w:u w:val="single"/>
    </w:rPr>
  </w:style>
  <w:style w:type="character" w:customStyle="1" w:styleId="Heading2Char">
    <w:name w:val="Heading 2 Char"/>
    <w:basedOn w:val="DefaultParagraphFont"/>
    <w:link w:val="Heading2"/>
    <w:uiPriority w:val="9"/>
    <w:rsid w:val="00695B97"/>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695B97"/>
    <w:rPr>
      <w:rFonts w:ascii="Times New Roman" w:eastAsiaTheme="majorEastAsia" w:hAnsi="Times New Roman" w:cstheme="majorBidi"/>
      <w:b/>
      <w:bCs/>
      <w:sz w:val="26"/>
      <w:szCs w:val="24"/>
    </w:rPr>
  </w:style>
  <w:style w:type="character" w:customStyle="1" w:styleId="Heading4Char">
    <w:name w:val="Heading 4 Char"/>
    <w:basedOn w:val="DefaultParagraphFont"/>
    <w:link w:val="Heading4"/>
    <w:uiPriority w:val="9"/>
    <w:rsid w:val="00695B97"/>
    <w:rPr>
      <w:rFonts w:ascii="Times New Roman" w:eastAsiaTheme="majorEastAsia" w:hAnsi="Times New Roman" w:cstheme="majorBidi"/>
      <w:b/>
      <w:bCs/>
      <w:iCs/>
      <w:sz w:val="26"/>
      <w:szCs w:val="24"/>
    </w:rPr>
  </w:style>
  <w:style w:type="paragraph" w:styleId="TOC2">
    <w:name w:val="toc 2"/>
    <w:basedOn w:val="Normal"/>
    <w:next w:val="Normal"/>
    <w:autoRedefine/>
    <w:uiPriority w:val="39"/>
    <w:unhideWhenUsed/>
    <w:qFormat/>
    <w:rsid w:val="000854A4"/>
    <w:pPr>
      <w:tabs>
        <w:tab w:val="left" w:pos="1080"/>
        <w:tab w:val="right" w:leader="dot" w:pos="9350"/>
      </w:tabs>
      <w:spacing w:after="100"/>
      <w:ind w:left="240"/>
    </w:pPr>
  </w:style>
  <w:style w:type="paragraph" w:styleId="TOC3">
    <w:name w:val="toc 3"/>
    <w:basedOn w:val="Normal"/>
    <w:next w:val="Normal"/>
    <w:autoRedefine/>
    <w:uiPriority w:val="39"/>
    <w:unhideWhenUsed/>
    <w:qFormat/>
    <w:rsid w:val="00E02D9B"/>
    <w:pPr>
      <w:tabs>
        <w:tab w:val="left" w:pos="1440"/>
        <w:tab w:val="right" w:leader="dot" w:pos="9350"/>
      </w:tabs>
      <w:spacing w:after="100"/>
      <w:ind w:left="480"/>
    </w:pPr>
  </w:style>
  <w:style w:type="paragraph" w:styleId="TOC4">
    <w:name w:val="toc 4"/>
    <w:basedOn w:val="Normal"/>
    <w:next w:val="Normal"/>
    <w:autoRedefine/>
    <w:uiPriority w:val="39"/>
    <w:unhideWhenUsed/>
    <w:rsid w:val="00E02D9B"/>
    <w:pPr>
      <w:tabs>
        <w:tab w:val="left" w:pos="1800"/>
        <w:tab w:val="right" w:leader="dot" w:pos="9350"/>
      </w:tabs>
      <w:spacing w:after="100"/>
      <w:ind w:left="720"/>
    </w:pPr>
  </w:style>
  <w:style w:type="character" w:customStyle="1" w:styleId="Heading5Char">
    <w:name w:val="Heading 5 Char"/>
    <w:basedOn w:val="DefaultParagraphFont"/>
    <w:link w:val="Heading5"/>
    <w:uiPriority w:val="9"/>
    <w:rsid w:val="00695B97"/>
    <w:rPr>
      <w:rFonts w:ascii="Times New Roman" w:eastAsiaTheme="majorEastAsia" w:hAnsi="Times New Roman" w:cstheme="majorBidi"/>
      <w:b/>
      <w:sz w:val="26"/>
      <w:szCs w:val="24"/>
    </w:rPr>
  </w:style>
  <w:style w:type="paragraph" w:styleId="TOC5">
    <w:name w:val="toc 5"/>
    <w:basedOn w:val="Normal"/>
    <w:next w:val="Normal"/>
    <w:autoRedefine/>
    <w:uiPriority w:val="39"/>
    <w:unhideWhenUsed/>
    <w:rsid w:val="00E02D9B"/>
    <w:pPr>
      <w:tabs>
        <w:tab w:val="left" w:pos="2160"/>
        <w:tab w:val="right" w:leader="dot" w:pos="9350"/>
      </w:tabs>
      <w:spacing w:after="100"/>
      <w:ind w:left="2160" w:hanging="1200"/>
    </w:pPr>
  </w:style>
  <w:style w:type="paragraph" w:styleId="Header">
    <w:name w:val="header"/>
    <w:basedOn w:val="Normal"/>
    <w:link w:val="HeaderChar"/>
    <w:uiPriority w:val="99"/>
    <w:unhideWhenUsed/>
    <w:rsid w:val="008F250B"/>
    <w:pPr>
      <w:tabs>
        <w:tab w:val="center" w:pos="4680"/>
        <w:tab w:val="right" w:pos="9360"/>
      </w:tabs>
    </w:pPr>
  </w:style>
  <w:style w:type="character" w:customStyle="1" w:styleId="HeaderChar">
    <w:name w:val="Header Char"/>
    <w:basedOn w:val="DefaultParagraphFont"/>
    <w:link w:val="Header"/>
    <w:uiPriority w:val="99"/>
    <w:rsid w:val="008F25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250B"/>
    <w:pPr>
      <w:tabs>
        <w:tab w:val="center" w:pos="4680"/>
        <w:tab w:val="right" w:pos="9360"/>
      </w:tabs>
    </w:pPr>
  </w:style>
  <w:style w:type="character" w:customStyle="1" w:styleId="FooterChar">
    <w:name w:val="Footer Char"/>
    <w:basedOn w:val="DefaultParagraphFont"/>
    <w:link w:val="Footer"/>
    <w:uiPriority w:val="99"/>
    <w:rsid w:val="008F250B"/>
    <w:rPr>
      <w:rFonts w:ascii="Times New Roman" w:eastAsia="Times New Roman" w:hAnsi="Times New Roman" w:cs="Times New Roman"/>
      <w:sz w:val="24"/>
      <w:szCs w:val="24"/>
    </w:rPr>
  </w:style>
  <w:style w:type="paragraph" w:styleId="FootnoteText">
    <w:name w:val="footnote text"/>
    <w:aliases w:val="TBG Style,ALTS FOOTNOTE,Footnote Text 2,fn,Footnote text,FOOTNOTE"/>
    <w:basedOn w:val="Normal"/>
    <w:link w:val="FootnoteTextChar"/>
    <w:unhideWhenUsed/>
    <w:rsid w:val="003E58B9"/>
    <w:rPr>
      <w:sz w:val="20"/>
      <w:szCs w:val="20"/>
    </w:rPr>
  </w:style>
  <w:style w:type="character" w:customStyle="1" w:styleId="FootnoteTextChar">
    <w:name w:val="Footnote Text Char"/>
    <w:aliases w:val="TBG Style Char,ALTS FOOTNOTE Char,Footnote Text 2 Char,fn Char,Footnote text Char,FOOTNOTE Char"/>
    <w:basedOn w:val="DefaultParagraphFont"/>
    <w:link w:val="FootnoteText"/>
    <w:rsid w:val="003E58B9"/>
    <w:rPr>
      <w:rFonts w:ascii="Times New Roman" w:eastAsia="Times New Roman" w:hAnsi="Times New Roman" w:cs="Times New Roman"/>
      <w:sz w:val="20"/>
      <w:szCs w:val="20"/>
    </w:rPr>
  </w:style>
  <w:style w:type="character" w:styleId="FootnoteReference">
    <w:name w:val="footnote reference"/>
    <w:basedOn w:val="DefaultParagraphFont"/>
    <w:unhideWhenUsed/>
    <w:rsid w:val="003E58B9"/>
    <w:rPr>
      <w:vertAlign w:val="superscript"/>
    </w:rPr>
  </w:style>
  <w:style w:type="paragraph" w:customStyle="1" w:styleId="p3">
    <w:name w:val="p3"/>
    <w:basedOn w:val="Normal"/>
    <w:rsid w:val="00A308F1"/>
    <w:pPr>
      <w:widowControl w:val="0"/>
      <w:tabs>
        <w:tab w:val="left" w:pos="204"/>
      </w:tabs>
      <w:autoSpaceDE w:val="0"/>
      <w:autoSpaceDN w:val="0"/>
      <w:adjustRightInd w:val="0"/>
    </w:pPr>
  </w:style>
  <w:style w:type="paragraph" w:styleId="TOC6">
    <w:name w:val="toc 6"/>
    <w:basedOn w:val="Normal"/>
    <w:next w:val="Normal"/>
    <w:autoRedefine/>
    <w:uiPriority w:val="39"/>
    <w:unhideWhenUsed/>
    <w:rsid w:val="00D439A4"/>
    <w:pPr>
      <w:tabs>
        <w:tab w:val="left" w:pos="1800"/>
        <w:tab w:val="right" w:leader="dot" w:pos="9350"/>
      </w:tabs>
      <w:spacing w:after="100" w:line="276" w:lineRule="auto"/>
      <w:ind w:left="1100"/>
    </w:pPr>
    <w:rPr>
      <w:rFonts w:eastAsiaTheme="minorEastAsia"/>
      <w:noProof/>
      <w:sz w:val="22"/>
      <w:szCs w:val="22"/>
    </w:rPr>
  </w:style>
  <w:style w:type="paragraph" w:styleId="TOC7">
    <w:name w:val="toc 7"/>
    <w:basedOn w:val="Normal"/>
    <w:next w:val="Normal"/>
    <w:autoRedefine/>
    <w:uiPriority w:val="39"/>
    <w:unhideWhenUsed/>
    <w:rsid w:val="00543B63"/>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43B63"/>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43B63"/>
    <w:pPr>
      <w:spacing w:after="100" w:line="276" w:lineRule="auto"/>
      <w:ind w:left="1760"/>
    </w:pPr>
    <w:rPr>
      <w:rFonts w:asciiTheme="minorHAnsi" w:eastAsiaTheme="minorEastAsia" w:hAnsiTheme="minorHAnsi" w:cstheme="minorBidi"/>
      <w:sz w:val="22"/>
      <w:szCs w:val="22"/>
    </w:rPr>
  </w:style>
  <w:style w:type="paragraph" w:customStyle="1" w:styleId="Default">
    <w:name w:val="Default"/>
    <w:rsid w:val="00A8003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E5FC7"/>
    <w:rPr>
      <w:rFonts w:ascii="Tahoma" w:hAnsi="Tahoma" w:cs="Tahoma"/>
      <w:sz w:val="16"/>
      <w:szCs w:val="16"/>
    </w:rPr>
  </w:style>
  <w:style w:type="character" w:customStyle="1" w:styleId="BalloonTextChar">
    <w:name w:val="Balloon Text Char"/>
    <w:basedOn w:val="DefaultParagraphFont"/>
    <w:link w:val="BalloonText"/>
    <w:uiPriority w:val="99"/>
    <w:semiHidden/>
    <w:rsid w:val="00FE5FC7"/>
    <w:rPr>
      <w:rFonts w:ascii="Tahoma" w:eastAsia="Times New Roman" w:hAnsi="Tahoma" w:cs="Tahoma"/>
      <w:sz w:val="16"/>
      <w:szCs w:val="16"/>
    </w:rPr>
  </w:style>
  <w:style w:type="character" w:styleId="Emphasis">
    <w:name w:val="Emphasis"/>
    <w:basedOn w:val="DefaultParagraphFont"/>
    <w:qFormat/>
    <w:rsid w:val="00367979"/>
    <w:rPr>
      <w:i/>
      <w:iCs/>
    </w:rPr>
  </w:style>
  <w:style w:type="paragraph" w:styleId="BodyText2">
    <w:name w:val="Body Text 2"/>
    <w:basedOn w:val="Normal"/>
    <w:link w:val="BodyText2Char"/>
    <w:rsid w:val="003653BB"/>
    <w:pPr>
      <w:spacing w:line="480" w:lineRule="auto"/>
      <w:ind w:firstLine="720"/>
      <w:jc w:val="both"/>
    </w:pPr>
  </w:style>
  <w:style w:type="character" w:customStyle="1" w:styleId="BodyText2Char">
    <w:name w:val="Body Text 2 Char"/>
    <w:basedOn w:val="DefaultParagraphFont"/>
    <w:link w:val="BodyText2"/>
    <w:rsid w:val="003653BB"/>
    <w:rPr>
      <w:rFonts w:ascii="Times New Roman" w:eastAsia="Times New Roman" w:hAnsi="Times New Roman" w:cs="Times New Roman"/>
      <w:sz w:val="24"/>
      <w:szCs w:val="24"/>
    </w:rPr>
  </w:style>
  <w:style w:type="paragraph" w:styleId="NoSpacing">
    <w:name w:val="No Spacing"/>
    <w:uiPriority w:val="1"/>
    <w:qFormat/>
    <w:rsid w:val="00AB7DBD"/>
    <w:pPr>
      <w:spacing w:after="0" w:line="240" w:lineRule="auto"/>
    </w:pPr>
    <w:rPr>
      <w:rFonts w:ascii="Calibri" w:eastAsia="Times New Roman" w:hAnsi="Calibri" w:cs="Times New Roman"/>
    </w:rPr>
  </w:style>
  <w:style w:type="character" w:customStyle="1" w:styleId="Heading6Char">
    <w:name w:val="Heading 6 Char"/>
    <w:basedOn w:val="DefaultParagraphFont"/>
    <w:link w:val="Heading6"/>
    <w:uiPriority w:val="9"/>
    <w:rsid w:val="008E4C54"/>
    <w:rPr>
      <w:rFonts w:ascii="Times New Roman" w:eastAsiaTheme="majorEastAsia" w:hAnsi="Times New Roman" w:cs="Times New Roman"/>
      <w:b/>
      <w:iCs/>
      <w:sz w:val="26"/>
      <w:szCs w:val="26"/>
    </w:rPr>
  </w:style>
  <w:style w:type="character" w:styleId="LineNumber">
    <w:name w:val="line number"/>
    <w:basedOn w:val="DefaultParagraphFont"/>
    <w:rsid w:val="00540830"/>
    <w:rPr>
      <w:rFonts w:ascii="Times New Roman" w:hAnsi="Times New Roman"/>
      <w:sz w:val="24"/>
    </w:rPr>
  </w:style>
  <w:style w:type="paragraph" w:styleId="BodyText">
    <w:name w:val="Body Text"/>
    <w:basedOn w:val="Normal"/>
    <w:link w:val="BodyTextChar"/>
    <w:uiPriority w:val="99"/>
    <w:semiHidden/>
    <w:unhideWhenUsed/>
    <w:rsid w:val="004517BC"/>
    <w:pPr>
      <w:spacing w:after="120"/>
    </w:pPr>
  </w:style>
  <w:style w:type="character" w:customStyle="1" w:styleId="BodyTextChar">
    <w:name w:val="Body Text Char"/>
    <w:basedOn w:val="DefaultParagraphFont"/>
    <w:link w:val="BodyText"/>
    <w:uiPriority w:val="99"/>
    <w:semiHidden/>
    <w:rsid w:val="004517BC"/>
    <w:rPr>
      <w:rFonts w:ascii="Times New Roman" w:eastAsia="Times New Roman" w:hAnsi="Times New Roman" w:cs="Times New Roman"/>
      <w:sz w:val="24"/>
      <w:szCs w:val="24"/>
    </w:rPr>
  </w:style>
  <w:style w:type="paragraph" w:customStyle="1" w:styleId="FirmDouble05">
    <w:name w:val="Firm Double 05"/>
    <w:basedOn w:val="Normal"/>
    <w:rsid w:val="004517BC"/>
    <w:pPr>
      <w:spacing w:after="120" w:line="480" w:lineRule="auto"/>
      <w:ind w:firstLine="720"/>
    </w:pPr>
  </w:style>
  <w:style w:type="paragraph" w:customStyle="1" w:styleId="BriefL1">
    <w:name w:val="Brief_L1"/>
    <w:basedOn w:val="Normal"/>
    <w:next w:val="BodyText"/>
    <w:rsid w:val="004517BC"/>
    <w:pPr>
      <w:numPr>
        <w:numId w:val="1"/>
      </w:numPr>
      <w:spacing w:after="360"/>
      <w:jc w:val="center"/>
      <w:outlineLvl w:val="0"/>
    </w:pPr>
    <w:rPr>
      <w:b/>
      <w:caps/>
      <w:szCs w:val="20"/>
    </w:rPr>
  </w:style>
  <w:style w:type="paragraph" w:customStyle="1" w:styleId="BriefL2">
    <w:name w:val="Brief_L2"/>
    <w:basedOn w:val="BriefL1"/>
    <w:next w:val="BodyText"/>
    <w:rsid w:val="004517BC"/>
    <w:pPr>
      <w:keepNext/>
      <w:keepLines/>
      <w:numPr>
        <w:ilvl w:val="1"/>
      </w:numPr>
      <w:jc w:val="left"/>
      <w:outlineLvl w:val="1"/>
    </w:pPr>
    <w:rPr>
      <w:caps w:val="0"/>
    </w:rPr>
  </w:style>
  <w:style w:type="paragraph" w:customStyle="1" w:styleId="BriefL3">
    <w:name w:val="Brief_L3"/>
    <w:basedOn w:val="BriefL2"/>
    <w:rsid w:val="004517BC"/>
    <w:pPr>
      <w:keepNext w:val="0"/>
      <w:keepLines w:val="0"/>
      <w:numPr>
        <w:ilvl w:val="2"/>
      </w:numPr>
      <w:spacing w:after="240"/>
      <w:outlineLvl w:val="2"/>
    </w:pPr>
    <w:rPr>
      <w:rFonts w:ascii="Times New Roman Bold" w:hAnsi="Times New Roman Bold"/>
    </w:rPr>
  </w:style>
  <w:style w:type="paragraph" w:customStyle="1" w:styleId="BriefL4">
    <w:name w:val="Brief_L4"/>
    <w:basedOn w:val="BriefL3"/>
    <w:next w:val="BodyText"/>
    <w:rsid w:val="004517BC"/>
    <w:pPr>
      <w:numPr>
        <w:ilvl w:val="3"/>
      </w:numPr>
      <w:outlineLvl w:val="3"/>
    </w:pPr>
    <w:rPr>
      <w:rFonts w:ascii="Times New Roman" w:hAnsi="Times New Roman"/>
    </w:rPr>
  </w:style>
  <w:style w:type="paragraph" w:customStyle="1" w:styleId="BriefL5">
    <w:name w:val="Brief_L5"/>
    <w:basedOn w:val="BriefL4"/>
    <w:next w:val="BodyText"/>
    <w:rsid w:val="004517BC"/>
    <w:pPr>
      <w:numPr>
        <w:ilvl w:val="4"/>
      </w:numPr>
      <w:outlineLvl w:val="4"/>
    </w:pPr>
    <w:rPr>
      <w:rFonts w:ascii="Times New Roman Bold" w:hAnsi="Times New Roman Bold"/>
    </w:rPr>
  </w:style>
  <w:style w:type="paragraph" w:customStyle="1" w:styleId="BriefL6">
    <w:name w:val="Brief_L6"/>
    <w:basedOn w:val="BriefL5"/>
    <w:next w:val="BodyText"/>
    <w:rsid w:val="004517BC"/>
    <w:pPr>
      <w:numPr>
        <w:ilvl w:val="5"/>
      </w:numPr>
      <w:outlineLvl w:val="5"/>
    </w:pPr>
  </w:style>
  <w:style w:type="paragraph" w:customStyle="1" w:styleId="BriefL7">
    <w:name w:val="Brief_L7"/>
    <w:basedOn w:val="BriefL6"/>
    <w:next w:val="BodyText"/>
    <w:rsid w:val="004517BC"/>
    <w:pPr>
      <w:numPr>
        <w:ilvl w:val="6"/>
      </w:numPr>
      <w:outlineLvl w:val="6"/>
    </w:pPr>
  </w:style>
  <w:style w:type="paragraph" w:customStyle="1" w:styleId="BriefL8">
    <w:name w:val="Brief_L8"/>
    <w:basedOn w:val="BriefL7"/>
    <w:next w:val="BodyText"/>
    <w:rsid w:val="004517BC"/>
    <w:pPr>
      <w:numPr>
        <w:ilvl w:val="7"/>
      </w:numPr>
      <w:outlineLvl w:val="7"/>
    </w:pPr>
  </w:style>
  <w:style w:type="paragraph" w:customStyle="1" w:styleId="BriefL9">
    <w:name w:val="Brief_L9"/>
    <w:basedOn w:val="BriefL8"/>
    <w:next w:val="BodyText"/>
    <w:rsid w:val="004517BC"/>
    <w:pPr>
      <w:numPr>
        <w:ilvl w:val="8"/>
      </w:numPr>
      <w:outlineLvl w:val="8"/>
    </w:pPr>
  </w:style>
  <w:style w:type="paragraph" w:styleId="TOCHeading">
    <w:name w:val="TOC Heading"/>
    <w:basedOn w:val="Heading1"/>
    <w:next w:val="Normal"/>
    <w:uiPriority w:val="39"/>
    <w:unhideWhenUsed/>
    <w:qFormat/>
    <w:rsid w:val="008F2C6B"/>
    <w:pPr>
      <w:spacing w:before="480" w:line="276" w:lineRule="auto"/>
      <w:outlineLvl w:val="9"/>
    </w:pPr>
    <w:rPr>
      <w:rFonts w:asciiTheme="majorHAnsi" w:hAnsiTheme="majorHAnsi"/>
      <w:color w:val="A5A5A5" w:themeColor="accent1" w:themeShade="BF"/>
      <w:sz w:val="28"/>
    </w:rPr>
  </w:style>
  <w:style w:type="paragraph" w:styleId="BodyText3">
    <w:name w:val="Body Text 3"/>
    <w:basedOn w:val="Normal"/>
    <w:link w:val="BodyText3Char"/>
    <w:uiPriority w:val="99"/>
    <w:unhideWhenUsed/>
    <w:rsid w:val="004D5161"/>
    <w:pPr>
      <w:spacing w:after="120"/>
    </w:pPr>
    <w:rPr>
      <w:sz w:val="16"/>
      <w:szCs w:val="16"/>
    </w:rPr>
  </w:style>
  <w:style w:type="character" w:customStyle="1" w:styleId="BodyText3Char">
    <w:name w:val="Body Text 3 Char"/>
    <w:basedOn w:val="DefaultParagraphFont"/>
    <w:link w:val="BodyText3"/>
    <w:uiPriority w:val="99"/>
    <w:rsid w:val="004D5161"/>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A55B35"/>
    <w:rPr>
      <w:sz w:val="16"/>
      <w:szCs w:val="16"/>
    </w:rPr>
  </w:style>
  <w:style w:type="paragraph" w:styleId="CommentText">
    <w:name w:val="annotation text"/>
    <w:basedOn w:val="Normal"/>
    <w:link w:val="CommentTextChar"/>
    <w:uiPriority w:val="99"/>
    <w:semiHidden/>
    <w:unhideWhenUsed/>
    <w:rsid w:val="00A55B35"/>
    <w:rPr>
      <w:sz w:val="20"/>
      <w:szCs w:val="20"/>
    </w:rPr>
  </w:style>
  <w:style w:type="character" w:customStyle="1" w:styleId="CommentTextChar">
    <w:name w:val="Comment Text Char"/>
    <w:basedOn w:val="DefaultParagraphFont"/>
    <w:link w:val="CommentText"/>
    <w:uiPriority w:val="99"/>
    <w:semiHidden/>
    <w:rsid w:val="00A55B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B35"/>
    <w:rPr>
      <w:b/>
      <w:bCs/>
    </w:rPr>
  </w:style>
  <w:style w:type="character" w:customStyle="1" w:styleId="CommentSubjectChar">
    <w:name w:val="Comment Subject Char"/>
    <w:basedOn w:val="CommentTextChar"/>
    <w:link w:val="CommentSubject"/>
    <w:uiPriority w:val="99"/>
    <w:semiHidden/>
    <w:rsid w:val="00A55B35"/>
    <w:rPr>
      <w:b/>
      <w:bCs/>
    </w:rPr>
  </w:style>
  <w:style w:type="paragraph" w:styleId="PlainText">
    <w:name w:val="Plain Text"/>
    <w:basedOn w:val="Normal"/>
    <w:link w:val="PlainTextChar"/>
    <w:uiPriority w:val="99"/>
    <w:semiHidden/>
    <w:unhideWhenUsed/>
    <w:rsid w:val="00DB144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DB1442"/>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53356231">
      <w:bodyDiv w:val="1"/>
      <w:marLeft w:val="0"/>
      <w:marRight w:val="0"/>
      <w:marTop w:val="0"/>
      <w:marBottom w:val="0"/>
      <w:divBdr>
        <w:top w:val="none" w:sz="0" w:space="0" w:color="auto"/>
        <w:left w:val="none" w:sz="0" w:space="0" w:color="auto"/>
        <w:bottom w:val="none" w:sz="0" w:space="0" w:color="auto"/>
        <w:right w:val="none" w:sz="0" w:space="0" w:color="auto"/>
      </w:divBdr>
    </w:div>
    <w:div w:id="579800730">
      <w:bodyDiv w:val="1"/>
      <w:marLeft w:val="0"/>
      <w:marRight w:val="0"/>
      <w:marTop w:val="0"/>
      <w:marBottom w:val="0"/>
      <w:divBdr>
        <w:top w:val="none" w:sz="0" w:space="0" w:color="auto"/>
        <w:left w:val="none" w:sz="0" w:space="0" w:color="auto"/>
        <w:bottom w:val="none" w:sz="0" w:space="0" w:color="auto"/>
        <w:right w:val="none" w:sz="0" w:space="0" w:color="auto"/>
      </w:divBdr>
    </w:div>
    <w:div w:id="156941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0C9E2-B040-4B74-8D65-B1496D5B2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38</Pages>
  <Words>9185</Words>
  <Characters>52361</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jnase</dc:creator>
  <cp:lastModifiedBy>Administrator</cp:lastModifiedBy>
  <cp:revision>11</cp:revision>
  <cp:lastPrinted>2010-05-11T13:38:00Z</cp:lastPrinted>
  <dcterms:created xsi:type="dcterms:W3CDTF">2010-04-27T18:31:00Z</dcterms:created>
  <dcterms:modified xsi:type="dcterms:W3CDTF">2010-05-11T13:38:00Z</dcterms:modified>
</cp:coreProperties>
</file>