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980"/>
        <w:gridCol w:w="270"/>
        <w:gridCol w:w="1530"/>
        <w:gridCol w:w="450"/>
        <w:gridCol w:w="2880"/>
      </w:tblGrid>
      <w:tr w:rsidR="00142BC5" w:rsidRPr="00DD4B2D">
        <w:tc>
          <w:tcPr>
            <w:tcW w:w="2448" w:type="dxa"/>
          </w:tcPr>
          <w:p w:rsidR="00142BC5" w:rsidRPr="00AC1019" w:rsidRDefault="00142BC5"/>
        </w:tc>
        <w:tc>
          <w:tcPr>
            <w:tcW w:w="4230" w:type="dxa"/>
            <w:gridSpan w:val="4"/>
          </w:tcPr>
          <w:p w:rsidR="00142BC5" w:rsidRPr="00DD4B2D" w:rsidRDefault="00142BC5">
            <w:pPr>
              <w:jc w:val="center"/>
              <w:rPr>
                <w:b/>
              </w:rPr>
            </w:pPr>
            <w:smartTag w:uri="urn:schemas-microsoft-com:office:smarttags" w:element="place">
              <w:smartTag w:uri="urn:schemas-microsoft-com:office:smarttags" w:element="State">
                <w:r w:rsidRPr="00DD4B2D">
                  <w:rPr>
                    <w:b/>
                  </w:rPr>
                  <w:t>PENNSYLVANIA</w:t>
                </w:r>
              </w:smartTag>
            </w:smartTag>
          </w:p>
          <w:p w:rsidR="00142BC5" w:rsidRPr="00DD4B2D" w:rsidRDefault="00142BC5">
            <w:pPr>
              <w:jc w:val="center"/>
              <w:rPr>
                <w:b/>
              </w:rPr>
            </w:pPr>
            <w:r w:rsidRPr="00DD4B2D">
              <w:rPr>
                <w:b/>
              </w:rPr>
              <w:t>PUBLIC UTILITY COMMISSION</w:t>
            </w:r>
          </w:p>
          <w:p w:rsidR="00142BC5" w:rsidRPr="00DD4B2D" w:rsidRDefault="00142BC5">
            <w:pPr>
              <w:jc w:val="center"/>
            </w:pPr>
            <w:smartTag w:uri="urn:schemas-microsoft-com:office:smarttags" w:element="place">
              <w:smartTag w:uri="urn:schemas-microsoft-com:office:smarttags" w:element="City">
                <w:r w:rsidRPr="00DD4B2D">
                  <w:rPr>
                    <w:b/>
                  </w:rPr>
                  <w:t>Harrisburg</w:t>
                </w:r>
              </w:smartTag>
              <w:r w:rsidRPr="00DD4B2D">
                <w:rPr>
                  <w:b/>
                </w:rPr>
                <w:t xml:space="preserve">, </w:t>
              </w:r>
              <w:smartTag w:uri="urn:schemas-microsoft-com:office:smarttags" w:element="State">
                <w:r w:rsidRPr="00DD4B2D">
                  <w:rPr>
                    <w:b/>
                  </w:rPr>
                  <w:t>PA</w:t>
                </w:r>
              </w:smartTag>
              <w:r w:rsidRPr="00DD4B2D">
                <w:rPr>
                  <w:b/>
                </w:rPr>
                <w:t xml:space="preserve">  </w:t>
              </w:r>
              <w:smartTag w:uri="urn:schemas-microsoft-com:office:smarttags" w:element="PostalCode">
                <w:r w:rsidRPr="00DD4B2D">
                  <w:rPr>
                    <w:b/>
                  </w:rPr>
                  <w:t>17105-3265</w:t>
                </w:r>
              </w:smartTag>
            </w:smartTag>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4"/>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3"/>
          </w:tcPr>
          <w:p w:rsidR="00142BC5" w:rsidRPr="00DD4B2D" w:rsidRDefault="00142BC5"/>
        </w:tc>
        <w:tc>
          <w:tcPr>
            <w:tcW w:w="4860" w:type="dxa"/>
            <w:gridSpan w:val="3"/>
          </w:tcPr>
          <w:p w:rsidR="00142BC5" w:rsidRPr="009F6E2F" w:rsidRDefault="00142BC5" w:rsidP="00E01A29">
            <w:pPr>
              <w:rPr>
                <w:highlight w:val="green"/>
              </w:rPr>
            </w:pPr>
            <w:r w:rsidRPr="00872C9E">
              <w:t>Public Meeting held</w:t>
            </w:r>
            <w:r w:rsidR="00E3104A">
              <w:t xml:space="preserve"> May 20</w:t>
            </w:r>
            <w:r w:rsidR="00D127D3" w:rsidRPr="00872C9E">
              <w:t>, 20</w:t>
            </w:r>
            <w:r w:rsidR="005D23AC" w:rsidRPr="00872C9E">
              <w:t>10</w:t>
            </w:r>
          </w:p>
        </w:tc>
      </w:tr>
      <w:tr w:rsidR="00142BC5" w:rsidRPr="009F6E2F">
        <w:tc>
          <w:tcPr>
            <w:tcW w:w="4698" w:type="dxa"/>
            <w:gridSpan w:val="3"/>
          </w:tcPr>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3"/>
          </w:tcPr>
          <w:p w:rsidR="00AC1019" w:rsidRPr="005D23AC" w:rsidRDefault="00AC1019"/>
        </w:tc>
        <w:tc>
          <w:tcPr>
            <w:tcW w:w="4860" w:type="dxa"/>
            <w:gridSpan w:val="3"/>
          </w:tcPr>
          <w:p w:rsidR="00AC1019" w:rsidRPr="005D23AC" w:rsidRDefault="00AC1019"/>
        </w:tc>
      </w:tr>
      <w:tr w:rsidR="00142BC5" w:rsidRPr="009F6E2F">
        <w:tc>
          <w:tcPr>
            <w:tcW w:w="4698" w:type="dxa"/>
            <w:gridSpan w:val="3"/>
          </w:tcPr>
          <w:p w:rsidR="00142BC5" w:rsidRPr="005D23AC" w:rsidRDefault="00666333">
            <w:pPr>
              <w:ind w:firstLine="450"/>
            </w:pPr>
            <w:r w:rsidRPr="005D23AC">
              <w:t xml:space="preserve">James H. Cawley, </w:t>
            </w:r>
            <w:r w:rsidR="00EB093F" w:rsidRPr="005D23AC">
              <w:t>Chairman</w:t>
            </w:r>
          </w:p>
        </w:tc>
        <w:tc>
          <w:tcPr>
            <w:tcW w:w="4860" w:type="dxa"/>
            <w:gridSpan w:val="3"/>
          </w:tcPr>
          <w:p w:rsidR="00142BC5" w:rsidRPr="005D23AC" w:rsidRDefault="00142BC5"/>
        </w:tc>
      </w:tr>
      <w:tr w:rsidR="00142BC5" w:rsidRPr="009F6E2F">
        <w:tc>
          <w:tcPr>
            <w:tcW w:w="4698" w:type="dxa"/>
            <w:gridSpan w:val="3"/>
          </w:tcPr>
          <w:p w:rsidR="00142BC5" w:rsidRPr="005D23AC" w:rsidRDefault="002303F8">
            <w:pPr>
              <w:ind w:firstLine="450"/>
            </w:pPr>
            <w:r w:rsidRPr="005D23AC">
              <w:t>Tyrone J. Christy, Vice Chairman</w:t>
            </w:r>
          </w:p>
        </w:tc>
        <w:tc>
          <w:tcPr>
            <w:tcW w:w="4860" w:type="dxa"/>
            <w:gridSpan w:val="3"/>
          </w:tcPr>
          <w:p w:rsidR="00142BC5" w:rsidRPr="005D23AC" w:rsidRDefault="00142BC5"/>
        </w:tc>
      </w:tr>
      <w:tr w:rsidR="004324B3" w:rsidRPr="009F6E2F">
        <w:tc>
          <w:tcPr>
            <w:tcW w:w="4698" w:type="dxa"/>
            <w:gridSpan w:val="3"/>
          </w:tcPr>
          <w:p w:rsidR="004324B3" w:rsidRPr="005D23AC" w:rsidRDefault="004324B3" w:rsidP="0024624F">
            <w:pPr>
              <w:ind w:firstLine="450"/>
            </w:pPr>
            <w:r w:rsidRPr="005D23AC">
              <w:t>Wayne E. Gardner</w:t>
            </w:r>
          </w:p>
        </w:tc>
        <w:tc>
          <w:tcPr>
            <w:tcW w:w="4860" w:type="dxa"/>
            <w:gridSpan w:val="3"/>
          </w:tcPr>
          <w:p w:rsidR="004324B3" w:rsidRPr="005D23AC" w:rsidRDefault="004324B3"/>
        </w:tc>
      </w:tr>
      <w:tr w:rsidR="004324B3" w:rsidRPr="009F6E2F">
        <w:tc>
          <w:tcPr>
            <w:tcW w:w="4698" w:type="dxa"/>
            <w:gridSpan w:val="3"/>
          </w:tcPr>
          <w:p w:rsidR="004324B3" w:rsidRPr="005D23AC" w:rsidRDefault="004324B3" w:rsidP="0024624F">
            <w:pPr>
              <w:ind w:firstLine="450"/>
            </w:pPr>
            <w:r w:rsidRPr="005D23AC">
              <w:t>Robert F. Powelson</w:t>
            </w:r>
          </w:p>
        </w:tc>
        <w:tc>
          <w:tcPr>
            <w:tcW w:w="4860" w:type="dxa"/>
            <w:gridSpan w:val="3"/>
          </w:tcPr>
          <w:p w:rsidR="004324B3" w:rsidRPr="005D23AC" w:rsidRDefault="004324B3"/>
        </w:tc>
      </w:tr>
      <w:tr w:rsidR="004324B3" w:rsidRPr="009F6E2F">
        <w:tc>
          <w:tcPr>
            <w:tcW w:w="4698" w:type="dxa"/>
            <w:gridSpan w:val="3"/>
          </w:tcPr>
          <w:p w:rsidR="004324B3" w:rsidRPr="005D23AC" w:rsidRDefault="004324B3">
            <w:pPr>
              <w:ind w:firstLine="450"/>
            </w:pPr>
          </w:p>
        </w:tc>
        <w:tc>
          <w:tcPr>
            <w:tcW w:w="4860" w:type="dxa"/>
            <w:gridSpan w:val="3"/>
          </w:tcPr>
          <w:p w:rsidR="004324B3" w:rsidRPr="005D23AC" w:rsidRDefault="004324B3"/>
        </w:tc>
      </w:tr>
      <w:tr w:rsidR="004324B3" w:rsidRPr="009F6E2F">
        <w:tc>
          <w:tcPr>
            <w:tcW w:w="6228" w:type="dxa"/>
            <w:gridSpan w:val="4"/>
          </w:tcPr>
          <w:p w:rsidR="004324B3" w:rsidRPr="009F6E2F" w:rsidRDefault="004324B3">
            <w:pPr>
              <w:jc w:val="center"/>
              <w:rPr>
                <w:highlight w:val="green"/>
              </w:rPr>
            </w:pPr>
          </w:p>
        </w:tc>
        <w:tc>
          <w:tcPr>
            <w:tcW w:w="3330" w:type="dxa"/>
            <w:gridSpan w:val="2"/>
          </w:tcPr>
          <w:p w:rsidR="004324B3" w:rsidRPr="009F6E2F" w:rsidRDefault="004324B3">
            <w:pPr>
              <w:ind w:firstLine="1332"/>
              <w:rPr>
                <w:highlight w:val="green"/>
              </w:rPr>
            </w:pPr>
          </w:p>
        </w:tc>
      </w:tr>
      <w:tr w:rsidR="004324B3" w:rsidRPr="00872C9E" w:rsidTr="004D2B0E">
        <w:tc>
          <w:tcPr>
            <w:tcW w:w="4428" w:type="dxa"/>
            <w:gridSpan w:val="2"/>
            <w:vAlign w:val="center"/>
          </w:tcPr>
          <w:p w:rsidR="004324B3" w:rsidRPr="00872C9E" w:rsidRDefault="004324B3" w:rsidP="00F47908">
            <w:pPr>
              <w:jc w:val="center"/>
            </w:pPr>
            <w:smartTag w:uri="urn:schemas-microsoft-com:office:smarttags" w:element="State">
              <w:smartTag w:uri="urn:schemas-microsoft-com:office:smarttags" w:element="place">
                <w:r w:rsidRPr="00872C9E">
                  <w:t>Pennsylvania</w:t>
                </w:r>
              </w:smartTag>
            </w:smartTag>
            <w:r w:rsidRPr="00872C9E">
              <w:t xml:space="preserve"> Public Utility Commission</w:t>
            </w:r>
          </w:p>
          <w:p w:rsidR="004324B3" w:rsidRPr="00872C9E" w:rsidRDefault="004324B3" w:rsidP="00F32FF7">
            <w:pPr>
              <w:tabs>
                <w:tab w:val="left" w:pos="1455"/>
              </w:tabs>
              <w:jc w:val="center"/>
            </w:pPr>
            <w:r w:rsidRPr="00872C9E">
              <w:t>v.</w:t>
            </w:r>
          </w:p>
          <w:p w:rsidR="004324B3" w:rsidRPr="00872C9E" w:rsidRDefault="00E3104A" w:rsidP="00F32FF7">
            <w:pPr>
              <w:jc w:val="center"/>
            </w:pPr>
            <w:r>
              <w:t>PECO Energy Company</w:t>
            </w:r>
          </w:p>
        </w:tc>
        <w:tc>
          <w:tcPr>
            <w:tcW w:w="1800" w:type="dxa"/>
            <w:gridSpan w:val="2"/>
            <w:vAlign w:val="center"/>
          </w:tcPr>
          <w:p w:rsidR="004324B3" w:rsidRPr="00872C9E" w:rsidRDefault="004324B3" w:rsidP="00F32FF7">
            <w:pPr>
              <w:jc w:val="center"/>
            </w:pPr>
          </w:p>
        </w:tc>
        <w:tc>
          <w:tcPr>
            <w:tcW w:w="3330" w:type="dxa"/>
            <w:gridSpan w:val="2"/>
          </w:tcPr>
          <w:p w:rsidR="004324B3" w:rsidRDefault="004324B3" w:rsidP="005F1DC0">
            <w:r>
              <w:t>Docket No.</w:t>
            </w:r>
          </w:p>
          <w:p w:rsidR="004324B3" w:rsidRPr="00872C9E" w:rsidRDefault="00E3104A" w:rsidP="005F1DC0">
            <w:r>
              <w:t>R-2010-2161575</w:t>
            </w:r>
          </w:p>
          <w:p w:rsidR="004324B3" w:rsidRPr="00872C9E" w:rsidRDefault="004324B3" w:rsidP="002728A2">
            <w:pPr>
              <w:rPr>
                <w:i/>
              </w:rPr>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bl>
    <w:p w:rsidR="00F47908" w:rsidRPr="00872C9E" w:rsidRDefault="00F47908">
      <w:pPr>
        <w:jc w:val="center"/>
        <w:rPr>
          <w:b/>
        </w:rPr>
      </w:pPr>
    </w:p>
    <w:p w:rsidR="00142BC5" w:rsidRPr="00872C9E" w:rsidRDefault="00142BC5">
      <w:pPr>
        <w:jc w:val="center"/>
      </w:pPr>
      <w:r w:rsidRPr="00872C9E">
        <w:rPr>
          <w:b/>
        </w:rPr>
        <w:t>ORDER</w:t>
      </w:r>
    </w:p>
    <w:p w:rsidR="00AC1019" w:rsidRPr="00872C9E" w:rsidRDefault="00AC1019">
      <w:pPr>
        <w:spacing w:line="360" w:lineRule="auto"/>
        <w:rPr>
          <w:b/>
        </w:rPr>
      </w:pPr>
    </w:p>
    <w:p w:rsidR="00142BC5" w:rsidRPr="00872C9E" w:rsidRDefault="00142BC5">
      <w:pPr>
        <w:spacing w:line="360" w:lineRule="auto"/>
        <w:rPr>
          <w:b/>
        </w:rPr>
      </w:pPr>
      <w:r w:rsidRPr="00872C9E">
        <w:rPr>
          <w:b/>
        </w:rPr>
        <w:t>BY THE COMMISSION:</w:t>
      </w:r>
    </w:p>
    <w:p w:rsidR="00142BC5" w:rsidRPr="009F6E2F" w:rsidRDefault="00142BC5">
      <w:pPr>
        <w:spacing w:line="360" w:lineRule="auto"/>
        <w:rPr>
          <w:highlight w:val="green"/>
        </w:rPr>
      </w:pPr>
    </w:p>
    <w:p w:rsidR="00894F25" w:rsidRPr="000C4E0A" w:rsidRDefault="00142BC5" w:rsidP="006F0B7B">
      <w:pPr>
        <w:spacing w:line="360" w:lineRule="auto"/>
        <w:ind w:firstLine="720"/>
      </w:pPr>
      <w:r w:rsidRPr="000A6FCA">
        <w:t>On</w:t>
      </w:r>
      <w:r w:rsidR="0043557E" w:rsidRPr="000A6FCA">
        <w:t xml:space="preserve"> </w:t>
      </w:r>
      <w:r w:rsidR="00E3104A">
        <w:t>March 31</w:t>
      </w:r>
      <w:r w:rsidR="000A6FCA" w:rsidRPr="000A6FCA">
        <w:t>, 2010</w:t>
      </w:r>
      <w:r w:rsidRPr="000A6FCA">
        <w:t>,</w:t>
      </w:r>
      <w:r w:rsidR="00933CFE" w:rsidRPr="000A6FCA">
        <w:t xml:space="preserve"> </w:t>
      </w:r>
      <w:r w:rsidR="00E3104A">
        <w:t>PECO Energy Company,</w:t>
      </w:r>
      <w:r w:rsidR="004B34CF" w:rsidRPr="000A6FCA">
        <w:t xml:space="preserve"> </w:t>
      </w:r>
      <w:r w:rsidRPr="000A6FCA">
        <w:t>(</w:t>
      </w:r>
      <w:r w:rsidR="006A70DE" w:rsidRPr="000A6FCA">
        <w:t>“</w:t>
      </w:r>
      <w:r w:rsidR="00E3104A">
        <w:t>PECO</w:t>
      </w:r>
      <w:r w:rsidR="006A70DE" w:rsidRPr="000A6FCA">
        <w:t>” or “the Company”</w:t>
      </w:r>
      <w:r w:rsidRPr="000A6FCA">
        <w:t xml:space="preserve">) filed </w:t>
      </w:r>
      <w:bookmarkStart w:id="0" w:name="OLE_LINK1"/>
      <w:bookmarkStart w:id="1" w:name="OLE_LINK2"/>
      <w:r w:rsidR="002728A2" w:rsidRPr="00F32EFC">
        <w:t xml:space="preserve">Supplement No. </w:t>
      </w:r>
      <w:r w:rsidR="006C18AB">
        <w:t>2</w:t>
      </w:r>
      <w:r w:rsidR="002728A2" w:rsidRPr="00F32EFC">
        <w:t xml:space="preserve"> </w:t>
      </w:r>
      <w:r w:rsidR="00C40D8B" w:rsidRPr="00F32EFC">
        <w:t xml:space="preserve">to </w:t>
      </w:r>
      <w:r w:rsidRPr="00F32EFC">
        <w:t xml:space="preserve">Tariff </w:t>
      </w:r>
      <w:r w:rsidR="006C18AB">
        <w:t>Electric</w:t>
      </w:r>
      <w:r w:rsidRPr="00F32EFC">
        <w:t xml:space="preserve">-Pa. P.U.C. No. </w:t>
      </w:r>
      <w:bookmarkEnd w:id="0"/>
      <w:bookmarkEnd w:id="1"/>
      <w:r w:rsidR="006C18AB">
        <w:t>4</w:t>
      </w:r>
      <w:r w:rsidR="00CA155A" w:rsidRPr="00F32EFC">
        <w:t xml:space="preserve">, </w:t>
      </w:r>
      <w:r w:rsidRPr="00F32EFC">
        <w:t>containing proposed changes in rates, rules</w:t>
      </w:r>
      <w:r w:rsidR="00C67675" w:rsidRPr="00F32EFC">
        <w:t>,</w:t>
      </w:r>
      <w:r w:rsidRPr="00F32EFC">
        <w:t xml:space="preserve"> and regulations calculated to produce </w:t>
      </w:r>
      <w:r w:rsidR="00F32EFC">
        <w:t xml:space="preserve">approximately </w:t>
      </w:r>
      <w:r w:rsidRPr="00C23CD5">
        <w:t>$</w:t>
      </w:r>
      <w:r w:rsidR="006C18AB">
        <w:t>316.4</w:t>
      </w:r>
      <w:r w:rsidR="004B34CF" w:rsidRPr="00C23CD5">
        <w:t xml:space="preserve"> million</w:t>
      </w:r>
      <w:r w:rsidR="00727F3A" w:rsidRPr="00C23CD5">
        <w:t xml:space="preserve"> </w:t>
      </w:r>
      <w:r w:rsidRPr="00C23CD5">
        <w:t>in additional annual</w:t>
      </w:r>
      <w:r w:rsidRPr="00C23CD5">
        <w:rPr>
          <w:i/>
        </w:rPr>
        <w:t xml:space="preserve"> </w:t>
      </w:r>
      <w:r w:rsidRPr="00C23CD5">
        <w:t>revenues</w:t>
      </w:r>
      <w:r w:rsidR="00E8555F" w:rsidRPr="00C23CD5">
        <w:t>, r</w:t>
      </w:r>
      <w:r w:rsidR="006C18AB">
        <w:t>epresenting an increase of 7</w:t>
      </w:r>
      <w:r w:rsidR="00727F3A" w:rsidRPr="000C4E0A">
        <w:t>%</w:t>
      </w:r>
      <w:r w:rsidR="003C59E0" w:rsidRPr="000C4E0A">
        <w:t>.</w:t>
      </w:r>
      <w:r w:rsidRPr="000C4E0A">
        <w:t xml:space="preserve">  </w:t>
      </w:r>
      <w:r w:rsidR="006C18AB">
        <w:t>Supplement No. 2</w:t>
      </w:r>
      <w:r w:rsidR="00E8555F" w:rsidRPr="000C4E0A">
        <w:t xml:space="preserve"> bear</w:t>
      </w:r>
      <w:r w:rsidR="000C4E0A" w:rsidRPr="000C4E0A">
        <w:t>s</w:t>
      </w:r>
      <w:r w:rsidR="00E8555F" w:rsidRPr="000C4E0A">
        <w:t xml:space="preserve"> a proposed effective date of </w:t>
      </w:r>
      <w:r w:rsidR="006C18AB">
        <w:t>May 30,</w:t>
      </w:r>
      <w:r w:rsidR="000C4E0A" w:rsidRPr="000C4E0A">
        <w:t xml:space="preserve"> 2010</w:t>
      </w:r>
      <w:r w:rsidR="007822B3" w:rsidRPr="000C4E0A">
        <w:t>.</w:t>
      </w:r>
    </w:p>
    <w:p w:rsidR="00860DCD" w:rsidRPr="000C4E0A" w:rsidRDefault="00860DCD" w:rsidP="00CA155A">
      <w:pPr>
        <w:spacing w:line="360" w:lineRule="auto"/>
        <w:ind w:firstLine="1440"/>
      </w:pPr>
    </w:p>
    <w:p w:rsidR="0056094C" w:rsidRDefault="006C18AB" w:rsidP="006F0B7B">
      <w:pPr>
        <w:spacing w:line="360" w:lineRule="auto"/>
        <w:ind w:firstLine="720"/>
      </w:pPr>
      <w:r>
        <w:t>PECO</w:t>
      </w:r>
      <w:r w:rsidR="003C59E0" w:rsidRPr="00AD7B0F">
        <w:t>’s propose</w:t>
      </w:r>
      <w:r w:rsidR="00860DCD" w:rsidRPr="00AD7B0F">
        <w:t>d general rate increase</w:t>
      </w:r>
      <w:r w:rsidR="0024624F">
        <w:t xml:space="preserve"> is based on a future test year ending December 31, 2010</w:t>
      </w:r>
      <w:r w:rsidR="005C6EB0" w:rsidRPr="00AD7B0F">
        <w:t>, and will produce</w:t>
      </w:r>
      <w:r w:rsidR="0024624F">
        <w:t xml:space="preserve"> a $316.4</w:t>
      </w:r>
      <w:r w:rsidR="003C59E0" w:rsidRPr="00AD7B0F">
        <w:t xml:space="preserve"> million</w:t>
      </w:r>
      <w:r w:rsidR="00DE438F" w:rsidRPr="00AD7B0F">
        <w:t xml:space="preserve"> </w:t>
      </w:r>
      <w:r w:rsidR="00874832" w:rsidRPr="00AD7B0F">
        <w:t>increase</w:t>
      </w:r>
      <w:r w:rsidR="0024624F">
        <w:t xml:space="preserve"> in total electric operating</w:t>
      </w:r>
      <w:r w:rsidR="00DE438F" w:rsidRPr="00AD7B0F">
        <w:t xml:space="preserve"> revenues.</w:t>
      </w:r>
      <w:r w:rsidR="00205563" w:rsidRPr="00AD7B0F">
        <w:t xml:space="preserve">  </w:t>
      </w:r>
      <w:r w:rsidR="0056094C" w:rsidRPr="00AD7B0F">
        <w:t xml:space="preserve">Under the </w:t>
      </w:r>
      <w:r w:rsidR="00EE171B" w:rsidRPr="00AD7B0F">
        <w:t>Company’s proposal, the</w:t>
      </w:r>
      <w:r w:rsidR="009D6FEA">
        <w:t xml:space="preserve"> average total</w:t>
      </w:r>
      <w:r w:rsidR="00EE171B" w:rsidRPr="00AD7B0F">
        <w:t xml:space="preserve"> </w:t>
      </w:r>
      <w:r w:rsidR="009D6FEA">
        <w:t>bill for a re</w:t>
      </w:r>
      <w:r w:rsidR="00195414">
        <w:t xml:space="preserve">sidential customer who uses 500 kilowatt hours </w:t>
      </w:r>
      <w:r w:rsidR="009D6FEA">
        <w:t>(</w:t>
      </w:r>
      <w:r w:rsidR="00195414">
        <w:t>kWh) of electric</w:t>
      </w:r>
      <w:r w:rsidR="009D6FEA">
        <w:t xml:space="preserve"> p</w:t>
      </w:r>
      <w:r w:rsidR="00195414">
        <w:t>er month would increase from $81.53</w:t>
      </w:r>
      <w:r w:rsidR="009D6FEA">
        <w:t xml:space="preserve"> to </w:t>
      </w:r>
      <w:r w:rsidR="00195414">
        <w:t>$89</w:t>
      </w:r>
      <w:r w:rsidR="009D6FEA">
        <w:t>.</w:t>
      </w:r>
      <w:r w:rsidR="00195414">
        <w:t>80</w:t>
      </w:r>
      <w:r w:rsidR="00BE39DB">
        <w:t>, a 10.1</w:t>
      </w:r>
      <w:r w:rsidR="009D6FEA">
        <w:t xml:space="preserve"> percent increase.  The average total bill for a commercial customer</w:t>
      </w:r>
      <w:r w:rsidR="00EE171B" w:rsidRPr="00AD7B0F">
        <w:t xml:space="preserve"> </w:t>
      </w:r>
      <w:r w:rsidR="009D6FEA">
        <w:t xml:space="preserve">using </w:t>
      </w:r>
      <w:r w:rsidR="00BE39DB">
        <w:t>10,000 kWh</w:t>
      </w:r>
      <w:r w:rsidR="00576E8E">
        <w:t xml:space="preserve"> </w:t>
      </w:r>
      <w:r w:rsidR="00BE39DB">
        <w:t xml:space="preserve">per </w:t>
      </w:r>
      <w:r w:rsidR="00576E8E">
        <w:t>m</w:t>
      </w:r>
      <w:r w:rsidR="00BE39DB">
        <w:t>onth would increase from $1,222.67 to $1,262.05, a 3.2</w:t>
      </w:r>
      <w:r w:rsidR="00576E8E">
        <w:t xml:space="preserve"> percent </w:t>
      </w:r>
      <w:r w:rsidR="00576E8E">
        <w:lastRenderedPageBreak/>
        <w:t>increase.  The average total bill for an i</w:t>
      </w:r>
      <w:r w:rsidR="00BE39DB">
        <w:t>ndustrial customer using 400,000 kWh</w:t>
      </w:r>
      <w:r w:rsidR="00576E8E">
        <w:t xml:space="preserve"> per </w:t>
      </w:r>
      <w:r w:rsidR="00584758">
        <w:t>month would increase from $41,807.02</w:t>
      </w:r>
      <w:r w:rsidR="00576E8E">
        <w:t xml:space="preserve"> to $4</w:t>
      </w:r>
      <w:r w:rsidR="00584758">
        <w:t>2,970.30, a 2.8</w:t>
      </w:r>
      <w:r w:rsidR="00576E8E">
        <w:t xml:space="preserve"> percent increase</w:t>
      </w:r>
      <w:r w:rsidR="00584758">
        <w:t xml:space="preserve">. </w:t>
      </w:r>
      <w:r w:rsidR="00D87ECC">
        <w:t xml:space="preserve"> The requested rates produce an 8.95% return on the Company’s claimed rate base and a return on its common equity of 11.75%.  </w:t>
      </w:r>
      <w:r w:rsidR="00584758">
        <w:t xml:space="preserve"> PECO </w:t>
      </w:r>
      <w:r w:rsidR="00584758" w:rsidRPr="00F50C46">
        <w:t>states</w:t>
      </w:r>
      <w:r w:rsidR="003019ED" w:rsidRPr="00F50C46">
        <w:t xml:space="preserve"> that it </w:t>
      </w:r>
      <w:r w:rsidR="002B0550">
        <w:t>has been 21 years since it last filed for an increase in electric base rates.</w:t>
      </w:r>
      <w:r w:rsidR="00A726E6">
        <w:t xml:space="preserve">  Since July 1989</w:t>
      </w:r>
      <w:r w:rsidR="00AC5010">
        <w:t>,</w:t>
      </w:r>
      <w:r w:rsidR="00A726E6">
        <w:t xml:space="preserve"> PECO states that is has invested $2.9 billion in its electric system and continues to make capital and infrastructure investments to maintain and improve safety, reliability and customer service levels.</w:t>
      </w:r>
      <w:r w:rsidR="00085C9F">
        <w:t xml:space="preserve"> </w:t>
      </w:r>
      <w:r w:rsidR="002535E6">
        <w:t xml:space="preserve"> </w:t>
      </w:r>
      <w:r w:rsidR="00085C9F">
        <w:t>Furthermore,</w:t>
      </w:r>
      <w:r w:rsidR="00AC5010">
        <w:t xml:space="preserve"> </w:t>
      </w:r>
      <w:r w:rsidR="00085C9F">
        <w:t xml:space="preserve">PECO </w:t>
      </w:r>
      <w:r w:rsidR="003019ED" w:rsidRPr="00F50C46">
        <w:t>is proposing the</w:t>
      </w:r>
      <w:r w:rsidR="00E44E76" w:rsidRPr="00F50C46">
        <w:t xml:space="preserve"> revenue</w:t>
      </w:r>
      <w:r w:rsidR="0001266D" w:rsidRPr="00F50C46">
        <w:t xml:space="preserve"> increase </w:t>
      </w:r>
      <w:r w:rsidR="003019ED" w:rsidRPr="00F50C46">
        <w:t>in order to allow</w:t>
      </w:r>
      <w:r w:rsidR="0057747F" w:rsidRPr="00F50C46">
        <w:t xml:space="preserve"> the Company t</w:t>
      </w:r>
      <w:r w:rsidR="003019ED" w:rsidRPr="00F50C46">
        <w:t>he opportunity to recover revenue sufficient to cover its operating expenses and increases to rate base</w:t>
      </w:r>
      <w:r w:rsidR="00876B10">
        <w:t>,</w:t>
      </w:r>
      <w:r w:rsidR="003019ED" w:rsidRPr="00F50C46">
        <w:t xml:space="preserve"> and </w:t>
      </w:r>
      <w:r w:rsidR="00876B10">
        <w:t xml:space="preserve">to </w:t>
      </w:r>
      <w:r w:rsidR="003019ED" w:rsidRPr="00F50C46">
        <w:t>provide a fair rate of return.</w:t>
      </w:r>
    </w:p>
    <w:p w:rsidR="001500A4" w:rsidRDefault="001500A4" w:rsidP="006F0B7B">
      <w:pPr>
        <w:spacing w:line="360" w:lineRule="auto"/>
        <w:ind w:firstLine="720"/>
      </w:pPr>
    </w:p>
    <w:p w:rsidR="001500A4" w:rsidRDefault="003B2DC3" w:rsidP="006F0B7B">
      <w:pPr>
        <w:spacing w:line="360" w:lineRule="auto"/>
        <w:ind w:firstLine="720"/>
      </w:pPr>
      <w:r>
        <w:t>PECO proposes certain changes in rate design to include: (1) aligning fixed distribution/customer charges with, or closer to, customer-classified costs; (2) eliminating certain rates that are legacies of PECO’s ”bundled” rates</w:t>
      </w:r>
      <w:r w:rsidR="009A5EBF">
        <w:t xml:space="preserve"> (i.e., recovery of generation costs as well as distribution costs); and (3) implementing a Transmission Service Charge (“TSC”) Rider to remove PJM-related transmission charges</w:t>
      </w:r>
      <w:r w:rsidR="002535E6">
        <w:t xml:space="preserve"> from base rates, PECO avers</w:t>
      </w:r>
      <w:r w:rsidR="009A5EBF">
        <w:t xml:space="preserve"> that this approach will assure competitive neutrality between default service  and service offered by Electric Generation Suppliers</w:t>
      </w:r>
      <w:r w:rsidR="00F86C0F">
        <w:t xml:space="preserve">.  PECO also proposes to unbundle the working capital revenue requirement associated with a portion of PECO’s default generation supply and transmission-service costs </w:t>
      </w:r>
      <w:r w:rsidR="00D0664F">
        <w:t>by recovering that revenue requirement in the Generation Supply Adjustment (“GSA”) and the TSC, which will only apply to default-service customers.  PECO proposes to recover all existing meter and meter-reading</w:t>
      </w:r>
      <w:r w:rsidR="002535E6">
        <w:t xml:space="preserve"> costs</w:t>
      </w:r>
      <w:r w:rsidR="00D0664F">
        <w:t xml:space="preserve"> through the Smart Meter Cost Recovery Rider (</w:t>
      </w:r>
      <w:r w:rsidR="008C204C">
        <w:t>“SMCR”).</w:t>
      </w:r>
    </w:p>
    <w:p w:rsidR="008C204C" w:rsidRDefault="008C204C" w:rsidP="006F0B7B">
      <w:pPr>
        <w:spacing w:line="360" w:lineRule="auto"/>
        <w:ind w:firstLine="720"/>
      </w:pPr>
    </w:p>
    <w:p w:rsidR="00311500" w:rsidRDefault="008C204C" w:rsidP="006F0B7B">
      <w:pPr>
        <w:spacing w:line="360" w:lineRule="auto"/>
        <w:ind w:firstLine="720"/>
      </w:pPr>
      <w:r>
        <w:t xml:space="preserve">PECO agreed to a number of Customer Assistance Program (“CAP”) affordability enhancements as a result from the </w:t>
      </w:r>
      <w:r w:rsidR="00686C74">
        <w:t xml:space="preserve">electric default –service proceeding at Docket No. P-2008-2062739.  The CAP enhancements include increasing the discount levels that PECO offers to CAP customers </w:t>
      </w:r>
      <w:r w:rsidR="00311500">
        <w:t xml:space="preserve">to meet the Commission’s affordability targets, </w:t>
      </w:r>
      <w:r w:rsidR="00667527">
        <w:t>and implementing</w:t>
      </w:r>
      <w:r w:rsidR="00311500">
        <w:t xml:space="preserve"> new cost-containment design criteria that limit maximum CAP benefits on a system-wide </w:t>
      </w:r>
      <w:r w:rsidR="00311500">
        <w:lastRenderedPageBreak/>
        <w:t>basis.  PECO also proposes to include a $59 million adjustment to roll the cost of the CAP programs into base rates.</w:t>
      </w:r>
    </w:p>
    <w:p w:rsidR="00667527" w:rsidRDefault="00667527" w:rsidP="006F0B7B">
      <w:pPr>
        <w:spacing w:line="360" w:lineRule="auto"/>
        <w:ind w:firstLine="720"/>
      </w:pPr>
    </w:p>
    <w:p w:rsidR="008C204C" w:rsidRDefault="00667527" w:rsidP="006F0B7B">
      <w:pPr>
        <w:spacing w:line="360" w:lineRule="auto"/>
        <w:ind w:firstLine="720"/>
      </w:pPr>
      <w:r>
        <w:t>PECO states that it has invested $2.9 billion in its electric distribution plant</w:t>
      </w:r>
      <w:r w:rsidR="005548B7">
        <w:t xml:space="preserve"> since July 1989. </w:t>
      </w:r>
      <w:r>
        <w:t xml:space="preserve"> </w:t>
      </w:r>
      <w:r w:rsidR="005548B7">
        <w:t xml:space="preserve">PECO contends that it makes significant capital and infrastructure investments in its service territory every year, which help to maintain and create thousands of jobs while maintaining and improving its safety, reliability, and customer-service levels.  </w:t>
      </w:r>
      <w:r w:rsidR="00311500">
        <w:t xml:space="preserve"> </w:t>
      </w:r>
    </w:p>
    <w:p w:rsidR="00E3443A" w:rsidRDefault="00E3443A" w:rsidP="00E67324">
      <w:pPr>
        <w:spacing w:line="480" w:lineRule="auto"/>
        <w:ind w:firstLine="720"/>
      </w:pPr>
    </w:p>
    <w:p w:rsidR="00E67324" w:rsidRDefault="00E67324" w:rsidP="007825BF">
      <w:pPr>
        <w:spacing w:line="360" w:lineRule="auto"/>
        <w:ind w:firstLine="720"/>
      </w:pPr>
      <w:r>
        <w:t xml:space="preserve">Our analysis of PECO’s proposed general rate increase has identified additional issues, “ring fencing and “dividend payout ratios,” that may have a significant impact on the rates to consumers of the utility.  </w:t>
      </w:r>
    </w:p>
    <w:p w:rsidR="007825BF" w:rsidRDefault="007825BF" w:rsidP="007825BF">
      <w:pPr>
        <w:spacing w:line="360" w:lineRule="auto"/>
        <w:ind w:firstLine="720"/>
      </w:pPr>
    </w:p>
    <w:p w:rsidR="00E67324" w:rsidRDefault="00E67324" w:rsidP="007825BF">
      <w:pPr>
        <w:spacing w:line="360" w:lineRule="auto"/>
        <w:ind w:firstLine="720"/>
      </w:pPr>
      <w:r>
        <w:t>Ring fencing protections allow the risks associated with the jurisdictional utility to be isolated from the risks associated with its affiliates of the consolidated entity.    Further evidence should be provided with respect to the effectiveness of any such ring fencing protections, and the parties should address the effectiveness</w:t>
      </w:r>
      <w:r w:rsidR="00952128">
        <w:t xml:space="preserve"> and its potential impact on the credit worthiness of PECO and ultimately the cost of capital of the regulated entity</w:t>
      </w:r>
      <w:r>
        <w:t>.</w:t>
      </w:r>
    </w:p>
    <w:p w:rsidR="00E67324" w:rsidRDefault="00E67324" w:rsidP="00E67324"/>
    <w:p w:rsidR="00E67324" w:rsidRDefault="00E67324" w:rsidP="00E67324">
      <w:pPr>
        <w:spacing w:line="360" w:lineRule="auto"/>
        <w:ind w:firstLine="720"/>
      </w:pPr>
      <w:r>
        <w:t xml:space="preserve">PECO, in its filing, has reported five year dividend levels that indicate, through subsequent data requests, recent dividend payout ratios that </w:t>
      </w:r>
      <w:r w:rsidR="00952128">
        <w:t>may be excessive</w:t>
      </w:r>
      <w:r>
        <w:t>.  PECO has indicated that the 2005 – 2009 dividend payout ratios were 91%, 115%, 112%, 149% and 90% respectively.  For several years dividends paid have exceeded earnings</w:t>
      </w:r>
      <w:r w:rsidR="00952128">
        <w:t>.  These levels of dividends may be</w:t>
      </w:r>
      <w:r>
        <w:t xml:space="preserve"> unsustainable in the long run.  The Commission is concerned with the impact these recent dividend payout levels may have on PECO’s capital structure, cost of debt and equity capital and, ultimately, rates to customers.  Parties should address the effects of these payout ratios, as well as, the impact of dividends at the levels of the past five years on PECO’s use of external capital.</w:t>
      </w:r>
    </w:p>
    <w:p w:rsidR="000E3729" w:rsidRDefault="000E3729" w:rsidP="006F0B7B">
      <w:pPr>
        <w:spacing w:line="360" w:lineRule="auto"/>
        <w:ind w:firstLine="720"/>
      </w:pPr>
    </w:p>
    <w:p w:rsidR="000E3729" w:rsidRDefault="000E3729" w:rsidP="006F0B7B">
      <w:pPr>
        <w:spacing w:line="360" w:lineRule="auto"/>
        <w:ind w:firstLine="720"/>
      </w:pPr>
      <w:r>
        <w:lastRenderedPageBreak/>
        <w:t xml:space="preserve">The Office of Consumer Advocate and Office of Small Business Advocate both filed formal complaints against </w:t>
      </w:r>
      <w:r w:rsidR="00F96405">
        <w:t>PECO’s</w:t>
      </w:r>
      <w:r>
        <w:t xml:space="preserve"> proposed general rate increase.  A</w:t>
      </w:r>
      <w:r w:rsidR="00FE6CEF">
        <w:t>nd as of May 11</w:t>
      </w:r>
      <w:r w:rsidR="004035D3">
        <w:t xml:space="preserve">, 2010 </w:t>
      </w:r>
      <w:r w:rsidR="00FE6CEF">
        <w:t xml:space="preserve">several </w:t>
      </w:r>
      <w:r w:rsidR="004035D3">
        <w:t>formal complaint</w:t>
      </w:r>
      <w:r w:rsidR="00FE6CEF">
        <w:t>s</w:t>
      </w:r>
      <w:r w:rsidR="001F143B">
        <w:t xml:space="preserve"> and protests</w:t>
      </w:r>
      <w:r w:rsidR="00FE6CEF">
        <w:t xml:space="preserve"> were</w:t>
      </w:r>
      <w:r w:rsidR="004035D3">
        <w:t xml:space="preserve"> filed by </w:t>
      </w:r>
      <w:r w:rsidR="00FE6CEF">
        <w:t xml:space="preserve">PECO customers </w:t>
      </w:r>
      <w:r>
        <w:t>in this proceeding.</w:t>
      </w:r>
    </w:p>
    <w:p w:rsidR="00360270" w:rsidRDefault="00360270" w:rsidP="006F0B7B">
      <w:pPr>
        <w:spacing w:line="360" w:lineRule="auto"/>
        <w:ind w:firstLine="720"/>
      </w:pPr>
    </w:p>
    <w:p w:rsidR="001357BC" w:rsidRDefault="00E41CEB" w:rsidP="006F0B7B">
      <w:pPr>
        <w:spacing w:line="360" w:lineRule="auto"/>
        <w:ind w:firstLine="720"/>
      </w:pPr>
      <w:r>
        <w:t>Our i</w:t>
      </w:r>
      <w:r w:rsidR="00360270" w:rsidRPr="00B572A4">
        <w:t xml:space="preserve">nvestigation and analysis of this proposed </w:t>
      </w:r>
      <w:r>
        <w:t>general rate increase and</w:t>
      </w:r>
      <w:r w:rsidR="00360270" w:rsidRPr="00B572A4">
        <w:t xml:space="preserve"> the supporting data indicate that the proposed changes in rates, rules, and regulations may be unlawful, unjust, unreasonable, and contrary to the public interest.  It also appears that consideration should be given to the reasonableness of the Company’s existin</w:t>
      </w:r>
      <w:r w:rsidR="00393FB2">
        <w:t xml:space="preserve">g rates, rules, and regulations. </w:t>
      </w:r>
      <w:r>
        <w:t>In this regard we have identified a number of specific issues, which we have delineated in Appendix A, attached to this order.  The following list highlights some of those issues which we deem to be of particular concern:</w:t>
      </w:r>
    </w:p>
    <w:p w:rsidR="00E41CEB" w:rsidRDefault="00E41CEB" w:rsidP="006F0B7B">
      <w:pPr>
        <w:spacing w:line="360" w:lineRule="auto"/>
        <w:ind w:firstLine="720"/>
      </w:pPr>
    </w:p>
    <w:p w:rsidR="00393FB2" w:rsidRDefault="00A32A17" w:rsidP="00772CE5">
      <w:pPr>
        <w:pStyle w:val="ListParagraph"/>
        <w:numPr>
          <w:ilvl w:val="0"/>
          <w:numId w:val="6"/>
        </w:numPr>
        <w:ind w:left="810" w:hanging="270"/>
      </w:pPr>
      <w:r>
        <w:t>PECO</w:t>
      </w:r>
      <w:r w:rsidR="001357BC">
        <w:t xml:space="preserve"> states that it is requesting its proposed rate increase due in part to declining distribution sales and increasing operating expenses.  Accordingly, it is important that the Company’s test year revenue and expense claims be closely examined to determine their accuracy and the extent to which they support the requested revenue increase.</w:t>
      </w:r>
    </w:p>
    <w:p w:rsidR="00772CE5" w:rsidRDefault="00772CE5" w:rsidP="00772CE5">
      <w:pPr>
        <w:pStyle w:val="ListParagraph"/>
        <w:ind w:left="810"/>
      </w:pPr>
    </w:p>
    <w:p w:rsidR="00393FB2" w:rsidRDefault="0029415D" w:rsidP="00FB53B7">
      <w:pPr>
        <w:pStyle w:val="ListParagraph"/>
        <w:numPr>
          <w:ilvl w:val="0"/>
          <w:numId w:val="4"/>
        </w:numPr>
        <w:spacing w:line="276" w:lineRule="auto"/>
        <w:ind w:left="810" w:hanging="270"/>
      </w:pPr>
      <w:r>
        <w:t xml:space="preserve">PECO states in its supporting information that it has invested $2.9 billion to </w:t>
      </w:r>
      <w:r w:rsidR="007F1B75">
        <w:t>maintain</w:t>
      </w:r>
      <w:r>
        <w:t xml:space="preserve"> improve and expand its delivery system since July 1989</w:t>
      </w:r>
      <w:r w:rsidR="007F1B75">
        <w:t>.  To the extent that any of this capital investment is included in the Company’s rate base claim in this proceeding, such investment should be closely reviewed to ensure it was prudently made, and that any utility plant acquired is necessary, used and useful to the provision of electric distribution service.</w:t>
      </w:r>
    </w:p>
    <w:p w:rsidR="00FB53B7" w:rsidRDefault="00FB53B7" w:rsidP="00FB53B7">
      <w:pPr>
        <w:pStyle w:val="ListParagraph"/>
        <w:spacing w:line="276" w:lineRule="auto"/>
        <w:ind w:left="810"/>
      </w:pPr>
    </w:p>
    <w:p w:rsidR="009E21A4" w:rsidRDefault="00405B44" w:rsidP="009E21A4">
      <w:pPr>
        <w:pStyle w:val="ListParagraph"/>
        <w:numPr>
          <w:ilvl w:val="0"/>
          <w:numId w:val="4"/>
        </w:numPr>
        <w:spacing w:line="276" w:lineRule="auto"/>
        <w:ind w:left="810" w:hanging="270"/>
      </w:pPr>
      <w:r>
        <w:t>Two past proceedings have a substantial effect on the</w:t>
      </w:r>
      <w:r w:rsidR="008C0C44">
        <w:t xml:space="preserve"> </w:t>
      </w:r>
      <w:r w:rsidR="007F508E">
        <w:t>PECO’s Universal</w:t>
      </w:r>
      <w:r>
        <w:t xml:space="preserve"> Service Fund Charge (“USFC”).  In the Joint Petition for Settlement approved by the Commission at Docket No. A-110550F0147 (“Unicom Merger Proceeding”)</w:t>
      </w:r>
      <w:r w:rsidR="00485F3E">
        <w:t>, it was stipulated that PECO would be entitled to recover $383 annually through its electric USFC for every customer enrolled in its electric CAP program in excess of a 90,000 customer threshold.  The $383 figure was to remain in effect until PECO’s next electric base rate case.</w:t>
      </w:r>
      <w:r w:rsidR="00F66BD6">
        <w:t xml:space="preserve">  In addition the Three Year Plan Settlement at Docket No. M-00061945 provides for an additional $5.5 million of costs associated with program enhancements</w:t>
      </w:r>
      <w:r w:rsidR="003D3118">
        <w:t xml:space="preserve">, with those costs to be recovered through a </w:t>
      </w:r>
      <w:r w:rsidR="003D3118">
        <w:lastRenderedPageBreak/>
        <w:t>method other than alteration to the $383 USFC charge.  PECO subsequently implemented an additional charge known as the “Supplemental USFC” to recover the $5.5 million per year.</w:t>
      </w:r>
      <w:r w:rsidR="008C0C44">
        <w:t xml:space="preserve"> </w:t>
      </w:r>
      <w:r w:rsidR="007F508E">
        <w:t>PECO proposes to include all its expected CAP costs in its base rate claim</w:t>
      </w:r>
      <w:r w:rsidR="00E56EFC">
        <w:t xml:space="preserve">.  </w:t>
      </w:r>
      <w:r w:rsidR="006D0892">
        <w:t xml:space="preserve">It is imperative that all parties of this case maintain accordance with </w:t>
      </w:r>
      <w:r w:rsidR="009F66BE">
        <w:t xml:space="preserve">the above </w:t>
      </w:r>
      <w:r w:rsidR="006D0892">
        <w:t>past proceedings when considering PECO’s USFC proposal.</w:t>
      </w:r>
    </w:p>
    <w:p w:rsidR="009E21A4" w:rsidRDefault="009E21A4" w:rsidP="009E21A4">
      <w:pPr>
        <w:pStyle w:val="ListParagraph"/>
      </w:pPr>
    </w:p>
    <w:p w:rsidR="002E7A76" w:rsidRDefault="009E21A4" w:rsidP="009E21A4">
      <w:pPr>
        <w:pStyle w:val="ListParagraph"/>
        <w:numPr>
          <w:ilvl w:val="0"/>
          <w:numId w:val="4"/>
        </w:numPr>
        <w:spacing w:line="276" w:lineRule="auto"/>
        <w:ind w:left="810" w:hanging="270"/>
      </w:pPr>
      <w:r>
        <w:t>P</w:t>
      </w:r>
      <w:r w:rsidR="002E7A76">
        <w:t xml:space="preserve">ECO further states in its supporting information that the </w:t>
      </w:r>
      <w:r w:rsidR="007C59B8">
        <w:t>Company’s dividend payout ratios from the years 2005 to 2009</w:t>
      </w:r>
      <w:r w:rsidR="00CB7A19">
        <w:t xml:space="preserve"> </w:t>
      </w:r>
      <w:r w:rsidR="007C59B8">
        <w:t>of 91%, 115%, 1</w:t>
      </w:r>
      <w:r w:rsidR="00D205F0">
        <w:t xml:space="preserve">12%, 149% and 90%, respectively, were the product of the Company’s effort to achieve an equity capitalization ratio target of around 53%.  We note that PECO has not discussed any real or potential effects such payout ratios may have on rates to customers.  </w:t>
      </w:r>
    </w:p>
    <w:p w:rsidR="009E21A4" w:rsidRDefault="009E21A4" w:rsidP="009E21A4">
      <w:pPr>
        <w:pStyle w:val="ListParagraph"/>
      </w:pPr>
    </w:p>
    <w:p w:rsidR="009E21A4" w:rsidRPr="00F50C46" w:rsidRDefault="009E21A4" w:rsidP="009E21A4">
      <w:pPr>
        <w:pStyle w:val="ListParagraph"/>
        <w:numPr>
          <w:ilvl w:val="0"/>
          <w:numId w:val="4"/>
        </w:numPr>
        <w:spacing w:line="276" w:lineRule="auto"/>
        <w:ind w:left="810" w:hanging="270"/>
      </w:pPr>
      <w:r>
        <w:t>Subsequent to the Joint Petition for Settlement at Docket No. A-110550F0147 on March 23, 2000, in the Unicom Corporation merger procedure, PECO states that additional ring-fencing measures have been instituted with the Company.</w:t>
      </w:r>
      <w:r w:rsidR="00816100">
        <w:t xml:space="preserve">  PECO and the parties should address </w:t>
      </w:r>
      <w:r>
        <w:t>the impact of any such corporate protections</w:t>
      </w:r>
      <w:r w:rsidR="00CB7A19">
        <w:t xml:space="preserve"> on the</w:t>
      </w:r>
      <w:r w:rsidR="00816100">
        <w:t xml:space="preserve"> credit protection and</w:t>
      </w:r>
      <w:r w:rsidR="00CB7A19">
        <w:t xml:space="preserve"> bankruptcy-remoteness of PECO Energy Company from its pa</w:t>
      </w:r>
      <w:r w:rsidR="00816100">
        <w:t>rent or any of its affiliates, and whether any changes to those ring fencing measures are necessary and in the public interest.</w:t>
      </w:r>
    </w:p>
    <w:p w:rsidR="009E21A4" w:rsidRDefault="009E21A4" w:rsidP="006F0B7B">
      <w:pPr>
        <w:spacing w:line="360" w:lineRule="auto"/>
        <w:ind w:firstLine="720"/>
      </w:pPr>
    </w:p>
    <w:p w:rsidR="00142BC5" w:rsidRPr="00B572A4" w:rsidRDefault="00142BC5" w:rsidP="00C453EB">
      <w:pPr>
        <w:spacing w:line="360" w:lineRule="auto"/>
        <w:ind w:firstLine="720"/>
      </w:pPr>
      <w:r w:rsidRPr="00B572A4">
        <w:t>Pursuant to 66 Pa.</w:t>
      </w:r>
      <w:r w:rsidR="00B6464F">
        <w:t xml:space="preserve"> C</w:t>
      </w:r>
      <w:r w:rsidR="00CD5BDB">
        <w:t>.S. §1308(d), Supplement No. 2</w:t>
      </w:r>
      <w:r w:rsidRPr="00B572A4">
        <w:t xml:space="preserve"> will be suspended by operation of law on </w:t>
      </w:r>
      <w:r w:rsidR="00CD5BDB">
        <w:t>May 30</w:t>
      </w:r>
      <w:r w:rsidR="006F2BC6">
        <w:t>, 2010</w:t>
      </w:r>
      <w:r w:rsidRPr="00B572A4">
        <w:t xml:space="preserve">, until </w:t>
      </w:r>
      <w:r w:rsidR="006541C5">
        <w:t>December</w:t>
      </w:r>
      <w:r w:rsidR="007C5D43">
        <w:t xml:space="preserve"> 31</w:t>
      </w:r>
      <w:r w:rsidR="006F2BC6">
        <w:t>, 2010</w:t>
      </w:r>
      <w:r w:rsidRPr="00B572A4">
        <w:t>, unless permitted by Commission Order to become effective at an earlier date</w:t>
      </w:r>
      <w:r w:rsidR="002950D9" w:rsidRPr="00B572A4">
        <w:t>.</w:t>
      </w:r>
      <w:r w:rsidR="00964C54">
        <w:t xml:space="preserve"> </w:t>
      </w:r>
      <w:r w:rsidR="00CA3115">
        <w:t xml:space="preserve"> In addition, we will direct that</w:t>
      </w:r>
      <w:r w:rsidR="00964C54">
        <w:t xml:space="preserve"> an investigation be instituted to determine the lawfulness, justness, and reasonableness of the rates, rules and regulations contained in the proposed Supplement No. 2, as well as the Company’s existing rates, rules, and regulations. We further direct that the case be assigned to the Office of Administrative Law Judge for the prompt scheduling of such hearings as may be necessary, culminating in the issuance of a Recommended Decision. </w:t>
      </w:r>
      <w:r w:rsidR="001708CD">
        <w:t xml:space="preserve"> </w:t>
      </w:r>
      <w:r w:rsidR="00964C54">
        <w:t xml:space="preserve">As </w:t>
      </w:r>
      <w:r w:rsidR="001708CD">
        <w:t>part</w:t>
      </w:r>
      <w:r w:rsidR="00964C54">
        <w:t xml:space="preserve"> of this investigation</w:t>
      </w:r>
      <w:r w:rsidR="007A5171">
        <w:t>, we instruct the parties to the proceeding to give particular conside</w:t>
      </w:r>
      <w:r w:rsidR="00772CE5">
        <w:t>ration to the areas of concern</w:t>
      </w:r>
      <w:r w:rsidR="007A5171">
        <w:t xml:space="preserve"> identified above, </w:t>
      </w:r>
      <w:r w:rsidR="00772CE5">
        <w:t>and as further delineated in Appendix A, attached to this order.  The parties are also advised to investigate any other issues they deem important to the fair and thorough review and analysis</w:t>
      </w:r>
      <w:r w:rsidR="00C453EB">
        <w:t xml:space="preserve"> of PECO’s general rate increase filing;</w:t>
      </w:r>
    </w:p>
    <w:p w:rsidR="003B249D" w:rsidRDefault="003B249D" w:rsidP="006F0B7B">
      <w:pPr>
        <w:spacing w:line="360" w:lineRule="auto"/>
        <w:ind w:firstLine="720"/>
        <w:rPr>
          <w:b/>
        </w:rPr>
      </w:pPr>
    </w:p>
    <w:p w:rsidR="003B249D" w:rsidRDefault="003B249D" w:rsidP="006F0B7B">
      <w:pPr>
        <w:spacing w:line="360" w:lineRule="auto"/>
        <w:ind w:firstLine="720"/>
        <w:rPr>
          <w:b/>
        </w:rPr>
      </w:pPr>
    </w:p>
    <w:p w:rsidR="00B80F79" w:rsidRPr="00B572A4" w:rsidRDefault="00142BC5" w:rsidP="006F0B7B">
      <w:pPr>
        <w:spacing w:line="360" w:lineRule="auto"/>
        <w:ind w:firstLine="720"/>
      </w:pPr>
      <w:r w:rsidRPr="00B572A4">
        <w:rPr>
          <w:b/>
        </w:rPr>
        <w:lastRenderedPageBreak/>
        <w:t>THEREFORE,</w:t>
      </w:r>
    </w:p>
    <w:p w:rsidR="000F5794" w:rsidRPr="00B572A4" w:rsidRDefault="000F5794" w:rsidP="00AC1019">
      <w:pPr>
        <w:spacing w:line="360" w:lineRule="auto"/>
      </w:pPr>
    </w:p>
    <w:p w:rsidR="00142BC5" w:rsidRPr="00B572A4" w:rsidRDefault="00142BC5" w:rsidP="006F0B7B">
      <w:pPr>
        <w:spacing w:line="360" w:lineRule="auto"/>
        <w:ind w:firstLine="720"/>
        <w:rPr>
          <w:b/>
        </w:rPr>
      </w:pPr>
      <w:r w:rsidRPr="00B572A4">
        <w:rPr>
          <w:b/>
        </w:rPr>
        <w:t>IT IS ORDERED:</w:t>
      </w:r>
    </w:p>
    <w:p w:rsidR="00142BC5" w:rsidRPr="00B572A4" w:rsidRDefault="00142BC5">
      <w:pPr>
        <w:spacing w:line="360" w:lineRule="auto"/>
      </w:pPr>
    </w:p>
    <w:p w:rsidR="00E512D0" w:rsidRPr="006F2BC6" w:rsidRDefault="00142BC5" w:rsidP="00FB4100">
      <w:pPr>
        <w:tabs>
          <w:tab w:val="left" w:pos="1440"/>
        </w:tabs>
        <w:spacing w:line="360" w:lineRule="auto"/>
        <w:ind w:firstLine="720"/>
      </w:pPr>
      <w:r w:rsidRPr="006F2BC6">
        <w:t>1.</w:t>
      </w:r>
      <w:r w:rsidR="00AC1019" w:rsidRPr="006F2BC6">
        <w:tab/>
      </w:r>
      <w:r w:rsidR="001357BC" w:rsidRPr="006F2BC6">
        <w:t xml:space="preserve">That the proposed </w:t>
      </w:r>
      <w:r w:rsidR="001357BC" w:rsidRPr="00F32EFC">
        <w:t xml:space="preserve">Supplement No. </w:t>
      </w:r>
      <w:r w:rsidR="001357BC">
        <w:t>2</w:t>
      </w:r>
      <w:r w:rsidR="001357BC" w:rsidRPr="00F32EFC">
        <w:t xml:space="preserve"> to Tariff </w:t>
      </w:r>
      <w:r w:rsidR="001357BC">
        <w:t>Electric</w:t>
      </w:r>
      <w:r w:rsidR="001357BC" w:rsidRPr="00F32EFC">
        <w:t xml:space="preserve">-Pa. P.U.C. No. </w:t>
      </w:r>
      <w:r w:rsidR="001357BC">
        <w:t xml:space="preserve">4 </w:t>
      </w:r>
      <w:r w:rsidR="001357BC" w:rsidRPr="006F2BC6">
        <w:t xml:space="preserve">will be suspended by operation of law until </w:t>
      </w:r>
      <w:r w:rsidR="008F2195">
        <w:t>December 30</w:t>
      </w:r>
      <w:r w:rsidR="001357BC" w:rsidRPr="006F2BC6">
        <w:t>, 2010, unless otherwise directed by Order of the Commission.</w:t>
      </w:r>
    </w:p>
    <w:p w:rsidR="006F2BC6" w:rsidRPr="006F2BC6" w:rsidRDefault="006F2BC6" w:rsidP="00FB4100">
      <w:pPr>
        <w:tabs>
          <w:tab w:val="left" w:pos="1440"/>
        </w:tabs>
        <w:spacing w:line="360" w:lineRule="auto"/>
        <w:ind w:firstLine="720"/>
      </w:pPr>
    </w:p>
    <w:p w:rsidR="001357BC" w:rsidRPr="006F2BC6" w:rsidRDefault="00935555" w:rsidP="001357BC">
      <w:pPr>
        <w:tabs>
          <w:tab w:val="left" w:pos="1440"/>
        </w:tabs>
        <w:spacing w:line="360" w:lineRule="auto"/>
        <w:ind w:firstLine="720"/>
      </w:pPr>
      <w:r w:rsidRPr="006F2BC6">
        <w:t>2.</w:t>
      </w:r>
      <w:r w:rsidRPr="006F2BC6">
        <w:tab/>
      </w:r>
      <w:r w:rsidR="001357BC" w:rsidRPr="006F2BC6">
        <w:t xml:space="preserve">That an investigation on Commission motion be, and hereby is, instituted to determine the lawfulness, justness, and reasonableness of the rates, rules, and regulations contained in the proposed </w:t>
      </w:r>
      <w:r w:rsidR="001357BC" w:rsidRPr="00F32EFC">
        <w:t xml:space="preserve">Supplement No. </w:t>
      </w:r>
      <w:r w:rsidR="001357BC">
        <w:t>2</w:t>
      </w:r>
      <w:r w:rsidR="001357BC" w:rsidRPr="00F32EFC">
        <w:t xml:space="preserve"> to Tariff </w:t>
      </w:r>
      <w:r w:rsidR="001357BC">
        <w:t>Electric</w:t>
      </w:r>
      <w:r w:rsidR="001357BC" w:rsidRPr="00F32EFC">
        <w:t xml:space="preserve">-Pa. P.U.C. No. </w:t>
      </w:r>
      <w:r w:rsidR="001357BC">
        <w:t>4</w:t>
      </w:r>
      <w:r w:rsidR="001357BC" w:rsidRPr="006F2BC6">
        <w:t>.</w:t>
      </w:r>
    </w:p>
    <w:p w:rsidR="00142BC5" w:rsidRPr="006F2BC6" w:rsidRDefault="00142BC5" w:rsidP="00FB4100">
      <w:pPr>
        <w:tabs>
          <w:tab w:val="left" w:pos="1440"/>
        </w:tabs>
        <w:spacing w:line="360" w:lineRule="auto"/>
        <w:ind w:firstLine="720"/>
      </w:pPr>
    </w:p>
    <w:p w:rsidR="00A32A17" w:rsidRDefault="00A32A17" w:rsidP="00FB4100">
      <w:pPr>
        <w:tabs>
          <w:tab w:val="left" w:pos="1440"/>
        </w:tabs>
        <w:spacing w:line="360" w:lineRule="auto"/>
        <w:ind w:firstLine="720"/>
      </w:pPr>
      <w:r>
        <w:t>3.</w:t>
      </w:r>
      <w:r>
        <w:tab/>
      </w:r>
      <w:r w:rsidRPr="009A33FF">
        <w:t>That this investigation shall include</w:t>
      </w:r>
      <w:r>
        <w:t>, but not be limited to,</w:t>
      </w:r>
      <w:r w:rsidRPr="009A33FF">
        <w:t xml:space="preserve"> consideration of the </w:t>
      </w:r>
      <w:r>
        <w:t xml:space="preserve">issues identified in the body of this Order </w:t>
      </w:r>
      <w:r w:rsidR="00840E6F">
        <w:t>as well as in the attached</w:t>
      </w:r>
      <w:r w:rsidR="007315BA">
        <w:t xml:space="preserve"> Appendix A, </w:t>
      </w:r>
      <w:r>
        <w:t>as representing specific areas of concern with regard to the Company’s base rate filing.</w:t>
      </w:r>
    </w:p>
    <w:p w:rsidR="00A32A17" w:rsidRDefault="00A32A17" w:rsidP="00FB4100">
      <w:pPr>
        <w:tabs>
          <w:tab w:val="left" w:pos="1440"/>
        </w:tabs>
        <w:spacing w:line="360" w:lineRule="auto"/>
        <w:ind w:firstLine="720"/>
      </w:pPr>
    </w:p>
    <w:p w:rsidR="00142BC5" w:rsidRPr="0058378F" w:rsidRDefault="00A32A17" w:rsidP="00FB4100">
      <w:pPr>
        <w:tabs>
          <w:tab w:val="left" w:pos="1440"/>
        </w:tabs>
        <w:spacing w:line="360" w:lineRule="auto"/>
        <w:ind w:firstLine="720"/>
      </w:pPr>
      <w:r>
        <w:t>4</w:t>
      </w:r>
      <w:r w:rsidR="00142BC5" w:rsidRPr="0058378F">
        <w:t>.</w:t>
      </w:r>
      <w:r w:rsidR="00AC1019" w:rsidRPr="0058378F">
        <w:tab/>
      </w:r>
      <w:r w:rsidR="00142BC5" w:rsidRPr="0058378F">
        <w:t xml:space="preserve">That this investigation shall include consideration of the lawfulness, justness, and reasonableness </w:t>
      </w:r>
      <w:r w:rsidR="00861BFF" w:rsidRPr="0058378F">
        <w:t xml:space="preserve">of </w:t>
      </w:r>
      <w:r w:rsidR="00993097" w:rsidRPr="0058378F">
        <w:t xml:space="preserve">the </w:t>
      </w:r>
      <w:r w:rsidR="00600535" w:rsidRPr="0058378F">
        <w:t>Company’s</w:t>
      </w:r>
      <w:r w:rsidR="00142BC5" w:rsidRPr="0058378F">
        <w:t xml:space="preserve"> existing rates, rules</w:t>
      </w:r>
      <w:r w:rsidR="00C67675" w:rsidRPr="0058378F">
        <w:t>,</w:t>
      </w:r>
      <w:r w:rsidR="00142BC5" w:rsidRPr="0058378F">
        <w:t xml:space="preserve"> and regulations.</w:t>
      </w:r>
    </w:p>
    <w:p w:rsidR="00142BC5" w:rsidRPr="0058378F" w:rsidRDefault="00142BC5" w:rsidP="00FB4100">
      <w:pPr>
        <w:tabs>
          <w:tab w:val="left" w:pos="1440"/>
        </w:tabs>
        <w:spacing w:line="360" w:lineRule="auto"/>
        <w:ind w:firstLine="720"/>
      </w:pPr>
    </w:p>
    <w:p w:rsidR="00142BC5" w:rsidRDefault="00A32A17" w:rsidP="00FB4100">
      <w:pPr>
        <w:tabs>
          <w:tab w:val="left" w:pos="1440"/>
        </w:tabs>
        <w:spacing w:line="360" w:lineRule="auto"/>
        <w:ind w:firstLine="720"/>
      </w:pPr>
      <w:r>
        <w:t>5</w:t>
      </w:r>
      <w:r w:rsidR="00142BC5" w:rsidRPr="0058378F">
        <w:t>.</w:t>
      </w:r>
      <w:r w:rsidR="00AC1019" w:rsidRPr="0058378F">
        <w:tab/>
      </w:r>
      <w:r w:rsidR="00142BC5" w:rsidRPr="0058378F">
        <w:t xml:space="preserve">That the </w:t>
      </w:r>
      <w:r w:rsidR="00E861DB" w:rsidRPr="0058378F">
        <w:t xml:space="preserve">case be assigned to the </w:t>
      </w:r>
      <w:r w:rsidR="00142BC5" w:rsidRPr="0058378F">
        <w:t>Office of Administrative Law Judge</w:t>
      </w:r>
      <w:r w:rsidR="00E861DB" w:rsidRPr="0058378F">
        <w:t xml:space="preserve"> </w:t>
      </w:r>
      <w:r w:rsidR="006765E0" w:rsidRPr="0058378F">
        <w:t>f</w:t>
      </w:r>
      <w:r w:rsidR="00142BC5" w:rsidRPr="0058378F">
        <w:t xml:space="preserve">or </w:t>
      </w:r>
      <w:r w:rsidR="00E861DB" w:rsidRPr="0058378F">
        <w:t>the prompt scheduling of</w:t>
      </w:r>
      <w:r w:rsidR="00142BC5" w:rsidRPr="0058378F">
        <w:t xml:space="preserve"> such hearings as may be necessary</w:t>
      </w:r>
      <w:r w:rsidR="00DF0A21" w:rsidRPr="0058378F">
        <w:t>,</w:t>
      </w:r>
      <w:r w:rsidR="00142BC5" w:rsidRPr="0058378F">
        <w:t xml:space="preserve"> culminating in the issuance of a Recommended Decision.</w:t>
      </w: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Default="003E3A19" w:rsidP="00FB4100">
      <w:pPr>
        <w:tabs>
          <w:tab w:val="left" w:pos="1440"/>
        </w:tabs>
        <w:spacing w:line="360" w:lineRule="auto"/>
        <w:ind w:firstLine="720"/>
      </w:pPr>
    </w:p>
    <w:p w:rsidR="003E3A19" w:rsidRPr="0058378F" w:rsidRDefault="003E3A19" w:rsidP="00FB4100">
      <w:pPr>
        <w:tabs>
          <w:tab w:val="left" w:pos="1440"/>
        </w:tabs>
        <w:spacing w:line="360" w:lineRule="auto"/>
        <w:ind w:firstLine="720"/>
      </w:pPr>
    </w:p>
    <w:p w:rsidR="003B249D" w:rsidRDefault="003B249D" w:rsidP="003B249D"/>
    <w:p w:rsidR="00142BC5" w:rsidRPr="00782C54" w:rsidRDefault="00A32A17" w:rsidP="003E3A19">
      <w:pPr>
        <w:spacing w:line="360" w:lineRule="auto"/>
        <w:ind w:firstLine="720"/>
      </w:pPr>
      <w:r>
        <w:t>6</w:t>
      </w:r>
      <w:r w:rsidR="00142BC5" w:rsidRPr="00782C54">
        <w:t>.</w:t>
      </w:r>
      <w:r w:rsidR="007F6F9C" w:rsidRPr="00782C54">
        <w:tab/>
      </w:r>
      <w:r w:rsidR="00142BC5" w:rsidRPr="00782C54">
        <w:t>That a copy of this Order sha</w:t>
      </w:r>
      <w:r w:rsidR="006976ED" w:rsidRPr="00782C54">
        <w:t>ll be served upon the Company</w:t>
      </w:r>
      <w:r w:rsidR="00142BC5" w:rsidRPr="00782C54">
        <w:t xml:space="preserve">, the Office of Trial Staff, </w:t>
      </w:r>
      <w:r w:rsidR="008207A9" w:rsidRPr="00782C54">
        <w:t xml:space="preserve">the Office of Consumer Advocate, the Office of Small Business Advocate, </w:t>
      </w:r>
      <w:r w:rsidR="00142BC5" w:rsidRPr="00782C54">
        <w:t xml:space="preserve">and any persons who have filed Formal Complaints against </w:t>
      </w:r>
      <w:r w:rsidR="008C5A5B" w:rsidRPr="00782C54">
        <w:t xml:space="preserve">the </w:t>
      </w:r>
      <w:r w:rsidR="006976ED" w:rsidRPr="00782C54">
        <w:t>Company</w:t>
      </w:r>
      <w:r w:rsidR="00142BC5" w:rsidRPr="00782C54">
        <w:t>’s proposed tariff.</w:t>
      </w:r>
    </w:p>
    <w:p w:rsidR="008C2D12" w:rsidRPr="00782C54" w:rsidRDefault="008C2D12" w:rsidP="007F6F9C">
      <w:pPr>
        <w:tabs>
          <w:tab w:val="left" w:pos="1440"/>
          <w:tab w:val="left" w:pos="2160"/>
        </w:tabs>
        <w:spacing w:line="360" w:lineRule="auto"/>
        <w:ind w:firstLine="1440"/>
      </w:pPr>
    </w:p>
    <w:p w:rsidR="003B249D" w:rsidRDefault="003B249D" w:rsidP="00AC1019">
      <w:pPr>
        <w:tabs>
          <w:tab w:val="left" w:pos="4320"/>
        </w:tabs>
      </w:pPr>
    </w:p>
    <w:p w:rsidR="003B249D" w:rsidRDefault="003B249D" w:rsidP="00AC1019">
      <w:pPr>
        <w:tabs>
          <w:tab w:val="left" w:pos="4320"/>
        </w:tabs>
      </w:pPr>
    </w:p>
    <w:p w:rsidR="00142BC5" w:rsidRPr="00782C54" w:rsidRDefault="003E3A19" w:rsidP="00AC1019">
      <w:pPr>
        <w:tabs>
          <w:tab w:val="left" w:pos="4320"/>
        </w:tabs>
      </w:pPr>
      <w:r>
        <w:rPr>
          <w:noProof/>
        </w:rPr>
        <w:drawing>
          <wp:anchor distT="0" distB="0" distL="114300" distR="114300" simplePos="0" relativeHeight="251658240" behindDoc="1" locked="0" layoutInCell="1" allowOverlap="1">
            <wp:simplePos x="0" y="0"/>
            <wp:positionH relativeFrom="column">
              <wp:posOffset>2460625</wp:posOffset>
            </wp:positionH>
            <wp:positionV relativeFrom="paragraph">
              <wp:posOffset>132715</wp:posOffset>
            </wp:positionV>
            <wp:extent cx="2203450" cy="833755"/>
            <wp:effectExtent l="19050" t="0" r="635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3B249D">
        <w:tab/>
      </w:r>
      <w:r w:rsidR="00142BC5" w:rsidRPr="00782C54">
        <w:rPr>
          <w:b/>
        </w:rPr>
        <w:t>BY THE COMMISSION</w:t>
      </w:r>
      <w:r w:rsidR="004D2B0E" w:rsidRPr="00782C54">
        <w:rPr>
          <w:b/>
        </w:rPr>
        <w:t>,</w:t>
      </w:r>
    </w:p>
    <w:p w:rsidR="00142BC5" w:rsidRPr="00782C54" w:rsidRDefault="00142BC5" w:rsidP="00AC1019">
      <w:pPr>
        <w:tabs>
          <w:tab w:val="left" w:pos="4320"/>
        </w:tabs>
      </w:pPr>
    </w:p>
    <w:p w:rsidR="0082505A" w:rsidRPr="00782C54" w:rsidRDefault="0082505A" w:rsidP="00AC1019">
      <w:pPr>
        <w:tabs>
          <w:tab w:val="left" w:pos="4320"/>
        </w:tabs>
      </w:pPr>
    </w:p>
    <w:p w:rsidR="00F47908" w:rsidRPr="00782C54" w:rsidRDefault="00F47908" w:rsidP="00AC1019">
      <w:pPr>
        <w:tabs>
          <w:tab w:val="left" w:pos="4320"/>
        </w:tabs>
      </w:pPr>
    </w:p>
    <w:p w:rsidR="00142BC5" w:rsidRPr="00782C54" w:rsidRDefault="00142BC5" w:rsidP="00AC1019">
      <w:pPr>
        <w:tabs>
          <w:tab w:val="left" w:pos="4320"/>
        </w:tabs>
      </w:pPr>
    </w:p>
    <w:p w:rsidR="00142BC5" w:rsidRPr="00782C54" w:rsidRDefault="00142BC5" w:rsidP="00AC1019">
      <w:pPr>
        <w:tabs>
          <w:tab w:val="left" w:pos="4320"/>
        </w:tabs>
      </w:pPr>
      <w:r w:rsidRPr="00782C54">
        <w:tab/>
      </w:r>
      <w:r w:rsidR="00BF3A15">
        <w:t>Rosemary Chiavetta</w:t>
      </w:r>
    </w:p>
    <w:p w:rsidR="00142BC5" w:rsidRPr="00782C54" w:rsidRDefault="00142BC5" w:rsidP="00AC1019">
      <w:pPr>
        <w:tabs>
          <w:tab w:val="left" w:pos="4320"/>
        </w:tabs>
      </w:pPr>
      <w:r w:rsidRPr="00782C54">
        <w:tab/>
        <w:t>Secretary</w:t>
      </w:r>
    </w:p>
    <w:p w:rsidR="00142BC5" w:rsidRPr="00782C54" w:rsidRDefault="00142BC5" w:rsidP="00AC1019">
      <w:pPr>
        <w:tabs>
          <w:tab w:val="left" w:pos="4320"/>
        </w:tabs>
      </w:pPr>
    </w:p>
    <w:p w:rsidR="008C2D12" w:rsidRPr="00782C54" w:rsidRDefault="008C2D12" w:rsidP="00AC1019">
      <w:pPr>
        <w:tabs>
          <w:tab w:val="left" w:pos="4320"/>
        </w:tabs>
        <w:spacing w:line="360" w:lineRule="auto"/>
      </w:pPr>
    </w:p>
    <w:p w:rsidR="00142BC5" w:rsidRPr="00782C54" w:rsidRDefault="00142BC5" w:rsidP="00AC1019">
      <w:pPr>
        <w:tabs>
          <w:tab w:val="left" w:pos="4320"/>
        </w:tabs>
        <w:spacing w:line="360" w:lineRule="auto"/>
      </w:pPr>
      <w:r w:rsidRPr="00782C54">
        <w:t>(SEAL)</w:t>
      </w:r>
    </w:p>
    <w:p w:rsidR="00142BC5" w:rsidRPr="00782C54" w:rsidRDefault="00142BC5" w:rsidP="00AC1019">
      <w:pPr>
        <w:tabs>
          <w:tab w:val="left" w:pos="4320"/>
        </w:tabs>
        <w:spacing w:line="360" w:lineRule="auto"/>
      </w:pPr>
      <w:r w:rsidRPr="00782C54">
        <w:t xml:space="preserve">ORDER ADOPTED:  </w:t>
      </w:r>
      <w:r w:rsidR="00360270">
        <w:t>May 20, 2010</w:t>
      </w:r>
    </w:p>
    <w:p w:rsidR="00506BA2" w:rsidRDefault="00142BC5" w:rsidP="00AC1019">
      <w:pPr>
        <w:tabs>
          <w:tab w:val="left" w:pos="4320"/>
        </w:tabs>
        <w:spacing w:line="360" w:lineRule="auto"/>
      </w:pPr>
      <w:r w:rsidRPr="00782C54">
        <w:t>ORDER ENTERED:</w:t>
      </w:r>
      <w:r w:rsidRPr="00AC1019">
        <w:t xml:space="preserve">  </w:t>
      </w:r>
    </w:p>
    <w:p w:rsidR="00153772" w:rsidRDefault="00153772" w:rsidP="00AC1019">
      <w:pPr>
        <w:tabs>
          <w:tab w:val="left" w:pos="4320"/>
        </w:tabs>
        <w:spacing w:line="360" w:lineRule="auto"/>
        <w:sectPr w:rsidR="00153772" w:rsidSect="003B249D">
          <w:headerReference w:type="default" r:id="rId9"/>
          <w:footerReference w:type="even" r:id="rId10"/>
          <w:footerReference w:type="default" r:id="rId11"/>
          <w:headerReference w:type="first" r:id="rId12"/>
          <w:footerReference w:type="first" r:id="rId13"/>
          <w:pgSz w:w="12240" w:h="15840" w:code="1"/>
          <w:pgMar w:top="990" w:right="1296" w:bottom="1620" w:left="1440" w:header="720" w:footer="720" w:gutter="0"/>
          <w:cols w:space="720"/>
          <w:titlePg/>
        </w:sectPr>
      </w:pPr>
    </w:p>
    <w:p w:rsidR="00AA20E4" w:rsidRPr="00AA20E4" w:rsidRDefault="00AA20E4" w:rsidP="00AA20E4">
      <w:pPr>
        <w:tabs>
          <w:tab w:val="left" w:pos="4320"/>
        </w:tabs>
        <w:spacing w:line="276" w:lineRule="auto"/>
        <w:jc w:val="right"/>
        <w:rPr>
          <w:b/>
          <w:sz w:val="36"/>
          <w:szCs w:val="36"/>
        </w:rPr>
      </w:pPr>
      <w:r w:rsidRPr="00AA20E4">
        <w:rPr>
          <w:b/>
          <w:sz w:val="36"/>
          <w:szCs w:val="36"/>
        </w:rPr>
        <w:lastRenderedPageBreak/>
        <w:t>Appendix A</w:t>
      </w:r>
    </w:p>
    <w:p w:rsidR="00AA20E4" w:rsidRDefault="00AA20E4" w:rsidP="00166727">
      <w:pPr>
        <w:tabs>
          <w:tab w:val="left" w:pos="4320"/>
        </w:tabs>
        <w:spacing w:line="276" w:lineRule="auto"/>
        <w:jc w:val="center"/>
        <w:rPr>
          <w:b/>
          <w:sz w:val="28"/>
          <w:szCs w:val="28"/>
        </w:rPr>
      </w:pPr>
    </w:p>
    <w:p w:rsidR="007315BA" w:rsidRDefault="00A8101E" w:rsidP="00166727">
      <w:pPr>
        <w:tabs>
          <w:tab w:val="left" w:pos="4320"/>
        </w:tabs>
        <w:spacing w:line="276" w:lineRule="auto"/>
        <w:jc w:val="center"/>
        <w:rPr>
          <w:b/>
          <w:sz w:val="28"/>
          <w:szCs w:val="28"/>
        </w:rPr>
      </w:pPr>
      <w:r w:rsidRPr="00166727">
        <w:rPr>
          <w:b/>
          <w:sz w:val="28"/>
          <w:szCs w:val="28"/>
        </w:rPr>
        <w:t>PECO Energy Company</w:t>
      </w:r>
    </w:p>
    <w:p w:rsidR="007315BA" w:rsidRDefault="00166727" w:rsidP="00166727">
      <w:pPr>
        <w:tabs>
          <w:tab w:val="left" w:pos="4320"/>
        </w:tabs>
        <w:spacing w:line="276" w:lineRule="auto"/>
        <w:jc w:val="center"/>
        <w:rPr>
          <w:b/>
          <w:sz w:val="28"/>
          <w:szCs w:val="28"/>
        </w:rPr>
      </w:pPr>
      <w:r w:rsidRPr="00166727">
        <w:rPr>
          <w:b/>
          <w:sz w:val="28"/>
          <w:szCs w:val="28"/>
        </w:rPr>
        <w:t>Supplement No. 2 to Tariff Electric-Pa. P.U.C. No. 4</w:t>
      </w:r>
    </w:p>
    <w:p w:rsidR="00166727" w:rsidRDefault="00166727" w:rsidP="00166727">
      <w:pPr>
        <w:tabs>
          <w:tab w:val="left" w:pos="4320"/>
        </w:tabs>
        <w:spacing w:line="276" w:lineRule="auto"/>
        <w:jc w:val="center"/>
        <w:rPr>
          <w:b/>
          <w:sz w:val="28"/>
          <w:szCs w:val="28"/>
        </w:rPr>
      </w:pPr>
      <w:r>
        <w:rPr>
          <w:b/>
          <w:sz w:val="28"/>
          <w:szCs w:val="28"/>
        </w:rPr>
        <w:t>R-2010-2161575</w:t>
      </w:r>
    </w:p>
    <w:p w:rsidR="00166727" w:rsidRDefault="00166727" w:rsidP="00166727">
      <w:pPr>
        <w:tabs>
          <w:tab w:val="left" w:pos="4320"/>
        </w:tabs>
        <w:spacing w:line="276" w:lineRule="auto"/>
        <w:jc w:val="center"/>
        <w:rPr>
          <w:b/>
          <w:sz w:val="28"/>
          <w:szCs w:val="28"/>
        </w:rPr>
      </w:pPr>
    </w:p>
    <w:p w:rsidR="00166727" w:rsidRDefault="00166727" w:rsidP="00166727">
      <w:pPr>
        <w:tabs>
          <w:tab w:val="left" w:pos="4320"/>
        </w:tabs>
        <w:spacing w:line="276" w:lineRule="auto"/>
        <w:jc w:val="center"/>
        <w:rPr>
          <w:b/>
          <w:sz w:val="28"/>
          <w:szCs w:val="28"/>
        </w:rPr>
      </w:pPr>
      <w:r>
        <w:rPr>
          <w:b/>
          <w:sz w:val="28"/>
          <w:szCs w:val="28"/>
        </w:rPr>
        <w:t>General Rate Increase Filing</w:t>
      </w:r>
    </w:p>
    <w:p w:rsidR="007315BA" w:rsidRDefault="00166727" w:rsidP="00166727">
      <w:pPr>
        <w:tabs>
          <w:tab w:val="left" w:pos="4320"/>
        </w:tabs>
        <w:spacing w:line="276" w:lineRule="auto"/>
        <w:jc w:val="center"/>
      </w:pPr>
      <w:r>
        <w:rPr>
          <w:b/>
          <w:sz w:val="28"/>
          <w:szCs w:val="28"/>
        </w:rPr>
        <w:t>Areas of concern</w:t>
      </w:r>
    </w:p>
    <w:p w:rsidR="007315BA" w:rsidRDefault="007315BA" w:rsidP="00AC1019">
      <w:pPr>
        <w:tabs>
          <w:tab w:val="left" w:pos="4320"/>
        </w:tabs>
        <w:spacing w:line="360" w:lineRule="auto"/>
      </w:pPr>
    </w:p>
    <w:p w:rsidR="007315BA" w:rsidRDefault="004A7F07" w:rsidP="00153772">
      <w:pPr>
        <w:tabs>
          <w:tab w:val="left" w:pos="1260"/>
        </w:tabs>
        <w:ind w:left="810" w:hanging="810"/>
      </w:pPr>
      <w:r>
        <w:t xml:space="preserve">            1.     PECO proposes </w:t>
      </w:r>
      <w:r w:rsidR="001C5EDD">
        <w:t>to: (1) align</w:t>
      </w:r>
      <w:r>
        <w:t xml:space="preserve"> fixed distribution/customer charges with, or closer to, customer-classified costs; (2) eliminating certain rates that are legacies of PECO’s ”bundled” rates (i.e., recovery of generation costs as well as distribution costs); and (3) implementing a Transmission Service Charge (“TSC”) Rider to remove PJM-related transmission charges</w:t>
      </w:r>
      <w:r w:rsidR="00955B5E">
        <w:t xml:space="preserve"> from base rates.  Parties are asked to su</w:t>
      </w:r>
      <w:r w:rsidR="00127E3D">
        <w:t>bstantiate PECO’s claim that</w:t>
      </w:r>
      <w:r>
        <w:t xml:space="preserve"> this approach will assure competitive neutrality betwe</w:t>
      </w:r>
      <w:r w:rsidR="00127E3D">
        <w:t xml:space="preserve">en default service and service </w:t>
      </w:r>
      <w:r>
        <w:t>offered by Electric Generation Suppliers.</w:t>
      </w:r>
    </w:p>
    <w:p w:rsidR="001C5EDD" w:rsidRDefault="001C5EDD" w:rsidP="00153772">
      <w:pPr>
        <w:tabs>
          <w:tab w:val="left" w:pos="1260"/>
        </w:tabs>
        <w:ind w:left="810" w:hanging="810"/>
      </w:pPr>
    </w:p>
    <w:p w:rsidR="00127E3D" w:rsidRDefault="00127E3D" w:rsidP="00153772">
      <w:pPr>
        <w:pStyle w:val="ListParagraph"/>
        <w:tabs>
          <w:tab w:val="left" w:pos="1350"/>
        </w:tabs>
        <w:ind w:left="810"/>
      </w:pPr>
      <w:r>
        <w:t>2.     PECO proposes to unbundle the working capital revenue requirement associated with a portion of PECO’s default generation supply and transmission-service costs by recovering that revenue requirement in the Generation Supply Adjustment (“GSA”) and the TSC, which will only apply to default-service customers.  The parties are asked to comment on</w:t>
      </w:r>
      <w:r w:rsidR="0012734C">
        <w:t xml:space="preserve"> the prudency of this</w:t>
      </w:r>
      <w:r>
        <w:t xml:space="preserve"> proposal</w:t>
      </w:r>
      <w:r w:rsidR="0012734C">
        <w:t>.</w:t>
      </w:r>
    </w:p>
    <w:p w:rsidR="00127E3D" w:rsidRDefault="00127E3D" w:rsidP="00153772">
      <w:pPr>
        <w:pStyle w:val="ListParagraph"/>
        <w:ind w:left="810"/>
      </w:pPr>
    </w:p>
    <w:p w:rsidR="000827F1" w:rsidRDefault="0012734C" w:rsidP="00153772">
      <w:pPr>
        <w:pStyle w:val="ListParagraph"/>
        <w:ind w:left="810"/>
      </w:pPr>
      <w:r>
        <w:t xml:space="preserve">3.     </w:t>
      </w:r>
      <w:r w:rsidR="000827F1">
        <w:t>PECO states that it is requesting its proposed rate increase due in part to declining distribution sales and increasing operating expenses.  Accordingly, it is important that the Company’s test year revenue and expense claims be closely examined to determine their accuracy and the extent to which they support the requested revenue increase.</w:t>
      </w:r>
    </w:p>
    <w:p w:rsidR="00733489" w:rsidRDefault="00733489" w:rsidP="00153772">
      <w:pPr>
        <w:pStyle w:val="ListParagraph"/>
        <w:ind w:left="810"/>
      </w:pPr>
    </w:p>
    <w:p w:rsidR="000827F1" w:rsidRDefault="00733489" w:rsidP="00153772">
      <w:pPr>
        <w:pStyle w:val="ListParagraph"/>
        <w:ind w:left="810"/>
      </w:pPr>
      <w:r>
        <w:t xml:space="preserve">4.     </w:t>
      </w:r>
      <w:r w:rsidR="000827F1">
        <w:t>PECO states in its supporting information that it has invested $2.9 billion to maintain improve and expand its delivery system since July 1989.  To the extent that any of this capital investment is included in the Company’s rate base claim in this proceeding, such investment should be closely reviewed to ensure it was prudently made, and that any utility plant acquired is necessary, used and useful to the provision of electric distribution service.</w:t>
      </w:r>
    </w:p>
    <w:p w:rsidR="00733489" w:rsidRDefault="00733489" w:rsidP="00153772">
      <w:pPr>
        <w:pStyle w:val="ListParagraph"/>
        <w:ind w:left="810"/>
      </w:pPr>
    </w:p>
    <w:p w:rsidR="00AA20E4" w:rsidRDefault="00733489" w:rsidP="00153772">
      <w:pPr>
        <w:pStyle w:val="ListParagraph"/>
        <w:ind w:left="810"/>
      </w:pPr>
      <w:r>
        <w:t xml:space="preserve">5.     </w:t>
      </w:r>
      <w:r w:rsidR="000827F1">
        <w:t xml:space="preserve">Two past proceedings have a substantial effect on the PECO’s Universal Service Fund Charge (“USFC”).  In the Joint Petition for Settlement approved by the Commission at Docket No. A-110550F0147 (“Unicom Merger Proceeding”), it was stipulated that PECO would be entitled to recover $383 annually through its electric USFC for every customer enrolled in its electric CAP program in excess of </w:t>
      </w:r>
    </w:p>
    <w:p w:rsidR="003B249D" w:rsidRDefault="003B249D" w:rsidP="00AA20E4">
      <w:pPr>
        <w:pStyle w:val="ListParagraph"/>
        <w:ind w:left="810"/>
        <w:jc w:val="right"/>
        <w:rPr>
          <w:sz w:val="36"/>
          <w:szCs w:val="36"/>
        </w:rPr>
      </w:pPr>
    </w:p>
    <w:p w:rsidR="00AA20E4" w:rsidRPr="00AA20E4" w:rsidRDefault="00AA20E4" w:rsidP="00AA20E4">
      <w:pPr>
        <w:pStyle w:val="ListParagraph"/>
        <w:ind w:left="810"/>
        <w:jc w:val="right"/>
        <w:rPr>
          <w:sz w:val="36"/>
          <w:szCs w:val="36"/>
        </w:rPr>
      </w:pPr>
      <w:r w:rsidRPr="00AA20E4">
        <w:rPr>
          <w:sz w:val="36"/>
          <w:szCs w:val="36"/>
        </w:rPr>
        <w:lastRenderedPageBreak/>
        <w:t>Appendix A</w:t>
      </w:r>
    </w:p>
    <w:p w:rsidR="00AA20E4" w:rsidRDefault="00AA20E4" w:rsidP="00153772">
      <w:pPr>
        <w:pStyle w:val="ListParagraph"/>
        <w:ind w:left="810"/>
      </w:pPr>
    </w:p>
    <w:p w:rsidR="00AA20E4" w:rsidRDefault="00AA20E4" w:rsidP="00153772">
      <w:pPr>
        <w:pStyle w:val="ListParagraph"/>
        <w:ind w:left="810"/>
      </w:pPr>
    </w:p>
    <w:p w:rsidR="000827F1" w:rsidRDefault="000827F1" w:rsidP="00153772">
      <w:pPr>
        <w:pStyle w:val="ListParagraph"/>
        <w:ind w:left="810"/>
      </w:pPr>
      <w:r>
        <w:t>a 90,000 customer threshold.  The $383 figure was to remain in effect until PECO’s next electric base rate case.  In addition the Three Year Plan Settlement at Docket No. M-00061945 provides for an additional $5.5 million of costs associated with program enhancements, with those costs to be recovered through a method other than alteration to the $383 USFC charge.  PECO subsequently implemented an additional charge known as the “Supplemental USFC” to recover the $5.5 million per year. PECO proposes to include all its expected CAP costs in its base rate claim.  It is imperative that all parties of this case maintain accordance with the above past proceedings when considering PECO’s USFC proposal.</w:t>
      </w:r>
    </w:p>
    <w:p w:rsidR="000827F1" w:rsidRDefault="000827F1" w:rsidP="00153772">
      <w:pPr>
        <w:pStyle w:val="ListParagraph"/>
      </w:pPr>
    </w:p>
    <w:p w:rsidR="000827F1" w:rsidRDefault="00733489" w:rsidP="00153772">
      <w:pPr>
        <w:pStyle w:val="ListParagraph"/>
        <w:ind w:left="810"/>
      </w:pPr>
      <w:r>
        <w:t xml:space="preserve">6.     </w:t>
      </w:r>
      <w:r w:rsidR="000827F1">
        <w:t xml:space="preserve">PECO further states in its supporting information that the Company’s dividend payout ratios from the years 2005 to 2009 of 91%, 115%, 112%, 149% and 90%, respectively, were the product of the Company’s effort to achieve an equity capitalization ratio target of around 53%.  We note that PECO has not discussed any real or potential effects such payout ratios may have on rates to customers.  </w:t>
      </w:r>
    </w:p>
    <w:p w:rsidR="000827F1" w:rsidRDefault="000827F1" w:rsidP="00153772">
      <w:pPr>
        <w:pStyle w:val="ListParagraph"/>
      </w:pPr>
    </w:p>
    <w:p w:rsidR="000827F1" w:rsidRPr="00F50C46" w:rsidRDefault="00733489" w:rsidP="00153772">
      <w:pPr>
        <w:pStyle w:val="ListParagraph"/>
        <w:ind w:left="810"/>
      </w:pPr>
      <w:r>
        <w:t xml:space="preserve">7.     </w:t>
      </w:r>
      <w:r w:rsidR="000827F1">
        <w:t>Subsequent to the Joint Petition for Settlement at Docket No. A-110550F0147 on March 23, 2000, in the Unicom Corporation merger procedure, PECO states that additional ring-fencing measures have b</w:t>
      </w:r>
      <w:r w:rsidR="00877292">
        <w:t>een instituted with the Company.  PECO and the parties should address the impact of any such corporate protections on the credit protection and bankruptcy-remoteness of PECO Energy Company from its parent or any of its affiliates, and whether any changes to those ring fencing measures are necessary and in the public interest.</w:t>
      </w:r>
    </w:p>
    <w:p w:rsidR="007315BA" w:rsidRDefault="007315BA" w:rsidP="00153772">
      <w:pPr>
        <w:tabs>
          <w:tab w:val="left" w:pos="4320"/>
        </w:tabs>
      </w:pPr>
    </w:p>
    <w:p w:rsidR="007315BA" w:rsidRDefault="007315BA" w:rsidP="00AC1019">
      <w:pPr>
        <w:tabs>
          <w:tab w:val="left" w:pos="4320"/>
        </w:tabs>
        <w:spacing w:line="360" w:lineRule="auto"/>
      </w:pPr>
    </w:p>
    <w:p w:rsidR="007315BA" w:rsidRDefault="007315BA" w:rsidP="00AC1019">
      <w:pPr>
        <w:tabs>
          <w:tab w:val="left" w:pos="4320"/>
        </w:tabs>
        <w:spacing w:line="360" w:lineRule="auto"/>
      </w:pPr>
    </w:p>
    <w:p w:rsidR="007315BA" w:rsidRDefault="007315BA" w:rsidP="00AC1019">
      <w:pPr>
        <w:tabs>
          <w:tab w:val="left" w:pos="4320"/>
        </w:tabs>
        <w:spacing w:line="360" w:lineRule="auto"/>
      </w:pPr>
    </w:p>
    <w:p w:rsidR="007315BA" w:rsidRDefault="007315BA" w:rsidP="00AC1019">
      <w:pPr>
        <w:tabs>
          <w:tab w:val="left" w:pos="4320"/>
        </w:tabs>
        <w:spacing w:line="360" w:lineRule="auto"/>
      </w:pPr>
    </w:p>
    <w:p w:rsidR="007315BA" w:rsidRDefault="007315BA" w:rsidP="00AC1019">
      <w:pPr>
        <w:tabs>
          <w:tab w:val="left" w:pos="4320"/>
        </w:tabs>
        <w:spacing w:line="360" w:lineRule="auto"/>
      </w:pPr>
    </w:p>
    <w:p w:rsidR="007315BA" w:rsidRDefault="007315BA" w:rsidP="00AC1019">
      <w:pPr>
        <w:tabs>
          <w:tab w:val="left" w:pos="4320"/>
        </w:tabs>
        <w:spacing w:line="360" w:lineRule="auto"/>
      </w:pPr>
    </w:p>
    <w:p w:rsidR="007315BA" w:rsidRPr="00AC1019" w:rsidRDefault="007315BA" w:rsidP="00AC1019">
      <w:pPr>
        <w:tabs>
          <w:tab w:val="left" w:pos="4320"/>
        </w:tabs>
        <w:spacing w:line="360" w:lineRule="auto"/>
      </w:pPr>
    </w:p>
    <w:sectPr w:rsidR="007315BA" w:rsidRPr="00AC1019" w:rsidSect="00AA20E4">
      <w:pgSz w:w="12240" w:h="15840" w:code="1"/>
      <w:pgMar w:top="450" w:right="1296" w:bottom="1296" w:left="1440" w:header="720" w:footer="720"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CBB" w:rsidRDefault="00425CBB">
      <w:r>
        <w:separator/>
      </w:r>
    </w:p>
  </w:endnote>
  <w:endnote w:type="continuationSeparator" w:id="0">
    <w:p w:rsidR="00425CBB" w:rsidRDefault="00425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BC" w:rsidRDefault="00A573B1">
    <w:pPr>
      <w:pStyle w:val="Footer"/>
      <w:framePr w:wrap="around" w:vAnchor="text" w:hAnchor="margin" w:xAlign="center" w:y="1"/>
      <w:rPr>
        <w:rStyle w:val="PageNumber"/>
      </w:rPr>
    </w:pPr>
    <w:r>
      <w:rPr>
        <w:rStyle w:val="PageNumber"/>
      </w:rPr>
      <w:fldChar w:fldCharType="begin"/>
    </w:r>
    <w:r w:rsidR="001357BC">
      <w:rPr>
        <w:rStyle w:val="PageNumber"/>
      </w:rPr>
      <w:instrText xml:space="preserve">PAGE  </w:instrText>
    </w:r>
    <w:r>
      <w:rPr>
        <w:rStyle w:val="PageNumber"/>
      </w:rPr>
      <w:fldChar w:fldCharType="separate"/>
    </w:r>
    <w:r w:rsidR="001357BC">
      <w:rPr>
        <w:rStyle w:val="PageNumber"/>
        <w:noProof/>
      </w:rPr>
      <w:t>1</w:t>
    </w:r>
    <w:r>
      <w:rPr>
        <w:rStyle w:val="PageNumber"/>
      </w:rPr>
      <w:fldChar w:fldCharType="end"/>
    </w:r>
  </w:p>
  <w:p w:rsidR="001357BC" w:rsidRDefault="00135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3860814"/>
      <w:docPartObj>
        <w:docPartGallery w:val="Page Numbers (Bottom of Page)"/>
        <w:docPartUnique/>
      </w:docPartObj>
    </w:sdtPr>
    <w:sdtContent>
      <w:p w:rsidR="003B249D" w:rsidRDefault="00A573B1">
        <w:pPr>
          <w:pStyle w:val="Footer"/>
          <w:jc w:val="center"/>
        </w:pPr>
        <w:fldSimple w:instr=" PAGE   \* MERGEFORMAT ">
          <w:r w:rsidR="003E3A19">
            <w:rPr>
              <w:noProof/>
            </w:rPr>
            <w:t>7</w:t>
          </w:r>
        </w:fldSimple>
      </w:p>
    </w:sdtContent>
  </w:sdt>
  <w:p w:rsidR="003B249D" w:rsidRDefault="003B24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3860813"/>
      <w:docPartObj>
        <w:docPartGallery w:val="Page Numbers (Bottom of Page)"/>
        <w:docPartUnique/>
      </w:docPartObj>
    </w:sdtPr>
    <w:sdtContent>
      <w:p w:rsidR="003B249D" w:rsidRDefault="00A573B1">
        <w:pPr>
          <w:pStyle w:val="Footer"/>
          <w:jc w:val="center"/>
        </w:pPr>
        <w:fldSimple w:instr=" PAGE   \* MERGEFORMAT ">
          <w:r w:rsidR="003E3A19">
            <w:rPr>
              <w:noProof/>
            </w:rPr>
            <w:t>1</w:t>
          </w:r>
        </w:fldSimple>
      </w:p>
    </w:sdtContent>
  </w:sdt>
  <w:p w:rsidR="008409E0" w:rsidRDefault="00840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CBB" w:rsidRDefault="00425CBB">
      <w:r>
        <w:separator/>
      </w:r>
    </w:p>
  </w:footnote>
  <w:footnote w:type="continuationSeparator" w:id="0">
    <w:p w:rsidR="00425CBB" w:rsidRDefault="00425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72" w:rsidRDefault="00153772" w:rsidP="00153772">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72" w:rsidRDefault="00153772" w:rsidP="00153772">
    <w:pPr>
      <w:pStyle w:val="Header"/>
      <w:jc w:val="right"/>
    </w:pPr>
  </w:p>
  <w:p w:rsidR="00153772" w:rsidRDefault="00153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07C4"/>
    <w:multiLevelType w:val="hybridMultilevel"/>
    <w:tmpl w:val="9F70343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170542D7"/>
    <w:multiLevelType w:val="hybridMultilevel"/>
    <w:tmpl w:val="DCCC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BB1C1E"/>
    <w:multiLevelType w:val="hybridMultilevel"/>
    <w:tmpl w:val="AC1C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4">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67F384B"/>
    <w:multiLevelType w:val="hybridMultilevel"/>
    <w:tmpl w:val="AB44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1440"/>
  <w:drawingGridHorizontalSpacing w:val="130"/>
  <w:displayHorizontalDrawingGridEvery w:val="0"/>
  <w:displayVerticalDrawingGridEvery w:val="0"/>
  <w:noPunctuationKerning/>
  <w:characterSpacingControl w:val="doNotCompress"/>
  <w:hdrShapeDefaults>
    <o:shapedefaults v:ext="edit" spidmax="43010"/>
  </w:hdrShapeDefaults>
  <w:footnotePr>
    <w:footnote w:id="-1"/>
    <w:footnote w:id="0"/>
  </w:footnotePr>
  <w:endnotePr>
    <w:endnote w:id="-1"/>
    <w:endnote w:id="0"/>
  </w:endnotePr>
  <w:compat/>
  <w:rsids>
    <w:rsidRoot w:val="00142BC5"/>
    <w:rsid w:val="00001239"/>
    <w:rsid w:val="0000437E"/>
    <w:rsid w:val="0001266D"/>
    <w:rsid w:val="0002055E"/>
    <w:rsid w:val="00023BE8"/>
    <w:rsid w:val="00031D5F"/>
    <w:rsid w:val="00040844"/>
    <w:rsid w:val="00053BF9"/>
    <w:rsid w:val="0005402D"/>
    <w:rsid w:val="0005782B"/>
    <w:rsid w:val="000619B5"/>
    <w:rsid w:val="00064A09"/>
    <w:rsid w:val="00066D86"/>
    <w:rsid w:val="000761B7"/>
    <w:rsid w:val="0008061B"/>
    <w:rsid w:val="000810DF"/>
    <w:rsid w:val="000827F1"/>
    <w:rsid w:val="00082CC2"/>
    <w:rsid w:val="00085C9F"/>
    <w:rsid w:val="000875C4"/>
    <w:rsid w:val="00091FA2"/>
    <w:rsid w:val="0009521E"/>
    <w:rsid w:val="000A1873"/>
    <w:rsid w:val="000A612F"/>
    <w:rsid w:val="000A6FCA"/>
    <w:rsid w:val="000B30DD"/>
    <w:rsid w:val="000C0E11"/>
    <w:rsid w:val="000C4E0A"/>
    <w:rsid w:val="000C7DF9"/>
    <w:rsid w:val="000D58F3"/>
    <w:rsid w:val="000E35C1"/>
    <w:rsid w:val="000E3729"/>
    <w:rsid w:val="000F5794"/>
    <w:rsid w:val="000F7A15"/>
    <w:rsid w:val="000F7EA3"/>
    <w:rsid w:val="001116B9"/>
    <w:rsid w:val="00115431"/>
    <w:rsid w:val="0012734C"/>
    <w:rsid w:val="00127E3D"/>
    <w:rsid w:val="0013168D"/>
    <w:rsid w:val="001357BC"/>
    <w:rsid w:val="00137A57"/>
    <w:rsid w:val="00140F39"/>
    <w:rsid w:val="00142BC5"/>
    <w:rsid w:val="001469C6"/>
    <w:rsid w:val="00146C82"/>
    <w:rsid w:val="001500A4"/>
    <w:rsid w:val="00150BC8"/>
    <w:rsid w:val="001513A1"/>
    <w:rsid w:val="00153772"/>
    <w:rsid w:val="001554B4"/>
    <w:rsid w:val="00157464"/>
    <w:rsid w:val="001616B4"/>
    <w:rsid w:val="0016437F"/>
    <w:rsid w:val="00166727"/>
    <w:rsid w:val="001708CD"/>
    <w:rsid w:val="00171806"/>
    <w:rsid w:val="001734F8"/>
    <w:rsid w:val="00185D42"/>
    <w:rsid w:val="001916DC"/>
    <w:rsid w:val="00195414"/>
    <w:rsid w:val="00196D24"/>
    <w:rsid w:val="001A7275"/>
    <w:rsid w:val="001B010E"/>
    <w:rsid w:val="001B1DF7"/>
    <w:rsid w:val="001B33CE"/>
    <w:rsid w:val="001B4E4A"/>
    <w:rsid w:val="001C1215"/>
    <w:rsid w:val="001C5EDD"/>
    <w:rsid w:val="001D55C4"/>
    <w:rsid w:val="001E3F0D"/>
    <w:rsid w:val="001F143B"/>
    <w:rsid w:val="001F6947"/>
    <w:rsid w:val="001F79D9"/>
    <w:rsid w:val="00205563"/>
    <w:rsid w:val="002102D8"/>
    <w:rsid w:val="00212260"/>
    <w:rsid w:val="00222BF7"/>
    <w:rsid w:val="00226421"/>
    <w:rsid w:val="002303F8"/>
    <w:rsid w:val="00232E90"/>
    <w:rsid w:val="002402FF"/>
    <w:rsid w:val="0024624F"/>
    <w:rsid w:val="00246E6C"/>
    <w:rsid w:val="002535E6"/>
    <w:rsid w:val="00253786"/>
    <w:rsid w:val="0026008D"/>
    <w:rsid w:val="002622B5"/>
    <w:rsid w:val="00262699"/>
    <w:rsid w:val="00263815"/>
    <w:rsid w:val="00270ACF"/>
    <w:rsid w:val="002728A2"/>
    <w:rsid w:val="00273F52"/>
    <w:rsid w:val="002748AC"/>
    <w:rsid w:val="002758B8"/>
    <w:rsid w:val="0028797B"/>
    <w:rsid w:val="00292047"/>
    <w:rsid w:val="0029415D"/>
    <w:rsid w:val="002950D9"/>
    <w:rsid w:val="002B0550"/>
    <w:rsid w:val="002C003B"/>
    <w:rsid w:val="002C3A08"/>
    <w:rsid w:val="002C3B96"/>
    <w:rsid w:val="002C45AC"/>
    <w:rsid w:val="002D5704"/>
    <w:rsid w:val="002E2AA0"/>
    <w:rsid w:val="002E3D1D"/>
    <w:rsid w:val="002E7A76"/>
    <w:rsid w:val="002F0029"/>
    <w:rsid w:val="002F4553"/>
    <w:rsid w:val="002F4E0B"/>
    <w:rsid w:val="003019ED"/>
    <w:rsid w:val="00310A02"/>
    <w:rsid w:val="00311500"/>
    <w:rsid w:val="00323549"/>
    <w:rsid w:val="00323555"/>
    <w:rsid w:val="003306A5"/>
    <w:rsid w:val="00332D23"/>
    <w:rsid w:val="00346C6F"/>
    <w:rsid w:val="003501F3"/>
    <w:rsid w:val="00360270"/>
    <w:rsid w:val="00362D4C"/>
    <w:rsid w:val="00365433"/>
    <w:rsid w:val="00384B20"/>
    <w:rsid w:val="00393FB2"/>
    <w:rsid w:val="00397A25"/>
    <w:rsid w:val="003B03A2"/>
    <w:rsid w:val="003B1455"/>
    <w:rsid w:val="003B15EF"/>
    <w:rsid w:val="003B249D"/>
    <w:rsid w:val="003B2DC3"/>
    <w:rsid w:val="003C59E0"/>
    <w:rsid w:val="003D0B67"/>
    <w:rsid w:val="003D3118"/>
    <w:rsid w:val="003D724F"/>
    <w:rsid w:val="003E1E70"/>
    <w:rsid w:val="003E2801"/>
    <w:rsid w:val="003E3A19"/>
    <w:rsid w:val="003E6BFA"/>
    <w:rsid w:val="003E780C"/>
    <w:rsid w:val="004035D3"/>
    <w:rsid w:val="004045C8"/>
    <w:rsid w:val="00405B44"/>
    <w:rsid w:val="00411FB9"/>
    <w:rsid w:val="004120EC"/>
    <w:rsid w:val="004146DA"/>
    <w:rsid w:val="004233A6"/>
    <w:rsid w:val="00425CBB"/>
    <w:rsid w:val="00432399"/>
    <w:rsid w:val="004324B3"/>
    <w:rsid w:val="0043557E"/>
    <w:rsid w:val="00460768"/>
    <w:rsid w:val="0046120F"/>
    <w:rsid w:val="00464D12"/>
    <w:rsid w:val="0046518B"/>
    <w:rsid w:val="00473E79"/>
    <w:rsid w:val="0048010F"/>
    <w:rsid w:val="00485F3E"/>
    <w:rsid w:val="004933B1"/>
    <w:rsid w:val="00493515"/>
    <w:rsid w:val="004A7F07"/>
    <w:rsid w:val="004B34CF"/>
    <w:rsid w:val="004B517A"/>
    <w:rsid w:val="004B590F"/>
    <w:rsid w:val="004C511D"/>
    <w:rsid w:val="004D2B0E"/>
    <w:rsid w:val="004E03A6"/>
    <w:rsid w:val="004E2EE5"/>
    <w:rsid w:val="004E3AFE"/>
    <w:rsid w:val="004E41B9"/>
    <w:rsid w:val="004E5E88"/>
    <w:rsid w:val="004F49E4"/>
    <w:rsid w:val="004F6545"/>
    <w:rsid w:val="00506BA2"/>
    <w:rsid w:val="00507E71"/>
    <w:rsid w:val="00513DBA"/>
    <w:rsid w:val="005148EE"/>
    <w:rsid w:val="00516D09"/>
    <w:rsid w:val="00531733"/>
    <w:rsid w:val="00541848"/>
    <w:rsid w:val="005420D9"/>
    <w:rsid w:val="00545488"/>
    <w:rsid w:val="00552A81"/>
    <w:rsid w:val="005548B7"/>
    <w:rsid w:val="00556DDC"/>
    <w:rsid w:val="0056059A"/>
    <w:rsid w:val="0056094C"/>
    <w:rsid w:val="00562FFD"/>
    <w:rsid w:val="00566C5B"/>
    <w:rsid w:val="00576E8E"/>
    <w:rsid w:val="0057747F"/>
    <w:rsid w:val="00582614"/>
    <w:rsid w:val="0058378F"/>
    <w:rsid w:val="00584758"/>
    <w:rsid w:val="005930F9"/>
    <w:rsid w:val="005967AA"/>
    <w:rsid w:val="00597AFB"/>
    <w:rsid w:val="005A1035"/>
    <w:rsid w:val="005A605E"/>
    <w:rsid w:val="005A6C6D"/>
    <w:rsid w:val="005B3C36"/>
    <w:rsid w:val="005C182A"/>
    <w:rsid w:val="005C6EB0"/>
    <w:rsid w:val="005D2160"/>
    <w:rsid w:val="005D23AC"/>
    <w:rsid w:val="005D4BBC"/>
    <w:rsid w:val="005E18D9"/>
    <w:rsid w:val="005E1C6C"/>
    <w:rsid w:val="005E2669"/>
    <w:rsid w:val="005E2862"/>
    <w:rsid w:val="005F1DC0"/>
    <w:rsid w:val="005F2194"/>
    <w:rsid w:val="005F52DA"/>
    <w:rsid w:val="00600535"/>
    <w:rsid w:val="00601803"/>
    <w:rsid w:val="00635AA5"/>
    <w:rsid w:val="00636FAE"/>
    <w:rsid w:val="006443E3"/>
    <w:rsid w:val="006541C5"/>
    <w:rsid w:val="0066082A"/>
    <w:rsid w:val="006625E5"/>
    <w:rsid w:val="0066610F"/>
    <w:rsid w:val="00666333"/>
    <w:rsid w:val="00667527"/>
    <w:rsid w:val="00671382"/>
    <w:rsid w:val="006765E0"/>
    <w:rsid w:val="006776F9"/>
    <w:rsid w:val="006808EF"/>
    <w:rsid w:val="00683F38"/>
    <w:rsid w:val="00686C74"/>
    <w:rsid w:val="006976ED"/>
    <w:rsid w:val="006979A8"/>
    <w:rsid w:val="006A70DE"/>
    <w:rsid w:val="006A7DCB"/>
    <w:rsid w:val="006B6D59"/>
    <w:rsid w:val="006C18AB"/>
    <w:rsid w:val="006C5B3D"/>
    <w:rsid w:val="006D0892"/>
    <w:rsid w:val="006D1D28"/>
    <w:rsid w:val="006D5027"/>
    <w:rsid w:val="006E03DC"/>
    <w:rsid w:val="006E14E2"/>
    <w:rsid w:val="006F0B7B"/>
    <w:rsid w:val="006F2BC6"/>
    <w:rsid w:val="006F423E"/>
    <w:rsid w:val="006F594E"/>
    <w:rsid w:val="00705F68"/>
    <w:rsid w:val="00706706"/>
    <w:rsid w:val="00707C99"/>
    <w:rsid w:val="00727F3A"/>
    <w:rsid w:val="007315BA"/>
    <w:rsid w:val="00732391"/>
    <w:rsid w:val="00733489"/>
    <w:rsid w:val="007378E4"/>
    <w:rsid w:val="00737ED9"/>
    <w:rsid w:val="0074415F"/>
    <w:rsid w:val="00747E7B"/>
    <w:rsid w:val="00754042"/>
    <w:rsid w:val="007548C8"/>
    <w:rsid w:val="007557BE"/>
    <w:rsid w:val="00756BA3"/>
    <w:rsid w:val="00757406"/>
    <w:rsid w:val="00761B5B"/>
    <w:rsid w:val="00762812"/>
    <w:rsid w:val="007661D0"/>
    <w:rsid w:val="00772CE5"/>
    <w:rsid w:val="007822B3"/>
    <w:rsid w:val="007825BF"/>
    <w:rsid w:val="00782C54"/>
    <w:rsid w:val="00795A81"/>
    <w:rsid w:val="007A13DB"/>
    <w:rsid w:val="007A4D04"/>
    <w:rsid w:val="007A5171"/>
    <w:rsid w:val="007A6725"/>
    <w:rsid w:val="007B16CB"/>
    <w:rsid w:val="007B3DA6"/>
    <w:rsid w:val="007B6F33"/>
    <w:rsid w:val="007C0D0F"/>
    <w:rsid w:val="007C1D59"/>
    <w:rsid w:val="007C59B8"/>
    <w:rsid w:val="007C5D43"/>
    <w:rsid w:val="007C6484"/>
    <w:rsid w:val="007D05C8"/>
    <w:rsid w:val="007D4C22"/>
    <w:rsid w:val="007E0B48"/>
    <w:rsid w:val="007E257C"/>
    <w:rsid w:val="007E4598"/>
    <w:rsid w:val="007F1B75"/>
    <w:rsid w:val="007F508E"/>
    <w:rsid w:val="007F6F9C"/>
    <w:rsid w:val="0080023C"/>
    <w:rsid w:val="008022D6"/>
    <w:rsid w:val="00811C5F"/>
    <w:rsid w:val="00816100"/>
    <w:rsid w:val="008207A9"/>
    <w:rsid w:val="0082505A"/>
    <w:rsid w:val="00826BF6"/>
    <w:rsid w:val="00832273"/>
    <w:rsid w:val="00832B9A"/>
    <w:rsid w:val="00834A3D"/>
    <w:rsid w:val="008401CC"/>
    <w:rsid w:val="008409E0"/>
    <w:rsid w:val="00840E6F"/>
    <w:rsid w:val="00842A22"/>
    <w:rsid w:val="00852483"/>
    <w:rsid w:val="00854CA1"/>
    <w:rsid w:val="00860DCD"/>
    <w:rsid w:val="00861BFF"/>
    <w:rsid w:val="008679E1"/>
    <w:rsid w:val="00867B6E"/>
    <w:rsid w:val="00867C6A"/>
    <w:rsid w:val="008725B0"/>
    <w:rsid w:val="00872C9E"/>
    <w:rsid w:val="00873112"/>
    <w:rsid w:val="00874832"/>
    <w:rsid w:val="008754FE"/>
    <w:rsid w:val="00876B10"/>
    <w:rsid w:val="00877292"/>
    <w:rsid w:val="008901C6"/>
    <w:rsid w:val="00892FF3"/>
    <w:rsid w:val="00894F25"/>
    <w:rsid w:val="0089639F"/>
    <w:rsid w:val="008A304A"/>
    <w:rsid w:val="008B0CBA"/>
    <w:rsid w:val="008B4264"/>
    <w:rsid w:val="008C0C44"/>
    <w:rsid w:val="008C204C"/>
    <w:rsid w:val="008C2D12"/>
    <w:rsid w:val="008C5A5B"/>
    <w:rsid w:val="008D37C4"/>
    <w:rsid w:val="008D3A46"/>
    <w:rsid w:val="008E694E"/>
    <w:rsid w:val="008F2195"/>
    <w:rsid w:val="00906105"/>
    <w:rsid w:val="00906D1E"/>
    <w:rsid w:val="00912159"/>
    <w:rsid w:val="00916839"/>
    <w:rsid w:val="00930DA1"/>
    <w:rsid w:val="00932A92"/>
    <w:rsid w:val="00933CFE"/>
    <w:rsid w:val="00935555"/>
    <w:rsid w:val="009424F1"/>
    <w:rsid w:val="0095004A"/>
    <w:rsid w:val="00952128"/>
    <w:rsid w:val="0095220B"/>
    <w:rsid w:val="00953E9D"/>
    <w:rsid w:val="00955B5E"/>
    <w:rsid w:val="00957344"/>
    <w:rsid w:val="009578B6"/>
    <w:rsid w:val="009624F2"/>
    <w:rsid w:val="00964C54"/>
    <w:rsid w:val="00965BB8"/>
    <w:rsid w:val="009809BC"/>
    <w:rsid w:val="00993097"/>
    <w:rsid w:val="00997309"/>
    <w:rsid w:val="009A0982"/>
    <w:rsid w:val="009A5EBF"/>
    <w:rsid w:val="009B0B57"/>
    <w:rsid w:val="009D0A88"/>
    <w:rsid w:val="009D1FE5"/>
    <w:rsid w:val="009D29DF"/>
    <w:rsid w:val="009D6FEA"/>
    <w:rsid w:val="009E21A4"/>
    <w:rsid w:val="009E2692"/>
    <w:rsid w:val="009E7B54"/>
    <w:rsid w:val="009F01AD"/>
    <w:rsid w:val="009F66BE"/>
    <w:rsid w:val="009F6E2F"/>
    <w:rsid w:val="00A02B87"/>
    <w:rsid w:val="00A078DA"/>
    <w:rsid w:val="00A13342"/>
    <w:rsid w:val="00A2382D"/>
    <w:rsid w:val="00A24A78"/>
    <w:rsid w:val="00A32A17"/>
    <w:rsid w:val="00A33965"/>
    <w:rsid w:val="00A33ABD"/>
    <w:rsid w:val="00A34E25"/>
    <w:rsid w:val="00A502BD"/>
    <w:rsid w:val="00A55104"/>
    <w:rsid w:val="00A555A6"/>
    <w:rsid w:val="00A573B1"/>
    <w:rsid w:val="00A726E6"/>
    <w:rsid w:val="00A73DD0"/>
    <w:rsid w:val="00A75FF5"/>
    <w:rsid w:val="00A768F8"/>
    <w:rsid w:val="00A8013C"/>
    <w:rsid w:val="00A80560"/>
    <w:rsid w:val="00A8101E"/>
    <w:rsid w:val="00A86E74"/>
    <w:rsid w:val="00A900FD"/>
    <w:rsid w:val="00A92423"/>
    <w:rsid w:val="00AA20E4"/>
    <w:rsid w:val="00AA31DE"/>
    <w:rsid w:val="00AA486A"/>
    <w:rsid w:val="00AB0B44"/>
    <w:rsid w:val="00AB3E5B"/>
    <w:rsid w:val="00AC1019"/>
    <w:rsid w:val="00AC5010"/>
    <w:rsid w:val="00AD3C2D"/>
    <w:rsid w:val="00AD48E7"/>
    <w:rsid w:val="00AD7621"/>
    <w:rsid w:val="00AD7B0F"/>
    <w:rsid w:val="00AE34CA"/>
    <w:rsid w:val="00AF6B2C"/>
    <w:rsid w:val="00B05306"/>
    <w:rsid w:val="00B10ABF"/>
    <w:rsid w:val="00B10C5D"/>
    <w:rsid w:val="00B12034"/>
    <w:rsid w:val="00B1355B"/>
    <w:rsid w:val="00B24EC5"/>
    <w:rsid w:val="00B31564"/>
    <w:rsid w:val="00B41C2C"/>
    <w:rsid w:val="00B44209"/>
    <w:rsid w:val="00B44857"/>
    <w:rsid w:val="00B572A4"/>
    <w:rsid w:val="00B6202B"/>
    <w:rsid w:val="00B6464F"/>
    <w:rsid w:val="00B70087"/>
    <w:rsid w:val="00B70B4B"/>
    <w:rsid w:val="00B80A42"/>
    <w:rsid w:val="00B80F79"/>
    <w:rsid w:val="00B83CF0"/>
    <w:rsid w:val="00B8474E"/>
    <w:rsid w:val="00B87579"/>
    <w:rsid w:val="00B912C6"/>
    <w:rsid w:val="00B91B7A"/>
    <w:rsid w:val="00BA4BF7"/>
    <w:rsid w:val="00BC5E01"/>
    <w:rsid w:val="00BC7B16"/>
    <w:rsid w:val="00BC7EEE"/>
    <w:rsid w:val="00BD4CA4"/>
    <w:rsid w:val="00BD594F"/>
    <w:rsid w:val="00BE13AE"/>
    <w:rsid w:val="00BE39DB"/>
    <w:rsid w:val="00BE4E5E"/>
    <w:rsid w:val="00BE56A8"/>
    <w:rsid w:val="00BF25D1"/>
    <w:rsid w:val="00BF2DC8"/>
    <w:rsid w:val="00BF3A15"/>
    <w:rsid w:val="00BF4934"/>
    <w:rsid w:val="00BF4D4D"/>
    <w:rsid w:val="00BF7B07"/>
    <w:rsid w:val="00C02835"/>
    <w:rsid w:val="00C044E7"/>
    <w:rsid w:val="00C0763E"/>
    <w:rsid w:val="00C23CD5"/>
    <w:rsid w:val="00C40D8B"/>
    <w:rsid w:val="00C42A6E"/>
    <w:rsid w:val="00C453EB"/>
    <w:rsid w:val="00C52F5F"/>
    <w:rsid w:val="00C55D00"/>
    <w:rsid w:val="00C62CE8"/>
    <w:rsid w:val="00C64EDB"/>
    <w:rsid w:val="00C67675"/>
    <w:rsid w:val="00C70702"/>
    <w:rsid w:val="00C72C83"/>
    <w:rsid w:val="00C8035C"/>
    <w:rsid w:val="00C812C8"/>
    <w:rsid w:val="00CA101A"/>
    <w:rsid w:val="00CA155A"/>
    <w:rsid w:val="00CA1F95"/>
    <w:rsid w:val="00CA3115"/>
    <w:rsid w:val="00CB7A19"/>
    <w:rsid w:val="00CC1905"/>
    <w:rsid w:val="00CC485B"/>
    <w:rsid w:val="00CD1D82"/>
    <w:rsid w:val="00CD2ECF"/>
    <w:rsid w:val="00CD4C03"/>
    <w:rsid w:val="00CD516C"/>
    <w:rsid w:val="00CD5BDB"/>
    <w:rsid w:val="00CF1D77"/>
    <w:rsid w:val="00CF3BDF"/>
    <w:rsid w:val="00CF551D"/>
    <w:rsid w:val="00CF6D43"/>
    <w:rsid w:val="00D010EB"/>
    <w:rsid w:val="00D012D1"/>
    <w:rsid w:val="00D02572"/>
    <w:rsid w:val="00D031AF"/>
    <w:rsid w:val="00D049C6"/>
    <w:rsid w:val="00D057E7"/>
    <w:rsid w:val="00D0664F"/>
    <w:rsid w:val="00D074D6"/>
    <w:rsid w:val="00D1154B"/>
    <w:rsid w:val="00D127D3"/>
    <w:rsid w:val="00D12B1D"/>
    <w:rsid w:val="00D15BBF"/>
    <w:rsid w:val="00D16ADA"/>
    <w:rsid w:val="00D2033E"/>
    <w:rsid w:val="00D205F0"/>
    <w:rsid w:val="00D238A6"/>
    <w:rsid w:val="00D2696D"/>
    <w:rsid w:val="00D301A0"/>
    <w:rsid w:val="00D33917"/>
    <w:rsid w:val="00D35FDA"/>
    <w:rsid w:val="00D36289"/>
    <w:rsid w:val="00D478BF"/>
    <w:rsid w:val="00D55BF6"/>
    <w:rsid w:val="00D56B61"/>
    <w:rsid w:val="00D60634"/>
    <w:rsid w:val="00D651C3"/>
    <w:rsid w:val="00D6633F"/>
    <w:rsid w:val="00D84308"/>
    <w:rsid w:val="00D85268"/>
    <w:rsid w:val="00D87ECC"/>
    <w:rsid w:val="00D909D7"/>
    <w:rsid w:val="00D938AC"/>
    <w:rsid w:val="00D94439"/>
    <w:rsid w:val="00DA1A68"/>
    <w:rsid w:val="00DA70FC"/>
    <w:rsid w:val="00DC1D88"/>
    <w:rsid w:val="00DD125B"/>
    <w:rsid w:val="00DD3EC5"/>
    <w:rsid w:val="00DD4B2D"/>
    <w:rsid w:val="00DE438F"/>
    <w:rsid w:val="00DF0A21"/>
    <w:rsid w:val="00DF43BB"/>
    <w:rsid w:val="00E01A29"/>
    <w:rsid w:val="00E064E3"/>
    <w:rsid w:val="00E14C1C"/>
    <w:rsid w:val="00E3104A"/>
    <w:rsid w:val="00E3416D"/>
    <w:rsid w:val="00E3443A"/>
    <w:rsid w:val="00E41CEB"/>
    <w:rsid w:val="00E44E76"/>
    <w:rsid w:val="00E4556D"/>
    <w:rsid w:val="00E512D0"/>
    <w:rsid w:val="00E5167F"/>
    <w:rsid w:val="00E517CF"/>
    <w:rsid w:val="00E55F00"/>
    <w:rsid w:val="00E56EFC"/>
    <w:rsid w:val="00E57A0A"/>
    <w:rsid w:val="00E67324"/>
    <w:rsid w:val="00E70CB3"/>
    <w:rsid w:val="00E715B7"/>
    <w:rsid w:val="00E724F0"/>
    <w:rsid w:val="00E82BB1"/>
    <w:rsid w:val="00E8555F"/>
    <w:rsid w:val="00E861DB"/>
    <w:rsid w:val="00EA20FB"/>
    <w:rsid w:val="00EA3F29"/>
    <w:rsid w:val="00EA68D0"/>
    <w:rsid w:val="00EB093F"/>
    <w:rsid w:val="00EB607F"/>
    <w:rsid w:val="00EB741E"/>
    <w:rsid w:val="00EC3F40"/>
    <w:rsid w:val="00ED1F52"/>
    <w:rsid w:val="00ED4C86"/>
    <w:rsid w:val="00EE171B"/>
    <w:rsid w:val="00EE6A23"/>
    <w:rsid w:val="00EF17CD"/>
    <w:rsid w:val="00EF37A2"/>
    <w:rsid w:val="00EF57A6"/>
    <w:rsid w:val="00EF5C01"/>
    <w:rsid w:val="00F00089"/>
    <w:rsid w:val="00F000E8"/>
    <w:rsid w:val="00F1489D"/>
    <w:rsid w:val="00F14DA7"/>
    <w:rsid w:val="00F2502B"/>
    <w:rsid w:val="00F32EFC"/>
    <w:rsid w:val="00F32FF7"/>
    <w:rsid w:val="00F40B0B"/>
    <w:rsid w:val="00F4276E"/>
    <w:rsid w:val="00F445BF"/>
    <w:rsid w:val="00F47908"/>
    <w:rsid w:val="00F50C46"/>
    <w:rsid w:val="00F54C01"/>
    <w:rsid w:val="00F5773C"/>
    <w:rsid w:val="00F578E6"/>
    <w:rsid w:val="00F57C93"/>
    <w:rsid w:val="00F607D5"/>
    <w:rsid w:val="00F60D81"/>
    <w:rsid w:val="00F6198D"/>
    <w:rsid w:val="00F64D77"/>
    <w:rsid w:val="00F66BD6"/>
    <w:rsid w:val="00F750D3"/>
    <w:rsid w:val="00F75E45"/>
    <w:rsid w:val="00F84C14"/>
    <w:rsid w:val="00F84CC9"/>
    <w:rsid w:val="00F86C0F"/>
    <w:rsid w:val="00F926ED"/>
    <w:rsid w:val="00F96405"/>
    <w:rsid w:val="00FA12F6"/>
    <w:rsid w:val="00FA1E1D"/>
    <w:rsid w:val="00FA27A7"/>
    <w:rsid w:val="00FA4989"/>
    <w:rsid w:val="00FB290C"/>
    <w:rsid w:val="00FB4100"/>
    <w:rsid w:val="00FB53B7"/>
    <w:rsid w:val="00FB6D12"/>
    <w:rsid w:val="00FC1558"/>
    <w:rsid w:val="00FC6877"/>
    <w:rsid w:val="00FC7C23"/>
    <w:rsid w:val="00FD0A5F"/>
    <w:rsid w:val="00FD37DC"/>
    <w:rsid w:val="00FE3739"/>
    <w:rsid w:val="00FE6CEF"/>
    <w:rsid w:val="00FF2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BA3"/>
    <w:pPr>
      <w:tabs>
        <w:tab w:val="center" w:pos="4320"/>
        <w:tab w:val="right" w:pos="8640"/>
      </w:tabs>
    </w:pPr>
  </w:style>
  <w:style w:type="paragraph" w:styleId="Footer">
    <w:name w:val="footer"/>
    <w:basedOn w:val="Normal"/>
    <w:link w:val="FooterChar"/>
    <w:uiPriority w:val="99"/>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 w:type="character" w:customStyle="1" w:styleId="HeaderChar">
    <w:name w:val="Header Char"/>
    <w:basedOn w:val="DefaultParagraphFont"/>
    <w:link w:val="Header"/>
    <w:uiPriority w:val="99"/>
    <w:rsid w:val="000827F1"/>
    <w:rPr>
      <w:color w:val="000000"/>
      <w:sz w:val="26"/>
    </w:rPr>
  </w:style>
  <w:style w:type="character" w:customStyle="1" w:styleId="FooterChar">
    <w:name w:val="Footer Char"/>
    <w:basedOn w:val="DefaultParagraphFont"/>
    <w:link w:val="Footer"/>
    <w:uiPriority w:val="99"/>
    <w:rsid w:val="008409E0"/>
    <w:rPr>
      <w:color w:val="000000"/>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E10A-E18E-4AF6-81A3-62A34B51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15530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DEICHMILLERH</dc:creator>
  <cp:keywords/>
  <cp:lastModifiedBy>Administrator</cp:lastModifiedBy>
  <cp:revision>6</cp:revision>
  <cp:lastPrinted>2010-05-20T15:16:00Z</cp:lastPrinted>
  <dcterms:created xsi:type="dcterms:W3CDTF">2010-05-14T15:29:00Z</dcterms:created>
  <dcterms:modified xsi:type="dcterms:W3CDTF">2010-05-20T15:16:00Z</dcterms:modified>
</cp:coreProperties>
</file>