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1980"/>
        <w:gridCol w:w="270"/>
        <w:gridCol w:w="1530"/>
        <w:gridCol w:w="450"/>
        <w:gridCol w:w="2880"/>
      </w:tblGrid>
      <w:tr w:rsidR="00142BC5" w:rsidRPr="00DD4B2D">
        <w:tc>
          <w:tcPr>
            <w:tcW w:w="2448" w:type="dxa"/>
          </w:tcPr>
          <w:p w:rsidR="00142BC5" w:rsidRPr="00AC1019" w:rsidRDefault="00142BC5"/>
        </w:tc>
        <w:tc>
          <w:tcPr>
            <w:tcW w:w="4230" w:type="dxa"/>
            <w:gridSpan w:val="4"/>
          </w:tcPr>
          <w:p w:rsidR="00142BC5" w:rsidRPr="00DD4B2D" w:rsidRDefault="00142BC5">
            <w:pPr>
              <w:jc w:val="center"/>
              <w:rPr>
                <w:b/>
              </w:rPr>
            </w:pPr>
            <w:smartTag w:uri="urn:schemas-microsoft-com:office:smarttags" w:element="place">
              <w:smartTag w:uri="urn:schemas-microsoft-com:office:smarttags" w:element="State">
                <w:r w:rsidRPr="00DD4B2D">
                  <w:rPr>
                    <w:b/>
                  </w:rPr>
                  <w:t>PENNSYLVANIA</w:t>
                </w:r>
              </w:smartTag>
            </w:smartTag>
          </w:p>
          <w:p w:rsidR="00142BC5" w:rsidRPr="00DD4B2D" w:rsidRDefault="00142BC5">
            <w:pPr>
              <w:jc w:val="center"/>
              <w:rPr>
                <w:b/>
              </w:rPr>
            </w:pPr>
            <w:r w:rsidRPr="00DD4B2D">
              <w:rPr>
                <w:b/>
              </w:rPr>
              <w:t>PUBLIC UTILITY COMMISSION</w:t>
            </w:r>
          </w:p>
          <w:p w:rsidR="00142BC5" w:rsidRPr="00DD4B2D" w:rsidRDefault="00142BC5">
            <w:pPr>
              <w:jc w:val="center"/>
            </w:pPr>
            <w:smartTag w:uri="urn:schemas-microsoft-com:office:smarttags" w:element="place">
              <w:smartTag w:uri="urn:schemas-microsoft-com:office:smarttags" w:element="City">
                <w:r w:rsidRPr="00DD4B2D">
                  <w:rPr>
                    <w:b/>
                  </w:rPr>
                  <w:t>Harrisburg</w:t>
                </w:r>
              </w:smartTag>
              <w:r w:rsidRPr="00DD4B2D">
                <w:rPr>
                  <w:b/>
                </w:rPr>
                <w:t xml:space="preserve">, </w:t>
              </w:r>
              <w:smartTag w:uri="urn:schemas-microsoft-com:office:smarttags" w:element="State">
                <w:r w:rsidRPr="00DD4B2D">
                  <w:rPr>
                    <w:b/>
                  </w:rPr>
                  <w:t>PA</w:t>
                </w:r>
              </w:smartTag>
              <w:r w:rsidRPr="00DD4B2D">
                <w:rPr>
                  <w:b/>
                </w:rPr>
                <w:t xml:space="preserve">  </w:t>
              </w:r>
              <w:smartTag w:uri="urn:schemas-microsoft-com:office:smarttags" w:element="PostalCode">
                <w:r w:rsidRPr="00DD4B2D">
                  <w:rPr>
                    <w:b/>
                  </w:rPr>
                  <w:t>17105-3265</w:t>
                </w:r>
              </w:smartTag>
            </w:smartTag>
          </w:p>
        </w:tc>
        <w:tc>
          <w:tcPr>
            <w:tcW w:w="2880" w:type="dxa"/>
          </w:tcPr>
          <w:p w:rsidR="00142BC5" w:rsidRPr="00DD4B2D" w:rsidRDefault="00142BC5"/>
        </w:tc>
      </w:tr>
      <w:tr w:rsidR="00AC1019" w:rsidRPr="00DD4B2D">
        <w:tc>
          <w:tcPr>
            <w:tcW w:w="2448" w:type="dxa"/>
          </w:tcPr>
          <w:p w:rsidR="00AC1019" w:rsidRPr="00DD4B2D" w:rsidRDefault="00AC1019"/>
        </w:tc>
        <w:tc>
          <w:tcPr>
            <w:tcW w:w="4230" w:type="dxa"/>
            <w:gridSpan w:val="4"/>
          </w:tcPr>
          <w:p w:rsidR="00AC1019" w:rsidRPr="00DD4B2D" w:rsidRDefault="00AC1019">
            <w:pPr>
              <w:jc w:val="center"/>
              <w:rPr>
                <w:b/>
              </w:rPr>
            </w:pPr>
          </w:p>
        </w:tc>
        <w:tc>
          <w:tcPr>
            <w:tcW w:w="2880" w:type="dxa"/>
          </w:tcPr>
          <w:p w:rsidR="00AC1019" w:rsidRPr="00DD4B2D" w:rsidRDefault="00AC1019"/>
        </w:tc>
      </w:tr>
      <w:tr w:rsidR="00142BC5" w:rsidRPr="009F6E2F">
        <w:tc>
          <w:tcPr>
            <w:tcW w:w="4698" w:type="dxa"/>
            <w:gridSpan w:val="3"/>
          </w:tcPr>
          <w:p w:rsidR="00142BC5" w:rsidRPr="00DD4B2D" w:rsidRDefault="00142BC5"/>
        </w:tc>
        <w:tc>
          <w:tcPr>
            <w:tcW w:w="4860" w:type="dxa"/>
            <w:gridSpan w:val="3"/>
          </w:tcPr>
          <w:p w:rsidR="00142BC5" w:rsidRPr="009F6E2F" w:rsidRDefault="00142BC5" w:rsidP="00E01A29">
            <w:pPr>
              <w:rPr>
                <w:highlight w:val="green"/>
              </w:rPr>
            </w:pPr>
            <w:r w:rsidRPr="00872C9E">
              <w:t>Public Meeting held</w:t>
            </w:r>
            <w:r w:rsidR="0066610F" w:rsidRPr="00872C9E">
              <w:t xml:space="preserve"> </w:t>
            </w:r>
            <w:r w:rsidR="00AF2E99">
              <w:t>May 20</w:t>
            </w:r>
            <w:r w:rsidR="00D127D3" w:rsidRPr="00872C9E">
              <w:t>, 20</w:t>
            </w:r>
            <w:r w:rsidR="005D23AC" w:rsidRPr="00872C9E">
              <w:t>10</w:t>
            </w:r>
          </w:p>
        </w:tc>
      </w:tr>
      <w:tr w:rsidR="00142BC5" w:rsidRPr="009F6E2F">
        <w:tc>
          <w:tcPr>
            <w:tcW w:w="4698" w:type="dxa"/>
            <w:gridSpan w:val="3"/>
          </w:tcPr>
          <w:p w:rsidR="00142BC5" w:rsidRPr="005D23AC" w:rsidRDefault="00142BC5">
            <w:r w:rsidRPr="005D23AC">
              <w:t>Commissioners Present:</w:t>
            </w:r>
          </w:p>
        </w:tc>
        <w:tc>
          <w:tcPr>
            <w:tcW w:w="4860" w:type="dxa"/>
            <w:gridSpan w:val="3"/>
          </w:tcPr>
          <w:p w:rsidR="00142BC5" w:rsidRPr="005D23AC" w:rsidRDefault="00142BC5"/>
        </w:tc>
      </w:tr>
      <w:tr w:rsidR="00AC1019" w:rsidRPr="009F6E2F">
        <w:tc>
          <w:tcPr>
            <w:tcW w:w="4698" w:type="dxa"/>
            <w:gridSpan w:val="3"/>
          </w:tcPr>
          <w:p w:rsidR="00AC1019" w:rsidRPr="005D23AC" w:rsidRDefault="00AC1019"/>
        </w:tc>
        <w:tc>
          <w:tcPr>
            <w:tcW w:w="4860" w:type="dxa"/>
            <w:gridSpan w:val="3"/>
          </w:tcPr>
          <w:p w:rsidR="00AC1019" w:rsidRPr="005D23AC" w:rsidRDefault="00AC1019"/>
        </w:tc>
      </w:tr>
      <w:tr w:rsidR="00142BC5" w:rsidRPr="009F6E2F">
        <w:tc>
          <w:tcPr>
            <w:tcW w:w="4698" w:type="dxa"/>
            <w:gridSpan w:val="3"/>
          </w:tcPr>
          <w:p w:rsidR="00142BC5" w:rsidRPr="005D23AC" w:rsidRDefault="00666333">
            <w:pPr>
              <w:ind w:firstLine="450"/>
            </w:pPr>
            <w:r w:rsidRPr="005D23AC">
              <w:t xml:space="preserve">James H. Cawley, </w:t>
            </w:r>
            <w:r w:rsidR="00EB093F" w:rsidRPr="005D23AC">
              <w:t>Chairman</w:t>
            </w:r>
          </w:p>
        </w:tc>
        <w:tc>
          <w:tcPr>
            <w:tcW w:w="4860" w:type="dxa"/>
            <w:gridSpan w:val="3"/>
          </w:tcPr>
          <w:p w:rsidR="00142BC5" w:rsidRPr="005D23AC" w:rsidRDefault="00142BC5"/>
        </w:tc>
      </w:tr>
      <w:tr w:rsidR="00142BC5" w:rsidRPr="009F6E2F">
        <w:tc>
          <w:tcPr>
            <w:tcW w:w="4698" w:type="dxa"/>
            <w:gridSpan w:val="3"/>
          </w:tcPr>
          <w:p w:rsidR="00142BC5" w:rsidRPr="005D23AC" w:rsidRDefault="002303F8">
            <w:pPr>
              <w:ind w:firstLine="450"/>
            </w:pPr>
            <w:r w:rsidRPr="005D23AC">
              <w:t>Tyrone J. Christy, Vice Chairman</w:t>
            </w:r>
          </w:p>
        </w:tc>
        <w:tc>
          <w:tcPr>
            <w:tcW w:w="4860" w:type="dxa"/>
            <w:gridSpan w:val="3"/>
          </w:tcPr>
          <w:p w:rsidR="00142BC5" w:rsidRPr="005D23AC" w:rsidRDefault="00142BC5"/>
        </w:tc>
      </w:tr>
      <w:tr w:rsidR="004324B3" w:rsidRPr="009F6E2F">
        <w:tc>
          <w:tcPr>
            <w:tcW w:w="4698" w:type="dxa"/>
            <w:gridSpan w:val="3"/>
          </w:tcPr>
          <w:p w:rsidR="004324B3" w:rsidRPr="005D23AC" w:rsidRDefault="004324B3" w:rsidP="00EE7FBC">
            <w:pPr>
              <w:ind w:firstLine="450"/>
            </w:pPr>
            <w:r w:rsidRPr="005D23AC">
              <w:t>Wayne E. Gardner</w:t>
            </w:r>
          </w:p>
        </w:tc>
        <w:tc>
          <w:tcPr>
            <w:tcW w:w="4860" w:type="dxa"/>
            <w:gridSpan w:val="3"/>
          </w:tcPr>
          <w:p w:rsidR="004324B3" w:rsidRPr="005D23AC" w:rsidRDefault="004324B3"/>
        </w:tc>
      </w:tr>
      <w:tr w:rsidR="004324B3" w:rsidRPr="009F6E2F">
        <w:tc>
          <w:tcPr>
            <w:tcW w:w="4698" w:type="dxa"/>
            <w:gridSpan w:val="3"/>
          </w:tcPr>
          <w:p w:rsidR="004324B3" w:rsidRPr="005D23AC" w:rsidRDefault="004324B3" w:rsidP="00EE7FBC">
            <w:pPr>
              <w:ind w:firstLine="450"/>
            </w:pPr>
            <w:r w:rsidRPr="005D23AC">
              <w:t>Robert F. Powelson</w:t>
            </w:r>
          </w:p>
        </w:tc>
        <w:tc>
          <w:tcPr>
            <w:tcW w:w="4860" w:type="dxa"/>
            <w:gridSpan w:val="3"/>
          </w:tcPr>
          <w:p w:rsidR="004324B3" w:rsidRPr="005D23AC" w:rsidRDefault="004324B3"/>
        </w:tc>
      </w:tr>
      <w:tr w:rsidR="004324B3" w:rsidRPr="009F6E2F">
        <w:tc>
          <w:tcPr>
            <w:tcW w:w="4698" w:type="dxa"/>
            <w:gridSpan w:val="3"/>
          </w:tcPr>
          <w:p w:rsidR="004324B3" w:rsidRPr="005D23AC" w:rsidRDefault="004324B3">
            <w:pPr>
              <w:ind w:firstLine="450"/>
            </w:pPr>
          </w:p>
        </w:tc>
        <w:tc>
          <w:tcPr>
            <w:tcW w:w="4860" w:type="dxa"/>
            <w:gridSpan w:val="3"/>
          </w:tcPr>
          <w:p w:rsidR="004324B3" w:rsidRPr="005D23AC" w:rsidRDefault="004324B3"/>
        </w:tc>
      </w:tr>
      <w:tr w:rsidR="004324B3" w:rsidRPr="009F6E2F">
        <w:tc>
          <w:tcPr>
            <w:tcW w:w="6228" w:type="dxa"/>
            <w:gridSpan w:val="4"/>
          </w:tcPr>
          <w:p w:rsidR="004324B3" w:rsidRPr="009F6E2F" w:rsidRDefault="004324B3">
            <w:pPr>
              <w:jc w:val="center"/>
              <w:rPr>
                <w:highlight w:val="green"/>
              </w:rPr>
            </w:pPr>
          </w:p>
        </w:tc>
        <w:tc>
          <w:tcPr>
            <w:tcW w:w="3330" w:type="dxa"/>
            <w:gridSpan w:val="2"/>
          </w:tcPr>
          <w:p w:rsidR="004324B3" w:rsidRPr="009F6E2F" w:rsidRDefault="004324B3">
            <w:pPr>
              <w:ind w:firstLine="1332"/>
              <w:rPr>
                <w:highlight w:val="green"/>
              </w:rPr>
            </w:pPr>
          </w:p>
        </w:tc>
      </w:tr>
      <w:tr w:rsidR="004324B3" w:rsidRPr="00872C9E" w:rsidTr="004D2B0E">
        <w:tc>
          <w:tcPr>
            <w:tcW w:w="4428" w:type="dxa"/>
            <w:gridSpan w:val="2"/>
            <w:vAlign w:val="center"/>
          </w:tcPr>
          <w:p w:rsidR="004324B3" w:rsidRPr="00872C9E" w:rsidRDefault="004324B3" w:rsidP="00F47908">
            <w:pPr>
              <w:jc w:val="center"/>
            </w:pPr>
            <w:smartTag w:uri="urn:schemas-microsoft-com:office:smarttags" w:element="State">
              <w:smartTag w:uri="urn:schemas-microsoft-com:office:smarttags" w:element="place">
                <w:r w:rsidRPr="00872C9E">
                  <w:t>Pennsylvania</w:t>
                </w:r>
              </w:smartTag>
            </w:smartTag>
            <w:r w:rsidRPr="00872C9E">
              <w:t xml:space="preserve"> Public Utility Commission</w:t>
            </w:r>
          </w:p>
          <w:p w:rsidR="004324B3" w:rsidRPr="00872C9E" w:rsidRDefault="004324B3" w:rsidP="00F32FF7">
            <w:pPr>
              <w:tabs>
                <w:tab w:val="left" w:pos="1455"/>
              </w:tabs>
              <w:jc w:val="center"/>
            </w:pPr>
            <w:r w:rsidRPr="00872C9E">
              <w:t>v.</w:t>
            </w:r>
          </w:p>
          <w:p w:rsidR="004324B3" w:rsidRPr="00872C9E" w:rsidRDefault="00AF2E99" w:rsidP="00F32FF7">
            <w:pPr>
              <w:jc w:val="center"/>
            </w:pPr>
            <w:r>
              <w:t>PPL Electric Utilities Corporation</w:t>
            </w:r>
          </w:p>
        </w:tc>
        <w:tc>
          <w:tcPr>
            <w:tcW w:w="1800" w:type="dxa"/>
            <w:gridSpan w:val="2"/>
            <w:vAlign w:val="center"/>
          </w:tcPr>
          <w:p w:rsidR="004324B3" w:rsidRPr="00872C9E" w:rsidRDefault="004324B3" w:rsidP="00F32FF7">
            <w:pPr>
              <w:jc w:val="center"/>
            </w:pPr>
          </w:p>
        </w:tc>
        <w:tc>
          <w:tcPr>
            <w:tcW w:w="3330" w:type="dxa"/>
            <w:gridSpan w:val="2"/>
          </w:tcPr>
          <w:p w:rsidR="004324B3" w:rsidRDefault="004324B3" w:rsidP="005F1DC0">
            <w:r>
              <w:t>Docket No.</w:t>
            </w:r>
          </w:p>
          <w:p w:rsidR="004324B3" w:rsidRPr="00872C9E" w:rsidRDefault="00AF2E99" w:rsidP="005F1DC0">
            <w:r>
              <w:t>R-2010-2161694</w:t>
            </w:r>
          </w:p>
          <w:p w:rsidR="004324B3" w:rsidRPr="00872C9E" w:rsidRDefault="004324B3" w:rsidP="002728A2">
            <w:pPr>
              <w:rPr>
                <w:i/>
              </w:rPr>
            </w:pPr>
          </w:p>
        </w:tc>
      </w:tr>
      <w:tr w:rsidR="004324B3" w:rsidRPr="00872C9E">
        <w:tc>
          <w:tcPr>
            <w:tcW w:w="6228" w:type="dxa"/>
            <w:gridSpan w:val="4"/>
          </w:tcPr>
          <w:p w:rsidR="004324B3" w:rsidRPr="00872C9E" w:rsidRDefault="004324B3">
            <w:pPr>
              <w:jc w:val="center"/>
            </w:pPr>
          </w:p>
        </w:tc>
        <w:tc>
          <w:tcPr>
            <w:tcW w:w="3330" w:type="dxa"/>
            <w:gridSpan w:val="2"/>
          </w:tcPr>
          <w:p w:rsidR="004324B3" w:rsidRPr="00872C9E" w:rsidRDefault="004324B3">
            <w:pPr>
              <w:ind w:firstLine="1332"/>
            </w:pPr>
          </w:p>
        </w:tc>
      </w:tr>
      <w:tr w:rsidR="004324B3" w:rsidRPr="00872C9E">
        <w:tc>
          <w:tcPr>
            <w:tcW w:w="6228" w:type="dxa"/>
            <w:gridSpan w:val="4"/>
          </w:tcPr>
          <w:p w:rsidR="004324B3" w:rsidRPr="00872C9E" w:rsidRDefault="004324B3">
            <w:pPr>
              <w:jc w:val="center"/>
            </w:pPr>
          </w:p>
        </w:tc>
        <w:tc>
          <w:tcPr>
            <w:tcW w:w="3330" w:type="dxa"/>
            <w:gridSpan w:val="2"/>
          </w:tcPr>
          <w:p w:rsidR="004324B3" w:rsidRPr="00872C9E" w:rsidRDefault="004324B3">
            <w:pPr>
              <w:ind w:firstLine="1332"/>
            </w:pPr>
          </w:p>
        </w:tc>
      </w:tr>
    </w:tbl>
    <w:p w:rsidR="00F47908" w:rsidRPr="00872C9E" w:rsidRDefault="00F47908">
      <w:pPr>
        <w:jc w:val="center"/>
        <w:rPr>
          <w:b/>
        </w:rPr>
      </w:pPr>
    </w:p>
    <w:p w:rsidR="00142BC5" w:rsidRPr="00872C9E" w:rsidRDefault="00142BC5">
      <w:pPr>
        <w:jc w:val="center"/>
      </w:pPr>
      <w:r w:rsidRPr="00872C9E">
        <w:rPr>
          <w:b/>
        </w:rPr>
        <w:t>ORDER</w:t>
      </w:r>
    </w:p>
    <w:p w:rsidR="00AC1019" w:rsidRPr="00872C9E" w:rsidRDefault="00AC1019">
      <w:pPr>
        <w:spacing w:line="360" w:lineRule="auto"/>
        <w:rPr>
          <w:b/>
        </w:rPr>
      </w:pPr>
    </w:p>
    <w:p w:rsidR="00142BC5" w:rsidRPr="00872C9E" w:rsidRDefault="00142BC5">
      <w:pPr>
        <w:spacing w:line="360" w:lineRule="auto"/>
        <w:rPr>
          <w:b/>
        </w:rPr>
      </w:pPr>
      <w:r w:rsidRPr="00872C9E">
        <w:rPr>
          <w:b/>
        </w:rPr>
        <w:t>BY THE COMMISSION:</w:t>
      </w:r>
    </w:p>
    <w:p w:rsidR="00142BC5" w:rsidRPr="009F6E2F" w:rsidRDefault="00142BC5" w:rsidP="00076535">
      <w:pPr>
        <w:rPr>
          <w:highlight w:val="green"/>
        </w:rPr>
      </w:pPr>
    </w:p>
    <w:p w:rsidR="0062244F" w:rsidRDefault="00142BC5" w:rsidP="0062244F">
      <w:pPr>
        <w:spacing w:line="360" w:lineRule="auto"/>
        <w:ind w:firstLine="720"/>
      </w:pPr>
      <w:r w:rsidRPr="00497C85">
        <w:rPr>
          <w:color w:val="auto"/>
        </w:rPr>
        <w:t>On</w:t>
      </w:r>
      <w:r w:rsidR="0043557E" w:rsidRPr="00497C85">
        <w:rPr>
          <w:color w:val="auto"/>
        </w:rPr>
        <w:t xml:space="preserve"> </w:t>
      </w:r>
      <w:r w:rsidR="00497C85" w:rsidRPr="00497C85">
        <w:rPr>
          <w:color w:val="auto"/>
        </w:rPr>
        <w:t>March 31</w:t>
      </w:r>
      <w:r w:rsidR="000A6FCA" w:rsidRPr="00497C85">
        <w:rPr>
          <w:color w:val="auto"/>
        </w:rPr>
        <w:t>, 2010</w:t>
      </w:r>
      <w:r w:rsidRPr="00497C85">
        <w:rPr>
          <w:color w:val="auto"/>
        </w:rPr>
        <w:t>,</w:t>
      </w:r>
      <w:r w:rsidR="00933CFE" w:rsidRPr="00497C85">
        <w:rPr>
          <w:color w:val="auto"/>
        </w:rPr>
        <w:t xml:space="preserve"> </w:t>
      </w:r>
      <w:r w:rsidR="00497C85" w:rsidRPr="00497C85">
        <w:rPr>
          <w:color w:val="auto"/>
        </w:rPr>
        <w:t>PPL Electric Utilities Corporation</w:t>
      </w:r>
      <w:r w:rsidR="004B34CF" w:rsidRPr="00497C85">
        <w:rPr>
          <w:color w:val="auto"/>
        </w:rPr>
        <w:t xml:space="preserve"> </w:t>
      </w:r>
      <w:r w:rsidRPr="00497C85">
        <w:rPr>
          <w:color w:val="auto"/>
        </w:rPr>
        <w:t>(</w:t>
      </w:r>
      <w:r w:rsidR="006A70DE" w:rsidRPr="00497C85">
        <w:rPr>
          <w:color w:val="auto"/>
        </w:rPr>
        <w:t>“</w:t>
      </w:r>
      <w:r w:rsidR="00497C85" w:rsidRPr="00497C85">
        <w:rPr>
          <w:color w:val="auto"/>
        </w:rPr>
        <w:t>PPL</w:t>
      </w:r>
      <w:r w:rsidR="006A70DE" w:rsidRPr="00497C85">
        <w:rPr>
          <w:color w:val="auto"/>
        </w:rPr>
        <w:t>” or “the Company”</w:t>
      </w:r>
      <w:r w:rsidRPr="00497C85">
        <w:rPr>
          <w:color w:val="auto"/>
        </w:rPr>
        <w:t xml:space="preserve">) filed </w:t>
      </w:r>
      <w:bookmarkStart w:id="0" w:name="OLE_LINK1"/>
      <w:bookmarkStart w:id="1" w:name="OLE_LINK2"/>
      <w:r w:rsidR="002728A2" w:rsidRPr="00497C85">
        <w:rPr>
          <w:color w:val="auto"/>
        </w:rPr>
        <w:t>Supplement No.</w:t>
      </w:r>
      <w:r w:rsidR="002728A2" w:rsidRPr="00497C85">
        <w:t xml:space="preserve"> </w:t>
      </w:r>
      <w:r w:rsidR="00D61C19" w:rsidRPr="00D61C19">
        <w:rPr>
          <w:color w:val="auto"/>
        </w:rPr>
        <w:t>83</w:t>
      </w:r>
      <w:r w:rsidR="002728A2" w:rsidRPr="00D61C19">
        <w:rPr>
          <w:color w:val="auto"/>
        </w:rPr>
        <w:t xml:space="preserve"> </w:t>
      </w:r>
      <w:r w:rsidR="00C40D8B" w:rsidRPr="00D61C19">
        <w:rPr>
          <w:color w:val="auto"/>
        </w:rPr>
        <w:t xml:space="preserve">to </w:t>
      </w:r>
      <w:r w:rsidRPr="00D61C19">
        <w:rPr>
          <w:color w:val="auto"/>
        </w:rPr>
        <w:t xml:space="preserve">Tariff </w:t>
      </w:r>
      <w:r w:rsidR="00D61C19" w:rsidRPr="00D61C19">
        <w:rPr>
          <w:color w:val="auto"/>
        </w:rPr>
        <w:t>Electric</w:t>
      </w:r>
      <w:r w:rsidRPr="00D61C19">
        <w:rPr>
          <w:color w:val="auto"/>
        </w:rPr>
        <w:t xml:space="preserve">-Pa. P.U.C. No. </w:t>
      </w:r>
      <w:bookmarkEnd w:id="0"/>
      <w:bookmarkEnd w:id="1"/>
      <w:r w:rsidR="00D61C19" w:rsidRPr="00D61C19">
        <w:rPr>
          <w:color w:val="auto"/>
        </w:rPr>
        <w:t>201</w:t>
      </w:r>
      <w:r w:rsidR="00CA155A" w:rsidRPr="00D61C19">
        <w:rPr>
          <w:color w:val="auto"/>
        </w:rPr>
        <w:t xml:space="preserve">, </w:t>
      </w:r>
      <w:r w:rsidRPr="00D61C19">
        <w:rPr>
          <w:color w:val="auto"/>
        </w:rPr>
        <w:t>containing proposed changes in rates, rules</w:t>
      </w:r>
      <w:r w:rsidR="00C67675" w:rsidRPr="00D61C19">
        <w:rPr>
          <w:color w:val="auto"/>
        </w:rPr>
        <w:t>,</w:t>
      </w:r>
      <w:r w:rsidRPr="00D61C19">
        <w:rPr>
          <w:color w:val="auto"/>
        </w:rPr>
        <w:t xml:space="preserve"> and regulations calculated to produce </w:t>
      </w:r>
      <w:r w:rsidR="00F32EFC" w:rsidRPr="00DF541D">
        <w:t xml:space="preserve">approximately </w:t>
      </w:r>
      <w:r w:rsidRPr="00DF541D">
        <w:t>$</w:t>
      </w:r>
      <w:r w:rsidR="00DF541D" w:rsidRPr="00DF541D">
        <w:t>114.7</w:t>
      </w:r>
      <w:r w:rsidR="004B34CF" w:rsidRPr="00DF541D">
        <w:t xml:space="preserve"> million</w:t>
      </w:r>
      <w:r w:rsidR="00727F3A" w:rsidRPr="00DF541D">
        <w:t xml:space="preserve"> </w:t>
      </w:r>
      <w:r w:rsidRPr="00DF541D">
        <w:t xml:space="preserve">in additional </w:t>
      </w:r>
      <w:r w:rsidRPr="002B2A52">
        <w:t>annual</w:t>
      </w:r>
      <w:r w:rsidR="00D76771" w:rsidRPr="002B2A52">
        <w:t xml:space="preserve"> distribution service</w:t>
      </w:r>
      <w:r w:rsidRPr="002B2A52">
        <w:rPr>
          <w:i/>
        </w:rPr>
        <w:t xml:space="preserve"> </w:t>
      </w:r>
      <w:r w:rsidRPr="002B2A52">
        <w:t>revenues</w:t>
      </w:r>
      <w:r w:rsidR="00FF297D">
        <w:t>.  This rate change represents</w:t>
      </w:r>
      <w:r w:rsidR="00570BA8">
        <w:t xml:space="preserve"> </w:t>
      </w:r>
      <w:r w:rsidR="00D806C4">
        <w:t>a</w:t>
      </w:r>
      <w:r w:rsidR="00742309">
        <w:t xml:space="preserve">n average increase in distribution rates of </w:t>
      </w:r>
      <w:r w:rsidR="00742309" w:rsidRPr="00FF5853">
        <w:t>approximately 16.5%, which equates</w:t>
      </w:r>
      <w:r w:rsidR="00742309">
        <w:t xml:space="preserve"> to an average increase in total rates (distribution, transmission, generat</w:t>
      </w:r>
      <w:r w:rsidR="00D806C4">
        <w:t xml:space="preserve">ion, and transition charges) of </w:t>
      </w:r>
      <w:r w:rsidR="00742309">
        <w:t>approximately</w:t>
      </w:r>
      <w:r w:rsidR="009602FB">
        <w:t xml:space="preserve"> </w:t>
      </w:r>
      <w:r w:rsidR="00742309">
        <w:t>2.4%</w:t>
      </w:r>
      <w:r w:rsidR="003C59E0" w:rsidRPr="00D36F26">
        <w:t>.</w:t>
      </w:r>
      <w:r w:rsidRPr="00D36F26">
        <w:t xml:space="preserve"> </w:t>
      </w:r>
      <w:r w:rsidR="005A333A">
        <w:t xml:space="preserve"> </w:t>
      </w:r>
      <w:r w:rsidR="00FF297D">
        <w:t>PPL</w:t>
      </w:r>
      <w:r w:rsidR="001645C8">
        <w:t xml:space="preserve">’s </w:t>
      </w:r>
      <w:r w:rsidR="00FF297D">
        <w:t xml:space="preserve">proposed general rate increase is </w:t>
      </w:r>
      <w:r w:rsidR="00143014">
        <w:t xml:space="preserve">based on a future test year ending December 31, 2010, and is </w:t>
      </w:r>
      <w:r w:rsidR="00FF297D">
        <w:t>desig</w:t>
      </w:r>
      <w:r w:rsidR="001645C8">
        <w:t xml:space="preserve">ned to allow the Company an opportunity to earn </w:t>
      </w:r>
      <w:r w:rsidR="00FF297D">
        <w:t>an overall rate of</w:t>
      </w:r>
      <w:r w:rsidR="001645C8">
        <w:t xml:space="preserve"> return of 9.11%</w:t>
      </w:r>
      <w:r w:rsidR="00143014">
        <w:t>, including an 11.75% return on common equity.</w:t>
      </w:r>
      <w:r w:rsidR="00526C46">
        <w:t xml:space="preserve">  </w:t>
      </w:r>
      <w:r w:rsidR="0062244F" w:rsidRPr="00D36F26">
        <w:t>Supplement No. 83 bears a proposed effective date of June 1, 2010.</w:t>
      </w:r>
    </w:p>
    <w:p w:rsidR="00860DCD" w:rsidRPr="00D36F26" w:rsidRDefault="00860DCD" w:rsidP="00076535">
      <w:pPr>
        <w:ind w:firstLine="1440"/>
      </w:pPr>
    </w:p>
    <w:p w:rsidR="0026515E" w:rsidRDefault="00D74D33" w:rsidP="006F0B7B">
      <w:pPr>
        <w:spacing w:line="360" w:lineRule="auto"/>
        <w:ind w:firstLine="720"/>
      </w:pPr>
      <w:r w:rsidRPr="00D74D33">
        <w:t>PPL</w:t>
      </w:r>
      <w:r w:rsidR="003B4DE5">
        <w:t xml:space="preserve"> is proposing to allocate the entire $114.7 million increase to the residential customer class, </w:t>
      </w:r>
      <w:r w:rsidR="00E72258">
        <w:t>with</w:t>
      </w:r>
      <w:r w:rsidR="00D37E45">
        <w:t xml:space="preserve"> </w:t>
      </w:r>
      <w:r w:rsidR="008718ED">
        <w:t>essentially</w:t>
      </w:r>
      <w:r w:rsidR="00E72258">
        <w:t xml:space="preserve"> no proposed change in </w:t>
      </w:r>
      <w:r w:rsidR="00440BEF">
        <w:t xml:space="preserve">distribution </w:t>
      </w:r>
      <w:r w:rsidR="00E72258">
        <w:t xml:space="preserve">rates for the </w:t>
      </w:r>
      <w:r w:rsidR="00E72258">
        <w:lastRenderedPageBreak/>
        <w:t>commercial and industrial classes.</w:t>
      </w:r>
      <w:r w:rsidR="00F81A33">
        <w:t xml:space="preserve">  PPL</w:t>
      </w:r>
      <w:r w:rsidR="003D6CFE">
        <w:t xml:space="preserve"> states</w:t>
      </w:r>
      <w:r w:rsidR="00010022">
        <w:t xml:space="preserve"> that this proposed allocation is based</w:t>
      </w:r>
      <w:r w:rsidR="00C11BB7">
        <w:t xml:space="preserve"> mainly</w:t>
      </w:r>
      <w:r w:rsidR="00985CF9">
        <w:t>—though not exclusively—</w:t>
      </w:r>
      <w:r w:rsidR="00010022">
        <w:t xml:space="preserve">on the results of </w:t>
      </w:r>
      <w:r w:rsidR="00B07C00">
        <w:t>the class cost-of-</w:t>
      </w:r>
      <w:r w:rsidR="003C7E2A">
        <w:t>service study which it filed in this proceeding</w:t>
      </w:r>
      <w:r w:rsidR="004C034D">
        <w:t xml:space="preserve"> that </w:t>
      </w:r>
      <w:r w:rsidR="00FC1DA6">
        <w:t xml:space="preserve">reflects </w:t>
      </w:r>
      <w:r w:rsidR="00985CF9">
        <w:t xml:space="preserve">the </w:t>
      </w:r>
      <w:r w:rsidR="00445DEB">
        <w:t>Commonwealth Court’s decision in Lloyd v. Pa. PUC</w:t>
      </w:r>
      <w:r w:rsidR="00617480">
        <w:rPr>
          <w:rStyle w:val="FootnoteReference"/>
        </w:rPr>
        <w:footnoteReference w:id="1"/>
      </w:r>
      <w:r w:rsidR="00FC1DA6">
        <w:t xml:space="preserve">, which held that </w:t>
      </w:r>
      <w:r w:rsidR="00EC0429" w:rsidRPr="00EC0429">
        <w:t>the allocation of distribution revenues to the various customer classes must be based mainly on cost of service principles.</w:t>
      </w:r>
      <w:r w:rsidR="00EC0429">
        <w:rPr>
          <w:rStyle w:val="FootnoteReference"/>
        </w:rPr>
        <w:footnoteReference w:id="2"/>
      </w:r>
      <w:r w:rsidR="00EC0429" w:rsidRPr="00EC0429">
        <w:t xml:space="preserve">  </w:t>
      </w:r>
      <w:r w:rsidR="00F81A33">
        <w:t>According to the Company, the results of its cost-of-service study warrant the allocation of the entire proposed increase to the residential class in order to reduce the amount of subsidy being provided by this class to the commercial and industrial classes, an</w:t>
      </w:r>
      <w:r w:rsidR="00754F43">
        <w:t>d to substantially move the class rates of return of all customer classes closer to the system average.</w:t>
      </w:r>
      <w:r w:rsidR="00754F43" w:rsidRPr="00754F43">
        <w:rPr>
          <w:rStyle w:val="FootnoteReference"/>
        </w:rPr>
        <w:t xml:space="preserve"> </w:t>
      </w:r>
      <w:r w:rsidR="00754F43">
        <w:rPr>
          <w:rStyle w:val="FootnoteReference"/>
        </w:rPr>
        <w:footnoteReference w:id="3"/>
      </w:r>
      <w:r w:rsidR="00E37998">
        <w:t xml:space="preserve">  However, PPL indicates that </w:t>
      </w:r>
      <w:r w:rsidR="00520955">
        <w:t xml:space="preserve">this approach would have a disparate impact on customers served under its Rate Schedule </w:t>
      </w:r>
      <w:r w:rsidR="00A36148">
        <w:t>RTS</w:t>
      </w:r>
      <w:r w:rsidR="00FF4A3A">
        <w:t>, relating to Thermal Storage service</w:t>
      </w:r>
      <w:r w:rsidR="00A36148">
        <w:t>.  Therefore,</w:t>
      </w:r>
      <w:r w:rsidR="00520955">
        <w:t xml:space="preserve"> the Company is proposing to limit </w:t>
      </w:r>
      <w:r w:rsidR="00A36148">
        <w:t>the increase to the Rate Schedule RTS customers to an amount necessary to bring the rate of return for this class to a position of approximately 0% of the system avera</w:t>
      </w:r>
      <w:r w:rsidR="00FF4A3A">
        <w:t>ge, with the associated revenue shortfall being allocated to Rate Schedule RS, under which the majority of PPL’s residential customers are served.</w:t>
      </w:r>
    </w:p>
    <w:p w:rsidR="00EC64EF" w:rsidRDefault="00EC64EF" w:rsidP="00076535">
      <w:pPr>
        <w:ind w:firstLine="720"/>
      </w:pPr>
    </w:p>
    <w:p w:rsidR="00E06C0C" w:rsidRDefault="00EC64EF" w:rsidP="00BF3532">
      <w:pPr>
        <w:spacing w:line="360" w:lineRule="auto"/>
        <w:ind w:firstLine="720"/>
      </w:pPr>
      <w:r>
        <w:t>PPL is also proposing to modify its rate design to recover</w:t>
      </w:r>
      <w:r w:rsidR="0060144D">
        <w:t xml:space="preserve"> a greater por</w:t>
      </w:r>
      <w:r w:rsidR="00000716">
        <w:t>tion of its revenue requirement</w:t>
      </w:r>
      <w:r w:rsidR="0060144D">
        <w:t xml:space="preserve"> through demand and customer charges</w:t>
      </w:r>
      <w:r w:rsidR="000411B3">
        <w:t xml:space="preserve"> </w:t>
      </w:r>
      <w:r>
        <w:t>rather</w:t>
      </w:r>
      <w:r w:rsidR="004845E6">
        <w:t xml:space="preserve"> than through kWh usage charges</w:t>
      </w:r>
      <w:r w:rsidR="00000716">
        <w:t xml:space="preserve"> to reflect the Company’s position</w:t>
      </w:r>
      <w:r w:rsidR="00145BAA">
        <w:t xml:space="preserve"> that its distribution system costs are mainly fixed costs rather than variable costs.  </w:t>
      </w:r>
      <w:r w:rsidR="00304B0E">
        <w:t>The Company asserts that its proposed changes in this regard are modest, and that a more substantial shifting of cost recovery from usage to non-usage charges could be justified based on its cost-</w:t>
      </w:r>
      <w:r w:rsidR="00CC14C3">
        <w:t xml:space="preserve">of-service study.  </w:t>
      </w:r>
      <w:r w:rsidR="00D802EA">
        <w:t xml:space="preserve">PPL </w:t>
      </w:r>
      <w:r w:rsidR="00D802EA">
        <w:lastRenderedPageBreak/>
        <w:t xml:space="preserve">is also proposing to set the monthly customer charges for all residential customer rate schedules at the same level.  </w:t>
      </w:r>
      <w:r w:rsidR="00AA0402">
        <w:t>With regard to the</w:t>
      </w:r>
      <w:r w:rsidR="007364EF">
        <w:t xml:space="preserve"> </w:t>
      </w:r>
      <w:r w:rsidR="00AA0402">
        <w:t xml:space="preserve">portion of its revenue requirement that will continue to be recovered through usage charges, </w:t>
      </w:r>
      <w:r w:rsidR="00CC14C3">
        <w:t>PPL</w:t>
      </w:r>
      <w:r w:rsidR="00606DAB">
        <w:t xml:space="preserve"> is</w:t>
      </w:r>
      <w:r w:rsidR="00145BAA">
        <w:t xml:space="preserve"> proposing</w:t>
      </w:r>
      <w:r w:rsidR="00AA0402">
        <w:t xml:space="preserve"> to eliminate its declining block rate structure and to price </w:t>
      </w:r>
      <w:r w:rsidR="007364EF">
        <w:t xml:space="preserve">all </w:t>
      </w:r>
      <w:r w:rsidR="00AA0402">
        <w:t xml:space="preserve">usage blocks on a flat </w:t>
      </w:r>
      <w:r w:rsidR="007364EF">
        <w:t>cents per kWh basis.</w:t>
      </w:r>
      <w:r w:rsidR="00CA3D21">
        <w:t xml:space="preserve">  According to the Company, this will encourage customers to engage in conservation and energy efficiency</w:t>
      </w:r>
      <w:r w:rsidR="00A530E1">
        <w:t>.</w:t>
      </w:r>
    </w:p>
    <w:p w:rsidR="00E34D15" w:rsidRDefault="00E34D15" w:rsidP="00076535">
      <w:pPr>
        <w:ind w:firstLine="720"/>
      </w:pPr>
    </w:p>
    <w:p w:rsidR="00AB21F8" w:rsidRPr="005A5F4F" w:rsidRDefault="00E34D15" w:rsidP="00AB21F8">
      <w:pPr>
        <w:spacing w:line="360" w:lineRule="auto"/>
        <w:ind w:firstLine="720"/>
      </w:pPr>
      <w:r>
        <w:t>For a number of the Company’s non-residential rate schedules, PPL is proposing that the distribution revenue requirement be recovered through a customer charge with a corresponding reduction in demand charges.</w:t>
      </w:r>
      <w:r w:rsidR="007F797E">
        <w:t xml:space="preserve">  In addition, the minimum of billing kW for billing purposes is being eliminated for these rate schedules.  PPL is also proposing to combine the revenue requirements for a number of its interruptible service rate schedules</w:t>
      </w:r>
      <w:r w:rsidR="00D96D62">
        <w:t xml:space="preserve"> with those of</w:t>
      </w:r>
      <w:r w:rsidR="009C4861">
        <w:t xml:space="preserve"> related firm </w:t>
      </w:r>
      <w:r w:rsidR="00CB7FED">
        <w:t xml:space="preserve">power </w:t>
      </w:r>
      <w:r w:rsidR="009C4861">
        <w:t>service rate schedules</w:t>
      </w:r>
      <w:r w:rsidR="00AD798B">
        <w:t xml:space="preserve"> since most of the interruptible service customers have either chosen to shop with a competitive electric generation supplier (“EGS”), or have migrated to the Company’s firm service</w:t>
      </w:r>
      <w:r w:rsidR="000058CB">
        <w:t xml:space="preserve"> rate schedules.  </w:t>
      </w:r>
      <w:r w:rsidR="00CB7FED">
        <w:t xml:space="preserve">PPL is </w:t>
      </w:r>
      <w:r w:rsidR="000058CB">
        <w:t xml:space="preserve">further </w:t>
      </w:r>
      <w:r w:rsidR="00CB7FED">
        <w:t xml:space="preserve">proposing to </w:t>
      </w:r>
      <w:r w:rsidR="006B0D93">
        <w:t>modify the Net Metering for Renewable Customer-Generators Rider to reflect changes in the Alternative Energy Portfolio Standards Act, and to clarify the net metering provisions for shopping customers.</w:t>
      </w:r>
      <w:r w:rsidR="000058CB">
        <w:t xml:space="preserve">  Finally, </w:t>
      </w:r>
      <w:r w:rsidR="00AB21F8">
        <w:t xml:space="preserve">PPL is proposing </w:t>
      </w:r>
      <w:r w:rsidR="00AB21F8" w:rsidRPr="00B74583">
        <w:t>to update its retail tariff to clarify certain provisions and eliminate other provisions that are n</w:t>
      </w:r>
      <w:r w:rsidR="00AB21F8">
        <w:t>o longer effective.</w:t>
      </w:r>
    </w:p>
    <w:p w:rsidR="00DC6249" w:rsidRDefault="00DC6249" w:rsidP="00076535">
      <w:pPr>
        <w:ind w:firstLine="720"/>
      </w:pPr>
    </w:p>
    <w:p w:rsidR="005D7DF3" w:rsidRDefault="00DC6249" w:rsidP="006F0B7B">
      <w:pPr>
        <w:spacing w:line="360" w:lineRule="auto"/>
        <w:ind w:firstLine="720"/>
      </w:pPr>
      <w:r>
        <w:t>Under PPL’s proposed rate increase and revenue allocation, the</w:t>
      </w:r>
      <w:r w:rsidR="00700478">
        <w:t xml:space="preserve"> majority of the Company’s residential customers</w:t>
      </w:r>
      <w:r w:rsidR="002027F9">
        <w:t>—</w:t>
      </w:r>
      <w:r w:rsidR="00700478">
        <w:t xml:space="preserve">those served under </w:t>
      </w:r>
      <w:r w:rsidR="002027F9">
        <w:t>Rate Schedule RS—</w:t>
      </w:r>
      <w:r>
        <w:t xml:space="preserve">will receive an average increase of </w:t>
      </w:r>
      <w:r w:rsidR="004240A9">
        <w:t>5.77% on a total billed revenue basis, and approximately 27% on a distribution revenue basis.</w:t>
      </w:r>
      <w:r w:rsidR="003A54B3">
        <w:t xml:space="preserve">  Most of that increase will be experienced in the monthly customer charge, which will </w:t>
      </w:r>
      <w:r w:rsidR="00FC4370">
        <w:t>rise from</w:t>
      </w:r>
      <w:r w:rsidR="003A54B3">
        <w:t xml:space="preserve"> $8.44 to $15.38</w:t>
      </w:r>
      <w:r w:rsidR="00E16A07">
        <w:t xml:space="preserve">, an increase of approximately 82%.  The </w:t>
      </w:r>
      <w:r w:rsidR="007E64AE">
        <w:t xml:space="preserve">total </w:t>
      </w:r>
      <w:r w:rsidR="00E16A07">
        <w:t xml:space="preserve">average monthly bill for a residential customer using 1,000 kWh per month would increase </w:t>
      </w:r>
      <w:r w:rsidR="007E64AE">
        <w:t>by $7.39.</w:t>
      </w:r>
      <w:r w:rsidR="007B602D">
        <w:t xml:space="preserve">  Those residential customers who </w:t>
      </w:r>
      <w:r w:rsidR="003C00F3">
        <w:t>take</w:t>
      </w:r>
      <w:r w:rsidR="007B602D">
        <w:t xml:space="preserve"> service under Rate </w:t>
      </w:r>
      <w:r w:rsidR="007B602D">
        <w:lastRenderedPageBreak/>
        <w:t>Schedule R</w:t>
      </w:r>
      <w:r w:rsidR="003C00F3">
        <w:t>TS relating to Thermal Storage s</w:t>
      </w:r>
      <w:r w:rsidR="007B602D">
        <w:t>ervice</w:t>
      </w:r>
      <w:r w:rsidR="0009496F">
        <w:rPr>
          <w:rStyle w:val="FootnoteReference"/>
        </w:rPr>
        <w:footnoteReference w:id="4"/>
      </w:r>
      <w:r w:rsidR="00FC4A65">
        <w:t xml:space="preserve"> will receive an </w:t>
      </w:r>
      <w:r w:rsidR="00457531">
        <w:t>average increase of 6.10% on a total billed revenue basis, and approximately 57% on a distribution revenue basis.</w:t>
      </w:r>
      <w:r w:rsidR="00F16EF0">
        <w:t xml:space="preserve">  </w:t>
      </w:r>
      <w:r w:rsidR="003C00F3">
        <w:t>Those residential customers who take service under Rate Schedule RTD relating to Time-of-Day service</w:t>
      </w:r>
      <w:r w:rsidR="00AD2CE0">
        <w:rPr>
          <w:rStyle w:val="FootnoteReference"/>
        </w:rPr>
        <w:footnoteReference w:id="5"/>
      </w:r>
      <w:r w:rsidR="003C00F3">
        <w:t xml:space="preserve"> will experience an average increase of 2.88% on a total billed revenue basis, and approximately 14% on a distribution revenue basis.</w:t>
      </w:r>
      <w:r w:rsidR="003D68B6">
        <w:t xml:space="preserve">  As noted above, PPL’s commercial and industrial customers </w:t>
      </w:r>
      <w:r w:rsidR="0066051E">
        <w:t>will experience essentially no significant increase or decrease in their rates under the Company’s rate increase and revenue allocation proposals.</w:t>
      </w:r>
    </w:p>
    <w:p w:rsidR="00B31AC0" w:rsidRDefault="00B31AC0" w:rsidP="00076535">
      <w:pPr>
        <w:ind w:firstLine="720"/>
      </w:pPr>
    </w:p>
    <w:p w:rsidR="00526C46" w:rsidRDefault="00526C46" w:rsidP="006F0B7B">
      <w:pPr>
        <w:spacing w:line="360" w:lineRule="auto"/>
        <w:ind w:firstLine="720"/>
      </w:pPr>
      <w:r w:rsidRPr="00B31AC0">
        <w:t>PPL states that it is requesting</w:t>
      </w:r>
      <w:r w:rsidR="004277ED" w:rsidRPr="00B31AC0">
        <w:t xml:space="preserve"> its proposed</w:t>
      </w:r>
      <w:r w:rsidRPr="00B31AC0">
        <w:t xml:space="preserve"> revenue increase in response to the challenging business environment it currently faces, which includes declining distribution sales, increasing operating expenses, and the need to make significant capital investments in order to maintain system reliability and continue to provide dependable customer service.</w:t>
      </w:r>
      <w:r w:rsidR="004277ED" w:rsidRPr="00B31AC0">
        <w:t xml:space="preserve">  In</w:t>
      </w:r>
      <w:r w:rsidR="004277ED">
        <w:t xml:space="preserve"> this regard, the Company states that it has invested more than $960 million to maintain, improve, and expand its delivery system over the past five years, and that it expects to invest an additional $1.5 billion in capital over the next five years.</w:t>
      </w:r>
    </w:p>
    <w:p w:rsidR="00421F04" w:rsidRDefault="00421F04" w:rsidP="00421F04">
      <w:pPr>
        <w:ind w:firstLine="720"/>
        <w:rPr>
          <w:i/>
        </w:rPr>
      </w:pPr>
    </w:p>
    <w:p w:rsidR="00421F04" w:rsidRDefault="00421F04" w:rsidP="00421F04">
      <w:pPr>
        <w:spacing w:line="360" w:lineRule="auto"/>
        <w:ind w:firstLine="720"/>
      </w:pPr>
      <w:r w:rsidRPr="00B74583">
        <w:t>In addition to its requested rate increase in this proceeding, PPL</w:t>
      </w:r>
      <w:r>
        <w:t xml:space="preserve"> is proposing the following:</w:t>
      </w:r>
    </w:p>
    <w:p w:rsidR="00421F04" w:rsidRDefault="00421F04" w:rsidP="00421F04">
      <w:pPr>
        <w:ind w:firstLine="720"/>
      </w:pPr>
    </w:p>
    <w:p w:rsidR="00421F04" w:rsidRDefault="00421F04" w:rsidP="00421F04">
      <w:pPr>
        <w:pStyle w:val="ListParagraph"/>
        <w:numPr>
          <w:ilvl w:val="0"/>
          <w:numId w:val="4"/>
        </w:numPr>
      </w:pPr>
      <w:r>
        <w:t>To extend its currently effective Purchase of Receivables (“POR”) program,</w:t>
      </w:r>
      <w:r>
        <w:rPr>
          <w:rStyle w:val="FootnoteReference"/>
        </w:rPr>
        <w:footnoteReference w:id="6"/>
      </w:r>
      <w:r>
        <w:t xml:space="preserve"> including updates to the applicable discount rates and the Merchant Function Charge (“MFC”).</w:t>
      </w:r>
    </w:p>
    <w:p w:rsidR="00421F04" w:rsidRDefault="00421F04" w:rsidP="00421F04">
      <w:pPr>
        <w:pStyle w:val="ListParagraph"/>
      </w:pPr>
    </w:p>
    <w:p w:rsidR="00421F04" w:rsidRDefault="00421F04" w:rsidP="00421F04">
      <w:pPr>
        <w:pStyle w:val="ListParagraph"/>
        <w:numPr>
          <w:ilvl w:val="0"/>
          <w:numId w:val="4"/>
        </w:numPr>
      </w:pPr>
      <w:r>
        <w:lastRenderedPageBreak/>
        <w:t xml:space="preserve">To </w:t>
      </w:r>
      <w:r w:rsidRPr="009F1E7F">
        <w:t>continue its cu</w:t>
      </w:r>
      <w:r>
        <w:t xml:space="preserve">stomer education program, </w:t>
      </w:r>
      <w:r w:rsidRPr="009F1E7F">
        <w:t>for which the Company has included $2.5 million in its 2010 operating budget and in the future test year in this proceeding</w:t>
      </w:r>
      <w:r>
        <w:t>.</w:t>
      </w:r>
    </w:p>
    <w:p w:rsidR="00421F04" w:rsidRDefault="00421F04" w:rsidP="00421F04">
      <w:pPr>
        <w:pStyle w:val="ListParagraph"/>
      </w:pPr>
    </w:p>
    <w:p w:rsidR="00421F04" w:rsidRPr="005A5F4F" w:rsidRDefault="00421F04" w:rsidP="00421F04">
      <w:pPr>
        <w:pStyle w:val="ListParagraph"/>
        <w:numPr>
          <w:ilvl w:val="0"/>
          <w:numId w:val="4"/>
        </w:numPr>
      </w:pPr>
      <w:r>
        <w:t xml:space="preserve">To </w:t>
      </w:r>
      <w:r w:rsidRPr="00AA522D">
        <w:t>continue its customer energy efficiency programs</w:t>
      </w:r>
      <w:r>
        <w:t xml:space="preserve">, </w:t>
      </w:r>
      <w:r w:rsidRPr="00AA522D">
        <w:t>for which the Company has included $2.7 million in its 2010 operating budget and in the futur</w:t>
      </w:r>
      <w:r>
        <w:t>e test year in this proceeding.</w:t>
      </w:r>
    </w:p>
    <w:p w:rsidR="000E3729" w:rsidRPr="00EA612D" w:rsidRDefault="000E3729" w:rsidP="00421F04">
      <w:pPr>
        <w:spacing w:line="360" w:lineRule="auto"/>
        <w:ind w:firstLine="720"/>
        <w:rPr>
          <w:highlight w:val="green"/>
        </w:rPr>
      </w:pPr>
    </w:p>
    <w:p w:rsidR="00391D30" w:rsidRDefault="00254977" w:rsidP="00391D30">
      <w:pPr>
        <w:spacing w:line="360" w:lineRule="auto"/>
        <w:ind w:firstLine="720"/>
      </w:pPr>
      <w:r>
        <w:t>Our analysis of PPL’s proposed general rate increase has identified an additional issue, “ring fencing,” that may have a significant impact on the rates to consumers of the utility.  Ring fencing protections allow the risks associated with the jurisdictional utility to be isolated from the risks associated with its affiliat</w:t>
      </w:r>
      <w:r w:rsidR="004E65A7">
        <w:t>es of the consolidated entity.</w:t>
      </w:r>
      <w:r>
        <w:t xml:space="preserve">  The Commission has encouraged such protections in the past and would like the parties to this proceeding to address the ring fencing impact on rates.</w:t>
      </w:r>
    </w:p>
    <w:p w:rsidR="00391D30" w:rsidRDefault="00391D30" w:rsidP="006F0B7B">
      <w:pPr>
        <w:spacing w:line="360" w:lineRule="auto"/>
        <w:ind w:firstLine="720"/>
      </w:pPr>
    </w:p>
    <w:p w:rsidR="000E3729" w:rsidRDefault="000E3729" w:rsidP="006F0B7B">
      <w:pPr>
        <w:spacing w:line="360" w:lineRule="auto"/>
        <w:ind w:firstLine="720"/>
      </w:pPr>
      <w:r w:rsidRPr="00337B42">
        <w:t>The Office of Consumer Advocate and Office of Small Business Advocate both filed form</w:t>
      </w:r>
      <w:r w:rsidR="00337B42" w:rsidRPr="00337B42">
        <w:t>al complaints against PPL’s</w:t>
      </w:r>
      <w:r w:rsidRPr="00337B42">
        <w:t xml:space="preserve"> proposed general rate increase.  A number of other formal complaints, protests, and petitions to intervene were also filed </w:t>
      </w:r>
      <w:r w:rsidR="00337B42" w:rsidRPr="00337B42">
        <w:t>by various customers of PPL</w:t>
      </w:r>
      <w:r w:rsidRPr="00337B42">
        <w:t xml:space="preserve"> in this proceeding.</w:t>
      </w:r>
    </w:p>
    <w:p w:rsidR="00391D30" w:rsidRDefault="00391D30" w:rsidP="006F0B7B">
      <w:pPr>
        <w:spacing w:line="360" w:lineRule="auto"/>
        <w:ind w:firstLine="720"/>
      </w:pPr>
    </w:p>
    <w:p w:rsidR="000A3BDD" w:rsidRDefault="000A3BDD" w:rsidP="00721B40">
      <w:pPr>
        <w:tabs>
          <w:tab w:val="left" w:pos="1440"/>
        </w:tabs>
        <w:spacing w:line="360" w:lineRule="auto"/>
        <w:ind w:firstLine="720"/>
      </w:pPr>
      <w:r>
        <w:t>Our i</w:t>
      </w:r>
      <w:r w:rsidR="00142BC5" w:rsidRPr="00AA2F93">
        <w:t>nvestigation and analysi</w:t>
      </w:r>
      <w:r w:rsidR="00B71F03">
        <w:t>s of PPL’s proposed general rate increase</w:t>
      </w:r>
      <w:r w:rsidR="00142BC5" w:rsidRPr="00AA2F93">
        <w:t xml:space="preserve"> and the supporting data indicate that the proposed changes in rates, rules</w:t>
      </w:r>
      <w:r w:rsidR="00C67675" w:rsidRPr="00A818F0">
        <w:t>,</w:t>
      </w:r>
      <w:r w:rsidR="00142BC5" w:rsidRPr="00A818F0">
        <w:t xml:space="preserve"> and regulations may be unlawful, unjust, unreasonable, and contrary to the public interest.  </w:t>
      </w:r>
      <w:r w:rsidR="00E62A9F" w:rsidRPr="00A818F0">
        <w:t xml:space="preserve">It also appears that consideration should be given to the reasonableness of the Company’s existing rates, rules, and regulations.  </w:t>
      </w:r>
      <w:r w:rsidR="00855B67">
        <w:t>In this regard w</w:t>
      </w:r>
      <w:r w:rsidR="006C6DF8">
        <w:t>e have identified a num</w:t>
      </w:r>
      <w:r w:rsidR="005B219D">
        <w:t>ber of specific issues</w:t>
      </w:r>
      <w:r w:rsidR="00855B67">
        <w:t xml:space="preserve">, </w:t>
      </w:r>
      <w:r w:rsidR="00CC4BF0">
        <w:t xml:space="preserve">which we have delineated in Appendix A, attached to this Order.  The following list </w:t>
      </w:r>
      <w:r w:rsidR="005B219D">
        <w:t>highlights some of those</w:t>
      </w:r>
      <w:r w:rsidR="00A007D7">
        <w:t xml:space="preserve"> issues which we deem to be</w:t>
      </w:r>
      <w:r w:rsidR="005B219D">
        <w:t xml:space="preserve"> of particular concern</w:t>
      </w:r>
      <w:r>
        <w:t>:</w:t>
      </w:r>
    </w:p>
    <w:p w:rsidR="0021122D" w:rsidRDefault="0021122D" w:rsidP="007163C3">
      <w:pPr>
        <w:tabs>
          <w:tab w:val="left" w:pos="1440"/>
        </w:tabs>
        <w:ind w:firstLine="720"/>
      </w:pPr>
    </w:p>
    <w:p w:rsidR="0021122D" w:rsidRDefault="0021122D" w:rsidP="0021122D">
      <w:pPr>
        <w:pStyle w:val="ListParagraph"/>
        <w:numPr>
          <w:ilvl w:val="0"/>
          <w:numId w:val="3"/>
        </w:numPr>
      </w:pPr>
      <w:r>
        <w:t>PPL states that it is requesting its proposed rate increase due in part to declining distribution sales and increasing operating expenses.  Accordingly, it is important that the Company’s test year revenue and expense claims be closely examined to determine their accuracy and the extent to which they support the requested revenue increase.</w:t>
      </w:r>
    </w:p>
    <w:p w:rsidR="0021122D" w:rsidRDefault="0021122D" w:rsidP="00125A2B">
      <w:pPr>
        <w:tabs>
          <w:tab w:val="left" w:pos="1440"/>
        </w:tabs>
        <w:ind w:firstLine="720"/>
      </w:pPr>
    </w:p>
    <w:p w:rsidR="0021122D" w:rsidRDefault="0021122D" w:rsidP="0021122D">
      <w:pPr>
        <w:pStyle w:val="ListParagraph"/>
        <w:numPr>
          <w:ilvl w:val="0"/>
          <w:numId w:val="3"/>
        </w:numPr>
      </w:pPr>
      <w:r w:rsidRPr="00433DD1">
        <w:t>PPL stat</w:t>
      </w:r>
      <w:r>
        <w:t xml:space="preserve">es </w:t>
      </w:r>
      <w:r w:rsidRPr="00433DD1">
        <w:t>that it has invested more than $960 million to maintain, improve, and expand its delivery system over the past five years, and that it expects to invest an additional $1.5 billion in capital over the next five years.  To the extent that any of this capital investment is included in the Company’s rate base claim in this proceeding, such investment should be closely reviewed to ensure that it was prudently made, and that any utility plant acquired is necessary, used and useful to the provision of electric distribution service.</w:t>
      </w:r>
    </w:p>
    <w:p w:rsidR="000A3BDD" w:rsidRDefault="000A3BDD" w:rsidP="00125A2B">
      <w:pPr>
        <w:tabs>
          <w:tab w:val="left" w:pos="1440"/>
        </w:tabs>
        <w:ind w:firstLine="720"/>
      </w:pPr>
    </w:p>
    <w:p w:rsidR="000A3BDD" w:rsidRDefault="008B0BC0" w:rsidP="00C63820">
      <w:pPr>
        <w:pStyle w:val="ListParagraph"/>
        <w:numPr>
          <w:ilvl w:val="0"/>
          <w:numId w:val="3"/>
        </w:numPr>
      </w:pPr>
      <w:r>
        <w:t xml:space="preserve">In light of the Commonwealth Court’s decision in Lloyd v. Pa. PUC, </w:t>
      </w:r>
      <w:r w:rsidR="00DD2098">
        <w:t>PPL is proposing to al</w:t>
      </w:r>
      <w:r w:rsidR="001E4DBF">
        <w:t>locate the entire requested revenue</w:t>
      </w:r>
      <w:r w:rsidR="00DD2098">
        <w:t xml:space="preserve"> increase to it residential customer class, based mainly on the results of its class cost-of-service stu</w:t>
      </w:r>
      <w:r>
        <w:t xml:space="preserve">dy.  </w:t>
      </w:r>
      <w:r w:rsidR="00AB0852">
        <w:t>Gi</w:t>
      </w:r>
      <w:r w:rsidR="00A05811">
        <w:t>ven that a number of the Company’s residential customers may experience a significant rate increase as a result of</w:t>
      </w:r>
      <w:r w:rsidR="00601D56">
        <w:t xml:space="preserve"> this approach, it is important</w:t>
      </w:r>
      <w:r w:rsidR="00A05811">
        <w:t xml:space="preserve"> that PPL’s cost allocation methodologies be thoroughly scrutinized in order to ensure that the results of its cost-of-service study are reasonably accur</w:t>
      </w:r>
      <w:r w:rsidR="00C63820">
        <w:t>ate, and to det</w:t>
      </w:r>
      <w:r w:rsidR="00125A2B">
        <w:t xml:space="preserve">ermine whether or not they </w:t>
      </w:r>
      <w:r w:rsidR="00A05811">
        <w:t>support the Company’s proposed revenue allocation.</w:t>
      </w:r>
    </w:p>
    <w:p w:rsidR="003A1670" w:rsidRDefault="003A1670" w:rsidP="003A1670">
      <w:pPr>
        <w:pStyle w:val="ListParagraph"/>
      </w:pPr>
    </w:p>
    <w:p w:rsidR="003A1670" w:rsidRDefault="006842AB" w:rsidP="00CB7061">
      <w:pPr>
        <w:pStyle w:val="ListParagraph"/>
        <w:numPr>
          <w:ilvl w:val="0"/>
          <w:numId w:val="3"/>
        </w:numPr>
      </w:pPr>
      <w:r>
        <w:t xml:space="preserve">PPL is proposing a </w:t>
      </w:r>
      <w:r w:rsidR="002C4DF4">
        <w:t>redesign of its rate structure for most of its customer classes</w:t>
      </w:r>
      <w:r>
        <w:t xml:space="preserve">, including the shifting of a significant amount of cost recovery from its kWh usage charges to fixed (customer and demand) charges.  </w:t>
      </w:r>
      <w:r w:rsidR="00962505">
        <w:t>Such a ra</w:t>
      </w:r>
      <w:r w:rsidR="006B5E08">
        <w:t>te design may</w:t>
      </w:r>
      <w:r w:rsidR="00203093">
        <w:t xml:space="preserve"> lower</w:t>
      </w:r>
      <w:r w:rsidR="00962505">
        <w:t xml:space="preserve"> the risk of cost recovery on the part of the Company, </w:t>
      </w:r>
      <w:r w:rsidR="006B5E08">
        <w:t>but may</w:t>
      </w:r>
      <w:r w:rsidR="00CB7061">
        <w:t xml:space="preserve"> reduce</w:t>
      </w:r>
      <w:r w:rsidR="00203093">
        <w:t xml:space="preserve"> the opportunity for some customers</w:t>
      </w:r>
      <w:r w:rsidR="00CB7061">
        <w:t>—particularly residential customers—</w:t>
      </w:r>
      <w:r w:rsidR="00203093">
        <w:t>to save on their bills for electric distribution service through conservation.</w:t>
      </w:r>
      <w:r w:rsidR="00CB7061">
        <w:t xml:space="preserve">  </w:t>
      </w:r>
      <w:r w:rsidR="006B5E08">
        <w:t>T</w:t>
      </w:r>
      <w:r w:rsidR="00256109">
        <w:t xml:space="preserve">he Company’s cost </w:t>
      </w:r>
      <w:r w:rsidR="009F5BB0">
        <w:t xml:space="preserve">classification and </w:t>
      </w:r>
      <w:r w:rsidR="00256109">
        <w:t>allocation methodologies must be carefully exami</w:t>
      </w:r>
      <w:r w:rsidR="009F2310">
        <w:t>ned in order to determine whether or not</w:t>
      </w:r>
      <w:r w:rsidR="00256109">
        <w:t xml:space="preserve"> these proposed rate design changes are justified by the results of the class cost-of-service study</w:t>
      </w:r>
      <w:r w:rsidR="00A05AF6">
        <w:t>.</w:t>
      </w:r>
    </w:p>
    <w:p w:rsidR="00433DD1" w:rsidRDefault="00433DD1" w:rsidP="00433DD1">
      <w:pPr>
        <w:pStyle w:val="ListParagraph"/>
      </w:pPr>
    </w:p>
    <w:p w:rsidR="00F01E1C" w:rsidRDefault="00253B00" w:rsidP="003A1670">
      <w:pPr>
        <w:pStyle w:val="ListParagraph"/>
        <w:numPr>
          <w:ilvl w:val="0"/>
          <w:numId w:val="3"/>
        </w:numPr>
      </w:pPr>
      <w:r>
        <w:t xml:space="preserve">PPL is proposing to continue its currently effective </w:t>
      </w:r>
      <w:r w:rsidR="00B818EC">
        <w:t>Purchase of Receivables program, with updates to</w:t>
      </w:r>
      <w:r w:rsidR="00876C2F">
        <w:t xml:space="preserve"> the applicable discount rates</w:t>
      </w:r>
      <w:r w:rsidR="00B818EC">
        <w:t xml:space="preserve"> and the Merchant Function Charge.</w:t>
      </w:r>
      <w:r w:rsidR="008562BA">
        <w:t xml:space="preserve">  </w:t>
      </w:r>
      <w:r w:rsidR="00381BB8">
        <w:t>Thus,</w:t>
      </w:r>
      <w:r w:rsidR="00C15BA3">
        <w:t xml:space="preserve"> PPL’</w:t>
      </w:r>
      <w:r w:rsidR="0014564A">
        <w:t>s proposals with regard to its POR program should</w:t>
      </w:r>
      <w:r w:rsidR="00C15BA3">
        <w:t xml:space="preserve"> be closely examined.</w:t>
      </w:r>
    </w:p>
    <w:p w:rsidR="00F01E1C" w:rsidRDefault="00F01E1C" w:rsidP="00F01E1C">
      <w:pPr>
        <w:pStyle w:val="ListParagraph"/>
      </w:pPr>
    </w:p>
    <w:p w:rsidR="00687B89" w:rsidRDefault="00687B89" w:rsidP="00687B89">
      <w:pPr>
        <w:pStyle w:val="ListParagraph"/>
        <w:numPr>
          <w:ilvl w:val="0"/>
          <w:numId w:val="6"/>
        </w:numPr>
      </w:pPr>
      <w:r>
        <w:t>PPL is proposing to continue its customer education and energy efficiency programs, and has included claims in its test year operating budget for these programs.  These expense claims should be carefully examined to ensure they are not already included in the Company’s Act 129 energy efficiency and conservation plan budget, and are not already being recovered through the Company’s Act 129 Compliance Rider.  To the extent that any of these programs and associated expense claims are not included in the Company’s Act 129 plan, they should be reviewed in this proceeding to determine whether or not they are just and reasonable.</w:t>
      </w:r>
    </w:p>
    <w:p w:rsidR="00BA16E7" w:rsidRDefault="00BA16E7" w:rsidP="00BA16E7">
      <w:pPr>
        <w:pStyle w:val="ListParagraph"/>
      </w:pPr>
    </w:p>
    <w:p w:rsidR="00BA16E7" w:rsidRDefault="00BA16E7" w:rsidP="003A1670">
      <w:pPr>
        <w:pStyle w:val="ListParagraph"/>
        <w:numPr>
          <w:ilvl w:val="0"/>
          <w:numId w:val="3"/>
        </w:numPr>
      </w:pPr>
      <w:r>
        <w:lastRenderedPageBreak/>
        <w:t xml:space="preserve">In its supporting information, PPL has described efforts to support a bankruptcy-remote organizational structure to allow subsidiaries of PPL Corporation to stand independent from PPL Corporation during a bankruptcy proceeding and all techniques used by PPL to obtain a better credit rating than PPL Corporation from </w:t>
      </w:r>
      <w:r w:rsidR="000F036F">
        <w:t xml:space="preserve">the rating companies. </w:t>
      </w:r>
      <w:r>
        <w:t>PPL</w:t>
      </w:r>
      <w:r w:rsidR="000F036F">
        <w:t xml:space="preserve"> and the parties should address </w:t>
      </w:r>
      <w:r>
        <w:t>the effectiveness of these ring-fencing protections relative to thei</w:t>
      </w:r>
      <w:r w:rsidR="000F036F">
        <w:t>r impact on rates to customers, and whether any changes to those ring fencing protections are necessary and in the public interest.</w:t>
      </w:r>
    </w:p>
    <w:p w:rsidR="000A3BDD" w:rsidRDefault="000A3BDD" w:rsidP="007163C3">
      <w:pPr>
        <w:tabs>
          <w:tab w:val="left" w:pos="1440"/>
        </w:tabs>
        <w:ind w:firstLine="720"/>
      </w:pPr>
    </w:p>
    <w:p w:rsidR="00B80F79" w:rsidRPr="008E558B" w:rsidRDefault="000D7A48" w:rsidP="008E2E7B">
      <w:pPr>
        <w:tabs>
          <w:tab w:val="left" w:pos="1440"/>
        </w:tabs>
        <w:spacing w:line="360" w:lineRule="auto"/>
        <w:ind w:firstLine="720"/>
      </w:pPr>
      <w:r>
        <w:t>Based on our analysis of PPL’s filing</w:t>
      </w:r>
      <w:r w:rsidR="003D394A" w:rsidRPr="008E558B">
        <w:t>,</w:t>
      </w:r>
      <w:r>
        <w:t xml:space="preserve"> and p</w:t>
      </w:r>
      <w:r w:rsidR="00AA2F93" w:rsidRPr="008E558B">
        <w:t>ursuant to 66 Pa. C.S. §1308(d),</w:t>
      </w:r>
      <w:r w:rsidR="003D394A" w:rsidRPr="008E558B">
        <w:t xml:space="preserve"> we will permit Supplement No. 83 to be suspended by operation of law</w:t>
      </w:r>
      <w:r w:rsidR="009978EE" w:rsidRPr="008E558B">
        <w:t xml:space="preserve"> for a period not to exceed </w:t>
      </w:r>
      <w:r w:rsidR="00147CD5">
        <w:t>seven</w:t>
      </w:r>
      <w:r w:rsidR="007C5B33">
        <w:t xml:space="preserve"> </w:t>
      </w:r>
      <w:r w:rsidR="009978EE" w:rsidRPr="008E558B">
        <w:t>months, or</w:t>
      </w:r>
      <w:r w:rsidR="003D394A" w:rsidRPr="008E558B">
        <w:t xml:space="preserve"> until </w:t>
      </w:r>
      <w:r w:rsidR="00A7481F">
        <w:t>January 1, 2011</w:t>
      </w:r>
      <w:r w:rsidR="003D394A" w:rsidRPr="008E558B">
        <w:t>, unless permitted by Commission Order to become effective at an earlier date.</w:t>
      </w:r>
      <w:r w:rsidR="00376921" w:rsidRPr="008E558B">
        <w:t xml:space="preserve">  </w:t>
      </w:r>
      <w:r w:rsidR="00721B40" w:rsidRPr="008E558B">
        <w:t>In addition, we will</w:t>
      </w:r>
      <w:r w:rsidR="00376921" w:rsidRPr="008E558B">
        <w:t xml:space="preserve"> direct that an investigation be instituted to determine the lawfulness, justness, and reasonableness of the rates, rules, and regulations contained in the proposed Supplement No. 83, as well as the Company’s existing rates, rules, and regulations.</w:t>
      </w:r>
      <w:r w:rsidR="00721B40" w:rsidRPr="008E558B">
        <w:t xml:space="preserve">  We will further direct that the case be assigned to the Office of Administrative Law Judge for the prompt scheduling of such hearings as may be necessary, culminating in the iss</w:t>
      </w:r>
      <w:r w:rsidR="0064622F" w:rsidRPr="008E558B">
        <w:t>uance of a Recommended Decision</w:t>
      </w:r>
      <w:r w:rsidR="007772A2" w:rsidRPr="008E558B">
        <w:t xml:space="preserve">.  As part of this investigation, we will instruct </w:t>
      </w:r>
      <w:r w:rsidR="0064622F" w:rsidRPr="008E558B">
        <w:t>the parties</w:t>
      </w:r>
      <w:r w:rsidR="007772A2" w:rsidRPr="008E558B">
        <w:t xml:space="preserve"> to the</w:t>
      </w:r>
      <w:r w:rsidR="0064622F" w:rsidRPr="008E558B">
        <w:t xml:space="preserve"> proceeding</w:t>
      </w:r>
      <w:r w:rsidR="007772A2" w:rsidRPr="008E558B">
        <w:t xml:space="preserve"> to</w:t>
      </w:r>
      <w:r w:rsidR="0064622F" w:rsidRPr="008E558B">
        <w:t xml:space="preserve"> give particular consideration to the </w:t>
      </w:r>
      <w:r w:rsidR="000057BE" w:rsidRPr="008E558B">
        <w:t>areas of concern</w:t>
      </w:r>
      <w:r w:rsidR="00B27DB9">
        <w:t xml:space="preserve"> identified above,</w:t>
      </w:r>
      <w:r w:rsidR="002C3E86">
        <w:t xml:space="preserve"> and as further delineated in Appendix A, attached to this Order.  The parties are also advised to investigate </w:t>
      </w:r>
      <w:r w:rsidR="00B27DB9">
        <w:t xml:space="preserve">any other </w:t>
      </w:r>
      <w:r w:rsidR="000057BE">
        <w:t xml:space="preserve">issues they may deem important to the </w:t>
      </w:r>
      <w:r w:rsidR="008E558B">
        <w:t>fair and thorough review and analysis of PPL</w:t>
      </w:r>
      <w:r w:rsidR="008E2E7B">
        <w:t xml:space="preserve">’s general rate increase filing; </w:t>
      </w:r>
      <w:r w:rsidR="00142BC5" w:rsidRPr="008E558B">
        <w:rPr>
          <w:b/>
        </w:rPr>
        <w:t>THEREFORE,</w:t>
      </w:r>
    </w:p>
    <w:p w:rsidR="000F5794" w:rsidRPr="008E558B" w:rsidRDefault="000F5794" w:rsidP="00F469D2"/>
    <w:p w:rsidR="00142BC5" w:rsidRPr="008E558B" w:rsidRDefault="00142BC5" w:rsidP="006F0B7B">
      <w:pPr>
        <w:spacing w:line="360" w:lineRule="auto"/>
        <w:ind w:firstLine="720"/>
        <w:rPr>
          <w:b/>
        </w:rPr>
      </w:pPr>
      <w:r w:rsidRPr="008E558B">
        <w:rPr>
          <w:b/>
        </w:rPr>
        <w:t>IT IS ORDERED:</w:t>
      </w:r>
    </w:p>
    <w:p w:rsidR="00142BC5" w:rsidRDefault="00142BC5" w:rsidP="007163C3"/>
    <w:p w:rsidR="00BD761D" w:rsidRPr="00FD041A" w:rsidRDefault="00BD761D" w:rsidP="00BD761D">
      <w:pPr>
        <w:tabs>
          <w:tab w:val="left" w:pos="1440"/>
        </w:tabs>
        <w:spacing w:line="360" w:lineRule="auto"/>
        <w:ind w:firstLine="720"/>
      </w:pPr>
      <w:r>
        <w:t>1</w:t>
      </w:r>
      <w:r w:rsidRPr="00FD041A">
        <w:t>.</w:t>
      </w:r>
      <w:r w:rsidRPr="00FD041A">
        <w:tab/>
      </w:r>
      <w:r>
        <w:t>That PPL Electric Utilities Corporation’s proposed</w:t>
      </w:r>
      <w:r w:rsidRPr="00FD041A">
        <w:t xml:space="preserve"> </w:t>
      </w:r>
      <w:r w:rsidRPr="00FD041A">
        <w:rPr>
          <w:color w:val="auto"/>
        </w:rPr>
        <w:t>Supplement No.</w:t>
      </w:r>
      <w:r w:rsidRPr="00FD041A">
        <w:t xml:space="preserve"> </w:t>
      </w:r>
      <w:r w:rsidRPr="00FD041A">
        <w:rPr>
          <w:color w:val="auto"/>
        </w:rPr>
        <w:t>83 to Tariff Electric-Pa. P.U.C. No. 201</w:t>
      </w:r>
      <w:r w:rsidR="00A7481F">
        <w:rPr>
          <w:color w:val="auto"/>
        </w:rPr>
        <w:t xml:space="preserve"> </w:t>
      </w:r>
      <w:r w:rsidRPr="00FD041A">
        <w:t>be suspended b</w:t>
      </w:r>
      <w:r w:rsidR="00D454F3">
        <w:t>y</w:t>
      </w:r>
      <w:r w:rsidR="00A7481F">
        <w:t xml:space="preserve"> operation of law until January 1, 2011</w:t>
      </w:r>
      <w:r w:rsidRPr="00FD041A">
        <w:t>, unless otherwise directed by Order of the Commission.</w:t>
      </w:r>
    </w:p>
    <w:p w:rsidR="00BD761D" w:rsidRPr="008E558B" w:rsidRDefault="00BD761D" w:rsidP="007163C3"/>
    <w:p w:rsidR="00E013EF" w:rsidRDefault="00230718" w:rsidP="00E013EF">
      <w:pPr>
        <w:tabs>
          <w:tab w:val="left" w:pos="1440"/>
        </w:tabs>
        <w:spacing w:line="360" w:lineRule="auto"/>
        <w:ind w:firstLine="720"/>
        <w:rPr>
          <w:color w:val="auto"/>
        </w:rPr>
      </w:pPr>
      <w:r>
        <w:t>2</w:t>
      </w:r>
      <w:r w:rsidR="00E013EF" w:rsidRPr="00FD041A">
        <w:t>.</w:t>
      </w:r>
      <w:r w:rsidR="00E013EF" w:rsidRPr="00FD041A">
        <w:tab/>
        <w:t xml:space="preserve">That an investigation on Commission motion be, and hereby is, instituted to determine the lawfulness, justness, and reasonableness of the rates, rules, </w:t>
      </w:r>
      <w:r w:rsidR="00E65702" w:rsidRPr="00FD041A">
        <w:t xml:space="preserve">and regulations </w:t>
      </w:r>
      <w:r w:rsidR="00BE4E16">
        <w:t xml:space="preserve">contained in the proposed </w:t>
      </w:r>
      <w:r w:rsidR="00E65702" w:rsidRPr="00FD041A">
        <w:rPr>
          <w:color w:val="auto"/>
        </w:rPr>
        <w:t>Supplement No.</w:t>
      </w:r>
      <w:r w:rsidR="00E65702" w:rsidRPr="00FD041A">
        <w:t xml:space="preserve"> </w:t>
      </w:r>
      <w:r w:rsidR="00E65702" w:rsidRPr="00FD041A">
        <w:rPr>
          <w:color w:val="auto"/>
        </w:rPr>
        <w:t>83 to Tariff Electric-Pa. P.U.C. No. 20.</w:t>
      </w:r>
    </w:p>
    <w:p w:rsidR="009A33FF" w:rsidRDefault="009A33FF" w:rsidP="007163C3">
      <w:pPr>
        <w:tabs>
          <w:tab w:val="left" w:pos="1440"/>
        </w:tabs>
        <w:ind w:firstLine="720"/>
      </w:pPr>
    </w:p>
    <w:p w:rsidR="009A33FF" w:rsidRDefault="009A33FF" w:rsidP="009A33FF">
      <w:pPr>
        <w:tabs>
          <w:tab w:val="left" w:pos="1440"/>
        </w:tabs>
        <w:spacing w:line="360" w:lineRule="auto"/>
        <w:ind w:firstLine="720"/>
      </w:pPr>
      <w:r w:rsidRPr="009A33FF">
        <w:t>3.</w:t>
      </w:r>
      <w:r w:rsidRPr="009A33FF">
        <w:tab/>
        <w:t>That this investigation shall include</w:t>
      </w:r>
      <w:r w:rsidR="00230718">
        <w:t>, but not be limited to,</w:t>
      </w:r>
      <w:r w:rsidRPr="009A33FF">
        <w:t xml:space="preserve"> consideration of the </w:t>
      </w:r>
      <w:r w:rsidR="00BD761D">
        <w:t>issues identified in the body of this Order</w:t>
      </w:r>
      <w:r w:rsidR="00B862EA">
        <w:t>, as well as in the attached Appendix A,</w:t>
      </w:r>
      <w:r w:rsidR="00BD761D">
        <w:t xml:space="preserve"> as representing specific areas of concern with regard to </w:t>
      </w:r>
      <w:r w:rsidR="00896972">
        <w:t>the Company’s</w:t>
      </w:r>
      <w:r w:rsidR="00BD761D">
        <w:t xml:space="preserve"> base rate filing.</w:t>
      </w:r>
    </w:p>
    <w:p w:rsidR="00BD761D" w:rsidRDefault="00BD761D" w:rsidP="007163C3">
      <w:pPr>
        <w:tabs>
          <w:tab w:val="left" w:pos="1440"/>
        </w:tabs>
        <w:ind w:firstLine="720"/>
      </w:pPr>
    </w:p>
    <w:p w:rsidR="00BD761D" w:rsidRDefault="00896972" w:rsidP="00BD761D">
      <w:pPr>
        <w:tabs>
          <w:tab w:val="left" w:pos="1440"/>
        </w:tabs>
        <w:spacing w:line="360" w:lineRule="auto"/>
        <w:ind w:firstLine="720"/>
      </w:pPr>
      <w:r>
        <w:t>4</w:t>
      </w:r>
      <w:r w:rsidR="00BD761D" w:rsidRPr="009A33FF">
        <w:t>.</w:t>
      </w:r>
      <w:r w:rsidR="00BD761D" w:rsidRPr="009A33FF">
        <w:tab/>
        <w:t>That this investigation shall include consideration of the lawfulness, justness, and reasonableness of the Company’s existing rates, rules, and regulations.</w:t>
      </w:r>
    </w:p>
    <w:p w:rsidR="00E013EF" w:rsidRPr="00E013EF" w:rsidRDefault="00E013EF" w:rsidP="007163C3">
      <w:pPr>
        <w:tabs>
          <w:tab w:val="left" w:pos="1440"/>
        </w:tabs>
        <w:ind w:firstLine="720"/>
        <w:rPr>
          <w:highlight w:val="green"/>
        </w:rPr>
      </w:pPr>
    </w:p>
    <w:p w:rsidR="00E013EF" w:rsidRPr="009A33FF" w:rsidRDefault="00896972" w:rsidP="00E013EF">
      <w:pPr>
        <w:tabs>
          <w:tab w:val="left" w:pos="1440"/>
        </w:tabs>
        <w:spacing w:line="360" w:lineRule="auto"/>
        <w:ind w:firstLine="720"/>
      </w:pPr>
      <w:r>
        <w:t>5</w:t>
      </w:r>
      <w:r w:rsidR="00E013EF" w:rsidRPr="009A33FF">
        <w:t>.</w:t>
      </w:r>
      <w:r w:rsidR="00E013EF" w:rsidRPr="009A33FF">
        <w:tab/>
        <w:t>That the case be assigned to the Office of Administrative Law Judge for the prompt scheduling of such hearings as may be necessary, culminating in the issuance of a Recommended Decision.</w:t>
      </w:r>
    </w:p>
    <w:p w:rsidR="00E013EF" w:rsidRPr="009A33FF" w:rsidRDefault="00E013EF" w:rsidP="001A6ED8"/>
    <w:p w:rsidR="00E013EF" w:rsidRPr="00782C54" w:rsidRDefault="00896972" w:rsidP="00E013EF">
      <w:pPr>
        <w:tabs>
          <w:tab w:val="left" w:pos="1440"/>
        </w:tabs>
        <w:spacing w:line="360" w:lineRule="auto"/>
        <w:ind w:firstLine="720"/>
      </w:pPr>
      <w:r>
        <w:t>6</w:t>
      </w:r>
      <w:r w:rsidR="00E013EF" w:rsidRPr="009A33FF">
        <w:t>.</w:t>
      </w:r>
      <w:r w:rsidR="00E013EF" w:rsidRPr="009A33FF">
        <w:tab/>
        <w:t>That a copy of this Order shall be served upon the Company, the Office of Trial Staff, the Office of Consumer Advocate, the Office of Small Business Advocate, and any persons who have filed Formal Complaints against the Company’s proposed tariff.</w:t>
      </w:r>
    </w:p>
    <w:p w:rsidR="008C2D12" w:rsidRPr="008E558B" w:rsidRDefault="008C2D12" w:rsidP="007F6F9C">
      <w:pPr>
        <w:tabs>
          <w:tab w:val="left" w:pos="1440"/>
          <w:tab w:val="left" w:pos="2160"/>
        </w:tabs>
        <w:spacing w:line="360" w:lineRule="auto"/>
        <w:ind w:firstLine="1440"/>
      </w:pPr>
    </w:p>
    <w:p w:rsidR="00935555" w:rsidRPr="00EA612D" w:rsidRDefault="00935555" w:rsidP="007F6F9C">
      <w:pPr>
        <w:tabs>
          <w:tab w:val="left" w:pos="2160"/>
        </w:tabs>
        <w:spacing w:line="360" w:lineRule="auto"/>
        <w:rPr>
          <w:highlight w:val="green"/>
        </w:rPr>
      </w:pPr>
    </w:p>
    <w:p w:rsidR="00142BC5" w:rsidRPr="00EA612D" w:rsidRDefault="00452F9D" w:rsidP="00AC1019">
      <w:pPr>
        <w:rPr>
          <w:highlight w:val="green"/>
        </w:rPr>
      </w:pPr>
      <w:r>
        <w:rPr>
          <w:noProof/>
        </w:rPr>
        <w:drawing>
          <wp:anchor distT="0" distB="0" distL="114300" distR="114300" simplePos="0" relativeHeight="251658240" behindDoc="1" locked="0" layoutInCell="1" allowOverlap="1">
            <wp:simplePos x="0" y="0"/>
            <wp:positionH relativeFrom="column">
              <wp:posOffset>2440305</wp:posOffset>
            </wp:positionH>
            <wp:positionV relativeFrom="paragraph">
              <wp:posOffset>170180</wp:posOffset>
            </wp:positionV>
            <wp:extent cx="2203450" cy="833755"/>
            <wp:effectExtent l="19050" t="0" r="6350" b="0"/>
            <wp:wrapNone/>
            <wp:docPr id="6" name="Picture 6"/>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3450" cy="833755"/>
                    </a:xfrm>
                    <a:prstGeom prst="rect">
                      <a:avLst/>
                    </a:prstGeom>
                    <a:noFill/>
                    <a:ln w="9525">
                      <a:noFill/>
                      <a:miter lim="800000"/>
                      <a:headEnd/>
                      <a:tailEnd/>
                    </a:ln>
                  </pic:spPr>
                </pic:pic>
              </a:graphicData>
            </a:graphic>
          </wp:anchor>
        </w:drawing>
      </w:r>
    </w:p>
    <w:p w:rsidR="00142BC5" w:rsidRPr="00223F64" w:rsidRDefault="00142BC5" w:rsidP="00AC1019">
      <w:pPr>
        <w:tabs>
          <w:tab w:val="left" w:pos="4320"/>
        </w:tabs>
      </w:pPr>
      <w:r w:rsidRPr="00223F64">
        <w:tab/>
      </w:r>
      <w:r w:rsidRPr="00223F64">
        <w:rPr>
          <w:b/>
        </w:rPr>
        <w:t>BY THE COMMISSION</w:t>
      </w:r>
      <w:r w:rsidR="004D2B0E" w:rsidRPr="00223F64">
        <w:rPr>
          <w:b/>
        </w:rPr>
        <w:t>,</w:t>
      </w:r>
    </w:p>
    <w:p w:rsidR="00142BC5" w:rsidRPr="00223F64" w:rsidRDefault="00142BC5" w:rsidP="00AC1019">
      <w:pPr>
        <w:tabs>
          <w:tab w:val="left" w:pos="4320"/>
        </w:tabs>
      </w:pPr>
    </w:p>
    <w:p w:rsidR="0082505A" w:rsidRPr="00223F64" w:rsidRDefault="0082505A" w:rsidP="00AC1019">
      <w:pPr>
        <w:tabs>
          <w:tab w:val="left" w:pos="4320"/>
        </w:tabs>
      </w:pPr>
    </w:p>
    <w:p w:rsidR="00142BC5" w:rsidRPr="00223F64" w:rsidRDefault="00142BC5" w:rsidP="00AC1019">
      <w:pPr>
        <w:tabs>
          <w:tab w:val="left" w:pos="4320"/>
        </w:tabs>
      </w:pPr>
    </w:p>
    <w:p w:rsidR="00142BC5" w:rsidRPr="00223F64" w:rsidRDefault="00223F64" w:rsidP="00AC1019">
      <w:pPr>
        <w:tabs>
          <w:tab w:val="left" w:pos="4320"/>
        </w:tabs>
      </w:pPr>
      <w:r w:rsidRPr="00223F64">
        <w:tab/>
        <w:t>Rosemary Chiavetta</w:t>
      </w:r>
    </w:p>
    <w:p w:rsidR="00142BC5" w:rsidRPr="00223F64" w:rsidRDefault="00142BC5" w:rsidP="00AC1019">
      <w:pPr>
        <w:tabs>
          <w:tab w:val="left" w:pos="4320"/>
        </w:tabs>
      </w:pPr>
      <w:r w:rsidRPr="00223F64">
        <w:tab/>
        <w:t>Secretary</w:t>
      </w:r>
    </w:p>
    <w:p w:rsidR="00142BC5" w:rsidRPr="00223F64" w:rsidRDefault="00142BC5" w:rsidP="00AC1019">
      <w:pPr>
        <w:tabs>
          <w:tab w:val="left" w:pos="4320"/>
        </w:tabs>
      </w:pPr>
    </w:p>
    <w:p w:rsidR="008C2D12" w:rsidRPr="00223F64" w:rsidRDefault="008C2D12" w:rsidP="00AC1019">
      <w:pPr>
        <w:tabs>
          <w:tab w:val="left" w:pos="4320"/>
        </w:tabs>
        <w:spacing w:line="360" w:lineRule="auto"/>
      </w:pPr>
    </w:p>
    <w:p w:rsidR="008C2D12" w:rsidRPr="00223F64" w:rsidRDefault="008C2D12" w:rsidP="00AC1019">
      <w:pPr>
        <w:tabs>
          <w:tab w:val="left" w:pos="4320"/>
        </w:tabs>
        <w:spacing w:line="360" w:lineRule="auto"/>
      </w:pPr>
    </w:p>
    <w:p w:rsidR="00142BC5" w:rsidRPr="00223F64" w:rsidRDefault="00142BC5" w:rsidP="00AC1019">
      <w:pPr>
        <w:tabs>
          <w:tab w:val="left" w:pos="4320"/>
        </w:tabs>
        <w:spacing w:line="360" w:lineRule="auto"/>
      </w:pPr>
      <w:r w:rsidRPr="00223F64">
        <w:t>(SEAL)</w:t>
      </w:r>
    </w:p>
    <w:p w:rsidR="00142BC5" w:rsidRPr="00223F64" w:rsidRDefault="00142BC5" w:rsidP="00AC1019">
      <w:pPr>
        <w:tabs>
          <w:tab w:val="left" w:pos="4320"/>
        </w:tabs>
        <w:spacing w:line="360" w:lineRule="auto"/>
      </w:pPr>
      <w:r w:rsidRPr="00223F64">
        <w:t xml:space="preserve">ORDER ADOPTED:  </w:t>
      </w:r>
      <w:r w:rsidR="00223F64" w:rsidRPr="00223F64">
        <w:t>May 20</w:t>
      </w:r>
      <w:r w:rsidR="007F6F9C" w:rsidRPr="00223F64">
        <w:t>,</w:t>
      </w:r>
      <w:r w:rsidR="00782C54" w:rsidRPr="00223F64">
        <w:t xml:space="preserve"> 2010</w:t>
      </w:r>
      <w:r w:rsidR="00EF5C01" w:rsidRPr="00223F64">
        <w:t xml:space="preserve"> </w:t>
      </w:r>
    </w:p>
    <w:p w:rsidR="00867BC2" w:rsidRDefault="00142BC5" w:rsidP="00AC1019">
      <w:pPr>
        <w:tabs>
          <w:tab w:val="left" w:pos="4320"/>
        </w:tabs>
        <w:spacing w:line="360" w:lineRule="auto"/>
        <w:sectPr w:rsidR="00867BC2" w:rsidSect="0051337B">
          <w:footerReference w:type="default" r:id="rId9"/>
          <w:headerReference w:type="first" r:id="rId10"/>
          <w:footerReference w:type="first" r:id="rId11"/>
          <w:pgSz w:w="12240" w:h="15840" w:code="1"/>
          <w:pgMar w:top="1440" w:right="1296" w:bottom="1296" w:left="1440" w:header="720" w:footer="720" w:gutter="0"/>
          <w:cols w:space="720"/>
          <w:titlePg/>
          <w:docGrid w:linePitch="354"/>
        </w:sectPr>
      </w:pPr>
      <w:r w:rsidRPr="00223F64">
        <w:t>ORDER ENTERED:</w:t>
      </w:r>
      <w:r w:rsidRPr="00AC1019">
        <w:t xml:space="preserve">  </w:t>
      </w:r>
      <w:r w:rsidR="00452F9D">
        <w:t>May 20, 2010</w:t>
      </w:r>
    </w:p>
    <w:p w:rsidR="0068331C" w:rsidRDefault="0068331C" w:rsidP="00AC1019">
      <w:pPr>
        <w:tabs>
          <w:tab w:val="left" w:pos="4320"/>
        </w:tabs>
        <w:spacing w:line="360" w:lineRule="auto"/>
      </w:pPr>
    </w:p>
    <w:p w:rsidR="00C41B5D" w:rsidRPr="006D06ED" w:rsidRDefault="00C41B5D" w:rsidP="00C41B5D">
      <w:pPr>
        <w:tabs>
          <w:tab w:val="left" w:pos="4320"/>
        </w:tabs>
        <w:jc w:val="center"/>
        <w:rPr>
          <w:b/>
          <w:sz w:val="28"/>
          <w:szCs w:val="28"/>
        </w:rPr>
      </w:pPr>
      <w:r w:rsidRPr="006D06ED">
        <w:rPr>
          <w:b/>
          <w:sz w:val="28"/>
          <w:szCs w:val="28"/>
        </w:rPr>
        <w:t>PPL Electric Utilities Corporation</w:t>
      </w:r>
    </w:p>
    <w:p w:rsidR="00C41B5D" w:rsidRPr="006D06ED" w:rsidRDefault="00C41B5D" w:rsidP="00C41B5D">
      <w:pPr>
        <w:tabs>
          <w:tab w:val="left" w:pos="4320"/>
        </w:tabs>
        <w:jc w:val="center"/>
        <w:rPr>
          <w:b/>
          <w:sz w:val="28"/>
          <w:szCs w:val="28"/>
        </w:rPr>
      </w:pPr>
      <w:r w:rsidRPr="006D06ED">
        <w:rPr>
          <w:b/>
          <w:sz w:val="28"/>
          <w:szCs w:val="28"/>
        </w:rPr>
        <w:t>Supplement No. 83 to Tariff Electric-Pa. P.U.C. No. 201</w:t>
      </w:r>
    </w:p>
    <w:p w:rsidR="00C41B5D" w:rsidRPr="006D06ED" w:rsidRDefault="00C41B5D" w:rsidP="00C41B5D">
      <w:pPr>
        <w:tabs>
          <w:tab w:val="left" w:pos="4320"/>
        </w:tabs>
        <w:jc w:val="center"/>
        <w:rPr>
          <w:b/>
          <w:sz w:val="28"/>
          <w:szCs w:val="28"/>
        </w:rPr>
      </w:pPr>
      <w:r w:rsidRPr="006D06ED">
        <w:rPr>
          <w:b/>
          <w:sz w:val="28"/>
          <w:szCs w:val="28"/>
        </w:rPr>
        <w:t>R-2010-2161694</w:t>
      </w:r>
    </w:p>
    <w:p w:rsidR="00C41B5D" w:rsidRPr="001F7175" w:rsidRDefault="00C41B5D" w:rsidP="00C41B5D">
      <w:pPr>
        <w:tabs>
          <w:tab w:val="left" w:pos="4320"/>
        </w:tabs>
        <w:jc w:val="center"/>
        <w:rPr>
          <w:sz w:val="28"/>
          <w:szCs w:val="28"/>
        </w:rPr>
      </w:pPr>
    </w:p>
    <w:p w:rsidR="00C41B5D" w:rsidRPr="006D06ED" w:rsidRDefault="00C41B5D" w:rsidP="00C41B5D">
      <w:pPr>
        <w:tabs>
          <w:tab w:val="left" w:pos="4320"/>
        </w:tabs>
        <w:jc w:val="center"/>
        <w:rPr>
          <w:b/>
          <w:sz w:val="28"/>
          <w:szCs w:val="28"/>
        </w:rPr>
      </w:pPr>
      <w:r w:rsidRPr="006D06ED">
        <w:rPr>
          <w:b/>
          <w:sz w:val="28"/>
          <w:szCs w:val="28"/>
        </w:rPr>
        <w:t>General Rate Increase Filing</w:t>
      </w:r>
    </w:p>
    <w:p w:rsidR="00C41B5D" w:rsidRPr="006D06ED" w:rsidRDefault="00C41B5D" w:rsidP="00C41B5D">
      <w:pPr>
        <w:tabs>
          <w:tab w:val="left" w:pos="4320"/>
        </w:tabs>
        <w:jc w:val="center"/>
        <w:rPr>
          <w:b/>
          <w:sz w:val="28"/>
          <w:szCs w:val="28"/>
        </w:rPr>
      </w:pPr>
      <w:r w:rsidRPr="006D06ED">
        <w:rPr>
          <w:b/>
          <w:sz w:val="28"/>
          <w:szCs w:val="28"/>
        </w:rPr>
        <w:t>Areas of Concern</w:t>
      </w:r>
    </w:p>
    <w:p w:rsidR="0068331C" w:rsidRDefault="0068331C" w:rsidP="00AC1019">
      <w:pPr>
        <w:tabs>
          <w:tab w:val="left" w:pos="4320"/>
        </w:tabs>
        <w:spacing w:line="360" w:lineRule="auto"/>
      </w:pPr>
    </w:p>
    <w:p w:rsidR="00C41B5D" w:rsidRDefault="00C41B5D" w:rsidP="00AC1019">
      <w:pPr>
        <w:tabs>
          <w:tab w:val="left" w:pos="4320"/>
        </w:tabs>
        <w:spacing w:line="360" w:lineRule="auto"/>
      </w:pPr>
    </w:p>
    <w:p w:rsidR="00B74931" w:rsidRDefault="00BA6407" w:rsidP="002C224F">
      <w:pPr>
        <w:pStyle w:val="ListParagraph"/>
        <w:numPr>
          <w:ilvl w:val="0"/>
          <w:numId w:val="5"/>
        </w:numPr>
      </w:pPr>
      <w:r>
        <w:t xml:space="preserve">PPL’s </w:t>
      </w:r>
      <w:r w:rsidR="00B74931">
        <w:t>test year revenue and expense claims</w:t>
      </w:r>
      <w:r>
        <w:t xml:space="preserve"> must</w:t>
      </w:r>
      <w:r w:rsidR="00B74931">
        <w:t xml:space="preserve"> be closely examined to determine their accuracy and the extent to which they support the requested revenue increase.</w:t>
      </w:r>
    </w:p>
    <w:p w:rsidR="00B74931" w:rsidRDefault="00B74931" w:rsidP="00B74931">
      <w:pPr>
        <w:tabs>
          <w:tab w:val="left" w:pos="1440"/>
        </w:tabs>
        <w:ind w:firstLine="720"/>
      </w:pPr>
    </w:p>
    <w:p w:rsidR="00B74931" w:rsidRDefault="00C8403D" w:rsidP="002C224F">
      <w:pPr>
        <w:pStyle w:val="ListParagraph"/>
        <w:numPr>
          <w:ilvl w:val="0"/>
          <w:numId w:val="5"/>
        </w:numPr>
      </w:pPr>
      <w:r>
        <w:t xml:space="preserve">The level of capital </w:t>
      </w:r>
      <w:r w:rsidR="00B74931" w:rsidRPr="00433DD1">
        <w:t>investment</w:t>
      </w:r>
      <w:r>
        <w:t xml:space="preserve"> appearing in PPL’s rate base claim must</w:t>
      </w:r>
      <w:r w:rsidR="00B74931" w:rsidRPr="00433DD1">
        <w:t xml:space="preserve"> be closely reviewed to ensure that it was prudently made, and that any utility plant acquired is necessary, used and useful to the provision of electric distribution service.</w:t>
      </w:r>
    </w:p>
    <w:p w:rsidR="00683BC1" w:rsidRDefault="00683BC1" w:rsidP="00683BC1">
      <w:pPr>
        <w:pStyle w:val="ListParagraph"/>
      </w:pPr>
    </w:p>
    <w:p w:rsidR="00683BC1" w:rsidRDefault="00683BC1" w:rsidP="002C224F">
      <w:pPr>
        <w:pStyle w:val="ListParagraph"/>
        <w:numPr>
          <w:ilvl w:val="0"/>
          <w:numId w:val="5"/>
        </w:numPr>
      </w:pPr>
      <w:r>
        <w:t>PPL’s proposed revenue allocation must be carefully examined to d</w:t>
      </w:r>
      <w:r w:rsidR="007B0C7C">
        <w:t>etermine whether or not it is</w:t>
      </w:r>
      <w:r>
        <w:t xml:space="preserve"> just and reasonable.</w:t>
      </w:r>
    </w:p>
    <w:p w:rsidR="00AD7E0E" w:rsidRDefault="00AD7E0E" w:rsidP="00AD7E0E">
      <w:pPr>
        <w:pStyle w:val="ListParagraph"/>
      </w:pPr>
    </w:p>
    <w:p w:rsidR="00AD7E0E" w:rsidRDefault="00AD7E0E" w:rsidP="002C224F">
      <w:pPr>
        <w:pStyle w:val="ListParagraph"/>
        <w:numPr>
          <w:ilvl w:val="0"/>
          <w:numId w:val="5"/>
        </w:numPr>
      </w:pPr>
      <w:r>
        <w:t>PPL’s methodology for determining the appropriate revenue allocation as between its Rate Schedule RTS customers and its Rate Schedule RS customers must be carefully examined to determine whether or not it is just and reasonable.</w:t>
      </w:r>
    </w:p>
    <w:p w:rsidR="007B0C7C" w:rsidRDefault="007B0C7C" w:rsidP="007B0C7C">
      <w:pPr>
        <w:pStyle w:val="ListParagraph"/>
      </w:pPr>
    </w:p>
    <w:p w:rsidR="007B0C7C" w:rsidRDefault="007B0C7C" w:rsidP="002C224F">
      <w:pPr>
        <w:pStyle w:val="ListParagraph"/>
        <w:numPr>
          <w:ilvl w:val="0"/>
          <w:numId w:val="5"/>
        </w:numPr>
      </w:pPr>
      <w:r>
        <w:t>PPL’</w:t>
      </w:r>
      <w:r w:rsidR="00B02318">
        <w:t>s proposal to redesign its rate structure to recover most of its revenue requirement through customer and demand charges, and less through kWh usage charges,</w:t>
      </w:r>
      <w:r>
        <w:t xml:space="preserve"> must be carefully examined to d</w:t>
      </w:r>
      <w:r w:rsidR="00B02318">
        <w:t>etermine whether or not it is</w:t>
      </w:r>
      <w:r>
        <w:t xml:space="preserve"> just and reasonable.</w:t>
      </w:r>
    </w:p>
    <w:p w:rsidR="006730D2" w:rsidRDefault="006730D2" w:rsidP="006730D2">
      <w:pPr>
        <w:pStyle w:val="ListParagraph"/>
      </w:pPr>
    </w:p>
    <w:p w:rsidR="006730D2" w:rsidRDefault="006730D2" w:rsidP="006730D2">
      <w:pPr>
        <w:pStyle w:val="ListParagraph"/>
        <w:numPr>
          <w:ilvl w:val="0"/>
          <w:numId w:val="5"/>
        </w:numPr>
      </w:pPr>
      <w:r>
        <w:t>PPL’s proposal to eliminate its declining block rate structure must be carefully reviewed to determine whether or not it is just and reasonable.</w:t>
      </w:r>
    </w:p>
    <w:p w:rsidR="008F72EC" w:rsidRDefault="008F72EC" w:rsidP="008F72EC">
      <w:pPr>
        <w:pStyle w:val="ListParagraph"/>
      </w:pPr>
    </w:p>
    <w:p w:rsidR="008F72EC" w:rsidRDefault="008F72EC" w:rsidP="002C224F">
      <w:pPr>
        <w:pStyle w:val="ListParagraph"/>
        <w:numPr>
          <w:ilvl w:val="0"/>
          <w:numId w:val="5"/>
        </w:numPr>
      </w:pPr>
      <w:r>
        <w:t>PPL’s proposal to eliminate the minimum billing kW for applicable rate schedules must be carefully reviewed to determine whether or not it is just and reasonable.</w:t>
      </w:r>
    </w:p>
    <w:p w:rsidR="00FF1F05" w:rsidRDefault="00FF1F05" w:rsidP="00FF1F05">
      <w:pPr>
        <w:pStyle w:val="ListParagraph"/>
      </w:pPr>
    </w:p>
    <w:p w:rsidR="008F5EE4" w:rsidRDefault="00FF1F05" w:rsidP="008F5EE4">
      <w:pPr>
        <w:pStyle w:val="ListParagraph"/>
        <w:numPr>
          <w:ilvl w:val="0"/>
          <w:numId w:val="5"/>
        </w:numPr>
      </w:pPr>
      <w:r>
        <w:t xml:space="preserve">PPL’s proposal to combine the revenue requirements of its interruptible service rate schedules with those of related firm service rate schedules must be </w:t>
      </w:r>
      <w:r w:rsidR="002057A8">
        <w:t>examined to determine whether or not it is just and reasonable.</w:t>
      </w:r>
    </w:p>
    <w:p w:rsidR="00B74931" w:rsidRDefault="00B74931" w:rsidP="00B74931">
      <w:pPr>
        <w:tabs>
          <w:tab w:val="left" w:pos="1440"/>
        </w:tabs>
        <w:ind w:firstLine="720"/>
      </w:pPr>
    </w:p>
    <w:p w:rsidR="00B74931" w:rsidRDefault="00E62603" w:rsidP="002C224F">
      <w:pPr>
        <w:pStyle w:val="ListParagraph"/>
        <w:numPr>
          <w:ilvl w:val="0"/>
          <w:numId w:val="5"/>
        </w:numPr>
      </w:pPr>
      <w:r>
        <w:t xml:space="preserve">The </w:t>
      </w:r>
      <w:r w:rsidR="00B74931">
        <w:t>cost allocation methodologies</w:t>
      </w:r>
      <w:r>
        <w:t xml:space="preserve"> utilized in PPL’s class cost-of-service study must</w:t>
      </w:r>
      <w:r w:rsidR="00B74931">
        <w:t xml:space="preserve"> be thoroughly scrutinized in order t</w:t>
      </w:r>
      <w:r w:rsidR="000B10B0">
        <w:t xml:space="preserve">o ensure that the results of the </w:t>
      </w:r>
      <w:r w:rsidR="00B74931">
        <w:t xml:space="preserve">study are </w:t>
      </w:r>
      <w:r w:rsidR="00B74931">
        <w:lastRenderedPageBreak/>
        <w:t>reasonably accurate, and to determine whether or not they support the Company’s proposed revenue allocation.</w:t>
      </w:r>
    </w:p>
    <w:p w:rsidR="00B74931" w:rsidRDefault="00B74931" w:rsidP="00B74931">
      <w:pPr>
        <w:pStyle w:val="ListParagraph"/>
      </w:pPr>
    </w:p>
    <w:p w:rsidR="00B74931" w:rsidRDefault="00B74931" w:rsidP="002C224F">
      <w:pPr>
        <w:pStyle w:val="ListParagraph"/>
        <w:numPr>
          <w:ilvl w:val="0"/>
          <w:numId w:val="5"/>
        </w:numPr>
      </w:pPr>
      <w:r>
        <w:t xml:space="preserve"> </w:t>
      </w:r>
      <w:r w:rsidR="000B10B0">
        <w:t xml:space="preserve">The cost allocation methodologies utilized in PPL’s class cost-of-service study must be thoroughly scrutinized </w:t>
      </w:r>
      <w:r>
        <w:t xml:space="preserve">to determine whether or not </w:t>
      </w:r>
      <w:r w:rsidR="00CC7D49">
        <w:t xml:space="preserve">they support the Company’s </w:t>
      </w:r>
      <w:r>
        <w:t>pro</w:t>
      </w:r>
      <w:r w:rsidR="00CC7D49">
        <w:t>posed rate design changes.</w:t>
      </w:r>
    </w:p>
    <w:p w:rsidR="005E3963" w:rsidRDefault="005E3963" w:rsidP="005E3963">
      <w:pPr>
        <w:pStyle w:val="ListParagraph"/>
      </w:pPr>
    </w:p>
    <w:p w:rsidR="005E3963" w:rsidRDefault="005E3963" w:rsidP="005E3963">
      <w:pPr>
        <w:pStyle w:val="ListParagraph"/>
        <w:numPr>
          <w:ilvl w:val="0"/>
          <w:numId w:val="5"/>
        </w:numPr>
      </w:pPr>
      <w:r>
        <w:t>PPL’s proposal to modify the language of its Net Metering for Renewable Customer-Generators Rider to reflect changes in the AEPS Act and to clarify the net metering provisions for shopping customers must be reviewed to determine whether or not such changes are just and reasonable, and</w:t>
      </w:r>
      <w:r w:rsidR="00D51EDF">
        <w:t xml:space="preserve"> whether or not </w:t>
      </w:r>
      <w:r>
        <w:t>they accurately address the changes and conditions they are meant to reflect.</w:t>
      </w:r>
    </w:p>
    <w:p w:rsidR="00B74931" w:rsidRDefault="00B74931" w:rsidP="00B74931">
      <w:pPr>
        <w:pStyle w:val="ListParagraph"/>
      </w:pPr>
    </w:p>
    <w:p w:rsidR="00B74931" w:rsidRDefault="00B74931" w:rsidP="002C224F">
      <w:pPr>
        <w:pStyle w:val="ListParagraph"/>
        <w:numPr>
          <w:ilvl w:val="0"/>
          <w:numId w:val="5"/>
        </w:numPr>
      </w:pPr>
      <w:r>
        <w:t>PPL’</w:t>
      </w:r>
      <w:r w:rsidR="00B94FF7">
        <w:t>s proposed continuation of its Purchase of Receivables program, and its proposed changes in the discount rates and Merchant Function Charge must be closely examined to determine whether or not they are just and reasonable</w:t>
      </w:r>
      <w:r>
        <w:t>.</w:t>
      </w:r>
    </w:p>
    <w:p w:rsidR="00AB6619" w:rsidRDefault="00AB6619" w:rsidP="00AB6619">
      <w:pPr>
        <w:pStyle w:val="ListParagraph"/>
      </w:pPr>
    </w:p>
    <w:p w:rsidR="00AB6619" w:rsidRDefault="00AB6619" w:rsidP="00AB6619">
      <w:pPr>
        <w:pStyle w:val="ListParagraph"/>
        <w:numPr>
          <w:ilvl w:val="0"/>
          <w:numId w:val="5"/>
        </w:numPr>
      </w:pPr>
      <w:r>
        <w:t>PPL’s proposed customer education and energy efficiency programs must be carefully examined to ensure they are not already included in the Company’s Act 129 energy efficiency and conservation plan budget, and are not already being recovered through the Company’s Act 129 Compliance Rider.  To the extent that any of these programs and associated expense claims are not included in the Company’s Act 129 plan, they should be reviewed in this proceeding to determine whether or not they are just and reasonable.</w:t>
      </w:r>
    </w:p>
    <w:p w:rsidR="00B435E6" w:rsidRDefault="00B435E6" w:rsidP="00B435E6">
      <w:pPr>
        <w:pStyle w:val="ListParagraph"/>
      </w:pPr>
    </w:p>
    <w:p w:rsidR="00B435E6" w:rsidRDefault="00B435E6" w:rsidP="002C224F">
      <w:pPr>
        <w:pStyle w:val="ListParagraph"/>
        <w:numPr>
          <w:ilvl w:val="0"/>
          <w:numId w:val="5"/>
        </w:numPr>
      </w:pPr>
      <w:r>
        <w:t>PPL’s proposed updates to its tariff to clarify certain provisions and eliminate other provision</w:t>
      </w:r>
      <w:r w:rsidR="007703F6">
        <w:t>s must be reviewed to determine</w:t>
      </w:r>
      <w:r>
        <w:t xml:space="preserve"> </w:t>
      </w:r>
      <w:r w:rsidR="00CA4487">
        <w:t>whether or not such changes are appropriate.</w:t>
      </w:r>
    </w:p>
    <w:p w:rsidR="00B74931" w:rsidRDefault="00B74931" w:rsidP="00B74931">
      <w:pPr>
        <w:pStyle w:val="ListParagraph"/>
      </w:pPr>
    </w:p>
    <w:p w:rsidR="00CE7D79" w:rsidRDefault="00CE7D79" w:rsidP="002C224F">
      <w:pPr>
        <w:pStyle w:val="ListParagraph"/>
        <w:numPr>
          <w:ilvl w:val="0"/>
          <w:numId w:val="5"/>
        </w:numPr>
      </w:pPr>
      <w:r>
        <w:t xml:space="preserve">The reasonableness and effectiveness of </w:t>
      </w:r>
      <w:r w:rsidR="000E7312">
        <w:t>PPL’s</w:t>
      </w:r>
      <w:r w:rsidR="00B74931">
        <w:t xml:space="preserve"> efforts to support a bankruptcy-remote organizational structure to allow subsidiaries of PPL Corporation to stand independent from PPL Corporation during a bankruptcy proceeding</w:t>
      </w:r>
      <w:r w:rsidR="000E7312">
        <w:t xml:space="preserve"> must be carefully revie</w:t>
      </w:r>
      <w:r>
        <w:t>wed.</w:t>
      </w:r>
    </w:p>
    <w:p w:rsidR="00CE7D79" w:rsidRDefault="00CE7D79" w:rsidP="00CE7D79">
      <w:pPr>
        <w:pStyle w:val="ListParagraph"/>
      </w:pPr>
    </w:p>
    <w:p w:rsidR="00B74931" w:rsidRDefault="005A2C45" w:rsidP="002C224F">
      <w:pPr>
        <w:pStyle w:val="ListParagraph"/>
        <w:numPr>
          <w:ilvl w:val="0"/>
          <w:numId w:val="5"/>
        </w:numPr>
      </w:pPr>
      <w:r>
        <w:t xml:space="preserve">The reasonableness and effectiveness of </w:t>
      </w:r>
      <w:r w:rsidR="00B74931">
        <w:t>all techniques used by PPL to obtain a better credit rating</w:t>
      </w:r>
      <w:r>
        <w:t xml:space="preserve"> from the rating companies than PPL Corporation must be carefully reviewed.</w:t>
      </w:r>
      <w:r w:rsidR="00B74931">
        <w:t xml:space="preserve"> </w:t>
      </w:r>
    </w:p>
    <w:p w:rsidR="00B74931" w:rsidRDefault="00B74931" w:rsidP="00B74931">
      <w:pPr>
        <w:tabs>
          <w:tab w:val="left" w:pos="1440"/>
        </w:tabs>
        <w:ind w:firstLine="720"/>
      </w:pPr>
    </w:p>
    <w:p w:rsidR="00C41B5D" w:rsidRPr="00AC1019" w:rsidRDefault="00C41B5D" w:rsidP="00AC1019">
      <w:pPr>
        <w:tabs>
          <w:tab w:val="left" w:pos="4320"/>
        </w:tabs>
        <w:spacing w:line="360" w:lineRule="auto"/>
      </w:pPr>
    </w:p>
    <w:sectPr w:rsidR="00C41B5D" w:rsidRPr="00AC1019" w:rsidSect="0051337B">
      <w:footerReference w:type="default" r:id="rId12"/>
      <w:headerReference w:type="first" r:id="rId13"/>
      <w:pgSz w:w="12240" w:h="15840" w:code="1"/>
      <w:pgMar w:top="1440" w:right="1296" w:bottom="1296" w:left="1440" w:header="720" w:footer="720" w:gutter="0"/>
      <w:cols w:space="720"/>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091" w:rsidRDefault="00FB0091">
      <w:r>
        <w:separator/>
      </w:r>
    </w:p>
  </w:endnote>
  <w:endnote w:type="continuationSeparator" w:id="0">
    <w:p w:rsidR="00FB0091" w:rsidRDefault="00FB009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80254565"/>
      <w:docPartObj>
        <w:docPartGallery w:val="Page Numbers (Bottom of Page)"/>
        <w:docPartUnique/>
      </w:docPartObj>
    </w:sdtPr>
    <w:sdtContent>
      <w:p w:rsidR="0051337B" w:rsidRDefault="00686AEE">
        <w:pPr>
          <w:pStyle w:val="Footer"/>
          <w:jc w:val="center"/>
        </w:pPr>
        <w:fldSimple w:instr=" PAGE   \* MERGEFORMAT ">
          <w:r w:rsidR="00452F9D">
            <w:rPr>
              <w:noProof/>
            </w:rPr>
            <w:t>8</w:t>
          </w:r>
        </w:fldSimple>
      </w:p>
    </w:sdtContent>
  </w:sdt>
  <w:p w:rsidR="0033011E" w:rsidRDefault="0033011E">
    <w:pPr>
      <w:pStyle w:val="Footer"/>
      <w:rPr>
        <w:color w:val="80008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60264549"/>
      <w:docPartObj>
        <w:docPartGallery w:val="Page Numbers (Bottom of Page)"/>
        <w:docPartUnique/>
      </w:docPartObj>
    </w:sdtPr>
    <w:sdtContent>
      <w:p w:rsidR="0033011E" w:rsidRDefault="00686AEE">
        <w:pPr>
          <w:pStyle w:val="Footer"/>
          <w:jc w:val="center"/>
        </w:pPr>
      </w:p>
    </w:sdtContent>
  </w:sdt>
  <w:p w:rsidR="0033011E" w:rsidRDefault="003301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78412112"/>
      <w:docPartObj>
        <w:docPartGallery w:val="Page Numbers (Bottom of Page)"/>
        <w:docPartUnique/>
      </w:docPartObj>
    </w:sdtPr>
    <w:sdtContent>
      <w:p w:rsidR="00867BC2" w:rsidRDefault="00867BC2">
        <w:pPr>
          <w:pStyle w:val="Footer"/>
          <w:jc w:val="center"/>
        </w:pPr>
        <w:r>
          <w:t>2</w:t>
        </w:r>
      </w:p>
    </w:sdtContent>
  </w:sdt>
  <w:p w:rsidR="00867BC2" w:rsidRDefault="00867BC2">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091" w:rsidRDefault="00FB0091">
      <w:r>
        <w:separator/>
      </w:r>
    </w:p>
  </w:footnote>
  <w:footnote w:type="continuationSeparator" w:id="0">
    <w:p w:rsidR="00FB0091" w:rsidRDefault="00FB0091">
      <w:r>
        <w:continuationSeparator/>
      </w:r>
    </w:p>
  </w:footnote>
  <w:footnote w:id="1">
    <w:p w:rsidR="00617480" w:rsidRPr="00EC0429" w:rsidRDefault="00617480" w:rsidP="00686A07">
      <w:pPr>
        <w:pStyle w:val="FootnoteText"/>
        <w:ind w:left="720"/>
        <w:rPr>
          <w:sz w:val="22"/>
          <w:szCs w:val="22"/>
        </w:rPr>
      </w:pPr>
      <w:r w:rsidRPr="00EC0429">
        <w:rPr>
          <w:rStyle w:val="FootnoteReference"/>
          <w:sz w:val="22"/>
          <w:szCs w:val="22"/>
        </w:rPr>
        <w:footnoteRef/>
      </w:r>
      <w:r w:rsidR="00686A07" w:rsidRPr="00EC0429">
        <w:rPr>
          <w:sz w:val="22"/>
          <w:szCs w:val="22"/>
        </w:rPr>
        <w:tab/>
      </w:r>
      <w:r w:rsidRPr="00EC0429">
        <w:rPr>
          <w:sz w:val="22"/>
          <w:szCs w:val="22"/>
        </w:rPr>
        <w:t xml:space="preserve"> </w:t>
      </w:r>
      <w:r w:rsidRPr="00EC0429">
        <w:rPr>
          <w:i/>
          <w:sz w:val="22"/>
          <w:szCs w:val="22"/>
        </w:rPr>
        <w:t>Lloyd v. Pa. Public Utility Commission</w:t>
      </w:r>
      <w:r w:rsidRPr="00EC0429">
        <w:rPr>
          <w:sz w:val="22"/>
          <w:szCs w:val="22"/>
        </w:rPr>
        <w:t>, 904 A.2d 1010 (Pa. Cmwlth. 2006)</w:t>
      </w:r>
      <w:r w:rsidR="00EC0429" w:rsidRPr="00EC0429">
        <w:rPr>
          <w:sz w:val="22"/>
          <w:szCs w:val="22"/>
        </w:rPr>
        <w:t>.</w:t>
      </w:r>
      <w:r w:rsidR="0026515E" w:rsidRPr="00EC0429">
        <w:rPr>
          <w:sz w:val="22"/>
          <w:szCs w:val="22"/>
        </w:rPr>
        <w:t xml:space="preserve">  </w:t>
      </w:r>
    </w:p>
    <w:p w:rsidR="00FB5CE4" w:rsidRPr="00EC0429" w:rsidRDefault="00FB5CE4" w:rsidP="00686A07">
      <w:pPr>
        <w:pStyle w:val="FootnoteText"/>
        <w:ind w:left="720"/>
        <w:rPr>
          <w:sz w:val="22"/>
          <w:szCs w:val="22"/>
        </w:rPr>
      </w:pPr>
    </w:p>
  </w:footnote>
  <w:footnote w:id="2">
    <w:p w:rsidR="00EC0429" w:rsidRDefault="00EC0429" w:rsidP="00EC0429">
      <w:pPr>
        <w:pStyle w:val="FootnoteText"/>
        <w:ind w:left="720"/>
        <w:rPr>
          <w:sz w:val="22"/>
          <w:szCs w:val="22"/>
        </w:rPr>
      </w:pPr>
      <w:r w:rsidRPr="00EC0429">
        <w:rPr>
          <w:rStyle w:val="FootnoteReference"/>
          <w:sz w:val="22"/>
          <w:szCs w:val="22"/>
        </w:rPr>
        <w:footnoteRef/>
      </w:r>
      <w:r w:rsidRPr="00EC0429">
        <w:rPr>
          <w:sz w:val="22"/>
          <w:szCs w:val="22"/>
        </w:rPr>
        <w:t xml:space="preserve"> </w:t>
      </w:r>
      <w:r w:rsidRPr="00EC0429">
        <w:rPr>
          <w:sz w:val="22"/>
          <w:szCs w:val="22"/>
        </w:rPr>
        <w:tab/>
      </w:r>
      <w:r w:rsidR="00E33096">
        <w:rPr>
          <w:sz w:val="22"/>
          <w:szCs w:val="22"/>
        </w:rPr>
        <w:t>S</w:t>
      </w:r>
      <w:r w:rsidRPr="00EC0429">
        <w:rPr>
          <w:sz w:val="22"/>
          <w:szCs w:val="22"/>
        </w:rPr>
        <w:t xml:space="preserve">pecifically, the Court </w:t>
      </w:r>
      <w:r w:rsidR="00E33096">
        <w:rPr>
          <w:sz w:val="22"/>
          <w:szCs w:val="22"/>
        </w:rPr>
        <w:t>determined</w:t>
      </w:r>
      <w:r w:rsidRPr="00EC0429">
        <w:rPr>
          <w:sz w:val="22"/>
          <w:szCs w:val="22"/>
        </w:rPr>
        <w:t xml:space="preserve"> that it was not appropriate to allocate a distribution rate increase based on the effect of that allocation on a customer’s </w:t>
      </w:r>
      <w:r w:rsidRPr="00EC0429">
        <w:rPr>
          <w:i/>
          <w:sz w:val="22"/>
          <w:szCs w:val="22"/>
        </w:rPr>
        <w:t>total</w:t>
      </w:r>
      <w:r w:rsidRPr="00EC0429">
        <w:rPr>
          <w:sz w:val="22"/>
          <w:szCs w:val="22"/>
        </w:rPr>
        <w:t xml:space="preserve"> bill (</w:t>
      </w:r>
      <w:r w:rsidRPr="00EC0429">
        <w:rPr>
          <w:i/>
          <w:sz w:val="22"/>
          <w:szCs w:val="22"/>
        </w:rPr>
        <w:t>i.e</w:t>
      </w:r>
      <w:r w:rsidRPr="00EC0429">
        <w:rPr>
          <w:sz w:val="22"/>
          <w:szCs w:val="22"/>
        </w:rPr>
        <w:t xml:space="preserve">., the bill for distribution, transmission and generation combined), and </w:t>
      </w:r>
      <w:r w:rsidR="00E33096">
        <w:rPr>
          <w:sz w:val="22"/>
          <w:szCs w:val="22"/>
        </w:rPr>
        <w:t xml:space="preserve">that it </w:t>
      </w:r>
      <w:r w:rsidRPr="00EC0429">
        <w:rPr>
          <w:sz w:val="22"/>
          <w:szCs w:val="22"/>
        </w:rPr>
        <w:t>was</w:t>
      </w:r>
      <w:r w:rsidR="00E33096">
        <w:rPr>
          <w:sz w:val="22"/>
          <w:szCs w:val="22"/>
        </w:rPr>
        <w:t xml:space="preserve"> also</w:t>
      </w:r>
      <w:r w:rsidRPr="00EC0429">
        <w:rPr>
          <w:sz w:val="22"/>
          <w:szCs w:val="22"/>
        </w:rPr>
        <w:t xml:space="preserve"> not appropriate to allow the principle of gradualism to “trump” all other considerations, particularly the cost of providing service.</w:t>
      </w:r>
    </w:p>
    <w:p w:rsidR="00EC0429" w:rsidRPr="00EC0429" w:rsidRDefault="00EC0429" w:rsidP="00EC0429">
      <w:pPr>
        <w:pStyle w:val="FootnoteText"/>
        <w:ind w:left="720"/>
        <w:rPr>
          <w:sz w:val="22"/>
          <w:szCs w:val="22"/>
        </w:rPr>
      </w:pPr>
    </w:p>
  </w:footnote>
  <w:footnote w:id="3">
    <w:p w:rsidR="00754F43" w:rsidRPr="00EC0429" w:rsidRDefault="00754F43" w:rsidP="00754F43">
      <w:pPr>
        <w:pStyle w:val="FootnoteText"/>
        <w:ind w:left="720"/>
        <w:rPr>
          <w:sz w:val="22"/>
          <w:szCs w:val="22"/>
        </w:rPr>
      </w:pPr>
      <w:r w:rsidRPr="00EC0429">
        <w:rPr>
          <w:rStyle w:val="FootnoteReference"/>
          <w:sz w:val="22"/>
          <w:szCs w:val="22"/>
        </w:rPr>
        <w:footnoteRef/>
      </w:r>
      <w:r w:rsidRPr="00EC0429">
        <w:rPr>
          <w:sz w:val="22"/>
          <w:szCs w:val="22"/>
        </w:rPr>
        <w:t xml:space="preserve"> </w:t>
      </w:r>
      <w:r w:rsidRPr="00EC0429">
        <w:rPr>
          <w:sz w:val="22"/>
          <w:szCs w:val="22"/>
        </w:rPr>
        <w:tab/>
        <w:t>PPL argues that “[t]he results of the cost-of-service study support even further increases to residential rates and decreases to commercial and industrial rates, but the Company has limited the increase to residential customers to avoid disparate impacts on this class of customers.” PPL Statement No. 1.</w:t>
      </w:r>
    </w:p>
  </w:footnote>
  <w:footnote w:id="4">
    <w:p w:rsidR="0009496F" w:rsidRDefault="0009496F" w:rsidP="0009496F">
      <w:pPr>
        <w:pStyle w:val="FootnoteText"/>
        <w:ind w:left="720"/>
        <w:rPr>
          <w:sz w:val="22"/>
          <w:szCs w:val="22"/>
        </w:rPr>
      </w:pPr>
      <w:r w:rsidRPr="00967CA8">
        <w:rPr>
          <w:rStyle w:val="FootnoteReference"/>
          <w:sz w:val="22"/>
          <w:szCs w:val="22"/>
        </w:rPr>
        <w:footnoteRef/>
      </w:r>
      <w:r w:rsidRPr="00967CA8">
        <w:rPr>
          <w:sz w:val="22"/>
          <w:szCs w:val="22"/>
        </w:rPr>
        <w:t xml:space="preserve"> </w:t>
      </w:r>
      <w:r w:rsidRPr="00967CA8">
        <w:rPr>
          <w:sz w:val="22"/>
          <w:szCs w:val="22"/>
        </w:rPr>
        <w:tab/>
        <w:t xml:space="preserve">Rate Schedule RTS is a time-of-day rate applicable to customers with </w:t>
      </w:r>
      <w:r w:rsidR="005A241A" w:rsidRPr="00967CA8">
        <w:rPr>
          <w:sz w:val="22"/>
          <w:szCs w:val="22"/>
        </w:rPr>
        <w:t>load management capabilities relating to the use of thermal storage space heating systems.</w:t>
      </w:r>
      <w:r w:rsidR="001845F0" w:rsidRPr="00967CA8">
        <w:rPr>
          <w:sz w:val="22"/>
          <w:szCs w:val="22"/>
        </w:rPr>
        <w:t xml:space="preserve">  No new applications for service und</w:t>
      </w:r>
      <w:r w:rsidR="00967CA8" w:rsidRPr="00967CA8">
        <w:rPr>
          <w:sz w:val="22"/>
          <w:szCs w:val="22"/>
        </w:rPr>
        <w:t>er this rate schedule are being accepted as of December 3, 1995.</w:t>
      </w:r>
    </w:p>
    <w:p w:rsidR="00AD2CE0" w:rsidRPr="00967CA8" w:rsidRDefault="00AD2CE0" w:rsidP="0009496F">
      <w:pPr>
        <w:pStyle w:val="FootnoteText"/>
        <w:ind w:left="720"/>
        <w:rPr>
          <w:sz w:val="22"/>
          <w:szCs w:val="22"/>
        </w:rPr>
      </w:pPr>
    </w:p>
  </w:footnote>
  <w:footnote w:id="5">
    <w:p w:rsidR="00AD2CE0" w:rsidRDefault="00AD2CE0" w:rsidP="00AD2CE0">
      <w:pPr>
        <w:pStyle w:val="FootnoteText"/>
        <w:ind w:left="720"/>
        <w:rPr>
          <w:sz w:val="22"/>
          <w:szCs w:val="22"/>
        </w:rPr>
      </w:pPr>
      <w:r w:rsidRPr="00323D5F">
        <w:rPr>
          <w:rStyle w:val="FootnoteReference"/>
          <w:sz w:val="22"/>
          <w:szCs w:val="22"/>
        </w:rPr>
        <w:footnoteRef/>
      </w:r>
      <w:r w:rsidRPr="00323D5F">
        <w:rPr>
          <w:sz w:val="22"/>
          <w:szCs w:val="22"/>
        </w:rPr>
        <w:tab/>
        <w:t xml:space="preserve">Rate Schedule RTD </w:t>
      </w:r>
      <w:r w:rsidR="00221EA2" w:rsidRPr="00323D5F">
        <w:rPr>
          <w:sz w:val="22"/>
          <w:szCs w:val="22"/>
        </w:rPr>
        <w:t>is for single phase residential service metered and billed to recognize time-of-day use.  No new applications for</w:t>
      </w:r>
      <w:r w:rsidR="00323D5F" w:rsidRPr="00323D5F">
        <w:rPr>
          <w:sz w:val="22"/>
          <w:szCs w:val="22"/>
        </w:rPr>
        <w:t xml:space="preserve"> service under</w:t>
      </w:r>
      <w:r w:rsidR="00221EA2" w:rsidRPr="00323D5F">
        <w:rPr>
          <w:sz w:val="22"/>
          <w:szCs w:val="22"/>
        </w:rPr>
        <w:t xml:space="preserve"> this rate schedule</w:t>
      </w:r>
      <w:r w:rsidR="00323D5F" w:rsidRPr="00323D5F">
        <w:rPr>
          <w:sz w:val="22"/>
          <w:szCs w:val="22"/>
        </w:rPr>
        <w:t xml:space="preserve"> are being accepted as of January 1, 2000.</w:t>
      </w:r>
    </w:p>
    <w:p w:rsidR="00B820A5" w:rsidRPr="00323D5F" w:rsidRDefault="00B820A5" w:rsidP="00AD2CE0">
      <w:pPr>
        <w:pStyle w:val="FootnoteText"/>
        <w:ind w:left="720"/>
        <w:rPr>
          <w:sz w:val="22"/>
          <w:szCs w:val="22"/>
        </w:rPr>
      </w:pPr>
    </w:p>
  </w:footnote>
  <w:footnote w:id="6">
    <w:p w:rsidR="00421F04" w:rsidRPr="00B820A5" w:rsidRDefault="00421F04" w:rsidP="00421F04">
      <w:pPr>
        <w:pStyle w:val="FootnoteText"/>
        <w:ind w:left="720"/>
        <w:rPr>
          <w:sz w:val="22"/>
          <w:szCs w:val="22"/>
        </w:rPr>
      </w:pPr>
      <w:r w:rsidRPr="00B820A5">
        <w:rPr>
          <w:rStyle w:val="FootnoteReference"/>
          <w:sz w:val="22"/>
          <w:szCs w:val="22"/>
        </w:rPr>
        <w:footnoteRef/>
      </w:r>
      <w:r w:rsidRPr="00B820A5">
        <w:rPr>
          <w:sz w:val="22"/>
          <w:szCs w:val="22"/>
        </w:rPr>
        <w:t xml:space="preserve"> </w:t>
      </w:r>
      <w:r w:rsidRPr="00B820A5">
        <w:rPr>
          <w:sz w:val="22"/>
          <w:szCs w:val="22"/>
        </w:rPr>
        <w:tab/>
        <w:t>PPL’s currently effective POR program was approved by the Commission in an Order entered on November 19, 2009, at Docket No. P-2009-2129502.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BC2" w:rsidRDefault="00867BC2">
    <w:pPr>
      <w:pStyle w:val="Header"/>
    </w:pPr>
  </w:p>
  <w:p w:rsidR="00867BC2" w:rsidRDefault="00867B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BC2" w:rsidRPr="00867BC2" w:rsidRDefault="00867BC2" w:rsidP="00867BC2">
    <w:pPr>
      <w:pStyle w:val="Header"/>
      <w:jc w:val="right"/>
      <w:rPr>
        <w:sz w:val="40"/>
        <w:szCs w:val="40"/>
      </w:rPr>
    </w:pPr>
    <w:r w:rsidRPr="00867BC2">
      <w:rPr>
        <w:sz w:val="40"/>
        <w:szCs w:val="40"/>
      </w:rPr>
      <w:t>Appendix A</w:t>
    </w:r>
  </w:p>
  <w:p w:rsidR="00867BC2" w:rsidRDefault="00867B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23060"/>
    <w:multiLevelType w:val="hybridMultilevel"/>
    <w:tmpl w:val="368E4F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AF19E1"/>
    <w:multiLevelType w:val="singleLevel"/>
    <w:tmpl w:val="0622917A"/>
    <w:lvl w:ilvl="0">
      <w:start w:val="1"/>
      <w:numFmt w:val="decimal"/>
      <w:lvlText w:val="%1."/>
      <w:lvlJc w:val="left"/>
      <w:pPr>
        <w:tabs>
          <w:tab w:val="num" w:pos="1800"/>
        </w:tabs>
        <w:ind w:left="1800" w:hanging="360"/>
      </w:pPr>
      <w:rPr>
        <w:rFonts w:hint="default"/>
      </w:rPr>
    </w:lvl>
  </w:abstractNum>
  <w:abstractNum w:abstractNumId="2">
    <w:nsid w:val="4F111256"/>
    <w:multiLevelType w:val="hybridMultilevel"/>
    <w:tmpl w:val="475045E4"/>
    <w:lvl w:ilvl="0" w:tplc="0622917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5F74ED"/>
    <w:multiLevelType w:val="hybridMultilevel"/>
    <w:tmpl w:val="E272C4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5962D5"/>
    <w:multiLevelType w:val="hybridMultilevel"/>
    <w:tmpl w:val="C660D6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5568C1"/>
    <w:multiLevelType w:val="hybridMultilevel"/>
    <w:tmpl w:val="E522C8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7C470799"/>
    <w:multiLevelType w:val="hybridMultilevel"/>
    <w:tmpl w:val="4694EE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6"/>
  </w:num>
  <w:num w:numId="5">
    <w:abstractNumId w:val="2"/>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stylePaneFormatFilter w:val="3F01"/>
  <w:defaultTabStop w:val="1440"/>
  <w:drawingGridHorizontalSpacing w:val="130"/>
  <w:displayHorizontalDrawingGridEvery w:val="0"/>
  <w:displayVerticalDrawingGridEvery w:val="0"/>
  <w:noPunctuationKerning/>
  <w:characterSpacingControl w:val="doNotCompress"/>
  <w:hdrShapeDefaults>
    <o:shapedefaults v:ext="edit" spidmax="48130"/>
  </w:hdrShapeDefaults>
  <w:footnotePr>
    <w:footnote w:id="-1"/>
    <w:footnote w:id="0"/>
  </w:footnotePr>
  <w:endnotePr>
    <w:endnote w:id="-1"/>
    <w:endnote w:id="0"/>
  </w:endnotePr>
  <w:compat/>
  <w:rsids>
    <w:rsidRoot w:val="00142BC5"/>
    <w:rsid w:val="00000716"/>
    <w:rsid w:val="00001239"/>
    <w:rsid w:val="0000147F"/>
    <w:rsid w:val="0000437E"/>
    <w:rsid w:val="000057BE"/>
    <w:rsid w:val="000058CB"/>
    <w:rsid w:val="00010022"/>
    <w:rsid w:val="0001266D"/>
    <w:rsid w:val="0002055E"/>
    <w:rsid w:val="00023BE8"/>
    <w:rsid w:val="0002798D"/>
    <w:rsid w:val="00027A53"/>
    <w:rsid w:val="00030649"/>
    <w:rsid w:val="00031D5F"/>
    <w:rsid w:val="00035D7F"/>
    <w:rsid w:val="000401BD"/>
    <w:rsid w:val="00040844"/>
    <w:rsid w:val="000411B3"/>
    <w:rsid w:val="000466E9"/>
    <w:rsid w:val="000467FF"/>
    <w:rsid w:val="0005402D"/>
    <w:rsid w:val="000560A2"/>
    <w:rsid w:val="0005782B"/>
    <w:rsid w:val="000604B5"/>
    <w:rsid w:val="000619B5"/>
    <w:rsid w:val="000629D2"/>
    <w:rsid w:val="00064A09"/>
    <w:rsid w:val="00066D86"/>
    <w:rsid w:val="000761B7"/>
    <w:rsid w:val="00076535"/>
    <w:rsid w:val="0008061B"/>
    <w:rsid w:val="000810DF"/>
    <w:rsid w:val="00082CC2"/>
    <w:rsid w:val="000875C4"/>
    <w:rsid w:val="00091FA2"/>
    <w:rsid w:val="000935CB"/>
    <w:rsid w:val="0009496F"/>
    <w:rsid w:val="0009521E"/>
    <w:rsid w:val="00097C69"/>
    <w:rsid w:val="000A1873"/>
    <w:rsid w:val="000A3BDD"/>
    <w:rsid w:val="000A44A4"/>
    <w:rsid w:val="000A612F"/>
    <w:rsid w:val="000A67A9"/>
    <w:rsid w:val="000A6FCA"/>
    <w:rsid w:val="000B10B0"/>
    <w:rsid w:val="000B30DD"/>
    <w:rsid w:val="000C0E11"/>
    <w:rsid w:val="000C4E0A"/>
    <w:rsid w:val="000C7DF9"/>
    <w:rsid w:val="000D58F3"/>
    <w:rsid w:val="000D7A48"/>
    <w:rsid w:val="000E00D1"/>
    <w:rsid w:val="000E1DF9"/>
    <w:rsid w:val="000E3729"/>
    <w:rsid w:val="000E7312"/>
    <w:rsid w:val="000F036F"/>
    <w:rsid w:val="000F2CA2"/>
    <w:rsid w:val="000F5794"/>
    <w:rsid w:val="000F7A15"/>
    <w:rsid w:val="000F7EA3"/>
    <w:rsid w:val="001116B9"/>
    <w:rsid w:val="00112E89"/>
    <w:rsid w:val="00115431"/>
    <w:rsid w:val="00123A77"/>
    <w:rsid w:val="0012595C"/>
    <w:rsid w:val="00125A2B"/>
    <w:rsid w:val="0013168D"/>
    <w:rsid w:val="00137A57"/>
    <w:rsid w:val="00140F39"/>
    <w:rsid w:val="00142BC5"/>
    <w:rsid w:val="00143014"/>
    <w:rsid w:val="0014564A"/>
    <w:rsid w:val="00145BAA"/>
    <w:rsid w:val="001469C6"/>
    <w:rsid w:val="00146C82"/>
    <w:rsid w:val="00147CD5"/>
    <w:rsid w:val="00150BC8"/>
    <w:rsid w:val="001513A1"/>
    <w:rsid w:val="00153613"/>
    <w:rsid w:val="001553A1"/>
    <w:rsid w:val="001554B4"/>
    <w:rsid w:val="00157464"/>
    <w:rsid w:val="001616B4"/>
    <w:rsid w:val="00161FAC"/>
    <w:rsid w:val="0016437F"/>
    <w:rsid w:val="001645C8"/>
    <w:rsid w:val="00171806"/>
    <w:rsid w:val="001734F8"/>
    <w:rsid w:val="001845F0"/>
    <w:rsid w:val="00185D42"/>
    <w:rsid w:val="00186E30"/>
    <w:rsid w:val="001916DC"/>
    <w:rsid w:val="00196D24"/>
    <w:rsid w:val="001A154B"/>
    <w:rsid w:val="001A6ED8"/>
    <w:rsid w:val="001A7275"/>
    <w:rsid w:val="001B010E"/>
    <w:rsid w:val="001B1DF7"/>
    <w:rsid w:val="001B33CE"/>
    <w:rsid w:val="001B4E4A"/>
    <w:rsid w:val="001C0AE0"/>
    <w:rsid w:val="001C1215"/>
    <w:rsid w:val="001C6D9C"/>
    <w:rsid w:val="001D2F09"/>
    <w:rsid w:val="001D55C4"/>
    <w:rsid w:val="001E3F0D"/>
    <w:rsid w:val="001E4DBF"/>
    <w:rsid w:val="001F6947"/>
    <w:rsid w:val="001F79D9"/>
    <w:rsid w:val="002027F9"/>
    <w:rsid w:val="00203093"/>
    <w:rsid w:val="00205563"/>
    <w:rsid w:val="002057A8"/>
    <w:rsid w:val="00210220"/>
    <w:rsid w:val="002102D8"/>
    <w:rsid w:val="0021122D"/>
    <w:rsid w:val="00212260"/>
    <w:rsid w:val="00215335"/>
    <w:rsid w:val="00220D97"/>
    <w:rsid w:val="00221B90"/>
    <w:rsid w:val="00221DCB"/>
    <w:rsid w:val="00221EA2"/>
    <w:rsid w:val="00222BF7"/>
    <w:rsid w:val="00223F64"/>
    <w:rsid w:val="00226421"/>
    <w:rsid w:val="002303F8"/>
    <w:rsid w:val="00230718"/>
    <w:rsid w:val="00232E90"/>
    <w:rsid w:val="002402FF"/>
    <w:rsid w:val="00246E6C"/>
    <w:rsid w:val="00253786"/>
    <w:rsid w:val="00253B00"/>
    <w:rsid w:val="00254977"/>
    <w:rsid w:val="00255EA6"/>
    <w:rsid w:val="00256109"/>
    <w:rsid w:val="0026008D"/>
    <w:rsid w:val="002622B5"/>
    <w:rsid w:val="00262699"/>
    <w:rsid w:val="00263815"/>
    <w:rsid w:val="0026515E"/>
    <w:rsid w:val="00270ACF"/>
    <w:rsid w:val="002728A2"/>
    <w:rsid w:val="00273F52"/>
    <w:rsid w:val="002748AC"/>
    <w:rsid w:val="00275DC5"/>
    <w:rsid w:val="00286323"/>
    <w:rsid w:val="0028797B"/>
    <w:rsid w:val="00292047"/>
    <w:rsid w:val="002950D9"/>
    <w:rsid w:val="002B232D"/>
    <w:rsid w:val="002B2A52"/>
    <w:rsid w:val="002C224F"/>
    <w:rsid w:val="002C3A08"/>
    <w:rsid w:val="002C3B96"/>
    <w:rsid w:val="002C3E86"/>
    <w:rsid w:val="002C45AC"/>
    <w:rsid w:val="002C4DF4"/>
    <w:rsid w:val="002D5704"/>
    <w:rsid w:val="002E2AA0"/>
    <w:rsid w:val="002E3D1D"/>
    <w:rsid w:val="002E550E"/>
    <w:rsid w:val="002F0029"/>
    <w:rsid w:val="002F15E8"/>
    <w:rsid w:val="002F4553"/>
    <w:rsid w:val="002F4E0B"/>
    <w:rsid w:val="003019ED"/>
    <w:rsid w:val="00304B0E"/>
    <w:rsid w:val="00310A02"/>
    <w:rsid w:val="00314768"/>
    <w:rsid w:val="00323549"/>
    <w:rsid w:val="00323555"/>
    <w:rsid w:val="00323D5F"/>
    <w:rsid w:val="0033011E"/>
    <w:rsid w:val="003306A5"/>
    <w:rsid w:val="00332D23"/>
    <w:rsid w:val="00333CF2"/>
    <w:rsid w:val="00337B42"/>
    <w:rsid w:val="00346C6F"/>
    <w:rsid w:val="003501F3"/>
    <w:rsid w:val="003531E1"/>
    <w:rsid w:val="00355DA6"/>
    <w:rsid w:val="00356BDF"/>
    <w:rsid w:val="00365433"/>
    <w:rsid w:val="00367A2C"/>
    <w:rsid w:val="00376921"/>
    <w:rsid w:val="00381BB8"/>
    <w:rsid w:val="00384B20"/>
    <w:rsid w:val="00386ACB"/>
    <w:rsid w:val="00391D30"/>
    <w:rsid w:val="003A1670"/>
    <w:rsid w:val="003A3DA1"/>
    <w:rsid w:val="003A54B3"/>
    <w:rsid w:val="003A6175"/>
    <w:rsid w:val="003A6318"/>
    <w:rsid w:val="003B03A2"/>
    <w:rsid w:val="003B1455"/>
    <w:rsid w:val="003B15EF"/>
    <w:rsid w:val="003B4DE5"/>
    <w:rsid w:val="003C00F3"/>
    <w:rsid w:val="003C59E0"/>
    <w:rsid w:val="003C7E2A"/>
    <w:rsid w:val="003D0B67"/>
    <w:rsid w:val="003D22ED"/>
    <w:rsid w:val="003D394A"/>
    <w:rsid w:val="003D68B6"/>
    <w:rsid w:val="003D6CFE"/>
    <w:rsid w:val="003D724F"/>
    <w:rsid w:val="003D76B0"/>
    <w:rsid w:val="003E1E70"/>
    <w:rsid w:val="003E2801"/>
    <w:rsid w:val="003E6BFA"/>
    <w:rsid w:val="003E780C"/>
    <w:rsid w:val="004045C8"/>
    <w:rsid w:val="00411889"/>
    <w:rsid w:val="00411FB9"/>
    <w:rsid w:val="004120EC"/>
    <w:rsid w:val="004146DA"/>
    <w:rsid w:val="00421F04"/>
    <w:rsid w:val="004233A6"/>
    <w:rsid w:val="004240A9"/>
    <w:rsid w:val="004277ED"/>
    <w:rsid w:val="00432399"/>
    <w:rsid w:val="004324B3"/>
    <w:rsid w:val="00433DD1"/>
    <w:rsid w:val="0043557E"/>
    <w:rsid w:val="00440BEF"/>
    <w:rsid w:val="00445DEB"/>
    <w:rsid w:val="00450683"/>
    <w:rsid w:val="00452F9D"/>
    <w:rsid w:val="00457531"/>
    <w:rsid w:val="00460768"/>
    <w:rsid w:val="004638B0"/>
    <w:rsid w:val="00464D12"/>
    <w:rsid w:val="0046518B"/>
    <w:rsid w:val="0046694B"/>
    <w:rsid w:val="00473E79"/>
    <w:rsid w:val="004742FA"/>
    <w:rsid w:val="0048010F"/>
    <w:rsid w:val="00481060"/>
    <w:rsid w:val="004845E6"/>
    <w:rsid w:val="004876CD"/>
    <w:rsid w:val="00491437"/>
    <w:rsid w:val="004933B1"/>
    <w:rsid w:val="00495815"/>
    <w:rsid w:val="00496598"/>
    <w:rsid w:val="00497C85"/>
    <w:rsid w:val="004B34CF"/>
    <w:rsid w:val="004B517A"/>
    <w:rsid w:val="004B590F"/>
    <w:rsid w:val="004B5BC0"/>
    <w:rsid w:val="004B782E"/>
    <w:rsid w:val="004C034D"/>
    <w:rsid w:val="004C511D"/>
    <w:rsid w:val="004D2B0E"/>
    <w:rsid w:val="004E03A6"/>
    <w:rsid w:val="004E134D"/>
    <w:rsid w:val="004E2EE5"/>
    <w:rsid w:val="004E41B9"/>
    <w:rsid w:val="004E5E88"/>
    <w:rsid w:val="004E65A7"/>
    <w:rsid w:val="004E76E2"/>
    <w:rsid w:val="004F1ABF"/>
    <w:rsid w:val="004F49E4"/>
    <w:rsid w:val="004F6545"/>
    <w:rsid w:val="005026A1"/>
    <w:rsid w:val="00503410"/>
    <w:rsid w:val="00506BA2"/>
    <w:rsid w:val="00507E71"/>
    <w:rsid w:val="0051337B"/>
    <w:rsid w:val="00513DBA"/>
    <w:rsid w:val="005148EE"/>
    <w:rsid w:val="00516D09"/>
    <w:rsid w:val="00520955"/>
    <w:rsid w:val="00526C46"/>
    <w:rsid w:val="00531733"/>
    <w:rsid w:val="00541848"/>
    <w:rsid w:val="005420D9"/>
    <w:rsid w:val="00545488"/>
    <w:rsid w:val="00552A81"/>
    <w:rsid w:val="00556DDC"/>
    <w:rsid w:val="0056059A"/>
    <w:rsid w:val="0056094C"/>
    <w:rsid w:val="00562FFD"/>
    <w:rsid w:val="00566C5B"/>
    <w:rsid w:val="00570BA8"/>
    <w:rsid w:val="00572904"/>
    <w:rsid w:val="00576E8E"/>
    <w:rsid w:val="0057747F"/>
    <w:rsid w:val="00581B75"/>
    <w:rsid w:val="00582614"/>
    <w:rsid w:val="0058378F"/>
    <w:rsid w:val="005907C0"/>
    <w:rsid w:val="005930F9"/>
    <w:rsid w:val="00593A16"/>
    <w:rsid w:val="005967AA"/>
    <w:rsid w:val="00597AFB"/>
    <w:rsid w:val="005A1035"/>
    <w:rsid w:val="005A241A"/>
    <w:rsid w:val="005A2C45"/>
    <w:rsid w:val="005A333A"/>
    <w:rsid w:val="005A5F4F"/>
    <w:rsid w:val="005A6C6D"/>
    <w:rsid w:val="005B219D"/>
    <w:rsid w:val="005B236F"/>
    <w:rsid w:val="005C182A"/>
    <w:rsid w:val="005C2FE0"/>
    <w:rsid w:val="005C6EB0"/>
    <w:rsid w:val="005D2160"/>
    <w:rsid w:val="005D23AC"/>
    <w:rsid w:val="005D4BBC"/>
    <w:rsid w:val="005D7DF3"/>
    <w:rsid w:val="005E18D9"/>
    <w:rsid w:val="005E1C6C"/>
    <w:rsid w:val="005E2669"/>
    <w:rsid w:val="005E2862"/>
    <w:rsid w:val="005E3963"/>
    <w:rsid w:val="005F1DC0"/>
    <w:rsid w:val="005F2194"/>
    <w:rsid w:val="005F26E8"/>
    <w:rsid w:val="005F2B08"/>
    <w:rsid w:val="005F52DA"/>
    <w:rsid w:val="00600535"/>
    <w:rsid w:val="0060144D"/>
    <w:rsid w:val="00601803"/>
    <w:rsid w:val="00601D56"/>
    <w:rsid w:val="00606DAB"/>
    <w:rsid w:val="006103BB"/>
    <w:rsid w:val="00617480"/>
    <w:rsid w:val="0062244F"/>
    <w:rsid w:val="0063052E"/>
    <w:rsid w:val="00635AA5"/>
    <w:rsid w:val="00636FAE"/>
    <w:rsid w:val="006421D6"/>
    <w:rsid w:val="006443E3"/>
    <w:rsid w:val="0064622F"/>
    <w:rsid w:val="00646CC7"/>
    <w:rsid w:val="00647953"/>
    <w:rsid w:val="0065044F"/>
    <w:rsid w:val="00652562"/>
    <w:rsid w:val="00655965"/>
    <w:rsid w:val="0066051E"/>
    <w:rsid w:val="0066082A"/>
    <w:rsid w:val="006625E5"/>
    <w:rsid w:val="0066610F"/>
    <w:rsid w:val="00666333"/>
    <w:rsid w:val="00671382"/>
    <w:rsid w:val="006730D2"/>
    <w:rsid w:val="006765E0"/>
    <w:rsid w:val="006776F9"/>
    <w:rsid w:val="006808EF"/>
    <w:rsid w:val="0068331C"/>
    <w:rsid w:val="00683BC1"/>
    <w:rsid w:val="00683F38"/>
    <w:rsid w:val="006842AB"/>
    <w:rsid w:val="00686A07"/>
    <w:rsid w:val="00686AEE"/>
    <w:rsid w:val="00687B89"/>
    <w:rsid w:val="00691EF2"/>
    <w:rsid w:val="006976ED"/>
    <w:rsid w:val="006979A8"/>
    <w:rsid w:val="006A37BE"/>
    <w:rsid w:val="006A6928"/>
    <w:rsid w:val="006A70DE"/>
    <w:rsid w:val="006A7DCB"/>
    <w:rsid w:val="006B0D93"/>
    <w:rsid w:val="006B50C7"/>
    <w:rsid w:val="006B5E08"/>
    <w:rsid w:val="006C42C8"/>
    <w:rsid w:val="006C5B3D"/>
    <w:rsid w:val="006C6DF8"/>
    <w:rsid w:val="006D1D28"/>
    <w:rsid w:val="006D5027"/>
    <w:rsid w:val="006D7C28"/>
    <w:rsid w:val="006E14E2"/>
    <w:rsid w:val="006E4AF5"/>
    <w:rsid w:val="006F0B7B"/>
    <w:rsid w:val="006F2BC6"/>
    <w:rsid w:val="006F353F"/>
    <w:rsid w:val="006F3F1A"/>
    <w:rsid w:val="006F594E"/>
    <w:rsid w:val="00700478"/>
    <w:rsid w:val="00705F68"/>
    <w:rsid w:val="00706706"/>
    <w:rsid w:val="00707C99"/>
    <w:rsid w:val="007163C3"/>
    <w:rsid w:val="00721738"/>
    <w:rsid w:val="00721B40"/>
    <w:rsid w:val="00722F2B"/>
    <w:rsid w:val="007261E3"/>
    <w:rsid w:val="00727F3A"/>
    <w:rsid w:val="00732391"/>
    <w:rsid w:val="007364EF"/>
    <w:rsid w:val="007378E4"/>
    <w:rsid w:val="00737ED9"/>
    <w:rsid w:val="00742309"/>
    <w:rsid w:val="0074415F"/>
    <w:rsid w:val="00746968"/>
    <w:rsid w:val="00747E7B"/>
    <w:rsid w:val="00754042"/>
    <w:rsid w:val="007548C8"/>
    <w:rsid w:val="00754F43"/>
    <w:rsid w:val="007557BE"/>
    <w:rsid w:val="00756BA3"/>
    <w:rsid w:val="00757406"/>
    <w:rsid w:val="00761B5B"/>
    <w:rsid w:val="00762812"/>
    <w:rsid w:val="007661D0"/>
    <w:rsid w:val="007703F6"/>
    <w:rsid w:val="007772A2"/>
    <w:rsid w:val="007822B3"/>
    <w:rsid w:val="00782C54"/>
    <w:rsid w:val="00792BDD"/>
    <w:rsid w:val="007A13DB"/>
    <w:rsid w:val="007A4D04"/>
    <w:rsid w:val="007A6725"/>
    <w:rsid w:val="007B0C7C"/>
    <w:rsid w:val="007B16CB"/>
    <w:rsid w:val="007B3DA6"/>
    <w:rsid w:val="007B602D"/>
    <w:rsid w:val="007B6138"/>
    <w:rsid w:val="007B6F33"/>
    <w:rsid w:val="007C0D0F"/>
    <w:rsid w:val="007C1D59"/>
    <w:rsid w:val="007C5B33"/>
    <w:rsid w:val="007C6484"/>
    <w:rsid w:val="007D05C8"/>
    <w:rsid w:val="007D0ACA"/>
    <w:rsid w:val="007D4C22"/>
    <w:rsid w:val="007D5632"/>
    <w:rsid w:val="007D5F90"/>
    <w:rsid w:val="007E122C"/>
    <w:rsid w:val="007E4598"/>
    <w:rsid w:val="007E64AE"/>
    <w:rsid w:val="007E6CBC"/>
    <w:rsid w:val="007F0DB0"/>
    <w:rsid w:val="007F5A7F"/>
    <w:rsid w:val="007F6A45"/>
    <w:rsid w:val="007F6F9C"/>
    <w:rsid w:val="007F797E"/>
    <w:rsid w:val="008022D6"/>
    <w:rsid w:val="00811C5F"/>
    <w:rsid w:val="008207A9"/>
    <w:rsid w:val="00820C1D"/>
    <w:rsid w:val="0082505A"/>
    <w:rsid w:val="00832273"/>
    <w:rsid w:val="00832B9A"/>
    <w:rsid w:val="00834A3D"/>
    <w:rsid w:val="008401CC"/>
    <w:rsid w:val="00842A22"/>
    <w:rsid w:val="00843A89"/>
    <w:rsid w:val="00854CA1"/>
    <w:rsid w:val="00855B67"/>
    <w:rsid w:val="008562BA"/>
    <w:rsid w:val="00860DCD"/>
    <w:rsid w:val="00861BFF"/>
    <w:rsid w:val="00866F18"/>
    <w:rsid w:val="008679E1"/>
    <w:rsid w:val="00867B6E"/>
    <w:rsid w:val="00867BC2"/>
    <w:rsid w:val="00867C6A"/>
    <w:rsid w:val="008718ED"/>
    <w:rsid w:val="00872C9E"/>
    <w:rsid w:val="00873112"/>
    <w:rsid w:val="00874832"/>
    <w:rsid w:val="008754FE"/>
    <w:rsid w:val="00876B10"/>
    <w:rsid w:val="00876C2F"/>
    <w:rsid w:val="008901C6"/>
    <w:rsid w:val="00892FF3"/>
    <w:rsid w:val="00894F25"/>
    <w:rsid w:val="0089639F"/>
    <w:rsid w:val="00896972"/>
    <w:rsid w:val="0089742F"/>
    <w:rsid w:val="008A0314"/>
    <w:rsid w:val="008A304A"/>
    <w:rsid w:val="008B0BC0"/>
    <w:rsid w:val="008B0CBA"/>
    <w:rsid w:val="008B4264"/>
    <w:rsid w:val="008C276F"/>
    <w:rsid w:val="008C2D12"/>
    <w:rsid w:val="008C5A5B"/>
    <w:rsid w:val="008D13D1"/>
    <w:rsid w:val="008D37C4"/>
    <w:rsid w:val="008D3A46"/>
    <w:rsid w:val="008E2E7B"/>
    <w:rsid w:val="008E36C3"/>
    <w:rsid w:val="008E558B"/>
    <w:rsid w:val="008E694E"/>
    <w:rsid w:val="008F2295"/>
    <w:rsid w:val="008F5EE4"/>
    <w:rsid w:val="008F72EC"/>
    <w:rsid w:val="00906105"/>
    <w:rsid w:val="00906D1E"/>
    <w:rsid w:val="00912159"/>
    <w:rsid w:val="00916839"/>
    <w:rsid w:val="00930DA1"/>
    <w:rsid w:val="00932A92"/>
    <w:rsid w:val="00933CFE"/>
    <w:rsid w:val="00935555"/>
    <w:rsid w:val="00937AEF"/>
    <w:rsid w:val="009424F1"/>
    <w:rsid w:val="0095004A"/>
    <w:rsid w:val="0095220B"/>
    <w:rsid w:val="00953E9D"/>
    <w:rsid w:val="00957344"/>
    <w:rsid w:val="009578B6"/>
    <w:rsid w:val="009602FB"/>
    <w:rsid w:val="00960D72"/>
    <w:rsid w:val="009624F2"/>
    <w:rsid w:val="00962505"/>
    <w:rsid w:val="00965BB8"/>
    <w:rsid w:val="00967CA8"/>
    <w:rsid w:val="00975B9F"/>
    <w:rsid w:val="009809BC"/>
    <w:rsid w:val="0098263F"/>
    <w:rsid w:val="00982E23"/>
    <w:rsid w:val="00985CF9"/>
    <w:rsid w:val="009869B7"/>
    <w:rsid w:val="00993097"/>
    <w:rsid w:val="00997309"/>
    <w:rsid w:val="009978EE"/>
    <w:rsid w:val="009A0982"/>
    <w:rsid w:val="009A0E18"/>
    <w:rsid w:val="009A33FF"/>
    <w:rsid w:val="009B0B57"/>
    <w:rsid w:val="009C0C44"/>
    <w:rsid w:val="009C3896"/>
    <w:rsid w:val="009C4861"/>
    <w:rsid w:val="009D0A88"/>
    <w:rsid w:val="009D1FE5"/>
    <w:rsid w:val="009D29DF"/>
    <w:rsid w:val="009D6FEA"/>
    <w:rsid w:val="009E2692"/>
    <w:rsid w:val="009E7B54"/>
    <w:rsid w:val="009F01AD"/>
    <w:rsid w:val="009F1E7F"/>
    <w:rsid w:val="009F2310"/>
    <w:rsid w:val="009F5BB0"/>
    <w:rsid w:val="009F6E2F"/>
    <w:rsid w:val="00A007D7"/>
    <w:rsid w:val="00A02B87"/>
    <w:rsid w:val="00A05811"/>
    <w:rsid w:val="00A05AF6"/>
    <w:rsid w:val="00A05D4B"/>
    <w:rsid w:val="00A078DA"/>
    <w:rsid w:val="00A13342"/>
    <w:rsid w:val="00A2382D"/>
    <w:rsid w:val="00A24A78"/>
    <w:rsid w:val="00A33965"/>
    <w:rsid w:val="00A34E25"/>
    <w:rsid w:val="00A36148"/>
    <w:rsid w:val="00A502BD"/>
    <w:rsid w:val="00A530E1"/>
    <w:rsid w:val="00A55104"/>
    <w:rsid w:val="00A555A6"/>
    <w:rsid w:val="00A708A1"/>
    <w:rsid w:val="00A72E96"/>
    <w:rsid w:val="00A73DD0"/>
    <w:rsid w:val="00A7481F"/>
    <w:rsid w:val="00A7500E"/>
    <w:rsid w:val="00A75FF5"/>
    <w:rsid w:val="00A761D9"/>
    <w:rsid w:val="00A8013C"/>
    <w:rsid w:val="00A80560"/>
    <w:rsid w:val="00A818F0"/>
    <w:rsid w:val="00A83F50"/>
    <w:rsid w:val="00A86E74"/>
    <w:rsid w:val="00A900FD"/>
    <w:rsid w:val="00A92423"/>
    <w:rsid w:val="00A943CD"/>
    <w:rsid w:val="00AA0402"/>
    <w:rsid w:val="00AA2F93"/>
    <w:rsid w:val="00AA31DE"/>
    <w:rsid w:val="00AA486A"/>
    <w:rsid w:val="00AA4FC6"/>
    <w:rsid w:val="00AA522D"/>
    <w:rsid w:val="00AB0852"/>
    <w:rsid w:val="00AB0B44"/>
    <w:rsid w:val="00AB21F8"/>
    <w:rsid w:val="00AB3E5B"/>
    <w:rsid w:val="00AB6619"/>
    <w:rsid w:val="00AC1019"/>
    <w:rsid w:val="00AC5726"/>
    <w:rsid w:val="00AD2CE0"/>
    <w:rsid w:val="00AD3C2D"/>
    <w:rsid w:val="00AD48E7"/>
    <w:rsid w:val="00AD7621"/>
    <w:rsid w:val="00AD798B"/>
    <w:rsid w:val="00AD7B0F"/>
    <w:rsid w:val="00AD7E0E"/>
    <w:rsid w:val="00AE34CA"/>
    <w:rsid w:val="00AE5593"/>
    <w:rsid w:val="00AE6200"/>
    <w:rsid w:val="00AF2E99"/>
    <w:rsid w:val="00AF5327"/>
    <w:rsid w:val="00AF6B2C"/>
    <w:rsid w:val="00B00FD8"/>
    <w:rsid w:val="00B02318"/>
    <w:rsid w:val="00B05306"/>
    <w:rsid w:val="00B07C00"/>
    <w:rsid w:val="00B1062D"/>
    <w:rsid w:val="00B10ABF"/>
    <w:rsid w:val="00B10C5D"/>
    <w:rsid w:val="00B12034"/>
    <w:rsid w:val="00B1355B"/>
    <w:rsid w:val="00B24EC5"/>
    <w:rsid w:val="00B27DB9"/>
    <w:rsid w:val="00B31564"/>
    <w:rsid w:val="00B31AC0"/>
    <w:rsid w:val="00B41C2C"/>
    <w:rsid w:val="00B435E6"/>
    <w:rsid w:val="00B44209"/>
    <w:rsid w:val="00B44857"/>
    <w:rsid w:val="00B572A4"/>
    <w:rsid w:val="00B600A6"/>
    <w:rsid w:val="00B6202B"/>
    <w:rsid w:val="00B6464F"/>
    <w:rsid w:val="00B70087"/>
    <w:rsid w:val="00B71F03"/>
    <w:rsid w:val="00B74583"/>
    <w:rsid w:val="00B74931"/>
    <w:rsid w:val="00B808A6"/>
    <w:rsid w:val="00B80A42"/>
    <w:rsid w:val="00B80F79"/>
    <w:rsid w:val="00B818EC"/>
    <w:rsid w:val="00B820A5"/>
    <w:rsid w:val="00B83CF0"/>
    <w:rsid w:val="00B8474E"/>
    <w:rsid w:val="00B862EA"/>
    <w:rsid w:val="00B87579"/>
    <w:rsid w:val="00B87E89"/>
    <w:rsid w:val="00B912C6"/>
    <w:rsid w:val="00B9477C"/>
    <w:rsid w:val="00B94FF7"/>
    <w:rsid w:val="00BA16E7"/>
    <w:rsid w:val="00BA4BF7"/>
    <w:rsid w:val="00BA6407"/>
    <w:rsid w:val="00BC5E01"/>
    <w:rsid w:val="00BC5E5D"/>
    <w:rsid w:val="00BC7B16"/>
    <w:rsid w:val="00BC7EEE"/>
    <w:rsid w:val="00BD18DC"/>
    <w:rsid w:val="00BD2508"/>
    <w:rsid w:val="00BD4CA4"/>
    <w:rsid w:val="00BD594F"/>
    <w:rsid w:val="00BD6181"/>
    <w:rsid w:val="00BD761D"/>
    <w:rsid w:val="00BE13AE"/>
    <w:rsid w:val="00BE4E16"/>
    <w:rsid w:val="00BE4E5E"/>
    <w:rsid w:val="00BF25D1"/>
    <w:rsid w:val="00BF2DC8"/>
    <w:rsid w:val="00BF3354"/>
    <w:rsid w:val="00BF3532"/>
    <w:rsid w:val="00BF4934"/>
    <w:rsid w:val="00BF4D4D"/>
    <w:rsid w:val="00BF7B07"/>
    <w:rsid w:val="00BF7CED"/>
    <w:rsid w:val="00C02835"/>
    <w:rsid w:val="00C0349C"/>
    <w:rsid w:val="00C044E7"/>
    <w:rsid w:val="00C0763E"/>
    <w:rsid w:val="00C11BB7"/>
    <w:rsid w:val="00C15BA3"/>
    <w:rsid w:val="00C23CD5"/>
    <w:rsid w:val="00C33326"/>
    <w:rsid w:val="00C40D8B"/>
    <w:rsid w:val="00C41B5D"/>
    <w:rsid w:val="00C42A6E"/>
    <w:rsid w:val="00C52F5F"/>
    <w:rsid w:val="00C55D00"/>
    <w:rsid w:val="00C62CE8"/>
    <w:rsid w:val="00C63820"/>
    <w:rsid w:val="00C64100"/>
    <w:rsid w:val="00C64EDB"/>
    <w:rsid w:val="00C67675"/>
    <w:rsid w:val="00C72C83"/>
    <w:rsid w:val="00C8035C"/>
    <w:rsid w:val="00C812C8"/>
    <w:rsid w:val="00C83BC4"/>
    <w:rsid w:val="00C8403D"/>
    <w:rsid w:val="00CA101A"/>
    <w:rsid w:val="00CA155A"/>
    <w:rsid w:val="00CA1F95"/>
    <w:rsid w:val="00CA3D21"/>
    <w:rsid w:val="00CA4487"/>
    <w:rsid w:val="00CB277B"/>
    <w:rsid w:val="00CB342D"/>
    <w:rsid w:val="00CB7061"/>
    <w:rsid w:val="00CB7FED"/>
    <w:rsid w:val="00CC14C3"/>
    <w:rsid w:val="00CC1905"/>
    <w:rsid w:val="00CC4BF0"/>
    <w:rsid w:val="00CC7D49"/>
    <w:rsid w:val="00CD1D82"/>
    <w:rsid w:val="00CD2ECF"/>
    <w:rsid w:val="00CD4C03"/>
    <w:rsid w:val="00CE081F"/>
    <w:rsid w:val="00CE7D79"/>
    <w:rsid w:val="00CF1D77"/>
    <w:rsid w:val="00CF3BDF"/>
    <w:rsid w:val="00CF551D"/>
    <w:rsid w:val="00D0055B"/>
    <w:rsid w:val="00D00CB0"/>
    <w:rsid w:val="00D010EB"/>
    <w:rsid w:val="00D012D1"/>
    <w:rsid w:val="00D02572"/>
    <w:rsid w:val="00D031AF"/>
    <w:rsid w:val="00D049C6"/>
    <w:rsid w:val="00D057E7"/>
    <w:rsid w:val="00D074D6"/>
    <w:rsid w:val="00D1154B"/>
    <w:rsid w:val="00D127D3"/>
    <w:rsid w:val="00D12B1D"/>
    <w:rsid w:val="00D14B30"/>
    <w:rsid w:val="00D15BBF"/>
    <w:rsid w:val="00D15D60"/>
    <w:rsid w:val="00D16ADA"/>
    <w:rsid w:val="00D2033E"/>
    <w:rsid w:val="00D2194F"/>
    <w:rsid w:val="00D220F3"/>
    <w:rsid w:val="00D238A6"/>
    <w:rsid w:val="00D2696D"/>
    <w:rsid w:val="00D301A0"/>
    <w:rsid w:val="00D33917"/>
    <w:rsid w:val="00D35FDA"/>
    <w:rsid w:val="00D36289"/>
    <w:rsid w:val="00D36F26"/>
    <w:rsid w:val="00D37DB3"/>
    <w:rsid w:val="00D37E45"/>
    <w:rsid w:val="00D454F3"/>
    <w:rsid w:val="00D478BF"/>
    <w:rsid w:val="00D51EDF"/>
    <w:rsid w:val="00D55BF6"/>
    <w:rsid w:val="00D56B61"/>
    <w:rsid w:val="00D61C19"/>
    <w:rsid w:val="00D651C3"/>
    <w:rsid w:val="00D6633F"/>
    <w:rsid w:val="00D66C9D"/>
    <w:rsid w:val="00D74D33"/>
    <w:rsid w:val="00D75C14"/>
    <w:rsid w:val="00D76771"/>
    <w:rsid w:val="00D77768"/>
    <w:rsid w:val="00D802EA"/>
    <w:rsid w:val="00D806C4"/>
    <w:rsid w:val="00D82360"/>
    <w:rsid w:val="00D84308"/>
    <w:rsid w:val="00D85268"/>
    <w:rsid w:val="00D85FC4"/>
    <w:rsid w:val="00D909D7"/>
    <w:rsid w:val="00D93979"/>
    <w:rsid w:val="00D96D62"/>
    <w:rsid w:val="00DA1A68"/>
    <w:rsid w:val="00DA5EF0"/>
    <w:rsid w:val="00DA70FC"/>
    <w:rsid w:val="00DB1922"/>
    <w:rsid w:val="00DC1D88"/>
    <w:rsid w:val="00DC6249"/>
    <w:rsid w:val="00DD125B"/>
    <w:rsid w:val="00DD2098"/>
    <w:rsid w:val="00DD3EC5"/>
    <w:rsid w:val="00DD4B2D"/>
    <w:rsid w:val="00DE438F"/>
    <w:rsid w:val="00DE6CD8"/>
    <w:rsid w:val="00DF0A21"/>
    <w:rsid w:val="00DF43BB"/>
    <w:rsid w:val="00DF541D"/>
    <w:rsid w:val="00DF5BDA"/>
    <w:rsid w:val="00E013EF"/>
    <w:rsid w:val="00E01A29"/>
    <w:rsid w:val="00E064E3"/>
    <w:rsid w:val="00E06C0C"/>
    <w:rsid w:val="00E14C1C"/>
    <w:rsid w:val="00E16A07"/>
    <w:rsid w:val="00E26D2C"/>
    <w:rsid w:val="00E33096"/>
    <w:rsid w:val="00E3416D"/>
    <w:rsid w:val="00E34D15"/>
    <w:rsid w:val="00E37998"/>
    <w:rsid w:val="00E44CD1"/>
    <w:rsid w:val="00E44E76"/>
    <w:rsid w:val="00E4556D"/>
    <w:rsid w:val="00E512D0"/>
    <w:rsid w:val="00E517CF"/>
    <w:rsid w:val="00E55F00"/>
    <w:rsid w:val="00E57A0A"/>
    <w:rsid w:val="00E62603"/>
    <w:rsid w:val="00E62A9F"/>
    <w:rsid w:val="00E65702"/>
    <w:rsid w:val="00E70091"/>
    <w:rsid w:val="00E70CB3"/>
    <w:rsid w:val="00E715B7"/>
    <w:rsid w:val="00E72258"/>
    <w:rsid w:val="00E724F0"/>
    <w:rsid w:val="00E73A65"/>
    <w:rsid w:val="00E8555F"/>
    <w:rsid w:val="00E861DB"/>
    <w:rsid w:val="00EA20FB"/>
    <w:rsid w:val="00EA3F29"/>
    <w:rsid w:val="00EA612D"/>
    <w:rsid w:val="00EA68D0"/>
    <w:rsid w:val="00EB093F"/>
    <w:rsid w:val="00EB2A92"/>
    <w:rsid w:val="00EB741E"/>
    <w:rsid w:val="00EB7DC6"/>
    <w:rsid w:val="00EC0429"/>
    <w:rsid w:val="00EC3F40"/>
    <w:rsid w:val="00EC64EF"/>
    <w:rsid w:val="00ED1F52"/>
    <w:rsid w:val="00EE171B"/>
    <w:rsid w:val="00EE2E3C"/>
    <w:rsid w:val="00EF17CD"/>
    <w:rsid w:val="00EF37A2"/>
    <w:rsid w:val="00EF57A6"/>
    <w:rsid w:val="00EF5C01"/>
    <w:rsid w:val="00F00089"/>
    <w:rsid w:val="00F000E8"/>
    <w:rsid w:val="00F00F2E"/>
    <w:rsid w:val="00F01E1C"/>
    <w:rsid w:val="00F02628"/>
    <w:rsid w:val="00F1489D"/>
    <w:rsid w:val="00F14DA7"/>
    <w:rsid w:val="00F16EF0"/>
    <w:rsid w:val="00F2502B"/>
    <w:rsid w:val="00F32EFC"/>
    <w:rsid w:val="00F32FF7"/>
    <w:rsid w:val="00F362B2"/>
    <w:rsid w:val="00F40B0B"/>
    <w:rsid w:val="00F445BF"/>
    <w:rsid w:val="00F469D2"/>
    <w:rsid w:val="00F47908"/>
    <w:rsid w:val="00F50C46"/>
    <w:rsid w:val="00F54C01"/>
    <w:rsid w:val="00F5773C"/>
    <w:rsid w:val="00F578E6"/>
    <w:rsid w:val="00F57C93"/>
    <w:rsid w:val="00F6198D"/>
    <w:rsid w:val="00F64D77"/>
    <w:rsid w:val="00F750D3"/>
    <w:rsid w:val="00F75E45"/>
    <w:rsid w:val="00F81A33"/>
    <w:rsid w:val="00F8211E"/>
    <w:rsid w:val="00F84CC9"/>
    <w:rsid w:val="00F926ED"/>
    <w:rsid w:val="00FA12F6"/>
    <w:rsid w:val="00FA1E1D"/>
    <w:rsid w:val="00FA27A7"/>
    <w:rsid w:val="00FA4989"/>
    <w:rsid w:val="00FA6051"/>
    <w:rsid w:val="00FB0091"/>
    <w:rsid w:val="00FB290C"/>
    <w:rsid w:val="00FB4100"/>
    <w:rsid w:val="00FB5CE4"/>
    <w:rsid w:val="00FB6D12"/>
    <w:rsid w:val="00FC1558"/>
    <w:rsid w:val="00FC1DA6"/>
    <w:rsid w:val="00FC4370"/>
    <w:rsid w:val="00FC45DD"/>
    <w:rsid w:val="00FC4A65"/>
    <w:rsid w:val="00FC6877"/>
    <w:rsid w:val="00FC6B38"/>
    <w:rsid w:val="00FC7C23"/>
    <w:rsid w:val="00FD041A"/>
    <w:rsid w:val="00FD0A5F"/>
    <w:rsid w:val="00FD37DC"/>
    <w:rsid w:val="00FE1015"/>
    <w:rsid w:val="00FE3664"/>
    <w:rsid w:val="00FE3739"/>
    <w:rsid w:val="00FF1F05"/>
    <w:rsid w:val="00FF297D"/>
    <w:rsid w:val="00FF2A66"/>
    <w:rsid w:val="00FF4A3A"/>
    <w:rsid w:val="00FF58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6BA3"/>
    <w:rPr>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6BA3"/>
    <w:pPr>
      <w:tabs>
        <w:tab w:val="center" w:pos="4320"/>
        <w:tab w:val="right" w:pos="8640"/>
      </w:tabs>
    </w:pPr>
  </w:style>
  <w:style w:type="paragraph" w:styleId="Footer">
    <w:name w:val="footer"/>
    <w:basedOn w:val="Normal"/>
    <w:link w:val="FooterChar"/>
    <w:uiPriority w:val="99"/>
    <w:rsid w:val="00756BA3"/>
    <w:pPr>
      <w:tabs>
        <w:tab w:val="center" w:pos="4320"/>
        <w:tab w:val="right" w:pos="8640"/>
      </w:tabs>
    </w:pPr>
  </w:style>
  <w:style w:type="character" w:styleId="PageNumber">
    <w:name w:val="page number"/>
    <w:basedOn w:val="DefaultParagraphFont"/>
    <w:rsid w:val="00756BA3"/>
  </w:style>
  <w:style w:type="paragraph" w:styleId="FootnoteText">
    <w:name w:val="footnote text"/>
    <w:basedOn w:val="Normal"/>
    <w:semiHidden/>
    <w:rsid w:val="00756BA3"/>
    <w:rPr>
      <w:sz w:val="20"/>
    </w:rPr>
  </w:style>
  <w:style w:type="character" w:styleId="FootnoteReference">
    <w:name w:val="footnote reference"/>
    <w:basedOn w:val="DefaultParagraphFont"/>
    <w:semiHidden/>
    <w:rsid w:val="00756BA3"/>
    <w:rPr>
      <w:vertAlign w:val="superscript"/>
    </w:rPr>
  </w:style>
  <w:style w:type="paragraph" w:styleId="BalloonText">
    <w:name w:val="Balloon Text"/>
    <w:basedOn w:val="Normal"/>
    <w:semiHidden/>
    <w:rsid w:val="0008061B"/>
    <w:rPr>
      <w:rFonts w:ascii="Tahoma" w:hAnsi="Tahoma" w:cs="Tahoma"/>
      <w:sz w:val="16"/>
      <w:szCs w:val="16"/>
    </w:rPr>
  </w:style>
  <w:style w:type="paragraph" w:styleId="ListParagraph">
    <w:name w:val="List Paragraph"/>
    <w:basedOn w:val="Normal"/>
    <w:uiPriority w:val="34"/>
    <w:qFormat/>
    <w:rsid w:val="003A1670"/>
    <w:pPr>
      <w:ind w:left="720"/>
      <w:contextualSpacing/>
    </w:pPr>
  </w:style>
  <w:style w:type="character" w:customStyle="1" w:styleId="HeaderChar">
    <w:name w:val="Header Char"/>
    <w:basedOn w:val="DefaultParagraphFont"/>
    <w:link w:val="Header"/>
    <w:uiPriority w:val="99"/>
    <w:rsid w:val="0068331C"/>
    <w:rPr>
      <w:color w:val="000000"/>
      <w:sz w:val="26"/>
    </w:rPr>
  </w:style>
  <w:style w:type="character" w:customStyle="1" w:styleId="FooterChar">
    <w:name w:val="Footer Char"/>
    <w:basedOn w:val="DefaultParagraphFont"/>
    <w:link w:val="Footer"/>
    <w:uiPriority w:val="99"/>
    <w:rsid w:val="0033011E"/>
    <w:rPr>
      <w:color w:val="000000"/>
      <w:sz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854B7-5FC5-445F-AC0C-5E6FADB63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2305</TotalTime>
  <Pages>10</Pages>
  <Words>2800</Words>
  <Characters>15965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Template (FUS) Order</vt:lpstr>
    </vt:vector>
  </TitlesOfParts>
  <Company>PA PUC</Company>
  <LinksUpToDate>false</LinksUpToDate>
  <CharactersWithSpaces>18728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(FUS) Order</dc:title>
  <dc:subject/>
  <dc:creator>DEICHMILLERH</dc:creator>
  <cp:keywords/>
  <cp:lastModifiedBy>Administrator</cp:lastModifiedBy>
  <cp:revision>248</cp:revision>
  <cp:lastPrinted>2010-05-20T15:30:00Z</cp:lastPrinted>
  <dcterms:created xsi:type="dcterms:W3CDTF">2010-04-28T13:11:00Z</dcterms:created>
  <dcterms:modified xsi:type="dcterms:W3CDTF">2010-05-20T15:30:00Z</dcterms:modified>
</cp:coreProperties>
</file>