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0E" w:rsidRPr="0017065A" w:rsidRDefault="0065570E" w:rsidP="0047522A">
      <w:pPr>
        <w:pStyle w:val="Title"/>
        <w:ind w:firstLine="0"/>
      </w:pPr>
      <w:r w:rsidRPr="0017065A">
        <w:t>PENNSYLVANIA</w:t>
      </w:r>
    </w:p>
    <w:p w:rsidR="0065570E" w:rsidRPr="0017065A" w:rsidRDefault="0065570E" w:rsidP="0047522A">
      <w:pPr>
        <w:widowControl/>
        <w:ind w:firstLine="0"/>
        <w:jc w:val="center"/>
        <w:rPr>
          <w:b/>
        </w:rPr>
      </w:pPr>
      <w:r w:rsidRPr="0017065A">
        <w:rPr>
          <w:b/>
        </w:rPr>
        <w:t>PUBLIC UTILITY COMMISSION</w:t>
      </w:r>
      <w:r w:rsidRPr="0017065A">
        <w:t xml:space="preserve"> </w:t>
      </w:r>
    </w:p>
    <w:p w:rsidR="0065570E" w:rsidRPr="0017065A" w:rsidRDefault="0065570E" w:rsidP="0047522A">
      <w:pPr>
        <w:widowControl/>
        <w:ind w:firstLine="0"/>
        <w:jc w:val="center"/>
      </w:pPr>
      <w:r w:rsidRPr="0017065A">
        <w:rPr>
          <w:b/>
        </w:rPr>
        <w:t>Harrisburg, PA 17105-3265</w:t>
      </w:r>
    </w:p>
    <w:p w:rsidR="0065570E" w:rsidRPr="0017065A" w:rsidRDefault="0065570E" w:rsidP="0047522A">
      <w:pPr>
        <w:widowControl/>
        <w:ind w:firstLine="0"/>
        <w:jc w:val="center"/>
      </w:pPr>
    </w:p>
    <w:p w:rsidR="0065570E" w:rsidRPr="0017065A" w:rsidRDefault="0065570E" w:rsidP="0047522A">
      <w:pPr>
        <w:pStyle w:val="Heading5"/>
        <w:ind w:firstLine="0"/>
      </w:pPr>
      <w:r w:rsidRPr="0017065A">
        <w:t xml:space="preserve">Public Meeting held </w:t>
      </w:r>
      <w:r w:rsidR="002972F6">
        <w:t>April 22</w:t>
      </w:r>
      <w:r w:rsidR="008F22EA">
        <w:t>, 2010</w:t>
      </w:r>
    </w:p>
    <w:p w:rsidR="0065570E" w:rsidRPr="0017065A" w:rsidRDefault="0065570E" w:rsidP="0047522A">
      <w:pPr>
        <w:widowControl/>
        <w:ind w:firstLine="0"/>
      </w:pPr>
    </w:p>
    <w:p w:rsidR="0065570E" w:rsidRPr="0017065A" w:rsidRDefault="0065570E" w:rsidP="0047522A">
      <w:pPr>
        <w:widowControl/>
        <w:spacing w:line="240" w:lineRule="auto"/>
        <w:ind w:firstLine="0"/>
      </w:pPr>
      <w:r w:rsidRPr="0017065A">
        <w:t>Commissioners Present:</w:t>
      </w:r>
    </w:p>
    <w:p w:rsidR="0065570E" w:rsidRPr="0017065A" w:rsidRDefault="0065570E" w:rsidP="0047522A">
      <w:pPr>
        <w:widowControl/>
        <w:tabs>
          <w:tab w:val="left" w:pos="-720"/>
        </w:tabs>
        <w:suppressAutoHyphens/>
        <w:spacing w:line="240" w:lineRule="auto"/>
        <w:ind w:firstLine="0"/>
      </w:pPr>
    </w:p>
    <w:p w:rsidR="0065570E" w:rsidRPr="0017065A" w:rsidRDefault="0065570E" w:rsidP="0047522A">
      <w:pPr>
        <w:widowControl/>
        <w:tabs>
          <w:tab w:val="left" w:pos="-720"/>
        </w:tabs>
        <w:suppressAutoHyphens/>
        <w:spacing w:line="240" w:lineRule="auto"/>
        <w:ind w:left="720" w:firstLine="0"/>
        <w:rPr>
          <w:szCs w:val="26"/>
        </w:rPr>
      </w:pPr>
      <w:r w:rsidRPr="0017065A">
        <w:rPr>
          <w:szCs w:val="26"/>
        </w:rPr>
        <w:t>James H. Cawley, Chairman</w:t>
      </w:r>
    </w:p>
    <w:p w:rsidR="0065570E" w:rsidRPr="0017065A" w:rsidRDefault="0065570E" w:rsidP="0047522A">
      <w:pPr>
        <w:widowControl/>
        <w:tabs>
          <w:tab w:val="left" w:pos="-720"/>
        </w:tabs>
        <w:suppressAutoHyphens/>
        <w:spacing w:line="240" w:lineRule="auto"/>
        <w:ind w:left="720" w:firstLine="0"/>
        <w:rPr>
          <w:szCs w:val="26"/>
        </w:rPr>
      </w:pPr>
      <w:r w:rsidRPr="0017065A">
        <w:rPr>
          <w:szCs w:val="26"/>
        </w:rPr>
        <w:t>Tyrone J. Christy, Vice Chairman</w:t>
      </w:r>
    </w:p>
    <w:p w:rsidR="0065570E" w:rsidRPr="0017065A" w:rsidRDefault="0065570E" w:rsidP="0047522A">
      <w:pPr>
        <w:widowControl/>
        <w:tabs>
          <w:tab w:val="left" w:pos="-720"/>
        </w:tabs>
        <w:suppressAutoHyphens/>
        <w:spacing w:line="240" w:lineRule="auto"/>
        <w:ind w:left="720" w:firstLine="0"/>
        <w:rPr>
          <w:szCs w:val="26"/>
        </w:rPr>
      </w:pPr>
      <w:r w:rsidRPr="0017065A">
        <w:rPr>
          <w:szCs w:val="26"/>
        </w:rPr>
        <w:t>Wayne E. Gardner</w:t>
      </w:r>
    </w:p>
    <w:p w:rsidR="0065570E" w:rsidRPr="0017065A" w:rsidRDefault="0065570E" w:rsidP="0047522A">
      <w:pPr>
        <w:widowControl/>
        <w:tabs>
          <w:tab w:val="left" w:pos="-720"/>
        </w:tabs>
        <w:suppressAutoHyphens/>
        <w:spacing w:line="240" w:lineRule="auto"/>
        <w:ind w:left="720" w:firstLine="0"/>
        <w:rPr>
          <w:szCs w:val="26"/>
        </w:rPr>
      </w:pPr>
      <w:r w:rsidRPr="0017065A">
        <w:rPr>
          <w:szCs w:val="26"/>
        </w:rPr>
        <w:t>Robert F. Powelson</w:t>
      </w:r>
      <w:r w:rsidR="000E0F14">
        <w:rPr>
          <w:szCs w:val="26"/>
        </w:rPr>
        <w:t>, Dissenting</w:t>
      </w:r>
    </w:p>
    <w:p w:rsidR="0065570E" w:rsidRPr="0017065A" w:rsidRDefault="0065570E" w:rsidP="0047522A">
      <w:pPr>
        <w:widowControl/>
        <w:tabs>
          <w:tab w:val="left" w:pos="-720"/>
        </w:tabs>
        <w:suppressAutoHyphens/>
        <w:ind w:firstLine="0"/>
        <w:rPr>
          <w:szCs w:val="26"/>
        </w:rPr>
      </w:pPr>
    </w:p>
    <w:p w:rsidR="0065570E" w:rsidRDefault="0065570E" w:rsidP="0047522A">
      <w:pPr>
        <w:widowControl/>
        <w:ind w:firstLine="0"/>
      </w:pPr>
    </w:p>
    <w:p w:rsidR="008F22EA" w:rsidRPr="0017065A" w:rsidRDefault="008F22EA" w:rsidP="0047522A">
      <w:pPr>
        <w:widowControl/>
        <w:ind w:firstLine="0"/>
      </w:pPr>
    </w:p>
    <w:tbl>
      <w:tblPr>
        <w:tblW w:w="0" w:type="auto"/>
        <w:tblLook w:val="01E0"/>
      </w:tblPr>
      <w:tblGrid>
        <w:gridCol w:w="5568"/>
        <w:gridCol w:w="4008"/>
      </w:tblGrid>
      <w:tr w:rsidR="0065570E" w:rsidRPr="0017065A" w:rsidTr="008725EA">
        <w:tc>
          <w:tcPr>
            <w:tcW w:w="5568" w:type="dxa"/>
          </w:tcPr>
          <w:p w:rsidR="0002455F" w:rsidRDefault="002972F6" w:rsidP="0047522A">
            <w:pPr>
              <w:widowControl/>
              <w:ind w:firstLine="0"/>
              <w:rPr>
                <w:szCs w:val="26"/>
              </w:rPr>
            </w:pPr>
            <w:r>
              <w:rPr>
                <w:szCs w:val="26"/>
              </w:rPr>
              <w:t xml:space="preserve">Lori and Peter Brickner </w:t>
            </w:r>
          </w:p>
          <w:p w:rsidR="0002455F" w:rsidRDefault="0002455F" w:rsidP="0047522A">
            <w:pPr>
              <w:widowControl/>
              <w:ind w:left="720" w:firstLine="0"/>
              <w:rPr>
                <w:szCs w:val="26"/>
              </w:rPr>
            </w:pPr>
            <w:r>
              <w:rPr>
                <w:szCs w:val="26"/>
              </w:rPr>
              <w:t xml:space="preserve">v. </w:t>
            </w:r>
          </w:p>
          <w:p w:rsidR="0002455F" w:rsidRPr="0017065A" w:rsidRDefault="002972F6" w:rsidP="00322882">
            <w:pPr>
              <w:widowControl/>
              <w:ind w:firstLine="0"/>
              <w:rPr>
                <w:szCs w:val="26"/>
              </w:rPr>
            </w:pPr>
            <w:r>
              <w:rPr>
                <w:szCs w:val="26"/>
              </w:rPr>
              <w:t>PPL Electric Utilities Corp</w:t>
            </w:r>
            <w:r w:rsidR="00322882">
              <w:rPr>
                <w:szCs w:val="26"/>
              </w:rPr>
              <w:t>oration</w:t>
            </w:r>
            <w:r w:rsidR="0002455F">
              <w:rPr>
                <w:szCs w:val="26"/>
              </w:rPr>
              <w:t xml:space="preserve"> </w:t>
            </w:r>
          </w:p>
        </w:tc>
        <w:tc>
          <w:tcPr>
            <w:tcW w:w="4008" w:type="dxa"/>
          </w:tcPr>
          <w:p w:rsidR="0065570E" w:rsidRPr="0017065A" w:rsidRDefault="0065570E" w:rsidP="0047522A">
            <w:pPr>
              <w:widowControl/>
              <w:ind w:firstLine="0"/>
              <w:jc w:val="right"/>
              <w:rPr>
                <w:szCs w:val="26"/>
              </w:rPr>
            </w:pPr>
            <w:r>
              <w:rPr>
                <w:szCs w:val="26"/>
              </w:rPr>
              <w:t>C-200</w:t>
            </w:r>
            <w:r w:rsidR="0002455F">
              <w:rPr>
                <w:szCs w:val="26"/>
              </w:rPr>
              <w:t>9</w:t>
            </w:r>
            <w:r>
              <w:rPr>
                <w:szCs w:val="26"/>
              </w:rPr>
              <w:t>-2</w:t>
            </w:r>
            <w:r w:rsidR="008F22EA">
              <w:rPr>
                <w:szCs w:val="26"/>
              </w:rPr>
              <w:t>10</w:t>
            </w:r>
            <w:r w:rsidR="002972F6">
              <w:rPr>
                <w:szCs w:val="26"/>
              </w:rPr>
              <w:t>5583</w:t>
            </w:r>
          </w:p>
        </w:tc>
      </w:tr>
    </w:tbl>
    <w:p w:rsidR="0065570E" w:rsidRPr="0017065A" w:rsidRDefault="0065570E" w:rsidP="0047522A">
      <w:pPr>
        <w:widowControl/>
        <w:ind w:firstLine="0"/>
      </w:pPr>
    </w:p>
    <w:p w:rsidR="0065570E" w:rsidRPr="0017065A" w:rsidRDefault="0065570E" w:rsidP="0047522A">
      <w:pPr>
        <w:widowControl/>
        <w:ind w:firstLine="0"/>
      </w:pPr>
    </w:p>
    <w:p w:rsidR="0065570E" w:rsidRPr="0017065A" w:rsidRDefault="0065570E" w:rsidP="0047522A">
      <w:pPr>
        <w:widowControl/>
        <w:ind w:firstLine="0"/>
        <w:jc w:val="center"/>
        <w:rPr>
          <w:b/>
        </w:rPr>
      </w:pPr>
      <w:r w:rsidRPr="0017065A">
        <w:rPr>
          <w:b/>
        </w:rPr>
        <w:t>OPINION AND ORDER</w:t>
      </w:r>
    </w:p>
    <w:p w:rsidR="0065570E" w:rsidRPr="00FC132B" w:rsidRDefault="0065570E" w:rsidP="0047522A">
      <w:pPr>
        <w:widowControl/>
        <w:ind w:firstLine="0"/>
        <w:jc w:val="center"/>
      </w:pPr>
    </w:p>
    <w:p w:rsidR="0065570E" w:rsidRPr="0017065A" w:rsidRDefault="0065570E" w:rsidP="0047522A">
      <w:pPr>
        <w:widowControl/>
        <w:ind w:firstLine="0"/>
        <w:rPr>
          <w:b/>
        </w:rPr>
      </w:pPr>
      <w:r w:rsidRPr="0017065A">
        <w:rPr>
          <w:b/>
        </w:rPr>
        <w:t>BY THE COMMISSION:</w:t>
      </w:r>
    </w:p>
    <w:p w:rsidR="0065570E" w:rsidRPr="00FC132B" w:rsidRDefault="0065570E" w:rsidP="0065570E">
      <w:pPr>
        <w:widowControl/>
      </w:pPr>
    </w:p>
    <w:p w:rsidR="006C5FA5" w:rsidRDefault="0065570E" w:rsidP="00272812">
      <w:pPr>
        <w:widowControl/>
        <w:rPr>
          <w:szCs w:val="26"/>
        </w:rPr>
      </w:pPr>
      <w:r w:rsidRPr="0017065A">
        <w:rPr>
          <w:szCs w:val="26"/>
        </w:rPr>
        <w:t xml:space="preserve">Before the Commission for consideration </w:t>
      </w:r>
      <w:r w:rsidR="00053E57">
        <w:rPr>
          <w:szCs w:val="26"/>
        </w:rPr>
        <w:t xml:space="preserve">is the Initial Decision </w:t>
      </w:r>
      <w:r w:rsidR="00C23A20">
        <w:rPr>
          <w:szCs w:val="26"/>
        </w:rPr>
        <w:t>(</w:t>
      </w:r>
      <w:r w:rsidR="00394B62">
        <w:rPr>
          <w:szCs w:val="26"/>
        </w:rPr>
        <w:t>I.D.</w:t>
      </w:r>
      <w:r w:rsidR="00C23A20">
        <w:rPr>
          <w:szCs w:val="26"/>
        </w:rPr>
        <w:t xml:space="preserve">) of Administrative Law Judge Susan D. </w:t>
      </w:r>
      <w:r w:rsidR="00405D01">
        <w:rPr>
          <w:szCs w:val="26"/>
        </w:rPr>
        <w:t>Colwell</w:t>
      </w:r>
      <w:r w:rsidR="00C23A20">
        <w:rPr>
          <w:szCs w:val="26"/>
        </w:rPr>
        <w:t xml:space="preserve"> (ALJ) issued</w:t>
      </w:r>
      <w:r w:rsidR="00F67816">
        <w:rPr>
          <w:szCs w:val="26"/>
        </w:rPr>
        <w:t xml:space="preserve"> on</w:t>
      </w:r>
      <w:r w:rsidR="00C23A20">
        <w:rPr>
          <w:szCs w:val="26"/>
        </w:rPr>
        <w:t xml:space="preserve"> December 22, 2009.  This proceeding </w:t>
      </w:r>
      <w:r w:rsidR="00237152">
        <w:rPr>
          <w:szCs w:val="26"/>
        </w:rPr>
        <w:t xml:space="preserve">was initiated as a result of </w:t>
      </w:r>
      <w:r w:rsidR="00C23A20">
        <w:rPr>
          <w:szCs w:val="26"/>
        </w:rPr>
        <w:t xml:space="preserve">a </w:t>
      </w:r>
      <w:r w:rsidR="00272812">
        <w:rPr>
          <w:szCs w:val="26"/>
        </w:rPr>
        <w:t xml:space="preserve">Formal Complaint (Complaint) filed by Lori and Peter Brickner (Complainants or Brickners) </w:t>
      </w:r>
      <w:r w:rsidR="001456A0">
        <w:rPr>
          <w:szCs w:val="26"/>
        </w:rPr>
        <w:t>against PPL Electric Utilities Corporation (Respondent or PPL).</w:t>
      </w:r>
      <w:r w:rsidR="00237152">
        <w:rPr>
          <w:szCs w:val="26"/>
        </w:rPr>
        <w:t xml:space="preserve"> </w:t>
      </w:r>
      <w:r w:rsidR="006C5FA5">
        <w:rPr>
          <w:szCs w:val="26"/>
        </w:rPr>
        <w:t xml:space="preserve"> The Complaint was filed in response to </w:t>
      </w:r>
      <w:r w:rsidR="00EC2819" w:rsidRPr="00476965">
        <w:rPr>
          <w:color w:val="000000" w:themeColor="text1"/>
          <w:szCs w:val="26"/>
        </w:rPr>
        <w:t>changes</w:t>
      </w:r>
      <w:r w:rsidR="00EC2819">
        <w:rPr>
          <w:color w:val="FF0000"/>
          <w:szCs w:val="26"/>
        </w:rPr>
        <w:t xml:space="preserve"> </w:t>
      </w:r>
      <w:r w:rsidR="00476965" w:rsidRPr="00FC132B">
        <w:rPr>
          <w:color w:val="000000" w:themeColor="text1"/>
          <w:szCs w:val="26"/>
        </w:rPr>
        <w:t>in</w:t>
      </w:r>
      <w:r w:rsidR="006C5FA5">
        <w:rPr>
          <w:szCs w:val="26"/>
        </w:rPr>
        <w:t xml:space="preserve"> PPL’s Residential Thermal Storage Rate</w:t>
      </w:r>
      <w:r w:rsidR="00E47230">
        <w:rPr>
          <w:szCs w:val="26"/>
        </w:rPr>
        <w:t xml:space="preserve"> (RTS Rate)</w:t>
      </w:r>
      <w:r w:rsidR="006C5FA5">
        <w:rPr>
          <w:szCs w:val="26"/>
        </w:rPr>
        <w:t>.</w:t>
      </w:r>
    </w:p>
    <w:p w:rsidR="006C5FA5" w:rsidRDefault="006C5FA5" w:rsidP="00272812">
      <w:pPr>
        <w:widowControl/>
        <w:rPr>
          <w:szCs w:val="26"/>
        </w:rPr>
      </w:pPr>
    </w:p>
    <w:p w:rsidR="0065570E" w:rsidRDefault="006C5FA5" w:rsidP="00272812">
      <w:pPr>
        <w:widowControl/>
        <w:rPr>
          <w:szCs w:val="26"/>
        </w:rPr>
      </w:pPr>
      <w:r>
        <w:rPr>
          <w:szCs w:val="26"/>
        </w:rPr>
        <w:lastRenderedPageBreak/>
        <w:t xml:space="preserve">No Exceptions to the Initial Decision were filed.  Nevertheless, we have exercised our authority to review the Initial Decision pursuant to </w:t>
      </w:r>
      <w:r w:rsidR="00E96323">
        <w:rPr>
          <w:szCs w:val="26"/>
        </w:rPr>
        <w:t>66 P</w:t>
      </w:r>
      <w:r w:rsidR="00322882">
        <w:rPr>
          <w:szCs w:val="26"/>
        </w:rPr>
        <w:t>a</w:t>
      </w:r>
      <w:r w:rsidR="00E96323">
        <w:rPr>
          <w:szCs w:val="26"/>
        </w:rPr>
        <w:t xml:space="preserve">. C.S. </w:t>
      </w:r>
      <w:r w:rsidR="00E96323">
        <w:rPr>
          <w:rFonts w:cs="Times New Roman"/>
          <w:szCs w:val="26"/>
        </w:rPr>
        <w:t>§</w:t>
      </w:r>
      <w:r w:rsidR="00E96323">
        <w:rPr>
          <w:szCs w:val="26"/>
        </w:rPr>
        <w:t xml:space="preserve"> 332(h).  For the reasons set forth </w:t>
      </w:r>
      <w:r w:rsidR="001E7A2D" w:rsidRPr="001E7A2D">
        <w:rPr>
          <w:i/>
          <w:szCs w:val="26"/>
        </w:rPr>
        <w:t>infra</w:t>
      </w:r>
      <w:r w:rsidR="00E96323">
        <w:rPr>
          <w:szCs w:val="26"/>
        </w:rPr>
        <w:t xml:space="preserve">, we shall modify </w:t>
      </w:r>
      <w:r w:rsidR="005D2633">
        <w:rPr>
          <w:szCs w:val="26"/>
        </w:rPr>
        <w:t xml:space="preserve">the Initial Decision consistent with this Opinion and Order. </w:t>
      </w:r>
    </w:p>
    <w:p w:rsidR="00E56C6C" w:rsidRDefault="00E56C6C" w:rsidP="00452673">
      <w:pPr>
        <w:widowControl/>
        <w:rPr>
          <w:szCs w:val="26"/>
        </w:rPr>
      </w:pPr>
    </w:p>
    <w:p w:rsidR="00E56C6C" w:rsidRPr="00DE07AE" w:rsidRDefault="00E56C6C" w:rsidP="001E7A2D">
      <w:pPr>
        <w:widowControl/>
        <w:ind w:firstLine="0"/>
        <w:jc w:val="center"/>
        <w:rPr>
          <w:b/>
          <w:szCs w:val="26"/>
        </w:rPr>
      </w:pPr>
      <w:r w:rsidRPr="00DE07AE">
        <w:rPr>
          <w:b/>
          <w:szCs w:val="26"/>
        </w:rPr>
        <w:t>Background</w:t>
      </w:r>
    </w:p>
    <w:p w:rsidR="0065570E" w:rsidRDefault="0065570E" w:rsidP="0065570E">
      <w:pPr>
        <w:widowControl/>
        <w:rPr>
          <w:szCs w:val="26"/>
        </w:rPr>
      </w:pPr>
    </w:p>
    <w:p w:rsidR="001F6625" w:rsidRDefault="006D268E" w:rsidP="00E56C6C">
      <w:pPr>
        <w:widowControl/>
        <w:rPr>
          <w:color w:val="000000" w:themeColor="text1"/>
          <w:szCs w:val="26"/>
        </w:rPr>
      </w:pPr>
      <w:r w:rsidRPr="006D268E">
        <w:rPr>
          <w:color w:val="000000" w:themeColor="text1"/>
          <w:szCs w:val="26"/>
        </w:rPr>
        <w:t xml:space="preserve">The Complainants </w:t>
      </w:r>
      <w:r>
        <w:rPr>
          <w:color w:val="000000" w:themeColor="text1"/>
          <w:szCs w:val="26"/>
        </w:rPr>
        <w:t>bought a home on June 23, 2008</w:t>
      </w:r>
      <w:r w:rsidR="00322882">
        <w:rPr>
          <w:color w:val="000000" w:themeColor="text1"/>
          <w:szCs w:val="26"/>
        </w:rPr>
        <w:t>,</w:t>
      </w:r>
      <w:r>
        <w:rPr>
          <w:color w:val="000000" w:themeColor="text1"/>
          <w:szCs w:val="26"/>
        </w:rPr>
        <w:t xml:space="preserve"> in Beach Lake, </w:t>
      </w:r>
      <w:r w:rsidR="00EF0B14">
        <w:rPr>
          <w:color w:val="000000" w:themeColor="text1"/>
          <w:szCs w:val="26"/>
        </w:rPr>
        <w:t xml:space="preserve">Wayne County, </w:t>
      </w:r>
      <w:r>
        <w:rPr>
          <w:color w:val="000000" w:themeColor="text1"/>
          <w:szCs w:val="26"/>
        </w:rPr>
        <w:t xml:space="preserve">Pennsylvania that utilizes an electric thermal storage system for heat.  </w:t>
      </w:r>
      <w:r w:rsidR="004506CE">
        <w:rPr>
          <w:color w:val="000000" w:themeColor="text1"/>
          <w:szCs w:val="26"/>
        </w:rPr>
        <w:t xml:space="preserve">Tr. at 7.  One of the conditions in the Agreement of Sale was </w:t>
      </w:r>
      <w:r w:rsidR="008A5D23">
        <w:rPr>
          <w:color w:val="000000" w:themeColor="text1"/>
          <w:szCs w:val="26"/>
        </w:rPr>
        <w:t xml:space="preserve">that PPL’s </w:t>
      </w:r>
      <w:r w:rsidR="003F7944">
        <w:rPr>
          <w:color w:val="000000" w:themeColor="text1"/>
          <w:szCs w:val="26"/>
        </w:rPr>
        <w:t xml:space="preserve">RTS Rate </w:t>
      </w:r>
      <w:r w:rsidR="008A5D23">
        <w:rPr>
          <w:color w:val="000000" w:themeColor="text1"/>
          <w:szCs w:val="26"/>
        </w:rPr>
        <w:t>was available. Tr. at 7</w:t>
      </w:r>
      <w:r w:rsidR="00394B62">
        <w:rPr>
          <w:color w:val="000000" w:themeColor="text1"/>
          <w:szCs w:val="26"/>
        </w:rPr>
        <w:t>,</w:t>
      </w:r>
      <w:r w:rsidR="008A5D23">
        <w:rPr>
          <w:color w:val="000000" w:themeColor="text1"/>
          <w:szCs w:val="26"/>
        </w:rPr>
        <w:t xml:space="preserve"> </w:t>
      </w:r>
      <w:r w:rsidR="001E7A2D">
        <w:rPr>
          <w:color w:val="000000" w:themeColor="text1"/>
          <w:szCs w:val="26"/>
        </w:rPr>
        <w:t xml:space="preserve"> </w:t>
      </w:r>
      <w:r w:rsidR="00BA6B61">
        <w:rPr>
          <w:color w:val="000000" w:themeColor="text1"/>
          <w:szCs w:val="26"/>
        </w:rPr>
        <w:t>Brick</w:t>
      </w:r>
      <w:r w:rsidR="00075186">
        <w:rPr>
          <w:color w:val="000000" w:themeColor="text1"/>
          <w:szCs w:val="26"/>
        </w:rPr>
        <w:t>n</w:t>
      </w:r>
      <w:r w:rsidR="00BA6B61">
        <w:rPr>
          <w:color w:val="000000" w:themeColor="text1"/>
          <w:szCs w:val="26"/>
        </w:rPr>
        <w:t>er Exh. 1.</w:t>
      </w:r>
      <w:r w:rsidR="008A5D23">
        <w:rPr>
          <w:color w:val="000000" w:themeColor="text1"/>
          <w:szCs w:val="26"/>
        </w:rPr>
        <w:t xml:space="preserve"> </w:t>
      </w:r>
      <w:r w:rsidR="00B05B1A">
        <w:rPr>
          <w:color w:val="000000" w:themeColor="text1"/>
          <w:szCs w:val="26"/>
        </w:rPr>
        <w:t xml:space="preserve"> </w:t>
      </w:r>
      <w:r w:rsidR="00C96CA9">
        <w:rPr>
          <w:color w:val="000000" w:themeColor="text1"/>
          <w:szCs w:val="26"/>
        </w:rPr>
        <w:t xml:space="preserve">Consistent with PPL’s tariff, </w:t>
      </w:r>
      <w:r w:rsidR="00E47230">
        <w:rPr>
          <w:color w:val="000000" w:themeColor="text1"/>
          <w:szCs w:val="26"/>
        </w:rPr>
        <w:t>t</w:t>
      </w:r>
      <w:r w:rsidR="003F7944">
        <w:rPr>
          <w:color w:val="000000" w:themeColor="text1"/>
          <w:szCs w:val="26"/>
        </w:rPr>
        <w:t xml:space="preserve">he RTS Rate </w:t>
      </w:r>
      <w:r w:rsidR="00C96CA9">
        <w:rPr>
          <w:color w:val="000000" w:themeColor="text1"/>
          <w:szCs w:val="26"/>
        </w:rPr>
        <w:t xml:space="preserve">was extended to the Brickners.  Tr. at </w:t>
      </w:r>
      <w:r w:rsidR="00A17133">
        <w:rPr>
          <w:color w:val="000000" w:themeColor="text1"/>
          <w:szCs w:val="26"/>
        </w:rPr>
        <w:t>7</w:t>
      </w:r>
      <w:r w:rsidR="008F3A80">
        <w:rPr>
          <w:color w:val="000000" w:themeColor="text1"/>
          <w:szCs w:val="26"/>
        </w:rPr>
        <w:t>,</w:t>
      </w:r>
      <w:r w:rsidR="00C96CA9">
        <w:rPr>
          <w:color w:val="000000" w:themeColor="text1"/>
          <w:szCs w:val="26"/>
        </w:rPr>
        <w:t xml:space="preserve"> </w:t>
      </w:r>
      <w:r w:rsidR="00A17133">
        <w:rPr>
          <w:color w:val="000000" w:themeColor="text1"/>
          <w:szCs w:val="26"/>
        </w:rPr>
        <w:t xml:space="preserve"> </w:t>
      </w:r>
      <w:r w:rsidR="00C96CA9">
        <w:rPr>
          <w:color w:val="000000" w:themeColor="text1"/>
          <w:szCs w:val="26"/>
        </w:rPr>
        <w:t>Brickner Exh. 3.</w:t>
      </w:r>
      <w:r w:rsidR="00BA6B61">
        <w:rPr>
          <w:color w:val="000000" w:themeColor="text1"/>
          <w:szCs w:val="26"/>
        </w:rPr>
        <w:t xml:space="preserve"> </w:t>
      </w:r>
      <w:r w:rsidR="004506CE">
        <w:rPr>
          <w:color w:val="000000" w:themeColor="text1"/>
          <w:szCs w:val="26"/>
        </w:rPr>
        <w:t xml:space="preserve"> </w:t>
      </w:r>
    </w:p>
    <w:p w:rsidR="00405D01" w:rsidRDefault="00405D01" w:rsidP="00E56C6C">
      <w:pPr>
        <w:widowControl/>
        <w:rPr>
          <w:color w:val="000000" w:themeColor="text1"/>
          <w:szCs w:val="26"/>
        </w:rPr>
      </w:pPr>
    </w:p>
    <w:p w:rsidR="00955FEE" w:rsidRDefault="001F6625" w:rsidP="00E56C6C">
      <w:pPr>
        <w:widowControl/>
        <w:rPr>
          <w:color w:val="000000" w:themeColor="text1"/>
          <w:szCs w:val="26"/>
        </w:rPr>
      </w:pPr>
      <w:r>
        <w:rPr>
          <w:color w:val="000000" w:themeColor="text1"/>
          <w:szCs w:val="26"/>
        </w:rPr>
        <w:t xml:space="preserve">In a letter </w:t>
      </w:r>
      <w:r w:rsidR="002B360D">
        <w:rPr>
          <w:color w:val="000000" w:themeColor="text1"/>
          <w:szCs w:val="26"/>
        </w:rPr>
        <w:t>dated August 25, 2009</w:t>
      </w:r>
      <w:r w:rsidR="00B54BA9">
        <w:rPr>
          <w:color w:val="000000" w:themeColor="text1"/>
          <w:szCs w:val="26"/>
        </w:rPr>
        <w:t>,</w:t>
      </w:r>
      <w:r w:rsidR="002B360D">
        <w:rPr>
          <w:color w:val="000000" w:themeColor="text1"/>
          <w:szCs w:val="26"/>
        </w:rPr>
        <w:t xml:space="preserve"> that was </w:t>
      </w:r>
      <w:r>
        <w:rPr>
          <w:color w:val="000000" w:themeColor="text1"/>
          <w:szCs w:val="26"/>
        </w:rPr>
        <w:t xml:space="preserve">mailed to </w:t>
      </w:r>
      <w:r w:rsidR="003F7944">
        <w:rPr>
          <w:color w:val="000000" w:themeColor="text1"/>
          <w:szCs w:val="26"/>
        </w:rPr>
        <w:t xml:space="preserve">RTS Rate </w:t>
      </w:r>
      <w:r>
        <w:rPr>
          <w:color w:val="000000" w:themeColor="text1"/>
          <w:szCs w:val="26"/>
        </w:rPr>
        <w:t xml:space="preserve">customers, PPL </w:t>
      </w:r>
      <w:r w:rsidR="002B360D">
        <w:rPr>
          <w:color w:val="000000" w:themeColor="text1"/>
          <w:szCs w:val="26"/>
        </w:rPr>
        <w:t xml:space="preserve">explained changes to the RTS </w:t>
      </w:r>
      <w:r w:rsidR="00075186">
        <w:rPr>
          <w:color w:val="000000" w:themeColor="text1"/>
          <w:szCs w:val="26"/>
        </w:rPr>
        <w:t>R</w:t>
      </w:r>
      <w:r w:rsidR="002B360D">
        <w:rPr>
          <w:color w:val="000000" w:themeColor="text1"/>
          <w:szCs w:val="26"/>
        </w:rPr>
        <w:t xml:space="preserve">ate and two options for RTS </w:t>
      </w:r>
      <w:r w:rsidR="00075186">
        <w:rPr>
          <w:color w:val="000000" w:themeColor="text1"/>
          <w:szCs w:val="26"/>
        </w:rPr>
        <w:t xml:space="preserve">Rate </w:t>
      </w:r>
      <w:r w:rsidR="002B360D">
        <w:rPr>
          <w:color w:val="000000" w:themeColor="text1"/>
          <w:szCs w:val="26"/>
        </w:rPr>
        <w:t xml:space="preserve">customers.  </w:t>
      </w:r>
      <w:r w:rsidR="009378DE">
        <w:rPr>
          <w:color w:val="000000" w:themeColor="text1"/>
          <w:szCs w:val="26"/>
        </w:rPr>
        <w:t xml:space="preserve">The letter stated that in 2012, the per kilowatt hour </w:t>
      </w:r>
      <w:r w:rsidR="00BD08E6">
        <w:rPr>
          <w:color w:val="000000" w:themeColor="text1"/>
          <w:szCs w:val="26"/>
        </w:rPr>
        <w:t xml:space="preserve">(kWh) </w:t>
      </w:r>
      <w:r w:rsidR="00C54AF7">
        <w:rPr>
          <w:color w:val="000000" w:themeColor="text1"/>
          <w:szCs w:val="26"/>
        </w:rPr>
        <w:t xml:space="preserve">rate </w:t>
      </w:r>
      <w:r w:rsidR="009378DE">
        <w:rPr>
          <w:color w:val="000000" w:themeColor="text1"/>
          <w:szCs w:val="26"/>
        </w:rPr>
        <w:t xml:space="preserve">for </w:t>
      </w:r>
      <w:r w:rsidR="003F7944">
        <w:rPr>
          <w:color w:val="000000" w:themeColor="text1"/>
          <w:szCs w:val="26"/>
        </w:rPr>
        <w:t xml:space="preserve">RTS Rate </w:t>
      </w:r>
      <w:r w:rsidR="009378DE">
        <w:rPr>
          <w:color w:val="000000" w:themeColor="text1"/>
          <w:szCs w:val="26"/>
        </w:rPr>
        <w:t>customers will be the same as the standard residential rate</w:t>
      </w:r>
      <w:r w:rsidR="001E7A2D">
        <w:rPr>
          <w:color w:val="000000" w:themeColor="text1"/>
          <w:szCs w:val="26"/>
        </w:rPr>
        <w:t xml:space="preserve"> (Rate RS)</w:t>
      </w:r>
      <w:r w:rsidR="009378DE">
        <w:rPr>
          <w:color w:val="000000" w:themeColor="text1"/>
          <w:szCs w:val="26"/>
        </w:rPr>
        <w:t xml:space="preserve">. </w:t>
      </w:r>
      <w:r w:rsidR="00F67816">
        <w:rPr>
          <w:color w:val="000000" w:themeColor="text1"/>
          <w:szCs w:val="26"/>
        </w:rPr>
        <w:t xml:space="preserve"> </w:t>
      </w:r>
      <w:r w:rsidR="00405D01">
        <w:rPr>
          <w:color w:val="000000" w:themeColor="text1"/>
          <w:szCs w:val="26"/>
        </w:rPr>
        <w:t xml:space="preserve">The letter explained that there will be a two-year transition to the standard rates; a 1.35 cent per kWh (10%) discount </w:t>
      </w:r>
      <w:r w:rsidR="00930261">
        <w:rPr>
          <w:color w:val="000000" w:themeColor="text1"/>
          <w:szCs w:val="26"/>
        </w:rPr>
        <w:t>in</w:t>
      </w:r>
      <w:r w:rsidR="00405D01">
        <w:rPr>
          <w:color w:val="000000" w:themeColor="text1"/>
          <w:szCs w:val="26"/>
        </w:rPr>
        <w:t xml:space="preserve"> 2010 and a 0.675 cent per kWh (5%) discount </w:t>
      </w:r>
      <w:r w:rsidR="00930261">
        <w:rPr>
          <w:color w:val="000000" w:themeColor="text1"/>
          <w:szCs w:val="26"/>
        </w:rPr>
        <w:t>in</w:t>
      </w:r>
      <w:r w:rsidR="00405D01">
        <w:rPr>
          <w:color w:val="000000" w:themeColor="text1"/>
          <w:szCs w:val="26"/>
        </w:rPr>
        <w:t xml:space="preserve"> 2011.  </w:t>
      </w:r>
      <w:r w:rsidR="00BD08E6">
        <w:rPr>
          <w:color w:val="000000" w:themeColor="text1"/>
          <w:szCs w:val="26"/>
        </w:rPr>
        <w:t xml:space="preserve">The letter also stated that </w:t>
      </w:r>
      <w:r w:rsidR="006D1FB3">
        <w:rPr>
          <w:color w:val="000000" w:themeColor="text1"/>
          <w:szCs w:val="26"/>
        </w:rPr>
        <w:t>thermal storage customers will have the option to switch to a new thermal storage time</w:t>
      </w:r>
      <w:r w:rsidR="007C3550">
        <w:rPr>
          <w:color w:val="000000" w:themeColor="text1"/>
          <w:szCs w:val="26"/>
        </w:rPr>
        <w:t>-</w:t>
      </w:r>
      <w:r w:rsidR="006D1FB3">
        <w:rPr>
          <w:color w:val="000000" w:themeColor="text1"/>
          <w:szCs w:val="26"/>
        </w:rPr>
        <w:t>of</w:t>
      </w:r>
      <w:r w:rsidR="007C3550">
        <w:rPr>
          <w:color w:val="000000" w:themeColor="text1"/>
          <w:szCs w:val="26"/>
        </w:rPr>
        <w:t>-</w:t>
      </w:r>
      <w:r w:rsidR="006D1FB3">
        <w:rPr>
          <w:color w:val="000000" w:themeColor="text1"/>
          <w:szCs w:val="26"/>
        </w:rPr>
        <w:t xml:space="preserve">use option.  Brickner Exh. 4.  </w:t>
      </w:r>
    </w:p>
    <w:p w:rsidR="00F0673E" w:rsidRDefault="00F0673E" w:rsidP="00E56C6C">
      <w:pPr>
        <w:widowControl/>
        <w:rPr>
          <w:color w:val="000000" w:themeColor="text1"/>
          <w:szCs w:val="26"/>
        </w:rPr>
      </w:pPr>
    </w:p>
    <w:p w:rsidR="00217658" w:rsidRDefault="00B162AD" w:rsidP="00E56C6C">
      <w:pPr>
        <w:widowControl/>
        <w:rPr>
          <w:color w:val="000000" w:themeColor="text1"/>
          <w:szCs w:val="26"/>
        </w:rPr>
      </w:pPr>
      <w:r>
        <w:rPr>
          <w:color w:val="000000" w:themeColor="text1"/>
          <w:szCs w:val="26"/>
        </w:rPr>
        <w:t>The Complainant</w:t>
      </w:r>
      <w:r w:rsidR="006D7836">
        <w:rPr>
          <w:color w:val="000000" w:themeColor="text1"/>
          <w:szCs w:val="26"/>
        </w:rPr>
        <w:t>s</w:t>
      </w:r>
      <w:r>
        <w:rPr>
          <w:color w:val="000000" w:themeColor="text1"/>
          <w:szCs w:val="26"/>
        </w:rPr>
        <w:t xml:space="preserve"> a</w:t>
      </w:r>
      <w:r w:rsidR="006D7836">
        <w:rPr>
          <w:color w:val="000000" w:themeColor="text1"/>
          <w:szCs w:val="26"/>
        </w:rPr>
        <w:t>verred</w:t>
      </w:r>
      <w:r>
        <w:rPr>
          <w:color w:val="000000" w:themeColor="text1"/>
          <w:szCs w:val="26"/>
        </w:rPr>
        <w:t xml:space="preserve"> that when the phase-in ends, RTS customers will be paying the same rate as </w:t>
      </w:r>
      <w:r w:rsidR="009D27F9">
        <w:rPr>
          <w:color w:val="000000" w:themeColor="text1"/>
          <w:szCs w:val="26"/>
        </w:rPr>
        <w:t xml:space="preserve">Rate RS </w:t>
      </w:r>
      <w:r w:rsidR="00322882">
        <w:rPr>
          <w:color w:val="000000" w:themeColor="text1"/>
          <w:szCs w:val="26"/>
        </w:rPr>
        <w:t>customers</w:t>
      </w:r>
      <w:r w:rsidR="00B00424">
        <w:rPr>
          <w:color w:val="000000" w:themeColor="text1"/>
          <w:szCs w:val="26"/>
        </w:rPr>
        <w:t>,</w:t>
      </w:r>
      <w:r w:rsidR="00322882">
        <w:rPr>
          <w:color w:val="000000" w:themeColor="text1"/>
          <w:szCs w:val="26"/>
        </w:rPr>
        <w:t xml:space="preserve"> </w:t>
      </w:r>
      <w:r w:rsidR="006D7836">
        <w:rPr>
          <w:color w:val="000000" w:themeColor="text1"/>
          <w:szCs w:val="26"/>
        </w:rPr>
        <w:t xml:space="preserve">which “means that the </w:t>
      </w:r>
      <w:r w:rsidR="00B54BA9">
        <w:rPr>
          <w:color w:val="000000" w:themeColor="text1"/>
          <w:szCs w:val="26"/>
        </w:rPr>
        <w:t>RTS</w:t>
      </w:r>
      <w:r w:rsidR="006D7836">
        <w:rPr>
          <w:color w:val="000000" w:themeColor="text1"/>
          <w:szCs w:val="26"/>
        </w:rPr>
        <w:t xml:space="preserve"> </w:t>
      </w:r>
      <w:r w:rsidR="00322882">
        <w:rPr>
          <w:color w:val="000000" w:themeColor="text1"/>
          <w:szCs w:val="26"/>
        </w:rPr>
        <w:t>R</w:t>
      </w:r>
      <w:r w:rsidR="006D7836">
        <w:rPr>
          <w:color w:val="000000" w:themeColor="text1"/>
          <w:szCs w:val="26"/>
        </w:rPr>
        <w:t xml:space="preserve">ate will be eliminated.”  The Complainants argued that PPL broke its “policy/contract” to provide an RTS </w:t>
      </w:r>
      <w:r w:rsidR="00322882">
        <w:rPr>
          <w:color w:val="000000" w:themeColor="text1"/>
          <w:szCs w:val="26"/>
        </w:rPr>
        <w:t>R</w:t>
      </w:r>
      <w:r w:rsidR="006D7836">
        <w:rPr>
          <w:color w:val="000000" w:themeColor="text1"/>
          <w:szCs w:val="26"/>
        </w:rPr>
        <w:t xml:space="preserve">ate for thermal storage customers. </w:t>
      </w:r>
      <w:r w:rsidR="00B471AB">
        <w:rPr>
          <w:color w:val="000000" w:themeColor="text1"/>
          <w:szCs w:val="26"/>
        </w:rPr>
        <w:t xml:space="preserve"> </w:t>
      </w:r>
      <w:r w:rsidR="00217658">
        <w:rPr>
          <w:color w:val="000000" w:themeColor="text1"/>
          <w:szCs w:val="26"/>
        </w:rPr>
        <w:t>Tr. at 11-12.</w:t>
      </w:r>
    </w:p>
    <w:p w:rsidR="00217658" w:rsidRDefault="00217658" w:rsidP="00E56C6C">
      <w:pPr>
        <w:widowControl/>
        <w:rPr>
          <w:color w:val="000000" w:themeColor="text1"/>
          <w:szCs w:val="26"/>
        </w:rPr>
      </w:pPr>
    </w:p>
    <w:p w:rsidR="00955FEE" w:rsidRDefault="00B471AB" w:rsidP="00E56C6C">
      <w:pPr>
        <w:widowControl/>
        <w:rPr>
          <w:color w:val="000000" w:themeColor="text1"/>
          <w:szCs w:val="26"/>
        </w:rPr>
      </w:pPr>
      <w:r>
        <w:rPr>
          <w:color w:val="000000" w:themeColor="text1"/>
          <w:szCs w:val="26"/>
        </w:rPr>
        <w:lastRenderedPageBreak/>
        <w:t>The Complainants</w:t>
      </w:r>
      <w:r w:rsidR="009D27F9">
        <w:rPr>
          <w:color w:val="000000" w:themeColor="text1"/>
          <w:szCs w:val="26"/>
        </w:rPr>
        <w:t xml:space="preserve"> </w:t>
      </w:r>
      <w:r w:rsidR="00A93208">
        <w:rPr>
          <w:color w:val="000000" w:themeColor="text1"/>
          <w:szCs w:val="26"/>
        </w:rPr>
        <w:t xml:space="preserve">also </w:t>
      </w:r>
      <w:r w:rsidR="00DB6850">
        <w:rPr>
          <w:color w:val="000000" w:themeColor="text1"/>
          <w:szCs w:val="26"/>
        </w:rPr>
        <w:t xml:space="preserve">argued </w:t>
      </w:r>
      <w:r w:rsidR="00A93208">
        <w:rPr>
          <w:color w:val="000000" w:themeColor="text1"/>
          <w:szCs w:val="26"/>
        </w:rPr>
        <w:t>that</w:t>
      </w:r>
      <w:r w:rsidR="00075186">
        <w:rPr>
          <w:color w:val="000000" w:themeColor="text1"/>
          <w:szCs w:val="26"/>
        </w:rPr>
        <w:t>,</w:t>
      </w:r>
      <w:r w:rsidR="00A93208">
        <w:rPr>
          <w:color w:val="000000" w:themeColor="text1"/>
          <w:szCs w:val="26"/>
        </w:rPr>
        <w:t xml:space="preserve"> </w:t>
      </w:r>
      <w:r w:rsidR="00B54BA9">
        <w:rPr>
          <w:color w:val="000000" w:themeColor="text1"/>
          <w:szCs w:val="26"/>
        </w:rPr>
        <w:t xml:space="preserve">by raising the RTS </w:t>
      </w:r>
      <w:r w:rsidR="00322882">
        <w:rPr>
          <w:color w:val="000000" w:themeColor="text1"/>
          <w:szCs w:val="26"/>
        </w:rPr>
        <w:t>R</w:t>
      </w:r>
      <w:r w:rsidR="00B54BA9">
        <w:rPr>
          <w:color w:val="000000" w:themeColor="text1"/>
          <w:szCs w:val="26"/>
        </w:rPr>
        <w:t xml:space="preserve">ate to the same rate as </w:t>
      </w:r>
      <w:r w:rsidR="008724BF">
        <w:rPr>
          <w:color w:val="000000" w:themeColor="text1"/>
          <w:szCs w:val="26"/>
        </w:rPr>
        <w:t xml:space="preserve">the RS Rate, </w:t>
      </w:r>
      <w:r w:rsidR="00E34683">
        <w:rPr>
          <w:color w:val="000000" w:themeColor="text1"/>
          <w:szCs w:val="26"/>
        </w:rPr>
        <w:t xml:space="preserve">PPL </w:t>
      </w:r>
      <w:r w:rsidR="008724BF">
        <w:rPr>
          <w:color w:val="000000" w:themeColor="text1"/>
          <w:szCs w:val="26"/>
        </w:rPr>
        <w:t>is</w:t>
      </w:r>
      <w:r w:rsidR="00E34683">
        <w:rPr>
          <w:color w:val="000000" w:themeColor="text1"/>
          <w:szCs w:val="26"/>
        </w:rPr>
        <w:t xml:space="preserve"> impos</w:t>
      </w:r>
      <w:r w:rsidR="008724BF">
        <w:rPr>
          <w:color w:val="000000" w:themeColor="text1"/>
          <w:szCs w:val="26"/>
        </w:rPr>
        <w:t>ing</w:t>
      </w:r>
      <w:r w:rsidR="00E34683">
        <w:rPr>
          <w:color w:val="000000" w:themeColor="text1"/>
          <w:szCs w:val="26"/>
        </w:rPr>
        <w:t xml:space="preserve"> a higher total increase on RTS customers</w:t>
      </w:r>
      <w:r w:rsidR="00075186">
        <w:rPr>
          <w:color w:val="000000" w:themeColor="text1"/>
          <w:szCs w:val="26"/>
        </w:rPr>
        <w:t>,</w:t>
      </w:r>
      <w:r w:rsidR="00E34683">
        <w:rPr>
          <w:color w:val="000000" w:themeColor="text1"/>
          <w:szCs w:val="26"/>
        </w:rPr>
        <w:t xml:space="preserve"> </w:t>
      </w:r>
      <w:r w:rsidR="008724BF">
        <w:rPr>
          <w:color w:val="000000" w:themeColor="text1"/>
          <w:szCs w:val="26"/>
        </w:rPr>
        <w:t xml:space="preserve">which </w:t>
      </w:r>
      <w:r w:rsidR="00E34683">
        <w:rPr>
          <w:color w:val="000000" w:themeColor="text1"/>
          <w:szCs w:val="26"/>
        </w:rPr>
        <w:t xml:space="preserve">results in unlawful discrimination and unjust and unreasonable rates in violation of 66 Pa. C.S. </w:t>
      </w:r>
      <w:r w:rsidR="00EC7B26">
        <w:rPr>
          <w:rFonts w:cs="Times New Roman"/>
          <w:color w:val="000000" w:themeColor="text1"/>
          <w:szCs w:val="26"/>
        </w:rPr>
        <w:t>§§</w:t>
      </w:r>
      <w:r w:rsidR="00075186">
        <w:rPr>
          <w:rFonts w:cs="Times New Roman"/>
          <w:color w:val="000000" w:themeColor="text1"/>
          <w:szCs w:val="26"/>
        </w:rPr>
        <w:t xml:space="preserve"> </w:t>
      </w:r>
      <w:r w:rsidR="00E34683">
        <w:rPr>
          <w:color w:val="000000" w:themeColor="text1"/>
          <w:szCs w:val="26"/>
        </w:rPr>
        <w:t xml:space="preserve">1301 and 1304. </w:t>
      </w:r>
      <w:r w:rsidR="00DB757A">
        <w:rPr>
          <w:color w:val="000000" w:themeColor="text1"/>
          <w:szCs w:val="26"/>
        </w:rPr>
        <w:t xml:space="preserve"> The Complainants </w:t>
      </w:r>
      <w:r w:rsidR="001A28C8">
        <w:rPr>
          <w:color w:val="000000" w:themeColor="text1"/>
          <w:szCs w:val="26"/>
        </w:rPr>
        <w:t xml:space="preserve">requested that </w:t>
      </w:r>
      <w:r w:rsidR="003F7944">
        <w:rPr>
          <w:color w:val="000000" w:themeColor="text1"/>
          <w:szCs w:val="26"/>
        </w:rPr>
        <w:t xml:space="preserve">the RTS Rate </w:t>
      </w:r>
      <w:r w:rsidR="001A28C8">
        <w:rPr>
          <w:color w:val="000000" w:themeColor="text1"/>
          <w:szCs w:val="26"/>
        </w:rPr>
        <w:t xml:space="preserve">continue to be “distinguishable” from Rate RS and any increases for </w:t>
      </w:r>
      <w:r w:rsidR="003F7944">
        <w:rPr>
          <w:color w:val="000000" w:themeColor="text1"/>
          <w:szCs w:val="26"/>
        </w:rPr>
        <w:t xml:space="preserve">RTS Rate </w:t>
      </w:r>
      <w:r w:rsidR="001A28C8">
        <w:rPr>
          <w:color w:val="000000" w:themeColor="text1"/>
          <w:szCs w:val="26"/>
        </w:rPr>
        <w:t>customers should be in parity with rate increases for Rate R</w:t>
      </w:r>
      <w:r w:rsidR="00075186">
        <w:rPr>
          <w:color w:val="000000" w:themeColor="text1"/>
          <w:szCs w:val="26"/>
        </w:rPr>
        <w:t>S</w:t>
      </w:r>
      <w:r w:rsidR="001A28C8">
        <w:rPr>
          <w:color w:val="000000" w:themeColor="text1"/>
          <w:szCs w:val="26"/>
        </w:rPr>
        <w:t xml:space="preserve"> customers.  </w:t>
      </w:r>
      <w:r w:rsidR="00DB757A">
        <w:rPr>
          <w:color w:val="000000" w:themeColor="text1"/>
          <w:szCs w:val="26"/>
        </w:rPr>
        <w:t xml:space="preserve"> Tr. at 12-13. </w:t>
      </w:r>
    </w:p>
    <w:p w:rsidR="00FC132B" w:rsidRDefault="00FC132B" w:rsidP="00E56C6C">
      <w:pPr>
        <w:widowControl/>
        <w:rPr>
          <w:color w:val="000000" w:themeColor="text1"/>
          <w:szCs w:val="26"/>
        </w:rPr>
      </w:pPr>
    </w:p>
    <w:p w:rsidR="001A28C8" w:rsidRDefault="00DB6850" w:rsidP="00FC132B">
      <w:r>
        <w:t xml:space="preserve">The Complainants averred that if they had known that the RTS “system” was not going to be </w:t>
      </w:r>
      <w:r w:rsidR="00075186">
        <w:t xml:space="preserve">in </w:t>
      </w:r>
      <w:r>
        <w:t xml:space="preserve">existence in the future, they would have either not purchased their house or bought the house at a lower price. </w:t>
      </w:r>
      <w:r w:rsidR="00C70536">
        <w:t xml:space="preserve"> The Complainants argued that the changes in the RTS </w:t>
      </w:r>
      <w:r w:rsidR="00322882">
        <w:t>R</w:t>
      </w:r>
      <w:r w:rsidR="00C70536">
        <w:t xml:space="preserve">ate devalued their property because of the expense to put in another heating system or </w:t>
      </w:r>
      <w:r w:rsidR="00E04B37">
        <w:t xml:space="preserve">“going into an </w:t>
      </w:r>
      <w:r w:rsidR="00C70536">
        <w:t xml:space="preserve">extremely higher rate </w:t>
      </w:r>
      <w:r w:rsidR="00E04B37">
        <w:t>of electric</w:t>
      </w:r>
      <w:r w:rsidR="00C70536">
        <w:t xml:space="preserve"> use that the house was not initially designed for.</w:t>
      </w:r>
      <w:r w:rsidR="00E04B37">
        <w:t>”  Tr. at 14.</w:t>
      </w:r>
      <w:r w:rsidR="00C70536">
        <w:t xml:space="preserve">    </w:t>
      </w:r>
    </w:p>
    <w:p w:rsidR="00C54AF7" w:rsidRDefault="00C54AF7" w:rsidP="009F26D2">
      <w:pPr>
        <w:widowControl/>
        <w:ind w:firstLine="0"/>
        <w:jc w:val="center"/>
        <w:rPr>
          <w:b/>
          <w:color w:val="000000" w:themeColor="text1"/>
          <w:szCs w:val="26"/>
        </w:rPr>
      </w:pPr>
    </w:p>
    <w:p w:rsidR="00BA6B61" w:rsidRDefault="007D1485" w:rsidP="009F26D2">
      <w:pPr>
        <w:widowControl/>
        <w:ind w:firstLine="0"/>
        <w:jc w:val="center"/>
        <w:rPr>
          <w:b/>
          <w:color w:val="000000" w:themeColor="text1"/>
          <w:szCs w:val="26"/>
        </w:rPr>
      </w:pPr>
      <w:r w:rsidRPr="007D1485">
        <w:rPr>
          <w:b/>
          <w:color w:val="000000" w:themeColor="text1"/>
          <w:szCs w:val="26"/>
        </w:rPr>
        <w:t>History of the Proceeding</w:t>
      </w:r>
    </w:p>
    <w:p w:rsidR="007D1485" w:rsidRDefault="007D1485" w:rsidP="007D1485">
      <w:pPr>
        <w:widowControl/>
        <w:jc w:val="center"/>
        <w:rPr>
          <w:b/>
          <w:color w:val="000000" w:themeColor="text1"/>
          <w:szCs w:val="26"/>
        </w:rPr>
      </w:pPr>
    </w:p>
    <w:p w:rsidR="007D1485" w:rsidRDefault="00CB0824" w:rsidP="00FC132B">
      <w:r>
        <w:t xml:space="preserve">On </w:t>
      </w:r>
      <w:r w:rsidR="00DB44B2">
        <w:t xml:space="preserve">May 4, 2009, the Brickners filed a Formal Complaint against PPL in response to a </w:t>
      </w:r>
      <w:r w:rsidR="00731EFF">
        <w:t xml:space="preserve">notice </w:t>
      </w:r>
      <w:r w:rsidR="00DB44B2">
        <w:t xml:space="preserve">they received from PPL </w:t>
      </w:r>
      <w:r w:rsidR="00731EFF">
        <w:t xml:space="preserve">that </w:t>
      </w:r>
      <w:r w:rsidR="00A93208">
        <w:t xml:space="preserve">the </w:t>
      </w:r>
      <w:r w:rsidR="00731EFF">
        <w:t xml:space="preserve">RTS </w:t>
      </w:r>
      <w:r w:rsidR="00A93208">
        <w:t xml:space="preserve">Rate </w:t>
      </w:r>
      <w:r w:rsidR="00731EFF">
        <w:t>would be “eliminated” by 2010.  The Complainants aver</w:t>
      </w:r>
      <w:r w:rsidR="008512A2">
        <w:t>red</w:t>
      </w:r>
      <w:r w:rsidR="00731EFF">
        <w:t xml:space="preserve"> that they contacted PPL prior to purchasing their home to determine if the RTS rate was transferrable. </w:t>
      </w:r>
      <w:r w:rsidR="008512A2">
        <w:t xml:space="preserve"> The Complainants state that at no time was there any mention of PPL</w:t>
      </w:r>
      <w:r w:rsidR="00A93208">
        <w:t>’s intent to eliminate the RTS R</w:t>
      </w:r>
      <w:r w:rsidR="008512A2">
        <w:t>ate in less than one year.  Complaint at 9.  The Complain</w:t>
      </w:r>
      <w:r w:rsidR="00075186">
        <w:t>ant</w:t>
      </w:r>
      <w:r w:rsidR="008512A2">
        <w:t xml:space="preserve">s request that PPL either </w:t>
      </w:r>
      <w:r w:rsidR="009F26D2">
        <w:t xml:space="preserve">continue the discounted </w:t>
      </w:r>
      <w:r w:rsidR="003F7944">
        <w:t xml:space="preserve">RTS Rate </w:t>
      </w:r>
      <w:r w:rsidR="009F26D2">
        <w:t xml:space="preserve">or bear the cost of replacing their home heating system.  </w:t>
      </w:r>
      <w:r w:rsidR="009F26D2" w:rsidRPr="009F26D2">
        <w:rPr>
          <w:i/>
        </w:rPr>
        <w:t>Id</w:t>
      </w:r>
      <w:r w:rsidR="009F26D2">
        <w:t>. at 6.</w:t>
      </w:r>
    </w:p>
    <w:p w:rsidR="00C54AF7" w:rsidRDefault="00C54AF7" w:rsidP="00FC132B"/>
    <w:p w:rsidR="003B3BA6" w:rsidRDefault="003B3BA6" w:rsidP="00FC132B">
      <w:r>
        <w:t xml:space="preserve">On May 26, 2010, PPL filed an Answer to the Complaint (Answer).  </w:t>
      </w:r>
      <w:r w:rsidR="009C622E">
        <w:t xml:space="preserve">In its Answer, </w:t>
      </w:r>
      <w:r>
        <w:t>PPL state</w:t>
      </w:r>
      <w:r w:rsidR="009C622E">
        <w:t>d</w:t>
      </w:r>
      <w:r>
        <w:t xml:space="preserve"> </w:t>
      </w:r>
      <w:r w:rsidR="009C622E">
        <w:t xml:space="preserve">it is not discontinuing </w:t>
      </w:r>
      <w:r w:rsidR="00322882">
        <w:t>t</w:t>
      </w:r>
      <w:r w:rsidR="003F7944">
        <w:t xml:space="preserve">he RTS Rate </w:t>
      </w:r>
      <w:r w:rsidR="009C622E">
        <w:t xml:space="preserve">and </w:t>
      </w:r>
      <w:r>
        <w:t xml:space="preserve">that </w:t>
      </w:r>
      <w:r w:rsidR="009C622E">
        <w:t xml:space="preserve">the </w:t>
      </w:r>
      <w:r w:rsidR="00405D01">
        <w:t>Brickners</w:t>
      </w:r>
      <w:r w:rsidR="009C622E">
        <w:t xml:space="preserve"> can continue to receive service under the </w:t>
      </w:r>
      <w:r w:rsidR="003F7944">
        <w:t>RTS Rate</w:t>
      </w:r>
      <w:r w:rsidR="009C622E">
        <w:t xml:space="preserve">.  </w:t>
      </w:r>
      <w:r w:rsidR="00A56E30">
        <w:t xml:space="preserve">PPL explained that the historic benefits of </w:t>
      </w:r>
      <w:r w:rsidR="0088067F">
        <w:t>t</w:t>
      </w:r>
      <w:r w:rsidR="003F7944">
        <w:t xml:space="preserve">he RTS Rate </w:t>
      </w:r>
      <w:r w:rsidR="00A56E30">
        <w:t xml:space="preserve">compared to </w:t>
      </w:r>
      <w:r w:rsidR="0088067F">
        <w:t xml:space="preserve">the </w:t>
      </w:r>
      <w:r w:rsidR="00713364">
        <w:t xml:space="preserve">standard Rate RS </w:t>
      </w:r>
      <w:r w:rsidR="00020297">
        <w:t>would</w:t>
      </w:r>
      <w:r w:rsidR="00713364">
        <w:t xml:space="preserve"> decline when generation rate </w:t>
      </w:r>
      <w:r w:rsidR="00713364">
        <w:lastRenderedPageBreak/>
        <w:t xml:space="preserve">caps expire on January 1, 2010.  PPL stated that under the Competitive Bridge Plan Settlement approved by the Commission </w:t>
      </w:r>
      <w:r w:rsidR="004817EC">
        <w:t>for PPL to purchase generation supply for 2010, there is a built-in savings of 1.35 cents per kWh for RTS customers.  PPL also explain</w:t>
      </w:r>
      <w:r w:rsidR="00793A89">
        <w:t>ed</w:t>
      </w:r>
      <w:r w:rsidR="004817EC">
        <w:t xml:space="preserve"> that the </w:t>
      </w:r>
      <w:r w:rsidR="00793A89">
        <w:t>P</w:t>
      </w:r>
      <w:r w:rsidR="004817EC">
        <w:t xml:space="preserve">rovider of Last </w:t>
      </w:r>
      <w:r w:rsidR="00793A89">
        <w:t>R</w:t>
      </w:r>
      <w:r w:rsidR="004817EC">
        <w:t>esort II filing and settlement pending befor</w:t>
      </w:r>
      <w:r w:rsidR="00793A89">
        <w:t>e</w:t>
      </w:r>
      <w:r w:rsidR="004817EC">
        <w:t xml:space="preserve"> the Commission has a built-in savings of 0.675 cents per kWh for </w:t>
      </w:r>
      <w:r w:rsidR="0088067F">
        <w:t xml:space="preserve">RTS Rate customers during </w:t>
      </w:r>
      <w:r w:rsidR="004817EC">
        <w:t xml:space="preserve">2011. </w:t>
      </w:r>
      <w:r w:rsidR="00793A89">
        <w:t xml:space="preserve"> Answer at 2. </w:t>
      </w:r>
    </w:p>
    <w:p w:rsidR="00793A89" w:rsidRDefault="00793A89" w:rsidP="00FC132B"/>
    <w:p w:rsidR="000D706D" w:rsidRPr="00566EAA" w:rsidRDefault="000D706D" w:rsidP="000D706D">
      <w:pPr>
        <w:pStyle w:val="ParaTab1"/>
        <w:spacing w:line="360" w:lineRule="auto"/>
        <w:ind w:left="90" w:firstLine="1350"/>
        <w:rPr>
          <w:color w:val="000000" w:themeColor="text1"/>
          <w:sz w:val="26"/>
          <w:szCs w:val="26"/>
        </w:rPr>
      </w:pPr>
      <w:r w:rsidRPr="00566EAA">
        <w:rPr>
          <w:color w:val="000000" w:themeColor="text1"/>
          <w:sz w:val="26"/>
          <w:szCs w:val="26"/>
        </w:rPr>
        <w:t>A</w:t>
      </w:r>
      <w:r w:rsidR="005541FA" w:rsidRPr="00566EAA">
        <w:rPr>
          <w:color w:val="000000" w:themeColor="text1"/>
          <w:sz w:val="26"/>
          <w:szCs w:val="26"/>
        </w:rPr>
        <w:t xml:space="preserve"> telephonic hearing was held on </w:t>
      </w:r>
      <w:r w:rsidR="00BC3979" w:rsidRPr="00566EAA">
        <w:rPr>
          <w:color w:val="000000" w:themeColor="text1"/>
          <w:sz w:val="26"/>
          <w:szCs w:val="26"/>
        </w:rPr>
        <w:t>November 16, 20</w:t>
      </w:r>
      <w:r w:rsidR="00075186">
        <w:rPr>
          <w:color w:val="000000" w:themeColor="text1"/>
          <w:sz w:val="26"/>
          <w:szCs w:val="26"/>
        </w:rPr>
        <w:t>09</w:t>
      </w:r>
      <w:r w:rsidR="00BC3979" w:rsidRPr="00566EAA">
        <w:rPr>
          <w:color w:val="000000" w:themeColor="text1"/>
          <w:sz w:val="26"/>
          <w:szCs w:val="26"/>
        </w:rPr>
        <w:t>.</w:t>
      </w:r>
      <w:r w:rsidR="005541FA" w:rsidRPr="00566EAA">
        <w:rPr>
          <w:color w:val="000000" w:themeColor="text1"/>
          <w:sz w:val="26"/>
          <w:szCs w:val="26"/>
        </w:rPr>
        <w:t xml:space="preserve">  The Complainant</w:t>
      </w:r>
      <w:r w:rsidR="00BC3979" w:rsidRPr="00566EAA">
        <w:rPr>
          <w:color w:val="000000" w:themeColor="text1"/>
          <w:sz w:val="26"/>
          <w:szCs w:val="26"/>
        </w:rPr>
        <w:t>s</w:t>
      </w:r>
      <w:r w:rsidR="005541FA" w:rsidRPr="00566EAA">
        <w:rPr>
          <w:color w:val="000000" w:themeColor="text1"/>
          <w:sz w:val="26"/>
          <w:szCs w:val="26"/>
        </w:rPr>
        <w:t xml:space="preserve"> appeared </w:t>
      </w:r>
      <w:r w:rsidR="005541FA" w:rsidRPr="00566EAA">
        <w:rPr>
          <w:i/>
          <w:color w:val="000000" w:themeColor="text1"/>
          <w:sz w:val="26"/>
          <w:szCs w:val="26"/>
        </w:rPr>
        <w:t>pro se</w:t>
      </w:r>
      <w:r w:rsidR="00566EAA" w:rsidRPr="00566EAA">
        <w:rPr>
          <w:i/>
          <w:color w:val="000000" w:themeColor="text1"/>
          <w:sz w:val="26"/>
          <w:szCs w:val="26"/>
        </w:rPr>
        <w:t>,</w:t>
      </w:r>
      <w:r w:rsidR="005541FA" w:rsidRPr="00566EAA">
        <w:rPr>
          <w:color w:val="000000" w:themeColor="text1"/>
          <w:sz w:val="26"/>
          <w:szCs w:val="26"/>
        </w:rPr>
        <w:t xml:space="preserve"> testified </w:t>
      </w:r>
      <w:r w:rsidR="00075186">
        <w:rPr>
          <w:color w:val="000000" w:themeColor="text1"/>
          <w:sz w:val="26"/>
          <w:szCs w:val="26"/>
        </w:rPr>
        <w:t xml:space="preserve">on </w:t>
      </w:r>
      <w:r w:rsidR="00BC3979" w:rsidRPr="00566EAA">
        <w:rPr>
          <w:color w:val="000000" w:themeColor="text1"/>
          <w:sz w:val="26"/>
          <w:szCs w:val="26"/>
        </w:rPr>
        <w:t>their</w:t>
      </w:r>
      <w:r w:rsidR="005541FA" w:rsidRPr="00566EAA">
        <w:rPr>
          <w:color w:val="000000" w:themeColor="text1"/>
          <w:sz w:val="26"/>
          <w:szCs w:val="26"/>
        </w:rPr>
        <w:t xml:space="preserve"> own behalf</w:t>
      </w:r>
      <w:r w:rsidR="00566EAA" w:rsidRPr="00566EAA">
        <w:rPr>
          <w:color w:val="000000" w:themeColor="text1"/>
          <w:sz w:val="26"/>
          <w:szCs w:val="26"/>
        </w:rPr>
        <w:t xml:space="preserve"> and presented six exhibits.</w:t>
      </w:r>
      <w:r w:rsidR="005541FA" w:rsidRPr="00566EAA">
        <w:rPr>
          <w:color w:val="000000" w:themeColor="text1"/>
          <w:sz w:val="26"/>
          <w:szCs w:val="26"/>
        </w:rPr>
        <w:t xml:space="preserve">  </w:t>
      </w:r>
      <w:r w:rsidR="00BC3979" w:rsidRPr="00566EAA">
        <w:rPr>
          <w:color w:val="000000" w:themeColor="text1"/>
          <w:sz w:val="26"/>
          <w:szCs w:val="26"/>
        </w:rPr>
        <w:t>PPL</w:t>
      </w:r>
      <w:r w:rsidR="00B363F5" w:rsidRPr="00566EAA">
        <w:rPr>
          <w:color w:val="000000" w:themeColor="text1"/>
          <w:sz w:val="26"/>
          <w:szCs w:val="26"/>
        </w:rPr>
        <w:t xml:space="preserve"> was represented by counsel, presented the testimony of </w:t>
      </w:r>
      <w:r w:rsidR="00566EAA" w:rsidRPr="00566EAA">
        <w:rPr>
          <w:color w:val="000000" w:themeColor="text1"/>
          <w:sz w:val="26"/>
          <w:szCs w:val="26"/>
        </w:rPr>
        <w:t>one</w:t>
      </w:r>
      <w:r w:rsidR="00B363F5" w:rsidRPr="00566EAA">
        <w:rPr>
          <w:color w:val="000000" w:themeColor="text1"/>
          <w:sz w:val="26"/>
          <w:szCs w:val="26"/>
        </w:rPr>
        <w:t xml:space="preserve"> witness and </w:t>
      </w:r>
      <w:r w:rsidR="00075186">
        <w:rPr>
          <w:color w:val="000000" w:themeColor="text1"/>
          <w:sz w:val="26"/>
          <w:szCs w:val="26"/>
        </w:rPr>
        <w:t>introduced</w:t>
      </w:r>
      <w:r w:rsidR="00B363F5" w:rsidRPr="00566EAA">
        <w:rPr>
          <w:color w:val="000000" w:themeColor="text1"/>
          <w:sz w:val="26"/>
          <w:szCs w:val="26"/>
        </w:rPr>
        <w:t xml:space="preserve"> </w:t>
      </w:r>
      <w:r w:rsidR="00566EAA" w:rsidRPr="00566EAA">
        <w:rPr>
          <w:color w:val="000000" w:themeColor="text1"/>
          <w:sz w:val="26"/>
          <w:szCs w:val="26"/>
        </w:rPr>
        <w:t xml:space="preserve">one </w:t>
      </w:r>
      <w:r w:rsidR="00B363F5" w:rsidRPr="00566EAA">
        <w:rPr>
          <w:color w:val="000000" w:themeColor="text1"/>
          <w:sz w:val="26"/>
          <w:szCs w:val="26"/>
        </w:rPr>
        <w:t xml:space="preserve">exhibit.  </w:t>
      </w:r>
      <w:r w:rsidR="00A12EFE" w:rsidRPr="00566EAA">
        <w:rPr>
          <w:color w:val="000000" w:themeColor="text1"/>
          <w:sz w:val="26"/>
          <w:szCs w:val="26"/>
        </w:rPr>
        <w:t xml:space="preserve">The hearing resulted in a transcript of </w:t>
      </w:r>
      <w:r w:rsidR="00566EAA" w:rsidRPr="00566EAA">
        <w:rPr>
          <w:color w:val="000000" w:themeColor="text1"/>
          <w:sz w:val="26"/>
          <w:szCs w:val="26"/>
        </w:rPr>
        <w:t>forty-three</w:t>
      </w:r>
      <w:r w:rsidR="00A12EFE" w:rsidRPr="00566EAA">
        <w:rPr>
          <w:color w:val="000000" w:themeColor="text1"/>
          <w:sz w:val="26"/>
          <w:szCs w:val="26"/>
        </w:rPr>
        <w:t xml:space="preserve"> pages.  </w:t>
      </w:r>
    </w:p>
    <w:p w:rsidR="00D328A3" w:rsidRPr="00257B0B" w:rsidRDefault="00D328A3" w:rsidP="000D706D">
      <w:pPr>
        <w:pStyle w:val="ParaTab1"/>
        <w:spacing w:line="360" w:lineRule="auto"/>
        <w:ind w:left="90" w:firstLine="1350"/>
        <w:rPr>
          <w:color w:val="00B050"/>
          <w:sz w:val="26"/>
          <w:szCs w:val="26"/>
        </w:rPr>
      </w:pPr>
    </w:p>
    <w:p w:rsidR="0009384E" w:rsidRDefault="00EB1AD7" w:rsidP="000D706D">
      <w:pPr>
        <w:pStyle w:val="ParaTab1"/>
        <w:spacing w:line="360" w:lineRule="auto"/>
        <w:ind w:left="90" w:firstLine="1350"/>
        <w:rPr>
          <w:color w:val="000000" w:themeColor="text1"/>
          <w:sz w:val="26"/>
          <w:szCs w:val="26"/>
        </w:rPr>
      </w:pPr>
      <w:r w:rsidRPr="00AD1A62">
        <w:rPr>
          <w:color w:val="000000" w:themeColor="text1"/>
          <w:sz w:val="26"/>
          <w:szCs w:val="26"/>
        </w:rPr>
        <w:t xml:space="preserve">By Initial Decision issued </w:t>
      </w:r>
      <w:r w:rsidR="00C96947" w:rsidRPr="00AD1A62">
        <w:rPr>
          <w:color w:val="000000" w:themeColor="text1"/>
          <w:sz w:val="26"/>
          <w:szCs w:val="26"/>
        </w:rPr>
        <w:t>December 21, 20</w:t>
      </w:r>
      <w:r w:rsidR="00075186">
        <w:rPr>
          <w:color w:val="000000" w:themeColor="text1"/>
          <w:sz w:val="26"/>
          <w:szCs w:val="26"/>
        </w:rPr>
        <w:t>09</w:t>
      </w:r>
      <w:r w:rsidR="00C96947" w:rsidRPr="00AD1A62">
        <w:rPr>
          <w:color w:val="000000" w:themeColor="text1"/>
          <w:sz w:val="26"/>
          <w:szCs w:val="26"/>
        </w:rPr>
        <w:t xml:space="preserve">, the </w:t>
      </w:r>
      <w:r w:rsidRPr="00AD1A62">
        <w:rPr>
          <w:color w:val="000000" w:themeColor="text1"/>
          <w:sz w:val="26"/>
          <w:szCs w:val="26"/>
        </w:rPr>
        <w:t xml:space="preserve">ALJ </w:t>
      </w:r>
      <w:r w:rsidR="00883D89" w:rsidRPr="00AD1A62">
        <w:rPr>
          <w:color w:val="000000" w:themeColor="text1"/>
          <w:sz w:val="26"/>
          <w:szCs w:val="26"/>
        </w:rPr>
        <w:t>d</w:t>
      </w:r>
      <w:r w:rsidR="002A5BE3" w:rsidRPr="00AD1A62">
        <w:rPr>
          <w:color w:val="000000" w:themeColor="text1"/>
          <w:sz w:val="26"/>
          <w:szCs w:val="26"/>
        </w:rPr>
        <w:t>enied</w:t>
      </w:r>
      <w:r w:rsidR="00883D89" w:rsidRPr="00AD1A62">
        <w:rPr>
          <w:color w:val="000000" w:themeColor="text1"/>
          <w:sz w:val="26"/>
          <w:szCs w:val="26"/>
        </w:rPr>
        <w:t xml:space="preserve"> </w:t>
      </w:r>
      <w:r w:rsidRPr="00AD1A62">
        <w:rPr>
          <w:color w:val="000000" w:themeColor="text1"/>
          <w:sz w:val="26"/>
          <w:szCs w:val="26"/>
        </w:rPr>
        <w:t>the Complaint</w:t>
      </w:r>
      <w:r w:rsidR="000E0F14">
        <w:rPr>
          <w:color w:val="000000" w:themeColor="text1"/>
          <w:sz w:val="26"/>
          <w:szCs w:val="26"/>
        </w:rPr>
        <w:t>,</w:t>
      </w:r>
      <w:r w:rsidR="002A5BE3" w:rsidRPr="00AD1A62">
        <w:rPr>
          <w:color w:val="000000" w:themeColor="text1"/>
          <w:sz w:val="26"/>
          <w:szCs w:val="26"/>
        </w:rPr>
        <w:t xml:space="preserve"> in</w:t>
      </w:r>
      <w:r w:rsidR="00C96947" w:rsidRPr="00AD1A62">
        <w:rPr>
          <w:color w:val="000000" w:themeColor="text1"/>
          <w:sz w:val="26"/>
          <w:szCs w:val="26"/>
        </w:rPr>
        <w:t xml:space="preserve"> part</w:t>
      </w:r>
      <w:r w:rsidR="000E0F14">
        <w:rPr>
          <w:color w:val="000000" w:themeColor="text1"/>
          <w:sz w:val="26"/>
          <w:szCs w:val="26"/>
        </w:rPr>
        <w:t>,</w:t>
      </w:r>
      <w:r w:rsidR="00C96947" w:rsidRPr="00AD1A62">
        <w:rPr>
          <w:color w:val="000000" w:themeColor="text1"/>
          <w:sz w:val="26"/>
          <w:szCs w:val="26"/>
        </w:rPr>
        <w:t xml:space="preserve"> and </w:t>
      </w:r>
      <w:r w:rsidR="002A5BE3" w:rsidRPr="00AD1A62">
        <w:rPr>
          <w:color w:val="000000" w:themeColor="text1"/>
          <w:sz w:val="26"/>
          <w:szCs w:val="26"/>
        </w:rPr>
        <w:t>sustained</w:t>
      </w:r>
      <w:r w:rsidR="000E0F14">
        <w:rPr>
          <w:color w:val="000000" w:themeColor="text1"/>
          <w:sz w:val="26"/>
          <w:szCs w:val="26"/>
        </w:rPr>
        <w:t>,</w:t>
      </w:r>
      <w:r w:rsidR="002A5BE3" w:rsidRPr="00AD1A62">
        <w:rPr>
          <w:color w:val="000000" w:themeColor="text1"/>
          <w:sz w:val="26"/>
          <w:szCs w:val="26"/>
        </w:rPr>
        <w:t xml:space="preserve"> it in part. </w:t>
      </w:r>
      <w:r w:rsidR="00C57822" w:rsidRPr="00AD1A62">
        <w:rPr>
          <w:color w:val="000000" w:themeColor="text1"/>
          <w:sz w:val="26"/>
          <w:szCs w:val="26"/>
        </w:rPr>
        <w:t xml:space="preserve"> The ALJ </w:t>
      </w:r>
      <w:r w:rsidR="002A5BE3" w:rsidRPr="00AD1A62">
        <w:rPr>
          <w:color w:val="000000" w:themeColor="text1"/>
          <w:sz w:val="26"/>
          <w:szCs w:val="26"/>
        </w:rPr>
        <w:t xml:space="preserve">denied the Complaint insofar as it sought to continue the existing rate reductions of </w:t>
      </w:r>
      <w:r w:rsidR="008C28A0">
        <w:rPr>
          <w:color w:val="000000" w:themeColor="text1"/>
          <w:sz w:val="26"/>
          <w:szCs w:val="26"/>
        </w:rPr>
        <w:t>t</w:t>
      </w:r>
      <w:r w:rsidR="003F7944">
        <w:rPr>
          <w:color w:val="000000" w:themeColor="text1"/>
          <w:sz w:val="26"/>
          <w:szCs w:val="26"/>
        </w:rPr>
        <w:t>he RTS Rate</w:t>
      </w:r>
      <w:r w:rsidR="002A5BE3" w:rsidRPr="00AD1A62">
        <w:rPr>
          <w:color w:val="000000" w:themeColor="text1"/>
          <w:sz w:val="26"/>
          <w:szCs w:val="26"/>
        </w:rPr>
        <w:t xml:space="preserve">.  The ALJ sustained the Complaint insofar as it </w:t>
      </w:r>
      <w:r w:rsidR="00AD1A62">
        <w:rPr>
          <w:color w:val="000000" w:themeColor="text1"/>
          <w:sz w:val="26"/>
          <w:szCs w:val="26"/>
        </w:rPr>
        <w:t>sought</w:t>
      </w:r>
      <w:r w:rsidR="007C058E" w:rsidRPr="00AD1A62">
        <w:rPr>
          <w:color w:val="000000" w:themeColor="text1"/>
          <w:sz w:val="26"/>
          <w:szCs w:val="26"/>
        </w:rPr>
        <w:t xml:space="preserve"> a finding that the actions of PPL constituted inadequate service when </w:t>
      </w:r>
      <w:r w:rsidR="00AD1A62">
        <w:rPr>
          <w:color w:val="000000" w:themeColor="text1"/>
          <w:sz w:val="26"/>
          <w:szCs w:val="26"/>
        </w:rPr>
        <w:t>PPL</w:t>
      </w:r>
      <w:r w:rsidR="007C058E" w:rsidRPr="00AD1A62">
        <w:rPr>
          <w:color w:val="000000" w:themeColor="text1"/>
          <w:sz w:val="26"/>
          <w:szCs w:val="26"/>
        </w:rPr>
        <w:t xml:space="preserve"> failed to provide </w:t>
      </w:r>
      <w:r w:rsidR="00047459">
        <w:rPr>
          <w:color w:val="000000" w:themeColor="text1"/>
          <w:sz w:val="26"/>
          <w:szCs w:val="26"/>
        </w:rPr>
        <w:t>accurate</w:t>
      </w:r>
      <w:r w:rsidR="007C058E" w:rsidRPr="00AD1A62">
        <w:rPr>
          <w:color w:val="000000" w:themeColor="text1"/>
          <w:sz w:val="26"/>
          <w:szCs w:val="26"/>
        </w:rPr>
        <w:t xml:space="preserve"> information when the Complainants inquired about the future of the RTS </w:t>
      </w:r>
      <w:r w:rsidR="0088067F">
        <w:rPr>
          <w:color w:val="000000" w:themeColor="text1"/>
          <w:sz w:val="26"/>
          <w:szCs w:val="26"/>
        </w:rPr>
        <w:t>R</w:t>
      </w:r>
      <w:r w:rsidR="007C058E" w:rsidRPr="00AD1A62">
        <w:rPr>
          <w:color w:val="000000" w:themeColor="text1"/>
          <w:sz w:val="26"/>
          <w:szCs w:val="26"/>
        </w:rPr>
        <w:t xml:space="preserve">ate.  </w:t>
      </w:r>
      <w:r w:rsidR="00394B62">
        <w:rPr>
          <w:color w:val="000000" w:themeColor="text1"/>
          <w:sz w:val="26"/>
          <w:szCs w:val="26"/>
        </w:rPr>
        <w:t>I.D.</w:t>
      </w:r>
      <w:r w:rsidR="00AD1A62" w:rsidRPr="00AD1A62">
        <w:rPr>
          <w:color w:val="000000" w:themeColor="text1"/>
          <w:sz w:val="26"/>
          <w:szCs w:val="26"/>
        </w:rPr>
        <w:t xml:space="preserve"> at 13.  The ALJ found </w:t>
      </w:r>
      <w:r w:rsidR="00AD1A62">
        <w:rPr>
          <w:color w:val="000000" w:themeColor="text1"/>
          <w:sz w:val="26"/>
          <w:szCs w:val="26"/>
        </w:rPr>
        <w:t xml:space="preserve">that PPL’s failure to provide </w:t>
      </w:r>
      <w:r w:rsidR="00047459">
        <w:rPr>
          <w:color w:val="000000" w:themeColor="text1"/>
          <w:sz w:val="26"/>
          <w:szCs w:val="26"/>
        </w:rPr>
        <w:t>accurate</w:t>
      </w:r>
      <w:r w:rsidR="00AD1A62">
        <w:rPr>
          <w:color w:val="000000" w:themeColor="text1"/>
          <w:sz w:val="26"/>
          <w:szCs w:val="26"/>
        </w:rPr>
        <w:t xml:space="preserve"> information constituted inadequate service within the meaning of </w:t>
      </w:r>
      <w:r w:rsidR="003721EA">
        <w:rPr>
          <w:color w:val="000000" w:themeColor="text1"/>
          <w:sz w:val="26"/>
          <w:szCs w:val="26"/>
        </w:rPr>
        <w:t xml:space="preserve">     </w:t>
      </w:r>
      <w:r w:rsidR="00AD1A62">
        <w:rPr>
          <w:color w:val="000000" w:themeColor="text1"/>
          <w:sz w:val="26"/>
          <w:szCs w:val="26"/>
        </w:rPr>
        <w:t xml:space="preserve">66 Pa. C.S. </w:t>
      </w:r>
      <w:r w:rsidR="00AD1A62">
        <w:rPr>
          <w:rFonts w:ascii="Times New Roman" w:hAnsi="Times New Roman" w:cs="Times New Roman"/>
          <w:color w:val="000000" w:themeColor="text1"/>
          <w:sz w:val="26"/>
          <w:szCs w:val="26"/>
        </w:rPr>
        <w:t>§</w:t>
      </w:r>
      <w:r w:rsidR="00AD1A62">
        <w:rPr>
          <w:color w:val="000000" w:themeColor="text1"/>
          <w:sz w:val="26"/>
          <w:szCs w:val="26"/>
        </w:rPr>
        <w:t xml:space="preserve"> 1501. </w:t>
      </w:r>
      <w:r w:rsidR="003721EA">
        <w:rPr>
          <w:color w:val="000000" w:themeColor="text1"/>
          <w:sz w:val="26"/>
          <w:szCs w:val="26"/>
        </w:rPr>
        <w:t xml:space="preserve"> </w:t>
      </w:r>
      <w:r w:rsidR="00394B62">
        <w:rPr>
          <w:color w:val="000000" w:themeColor="text1"/>
          <w:sz w:val="26"/>
          <w:szCs w:val="26"/>
        </w:rPr>
        <w:t>I.D.</w:t>
      </w:r>
      <w:r w:rsidR="003721EA">
        <w:rPr>
          <w:color w:val="000000" w:themeColor="text1"/>
          <w:sz w:val="26"/>
          <w:szCs w:val="26"/>
        </w:rPr>
        <w:t xml:space="preserve"> at 12.  </w:t>
      </w:r>
      <w:r w:rsidR="007C058E" w:rsidRPr="00AD1A62">
        <w:rPr>
          <w:color w:val="000000" w:themeColor="text1"/>
          <w:sz w:val="26"/>
          <w:szCs w:val="26"/>
        </w:rPr>
        <w:t xml:space="preserve">The ALJ directed PPL to cease and desist </w:t>
      </w:r>
      <w:r w:rsidR="003721EA">
        <w:rPr>
          <w:color w:val="000000" w:themeColor="text1"/>
          <w:sz w:val="26"/>
          <w:szCs w:val="26"/>
        </w:rPr>
        <w:t xml:space="preserve">violating the Public Utility Code </w:t>
      </w:r>
      <w:r w:rsidR="008F3A80">
        <w:rPr>
          <w:color w:val="000000" w:themeColor="text1"/>
          <w:sz w:val="26"/>
          <w:szCs w:val="26"/>
        </w:rPr>
        <w:t>(Code</w:t>
      </w:r>
      <w:r w:rsidR="00811AC6">
        <w:rPr>
          <w:color w:val="000000" w:themeColor="text1"/>
          <w:sz w:val="26"/>
          <w:szCs w:val="26"/>
        </w:rPr>
        <w:t>)</w:t>
      </w:r>
      <w:r w:rsidR="00925511">
        <w:rPr>
          <w:color w:val="000000" w:themeColor="text1"/>
          <w:sz w:val="26"/>
          <w:szCs w:val="26"/>
        </w:rPr>
        <w:t xml:space="preserve"> </w:t>
      </w:r>
      <w:r w:rsidR="003721EA">
        <w:rPr>
          <w:color w:val="000000" w:themeColor="text1"/>
          <w:sz w:val="26"/>
          <w:szCs w:val="26"/>
        </w:rPr>
        <w:t xml:space="preserve">by providing inadequate service.  </w:t>
      </w:r>
      <w:r w:rsidR="00394B62">
        <w:rPr>
          <w:color w:val="000000" w:themeColor="text1"/>
          <w:sz w:val="26"/>
          <w:szCs w:val="26"/>
        </w:rPr>
        <w:t>I.D.</w:t>
      </w:r>
      <w:r w:rsidR="003721EA">
        <w:rPr>
          <w:color w:val="000000" w:themeColor="text1"/>
          <w:sz w:val="26"/>
          <w:szCs w:val="26"/>
        </w:rPr>
        <w:t xml:space="preserve"> at 13. </w:t>
      </w:r>
    </w:p>
    <w:p w:rsidR="003721EA" w:rsidRDefault="003721EA" w:rsidP="000D706D">
      <w:pPr>
        <w:pStyle w:val="ParaTab1"/>
        <w:spacing w:line="360" w:lineRule="auto"/>
        <w:ind w:left="90" w:firstLine="1350"/>
        <w:rPr>
          <w:color w:val="000000" w:themeColor="text1"/>
          <w:sz w:val="26"/>
          <w:szCs w:val="26"/>
        </w:rPr>
      </w:pPr>
    </w:p>
    <w:p w:rsidR="006371ED" w:rsidRPr="00B3261B" w:rsidRDefault="00EB6BD6" w:rsidP="00A97FD8">
      <w:pPr>
        <w:keepNext/>
        <w:ind w:firstLine="0"/>
        <w:jc w:val="center"/>
        <w:rPr>
          <w:b/>
          <w:color w:val="000000" w:themeColor="text1"/>
          <w:szCs w:val="26"/>
        </w:rPr>
      </w:pPr>
      <w:r w:rsidRPr="00B3261B">
        <w:rPr>
          <w:b/>
          <w:color w:val="000000" w:themeColor="text1"/>
          <w:szCs w:val="26"/>
        </w:rPr>
        <w:t>Discussion</w:t>
      </w:r>
    </w:p>
    <w:p w:rsidR="000D706D" w:rsidRPr="00B3261B" w:rsidRDefault="000D706D" w:rsidP="000D706D">
      <w:pPr>
        <w:keepNext/>
        <w:jc w:val="center"/>
        <w:rPr>
          <w:b/>
          <w:color w:val="000000" w:themeColor="text1"/>
          <w:szCs w:val="26"/>
          <w:u w:val="single"/>
        </w:rPr>
      </w:pPr>
    </w:p>
    <w:p w:rsidR="00B8247B" w:rsidRPr="00B3261B" w:rsidRDefault="00B8247B" w:rsidP="00B8247B">
      <w:pPr>
        <w:widowControl/>
        <w:suppressAutoHyphens/>
        <w:rPr>
          <w:rFonts w:cs="Times New Roman"/>
          <w:color w:val="000000" w:themeColor="text1"/>
          <w:spacing w:val="-3"/>
          <w:szCs w:val="26"/>
          <w:u w:val="single"/>
        </w:rPr>
      </w:pPr>
      <w:r w:rsidRPr="00B3261B">
        <w:rPr>
          <w:color w:val="000000" w:themeColor="text1"/>
          <w:szCs w:val="26"/>
        </w:rPr>
        <w:t>As the proponent of a rule or order, the Complainant</w:t>
      </w:r>
      <w:r w:rsidR="00047459">
        <w:rPr>
          <w:color w:val="000000" w:themeColor="text1"/>
          <w:szCs w:val="26"/>
        </w:rPr>
        <w:t>s</w:t>
      </w:r>
      <w:r w:rsidR="009D4E21" w:rsidRPr="00B3261B">
        <w:rPr>
          <w:color w:val="000000" w:themeColor="text1"/>
          <w:szCs w:val="26"/>
        </w:rPr>
        <w:t xml:space="preserve"> </w:t>
      </w:r>
      <w:r w:rsidRPr="00B3261B">
        <w:rPr>
          <w:color w:val="000000" w:themeColor="text1"/>
          <w:szCs w:val="26"/>
        </w:rPr>
        <w:t>in this proceeding bear the burden of proof pursuant to Section</w:t>
      </w:r>
      <w:r w:rsidR="006B3721" w:rsidRPr="00B3261B">
        <w:rPr>
          <w:color w:val="000000" w:themeColor="text1"/>
          <w:szCs w:val="26"/>
        </w:rPr>
        <w:t xml:space="preserve"> </w:t>
      </w:r>
      <w:r w:rsidRPr="00B3261B">
        <w:rPr>
          <w:color w:val="000000" w:themeColor="text1"/>
          <w:szCs w:val="26"/>
        </w:rPr>
        <w:t xml:space="preserve">332(a) of the Code.  66 Pa. C.S. § 332(a).  </w:t>
      </w:r>
      <w:r w:rsidR="00AF055D" w:rsidRPr="00B3261B">
        <w:rPr>
          <w:rFonts w:cs="Times New Roman"/>
          <w:color w:val="000000" w:themeColor="text1"/>
          <w:szCs w:val="26"/>
        </w:rPr>
        <w:t xml:space="preserve">To satisfy this burden, the Complainants must demonstrate that the changes to </w:t>
      </w:r>
      <w:r w:rsidR="00047459">
        <w:rPr>
          <w:rFonts w:cs="Times New Roman"/>
          <w:color w:val="000000" w:themeColor="text1"/>
          <w:szCs w:val="26"/>
        </w:rPr>
        <w:t>t</w:t>
      </w:r>
      <w:r w:rsidR="00AF055D">
        <w:rPr>
          <w:rFonts w:cs="Times New Roman"/>
          <w:color w:val="000000" w:themeColor="text1"/>
          <w:szCs w:val="26"/>
        </w:rPr>
        <w:t xml:space="preserve">he RTS </w:t>
      </w:r>
      <w:r w:rsidR="00AF055D">
        <w:rPr>
          <w:rFonts w:cs="Times New Roman"/>
          <w:color w:val="000000" w:themeColor="text1"/>
          <w:szCs w:val="26"/>
        </w:rPr>
        <w:lastRenderedPageBreak/>
        <w:t xml:space="preserve">Rate </w:t>
      </w:r>
      <w:r w:rsidR="00AF055D" w:rsidRPr="00B3261B">
        <w:rPr>
          <w:rFonts w:cs="Times New Roman"/>
          <w:color w:val="000000" w:themeColor="text1"/>
          <w:szCs w:val="26"/>
        </w:rPr>
        <w:t>or the customer service provided by PPL are in violation of the Code, Commission Regulation or Order of the Commission.</w:t>
      </w:r>
      <w:r w:rsidR="00AF055D">
        <w:rPr>
          <w:rFonts w:cs="Times New Roman"/>
          <w:color w:val="000000" w:themeColor="text1"/>
          <w:szCs w:val="26"/>
        </w:rPr>
        <w:t xml:space="preserve"> </w:t>
      </w:r>
      <w:r w:rsidR="00AF055D" w:rsidRPr="00B3261B">
        <w:rPr>
          <w:rFonts w:cs="Times New Roman"/>
          <w:color w:val="000000" w:themeColor="text1"/>
          <w:szCs w:val="26"/>
        </w:rPr>
        <w:t xml:space="preserve"> </w:t>
      </w:r>
      <w:r w:rsidRPr="00B3261B">
        <w:rPr>
          <w:rFonts w:cs="Times New Roman"/>
          <w:color w:val="000000" w:themeColor="text1"/>
          <w:szCs w:val="26"/>
        </w:rPr>
        <w:t>This must be shown by a preponderance of the evidence.  66 Pa. C.S. §</w:t>
      </w:r>
      <w:r w:rsidR="008D62C8">
        <w:rPr>
          <w:rFonts w:cs="Times New Roman"/>
          <w:color w:val="000000" w:themeColor="text1"/>
          <w:szCs w:val="26"/>
        </w:rPr>
        <w:t xml:space="preserve"> </w:t>
      </w:r>
      <w:r w:rsidRPr="00B3261B">
        <w:rPr>
          <w:rFonts w:cs="Times New Roman"/>
          <w:color w:val="000000" w:themeColor="text1"/>
          <w:szCs w:val="26"/>
        </w:rPr>
        <w:t xml:space="preserve">701; </w:t>
      </w:r>
      <w:r w:rsidRPr="00B3261B">
        <w:rPr>
          <w:rFonts w:cs="Times New Roman"/>
          <w:i/>
          <w:color w:val="000000" w:themeColor="text1"/>
          <w:szCs w:val="26"/>
        </w:rPr>
        <w:t>Patterson v. Bell Telephone Company of Pennsylvania,</w:t>
      </w:r>
      <w:r w:rsidRPr="00B3261B">
        <w:rPr>
          <w:rFonts w:cs="Times New Roman"/>
          <w:color w:val="000000" w:themeColor="text1"/>
          <w:szCs w:val="26"/>
        </w:rPr>
        <w:t xml:space="preserve"> 72 P</w:t>
      </w:r>
      <w:r w:rsidR="00047459">
        <w:rPr>
          <w:rFonts w:cs="Times New Roman"/>
          <w:color w:val="000000" w:themeColor="text1"/>
          <w:szCs w:val="26"/>
        </w:rPr>
        <w:t>a.</w:t>
      </w:r>
      <w:r w:rsidRPr="00B3261B">
        <w:rPr>
          <w:rFonts w:cs="Times New Roman"/>
          <w:color w:val="000000" w:themeColor="text1"/>
          <w:szCs w:val="26"/>
        </w:rPr>
        <w:t xml:space="preserve"> P</w:t>
      </w:r>
      <w:r w:rsidR="000E0F14">
        <w:rPr>
          <w:rFonts w:cs="Times New Roman"/>
          <w:color w:val="000000" w:themeColor="text1"/>
          <w:szCs w:val="26"/>
        </w:rPr>
        <w:t>.</w:t>
      </w:r>
      <w:r w:rsidRPr="00B3261B">
        <w:rPr>
          <w:rFonts w:cs="Times New Roman"/>
          <w:color w:val="000000" w:themeColor="text1"/>
          <w:szCs w:val="26"/>
        </w:rPr>
        <w:t>U</w:t>
      </w:r>
      <w:r w:rsidR="000E0F14">
        <w:rPr>
          <w:rFonts w:cs="Times New Roman"/>
          <w:color w:val="000000" w:themeColor="text1"/>
          <w:szCs w:val="26"/>
        </w:rPr>
        <w:t>.</w:t>
      </w:r>
      <w:r w:rsidRPr="00B3261B">
        <w:rPr>
          <w:rFonts w:cs="Times New Roman"/>
          <w:color w:val="000000" w:themeColor="text1"/>
          <w:szCs w:val="26"/>
        </w:rPr>
        <w:t>C</w:t>
      </w:r>
      <w:r w:rsidR="000E0F14">
        <w:rPr>
          <w:rFonts w:cs="Times New Roman"/>
          <w:color w:val="000000" w:themeColor="text1"/>
          <w:szCs w:val="26"/>
        </w:rPr>
        <w:t>.</w:t>
      </w:r>
      <w:r w:rsidRPr="00B3261B">
        <w:rPr>
          <w:rFonts w:cs="Times New Roman"/>
          <w:color w:val="000000" w:themeColor="text1"/>
          <w:szCs w:val="26"/>
        </w:rPr>
        <w:t xml:space="preserve"> 196 (1990).  Preponderance of the evidence means that the party with the burden of proof has presented evidence that is more convincing than that presented by the other party.  </w:t>
      </w:r>
      <w:r w:rsidRPr="00B3261B">
        <w:rPr>
          <w:rFonts w:cs="Times New Roman"/>
          <w:i/>
          <w:color w:val="000000" w:themeColor="text1"/>
          <w:szCs w:val="26"/>
        </w:rPr>
        <w:t>Samuel J. Lansberry, Inc. v. Pa. PUC</w:t>
      </w:r>
      <w:r w:rsidRPr="00B3261B">
        <w:rPr>
          <w:rFonts w:cs="Times New Roman"/>
          <w:color w:val="000000" w:themeColor="text1"/>
          <w:szCs w:val="26"/>
        </w:rPr>
        <w:t>,</w:t>
      </w:r>
      <w:r w:rsidRPr="00B3261B">
        <w:rPr>
          <w:rFonts w:cs="Times New Roman"/>
          <w:i/>
          <w:color w:val="000000" w:themeColor="text1"/>
          <w:szCs w:val="26"/>
        </w:rPr>
        <w:t xml:space="preserve"> </w:t>
      </w:r>
      <w:r w:rsidRPr="00B3261B">
        <w:rPr>
          <w:rFonts w:cs="Times New Roman"/>
          <w:color w:val="000000" w:themeColor="text1"/>
          <w:szCs w:val="26"/>
        </w:rPr>
        <w:t xml:space="preserve">578 A.2d 600, </w:t>
      </w:r>
      <w:r w:rsidRPr="00B3261B">
        <w:rPr>
          <w:rFonts w:cs="Times New Roman"/>
          <w:i/>
          <w:color w:val="000000" w:themeColor="text1"/>
          <w:szCs w:val="26"/>
        </w:rPr>
        <w:t>alloc. den</w:t>
      </w:r>
      <w:r w:rsidRPr="00B3261B">
        <w:rPr>
          <w:rFonts w:cs="Times New Roman"/>
          <w:color w:val="000000" w:themeColor="text1"/>
          <w:szCs w:val="26"/>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B3261B">
        <w:rPr>
          <w:rFonts w:cs="Times New Roman"/>
          <w:i/>
          <w:color w:val="000000" w:themeColor="text1"/>
          <w:szCs w:val="26"/>
        </w:rPr>
        <w:t>Norf</w:t>
      </w:r>
      <w:r w:rsidR="00047459">
        <w:rPr>
          <w:rFonts w:cs="Times New Roman"/>
          <w:i/>
          <w:color w:val="000000" w:themeColor="text1"/>
          <w:szCs w:val="26"/>
        </w:rPr>
        <w:t>olk and Western Railway v. Pa. P</w:t>
      </w:r>
      <w:r w:rsidRPr="00B3261B">
        <w:rPr>
          <w:rFonts w:cs="Times New Roman"/>
          <w:i/>
          <w:color w:val="000000" w:themeColor="text1"/>
          <w:szCs w:val="26"/>
        </w:rPr>
        <w:t>UC</w:t>
      </w:r>
      <w:r w:rsidRPr="00B3261B">
        <w:rPr>
          <w:rFonts w:cs="Times New Roman"/>
          <w:color w:val="000000" w:themeColor="text1"/>
          <w:szCs w:val="26"/>
        </w:rPr>
        <w:t>, 489 Pa. 109, 413 A.2d 1037 (1980).</w:t>
      </w:r>
    </w:p>
    <w:p w:rsidR="00B8247B" w:rsidRPr="00B3261B" w:rsidRDefault="00B8247B" w:rsidP="00B8247B">
      <w:pPr>
        <w:widowControl/>
        <w:rPr>
          <w:color w:val="000000" w:themeColor="text1"/>
        </w:rPr>
      </w:pPr>
    </w:p>
    <w:p w:rsidR="00B8247B" w:rsidRPr="00E84060" w:rsidRDefault="00B8247B" w:rsidP="00B8247B">
      <w:pPr>
        <w:widowControl/>
        <w:rPr>
          <w:color w:val="000000" w:themeColor="text1"/>
          <w:szCs w:val="26"/>
        </w:rPr>
      </w:pPr>
      <w:r w:rsidRPr="00E84060">
        <w:rPr>
          <w:color w:val="000000" w:themeColor="text1"/>
          <w:szCs w:val="26"/>
        </w:rPr>
        <w:t>Upon the presentation by the Complainant</w:t>
      </w:r>
      <w:r w:rsidR="00B3261B" w:rsidRPr="00E84060">
        <w:rPr>
          <w:color w:val="000000" w:themeColor="text1"/>
          <w:szCs w:val="26"/>
        </w:rPr>
        <w:t>s</w:t>
      </w:r>
      <w:r w:rsidRPr="00E84060">
        <w:rPr>
          <w:color w:val="000000" w:themeColor="text1"/>
          <w:szCs w:val="26"/>
        </w:rPr>
        <w:t xml:space="preserve"> of evidence sufficient to initially satisfy the burden of proof, the burden of going forward with the evidence, to rebut the evidence of the Complainants, shifts to </w:t>
      </w:r>
      <w:r w:rsidR="00B3261B" w:rsidRPr="00E84060">
        <w:rPr>
          <w:color w:val="000000" w:themeColor="text1"/>
          <w:szCs w:val="26"/>
        </w:rPr>
        <w:t>PPL</w:t>
      </w:r>
      <w:r w:rsidR="00583B3E" w:rsidRPr="00E84060">
        <w:rPr>
          <w:color w:val="000000" w:themeColor="text1"/>
          <w:szCs w:val="26"/>
        </w:rPr>
        <w:t>.</w:t>
      </w:r>
      <w:r w:rsidRPr="00E84060">
        <w:rPr>
          <w:color w:val="000000" w:themeColor="text1"/>
          <w:szCs w:val="26"/>
        </w:rPr>
        <w:t xml:space="preserve">  If the evidence presented by </w:t>
      </w:r>
      <w:r w:rsidR="00B3261B" w:rsidRPr="00E84060">
        <w:rPr>
          <w:color w:val="000000" w:themeColor="text1"/>
          <w:szCs w:val="26"/>
        </w:rPr>
        <w:t>PPL</w:t>
      </w:r>
      <w:r w:rsidR="00583B3E" w:rsidRPr="00E84060">
        <w:rPr>
          <w:color w:val="000000" w:themeColor="text1"/>
          <w:szCs w:val="26"/>
        </w:rPr>
        <w:t xml:space="preserve"> </w:t>
      </w:r>
      <w:r w:rsidR="00F60EAE" w:rsidRPr="00E84060">
        <w:rPr>
          <w:color w:val="000000" w:themeColor="text1"/>
          <w:szCs w:val="26"/>
        </w:rPr>
        <w:t xml:space="preserve">is </w:t>
      </w:r>
      <w:r w:rsidRPr="00E84060">
        <w:rPr>
          <w:color w:val="000000" w:themeColor="text1"/>
          <w:szCs w:val="26"/>
        </w:rPr>
        <w:t>of co-equal weight, the Complainant</w:t>
      </w:r>
      <w:r w:rsidR="00E84060" w:rsidRPr="00E84060">
        <w:rPr>
          <w:color w:val="000000" w:themeColor="text1"/>
          <w:szCs w:val="26"/>
        </w:rPr>
        <w:t xml:space="preserve">s </w:t>
      </w:r>
      <w:r w:rsidRPr="00E84060">
        <w:rPr>
          <w:color w:val="000000" w:themeColor="text1"/>
          <w:szCs w:val="26"/>
        </w:rPr>
        <w:t>h</w:t>
      </w:r>
      <w:r w:rsidR="00C23B37">
        <w:rPr>
          <w:color w:val="000000" w:themeColor="text1"/>
          <w:szCs w:val="26"/>
        </w:rPr>
        <w:t>a</w:t>
      </w:r>
      <w:r w:rsidR="00E84060" w:rsidRPr="00E84060">
        <w:rPr>
          <w:color w:val="000000" w:themeColor="text1"/>
          <w:szCs w:val="26"/>
        </w:rPr>
        <w:t>ve</w:t>
      </w:r>
      <w:r w:rsidRPr="00E84060">
        <w:rPr>
          <w:color w:val="000000" w:themeColor="text1"/>
          <w:szCs w:val="26"/>
        </w:rPr>
        <w:t xml:space="preserve"> not satisfied </w:t>
      </w:r>
      <w:r w:rsidR="00E84060" w:rsidRPr="00E84060">
        <w:rPr>
          <w:color w:val="000000" w:themeColor="text1"/>
          <w:szCs w:val="26"/>
        </w:rPr>
        <w:t>their</w:t>
      </w:r>
      <w:r w:rsidRPr="00E84060">
        <w:rPr>
          <w:color w:val="000000" w:themeColor="text1"/>
          <w:szCs w:val="26"/>
        </w:rPr>
        <w:t xml:space="preserve"> burden of proof.  The Complainant</w:t>
      </w:r>
      <w:r w:rsidR="00E84060" w:rsidRPr="00E84060">
        <w:rPr>
          <w:color w:val="000000" w:themeColor="text1"/>
          <w:szCs w:val="26"/>
        </w:rPr>
        <w:t>s</w:t>
      </w:r>
      <w:r w:rsidRPr="00E84060">
        <w:rPr>
          <w:color w:val="000000" w:themeColor="text1"/>
          <w:szCs w:val="26"/>
        </w:rPr>
        <w:t xml:space="preserve"> now ha</w:t>
      </w:r>
      <w:r w:rsidR="00E84060" w:rsidRPr="00E84060">
        <w:rPr>
          <w:color w:val="000000" w:themeColor="text1"/>
          <w:szCs w:val="26"/>
        </w:rPr>
        <w:t>ve</w:t>
      </w:r>
      <w:r w:rsidRPr="00E84060">
        <w:rPr>
          <w:color w:val="000000" w:themeColor="text1"/>
          <w:szCs w:val="26"/>
        </w:rPr>
        <w:t xml:space="preserve"> to provide some additional evidence to rebut that of </w:t>
      </w:r>
      <w:r w:rsidR="00E84060" w:rsidRPr="00E84060">
        <w:rPr>
          <w:color w:val="000000" w:themeColor="text1"/>
          <w:szCs w:val="26"/>
        </w:rPr>
        <w:t>PPL</w:t>
      </w:r>
      <w:r w:rsidR="00583B3E" w:rsidRPr="00E84060">
        <w:rPr>
          <w:color w:val="000000" w:themeColor="text1"/>
          <w:szCs w:val="26"/>
        </w:rPr>
        <w:t>.</w:t>
      </w:r>
      <w:r w:rsidRPr="00E84060">
        <w:rPr>
          <w:color w:val="000000" w:themeColor="text1"/>
          <w:szCs w:val="26"/>
        </w:rPr>
        <w:t xml:space="preserve"> </w:t>
      </w:r>
      <w:r w:rsidRPr="00E84060">
        <w:rPr>
          <w:iCs/>
          <w:color w:val="000000" w:themeColor="text1"/>
          <w:szCs w:val="26"/>
        </w:rPr>
        <w:t xml:space="preserve"> </w:t>
      </w:r>
      <w:hyperlink r:id="rId8" w:history="1">
        <w:r w:rsidRPr="00E84060">
          <w:rPr>
            <w:rStyle w:val="Hyperlink"/>
            <w:i/>
            <w:iCs/>
            <w:color w:val="000000" w:themeColor="text1"/>
            <w:szCs w:val="26"/>
            <w:u w:val="none"/>
          </w:rPr>
          <w:t>Burleson v. Pa. PUC</w:t>
        </w:r>
        <w:r w:rsidRPr="00E84060">
          <w:rPr>
            <w:rStyle w:val="Hyperlink"/>
            <w:iCs/>
            <w:color w:val="000000" w:themeColor="text1"/>
            <w:szCs w:val="26"/>
            <w:u w:val="none"/>
          </w:rPr>
          <w:t>, 443 A.2d 1373 (Pa. Cmwlth. 1982),</w:t>
        </w:r>
        <w:r w:rsidRPr="008D62C8">
          <w:rPr>
            <w:rStyle w:val="Hyperlink"/>
            <w:i/>
            <w:iCs/>
            <w:color w:val="000000" w:themeColor="text1"/>
            <w:szCs w:val="26"/>
            <w:u w:val="none"/>
          </w:rPr>
          <w:t xml:space="preserve"> aff’d</w:t>
        </w:r>
        <w:r w:rsidRPr="00E84060">
          <w:rPr>
            <w:rStyle w:val="Hyperlink"/>
            <w:iCs/>
            <w:color w:val="000000" w:themeColor="text1"/>
            <w:szCs w:val="26"/>
            <w:u w:val="none"/>
          </w:rPr>
          <w:t>, 501 Pa. 433, 461 A.2d 1234 (1983).</w:t>
        </w:r>
      </w:hyperlink>
    </w:p>
    <w:p w:rsidR="00B8247B" w:rsidRPr="00257B0B" w:rsidRDefault="00B8247B" w:rsidP="00B8247B">
      <w:pPr>
        <w:widowControl/>
        <w:rPr>
          <w:color w:val="00B050"/>
        </w:rPr>
      </w:pPr>
    </w:p>
    <w:p w:rsidR="00B8247B" w:rsidRPr="00E84060" w:rsidRDefault="00B8247B" w:rsidP="00B8247B">
      <w:pPr>
        <w:widowControl/>
        <w:rPr>
          <w:i/>
          <w:color w:val="000000" w:themeColor="text1"/>
        </w:rPr>
      </w:pPr>
      <w:r w:rsidRPr="00E84060">
        <w:rPr>
          <w:color w:val="000000" w:themeColor="text1"/>
        </w:rPr>
        <w:t xml:space="preserve">While the burden of persuasion may </w:t>
      </w:r>
      <w:r w:rsidRPr="00E84060">
        <w:rPr>
          <w:rStyle w:val="term1"/>
          <w:b w:val="0"/>
          <w:bCs w:val="0"/>
          <w:color w:val="000000" w:themeColor="text1"/>
        </w:rPr>
        <w:t>shift</w:t>
      </w:r>
      <w:r w:rsidRPr="00E84060">
        <w:rPr>
          <w:color w:val="000000" w:themeColor="text1"/>
        </w:rPr>
        <w:t xml:space="preserve"> back and forth during a proceeding, the </w:t>
      </w:r>
      <w:r w:rsidRPr="00E84060">
        <w:rPr>
          <w:rStyle w:val="term1"/>
          <w:b w:val="0"/>
          <w:bCs w:val="0"/>
          <w:color w:val="000000" w:themeColor="text1"/>
        </w:rPr>
        <w:t>burden of proof</w:t>
      </w:r>
      <w:r w:rsidRPr="00E84060">
        <w:rPr>
          <w:color w:val="000000" w:themeColor="text1"/>
        </w:rPr>
        <w:t xml:space="preserve"> never </w:t>
      </w:r>
      <w:r w:rsidRPr="00E84060">
        <w:rPr>
          <w:rStyle w:val="term1"/>
          <w:b w:val="0"/>
          <w:bCs w:val="0"/>
          <w:color w:val="000000" w:themeColor="text1"/>
        </w:rPr>
        <w:t>shifts.  The burden of proof</w:t>
      </w:r>
      <w:r w:rsidRPr="00E84060">
        <w:rPr>
          <w:color w:val="000000" w:themeColor="text1"/>
        </w:rPr>
        <w:t xml:space="preserve"> always remains on the party seeking affirmative relief from the Commission.  </w:t>
      </w:r>
      <w:r w:rsidRPr="00E84060">
        <w:rPr>
          <w:i/>
          <w:color w:val="000000" w:themeColor="text1"/>
        </w:rPr>
        <w:t xml:space="preserve">Milkie v. Pa. PUC, </w:t>
      </w:r>
      <w:r w:rsidRPr="00E84060">
        <w:rPr>
          <w:color w:val="000000" w:themeColor="text1"/>
        </w:rPr>
        <w:t>768 A.2d 1217 (Pa. Cmwlth. 2001).</w:t>
      </w:r>
    </w:p>
    <w:p w:rsidR="00B8247B" w:rsidRDefault="00B8247B" w:rsidP="00B8247B">
      <w:pPr>
        <w:widowControl/>
        <w:suppressAutoHyphens/>
        <w:rPr>
          <w:rFonts w:cs="Times New Roman"/>
          <w:color w:val="00B050"/>
          <w:spacing w:val="-3"/>
          <w:szCs w:val="26"/>
          <w:u w:val="single"/>
        </w:rPr>
      </w:pPr>
    </w:p>
    <w:p w:rsidR="00B8247B" w:rsidRPr="00E84060" w:rsidRDefault="00B8247B" w:rsidP="00FC36FB">
      <w:pPr>
        <w:rPr>
          <w:color w:val="000000" w:themeColor="text1"/>
          <w:szCs w:val="26"/>
        </w:rPr>
      </w:pPr>
      <w:r w:rsidRPr="00E84060">
        <w:rPr>
          <w:color w:val="000000" w:themeColor="text1"/>
          <w:szCs w:val="26"/>
        </w:rPr>
        <w:t xml:space="preserve">The ALJ made </w:t>
      </w:r>
      <w:r w:rsidR="00E84060" w:rsidRPr="00E84060">
        <w:rPr>
          <w:color w:val="000000" w:themeColor="text1"/>
          <w:szCs w:val="26"/>
        </w:rPr>
        <w:t>eleven</w:t>
      </w:r>
      <w:r w:rsidR="00FC36FB" w:rsidRPr="00E84060">
        <w:rPr>
          <w:color w:val="000000" w:themeColor="text1"/>
          <w:szCs w:val="26"/>
        </w:rPr>
        <w:t xml:space="preserve"> </w:t>
      </w:r>
      <w:r w:rsidRPr="00E84060">
        <w:rPr>
          <w:color w:val="000000" w:themeColor="text1"/>
          <w:szCs w:val="26"/>
        </w:rPr>
        <w:t xml:space="preserve">Findings of Fact and reached </w:t>
      </w:r>
      <w:r w:rsidR="00E84060" w:rsidRPr="00E84060">
        <w:rPr>
          <w:color w:val="000000" w:themeColor="text1"/>
          <w:szCs w:val="26"/>
        </w:rPr>
        <w:t>six</w:t>
      </w:r>
      <w:r w:rsidR="002A3C31" w:rsidRPr="00E84060">
        <w:rPr>
          <w:color w:val="000000" w:themeColor="text1"/>
          <w:szCs w:val="26"/>
        </w:rPr>
        <w:t xml:space="preserve"> </w:t>
      </w:r>
      <w:r w:rsidRPr="00E84060">
        <w:rPr>
          <w:color w:val="000000" w:themeColor="text1"/>
          <w:szCs w:val="26"/>
        </w:rPr>
        <w:t xml:space="preserve">Conclusions of Law.  </w:t>
      </w:r>
      <w:bookmarkStart w:id="0" w:name="OLE_LINK1"/>
      <w:bookmarkStart w:id="1" w:name="OLE_LINK2"/>
      <w:r w:rsidRPr="00E84060">
        <w:rPr>
          <w:color w:val="000000" w:themeColor="text1"/>
          <w:szCs w:val="26"/>
        </w:rPr>
        <w:t xml:space="preserve">The Findings of Fact and Conclusions of Law are incorporated herein by reference and are adopted without comment unless they are either expressly or by necessary </w:t>
      </w:r>
      <w:r w:rsidRPr="00E84060">
        <w:rPr>
          <w:color w:val="000000" w:themeColor="text1"/>
          <w:szCs w:val="26"/>
        </w:rPr>
        <w:lastRenderedPageBreak/>
        <w:t>implication rejected or modified by this Opinion and Order.</w:t>
      </w:r>
      <w:bookmarkEnd w:id="0"/>
      <w:bookmarkEnd w:id="1"/>
    </w:p>
    <w:p w:rsidR="00B8247B" w:rsidRDefault="00B8247B" w:rsidP="00B8247B">
      <w:pPr>
        <w:jc w:val="center"/>
        <w:rPr>
          <w:b/>
          <w:color w:val="00B050"/>
          <w:szCs w:val="26"/>
          <w:u w:val="single"/>
        </w:rPr>
      </w:pPr>
    </w:p>
    <w:p w:rsidR="00F93CD6" w:rsidRPr="009C756D" w:rsidRDefault="007E0B75" w:rsidP="00F93CD6">
      <w:pPr>
        <w:widowControl/>
        <w:rPr>
          <w:rFonts w:ascii="Times New (W1)" w:hAnsi="Times New (W1)"/>
          <w:szCs w:val="26"/>
        </w:rPr>
      </w:pPr>
      <w:r>
        <w:rPr>
          <w:rFonts w:ascii="Times New (W1)" w:hAnsi="Times New (W1)"/>
          <w:szCs w:val="26"/>
        </w:rPr>
        <w:t xml:space="preserve">We note at the onset that </w:t>
      </w:r>
      <w:r w:rsidR="00F93CD6" w:rsidRPr="009E345A">
        <w:rPr>
          <w:rFonts w:ascii="Times New (W1)" w:hAnsi="Times New (W1)"/>
          <w:szCs w:val="26"/>
        </w:rPr>
        <w:t>a</w:t>
      </w:r>
      <w:r w:rsidR="00F93CD6" w:rsidRPr="009C756D">
        <w:rPr>
          <w:rFonts w:ascii="Times New (W1)" w:hAnsi="Times New (W1)"/>
          <w:szCs w:val="26"/>
        </w:rPr>
        <w:t>ny issue</w:t>
      </w:r>
      <w:r>
        <w:rPr>
          <w:rFonts w:ascii="Times New (W1)" w:hAnsi="Times New (W1)"/>
          <w:szCs w:val="26"/>
        </w:rPr>
        <w:t>,</w:t>
      </w:r>
      <w:r w:rsidR="00F93CD6" w:rsidRPr="009C756D">
        <w:rPr>
          <w:rFonts w:ascii="Times New (W1)" w:hAnsi="Times New (W1)"/>
          <w:szCs w:val="26"/>
        </w:rPr>
        <w:t xml:space="preserve"> that we do not specifically address </w:t>
      </w:r>
      <w:r>
        <w:rPr>
          <w:rFonts w:ascii="Times New (W1)" w:hAnsi="Times New (W1)"/>
          <w:szCs w:val="26"/>
        </w:rPr>
        <w:t xml:space="preserve">herein, </w:t>
      </w:r>
      <w:r w:rsidR="00F93CD6" w:rsidRPr="009C756D">
        <w:rPr>
          <w:rFonts w:ascii="Times New (W1)" w:hAnsi="Times New (W1)"/>
          <w:szCs w:val="26"/>
        </w:rPr>
        <w:t xml:space="preserve">has been duly considered and will be denied without further discussion.  It is well settled that we are not required to consider, expressly or at length, each contention or argument raised by the parties.  </w:t>
      </w:r>
      <w:r w:rsidR="00F93CD6" w:rsidRPr="009C756D">
        <w:rPr>
          <w:rFonts w:ascii="Times New (W1)" w:hAnsi="Times New (W1)"/>
          <w:i/>
          <w:szCs w:val="26"/>
        </w:rPr>
        <w:t>Consolidated Rail Corporation</w:t>
      </w:r>
      <w:r>
        <w:rPr>
          <w:rFonts w:ascii="Times New (W1)" w:hAnsi="Times New (W1)"/>
          <w:i/>
          <w:szCs w:val="26"/>
        </w:rPr>
        <w:t xml:space="preserve"> </w:t>
      </w:r>
      <w:r w:rsidR="00F93CD6" w:rsidRPr="009C756D">
        <w:rPr>
          <w:rFonts w:ascii="Times New (W1)" w:hAnsi="Times New (W1)"/>
          <w:i/>
          <w:szCs w:val="26"/>
        </w:rPr>
        <w:t>v. PUC</w:t>
      </w:r>
      <w:r>
        <w:rPr>
          <w:rFonts w:ascii="Times New (W1)" w:hAnsi="Times New (W1)"/>
          <w:szCs w:val="26"/>
        </w:rPr>
        <w:t xml:space="preserve">, 625 </w:t>
      </w:r>
      <w:r w:rsidR="00F93CD6" w:rsidRPr="009C756D">
        <w:rPr>
          <w:rFonts w:ascii="Times New (W1)" w:hAnsi="Times New (W1)"/>
          <w:szCs w:val="26"/>
        </w:rPr>
        <w:t xml:space="preserve">A.2d 741 (Pa. Cmwlth. 1993); </w:t>
      </w:r>
      <w:r w:rsidR="00F93CD6" w:rsidRPr="009C756D">
        <w:rPr>
          <w:rFonts w:ascii="Times New (W1)" w:hAnsi="Times New (W1)"/>
          <w:i/>
          <w:szCs w:val="26"/>
        </w:rPr>
        <w:t>see also</w:t>
      </w:r>
      <w:r w:rsidR="00F93CD6" w:rsidRPr="009C756D">
        <w:rPr>
          <w:rFonts w:ascii="Times New (W1)" w:hAnsi="Times New (W1)"/>
          <w:szCs w:val="26"/>
        </w:rPr>
        <w:t xml:space="preserve">, </w:t>
      </w:r>
      <w:r w:rsidR="00F93CD6" w:rsidRPr="009C756D">
        <w:rPr>
          <w:rFonts w:ascii="Times New (W1)" w:hAnsi="Times New (W1)"/>
          <w:i/>
          <w:szCs w:val="26"/>
        </w:rPr>
        <w:t>generally</w:t>
      </w:r>
      <w:r w:rsidR="00F93CD6" w:rsidRPr="009C756D">
        <w:rPr>
          <w:rFonts w:ascii="Times New (W1)" w:hAnsi="Times New (W1)"/>
          <w:szCs w:val="26"/>
        </w:rPr>
        <w:t xml:space="preserve">, </w:t>
      </w:r>
      <w:r w:rsidR="00F93CD6" w:rsidRPr="009C756D">
        <w:rPr>
          <w:rFonts w:ascii="Times New (W1)" w:hAnsi="Times New (W1)"/>
          <w:i/>
          <w:szCs w:val="26"/>
        </w:rPr>
        <w:t>University of Pennsylvania</w:t>
      </w:r>
      <w:r>
        <w:rPr>
          <w:rFonts w:ascii="Times New (W1)" w:hAnsi="Times New (W1)"/>
          <w:i/>
          <w:szCs w:val="26"/>
        </w:rPr>
        <w:t xml:space="preserve"> </w:t>
      </w:r>
      <w:r w:rsidR="00F93CD6" w:rsidRPr="009C756D">
        <w:rPr>
          <w:rFonts w:ascii="Times New (W1)" w:hAnsi="Times New (W1)"/>
          <w:i/>
          <w:szCs w:val="26"/>
        </w:rPr>
        <w:t>v. P</w:t>
      </w:r>
      <w:r w:rsidR="00F93CD6">
        <w:rPr>
          <w:rFonts w:ascii="Times New (W1)" w:hAnsi="Times New (W1)"/>
          <w:i/>
          <w:szCs w:val="26"/>
        </w:rPr>
        <w:t>a. PUC</w:t>
      </w:r>
      <w:r>
        <w:rPr>
          <w:rFonts w:ascii="Times New (W1)" w:hAnsi="Times New (W1)"/>
          <w:szCs w:val="26"/>
        </w:rPr>
        <w:t xml:space="preserve">, 485 </w:t>
      </w:r>
      <w:r w:rsidR="00F93CD6" w:rsidRPr="009C756D">
        <w:rPr>
          <w:rFonts w:ascii="Times New (W1)" w:hAnsi="Times New (W1)"/>
          <w:szCs w:val="26"/>
        </w:rPr>
        <w:t>A.2d 1217 (Pa. Cmwlth. 1984).</w:t>
      </w:r>
    </w:p>
    <w:p w:rsidR="00F93CD6" w:rsidRDefault="00F93CD6" w:rsidP="00A97FD8">
      <w:pPr>
        <w:widowControl/>
        <w:suppressAutoHyphens/>
        <w:spacing w:after="120"/>
        <w:ind w:firstLine="0"/>
        <w:jc w:val="both"/>
        <w:rPr>
          <w:rFonts w:cs="Times New Roman"/>
          <w:b/>
          <w:color w:val="000000" w:themeColor="text1"/>
          <w:spacing w:val="-3"/>
          <w:szCs w:val="26"/>
        </w:rPr>
      </w:pPr>
    </w:p>
    <w:p w:rsidR="00C96EFF" w:rsidRPr="00C96EFF" w:rsidRDefault="003F7944" w:rsidP="00A97FD8">
      <w:pPr>
        <w:widowControl/>
        <w:suppressAutoHyphens/>
        <w:spacing w:after="120"/>
        <w:ind w:firstLine="0"/>
        <w:jc w:val="both"/>
        <w:rPr>
          <w:rFonts w:cs="Times New Roman"/>
          <w:b/>
          <w:color w:val="000000" w:themeColor="text1"/>
          <w:spacing w:val="-3"/>
          <w:szCs w:val="26"/>
        </w:rPr>
      </w:pPr>
      <w:r>
        <w:rPr>
          <w:rFonts w:cs="Times New Roman"/>
          <w:b/>
          <w:color w:val="000000" w:themeColor="text1"/>
          <w:spacing w:val="-3"/>
          <w:szCs w:val="26"/>
        </w:rPr>
        <w:t xml:space="preserve">RTS Rate </w:t>
      </w:r>
    </w:p>
    <w:p w:rsidR="004E3EF3" w:rsidRDefault="00C96EFF" w:rsidP="002E27EE">
      <w:r>
        <w:t xml:space="preserve">As </w:t>
      </w:r>
      <w:r w:rsidR="004E3EF3">
        <w:t xml:space="preserve">more thoroughly explained in the Initial Decision, </w:t>
      </w:r>
      <w:r w:rsidR="004E3EF3" w:rsidRPr="002B0625">
        <w:t xml:space="preserve">this Commission is tasked with implementing the legislation </w:t>
      </w:r>
      <w:r w:rsidR="00020297">
        <w:t>that</w:t>
      </w:r>
      <w:r w:rsidR="004E3EF3" w:rsidRPr="002B0625">
        <w:t xml:space="preserve"> deregulated the electric industry in the Commonwealth.  </w:t>
      </w:r>
      <w:r w:rsidR="00660ECF">
        <w:t>A</w:t>
      </w:r>
      <w:r w:rsidR="004E3EF3" w:rsidRPr="002B0625">
        <w:t>n electric distribution company</w:t>
      </w:r>
      <w:r w:rsidR="00A97FD8">
        <w:t>,</w:t>
      </w:r>
      <w:r w:rsidR="004E3EF3" w:rsidRPr="002B0625">
        <w:t xml:space="preserve"> such as PPL</w:t>
      </w:r>
      <w:r w:rsidR="00A97FD8">
        <w:t>,</w:t>
      </w:r>
      <w:r w:rsidR="004E3EF3" w:rsidRPr="002B0625">
        <w:t xml:space="preserve"> must pass through the costs it pays to acquire electric generation for the class of customer using that commodity without permitting other rate classes to subsidize the cost</w:t>
      </w:r>
      <w:r w:rsidR="004E3EF3">
        <w:t>,</w:t>
      </w:r>
      <w:r w:rsidR="004E3EF3" w:rsidRPr="002B0625">
        <w:t xml:space="preserve"> as was a common practice prior to the deregulation of the industry.  </w:t>
      </w:r>
      <w:r w:rsidR="00394B62">
        <w:t>I.D.</w:t>
      </w:r>
      <w:r w:rsidR="002E27EE">
        <w:t xml:space="preserve"> at 5-6.  </w:t>
      </w:r>
      <w:r w:rsidR="002E27EE" w:rsidRPr="002B0625">
        <w:t xml:space="preserve">While </w:t>
      </w:r>
      <w:r w:rsidR="002E27EE">
        <w:t>we</w:t>
      </w:r>
      <w:r w:rsidR="002E27EE" w:rsidRPr="002B0625">
        <w:t xml:space="preserve"> commiserate with the Complainants in this case, as w</w:t>
      </w:r>
      <w:r w:rsidR="002E27EE">
        <w:t>ell as the approximately 13,000</w:t>
      </w:r>
      <w:r w:rsidR="002E27EE" w:rsidRPr="002B0625">
        <w:t xml:space="preserve"> </w:t>
      </w:r>
      <w:r w:rsidR="008D62C8">
        <w:t xml:space="preserve">other </w:t>
      </w:r>
      <w:r w:rsidR="003F7944">
        <w:t xml:space="preserve">RTS Rate </w:t>
      </w:r>
      <w:r w:rsidR="002E27EE" w:rsidRPr="002B0625">
        <w:t>customers faced with a substantial generation rate increase</w:t>
      </w:r>
      <w:r w:rsidR="002E27EE">
        <w:t xml:space="preserve">, we concur with the ALJ </w:t>
      </w:r>
      <w:r w:rsidR="00523E1C">
        <w:t xml:space="preserve">that the Commission is unable </w:t>
      </w:r>
      <w:r w:rsidR="008D62C8">
        <w:t xml:space="preserve">to </w:t>
      </w:r>
      <w:r w:rsidR="00523E1C">
        <w:t xml:space="preserve">modify </w:t>
      </w:r>
      <w:r w:rsidR="002F635A">
        <w:t>t</w:t>
      </w:r>
      <w:r w:rsidR="003F7944">
        <w:t xml:space="preserve">he RTS Rate </w:t>
      </w:r>
      <w:r w:rsidR="00523E1C">
        <w:t xml:space="preserve">as requested by the Complainants.  </w:t>
      </w:r>
      <w:r w:rsidR="00394B62">
        <w:t>I.D.</w:t>
      </w:r>
      <w:r w:rsidR="00523E1C">
        <w:t xml:space="preserve"> at</w:t>
      </w:r>
      <w:r w:rsidR="00D33039">
        <w:t> </w:t>
      </w:r>
      <w:r w:rsidR="00523E1C">
        <w:t xml:space="preserve">6. </w:t>
      </w:r>
    </w:p>
    <w:p w:rsidR="007E6BE6" w:rsidRDefault="007E6BE6" w:rsidP="002E27EE"/>
    <w:p w:rsidR="001019F3" w:rsidRDefault="002F635A" w:rsidP="00C96EFF">
      <w:r>
        <w:t>Although</w:t>
      </w:r>
      <w:r w:rsidR="00AC3B87">
        <w:t xml:space="preserve"> we are unable to modify </w:t>
      </w:r>
      <w:r>
        <w:t>t</w:t>
      </w:r>
      <w:r w:rsidR="003F7944">
        <w:t>he RTS Rate</w:t>
      </w:r>
      <w:r w:rsidR="00AC3B87">
        <w:t xml:space="preserve">, PPL’s witness explained during the hearing that PPL had proposed a </w:t>
      </w:r>
      <w:r w:rsidR="00183E61">
        <w:t xml:space="preserve">time-of-use rate that will help control costs for residential thermal storage customers.  Tr. at 26-27. </w:t>
      </w:r>
      <w:r w:rsidR="00AC3B87">
        <w:t xml:space="preserve"> </w:t>
      </w:r>
      <w:r w:rsidR="001514B0">
        <w:t>We note that</w:t>
      </w:r>
      <w:r w:rsidR="008D62C8">
        <w:t>,</w:t>
      </w:r>
      <w:r w:rsidR="001514B0">
        <w:t xml:space="preserve"> </w:t>
      </w:r>
      <w:r w:rsidR="001019F3">
        <w:t xml:space="preserve">by Opinion and Order entered March 9, 2010, </w:t>
      </w:r>
      <w:r w:rsidR="00183E61">
        <w:t>the Commission approved</w:t>
      </w:r>
      <w:r w:rsidR="00A364D2">
        <w:t xml:space="preserve">, </w:t>
      </w:r>
      <w:r w:rsidR="00A364D2" w:rsidRPr="00A364D2">
        <w:rPr>
          <w:i/>
        </w:rPr>
        <w:t>inter alia</w:t>
      </w:r>
      <w:r w:rsidR="00A364D2">
        <w:t xml:space="preserve">, </w:t>
      </w:r>
      <w:r w:rsidR="00183E61">
        <w:t xml:space="preserve">a </w:t>
      </w:r>
      <w:r w:rsidR="00A364D2">
        <w:t xml:space="preserve">residential </w:t>
      </w:r>
      <w:r w:rsidR="00183E61">
        <w:t xml:space="preserve">time-of-use tariff </w:t>
      </w:r>
      <w:r w:rsidR="001019F3">
        <w:t xml:space="preserve">for PPL </w:t>
      </w:r>
      <w:r w:rsidR="00A97FD8">
        <w:t xml:space="preserve">at </w:t>
      </w:r>
      <w:r w:rsidR="001019F3">
        <w:t>Docket No. R-2009-2122718</w:t>
      </w:r>
      <w:r w:rsidR="00A97FD8">
        <w:t>.</w:t>
      </w:r>
    </w:p>
    <w:p w:rsidR="00C96EFF" w:rsidRPr="00C96EFF" w:rsidRDefault="00C96EFF" w:rsidP="00C96EFF"/>
    <w:p w:rsidR="00C96EFF" w:rsidRDefault="009B1290" w:rsidP="007E0B75">
      <w:pPr>
        <w:keepNext/>
        <w:widowControl/>
        <w:spacing w:after="120"/>
        <w:ind w:firstLine="0"/>
        <w:jc w:val="both"/>
        <w:rPr>
          <w:rFonts w:cs="Times New Roman"/>
          <w:b/>
          <w:spacing w:val="-3"/>
          <w:szCs w:val="26"/>
        </w:rPr>
      </w:pPr>
      <w:r w:rsidRPr="009B1290">
        <w:rPr>
          <w:rFonts w:cs="Times New Roman"/>
          <w:b/>
          <w:spacing w:val="-3"/>
          <w:szCs w:val="26"/>
        </w:rPr>
        <w:lastRenderedPageBreak/>
        <w:t>Inadequate Service</w:t>
      </w:r>
    </w:p>
    <w:p w:rsidR="00C23B37" w:rsidRDefault="00A52EBF" w:rsidP="0014388C">
      <w:pPr>
        <w:keepNext/>
        <w:widowControl/>
      </w:pPr>
      <w:r>
        <w:t xml:space="preserve">The Commission’s Opinion and Order approving </w:t>
      </w:r>
      <w:r w:rsidR="00C23B37" w:rsidRPr="00C23B37">
        <w:t xml:space="preserve">PPL’s </w:t>
      </w:r>
      <w:r>
        <w:t xml:space="preserve">Revised </w:t>
      </w:r>
      <w:r w:rsidR="00C23B37" w:rsidRPr="00C23B37">
        <w:t xml:space="preserve">Competitive Bridge Plan </w:t>
      </w:r>
      <w:r>
        <w:t>was entered on May 17, 2007</w:t>
      </w:r>
      <w:r w:rsidR="00D3699B">
        <w:t xml:space="preserve"> </w:t>
      </w:r>
      <w:r w:rsidR="00A97FD8">
        <w:t xml:space="preserve">at </w:t>
      </w:r>
      <w:r w:rsidR="00D3699B">
        <w:t>Docket No. P-00062227</w:t>
      </w:r>
      <w:r>
        <w:t xml:space="preserve">.  </w:t>
      </w:r>
      <w:r w:rsidR="00D3699B">
        <w:t xml:space="preserve">The Brickners testified that they telephoned PPL just prior to the closing on their home </w:t>
      </w:r>
      <w:r w:rsidR="00D76E20">
        <w:t xml:space="preserve">in June 2008 to have a general conversation about rates. </w:t>
      </w:r>
      <w:r w:rsidR="00D3699B">
        <w:t xml:space="preserve"> </w:t>
      </w:r>
      <w:r w:rsidR="00D76E20">
        <w:t xml:space="preserve">The Brickners were not informed </w:t>
      </w:r>
      <w:r w:rsidR="001C2114">
        <w:t xml:space="preserve">by PPL’s customer service representative of the pending changes in the rate.  Tr. at 36. </w:t>
      </w:r>
    </w:p>
    <w:p w:rsidR="001C2114" w:rsidRDefault="001C2114" w:rsidP="00C23B37"/>
    <w:p w:rsidR="00BA0F0F" w:rsidRDefault="003D13B7" w:rsidP="00C23B37">
      <w:r>
        <w:t xml:space="preserve">The ALJ concluded that a year is more than enough time for </w:t>
      </w:r>
      <w:r w:rsidR="00A364D2">
        <w:t>PPL</w:t>
      </w:r>
      <w:r>
        <w:t xml:space="preserve"> to train its customer service </w:t>
      </w:r>
      <w:r w:rsidR="00BA0F0F">
        <w:t>representatives</w:t>
      </w:r>
      <w:r>
        <w:t xml:space="preserve"> to provide some </w:t>
      </w:r>
      <w:r w:rsidR="00BA0F0F">
        <w:t>indication</w:t>
      </w:r>
      <w:r>
        <w:t xml:space="preserve"> </w:t>
      </w:r>
      <w:r w:rsidR="00BA0F0F">
        <w:t xml:space="preserve">that </w:t>
      </w:r>
      <w:r w:rsidR="003F7944">
        <w:t>t</w:t>
      </w:r>
      <w:r w:rsidR="00BA0F0F">
        <w:t xml:space="preserve">he future of </w:t>
      </w:r>
      <w:r w:rsidR="00A364D2">
        <w:t>t</w:t>
      </w:r>
      <w:r w:rsidR="003F7944">
        <w:t xml:space="preserve">he RTS Rate </w:t>
      </w:r>
      <w:r w:rsidR="00BA0F0F">
        <w:t xml:space="preserve">was in doubt.  The ALJ found that PPL’s failure to provide accurate information </w:t>
      </w:r>
      <w:r w:rsidR="007D74E3">
        <w:t xml:space="preserve">regarding the future of a rate class which has 13,000 customers </w:t>
      </w:r>
      <w:r w:rsidR="00BA0F0F">
        <w:t xml:space="preserve">is inadequate service within the meaning of 66 Pa. C.S. </w:t>
      </w:r>
      <w:r w:rsidR="00BA0F0F">
        <w:rPr>
          <w:rFonts w:cs="Times New Roman"/>
        </w:rPr>
        <w:t>§</w:t>
      </w:r>
      <w:r w:rsidR="008D62C8">
        <w:rPr>
          <w:rFonts w:cs="Times New Roman"/>
        </w:rPr>
        <w:t xml:space="preserve"> </w:t>
      </w:r>
      <w:r w:rsidR="00BA0F0F">
        <w:t xml:space="preserve">1501.  </w:t>
      </w:r>
      <w:r w:rsidR="00394B62">
        <w:t>I.D.</w:t>
      </w:r>
      <w:r w:rsidR="00BA0F0F">
        <w:t xml:space="preserve"> at 8</w:t>
      </w:r>
      <w:r w:rsidR="007D74E3">
        <w:t xml:space="preserve"> and 12</w:t>
      </w:r>
      <w:r w:rsidR="00BA0F0F">
        <w:t>.</w:t>
      </w:r>
    </w:p>
    <w:p w:rsidR="00BA0F0F" w:rsidRDefault="00BA0F0F" w:rsidP="00C23B37"/>
    <w:p w:rsidR="007B673E" w:rsidRDefault="00FE317C" w:rsidP="001E41C1">
      <w:pPr>
        <w:rPr>
          <w:rFonts w:cs="Times New Roman"/>
          <w:spacing w:val="-3"/>
          <w:szCs w:val="26"/>
        </w:rPr>
      </w:pPr>
      <w:r>
        <w:t xml:space="preserve">We agree with the ALJ’s determination.  </w:t>
      </w:r>
      <w:r w:rsidR="001E41C1">
        <w:t xml:space="preserve">However, </w:t>
      </w:r>
      <w:r w:rsidR="008D62C8">
        <w:t xml:space="preserve">in </w:t>
      </w:r>
      <w:r w:rsidR="001175C4">
        <w:t xml:space="preserve">addition, we are of the opinion that a $1,000 fine is warranted </w:t>
      </w:r>
      <w:r w:rsidR="001E08E2">
        <w:t xml:space="preserve">in light of </w:t>
      </w:r>
      <w:r w:rsidR="001169C5">
        <w:t xml:space="preserve">PPL’s </w:t>
      </w:r>
      <w:r w:rsidR="001175C4">
        <w:t xml:space="preserve">violation of </w:t>
      </w:r>
      <w:r w:rsidR="001169C5">
        <w:t xml:space="preserve">its </w:t>
      </w:r>
      <w:r w:rsidR="001175C4">
        <w:t xml:space="preserve">duty to provide adequate, efficient </w:t>
      </w:r>
      <w:r w:rsidR="001169C5">
        <w:t xml:space="preserve">and reasonable service under 66 Pa. C.S. § 1501.  As such, consistent with our </w:t>
      </w:r>
      <w:r w:rsidR="00E3111E">
        <w:rPr>
          <w:rFonts w:cs="Times New Roman"/>
          <w:spacing w:val="-3"/>
          <w:szCs w:val="26"/>
        </w:rPr>
        <w:t xml:space="preserve">Statement of </w:t>
      </w:r>
      <w:r w:rsidR="007B673E">
        <w:rPr>
          <w:rFonts w:cs="Times New Roman"/>
          <w:spacing w:val="-3"/>
          <w:szCs w:val="26"/>
        </w:rPr>
        <w:t>Policy at 52 Pa. Code § 69.1201</w:t>
      </w:r>
      <w:r w:rsidR="001169C5">
        <w:rPr>
          <w:rFonts w:cs="Times New Roman"/>
          <w:spacing w:val="-3"/>
          <w:szCs w:val="26"/>
        </w:rPr>
        <w:t xml:space="preserve">, we will </w:t>
      </w:r>
      <w:r w:rsidR="00EA5B3D">
        <w:rPr>
          <w:rFonts w:cs="Times New Roman"/>
          <w:spacing w:val="-3"/>
          <w:szCs w:val="26"/>
        </w:rPr>
        <w:t xml:space="preserve">address </w:t>
      </w:r>
      <w:r w:rsidR="007B673E">
        <w:rPr>
          <w:rFonts w:cs="Times New Roman"/>
          <w:spacing w:val="-3"/>
          <w:szCs w:val="26"/>
        </w:rPr>
        <w:t>t</w:t>
      </w:r>
      <w:r w:rsidR="007B673E" w:rsidRPr="00B677F0">
        <w:rPr>
          <w:rFonts w:cs="Times New Roman"/>
          <w:spacing w:val="-3"/>
          <w:szCs w:val="26"/>
        </w:rPr>
        <w:t xml:space="preserve">he ten </w:t>
      </w:r>
      <w:r w:rsidR="007B673E" w:rsidRPr="00B677F0">
        <w:rPr>
          <w:szCs w:val="26"/>
          <w:u w:color="000000"/>
        </w:rPr>
        <w:t xml:space="preserve">factors </w:t>
      </w:r>
      <w:r w:rsidR="007B673E">
        <w:rPr>
          <w:szCs w:val="26"/>
          <w:u w:color="000000"/>
        </w:rPr>
        <w:t xml:space="preserve">set forth in </w:t>
      </w:r>
      <w:r w:rsidR="007B673E">
        <w:rPr>
          <w:rFonts w:cs="Times New Roman"/>
          <w:spacing w:val="-3"/>
          <w:szCs w:val="26"/>
        </w:rPr>
        <w:t>52 Pa. Code § 69.1201(c) t</w:t>
      </w:r>
      <w:r w:rsidR="007B673E" w:rsidRPr="00B677F0">
        <w:rPr>
          <w:szCs w:val="26"/>
          <w:u w:color="000000"/>
        </w:rPr>
        <w:t>hat we may consider in determining whether to impose a civil penalty, and, if so, the amount of that civil penalty</w:t>
      </w:r>
      <w:r w:rsidR="007B673E">
        <w:rPr>
          <w:szCs w:val="26"/>
          <w:u w:color="000000"/>
        </w:rPr>
        <w:t>.</w:t>
      </w:r>
    </w:p>
    <w:p w:rsidR="007B673E" w:rsidRDefault="007B673E" w:rsidP="007B673E">
      <w:pPr>
        <w:suppressAutoHyphens/>
        <w:ind w:left="1440" w:right="1440"/>
        <w:rPr>
          <w:rFonts w:cs="Times New Roman"/>
          <w:spacing w:val="-3"/>
          <w:szCs w:val="26"/>
        </w:rPr>
      </w:pPr>
    </w:p>
    <w:p w:rsidR="00EF0B14" w:rsidRDefault="007B673E" w:rsidP="00EF0B14">
      <w:pPr>
        <w:suppressAutoHyphens/>
        <w:rPr>
          <w:rFonts w:cs="Times New Roman"/>
          <w:spacing w:val="-3"/>
          <w:szCs w:val="26"/>
        </w:rPr>
      </w:pPr>
      <w:r w:rsidRPr="00AE6CA5">
        <w:rPr>
          <w:rFonts w:cs="Times New Roman"/>
          <w:spacing w:val="-3"/>
          <w:szCs w:val="26"/>
        </w:rPr>
        <w:t>The first criterion to consider is whether the violation was of a serious nature or whether it was less egregious, such as an admi</w:t>
      </w:r>
      <w:r w:rsidR="006126F4">
        <w:rPr>
          <w:rFonts w:cs="Times New Roman"/>
          <w:spacing w:val="-3"/>
          <w:szCs w:val="26"/>
        </w:rPr>
        <w:t xml:space="preserve">nistrative or technical error.  </w:t>
      </w:r>
      <w:r w:rsidR="007248F2">
        <w:rPr>
          <w:rFonts w:cs="Times New Roman"/>
          <w:spacing w:val="-3"/>
          <w:szCs w:val="26"/>
        </w:rPr>
        <w:t>We consider PPL’s violation to be an administrative error rather than a “serious” violation</w:t>
      </w:r>
      <w:r w:rsidR="00B16340">
        <w:rPr>
          <w:rFonts w:cs="Times New Roman"/>
          <w:spacing w:val="-3"/>
          <w:szCs w:val="26"/>
        </w:rPr>
        <w:t>.</w:t>
      </w:r>
    </w:p>
    <w:p w:rsidR="007C61CB" w:rsidRDefault="007C61CB" w:rsidP="00133645">
      <w:pPr>
        <w:suppressAutoHyphens/>
        <w:rPr>
          <w:rFonts w:cs="Times New Roman"/>
          <w:spacing w:val="-3"/>
          <w:szCs w:val="26"/>
        </w:rPr>
      </w:pPr>
    </w:p>
    <w:p w:rsidR="00F664D1" w:rsidRPr="008C7582" w:rsidRDefault="00A02450" w:rsidP="00F664D1">
      <w:r w:rsidRPr="00AE6CA5">
        <w:rPr>
          <w:rFonts w:cs="Times New Roman"/>
          <w:spacing w:val="-3"/>
          <w:szCs w:val="26"/>
        </w:rPr>
        <w:t>The second criterion is whether the resulting consequences of the conduct were of a serious nature, such as personal injury or property damage</w:t>
      </w:r>
      <w:r w:rsidR="007232EC">
        <w:rPr>
          <w:rFonts w:cs="Times New Roman"/>
          <w:spacing w:val="-3"/>
          <w:szCs w:val="26"/>
        </w:rPr>
        <w:t>.</w:t>
      </w:r>
      <w:r>
        <w:rPr>
          <w:rFonts w:cs="Times New Roman"/>
          <w:spacing w:val="-3"/>
          <w:szCs w:val="26"/>
        </w:rPr>
        <w:t xml:space="preserve">  </w:t>
      </w:r>
      <w:r w:rsidR="00F664D1">
        <w:t xml:space="preserve">The Complainants averred that if they had known that the RTS “system” was not going to be existence in the future, they would have either not purchased their house or bought the house at a </w:t>
      </w:r>
      <w:r w:rsidR="00F664D1">
        <w:lastRenderedPageBreak/>
        <w:t xml:space="preserve">lower price.  The Complainants argued that the changes in the RTS rate devalued their property because of the expense to put in another heating system or “going into an extremely </w:t>
      </w:r>
      <w:r w:rsidR="00F664D1" w:rsidRPr="008C7582">
        <w:t>higher rate of electric use that the house was not initially designed for.”</w:t>
      </w:r>
      <w:r w:rsidR="00DF03E4">
        <w:rPr>
          <w:rStyle w:val="FootnoteReference"/>
        </w:rPr>
        <w:footnoteReference w:id="1"/>
      </w:r>
      <w:r w:rsidR="00F664D1" w:rsidRPr="008C7582">
        <w:t xml:space="preserve">  </w:t>
      </w:r>
      <w:r w:rsidR="00F664D1" w:rsidRPr="00DF03E4">
        <w:t>Tr</w:t>
      </w:r>
      <w:r w:rsidR="00F664D1" w:rsidRPr="008C7582">
        <w:t xml:space="preserve">. at 14.  </w:t>
      </w:r>
      <w:r w:rsidR="00D07E7F">
        <w:t xml:space="preserve">The </w:t>
      </w:r>
      <w:r w:rsidR="00290B00">
        <w:t>C</w:t>
      </w:r>
      <w:r w:rsidR="00D07E7F">
        <w:t>omplainants</w:t>
      </w:r>
      <w:r w:rsidR="004B11DF">
        <w:t xml:space="preserve"> clearly </w:t>
      </w:r>
      <w:r w:rsidR="00D07E7F">
        <w:t>attempted to make an i</w:t>
      </w:r>
      <w:r w:rsidR="004B11DF">
        <w:t>n</w:t>
      </w:r>
      <w:r w:rsidR="00D07E7F">
        <w:t>formed decision regarding the</w:t>
      </w:r>
      <w:r w:rsidR="00AE3C02">
        <w:t xml:space="preserve"> future energy costs of the house they were </w:t>
      </w:r>
      <w:r w:rsidR="008B7186">
        <w:t xml:space="preserve">thinking of purchasing </w:t>
      </w:r>
      <w:r w:rsidR="004B11DF">
        <w:t>and PPL</w:t>
      </w:r>
      <w:r w:rsidR="0050641D">
        <w:t xml:space="preserve"> was unable </w:t>
      </w:r>
      <w:r w:rsidR="004B11DF">
        <w:t xml:space="preserve">to </w:t>
      </w:r>
      <w:r w:rsidR="0050641D">
        <w:t>convey</w:t>
      </w:r>
      <w:r w:rsidR="004B11DF">
        <w:t xml:space="preserve"> adequate information.  </w:t>
      </w:r>
      <w:r w:rsidR="00AF055D">
        <w:t xml:space="preserve">However, as noted </w:t>
      </w:r>
      <w:r w:rsidR="00AF055D" w:rsidRPr="00D07E7F">
        <w:rPr>
          <w:i/>
        </w:rPr>
        <w:t>supra</w:t>
      </w:r>
      <w:r w:rsidR="00AF055D">
        <w:t xml:space="preserve">, the availability of a time-of-use rate may mitigate some of the economic consequences of the phase-out of the savings historically available under the RTS Rate. </w:t>
      </w:r>
    </w:p>
    <w:p w:rsidR="007232EC" w:rsidRPr="00AE6CA5" w:rsidRDefault="007232EC" w:rsidP="00133645">
      <w:pPr>
        <w:suppressAutoHyphens/>
        <w:rPr>
          <w:rFonts w:cs="Times New Roman"/>
          <w:spacing w:val="-3"/>
          <w:szCs w:val="26"/>
        </w:rPr>
      </w:pPr>
    </w:p>
    <w:p w:rsidR="00133645" w:rsidRDefault="007B673E" w:rsidP="00133645">
      <w:pPr>
        <w:suppressAutoHyphens/>
        <w:rPr>
          <w:rFonts w:cs="Times New Roman"/>
          <w:spacing w:val="-3"/>
          <w:szCs w:val="26"/>
        </w:rPr>
      </w:pPr>
      <w:r w:rsidRPr="00AE6CA5">
        <w:rPr>
          <w:rFonts w:cs="Times New Roman"/>
          <w:spacing w:val="-3"/>
          <w:szCs w:val="26"/>
        </w:rPr>
        <w:t xml:space="preserve">The third criterion is whether the conduct at issue was deemed intentional or negligent.  </w:t>
      </w:r>
      <w:r w:rsidR="009B5834">
        <w:rPr>
          <w:rFonts w:cs="Times New Roman"/>
          <w:spacing w:val="-3"/>
          <w:szCs w:val="26"/>
        </w:rPr>
        <w:t xml:space="preserve">There is no evidence on the record that </w:t>
      </w:r>
      <w:r w:rsidR="0050641D">
        <w:rPr>
          <w:rFonts w:cs="Times New Roman"/>
          <w:spacing w:val="-3"/>
          <w:szCs w:val="26"/>
        </w:rPr>
        <w:t xml:space="preserve">the failure of the customer service representative </w:t>
      </w:r>
      <w:r w:rsidR="006B0D88">
        <w:rPr>
          <w:rFonts w:cs="Times New Roman"/>
          <w:spacing w:val="-3"/>
          <w:szCs w:val="26"/>
        </w:rPr>
        <w:t>to be able to provide a</w:t>
      </w:r>
      <w:r w:rsidR="00B457F7">
        <w:rPr>
          <w:rFonts w:cs="Times New Roman"/>
          <w:spacing w:val="-3"/>
          <w:szCs w:val="26"/>
        </w:rPr>
        <w:t>ccurate</w:t>
      </w:r>
      <w:r w:rsidR="006B0D88">
        <w:rPr>
          <w:rFonts w:cs="Times New Roman"/>
          <w:spacing w:val="-3"/>
          <w:szCs w:val="26"/>
        </w:rPr>
        <w:t xml:space="preserve"> information was other than negligence.</w:t>
      </w:r>
      <w:r w:rsidR="009B5834">
        <w:rPr>
          <w:rFonts w:cs="Times New Roman"/>
          <w:spacing w:val="-3"/>
          <w:szCs w:val="26"/>
        </w:rPr>
        <w:t xml:space="preserve"> </w:t>
      </w:r>
    </w:p>
    <w:p w:rsidR="00AB1C5F" w:rsidRPr="00AE6CA5" w:rsidRDefault="00AB1C5F" w:rsidP="00133645">
      <w:pPr>
        <w:suppressAutoHyphens/>
        <w:rPr>
          <w:rFonts w:cs="Times New Roman"/>
          <w:spacing w:val="-3"/>
          <w:szCs w:val="26"/>
        </w:rPr>
      </w:pPr>
    </w:p>
    <w:p w:rsidR="00E3111E" w:rsidRDefault="007B673E" w:rsidP="00E3111E">
      <w:pPr>
        <w:suppressAutoHyphens/>
        <w:rPr>
          <w:rFonts w:cs="Times New Roman"/>
          <w:spacing w:val="-3"/>
          <w:szCs w:val="26"/>
        </w:rPr>
      </w:pPr>
      <w:r w:rsidRPr="00AE6CA5">
        <w:rPr>
          <w:rFonts w:cs="Times New Roman"/>
          <w:spacing w:val="-3"/>
          <w:szCs w:val="26"/>
        </w:rPr>
        <w:t xml:space="preserve">The fourth criterion is whether the utility made efforts to modify internal practices and procedures to address the conduct and prevent similar conduct, and the amount of time it took for the implementation of these measures.  </w:t>
      </w:r>
      <w:r w:rsidR="00162D92">
        <w:rPr>
          <w:rFonts w:cs="Times New Roman"/>
          <w:spacing w:val="-3"/>
          <w:szCs w:val="26"/>
        </w:rPr>
        <w:t>Remedial measures were not addressed in the instant proceeding.  T</w:t>
      </w:r>
      <w:r w:rsidR="00E3111E">
        <w:rPr>
          <w:rFonts w:cs="Times New Roman"/>
          <w:spacing w:val="-3"/>
          <w:szCs w:val="26"/>
        </w:rPr>
        <w:t xml:space="preserve">he record </w:t>
      </w:r>
      <w:r w:rsidR="00162D92">
        <w:rPr>
          <w:rFonts w:cs="Times New Roman"/>
          <w:spacing w:val="-3"/>
          <w:szCs w:val="26"/>
        </w:rPr>
        <w:t xml:space="preserve">also </w:t>
      </w:r>
      <w:r w:rsidR="00E3111E">
        <w:rPr>
          <w:rFonts w:cs="Times New Roman"/>
          <w:spacing w:val="-3"/>
          <w:szCs w:val="26"/>
        </w:rPr>
        <w:t>does not indicate why the Brickners did not receive adequate information</w:t>
      </w:r>
      <w:r w:rsidR="00162D92">
        <w:rPr>
          <w:rFonts w:cs="Times New Roman"/>
          <w:spacing w:val="-3"/>
          <w:szCs w:val="26"/>
        </w:rPr>
        <w:t xml:space="preserve">. </w:t>
      </w:r>
      <w:r w:rsidR="00E3111E">
        <w:rPr>
          <w:rFonts w:cs="Times New Roman"/>
          <w:spacing w:val="-3"/>
          <w:szCs w:val="26"/>
        </w:rPr>
        <w:t xml:space="preserve"> If PPL has not done so already, it must make the necessary modifications to its procedures to ensure that customers can get appropriate answers to all of their inquiries. </w:t>
      </w:r>
    </w:p>
    <w:p w:rsidR="007B673E" w:rsidRDefault="009F6B1D" w:rsidP="00133645">
      <w:pPr>
        <w:suppressAutoHyphens/>
        <w:rPr>
          <w:rFonts w:cs="Times New Roman"/>
          <w:spacing w:val="-3"/>
          <w:szCs w:val="26"/>
        </w:rPr>
      </w:pPr>
      <w:r>
        <w:rPr>
          <w:rFonts w:cs="Times New Roman"/>
          <w:spacing w:val="-3"/>
          <w:szCs w:val="26"/>
        </w:rPr>
        <w:t xml:space="preserve"> </w:t>
      </w:r>
    </w:p>
    <w:p w:rsidR="007B673E" w:rsidRPr="00AE6CA5" w:rsidRDefault="007B673E" w:rsidP="00133645">
      <w:pPr>
        <w:suppressAutoHyphens/>
        <w:rPr>
          <w:rFonts w:cs="Times New Roman"/>
          <w:spacing w:val="-3"/>
          <w:szCs w:val="26"/>
        </w:rPr>
      </w:pPr>
      <w:r w:rsidRPr="00AE6CA5">
        <w:rPr>
          <w:rFonts w:cs="Times New Roman"/>
          <w:spacing w:val="-3"/>
          <w:szCs w:val="26"/>
        </w:rPr>
        <w:t>The fifth criterion is the number of customers affected</w:t>
      </w:r>
      <w:r w:rsidR="007232EC">
        <w:rPr>
          <w:rFonts w:cs="Times New Roman"/>
          <w:spacing w:val="-3"/>
          <w:szCs w:val="26"/>
        </w:rPr>
        <w:t>.</w:t>
      </w:r>
      <w:r w:rsidRPr="00AE6CA5">
        <w:rPr>
          <w:rFonts w:cs="Times New Roman"/>
          <w:spacing w:val="-3"/>
          <w:szCs w:val="26"/>
        </w:rPr>
        <w:t xml:space="preserve"> </w:t>
      </w:r>
      <w:r w:rsidR="004B33CE">
        <w:rPr>
          <w:rFonts w:cs="Times New Roman"/>
          <w:spacing w:val="-3"/>
          <w:szCs w:val="26"/>
        </w:rPr>
        <w:t xml:space="preserve">  The record </w:t>
      </w:r>
      <w:r w:rsidRPr="00AE6CA5">
        <w:rPr>
          <w:rFonts w:cs="Times New Roman"/>
          <w:spacing w:val="-3"/>
          <w:szCs w:val="26"/>
        </w:rPr>
        <w:t>evidence</w:t>
      </w:r>
      <w:r w:rsidR="009F6B1D">
        <w:rPr>
          <w:rFonts w:cs="Times New Roman"/>
          <w:spacing w:val="-3"/>
          <w:szCs w:val="26"/>
        </w:rPr>
        <w:t xml:space="preserve"> did not explore or </w:t>
      </w:r>
      <w:r w:rsidR="004B33CE">
        <w:rPr>
          <w:rFonts w:cs="Times New Roman"/>
          <w:spacing w:val="-3"/>
          <w:szCs w:val="26"/>
        </w:rPr>
        <w:t>indicate</w:t>
      </w:r>
      <w:r w:rsidR="009F6B1D">
        <w:rPr>
          <w:rFonts w:cs="Times New Roman"/>
          <w:spacing w:val="-3"/>
          <w:szCs w:val="26"/>
        </w:rPr>
        <w:t xml:space="preserve"> whether any </w:t>
      </w:r>
      <w:r w:rsidR="00C708B0">
        <w:rPr>
          <w:rFonts w:cs="Times New Roman"/>
          <w:spacing w:val="-3"/>
          <w:szCs w:val="26"/>
        </w:rPr>
        <w:t xml:space="preserve">of PPL’s </w:t>
      </w:r>
      <w:r w:rsidR="00B457F7">
        <w:rPr>
          <w:rFonts w:cs="Times New Roman"/>
          <w:spacing w:val="-3"/>
          <w:szCs w:val="26"/>
        </w:rPr>
        <w:t xml:space="preserve">other </w:t>
      </w:r>
      <w:r w:rsidR="00C708B0">
        <w:rPr>
          <w:rFonts w:cs="Times New Roman"/>
          <w:spacing w:val="-3"/>
          <w:szCs w:val="26"/>
        </w:rPr>
        <w:t xml:space="preserve">13,000 </w:t>
      </w:r>
      <w:r w:rsidR="003F7944">
        <w:rPr>
          <w:rFonts w:cs="Times New Roman"/>
          <w:spacing w:val="-3"/>
          <w:szCs w:val="26"/>
        </w:rPr>
        <w:t xml:space="preserve">RTS Rate </w:t>
      </w:r>
      <w:r w:rsidR="009F6B1D">
        <w:rPr>
          <w:rFonts w:cs="Times New Roman"/>
          <w:spacing w:val="-3"/>
          <w:szCs w:val="26"/>
        </w:rPr>
        <w:t>customers</w:t>
      </w:r>
      <w:r w:rsidRPr="00AE6CA5">
        <w:rPr>
          <w:rFonts w:cs="Times New Roman"/>
          <w:spacing w:val="-3"/>
          <w:szCs w:val="26"/>
        </w:rPr>
        <w:t xml:space="preserve"> </w:t>
      </w:r>
      <w:r w:rsidR="004B33CE">
        <w:rPr>
          <w:rFonts w:cs="Times New Roman"/>
          <w:spacing w:val="-3"/>
          <w:szCs w:val="26"/>
        </w:rPr>
        <w:t>were</w:t>
      </w:r>
      <w:r w:rsidRPr="00AE6CA5">
        <w:rPr>
          <w:rFonts w:cs="Times New Roman"/>
          <w:spacing w:val="-3"/>
          <w:szCs w:val="26"/>
        </w:rPr>
        <w:t xml:space="preserve"> impacted by the </w:t>
      </w:r>
      <w:r w:rsidR="009F6B1D">
        <w:rPr>
          <w:rFonts w:cs="Times New Roman"/>
          <w:spacing w:val="-3"/>
          <w:szCs w:val="26"/>
        </w:rPr>
        <w:t xml:space="preserve">failure of </w:t>
      </w:r>
      <w:r w:rsidR="008C7582">
        <w:rPr>
          <w:rFonts w:cs="Times New Roman"/>
          <w:spacing w:val="-3"/>
          <w:szCs w:val="26"/>
        </w:rPr>
        <w:t xml:space="preserve">PPL </w:t>
      </w:r>
      <w:r w:rsidR="009F6B1D">
        <w:rPr>
          <w:rFonts w:cs="Times New Roman"/>
          <w:spacing w:val="-3"/>
          <w:szCs w:val="26"/>
        </w:rPr>
        <w:t xml:space="preserve">customer service representatives to </w:t>
      </w:r>
      <w:r w:rsidR="00C065D0">
        <w:rPr>
          <w:rFonts w:cs="Times New Roman"/>
          <w:spacing w:val="-3"/>
          <w:szCs w:val="26"/>
        </w:rPr>
        <w:t>provide more complete i</w:t>
      </w:r>
      <w:r w:rsidR="009F6B1D">
        <w:rPr>
          <w:rFonts w:cs="Times New Roman"/>
          <w:spacing w:val="-3"/>
          <w:szCs w:val="26"/>
        </w:rPr>
        <w:t xml:space="preserve">nformation about residential thermal storage </w:t>
      </w:r>
      <w:r w:rsidR="00C708B0">
        <w:rPr>
          <w:rFonts w:cs="Times New Roman"/>
          <w:spacing w:val="-3"/>
          <w:szCs w:val="26"/>
        </w:rPr>
        <w:t>service.</w:t>
      </w:r>
    </w:p>
    <w:p w:rsidR="007B673E" w:rsidRPr="00AE6CA5" w:rsidRDefault="007B673E" w:rsidP="00133645">
      <w:pPr>
        <w:suppressAutoHyphens/>
        <w:rPr>
          <w:rFonts w:cs="Times New Roman"/>
          <w:spacing w:val="-3"/>
          <w:szCs w:val="26"/>
        </w:rPr>
      </w:pPr>
    </w:p>
    <w:p w:rsidR="007B673E" w:rsidRDefault="007B673E" w:rsidP="00133645">
      <w:pPr>
        <w:suppressAutoHyphens/>
        <w:rPr>
          <w:rFonts w:cs="Times New Roman"/>
          <w:spacing w:val="-3"/>
          <w:szCs w:val="26"/>
        </w:rPr>
      </w:pPr>
      <w:r w:rsidRPr="00AE6CA5">
        <w:rPr>
          <w:rFonts w:cs="Times New Roman"/>
          <w:spacing w:val="-3"/>
          <w:szCs w:val="26"/>
        </w:rPr>
        <w:t xml:space="preserve">The sixth criterion is a consideration of the compliance history of </w:t>
      </w:r>
      <w:r w:rsidR="004B33CE">
        <w:rPr>
          <w:rFonts w:cs="Times New Roman"/>
          <w:spacing w:val="-3"/>
          <w:szCs w:val="26"/>
        </w:rPr>
        <w:t>PPL</w:t>
      </w:r>
      <w:r w:rsidRPr="00AE6CA5">
        <w:rPr>
          <w:rFonts w:cs="Times New Roman"/>
          <w:spacing w:val="-3"/>
          <w:szCs w:val="26"/>
        </w:rPr>
        <w:t xml:space="preserve">.  </w:t>
      </w:r>
      <w:r w:rsidR="004B33CE">
        <w:rPr>
          <w:rFonts w:cs="Times New Roman"/>
          <w:spacing w:val="-3"/>
          <w:szCs w:val="26"/>
        </w:rPr>
        <w:t>There was no information on PPL</w:t>
      </w:r>
      <w:r w:rsidR="008C7582">
        <w:rPr>
          <w:rFonts w:cs="Times New Roman"/>
          <w:spacing w:val="-3"/>
          <w:szCs w:val="26"/>
        </w:rPr>
        <w:t>’s</w:t>
      </w:r>
      <w:r w:rsidR="004B33CE">
        <w:rPr>
          <w:rFonts w:cs="Times New Roman"/>
          <w:spacing w:val="-3"/>
          <w:szCs w:val="26"/>
        </w:rPr>
        <w:t xml:space="preserve"> compliance history presented on the record</w:t>
      </w:r>
      <w:r w:rsidR="008C596F">
        <w:rPr>
          <w:rFonts w:cs="Times New Roman"/>
          <w:spacing w:val="-3"/>
          <w:szCs w:val="26"/>
        </w:rPr>
        <w:t xml:space="preserve"> of this proceeding</w:t>
      </w:r>
      <w:r w:rsidR="004B33CE">
        <w:rPr>
          <w:rFonts w:cs="Times New Roman"/>
          <w:spacing w:val="-3"/>
          <w:szCs w:val="26"/>
        </w:rPr>
        <w:t>.</w:t>
      </w:r>
      <w:r w:rsidR="008C596F">
        <w:rPr>
          <w:rFonts w:cs="Times New Roman"/>
          <w:spacing w:val="-3"/>
          <w:szCs w:val="26"/>
        </w:rPr>
        <w:t xml:space="preserve">  </w:t>
      </w:r>
      <w:r w:rsidR="00E467E2">
        <w:rPr>
          <w:rFonts w:cs="Times New Roman"/>
          <w:spacing w:val="-3"/>
          <w:szCs w:val="26"/>
        </w:rPr>
        <w:t>We note that t</w:t>
      </w:r>
      <w:r w:rsidR="008C596F">
        <w:rPr>
          <w:rFonts w:cs="Times New Roman"/>
          <w:spacing w:val="-3"/>
          <w:szCs w:val="26"/>
        </w:rPr>
        <w:t xml:space="preserve">he Commission’s records indicate that PPL has been fined five times in the past five years and </w:t>
      </w:r>
      <w:r w:rsidR="00807F16">
        <w:rPr>
          <w:rFonts w:cs="Times New Roman"/>
          <w:spacing w:val="-3"/>
          <w:szCs w:val="26"/>
        </w:rPr>
        <w:t>four of the five</w:t>
      </w:r>
      <w:r w:rsidR="008C596F">
        <w:rPr>
          <w:rFonts w:cs="Times New Roman"/>
          <w:spacing w:val="-3"/>
          <w:szCs w:val="26"/>
        </w:rPr>
        <w:t xml:space="preserve"> </w:t>
      </w:r>
      <w:r w:rsidR="00711294">
        <w:rPr>
          <w:rFonts w:cs="Times New Roman"/>
          <w:spacing w:val="-3"/>
          <w:szCs w:val="26"/>
        </w:rPr>
        <w:t xml:space="preserve">fines </w:t>
      </w:r>
      <w:r w:rsidR="008C596F">
        <w:rPr>
          <w:rFonts w:cs="Times New Roman"/>
          <w:spacing w:val="-3"/>
          <w:szCs w:val="26"/>
        </w:rPr>
        <w:t xml:space="preserve">were $1,000 or less.  </w:t>
      </w:r>
      <w:r w:rsidR="00807F16">
        <w:rPr>
          <w:rFonts w:cs="Times New Roman"/>
          <w:spacing w:val="-3"/>
          <w:szCs w:val="26"/>
        </w:rPr>
        <w:t>Given the scope of PPL’s operations</w:t>
      </w:r>
      <w:r w:rsidR="00711294">
        <w:rPr>
          <w:rFonts w:cs="Times New Roman"/>
          <w:spacing w:val="-3"/>
          <w:szCs w:val="26"/>
        </w:rPr>
        <w:t>, PPL</w:t>
      </w:r>
      <w:r w:rsidR="000E0F14">
        <w:rPr>
          <w:rFonts w:cs="Times New Roman"/>
          <w:spacing w:val="-3"/>
          <w:szCs w:val="26"/>
        </w:rPr>
        <w:t>’</w:t>
      </w:r>
      <w:r w:rsidR="00711294">
        <w:rPr>
          <w:rFonts w:cs="Times New Roman"/>
          <w:spacing w:val="-3"/>
          <w:szCs w:val="26"/>
        </w:rPr>
        <w:t xml:space="preserve">s compliance history is not a significant factor in this proceeding. </w:t>
      </w:r>
    </w:p>
    <w:p w:rsidR="004B33CE" w:rsidRPr="00AE6CA5" w:rsidRDefault="004B33CE" w:rsidP="00133645">
      <w:pPr>
        <w:suppressAutoHyphens/>
        <w:rPr>
          <w:rFonts w:cs="Times New Roman"/>
          <w:spacing w:val="-3"/>
          <w:szCs w:val="26"/>
        </w:rPr>
      </w:pPr>
    </w:p>
    <w:p w:rsidR="008C7582" w:rsidRDefault="007B673E" w:rsidP="00133645">
      <w:pPr>
        <w:suppressAutoHyphens/>
        <w:rPr>
          <w:rFonts w:cs="Times New Roman"/>
          <w:spacing w:val="-3"/>
          <w:szCs w:val="26"/>
        </w:rPr>
      </w:pPr>
      <w:r w:rsidRPr="00AE6CA5">
        <w:rPr>
          <w:rFonts w:cs="Times New Roman"/>
          <w:spacing w:val="-3"/>
          <w:szCs w:val="26"/>
        </w:rPr>
        <w:t xml:space="preserve">The seventh criterion is whether the regulated entity cooperated with the Commission’s investigation.  </w:t>
      </w:r>
      <w:r w:rsidR="00F36482">
        <w:rPr>
          <w:rFonts w:cs="Times New Roman"/>
          <w:spacing w:val="-3"/>
          <w:szCs w:val="26"/>
        </w:rPr>
        <w:t>This case did not involve a</w:t>
      </w:r>
      <w:r w:rsidR="005262ED">
        <w:rPr>
          <w:rFonts w:cs="Times New Roman"/>
          <w:spacing w:val="-3"/>
          <w:szCs w:val="26"/>
        </w:rPr>
        <w:t xml:space="preserve"> </w:t>
      </w:r>
      <w:r w:rsidR="00F36482">
        <w:rPr>
          <w:rFonts w:cs="Times New Roman"/>
          <w:spacing w:val="-3"/>
          <w:szCs w:val="26"/>
        </w:rPr>
        <w:t>Commission i</w:t>
      </w:r>
      <w:r w:rsidR="005262ED">
        <w:rPr>
          <w:rFonts w:cs="Times New Roman"/>
          <w:spacing w:val="-3"/>
          <w:szCs w:val="26"/>
        </w:rPr>
        <w:t>nvestigation</w:t>
      </w:r>
      <w:r w:rsidR="00F36482">
        <w:rPr>
          <w:rFonts w:cs="Times New Roman"/>
          <w:spacing w:val="-3"/>
          <w:szCs w:val="26"/>
        </w:rPr>
        <w:t>.</w:t>
      </w:r>
      <w:r w:rsidR="005262ED">
        <w:rPr>
          <w:rFonts w:cs="Times New Roman"/>
          <w:spacing w:val="-3"/>
          <w:szCs w:val="26"/>
        </w:rPr>
        <w:t xml:space="preserve"> </w:t>
      </w:r>
      <w:r w:rsidR="00233378">
        <w:rPr>
          <w:rFonts w:cs="Times New Roman"/>
          <w:spacing w:val="-3"/>
          <w:szCs w:val="26"/>
        </w:rPr>
        <w:t xml:space="preserve"> </w:t>
      </w:r>
      <w:r w:rsidR="00F36482">
        <w:rPr>
          <w:rFonts w:cs="Times New Roman"/>
          <w:spacing w:val="-3"/>
          <w:szCs w:val="26"/>
        </w:rPr>
        <w:t>Nevertheless, there is no indication of bad faith or active concealment of a violation.</w:t>
      </w:r>
    </w:p>
    <w:p w:rsidR="00233378" w:rsidRPr="00AE6CA5" w:rsidRDefault="00233378" w:rsidP="00133645">
      <w:pPr>
        <w:suppressAutoHyphens/>
        <w:rPr>
          <w:rFonts w:cs="Times New Roman"/>
          <w:spacing w:val="-3"/>
          <w:szCs w:val="26"/>
        </w:rPr>
      </w:pPr>
    </w:p>
    <w:p w:rsidR="00023055" w:rsidRDefault="007B673E" w:rsidP="00133645">
      <w:pPr>
        <w:suppressAutoHyphens/>
        <w:rPr>
          <w:rFonts w:cs="Times New Roman"/>
          <w:spacing w:val="-3"/>
          <w:szCs w:val="26"/>
        </w:rPr>
      </w:pPr>
      <w:r w:rsidRPr="00AE6CA5">
        <w:rPr>
          <w:rFonts w:cs="Times New Roman"/>
          <w:spacing w:val="-3"/>
          <w:szCs w:val="26"/>
        </w:rPr>
        <w:t xml:space="preserve">The eighth criterion is the amount of the civil penalty or fine necessary to deter future violations, with consideration of the size of the utility.  </w:t>
      </w:r>
      <w:r w:rsidR="002731C6">
        <w:rPr>
          <w:rFonts w:cs="Times New Roman"/>
          <w:spacing w:val="-3"/>
          <w:szCs w:val="26"/>
        </w:rPr>
        <w:t>W</w:t>
      </w:r>
      <w:r w:rsidR="00784876">
        <w:rPr>
          <w:rFonts w:cs="Times New Roman"/>
          <w:spacing w:val="-3"/>
          <w:szCs w:val="26"/>
        </w:rPr>
        <w:t xml:space="preserve">e believe that </w:t>
      </w:r>
      <w:r w:rsidR="002731C6">
        <w:rPr>
          <w:rFonts w:cs="Times New Roman"/>
          <w:spacing w:val="-3"/>
          <w:szCs w:val="26"/>
        </w:rPr>
        <w:t xml:space="preserve">a </w:t>
      </w:r>
      <w:r w:rsidR="00784876">
        <w:rPr>
          <w:rFonts w:cs="Times New Roman"/>
          <w:spacing w:val="-3"/>
          <w:szCs w:val="26"/>
        </w:rPr>
        <w:t>$1,000 fi</w:t>
      </w:r>
      <w:r w:rsidR="006C7A92">
        <w:rPr>
          <w:rFonts w:cs="Times New Roman"/>
          <w:spacing w:val="-3"/>
          <w:szCs w:val="26"/>
        </w:rPr>
        <w:t>n</w:t>
      </w:r>
      <w:r w:rsidR="00784876">
        <w:rPr>
          <w:rFonts w:cs="Times New Roman"/>
          <w:spacing w:val="-3"/>
          <w:szCs w:val="26"/>
        </w:rPr>
        <w:t xml:space="preserve">e is </w:t>
      </w:r>
      <w:r w:rsidR="00C708B0">
        <w:rPr>
          <w:rFonts w:cs="Times New Roman"/>
          <w:spacing w:val="-3"/>
          <w:szCs w:val="26"/>
        </w:rPr>
        <w:t xml:space="preserve">merited </w:t>
      </w:r>
      <w:r w:rsidR="002731C6">
        <w:rPr>
          <w:rFonts w:cs="Times New Roman"/>
          <w:spacing w:val="-3"/>
          <w:szCs w:val="26"/>
        </w:rPr>
        <w:t xml:space="preserve">to deter future </w:t>
      </w:r>
      <w:r w:rsidR="00C708B0">
        <w:rPr>
          <w:rFonts w:cs="Times New Roman"/>
          <w:spacing w:val="-3"/>
          <w:szCs w:val="26"/>
        </w:rPr>
        <w:t>violation</w:t>
      </w:r>
      <w:r w:rsidR="002731C6">
        <w:rPr>
          <w:rFonts w:cs="Times New Roman"/>
          <w:spacing w:val="-3"/>
          <w:szCs w:val="26"/>
        </w:rPr>
        <w:t>s.</w:t>
      </w:r>
      <w:r w:rsidR="00C708B0">
        <w:rPr>
          <w:rFonts w:cs="Times New Roman"/>
          <w:spacing w:val="-3"/>
          <w:szCs w:val="26"/>
        </w:rPr>
        <w:t xml:space="preserve"> </w:t>
      </w:r>
    </w:p>
    <w:p w:rsidR="002731C6" w:rsidRPr="00AE6CA5" w:rsidRDefault="002731C6" w:rsidP="00133645">
      <w:pPr>
        <w:suppressAutoHyphens/>
        <w:rPr>
          <w:rFonts w:cs="Times New Roman"/>
          <w:spacing w:val="-3"/>
          <w:szCs w:val="26"/>
        </w:rPr>
      </w:pPr>
    </w:p>
    <w:p w:rsidR="007B673E" w:rsidRPr="00AE6CA5" w:rsidRDefault="007B673E" w:rsidP="00133645">
      <w:pPr>
        <w:suppressAutoHyphens/>
        <w:rPr>
          <w:rFonts w:cs="Times New Roman"/>
          <w:spacing w:val="-3"/>
          <w:szCs w:val="26"/>
        </w:rPr>
      </w:pPr>
      <w:r w:rsidRPr="00AE6CA5">
        <w:rPr>
          <w:rFonts w:cs="Times New Roman"/>
          <w:spacing w:val="-3"/>
          <w:szCs w:val="26"/>
        </w:rPr>
        <w:t xml:space="preserve">The ninth criterion is past Commission decisions </w:t>
      </w:r>
      <w:r w:rsidR="002731C6">
        <w:rPr>
          <w:rFonts w:cs="Times New Roman"/>
          <w:spacing w:val="-3"/>
          <w:szCs w:val="26"/>
        </w:rPr>
        <w:t xml:space="preserve">in similar situations. </w:t>
      </w:r>
      <w:r w:rsidR="00E618A0">
        <w:rPr>
          <w:rFonts w:cs="Times New Roman"/>
          <w:spacing w:val="-3"/>
          <w:szCs w:val="26"/>
        </w:rPr>
        <w:t xml:space="preserve"> </w:t>
      </w:r>
      <w:r w:rsidR="002731C6">
        <w:rPr>
          <w:rFonts w:cs="Times New Roman"/>
          <w:spacing w:val="-3"/>
          <w:szCs w:val="26"/>
        </w:rPr>
        <w:t>N</w:t>
      </w:r>
      <w:r w:rsidRPr="00AE6CA5">
        <w:rPr>
          <w:rFonts w:cs="Times New Roman"/>
          <w:spacing w:val="-3"/>
          <w:szCs w:val="26"/>
        </w:rPr>
        <w:t xml:space="preserve">o party has cited </w:t>
      </w:r>
      <w:r w:rsidR="002731C6">
        <w:rPr>
          <w:rFonts w:cs="Times New Roman"/>
          <w:spacing w:val="-3"/>
          <w:szCs w:val="26"/>
        </w:rPr>
        <w:t>a</w:t>
      </w:r>
      <w:r w:rsidRPr="00AE6CA5">
        <w:rPr>
          <w:rFonts w:cs="Times New Roman"/>
          <w:spacing w:val="-3"/>
          <w:szCs w:val="26"/>
        </w:rPr>
        <w:t xml:space="preserve">ny </w:t>
      </w:r>
      <w:r w:rsidR="002731C6">
        <w:rPr>
          <w:rFonts w:cs="Times New Roman"/>
          <w:spacing w:val="-3"/>
          <w:szCs w:val="26"/>
        </w:rPr>
        <w:t xml:space="preserve">similar </w:t>
      </w:r>
      <w:r w:rsidRPr="00AE6CA5">
        <w:rPr>
          <w:rFonts w:cs="Times New Roman"/>
          <w:spacing w:val="-3"/>
          <w:szCs w:val="26"/>
        </w:rPr>
        <w:t xml:space="preserve">prior Commission decisions.  </w:t>
      </w:r>
    </w:p>
    <w:p w:rsidR="007B673E" w:rsidRPr="00AE6CA5" w:rsidRDefault="007B673E" w:rsidP="00133645">
      <w:pPr>
        <w:suppressAutoHyphens/>
        <w:rPr>
          <w:rFonts w:cs="Times New Roman"/>
          <w:spacing w:val="-3"/>
          <w:szCs w:val="26"/>
        </w:rPr>
      </w:pPr>
    </w:p>
    <w:p w:rsidR="007B673E" w:rsidRDefault="007B673E" w:rsidP="00133645">
      <w:pPr>
        <w:suppressAutoHyphens/>
        <w:rPr>
          <w:rFonts w:cs="Times New Roman"/>
          <w:spacing w:val="-3"/>
          <w:szCs w:val="26"/>
        </w:rPr>
      </w:pPr>
      <w:r w:rsidRPr="00AE6CA5">
        <w:rPr>
          <w:rFonts w:cs="Times New Roman"/>
          <w:spacing w:val="-3"/>
          <w:szCs w:val="26"/>
        </w:rPr>
        <w:t>The tenth criterion is other relevant factors, and none have been suggested or considered other than those previously discussed.</w:t>
      </w:r>
    </w:p>
    <w:p w:rsidR="007B673E" w:rsidRDefault="007B673E" w:rsidP="007B673E">
      <w:pPr>
        <w:suppressAutoHyphens/>
        <w:ind w:left="1440" w:right="1440"/>
        <w:rPr>
          <w:rFonts w:cs="Times New Roman"/>
          <w:spacing w:val="-3"/>
          <w:szCs w:val="26"/>
        </w:rPr>
      </w:pPr>
    </w:p>
    <w:p w:rsidR="00B8247B" w:rsidRPr="00BB3A76" w:rsidRDefault="00A57B2D" w:rsidP="005968EA">
      <w:pPr>
        <w:keepNext/>
        <w:ind w:firstLine="0"/>
        <w:jc w:val="center"/>
        <w:rPr>
          <w:b/>
          <w:szCs w:val="26"/>
        </w:rPr>
      </w:pPr>
      <w:r w:rsidRPr="00BB3A76">
        <w:rPr>
          <w:b/>
          <w:szCs w:val="26"/>
        </w:rPr>
        <w:t>Conclusion</w:t>
      </w:r>
    </w:p>
    <w:p w:rsidR="00A57B2D" w:rsidRPr="00660ECF" w:rsidRDefault="00A57B2D" w:rsidP="000D75B3">
      <w:pPr>
        <w:keepNext/>
        <w:jc w:val="center"/>
        <w:rPr>
          <w:szCs w:val="26"/>
        </w:rPr>
      </w:pPr>
    </w:p>
    <w:p w:rsidR="00A57B2D" w:rsidRPr="00BB3A76" w:rsidRDefault="00213FBE" w:rsidP="000D75B3">
      <w:pPr>
        <w:keepNext/>
        <w:widowControl/>
        <w:suppressAutoHyphens/>
        <w:rPr>
          <w:rFonts w:cs="Times New Roman"/>
          <w:spacing w:val="-3"/>
          <w:szCs w:val="26"/>
        </w:rPr>
      </w:pPr>
      <w:r w:rsidRPr="00BB3A76">
        <w:rPr>
          <w:rFonts w:cs="Times New Roman"/>
          <w:spacing w:val="-3"/>
          <w:szCs w:val="26"/>
        </w:rPr>
        <w:t xml:space="preserve">Upon review and consideration of the record of this proceeding, and in light of the foregoing discussion, we shall </w:t>
      </w:r>
      <w:r w:rsidR="005968EA" w:rsidRPr="00BB3A76">
        <w:rPr>
          <w:rFonts w:cs="Times New Roman"/>
          <w:spacing w:val="-3"/>
          <w:szCs w:val="26"/>
        </w:rPr>
        <w:t>sustain the Brickners’ Complaint</w:t>
      </w:r>
      <w:r w:rsidR="000E0F14">
        <w:rPr>
          <w:rFonts w:cs="Times New Roman"/>
          <w:spacing w:val="-3"/>
          <w:szCs w:val="26"/>
        </w:rPr>
        <w:t>,</w:t>
      </w:r>
      <w:r w:rsidR="005968EA" w:rsidRPr="00BB3A76">
        <w:rPr>
          <w:rFonts w:cs="Times New Roman"/>
          <w:spacing w:val="-3"/>
          <w:szCs w:val="26"/>
        </w:rPr>
        <w:t xml:space="preserve"> in part</w:t>
      </w:r>
      <w:r w:rsidR="000E0F14">
        <w:rPr>
          <w:rFonts w:cs="Times New Roman"/>
          <w:spacing w:val="-3"/>
          <w:szCs w:val="26"/>
        </w:rPr>
        <w:t>,</w:t>
      </w:r>
      <w:r w:rsidR="005968EA" w:rsidRPr="00BB3A76">
        <w:rPr>
          <w:rFonts w:cs="Times New Roman"/>
          <w:spacing w:val="-3"/>
          <w:szCs w:val="26"/>
        </w:rPr>
        <w:t xml:space="preserve"> and dismiss it</w:t>
      </w:r>
      <w:r w:rsidR="000E0F14">
        <w:rPr>
          <w:rFonts w:cs="Times New Roman"/>
          <w:spacing w:val="-3"/>
          <w:szCs w:val="26"/>
        </w:rPr>
        <w:t>,</w:t>
      </w:r>
      <w:r w:rsidR="005968EA" w:rsidRPr="00BB3A76">
        <w:rPr>
          <w:rFonts w:cs="Times New Roman"/>
          <w:spacing w:val="-3"/>
          <w:szCs w:val="26"/>
        </w:rPr>
        <w:t xml:space="preserve"> in part.  We shall </w:t>
      </w:r>
      <w:r w:rsidR="0058459F">
        <w:rPr>
          <w:rFonts w:cs="Times New Roman"/>
          <w:spacing w:val="-3"/>
          <w:szCs w:val="26"/>
        </w:rPr>
        <w:t>sustain</w:t>
      </w:r>
      <w:r w:rsidR="005968EA" w:rsidRPr="00BB3A76">
        <w:rPr>
          <w:rFonts w:cs="Times New Roman"/>
          <w:spacing w:val="-3"/>
          <w:szCs w:val="26"/>
        </w:rPr>
        <w:t xml:space="preserve"> the Complaint to the extent that we find that the actions of PPL </w:t>
      </w:r>
      <w:r w:rsidR="002E49D8" w:rsidRPr="00BB3A76">
        <w:rPr>
          <w:rFonts w:cs="Times New Roman"/>
          <w:spacing w:val="-3"/>
          <w:szCs w:val="26"/>
        </w:rPr>
        <w:t xml:space="preserve">constituted inadequate service when it failed to provide </w:t>
      </w:r>
      <w:r w:rsidR="002731C6">
        <w:rPr>
          <w:rFonts w:cs="Times New Roman"/>
          <w:spacing w:val="-3"/>
          <w:szCs w:val="26"/>
        </w:rPr>
        <w:t xml:space="preserve">accurate </w:t>
      </w:r>
      <w:r w:rsidR="002E49D8" w:rsidRPr="00BB3A76">
        <w:rPr>
          <w:rFonts w:cs="Times New Roman"/>
          <w:spacing w:val="-3"/>
          <w:szCs w:val="26"/>
        </w:rPr>
        <w:t xml:space="preserve">information regarding the future of its RTS Rate and </w:t>
      </w:r>
      <w:r w:rsidR="000369FB" w:rsidRPr="00BB3A76">
        <w:rPr>
          <w:rFonts w:cs="Times New Roman"/>
          <w:spacing w:val="-3"/>
          <w:szCs w:val="26"/>
        </w:rPr>
        <w:t xml:space="preserve">we shall dismiss </w:t>
      </w:r>
      <w:r w:rsidR="002E49D8" w:rsidRPr="00BB3A76">
        <w:rPr>
          <w:rFonts w:cs="Times New Roman"/>
          <w:spacing w:val="-3"/>
          <w:szCs w:val="26"/>
        </w:rPr>
        <w:t xml:space="preserve">the Complaint in all other respects.  </w:t>
      </w:r>
      <w:r w:rsidR="006C7A92" w:rsidRPr="00BB3A76">
        <w:rPr>
          <w:rFonts w:cs="Times New Roman"/>
          <w:spacing w:val="-3"/>
          <w:szCs w:val="26"/>
        </w:rPr>
        <w:t xml:space="preserve">In addition, </w:t>
      </w:r>
      <w:r w:rsidR="006C7A92" w:rsidRPr="00BB3A76">
        <w:rPr>
          <w:rFonts w:cs="Times New Roman"/>
          <w:spacing w:val="-3"/>
          <w:szCs w:val="26"/>
        </w:rPr>
        <w:lastRenderedPageBreak/>
        <w:t xml:space="preserve">PPL is ordered to pay a fine of $1,000 for failing to provide adequate, efficient, and reasonable service as required by 66 Pa. C.S. § 1501. </w:t>
      </w:r>
      <w:r w:rsidR="005968EA" w:rsidRPr="00BB3A76">
        <w:rPr>
          <w:rFonts w:cs="Times New Roman"/>
          <w:spacing w:val="-3"/>
          <w:szCs w:val="26"/>
        </w:rPr>
        <w:t xml:space="preserve"> </w:t>
      </w:r>
      <w:r w:rsidR="006C7A92" w:rsidRPr="00BB3A76">
        <w:rPr>
          <w:rFonts w:cs="Times New Roman"/>
          <w:spacing w:val="-3"/>
          <w:szCs w:val="26"/>
        </w:rPr>
        <w:t xml:space="preserve">Accordingly, we adopt the </w:t>
      </w:r>
      <w:r w:rsidR="00BB3A76" w:rsidRPr="00BB3A76">
        <w:rPr>
          <w:rFonts w:cs="Times New Roman"/>
          <w:spacing w:val="-3"/>
          <w:szCs w:val="26"/>
        </w:rPr>
        <w:t>Initial</w:t>
      </w:r>
      <w:r w:rsidR="006C7A92" w:rsidRPr="00BB3A76">
        <w:rPr>
          <w:rFonts w:cs="Times New Roman"/>
          <w:spacing w:val="-3"/>
          <w:szCs w:val="26"/>
        </w:rPr>
        <w:t xml:space="preserve"> </w:t>
      </w:r>
      <w:r w:rsidR="00BB3A76" w:rsidRPr="00BB3A76">
        <w:rPr>
          <w:rFonts w:cs="Times New Roman"/>
          <w:spacing w:val="-3"/>
          <w:szCs w:val="26"/>
        </w:rPr>
        <w:t xml:space="preserve">Decision of ALJ Colwell as modified by this Opinion and Order. </w:t>
      </w:r>
      <w:r w:rsidRPr="00BB3A76">
        <w:rPr>
          <w:rFonts w:cs="Times New Roman"/>
          <w:spacing w:val="-3"/>
          <w:szCs w:val="26"/>
        </w:rPr>
        <w:t xml:space="preserve"> </w:t>
      </w:r>
      <w:r w:rsidR="00A57B2D" w:rsidRPr="00BB3A76">
        <w:rPr>
          <w:rFonts w:cs="Times New Roman"/>
          <w:b/>
          <w:spacing w:val="-3"/>
          <w:szCs w:val="26"/>
        </w:rPr>
        <w:t>THEREFORE</w:t>
      </w:r>
      <w:r w:rsidR="00BB3A76" w:rsidRPr="00BB3A76">
        <w:rPr>
          <w:rFonts w:cs="Times New Roman"/>
          <w:b/>
          <w:spacing w:val="-3"/>
          <w:szCs w:val="26"/>
        </w:rPr>
        <w:t>;</w:t>
      </w:r>
      <w:r w:rsidR="00A57B2D" w:rsidRPr="00BB3A76">
        <w:rPr>
          <w:rFonts w:cs="Times New Roman"/>
          <w:spacing w:val="-3"/>
          <w:szCs w:val="26"/>
        </w:rPr>
        <w:t xml:space="preserve"> </w:t>
      </w:r>
    </w:p>
    <w:p w:rsidR="00A57B2D" w:rsidRPr="00BB3A76" w:rsidRDefault="00A57B2D" w:rsidP="000D75B3">
      <w:pPr>
        <w:keepNext/>
        <w:widowControl/>
        <w:suppressAutoHyphens/>
        <w:rPr>
          <w:rFonts w:cs="Times New Roman"/>
          <w:spacing w:val="-3"/>
          <w:szCs w:val="26"/>
        </w:rPr>
      </w:pPr>
    </w:p>
    <w:p w:rsidR="00A57B2D" w:rsidRPr="00BB3A76" w:rsidRDefault="00A57B2D" w:rsidP="00A57B2D">
      <w:pPr>
        <w:widowControl/>
        <w:suppressAutoHyphens/>
        <w:ind w:left="1080" w:firstLine="360"/>
        <w:rPr>
          <w:rFonts w:cs="Times New Roman"/>
          <w:spacing w:val="-3"/>
          <w:szCs w:val="26"/>
        </w:rPr>
      </w:pPr>
      <w:r w:rsidRPr="00BB3A76">
        <w:rPr>
          <w:rFonts w:cs="Times New Roman"/>
          <w:b/>
          <w:spacing w:val="-3"/>
          <w:szCs w:val="26"/>
        </w:rPr>
        <w:t>IT IS ORDERED</w:t>
      </w:r>
      <w:r w:rsidRPr="00BB3A76">
        <w:rPr>
          <w:rFonts w:cs="Times New Roman"/>
          <w:spacing w:val="-3"/>
          <w:szCs w:val="26"/>
        </w:rPr>
        <w:t>:</w:t>
      </w:r>
    </w:p>
    <w:p w:rsidR="00A57B2D" w:rsidRPr="00257B0B" w:rsidRDefault="00A57B2D" w:rsidP="00A57B2D">
      <w:pPr>
        <w:widowControl/>
        <w:suppressAutoHyphens/>
        <w:ind w:left="360"/>
        <w:rPr>
          <w:rFonts w:cs="Times New Roman"/>
          <w:color w:val="00B050"/>
          <w:spacing w:val="-3"/>
          <w:szCs w:val="26"/>
        </w:rPr>
      </w:pPr>
    </w:p>
    <w:p w:rsidR="005D7749" w:rsidRPr="00832B1F" w:rsidRDefault="00BB3A76" w:rsidP="004B5998">
      <w:pPr>
        <w:pStyle w:val="ListParagraph"/>
        <w:numPr>
          <w:ilvl w:val="0"/>
          <w:numId w:val="7"/>
        </w:numPr>
        <w:ind w:left="0" w:firstLine="1440"/>
      </w:pPr>
      <w:r w:rsidRPr="00832B1F">
        <w:t xml:space="preserve">That the Complaint of Lori and Peter Brickner </w:t>
      </w:r>
      <w:r w:rsidR="0058459F" w:rsidRPr="00832B1F">
        <w:t xml:space="preserve">against PPL Electric Utilities </w:t>
      </w:r>
      <w:r w:rsidR="002731C6">
        <w:t xml:space="preserve">Corporation </w:t>
      </w:r>
      <w:r w:rsidR="0058459F" w:rsidRPr="00832B1F">
        <w:t xml:space="preserve">is </w:t>
      </w:r>
      <w:r w:rsidR="00BD3DF6" w:rsidRPr="00832B1F">
        <w:t>sustained to the extent that we find that the actions of PPL constituted inadequate service and is dismissed in all other respects.</w:t>
      </w:r>
    </w:p>
    <w:p w:rsidR="00BD3DF6" w:rsidRDefault="00BD3DF6" w:rsidP="004B5998"/>
    <w:p w:rsidR="005A71A2" w:rsidRPr="00832B1F" w:rsidRDefault="005A71A2" w:rsidP="004B5998">
      <w:pPr>
        <w:pStyle w:val="ListParagraph"/>
        <w:numPr>
          <w:ilvl w:val="0"/>
          <w:numId w:val="7"/>
        </w:numPr>
        <w:ind w:left="0" w:firstLine="1440"/>
      </w:pPr>
      <w:r w:rsidRPr="00832B1F">
        <w:t xml:space="preserve">That the Initial Decision of Administrative Law Judge Susan D. Colwell is adopted as modified by this Opinion and </w:t>
      </w:r>
      <w:r w:rsidR="00405D01" w:rsidRPr="00832B1F">
        <w:t>Order.</w:t>
      </w:r>
    </w:p>
    <w:p w:rsidR="005A71A2" w:rsidRDefault="005A71A2" w:rsidP="004B5998"/>
    <w:p w:rsidR="00390D75" w:rsidRDefault="00405D01" w:rsidP="004B5998">
      <w:pPr>
        <w:pStyle w:val="ListParagraph"/>
        <w:numPr>
          <w:ilvl w:val="0"/>
          <w:numId w:val="7"/>
        </w:numPr>
        <w:ind w:left="0" w:firstLine="1440"/>
      </w:pPr>
      <w:r w:rsidRPr="00426063">
        <w:t xml:space="preserve">That </w:t>
      </w:r>
      <w:r>
        <w:t xml:space="preserve">PPL Electric Utilities </w:t>
      </w:r>
      <w:r w:rsidR="00540C84">
        <w:t xml:space="preserve">Corporation </w:t>
      </w:r>
      <w:r w:rsidRPr="00426063">
        <w:t xml:space="preserve">shall </w:t>
      </w:r>
      <w:r w:rsidR="00540C84">
        <w:t xml:space="preserve">cease and desist from violating the Public Utility Code. </w:t>
      </w:r>
    </w:p>
    <w:p w:rsidR="00540C84" w:rsidRDefault="00540C84" w:rsidP="004B5998">
      <w:pPr>
        <w:ind w:left="720"/>
      </w:pPr>
    </w:p>
    <w:p w:rsidR="005A71A2" w:rsidRDefault="00390D75" w:rsidP="004B5998">
      <w:pPr>
        <w:pStyle w:val="ListParagraph"/>
        <w:numPr>
          <w:ilvl w:val="0"/>
          <w:numId w:val="7"/>
        </w:numPr>
        <w:ind w:left="0" w:firstLine="1440"/>
      </w:pPr>
      <w:r w:rsidRPr="00426063">
        <w:t xml:space="preserve">That </w:t>
      </w:r>
      <w:r>
        <w:t xml:space="preserve">PPL Electric Utilities </w:t>
      </w:r>
      <w:r w:rsidR="00540C84">
        <w:t xml:space="preserve">Corporation </w:t>
      </w:r>
      <w:r w:rsidR="005A71A2" w:rsidRPr="00426063">
        <w:t xml:space="preserve">shall, within twenty (20) days of the </w:t>
      </w:r>
      <w:r w:rsidR="005A71A2">
        <w:t>date of entry of this Opinion and Order</w:t>
      </w:r>
      <w:r w:rsidR="005A71A2" w:rsidRPr="00426063">
        <w:t>, pay a civil penalty in the amount of $</w:t>
      </w:r>
      <w:r w:rsidR="00537112">
        <w:t>1,0</w:t>
      </w:r>
      <w:r w:rsidR="005A71A2" w:rsidRPr="00426063">
        <w:t xml:space="preserve">00 </w:t>
      </w:r>
      <w:r w:rsidR="00DC1E1C">
        <w:t>payable to the Pennsylvania Public Utility Commission</w:t>
      </w:r>
      <w:r w:rsidR="00DC1E1C" w:rsidRPr="00426063">
        <w:t xml:space="preserve"> </w:t>
      </w:r>
      <w:r w:rsidR="005A71A2" w:rsidRPr="00426063">
        <w:t>by submitting a certified check for that amount to:</w:t>
      </w:r>
    </w:p>
    <w:p w:rsidR="00537112" w:rsidRPr="00426063" w:rsidRDefault="00537112" w:rsidP="00390D75"/>
    <w:p w:rsidR="005A71A2" w:rsidRPr="00426063" w:rsidRDefault="00537112" w:rsidP="00537112">
      <w:pPr>
        <w:widowControl/>
        <w:suppressAutoHyphens/>
        <w:spacing w:line="240" w:lineRule="auto"/>
        <w:ind w:left="2160" w:firstLine="0"/>
        <w:rPr>
          <w:rFonts w:cs="Times New Roman"/>
          <w:szCs w:val="26"/>
        </w:rPr>
      </w:pPr>
      <w:r>
        <w:rPr>
          <w:rFonts w:cs="Times New Roman"/>
          <w:szCs w:val="26"/>
        </w:rPr>
        <w:t xml:space="preserve">Rosemary </w:t>
      </w:r>
      <w:r w:rsidR="00405D01">
        <w:rPr>
          <w:rFonts w:cs="Times New Roman"/>
          <w:szCs w:val="26"/>
        </w:rPr>
        <w:t>Chiavetta</w:t>
      </w:r>
      <w:r w:rsidR="005A71A2" w:rsidRPr="00426063">
        <w:rPr>
          <w:rFonts w:cs="Times New Roman"/>
          <w:szCs w:val="26"/>
        </w:rPr>
        <w:t>, Secretary</w:t>
      </w:r>
    </w:p>
    <w:p w:rsidR="005A71A2" w:rsidRPr="00426063" w:rsidRDefault="005A71A2" w:rsidP="00537112">
      <w:pPr>
        <w:widowControl/>
        <w:suppressAutoHyphens/>
        <w:spacing w:line="240" w:lineRule="auto"/>
        <w:ind w:left="2160" w:firstLine="0"/>
        <w:rPr>
          <w:rFonts w:cs="Times New Roman"/>
          <w:szCs w:val="26"/>
        </w:rPr>
      </w:pPr>
      <w:smartTag w:uri="urn:schemas-microsoft-com:office:smarttags" w:element="State">
        <w:smartTag w:uri="urn:schemas-microsoft-com:office:smarttags" w:element="place">
          <w:r w:rsidRPr="00426063">
            <w:rPr>
              <w:rFonts w:cs="Times New Roman"/>
              <w:szCs w:val="26"/>
            </w:rPr>
            <w:t>Pennsylvania</w:t>
          </w:r>
        </w:smartTag>
      </w:smartTag>
      <w:r w:rsidRPr="00426063">
        <w:rPr>
          <w:rFonts w:cs="Times New Roman"/>
          <w:szCs w:val="26"/>
        </w:rPr>
        <w:t xml:space="preserve"> Public Utility Commission</w:t>
      </w:r>
    </w:p>
    <w:p w:rsidR="005A71A2" w:rsidRPr="00426063" w:rsidRDefault="005A71A2" w:rsidP="00537112">
      <w:pPr>
        <w:widowControl/>
        <w:suppressAutoHyphens/>
        <w:spacing w:line="240" w:lineRule="auto"/>
        <w:ind w:left="2160" w:firstLine="0"/>
        <w:rPr>
          <w:rFonts w:cs="Times New Roman"/>
          <w:szCs w:val="26"/>
        </w:rPr>
      </w:pPr>
      <w:smartTag w:uri="urn:schemas-microsoft-com:office:smarttags" w:element="address">
        <w:smartTag w:uri="urn:schemas-microsoft-com:office:smarttags" w:element="Street">
          <w:r w:rsidRPr="00426063">
            <w:rPr>
              <w:rFonts w:cs="Times New Roman"/>
              <w:szCs w:val="26"/>
            </w:rPr>
            <w:t>P.O. Box</w:t>
          </w:r>
        </w:smartTag>
        <w:r w:rsidRPr="00426063">
          <w:rPr>
            <w:rFonts w:cs="Times New Roman"/>
            <w:szCs w:val="26"/>
          </w:rPr>
          <w:t xml:space="preserve"> 3265</w:t>
        </w:r>
      </w:smartTag>
    </w:p>
    <w:p w:rsidR="005A71A2" w:rsidRDefault="005A71A2" w:rsidP="00537112">
      <w:pPr>
        <w:widowControl/>
        <w:suppressAutoHyphens/>
        <w:spacing w:line="240" w:lineRule="auto"/>
        <w:ind w:left="2160" w:firstLine="0"/>
        <w:rPr>
          <w:rFonts w:cs="Times New Roman"/>
          <w:szCs w:val="26"/>
        </w:rPr>
      </w:pPr>
      <w:smartTag w:uri="urn:schemas-microsoft-com:office:smarttags" w:element="place">
        <w:smartTag w:uri="urn:schemas-microsoft-com:office:smarttags" w:element="City">
          <w:r w:rsidRPr="00426063">
            <w:rPr>
              <w:rFonts w:cs="Times New Roman"/>
              <w:szCs w:val="26"/>
            </w:rPr>
            <w:t>Harrisburg</w:t>
          </w:r>
        </w:smartTag>
        <w:r w:rsidRPr="00426063">
          <w:rPr>
            <w:rFonts w:cs="Times New Roman"/>
            <w:szCs w:val="26"/>
          </w:rPr>
          <w:t xml:space="preserve">, </w:t>
        </w:r>
        <w:smartTag w:uri="urn:schemas-microsoft-com:office:smarttags" w:element="State">
          <w:r w:rsidRPr="00426063">
            <w:rPr>
              <w:rFonts w:cs="Times New Roman"/>
              <w:szCs w:val="26"/>
            </w:rPr>
            <w:t>PA</w:t>
          </w:r>
        </w:smartTag>
        <w:r w:rsidRPr="00426063">
          <w:rPr>
            <w:rFonts w:cs="Times New Roman"/>
            <w:szCs w:val="26"/>
          </w:rPr>
          <w:t xml:space="preserve">  </w:t>
        </w:r>
        <w:smartTag w:uri="urn:schemas-microsoft-com:office:smarttags" w:element="PostalCode">
          <w:r w:rsidRPr="00426063">
            <w:rPr>
              <w:rFonts w:cs="Times New Roman"/>
              <w:szCs w:val="26"/>
            </w:rPr>
            <w:t>17105-3265</w:t>
          </w:r>
        </w:smartTag>
      </w:smartTag>
    </w:p>
    <w:p w:rsidR="005A71A2" w:rsidRDefault="005A71A2" w:rsidP="005A71A2">
      <w:pPr>
        <w:widowControl/>
        <w:suppressAutoHyphens/>
        <w:ind w:left="2160"/>
        <w:rPr>
          <w:rFonts w:cs="Times New Roman"/>
          <w:szCs w:val="26"/>
        </w:rPr>
      </w:pPr>
    </w:p>
    <w:p w:rsidR="005A71A2" w:rsidRDefault="005A71A2" w:rsidP="004B5998">
      <w:pPr>
        <w:pStyle w:val="ListParagraph"/>
        <w:numPr>
          <w:ilvl w:val="0"/>
          <w:numId w:val="7"/>
        </w:numPr>
        <w:ind w:left="0" w:firstLine="1440"/>
      </w:pPr>
      <w:r>
        <w:t xml:space="preserve">That a copy of this Opinion and Order shall be served upon the Financial Assessments Chief in the Commission’s Office of Administrative Services.  </w:t>
      </w:r>
    </w:p>
    <w:p w:rsidR="005A71A2" w:rsidRPr="00660ECF" w:rsidRDefault="005A71A2" w:rsidP="004B5998">
      <w:pPr>
        <w:ind w:left="360"/>
      </w:pPr>
    </w:p>
    <w:p w:rsidR="005A71A2" w:rsidRPr="00660ECF" w:rsidRDefault="00832B1F" w:rsidP="004B5998">
      <w:pPr>
        <w:pStyle w:val="ListParagraph"/>
        <w:keepNext/>
        <w:widowControl/>
        <w:numPr>
          <w:ilvl w:val="0"/>
          <w:numId w:val="7"/>
        </w:numPr>
        <w:tabs>
          <w:tab w:val="left" w:pos="-1440"/>
          <w:tab w:val="left" w:pos="-720"/>
        </w:tabs>
        <w:suppressAutoHyphens/>
        <w:ind w:left="0" w:firstLine="1440"/>
        <w:rPr>
          <w:rFonts w:cs="Times New Roman"/>
          <w:spacing w:val="-3"/>
          <w:szCs w:val="26"/>
        </w:rPr>
      </w:pPr>
      <w:r>
        <w:lastRenderedPageBreak/>
        <w:t xml:space="preserve">That upon payment of the civil penalty assessed on </w:t>
      </w:r>
      <w:r w:rsidR="00660ECF">
        <w:t xml:space="preserve">PPL </w:t>
      </w:r>
      <w:r w:rsidR="00405D01">
        <w:t>Electric</w:t>
      </w:r>
      <w:r w:rsidR="00660ECF">
        <w:t xml:space="preserve"> Utilities </w:t>
      </w:r>
      <w:r w:rsidR="00540C84">
        <w:t xml:space="preserve">Corporation </w:t>
      </w:r>
      <w:r>
        <w:t xml:space="preserve">pursuant to Ordering Paragraph No. 4, above, </w:t>
      </w:r>
      <w:r w:rsidRPr="00660ECF">
        <w:t xml:space="preserve">the record in this proceeding </w:t>
      </w:r>
      <w:r w:rsidR="00540C84">
        <w:t xml:space="preserve">shall </w:t>
      </w:r>
      <w:r w:rsidRPr="00660ECF">
        <w:t>be marked closed.</w:t>
      </w:r>
    </w:p>
    <w:p w:rsidR="00A57B2D" w:rsidRPr="00257B0B" w:rsidRDefault="00A57B2D" w:rsidP="008B7186">
      <w:pPr>
        <w:keepNext/>
        <w:widowControl/>
        <w:suppressAutoHyphens/>
        <w:rPr>
          <w:rFonts w:cs="Times New Roman"/>
          <w:color w:val="00B050"/>
          <w:spacing w:val="-3"/>
          <w:szCs w:val="26"/>
        </w:rPr>
      </w:pPr>
    </w:p>
    <w:p w:rsidR="00A57B2D" w:rsidRPr="008B7186" w:rsidRDefault="00770B9B" w:rsidP="008B7186">
      <w:pPr>
        <w:keepNext/>
        <w:widowControl/>
        <w:suppressAutoHyphens/>
        <w:ind w:left="5040" w:firstLine="0"/>
        <w:rPr>
          <w:rFonts w:cs="Times New Roman"/>
          <w:b/>
          <w:spacing w:val="-3"/>
          <w:szCs w:val="26"/>
        </w:rPr>
      </w:pPr>
      <w:r w:rsidRPr="008B7186">
        <w:rPr>
          <w:rFonts w:cs="Times New Roman"/>
          <w:b/>
          <w:spacing w:val="-3"/>
          <w:szCs w:val="26"/>
        </w:rPr>
        <w:t>BY</w:t>
      </w:r>
      <w:r w:rsidR="00A57B2D" w:rsidRPr="008B7186">
        <w:rPr>
          <w:rFonts w:cs="Times New Roman"/>
          <w:b/>
          <w:spacing w:val="-3"/>
          <w:szCs w:val="26"/>
        </w:rPr>
        <w:t xml:space="preserve"> THE COMMISSION,</w:t>
      </w:r>
    </w:p>
    <w:p w:rsidR="00A57B2D" w:rsidRPr="008B7186" w:rsidRDefault="00AF4F60" w:rsidP="008B7186">
      <w:pPr>
        <w:keepNext/>
        <w:widowControl/>
        <w:suppressAutoHyphens/>
        <w:ind w:left="5040" w:firstLine="0"/>
        <w:rPr>
          <w:rFonts w:cs="Times New Roman"/>
          <w:spacing w:val="-3"/>
          <w:szCs w:val="26"/>
        </w:rPr>
      </w:pPr>
      <w:r w:rsidRPr="00AF4F60">
        <w:rPr>
          <w:rFonts w:cs="Times New Roman"/>
          <w:spacing w:val="-3"/>
          <w:szCs w:val="26"/>
        </w:rPr>
        <w:drawing>
          <wp:inline distT="0" distB="0" distL="0" distR="0">
            <wp:extent cx="2206625" cy="838200"/>
            <wp:effectExtent l="19050" t="0" r="3175" b="0"/>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6625" cy="838200"/>
                    </a:xfrm>
                    <a:prstGeom prst="rect">
                      <a:avLst/>
                    </a:prstGeom>
                    <a:noFill/>
                    <a:ln w="9525">
                      <a:noFill/>
                      <a:miter lim="800000"/>
                      <a:headEnd/>
                      <a:tailEnd/>
                    </a:ln>
                  </pic:spPr>
                </pic:pic>
              </a:graphicData>
            </a:graphic>
          </wp:inline>
        </w:drawing>
      </w:r>
    </w:p>
    <w:p w:rsidR="00A57B2D" w:rsidRPr="008B7186" w:rsidRDefault="00A57B2D" w:rsidP="008B7186">
      <w:pPr>
        <w:keepNext/>
        <w:widowControl/>
        <w:suppressAutoHyphens/>
        <w:ind w:left="5040" w:firstLine="0"/>
        <w:rPr>
          <w:rFonts w:cs="Times New Roman"/>
          <w:spacing w:val="-3"/>
          <w:szCs w:val="26"/>
        </w:rPr>
      </w:pPr>
    </w:p>
    <w:p w:rsidR="00770B9B" w:rsidRPr="000E0F14" w:rsidRDefault="00770B9B" w:rsidP="008B7186">
      <w:pPr>
        <w:keepNext/>
        <w:widowControl/>
        <w:suppressAutoHyphens/>
        <w:spacing w:line="240" w:lineRule="auto"/>
        <w:ind w:left="5040" w:firstLine="0"/>
        <w:rPr>
          <w:rFonts w:cs="Times New Roman"/>
          <w:spacing w:val="-3"/>
          <w:szCs w:val="26"/>
        </w:rPr>
      </w:pPr>
      <w:r w:rsidRPr="000E0F14">
        <w:rPr>
          <w:rFonts w:cs="Times New Roman"/>
          <w:spacing w:val="-3"/>
          <w:szCs w:val="26"/>
        </w:rPr>
        <w:t xml:space="preserve">Rosemary </w:t>
      </w:r>
      <w:r w:rsidR="003439E1" w:rsidRPr="000E0F14">
        <w:rPr>
          <w:rFonts w:cs="Times New Roman"/>
          <w:szCs w:val="26"/>
        </w:rPr>
        <w:t>Chiavetta</w:t>
      </w:r>
    </w:p>
    <w:p w:rsidR="00A57B2D" w:rsidRPr="000E0F14" w:rsidRDefault="00A57B2D" w:rsidP="008B7186">
      <w:pPr>
        <w:keepNext/>
        <w:widowControl/>
        <w:suppressAutoHyphens/>
        <w:ind w:left="5040" w:firstLine="0"/>
        <w:rPr>
          <w:rFonts w:cs="Times New Roman"/>
          <w:spacing w:val="-3"/>
          <w:szCs w:val="26"/>
        </w:rPr>
      </w:pPr>
      <w:r w:rsidRPr="000E0F14">
        <w:rPr>
          <w:rFonts w:cs="Times New Roman"/>
          <w:spacing w:val="-3"/>
          <w:szCs w:val="26"/>
        </w:rPr>
        <w:t>Secretary</w:t>
      </w:r>
    </w:p>
    <w:p w:rsidR="00A57B2D" w:rsidRPr="008B7186" w:rsidRDefault="00A57B2D" w:rsidP="008B7186">
      <w:pPr>
        <w:keepNext/>
        <w:widowControl/>
        <w:suppressAutoHyphens/>
        <w:rPr>
          <w:rFonts w:cs="Times New Roman"/>
          <w:spacing w:val="-3"/>
          <w:szCs w:val="26"/>
        </w:rPr>
      </w:pPr>
    </w:p>
    <w:p w:rsidR="00A57B2D" w:rsidRPr="008B7186" w:rsidRDefault="00A57B2D" w:rsidP="008B7186">
      <w:pPr>
        <w:keepNext/>
        <w:widowControl/>
        <w:suppressAutoHyphens/>
        <w:ind w:firstLine="0"/>
        <w:rPr>
          <w:rFonts w:cs="Times New Roman"/>
          <w:spacing w:val="-3"/>
          <w:szCs w:val="26"/>
        </w:rPr>
      </w:pPr>
      <w:r w:rsidRPr="008B7186">
        <w:rPr>
          <w:rFonts w:cs="Times New Roman"/>
          <w:spacing w:val="-3"/>
          <w:szCs w:val="26"/>
        </w:rPr>
        <w:t>SEAL</w:t>
      </w:r>
    </w:p>
    <w:p w:rsidR="00A57B2D" w:rsidRPr="008B7186" w:rsidRDefault="00A57B2D" w:rsidP="008B7186">
      <w:pPr>
        <w:keepNext/>
        <w:widowControl/>
        <w:suppressAutoHyphens/>
        <w:ind w:firstLine="0"/>
        <w:rPr>
          <w:rFonts w:cs="Times New Roman"/>
          <w:spacing w:val="-3"/>
          <w:szCs w:val="26"/>
        </w:rPr>
      </w:pPr>
      <w:r w:rsidRPr="008B7186">
        <w:rPr>
          <w:rFonts w:cs="Times New Roman"/>
          <w:spacing w:val="-3"/>
          <w:szCs w:val="26"/>
        </w:rPr>
        <w:t xml:space="preserve">ORDER ADOPTED: </w:t>
      </w:r>
      <w:r w:rsidR="00832B1F" w:rsidRPr="008B7186">
        <w:rPr>
          <w:rFonts w:cs="Times New Roman"/>
          <w:spacing w:val="-3"/>
          <w:szCs w:val="26"/>
        </w:rPr>
        <w:t>April 22</w:t>
      </w:r>
      <w:r w:rsidR="0046640B" w:rsidRPr="008B7186">
        <w:rPr>
          <w:rFonts w:cs="Times New Roman"/>
          <w:spacing w:val="-3"/>
          <w:szCs w:val="26"/>
        </w:rPr>
        <w:t>, 20</w:t>
      </w:r>
      <w:r w:rsidR="003439E1" w:rsidRPr="008B7186">
        <w:rPr>
          <w:rFonts w:cs="Times New Roman"/>
          <w:spacing w:val="-3"/>
          <w:szCs w:val="26"/>
        </w:rPr>
        <w:t>10</w:t>
      </w:r>
    </w:p>
    <w:p w:rsidR="00A57B2D" w:rsidRPr="008B7186" w:rsidRDefault="00A57B2D" w:rsidP="008B7186">
      <w:pPr>
        <w:keepNext/>
        <w:widowControl/>
        <w:suppressAutoHyphens/>
        <w:ind w:firstLine="0"/>
        <w:rPr>
          <w:b/>
          <w:szCs w:val="26"/>
          <w:u w:val="single"/>
        </w:rPr>
      </w:pPr>
      <w:r w:rsidRPr="008B7186">
        <w:rPr>
          <w:rFonts w:cs="Times New Roman"/>
          <w:spacing w:val="-3"/>
          <w:szCs w:val="26"/>
        </w:rPr>
        <w:t xml:space="preserve">ORDER ENTERED:  </w:t>
      </w:r>
      <w:r w:rsidR="00AF4F60" w:rsidRPr="00AF4F60">
        <w:rPr>
          <w:rFonts w:cs="Times New Roman"/>
          <w:b/>
          <w:spacing w:val="-3"/>
          <w:szCs w:val="26"/>
        </w:rPr>
        <w:t>May 21, 2010</w:t>
      </w:r>
    </w:p>
    <w:sectPr w:rsidR="00A57B2D" w:rsidRPr="008B7186" w:rsidSect="00CC506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252" w:rsidRDefault="00B53252" w:rsidP="00F05504">
      <w:r>
        <w:separator/>
      </w:r>
    </w:p>
  </w:endnote>
  <w:endnote w:type="continuationSeparator" w:id="0">
    <w:p w:rsidR="00B53252" w:rsidRDefault="00B53252" w:rsidP="00F05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2438"/>
      <w:docPartObj>
        <w:docPartGallery w:val="Page Numbers (Bottom of Page)"/>
        <w:docPartUnique/>
      </w:docPartObj>
    </w:sdtPr>
    <w:sdtContent>
      <w:p w:rsidR="00540C84" w:rsidRDefault="00304440" w:rsidP="00020297">
        <w:pPr>
          <w:pStyle w:val="Footer"/>
          <w:ind w:firstLine="0"/>
          <w:jc w:val="center"/>
        </w:pPr>
        <w:r w:rsidRPr="00CC506E">
          <w:rPr>
            <w:szCs w:val="26"/>
          </w:rPr>
          <w:fldChar w:fldCharType="begin"/>
        </w:r>
        <w:r w:rsidR="00540C84" w:rsidRPr="00CC506E">
          <w:rPr>
            <w:szCs w:val="26"/>
          </w:rPr>
          <w:instrText xml:space="preserve"> PAGE   \* MERGEFORMAT </w:instrText>
        </w:r>
        <w:r w:rsidRPr="00CC506E">
          <w:rPr>
            <w:szCs w:val="26"/>
          </w:rPr>
          <w:fldChar w:fldCharType="separate"/>
        </w:r>
        <w:r w:rsidR="00AF4F60">
          <w:rPr>
            <w:noProof/>
            <w:szCs w:val="26"/>
          </w:rPr>
          <w:t>11</w:t>
        </w:r>
        <w:r w:rsidRPr="00CC506E">
          <w:rPr>
            <w:szCs w:val="26"/>
          </w:rPr>
          <w:fldChar w:fldCharType="end"/>
        </w:r>
      </w:p>
    </w:sdtContent>
  </w:sdt>
  <w:p w:rsidR="00540C84" w:rsidRDefault="00540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252" w:rsidRDefault="00B53252" w:rsidP="00F05504">
      <w:r>
        <w:separator/>
      </w:r>
    </w:p>
  </w:footnote>
  <w:footnote w:type="continuationSeparator" w:id="0">
    <w:p w:rsidR="00B53252" w:rsidRDefault="00B53252" w:rsidP="00F05504">
      <w:r>
        <w:continuationSeparator/>
      </w:r>
    </w:p>
  </w:footnote>
  <w:footnote w:id="1">
    <w:p w:rsidR="00540C84" w:rsidRDefault="00540C84" w:rsidP="007F298C">
      <w:pPr>
        <w:pStyle w:val="FootnoteText"/>
        <w:spacing w:line="240" w:lineRule="auto"/>
        <w:ind w:firstLine="720"/>
      </w:pPr>
      <w:r>
        <w:rPr>
          <w:rStyle w:val="FootnoteReference"/>
        </w:rPr>
        <w:footnoteRef/>
      </w:r>
      <w:r>
        <w:t xml:space="preserve"> </w:t>
      </w:r>
      <w:r>
        <w:tab/>
        <w:t xml:space="preserve">While the Complainants may have relied to their detriment on PPL’s representations, the Commission does not have the authority to award damages.  In the event that the Complainants want to pursue a claim for damages, they would have to seek a remedy in a court of competent jurisdiction.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446"/>
    <w:multiLevelType w:val="hybridMultilevel"/>
    <w:tmpl w:val="F61AC6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9E38E8"/>
    <w:multiLevelType w:val="hybridMultilevel"/>
    <w:tmpl w:val="BF1E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30CA9"/>
    <w:multiLevelType w:val="hybridMultilevel"/>
    <w:tmpl w:val="CAFCC6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5A7417F"/>
    <w:multiLevelType w:val="hybridMultilevel"/>
    <w:tmpl w:val="D2188082"/>
    <w:lvl w:ilvl="0" w:tplc="F3825CEA">
      <w:start w:val="3"/>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BA9212A"/>
    <w:multiLevelType w:val="hybridMultilevel"/>
    <w:tmpl w:val="1F68346C"/>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FD5296F"/>
    <w:multiLevelType w:val="hybridMultilevel"/>
    <w:tmpl w:val="6304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E71384"/>
    <w:multiLevelType w:val="hybridMultilevel"/>
    <w:tmpl w:val="ADC286B8"/>
    <w:lvl w:ilvl="0" w:tplc="C2AA94FC">
      <w:start w:val="1"/>
      <w:numFmt w:val="decimal"/>
      <w:lvlText w:val="%1."/>
      <w:lvlJc w:val="left"/>
      <w:pPr>
        <w:tabs>
          <w:tab w:val="num" w:pos="1800"/>
        </w:tabs>
        <w:ind w:left="0" w:firstLine="144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65570E"/>
    <w:rsid w:val="00004913"/>
    <w:rsid w:val="00004CB8"/>
    <w:rsid w:val="00005B75"/>
    <w:rsid w:val="00007413"/>
    <w:rsid w:val="00017065"/>
    <w:rsid w:val="000171D5"/>
    <w:rsid w:val="00020297"/>
    <w:rsid w:val="00023055"/>
    <w:rsid w:val="00023AA7"/>
    <w:rsid w:val="0002455F"/>
    <w:rsid w:val="0002581F"/>
    <w:rsid w:val="000319BC"/>
    <w:rsid w:val="00032951"/>
    <w:rsid w:val="000369FB"/>
    <w:rsid w:val="00037D23"/>
    <w:rsid w:val="00041A97"/>
    <w:rsid w:val="00042033"/>
    <w:rsid w:val="00042B94"/>
    <w:rsid w:val="0004368E"/>
    <w:rsid w:val="00047459"/>
    <w:rsid w:val="0005165D"/>
    <w:rsid w:val="00051D09"/>
    <w:rsid w:val="00052478"/>
    <w:rsid w:val="00053B4E"/>
    <w:rsid w:val="00053E57"/>
    <w:rsid w:val="00054307"/>
    <w:rsid w:val="000546D8"/>
    <w:rsid w:val="00054B1C"/>
    <w:rsid w:val="00063BB2"/>
    <w:rsid w:val="0006443B"/>
    <w:rsid w:val="00066079"/>
    <w:rsid w:val="00066548"/>
    <w:rsid w:val="000675C1"/>
    <w:rsid w:val="00071085"/>
    <w:rsid w:val="00074344"/>
    <w:rsid w:val="00075186"/>
    <w:rsid w:val="00076D45"/>
    <w:rsid w:val="00077039"/>
    <w:rsid w:val="0008258A"/>
    <w:rsid w:val="000825F6"/>
    <w:rsid w:val="00082C0F"/>
    <w:rsid w:val="00092EC4"/>
    <w:rsid w:val="0009384E"/>
    <w:rsid w:val="00093EE8"/>
    <w:rsid w:val="00096BBE"/>
    <w:rsid w:val="00096BF3"/>
    <w:rsid w:val="0009717B"/>
    <w:rsid w:val="00097334"/>
    <w:rsid w:val="000A0C2D"/>
    <w:rsid w:val="000A0D1D"/>
    <w:rsid w:val="000A33CB"/>
    <w:rsid w:val="000A4304"/>
    <w:rsid w:val="000A5423"/>
    <w:rsid w:val="000B1D84"/>
    <w:rsid w:val="000B31AC"/>
    <w:rsid w:val="000C52DC"/>
    <w:rsid w:val="000C6D8D"/>
    <w:rsid w:val="000D20BF"/>
    <w:rsid w:val="000D57D6"/>
    <w:rsid w:val="000D706D"/>
    <w:rsid w:val="000D75B3"/>
    <w:rsid w:val="000E0F14"/>
    <w:rsid w:val="000E446F"/>
    <w:rsid w:val="000E50E9"/>
    <w:rsid w:val="000E7406"/>
    <w:rsid w:val="000F077F"/>
    <w:rsid w:val="000F0A46"/>
    <w:rsid w:val="000F1C9C"/>
    <w:rsid w:val="000F2843"/>
    <w:rsid w:val="000F3561"/>
    <w:rsid w:val="000F5F96"/>
    <w:rsid w:val="0010012B"/>
    <w:rsid w:val="001006FE"/>
    <w:rsid w:val="001019F3"/>
    <w:rsid w:val="001035DC"/>
    <w:rsid w:val="00105C56"/>
    <w:rsid w:val="00110969"/>
    <w:rsid w:val="00110BB4"/>
    <w:rsid w:val="00113E0D"/>
    <w:rsid w:val="001149AD"/>
    <w:rsid w:val="00115DB5"/>
    <w:rsid w:val="001169C5"/>
    <w:rsid w:val="001175C4"/>
    <w:rsid w:val="0012187C"/>
    <w:rsid w:val="00122E39"/>
    <w:rsid w:val="00124F68"/>
    <w:rsid w:val="001272BF"/>
    <w:rsid w:val="00130238"/>
    <w:rsid w:val="0013184D"/>
    <w:rsid w:val="001332E8"/>
    <w:rsid w:val="00133645"/>
    <w:rsid w:val="00142B8C"/>
    <w:rsid w:val="0014388C"/>
    <w:rsid w:val="001456A0"/>
    <w:rsid w:val="001507C8"/>
    <w:rsid w:val="001508A6"/>
    <w:rsid w:val="001514B0"/>
    <w:rsid w:val="001529AC"/>
    <w:rsid w:val="00152BD0"/>
    <w:rsid w:val="001537AF"/>
    <w:rsid w:val="00160478"/>
    <w:rsid w:val="00160740"/>
    <w:rsid w:val="00160B73"/>
    <w:rsid w:val="00161455"/>
    <w:rsid w:val="00162D92"/>
    <w:rsid w:val="0016761D"/>
    <w:rsid w:val="0017022D"/>
    <w:rsid w:val="00172364"/>
    <w:rsid w:val="00177F08"/>
    <w:rsid w:val="00177F8C"/>
    <w:rsid w:val="00180323"/>
    <w:rsid w:val="00180720"/>
    <w:rsid w:val="00180802"/>
    <w:rsid w:val="00181938"/>
    <w:rsid w:val="00181B4A"/>
    <w:rsid w:val="00183E61"/>
    <w:rsid w:val="00185FD6"/>
    <w:rsid w:val="00187C02"/>
    <w:rsid w:val="00190317"/>
    <w:rsid w:val="00194D12"/>
    <w:rsid w:val="001A13FD"/>
    <w:rsid w:val="001A28C8"/>
    <w:rsid w:val="001A2DD8"/>
    <w:rsid w:val="001A3599"/>
    <w:rsid w:val="001A4B65"/>
    <w:rsid w:val="001B190A"/>
    <w:rsid w:val="001B22F2"/>
    <w:rsid w:val="001B261F"/>
    <w:rsid w:val="001B3743"/>
    <w:rsid w:val="001B4BCE"/>
    <w:rsid w:val="001B4C89"/>
    <w:rsid w:val="001B70FF"/>
    <w:rsid w:val="001C2114"/>
    <w:rsid w:val="001C5A5B"/>
    <w:rsid w:val="001D0484"/>
    <w:rsid w:val="001D0927"/>
    <w:rsid w:val="001D213B"/>
    <w:rsid w:val="001D446B"/>
    <w:rsid w:val="001D4A79"/>
    <w:rsid w:val="001D7042"/>
    <w:rsid w:val="001E08E2"/>
    <w:rsid w:val="001E3462"/>
    <w:rsid w:val="001E41C1"/>
    <w:rsid w:val="001E5C8C"/>
    <w:rsid w:val="001E7446"/>
    <w:rsid w:val="001E76AA"/>
    <w:rsid w:val="001E7A2D"/>
    <w:rsid w:val="001F05CE"/>
    <w:rsid w:val="001F1E6C"/>
    <w:rsid w:val="001F5CD5"/>
    <w:rsid w:val="001F6130"/>
    <w:rsid w:val="001F6625"/>
    <w:rsid w:val="00201772"/>
    <w:rsid w:val="00213FBE"/>
    <w:rsid w:val="0021622F"/>
    <w:rsid w:val="00216B69"/>
    <w:rsid w:val="00217658"/>
    <w:rsid w:val="00220F6F"/>
    <w:rsid w:val="00222F56"/>
    <w:rsid w:val="002312E3"/>
    <w:rsid w:val="00233378"/>
    <w:rsid w:val="002345BB"/>
    <w:rsid w:val="0023639A"/>
    <w:rsid w:val="002370EE"/>
    <w:rsid w:val="00237152"/>
    <w:rsid w:val="00237BAE"/>
    <w:rsid w:val="002454F5"/>
    <w:rsid w:val="00245D29"/>
    <w:rsid w:val="00245E07"/>
    <w:rsid w:val="00251FE8"/>
    <w:rsid w:val="00254F41"/>
    <w:rsid w:val="002567D4"/>
    <w:rsid w:val="0025709C"/>
    <w:rsid w:val="00257B0B"/>
    <w:rsid w:val="00260F03"/>
    <w:rsid w:val="00262F59"/>
    <w:rsid w:val="00263462"/>
    <w:rsid w:val="00264A7E"/>
    <w:rsid w:val="00270590"/>
    <w:rsid w:val="00270CE0"/>
    <w:rsid w:val="00272812"/>
    <w:rsid w:val="00272C47"/>
    <w:rsid w:val="002731C6"/>
    <w:rsid w:val="002760E9"/>
    <w:rsid w:val="0027781B"/>
    <w:rsid w:val="00283C80"/>
    <w:rsid w:val="00285501"/>
    <w:rsid w:val="00287EF1"/>
    <w:rsid w:val="00290B00"/>
    <w:rsid w:val="00296A62"/>
    <w:rsid w:val="002972F6"/>
    <w:rsid w:val="002A0723"/>
    <w:rsid w:val="002A30AC"/>
    <w:rsid w:val="002A3C31"/>
    <w:rsid w:val="002A5BE3"/>
    <w:rsid w:val="002A77A7"/>
    <w:rsid w:val="002B1330"/>
    <w:rsid w:val="002B181E"/>
    <w:rsid w:val="002B360D"/>
    <w:rsid w:val="002C2652"/>
    <w:rsid w:val="002C3821"/>
    <w:rsid w:val="002C3D03"/>
    <w:rsid w:val="002C401F"/>
    <w:rsid w:val="002C795A"/>
    <w:rsid w:val="002C7CB4"/>
    <w:rsid w:val="002D6BA4"/>
    <w:rsid w:val="002E00AC"/>
    <w:rsid w:val="002E1155"/>
    <w:rsid w:val="002E27EE"/>
    <w:rsid w:val="002E49D8"/>
    <w:rsid w:val="002E5348"/>
    <w:rsid w:val="002F2E00"/>
    <w:rsid w:val="002F30B8"/>
    <w:rsid w:val="002F49F2"/>
    <w:rsid w:val="002F635A"/>
    <w:rsid w:val="003005A9"/>
    <w:rsid w:val="00300858"/>
    <w:rsid w:val="0030391C"/>
    <w:rsid w:val="00304440"/>
    <w:rsid w:val="00304714"/>
    <w:rsid w:val="00310C48"/>
    <w:rsid w:val="00314B6F"/>
    <w:rsid w:val="00314D00"/>
    <w:rsid w:val="003172D1"/>
    <w:rsid w:val="00321D52"/>
    <w:rsid w:val="00322882"/>
    <w:rsid w:val="00325696"/>
    <w:rsid w:val="00326867"/>
    <w:rsid w:val="0033768C"/>
    <w:rsid w:val="00337C47"/>
    <w:rsid w:val="003401FC"/>
    <w:rsid w:val="00342C93"/>
    <w:rsid w:val="003439E1"/>
    <w:rsid w:val="00344539"/>
    <w:rsid w:val="00351C73"/>
    <w:rsid w:val="00355526"/>
    <w:rsid w:val="00365DC5"/>
    <w:rsid w:val="00366639"/>
    <w:rsid w:val="003721EA"/>
    <w:rsid w:val="00373437"/>
    <w:rsid w:val="003756EE"/>
    <w:rsid w:val="0037776C"/>
    <w:rsid w:val="00377E02"/>
    <w:rsid w:val="00380671"/>
    <w:rsid w:val="00382F38"/>
    <w:rsid w:val="00390170"/>
    <w:rsid w:val="0039071F"/>
    <w:rsid w:val="00390D75"/>
    <w:rsid w:val="00392F70"/>
    <w:rsid w:val="00394B62"/>
    <w:rsid w:val="00396140"/>
    <w:rsid w:val="00396B65"/>
    <w:rsid w:val="003A358F"/>
    <w:rsid w:val="003A5069"/>
    <w:rsid w:val="003A5793"/>
    <w:rsid w:val="003A641B"/>
    <w:rsid w:val="003A7E56"/>
    <w:rsid w:val="003B065C"/>
    <w:rsid w:val="003B08FC"/>
    <w:rsid w:val="003B3BA6"/>
    <w:rsid w:val="003B527D"/>
    <w:rsid w:val="003B7172"/>
    <w:rsid w:val="003C36F5"/>
    <w:rsid w:val="003C4BC6"/>
    <w:rsid w:val="003C691B"/>
    <w:rsid w:val="003D13B7"/>
    <w:rsid w:val="003D49EA"/>
    <w:rsid w:val="003E2241"/>
    <w:rsid w:val="003E3134"/>
    <w:rsid w:val="003E5C5A"/>
    <w:rsid w:val="003F1CC7"/>
    <w:rsid w:val="003F35EE"/>
    <w:rsid w:val="003F6CC3"/>
    <w:rsid w:val="003F6D27"/>
    <w:rsid w:val="003F719E"/>
    <w:rsid w:val="003F7944"/>
    <w:rsid w:val="003F7A1E"/>
    <w:rsid w:val="003F7C76"/>
    <w:rsid w:val="00401493"/>
    <w:rsid w:val="00402BC9"/>
    <w:rsid w:val="00404CA8"/>
    <w:rsid w:val="00405D01"/>
    <w:rsid w:val="00406CDE"/>
    <w:rsid w:val="004107CD"/>
    <w:rsid w:val="00411146"/>
    <w:rsid w:val="004141B8"/>
    <w:rsid w:val="00416B04"/>
    <w:rsid w:val="00420344"/>
    <w:rsid w:val="00420CA6"/>
    <w:rsid w:val="00421552"/>
    <w:rsid w:val="00423270"/>
    <w:rsid w:val="00426308"/>
    <w:rsid w:val="00426B39"/>
    <w:rsid w:val="004278DF"/>
    <w:rsid w:val="00431DC5"/>
    <w:rsid w:val="004327BC"/>
    <w:rsid w:val="0043388F"/>
    <w:rsid w:val="00434A8B"/>
    <w:rsid w:val="00434ABE"/>
    <w:rsid w:val="00434EA3"/>
    <w:rsid w:val="00440D39"/>
    <w:rsid w:val="00440D6C"/>
    <w:rsid w:val="00440FC5"/>
    <w:rsid w:val="004429E8"/>
    <w:rsid w:val="00442D92"/>
    <w:rsid w:val="004436CB"/>
    <w:rsid w:val="0044404A"/>
    <w:rsid w:val="00447D7C"/>
    <w:rsid w:val="004506CE"/>
    <w:rsid w:val="004510BE"/>
    <w:rsid w:val="00452673"/>
    <w:rsid w:val="00454598"/>
    <w:rsid w:val="00455746"/>
    <w:rsid w:val="00457CAE"/>
    <w:rsid w:val="0046640B"/>
    <w:rsid w:val="0047064B"/>
    <w:rsid w:val="00470DE8"/>
    <w:rsid w:val="00471A02"/>
    <w:rsid w:val="004722DA"/>
    <w:rsid w:val="00473471"/>
    <w:rsid w:val="00474C00"/>
    <w:rsid w:val="0047522A"/>
    <w:rsid w:val="00476965"/>
    <w:rsid w:val="00481142"/>
    <w:rsid w:val="004817EC"/>
    <w:rsid w:val="0048271C"/>
    <w:rsid w:val="00482BFD"/>
    <w:rsid w:val="00485F35"/>
    <w:rsid w:val="00496639"/>
    <w:rsid w:val="00497278"/>
    <w:rsid w:val="004976F6"/>
    <w:rsid w:val="004A0620"/>
    <w:rsid w:val="004A0DA8"/>
    <w:rsid w:val="004A1D2F"/>
    <w:rsid w:val="004A33A7"/>
    <w:rsid w:val="004A379E"/>
    <w:rsid w:val="004A645A"/>
    <w:rsid w:val="004B0F42"/>
    <w:rsid w:val="004B11DF"/>
    <w:rsid w:val="004B1FA7"/>
    <w:rsid w:val="004B20AD"/>
    <w:rsid w:val="004B33CE"/>
    <w:rsid w:val="004B5998"/>
    <w:rsid w:val="004C60E9"/>
    <w:rsid w:val="004D16C2"/>
    <w:rsid w:val="004D290F"/>
    <w:rsid w:val="004D3766"/>
    <w:rsid w:val="004D5459"/>
    <w:rsid w:val="004E0480"/>
    <w:rsid w:val="004E1BE7"/>
    <w:rsid w:val="004E34AA"/>
    <w:rsid w:val="004E3EF3"/>
    <w:rsid w:val="004E4320"/>
    <w:rsid w:val="004F37CC"/>
    <w:rsid w:val="004F6465"/>
    <w:rsid w:val="004F6A46"/>
    <w:rsid w:val="004F791A"/>
    <w:rsid w:val="004F7B4A"/>
    <w:rsid w:val="0050063C"/>
    <w:rsid w:val="00500F78"/>
    <w:rsid w:val="0050287A"/>
    <w:rsid w:val="00503BCE"/>
    <w:rsid w:val="0050641D"/>
    <w:rsid w:val="00507D2A"/>
    <w:rsid w:val="00507EB8"/>
    <w:rsid w:val="005112E0"/>
    <w:rsid w:val="00513AD3"/>
    <w:rsid w:val="005158D5"/>
    <w:rsid w:val="005172D7"/>
    <w:rsid w:val="00520F60"/>
    <w:rsid w:val="00522AC1"/>
    <w:rsid w:val="00523274"/>
    <w:rsid w:val="00523E1C"/>
    <w:rsid w:val="005262ED"/>
    <w:rsid w:val="005269F4"/>
    <w:rsid w:val="00526AB2"/>
    <w:rsid w:val="00530D31"/>
    <w:rsid w:val="00531176"/>
    <w:rsid w:val="00531379"/>
    <w:rsid w:val="00532611"/>
    <w:rsid w:val="0053466A"/>
    <w:rsid w:val="005346EF"/>
    <w:rsid w:val="00537112"/>
    <w:rsid w:val="00537408"/>
    <w:rsid w:val="00537ABE"/>
    <w:rsid w:val="00537FFA"/>
    <w:rsid w:val="00540C84"/>
    <w:rsid w:val="005437D2"/>
    <w:rsid w:val="00544661"/>
    <w:rsid w:val="00547B17"/>
    <w:rsid w:val="005504A9"/>
    <w:rsid w:val="005509B2"/>
    <w:rsid w:val="005541FA"/>
    <w:rsid w:val="00555341"/>
    <w:rsid w:val="005575B2"/>
    <w:rsid w:val="005613C4"/>
    <w:rsid w:val="00566EAA"/>
    <w:rsid w:val="00567970"/>
    <w:rsid w:val="00576282"/>
    <w:rsid w:val="005771C0"/>
    <w:rsid w:val="005773EA"/>
    <w:rsid w:val="005805B6"/>
    <w:rsid w:val="00583B3E"/>
    <w:rsid w:val="0058459F"/>
    <w:rsid w:val="00590615"/>
    <w:rsid w:val="00591C2A"/>
    <w:rsid w:val="005926AE"/>
    <w:rsid w:val="00592A27"/>
    <w:rsid w:val="00594703"/>
    <w:rsid w:val="00595D61"/>
    <w:rsid w:val="005968EA"/>
    <w:rsid w:val="005A1F3E"/>
    <w:rsid w:val="005A2C40"/>
    <w:rsid w:val="005A3F10"/>
    <w:rsid w:val="005A637B"/>
    <w:rsid w:val="005A71A2"/>
    <w:rsid w:val="005B18F1"/>
    <w:rsid w:val="005B1C02"/>
    <w:rsid w:val="005B2C7C"/>
    <w:rsid w:val="005B34E7"/>
    <w:rsid w:val="005B3E26"/>
    <w:rsid w:val="005B3F1A"/>
    <w:rsid w:val="005C1345"/>
    <w:rsid w:val="005C1DCD"/>
    <w:rsid w:val="005C2C3A"/>
    <w:rsid w:val="005C5E0C"/>
    <w:rsid w:val="005D0AA9"/>
    <w:rsid w:val="005D129D"/>
    <w:rsid w:val="005D1BC4"/>
    <w:rsid w:val="005D2633"/>
    <w:rsid w:val="005D3057"/>
    <w:rsid w:val="005D39DC"/>
    <w:rsid w:val="005D67B5"/>
    <w:rsid w:val="005D7749"/>
    <w:rsid w:val="005D7F1D"/>
    <w:rsid w:val="005E0A3F"/>
    <w:rsid w:val="005E0F4B"/>
    <w:rsid w:val="005E44CA"/>
    <w:rsid w:val="005E4F5D"/>
    <w:rsid w:val="005F0BC3"/>
    <w:rsid w:val="005F2995"/>
    <w:rsid w:val="005F3C23"/>
    <w:rsid w:val="005F4899"/>
    <w:rsid w:val="005F63D8"/>
    <w:rsid w:val="006007E7"/>
    <w:rsid w:val="00611CAD"/>
    <w:rsid w:val="006126F4"/>
    <w:rsid w:val="00613AD3"/>
    <w:rsid w:val="006146A1"/>
    <w:rsid w:val="00617208"/>
    <w:rsid w:val="00621A9E"/>
    <w:rsid w:val="0062354F"/>
    <w:rsid w:val="00624D18"/>
    <w:rsid w:val="0062573F"/>
    <w:rsid w:val="0062642D"/>
    <w:rsid w:val="006300EA"/>
    <w:rsid w:val="00630304"/>
    <w:rsid w:val="00633ABA"/>
    <w:rsid w:val="00634760"/>
    <w:rsid w:val="0063489B"/>
    <w:rsid w:val="00635345"/>
    <w:rsid w:val="006371ED"/>
    <w:rsid w:val="00641815"/>
    <w:rsid w:val="00643833"/>
    <w:rsid w:val="00646719"/>
    <w:rsid w:val="00646F6B"/>
    <w:rsid w:val="00647B06"/>
    <w:rsid w:val="00650754"/>
    <w:rsid w:val="00652AAA"/>
    <w:rsid w:val="00654526"/>
    <w:rsid w:val="00654BCE"/>
    <w:rsid w:val="00654D3F"/>
    <w:rsid w:val="0065570E"/>
    <w:rsid w:val="00660ECF"/>
    <w:rsid w:val="006658B3"/>
    <w:rsid w:val="006677B7"/>
    <w:rsid w:val="00670D82"/>
    <w:rsid w:val="006721BE"/>
    <w:rsid w:val="00675319"/>
    <w:rsid w:val="006754F0"/>
    <w:rsid w:val="00677510"/>
    <w:rsid w:val="00684087"/>
    <w:rsid w:val="0069190A"/>
    <w:rsid w:val="006934C7"/>
    <w:rsid w:val="006A1894"/>
    <w:rsid w:val="006A3048"/>
    <w:rsid w:val="006A46A9"/>
    <w:rsid w:val="006A5B5D"/>
    <w:rsid w:val="006A65CD"/>
    <w:rsid w:val="006A68A5"/>
    <w:rsid w:val="006A6DB3"/>
    <w:rsid w:val="006A7CCF"/>
    <w:rsid w:val="006B0D88"/>
    <w:rsid w:val="006B1E7C"/>
    <w:rsid w:val="006B245E"/>
    <w:rsid w:val="006B2823"/>
    <w:rsid w:val="006B3721"/>
    <w:rsid w:val="006B6E64"/>
    <w:rsid w:val="006B71F7"/>
    <w:rsid w:val="006C0438"/>
    <w:rsid w:val="006C5FA5"/>
    <w:rsid w:val="006C75AE"/>
    <w:rsid w:val="006C7A92"/>
    <w:rsid w:val="006D1711"/>
    <w:rsid w:val="006D1FB3"/>
    <w:rsid w:val="006D21E4"/>
    <w:rsid w:val="006D268E"/>
    <w:rsid w:val="006D2A49"/>
    <w:rsid w:val="006D7836"/>
    <w:rsid w:val="006E38E1"/>
    <w:rsid w:val="006E3AB0"/>
    <w:rsid w:val="006E65C0"/>
    <w:rsid w:val="006E7F38"/>
    <w:rsid w:val="006F0E75"/>
    <w:rsid w:val="006F2B4E"/>
    <w:rsid w:val="006F3AD9"/>
    <w:rsid w:val="006F4458"/>
    <w:rsid w:val="006F6AF1"/>
    <w:rsid w:val="006F6CA4"/>
    <w:rsid w:val="006F772A"/>
    <w:rsid w:val="00701333"/>
    <w:rsid w:val="0070402F"/>
    <w:rsid w:val="007043B2"/>
    <w:rsid w:val="007078EC"/>
    <w:rsid w:val="00710667"/>
    <w:rsid w:val="00711294"/>
    <w:rsid w:val="007112A0"/>
    <w:rsid w:val="00712B96"/>
    <w:rsid w:val="00713364"/>
    <w:rsid w:val="00723081"/>
    <w:rsid w:val="007232EC"/>
    <w:rsid w:val="00723E6D"/>
    <w:rsid w:val="007248F2"/>
    <w:rsid w:val="00731768"/>
    <w:rsid w:val="00731EFF"/>
    <w:rsid w:val="00733AB1"/>
    <w:rsid w:val="007348D0"/>
    <w:rsid w:val="00736FBD"/>
    <w:rsid w:val="007471A1"/>
    <w:rsid w:val="00750A34"/>
    <w:rsid w:val="00752270"/>
    <w:rsid w:val="0075397E"/>
    <w:rsid w:val="00754853"/>
    <w:rsid w:val="007641AD"/>
    <w:rsid w:val="00766F7D"/>
    <w:rsid w:val="007674F2"/>
    <w:rsid w:val="00770027"/>
    <w:rsid w:val="00770B9B"/>
    <w:rsid w:val="007715F5"/>
    <w:rsid w:val="007767EB"/>
    <w:rsid w:val="00776D2B"/>
    <w:rsid w:val="00777655"/>
    <w:rsid w:val="0077791C"/>
    <w:rsid w:val="00777E6B"/>
    <w:rsid w:val="00780716"/>
    <w:rsid w:val="007818D5"/>
    <w:rsid w:val="00782C83"/>
    <w:rsid w:val="00784143"/>
    <w:rsid w:val="00784876"/>
    <w:rsid w:val="0078543B"/>
    <w:rsid w:val="007856AC"/>
    <w:rsid w:val="007859AD"/>
    <w:rsid w:val="00790CB8"/>
    <w:rsid w:val="007934D1"/>
    <w:rsid w:val="007939F1"/>
    <w:rsid w:val="00793A89"/>
    <w:rsid w:val="00795CE5"/>
    <w:rsid w:val="007963E4"/>
    <w:rsid w:val="007A13A6"/>
    <w:rsid w:val="007A313A"/>
    <w:rsid w:val="007A5404"/>
    <w:rsid w:val="007A696B"/>
    <w:rsid w:val="007A7F1B"/>
    <w:rsid w:val="007B147B"/>
    <w:rsid w:val="007B4239"/>
    <w:rsid w:val="007B673E"/>
    <w:rsid w:val="007B6CD5"/>
    <w:rsid w:val="007B7883"/>
    <w:rsid w:val="007C058E"/>
    <w:rsid w:val="007C30D9"/>
    <w:rsid w:val="007C32A7"/>
    <w:rsid w:val="007C3550"/>
    <w:rsid w:val="007C395F"/>
    <w:rsid w:val="007C4701"/>
    <w:rsid w:val="007C59AA"/>
    <w:rsid w:val="007C5FEC"/>
    <w:rsid w:val="007C61CB"/>
    <w:rsid w:val="007C6C47"/>
    <w:rsid w:val="007D128D"/>
    <w:rsid w:val="007D1485"/>
    <w:rsid w:val="007D2359"/>
    <w:rsid w:val="007D5709"/>
    <w:rsid w:val="007D74E3"/>
    <w:rsid w:val="007E03E9"/>
    <w:rsid w:val="007E0B75"/>
    <w:rsid w:val="007E6BE6"/>
    <w:rsid w:val="007F099C"/>
    <w:rsid w:val="007F298C"/>
    <w:rsid w:val="007F31F6"/>
    <w:rsid w:val="007F4435"/>
    <w:rsid w:val="007F786B"/>
    <w:rsid w:val="007F7DE1"/>
    <w:rsid w:val="00800904"/>
    <w:rsid w:val="00802772"/>
    <w:rsid w:val="0080295A"/>
    <w:rsid w:val="008032ED"/>
    <w:rsid w:val="008033A4"/>
    <w:rsid w:val="008049C0"/>
    <w:rsid w:val="00805354"/>
    <w:rsid w:val="00805D42"/>
    <w:rsid w:val="008060EC"/>
    <w:rsid w:val="00806B92"/>
    <w:rsid w:val="00807F16"/>
    <w:rsid w:val="00811AC6"/>
    <w:rsid w:val="008129C6"/>
    <w:rsid w:val="008219D2"/>
    <w:rsid w:val="0082295E"/>
    <w:rsid w:val="0082359E"/>
    <w:rsid w:val="00832B1F"/>
    <w:rsid w:val="008344F5"/>
    <w:rsid w:val="008447D6"/>
    <w:rsid w:val="00845F77"/>
    <w:rsid w:val="00846FB0"/>
    <w:rsid w:val="00850C6D"/>
    <w:rsid w:val="008512A2"/>
    <w:rsid w:val="008512DE"/>
    <w:rsid w:val="00851BDE"/>
    <w:rsid w:val="00852FCF"/>
    <w:rsid w:val="00853AE9"/>
    <w:rsid w:val="00854689"/>
    <w:rsid w:val="00855BC2"/>
    <w:rsid w:val="00856801"/>
    <w:rsid w:val="008573F4"/>
    <w:rsid w:val="008621D3"/>
    <w:rsid w:val="00862AD3"/>
    <w:rsid w:val="00867734"/>
    <w:rsid w:val="0087124E"/>
    <w:rsid w:val="008712C2"/>
    <w:rsid w:val="008724BF"/>
    <w:rsid w:val="008725EA"/>
    <w:rsid w:val="0087478B"/>
    <w:rsid w:val="008753EF"/>
    <w:rsid w:val="008755E6"/>
    <w:rsid w:val="0088067F"/>
    <w:rsid w:val="008825FC"/>
    <w:rsid w:val="00883D89"/>
    <w:rsid w:val="0088413E"/>
    <w:rsid w:val="008863FD"/>
    <w:rsid w:val="00890A89"/>
    <w:rsid w:val="00892257"/>
    <w:rsid w:val="00892D31"/>
    <w:rsid w:val="00896900"/>
    <w:rsid w:val="008970AC"/>
    <w:rsid w:val="008A0F2C"/>
    <w:rsid w:val="008A2C87"/>
    <w:rsid w:val="008A5B14"/>
    <w:rsid w:val="008A5BB2"/>
    <w:rsid w:val="008A5D23"/>
    <w:rsid w:val="008B2B0D"/>
    <w:rsid w:val="008B39A4"/>
    <w:rsid w:val="008B6376"/>
    <w:rsid w:val="008B7186"/>
    <w:rsid w:val="008C28A0"/>
    <w:rsid w:val="008C41A9"/>
    <w:rsid w:val="008C4F6B"/>
    <w:rsid w:val="008C50E2"/>
    <w:rsid w:val="008C596F"/>
    <w:rsid w:val="008C60EB"/>
    <w:rsid w:val="008C7582"/>
    <w:rsid w:val="008C7F66"/>
    <w:rsid w:val="008D2EFA"/>
    <w:rsid w:val="008D36EF"/>
    <w:rsid w:val="008D62C8"/>
    <w:rsid w:val="008E442E"/>
    <w:rsid w:val="008F0E44"/>
    <w:rsid w:val="008F2007"/>
    <w:rsid w:val="008F22EA"/>
    <w:rsid w:val="008F279C"/>
    <w:rsid w:val="008F3A80"/>
    <w:rsid w:val="008F55A7"/>
    <w:rsid w:val="008F6C27"/>
    <w:rsid w:val="0090055A"/>
    <w:rsid w:val="009015AF"/>
    <w:rsid w:val="0090701B"/>
    <w:rsid w:val="009100AF"/>
    <w:rsid w:val="00910528"/>
    <w:rsid w:val="009107D0"/>
    <w:rsid w:val="00912B6D"/>
    <w:rsid w:val="0091688D"/>
    <w:rsid w:val="009234E0"/>
    <w:rsid w:val="00925511"/>
    <w:rsid w:val="0093022C"/>
    <w:rsid w:val="00930261"/>
    <w:rsid w:val="009303A1"/>
    <w:rsid w:val="00931842"/>
    <w:rsid w:val="00934D98"/>
    <w:rsid w:val="009378DE"/>
    <w:rsid w:val="00940C3F"/>
    <w:rsid w:val="00941199"/>
    <w:rsid w:val="00943B28"/>
    <w:rsid w:val="00947F5A"/>
    <w:rsid w:val="00950903"/>
    <w:rsid w:val="00952051"/>
    <w:rsid w:val="009534A5"/>
    <w:rsid w:val="009550E1"/>
    <w:rsid w:val="0095517B"/>
    <w:rsid w:val="00955C91"/>
    <w:rsid w:val="00955F50"/>
    <w:rsid w:val="00955FEE"/>
    <w:rsid w:val="00956A7F"/>
    <w:rsid w:val="00957558"/>
    <w:rsid w:val="00967504"/>
    <w:rsid w:val="0097674B"/>
    <w:rsid w:val="00981ED5"/>
    <w:rsid w:val="0098615E"/>
    <w:rsid w:val="00990552"/>
    <w:rsid w:val="009936E6"/>
    <w:rsid w:val="00996446"/>
    <w:rsid w:val="00996E7A"/>
    <w:rsid w:val="009A045A"/>
    <w:rsid w:val="009A1137"/>
    <w:rsid w:val="009B1290"/>
    <w:rsid w:val="009B1679"/>
    <w:rsid w:val="009B4361"/>
    <w:rsid w:val="009B5834"/>
    <w:rsid w:val="009B751D"/>
    <w:rsid w:val="009C1D06"/>
    <w:rsid w:val="009C224C"/>
    <w:rsid w:val="009C622E"/>
    <w:rsid w:val="009C7076"/>
    <w:rsid w:val="009D27F9"/>
    <w:rsid w:val="009D42AA"/>
    <w:rsid w:val="009D4E21"/>
    <w:rsid w:val="009D681A"/>
    <w:rsid w:val="009E122F"/>
    <w:rsid w:val="009E2740"/>
    <w:rsid w:val="009E5CF0"/>
    <w:rsid w:val="009E5FB2"/>
    <w:rsid w:val="009E7998"/>
    <w:rsid w:val="009F0D4A"/>
    <w:rsid w:val="009F26D2"/>
    <w:rsid w:val="009F3D76"/>
    <w:rsid w:val="009F4ABA"/>
    <w:rsid w:val="009F50EC"/>
    <w:rsid w:val="009F63D6"/>
    <w:rsid w:val="009F6B1D"/>
    <w:rsid w:val="00A0005E"/>
    <w:rsid w:val="00A02450"/>
    <w:rsid w:val="00A03017"/>
    <w:rsid w:val="00A03382"/>
    <w:rsid w:val="00A03DB8"/>
    <w:rsid w:val="00A0540A"/>
    <w:rsid w:val="00A06135"/>
    <w:rsid w:val="00A06644"/>
    <w:rsid w:val="00A0740C"/>
    <w:rsid w:val="00A12EFE"/>
    <w:rsid w:val="00A17133"/>
    <w:rsid w:val="00A179DB"/>
    <w:rsid w:val="00A220C3"/>
    <w:rsid w:val="00A23804"/>
    <w:rsid w:val="00A251ED"/>
    <w:rsid w:val="00A32B4E"/>
    <w:rsid w:val="00A34543"/>
    <w:rsid w:val="00A364D2"/>
    <w:rsid w:val="00A426E5"/>
    <w:rsid w:val="00A430FE"/>
    <w:rsid w:val="00A45C59"/>
    <w:rsid w:val="00A46F2E"/>
    <w:rsid w:val="00A46FDF"/>
    <w:rsid w:val="00A50FCA"/>
    <w:rsid w:val="00A51DFE"/>
    <w:rsid w:val="00A52EBF"/>
    <w:rsid w:val="00A56E30"/>
    <w:rsid w:val="00A57B2D"/>
    <w:rsid w:val="00A60CE1"/>
    <w:rsid w:val="00A62384"/>
    <w:rsid w:val="00A6489F"/>
    <w:rsid w:val="00A64A87"/>
    <w:rsid w:val="00A70FD2"/>
    <w:rsid w:val="00A71B0D"/>
    <w:rsid w:val="00A766F1"/>
    <w:rsid w:val="00A81B2C"/>
    <w:rsid w:val="00A825DB"/>
    <w:rsid w:val="00A86F65"/>
    <w:rsid w:val="00A900BC"/>
    <w:rsid w:val="00A9136D"/>
    <w:rsid w:val="00A93208"/>
    <w:rsid w:val="00A9530F"/>
    <w:rsid w:val="00A96435"/>
    <w:rsid w:val="00A97FCF"/>
    <w:rsid w:val="00A97FD8"/>
    <w:rsid w:val="00AA3047"/>
    <w:rsid w:val="00AA347B"/>
    <w:rsid w:val="00AB1C5F"/>
    <w:rsid w:val="00AB6738"/>
    <w:rsid w:val="00AC0E3D"/>
    <w:rsid w:val="00AC13DA"/>
    <w:rsid w:val="00AC3B87"/>
    <w:rsid w:val="00AC5506"/>
    <w:rsid w:val="00AD020D"/>
    <w:rsid w:val="00AD03C9"/>
    <w:rsid w:val="00AD1630"/>
    <w:rsid w:val="00AD1A62"/>
    <w:rsid w:val="00AD225D"/>
    <w:rsid w:val="00AE074D"/>
    <w:rsid w:val="00AE36B6"/>
    <w:rsid w:val="00AE3C02"/>
    <w:rsid w:val="00AE51DE"/>
    <w:rsid w:val="00AE557E"/>
    <w:rsid w:val="00AE6BBB"/>
    <w:rsid w:val="00AF055D"/>
    <w:rsid w:val="00AF1FD8"/>
    <w:rsid w:val="00AF2CB4"/>
    <w:rsid w:val="00AF33AF"/>
    <w:rsid w:val="00AF4F60"/>
    <w:rsid w:val="00AF5961"/>
    <w:rsid w:val="00AF75E7"/>
    <w:rsid w:val="00B00424"/>
    <w:rsid w:val="00B05046"/>
    <w:rsid w:val="00B05B1A"/>
    <w:rsid w:val="00B05E87"/>
    <w:rsid w:val="00B162AD"/>
    <w:rsid w:val="00B16340"/>
    <w:rsid w:val="00B173F5"/>
    <w:rsid w:val="00B22420"/>
    <w:rsid w:val="00B227F1"/>
    <w:rsid w:val="00B23CEF"/>
    <w:rsid w:val="00B248F5"/>
    <w:rsid w:val="00B3261B"/>
    <w:rsid w:val="00B35FF4"/>
    <w:rsid w:val="00B363F5"/>
    <w:rsid w:val="00B37F5D"/>
    <w:rsid w:val="00B42DBB"/>
    <w:rsid w:val="00B4453C"/>
    <w:rsid w:val="00B457F7"/>
    <w:rsid w:val="00B4672E"/>
    <w:rsid w:val="00B471AB"/>
    <w:rsid w:val="00B5222F"/>
    <w:rsid w:val="00B52EC2"/>
    <w:rsid w:val="00B53252"/>
    <w:rsid w:val="00B54BA9"/>
    <w:rsid w:val="00B604DE"/>
    <w:rsid w:val="00B61F87"/>
    <w:rsid w:val="00B62007"/>
    <w:rsid w:val="00B63609"/>
    <w:rsid w:val="00B64313"/>
    <w:rsid w:val="00B652C7"/>
    <w:rsid w:val="00B668AE"/>
    <w:rsid w:val="00B71F15"/>
    <w:rsid w:val="00B75418"/>
    <w:rsid w:val="00B8247B"/>
    <w:rsid w:val="00B83651"/>
    <w:rsid w:val="00B8451D"/>
    <w:rsid w:val="00B84877"/>
    <w:rsid w:val="00B930E8"/>
    <w:rsid w:val="00B94A27"/>
    <w:rsid w:val="00B960DE"/>
    <w:rsid w:val="00BA0F0F"/>
    <w:rsid w:val="00BA17C1"/>
    <w:rsid w:val="00BA3C78"/>
    <w:rsid w:val="00BA6B61"/>
    <w:rsid w:val="00BA7DB2"/>
    <w:rsid w:val="00BA7E35"/>
    <w:rsid w:val="00BA7F67"/>
    <w:rsid w:val="00BB0761"/>
    <w:rsid w:val="00BB1673"/>
    <w:rsid w:val="00BB2B6E"/>
    <w:rsid w:val="00BB3A76"/>
    <w:rsid w:val="00BB65DE"/>
    <w:rsid w:val="00BC073F"/>
    <w:rsid w:val="00BC121D"/>
    <w:rsid w:val="00BC3979"/>
    <w:rsid w:val="00BC3F85"/>
    <w:rsid w:val="00BC6164"/>
    <w:rsid w:val="00BC7802"/>
    <w:rsid w:val="00BD08E6"/>
    <w:rsid w:val="00BD3DF6"/>
    <w:rsid w:val="00BD53C1"/>
    <w:rsid w:val="00BD739F"/>
    <w:rsid w:val="00BD7930"/>
    <w:rsid w:val="00BE6D6A"/>
    <w:rsid w:val="00BE7990"/>
    <w:rsid w:val="00BF4D27"/>
    <w:rsid w:val="00BF5562"/>
    <w:rsid w:val="00BF591E"/>
    <w:rsid w:val="00C065D0"/>
    <w:rsid w:val="00C10044"/>
    <w:rsid w:val="00C129D2"/>
    <w:rsid w:val="00C16F84"/>
    <w:rsid w:val="00C22920"/>
    <w:rsid w:val="00C232A1"/>
    <w:rsid w:val="00C232D2"/>
    <w:rsid w:val="00C23A20"/>
    <w:rsid w:val="00C23B37"/>
    <w:rsid w:val="00C350ED"/>
    <w:rsid w:val="00C37017"/>
    <w:rsid w:val="00C4149F"/>
    <w:rsid w:val="00C455E7"/>
    <w:rsid w:val="00C5031C"/>
    <w:rsid w:val="00C50665"/>
    <w:rsid w:val="00C52073"/>
    <w:rsid w:val="00C54AF7"/>
    <w:rsid w:val="00C566BF"/>
    <w:rsid w:val="00C57822"/>
    <w:rsid w:val="00C6150D"/>
    <w:rsid w:val="00C65EE6"/>
    <w:rsid w:val="00C671D7"/>
    <w:rsid w:val="00C70536"/>
    <w:rsid w:val="00C708B0"/>
    <w:rsid w:val="00C717D1"/>
    <w:rsid w:val="00C82C5F"/>
    <w:rsid w:val="00C96947"/>
    <w:rsid w:val="00C96CA9"/>
    <w:rsid w:val="00C96EFF"/>
    <w:rsid w:val="00C9784A"/>
    <w:rsid w:val="00C97ABE"/>
    <w:rsid w:val="00CA0837"/>
    <w:rsid w:val="00CA1689"/>
    <w:rsid w:val="00CA3B9D"/>
    <w:rsid w:val="00CA7DFA"/>
    <w:rsid w:val="00CB0824"/>
    <w:rsid w:val="00CB7045"/>
    <w:rsid w:val="00CC0D9D"/>
    <w:rsid w:val="00CC3B44"/>
    <w:rsid w:val="00CC41A0"/>
    <w:rsid w:val="00CC506E"/>
    <w:rsid w:val="00CC51DD"/>
    <w:rsid w:val="00CC61B3"/>
    <w:rsid w:val="00CC7BA2"/>
    <w:rsid w:val="00CD2B32"/>
    <w:rsid w:val="00CD50F2"/>
    <w:rsid w:val="00CD6B42"/>
    <w:rsid w:val="00CE021A"/>
    <w:rsid w:val="00CE24DE"/>
    <w:rsid w:val="00CE2E9F"/>
    <w:rsid w:val="00CE4D1E"/>
    <w:rsid w:val="00CE64C6"/>
    <w:rsid w:val="00CF0D45"/>
    <w:rsid w:val="00CF1F83"/>
    <w:rsid w:val="00CF35A7"/>
    <w:rsid w:val="00CF3A65"/>
    <w:rsid w:val="00CF4223"/>
    <w:rsid w:val="00CF4580"/>
    <w:rsid w:val="00CF7316"/>
    <w:rsid w:val="00D01929"/>
    <w:rsid w:val="00D06802"/>
    <w:rsid w:val="00D07E7F"/>
    <w:rsid w:val="00D10B13"/>
    <w:rsid w:val="00D118F4"/>
    <w:rsid w:val="00D13CFD"/>
    <w:rsid w:val="00D1405C"/>
    <w:rsid w:val="00D163C7"/>
    <w:rsid w:val="00D16AD1"/>
    <w:rsid w:val="00D20BE8"/>
    <w:rsid w:val="00D2581C"/>
    <w:rsid w:val="00D328A3"/>
    <w:rsid w:val="00D33039"/>
    <w:rsid w:val="00D3699B"/>
    <w:rsid w:val="00D37D84"/>
    <w:rsid w:val="00D52795"/>
    <w:rsid w:val="00D5470B"/>
    <w:rsid w:val="00D55047"/>
    <w:rsid w:val="00D62520"/>
    <w:rsid w:val="00D66364"/>
    <w:rsid w:val="00D67DD4"/>
    <w:rsid w:val="00D70057"/>
    <w:rsid w:val="00D7086A"/>
    <w:rsid w:val="00D70B62"/>
    <w:rsid w:val="00D7536B"/>
    <w:rsid w:val="00D75C70"/>
    <w:rsid w:val="00D76E20"/>
    <w:rsid w:val="00D80D23"/>
    <w:rsid w:val="00D80EC8"/>
    <w:rsid w:val="00D8182B"/>
    <w:rsid w:val="00D84021"/>
    <w:rsid w:val="00D8796B"/>
    <w:rsid w:val="00D905F7"/>
    <w:rsid w:val="00D93EC1"/>
    <w:rsid w:val="00D94229"/>
    <w:rsid w:val="00D97710"/>
    <w:rsid w:val="00DA05D2"/>
    <w:rsid w:val="00DA0968"/>
    <w:rsid w:val="00DA31CB"/>
    <w:rsid w:val="00DA42B9"/>
    <w:rsid w:val="00DB258B"/>
    <w:rsid w:val="00DB44B2"/>
    <w:rsid w:val="00DB4E08"/>
    <w:rsid w:val="00DB6763"/>
    <w:rsid w:val="00DB6850"/>
    <w:rsid w:val="00DB6DFE"/>
    <w:rsid w:val="00DB757A"/>
    <w:rsid w:val="00DC0FD1"/>
    <w:rsid w:val="00DC1E1C"/>
    <w:rsid w:val="00DC42BF"/>
    <w:rsid w:val="00DC5522"/>
    <w:rsid w:val="00DD11EE"/>
    <w:rsid w:val="00DD16D5"/>
    <w:rsid w:val="00DD2A93"/>
    <w:rsid w:val="00DD5F2B"/>
    <w:rsid w:val="00DD75F5"/>
    <w:rsid w:val="00DD7F08"/>
    <w:rsid w:val="00DE07AE"/>
    <w:rsid w:val="00DE2E23"/>
    <w:rsid w:val="00DE4652"/>
    <w:rsid w:val="00DE5D03"/>
    <w:rsid w:val="00DE5FB6"/>
    <w:rsid w:val="00DE73B5"/>
    <w:rsid w:val="00DF03E4"/>
    <w:rsid w:val="00DF7303"/>
    <w:rsid w:val="00E03D06"/>
    <w:rsid w:val="00E04735"/>
    <w:rsid w:val="00E0486F"/>
    <w:rsid w:val="00E04B37"/>
    <w:rsid w:val="00E07BCA"/>
    <w:rsid w:val="00E2666B"/>
    <w:rsid w:val="00E26F57"/>
    <w:rsid w:val="00E3111E"/>
    <w:rsid w:val="00E319FC"/>
    <w:rsid w:val="00E32F90"/>
    <w:rsid w:val="00E33B39"/>
    <w:rsid w:val="00E33C8F"/>
    <w:rsid w:val="00E34683"/>
    <w:rsid w:val="00E37E22"/>
    <w:rsid w:val="00E4453E"/>
    <w:rsid w:val="00E467E2"/>
    <w:rsid w:val="00E47043"/>
    <w:rsid w:val="00E47230"/>
    <w:rsid w:val="00E52718"/>
    <w:rsid w:val="00E5404C"/>
    <w:rsid w:val="00E542EF"/>
    <w:rsid w:val="00E56C6C"/>
    <w:rsid w:val="00E57859"/>
    <w:rsid w:val="00E618A0"/>
    <w:rsid w:val="00E626EC"/>
    <w:rsid w:val="00E6323D"/>
    <w:rsid w:val="00E63DC3"/>
    <w:rsid w:val="00E70A9B"/>
    <w:rsid w:val="00E7480B"/>
    <w:rsid w:val="00E75592"/>
    <w:rsid w:val="00E77438"/>
    <w:rsid w:val="00E806E5"/>
    <w:rsid w:val="00E826F7"/>
    <w:rsid w:val="00E82AAA"/>
    <w:rsid w:val="00E83652"/>
    <w:rsid w:val="00E83F11"/>
    <w:rsid w:val="00E84060"/>
    <w:rsid w:val="00E84071"/>
    <w:rsid w:val="00E85543"/>
    <w:rsid w:val="00E86416"/>
    <w:rsid w:val="00E86F26"/>
    <w:rsid w:val="00E87814"/>
    <w:rsid w:val="00E916AB"/>
    <w:rsid w:val="00E91C25"/>
    <w:rsid w:val="00E91C41"/>
    <w:rsid w:val="00E9386B"/>
    <w:rsid w:val="00E9389E"/>
    <w:rsid w:val="00E9590B"/>
    <w:rsid w:val="00E96323"/>
    <w:rsid w:val="00EA2BBD"/>
    <w:rsid w:val="00EA4967"/>
    <w:rsid w:val="00EA5B3D"/>
    <w:rsid w:val="00EB1AD7"/>
    <w:rsid w:val="00EB4456"/>
    <w:rsid w:val="00EB6BD6"/>
    <w:rsid w:val="00EB78C5"/>
    <w:rsid w:val="00EC07C0"/>
    <w:rsid w:val="00EC1510"/>
    <w:rsid w:val="00EC1A1B"/>
    <w:rsid w:val="00EC2454"/>
    <w:rsid w:val="00EC2819"/>
    <w:rsid w:val="00EC3A64"/>
    <w:rsid w:val="00EC7B26"/>
    <w:rsid w:val="00ED5FC1"/>
    <w:rsid w:val="00ED69A8"/>
    <w:rsid w:val="00EE17F2"/>
    <w:rsid w:val="00EE645C"/>
    <w:rsid w:val="00EE7776"/>
    <w:rsid w:val="00EF0B14"/>
    <w:rsid w:val="00EF3A0F"/>
    <w:rsid w:val="00EF47EB"/>
    <w:rsid w:val="00EF7C55"/>
    <w:rsid w:val="00F01678"/>
    <w:rsid w:val="00F05345"/>
    <w:rsid w:val="00F05504"/>
    <w:rsid w:val="00F05A89"/>
    <w:rsid w:val="00F05EB4"/>
    <w:rsid w:val="00F06568"/>
    <w:rsid w:val="00F0673E"/>
    <w:rsid w:val="00F07C85"/>
    <w:rsid w:val="00F103B8"/>
    <w:rsid w:val="00F139CD"/>
    <w:rsid w:val="00F2031A"/>
    <w:rsid w:val="00F20857"/>
    <w:rsid w:val="00F241E5"/>
    <w:rsid w:val="00F24BFE"/>
    <w:rsid w:val="00F2649C"/>
    <w:rsid w:val="00F26769"/>
    <w:rsid w:val="00F308EE"/>
    <w:rsid w:val="00F31AAB"/>
    <w:rsid w:val="00F31C7E"/>
    <w:rsid w:val="00F32E20"/>
    <w:rsid w:val="00F36482"/>
    <w:rsid w:val="00F40273"/>
    <w:rsid w:val="00F43736"/>
    <w:rsid w:val="00F44E8B"/>
    <w:rsid w:val="00F451BD"/>
    <w:rsid w:val="00F52273"/>
    <w:rsid w:val="00F52A48"/>
    <w:rsid w:val="00F55B86"/>
    <w:rsid w:val="00F60EAE"/>
    <w:rsid w:val="00F65889"/>
    <w:rsid w:val="00F664D1"/>
    <w:rsid w:val="00F67816"/>
    <w:rsid w:val="00F6791C"/>
    <w:rsid w:val="00F70BDF"/>
    <w:rsid w:val="00F70E84"/>
    <w:rsid w:val="00F75868"/>
    <w:rsid w:val="00F759F8"/>
    <w:rsid w:val="00F7758E"/>
    <w:rsid w:val="00F83CB9"/>
    <w:rsid w:val="00F85958"/>
    <w:rsid w:val="00F93CD6"/>
    <w:rsid w:val="00F94F30"/>
    <w:rsid w:val="00F95117"/>
    <w:rsid w:val="00F96B1A"/>
    <w:rsid w:val="00FA1F0B"/>
    <w:rsid w:val="00FA3FE3"/>
    <w:rsid w:val="00FA7953"/>
    <w:rsid w:val="00FB0B7B"/>
    <w:rsid w:val="00FB0C79"/>
    <w:rsid w:val="00FB5889"/>
    <w:rsid w:val="00FB61D9"/>
    <w:rsid w:val="00FB7766"/>
    <w:rsid w:val="00FB7D1F"/>
    <w:rsid w:val="00FB7F72"/>
    <w:rsid w:val="00FC132B"/>
    <w:rsid w:val="00FC168B"/>
    <w:rsid w:val="00FC20A4"/>
    <w:rsid w:val="00FC2A89"/>
    <w:rsid w:val="00FC36FB"/>
    <w:rsid w:val="00FD4090"/>
    <w:rsid w:val="00FD51FC"/>
    <w:rsid w:val="00FD5C94"/>
    <w:rsid w:val="00FD7D70"/>
    <w:rsid w:val="00FE0A44"/>
    <w:rsid w:val="00FE113F"/>
    <w:rsid w:val="00FE317C"/>
    <w:rsid w:val="00FE642B"/>
    <w:rsid w:val="00FF47FF"/>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2B"/>
    <w:pPr>
      <w:widowControl w:val="0"/>
      <w:spacing w:after="0" w:line="360" w:lineRule="auto"/>
      <w:ind w:firstLine="1440"/>
    </w:pPr>
    <w:rPr>
      <w:rFonts w:ascii="Times New Roman" w:eastAsia="Times New Roman" w:hAnsi="Times New Roman" w:cs="Mangal"/>
      <w:sz w:val="26"/>
      <w:szCs w:val="20"/>
      <w:lang w:bidi="hi-IN"/>
    </w:rPr>
  </w:style>
  <w:style w:type="paragraph" w:styleId="Heading5">
    <w:name w:val="heading 5"/>
    <w:basedOn w:val="Normal"/>
    <w:next w:val="Normal"/>
    <w:link w:val="Heading5Char"/>
    <w:qFormat/>
    <w:rsid w:val="00FC132B"/>
    <w:pPr>
      <w:keepNext/>
      <w:widowControl/>
      <w:jc w:val="right"/>
      <w:outlineLvl w:val="4"/>
    </w:pPr>
    <w:rPr>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C132B"/>
    <w:rPr>
      <w:rFonts w:ascii="Times New Roman" w:eastAsia="Times New Roman" w:hAnsi="Times New Roman" w:cs="Mangal"/>
      <w:sz w:val="26"/>
      <w:szCs w:val="26"/>
      <w:lang w:bidi="hi-IN"/>
    </w:rPr>
  </w:style>
  <w:style w:type="paragraph" w:styleId="Title">
    <w:name w:val="Title"/>
    <w:basedOn w:val="Normal"/>
    <w:link w:val="TitleChar"/>
    <w:qFormat/>
    <w:rsid w:val="00FC132B"/>
    <w:pPr>
      <w:widowControl/>
      <w:jc w:val="center"/>
    </w:pPr>
    <w:rPr>
      <w:b/>
      <w:bCs/>
      <w:szCs w:val="26"/>
    </w:rPr>
  </w:style>
  <w:style w:type="character" w:customStyle="1" w:styleId="TitleChar">
    <w:name w:val="Title Char"/>
    <w:basedOn w:val="DefaultParagraphFont"/>
    <w:link w:val="Title"/>
    <w:rsid w:val="00FC132B"/>
    <w:rPr>
      <w:rFonts w:ascii="Times New Roman" w:eastAsia="Times New Roman" w:hAnsi="Times New Roman" w:cs="Mangal"/>
      <w:b/>
      <w:bCs/>
      <w:sz w:val="26"/>
      <w:szCs w:val="26"/>
      <w:lang w:bidi="hi-IN"/>
    </w:rPr>
  </w:style>
  <w:style w:type="paragraph" w:styleId="EndnoteText">
    <w:name w:val="endnote text"/>
    <w:basedOn w:val="Normal"/>
    <w:link w:val="EndnoteTextChar"/>
    <w:uiPriority w:val="99"/>
    <w:semiHidden/>
    <w:unhideWhenUsed/>
    <w:rsid w:val="00F05504"/>
    <w:rPr>
      <w:szCs w:val="18"/>
    </w:rPr>
  </w:style>
  <w:style w:type="character" w:customStyle="1" w:styleId="EndnoteTextChar">
    <w:name w:val="Endnote Text Char"/>
    <w:basedOn w:val="DefaultParagraphFont"/>
    <w:link w:val="EndnoteText"/>
    <w:uiPriority w:val="99"/>
    <w:semiHidden/>
    <w:rsid w:val="00F05504"/>
    <w:rPr>
      <w:rFonts w:ascii="Times New Roman" w:eastAsia="Times New Roman" w:hAnsi="Times New Roman" w:cs="Mangal"/>
      <w:sz w:val="20"/>
      <w:szCs w:val="18"/>
      <w:lang w:bidi="hi-IN"/>
    </w:rPr>
  </w:style>
  <w:style w:type="character" w:styleId="EndnoteReference">
    <w:name w:val="endnote reference"/>
    <w:basedOn w:val="DefaultParagraphFont"/>
    <w:uiPriority w:val="99"/>
    <w:semiHidden/>
    <w:unhideWhenUsed/>
    <w:rsid w:val="00F05504"/>
    <w:rPr>
      <w:vertAlign w:val="superscript"/>
    </w:rPr>
  </w:style>
  <w:style w:type="paragraph" w:styleId="FootnoteText">
    <w:name w:val="footnote text"/>
    <w:basedOn w:val="Normal"/>
    <w:link w:val="FootnoteTextChar"/>
    <w:semiHidden/>
    <w:unhideWhenUsed/>
    <w:rsid w:val="00F05504"/>
    <w:rPr>
      <w:szCs w:val="18"/>
    </w:rPr>
  </w:style>
  <w:style w:type="character" w:customStyle="1" w:styleId="FootnoteTextChar">
    <w:name w:val="Footnote Text Char"/>
    <w:basedOn w:val="DefaultParagraphFont"/>
    <w:link w:val="FootnoteText"/>
    <w:uiPriority w:val="99"/>
    <w:semiHidden/>
    <w:rsid w:val="00F05504"/>
    <w:rPr>
      <w:rFonts w:ascii="Times New Roman" w:eastAsia="Times New Roman" w:hAnsi="Times New Roman" w:cs="Mangal"/>
      <w:sz w:val="20"/>
      <w:szCs w:val="18"/>
      <w:lang w:bidi="hi-IN"/>
    </w:rPr>
  </w:style>
  <w:style w:type="character" w:styleId="FootnoteReference">
    <w:name w:val="footnote reference"/>
    <w:basedOn w:val="DefaultParagraphFont"/>
    <w:semiHidden/>
    <w:unhideWhenUsed/>
    <w:rsid w:val="00F05504"/>
    <w:rPr>
      <w:vertAlign w:val="superscript"/>
    </w:rPr>
  </w:style>
  <w:style w:type="character" w:styleId="Hyperlink">
    <w:name w:val="Hyperlink"/>
    <w:basedOn w:val="DefaultParagraphFont"/>
    <w:rsid w:val="00B8247B"/>
    <w:rPr>
      <w:color w:val="0000FF"/>
      <w:u w:val="single"/>
    </w:rPr>
  </w:style>
  <w:style w:type="character" w:customStyle="1" w:styleId="term1">
    <w:name w:val="term1"/>
    <w:basedOn w:val="DefaultParagraphFont"/>
    <w:rsid w:val="00B8247B"/>
    <w:rPr>
      <w:b/>
      <w:bCs/>
    </w:rPr>
  </w:style>
  <w:style w:type="paragraph" w:styleId="Header">
    <w:name w:val="header"/>
    <w:basedOn w:val="Normal"/>
    <w:link w:val="HeaderChar"/>
    <w:uiPriority w:val="99"/>
    <w:semiHidden/>
    <w:unhideWhenUsed/>
    <w:rsid w:val="00CC506E"/>
    <w:pPr>
      <w:tabs>
        <w:tab w:val="center" w:pos="4680"/>
        <w:tab w:val="right" w:pos="9360"/>
      </w:tabs>
    </w:pPr>
    <w:rPr>
      <w:szCs w:val="18"/>
    </w:rPr>
  </w:style>
  <w:style w:type="character" w:customStyle="1" w:styleId="HeaderChar">
    <w:name w:val="Header Char"/>
    <w:basedOn w:val="DefaultParagraphFont"/>
    <w:link w:val="Header"/>
    <w:uiPriority w:val="99"/>
    <w:semiHidden/>
    <w:rsid w:val="00CC506E"/>
    <w:rPr>
      <w:rFonts w:ascii="Times New Roman" w:eastAsia="Times New Roman" w:hAnsi="Times New Roman" w:cs="Mangal"/>
      <w:sz w:val="20"/>
      <w:szCs w:val="18"/>
      <w:lang w:bidi="hi-IN"/>
    </w:rPr>
  </w:style>
  <w:style w:type="paragraph" w:styleId="Footer">
    <w:name w:val="footer"/>
    <w:basedOn w:val="Normal"/>
    <w:link w:val="FooterChar"/>
    <w:uiPriority w:val="99"/>
    <w:unhideWhenUsed/>
    <w:rsid w:val="00CC506E"/>
    <w:pPr>
      <w:tabs>
        <w:tab w:val="center" w:pos="4680"/>
        <w:tab w:val="right" w:pos="9360"/>
      </w:tabs>
    </w:pPr>
    <w:rPr>
      <w:szCs w:val="18"/>
    </w:rPr>
  </w:style>
  <w:style w:type="character" w:customStyle="1" w:styleId="FooterChar">
    <w:name w:val="Footer Char"/>
    <w:basedOn w:val="DefaultParagraphFont"/>
    <w:link w:val="Footer"/>
    <w:uiPriority w:val="99"/>
    <w:rsid w:val="00CC506E"/>
    <w:rPr>
      <w:rFonts w:ascii="Times New Roman" w:eastAsia="Times New Roman" w:hAnsi="Times New Roman" w:cs="Mangal"/>
      <w:sz w:val="20"/>
      <w:szCs w:val="18"/>
      <w:lang w:bidi="hi-IN"/>
    </w:rPr>
  </w:style>
  <w:style w:type="paragraph" w:styleId="BodyText">
    <w:name w:val="Body Text"/>
    <w:basedOn w:val="Normal"/>
    <w:link w:val="BodyTextChar"/>
    <w:rsid w:val="0027781B"/>
    <w:pPr>
      <w:widowControl/>
      <w:overflowPunct w:val="0"/>
      <w:autoSpaceDE w:val="0"/>
      <w:autoSpaceDN w:val="0"/>
      <w:adjustRightInd w:val="0"/>
      <w:spacing w:after="120"/>
      <w:textAlignment w:val="baseline"/>
    </w:pPr>
    <w:rPr>
      <w:rFonts w:cs="Times New Roman"/>
      <w:lang w:bidi="ar-SA"/>
    </w:rPr>
  </w:style>
  <w:style w:type="character" w:customStyle="1" w:styleId="BodyTextChar">
    <w:name w:val="Body Text Char"/>
    <w:basedOn w:val="DefaultParagraphFont"/>
    <w:link w:val="BodyText"/>
    <w:rsid w:val="0027781B"/>
    <w:rPr>
      <w:rFonts w:ascii="Times New Roman" w:eastAsia="Times New Roman" w:hAnsi="Times New Roman" w:cs="Times New Roman"/>
      <w:sz w:val="26"/>
      <w:szCs w:val="20"/>
    </w:rPr>
  </w:style>
  <w:style w:type="paragraph" w:styleId="ListParagraph">
    <w:name w:val="List Paragraph"/>
    <w:basedOn w:val="Normal"/>
    <w:uiPriority w:val="34"/>
    <w:qFormat/>
    <w:rsid w:val="00FC132B"/>
    <w:pPr>
      <w:ind w:left="720"/>
    </w:pPr>
    <w:rPr>
      <w:szCs w:val="18"/>
    </w:rPr>
  </w:style>
  <w:style w:type="paragraph" w:customStyle="1" w:styleId="ParaTab1">
    <w:name w:val="ParaTab 1"/>
    <w:rsid w:val="0035552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rmalWeb">
    <w:name w:val="Normal (Web)"/>
    <w:basedOn w:val="Normal"/>
    <w:rsid w:val="004A0DA8"/>
    <w:pPr>
      <w:widowControl/>
      <w:spacing w:before="100" w:beforeAutospacing="1" w:after="100" w:afterAutospacing="1"/>
    </w:pPr>
    <w:rPr>
      <w:rFonts w:cs="Times New Roman"/>
      <w:sz w:val="24"/>
      <w:szCs w:val="24"/>
      <w:lang w:bidi="ar-SA"/>
    </w:rPr>
  </w:style>
  <w:style w:type="paragraph" w:styleId="BalloonText">
    <w:name w:val="Balloon Text"/>
    <w:basedOn w:val="Normal"/>
    <w:link w:val="BalloonTextChar"/>
    <w:uiPriority w:val="99"/>
    <w:semiHidden/>
    <w:unhideWhenUsed/>
    <w:rsid w:val="00AF4F60"/>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F4F60"/>
    <w:rPr>
      <w:rFonts w:ascii="Tahoma" w:eastAsia="Times New Roman"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B8B-EF0F-4714-BEFD-C5FF3CD0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joyce marie farner</cp:lastModifiedBy>
  <cp:revision>4</cp:revision>
  <cp:lastPrinted>2010-05-21T11:39:00Z</cp:lastPrinted>
  <dcterms:created xsi:type="dcterms:W3CDTF">2010-05-17T20:12:00Z</dcterms:created>
  <dcterms:modified xsi:type="dcterms:W3CDTF">2010-05-21T11:39:00Z</dcterms:modified>
</cp:coreProperties>
</file>