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3" w:rsidRPr="00DE562E" w:rsidRDefault="00C1140C" w:rsidP="00DC3D81">
      <w:pPr>
        <w:jc w:val="center"/>
        <w:outlineLvl w:val="0"/>
        <w:rPr>
          <w:b/>
          <w:sz w:val="24"/>
          <w:szCs w:val="24"/>
        </w:rPr>
      </w:pPr>
      <w:r>
        <w:rPr>
          <w:b/>
          <w:sz w:val="24"/>
          <w:szCs w:val="24"/>
        </w:rPr>
        <w:t xml:space="preserve"> </w:t>
      </w:r>
      <w:r w:rsidR="000F1894" w:rsidRPr="00DE562E">
        <w:rPr>
          <w:b/>
          <w:sz w:val="24"/>
          <w:szCs w:val="24"/>
        </w:rPr>
        <w:t>BEFORE THE</w:t>
      </w:r>
    </w:p>
    <w:p w:rsidR="0088763C" w:rsidRPr="001027AA" w:rsidRDefault="000F1894" w:rsidP="00DC3D81">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DC3D81">
      <w:pPr>
        <w:jc w:val="center"/>
        <w:rPr>
          <w:sz w:val="24"/>
          <w:szCs w:val="24"/>
        </w:rPr>
      </w:pPr>
    </w:p>
    <w:p w:rsidR="000F1894" w:rsidRDefault="000F1894" w:rsidP="00DC3D81">
      <w:pPr>
        <w:jc w:val="center"/>
        <w:rPr>
          <w:sz w:val="24"/>
          <w:szCs w:val="24"/>
        </w:rPr>
      </w:pPr>
    </w:p>
    <w:p w:rsidR="000F1894" w:rsidRPr="006C3226" w:rsidRDefault="000F1894" w:rsidP="00DC3D81">
      <w:pPr>
        <w:jc w:val="center"/>
        <w:rPr>
          <w:sz w:val="24"/>
          <w:szCs w:val="24"/>
        </w:rPr>
      </w:pPr>
    </w:p>
    <w:p w:rsidR="00CE43B4" w:rsidRDefault="00623BB2" w:rsidP="00DC3D81">
      <w:pPr>
        <w:tabs>
          <w:tab w:val="left" w:pos="-720"/>
        </w:tabs>
        <w:suppressAutoHyphens/>
        <w:rPr>
          <w:b/>
          <w:bCs/>
          <w:spacing w:val="-3"/>
          <w:sz w:val="24"/>
          <w:szCs w:val="24"/>
        </w:rPr>
      </w:pPr>
      <w:r>
        <w:rPr>
          <w:bCs/>
          <w:spacing w:val="-3"/>
          <w:sz w:val="24"/>
          <w:szCs w:val="24"/>
        </w:rPr>
        <w:t>Maram Hallak</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sidRPr="00223E7E">
        <w:rPr>
          <w:bCs/>
          <w:spacing w:val="-3"/>
          <w:sz w:val="24"/>
          <w:szCs w:val="24"/>
        </w:rPr>
        <w:t>:</w:t>
      </w:r>
      <w:r w:rsidR="005E3007">
        <w:rPr>
          <w:b/>
          <w:bCs/>
          <w:spacing w:val="-3"/>
          <w:sz w:val="24"/>
          <w:szCs w:val="24"/>
        </w:rPr>
        <w:tab/>
      </w:r>
    </w:p>
    <w:p w:rsidR="00623BB2" w:rsidRPr="00623BB2" w:rsidRDefault="00623BB2" w:rsidP="00DC3D81">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623BB2">
        <w:rPr>
          <w:bCs/>
          <w:spacing w:val="-3"/>
          <w:sz w:val="24"/>
          <w:szCs w:val="24"/>
        </w:rPr>
        <w:t>:</w:t>
      </w:r>
    </w:p>
    <w:p w:rsidR="00CE43B4" w:rsidRPr="00CE43B4" w:rsidRDefault="00CE43B4" w:rsidP="00DC3D81">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623BB2">
        <w:rPr>
          <w:spacing w:val="-3"/>
          <w:sz w:val="24"/>
          <w:szCs w:val="24"/>
        </w:rPr>
        <w:tab/>
        <w:t>C-2009- 2134902</w:t>
      </w:r>
    </w:p>
    <w:p w:rsidR="00CE43B4" w:rsidRPr="00CE43B4" w:rsidRDefault="00CE43B4" w:rsidP="00DC3D81">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623BB2" w:rsidP="00DC3D81">
      <w:pPr>
        <w:tabs>
          <w:tab w:val="left" w:pos="-720"/>
        </w:tabs>
        <w:suppressAutoHyphens/>
        <w:rPr>
          <w:spacing w:val="-3"/>
          <w:sz w:val="24"/>
          <w:szCs w:val="24"/>
        </w:rPr>
      </w:pPr>
      <w:r>
        <w:rPr>
          <w:spacing w:val="-3"/>
          <w:sz w:val="24"/>
          <w:szCs w:val="24"/>
        </w:rPr>
        <w:t>Metropolitan Edison Company, Inc.</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DC3D81">
      <w:pPr>
        <w:tabs>
          <w:tab w:val="left" w:pos="-720"/>
        </w:tabs>
        <w:suppressAutoHyphens/>
        <w:rPr>
          <w:spacing w:val="-3"/>
          <w:sz w:val="24"/>
          <w:szCs w:val="24"/>
        </w:rPr>
      </w:pPr>
    </w:p>
    <w:p w:rsidR="005E3007" w:rsidRDefault="005E3007" w:rsidP="00DC3D81">
      <w:pPr>
        <w:tabs>
          <w:tab w:val="left" w:pos="-720"/>
        </w:tabs>
        <w:suppressAutoHyphens/>
        <w:rPr>
          <w:spacing w:val="-3"/>
          <w:sz w:val="24"/>
          <w:szCs w:val="24"/>
        </w:rPr>
      </w:pPr>
    </w:p>
    <w:p w:rsidR="005E3007" w:rsidRPr="00CE43B4" w:rsidRDefault="005E3007" w:rsidP="00DC3D81">
      <w:pPr>
        <w:tabs>
          <w:tab w:val="left" w:pos="-720"/>
        </w:tabs>
        <w:suppressAutoHyphens/>
        <w:rPr>
          <w:spacing w:val="-3"/>
          <w:sz w:val="24"/>
          <w:szCs w:val="24"/>
        </w:rPr>
      </w:pPr>
    </w:p>
    <w:p w:rsidR="00782A08" w:rsidRPr="007965B0" w:rsidRDefault="00C419F9" w:rsidP="00DC3D81">
      <w:pPr>
        <w:jc w:val="center"/>
        <w:outlineLvl w:val="0"/>
        <w:rPr>
          <w:caps/>
          <w:sz w:val="24"/>
          <w:szCs w:val="24"/>
        </w:rPr>
      </w:pPr>
      <w:r w:rsidRPr="007965B0">
        <w:rPr>
          <w:b/>
          <w:caps/>
          <w:sz w:val="24"/>
          <w:szCs w:val="24"/>
          <w:u w:val="single"/>
        </w:rPr>
        <w:t>Initial Decision</w:t>
      </w:r>
    </w:p>
    <w:p w:rsidR="000F1894" w:rsidRPr="00E514FA" w:rsidRDefault="000F1894" w:rsidP="00DC3D81">
      <w:pPr>
        <w:jc w:val="center"/>
        <w:rPr>
          <w:b/>
          <w:sz w:val="24"/>
          <w:szCs w:val="24"/>
        </w:rPr>
      </w:pPr>
    </w:p>
    <w:p w:rsidR="006A21C2" w:rsidRPr="006A21C2" w:rsidRDefault="006A21C2" w:rsidP="00DC3D81">
      <w:pPr>
        <w:jc w:val="center"/>
        <w:rPr>
          <w:sz w:val="24"/>
          <w:szCs w:val="24"/>
        </w:rPr>
      </w:pPr>
    </w:p>
    <w:p w:rsidR="000F1894" w:rsidRPr="00DE562E" w:rsidRDefault="000F1894" w:rsidP="00DC3D81">
      <w:pPr>
        <w:jc w:val="center"/>
        <w:outlineLvl w:val="0"/>
        <w:rPr>
          <w:sz w:val="24"/>
          <w:szCs w:val="24"/>
        </w:rPr>
      </w:pPr>
      <w:r w:rsidRPr="00DE562E">
        <w:rPr>
          <w:sz w:val="24"/>
          <w:szCs w:val="24"/>
        </w:rPr>
        <w:t>Before</w:t>
      </w:r>
    </w:p>
    <w:p w:rsidR="000F1894" w:rsidRPr="00DE562E" w:rsidRDefault="001F7F73" w:rsidP="00DC3D81">
      <w:pPr>
        <w:jc w:val="center"/>
        <w:rPr>
          <w:sz w:val="24"/>
          <w:szCs w:val="24"/>
        </w:rPr>
      </w:pPr>
      <w:r>
        <w:rPr>
          <w:sz w:val="24"/>
          <w:szCs w:val="24"/>
        </w:rPr>
        <w:t>Ember S. Jandebeur</w:t>
      </w:r>
    </w:p>
    <w:p w:rsidR="000F1894" w:rsidRDefault="000F1894" w:rsidP="00DC3D81">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DC3D81">
      <w:pPr>
        <w:jc w:val="center"/>
        <w:rPr>
          <w:b/>
          <w:sz w:val="24"/>
          <w:szCs w:val="24"/>
        </w:rPr>
      </w:pPr>
    </w:p>
    <w:p w:rsidR="000F1894" w:rsidRPr="006A21C2" w:rsidRDefault="000F1894" w:rsidP="00DC3D81">
      <w:pPr>
        <w:jc w:val="center"/>
        <w:rPr>
          <w:b/>
          <w:sz w:val="24"/>
          <w:szCs w:val="24"/>
        </w:rPr>
      </w:pPr>
    </w:p>
    <w:p w:rsidR="000967DB" w:rsidRDefault="000967DB" w:rsidP="00DC3D81">
      <w:pPr>
        <w:spacing w:line="360" w:lineRule="auto"/>
        <w:jc w:val="center"/>
        <w:rPr>
          <w:sz w:val="24"/>
          <w:szCs w:val="24"/>
          <w:u w:val="single"/>
        </w:rPr>
      </w:pPr>
      <w:r>
        <w:rPr>
          <w:sz w:val="24"/>
          <w:szCs w:val="24"/>
          <w:u w:val="single"/>
        </w:rPr>
        <w:t>HISTORY OF THE PROCEEDINGS</w:t>
      </w:r>
    </w:p>
    <w:p w:rsidR="007965B0" w:rsidRDefault="007965B0" w:rsidP="00DC3D81">
      <w:pPr>
        <w:tabs>
          <w:tab w:val="left" w:pos="-1440"/>
          <w:tab w:val="left" w:pos="-720"/>
        </w:tabs>
        <w:suppressAutoHyphens/>
        <w:spacing w:line="360" w:lineRule="auto"/>
        <w:ind w:firstLine="1440"/>
        <w:rPr>
          <w:sz w:val="24"/>
          <w:szCs w:val="24"/>
        </w:rPr>
      </w:pPr>
    </w:p>
    <w:p w:rsidR="002F183C" w:rsidRDefault="00623BB2" w:rsidP="00DC3D81">
      <w:pPr>
        <w:tabs>
          <w:tab w:val="left" w:pos="-1440"/>
          <w:tab w:val="left" w:pos="-720"/>
        </w:tabs>
        <w:suppressAutoHyphens/>
        <w:spacing w:line="360" w:lineRule="auto"/>
        <w:ind w:firstLine="1440"/>
        <w:rPr>
          <w:sz w:val="24"/>
          <w:szCs w:val="24"/>
        </w:rPr>
      </w:pPr>
      <w:r>
        <w:rPr>
          <w:sz w:val="24"/>
          <w:szCs w:val="24"/>
        </w:rPr>
        <w:t xml:space="preserve">On </w:t>
      </w:r>
      <w:r w:rsidR="005C3811">
        <w:rPr>
          <w:sz w:val="24"/>
          <w:szCs w:val="24"/>
        </w:rPr>
        <w:t xml:space="preserve">September 30, 2009, </w:t>
      </w:r>
      <w:r>
        <w:rPr>
          <w:sz w:val="24"/>
          <w:szCs w:val="24"/>
        </w:rPr>
        <w:t>Maram Hallak,</w:t>
      </w:r>
      <w:r w:rsidR="007965B0" w:rsidRPr="007965B0">
        <w:rPr>
          <w:sz w:val="24"/>
          <w:szCs w:val="24"/>
        </w:rPr>
        <w:t xml:space="preserve"> (Complainant) filed a Formal Complaint with the Pennsylvania Public Utility Commission against </w:t>
      </w:r>
      <w:r>
        <w:rPr>
          <w:sz w:val="24"/>
          <w:szCs w:val="24"/>
        </w:rPr>
        <w:t>Metropolitan Edison Company, Inc.</w:t>
      </w:r>
      <w:r w:rsidR="007965B0" w:rsidRPr="007965B0">
        <w:rPr>
          <w:sz w:val="24"/>
          <w:szCs w:val="24"/>
        </w:rPr>
        <w:t xml:space="preserve"> (Respondent</w:t>
      </w:r>
      <w:r>
        <w:rPr>
          <w:sz w:val="24"/>
          <w:szCs w:val="24"/>
        </w:rPr>
        <w:t xml:space="preserve"> or MetEd</w:t>
      </w:r>
      <w:r w:rsidR="003F359F">
        <w:rPr>
          <w:sz w:val="24"/>
          <w:szCs w:val="24"/>
        </w:rPr>
        <w:t>) alleging that she was not told she had “the most expensive company” and she disputes the amount she is paying</w:t>
      </w:r>
      <w:r w:rsidR="007965B0" w:rsidRPr="007965B0">
        <w:rPr>
          <w:sz w:val="24"/>
          <w:szCs w:val="24"/>
        </w:rPr>
        <w:t xml:space="preserve">.  </w:t>
      </w:r>
      <w:r w:rsidR="003F359F">
        <w:rPr>
          <w:sz w:val="24"/>
          <w:szCs w:val="24"/>
        </w:rPr>
        <w:t xml:space="preserve">She requests that </w:t>
      </w:r>
      <w:r w:rsidR="002F183C">
        <w:rPr>
          <w:sz w:val="24"/>
          <w:szCs w:val="24"/>
        </w:rPr>
        <w:t>her electrical consumption be recalculated and her bill changed.</w:t>
      </w:r>
    </w:p>
    <w:p w:rsidR="002F183C" w:rsidRDefault="002F183C" w:rsidP="00DC3D81">
      <w:pPr>
        <w:tabs>
          <w:tab w:val="left" w:pos="-1440"/>
          <w:tab w:val="left" w:pos="-720"/>
        </w:tabs>
        <w:suppressAutoHyphens/>
        <w:spacing w:line="360" w:lineRule="auto"/>
        <w:ind w:firstLine="1440"/>
        <w:rPr>
          <w:sz w:val="24"/>
          <w:szCs w:val="24"/>
        </w:rPr>
      </w:pPr>
    </w:p>
    <w:p w:rsidR="007965B0" w:rsidRPr="007965B0" w:rsidRDefault="003F359F" w:rsidP="00DC3D81">
      <w:pPr>
        <w:tabs>
          <w:tab w:val="left" w:pos="-1440"/>
          <w:tab w:val="left" w:pos="-720"/>
        </w:tabs>
        <w:suppressAutoHyphens/>
        <w:spacing w:line="360" w:lineRule="auto"/>
        <w:ind w:firstLine="1440"/>
        <w:rPr>
          <w:sz w:val="24"/>
          <w:szCs w:val="24"/>
        </w:rPr>
      </w:pPr>
      <w:r>
        <w:rPr>
          <w:sz w:val="24"/>
          <w:szCs w:val="24"/>
        </w:rPr>
        <w:t xml:space="preserve">On </w:t>
      </w:r>
      <w:r w:rsidR="002F183C">
        <w:rPr>
          <w:sz w:val="24"/>
          <w:szCs w:val="24"/>
        </w:rPr>
        <w:t>or about November 2, 2009</w:t>
      </w:r>
      <w:r w:rsidR="007965B0" w:rsidRPr="007965B0">
        <w:rPr>
          <w:sz w:val="24"/>
          <w:szCs w:val="24"/>
        </w:rPr>
        <w:t xml:space="preserve">, </w:t>
      </w:r>
      <w:r w:rsidR="002F183C">
        <w:rPr>
          <w:sz w:val="24"/>
          <w:szCs w:val="24"/>
        </w:rPr>
        <w:t xml:space="preserve">the </w:t>
      </w:r>
      <w:r w:rsidR="007965B0" w:rsidRPr="007965B0">
        <w:rPr>
          <w:sz w:val="24"/>
          <w:szCs w:val="24"/>
        </w:rPr>
        <w:t xml:space="preserve">Respondent filed an </w:t>
      </w:r>
      <w:r w:rsidR="007965B0" w:rsidRPr="007965B0">
        <w:rPr>
          <w:spacing w:val="-3"/>
          <w:sz w:val="24"/>
          <w:szCs w:val="24"/>
        </w:rPr>
        <w:t>Answer denying the material allegations of the Complaint.</w:t>
      </w:r>
      <w:r w:rsidR="002F183C">
        <w:rPr>
          <w:spacing w:val="-3"/>
          <w:sz w:val="24"/>
          <w:szCs w:val="24"/>
        </w:rPr>
        <w:t xml:space="preserve">  The Respondent </w:t>
      </w:r>
      <w:r w:rsidR="005C3811">
        <w:rPr>
          <w:spacing w:val="-3"/>
          <w:sz w:val="24"/>
          <w:szCs w:val="24"/>
        </w:rPr>
        <w:t xml:space="preserve">also </w:t>
      </w:r>
      <w:r w:rsidR="002F183C">
        <w:rPr>
          <w:spacing w:val="-3"/>
          <w:sz w:val="24"/>
          <w:szCs w:val="24"/>
        </w:rPr>
        <w:t>filed New Matter.  The New Matter was not accompanied by the required Notice to Plead.  No response to the New Matter was received.  Due to the lack of Notice to Plead</w:t>
      </w:r>
      <w:r w:rsidR="008F2189">
        <w:rPr>
          <w:spacing w:val="-3"/>
          <w:sz w:val="24"/>
          <w:szCs w:val="24"/>
        </w:rPr>
        <w:t>, no consideration is given to the New Matter.</w:t>
      </w:r>
      <w:r w:rsidR="002F183C">
        <w:rPr>
          <w:spacing w:val="-3"/>
          <w:sz w:val="24"/>
          <w:szCs w:val="24"/>
        </w:rPr>
        <w:t xml:space="preserve">  </w:t>
      </w:r>
    </w:p>
    <w:p w:rsidR="007965B0" w:rsidRPr="007965B0" w:rsidRDefault="007965B0" w:rsidP="00DC3D81">
      <w:pPr>
        <w:tabs>
          <w:tab w:val="left" w:pos="2160"/>
        </w:tabs>
        <w:spacing w:line="360" w:lineRule="auto"/>
        <w:ind w:firstLine="1440"/>
        <w:rPr>
          <w:sz w:val="24"/>
          <w:szCs w:val="24"/>
        </w:rPr>
      </w:pPr>
    </w:p>
    <w:p w:rsidR="007965B0" w:rsidRPr="007965B0" w:rsidRDefault="007965B0" w:rsidP="00DC3D81">
      <w:pPr>
        <w:tabs>
          <w:tab w:val="left" w:pos="2160"/>
        </w:tabs>
        <w:spacing w:line="360" w:lineRule="auto"/>
        <w:ind w:firstLine="1440"/>
        <w:rPr>
          <w:sz w:val="24"/>
          <w:szCs w:val="24"/>
        </w:rPr>
      </w:pPr>
      <w:r w:rsidRPr="007965B0">
        <w:rPr>
          <w:sz w:val="24"/>
          <w:szCs w:val="24"/>
        </w:rPr>
        <w:t xml:space="preserve">By Hearing Notice dated </w:t>
      </w:r>
      <w:r w:rsidR="008F2189">
        <w:rPr>
          <w:sz w:val="24"/>
          <w:szCs w:val="24"/>
        </w:rPr>
        <w:t>November 18, 2009,</w:t>
      </w:r>
      <w:r w:rsidRPr="007965B0">
        <w:rPr>
          <w:sz w:val="24"/>
          <w:szCs w:val="24"/>
        </w:rPr>
        <w:t xml:space="preserve"> the parties were notified that an Initial Hearing in this case was scheduled for the morning of </w:t>
      </w:r>
      <w:r w:rsidR="008F2189">
        <w:rPr>
          <w:sz w:val="24"/>
          <w:szCs w:val="24"/>
        </w:rPr>
        <w:t>December 17, 2009; this date was continued until February 19, 2010</w:t>
      </w:r>
      <w:r w:rsidRPr="007965B0">
        <w:rPr>
          <w:sz w:val="24"/>
          <w:szCs w:val="24"/>
        </w:rPr>
        <w:t xml:space="preserve">.  A Prehearing Order was issued on </w:t>
      </w:r>
      <w:r w:rsidR="008F2189">
        <w:rPr>
          <w:sz w:val="24"/>
          <w:szCs w:val="24"/>
        </w:rPr>
        <w:t>December 2, 2009</w:t>
      </w:r>
      <w:r w:rsidRPr="007965B0">
        <w:rPr>
          <w:sz w:val="24"/>
          <w:szCs w:val="24"/>
        </w:rPr>
        <w:t xml:space="preserve">, stating the date and time of the scheduled hearing and advising the parties that the case could be </w:t>
      </w:r>
      <w:r w:rsidRPr="007965B0">
        <w:rPr>
          <w:sz w:val="24"/>
          <w:szCs w:val="24"/>
        </w:rPr>
        <w:lastRenderedPageBreak/>
        <w:t xml:space="preserve">dismissed if they failed to obtain a continuance and failed to appear for the hearing.  The Prehearing Order also advised the parties of applicable procedural rules. </w:t>
      </w:r>
    </w:p>
    <w:p w:rsidR="007965B0" w:rsidRPr="007965B0" w:rsidRDefault="007965B0" w:rsidP="00DC3D81">
      <w:pPr>
        <w:spacing w:line="360" w:lineRule="auto"/>
        <w:ind w:firstLine="1440"/>
        <w:rPr>
          <w:sz w:val="24"/>
          <w:szCs w:val="24"/>
        </w:rPr>
      </w:pPr>
    </w:p>
    <w:p w:rsidR="00F32B04" w:rsidRDefault="007965B0" w:rsidP="00DC3D81">
      <w:pPr>
        <w:spacing w:line="360" w:lineRule="auto"/>
        <w:ind w:firstLine="1440"/>
        <w:rPr>
          <w:sz w:val="24"/>
          <w:szCs w:val="24"/>
        </w:rPr>
      </w:pPr>
      <w:r w:rsidRPr="007965B0">
        <w:rPr>
          <w:sz w:val="24"/>
          <w:szCs w:val="24"/>
        </w:rPr>
        <w:t xml:space="preserve">The hearing convened </w:t>
      </w:r>
      <w:r w:rsidR="008F2189">
        <w:rPr>
          <w:sz w:val="24"/>
          <w:szCs w:val="24"/>
        </w:rPr>
        <w:t xml:space="preserve">on February 19, 2010.  The Complainant appeared </w:t>
      </w:r>
      <w:r w:rsidR="008F2189">
        <w:rPr>
          <w:i/>
          <w:sz w:val="24"/>
          <w:szCs w:val="24"/>
        </w:rPr>
        <w:t>pro se</w:t>
      </w:r>
      <w:r w:rsidR="00F32B04">
        <w:rPr>
          <w:i/>
          <w:sz w:val="24"/>
          <w:szCs w:val="24"/>
        </w:rPr>
        <w:t xml:space="preserve"> </w:t>
      </w:r>
      <w:r w:rsidR="00F32B04">
        <w:rPr>
          <w:sz w:val="24"/>
          <w:szCs w:val="24"/>
        </w:rPr>
        <w:t>and testified on her own behalf</w:t>
      </w:r>
      <w:r w:rsidRPr="007965B0">
        <w:rPr>
          <w:sz w:val="24"/>
          <w:szCs w:val="24"/>
        </w:rPr>
        <w:t>.</w:t>
      </w:r>
      <w:r w:rsidR="008F2189">
        <w:rPr>
          <w:sz w:val="24"/>
          <w:szCs w:val="24"/>
        </w:rPr>
        <w:t xml:space="preserve">  The Respondent appeared represented by counsel.  No exhibits were proffered by the Complainant.  The Respondent proffered seven (7) exhibits, all were </w:t>
      </w:r>
      <w:r w:rsidR="005C3811">
        <w:rPr>
          <w:sz w:val="24"/>
          <w:szCs w:val="24"/>
        </w:rPr>
        <w:t>admitt</w:t>
      </w:r>
      <w:r w:rsidR="008F2189">
        <w:rPr>
          <w:sz w:val="24"/>
          <w:szCs w:val="24"/>
        </w:rPr>
        <w:t xml:space="preserve">ed into the record. </w:t>
      </w:r>
      <w:r w:rsidRPr="007965B0">
        <w:rPr>
          <w:sz w:val="24"/>
          <w:szCs w:val="24"/>
        </w:rPr>
        <w:t xml:space="preserve"> </w:t>
      </w:r>
      <w:r w:rsidR="00F32B04">
        <w:rPr>
          <w:sz w:val="24"/>
          <w:szCs w:val="24"/>
        </w:rPr>
        <w:t>The Respondent presented one (1) witness, Pollyanne Hubler, a business analyst, for the Company.</w:t>
      </w:r>
    </w:p>
    <w:p w:rsidR="00F32B04" w:rsidRDefault="00F32B04" w:rsidP="00DC3D81">
      <w:pPr>
        <w:spacing w:line="360" w:lineRule="auto"/>
        <w:ind w:firstLine="1440"/>
        <w:rPr>
          <w:sz w:val="24"/>
          <w:szCs w:val="24"/>
        </w:rPr>
      </w:pPr>
    </w:p>
    <w:p w:rsidR="00223E7E" w:rsidRDefault="00F32B04" w:rsidP="00DC3D81">
      <w:pPr>
        <w:spacing w:line="360" w:lineRule="auto"/>
        <w:ind w:firstLine="1440"/>
        <w:rPr>
          <w:sz w:val="24"/>
          <w:szCs w:val="24"/>
        </w:rPr>
      </w:pPr>
      <w:r>
        <w:rPr>
          <w:sz w:val="24"/>
          <w:szCs w:val="24"/>
        </w:rPr>
        <w:t>The record closed on March 19, 2010.</w:t>
      </w:r>
    </w:p>
    <w:p w:rsidR="00223E7E" w:rsidRPr="007965B0" w:rsidRDefault="00223E7E" w:rsidP="00DC3D81">
      <w:pPr>
        <w:spacing w:line="360" w:lineRule="auto"/>
        <w:ind w:firstLine="1440"/>
        <w:rPr>
          <w:sz w:val="24"/>
          <w:szCs w:val="24"/>
        </w:rPr>
      </w:pPr>
    </w:p>
    <w:p w:rsidR="00C419F9" w:rsidRDefault="00C419F9" w:rsidP="00DC3D81">
      <w:pPr>
        <w:spacing w:line="360" w:lineRule="auto"/>
        <w:jc w:val="center"/>
        <w:rPr>
          <w:sz w:val="24"/>
          <w:szCs w:val="24"/>
          <w:u w:val="single"/>
        </w:rPr>
      </w:pPr>
      <w:r>
        <w:rPr>
          <w:sz w:val="24"/>
          <w:szCs w:val="24"/>
          <w:u w:val="single"/>
        </w:rPr>
        <w:t>FINDINGS OF FACT</w:t>
      </w:r>
    </w:p>
    <w:p w:rsidR="00C419F9" w:rsidRDefault="00C419F9" w:rsidP="00DC3D81">
      <w:pPr>
        <w:spacing w:line="360" w:lineRule="auto"/>
        <w:jc w:val="center"/>
        <w:rPr>
          <w:sz w:val="24"/>
          <w:szCs w:val="24"/>
          <w:u w:val="single"/>
        </w:rPr>
      </w:pPr>
    </w:p>
    <w:p w:rsidR="00C419F9" w:rsidRDefault="00F32B04" w:rsidP="00DC3D81">
      <w:pPr>
        <w:numPr>
          <w:ilvl w:val="0"/>
          <w:numId w:val="18"/>
        </w:numPr>
        <w:tabs>
          <w:tab w:val="left" w:pos="2160"/>
        </w:tabs>
        <w:spacing w:line="360" w:lineRule="auto"/>
        <w:ind w:left="0" w:firstLine="1440"/>
        <w:rPr>
          <w:sz w:val="24"/>
          <w:szCs w:val="24"/>
        </w:rPr>
      </w:pPr>
      <w:r>
        <w:rPr>
          <w:sz w:val="24"/>
          <w:szCs w:val="24"/>
        </w:rPr>
        <w:t>The Complainant</w:t>
      </w:r>
      <w:r w:rsidR="00E229A1">
        <w:rPr>
          <w:sz w:val="24"/>
          <w:szCs w:val="24"/>
        </w:rPr>
        <w:t xml:space="preserve"> is a current customer of the Respondent’s and receives electric service at 453 Mt. Pocono Estates, Bushkill, Pennsylvania 18324.</w:t>
      </w:r>
    </w:p>
    <w:p w:rsidR="00E229A1" w:rsidRDefault="00E229A1" w:rsidP="00DC3D81">
      <w:pPr>
        <w:spacing w:line="360" w:lineRule="auto"/>
        <w:ind w:left="1440"/>
        <w:rPr>
          <w:sz w:val="24"/>
          <w:szCs w:val="24"/>
        </w:rPr>
      </w:pPr>
      <w:r>
        <w:rPr>
          <w:sz w:val="24"/>
          <w:szCs w:val="24"/>
        </w:rPr>
        <w:t xml:space="preserve"> </w:t>
      </w:r>
    </w:p>
    <w:p w:rsidR="001F0BC7" w:rsidRDefault="001F0BC7" w:rsidP="00DC3D81">
      <w:pPr>
        <w:numPr>
          <w:ilvl w:val="0"/>
          <w:numId w:val="18"/>
        </w:numPr>
        <w:tabs>
          <w:tab w:val="left" w:pos="2160"/>
        </w:tabs>
        <w:spacing w:line="360" w:lineRule="auto"/>
        <w:ind w:left="0" w:firstLine="1440"/>
        <w:rPr>
          <w:sz w:val="24"/>
          <w:szCs w:val="24"/>
        </w:rPr>
      </w:pPr>
      <w:r>
        <w:rPr>
          <w:sz w:val="24"/>
          <w:szCs w:val="24"/>
        </w:rPr>
        <w:t>The Complainant moved to Bushkill</w:t>
      </w:r>
      <w:r w:rsidR="008A020E">
        <w:rPr>
          <w:sz w:val="24"/>
          <w:szCs w:val="24"/>
        </w:rPr>
        <w:t>,</w:t>
      </w:r>
      <w:r>
        <w:rPr>
          <w:sz w:val="24"/>
          <w:szCs w:val="24"/>
        </w:rPr>
        <w:t xml:space="preserve"> </w:t>
      </w:r>
      <w:r w:rsidR="008A020E">
        <w:rPr>
          <w:sz w:val="24"/>
          <w:szCs w:val="24"/>
        </w:rPr>
        <w:t xml:space="preserve">Pennsylvania </w:t>
      </w:r>
      <w:r>
        <w:rPr>
          <w:sz w:val="24"/>
          <w:szCs w:val="24"/>
        </w:rPr>
        <w:t>sometime in January 2006.  NT 5.</w:t>
      </w:r>
    </w:p>
    <w:p w:rsidR="001F0BC7" w:rsidRDefault="001F0BC7" w:rsidP="00DC3D81">
      <w:pPr>
        <w:pStyle w:val="ListParagraph"/>
        <w:rPr>
          <w:sz w:val="24"/>
          <w:szCs w:val="24"/>
        </w:rPr>
      </w:pPr>
    </w:p>
    <w:p w:rsidR="00E229A1" w:rsidRDefault="001F0BC7" w:rsidP="00DC3D81">
      <w:pPr>
        <w:numPr>
          <w:ilvl w:val="0"/>
          <w:numId w:val="18"/>
        </w:numPr>
        <w:tabs>
          <w:tab w:val="left" w:pos="2160"/>
        </w:tabs>
        <w:spacing w:line="360" w:lineRule="auto"/>
        <w:ind w:left="0" w:firstLine="1440"/>
        <w:rPr>
          <w:sz w:val="24"/>
          <w:szCs w:val="24"/>
        </w:rPr>
      </w:pPr>
      <w:r>
        <w:rPr>
          <w:sz w:val="24"/>
          <w:szCs w:val="24"/>
        </w:rPr>
        <w:t xml:space="preserve"> The Complainant received various numbers from the community for utility services.  NT 5.</w:t>
      </w:r>
    </w:p>
    <w:p w:rsidR="001F0BC7" w:rsidRDefault="001F0BC7" w:rsidP="00DC3D81">
      <w:pPr>
        <w:pStyle w:val="ListParagraph"/>
        <w:rPr>
          <w:sz w:val="24"/>
          <w:szCs w:val="24"/>
        </w:rPr>
      </w:pPr>
    </w:p>
    <w:p w:rsidR="001F0BC7" w:rsidRDefault="00A34ACF" w:rsidP="00DC3D81">
      <w:pPr>
        <w:numPr>
          <w:ilvl w:val="0"/>
          <w:numId w:val="18"/>
        </w:numPr>
        <w:tabs>
          <w:tab w:val="left" w:pos="2160"/>
        </w:tabs>
        <w:spacing w:line="360" w:lineRule="auto"/>
        <w:ind w:left="0" w:firstLine="1440"/>
        <w:rPr>
          <w:sz w:val="24"/>
          <w:szCs w:val="24"/>
        </w:rPr>
      </w:pPr>
      <w:r>
        <w:rPr>
          <w:sz w:val="24"/>
          <w:szCs w:val="24"/>
        </w:rPr>
        <w:t xml:space="preserve">The Complainant’s home is 1,600 square feet plus a basement.  The home, including the basement, </w:t>
      </w:r>
      <w:r w:rsidR="0005186E">
        <w:rPr>
          <w:sz w:val="24"/>
          <w:szCs w:val="24"/>
        </w:rPr>
        <w:t>has electric baseboard heat</w:t>
      </w:r>
      <w:r>
        <w:rPr>
          <w:sz w:val="24"/>
          <w:szCs w:val="24"/>
        </w:rPr>
        <w:t>.  NT 6.</w:t>
      </w:r>
    </w:p>
    <w:p w:rsidR="00A34ACF" w:rsidRDefault="00A34ACF" w:rsidP="00DC3D81">
      <w:pPr>
        <w:pStyle w:val="ListParagraph"/>
        <w:rPr>
          <w:sz w:val="24"/>
          <w:szCs w:val="24"/>
        </w:rPr>
      </w:pPr>
    </w:p>
    <w:p w:rsidR="00A34ACF" w:rsidRDefault="00A34ACF" w:rsidP="00DC3D81">
      <w:pPr>
        <w:numPr>
          <w:ilvl w:val="0"/>
          <w:numId w:val="18"/>
        </w:numPr>
        <w:tabs>
          <w:tab w:val="left" w:pos="2160"/>
        </w:tabs>
        <w:spacing w:line="360" w:lineRule="auto"/>
        <w:ind w:left="0" w:firstLine="1440"/>
        <w:rPr>
          <w:sz w:val="24"/>
          <w:szCs w:val="24"/>
        </w:rPr>
      </w:pPr>
      <w:r>
        <w:rPr>
          <w:sz w:val="24"/>
          <w:szCs w:val="24"/>
        </w:rPr>
        <w:t xml:space="preserve">The Complainant’s home has nine (9) thermostats. </w:t>
      </w:r>
      <w:r w:rsidR="004902AE">
        <w:rPr>
          <w:sz w:val="24"/>
          <w:szCs w:val="24"/>
        </w:rPr>
        <w:t xml:space="preserve"> </w:t>
      </w:r>
      <w:r w:rsidR="0005186E">
        <w:rPr>
          <w:sz w:val="24"/>
          <w:szCs w:val="24"/>
        </w:rPr>
        <w:t xml:space="preserve">The Complainant keeps them at 55 degrees.  </w:t>
      </w:r>
      <w:r>
        <w:rPr>
          <w:sz w:val="24"/>
          <w:szCs w:val="24"/>
        </w:rPr>
        <w:t>NT 8.</w:t>
      </w:r>
    </w:p>
    <w:p w:rsidR="00A34ACF" w:rsidRDefault="00A34ACF" w:rsidP="00DC3D81">
      <w:pPr>
        <w:pStyle w:val="ListParagraph"/>
        <w:rPr>
          <w:sz w:val="24"/>
          <w:szCs w:val="24"/>
        </w:rPr>
      </w:pPr>
    </w:p>
    <w:p w:rsidR="004902AE" w:rsidRDefault="00A34ACF" w:rsidP="00DC3D81">
      <w:pPr>
        <w:numPr>
          <w:ilvl w:val="0"/>
          <w:numId w:val="18"/>
        </w:numPr>
        <w:tabs>
          <w:tab w:val="left" w:pos="2160"/>
        </w:tabs>
        <w:spacing w:line="360" w:lineRule="auto"/>
        <w:ind w:left="0" w:firstLine="1440"/>
        <w:rPr>
          <w:sz w:val="24"/>
          <w:szCs w:val="24"/>
        </w:rPr>
      </w:pPr>
      <w:r>
        <w:rPr>
          <w:sz w:val="24"/>
          <w:szCs w:val="24"/>
        </w:rPr>
        <w:t xml:space="preserve">The Complainant uses a pellet stove to save on </w:t>
      </w:r>
      <w:r w:rsidR="008A020E">
        <w:rPr>
          <w:sz w:val="24"/>
          <w:szCs w:val="24"/>
        </w:rPr>
        <w:t xml:space="preserve">heat related </w:t>
      </w:r>
      <w:r>
        <w:rPr>
          <w:sz w:val="24"/>
          <w:szCs w:val="24"/>
        </w:rPr>
        <w:t xml:space="preserve">electricity.  </w:t>
      </w:r>
    </w:p>
    <w:p w:rsidR="00A34ACF" w:rsidRDefault="00A34ACF" w:rsidP="00DC3D81">
      <w:pPr>
        <w:spacing w:line="360" w:lineRule="auto"/>
        <w:rPr>
          <w:sz w:val="24"/>
          <w:szCs w:val="24"/>
        </w:rPr>
      </w:pPr>
      <w:r>
        <w:rPr>
          <w:sz w:val="24"/>
          <w:szCs w:val="24"/>
        </w:rPr>
        <w:t>NT 8.</w:t>
      </w:r>
    </w:p>
    <w:p w:rsidR="00A34ACF" w:rsidRDefault="00A34ACF" w:rsidP="00DC3D81">
      <w:pPr>
        <w:pStyle w:val="ListParagraph"/>
        <w:rPr>
          <w:sz w:val="24"/>
          <w:szCs w:val="24"/>
        </w:rPr>
      </w:pPr>
    </w:p>
    <w:p w:rsidR="00A34ACF" w:rsidRDefault="0020391E" w:rsidP="00DC3D81">
      <w:pPr>
        <w:numPr>
          <w:ilvl w:val="0"/>
          <w:numId w:val="18"/>
        </w:numPr>
        <w:tabs>
          <w:tab w:val="left" w:pos="2160"/>
        </w:tabs>
        <w:spacing w:line="360" w:lineRule="auto"/>
        <w:ind w:left="0" w:firstLine="1440"/>
        <w:rPr>
          <w:sz w:val="24"/>
          <w:szCs w:val="24"/>
        </w:rPr>
      </w:pPr>
      <w:r>
        <w:rPr>
          <w:sz w:val="24"/>
          <w:szCs w:val="24"/>
        </w:rPr>
        <w:t>The Complainant does not have air conditioning in her home.  NT 9.</w:t>
      </w:r>
    </w:p>
    <w:p w:rsidR="0020391E" w:rsidRDefault="0020391E" w:rsidP="00DC3D81">
      <w:pPr>
        <w:pStyle w:val="ListParagraph"/>
        <w:rPr>
          <w:sz w:val="24"/>
          <w:szCs w:val="24"/>
        </w:rPr>
      </w:pPr>
    </w:p>
    <w:p w:rsidR="0020391E" w:rsidRDefault="0020391E" w:rsidP="00DC3D81">
      <w:pPr>
        <w:numPr>
          <w:ilvl w:val="0"/>
          <w:numId w:val="18"/>
        </w:numPr>
        <w:tabs>
          <w:tab w:val="left" w:pos="2160"/>
        </w:tabs>
        <w:spacing w:line="360" w:lineRule="auto"/>
        <w:ind w:left="0" w:firstLine="1440"/>
        <w:rPr>
          <w:sz w:val="24"/>
          <w:szCs w:val="24"/>
        </w:rPr>
      </w:pPr>
      <w:r>
        <w:rPr>
          <w:sz w:val="24"/>
          <w:szCs w:val="24"/>
        </w:rPr>
        <w:lastRenderedPageBreak/>
        <w:t>The Complainant telephoned the Respondent’s customer service numerous times concerning her high bill.  NT 9-10.</w:t>
      </w:r>
    </w:p>
    <w:p w:rsidR="0020391E" w:rsidRDefault="0020391E" w:rsidP="00DC3D81">
      <w:pPr>
        <w:pStyle w:val="ListParagraph"/>
        <w:rPr>
          <w:sz w:val="24"/>
          <w:szCs w:val="24"/>
        </w:rPr>
      </w:pPr>
    </w:p>
    <w:p w:rsidR="0020391E" w:rsidRDefault="0020391E" w:rsidP="00DC3D81">
      <w:pPr>
        <w:numPr>
          <w:ilvl w:val="0"/>
          <w:numId w:val="18"/>
        </w:numPr>
        <w:tabs>
          <w:tab w:val="left" w:pos="2160"/>
        </w:tabs>
        <w:spacing w:line="360" w:lineRule="auto"/>
        <w:ind w:left="0" w:firstLine="1440"/>
        <w:rPr>
          <w:sz w:val="24"/>
          <w:szCs w:val="24"/>
        </w:rPr>
      </w:pPr>
      <w:r>
        <w:rPr>
          <w:sz w:val="24"/>
          <w:szCs w:val="24"/>
        </w:rPr>
        <w:t>In June 2009, the Respondent terminated service to the Complainant</w:t>
      </w:r>
      <w:r w:rsidR="008A020E">
        <w:rPr>
          <w:sz w:val="24"/>
          <w:szCs w:val="24"/>
        </w:rPr>
        <w:t xml:space="preserve"> for nonpayment</w:t>
      </w:r>
      <w:r w:rsidR="00B24DD4">
        <w:rPr>
          <w:sz w:val="24"/>
          <w:szCs w:val="24"/>
        </w:rPr>
        <w:t>; service was off for twenty-four (24) hours</w:t>
      </w:r>
      <w:r>
        <w:rPr>
          <w:sz w:val="24"/>
          <w:szCs w:val="24"/>
        </w:rPr>
        <w:t>.  NT</w:t>
      </w:r>
      <w:r w:rsidR="00A85AEB">
        <w:rPr>
          <w:sz w:val="24"/>
          <w:szCs w:val="24"/>
        </w:rPr>
        <w:t xml:space="preserve"> </w:t>
      </w:r>
      <w:r>
        <w:rPr>
          <w:sz w:val="24"/>
          <w:szCs w:val="24"/>
        </w:rPr>
        <w:t>10</w:t>
      </w:r>
      <w:r w:rsidR="00A85AEB">
        <w:rPr>
          <w:sz w:val="24"/>
          <w:szCs w:val="24"/>
        </w:rPr>
        <w:t>,</w:t>
      </w:r>
      <w:r w:rsidR="006C3C85">
        <w:rPr>
          <w:sz w:val="24"/>
          <w:szCs w:val="24"/>
        </w:rPr>
        <w:t xml:space="preserve"> </w:t>
      </w:r>
      <w:r w:rsidR="00A85AEB">
        <w:rPr>
          <w:sz w:val="24"/>
          <w:szCs w:val="24"/>
        </w:rPr>
        <w:t>1</w:t>
      </w:r>
      <w:r w:rsidR="00B24DD4">
        <w:rPr>
          <w:sz w:val="24"/>
          <w:szCs w:val="24"/>
        </w:rPr>
        <w:t>4</w:t>
      </w:r>
      <w:r>
        <w:rPr>
          <w:sz w:val="24"/>
          <w:szCs w:val="24"/>
        </w:rPr>
        <w:t>.</w:t>
      </w:r>
    </w:p>
    <w:p w:rsidR="0020391E" w:rsidRDefault="0020391E" w:rsidP="00DC3D81">
      <w:pPr>
        <w:pStyle w:val="ListParagraph"/>
        <w:rPr>
          <w:sz w:val="24"/>
          <w:szCs w:val="24"/>
        </w:rPr>
      </w:pPr>
    </w:p>
    <w:p w:rsidR="0020391E" w:rsidRDefault="004B2C23" w:rsidP="00DC3D81">
      <w:pPr>
        <w:numPr>
          <w:ilvl w:val="0"/>
          <w:numId w:val="18"/>
        </w:numPr>
        <w:tabs>
          <w:tab w:val="left" w:pos="2160"/>
        </w:tabs>
        <w:spacing w:line="360" w:lineRule="auto"/>
        <w:ind w:left="0" w:firstLine="1440"/>
        <w:rPr>
          <w:sz w:val="24"/>
          <w:szCs w:val="24"/>
        </w:rPr>
      </w:pPr>
      <w:r>
        <w:rPr>
          <w:sz w:val="24"/>
          <w:szCs w:val="24"/>
        </w:rPr>
        <w:t>On March 10, 2006 the Respondent conducted an over the telephone high bill investigation and estimate showing that the Complainant’s</w:t>
      </w:r>
      <w:r w:rsidR="005C3811">
        <w:rPr>
          <w:sz w:val="24"/>
          <w:szCs w:val="24"/>
        </w:rPr>
        <w:t xml:space="preserve"> home had the capacity to use 3</w:t>
      </w:r>
      <w:r>
        <w:rPr>
          <w:sz w:val="24"/>
          <w:szCs w:val="24"/>
        </w:rPr>
        <w:t>988 kilowatts of electricity monthly.  MetEd Exh. 1</w:t>
      </w:r>
      <w:r w:rsidR="00FB773C">
        <w:rPr>
          <w:sz w:val="24"/>
          <w:szCs w:val="24"/>
        </w:rPr>
        <w:t>, NT 36-38</w:t>
      </w:r>
      <w:r>
        <w:rPr>
          <w:sz w:val="24"/>
          <w:szCs w:val="24"/>
        </w:rPr>
        <w:t>.</w:t>
      </w:r>
    </w:p>
    <w:p w:rsidR="004B2C23" w:rsidRDefault="004B2C23" w:rsidP="00DC3D81">
      <w:pPr>
        <w:pStyle w:val="ListParagraph"/>
        <w:rPr>
          <w:sz w:val="24"/>
          <w:szCs w:val="24"/>
        </w:rPr>
      </w:pPr>
    </w:p>
    <w:p w:rsidR="004B2C23" w:rsidRDefault="00E61A2E" w:rsidP="00DC3D81">
      <w:pPr>
        <w:numPr>
          <w:ilvl w:val="0"/>
          <w:numId w:val="18"/>
        </w:numPr>
        <w:tabs>
          <w:tab w:val="left" w:pos="2160"/>
        </w:tabs>
        <w:spacing w:line="360" w:lineRule="auto"/>
        <w:ind w:left="0" w:firstLine="1440"/>
        <w:rPr>
          <w:sz w:val="24"/>
          <w:szCs w:val="24"/>
        </w:rPr>
      </w:pPr>
      <w:r>
        <w:rPr>
          <w:sz w:val="24"/>
          <w:szCs w:val="24"/>
        </w:rPr>
        <w:t>On December 14, 2008, t</w:t>
      </w:r>
      <w:r w:rsidR="00FB773C">
        <w:rPr>
          <w:sz w:val="24"/>
          <w:szCs w:val="24"/>
        </w:rPr>
        <w:t>he Respondent removed the meter at the Complainant</w:t>
      </w:r>
      <w:r w:rsidR="008A020E">
        <w:rPr>
          <w:sz w:val="24"/>
          <w:szCs w:val="24"/>
        </w:rPr>
        <w:t>’s</w:t>
      </w:r>
      <w:r w:rsidR="00FB773C">
        <w:rPr>
          <w:sz w:val="24"/>
          <w:szCs w:val="24"/>
        </w:rPr>
        <w:t xml:space="preserve"> home that was in there when she moved in, and had it tested for accuracy.  The meter tested </w:t>
      </w:r>
      <w:r>
        <w:rPr>
          <w:sz w:val="24"/>
          <w:szCs w:val="24"/>
        </w:rPr>
        <w:t xml:space="preserve">accurately and </w:t>
      </w:r>
      <w:r w:rsidR="00FB773C">
        <w:rPr>
          <w:sz w:val="24"/>
          <w:szCs w:val="24"/>
        </w:rPr>
        <w:t xml:space="preserve">within regulatory guidelines.  MetEd Exh. 2, </w:t>
      </w:r>
      <w:r>
        <w:rPr>
          <w:sz w:val="24"/>
          <w:szCs w:val="24"/>
        </w:rPr>
        <w:t xml:space="preserve">and 4, </w:t>
      </w:r>
      <w:r w:rsidR="00FB773C">
        <w:rPr>
          <w:sz w:val="24"/>
          <w:szCs w:val="24"/>
        </w:rPr>
        <w:t xml:space="preserve">NT </w:t>
      </w:r>
      <w:r>
        <w:rPr>
          <w:sz w:val="24"/>
          <w:szCs w:val="24"/>
        </w:rPr>
        <w:t>39-40.</w:t>
      </w:r>
    </w:p>
    <w:p w:rsidR="00E61A2E" w:rsidRDefault="00E61A2E" w:rsidP="00DC3D81">
      <w:pPr>
        <w:pStyle w:val="ListParagraph"/>
        <w:rPr>
          <w:sz w:val="24"/>
          <w:szCs w:val="24"/>
        </w:rPr>
      </w:pPr>
    </w:p>
    <w:p w:rsidR="00E61A2E" w:rsidRDefault="00E61A2E" w:rsidP="00DC3D81">
      <w:pPr>
        <w:numPr>
          <w:ilvl w:val="0"/>
          <w:numId w:val="18"/>
        </w:numPr>
        <w:tabs>
          <w:tab w:val="left" w:pos="2160"/>
        </w:tabs>
        <w:spacing w:line="360" w:lineRule="auto"/>
        <w:ind w:left="0" w:firstLine="1440"/>
        <w:rPr>
          <w:sz w:val="24"/>
          <w:szCs w:val="24"/>
        </w:rPr>
      </w:pPr>
      <w:r>
        <w:rPr>
          <w:sz w:val="24"/>
          <w:szCs w:val="24"/>
        </w:rPr>
        <w:t>On December 15, 2008, the Respondent tested</w:t>
      </w:r>
      <w:r w:rsidR="00E877A2">
        <w:rPr>
          <w:sz w:val="24"/>
          <w:szCs w:val="24"/>
        </w:rPr>
        <w:t xml:space="preserve"> and installed a</w:t>
      </w:r>
      <w:r>
        <w:rPr>
          <w:sz w:val="24"/>
          <w:szCs w:val="24"/>
        </w:rPr>
        <w:t xml:space="preserve"> new me</w:t>
      </w:r>
      <w:r w:rsidR="00E877A2">
        <w:rPr>
          <w:sz w:val="24"/>
          <w:szCs w:val="24"/>
        </w:rPr>
        <w:t xml:space="preserve">ter </w:t>
      </w:r>
      <w:r>
        <w:rPr>
          <w:sz w:val="24"/>
          <w:szCs w:val="24"/>
        </w:rPr>
        <w:t>at the Complainant</w:t>
      </w:r>
      <w:r w:rsidR="00F424E7">
        <w:rPr>
          <w:sz w:val="24"/>
          <w:szCs w:val="24"/>
        </w:rPr>
        <w:t>’</w:t>
      </w:r>
      <w:r>
        <w:rPr>
          <w:sz w:val="24"/>
          <w:szCs w:val="24"/>
        </w:rPr>
        <w:t>s home</w:t>
      </w:r>
      <w:r w:rsidR="00E877A2">
        <w:rPr>
          <w:sz w:val="24"/>
          <w:szCs w:val="24"/>
        </w:rPr>
        <w:t xml:space="preserve">; the new </w:t>
      </w:r>
      <w:r>
        <w:rPr>
          <w:sz w:val="24"/>
          <w:szCs w:val="24"/>
        </w:rPr>
        <w:t xml:space="preserve">tested accurately and within regulatory guidelines.  MetEd Exh. 3, </w:t>
      </w:r>
      <w:r w:rsidR="00E877A2">
        <w:rPr>
          <w:sz w:val="24"/>
          <w:szCs w:val="24"/>
        </w:rPr>
        <w:t xml:space="preserve">and 4, </w:t>
      </w:r>
      <w:r>
        <w:rPr>
          <w:sz w:val="24"/>
          <w:szCs w:val="24"/>
        </w:rPr>
        <w:t>NT 40.</w:t>
      </w:r>
    </w:p>
    <w:p w:rsidR="00E61A2E" w:rsidRDefault="00E61A2E" w:rsidP="00DC3D81">
      <w:pPr>
        <w:pStyle w:val="ListParagraph"/>
        <w:rPr>
          <w:sz w:val="24"/>
          <w:szCs w:val="24"/>
        </w:rPr>
      </w:pPr>
    </w:p>
    <w:p w:rsidR="00E61A2E" w:rsidRDefault="0084410F" w:rsidP="00DC3D81">
      <w:pPr>
        <w:numPr>
          <w:ilvl w:val="0"/>
          <w:numId w:val="18"/>
        </w:numPr>
        <w:tabs>
          <w:tab w:val="left" w:pos="2160"/>
        </w:tabs>
        <w:spacing w:line="360" w:lineRule="auto"/>
        <w:ind w:left="0" w:firstLine="1440"/>
        <w:rPr>
          <w:sz w:val="24"/>
          <w:szCs w:val="24"/>
        </w:rPr>
      </w:pPr>
      <w:r>
        <w:rPr>
          <w:sz w:val="24"/>
          <w:szCs w:val="24"/>
        </w:rPr>
        <w:t>The Respondent compared the residential time of day</w:t>
      </w:r>
      <w:r w:rsidR="00F424E7">
        <w:rPr>
          <w:sz w:val="24"/>
          <w:szCs w:val="24"/>
        </w:rPr>
        <w:t xml:space="preserve"> rate that the Complainant pays</w:t>
      </w:r>
      <w:r>
        <w:rPr>
          <w:sz w:val="24"/>
          <w:szCs w:val="24"/>
        </w:rPr>
        <w:t xml:space="preserve"> to the residential standard rate and determined that the Complainant’s rate is the mo</w:t>
      </w:r>
      <w:r w:rsidR="00714B9D">
        <w:rPr>
          <w:sz w:val="24"/>
          <w:szCs w:val="24"/>
        </w:rPr>
        <w:t>st favorable rate</w:t>
      </w:r>
      <w:r>
        <w:rPr>
          <w:sz w:val="24"/>
          <w:szCs w:val="24"/>
        </w:rPr>
        <w:t xml:space="preserve"> for her.  MetEd Exh. 5, NT 45.</w:t>
      </w:r>
    </w:p>
    <w:p w:rsidR="0084410F" w:rsidRDefault="0084410F" w:rsidP="00DC3D81">
      <w:pPr>
        <w:pStyle w:val="ListParagraph"/>
        <w:rPr>
          <w:sz w:val="24"/>
          <w:szCs w:val="24"/>
        </w:rPr>
      </w:pPr>
    </w:p>
    <w:p w:rsidR="0084410F" w:rsidRDefault="005333B9" w:rsidP="00DC3D81">
      <w:pPr>
        <w:numPr>
          <w:ilvl w:val="0"/>
          <w:numId w:val="18"/>
        </w:numPr>
        <w:tabs>
          <w:tab w:val="left" w:pos="2160"/>
        </w:tabs>
        <w:spacing w:line="360" w:lineRule="auto"/>
        <w:ind w:left="0" w:firstLine="1440"/>
        <w:rPr>
          <w:sz w:val="24"/>
          <w:szCs w:val="24"/>
        </w:rPr>
      </w:pPr>
      <w:r>
        <w:rPr>
          <w:sz w:val="24"/>
          <w:szCs w:val="24"/>
        </w:rPr>
        <w:t>It is the Respondent’s standard operating procedure when a customer calls for new service to ask if they would like to receive information about electricity choices.  NT 48.</w:t>
      </w:r>
    </w:p>
    <w:p w:rsidR="005333B9" w:rsidRDefault="005333B9" w:rsidP="00DC3D81">
      <w:pPr>
        <w:pStyle w:val="ListParagraph"/>
        <w:rPr>
          <w:sz w:val="24"/>
          <w:szCs w:val="24"/>
        </w:rPr>
      </w:pPr>
    </w:p>
    <w:p w:rsidR="00C419F9" w:rsidRDefault="00C419F9" w:rsidP="00DC3D81">
      <w:pPr>
        <w:spacing w:line="360" w:lineRule="auto"/>
        <w:jc w:val="center"/>
        <w:rPr>
          <w:sz w:val="24"/>
          <w:szCs w:val="24"/>
          <w:u w:val="single"/>
        </w:rPr>
      </w:pPr>
      <w:r>
        <w:rPr>
          <w:sz w:val="24"/>
          <w:szCs w:val="24"/>
          <w:u w:val="single"/>
        </w:rPr>
        <w:t>DISCUSSION</w:t>
      </w:r>
    </w:p>
    <w:p w:rsidR="00C419F9" w:rsidRDefault="00C419F9" w:rsidP="00DC3D81">
      <w:pPr>
        <w:spacing w:line="360" w:lineRule="auto"/>
        <w:jc w:val="center"/>
        <w:rPr>
          <w:sz w:val="24"/>
          <w:szCs w:val="24"/>
          <w:u w:val="single"/>
        </w:rPr>
      </w:pPr>
    </w:p>
    <w:p w:rsidR="00B0541E" w:rsidRDefault="00B0541E" w:rsidP="00DC3D81">
      <w:pPr>
        <w:spacing w:line="360" w:lineRule="auto"/>
        <w:rPr>
          <w:sz w:val="24"/>
          <w:szCs w:val="24"/>
        </w:rPr>
      </w:pPr>
      <w:r w:rsidRPr="003325A0">
        <w:rPr>
          <w:sz w:val="24"/>
          <w:szCs w:val="24"/>
          <w:u w:val="single"/>
        </w:rPr>
        <w:t>Burden of Proof</w:t>
      </w:r>
      <w:r>
        <w:rPr>
          <w:sz w:val="24"/>
          <w:szCs w:val="24"/>
        </w:rPr>
        <w:t>:</w:t>
      </w:r>
    </w:p>
    <w:p w:rsidR="00B0541E" w:rsidRDefault="00B0541E" w:rsidP="00DC3D81">
      <w:pPr>
        <w:spacing w:line="360" w:lineRule="auto"/>
        <w:rPr>
          <w:sz w:val="24"/>
          <w:szCs w:val="24"/>
        </w:rPr>
      </w:pPr>
    </w:p>
    <w:p w:rsidR="00B0541E" w:rsidRPr="000B72BC" w:rsidRDefault="00B0541E" w:rsidP="00DC3D81">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E201B9">
        <w:rPr>
          <w:sz w:val="24"/>
          <w:szCs w:val="24"/>
        </w:rPr>
        <w:t>her</w:t>
      </w:r>
      <w:r w:rsidRPr="000B72BC">
        <w:rPr>
          <w:sz w:val="24"/>
          <w:szCs w:val="24"/>
        </w:rPr>
        <w:t xml:space="preserve"> case.  </w:t>
      </w:r>
      <w:proofErr w:type="gramStart"/>
      <w:r w:rsidRPr="000B72BC">
        <w:rPr>
          <w:sz w:val="24"/>
          <w:szCs w:val="24"/>
        </w:rPr>
        <w:t>66 Pa. C.S. §</w:t>
      </w:r>
      <w:r>
        <w:rPr>
          <w:sz w:val="24"/>
          <w:szCs w:val="24"/>
        </w:rPr>
        <w:t xml:space="preserve"> </w:t>
      </w:r>
      <w:r w:rsidRPr="000B72BC">
        <w:rPr>
          <w:sz w:val="24"/>
          <w:szCs w:val="24"/>
        </w:rPr>
        <w:t>332 (a).</w:t>
      </w:r>
      <w:proofErr w:type="gramEnd"/>
      <w:r w:rsidRPr="000B72BC">
        <w:rPr>
          <w:sz w:val="24"/>
          <w:szCs w:val="24"/>
        </w:rPr>
        <w:t xml:space="preserve">  </w:t>
      </w:r>
      <w:r w:rsidRPr="000B72BC">
        <w:rPr>
          <w:spacing w:val="-3"/>
          <w:sz w:val="24"/>
          <w:szCs w:val="24"/>
        </w:rPr>
        <w:t xml:space="preserve">This must be shown by a preponderance of the evidence.  </w:t>
      </w:r>
      <w:proofErr w:type="gramStart"/>
      <w:r w:rsidRPr="000B72BC">
        <w:rPr>
          <w:i/>
          <w:spacing w:val="-3"/>
          <w:sz w:val="24"/>
          <w:szCs w:val="24"/>
        </w:rPr>
        <w:t>Samuel J. Lansberry, Inc. v. Pa. Pub</w:t>
      </w:r>
      <w:r w:rsidR="00223E7E">
        <w:rPr>
          <w:i/>
          <w:spacing w:val="-3"/>
          <w:sz w:val="24"/>
          <w:szCs w:val="24"/>
        </w:rPr>
        <w:t>.</w:t>
      </w:r>
      <w:r w:rsidRPr="000B72BC">
        <w:rPr>
          <w:i/>
          <w:spacing w:val="-3"/>
          <w:sz w:val="24"/>
          <w:szCs w:val="24"/>
        </w:rPr>
        <w:t>Uti</w:t>
      </w:r>
      <w:r w:rsidR="00223E7E">
        <w:rPr>
          <w:i/>
          <w:spacing w:val="-3"/>
          <w:sz w:val="24"/>
          <w:szCs w:val="24"/>
        </w:rPr>
        <w:t>l.</w:t>
      </w:r>
      <w:proofErr w:type="gramEnd"/>
      <w:r w:rsidRPr="000B72BC">
        <w:rPr>
          <w:i/>
          <w:spacing w:val="-3"/>
          <w:sz w:val="24"/>
          <w:szCs w:val="24"/>
        </w:rPr>
        <w:t xml:space="preserve"> </w:t>
      </w:r>
      <w:proofErr w:type="gramStart"/>
      <w:r w:rsidRPr="000B72BC">
        <w:rPr>
          <w:i/>
          <w:spacing w:val="-3"/>
          <w:sz w:val="24"/>
          <w:szCs w:val="24"/>
        </w:rPr>
        <w:t>Comm’n</w:t>
      </w:r>
      <w:r w:rsidRPr="000B72BC">
        <w:rPr>
          <w:spacing w:val="-3"/>
          <w:sz w:val="24"/>
          <w:szCs w:val="24"/>
        </w:rPr>
        <w:t xml:space="preserve">, 578 A.2d 600 (1990), </w:t>
      </w:r>
      <w:r w:rsidRPr="000B72BC">
        <w:rPr>
          <w:i/>
          <w:spacing w:val="-3"/>
          <w:sz w:val="24"/>
          <w:szCs w:val="24"/>
        </w:rPr>
        <w:t>alloc.</w:t>
      </w:r>
      <w:proofErr w:type="gramEnd"/>
      <w:r w:rsidRPr="000B72BC">
        <w:rPr>
          <w:i/>
          <w:spacing w:val="-3"/>
          <w:sz w:val="24"/>
          <w:szCs w:val="24"/>
        </w:rPr>
        <w:t xml:space="preserve"> </w:t>
      </w:r>
      <w:proofErr w:type="gramStart"/>
      <w:r w:rsidRPr="000B72BC">
        <w:rPr>
          <w:i/>
          <w:spacing w:val="-3"/>
          <w:sz w:val="24"/>
          <w:szCs w:val="24"/>
        </w:rPr>
        <w:t>den.</w:t>
      </w:r>
      <w:r w:rsidRPr="000B72BC">
        <w:rPr>
          <w:spacing w:val="-3"/>
          <w:sz w:val="24"/>
          <w:szCs w:val="24"/>
        </w:rPr>
        <w:t>, 602 A.2d 863 (1992).</w:t>
      </w:r>
      <w:proofErr w:type="gramEnd"/>
      <w:r w:rsidRPr="000B72BC">
        <w:rPr>
          <w:spacing w:val="-3"/>
          <w:sz w:val="24"/>
          <w:szCs w:val="24"/>
        </w:rPr>
        <w:t xml:space="preserve">  That is, </w:t>
      </w:r>
      <w:r w:rsidR="00E201B9">
        <w:rPr>
          <w:spacing w:val="-3"/>
          <w:sz w:val="24"/>
          <w:szCs w:val="24"/>
        </w:rPr>
        <w:t xml:space="preserve">the Complainant </w:t>
      </w:r>
      <w:proofErr w:type="gramStart"/>
      <w:r w:rsidR="00E201B9">
        <w:rPr>
          <w:spacing w:val="-3"/>
          <w:sz w:val="24"/>
          <w:szCs w:val="24"/>
        </w:rPr>
        <w:t xml:space="preserve">must </w:t>
      </w:r>
      <w:r w:rsidRPr="000B72BC">
        <w:rPr>
          <w:spacing w:val="-3"/>
          <w:sz w:val="24"/>
          <w:szCs w:val="24"/>
        </w:rPr>
        <w:t xml:space="preserve"> </w:t>
      </w:r>
      <w:r w:rsidRPr="000B72BC">
        <w:rPr>
          <w:spacing w:val="-3"/>
          <w:sz w:val="24"/>
          <w:szCs w:val="24"/>
        </w:rPr>
        <w:lastRenderedPageBreak/>
        <w:t>present</w:t>
      </w:r>
      <w:proofErr w:type="gramEnd"/>
      <w:r w:rsidRPr="000B72BC">
        <w:rPr>
          <w:spacing w:val="-3"/>
          <w:sz w:val="24"/>
          <w:szCs w:val="24"/>
        </w:rPr>
        <w:t xml:space="preserve"> evidence</w:t>
      </w:r>
      <w:r w:rsidR="00E201B9">
        <w:rPr>
          <w:spacing w:val="-3"/>
          <w:sz w:val="24"/>
          <w:szCs w:val="24"/>
        </w:rPr>
        <w:t xml:space="preserve"> that is </w:t>
      </w:r>
      <w:r w:rsidRPr="000B72BC">
        <w:rPr>
          <w:spacing w:val="-3"/>
          <w:sz w:val="24"/>
          <w:szCs w:val="24"/>
        </w:rPr>
        <w:t xml:space="preserve">more convincing, by even the smallest amount, than that presented by the </w:t>
      </w:r>
      <w:r w:rsidR="00E201B9">
        <w:rPr>
          <w:spacing w:val="-3"/>
          <w:sz w:val="24"/>
          <w:szCs w:val="24"/>
        </w:rPr>
        <w:t>Respondent</w:t>
      </w:r>
      <w:r w:rsidRPr="000B72BC">
        <w:rPr>
          <w:spacing w:val="-3"/>
          <w:sz w:val="24"/>
          <w:szCs w:val="24"/>
        </w:rPr>
        <w:t xml:space="preserve">.  </w:t>
      </w:r>
      <w:proofErr w:type="gramStart"/>
      <w:r w:rsidR="00223E7E">
        <w:rPr>
          <w:i/>
          <w:spacing w:val="-3"/>
          <w:sz w:val="24"/>
          <w:szCs w:val="24"/>
        </w:rPr>
        <w:t>Se-Ling Hosiery v. Marg</w:t>
      </w:r>
      <w:r w:rsidRPr="000B72BC">
        <w:rPr>
          <w:i/>
          <w:spacing w:val="-3"/>
          <w:sz w:val="24"/>
          <w:szCs w:val="24"/>
        </w:rPr>
        <w:t>ulies</w:t>
      </w:r>
      <w:r w:rsidRPr="000B72BC">
        <w:rPr>
          <w:spacing w:val="-3"/>
          <w:sz w:val="24"/>
          <w:szCs w:val="24"/>
        </w:rPr>
        <w:t>, 70 A.2d 854 (1950).</w:t>
      </w:r>
      <w:proofErr w:type="gramEnd"/>
      <w:r w:rsidRPr="000B72BC">
        <w:rPr>
          <w:spacing w:val="-3"/>
          <w:sz w:val="24"/>
          <w:szCs w:val="24"/>
        </w:rPr>
        <w:t xml:space="preserve">  </w:t>
      </w:r>
    </w:p>
    <w:p w:rsidR="00B0541E" w:rsidRPr="000B72BC" w:rsidRDefault="00B0541E" w:rsidP="00DC3D81">
      <w:pPr>
        <w:spacing w:line="360" w:lineRule="auto"/>
        <w:ind w:firstLine="1440"/>
        <w:rPr>
          <w:spacing w:val="-3"/>
          <w:sz w:val="24"/>
          <w:szCs w:val="24"/>
        </w:rPr>
      </w:pPr>
    </w:p>
    <w:p w:rsidR="00B0541E" w:rsidRPr="000B72BC" w:rsidRDefault="00E201B9" w:rsidP="00DC3D81">
      <w:pPr>
        <w:spacing w:line="360" w:lineRule="auto"/>
        <w:ind w:firstLine="1440"/>
        <w:rPr>
          <w:spacing w:val="-3"/>
          <w:sz w:val="24"/>
          <w:szCs w:val="24"/>
        </w:rPr>
      </w:pPr>
      <w:r>
        <w:rPr>
          <w:spacing w:val="-3"/>
          <w:sz w:val="24"/>
          <w:szCs w:val="24"/>
        </w:rPr>
        <w:t>A</w:t>
      </w:r>
      <w:r w:rsidR="00B0541E" w:rsidRPr="000B72BC">
        <w:rPr>
          <w:spacing w:val="-3"/>
          <w:sz w:val="24"/>
          <w:szCs w:val="24"/>
        </w:rPr>
        <w:t xml:space="preserve">ny finding of fact necessary to support the Commission’s adjudication must be based upon substantial evidence.  </w:t>
      </w:r>
      <w:proofErr w:type="gramStart"/>
      <w:r w:rsidR="00B0541E" w:rsidRPr="000B72BC">
        <w:rPr>
          <w:i/>
          <w:spacing w:val="-3"/>
          <w:sz w:val="24"/>
          <w:szCs w:val="24"/>
        </w:rPr>
        <w:t>Mill v. Pa. Publ. Util. Comm’n</w:t>
      </w:r>
      <w:r w:rsidR="00B0541E" w:rsidRPr="000B72BC">
        <w:rPr>
          <w:spacing w:val="-3"/>
          <w:sz w:val="24"/>
          <w:szCs w:val="24"/>
        </w:rPr>
        <w:t xml:space="preserve">, 447 A.2d 1100 (1982); </w:t>
      </w:r>
      <w:r w:rsidR="003E594B">
        <w:rPr>
          <w:i/>
          <w:spacing w:val="-3"/>
          <w:sz w:val="24"/>
          <w:szCs w:val="24"/>
        </w:rPr>
        <w:t>Edan Transportation Corp. v. Pa.</w:t>
      </w:r>
      <w:r w:rsidR="00B0541E" w:rsidRPr="000B72BC">
        <w:rPr>
          <w:i/>
          <w:spacing w:val="-3"/>
          <w:sz w:val="24"/>
          <w:szCs w:val="24"/>
        </w:rPr>
        <w:t xml:space="preserve"> Pub</w:t>
      </w:r>
      <w:r w:rsidR="003E594B">
        <w:rPr>
          <w:i/>
          <w:spacing w:val="-3"/>
          <w:sz w:val="24"/>
          <w:szCs w:val="24"/>
        </w:rPr>
        <w:t>.</w:t>
      </w:r>
      <w:proofErr w:type="gramEnd"/>
      <w:r w:rsidR="00B0541E" w:rsidRPr="000B72BC">
        <w:rPr>
          <w:i/>
          <w:spacing w:val="-3"/>
          <w:sz w:val="24"/>
          <w:szCs w:val="24"/>
        </w:rPr>
        <w:t xml:space="preserve"> </w:t>
      </w:r>
      <w:proofErr w:type="gramStart"/>
      <w:r w:rsidR="00B0541E" w:rsidRPr="000B72BC">
        <w:rPr>
          <w:i/>
          <w:spacing w:val="-3"/>
          <w:sz w:val="24"/>
          <w:szCs w:val="24"/>
        </w:rPr>
        <w:t>Util</w:t>
      </w:r>
      <w:r w:rsidR="003E594B">
        <w:rPr>
          <w:i/>
          <w:spacing w:val="-3"/>
          <w:sz w:val="24"/>
          <w:szCs w:val="24"/>
        </w:rPr>
        <w:t>.</w:t>
      </w:r>
      <w:r w:rsidR="00B0541E" w:rsidRPr="000B72BC">
        <w:rPr>
          <w:i/>
          <w:spacing w:val="-3"/>
          <w:sz w:val="24"/>
          <w:szCs w:val="24"/>
        </w:rPr>
        <w:t xml:space="preserve"> Comm’n,</w:t>
      </w:r>
      <w:r w:rsidR="00B0541E" w:rsidRPr="000B72BC">
        <w:rPr>
          <w:spacing w:val="-3"/>
          <w:sz w:val="24"/>
          <w:szCs w:val="24"/>
        </w:rPr>
        <w:t xml:space="preserve"> 623 A.2d 6 (1993), 2 Pa.</w:t>
      </w:r>
      <w:r w:rsidR="003E594B">
        <w:rPr>
          <w:spacing w:val="-3"/>
          <w:sz w:val="24"/>
          <w:szCs w:val="24"/>
        </w:rPr>
        <w:t xml:space="preserve"> </w:t>
      </w:r>
      <w:r w:rsidR="00B0541E" w:rsidRPr="000B72BC">
        <w:rPr>
          <w:spacing w:val="-3"/>
          <w:sz w:val="24"/>
          <w:szCs w:val="24"/>
        </w:rPr>
        <w:t>C.S. §</w:t>
      </w:r>
      <w:r w:rsidR="003E594B">
        <w:rPr>
          <w:spacing w:val="-3"/>
          <w:sz w:val="24"/>
          <w:szCs w:val="24"/>
        </w:rPr>
        <w:t xml:space="preserve"> </w:t>
      </w:r>
      <w:r w:rsidR="00B0541E" w:rsidRPr="000B72BC">
        <w:rPr>
          <w:spacing w:val="-3"/>
          <w:sz w:val="24"/>
          <w:szCs w:val="24"/>
        </w:rPr>
        <w:t>704.</w:t>
      </w:r>
      <w:proofErr w:type="gramEnd"/>
      <w:r w:rsidR="00B0541E" w:rsidRPr="000B72BC">
        <w:rPr>
          <w:spacing w:val="-3"/>
          <w:sz w:val="24"/>
          <w:szCs w:val="24"/>
        </w:rPr>
        <w:t xml:space="preserve">  More is required than a mere trace of evidence or a suspicion of the existence of a fact sought to be established.  </w:t>
      </w:r>
      <w:proofErr w:type="gramStart"/>
      <w:r w:rsidR="00B0541E" w:rsidRPr="000B72BC">
        <w:rPr>
          <w:i/>
          <w:spacing w:val="-3"/>
          <w:sz w:val="24"/>
          <w:szCs w:val="24"/>
        </w:rPr>
        <w:t>Norfolk</w:t>
      </w:r>
      <w:r w:rsidR="003E594B">
        <w:rPr>
          <w:i/>
          <w:spacing w:val="-3"/>
          <w:sz w:val="24"/>
          <w:szCs w:val="24"/>
        </w:rPr>
        <w:t xml:space="preserve"> and Western Ry. v. Pa.</w:t>
      </w:r>
      <w:r w:rsidR="00B0541E" w:rsidRPr="000B72BC">
        <w:rPr>
          <w:i/>
          <w:spacing w:val="-3"/>
          <w:sz w:val="24"/>
          <w:szCs w:val="24"/>
        </w:rPr>
        <w:t xml:space="preserve"> Pub</w:t>
      </w:r>
      <w:r w:rsidR="003E594B">
        <w:rPr>
          <w:i/>
          <w:spacing w:val="-3"/>
          <w:sz w:val="24"/>
          <w:szCs w:val="24"/>
        </w:rPr>
        <w:t>.</w:t>
      </w:r>
      <w:proofErr w:type="gramEnd"/>
      <w:r w:rsidR="00B0541E" w:rsidRPr="000B72BC">
        <w:rPr>
          <w:i/>
          <w:spacing w:val="-3"/>
          <w:sz w:val="24"/>
          <w:szCs w:val="24"/>
        </w:rPr>
        <w:t xml:space="preserve"> </w:t>
      </w:r>
      <w:proofErr w:type="gramStart"/>
      <w:r w:rsidR="00B0541E" w:rsidRPr="000B72BC">
        <w:rPr>
          <w:i/>
          <w:spacing w:val="-3"/>
          <w:sz w:val="24"/>
          <w:szCs w:val="24"/>
        </w:rPr>
        <w:t>Util</w:t>
      </w:r>
      <w:r w:rsidR="003E594B">
        <w:rPr>
          <w:i/>
          <w:spacing w:val="-3"/>
          <w:sz w:val="24"/>
          <w:szCs w:val="24"/>
        </w:rPr>
        <w:t>.</w:t>
      </w:r>
      <w:r w:rsidR="00B0541E" w:rsidRPr="000B72BC">
        <w:rPr>
          <w:i/>
          <w:spacing w:val="-3"/>
          <w:sz w:val="24"/>
          <w:szCs w:val="24"/>
        </w:rPr>
        <w:t xml:space="preserve"> Comm’n</w:t>
      </w:r>
      <w:r w:rsidR="00B0541E" w:rsidRPr="000B72BC">
        <w:rPr>
          <w:spacing w:val="-3"/>
          <w:sz w:val="24"/>
          <w:szCs w:val="24"/>
        </w:rPr>
        <w:t xml:space="preserve">, 413 A.2d 1037 (1980); </w:t>
      </w:r>
      <w:r w:rsidR="00B0541E" w:rsidRPr="000B72BC">
        <w:rPr>
          <w:i/>
          <w:spacing w:val="-3"/>
          <w:sz w:val="24"/>
          <w:szCs w:val="24"/>
        </w:rPr>
        <w:t>Erie Resistor Corp. v. Unemployment Compensation Bd. of Review</w:t>
      </w:r>
      <w:r w:rsidR="00B0541E" w:rsidRPr="000B72BC">
        <w:rPr>
          <w:spacing w:val="-3"/>
          <w:sz w:val="24"/>
          <w:szCs w:val="24"/>
        </w:rPr>
        <w:t xml:space="preserve">, 166 A.2d 96 (1960); </w:t>
      </w:r>
      <w:r w:rsidR="00B0541E" w:rsidRPr="000B72BC">
        <w:rPr>
          <w:i/>
          <w:spacing w:val="-3"/>
          <w:sz w:val="24"/>
          <w:szCs w:val="24"/>
        </w:rPr>
        <w:t>Murphy v. Commonwealth, Dep’t.</w:t>
      </w:r>
      <w:proofErr w:type="gramEnd"/>
      <w:r w:rsidR="00B0541E" w:rsidRPr="000B72BC">
        <w:rPr>
          <w:i/>
          <w:spacing w:val="-3"/>
          <w:sz w:val="24"/>
          <w:szCs w:val="24"/>
        </w:rPr>
        <w:t xml:space="preserve"> </w:t>
      </w:r>
      <w:proofErr w:type="gramStart"/>
      <w:r w:rsidR="00B0541E" w:rsidRPr="000B72BC">
        <w:rPr>
          <w:i/>
          <w:spacing w:val="-3"/>
          <w:sz w:val="24"/>
          <w:szCs w:val="24"/>
        </w:rPr>
        <w:t>of</w:t>
      </w:r>
      <w:proofErr w:type="gramEnd"/>
      <w:r w:rsidR="00B0541E" w:rsidRPr="000B72BC">
        <w:rPr>
          <w:i/>
          <w:spacing w:val="-3"/>
          <w:sz w:val="24"/>
          <w:szCs w:val="24"/>
        </w:rPr>
        <w:t xml:space="preserve"> Public Welfare, </w:t>
      </w:r>
      <w:smartTag w:uri="urn:schemas-microsoft-com:office:smarttags" w:element="place">
        <w:smartTag w:uri="urn:schemas-microsoft-com:office:smarttags" w:element="PlaceName">
          <w:r w:rsidR="00B0541E" w:rsidRPr="000B72BC">
            <w:rPr>
              <w:i/>
              <w:spacing w:val="-3"/>
              <w:sz w:val="24"/>
              <w:szCs w:val="24"/>
            </w:rPr>
            <w:t>White</w:t>
          </w:r>
        </w:smartTag>
        <w:r w:rsidR="00B0541E" w:rsidRPr="000B72BC">
          <w:rPr>
            <w:i/>
            <w:spacing w:val="-3"/>
            <w:sz w:val="24"/>
            <w:szCs w:val="24"/>
          </w:rPr>
          <w:t xml:space="preserve"> </w:t>
        </w:r>
        <w:smartTag w:uri="urn:schemas-microsoft-com:office:smarttags" w:element="PlaceName">
          <w:r w:rsidR="00B0541E" w:rsidRPr="000B72BC">
            <w:rPr>
              <w:i/>
              <w:spacing w:val="-3"/>
              <w:sz w:val="24"/>
              <w:szCs w:val="24"/>
            </w:rPr>
            <w:t>Haven</w:t>
          </w:r>
        </w:smartTag>
        <w:r w:rsidR="00B0541E" w:rsidRPr="000B72BC">
          <w:rPr>
            <w:i/>
            <w:spacing w:val="-3"/>
            <w:sz w:val="24"/>
            <w:szCs w:val="24"/>
          </w:rPr>
          <w:t xml:space="preserve"> </w:t>
        </w:r>
        <w:smartTag w:uri="urn:schemas-microsoft-com:office:smarttags" w:element="PlaceType">
          <w:r w:rsidR="00B0541E" w:rsidRPr="000B72BC">
            <w:rPr>
              <w:i/>
              <w:spacing w:val="-3"/>
              <w:sz w:val="24"/>
              <w:szCs w:val="24"/>
            </w:rPr>
            <w:t>Center</w:t>
          </w:r>
        </w:smartTag>
      </w:smartTag>
      <w:r w:rsidR="00B0541E" w:rsidRPr="000B72BC">
        <w:rPr>
          <w:spacing w:val="-3"/>
          <w:sz w:val="24"/>
          <w:szCs w:val="24"/>
        </w:rPr>
        <w:t>, 480 A.2d 382 (1984).</w:t>
      </w:r>
    </w:p>
    <w:p w:rsidR="00B0541E" w:rsidRPr="000B72BC" w:rsidRDefault="00B0541E" w:rsidP="00DC3D81">
      <w:pPr>
        <w:spacing w:line="360" w:lineRule="auto"/>
        <w:ind w:firstLine="1440"/>
        <w:rPr>
          <w:spacing w:val="-3"/>
          <w:sz w:val="24"/>
          <w:szCs w:val="24"/>
        </w:rPr>
      </w:pPr>
    </w:p>
    <w:p w:rsidR="00B0541E" w:rsidRDefault="00B0541E" w:rsidP="00DC3D81">
      <w:pPr>
        <w:spacing w:line="360" w:lineRule="auto"/>
        <w:rPr>
          <w:sz w:val="24"/>
          <w:szCs w:val="24"/>
        </w:rPr>
      </w:pPr>
      <w:r w:rsidRPr="000B72BC">
        <w:rPr>
          <w:sz w:val="24"/>
          <w:szCs w:val="24"/>
        </w:rPr>
        <w:tab/>
      </w:r>
      <w:r w:rsidRPr="000B72BC">
        <w:rPr>
          <w:sz w:val="24"/>
          <w:szCs w:val="24"/>
        </w:rPr>
        <w:tab/>
        <w:t>The offense</w:t>
      </w:r>
      <w:r w:rsidR="00E201B9">
        <w:rPr>
          <w:sz w:val="24"/>
          <w:szCs w:val="24"/>
        </w:rPr>
        <w:t xml:space="preserve">, if proven, </w:t>
      </w:r>
      <w:r w:rsidRPr="000B72BC">
        <w:rPr>
          <w:sz w:val="24"/>
          <w:szCs w:val="24"/>
        </w:rPr>
        <w:t xml:space="preserve">must be a violation of the Public Utility Code, the Commission’s regulations, or an outstanding order of the Commission.  </w:t>
      </w:r>
      <w:proofErr w:type="gramStart"/>
      <w:r w:rsidRPr="000B72BC">
        <w:rPr>
          <w:sz w:val="24"/>
          <w:szCs w:val="24"/>
        </w:rPr>
        <w:t>66 Pa. C.S. §</w:t>
      </w:r>
      <w:r>
        <w:rPr>
          <w:sz w:val="24"/>
          <w:szCs w:val="24"/>
        </w:rPr>
        <w:t xml:space="preserve"> </w:t>
      </w:r>
      <w:r w:rsidRPr="000B72BC">
        <w:rPr>
          <w:sz w:val="24"/>
          <w:szCs w:val="24"/>
        </w:rPr>
        <w:t>701.</w:t>
      </w:r>
      <w:proofErr w:type="gramEnd"/>
    </w:p>
    <w:p w:rsidR="00E201B9" w:rsidRDefault="00E201B9" w:rsidP="00DC3D81">
      <w:pPr>
        <w:spacing w:line="360" w:lineRule="auto"/>
        <w:rPr>
          <w:sz w:val="24"/>
          <w:szCs w:val="24"/>
        </w:rPr>
      </w:pPr>
    </w:p>
    <w:p w:rsidR="00E201B9" w:rsidRDefault="00E201B9" w:rsidP="00DC3D81">
      <w:pPr>
        <w:spacing w:line="360" w:lineRule="auto"/>
        <w:rPr>
          <w:sz w:val="24"/>
          <w:szCs w:val="24"/>
        </w:rPr>
      </w:pPr>
      <w:r w:rsidRPr="00E201B9">
        <w:rPr>
          <w:sz w:val="24"/>
          <w:szCs w:val="24"/>
          <w:u w:val="single"/>
        </w:rPr>
        <w:t>High Bill Complaint</w:t>
      </w:r>
      <w:r>
        <w:rPr>
          <w:sz w:val="24"/>
          <w:szCs w:val="24"/>
        </w:rPr>
        <w:t>:</w:t>
      </w:r>
    </w:p>
    <w:p w:rsidR="00E201B9" w:rsidRDefault="00E201B9" w:rsidP="00DC3D81">
      <w:pPr>
        <w:spacing w:line="360" w:lineRule="auto"/>
        <w:rPr>
          <w:sz w:val="24"/>
          <w:szCs w:val="24"/>
        </w:rPr>
      </w:pPr>
    </w:p>
    <w:p w:rsidR="00E201B9" w:rsidRDefault="00E201B9" w:rsidP="00DC3D81">
      <w:pPr>
        <w:spacing w:line="360" w:lineRule="auto"/>
        <w:ind w:firstLine="1440"/>
        <w:rPr>
          <w:sz w:val="24"/>
          <w:szCs w:val="24"/>
        </w:rPr>
      </w:pPr>
      <w:r>
        <w:rPr>
          <w:sz w:val="24"/>
          <w:szCs w:val="24"/>
        </w:rPr>
        <w:t xml:space="preserve">The Complainant contends here that (1) the Respondent failed to tell her that she had other companies from which to buy her electric service when she requested service in March 2006; (2) </w:t>
      </w:r>
      <w:r w:rsidR="00F424E7">
        <w:rPr>
          <w:sz w:val="24"/>
          <w:szCs w:val="24"/>
        </w:rPr>
        <w:t xml:space="preserve">her electric bills </w:t>
      </w:r>
      <w:r w:rsidR="008C693F">
        <w:rPr>
          <w:sz w:val="24"/>
          <w:szCs w:val="24"/>
        </w:rPr>
        <w:t>should not be as high as they are because she uses a pellet stove for heat; (3) the Respondent treated her poorly.  The Complainant wants her bill recalculated and the overages reimbursed.</w:t>
      </w:r>
    </w:p>
    <w:p w:rsidR="008C693F" w:rsidRDefault="008C693F" w:rsidP="00DC3D81">
      <w:pPr>
        <w:spacing w:line="360" w:lineRule="auto"/>
        <w:ind w:firstLine="1440"/>
        <w:rPr>
          <w:sz w:val="24"/>
          <w:szCs w:val="24"/>
        </w:rPr>
      </w:pPr>
    </w:p>
    <w:p w:rsidR="008C693F" w:rsidRDefault="008C693F" w:rsidP="00DC3D81">
      <w:pPr>
        <w:spacing w:line="360" w:lineRule="auto"/>
        <w:ind w:firstLine="1440"/>
        <w:rPr>
          <w:sz w:val="24"/>
          <w:szCs w:val="24"/>
        </w:rPr>
      </w:pPr>
      <w:r>
        <w:rPr>
          <w:sz w:val="24"/>
          <w:szCs w:val="24"/>
        </w:rPr>
        <w:t>The Complainant presented her own testimony and opinion, but did not provide any written record of her bills, pellet stove costs, or dates, times and content of calls to the Respondent.  As explained in the section above, “substantial evidence” is required to meet a burden</w:t>
      </w:r>
      <w:r w:rsidR="00F424E7">
        <w:rPr>
          <w:sz w:val="24"/>
          <w:szCs w:val="24"/>
        </w:rPr>
        <w:t xml:space="preserve"> of proof</w:t>
      </w:r>
      <w:r w:rsidR="001A2F10">
        <w:rPr>
          <w:sz w:val="24"/>
          <w:szCs w:val="24"/>
        </w:rPr>
        <w:t>.  O</w:t>
      </w:r>
      <w:r>
        <w:rPr>
          <w:sz w:val="24"/>
          <w:szCs w:val="24"/>
        </w:rPr>
        <w:t>pinion testimony</w:t>
      </w:r>
      <w:r w:rsidR="001A2F10">
        <w:rPr>
          <w:sz w:val="24"/>
          <w:szCs w:val="24"/>
        </w:rPr>
        <w:t xml:space="preserve"> seldom meets</w:t>
      </w:r>
      <w:r w:rsidR="00F424E7">
        <w:rPr>
          <w:sz w:val="24"/>
          <w:szCs w:val="24"/>
        </w:rPr>
        <w:t xml:space="preserve"> the term “substantial evidence;</w:t>
      </w:r>
      <w:r w:rsidR="001A2F10">
        <w:rPr>
          <w:sz w:val="24"/>
          <w:szCs w:val="24"/>
        </w:rPr>
        <w:t>” something more is usually required to substantiate the testimony.</w:t>
      </w:r>
    </w:p>
    <w:p w:rsidR="001A2F10" w:rsidRDefault="001A2F10" w:rsidP="00DC3D81">
      <w:pPr>
        <w:spacing w:line="360" w:lineRule="auto"/>
        <w:ind w:firstLine="1440"/>
        <w:rPr>
          <w:sz w:val="24"/>
          <w:szCs w:val="24"/>
        </w:rPr>
      </w:pPr>
    </w:p>
    <w:p w:rsidR="005E0E75" w:rsidRDefault="001A2F10" w:rsidP="00DC3D81">
      <w:pPr>
        <w:spacing w:line="360" w:lineRule="auto"/>
        <w:ind w:firstLine="1440"/>
        <w:rPr>
          <w:sz w:val="24"/>
          <w:szCs w:val="24"/>
        </w:rPr>
      </w:pPr>
      <w:r>
        <w:rPr>
          <w:sz w:val="24"/>
          <w:szCs w:val="24"/>
        </w:rPr>
        <w:t xml:space="preserve">The Respondent rebutted the Complainant’s </w:t>
      </w:r>
      <w:r w:rsidR="004410AF">
        <w:rPr>
          <w:sz w:val="24"/>
          <w:szCs w:val="24"/>
        </w:rPr>
        <w:t>allegations</w:t>
      </w:r>
      <w:r>
        <w:rPr>
          <w:sz w:val="24"/>
          <w:szCs w:val="24"/>
        </w:rPr>
        <w:t xml:space="preserve"> with testimony and </w:t>
      </w:r>
      <w:r w:rsidR="004410AF">
        <w:rPr>
          <w:sz w:val="24"/>
          <w:szCs w:val="24"/>
        </w:rPr>
        <w:t xml:space="preserve">documentation.  The Respondent provided </w:t>
      </w:r>
      <w:r>
        <w:rPr>
          <w:sz w:val="24"/>
          <w:szCs w:val="24"/>
        </w:rPr>
        <w:t xml:space="preserve">copies of meter tests </w:t>
      </w:r>
      <w:r w:rsidR="00A67CA9">
        <w:rPr>
          <w:sz w:val="24"/>
          <w:szCs w:val="24"/>
        </w:rPr>
        <w:t>that</w:t>
      </w:r>
      <w:r>
        <w:rPr>
          <w:sz w:val="24"/>
          <w:szCs w:val="24"/>
        </w:rPr>
        <w:t xml:space="preserve"> show</w:t>
      </w:r>
      <w:r w:rsidR="00A67CA9">
        <w:rPr>
          <w:sz w:val="24"/>
          <w:szCs w:val="24"/>
        </w:rPr>
        <w:t>ed</w:t>
      </w:r>
      <w:r>
        <w:rPr>
          <w:sz w:val="24"/>
          <w:szCs w:val="24"/>
        </w:rPr>
        <w:t xml:space="preserve"> that the original </w:t>
      </w:r>
      <w:r>
        <w:rPr>
          <w:sz w:val="24"/>
          <w:szCs w:val="24"/>
        </w:rPr>
        <w:lastRenderedPageBreak/>
        <w:t xml:space="preserve">meter at the Complainant’s home </w:t>
      </w:r>
      <w:r w:rsidR="00A67CA9">
        <w:rPr>
          <w:sz w:val="24"/>
          <w:szCs w:val="24"/>
        </w:rPr>
        <w:t>(</w:t>
      </w:r>
      <w:r>
        <w:rPr>
          <w:sz w:val="24"/>
          <w:szCs w:val="24"/>
        </w:rPr>
        <w:t>when she moved in</w:t>
      </w:r>
      <w:r w:rsidR="00A67CA9">
        <w:rPr>
          <w:sz w:val="24"/>
          <w:szCs w:val="24"/>
        </w:rPr>
        <w:t>)</w:t>
      </w:r>
      <w:r>
        <w:rPr>
          <w:sz w:val="24"/>
          <w:szCs w:val="24"/>
        </w:rPr>
        <w:t xml:space="preserve"> tested accurately.  Th</w:t>
      </w:r>
      <w:r w:rsidR="004410AF">
        <w:rPr>
          <w:sz w:val="24"/>
          <w:szCs w:val="24"/>
        </w:rPr>
        <w:t xml:space="preserve">e original </w:t>
      </w:r>
      <w:r>
        <w:rPr>
          <w:sz w:val="24"/>
          <w:szCs w:val="24"/>
        </w:rPr>
        <w:t xml:space="preserve">meter was removed and a new meter installed.  The new meter also tested accurately.  </w:t>
      </w:r>
    </w:p>
    <w:p w:rsidR="00B5293A" w:rsidRDefault="00B5293A" w:rsidP="00DC3D81">
      <w:pPr>
        <w:spacing w:line="360" w:lineRule="auto"/>
        <w:rPr>
          <w:sz w:val="24"/>
          <w:szCs w:val="24"/>
        </w:rPr>
      </w:pPr>
    </w:p>
    <w:p w:rsidR="00B5293A" w:rsidRDefault="00B5293A" w:rsidP="00DC3D81">
      <w:pPr>
        <w:spacing w:line="360" w:lineRule="auto"/>
        <w:rPr>
          <w:sz w:val="24"/>
          <w:szCs w:val="24"/>
        </w:rPr>
      </w:pPr>
      <w:r>
        <w:rPr>
          <w:sz w:val="24"/>
          <w:szCs w:val="24"/>
        </w:rPr>
        <w:tab/>
      </w:r>
      <w:r>
        <w:rPr>
          <w:sz w:val="24"/>
          <w:szCs w:val="24"/>
        </w:rPr>
        <w:tab/>
      </w:r>
      <w:r w:rsidRPr="00555F84">
        <w:rPr>
          <w:sz w:val="24"/>
          <w:szCs w:val="24"/>
        </w:rPr>
        <w:t xml:space="preserve">In order to determine whether a complainant has established a </w:t>
      </w:r>
      <w:r w:rsidRPr="00555F84">
        <w:rPr>
          <w:i/>
          <w:sz w:val="24"/>
          <w:szCs w:val="24"/>
        </w:rPr>
        <w:t>prima facie</w:t>
      </w:r>
      <w:r w:rsidRPr="00555F84">
        <w:rPr>
          <w:sz w:val="24"/>
          <w:szCs w:val="24"/>
        </w:rPr>
        <w:t xml:space="preserve"> claim of </w:t>
      </w:r>
      <w:r>
        <w:rPr>
          <w:sz w:val="24"/>
          <w:szCs w:val="24"/>
        </w:rPr>
        <w:t>a</w:t>
      </w:r>
      <w:r w:rsidRPr="00555F84">
        <w:rPr>
          <w:sz w:val="24"/>
          <w:szCs w:val="24"/>
        </w:rPr>
        <w:t xml:space="preserve"> high bill, this Commission has </w:t>
      </w:r>
      <w:r>
        <w:rPr>
          <w:sz w:val="24"/>
          <w:szCs w:val="24"/>
        </w:rPr>
        <w:t xml:space="preserve">considered </w:t>
      </w:r>
      <w:r w:rsidRPr="00555F84">
        <w:rPr>
          <w:sz w:val="24"/>
          <w:szCs w:val="24"/>
        </w:rPr>
        <w:t>certain factors.</w:t>
      </w:r>
      <w:r>
        <w:rPr>
          <w:sz w:val="24"/>
          <w:szCs w:val="24"/>
        </w:rPr>
        <w:t xml:space="preserve">  </w:t>
      </w:r>
      <w:r w:rsidRPr="0053033C">
        <w:rPr>
          <w:i/>
          <w:sz w:val="24"/>
          <w:szCs w:val="24"/>
        </w:rPr>
        <w:t>Waldron v. Philadelphia Electric Company</w:t>
      </w:r>
      <w:r w:rsidRPr="00555F84">
        <w:rPr>
          <w:sz w:val="24"/>
          <w:szCs w:val="24"/>
        </w:rPr>
        <w:t xml:space="preserve">, 54 </w:t>
      </w:r>
      <w:smartTag w:uri="urn:schemas-microsoft-com:office:smarttags" w:element="place">
        <w:smartTag w:uri="urn:schemas-microsoft-com:office:smarttags" w:element="State">
          <w:r w:rsidRPr="00555F84">
            <w:rPr>
              <w:sz w:val="24"/>
              <w:szCs w:val="24"/>
            </w:rPr>
            <w:t>Pa.</w:t>
          </w:r>
        </w:smartTag>
      </w:smartTag>
      <w:r w:rsidRPr="00555F84">
        <w:rPr>
          <w:sz w:val="24"/>
          <w:szCs w:val="24"/>
        </w:rPr>
        <w:t xml:space="preserve"> P</w:t>
      </w:r>
      <w:r>
        <w:rPr>
          <w:sz w:val="24"/>
          <w:szCs w:val="24"/>
        </w:rPr>
        <w:t>UC</w:t>
      </w:r>
      <w:r w:rsidRPr="00555F84">
        <w:rPr>
          <w:sz w:val="24"/>
          <w:szCs w:val="24"/>
        </w:rPr>
        <w:t xml:space="preserve"> 98 (1980).  While the accuracy of the meter is an important factor in resolving a billing dispute, it is not the sole criterion.  </w:t>
      </w:r>
      <w:proofErr w:type="gramStart"/>
      <w:smartTag w:uri="urn:schemas-microsoft-com:office:smarttags" w:element="place">
        <w:smartTag w:uri="urn:schemas-microsoft-com:office:smarttags" w:element="State">
          <w:r w:rsidRPr="00555F84">
            <w:rPr>
              <w:i/>
              <w:sz w:val="24"/>
              <w:szCs w:val="24"/>
            </w:rPr>
            <w:t>Id</w:t>
          </w:r>
          <w:r w:rsidRPr="00555F84">
            <w:rPr>
              <w:sz w:val="24"/>
              <w:szCs w:val="24"/>
            </w:rPr>
            <w:t>.</w:t>
          </w:r>
        </w:smartTag>
      </w:smartTag>
      <w:r w:rsidRPr="00555F84">
        <w:rPr>
          <w:sz w:val="24"/>
          <w:szCs w:val="24"/>
        </w:rPr>
        <w:t xml:space="preserve"> at 100.</w:t>
      </w:r>
      <w:proofErr w:type="gramEnd"/>
      <w:r>
        <w:rPr>
          <w:sz w:val="24"/>
          <w:szCs w:val="24"/>
        </w:rPr>
        <w:t xml:space="preserve">  </w:t>
      </w:r>
      <w:r w:rsidRPr="00555F84">
        <w:rPr>
          <w:sz w:val="24"/>
          <w:szCs w:val="24"/>
        </w:rPr>
        <w:t xml:space="preserve">A complainant may establish a </w:t>
      </w:r>
      <w:r w:rsidRPr="00BA0FC9">
        <w:rPr>
          <w:i/>
          <w:sz w:val="24"/>
          <w:szCs w:val="24"/>
        </w:rPr>
        <w:t>prima facie</w:t>
      </w:r>
      <w:r w:rsidRPr="00555F84">
        <w:rPr>
          <w:sz w:val="24"/>
          <w:szCs w:val="24"/>
        </w:rPr>
        <w:t xml:space="preserve"> case by: (1) showing that the disputed bill was abnormally high when c</w:t>
      </w:r>
      <w:r>
        <w:rPr>
          <w:sz w:val="24"/>
          <w:szCs w:val="24"/>
        </w:rPr>
        <w:t>ompared to prior usage patterns,</w:t>
      </w:r>
      <w:r w:rsidRPr="00555F84">
        <w:rPr>
          <w:sz w:val="24"/>
          <w:szCs w:val="24"/>
        </w:rPr>
        <w:t xml:space="preserve"> and (2) showing that his/her patt</w:t>
      </w:r>
      <w:r>
        <w:rPr>
          <w:sz w:val="24"/>
          <w:szCs w:val="24"/>
        </w:rPr>
        <w:t xml:space="preserve">ern of usage had not changed.  </w:t>
      </w:r>
      <w:smartTag w:uri="urn:schemas-microsoft-com:office:smarttags" w:element="place">
        <w:smartTag w:uri="urn:schemas-microsoft-com:office:smarttags" w:element="State">
          <w:r>
            <w:rPr>
              <w:i/>
              <w:sz w:val="24"/>
              <w:szCs w:val="24"/>
            </w:rPr>
            <w:t>Id</w:t>
          </w:r>
          <w:r>
            <w:rPr>
              <w:sz w:val="24"/>
              <w:szCs w:val="24"/>
            </w:rPr>
            <w:t>.</w:t>
          </w:r>
        </w:smartTag>
      </w:smartTag>
      <w:r>
        <w:rPr>
          <w:sz w:val="24"/>
          <w:szCs w:val="24"/>
        </w:rPr>
        <w:t xml:space="preserve">  </w:t>
      </w:r>
      <w:r w:rsidRPr="00555F84">
        <w:rPr>
          <w:sz w:val="24"/>
          <w:szCs w:val="24"/>
        </w:rPr>
        <w:t xml:space="preserve">In reviewing these criteria, one may consider the billing history of the account, any change in the number of occupants residing in </w:t>
      </w:r>
      <w:r>
        <w:rPr>
          <w:sz w:val="24"/>
          <w:szCs w:val="24"/>
        </w:rPr>
        <w:t xml:space="preserve">a </w:t>
      </w:r>
      <w:r w:rsidRPr="00555F84">
        <w:rPr>
          <w:sz w:val="24"/>
          <w:szCs w:val="24"/>
        </w:rPr>
        <w:t>household, the potential for energy utilization, and any other relevant facts or circumstances.</w:t>
      </w:r>
      <w:r>
        <w:rPr>
          <w:sz w:val="24"/>
          <w:szCs w:val="24"/>
        </w:rPr>
        <w:t xml:space="preserve">  </w:t>
      </w:r>
      <w:proofErr w:type="gramStart"/>
      <w:r w:rsidRPr="0053033C">
        <w:rPr>
          <w:i/>
          <w:sz w:val="24"/>
          <w:szCs w:val="24"/>
        </w:rPr>
        <w:t>Replogle v. Pennsylvania Electric Company</w:t>
      </w:r>
      <w:r w:rsidRPr="00555F84">
        <w:rPr>
          <w:sz w:val="24"/>
          <w:szCs w:val="24"/>
        </w:rPr>
        <w:t xml:space="preserve">, 54 </w:t>
      </w:r>
      <w:smartTag w:uri="urn:schemas-microsoft-com:office:smarttags" w:element="place">
        <w:smartTag w:uri="urn:schemas-microsoft-com:office:smarttags" w:element="State">
          <w:r w:rsidRPr="00555F84">
            <w:rPr>
              <w:sz w:val="24"/>
              <w:szCs w:val="24"/>
            </w:rPr>
            <w:t>Pa.</w:t>
          </w:r>
        </w:smartTag>
      </w:smartTag>
      <w:r>
        <w:rPr>
          <w:sz w:val="24"/>
          <w:szCs w:val="24"/>
        </w:rPr>
        <w:t xml:space="preserve"> PUC</w:t>
      </w:r>
      <w:r w:rsidRPr="00555F84">
        <w:rPr>
          <w:sz w:val="24"/>
          <w:szCs w:val="24"/>
        </w:rPr>
        <w:t xml:space="preserve"> 528 (1980)</w:t>
      </w:r>
      <w:r>
        <w:rPr>
          <w:sz w:val="24"/>
          <w:szCs w:val="24"/>
        </w:rPr>
        <w:t>.</w:t>
      </w:r>
      <w:proofErr w:type="gramEnd"/>
      <w:r>
        <w:rPr>
          <w:sz w:val="24"/>
          <w:szCs w:val="24"/>
        </w:rPr>
        <w:t xml:space="preserve">  In this way, a complainant may prove entitlement to relief by wholly circumstantial evidence, rather than direct evidence of some utility misfeasance.  </w:t>
      </w:r>
      <w:proofErr w:type="gramStart"/>
      <w:r w:rsidRPr="0053033C">
        <w:rPr>
          <w:i/>
          <w:sz w:val="24"/>
          <w:szCs w:val="24"/>
        </w:rPr>
        <w:t xml:space="preserve">Milkie v. </w:t>
      </w:r>
      <w:smartTag w:uri="urn:schemas-microsoft-com:office:smarttags" w:element="place">
        <w:smartTag w:uri="urn:schemas-microsoft-com:office:smarttags" w:element="State">
          <w:r w:rsidRPr="0053033C">
            <w:rPr>
              <w:i/>
              <w:sz w:val="24"/>
              <w:szCs w:val="24"/>
            </w:rPr>
            <w:t>Pa.</w:t>
          </w:r>
        </w:smartTag>
      </w:smartTag>
      <w:r>
        <w:rPr>
          <w:i/>
          <w:sz w:val="24"/>
          <w:szCs w:val="24"/>
        </w:rPr>
        <w:t xml:space="preserve"> Pub.</w:t>
      </w:r>
      <w:proofErr w:type="gramEnd"/>
      <w:r>
        <w:rPr>
          <w:i/>
          <w:sz w:val="24"/>
          <w:szCs w:val="24"/>
        </w:rPr>
        <w:t xml:space="preserve"> </w:t>
      </w:r>
      <w:proofErr w:type="gramStart"/>
      <w:r>
        <w:rPr>
          <w:i/>
          <w:sz w:val="24"/>
          <w:szCs w:val="24"/>
        </w:rPr>
        <w:t>Util. Comm’n</w:t>
      </w:r>
      <w:r w:rsidRPr="0053033C">
        <w:rPr>
          <w:sz w:val="24"/>
          <w:szCs w:val="24"/>
        </w:rPr>
        <w:t>,</w:t>
      </w:r>
      <w:r>
        <w:rPr>
          <w:sz w:val="24"/>
          <w:szCs w:val="24"/>
        </w:rPr>
        <w:t xml:space="preserve"> 768 A.2d 1217 (</w:t>
      </w:r>
      <w:smartTag w:uri="urn:schemas-microsoft-com:office:smarttags" w:element="State">
        <w:smartTag w:uri="urn:schemas-microsoft-com:office:smarttags" w:element="place">
          <w:r>
            <w:rPr>
              <w:sz w:val="24"/>
              <w:szCs w:val="24"/>
            </w:rPr>
            <w:t>Pa.</w:t>
          </w:r>
        </w:smartTag>
      </w:smartTag>
      <w:r>
        <w:rPr>
          <w:sz w:val="24"/>
          <w:szCs w:val="24"/>
        </w:rPr>
        <w:t xml:space="preserve"> Cmwlth. 2001).</w:t>
      </w:r>
      <w:proofErr w:type="gramEnd"/>
    </w:p>
    <w:p w:rsidR="00C76CEA" w:rsidRDefault="00C76CEA" w:rsidP="00DC3D81">
      <w:pPr>
        <w:spacing w:line="360" w:lineRule="auto"/>
        <w:rPr>
          <w:sz w:val="24"/>
          <w:szCs w:val="24"/>
        </w:rPr>
      </w:pPr>
    </w:p>
    <w:p w:rsidR="00096609" w:rsidRDefault="00096609" w:rsidP="00DC3D81">
      <w:pPr>
        <w:spacing w:line="360" w:lineRule="auto"/>
        <w:ind w:firstLine="1440"/>
        <w:rPr>
          <w:sz w:val="24"/>
          <w:szCs w:val="24"/>
        </w:rPr>
      </w:pPr>
      <w:r>
        <w:rPr>
          <w:sz w:val="24"/>
          <w:szCs w:val="24"/>
        </w:rPr>
        <w:t>In response to the Complainant’s telephone calls about her high bill, the Respondent conducted an over the telephone high bill investigation to determine if the Complainant’s home and appliances had the capacity to use the amount of service that was being billed.  The investigation showed that the home had the capacity to use 3,9</w:t>
      </w:r>
      <w:r w:rsidR="005C3811">
        <w:rPr>
          <w:sz w:val="24"/>
          <w:szCs w:val="24"/>
        </w:rPr>
        <w:t>88</w:t>
      </w:r>
      <w:r>
        <w:rPr>
          <w:sz w:val="24"/>
          <w:szCs w:val="24"/>
        </w:rPr>
        <w:t xml:space="preserve"> kilowatt hours monthly.  </w:t>
      </w:r>
      <w:r w:rsidR="005E0E75">
        <w:rPr>
          <w:sz w:val="24"/>
          <w:szCs w:val="24"/>
        </w:rPr>
        <w:t xml:space="preserve">That number included appliances, baseboard heat and televisions.  </w:t>
      </w:r>
      <w:r>
        <w:rPr>
          <w:sz w:val="24"/>
          <w:szCs w:val="24"/>
        </w:rPr>
        <w:t xml:space="preserve">The investigation did not show an entry for the pellet stove that also uses electricity to maintain </w:t>
      </w:r>
      <w:r w:rsidR="005E0E75">
        <w:rPr>
          <w:sz w:val="24"/>
          <w:szCs w:val="24"/>
        </w:rPr>
        <w:t xml:space="preserve">its </w:t>
      </w:r>
      <w:r>
        <w:rPr>
          <w:sz w:val="24"/>
          <w:szCs w:val="24"/>
        </w:rPr>
        <w:t xml:space="preserve">operation.  </w:t>
      </w:r>
      <w:r w:rsidR="008946FA">
        <w:rPr>
          <w:sz w:val="24"/>
          <w:szCs w:val="24"/>
        </w:rPr>
        <w:t xml:space="preserve">The Complainant testified that she keeps all of her thermostats on 55 degrees.  A pellet stove can only be in one room, it cannot heat Complainant’s 1600 square foot home plus basement.  Therefore, at 55 degrees, </w:t>
      </w:r>
      <w:r w:rsidR="005E0E75">
        <w:rPr>
          <w:sz w:val="24"/>
          <w:szCs w:val="24"/>
        </w:rPr>
        <w:t>on a</w:t>
      </w:r>
      <w:r w:rsidR="008946FA">
        <w:rPr>
          <w:sz w:val="24"/>
          <w:szCs w:val="24"/>
        </w:rPr>
        <w:t xml:space="preserve"> typical Pennsylvania </w:t>
      </w:r>
      <w:r w:rsidR="005E0E75">
        <w:rPr>
          <w:sz w:val="24"/>
          <w:szCs w:val="24"/>
        </w:rPr>
        <w:t xml:space="preserve">winter </w:t>
      </w:r>
      <w:r w:rsidR="008946FA">
        <w:rPr>
          <w:sz w:val="24"/>
          <w:szCs w:val="24"/>
        </w:rPr>
        <w:t xml:space="preserve">day it is likely </w:t>
      </w:r>
      <w:r w:rsidR="005E0E75">
        <w:rPr>
          <w:sz w:val="24"/>
          <w:szCs w:val="24"/>
        </w:rPr>
        <w:t xml:space="preserve">that in </w:t>
      </w:r>
      <w:r w:rsidR="008946FA">
        <w:rPr>
          <w:sz w:val="24"/>
          <w:szCs w:val="24"/>
        </w:rPr>
        <w:t xml:space="preserve">some of the rooms </w:t>
      </w:r>
      <w:r w:rsidR="005E0E75">
        <w:rPr>
          <w:sz w:val="24"/>
          <w:szCs w:val="24"/>
        </w:rPr>
        <w:t xml:space="preserve">the </w:t>
      </w:r>
      <w:r w:rsidR="008946FA">
        <w:rPr>
          <w:sz w:val="24"/>
          <w:szCs w:val="24"/>
        </w:rPr>
        <w:t xml:space="preserve">  baseboard heat </w:t>
      </w:r>
      <w:r w:rsidR="005E0E75">
        <w:rPr>
          <w:sz w:val="24"/>
          <w:szCs w:val="24"/>
        </w:rPr>
        <w:t xml:space="preserve">comes on, </w:t>
      </w:r>
      <w:r w:rsidR="008946FA">
        <w:rPr>
          <w:sz w:val="24"/>
          <w:szCs w:val="24"/>
        </w:rPr>
        <w:t xml:space="preserve">contributing to the Complainant’s overall </w:t>
      </w:r>
      <w:r w:rsidR="005E0E75">
        <w:rPr>
          <w:sz w:val="24"/>
          <w:szCs w:val="24"/>
        </w:rPr>
        <w:t>usage</w:t>
      </w:r>
      <w:r w:rsidR="008946FA">
        <w:rPr>
          <w:sz w:val="24"/>
          <w:szCs w:val="24"/>
        </w:rPr>
        <w:t xml:space="preserve">. </w:t>
      </w:r>
      <w:r w:rsidR="005E0E75">
        <w:rPr>
          <w:sz w:val="24"/>
          <w:szCs w:val="24"/>
        </w:rPr>
        <w:t>S</w:t>
      </w:r>
      <w:r>
        <w:rPr>
          <w:sz w:val="24"/>
          <w:szCs w:val="24"/>
        </w:rPr>
        <w:t>ometimes the Complainant exceed</w:t>
      </w:r>
      <w:r w:rsidR="00C76CEA">
        <w:rPr>
          <w:sz w:val="24"/>
          <w:szCs w:val="24"/>
        </w:rPr>
        <w:t>ed</w:t>
      </w:r>
      <w:r>
        <w:rPr>
          <w:sz w:val="24"/>
          <w:szCs w:val="24"/>
        </w:rPr>
        <w:t xml:space="preserve"> 3,9</w:t>
      </w:r>
      <w:r w:rsidR="005C3811">
        <w:rPr>
          <w:sz w:val="24"/>
          <w:szCs w:val="24"/>
        </w:rPr>
        <w:t>88</w:t>
      </w:r>
      <w:r>
        <w:rPr>
          <w:sz w:val="24"/>
          <w:szCs w:val="24"/>
        </w:rPr>
        <w:t xml:space="preserve"> kilowatt hours in the winter months</w:t>
      </w:r>
      <w:r w:rsidR="005E0E75">
        <w:rPr>
          <w:sz w:val="24"/>
          <w:szCs w:val="24"/>
        </w:rPr>
        <w:t>,</w:t>
      </w:r>
      <w:r w:rsidR="00537EBD">
        <w:rPr>
          <w:sz w:val="24"/>
          <w:szCs w:val="24"/>
        </w:rPr>
        <w:t xml:space="preserve"> but she </w:t>
      </w:r>
      <w:r w:rsidR="005E0E75">
        <w:rPr>
          <w:sz w:val="24"/>
          <w:szCs w:val="24"/>
        </w:rPr>
        <w:t xml:space="preserve">rarely </w:t>
      </w:r>
      <w:r w:rsidR="00537EBD">
        <w:rPr>
          <w:sz w:val="24"/>
          <w:szCs w:val="24"/>
        </w:rPr>
        <w:t>exceed</w:t>
      </w:r>
      <w:r w:rsidR="00C76CEA">
        <w:rPr>
          <w:sz w:val="24"/>
          <w:szCs w:val="24"/>
        </w:rPr>
        <w:t>ed</w:t>
      </w:r>
      <w:r w:rsidR="00537EBD">
        <w:rPr>
          <w:sz w:val="24"/>
          <w:szCs w:val="24"/>
        </w:rPr>
        <w:t xml:space="preserve"> 3,988 kilowatt hours </w:t>
      </w:r>
      <w:r w:rsidR="005E0E75">
        <w:rPr>
          <w:sz w:val="24"/>
          <w:szCs w:val="24"/>
        </w:rPr>
        <w:t xml:space="preserve">in the </w:t>
      </w:r>
      <w:r>
        <w:rPr>
          <w:sz w:val="24"/>
          <w:szCs w:val="24"/>
        </w:rPr>
        <w:t>summer months.</w:t>
      </w:r>
    </w:p>
    <w:p w:rsidR="008946FA" w:rsidRDefault="008946FA" w:rsidP="00DC3D81">
      <w:pPr>
        <w:spacing w:line="360" w:lineRule="auto"/>
        <w:ind w:firstLine="1440"/>
        <w:rPr>
          <w:sz w:val="24"/>
          <w:szCs w:val="24"/>
        </w:rPr>
      </w:pPr>
    </w:p>
    <w:p w:rsidR="008946FA" w:rsidRDefault="008946FA" w:rsidP="00DC3D81">
      <w:pPr>
        <w:spacing w:line="360" w:lineRule="auto"/>
        <w:ind w:firstLine="1440"/>
        <w:rPr>
          <w:sz w:val="24"/>
          <w:szCs w:val="24"/>
        </w:rPr>
      </w:pPr>
      <w:r>
        <w:rPr>
          <w:sz w:val="24"/>
          <w:szCs w:val="24"/>
        </w:rPr>
        <w:t xml:space="preserve">Based upon the accuracy of the meters, the high bill investigation, </w:t>
      </w:r>
      <w:r w:rsidR="00537EBD">
        <w:rPr>
          <w:sz w:val="24"/>
          <w:szCs w:val="24"/>
        </w:rPr>
        <w:t xml:space="preserve">the size of the home and use of a pellet stove, </w:t>
      </w:r>
      <w:r>
        <w:rPr>
          <w:sz w:val="24"/>
          <w:szCs w:val="24"/>
        </w:rPr>
        <w:t>I conclude that the Complainant’s bills are accurate as rendered.</w:t>
      </w:r>
    </w:p>
    <w:p w:rsidR="00537EBD" w:rsidRDefault="008946FA" w:rsidP="00DC3D81">
      <w:pPr>
        <w:spacing w:line="360" w:lineRule="auto"/>
        <w:ind w:firstLine="1440"/>
        <w:rPr>
          <w:sz w:val="24"/>
          <w:szCs w:val="24"/>
        </w:rPr>
      </w:pPr>
      <w:r>
        <w:rPr>
          <w:sz w:val="24"/>
          <w:szCs w:val="24"/>
        </w:rPr>
        <w:lastRenderedPageBreak/>
        <w:t xml:space="preserve"> </w:t>
      </w:r>
      <w:r w:rsidR="004410AF">
        <w:rPr>
          <w:sz w:val="24"/>
          <w:szCs w:val="24"/>
        </w:rPr>
        <w:t xml:space="preserve">Standard operating procedure for the Respondent when a customer calls to establish new service is to advise the customer of electric choice.  The Complainant testified that the Respondent did not tell her of any choices.  Neither the Complainant nor the Respondent </w:t>
      </w:r>
      <w:r w:rsidR="00F424E7">
        <w:rPr>
          <w:sz w:val="24"/>
          <w:szCs w:val="24"/>
        </w:rPr>
        <w:t xml:space="preserve">could </w:t>
      </w:r>
      <w:r w:rsidR="004410AF">
        <w:rPr>
          <w:sz w:val="24"/>
          <w:szCs w:val="24"/>
        </w:rPr>
        <w:t xml:space="preserve">prove their </w:t>
      </w:r>
      <w:r w:rsidR="00096609">
        <w:rPr>
          <w:sz w:val="24"/>
          <w:szCs w:val="24"/>
        </w:rPr>
        <w:t xml:space="preserve">respective </w:t>
      </w:r>
      <w:r w:rsidR="004410AF">
        <w:rPr>
          <w:sz w:val="24"/>
          <w:szCs w:val="24"/>
        </w:rPr>
        <w:t>position</w:t>
      </w:r>
      <w:r w:rsidR="00096609">
        <w:rPr>
          <w:sz w:val="24"/>
          <w:szCs w:val="24"/>
        </w:rPr>
        <w:t>s</w:t>
      </w:r>
      <w:r w:rsidR="004410AF">
        <w:rPr>
          <w:sz w:val="24"/>
          <w:szCs w:val="24"/>
        </w:rPr>
        <w:t>.</w:t>
      </w:r>
      <w:r w:rsidR="00096609">
        <w:rPr>
          <w:sz w:val="24"/>
          <w:szCs w:val="24"/>
        </w:rPr>
        <w:t xml:space="preserve">  </w:t>
      </w:r>
    </w:p>
    <w:p w:rsidR="00BE6EE0" w:rsidRDefault="00BE6EE0" w:rsidP="00DC3D81">
      <w:pPr>
        <w:spacing w:line="360" w:lineRule="auto"/>
        <w:ind w:firstLine="1440"/>
        <w:rPr>
          <w:sz w:val="24"/>
          <w:szCs w:val="24"/>
        </w:rPr>
      </w:pPr>
    </w:p>
    <w:p w:rsidR="00382B1A" w:rsidRDefault="00537EBD" w:rsidP="00DC3D81">
      <w:pPr>
        <w:spacing w:line="360" w:lineRule="auto"/>
        <w:ind w:firstLine="1440"/>
        <w:rPr>
          <w:sz w:val="24"/>
          <w:szCs w:val="24"/>
        </w:rPr>
      </w:pPr>
      <w:r>
        <w:rPr>
          <w:sz w:val="24"/>
          <w:szCs w:val="24"/>
        </w:rPr>
        <w:t xml:space="preserve">The Complainant alleged that the Respondent’s customer service representatives treated her poorly, made fun of her accent, and that she could hear laughing in the background.  </w:t>
      </w:r>
      <w:r w:rsidR="00A67CA9">
        <w:rPr>
          <w:sz w:val="24"/>
          <w:szCs w:val="24"/>
        </w:rPr>
        <w:t xml:space="preserve">The laughing in the background may have had nothing to do with the Complainant.  The Respondent did not present a witness that reviewed the various calls made by the Complainant.  Often a public utility keeps computer notes of calls coming in from its customers.  </w:t>
      </w:r>
      <w:r w:rsidR="00526652">
        <w:rPr>
          <w:sz w:val="24"/>
          <w:szCs w:val="24"/>
        </w:rPr>
        <w:t xml:space="preserve">Those notes typically are a shorthand or truncated version of the full conversation, and can be submitted into the record.  </w:t>
      </w:r>
      <w:r w:rsidR="00BE6EE0">
        <w:rPr>
          <w:sz w:val="24"/>
          <w:szCs w:val="24"/>
        </w:rPr>
        <w:t xml:space="preserve">Additionally, the Complainant could have requested a copy of these notes, but as a </w:t>
      </w:r>
      <w:r w:rsidR="00BE6EE0" w:rsidRPr="00BE6EE0">
        <w:rPr>
          <w:i/>
          <w:sz w:val="24"/>
          <w:szCs w:val="24"/>
        </w:rPr>
        <w:t>pro se</w:t>
      </w:r>
      <w:r w:rsidR="00BE6EE0">
        <w:rPr>
          <w:sz w:val="24"/>
          <w:szCs w:val="24"/>
        </w:rPr>
        <w:t xml:space="preserve"> participant was likely unaware of that right.  Without more, </w:t>
      </w:r>
      <w:r w:rsidR="00526652">
        <w:rPr>
          <w:sz w:val="24"/>
          <w:szCs w:val="24"/>
        </w:rPr>
        <w:t xml:space="preserve">I cannot determine if the Complainant’s allegations </w:t>
      </w:r>
      <w:r w:rsidR="00BE6EE0">
        <w:rPr>
          <w:sz w:val="24"/>
          <w:szCs w:val="24"/>
        </w:rPr>
        <w:t xml:space="preserve">of poor treatment </w:t>
      </w:r>
      <w:r w:rsidR="00526652">
        <w:rPr>
          <w:sz w:val="24"/>
          <w:szCs w:val="24"/>
        </w:rPr>
        <w:t xml:space="preserve">have merit.  </w:t>
      </w:r>
    </w:p>
    <w:p w:rsidR="00382B1A" w:rsidRPr="000B72BC" w:rsidRDefault="00382B1A" w:rsidP="00DC3D81">
      <w:pPr>
        <w:spacing w:line="360" w:lineRule="auto"/>
        <w:rPr>
          <w:sz w:val="24"/>
          <w:szCs w:val="24"/>
        </w:rPr>
      </w:pPr>
    </w:p>
    <w:p w:rsidR="00C419F9" w:rsidRDefault="00FC4DD1" w:rsidP="00DC3D81">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C3D81">
      <w:pPr>
        <w:spacing w:line="360" w:lineRule="auto"/>
        <w:jc w:val="center"/>
        <w:rPr>
          <w:sz w:val="24"/>
          <w:szCs w:val="24"/>
          <w:u w:val="single"/>
        </w:rPr>
      </w:pPr>
    </w:p>
    <w:p w:rsidR="00382B1A" w:rsidRPr="007934E4" w:rsidRDefault="00382B1A" w:rsidP="00DC3D81">
      <w:pPr>
        <w:tabs>
          <w:tab w:val="left" w:pos="2160"/>
        </w:tabs>
        <w:spacing w:line="360" w:lineRule="auto"/>
        <w:ind w:firstLine="1440"/>
        <w:rPr>
          <w:sz w:val="24"/>
          <w:szCs w:val="24"/>
        </w:rPr>
      </w:pPr>
      <w:r w:rsidRPr="007934E4">
        <w:rPr>
          <w:sz w:val="24"/>
          <w:szCs w:val="24"/>
        </w:rPr>
        <w:t>1.</w:t>
      </w:r>
      <w:r w:rsidRPr="007934E4">
        <w:rPr>
          <w:sz w:val="24"/>
          <w:szCs w:val="24"/>
        </w:rPr>
        <w:tab/>
        <w:t xml:space="preserve">The Commission has jurisdiction over the subject matter and parties to this Complaint.  </w:t>
      </w:r>
      <w:proofErr w:type="gramStart"/>
      <w:r w:rsidRPr="007934E4">
        <w:rPr>
          <w:sz w:val="24"/>
          <w:szCs w:val="24"/>
        </w:rPr>
        <w:t>66 Pa. C.S. §</w:t>
      </w:r>
      <w:r>
        <w:rPr>
          <w:sz w:val="24"/>
          <w:szCs w:val="24"/>
        </w:rPr>
        <w:t xml:space="preserve"> </w:t>
      </w:r>
      <w:r w:rsidRPr="007934E4">
        <w:rPr>
          <w:sz w:val="24"/>
          <w:szCs w:val="24"/>
        </w:rPr>
        <w:t>701.</w:t>
      </w:r>
      <w:proofErr w:type="gramEnd"/>
    </w:p>
    <w:p w:rsidR="00382B1A" w:rsidRPr="007934E4" w:rsidRDefault="00382B1A" w:rsidP="00DC3D81">
      <w:pPr>
        <w:tabs>
          <w:tab w:val="left" w:pos="2160"/>
        </w:tabs>
        <w:spacing w:line="360" w:lineRule="auto"/>
        <w:ind w:firstLine="1440"/>
        <w:rPr>
          <w:sz w:val="24"/>
          <w:szCs w:val="24"/>
        </w:rPr>
      </w:pPr>
    </w:p>
    <w:p w:rsidR="00382B1A" w:rsidRPr="007934E4" w:rsidRDefault="00382B1A" w:rsidP="00DC3D81">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526652">
        <w:rPr>
          <w:sz w:val="24"/>
          <w:szCs w:val="24"/>
        </w:rPr>
        <w:t xml:space="preserve">the </w:t>
      </w:r>
      <w:r w:rsidR="00C1140C">
        <w:rPr>
          <w:sz w:val="24"/>
          <w:szCs w:val="24"/>
        </w:rPr>
        <w:t>Complainant</w:t>
      </w:r>
      <w:r w:rsidRPr="007934E4">
        <w:rPr>
          <w:sz w:val="24"/>
          <w:szCs w:val="24"/>
        </w:rPr>
        <w:t xml:space="preserve"> bears the burden of proof.  </w:t>
      </w:r>
      <w:proofErr w:type="gramStart"/>
      <w:r w:rsidRPr="007934E4">
        <w:rPr>
          <w:sz w:val="24"/>
          <w:szCs w:val="24"/>
        </w:rPr>
        <w:t>66 Pa. C.S. §</w:t>
      </w:r>
      <w:r>
        <w:rPr>
          <w:sz w:val="24"/>
          <w:szCs w:val="24"/>
        </w:rPr>
        <w:t xml:space="preserve"> </w:t>
      </w:r>
      <w:r w:rsidRPr="007934E4">
        <w:rPr>
          <w:sz w:val="24"/>
          <w:szCs w:val="24"/>
        </w:rPr>
        <w:t>332(a).</w:t>
      </w:r>
      <w:proofErr w:type="gramEnd"/>
    </w:p>
    <w:p w:rsidR="00382B1A" w:rsidRPr="007934E4" w:rsidRDefault="00382B1A" w:rsidP="00DC3D81">
      <w:pPr>
        <w:tabs>
          <w:tab w:val="left" w:pos="2160"/>
        </w:tabs>
        <w:spacing w:line="360" w:lineRule="auto"/>
        <w:ind w:firstLine="1440"/>
        <w:rPr>
          <w:sz w:val="24"/>
          <w:szCs w:val="24"/>
        </w:rPr>
      </w:pPr>
    </w:p>
    <w:p w:rsidR="00382B1A" w:rsidRDefault="00382B1A" w:rsidP="00DC3D81">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005C3811">
        <w:rPr>
          <w:spacing w:val="-3"/>
          <w:sz w:val="24"/>
          <w:szCs w:val="24"/>
        </w:rPr>
        <w:t xml:space="preserve">A </w:t>
      </w:r>
      <w:r w:rsidRPr="007934E4">
        <w:rPr>
          <w:spacing w:val="-3"/>
          <w:sz w:val="24"/>
          <w:szCs w:val="24"/>
        </w:rPr>
        <w:t xml:space="preserve">complainant must show that the named utility is responsible or accountable for the problem described in the Complaint in order to prevail.  </w:t>
      </w:r>
      <w:proofErr w:type="gramStart"/>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ub.</w:t>
      </w:r>
      <w:proofErr w:type="gramEnd"/>
      <w:r w:rsidR="003E594B">
        <w:rPr>
          <w:spacing w:val="-3"/>
          <w:sz w:val="24"/>
          <w:szCs w:val="24"/>
        </w:rPr>
        <w:t xml:space="preserve"> </w:t>
      </w:r>
      <w:proofErr w:type="gramStart"/>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ub.</w:t>
      </w:r>
      <w:proofErr w:type="gramEnd"/>
      <w:r w:rsidR="003E594B">
        <w:rPr>
          <w:spacing w:val="-3"/>
          <w:sz w:val="24"/>
          <w:szCs w:val="24"/>
        </w:rPr>
        <w:t xml:space="preserve"> </w:t>
      </w:r>
      <w:proofErr w:type="gramStart"/>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300 (1976).</w:t>
      </w:r>
      <w:proofErr w:type="gramEnd"/>
      <w:r w:rsidRPr="007934E4">
        <w:rPr>
          <w:spacing w:val="-3"/>
          <w:sz w:val="24"/>
          <w:szCs w:val="24"/>
        </w:rPr>
        <w:t xml:space="preserve">  This must be shown by a preponderance of the evidence.  </w:t>
      </w:r>
      <w:proofErr w:type="gramStart"/>
      <w:r w:rsidR="003E594B">
        <w:rPr>
          <w:i/>
          <w:spacing w:val="-3"/>
          <w:sz w:val="24"/>
          <w:szCs w:val="24"/>
        </w:rPr>
        <w:t>Samuel J. Lansberry, Inc. v. Pa.</w:t>
      </w:r>
      <w:r w:rsidRPr="00C1140C">
        <w:rPr>
          <w:i/>
          <w:spacing w:val="-3"/>
          <w:sz w:val="24"/>
          <w:szCs w:val="24"/>
        </w:rPr>
        <w:t xml:space="preserve"> Pub</w:t>
      </w:r>
      <w:r w:rsidR="003E594B">
        <w:rPr>
          <w:i/>
          <w:spacing w:val="-3"/>
          <w:sz w:val="24"/>
          <w:szCs w:val="24"/>
        </w:rPr>
        <w:t>.</w:t>
      </w:r>
      <w:proofErr w:type="gramEnd"/>
      <w:r w:rsidRPr="00C1140C">
        <w:rPr>
          <w:i/>
          <w:spacing w:val="-3"/>
          <w:sz w:val="24"/>
          <w:szCs w:val="24"/>
        </w:rPr>
        <w:t xml:space="preserve"> </w:t>
      </w:r>
      <w:proofErr w:type="gramStart"/>
      <w:r w:rsidRPr="00C1140C">
        <w:rPr>
          <w:i/>
          <w:spacing w:val="-3"/>
          <w:sz w:val="24"/>
          <w:szCs w:val="24"/>
        </w:rPr>
        <w:t>Util</w:t>
      </w:r>
      <w:r w:rsidR="003E594B">
        <w:rPr>
          <w:i/>
          <w:spacing w:val="-3"/>
          <w:sz w:val="24"/>
          <w:szCs w:val="24"/>
        </w:rPr>
        <w:t>.</w:t>
      </w:r>
      <w:r w:rsidRPr="00C1140C">
        <w:rPr>
          <w:i/>
          <w:spacing w:val="-3"/>
          <w:sz w:val="24"/>
          <w:szCs w:val="24"/>
        </w:rPr>
        <w:t xml:space="preserve"> Comm’n</w:t>
      </w:r>
      <w:r w:rsidRPr="007934E4">
        <w:rPr>
          <w:spacing w:val="-3"/>
          <w:sz w:val="24"/>
          <w:szCs w:val="24"/>
        </w:rPr>
        <w:t xml:space="preserve">, 578 A.2d 600 (1990), </w:t>
      </w:r>
      <w:r w:rsidRPr="007934E4">
        <w:rPr>
          <w:i/>
          <w:spacing w:val="-3"/>
          <w:sz w:val="24"/>
          <w:szCs w:val="24"/>
        </w:rPr>
        <w:t>alloc.</w:t>
      </w:r>
      <w:proofErr w:type="gramEnd"/>
      <w:r w:rsidRPr="007934E4">
        <w:rPr>
          <w:i/>
          <w:spacing w:val="-3"/>
          <w:sz w:val="24"/>
          <w:szCs w:val="24"/>
        </w:rPr>
        <w:t xml:space="preserve"> </w:t>
      </w:r>
      <w:proofErr w:type="gramStart"/>
      <w:r w:rsidRPr="007934E4">
        <w:rPr>
          <w:i/>
          <w:spacing w:val="-3"/>
          <w:sz w:val="24"/>
          <w:szCs w:val="24"/>
        </w:rPr>
        <w:t>den.</w:t>
      </w:r>
      <w:r w:rsidR="003E594B">
        <w:rPr>
          <w:spacing w:val="-3"/>
          <w:sz w:val="24"/>
          <w:szCs w:val="24"/>
        </w:rPr>
        <w:t xml:space="preserve">, 602 A.2d </w:t>
      </w:r>
      <w:r w:rsidRPr="007934E4">
        <w:rPr>
          <w:spacing w:val="-3"/>
          <w:sz w:val="24"/>
          <w:szCs w:val="24"/>
        </w:rPr>
        <w:t>863 (1992).</w:t>
      </w:r>
      <w:proofErr w:type="gramEnd"/>
    </w:p>
    <w:p w:rsidR="00526652" w:rsidRDefault="00526652" w:rsidP="00DC3D81">
      <w:pPr>
        <w:tabs>
          <w:tab w:val="left" w:pos="2160"/>
        </w:tabs>
        <w:spacing w:line="360" w:lineRule="auto"/>
        <w:ind w:firstLine="1440"/>
        <w:rPr>
          <w:spacing w:val="-3"/>
          <w:sz w:val="24"/>
          <w:szCs w:val="24"/>
        </w:rPr>
      </w:pPr>
    </w:p>
    <w:p w:rsidR="00526652" w:rsidRPr="007934E4" w:rsidRDefault="00526652" w:rsidP="00DC3D81">
      <w:pPr>
        <w:tabs>
          <w:tab w:val="left" w:pos="2160"/>
        </w:tabs>
        <w:spacing w:line="360" w:lineRule="auto"/>
        <w:ind w:firstLine="1440"/>
        <w:rPr>
          <w:spacing w:val="-3"/>
          <w:sz w:val="24"/>
          <w:szCs w:val="24"/>
        </w:rPr>
      </w:pPr>
      <w:r>
        <w:rPr>
          <w:spacing w:val="-3"/>
          <w:sz w:val="24"/>
          <w:szCs w:val="24"/>
        </w:rPr>
        <w:lastRenderedPageBreak/>
        <w:t>4.</w:t>
      </w:r>
      <w:r>
        <w:rPr>
          <w:spacing w:val="-3"/>
          <w:sz w:val="24"/>
          <w:szCs w:val="24"/>
        </w:rPr>
        <w:tab/>
        <w:t>The Complainant failed to prove that the Respondent is responsible for her high bill or that the Respondent did anything contrary to law.</w:t>
      </w:r>
    </w:p>
    <w:p w:rsidR="00782A08" w:rsidRDefault="00782A08" w:rsidP="00DC3D81">
      <w:pPr>
        <w:spacing w:line="360" w:lineRule="auto"/>
        <w:ind w:firstLine="1440"/>
        <w:rPr>
          <w:sz w:val="24"/>
          <w:szCs w:val="24"/>
        </w:rPr>
      </w:pPr>
    </w:p>
    <w:p w:rsidR="009649FC" w:rsidRDefault="009649FC" w:rsidP="00DC3D81">
      <w:pPr>
        <w:spacing w:line="360" w:lineRule="auto"/>
        <w:jc w:val="center"/>
        <w:rPr>
          <w:sz w:val="24"/>
          <w:szCs w:val="24"/>
          <w:u w:val="single"/>
        </w:rPr>
      </w:pPr>
      <w:r w:rsidRPr="009649FC">
        <w:rPr>
          <w:sz w:val="24"/>
          <w:szCs w:val="24"/>
          <w:u w:val="single"/>
        </w:rPr>
        <w:t>ORDER</w:t>
      </w:r>
    </w:p>
    <w:p w:rsidR="006C1047" w:rsidRDefault="006C1047" w:rsidP="00DC3D81">
      <w:pPr>
        <w:spacing w:line="360" w:lineRule="auto"/>
        <w:jc w:val="center"/>
        <w:rPr>
          <w:sz w:val="24"/>
          <w:szCs w:val="24"/>
          <w:u w:val="single"/>
        </w:rPr>
      </w:pPr>
    </w:p>
    <w:p w:rsidR="009649FC" w:rsidRPr="009649FC" w:rsidRDefault="009649FC" w:rsidP="00DC3D81">
      <w:pPr>
        <w:spacing w:line="360" w:lineRule="auto"/>
        <w:jc w:val="center"/>
        <w:rPr>
          <w:sz w:val="24"/>
          <w:szCs w:val="24"/>
          <w:u w:val="single"/>
        </w:rPr>
      </w:pPr>
    </w:p>
    <w:p w:rsidR="00DE562E" w:rsidRDefault="00DE562E" w:rsidP="00DC3D81">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DC3D81">
      <w:pPr>
        <w:spacing w:line="360" w:lineRule="auto"/>
        <w:rPr>
          <w:b/>
          <w:sz w:val="24"/>
          <w:szCs w:val="24"/>
        </w:rPr>
      </w:pPr>
    </w:p>
    <w:p w:rsidR="00DE562E" w:rsidRDefault="00DE562E" w:rsidP="00DC3D81">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1F0787" w:rsidRPr="00C21F78" w:rsidRDefault="001F0787" w:rsidP="00DC3D81">
      <w:pPr>
        <w:spacing w:line="360" w:lineRule="auto"/>
        <w:ind w:firstLine="1440"/>
        <w:rPr>
          <w:b/>
          <w:sz w:val="24"/>
          <w:szCs w:val="24"/>
        </w:rPr>
      </w:pPr>
    </w:p>
    <w:p w:rsidR="00EF6C00" w:rsidRDefault="008A020E" w:rsidP="00DC3D81">
      <w:pPr>
        <w:numPr>
          <w:ilvl w:val="0"/>
          <w:numId w:val="15"/>
        </w:numPr>
        <w:tabs>
          <w:tab w:val="clear" w:pos="2160"/>
        </w:tabs>
        <w:spacing w:line="360" w:lineRule="auto"/>
        <w:ind w:left="0" w:firstLine="1440"/>
        <w:rPr>
          <w:sz w:val="24"/>
          <w:szCs w:val="24"/>
        </w:rPr>
      </w:pPr>
      <w:r>
        <w:rPr>
          <w:sz w:val="24"/>
          <w:szCs w:val="24"/>
        </w:rPr>
        <w:t xml:space="preserve">That the Formal Complaint of Maram Hallak at Docket No. </w:t>
      </w:r>
    </w:p>
    <w:p w:rsidR="002D554B" w:rsidRDefault="008A020E" w:rsidP="00DC3D81">
      <w:pPr>
        <w:spacing w:line="360" w:lineRule="auto"/>
        <w:rPr>
          <w:sz w:val="24"/>
          <w:szCs w:val="24"/>
        </w:rPr>
      </w:pPr>
      <w:r>
        <w:rPr>
          <w:sz w:val="24"/>
          <w:szCs w:val="24"/>
        </w:rPr>
        <w:t>C-2009-2134902 is di</w:t>
      </w:r>
      <w:r w:rsidR="00B5293A">
        <w:rPr>
          <w:sz w:val="24"/>
          <w:szCs w:val="24"/>
        </w:rPr>
        <w:t>s</w:t>
      </w:r>
      <w:r>
        <w:rPr>
          <w:sz w:val="24"/>
          <w:szCs w:val="24"/>
        </w:rPr>
        <w:t>missed.</w:t>
      </w:r>
    </w:p>
    <w:p w:rsidR="008A020E" w:rsidRDefault="008A020E" w:rsidP="00DC3D81">
      <w:pPr>
        <w:spacing w:line="360" w:lineRule="auto"/>
        <w:ind w:left="1440"/>
        <w:rPr>
          <w:sz w:val="24"/>
          <w:szCs w:val="24"/>
        </w:rPr>
      </w:pPr>
      <w:r>
        <w:rPr>
          <w:sz w:val="24"/>
          <w:szCs w:val="24"/>
        </w:rPr>
        <w:t xml:space="preserve"> </w:t>
      </w:r>
    </w:p>
    <w:p w:rsidR="008A020E" w:rsidRDefault="008A020E" w:rsidP="00DC3D81">
      <w:pPr>
        <w:numPr>
          <w:ilvl w:val="0"/>
          <w:numId w:val="15"/>
        </w:numPr>
        <w:tabs>
          <w:tab w:val="clear" w:pos="2160"/>
        </w:tabs>
        <w:spacing w:line="360" w:lineRule="auto"/>
        <w:ind w:left="0" w:firstLine="1440"/>
        <w:rPr>
          <w:sz w:val="24"/>
          <w:szCs w:val="24"/>
        </w:rPr>
      </w:pPr>
      <w:r>
        <w:rPr>
          <w:sz w:val="24"/>
          <w:szCs w:val="24"/>
        </w:rPr>
        <w:t xml:space="preserve">That the </w:t>
      </w:r>
      <w:r w:rsidR="00BE6EE0">
        <w:rPr>
          <w:sz w:val="24"/>
          <w:szCs w:val="24"/>
        </w:rPr>
        <w:t>Secretary’s</w:t>
      </w:r>
      <w:r>
        <w:rPr>
          <w:sz w:val="24"/>
          <w:szCs w:val="24"/>
        </w:rPr>
        <w:t xml:space="preserve"> Bureau mark Docket No. C-2009-2134902 closed.</w:t>
      </w:r>
    </w:p>
    <w:p w:rsidR="00CE68C6" w:rsidRDefault="00CE68C6" w:rsidP="00DC3D81">
      <w:pPr>
        <w:spacing w:line="360" w:lineRule="auto"/>
        <w:rPr>
          <w:sz w:val="24"/>
          <w:szCs w:val="24"/>
        </w:rPr>
      </w:pPr>
    </w:p>
    <w:p w:rsidR="00BB3104" w:rsidRDefault="00BB3104" w:rsidP="00DC3D81">
      <w:pPr>
        <w:spacing w:line="360" w:lineRule="auto"/>
        <w:rPr>
          <w:sz w:val="24"/>
          <w:szCs w:val="24"/>
        </w:rPr>
      </w:pPr>
    </w:p>
    <w:p w:rsidR="001F7F73" w:rsidRDefault="00DE562E" w:rsidP="00DC3D81">
      <w:pPr>
        <w:jc w:val="both"/>
        <w:rPr>
          <w:sz w:val="24"/>
          <w:szCs w:val="24"/>
        </w:rPr>
      </w:pPr>
      <w:r w:rsidRPr="00DE562E">
        <w:rPr>
          <w:sz w:val="24"/>
          <w:szCs w:val="24"/>
        </w:rPr>
        <w:t>Date:</w:t>
      </w:r>
      <w:r w:rsidRPr="00DE562E">
        <w:rPr>
          <w:sz w:val="24"/>
          <w:szCs w:val="24"/>
        </w:rPr>
        <w:tab/>
      </w:r>
      <w:r w:rsidR="00BE6EE0">
        <w:rPr>
          <w:sz w:val="24"/>
          <w:szCs w:val="24"/>
          <w:u w:val="single"/>
        </w:rPr>
        <w:t>April 19, 2010</w:t>
      </w:r>
      <w:r w:rsidR="00A02D20">
        <w:rPr>
          <w:sz w:val="24"/>
          <w:szCs w:val="24"/>
          <w:u w:val="single"/>
        </w:rPr>
        <w:tab/>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C3D81">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2B19D4" w:rsidRPr="001027AA" w:rsidRDefault="00DE562E" w:rsidP="00DC3D8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sectPr w:rsidR="002B19D4" w:rsidRPr="001027AA" w:rsidSect="005F452A">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D6A" w:rsidRDefault="00FB2D6A">
      <w:r>
        <w:separator/>
      </w:r>
    </w:p>
  </w:endnote>
  <w:endnote w:type="continuationSeparator" w:id="0">
    <w:p w:rsidR="00FB2D6A" w:rsidRDefault="00FB2D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6FA" w:rsidRDefault="007925E7" w:rsidP="0028114B">
    <w:pPr>
      <w:pStyle w:val="Footer"/>
      <w:framePr w:wrap="around" w:vAnchor="text" w:hAnchor="margin" w:xAlign="center" w:y="1"/>
      <w:rPr>
        <w:rStyle w:val="PageNumber"/>
      </w:rPr>
    </w:pPr>
    <w:r>
      <w:rPr>
        <w:rStyle w:val="PageNumber"/>
      </w:rPr>
      <w:fldChar w:fldCharType="begin"/>
    </w:r>
    <w:r w:rsidR="008946FA">
      <w:rPr>
        <w:rStyle w:val="PageNumber"/>
      </w:rPr>
      <w:instrText xml:space="preserve">PAGE  </w:instrText>
    </w:r>
    <w:r>
      <w:rPr>
        <w:rStyle w:val="PageNumber"/>
      </w:rPr>
      <w:fldChar w:fldCharType="end"/>
    </w:r>
  </w:p>
  <w:p w:rsidR="008946FA" w:rsidRDefault="008946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6FA" w:rsidRPr="0028114B" w:rsidRDefault="007925E7"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8946FA" w:rsidRPr="0028114B">
      <w:rPr>
        <w:rStyle w:val="PageNumber"/>
        <w:sz w:val="20"/>
        <w:szCs w:val="20"/>
      </w:rPr>
      <w:instrText xml:space="preserve">PAGE  </w:instrText>
    </w:r>
    <w:r w:rsidRPr="0028114B">
      <w:rPr>
        <w:rStyle w:val="PageNumber"/>
        <w:sz w:val="20"/>
        <w:szCs w:val="20"/>
      </w:rPr>
      <w:fldChar w:fldCharType="separate"/>
    </w:r>
    <w:r w:rsidR="00210747">
      <w:rPr>
        <w:rStyle w:val="PageNumber"/>
        <w:noProof/>
        <w:sz w:val="20"/>
        <w:szCs w:val="20"/>
      </w:rPr>
      <w:t>7</w:t>
    </w:r>
    <w:r w:rsidRPr="0028114B">
      <w:rPr>
        <w:rStyle w:val="PageNumber"/>
        <w:sz w:val="20"/>
        <w:szCs w:val="20"/>
      </w:rPr>
      <w:fldChar w:fldCharType="end"/>
    </w:r>
  </w:p>
  <w:p w:rsidR="008946FA" w:rsidRDefault="008946FA" w:rsidP="000A001F">
    <w:pPr>
      <w:pStyle w:val="Footer"/>
      <w:jc w:val="right"/>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D6A" w:rsidRDefault="00FB2D6A">
      <w:r>
        <w:separator/>
      </w:r>
    </w:p>
  </w:footnote>
  <w:footnote w:type="continuationSeparator" w:id="0">
    <w:p w:rsidR="00FB2D6A" w:rsidRDefault="00FB2D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7"/>
  </w:num>
  <w:num w:numId="13">
    <w:abstractNumId w:val="1"/>
  </w:num>
  <w:num w:numId="14">
    <w:abstractNumId w:val="5"/>
  </w:num>
  <w:num w:numId="15">
    <w:abstractNumId w:val="15"/>
  </w:num>
  <w:num w:numId="16">
    <w:abstractNumId w:val="16"/>
  </w:num>
  <w:num w:numId="17">
    <w:abstractNumId w:val="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8F6AC3"/>
    <w:rsid w:val="00020AB1"/>
    <w:rsid w:val="00022997"/>
    <w:rsid w:val="00022D67"/>
    <w:rsid w:val="0002512E"/>
    <w:rsid w:val="00034A86"/>
    <w:rsid w:val="00035C05"/>
    <w:rsid w:val="00035E78"/>
    <w:rsid w:val="000376EF"/>
    <w:rsid w:val="00042626"/>
    <w:rsid w:val="0005186E"/>
    <w:rsid w:val="00055A89"/>
    <w:rsid w:val="00064F92"/>
    <w:rsid w:val="0006610A"/>
    <w:rsid w:val="0007126E"/>
    <w:rsid w:val="000728A4"/>
    <w:rsid w:val="00075A22"/>
    <w:rsid w:val="00082976"/>
    <w:rsid w:val="00091672"/>
    <w:rsid w:val="00091CE2"/>
    <w:rsid w:val="00096609"/>
    <w:rsid w:val="000967DB"/>
    <w:rsid w:val="000A001F"/>
    <w:rsid w:val="000A1CB9"/>
    <w:rsid w:val="000A20A3"/>
    <w:rsid w:val="000A51DB"/>
    <w:rsid w:val="000C6F32"/>
    <w:rsid w:val="000E0BD8"/>
    <w:rsid w:val="000E277A"/>
    <w:rsid w:val="000E2934"/>
    <w:rsid w:val="000E6B17"/>
    <w:rsid w:val="000F0833"/>
    <w:rsid w:val="000F1894"/>
    <w:rsid w:val="000F1F62"/>
    <w:rsid w:val="000F2F0A"/>
    <w:rsid w:val="001027AA"/>
    <w:rsid w:val="00110C23"/>
    <w:rsid w:val="001122A9"/>
    <w:rsid w:val="001155B6"/>
    <w:rsid w:val="00116136"/>
    <w:rsid w:val="00120202"/>
    <w:rsid w:val="00125871"/>
    <w:rsid w:val="00126207"/>
    <w:rsid w:val="001312A6"/>
    <w:rsid w:val="00134E8D"/>
    <w:rsid w:val="00141DF5"/>
    <w:rsid w:val="00143C49"/>
    <w:rsid w:val="00147DEE"/>
    <w:rsid w:val="00152C6B"/>
    <w:rsid w:val="0015646C"/>
    <w:rsid w:val="001620CA"/>
    <w:rsid w:val="00176F82"/>
    <w:rsid w:val="0018160C"/>
    <w:rsid w:val="00187B87"/>
    <w:rsid w:val="001930DE"/>
    <w:rsid w:val="00193B6C"/>
    <w:rsid w:val="001A2F10"/>
    <w:rsid w:val="001A4CC0"/>
    <w:rsid w:val="001A721E"/>
    <w:rsid w:val="001B123C"/>
    <w:rsid w:val="001B3235"/>
    <w:rsid w:val="001C20B7"/>
    <w:rsid w:val="001C715B"/>
    <w:rsid w:val="001D2EEA"/>
    <w:rsid w:val="001D3206"/>
    <w:rsid w:val="001D6FCF"/>
    <w:rsid w:val="001E4FAC"/>
    <w:rsid w:val="001F0787"/>
    <w:rsid w:val="001F08B4"/>
    <w:rsid w:val="001F0BC7"/>
    <w:rsid w:val="001F2116"/>
    <w:rsid w:val="001F6FC1"/>
    <w:rsid w:val="001F7F73"/>
    <w:rsid w:val="0020095D"/>
    <w:rsid w:val="0020391E"/>
    <w:rsid w:val="00210747"/>
    <w:rsid w:val="00223E7E"/>
    <w:rsid w:val="00234619"/>
    <w:rsid w:val="0023520D"/>
    <w:rsid w:val="00235C44"/>
    <w:rsid w:val="00236FF7"/>
    <w:rsid w:val="002416AB"/>
    <w:rsid w:val="0024496F"/>
    <w:rsid w:val="00244D86"/>
    <w:rsid w:val="0025370D"/>
    <w:rsid w:val="00260D19"/>
    <w:rsid w:val="002732DC"/>
    <w:rsid w:val="0028114B"/>
    <w:rsid w:val="00290918"/>
    <w:rsid w:val="002919C6"/>
    <w:rsid w:val="00293557"/>
    <w:rsid w:val="002959E3"/>
    <w:rsid w:val="002A7C1C"/>
    <w:rsid w:val="002B19D4"/>
    <w:rsid w:val="002B3489"/>
    <w:rsid w:val="002B4EAE"/>
    <w:rsid w:val="002C3FDE"/>
    <w:rsid w:val="002D13C5"/>
    <w:rsid w:val="002D554B"/>
    <w:rsid w:val="002F183C"/>
    <w:rsid w:val="002F66F9"/>
    <w:rsid w:val="002F6BC1"/>
    <w:rsid w:val="00300A0A"/>
    <w:rsid w:val="00300CB7"/>
    <w:rsid w:val="00300F91"/>
    <w:rsid w:val="0030207C"/>
    <w:rsid w:val="003129F7"/>
    <w:rsid w:val="00317B5C"/>
    <w:rsid w:val="00323AAE"/>
    <w:rsid w:val="00324F3E"/>
    <w:rsid w:val="0033043C"/>
    <w:rsid w:val="0033647C"/>
    <w:rsid w:val="00337C53"/>
    <w:rsid w:val="00340AB8"/>
    <w:rsid w:val="0034312D"/>
    <w:rsid w:val="00346E30"/>
    <w:rsid w:val="003539D2"/>
    <w:rsid w:val="0035737A"/>
    <w:rsid w:val="003657A8"/>
    <w:rsid w:val="00380AD7"/>
    <w:rsid w:val="00382B1A"/>
    <w:rsid w:val="00386BFB"/>
    <w:rsid w:val="00386CDC"/>
    <w:rsid w:val="00392382"/>
    <w:rsid w:val="00394493"/>
    <w:rsid w:val="003959AC"/>
    <w:rsid w:val="00395E03"/>
    <w:rsid w:val="00396DE1"/>
    <w:rsid w:val="003A167D"/>
    <w:rsid w:val="003B715B"/>
    <w:rsid w:val="003C050F"/>
    <w:rsid w:val="003C0716"/>
    <w:rsid w:val="003D139F"/>
    <w:rsid w:val="003D15FA"/>
    <w:rsid w:val="003D7EC6"/>
    <w:rsid w:val="003E292B"/>
    <w:rsid w:val="003E594B"/>
    <w:rsid w:val="003F359F"/>
    <w:rsid w:val="003F5796"/>
    <w:rsid w:val="003F69BF"/>
    <w:rsid w:val="00402359"/>
    <w:rsid w:val="004064A8"/>
    <w:rsid w:val="0042160A"/>
    <w:rsid w:val="00422E29"/>
    <w:rsid w:val="00424A76"/>
    <w:rsid w:val="00427E73"/>
    <w:rsid w:val="004312BE"/>
    <w:rsid w:val="00433A01"/>
    <w:rsid w:val="004410AF"/>
    <w:rsid w:val="00442854"/>
    <w:rsid w:val="0046339D"/>
    <w:rsid w:val="00476C8A"/>
    <w:rsid w:val="00486535"/>
    <w:rsid w:val="00490174"/>
    <w:rsid w:val="004902AE"/>
    <w:rsid w:val="004917C1"/>
    <w:rsid w:val="00491C99"/>
    <w:rsid w:val="00495450"/>
    <w:rsid w:val="004A1805"/>
    <w:rsid w:val="004A5AD6"/>
    <w:rsid w:val="004B2C23"/>
    <w:rsid w:val="004C3EFA"/>
    <w:rsid w:val="004D1B54"/>
    <w:rsid w:val="004D3108"/>
    <w:rsid w:val="004D46FD"/>
    <w:rsid w:val="004E20CB"/>
    <w:rsid w:val="004E2912"/>
    <w:rsid w:val="004E533F"/>
    <w:rsid w:val="004F2D3D"/>
    <w:rsid w:val="005032B5"/>
    <w:rsid w:val="00515937"/>
    <w:rsid w:val="00517AD1"/>
    <w:rsid w:val="00523780"/>
    <w:rsid w:val="00526652"/>
    <w:rsid w:val="00530D1B"/>
    <w:rsid w:val="00531226"/>
    <w:rsid w:val="00531409"/>
    <w:rsid w:val="005333B9"/>
    <w:rsid w:val="00535DF7"/>
    <w:rsid w:val="00537EBD"/>
    <w:rsid w:val="00542107"/>
    <w:rsid w:val="00553EEB"/>
    <w:rsid w:val="00564C41"/>
    <w:rsid w:val="00582896"/>
    <w:rsid w:val="00584798"/>
    <w:rsid w:val="0059070D"/>
    <w:rsid w:val="00592C86"/>
    <w:rsid w:val="005A33D0"/>
    <w:rsid w:val="005B250B"/>
    <w:rsid w:val="005B6749"/>
    <w:rsid w:val="005B7834"/>
    <w:rsid w:val="005C28EC"/>
    <w:rsid w:val="005C3811"/>
    <w:rsid w:val="005D19C4"/>
    <w:rsid w:val="005D2DEE"/>
    <w:rsid w:val="005E0E75"/>
    <w:rsid w:val="005E2068"/>
    <w:rsid w:val="005E3007"/>
    <w:rsid w:val="005E6321"/>
    <w:rsid w:val="005E6C27"/>
    <w:rsid w:val="005F17F5"/>
    <w:rsid w:val="005F38EC"/>
    <w:rsid w:val="005F3B50"/>
    <w:rsid w:val="005F452A"/>
    <w:rsid w:val="0062087D"/>
    <w:rsid w:val="006215E0"/>
    <w:rsid w:val="00623BB2"/>
    <w:rsid w:val="006306EB"/>
    <w:rsid w:val="00634A5C"/>
    <w:rsid w:val="006352B9"/>
    <w:rsid w:val="00641596"/>
    <w:rsid w:val="0064329B"/>
    <w:rsid w:val="00644E60"/>
    <w:rsid w:val="00645B55"/>
    <w:rsid w:val="00652C21"/>
    <w:rsid w:val="0066237B"/>
    <w:rsid w:val="006656FC"/>
    <w:rsid w:val="00675607"/>
    <w:rsid w:val="00675986"/>
    <w:rsid w:val="00695694"/>
    <w:rsid w:val="006A21C2"/>
    <w:rsid w:val="006A3B47"/>
    <w:rsid w:val="006A7A0A"/>
    <w:rsid w:val="006C1047"/>
    <w:rsid w:val="006C3226"/>
    <w:rsid w:val="006C3C85"/>
    <w:rsid w:val="006D4BB7"/>
    <w:rsid w:val="006D75BD"/>
    <w:rsid w:val="006E4407"/>
    <w:rsid w:val="006F44F9"/>
    <w:rsid w:val="007114E7"/>
    <w:rsid w:val="00714B9D"/>
    <w:rsid w:val="0071588F"/>
    <w:rsid w:val="0073239A"/>
    <w:rsid w:val="0073727C"/>
    <w:rsid w:val="00741AC1"/>
    <w:rsid w:val="00744AF3"/>
    <w:rsid w:val="00747024"/>
    <w:rsid w:val="00747E56"/>
    <w:rsid w:val="00751672"/>
    <w:rsid w:val="0075510C"/>
    <w:rsid w:val="00775593"/>
    <w:rsid w:val="00782A08"/>
    <w:rsid w:val="00786153"/>
    <w:rsid w:val="007925E7"/>
    <w:rsid w:val="00792C70"/>
    <w:rsid w:val="007965B0"/>
    <w:rsid w:val="007A49B5"/>
    <w:rsid w:val="007B1672"/>
    <w:rsid w:val="007B1D2D"/>
    <w:rsid w:val="007B46F9"/>
    <w:rsid w:val="007B6CF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4410F"/>
    <w:rsid w:val="008506A0"/>
    <w:rsid w:val="00851A4F"/>
    <w:rsid w:val="00866264"/>
    <w:rsid w:val="008663C0"/>
    <w:rsid w:val="008746E1"/>
    <w:rsid w:val="008803F7"/>
    <w:rsid w:val="00881C76"/>
    <w:rsid w:val="0088763C"/>
    <w:rsid w:val="00893B0E"/>
    <w:rsid w:val="008946FA"/>
    <w:rsid w:val="00894839"/>
    <w:rsid w:val="0089761B"/>
    <w:rsid w:val="008A020E"/>
    <w:rsid w:val="008A60E2"/>
    <w:rsid w:val="008B1A8B"/>
    <w:rsid w:val="008B282A"/>
    <w:rsid w:val="008B2B8B"/>
    <w:rsid w:val="008C693F"/>
    <w:rsid w:val="008D6D09"/>
    <w:rsid w:val="008D761F"/>
    <w:rsid w:val="008E5A53"/>
    <w:rsid w:val="008F013A"/>
    <w:rsid w:val="008F2189"/>
    <w:rsid w:val="008F22F9"/>
    <w:rsid w:val="008F554F"/>
    <w:rsid w:val="008F6AC3"/>
    <w:rsid w:val="009077E3"/>
    <w:rsid w:val="00910EF2"/>
    <w:rsid w:val="00913B17"/>
    <w:rsid w:val="009166DD"/>
    <w:rsid w:val="0091672D"/>
    <w:rsid w:val="009342E4"/>
    <w:rsid w:val="009445E9"/>
    <w:rsid w:val="009634B4"/>
    <w:rsid w:val="009643E3"/>
    <w:rsid w:val="009649FC"/>
    <w:rsid w:val="00965F82"/>
    <w:rsid w:val="0098237A"/>
    <w:rsid w:val="00982B8E"/>
    <w:rsid w:val="009830C8"/>
    <w:rsid w:val="00983B9A"/>
    <w:rsid w:val="009877CF"/>
    <w:rsid w:val="00987B98"/>
    <w:rsid w:val="00995E0A"/>
    <w:rsid w:val="009B1C06"/>
    <w:rsid w:val="009C22D0"/>
    <w:rsid w:val="009D5A08"/>
    <w:rsid w:val="009E69A1"/>
    <w:rsid w:val="009F24FB"/>
    <w:rsid w:val="009F4939"/>
    <w:rsid w:val="009F7BD8"/>
    <w:rsid w:val="00A022C7"/>
    <w:rsid w:val="00A02D20"/>
    <w:rsid w:val="00A0627A"/>
    <w:rsid w:val="00A129EC"/>
    <w:rsid w:val="00A22653"/>
    <w:rsid w:val="00A23BC5"/>
    <w:rsid w:val="00A24F45"/>
    <w:rsid w:val="00A345AE"/>
    <w:rsid w:val="00A34ACF"/>
    <w:rsid w:val="00A409B8"/>
    <w:rsid w:val="00A4383B"/>
    <w:rsid w:val="00A475EE"/>
    <w:rsid w:val="00A523A9"/>
    <w:rsid w:val="00A52E9C"/>
    <w:rsid w:val="00A67786"/>
    <w:rsid w:val="00A67C1E"/>
    <w:rsid w:val="00A67CA9"/>
    <w:rsid w:val="00A761ED"/>
    <w:rsid w:val="00A76B1D"/>
    <w:rsid w:val="00A85AEB"/>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4DD4"/>
    <w:rsid w:val="00B2590D"/>
    <w:rsid w:val="00B32E66"/>
    <w:rsid w:val="00B34848"/>
    <w:rsid w:val="00B40E21"/>
    <w:rsid w:val="00B45676"/>
    <w:rsid w:val="00B45F71"/>
    <w:rsid w:val="00B5018B"/>
    <w:rsid w:val="00B5293A"/>
    <w:rsid w:val="00B665D7"/>
    <w:rsid w:val="00B70860"/>
    <w:rsid w:val="00B71D02"/>
    <w:rsid w:val="00B922CF"/>
    <w:rsid w:val="00BA47D2"/>
    <w:rsid w:val="00BA61F7"/>
    <w:rsid w:val="00BB3104"/>
    <w:rsid w:val="00BB352A"/>
    <w:rsid w:val="00BC2D8F"/>
    <w:rsid w:val="00BC7240"/>
    <w:rsid w:val="00BD42F1"/>
    <w:rsid w:val="00BE1D82"/>
    <w:rsid w:val="00BE6352"/>
    <w:rsid w:val="00BE6EE0"/>
    <w:rsid w:val="00BF016F"/>
    <w:rsid w:val="00BF5F04"/>
    <w:rsid w:val="00C052E4"/>
    <w:rsid w:val="00C1140C"/>
    <w:rsid w:val="00C1195C"/>
    <w:rsid w:val="00C136F0"/>
    <w:rsid w:val="00C150A5"/>
    <w:rsid w:val="00C21F78"/>
    <w:rsid w:val="00C224B0"/>
    <w:rsid w:val="00C25C02"/>
    <w:rsid w:val="00C27A38"/>
    <w:rsid w:val="00C322C5"/>
    <w:rsid w:val="00C34D87"/>
    <w:rsid w:val="00C37F96"/>
    <w:rsid w:val="00C419F9"/>
    <w:rsid w:val="00C426F5"/>
    <w:rsid w:val="00C45D4C"/>
    <w:rsid w:val="00C546D2"/>
    <w:rsid w:val="00C61510"/>
    <w:rsid w:val="00C61561"/>
    <w:rsid w:val="00C6634A"/>
    <w:rsid w:val="00C7068E"/>
    <w:rsid w:val="00C769EE"/>
    <w:rsid w:val="00C76CEA"/>
    <w:rsid w:val="00C86201"/>
    <w:rsid w:val="00C908AD"/>
    <w:rsid w:val="00C920E5"/>
    <w:rsid w:val="00C94BB9"/>
    <w:rsid w:val="00CA1E0E"/>
    <w:rsid w:val="00CA5BA3"/>
    <w:rsid w:val="00CB0D2B"/>
    <w:rsid w:val="00CB4F5E"/>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5F74"/>
    <w:rsid w:val="00D4029A"/>
    <w:rsid w:val="00D416A5"/>
    <w:rsid w:val="00D50C56"/>
    <w:rsid w:val="00D5488B"/>
    <w:rsid w:val="00D55074"/>
    <w:rsid w:val="00D55AA4"/>
    <w:rsid w:val="00D6261D"/>
    <w:rsid w:val="00D6598A"/>
    <w:rsid w:val="00D65F4B"/>
    <w:rsid w:val="00D71653"/>
    <w:rsid w:val="00D72436"/>
    <w:rsid w:val="00D74741"/>
    <w:rsid w:val="00D8063C"/>
    <w:rsid w:val="00D926F9"/>
    <w:rsid w:val="00D93182"/>
    <w:rsid w:val="00D961B5"/>
    <w:rsid w:val="00DA7FD6"/>
    <w:rsid w:val="00DB7EE0"/>
    <w:rsid w:val="00DC3D81"/>
    <w:rsid w:val="00DD3E7F"/>
    <w:rsid w:val="00DE0ECC"/>
    <w:rsid w:val="00DE2348"/>
    <w:rsid w:val="00DE3943"/>
    <w:rsid w:val="00DE562E"/>
    <w:rsid w:val="00DE77F8"/>
    <w:rsid w:val="00DF0138"/>
    <w:rsid w:val="00DF294A"/>
    <w:rsid w:val="00E00EAF"/>
    <w:rsid w:val="00E0236A"/>
    <w:rsid w:val="00E11739"/>
    <w:rsid w:val="00E12F72"/>
    <w:rsid w:val="00E15A2D"/>
    <w:rsid w:val="00E15B2B"/>
    <w:rsid w:val="00E201B9"/>
    <w:rsid w:val="00E229A1"/>
    <w:rsid w:val="00E267A5"/>
    <w:rsid w:val="00E34A34"/>
    <w:rsid w:val="00E35AC9"/>
    <w:rsid w:val="00E413A9"/>
    <w:rsid w:val="00E5003A"/>
    <w:rsid w:val="00E514FA"/>
    <w:rsid w:val="00E56529"/>
    <w:rsid w:val="00E6135C"/>
    <w:rsid w:val="00E61A2E"/>
    <w:rsid w:val="00E67591"/>
    <w:rsid w:val="00E67A2A"/>
    <w:rsid w:val="00E728B0"/>
    <w:rsid w:val="00E75758"/>
    <w:rsid w:val="00E75BC0"/>
    <w:rsid w:val="00E85ECC"/>
    <w:rsid w:val="00E877A2"/>
    <w:rsid w:val="00E9292D"/>
    <w:rsid w:val="00EA2B0E"/>
    <w:rsid w:val="00EA56F6"/>
    <w:rsid w:val="00EA77CE"/>
    <w:rsid w:val="00EB1DAB"/>
    <w:rsid w:val="00EC15BD"/>
    <w:rsid w:val="00EC38D5"/>
    <w:rsid w:val="00EC477B"/>
    <w:rsid w:val="00ED0F47"/>
    <w:rsid w:val="00EE34BE"/>
    <w:rsid w:val="00EF6C00"/>
    <w:rsid w:val="00EF6C7F"/>
    <w:rsid w:val="00F2180F"/>
    <w:rsid w:val="00F31732"/>
    <w:rsid w:val="00F31F04"/>
    <w:rsid w:val="00F327E2"/>
    <w:rsid w:val="00F32B04"/>
    <w:rsid w:val="00F34A38"/>
    <w:rsid w:val="00F375FF"/>
    <w:rsid w:val="00F424E7"/>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B2D6A"/>
    <w:rsid w:val="00FB773C"/>
    <w:rsid w:val="00FC4DCA"/>
    <w:rsid w:val="00FC4DD1"/>
    <w:rsid w:val="00FD1DCC"/>
    <w:rsid w:val="00FD2E3D"/>
    <w:rsid w:val="00FE5CAF"/>
    <w:rsid w:val="00FE6157"/>
    <w:rsid w:val="00FE74BE"/>
    <w:rsid w:val="00FF0B73"/>
    <w:rsid w:val="00FF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AC1"/>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ListParagraph">
    <w:name w:val="List Paragraph"/>
    <w:basedOn w:val="Normal"/>
    <w:uiPriority w:val="34"/>
    <w:qFormat/>
    <w:rsid w:val="001F0BC7"/>
    <w:pPr>
      <w:ind w:left="720"/>
    </w:pPr>
  </w:style>
</w:styles>
</file>

<file path=word/webSettings.xml><?xml version="1.0" encoding="utf-8"?>
<w:webSettings xmlns:r="http://schemas.openxmlformats.org/officeDocument/2006/relationships" xmlns:w="http://schemas.openxmlformats.org/wordprocessingml/2006/main">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81785-8632-478F-B317-92739767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1645</Words>
  <Characters>9378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JANDEBEUR</dc:creator>
  <cp:keywords/>
  <dc:description/>
  <cp:lastModifiedBy>shoffner</cp:lastModifiedBy>
  <cp:revision>2</cp:revision>
  <cp:lastPrinted>2010-04-19T14:59:00Z</cp:lastPrinted>
  <dcterms:created xsi:type="dcterms:W3CDTF">2010-05-24T15:11:00Z</dcterms:created>
  <dcterms:modified xsi:type="dcterms:W3CDTF">2010-05-24T15:11:00Z</dcterms:modified>
</cp:coreProperties>
</file>