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D0B" w:rsidRPr="001B271C" w:rsidRDefault="006C0D0B" w:rsidP="006C0D0B">
      <w:pPr>
        <w:jc w:val="center"/>
        <w:rPr>
          <w:b/>
          <w:sz w:val="26"/>
        </w:rPr>
      </w:pPr>
      <w:smartTag w:uri="urn:schemas-microsoft-com:office:smarttags" w:element="State">
        <w:smartTag w:uri="urn:schemas-microsoft-com:office:smarttags" w:element="place">
          <w:r w:rsidRPr="001B271C">
            <w:rPr>
              <w:b/>
              <w:sz w:val="26"/>
            </w:rPr>
            <w:t>PENNSYLVANIA</w:t>
          </w:r>
        </w:smartTag>
      </w:smartTag>
    </w:p>
    <w:p w:rsidR="006C0D0B" w:rsidRPr="001B271C" w:rsidRDefault="006C0D0B" w:rsidP="006C0D0B">
      <w:pPr>
        <w:jc w:val="center"/>
        <w:rPr>
          <w:b/>
          <w:sz w:val="26"/>
        </w:rPr>
      </w:pPr>
      <w:r w:rsidRPr="001B271C">
        <w:rPr>
          <w:b/>
          <w:sz w:val="26"/>
        </w:rPr>
        <w:t>PUBLIC UTILITY COMMISSION</w:t>
      </w:r>
    </w:p>
    <w:p w:rsidR="006C0D0B" w:rsidRPr="001B271C" w:rsidRDefault="006C0D0B" w:rsidP="006C0D0B">
      <w:pPr>
        <w:jc w:val="center"/>
        <w:rPr>
          <w:b/>
          <w:sz w:val="26"/>
        </w:rPr>
      </w:pPr>
      <w:smartTag w:uri="urn:schemas-microsoft-com:office:smarttags" w:element="place">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p>
    <w:p w:rsidR="006C0D0B" w:rsidRPr="001B271C" w:rsidRDefault="006C0D0B" w:rsidP="006C0D0B">
      <w:pPr>
        <w:jc w:val="center"/>
        <w:rPr>
          <w:sz w:val="26"/>
        </w:rPr>
      </w:pPr>
    </w:p>
    <w:p w:rsidR="006C0D0B" w:rsidRPr="001B271C" w:rsidRDefault="006C0D0B" w:rsidP="006C0D0B">
      <w:pPr>
        <w:jc w:val="center"/>
        <w:rPr>
          <w:sz w:val="26"/>
        </w:rPr>
      </w:pPr>
    </w:p>
    <w:p w:rsidR="006C0D0B" w:rsidRPr="005335A8" w:rsidRDefault="006C0D0B" w:rsidP="006C0D0B">
      <w:pPr>
        <w:rPr>
          <w:sz w:val="26"/>
          <w:szCs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Pr>
          <w:sz w:val="26"/>
        </w:rPr>
        <w:tab/>
      </w:r>
      <w:r w:rsidRPr="005335A8">
        <w:rPr>
          <w:sz w:val="26"/>
          <w:szCs w:val="26"/>
        </w:rPr>
        <w:t xml:space="preserve">Public Meeting held </w:t>
      </w:r>
      <w:r w:rsidR="005335A8" w:rsidRPr="005335A8">
        <w:rPr>
          <w:sz w:val="26"/>
          <w:szCs w:val="26"/>
        </w:rPr>
        <w:t>February 25, 2010</w:t>
      </w:r>
    </w:p>
    <w:p w:rsidR="006C0D0B" w:rsidRPr="005335A8" w:rsidRDefault="006C0D0B" w:rsidP="006C0D0B">
      <w:pPr>
        <w:jc w:val="center"/>
        <w:rPr>
          <w:sz w:val="26"/>
          <w:szCs w:val="26"/>
        </w:rPr>
      </w:pPr>
    </w:p>
    <w:p w:rsidR="006C0D0B" w:rsidRPr="005335A8" w:rsidRDefault="006C0D0B" w:rsidP="006C0D0B">
      <w:pPr>
        <w:jc w:val="center"/>
        <w:rPr>
          <w:sz w:val="26"/>
          <w:szCs w:val="26"/>
        </w:rPr>
      </w:pPr>
    </w:p>
    <w:p w:rsidR="006C0D0B" w:rsidRPr="005335A8" w:rsidRDefault="006C0D0B" w:rsidP="006C0D0B">
      <w:pPr>
        <w:rPr>
          <w:sz w:val="26"/>
          <w:szCs w:val="26"/>
        </w:rPr>
      </w:pPr>
    </w:p>
    <w:p w:rsidR="006C0D0B" w:rsidRPr="005335A8" w:rsidRDefault="006C0D0B" w:rsidP="006C0D0B">
      <w:pPr>
        <w:rPr>
          <w:sz w:val="26"/>
          <w:szCs w:val="26"/>
        </w:rPr>
      </w:pPr>
      <w:r w:rsidRPr="005335A8">
        <w:rPr>
          <w:sz w:val="26"/>
          <w:szCs w:val="26"/>
        </w:rPr>
        <w:t>Commissioners Present:</w:t>
      </w:r>
    </w:p>
    <w:p w:rsidR="006C0D0B" w:rsidRPr="005335A8" w:rsidRDefault="006C0D0B" w:rsidP="006C0D0B">
      <w:pPr>
        <w:rPr>
          <w:sz w:val="26"/>
          <w:szCs w:val="26"/>
        </w:rPr>
      </w:pPr>
    </w:p>
    <w:p w:rsidR="006C0D0B" w:rsidRPr="005335A8" w:rsidRDefault="006C0D0B" w:rsidP="006C0D0B">
      <w:pPr>
        <w:rPr>
          <w:sz w:val="26"/>
          <w:szCs w:val="26"/>
        </w:rPr>
      </w:pPr>
      <w:r w:rsidRPr="005335A8">
        <w:rPr>
          <w:sz w:val="26"/>
          <w:szCs w:val="26"/>
        </w:rPr>
        <w:tab/>
        <w:t>James H. Cawley, Chairman</w:t>
      </w:r>
    </w:p>
    <w:p w:rsidR="006C0D0B" w:rsidRPr="005335A8" w:rsidRDefault="006C0D0B" w:rsidP="006C0D0B">
      <w:pPr>
        <w:rPr>
          <w:sz w:val="26"/>
          <w:szCs w:val="26"/>
        </w:rPr>
      </w:pPr>
      <w:r w:rsidRPr="005335A8">
        <w:rPr>
          <w:sz w:val="26"/>
          <w:szCs w:val="26"/>
        </w:rPr>
        <w:tab/>
        <w:t>Tyrone J. Christy, Vice Chairman</w:t>
      </w:r>
    </w:p>
    <w:p w:rsidR="006C0D0B" w:rsidRPr="005335A8" w:rsidRDefault="006C0D0B" w:rsidP="006C0D0B">
      <w:pPr>
        <w:rPr>
          <w:sz w:val="26"/>
          <w:szCs w:val="26"/>
        </w:rPr>
      </w:pPr>
      <w:r w:rsidRPr="005335A8">
        <w:rPr>
          <w:sz w:val="26"/>
          <w:szCs w:val="26"/>
        </w:rPr>
        <w:tab/>
        <w:t>Kim Pizzingrilli</w:t>
      </w:r>
    </w:p>
    <w:p w:rsidR="006C0D0B" w:rsidRPr="005335A8" w:rsidRDefault="006C0D0B" w:rsidP="006C0D0B">
      <w:pPr>
        <w:rPr>
          <w:sz w:val="26"/>
          <w:szCs w:val="26"/>
        </w:rPr>
      </w:pPr>
      <w:r w:rsidRPr="005335A8">
        <w:rPr>
          <w:sz w:val="26"/>
          <w:szCs w:val="26"/>
        </w:rPr>
        <w:tab/>
        <w:t>Wayne E. Gardner</w:t>
      </w:r>
    </w:p>
    <w:p w:rsidR="006C0D0B" w:rsidRPr="005335A8" w:rsidRDefault="006C0D0B" w:rsidP="006C0D0B">
      <w:pPr>
        <w:rPr>
          <w:sz w:val="26"/>
          <w:szCs w:val="26"/>
        </w:rPr>
      </w:pPr>
      <w:r w:rsidRPr="005335A8">
        <w:rPr>
          <w:sz w:val="26"/>
          <w:szCs w:val="26"/>
        </w:rPr>
        <w:tab/>
        <w:t>Robert F. Powelson</w:t>
      </w:r>
    </w:p>
    <w:p w:rsidR="005335A8" w:rsidRPr="005335A8" w:rsidRDefault="005335A8" w:rsidP="006C0D0B">
      <w:pPr>
        <w:rPr>
          <w:sz w:val="26"/>
          <w:szCs w:val="26"/>
        </w:rPr>
      </w:pPr>
    </w:p>
    <w:p w:rsidR="005335A8" w:rsidRPr="005335A8" w:rsidRDefault="005335A8" w:rsidP="006C0D0B">
      <w:pPr>
        <w:rPr>
          <w:sz w:val="26"/>
          <w:szCs w:val="26"/>
        </w:rPr>
      </w:pPr>
    </w:p>
    <w:p w:rsidR="006C0D0B" w:rsidRPr="005335A8" w:rsidRDefault="006C0D0B" w:rsidP="006C0D0B">
      <w:pPr>
        <w:rPr>
          <w:sz w:val="26"/>
          <w:szCs w:val="26"/>
        </w:rPr>
      </w:pPr>
    </w:p>
    <w:p w:rsidR="006C0D0B" w:rsidRPr="005335A8" w:rsidRDefault="005335A8" w:rsidP="006C0D0B">
      <w:pPr>
        <w:rPr>
          <w:sz w:val="26"/>
          <w:szCs w:val="26"/>
        </w:rPr>
      </w:pPr>
      <w:r w:rsidRPr="005335A8">
        <w:rPr>
          <w:sz w:val="26"/>
          <w:szCs w:val="26"/>
        </w:rPr>
        <w:t>Randy and Linda King</w:t>
      </w:r>
      <w:r w:rsidR="00257023">
        <w:rPr>
          <w:sz w:val="26"/>
          <w:szCs w:val="26"/>
        </w:rPr>
        <w:tab/>
      </w:r>
      <w:r w:rsidR="00257023">
        <w:rPr>
          <w:sz w:val="26"/>
          <w:szCs w:val="26"/>
        </w:rPr>
        <w:tab/>
      </w:r>
      <w:r w:rsidR="00257023">
        <w:rPr>
          <w:sz w:val="26"/>
          <w:szCs w:val="26"/>
        </w:rPr>
        <w:tab/>
      </w:r>
      <w:r w:rsidR="00257023">
        <w:rPr>
          <w:sz w:val="26"/>
          <w:szCs w:val="26"/>
        </w:rPr>
        <w:tab/>
      </w:r>
      <w:r w:rsidR="00257023">
        <w:rPr>
          <w:sz w:val="26"/>
          <w:szCs w:val="26"/>
        </w:rPr>
        <w:tab/>
      </w:r>
      <w:r w:rsidR="00257023">
        <w:rPr>
          <w:sz w:val="26"/>
          <w:szCs w:val="26"/>
        </w:rPr>
        <w:tab/>
      </w:r>
      <w:r w:rsidR="00257023" w:rsidRPr="005335A8">
        <w:rPr>
          <w:sz w:val="26"/>
          <w:szCs w:val="26"/>
        </w:rPr>
        <w:t>C-2008-2038418</w:t>
      </w:r>
      <w:r w:rsidR="00257023">
        <w:rPr>
          <w:sz w:val="26"/>
          <w:szCs w:val="26"/>
        </w:rPr>
        <w:tab/>
      </w:r>
      <w:r w:rsidR="006C0D0B" w:rsidRPr="005335A8">
        <w:rPr>
          <w:sz w:val="26"/>
          <w:szCs w:val="26"/>
        </w:rPr>
        <w:tab/>
      </w:r>
      <w:r w:rsidR="006C0D0B" w:rsidRPr="005335A8">
        <w:rPr>
          <w:sz w:val="26"/>
          <w:szCs w:val="26"/>
        </w:rPr>
        <w:tab/>
      </w:r>
    </w:p>
    <w:p w:rsidR="006C0D0B" w:rsidRPr="005335A8" w:rsidRDefault="00257023" w:rsidP="00257023">
      <w:pPr>
        <w:rPr>
          <w:sz w:val="26"/>
          <w:szCs w:val="26"/>
        </w:rPr>
      </w:pP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5335A8" w:rsidRPr="005335A8">
        <w:rPr>
          <w:sz w:val="26"/>
          <w:szCs w:val="26"/>
        </w:rPr>
        <w:tab/>
      </w:r>
      <w:r w:rsidR="005335A8" w:rsidRPr="005335A8">
        <w:rPr>
          <w:sz w:val="26"/>
          <w:szCs w:val="26"/>
        </w:rPr>
        <w:tab/>
      </w:r>
    </w:p>
    <w:p w:rsidR="006C0D0B" w:rsidRPr="005335A8" w:rsidRDefault="00257023" w:rsidP="006C0D0B">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6C0D0B" w:rsidRPr="005335A8" w:rsidRDefault="005335A8" w:rsidP="006C0D0B">
      <w:pPr>
        <w:rPr>
          <w:sz w:val="26"/>
          <w:szCs w:val="26"/>
        </w:rPr>
      </w:pPr>
      <w:r w:rsidRPr="005335A8">
        <w:rPr>
          <w:sz w:val="26"/>
          <w:szCs w:val="26"/>
        </w:rPr>
        <w:t>Metropolitan Edison Company</w:t>
      </w:r>
      <w:r w:rsidR="00257023">
        <w:rPr>
          <w:sz w:val="26"/>
          <w:szCs w:val="26"/>
        </w:rPr>
        <w:tab/>
      </w:r>
      <w:r w:rsidR="00257023">
        <w:rPr>
          <w:sz w:val="26"/>
          <w:szCs w:val="26"/>
        </w:rPr>
        <w:tab/>
      </w:r>
      <w:r w:rsidR="00257023">
        <w:rPr>
          <w:sz w:val="26"/>
          <w:szCs w:val="26"/>
        </w:rPr>
        <w:tab/>
      </w:r>
    </w:p>
    <w:p w:rsidR="006C0D0B" w:rsidRPr="005335A8" w:rsidRDefault="006C0D0B" w:rsidP="006C0D0B">
      <w:pPr>
        <w:rPr>
          <w:sz w:val="26"/>
          <w:szCs w:val="26"/>
        </w:rPr>
      </w:pPr>
      <w:r w:rsidRPr="005335A8">
        <w:rPr>
          <w:sz w:val="26"/>
          <w:szCs w:val="26"/>
        </w:rPr>
        <w:tab/>
      </w:r>
      <w:r w:rsidRPr="005335A8">
        <w:rPr>
          <w:sz w:val="26"/>
          <w:szCs w:val="26"/>
        </w:rPr>
        <w:tab/>
      </w:r>
    </w:p>
    <w:p w:rsidR="005335A8" w:rsidRDefault="005335A8" w:rsidP="006C0D0B"/>
    <w:p w:rsidR="005335A8" w:rsidRDefault="005335A8" w:rsidP="006C0D0B"/>
    <w:p w:rsidR="006C0D0B" w:rsidRPr="001B271C" w:rsidRDefault="006C0D0B" w:rsidP="006C0D0B">
      <w:pPr>
        <w:jc w:val="center"/>
        <w:rPr>
          <w:b/>
          <w:sz w:val="26"/>
        </w:rPr>
      </w:pPr>
      <w:r>
        <w:rPr>
          <w:b/>
          <w:sz w:val="26"/>
        </w:rPr>
        <w:t xml:space="preserve">OPINION AND </w:t>
      </w:r>
      <w:r w:rsidRPr="001B271C">
        <w:rPr>
          <w:b/>
          <w:sz w:val="26"/>
        </w:rPr>
        <w:t>ORDER</w:t>
      </w:r>
    </w:p>
    <w:p w:rsidR="006C0D0B" w:rsidRPr="001B271C" w:rsidRDefault="006C0D0B" w:rsidP="006C0D0B">
      <w:pPr>
        <w:rPr>
          <w:sz w:val="26"/>
        </w:rPr>
      </w:pPr>
    </w:p>
    <w:p w:rsidR="006C0D0B" w:rsidRPr="001B271C" w:rsidRDefault="006C0D0B" w:rsidP="006C0D0B">
      <w:pPr>
        <w:rPr>
          <w:sz w:val="26"/>
        </w:rPr>
      </w:pPr>
    </w:p>
    <w:p w:rsidR="006C0D0B" w:rsidRPr="001B271C" w:rsidRDefault="006C0D0B" w:rsidP="006C0D0B">
      <w:pPr>
        <w:rPr>
          <w:sz w:val="26"/>
        </w:rPr>
      </w:pPr>
      <w:r w:rsidRPr="001B271C">
        <w:rPr>
          <w:b/>
          <w:sz w:val="26"/>
        </w:rPr>
        <w:t>BY THE COMMISSION:</w:t>
      </w:r>
    </w:p>
    <w:p w:rsidR="006C0D0B" w:rsidRDefault="006C0D0B" w:rsidP="006C0D0B">
      <w:pPr>
        <w:spacing w:line="360" w:lineRule="auto"/>
        <w:rPr>
          <w:sz w:val="26"/>
        </w:rPr>
      </w:pPr>
    </w:p>
    <w:p w:rsidR="006C0D0B" w:rsidRDefault="006C0D0B" w:rsidP="006C0D0B">
      <w:pPr>
        <w:spacing w:after="360" w:line="360" w:lineRule="auto"/>
        <w:ind w:firstLine="1440"/>
        <w:rPr>
          <w:sz w:val="26"/>
        </w:rPr>
      </w:pPr>
      <w:r>
        <w:rPr>
          <w:sz w:val="26"/>
        </w:rPr>
        <w:t xml:space="preserve">Before the Commission for consideration and disposition is </w:t>
      </w:r>
      <w:r w:rsidR="00F84EFD">
        <w:rPr>
          <w:sz w:val="26"/>
        </w:rPr>
        <w:t xml:space="preserve">Initial Decision </w:t>
      </w:r>
      <w:r w:rsidR="00257023">
        <w:rPr>
          <w:sz w:val="26"/>
        </w:rPr>
        <w:t xml:space="preserve">(I.D.) </w:t>
      </w:r>
      <w:r w:rsidR="00F84EFD">
        <w:rPr>
          <w:sz w:val="26"/>
        </w:rPr>
        <w:t xml:space="preserve">in this case </w:t>
      </w:r>
      <w:r w:rsidR="00257023">
        <w:rPr>
          <w:sz w:val="26"/>
        </w:rPr>
        <w:t xml:space="preserve">which </w:t>
      </w:r>
      <w:r w:rsidR="00F84EFD">
        <w:rPr>
          <w:sz w:val="26"/>
        </w:rPr>
        <w:t>was issued on July 15, 2009.  No Exceptions were filed.</w:t>
      </w:r>
      <w:r w:rsidR="00257023">
        <w:rPr>
          <w:sz w:val="26"/>
        </w:rPr>
        <w:t xml:space="preserve">  Nevertheless, we have exercised our right to review the Initial Decision pursuant to 66 Pa. C.S. § 332(h).</w:t>
      </w:r>
      <w:r w:rsidR="004314C1">
        <w:rPr>
          <w:sz w:val="26"/>
        </w:rPr>
        <w:t xml:space="preserve"> </w:t>
      </w:r>
    </w:p>
    <w:p w:rsidR="00F103CE" w:rsidRDefault="00F103CE" w:rsidP="006C0D0B">
      <w:pPr>
        <w:spacing w:after="360" w:line="360" w:lineRule="auto"/>
        <w:ind w:firstLine="1440"/>
        <w:rPr>
          <w:sz w:val="26"/>
        </w:rPr>
      </w:pPr>
    </w:p>
    <w:p w:rsidR="006C0D0B" w:rsidRDefault="006C0D0B" w:rsidP="006C0D0B">
      <w:pPr>
        <w:spacing w:after="360" w:line="360" w:lineRule="auto"/>
        <w:ind w:firstLine="1440"/>
        <w:rPr>
          <w:sz w:val="26"/>
        </w:rPr>
      </w:pPr>
    </w:p>
    <w:p w:rsidR="006C0D0B" w:rsidRPr="00AA3BA2" w:rsidRDefault="006C0D0B" w:rsidP="006C0D0B">
      <w:pPr>
        <w:spacing w:after="360" w:line="360" w:lineRule="auto"/>
        <w:jc w:val="center"/>
        <w:rPr>
          <w:b/>
          <w:sz w:val="26"/>
          <w:u w:val="single"/>
        </w:rPr>
      </w:pPr>
      <w:r w:rsidRPr="00AA3BA2">
        <w:rPr>
          <w:b/>
          <w:sz w:val="26"/>
          <w:u w:val="single"/>
        </w:rPr>
        <w:lastRenderedPageBreak/>
        <w:t>History of the Proceeding</w:t>
      </w:r>
    </w:p>
    <w:p w:rsidR="006C0D0B" w:rsidRPr="00AA3BA2" w:rsidRDefault="006C0D0B" w:rsidP="006C0D0B">
      <w:pPr>
        <w:spacing w:after="360" w:line="360" w:lineRule="auto"/>
        <w:ind w:firstLine="1440"/>
        <w:rPr>
          <w:sz w:val="26"/>
        </w:rPr>
      </w:pPr>
      <w:r w:rsidRPr="00AA3BA2">
        <w:rPr>
          <w:sz w:val="26"/>
        </w:rPr>
        <w:t>Th</w:t>
      </w:r>
      <w:r>
        <w:rPr>
          <w:sz w:val="26"/>
        </w:rPr>
        <w:t xml:space="preserve">is proceeding had its origin in </w:t>
      </w:r>
      <w:r w:rsidR="00257023">
        <w:rPr>
          <w:sz w:val="26"/>
        </w:rPr>
        <w:t>the</w:t>
      </w:r>
      <w:r>
        <w:rPr>
          <w:sz w:val="26"/>
        </w:rPr>
        <w:t xml:space="preserve"> </w:t>
      </w:r>
      <w:r w:rsidR="00F84EFD">
        <w:rPr>
          <w:sz w:val="26"/>
        </w:rPr>
        <w:t>Fo</w:t>
      </w:r>
      <w:r w:rsidR="00C61FE1">
        <w:rPr>
          <w:sz w:val="26"/>
        </w:rPr>
        <w:t>rmal Complaint</w:t>
      </w:r>
      <w:r w:rsidRPr="00AA3BA2">
        <w:rPr>
          <w:sz w:val="26"/>
        </w:rPr>
        <w:t xml:space="preserve"> </w:t>
      </w:r>
      <w:r w:rsidR="00257023">
        <w:rPr>
          <w:sz w:val="26"/>
        </w:rPr>
        <w:t xml:space="preserve">of </w:t>
      </w:r>
      <w:r w:rsidR="00C61FE1">
        <w:rPr>
          <w:sz w:val="26"/>
        </w:rPr>
        <w:t xml:space="preserve">Randy and Linda King </w:t>
      </w:r>
      <w:r w:rsidRPr="00AA3BA2">
        <w:rPr>
          <w:sz w:val="26"/>
        </w:rPr>
        <w:t>alleging reliability, safety and quality of service disputes</w:t>
      </w:r>
      <w:r w:rsidR="00C61FE1">
        <w:rPr>
          <w:sz w:val="26"/>
        </w:rPr>
        <w:t>,</w:t>
      </w:r>
      <w:r w:rsidRPr="00AA3BA2">
        <w:rPr>
          <w:sz w:val="26"/>
        </w:rPr>
        <w:t xml:space="preserve"> </w:t>
      </w:r>
      <w:r>
        <w:rPr>
          <w:sz w:val="26"/>
        </w:rPr>
        <w:t xml:space="preserve">which </w:t>
      </w:r>
      <w:r w:rsidRPr="00AA3BA2">
        <w:rPr>
          <w:sz w:val="26"/>
        </w:rPr>
        <w:t xml:space="preserve">were filed against </w:t>
      </w:r>
      <w:r w:rsidR="00257023">
        <w:rPr>
          <w:sz w:val="26"/>
        </w:rPr>
        <w:t>Metropolitan Edison Company (</w:t>
      </w:r>
      <w:r w:rsidR="00F84EFD">
        <w:rPr>
          <w:sz w:val="26"/>
        </w:rPr>
        <w:t>Met Ed</w:t>
      </w:r>
      <w:r w:rsidR="00257023">
        <w:rPr>
          <w:sz w:val="26"/>
        </w:rPr>
        <w:t>)</w:t>
      </w:r>
      <w:r w:rsidR="00F84EFD">
        <w:rPr>
          <w:sz w:val="26"/>
        </w:rPr>
        <w:t xml:space="preserve"> </w:t>
      </w:r>
      <w:r w:rsidR="001A3B01">
        <w:rPr>
          <w:sz w:val="26"/>
        </w:rPr>
        <w:t xml:space="preserve">on April 22, 2008, with respect to Met Ed’s </w:t>
      </w:r>
      <w:r w:rsidRPr="00AA3BA2">
        <w:rPr>
          <w:sz w:val="26"/>
        </w:rPr>
        <w:t xml:space="preserve">elimination of its Outdoor </w:t>
      </w:r>
      <w:r>
        <w:rPr>
          <w:sz w:val="26"/>
        </w:rPr>
        <w:t xml:space="preserve">Area </w:t>
      </w:r>
      <w:r w:rsidRPr="00AA3BA2">
        <w:rPr>
          <w:sz w:val="26"/>
        </w:rPr>
        <w:t>Lighting Service</w:t>
      </w:r>
      <w:r>
        <w:rPr>
          <w:sz w:val="26"/>
        </w:rPr>
        <w:t xml:space="preserve"> (OAL Service)</w:t>
      </w:r>
      <w:r w:rsidRPr="00AA3BA2">
        <w:rPr>
          <w:sz w:val="26"/>
        </w:rPr>
        <w:t xml:space="preserve">.  </w:t>
      </w:r>
      <w:r w:rsidR="001A3B01">
        <w:rPr>
          <w:sz w:val="26"/>
        </w:rPr>
        <w:t xml:space="preserve"> On May 20, 2008, Met Ed filed an Answer </w:t>
      </w:r>
      <w:r w:rsidR="00DF49D5">
        <w:rPr>
          <w:sz w:val="26"/>
        </w:rPr>
        <w:t xml:space="preserve">and New Matter </w:t>
      </w:r>
      <w:r w:rsidR="001A3B01">
        <w:rPr>
          <w:sz w:val="26"/>
        </w:rPr>
        <w:t>to the Complaint</w:t>
      </w:r>
      <w:r w:rsidR="00DF49D5">
        <w:rPr>
          <w:sz w:val="26"/>
        </w:rPr>
        <w:t xml:space="preserve"> asserting that Met Ed has provided service to the Complainants consistent with Met Ed’s tariff</w:t>
      </w:r>
      <w:r w:rsidR="001A3B01">
        <w:rPr>
          <w:sz w:val="26"/>
        </w:rPr>
        <w:t xml:space="preserve"> </w:t>
      </w:r>
      <w:r w:rsidR="00DF49D5" w:rsidRPr="00DF49D5">
        <w:rPr>
          <w:sz w:val="26"/>
        </w:rPr>
        <w:t>and that, effective January 11, 2007, the Respondent’s tariff restricted outdoor lighting service to existing customers and eliminated the service for all customers by the earlier of the termination of the customer’s existing outdoor lighting contract or June 10, 2012.</w:t>
      </w:r>
    </w:p>
    <w:p w:rsidR="00167310" w:rsidRDefault="006C0D0B" w:rsidP="006C0D0B">
      <w:pPr>
        <w:spacing w:after="360" w:line="360" w:lineRule="auto"/>
        <w:ind w:firstLine="1440"/>
        <w:rPr>
          <w:sz w:val="26"/>
        </w:rPr>
      </w:pPr>
      <w:r>
        <w:rPr>
          <w:sz w:val="26"/>
        </w:rPr>
        <w:t>O</w:t>
      </w:r>
      <w:r w:rsidRPr="00AA3BA2">
        <w:rPr>
          <w:sz w:val="26"/>
        </w:rPr>
        <w:t xml:space="preserve">n </w:t>
      </w:r>
      <w:r w:rsidR="00DF49D5">
        <w:rPr>
          <w:sz w:val="26"/>
        </w:rPr>
        <w:t xml:space="preserve">May 21, 2009, Administrative Law Judge </w:t>
      </w:r>
      <w:r w:rsidR="00167310">
        <w:rPr>
          <w:sz w:val="26"/>
        </w:rPr>
        <w:t xml:space="preserve">(ALJ) </w:t>
      </w:r>
      <w:r w:rsidR="00DF49D5">
        <w:rPr>
          <w:sz w:val="26"/>
        </w:rPr>
        <w:t xml:space="preserve">David </w:t>
      </w:r>
      <w:r w:rsidR="00167310">
        <w:rPr>
          <w:sz w:val="26"/>
        </w:rPr>
        <w:t>A. Salapa conducted a telephonic hearing in this matter.</w:t>
      </w:r>
    </w:p>
    <w:p w:rsidR="00167310" w:rsidRDefault="006C0D0B" w:rsidP="006C0D0B">
      <w:pPr>
        <w:spacing w:after="360" w:line="360" w:lineRule="auto"/>
        <w:ind w:firstLine="1440"/>
        <w:rPr>
          <w:sz w:val="26"/>
        </w:rPr>
      </w:pPr>
      <w:r w:rsidRPr="00AA3BA2">
        <w:rPr>
          <w:sz w:val="26"/>
        </w:rPr>
        <w:t xml:space="preserve">On </w:t>
      </w:r>
      <w:r w:rsidR="00167310">
        <w:rPr>
          <w:sz w:val="26"/>
        </w:rPr>
        <w:t>July 15, 2009</w:t>
      </w:r>
      <w:r w:rsidRPr="00AA3BA2">
        <w:rPr>
          <w:sz w:val="26"/>
        </w:rPr>
        <w:t xml:space="preserve">, </w:t>
      </w:r>
      <w:r>
        <w:rPr>
          <w:sz w:val="26"/>
        </w:rPr>
        <w:t xml:space="preserve">the </w:t>
      </w:r>
      <w:r w:rsidRPr="00AA3BA2">
        <w:rPr>
          <w:sz w:val="26"/>
        </w:rPr>
        <w:t>ALJ issued an Initial Decision</w:t>
      </w:r>
      <w:r w:rsidR="00167310">
        <w:rPr>
          <w:sz w:val="26"/>
        </w:rPr>
        <w:t xml:space="preserve"> denying the Complaint</w:t>
      </w:r>
      <w:r w:rsidRPr="00AA3BA2">
        <w:rPr>
          <w:sz w:val="26"/>
        </w:rPr>
        <w:t xml:space="preserve">.  </w:t>
      </w:r>
    </w:p>
    <w:p w:rsidR="006C0D0B" w:rsidRDefault="00167310" w:rsidP="006C0D0B">
      <w:pPr>
        <w:spacing w:after="360" w:line="360" w:lineRule="auto"/>
        <w:ind w:firstLine="1440"/>
        <w:rPr>
          <w:sz w:val="26"/>
        </w:rPr>
      </w:pPr>
      <w:r>
        <w:rPr>
          <w:sz w:val="26"/>
        </w:rPr>
        <w:t>O</w:t>
      </w:r>
      <w:r w:rsidR="006C0D0B">
        <w:rPr>
          <w:sz w:val="26"/>
        </w:rPr>
        <w:t xml:space="preserve">n March 26, 2009, we adopted an Opinion and Order affirming </w:t>
      </w:r>
      <w:r w:rsidR="00C91DCA">
        <w:rPr>
          <w:sz w:val="26"/>
        </w:rPr>
        <w:t>an</w:t>
      </w:r>
      <w:r w:rsidR="006C0D0B">
        <w:rPr>
          <w:sz w:val="26"/>
        </w:rPr>
        <w:t xml:space="preserve"> Initial Decision</w:t>
      </w:r>
      <w:r w:rsidR="00F553E3">
        <w:rPr>
          <w:sz w:val="26"/>
        </w:rPr>
        <w:t xml:space="preserve"> as modified by Motion of the Commission</w:t>
      </w:r>
      <w:r w:rsidR="006C0D0B">
        <w:rPr>
          <w:sz w:val="26"/>
        </w:rPr>
        <w:t xml:space="preserve"> </w:t>
      </w:r>
      <w:r w:rsidR="00C91DCA">
        <w:rPr>
          <w:sz w:val="26"/>
        </w:rPr>
        <w:t xml:space="preserve">in the case of </w:t>
      </w:r>
      <w:r w:rsidR="00C91DCA" w:rsidRPr="00C91DCA">
        <w:rPr>
          <w:i/>
          <w:sz w:val="26"/>
        </w:rPr>
        <w:t>Shoup et al. v. Pennsylvania Electric Company</w:t>
      </w:r>
      <w:r w:rsidR="00C91DCA">
        <w:rPr>
          <w:sz w:val="26"/>
        </w:rPr>
        <w:t xml:space="preserve">, </w:t>
      </w:r>
      <w:r w:rsidR="001F4383">
        <w:rPr>
          <w:sz w:val="26"/>
        </w:rPr>
        <w:t>Docket Nos. C-2008-</w:t>
      </w:r>
      <w:r w:rsidR="00A10F40">
        <w:rPr>
          <w:sz w:val="26"/>
        </w:rPr>
        <w:t>2031300</w:t>
      </w:r>
      <w:r w:rsidR="00C61FE1">
        <w:rPr>
          <w:sz w:val="26"/>
        </w:rPr>
        <w:t>,</w:t>
      </w:r>
      <w:r w:rsidR="00A10F40">
        <w:rPr>
          <w:sz w:val="26"/>
        </w:rPr>
        <w:t xml:space="preserve"> </w:t>
      </w:r>
      <w:r w:rsidR="00A10F40" w:rsidRPr="00A10F40">
        <w:rPr>
          <w:i/>
          <w:sz w:val="26"/>
        </w:rPr>
        <w:t>et seq.</w:t>
      </w:r>
      <w:r w:rsidR="00A10F40">
        <w:rPr>
          <w:sz w:val="26"/>
        </w:rPr>
        <w:t xml:space="preserve"> (Order entered May 8, 2009) (Opinion and Order of May 8, 2009), </w:t>
      </w:r>
      <w:r w:rsidR="00C91DCA">
        <w:rPr>
          <w:sz w:val="26"/>
        </w:rPr>
        <w:t xml:space="preserve">a case </w:t>
      </w:r>
      <w:r w:rsidR="00F553E3">
        <w:rPr>
          <w:sz w:val="26"/>
        </w:rPr>
        <w:t xml:space="preserve">factually and legally analogous to the case now before us.  </w:t>
      </w:r>
      <w:r w:rsidR="00F103CE">
        <w:rPr>
          <w:sz w:val="26"/>
        </w:rPr>
        <w:t xml:space="preserve">The Opinion and Order of May 8, 2009 required in part that OAL Service be continued for those customers of </w:t>
      </w:r>
      <w:r w:rsidR="00BB0ECC">
        <w:rPr>
          <w:sz w:val="26"/>
        </w:rPr>
        <w:t xml:space="preserve">the Pennsylvania Electric Company (Penelec) then receiving that service.  </w:t>
      </w:r>
      <w:r w:rsidR="00F553E3">
        <w:rPr>
          <w:sz w:val="26"/>
        </w:rPr>
        <w:t>A copy of the Opinion and Order of May 8, 2009 was served on Met Ed</w:t>
      </w:r>
      <w:r w:rsidR="006C0D0B">
        <w:rPr>
          <w:sz w:val="26"/>
        </w:rPr>
        <w:t>.</w:t>
      </w:r>
    </w:p>
    <w:p w:rsidR="006C0D0B" w:rsidRDefault="006C0D0B" w:rsidP="006C0D0B">
      <w:pPr>
        <w:spacing w:after="360" w:line="360" w:lineRule="auto"/>
        <w:ind w:firstLine="1440"/>
        <w:rPr>
          <w:sz w:val="26"/>
        </w:rPr>
      </w:pPr>
      <w:r>
        <w:rPr>
          <w:sz w:val="26"/>
        </w:rPr>
        <w:t>On May 22, 2009, Penelec filed a Petition for Reconsideration/Rehearing of our Opinion and Order of May 8, 2009.</w:t>
      </w:r>
    </w:p>
    <w:p w:rsidR="006C0D0B" w:rsidRDefault="006C0D0B" w:rsidP="006C0D0B">
      <w:pPr>
        <w:spacing w:line="360" w:lineRule="auto"/>
        <w:ind w:firstLine="1440"/>
        <w:rPr>
          <w:sz w:val="26"/>
          <w:szCs w:val="26"/>
        </w:rPr>
      </w:pPr>
      <w:r>
        <w:rPr>
          <w:sz w:val="26"/>
          <w:szCs w:val="26"/>
        </w:rPr>
        <w:lastRenderedPageBreak/>
        <w:t xml:space="preserve">On May 28, 2009, we granted the </w:t>
      </w:r>
      <w:r w:rsidRPr="000A3B4F">
        <w:rPr>
          <w:sz w:val="26"/>
          <w:szCs w:val="26"/>
        </w:rPr>
        <w:t xml:space="preserve">Petition for Reconsideration/Rehearing </w:t>
      </w:r>
      <w:r w:rsidR="00A10F40">
        <w:rPr>
          <w:sz w:val="26"/>
          <w:szCs w:val="26"/>
        </w:rPr>
        <w:t xml:space="preserve">of the </w:t>
      </w:r>
      <w:r w:rsidR="00A10F40">
        <w:rPr>
          <w:sz w:val="26"/>
        </w:rPr>
        <w:t xml:space="preserve">Opinion and Order of May 8, 2009 </w:t>
      </w:r>
      <w:r w:rsidRPr="00205ABC">
        <w:rPr>
          <w:sz w:val="26"/>
          <w:szCs w:val="26"/>
        </w:rPr>
        <w:t xml:space="preserve">within the meaning of Pa. R.A.P. </w:t>
      </w:r>
      <w:r>
        <w:rPr>
          <w:sz w:val="26"/>
          <w:szCs w:val="26"/>
        </w:rPr>
        <w:t>1701(b)(3), pending review of</w:t>
      </w:r>
      <w:r w:rsidRPr="00205ABC">
        <w:rPr>
          <w:sz w:val="26"/>
          <w:szCs w:val="26"/>
        </w:rPr>
        <w:t xml:space="preserve"> and further consideration on the</w:t>
      </w:r>
      <w:r>
        <w:rPr>
          <w:sz w:val="26"/>
          <w:szCs w:val="26"/>
        </w:rPr>
        <w:t xml:space="preserve"> merits of the Petition.</w:t>
      </w:r>
    </w:p>
    <w:p w:rsidR="006C0D0B" w:rsidRDefault="006C0D0B" w:rsidP="006C0D0B">
      <w:pPr>
        <w:spacing w:line="360" w:lineRule="auto"/>
        <w:ind w:firstLine="1440"/>
        <w:rPr>
          <w:sz w:val="26"/>
          <w:szCs w:val="26"/>
        </w:rPr>
      </w:pPr>
    </w:p>
    <w:p w:rsidR="006C0D0B" w:rsidRDefault="006C0D0B" w:rsidP="006C0D0B">
      <w:pPr>
        <w:spacing w:line="360" w:lineRule="auto"/>
        <w:ind w:firstLine="1440"/>
        <w:rPr>
          <w:sz w:val="26"/>
          <w:szCs w:val="26"/>
        </w:rPr>
      </w:pPr>
      <w:r>
        <w:rPr>
          <w:sz w:val="26"/>
          <w:szCs w:val="26"/>
        </w:rPr>
        <w:t xml:space="preserve">On June 3, 2009, a Secretarial Letter </w:t>
      </w:r>
      <w:r w:rsidR="00C61FE1">
        <w:rPr>
          <w:sz w:val="26"/>
          <w:szCs w:val="26"/>
        </w:rPr>
        <w:t xml:space="preserve">was </w:t>
      </w:r>
      <w:r>
        <w:rPr>
          <w:sz w:val="26"/>
          <w:szCs w:val="26"/>
        </w:rPr>
        <w:t>issued advising all active Parties to th</w:t>
      </w:r>
      <w:r w:rsidR="00A10F40">
        <w:rPr>
          <w:sz w:val="26"/>
          <w:szCs w:val="26"/>
        </w:rPr>
        <w:t>at</w:t>
      </w:r>
      <w:r>
        <w:rPr>
          <w:sz w:val="26"/>
          <w:szCs w:val="26"/>
        </w:rPr>
        <w:t xml:space="preserve"> proceeding that an extension of time for compliance with the Opinion and Order of May 8, 2009, had been granted until entry of a Final Order disposing of Penelec’s Petition for Reconsideration of May 22, 2009.</w:t>
      </w:r>
    </w:p>
    <w:p w:rsidR="006C0D0B" w:rsidRDefault="006C0D0B" w:rsidP="006C0D0B">
      <w:pPr>
        <w:spacing w:line="360" w:lineRule="auto"/>
        <w:ind w:firstLine="1440"/>
        <w:rPr>
          <w:sz w:val="26"/>
          <w:szCs w:val="26"/>
        </w:rPr>
      </w:pPr>
    </w:p>
    <w:p w:rsidR="006C0D0B" w:rsidRDefault="006C0D0B" w:rsidP="006C0D0B">
      <w:pPr>
        <w:spacing w:line="360" w:lineRule="auto"/>
        <w:ind w:firstLine="1440"/>
        <w:rPr>
          <w:sz w:val="26"/>
          <w:szCs w:val="26"/>
        </w:rPr>
      </w:pPr>
      <w:r>
        <w:rPr>
          <w:sz w:val="26"/>
          <w:szCs w:val="26"/>
        </w:rPr>
        <w:t>On October 8, 2009, the Commission adopted an Opinion and Order, subsequently entered October 9, 2009 (Opinion and Order of October 9, 2009), which denied the Petition for Reconsideration filed by Penelec on May 22, 2009, and reinstat</w:t>
      </w:r>
      <w:r w:rsidR="00C61FE1">
        <w:rPr>
          <w:sz w:val="26"/>
          <w:szCs w:val="26"/>
        </w:rPr>
        <w:t xml:space="preserve">ed </w:t>
      </w:r>
      <w:r>
        <w:rPr>
          <w:sz w:val="26"/>
          <w:szCs w:val="26"/>
        </w:rPr>
        <w:t xml:space="preserve">the requirements of the Commission’s Opinion and Order </w:t>
      </w:r>
      <w:r w:rsidR="00A10F40">
        <w:rPr>
          <w:sz w:val="26"/>
          <w:szCs w:val="26"/>
        </w:rPr>
        <w:t>of</w:t>
      </w:r>
      <w:r>
        <w:rPr>
          <w:sz w:val="26"/>
          <w:szCs w:val="26"/>
        </w:rPr>
        <w:t xml:space="preserve"> May 8, 2009.</w:t>
      </w:r>
    </w:p>
    <w:p w:rsidR="006C0D0B" w:rsidRDefault="006C0D0B" w:rsidP="006C0D0B">
      <w:pPr>
        <w:spacing w:line="360" w:lineRule="auto"/>
        <w:ind w:firstLine="1440"/>
        <w:rPr>
          <w:sz w:val="26"/>
          <w:szCs w:val="26"/>
        </w:rPr>
      </w:pPr>
    </w:p>
    <w:p w:rsidR="006C0D0B" w:rsidRDefault="006C0D0B" w:rsidP="006C0D0B">
      <w:pPr>
        <w:spacing w:line="360" w:lineRule="auto"/>
        <w:ind w:firstLine="1440"/>
        <w:rPr>
          <w:sz w:val="26"/>
          <w:szCs w:val="26"/>
        </w:rPr>
      </w:pPr>
      <w:r>
        <w:rPr>
          <w:sz w:val="26"/>
          <w:szCs w:val="26"/>
        </w:rPr>
        <w:t>On October 26, 2009, Penelec filed a Petition for Clarification and Stay of the Commission’s Opinion and Order dated October 9, 2009.  However, the due process rights of the Parties precluded disposition of the Petition for Clarification and Stay at our Public Meeting of November 5, 2009, as requested by Penelec.</w:t>
      </w:r>
    </w:p>
    <w:p w:rsidR="006C0D0B" w:rsidRDefault="006C0D0B" w:rsidP="006C0D0B">
      <w:pPr>
        <w:spacing w:line="360" w:lineRule="auto"/>
        <w:ind w:firstLine="1440"/>
        <w:rPr>
          <w:sz w:val="26"/>
          <w:szCs w:val="26"/>
        </w:rPr>
      </w:pPr>
    </w:p>
    <w:p w:rsidR="006C0D0B" w:rsidRDefault="006C0D0B" w:rsidP="006C0D0B">
      <w:pPr>
        <w:spacing w:line="360" w:lineRule="auto"/>
        <w:ind w:firstLine="1440"/>
        <w:rPr>
          <w:sz w:val="26"/>
          <w:szCs w:val="26"/>
        </w:rPr>
      </w:pPr>
      <w:r>
        <w:rPr>
          <w:sz w:val="26"/>
          <w:szCs w:val="26"/>
        </w:rPr>
        <w:t xml:space="preserve">On November 5, </w:t>
      </w:r>
      <w:r w:rsidR="00F553E3">
        <w:rPr>
          <w:sz w:val="26"/>
          <w:szCs w:val="26"/>
        </w:rPr>
        <w:t xml:space="preserve">2009, </w:t>
      </w:r>
      <w:r>
        <w:rPr>
          <w:sz w:val="26"/>
          <w:szCs w:val="26"/>
        </w:rPr>
        <w:t xml:space="preserve">a Secretarial Letter </w:t>
      </w:r>
      <w:r w:rsidR="00C61FE1">
        <w:rPr>
          <w:sz w:val="26"/>
          <w:szCs w:val="26"/>
        </w:rPr>
        <w:t xml:space="preserve">was </w:t>
      </w:r>
      <w:r>
        <w:rPr>
          <w:sz w:val="26"/>
          <w:szCs w:val="26"/>
        </w:rPr>
        <w:t>issued advising all active Parties to th</w:t>
      </w:r>
      <w:r w:rsidR="00F553E3">
        <w:rPr>
          <w:sz w:val="26"/>
          <w:szCs w:val="26"/>
        </w:rPr>
        <w:t>e</w:t>
      </w:r>
      <w:r>
        <w:rPr>
          <w:sz w:val="26"/>
          <w:szCs w:val="26"/>
        </w:rPr>
        <w:t xml:space="preserve"> proceeding that an extension of time for compliance with the Opinion and Order of May 8, 2009, and with the Opinion and Order of October 9, 2009, had been imposed until further notice.</w:t>
      </w:r>
    </w:p>
    <w:p w:rsidR="00724917" w:rsidRDefault="00724917" w:rsidP="006C0D0B">
      <w:pPr>
        <w:spacing w:line="360" w:lineRule="auto"/>
        <w:ind w:firstLine="1440"/>
        <w:rPr>
          <w:sz w:val="26"/>
          <w:szCs w:val="26"/>
        </w:rPr>
      </w:pPr>
    </w:p>
    <w:p w:rsidR="00724917" w:rsidRDefault="00724917" w:rsidP="006C0D0B">
      <w:pPr>
        <w:spacing w:line="360" w:lineRule="auto"/>
        <w:ind w:firstLine="1440"/>
        <w:rPr>
          <w:sz w:val="26"/>
          <w:szCs w:val="26"/>
        </w:rPr>
      </w:pPr>
      <w:r>
        <w:rPr>
          <w:sz w:val="26"/>
          <w:szCs w:val="26"/>
        </w:rPr>
        <w:t>On February 1, 2010, FirstEnergy, the parent of both Penelec and Met Ed, provided written notice to the Commission that it would maintain OAL Service tariffs for all Met Ed and Penelec customers currently using the service and provide written notice to affected Met Ed and Penelec customers that the service would not be eliminated.  FirstEnergy also requested that we mark these proceedings closed.</w:t>
      </w:r>
    </w:p>
    <w:p w:rsidR="006C0D0B" w:rsidRDefault="006C0D0B" w:rsidP="006C0D0B">
      <w:pPr>
        <w:spacing w:line="360" w:lineRule="auto"/>
        <w:ind w:firstLine="1440"/>
        <w:rPr>
          <w:sz w:val="26"/>
          <w:szCs w:val="26"/>
        </w:rPr>
      </w:pPr>
    </w:p>
    <w:p w:rsidR="006C0D0B" w:rsidRPr="001465A8" w:rsidRDefault="006C0D0B" w:rsidP="006C0D0B">
      <w:pPr>
        <w:tabs>
          <w:tab w:val="left" w:pos="-720"/>
        </w:tabs>
        <w:spacing w:line="360" w:lineRule="auto"/>
        <w:jc w:val="center"/>
        <w:rPr>
          <w:b/>
          <w:sz w:val="26"/>
          <w:szCs w:val="26"/>
          <w:u w:val="single"/>
        </w:rPr>
      </w:pPr>
      <w:r w:rsidRPr="001465A8">
        <w:rPr>
          <w:b/>
          <w:sz w:val="26"/>
          <w:szCs w:val="26"/>
          <w:u w:val="single"/>
        </w:rPr>
        <w:t>Discussion</w:t>
      </w:r>
    </w:p>
    <w:p w:rsidR="006C0D0B" w:rsidRDefault="006C0D0B" w:rsidP="006C0D0B">
      <w:pPr>
        <w:tabs>
          <w:tab w:val="left" w:pos="-720"/>
        </w:tabs>
        <w:spacing w:line="360" w:lineRule="auto"/>
        <w:rPr>
          <w:sz w:val="26"/>
          <w:szCs w:val="26"/>
        </w:rPr>
      </w:pPr>
    </w:p>
    <w:p w:rsidR="00517849" w:rsidRDefault="006C0D0B" w:rsidP="006C0D0B">
      <w:pPr>
        <w:tabs>
          <w:tab w:val="left" w:pos="-720"/>
        </w:tabs>
        <w:spacing w:line="360" w:lineRule="auto"/>
        <w:rPr>
          <w:sz w:val="26"/>
          <w:szCs w:val="26"/>
        </w:rPr>
      </w:pPr>
      <w:r>
        <w:rPr>
          <w:sz w:val="26"/>
          <w:szCs w:val="26"/>
        </w:rPr>
        <w:tab/>
      </w:r>
      <w:r>
        <w:rPr>
          <w:sz w:val="26"/>
          <w:szCs w:val="26"/>
        </w:rPr>
        <w:tab/>
      </w:r>
      <w:r w:rsidR="00C61FE1">
        <w:rPr>
          <w:sz w:val="26"/>
          <w:szCs w:val="26"/>
        </w:rPr>
        <w:t>B</w:t>
      </w:r>
      <w:r w:rsidR="00B37130">
        <w:rPr>
          <w:sz w:val="26"/>
          <w:szCs w:val="26"/>
        </w:rPr>
        <w:t>y its letter of February 1, 2010, FirstEnergy stated that it would maintain OAL Service tariffs for all Met</w:t>
      </w:r>
      <w:r w:rsidR="000D1E95">
        <w:rPr>
          <w:sz w:val="26"/>
          <w:szCs w:val="26"/>
        </w:rPr>
        <w:t xml:space="preserve"> Ed customers </w:t>
      </w:r>
      <w:r w:rsidR="00B37130">
        <w:rPr>
          <w:sz w:val="26"/>
          <w:szCs w:val="26"/>
        </w:rPr>
        <w:t xml:space="preserve">currently using the service (which includes the Complainants) and provide written notice to affected Met Ed customers that the service would not be eliminated.  </w:t>
      </w:r>
      <w:r w:rsidR="002A74D9">
        <w:rPr>
          <w:sz w:val="26"/>
          <w:szCs w:val="26"/>
        </w:rPr>
        <w:t>We therefore conclude that as the Complainants have obtained the relief they sought, their Complaint should be dismissed as moot and this proceeding closed.</w:t>
      </w:r>
    </w:p>
    <w:p w:rsidR="006C0D0B" w:rsidRDefault="006C0D0B" w:rsidP="006C0D0B">
      <w:pPr>
        <w:tabs>
          <w:tab w:val="left" w:pos="-720"/>
        </w:tabs>
        <w:spacing w:line="360" w:lineRule="auto"/>
        <w:rPr>
          <w:sz w:val="26"/>
          <w:szCs w:val="26"/>
        </w:rPr>
      </w:pPr>
    </w:p>
    <w:p w:rsidR="006C0D0B" w:rsidRPr="001B271C" w:rsidRDefault="006C0D0B" w:rsidP="006C0D0B">
      <w:pPr>
        <w:spacing w:line="360" w:lineRule="auto"/>
        <w:jc w:val="center"/>
        <w:rPr>
          <w:sz w:val="26"/>
          <w:u w:val="single"/>
        </w:rPr>
      </w:pPr>
      <w:r w:rsidRPr="001B271C">
        <w:rPr>
          <w:b/>
          <w:sz w:val="26"/>
          <w:u w:val="single"/>
        </w:rPr>
        <w:t>Conclusion</w:t>
      </w:r>
    </w:p>
    <w:p w:rsidR="006C0D0B" w:rsidRPr="001B271C" w:rsidRDefault="006C0D0B" w:rsidP="006C0D0B">
      <w:pPr>
        <w:spacing w:line="360" w:lineRule="auto"/>
        <w:jc w:val="center"/>
        <w:rPr>
          <w:sz w:val="26"/>
        </w:rPr>
      </w:pPr>
    </w:p>
    <w:p w:rsidR="006C0D0B" w:rsidRPr="001B271C" w:rsidRDefault="006C0D0B" w:rsidP="006C0D0B">
      <w:pPr>
        <w:spacing w:line="360" w:lineRule="auto"/>
        <w:ind w:firstLine="720"/>
        <w:rPr>
          <w:sz w:val="26"/>
        </w:rPr>
      </w:pPr>
      <w:r w:rsidRPr="001B271C">
        <w:rPr>
          <w:sz w:val="26"/>
        </w:rPr>
        <w:tab/>
      </w:r>
      <w:r>
        <w:rPr>
          <w:sz w:val="26"/>
        </w:rPr>
        <w:t>For the reasons discussed above</w:t>
      </w:r>
      <w:r w:rsidRPr="001B271C">
        <w:rPr>
          <w:sz w:val="26"/>
        </w:rPr>
        <w:t xml:space="preserve">, we </w:t>
      </w:r>
      <w:r w:rsidR="002A74D9">
        <w:rPr>
          <w:sz w:val="26"/>
        </w:rPr>
        <w:t>will dismiss the Complaint of Randy and Linda King as moot</w:t>
      </w:r>
      <w:r w:rsidRPr="001B271C">
        <w:rPr>
          <w:sz w:val="26"/>
        </w:rPr>
        <w:t xml:space="preserve">; </w:t>
      </w:r>
      <w:r w:rsidRPr="001B271C">
        <w:rPr>
          <w:b/>
          <w:sz w:val="26"/>
        </w:rPr>
        <w:t>THEREFORE,</w:t>
      </w:r>
    </w:p>
    <w:p w:rsidR="00C21574" w:rsidRDefault="00C21574" w:rsidP="006C0D0B">
      <w:pPr>
        <w:tabs>
          <w:tab w:val="left" w:pos="-720"/>
        </w:tabs>
        <w:spacing w:line="360" w:lineRule="auto"/>
        <w:rPr>
          <w:sz w:val="26"/>
          <w:szCs w:val="26"/>
        </w:rPr>
      </w:pPr>
      <w:r>
        <w:rPr>
          <w:sz w:val="26"/>
          <w:szCs w:val="26"/>
        </w:rPr>
        <w:br/>
      </w:r>
    </w:p>
    <w:p w:rsidR="00C21574" w:rsidRDefault="00C21574">
      <w:pPr>
        <w:spacing w:after="200" w:line="276" w:lineRule="auto"/>
        <w:rPr>
          <w:sz w:val="26"/>
          <w:szCs w:val="26"/>
        </w:rPr>
      </w:pPr>
      <w:r>
        <w:rPr>
          <w:sz w:val="26"/>
          <w:szCs w:val="26"/>
        </w:rPr>
        <w:br w:type="page"/>
      </w:r>
    </w:p>
    <w:p w:rsidR="006C0D0B" w:rsidRPr="00392339" w:rsidRDefault="006C0D0B" w:rsidP="006C0D0B">
      <w:pPr>
        <w:tabs>
          <w:tab w:val="left" w:pos="-720"/>
        </w:tabs>
        <w:spacing w:line="360" w:lineRule="auto"/>
        <w:rPr>
          <w:sz w:val="26"/>
          <w:szCs w:val="26"/>
        </w:rPr>
      </w:pPr>
    </w:p>
    <w:p w:rsidR="006C0D0B" w:rsidRPr="00E7750E" w:rsidRDefault="006C0D0B" w:rsidP="006C0D0B">
      <w:pPr>
        <w:spacing w:line="360" w:lineRule="auto"/>
        <w:ind w:firstLine="1440"/>
      </w:pPr>
      <w:r w:rsidRPr="009050A0">
        <w:rPr>
          <w:b/>
          <w:sz w:val="26"/>
          <w:szCs w:val="26"/>
        </w:rPr>
        <w:t>IT IS ORDERED:</w:t>
      </w:r>
      <w:r w:rsidRPr="007F448D">
        <w:t xml:space="preserve"> </w:t>
      </w:r>
    </w:p>
    <w:p w:rsidR="006C0D0B" w:rsidRPr="00E7750E" w:rsidRDefault="006C0D0B" w:rsidP="006C0D0B">
      <w:pPr>
        <w:spacing w:line="360" w:lineRule="auto"/>
        <w:ind w:firstLine="1440"/>
      </w:pPr>
    </w:p>
    <w:p w:rsidR="006C0D0B" w:rsidRDefault="006C0D0B" w:rsidP="006C0D0B">
      <w:pPr>
        <w:spacing w:line="360" w:lineRule="auto"/>
        <w:ind w:firstLine="1440"/>
        <w:rPr>
          <w:sz w:val="26"/>
          <w:szCs w:val="26"/>
        </w:rPr>
      </w:pPr>
      <w:r>
        <w:rPr>
          <w:sz w:val="26"/>
          <w:szCs w:val="26"/>
        </w:rPr>
        <w:t xml:space="preserve">1.  </w:t>
      </w:r>
      <w:r w:rsidRPr="007F448D">
        <w:rPr>
          <w:sz w:val="26"/>
          <w:szCs w:val="26"/>
        </w:rPr>
        <w:t xml:space="preserve">That the </w:t>
      </w:r>
      <w:r w:rsidR="002A74D9">
        <w:rPr>
          <w:sz w:val="26"/>
          <w:szCs w:val="26"/>
        </w:rPr>
        <w:t xml:space="preserve">Formal Complaint </w:t>
      </w:r>
      <w:r w:rsidRPr="007F448D">
        <w:rPr>
          <w:sz w:val="26"/>
          <w:szCs w:val="26"/>
        </w:rPr>
        <w:t xml:space="preserve">filed on </w:t>
      </w:r>
      <w:r w:rsidR="002A74D9">
        <w:rPr>
          <w:sz w:val="26"/>
          <w:szCs w:val="26"/>
        </w:rPr>
        <w:t>April 22, 2008</w:t>
      </w:r>
      <w:r>
        <w:rPr>
          <w:sz w:val="26"/>
          <w:szCs w:val="26"/>
        </w:rPr>
        <w:t xml:space="preserve">, by </w:t>
      </w:r>
      <w:r w:rsidR="002A74D9">
        <w:rPr>
          <w:sz w:val="26"/>
          <w:szCs w:val="26"/>
        </w:rPr>
        <w:t xml:space="preserve">Randy and Linda King, </w:t>
      </w:r>
      <w:r w:rsidR="00ED1160">
        <w:rPr>
          <w:sz w:val="26"/>
          <w:szCs w:val="26"/>
        </w:rPr>
        <w:t xml:space="preserve">against the Metropolitan Edison Company </w:t>
      </w:r>
      <w:r w:rsidRPr="007F448D">
        <w:rPr>
          <w:sz w:val="26"/>
          <w:szCs w:val="26"/>
        </w:rPr>
        <w:t xml:space="preserve">is </w:t>
      </w:r>
      <w:r w:rsidR="002A74D9">
        <w:rPr>
          <w:sz w:val="26"/>
          <w:szCs w:val="26"/>
        </w:rPr>
        <w:t>dismissed as moot</w:t>
      </w:r>
      <w:r w:rsidRPr="007F448D">
        <w:rPr>
          <w:sz w:val="26"/>
          <w:szCs w:val="26"/>
        </w:rPr>
        <w:t>.</w:t>
      </w:r>
    </w:p>
    <w:p w:rsidR="006C0D0B" w:rsidRDefault="006C0D0B" w:rsidP="006C0D0B">
      <w:pPr>
        <w:spacing w:line="360" w:lineRule="auto"/>
        <w:ind w:firstLine="1440"/>
        <w:rPr>
          <w:sz w:val="26"/>
          <w:szCs w:val="26"/>
        </w:rPr>
      </w:pPr>
    </w:p>
    <w:p w:rsidR="006C0D0B" w:rsidRPr="00991A7B" w:rsidRDefault="006C0D0B" w:rsidP="00ED1160">
      <w:pPr>
        <w:spacing w:line="360" w:lineRule="auto"/>
        <w:ind w:firstLine="1440"/>
        <w:rPr>
          <w:sz w:val="26"/>
        </w:rPr>
      </w:pPr>
      <w:r>
        <w:rPr>
          <w:sz w:val="26"/>
          <w:szCs w:val="26"/>
        </w:rPr>
        <w:t xml:space="preserve">2.  </w:t>
      </w:r>
      <w:r w:rsidR="00ED1160">
        <w:rPr>
          <w:sz w:val="26"/>
          <w:szCs w:val="26"/>
        </w:rPr>
        <w:t>That this matter is marked closed.</w:t>
      </w:r>
    </w:p>
    <w:p w:rsidR="006C0D0B" w:rsidRDefault="006C0D0B" w:rsidP="006C0D0B">
      <w:pPr>
        <w:spacing w:line="360" w:lineRule="auto"/>
        <w:ind w:firstLine="1440"/>
        <w:rPr>
          <w:sz w:val="26"/>
          <w:szCs w:val="26"/>
        </w:rPr>
      </w:pPr>
    </w:p>
    <w:p w:rsidR="006C0D0B" w:rsidRDefault="001C5363" w:rsidP="006C0D0B">
      <w:pPr>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3438525</wp:posOffset>
            </wp:positionH>
            <wp:positionV relativeFrom="paragraph">
              <wp:posOffset>58420</wp:posOffset>
            </wp:positionV>
            <wp:extent cx="2216150" cy="838200"/>
            <wp:effectExtent l="1905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6C0D0B">
        <w:rPr>
          <w:sz w:val="26"/>
          <w:szCs w:val="26"/>
        </w:rPr>
        <w:tab/>
      </w:r>
      <w:r w:rsidR="006C0D0B">
        <w:rPr>
          <w:sz w:val="26"/>
          <w:szCs w:val="26"/>
        </w:rPr>
        <w:tab/>
      </w:r>
      <w:r w:rsidR="006C0D0B">
        <w:rPr>
          <w:sz w:val="26"/>
          <w:szCs w:val="26"/>
        </w:rPr>
        <w:tab/>
      </w:r>
      <w:r w:rsidR="006C0D0B">
        <w:rPr>
          <w:sz w:val="26"/>
          <w:szCs w:val="26"/>
        </w:rPr>
        <w:tab/>
      </w:r>
      <w:r w:rsidR="006C0D0B">
        <w:rPr>
          <w:sz w:val="26"/>
          <w:szCs w:val="26"/>
        </w:rPr>
        <w:tab/>
      </w:r>
      <w:r w:rsidR="006C0D0B">
        <w:rPr>
          <w:sz w:val="26"/>
          <w:szCs w:val="26"/>
        </w:rPr>
        <w:tab/>
      </w:r>
      <w:r w:rsidR="006C0D0B">
        <w:rPr>
          <w:sz w:val="26"/>
          <w:szCs w:val="26"/>
        </w:rPr>
        <w:tab/>
      </w:r>
      <w:r w:rsidR="006C0D0B">
        <w:rPr>
          <w:sz w:val="26"/>
          <w:szCs w:val="26"/>
        </w:rPr>
        <w:tab/>
      </w:r>
      <w:r w:rsidR="006C0D0B">
        <w:rPr>
          <w:b/>
          <w:sz w:val="26"/>
          <w:szCs w:val="26"/>
        </w:rPr>
        <w:t>BY THE COMMISSION,</w:t>
      </w:r>
    </w:p>
    <w:p w:rsidR="006C0D0B" w:rsidRDefault="006C0D0B" w:rsidP="006C0D0B">
      <w:pPr>
        <w:rPr>
          <w:sz w:val="26"/>
          <w:szCs w:val="26"/>
        </w:rPr>
      </w:pPr>
    </w:p>
    <w:p w:rsidR="006C0D0B" w:rsidRDefault="006C0D0B" w:rsidP="006C0D0B">
      <w:pPr>
        <w:rPr>
          <w:sz w:val="26"/>
          <w:szCs w:val="26"/>
        </w:rPr>
      </w:pPr>
    </w:p>
    <w:p w:rsidR="006C0D0B" w:rsidRDefault="006C0D0B" w:rsidP="006C0D0B">
      <w:pPr>
        <w:rPr>
          <w:sz w:val="26"/>
          <w:szCs w:val="26"/>
        </w:rPr>
      </w:pPr>
    </w:p>
    <w:p w:rsidR="006C0D0B" w:rsidRDefault="006C0D0B" w:rsidP="006C0D0B">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5C75AA">
        <w:rPr>
          <w:sz w:val="26"/>
          <w:szCs w:val="26"/>
        </w:rPr>
        <w:t>Rosemary Chiavetta</w:t>
      </w:r>
    </w:p>
    <w:p w:rsidR="006C0D0B" w:rsidRDefault="006C0D0B" w:rsidP="006C0D0B">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6C0D0B" w:rsidRDefault="006C0D0B" w:rsidP="006C0D0B">
      <w:pPr>
        <w:rPr>
          <w:sz w:val="26"/>
          <w:szCs w:val="26"/>
        </w:rPr>
      </w:pPr>
    </w:p>
    <w:p w:rsidR="006C0D0B" w:rsidRDefault="006C0D0B" w:rsidP="006C0D0B">
      <w:pPr>
        <w:rPr>
          <w:sz w:val="26"/>
          <w:szCs w:val="26"/>
        </w:rPr>
      </w:pPr>
      <w:r>
        <w:rPr>
          <w:sz w:val="26"/>
          <w:szCs w:val="26"/>
        </w:rPr>
        <w:t>(SEAL)</w:t>
      </w:r>
    </w:p>
    <w:p w:rsidR="006C0D0B" w:rsidRDefault="006C0D0B" w:rsidP="006C0D0B">
      <w:pPr>
        <w:rPr>
          <w:sz w:val="26"/>
          <w:szCs w:val="26"/>
        </w:rPr>
      </w:pPr>
    </w:p>
    <w:p w:rsidR="006C0D0B" w:rsidRDefault="006C0D0B" w:rsidP="006C0D0B">
      <w:pPr>
        <w:rPr>
          <w:sz w:val="26"/>
          <w:szCs w:val="26"/>
        </w:rPr>
      </w:pPr>
      <w:r>
        <w:rPr>
          <w:sz w:val="26"/>
          <w:szCs w:val="26"/>
        </w:rPr>
        <w:t xml:space="preserve">ORDER ADOPTED:  </w:t>
      </w:r>
      <w:r w:rsidR="00ED1160">
        <w:rPr>
          <w:sz w:val="26"/>
          <w:szCs w:val="26"/>
        </w:rPr>
        <w:t>February 25, 2010</w:t>
      </w:r>
    </w:p>
    <w:p w:rsidR="006C0D0B" w:rsidRDefault="006C0D0B" w:rsidP="006C0D0B">
      <w:pPr>
        <w:rPr>
          <w:sz w:val="26"/>
          <w:szCs w:val="26"/>
        </w:rPr>
      </w:pPr>
    </w:p>
    <w:p w:rsidR="006C0D0B" w:rsidRPr="001C5363" w:rsidRDefault="006C0D0B" w:rsidP="006C0D0B">
      <w:pPr>
        <w:rPr>
          <w:b/>
          <w:sz w:val="26"/>
          <w:szCs w:val="26"/>
        </w:rPr>
      </w:pPr>
      <w:r>
        <w:rPr>
          <w:sz w:val="26"/>
          <w:szCs w:val="26"/>
        </w:rPr>
        <w:t xml:space="preserve">ORDER ENTERED:  </w:t>
      </w:r>
      <w:r w:rsidR="001C5363" w:rsidRPr="001C5363">
        <w:rPr>
          <w:b/>
          <w:sz w:val="26"/>
          <w:szCs w:val="26"/>
        </w:rPr>
        <w:t>April 26, 2010</w:t>
      </w:r>
    </w:p>
    <w:p w:rsidR="0069027E" w:rsidRDefault="0069027E"/>
    <w:sectPr w:rsidR="0069027E" w:rsidSect="004B34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D0C" w:rsidRDefault="00E16D0C" w:rsidP="006C0D0B">
      <w:r>
        <w:separator/>
      </w:r>
    </w:p>
  </w:endnote>
  <w:endnote w:type="continuationSeparator" w:id="0">
    <w:p w:rsidR="00E16D0C" w:rsidRDefault="00E16D0C" w:rsidP="006C0D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316439"/>
      <w:docPartObj>
        <w:docPartGallery w:val="Page Numbers (Bottom of Page)"/>
        <w:docPartUnique/>
      </w:docPartObj>
    </w:sdtPr>
    <w:sdtContent>
      <w:p w:rsidR="004B34BB" w:rsidRDefault="00E20B4F">
        <w:pPr>
          <w:pStyle w:val="Footer"/>
          <w:jc w:val="center"/>
        </w:pPr>
        <w:fldSimple w:instr=" PAGE   \* MERGEFORMAT ">
          <w:r w:rsidR="001C5363">
            <w:rPr>
              <w:noProof/>
            </w:rPr>
            <w:t>5</w:t>
          </w:r>
        </w:fldSimple>
      </w:p>
    </w:sdtContent>
  </w:sdt>
  <w:p w:rsidR="004B34BB" w:rsidRDefault="004B3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D0C" w:rsidRDefault="00E16D0C" w:rsidP="006C0D0B">
      <w:r>
        <w:separator/>
      </w:r>
    </w:p>
  </w:footnote>
  <w:footnote w:type="continuationSeparator" w:id="0">
    <w:p w:rsidR="00E16D0C" w:rsidRDefault="00E16D0C" w:rsidP="006C0D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C0D0B"/>
    <w:rsid w:val="000013AF"/>
    <w:rsid w:val="00020ACF"/>
    <w:rsid w:val="000453F0"/>
    <w:rsid w:val="00045B94"/>
    <w:rsid w:val="00071466"/>
    <w:rsid w:val="00086142"/>
    <w:rsid w:val="0009315C"/>
    <w:rsid w:val="000D1E95"/>
    <w:rsid w:val="0013260C"/>
    <w:rsid w:val="00167310"/>
    <w:rsid w:val="00170D92"/>
    <w:rsid w:val="001A3B01"/>
    <w:rsid w:val="001C5363"/>
    <w:rsid w:val="001F4383"/>
    <w:rsid w:val="002226E1"/>
    <w:rsid w:val="00253546"/>
    <w:rsid w:val="00257023"/>
    <w:rsid w:val="002A3CF4"/>
    <w:rsid w:val="002A74D9"/>
    <w:rsid w:val="002B1C21"/>
    <w:rsid w:val="00301096"/>
    <w:rsid w:val="00311460"/>
    <w:rsid w:val="00343410"/>
    <w:rsid w:val="00351AD2"/>
    <w:rsid w:val="0036596E"/>
    <w:rsid w:val="00366A60"/>
    <w:rsid w:val="003A3EEB"/>
    <w:rsid w:val="003B28F4"/>
    <w:rsid w:val="003B48F6"/>
    <w:rsid w:val="003B5F87"/>
    <w:rsid w:val="004116D3"/>
    <w:rsid w:val="004161DA"/>
    <w:rsid w:val="004314C1"/>
    <w:rsid w:val="00452BDF"/>
    <w:rsid w:val="00452DC3"/>
    <w:rsid w:val="004B34BB"/>
    <w:rsid w:val="004E133C"/>
    <w:rsid w:val="004E1A8C"/>
    <w:rsid w:val="004E4202"/>
    <w:rsid w:val="005028FF"/>
    <w:rsid w:val="00504287"/>
    <w:rsid w:val="00517849"/>
    <w:rsid w:val="005335A8"/>
    <w:rsid w:val="005352D3"/>
    <w:rsid w:val="00540ACE"/>
    <w:rsid w:val="005475EC"/>
    <w:rsid w:val="005C75AA"/>
    <w:rsid w:val="005F0C32"/>
    <w:rsid w:val="005F659B"/>
    <w:rsid w:val="005F6F2D"/>
    <w:rsid w:val="00672D17"/>
    <w:rsid w:val="00676751"/>
    <w:rsid w:val="006826C5"/>
    <w:rsid w:val="0069027E"/>
    <w:rsid w:val="00692368"/>
    <w:rsid w:val="006B4F76"/>
    <w:rsid w:val="006C0D0B"/>
    <w:rsid w:val="006D05F2"/>
    <w:rsid w:val="006F7F52"/>
    <w:rsid w:val="00700A03"/>
    <w:rsid w:val="00724917"/>
    <w:rsid w:val="00727658"/>
    <w:rsid w:val="0076663D"/>
    <w:rsid w:val="00793DB4"/>
    <w:rsid w:val="007B0837"/>
    <w:rsid w:val="007B0DBB"/>
    <w:rsid w:val="007B49D8"/>
    <w:rsid w:val="007C6B1F"/>
    <w:rsid w:val="007D0605"/>
    <w:rsid w:val="007F0C9F"/>
    <w:rsid w:val="007F6F94"/>
    <w:rsid w:val="008605CF"/>
    <w:rsid w:val="00876810"/>
    <w:rsid w:val="00883BB5"/>
    <w:rsid w:val="00890339"/>
    <w:rsid w:val="0089738C"/>
    <w:rsid w:val="008B65EE"/>
    <w:rsid w:val="008F03F5"/>
    <w:rsid w:val="00930862"/>
    <w:rsid w:val="009356A3"/>
    <w:rsid w:val="0096711C"/>
    <w:rsid w:val="009A3A50"/>
    <w:rsid w:val="009E434D"/>
    <w:rsid w:val="00A10F40"/>
    <w:rsid w:val="00A354B7"/>
    <w:rsid w:val="00A37544"/>
    <w:rsid w:val="00A46561"/>
    <w:rsid w:val="00A56232"/>
    <w:rsid w:val="00AD74B1"/>
    <w:rsid w:val="00B11DE4"/>
    <w:rsid w:val="00B207AC"/>
    <w:rsid w:val="00B228F1"/>
    <w:rsid w:val="00B25B93"/>
    <w:rsid w:val="00B37130"/>
    <w:rsid w:val="00B60B06"/>
    <w:rsid w:val="00B80C4A"/>
    <w:rsid w:val="00B83072"/>
    <w:rsid w:val="00BA2207"/>
    <w:rsid w:val="00BA51EE"/>
    <w:rsid w:val="00BB0ECC"/>
    <w:rsid w:val="00BC78D0"/>
    <w:rsid w:val="00BF07E7"/>
    <w:rsid w:val="00BF48D5"/>
    <w:rsid w:val="00C0579B"/>
    <w:rsid w:val="00C07FAC"/>
    <w:rsid w:val="00C21574"/>
    <w:rsid w:val="00C27268"/>
    <w:rsid w:val="00C372F6"/>
    <w:rsid w:val="00C61FE1"/>
    <w:rsid w:val="00C72B24"/>
    <w:rsid w:val="00C91DCA"/>
    <w:rsid w:val="00CA0EFC"/>
    <w:rsid w:val="00CA6E2E"/>
    <w:rsid w:val="00CE348B"/>
    <w:rsid w:val="00CF258C"/>
    <w:rsid w:val="00CF4F5C"/>
    <w:rsid w:val="00D2744A"/>
    <w:rsid w:val="00DA576C"/>
    <w:rsid w:val="00DB2D57"/>
    <w:rsid w:val="00DB44A1"/>
    <w:rsid w:val="00DB7570"/>
    <w:rsid w:val="00DE4758"/>
    <w:rsid w:val="00DF49D5"/>
    <w:rsid w:val="00E04D6D"/>
    <w:rsid w:val="00E13121"/>
    <w:rsid w:val="00E16D0C"/>
    <w:rsid w:val="00E20B4F"/>
    <w:rsid w:val="00E51F3B"/>
    <w:rsid w:val="00E80B4A"/>
    <w:rsid w:val="00EA7F7A"/>
    <w:rsid w:val="00ED1160"/>
    <w:rsid w:val="00F009D8"/>
    <w:rsid w:val="00F103CE"/>
    <w:rsid w:val="00F1568B"/>
    <w:rsid w:val="00F36206"/>
    <w:rsid w:val="00F553E3"/>
    <w:rsid w:val="00F6040A"/>
    <w:rsid w:val="00F84EFD"/>
    <w:rsid w:val="00F85F87"/>
    <w:rsid w:val="00F9221D"/>
    <w:rsid w:val="00F9579B"/>
    <w:rsid w:val="00FA000F"/>
    <w:rsid w:val="00FD0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D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C0D0B"/>
    <w:rPr>
      <w:sz w:val="20"/>
      <w:szCs w:val="20"/>
    </w:rPr>
  </w:style>
  <w:style w:type="character" w:customStyle="1" w:styleId="FootnoteTextChar">
    <w:name w:val="Footnote Text Char"/>
    <w:basedOn w:val="DefaultParagraphFont"/>
    <w:link w:val="FootnoteText"/>
    <w:semiHidden/>
    <w:rsid w:val="006C0D0B"/>
    <w:rPr>
      <w:rFonts w:ascii="Times New Roman" w:eastAsia="Times New Roman" w:hAnsi="Times New Roman" w:cs="Times New Roman"/>
      <w:sz w:val="20"/>
      <w:szCs w:val="20"/>
    </w:rPr>
  </w:style>
  <w:style w:type="character" w:styleId="FootnoteReference">
    <w:name w:val="footnote reference"/>
    <w:basedOn w:val="DefaultParagraphFont"/>
    <w:semiHidden/>
    <w:rsid w:val="006C0D0B"/>
    <w:rPr>
      <w:vertAlign w:val="superscript"/>
    </w:rPr>
  </w:style>
  <w:style w:type="character" w:styleId="Hyperlink">
    <w:name w:val="Hyperlink"/>
    <w:basedOn w:val="DefaultParagraphFont"/>
    <w:uiPriority w:val="99"/>
    <w:unhideWhenUsed/>
    <w:rsid w:val="00517849"/>
    <w:rPr>
      <w:color w:val="0000FF" w:themeColor="hyperlink"/>
      <w:u w:val="single"/>
    </w:rPr>
  </w:style>
  <w:style w:type="paragraph" w:styleId="Header">
    <w:name w:val="header"/>
    <w:basedOn w:val="Normal"/>
    <w:link w:val="HeaderChar"/>
    <w:uiPriority w:val="99"/>
    <w:semiHidden/>
    <w:unhideWhenUsed/>
    <w:rsid w:val="004B34BB"/>
    <w:pPr>
      <w:tabs>
        <w:tab w:val="center" w:pos="4680"/>
        <w:tab w:val="right" w:pos="9360"/>
      </w:tabs>
    </w:pPr>
  </w:style>
  <w:style w:type="character" w:customStyle="1" w:styleId="HeaderChar">
    <w:name w:val="Header Char"/>
    <w:basedOn w:val="DefaultParagraphFont"/>
    <w:link w:val="Header"/>
    <w:uiPriority w:val="99"/>
    <w:semiHidden/>
    <w:rsid w:val="004B34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34BB"/>
    <w:pPr>
      <w:tabs>
        <w:tab w:val="center" w:pos="4680"/>
        <w:tab w:val="right" w:pos="9360"/>
      </w:tabs>
    </w:pPr>
  </w:style>
  <w:style w:type="character" w:customStyle="1" w:styleId="FooterChar">
    <w:name w:val="Footer Char"/>
    <w:basedOn w:val="DefaultParagraphFont"/>
    <w:link w:val="Footer"/>
    <w:uiPriority w:val="99"/>
    <w:rsid w:val="004B34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joyce marie farner</cp:lastModifiedBy>
  <cp:revision>13</cp:revision>
  <cp:lastPrinted>2010-04-26T17:01:00Z</cp:lastPrinted>
  <dcterms:created xsi:type="dcterms:W3CDTF">2010-04-16T20:21:00Z</dcterms:created>
  <dcterms:modified xsi:type="dcterms:W3CDTF">2010-04-26T17:01:00Z</dcterms:modified>
</cp:coreProperties>
</file>