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D20430" w:rsidP="00D20430">
      <w:pPr>
        <w:jc w:val="center"/>
        <w:rPr>
          <w:b/>
        </w:rPr>
      </w:pPr>
      <w:r>
        <w:rPr>
          <w:b/>
        </w:rPr>
        <w:t>BEFORE THE</w:t>
      </w:r>
    </w:p>
    <w:p w:rsidR="00D20430" w:rsidRDefault="00D20430" w:rsidP="00D20430">
      <w:pPr>
        <w:jc w:val="center"/>
      </w:pPr>
      <w:r>
        <w:rPr>
          <w:b/>
        </w:rPr>
        <w:t>PENNSYLVANIA PUBLIC UTILITY COMMISSION</w:t>
      </w:r>
    </w:p>
    <w:p w:rsidR="00D20430" w:rsidRDefault="00D20430" w:rsidP="00D20430"/>
    <w:p w:rsidR="00D20430" w:rsidRDefault="00D20430" w:rsidP="00D20430"/>
    <w:p w:rsidR="00D20430" w:rsidRDefault="00D20430" w:rsidP="00D20430">
      <w:r>
        <w:t>Antonio B. Varrone</w:t>
      </w:r>
      <w:r>
        <w:tab/>
      </w:r>
      <w:r>
        <w:tab/>
      </w:r>
      <w:r>
        <w:tab/>
      </w:r>
      <w:r>
        <w:tab/>
      </w:r>
      <w:r>
        <w:tab/>
        <w:t>:</w:t>
      </w:r>
    </w:p>
    <w:p w:rsidR="00D20430" w:rsidRDefault="00D20430" w:rsidP="00D20430">
      <w:r>
        <w:tab/>
      </w:r>
      <w:r>
        <w:tab/>
      </w:r>
      <w:r>
        <w:tab/>
      </w:r>
      <w:r>
        <w:tab/>
      </w:r>
      <w:r>
        <w:tab/>
      </w:r>
      <w:r>
        <w:tab/>
      </w:r>
      <w:r>
        <w:tab/>
        <w:t>:</w:t>
      </w:r>
    </w:p>
    <w:p w:rsidR="00D20430" w:rsidRDefault="00D20430" w:rsidP="00D20430">
      <w:r>
        <w:tab/>
        <w:t>v.</w:t>
      </w:r>
      <w:r>
        <w:tab/>
      </w:r>
      <w:r>
        <w:tab/>
      </w:r>
      <w:r>
        <w:tab/>
      </w:r>
      <w:r>
        <w:tab/>
      </w:r>
      <w:r>
        <w:tab/>
      </w:r>
      <w:r>
        <w:tab/>
        <w:t>:</w:t>
      </w:r>
      <w:r>
        <w:tab/>
      </w:r>
      <w:r>
        <w:tab/>
        <w:t>C-2009-2131945</w:t>
      </w:r>
    </w:p>
    <w:p w:rsidR="00D20430" w:rsidRDefault="009202DD" w:rsidP="00D20430">
      <w:r>
        <w:tab/>
      </w:r>
      <w:r>
        <w:tab/>
      </w:r>
      <w:r>
        <w:tab/>
      </w:r>
      <w:r>
        <w:tab/>
      </w:r>
      <w:r>
        <w:tab/>
      </w:r>
      <w:r>
        <w:tab/>
      </w:r>
      <w:r>
        <w:tab/>
        <w:t>:</w:t>
      </w:r>
    </w:p>
    <w:p w:rsidR="009202DD" w:rsidRDefault="009202DD" w:rsidP="00D20430">
      <w:r>
        <w:t>West Penn Power Company,</w:t>
      </w:r>
      <w:r>
        <w:tab/>
      </w:r>
      <w:r>
        <w:tab/>
      </w:r>
      <w:r>
        <w:tab/>
      </w:r>
      <w:r>
        <w:tab/>
        <w:t>:</w:t>
      </w:r>
    </w:p>
    <w:p w:rsidR="009202DD" w:rsidRDefault="009202DD" w:rsidP="00D20430">
      <w:r>
        <w:t>d/b/a Allegheny Power</w:t>
      </w:r>
      <w:r>
        <w:tab/>
      </w:r>
      <w:r>
        <w:tab/>
      </w:r>
      <w:r>
        <w:tab/>
      </w:r>
      <w:r>
        <w:tab/>
        <w:t>:</w:t>
      </w:r>
    </w:p>
    <w:p w:rsidR="009202DD" w:rsidRDefault="009202DD" w:rsidP="00D20430"/>
    <w:p w:rsidR="009202DD" w:rsidRDefault="009202DD" w:rsidP="00D20430"/>
    <w:p w:rsidR="009202DD" w:rsidRDefault="009202DD" w:rsidP="009202DD">
      <w:pPr>
        <w:jc w:val="center"/>
      </w:pPr>
      <w:r>
        <w:rPr>
          <w:b/>
          <w:u w:val="single"/>
        </w:rPr>
        <w:t>INITIAL DECISION</w:t>
      </w:r>
    </w:p>
    <w:p w:rsidR="009202DD" w:rsidRDefault="009202DD" w:rsidP="009202DD">
      <w:pPr>
        <w:jc w:val="center"/>
      </w:pPr>
    </w:p>
    <w:p w:rsidR="009202DD" w:rsidRDefault="009202DD" w:rsidP="009202DD">
      <w:pPr>
        <w:jc w:val="center"/>
      </w:pPr>
    </w:p>
    <w:p w:rsidR="009202DD" w:rsidRDefault="00B45DEF" w:rsidP="009202DD">
      <w:pPr>
        <w:jc w:val="center"/>
      </w:pPr>
      <w:r>
        <w:t>Before</w:t>
      </w:r>
    </w:p>
    <w:p w:rsidR="00B45DEF" w:rsidRDefault="00B45DEF" w:rsidP="009202DD">
      <w:pPr>
        <w:jc w:val="center"/>
      </w:pPr>
      <w:r>
        <w:t>John H. Corbett, Jr.</w:t>
      </w:r>
    </w:p>
    <w:p w:rsidR="00B45DEF" w:rsidRDefault="00B45DEF" w:rsidP="009202DD">
      <w:pPr>
        <w:jc w:val="center"/>
      </w:pPr>
      <w:r>
        <w:t>Administrative Law Judge</w:t>
      </w:r>
    </w:p>
    <w:p w:rsidR="00B45DEF" w:rsidRDefault="00B45DEF" w:rsidP="009202DD">
      <w:pPr>
        <w:jc w:val="center"/>
      </w:pPr>
    </w:p>
    <w:p w:rsidR="00B45DEF" w:rsidRDefault="00B45DEF" w:rsidP="009202DD">
      <w:pPr>
        <w:jc w:val="center"/>
      </w:pPr>
    </w:p>
    <w:p w:rsidR="00B45DEF" w:rsidRDefault="00B45DEF" w:rsidP="009202DD">
      <w:pPr>
        <w:jc w:val="center"/>
      </w:pPr>
      <w:r>
        <w:rPr>
          <w:u w:val="single"/>
        </w:rPr>
        <w:t>HISTORY OF THE PROCEEDING</w:t>
      </w:r>
    </w:p>
    <w:p w:rsidR="00B45DEF" w:rsidRDefault="00B45DEF" w:rsidP="00B45DEF"/>
    <w:p w:rsidR="00B45DEF" w:rsidRDefault="00B45DEF" w:rsidP="00B45DEF"/>
    <w:p w:rsidR="00954E03" w:rsidRDefault="00B45DEF" w:rsidP="00B45DEF">
      <w:pPr>
        <w:spacing w:line="360" w:lineRule="auto"/>
      </w:pPr>
      <w:r>
        <w:tab/>
      </w:r>
      <w:r>
        <w:tab/>
      </w:r>
      <w:r w:rsidR="008610F4">
        <w:t>On September 14, 2009, Antonio B. Varrone (“Complainant”) filed a complaint with the Pennsylvania Public Utility Commission (“Commission”)</w:t>
      </w:r>
      <w:r w:rsidR="002E6BFA">
        <w:t xml:space="preserve"> against West Penn Power Company, d/b/a Allegheny Power (“Respondent” or “West Penn Power”).</w:t>
      </w:r>
      <w:r w:rsidR="00896534">
        <w:t xml:space="preserve">  Mr. Varrone alleges a power surge on facilities that West Penn Power owned and operated caused damage to </w:t>
      </w:r>
      <w:r w:rsidR="00822E6B">
        <w:t xml:space="preserve">electrical </w:t>
      </w:r>
      <w:r w:rsidR="00896534">
        <w:t>appliances in his home</w:t>
      </w:r>
      <w:r w:rsidR="006512A8">
        <w:t xml:space="preserve"> on July 23, 2009.  For relief, he requests reimbursement for the damaged appliances.</w:t>
      </w:r>
      <w:r w:rsidR="00B44D2A">
        <w:t xml:space="preserve">  Respondent answered the complaint on October 13, 2009, asserting a live locust tree</w:t>
      </w:r>
      <w:r w:rsidR="009B5819">
        <w:t xml:space="preserve"> uprooted and fell into a 25,000-volt circuit line which contacted a 12,000-volt circuit line, causing a brief abnormal voltage on the 12,000-volt circuit line.</w:t>
      </w:r>
      <w:r w:rsidR="00954E03">
        <w:t xml:space="preserve">  West Penn Power further avers the subject locust tree was beyond the edge of its normally maintained right-of-way.</w:t>
      </w:r>
    </w:p>
    <w:p w:rsidR="00954E03" w:rsidRDefault="00954E03" w:rsidP="00B45DEF">
      <w:pPr>
        <w:spacing w:line="360" w:lineRule="auto"/>
      </w:pPr>
    </w:p>
    <w:p w:rsidR="00B45DEF" w:rsidRDefault="00954E03" w:rsidP="00B45DEF">
      <w:pPr>
        <w:spacing w:line="360" w:lineRule="auto"/>
      </w:pPr>
      <w:r>
        <w:tab/>
      </w:r>
      <w:r>
        <w:tab/>
      </w:r>
      <w:r w:rsidR="00C817A3">
        <w:t>I received this case assignment on January 8, 2010.  A standard Prehearing Order was issued on the same date.</w:t>
      </w:r>
      <w:r w:rsidR="00A639B4">
        <w:t xml:space="preserve">  Telephonic hearings scheduled for February 25 and March 1, 2010 were postponed due to scheduling conflicts of the parties.</w:t>
      </w:r>
    </w:p>
    <w:p w:rsidR="00A639B4" w:rsidRDefault="00A639B4" w:rsidP="00B45DEF">
      <w:pPr>
        <w:spacing w:line="360" w:lineRule="auto"/>
      </w:pPr>
    </w:p>
    <w:p w:rsidR="00A639B4" w:rsidRDefault="00A639B4" w:rsidP="00B45DEF">
      <w:pPr>
        <w:spacing w:line="360" w:lineRule="auto"/>
      </w:pPr>
      <w:r>
        <w:tab/>
      </w:r>
      <w:r>
        <w:tab/>
      </w:r>
      <w:r w:rsidR="00D6208B">
        <w:t xml:space="preserve">A telephonic hearing was held on March 31, 2010.  Complainant appeared </w:t>
      </w:r>
      <w:r w:rsidR="00D6208B" w:rsidRPr="00D6208B">
        <w:rPr>
          <w:i/>
        </w:rPr>
        <w:t>pro se</w:t>
      </w:r>
      <w:r w:rsidR="00D6208B">
        <w:t xml:space="preserve">.  John L. Munsch, Esq. represented Respondent, which offered seven exhibits for admission into </w:t>
      </w:r>
      <w:r w:rsidR="00D6208B">
        <w:lastRenderedPageBreak/>
        <w:t>the record.  The hearing generated 51 pages of notes of testimony.  Neither party filed a brief.  The record closed on May 3, 2010.</w:t>
      </w:r>
    </w:p>
    <w:p w:rsidR="000357D2" w:rsidRDefault="000357D2" w:rsidP="00B45DEF">
      <w:pPr>
        <w:spacing w:line="360" w:lineRule="auto"/>
      </w:pPr>
    </w:p>
    <w:p w:rsidR="000357D2" w:rsidRDefault="000357D2" w:rsidP="000357D2">
      <w:pPr>
        <w:spacing w:line="360" w:lineRule="auto"/>
        <w:jc w:val="center"/>
      </w:pPr>
      <w:r>
        <w:rPr>
          <w:u w:val="single"/>
        </w:rPr>
        <w:t>FINDINGS OF FACT</w:t>
      </w:r>
    </w:p>
    <w:p w:rsidR="000357D2" w:rsidRDefault="000357D2" w:rsidP="000357D2">
      <w:pPr>
        <w:spacing w:line="360" w:lineRule="auto"/>
      </w:pPr>
    </w:p>
    <w:p w:rsidR="000357D2" w:rsidRDefault="00B36B98" w:rsidP="000357D2">
      <w:pPr>
        <w:pStyle w:val="ListParagraph"/>
        <w:numPr>
          <w:ilvl w:val="0"/>
          <w:numId w:val="1"/>
        </w:numPr>
        <w:spacing w:line="360" w:lineRule="auto"/>
        <w:ind w:left="0" w:firstLine="1440"/>
      </w:pPr>
      <w:r>
        <w:t xml:space="preserve">Complainant, Antonio B. Varrone, resides </w:t>
      </w:r>
      <w:r w:rsidR="006474EC">
        <w:t xml:space="preserve">with his wife </w:t>
      </w:r>
      <w:r>
        <w:t>at 10 Butsko Road, Bentleyville, Pennsylvania 15314</w:t>
      </w:r>
      <w:r w:rsidR="00336732">
        <w:t>,</w:t>
      </w:r>
      <w:r w:rsidR="006474EC">
        <w:t xml:space="preserve"> where he has lived for 75 years</w:t>
      </w:r>
      <w:r w:rsidR="00336732">
        <w:t xml:space="preserve"> (N.T. 7-8</w:t>
      </w:r>
      <w:r w:rsidR="007416B2">
        <w:t>, 13</w:t>
      </w:r>
      <w:r w:rsidR="00336732">
        <w:t>).</w:t>
      </w:r>
    </w:p>
    <w:p w:rsidR="00336732" w:rsidRDefault="00336732" w:rsidP="00336732">
      <w:pPr>
        <w:pStyle w:val="ListParagraph"/>
        <w:spacing w:line="360" w:lineRule="auto"/>
        <w:ind w:left="1440"/>
      </w:pPr>
    </w:p>
    <w:p w:rsidR="00336732" w:rsidRDefault="00A74CDC" w:rsidP="000357D2">
      <w:pPr>
        <w:pStyle w:val="ListParagraph"/>
        <w:numPr>
          <w:ilvl w:val="0"/>
          <w:numId w:val="1"/>
        </w:numPr>
        <w:spacing w:line="360" w:lineRule="auto"/>
        <w:ind w:left="0" w:firstLine="1440"/>
      </w:pPr>
      <w:r>
        <w:t>Respondent, West Penn Power Company, d/b/a Allegheny Power, provides residential electric service to Complainant</w:t>
      </w:r>
      <w:r w:rsidR="00CE05E1">
        <w:t xml:space="preserve"> at the foregoing location (N.T. 8).</w:t>
      </w:r>
    </w:p>
    <w:p w:rsidR="00CE05E1" w:rsidRDefault="00CE05E1" w:rsidP="00CE05E1">
      <w:pPr>
        <w:pStyle w:val="ListParagraph"/>
      </w:pPr>
    </w:p>
    <w:p w:rsidR="00CE05E1" w:rsidRDefault="00E11B9A" w:rsidP="000357D2">
      <w:pPr>
        <w:pStyle w:val="ListParagraph"/>
        <w:numPr>
          <w:ilvl w:val="0"/>
          <w:numId w:val="1"/>
        </w:numPr>
        <w:spacing w:line="360" w:lineRule="auto"/>
        <w:ind w:left="0" w:firstLine="1440"/>
      </w:pPr>
      <w:r>
        <w:t xml:space="preserve">At approximately 2:00 a.m. on July 23, 2009, Complainant was awakened by popping noises in his house and “the lights got real bright” </w:t>
      </w:r>
      <w:r w:rsidR="009E70B7">
        <w:t xml:space="preserve">before he lost power altogether </w:t>
      </w:r>
      <w:r>
        <w:t>(N.T. 8-</w:t>
      </w:r>
      <w:r w:rsidR="009E70B7">
        <w:t>10</w:t>
      </w:r>
      <w:r w:rsidR="003A0821">
        <w:t>, 30</w:t>
      </w:r>
      <w:r w:rsidR="006F296D">
        <w:t>, 41</w:t>
      </w:r>
      <w:r>
        <w:t>).</w:t>
      </w:r>
    </w:p>
    <w:p w:rsidR="00E11B9A" w:rsidRDefault="00E11B9A" w:rsidP="00E11B9A">
      <w:pPr>
        <w:pStyle w:val="ListParagraph"/>
      </w:pPr>
    </w:p>
    <w:p w:rsidR="00E11B9A" w:rsidRDefault="00E11B9A" w:rsidP="000357D2">
      <w:pPr>
        <w:pStyle w:val="ListParagraph"/>
        <w:numPr>
          <w:ilvl w:val="0"/>
          <w:numId w:val="1"/>
        </w:numPr>
        <w:spacing w:line="360" w:lineRule="auto"/>
        <w:ind w:left="0" w:firstLine="1440"/>
      </w:pPr>
      <w:r>
        <w:t>The next day, Complainant discovered that a power surge had damaged an air conditioner, television, hot tub</w:t>
      </w:r>
      <w:r w:rsidR="00C969A2">
        <w:t>, two cable boxes and a standard arcade game (N.T. 9-10</w:t>
      </w:r>
      <w:r w:rsidR="007416B2">
        <w:t>, 13</w:t>
      </w:r>
      <w:r w:rsidR="007416B2">
        <w:noBreakHyphen/>
        <w:t>15</w:t>
      </w:r>
      <w:r w:rsidR="006F296D">
        <w:t>, 41-42</w:t>
      </w:r>
      <w:r w:rsidR="00C969A2">
        <w:t>).</w:t>
      </w:r>
    </w:p>
    <w:p w:rsidR="00C969A2" w:rsidRDefault="00C969A2" w:rsidP="00C969A2">
      <w:pPr>
        <w:pStyle w:val="ListParagraph"/>
      </w:pPr>
    </w:p>
    <w:p w:rsidR="00C969A2" w:rsidRDefault="00350AE9" w:rsidP="000357D2">
      <w:pPr>
        <w:pStyle w:val="ListParagraph"/>
        <w:numPr>
          <w:ilvl w:val="0"/>
          <w:numId w:val="1"/>
        </w:numPr>
        <w:spacing w:line="360" w:lineRule="auto"/>
        <w:ind w:left="0" w:firstLine="1440"/>
      </w:pPr>
      <w:r>
        <w:t>Complainant believes West Penn Power</w:t>
      </w:r>
      <w:r w:rsidR="005063EA">
        <w:t xml:space="preserve">, as the provider </w:t>
      </w:r>
      <w:r w:rsidR="004879F4">
        <w:t xml:space="preserve">of </w:t>
      </w:r>
      <w:r w:rsidR="005063EA">
        <w:t>his electric service,</w:t>
      </w:r>
      <w:r>
        <w:t xml:space="preserve"> should be responsible for the damage to his appliances</w:t>
      </w:r>
      <w:r w:rsidR="004E34BB">
        <w:t>,</w:t>
      </w:r>
      <w:r>
        <w:t xml:space="preserve"> regardless of where the tree was situated before it fell into Respondent’s facilities</w:t>
      </w:r>
      <w:r w:rsidR="00244A8B">
        <w:t>, causing the power surge</w:t>
      </w:r>
      <w:r>
        <w:t xml:space="preserve"> (N.T. 10-1</w:t>
      </w:r>
      <w:r w:rsidR="007416B2">
        <w:t>3</w:t>
      </w:r>
      <w:r w:rsidR="005063EA">
        <w:t>, 16</w:t>
      </w:r>
      <w:r>
        <w:t>).</w:t>
      </w:r>
    </w:p>
    <w:p w:rsidR="00350AE9" w:rsidRDefault="00350AE9" w:rsidP="00350AE9">
      <w:pPr>
        <w:pStyle w:val="ListParagraph"/>
      </w:pPr>
    </w:p>
    <w:p w:rsidR="00350AE9" w:rsidRDefault="003F7757" w:rsidP="000357D2">
      <w:pPr>
        <w:pStyle w:val="ListParagraph"/>
        <w:numPr>
          <w:ilvl w:val="0"/>
          <w:numId w:val="1"/>
        </w:numPr>
        <w:spacing w:line="360" w:lineRule="auto"/>
        <w:ind w:left="0" w:firstLine="1440"/>
      </w:pPr>
      <w:r>
        <w:t>The 12,000-volt Ginger Hill circuit serving Complainant is overbuilt with a 25,000-volt sub-transmission line running above it on the same utility poles (N.T. 18</w:t>
      </w:r>
      <w:r w:rsidR="00322AA4">
        <w:t>-</w:t>
      </w:r>
      <w:r w:rsidR="008D7A05">
        <w:t>22; Respondent’s Exhs. 1-3</w:t>
      </w:r>
      <w:r>
        <w:t>).</w:t>
      </w:r>
    </w:p>
    <w:p w:rsidR="00354B26" w:rsidRDefault="00354B26" w:rsidP="00354B26">
      <w:pPr>
        <w:pStyle w:val="ListParagraph"/>
      </w:pPr>
    </w:p>
    <w:p w:rsidR="00354B26" w:rsidRDefault="001D4EC4" w:rsidP="000357D2">
      <w:pPr>
        <w:pStyle w:val="ListParagraph"/>
        <w:numPr>
          <w:ilvl w:val="0"/>
          <w:numId w:val="1"/>
        </w:numPr>
        <w:spacing w:line="360" w:lineRule="auto"/>
        <w:ind w:left="0" w:firstLine="1440"/>
      </w:pPr>
      <w:r>
        <w:t xml:space="preserve">During a heavy rain </w:t>
      </w:r>
      <w:r w:rsidR="00151789">
        <w:t xml:space="preserve">and wind </w:t>
      </w:r>
      <w:r>
        <w:t>storm in the early-morning hours of July 23, 2009, a live black locust tree 28 feet outside of Respondent’s right-of-way uprooted and fell into the 25,000-volt sub-transmission line, causing it to come into contact with the 12,000-volt line sending a power surge down the</w:t>
      </w:r>
      <w:r w:rsidR="008D7AB9">
        <w:t xml:space="preserve"> 12,000-volt line before both circuits cut out</w:t>
      </w:r>
      <w:r w:rsidR="00151789">
        <w:t>.</w:t>
      </w:r>
      <w:r w:rsidR="00E1263F">
        <w:t xml:space="preserve">  This incident </w:t>
      </w:r>
      <w:r w:rsidR="00E1263F">
        <w:lastRenderedPageBreak/>
        <w:t xml:space="preserve">occurred in an area one-half mile to three-quarters of a mile from Complainant’s residence </w:t>
      </w:r>
      <w:r w:rsidR="0048381A">
        <w:t>(N.T. 18-19, 26, 28</w:t>
      </w:r>
      <w:r w:rsidR="0048381A">
        <w:noBreakHyphen/>
      </w:r>
      <w:r w:rsidR="00151789">
        <w:t>30</w:t>
      </w:r>
      <w:r w:rsidR="00BA157C">
        <w:t>, 34</w:t>
      </w:r>
      <w:r w:rsidR="006F296D">
        <w:t>, 40-41</w:t>
      </w:r>
      <w:r w:rsidR="0048381A">
        <w:t>).</w:t>
      </w:r>
    </w:p>
    <w:p w:rsidR="00D77551" w:rsidRDefault="00D77551" w:rsidP="00D77551">
      <w:pPr>
        <w:pStyle w:val="ListParagraph"/>
      </w:pPr>
    </w:p>
    <w:p w:rsidR="00D77551" w:rsidRDefault="00D77551" w:rsidP="000357D2">
      <w:pPr>
        <w:pStyle w:val="ListParagraph"/>
        <w:numPr>
          <w:ilvl w:val="0"/>
          <w:numId w:val="1"/>
        </w:numPr>
        <w:spacing w:line="360" w:lineRule="auto"/>
        <w:ind w:left="0" w:firstLine="1440"/>
      </w:pPr>
      <w:r>
        <w:t>West Penn Power normally</w:t>
      </w:r>
      <w:r w:rsidR="00BA157C">
        <w:t xml:space="preserve"> maintains</w:t>
      </w:r>
      <w:r>
        <w:t xml:space="preserve"> a 50-foot right-of-way on distribution circuits that are under-built</w:t>
      </w:r>
      <w:r w:rsidR="00BA157C">
        <w:t xml:space="preserve"> on 25,000-volt circuits (N.T. 33-34).</w:t>
      </w:r>
    </w:p>
    <w:p w:rsidR="00093A72" w:rsidRDefault="00093A72" w:rsidP="00093A72">
      <w:pPr>
        <w:pStyle w:val="ListParagraph"/>
      </w:pPr>
    </w:p>
    <w:p w:rsidR="00093A72" w:rsidRDefault="00093A72" w:rsidP="000357D2">
      <w:pPr>
        <w:pStyle w:val="ListParagraph"/>
        <w:numPr>
          <w:ilvl w:val="0"/>
          <w:numId w:val="1"/>
        </w:numPr>
        <w:spacing w:line="360" w:lineRule="auto"/>
        <w:ind w:left="0" w:firstLine="1440"/>
      </w:pPr>
      <w:r>
        <w:t xml:space="preserve">West Penn Power </w:t>
      </w:r>
      <w:r w:rsidR="00A33C1C">
        <w:t xml:space="preserve">entered into </w:t>
      </w:r>
      <w:r>
        <w:t xml:space="preserve">a right-of-way agreement with the landowner for the area in which the locust tree fell </w:t>
      </w:r>
      <w:r w:rsidR="00A33C1C">
        <w:t xml:space="preserve">on September 24, 1954 </w:t>
      </w:r>
      <w:r>
        <w:t>(N.T. </w:t>
      </w:r>
      <w:r w:rsidR="00485834">
        <w:t>24-25; Respondent’s Exh. 7</w:t>
      </w:r>
      <w:r>
        <w:t>).</w:t>
      </w:r>
    </w:p>
    <w:p w:rsidR="00BA157C" w:rsidRDefault="00BA157C" w:rsidP="00BA157C">
      <w:pPr>
        <w:pStyle w:val="ListParagraph"/>
      </w:pPr>
    </w:p>
    <w:p w:rsidR="00BA157C" w:rsidRDefault="001D6BC4" w:rsidP="000357D2">
      <w:pPr>
        <w:pStyle w:val="ListParagraph"/>
        <w:numPr>
          <w:ilvl w:val="0"/>
          <w:numId w:val="1"/>
        </w:numPr>
        <w:spacing w:line="360" w:lineRule="auto"/>
        <w:ind w:left="0" w:firstLine="1440"/>
      </w:pPr>
      <w:r>
        <w:t>The subject locust tree was located 28 feet off the edge of the right-of-way (N.T. 34).</w:t>
      </w:r>
    </w:p>
    <w:p w:rsidR="001D6BC4" w:rsidRDefault="001D6BC4" w:rsidP="001D6BC4">
      <w:pPr>
        <w:pStyle w:val="ListParagraph"/>
      </w:pPr>
    </w:p>
    <w:p w:rsidR="001D6BC4" w:rsidRDefault="00F86F4D" w:rsidP="000357D2">
      <w:pPr>
        <w:pStyle w:val="ListParagraph"/>
        <w:numPr>
          <w:ilvl w:val="0"/>
          <w:numId w:val="1"/>
        </w:numPr>
        <w:spacing w:line="360" w:lineRule="auto"/>
        <w:ind w:left="0" w:firstLine="1440"/>
      </w:pPr>
      <w:r>
        <w:t>The locust tree was a live tree; it was not dead, damaged or diseased in any way before falling into the electrical conductors (N.T. </w:t>
      </w:r>
      <w:r w:rsidR="00435277">
        <w:t>19-24, 34-35; Respondent’s Exhs. 1</w:t>
      </w:r>
      <w:r w:rsidR="00435277">
        <w:noBreakHyphen/>
      </w:r>
      <w:r>
        <w:t>6).</w:t>
      </w:r>
    </w:p>
    <w:p w:rsidR="00F86F4D" w:rsidRDefault="00F86F4D" w:rsidP="00F86F4D">
      <w:pPr>
        <w:pStyle w:val="ListParagraph"/>
      </w:pPr>
    </w:p>
    <w:p w:rsidR="00F86F4D" w:rsidRDefault="00DF5EF7" w:rsidP="000357D2">
      <w:pPr>
        <w:pStyle w:val="ListParagraph"/>
        <w:numPr>
          <w:ilvl w:val="0"/>
          <w:numId w:val="1"/>
        </w:numPr>
        <w:spacing w:line="360" w:lineRule="auto"/>
        <w:ind w:left="0" w:firstLine="1440"/>
      </w:pPr>
      <w:r>
        <w:t>Respondent’s forester</w:t>
      </w:r>
      <w:r w:rsidR="00735221">
        <w:t xml:space="preserve"> characterized the right-of-way in the area where the locust tree fell as being well maintained (N.T. 36; Respondent’s Exh. 2).</w:t>
      </w:r>
    </w:p>
    <w:p w:rsidR="00735221" w:rsidRDefault="00735221" w:rsidP="00735221">
      <w:pPr>
        <w:pStyle w:val="ListParagraph"/>
      </w:pPr>
    </w:p>
    <w:p w:rsidR="00735221" w:rsidRDefault="0023664C" w:rsidP="000357D2">
      <w:pPr>
        <w:pStyle w:val="ListParagraph"/>
        <w:numPr>
          <w:ilvl w:val="0"/>
          <w:numId w:val="1"/>
        </w:numPr>
        <w:spacing w:line="360" w:lineRule="auto"/>
        <w:ind w:left="0" w:firstLine="1440"/>
      </w:pPr>
      <w:r>
        <w:t>The overbuilt 25,000-volt sub-transmission line running above the 12,000-volt distribution line conforms with the National Electric Safety Code</w:t>
      </w:r>
      <w:r w:rsidR="00373E59">
        <w:rPr>
          <w:rStyle w:val="FootnoteReference"/>
        </w:rPr>
        <w:footnoteReference w:id="1"/>
      </w:r>
      <w:r>
        <w:t xml:space="preserve"> </w:t>
      </w:r>
      <w:r w:rsidR="007370E5">
        <w:t xml:space="preserve">and it is a common configuration both on Respondent’s system and nationwide </w:t>
      </w:r>
      <w:r>
        <w:t>(N.T. 38-39).</w:t>
      </w:r>
    </w:p>
    <w:p w:rsidR="00734AA4" w:rsidRDefault="00734AA4" w:rsidP="00734AA4">
      <w:pPr>
        <w:pStyle w:val="ListParagraph"/>
      </w:pPr>
    </w:p>
    <w:p w:rsidR="00734AA4" w:rsidRDefault="00FF60BE" w:rsidP="000357D2">
      <w:pPr>
        <w:pStyle w:val="ListParagraph"/>
        <w:numPr>
          <w:ilvl w:val="0"/>
          <w:numId w:val="1"/>
        </w:numPr>
        <w:spacing w:line="360" w:lineRule="auto"/>
        <w:ind w:left="0" w:firstLine="1440"/>
      </w:pPr>
      <w:r>
        <w:t>A public utility will place a higher voltage line above a lesser voltage line, because the higher voltage line requires greater ground clearance (N.T. 46-47).</w:t>
      </w:r>
    </w:p>
    <w:p w:rsidR="007370E5" w:rsidRDefault="007370E5" w:rsidP="007370E5">
      <w:pPr>
        <w:pStyle w:val="ListParagraph"/>
      </w:pPr>
    </w:p>
    <w:p w:rsidR="007370E5" w:rsidRDefault="00F22CE8" w:rsidP="000357D2">
      <w:pPr>
        <w:pStyle w:val="ListParagraph"/>
        <w:numPr>
          <w:ilvl w:val="0"/>
          <w:numId w:val="1"/>
        </w:numPr>
        <w:spacing w:line="360" w:lineRule="auto"/>
        <w:ind w:left="0" w:firstLine="1440"/>
      </w:pPr>
      <w:r>
        <w:t>Respondent’s engineer posits there is no type of safety device that West Penn Power could have placed on its system to prevent this accident from happening (N.T. 42).</w:t>
      </w:r>
    </w:p>
    <w:p w:rsidR="00F22CE8" w:rsidRDefault="00F22CE8" w:rsidP="00F22CE8">
      <w:pPr>
        <w:pStyle w:val="ListParagraph"/>
      </w:pPr>
    </w:p>
    <w:p w:rsidR="00F22CE8" w:rsidRDefault="00F22CE8" w:rsidP="000357D2">
      <w:pPr>
        <w:pStyle w:val="ListParagraph"/>
        <w:numPr>
          <w:ilvl w:val="0"/>
          <w:numId w:val="1"/>
        </w:numPr>
        <w:spacing w:line="360" w:lineRule="auto"/>
        <w:ind w:left="0" w:firstLine="1440"/>
      </w:pPr>
      <w:r>
        <w:t>West Penn Power recommends that its customers use surge protection devices</w:t>
      </w:r>
      <w:r w:rsidR="00734AA4">
        <w:t xml:space="preserve"> to protect their own equipment from this type of accident (N.T. 43-44).</w:t>
      </w:r>
    </w:p>
    <w:p w:rsidR="006C4183" w:rsidRDefault="006C4183" w:rsidP="000357D2">
      <w:pPr>
        <w:pStyle w:val="ListParagraph"/>
        <w:numPr>
          <w:ilvl w:val="0"/>
          <w:numId w:val="1"/>
        </w:numPr>
        <w:spacing w:line="360" w:lineRule="auto"/>
        <w:ind w:left="0" w:firstLine="1440"/>
      </w:pPr>
      <w:r>
        <w:lastRenderedPageBreak/>
        <w:t>West Penn Power received notification of an outage on this circuit at approximately 3:30 a.m. on July 23, 2009 and it restored power by 10:00 a.m. that day (N.T. </w:t>
      </w:r>
      <w:r w:rsidR="00A33C1C">
        <w:t>18, 26</w:t>
      </w:r>
      <w:r w:rsidR="00154BF4">
        <w:t>-29, 40</w:t>
      </w:r>
      <w:r>
        <w:t>).</w:t>
      </w:r>
    </w:p>
    <w:p w:rsidR="00714581" w:rsidRDefault="00714581" w:rsidP="00714581">
      <w:pPr>
        <w:pStyle w:val="ListParagraph"/>
      </w:pPr>
    </w:p>
    <w:p w:rsidR="00714581" w:rsidRDefault="00714581" w:rsidP="00714581">
      <w:pPr>
        <w:spacing w:line="360" w:lineRule="auto"/>
        <w:jc w:val="center"/>
      </w:pPr>
      <w:r>
        <w:rPr>
          <w:u w:val="single"/>
        </w:rPr>
        <w:t>DISCUSSION</w:t>
      </w:r>
    </w:p>
    <w:p w:rsidR="00714581" w:rsidRDefault="00714581" w:rsidP="00714581">
      <w:pPr>
        <w:spacing w:line="360" w:lineRule="auto"/>
      </w:pPr>
    </w:p>
    <w:p w:rsidR="00714581" w:rsidRDefault="00F63D56" w:rsidP="00714581">
      <w:pPr>
        <w:spacing w:line="360" w:lineRule="auto"/>
      </w:pPr>
      <w:r>
        <w:tab/>
      </w:r>
      <w:r>
        <w:tab/>
      </w:r>
      <w:r w:rsidRPr="00F63D56">
        <w:t xml:space="preserve">Complainant seeks to have the Commission hold Respondent liable for damages </w:t>
      </w:r>
      <w:r>
        <w:t xml:space="preserve">to </w:t>
      </w:r>
      <w:r w:rsidR="00090C20">
        <w:t xml:space="preserve">his </w:t>
      </w:r>
      <w:r>
        <w:t xml:space="preserve">appliances </w:t>
      </w:r>
      <w:r w:rsidRPr="00F63D56">
        <w:t>that occurred</w:t>
      </w:r>
      <w:r>
        <w:t xml:space="preserve"> on July 23, 2</w:t>
      </w:r>
      <w:r w:rsidR="005B5486">
        <w:t>0</w:t>
      </w:r>
      <w:r>
        <w:t>09</w:t>
      </w:r>
      <w:r w:rsidRPr="00F63D56">
        <w:t xml:space="preserve">.  The law is well settled that the Commission possesses no authority to award monetary compensation for damage claims.  </w:t>
      </w:r>
      <w:r w:rsidRPr="00F63D56">
        <w:rPr>
          <w:u w:val="single"/>
        </w:rPr>
        <w:t>Elkin v. Bell of Pa.</w:t>
      </w:r>
      <w:r w:rsidRPr="00F63D56">
        <w:t xml:space="preserve">, 491 Pa. 123, 420 A.2d 371 (1980); </w:t>
      </w:r>
      <w:r w:rsidRPr="00F63D56">
        <w:rPr>
          <w:u w:val="single"/>
        </w:rPr>
        <w:t>Feingold v. Bell of Pa.</w:t>
      </w:r>
      <w:r w:rsidRPr="00F63D56">
        <w:t xml:space="preserve">, 477 Pa. 1, 383 A.2d 791 (1977).  Accordingly, the Supreme Court of Pennsylvania has approved a bifurcated procedure, whereby a complainant may take a final determination of liability from this Commission to a Court of Common Pleas for the purpose of establishing entitlement to damages.  </w:t>
      </w:r>
      <w:r w:rsidRPr="00F63D56">
        <w:rPr>
          <w:u w:val="single"/>
        </w:rPr>
        <w:t>DeFrancesco v. Western Pennsylvania Water Company</w:t>
      </w:r>
      <w:r w:rsidRPr="00F63D56">
        <w:t>, 499 Pa. 374, 453 A.2d 595 (1982).  For that reason, any claim for money damages must be resolved in a Court of Common Pleas, after this forum finds that liability attaches for some wrongdoing.</w:t>
      </w:r>
    </w:p>
    <w:p w:rsidR="00F63D56" w:rsidRDefault="00F63D56" w:rsidP="00714581">
      <w:pPr>
        <w:spacing w:line="360" w:lineRule="auto"/>
      </w:pPr>
    </w:p>
    <w:p w:rsidR="00F63D56" w:rsidRDefault="00F63D56" w:rsidP="00714581">
      <w:pPr>
        <w:spacing w:line="360" w:lineRule="auto"/>
      </w:pPr>
      <w:r>
        <w:tab/>
      </w:r>
      <w:r>
        <w:tab/>
      </w:r>
      <w:r w:rsidR="00D60673" w:rsidRPr="00D60673">
        <w:t>The Commission possesses exclusive jurisdiction to determine whether a public utility has abided by its obligations under the Public Utility Code (the “Code”), 66 Pa. C.S. §§101, et seq.  Section 1501 of the Code, 66 Pa. C.S. §1501, directs every public utility to furnish and maintain adequate, efficient, safe and reasonable service and facilities as shall be necessary or proper for the accommodation, convenience and safety of its patrons, employees and the public.  The term “service” is “[u]sed in its broadest and most inclusive sense, [a]nd includes any and all acts done, rendered, or performed, and any and all things furnished or supplied, and any and all facilities used, furnished, or supplied by public utilities . . . in the performance of their duties under . . .” the Code.  66 Pa. C.S. §102.  Thus, the term “service” is obviously broad enough to include the utility’s function of supplying electricity in a safe, adequate and reasonable manner to its customers.  Of course, Complainant bears the burden of proving Respondent violated the Code and he is entitled to relief.  66 Pa. C.S. §332(a).</w:t>
      </w:r>
    </w:p>
    <w:p w:rsidR="00D60673" w:rsidRDefault="00D60673" w:rsidP="00714581">
      <w:pPr>
        <w:spacing w:line="360" w:lineRule="auto"/>
      </w:pPr>
    </w:p>
    <w:p w:rsidR="00D60673" w:rsidRDefault="00D60673" w:rsidP="00714581">
      <w:pPr>
        <w:spacing w:line="360" w:lineRule="auto"/>
      </w:pPr>
      <w:r>
        <w:lastRenderedPageBreak/>
        <w:tab/>
      </w:r>
      <w:r>
        <w:tab/>
      </w:r>
      <w:r w:rsidR="00CB5426" w:rsidRPr="00CB5426">
        <w:t xml:space="preserve">The term “burden of proof” means a duty to establish a fact by a preponderance of the evidence.  </w:t>
      </w:r>
      <w:r w:rsidR="00037FC4">
        <w:rPr>
          <w:u w:val="single"/>
        </w:rPr>
        <w:t>Se-Ling Hosiery v. Marg</w:t>
      </w:r>
      <w:r w:rsidR="00CB5426" w:rsidRPr="00CB5426">
        <w:rPr>
          <w:u w:val="single"/>
        </w:rPr>
        <w:t>ulies</w:t>
      </w:r>
      <w:r w:rsidR="00D42FC4">
        <w:t>, 364 Pa. 45, 70 A.2d 854 (1950</w:t>
      </w:r>
      <w:r w:rsidR="00CB5426" w:rsidRPr="00CB5426">
        <w:t xml:space="preserve">); </w:t>
      </w:r>
      <w:r w:rsidR="00CB5426" w:rsidRPr="00CB5426">
        <w:rPr>
          <w:u w:val="single"/>
        </w:rPr>
        <w:t>Feinstein v. Philadelphia Suburban Water Company</w:t>
      </w:r>
      <w:r w:rsidR="00CB5426" w:rsidRPr="00CB5426">
        <w:t xml:space="preserve">, 50 Pa. P.U.C. 300 (1976).  The term “preponderance of the evidence” means one party must present evidence which is more convincing, by even the smallest amount, than the evidence presented by the other party.  </w:t>
      </w:r>
      <w:r w:rsidR="00CB5426" w:rsidRPr="00CB5426">
        <w:rPr>
          <w:i/>
        </w:rPr>
        <w:t>Id</w:t>
      </w:r>
      <w:r w:rsidR="00CB5426" w:rsidRPr="00CB5426">
        <w:t>.  Accordingly, one must review the record in this case to determine whether Complainant has satisfied h</w:t>
      </w:r>
      <w:r w:rsidR="00CB5426">
        <w:t>is</w:t>
      </w:r>
      <w:r w:rsidR="00CB5426" w:rsidRPr="00CB5426">
        <w:t xml:space="preserve">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CB5426" w:rsidRPr="00CB5426">
        <w:rPr>
          <w:u w:val="single"/>
        </w:rPr>
        <w:t>Morissey v. Pa. Dept. of Highways</w:t>
      </w:r>
      <w:r w:rsidR="00CB5426" w:rsidRPr="00CB5426">
        <w:t xml:space="preserve">, 424 Pa. 87, 225 A.2d 895 (1967); </w:t>
      </w:r>
      <w:r w:rsidR="00CB5426" w:rsidRPr="00CB5426">
        <w:rPr>
          <w:u w:val="single"/>
        </w:rPr>
        <w:t>Burleson v. Pa. P.U.C.</w:t>
      </w:r>
      <w:r w:rsidR="00CB5426" w:rsidRPr="00CB5426">
        <w:t>, 443 A.2d 1373 (Pa. Cmwlth. 1982)</w:t>
      </w:r>
      <w:r w:rsidR="00CB5426">
        <w:t>.</w:t>
      </w:r>
    </w:p>
    <w:p w:rsidR="00CB5426" w:rsidRDefault="00CB5426" w:rsidP="00714581">
      <w:pPr>
        <w:spacing w:line="360" w:lineRule="auto"/>
      </w:pPr>
    </w:p>
    <w:p w:rsidR="00CB5426" w:rsidRDefault="00CB5426" w:rsidP="00714581">
      <w:pPr>
        <w:spacing w:line="360" w:lineRule="auto"/>
      </w:pPr>
      <w:r>
        <w:tab/>
      </w:r>
      <w:r>
        <w:tab/>
      </w:r>
      <w:r w:rsidR="008972AB" w:rsidRPr="008972AB">
        <w:t xml:space="preserve">Furthermore, one must exercise care to ensure the decision of the Commission is supported by substantial evidence in the record.  </w:t>
      </w:r>
      <w:r w:rsidR="008972AB" w:rsidRPr="008972AB">
        <w:rPr>
          <w:i/>
        </w:rPr>
        <w:t>See</w:t>
      </w:r>
      <w:r w:rsidR="008972AB" w:rsidRPr="008972AB">
        <w:t xml:space="preserve">, </w:t>
      </w:r>
      <w:r w:rsidR="008972AB" w:rsidRPr="008972AB">
        <w:rPr>
          <w:i/>
        </w:rPr>
        <w:t>e.g.</w:t>
      </w:r>
      <w:r w:rsidR="008972AB" w:rsidRPr="008972AB">
        <w:t xml:space="preserve">, Section 704 of the Administrative Agency Law, 2 Pa. C.S. §704; </w:t>
      </w:r>
      <w:r w:rsidR="008972AB" w:rsidRPr="008972AB">
        <w:rPr>
          <w:u w:val="single"/>
        </w:rPr>
        <w:t>Yellow Cab Company v. Pa. P.U.C.</w:t>
      </w:r>
      <w:r w:rsidR="008972AB" w:rsidRPr="008972AB">
        <w:t>, 524 A.2d 1069 (Pa. Cmwlth. 1987).  The term “substantial evidence” mean</w:t>
      </w:r>
      <w:r w:rsidR="008972AB">
        <w:t>s</w:t>
      </w:r>
      <w:r w:rsidR="008972AB" w:rsidRPr="008972AB">
        <w:t xml:space="preserve"> such relevant evidence that a reasonable mind may accept as adequate to support a conclusion.  More is required than a mere trace of evidence or a suspicion of the existence of a fact sought to be established.  </w:t>
      </w:r>
      <w:r w:rsidR="008972AB" w:rsidRPr="008972AB">
        <w:rPr>
          <w:u w:val="single"/>
        </w:rPr>
        <w:t>Norfolk &amp; Western Ry. Co. v. Pa. P.U.C.</w:t>
      </w:r>
      <w:r w:rsidR="008972AB" w:rsidRPr="008972AB">
        <w:t xml:space="preserve">, 489 Pa. 109, 413 A.2d 1037 (1980); </w:t>
      </w:r>
      <w:r w:rsidR="008972AB" w:rsidRPr="008972AB">
        <w:rPr>
          <w:u w:val="single"/>
        </w:rPr>
        <w:t>Erie Resistor Corp. v. Unemployment Comp. Bd. of Review</w:t>
      </w:r>
      <w:r w:rsidR="008972AB" w:rsidRPr="008972AB">
        <w:t xml:space="preserve">, 194 Pa. Superior Ct. 278, 166 A.2d 96 (1961); </w:t>
      </w:r>
      <w:r w:rsidR="008972AB" w:rsidRPr="008972AB">
        <w:rPr>
          <w:u w:val="single"/>
        </w:rPr>
        <w:t>Murphy v. Pa. Dept. of Public Welfare, White Haven Center</w:t>
      </w:r>
      <w:r w:rsidR="008972AB" w:rsidRPr="008972AB">
        <w:t xml:space="preserve">, 480 A.2d 382 (Pa. Cmwlth. 1984).  The Commission has held that a complainant, to establish a sufficient case against a utility and satisfy the burden of proof, must show the utility is responsible or accountable for the problem described in the complaint.  </w:t>
      </w:r>
      <w:r w:rsidR="008972AB" w:rsidRPr="008972AB">
        <w:rPr>
          <w:u w:val="single"/>
        </w:rPr>
        <w:t>Feinstein</w:t>
      </w:r>
      <w:r w:rsidR="008972AB" w:rsidRPr="008972AB">
        <w:t xml:space="preserve">, </w:t>
      </w:r>
      <w:r w:rsidR="008972AB" w:rsidRPr="008972AB">
        <w:rPr>
          <w:i/>
        </w:rPr>
        <w:t>supra</w:t>
      </w:r>
      <w:r w:rsidR="008972AB" w:rsidRPr="008972AB">
        <w:t>.</w:t>
      </w:r>
    </w:p>
    <w:p w:rsidR="008972AB" w:rsidRDefault="008972AB" w:rsidP="00714581">
      <w:pPr>
        <w:spacing w:line="360" w:lineRule="auto"/>
      </w:pPr>
    </w:p>
    <w:p w:rsidR="008972AB" w:rsidRDefault="00EF3398" w:rsidP="00714581">
      <w:pPr>
        <w:spacing w:line="360" w:lineRule="auto"/>
      </w:pPr>
      <w:r>
        <w:tab/>
      </w:r>
      <w:r>
        <w:tab/>
      </w:r>
      <w:r w:rsidR="00035DAE">
        <w:t>Here, Complainant has shown that in the early morning hours of July 23, 2009, he was awakened by loud popping noises and his lights suddenly brightened, before he lost electric service</w:t>
      </w:r>
      <w:r w:rsidR="003F7B31">
        <w:t xml:space="preserve"> (N.T. 8-10, 30, 41).  The next day he discovered that his</w:t>
      </w:r>
      <w:r w:rsidR="00CC5039" w:rsidRPr="00CC5039">
        <w:t xml:space="preserve"> </w:t>
      </w:r>
      <w:r w:rsidR="00CC5039">
        <w:t>air conditioner, television, hot tub, two cable boxes and a standard arcade game had been damaged (N.T. 9-10, 13</w:t>
      </w:r>
      <w:r w:rsidR="00CC5039">
        <w:noBreakHyphen/>
        <w:t xml:space="preserve">15, 41-42).  </w:t>
      </w:r>
      <w:r w:rsidR="00CC5039">
        <w:lastRenderedPageBreak/>
        <w:t xml:space="preserve">As the provider of his electric service, Complainant wants the Commission to hold West Penn Power </w:t>
      </w:r>
      <w:r w:rsidR="005D3B7E">
        <w:t>responsible for the loss of his property.</w:t>
      </w:r>
    </w:p>
    <w:p w:rsidR="00CC78B3" w:rsidRDefault="00CC78B3" w:rsidP="00714581">
      <w:pPr>
        <w:spacing w:line="360" w:lineRule="auto"/>
      </w:pPr>
    </w:p>
    <w:p w:rsidR="00CC78B3" w:rsidRDefault="00CC78B3" w:rsidP="00714581">
      <w:pPr>
        <w:spacing w:line="360" w:lineRule="auto"/>
      </w:pPr>
      <w:r>
        <w:tab/>
      </w:r>
      <w:r>
        <w:tab/>
      </w:r>
      <w:r w:rsidR="003F3F6F">
        <w:t>For its part,</w:t>
      </w:r>
      <w:r w:rsidR="00CF2BCA">
        <w:t xml:space="preserve"> Respondent</w:t>
      </w:r>
      <w:r w:rsidR="0038315B">
        <w:t xml:space="preserve"> investigated the outage and discovered a tree down on its facilities </w:t>
      </w:r>
      <w:r w:rsidR="004A61DC">
        <w:t>in an area one-half mile to three-quarters of a mile from Complainant’s residence.  During a heavy rain and wind storm in the early-morning hours of July 23, 2009, a live black locust tree 28 feet outside of Respondent’s right-of-way uprooted and fell into the 25,000-volt sub-transmission line, causing it to come into contact with the 12,000-volt line sending a power surge down the 12,000-volt line before both circuits cut out (N.T. 18-19, 26, 28</w:t>
      </w:r>
      <w:r w:rsidR="004A61DC">
        <w:noBreakHyphen/>
        <w:t>30, 34, 40-41).</w:t>
      </w:r>
      <w:r w:rsidR="005100DC">
        <w:t xml:space="preserve">  The locust tree was a live tree; it was not dead, damaged or diseased in any way before falling into the electrical conductors (N.T. 1</w:t>
      </w:r>
      <w:r w:rsidR="00435277">
        <w:t xml:space="preserve">9-24, </w:t>
      </w:r>
      <w:r w:rsidR="005100DC">
        <w:t>34-35; Respondent’s Exhs. 1-6).</w:t>
      </w:r>
    </w:p>
    <w:p w:rsidR="00E467FC" w:rsidRDefault="00E467FC" w:rsidP="00714581">
      <w:pPr>
        <w:spacing w:line="360" w:lineRule="auto"/>
      </w:pPr>
    </w:p>
    <w:p w:rsidR="00E467FC" w:rsidRDefault="00E467FC" w:rsidP="00714581">
      <w:pPr>
        <w:spacing w:line="360" w:lineRule="auto"/>
      </w:pPr>
      <w:r>
        <w:tab/>
      </w:r>
      <w:r>
        <w:tab/>
      </w:r>
      <w:r w:rsidR="00710CB8">
        <w:t xml:space="preserve">West Penn Power had obtained a right-of-way agreement </w:t>
      </w:r>
      <w:r w:rsidR="0008334E">
        <w:t xml:space="preserve">on September 24, 1954 </w:t>
      </w:r>
      <w:r w:rsidR="00710CB8">
        <w:t xml:space="preserve">from the landowner for the area in which the locust tree fell (N.T. 24-25; Respondent’s Exh. 7).  It normally maintains a 50-foot right-of-way on distribution circuits that are under-built on 25,000-volt circuits (N.T. 33-34).  </w:t>
      </w:r>
      <w:r w:rsidR="00D46AAF">
        <w:t xml:space="preserve">The subject locust tree was located 28 feet off the edge of the right-of-way (N.T. 34).  Absolutely no evidence exists in this record to suggest Respondent knew or should have known that </w:t>
      </w:r>
      <w:r w:rsidR="009631C9">
        <w:t xml:space="preserve">this particular tree posed a danger to its facilities in order </w:t>
      </w:r>
      <w:r w:rsidR="00CA2EF8">
        <w:t xml:space="preserve">to warrant </w:t>
      </w:r>
      <w:r w:rsidR="009631C9">
        <w:t>some type of corrective action.</w:t>
      </w:r>
    </w:p>
    <w:p w:rsidR="009631C9" w:rsidRDefault="009631C9" w:rsidP="00714581">
      <w:pPr>
        <w:spacing w:line="360" w:lineRule="auto"/>
      </w:pPr>
    </w:p>
    <w:p w:rsidR="009631C9" w:rsidRDefault="009631C9" w:rsidP="00714581">
      <w:pPr>
        <w:spacing w:line="360" w:lineRule="auto"/>
      </w:pPr>
      <w:r>
        <w:tab/>
      </w:r>
      <w:r>
        <w:tab/>
        <w:t xml:space="preserve">Furthermore, </w:t>
      </w:r>
      <w:r w:rsidR="00F61BD9">
        <w:t>West Penn Power built and maintained its facilities in accordan</w:t>
      </w:r>
      <w:r w:rsidR="00ED23CA">
        <w:t xml:space="preserve">ce with all applicable standards.  The overbuilt 25,000-volt sub-transmission line running above the 12,000-volt distribution line </w:t>
      </w:r>
      <w:r w:rsidR="0008334E">
        <w:t xml:space="preserve">here </w:t>
      </w:r>
      <w:r w:rsidR="00ED23CA">
        <w:t>conforms with the National Electric Safety Code</w:t>
      </w:r>
      <w:r w:rsidR="00ED23CA">
        <w:rPr>
          <w:rStyle w:val="FootnoteReference"/>
        </w:rPr>
        <w:footnoteReference w:id="2"/>
      </w:r>
      <w:r w:rsidR="00ED23CA">
        <w:t xml:space="preserve"> and it is a common configuration both on Respondent’s system and nationwide (N.T. 38-39).  A public utility will place a higher voltage line above a lesser voltage line, because the higher voltage line requires greater ground clearance (N.T. 46-47).</w:t>
      </w:r>
      <w:r w:rsidR="00C34C4D">
        <w:t xml:space="preserve">  There is no type of safety device that West Penn Power could have placed on its system to prevent this accident from happening (N.T. 42).</w:t>
      </w:r>
      <w:r w:rsidR="00153D8F">
        <w:t xml:space="preserve">  Finally, the right-of-way in the area where the locust tree fell was well maintained (N.T. 36; Respondent’s Exh. 2).</w:t>
      </w:r>
    </w:p>
    <w:p w:rsidR="00065E2A" w:rsidRDefault="00065E2A" w:rsidP="00714581">
      <w:pPr>
        <w:spacing w:line="360" w:lineRule="auto"/>
      </w:pPr>
      <w:r>
        <w:lastRenderedPageBreak/>
        <w:tab/>
      </w:r>
      <w:r>
        <w:tab/>
        <w:t>In summary,</w:t>
      </w:r>
      <w:r w:rsidR="00812CCC">
        <w:t xml:space="preserve"> Complainant has failed to meet his burden of proving that Respondent is responsible or accountable for the damage to his property.</w:t>
      </w:r>
      <w:r w:rsidR="004464DE">
        <w:t xml:space="preserve">  His theory of strict liability must be rejected</w:t>
      </w:r>
      <w:r w:rsidR="009E6411">
        <w:t xml:space="preserve">.  A public utility is required only to furnish and maintain reasonable service and facilities.  66 Pa. C.S. §1501.  A public utility is not a guarantor </w:t>
      </w:r>
      <w:r w:rsidR="0085637E">
        <w:t>of its service and facilities under all circumstances.  Therefore, the complaint must be denied.</w:t>
      </w:r>
    </w:p>
    <w:p w:rsidR="0085637E" w:rsidRDefault="0085637E" w:rsidP="00714581">
      <w:pPr>
        <w:spacing w:line="360" w:lineRule="auto"/>
      </w:pPr>
    </w:p>
    <w:p w:rsidR="0085637E" w:rsidRDefault="008C6BEA" w:rsidP="008C6BEA">
      <w:pPr>
        <w:spacing w:line="360" w:lineRule="auto"/>
        <w:jc w:val="center"/>
      </w:pPr>
      <w:r>
        <w:rPr>
          <w:u w:val="single"/>
        </w:rPr>
        <w:t>CONCLUSIONS OF LAW</w:t>
      </w:r>
    </w:p>
    <w:p w:rsidR="008C6BEA" w:rsidRDefault="008C6BEA" w:rsidP="008C6BEA">
      <w:pPr>
        <w:spacing w:line="360" w:lineRule="auto"/>
      </w:pPr>
    </w:p>
    <w:p w:rsidR="008C6BEA" w:rsidRDefault="008C6BEA" w:rsidP="008C6BEA">
      <w:pPr>
        <w:pStyle w:val="ListParagraph"/>
        <w:numPr>
          <w:ilvl w:val="0"/>
          <w:numId w:val="2"/>
        </w:numPr>
        <w:spacing w:line="360" w:lineRule="auto"/>
        <w:ind w:left="0" w:firstLine="1440"/>
      </w:pPr>
      <w:r w:rsidRPr="008C6BEA">
        <w:t>The Commission has no jurisdiction to award money damages.</w:t>
      </w:r>
    </w:p>
    <w:p w:rsidR="008C6BEA" w:rsidRDefault="008C6BEA" w:rsidP="008C6BEA">
      <w:pPr>
        <w:pStyle w:val="ListParagraph"/>
        <w:spacing w:line="360" w:lineRule="auto"/>
        <w:ind w:left="1440"/>
      </w:pPr>
    </w:p>
    <w:p w:rsidR="008C6BEA" w:rsidRDefault="008C6BEA" w:rsidP="008C6BEA">
      <w:pPr>
        <w:pStyle w:val="ListParagraph"/>
        <w:numPr>
          <w:ilvl w:val="0"/>
          <w:numId w:val="2"/>
        </w:numPr>
        <w:spacing w:line="360" w:lineRule="auto"/>
        <w:ind w:left="0" w:firstLine="1440"/>
      </w:pPr>
      <w:r w:rsidRPr="008C6BEA">
        <w:t>The Commission, otherwise, has jurisdiction over the subject matter and the parties to this proceeding.</w:t>
      </w:r>
    </w:p>
    <w:p w:rsidR="008C6BEA" w:rsidRDefault="008C6BEA" w:rsidP="008C6BEA">
      <w:pPr>
        <w:pStyle w:val="ListParagraph"/>
      </w:pPr>
    </w:p>
    <w:p w:rsidR="008C6BEA" w:rsidRDefault="00C43B52" w:rsidP="008C6BEA">
      <w:pPr>
        <w:pStyle w:val="ListParagraph"/>
        <w:numPr>
          <w:ilvl w:val="0"/>
          <w:numId w:val="2"/>
        </w:numPr>
        <w:spacing w:line="360" w:lineRule="auto"/>
        <w:ind w:left="0" w:firstLine="1440"/>
      </w:pPr>
      <w:r w:rsidRPr="00C43B52">
        <w:t>Complainant has failed to meet h</w:t>
      </w:r>
      <w:r>
        <w:t>is</w:t>
      </w:r>
      <w:r w:rsidRPr="00C43B52">
        <w:t xml:space="preserve"> burden of proving Respondent caused damage to the electrical equipment on </w:t>
      </w:r>
      <w:r>
        <w:t xml:space="preserve">his home </w:t>
      </w:r>
      <w:r w:rsidRPr="00C43B52">
        <w:t>by providing unsafe, unreasonable or inadequate service or facilities.</w:t>
      </w:r>
    </w:p>
    <w:p w:rsidR="00C43B52" w:rsidRDefault="00C43B52" w:rsidP="00C43B52">
      <w:pPr>
        <w:pStyle w:val="ListParagraph"/>
      </w:pPr>
    </w:p>
    <w:p w:rsidR="00C43B52" w:rsidRDefault="00C43B52" w:rsidP="00C43B52">
      <w:pPr>
        <w:spacing w:line="360" w:lineRule="auto"/>
        <w:jc w:val="center"/>
      </w:pPr>
      <w:r>
        <w:rPr>
          <w:u w:val="single"/>
        </w:rPr>
        <w:t>ORDER</w:t>
      </w:r>
    </w:p>
    <w:p w:rsidR="00C43B52" w:rsidRDefault="00C43B52" w:rsidP="00C43B52">
      <w:pPr>
        <w:spacing w:line="360" w:lineRule="auto"/>
      </w:pPr>
    </w:p>
    <w:p w:rsidR="00C43B52" w:rsidRDefault="00C43B52" w:rsidP="00C43B52">
      <w:pPr>
        <w:spacing w:line="360" w:lineRule="auto"/>
      </w:pPr>
      <w:r>
        <w:tab/>
      </w:r>
      <w:r>
        <w:tab/>
        <w:t>THEREFORE,</w:t>
      </w:r>
    </w:p>
    <w:p w:rsidR="00C43B52" w:rsidRDefault="00C43B52" w:rsidP="00C43B52">
      <w:pPr>
        <w:spacing w:line="360" w:lineRule="auto"/>
      </w:pPr>
    </w:p>
    <w:p w:rsidR="00C43B52" w:rsidRDefault="00C43B52" w:rsidP="00C43B52">
      <w:pPr>
        <w:spacing w:line="360" w:lineRule="auto"/>
      </w:pPr>
      <w:r>
        <w:tab/>
      </w:r>
      <w:r>
        <w:tab/>
        <w:t>IT IS ORDERED:</w:t>
      </w:r>
    </w:p>
    <w:p w:rsidR="00C43B52" w:rsidRDefault="00C43B52" w:rsidP="00C43B52">
      <w:pPr>
        <w:spacing w:line="360" w:lineRule="auto"/>
      </w:pPr>
    </w:p>
    <w:p w:rsidR="00C43B52" w:rsidRDefault="00C43B52" w:rsidP="00C43B52">
      <w:pPr>
        <w:spacing w:line="360" w:lineRule="auto"/>
      </w:pPr>
      <w:r>
        <w:tab/>
      </w:r>
      <w:r>
        <w:tab/>
        <w:t>That</w:t>
      </w:r>
      <w:r w:rsidR="006F5EA5">
        <w:t xml:space="preserve"> the complaint of Antonio B. Varrone against West Penn Power Company,</w:t>
      </w:r>
      <w:r w:rsidR="006F5EA5" w:rsidRPr="006F5EA5">
        <w:t xml:space="preserve"> </w:t>
      </w:r>
      <w:r w:rsidR="006F5EA5">
        <w:t>d/b/a Allegheny Power, at Docket No. C-2009-2131945, is hereby denied.</w:t>
      </w:r>
    </w:p>
    <w:p w:rsidR="006F5EA5" w:rsidRDefault="006F5EA5" w:rsidP="00C43B52">
      <w:pPr>
        <w:spacing w:line="360" w:lineRule="auto"/>
      </w:pPr>
    </w:p>
    <w:p w:rsidR="006F5EA5" w:rsidRDefault="006F5EA5" w:rsidP="00C43B52">
      <w:pPr>
        <w:spacing w:line="360" w:lineRule="auto"/>
      </w:pPr>
    </w:p>
    <w:p w:rsidR="006F5EA5" w:rsidRDefault="006F5EA5" w:rsidP="006F5EA5">
      <w:r>
        <w:t xml:space="preserve">Date: </w:t>
      </w:r>
      <w:r>
        <w:rPr>
          <w:u w:val="single"/>
        </w:rPr>
        <w:t>May 17, 2010</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F5EA5" w:rsidRDefault="006F5EA5" w:rsidP="006F5EA5">
      <w:r>
        <w:tab/>
      </w:r>
      <w:r>
        <w:tab/>
      </w:r>
      <w:r>
        <w:tab/>
      </w:r>
      <w:r>
        <w:tab/>
      </w:r>
      <w:r>
        <w:tab/>
      </w:r>
      <w:r>
        <w:tab/>
      </w:r>
      <w:r>
        <w:tab/>
        <w:t>John H. Corbett, Jr.</w:t>
      </w:r>
    </w:p>
    <w:p w:rsidR="006F5EA5" w:rsidRDefault="006F5EA5" w:rsidP="006F5EA5">
      <w:r>
        <w:tab/>
      </w:r>
      <w:r>
        <w:tab/>
      </w:r>
      <w:r>
        <w:tab/>
      </w:r>
      <w:r>
        <w:tab/>
      </w:r>
      <w:r>
        <w:tab/>
      </w:r>
      <w:r>
        <w:tab/>
      </w:r>
      <w:r>
        <w:tab/>
      </w:r>
      <w:r w:rsidR="00822E6B">
        <w:t>Administrative Law Judge</w:t>
      </w:r>
    </w:p>
    <w:p w:rsidR="006E04B4" w:rsidRDefault="006E04B4" w:rsidP="006F5EA5">
      <w:pPr>
        <w:sectPr w:rsidR="006E04B4" w:rsidSect="008A53F1">
          <w:footerReference w:type="default" r:id="rId7"/>
          <w:pgSz w:w="12240" w:h="15840" w:code="1"/>
          <w:pgMar w:top="1440" w:right="1440" w:bottom="1440" w:left="1440" w:header="1440" w:footer="1440" w:gutter="0"/>
          <w:cols w:space="720"/>
          <w:titlePg/>
          <w:docGrid w:linePitch="360"/>
        </w:sectPr>
      </w:pPr>
    </w:p>
    <w:p w:rsidR="006E04B4" w:rsidRDefault="006E04B4" w:rsidP="006E04B4">
      <w:pPr>
        <w:tabs>
          <w:tab w:val="center" w:pos="4752"/>
        </w:tabs>
        <w:suppressAutoHyphens/>
        <w:rPr>
          <w:b/>
          <w:kern w:val="1"/>
        </w:rPr>
      </w:pPr>
      <w:r>
        <w:rPr>
          <w:b/>
          <w:kern w:val="1"/>
        </w:rPr>
        <w:lastRenderedPageBreak/>
        <w:tab/>
        <w:t>PENNSYLVANIA PUBLIC UTILITY COMMISSION</w:t>
      </w:r>
    </w:p>
    <w:p w:rsidR="006E04B4" w:rsidRDefault="006E04B4" w:rsidP="006E04B4">
      <w:pPr>
        <w:tabs>
          <w:tab w:val="center" w:pos="4752"/>
        </w:tabs>
        <w:suppressAutoHyphens/>
        <w:rPr>
          <w:kern w:val="1"/>
        </w:rPr>
      </w:pPr>
      <w:r>
        <w:rPr>
          <w:b/>
          <w:kern w:val="1"/>
        </w:rPr>
        <w:tab/>
        <w:t>Uniform Cover and Calendar Sheet</w:t>
      </w:r>
    </w:p>
    <w:tbl>
      <w:tblPr>
        <w:tblW w:w="0" w:type="auto"/>
        <w:jc w:val="center"/>
        <w:tblLayout w:type="fixed"/>
        <w:tblCellMar>
          <w:left w:w="120" w:type="dxa"/>
          <w:right w:w="120" w:type="dxa"/>
        </w:tblCellMar>
        <w:tblLook w:val="0000"/>
      </w:tblPr>
      <w:tblGrid>
        <w:gridCol w:w="5110"/>
        <w:gridCol w:w="4394"/>
      </w:tblGrid>
      <w:tr w:rsidR="006E04B4" w:rsidTr="006B6F20">
        <w:trPr>
          <w:jc w:val="center"/>
        </w:trPr>
        <w:tc>
          <w:tcPr>
            <w:tcW w:w="5110" w:type="dxa"/>
            <w:tcBorders>
              <w:top w:val="double" w:sz="6" w:space="0" w:color="auto"/>
              <w:right w:val="dashSmallGap" w:sz="4" w:space="0" w:color="auto"/>
            </w:tcBorders>
          </w:tcPr>
          <w:p w:rsidR="006E04B4" w:rsidRDefault="00A8611C" w:rsidP="006B6F20">
            <w:pPr>
              <w:tabs>
                <w:tab w:val="left" w:pos="-1440"/>
                <w:tab w:val="left" w:pos="-720"/>
                <w:tab w:val="left" w:pos="0"/>
                <w:tab w:val="left" w:pos="432"/>
                <w:tab w:val="left" w:pos="576"/>
                <w:tab w:val="left" w:pos="1440"/>
                <w:tab w:val="left" w:pos="2086"/>
                <w:tab w:val="left" w:pos="2880"/>
              </w:tabs>
              <w:suppressAutoHyphens/>
              <w:spacing w:before="90"/>
              <w:rPr>
                <w:kern w:val="1"/>
              </w:rPr>
            </w:pPr>
            <w:r>
              <w:rPr>
                <w:kern w:val="1"/>
              </w:rPr>
              <w:fldChar w:fldCharType="begin"/>
            </w:r>
            <w:r w:rsidR="006E04B4">
              <w:rPr>
                <w:kern w:val="1"/>
              </w:rPr>
              <w:instrText xml:space="preserve">PRIVATE </w:instrText>
            </w:r>
            <w:r>
              <w:rPr>
                <w:kern w:val="1"/>
              </w:rPr>
              <w:fldChar w:fldCharType="end"/>
            </w:r>
            <w:r w:rsidR="006E04B4">
              <w:rPr>
                <w:b/>
                <w:kern w:val="1"/>
              </w:rPr>
              <w:t>1.</w:t>
            </w:r>
            <w:r w:rsidR="006E04B4">
              <w:rPr>
                <w:b/>
                <w:kern w:val="1"/>
              </w:rPr>
              <w:tab/>
            </w:r>
            <w:r w:rsidR="006E04B4" w:rsidRPr="007963D9">
              <w:rPr>
                <w:b/>
                <w:kern w:val="1"/>
                <w:u w:val="single"/>
              </w:rPr>
              <w:t>REPORT DATE</w:t>
            </w:r>
            <w:r w:rsidR="006E04B4">
              <w:rPr>
                <w:b/>
                <w:kern w:val="1"/>
              </w:rPr>
              <w:t>:</w:t>
            </w:r>
          </w:p>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ind w:firstLine="420"/>
              <w:rPr>
                <w:kern w:val="1"/>
              </w:rPr>
            </w:pPr>
            <w:r>
              <w:rPr>
                <w:kern w:val="1"/>
              </w:rPr>
              <w:t>+, 2010</w:t>
            </w:r>
          </w:p>
        </w:tc>
        <w:tc>
          <w:tcPr>
            <w:tcW w:w="4394" w:type="dxa"/>
            <w:tcBorders>
              <w:top w:val="double" w:sz="6" w:space="0" w:color="auto"/>
              <w:left w:val="nil"/>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rPr>
                <w:kern w:val="1"/>
                <w:u w:val="single"/>
              </w:rPr>
            </w:pPr>
            <w:r>
              <w:rPr>
                <w:b/>
                <w:kern w:val="1"/>
              </w:rPr>
              <w:t>2.</w:t>
            </w:r>
            <w:r>
              <w:rPr>
                <w:b/>
                <w:kern w:val="1"/>
              </w:rPr>
              <w:tab/>
            </w:r>
            <w:r>
              <w:rPr>
                <w:b/>
                <w:kern w:val="1"/>
                <w:u w:val="single"/>
              </w:rPr>
              <w:t>BUREAU AGENDA NO.</w:t>
            </w:r>
            <w:r>
              <w:rPr>
                <w:kern w:val="1"/>
                <w:u w:val="single"/>
              </w:rPr>
              <w:t>:</w:t>
            </w:r>
          </w:p>
          <w:p w:rsidR="006E04B4" w:rsidRPr="00590D85" w:rsidRDefault="006E04B4" w:rsidP="006B6F20">
            <w:pPr>
              <w:tabs>
                <w:tab w:val="left" w:pos="-1440"/>
                <w:tab w:val="left" w:pos="-720"/>
                <w:tab w:val="left" w:pos="0"/>
                <w:tab w:val="left" w:pos="432"/>
                <w:tab w:val="left" w:pos="576"/>
                <w:tab w:val="left" w:pos="1440"/>
                <w:tab w:val="left" w:pos="2086"/>
                <w:tab w:val="left" w:pos="2880"/>
              </w:tabs>
              <w:suppressAutoHyphens/>
              <w:spacing w:before="90"/>
              <w:ind w:firstLine="440"/>
              <w:rPr>
                <w:kern w:val="1"/>
              </w:rPr>
            </w:pPr>
            <w:r>
              <w:rPr>
                <w:kern w:val="1"/>
              </w:rPr>
              <w:t>+-ALJ</w:t>
            </w:r>
          </w:p>
        </w:tc>
      </w:tr>
      <w:tr w:rsidR="006E04B4" w:rsidTr="006B6F20">
        <w:trPr>
          <w:trHeight w:val="444"/>
          <w:jc w:val="center"/>
        </w:trPr>
        <w:tc>
          <w:tcPr>
            <w:tcW w:w="5110" w:type="dxa"/>
            <w:tcBorders>
              <w:top w:val="single" w:sz="6" w:space="0" w:color="auto"/>
              <w:right w:val="dashSmallGap" w:sz="4" w:space="0" w:color="auto"/>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line="276" w:lineRule="auto"/>
              <w:rPr>
                <w:kern w:val="1"/>
              </w:rPr>
            </w:pPr>
            <w:r>
              <w:rPr>
                <w:b/>
                <w:kern w:val="1"/>
              </w:rPr>
              <w:t>3.</w:t>
            </w:r>
            <w:r>
              <w:rPr>
                <w:b/>
                <w:kern w:val="1"/>
              </w:rPr>
              <w:tab/>
            </w:r>
            <w:r w:rsidRPr="007963D9">
              <w:rPr>
                <w:b/>
                <w:kern w:val="1"/>
                <w:u w:val="single"/>
              </w:rPr>
              <w:t>BUREAU</w:t>
            </w:r>
            <w:r>
              <w:rPr>
                <w:b/>
                <w:kern w:val="1"/>
              </w:rPr>
              <w:t>:</w:t>
            </w:r>
          </w:p>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line="276" w:lineRule="auto"/>
              <w:ind w:firstLine="420"/>
              <w:rPr>
                <w:kern w:val="1"/>
              </w:rPr>
            </w:pPr>
            <w:r>
              <w:rPr>
                <w:kern w:val="1"/>
              </w:rPr>
              <w:t>Office of Administrative Law Judge</w:t>
            </w:r>
          </w:p>
        </w:tc>
        <w:tc>
          <w:tcPr>
            <w:tcW w:w="4394" w:type="dxa"/>
            <w:tcBorders>
              <w:left w:val="nil"/>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E04B4" w:rsidTr="006B6F20">
        <w:trPr>
          <w:jc w:val="center"/>
        </w:trPr>
        <w:tc>
          <w:tcPr>
            <w:tcW w:w="5110" w:type="dxa"/>
            <w:tcBorders>
              <w:top w:val="single" w:sz="6" w:space="0" w:color="auto"/>
              <w:right w:val="dashSmallGap" w:sz="4" w:space="0" w:color="auto"/>
            </w:tcBorders>
          </w:tcPr>
          <w:p w:rsidR="006E04B4" w:rsidRDefault="006E04B4" w:rsidP="006B6F20">
            <w:pPr>
              <w:tabs>
                <w:tab w:val="left" w:pos="-1440"/>
                <w:tab w:val="left" w:pos="-720"/>
                <w:tab w:val="left" w:pos="0"/>
                <w:tab w:val="left" w:pos="432"/>
                <w:tab w:val="left" w:pos="576"/>
                <w:tab w:val="left" w:pos="1440"/>
                <w:tab w:val="left" w:pos="2130"/>
                <w:tab w:val="left" w:pos="2880"/>
              </w:tabs>
              <w:suppressAutoHyphens/>
              <w:spacing w:after="54" w:line="276" w:lineRule="auto"/>
              <w:rPr>
                <w:b/>
                <w:kern w:val="1"/>
              </w:rPr>
            </w:pPr>
            <w:r>
              <w:rPr>
                <w:b/>
                <w:kern w:val="1"/>
              </w:rPr>
              <w:t>4.</w:t>
            </w:r>
            <w:r>
              <w:rPr>
                <w:b/>
                <w:kern w:val="1"/>
              </w:rPr>
              <w:tab/>
            </w:r>
            <w:r w:rsidRPr="007963D9">
              <w:rPr>
                <w:b/>
                <w:kern w:val="1"/>
                <w:u w:val="single"/>
              </w:rPr>
              <w:t>SECTION(S)</w:t>
            </w:r>
            <w:r>
              <w:rPr>
                <w:b/>
                <w:kern w:val="1"/>
              </w:rPr>
              <w:t xml:space="preserve">: </w:t>
            </w:r>
          </w:p>
          <w:p w:rsidR="006E04B4" w:rsidRDefault="006E04B4" w:rsidP="006B6F20">
            <w:pPr>
              <w:tabs>
                <w:tab w:val="left" w:pos="-1440"/>
                <w:tab w:val="left" w:pos="-720"/>
                <w:tab w:val="left" w:pos="0"/>
                <w:tab w:val="left" w:pos="432"/>
                <w:tab w:val="left" w:pos="576"/>
                <w:tab w:val="left" w:pos="1440"/>
                <w:tab w:val="left" w:pos="2130"/>
                <w:tab w:val="left" w:pos="2880"/>
              </w:tabs>
              <w:suppressAutoHyphens/>
              <w:spacing w:after="54" w:line="276" w:lineRule="auto"/>
              <w:ind w:firstLine="420"/>
              <w:rPr>
                <w:kern w:val="1"/>
              </w:rPr>
            </w:pPr>
            <w:r>
              <w:rPr>
                <w:b/>
                <w:kern w:val="1"/>
              </w:rPr>
              <w:t>N/A</w:t>
            </w:r>
          </w:p>
        </w:tc>
        <w:tc>
          <w:tcPr>
            <w:tcW w:w="4394" w:type="dxa"/>
            <w:tcBorders>
              <w:top w:val="single" w:sz="6" w:space="0" w:color="auto"/>
              <w:left w:val="nil"/>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rPr>
                <w:kern w:val="1"/>
              </w:rPr>
            </w:pPr>
            <w:r>
              <w:rPr>
                <w:b/>
                <w:kern w:val="1"/>
              </w:rPr>
              <w:t>5.</w:t>
            </w:r>
            <w:r>
              <w:rPr>
                <w:b/>
                <w:kern w:val="1"/>
              </w:rPr>
              <w:tab/>
            </w:r>
            <w:r>
              <w:rPr>
                <w:b/>
                <w:kern w:val="1"/>
                <w:u w:val="single"/>
              </w:rPr>
              <w:t>PUBLIC MEETING DATE:</w:t>
            </w:r>
          </w:p>
        </w:tc>
      </w:tr>
      <w:tr w:rsidR="006E04B4" w:rsidTr="006B6F20">
        <w:trPr>
          <w:jc w:val="center"/>
        </w:trPr>
        <w:tc>
          <w:tcPr>
            <w:tcW w:w="5110" w:type="dxa"/>
            <w:vMerge w:val="restart"/>
            <w:tcBorders>
              <w:top w:val="single" w:sz="6" w:space="0" w:color="auto"/>
              <w:right w:val="dashSmallGap" w:sz="4" w:space="0" w:color="auto"/>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6.</w:t>
            </w:r>
            <w:r>
              <w:rPr>
                <w:b/>
                <w:kern w:val="1"/>
              </w:rPr>
              <w:tab/>
            </w:r>
            <w:r w:rsidRPr="007963D9">
              <w:rPr>
                <w:b/>
                <w:kern w:val="1"/>
                <w:u w:val="single"/>
              </w:rPr>
              <w:t>APPROVED BY</w:t>
            </w:r>
            <w:r>
              <w:rPr>
                <w:b/>
                <w:kern w:val="1"/>
              </w:rPr>
              <w:t>:</w:t>
            </w:r>
          </w:p>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after="54"/>
              <w:ind w:firstLine="420"/>
              <w:rPr>
                <w:kern w:val="1"/>
              </w:rPr>
            </w:pPr>
            <w:r>
              <w:rPr>
                <w:kern w:val="1"/>
              </w:rPr>
              <w:t>Chief Administrative Law Judge</w:t>
            </w:r>
          </w:p>
          <w:p w:rsidR="006E04B4" w:rsidRPr="001E1E1B" w:rsidRDefault="006E04B4" w:rsidP="006B6F20">
            <w:pPr>
              <w:tabs>
                <w:tab w:val="left" w:pos="-1440"/>
                <w:tab w:val="left" w:pos="-720"/>
                <w:tab w:val="left" w:pos="0"/>
                <w:tab w:val="left" w:pos="432"/>
                <w:tab w:val="left" w:pos="576"/>
                <w:tab w:val="left" w:pos="1440"/>
                <w:tab w:val="left" w:pos="2086"/>
                <w:tab w:val="left" w:pos="2880"/>
              </w:tabs>
              <w:suppressAutoHyphens/>
              <w:spacing w:after="54"/>
              <w:ind w:firstLine="420"/>
              <w:rPr>
                <w:b/>
                <w:kern w:val="1"/>
              </w:rPr>
            </w:pPr>
            <w:r w:rsidRPr="001E1E1B">
              <w:rPr>
                <w:b/>
                <w:kern w:val="1"/>
              </w:rPr>
              <w:t>Veronica A. Smith</w:t>
            </w:r>
          </w:p>
        </w:tc>
        <w:tc>
          <w:tcPr>
            <w:tcW w:w="4394" w:type="dxa"/>
            <w:tcBorders>
              <w:left w:val="nil"/>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after="54"/>
              <w:ind w:firstLine="440"/>
              <w:rPr>
                <w:kern w:val="1"/>
              </w:rPr>
            </w:pPr>
            <w:r>
              <w:rPr>
                <w:kern w:val="1"/>
              </w:rPr>
              <w:t>+, 2010</w:t>
            </w:r>
          </w:p>
        </w:tc>
      </w:tr>
      <w:tr w:rsidR="006E04B4" w:rsidTr="006B6F20">
        <w:trPr>
          <w:jc w:val="center"/>
        </w:trPr>
        <w:tc>
          <w:tcPr>
            <w:tcW w:w="5110" w:type="dxa"/>
            <w:vMerge/>
            <w:tcBorders>
              <w:bottom w:val="single" w:sz="6" w:space="0" w:color="auto"/>
              <w:right w:val="dashSmallGap" w:sz="4" w:space="0" w:color="auto"/>
            </w:tcBorders>
          </w:tcPr>
          <w:p w:rsidR="006E04B4" w:rsidRPr="007963D9" w:rsidRDefault="006E04B4" w:rsidP="006B6F20">
            <w:pPr>
              <w:tabs>
                <w:tab w:val="left" w:pos="-1440"/>
                <w:tab w:val="left" w:pos="-720"/>
                <w:tab w:val="left" w:pos="0"/>
                <w:tab w:val="left" w:pos="432"/>
                <w:tab w:val="left" w:pos="576"/>
                <w:tab w:val="left" w:pos="1440"/>
                <w:tab w:val="left" w:pos="2086"/>
                <w:tab w:val="left" w:pos="2880"/>
              </w:tabs>
              <w:suppressAutoHyphens/>
              <w:spacing w:after="54"/>
              <w:rPr>
                <w:b/>
                <w:kern w:val="1"/>
              </w:rPr>
            </w:pPr>
          </w:p>
        </w:tc>
        <w:tc>
          <w:tcPr>
            <w:tcW w:w="4394" w:type="dxa"/>
            <w:tcBorders>
              <w:left w:val="nil"/>
              <w:bottom w:val="single" w:sz="4" w:space="0" w:color="auto"/>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E04B4" w:rsidTr="006B6F20">
        <w:trPr>
          <w:jc w:val="center"/>
        </w:trPr>
        <w:tc>
          <w:tcPr>
            <w:tcW w:w="5110" w:type="dxa"/>
            <w:tcBorders>
              <w:top w:val="single" w:sz="6" w:space="0" w:color="auto"/>
              <w:bottom w:val="single" w:sz="6" w:space="0" w:color="auto"/>
              <w:right w:val="dotDash" w:sz="4" w:space="0" w:color="auto"/>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line="276" w:lineRule="auto"/>
              <w:rPr>
                <w:b/>
                <w:kern w:val="1"/>
              </w:rPr>
            </w:pPr>
            <w:r>
              <w:rPr>
                <w:b/>
                <w:kern w:val="1"/>
              </w:rPr>
              <w:t>7.</w:t>
            </w:r>
            <w:r>
              <w:rPr>
                <w:b/>
                <w:kern w:val="1"/>
              </w:rPr>
              <w:tab/>
            </w:r>
            <w:r>
              <w:rPr>
                <w:b/>
                <w:kern w:val="1"/>
                <w:u w:val="single"/>
              </w:rPr>
              <w:t>ALJ / SA</w:t>
            </w:r>
            <w:r>
              <w:rPr>
                <w:b/>
                <w:kern w:val="1"/>
              </w:rPr>
              <w:t>:</w:t>
            </w:r>
          </w:p>
          <w:p w:rsidR="006E04B4" w:rsidRPr="00590D85" w:rsidRDefault="006E04B4" w:rsidP="006B6F20">
            <w:pPr>
              <w:tabs>
                <w:tab w:val="left" w:pos="-1440"/>
                <w:tab w:val="left" w:pos="-720"/>
                <w:tab w:val="left" w:pos="0"/>
                <w:tab w:val="left" w:pos="432"/>
                <w:tab w:val="left" w:pos="576"/>
                <w:tab w:val="left" w:pos="1440"/>
                <w:tab w:val="left" w:pos="2086"/>
                <w:tab w:val="left" w:pos="2880"/>
              </w:tabs>
              <w:suppressAutoHyphens/>
              <w:spacing w:before="90" w:line="276" w:lineRule="auto"/>
              <w:ind w:firstLine="420"/>
              <w:rPr>
                <w:b/>
                <w:kern w:val="1"/>
              </w:rPr>
            </w:pPr>
            <w:r>
              <w:rPr>
                <w:b/>
                <w:kern w:val="1"/>
              </w:rPr>
              <w:t>John H. Corbett, Jr.</w:t>
            </w:r>
          </w:p>
        </w:tc>
        <w:tc>
          <w:tcPr>
            <w:tcW w:w="4394" w:type="dxa"/>
            <w:tcBorders>
              <w:top w:val="single" w:sz="4" w:space="0" w:color="auto"/>
              <w:left w:val="dotDash" w:sz="4" w:space="0" w:color="auto"/>
            </w:tcBorders>
          </w:tcPr>
          <w:p w:rsidR="006E04B4" w:rsidRDefault="006E04B4" w:rsidP="006B6F20">
            <w:pPr>
              <w:tabs>
                <w:tab w:val="left" w:pos="440"/>
                <w:tab w:val="left" w:pos="560"/>
              </w:tabs>
              <w:spacing w:line="276" w:lineRule="auto"/>
              <w:rPr>
                <w:b/>
              </w:rPr>
            </w:pPr>
            <w:r>
              <w:rPr>
                <w:b/>
              </w:rPr>
              <w:t xml:space="preserve">9.    </w:t>
            </w:r>
            <w:r w:rsidRPr="00425315">
              <w:rPr>
                <w:b/>
                <w:u w:val="single"/>
              </w:rPr>
              <w:t>EFFECTIVE DATE OF FILING:</w:t>
            </w:r>
          </w:p>
          <w:p w:rsidR="006E04B4" w:rsidRPr="001E1E1B" w:rsidRDefault="006E04B4" w:rsidP="006B6F20">
            <w:pPr>
              <w:tabs>
                <w:tab w:val="left" w:pos="440"/>
                <w:tab w:val="left" w:pos="560"/>
              </w:tabs>
              <w:spacing w:line="276" w:lineRule="auto"/>
              <w:ind w:firstLine="440"/>
            </w:pPr>
            <w:r>
              <w:t>+, 2010</w:t>
            </w:r>
          </w:p>
        </w:tc>
      </w:tr>
      <w:tr w:rsidR="006E04B4" w:rsidTr="006B6F20">
        <w:trPr>
          <w:jc w:val="center"/>
        </w:trPr>
        <w:tc>
          <w:tcPr>
            <w:tcW w:w="5110" w:type="dxa"/>
            <w:tcBorders>
              <w:top w:val="single" w:sz="6" w:space="0" w:color="auto"/>
              <w:bottom w:val="single" w:sz="6" w:space="0" w:color="auto"/>
              <w:right w:val="dashSmallGap" w:sz="4" w:space="0" w:color="auto"/>
            </w:tcBorders>
          </w:tcPr>
          <w:p w:rsidR="006E04B4" w:rsidRDefault="006E04B4" w:rsidP="006B6F20">
            <w:pPr>
              <w:pStyle w:val="EndnoteText"/>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b/>
                <w:kern w:val="1"/>
              </w:rPr>
            </w:pPr>
            <w:r>
              <w:rPr>
                <w:rFonts w:ascii="Times New Roman" w:hAnsi="Times New Roman"/>
                <w:b/>
                <w:kern w:val="1"/>
              </w:rPr>
              <w:t>8.</w:t>
            </w:r>
            <w:r>
              <w:rPr>
                <w:rFonts w:ascii="Times New Roman" w:hAnsi="Times New Roman"/>
                <w:b/>
                <w:kern w:val="1"/>
              </w:rPr>
              <w:tab/>
            </w:r>
            <w:r w:rsidRPr="000563AE">
              <w:rPr>
                <w:rFonts w:ascii="Times New Roman" w:hAnsi="Times New Roman"/>
                <w:b/>
                <w:kern w:val="1"/>
                <w:u w:val="single"/>
              </w:rPr>
              <w:t>DOCKET NO</w:t>
            </w:r>
            <w:r>
              <w:rPr>
                <w:rFonts w:ascii="Times New Roman" w:hAnsi="Times New Roman"/>
                <w:b/>
                <w:kern w:val="1"/>
              </w:rPr>
              <w:t>.:</w:t>
            </w:r>
          </w:p>
          <w:p w:rsidR="006E04B4" w:rsidRDefault="006E04B4" w:rsidP="006B6F20">
            <w:pPr>
              <w:pStyle w:val="EndnoteText"/>
              <w:tabs>
                <w:tab w:val="left" w:pos="-1440"/>
                <w:tab w:val="left" w:pos="-720"/>
                <w:tab w:val="left" w:pos="0"/>
                <w:tab w:val="left" w:pos="432"/>
                <w:tab w:val="left" w:pos="576"/>
                <w:tab w:val="left" w:pos="1440"/>
                <w:tab w:val="left" w:pos="2086"/>
                <w:tab w:val="left" w:pos="2880"/>
              </w:tabs>
              <w:suppressAutoHyphens/>
              <w:spacing w:after="54"/>
              <w:ind w:firstLine="420"/>
              <w:rPr>
                <w:rFonts w:ascii="Times New Roman" w:hAnsi="Times New Roman"/>
                <w:kern w:val="1"/>
              </w:rPr>
            </w:pPr>
            <w:r>
              <w:rPr>
                <w:rFonts w:ascii="Times New Roman" w:hAnsi="Times New Roman"/>
                <w:b/>
                <w:kern w:val="1"/>
              </w:rPr>
              <w:t>C-2009-2131945</w:t>
            </w:r>
          </w:p>
        </w:tc>
        <w:tc>
          <w:tcPr>
            <w:tcW w:w="4394" w:type="dxa"/>
            <w:tcBorders>
              <w:left w:val="nil"/>
              <w:bottom w:val="single" w:sz="4" w:space="0" w:color="auto"/>
            </w:tcBorders>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E04B4" w:rsidTr="006B6F20">
        <w:trPr>
          <w:jc w:val="center"/>
        </w:trPr>
        <w:tc>
          <w:tcPr>
            <w:tcW w:w="9504" w:type="dxa"/>
            <w:gridSpan w:val="2"/>
          </w:tcPr>
          <w:p w:rsidR="006E04B4" w:rsidRDefault="006E04B4" w:rsidP="006B6F20">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10.</w:t>
            </w:r>
            <w:r>
              <w:rPr>
                <w:b/>
                <w:kern w:val="1"/>
              </w:rPr>
              <w:tab/>
              <w:t>(a) CAPTION (abbreviate if more than 4 lines)</w:t>
            </w:r>
          </w:p>
          <w:p w:rsidR="006E04B4" w:rsidRPr="00282388" w:rsidRDefault="006E04B4" w:rsidP="006B6F20">
            <w:pPr>
              <w:tabs>
                <w:tab w:val="left" w:pos="-1440"/>
                <w:tab w:val="left" w:pos="-720"/>
                <w:tab w:val="left" w:pos="0"/>
                <w:tab w:val="left" w:pos="432"/>
                <w:tab w:val="left" w:pos="576"/>
                <w:tab w:val="left" w:pos="1440"/>
                <w:tab w:val="left" w:pos="2086"/>
                <w:tab w:val="left" w:pos="2880"/>
              </w:tabs>
              <w:suppressAutoHyphens/>
              <w:rPr>
                <w:color w:val="FF0000"/>
                <w:kern w:val="1"/>
              </w:rPr>
            </w:pPr>
            <w:r>
              <w:rPr>
                <w:b/>
                <w:kern w:val="1"/>
              </w:rPr>
              <w:tab/>
            </w:r>
            <w:r w:rsidRPr="00282388">
              <w:rPr>
                <w:b/>
                <w:color w:val="FF0000"/>
                <w:kern w:val="1"/>
              </w:rPr>
              <w:t>(b) Short summary of history &amp; facts, documents &amp; briefs</w:t>
            </w:r>
          </w:p>
          <w:p w:rsidR="006E04B4" w:rsidRDefault="006E04B4" w:rsidP="006B6F20">
            <w:pPr>
              <w:tabs>
                <w:tab w:val="left" w:pos="-1440"/>
                <w:tab w:val="left" w:pos="-720"/>
                <w:tab w:val="left" w:pos="0"/>
                <w:tab w:val="left" w:pos="432"/>
                <w:tab w:val="left" w:pos="576"/>
                <w:tab w:val="left" w:pos="1440"/>
                <w:tab w:val="left" w:pos="2086"/>
                <w:tab w:val="left" w:pos="2880"/>
              </w:tabs>
              <w:suppressAutoHyphens/>
              <w:rPr>
                <w:kern w:val="1"/>
              </w:rPr>
            </w:pPr>
            <w:r>
              <w:rPr>
                <w:b/>
                <w:kern w:val="1"/>
              </w:rPr>
              <w:tab/>
              <w:t>(c) Recommendation</w:t>
            </w:r>
          </w:p>
        </w:tc>
      </w:tr>
    </w:tbl>
    <w:p w:rsidR="006E04B4" w:rsidRDefault="006E04B4" w:rsidP="006E04B4">
      <w:pPr>
        <w:tabs>
          <w:tab w:val="left" w:pos="-1440"/>
          <w:tab w:val="left" w:pos="-720"/>
          <w:tab w:val="left" w:pos="0"/>
          <w:tab w:val="left" w:pos="432"/>
          <w:tab w:val="left" w:pos="576"/>
          <w:tab w:val="left" w:pos="1440"/>
          <w:tab w:val="left" w:pos="2086"/>
          <w:tab w:val="left" w:pos="2880"/>
        </w:tabs>
        <w:suppressAutoHyphens/>
        <w:rPr>
          <w:kern w:val="1"/>
        </w:rPr>
      </w:pPr>
    </w:p>
    <w:p w:rsidR="006E04B4" w:rsidRPr="00BE74E6" w:rsidRDefault="006E04B4" w:rsidP="006E04B4">
      <w:pPr>
        <w:pStyle w:val="ListParagraph"/>
        <w:numPr>
          <w:ilvl w:val="0"/>
          <w:numId w:val="3"/>
        </w:numPr>
        <w:suppressAutoHyphens/>
        <w:jc w:val="both"/>
        <w:rPr>
          <w:kern w:val="1"/>
        </w:rPr>
      </w:pPr>
      <w:r w:rsidRPr="00297B3C">
        <w:rPr>
          <w:kern w:val="1"/>
        </w:rPr>
        <w:t>Antonio B. Varrone</w:t>
      </w:r>
      <w:r>
        <w:rPr>
          <w:kern w:val="1"/>
        </w:rPr>
        <w:t xml:space="preserve"> v. </w:t>
      </w:r>
      <w:r w:rsidRPr="00297B3C">
        <w:rPr>
          <w:kern w:val="1"/>
        </w:rPr>
        <w:t>West Penn Power Company,</w:t>
      </w:r>
      <w:r w:rsidRPr="008169EC">
        <w:t xml:space="preserve"> </w:t>
      </w:r>
      <w:r w:rsidRPr="008169EC">
        <w:rPr>
          <w:kern w:val="1"/>
        </w:rPr>
        <w:t>d/b/a Allegheny Power</w:t>
      </w:r>
    </w:p>
    <w:p w:rsidR="006E04B4" w:rsidRPr="00BE74E6" w:rsidRDefault="006E04B4" w:rsidP="006E04B4">
      <w:pPr>
        <w:pStyle w:val="ListParagraph"/>
        <w:suppressAutoHyphens/>
        <w:ind w:left="540"/>
        <w:jc w:val="both"/>
        <w:rPr>
          <w:kern w:val="1"/>
        </w:rPr>
      </w:pPr>
    </w:p>
    <w:p w:rsidR="006E04B4" w:rsidRPr="00282388" w:rsidRDefault="006E04B4" w:rsidP="006E04B4">
      <w:pPr>
        <w:pStyle w:val="ListParagraph"/>
        <w:numPr>
          <w:ilvl w:val="0"/>
          <w:numId w:val="3"/>
        </w:numPr>
        <w:tabs>
          <w:tab w:val="left" w:pos="-1440"/>
          <w:tab w:val="left" w:pos="-720"/>
          <w:tab w:val="left" w:pos="0"/>
          <w:tab w:val="left" w:pos="540"/>
          <w:tab w:val="left" w:pos="576"/>
          <w:tab w:val="left" w:pos="1440"/>
          <w:tab w:val="left" w:pos="2086"/>
          <w:tab w:val="left" w:pos="2880"/>
        </w:tabs>
        <w:suppressAutoHyphens/>
        <w:jc w:val="both"/>
        <w:rPr>
          <w:color w:val="FF0000"/>
          <w:kern w:val="1"/>
        </w:rPr>
      </w:pPr>
      <w:r w:rsidRPr="008169EC">
        <w:rPr>
          <w:color w:val="FF0000"/>
          <w:kern w:val="1"/>
        </w:rPr>
        <w:t>On September 14, 2009, Complainant filed a complaint alleg</w:t>
      </w:r>
      <w:r>
        <w:rPr>
          <w:color w:val="FF0000"/>
          <w:kern w:val="1"/>
        </w:rPr>
        <w:t>ing</w:t>
      </w:r>
      <w:r w:rsidRPr="008169EC">
        <w:rPr>
          <w:color w:val="FF0000"/>
          <w:kern w:val="1"/>
        </w:rPr>
        <w:t xml:space="preserve"> a power surge on </w:t>
      </w:r>
      <w:r>
        <w:rPr>
          <w:color w:val="FF0000"/>
          <w:kern w:val="1"/>
        </w:rPr>
        <w:t xml:space="preserve">Respondent’s </w:t>
      </w:r>
      <w:r w:rsidRPr="008169EC">
        <w:rPr>
          <w:color w:val="FF0000"/>
          <w:kern w:val="1"/>
        </w:rPr>
        <w:t>facilities caused damage to electrical appliances in his home on July 23, 2009.  For relief, he request</w:t>
      </w:r>
      <w:r>
        <w:rPr>
          <w:color w:val="FF0000"/>
          <w:kern w:val="1"/>
        </w:rPr>
        <w:t>ed</w:t>
      </w:r>
      <w:r w:rsidRPr="008169EC">
        <w:rPr>
          <w:color w:val="FF0000"/>
          <w:kern w:val="1"/>
        </w:rPr>
        <w:t xml:space="preserve"> reimbursement for the damaged appliances.  Respondent answered the complaint on October 13, 2009</w:t>
      </w:r>
      <w:r>
        <w:rPr>
          <w:color w:val="FF0000"/>
          <w:kern w:val="1"/>
        </w:rPr>
        <w:t xml:space="preserve">.  </w:t>
      </w:r>
      <w:r w:rsidRPr="00AA7699">
        <w:rPr>
          <w:color w:val="FF0000"/>
          <w:kern w:val="1"/>
        </w:rPr>
        <w:t>A telephonic hearing was held on March 31, 2010.  Neither party filed a brief.  The record closed on May 3, 2010.</w:t>
      </w:r>
    </w:p>
    <w:p w:rsidR="006E04B4" w:rsidRPr="00A040ED" w:rsidRDefault="006E04B4" w:rsidP="006E04B4">
      <w:pPr>
        <w:pStyle w:val="ListParagraph"/>
        <w:ind w:hanging="180"/>
        <w:rPr>
          <w:kern w:val="1"/>
        </w:rPr>
      </w:pPr>
    </w:p>
    <w:p w:rsidR="006E04B4" w:rsidRPr="00A040ED" w:rsidRDefault="006E04B4" w:rsidP="006E04B4">
      <w:pPr>
        <w:pStyle w:val="ListParagraph"/>
        <w:numPr>
          <w:ilvl w:val="0"/>
          <w:numId w:val="3"/>
        </w:numPr>
        <w:tabs>
          <w:tab w:val="left" w:pos="-1440"/>
          <w:tab w:val="left" w:pos="-720"/>
          <w:tab w:val="left" w:pos="0"/>
          <w:tab w:val="left" w:pos="540"/>
          <w:tab w:val="left" w:pos="576"/>
          <w:tab w:val="left" w:pos="1440"/>
          <w:tab w:val="left" w:pos="2086"/>
          <w:tab w:val="left" w:pos="2880"/>
        </w:tabs>
        <w:suppressAutoHyphens/>
        <w:jc w:val="both"/>
        <w:rPr>
          <w:kern w:val="1"/>
        </w:rPr>
      </w:pPr>
      <w:r>
        <w:rPr>
          <w:kern w:val="1"/>
        </w:rPr>
        <w:t>In an Initial Decision, Judge Corbett denied the complaint.</w:t>
      </w: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576"/>
          <w:tab w:val="left" w:pos="1440"/>
          <w:tab w:val="left" w:pos="2086"/>
          <w:tab w:val="left" w:pos="2880"/>
        </w:tabs>
        <w:suppressAutoHyphens/>
        <w:ind w:left="540" w:hanging="450"/>
        <w:jc w:val="both"/>
        <w:rPr>
          <w:kern w:val="1"/>
        </w:rPr>
      </w:pPr>
    </w:p>
    <w:p w:rsidR="006E04B4" w:rsidRDefault="006E04B4" w:rsidP="006E04B4">
      <w:pPr>
        <w:tabs>
          <w:tab w:val="left" w:pos="-1440"/>
          <w:tab w:val="left" w:pos="-720"/>
          <w:tab w:val="left" w:pos="0"/>
          <w:tab w:val="left" w:pos="432"/>
          <w:tab w:val="left" w:pos="1440"/>
          <w:tab w:val="left" w:pos="2086"/>
          <w:tab w:val="left" w:pos="2880"/>
        </w:tabs>
        <w:suppressAutoHyphens/>
        <w:jc w:val="both"/>
        <w:rPr>
          <w:kern w:val="1"/>
        </w:rPr>
      </w:pPr>
      <w:r>
        <w:rPr>
          <w:kern w:val="1"/>
        </w:rPr>
        <w:t>Recommended Decision served: +, 2009.</w:t>
      </w:r>
    </w:p>
    <w:p w:rsidR="006E04B4" w:rsidRPr="00A040ED" w:rsidRDefault="006E04B4" w:rsidP="006E04B4">
      <w:pPr>
        <w:tabs>
          <w:tab w:val="left" w:pos="-1440"/>
          <w:tab w:val="left" w:pos="-720"/>
          <w:tab w:val="left" w:pos="0"/>
          <w:tab w:val="left" w:pos="432"/>
          <w:tab w:val="left" w:pos="576"/>
          <w:tab w:val="left" w:pos="1440"/>
          <w:tab w:val="left" w:pos="2086"/>
          <w:tab w:val="left" w:pos="2880"/>
        </w:tabs>
        <w:suppressAutoHyphens/>
        <w:jc w:val="both"/>
        <w:rPr>
          <w:kern w:val="1"/>
        </w:rPr>
      </w:pPr>
      <w:r>
        <w:rPr>
          <w:kern w:val="1"/>
        </w:rPr>
        <w:t>No exceptions have been received by the Commission.</w:t>
      </w:r>
    </w:p>
    <w:p w:rsidR="00822E6B" w:rsidRPr="006F5EA5" w:rsidRDefault="00822E6B" w:rsidP="006F5EA5"/>
    <w:sectPr w:rsidR="00822E6B" w:rsidRPr="006F5EA5" w:rsidSect="006E04B4">
      <w:footerReference w:type="first" r:id="rId8"/>
      <w:endnotePr>
        <w:numFmt w:val="decimal"/>
      </w:endnotePr>
      <w:pgSz w:w="12240" w:h="15840"/>
      <w:pgMar w:top="720" w:right="1080" w:bottom="720" w:left="1656"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E75" w:rsidRDefault="00E34E75" w:rsidP="000357D2">
      <w:r>
        <w:separator/>
      </w:r>
    </w:p>
  </w:endnote>
  <w:endnote w:type="continuationSeparator" w:id="0">
    <w:p w:rsidR="00E34E75" w:rsidRDefault="00E34E75" w:rsidP="00035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11329"/>
      <w:docPartObj>
        <w:docPartGallery w:val="Page Numbers (Bottom of Page)"/>
        <w:docPartUnique/>
      </w:docPartObj>
    </w:sdtPr>
    <w:sdtContent>
      <w:p w:rsidR="00F61BD9" w:rsidRDefault="00A8611C">
        <w:pPr>
          <w:pStyle w:val="Footer"/>
          <w:jc w:val="center"/>
        </w:pPr>
        <w:fldSimple w:instr=" PAGE   \* MERGEFORMAT ">
          <w:r w:rsidR="005B5486">
            <w:rPr>
              <w:noProof/>
            </w:rPr>
            <w:t>7</w:t>
          </w:r>
        </w:fldSimple>
      </w:p>
    </w:sdtContent>
  </w:sdt>
  <w:p w:rsidR="00F61BD9" w:rsidRDefault="00F61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4E6" w:rsidRPr="008E0BF3" w:rsidRDefault="00EE69AD" w:rsidP="008E0BF3">
    <w:pPr>
      <w:pStyle w:val="Footer"/>
    </w:pPr>
    <w:r w:rsidRPr="008E0BF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E75" w:rsidRDefault="00E34E75" w:rsidP="000357D2">
      <w:r>
        <w:separator/>
      </w:r>
    </w:p>
  </w:footnote>
  <w:footnote w:type="continuationSeparator" w:id="0">
    <w:p w:rsidR="00E34E75" w:rsidRDefault="00E34E75" w:rsidP="000357D2">
      <w:r>
        <w:continuationSeparator/>
      </w:r>
    </w:p>
  </w:footnote>
  <w:footnote w:id="1">
    <w:p w:rsidR="00F61BD9" w:rsidRPr="00373E59" w:rsidRDefault="00F61BD9" w:rsidP="00373E59">
      <w:pPr>
        <w:pStyle w:val="FootnoteText"/>
        <w:ind w:firstLine="720"/>
      </w:pPr>
      <w:r>
        <w:rPr>
          <w:rStyle w:val="FootnoteReference"/>
        </w:rPr>
        <w:footnoteRef/>
      </w:r>
      <w:r>
        <w:t xml:space="preserve"> </w:t>
      </w:r>
      <w:r>
        <w:tab/>
      </w:r>
      <w:r>
        <w:rPr>
          <w:i/>
        </w:rPr>
        <w:t>See</w:t>
      </w:r>
      <w:r>
        <w:t>, 66 Pa. C.S. §2804(1).</w:t>
      </w:r>
    </w:p>
  </w:footnote>
  <w:footnote w:id="2">
    <w:p w:rsidR="00ED23CA" w:rsidRPr="00373E59" w:rsidRDefault="00ED23CA" w:rsidP="00ED23CA">
      <w:pPr>
        <w:pStyle w:val="FootnoteText"/>
        <w:ind w:firstLine="720"/>
      </w:pPr>
      <w:r>
        <w:rPr>
          <w:rStyle w:val="FootnoteReference"/>
        </w:rPr>
        <w:footnoteRef/>
      </w:r>
      <w:r>
        <w:t xml:space="preserve"> </w:t>
      </w:r>
      <w:r>
        <w:tab/>
      </w:r>
      <w:r>
        <w:rPr>
          <w:i/>
        </w:rPr>
        <w:t>See</w:t>
      </w:r>
      <w:r>
        <w:t>, 66 Pa. C.S. §2804(1).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EF9"/>
    <w:multiLevelType w:val="hybridMultilevel"/>
    <w:tmpl w:val="9D7E5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DDA19D6"/>
    <w:multiLevelType w:val="hybridMultilevel"/>
    <w:tmpl w:val="CCD0C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A84FA848-1968-4E7C-906B-AD06961FC639}"/>
    <w:docVar w:name="dgnword-eventsink" w:val="79926848"/>
  </w:docVars>
  <w:rsids>
    <w:rsidRoot w:val="00D20430"/>
    <w:rsid w:val="00002E71"/>
    <w:rsid w:val="0000610B"/>
    <w:rsid w:val="00010E07"/>
    <w:rsid w:val="0001444C"/>
    <w:rsid w:val="000158F5"/>
    <w:rsid w:val="00015C87"/>
    <w:rsid w:val="000200B5"/>
    <w:rsid w:val="00022031"/>
    <w:rsid w:val="00022664"/>
    <w:rsid w:val="00024AA5"/>
    <w:rsid w:val="00027171"/>
    <w:rsid w:val="00027E4C"/>
    <w:rsid w:val="0003505B"/>
    <w:rsid w:val="000357D2"/>
    <w:rsid w:val="00035D88"/>
    <w:rsid w:val="00035DAE"/>
    <w:rsid w:val="00037FC4"/>
    <w:rsid w:val="000404B5"/>
    <w:rsid w:val="00041450"/>
    <w:rsid w:val="00041943"/>
    <w:rsid w:val="00042860"/>
    <w:rsid w:val="00044944"/>
    <w:rsid w:val="0004591A"/>
    <w:rsid w:val="00047F6E"/>
    <w:rsid w:val="0005471E"/>
    <w:rsid w:val="00056339"/>
    <w:rsid w:val="00063896"/>
    <w:rsid w:val="0006554F"/>
    <w:rsid w:val="00065E2A"/>
    <w:rsid w:val="00067C8F"/>
    <w:rsid w:val="00070D98"/>
    <w:rsid w:val="000716B7"/>
    <w:rsid w:val="000767FF"/>
    <w:rsid w:val="0008135A"/>
    <w:rsid w:val="0008257A"/>
    <w:rsid w:val="0008334E"/>
    <w:rsid w:val="00085610"/>
    <w:rsid w:val="00087CC5"/>
    <w:rsid w:val="0009005C"/>
    <w:rsid w:val="00090C20"/>
    <w:rsid w:val="000921BC"/>
    <w:rsid w:val="00093A72"/>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F38"/>
    <w:rsid w:val="00151789"/>
    <w:rsid w:val="00151828"/>
    <w:rsid w:val="00152DD8"/>
    <w:rsid w:val="001534FA"/>
    <w:rsid w:val="00153BB2"/>
    <w:rsid w:val="00153D8F"/>
    <w:rsid w:val="00154BF4"/>
    <w:rsid w:val="001551FE"/>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EAA"/>
    <w:rsid w:val="001D4EC4"/>
    <w:rsid w:val="001D6BC4"/>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664C"/>
    <w:rsid w:val="00237F95"/>
    <w:rsid w:val="002432B5"/>
    <w:rsid w:val="00244A8B"/>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2E72"/>
    <w:rsid w:val="00286013"/>
    <w:rsid w:val="00286E18"/>
    <w:rsid w:val="00292413"/>
    <w:rsid w:val="00292C52"/>
    <w:rsid w:val="0029312D"/>
    <w:rsid w:val="00297007"/>
    <w:rsid w:val="002A08AE"/>
    <w:rsid w:val="002A0C6D"/>
    <w:rsid w:val="002A5634"/>
    <w:rsid w:val="002B080D"/>
    <w:rsid w:val="002B43C8"/>
    <w:rsid w:val="002B693E"/>
    <w:rsid w:val="002C0A83"/>
    <w:rsid w:val="002C5195"/>
    <w:rsid w:val="002C6736"/>
    <w:rsid w:val="002D15FF"/>
    <w:rsid w:val="002D3212"/>
    <w:rsid w:val="002D46AD"/>
    <w:rsid w:val="002D50E8"/>
    <w:rsid w:val="002E414F"/>
    <w:rsid w:val="002E62AE"/>
    <w:rsid w:val="002E6BFA"/>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4"/>
    <w:rsid w:val="00322AAB"/>
    <w:rsid w:val="00323CE9"/>
    <w:rsid w:val="0032536B"/>
    <w:rsid w:val="0032582D"/>
    <w:rsid w:val="00336732"/>
    <w:rsid w:val="003367D1"/>
    <w:rsid w:val="003413E4"/>
    <w:rsid w:val="00343DF7"/>
    <w:rsid w:val="00344BBD"/>
    <w:rsid w:val="00347D4D"/>
    <w:rsid w:val="00350AE9"/>
    <w:rsid w:val="00354367"/>
    <w:rsid w:val="00354B26"/>
    <w:rsid w:val="003560A1"/>
    <w:rsid w:val="003567DC"/>
    <w:rsid w:val="0036055F"/>
    <w:rsid w:val="00363FC4"/>
    <w:rsid w:val="00364892"/>
    <w:rsid w:val="00372BCE"/>
    <w:rsid w:val="00373E59"/>
    <w:rsid w:val="00375FC7"/>
    <w:rsid w:val="00376FD2"/>
    <w:rsid w:val="00377219"/>
    <w:rsid w:val="0038315B"/>
    <w:rsid w:val="00383E9E"/>
    <w:rsid w:val="00386EC2"/>
    <w:rsid w:val="003914A1"/>
    <w:rsid w:val="003915CD"/>
    <w:rsid w:val="003928FD"/>
    <w:rsid w:val="00393A51"/>
    <w:rsid w:val="003A0821"/>
    <w:rsid w:val="003A51FD"/>
    <w:rsid w:val="003A5775"/>
    <w:rsid w:val="003A645A"/>
    <w:rsid w:val="003A7731"/>
    <w:rsid w:val="003B0F7E"/>
    <w:rsid w:val="003B5554"/>
    <w:rsid w:val="003C0F08"/>
    <w:rsid w:val="003C49C9"/>
    <w:rsid w:val="003C4FBC"/>
    <w:rsid w:val="003D00C1"/>
    <w:rsid w:val="003D15D0"/>
    <w:rsid w:val="003D38F7"/>
    <w:rsid w:val="003D42D0"/>
    <w:rsid w:val="003D5AB0"/>
    <w:rsid w:val="003D6669"/>
    <w:rsid w:val="003D6830"/>
    <w:rsid w:val="003E5628"/>
    <w:rsid w:val="003E5D1E"/>
    <w:rsid w:val="003F100E"/>
    <w:rsid w:val="003F347A"/>
    <w:rsid w:val="003F3F6F"/>
    <w:rsid w:val="003F69AF"/>
    <w:rsid w:val="003F69C5"/>
    <w:rsid w:val="003F7757"/>
    <w:rsid w:val="003F7B31"/>
    <w:rsid w:val="0040464B"/>
    <w:rsid w:val="00405757"/>
    <w:rsid w:val="00407E2D"/>
    <w:rsid w:val="00415484"/>
    <w:rsid w:val="0041758B"/>
    <w:rsid w:val="00417A48"/>
    <w:rsid w:val="00417FB9"/>
    <w:rsid w:val="004255AD"/>
    <w:rsid w:val="00425F5E"/>
    <w:rsid w:val="00427446"/>
    <w:rsid w:val="00427731"/>
    <w:rsid w:val="00431ED9"/>
    <w:rsid w:val="0043213F"/>
    <w:rsid w:val="004345F2"/>
    <w:rsid w:val="00435277"/>
    <w:rsid w:val="00441E8C"/>
    <w:rsid w:val="00443FC3"/>
    <w:rsid w:val="00444F84"/>
    <w:rsid w:val="004464DE"/>
    <w:rsid w:val="00447594"/>
    <w:rsid w:val="00447DAD"/>
    <w:rsid w:val="00451BB3"/>
    <w:rsid w:val="00456B68"/>
    <w:rsid w:val="004606F8"/>
    <w:rsid w:val="004610DD"/>
    <w:rsid w:val="00465CA9"/>
    <w:rsid w:val="00466EEB"/>
    <w:rsid w:val="004763CF"/>
    <w:rsid w:val="00476406"/>
    <w:rsid w:val="004801CF"/>
    <w:rsid w:val="0048381A"/>
    <w:rsid w:val="00485834"/>
    <w:rsid w:val="004879F4"/>
    <w:rsid w:val="00492902"/>
    <w:rsid w:val="00493B06"/>
    <w:rsid w:val="004A0D2F"/>
    <w:rsid w:val="004A3A17"/>
    <w:rsid w:val="004A4379"/>
    <w:rsid w:val="004A4472"/>
    <w:rsid w:val="004A5F2D"/>
    <w:rsid w:val="004A5F6F"/>
    <w:rsid w:val="004A61DC"/>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2FEA"/>
    <w:rsid w:val="004E3130"/>
    <w:rsid w:val="004E34BB"/>
    <w:rsid w:val="004E3916"/>
    <w:rsid w:val="004E48B8"/>
    <w:rsid w:val="004E56E5"/>
    <w:rsid w:val="004F3674"/>
    <w:rsid w:val="004F52CA"/>
    <w:rsid w:val="00500E04"/>
    <w:rsid w:val="00501290"/>
    <w:rsid w:val="005013AB"/>
    <w:rsid w:val="00503B65"/>
    <w:rsid w:val="005055FD"/>
    <w:rsid w:val="005063EA"/>
    <w:rsid w:val="005071E6"/>
    <w:rsid w:val="005100DC"/>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45F6"/>
    <w:rsid w:val="00595C07"/>
    <w:rsid w:val="005963C4"/>
    <w:rsid w:val="005A127F"/>
    <w:rsid w:val="005A560D"/>
    <w:rsid w:val="005B0099"/>
    <w:rsid w:val="005B04D0"/>
    <w:rsid w:val="005B4EAA"/>
    <w:rsid w:val="005B5486"/>
    <w:rsid w:val="005B58F8"/>
    <w:rsid w:val="005B7AAB"/>
    <w:rsid w:val="005C5138"/>
    <w:rsid w:val="005C5ED9"/>
    <w:rsid w:val="005C6FAE"/>
    <w:rsid w:val="005D141F"/>
    <w:rsid w:val="005D3B7E"/>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474EC"/>
    <w:rsid w:val="006503D8"/>
    <w:rsid w:val="006512A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6666"/>
    <w:rsid w:val="00692D9A"/>
    <w:rsid w:val="00694B4C"/>
    <w:rsid w:val="006A1BB3"/>
    <w:rsid w:val="006A3C03"/>
    <w:rsid w:val="006A4740"/>
    <w:rsid w:val="006A6097"/>
    <w:rsid w:val="006A64F2"/>
    <w:rsid w:val="006B3C1B"/>
    <w:rsid w:val="006B3EFB"/>
    <w:rsid w:val="006B690F"/>
    <w:rsid w:val="006C245B"/>
    <w:rsid w:val="006C3402"/>
    <w:rsid w:val="006C3AD5"/>
    <w:rsid w:val="006C4183"/>
    <w:rsid w:val="006C5DA4"/>
    <w:rsid w:val="006C6F08"/>
    <w:rsid w:val="006C7836"/>
    <w:rsid w:val="006D370E"/>
    <w:rsid w:val="006D3B1F"/>
    <w:rsid w:val="006D491B"/>
    <w:rsid w:val="006D4B7E"/>
    <w:rsid w:val="006D4E8D"/>
    <w:rsid w:val="006D51A2"/>
    <w:rsid w:val="006E04B4"/>
    <w:rsid w:val="006E1DF2"/>
    <w:rsid w:val="006E57E8"/>
    <w:rsid w:val="006F08AE"/>
    <w:rsid w:val="006F296D"/>
    <w:rsid w:val="006F2ACE"/>
    <w:rsid w:val="006F5EA5"/>
    <w:rsid w:val="007000FB"/>
    <w:rsid w:val="007008E0"/>
    <w:rsid w:val="00705235"/>
    <w:rsid w:val="00707F74"/>
    <w:rsid w:val="007107AD"/>
    <w:rsid w:val="00710CB8"/>
    <w:rsid w:val="00714581"/>
    <w:rsid w:val="00724A27"/>
    <w:rsid w:val="007342EA"/>
    <w:rsid w:val="00734AA4"/>
    <w:rsid w:val="00735001"/>
    <w:rsid w:val="00735221"/>
    <w:rsid w:val="007354F0"/>
    <w:rsid w:val="007370E5"/>
    <w:rsid w:val="007416B2"/>
    <w:rsid w:val="00742C25"/>
    <w:rsid w:val="00743300"/>
    <w:rsid w:val="00745364"/>
    <w:rsid w:val="00747A6F"/>
    <w:rsid w:val="007520AB"/>
    <w:rsid w:val="00752308"/>
    <w:rsid w:val="00752B0E"/>
    <w:rsid w:val="00756B4F"/>
    <w:rsid w:val="007575D6"/>
    <w:rsid w:val="00763043"/>
    <w:rsid w:val="00766C21"/>
    <w:rsid w:val="0077010C"/>
    <w:rsid w:val="00770452"/>
    <w:rsid w:val="00781BAD"/>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12CCC"/>
    <w:rsid w:val="0082072C"/>
    <w:rsid w:val="008211B6"/>
    <w:rsid w:val="008215F2"/>
    <w:rsid w:val="00822E6B"/>
    <w:rsid w:val="0082561C"/>
    <w:rsid w:val="00831A19"/>
    <w:rsid w:val="00831EDA"/>
    <w:rsid w:val="008363BD"/>
    <w:rsid w:val="00836A1D"/>
    <w:rsid w:val="00837349"/>
    <w:rsid w:val="008433EA"/>
    <w:rsid w:val="00844572"/>
    <w:rsid w:val="008461EA"/>
    <w:rsid w:val="00847619"/>
    <w:rsid w:val="008527AF"/>
    <w:rsid w:val="00853982"/>
    <w:rsid w:val="00854310"/>
    <w:rsid w:val="0085637E"/>
    <w:rsid w:val="0085796E"/>
    <w:rsid w:val="00860CE9"/>
    <w:rsid w:val="008610F4"/>
    <w:rsid w:val="00870493"/>
    <w:rsid w:val="008733F2"/>
    <w:rsid w:val="008739F3"/>
    <w:rsid w:val="00875888"/>
    <w:rsid w:val="00877335"/>
    <w:rsid w:val="00881A7C"/>
    <w:rsid w:val="00884320"/>
    <w:rsid w:val="00885412"/>
    <w:rsid w:val="0089092B"/>
    <w:rsid w:val="00890FD6"/>
    <w:rsid w:val="0089104A"/>
    <w:rsid w:val="00891D27"/>
    <w:rsid w:val="00895B38"/>
    <w:rsid w:val="00896534"/>
    <w:rsid w:val="008972AB"/>
    <w:rsid w:val="008979D0"/>
    <w:rsid w:val="008A3128"/>
    <w:rsid w:val="008A53F1"/>
    <w:rsid w:val="008B629C"/>
    <w:rsid w:val="008B6C4F"/>
    <w:rsid w:val="008C0A8C"/>
    <w:rsid w:val="008C1CCC"/>
    <w:rsid w:val="008C4B08"/>
    <w:rsid w:val="008C4DAE"/>
    <w:rsid w:val="008C6BEA"/>
    <w:rsid w:val="008C6C90"/>
    <w:rsid w:val="008C6CD3"/>
    <w:rsid w:val="008D25CC"/>
    <w:rsid w:val="008D3E8B"/>
    <w:rsid w:val="008D409A"/>
    <w:rsid w:val="008D70A6"/>
    <w:rsid w:val="008D7A05"/>
    <w:rsid w:val="008D7AB9"/>
    <w:rsid w:val="008E121E"/>
    <w:rsid w:val="008E31F7"/>
    <w:rsid w:val="008F6929"/>
    <w:rsid w:val="00904091"/>
    <w:rsid w:val="009044B7"/>
    <w:rsid w:val="00906E26"/>
    <w:rsid w:val="00912360"/>
    <w:rsid w:val="00914472"/>
    <w:rsid w:val="00917AE9"/>
    <w:rsid w:val="009202DD"/>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54E03"/>
    <w:rsid w:val="009603C9"/>
    <w:rsid w:val="00960B87"/>
    <w:rsid w:val="00962AAD"/>
    <w:rsid w:val="009631C9"/>
    <w:rsid w:val="009635AB"/>
    <w:rsid w:val="00964ECF"/>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819"/>
    <w:rsid w:val="009B5FBB"/>
    <w:rsid w:val="009B64C4"/>
    <w:rsid w:val="009D0659"/>
    <w:rsid w:val="009D119A"/>
    <w:rsid w:val="009E047A"/>
    <w:rsid w:val="009E0743"/>
    <w:rsid w:val="009E0762"/>
    <w:rsid w:val="009E0D5F"/>
    <w:rsid w:val="009E16BB"/>
    <w:rsid w:val="009E3575"/>
    <w:rsid w:val="009E3DB9"/>
    <w:rsid w:val="009E558C"/>
    <w:rsid w:val="009E6411"/>
    <w:rsid w:val="009E6878"/>
    <w:rsid w:val="009E70B7"/>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4EFC"/>
    <w:rsid w:val="00A1691E"/>
    <w:rsid w:val="00A22BE0"/>
    <w:rsid w:val="00A22FF3"/>
    <w:rsid w:val="00A2365D"/>
    <w:rsid w:val="00A24980"/>
    <w:rsid w:val="00A24C4F"/>
    <w:rsid w:val="00A2719F"/>
    <w:rsid w:val="00A312B8"/>
    <w:rsid w:val="00A32C82"/>
    <w:rsid w:val="00A33A9C"/>
    <w:rsid w:val="00A33C1C"/>
    <w:rsid w:val="00A3408C"/>
    <w:rsid w:val="00A35315"/>
    <w:rsid w:val="00A442C3"/>
    <w:rsid w:val="00A4684B"/>
    <w:rsid w:val="00A474D4"/>
    <w:rsid w:val="00A50F6C"/>
    <w:rsid w:val="00A5372D"/>
    <w:rsid w:val="00A639B4"/>
    <w:rsid w:val="00A6600B"/>
    <w:rsid w:val="00A66018"/>
    <w:rsid w:val="00A66558"/>
    <w:rsid w:val="00A7014D"/>
    <w:rsid w:val="00A71047"/>
    <w:rsid w:val="00A72D1A"/>
    <w:rsid w:val="00A74CDC"/>
    <w:rsid w:val="00A751B8"/>
    <w:rsid w:val="00A835FF"/>
    <w:rsid w:val="00A83846"/>
    <w:rsid w:val="00A83E30"/>
    <w:rsid w:val="00A85EA9"/>
    <w:rsid w:val="00A8611C"/>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0D3A"/>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6B98"/>
    <w:rsid w:val="00B37E41"/>
    <w:rsid w:val="00B43E1A"/>
    <w:rsid w:val="00B44D2A"/>
    <w:rsid w:val="00B45DEF"/>
    <w:rsid w:val="00B47709"/>
    <w:rsid w:val="00B50794"/>
    <w:rsid w:val="00B51738"/>
    <w:rsid w:val="00B51E90"/>
    <w:rsid w:val="00B57380"/>
    <w:rsid w:val="00B67C1A"/>
    <w:rsid w:val="00B7271C"/>
    <w:rsid w:val="00B763C7"/>
    <w:rsid w:val="00B763FA"/>
    <w:rsid w:val="00B774A8"/>
    <w:rsid w:val="00B816DD"/>
    <w:rsid w:val="00B81A18"/>
    <w:rsid w:val="00B81D8F"/>
    <w:rsid w:val="00B82AC2"/>
    <w:rsid w:val="00B83C4A"/>
    <w:rsid w:val="00B91A4A"/>
    <w:rsid w:val="00B97B9F"/>
    <w:rsid w:val="00BA157C"/>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2C50"/>
    <w:rsid w:val="00BD4345"/>
    <w:rsid w:val="00BD4DFB"/>
    <w:rsid w:val="00BE3510"/>
    <w:rsid w:val="00BE4CCA"/>
    <w:rsid w:val="00BE74C8"/>
    <w:rsid w:val="00BE761E"/>
    <w:rsid w:val="00BF0827"/>
    <w:rsid w:val="00BF0A35"/>
    <w:rsid w:val="00BF2F4A"/>
    <w:rsid w:val="00BF3093"/>
    <w:rsid w:val="00BF3658"/>
    <w:rsid w:val="00BF3C89"/>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4C4D"/>
    <w:rsid w:val="00C374CC"/>
    <w:rsid w:val="00C379FE"/>
    <w:rsid w:val="00C37CD0"/>
    <w:rsid w:val="00C43B52"/>
    <w:rsid w:val="00C43CFE"/>
    <w:rsid w:val="00C46557"/>
    <w:rsid w:val="00C46DC6"/>
    <w:rsid w:val="00C4789A"/>
    <w:rsid w:val="00C5077F"/>
    <w:rsid w:val="00C5093C"/>
    <w:rsid w:val="00C52731"/>
    <w:rsid w:val="00C55401"/>
    <w:rsid w:val="00C60CCE"/>
    <w:rsid w:val="00C669E5"/>
    <w:rsid w:val="00C679CE"/>
    <w:rsid w:val="00C704C9"/>
    <w:rsid w:val="00C71914"/>
    <w:rsid w:val="00C7784C"/>
    <w:rsid w:val="00C80F04"/>
    <w:rsid w:val="00C81090"/>
    <w:rsid w:val="00C817A3"/>
    <w:rsid w:val="00C81C16"/>
    <w:rsid w:val="00C86564"/>
    <w:rsid w:val="00C90531"/>
    <w:rsid w:val="00C93740"/>
    <w:rsid w:val="00C969A2"/>
    <w:rsid w:val="00CA06B1"/>
    <w:rsid w:val="00CA2EF8"/>
    <w:rsid w:val="00CA6B55"/>
    <w:rsid w:val="00CB5426"/>
    <w:rsid w:val="00CB75FF"/>
    <w:rsid w:val="00CB7B6B"/>
    <w:rsid w:val="00CC0060"/>
    <w:rsid w:val="00CC0BE8"/>
    <w:rsid w:val="00CC147D"/>
    <w:rsid w:val="00CC3E11"/>
    <w:rsid w:val="00CC5039"/>
    <w:rsid w:val="00CC6237"/>
    <w:rsid w:val="00CC6700"/>
    <w:rsid w:val="00CC6D89"/>
    <w:rsid w:val="00CC6F63"/>
    <w:rsid w:val="00CC78B3"/>
    <w:rsid w:val="00CD20F8"/>
    <w:rsid w:val="00CD3316"/>
    <w:rsid w:val="00CD34E9"/>
    <w:rsid w:val="00CD3706"/>
    <w:rsid w:val="00CE05E1"/>
    <w:rsid w:val="00CE116F"/>
    <w:rsid w:val="00CE1403"/>
    <w:rsid w:val="00CE2FD5"/>
    <w:rsid w:val="00CF1A8C"/>
    <w:rsid w:val="00CF2BCA"/>
    <w:rsid w:val="00CF35E9"/>
    <w:rsid w:val="00CF43F2"/>
    <w:rsid w:val="00CF4B8D"/>
    <w:rsid w:val="00CF543F"/>
    <w:rsid w:val="00D02312"/>
    <w:rsid w:val="00D0622E"/>
    <w:rsid w:val="00D06CF4"/>
    <w:rsid w:val="00D1088E"/>
    <w:rsid w:val="00D12BD9"/>
    <w:rsid w:val="00D162BC"/>
    <w:rsid w:val="00D167BB"/>
    <w:rsid w:val="00D16D6E"/>
    <w:rsid w:val="00D20430"/>
    <w:rsid w:val="00D205BA"/>
    <w:rsid w:val="00D22216"/>
    <w:rsid w:val="00D25F59"/>
    <w:rsid w:val="00D266C2"/>
    <w:rsid w:val="00D3255C"/>
    <w:rsid w:val="00D3420E"/>
    <w:rsid w:val="00D3478E"/>
    <w:rsid w:val="00D356CF"/>
    <w:rsid w:val="00D4206A"/>
    <w:rsid w:val="00D42FC4"/>
    <w:rsid w:val="00D4620B"/>
    <w:rsid w:val="00D46AAF"/>
    <w:rsid w:val="00D50C61"/>
    <w:rsid w:val="00D5467C"/>
    <w:rsid w:val="00D60673"/>
    <w:rsid w:val="00D6208B"/>
    <w:rsid w:val="00D621DA"/>
    <w:rsid w:val="00D648E0"/>
    <w:rsid w:val="00D65AC8"/>
    <w:rsid w:val="00D7008E"/>
    <w:rsid w:val="00D722CD"/>
    <w:rsid w:val="00D72F00"/>
    <w:rsid w:val="00D753D9"/>
    <w:rsid w:val="00D7641A"/>
    <w:rsid w:val="00D77551"/>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C5B32"/>
    <w:rsid w:val="00DC5BB5"/>
    <w:rsid w:val="00DD173D"/>
    <w:rsid w:val="00DD40C0"/>
    <w:rsid w:val="00DE2FEA"/>
    <w:rsid w:val="00DE4AC1"/>
    <w:rsid w:val="00DE5630"/>
    <w:rsid w:val="00DE5FF0"/>
    <w:rsid w:val="00DF0EC6"/>
    <w:rsid w:val="00DF26E7"/>
    <w:rsid w:val="00DF4B57"/>
    <w:rsid w:val="00DF54D3"/>
    <w:rsid w:val="00DF5EF7"/>
    <w:rsid w:val="00DF6DBF"/>
    <w:rsid w:val="00E02E3B"/>
    <w:rsid w:val="00E049A4"/>
    <w:rsid w:val="00E04D8F"/>
    <w:rsid w:val="00E072AC"/>
    <w:rsid w:val="00E078FD"/>
    <w:rsid w:val="00E11477"/>
    <w:rsid w:val="00E11B0F"/>
    <w:rsid w:val="00E11B9A"/>
    <w:rsid w:val="00E125AF"/>
    <w:rsid w:val="00E1263F"/>
    <w:rsid w:val="00E13082"/>
    <w:rsid w:val="00E1342A"/>
    <w:rsid w:val="00E14388"/>
    <w:rsid w:val="00E1687C"/>
    <w:rsid w:val="00E2017C"/>
    <w:rsid w:val="00E2076C"/>
    <w:rsid w:val="00E21788"/>
    <w:rsid w:val="00E242D3"/>
    <w:rsid w:val="00E24CA4"/>
    <w:rsid w:val="00E27A3B"/>
    <w:rsid w:val="00E3075E"/>
    <w:rsid w:val="00E322FF"/>
    <w:rsid w:val="00E32889"/>
    <w:rsid w:val="00E33AFF"/>
    <w:rsid w:val="00E34E75"/>
    <w:rsid w:val="00E36C6E"/>
    <w:rsid w:val="00E37FA1"/>
    <w:rsid w:val="00E414AD"/>
    <w:rsid w:val="00E414F8"/>
    <w:rsid w:val="00E43A15"/>
    <w:rsid w:val="00E4472A"/>
    <w:rsid w:val="00E467FC"/>
    <w:rsid w:val="00E47077"/>
    <w:rsid w:val="00E51C4C"/>
    <w:rsid w:val="00E52101"/>
    <w:rsid w:val="00E52779"/>
    <w:rsid w:val="00E53C53"/>
    <w:rsid w:val="00E553D5"/>
    <w:rsid w:val="00E56ADF"/>
    <w:rsid w:val="00E626F1"/>
    <w:rsid w:val="00E641A6"/>
    <w:rsid w:val="00E65624"/>
    <w:rsid w:val="00E6714F"/>
    <w:rsid w:val="00E705D3"/>
    <w:rsid w:val="00E7317F"/>
    <w:rsid w:val="00E73276"/>
    <w:rsid w:val="00E737FA"/>
    <w:rsid w:val="00E75235"/>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3CA"/>
    <w:rsid w:val="00ED2F45"/>
    <w:rsid w:val="00ED4012"/>
    <w:rsid w:val="00ED55A2"/>
    <w:rsid w:val="00EE010A"/>
    <w:rsid w:val="00EE69AD"/>
    <w:rsid w:val="00EF0A65"/>
    <w:rsid w:val="00EF12CB"/>
    <w:rsid w:val="00EF331C"/>
    <w:rsid w:val="00EF3332"/>
    <w:rsid w:val="00EF3398"/>
    <w:rsid w:val="00EF41AC"/>
    <w:rsid w:val="00EF4F0C"/>
    <w:rsid w:val="00F0033E"/>
    <w:rsid w:val="00F02A7A"/>
    <w:rsid w:val="00F03624"/>
    <w:rsid w:val="00F06057"/>
    <w:rsid w:val="00F22CE8"/>
    <w:rsid w:val="00F26B72"/>
    <w:rsid w:val="00F3014C"/>
    <w:rsid w:val="00F353CE"/>
    <w:rsid w:val="00F3651B"/>
    <w:rsid w:val="00F37163"/>
    <w:rsid w:val="00F435F1"/>
    <w:rsid w:val="00F45F9D"/>
    <w:rsid w:val="00F47958"/>
    <w:rsid w:val="00F51224"/>
    <w:rsid w:val="00F56248"/>
    <w:rsid w:val="00F61397"/>
    <w:rsid w:val="00F61BD9"/>
    <w:rsid w:val="00F61F43"/>
    <w:rsid w:val="00F63D56"/>
    <w:rsid w:val="00F65411"/>
    <w:rsid w:val="00F66425"/>
    <w:rsid w:val="00F66C87"/>
    <w:rsid w:val="00F710FC"/>
    <w:rsid w:val="00F7161F"/>
    <w:rsid w:val="00F732CF"/>
    <w:rsid w:val="00F73E58"/>
    <w:rsid w:val="00F7406E"/>
    <w:rsid w:val="00F74249"/>
    <w:rsid w:val="00F75473"/>
    <w:rsid w:val="00F838BA"/>
    <w:rsid w:val="00F839BB"/>
    <w:rsid w:val="00F84751"/>
    <w:rsid w:val="00F85075"/>
    <w:rsid w:val="00F85AD4"/>
    <w:rsid w:val="00F86F4D"/>
    <w:rsid w:val="00F93E48"/>
    <w:rsid w:val="00F95D50"/>
    <w:rsid w:val="00F96AA9"/>
    <w:rsid w:val="00FA2073"/>
    <w:rsid w:val="00FA2A0D"/>
    <w:rsid w:val="00FA521B"/>
    <w:rsid w:val="00FA7E0A"/>
    <w:rsid w:val="00FB0B72"/>
    <w:rsid w:val="00FB0CB0"/>
    <w:rsid w:val="00FB1607"/>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0BE"/>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357D2"/>
    <w:pPr>
      <w:tabs>
        <w:tab w:val="center" w:pos="4680"/>
        <w:tab w:val="right" w:pos="9360"/>
      </w:tabs>
    </w:pPr>
  </w:style>
  <w:style w:type="character" w:customStyle="1" w:styleId="HeaderChar">
    <w:name w:val="Header Char"/>
    <w:basedOn w:val="DefaultParagraphFont"/>
    <w:link w:val="Header"/>
    <w:rsid w:val="000357D2"/>
    <w:rPr>
      <w:sz w:val="24"/>
      <w:szCs w:val="24"/>
    </w:rPr>
  </w:style>
  <w:style w:type="paragraph" w:styleId="Footer">
    <w:name w:val="footer"/>
    <w:basedOn w:val="Normal"/>
    <w:link w:val="FooterChar"/>
    <w:rsid w:val="000357D2"/>
    <w:pPr>
      <w:tabs>
        <w:tab w:val="center" w:pos="4680"/>
        <w:tab w:val="right" w:pos="9360"/>
      </w:tabs>
    </w:pPr>
  </w:style>
  <w:style w:type="character" w:customStyle="1" w:styleId="FooterChar">
    <w:name w:val="Footer Char"/>
    <w:basedOn w:val="DefaultParagraphFont"/>
    <w:link w:val="Footer"/>
    <w:uiPriority w:val="99"/>
    <w:rsid w:val="000357D2"/>
    <w:rPr>
      <w:sz w:val="24"/>
      <w:szCs w:val="24"/>
    </w:rPr>
  </w:style>
  <w:style w:type="paragraph" w:styleId="ListParagraph">
    <w:name w:val="List Paragraph"/>
    <w:basedOn w:val="Normal"/>
    <w:uiPriority w:val="34"/>
    <w:qFormat/>
    <w:rsid w:val="000357D2"/>
    <w:pPr>
      <w:ind w:left="720"/>
      <w:contextualSpacing/>
    </w:pPr>
  </w:style>
  <w:style w:type="paragraph" w:styleId="FootnoteText">
    <w:name w:val="footnote text"/>
    <w:basedOn w:val="Normal"/>
    <w:link w:val="FootnoteTextChar"/>
    <w:rsid w:val="00373E59"/>
    <w:rPr>
      <w:sz w:val="20"/>
      <w:szCs w:val="20"/>
    </w:rPr>
  </w:style>
  <w:style w:type="character" w:customStyle="1" w:styleId="FootnoteTextChar">
    <w:name w:val="Footnote Text Char"/>
    <w:basedOn w:val="DefaultParagraphFont"/>
    <w:link w:val="FootnoteText"/>
    <w:rsid w:val="00373E59"/>
  </w:style>
  <w:style w:type="character" w:styleId="FootnoteReference">
    <w:name w:val="footnote reference"/>
    <w:basedOn w:val="DefaultParagraphFont"/>
    <w:rsid w:val="00373E59"/>
    <w:rPr>
      <w:vertAlign w:val="superscript"/>
    </w:rPr>
  </w:style>
  <w:style w:type="paragraph" w:styleId="EndnoteText">
    <w:name w:val="endnote text"/>
    <w:basedOn w:val="Normal"/>
    <w:link w:val="EndnoteTextChar"/>
    <w:rsid w:val="006E04B4"/>
    <w:rPr>
      <w:rFonts w:ascii="Courier" w:hAnsi="Courier"/>
      <w:szCs w:val="20"/>
    </w:rPr>
  </w:style>
  <w:style w:type="character" w:customStyle="1" w:styleId="EndnoteTextChar">
    <w:name w:val="Endnote Text Char"/>
    <w:basedOn w:val="DefaultParagraphFont"/>
    <w:link w:val="EndnoteText"/>
    <w:rsid w:val="006E04B4"/>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4</cp:revision>
  <cp:lastPrinted>2010-06-02T13:23:00Z</cp:lastPrinted>
  <dcterms:created xsi:type="dcterms:W3CDTF">2010-05-18T13:32:00Z</dcterms:created>
  <dcterms:modified xsi:type="dcterms:W3CDTF">2010-06-02T13:25:00Z</dcterms:modified>
</cp:coreProperties>
</file>