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2652D2">
        <w:rPr>
          <w:spacing w:val="-3"/>
        </w:rPr>
        <w:t>June 7,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2652D2">
        <w:rPr>
          <w:spacing w:val="-3"/>
        </w:rPr>
        <w:t>2135797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2652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TWINS MOVING &amp; STORAGE CO INC</w:t>
      </w:r>
    </w:p>
    <w:p w:rsidR="002652D2" w:rsidRDefault="002652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168-C ROLLINS AVENUE</w:t>
      </w:r>
    </w:p>
    <w:p w:rsidR="002652D2" w:rsidRDefault="002652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ROCKVILLE MD  20852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2652D2">
        <w:rPr>
          <w:b/>
          <w:spacing w:val="-3"/>
        </w:rPr>
        <w:t>TWINS MOVING &amp; STORAGE CO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652D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36" w:rsidRDefault="00870A36">
      <w:pPr>
        <w:spacing w:line="20" w:lineRule="exact"/>
      </w:pPr>
    </w:p>
  </w:endnote>
  <w:endnote w:type="continuationSeparator" w:id="0">
    <w:p w:rsidR="00870A36" w:rsidRDefault="00870A36">
      <w:r>
        <w:t xml:space="preserve"> </w:t>
      </w:r>
    </w:p>
  </w:endnote>
  <w:endnote w:type="continuationNotice" w:id="1">
    <w:p w:rsidR="00870A36" w:rsidRDefault="00870A3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36" w:rsidRDefault="00870A36">
      <w:r>
        <w:separator/>
      </w:r>
    </w:p>
  </w:footnote>
  <w:footnote w:type="continuationSeparator" w:id="0">
    <w:p w:rsidR="00870A36" w:rsidRDefault="00870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52D2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0A36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2010-06-07T12:37:00Z</cp:lastPrinted>
  <dcterms:created xsi:type="dcterms:W3CDTF">2010-06-07T12:38:00Z</dcterms:created>
  <dcterms:modified xsi:type="dcterms:W3CDTF">2010-06-07T12:38:00Z</dcterms:modified>
</cp:coreProperties>
</file>