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A6" w:rsidRPr="00F461A6" w:rsidRDefault="00F461A6" w:rsidP="00F461A6">
      <w:pPr>
        <w:jc w:val="center"/>
        <w:rPr>
          <w:b/>
          <w:sz w:val="26"/>
          <w:szCs w:val="26"/>
        </w:rPr>
      </w:pPr>
      <w:r w:rsidRPr="00F461A6">
        <w:rPr>
          <w:b/>
          <w:sz w:val="26"/>
          <w:szCs w:val="26"/>
        </w:rPr>
        <w:t>PENNSYLVANIA</w:t>
      </w:r>
    </w:p>
    <w:p w:rsidR="00F461A6" w:rsidRPr="00F461A6" w:rsidRDefault="00F461A6" w:rsidP="00F461A6">
      <w:pPr>
        <w:jc w:val="center"/>
        <w:rPr>
          <w:b/>
          <w:sz w:val="26"/>
          <w:szCs w:val="26"/>
        </w:rPr>
      </w:pPr>
      <w:r w:rsidRPr="00F461A6">
        <w:rPr>
          <w:b/>
          <w:sz w:val="26"/>
          <w:szCs w:val="26"/>
        </w:rPr>
        <w:t>PUBLIC UTILITY COMMISSION</w:t>
      </w:r>
    </w:p>
    <w:p w:rsidR="00F461A6" w:rsidRPr="00F461A6" w:rsidRDefault="00F461A6" w:rsidP="00F461A6">
      <w:pPr>
        <w:jc w:val="center"/>
        <w:rPr>
          <w:b/>
          <w:sz w:val="26"/>
          <w:szCs w:val="26"/>
        </w:rPr>
      </w:pPr>
      <w:r w:rsidRPr="00F461A6">
        <w:rPr>
          <w:b/>
          <w:sz w:val="26"/>
          <w:szCs w:val="26"/>
        </w:rPr>
        <w:t>Harrisburg, PA  17105-3265</w:t>
      </w:r>
    </w:p>
    <w:p w:rsidR="00F461A6" w:rsidRPr="00F461A6" w:rsidRDefault="00F461A6" w:rsidP="00F461A6">
      <w:pPr>
        <w:rPr>
          <w:sz w:val="26"/>
          <w:szCs w:val="26"/>
        </w:rPr>
      </w:pPr>
    </w:p>
    <w:p w:rsidR="00F461A6" w:rsidRPr="00F461A6" w:rsidRDefault="00F461A6" w:rsidP="00F461A6">
      <w:pPr>
        <w:rPr>
          <w:sz w:val="26"/>
          <w:szCs w:val="26"/>
        </w:rPr>
      </w:pPr>
    </w:p>
    <w:p w:rsidR="00F461A6" w:rsidRPr="00F461A6" w:rsidRDefault="00F461A6" w:rsidP="00F461A6">
      <w:pPr>
        <w:jc w:val="right"/>
        <w:rPr>
          <w:sz w:val="26"/>
          <w:szCs w:val="26"/>
        </w:rPr>
      </w:pP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r>
      <w:r w:rsidRPr="00F461A6">
        <w:rPr>
          <w:sz w:val="26"/>
          <w:szCs w:val="26"/>
        </w:rPr>
        <w:tab/>
        <w:t xml:space="preserve">            Public Meeting held </w:t>
      </w:r>
      <w:r w:rsidR="009F2A43">
        <w:rPr>
          <w:sz w:val="26"/>
          <w:szCs w:val="26"/>
        </w:rPr>
        <w:t xml:space="preserve">April </w:t>
      </w:r>
      <w:r w:rsidR="00F527E8">
        <w:rPr>
          <w:sz w:val="26"/>
          <w:szCs w:val="26"/>
        </w:rPr>
        <w:t>15</w:t>
      </w:r>
      <w:r w:rsidRPr="00F461A6">
        <w:rPr>
          <w:sz w:val="26"/>
          <w:szCs w:val="26"/>
        </w:rPr>
        <w:t>, 20</w:t>
      </w:r>
      <w:r w:rsidR="00921D1C">
        <w:rPr>
          <w:sz w:val="26"/>
          <w:szCs w:val="26"/>
        </w:rPr>
        <w:t>10</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Commissioners Present:</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ab/>
        <w:t>James H. Cawley, Chairman</w:t>
      </w:r>
      <w:r w:rsidR="006B47F5">
        <w:rPr>
          <w:sz w:val="26"/>
          <w:szCs w:val="26"/>
        </w:rPr>
        <w:t>, Statement</w:t>
      </w:r>
    </w:p>
    <w:p w:rsidR="00F461A6" w:rsidRPr="00F461A6" w:rsidRDefault="00F461A6" w:rsidP="00F461A6">
      <w:pPr>
        <w:rPr>
          <w:sz w:val="26"/>
          <w:szCs w:val="26"/>
        </w:rPr>
      </w:pPr>
      <w:r w:rsidRPr="00F461A6">
        <w:rPr>
          <w:sz w:val="26"/>
          <w:szCs w:val="26"/>
        </w:rPr>
        <w:tab/>
        <w:t>Tyrone J. Christy, Vice Chairman</w:t>
      </w:r>
      <w:r w:rsidR="006B47F5">
        <w:rPr>
          <w:sz w:val="26"/>
          <w:szCs w:val="26"/>
        </w:rPr>
        <w:t>, Dissenting</w:t>
      </w:r>
    </w:p>
    <w:p w:rsidR="00F461A6" w:rsidRDefault="00F461A6" w:rsidP="00F461A6">
      <w:pPr>
        <w:rPr>
          <w:sz w:val="26"/>
          <w:szCs w:val="26"/>
        </w:rPr>
      </w:pPr>
      <w:r w:rsidRPr="00F461A6">
        <w:rPr>
          <w:sz w:val="26"/>
          <w:szCs w:val="26"/>
        </w:rPr>
        <w:tab/>
        <w:t>Wayne E. Gardner</w:t>
      </w:r>
      <w:r w:rsidR="006B47F5">
        <w:rPr>
          <w:sz w:val="26"/>
          <w:szCs w:val="26"/>
        </w:rPr>
        <w:t>, Statement</w:t>
      </w:r>
    </w:p>
    <w:p w:rsidR="00F97E2E" w:rsidRPr="00F461A6" w:rsidRDefault="00F97E2E" w:rsidP="00F461A6">
      <w:pPr>
        <w:rPr>
          <w:sz w:val="26"/>
          <w:szCs w:val="26"/>
        </w:rPr>
      </w:pPr>
      <w:r>
        <w:rPr>
          <w:sz w:val="26"/>
          <w:szCs w:val="26"/>
        </w:rPr>
        <w:tab/>
      </w:r>
      <w:r w:rsidRPr="00F461A6">
        <w:rPr>
          <w:sz w:val="26"/>
          <w:szCs w:val="26"/>
        </w:rPr>
        <w:t>Robert F. Powelson</w:t>
      </w:r>
    </w:p>
    <w:p w:rsidR="00F461A6" w:rsidRDefault="00F461A6" w:rsidP="00F461A6">
      <w:pPr>
        <w:rPr>
          <w:sz w:val="26"/>
          <w:szCs w:val="26"/>
        </w:rPr>
      </w:pPr>
    </w:p>
    <w:p w:rsidR="00325B18" w:rsidRDefault="00325B18" w:rsidP="00F461A6">
      <w:pPr>
        <w:rPr>
          <w:sz w:val="26"/>
          <w:szCs w:val="26"/>
        </w:rPr>
      </w:pPr>
    </w:p>
    <w:p w:rsidR="00E22BC7" w:rsidRDefault="00E22BC7" w:rsidP="00F461A6">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22BC7" w:rsidTr="00D26482">
        <w:tc>
          <w:tcPr>
            <w:tcW w:w="4788" w:type="dxa"/>
          </w:tcPr>
          <w:p w:rsidR="00E22BC7" w:rsidRDefault="00E22BC7" w:rsidP="00E22BC7">
            <w:pPr>
              <w:rPr>
                <w:sz w:val="26"/>
                <w:szCs w:val="26"/>
              </w:rPr>
            </w:pPr>
            <w:r>
              <w:rPr>
                <w:sz w:val="26"/>
                <w:szCs w:val="26"/>
              </w:rPr>
              <w:t xml:space="preserve">Joint Petition of Metropolitan Edison Company, Pennsylvania Electric Company and Pennsylvania Power Company for </w:t>
            </w:r>
            <w:r w:rsidR="00020830">
              <w:rPr>
                <w:sz w:val="26"/>
                <w:szCs w:val="26"/>
              </w:rPr>
              <w:t>Approval of Smart Meter Technology Procurement and Installation Plan</w:t>
            </w:r>
          </w:p>
        </w:tc>
        <w:tc>
          <w:tcPr>
            <w:tcW w:w="4788" w:type="dxa"/>
          </w:tcPr>
          <w:p w:rsidR="00E22BC7" w:rsidRDefault="00A82CAB" w:rsidP="00E255A4">
            <w:pPr>
              <w:jc w:val="right"/>
              <w:rPr>
                <w:sz w:val="26"/>
                <w:szCs w:val="26"/>
              </w:rPr>
            </w:pPr>
            <w:r>
              <w:rPr>
                <w:sz w:val="26"/>
                <w:szCs w:val="26"/>
              </w:rPr>
              <w:t>Docket</w:t>
            </w:r>
            <w:r w:rsidR="00020830">
              <w:rPr>
                <w:sz w:val="26"/>
                <w:szCs w:val="26"/>
              </w:rPr>
              <w:t xml:space="preserve"> No</w:t>
            </w:r>
            <w:r w:rsidR="00E22BC7">
              <w:rPr>
                <w:sz w:val="26"/>
                <w:szCs w:val="26"/>
              </w:rPr>
              <w:t>.</w:t>
            </w:r>
            <w:r w:rsidR="00020830">
              <w:rPr>
                <w:sz w:val="26"/>
                <w:szCs w:val="26"/>
              </w:rPr>
              <w:t xml:space="preserve"> M-2009-2123950</w:t>
            </w:r>
          </w:p>
          <w:p w:rsidR="00E22BC7" w:rsidRDefault="00E22BC7" w:rsidP="00F461A6">
            <w:pPr>
              <w:rPr>
                <w:sz w:val="26"/>
                <w:szCs w:val="26"/>
              </w:rPr>
            </w:pPr>
          </w:p>
        </w:tc>
      </w:tr>
    </w:tbl>
    <w:p w:rsidR="00E22BC7" w:rsidRDefault="00E22BC7" w:rsidP="00F461A6">
      <w:pPr>
        <w:rPr>
          <w:sz w:val="26"/>
          <w:szCs w:val="26"/>
        </w:rPr>
      </w:pPr>
    </w:p>
    <w:p w:rsidR="00E22BC7" w:rsidRDefault="00E22BC7" w:rsidP="00F461A6">
      <w:pPr>
        <w:rPr>
          <w:sz w:val="26"/>
          <w:szCs w:val="26"/>
        </w:rPr>
      </w:pPr>
    </w:p>
    <w:p w:rsidR="00F97E2E" w:rsidRDefault="00F97E2E">
      <w:pPr>
        <w:spacing w:after="200" w:line="276" w:lineRule="auto"/>
        <w:rPr>
          <w:b/>
          <w:sz w:val="26"/>
          <w:szCs w:val="26"/>
        </w:rPr>
        <w:sectPr w:rsidR="00F97E2E" w:rsidSect="005A69BD">
          <w:headerReference w:type="default" r:id="rId8"/>
          <w:footerReference w:type="default" r:id="rId9"/>
          <w:pgSz w:w="12240" w:h="15840"/>
          <w:pgMar w:top="1440" w:right="1440" w:bottom="1440" w:left="1440" w:header="720" w:footer="720" w:gutter="0"/>
          <w:cols w:space="720"/>
          <w:titlePg/>
          <w:docGrid w:linePitch="360"/>
        </w:sectPr>
      </w:pPr>
    </w:p>
    <w:p w:rsidR="00F461A6" w:rsidRDefault="00F461A6" w:rsidP="00F461A6">
      <w:pPr>
        <w:jc w:val="center"/>
        <w:rPr>
          <w:b/>
          <w:sz w:val="26"/>
          <w:szCs w:val="26"/>
        </w:rPr>
      </w:pPr>
      <w:r>
        <w:rPr>
          <w:b/>
          <w:sz w:val="26"/>
          <w:szCs w:val="26"/>
        </w:rPr>
        <w:lastRenderedPageBreak/>
        <w:t>TABLE OF CONTENTS</w:t>
      </w:r>
    </w:p>
    <w:p w:rsidR="003E693B" w:rsidRDefault="003E693B" w:rsidP="00F461A6">
      <w:pPr>
        <w:jc w:val="center"/>
        <w:rPr>
          <w:b/>
          <w:sz w:val="26"/>
          <w:szCs w:val="26"/>
        </w:rPr>
      </w:pPr>
    </w:p>
    <w:p w:rsidR="00D53854" w:rsidRDefault="005C5411">
      <w:pPr>
        <w:pStyle w:val="TOC1"/>
        <w:tabs>
          <w:tab w:val="left" w:pos="720"/>
          <w:tab w:val="right" w:leader="dot" w:pos="9350"/>
        </w:tabs>
        <w:rPr>
          <w:rFonts w:asciiTheme="minorHAnsi" w:eastAsiaTheme="minorEastAsia" w:hAnsiTheme="minorHAnsi" w:cstheme="minorBidi"/>
          <w:noProof/>
          <w:sz w:val="22"/>
          <w:szCs w:val="22"/>
        </w:rPr>
      </w:pPr>
      <w:r>
        <w:rPr>
          <w:b/>
          <w:sz w:val="26"/>
          <w:szCs w:val="26"/>
        </w:rPr>
        <w:fldChar w:fldCharType="begin"/>
      </w:r>
      <w:r w:rsidR="000626FD">
        <w:rPr>
          <w:b/>
          <w:sz w:val="26"/>
          <w:szCs w:val="26"/>
        </w:rPr>
        <w:instrText xml:space="preserve"> TOC \o "1-5" \h \z \u </w:instrText>
      </w:r>
      <w:r>
        <w:rPr>
          <w:b/>
          <w:sz w:val="26"/>
          <w:szCs w:val="26"/>
        </w:rPr>
        <w:fldChar w:fldCharType="separate"/>
      </w:r>
      <w:hyperlink w:anchor="_Toc263848824" w:history="1">
        <w:r w:rsidR="00D53854" w:rsidRPr="00AB1B86">
          <w:rPr>
            <w:rStyle w:val="Hyperlink"/>
            <w:noProof/>
          </w:rPr>
          <w:t xml:space="preserve">I.  </w:t>
        </w:r>
        <w:r w:rsidR="00D53854">
          <w:rPr>
            <w:rFonts w:asciiTheme="minorHAnsi" w:eastAsiaTheme="minorEastAsia" w:hAnsiTheme="minorHAnsi" w:cstheme="minorBidi"/>
            <w:noProof/>
            <w:sz w:val="22"/>
            <w:szCs w:val="22"/>
          </w:rPr>
          <w:tab/>
        </w:r>
        <w:r w:rsidR="00D53854" w:rsidRPr="00AB1B86">
          <w:rPr>
            <w:rStyle w:val="Hyperlink"/>
            <w:noProof/>
          </w:rPr>
          <w:t>Introduction</w:t>
        </w:r>
        <w:r w:rsidR="00D53854">
          <w:rPr>
            <w:noProof/>
            <w:webHidden/>
          </w:rPr>
          <w:tab/>
        </w:r>
        <w:r>
          <w:rPr>
            <w:noProof/>
            <w:webHidden/>
          </w:rPr>
          <w:fldChar w:fldCharType="begin"/>
        </w:r>
        <w:r w:rsidR="00D53854">
          <w:rPr>
            <w:noProof/>
            <w:webHidden/>
          </w:rPr>
          <w:instrText xml:space="preserve"> PAGEREF _Toc263848824 \h </w:instrText>
        </w:r>
        <w:r>
          <w:rPr>
            <w:noProof/>
            <w:webHidden/>
          </w:rPr>
        </w:r>
        <w:r>
          <w:rPr>
            <w:noProof/>
            <w:webHidden/>
          </w:rPr>
          <w:fldChar w:fldCharType="separate"/>
        </w:r>
        <w:r w:rsidR="001A2D70">
          <w:rPr>
            <w:noProof/>
            <w:webHidden/>
          </w:rPr>
          <w:t>1</w:t>
        </w:r>
        <w:r>
          <w:rPr>
            <w:noProof/>
            <w:webHidden/>
          </w:rPr>
          <w:fldChar w:fldCharType="end"/>
        </w:r>
      </w:hyperlink>
    </w:p>
    <w:p w:rsidR="00D53854" w:rsidRDefault="005C5411">
      <w:pPr>
        <w:pStyle w:val="TOC1"/>
        <w:tabs>
          <w:tab w:val="left" w:pos="720"/>
          <w:tab w:val="right" w:leader="dot" w:pos="9350"/>
        </w:tabs>
        <w:rPr>
          <w:rFonts w:asciiTheme="minorHAnsi" w:eastAsiaTheme="minorEastAsia" w:hAnsiTheme="minorHAnsi" w:cstheme="minorBidi"/>
          <w:noProof/>
          <w:sz w:val="22"/>
          <w:szCs w:val="22"/>
        </w:rPr>
      </w:pPr>
      <w:hyperlink w:anchor="_Toc263848825" w:history="1">
        <w:r w:rsidR="00D53854" w:rsidRPr="00AB1B86">
          <w:rPr>
            <w:rStyle w:val="Hyperlink"/>
            <w:noProof/>
          </w:rPr>
          <w:t xml:space="preserve">II.  </w:t>
        </w:r>
        <w:r w:rsidR="00D53854">
          <w:rPr>
            <w:rFonts w:asciiTheme="minorHAnsi" w:eastAsiaTheme="minorEastAsia" w:hAnsiTheme="minorHAnsi" w:cstheme="minorBidi"/>
            <w:noProof/>
            <w:sz w:val="22"/>
            <w:szCs w:val="22"/>
          </w:rPr>
          <w:tab/>
        </w:r>
        <w:r w:rsidR="00D53854" w:rsidRPr="00AB1B86">
          <w:rPr>
            <w:rStyle w:val="Hyperlink"/>
            <w:noProof/>
          </w:rPr>
          <w:t>Background</w:t>
        </w:r>
        <w:r w:rsidR="00D53854">
          <w:rPr>
            <w:noProof/>
            <w:webHidden/>
          </w:rPr>
          <w:tab/>
        </w:r>
        <w:r>
          <w:rPr>
            <w:noProof/>
            <w:webHidden/>
          </w:rPr>
          <w:fldChar w:fldCharType="begin"/>
        </w:r>
        <w:r w:rsidR="00D53854">
          <w:rPr>
            <w:noProof/>
            <w:webHidden/>
          </w:rPr>
          <w:instrText xml:space="preserve"> PAGEREF _Toc263848825 \h </w:instrText>
        </w:r>
        <w:r>
          <w:rPr>
            <w:noProof/>
            <w:webHidden/>
          </w:rPr>
        </w:r>
        <w:r>
          <w:rPr>
            <w:noProof/>
            <w:webHidden/>
          </w:rPr>
          <w:fldChar w:fldCharType="separate"/>
        </w:r>
        <w:r w:rsidR="001A2D70">
          <w:rPr>
            <w:noProof/>
            <w:webHidden/>
          </w:rPr>
          <w:t>2</w:t>
        </w:r>
        <w:r>
          <w:rPr>
            <w:noProof/>
            <w:webHidden/>
          </w:rPr>
          <w:fldChar w:fldCharType="end"/>
        </w:r>
      </w:hyperlink>
    </w:p>
    <w:p w:rsidR="00D53854" w:rsidRDefault="005C5411">
      <w:pPr>
        <w:pStyle w:val="TOC2"/>
        <w:rPr>
          <w:rFonts w:asciiTheme="minorHAnsi" w:eastAsiaTheme="minorEastAsia" w:hAnsiTheme="minorHAnsi" w:cstheme="minorBidi"/>
          <w:noProof/>
          <w:sz w:val="22"/>
          <w:szCs w:val="22"/>
        </w:rPr>
      </w:pPr>
      <w:hyperlink w:anchor="_Toc263848826" w:history="1">
        <w:r w:rsidR="00D53854" w:rsidRPr="00AB1B86">
          <w:rPr>
            <w:rStyle w:val="Hyperlink"/>
            <w:noProof/>
          </w:rPr>
          <w:t>A.</w:t>
        </w:r>
        <w:r w:rsidR="00D53854">
          <w:rPr>
            <w:rFonts w:asciiTheme="minorHAnsi" w:eastAsiaTheme="minorEastAsia" w:hAnsiTheme="minorHAnsi" w:cstheme="minorBidi"/>
            <w:noProof/>
            <w:sz w:val="22"/>
            <w:szCs w:val="22"/>
          </w:rPr>
          <w:tab/>
        </w:r>
        <w:r w:rsidR="00D53854" w:rsidRPr="00AB1B86">
          <w:rPr>
            <w:rStyle w:val="Hyperlink"/>
            <w:noProof/>
          </w:rPr>
          <w:t>Act 129</w:t>
        </w:r>
        <w:r w:rsidR="00D53854">
          <w:rPr>
            <w:noProof/>
            <w:webHidden/>
          </w:rPr>
          <w:tab/>
        </w:r>
        <w:r>
          <w:rPr>
            <w:noProof/>
            <w:webHidden/>
          </w:rPr>
          <w:fldChar w:fldCharType="begin"/>
        </w:r>
        <w:r w:rsidR="00D53854">
          <w:rPr>
            <w:noProof/>
            <w:webHidden/>
          </w:rPr>
          <w:instrText xml:space="preserve"> PAGEREF _Toc263848826 \h </w:instrText>
        </w:r>
        <w:r>
          <w:rPr>
            <w:noProof/>
            <w:webHidden/>
          </w:rPr>
        </w:r>
        <w:r>
          <w:rPr>
            <w:noProof/>
            <w:webHidden/>
          </w:rPr>
          <w:fldChar w:fldCharType="separate"/>
        </w:r>
        <w:r w:rsidR="001A2D70">
          <w:rPr>
            <w:noProof/>
            <w:webHidden/>
          </w:rPr>
          <w:t>2</w:t>
        </w:r>
        <w:r>
          <w:rPr>
            <w:noProof/>
            <w:webHidden/>
          </w:rPr>
          <w:fldChar w:fldCharType="end"/>
        </w:r>
      </w:hyperlink>
    </w:p>
    <w:p w:rsidR="00D53854" w:rsidRDefault="005C5411">
      <w:pPr>
        <w:pStyle w:val="TOC2"/>
        <w:rPr>
          <w:rFonts w:asciiTheme="minorHAnsi" w:eastAsiaTheme="minorEastAsia" w:hAnsiTheme="minorHAnsi" w:cstheme="minorBidi"/>
          <w:noProof/>
          <w:sz w:val="22"/>
          <w:szCs w:val="22"/>
        </w:rPr>
      </w:pPr>
      <w:hyperlink w:anchor="_Toc263848827" w:history="1">
        <w:r w:rsidR="00D53854" w:rsidRPr="00AB1B86">
          <w:rPr>
            <w:rStyle w:val="Hyperlink"/>
            <w:noProof/>
          </w:rPr>
          <w:t>B.</w:t>
        </w:r>
        <w:r w:rsidR="00D53854">
          <w:rPr>
            <w:rFonts w:asciiTheme="minorHAnsi" w:eastAsiaTheme="minorEastAsia" w:hAnsiTheme="minorHAnsi" w:cstheme="minorBidi"/>
            <w:noProof/>
            <w:sz w:val="22"/>
            <w:szCs w:val="22"/>
          </w:rPr>
          <w:tab/>
        </w:r>
        <w:r w:rsidR="00D53854" w:rsidRPr="00AB1B86">
          <w:rPr>
            <w:rStyle w:val="Hyperlink"/>
            <w:noProof/>
          </w:rPr>
          <w:t>The Companies</w:t>
        </w:r>
        <w:r w:rsidR="00D53854">
          <w:rPr>
            <w:noProof/>
            <w:webHidden/>
          </w:rPr>
          <w:tab/>
        </w:r>
        <w:r>
          <w:rPr>
            <w:noProof/>
            <w:webHidden/>
          </w:rPr>
          <w:fldChar w:fldCharType="begin"/>
        </w:r>
        <w:r w:rsidR="00D53854">
          <w:rPr>
            <w:noProof/>
            <w:webHidden/>
          </w:rPr>
          <w:instrText xml:space="preserve"> PAGEREF _Toc263848827 \h </w:instrText>
        </w:r>
        <w:r>
          <w:rPr>
            <w:noProof/>
            <w:webHidden/>
          </w:rPr>
        </w:r>
        <w:r>
          <w:rPr>
            <w:noProof/>
            <w:webHidden/>
          </w:rPr>
          <w:fldChar w:fldCharType="separate"/>
        </w:r>
        <w:r w:rsidR="001A2D70">
          <w:rPr>
            <w:noProof/>
            <w:webHidden/>
          </w:rPr>
          <w:t>3</w:t>
        </w:r>
        <w:r>
          <w:rPr>
            <w:noProof/>
            <w:webHidden/>
          </w:rPr>
          <w:fldChar w:fldCharType="end"/>
        </w:r>
      </w:hyperlink>
    </w:p>
    <w:p w:rsidR="00D53854" w:rsidRDefault="005C5411">
      <w:pPr>
        <w:pStyle w:val="TOC1"/>
        <w:tabs>
          <w:tab w:val="left" w:pos="720"/>
          <w:tab w:val="right" w:leader="dot" w:pos="9350"/>
        </w:tabs>
        <w:rPr>
          <w:rFonts w:asciiTheme="minorHAnsi" w:eastAsiaTheme="minorEastAsia" w:hAnsiTheme="minorHAnsi" w:cstheme="minorBidi"/>
          <w:noProof/>
          <w:sz w:val="22"/>
          <w:szCs w:val="22"/>
        </w:rPr>
      </w:pPr>
      <w:hyperlink w:anchor="_Toc263848828" w:history="1">
        <w:r w:rsidR="00D53854" w:rsidRPr="00AB1B86">
          <w:rPr>
            <w:rStyle w:val="Hyperlink"/>
            <w:noProof/>
          </w:rPr>
          <w:t xml:space="preserve">III.  </w:t>
        </w:r>
        <w:r w:rsidR="00D53854">
          <w:rPr>
            <w:rFonts w:asciiTheme="minorHAnsi" w:eastAsiaTheme="minorEastAsia" w:hAnsiTheme="minorHAnsi" w:cstheme="minorBidi"/>
            <w:noProof/>
            <w:sz w:val="22"/>
            <w:szCs w:val="22"/>
          </w:rPr>
          <w:tab/>
        </w:r>
        <w:r w:rsidR="00D53854" w:rsidRPr="00AB1B86">
          <w:rPr>
            <w:rStyle w:val="Hyperlink"/>
            <w:noProof/>
          </w:rPr>
          <w:t>Procedural History</w:t>
        </w:r>
        <w:r w:rsidR="00D53854">
          <w:rPr>
            <w:noProof/>
            <w:webHidden/>
          </w:rPr>
          <w:tab/>
        </w:r>
        <w:r>
          <w:rPr>
            <w:noProof/>
            <w:webHidden/>
          </w:rPr>
          <w:fldChar w:fldCharType="begin"/>
        </w:r>
        <w:r w:rsidR="00D53854">
          <w:rPr>
            <w:noProof/>
            <w:webHidden/>
          </w:rPr>
          <w:instrText xml:space="preserve"> PAGEREF _Toc263848828 \h </w:instrText>
        </w:r>
        <w:r>
          <w:rPr>
            <w:noProof/>
            <w:webHidden/>
          </w:rPr>
        </w:r>
        <w:r>
          <w:rPr>
            <w:noProof/>
            <w:webHidden/>
          </w:rPr>
          <w:fldChar w:fldCharType="separate"/>
        </w:r>
        <w:r w:rsidR="001A2D70">
          <w:rPr>
            <w:noProof/>
            <w:webHidden/>
          </w:rPr>
          <w:t>4</w:t>
        </w:r>
        <w:r>
          <w:rPr>
            <w:noProof/>
            <w:webHidden/>
          </w:rPr>
          <w:fldChar w:fldCharType="end"/>
        </w:r>
      </w:hyperlink>
    </w:p>
    <w:p w:rsidR="00D53854" w:rsidRDefault="005C5411">
      <w:pPr>
        <w:pStyle w:val="TOC1"/>
        <w:tabs>
          <w:tab w:val="left" w:pos="720"/>
          <w:tab w:val="right" w:leader="dot" w:pos="9350"/>
        </w:tabs>
        <w:rPr>
          <w:rFonts w:asciiTheme="minorHAnsi" w:eastAsiaTheme="minorEastAsia" w:hAnsiTheme="minorHAnsi" w:cstheme="minorBidi"/>
          <w:noProof/>
          <w:sz w:val="22"/>
          <w:szCs w:val="22"/>
        </w:rPr>
      </w:pPr>
      <w:hyperlink w:anchor="_Toc263848829" w:history="1">
        <w:r w:rsidR="00D53854" w:rsidRPr="00AB1B86">
          <w:rPr>
            <w:rStyle w:val="Hyperlink"/>
            <w:noProof/>
          </w:rPr>
          <w:t xml:space="preserve">IV.  </w:t>
        </w:r>
        <w:r w:rsidR="00D53854">
          <w:rPr>
            <w:rFonts w:asciiTheme="minorHAnsi" w:eastAsiaTheme="minorEastAsia" w:hAnsiTheme="minorHAnsi" w:cstheme="minorBidi"/>
            <w:noProof/>
            <w:sz w:val="22"/>
            <w:szCs w:val="22"/>
          </w:rPr>
          <w:tab/>
        </w:r>
        <w:r w:rsidR="00D53854" w:rsidRPr="00AB1B86">
          <w:rPr>
            <w:rStyle w:val="Hyperlink"/>
            <w:noProof/>
          </w:rPr>
          <w:t>Description of the Plan</w:t>
        </w:r>
        <w:r w:rsidR="00D53854">
          <w:rPr>
            <w:noProof/>
            <w:webHidden/>
          </w:rPr>
          <w:tab/>
        </w:r>
        <w:r>
          <w:rPr>
            <w:noProof/>
            <w:webHidden/>
          </w:rPr>
          <w:fldChar w:fldCharType="begin"/>
        </w:r>
        <w:r w:rsidR="00D53854">
          <w:rPr>
            <w:noProof/>
            <w:webHidden/>
          </w:rPr>
          <w:instrText xml:space="preserve"> PAGEREF _Toc263848829 \h </w:instrText>
        </w:r>
        <w:r>
          <w:rPr>
            <w:noProof/>
            <w:webHidden/>
          </w:rPr>
        </w:r>
        <w:r>
          <w:rPr>
            <w:noProof/>
            <w:webHidden/>
          </w:rPr>
          <w:fldChar w:fldCharType="separate"/>
        </w:r>
        <w:r w:rsidR="001A2D70">
          <w:rPr>
            <w:noProof/>
            <w:webHidden/>
          </w:rPr>
          <w:t>5</w:t>
        </w:r>
        <w:r>
          <w:rPr>
            <w:noProof/>
            <w:webHidden/>
          </w:rPr>
          <w:fldChar w:fldCharType="end"/>
        </w:r>
      </w:hyperlink>
    </w:p>
    <w:p w:rsidR="00D53854" w:rsidRDefault="005C5411">
      <w:pPr>
        <w:pStyle w:val="TOC2"/>
        <w:rPr>
          <w:rFonts w:asciiTheme="minorHAnsi" w:eastAsiaTheme="minorEastAsia" w:hAnsiTheme="minorHAnsi" w:cstheme="minorBidi"/>
          <w:noProof/>
          <w:sz w:val="22"/>
          <w:szCs w:val="22"/>
        </w:rPr>
      </w:pPr>
      <w:hyperlink w:anchor="_Toc263848830" w:history="1">
        <w:r w:rsidR="00D53854" w:rsidRPr="00AB1B86">
          <w:rPr>
            <w:rStyle w:val="Hyperlink"/>
            <w:noProof/>
          </w:rPr>
          <w:t>A.</w:t>
        </w:r>
        <w:r w:rsidR="00D53854">
          <w:rPr>
            <w:rFonts w:asciiTheme="minorHAnsi" w:eastAsiaTheme="minorEastAsia" w:hAnsiTheme="minorHAnsi" w:cstheme="minorBidi"/>
            <w:noProof/>
            <w:sz w:val="22"/>
            <w:szCs w:val="22"/>
          </w:rPr>
          <w:tab/>
        </w:r>
        <w:r w:rsidR="00D53854" w:rsidRPr="00AB1B86">
          <w:rPr>
            <w:rStyle w:val="Hyperlink"/>
            <w:noProof/>
          </w:rPr>
          <w:t>Current Status of Smart Meter Deployment</w:t>
        </w:r>
        <w:r w:rsidR="00D53854">
          <w:rPr>
            <w:noProof/>
            <w:webHidden/>
          </w:rPr>
          <w:tab/>
        </w:r>
        <w:r>
          <w:rPr>
            <w:noProof/>
            <w:webHidden/>
          </w:rPr>
          <w:fldChar w:fldCharType="begin"/>
        </w:r>
        <w:r w:rsidR="00D53854">
          <w:rPr>
            <w:noProof/>
            <w:webHidden/>
          </w:rPr>
          <w:instrText xml:space="preserve"> PAGEREF _Toc263848830 \h </w:instrText>
        </w:r>
        <w:r>
          <w:rPr>
            <w:noProof/>
            <w:webHidden/>
          </w:rPr>
        </w:r>
        <w:r>
          <w:rPr>
            <w:noProof/>
            <w:webHidden/>
          </w:rPr>
          <w:fldChar w:fldCharType="separate"/>
        </w:r>
        <w:r w:rsidR="001A2D70">
          <w:rPr>
            <w:noProof/>
            <w:webHidden/>
          </w:rPr>
          <w:t>5</w:t>
        </w:r>
        <w:r>
          <w:rPr>
            <w:noProof/>
            <w:webHidden/>
          </w:rPr>
          <w:fldChar w:fldCharType="end"/>
        </w:r>
      </w:hyperlink>
    </w:p>
    <w:p w:rsidR="00D53854" w:rsidRDefault="005C5411">
      <w:pPr>
        <w:pStyle w:val="TOC2"/>
        <w:rPr>
          <w:rFonts w:asciiTheme="minorHAnsi" w:eastAsiaTheme="minorEastAsia" w:hAnsiTheme="minorHAnsi" w:cstheme="minorBidi"/>
          <w:noProof/>
          <w:sz w:val="22"/>
          <w:szCs w:val="22"/>
        </w:rPr>
      </w:pPr>
      <w:hyperlink w:anchor="_Toc263848831" w:history="1">
        <w:r w:rsidR="00D53854" w:rsidRPr="00AB1B86">
          <w:rPr>
            <w:rStyle w:val="Hyperlink"/>
            <w:noProof/>
          </w:rPr>
          <w:t>B.</w:t>
        </w:r>
        <w:r w:rsidR="00D53854">
          <w:rPr>
            <w:rFonts w:asciiTheme="minorHAnsi" w:eastAsiaTheme="minorEastAsia" w:hAnsiTheme="minorHAnsi" w:cstheme="minorBidi"/>
            <w:noProof/>
            <w:sz w:val="22"/>
            <w:szCs w:val="22"/>
          </w:rPr>
          <w:tab/>
        </w:r>
        <w:r w:rsidR="00D53854" w:rsidRPr="00AB1B86">
          <w:rPr>
            <w:rStyle w:val="Hyperlink"/>
            <w:noProof/>
          </w:rPr>
          <w:t>Plan for Smart Meter Deployment</w:t>
        </w:r>
        <w:r w:rsidR="00D53854">
          <w:rPr>
            <w:noProof/>
            <w:webHidden/>
          </w:rPr>
          <w:tab/>
        </w:r>
        <w:r>
          <w:rPr>
            <w:noProof/>
            <w:webHidden/>
          </w:rPr>
          <w:fldChar w:fldCharType="begin"/>
        </w:r>
        <w:r w:rsidR="00D53854">
          <w:rPr>
            <w:noProof/>
            <w:webHidden/>
          </w:rPr>
          <w:instrText xml:space="preserve"> PAGEREF _Toc263848831 \h </w:instrText>
        </w:r>
        <w:r>
          <w:rPr>
            <w:noProof/>
            <w:webHidden/>
          </w:rPr>
        </w:r>
        <w:r>
          <w:rPr>
            <w:noProof/>
            <w:webHidden/>
          </w:rPr>
          <w:fldChar w:fldCharType="separate"/>
        </w:r>
        <w:r w:rsidR="001A2D70">
          <w:rPr>
            <w:noProof/>
            <w:webHidden/>
          </w:rPr>
          <w:t>5</w:t>
        </w:r>
        <w:r>
          <w:rPr>
            <w:noProof/>
            <w:webHidden/>
          </w:rPr>
          <w:fldChar w:fldCharType="end"/>
        </w:r>
      </w:hyperlink>
    </w:p>
    <w:p w:rsidR="00D53854" w:rsidRDefault="005C5411">
      <w:pPr>
        <w:pStyle w:val="TOC2"/>
        <w:rPr>
          <w:rFonts w:asciiTheme="minorHAnsi" w:eastAsiaTheme="minorEastAsia" w:hAnsiTheme="minorHAnsi" w:cstheme="minorBidi"/>
          <w:noProof/>
          <w:sz w:val="22"/>
          <w:szCs w:val="22"/>
        </w:rPr>
      </w:pPr>
      <w:hyperlink w:anchor="_Toc263848832" w:history="1">
        <w:r w:rsidR="00D53854" w:rsidRPr="00AB1B86">
          <w:rPr>
            <w:rStyle w:val="Hyperlink"/>
            <w:noProof/>
          </w:rPr>
          <w:t>C.</w:t>
        </w:r>
        <w:r w:rsidR="00D53854">
          <w:rPr>
            <w:rFonts w:asciiTheme="minorHAnsi" w:eastAsiaTheme="minorEastAsia" w:hAnsiTheme="minorHAnsi" w:cstheme="minorBidi"/>
            <w:noProof/>
            <w:sz w:val="22"/>
            <w:szCs w:val="22"/>
          </w:rPr>
          <w:tab/>
        </w:r>
        <w:r w:rsidR="00D53854" w:rsidRPr="00AB1B86">
          <w:rPr>
            <w:rStyle w:val="Hyperlink"/>
            <w:noProof/>
          </w:rPr>
          <w:t>Cost Recovery</w:t>
        </w:r>
        <w:r w:rsidR="00D53854">
          <w:rPr>
            <w:noProof/>
            <w:webHidden/>
          </w:rPr>
          <w:tab/>
        </w:r>
        <w:r>
          <w:rPr>
            <w:noProof/>
            <w:webHidden/>
          </w:rPr>
          <w:fldChar w:fldCharType="begin"/>
        </w:r>
        <w:r w:rsidR="00D53854">
          <w:rPr>
            <w:noProof/>
            <w:webHidden/>
          </w:rPr>
          <w:instrText xml:space="preserve"> PAGEREF _Toc263848832 \h </w:instrText>
        </w:r>
        <w:r>
          <w:rPr>
            <w:noProof/>
            <w:webHidden/>
          </w:rPr>
        </w:r>
        <w:r>
          <w:rPr>
            <w:noProof/>
            <w:webHidden/>
          </w:rPr>
          <w:fldChar w:fldCharType="separate"/>
        </w:r>
        <w:r w:rsidR="001A2D70">
          <w:rPr>
            <w:noProof/>
            <w:webHidden/>
          </w:rPr>
          <w:t>6</w:t>
        </w:r>
        <w:r>
          <w:rPr>
            <w:noProof/>
            <w:webHidden/>
          </w:rPr>
          <w:fldChar w:fldCharType="end"/>
        </w:r>
      </w:hyperlink>
    </w:p>
    <w:p w:rsidR="00D53854" w:rsidRDefault="005C5411">
      <w:pPr>
        <w:pStyle w:val="TOC1"/>
        <w:tabs>
          <w:tab w:val="left" w:pos="720"/>
          <w:tab w:val="right" w:leader="dot" w:pos="9350"/>
        </w:tabs>
        <w:rPr>
          <w:rFonts w:asciiTheme="minorHAnsi" w:eastAsiaTheme="minorEastAsia" w:hAnsiTheme="minorHAnsi" w:cstheme="minorBidi"/>
          <w:noProof/>
          <w:sz w:val="22"/>
          <w:szCs w:val="22"/>
        </w:rPr>
      </w:pPr>
      <w:hyperlink w:anchor="_Toc263848833" w:history="1">
        <w:r w:rsidR="00D53854" w:rsidRPr="00AB1B86">
          <w:rPr>
            <w:rStyle w:val="Hyperlink"/>
            <w:noProof/>
          </w:rPr>
          <w:t xml:space="preserve">V.  </w:t>
        </w:r>
        <w:r w:rsidR="00D53854">
          <w:rPr>
            <w:rFonts w:asciiTheme="minorHAnsi" w:eastAsiaTheme="minorEastAsia" w:hAnsiTheme="minorHAnsi" w:cstheme="minorBidi"/>
            <w:noProof/>
            <w:sz w:val="22"/>
            <w:szCs w:val="22"/>
          </w:rPr>
          <w:tab/>
        </w:r>
        <w:r w:rsidR="00D53854" w:rsidRPr="00AB1B86">
          <w:rPr>
            <w:rStyle w:val="Hyperlink"/>
            <w:noProof/>
          </w:rPr>
          <w:t>Discussion</w:t>
        </w:r>
        <w:r w:rsidR="00D53854">
          <w:rPr>
            <w:noProof/>
            <w:webHidden/>
          </w:rPr>
          <w:tab/>
        </w:r>
        <w:r>
          <w:rPr>
            <w:noProof/>
            <w:webHidden/>
          </w:rPr>
          <w:fldChar w:fldCharType="begin"/>
        </w:r>
        <w:r w:rsidR="00D53854">
          <w:rPr>
            <w:noProof/>
            <w:webHidden/>
          </w:rPr>
          <w:instrText xml:space="preserve"> PAGEREF _Toc263848833 \h </w:instrText>
        </w:r>
        <w:r>
          <w:rPr>
            <w:noProof/>
            <w:webHidden/>
          </w:rPr>
        </w:r>
        <w:r>
          <w:rPr>
            <w:noProof/>
            <w:webHidden/>
          </w:rPr>
          <w:fldChar w:fldCharType="separate"/>
        </w:r>
        <w:r w:rsidR="001A2D70">
          <w:rPr>
            <w:noProof/>
            <w:webHidden/>
          </w:rPr>
          <w:t>9</w:t>
        </w:r>
        <w:r>
          <w:rPr>
            <w:noProof/>
            <w:webHidden/>
          </w:rPr>
          <w:fldChar w:fldCharType="end"/>
        </w:r>
      </w:hyperlink>
    </w:p>
    <w:p w:rsidR="00D53854" w:rsidRDefault="005C5411">
      <w:pPr>
        <w:pStyle w:val="TOC2"/>
        <w:rPr>
          <w:rFonts w:asciiTheme="minorHAnsi" w:eastAsiaTheme="minorEastAsia" w:hAnsiTheme="minorHAnsi" w:cstheme="minorBidi"/>
          <w:noProof/>
          <w:sz w:val="22"/>
          <w:szCs w:val="22"/>
        </w:rPr>
      </w:pPr>
      <w:hyperlink w:anchor="_Toc263848834" w:history="1">
        <w:r w:rsidR="00D53854" w:rsidRPr="00AB1B86">
          <w:rPr>
            <w:rStyle w:val="Hyperlink"/>
            <w:noProof/>
          </w:rPr>
          <w:t>A.</w:t>
        </w:r>
        <w:r w:rsidR="00D53854">
          <w:rPr>
            <w:rFonts w:asciiTheme="minorHAnsi" w:eastAsiaTheme="minorEastAsia" w:hAnsiTheme="minorHAnsi" w:cstheme="minorBidi"/>
            <w:noProof/>
            <w:sz w:val="22"/>
            <w:szCs w:val="22"/>
          </w:rPr>
          <w:tab/>
        </w:r>
        <w:r w:rsidR="00D53854" w:rsidRPr="00AB1B86">
          <w:rPr>
            <w:rStyle w:val="Hyperlink"/>
            <w:noProof/>
          </w:rPr>
          <w:t>Non-Cost Issues</w:t>
        </w:r>
        <w:r w:rsidR="00D53854">
          <w:rPr>
            <w:noProof/>
            <w:webHidden/>
          </w:rPr>
          <w:tab/>
        </w:r>
        <w:r>
          <w:rPr>
            <w:noProof/>
            <w:webHidden/>
          </w:rPr>
          <w:fldChar w:fldCharType="begin"/>
        </w:r>
        <w:r w:rsidR="00D53854">
          <w:rPr>
            <w:noProof/>
            <w:webHidden/>
          </w:rPr>
          <w:instrText xml:space="preserve"> PAGEREF _Toc263848834 \h </w:instrText>
        </w:r>
        <w:r>
          <w:rPr>
            <w:noProof/>
            <w:webHidden/>
          </w:rPr>
        </w:r>
        <w:r>
          <w:rPr>
            <w:noProof/>
            <w:webHidden/>
          </w:rPr>
          <w:fldChar w:fldCharType="separate"/>
        </w:r>
        <w:r w:rsidR="001A2D70">
          <w:rPr>
            <w:noProof/>
            <w:webHidden/>
          </w:rPr>
          <w:t>9</w:t>
        </w:r>
        <w:r>
          <w:rPr>
            <w:noProof/>
            <w:webHidden/>
          </w:rPr>
          <w:fldChar w:fldCharType="end"/>
        </w:r>
      </w:hyperlink>
    </w:p>
    <w:p w:rsidR="00D53854" w:rsidRDefault="005C5411">
      <w:pPr>
        <w:pStyle w:val="TOC3"/>
        <w:rPr>
          <w:rFonts w:asciiTheme="minorHAnsi" w:eastAsiaTheme="minorEastAsia" w:hAnsiTheme="minorHAnsi" w:cstheme="minorBidi"/>
          <w:noProof/>
          <w:sz w:val="22"/>
          <w:szCs w:val="22"/>
        </w:rPr>
      </w:pPr>
      <w:hyperlink w:anchor="_Toc263848835" w:history="1">
        <w:r w:rsidR="00D53854" w:rsidRPr="00AB1B86">
          <w:rPr>
            <w:rStyle w:val="Hyperlink"/>
            <w:noProof/>
          </w:rPr>
          <w:t>1.</w:t>
        </w:r>
        <w:r w:rsidR="00D53854">
          <w:rPr>
            <w:rFonts w:asciiTheme="minorHAnsi" w:eastAsiaTheme="minorEastAsia" w:hAnsiTheme="minorHAnsi" w:cstheme="minorBidi"/>
            <w:noProof/>
            <w:sz w:val="22"/>
            <w:szCs w:val="22"/>
          </w:rPr>
          <w:tab/>
        </w:r>
        <w:r w:rsidR="00D53854" w:rsidRPr="00AB1B86">
          <w:rPr>
            <w:rStyle w:val="Hyperlink"/>
            <w:noProof/>
          </w:rPr>
          <w:t>Deployment Process and Timeframe</w:t>
        </w:r>
        <w:r w:rsidR="00D53854">
          <w:rPr>
            <w:noProof/>
            <w:webHidden/>
          </w:rPr>
          <w:tab/>
        </w:r>
        <w:r>
          <w:rPr>
            <w:noProof/>
            <w:webHidden/>
          </w:rPr>
          <w:fldChar w:fldCharType="begin"/>
        </w:r>
        <w:r w:rsidR="00D53854">
          <w:rPr>
            <w:noProof/>
            <w:webHidden/>
          </w:rPr>
          <w:instrText xml:space="preserve"> PAGEREF _Toc263848835 \h </w:instrText>
        </w:r>
        <w:r>
          <w:rPr>
            <w:noProof/>
            <w:webHidden/>
          </w:rPr>
        </w:r>
        <w:r>
          <w:rPr>
            <w:noProof/>
            <w:webHidden/>
          </w:rPr>
          <w:fldChar w:fldCharType="separate"/>
        </w:r>
        <w:r w:rsidR="001A2D70">
          <w:rPr>
            <w:noProof/>
            <w:webHidden/>
          </w:rPr>
          <w:t>9</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36" w:history="1">
        <w:r w:rsidR="00D53854" w:rsidRPr="00AB1B86">
          <w:rPr>
            <w:rStyle w:val="Hyperlink"/>
            <w:noProof/>
          </w:rPr>
          <w:t>a.</w:t>
        </w:r>
        <w:r w:rsidR="00D53854">
          <w:rPr>
            <w:rFonts w:asciiTheme="minorHAnsi" w:eastAsiaTheme="minorEastAsia" w:hAnsiTheme="minorHAnsi" w:cstheme="minorBidi"/>
            <w:noProof/>
            <w:sz w:val="22"/>
            <w:szCs w:val="22"/>
          </w:rPr>
          <w:tab/>
        </w:r>
        <w:r w:rsidR="00D53854" w:rsidRPr="00AB1B86">
          <w:rPr>
            <w:rStyle w:val="Hyperlink"/>
            <w:noProof/>
          </w:rPr>
          <w:t>FirstEnergy’s Plan</w:t>
        </w:r>
        <w:r w:rsidR="00D53854">
          <w:rPr>
            <w:noProof/>
            <w:webHidden/>
          </w:rPr>
          <w:tab/>
        </w:r>
        <w:r>
          <w:rPr>
            <w:noProof/>
            <w:webHidden/>
          </w:rPr>
          <w:fldChar w:fldCharType="begin"/>
        </w:r>
        <w:r w:rsidR="00D53854">
          <w:rPr>
            <w:noProof/>
            <w:webHidden/>
          </w:rPr>
          <w:instrText xml:space="preserve"> PAGEREF _Toc263848836 \h </w:instrText>
        </w:r>
        <w:r>
          <w:rPr>
            <w:noProof/>
            <w:webHidden/>
          </w:rPr>
        </w:r>
        <w:r>
          <w:rPr>
            <w:noProof/>
            <w:webHidden/>
          </w:rPr>
          <w:fldChar w:fldCharType="separate"/>
        </w:r>
        <w:r w:rsidR="001A2D70">
          <w:rPr>
            <w:noProof/>
            <w:webHidden/>
          </w:rPr>
          <w:t>9</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37" w:history="1">
        <w:r w:rsidR="00D53854" w:rsidRPr="00AB1B86">
          <w:rPr>
            <w:rStyle w:val="Hyperlink"/>
            <w:noProof/>
          </w:rPr>
          <w:t>b.</w:t>
        </w:r>
        <w:r w:rsidR="00D53854">
          <w:rPr>
            <w:rFonts w:asciiTheme="minorHAnsi" w:eastAsiaTheme="minorEastAsia" w:hAnsiTheme="minorHAnsi" w:cstheme="minorBidi"/>
            <w:noProof/>
            <w:sz w:val="22"/>
            <w:szCs w:val="22"/>
          </w:rPr>
          <w:tab/>
        </w:r>
        <w:r w:rsidR="00D53854" w:rsidRPr="00AB1B86">
          <w:rPr>
            <w:rStyle w:val="Hyperlink"/>
            <w:noProof/>
          </w:rPr>
          <w:t>ALJ’s Recommendation</w:t>
        </w:r>
        <w:r w:rsidR="00D53854">
          <w:rPr>
            <w:noProof/>
            <w:webHidden/>
          </w:rPr>
          <w:tab/>
        </w:r>
        <w:r>
          <w:rPr>
            <w:noProof/>
            <w:webHidden/>
          </w:rPr>
          <w:fldChar w:fldCharType="begin"/>
        </w:r>
        <w:r w:rsidR="00D53854">
          <w:rPr>
            <w:noProof/>
            <w:webHidden/>
          </w:rPr>
          <w:instrText xml:space="preserve"> PAGEREF _Toc263848837 \h </w:instrText>
        </w:r>
        <w:r>
          <w:rPr>
            <w:noProof/>
            <w:webHidden/>
          </w:rPr>
        </w:r>
        <w:r>
          <w:rPr>
            <w:noProof/>
            <w:webHidden/>
          </w:rPr>
          <w:fldChar w:fldCharType="separate"/>
        </w:r>
        <w:r w:rsidR="001A2D70">
          <w:rPr>
            <w:noProof/>
            <w:webHidden/>
          </w:rPr>
          <w:t>10</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38" w:history="1">
        <w:r w:rsidR="00D53854" w:rsidRPr="00AB1B86">
          <w:rPr>
            <w:rStyle w:val="Hyperlink"/>
            <w:noProof/>
          </w:rPr>
          <w:t>c.</w:t>
        </w:r>
        <w:r w:rsidR="00D53854">
          <w:rPr>
            <w:rFonts w:asciiTheme="minorHAnsi" w:eastAsiaTheme="minorEastAsia" w:hAnsiTheme="minorHAnsi" w:cstheme="minorBidi"/>
            <w:noProof/>
            <w:sz w:val="22"/>
            <w:szCs w:val="22"/>
          </w:rPr>
          <w:tab/>
        </w:r>
        <w:r w:rsidR="00D53854" w:rsidRPr="00AB1B86">
          <w:rPr>
            <w:rStyle w:val="Hyperlink"/>
            <w:noProof/>
          </w:rPr>
          <w:t>Positions of the Parties</w:t>
        </w:r>
        <w:r w:rsidR="00D53854">
          <w:rPr>
            <w:noProof/>
            <w:webHidden/>
          </w:rPr>
          <w:tab/>
        </w:r>
        <w:r>
          <w:rPr>
            <w:noProof/>
            <w:webHidden/>
          </w:rPr>
          <w:fldChar w:fldCharType="begin"/>
        </w:r>
        <w:r w:rsidR="00D53854">
          <w:rPr>
            <w:noProof/>
            <w:webHidden/>
          </w:rPr>
          <w:instrText xml:space="preserve"> PAGEREF _Toc263848838 \h </w:instrText>
        </w:r>
        <w:r>
          <w:rPr>
            <w:noProof/>
            <w:webHidden/>
          </w:rPr>
        </w:r>
        <w:r>
          <w:rPr>
            <w:noProof/>
            <w:webHidden/>
          </w:rPr>
          <w:fldChar w:fldCharType="separate"/>
        </w:r>
        <w:r w:rsidR="001A2D70">
          <w:rPr>
            <w:noProof/>
            <w:webHidden/>
          </w:rPr>
          <w:t>11</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39" w:history="1">
        <w:r w:rsidR="00D53854" w:rsidRPr="00AB1B86">
          <w:rPr>
            <w:rStyle w:val="Hyperlink"/>
            <w:noProof/>
          </w:rPr>
          <w:t>d.</w:t>
        </w:r>
        <w:r w:rsidR="00D53854">
          <w:rPr>
            <w:rFonts w:asciiTheme="minorHAnsi" w:eastAsiaTheme="minorEastAsia" w:hAnsiTheme="minorHAnsi" w:cstheme="minorBidi"/>
            <w:noProof/>
            <w:sz w:val="22"/>
            <w:szCs w:val="22"/>
          </w:rPr>
          <w:tab/>
        </w:r>
        <w:r w:rsidR="00D53854" w:rsidRPr="00AB1B86">
          <w:rPr>
            <w:rStyle w:val="Hyperlink"/>
            <w:noProof/>
          </w:rPr>
          <w:t>Disposition</w:t>
        </w:r>
        <w:r w:rsidR="00D53854">
          <w:rPr>
            <w:noProof/>
            <w:webHidden/>
          </w:rPr>
          <w:tab/>
        </w:r>
        <w:r>
          <w:rPr>
            <w:noProof/>
            <w:webHidden/>
          </w:rPr>
          <w:fldChar w:fldCharType="begin"/>
        </w:r>
        <w:r w:rsidR="00D53854">
          <w:rPr>
            <w:noProof/>
            <w:webHidden/>
          </w:rPr>
          <w:instrText xml:space="preserve"> PAGEREF _Toc263848839 \h </w:instrText>
        </w:r>
        <w:r>
          <w:rPr>
            <w:noProof/>
            <w:webHidden/>
          </w:rPr>
        </w:r>
        <w:r>
          <w:rPr>
            <w:noProof/>
            <w:webHidden/>
          </w:rPr>
          <w:fldChar w:fldCharType="separate"/>
        </w:r>
        <w:r w:rsidR="001A2D70">
          <w:rPr>
            <w:noProof/>
            <w:webHidden/>
          </w:rPr>
          <w:t>12</w:t>
        </w:r>
        <w:r>
          <w:rPr>
            <w:noProof/>
            <w:webHidden/>
          </w:rPr>
          <w:fldChar w:fldCharType="end"/>
        </w:r>
      </w:hyperlink>
    </w:p>
    <w:p w:rsidR="00D53854" w:rsidRDefault="005C5411">
      <w:pPr>
        <w:pStyle w:val="TOC3"/>
        <w:rPr>
          <w:rFonts w:asciiTheme="minorHAnsi" w:eastAsiaTheme="minorEastAsia" w:hAnsiTheme="minorHAnsi" w:cstheme="minorBidi"/>
          <w:noProof/>
          <w:sz w:val="22"/>
          <w:szCs w:val="22"/>
        </w:rPr>
      </w:pPr>
      <w:hyperlink w:anchor="_Toc263848840" w:history="1">
        <w:r w:rsidR="00D53854" w:rsidRPr="00AB1B86">
          <w:rPr>
            <w:rStyle w:val="Hyperlink"/>
            <w:noProof/>
          </w:rPr>
          <w:t>2.</w:t>
        </w:r>
        <w:r w:rsidR="00D53854">
          <w:rPr>
            <w:rFonts w:asciiTheme="minorHAnsi" w:eastAsiaTheme="minorEastAsia" w:hAnsiTheme="minorHAnsi" w:cstheme="minorBidi"/>
            <w:noProof/>
            <w:sz w:val="22"/>
            <w:szCs w:val="22"/>
          </w:rPr>
          <w:tab/>
        </w:r>
        <w:r w:rsidR="00D53854" w:rsidRPr="00AB1B86">
          <w:rPr>
            <w:rStyle w:val="Hyperlink"/>
            <w:noProof/>
          </w:rPr>
          <w:t>Smart Meter Technology</w:t>
        </w:r>
        <w:r w:rsidR="00D53854">
          <w:rPr>
            <w:noProof/>
            <w:webHidden/>
          </w:rPr>
          <w:tab/>
        </w:r>
        <w:r>
          <w:rPr>
            <w:noProof/>
            <w:webHidden/>
          </w:rPr>
          <w:fldChar w:fldCharType="begin"/>
        </w:r>
        <w:r w:rsidR="00D53854">
          <w:rPr>
            <w:noProof/>
            <w:webHidden/>
          </w:rPr>
          <w:instrText xml:space="preserve"> PAGEREF _Toc263848840 \h </w:instrText>
        </w:r>
        <w:r>
          <w:rPr>
            <w:noProof/>
            <w:webHidden/>
          </w:rPr>
        </w:r>
        <w:r>
          <w:rPr>
            <w:noProof/>
            <w:webHidden/>
          </w:rPr>
          <w:fldChar w:fldCharType="separate"/>
        </w:r>
        <w:r w:rsidR="001A2D70">
          <w:rPr>
            <w:noProof/>
            <w:webHidden/>
          </w:rPr>
          <w:t>14</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41" w:history="1">
        <w:r w:rsidR="00D53854" w:rsidRPr="00AB1B86">
          <w:rPr>
            <w:rStyle w:val="Hyperlink"/>
            <w:noProof/>
          </w:rPr>
          <w:t>a.</w:t>
        </w:r>
        <w:r w:rsidR="00D53854">
          <w:rPr>
            <w:rFonts w:asciiTheme="minorHAnsi" w:eastAsiaTheme="minorEastAsia" w:hAnsiTheme="minorHAnsi" w:cstheme="minorBidi"/>
            <w:noProof/>
            <w:sz w:val="22"/>
            <w:szCs w:val="22"/>
          </w:rPr>
          <w:tab/>
        </w:r>
        <w:r w:rsidR="00D53854" w:rsidRPr="00AB1B86">
          <w:rPr>
            <w:rStyle w:val="Hyperlink"/>
            <w:noProof/>
          </w:rPr>
          <w:t>FirstEnergy’s Plan</w:t>
        </w:r>
        <w:r w:rsidR="00D53854">
          <w:rPr>
            <w:noProof/>
            <w:webHidden/>
          </w:rPr>
          <w:tab/>
        </w:r>
        <w:r>
          <w:rPr>
            <w:noProof/>
            <w:webHidden/>
          </w:rPr>
          <w:fldChar w:fldCharType="begin"/>
        </w:r>
        <w:r w:rsidR="00D53854">
          <w:rPr>
            <w:noProof/>
            <w:webHidden/>
          </w:rPr>
          <w:instrText xml:space="preserve"> PAGEREF _Toc263848841 \h </w:instrText>
        </w:r>
        <w:r>
          <w:rPr>
            <w:noProof/>
            <w:webHidden/>
          </w:rPr>
        </w:r>
        <w:r>
          <w:rPr>
            <w:noProof/>
            <w:webHidden/>
          </w:rPr>
          <w:fldChar w:fldCharType="separate"/>
        </w:r>
        <w:r w:rsidR="001A2D70">
          <w:rPr>
            <w:noProof/>
            <w:webHidden/>
          </w:rPr>
          <w:t>14</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42" w:history="1">
        <w:r w:rsidR="00D53854" w:rsidRPr="00AB1B86">
          <w:rPr>
            <w:rStyle w:val="Hyperlink"/>
            <w:noProof/>
          </w:rPr>
          <w:t>b.</w:t>
        </w:r>
        <w:r w:rsidR="00D53854">
          <w:rPr>
            <w:rFonts w:asciiTheme="minorHAnsi" w:eastAsiaTheme="minorEastAsia" w:hAnsiTheme="minorHAnsi" w:cstheme="minorBidi"/>
            <w:noProof/>
            <w:sz w:val="22"/>
            <w:szCs w:val="22"/>
          </w:rPr>
          <w:tab/>
        </w:r>
        <w:r w:rsidR="00D53854" w:rsidRPr="00AB1B86">
          <w:rPr>
            <w:rStyle w:val="Hyperlink"/>
            <w:noProof/>
          </w:rPr>
          <w:t>ALJ’s Recommendation</w:t>
        </w:r>
        <w:r w:rsidR="00D53854">
          <w:rPr>
            <w:noProof/>
            <w:webHidden/>
          </w:rPr>
          <w:tab/>
        </w:r>
        <w:r>
          <w:rPr>
            <w:noProof/>
            <w:webHidden/>
          </w:rPr>
          <w:fldChar w:fldCharType="begin"/>
        </w:r>
        <w:r w:rsidR="00D53854">
          <w:rPr>
            <w:noProof/>
            <w:webHidden/>
          </w:rPr>
          <w:instrText xml:space="preserve"> PAGEREF _Toc263848842 \h </w:instrText>
        </w:r>
        <w:r>
          <w:rPr>
            <w:noProof/>
            <w:webHidden/>
          </w:rPr>
        </w:r>
        <w:r>
          <w:rPr>
            <w:noProof/>
            <w:webHidden/>
          </w:rPr>
          <w:fldChar w:fldCharType="separate"/>
        </w:r>
        <w:r w:rsidR="001A2D70">
          <w:rPr>
            <w:noProof/>
            <w:webHidden/>
          </w:rPr>
          <w:t>15</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43" w:history="1">
        <w:r w:rsidR="00D53854" w:rsidRPr="00AB1B86">
          <w:rPr>
            <w:rStyle w:val="Hyperlink"/>
            <w:noProof/>
          </w:rPr>
          <w:t>c.</w:t>
        </w:r>
        <w:r w:rsidR="00D53854">
          <w:rPr>
            <w:rFonts w:asciiTheme="minorHAnsi" w:eastAsiaTheme="minorEastAsia" w:hAnsiTheme="minorHAnsi" w:cstheme="minorBidi"/>
            <w:noProof/>
            <w:sz w:val="22"/>
            <w:szCs w:val="22"/>
          </w:rPr>
          <w:tab/>
        </w:r>
        <w:r w:rsidR="00D53854" w:rsidRPr="00AB1B86">
          <w:rPr>
            <w:rStyle w:val="Hyperlink"/>
            <w:noProof/>
          </w:rPr>
          <w:t>Positions of the Parties</w:t>
        </w:r>
        <w:r w:rsidR="00D53854">
          <w:rPr>
            <w:noProof/>
            <w:webHidden/>
          </w:rPr>
          <w:tab/>
        </w:r>
        <w:r>
          <w:rPr>
            <w:noProof/>
            <w:webHidden/>
          </w:rPr>
          <w:fldChar w:fldCharType="begin"/>
        </w:r>
        <w:r w:rsidR="00D53854">
          <w:rPr>
            <w:noProof/>
            <w:webHidden/>
          </w:rPr>
          <w:instrText xml:space="preserve"> PAGEREF _Toc263848843 \h </w:instrText>
        </w:r>
        <w:r>
          <w:rPr>
            <w:noProof/>
            <w:webHidden/>
          </w:rPr>
        </w:r>
        <w:r>
          <w:rPr>
            <w:noProof/>
            <w:webHidden/>
          </w:rPr>
          <w:fldChar w:fldCharType="separate"/>
        </w:r>
        <w:r w:rsidR="001A2D70">
          <w:rPr>
            <w:noProof/>
            <w:webHidden/>
          </w:rPr>
          <w:t>15</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44" w:history="1">
        <w:r w:rsidR="00D53854" w:rsidRPr="00AB1B86">
          <w:rPr>
            <w:rStyle w:val="Hyperlink"/>
            <w:noProof/>
          </w:rPr>
          <w:t>d.</w:t>
        </w:r>
        <w:r w:rsidR="00D53854">
          <w:rPr>
            <w:rFonts w:asciiTheme="minorHAnsi" w:eastAsiaTheme="minorEastAsia" w:hAnsiTheme="minorHAnsi" w:cstheme="minorBidi"/>
            <w:noProof/>
            <w:sz w:val="22"/>
            <w:szCs w:val="22"/>
          </w:rPr>
          <w:tab/>
        </w:r>
        <w:r w:rsidR="00D53854" w:rsidRPr="00AB1B86">
          <w:rPr>
            <w:rStyle w:val="Hyperlink"/>
            <w:noProof/>
          </w:rPr>
          <w:t>Disposition</w:t>
        </w:r>
        <w:r w:rsidR="00D53854">
          <w:rPr>
            <w:noProof/>
            <w:webHidden/>
          </w:rPr>
          <w:tab/>
        </w:r>
        <w:r>
          <w:rPr>
            <w:noProof/>
            <w:webHidden/>
          </w:rPr>
          <w:fldChar w:fldCharType="begin"/>
        </w:r>
        <w:r w:rsidR="00D53854">
          <w:rPr>
            <w:noProof/>
            <w:webHidden/>
          </w:rPr>
          <w:instrText xml:space="preserve"> PAGEREF _Toc263848844 \h </w:instrText>
        </w:r>
        <w:r>
          <w:rPr>
            <w:noProof/>
            <w:webHidden/>
          </w:rPr>
        </w:r>
        <w:r>
          <w:rPr>
            <w:noProof/>
            <w:webHidden/>
          </w:rPr>
          <w:fldChar w:fldCharType="separate"/>
        </w:r>
        <w:r w:rsidR="001A2D70">
          <w:rPr>
            <w:noProof/>
            <w:webHidden/>
          </w:rPr>
          <w:t>16</w:t>
        </w:r>
        <w:r>
          <w:rPr>
            <w:noProof/>
            <w:webHidden/>
          </w:rPr>
          <w:fldChar w:fldCharType="end"/>
        </w:r>
      </w:hyperlink>
    </w:p>
    <w:p w:rsidR="00D53854" w:rsidRDefault="005C5411">
      <w:pPr>
        <w:pStyle w:val="TOC3"/>
        <w:rPr>
          <w:rFonts w:asciiTheme="minorHAnsi" w:eastAsiaTheme="minorEastAsia" w:hAnsiTheme="minorHAnsi" w:cstheme="minorBidi"/>
          <w:noProof/>
          <w:sz w:val="22"/>
          <w:szCs w:val="22"/>
        </w:rPr>
      </w:pPr>
      <w:hyperlink w:anchor="_Toc263848845" w:history="1">
        <w:r w:rsidR="00D53854" w:rsidRPr="00AB1B86">
          <w:rPr>
            <w:rStyle w:val="Hyperlink"/>
            <w:noProof/>
          </w:rPr>
          <w:t>3.</w:t>
        </w:r>
        <w:r w:rsidR="00D53854">
          <w:rPr>
            <w:rFonts w:asciiTheme="minorHAnsi" w:eastAsiaTheme="minorEastAsia" w:hAnsiTheme="minorHAnsi" w:cstheme="minorBidi"/>
            <w:noProof/>
            <w:sz w:val="22"/>
            <w:szCs w:val="22"/>
          </w:rPr>
          <w:tab/>
        </w:r>
        <w:r w:rsidR="00D53854" w:rsidRPr="00AB1B86">
          <w:rPr>
            <w:rStyle w:val="Hyperlink"/>
            <w:noProof/>
          </w:rPr>
          <w:t>Impact on “Vulnerable” Customers</w:t>
        </w:r>
        <w:r w:rsidR="00D53854">
          <w:rPr>
            <w:noProof/>
            <w:webHidden/>
          </w:rPr>
          <w:tab/>
        </w:r>
        <w:r>
          <w:rPr>
            <w:noProof/>
            <w:webHidden/>
          </w:rPr>
          <w:fldChar w:fldCharType="begin"/>
        </w:r>
        <w:r w:rsidR="00D53854">
          <w:rPr>
            <w:noProof/>
            <w:webHidden/>
          </w:rPr>
          <w:instrText xml:space="preserve"> PAGEREF _Toc263848845 \h </w:instrText>
        </w:r>
        <w:r>
          <w:rPr>
            <w:noProof/>
            <w:webHidden/>
          </w:rPr>
        </w:r>
        <w:r>
          <w:rPr>
            <w:noProof/>
            <w:webHidden/>
          </w:rPr>
          <w:fldChar w:fldCharType="separate"/>
        </w:r>
        <w:r w:rsidR="001A2D70">
          <w:rPr>
            <w:noProof/>
            <w:webHidden/>
          </w:rPr>
          <w:t>17</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46" w:history="1">
        <w:r w:rsidR="00D53854" w:rsidRPr="00AB1B86">
          <w:rPr>
            <w:rStyle w:val="Hyperlink"/>
            <w:noProof/>
          </w:rPr>
          <w:t>a.</w:t>
        </w:r>
        <w:r w:rsidR="00D53854">
          <w:rPr>
            <w:rFonts w:asciiTheme="minorHAnsi" w:eastAsiaTheme="minorEastAsia" w:hAnsiTheme="minorHAnsi" w:cstheme="minorBidi"/>
            <w:noProof/>
            <w:sz w:val="22"/>
            <w:szCs w:val="22"/>
          </w:rPr>
          <w:tab/>
        </w:r>
        <w:r w:rsidR="00D53854" w:rsidRPr="00AB1B86">
          <w:rPr>
            <w:rStyle w:val="Hyperlink"/>
            <w:noProof/>
          </w:rPr>
          <w:t>FirstEnergy’s Plan</w:t>
        </w:r>
        <w:r w:rsidR="00D53854">
          <w:rPr>
            <w:noProof/>
            <w:webHidden/>
          </w:rPr>
          <w:tab/>
        </w:r>
        <w:r>
          <w:rPr>
            <w:noProof/>
            <w:webHidden/>
          </w:rPr>
          <w:fldChar w:fldCharType="begin"/>
        </w:r>
        <w:r w:rsidR="00D53854">
          <w:rPr>
            <w:noProof/>
            <w:webHidden/>
          </w:rPr>
          <w:instrText xml:space="preserve"> PAGEREF _Toc263848846 \h </w:instrText>
        </w:r>
        <w:r>
          <w:rPr>
            <w:noProof/>
            <w:webHidden/>
          </w:rPr>
        </w:r>
        <w:r>
          <w:rPr>
            <w:noProof/>
            <w:webHidden/>
          </w:rPr>
          <w:fldChar w:fldCharType="separate"/>
        </w:r>
        <w:r w:rsidR="001A2D70">
          <w:rPr>
            <w:noProof/>
            <w:webHidden/>
          </w:rPr>
          <w:t>17</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47" w:history="1">
        <w:r w:rsidR="00D53854" w:rsidRPr="00AB1B86">
          <w:rPr>
            <w:rStyle w:val="Hyperlink"/>
            <w:noProof/>
          </w:rPr>
          <w:t>b.</w:t>
        </w:r>
        <w:r w:rsidR="00D53854">
          <w:rPr>
            <w:rFonts w:asciiTheme="minorHAnsi" w:eastAsiaTheme="minorEastAsia" w:hAnsiTheme="minorHAnsi" w:cstheme="minorBidi"/>
            <w:noProof/>
            <w:sz w:val="22"/>
            <w:szCs w:val="22"/>
          </w:rPr>
          <w:tab/>
        </w:r>
        <w:r w:rsidR="00D53854" w:rsidRPr="00AB1B86">
          <w:rPr>
            <w:rStyle w:val="Hyperlink"/>
            <w:noProof/>
          </w:rPr>
          <w:t>ALJ’s Recommendation</w:t>
        </w:r>
        <w:r w:rsidR="00D53854">
          <w:rPr>
            <w:noProof/>
            <w:webHidden/>
          </w:rPr>
          <w:tab/>
        </w:r>
        <w:r>
          <w:rPr>
            <w:noProof/>
            <w:webHidden/>
          </w:rPr>
          <w:fldChar w:fldCharType="begin"/>
        </w:r>
        <w:r w:rsidR="00D53854">
          <w:rPr>
            <w:noProof/>
            <w:webHidden/>
          </w:rPr>
          <w:instrText xml:space="preserve"> PAGEREF _Toc263848847 \h </w:instrText>
        </w:r>
        <w:r>
          <w:rPr>
            <w:noProof/>
            <w:webHidden/>
          </w:rPr>
        </w:r>
        <w:r>
          <w:rPr>
            <w:noProof/>
            <w:webHidden/>
          </w:rPr>
          <w:fldChar w:fldCharType="separate"/>
        </w:r>
        <w:r w:rsidR="001A2D70">
          <w:rPr>
            <w:noProof/>
            <w:webHidden/>
          </w:rPr>
          <w:t>17</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48" w:history="1">
        <w:r w:rsidR="00D53854" w:rsidRPr="00AB1B86">
          <w:rPr>
            <w:rStyle w:val="Hyperlink"/>
            <w:noProof/>
          </w:rPr>
          <w:t>c.</w:t>
        </w:r>
        <w:r w:rsidR="00D53854">
          <w:rPr>
            <w:rFonts w:asciiTheme="minorHAnsi" w:eastAsiaTheme="minorEastAsia" w:hAnsiTheme="minorHAnsi" w:cstheme="minorBidi"/>
            <w:noProof/>
            <w:sz w:val="22"/>
            <w:szCs w:val="22"/>
          </w:rPr>
          <w:tab/>
        </w:r>
        <w:r w:rsidR="00D53854" w:rsidRPr="00AB1B86">
          <w:rPr>
            <w:rStyle w:val="Hyperlink"/>
            <w:noProof/>
          </w:rPr>
          <w:t>Positions of the Parties</w:t>
        </w:r>
        <w:r w:rsidR="00D53854">
          <w:rPr>
            <w:noProof/>
            <w:webHidden/>
          </w:rPr>
          <w:tab/>
        </w:r>
        <w:r>
          <w:rPr>
            <w:noProof/>
            <w:webHidden/>
          </w:rPr>
          <w:fldChar w:fldCharType="begin"/>
        </w:r>
        <w:r w:rsidR="00D53854">
          <w:rPr>
            <w:noProof/>
            <w:webHidden/>
          </w:rPr>
          <w:instrText xml:space="preserve"> PAGEREF _Toc263848848 \h </w:instrText>
        </w:r>
        <w:r>
          <w:rPr>
            <w:noProof/>
            <w:webHidden/>
          </w:rPr>
        </w:r>
        <w:r>
          <w:rPr>
            <w:noProof/>
            <w:webHidden/>
          </w:rPr>
          <w:fldChar w:fldCharType="separate"/>
        </w:r>
        <w:r w:rsidR="001A2D70">
          <w:rPr>
            <w:noProof/>
            <w:webHidden/>
          </w:rPr>
          <w:t>18</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49" w:history="1">
        <w:r w:rsidR="00D53854" w:rsidRPr="00AB1B86">
          <w:rPr>
            <w:rStyle w:val="Hyperlink"/>
            <w:noProof/>
          </w:rPr>
          <w:t>d.</w:t>
        </w:r>
        <w:r w:rsidR="00D53854">
          <w:rPr>
            <w:rFonts w:asciiTheme="minorHAnsi" w:eastAsiaTheme="minorEastAsia" w:hAnsiTheme="minorHAnsi" w:cstheme="minorBidi"/>
            <w:noProof/>
            <w:sz w:val="22"/>
            <w:szCs w:val="22"/>
          </w:rPr>
          <w:tab/>
        </w:r>
        <w:r w:rsidR="00D53854" w:rsidRPr="00AB1B86">
          <w:rPr>
            <w:rStyle w:val="Hyperlink"/>
            <w:noProof/>
          </w:rPr>
          <w:t>Disposition</w:t>
        </w:r>
        <w:r w:rsidR="00D53854">
          <w:rPr>
            <w:noProof/>
            <w:webHidden/>
          </w:rPr>
          <w:tab/>
        </w:r>
        <w:r>
          <w:rPr>
            <w:noProof/>
            <w:webHidden/>
          </w:rPr>
          <w:fldChar w:fldCharType="begin"/>
        </w:r>
        <w:r w:rsidR="00D53854">
          <w:rPr>
            <w:noProof/>
            <w:webHidden/>
          </w:rPr>
          <w:instrText xml:space="preserve"> PAGEREF _Toc263848849 \h </w:instrText>
        </w:r>
        <w:r>
          <w:rPr>
            <w:noProof/>
            <w:webHidden/>
          </w:rPr>
        </w:r>
        <w:r>
          <w:rPr>
            <w:noProof/>
            <w:webHidden/>
          </w:rPr>
          <w:fldChar w:fldCharType="separate"/>
        </w:r>
        <w:r w:rsidR="001A2D70">
          <w:rPr>
            <w:noProof/>
            <w:webHidden/>
          </w:rPr>
          <w:t>19</w:t>
        </w:r>
        <w:r>
          <w:rPr>
            <w:noProof/>
            <w:webHidden/>
          </w:rPr>
          <w:fldChar w:fldCharType="end"/>
        </w:r>
      </w:hyperlink>
    </w:p>
    <w:p w:rsidR="00D53854" w:rsidRDefault="005C5411">
      <w:pPr>
        <w:pStyle w:val="TOC3"/>
        <w:rPr>
          <w:rFonts w:asciiTheme="minorHAnsi" w:eastAsiaTheme="minorEastAsia" w:hAnsiTheme="minorHAnsi" w:cstheme="minorBidi"/>
          <w:noProof/>
          <w:sz w:val="22"/>
          <w:szCs w:val="22"/>
        </w:rPr>
      </w:pPr>
      <w:hyperlink w:anchor="_Toc263848850" w:history="1">
        <w:r w:rsidR="00D53854" w:rsidRPr="00AB1B86">
          <w:rPr>
            <w:rStyle w:val="Hyperlink"/>
            <w:noProof/>
          </w:rPr>
          <w:t>4.</w:t>
        </w:r>
        <w:r w:rsidR="00D53854">
          <w:rPr>
            <w:rFonts w:asciiTheme="minorHAnsi" w:eastAsiaTheme="minorEastAsia" w:hAnsiTheme="minorHAnsi" w:cstheme="minorBidi"/>
            <w:noProof/>
            <w:sz w:val="22"/>
            <w:szCs w:val="22"/>
          </w:rPr>
          <w:tab/>
        </w:r>
        <w:r w:rsidR="00D53854" w:rsidRPr="00AB1B86">
          <w:rPr>
            <w:rStyle w:val="Hyperlink"/>
            <w:noProof/>
          </w:rPr>
          <w:t>Sub-Hourly Metering</w:t>
        </w:r>
        <w:r w:rsidR="00D53854">
          <w:rPr>
            <w:noProof/>
            <w:webHidden/>
          </w:rPr>
          <w:tab/>
        </w:r>
        <w:r>
          <w:rPr>
            <w:noProof/>
            <w:webHidden/>
          </w:rPr>
          <w:fldChar w:fldCharType="begin"/>
        </w:r>
        <w:r w:rsidR="00D53854">
          <w:rPr>
            <w:noProof/>
            <w:webHidden/>
          </w:rPr>
          <w:instrText xml:space="preserve"> PAGEREF _Toc263848850 \h </w:instrText>
        </w:r>
        <w:r>
          <w:rPr>
            <w:noProof/>
            <w:webHidden/>
          </w:rPr>
        </w:r>
        <w:r>
          <w:rPr>
            <w:noProof/>
            <w:webHidden/>
          </w:rPr>
          <w:fldChar w:fldCharType="separate"/>
        </w:r>
        <w:r w:rsidR="001A2D70">
          <w:rPr>
            <w:noProof/>
            <w:webHidden/>
          </w:rPr>
          <w:t>19</w:t>
        </w:r>
        <w:r>
          <w:rPr>
            <w:noProof/>
            <w:webHidden/>
          </w:rPr>
          <w:fldChar w:fldCharType="end"/>
        </w:r>
      </w:hyperlink>
    </w:p>
    <w:p w:rsidR="00D53854" w:rsidRDefault="005C5411">
      <w:pPr>
        <w:pStyle w:val="TOC2"/>
        <w:rPr>
          <w:rFonts w:asciiTheme="minorHAnsi" w:eastAsiaTheme="minorEastAsia" w:hAnsiTheme="minorHAnsi" w:cstheme="minorBidi"/>
          <w:noProof/>
          <w:sz w:val="22"/>
          <w:szCs w:val="22"/>
        </w:rPr>
      </w:pPr>
      <w:hyperlink w:anchor="_Toc263848851" w:history="1">
        <w:r w:rsidR="00D53854" w:rsidRPr="00AB1B86">
          <w:rPr>
            <w:rStyle w:val="Hyperlink"/>
            <w:noProof/>
          </w:rPr>
          <w:t>B.</w:t>
        </w:r>
        <w:r w:rsidR="00D53854">
          <w:rPr>
            <w:rFonts w:asciiTheme="minorHAnsi" w:eastAsiaTheme="minorEastAsia" w:hAnsiTheme="minorHAnsi" w:cstheme="minorBidi"/>
            <w:noProof/>
            <w:sz w:val="22"/>
            <w:szCs w:val="22"/>
          </w:rPr>
          <w:tab/>
        </w:r>
        <w:r w:rsidR="00D53854" w:rsidRPr="00AB1B86">
          <w:rPr>
            <w:rStyle w:val="Hyperlink"/>
            <w:noProof/>
          </w:rPr>
          <w:t>Cost Issues</w:t>
        </w:r>
        <w:r w:rsidR="00D53854">
          <w:rPr>
            <w:noProof/>
            <w:webHidden/>
          </w:rPr>
          <w:tab/>
        </w:r>
        <w:r>
          <w:rPr>
            <w:noProof/>
            <w:webHidden/>
          </w:rPr>
          <w:fldChar w:fldCharType="begin"/>
        </w:r>
        <w:r w:rsidR="00D53854">
          <w:rPr>
            <w:noProof/>
            <w:webHidden/>
          </w:rPr>
          <w:instrText xml:space="preserve"> PAGEREF _Toc263848851 \h </w:instrText>
        </w:r>
        <w:r>
          <w:rPr>
            <w:noProof/>
            <w:webHidden/>
          </w:rPr>
        </w:r>
        <w:r>
          <w:rPr>
            <w:noProof/>
            <w:webHidden/>
          </w:rPr>
          <w:fldChar w:fldCharType="separate"/>
        </w:r>
        <w:r w:rsidR="001A2D70">
          <w:rPr>
            <w:noProof/>
            <w:webHidden/>
          </w:rPr>
          <w:t>21</w:t>
        </w:r>
        <w:r>
          <w:rPr>
            <w:noProof/>
            <w:webHidden/>
          </w:rPr>
          <w:fldChar w:fldCharType="end"/>
        </w:r>
      </w:hyperlink>
    </w:p>
    <w:p w:rsidR="00D53854" w:rsidRDefault="005C5411">
      <w:pPr>
        <w:pStyle w:val="TOC3"/>
        <w:rPr>
          <w:rFonts w:asciiTheme="minorHAnsi" w:eastAsiaTheme="minorEastAsia" w:hAnsiTheme="minorHAnsi" w:cstheme="minorBidi"/>
          <w:noProof/>
          <w:sz w:val="22"/>
          <w:szCs w:val="22"/>
        </w:rPr>
      </w:pPr>
      <w:hyperlink w:anchor="_Toc263848852" w:history="1">
        <w:r w:rsidR="00D53854" w:rsidRPr="00AB1B86">
          <w:rPr>
            <w:rStyle w:val="Hyperlink"/>
            <w:noProof/>
          </w:rPr>
          <w:t>1.</w:t>
        </w:r>
        <w:r w:rsidR="00D53854">
          <w:rPr>
            <w:rFonts w:asciiTheme="minorHAnsi" w:eastAsiaTheme="minorEastAsia" w:hAnsiTheme="minorHAnsi" w:cstheme="minorBidi"/>
            <w:noProof/>
            <w:sz w:val="22"/>
            <w:szCs w:val="22"/>
          </w:rPr>
          <w:tab/>
        </w:r>
        <w:r w:rsidR="00D53854" w:rsidRPr="00AB1B86">
          <w:rPr>
            <w:rStyle w:val="Hyperlink"/>
            <w:noProof/>
          </w:rPr>
          <w:t>Cost of Capital</w:t>
        </w:r>
        <w:r w:rsidR="00D53854">
          <w:rPr>
            <w:noProof/>
            <w:webHidden/>
          </w:rPr>
          <w:tab/>
        </w:r>
        <w:r>
          <w:rPr>
            <w:noProof/>
            <w:webHidden/>
          </w:rPr>
          <w:fldChar w:fldCharType="begin"/>
        </w:r>
        <w:r w:rsidR="00D53854">
          <w:rPr>
            <w:noProof/>
            <w:webHidden/>
          </w:rPr>
          <w:instrText xml:space="preserve"> PAGEREF _Toc263848852 \h </w:instrText>
        </w:r>
        <w:r>
          <w:rPr>
            <w:noProof/>
            <w:webHidden/>
          </w:rPr>
        </w:r>
        <w:r>
          <w:rPr>
            <w:noProof/>
            <w:webHidden/>
          </w:rPr>
          <w:fldChar w:fldCharType="separate"/>
        </w:r>
        <w:r w:rsidR="001A2D70">
          <w:rPr>
            <w:noProof/>
            <w:webHidden/>
          </w:rPr>
          <w:t>21</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53" w:history="1">
        <w:r w:rsidR="00D53854" w:rsidRPr="00AB1B86">
          <w:rPr>
            <w:rStyle w:val="Hyperlink"/>
            <w:noProof/>
          </w:rPr>
          <w:t>a.</w:t>
        </w:r>
        <w:r w:rsidR="00D53854">
          <w:rPr>
            <w:rFonts w:asciiTheme="minorHAnsi" w:eastAsiaTheme="minorEastAsia" w:hAnsiTheme="minorHAnsi" w:cstheme="minorBidi"/>
            <w:noProof/>
            <w:sz w:val="22"/>
            <w:szCs w:val="22"/>
          </w:rPr>
          <w:tab/>
        </w:r>
        <w:r w:rsidR="00D53854" w:rsidRPr="00AB1B86">
          <w:rPr>
            <w:rStyle w:val="Hyperlink"/>
            <w:noProof/>
          </w:rPr>
          <w:t>Capital Structure Ratios</w:t>
        </w:r>
        <w:r w:rsidR="00D53854">
          <w:rPr>
            <w:noProof/>
            <w:webHidden/>
          </w:rPr>
          <w:tab/>
        </w:r>
        <w:r>
          <w:rPr>
            <w:noProof/>
            <w:webHidden/>
          </w:rPr>
          <w:fldChar w:fldCharType="begin"/>
        </w:r>
        <w:r w:rsidR="00D53854">
          <w:rPr>
            <w:noProof/>
            <w:webHidden/>
          </w:rPr>
          <w:instrText xml:space="preserve"> PAGEREF _Toc263848853 \h </w:instrText>
        </w:r>
        <w:r>
          <w:rPr>
            <w:noProof/>
            <w:webHidden/>
          </w:rPr>
        </w:r>
        <w:r>
          <w:rPr>
            <w:noProof/>
            <w:webHidden/>
          </w:rPr>
          <w:fldChar w:fldCharType="separate"/>
        </w:r>
        <w:r w:rsidR="001A2D70">
          <w:rPr>
            <w:noProof/>
            <w:webHidden/>
          </w:rPr>
          <w:t>21</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54" w:history="1">
        <w:r w:rsidR="00D53854" w:rsidRPr="00AB1B86">
          <w:rPr>
            <w:rStyle w:val="Hyperlink"/>
            <w:noProof/>
          </w:rPr>
          <w:t>1.</w:t>
        </w:r>
        <w:r w:rsidR="00D53854">
          <w:rPr>
            <w:rFonts w:asciiTheme="minorHAnsi" w:eastAsiaTheme="minorEastAsia" w:hAnsiTheme="minorHAnsi" w:cstheme="minorBidi"/>
            <w:noProof/>
            <w:sz w:val="22"/>
            <w:szCs w:val="22"/>
          </w:rPr>
          <w:tab/>
        </w:r>
        <w:r w:rsidR="00D53854" w:rsidRPr="00AB1B86">
          <w:rPr>
            <w:rStyle w:val="Hyperlink"/>
            <w:noProof/>
          </w:rPr>
          <w:t>FirstEnergy’s Plan</w:t>
        </w:r>
        <w:r w:rsidR="00D53854">
          <w:rPr>
            <w:noProof/>
            <w:webHidden/>
          </w:rPr>
          <w:tab/>
        </w:r>
        <w:r>
          <w:rPr>
            <w:noProof/>
            <w:webHidden/>
          </w:rPr>
          <w:fldChar w:fldCharType="begin"/>
        </w:r>
        <w:r w:rsidR="00D53854">
          <w:rPr>
            <w:noProof/>
            <w:webHidden/>
          </w:rPr>
          <w:instrText xml:space="preserve"> PAGEREF _Toc263848854 \h </w:instrText>
        </w:r>
        <w:r>
          <w:rPr>
            <w:noProof/>
            <w:webHidden/>
          </w:rPr>
        </w:r>
        <w:r>
          <w:rPr>
            <w:noProof/>
            <w:webHidden/>
          </w:rPr>
          <w:fldChar w:fldCharType="separate"/>
        </w:r>
        <w:r w:rsidR="001A2D70">
          <w:rPr>
            <w:noProof/>
            <w:webHidden/>
          </w:rPr>
          <w:t>21</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55" w:history="1">
        <w:r w:rsidR="00D53854" w:rsidRPr="00AB1B86">
          <w:rPr>
            <w:rStyle w:val="Hyperlink"/>
            <w:noProof/>
          </w:rPr>
          <w:t>2.</w:t>
        </w:r>
        <w:r w:rsidR="00D53854">
          <w:rPr>
            <w:rFonts w:asciiTheme="minorHAnsi" w:eastAsiaTheme="minorEastAsia" w:hAnsiTheme="minorHAnsi" w:cstheme="minorBidi"/>
            <w:noProof/>
            <w:sz w:val="22"/>
            <w:szCs w:val="22"/>
          </w:rPr>
          <w:tab/>
        </w:r>
        <w:r w:rsidR="00D53854" w:rsidRPr="00AB1B86">
          <w:rPr>
            <w:rStyle w:val="Hyperlink"/>
            <w:noProof/>
          </w:rPr>
          <w:t>ALJ’s Recommendation</w:t>
        </w:r>
        <w:r w:rsidR="00D53854">
          <w:rPr>
            <w:noProof/>
            <w:webHidden/>
          </w:rPr>
          <w:tab/>
        </w:r>
        <w:r>
          <w:rPr>
            <w:noProof/>
            <w:webHidden/>
          </w:rPr>
          <w:fldChar w:fldCharType="begin"/>
        </w:r>
        <w:r w:rsidR="00D53854">
          <w:rPr>
            <w:noProof/>
            <w:webHidden/>
          </w:rPr>
          <w:instrText xml:space="preserve"> PAGEREF _Toc263848855 \h </w:instrText>
        </w:r>
        <w:r>
          <w:rPr>
            <w:noProof/>
            <w:webHidden/>
          </w:rPr>
        </w:r>
        <w:r>
          <w:rPr>
            <w:noProof/>
            <w:webHidden/>
          </w:rPr>
          <w:fldChar w:fldCharType="separate"/>
        </w:r>
        <w:r w:rsidR="001A2D70">
          <w:rPr>
            <w:noProof/>
            <w:webHidden/>
          </w:rPr>
          <w:t>22</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56" w:history="1">
        <w:r w:rsidR="00D53854" w:rsidRPr="00AB1B86">
          <w:rPr>
            <w:rStyle w:val="Hyperlink"/>
            <w:noProof/>
          </w:rPr>
          <w:t>3.</w:t>
        </w:r>
        <w:r w:rsidR="00D53854">
          <w:rPr>
            <w:rFonts w:asciiTheme="minorHAnsi" w:eastAsiaTheme="minorEastAsia" w:hAnsiTheme="minorHAnsi" w:cstheme="minorBidi"/>
            <w:noProof/>
            <w:sz w:val="22"/>
            <w:szCs w:val="22"/>
          </w:rPr>
          <w:tab/>
        </w:r>
        <w:r w:rsidR="00D53854" w:rsidRPr="00AB1B86">
          <w:rPr>
            <w:rStyle w:val="Hyperlink"/>
            <w:noProof/>
          </w:rPr>
          <w:t>Positions of the Parties</w:t>
        </w:r>
        <w:r w:rsidR="00D53854">
          <w:rPr>
            <w:noProof/>
            <w:webHidden/>
          </w:rPr>
          <w:tab/>
        </w:r>
        <w:r>
          <w:rPr>
            <w:noProof/>
            <w:webHidden/>
          </w:rPr>
          <w:fldChar w:fldCharType="begin"/>
        </w:r>
        <w:r w:rsidR="00D53854">
          <w:rPr>
            <w:noProof/>
            <w:webHidden/>
          </w:rPr>
          <w:instrText xml:space="preserve"> PAGEREF _Toc263848856 \h </w:instrText>
        </w:r>
        <w:r>
          <w:rPr>
            <w:noProof/>
            <w:webHidden/>
          </w:rPr>
        </w:r>
        <w:r>
          <w:rPr>
            <w:noProof/>
            <w:webHidden/>
          </w:rPr>
          <w:fldChar w:fldCharType="separate"/>
        </w:r>
        <w:r w:rsidR="001A2D70">
          <w:rPr>
            <w:noProof/>
            <w:webHidden/>
          </w:rPr>
          <w:t>22</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57" w:history="1">
        <w:r w:rsidR="00D53854" w:rsidRPr="00AB1B86">
          <w:rPr>
            <w:rStyle w:val="Hyperlink"/>
            <w:noProof/>
          </w:rPr>
          <w:t>4.</w:t>
        </w:r>
        <w:r w:rsidR="00D53854">
          <w:rPr>
            <w:rFonts w:asciiTheme="minorHAnsi" w:eastAsiaTheme="minorEastAsia" w:hAnsiTheme="minorHAnsi" w:cstheme="minorBidi"/>
            <w:noProof/>
            <w:sz w:val="22"/>
            <w:szCs w:val="22"/>
          </w:rPr>
          <w:tab/>
        </w:r>
        <w:r w:rsidR="00D53854" w:rsidRPr="00AB1B86">
          <w:rPr>
            <w:rStyle w:val="Hyperlink"/>
            <w:noProof/>
          </w:rPr>
          <w:t>Disposition</w:t>
        </w:r>
        <w:r w:rsidR="00D53854">
          <w:rPr>
            <w:noProof/>
            <w:webHidden/>
          </w:rPr>
          <w:tab/>
        </w:r>
        <w:r>
          <w:rPr>
            <w:noProof/>
            <w:webHidden/>
          </w:rPr>
          <w:fldChar w:fldCharType="begin"/>
        </w:r>
        <w:r w:rsidR="00D53854">
          <w:rPr>
            <w:noProof/>
            <w:webHidden/>
          </w:rPr>
          <w:instrText xml:space="preserve"> PAGEREF _Toc263848857 \h </w:instrText>
        </w:r>
        <w:r>
          <w:rPr>
            <w:noProof/>
            <w:webHidden/>
          </w:rPr>
        </w:r>
        <w:r>
          <w:rPr>
            <w:noProof/>
            <w:webHidden/>
          </w:rPr>
          <w:fldChar w:fldCharType="separate"/>
        </w:r>
        <w:r w:rsidR="001A2D70">
          <w:rPr>
            <w:noProof/>
            <w:webHidden/>
          </w:rPr>
          <w:t>25</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58" w:history="1">
        <w:r w:rsidR="00D53854" w:rsidRPr="00AB1B86">
          <w:rPr>
            <w:rStyle w:val="Hyperlink"/>
            <w:noProof/>
          </w:rPr>
          <w:t xml:space="preserve">b.  </w:t>
        </w:r>
        <w:r w:rsidR="00D53854">
          <w:rPr>
            <w:rFonts w:asciiTheme="minorHAnsi" w:eastAsiaTheme="minorEastAsia" w:hAnsiTheme="minorHAnsi" w:cstheme="minorBidi"/>
            <w:noProof/>
            <w:sz w:val="22"/>
            <w:szCs w:val="22"/>
          </w:rPr>
          <w:tab/>
        </w:r>
        <w:r w:rsidR="00D53854" w:rsidRPr="00AB1B86">
          <w:rPr>
            <w:rStyle w:val="Hyperlink"/>
            <w:noProof/>
          </w:rPr>
          <w:t>Cost Rates of Senior Securities</w:t>
        </w:r>
        <w:r w:rsidR="00D53854">
          <w:rPr>
            <w:noProof/>
            <w:webHidden/>
          </w:rPr>
          <w:tab/>
        </w:r>
        <w:r>
          <w:rPr>
            <w:noProof/>
            <w:webHidden/>
          </w:rPr>
          <w:fldChar w:fldCharType="begin"/>
        </w:r>
        <w:r w:rsidR="00D53854">
          <w:rPr>
            <w:noProof/>
            <w:webHidden/>
          </w:rPr>
          <w:instrText xml:space="preserve"> PAGEREF _Toc263848858 \h </w:instrText>
        </w:r>
        <w:r>
          <w:rPr>
            <w:noProof/>
            <w:webHidden/>
          </w:rPr>
        </w:r>
        <w:r>
          <w:rPr>
            <w:noProof/>
            <w:webHidden/>
          </w:rPr>
          <w:fldChar w:fldCharType="separate"/>
        </w:r>
        <w:r w:rsidR="001A2D70">
          <w:rPr>
            <w:noProof/>
            <w:webHidden/>
          </w:rPr>
          <w:t>26</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59" w:history="1">
        <w:r w:rsidR="00D53854" w:rsidRPr="00AB1B86">
          <w:rPr>
            <w:rStyle w:val="Hyperlink"/>
            <w:noProof/>
          </w:rPr>
          <w:t>1.</w:t>
        </w:r>
        <w:r w:rsidR="00D53854">
          <w:rPr>
            <w:rFonts w:asciiTheme="minorHAnsi" w:eastAsiaTheme="minorEastAsia" w:hAnsiTheme="minorHAnsi" w:cstheme="minorBidi"/>
            <w:noProof/>
            <w:sz w:val="22"/>
            <w:szCs w:val="22"/>
          </w:rPr>
          <w:tab/>
        </w:r>
        <w:r w:rsidR="00D53854" w:rsidRPr="00AB1B86">
          <w:rPr>
            <w:rStyle w:val="Hyperlink"/>
            <w:noProof/>
          </w:rPr>
          <w:t>FirstEnergy’s Plan</w:t>
        </w:r>
        <w:r w:rsidR="00D53854">
          <w:rPr>
            <w:noProof/>
            <w:webHidden/>
          </w:rPr>
          <w:tab/>
        </w:r>
        <w:r>
          <w:rPr>
            <w:noProof/>
            <w:webHidden/>
          </w:rPr>
          <w:fldChar w:fldCharType="begin"/>
        </w:r>
        <w:r w:rsidR="00D53854">
          <w:rPr>
            <w:noProof/>
            <w:webHidden/>
          </w:rPr>
          <w:instrText xml:space="preserve"> PAGEREF _Toc263848859 \h </w:instrText>
        </w:r>
        <w:r>
          <w:rPr>
            <w:noProof/>
            <w:webHidden/>
          </w:rPr>
        </w:r>
        <w:r>
          <w:rPr>
            <w:noProof/>
            <w:webHidden/>
          </w:rPr>
          <w:fldChar w:fldCharType="separate"/>
        </w:r>
        <w:r w:rsidR="001A2D70">
          <w:rPr>
            <w:noProof/>
            <w:webHidden/>
          </w:rPr>
          <w:t>26</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60" w:history="1">
        <w:r w:rsidR="00D53854" w:rsidRPr="00AB1B86">
          <w:rPr>
            <w:rStyle w:val="Hyperlink"/>
            <w:noProof/>
          </w:rPr>
          <w:t>2.</w:t>
        </w:r>
        <w:r w:rsidR="00D53854">
          <w:rPr>
            <w:rFonts w:asciiTheme="minorHAnsi" w:eastAsiaTheme="minorEastAsia" w:hAnsiTheme="minorHAnsi" w:cstheme="minorBidi"/>
            <w:noProof/>
            <w:sz w:val="22"/>
            <w:szCs w:val="22"/>
          </w:rPr>
          <w:tab/>
        </w:r>
        <w:r w:rsidR="00D53854" w:rsidRPr="00AB1B86">
          <w:rPr>
            <w:rStyle w:val="Hyperlink"/>
            <w:noProof/>
          </w:rPr>
          <w:t>ALJ’s Recommendation</w:t>
        </w:r>
        <w:r w:rsidR="00D53854">
          <w:rPr>
            <w:noProof/>
            <w:webHidden/>
          </w:rPr>
          <w:tab/>
        </w:r>
        <w:r>
          <w:rPr>
            <w:noProof/>
            <w:webHidden/>
          </w:rPr>
          <w:fldChar w:fldCharType="begin"/>
        </w:r>
        <w:r w:rsidR="00D53854">
          <w:rPr>
            <w:noProof/>
            <w:webHidden/>
          </w:rPr>
          <w:instrText xml:space="preserve"> PAGEREF _Toc263848860 \h </w:instrText>
        </w:r>
        <w:r>
          <w:rPr>
            <w:noProof/>
            <w:webHidden/>
          </w:rPr>
        </w:r>
        <w:r>
          <w:rPr>
            <w:noProof/>
            <w:webHidden/>
          </w:rPr>
          <w:fldChar w:fldCharType="separate"/>
        </w:r>
        <w:r w:rsidR="001A2D70">
          <w:rPr>
            <w:noProof/>
            <w:webHidden/>
          </w:rPr>
          <w:t>26</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61" w:history="1">
        <w:r w:rsidR="00D53854" w:rsidRPr="00AB1B86">
          <w:rPr>
            <w:rStyle w:val="Hyperlink"/>
            <w:noProof/>
          </w:rPr>
          <w:t>3.</w:t>
        </w:r>
        <w:r w:rsidR="00D53854">
          <w:rPr>
            <w:rFonts w:asciiTheme="minorHAnsi" w:eastAsiaTheme="minorEastAsia" w:hAnsiTheme="minorHAnsi" w:cstheme="minorBidi"/>
            <w:noProof/>
            <w:sz w:val="22"/>
            <w:szCs w:val="22"/>
          </w:rPr>
          <w:tab/>
        </w:r>
        <w:r w:rsidR="00D53854" w:rsidRPr="00AB1B86">
          <w:rPr>
            <w:rStyle w:val="Hyperlink"/>
            <w:noProof/>
          </w:rPr>
          <w:t>Positions of the Parties</w:t>
        </w:r>
        <w:r w:rsidR="00D53854">
          <w:rPr>
            <w:noProof/>
            <w:webHidden/>
          </w:rPr>
          <w:tab/>
        </w:r>
        <w:r>
          <w:rPr>
            <w:noProof/>
            <w:webHidden/>
          </w:rPr>
          <w:fldChar w:fldCharType="begin"/>
        </w:r>
        <w:r w:rsidR="00D53854">
          <w:rPr>
            <w:noProof/>
            <w:webHidden/>
          </w:rPr>
          <w:instrText xml:space="preserve"> PAGEREF _Toc263848861 \h </w:instrText>
        </w:r>
        <w:r>
          <w:rPr>
            <w:noProof/>
            <w:webHidden/>
          </w:rPr>
        </w:r>
        <w:r>
          <w:rPr>
            <w:noProof/>
            <w:webHidden/>
          </w:rPr>
          <w:fldChar w:fldCharType="separate"/>
        </w:r>
        <w:r w:rsidR="001A2D70">
          <w:rPr>
            <w:noProof/>
            <w:webHidden/>
          </w:rPr>
          <w:t>27</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62" w:history="1">
        <w:r w:rsidR="00D53854" w:rsidRPr="00AB1B86">
          <w:rPr>
            <w:rStyle w:val="Hyperlink"/>
            <w:noProof/>
          </w:rPr>
          <w:t>4.</w:t>
        </w:r>
        <w:r w:rsidR="00D53854">
          <w:rPr>
            <w:rFonts w:asciiTheme="minorHAnsi" w:eastAsiaTheme="minorEastAsia" w:hAnsiTheme="minorHAnsi" w:cstheme="minorBidi"/>
            <w:noProof/>
            <w:sz w:val="22"/>
            <w:szCs w:val="22"/>
          </w:rPr>
          <w:tab/>
        </w:r>
        <w:r w:rsidR="00D53854" w:rsidRPr="00AB1B86">
          <w:rPr>
            <w:rStyle w:val="Hyperlink"/>
            <w:noProof/>
          </w:rPr>
          <w:t>Disposition</w:t>
        </w:r>
        <w:r w:rsidR="00D53854">
          <w:rPr>
            <w:noProof/>
            <w:webHidden/>
          </w:rPr>
          <w:tab/>
        </w:r>
        <w:r>
          <w:rPr>
            <w:noProof/>
            <w:webHidden/>
          </w:rPr>
          <w:fldChar w:fldCharType="begin"/>
        </w:r>
        <w:r w:rsidR="00D53854">
          <w:rPr>
            <w:noProof/>
            <w:webHidden/>
          </w:rPr>
          <w:instrText xml:space="preserve"> PAGEREF _Toc263848862 \h </w:instrText>
        </w:r>
        <w:r>
          <w:rPr>
            <w:noProof/>
            <w:webHidden/>
          </w:rPr>
        </w:r>
        <w:r>
          <w:rPr>
            <w:noProof/>
            <w:webHidden/>
          </w:rPr>
          <w:fldChar w:fldCharType="separate"/>
        </w:r>
        <w:r w:rsidR="001A2D70">
          <w:rPr>
            <w:noProof/>
            <w:webHidden/>
          </w:rPr>
          <w:t>27</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63" w:history="1">
        <w:r w:rsidR="00D53854" w:rsidRPr="00AB1B86">
          <w:rPr>
            <w:rStyle w:val="Hyperlink"/>
            <w:noProof/>
          </w:rPr>
          <w:t>c.</w:t>
        </w:r>
        <w:r w:rsidR="00D53854">
          <w:rPr>
            <w:rFonts w:asciiTheme="minorHAnsi" w:eastAsiaTheme="minorEastAsia" w:hAnsiTheme="minorHAnsi" w:cstheme="minorBidi"/>
            <w:noProof/>
            <w:sz w:val="22"/>
            <w:szCs w:val="22"/>
          </w:rPr>
          <w:tab/>
        </w:r>
        <w:r w:rsidR="00D53854" w:rsidRPr="00AB1B86">
          <w:rPr>
            <w:rStyle w:val="Hyperlink"/>
            <w:noProof/>
          </w:rPr>
          <w:t>Common Equity Cost Rate</w:t>
        </w:r>
        <w:r w:rsidR="00D53854">
          <w:rPr>
            <w:noProof/>
            <w:webHidden/>
          </w:rPr>
          <w:tab/>
        </w:r>
        <w:r>
          <w:rPr>
            <w:noProof/>
            <w:webHidden/>
          </w:rPr>
          <w:fldChar w:fldCharType="begin"/>
        </w:r>
        <w:r w:rsidR="00D53854">
          <w:rPr>
            <w:noProof/>
            <w:webHidden/>
          </w:rPr>
          <w:instrText xml:space="preserve"> PAGEREF _Toc263848863 \h </w:instrText>
        </w:r>
        <w:r>
          <w:rPr>
            <w:noProof/>
            <w:webHidden/>
          </w:rPr>
        </w:r>
        <w:r>
          <w:rPr>
            <w:noProof/>
            <w:webHidden/>
          </w:rPr>
          <w:fldChar w:fldCharType="separate"/>
        </w:r>
        <w:r w:rsidR="001A2D70">
          <w:rPr>
            <w:noProof/>
            <w:webHidden/>
          </w:rPr>
          <w:t>28</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64" w:history="1">
        <w:r w:rsidR="00D53854" w:rsidRPr="00AB1B86">
          <w:rPr>
            <w:rStyle w:val="Hyperlink"/>
            <w:noProof/>
          </w:rPr>
          <w:t>1.</w:t>
        </w:r>
        <w:r w:rsidR="00D53854">
          <w:rPr>
            <w:rFonts w:asciiTheme="minorHAnsi" w:eastAsiaTheme="minorEastAsia" w:hAnsiTheme="minorHAnsi" w:cstheme="minorBidi"/>
            <w:noProof/>
            <w:sz w:val="22"/>
            <w:szCs w:val="22"/>
          </w:rPr>
          <w:tab/>
        </w:r>
        <w:r w:rsidR="00D53854" w:rsidRPr="00AB1B86">
          <w:rPr>
            <w:rStyle w:val="Hyperlink"/>
            <w:noProof/>
          </w:rPr>
          <w:t>FirstEnergy’s Plan</w:t>
        </w:r>
        <w:r w:rsidR="00D53854">
          <w:rPr>
            <w:noProof/>
            <w:webHidden/>
          </w:rPr>
          <w:tab/>
        </w:r>
        <w:r>
          <w:rPr>
            <w:noProof/>
            <w:webHidden/>
          </w:rPr>
          <w:fldChar w:fldCharType="begin"/>
        </w:r>
        <w:r w:rsidR="00D53854">
          <w:rPr>
            <w:noProof/>
            <w:webHidden/>
          </w:rPr>
          <w:instrText xml:space="preserve"> PAGEREF _Toc263848864 \h </w:instrText>
        </w:r>
        <w:r>
          <w:rPr>
            <w:noProof/>
            <w:webHidden/>
          </w:rPr>
        </w:r>
        <w:r>
          <w:rPr>
            <w:noProof/>
            <w:webHidden/>
          </w:rPr>
          <w:fldChar w:fldCharType="separate"/>
        </w:r>
        <w:r w:rsidR="001A2D70">
          <w:rPr>
            <w:noProof/>
            <w:webHidden/>
          </w:rPr>
          <w:t>28</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65" w:history="1">
        <w:r w:rsidR="00D53854" w:rsidRPr="00AB1B86">
          <w:rPr>
            <w:rStyle w:val="Hyperlink"/>
            <w:noProof/>
          </w:rPr>
          <w:t>2.</w:t>
        </w:r>
        <w:r w:rsidR="00D53854">
          <w:rPr>
            <w:rFonts w:asciiTheme="minorHAnsi" w:eastAsiaTheme="minorEastAsia" w:hAnsiTheme="minorHAnsi" w:cstheme="minorBidi"/>
            <w:noProof/>
            <w:sz w:val="22"/>
            <w:szCs w:val="22"/>
          </w:rPr>
          <w:tab/>
        </w:r>
        <w:r w:rsidR="00D53854" w:rsidRPr="00AB1B86">
          <w:rPr>
            <w:rStyle w:val="Hyperlink"/>
            <w:noProof/>
          </w:rPr>
          <w:t>ALJ’s Recommendation</w:t>
        </w:r>
        <w:r w:rsidR="00D53854">
          <w:rPr>
            <w:noProof/>
            <w:webHidden/>
          </w:rPr>
          <w:tab/>
        </w:r>
        <w:r>
          <w:rPr>
            <w:noProof/>
            <w:webHidden/>
          </w:rPr>
          <w:fldChar w:fldCharType="begin"/>
        </w:r>
        <w:r w:rsidR="00D53854">
          <w:rPr>
            <w:noProof/>
            <w:webHidden/>
          </w:rPr>
          <w:instrText xml:space="preserve"> PAGEREF _Toc263848865 \h </w:instrText>
        </w:r>
        <w:r>
          <w:rPr>
            <w:noProof/>
            <w:webHidden/>
          </w:rPr>
        </w:r>
        <w:r>
          <w:rPr>
            <w:noProof/>
            <w:webHidden/>
          </w:rPr>
          <w:fldChar w:fldCharType="separate"/>
        </w:r>
        <w:r w:rsidR="001A2D70">
          <w:rPr>
            <w:noProof/>
            <w:webHidden/>
          </w:rPr>
          <w:t>28</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66" w:history="1">
        <w:r w:rsidR="00D53854" w:rsidRPr="00AB1B86">
          <w:rPr>
            <w:rStyle w:val="Hyperlink"/>
            <w:noProof/>
          </w:rPr>
          <w:t>3.</w:t>
        </w:r>
        <w:r w:rsidR="00D53854">
          <w:rPr>
            <w:rFonts w:asciiTheme="minorHAnsi" w:eastAsiaTheme="minorEastAsia" w:hAnsiTheme="minorHAnsi" w:cstheme="minorBidi"/>
            <w:noProof/>
            <w:sz w:val="22"/>
            <w:szCs w:val="22"/>
          </w:rPr>
          <w:tab/>
        </w:r>
        <w:r w:rsidR="00D53854" w:rsidRPr="00AB1B86">
          <w:rPr>
            <w:rStyle w:val="Hyperlink"/>
            <w:noProof/>
          </w:rPr>
          <w:t>Positions of the Parties</w:t>
        </w:r>
        <w:r w:rsidR="00D53854">
          <w:rPr>
            <w:noProof/>
            <w:webHidden/>
          </w:rPr>
          <w:tab/>
        </w:r>
        <w:r>
          <w:rPr>
            <w:noProof/>
            <w:webHidden/>
          </w:rPr>
          <w:fldChar w:fldCharType="begin"/>
        </w:r>
        <w:r w:rsidR="00D53854">
          <w:rPr>
            <w:noProof/>
            <w:webHidden/>
          </w:rPr>
          <w:instrText xml:space="preserve"> PAGEREF _Toc263848866 \h </w:instrText>
        </w:r>
        <w:r>
          <w:rPr>
            <w:noProof/>
            <w:webHidden/>
          </w:rPr>
        </w:r>
        <w:r>
          <w:rPr>
            <w:noProof/>
            <w:webHidden/>
          </w:rPr>
          <w:fldChar w:fldCharType="separate"/>
        </w:r>
        <w:r w:rsidR="001A2D70">
          <w:rPr>
            <w:noProof/>
            <w:webHidden/>
          </w:rPr>
          <w:t>29</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67" w:history="1">
        <w:r w:rsidR="00D53854" w:rsidRPr="00AB1B86">
          <w:rPr>
            <w:rStyle w:val="Hyperlink"/>
            <w:noProof/>
          </w:rPr>
          <w:t>4.</w:t>
        </w:r>
        <w:r w:rsidR="00D53854">
          <w:rPr>
            <w:rFonts w:asciiTheme="minorHAnsi" w:eastAsiaTheme="minorEastAsia" w:hAnsiTheme="minorHAnsi" w:cstheme="minorBidi"/>
            <w:noProof/>
            <w:sz w:val="22"/>
            <w:szCs w:val="22"/>
          </w:rPr>
          <w:tab/>
        </w:r>
        <w:r w:rsidR="00D53854" w:rsidRPr="00AB1B86">
          <w:rPr>
            <w:rStyle w:val="Hyperlink"/>
            <w:noProof/>
          </w:rPr>
          <w:t>Disposition</w:t>
        </w:r>
        <w:r w:rsidR="00D53854">
          <w:rPr>
            <w:noProof/>
            <w:webHidden/>
          </w:rPr>
          <w:tab/>
        </w:r>
        <w:r>
          <w:rPr>
            <w:noProof/>
            <w:webHidden/>
          </w:rPr>
          <w:fldChar w:fldCharType="begin"/>
        </w:r>
        <w:r w:rsidR="00D53854">
          <w:rPr>
            <w:noProof/>
            <w:webHidden/>
          </w:rPr>
          <w:instrText xml:space="preserve"> PAGEREF _Toc263848867 \h </w:instrText>
        </w:r>
        <w:r>
          <w:rPr>
            <w:noProof/>
            <w:webHidden/>
          </w:rPr>
        </w:r>
        <w:r>
          <w:rPr>
            <w:noProof/>
            <w:webHidden/>
          </w:rPr>
          <w:fldChar w:fldCharType="separate"/>
        </w:r>
        <w:r w:rsidR="001A2D70">
          <w:rPr>
            <w:noProof/>
            <w:webHidden/>
          </w:rPr>
          <w:t>30</w:t>
        </w:r>
        <w:r>
          <w:rPr>
            <w:noProof/>
            <w:webHidden/>
          </w:rPr>
          <w:fldChar w:fldCharType="end"/>
        </w:r>
      </w:hyperlink>
    </w:p>
    <w:p w:rsidR="00D53854" w:rsidRDefault="005C5411">
      <w:pPr>
        <w:pStyle w:val="TOC3"/>
        <w:rPr>
          <w:rFonts w:asciiTheme="minorHAnsi" w:eastAsiaTheme="minorEastAsia" w:hAnsiTheme="minorHAnsi" w:cstheme="minorBidi"/>
          <w:noProof/>
          <w:sz w:val="22"/>
          <w:szCs w:val="22"/>
        </w:rPr>
      </w:pPr>
      <w:hyperlink w:anchor="_Toc263848868" w:history="1">
        <w:r w:rsidR="00D53854" w:rsidRPr="00AB1B86">
          <w:rPr>
            <w:rStyle w:val="Hyperlink"/>
            <w:noProof/>
          </w:rPr>
          <w:t>2.</w:t>
        </w:r>
        <w:r w:rsidR="00D53854">
          <w:rPr>
            <w:rFonts w:asciiTheme="minorHAnsi" w:eastAsiaTheme="minorEastAsia" w:hAnsiTheme="minorHAnsi" w:cstheme="minorBidi"/>
            <w:noProof/>
            <w:sz w:val="22"/>
            <w:szCs w:val="22"/>
          </w:rPr>
          <w:tab/>
        </w:r>
        <w:r w:rsidR="00D53854" w:rsidRPr="00AB1B86">
          <w:rPr>
            <w:rStyle w:val="Hyperlink"/>
            <w:noProof/>
          </w:rPr>
          <w:t>SMT-C Filing and Reconciliation Dates and Adjustment Periods</w:t>
        </w:r>
        <w:r w:rsidR="00D53854">
          <w:rPr>
            <w:noProof/>
            <w:webHidden/>
          </w:rPr>
          <w:tab/>
        </w:r>
        <w:r>
          <w:rPr>
            <w:noProof/>
            <w:webHidden/>
          </w:rPr>
          <w:fldChar w:fldCharType="begin"/>
        </w:r>
        <w:r w:rsidR="00D53854">
          <w:rPr>
            <w:noProof/>
            <w:webHidden/>
          </w:rPr>
          <w:instrText xml:space="preserve"> PAGEREF _Toc263848868 \h </w:instrText>
        </w:r>
        <w:r>
          <w:rPr>
            <w:noProof/>
            <w:webHidden/>
          </w:rPr>
        </w:r>
        <w:r>
          <w:rPr>
            <w:noProof/>
            <w:webHidden/>
          </w:rPr>
          <w:fldChar w:fldCharType="separate"/>
        </w:r>
        <w:r w:rsidR="001A2D70">
          <w:rPr>
            <w:noProof/>
            <w:webHidden/>
          </w:rPr>
          <w:t>31</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69" w:history="1">
        <w:r w:rsidR="00D53854" w:rsidRPr="00AB1B86">
          <w:rPr>
            <w:rStyle w:val="Hyperlink"/>
            <w:noProof/>
          </w:rPr>
          <w:t>a.</w:t>
        </w:r>
        <w:r w:rsidR="00D53854">
          <w:rPr>
            <w:rFonts w:asciiTheme="minorHAnsi" w:eastAsiaTheme="minorEastAsia" w:hAnsiTheme="minorHAnsi" w:cstheme="minorBidi"/>
            <w:noProof/>
            <w:sz w:val="22"/>
            <w:szCs w:val="22"/>
          </w:rPr>
          <w:tab/>
        </w:r>
        <w:r w:rsidR="00D53854" w:rsidRPr="00AB1B86">
          <w:rPr>
            <w:rStyle w:val="Hyperlink"/>
            <w:noProof/>
          </w:rPr>
          <w:t>FirstEnergy’s Plan</w:t>
        </w:r>
        <w:r w:rsidR="00D53854">
          <w:rPr>
            <w:noProof/>
            <w:webHidden/>
          </w:rPr>
          <w:tab/>
        </w:r>
        <w:r>
          <w:rPr>
            <w:noProof/>
            <w:webHidden/>
          </w:rPr>
          <w:fldChar w:fldCharType="begin"/>
        </w:r>
        <w:r w:rsidR="00D53854">
          <w:rPr>
            <w:noProof/>
            <w:webHidden/>
          </w:rPr>
          <w:instrText xml:space="preserve"> PAGEREF _Toc263848869 \h </w:instrText>
        </w:r>
        <w:r>
          <w:rPr>
            <w:noProof/>
            <w:webHidden/>
          </w:rPr>
        </w:r>
        <w:r>
          <w:rPr>
            <w:noProof/>
            <w:webHidden/>
          </w:rPr>
          <w:fldChar w:fldCharType="separate"/>
        </w:r>
        <w:r w:rsidR="001A2D70">
          <w:rPr>
            <w:noProof/>
            <w:webHidden/>
          </w:rPr>
          <w:t>31</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70" w:history="1">
        <w:r w:rsidR="00D53854" w:rsidRPr="00AB1B86">
          <w:rPr>
            <w:rStyle w:val="Hyperlink"/>
            <w:noProof/>
          </w:rPr>
          <w:t>b.</w:t>
        </w:r>
        <w:r w:rsidR="00D53854">
          <w:rPr>
            <w:rFonts w:asciiTheme="minorHAnsi" w:eastAsiaTheme="minorEastAsia" w:hAnsiTheme="minorHAnsi" w:cstheme="minorBidi"/>
            <w:noProof/>
            <w:sz w:val="22"/>
            <w:szCs w:val="22"/>
          </w:rPr>
          <w:tab/>
        </w:r>
        <w:r w:rsidR="00D53854" w:rsidRPr="00AB1B86">
          <w:rPr>
            <w:rStyle w:val="Hyperlink"/>
            <w:noProof/>
          </w:rPr>
          <w:t>ALJ’s Recommendation</w:t>
        </w:r>
        <w:r w:rsidR="00D53854">
          <w:rPr>
            <w:noProof/>
            <w:webHidden/>
          </w:rPr>
          <w:tab/>
        </w:r>
        <w:r>
          <w:rPr>
            <w:noProof/>
            <w:webHidden/>
          </w:rPr>
          <w:fldChar w:fldCharType="begin"/>
        </w:r>
        <w:r w:rsidR="00D53854">
          <w:rPr>
            <w:noProof/>
            <w:webHidden/>
          </w:rPr>
          <w:instrText xml:space="preserve"> PAGEREF _Toc263848870 \h </w:instrText>
        </w:r>
        <w:r>
          <w:rPr>
            <w:noProof/>
            <w:webHidden/>
          </w:rPr>
        </w:r>
        <w:r>
          <w:rPr>
            <w:noProof/>
            <w:webHidden/>
          </w:rPr>
          <w:fldChar w:fldCharType="separate"/>
        </w:r>
        <w:r w:rsidR="001A2D70">
          <w:rPr>
            <w:noProof/>
            <w:webHidden/>
          </w:rPr>
          <w:t>32</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71" w:history="1">
        <w:r w:rsidR="00D53854" w:rsidRPr="00AB1B86">
          <w:rPr>
            <w:rStyle w:val="Hyperlink"/>
            <w:noProof/>
          </w:rPr>
          <w:t>c.</w:t>
        </w:r>
        <w:r w:rsidR="00D53854">
          <w:rPr>
            <w:rFonts w:asciiTheme="minorHAnsi" w:eastAsiaTheme="minorEastAsia" w:hAnsiTheme="minorHAnsi" w:cstheme="minorBidi"/>
            <w:noProof/>
            <w:sz w:val="22"/>
            <w:szCs w:val="22"/>
          </w:rPr>
          <w:tab/>
        </w:r>
        <w:r w:rsidR="00D53854" w:rsidRPr="00AB1B86">
          <w:rPr>
            <w:rStyle w:val="Hyperlink"/>
            <w:noProof/>
          </w:rPr>
          <w:t>Positions of the Parties</w:t>
        </w:r>
        <w:r w:rsidR="00D53854">
          <w:rPr>
            <w:noProof/>
            <w:webHidden/>
          </w:rPr>
          <w:tab/>
        </w:r>
        <w:r>
          <w:rPr>
            <w:noProof/>
            <w:webHidden/>
          </w:rPr>
          <w:fldChar w:fldCharType="begin"/>
        </w:r>
        <w:r w:rsidR="00D53854">
          <w:rPr>
            <w:noProof/>
            <w:webHidden/>
          </w:rPr>
          <w:instrText xml:space="preserve"> PAGEREF _Toc263848871 \h </w:instrText>
        </w:r>
        <w:r>
          <w:rPr>
            <w:noProof/>
            <w:webHidden/>
          </w:rPr>
        </w:r>
        <w:r>
          <w:rPr>
            <w:noProof/>
            <w:webHidden/>
          </w:rPr>
          <w:fldChar w:fldCharType="separate"/>
        </w:r>
        <w:r w:rsidR="001A2D70">
          <w:rPr>
            <w:noProof/>
            <w:webHidden/>
          </w:rPr>
          <w:t>32</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72" w:history="1">
        <w:r w:rsidR="00D53854" w:rsidRPr="00AB1B86">
          <w:rPr>
            <w:rStyle w:val="Hyperlink"/>
            <w:noProof/>
          </w:rPr>
          <w:t>d.</w:t>
        </w:r>
        <w:r w:rsidR="00D53854">
          <w:rPr>
            <w:rFonts w:asciiTheme="minorHAnsi" w:eastAsiaTheme="minorEastAsia" w:hAnsiTheme="minorHAnsi" w:cstheme="minorBidi"/>
            <w:noProof/>
            <w:sz w:val="22"/>
            <w:szCs w:val="22"/>
          </w:rPr>
          <w:tab/>
        </w:r>
        <w:r w:rsidR="00D53854" w:rsidRPr="00AB1B86">
          <w:rPr>
            <w:rStyle w:val="Hyperlink"/>
            <w:noProof/>
          </w:rPr>
          <w:t>Disposition</w:t>
        </w:r>
        <w:r w:rsidR="00D53854">
          <w:rPr>
            <w:noProof/>
            <w:webHidden/>
          </w:rPr>
          <w:tab/>
        </w:r>
        <w:r>
          <w:rPr>
            <w:noProof/>
            <w:webHidden/>
          </w:rPr>
          <w:fldChar w:fldCharType="begin"/>
        </w:r>
        <w:r w:rsidR="00D53854">
          <w:rPr>
            <w:noProof/>
            <w:webHidden/>
          </w:rPr>
          <w:instrText xml:space="preserve"> PAGEREF _Toc263848872 \h </w:instrText>
        </w:r>
        <w:r>
          <w:rPr>
            <w:noProof/>
            <w:webHidden/>
          </w:rPr>
        </w:r>
        <w:r>
          <w:rPr>
            <w:noProof/>
            <w:webHidden/>
          </w:rPr>
          <w:fldChar w:fldCharType="separate"/>
        </w:r>
        <w:r w:rsidR="001A2D70">
          <w:rPr>
            <w:noProof/>
            <w:webHidden/>
          </w:rPr>
          <w:t>34</w:t>
        </w:r>
        <w:r>
          <w:rPr>
            <w:noProof/>
            <w:webHidden/>
          </w:rPr>
          <w:fldChar w:fldCharType="end"/>
        </w:r>
      </w:hyperlink>
    </w:p>
    <w:p w:rsidR="00D53854" w:rsidRDefault="005C5411">
      <w:pPr>
        <w:pStyle w:val="TOC3"/>
        <w:rPr>
          <w:rFonts w:asciiTheme="minorHAnsi" w:eastAsiaTheme="minorEastAsia" w:hAnsiTheme="minorHAnsi" w:cstheme="minorBidi"/>
          <w:noProof/>
          <w:sz w:val="22"/>
          <w:szCs w:val="22"/>
        </w:rPr>
      </w:pPr>
      <w:hyperlink w:anchor="_Toc263848873" w:history="1">
        <w:r w:rsidR="00D53854" w:rsidRPr="00AB1B86">
          <w:rPr>
            <w:rStyle w:val="Hyperlink"/>
            <w:noProof/>
          </w:rPr>
          <w:t>3.</w:t>
        </w:r>
        <w:r w:rsidR="00D53854">
          <w:rPr>
            <w:rFonts w:asciiTheme="minorHAnsi" w:eastAsiaTheme="minorEastAsia" w:hAnsiTheme="minorHAnsi" w:cstheme="minorBidi"/>
            <w:noProof/>
            <w:sz w:val="22"/>
            <w:szCs w:val="22"/>
          </w:rPr>
          <w:tab/>
        </w:r>
        <w:r w:rsidR="00D53854" w:rsidRPr="00AB1B86">
          <w:rPr>
            <w:rStyle w:val="Hyperlink"/>
            <w:noProof/>
          </w:rPr>
          <w:t>Interest on Over- and Under-Collections</w:t>
        </w:r>
        <w:r w:rsidR="00D53854">
          <w:rPr>
            <w:noProof/>
            <w:webHidden/>
          </w:rPr>
          <w:tab/>
        </w:r>
        <w:r>
          <w:rPr>
            <w:noProof/>
            <w:webHidden/>
          </w:rPr>
          <w:fldChar w:fldCharType="begin"/>
        </w:r>
        <w:r w:rsidR="00D53854">
          <w:rPr>
            <w:noProof/>
            <w:webHidden/>
          </w:rPr>
          <w:instrText xml:space="preserve"> PAGEREF _Toc263848873 \h </w:instrText>
        </w:r>
        <w:r>
          <w:rPr>
            <w:noProof/>
            <w:webHidden/>
          </w:rPr>
        </w:r>
        <w:r>
          <w:rPr>
            <w:noProof/>
            <w:webHidden/>
          </w:rPr>
          <w:fldChar w:fldCharType="separate"/>
        </w:r>
        <w:r w:rsidR="001A2D70">
          <w:rPr>
            <w:noProof/>
            <w:webHidden/>
          </w:rPr>
          <w:t>35</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74" w:history="1">
        <w:r w:rsidR="00D53854" w:rsidRPr="00AB1B86">
          <w:rPr>
            <w:rStyle w:val="Hyperlink"/>
            <w:noProof/>
          </w:rPr>
          <w:t>a.</w:t>
        </w:r>
        <w:r w:rsidR="00D53854">
          <w:rPr>
            <w:rFonts w:asciiTheme="minorHAnsi" w:eastAsiaTheme="minorEastAsia" w:hAnsiTheme="minorHAnsi" w:cstheme="minorBidi"/>
            <w:noProof/>
            <w:sz w:val="22"/>
            <w:szCs w:val="22"/>
          </w:rPr>
          <w:tab/>
        </w:r>
        <w:r w:rsidR="00D53854" w:rsidRPr="00AB1B86">
          <w:rPr>
            <w:rStyle w:val="Hyperlink"/>
            <w:noProof/>
          </w:rPr>
          <w:t>FirstEnergy’s Plan</w:t>
        </w:r>
        <w:r w:rsidR="00D53854">
          <w:rPr>
            <w:noProof/>
            <w:webHidden/>
          </w:rPr>
          <w:tab/>
        </w:r>
        <w:r>
          <w:rPr>
            <w:noProof/>
            <w:webHidden/>
          </w:rPr>
          <w:fldChar w:fldCharType="begin"/>
        </w:r>
        <w:r w:rsidR="00D53854">
          <w:rPr>
            <w:noProof/>
            <w:webHidden/>
          </w:rPr>
          <w:instrText xml:space="preserve"> PAGEREF _Toc263848874 \h </w:instrText>
        </w:r>
        <w:r>
          <w:rPr>
            <w:noProof/>
            <w:webHidden/>
          </w:rPr>
        </w:r>
        <w:r>
          <w:rPr>
            <w:noProof/>
            <w:webHidden/>
          </w:rPr>
          <w:fldChar w:fldCharType="separate"/>
        </w:r>
        <w:r w:rsidR="001A2D70">
          <w:rPr>
            <w:noProof/>
            <w:webHidden/>
          </w:rPr>
          <w:t>35</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75" w:history="1">
        <w:r w:rsidR="00D53854" w:rsidRPr="00AB1B86">
          <w:rPr>
            <w:rStyle w:val="Hyperlink"/>
            <w:noProof/>
          </w:rPr>
          <w:t>b.</w:t>
        </w:r>
        <w:r w:rsidR="00D53854">
          <w:rPr>
            <w:rFonts w:asciiTheme="minorHAnsi" w:eastAsiaTheme="minorEastAsia" w:hAnsiTheme="minorHAnsi" w:cstheme="minorBidi"/>
            <w:noProof/>
            <w:sz w:val="22"/>
            <w:szCs w:val="22"/>
          </w:rPr>
          <w:tab/>
        </w:r>
        <w:r w:rsidR="00D53854" w:rsidRPr="00AB1B86">
          <w:rPr>
            <w:rStyle w:val="Hyperlink"/>
            <w:noProof/>
          </w:rPr>
          <w:t>ALJ’s Recommendation</w:t>
        </w:r>
        <w:r w:rsidR="00D53854">
          <w:rPr>
            <w:noProof/>
            <w:webHidden/>
          </w:rPr>
          <w:tab/>
        </w:r>
        <w:r>
          <w:rPr>
            <w:noProof/>
            <w:webHidden/>
          </w:rPr>
          <w:fldChar w:fldCharType="begin"/>
        </w:r>
        <w:r w:rsidR="00D53854">
          <w:rPr>
            <w:noProof/>
            <w:webHidden/>
          </w:rPr>
          <w:instrText xml:space="preserve"> PAGEREF _Toc263848875 \h </w:instrText>
        </w:r>
        <w:r>
          <w:rPr>
            <w:noProof/>
            <w:webHidden/>
          </w:rPr>
        </w:r>
        <w:r>
          <w:rPr>
            <w:noProof/>
            <w:webHidden/>
          </w:rPr>
          <w:fldChar w:fldCharType="separate"/>
        </w:r>
        <w:r w:rsidR="001A2D70">
          <w:rPr>
            <w:noProof/>
            <w:webHidden/>
          </w:rPr>
          <w:t>35</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76" w:history="1">
        <w:r w:rsidR="00D53854" w:rsidRPr="00AB1B86">
          <w:rPr>
            <w:rStyle w:val="Hyperlink"/>
            <w:noProof/>
          </w:rPr>
          <w:t>c.</w:t>
        </w:r>
        <w:r w:rsidR="00D53854">
          <w:rPr>
            <w:rFonts w:asciiTheme="minorHAnsi" w:eastAsiaTheme="minorEastAsia" w:hAnsiTheme="minorHAnsi" w:cstheme="minorBidi"/>
            <w:noProof/>
            <w:sz w:val="22"/>
            <w:szCs w:val="22"/>
          </w:rPr>
          <w:tab/>
        </w:r>
        <w:r w:rsidR="00D53854" w:rsidRPr="00AB1B86">
          <w:rPr>
            <w:rStyle w:val="Hyperlink"/>
            <w:noProof/>
          </w:rPr>
          <w:t>Positions of the Parties</w:t>
        </w:r>
        <w:r w:rsidR="00D53854">
          <w:rPr>
            <w:noProof/>
            <w:webHidden/>
          </w:rPr>
          <w:tab/>
        </w:r>
        <w:r>
          <w:rPr>
            <w:noProof/>
            <w:webHidden/>
          </w:rPr>
          <w:fldChar w:fldCharType="begin"/>
        </w:r>
        <w:r w:rsidR="00D53854">
          <w:rPr>
            <w:noProof/>
            <w:webHidden/>
          </w:rPr>
          <w:instrText xml:space="preserve"> PAGEREF _Toc263848876 \h </w:instrText>
        </w:r>
        <w:r>
          <w:rPr>
            <w:noProof/>
            <w:webHidden/>
          </w:rPr>
        </w:r>
        <w:r>
          <w:rPr>
            <w:noProof/>
            <w:webHidden/>
          </w:rPr>
          <w:fldChar w:fldCharType="separate"/>
        </w:r>
        <w:r w:rsidR="001A2D70">
          <w:rPr>
            <w:noProof/>
            <w:webHidden/>
          </w:rPr>
          <w:t>36</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77" w:history="1">
        <w:r w:rsidR="00D53854" w:rsidRPr="00AB1B86">
          <w:rPr>
            <w:rStyle w:val="Hyperlink"/>
            <w:noProof/>
          </w:rPr>
          <w:t>d.</w:t>
        </w:r>
        <w:r w:rsidR="00D53854">
          <w:rPr>
            <w:rFonts w:asciiTheme="minorHAnsi" w:eastAsiaTheme="minorEastAsia" w:hAnsiTheme="minorHAnsi" w:cstheme="minorBidi"/>
            <w:noProof/>
            <w:sz w:val="22"/>
            <w:szCs w:val="22"/>
          </w:rPr>
          <w:tab/>
        </w:r>
        <w:r w:rsidR="00D53854" w:rsidRPr="00AB1B86">
          <w:rPr>
            <w:rStyle w:val="Hyperlink"/>
            <w:noProof/>
          </w:rPr>
          <w:t>Disposition</w:t>
        </w:r>
        <w:r w:rsidR="00D53854">
          <w:rPr>
            <w:noProof/>
            <w:webHidden/>
          </w:rPr>
          <w:tab/>
        </w:r>
        <w:r>
          <w:rPr>
            <w:noProof/>
            <w:webHidden/>
          </w:rPr>
          <w:fldChar w:fldCharType="begin"/>
        </w:r>
        <w:r w:rsidR="00D53854">
          <w:rPr>
            <w:noProof/>
            <w:webHidden/>
          </w:rPr>
          <w:instrText xml:space="preserve"> PAGEREF _Toc263848877 \h </w:instrText>
        </w:r>
        <w:r>
          <w:rPr>
            <w:noProof/>
            <w:webHidden/>
          </w:rPr>
        </w:r>
        <w:r>
          <w:rPr>
            <w:noProof/>
            <w:webHidden/>
          </w:rPr>
          <w:fldChar w:fldCharType="separate"/>
        </w:r>
        <w:r w:rsidR="001A2D70">
          <w:rPr>
            <w:noProof/>
            <w:webHidden/>
          </w:rPr>
          <w:t>37</w:t>
        </w:r>
        <w:r>
          <w:rPr>
            <w:noProof/>
            <w:webHidden/>
          </w:rPr>
          <w:fldChar w:fldCharType="end"/>
        </w:r>
      </w:hyperlink>
    </w:p>
    <w:p w:rsidR="00D53854" w:rsidRDefault="005C5411">
      <w:pPr>
        <w:pStyle w:val="TOC3"/>
        <w:rPr>
          <w:rFonts w:asciiTheme="minorHAnsi" w:eastAsiaTheme="minorEastAsia" w:hAnsiTheme="minorHAnsi" w:cstheme="minorBidi"/>
          <w:noProof/>
          <w:sz w:val="22"/>
          <w:szCs w:val="22"/>
        </w:rPr>
      </w:pPr>
      <w:hyperlink w:anchor="_Toc263848878" w:history="1">
        <w:r w:rsidR="00D53854" w:rsidRPr="00AB1B86">
          <w:rPr>
            <w:rStyle w:val="Hyperlink"/>
            <w:noProof/>
          </w:rPr>
          <w:t>4.</w:t>
        </w:r>
        <w:r w:rsidR="00D53854">
          <w:rPr>
            <w:rFonts w:asciiTheme="minorHAnsi" w:eastAsiaTheme="minorEastAsia" w:hAnsiTheme="minorHAnsi" w:cstheme="minorBidi"/>
            <w:noProof/>
            <w:sz w:val="22"/>
            <w:szCs w:val="22"/>
          </w:rPr>
          <w:tab/>
        </w:r>
        <w:r w:rsidR="00D53854" w:rsidRPr="00AB1B86">
          <w:rPr>
            <w:rStyle w:val="Hyperlink"/>
            <w:noProof/>
          </w:rPr>
          <w:t>Current Recovery of Start-Up and Assessment Period Costs</w:t>
        </w:r>
        <w:r w:rsidR="00D53854">
          <w:rPr>
            <w:noProof/>
            <w:webHidden/>
          </w:rPr>
          <w:tab/>
        </w:r>
        <w:r>
          <w:rPr>
            <w:noProof/>
            <w:webHidden/>
          </w:rPr>
          <w:fldChar w:fldCharType="begin"/>
        </w:r>
        <w:r w:rsidR="00D53854">
          <w:rPr>
            <w:noProof/>
            <w:webHidden/>
          </w:rPr>
          <w:instrText xml:space="preserve"> PAGEREF _Toc263848878 \h </w:instrText>
        </w:r>
        <w:r>
          <w:rPr>
            <w:noProof/>
            <w:webHidden/>
          </w:rPr>
        </w:r>
        <w:r>
          <w:rPr>
            <w:noProof/>
            <w:webHidden/>
          </w:rPr>
          <w:fldChar w:fldCharType="separate"/>
        </w:r>
        <w:r w:rsidR="001A2D70">
          <w:rPr>
            <w:noProof/>
            <w:webHidden/>
          </w:rPr>
          <w:t>38</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79" w:history="1">
        <w:r w:rsidR="00D53854" w:rsidRPr="00AB1B86">
          <w:rPr>
            <w:rStyle w:val="Hyperlink"/>
            <w:noProof/>
          </w:rPr>
          <w:t>a.</w:t>
        </w:r>
        <w:r w:rsidR="00D53854">
          <w:rPr>
            <w:rFonts w:asciiTheme="minorHAnsi" w:eastAsiaTheme="minorEastAsia" w:hAnsiTheme="minorHAnsi" w:cstheme="minorBidi"/>
            <w:noProof/>
            <w:sz w:val="22"/>
            <w:szCs w:val="22"/>
          </w:rPr>
          <w:tab/>
        </w:r>
        <w:r w:rsidR="00D53854" w:rsidRPr="00AB1B86">
          <w:rPr>
            <w:rStyle w:val="Hyperlink"/>
            <w:noProof/>
          </w:rPr>
          <w:t>FirstEnergy’s Plan</w:t>
        </w:r>
        <w:r w:rsidR="00D53854">
          <w:rPr>
            <w:noProof/>
            <w:webHidden/>
          </w:rPr>
          <w:tab/>
        </w:r>
        <w:r>
          <w:rPr>
            <w:noProof/>
            <w:webHidden/>
          </w:rPr>
          <w:fldChar w:fldCharType="begin"/>
        </w:r>
        <w:r w:rsidR="00D53854">
          <w:rPr>
            <w:noProof/>
            <w:webHidden/>
          </w:rPr>
          <w:instrText xml:space="preserve"> PAGEREF _Toc263848879 \h </w:instrText>
        </w:r>
        <w:r>
          <w:rPr>
            <w:noProof/>
            <w:webHidden/>
          </w:rPr>
        </w:r>
        <w:r>
          <w:rPr>
            <w:noProof/>
            <w:webHidden/>
          </w:rPr>
          <w:fldChar w:fldCharType="separate"/>
        </w:r>
        <w:r w:rsidR="001A2D70">
          <w:rPr>
            <w:noProof/>
            <w:webHidden/>
          </w:rPr>
          <w:t>38</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80" w:history="1">
        <w:r w:rsidR="00D53854" w:rsidRPr="00AB1B86">
          <w:rPr>
            <w:rStyle w:val="Hyperlink"/>
            <w:noProof/>
          </w:rPr>
          <w:t>b.</w:t>
        </w:r>
        <w:r w:rsidR="00D53854">
          <w:rPr>
            <w:rFonts w:asciiTheme="minorHAnsi" w:eastAsiaTheme="minorEastAsia" w:hAnsiTheme="minorHAnsi" w:cstheme="minorBidi"/>
            <w:noProof/>
            <w:sz w:val="22"/>
            <w:szCs w:val="22"/>
          </w:rPr>
          <w:tab/>
        </w:r>
        <w:r w:rsidR="00D53854" w:rsidRPr="00AB1B86">
          <w:rPr>
            <w:rStyle w:val="Hyperlink"/>
            <w:noProof/>
          </w:rPr>
          <w:t>ALJ’s Recommendation</w:t>
        </w:r>
        <w:r w:rsidR="00D53854">
          <w:rPr>
            <w:noProof/>
            <w:webHidden/>
          </w:rPr>
          <w:tab/>
        </w:r>
        <w:r>
          <w:rPr>
            <w:noProof/>
            <w:webHidden/>
          </w:rPr>
          <w:fldChar w:fldCharType="begin"/>
        </w:r>
        <w:r w:rsidR="00D53854">
          <w:rPr>
            <w:noProof/>
            <w:webHidden/>
          </w:rPr>
          <w:instrText xml:space="preserve"> PAGEREF _Toc263848880 \h </w:instrText>
        </w:r>
        <w:r>
          <w:rPr>
            <w:noProof/>
            <w:webHidden/>
          </w:rPr>
        </w:r>
        <w:r>
          <w:rPr>
            <w:noProof/>
            <w:webHidden/>
          </w:rPr>
          <w:fldChar w:fldCharType="separate"/>
        </w:r>
        <w:r w:rsidR="001A2D70">
          <w:rPr>
            <w:noProof/>
            <w:webHidden/>
          </w:rPr>
          <w:t>39</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81" w:history="1">
        <w:r w:rsidR="00D53854" w:rsidRPr="00AB1B86">
          <w:rPr>
            <w:rStyle w:val="Hyperlink"/>
            <w:noProof/>
          </w:rPr>
          <w:t>c.</w:t>
        </w:r>
        <w:r w:rsidR="00D53854">
          <w:rPr>
            <w:rFonts w:asciiTheme="minorHAnsi" w:eastAsiaTheme="minorEastAsia" w:hAnsiTheme="minorHAnsi" w:cstheme="minorBidi"/>
            <w:noProof/>
            <w:sz w:val="22"/>
            <w:szCs w:val="22"/>
          </w:rPr>
          <w:tab/>
        </w:r>
        <w:r w:rsidR="00D53854" w:rsidRPr="00AB1B86">
          <w:rPr>
            <w:rStyle w:val="Hyperlink"/>
            <w:noProof/>
          </w:rPr>
          <w:t>Positions of the Parties</w:t>
        </w:r>
        <w:r w:rsidR="00D53854">
          <w:rPr>
            <w:noProof/>
            <w:webHidden/>
          </w:rPr>
          <w:tab/>
        </w:r>
        <w:r>
          <w:rPr>
            <w:noProof/>
            <w:webHidden/>
          </w:rPr>
          <w:fldChar w:fldCharType="begin"/>
        </w:r>
        <w:r w:rsidR="00D53854">
          <w:rPr>
            <w:noProof/>
            <w:webHidden/>
          </w:rPr>
          <w:instrText xml:space="preserve"> PAGEREF _Toc263848881 \h </w:instrText>
        </w:r>
        <w:r>
          <w:rPr>
            <w:noProof/>
            <w:webHidden/>
          </w:rPr>
        </w:r>
        <w:r>
          <w:rPr>
            <w:noProof/>
            <w:webHidden/>
          </w:rPr>
          <w:fldChar w:fldCharType="separate"/>
        </w:r>
        <w:r w:rsidR="001A2D70">
          <w:rPr>
            <w:noProof/>
            <w:webHidden/>
          </w:rPr>
          <w:t>39</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82" w:history="1">
        <w:r w:rsidR="00D53854" w:rsidRPr="00AB1B86">
          <w:rPr>
            <w:rStyle w:val="Hyperlink"/>
            <w:noProof/>
          </w:rPr>
          <w:t>d.</w:t>
        </w:r>
        <w:r w:rsidR="00D53854">
          <w:rPr>
            <w:rFonts w:asciiTheme="minorHAnsi" w:eastAsiaTheme="minorEastAsia" w:hAnsiTheme="minorHAnsi" w:cstheme="minorBidi"/>
            <w:noProof/>
            <w:sz w:val="22"/>
            <w:szCs w:val="22"/>
          </w:rPr>
          <w:tab/>
        </w:r>
        <w:r w:rsidR="00D53854" w:rsidRPr="00AB1B86">
          <w:rPr>
            <w:rStyle w:val="Hyperlink"/>
            <w:noProof/>
          </w:rPr>
          <w:t>Disposition</w:t>
        </w:r>
        <w:r w:rsidR="00D53854">
          <w:rPr>
            <w:noProof/>
            <w:webHidden/>
          </w:rPr>
          <w:tab/>
        </w:r>
        <w:r>
          <w:rPr>
            <w:noProof/>
            <w:webHidden/>
          </w:rPr>
          <w:fldChar w:fldCharType="begin"/>
        </w:r>
        <w:r w:rsidR="00D53854">
          <w:rPr>
            <w:noProof/>
            <w:webHidden/>
          </w:rPr>
          <w:instrText xml:space="preserve"> PAGEREF _Toc263848882 \h </w:instrText>
        </w:r>
        <w:r>
          <w:rPr>
            <w:noProof/>
            <w:webHidden/>
          </w:rPr>
        </w:r>
        <w:r>
          <w:rPr>
            <w:noProof/>
            <w:webHidden/>
          </w:rPr>
          <w:fldChar w:fldCharType="separate"/>
        </w:r>
        <w:r w:rsidR="001A2D70">
          <w:rPr>
            <w:noProof/>
            <w:webHidden/>
          </w:rPr>
          <w:t>40</w:t>
        </w:r>
        <w:r>
          <w:rPr>
            <w:noProof/>
            <w:webHidden/>
          </w:rPr>
          <w:fldChar w:fldCharType="end"/>
        </w:r>
      </w:hyperlink>
    </w:p>
    <w:p w:rsidR="00D53854" w:rsidRDefault="005C5411">
      <w:pPr>
        <w:pStyle w:val="TOC3"/>
        <w:rPr>
          <w:rFonts w:asciiTheme="minorHAnsi" w:eastAsiaTheme="minorEastAsia" w:hAnsiTheme="minorHAnsi" w:cstheme="minorBidi"/>
          <w:noProof/>
          <w:sz w:val="22"/>
          <w:szCs w:val="22"/>
        </w:rPr>
      </w:pPr>
      <w:hyperlink w:anchor="_Toc263848883" w:history="1">
        <w:r w:rsidR="00D53854" w:rsidRPr="00AB1B86">
          <w:rPr>
            <w:rStyle w:val="Hyperlink"/>
            <w:noProof/>
          </w:rPr>
          <w:t>5.</w:t>
        </w:r>
        <w:r w:rsidR="00D53854">
          <w:rPr>
            <w:rFonts w:asciiTheme="minorHAnsi" w:eastAsiaTheme="minorEastAsia" w:hAnsiTheme="minorHAnsi" w:cstheme="minorBidi"/>
            <w:noProof/>
            <w:sz w:val="22"/>
            <w:szCs w:val="22"/>
          </w:rPr>
          <w:tab/>
        </w:r>
        <w:r w:rsidR="00D53854" w:rsidRPr="00AB1B86">
          <w:rPr>
            <w:rStyle w:val="Hyperlink"/>
            <w:noProof/>
          </w:rPr>
          <w:t>Recognition of Operating Expense Reductions and Avoided Capital Costs</w:t>
        </w:r>
        <w:r w:rsidR="00D53854">
          <w:rPr>
            <w:noProof/>
            <w:webHidden/>
          </w:rPr>
          <w:tab/>
        </w:r>
        <w:r>
          <w:rPr>
            <w:noProof/>
            <w:webHidden/>
          </w:rPr>
          <w:fldChar w:fldCharType="begin"/>
        </w:r>
        <w:r w:rsidR="00D53854">
          <w:rPr>
            <w:noProof/>
            <w:webHidden/>
          </w:rPr>
          <w:instrText xml:space="preserve"> PAGEREF _Toc263848883 \h </w:instrText>
        </w:r>
        <w:r>
          <w:rPr>
            <w:noProof/>
            <w:webHidden/>
          </w:rPr>
        </w:r>
        <w:r>
          <w:rPr>
            <w:noProof/>
            <w:webHidden/>
          </w:rPr>
          <w:fldChar w:fldCharType="separate"/>
        </w:r>
        <w:r w:rsidR="001A2D70">
          <w:rPr>
            <w:noProof/>
            <w:webHidden/>
          </w:rPr>
          <w:t>41</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84" w:history="1">
        <w:r w:rsidR="00D53854" w:rsidRPr="00AB1B86">
          <w:rPr>
            <w:rStyle w:val="Hyperlink"/>
            <w:noProof/>
          </w:rPr>
          <w:t>a.</w:t>
        </w:r>
        <w:r w:rsidR="00D53854">
          <w:rPr>
            <w:rFonts w:asciiTheme="minorHAnsi" w:eastAsiaTheme="minorEastAsia" w:hAnsiTheme="minorHAnsi" w:cstheme="minorBidi"/>
            <w:noProof/>
            <w:sz w:val="22"/>
            <w:szCs w:val="22"/>
          </w:rPr>
          <w:tab/>
        </w:r>
        <w:r w:rsidR="00D53854" w:rsidRPr="00AB1B86">
          <w:rPr>
            <w:rStyle w:val="Hyperlink"/>
            <w:noProof/>
          </w:rPr>
          <w:t>FirstEnergy’s Plan</w:t>
        </w:r>
        <w:r w:rsidR="00D53854">
          <w:rPr>
            <w:noProof/>
            <w:webHidden/>
          </w:rPr>
          <w:tab/>
        </w:r>
        <w:r>
          <w:rPr>
            <w:noProof/>
            <w:webHidden/>
          </w:rPr>
          <w:fldChar w:fldCharType="begin"/>
        </w:r>
        <w:r w:rsidR="00D53854">
          <w:rPr>
            <w:noProof/>
            <w:webHidden/>
          </w:rPr>
          <w:instrText xml:space="preserve"> PAGEREF _Toc263848884 \h </w:instrText>
        </w:r>
        <w:r>
          <w:rPr>
            <w:noProof/>
            <w:webHidden/>
          </w:rPr>
        </w:r>
        <w:r>
          <w:rPr>
            <w:noProof/>
            <w:webHidden/>
          </w:rPr>
          <w:fldChar w:fldCharType="separate"/>
        </w:r>
        <w:r w:rsidR="001A2D70">
          <w:rPr>
            <w:noProof/>
            <w:webHidden/>
          </w:rPr>
          <w:t>41</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85" w:history="1">
        <w:r w:rsidR="00D53854" w:rsidRPr="00AB1B86">
          <w:rPr>
            <w:rStyle w:val="Hyperlink"/>
            <w:noProof/>
          </w:rPr>
          <w:t>b.</w:t>
        </w:r>
        <w:r w:rsidR="00D53854">
          <w:rPr>
            <w:rFonts w:asciiTheme="minorHAnsi" w:eastAsiaTheme="minorEastAsia" w:hAnsiTheme="minorHAnsi" w:cstheme="minorBidi"/>
            <w:noProof/>
            <w:sz w:val="22"/>
            <w:szCs w:val="22"/>
          </w:rPr>
          <w:tab/>
        </w:r>
        <w:r w:rsidR="00D53854" w:rsidRPr="00AB1B86">
          <w:rPr>
            <w:rStyle w:val="Hyperlink"/>
            <w:noProof/>
          </w:rPr>
          <w:t>ALJ’s Recommendation</w:t>
        </w:r>
        <w:r w:rsidR="00D53854">
          <w:rPr>
            <w:noProof/>
            <w:webHidden/>
          </w:rPr>
          <w:tab/>
        </w:r>
        <w:r>
          <w:rPr>
            <w:noProof/>
            <w:webHidden/>
          </w:rPr>
          <w:fldChar w:fldCharType="begin"/>
        </w:r>
        <w:r w:rsidR="00D53854">
          <w:rPr>
            <w:noProof/>
            <w:webHidden/>
          </w:rPr>
          <w:instrText xml:space="preserve"> PAGEREF _Toc263848885 \h </w:instrText>
        </w:r>
        <w:r>
          <w:rPr>
            <w:noProof/>
            <w:webHidden/>
          </w:rPr>
        </w:r>
        <w:r>
          <w:rPr>
            <w:noProof/>
            <w:webHidden/>
          </w:rPr>
          <w:fldChar w:fldCharType="separate"/>
        </w:r>
        <w:r w:rsidR="001A2D70">
          <w:rPr>
            <w:noProof/>
            <w:webHidden/>
          </w:rPr>
          <w:t>42</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86" w:history="1">
        <w:r w:rsidR="00D53854" w:rsidRPr="00AB1B86">
          <w:rPr>
            <w:rStyle w:val="Hyperlink"/>
            <w:noProof/>
          </w:rPr>
          <w:t>c.</w:t>
        </w:r>
        <w:r w:rsidR="00D53854">
          <w:rPr>
            <w:rFonts w:asciiTheme="minorHAnsi" w:eastAsiaTheme="minorEastAsia" w:hAnsiTheme="minorHAnsi" w:cstheme="minorBidi"/>
            <w:noProof/>
            <w:sz w:val="22"/>
            <w:szCs w:val="22"/>
          </w:rPr>
          <w:tab/>
        </w:r>
        <w:r w:rsidR="00D53854" w:rsidRPr="00AB1B86">
          <w:rPr>
            <w:rStyle w:val="Hyperlink"/>
            <w:noProof/>
          </w:rPr>
          <w:t>Positions of the Parties</w:t>
        </w:r>
        <w:r w:rsidR="00D53854">
          <w:rPr>
            <w:noProof/>
            <w:webHidden/>
          </w:rPr>
          <w:tab/>
        </w:r>
        <w:r>
          <w:rPr>
            <w:noProof/>
            <w:webHidden/>
          </w:rPr>
          <w:fldChar w:fldCharType="begin"/>
        </w:r>
        <w:r w:rsidR="00D53854">
          <w:rPr>
            <w:noProof/>
            <w:webHidden/>
          </w:rPr>
          <w:instrText xml:space="preserve"> PAGEREF _Toc263848886 \h </w:instrText>
        </w:r>
        <w:r>
          <w:rPr>
            <w:noProof/>
            <w:webHidden/>
          </w:rPr>
        </w:r>
        <w:r>
          <w:rPr>
            <w:noProof/>
            <w:webHidden/>
          </w:rPr>
          <w:fldChar w:fldCharType="separate"/>
        </w:r>
        <w:r w:rsidR="001A2D70">
          <w:rPr>
            <w:noProof/>
            <w:webHidden/>
          </w:rPr>
          <w:t>42</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87" w:history="1">
        <w:r w:rsidR="00D53854" w:rsidRPr="00AB1B86">
          <w:rPr>
            <w:rStyle w:val="Hyperlink"/>
            <w:noProof/>
          </w:rPr>
          <w:t>d.</w:t>
        </w:r>
        <w:r w:rsidR="00D53854">
          <w:rPr>
            <w:rFonts w:asciiTheme="minorHAnsi" w:eastAsiaTheme="minorEastAsia" w:hAnsiTheme="minorHAnsi" w:cstheme="minorBidi"/>
            <w:noProof/>
            <w:sz w:val="22"/>
            <w:szCs w:val="22"/>
          </w:rPr>
          <w:tab/>
        </w:r>
        <w:r w:rsidR="00D53854" w:rsidRPr="00AB1B86">
          <w:rPr>
            <w:rStyle w:val="Hyperlink"/>
            <w:noProof/>
          </w:rPr>
          <w:t>Disposition</w:t>
        </w:r>
        <w:r w:rsidR="00D53854">
          <w:rPr>
            <w:noProof/>
            <w:webHidden/>
          </w:rPr>
          <w:tab/>
        </w:r>
        <w:r>
          <w:rPr>
            <w:noProof/>
            <w:webHidden/>
          </w:rPr>
          <w:fldChar w:fldCharType="begin"/>
        </w:r>
        <w:r w:rsidR="00D53854">
          <w:rPr>
            <w:noProof/>
            <w:webHidden/>
          </w:rPr>
          <w:instrText xml:space="preserve"> PAGEREF _Toc263848887 \h </w:instrText>
        </w:r>
        <w:r>
          <w:rPr>
            <w:noProof/>
            <w:webHidden/>
          </w:rPr>
        </w:r>
        <w:r>
          <w:rPr>
            <w:noProof/>
            <w:webHidden/>
          </w:rPr>
          <w:fldChar w:fldCharType="separate"/>
        </w:r>
        <w:r w:rsidR="001A2D70">
          <w:rPr>
            <w:noProof/>
            <w:webHidden/>
          </w:rPr>
          <w:t>43</w:t>
        </w:r>
        <w:r>
          <w:rPr>
            <w:noProof/>
            <w:webHidden/>
          </w:rPr>
          <w:fldChar w:fldCharType="end"/>
        </w:r>
      </w:hyperlink>
    </w:p>
    <w:p w:rsidR="00D53854" w:rsidRDefault="005C5411">
      <w:pPr>
        <w:pStyle w:val="TOC3"/>
        <w:rPr>
          <w:rFonts w:asciiTheme="minorHAnsi" w:eastAsiaTheme="minorEastAsia" w:hAnsiTheme="minorHAnsi" w:cstheme="minorBidi"/>
          <w:noProof/>
          <w:sz w:val="22"/>
          <w:szCs w:val="22"/>
        </w:rPr>
      </w:pPr>
      <w:hyperlink w:anchor="_Toc263848888" w:history="1">
        <w:r w:rsidR="00D53854" w:rsidRPr="00AB1B86">
          <w:rPr>
            <w:rStyle w:val="Hyperlink"/>
            <w:noProof/>
          </w:rPr>
          <w:t>6.</w:t>
        </w:r>
        <w:r w:rsidR="00D53854">
          <w:rPr>
            <w:rFonts w:asciiTheme="minorHAnsi" w:eastAsiaTheme="minorEastAsia" w:hAnsiTheme="minorHAnsi" w:cstheme="minorBidi"/>
            <w:noProof/>
            <w:sz w:val="22"/>
            <w:szCs w:val="22"/>
          </w:rPr>
          <w:tab/>
        </w:r>
        <w:r w:rsidR="00D53854" w:rsidRPr="00AB1B86">
          <w:rPr>
            <w:rStyle w:val="Hyperlink"/>
            <w:noProof/>
          </w:rPr>
          <w:t>Cost Allocation</w:t>
        </w:r>
        <w:r w:rsidR="00D53854">
          <w:rPr>
            <w:noProof/>
            <w:webHidden/>
          </w:rPr>
          <w:tab/>
        </w:r>
        <w:r>
          <w:rPr>
            <w:noProof/>
            <w:webHidden/>
          </w:rPr>
          <w:fldChar w:fldCharType="begin"/>
        </w:r>
        <w:r w:rsidR="00D53854">
          <w:rPr>
            <w:noProof/>
            <w:webHidden/>
          </w:rPr>
          <w:instrText xml:space="preserve"> PAGEREF _Toc263848888 \h </w:instrText>
        </w:r>
        <w:r>
          <w:rPr>
            <w:noProof/>
            <w:webHidden/>
          </w:rPr>
        </w:r>
        <w:r>
          <w:rPr>
            <w:noProof/>
            <w:webHidden/>
          </w:rPr>
          <w:fldChar w:fldCharType="separate"/>
        </w:r>
        <w:r w:rsidR="001A2D70">
          <w:rPr>
            <w:noProof/>
            <w:webHidden/>
          </w:rPr>
          <w:t>45</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89" w:history="1">
        <w:r w:rsidR="00D53854" w:rsidRPr="00AB1B86">
          <w:rPr>
            <w:rStyle w:val="Hyperlink"/>
            <w:noProof/>
          </w:rPr>
          <w:t>a.</w:t>
        </w:r>
        <w:r w:rsidR="00D53854">
          <w:rPr>
            <w:rFonts w:asciiTheme="minorHAnsi" w:eastAsiaTheme="minorEastAsia" w:hAnsiTheme="minorHAnsi" w:cstheme="minorBidi"/>
            <w:noProof/>
            <w:sz w:val="22"/>
            <w:szCs w:val="22"/>
          </w:rPr>
          <w:tab/>
        </w:r>
        <w:r w:rsidR="00D53854" w:rsidRPr="00AB1B86">
          <w:rPr>
            <w:rStyle w:val="Hyperlink"/>
            <w:noProof/>
          </w:rPr>
          <w:t>FirstEnergy’s Plan</w:t>
        </w:r>
        <w:r w:rsidR="00D53854">
          <w:rPr>
            <w:noProof/>
            <w:webHidden/>
          </w:rPr>
          <w:tab/>
        </w:r>
        <w:r>
          <w:rPr>
            <w:noProof/>
            <w:webHidden/>
          </w:rPr>
          <w:fldChar w:fldCharType="begin"/>
        </w:r>
        <w:r w:rsidR="00D53854">
          <w:rPr>
            <w:noProof/>
            <w:webHidden/>
          </w:rPr>
          <w:instrText xml:space="preserve"> PAGEREF _Toc263848889 \h </w:instrText>
        </w:r>
        <w:r>
          <w:rPr>
            <w:noProof/>
            <w:webHidden/>
          </w:rPr>
        </w:r>
        <w:r>
          <w:rPr>
            <w:noProof/>
            <w:webHidden/>
          </w:rPr>
          <w:fldChar w:fldCharType="separate"/>
        </w:r>
        <w:r w:rsidR="001A2D70">
          <w:rPr>
            <w:noProof/>
            <w:webHidden/>
          </w:rPr>
          <w:t>45</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90" w:history="1">
        <w:r w:rsidR="00D53854" w:rsidRPr="00AB1B86">
          <w:rPr>
            <w:rStyle w:val="Hyperlink"/>
            <w:noProof/>
          </w:rPr>
          <w:t>b.</w:t>
        </w:r>
        <w:r w:rsidR="00D53854">
          <w:rPr>
            <w:rFonts w:asciiTheme="minorHAnsi" w:eastAsiaTheme="minorEastAsia" w:hAnsiTheme="minorHAnsi" w:cstheme="minorBidi"/>
            <w:noProof/>
            <w:sz w:val="22"/>
            <w:szCs w:val="22"/>
          </w:rPr>
          <w:tab/>
        </w:r>
        <w:r w:rsidR="00D53854" w:rsidRPr="00AB1B86">
          <w:rPr>
            <w:rStyle w:val="Hyperlink"/>
            <w:noProof/>
          </w:rPr>
          <w:t>ALJ’s Recommendation</w:t>
        </w:r>
        <w:r w:rsidR="00D53854">
          <w:rPr>
            <w:noProof/>
            <w:webHidden/>
          </w:rPr>
          <w:tab/>
        </w:r>
        <w:r>
          <w:rPr>
            <w:noProof/>
            <w:webHidden/>
          </w:rPr>
          <w:fldChar w:fldCharType="begin"/>
        </w:r>
        <w:r w:rsidR="00D53854">
          <w:rPr>
            <w:noProof/>
            <w:webHidden/>
          </w:rPr>
          <w:instrText xml:space="preserve"> PAGEREF _Toc263848890 \h </w:instrText>
        </w:r>
        <w:r>
          <w:rPr>
            <w:noProof/>
            <w:webHidden/>
          </w:rPr>
        </w:r>
        <w:r>
          <w:rPr>
            <w:noProof/>
            <w:webHidden/>
          </w:rPr>
          <w:fldChar w:fldCharType="separate"/>
        </w:r>
        <w:r w:rsidR="001A2D70">
          <w:rPr>
            <w:noProof/>
            <w:webHidden/>
          </w:rPr>
          <w:t>46</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91" w:history="1">
        <w:r w:rsidR="00D53854" w:rsidRPr="00AB1B86">
          <w:rPr>
            <w:rStyle w:val="Hyperlink"/>
            <w:noProof/>
          </w:rPr>
          <w:t>c.</w:t>
        </w:r>
        <w:r w:rsidR="00D53854">
          <w:rPr>
            <w:rFonts w:asciiTheme="minorHAnsi" w:eastAsiaTheme="minorEastAsia" w:hAnsiTheme="minorHAnsi" w:cstheme="minorBidi"/>
            <w:noProof/>
            <w:sz w:val="22"/>
            <w:szCs w:val="22"/>
          </w:rPr>
          <w:tab/>
        </w:r>
        <w:r w:rsidR="00D53854" w:rsidRPr="00AB1B86">
          <w:rPr>
            <w:rStyle w:val="Hyperlink"/>
            <w:noProof/>
          </w:rPr>
          <w:t>Positions of the Parties</w:t>
        </w:r>
        <w:r w:rsidR="00D53854">
          <w:rPr>
            <w:noProof/>
            <w:webHidden/>
          </w:rPr>
          <w:tab/>
        </w:r>
        <w:r>
          <w:rPr>
            <w:noProof/>
            <w:webHidden/>
          </w:rPr>
          <w:fldChar w:fldCharType="begin"/>
        </w:r>
        <w:r w:rsidR="00D53854">
          <w:rPr>
            <w:noProof/>
            <w:webHidden/>
          </w:rPr>
          <w:instrText xml:space="preserve"> PAGEREF _Toc263848891 \h </w:instrText>
        </w:r>
        <w:r>
          <w:rPr>
            <w:noProof/>
            <w:webHidden/>
          </w:rPr>
        </w:r>
        <w:r>
          <w:rPr>
            <w:noProof/>
            <w:webHidden/>
          </w:rPr>
          <w:fldChar w:fldCharType="separate"/>
        </w:r>
        <w:r w:rsidR="001A2D70">
          <w:rPr>
            <w:noProof/>
            <w:webHidden/>
          </w:rPr>
          <w:t>46</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92" w:history="1">
        <w:r w:rsidR="00D53854" w:rsidRPr="00AB1B86">
          <w:rPr>
            <w:rStyle w:val="Hyperlink"/>
            <w:noProof/>
          </w:rPr>
          <w:t>d.</w:t>
        </w:r>
        <w:r w:rsidR="00D53854">
          <w:rPr>
            <w:rFonts w:asciiTheme="minorHAnsi" w:eastAsiaTheme="minorEastAsia" w:hAnsiTheme="minorHAnsi" w:cstheme="minorBidi"/>
            <w:noProof/>
            <w:sz w:val="22"/>
            <w:szCs w:val="22"/>
          </w:rPr>
          <w:tab/>
        </w:r>
        <w:r w:rsidR="00D53854" w:rsidRPr="00AB1B86">
          <w:rPr>
            <w:rStyle w:val="Hyperlink"/>
            <w:noProof/>
          </w:rPr>
          <w:t>Disposition</w:t>
        </w:r>
        <w:r w:rsidR="00D53854">
          <w:rPr>
            <w:noProof/>
            <w:webHidden/>
          </w:rPr>
          <w:tab/>
        </w:r>
        <w:r>
          <w:rPr>
            <w:noProof/>
            <w:webHidden/>
          </w:rPr>
          <w:fldChar w:fldCharType="begin"/>
        </w:r>
        <w:r w:rsidR="00D53854">
          <w:rPr>
            <w:noProof/>
            <w:webHidden/>
          </w:rPr>
          <w:instrText xml:space="preserve"> PAGEREF _Toc263848892 \h </w:instrText>
        </w:r>
        <w:r>
          <w:rPr>
            <w:noProof/>
            <w:webHidden/>
          </w:rPr>
        </w:r>
        <w:r>
          <w:rPr>
            <w:noProof/>
            <w:webHidden/>
          </w:rPr>
          <w:fldChar w:fldCharType="separate"/>
        </w:r>
        <w:r w:rsidR="001A2D70">
          <w:rPr>
            <w:noProof/>
            <w:webHidden/>
          </w:rPr>
          <w:t>49</w:t>
        </w:r>
        <w:r>
          <w:rPr>
            <w:noProof/>
            <w:webHidden/>
          </w:rPr>
          <w:fldChar w:fldCharType="end"/>
        </w:r>
      </w:hyperlink>
    </w:p>
    <w:p w:rsidR="00D53854" w:rsidRDefault="005C5411">
      <w:pPr>
        <w:pStyle w:val="TOC3"/>
        <w:rPr>
          <w:rFonts w:asciiTheme="minorHAnsi" w:eastAsiaTheme="minorEastAsia" w:hAnsiTheme="minorHAnsi" w:cstheme="minorBidi"/>
          <w:noProof/>
          <w:sz w:val="22"/>
          <w:szCs w:val="22"/>
        </w:rPr>
      </w:pPr>
      <w:hyperlink w:anchor="_Toc263848893" w:history="1">
        <w:r w:rsidR="00D53854" w:rsidRPr="00AB1B86">
          <w:rPr>
            <w:rStyle w:val="Hyperlink"/>
            <w:noProof/>
          </w:rPr>
          <w:t>7.</w:t>
        </w:r>
        <w:r w:rsidR="00D53854">
          <w:rPr>
            <w:rFonts w:asciiTheme="minorHAnsi" w:eastAsiaTheme="minorEastAsia" w:hAnsiTheme="minorHAnsi" w:cstheme="minorBidi"/>
            <w:noProof/>
            <w:sz w:val="22"/>
            <w:szCs w:val="22"/>
          </w:rPr>
          <w:tab/>
        </w:r>
        <w:r w:rsidR="00D53854" w:rsidRPr="00AB1B86">
          <w:rPr>
            <w:rStyle w:val="Hyperlink"/>
            <w:noProof/>
          </w:rPr>
          <w:t>Rate Design</w:t>
        </w:r>
        <w:r w:rsidR="00D53854">
          <w:rPr>
            <w:noProof/>
            <w:webHidden/>
          </w:rPr>
          <w:tab/>
        </w:r>
        <w:r>
          <w:rPr>
            <w:noProof/>
            <w:webHidden/>
          </w:rPr>
          <w:fldChar w:fldCharType="begin"/>
        </w:r>
        <w:r w:rsidR="00D53854">
          <w:rPr>
            <w:noProof/>
            <w:webHidden/>
          </w:rPr>
          <w:instrText xml:space="preserve"> PAGEREF _Toc263848893 \h </w:instrText>
        </w:r>
        <w:r>
          <w:rPr>
            <w:noProof/>
            <w:webHidden/>
          </w:rPr>
        </w:r>
        <w:r>
          <w:rPr>
            <w:noProof/>
            <w:webHidden/>
          </w:rPr>
          <w:fldChar w:fldCharType="separate"/>
        </w:r>
        <w:r w:rsidR="001A2D70">
          <w:rPr>
            <w:noProof/>
            <w:webHidden/>
          </w:rPr>
          <w:t>50</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94" w:history="1">
        <w:r w:rsidR="00D53854" w:rsidRPr="00AB1B86">
          <w:rPr>
            <w:rStyle w:val="Hyperlink"/>
            <w:noProof/>
          </w:rPr>
          <w:t>a.</w:t>
        </w:r>
        <w:r w:rsidR="00D53854">
          <w:rPr>
            <w:rFonts w:asciiTheme="minorHAnsi" w:eastAsiaTheme="minorEastAsia" w:hAnsiTheme="minorHAnsi" w:cstheme="minorBidi"/>
            <w:noProof/>
            <w:sz w:val="22"/>
            <w:szCs w:val="22"/>
          </w:rPr>
          <w:tab/>
        </w:r>
        <w:r w:rsidR="00D53854" w:rsidRPr="00AB1B86">
          <w:rPr>
            <w:rStyle w:val="Hyperlink"/>
            <w:noProof/>
          </w:rPr>
          <w:t>Residential</w:t>
        </w:r>
        <w:r w:rsidR="00D53854">
          <w:rPr>
            <w:noProof/>
            <w:webHidden/>
          </w:rPr>
          <w:tab/>
        </w:r>
        <w:r>
          <w:rPr>
            <w:noProof/>
            <w:webHidden/>
          </w:rPr>
          <w:fldChar w:fldCharType="begin"/>
        </w:r>
        <w:r w:rsidR="00D53854">
          <w:rPr>
            <w:noProof/>
            <w:webHidden/>
          </w:rPr>
          <w:instrText xml:space="preserve"> PAGEREF _Toc263848894 \h </w:instrText>
        </w:r>
        <w:r>
          <w:rPr>
            <w:noProof/>
            <w:webHidden/>
          </w:rPr>
        </w:r>
        <w:r>
          <w:rPr>
            <w:noProof/>
            <w:webHidden/>
          </w:rPr>
          <w:fldChar w:fldCharType="separate"/>
        </w:r>
        <w:r w:rsidR="001A2D70">
          <w:rPr>
            <w:noProof/>
            <w:webHidden/>
          </w:rPr>
          <w:t>50</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95" w:history="1">
        <w:r w:rsidR="00D53854" w:rsidRPr="00AB1B86">
          <w:rPr>
            <w:rStyle w:val="Hyperlink"/>
            <w:noProof/>
          </w:rPr>
          <w:t>i.</w:t>
        </w:r>
        <w:r w:rsidR="00D53854">
          <w:rPr>
            <w:rFonts w:asciiTheme="minorHAnsi" w:eastAsiaTheme="minorEastAsia" w:hAnsiTheme="minorHAnsi" w:cstheme="minorBidi"/>
            <w:noProof/>
            <w:sz w:val="22"/>
            <w:szCs w:val="22"/>
          </w:rPr>
          <w:tab/>
        </w:r>
        <w:r w:rsidR="00D53854" w:rsidRPr="00AB1B86">
          <w:rPr>
            <w:rStyle w:val="Hyperlink"/>
            <w:noProof/>
          </w:rPr>
          <w:t>FirstEnergy’s Plan</w:t>
        </w:r>
        <w:r w:rsidR="00D53854">
          <w:rPr>
            <w:noProof/>
            <w:webHidden/>
          </w:rPr>
          <w:tab/>
        </w:r>
        <w:r>
          <w:rPr>
            <w:noProof/>
            <w:webHidden/>
          </w:rPr>
          <w:fldChar w:fldCharType="begin"/>
        </w:r>
        <w:r w:rsidR="00D53854">
          <w:rPr>
            <w:noProof/>
            <w:webHidden/>
          </w:rPr>
          <w:instrText xml:space="preserve"> PAGEREF _Toc263848895 \h </w:instrText>
        </w:r>
        <w:r>
          <w:rPr>
            <w:noProof/>
            <w:webHidden/>
          </w:rPr>
        </w:r>
        <w:r>
          <w:rPr>
            <w:noProof/>
            <w:webHidden/>
          </w:rPr>
          <w:fldChar w:fldCharType="separate"/>
        </w:r>
        <w:r w:rsidR="001A2D70">
          <w:rPr>
            <w:noProof/>
            <w:webHidden/>
          </w:rPr>
          <w:t>50</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96" w:history="1">
        <w:r w:rsidR="00D53854" w:rsidRPr="00AB1B86">
          <w:rPr>
            <w:rStyle w:val="Hyperlink"/>
            <w:noProof/>
          </w:rPr>
          <w:t>ii.</w:t>
        </w:r>
        <w:r w:rsidR="00D53854">
          <w:rPr>
            <w:rFonts w:asciiTheme="minorHAnsi" w:eastAsiaTheme="minorEastAsia" w:hAnsiTheme="minorHAnsi" w:cstheme="minorBidi"/>
            <w:noProof/>
            <w:sz w:val="22"/>
            <w:szCs w:val="22"/>
          </w:rPr>
          <w:tab/>
        </w:r>
        <w:r w:rsidR="00D53854" w:rsidRPr="00AB1B86">
          <w:rPr>
            <w:rStyle w:val="Hyperlink"/>
            <w:noProof/>
          </w:rPr>
          <w:t>ALJ’s Recommendation</w:t>
        </w:r>
        <w:r w:rsidR="00D53854">
          <w:rPr>
            <w:noProof/>
            <w:webHidden/>
          </w:rPr>
          <w:tab/>
        </w:r>
        <w:r>
          <w:rPr>
            <w:noProof/>
            <w:webHidden/>
          </w:rPr>
          <w:fldChar w:fldCharType="begin"/>
        </w:r>
        <w:r w:rsidR="00D53854">
          <w:rPr>
            <w:noProof/>
            <w:webHidden/>
          </w:rPr>
          <w:instrText xml:space="preserve"> PAGEREF _Toc263848896 \h </w:instrText>
        </w:r>
        <w:r>
          <w:rPr>
            <w:noProof/>
            <w:webHidden/>
          </w:rPr>
        </w:r>
        <w:r>
          <w:rPr>
            <w:noProof/>
            <w:webHidden/>
          </w:rPr>
          <w:fldChar w:fldCharType="separate"/>
        </w:r>
        <w:r w:rsidR="001A2D70">
          <w:rPr>
            <w:noProof/>
            <w:webHidden/>
          </w:rPr>
          <w:t>50</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97" w:history="1">
        <w:r w:rsidR="00D53854" w:rsidRPr="00AB1B86">
          <w:rPr>
            <w:rStyle w:val="Hyperlink"/>
            <w:noProof/>
          </w:rPr>
          <w:t>iii.</w:t>
        </w:r>
        <w:r w:rsidR="00D53854">
          <w:rPr>
            <w:rFonts w:asciiTheme="minorHAnsi" w:eastAsiaTheme="minorEastAsia" w:hAnsiTheme="minorHAnsi" w:cstheme="minorBidi"/>
            <w:noProof/>
            <w:sz w:val="22"/>
            <w:szCs w:val="22"/>
          </w:rPr>
          <w:tab/>
        </w:r>
        <w:r w:rsidR="00D53854" w:rsidRPr="00AB1B86">
          <w:rPr>
            <w:rStyle w:val="Hyperlink"/>
            <w:noProof/>
          </w:rPr>
          <w:t>Positions of the Parties</w:t>
        </w:r>
        <w:r w:rsidR="00D53854">
          <w:rPr>
            <w:noProof/>
            <w:webHidden/>
          </w:rPr>
          <w:tab/>
        </w:r>
        <w:r>
          <w:rPr>
            <w:noProof/>
            <w:webHidden/>
          </w:rPr>
          <w:fldChar w:fldCharType="begin"/>
        </w:r>
        <w:r w:rsidR="00D53854">
          <w:rPr>
            <w:noProof/>
            <w:webHidden/>
          </w:rPr>
          <w:instrText xml:space="preserve"> PAGEREF _Toc263848897 \h </w:instrText>
        </w:r>
        <w:r>
          <w:rPr>
            <w:noProof/>
            <w:webHidden/>
          </w:rPr>
        </w:r>
        <w:r>
          <w:rPr>
            <w:noProof/>
            <w:webHidden/>
          </w:rPr>
          <w:fldChar w:fldCharType="separate"/>
        </w:r>
        <w:r w:rsidR="001A2D70">
          <w:rPr>
            <w:noProof/>
            <w:webHidden/>
          </w:rPr>
          <w:t>51</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898" w:history="1">
        <w:r w:rsidR="00D53854" w:rsidRPr="00AB1B86">
          <w:rPr>
            <w:rStyle w:val="Hyperlink"/>
            <w:noProof/>
          </w:rPr>
          <w:t>iv.</w:t>
        </w:r>
        <w:r w:rsidR="00D53854">
          <w:rPr>
            <w:rFonts w:asciiTheme="minorHAnsi" w:eastAsiaTheme="minorEastAsia" w:hAnsiTheme="minorHAnsi" w:cstheme="minorBidi"/>
            <w:noProof/>
            <w:sz w:val="22"/>
            <w:szCs w:val="22"/>
          </w:rPr>
          <w:tab/>
        </w:r>
        <w:r w:rsidR="00D53854" w:rsidRPr="00AB1B86">
          <w:rPr>
            <w:rStyle w:val="Hyperlink"/>
            <w:noProof/>
          </w:rPr>
          <w:t>Disposition</w:t>
        </w:r>
        <w:r w:rsidR="00D53854">
          <w:rPr>
            <w:noProof/>
            <w:webHidden/>
          </w:rPr>
          <w:tab/>
        </w:r>
        <w:r>
          <w:rPr>
            <w:noProof/>
            <w:webHidden/>
          </w:rPr>
          <w:fldChar w:fldCharType="begin"/>
        </w:r>
        <w:r w:rsidR="00D53854">
          <w:rPr>
            <w:noProof/>
            <w:webHidden/>
          </w:rPr>
          <w:instrText xml:space="preserve"> PAGEREF _Toc263848898 \h </w:instrText>
        </w:r>
        <w:r>
          <w:rPr>
            <w:noProof/>
            <w:webHidden/>
          </w:rPr>
        </w:r>
        <w:r>
          <w:rPr>
            <w:noProof/>
            <w:webHidden/>
          </w:rPr>
          <w:fldChar w:fldCharType="separate"/>
        </w:r>
        <w:r w:rsidR="001A2D70">
          <w:rPr>
            <w:noProof/>
            <w:webHidden/>
          </w:rPr>
          <w:t>51</w:t>
        </w:r>
        <w:r>
          <w:rPr>
            <w:noProof/>
            <w:webHidden/>
          </w:rPr>
          <w:fldChar w:fldCharType="end"/>
        </w:r>
      </w:hyperlink>
    </w:p>
    <w:p w:rsidR="00D53854" w:rsidRDefault="005C5411">
      <w:pPr>
        <w:pStyle w:val="TOC4"/>
        <w:rPr>
          <w:rFonts w:asciiTheme="minorHAnsi" w:eastAsiaTheme="minorEastAsia" w:hAnsiTheme="minorHAnsi" w:cstheme="minorBidi"/>
          <w:noProof/>
          <w:sz w:val="22"/>
          <w:szCs w:val="22"/>
        </w:rPr>
      </w:pPr>
      <w:hyperlink w:anchor="_Toc263848899" w:history="1">
        <w:r w:rsidR="00D53854" w:rsidRPr="00AB1B86">
          <w:rPr>
            <w:rStyle w:val="Hyperlink"/>
            <w:noProof/>
          </w:rPr>
          <w:t>b.</w:t>
        </w:r>
        <w:r w:rsidR="00D53854">
          <w:rPr>
            <w:rFonts w:asciiTheme="minorHAnsi" w:eastAsiaTheme="minorEastAsia" w:hAnsiTheme="minorHAnsi" w:cstheme="minorBidi"/>
            <w:noProof/>
            <w:sz w:val="22"/>
            <w:szCs w:val="22"/>
          </w:rPr>
          <w:tab/>
        </w:r>
        <w:r w:rsidR="00D53854" w:rsidRPr="00AB1B86">
          <w:rPr>
            <w:rStyle w:val="Hyperlink"/>
            <w:noProof/>
          </w:rPr>
          <w:t>Commercial</w:t>
        </w:r>
        <w:r w:rsidR="00D53854">
          <w:rPr>
            <w:noProof/>
            <w:webHidden/>
          </w:rPr>
          <w:tab/>
        </w:r>
        <w:r>
          <w:rPr>
            <w:noProof/>
            <w:webHidden/>
          </w:rPr>
          <w:fldChar w:fldCharType="begin"/>
        </w:r>
        <w:r w:rsidR="00D53854">
          <w:rPr>
            <w:noProof/>
            <w:webHidden/>
          </w:rPr>
          <w:instrText xml:space="preserve"> PAGEREF _Toc263848899 \h </w:instrText>
        </w:r>
        <w:r>
          <w:rPr>
            <w:noProof/>
            <w:webHidden/>
          </w:rPr>
        </w:r>
        <w:r>
          <w:rPr>
            <w:noProof/>
            <w:webHidden/>
          </w:rPr>
          <w:fldChar w:fldCharType="separate"/>
        </w:r>
        <w:r w:rsidR="001A2D70">
          <w:rPr>
            <w:noProof/>
            <w:webHidden/>
          </w:rPr>
          <w:t>52</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900" w:history="1">
        <w:r w:rsidR="00D53854" w:rsidRPr="00AB1B86">
          <w:rPr>
            <w:rStyle w:val="Hyperlink"/>
            <w:noProof/>
          </w:rPr>
          <w:t>i.</w:t>
        </w:r>
        <w:r w:rsidR="00D53854">
          <w:rPr>
            <w:rFonts w:asciiTheme="minorHAnsi" w:eastAsiaTheme="minorEastAsia" w:hAnsiTheme="minorHAnsi" w:cstheme="minorBidi"/>
            <w:noProof/>
            <w:sz w:val="22"/>
            <w:szCs w:val="22"/>
          </w:rPr>
          <w:tab/>
        </w:r>
        <w:r w:rsidR="00D53854" w:rsidRPr="00AB1B86">
          <w:rPr>
            <w:rStyle w:val="Hyperlink"/>
            <w:noProof/>
          </w:rPr>
          <w:t>FirstEnergy’s Plan</w:t>
        </w:r>
        <w:r w:rsidR="00D53854">
          <w:rPr>
            <w:noProof/>
            <w:webHidden/>
          </w:rPr>
          <w:tab/>
        </w:r>
        <w:r>
          <w:rPr>
            <w:noProof/>
            <w:webHidden/>
          </w:rPr>
          <w:fldChar w:fldCharType="begin"/>
        </w:r>
        <w:r w:rsidR="00D53854">
          <w:rPr>
            <w:noProof/>
            <w:webHidden/>
          </w:rPr>
          <w:instrText xml:space="preserve"> PAGEREF _Toc263848900 \h </w:instrText>
        </w:r>
        <w:r>
          <w:rPr>
            <w:noProof/>
            <w:webHidden/>
          </w:rPr>
        </w:r>
        <w:r>
          <w:rPr>
            <w:noProof/>
            <w:webHidden/>
          </w:rPr>
          <w:fldChar w:fldCharType="separate"/>
        </w:r>
        <w:r w:rsidR="001A2D70">
          <w:rPr>
            <w:noProof/>
            <w:webHidden/>
          </w:rPr>
          <w:t>52</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901" w:history="1">
        <w:r w:rsidR="00D53854" w:rsidRPr="00AB1B86">
          <w:rPr>
            <w:rStyle w:val="Hyperlink"/>
            <w:noProof/>
          </w:rPr>
          <w:t>ii.</w:t>
        </w:r>
        <w:r w:rsidR="00D53854">
          <w:rPr>
            <w:rFonts w:asciiTheme="minorHAnsi" w:eastAsiaTheme="minorEastAsia" w:hAnsiTheme="minorHAnsi" w:cstheme="minorBidi"/>
            <w:noProof/>
            <w:sz w:val="22"/>
            <w:szCs w:val="22"/>
          </w:rPr>
          <w:tab/>
        </w:r>
        <w:r w:rsidR="00D53854" w:rsidRPr="00AB1B86">
          <w:rPr>
            <w:rStyle w:val="Hyperlink"/>
            <w:noProof/>
          </w:rPr>
          <w:t>ALJ’s Recommendation</w:t>
        </w:r>
        <w:r w:rsidR="00D53854">
          <w:rPr>
            <w:noProof/>
            <w:webHidden/>
          </w:rPr>
          <w:tab/>
        </w:r>
        <w:r>
          <w:rPr>
            <w:noProof/>
            <w:webHidden/>
          </w:rPr>
          <w:fldChar w:fldCharType="begin"/>
        </w:r>
        <w:r w:rsidR="00D53854">
          <w:rPr>
            <w:noProof/>
            <w:webHidden/>
          </w:rPr>
          <w:instrText xml:space="preserve"> PAGEREF _Toc263848901 \h </w:instrText>
        </w:r>
        <w:r>
          <w:rPr>
            <w:noProof/>
            <w:webHidden/>
          </w:rPr>
        </w:r>
        <w:r>
          <w:rPr>
            <w:noProof/>
            <w:webHidden/>
          </w:rPr>
          <w:fldChar w:fldCharType="separate"/>
        </w:r>
        <w:r w:rsidR="001A2D70">
          <w:rPr>
            <w:noProof/>
            <w:webHidden/>
          </w:rPr>
          <w:t>52</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902" w:history="1">
        <w:r w:rsidR="00D53854" w:rsidRPr="00AB1B86">
          <w:rPr>
            <w:rStyle w:val="Hyperlink"/>
            <w:noProof/>
          </w:rPr>
          <w:t>iii.</w:t>
        </w:r>
        <w:r w:rsidR="00D53854">
          <w:rPr>
            <w:rFonts w:asciiTheme="minorHAnsi" w:eastAsiaTheme="minorEastAsia" w:hAnsiTheme="minorHAnsi" w:cstheme="minorBidi"/>
            <w:noProof/>
            <w:sz w:val="22"/>
            <w:szCs w:val="22"/>
          </w:rPr>
          <w:tab/>
        </w:r>
        <w:r w:rsidR="00D53854" w:rsidRPr="00AB1B86">
          <w:rPr>
            <w:rStyle w:val="Hyperlink"/>
            <w:noProof/>
          </w:rPr>
          <w:t>Positions of the Parties</w:t>
        </w:r>
        <w:r w:rsidR="00D53854">
          <w:rPr>
            <w:noProof/>
            <w:webHidden/>
          </w:rPr>
          <w:tab/>
        </w:r>
        <w:r>
          <w:rPr>
            <w:noProof/>
            <w:webHidden/>
          </w:rPr>
          <w:fldChar w:fldCharType="begin"/>
        </w:r>
        <w:r w:rsidR="00D53854">
          <w:rPr>
            <w:noProof/>
            <w:webHidden/>
          </w:rPr>
          <w:instrText xml:space="preserve"> PAGEREF _Toc263848902 \h </w:instrText>
        </w:r>
        <w:r>
          <w:rPr>
            <w:noProof/>
            <w:webHidden/>
          </w:rPr>
        </w:r>
        <w:r>
          <w:rPr>
            <w:noProof/>
            <w:webHidden/>
          </w:rPr>
          <w:fldChar w:fldCharType="separate"/>
        </w:r>
        <w:r w:rsidR="001A2D70">
          <w:rPr>
            <w:noProof/>
            <w:webHidden/>
          </w:rPr>
          <w:t>52</w:t>
        </w:r>
        <w:r>
          <w:rPr>
            <w:noProof/>
            <w:webHidden/>
          </w:rPr>
          <w:fldChar w:fldCharType="end"/>
        </w:r>
      </w:hyperlink>
    </w:p>
    <w:p w:rsidR="00D53854" w:rsidRDefault="005C5411">
      <w:pPr>
        <w:pStyle w:val="TOC5"/>
        <w:rPr>
          <w:rFonts w:asciiTheme="minorHAnsi" w:eastAsiaTheme="minorEastAsia" w:hAnsiTheme="minorHAnsi" w:cstheme="minorBidi"/>
          <w:noProof/>
          <w:sz w:val="22"/>
          <w:szCs w:val="22"/>
        </w:rPr>
      </w:pPr>
      <w:hyperlink w:anchor="_Toc263848903" w:history="1">
        <w:r w:rsidR="00D53854" w:rsidRPr="00AB1B86">
          <w:rPr>
            <w:rStyle w:val="Hyperlink"/>
            <w:noProof/>
          </w:rPr>
          <w:t>iv.</w:t>
        </w:r>
        <w:r w:rsidR="00D53854">
          <w:rPr>
            <w:rFonts w:asciiTheme="minorHAnsi" w:eastAsiaTheme="minorEastAsia" w:hAnsiTheme="minorHAnsi" w:cstheme="minorBidi"/>
            <w:noProof/>
            <w:sz w:val="22"/>
            <w:szCs w:val="22"/>
          </w:rPr>
          <w:tab/>
        </w:r>
        <w:r w:rsidR="00D53854" w:rsidRPr="00AB1B86">
          <w:rPr>
            <w:rStyle w:val="Hyperlink"/>
            <w:noProof/>
          </w:rPr>
          <w:t>Disposition</w:t>
        </w:r>
        <w:r w:rsidR="00D53854">
          <w:rPr>
            <w:noProof/>
            <w:webHidden/>
          </w:rPr>
          <w:tab/>
        </w:r>
        <w:r>
          <w:rPr>
            <w:noProof/>
            <w:webHidden/>
          </w:rPr>
          <w:fldChar w:fldCharType="begin"/>
        </w:r>
        <w:r w:rsidR="00D53854">
          <w:rPr>
            <w:noProof/>
            <w:webHidden/>
          </w:rPr>
          <w:instrText xml:space="preserve"> PAGEREF _Toc263848903 \h </w:instrText>
        </w:r>
        <w:r>
          <w:rPr>
            <w:noProof/>
            <w:webHidden/>
          </w:rPr>
        </w:r>
        <w:r>
          <w:rPr>
            <w:noProof/>
            <w:webHidden/>
          </w:rPr>
          <w:fldChar w:fldCharType="separate"/>
        </w:r>
        <w:r w:rsidR="001A2D70">
          <w:rPr>
            <w:noProof/>
            <w:webHidden/>
          </w:rPr>
          <w:t>52</w:t>
        </w:r>
        <w:r>
          <w:rPr>
            <w:noProof/>
            <w:webHidden/>
          </w:rPr>
          <w:fldChar w:fldCharType="end"/>
        </w:r>
      </w:hyperlink>
    </w:p>
    <w:p w:rsidR="00D53854" w:rsidRDefault="005C5411">
      <w:pPr>
        <w:pStyle w:val="TOC1"/>
        <w:tabs>
          <w:tab w:val="left" w:pos="720"/>
          <w:tab w:val="right" w:leader="dot" w:pos="9350"/>
        </w:tabs>
        <w:rPr>
          <w:rFonts w:asciiTheme="minorHAnsi" w:eastAsiaTheme="minorEastAsia" w:hAnsiTheme="minorHAnsi" w:cstheme="minorBidi"/>
          <w:noProof/>
          <w:sz w:val="22"/>
          <w:szCs w:val="22"/>
        </w:rPr>
      </w:pPr>
      <w:hyperlink w:anchor="_Toc263848904" w:history="1">
        <w:r w:rsidR="00D53854" w:rsidRPr="00AB1B86">
          <w:rPr>
            <w:rStyle w:val="Hyperlink"/>
            <w:noProof/>
          </w:rPr>
          <w:t xml:space="preserve">VI.  </w:t>
        </w:r>
        <w:r w:rsidR="00D53854">
          <w:rPr>
            <w:rFonts w:asciiTheme="minorHAnsi" w:eastAsiaTheme="minorEastAsia" w:hAnsiTheme="minorHAnsi" w:cstheme="minorBidi"/>
            <w:noProof/>
            <w:sz w:val="22"/>
            <w:szCs w:val="22"/>
          </w:rPr>
          <w:tab/>
        </w:r>
        <w:r w:rsidR="00D53854" w:rsidRPr="00AB1B86">
          <w:rPr>
            <w:rStyle w:val="Hyperlink"/>
            <w:noProof/>
          </w:rPr>
          <w:t>Conclusion</w:t>
        </w:r>
        <w:r w:rsidR="00D53854">
          <w:rPr>
            <w:noProof/>
            <w:webHidden/>
          </w:rPr>
          <w:tab/>
        </w:r>
        <w:r>
          <w:rPr>
            <w:noProof/>
            <w:webHidden/>
          </w:rPr>
          <w:fldChar w:fldCharType="begin"/>
        </w:r>
        <w:r w:rsidR="00D53854">
          <w:rPr>
            <w:noProof/>
            <w:webHidden/>
          </w:rPr>
          <w:instrText xml:space="preserve"> PAGEREF _Toc263848904 \h </w:instrText>
        </w:r>
        <w:r>
          <w:rPr>
            <w:noProof/>
            <w:webHidden/>
          </w:rPr>
        </w:r>
        <w:r>
          <w:rPr>
            <w:noProof/>
            <w:webHidden/>
          </w:rPr>
          <w:fldChar w:fldCharType="separate"/>
        </w:r>
        <w:r w:rsidR="001A2D70">
          <w:rPr>
            <w:noProof/>
            <w:webHidden/>
          </w:rPr>
          <w:t>53</w:t>
        </w:r>
        <w:r>
          <w:rPr>
            <w:noProof/>
            <w:webHidden/>
          </w:rPr>
          <w:fldChar w:fldCharType="end"/>
        </w:r>
      </w:hyperlink>
    </w:p>
    <w:p w:rsidR="004261E0" w:rsidRDefault="005C5411" w:rsidP="00F8320E">
      <w:pPr>
        <w:spacing w:after="200" w:line="276" w:lineRule="auto"/>
        <w:rPr>
          <w:b/>
          <w:sz w:val="26"/>
          <w:szCs w:val="26"/>
        </w:rPr>
        <w:sectPr w:rsidR="004261E0" w:rsidSect="00C34D7A">
          <w:pgSz w:w="12240" w:h="15840"/>
          <w:pgMar w:top="1440" w:right="1440" w:bottom="1440" w:left="1440" w:header="720" w:footer="720" w:gutter="0"/>
          <w:pgNumType w:fmt="lowerRoman" w:start="1"/>
          <w:cols w:space="720"/>
          <w:docGrid w:linePitch="360"/>
        </w:sectPr>
      </w:pPr>
      <w:r>
        <w:rPr>
          <w:b/>
          <w:sz w:val="26"/>
          <w:szCs w:val="26"/>
        </w:rPr>
        <w:fldChar w:fldCharType="end"/>
      </w:r>
    </w:p>
    <w:p w:rsidR="00F461A6" w:rsidRDefault="003A5D24" w:rsidP="00581D51">
      <w:pPr>
        <w:spacing w:line="360" w:lineRule="auto"/>
        <w:jc w:val="center"/>
        <w:rPr>
          <w:b/>
          <w:sz w:val="26"/>
          <w:szCs w:val="26"/>
        </w:rPr>
      </w:pPr>
      <w:r>
        <w:rPr>
          <w:b/>
          <w:sz w:val="26"/>
          <w:szCs w:val="26"/>
        </w:rPr>
        <w:lastRenderedPageBreak/>
        <w:t>OPINION AND ORDER</w:t>
      </w:r>
    </w:p>
    <w:p w:rsidR="00F461A6" w:rsidRDefault="00F461A6" w:rsidP="00581D51">
      <w:pPr>
        <w:spacing w:line="360" w:lineRule="auto"/>
        <w:jc w:val="center"/>
        <w:rPr>
          <w:b/>
          <w:sz w:val="26"/>
          <w:szCs w:val="26"/>
        </w:rPr>
      </w:pPr>
    </w:p>
    <w:p w:rsidR="00581D51" w:rsidRPr="00581D51" w:rsidRDefault="00581D51" w:rsidP="00581D51">
      <w:pPr>
        <w:spacing w:line="360" w:lineRule="auto"/>
        <w:rPr>
          <w:b/>
          <w:sz w:val="26"/>
          <w:szCs w:val="26"/>
        </w:rPr>
      </w:pPr>
      <w:r>
        <w:rPr>
          <w:b/>
          <w:sz w:val="26"/>
          <w:szCs w:val="26"/>
        </w:rPr>
        <w:t>BY THE COMMISSION:</w:t>
      </w:r>
    </w:p>
    <w:p w:rsidR="00581D51" w:rsidRDefault="00581D51" w:rsidP="00581D51">
      <w:pPr>
        <w:spacing w:line="360" w:lineRule="auto"/>
        <w:ind w:firstLine="1440"/>
        <w:rPr>
          <w:sz w:val="26"/>
          <w:szCs w:val="26"/>
        </w:rPr>
      </w:pPr>
    </w:p>
    <w:p w:rsidR="00DB1424" w:rsidRPr="0056717C" w:rsidRDefault="00DB1424" w:rsidP="00695B97">
      <w:pPr>
        <w:pStyle w:val="Heading1"/>
      </w:pPr>
      <w:bookmarkStart w:id="0" w:name="_Toc242516213"/>
      <w:bookmarkStart w:id="1" w:name="_Toc259798192"/>
      <w:bookmarkStart w:id="2" w:name="_Toc263848824"/>
      <w:r w:rsidRPr="0056717C">
        <w:t>I.</w:t>
      </w:r>
      <w:r w:rsidR="00B6382E">
        <w:t xml:space="preserve">  </w:t>
      </w:r>
      <w:r w:rsidR="006F4B78">
        <w:tab/>
      </w:r>
      <w:r w:rsidRPr="00695B97">
        <w:t>Introduction</w:t>
      </w:r>
      <w:bookmarkEnd w:id="0"/>
      <w:bookmarkEnd w:id="1"/>
      <w:bookmarkEnd w:id="2"/>
    </w:p>
    <w:p w:rsidR="00DB1424" w:rsidRPr="00B5299B" w:rsidRDefault="00DB1424" w:rsidP="00DB1424">
      <w:pPr>
        <w:spacing w:line="360" w:lineRule="auto"/>
        <w:jc w:val="center"/>
        <w:rPr>
          <w:sz w:val="26"/>
          <w:szCs w:val="26"/>
        </w:rPr>
      </w:pPr>
    </w:p>
    <w:p w:rsidR="004933B3" w:rsidRPr="00B5299B" w:rsidRDefault="00B5299B" w:rsidP="0030275C">
      <w:pPr>
        <w:spacing w:line="360" w:lineRule="auto"/>
        <w:ind w:firstLine="1440"/>
        <w:rPr>
          <w:rFonts w:eastAsiaTheme="majorEastAsia" w:cstheme="majorBidi"/>
          <w:b/>
          <w:bCs/>
          <w:sz w:val="26"/>
          <w:szCs w:val="26"/>
        </w:rPr>
      </w:pPr>
      <w:bookmarkStart w:id="3" w:name="_Toc242516214"/>
      <w:r w:rsidRPr="00B5299B">
        <w:rPr>
          <w:sz w:val="26"/>
          <w:szCs w:val="26"/>
        </w:rPr>
        <w:t xml:space="preserve">Before the Pennsylvania Public Utility Commission (Commission) for consideration and disposition are the Initial Decision (I.D.) issued </w:t>
      </w:r>
      <w:r w:rsidR="00161478">
        <w:rPr>
          <w:sz w:val="26"/>
          <w:szCs w:val="26"/>
        </w:rPr>
        <w:t xml:space="preserve">in these proceedings </w:t>
      </w:r>
      <w:r w:rsidRPr="00B5299B">
        <w:rPr>
          <w:sz w:val="26"/>
          <w:szCs w:val="26"/>
        </w:rPr>
        <w:t>by Administrative Law Judge (ALJ)</w:t>
      </w:r>
      <w:r>
        <w:rPr>
          <w:sz w:val="26"/>
          <w:szCs w:val="26"/>
        </w:rPr>
        <w:t xml:space="preserve"> </w:t>
      </w:r>
      <w:r w:rsidR="008B4236">
        <w:rPr>
          <w:sz w:val="26"/>
          <w:szCs w:val="26"/>
        </w:rPr>
        <w:t>Susan D. Colwell on January 28, 2010</w:t>
      </w:r>
      <w:r w:rsidR="00512F82">
        <w:rPr>
          <w:sz w:val="26"/>
          <w:szCs w:val="26"/>
        </w:rPr>
        <w:t>, and the Exceptions filed with respect thereto</w:t>
      </w:r>
      <w:r w:rsidR="008B4236">
        <w:rPr>
          <w:sz w:val="26"/>
          <w:szCs w:val="26"/>
        </w:rPr>
        <w:t>.</w:t>
      </w:r>
      <w:r w:rsidR="00EE1C47">
        <w:rPr>
          <w:sz w:val="26"/>
          <w:szCs w:val="26"/>
        </w:rPr>
        <w:t xml:space="preserve">  Specifically, Exceptions have been filed by M</w:t>
      </w:r>
      <w:r w:rsidR="00512F82">
        <w:rPr>
          <w:sz w:val="26"/>
          <w:szCs w:val="26"/>
        </w:rPr>
        <w:t>etropolitan Edison Company (Met-</w:t>
      </w:r>
      <w:r w:rsidR="00EE1C47">
        <w:rPr>
          <w:sz w:val="26"/>
          <w:szCs w:val="26"/>
        </w:rPr>
        <w:t>Ed), Pennsylvania Electric Company (Penelec) and Pennsylvania Power Company (P</w:t>
      </w:r>
      <w:r w:rsidR="00B55DC4">
        <w:rPr>
          <w:sz w:val="26"/>
          <w:szCs w:val="26"/>
        </w:rPr>
        <w:t>enn Power) (collectively, First</w:t>
      </w:r>
      <w:r w:rsidR="00EE1C47">
        <w:rPr>
          <w:sz w:val="26"/>
          <w:szCs w:val="26"/>
        </w:rPr>
        <w:t>Energy or the</w:t>
      </w:r>
      <w:r w:rsidR="00EE1C47" w:rsidRPr="00764E09">
        <w:rPr>
          <w:sz w:val="26"/>
          <w:szCs w:val="26"/>
        </w:rPr>
        <w:t xml:space="preserve"> Companies</w:t>
      </w:r>
      <w:r w:rsidR="00EE1C47">
        <w:rPr>
          <w:sz w:val="26"/>
          <w:szCs w:val="26"/>
        </w:rPr>
        <w:t xml:space="preserve">); the Pennsylvania Department of Environmental Protection (DEP); the Office of Consumer Advocate (OCA); and the Office of Trial Staff (OTS).  Reply Exceptions have been filed by </w:t>
      </w:r>
      <w:r w:rsidR="00981724">
        <w:rPr>
          <w:sz w:val="26"/>
          <w:szCs w:val="26"/>
        </w:rPr>
        <w:t>the Met-E</w:t>
      </w:r>
      <w:r w:rsidR="00F527E8">
        <w:rPr>
          <w:sz w:val="26"/>
          <w:szCs w:val="26"/>
        </w:rPr>
        <w:t>d Industrial Users Group</w:t>
      </w:r>
      <w:r w:rsidR="00981724">
        <w:rPr>
          <w:sz w:val="26"/>
          <w:szCs w:val="26"/>
        </w:rPr>
        <w:t>, the Penelec Industrial Customer Alliance and the Penn</w:t>
      </w:r>
      <w:r w:rsidR="00F527E8">
        <w:rPr>
          <w:sz w:val="26"/>
          <w:szCs w:val="26"/>
        </w:rPr>
        <w:t xml:space="preserve"> Power Users Group </w:t>
      </w:r>
      <w:r w:rsidR="00981724">
        <w:rPr>
          <w:sz w:val="26"/>
          <w:szCs w:val="26"/>
        </w:rPr>
        <w:t xml:space="preserve">(collectively, MEIUG </w:t>
      </w:r>
      <w:r w:rsidR="00981724" w:rsidRPr="00736545">
        <w:rPr>
          <w:i/>
          <w:sz w:val="26"/>
          <w:szCs w:val="26"/>
        </w:rPr>
        <w:t>et al</w:t>
      </w:r>
      <w:r w:rsidR="00981724">
        <w:rPr>
          <w:sz w:val="26"/>
          <w:szCs w:val="26"/>
        </w:rPr>
        <w:t xml:space="preserve">.); </w:t>
      </w:r>
      <w:r w:rsidR="00066031">
        <w:rPr>
          <w:sz w:val="26"/>
          <w:szCs w:val="26"/>
        </w:rPr>
        <w:t xml:space="preserve">the </w:t>
      </w:r>
      <w:r w:rsidR="00EE1C47">
        <w:rPr>
          <w:sz w:val="26"/>
          <w:szCs w:val="26"/>
        </w:rPr>
        <w:t>OTS</w:t>
      </w:r>
      <w:r w:rsidR="00981724">
        <w:rPr>
          <w:sz w:val="26"/>
          <w:szCs w:val="26"/>
        </w:rPr>
        <w:t xml:space="preserve">; </w:t>
      </w:r>
      <w:r w:rsidR="00066031">
        <w:rPr>
          <w:sz w:val="26"/>
          <w:szCs w:val="26"/>
        </w:rPr>
        <w:t xml:space="preserve">the </w:t>
      </w:r>
      <w:r w:rsidR="00981724">
        <w:rPr>
          <w:sz w:val="26"/>
          <w:szCs w:val="26"/>
        </w:rPr>
        <w:t xml:space="preserve">OCA; </w:t>
      </w:r>
      <w:r w:rsidR="00684039">
        <w:rPr>
          <w:sz w:val="26"/>
          <w:szCs w:val="26"/>
        </w:rPr>
        <w:t xml:space="preserve">the Companies; </w:t>
      </w:r>
      <w:r w:rsidR="00981724">
        <w:rPr>
          <w:sz w:val="26"/>
          <w:szCs w:val="26"/>
        </w:rPr>
        <w:t xml:space="preserve">and </w:t>
      </w:r>
      <w:r w:rsidR="00EE1C47">
        <w:rPr>
          <w:sz w:val="26"/>
          <w:szCs w:val="26"/>
        </w:rPr>
        <w:t xml:space="preserve">the </w:t>
      </w:r>
      <w:r w:rsidR="00981724">
        <w:rPr>
          <w:sz w:val="26"/>
          <w:szCs w:val="26"/>
        </w:rPr>
        <w:t>O</w:t>
      </w:r>
      <w:r w:rsidR="00EE1C47">
        <w:rPr>
          <w:sz w:val="26"/>
          <w:szCs w:val="26"/>
        </w:rPr>
        <w:t>ffice of Small Business Advocate (OSBA)</w:t>
      </w:r>
      <w:r w:rsidR="00981724">
        <w:rPr>
          <w:sz w:val="26"/>
          <w:szCs w:val="26"/>
        </w:rPr>
        <w:t xml:space="preserve">. </w:t>
      </w:r>
      <w:r w:rsidR="00B07350">
        <w:rPr>
          <w:sz w:val="26"/>
          <w:szCs w:val="26"/>
        </w:rPr>
        <w:t xml:space="preserve">For the reasons set </w:t>
      </w:r>
      <w:r w:rsidR="00F527E8">
        <w:rPr>
          <w:sz w:val="26"/>
          <w:szCs w:val="26"/>
        </w:rPr>
        <w:t>forth herein, we will adopt the ALJ’s Initial Decision, as modified by this Opinion and Order</w:t>
      </w:r>
      <w:r w:rsidR="00B07350">
        <w:rPr>
          <w:sz w:val="26"/>
          <w:szCs w:val="26"/>
        </w:rPr>
        <w:t>.</w:t>
      </w:r>
      <w:r w:rsidR="004933B3" w:rsidRPr="00B5299B">
        <w:rPr>
          <w:sz w:val="26"/>
          <w:szCs w:val="26"/>
        </w:rPr>
        <w:br w:type="page"/>
      </w:r>
    </w:p>
    <w:p w:rsidR="00B830F4" w:rsidRDefault="00B6382E" w:rsidP="00DD22A6">
      <w:pPr>
        <w:pStyle w:val="Heading1"/>
        <w:rPr>
          <w:szCs w:val="26"/>
        </w:rPr>
      </w:pPr>
      <w:bookmarkStart w:id="4" w:name="_Toc259798193"/>
      <w:bookmarkStart w:id="5" w:name="_Toc263848825"/>
      <w:r>
        <w:rPr>
          <w:szCs w:val="26"/>
        </w:rPr>
        <w:lastRenderedPageBreak/>
        <w:t xml:space="preserve">II.  </w:t>
      </w:r>
      <w:r w:rsidR="006F4B78">
        <w:rPr>
          <w:szCs w:val="26"/>
        </w:rPr>
        <w:tab/>
      </w:r>
      <w:bookmarkEnd w:id="3"/>
      <w:r w:rsidR="00020830">
        <w:rPr>
          <w:szCs w:val="26"/>
        </w:rPr>
        <w:t>Background</w:t>
      </w:r>
      <w:bookmarkEnd w:id="4"/>
      <w:bookmarkEnd w:id="5"/>
    </w:p>
    <w:p w:rsidR="00DD22A6" w:rsidRDefault="00DD22A6" w:rsidP="00F15DBB">
      <w:pPr>
        <w:spacing w:line="360" w:lineRule="auto"/>
        <w:ind w:firstLine="1440"/>
        <w:rPr>
          <w:sz w:val="26"/>
          <w:szCs w:val="26"/>
        </w:rPr>
      </w:pPr>
    </w:p>
    <w:p w:rsidR="008A43E2" w:rsidRDefault="008A43E2" w:rsidP="008A43E2">
      <w:pPr>
        <w:pStyle w:val="Heading2"/>
      </w:pPr>
      <w:bookmarkStart w:id="6" w:name="_Toc259798194"/>
      <w:bookmarkStart w:id="7" w:name="_Toc263848826"/>
      <w:r>
        <w:t>A.</w:t>
      </w:r>
      <w:r>
        <w:tab/>
        <w:t>Act 129</w:t>
      </w:r>
      <w:bookmarkEnd w:id="6"/>
      <w:bookmarkEnd w:id="7"/>
    </w:p>
    <w:p w:rsidR="008A43E2" w:rsidRDefault="008A43E2" w:rsidP="0065303B">
      <w:pPr>
        <w:pStyle w:val="p3"/>
        <w:widowControl/>
        <w:tabs>
          <w:tab w:val="clear" w:pos="204"/>
        </w:tabs>
        <w:spacing w:line="360" w:lineRule="auto"/>
        <w:ind w:firstLine="1440"/>
        <w:rPr>
          <w:sz w:val="26"/>
        </w:rPr>
      </w:pPr>
    </w:p>
    <w:p w:rsidR="0065303B" w:rsidRDefault="0065303B" w:rsidP="0065303B">
      <w:pPr>
        <w:pStyle w:val="p3"/>
        <w:widowControl/>
        <w:tabs>
          <w:tab w:val="clear" w:pos="204"/>
        </w:tabs>
        <w:spacing w:line="360" w:lineRule="auto"/>
        <w:ind w:firstLine="1440"/>
        <w:rPr>
          <w:sz w:val="26"/>
        </w:rPr>
      </w:pPr>
      <w:r w:rsidRPr="00920883">
        <w:rPr>
          <w:sz w:val="26"/>
        </w:rPr>
        <w:t xml:space="preserve">Governor Edward </w:t>
      </w:r>
      <w:r w:rsidR="00EF2F31">
        <w:rPr>
          <w:sz w:val="26"/>
        </w:rPr>
        <w:t xml:space="preserve">G. </w:t>
      </w:r>
      <w:r w:rsidRPr="00920883">
        <w:rPr>
          <w:sz w:val="26"/>
        </w:rPr>
        <w:t xml:space="preserve">Rendell signed Act 129 </w:t>
      </w:r>
      <w:r w:rsidR="00EF2F31">
        <w:rPr>
          <w:sz w:val="26"/>
        </w:rPr>
        <w:t>of 2008 (the Act</w:t>
      </w:r>
      <w:r w:rsidRPr="00920883">
        <w:rPr>
          <w:sz w:val="26"/>
        </w:rPr>
        <w:t xml:space="preserve"> or Act 129) into law on October </w:t>
      </w:r>
      <w:r w:rsidR="005974D8">
        <w:rPr>
          <w:sz w:val="26"/>
        </w:rPr>
        <w:t xml:space="preserve">15, 2008. </w:t>
      </w:r>
      <w:r w:rsidR="00B07350">
        <w:rPr>
          <w:sz w:val="26"/>
        </w:rPr>
        <w:t xml:space="preserve"> </w:t>
      </w:r>
      <w:r w:rsidR="005974D8">
        <w:rPr>
          <w:sz w:val="26"/>
        </w:rPr>
        <w:t>The Act took effect thirty</w:t>
      </w:r>
      <w:r w:rsidRPr="00920883">
        <w:rPr>
          <w:sz w:val="26"/>
        </w:rPr>
        <w:t xml:space="preserve"> days thereafter on November 14, 2008.  Among other things, the Act specifically directed that</w:t>
      </w:r>
      <w:r w:rsidR="000F1824">
        <w:rPr>
          <w:sz w:val="26"/>
        </w:rPr>
        <w:t xml:space="preserve"> </w:t>
      </w:r>
      <w:r w:rsidRPr="00920883">
        <w:rPr>
          <w:sz w:val="26"/>
        </w:rPr>
        <w:t>el</w:t>
      </w:r>
      <w:r w:rsidR="00EF2F31">
        <w:rPr>
          <w:sz w:val="26"/>
        </w:rPr>
        <w:t>ectric distribution companies (</w:t>
      </w:r>
      <w:r w:rsidRPr="00920883">
        <w:rPr>
          <w:sz w:val="26"/>
        </w:rPr>
        <w:t>EDCs)</w:t>
      </w:r>
      <w:r w:rsidR="000F1824">
        <w:rPr>
          <w:sz w:val="26"/>
        </w:rPr>
        <w:t xml:space="preserve"> with at least 100,000 customers</w:t>
      </w:r>
      <w:r w:rsidRPr="00920883">
        <w:rPr>
          <w:sz w:val="26"/>
        </w:rPr>
        <w:t xml:space="preserve"> file, with the Commission for approval, a smart meter technology procurement and installation plan. 66 Pa. C.S. §</w:t>
      </w:r>
      <w:r>
        <w:rPr>
          <w:sz w:val="26"/>
        </w:rPr>
        <w:t> </w:t>
      </w:r>
      <w:r w:rsidR="00367A78">
        <w:rPr>
          <w:sz w:val="26"/>
        </w:rPr>
        <w:t xml:space="preserve">2807(f)(1).  </w:t>
      </w:r>
      <w:r w:rsidR="000F1824">
        <w:rPr>
          <w:sz w:val="26"/>
        </w:rPr>
        <w:t xml:space="preserve">These plans </w:t>
      </w:r>
      <w:r w:rsidR="00B07350">
        <w:rPr>
          <w:sz w:val="26"/>
        </w:rPr>
        <w:t xml:space="preserve">were to be </w:t>
      </w:r>
      <w:r w:rsidR="000F1824">
        <w:rPr>
          <w:sz w:val="26"/>
        </w:rPr>
        <w:t>filed by August 14, 2009</w:t>
      </w:r>
      <w:r w:rsidR="00536A11">
        <w:rPr>
          <w:sz w:val="26"/>
        </w:rPr>
        <w:t xml:space="preserve">.  Each plan </w:t>
      </w:r>
      <w:r w:rsidR="00B07350">
        <w:rPr>
          <w:sz w:val="26"/>
        </w:rPr>
        <w:t>wa</w:t>
      </w:r>
      <w:r w:rsidR="00536A11">
        <w:rPr>
          <w:sz w:val="26"/>
        </w:rPr>
        <w:t>s</w:t>
      </w:r>
      <w:r w:rsidR="00B07350">
        <w:rPr>
          <w:sz w:val="26"/>
        </w:rPr>
        <w:t xml:space="preserve"> </w:t>
      </w:r>
      <w:r w:rsidR="00536A11">
        <w:rPr>
          <w:sz w:val="26"/>
        </w:rPr>
        <w:t>t</w:t>
      </w:r>
      <w:r w:rsidR="00B07350">
        <w:rPr>
          <w:sz w:val="26"/>
        </w:rPr>
        <w:t>o</w:t>
      </w:r>
      <w:r w:rsidR="00536A11">
        <w:rPr>
          <w:sz w:val="26"/>
        </w:rPr>
        <w:t xml:space="preserve"> </w:t>
      </w:r>
      <w:r w:rsidRPr="00920883">
        <w:rPr>
          <w:sz w:val="26"/>
        </w:rPr>
        <w:t>describe the smart meter technologies the EDC proposes to install, upon request from a customer at the customer’s expense, in new construction</w:t>
      </w:r>
      <w:r w:rsidR="004D7A83">
        <w:rPr>
          <w:sz w:val="26"/>
        </w:rPr>
        <w:t>,</w:t>
      </w:r>
      <w:r w:rsidRPr="00920883">
        <w:rPr>
          <w:sz w:val="26"/>
        </w:rPr>
        <w:t xml:space="preserve"> and in accordance with a depreciation schedule not to exceed 15 years.  66 Pa. C.S. §§ 2807(f)(1) an</w:t>
      </w:r>
      <w:r w:rsidR="00B07350">
        <w:rPr>
          <w:sz w:val="26"/>
        </w:rPr>
        <w:t>d (2).  The Act also established</w:t>
      </w:r>
      <w:r w:rsidRPr="00920883">
        <w:rPr>
          <w:sz w:val="26"/>
        </w:rPr>
        <w:t xml:space="preserve"> </w:t>
      </w:r>
      <w:r>
        <w:rPr>
          <w:sz w:val="26"/>
        </w:rPr>
        <w:t>a requirement for EDCs to make available to third parties</w:t>
      </w:r>
      <w:r w:rsidR="00B07350">
        <w:rPr>
          <w:sz w:val="26"/>
        </w:rPr>
        <w:t>, upon customer consent,</w:t>
      </w:r>
      <w:r>
        <w:rPr>
          <w:sz w:val="26"/>
        </w:rPr>
        <w:t xml:space="preserve"> direct </w:t>
      </w:r>
      <w:r w:rsidRPr="00920883">
        <w:rPr>
          <w:sz w:val="26"/>
        </w:rPr>
        <w:t>meter</w:t>
      </w:r>
      <w:r>
        <w:rPr>
          <w:sz w:val="26"/>
        </w:rPr>
        <w:t xml:space="preserve"> access</w:t>
      </w:r>
      <w:r w:rsidRPr="00920883">
        <w:rPr>
          <w:sz w:val="26"/>
        </w:rPr>
        <w:t xml:space="preserve"> and </w:t>
      </w:r>
      <w:r>
        <w:rPr>
          <w:sz w:val="26"/>
        </w:rPr>
        <w:t xml:space="preserve">electronic access to </w:t>
      </w:r>
      <w:r w:rsidR="00B07350">
        <w:rPr>
          <w:sz w:val="26"/>
        </w:rPr>
        <w:t>meter data</w:t>
      </w:r>
      <w:r w:rsidRPr="00920883">
        <w:rPr>
          <w:sz w:val="26"/>
        </w:rPr>
        <w:t>.  66 Pa. C.S. § 2807(f)(3).  The Act further define</w:t>
      </w:r>
      <w:r w:rsidR="00B07350">
        <w:rPr>
          <w:sz w:val="26"/>
        </w:rPr>
        <w:t>d</w:t>
      </w:r>
      <w:r w:rsidRPr="00920883">
        <w:rPr>
          <w:sz w:val="26"/>
        </w:rPr>
        <w:t xml:space="preserve"> minimum s</w:t>
      </w:r>
      <w:r>
        <w:rPr>
          <w:sz w:val="26"/>
        </w:rPr>
        <w:t>m</w:t>
      </w:r>
      <w:r w:rsidRPr="00920883">
        <w:rPr>
          <w:sz w:val="26"/>
        </w:rPr>
        <w:t xml:space="preserve">art meter technology capabilities.  66 Pa. C.S. </w:t>
      </w:r>
      <w:r w:rsidR="00B07350">
        <w:rPr>
          <w:sz w:val="26"/>
        </w:rPr>
        <w:br/>
      </w:r>
      <w:r w:rsidRPr="00920883">
        <w:rPr>
          <w:sz w:val="26"/>
        </w:rPr>
        <w:t>§ 2807(g).  Finally, the Act establishe</w:t>
      </w:r>
      <w:r w:rsidR="00B07350">
        <w:rPr>
          <w:sz w:val="26"/>
        </w:rPr>
        <w:t>d</w:t>
      </w:r>
      <w:r w:rsidRPr="00920883">
        <w:rPr>
          <w:sz w:val="26"/>
        </w:rPr>
        <w:t xml:space="preserve"> acceptable cost recovery methods.  66 Pa. C.S. </w:t>
      </w:r>
      <w:r w:rsidR="00C656CD">
        <w:rPr>
          <w:sz w:val="26"/>
        </w:rPr>
        <w:br/>
      </w:r>
      <w:r w:rsidRPr="00920883">
        <w:rPr>
          <w:sz w:val="26"/>
        </w:rPr>
        <w:t>§ 2807(7).</w:t>
      </w:r>
    </w:p>
    <w:p w:rsidR="0065303B" w:rsidRDefault="0065303B" w:rsidP="0065303B">
      <w:pPr>
        <w:pStyle w:val="p3"/>
        <w:widowControl/>
        <w:tabs>
          <w:tab w:val="clear" w:pos="204"/>
        </w:tabs>
        <w:spacing w:line="360" w:lineRule="auto"/>
        <w:rPr>
          <w:sz w:val="26"/>
        </w:rPr>
      </w:pPr>
    </w:p>
    <w:p w:rsidR="0065303B" w:rsidRDefault="0065303B" w:rsidP="004D7A83">
      <w:pPr>
        <w:pStyle w:val="p3"/>
        <w:widowControl/>
        <w:tabs>
          <w:tab w:val="clear" w:pos="204"/>
        </w:tabs>
        <w:spacing w:line="360" w:lineRule="auto"/>
        <w:ind w:firstLine="1440"/>
        <w:rPr>
          <w:sz w:val="26"/>
        </w:rPr>
      </w:pPr>
      <w:r>
        <w:rPr>
          <w:sz w:val="26"/>
        </w:rPr>
        <w:t xml:space="preserve">On March 30, 2009, the Commission issued a Secretarial Letter seeking comments on a draft staff proposal and additional questions regarding EDC smart meter procurement and installation.  </w:t>
      </w:r>
      <w:r w:rsidR="004D7A83">
        <w:rPr>
          <w:sz w:val="26"/>
        </w:rPr>
        <w:t xml:space="preserve">On June 24, 2009, the Commission </w:t>
      </w:r>
      <w:r w:rsidR="00367A78">
        <w:rPr>
          <w:sz w:val="26"/>
        </w:rPr>
        <w:t xml:space="preserve">outlined </w:t>
      </w:r>
      <w:r w:rsidR="00016010">
        <w:rPr>
          <w:sz w:val="26"/>
        </w:rPr>
        <w:t xml:space="preserve">the standards each </w:t>
      </w:r>
      <w:r w:rsidR="00367A78">
        <w:rPr>
          <w:sz w:val="26"/>
        </w:rPr>
        <w:t xml:space="preserve">smart meter </w:t>
      </w:r>
      <w:r w:rsidR="00016010">
        <w:rPr>
          <w:sz w:val="26"/>
        </w:rPr>
        <w:t xml:space="preserve">plan must meet and provided guidance on the procedures to be followed for submittal, review and approval of all aspects of each smart meter plan.  </w:t>
      </w:r>
      <w:r w:rsidR="004D7A83" w:rsidRPr="00016010">
        <w:rPr>
          <w:i/>
          <w:sz w:val="26"/>
        </w:rPr>
        <w:t>Smart Meter Procurement and Installation</w:t>
      </w:r>
      <w:r w:rsidR="004D7A83">
        <w:rPr>
          <w:sz w:val="26"/>
        </w:rPr>
        <w:t xml:space="preserve">, Docket No. </w:t>
      </w:r>
      <w:r w:rsidR="00016010">
        <w:rPr>
          <w:sz w:val="26"/>
        </w:rPr>
        <w:t>M-2009-2092655 (</w:t>
      </w:r>
      <w:r w:rsidR="00016010">
        <w:rPr>
          <w:i/>
          <w:sz w:val="26"/>
        </w:rPr>
        <w:t>Implementation Order</w:t>
      </w:r>
      <w:r w:rsidR="00016010">
        <w:rPr>
          <w:sz w:val="26"/>
        </w:rPr>
        <w:t xml:space="preserve">).  </w:t>
      </w:r>
    </w:p>
    <w:p w:rsidR="008A43E2" w:rsidRDefault="008A43E2" w:rsidP="004D7A83">
      <w:pPr>
        <w:pStyle w:val="p3"/>
        <w:widowControl/>
        <w:tabs>
          <w:tab w:val="clear" w:pos="204"/>
        </w:tabs>
        <w:spacing w:line="360" w:lineRule="auto"/>
        <w:ind w:firstLine="1440"/>
        <w:rPr>
          <w:sz w:val="26"/>
        </w:rPr>
      </w:pPr>
    </w:p>
    <w:p w:rsidR="006903A1" w:rsidRDefault="006903A1">
      <w:pPr>
        <w:spacing w:after="200" w:line="276" w:lineRule="auto"/>
        <w:rPr>
          <w:rFonts w:eastAsiaTheme="majorEastAsia" w:cstheme="majorBidi"/>
          <w:b/>
          <w:bCs/>
          <w:sz w:val="26"/>
          <w:szCs w:val="26"/>
        </w:rPr>
      </w:pPr>
      <w:r>
        <w:br w:type="page"/>
      </w:r>
    </w:p>
    <w:p w:rsidR="008A43E2" w:rsidRPr="00367A78" w:rsidRDefault="008A43E2" w:rsidP="008A43E2">
      <w:pPr>
        <w:pStyle w:val="Heading2"/>
      </w:pPr>
      <w:bookmarkStart w:id="8" w:name="_Toc259798195"/>
      <w:bookmarkStart w:id="9" w:name="_Toc263848827"/>
      <w:r>
        <w:lastRenderedPageBreak/>
        <w:t>B.</w:t>
      </w:r>
      <w:r>
        <w:tab/>
        <w:t>The Companies</w:t>
      </w:r>
      <w:bookmarkEnd w:id="8"/>
      <w:bookmarkEnd w:id="9"/>
    </w:p>
    <w:p w:rsidR="005B3EBF" w:rsidRDefault="005B3EBF" w:rsidP="00F15DBB">
      <w:pPr>
        <w:spacing w:line="360" w:lineRule="auto"/>
        <w:ind w:firstLine="1440"/>
        <w:rPr>
          <w:sz w:val="26"/>
          <w:szCs w:val="26"/>
        </w:rPr>
      </w:pPr>
    </w:p>
    <w:p w:rsidR="008A43E2" w:rsidRDefault="00B55DC4" w:rsidP="00F15DBB">
      <w:pPr>
        <w:spacing w:line="360" w:lineRule="auto"/>
        <w:ind w:firstLine="1440"/>
        <w:rPr>
          <w:sz w:val="26"/>
          <w:szCs w:val="26"/>
        </w:rPr>
      </w:pPr>
      <w:r>
        <w:rPr>
          <w:sz w:val="26"/>
          <w:szCs w:val="26"/>
        </w:rPr>
        <w:t>Met-Ed</w:t>
      </w:r>
      <w:r w:rsidR="008A43E2">
        <w:rPr>
          <w:sz w:val="26"/>
          <w:szCs w:val="26"/>
        </w:rPr>
        <w:t xml:space="preserve"> is a wholly-owned subsidiary of </w:t>
      </w:r>
      <w:r w:rsidR="00DD2B7B">
        <w:rPr>
          <w:sz w:val="26"/>
          <w:szCs w:val="26"/>
        </w:rPr>
        <w:t>FirstEnergy</w:t>
      </w:r>
      <w:r w:rsidR="008A43E2">
        <w:rPr>
          <w:sz w:val="26"/>
          <w:szCs w:val="26"/>
        </w:rPr>
        <w:t xml:space="preserve"> Corp.  It serves about 549,000 electric utility customers over approximately 3,300 square miles in </w:t>
      </w:r>
      <w:r w:rsidR="00910218">
        <w:rPr>
          <w:sz w:val="26"/>
          <w:szCs w:val="26"/>
        </w:rPr>
        <w:t xml:space="preserve">southern and southeastern </w:t>
      </w:r>
      <w:r w:rsidR="008A43E2">
        <w:rPr>
          <w:sz w:val="26"/>
          <w:szCs w:val="26"/>
        </w:rPr>
        <w:t>Pennsylvania.  Approximately 88% of its customers are residential</w:t>
      </w:r>
      <w:r w:rsidR="00910218">
        <w:rPr>
          <w:sz w:val="26"/>
          <w:szCs w:val="26"/>
        </w:rPr>
        <w:t xml:space="preserve"> customers </w:t>
      </w:r>
      <w:r w:rsidR="008A43E2">
        <w:rPr>
          <w:sz w:val="26"/>
          <w:szCs w:val="26"/>
        </w:rPr>
        <w:t xml:space="preserve">and about </w:t>
      </w:r>
      <w:r w:rsidR="00D90FF7">
        <w:rPr>
          <w:sz w:val="26"/>
          <w:szCs w:val="26"/>
        </w:rPr>
        <w:t>11% are commercial customers</w:t>
      </w:r>
      <w:r w:rsidR="008A43E2">
        <w:rPr>
          <w:sz w:val="26"/>
          <w:szCs w:val="26"/>
        </w:rPr>
        <w:t xml:space="preserve">.  </w:t>
      </w:r>
      <w:r>
        <w:rPr>
          <w:sz w:val="26"/>
          <w:szCs w:val="26"/>
        </w:rPr>
        <w:t>FirstEnergy</w:t>
      </w:r>
      <w:r w:rsidR="008A43E2">
        <w:rPr>
          <w:sz w:val="26"/>
          <w:szCs w:val="26"/>
        </w:rPr>
        <w:t xml:space="preserve"> St. No. 1 at 4.</w:t>
      </w:r>
    </w:p>
    <w:p w:rsidR="008A43E2" w:rsidRDefault="008A43E2" w:rsidP="00F15DBB">
      <w:pPr>
        <w:spacing w:line="360" w:lineRule="auto"/>
        <w:ind w:firstLine="1440"/>
        <w:rPr>
          <w:sz w:val="26"/>
          <w:szCs w:val="26"/>
        </w:rPr>
      </w:pPr>
    </w:p>
    <w:p w:rsidR="008A43E2" w:rsidRDefault="008A43E2" w:rsidP="00F15DBB">
      <w:pPr>
        <w:spacing w:line="360" w:lineRule="auto"/>
        <w:ind w:firstLine="1440"/>
        <w:rPr>
          <w:sz w:val="26"/>
          <w:szCs w:val="26"/>
        </w:rPr>
      </w:pPr>
      <w:r>
        <w:rPr>
          <w:sz w:val="26"/>
          <w:szCs w:val="26"/>
        </w:rPr>
        <w:t xml:space="preserve">Penelec is a wholly-owned subsidiary of </w:t>
      </w:r>
      <w:r w:rsidR="00DD2B7B">
        <w:rPr>
          <w:sz w:val="26"/>
          <w:szCs w:val="26"/>
        </w:rPr>
        <w:t>FirstEnergy</w:t>
      </w:r>
      <w:r>
        <w:rPr>
          <w:sz w:val="26"/>
          <w:szCs w:val="26"/>
        </w:rPr>
        <w:t xml:space="preserve"> Corp.  It se</w:t>
      </w:r>
      <w:r w:rsidR="00D90FF7">
        <w:rPr>
          <w:sz w:val="26"/>
          <w:szCs w:val="26"/>
        </w:rPr>
        <w:t xml:space="preserve">rves about 589,000 customers over approximately 17,600 square miles in </w:t>
      </w:r>
      <w:r w:rsidR="00910218">
        <w:rPr>
          <w:sz w:val="26"/>
          <w:szCs w:val="26"/>
        </w:rPr>
        <w:t xml:space="preserve">northern, northwest, and central </w:t>
      </w:r>
      <w:r w:rsidR="00D90FF7">
        <w:rPr>
          <w:sz w:val="26"/>
          <w:szCs w:val="26"/>
        </w:rPr>
        <w:t xml:space="preserve">Pennsylvania.  Approximately 86% of its customers are residential </w:t>
      </w:r>
      <w:r w:rsidR="00910218">
        <w:rPr>
          <w:sz w:val="26"/>
          <w:szCs w:val="26"/>
        </w:rPr>
        <w:t xml:space="preserve">customers </w:t>
      </w:r>
      <w:r w:rsidR="00D90FF7">
        <w:rPr>
          <w:sz w:val="26"/>
          <w:szCs w:val="26"/>
        </w:rPr>
        <w:t xml:space="preserve">and about 13% are commercial customers.  </w:t>
      </w:r>
      <w:r w:rsidR="00B55DC4">
        <w:rPr>
          <w:sz w:val="26"/>
          <w:szCs w:val="26"/>
        </w:rPr>
        <w:t>FirstEnergy</w:t>
      </w:r>
      <w:r w:rsidR="00D90FF7">
        <w:rPr>
          <w:sz w:val="26"/>
          <w:szCs w:val="26"/>
        </w:rPr>
        <w:t xml:space="preserve"> St. No. 1 at 4.</w:t>
      </w:r>
    </w:p>
    <w:p w:rsidR="00D90FF7" w:rsidRDefault="00D90FF7" w:rsidP="00F15DBB">
      <w:pPr>
        <w:spacing w:line="360" w:lineRule="auto"/>
        <w:ind w:firstLine="1440"/>
        <w:rPr>
          <w:sz w:val="26"/>
          <w:szCs w:val="26"/>
        </w:rPr>
      </w:pPr>
    </w:p>
    <w:p w:rsidR="00D90FF7" w:rsidRDefault="00D90FF7" w:rsidP="00F15DBB">
      <w:pPr>
        <w:spacing w:line="360" w:lineRule="auto"/>
        <w:ind w:firstLine="1440"/>
        <w:rPr>
          <w:sz w:val="26"/>
          <w:szCs w:val="26"/>
        </w:rPr>
      </w:pPr>
      <w:r>
        <w:rPr>
          <w:sz w:val="26"/>
          <w:szCs w:val="26"/>
        </w:rPr>
        <w:t xml:space="preserve">Penn Power is a wholly-owned subsidiary of Ohio Edison Company, which is, in turn, a wholly-owned subsidiary of </w:t>
      </w:r>
      <w:r w:rsidR="00B55DC4">
        <w:rPr>
          <w:sz w:val="26"/>
          <w:szCs w:val="26"/>
        </w:rPr>
        <w:t>FirstEnergy</w:t>
      </w:r>
      <w:r>
        <w:rPr>
          <w:sz w:val="26"/>
          <w:szCs w:val="26"/>
        </w:rPr>
        <w:t xml:space="preserve"> Corp.  Penn Power serve</w:t>
      </w:r>
      <w:r w:rsidR="00910218">
        <w:rPr>
          <w:sz w:val="26"/>
          <w:szCs w:val="26"/>
        </w:rPr>
        <w:t>s</w:t>
      </w:r>
      <w:r>
        <w:rPr>
          <w:sz w:val="26"/>
          <w:szCs w:val="26"/>
        </w:rPr>
        <w:t xml:space="preserve"> about 159,000 customers over approximately 1,100 square miles in </w:t>
      </w:r>
      <w:r w:rsidR="00910218">
        <w:rPr>
          <w:sz w:val="26"/>
          <w:szCs w:val="26"/>
        </w:rPr>
        <w:t xml:space="preserve">western </w:t>
      </w:r>
      <w:r>
        <w:rPr>
          <w:sz w:val="26"/>
          <w:szCs w:val="26"/>
        </w:rPr>
        <w:t xml:space="preserve">Pennsylvania.  Approximately 87% of its customers are residential </w:t>
      </w:r>
      <w:r w:rsidR="006903A1">
        <w:rPr>
          <w:sz w:val="26"/>
          <w:szCs w:val="26"/>
        </w:rPr>
        <w:t xml:space="preserve">customers </w:t>
      </w:r>
      <w:r>
        <w:rPr>
          <w:sz w:val="26"/>
          <w:szCs w:val="26"/>
        </w:rPr>
        <w:t xml:space="preserve">and about 12% are commercial customers.  </w:t>
      </w:r>
      <w:r w:rsidR="00B55DC4">
        <w:rPr>
          <w:sz w:val="26"/>
          <w:szCs w:val="26"/>
        </w:rPr>
        <w:t>FirstEnergy</w:t>
      </w:r>
      <w:r>
        <w:rPr>
          <w:sz w:val="26"/>
          <w:szCs w:val="26"/>
        </w:rPr>
        <w:t xml:space="preserve"> St. No. 1 at 5.  </w:t>
      </w:r>
    </w:p>
    <w:p w:rsidR="008A43E2" w:rsidRDefault="008A43E2" w:rsidP="00F15DBB">
      <w:pPr>
        <w:spacing w:line="360" w:lineRule="auto"/>
        <w:ind w:firstLine="1440"/>
        <w:rPr>
          <w:sz w:val="26"/>
          <w:szCs w:val="26"/>
        </w:rPr>
      </w:pPr>
    </w:p>
    <w:p w:rsidR="00884BB4" w:rsidRDefault="00884BB4">
      <w:pPr>
        <w:spacing w:after="200" w:line="276" w:lineRule="auto"/>
        <w:rPr>
          <w:rFonts w:eastAsiaTheme="majorEastAsia" w:cstheme="majorBidi"/>
          <w:b/>
          <w:bCs/>
          <w:sz w:val="26"/>
          <w:szCs w:val="26"/>
        </w:rPr>
      </w:pPr>
      <w:bookmarkStart w:id="10" w:name="_Toc242516218"/>
      <w:r>
        <w:rPr>
          <w:szCs w:val="26"/>
        </w:rPr>
        <w:br w:type="page"/>
      </w:r>
    </w:p>
    <w:p w:rsidR="00FD7119" w:rsidRDefault="00FD7119" w:rsidP="00FD7119">
      <w:pPr>
        <w:pStyle w:val="Heading1"/>
        <w:rPr>
          <w:szCs w:val="26"/>
        </w:rPr>
      </w:pPr>
      <w:bookmarkStart w:id="11" w:name="_Toc259798196"/>
      <w:bookmarkStart w:id="12" w:name="_Toc263848828"/>
      <w:r>
        <w:rPr>
          <w:szCs w:val="26"/>
        </w:rPr>
        <w:lastRenderedPageBreak/>
        <w:t xml:space="preserve">III.  </w:t>
      </w:r>
      <w:r>
        <w:rPr>
          <w:szCs w:val="26"/>
        </w:rPr>
        <w:tab/>
        <w:t>Procedural History</w:t>
      </w:r>
      <w:bookmarkEnd w:id="11"/>
      <w:bookmarkEnd w:id="12"/>
    </w:p>
    <w:p w:rsidR="00FD7119" w:rsidRDefault="00FD7119" w:rsidP="00695B97">
      <w:pPr>
        <w:pStyle w:val="Heading1"/>
      </w:pPr>
    </w:p>
    <w:p w:rsidR="0099297B" w:rsidRDefault="00764E09" w:rsidP="00764E09">
      <w:pPr>
        <w:spacing w:line="360" w:lineRule="auto"/>
        <w:ind w:firstLine="1440"/>
        <w:rPr>
          <w:sz w:val="26"/>
          <w:szCs w:val="26"/>
        </w:rPr>
      </w:pPr>
      <w:r>
        <w:rPr>
          <w:sz w:val="26"/>
          <w:szCs w:val="26"/>
        </w:rPr>
        <w:t>On August 14, 2009, the</w:t>
      </w:r>
      <w:r w:rsidRPr="00764E09">
        <w:rPr>
          <w:sz w:val="26"/>
          <w:szCs w:val="26"/>
        </w:rPr>
        <w:t xml:space="preserve"> Companies </w:t>
      </w:r>
      <w:r>
        <w:rPr>
          <w:sz w:val="26"/>
          <w:szCs w:val="26"/>
        </w:rPr>
        <w:t xml:space="preserve">filed a Joint Petition </w:t>
      </w:r>
      <w:r w:rsidR="00C72D7F">
        <w:rPr>
          <w:sz w:val="26"/>
          <w:szCs w:val="26"/>
        </w:rPr>
        <w:t xml:space="preserve">(Petition) </w:t>
      </w:r>
      <w:r>
        <w:rPr>
          <w:sz w:val="26"/>
          <w:szCs w:val="26"/>
        </w:rPr>
        <w:t>for Approval of Smart Meter Te</w:t>
      </w:r>
      <w:r w:rsidR="003B4687">
        <w:rPr>
          <w:sz w:val="26"/>
          <w:szCs w:val="26"/>
        </w:rPr>
        <w:t xml:space="preserve">chnology </w:t>
      </w:r>
      <w:r w:rsidR="005C461C">
        <w:rPr>
          <w:sz w:val="26"/>
          <w:szCs w:val="26"/>
        </w:rPr>
        <w:t xml:space="preserve">Procurement </w:t>
      </w:r>
      <w:r w:rsidR="003B4687">
        <w:rPr>
          <w:sz w:val="26"/>
          <w:szCs w:val="26"/>
        </w:rPr>
        <w:t>and Installation Plan (</w:t>
      </w:r>
      <w:r w:rsidR="00C72D7F">
        <w:rPr>
          <w:sz w:val="26"/>
          <w:szCs w:val="26"/>
        </w:rPr>
        <w:t>P</w:t>
      </w:r>
      <w:r w:rsidR="005C461C">
        <w:rPr>
          <w:sz w:val="26"/>
          <w:szCs w:val="26"/>
        </w:rPr>
        <w:t>lan</w:t>
      </w:r>
      <w:r w:rsidR="003B4687">
        <w:rPr>
          <w:sz w:val="26"/>
          <w:szCs w:val="26"/>
        </w:rPr>
        <w:t>)</w:t>
      </w:r>
      <w:r>
        <w:rPr>
          <w:sz w:val="26"/>
          <w:szCs w:val="26"/>
        </w:rPr>
        <w:t xml:space="preserve">.  </w:t>
      </w:r>
      <w:r w:rsidR="00A635D3">
        <w:rPr>
          <w:sz w:val="26"/>
          <w:szCs w:val="26"/>
        </w:rPr>
        <w:t>To recover th</w:t>
      </w:r>
      <w:r w:rsidR="003B4687">
        <w:rPr>
          <w:sz w:val="26"/>
          <w:szCs w:val="26"/>
        </w:rPr>
        <w:t xml:space="preserve">e costs associated with the </w:t>
      </w:r>
      <w:r w:rsidR="005C461C">
        <w:rPr>
          <w:sz w:val="26"/>
          <w:szCs w:val="26"/>
        </w:rPr>
        <w:t>Plan</w:t>
      </w:r>
      <w:r w:rsidR="00A635D3">
        <w:rPr>
          <w:sz w:val="26"/>
          <w:szCs w:val="26"/>
        </w:rPr>
        <w:t>, e</w:t>
      </w:r>
      <w:r w:rsidR="00FD1C6A">
        <w:rPr>
          <w:sz w:val="26"/>
          <w:szCs w:val="26"/>
        </w:rPr>
        <w:t>ach</w:t>
      </w:r>
      <w:r w:rsidR="00A635D3">
        <w:rPr>
          <w:sz w:val="26"/>
          <w:szCs w:val="26"/>
        </w:rPr>
        <w:t xml:space="preserve"> Compan</w:t>
      </w:r>
      <w:r w:rsidR="00FD1C6A">
        <w:rPr>
          <w:sz w:val="26"/>
          <w:szCs w:val="26"/>
        </w:rPr>
        <w:t xml:space="preserve">y filed a Smart Meter Technologies Charge Rider (SMT-C).  The Petition asked the Commission to approve the </w:t>
      </w:r>
      <w:r w:rsidR="005C461C">
        <w:rPr>
          <w:sz w:val="26"/>
          <w:szCs w:val="26"/>
        </w:rPr>
        <w:t xml:space="preserve">Plan </w:t>
      </w:r>
      <w:r w:rsidR="00FD1C6A">
        <w:rPr>
          <w:sz w:val="26"/>
          <w:szCs w:val="26"/>
        </w:rPr>
        <w:t xml:space="preserve">and authorize the implementation of the proposed tariff riders.   </w:t>
      </w:r>
    </w:p>
    <w:p w:rsidR="0099297B" w:rsidRDefault="0099297B" w:rsidP="00764E09">
      <w:pPr>
        <w:spacing w:line="360" w:lineRule="auto"/>
        <w:ind w:firstLine="1440"/>
        <w:rPr>
          <w:sz w:val="26"/>
          <w:szCs w:val="26"/>
        </w:rPr>
      </w:pPr>
    </w:p>
    <w:p w:rsidR="00373530" w:rsidRDefault="00373530" w:rsidP="00764E09">
      <w:pPr>
        <w:spacing w:line="360" w:lineRule="auto"/>
        <w:ind w:firstLine="1440"/>
        <w:rPr>
          <w:sz w:val="26"/>
          <w:szCs w:val="26"/>
        </w:rPr>
      </w:pPr>
      <w:r>
        <w:rPr>
          <w:sz w:val="26"/>
          <w:szCs w:val="26"/>
        </w:rPr>
        <w:t xml:space="preserve">Notice </w:t>
      </w:r>
      <w:r w:rsidR="00FD1C6A">
        <w:rPr>
          <w:sz w:val="26"/>
          <w:szCs w:val="26"/>
        </w:rPr>
        <w:t xml:space="preserve">of the filing </w:t>
      </w:r>
      <w:r>
        <w:rPr>
          <w:sz w:val="26"/>
          <w:szCs w:val="26"/>
        </w:rPr>
        <w:t>was published in the Pennsylvania Bulletin on August 29, 2009.  39 Pa. B. 5218.</w:t>
      </w:r>
      <w:r w:rsidR="003C05F3">
        <w:rPr>
          <w:sz w:val="26"/>
          <w:szCs w:val="26"/>
        </w:rPr>
        <w:t xml:space="preserve">  Comments were received through September 25, 2009.</w:t>
      </w:r>
    </w:p>
    <w:p w:rsidR="003C05F3" w:rsidRDefault="003C05F3" w:rsidP="00764E09">
      <w:pPr>
        <w:spacing w:line="360" w:lineRule="auto"/>
        <w:ind w:firstLine="1440"/>
        <w:rPr>
          <w:sz w:val="26"/>
          <w:szCs w:val="26"/>
        </w:rPr>
      </w:pPr>
    </w:p>
    <w:p w:rsidR="003C05F3" w:rsidRDefault="00736545" w:rsidP="00764E09">
      <w:pPr>
        <w:spacing w:line="360" w:lineRule="auto"/>
        <w:ind w:firstLine="1440"/>
        <w:rPr>
          <w:sz w:val="26"/>
          <w:szCs w:val="26"/>
        </w:rPr>
      </w:pPr>
      <w:r>
        <w:rPr>
          <w:sz w:val="26"/>
          <w:szCs w:val="26"/>
        </w:rPr>
        <w:t xml:space="preserve">A pre-hearing conference was held on </w:t>
      </w:r>
      <w:r w:rsidR="00152436">
        <w:rPr>
          <w:sz w:val="26"/>
          <w:szCs w:val="26"/>
        </w:rPr>
        <w:t>September 29, 2009</w:t>
      </w:r>
      <w:r w:rsidR="00482C61">
        <w:rPr>
          <w:sz w:val="26"/>
          <w:szCs w:val="26"/>
        </w:rPr>
        <w:t>,</w:t>
      </w:r>
      <w:r w:rsidR="00E73F9E">
        <w:rPr>
          <w:sz w:val="26"/>
          <w:szCs w:val="26"/>
        </w:rPr>
        <w:t xml:space="preserve"> by ALJ Colwell</w:t>
      </w:r>
      <w:r w:rsidR="00152436">
        <w:rPr>
          <w:sz w:val="26"/>
          <w:szCs w:val="26"/>
        </w:rPr>
        <w:t xml:space="preserve">.  </w:t>
      </w:r>
      <w:r w:rsidR="00E73F9E">
        <w:rPr>
          <w:sz w:val="26"/>
          <w:szCs w:val="26"/>
        </w:rPr>
        <w:t>A technical conference was held on October 20, 2009</w:t>
      </w:r>
      <w:r w:rsidR="00482C61">
        <w:rPr>
          <w:sz w:val="26"/>
          <w:szCs w:val="26"/>
        </w:rPr>
        <w:t>,</w:t>
      </w:r>
      <w:r w:rsidR="00E73F9E">
        <w:rPr>
          <w:sz w:val="26"/>
          <w:szCs w:val="26"/>
        </w:rPr>
        <w:t xml:space="preserve"> by ALJ David A. Salapa.  Written testimony was filed and a hearing was held on November 19, 2009.  Following the submission of briefs and reply briefs, ALJ Colwell issued her Init</w:t>
      </w:r>
      <w:r w:rsidR="004F3F69">
        <w:rPr>
          <w:sz w:val="26"/>
          <w:szCs w:val="26"/>
        </w:rPr>
        <w:t>ial Decision on January 28, 2010</w:t>
      </w:r>
      <w:r w:rsidR="00E73F9E">
        <w:rPr>
          <w:sz w:val="26"/>
          <w:szCs w:val="26"/>
        </w:rPr>
        <w:t>.</w:t>
      </w:r>
    </w:p>
    <w:p w:rsidR="00E73F9E" w:rsidRDefault="00E73F9E" w:rsidP="00764E09">
      <w:pPr>
        <w:spacing w:line="360" w:lineRule="auto"/>
        <w:ind w:firstLine="1440"/>
        <w:rPr>
          <w:sz w:val="26"/>
          <w:szCs w:val="26"/>
        </w:rPr>
      </w:pPr>
    </w:p>
    <w:p w:rsidR="00E73F9E" w:rsidRDefault="00E73F9E" w:rsidP="00764E09">
      <w:pPr>
        <w:spacing w:line="360" w:lineRule="auto"/>
        <w:ind w:firstLine="1440"/>
        <w:rPr>
          <w:sz w:val="26"/>
          <w:szCs w:val="26"/>
        </w:rPr>
      </w:pPr>
      <w:r>
        <w:rPr>
          <w:sz w:val="26"/>
          <w:szCs w:val="26"/>
        </w:rPr>
        <w:t xml:space="preserve">The </w:t>
      </w:r>
      <w:r w:rsidR="00C73215">
        <w:rPr>
          <w:sz w:val="26"/>
          <w:szCs w:val="26"/>
        </w:rPr>
        <w:t xml:space="preserve">ALJ approved the Companies’ </w:t>
      </w:r>
      <w:r w:rsidR="003B4687">
        <w:rPr>
          <w:sz w:val="26"/>
          <w:szCs w:val="26"/>
        </w:rPr>
        <w:t>P</w:t>
      </w:r>
      <w:r w:rsidR="00C73215">
        <w:rPr>
          <w:sz w:val="26"/>
          <w:szCs w:val="26"/>
        </w:rPr>
        <w:t>lan</w:t>
      </w:r>
      <w:r>
        <w:rPr>
          <w:sz w:val="26"/>
          <w:szCs w:val="26"/>
        </w:rPr>
        <w:t>, but ordered certain modifications therein</w:t>
      </w:r>
      <w:r w:rsidR="00AE35DA">
        <w:rPr>
          <w:sz w:val="26"/>
          <w:szCs w:val="26"/>
        </w:rPr>
        <w:t xml:space="preserve">.  </w:t>
      </w:r>
      <w:r w:rsidR="00AE35DA" w:rsidRPr="00AE35DA">
        <w:rPr>
          <w:i/>
          <w:sz w:val="26"/>
          <w:szCs w:val="26"/>
        </w:rPr>
        <w:t>Inter alia</w:t>
      </w:r>
      <w:r w:rsidR="00AE35DA">
        <w:rPr>
          <w:sz w:val="26"/>
          <w:szCs w:val="26"/>
        </w:rPr>
        <w:t xml:space="preserve">, </w:t>
      </w:r>
      <w:r w:rsidR="00B470FF">
        <w:rPr>
          <w:sz w:val="26"/>
          <w:szCs w:val="26"/>
        </w:rPr>
        <w:t>the ALJ ordered the Companies to remove the provision calling for the payment of interest on over</w:t>
      </w:r>
      <w:r w:rsidR="00F16F50">
        <w:rPr>
          <w:sz w:val="26"/>
          <w:szCs w:val="26"/>
        </w:rPr>
        <w:t>-</w:t>
      </w:r>
      <w:r w:rsidR="00B470FF">
        <w:rPr>
          <w:sz w:val="26"/>
          <w:szCs w:val="26"/>
        </w:rPr>
        <w:t xml:space="preserve"> and under</w:t>
      </w:r>
      <w:r w:rsidR="00F16F50">
        <w:rPr>
          <w:sz w:val="26"/>
          <w:szCs w:val="26"/>
        </w:rPr>
        <w:t>-</w:t>
      </w:r>
      <w:r w:rsidR="00B470FF">
        <w:rPr>
          <w:sz w:val="26"/>
          <w:szCs w:val="26"/>
        </w:rPr>
        <w:t>collections</w:t>
      </w:r>
      <w:r w:rsidR="00F16F50">
        <w:rPr>
          <w:sz w:val="26"/>
          <w:szCs w:val="26"/>
        </w:rPr>
        <w:t>.</w:t>
      </w:r>
      <w:r w:rsidR="00AE35DA">
        <w:rPr>
          <w:sz w:val="26"/>
          <w:szCs w:val="26"/>
        </w:rPr>
        <w:t xml:space="preserve">  </w:t>
      </w:r>
      <w:r w:rsidR="00743C75">
        <w:rPr>
          <w:sz w:val="26"/>
          <w:szCs w:val="26"/>
        </w:rPr>
        <w:t xml:space="preserve">I.D. at 41-43.  </w:t>
      </w:r>
      <w:r w:rsidR="00AE35DA">
        <w:rPr>
          <w:sz w:val="26"/>
          <w:szCs w:val="26"/>
        </w:rPr>
        <w:t xml:space="preserve">The ALJ also ordered the Companies to include wording in the tariff </w:t>
      </w:r>
      <w:r w:rsidR="00743C75">
        <w:rPr>
          <w:sz w:val="26"/>
          <w:szCs w:val="26"/>
        </w:rPr>
        <w:t>stating that reductions in operating expenses, as well as avoided capital expenditures, will be deducted from the costs of the Plan.</w:t>
      </w:r>
      <w:r w:rsidR="00AE35DA">
        <w:rPr>
          <w:sz w:val="26"/>
          <w:szCs w:val="26"/>
        </w:rPr>
        <w:t xml:space="preserve"> </w:t>
      </w:r>
      <w:r w:rsidR="00F16F50">
        <w:rPr>
          <w:sz w:val="26"/>
          <w:szCs w:val="26"/>
        </w:rPr>
        <w:t xml:space="preserve"> </w:t>
      </w:r>
      <w:r w:rsidR="00743C75" w:rsidRPr="00EF2A1C">
        <w:rPr>
          <w:i/>
          <w:sz w:val="26"/>
          <w:szCs w:val="26"/>
        </w:rPr>
        <w:t>I</w:t>
      </w:r>
      <w:r w:rsidR="00EF2A1C" w:rsidRPr="00EF2A1C">
        <w:rPr>
          <w:i/>
          <w:sz w:val="26"/>
          <w:szCs w:val="26"/>
        </w:rPr>
        <w:t>d</w:t>
      </w:r>
      <w:r w:rsidR="00743C75">
        <w:rPr>
          <w:sz w:val="26"/>
          <w:szCs w:val="26"/>
        </w:rPr>
        <w:t xml:space="preserve">. at 46-47.  </w:t>
      </w:r>
      <w:r w:rsidR="00F16F50">
        <w:rPr>
          <w:sz w:val="26"/>
          <w:szCs w:val="26"/>
        </w:rPr>
        <w:t>The ALJ also ordered the Companies to revise the proposed tariffs and file the</w:t>
      </w:r>
      <w:r w:rsidR="00403AF9">
        <w:rPr>
          <w:sz w:val="26"/>
          <w:szCs w:val="26"/>
        </w:rPr>
        <w:t xml:space="preserve"> revised versions</w:t>
      </w:r>
      <w:r w:rsidR="00F16F50">
        <w:rPr>
          <w:sz w:val="26"/>
          <w:szCs w:val="26"/>
        </w:rPr>
        <w:t xml:space="preserve"> within thirty days.  </w:t>
      </w:r>
      <w:r w:rsidR="00F16F50" w:rsidRPr="00EF2A1C">
        <w:rPr>
          <w:i/>
          <w:sz w:val="26"/>
          <w:szCs w:val="26"/>
        </w:rPr>
        <w:t>I</w:t>
      </w:r>
      <w:r w:rsidR="00EF2A1C" w:rsidRPr="00EF2A1C">
        <w:rPr>
          <w:i/>
          <w:sz w:val="26"/>
          <w:szCs w:val="26"/>
        </w:rPr>
        <w:t>d</w:t>
      </w:r>
      <w:r w:rsidR="00CD0C7E">
        <w:rPr>
          <w:sz w:val="26"/>
          <w:szCs w:val="26"/>
        </w:rPr>
        <w:t>.</w:t>
      </w:r>
      <w:r w:rsidR="00F16F50">
        <w:rPr>
          <w:sz w:val="26"/>
          <w:szCs w:val="26"/>
        </w:rPr>
        <w:t xml:space="preserve"> at 58-59.</w:t>
      </w:r>
    </w:p>
    <w:p w:rsidR="00373530" w:rsidRDefault="00373530" w:rsidP="00764E09">
      <w:pPr>
        <w:spacing w:line="360" w:lineRule="auto"/>
        <w:ind w:firstLine="1440"/>
        <w:rPr>
          <w:sz w:val="26"/>
          <w:szCs w:val="26"/>
        </w:rPr>
      </w:pPr>
    </w:p>
    <w:p w:rsidR="00C16FF9" w:rsidRPr="00764E09" w:rsidRDefault="00764E09" w:rsidP="00764E09">
      <w:pPr>
        <w:spacing w:line="360" w:lineRule="auto"/>
        <w:ind w:firstLine="1440"/>
        <w:rPr>
          <w:sz w:val="26"/>
          <w:szCs w:val="26"/>
        </w:rPr>
      </w:pPr>
      <w:r>
        <w:rPr>
          <w:sz w:val="26"/>
          <w:szCs w:val="26"/>
        </w:rPr>
        <w:t xml:space="preserve"> </w:t>
      </w:r>
      <w:r w:rsidR="008B7719">
        <w:rPr>
          <w:sz w:val="26"/>
          <w:szCs w:val="26"/>
        </w:rPr>
        <w:t xml:space="preserve">As stated previously, </w:t>
      </w:r>
      <w:r w:rsidR="005B095C">
        <w:rPr>
          <w:sz w:val="26"/>
          <w:szCs w:val="26"/>
        </w:rPr>
        <w:t xml:space="preserve">Exceptions </w:t>
      </w:r>
      <w:r w:rsidR="008B7719">
        <w:rPr>
          <w:sz w:val="26"/>
          <w:szCs w:val="26"/>
        </w:rPr>
        <w:t>and Reply Exceptions have been filed</w:t>
      </w:r>
      <w:r w:rsidR="005B095C">
        <w:rPr>
          <w:sz w:val="26"/>
          <w:szCs w:val="26"/>
        </w:rPr>
        <w:t>.</w:t>
      </w:r>
    </w:p>
    <w:p w:rsidR="00FD7119" w:rsidRPr="00764E09" w:rsidRDefault="00FD7119" w:rsidP="00695B97">
      <w:pPr>
        <w:pStyle w:val="Heading1"/>
        <w:rPr>
          <w:szCs w:val="26"/>
        </w:rPr>
      </w:pPr>
    </w:p>
    <w:p w:rsidR="00FD7119" w:rsidRPr="00764E09" w:rsidRDefault="00FD7119">
      <w:pPr>
        <w:spacing w:after="200" w:line="276" w:lineRule="auto"/>
        <w:rPr>
          <w:rFonts w:eastAsiaTheme="majorEastAsia" w:cstheme="majorBidi"/>
          <w:b/>
          <w:bCs/>
          <w:sz w:val="26"/>
          <w:szCs w:val="26"/>
        </w:rPr>
      </w:pPr>
      <w:r w:rsidRPr="00764E09">
        <w:rPr>
          <w:sz w:val="26"/>
          <w:szCs w:val="26"/>
        </w:rPr>
        <w:br w:type="page"/>
      </w:r>
    </w:p>
    <w:p w:rsidR="001A395D" w:rsidRPr="0056717C" w:rsidRDefault="00FD7119" w:rsidP="00695B97">
      <w:pPr>
        <w:pStyle w:val="Heading1"/>
      </w:pPr>
      <w:bookmarkStart w:id="13" w:name="_Toc259798197"/>
      <w:bookmarkStart w:id="14" w:name="_Toc263848829"/>
      <w:r>
        <w:lastRenderedPageBreak/>
        <w:t>IV</w:t>
      </w:r>
      <w:r w:rsidR="00B6382E">
        <w:t xml:space="preserve">.  </w:t>
      </w:r>
      <w:r w:rsidR="006F4B78">
        <w:tab/>
      </w:r>
      <w:r w:rsidR="001A395D" w:rsidRPr="00695B97">
        <w:t>Description</w:t>
      </w:r>
      <w:r w:rsidR="001A395D" w:rsidRPr="0056717C">
        <w:t xml:space="preserve"> of the Plan</w:t>
      </w:r>
      <w:bookmarkEnd w:id="10"/>
      <w:bookmarkEnd w:id="13"/>
      <w:bookmarkEnd w:id="14"/>
      <w:r w:rsidR="001A395D" w:rsidRPr="0056717C">
        <w:t xml:space="preserve"> </w:t>
      </w:r>
    </w:p>
    <w:p w:rsidR="001A395D" w:rsidRDefault="001A395D" w:rsidP="00654E90">
      <w:pPr>
        <w:pStyle w:val="Heading1"/>
        <w:rPr>
          <w:szCs w:val="26"/>
        </w:rPr>
      </w:pPr>
    </w:p>
    <w:p w:rsidR="00634056" w:rsidRDefault="009205D6" w:rsidP="003B4687">
      <w:pPr>
        <w:spacing w:line="360" w:lineRule="auto"/>
        <w:ind w:firstLine="1440"/>
        <w:rPr>
          <w:sz w:val="26"/>
          <w:szCs w:val="26"/>
        </w:rPr>
      </w:pPr>
      <w:r>
        <w:rPr>
          <w:sz w:val="26"/>
          <w:szCs w:val="26"/>
        </w:rPr>
        <w:t xml:space="preserve">The Companies’ </w:t>
      </w:r>
      <w:r w:rsidR="003B4687">
        <w:rPr>
          <w:sz w:val="26"/>
          <w:szCs w:val="26"/>
        </w:rPr>
        <w:t>P</w:t>
      </w:r>
      <w:r>
        <w:rPr>
          <w:sz w:val="26"/>
          <w:szCs w:val="26"/>
        </w:rPr>
        <w:t>lan</w:t>
      </w:r>
      <w:r w:rsidR="003B4687">
        <w:rPr>
          <w:sz w:val="26"/>
          <w:szCs w:val="26"/>
        </w:rPr>
        <w:t xml:space="preserve"> is a single comprehensive plan that applies to all three Companies.  </w:t>
      </w:r>
      <w:r w:rsidR="00634056">
        <w:rPr>
          <w:sz w:val="26"/>
          <w:szCs w:val="26"/>
        </w:rPr>
        <w:t xml:space="preserve">It describes the current status of smart meter deployment.  </w:t>
      </w:r>
      <w:r w:rsidR="009316B7">
        <w:rPr>
          <w:sz w:val="26"/>
          <w:szCs w:val="26"/>
        </w:rPr>
        <w:t xml:space="preserve">It </w:t>
      </w:r>
      <w:r w:rsidR="00634056">
        <w:rPr>
          <w:sz w:val="26"/>
          <w:szCs w:val="26"/>
        </w:rPr>
        <w:t>also contains</w:t>
      </w:r>
      <w:r w:rsidR="00A95BE9">
        <w:rPr>
          <w:sz w:val="26"/>
          <w:szCs w:val="26"/>
        </w:rPr>
        <w:t xml:space="preserve"> both a</w:t>
      </w:r>
      <w:r w:rsidR="009316B7">
        <w:rPr>
          <w:sz w:val="26"/>
          <w:szCs w:val="26"/>
        </w:rPr>
        <w:t xml:space="preserve"> </w:t>
      </w:r>
      <w:r w:rsidR="00482C61">
        <w:rPr>
          <w:sz w:val="26"/>
          <w:szCs w:val="26"/>
        </w:rPr>
        <w:t xml:space="preserve">detailed </w:t>
      </w:r>
      <w:r w:rsidR="009316B7">
        <w:rPr>
          <w:sz w:val="26"/>
          <w:szCs w:val="26"/>
        </w:rPr>
        <w:t xml:space="preserve">short-term plan, to be implemented during the thirty-month grace period </w:t>
      </w:r>
      <w:r w:rsidR="00D373BB">
        <w:rPr>
          <w:sz w:val="26"/>
          <w:szCs w:val="26"/>
        </w:rPr>
        <w:t xml:space="preserve">(Grace Period) </w:t>
      </w:r>
      <w:r w:rsidR="009316B7">
        <w:rPr>
          <w:sz w:val="26"/>
          <w:szCs w:val="26"/>
        </w:rPr>
        <w:t xml:space="preserve">described in the </w:t>
      </w:r>
      <w:r w:rsidR="009316B7" w:rsidRPr="009316B7">
        <w:rPr>
          <w:i/>
          <w:sz w:val="26"/>
          <w:szCs w:val="26"/>
        </w:rPr>
        <w:t>Implementation Order</w:t>
      </w:r>
      <w:r w:rsidR="009316B7">
        <w:rPr>
          <w:sz w:val="26"/>
          <w:szCs w:val="26"/>
        </w:rPr>
        <w:t xml:space="preserve">, and a </w:t>
      </w:r>
      <w:r w:rsidR="00482C61">
        <w:rPr>
          <w:sz w:val="26"/>
          <w:szCs w:val="26"/>
        </w:rPr>
        <w:t xml:space="preserve">general </w:t>
      </w:r>
      <w:r w:rsidR="009316B7">
        <w:rPr>
          <w:sz w:val="26"/>
          <w:szCs w:val="26"/>
        </w:rPr>
        <w:t>long-term time line based on information currently available.</w:t>
      </w:r>
      <w:r w:rsidR="008A2C40">
        <w:rPr>
          <w:sz w:val="26"/>
          <w:szCs w:val="26"/>
        </w:rPr>
        <w:t xml:space="preserve">  </w:t>
      </w:r>
      <w:r w:rsidR="00AD41AF">
        <w:rPr>
          <w:sz w:val="26"/>
          <w:szCs w:val="26"/>
        </w:rPr>
        <w:t>Joint Petition at ¶ 9</w:t>
      </w:r>
      <w:r w:rsidR="00523F11">
        <w:rPr>
          <w:sz w:val="26"/>
          <w:szCs w:val="26"/>
        </w:rPr>
        <w:t xml:space="preserve">; </w:t>
      </w:r>
      <w:r w:rsidR="00B55DC4">
        <w:rPr>
          <w:sz w:val="26"/>
          <w:szCs w:val="26"/>
        </w:rPr>
        <w:t>FirstEnergy</w:t>
      </w:r>
      <w:r w:rsidR="00523F11">
        <w:rPr>
          <w:sz w:val="26"/>
          <w:szCs w:val="26"/>
        </w:rPr>
        <w:t xml:space="preserve"> MB at 3</w:t>
      </w:r>
      <w:r w:rsidR="00AD41AF">
        <w:rPr>
          <w:sz w:val="26"/>
          <w:szCs w:val="26"/>
        </w:rPr>
        <w:t>.</w:t>
      </w:r>
      <w:r w:rsidR="005D7ABA">
        <w:rPr>
          <w:sz w:val="26"/>
          <w:szCs w:val="26"/>
        </w:rPr>
        <w:t xml:space="preserve"> </w:t>
      </w:r>
      <w:r w:rsidR="00482C61">
        <w:rPr>
          <w:sz w:val="26"/>
          <w:szCs w:val="26"/>
        </w:rPr>
        <w:t xml:space="preserve"> </w:t>
      </w:r>
      <w:r w:rsidR="0080282F">
        <w:rPr>
          <w:sz w:val="26"/>
          <w:szCs w:val="26"/>
        </w:rPr>
        <w:t>Finally, the Plan addresses cost recovery.</w:t>
      </w:r>
    </w:p>
    <w:p w:rsidR="0080282F" w:rsidRDefault="0080282F" w:rsidP="003B4687">
      <w:pPr>
        <w:spacing w:line="360" w:lineRule="auto"/>
        <w:ind w:firstLine="1440"/>
        <w:rPr>
          <w:sz w:val="26"/>
          <w:szCs w:val="26"/>
        </w:rPr>
      </w:pPr>
    </w:p>
    <w:p w:rsidR="0080282F" w:rsidRDefault="0080282F" w:rsidP="0080282F">
      <w:pPr>
        <w:pStyle w:val="Heading2"/>
      </w:pPr>
      <w:bookmarkStart w:id="15" w:name="_Toc259798198"/>
      <w:bookmarkStart w:id="16" w:name="_Toc263848830"/>
      <w:r>
        <w:t>A.</w:t>
      </w:r>
      <w:r>
        <w:tab/>
        <w:t>Current Status of Smart Meter Deployment</w:t>
      </w:r>
      <w:bookmarkEnd w:id="15"/>
      <w:bookmarkEnd w:id="16"/>
    </w:p>
    <w:p w:rsidR="00634056" w:rsidRDefault="00634056" w:rsidP="003B4687">
      <w:pPr>
        <w:spacing w:line="360" w:lineRule="auto"/>
        <w:ind w:firstLine="1440"/>
        <w:rPr>
          <w:sz w:val="26"/>
          <w:szCs w:val="26"/>
        </w:rPr>
      </w:pPr>
    </w:p>
    <w:p w:rsidR="00634056" w:rsidRDefault="00AD2643" w:rsidP="00634056">
      <w:pPr>
        <w:spacing w:line="360" w:lineRule="auto"/>
        <w:ind w:firstLine="1440"/>
        <w:rPr>
          <w:sz w:val="26"/>
          <w:szCs w:val="26"/>
        </w:rPr>
      </w:pPr>
      <w:r>
        <w:rPr>
          <w:sz w:val="26"/>
          <w:szCs w:val="26"/>
        </w:rPr>
        <w:t xml:space="preserve">The Companies </w:t>
      </w:r>
      <w:r w:rsidR="00634056">
        <w:rPr>
          <w:sz w:val="26"/>
          <w:szCs w:val="26"/>
        </w:rPr>
        <w:t xml:space="preserve">currently deploy smart meter technology through MV-90 meters to most of its largest commercial and industrial customers.  “These meters provide automated hourly consumption data to the Companies’ information systems, with such data regularly available to customers at their facilities.”  Plan at 4.  During the </w:t>
      </w:r>
      <w:r w:rsidR="009F6E28">
        <w:rPr>
          <w:sz w:val="26"/>
          <w:szCs w:val="26"/>
        </w:rPr>
        <w:t>G</w:t>
      </w:r>
      <w:r w:rsidR="00634056">
        <w:rPr>
          <w:sz w:val="26"/>
          <w:szCs w:val="26"/>
        </w:rPr>
        <w:t>rac</w:t>
      </w:r>
      <w:r w:rsidR="009F6E28">
        <w:rPr>
          <w:sz w:val="26"/>
          <w:szCs w:val="26"/>
        </w:rPr>
        <w:t>e P</w:t>
      </w:r>
      <w:r w:rsidR="00634056">
        <w:rPr>
          <w:sz w:val="26"/>
          <w:szCs w:val="26"/>
        </w:rPr>
        <w:t xml:space="preserve">eriod, the Companies will continue to deploy MV-90 interval meters in response to requests by industrial or large commercial customers.  </w:t>
      </w:r>
      <w:r w:rsidR="009F6E28">
        <w:rPr>
          <w:sz w:val="26"/>
          <w:szCs w:val="26"/>
        </w:rPr>
        <w:t xml:space="preserve">Following </w:t>
      </w:r>
      <w:r w:rsidR="00634056">
        <w:rPr>
          <w:sz w:val="26"/>
          <w:szCs w:val="26"/>
        </w:rPr>
        <w:t xml:space="preserve">the </w:t>
      </w:r>
      <w:r w:rsidR="009F6E28">
        <w:rPr>
          <w:sz w:val="26"/>
          <w:szCs w:val="26"/>
        </w:rPr>
        <w:t>expiration of the G</w:t>
      </w:r>
      <w:r w:rsidR="00634056">
        <w:rPr>
          <w:sz w:val="26"/>
          <w:szCs w:val="26"/>
        </w:rPr>
        <w:t xml:space="preserve">race </w:t>
      </w:r>
      <w:r w:rsidR="009F6E28">
        <w:rPr>
          <w:sz w:val="26"/>
          <w:szCs w:val="26"/>
        </w:rPr>
        <w:t>P</w:t>
      </w:r>
      <w:r w:rsidR="00634056">
        <w:rPr>
          <w:sz w:val="26"/>
          <w:szCs w:val="26"/>
        </w:rPr>
        <w:t xml:space="preserve">eriod and during network system build-out, the Companies will provide smart meters based on customer requests and for all new construction.  To obtain a smart meter during this period, the customer must agree to pay the incremental costs of installing the meter.  At a later date, the Companies will submit an estimate of these costs for Commission review.  </w:t>
      </w:r>
      <w:r w:rsidR="00B55DC4">
        <w:rPr>
          <w:sz w:val="26"/>
          <w:szCs w:val="26"/>
        </w:rPr>
        <w:t>FirstEnergy</w:t>
      </w:r>
      <w:r w:rsidR="00252088">
        <w:rPr>
          <w:sz w:val="26"/>
          <w:szCs w:val="26"/>
        </w:rPr>
        <w:t xml:space="preserve"> MB at 5.  </w:t>
      </w:r>
      <w:r w:rsidR="00634056">
        <w:rPr>
          <w:sz w:val="26"/>
          <w:szCs w:val="26"/>
        </w:rPr>
        <w:t xml:space="preserve"> </w:t>
      </w:r>
    </w:p>
    <w:p w:rsidR="00634056" w:rsidRDefault="00634056" w:rsidP="003B4687">
      <w:pPr>
        <w:spacing w:line="360" w:lineRule="auto"/>
        <w:ind w:firstLine="1440"/>
        <w:rPr>
          <w:sz w:val="26"/>
          <w:szCs w:val="26"/>
        </w:rPr>
      </w:pPr>
    </w:p>
    <w:p w:rsidR="0080282F" w:rsidRDefault="0080282F" w:rsidP="0080282F">
      <w:pPr>
        <w:pStyle w:val="Heading2"/>
      </w:pPr>
      <w:bookmarkStart w:id="17" w:name="_Toc259798199"/>
      <w:bookmarkStart w:id="18" w:name="_Toc263848831"/>
      <w:r>
        <w:t>B.</w:t>
      </w:r>
      <w:r>
        <w:tab/>
        <w:t>Plan for Smart Meter Deployment</w:t>
      </w:r>
      <w:bookmarkEnd w:id="17"/>
      <w:bookmarkEnd w:id="18"/>
    </w:p>
    <w:p w:rsidR="0080282F" w:rsidRDefault="0080282F" w:rsidP="003B4687">
      <w:pPr>
        <w:spacing w:line="360" w:lineRule="auto"/>
        <w:ind w:firstLine="1440"/>
        <w:rPr>
          <w:sz w:val="26"/>
          <w:szCs w:val="26"/>
        </w:rPr>
      </w:pPr>
    </w:p>
    <w:p w:rsidR="000C445D" w:rsidRDefault="00C373D2" w:rsidP="000C445D">
      <w:pPr>
        <w:spacing w:line="360" w:lineRule="auto"/>
        <w:ind w:firstLine="1440"/>
        <w:rPr>
          <w:sz w:val="26"/>
          <w:szCs w:val="26"/>
        </w:rPr>
      </w:pPr>
      <w:r>
        <w:rPr>
          <w:sz w:val="26"/>
          <w:szCs w:val="26"/>
        </w:rPr>
        <w:t xml:space="preserve">The </w:t>
      </w:r>
      <w:r w:rsidR="008A2C40">
        <w:rPr>
          <w:sz w:val="26"/>
          <w:szCs w:val="26"/>
        </w:rPr>
        <w:t xml:space="preserve">Companies intend to use the first twenty-four months </w:t>
      </w:r>
      <w:r w:rsidR="009205D6">
        <w:rPr>
          <w:sz w:val="26"/>
          <w:szCs w:val="26"/>
        </w:rPr>
        <w:t xml:space="preserve">following approval of the </w:t>
      </w:r>
      <w:r>
        <w:rPr>
          <w:sz w:val="26"/>
          <w:szCs w:val="26"/>
        </w:rPr>
        <w:t>P</w:t>
      </w:r>
      <w:r w:rsidR="009205D6">
        <w:rPr>
          <w:sz w:val="26"/>
          <w:szCs w:val="26"/>
        </w:rPr>
        <w:t>lan</w:t>
      </w:r>
      <w:r>
        <w:rPr>
          <w:sz w:val="26"/>
          <w:szCs w:val="26"/>
        </w:rPr>
        <w:t xml:space="preserve"> (the Assessment Period)</w:t>
      </w:r>
      <w:r w:rsidR="008A2C40">
        <w:rPr>
          <w:sz w:val="26"/>
          <w:szCs w:val="26"/>
        </w:rPr>
        <w:t xml:space="preserve"> to</w:t>
      </w:r>
      <w:r w:rsidR="00AD41AF">
        <w:rPr>
          <w:sz w:val="26"/>
          <w:szCs w:val="26"/>
        </w:rPr>
        <w:t xml:space="preserve"> assess needs, select technology, secure vendors, train personnel, and install and support test equipment.  At the end of the Assessment Period, the Companies will submit a supplement to the P</w:t>
      </w:r>
      <w:r w:rsidR="009205D6">
        <w:rPr>
          <w:sz w:val="26"/>
          <w:szCs w:val="26"/>
        </w:rPr>
        <w:t>lan</w:t>
      </w:r>
      <w:r w:rsidR="00AD41AF">
        <w:rPr>
          <w:sz w:val="26"/>
          <w:szCs w:val="26"/>
        </w:rPr>
        <w:t xml:space="preserve"> (the Deployment </w:t>
      </w:r>
      <w:r w:rsidR="00AD41AF">
        <w:rPr>
          <w:sz w:val="26"/>
          <w:szCs w:val="26"/>
        </w:rPr>
        <w:lastRenderedPageBreak/>
        <w:t xml:space="preserve">Plan). </w:t>
      </w:r>
      <w:r w:rsidR="00523F11">
        <w:rPr>
          <w:sz w:val="26"/>
          <w:szCs w:val="26"/>
        </w:rPr>
        <w:t xml:space="preserve"> Joint Petition </w:t>
      </w:r>
      <w:r w:rsidR="00AD41AF">
        <w:rPr>
          <w:sz w:val="26"/>
          <w:szCs w:val="26"/>
        </w:rPr>
        <w:t>at ¶¶ 13-14</w:t>
      </w:r>
      <w:r w:rsidR="00523F11">
        <w:rPr>
          <w:sz w:val="26"/>
          <w:szCs w:val="26"/>
        </w:rPr>
        <w:t xml:space="preserve">; </w:t>
      </w:r>
      <w:r w:rsidR="00B55DC4">
        <w:rPr>
          <w:sz w:val="26"/>
          <w:szCs w:val="26"/>
        </w:rPr>
        <w:t>FirstEnergy</w:t>
      </w:r>
      <w:r w:rsidR="00523F11">
        <w:rPr>
          <w:sz w:val="26"/>
          <w:szCs w:val="26"/>
        </w:rPr>
        <w:t xml:space="preserve"> MB at 3</w:t>
      </w:r>
      <w:r w:rsidR="00AD41AF">
        <w:rPr>
          <w:sz w:val="26"/>
          <w:szCs w:val="26"/>
        </w:rPr>
        <w:t xml:space="preserve">.  </w:t>
      </w:r>
      <w:r w:rsidR="00B25C20">
        <w:rPr>
          <w:sz w:val="26"/>
          <w:szCs w:val="26"/>
        </w:rPr>
        <w:t xml:space="preserve">The </w:t>
      </w:r>
      <w:r w:rsidR="00DD5618">
        <w:rPr>
          <w:sz w:val="26"/>
          <w:szCs w:val="26"/>
        </w:rPr>
        <w:t>Deployment P</w:t>
      </w:r>
      <w:r w:rsidR="001F1988">
        <w:rPr>
          <w:sz w:val="26"/>
          <w:szCs w:val="26"/>
        </w:rPr>
        <w:t>lan will set forth details regarding the installation, testing and roll</w:t>
      </w:r>
      <w:r w:rsidR="008254AE">
        <w:rPr>
          <w:sz w:val="26"/>
          <w:szCs w:val="26"/>
        </w:rPr>
        <w:t xml:space="preserve"> </w:t>
      </w:r>
      <w:r w:rsidR="001F1988">
        <w:rPr>
          <w:sz w:val="26"/>
          <w:szCs w:val="26"/>
        </w:rPr>
        <w:t>out of</w:t>
      </w:r>
      <w:r w:rsidR="00AD4319">
        <w:rPr>
          <w:sz w:val="26"/>
          <w:szCs w:val="26"/>
        </w:rPr>
        <w:t xml:space="preserve"> the Companies’ smart meters.  </w:t>
      </w:r>
      <w:r w:rsidR="001C00A2">
        <w:rPr>
          <w:sz w:val="26"/>
          <w:szCs w:val="26"/>
        </w:rPr>
        <w:t xml:space="preserve">Joint Petition at ¶¶ 25-26; </w:t>
      </w:r>
      <w:r w:rsidR="008B6DBA">
        <w:rPr>
          <w:sz w:val="26"/>
          <w:szCs w:val="26"/>
        </w:rPr>
        <w:t>P</w:t>
      </w:r>
      <w:r w:rsidR="001C00A2">
        <w:rPr>
          <w:sz w:val="26"/>
          <w:szCs w:val="26"/>
        </w:rPr>
        <w:t>lan</w:t>
      </w:r>
      <w:r w:rsidR="008B6DBA">
        <w:rPr>
          <w:sz w:val="26"/>
          <w:szCs w:val="26"/>
        </w:rPr>
        <w:t xml:space="preserve"> at 6.</w:t>
      </w:r>
      <w:r w:rsidR="000C445D">
        <w:rPr>
          <w:sz w:val="26"/>
          <w:szCs w:val="26"/>
        </w:rPr>
        <w:t xml:space="preserve">  Specifically, the Deployment Plan will include:</w:t>
      </w:r>
    </w:p>
    <w:p w:rsidR="000C445D" w:rsidRDefault="000C445D" w:rsidP="000C445D">
      <w:pPr>
        <w:ind w:left="1440" w:right="1440"/>
        <w:rPr>
          <w:sz w:val="26"/>
          <w:szCs w:val="26"/>
        </w:rPr>
      </w:pPr>
      <w:r>
        <w:rPr>
          <w:sz w:val="26"/>
          <w:szCs w:val="26"/>
        </w:rPr>
        <w:t xml:space="preserve">. . . 1) a detailed long-term time line, with key milestones; </w:t>
      </w:r>
      <w:r>
        <w:rPr>
          <w:sz w:val="26"/>
          <w:szCs w:val="26"/>
        </w:rPr>
        <w:br/>
        <w:t xml:space="preserve">2) a smart meter solution; 3) the costs of such a solution, along with an assessment of benefits; 4) a network design solution; 5) a communications architecture design solution; </w:t>
      </w:r>
      <w:r>
        <w:rPr>
          <w:sz w:val="26"/>
          <w:szCs w:val="26"/>
        </w:rPr>
        <w:br/>
        <w:t>6) a training assessment and proposed curriculum; 7) a cost recovery forecast; 8) a transition plan including communications to employees and customers; and 9) a detailed tiered roll out plan.</w:t>
      </w:r>
    </w:p>
    <w:p w:rsidR="000C445D" w:rsidRDefault="000C445D" w:rsidP="000C445D">
      <w:pPr>
        <w:spacing w:line="360" w:lineRule="auto"/>
        <w:ind w:firstLine="1440"/>
        <w:rPr>
          <w:sz w:val="26"/>
          <w:szCs w:val="26"/>
        </w:rPr>
      </w:pPr>
    </w:p>
    <w:p w:rsidR="00DD5618" w:rsidRDefault="00E54B9F" w:rsidP="00E54B9F">
      <w:pPr>
        <w:spacing w:line="360" w:lineRule="auto"/>
        <w:rPr>
          <w:sz w:val="26"/>
          <w:szCs w:val="26"/>
        </w:rPr>
      </w:pPr>
      <w:r>
        <w:rPr>
          <w:sz w:val="26"/>
          <w:szCs w:val="26"/>
        </w:rPr>
        <w:t>Joint Petition at ¶ 26.</w:t>
      </w:r>
      <w:r w:rsidR="005A49E3">
        <w:rPr>
          <w:sz w:val="26"/>
          <w:szCs w:val="26"/>
        </w:rPr>
        <w:t xml:space="preserve">  The Companies estimate that the Commission will approve the Deployment Plan in October, 2012.  Plan at 6.</w:t>
      </w:r>
    </w:p>
    <w:p w:rsidR="00DD5618" w:rsidRDefault="00DD5618" w:rsidP="003B4687">
      <w:pPr>
        <w:spacing w:line="360" w:lineRule="auto"/>
        <w:ind w:firstLine="1440"/>
        <w:rPr>
          <w:sz w:val="26"/>
          <w:szCs w:val="26"/>
        </w:rPr>
      </w:pPr>
    </w:p>
    <w:p w:rsidR="00432F1E" w:rsidRDefault="00432F1E" w:rsidP="00432F1E">
      <w:pPr>
        <w:spacing w:line="360" w:lineRule="auto"/>
        <w:ind w:firstLine="1440"/>
        <w:rPr>
          <w:sz w:val="26"/>
          <w:szCs w:val="26"/>
        </w:rPr>
      </w:pPr>
      <w:r>
        <w:rPr>
          <w:sz w:val="26"/>
          <w:szCs w:val="26"/>
        </w:rPr>
        <w:t>At present, the Companies expect to begin building-out the necessary infrastructure beginning in April 2013.  They also anticipate performing a technical trial prior to December 31, 2013.  This technical trial is expected to involve the deployment and testing of 5,000 to 10,000 smart meters.  Following this test, the Companies</w:t>
      </w:r>
      <w:r w:rsidR="00270529">
        <w:rPr>
          <w:sz w:val="26"/>
          <w:szCs w:val="26"/>
        </w:rPr>
        <w:t xml:space="preserve"> expect to </w:t>
      </w:r>
      <w:r>
        <w:rPr>
          <w:sz w:val="26"/>
          <w:szCs w:val="26"/>
        </w:rPr>
        <w:t>complet</w:t>
      </w:r>
      <w:r w:rsidR="00270529">
        <w:rPr>
          <w:sz w:val="26"/>
          <w:szCs w:val="26"/>
        </w:rPr>
        <w:t>e</w:t>
      </w:r>
      <w:r>
        <w:rPr>
          <w:sz w:val="26"/>
          <w:szCs w:val="26"/>
        </w:rPr>
        <w:t xml:space="preserve"> the build-out of the necessary infrastructure and </w:t>
      </w:r>
      <w:r w:rsidR="00270529">
        <w:rPr>
          <w:sz w:val="26"/>
          <w:szCs w:val="26"/>
        </w:rPr>
        <w:t xml:space="preserve">“de-bug” the system </w:t>
      </w:r>
      <w:r>
        <w:rPr>
          <w:sz w:val="26"/>
          <w:szCs w:val="26"/>
        </w:rPr>
        <w:t xml:space="preserve">with at least 60,000 meters prior to full deployment.  </w:t>
      </w:r>
      <w:r w:rsidR="00B55DC4">
        <w:rPr>
          <w:sz w:val="26"/>
          <w:szCs w:val="26"/>
        </w:rPr>
        <w:t>FirstEnergy</w:t>
      </w:r>
      <w:r>
        <w:rPr>
          <w:sz w:val="26"/>
          <w:szCs w:val="26"/>
        </w:rPr>
        <w:t xml:space="preserve"> MB at 4.  </w:t>
      </w:r>
      <w:r w:rsidR="00270529">
        <w:rPr>
          <w:sz w:val="26"/>
          <w:szCs w:val="26"/>
        </w:rPr>
        <w:t xml:space="preserve">Full deployment </w:t>
      </w:r>
      <w:r w:rsidR="00D83FC8">
        <w:rPr>
          <w:sz w:val="26"/>
          <w:szCs w:val="26"/>
        </w:rPr>
        <w:t xml:space="preserve">is estimated to </w:t>
      </w:r>
      <w:r w:rsidR="00270529">
        <w:rPr>
          <w:sz w:val="26"/>
          <w:szCs w:val="26"/>
        </w:rPr>
        <w:t xml:space="preserve">commence </w:t>
      </w:r>
      <w:r w:rsidR="00D83FC8">
        <w:rPr>
          <w:sz w:val="26"/>
          <w:szCs w:val="26"/>
        </w:rPr>
        <w:t xml:space="preserve">in </w:t>
      </w:r>
      <w:r w:rsidR="00270529">
        <w:rPr>
          <w:sz w:val="26"/>
          <w:szCs w:val="26"/>
        </w:rPr>
        <w:t xml:space="preserve">April 2017 and be completed </w:t>
      </w:r>
      <w:r w:rsidR="00D83FC8">
        <w:rPr>
          <w:sz w:val="26"/>
          <w:szCs w:val="26"/>
        </w:rPr>
        <w:t>in</w:t>
      </w:r>
      <w:r w:rsidR="00270529">
        <w:rPr>
          <w:sz w:val="26"/>
          <w:szCs w:val="26"/>
        </w:rPr>
        <w:t xml:space="preserve"> March 2022.  Plan at 6.</w:t>
      </w:r>
    </w:p>
    <w:p w:rsidR="00F62BCA" w:rsidRDefault="00F62BCA" w:rsidP="003B4687">
      <w:pPr>
        <w:spacing w:line="360" w:lineRule="auto"/>
        <w:ind w:firstLine="1440"/>
        <w:rPr>
          <w:sz w:val="26"/>
          <w:szCs w:val="26"/>
        </w:rPr>
      </w:pPr>
    </w:p>
    <w:p w:rsidR="0076116D" w:rsidRDefault="0080282F" w:rsidP="0080282F">
      <w:pPr>
        <w:pStyle w:val="Heading2"/>
      </w:pPr>
      <w:bookmarkStart w:id="19" w:name="_Toc259798200"/>
      <w:bookmarkStart w:id="20" w:name="_Toc263848832"/>
      <w:r>
        <w:t>C.</w:t>
      </w:r>
      <w:r>
        <w:tab/>
        <w:t>Cost Recovery</w:t>
      </w:r>
      <w:bookmarkEnd w:id="19"/>
      <w:bookmarkEnd w:id="20"/>
      <w:r>
        <w:t xml:space="preserve"> </w:t>
      </w:r>
    </w:p>
    <w:p w:rsidR="0080282F" w:rsidRDefault="0080282F" w:rsidP="003B4687">
      <w:pPr>
        <w:spacing w:line="360" w:lineRule="auto"/>
        <w:ind w:firstLine="1440"/>
        <w:rPr>
          <w:sz w:val="26"/>
          <w:szCs w:val="26"/>
        </w:rPr>
      </w:pPr>
    </w:p>
    <w:p w:rsidR="00A513A6" w:rsidRDefault="00970646" w:rsidP="003B4687">
      <w:pPr>
        <w:spacing w:line="360" w:lineRule="auto"/>
        <w:ind w:firstLine="1440"/>
        <w:rPr>
          <w:sz w:val="26"/>
          <w:szCs w:val="26"/>
        </w:rPr>
      </w:pPr>
      <w:r>
        <w:rPr>
          <w:sz w:val="26"/>
          <w:szCs w:val="26"/>
        </w:rPr>
        <w:t xml:space="preserve">The Companies expect to incur costs </w:t>
      </w:r>
      <w:r w:rsidR="00D04059">
        <w:rPr>
          <w:sz w:val="26"/>
          <w:szCs w:val="26"/>
        </w:rPr>
        <w:t xml:space="preserve">of approximately $29.5 million </w:t>
      </w:r>
      <w:r>
        <w:rPr>
          <w:sz w:val="26"/>
          <w:szCs w:val="26"/>
        </w:rPr>
        <w:t xml:space="preserve">during the Assessment Period.  </w:t>
      </w:r>
      <w:r w:rsidR="00CC75DC">
        <w:rPr>
          <w:sz w:val="26"/>
          <w:szCs w:val="26"/>
        </w:rPr>
        <w:t xml:space="preserve">The total cost to deploy smart meters is expected to be about $330-$400 million, not including operation and maintenance expenses.  The Companies, however, are not able to provide definitive cost data at this time.  Consequently, they ask permission to file such cost data </w:t>
      </w:r>
      <w:r w:rsidR="00A513A6">
        <w:rPr>
          <w:sz w:val="26"/>
          <w:szCs w:val="26"/>
        </w:rPr>
        <w:t xml:space="preserve">in the Deployment Plan. </w:t>
      </w:r>
      <w:r w:rsidR="00D04059">
        <w:rPr>
          <w:sz w:val="26"/>
          <w:szCs w:val="26"/>
        </w:rPr>
        <w:t xml:space="preserve"> Joint Petition </w:t>
      </w:r>
      <w:r w:rsidR="00A513A6">
        <w:rPr>
          <w:sz w:val="26"/>
          <w:szCs w:val="26"/>
        </w:rPr>
        <w:t>at ¶</w:t>
      </w:r>
      <w:r w:rsidR="00D04059">
        <w:rPr>
          <w:sz w:val="26"/>
          <w:szCs w:val="26"/>
        </w:rPr>
        <w:t>¶</w:t>
      </w:r>
      <w:r w:rsidR="00A513A6">
        <w:rPr>
          <w:sz w:val="26"/>
          <w:szCs w:val="26"/>
        </w:rPr>
        <w:t xml:space="preserve"> 27</w:t>
      </w:r>
      <w:r w:rsidR="00D04059">
        <w:rPr>
          <w:sz w:val="26"/>
          <w:szCs w:val="26"/>
        </w:rPr>
        <w:t>-28</w:t>
      </w:r>
      <w:r w:rsidR="00A513A6">
        <w:rPr>
          <w:sz w:val="26"/>
          <w:szCs w:val="26"/>
        </w:rPr>
        <w:t>.</w:t>
      </w:r>
    </w:p>
    <w:p w:rsidR="00A513A6" w:rsidRDefault="00A513A6" w:rsidP="003B4687">
      <w:pPr>
        <w:spacing w:line="360" w:lineRule="auto"/>
        <w:ind w:firstLine="1440"/>
        <w:rPr>
          <w:sz w:val="26"/>
          <w:szCs w:val="26"/>
        </w:rPr>
      </w:pPr>
    </w:p>
    <w:p w:rsidR="00AE6584" w:rsidRDefault="00A513A6" w:rsidP="00682A9C">
      <w:pPr>
        <w:spacing w:line="360" w:lineRule="auto"/>
        <w:ind w:firstLine="1440"/>
        <w:rPr>
          <w:sz w:val="26"/>
          <w:szCs w:val="26"/>
        </w:rPr>
      </w:pPr>
      <w:r>
        <w:rPr>
          <w:sz w:val="26"/>
          <w:szCs w:val="26"/>
        </w:rPr>
        <w:t>The</w:t>
      </w:r>
      <w:r w:rsidR="00D04059">
        <w:rPr>
          <w:sz w:val="26"/>
          <w:szCs w:val="26"/>
        </w:rPr>
        <w:t xml:space="preserve"> Companies propose to recover their smart meter technology costs through a reconcilable adjustment clause called the Smart Meter Technologies Charge (SMT-C).  </w:t>
      </w:r>
      <w:r w:rsidR="00682A9C">
        <w:rPr>
          <w:sz w:val="26"/>
          <w:szCs w:val="26"/>
        </w:rPr>
        <w:t>The ALJ summarized the principal elements of the SMT-C as follows:</w:t>
      </w:r>
    </w:p>
    <w:p w:rsidR="00AE6584" w:rsidRDefault="00AE6584" w:rsidP="00FF6B96">
      <w:pPr>
        <w:ind w:firstLine="1440"/>
        <w:rPr>
          <w:sz w:val="26"/>
          <w:szCs w:val="26"/>
        </w:rPr>
      </w:pPr>
    </w:p>
    <w:p w:rsidR="004512C8" w:rsidRPr="0054159B" w:rsidRDefault="004512C8" w:rsidP="0054159B">
      <w:pPr>
        <w:pStyle w:val="ListParagraph"/>
        <w:numPr>
          <w:ilvl w:val="0"/>
          <w:numId w:val="24"/>
        </w:numPr>
        <w:ind w:right="1440" w:hanging="720"/>
        <w:rPr>
          <w:sz w:val="26"/>
          <w:szCs w:val="26"/>
        </w:rPr>
      </w:pPr>
      <w:r w:rsidRPr="0054159B">
        <w:rPr>
          <w:sz w:val="26"/>
          <w:szCs w:val="26"/>
        </w:rPr>
        <w:t>The SMT-C will be expressed as a monthly customer charge.</w:t>
      </w:r>
    </w:p>
    <w:p w:rsidR="004512C8" w:rsidRPr="0054159B" w:rsidRDefault="004512C8" w:rsidP="0054159B">
      <w:pPr>
        <w:pStyle w:val="ListParagraph"/>
        <w:numPr>
          <w:ilvl w:val="0"/>
          <w:numId w:val="24"/>
        </w:numPr>
        <w:ind w:right="1440" w:hanging="720"/>
        <w:rPr>
          <w:sz w:val="26"/>
          <w:szCs w:val="26"/>
        </w:rPr>
      </w:pPr>
      <w:r w:rsidRPr="0054159B">
        <w:rPr>
          <w:sz w:val="26"/>
          <w:szCs w:val="26"/>
        </w:rPr>
        <w:t>The SMT-C will be billed to all metered customer accounts eligible for the installation of smart meters and will be non-bypassable.</w:t>
      </w:r>
    </w:p>
    <w:p w:rsidR="004512C8" w:rsidRPr="0054159B" w:rsidRDefault="004512C8" w:rsidP="0054159B">
      <w:pPr>
        <w:pStyle w:val="ListParagraph"/>
        <w:numPr>
          <w:ilvl w:val="0"/>
          <w:numId w:val="24"/>
        </w:numPr>
        <w:ind w:right="1440" w:hanging="720"/>
        <w:rPr>
          <w:sz w:val="26"/>
          <w:szCs w:val="26"/>
        </w:rPr>
      </w:pPr>
      <w:r w:rsidRPr="0054159B">
        <w:rPr>
          <w:sz w:val="26"/>
          <w:szCs w:val="26"/>
        </w:rPr>
        <w:t>The SMT-C will be calculated separately for the residential, commercial and industrial customer classes</w:t>
      </w:r>
      <w:r w:rsidR="0054159B">
        <w:rPr>
          <w:sz w:val="26"/>
          <w:szCs w:val="26"/>
        </w:rPr>
        <w:t>….</w:t>
      </w:r>
    </w:p>
    <w:p w:rsidR="004512C8" w:rsidRPr="0054159B" w:rsidRDefault="004512C8" w:rsidP="0054159B">
      <w:pPr>
        <w:pStyle w:val="ListParagraph"/>
        <w:numPr>
          <w:ilvl w:val="0"/>
          <w:numId w:val="24"/>
        </w:numPr>
        <w:ind w:right="1440" w:hanging="720"/>
        <w:rPr>
          <w:sz w:val="26"/>
          <w:szCs w:val="26"/>
        </w:rPr>
      </w:pPr>
      <w:r w:rsidRPr="0054159B">
        <w:rPr>
          <w:sz w:val="26"/>
          <w:szCs w:val="26"/>
        </w:rPr>
        <w:t>The cost to procure and install smart meters will be directly assigned to each customer class.  All other costs, which cannot be directly assigned (i.e., “common” costs) will be allocated among customer classes based on the number of customers in each class.</w:t>
      </w:r>
    </w:p>
    <w:p w:rsidR="004512C8" w:rsidRPr="0054159B" w:rsidRDefault="004512C8" w:rsidP="0054159B">
      <w:pPr>
        <w:pStyle w:val="ListParagraph"/>
        <w:numPr>
          <w:ilvl w:val="0"/>
          <w:numId w:val="24"/>
        </w:numPr>
        <w:ind w:right="1440" w:hanging="720"/>
        <w:rPr>
          <w:sz w:val="26"/>
          <w:szCs w:val="26"/>
        </w:rPr>
      </w:pPr>
      <w:r w:rsidRPr="0054159B">
        <w:rPr>
          <w:sz w:val="26"/>
          <w:szCs w:val="26"/>
        </w:rPr>
        <w:t>The SMT-C Riders will become effective for service rendered on and after April 1, 2010, and the initial SMT-C will be in effect for the period from April 1, 2010 to March 31, 2011.  The initial SMT-C rates and supporting calculation will be filed within 30 days of the Commission’s entry of a final Order approving the Companies’ Smart Meter Plan.</w:t>
      </w:r>
    </w:p>
    <w:p w:rsidR="004512C8" w:rsidRPr="0054159B" w:rsidRDefault="004512C8" w:rsidP="0054159B">
      <w:pPr>
        <w:pStyle w:val="ListParagraph"/>
        <w:numPr>
          <w:ilvl w:val="0"/>
          <w:numId w:val="24"/>
        </w:numPr>
        <w:ind w:right="1440" w:hanging="720"/>
        <w:rPr>
          <w:sz w:val="26"/>
          <w:szCs w:val="26"/>
        </w:rPr>
      </w:pPr>
      <w:r w:rsidRPr="0054159B">
        <w:rPr>
          <w:sz w:val="26"/>
          <w:szCs w:val="26"/>
        </w:rPr>
        <w:t>After the initial SMT-C, subsequent proposed SMT-C rates and accompanying information will be filed by March 1 of each year to become effective on April 1 of the same year and remain in effect for 12 months.  Accordingly, the SMT-C Computation Year will be the 12 months beginning on April 1 and ending March 31 of the following year.  The SMT-C Reconciliation Year will be the 12 months ending January 31 immediately preceding the Computation Year.  Interim adjustments to the SMT-C will be permitted to avoid large anticipated over or under-collections.</w:t>
      </w:r>
    </w:p>
    <w:p w:rsidR="004512C8" w:rsidRPr="0054159B" w:rsidRDefault="004512C8" w:rsidP="0054159B">
      <w:pPr>
        <w:pStyle w:val="ListParagraph"/>
        <w:numPr>
          <w:ilvl w:val="0"/>
          <w:numId w:val="24"/>
        </w:numPr>
        <w:ind w:right="1440" w:hanging="720"/>
        <w:rPr>
          <w:sz w:val="26"/>
          <w:szCs w:val="26"/>
        </w:rPr>
      </w:pPr>
      <w:r w:rsidRPr="0054159B">
        <w:rPr>
          <w:sz w:val="26"/>
          <w:szCs w:val="26"/>
        </w:rPr>
        <w:t xml:space="preserve">Subject to the Commission’s review for prudence and reasonableness, the SMT-C will recover two categories of smart meter technology costs: (a) start up costs incurred by the Companies prior to April 1, 2010, which will be amortized over the 12 months ending March 31, 2011 with interest, based on the legal rate, on the unamortized </w:t>
      </w:r>
      <w:r w:rsidRPr="0054159B">
        <w:rPr>
          <w:sz w:val="26"/>
          <w:szCs w:val="26"/>
        </w:rPr>
        <w:lastRenderedPageBreak/>
        <w:t>balance; (b) all of the smart meter technology costs the Companies will incur during the Computation Year, consisting of both capital costs (pre-tax return and depreciation) on smart meter capital expenditures and operating and maintenance expenses including an allocated portion of indirect costs.</w:t>
      </w:r>
      <w:r w:rsidR="00F058AF">
        <w:rPr>
          <w:rFonts w:ascii="Times New (W1)" w:hAnsi="Times New (W1)"/>
          <w:sz w:val="26"/>
          <w:szCs w:val="26"/>
          <w:vertAlign w:val="superscript"/>
        </w:rPr>
        <w:t>1</w:t>
      </w:r>
    </w:p>
    <w:p w:rsidR="004512C8" w:rsidRPr="0054159B" w:rsidRDefault="004512C8" w:rsidP="0054159B">
      <w:pPr>
        <w:pStyle w:val="ListParagraph"/>
        <w:numPr>
          <w:ilvl w:val="0"/>
          <w:numId w:val="24"/>
        </w:numPr>
        <w:ind w:right="1440" w:hanging="720"/>
        <w:rPr>
          <w:sz w:val="26"/>
          <w:szCs w:val="26"/>
        </w:rPr>
      </w:pPr>
      <w:r w:rsidRPr="0054159B">
        <w:rPr>
          <w:sz w:val="26"/>
          <w:szCs w:val="26"/>
        </w:rPr>
        <w:t>The return on smart meter capital expenditures will be calculated for all three Companies using: (a) the normalized capital structures of 51% long-term debt and 49% common equity that were approved by the Commission’s January 11, 2007 final Order in Met-Ed’s and Penelec’s most recent base rate cases at Docket Nos. R-00061366 and R-00061367; (b) the Companies’ actual weighted average long-term debt cost rate shown in each Company’s most recent calendar year Financial Report filed with the Commission; and (c) the common equity return rate of 10.1% approved by the Commission for Met-Ed and Penelec in their most recent base rate cases.</w:t>
      </w:r>
    </w:p>
    <w:p w:rsidR="004512C8" w:rsidRPr="0054159B" w:rsidRDefault="004512C8" w:rsidP="0054159B">
      <w:pPr>
        <w:pStyle w:val="ListParagraph"/>
        <w:numPr>
          <w:ilvl w:val="0"/>
          <w:numId w:val="24"/>
        </w:numPr>
        <w:ind w:right="1440" w:hanging="720"/>
        <w:rPr>
          <w:sz w:val="26"/>
          <w:szCs w:val="26"/>
          <w:u w:val="single"/>
        </w:rPr>
      </w:pPr>
      <w:r w:rsidRPr="0054159B">
        <w:rPr>
          <w:sz w:val="26"/>
          <w:szCs w:val="26"/>
        </w:rPr>
        <w:t xml:space="preserve">The SMT-C will be fully reconcilable.  Interest on over and under-collections will accrue at the legal rate set forth </w:t>
      </w:r>
      <w:r w:rsidRPr="00DC3386">
        <w:rPr>
          <w:sz w:val="26"/>
          <w:szCs w:val="26"/>
          <w:u w:val="single"/>
        </w:rPr>
        <w:t>in 41 P.S. §</w:t>
      </w:r>
      <w:r w:rsidRPr="0054159B">
        <w:rPr>
          <w:sz w:val="26"/>
          <w:szCs w:val="26"/>
          <w:u w:val="single"/>
        </w:rPr>
        <w:t xml:space="preserve"> 202 (currently 6.0%).</w:t>
      </w:r>
    </w:p>
    <w:p w:rsidR="00BF06E2" w:rsidRPr="0054159B" w:rsidRDefault="00BF06E2" w:rsidP="00DC3386">
      <w:pPr>
        <w:ind w:left="720" w:right="1440" w:firstLine="720"/>
        <w:rPr>
          <w:sz w:val="26"/>
          <w:szCs w:val="26"/>
        </w:rPr>
      </w:pPr>
      <w:r w:rsidRPr="0054159B">
        <w:rPr>
          <w:rStyle w:val="FootnoteReference"/>
          <w:sz w:val="26"/>
          <w:szCs w:val="26"/>
        </w:rPr>
        <w:footnoteRef/>
      </w:r>
      <w:r w:rsidRPr="0054159B">
        <w:rPr>
          <w:sz w:val="26"/>
          <w:szCs w:val="26"/>
        </w:rPr>
        <w:t xml:space="preserve"> </w:t>
      </w:r>
      <w:r w:rsidRPr="0054159B">
        <w:rPr>
          <w:sz w:val="26"/>
          <w:szCs w:val="26"/>
        </w:rPr>
        <w:tab/>
        <w:t>The Companies also propose that the unrecovered original cost of existing meters being replaced by smart meters should continue to be recovered in current base rates.  Accordingly, the SMT-C would not include any costs to recover the remaining original cost of the Comp</w:t>
      </w:r>
      <w:r w:rsidR="002D3825">
        <w:rPr>
          <w:sz w:val="26"/>
          <w:szCs w:val="26"/>
        </w:rPr>
        <w:t>anies’ existing meters.</w:t>
      </w:r>
      <w:r w:rsidR="00AD219A" w:rsidRPr="0054159B">
        <w:rPr>
          <w:sz w:val="26"/>
          <w:szCs w:val="26"/>
        </w:rPr>
        <w:t>...</w:t>
      </w:r>
    </w:p>
    <w:p w:rsidR="003434DB" w:rsidRDefault="003434DB" w:rsidP="004512C8">
      <w:pPr>
        <w:ind w:left="1440" w:right="1440"/>
        <w:rPr>
          <w:sz w:val="26"/>
          <w:szCs w:val="26"/>
        </w:rPr>
      </w:pPr>
    </w:p>
    <w:p w:rsidR="003434DB" w:rsidRDefault="003434DB" w:rsidP="004512C8">
      <w:pPr>
        <w:ind w:left="1440" w:right="1440"/>
        <w:rPr>
          <w:sz w:val="26"/>
          <w:szCs w:val="26"/>
        </w:rPr>
      </w:pPr>
    </w:p>
    <w:p w:rsidR="00DD5618" w:rsidRDefault="00814BDD" w:rsidP="004512C8">
      <w:pPr>
        <w:spacing w:line="360" w:lineRule="auto"/>
        <w:rPr>
          <w:sz w:val="26"/>
          <w:szCs w:val="26"/>
        </w:rPr>
      </w:pPr>
      <w:r>
        <w:rPr>
          <w:sz w:val="26"/>
          <w:szCs w:val="26"/>
        </w:rPr>
        <w:t xml:space="preserve"> </w:t>
      </w:r>
      <w:r w:rsidR="00A513A6">
        <w:rPr>
          <w:sz w:val="26"/>
          <w:szCs w:val="26"/>
        </w:rPr>
        <w:t xml:space="preserve">  </w:t>
      </w:r>
      <w:r w:rsidR="004512C8">
        <w:rPr>
          <w:sz w:val="26"/>
          <w:szCs w:val="26"/>
        </w:rPr>
        <w:t>I.D. at 31-32.</w:t>
      </w:r>
    </w:p>
    <w:p w:rsidR="00CC75DC" w:rsidRDefault="00CC75DC" w:rsidP="003B4687">
      <w:pPr>
        <w:spacing w:line="360" w:lineRule="auto"/>
        <w:ind w:firstLine="1440"/>
        <w:rPr>
          <w:sz w:val="26"/>
          <w:szCs w:val="26"/>
        </w:rPr>
      </w:pPr>
    </w:p>
    <w:p w:rsidR="00CC75DC" w:rsidRDefault="00CC75DC" w:rsidP="003B4687">
      <w:pPr>
        <w:spacing w:line="360" w:lineRule="auto"/>
        <w:ind w:firstLine="1440"/>
        <w:rPr>
          <w:sz w:val="26"/>
          <w:szCs w:val="26"/>
        </w:rPr>
      </w:pPr>
    </w:p>
    <w:p w:rsidR="00DD5618" w:rsidRDefault="00DD5618" w:rsidP="003B4687">
      <w:pPr>
        <w:spacing w:line="360" w:lineRule="auto"/>
        <w:ind w:firstLine="1440"/>
        <w:rPr>
          <w:sz w:val="26"/>
          <w:szCs w:val="26"/>
        </w:rPr>
      </w:pPr>
    </w:p>
    <w:p w:rsidR="00837590" w:rsidRPr="00D37710" w:rsidRDefault="00DD5618" w:rsidP="003B4687">
      <w:pPr>
        <w:spacing w:line="360" w:lineRule="auto"/>
        <w:ind w:firstLine="1440"/>
        <w:rPr>
          <w:sz w:val="26"/>
          <w:szCs w:val="26"/>
        </w:rPr>
      </w:pPr>
      <w:r>
        <w:rPr>
          <w:sz w:val="26"/>
          <w:szCs w:val="26"/>
        </w:rPr>
        <w:t xml:space="preserve"> </w:t>
      </w:r>
    </w:p>
    <w:p w:rsidR="00D37710" w:rsidRPr="00D37710" w:rsidRDefault="004933B3">
      <w:pPr>
        <w:spacing w:after="200" w:line="276" w:lineRule="auto"/>
        <w:rPr>
          <w:sz w:val="26"/>
          <w:szCs w:val="26"/>
        </w:rPr>
      </w:pPr>
      <w:bookmarkStart w:id="21" w:name="_Toc242516221"/>
      <w:r w:rsidRPr="00D37710">
        <w:rPr>
          <w:sz w:val="26"/>
          <w:szCs w:val="26"/>
        </w:rPr>
        <w:br w:type="page"/>
      </w:r>
    </w:p>
    <w:p w:rsidR="001A395D" w:rsidRPr="0056717C" w:rsidRDefault="00B6382E" w:rsidP="00B858C2">
      <w:pPr>
        <w:pStyle w:val="Heading1"/>
        <w:rPr>
          <w:szCs w:val="26"/>
        </w:rPr>
      </w:pPr>
      <w:bookmarkStart w:id="22" w:name="_Toc259798201"/>
      <w:bookmarkStart w:id="23" w:name="_Toc263848833"/>
      <w:r>
        <w:rPr>
          <w:szCs w:val="26"/>
        </w:rPr>
        <w:lastRenderedPageBreak/>
        <w:t xml:space="preserve">V.  </w:t>
      </w:r>
      <w:r w:rsidR="006F4B78">
        <w:rPr>
          <w:szCs w:val="26"/>
        </w:rPr>
        <w:tab/>
      </w:r>
      <w:r w:rsidR="001A395D" w:rsidRPr="0056717C">
        <w:rPr>
          <w:szCs w:val="26"/>
        </w:rPr>
        <w:t>Discussion</w:t>
      </w:r>
      <w:bookmarkEnd w:id="21"/>
      <w:bookmarkEnd w:id="22"/>
      <w:bookmarkEnd w:id="23"/>
    </w:p>
    <w:p w:rsidR="00422F86" w:rsidRDefault="00422F86" w:rsidP="00DB1424">
      <w:pPr>
        <w:spacing w:line="360" w:lineRule="auto"/>
        <w:ind w:firstLine="1440"/>
        <w:rPr>
          <w:sz w:val="26"/>
          <w:szCs w:val="26"/>
        </w:rPr>
      </w:pPr>
    </w:p>
    <w:p w:rsidR="008333CE" w:rsidRDefault="008333CE" w:rsidP="008333CE">
      <w:pPr>
        <w:spacing w:line="360" w:lineRule="auto"/>
        <w:ind w:firstLine="1440"/>
        <w:rPr>
          <w:sz w:val="26"/>
        </w:rPr>
      </w:pPr>
      <w:r>
        <w:rPr>
          <w:sz w:val="26"/>
          <w:szCs w:val="26"/>
        </w:rPr>
        <w:t xml:space="preserve">In Commission proceedings, </w:t>
      </w:r>
      <w:r w:rsidRPr="008F0B41">
        <w:rPr>
          <w:sz w:val="26"/>
          <w:szCs w:val="26"/>
        </w:rPr>
        <w:t>the proponent of a rule or order</w:t>
      </w:r>
      <w:r>
        <w:rPr>
          <w:sz w:val="26"/>
          <w:szCs w:val="26"/>
        </w:rPr>
        <w:t xml:space="preserve"> bears</w:t>
      </w:r>
      <w:r w:rsidRPr="008F0B41">
        <w:rPr>
          <w:sz w:val="26"/>
          <w:szCs w:val="26"/>
        </w:rPr>
        <w:t xml:space="preserve"> the burden of </w:t>
      </w:r>
      <w:r>
        <w:rPr>
          <w:sz w:val="26"/>
          <w:szCs w:val="26"/>
        </w:rPr>
        <w:t>p</w:t>
      </w:r>
      <w:r w:rsidRPr="008F0B41">
        <w:rPr>
          <w:sz w:val="26"/>
          <w:szCs w:val="26"/>
        </w:rPr>
        <w:t>roof</w:t>
      </w:r>
      <w:r>
        <w:rPr>
          <w:sz w:val="26"/>
          <w:szCs w:val="26"/>
        </w:rPr>
        <w:t xml:space="preserve">. </w:t>
      </w:r>
      <w:r w:rsidRPr="008F0B41">
        <w:rPr>
          <w:sz w:val="26"/>
          <w:szCs w:val="26"/>
        </w:rPr>
        <w:t xml:space="preserve"> 66 Pa. C.S. § 332(a).  </w:t>
      </w:r>
      <w:r>
        <w:rPr>
          <w:sz w:val="26"/>
          <w:szCs w:val="26"/>
        </w:rPr>
        <w:t xml:space="preserve">To satisfy that burden, the proponent of a rule or order must prove each element of its case by a preponderance of the evidence.  </w:t>
      </w:r>
      <w:r w:rsidRPr="008F0B41">
        <w:rPr>
          <w:i/>
          <w:iCs/>
          <w:sz w:val="26"/>
          <w:szCs w:val="26"/>
        </w:rPr>
        <w:t>Samuel J. Lansberry, Inc. v. P</w:t>
      </w:r>
      <w:r>
        <w:rPr>
          <w:i/>
          <w:iCs/>
          <w:sz w:val="26"/>
          <w:szCs w:val="26"/>
        </w:rPr>
        <w:t>a. PUC</w:t>
      </w:r>
      <w:r w:rsidRPr="008F0B41">
        <w:rPr>
          <w:sz w:val="26"/>
          <w:szCs w:val="26"/>
        </w:rPr>
        <w:t>, 578 A.2d 600 (Pa. C</w:t>
      </w:r>
      <w:r>
        <w:rPr>
          <w:sz w:val="26"/>
          <w:szCs w:val="26"/>
        </w:rPr>
        <w:t>m</w:t>
      </w:r>
      <w:r w:rsidRPr="008F0B41">
        <w:rPr>
          <w:sz w:val="26"/>
          <w:szCs w:val="26"/>
        </w:rPr>
        <w:t>w</w:t>
      </w:r>
      <w:r>
        <w:rPr>
          <w:sz w:val="26"/>
          <w:szCs w:val="26"/>
        </w:rPr>
        <w:t>lth</w:t>
      </w:r>
      <w:r w:rsidRPr="008F0B41">
        <w:rPr>
          <w:sz w:val="26"/>
          <w:szCs w:val="26"/>
        </w:rPr>
        <w:t xml:space="preserve">. 1990).  </w:t>
      </w:r>
      <w:r>
        <w:rPr>
          <w:sz w:val="26"/>
          <w:szCs w:val="26"/>
        </w:rPr>
        <w:t xml:space="preserve">A preponderance of the evidence is established by presenting evidence that is more convincing, by even the smallest amount, than that presented by the other parties to the case.  </w:t>
      </w:r>
      <w:r>
        <w:rPr>
          <w:i/>
          <w:sz w:val="26"/>
          <w:szCs w:val="26"/>
        </w:rPr>
        <w:t xml:space="preserve">Se-Ling Hosiery v. </w:t>
      </w:r>
      <w:r w:rsidR="001C010A">
        <w:rPr>
          <w:i/>
          <w:sz w:val="26"/>
          <w:szCs w:val="26"/>
        </w:rPr>
        <w:t>Marg</w:t>
      </w:r>
      <w:r w:rsidRPr="00122405">
        <w:rPr>
          <w:i/>
          <w:sz w:val="26"/>
          <w:szCs w:val="26"/>
        </w:rPr>
        <w:t>ulies</w:t>
      </w:r>
      <w:r>
        <w:rPr>
          <w:sz w:val="26"/>
          <w:szCs w:val="26"/>
        </w:rPr>
        <w:t xml:space="preserve">, 364 Pa. 45, 70 A.2d 854 (1950).  </w:t>
      </w:r>
      <w:r w:rsidRPr="00122405">
        <w:rPr>
          <w:sz w:val="26"/>
          <w:szCs w:val="26"/>
        </w:rPr>
        <w:t>Additionally</w:t>
      </w:r>
      <w:r w:rsidRPr="008F0B41">
        <w:rPr>
          <w:sz w:val="26"/>
          <w:szCs w:val="26"/>
        </w:rPr>
        <w:t xml:space="preserve">, </w:t>
      </w:r>
      <w:r>
        <w:rPr>
          <w:sz w:val="26"/>
          <w:szCs w:val="26"/>
        </w:rPr>
        <w:t xml:space="preserve">this Commission’s </w:t>
      </w:r>
      <w:r w:rsidRPr="008F0B41">
        <w:rPr>
          <w:sz w:val="26"/>
        </w:rPr>
        <w:t xml:space="preserve">decision </w:t>
      </w:r>
      <w:r>
        <w:rPr>
          <w:sz w:val="26"/>
        </w:rPr>
        <w:t>mu</w:t>
      </w:r>
      <w:r w:rsidRPr="008F0B41">
        <w:rPr>
          <w:sz w:val="26"/>
        </w:rPr>
        <w:t>s</w:t>
      </w:r>
      <w:r>
        <w:rPr>
          <w:sz w:val="26"/>
        </w:rPr>
        <w:t>t be</w:t>
      </w:r>
      <w:r w:rsidRPr="008F0B41">
        <w:rPr>
          <w:sz w:val="26"/>
        </w:rPr>
        <w:t xml:space="preserve"> supported by substantial evidence in the record. </w:t>
      </w:r>
      <w:r>
        <w:rPr>
          <w:sz w:val="26"/>
        </w:rPr>
        <w:t xml:space="preserve"> </w:t>
      </w:r>
      <w:r w:rsidRPr="008F0B41">
        <w:rPr>
          <w:sz w:val="26"/>
        </w:rPr>
        <w:t>More is required than a mere trace of evidence or a suspicion of the existence of a fact sought to be established.</w:t>
      </w:r>
      <w:r>
        <w:rPr>
          <w:sz w:val="26"/>
        </w:rPr>
        <w:t xml:space="preserve">  </w:t>
      </w:r>
      <w:r>
        <w:rPr>
          <w:i/>
          <w:sz w:val="26"/>
        </w:rPr>
        <w:t xml:space="preserve">Norfolk &amp; Western Ry. Co. v. Pa. PUC, </w:t>
      </w:r>
      <w:r>
        <w:rPr>
          <w:sz w:val="26"/>
        </w:rPr>
        <w:t>489 Pa. 109, 413 A.2d 1037 (1980).</w:t>
      </w:r>
    </w:p>
    <w:p w:rsidR="00412936" w:rsidRDefault="00412936" w:rsidP="00DB1424">
      <w:pPr>
        <w:spacing w:line="360" w:lineRule="auto"/>
        <w:ind w:firstLine="1440"/>
        <w:rPr>
          <w:sz w:val="26"/>
          <w:szCs w:val="26"/>
        </w:rPr>
      </w:pPr>
    </w:p>
    <w:p w:rsidR="00367979" w:rsidRPr="00367979" w:rsidRDefault="008333CE" w:rsidP="00367979">
      <w:pPr>
        <w:spacing w:line="360" w:lineRule="auto"/>
        <w:ind w:firstLine="1440"/>
        <w:rPr>
          <w:sz w:val="26"/>
          <w:szCs w:val="26"/>
        </w:rPr>
      </w:pPr>
      <w:r>
        <w:rPr>
          <w:sz w:val="26"/>
          <w:szCs w:val="26"/>
        </w:rPr>
        <w:t>W</w:t>
      </w:r>
      <w:r w:rsidR="00367979" w:rsidRPr="00AC6C96">
        <w:rPr>
          <w:sz w:val="26"/>
          <w:szCs w:val="26"/>
        </w:rPr>
        <w:t xml:space="preserve">e note that any issue </w:t>
      </w:r>
      <w:r w:rsidR="00D529D0">
        <w:rPr>
          <w:sz w:val="26"/>
          <w:szCs w:val="26"/>
        </w:rPr>
        <w:t xml:space="preserve">or Exception </w:t>
      </w:r>
      <w:r w:rsidR="00367979" w:rsidRPr="00AC6C96">
        <w:rPr>
          <w:sz w:val="26"/>
          <w:szCs w:val="26"/>
        </w:rPr>
        <w:t>that we do not specifically address herein has been duly considered and will be denied without further discussion.  It is well settled that we are not required to consider expressly or at length each conten</w:t>
      </w:r>
      <w:r w:rsidR="00272CBD">
        <w:rPr>
          <w:sz w:val="26"/>
          <w:szCs w:val="26"/>
        </w:rPr>
        <w:t>tion or argument raised by the P</w:t>
      </w:r>
      <w:r w:rsidR="00367979" w:rsidRPr="00AC6C96">
        <w:rPr>
          <w:sz w:val="26"/>
          <w:szCs w:val="26"/>
        </w:rPr>
        <w:t xml:space="preserve">arties.  </w:t>
      </w:r>
      <w:hyperlink r:id="rId10" w:history="1">
        <w:r w:rsidR="00367979" w:rsidRPr="00367979">
          <w:rPr>
            <w:rStyle w:val="Emphasis"/>
            <w:color w:val="000000"/>
            <w:sz w:val="26"/>
            <w:szCs w:val="26"/>
          </w:rPr>
          <w:t>Consolidated Rail Corporation v. Pa. PUC</w:t>
        </w:r>
        <w:r w:rsidR="00367979" w:rsidRPr="00367979">
          <w:rPr>
            <w:rStyle w:val="Hyperlink"/>
            <w:color w:val="000000"/>
            <w:sz w:val="26"/>
            <w:szCs w:val="26"/>
            <w:u w:val="none"/>
          </w:rPr>
          <w:t>, 625 A.2d 741 (Pa. Cmwlth. 1993);</w:t>
        </w:r>
      </w:hyperlink>
      <w:r w:rsidR="00367979" w:rsidRPr="00367979">
        <w:rPr>
          <w:color w:val="000000"/>
          <w:sz w:val="26"/>
          <w:szCs w:val="26"/>
        </w:rPr>
        <w:t xml:space="preserve"> </w:t>
      </w:r>
      <w:r w:rsidR="00367979" w:rsidRPr="00367979">
        <w:rPr>
          <w:rStyle w:val="Emphasis"/>
          <w:color w:val="000000"/>
          <w:sz w:val="26"/>
          <w:szCs w:val="26"/>
        </w:rPr>
        <w:t>see</w:t>
      </w:r>
      <w:r w:rsidR="000662FC">
        <w:rPr>
          <w:rStyle w:val="Emphasis"/>
          <w:color w:val="000000"/>
          <w:sz w:val="26"/>
          <w:szCs w:val="26"/>
        </w:rPr>
        <w:t xml:space="preserve"> also</w:t>
      </w:r>
      <w:r w:rsidR="00367979" w:rsidRPr="00367979">
        <w:rPr>
          <w:rStyle w:val="Emphasis"/>
          <w:color w:val="000000"/>
          <w:sz w:val="26"/>
          <w:szCs w:val="26"/>
        </w:rPr>
        <w:t xml:space="preserve">, generally, </w:t>
      </w:r>
      <w:hyperlink r:id="rId11" w:history="1">
        <w:r w:rsidR="00367979" w:rsidRPr="00367979">
          <w:rPr>
            <w:rStyle w:val="Emphasis"/>
            <w:color w:val="000000"/>
            <w:sz w:val="26"/>
            <w:szCs w:val="26"/>
          </w:rPr>
          <w:t>University of Pennsyl</w:t>
        </w:r>
        <w:r w:rsidR="00367979" w:rsidRPr="00367979">
          <w:rPr>
            <w:rStyle w:val="Emphasis"/>
            <w:color w:val="000000"/>
            <w:sz w:val="26"/>
            <w:szCs w:val="26"/>
          </w:rPr>
          <w:softHyphen/>
          <w:t>vania v. Pa. PUC</w:t>
        </w:r>
        <w:r w:rsidR="00B44C3F">
          <w:rPr>
            <w:rStyle w:val="Hyperlink"/>
            <w:color w:val="000000"/>
            <w:sz w:val="26"/>
            <w:szCs w:val="26"/>
            <w:u w:val="none"/>
          </w:rPr>
          <w:t>, 485 A.2d 1217 (Pa. </w:t>
        </w:r>
        <w:r w:rsidR="00367979" w:rsidRPr="00367979">
          <w:rPr>
            <w:rStyle w:val="Hyperlink"/>
            <w:color w:val="000000"/>
            <w:sz w:val="26"/>
            <w:szCs w:val="26"/>
            <w:u w:val="none"/>
          </w:rPr>
          <w:t>Cmwlth. 1984).</w:t>
        </w:r>
      </w:hyperlink>
      <w:r w:rsidR="00367979" w:rsidRPr="00367979">
        <w:rPr>
          <w:sz w:val="26"/>
          <w:szCs w:val="26"/>
        </w:rPr>
        <w:t xml:space="preserve">  </w:t>
      </w:r>
    </w:p>
    <w:p w:rsidR="002F5812" w:rsidRPr="005F7DB5" w:rsidRDefault="002F5812" w:rsidP="002F5812">
      <w:pPr>
        <w:spacing w:line="360" w:lineRule="auto"/>
        <w:ind w:firstLine="1440"/>
        <w:rPr>
          <w:sz w:val="26"/>
          <w:szCs w:val="26"/>
        </w:rPr>
      </w:pPr>
      <w:bookmarkStart w:id="24" w:name="_Toc242516349"/>
    </w:p>
    <w:p w:rsidR="002F5812" w:rsidRDefault="002F5812" w:rsidP="00DE6617">
      <w:pPr>
        <w:pStyle w:val="Heading2"/>
      </w:pPr>
      <w:bookmarkStart w:id="25" w:name="_Toc259798202"/>
      <w:bookmarkStart w:id="26" w:name="_Toc263848834"/>
      <w:r w:rsidRPr="005F7DB5">
        <w:t>A.</w:t>
      </w:r>
      <w:r w:rsidRPr="005F7DB5">
        <w:tab/>
        <w:t>Non-Cost Issues</w:t>
      </w:r>
      <w:bookmarkEnd w:id="25"/>
      <w:bookmarkEnd w:id="26"/>
    </w:p>
    <w:p w:rsidR="00DE6617" w:rsidRPr="005F7DB5" w:rsidRDefault="00DE6617" w:rsidP="00DE6617">
      <w:pPr>
        <w:spacing w:line="360" w:lineRule="auto"/>
        <w:ind w:firstLine="720"/>
        <w:rPr>
          <w:sz w:val="26"/>
          <w:szCs w:val="26"/>
        </w:rPr>
      </w:pPr>
    </w:p>
    <w:p w:rsidR="002F5812" w:rsidRPr="005F7DB5" w:rsidRDefault="00512F82" w:rsidP="00DE6617">
      <w:pPr>
        <w:pStyle w:val="Heading3"/>
      </w:pPr>
      <w:bookmarkStart w:id="27" w:name="_Toc259798203"/>
      <w:bookmarkStart w:id="28" w:name="_Toc263848835"/>
      <w:r>
        <w:t>1.</w:t>
      </w:r>
      <w:r>
        <w:tab/>
        <w:t>Deployment Process and T</w:t>
      </w:r>
      <w:r w:rsidR="002F5812" w:rsidRPr="005F7DB5">
        <w:t>imeframe</w:t>
      </w:r>
      <w:bookmarkEnd w:id="27"/>
      <w:bookmarkEnd w:id="28"/>
    </w:p>
    <w:p w:rsidR="00DE6617" w:rsidRDefault="00DE6617" w:rsidP="002F5812">
      <w:pPr>
        <w:spacing w:line="360" w:lineRule="auto"/>
        <w:ind w:firstLine="2160"/>
        <w:rPr>
          <w:sz w:val="26"/>
          <w:szCs w:val="26"/>
        </w:rPr>
      </w:pPr>
    </w:p>
    <w:p w:rsidR="00DE6617" w:rsidRDefault="00EB3313" w:rsidP="00EB3313">
      <w:pPr>
        <w:pStyle w:val="Heading4"/>
      </w:pPr>
      <w:bookmarkStart w:id="29" w:name="_Toc259798204"/>
      <w:bookmarkStart w:id="30" w:name="_Toc263848836"/>
      <w:r>
        <w:t>a.</w:t>
      </w:r>
      <w:r>
        <w:tab/>
      </w:r>
      <w:r w:rsidR="00B55DC4">
        <w:t>FirstEnergy</w:t>
      </w:r>
      <w:r>
        <w:t>’s Plan</w:t>
      </w:r>
      <w:bookmarkEnd w:id="29"/>
      <w:bookmarkEnd w:id="30"/>
    </w:p>
    <w:p w:rsidR="00DE6617" w:rsidRDefault="00DE6617" w:rsidP="002F5812">
      <w:pPr>
        <w:spacing w:line="360" w:lineRule="auto"/>
        <w:ind w:firstLine="2160"/>
        <w:rPr>
          <w:sz w:val="26"/>
          <w:szCs w:val="26"/>
        </w:rPr>
      </w:pPr>
    </w:p>
    <w:p w:rsidR="00AC17BA" w:rsidRDefault="00523F11" w:rsidP="00523F11">
      <w:pPr>
        <w:spacing w:line="360" w:lineRule="auto"/>
        <w:ind w:firstLine="1440"/>
        <w:rPr>
          <w:sz w:val="26"/>
          <w:szCs w:val="26"/>
        </w:rPr>
      </w:pPr>
      <w:r>
        <w:rPr>
          <w:sz w:val="26"/>
          <w:szCs w:val="26"/>
        </w:rPr>
        <w:t xml:space="preserve">As stated previously, the Companies’ Plan contains both a short-term plan and a long-term time line based on information currently available.  Joint Petition at ¶ 9; </w:t>
      </w:r>
      <w:r w:rsidR="00B55DC4">
        <w:rPr>
          <w:sz w:val="26"/>
          <w:szCs w:val="26"/>
        </w:rPr>
        <w:t>FirstEnergy</w:t>
      </w:r>
      <w:r>
        <w:rPr>
          <w:sz w:val="26"/>
          <w:szCs w:val="26"/>
        </w:rPr>
        <w:t xml:space="preserve"> MB at 3.</w:t>
      </w:r>
      <w:r w:rsidR="00F63F6D">
        <w:rPr>
          <w:sz w:val="26"/>
          <w:szCs w:val="26"/>
        </w:rPr>
        <w:t xml:space="preserve">  </w:t>
      </w:r>
      <w:r>
        <w:rPr>
          <w:sz w:val="26"/>
          <w:szCs w:val="26"/>
        </w:rPr>
        <w:t xml:space="preserve">The Companies intend to use the Assessment Period to assess </w:t>
      </w:r>
      <w:r>
        <w:rPr>
          <w:sz w:val="26"/>
          <w:szCs w:val="26"/>
        </w:rPr>
        <w:lastRenderedPageBreak/>
        <w:t xml:space="preserve">needs, select technology, secure vendors, train personnel, and install and support test equipment.  </w:t>
      </w:r>
      <w:r w:rsidR="00AC17BA">
        <w:rPr>
          <w:sz w:val="26"/>
          <w:szCs w:val="26"/>
        </w:rPr>
        <w:t xml:space="preserve">The Companies anticipate that the vendor and selection process will start in September, 2010 and continue for almost ten months.  The Companies will then conduct an evaluation of the current legacy systems to assess network design.  This task is expected to commence in January, 2011, and be completed before the end of 2013. </w:t>
      </w:r>
      <w:r w:rsidR="00A404F5">
        <w:rPr>
          <w:sz w:val="26"/>
          <w:szCs w:val="26"/>
        </w:rPr>
        <w:t xml:space="preserve"> </w:t>
      </w:r>
      <w:r w:rsidR="00B55DC4">
        <w:rPr>
          <w:sz w:val="26"/>
          <w:szCs w:val="26"/>
        </w:rPr>
        <w:t>FirstEnergy</w:t>
      </w:r>
      <w:r w:rsidR="00A404F5">
        <w:rPr>
          <w:sz w:val="26"/>
          <w:szCs w:val="26"/>
        </w:rPr>
        <w:t xml:space="preserve"> MB at 4.  </w:t>
      </w:r>
      <w:r w:rsidR="001B72A4">
        <w:rPr>
          <w:sz w:val="26"/>
          <w:szCs w:val="26"/>
        </w:rPr>
        <w:t xml:space="preserve">The Companies expect to submit the Deployment Plan </w:t>
      </w:r>
      <w:r w:rsidR="00FA524E">
        <w:rPr>
          <w:sz w:val="26"/>
          <w:szCs w:val="26"/>
        </w:rPr>
        <w:t xml:space="preserve">to the Commission </w:t>
      </w:r>
      <w:r w:rsidR="001B72A4">
        <w:rPr>
          <w:sz w:val="26"/>
          <w:szCs w:val="26"/>
        </w:rPr>
        <w:t>for approval in April 2012</w:t>
      </w:r>
      <w:r w:rsidR="00FA524E">
        <w:rPr>
          <w:sz w:val="26"/>
          <w:szCs w:val="26"/>
        </w:rPr>
        <w:t>,</w:t>
      </w:r>
      <w:r w:rsidR="002C0FDB">
        <w:rPr>
          <w:sz w:val="26"/>
          <w:szCs w:val="26"/>
        </w:rPr>
        <w:t xml:space="preserve"> and </w:t>
      </w:r>
      <w:r w:rsidR="00B51B49">
        <w:rPr>
          <w:sz w:val="26"/>
          <w:szCs w:val="26"/>
        </w:rPr>
        <w:t xml:space="preserve">they project that the </w:t>
      </w:r>
      <w:r w:rsidR="002C0FDB">
        <w:rPr>
          <w:sz w:val="26"/>
          <w:szCs w:val="26"/>
        </w:rPr>
        <w:t xml:space="preserve">Commission </w:t>
      </w:r>
      <w:r w:rsidR="00B51B49">
        <w:rPr>
          <w:sz w:val="26"/>
          <w:szCs w:val="26"/>
        </w:rPr>
        <w:t xml:space="preserve">will </w:t>
      </w:r>
      <w:r w:rsidR="002C0FDB">
        <w:rPr>
          <w:sz w:val="26"/>
          <w:szCs w:val="26"/>
        </w:rPr>
        <w:t>approv</w:t>
      </w:r>
      <w:r w:rsidR="00B51B49">
        <w:rPr>
          <w:sz w:val="26"/>
          <w:szCs w:val="26"/>
        </w:rPr>
        <w:t xml:space="preserve">e the Deployment Plan about </w:t>
      </w:r>
      <w:r w:rsidR="001B72A4">
        <w:rPr>
          <w:sz w:val="26"/>
          <w:szCs w:val="26"/>
        </w:rPr>
        <w:t>October 2012</w:t>
      </w:r>
      <w:r w:rsidR="00B51B49">
        <w:rPr>
          <w:sz w:val="26"/>
          <w:szCs w:val="26"/>
        </w:rPr>
        <w:t xml:space="preserve"> (</w:t>
      </w:r>
      <w:r w:rsidR="001B72A4">
        <w:rPr>
          <w:sz w:val="26"/>
          <w:szCs w:val="26"/>
        </w:rPr>
        <w:t>when the Grace Period expires</w:t>
      </w:r>
      <w:r w:rsidR="00B51B49">
        <w:rPr>
          <w:sz w:val="26"/>
          <w:szCs w:val="26"/>
        </w:rPr>
        <w:t>)</w:t>
      </w:r>
      <w:r w:rsidR="001B72A4">
        <w:rPr>
          <w:sz w:val="26"/>
          <w:szCs w:val="26"/>
        </w:rPr>
        <w:t>.</w:t>
      </w:r>
      <w:r w:rsidR="00B51B49">
        <w:rPr>
          <w:sz w:val="26"/>
          <w:szCs w:val="26"/>
        </w:rPr>
        <w:t xml:space="preserve">  Plan at 6.</w:t>
      </w:r>
    </w:p>
    <w:p w:rsidR="00AC17BA" w:rsidRDefault="00AC17BA" w:rsidP="00523F11">
      <w:pPr>
        <w:spacing w:line="360" w:lineRule="auto"/>
        <w:ind w:firstLine="1440"/>
        <w:rPr>
          <w:sz w:val="26"/>
          <w:szCs w:val="26"/>
        </w:rPr>
      </w:pPr>
    </w:p>
    <w:p w:rsidR="00523F11" w:rsidRDefault="00523F11" w:rsidP="00523F11">
      <w:pPr>
        <w:spacing w:line="360" w:lineRule="auto"/>
        <w:ind w:firstLine="1440"/>
        <w:rPr>
          <w:sz w:val="26"/>
          <w:szCs w:val="26"/>
        </w:rPr>
      </w:pPr>
      <w:r>
        <w:rPr>
          <w:sz w:val="26"/>
          <w:szCs w:val="26"/>
        </w:rPr>
        <w:t xml:space="preserve">The Companies currently anticipate </w:t>
      </w:r>
      <w:r w:rsidR="000413C2">
        <w:rPr>
          <w:sz w:val="26"/>
          <w:szCs w:val="26"/>
        </w:rPr>
        <w:t xml:space="preserve">commencing the build-out of necessary infrastructure in April, 2013.  They will then </w:t>
      </w:r>
      <w:r>
        <w:rPr>
          <w:sz w:val="26"/>
          <w:szCs w:val="26"/>
        </w:rPr>
        <w:t xml:space="preserve">perform a technical trial </w:t>
      </w:r>
      <w:r w:rsidR="000413C2">
        <w:rPr>
          <w:sz w:val="26"/>
          <w:szCs w:val="26"/>
        </w:rPr>
        <w:t xml:space="preserve">involving 5,000 to 10,000 meters </w:t>
      </w:r>
      <w:r>
        <w:rPr>
          <w:sz w:val="26"/>
          <w:szCs w:val="26"/>
        </w:rPr>
        <w:t xml:space="preserve">prior to December 31, 2013. </w:t>
      </w:r>
      <w:r w:rsidR="000413C2">
        <w:rPr>
          <w:sz w:val="26"/>
          <w:szCs w:val="26"/>
        </w:rPr>
        <w:t xml:space="preserve"> T</w:t>
      </w:r>
      <w:r>
        <w:rPr>
          <w:sz w:val="26"/>
          <w:szCs w:val="26"/>
        </w:rPr>
        <w:t>he Companies anticipate</w:t>
      </w:r>
      <w:r w:rsidR="000413C2">
        <w:rPr>
          <w:sz w:val="26"/>
          <w:szCs w:val="26"/>
        </w:rPr>
        <w:t xml:space="preserve"> completing the build-out of</w:t>
      </w:r>
      <w:r>
        <w:rPr>
          <w:sz w:val="26"/>
          <w:szCs w:val="26"/>
        </w:rPr>
        <w:t xml:space="preserve"> necessary infrastructure </w:t>
      </w:r>
      <w:r w:rsidR="000413C2">
        <w:rPr>
          <w:sz w:val="26"/>
          <w:szCs w:val="26"/>
        </w:rPr>
        <w:t xml:space="preserve">approximately March 2016.  They will then “de-bug” the system </w:t>
      </w:r>
      <w:r>
        <w:rPr>
          <w:sz w:val="26"/>
          <w:szCs w:val="26"/>
        </w:rPr>
        <w:t>with at least 60,000 meters.  Full scale deployment of smart meters is exp</w:t>
      </w:r>
      <w:r w:rsidR="00FA524E">
        <w:rPr>
          <w:sz w:val="26"/>
          <w:szCs w:val="26"/>
        </w:rPr>
        <w:t>ected to occur in a tiered roll</w:t>
      </w:r>
      <w:r w:rsidR="008254AE">
        <w:rPr>
          <w:sz w:val="26"/>
          <w:szCs w:val="26"/>
        </w:rPr>
        <w:t xml:space="preserve"> </w:t>
      </w:r>
      <w:r>
        <w:rPr>
          <w:sz w:val="26"/>
          <w:szCs w:val="26"/>
        </w:rPr>
        <w:t>out beginning about April 2017</w:t>
      </w:r>
      <w:r w:rsidR="00FA524E">
        <w:rPr>
          <w:sz w:val="26"/>
          <w:szCs w:val="26"/>
        </w:rPr>
        <w:t>,</w:t>
      </w:r>
      <w:r>
        <w:rPr>
          <w:sz w:val="26"/>
          <w:szCs w:val="26"/>
        </w:rPr>
        <w:t xml:space="preserve"> and ending about March 2022.  Joint Petition at ¶¶ 25-26; Plan at 6.</w:t>
      </w:r>
    </w:p>
    <w:p w:rsidR="00484607" w:rsidRDefault="00484607" w:rsidP="002F5812">
      <w:pPr>
        <w:spacing w:line="360" w:lineRule="auto"/>
        <w:ind w:firstLine="2160"/>
        <w:rPr>
          <w:sz w:val="26"/>
          <w:szCs w:val="26"/>
        </w:rPr>
      </w:pPr>
    </w:p>
    <w:p w:rsidR="00EB3313" w:rsidRDefault="00EB3313" w:rsidP="00EB3313">
      <w:pPr>
        <w:pStyle w:val="Heading4"/>
      </w:pPr>
      <w:bookmarkStart w:id="31" w:name="_Toc259798205"/>
      <w:bookmarkStart w:id="32" w:name="_Toc263848837"/>
      <w:r>
        <w:t>b.</w:t>
      </w:r>
      <w:r>
        <w:tab/>
        <w:t>ALJ’s Recommendation</w:t>
      </w:r>
      <w:bookmarkEnd w:id="31"/>
      <w:bookmarkEnd w:id="32"/>
    </w:p>
    <w:p w:rsidR="00DE6617" w:rsidRDefault="00DE6617" w:rsidP="002F5812">
      <w:pPr>
        <w:spacing w:line="360" w:lineRule="auto"/>
        <w:ind w:firstLine="2160"/>
        <w:rPr>
          <w:sz w:val="26"/>
          <w:szCs w:val="26"/>
        </w:rPr>
      </w:pPr>
    </w:p>
    <w:p w:rsidR="000A4D51" w:rsidRPr="0047003B" w:rsidRDefault="008434D1" w:rsidP="002F5812">
      <w:pPr>
        <w:spacing w:line="360" w:lineRule="auto"/>
        <w:ind w:firstLine="2160"/>
        <w:rPr>
          <w:sz w:val="26"/>
          <w:szCs w:val="26"/>
        </w:rPr>
      </w:pPr>
      <w:r>
        <w:rPr>
          <w:sz w:val="26"/>
          <w:szCs w:val="26"/>
        </w:rPr>
        <w:t xml:space="preserve">The ALJ approved the deployment timeframe set forth in the Companies’ Plan.  The ALJ found that the </w:t>
      </w:r>
      <w:r w:rsidR="0047003B">
        <w:rPr>
          <w:i/>
          <w:sz w:val="26"/>
        </w:rPr>
        <w:t>Implementation Order</w:t>
      </w:r>
      <w:r w:rsidR="0047003B">
        <w:rPr>
          <w:sz w:val="26"/>
        </w:rPr>
        <w:t xml:space="preserve"> is not a regulation and does not have the full force and effect of law.  Instead, it acts as a policy to provide guidelines to EDCs regarding the Commission’s </w:t>
      </w:r>
      <w:r w:rsidR="00B55DC4">
        <w:rPr>
          <w:sz w:val="26"/>
        </w:rPr>
        <w:t>expectations about smart meter p</w:t>
      </w:r>
      <w:r w:rsidR="0047003B">
        <w:rPr>
          <w:sz w:val="26"/>
        </w:rPr>
        <w:t xml:space="preserve">lans.  </w:t>
      </w:r>
      <w:r w:rsidR="00504662">
        <w:rPr>
          <w:sz w:val="26"/>
        </w:rPr>
        <w:t>The ALJ found the Companies’ proposed time frame for deployment reasonable.</w:t>
      </w:r>
      <w:r w:rsidR="008254AE">
        <w:rPr>
          <w:sz w:val="26"/>
        </w:rPr>
        <w:t xml:space="preserve">  </w:t>
      </w:r>
      <w:r w:rsidR="008254AE">
        <w:rPr>
          <w:sz w:val="26"/>
          <w:szCs w:val="26"/>
        </w:rPr>
        <w:t xml:space="preserve">I.D. at 19-23.  </w:t>
      </w:r>
    </w:p>
    <w:p w:rsidR="000A4D51" w:rsidRDefault="000A4D51" w:rsidP="002F5812">
      <w:pPr>
        <w:spacing w:line="360" w:lineRule="auto"/>
        <w:ind w:firstLine="2160"/>
        <w:rPr>
          <w:sz w:val="26"/>
          <w:szCs w:val="26"/>
        </w:rPr>
      </w:pPr>
    </w:p>
    <w:p w:rsidR="008254AE" w:rsidRDefault="008254AE">
      <w:pPr>
        <w:spacing w:after="200" w:line="276" w:lineRule="auto"/>
        <w:rPr>
          <w:rFonts w:eastAsiaTheme="majorEastAsia" w:cstheme="majorBidi"/>
          <w:b/>
          <w:bCs/>
          <w:iCs/>
          <w:sz w:val="26"/>
          <w:szCs w:val="26"/>
        </w:rPr>
      </w:pPr>
      <w:r>
        <w:rPr>
          <w:szCs w:val="26"/>
        </w:rPr>
        <w:br w:type="page"/>
      </w:r>
    </w:p>
    <w:p w:rsidR="00EB3313" w:rsidRPr="00496D41" w:rsidRDefault="00EB3313" w:rsidP="00EB3313">
      <w:pPr>
        <w:pStyle w:val="Heading4"/>
        <w:rPr>
          <w:szCs w:val="26"/>
        </w:rPr>
      </w:pPr>
      <w:bookmarkStart w:id="33" w:name="_Toc259798206"/>
      <w:bookmarkStart w:id="34" w:name="_Toc263848838"/>
      <w:r w:rsidRPr="00496D41">
        <w:rPr>
          <w:szCs w:val="26"/>
        </w:rPr>
        <w:lastRenderedPageBreak/>
        <w:t>c.</w:t>
      </w:r>
      <w:r w:rsidRPr="00496D41">
        <w:rPr>
          <w:szCs w:val="26"/>
        </w:rPr>
        <w:tab/>
        <w:t>Positions of the Parties</w:t>
      </w:r>
      <w:bookmarkEnd w:id="33"/>
      <w:bookmarkEnd w:id="34"/>
    </w:p>
    <w:p w:rsidR="00EB3313" w:rsidRPr="00496D41" w:rsidRDefault="00EB3313" w:rsidP="00EB3313">
      <w:pPr>
        <w:rPr>
          <w:sz w:val="26"/>
          <w:szCs w:val="26"/>
        </w:rPr>
      </w:pPr>
    </w:p>
    <w:p w:rsidR="007B2510" w:rsidRDefault="00496D41" w:rsidP="00496D41">
      <w:pPr>
        <w:spacing w:line="360" w:lineRule="auto"/>
        <w:ind w:firstLine="1440"/>
        <w:rPr>
          <w:sz w:val="26"/>
          <w:szCs w:val="26"/>
        </w:rPr>
      </w:pPr>
      <w:r w:rsidRPr="00496D41">
        <w:rPr>
          <w:sz w:val="26"/>
          <w:szCs w:val="26"/>
        </w:rPr>
        <w:t xml:space="preserve">DEP contends </w:t>
      </w:r>
      <w:r>
        <w:rPr>
          <w:sz w:val="26"/>
          <w:szCs w:val="26"/>
        </w:rPr>
        <w:t xml:space="preserve">there are two flaws in the Companies’ timeframe for deployment.  First, </w:t>
      </w:r>
      <w:r w:rsidR="0016534E">
        <w:rPr>
          <w:sz w:val="26"/>
          <w:szCs w:val="26"/>
        </w:rPr>
        <w:t>DEP argues that the</w:t>
      </w:r>
      <w:r w:rsidR="00BC49A1">
        <w:rPr>
          <w:sz w:val="26"/>
          <w:szCs w:val="26"/>
        </w:rPr>
        <w:t xml:space="preserve"> Plan does not comply with the </w:t>
      </w:r>
      <w:r w:rsidR="0016534E" w:rsidRPr="0016534E">
        <w:rPr>
          <w:i/>
          <w:sz w:val="26"/>
          <w:szCs w:val="26"/>
        </w:rPr>
        <w:t>Implementation Order</w:t>
      </w:r>
      <w:r w:rsidR="0016534E">
        <w:rPr>
          <w:sz w:val="26"/>
          <w:szCs w:val="26"/>
        </w:rPr>
        <w:t xml:space="preserve"> </w:t>
      </w:r>
      <w:r w:rsidR="00BC49A1">
        <w:rPr>
          <w:sz w:val="26"/>
          <w:szCs w:val="26"/>
        </w:rPr>
        <w:t xml:space="preserve">in that </w:t>
      </w:r>
      <w:r w:rsidR="00B55DC4">
        <w:rPr>
          <w:sz w:val="26"/>
          <w:szCs w:val="26"/>
        </w:rPr>
        <w:t>FirstEnergy</w:t>
      </w:r>
      <w:r w:rsidR="00BC49A1">
        <w:rPr>
          <w:sz w:val="26"/>
          <w:szCs w:val="26"/>
        </w:rPr>
        <w:t xml:space="preserve"> w</w:t>
      </w:r>
      <w:r w:rsidR="00381E3A">
        <w:rPr>
          <w:sz w:val="26"/>
          <w:szCs w:val="26"/>
        </w:rPr>
        <w:t xml:space="preserve">ill </w:t>
      </w:r>
      <w:r w:rsidR="00BC49A1">
        <w:rPr>
          <w:sz w:val="26"/>
          <w:szCs w:val="26"/>
        </w:rPr>
        <w:t xml:space="preserve">not </w:t>
      </w:r>
      <w:r w:rsidR="0016534E">
        <w:rPr>
          <w:sz w:val="26"/>
          <w:szCs w:val="26"/>
        </w:rPr>
        <w:t xml:space="preserve">install </w:t>
      </w:r>
      <w:r w:rsidR="00BC49A1">
        <w:rPr>
          <w:sz w:val="26"/>
          <w:szCs w:val="26"/>
        </w:rPr>
        <w:t xml:space="preserve">its </w:t>
      </w:r>
      <w:r w:rsidR="0016534E">
        <w:rPr>
          <w:sz w:val="26"/>
          <w:szCs w:val="26"/>
        </w:rPr>
        <w:t xml:space="preserve">smart meter </w:t>
      </w:r>
      <w:r w:rsidR="0054364E">
        <w:rPr>
          <w:sz w:val="26"/>
          <w:szCs w:val="26"/>
        </w:rPr>
        <w:t>infrastructure</w:t>
      </w:r>
      <w:r w:rsidR="0016534E">
        <w:rPr>
          <w:sz w:val="26"/>
          <w:szCs w:val="26"/>
        </w:rPr>
        <w:t xml:space="preserve"> by the end of the Grace Period</w:t>
      </w:r>
      <w:r w:rsidR="007B2510">
        <w:rPr>
          <w:sz w:val="26"/>
          <w:szCs w:val="26"/>
        </w:rPr>
        <w:t xml:space="preserve"> in October 2012</w:t>
      </w:r>
      <w:r w:rsidR="0016534E">
        <w:rPr>
          <w:sz w:val="26"/>
          <w:szCs w:val="26"/>
        </w:rPr>
        <w:t xml:space="preserve">.  </w:t>
      </w:r>
      <w:r w:rsidR="007B2510">
        <w:rPr>
          <w:sz w:val="26"/>
          <w:szCs w:val="26"/>
        </w:rPr>
        <w:t xml:space="preserve">Instead, the Companies expect to complete the build-out of their smart meter infrastructure approximately March, 2016.  </w:t>
      </w:r>
      <w:r w:rsidR="003C69B7">
        <w:rPr>
          <w:sz w:val="26"/>
          <w:szCs w:val="26"/>
        </w:rPr>
        <w:t xml:space="preserve">DEP Exc. at 6-11.  </w:t>
      </w:r>
    </w:p>
    <w:p w:rsidR="007B2510" w:rsidRDefault="007B2510" w:rsidP="00496D41">
      <w:pPr>
        <w:spacing w:line="360" w:lineRule="auto"/>
        <w:ind w:firstLine="1440"/>
        <w:rPr>
          <w:sz w:val="26"/>
          <w:szCs w:val="26"/>
        </w:rPr>
      </w:pPr>
    </w:p>
    <w:p w:rsidR="006912A8" w:rsidRDefault="008254AE" w:rsidP="00496D41">
      <w:pPr>
        <w:spacing w:line="360" w:lineRule="auto"/>
        <w:ind w:firstLine="1440"/>
        <w:rPr>
          <w:sz w:val="26"/>
        </w:rPr>
      </w:pPr>
      <w:r>
        <w:rPr>
          <w:sz w:val="26"/>
          <w:szCs w:val="26"/>
        </w:rPr>
        <w:t>According to DEP, t</w:t>
      </w:r>
      <w:r w:rsidR="0054364E">
        <w:rPr>
          <w:sz w:val="26"/>
          <w:szCs w:val="26"/>
        </w:rPr>
        <w:t xml:space="preserve">he </w:t>
      </w:r>
      <w:r w:rsidR="0054364E">
        <w:rPr>
          <w:i/>
          <w:sz w:val="26"/>
        </w:rPr>
        <w:t>Implementation Order</w:t>
      </w:r>
      <w:r>
        <w:rPr>
          <w:sz w:val="26"/>
        </w:rPr>
        <w:t xml:space="preserve"> </w:t>
      </w:r>
      <w:r w:rsidR="0054364E">
        <w:rPr>
          <w:sz w:val="26"/>
        </w:rPr>
        <w:t>provides the regulated community with guidance as to the contents of an adequate smart meter plan.  Any EDC that deviates from th</w:t>
      </w:r>
      <w:r w:rsidR="00381E3A">
        <w:rPr>
          <w:sz w:val="26"/>
        </w:rPr>
        <w:t xml:space="preserve">at </w:t>
      </w:r>
      <w:r w:rsidR="0054364E">
        <w:rPr>
          <w:sz w:val="26"/>
        </w:rPr>
        <w:t xml:space="preserve">guidance runs the risk that its plan will be found inadequate.  </w:t>
      </w:r>
      <w:r w:rsidR="00932679">
        <w:rPr>
          <w:sz w:val="26"/>
        </w:rPr>
        <w:t xml:space="preserve">“Just because a requirement is contained in a statement of policy rather than a regulation does not mean that the Commission cannot establish it in an adjudicatory proceeding such as this.”  DEP Exc. at 10.  DEP asks the Commission to </w:t>
      </w:r>
      <w:r w:rsidR="00381E3A">
        <w:rPr>
          <w:sz w:val="26"/>
        </w:rPr>
        <w:t xml:space="preserve">order </w:t>
      </w:r>
      <w:r w:rsidR="00B55DC4">
        <w:rPr>
          <w:sz w:val="26"/>
        </w:rPr>
        <w:t>FirstEnergy</w:t>
      </w:r>
      <w:r w:rsidR="00381E3A">
        <w:rPr>
          <w:sz w:val="26"/>
        </w:rPr>
        <w:t xml:space="preserve"> to submit a revised plan that requires the installation of the </w:t>
      </w:r>
      <w:r w:rsidR="003C69B7">
        <w:rPr>
          <w:sz w:val="26"/>
        </w:rPr>
        <w:t xml:space="preserve">Companies’ </w:t>
      </w:r>
      <w:r w:rsidR="00381E3A">
        <w:rPr>
          <w:sz w:val="26"/>
        </w:rPr>
        <w:t>smart meter infrastructure within the Grace Period.</w:t>
      </w:r>
      <w:r w:rsidR="006912A8">
        <w:rPr>
          <w:sz w:val="26"/>
        </w:rPr>
        <w:t xml:space="preserve">  </w:t>
      </w:r>
    </w:p>
    <w:p w:rsidR="00381E3A" w:rsidRDefault="00381E3A" w:rsidP="00496D41">
      <w:pPr>
        <w:spacing w:line="360" w:lineRule="auto"/>
        <w:ind w:firstLine="1440"/>
        <w:rPr>
          <w:sz w:val="26"/>
        </w:rPr>
      </w:pPr>
    </w:p>
    <w:p w:rsidR="00A73E7E" w:rsidRDefault="00381E3A" w:rsidP="00496D41">
      <w:pPr>
        <w:spacing w:line="360" w:lineRule="auto"/>
        <w:ind w:firstLine="1440"/>
        <w:rPr>
          <w:sz w:val="26"/>
        </w:rPr>
      </w:pPr>
      <w:r>
        <w:rPr>
          <w:sz w:val="26"/>
        </w:rPr>
        <w:t xml:space="preserve">Second, DEP argues that the Plan does not provide for the timely system-wide deployment of </w:t>
      </w:r>
      <w:r w:rsidR="007D5A11">
        <w:rPr>
          <w:sz w:val="26"/>
        </w:rPr>
        <w:t>smart meters.  DEP</w:t>
      </w:r>
      <w:r w:rsidR="009B4189">
        <w:rPr>
          <w:sz w:val="26"/>
        </w:rPr>
        <w:t xml:space="preserve"> argues that </w:t>
      </w:r>
      <w:r w:rsidR="007D5A11">
        <w:rPr>
          <w:sz w:val="26"/>
        </w:rPr>
        <w:t xml:space="preserve">the Plan </w:t>
      </w:r>
      <w:r w:rsidR="002D46F9">
        <w:rPr>
          <w:sz w:val="26"/>
        </w:rPr>
        <w:t xml:space="preserve">would provide smart meters on a timely basis but for the Companies’ failure to install the smart meter network </w:t>
      </w:r>
      <w:r w:rsidR="007D5A11">
        <w:rPr>
          <w:sz w:val="26"/>
        </w:rPr>
        <w:t xml:space="preserve">by the end of the Grace Period.  </w:t>
      </w:r>
    </w:p>
    <w:p w:rsidR="0083334D" w:rsidRDefault="0083334D" w:rsidP="00A73E7E">
      <w:pPr>
        <w:ind w:left="1440" w:right="1440"/>
        <w:rPr>
          <w:sz w:val="26"/>
        </w:rPr>
      </w:pPr>
    </w:p>
    <w:p w:rsidR="00381E3A" w:rsidRPr="00381E3A" w:rsidRDefault="00A73E7E" w:rsidP="00A73E7E">
      <w:pPr>
        <w:ind w:left="1440" w:right="1440"/>
        <w:rPr>
          <w:sz w:val="26"/>
          <w:szCs w:val="26"/>
        </w:rPr>
      </w:pPr>
      <w:r>
        <w:rPr>
          <w:sz w:val="26"/>
        </w:rPr>
        <w:t xml:space="preserve">Because </w:t>
      </w:r>
      <w:r w:rsidR="00B55DC4">
        <w:rPr>
          <w:sz w:val="26"/>
        </w:rPr>
        <w:t>FirstEnergy</w:t>
      </w:r>
      <w:r>
        <w:rPr>
          <w:sz w:val="26"/>
        </w:rPr>
        <w:t xml:space="preserve">’s current deployment schedule envisions a six year meter deployment period, the Commission should order </w:t>
      </w:r>
      <w:r w:rsidR="00B55DC4">
        <w:rPr>
          <w:sz w:val="26"/>
        </w:rPr>
        <w:t>FirstEnergy</w:t>
      </w:r>
      <w:r>
        <w:rPr>
          <w:sz w:val="26"/>
        </w:rPr>
        <w:t xml:space="preserve"> to maintain </w:t>
      </w:r>
      <w:r w:rsidR="0083334D">
        <w:rPr>
          <w:sz w:val="26"/>
        </w:rPr>
        <w:t xml:space="preserve">that deployment schedule such that smart meters are deployed throughout </w:t>
      </w:r>
      <w:r w:rsidR="00B55DC4">
        <w:rPr>
          <w:sz w:val="26"/>
        </w:rPr>
        <w:t>FirstEnergy</w:t>
      </w:r>
      <w:r w:rsidR="0083334D">
        <w:rPr>
          <w:sz w:val="26"/>
        </w:rPr>
        <w:t>’s service territory no later than 10 years from the date of the Commission’s Order in this matter.</w:t>
      </w:r>
    </w:p>
    <w:p w:rsidR="006912A8" w:rsidRDefault="006912A8" w:rsidP="00496D41">
      <w:pPr>
        <w:spacing w:line="360" w:lineRule="auto"/>
        <w:ind w:firstLine="1440"/>
        <w:rPr>
          <w:sz w:val="26"/>
          <w:szCs w:val="26"/>
        </w:rPr>
      </w:pPr>
    </w:p>
    <w:p w:rsidR="0083334D" w:rsidRDefault="0083334D" w:rsidP="0083334D">
      <w:pPr>
        <w:spacing w:line="360" w:lineRule="auto"/>
        <w:rPr>
          <w:sz w:val="26"/>
          <w:szCs w:val="26"/>
        </w:rPr>
      </w:pPr>
      <w:r>
        <w:rPr>
          <w:sz w:val="26"/>
          <w:szCs w:val="26"/>
        </w:rPr>
        <w:t>DEP Exc. at 11-12.</w:t>
      </w:r>
    </w:p>
    <w:p w:rsidR="00116781" w:rsidRDefault="00116781" w:rsidP="0083334D">
      <w:pPr>
        <w:spacing w:line="360" w:lineRule="auto"/>
        <w:rPr>
          <w:sz w:val="26"/>
          <w:szCs w:val="26"/>
        </w:rPr>
      </w:pPr>
    </w:p>
    <w:p w:rsidR="00116781" w:rsidRDefault="00B97EC3" w:rsidP="00116781">
      <w:pPr>
        <w:spacing w:line="360" w:lineRule="auto"/>
        <w:ind w:firstLine="1440"/>
        <w:rPr>
          <w:sz w:val="26"/>
          <w:szCs w:val="26"/>
        </w:rPr>
      </w:pPr>
      <w:r>
        <w:rPr>
          <w:sz w:val="26"/>
          <w:szCs w:val="26"/>
        </w:rPr>
        <w:lastRenderedPageBreak/>
        <w:t>The Companies</w:t>
      </w:r>
      <w:r w:rsidR="00015A11">
        <w:rPr>
          <w:sz w:val="26"/>
          <w:szCs w:val="26"/>
        </w:rPr>
        <w:t>, in contrast,</w:t>
      </w:r>
      <w:r>
        <w:rPr>
          <w:sz w:val="26"/>
          <w:szCs w:val="26"/>
        </w:rPr>
        <w:t xml:space="preserve"> argue </w:t>
      </w:r>
      <w:r w:rsidR="00116781">
        <w:rPr>
          <w:sz w:val="26"/>
          <w:szCs w:val="26"/>
        </w:rPr>
        <w:t>that DEP</w:t>
      </w:r>
      <w:r>
        <w:rPr>
          <w:sz w:val="26"/>
          <w:szCs w:val="26"/>
        </w:rPr>
        <w:t xml:space="preserve">’s position is unsupported by any record evidence.  The Companies further argue that DEP’s position is based on </w:t>
      </w:r>
      <w:r w:rsidR="00F15843">
        <w:rPr>
          <w:sz w:val="26"/>
          <w:szCs w:val="26"/>
        </w:rPr>
        <w:t xml:space="preserve">a flawed understanding of the </w:t>
      </w:r>
      <w:r w:rsidR="00F15843">
        <w:rPr>
          <w:i/>
          <w:sz w:val="26"/>
          <w:szCs w:val="26"/>
        </w:rPr>
        <w:t>Implementation Order</w:t>
      </w:r>
      <w:r>
        <w:rPr>
          <w:sz w:val="26"/>
          <w:szCs w:val="26"/>
        </w:rPr>
        <w:t xml:space="preserve">.  First, </w:t>
      </w:r>
      <w:r w:rsidR="00F15843">
        <w:rPr>
          <w:sz w:val="26"/>
          <w:szCs w:val="26"/>
        </w:rPr>
        <w:t xml:space="preserve">the Companies </w:t>
      </w:r>
      <w:r w:rsidR="005F12C1">
        <w:rPr>
          <w:sz w:val="26"/>
          <w:szCs w:val="26"/>
        </w:rPr>
        <w:t xml:space="preserve">contend </w:t>
      </w:r>
      <w:r w:rsidR="00F15843">
        <w:rPr>
          <w:sz w:val="26"/>
          <w:szCs w:val="26"/>
        </w:rPr>
        <w:t xml:space="preserve">that the </w:t>
      </w:r>
      <w:r w:rsidR="00F15843">
        <w:rPr>
          <w:i/>
          <w:sz w:val="26"/>
          <w:szCs w:val="26"/>
        </w:rPr>
        <w:t>Implementation Order</w:t>
      </w:r>
      <w:r w:rsidR="00F15843">
        <w:rPr>
          <w:sz w:val="26"/>
          <w:szCs w:val="26"/>
        </w:rPr>
        <w:t xml:space="preserve"> does not have the full force and effect of law; it is in the nature of a </w:t>
      </w:r>
      <w:r w:rsidR="00C30CA5">
        <w:rPr>
          <w:sz w:val="26"/>
          <w:szCs w:val="26"/>
        </w:rPr>
        <w:t>s</w:t>
      </w:r>
      <w:r w:rsidR="00F15843">
        <w:rPr>
          <w:sz w:val="26"/>
          <w:szCs w:val="26"/>
        </w:rPr>
        <w:t xml:space="preserve">tatement of </w:t>
      </w:r>
      <w:r w:rsidR="00C30CA5">
        <w:rPr>
          <w:sz w:val="26"/>
          <w:szCs w:val="26"/>
        </w:rPr>
        <w:t>p</w:t>
      </w:r>
      <w:r w:rsidR="00F15843">
        <w:rPr>
          <w:sz w:val="26"/>
          <w:szCs w:val="26"/>
        </w:rPr>
        <w:t xml:space="preserve">olicy rather than a regulation.  As a result, the </w:t>
      </w:r>
      <w:r w:rsidR="00F15843">
        <w:rPr>
          <w:i/>
          <w:sz w:val="26"/>
          <w:szCs w:val="26"/>
        </w:rPr>
        <w:t xml:space="preserve">Implementation Order </w:t>
      </w:r>
      <w:r w:rsidR="00F15843">
        <w:rPr>
          <w:sz w:val="26"/>
          <w:szCs w:val="26"/>
        </w:rPr>
        <w:t xml:space="preserve">“cannot function as a pre-determination of the reasonableness of any aspect of the Company’s proposed Smart Meter Plan.”  </w:t>
      </w:r>
      <w:r w:rsidR="00B55DC4">
        <w:rPr>
          <w:sz w:val="26"/>
          <w:szCs w:val="26"/>
        </w:rPr>
        <w:t>FirstEnergy</w:t>
      </w:r>
      <w:r w:rsidR="005F12C1">
        <w:rPr>
          <w:sz w:val="26"/>
          <w:szCs w:val="26"/>
        </w:rPr>
        <w:t xml:space="preserve"> R.Exc. at 3-4.  Second, the Companies contend that the </w:t>
      </w:r>
      <w:r w:rsidR="005F12C1">
        <w:rPr>
          <w:i/>
          <w:sz w:val="26"/>
          <w:szCs w:val="26"/>
        </w:rPr>
        <w:t>Implementation Order</w:t>
      </w:r>
      <w:r w:rsidR="005F12C1">
        <w:rPr>
          <w:sz w:val="26"/>
          <w:szCs w:val="26"/>
        </w:rPr>
        <w:t xml:space="preserve"> does not require the installation of the smart meter infrastructure by the end of the 30-month grace period.  </w:t>
      </w:r>
      <w:r w:rsidR="005F12C1" w:rsidRPr="005F12C1">
        <w:rPr>
          <w:i/>
          <w:sz w:val="26"/>
          <w:szCs w:val="26"/>
        </w:rPr>
        <w:t>Id</w:t>
      </w:r>
      <w:r w:rsidR="005F12C1">
        <w:rPr>
          <w:sz w:val="26"/>
          <w:szCs w:val="26"/>
        </w:rPr>
        <w:t>. at 4</w:t>
      </w:r>
      <w:r w:rsidR="000E7035">
        <w:rPr>
          <w:sz w:val="26"/>
          <w:szCs w:val="26"/>
        </w:rPr>
        <w:t>-</w:t>
      </w:r>
      <w:r w:rsidR="00C30CA5">
        <w:rPr>
          <w:sz w:val="26"/>
          <w:szCs w:val="26"/>
        </w:rPr>
        <w:t>5</w:t>
      </w:r>
      <w:r w:rsidR="005F12C1">
        <w:rPr>
          <w:sz w:val="26"/>
          <w:szCs w:val="26"/>
        </w:rPr>
        <w:t>.</w:t>
      </w:r>
    </w:p>
    <w:p w:rsidR="000E7035" w:rsidRDefault="000E7035" w:rsidP="00116781">
      <w:pPr>
        <w:spacing w:line="360" w:lineRule="auto"/>
        <w:ind w:firstLine="1440"/>
        <w:rPr>
          <w:sz w:val="26"/>
          <w:szCs w:val="26"/>
        </w:rPr>
      </w:pPr>
    </w:p>
    <w:p w:rsidR="000E7035" w:rsidRPr="003244AB" w:rsidRDefault="000E7035" w:rsidP="00116781">
      <w:pPr>
        <w:spacing w:line="360" w:lineRule="auto"/>
        <w:ind w:firstLine="1440"/>
        <w:rPr>
          <w:sz w:val="26"/>
          <w:szCs w:val="26"/>
        </w:rPr>
      </w:pPr>
      <w:r>
        <w:rPr>
          <w:sz w:val="26"/>
          <w:szCs w:val="26"/>
        </w:rPr>
        <w:t xml:space="preserve">Finally, the Companies dispute DEP’s contention that the </w:t>
      </w:r>
      <w:r w:rsidR="008D70F4">
        <w:rPr>
          <w:sz w:val="26"/>
          <w:szCs w:val="26"/>
        </w:rPr>
        <w:t xml:space="preserve">Plan fails to provide for the </w:t>
      </w:r>
      <w:r>
        <w:rPr>
          <w:sz w:val="26"/>
          <w:szCs w:val="26"/>
        </w:rPr>
        <w:t xml:space="preserve">full deployment of smart meters in a timely manner.  The Companies </w:t>
      </w:r>
      <w:r w:rsidR="008D70F4">
        <w:rPr>
          <w:sz w:val="26"/>
          <w:szCs w:val="26"/>
        </w:rPr>
        <w:t>state that the</w:t>
      </w:r>
      <w:r w:rsidR="002D20DD">
        <w:rPr>
          <w:sz w:val="26"/>
          <w:szCs w:val="26"/>
        </w:rPr>
        <w:t xml:space="preserve"> Plan provides for supplying smart meters to requesting cu</w:t>
      </w:r>
      <w:r w:rsidR="004321C7">
        <w:rPr>
          <w:sz w:val="26"/>
          <w:szCs w:val="26"/>
        </w:rPr>
        <w:t>stomers and in new construction</w:t>
      </w:r>
      <w:r w:rsidR="002D20DD">
        <w:rPr>
          <w:sz w:val="26"/>
          <w:szCs w:val="26"/>
        </w:rPr>
        <w:t xml:space="preserve"> prior to full build-out.  They also note that the Plan provides for the completion of full-scale deployment of smart meters approximately three years before the end of the deployment period established in the </w:t>
      </w:r>
      <w:r w:rsidR="002D20DD">
        <w:rPr>
          <w:i/>
          <w:sz w:val="26"/>
          <w:szCs w:val="26"/>
        </w:rPr>
        <w:t xml:space="preserve">Implementation Order. </w:t>
      </w:r>
      <w:r w:rsidR="003244AB">
        <w:rPr>
          <w:sz w:val="26"/>
          <w:szCs w:val="26"/>
        </w:rPr>
        <w:t xml:space="preserve"> </w:t>
      </w:r>
      <w:r w:rsidR="00B55DC4">
        <w:rPr>
          <w:sz w:val="26"/>
          <w:szCs w:val="26"/>
        </w:rPr>
        <w:t>FirstEnergy</w:t>
      </w:r>
      <w:r w:rsidR="003244AB">
        <w:rPr>
          <w:sz w:val="26"/>
          <w:szCs w:val="26"/>
        </w:rPr>
        <w:t xml:space="preserve"> R.Exc. at 6.</w:t>
      </w:r>
    </w:p>
    <w:p w:rsidR="00504662" w:rsidRDefault="00504662" w:rsidP="0083334D">
      <w:pPr>
        <w:spacing w:line="360" w:lineRule="auto"/>
        <w:ind w:firstLine="1440"/>
        <w:rPr>
          <w:sz w:val="26"/>
          <w:szCs w:val="26"/>
        </w:rPr>
      </w:pPr>
    </w:p>
    <w:p w:rsidR="0083334D" w:rsidRDefault="0006218F" w:rsidP="0083334D">
      <w:pPr>
        <w:spacing w:line="360" w:lineRule="auto"/>
        <w:ind w:firstLine="1440"/>
        <w:rPr>
          <w:sz w:val="26"/>
          <w:szCs w:val="26"/>
        </w:rPr>
      </w:pPr>
      <w:r>
        <w:rPr>
          <w:sz w:val="26"/>
          <w:szCs w:val="26"/>
        </w:rPr>
        <w:t xml:space="preserve">No other Party addressed this aspect of the Initial Decision. </w:t>
      </w:r>
    </w:p>
    <w:p w:rsidR="00504662" w:rsidRPr="00496D41" w:rsidRDefault="00504662" w:rsidP="00496D41">
      <w:pPr>
        <w:spacing w:line="360" w:lineRule="auto"/>
        <w:rPr>
          <w:sz w:val="26"/>
          <w:szCs w:val="26"/>
        </w:rPr>
      </w:pPr>
    </w:p>
    <w:p w:rsidR="00EB3313" w:rsidRPr="00496D41" w:rsidRDefault="00EB3313" w:rsidP="00EB3313">
      <w:pPr>
        <w:pStyle w:val="Heading4"/>
        <w:rPr>
          <w:szCs w:val="26"/>
        </w:rPr>
      </w:pPr>
      <w:bookmarkStart w:id="35" w:name="_Toc259798207"/>
      <w:bookmarkStart w:id="36" w:name="_Toc263848839"/>
      <w:r w:rsidRPr="00496D41">
        <w:rPr>
          <w:szCs w:val="26"/>
        </w:rPr>
        <w:t>d.</w:t>
      </w:r>
      <w:r w:rsidRPr="00496D41">
        <w:rPr>
          <w:szCs w:val="26"/>
        </w:rPr>
        <w:tab/>
        <w:t>Disposition</w:t>
      </w:r>
      <w:bookmarkEnd w:id="35"/>
      <w:bookmarkEnd w:id="36"/>
    </w:p>
    <w:p w:rsidR="00EB3313" w:rsidRDefault="00EB3313" w:rsidP="00EB3313">
      <w:pPr>
        <w:rPr>
          <w:sz w:val="26"/>
          <w:szCs w:val="26"/>
        </w:rPr>
      </w:pPr>
    </w:p>
    <w:p w:rsidR="004321C7" w:rsidRDefault="004C50EB" w:rsidP="00F166CD">
      <w:pPr>
        <w:spacing w:line="360" w:lineRule="auto"/>
        <w:ind w:firstLine="1440"/>
        <w:rPr>
          <w:sz w:val="26"/>
          <w:szCs w:val="26"/>
        </w:rPr>
      </w:pPr>
      <w:r>
        <w:rPr>
          <w:sz w:val="26"/>
          <w:szCs w:val="26"/>
        </w:rPr>
        <w:t xml:space="preserve">We will deny the Exceptions of DEP regarding the deployment process and timeframe.  </w:t>
      </w:r>
      <w:r w:rsidR="00C14614">
        <w:rPr>
          <w:sz w:val="26"/>
          <w:szCs w:val="26"/>
        </w:rPr>
        <w:t xml:space="preserve">We </w:t>
      </w:r>
      <w:r w:rsidR="00F166CD">
        <w:rPr>
          <w:sz w:val="26"/>
          <w:szCs w:val="26"/>
        </w:rPr>
        <w:t xml:space="preserve">addressed the legal effect of an implementation order in </w:t>
      </w:r>
      <w:r w:rsidR="00F166CD" w:rsidRPr="00F166CD">
        <w:rPr>
          <w:i/>
          <w:sz w:val="26"/>
          <w:szCs w:val="26"/>
        </w:rPr>
        <w:t>Chapter 14 Implementation</w:t>
      </w:r>
      <w:r w:rsidR="00F166CD">
        <w:rPr>
          <w:sz w:val="26"/>
          <w:szCs w:val="26"/>
        </w:rPr>
        <w:t xml:space="preserve">, Docket No. M-00041802F0002 (Order entered </w:t>
      </w:r>
      <w:r w:rsidR="00BD535B">
        <w:rPr>
          <w:sz w:val="26"/>
          <w:szCs w:val="26"/>
        </w:rPr>
        <w:t>November 21, 2005), wherein we stated</w:t>
      </w:r>
      <w:r w:rsidR="00CA61E6">
        <w:rPr>
          <w:sz w:val="26"/>
          <w:szCs w:val="26"/>
        </w:rPr>
        <w:t xml:space="preserve"> at page 13</w:t>
      </w:r>
      <w:r w:rsidR="00BD535B">
        <w:rPr>
          <w:sz w:val="26"/>
          <w:szCs w:val="26"/>
        </w:rPr>
        <w:t>:</w:t>
      </w:r>
    </w:p>
    <w:p w:rsidR="00CA61E6" w:rsidRDefault="00CA61E6" w:rsidP="00CA61E6">
      <w:pPr>
        <w:ind w:left="1440" w:right="1440"/>
        <w:rPr>
          <w:color w:val="000000"/>
          <w:sz w:val="26"/>
          <w:szCs w:val="26"/>
        </w:rPr>
      </w:pPr>
    </w:p>
    <w:p w:rsidR="00BD535B" w:rsidRDefault="00CA61E6" w:rsidP="00CA61E6">
      <w:pPr>
        <w:ind w:left="1440" w:right="1440"/>
        <w:rPr>
          <w:rFonts w:ascii="Times New (W1)" w:hAnsi="Times New (W1)"/>
          <w:color w:val="000000"/>
          <w:sz w:val="26"/>
          <w:szCs w:val="26"/>
        </w:rPr>
      </w:pPr>
      <w:r>
        <w:rPr>
          <w:color w:val="000000"/>
          <w:sz w:val="26"/>
          <w:szCs w:val="26"/>
        </w:rPr>
        <w:t>[T]</w:t>
      </w:r>
      <w:r w:rsidR="00BD535B" w:rsidRPr="00684D7A">
        <w:rPr>
          <w:color w:val="000000"/>
          <w:sz w:val="26"/>
          <w:szCs w:val="26"/>
        </w:rPr>
        <w:t xml:space="preserve">the Commission agrees with the argument of </w:t>
      </w:r>
      <w:r w:rsidR="00C14614">
        <w:rPr>
          <w:color w:val="000000"/>
          <w:sz w:val="26"/>
          <w:szCs w:val="26"/>
        </w:rPr>
        <w:t>…</w:t>
      </w:r>
      <w:r w:rsidR="00BD535B" w:rsidRPr="00684D7A">
        <w:rPr>
          <w:color w:val="000000"/>
          <w:sz w:val="26"/>
          <w:szCs w:val="26"/>
        </w:rPr>
        <w:t xml:space="preserve"> PGW that the </w:t>
      </w:r>
      <w:r w:rsidR="00BD535B" w:rsidRPr="00684D7A">
        <w:rPr>
          <w:i/>
          <w:color w:val="000000"/>
          <w:sz w:val="26"/>
          <w:szCs w:val="26"/>
        </w:rPr>
        <w:t>Implementation Orders</w:t>
      </w:r>
      <w:r w:rsidR="00BD535B" w:rsidRPr="00684D7A">
        <w:rPr>
          <w:color w:val="000000"/>
          <w:sz w:val="26"/>
          <w:szCs w:val="26"/>
        </w:rPr>
        <w:t xml:space="preserve"> at issue constitute policy statements setting forth how the Commission intends to </w:t>
      </w:r>
      <w:r w:rsidR="00BD535B" w:rsidRPr="00684D7A">
        <w:rPr>
          <w:color w:val="000000"/>
          <w:sz w:val="26"/>
          <w:szCs w:val="26"/>
        </w:rPr>
        <w:lastRenderedPageBreak/>
        <w:t>interpret Chapter 14 in future adjudications and rulemakings</w:t>
      </w:r>
      <w:r w:rsidR="00BD535B" w:rsidRPr="00684D7A">
        <w:rPr>
          <w:rFonts w:ascii="Times New (W1)" w:hAnsi="Times New (W1)"/>
          <w:color w:val="000000"/>
          <w:sz w:val="26"/>
          <w:szCs w:val="26"/>
        </w:rPr>
        <w:t xml:space="preserve">.  Nevertheless, the </w:t>
      </w:r>
      <w:r w:rsidR="00BD535B" w:rsidRPr="00684D7A">
        <w:rPr>
          <w:rFonts w:ascii="Times New (W1)" w:hAnsi="Times New (W1)"/>
          <w:i/>
          <w:color w:val="000000"/>
          <w:sz w:val="26"/>
          <w:szCs w:val="26"/>
        </w:rPr>
        <w:t>Implementation Orders</w:t>
      </w:r>
      <w:r w:rsidR="00BD535B" w:rsidRPr="00684D7A">
        <w:rPr>
          <w:rFonts w:ascii="Times New (W1)" w:hAnsi="Times New (W1)"/>
          <w:color w:val="000000"/>
          <w:sz w:val="26"/>
          <w:szCs w:val="26"/>
        </w:rPr>
        <w:t xml:space="preserve"> provide guidance to affected parties by the agency charged with its implementation and, as such, any party that deviates from that guidance runs the substantial risk of being in violation of Chapter 14 and the initiation of appropriate enforcement measures to secure compliance with this new law.</w:t>
      </w:r>
    </w:p>
    <w:p w:rsidR="00C14614" w:rsidRDefault="00C14614" w:rsidP="00CA61E6">
      <w:pPr>
        <w:ind w:left="1440" w:right="1440"/>
        <w:rPr>
          <w:rFonts w:ascii="Times New (W1)" w:hAnsi="Times New (W1)"/>
          <w:color w:val="000000"/>
          <w:sz w:val="26"/>
          <w:szCs w:val="26"/>
        </w:rPr>
      </w:pPr>
    </w:p>
    <w:p w:rsidR="00CA61E6" w:rsidRPr="00684D7A" w:rsidRDefault="00CA61E6" w:rsidP="00CA61E6">
      <w:pPr>
        <w:ind w:left="1440" w:right="1440"/>
        <w:rPr>
          <w:rFonts w:ascii="Times New (W1)" w:hAnsi="Times New (W1)"/>
          <w:color w:val="000000"/>
          <w:sz w:val="26"/>
          <w:szCs w:val="26"/>
        </w:rPr>
      </w:pPr>
    </w:p>
    <w:p w:rsidR="00842513" w:rsidRDefault="00842513" w:rsidP="00842513">
      <w:pPr>
        <w:spacing w:line="360" w:lineRule="auto"/>
        <w:rPr>
          <w:sz w:val="26"/>
          <w:szCs w:val="26"/>
        </w:rPr>
      </w:pPr>
      <w:r>
        <w:rPr>
          <w:sz w:val="26"/>
          <w:szCs w:val="26"/>
        </w:rPr>
        <w:t xml:space="preserve">Similarly, the smart metering </w:t>
      </w:r>
      <w:r w:rsidRPr="00842513">
        <w:rPr>
          <w:i/>
          <w:sz w:val="26"/>
          <w:szCs w:val="26"/>
        </w:rPr>
        <w:t>Implementation Order</w:t>
      </w:r>
      <w:r>
        <w:rPr>
          <w:sz w:val="26"/>
          <w:szCs w:val="26"/>
        </w:rPr>
        <w:t xml:space="preserve"> did not establish a binding norm, but </w:t>
      </w:r>
      <w:r w:rsidR="00BF01CC">
        <w:rPr>
          <w:sz w:val="26"/>
          <w:szCs w:val="26"/>
        </w:rPr>
        <w:t xml:space="preserve">EDCs </w:t>
      </w:r>
      <w:r w:rsidR="004C50EB">
        <w:rPr>
          <w:sz w:val="26"/>
          <w:szCs w:val="26"/>
        </w:rPr>
        <w:t xml:space="preserve">are not </w:t>
      </w:r>
      <w:r w:rsidR="00BF01CC">
        <w:rPr>
          <w:sz w:val="26"/>
          <w:szCs w:val="26"/>
        </w:rPr>
        <w:t>free to ignore that Order</w:t>
      </w:r>
      <w:r>
        <w:rPr>
          <w:sz w:val="26"/>
          <w:szCs w:val="26"/>
        </w:rPr>
        <w:t xml:space="preserve">. </w:t>
      </w:r>
    </w:p>
    <w:p w:rsidR="00842513" w:rsidRDefault="00842513" w:rsidP="00F166CD">
      <w:pPr>
        <w:spacing w:line="360" w:lineRule="auto"/>
        <w:ind w:firstLine="1440"/>
        <w:rPr>
          <w:sz w:val="26"/>
          <w:szCs w:val="26"/>
        </w:rPr>
      </w:pPr>
    </w:p>
    <w:p w:rsidR="004C50EB" w:rsidRDefault="00903D29" w:rsidP="00F166CD">
      <w:pPr>
        <w:spacing w:line="360" w:lineRule="auto"/>
        <w:ind w:firstLine="1440"/>
        <w:rPr>
          <w:sz w:val="26"/>
          <w:szCs w:val="26"/>
        </w:rPr>
      </w:pPr>
      <w:r>
        <w:rPr>
          <w:sz w:val="26"/>
          <w:szCs w:val="26"/>
        </w:rPr>
        <w:t>In the</w:t>
      </w:r>
      <w:r w:rsidR="00BF01CC">
        <w:rPr>
          <w:sz w:val="26"/>
          <w:szCs w:val="26"/>
        </w:rPr>
        <w:t xml:space="preserve"> smart metering</w:t>
      </w:r>
      <w:r>
        <w:rPr>
          <w:sz w:val="26"/>
          <w:szCs w:val="26"/>
        </w:rPr>
        <w:t xml:space="preserve"> </w:t>
      </w:r>
      <w:r w:rsidRPr="00903D29">
        <w:rPr>
          <w:i/>
          <w:sz w:val="26"/>
          <w:szCs w:val="26"/>
        </w:rPr>
        <w:t>Implementation Order</w:t>
      </w:r>
      <w:r>
        <w:rPr>
          <w:sz w:val="26"/>
          <w:szCs w:val="26"/>
        </w:rPr>
        <w:t>, the Commission recognized that a fully functional smart meter involves an entire network</w:t>
      </w:r>
      <w:r w:rsidR="006529FB">
        <w:rPr>
          <w:sz w:val="26"/>
          <w:szCs w:val="26"/>
        </w:rPr>
        <w:t xml:space="preserve">, including the meter, two-way communication, computer hardware and software, and trained support personnel.  The Commission further recognized that EDCs need time to select and install the required smart meter network components and to train support personnel.  </w:t>
      </w:r>
      <w:r w:rsidR="006529FB">
        <w:rPr>
          <w:i/>
          <w:sz w:val="26"/>
          <w:szCs w:val="26"/>
        </w:rPr>
        <w:t>Im</w:t>
      </w:r>
      <w:r w:rsidR="006529FB" w:rsidRPr="00903D29">
        <w:rPr>
          <w:i/>
          <w:sz w:val="26"/>
          <w:szCs w:val="26"/>
        </w:rPr>
        <w:t>plementation Order</w:t>
      </w:r>
      <w:r w:rsidR="006529FB">
        <w:rPr>
          <w:i/>
          <w:sz w:val="26"/>
          <w:szCs w:val="26"/>
        </w:rPr>
        <w:t xml:space="preserve"> </w:t>
      </w:r>
      <w:r w:rsidR="006529FB">
        <w:rPr>
          <w:sz w:val="26"/>
          <w:szCs w:val="26"/>
        </w:rPr>
        <w:t xml:space="preserve">at 6.  Consequently, the Commission granted a network development and installation grace period of up to 30 months following plan approval.  </w:t>
      </w:r>
      <w:r w:rsidR="009B071F">
        <w:rPr>
          <w:sz w:val="26"/>
          <w:szCs w:val="26"/>
        </w:rPr>
        <w:t>The Commission directed that a smart meter plan include a proposal for meeting specific milestones within the 30-month grace period, including the following:  assessment of ne</w:t>
      </w:r>
      <w:r w:rsidR="00842513">
        <w:rPr>
          <w:sz w:val="26"/>
          <w:szCs w:val="26"/>
        </w:rPr>
        <w:t>eds and technological solutions;</w:t>
      </w:r>
      <w:r w:rsidR="009B071F">
        <w:rPr>
          <w:sz w:val="26"/>
          <w:szCs w:val="26"/>
        </w:rPr>
        <w:t xml:space="preserve"> selection of technologi</w:t>
      </w:r>
      <w:r w:rsidR="00842513">
        <w:rPr>
          <w:sz w:val="26"/>
          <w:szCs w:val="26"/>
        </w:rPr>
        <w:t>es and vendors;</w:t>
      </w:r>
      <w:r w:rsidR="009B071F">
        <w:rPr>
          <w:sz w:val="26"/>
          <w:szCs w:val="26"/>
        </w:rPr>
        <w:t xml:space="preserve"> e</w:t>
      </w:r>
      <w:r w:rsidR="00842513">
        <w:rPr>
          <w:sz w:val="26"/>
          <w:szCs w:val="26"/>
        </w:rPr>
        <w:t>stablishment of network designs;</w:t>
      </w:r>
      <w:r w:rsidR="009B071F">
        <w:rPr>
          <w:sz w:val="26"/>
          <w:szCs w:val="26"/>
        </w:rPr>
        <w:t xml:space="preserve"> establishment </w:t>
      </w:r>
      <w:r w:rsidR="00842513">
        <w:rPr>
          <w:sz w:val="26"/>
          <w:szCs w:val="26"/>
        </w:rPr>
        <w:t>of plans for training personnel;</w:t>
      </w:r>
      <w:r w:rsidR="009B071F">
        <w:rPr>
          <w:sz w:val="26"/>
          <w:szCs w:val="26"/>
        </w:rPr>
        <w:t xml:space="preserve"> establishme</w:t>
      </w:r>
      <w:r w:rsidR="00BF01CC">
        <w:rPr>
          <w:sz w:val="26"/>
          <w:szCs w:val="26"/>
        </w:rPr>
        <w:t>nt of plans for installation, t</w:t>
      </w:r>
      <w:r w:rsidR="009B071F">
        <w:rPr>
          <w:sz w:val="26"/>
          <w:szCs w:val="26"/>
        </w:rPr>
        <w:t>e</w:t>
      </w:r>
      <w:r w:rsidR="00BF01CC">
        <w:rPr>
          <w:sz w:val="26"/>
          <w:szCs w:val="26"/>
        </w:rPr>
        <w:t>sting and roll out of support equipment and software;</w:t>
      </w:r>
      <w:r w:rsidR="00A324A7">
        <w:rPr>
          <w:sz w:val="26"/>
          <w:szCs w:val="26"/>
        </w:rPr>
        <w:t xml:space="preserve"> installation, testing and roll out of support equipment and software; establishment of plans to design, test and certify EDI transaction capability consistent with this order; </w:t>
      </w:r>
      <w:r w:rsidR="009D1CAF">
        <w:rPr>
          <w:sz w:val="26"/>
          <w:szCs w:val="26"/>
        </w:rPr>
        <w:t xml:space="preserve">and </w:t>
      </w:r>
      <w:r w:rsidR="00A324A7">
        <w:rPr>
          <w:sz w:val="26"/>
          <w:szCs w:val="26"/>
        </w:rPr>
        <w:t>establishment of plans for installation of meters consistent with the roll out requirements</w:t>
      </w:r>
      <w:r w:rsidR="009D1CAF">
        <w:rPr>
          <w:sz w:val="26"/>
          <w:szCs w:val="26"/>
        </w:rPr>
        <w:t xml:space="preserve"> descri</w:t>
      </w:r>
      <w:r w:rsidR="00A324A7">
        <w:rPr>
          <w:sz w:val="26"/>
          <w:szCs w:val="26"/>
        </w:rPr>
        <w:t xml:space="preserve">bed </w:t>
      </w:r>
      <w:r w:rsidR="009D1CAF">
        <w:rPr>
          <w:sz w:val="26"/>
          <w:szCs w:val="26"/>
        </w:rPr>
        <w:t xml:space="preserve">in the </w:t>
      </w:r>
      <w:r w:rsidR="009D1CAF">
        <w:rPr>
          <w:i/>
          <w:sz w:val="26"/>
          <w:szCs w:val="26"/>
        </w:rPr>
        <w:t>Im</w:t>
      </w:r>
      <w:r w:rsidR="009D1CAF" w:rsidRPr="00903D29">
        <w:rPr>
          <w:i/>
          <w:sz w:val="26"/>
          <w:szCs w:val="26"/>
        </w:rPr>
        <w:t>plementation Order</w:t>
      </w:r>
      <w:r w:rsidR="00A324A7">
        <w:rPr>
          <w:sz w:val="26"/>
          <w:szCs w:val="26"/>
        </w:rPr>
        <w:t xml:space="preserve">.  </w:t>
      </w:r>
      <w:r w:rsidR="00A324A7" w:rsidRPr="00A324A7">
        <w:rPr>
          <w:i/>
          <w:sz w:val="26"/>
          <w:szCs w:val="26"/>
        </w:rPr>
        <w:t>Id</w:t>
      </w:r>
      <w:r w:rsidR="00A324A7">
        <w:rPr>
          <w:sz w:val="26"/>
          <w:szCs w:val="26"/>
        </w:rPr>
        <w:t xml:space="preserve">. at 7-8.  </w:t>
      </w:r>
    </w:p>
    <w:p w:rsidR="004C50EB" w:rsidRDefault="004C50EB" w:rsidP="00F166CD">
      <w:pPr>
        <w:spacing w:line="360" w:lineRule="auto"/>
        <w:ind w:firstLine="1440"/>
        <w:rPr>
          <w:sz w:val="26"/>
          <w:szCs w:val="26"/>
        </w:rPr>
      </w:pPr>
    </w:p>
    <w:p w:rsidR="00BD535B" w:rsidRPr="00523B91" w:rsidRDefault="005678F1" w:rsidP="00F166CD">
      <w:pPr>
        <w:spacing w:line="360" w:lineRule="auto"/>
        <w:ind w:firstLine="1440"/>
        <w:rPr>
          <w:sz w:val="26"/>
          <w:szCs w:val="26"/>
        </w:rPr>
      </w:pPr>
      <w:r>
        <w:rPr>
          <w:sz w:val="26"/>
          <w:szCs w:val="26"/>
        </w:rPr>
        <w:t xml:space="preserve">Although the Companies’ Plan </w:t>
      </w:r>
      <w:r w:rsidR="00FF7412">
        <w:rPr>
          <w:sz w:val="26"/>
          <w:szCs w:val="26"/>
        </w:rPr>
        <w:t xml:space="preserve">includes a proposal for meeting these milestones, </w:t>
      </w:r>
      <w:r w:rsidR="00281BE4">
        <w:rPr>
          <w:sz w:val="26"/>
          <w:szCs w:val="26"/>
        </w:rPr>
        <w:t xml:space="preserve">not </w:t>
      </w:r>
      <w:r w:rsidR="00FF7412">
        <w:rPr>
          <w:sz w:val="26"/>
          <w:szCs w:val="26"/>
        </w:rPr>
        <w:t xml:space="preserve">all of these milestones will be met by the end of the Grace Period.  We agree with the ALJ that, considering that the Companies are starting smart meter </w:t>
      </w:r>
      <w:r w:rsidR="00FF7412">
        <w:rPr>
          <w:sz w:val="26"/>
          <w:szCs w:val="26"/>
        </w:rPr>
        <w:lastRenderedPageBreak/>
        <w:t xml:space="preserve">deployment at the very beginning, the Companies have established good cause for deviating from the </w:t>
      </w:r>
      <w:r w:rsidR="00281BE4">
        <w:rPr>
          <w:sz w:val="26"/>
          <w:szCs w:val="26"/>
        </w:rPr>
        <w:t xml:space="preserve">guidance provided in the </w:t>
      </w:r>
      <w:r w:rsidR="00281BE4" w:rsidRPr="00903D29">
        <w:rPr>
          <w:i/>
          <w:sz w:val="26"/>
          <w:szCs w:val="26"/>
        </w:rPr>
        <w:t>Implementation Order</w:t>
      </w:r>
      <w:r w:rsidR="00523B91">
        <w:rPr>
          <w:i/>
          <w:sz w:val="26"/>
          <w:szCs w:val="26"/>
        </w:rPr>
        <w:t xml:space="preserve"> </w:t>
      </w:r>
      <w:r w:rsidR="00523B91">
        <w:rPr>
          <w:sz w:val="26"/>
          <w:szCs w:val="26"/>
        </w:rPr>
        <w:t>with regard to the installation of its smart meter infrastructure.</w:t>
      </w:r>
      <w:r w:rsidR="001027A3">
        <w:rPr>
          <w:sz w:val="26"/>
          <w:szCs w:val="26"/>
        </w:rPr>
        <w:t xml:space="preserve">  </w:t>
      </w:r>
    </w:p>
    <w:p w:rsidR="00BD535B" w:rsidRDefault="00BD535B" w:rsidP="00BD535B">
      <w:pPr>
        <w:spacing w:line="360" w:lineRule="auto"/>
        <w:ind w:firstLine="1440"/>
        <w:rPr>
          <w:sz w:val="26"/>
          <w:szCs w:val="26"/>
        </w:rPr>
      </w:pPr>
    </w:p>
    <w:p w:rsidR="00B016E8" w:rsidRDefault="00523B91" w:rsidP="00523B91">
      <w:pPr>
        <w:spacing w:line="360" w:lineRule="auto"/>
        <w:ind w:firstLine="1440"/>
        <w:rPr>
          <w:sz w:val="26"/>
          <w:szCs w:val="26"/>
        </w:rPr>
      </w:pPr>
      <w:r>
        <w:rPr>
          <w:sz w:val="26"/>
          <w:szCs w:val="26"/>
        </w:rPr>
        <w:t xml:space="preserve">Moreover, we find that the Companies’ Plan complies with Act 129 and the </w:t>
      </w:r>
      <w:r w:rsidRPr="00523B91">
        <w:rPr>
          <w:i/>
          <w:sz w:val="26"/>
          <w:szCs w:val="26"/>
        </w:rPr>
        <w:t>Implementation Order</w:t>
      </w:r>
      <w:r>
        <w:rPr>
          <w:sz w:val="26"/>
          <w:szCs w:val="26"/>
        </w:rPr>
        <w:t xml:space="preserve"> with regard to the </w:t>
      </w:r>
      <w:r w:rsidR="001027A3">
        <w:rPr>
          <w:sz w:val="26"/>
          <w:szCs w:val="26"/>
        </w:rPr>
        <w:t xml:space="preserve">time frame for </w:t>
      </w:r>
      <w:r w:rsidR="004C50EB">
        <w:rPr>
          <w:sz w:val="26"/>
          <w:szCs w:val="26"/>
        </w:rPr>
        <w:t>full deployment</w:t>
      </w:r>
      <w:r w:rsidR="001027A3">
        <w:rPr>
          <w:sz w:val="26"/>
          <w:szCs w:val="26"/>
        </w:rPr>
        <w:t xml:space="preserve"> of smart meters</w:t>
      </w:r>
      <w:r w:rsidR="004C50EB">
        <w:rPr>
          <w:sz w:val="26"/>
          <w:szCs w:val="26"/>
        </w:rPr>
        <w:t xml:space="preserve">.  </w:t>
      </w:r>
      <w:r w:rsidR="001027A3">
        <w:rPr>
          <w:sz w:val="26"/>
          <w:szCs w:val="26"/>
        </w:rPr>
        <w:t>Act 129 requires that full deployment be completed within fifteen years of Plan approval (i.e., by April 2025).  The Companies’ Plan estimates that full deployment will be completed three years earlier, during 2022.  Th</w:t>
      </w:r>
      <w:r w:rsidR="00E9594E">
        <w:rPr>
          <w:sz w:val="26"/>
          <w:szCs w:val="26"/>
        </w:rPr>
        <w:t>e Plan therefore complies with the Act.</w:t>
      </w:r>
    </w:p>
    <w:p w:rsidR="00B016E8" w:rsidRDefault="00B016E8" w:rsidP="00523B91">
      <w:pPr>
        <w:spacing w:line="360" w:lineRule="auto"/>
        <w:ind w:firstLine="1440"/>
        <w:rPr>
          <w:sz w:val="26"/>
          <w:szCs w:val="26"/>
        </w:rPr>
      </w:pPr>
    </w:p>
    <w:p w:rsidR="00F166CD" w:rsidRDefault="00E9594E" w:rsidP="00523B91">
      <w:pPr>
        <w:spacing w:line="360" w:lineRule="auto"/>
        <w:ind w:firstLine="1440"/>
        <w:rPr>
          <w:sz w:val="26"/>
          <w:szCs w:val="26"/>
        </w:rPr>
      </w:pPr>
      <w:r>
        <w:rPr>
          <w:sz w:val="26"/>
          <w:szCs w:val="26"/>
        </w:rPr>
        <w:t xml:space="preserve">Nevertheless, we believe the Companies can and should aim for full deployment sooner than 2022.  </w:t>
      </w:r>
      <w:r w:rsidR="00B016E8">
        <w:rPr>
          <w:sz w:val="26"/>
          <w:szCs w:val="26"/>
        </w:rPr>
        <w:t xml:space="preserve">Every year that the Companies wait represents money that ratepayers could potentially save on their electric utility bills.  The sooner that customers are given access to tools such as smart meters which allow them to better gauge how their usage patterns correspond to the price of electricity generation, the sooner the customers will have the option of tailoring their individual usage patterns to save money on their electric bills.  </w:t>
      </w:r>
      <w:r w:rsidR="00095DB7">
        <w:rPr>
          <w:sz w:val="26"/>
          <w:szCs w:val="26"/>
        </w:rPr>
        <w:t xml:space="preserve">We strongly advise </w:t>
      </w:r>
      <w:r w:rsidR="00B55DC4">
        <w:rPr>
          <w:sz w:val="26"/>
          <w:szCs w:val="26"/>
        </w:rPr>
        <w:t>FirstEnergy</w:t>
      </w:r>
      <w:r w:rsidR="00095DB7">
        <w:rPr>
          <w:sz w:val="26"/>
          <w:szCs w:val="26"/>
        </w:rPr>
        <w:t xml:space="preserve"> that it is </w:t>
      </w:r>
      <w:r w:rsidR="000832C9">
        <w:rPr>
          <w:sz w:val="26"/>
          <w:szCs w:val="26"/>
        </w:rPr>
        <w:t xml:space="preserve">in </w:t>
      </w:r>
      <w:r w:rsidR="00095DB7">
        <w:rPr>
          <w:sz w:val="26"/>
          <w:szCs w:val="26"/>
        </w:rPr>
        <w:t xml:space="preserve">the best interest of all parties involved, especially its customers, to deploy smart meters </w:t>
      </w:r>
      <w:r w:rsidR="000832C9">
        <w:rPr>
          <w:sz w:val="26"/>
          <w:szCs w:val="26"/>
        </w:rPr>
        <w:t xml:space="preserve">and their supporting infrastructure </w:t>
      </w:r>
      <w:r w:rsidR="00095DB7">
        <w:rPr>
          <w:sz w:val="26"/>
          <w:szCs w:val="26"/>
        </w:rPr>
        <w:t>as soon as safe and reliable operations will allow.</w:t>
      </w:r>
    </w:p>
    <w:p w:rsidR="000832C9" w:rsidRDefault="000832C9" w:rsidP="00523B91">
      <w:pPr>
        <w:spacing w:line="360" w:lineRule="auto"/>
        <w:ind w:firstLine="1440"/>
        <w:rPr>
          <w:sz w:val="26"/>
          <w:szCs w:val="26"/>
        </w:rPr>
      </w:pPr>
    </w:p>
    <w:p w:rsidR="00DE6617" w:rsidRPr="00496D41" w:rsidRDefault="002F5812" w:rsidP="00DE6617">
      <w:pPr>
        <w:pStyle w:val="Heading3"/>
        <w:rPr>
          <w:szCs w:val="26"/>
        </w:rPr>
      </w:pPr>
      <w:bookmarkStart w:id="37" w:name="_Toc259798208"/>
      <w:bookmarkStart w:id="38" w:name="_Toc263848840"/>
      <w:r w:rsidRPr="00496D41">
        <w:rPr>
          <w:szCs w:val="26"/>
        </w:rPr>
        <w:t>2.</w:t>
      </w:r>
      <w:r w:rsidRPr="00496D41">
        <w:rPr>
          <w:szCs w:val="26"/>
        </w:rPr>
        <w:tab/>
        <w:t>S</w:t>
      </w:r>
      <w:r w:rsidR="00A117DD" w:rsidRPr="00496D41">
        <w:rPr>
          <w:szCs w:val="26"/>
        </w:rPr>
        <w:t>mart Meter Technology</w:t>
      </w:r>
      <w:bookmarkEnd w:id="37"/>
      <w:bookmarkEnd w:id="38"/>
    </w:p>
    <w:p w:rsidR="007F71F1" w:rsidRDefault="007F71F1" w:rsidP="00EB3313">
      <w:pPr>
        <w:pStyle w:val="Heading4"/>
        <w:rPr>
          <w:szCs w:val="26"/>
        </w:rPr>
      </w:pPr>
    </w:p>
    <w:p w:rsidR="00EB3313" w:rsidRPr="00496D41" w:rsidRDefault="00EB3313" w:rsidP="00EB3313">
      <w:pPr>
        <w:pStyle w:val="Heading4"/>
        <w:rPr>
          <w:szCs w:val="26"/>
        </w:rPr>
      </w:pPr>
      <w:bookmarkStart w:id="39" w:name="_Toc259798209"/>
      <w:bookmarkStart w:id="40" w:name="_Toc263848841"/>
      <w:r w:rsidRPr="00496D41">
        <w:rPr>
          <w:szCs w:val="26"/>
        </w:rPr>
        <w:t>a.</w:t>
      </w:r>
      <w:r w:rsidRPr="00496D41">
        <w:rPr>
          <w:szCs w:val="26"/>
        </w:rPr>
        <w:tab/>
      </w:r>
      <w:r w:rsidR="00B55DC4">
        <w:rPr>
          <w:szCs w:val="26"/>
        </w:rPr>
        <w:t>FirstEnergy</w:t>
      </w:r>
      <w:r w:rsidRPr="00496D41">
        <w:rPr>
          <w:szCs w:val="26"/>
        </w:rPr>
        <w:t>’s Plan</w:t>
      </w:r>
      <w:bookmarkEnd w:id="39"/>
      <w:bookmarkEnd w:id="40"/>
    </w:p>
    <w:p w:rsidR="00EB3313" w:rsidRDefault="00EB3313" w:rsidP="001C0C31">
      <w:pPr>
        <w:spacing w:line="360" w:lineRule="auto"/>
        <w:ind w:firstLine="2160"/>
        <w:rPr>
          <w:sz w:val="26"/>
          <w:szCs w:val="26"/>
        </w:rPr>
      </w:pPr>
    </w:p>
    <w:p w:rsidR="007F71F1" w:rsidRDefault="003350D8" w:rsidP="003350D8">
      <w:pPr>
        <w:spacing w:line="360" w:lineRule="auto"/>
        <w:ind w:firstLine="1440"/>
        <w:rPr>
          <w:sz w:val="26"/>
          <w:szCs w:val="26"/>
        </w:rPr>
      </w:pPr>
      <w:r>
        <w:rPr>
          <w:sz w:val="26"/>
          <w:szCs w:val="26"/>
        </w:rPr>
        <w:t>The technology characteristics incorporated into the Plan include “equipment and processes that encourage [advanced metering infrastructure], Demand Response and Home Area Networking”</w:t>
      </w:r>
      <w:r w:rsidR="00D0642E">
        <w:rPr>
          <w:sz w:val="26"/>
          <w:szCs w:val="26"/>
        </w:rPr>
        <w:t xml:space="preserve"> (HAN).</w:t>
      </w:r>
      <w:r>
        <w:rPr>
          <w:sz w:val="26"/>
          <w:szCs w:val="26"/>
        </w:rPr>
        <w:t xml:space="preserve">  Plan at 3.  </w:t>
      </w:r>
      <w:r w:rsidR="00DD2B7B">
        <w:rPr>
          <w:sz w:val="26"/>
          <w:szCs w:val="26"/>
        </w:rPr>
        <w:t>T</w:t>
      </w:r>
      <w:r w:rsidR="00D0642E">
        <w:rPr>
          <w:sz w:val="26"/>
          <w:szCs w:val="26"/>
        </w:rPr>
        <w:t xml:space="preserve">he Plan states that </w:t>
      </w:r>
      <w:r w:rsidR="001C3693">
        <w:rPr>
          <w:sz w:val="26"/>
          <w:szCs w:val="26"/>
        </w:rPr>
        <w:t xml:space="preserve">customers will have the ability to obtain un-validated data from the smart meter, if they </w:t>
      </w:r>
      <w:r w:rsidR="001C3693">
        <w:rPr>
          <w:sz w:val="26"/>
          <w:szCs w:val="26"/>
        </w:rPr>
        <w:lastRenderedPageBreak/>
        <w:t>have compatible HAN</w:t>
      </w:r>
      <w:r w:rsidR="00D0642E">
        <w:rPr>
          <w:sz w:val="26"/>
          <w:szCs w:val="26"/>
        </w:rPr>
        <w:t xml:space="preserve"> technology.  Validated data will be made available the next day, for all customers, by way of the </w:t>
      </w:r>
      <w:r w:rsidR="00B55DC4">
        <w:rPr>
          <w:sz w:val="26"/>
          <w:szCs w:val="26"/>
        </w:rPr>
        <w:t>FirstEnergy</w:t>
      </w:r>
      <w:r w:rsidR="00D0642E">
        <w:rPr>
          <w:sz w:val="26"/>
          <w:szCs w:val="26"/>
        </w:rPr>
        <w:t xml:space="preserve"> web site.  </w:t>
      </w:r>
      <w:r w:rsidR="00D0642E">
        <w:rPr>
          <w:i/>
          <w:sz w:val="26"/>
        </w:rPr>
        <w:t xml:space="preserve">Id. </w:t>
      </w:r>
      <w:r w:rsidR="00D0642E">
        <w:rPr>
          <w:sz w:val="26"/>
        </w:rPr>
        <w:t xml:space="preserve">at </w:t>
      </w:r>
      <w:r w:rsidR="00D0642E">
        <w:rPr>
          <w:sz w:val="26"/>
          <w:szCs w:val="26"/>
        </w:rPr>
        <w:t xml:space="preserve">18.  </w:t>
      </w:r>
      <w:r w:rsidR="001C3693">
        <w:rPr>
          <w:sz w:val="26"/>
          <w:szCs w:val="26"/>
        </w:rPr>
        <w:t xml:space="preserve"> </w:t>
      </w:r>
    </w:p>
    <w:p w:rsidR="00B3465B" w:rsidRDefault="00B3465B" w:rsidP="003350D8">
      <w:pPr>
        <w:spacing w:line="360" w:lineRule="auto"/>
        <w:ind w:firstLine="1440"/>
        <w:rPr>
          <w:sz w:val="26"/>
          <w:szCs w:val="26"/>
        </w:rPr>
      </w:pPr>
    </w:p>
    <w:p w:rsidR="004C0BF0" w:rsidRDefault="00B3465B" w:rsidP="003350D8">
      <w:pPr>
        <w:spacing w:line="360" w:lineRule="auto"/>
        <w:ind w:firstLine="1440"/>
        <w:rPr>
          <w:sz w:val="26"/>
          <w:szCs w:val="26"/>
        </w:rPr>
      </w:pPr>
      <w:r>
        <w:rPr>
          <w:sz w:val="26"/>
          <w:szCs w:val="26"/>
        </w:rPr>
        <w:t xml:space="preserve">DEP argued before the ALJ that EDCs are required to deploy smart meters that enable HAN devices.  </w:t>
      </w:r>
      <w:r w:rsidR="004C0BF0">
        <w:rPr>
          <w:sz w:val="26"/>
          <w:szCs w:val="26"/>
        </w:rPr>
        <w:t xml:space="preserve">DEP concluded that the Plan must specify the deployment of smart meters that enable a HAN.  </w:t>
      </w:r>
      <w:r w:rsidR="00CB7A92">
        <w:rPr>
          <w:sz w:val="26"/>
          <w:szCs w:val="26"/>
        </w:rPr>
        <w:t xml:space="preserve">DEP MB at 8.  </w:t>
      </w:r>
    </w:p>
    <w:p w:rsidR="00CB7A92" w:rsidRDefault="00CB7A92" w:rsidP="003350D8">
      <w:pPr>
        <w:spacing w:line="360" w:lineRule="auto"/>
        <w:ind w:firstLine="1440"/>
        <w:rPr>
          <w:sz w:val="26"/>
          <w:szCs w:val="26"/>
        </w:rPr>
      </w:pPr>
    </w:p>
    <w:p w:rsidR="00B3465B" w:rsidRDefault="00B55DC4" w:rsidP="003350D8">
      <w:pPr>
        <w:spacing w:line="360" w:lineRule="auto"/>
        <w:ind w:firstLine="1440"/>
        <w:rPr>
          <w:sz w:val="26"/>
          <w:szCs w:val="26"/>
        </w:rPr>
      </w:pPr>
      <w:r>
        <w:rPr>
          <w:sz w:val="26"/>
          <w:szCs w:val="26"/>
        </w:rPr>
        <w:t>FirstEnergy</w:t>
      </w:r>
      <w:r w:rsidR="00B3465B">
        <w:rPr>
          <w:sz w:val="26"/>
          <w:szCs w:val="26"/>
        </w:rPr>
        <w:t>’s Reply Brief stated:</w:t>
      </w:r>
    </w:p>
    <w:p w:rsidR="00463F9B" w:rsidRDefault="00463F9B" w:rsidP="00463F9B">
      <w:pPr>
        <w:ind w:left="1440" w:right="1440"/>
        <w:rPr>
          <w:sz w:val="26"/>
          <w:szCs w:val="26"/>
        </w:rPr>
      </w:pPr>
    </w:p>
    <w:p w:rsidR="00463F9B" w:rsidRDefault="00463F9B" w:rsidP="00463F9B">
      <w:pPr>
        <w:ind w:left="1440" w:right="1440"/>
        <w:rPr>
          <w:sz w:val="26"/>
          <w:szCs w:val="26"/>
        </w:rPr>
      </w:pPr>
      <w:r>
        <w:rPr>
          <w:sz w:val="26"/>
          <w:szCs w:val="26"/>
        </w:rPr>
        <w:t>[T]he Companies confirm that they will provide smart meters that fully comply with the definition of smart meters set forth in Section 2807(g) and the Implementation Order, including the capability to furnish data through a ‘HAN or similarly capable method of open protocols.’</w:t>
      </w:r>
    </w:p>
    <w:p w:rsidR="00463F9B" w:rsidRDefault="00463F9B" w:rsidP="00463F9B">
      <w:pPr>
        <w:spacing w:line="360" w:lineRule="auto"/>
        <w:ind w:left="1440" w:right="1440"/>
        <w:rPr>
          <w:sz w:val="26"/>
          <w:szCs w:val="26"/>
        </w:rPr>
      </w:pPr>
    </w:p>
    <w:p w:rsidR="00463F9B" w:rsidRDefault="00B55DC4" w:rsidP="00463F9B">
      <w:pPr>
        <w:spacing w:line="360" w:lineRule="auto"/>
        <w:rPr>
          <w:sz w:val="26"/>
          <w:szCs w:val="26"/>
        </w:rPr>
      </w:pPr>
      <w:r>
        <w:rPr>
          <w:sz w:val="26"/>
          <w:szCs w:val="26"/>
        </w:rPr>
        <w:t>FirstEnergy</w:t>
      </w:r>
      <w:r w:rsidR="00463F9B">
        <w:rPr>
          <w:sz w:val="26"/>
          <w:szCs w:val="26"/>
        </w:rPr>
        <w:t xml:space="preserve"> RB at 11.</w:t>
      </w:r>
    </w:p>
    <w:p w:rsidR="007F71F1" w:rsidRPr="00496D41" w:rsidRDefault="007F71F1" w:rsidP="001C0C31">
      <w:pPr>
        <w:spacing w:line="360" w:lineRule="auto"/>
        <w:ind w:firstLine="2160"/>
        <w:rPr>
          <w:sz w:val="26"/>
          <w:szCs w:val="26"/>
        </w:rPr>
      </w:pPr>
    </w:p>
    <w:p w:rsidR="00EB3313" w:rsidRPr="00496D41" w:rsidRDefault="00EB3313" w:rsidP="001C0C31">
      <w:pPr>
        <w:pStyle w:val="Heading4"/>
        <w:rPr>
          <w:szCs w:val="26"/>
        </w:rPr>
      </w:pPr>
      <w:bookmarkStart w:id="41" w:name="_Toc259798210"/>
      <w:bookmarkStart w:id="42" w:name="_Toc263848842"/>
      <w:r w:rsidRPr="00496D41">
        <w:rPr>
          <w:szCs w:val="26"/>
        </w:rPr>
        <w:t>b.</w:t>
      </w:r>
      <w:r w:rsidRPr="00496D41">
        <w:rPr>
          <w:szCs w:val="26"/>
        </w:rPr>
        <w:tab/>
        <w:t>ALJ’s Recommendation</w:t>
      </w:r>
      <w:bookmarkEnd w:id="41"/>
      <w:bookmarkEnd w:id="42"/>
    </w:p>
    <w:p w:rsidR="00EB3313" w:rsidRDefault="00EB3313" w:rsidP="001C0C31">
      <w:pPr>
        <w:spacing w:line="360" w:lineRule="auto"/>
        <w:ind w:firstLine="2160"/>
        <w:rPr>
          <w:sz w:val="26"/>
          <w:szCs w:val="26"/>
        </w:rPr>
      </w:pPr>
    </w:p>
    <w:p w:rsidR="009568FE" w:rsidRDefault="00B0746E" w:rsidP="000E1F38">
      <w:pPr>
        <w:spacing w:line="360" w:lineRule="auto"/>
        <w:ind w:firstLine="1440"/>
        <w:rPr>
          <w:sz w:val="26"/>
          <w:szCs w:val="26"/>
        </w:rPr>
      </w:pPr>
      <w:r>
        <w:rPr>
          <w:sz w:val="26"/>
          <w:szCs w:val="26"/>
        </w:rPr>
        <w:t xml:space="preserve">The Initial Decision did not explicitly address this issue.  The ALJ, however, </w:t>
      </w:r>
      <w:r w:rsidR="004C0BF0">
        <w:rPr>
          <w:sz w:val="26"/>
          <w:szCs w:val="26"/>
        </w:rPr>
        <w:t>approved the Plans</w:t>
      </w:r>
      <w:r w:rsidR="00CB7A92">
        <w:rPr>
          <w:sz w:val="26"/>
          <w:szCs w:val="26"/>
        </w:rPr>
        <w:t xml:space="preserve"> with modifications</w:t>
      </w:r>
      <w:r>
        <w:rPr>
          <w:sz w:val="26"/>
          <w:szCs w:val="26"/>
        </w:rPr>
        <w:t xml:space="preserve"> not pertinent here.  That is, the</w:t>
      </w:r>
      <w:r w:rsidR="00CB7A92">
        <w:rPr>
          <w:sz w:val="26"/>
          <w:szCs w:val="26"/>
        </w:rPr>
        <w:t xml:space="preserve"> Initial Decision did not require the Plans to specify the deployment of smart meters that enable a HAN.</w:t>
      </w:r>
    </w:p>
    <w:p w:rsidR="009568FE" w:rsidRPr="00496D41" w:rsidRDefault="009568FE" w:rsidP="001C0C31">
      <w:pPr>
        <w:spacing w:line="360" w:lineRule="auto"/>
        <w:ind w:firstLine="2160"/>
        <w:rPr>
          <w:sz w:val="26"/>
          <w:szCs w:val="26"/>
        </w:rPr>
      </w:pPr>
    </w:p>
    <w:p w:rsidR="00EB3313" w:rsidRPr="00496D41" w:rsidRDefault="00EB3313" w:rsidP="001C0C31">
      <w:pPr>
        <w:pStyle w:val="Heading4"/>
        <w:rPr>
          <w:szCs w:val="26"/>
        </w:rPr>
      </w:pPr>
      <w:bookmarkStart w:id="43" w:name="_Toc259798211"/>
      <w:bookmarkStart w:id="44" w:name="_Toc263848843"/>
      <w:r w:rsidRPr="00496D41">
        <w:rPr>
          <w:szCs w:val="26"/>
        </w:rPr>
        <w:t>c.</w:t>
      </w:r>
      <w:r w:rsidRPr="00496D41">
        <w:rPr>
          <w:szCs w:val="26"/>
        </w:rPr>
        <w:tab/>
        <w:t>Positions of the Parties</w:t>
      </w:r>
      <w:bookmarkEnd w:id="43"/>
      <w:bookmarkEnd w:id="44"/>
    </w:p>
    <w:p w:rsidR="00EB3313" w:rsidRDefault="00EB3313" w:rsidP="001C0C31">
      <w:pPr>
        <w:spacing w:line="360" w:lineRule="auto"/>
        <w:rPr>
          <w:sz w:val="26"/>
          <w:szCs w:val="26"/>
        </w:rPr>
      </w:pPr>
    </w:p>
    <w:p w:rsidR="008363DF" w:rsidRPr="00E47803" w:rsidRDefault="007F71F1" w:rsidP="001C0C31">
      <w:pPr>
        <w:spacing w:line="360" w:lineRule="auto"/>
        <w:ind w:firstLine="1440"/>
        <w:rPr>
          <w:sz w:val="26"/>
        </w:rPr>
      </w:pPr>
      <w:r>
        <w:rPr>
          <w:sz w:val="26"/>
          <w:szCs w:val="26"/>
        </w:rPr>
        <w:t>DEP</w:t>
      </w:r>
      <w:r w:rsidR="00702290">
        <w:rPr>
          <w:sz w:val="26"/>
          <w:szCs w:val="26"/>
        </w:rPr>
        <w:t>’s Exception 1</w:t>
      </w:r>
      <w:r>
        <w:rPr>
          <w:sz w:val="26"/>
          <w:szCs w:val="26"/>
        </w:rPr>
        <w:t xml:space="preserve"> argues that the ALJ erred </w:t>
      </w:r>
      <w:r w:rsidR="001C0C31">
        <w:rPr>
          <w:sz w:val="26"/>
          <w:szCs w:val="26"/>
        </w:rPr>
        <w:t xml:space="preserve">by not explicitly ordering </w:t>
      </w:r>
      <w:r w:rsidR="00B55DC4">
        <w:rPr>
          <w:sz w:val="26"/>
          <w:szCs w:val="26"/>
        </w:rPr>
        <w:t>FirstEnergy</w:t>
      </w:r>
      <w:r w:rsidR="001C0C31">
        <w:rPr>
          <w:sz w:val="26"/>
          <w:szCs w:val="26"/>
        </w:rPr>
        <w:t xml:space="preserve"> “to provide meters that meet the definition of ‘smart meter technology’ under Act 129 and the Commission’s </w:t>
      </w:r>
      <w:r w:rsidR="001C0C31">
        <w:rPr>
          <w:i/>
          <w:sz w:val="26"/>
        </w:rPr>
        <w:t>Implementation Order.</w:t>
      </w:r>
      <w:r w:rsidR="001C0C31">
        <w:rPr>
          <w:sz w:val="26"/>
        </w:rPr>
        <w:t xml:space="preserve">”  DEP Exc. at 4.  According to DEP, the critical element of the </w:t>
      </w:r>
      <w:r w:rsidR="007925BD">
        <w:rPr>
          <w:sz w:val="26"/>
        </w:rPr>
        <w:t xml:space="preserve">statutory </w:t>
      </w:r>
      <w:r w:rsidR="001C0C31">
        <w:rPr>
          <w:sz w:val="26"/>
        </w:rPr>
        <w:t xml:space="preserve">definition of “smart meter technology” is that </w:t>
      </w:r>
      <w:r w:rsidR="001C0C31">
        <w:rPr>
          <w:sz w:val="26"/>
        </w:rPr>
        <w:lastRenderedPageBreak/>
        <w:t xml:space="preserve">the </w:t>
      </w:r>
      <w:r w:rsidR="009126F3">
        <w:rPr>
          <w:sz w:val="26"/>
        </w:rPr>
        <w:t xml:space="preserve">technology allows the </w:t>
      </w:r>
      <w:r w:rsidR="001C0C31">
        <w:rPr>
          <w:sz w:val="26"/>
        </w:rPr>
        <w:t xml:space="preserve">customer </w:t>
      </w:r>
      <w:r w:rsidR="008363DF">
        <w:rPr>
          <w:sz w:val="26"/>
        </w:rPr>
        <w:t>t</w:t>
      </w:r>
      <w:r w:rsidR="009126F3">
        <w:rPr>
          <w:sz w:val="26"/>
        </w:rPr>
        <w:t xml:space="preserve">o establish the automatic control of his electricity consumption through the smart meter.  </w:t>
      </w:r>
      <w:r w:rsidR="00E47803">
        <w:rPr>
          <w:sz w:val="26"/>
        </w:rPr>
        <w:t xml:space="preserve">DEP notes that the </w:t>
      </w:r>
      <w:r w:rsidR="00E47803">
        <w:rPr>
          <w:i/>
          <w:sz w:val="26"/>
        </w:rPr>
        <w:t xml:space="preserve">Implementation Order </w:t>
      </w:r>
      <w:r w:rsidR="00E47803" w:rsidRPr="00E47803">
        <w:rPr>
          <w:sz w:val="26"/>
        </w:rPr>
        <w:t>states:</w:t>
      </w:r>
    </w:p>
    <w:p w:rsidR="008363DF" w:rsidRDefault="008363DF" w:rsidP="00E47803">
      <w:pPr>
        <w:ind w:firstLine="1440"/>
        <w:rPr>
          <w:sz w:val="26"/>
        </w:rPr>
      </w:pPr>
    </w:p>
    <w:p w:rsidR="00E47803" w:rsidRDefault="00E47803" w:rsidP="00E47803">
      <w:pPr>
        <w:tabs>
          <w:tab w:val="left" w:pos="1440"/>
        </w:tabs>
        <w:ind w:left="1440" w:right="1440"/>
        <w:rPr>
          <w:sz w:val="26"/>
        </w:rPr>
      </w:pPr>
      <w:r>
        <w:rPr>
          <w:sz w:val="26"/>
        </w:rPr>
        <w:t xml:space="preserve">[T]he Commission will require EDC smart meters to have a capability to provide raw near real-time consumption data through a </w:t>
      </w:r>
      <w:r w:rsidR="008F5EAD">
        <w:rPr>
          <w:sz w:val="26"/>
        </w:rPr>
        <w:t>[home area network (</w:t>
      </w:r>
      <w:r>
        <w:rPr>
          <w:sz w:val="26"/>
        </w:rPr>
        <w:t>HAN</w:t>
      </w:r>
      <w:r w:rsidR="008F5EAD">
        <w:rPr>
          <w:sz w:val="26"/>
        </w:rPr>
        <w:t>)]</w:t>
      </w:r>
      <w:r>
        <w:rPr>
          <w:sz w:val="26"/>
        </w:rPr>
        <w:t xml:space="preserve"> or similarly capable method of open protocols.  This delivery method should also be capable of providing pricing signals to support real-time and time-of-use pr</w:t>
      </w:r>
      <w:r w:rsidR="005F2B8B">
        <w:rPr>
          <w:sz w:val="26"/>
        </w:rPr>
        <w:t xml:space="preserve">icing programs, as well as energy efficiency and demand response programs. </w:t>
      </w:r>
    </w:p>
    <w:p w:rsidR="008F5EAD" w:rsidRDefault="008F5EAD" w:rsidP="001C0C31">
      <w:pPr>
        <w:spacing w:line="360" w:lineRule="auto"/>
        <w:ind w:firstLine="1440"/>
        <w:rPr>
          <w:sz w:val="26"/>
        </w:rPr>
      </w:pPr>
    </w:p>
    <w:p w:rsidR="00E81E49" w:rsidRDefault="007925BD" w:rsidP="008F5EAD">
      <w:pPr>
        <w:spacing w:line="360" w:lineRule="auto"/>
        <w:rPr>
          <w:sz w:val="26"/>
        </w:rPr>
      </w:pPr>
      <w:r>
        <w:rPr>
          <w:sz w:val="26"/>
        </w:rPr>
        <w:t xml:space="preserve">DEP </w:t>
      </w:r>
      <w:r w:rsidR="008F5EAD">
        <w:rPr>
          <w:sz w:val="26"/>
        </w:rPr>
        <w:t xml:space="preserve">Exc. at 5 (quoting </w:t>
      </w:r>
      <w:r w:rsidR="008F5EAD">
        <w:rPr>
          <w:i/>
          <w:sz w:val="26"/>
        </w:rPr>
        <w:t>Implementation Order</w:t>
      </w:r>
      <w:r w:rsidR="008F5EAD">
        <w:rPr>
          <w:sz w:val="26"/>
        </w:rPr>
        <w:t xml:space="preserve"> </w:t>
      </w:r>
      <w:r>
        <w:rPr>
          <w:sz w:val="26"/>
        </w:rPr>
        <w:t>at</w:t>
      </w:r>
      <w:r w:rsidR="008F5EAD">
        <w:rPr>
          <w:sz w:val="26"/>
        </w:rPr>
        <w:t xml:space="preserve"> 23.  Consequently, DEP asks the Commission to order </w:t>
      </w:r>
      <w:r w:rsidR="00B55DC4">
        <w:rPr>
          <w:sz w:val="26"/>
        </w:rPr>
        <w:t>FirstEnergy</w:t>
      </w:r>
      <w:r>
        <w:rPr>
          <w:sz w:val="26"/>
        </w:rPr>
        <w:t xml:space="preserve"> t</w:t>
      </w:r>
      <w:r w:rsidR="008F5EAD">
        <w:rPr>
          <w:sz w:val="26"/>
        </w:rPr>
        <w:t>o</w:t>
      </w:r>
      <w:r>
        <w:rPr>
          <w:sz w:val="26"/>
        </w:rPr>
        <w:t xml:space="preserve"> deploy smart meters that enable </w:t>
      </w:r>
      <w:r w:rsidR="008363DF">
        <w:rPr>
          <w:sz w:val="26"/>
        </w:rPr>
        <w:t>a HAN device or a similarly capable method with open protocols.  DEP Exc. at 6.</w:t>
      </w:r>
    </w:p>
    <w:p w:rsidR="00E81E49" w:rsidRDefault="00E81E49" w:rsidP="008F5EAD">
      <w:pPr>
        <w:spacing w:line="360" w:lineRule="auto"/>
        <w:rPr>
          <w:sz w:val="26"/>
        </w:rPr>
      </w:pPr>
    </w:p>
    <w:p w:rsidR="004B5A78" w:rsidRDefault="00B55DC4" w:rsidP="00E81E49">
      <w:pPr>
        <w:spacing w:line="360" w:lineRule="auto"/>
        <w:ind w:firstLine="1440"/>
        <w:rPr>
          <w:sz w:val="26"/>
          <w:szCs w:val="26"/>
        </w:rPr>
      </w:pPr>
      <w:r>
        <w:rPr>
          <w:sz w:val="26"/>
          <w:szCs w:val="26"/>
        </w:rPr>
        <w:t>FirstEnergy</w:t>
      </w:r>
      <w:r w:rsidR="00DB011C">
        <w:rPr>
          <w:sz w:val="26"/>
          <w:szCs w:val="26"/>
        </w:rPr>
        <w:t xml:space="preserve"> states “What DEP requests, while unnecessary, is not otherwise objectionable.”  </w:t>
      </w:r>
      <w:r>
        <w:rPr>
          <w:sz w:val="26"/>
          <w:szCs w:val="26"/>
        </w:rPr>
        <w:t>FirstEnergy</w:t>
      </w:r>
      <w:r w:rsidR="00DB011C">
        <w:rPr>
          <w:sz w:val="26"/>
          <w:szCs w:val="26"/>
        </w:rPr>
        <w:t xml:space="preserve"> R.Exc. at 2.  The Companies</w:t>
      </w:r>
      <w:r w:rsidR="00CF572C">
        <w:rPr>
          <w:sz w:val="26"/>
          <w:szCs w:val="26"/>
        </w:rPr>
        <w:t xml:space="preserve"> point out that their </w:t>
      </w:r>
      <w:r w:rsidR="00DB011C">
        <w:rPr>
          <w:sz w:val="26"/>
          <w:szCs w:val="26"/>
        </w:rPr>
        <w:t>R</w:t>
      </w:r>
      <w:r w:rsidR="00B0746E">
        <w:rPr>
          <w:sz w:val="26"/>
          <w:szCs w:val="26"/>
        </w:rPr>
        <w:t>eply Brief</w:t>
      </w:r>
      <w:r w:rsidR="00DB011C">
        <w:rPr>
          <w:sz w:val="26"/>
          <w:szCs w:val="26"/>
        </w:rPr>
        <w:t xml:space="preserve"> stated that the Companies will provide smart meters that include the capability to furnish data through a HAN or a similarly capable method of open protocols.  </w:t>
      </w:r>
      <w:r>
        <w:rPr>
          <w:sz w:val="26"/>
          <w:szCs w:val="26"/>
        </w:rPr>
        <w:t>FirstEnergy</w:t>
      </w:r>
      <w:r w:rsidR="00CF572C">
        <w:rPr>
          <w:sz w:val="26"/>
          <w:szCs w:val="26"/>
        </w:rPr>
        <w:t xml:space="preserve"> </w:t>
      </w:r>
      <w:r w:rsidR="00DB011C">
        <w:rPr>
          <w:sz w:val="26"/>
          <w:szCs w:val="26"/>
        </w:rPr>
        <w:t>R</w:t>
      </w:r>
      <w:r w:rsidR="00CF572C">
        <w:rPr>
          <w:sz w:val="26"/>
          <w:szCs w:val="26"/>
        </w:rPr>
        <w:t>B at 11.</w:t>
      </w:r>
    </w:p>
    <w:p w:rsidR="004B5A78" w:rsidRDefault="004B5A78" w:rsidP="00E81E49">
      <w:pPr>
        <w:spacing w:line="360" w:lineRule="auto"/>
        <w:ind w:firstLine="1440"/>
        <w:rPr>
          <w:sz w:val="26"/>
          <w:szCs w:val="26"/>
        </w:rPr>
      </w:pPr>
    </w:p>
    <w:p w:rsidR="00E81E49" w:rsidRDefault="00E81E49" w:rsidP="00E81E49">
      <w:pPr>
        <w:spacing w:line="360" w:lineRule="auto"/>
        <w:ind w:firstLine="1440"/>
        <w:rPr>
          <w:sz w:val="26"/>
          <w:szCs w:val="26"/>
        </w:rPr>
      </w:pPr>
      <w:r>
        <w:rPr>
          <w:sz w:val="26"/>
          <w:szCs w:val="26"/>
        </w:rPr>
        <w:t xml:space="preserve">No other Party addressed this aspect of the Initial Decision. </w:t>
      </w:r>
    </w:p>
    <w:p w:rsidR="007F71F1" w:rsidRPr="00496D41" w:rsidRDefault="007F71F1" w:rsidP="001C0C31">
      <w:pPr>
        <w:spacing w:line="360" w:lineRule="auto"/>
        <w:rPr>
          <w:sz w:val="26"/>
          <w:szCs w:val="26"/>
        </w:rPr>
      </w:pPr>
    </w:p>
    <w:p w:rsidR="00EB3313" w:rsidRPr="00496D41" w:rsidRDefault="00EB3313" w:rsidP="001C0C31">
      <w:pPr>
        <w:pStyle w:val="Heading4"/>
        <w:rPr>
          <w:szCs w:val="26"/>
        </w:rPr>
      </w:pPr>
      <w:bookmarkStart w:id="45" w:name="_Toc259798212"/>
      <w:bookmarkStart w:id="46" w:name="_Toc263848844"/>
      <w:r w:rsidRPr="00496D41">
        <w:rPr>
          <w:szCs w:val="26"/>
        </w:rPr>
        <w:t>d.</w:t>
      </w:r>
      <w:r w:rsidRPr="00496D41">
        <w:rPr>
          <w:szCs w:val="26"/>
        </w:rPr>
        <w:tab/>
        <w:t>Disposition</w:t>
      </w:r>
      <w:bookmarkEnd w:id="45"/>
      <w:bookmarkEnd w:id="46"/>
    </w:p>
    <w:p w:rsidR="00EB3313" w:rsidRPr="00496D41" w:rsidRDefault="00EB3313" w:rsidP="001C0C31">
      <w:pPr>
        <w:spacing w:line="360" w:lineRule="auto"/>
        <w:rPr>
          <w:sz w:val="26"/>
          <w:szCs w:val="26"/>
        </w:rPr>
      </w:pPr>
    </w:p>
    <w:p w:rsidR="00EB3313" w:rsidRPr="00496D41" w:rsidRDefault="000F1DCE" w:rsidP="000F1DCE">
      <w:pPr>
        <w:spacing w:line="360" w:lineRule="auto"/>
        <w:ind w:firstLine="1440"/>
        <w:rPr>
          <w:sz w:val="26"/>
          <w:szCs w:val="26"/>
        </w:rPr>
      </w:pPr>
      <w:r>
        <w:rPr>
          <w:sz w:val="26"/>
          <w:szCs w:val="26"/>
        </w:rPr>
        <w:t xml:space="preserve">We will deny DEP’s Exception </w:t>
      </w:r>
      <w:r w:rsidR="00702290">
        <w:rPr>
          <w:sz w:val="26"/>
          <w:szCs w:val="26"/>
        </w:rPr>
        <w:t xml:space="preserve">1.  The Companies have stated that they will fully comply with the definition of smart meters, including the capability to furnish data through a HAN or similarly capable method of open protocols.  The Companies have committed to meet the terms of the </w:t>
      </w:r>
      <w:r w:rsidR="00702290" w:rsidRPr="00702290">
        <w:rPr>
          <w:i/>
          <w:sz w:val="26"/>
          <w:szCs w:val="26"/>
        </w:rPr>
        <w:t>Implementation Order</w:t>
      </w:r>
      <w:r w:rsidR="00702290">
        <w:rPr>
          <w:sz w:val="26"/>
          <w:szCs w:val="26"/>
        </w:rPr>
        <w:t xml:space="preserve">.  </w:t>
      </w:r>
      <w:r w:rsidR="00B55DC4">
        <w:rPr>
          <w:sz w:val="26"/>
          <w:szCs w:val="26"/>
        </w:rPr>
        <w:t>FirstEnergy</w:t>
      </w:r>
      <w:r w:rsidR="00702290">
        <w:rPr>
          <w:sz w:val="26"/>
          <w:szCs w:val="26"/>
        </w:rPr>
        <w:t xml:space="preserve"> RB at 11.  If the Companies later propose to modify their Plan in a way that would alter this </w:t>
      </w:r>
      <w:r w:rsidR="00702290">
        <w:rPr>
          <w:sz w:val="26"/>
          <w:szCs w:val="26"/>
        </w:rPr>
        <w:lastRenderedPageBreak/>
        <w:t xml:space="preserve">commitment, they should file such Plan modification with the Commission and the Parties to this proceeding.  </w:t>
      </w:r>
    </w:p>
    <w:p w:rsidR="00DE6617" w:rsidRDefault="00DE6617" w:rsidP="002F5812">
      <w:pPr>
        <w:spacing w:line="360" w:lineRule="auto"/>
        <w:ind w:firstLine="2160"/>
        <w:rPr>
          <w:sz w:val="26"/>
          <w:szCs w:val="26"/>
        </w:rPr>
      </w:pPr>
    </w:p>
    <w:p w:rsidR="002F5812" w:rsidRPr="005F7DB5" w:rsidRDefault="00A117DD" w:rsidP="00A117DD">
      <w:pPr>
        <w:pStyle w:val="Heading3"/>
      </w:pPr>
      <w:bookmarkStart w:id="47" w:name="_Toc259798213"/>
      <w:bookmarkStart w:id="48" w:name="_Toc263848845"/>
      <w:r>
        <w:t>3.</w:t>
      </w:r>
      <w:r>
        <w:tab/>
        <w:t>Impact on “Vulnerable” Customers</w:t>
      </w:r>
      <w:bookmarkEnd w:id="47"/>
      <w:bookmarkEnd w:id="48"/>
      <w:r>
        <w:t xml:space="preserve"> </w:t>
      </w:r>
    </w:p>
    <w:p w:rsidR="008E0B70" w:rsidRDefault="008E0B70" w:rsidP="00EB3313">
      <w:pPr>
        <w:pStyle w:val="Heading4"/>
      </w:pPr>
    </w:p>
    <w:p w:rsidR="00EB3313" w:rsidRDefault="00EB3313" w:rsidP="00EB3313">
      <w:pPr>
        <w:pStyle w:val="Heading4"/>
      </w:pPr>
      <w:bookmarkStart w:id="49" w:name="_Toc259798214"/>
      <w:bookmarkStart w:id="50" w:name="_Toc263848846"/>
      <w:r>
        <w:t>a.</w:t>
      </w:r>
      <w:r>
        <w:tab/>
      </w:r>
      <w:r w:rsidR="00B55DC4">
        <w:t>FirstEnergy</w:t>
      </w:r>
      <w:r>
        <w:t>’s Plan</w:t>
      </w:r>
      <w:bookmarkEnd w:id="49"/>
      <w:bookmarkEnd w:id="50"/>
    </w:p>
    <w:p w:rsidR="00EB3313" w:rsidRDefault="00EB3313" w:rsidP="008E0B70">
      <w:pPr>
        <w:spacing w:line="360" w:lineRule="auto"/>
        <w:ind w:firstLine="2160"/>
        <w:rPr>
          <w:sz w:val="26"/>
          <w:szCs w:val="26"/>
        </w:rPr>
      </w:pPr>
    </w:p>
    <w:p w:rsidR="0015639A" w:rsidRDefault="006C3BDA" w:rsidP="0015639A">
      <w:pPr>
        <w:spacing w:line="360" w:lineRule="auto"/>
        <w:ind w:firstLine="1440"/>
        <w:rPr>
          <w:sz w:val="26"/>
          <w:szCs w:val="26"/>
        </w:rPr>
      </w:pPr>
      <w:r>
        <w:rPr>
          <w:sz w:val="26"/>
          <w:szCs w:val="26"/>
        </w:rPr>
        <w:t xml:space="preserve">The OCA argued before the ALJ that the Companies’ Plan should be modified to include specific analyses of the impacts of the Plan on “vulnerable” residential customers (low-income customers, customers with disabilities, the elderly, and others who cannot afford bill increases but may not enjoy many of the benefits of smart meter implementation). </w:t>
      </w:r>
      <w:r w:rsidR="00592FE1">
        <w:rPr>
          <w:sz w:val="26"/>
          <w:szCs w:val="26"/>
        </w:rPr>
        <w:t xml:space="preserve">  Based on these analyses, the Companies could develop plans to mitigate the risks to such customers from the cost of the Plan.  OCA MB at 17.  </w:t>
      </w:r>
      <w:r>
        <w:rPr>
          <w:sz w:val="26"/>
          <w:szCs w:val="26"/>
        </w:rPr>
        <w:t xml:space="preserve"> </w:t>
      </w:r>
    </w:p>
    <w:p w:rsidR="0015639A" w:rsidRDefault="0015639A" w:rsidP="008E0B70">
      <w:pPr>
        <w:spacing w:line="360" w:lineRule="auto"/>
        <w:ind w:firstLine="2160"/>
        <w:rPr>
          <w:sz w:val="26"/>
          <w:szCs w:val="26"/>
        </w:rPr>
      </w:pPr>
    </w:p>
    <w:p w:rsidR="0015639A" w:rsidRDefault="003F479B" w:rsidP="003F479B">
      <w:pPr>
        <w:spacing w:line="360" w:lineRule="auto"/>
        <w:ind w:firstLine="1440"/>
        <w:rPr>
          <w:sz w:val="26"/>
          <w:szCs w:val="26"/>
        </w:rPr>
      </w:pPr>
      <w:r>
        <w:rPr>
          <w:sz w:val="26"/>
          <w:szCs w:val="26"/>
        </w:rPr>
        <w:t>The Companies argued against the requested modification in the Plan.  The</w:t>
      </w:r>
      <w:r w:rsidR="00533910">
        <w:rPr>
          <w:sz w:val="26"/>
          <w:szCs w:val="26"/>
        </w:rPr>
        <w:t xml:space="preserve">y noted that they intend to inform “vulnerable” customers about the options for energy efficiencies and conservation that smart meters will enable.  In addition, they </w:t>
      </w:r>
      <w:r>
        <w:rPr>
          <w:sz w:val="26"/>
          <w:szCs w:val="26"/>
        </w:rPr>
        <w:t>noted that the Companies</w:t>
      </w:r>
      <w:r w:rsidR="00533910">
        <w:rPr>
          <w:sz w:val="26"/>
          <w:szCs w:val="26"/>
        </w:rPr>
        <w:t>’</w:t>
      </w:r>
      <w:r>
        <w:rPr>
          <w:sz w:val="26"/>
          <w:szCs w:val="26"/>
        </w:rPr>
        <w:t xml:space="preserve"> </w:t>
      </w:r>
      <w:r w:rsidR="00533910">
        <w:rPr>
          <w:sz w:val="26"/>
          <w:szCs w:val="26"/>
        </w:rPr>
        <w:t xml:space="preserve">Customer Assistance Programs </w:t>
      </w:r>
      <w:r>
        <w:rPr>
          <w:sz w:val="26"/>
          <w:szCs w:val="26"/>
        </w:rPr>
        <w:t xml:space="preserve">would </w:t>
      </w:r>
      <w:r w:rsidR="00533910">
        <w:rPr>
          <w:sz w:val="26"/>
          <w:szCs w:val="26"/>
        </w:rPr>
        <w:t xml:space="preserve">be available to </w:t>
      </w:r>
      <w:r>
        <w:rPr>
          <w:sz w:val="26"/>
          <w:szCs w:val="26"/>
        </w:rPr>
        <w:t>mitigat</w:t>
      </w:r>
      <w:r w:rsidR="00533910">
        <w:rPr>
          <w:sz w:val="26"/>
          <w:szCs w:val="26"/>
        </w:rPr>
        <w:t>e</w:t>
      </w:r>
      <w:r>
        <w:rPr>
          <w:sz w:val="26"/>
          <w:szCs w:val="26"/>
        </w:rPr>
        <w:t xml:space="preserve"> the impacts of smart meter deployment on “vulnerable” customers.  </w:t>
      </w:r>
      <w:r w:rsidR="00B55DC4">
        <w:rPr>
          <w:sz w:val="26"/>
          <w:szCs w:val="26"/>
        </w:rPr>
        <w:t>FirstEnergy</w:t>
      </w:r>
      <w:r w:rsidR="002A2C05">
        <w:rPr>
          <w:sz w:val="26"/>
          <w:szCs w:val="26"/>
        </w:rPr>
        <w:t xml:space="preserve"> MB at 8- 9.</w:t>
      </w:r>
      <w:r>
        <w:rPr>
          <w:sz w:val="26"/>
          <w:szCs w:val="26"/>
        </w:rPr>
        <w:t xml:space="preserve"> </w:t>
      </w:r>
    </w:p>
    <w:p w:rsidR="003F479B" w:rsidRDefault="003F479B" w:rsidP="003F479B">
      <w:pPr>
        <w:spacing w:line="360" w:lineRule="auto"/>
        <w:ind w:firstLine="1440"/>
        <w:rPr>
          <w:sz w:val="26"/>
          <w:szCs w:val="26"/>
        </w:rPr>
      </w:pPr>
    </w:p>
    <w:p w:rsidR="00EB3313" w:rsidRDefault="00EB3313" w:rsidP="008E0B70">
      <w:pPr>
        <w:pStyle w:val="Heading4"/>
      </w:pPr>
      <w:bookmarkStart w:id="51" w:name="_Toc259798215"/>
      <w:bookmarkStart w:id="52" w:name="_Toc263848847"/>
      <w:r>
        <w:t>b.</w:t>
      </w:r>
      <w:r>
        <w:tab/>
        <w:t>ALJ’s Recommendation</w:t>
      </w:r>
      <w:bookmarkEnd w:id="51"/>
      <w:bookmarkEnd w:id="52"/>
    </w:p>
    <w:p w:rsidR="00EB3313" w:rsidRDefault="00EB3313" w:rsidP="008E0B70">
      <w:pPr>
        <w:spacing w:line="360" w:lineRule="auto"/>
        <w:ind w:firstLine="2160"/>
        <w:rPr>
          <w:sz w:val="26"/>
          <w:szCs w:val="26"/>
        </w:rPr>
      </w:pPr>
    </w:p>
    <w:p w:rsidR="00D01AB5" w:rsidRPr="00DA2F4D" w:rsidRDefault="00D01AB5" w:rsidP="00D01AB5">
      <w:pPr>
        <w:spacing w:line="360" w:lineRule="auto"/>
        <w:ind w:firstLine="1440"/>
        <w:rPr>
          <w:sz w:val="26"/>
          <w:szCs w:val="26"/>
        </w:rPr>
      </w:pPr>
      <w:r>
        <w:rPr>
          <w:sz w:val="26"/>
          <w:szCs w:val="26"/>
        </w:rPr>
        <w:t xml:space="preserve">The ALJ explicitly rejected </w:t>
      </w:r>
      <w:r w:rsidR="007C4A07">
        <w:rPr>
          <w:sz w:val="26"/>
          <w:szCs w:val="26"/>
        </w:rPr>
        <w:t xml:space="preserve">the </w:t>
      </w:r>
      <w:r>
        <w:rPr>
          <w:sz w:val="26"/>
          <w:szCs w:val="26"/>
        </w:rPr>
        <w:t xml:space="preserve">OCA’s request that the Plans be modified to address the needs of “vulnerable customers.”  According to the ALJ, neither Act 129 nor the </w:t>
      </w:r>
      <w:r w:rsidR="00DA2F4D">
        <w:rPr>
          <w:i/>
          <w:sz w:val="26"/>
          <w:szCs w:val="26"/>
        </w:rPr>
        <w:t xml:space="preserve">Implementation Order </w:t>
      </w:r>
      <w:r w:rsidR="00DA2F4D">
        <w:rPr>
          <w:sz w:val="26"/>
          <w:szCs w:val="26"/>
        </w:rPr>
        <w:t>provides an exception or accommodation for low-income or other “vulnerable” customers.  “Special needs due to higher bills, which are inevitable in providing for payment for this legislatively-mandated program, will be addressed through traditional means, i.e., customer assistance programs.”  I.D. at 30.</w:t>
      </w:r>
    </w:p>
    <w:p w:rsidR="001A6FD5" w:rsidRDefault="001A6FD5" w:rsidP="001A6FD5">
      <w:pPr>
        <w:spacing w:line="360" w:lineRule="auto"/>
        <w:ind w:firstLine="1440"/>
        <w:rPr>
          <w:sz w:val="26"/>
          <w:szCs w:val="26"/>
        </w:rPr>
      </w:pPr>
    </w:p>
    <w:p w:rsidR="00EB3313" w:rsidRPr="00C94E5F" w:rsidRDefault="00EB3313" w:rsidP="008E0B70">
      <w:pPr>
        <w:pStyle w:val="Heading4"/>
        <w:rPr>
          <w:szCs w:val="26"/>
        </w:rPr>
      </w:pPr>
      <w:bookmarkStart w:id="53" w:name="_Toc259798216"/>
      <w:bookmarkStart w:id="54" w:name="_Toc263848848"/>
      <w:r w:rsidRPr="00C94E5F">
        <w:rPr>
          <w:szCs w:val="26"/>
        </w:rPr>
        <w:t>c.</w:t>
      </w:r>
      <w:r w:rsidRPr="00C94E5F">
        <w:rPr>
          <w:szCs w:val="26"/>
        </w:rPr>
        <w:tab/>
        <w:t>Positions of the Parties</w:t>
      </w:r>
      <w:bookmarkEnd w:id="53"/>
      <w:bookmarkEnd w:id="54"/>
    </w:p>
    <w:p w:rsidR="00EB3313" w:rsidRPr="00C94E5F" w:rsidRDefault="00EB3313" w:rsidP="008E0B70">
      <w:pPr>
        <w:spacing w:line="360" w:lineRule="auto"/>
        <w:rPr>
          <w:sz w:val="26"/>
          <w:szCs w:val="26"/>
        </w:rPr>
      </w:pPr>
    </w:p>
    <w:p w:rsidR="00502C41" w:rsidRDefault="00383AE0" w:rsidP="008E4526">
      <w:pPr>
        <w:spacing w:line="360" w:lineRule="auto"/>
        <w:ind w:firstLine="1440"/>
        <w:rPr>
          <w:sz w:val="26"/>
          <w:szCs w:val="26"/>
        </w:rPr>
      </w:pPr>
      <w:r>
        <w:rPr>
          <w:sz w:val="26"/>
          <w:szCs w:val="26"/>
        </w:rPr>
        <w:t>T</w:t>
      </w:r>
      <w:r w:rsidR="00C94E5F" w:rsidRPr="00C94E5F">
        <w:rPr>
          <w:sz w:val="26"/>
          <w:szCs w:val="26"/>
        </w:rPr>
        <w:t>he OCA</w:t>
      </w:r>
      <w:r>
        <w:rPr>
          <w:sz w:val="26"/>
          <w:szCs w:val="26"/>
        </w:rPr>
        <w:t xml:space="preserve">’s Exceptions </w:t>
      </w:r>
      <w:r w:rsidR="00C94E5F">
        <w:rPr>
          <w:sz w:val="26"/>
          <w:szCs w:val="26"/>
        </w:rPr>
        <w:t>argue that the Com</w:t>
      </w:r>
      <w:r>
        <w:rPr>
          <w:sz w:val="26"/>
          <w:szCs w:val="26"/>
        </w:rPr>
        <w:t xml:space="preserve">panies should be required to take additional steps to address the impacts of the Plan on </w:t>
      </w:r>
      <w:r w:rsidR="00C94E5F">
        <w:rPr>
          <w:sz w:val="26"/>
          <w:szCs w:val="26"/>
        </w:rPr>
        <w:t>“vulnerable” customers</w:t>
      </w:r>
      <w:r>
        <w:rPr>
          <w:sz w:val="26"/>
          <w:szCs w:val="26"/>
        </w:rPr>
        <w:t xml:space="preserve">, rather than relying exclusively on </w:t>
      </w:r>
      <w:r w:rsidR="00C94E5F">
        <w:rPr>
          <w:sz w:val="26"/>
          <w:szCs w:val="26"/>
        </w:rPr>
        <w:t xml:space="preserve">traditional means, such as </w:t>
      </w:r>
      <w:r>
        <w:rPr>
          <w:sz w:val="26"/>
          <w:szCs w:val="26"/>
        </w:rPr>
        <w:t xml:space="preserve">consumer education programs and </w:t>
      </w:r>
      <w:r w:rsidR="00E30121">
        <w:rPr>
          <w:sz w:val="26"/>
          <w:szCs w:val="26"/>
        </w:rPr>
        <w:t>Customer Assistance Program</w:t>
      </w:r>
      <w:r w:rsidR="00C94E5F">
        <w:rPr>
          <w:sz w:val="26"/>
          <w:szCs w:val="26"/>
        </w:rPr>
        <w:t>s.</w:t>
      </w:r>
      <w:r>
        <w:rPr>
          <w:sz w:val="26"/>
          <w:szCs w:val="26"/>
        </w:rPr>
        <w:t xml:space="preserve">  </w:t>
      </w:r>
      <w:r w:rsidR="004F1AAE">
        <w:rPr>
          <w:sz w:val="26"/>
          <w:szCs w:val="26"/>
        </w:rPr>
        <w:t>According to t</w:t>
      </w:r>
      <w:r w:rsidR="009D79D3">
        <w:rPr>
          <w:sz w:val="26"/>
          <w:szCs w:val="26"/>
        </w:rPr>
        <w:t>he OCA</w:t>
      </w:r>
      <w:r w:rsidR="004F1AAE">
        <w:rPr>
          <w:sz w:val="26"/>
          <w:szCs w:val="26"/>
        </w:rPr>
        <w:t xml:space="preserve">, </w:t>
      </w:r>
      <w:r w:rsidR="009D79D3">
        <w:rPr>
          <w:sz w:val="26"/>
          <w:szCs w:val="26"/>
        </w:rPr>
        <w:t xml:space="preserve">traditional means are inadequate to address the needs of “vulnerable” customers for two reasons.  First, the budgets of </w:t>
      </w:r>
      <w:r w:rsidR="00E30121">
        <w:rPr>
          <w:sz w:val="26"/>
          <w:szCs w:val="26"/>
        </w:rPr>
        <w:t>Customer Assistance Program</w:t>
      </w:r>
      <w:r w:rsidR="009D79D3">
        <w:rPr>
          <w:sz w:val="26"/>
          <w:szCs w:val="26"/>
        </w:rPr>
        <w:t xml:space="preserve">s may be </w:t>
      </w:r>
      <w:r w:rsidR="00163F5B">
        <w:rPr>
          <w:sz w:val="26"/>
          <w:szCs w:val="26"/>
        </w:rPr>
        <w:t>in</w:t>
      </w:r>
      <w:r w:rsidR="009D79D3">
        <w:rPr>
          <w:sz w:val="26"/>
          <w:szCs w:val="26"/>
        </w:rPr>
        <w:t xml:space="preserve">sufficient to address the needs of “vulnerable” customers resulting from the smart meter program.  Second, </w:t>
      </w:r>
      <w:r w:rsidR="00163F5B">
        <w:rPr>
          <w:sz w:val="26"/>
          <w:szCs w:val="26"/>
        </w:rPr>
        <w:t>many “vulnerable” customers will be unable to access the benefits of smart meters</w:t>
      </w:r>
      <w:r w:rsidR="005F69C1">
        <w:rPr>
          <w:sz w:val="26"/>
          <w:szCs w:val="26"/>
        </w:rPr>
        <w:t xml:space="preserve"> </w:t>
      </w:r>
      <w:r w:rsidR="00163F5B">
        <w:rPr>
          <w:sz w:val="26"/>
          <w:szCs w:val="26"/>
        </w:rPr>
        <w:t>because those customers cannot afford the necessary initial investment to take advantage of the programs.  OCA Exc. at 4.</w:t>
      </w:r>
    </w:p>
    <w:p w:rsidR="00502C41" w:rsidRDefault="00502C41" w:rsidP="008E4526">
      <w:pPr>
        <w:spacing w:line="360" w:lineRule="auto"/>
        <w:ind w:firstLine="1440"/>
        <w:rPr>
          <w:sz w:val="26"/>
          <w:szCs w:val="26"/>
        </w:rPr>
      </w:pPr>
    </w:p>
    <w:p w:rsidR="004F1AAE" w:rsidRDefault="004F1AAE" w:rsidP="004F1AAE">
      <w:pPr>
        <w:spacing w:line="360" w:lineRule="auto"/>
        <w:ind w:firstLine="1440"/>
        <w:rPr>
          <w:sz w:val="26"/>
          <w:szCs w:val="26"/>
        </w:rPr>
      </w:pPr>
      <w:r>
        <w:rPr>
          <w:sz w:val="26"/>
          <w:szCs w:val="26"/>
        </w:rPr>
        <w:t>The OCA contends that the lack of a specific exception in Act 129 for low-income or otherwise vulnerable customers does not require the rejection of its proposal for additional steps to mitigate the adverse impacts on these customers.  The OCA clarifies that it is not recommending that “vulnerable” customers should be excluded from the Plan.  “Instead, the OCA’s recommendations are intended to minimize any possible adverse impacts of smart metering deployment on such customers through analysis and consideration of the needs of low-income and otherwise vulnerable customers at all stages of program design and deployment.”  OCA Exc. at 4.</w:t>
      </w:r>
    </w:p>
    <w:p w:rsidR="004F1AAE" w:rsidRDefault="004F1AAE" w:rsidP="004F1AAE">
      <w:pPr>
        <w:spacing w:line="360" w:lineRule="auto"/>
        <w:ind w:firstLine="1440"/>
        <w:rPr>
          <w:sz w:val="26"/>
          <w:szCs w:val="26"/>
        </w:rPr>
      </w:pPr>
    </w:p>
    <w:p w:rsidR="00BA58E8" w:rsidRDefault="00CF572C" w:rsidP="00BA58E8">
      <w:pPr>
        <w:spacing w:line="360" w:lineRule="auto"/>
        <w:ind w:firstLine="1440"/>
        <w:rPr>
          <w:sz w:val="26"/>
          <w:szCs w:val="26"/>
        </w:rPr>
      </w:pPr>
      <w:r>
        <w:rPr>
          <w:sz w:val="26"/>
          <w:szCs w:val="26"/>
        </w:rPr>
        <w:t xml:space="preserve">The </w:t>
      </w:r>
      <w:r w:rsidR="00502C41">
        <w:rPr>
          <w:sz w:val="26"/>
          <w:szCs w:val="26"/>
        </w:rPr>
        <w:t xml:space="preserve">OCA contends that the Plans already provide for data gathering and analysis.  </w:t>
      </w:r>
      <w:r w:rsidR="00D41091">
        <w:rPr>
          <w:sz w:val="26"/>
          <w:szCs w:val="26"/>
        </w:rPr>
        <w:t xml:space="preserve">Requiring the Companies to gather and analyze data regarding the usage of “vulnerable” customers therefore would not be burdensome for the Companies. </w:t>
      </w:r>
      <w:r w:rsidR="00BA58E8">
        <w:rPr>
          <w:sz w:val="26"/>
          <w:szCs w:val="26"/>
        </w:rPr>
        <w:t xml:space="preserve"> </w:t>
      </w:r>
      <w:r w:rsidR="00D41091">
        <w:rPr>
          <w:sz w:val="26"/>
          <w:szCs w:val="26"/>
        </w:rPr>
        <w:t xml:space="preserve"> </w:t>
      </w:r>
      <w:r w:rsidR="00163F5B">
        <w:rPr>
          <w:sz w:val="26"/>
          <w:szCs w:val="26"/>
        </w:rPr>
        <w:t xml:space="preserve"> </w:t>
      </w:r>
      <w:r w:rsidR="004F1AAE">
        <w:rPr>
          <w:sz w:val="26"/>
          <w:szCs w:val="26"/>
        </w:rPr>
        <w:t>A</w:t>
      </w:r>
      <w:r w:rsidR="001235AD">
        <w:rPr>
          <w:sz w:val="26"/>
          <w:szCs w:val="26"/>
        </w:rPr>
        <w:t>ddition</w:t>
      </w:r>
      <w:r w:rsidR="004F1AAE">
        <w:rPr>
          <w:sz w:val="26"/>
          <w:szCs w:val="26"/>
        </w:rPr>
        <w:t>al steps</w:t>
      </w:r>
      <w:r w:rsidR="001235AD">
        <w:rPr>
          <w:sz w:val="26"/>
          <w:szCs w:val="26"/>
        </w:rPr>
        <w:t xml:space="preserve"> to</w:t>
      </w:r>
      <w:r w:rsidR="004F1AAE">
        <w:rPr>
          <w:sz w:val="26"/>
          <w:szCs w:val="26"/>
        </w:rPr>
        <w:t xml:space="preserve"> mitigate the adverse impacts on “vulnerable” customers include:  keeping </w:t>
      </w:r>
      <w:r w:rsidR="00BA58E8">
        <w:rPr>
          <w:sz w:val="26"/>
          <w:szCs w:val="26"/>
        </w:rPr>
        <w:t>smart meter deployment costs as low as possible</w:t>
      </w:r>
      <w:r w:rsidR="004F1AAE">
        <w:rPr>
          <w:sz w:val="26"/>
          <w:szCs w:val="26"/>
        </w:rPr>
        <w:t xml:space="preserve"> and recovering Plan costs from residential customers on a volumetric rather than fixed basis</w:t>
      </w:r>
      <w:r w:rsidR="00BA58E8">
        <w:rPr>
          <w:sz w:val="26"/>
          <w:szCs w:val="26"/>
        </w:rPr>
        <w:t>.</w:t>
      </w:r>
      <w:r w:rsidR="004F1AAE">
        <w:rPr>
          <w:sz w:val="26"/>
          <w:szCs w:val="26"/>
        </w:rPr>
        <w:t xml:space="preserve">  </w:t>
      </w:r>
      <w:r w:rsidR="002C7E89">
        <w:rPr>
          <w:sz w:val="26"/>
          <w:szCs w:val="26"/>
        </w:rPr>
        <w:t>OCA Exc. at 5.</w:t>
      </w:r>
    </w:p>
    <w:p w:rsidR="00D66EBB" w:rsidRDefault="00D66EBB" w:rsidP="00BA58E8">
      <w:pPr>
        <w:spacing w:line="360" w:lineRule="auto"/>
        <w:ind w:firstLine="1440"/>
        <w:rPr>
          <w:sz w:val="26"/>
          <w:szCs w:val="26"/>
        </w:rPr>
      </w:pPr>
    </w:p>
    <w:p w:rsidR="00F94FC6" w:rsidRDefault="00943BF6" w:rsidP="00BA58E8">
      <w:pPr>
        <w:spacing w:line="360" w:lineRule="auto"/>
        <w:ind w:firstLine="1440"/>
        <w:rPr>
          <w:sz w:val="26"/>
          <w:szCs w:val="26"/>
        </w:rPr>
      </w:pPr>
      <w:r>
        <w:rPr>
          <w:sz w:val="26"/>
          <w:szCs w:val="26"/>
        </w:rPr>
        <w:t xml:space="preserve">The Companies respond that they already intend to carefully study needs, costs and benefits, so they can select smart meter solutions that not only comply with law but also provide customers with the maximum benefit at the lowest cost.  </w:t>
      </w:r>
      <w:r w:rsidR="00102C85">
        <w:rPr>
          <w:sz w:val="26"/>
          <w:szCs w:val="26"/>
        </w:rPr>
        <w:t xml:space="preserve">The Companies also argue </w:t>
      </w:r>
      <w:r w:rsidR="009C0835">
        <w:rPr>
          <w:sz w:val="26"/>
          <w:szCs w:val="26"/>
        </w:rPr>
        <w:t xml:space="preserve">that they understand the importance of developing information about all customers’ needs and receptiveness to new rate designs.  They argue, however, that the </w:t>
      </w:r>
      <w:r>
        <w:rPr>
          <w:sz w:val="26"/>
          <w:szCs w:val="26"/>
        </w:rPr>
        <w:t xml:space="preserve">Companies should not be bound at this time to specific formats for these analyses.  </w:t>
      </w:r>
      <w:r w:rsidR="00102C85">
        <w:rPr>
          <w:sz w:val="26"/>
          <w:szCs w:val="26"/>
        </w:rPr>
        <w:t xml:space="preserve">The Companies also argue that consumer education, Customer Assistance Programs, and LIHEAP “will substantially mitigate the impact on low-income customers of any increases resulting from the Smart Meter Plan.”  </w:t>
      </w:r>
      <w:r w:rsidR="00B55DC4">
        <w:rPr>
          <w:sz w:val="26"/>
          <w:szCs w:val="26"/>
        </w:rPr>
        <w:t>FirstEnergy</w:t>
      </w:r>
      <w:r w:rsidR="00102C85">
        <w:rPr>
          <w:sz w:val="26"/>
          <w:szCs w:val="26"/>
        </w:rPr>
        <w:t xml:space="preserve"> R.Exc. at 8.</w:t>
      </w:r>
    </w:p>
    <w:p w:rsidR="00102C85" w:rsidRDefault="00102C85" w:rsidP="00BA58E8">
      <w:pPr>
        <w:spacing w:line="360" w:lineRule="auto"/>
        <w:ind w:firstLine="1440"/>
        <w:rPr>
          <w:sz w:val="26"/>
          <w:szCs w:val="26"/>
        </w:rPr>
      </w:pPr>
    </w:p>
    <w:p w:rsidR="00F94FC6" w:rsidRDefault="00F94FC6" w:rsidP="00F94FC6">
      <w:pPr>
        <w:spacing w:line="360" w:lineRule="auto"/>
        <w:ind w:firstLine="1440"/>
        <w:rPr>
          <w:sz w:val="26"/>
          <w:szCs w:val="26"/>
        </w:rPr>
      </w:pPr>
      <w:r>
        <w:rPr>
          <w:sz w:val="26"/>
          <w:szCs w:val="26"/>
        </w:rPr>
        <w:t xml:space="preserve">No other Party addressed this aspect of the Initial Decision. </w:t>
      </w:r>
    </w:p>
    <w:p w:rsidR="00667D53" w:rsidRPr="00C94E5F" w:rsidRDefault="00667D53" w:rsidP="008E0B70">
      <w:pPr>
        <w:spacing w:line="360" w:lineRule="auto"/>
        <w:rPr>
          <w:sz w:val="26"/>
          <w:szCs w:val="26"/>
        </w:rPr>
      </w:pPr>
    </w:p>
    <w:p w:rsidR="00EB3313" w:rsidRPr="00C94E5F" w:rsidRDefault="00EB3313" w:rsidP="008E0B70">
      <w:pPr>
        <w:pStyle w:val="Heading4"/>
        <w:rPr>
          <w:szCs w:val="26"/>
        </w:rPr>
      </w:pPr>
      <w:bookmarkStart w:id="55" w:name="_Toc259798217"/>
      <w:bookmarkStart w:id="56" w:name="_Toc263848849"/>
      <w:r w:rsidRPr="00C94E5F">
        <w:rPr>
          <w:szCs w:val="26"/>
        </w:rPr>
        <w:t>d.</w:t>
      </w:r>
      <w:r w:rsidRPr="00C94E5F">
        <w:rPr>
          <w:szCs w:val="26"/>
        </w:rPr>
        <w:tab/>
        <w:t>Disposition</w:t>
      </w:r>
      <w:bookmarkEnd w:id="55"/>
      <w:bookmarkEnd w:id="56"/>
    </w:p>
    <w:p w:rsidR="004873DC" w:rsidRDefault="004873DC" w:rsidP="004873DC">
      <w:pPr>
        <w:spacing w:line="360" w:lineRule="auto"/>
        <w:ind w:firstLine="1440"/>
        <w:rPr>
          <w:sz w:val="26"/>
          <w:szCs w:val="26"/>
        </w:rPr>
      </w:pPr>
    </w:p>
    <w:p w:rsidR="00EB3313" w:rsidRDefault="004873DC" w:rsidP="004716B3">
      <w:pPr>
        <w:spacing w:line="360" w:lineRule="auto"/>
        <w:ind w:firstLine="1440"/>
        <w:rPr>
          <w:sz w:val="26"/>
          <w:szCs w:val="26"/>
        </w:rPr>
      </w:pPr>
      <w:r>
        <w:rPr>
          <w:sz w:val="26"/>
          <w:szCs w:val="26"/>
        </w:rPr>
        <w:t xml:space="preserve">We agree with the ALJ on this issue.  </w:t>
      </w:r>
      <w:r w:rsidR="007C4971">
        <w:rPr>
          <w:sz w:val="26"/>
          <w:szCs w:val="26"/>
        </w:rPr>
        <w:t>We are sensitive to the possibility that the cost of smart</w:t>
      </w:r>
      <w:r w:rsidR="00470421">
        <w:rPr>
          <w:sz w:val="26"/>
          <w:szCs w:val="26"/>
        </w:rPr>
        <w:t xml:space="preserve"> metering programs will have </w:t>
      </w:r>
      <w:r w:rsidR="007C4971">
        <w:rPr>
          <w:sz w:val="26"/>
          <w:szCs w:val="26"/>
        </w:rPr>
        <w:t xml:space="preserve">adverse </w:t>
      </w:r>
      <w:r w:rsidR="00470421">
        <w:rPr>
          <w:sz w:val="26"/>
          <w:szCs w:val="26"/>
        </w:rPr>
        <w:t xml:space="preserve">financial </w:t>
      </w:r>
      <w:r w:rsidR="007C4971">
        <w:rPr>
          <w:sz w:val="26"/>
          <w:szCs w:val="26"/>
        </w:rPr>
        <w:t>impact</w:t>
      </w:r>
      <w:r w:rsidR="00470421">
        <w:rPr>
          <w:sz w:val="26"/>
          <w:szCs w:val="26"/>
        </w:rPr>
        <w:t>s</w:t>
      </w:r>
      <w:r w:rsidR="007C4971">
        <w:rPr>
          <w:sz w:val="26"/>
          <w:szCs w:val="26"/>
        </w:rPr>
        <w:t xml:space="preserve"> on</w:t>
      </w:r>
      <w:r w:rsidR="00E0291C">
        <w:rPr>
          <w:sz w:val="26"/>
          <w:szCs w:val="26"/>
        </w:rPr>
        <w:t xml:space="preserve"> low-income and other</w:t>
      </w:r>
      <w:r w:rsidR="007C4971">
        <w:rPr>
          <w:sz w:val="26"/>
          <w:szCs w:val="26"/>
        </w:rPr>
        <w:t xml:space="preserve"> </w:t>
      </w:r>
      <w:r w:rsidR="00E0291C">
        <w:rPr>
          <w:sz w:val="26"/>
          <w:szCs w:val="26"/>
        </w:rPr>
        <w:t>“</w:t>
      </w:r>
      <w:r w:rsidR="007C4971">
        <w:rPr>
          <w:sz w:val="26"/>
          <w:szCs w:val="26"/>
        </w:rPr>
        <w:t>vulnerable</w:t>
      </w:r>
      <w:r w:rsidR="00E0291C">
        <w:rPr>
          <w:sz w:val="26"/>
          <w:szCs w:val="26"/>
        </w:rPr>
        <w:t xml:space="preserve">” customers.  Nevertheless, </w:t>
      </w:r>
      <w:r w:rsidR="007C4971">
        <w:rPr>
          <w:sz w:val="26"/>
          <w:szCs w:val="26"/>
        </w:rPr>
        <w:t xml:space="preserve">we </w:t>
      </w:r>
      <w:r w:rsidR="00E0291C">
        <w:rPr>
          <w:sz w:val="26"/>
          <w:szCs w:val="26"/>
        </w:rPr>
        <w:t xml:space="preserve">believe these </w:t>
      </w:r>
      <w:r w:rsidR="007C4971">
        <w:rPr>
          <w:sz w:val="26"/>
          <w:szCs w:val="26"/>
        </w:rPr>
        <w:t xml:space="preserve">adverse impacts </w:t>
      </w:r>
      <w:r w:rsidR="00E0291C">
        <w:rPr>
          <w:sz w:val="26"/>
          <w:szCs w:val="26"/>
        </w:rPr>
        <w:t>sh</w:t>
      </w:r>
      <w:r w:rsidR="004716B3">
        <w:rPr>
          <w:sz w:val="26"/>
          <w:szCs w:val="26"/>
        </w:rPr>
        <w:t xml:space="preserve">ould be </w:t>
      </w:r>
      <w:r w:rsidR="00D70775">
        <w:rPr>
          <w:sz w:val="26"/>
          <w:szCs w:val="26"/>
        </w:rPr>
        <w:t>effectively addressed by</w:t>
      </w:r>
      <w:r w:rsidR="004716B3">
        <w:rPr>
          <w:sz w:val="26"/>
          <w:szCs w:val="26"/>
        </w:rPr>
        <w:t xml:space="preserve"> other means</w:t>
      </w:r>
      <w:r w:rsidR="00D70775">
        <w:rPr>
          <w:sz w:val="26"/>
          <w:szCs w:val="26"/>
        </w:rPr>
        <w:t>,</w:t>
      </w:r>
      <w:r w:rsidR="004716B3">
        <w:rPr>
          <w:sz w:val="26"/>
          <w:szCs w:val="26"/>
        </w:rPr>
        <w:t xml:space="preserve"> including but not limited to</w:t>
      </w:r>
      <w:r w:rsidR="006A4921">
        <w:rPr>
          <w:sz w:val="26"/>
          <w:szCs w:val="26"/>
        </w:rPr>
        <w:t xml:space="preserve"> consumer education programs, Customer Assistance Programs, and LIHEAP.</w:t>
      </w:r>
      <w:r w:rsidR="00E0291C">
        <w:rPr>
          <w:sz w:val="26"/>
          <w:szCs w:val="26"/>
        </w:rPr>
        <w:t xml:space="preserve">  </w:t>
      </w:r>
      <w:r w:rsidR="006A4921">
        <w:rPr>
          <w:sz w:val="26"/>
          <w:szCs w:val="26"/>
        </w:rPr>
        <w:t xml:space="preserve"> </w:t>
      </w:r>
      <w:r w:rsidR="00D70775">
        <w:rPr>
          <w:sz w:val="26"/>
          <w:szCs w:val="26"/>
        </w:rPr>
        <w:t xml:space="preserve">  </w:t>
      </w:r>
    </w:p>
    <w:p w:rsidR="004716B3" w:rsidRDefault="004716B3" w:rsidP="004716B3">
      <w:pPr>
        <w:spacing w:line="360" w:lineRule="auto"/>
        <w:ind w:firstLine="1440"/>
        <w:rPr>
          <w:sz w:val="26"/>
          <w:szCs w:val="26"/>
        </w:rPr>
      </w:pPr>
    </w:p>
    <w:p w:rsidR="007D018F" w:rsidRPr="007D018F" w:rsidRDefault="00512F82" w:rsidP="007D018F">
      <w:pPr>
        <w:pStyle w:val="Heading3"/>
      </w:pPr>
      <w:bookmarkStart w:id="57" w:name="_Toc259798218"/>
      <w:bookmarkStart w:id="58" w:name="_Toc263848850"/>
      <w:r>
        <w:t>4.</w:t>
      </w:r>
      <w:r>
        <w:tab/>
        <w:t>Sub-Hourly M</w:t>
      </w:r>
      <w:r w:rsidR="007D018F">
        <w:t>etering</w:t>
      </w:r>
      <w:bookmarkEnd w:id="57"/>
      <w:bookmarkEnd w:id="58"/>
    </w:p>
    <w:p w:rsidR="007D018F" w:rsidRPr="007D018F" w:rsidRDefault="007D018F" w:rsidP="007D018F">
      <w:pPr>
        <w:spacing w:line="360" w:lineRule="auto"/>
        <w:rPr>
          <w:sz w:val="26"/>
          <w:szCs w:val="26"/>
        </w:rPr>
      </w:pPr>
    </w:p>
    <w:p w:rsidR="007D018F" w:rsidRPr="007D018F" w:rsidRDefault="007D018F" w:rsidP="007D018F">
      <w:pPr>
        <w:spacing w:line="360" w:lineRule="auto"/>
        <w:ind w:firstLine="1440"/>
        <w:rPr>
          <w:color w:val="000000"/>
          <w:sz w:val="26"/>
          <w:szCs w:val="26"/>
        </w:rPr>
      </w:pPr>
      <w:r w:rsidRPr="007D018F">
        <w:rPr>
          <w:color w:val="000000"/>
          <w:sz w:val="26"/>
          <w:szCs w:val="26"/>
        </w:rPr>
        <w:t xml:space="preserve">The </w:t>
      </w:r>
      <w:r w:rsidRPr="00DD126B">
        <w:rPr>
          <w:i/>
          <w:color w:val="000000"/>
          <w:sz w:val="26"/>
          <w:szCs w:val="26"/>
        </w:rPr>
        <w:t>Implementation Order</w:t>
      </w:r>
      <w:r w:rsidRPr="007D018F">
        <w:rPr>
          <w:color w:val="000000"/>
          <w:sz w:val="26"/>
          <w:szCs w:val="26"/>
        </w:rPr>
        <w:t xml:space="preserve"> requires parties to address the ability to provide hourly </w:t>
      </w:r>
      <w:r w:rsidRPr="00816D81">
        <w:rPr>
          <w:i/>
          <w:color w:val="000000"/>
          <w:sz w:val="26"/>
          <w:szCs w:val="26"/>
        </w:rPr>
        <w:t>or more frequent</w:t>
      </w:r>
      <w:r w:rsidRPr="007D018F">
        <w:rPr>
          <w:color w:val="000000"/>
          <w:sz w:val="26"/>
          <w:szCs w:val="26"/>
        </w:rPr>
        <w:t xml:space="preserve"> energy usage data.  </w:t>
      </w:r>
      <w:r w:rsidR="00DD126B" w:rsidRPr="00DD126B">
        <w:rPr>
          <w:i/>
          <w:color w:val="000000"/>
          <w:sz w:val="26"/>
          <w:szCs w:val="26"/>
        </w:rPr>
        <w:t>Implementation Order</w:t>
      </w:r>
      <w:r w:rsidR="00DD126B">
        <w:rPr>
          <w:color w:val="000000"/>
          <w:sz w:val="26"/>
          <w:szCs w:val="26"/>
        </w:rPr>
        <w:t xml:space="preserve"> at 16.  </w:t>
      </w:r>
      <w:r w:rsidRPr="007D018F">
        <w:rPr>
          <w:color w:val="000000"/>
          <w:sz w:val="26"/>
          <w:szCs w:val="26"/>
        </w:rPr>
        <w:t>In this proceedin</w:t>
      </w:r>
      <w:r w:rsidR="00E30121">
        <w:rPr>
          <w:color w:val="000000"/>
          <w:sz w:val="26"/>
          <w:szCs w:val="26"/>
        </w:rPr>
        <w:t>g, the P</w:t>
      </w:r>
      <w:r w:rsidR="008E4F4F">
        <w:rPr>
          <w:color w:val="000000"/>
          <w:sz w:val="26"/>
          <w:szCs w:val="26"/>
        </w:rPr>
        <w:t>arties only addressed fifteen</w:t>
      </w:r>
      <w:r w:rsidRPr="007D018F">
        <w:rPr>
          <w:color w:val="000000"/>
          <w:sz w:val="26"/>
          <w:szCs w:val="26"/>
        </w:rPr>
        <w:t>-minute sub-hourly metering.  While energy markets only require information on hourly usage, these requirements may not be responsive to the</w:t>
      </w:r>
      <w:r w:rsidR="00DD126B">
        <w:rPr>
          <w:color w:val="000000"/>
          <w:sz w:val="26"/>
          <w:szCs w:val="26"/>
        </w:rPr>
        <w:t xml:space="preserve"> regional transmission organization </w:t>
      </w:r>
      <w:r w:rsidRPr="007D018F">
        <w:rPr>
          <w:color w:val="000000"/>
          <w:sz w:val="26"/>
          <w:szCs w:val="26"/>
        </w:rPr>
        <w:t xml:space="preserve">requirements of </w:t>
      </w:r>
      <w:r w:rsidRPr="00816D81">
        <w:rPr>
          <w:i/>
          <w:color w:val="000000"/>
          <w:sz w:val="26"/>
          <w:szCs w:val="26"/>
        </w:rPr>
        <w:t>ancillary</w:t>
      </w:r>
      <w:r w:rsidR="00634A68">
        <w:rPr>
          <w:color w:val="000000"/>
          <w:sz w:val="26"/>
          <w:szCs w:val="26"/>
        </w:rPr>
        <w:t xml:space="preserve"> services.  Therefore, the P</w:t>
      </w:r>
      <w:r w:rsidRPr="007D018F">
        <w:rPr>
          <w:color w:val="000000"/>
          <w:sz w:val="26"/>
          <w:szCs w:val="26"/>
        </w:rPr>
        <w:t>arties are asked to address the need, ability, and cost</w:t>
      </w:r>
      <w:r w:rsidR="00DD126B">
        <w:rPr>
          <w:color w:val="000000"/>
          <w:sz w:val="26"/>
          <w:szCs w:val="26"/>
        </w:rPr>
        <w:t xml:space="preserve"> for sub-hourly </w:t>
      </w:r>
      <w:r w:rsidR="00DD126B">
        <w:rPr>
          <w:color w:val="000000"/>
          <w:sz w:val="26"/>
          <w:szCs w:val="26"/>
        </w:rPr>
        <w:lastRenderedPageBreak/>
        <w:t>metering.  The P</w:t>
      </w:r>
      <w:r w:rsidRPr="007D018F">
        <w:rPr>
          <w:color w:val="000000"/>
          <w:sz w:val="26"/>
          <w:szCs w:val="26"/>
        </w:rPr>
        <w:t xml:space="preserve">arties should address the following issues for residential, small </w:t>
      </w:r>
      <w:r w:rsidR="00DD126B">
        <w:rPr>
          <w:color w:val="000000"/>
          <w:sz w:val="26"/>
          <w:szCs w:val="26"/>
        </w:rPr>
        <w:t xml:space="preserve">commercial and industrial </w:t>
      </w:r>
      <w:r w:rsidRPr="007D018F">
        <w:rPr>
          <w:color w:val="000000"/>
          <w:sz w:val="26"/>
          <w:szCs w:val="26"/>
        </w:rPr>
        <w:t xml:space="preserve">and large </w:t>
      </w:r>
      <w:r w:rsidR="00DD126B">
        <w:rPr>
          <w:color w:val="000000"/>
          <w:sz w:val="26"/>
          <w:szCs w:val="26"/>
        </w:rPr>
        <w:t xml:space="preserve">commercial and industrial </w:t>
      </w:r>
      <w:r w:rsidRPr="007D018F">
        <w:rPr>
          <w:color w:val="000000"/>
          <w:sz w:val="26"/>
          <w:szCs w:val="26"/>
        </w:rPr>
        <w:t>customers:</w:t>
      </w:r>
    </w:p>
    <w:p w:rsidR="007D018F" w:rsidRPr="007D018F" w:rsidRDefault="007D018F" w:rsidP="007D018F">
      <w:pPr>
        <w:spacing w:line="360" w:lineRule="auto"/>
        <w:rPr>
          <w:color w:val="000000"/>
          <w:sz w:val="26"/>
          <w:szCs w:val="26"/>
        </w:rPr>
      </w:pPr>
    </w:p>
    <w:p w:rsidR="007D018F" w:rsidRPr="007D018F" w:rsidRDefault="00DD126B" w:rsidP="00DD126B">
      <w:pPr>
        <w:numPr>
          <w:ilvl w:val="0"/>
          <w:numId w:val="25"/>
        </w:numPr>
        <w:ind w:left="1440" w:right="1440" w:hanging="720"/>
        <w:rPr>
          <w:sz w:val="26"/>
          <w:szCs w:val="26"/>
        </w:rPr>
      </w:pPr>
      <w:r>
        <w:rPr>
          <w:sz w:val="26"/>
          <w:szCs w:val="26"/>
        </w:rPr>
        <w:t>What are the capabilities</w:t>
      </w:r>
      <w:r w:rsidR="007D018F" w:rsidRPr="007D018F">
        <w:rPr>
          <w:sz w:val="26"/>
          <w:szCs w:val="26"/>
        </w:rPr>
        <w:t xml:space="preserve"> and limitations of proposed smart meters to measure and record sub-hourly usage?</w:t>
      </w:r>
    </w:p>
    <w:p w:rsidR="007D018F" w:rsidRPr="007D018F" w:rsidRDefault="00DD126B" w:rsidP="00DD126B">
      <w:pPr>
        <w:numPr>
          <w:ilvl w:val="0"/>
          <w:numId w:val="25"/>
        </w:numPr>
        <w:ind w:left="1440" w:right="1440" w:hanging="720"/>
        <w:rPr>
          <w:sz w:val="26"/>
          <w:szCs w:val="26"/>
        </w:rPr>
      </w:pPr>
      <w:r>
        <w:rPr>
          <w:sz w:val="26"/>
          <w:szCs w:val="26"/>
        </w:rPr>
        <w:t>What are the capabilities</w:t>
      </w:r>
      <w:r w:rsidR="007D018F" w:rsidRPr="007D018F">
        <w:rPr>
          <w:sz w:val="26"/>
          <w:szCs w:val="26"/>
        </w:rPr>
        <w:t xml:space="preserve"> and limitations of proposed smart meter communication and data storag</w:t>
      </w:r>
      <w:r>
        <w:rPr>
          <w:sz w:val="26"/>
          <w:szCs w:val="26"/>
        </w:rPr>
        <w:t>e systems to transmit and stor</w:t>
      </w:r>
      <w:r w:rsidR="007D018F" w:rsidRPr="007D018F">
        <w:rPr>
          <w:sz w:val="26"/>
          <w:szCs w:val="26"/>
        </w:rPr>
        <w:t>e sub-hourly usage information?</w:t>
      </w:r>
    </w:p>
    <w:p w:rsidR="007D018F" w:rsidRPr="007D018F" w:rsidRDefault="007D018F" w:rsidP="00DD126B">
      <w:pPr>
        <w:numPr>
          <w:ilvl w:val="0"/>
          <w:numId w:val="25"/>
        </w:numPr>
        <w:ind w:left="1440" w:right="1440" w:hanging="720"/>
        <w:rPr>
          <w:sz w:val="26"/>
          <w:szCs w:val="26"/>
        </w:rPr>
      </w:pPr>
      <w:r w:rsidRPr="007D018F">
        <w:rPr>
          <w:sz w:val="26"/>
          <w:szCs w:val="26"/>
        </w:rPr>
        <w:t>What are the sub-hourly PJM requirements for participation in ancillary service markets?</w:t>
      </w:r>
    </w:p>
    <w:p w:rsidR="007D018F" w:rsidRPr="007D018F" w:rsidRDefault="007D018F" w:rsidP="00DD126B">
      <w:pPr>
        <w:numPr>
          <w:ilvl w:val="0"/>
          <w:numId w:val="25"/>
        </w:numPr>
        <w:ind w:left="1440" w:right="1440" w:hanging="720"/>
        <w:rPr>
          <w:sz w:val="26"/>
          <w:szCs w:val="26"/>
        </w:rPr>
      </w:pPr>
      <w:r w:rsidRPr="007D018F">
        <w:rPr>
          <w:sz w:val="26"/>
          <w:szCs w:val="26"/>
        </w:rPr>
        <w:t>What are the Compan</w:t>
      </w:r>
      <w:r w:rsidR="00DD126B">
        <w:rPr>
          <w:sz w:val="26"/>
          <w:szCs w:val="26"/>
        </w:rPr>
        <w:t>ies’</w:t>
      </w:r>
      <w:r w:rsidRPr="007D018F">
        <w:rPr>
          <w:sz w:val="26"/>
          <w:szCs w:val="26"/>
        </w:rPr>
        <w:t xml:space="preserve"> incremental smart meter, communication, data storage, and data sharing costs associated with these sub-hourly requirements for ancillary services?</w:t>
      </w:r>
    </w:p>
    <w:p w:rsidR="007D018F" w:rsidRPr="007D018F" w:rsidRDefault="007D018F" w:rsidP="00DD126B">
      <w:pPr>
        <w:numPr>
          <w:ilvl w:val="0"/>
          <w:numId w:val="25"/>
        </w:numPr>
        <w:ind w:left="1440" w:right="1440" w:hanging="720"/>
        <w:rPr>
          <w:sz w:val="26"/>
          <w:szCs w:val="26"/>
        </w:rPr>
      </w:pPr>
      <w:r w:rsidRPr="007D018F">
        <w:rPr>
          <w:sz w:val="26"/>
          <w:szCs w:val="26"/>
        </w:rPr>
        <w:t xml:space="preserve">What are the incremental equipment and installation costs of pulse data recorders used to measure sub-hourly meter data?  </w:t>
      </w:r>
    </w:p>
    <w:p w:rsidR="007D018F" w:rsidRPr="007D018F" w:rsidRDefault="007D018F" w:rsidP="00DD126B">
      <w:pPr>
        <w:numPr>
          <w:ilvl w:val="0"/>
          <w:numId w:val="25"/>
        </w:numPr>
        <w:ind w:left="1440" w:right="1440" w:hanging="720"/>
        <w:rPr>
          <w:sz w:val="26"/>
          <w:szCs w:val="26"/>
        </w:rPr>
      </w:pPr>
      <w:r w:rsidRPr="007D018F">
        <w:rPr>
          <w:sz w:val="26"/>
          <w:szCs w:val="26"/>
        </w:rPr>
        <w:t>Is a pulse data recorder attached to the Compan</w:t>
      </w:r>
      <w:r w:rsidR="00DD126B">
        <w:rPr>
          <w:sz w:val="26"/>
          <w:szCs w:val="26"/>
        </w:rPr>
        <w:t>ies’</w:t>
      </w:r>
      <w:r w:rsidRPr="007D018F">
        <w:rPr>
          <w:sz w:val="26"/>
          <w:szCs w:val="26"/>
        </w:rPr>
        <w:t xml:space="preserve"> meter sufficiently accurate for use by PJM in its ancillary markets, or is redundant metering required to meet PJM standards?</w:t>
      </w:r>
    </w:p>
    <w:p w:rsidR="007D018F" w:rsidRPr="007D018F" w:rsidRDefault="007D018F" w:rsidP="00DD126B">
      <w:pPr>
        <w:numPr>
          <w:ilvl w:val="0"/>
          <w:numId w:val="25"/>
        </w:numPr>
        <w:ind w:left="1440" w:right="1440" w:hanging="720"/>
        <w:rPr>
          <w:sz w:val="26"/>
          <w:szCs w:val="26"/>
        </w:rPr>
      </w:pPr>
      <w:r w:rsidRPr="007D018F">
        <w:rPr>
          <w:sz w:val="26"/>
          <w:szCs w:val="26"/>
        </w:rPr>
        <w:t xml:space="preserve">What are the additional customer costs associated with (1) transferring pulse meter information from the meter to inside the customer’s premise, (2) processing this data into usable format, (3) communicating the data to a </w:t>
      </w:r>
      <w:r w:rsidR="00CF15C8">
        <w:rPr>
          <w:sz w:val="26"/>
          <w:szCs w:val="26"/>
        </w:rPr>
        <w:t xml:space="preserve">third </w:t>
      </w:r>
      <w:r w:rsidRPr="007D018F">
        <w:rPr>
          <w:sz w:val="26"/>
          <w:szCs w:val="26"/>
        </w:rPr>
        <w:t>party or PJM?</w:t>
      </w:r>
    </w:p>
    <w:p w:rsidR="007D018F" w:rsidRPr="007D018F" w:rsidRDefault="007D018F" w:rsidP="00DD126B">
      <w:pPr>
        <w:numPr>
          <w:ilvl w:val="0"/>
          <w:numId w:val="25"/>
        </w:numPr>
        <w:ind w:left="1440" w:right="1440" w:hanging="720"/>
        <w:rPr>
          <w:sz w:val="26"/>
          <w:szCs w:val="26"/>
        </w:rPr>
      </w:pPr>
      <w:r w:rsidRPr="007D018F">
        <w:rPr>
          <w:sz w:val="26"/>
          <w:szCs w:val="26"/>
        </w:rPr>
        <w:t>To the extent a customer requests sub-hourly data, what, if any</w:t>
      </w:r>
      <w:r w:rsidR="006801FC">
        <w:rPr>
          <w:sz w:val="26"/>
          <w:szCs w:val="26"/>
        </w:rPr>
        <w:t>,</w:t>
      </w:r>
      <w:r w:rsidRPr="007D018F">
        <w:rPr>
          <w:sz w:val="26"/>
          <w:szCs w:val="26"/>
        </w:rPr>
        <w:t xml:space="preserve"> cost recovery charge is appropriate.  For example, would it be appropriate to have a customer charge that varies with the level of sub-hourly metering requested, and, if so, what would those sub-hourly metering charges be?</w:t>
      </w:r>
    </w:p>
    <w:p w:rsidR="007D018F" w:rsidRPr="007D018F" w:rsidRDefault="007D018F" w:rsidP="007D018F">
      <w:pPr>
        <w:spacing w:line="360" w:lineRule="auto"/>
        <w:rPr>
          <w:sz w:val="26"/>
          <w:szCs w:val="26"/>
        </w:rPr>
      </w:pPr>
    </w:p>
    <w:p w:rsidR="007D018F" w:rsidRPr="007D018F" w:rsidRDefault="008E7252" w:rsidP="00CF15C8">
      <w:pPr>
        <w:spacing w:line="360" w:lineRule="auto"/>
        <w:ind w:firstLine="1440"/>
        <w:rPr>
          <w:sz w:val="26"/>
          <w:szCs w:val="26"/>
        </w:rPr>
      </w:pPr>
      <w:r>
        <w:rPr>
          <w:sz w:val="26"/>
          <w:szCs w:val="26"/>
        </w:rPr>
        <w:t>We direct t</w:t>
      </w:r>
      <w:r w:rsidR="007D018F" w:rsidRPr="007D018F">
        <w:rPr>
          <w:sz w:val="26"/>
          <w:szCs w:val="26"/>
        </w:rPr>
        <w:t xml:space="preserve">he Companies </w:t>
      </w:r>
      <w:r>
        <w:rPr>
          <w:sz w:val="26"/>
          <w:szCs w:val="26"/>
        </w:rPr>
        <w:t xml:space="preserve">to </w:t>
      </w:r>
      <w:r w:rsidR="007D018F" w:rsidRPr="007D018F">
        <w:rPr>
          <w:sz w:val="26"/>
          <w:szCs w:val="26"/>
        </w:rPr>
        <w:t xml:space="preserve">study these issues during the Assessment Period.  A </w:t>
      </w:r>
      <w:r w:rsidR="00F95B4E">
        <w:rPr>
          <w:sz w:val="26"/>
          <w:szCs w:val="26"/>
        </w:rPr>
        <w:t xml:space="preserve">stakeholder </w:t>
      </w:r>
      <w:r w:rsidR="007D018F" w:rsidRPr="007D018F">
        <w:rPr>
          <w:sz w:val="26"/>
          <w:szCs w:val="26"/>
        </w:rPr>
        <w:t>collaborative process sh</w:t>
      </w:r>
      <w:r w:rsidR="00DB57EA">
        <w:rPr>
          <w:sz w:val="26"/>
          <w:szCs w:val="26"/>
        </w:rPr>
        <w:t xml:space="preserve">all </w:t>
      </w:r>
      <w:r w:rsidR="007D018F" w:rsidRPr="007D018F">
        <w:rPr>
          <w:sz w:val="26"/>
          <w:szCs w:val="26"/>
        </w:rPr>
        <w:t xml:space="preserve">be used, </w:t>
      </w:r>
      <w:r w:rsidR="00F95B4E">
        <w:rPr>
          <w:sz w:val="26"/>
          <w:szCs w:val="26"/>
        </w:rPr>
        <w:t xml:space="preserve">which should include a broad array of participants (including but not limited to the Parties to this proceeding and EGSs) </w:t>
      </w:r>
      <w:r w:rsidR="007D018F" w:rsidRPr="007D018F">
        <w:rPr>
          <w:sz w:val="26"/>
          <w:szCs w:val="26"/>
        </w:rPr>
        <w:t>and the results sh</w:t>
      </w:r>
      <w:r w:rsidR="00DB57EA">
        <w:rPr>
          <w:sz w:val="26"/>
          <w:szCs w:val="26"/>
        </w:rPr>
        <w:t>all</w:t>
      </w:r>
      <w:r w:rsidR="007D018F" w:rsidRPr="007D018F">
        <w:rPr>
          <w:sz w:val="26"/>
          <w:szCs w:val="26"/>
        </w:rPr>
        <w:t xml:space="preserve"> be included in the </w:t>
      </w:r>
      <w:r w:rsidR="007F3E56">
        <w:rPr>
          <w:sz w:val="26"/>
          <w:szCs w:val="26"/>
        </w:rPr>
        <w:t>Deployment P</w:t>
      </w:r>
      <w:r w:rsidR="007D018F" w:rsidRPr="007D018F">
        <w:rPr>
          <w:sz w:val="26"/>
          <w:szCs w:val="26"/>
        </w:rPr>
        <w:t xml:space="preserve">lan filed with the Commission.  </w:t>
      </w:r>
      <w:r w:rsidR="00634A68">
        <w:rPr>
          <w:sz w:val="26"/>
          <w:szCs w:val="26"/>
        </w:rPr>
        <w:t>The Deployment Plan</w:t>
      </w:r>
      <w:r w:rsidR="007D018F" w:rsidRPr="007D018F">
        <w:rPr>
          <w:sz w:val="26"/>
          <w:szCs w:val="26"/>
        </w:rPr>
        <w:t xml:space="preserve"> sh</w:t>
      </w:r>
      <w:r w:rsidR="00DB57EA">
        <w:rPr>
          <w:sz w:val="26"/>
          <w:szCs w:val="26"/>
        </w:rPr>
        <w:t xml:space="preserve">all </w:t>
      </w:r>
      <w:r w:rsidR="00634A68">
        <w:rPr>
          <w:sz w:val="26"/>
          <w:szCs w:val="26"/>
        </w:rPr>
        <w:t xml:space="preserve">also </w:t>
      </w:r>
      <w:r w:rsidR="007D018F" w:rsidRPr="007D018F">
        <w:rPr>
          <w:sz w:val="26"/>
          <w:szCs w:val="26"/>
        </w:rPr>
        <w:t>provide a thorough cost/benefi</w:t>
      </w:r>
      <w:r w:rsidR="007F3E56">
        <w:rPr>
          <w:sz w:val="26"/>
          <w:szCs w:val="26"/>
        </w:rPr>
        <w:t>t analysis for review by the P</w:t>
      </w:r>
      <w:r w:rsidR="007D018F" w:rsidRPr="007D018F">
        <w:rPr>
          <w:sz w:val="26"/>
          <w:szCs w:val="26"/>
        </w:rPr>
        <w:t>arties</w:t>
      </w:r>
      <w:r w:rsidR="00511C05">
        <w:rPr>
          <w:sz w:val="26"/>
          <w:szCs w:val="26"/>
        </w:rPr>
        <w:t xml:space="preserve"> and the Commission</w:t>
      </w:r>
      <w:r w:rsidR="007D018F" w:rsidRPr="007D018F">
        <w:rPr>
          <w:sz w:val="26"/>
          <w:szCs w:val="26"/>
        </w:rPr>
        <w:t xml:space="preserve">.  </w:t>
      </w:r>
    </w:p>
    <w:p w:rsidR="002F5812" w:rsidRPr="00C94E5F" w:rsidRDefault="002F5812" w:rsidP="002F5812">
      <w:pPr>
        <w:spacing w:line="360" w:lineRule="auto"/>
        <w:ind w:firstLine="1440"/>
        <w:rPr>
          <w:sz w:val="26"/>
          <w:szCs w:val="26"/>
        </w:rPr>
      </w:pPr>
    </w:p>
    <w:p w:rsidR="003B6E03" w:rsidRDefault="003B6E03">
      <w:pPr>
        <w:spacing w:after="200" w:line="276" w:lineRule="auto"/>
        <w:rPr>
          <w:rFonts w:eastAsiaTheme="majorEastAsia" w:cstheme="majorBidi"/>
          <w:b/>
          <w:bCs/>
          <w:sz w:val="26"/>
          <w:szCs w:val="26"/>
        </w:rPr>
      </w:pPr>
      <w:bookmarkStart w:id="59" w:name="_Toc259798219"/>
      <w:r>
        <w:br w:type="page"/>
      </w:r>
    </w:p>
    <w:p w:rsidR="002F5812" w:rsidRPr="005F7DB5" w:rsidRDefault="002F5812" w:rsidP="00A117DD">
      <w:pPr>
        <w:pStyle w:val="Heading2"/>
      </w:pPr>
      <w:bookmarkStart w:id="60" w:name="_Toc263848851"/>
      <w:r w:rsidRPr="005F7DB5">
        <w:lastRenderedPageBreak/>
        <w:t>B.</w:t>
      </w:r>
      <w:r w:rsidRPr="005F7DB5">
        <w:tab/>
        <w:t>Cost Issues</w:t>
      </w:r>
      <w:bookmarkEnd w:id="59"/>
      <w:bookmarkEnd w:id="60"/>
    </w:p>
    <w:p w:rsidR="00A117DD" w:rsidRDefault="00A117DD" w:rsidP="002F5812">
      <w:pPr>
        <w:spacing w:line="360" w:lineRule="auto"/>
        <w:ind w:firstLine="1440"/>
        <w:rPr>
          <w:sz w:val="26"/>
          <w:szCs w:val="26"/>
        </w:rPr>
      </w:pPr>
    </w:p>
    <w:p w:rsidR="008E138D" w:rsidRDefault="0083425C" w:rsidP="002F5812">
      <w:pPr>
        <w:spacing w:line="360" w:lineRule="auto"/>
        <w:ind w:firstLine="1440"/>
        <w:rPr>
          <w:sz w:val="26"/>
          <w:szCs w:val="26"/>
        </w:rPr>
      </w:pPr>
      <w:r>
        <w:rPr>
          <w:sz w:val="26"/>
          <w:szCs w:val="26"/>
        </w:rPr>
        <w:t xml:space="preserve">Absent a cost recovery rider, </w:t>
      </w:r>
      <w:r w:rsidR="00B55DC4">
        <w:rPr>
          <w:sz w:val="26"/>
          <w:szCs w:val="26"/>
        </w:rPr>
        <w:t>FirstEnergy</w:t>
      </w:r>
      <w:r>
        <w:rPr>
          <w:sz w:val="26"/>
          <w:szCs w:val="26"/>
        </w:rPr>
        <w:t xml:space="preserve"> does not have a mechanism available to recover the costs associated with dev</w:t>
      </w:r>
      <w:r w:rsidR="007F2D42">
        <w:rPr>
          <w:sz w:val="26"/>
          <w:szCs w:val="26"/>
        </w:rPr>
        <w:t xml:space="preserve">eloping and implementing </w:t>
      </w:r>
      <w:r w:rsidR="00B55DC4">
        <w:rPr>
          <w:sz w:val="26"/>
          <w:szCs w:val="26"/>
        </w:rPr>
        <w:t>its S</w:t>
      </w:r>
      <w:r w:rsidR="007F2D42">
        <w:rPr>
          <w:sz w:val="26"/>
          <w:szCs w:val="26"/>
        </w:rPr>
        <w:t>mar</w:t>
      </w:r>
      <w:r>
        <w:rPr>
          <w:sz w:val="26"/>
          <w:szCs w:val="26"/>
        </w:rPr>
        <w:t xml:space="preserve">t </w:t>
      </w:r>
      <w:r w:rsidR="00B55DC4">
        <w:rPr>
          <w:sz w:val="26"/>
          <w:szCs w:val="26"/>
        </w:rPr>
        <w:t>M</w:t>
      </w:r>
      <w:r>
        <w:rPr>
          <w:sz w:val="26"/>
          <w:szCs w:val="26"/>
        </w:rPr>
        <w:t xml:space="preserve">eter </w:t>
      </w:r>
      <w:r w:rsidR="00B55DC4">
        <w:rPr>
          <w:sz w:val="26"/>
          <w:szCs w:val="26"/>
        </w:rPr>
        <w:t>P</w:t>
      </w:r>
      <w:r>
        <w:rPr>
          <w:sz w:val="26"/>
          <w:szCs w:val="26"/>
        </w:rPr>
        <w:t xml:space="preserve">lan.  The Companies are proposing to recover all reasonable and prudent costs incurred in connection with the Plan on a full and current basis through a reconcilable adjustment clause under 66 Pa. C.S. § </w:t>
      </w:r>
      <w:r w:rsidR="00F74DA1">
        <w:rPr>
          <w:sz w:val="26"/>
          <w:szCs w:val="26"/>
        </w:rPr>
        <w:t>1307.  Joint Petition at ¶ 29.</w:t>
      </w:r>
      <w:r>
        <w:rPr>
          <w:sz w:val="26"/>
          <w:szCs w:val="26"/>
        </w:rPr>
        <w:t xml:space="preserve"> </w:t>
      </w:r>
    </w:p>
    <w:p w:rsidR="008E138D" w:rsidRDefault="008E138D" w:rsidP="002F5812">
      <w:pPr>
        <w:spacing w:line="360" w:lineRule="auto"/>
        <w:ind w:firstLine="1440"/>
        <w:rPr>
          <w:sz w:val="26"/>
          <w:szCs w:val="26"/>
        </w:rPr>
      </w:pPr>
    </w:p>
    <w:p w:rsidR="0083425C" w:rsidRDefault="008E138D" w:rsidP="002F5812">
      <w:pPr>
        <w:spacing w:line="360" w:lineRule="auto"/>
        <w:ind w:firstLine="1440"/>
        <w:rPr>
          <w:sz w:val="26"/>
          <w:szCs w:val="26"/>
        </w:rPr>
      </w:pPr>
      <w:r>
        <w:rPr>
          <w:sz w:val="26"/>
          <w:szCs w:val="26"/>
        </w:rPr>
        <w:t xml:space="preserve">Although no Party addressed this point, we begin by noting </w:t>
      </w:r>
      <w:r w:rsidR="007F2D42">
        <w:rPr>
          <w:sz w:val="26"/>
          <w:szCs w:val="26"/>
        </w:rPr>
        <w:t>tha</w:t>
      </w:r>
      <w:r>
        <w:rPr>
          <w:sz w:val="26"/>
          <w:szCs w:val="26"/>
        </w:rPr>
        <w:t xml:space="preserve">t all </w:t>
      </w:r>
      <w:r w:rsidR="00E02B9B">
        <w:rPr>
          <w:sz w:val="26"/>
          <w:szCs w:val="26"/>
        </w:rPr>
        <w:t>P</w:t>
      </w:r>
      <w:r>
        <w:rPr>
          <w:sz w:val="26"/>
          <w:szCs w:val="26"/>
        </w:rPr>
        <w:t xml:space="preserve">lan costs, including both expense and capital items (net of tax) and </w:t>
      </w:r>
      <w:r w:rsidR="00E02B9B">
        <w:rPr>
          <w:sz w:val="26"/>
          <w:szCs w:val="26"/>
        </w:rPr>
        <w:t>revenues included in the Companies</w:t>
      </w:r>
      <w:r>
        <w:rPr>
          <w:sz w:val="26"/>
          <w:szCs w:val="26"/>
        </w:rPr>
        <w:t>’ smart meter revenues</w:t>
      </w:r>
      <w:r w:rsidR="00E02B9B">
        <w:rPr>
          <w:sz w:val="26"/>
          <w:szCs w:val="26"/>
        </w:rPr>
        <w:t>,</w:t>
      </w:r>
      <w:r>
        <w:rPr>
          <w:sz w:val="26"/>
          <w:szCs w:val="26"/>
        </w:rPr>
        <w:t xml:space="preserve"> will not be included in the revenue requirement used in future distribution base rate cases and will be subject to Commission review and audit.</w:t>
      </w:r>
      <w:r w:rsidR="0083425C">
        <w:rPr>
          <w:sz w:val="26"/>
          <w:szCs w:val="26"/>
        </w:rPr>
        <w:t xml:space="preserve">  </w:t>
      </w:r>
    </w:p>
    <w:p w:rsidR="0083425C" w:rsidRDefault="0083425C" w:rsidP="002F5812">
      <w:pPr>
        <w:spacing w:line="360" w:lineRule="auto"/>
        <w:ind w:firstLine="1440"/>
        <w:rPr>
          <w:sz w:val="26"/>
          <w:szCs w:val="26"/>
        </w:rPr>
      </w:pPr>
    </w:p>
    <w:p w:rsidR="002F5812" w:rsidRPr="005F7DB5" w:rsidRDefault="002F5812" w:rsidP="00A117DD">
      <w:pPr>
        <w:pStyle w:val="Heading3"/>
      </w:pPr>
      <w:bookmarkStart w:id="61" w:name="_Toc259798220"/>
      <w:bookmarkStart w:id="62" w:name="_Toc263848852"/>
      <w:r w:rsidRPr="005F7DB5">
        <w:t>1.</w:t>
      </w:r>
      <w:r w:rsidRPr="005F7DB5">
        <w:tab/>
      </w:r>
      <w:r w:rsidR="00A117DD">
        <w:t>Cost of Capital</w:t>
      </w:r>
      <w:bookmarkEnd w:id="61"/>
      <w:bookmarkEnd w:id="62"/>
      <w:r w:rsidRPr="005F7DB5">
        <w:t xml:space="preserve"> </w:t>
      </w:r>
    </w:p>
    <w:p w:rsidR="00A117DD" w:rsidRDefault="00A117DD" w:rsidP="002F5812">
      <w:pPr>
        <w:spacing w:line="360" w:lineRule="auto"/>
        <w:ind w:firstLine="1440"/>
        <w:rPr>
          <w:sz w:val="26"/>
          <w:szCs w:val="26"/>
        </w:rPr>
      </w:pPr>
    </w:p>
    <w:p w:rsidR="002F5812" w:rsidRDefault="00A117DD" w:rsidP="00A117DD">
      <w:pPr>
        <w:pStyle w:val="Heading4"/>
      </w:pPr>
      <w:bookmarkStart w:id="63" w:name="_Toc259798221"/>
      <w:bookmarkStart w:id="64" w:name="_Toc263848853"/>
      <w:r>
        <w:t>a</w:t>
      </w:r>
      <w:r w:rsidR="002F5812">
        <w:t>.</w:t>
      </w:r>
      <w:r>
        <w:tab/>
        <w:t>Capital Structure Ratios</w:t>
      </w:r>
      <w:bookmarkEnd w:id="63"/>
      <w:bookmarkEnd w:id="64"/>
    </w:p>
    <w:p w:rsidR="00A117DD" w:rsidRDefault="00A117DD" w:rsidP="002F5812">
      <w:pPr>
        <w:spacing w:line="360" w:lineRule="auto"/>
        <w:ind w:firstLine="1440"/>
        <w:rPr>
          <w:sz w:val="26"/>
          <w:szCs w:val="26"/>
        </w:rPr>
      </w:pPr>
    </w:p>
    <w:p w:rsidR="000A1EA0" w:rsidRDefault="000A1EA0" w:rsidP="002F5812">
      <w:pPr>
        <w:spacing w:line="360" w:lineRule="auto"/>
        <w:ind w:firstLine="1440"/>
        <w:rPr>
          <w:sz w:val="26"/>
          <w:szCs w:val="26"/>
        </w:rPr>
      </w:pPr>
      <w:r>
        <w:rPr>
          <w:sz w:val="26"/>
          <w:szCs w:val="26"/>
        </w:rPr>
        <w:t xml:space="preserve">The rate of return is calculated by determining the proportions of capital and the cost rate for each type of capital.  To calculate the rate of return, therefore, it is necessary to determine the capital structure, which is the proportion of long-term debt, preferred stock and common equity.  </w:t>
      </w:r>
    </w:p>
    <w:p w:rsidR="000A1EA0" w:rsidRDefault="000A1EA0" w:rsidP="002F5812">
      <w:pPr>
        <w:spacing w:line="360" w:lineRule="auto"/>
        <w:ind w:firstLine="1440"/>
        <w:rPr>
          <w:sz w:val="26"/>
          <w:szCs w:val="26"/>
        </w:rPr>
      </w:pPr>
    </w:p>
    <w:p w:rsidR="00EB3313" w:rsidRDefault="00EB3313" w:rsidP="00EB3313">
      <w:pPr>
        <w:pStyle w:val="Heading5"/>
      </w:pPr>
      <w:bookmarkStart w:id="65" w:name="_Toc263848854"/>
      <w:r>
        <w:t>1.</w:t>
      </w:r>
      <w:r>
        <w:tab/>
      </w:r>
      <w:r w:rsidR="00B55DC4">
        <w:t>FirstEnergy</w:t>
      </w:r>
      <w:r>
        <w:t>’s Plan</w:t>
      </w:r>
      <w:bookmarkEnd w:id="65"/>
    </w:p>
    <w:p w:rsidR="00EB3313" w:rsidRDefault="00EB3313" w:rsidP="00EB3313">
      <w:pPr>
        <w:spacing w:line="360" w:lineRule="auto"/>
        <w:ind w:firstLine="2160"/>
        <w:rPr>
          <w:sz w:val="26"/>
          <w:szCs w:val="26"/>
        </w:rPr>
      </w:pPr>
    </w:p>
    <w:p w:rsidR="002E5E4E" w:rsidRDefault="000D721A" w:rsidP="000D721A">
      <w:pPr>
        <w:spacing w:line="360" w:lineRule="auto"/>
        <w:ind w:firstLine="1440"/>
        <w:rPr>
          <w:sz w:val="26"/>
          <w:szCs w:val="26"/>
        </w:rPr>
      </w:pPr>
      <w:r>
        <w:rPr>
          <w:sz w:val="26"/>
          <w:szCs w:val="26"/>
        </w:rPr>
        <w:t>As stated in the Plan:</w:t>
      </w:r>
    </w:p>
    <w:p w:rsidR="000D721A" w:rsidRDefault="000D721A" w:rsidP="000D721A">
      <w:pPr>
        <w:ind w:firstLine="1440"/>
        <w:rPr>
          <w:sz w:val="26"/>
          <w:szCs w:val="26"/>
        </w:rPr>
      </w:pPr>
    </w:p>
    <w:p w:rsidR="000D721A" w:rsidRDefault="00F61F3D" w:rsidP="000D721A">
      <w:pPr>
        <w:ind w:left="1440" w:right="1440" w:firstLine="1440"/>
        <w:rPr>
          <w:sz w:val="26"/>
          <w:szCs w:val="26"/>
        </w:rPr>
      </w:pPr>
      <w:r>
        <w:rPr>
          <w:sz w:val="26"/>
          <w:szCs w:val="26"/>
        </w:rPr>
        <w:t xml:space="preserve">To recover the capital costs associated with the future deployment of smart meter technologies, the Companies are proposing that the capital structure be based upon Met-Ed’s and Penelec’s </w:t>
      </w:r>
      <w:r w:rsidR="007B0943">
        <w:rPr>
          <w:sz w:val="26"/>
          <w:szCs w:val="26"/>
        </w:rPr>
        <w:t xml:space="preserve">normalized capital structures of </w:t>
      </w:r>
      <w:r w:rsidR="007B0943">
        <w:rPr>
          <w:sz w:val="26"/>
          <w:szCs w:val="26"/>
        </w:rPr>
        <w:lastRenderedPageBreak/>
        <w:t xml:space="preserve">51% long-term debt and 49% common equity as determined in Met-Ed’s and Penelec’s most recent distribution base rate case proceeding by the Commission Order entered January 11, 2007 at Docket Nos. R-0061366 (Met-Ed) and </w:t>
      </w:r>
      <w:r w:rsidR="00AC43CA">
        <w:rPr>
          <w:sz w:val="26"/>
          <w:szCs w:val="26"/>
        </w:rPr>
        <w:br/>
      </w:r>
      <w:r w:rsidR="007B0943">
        <w:rPr>
          <w:sz w:val="26"/>
          <w:szCs w:val="26"/>
        </w:rPr>
        <w:t xml:space="preserve">R-00061367 (Penelec).  These capital ratios are also proposed to be applicable to Penn Power. </w:t>
      </w:r>
    </w:p>
    <w:p w:rsidR="002E5E4E" w:rsidRDefault="002E5E4E" w:rsidP="00EB3313">
      <w:pPr>
        <w:spacing w:line="360" w:lineRule="auto"/>
        <w:ind w:firstLine="2160"/>
        <w:rPr>
          <w:sz w:val="26"/>
          <w:szCs w:val="26"/>
        </w:rPr>
      </w:pPr>
    </w:p>
    <w:p w:rsidR="007B0943" w:rsidRDefault="007B0943" w:rsidP="007B0943">
      <w:pPr>
        <w:spacing w:line="360" w:lineRule="auto"/>
        <w:rPr>
          <w:sz w:val="26"/>
          <w:szCs w:val="26"/>
        </w:rPr>
      </w:pPr>
      <w:r>
        <w:rPr>
          <w:sz w:val="26"/>
          <w:szCs w:val="26"/>
        </w:rPr>
        <w:t>Plan at 22.</w:t>
      </w:r>
      <w:r w:rsidR="00BA2F56">
        <w:rPr>
          <w:sz w:val="26"/>
          <w:szCs w:val="26"/>
        </w:rPr>
        <w:t xml:space="preserve">  The capital structure of 51% long term debt and 49% common</w:t>
      </w:r>
      <w:r w:rsidR="00AC43CA">
        <w:rPr>
          <w:sz w:val="26"/>
          <w:szCs w:val="26"/>
        </w:rPr>
        <w:t xml:space="preserve"> equity would be used until </w:t>
      </w:r>
      <w:r w:rsidR="00BA2F56">
        <w:rPr>
          <w:sz w:val="26"/>
          <w:szCs w:val="26"/>
        </w:rPr>
        <w:t xml:space="preserve">an updated capital structure finding is made in a </w:t>
      </w:r>
      <w:r w:rsidR="00B55DC4">
        <w:rPr>
          <w:sz w:val="26"/>
          <w:szCs w:val="26"/>
        </w:rPr>
        <w:t>Met-Ed</w:t>
      </w:r>
      <w:r w:rsidR="00BA2F56">
        <w:rPr>
          <w:sz w:val="26"/>
          <w:szCs w:val="26"/>
        </w:rPr>
        <w:t xml:space="preserve">, Penelec or Penn Power base rate proceeding.  </w:t>
      </w:r>
      <w:r w:rsidR="00B55DC4">
        <w:rPr>
          <w:sz w:val="26"/>
          <w:szCs w:val="26"/>
        </w:rPr>
        <w:t>FirstEnergy</w:t>
      </w:r>
      <w:r w:rsidR="00BA2F56">
        <w:rPr>
          <w:sz w:val="26"/>
          <w:szCs w:val="26"/>
        </w:rPr>
        <w:t xml:space="preserve"> MB at 10. </w:t>
      </w:r>
    </w:p>
    <w:p w:rsidR="007B0943" w:rsidRDefault="007B0943" w:rsidP="007B0943">
      <w:pPr>
        <w:spacing w:line="360" w:lineRule="auto"/>
        <w:rPr>
          <w:sz w:val="26"/>
          <w:szCs w:val="26"/>
        </w:rPr>
      </w:pPr>
    </w:p>
    <w:p w:rsidR="007B0943" w:rsidRDefault="00E943E3" w:rsidP="007B0943">
      <w:pPr>
        <w:spacing w:line="360" w:lineRule="auto"/>
        <w:ind w:firstLine="1440"/>
        <w:rPr>
          <w:sz w:val="26"/>
          <w:szCs w:val="26"/>
        </w:rPr>
      </w:pPr>
      <w:r>
        <w:rPr>
          <w:sz w:val="26"/>
          <w:szCs w:val="26"/>
        </w:rPr>
        <w:t xml:space="preserve">The OTS argued that the Commission should not use a company-specific capital structure.  Instead, </w:t>
      </w:r>
      <w:r w:rsidR="000F07E5">
        <w:rPr>
          <w:sz w:val="26"/>
          <w:szCs w:val="26"/>
        </w:rPr>
        <w:t xml:space="preserve">the </w:t>
      </w:r>
      <w:r>
        <w:rPr>
          <w:sz w:val="26"/>
          <w:szCs w:val="26"/>
        </w:rPr>
        <w:t xml:space="preserve">OTS argued that the Commission should use a representative capital structure for all EDCs </w:t>
      </w:r>
      <w:r w:rsidR="0079045D">
        <w:rPr>
          <w:sz w:val="26"/>
          <w:szCs w:val="26"/>
        </w:rPr>
        <w:t xml:space="preserve">that are required to file a smart meter plan with the Commission.  This representative capital structure would be </w:t>
      </w:r>
      <w:r>
        <w:rPr>
          <w:sz w:val="26"/>
          <w:szCs w:val="26"/>
        </w:rPr>
        <w:t xml:space="preserve">based on </w:t>
      </w:r>
      <w:r w:rsidR="000A1EA0">
        <w:rPr>
          <w:sz w:val="26"/>
          <w:szCs w:val="26"/>
        </w:rPr>
        <w:t xml:space="preserve">a Commission-established barometer group </w:t>
      </w:r>
      <w:r w:rsidR="008A5D96">
        <w:rPr>
          <w:sz w:val="26"/>
          <w:szCs w:val="26"/>
        </w:rPr>
        <w:t xml:space="preserve">included in the Bureau of Fixed Utility Services’ </w:t>
      </w:r>
      <w:r w:rsidR="0079045D">
        <w:rPr>
          <w:sz w:val="26"/>
          <w:szCs w:val="26"/>
        </w:rPr>
        <w:t>Quarterly Earnings Report.</w:t>
      </w:r>
      <w:r w:rsidR="00AB0CE0">
        <w:rPr>
          <w:sz w:val="26"/>
          <w:szCs w:val="26"/>
        </w:rPr>
        <w:t xml:space="preserve">  OTS MB at 14.</w:t>
      </w:r>
      <w:r w:rsidR="0079045D">
        <w:rPr>
          <w:sz w:val="26"/>
          <w:szCs w:val="26"/>
        </w:rPr>
        <w:t xml:space="preserve">  </w:t>
      </w:r>
    </w:p>
    <w:p w:rsidR="002E5E4E" w:rsidRDefault="002E5E4E" w:rsidP="00EB3313">
      <w:pPr>
        <w:spacing w:line="360" w:lineRule="auto"/>
        <w:ind w:firstLine="2160"/>
        <w:rPr>
          <w:sz w:val="26"/>
          <w:szCs w:val="26"/>
        </w:rPr>
      </w:pPr>
    </w:p>
    <w:p w:rsidR="00EB3313" w:rsidRDefault="00EB3313" w:rsidP="00EB3313">
      <w:pPr>
        <w:pStyle w:val="Heading5"/>
      </w:pPr>
      <w:bookmarkStart w:id="66" w:name="_Toc263848855"/>
      <w:r>
        <w:t>2.</w:t>
      </w:r>
      <w:r>
        <w:tab/>
        <w:t>ALJ’s Recommendation</w:t>
      </w:r>
      <w:bookmarkEnd w:id="66"/>
    </w:p>
    <w:p w:rsidR="00EB3313" w:rsidRDefault="00EB3313" w:rsidP="00EB3313">
      <w:pPr>
        <w:spacing w:line="360" w:lineRule="auto"/>
        <w:ind w:firstLine="2160"/>
        <w:rPr>
          <w:sz w:val="26"/>
          <w:szCs w:val="26"/>
        </w:rPr>
      </w:pPr>
    </w:p>
    <w:p w:rsidR="00672B72" w:rsidRDefault="000F07E5" w:rsidP="00AB0CE0">
      <w:pPr>
        <w:spacing w:line="360" w:lineRule="auto"/>
        <w:ind w:firstLine="1440"/>
        <w:rPr>
          <w:sz w:val="26"/>
          <w:szCs w:val="26"/>
        </w:rPr>
      </w:pPr>
      <w:r>
        <w:rPr>
          <w:sz w:val="26"/>
          <w:szCs w:val="26"/>
        </w:rPr>
        <w:t xml:space="preserve">The ALJ </w:t>
      </w:r>
      <w:r w:rsidR="00342188">
        <w:rPr>
          <w:sz w:val="26"/>
          <w:szCs w:val="26"/>
        </w:rPr>
        <w:t xml:space="preserve">found that </w:t>
      </w:r>
      <w:r w:rsidR="00341159">
        <w:rPr>
          <w:sz w:val="26"/>
          <w:szCs w:val="26"/>
        </w:rPr>
        <w:t>the weighted cost of capital is meant to be EDC-specific.  As a result, she rejected the OTS’</w:t>
      </w:r>
      <w:r w:rsidR="00066031">
        <w:rPr>
          <w:sz w:val="26"/>
          <w:szCs w:val="26"/>
        </w:rPr>
        <w:t>s</w:t>
      </w:r>
      <w:r w:rsidR="00341159">
        <w:rPr>
          <w:sz w:val="26"/>
          <w:szCs w:val="26"/>
        </w:rPr>
        <w:t xml:space="preserve"> proposal to use a representative capital s</w:t>
      </w:r>
      <w:r w:rsidR="00955214">
        <w:rPr>
          <w:sz w:val="26"/>
          <w:szCs w:val="26"/>
        </w:rPr>
        <w:t xml:space="preserve">tructure.  She found that </w:t>
      </w:r>
      <w:r w:rsidR="00341159">
        <w:rPr>
          <w:sz w:val="26"/>
          <w:szCs w:val="26"/>
        </w:rPr>
        <w:t xml:space="preserve">the Companies’ proposal to use the capital structure approved by the Commission in the most recent base rate case of </w:t>
      </w:r>
      <w:r w:rsidR="00B55DC4">
        <w:rPr>
          <w:sz w:val="26"/>
          <w:szCs w:val="26"/>
        </w:rPr>
        <w:t>Met-Ed</w:t>
      </w:r>
      <w:r w:rsidR="00341159">
        <w:rPr>
          <w:sz w:val="26"/>
          <w:szCs w:val="26"/>
        </w:rPr>
        <w:t xml:space="preserve"> and Penelec</w:t>
      </w:r>
      <w:r w:rsidR="00955214">
        <w:rPr>
          <w:sz w:val="26"/>
          <w:szCs w:val="26"/>
        </w:rPr>
        <w:t xml:space="preserve"> is reasonable</w:t>
      </w:r>
      <w:r w:rsidR="00341159">
        <w:rPr>
          <w:sz w:val="26"/>
          <w:szCs w:val="26"/>
        </w:rPr>
        <w:t>.  I.D. at 33-36.</w:t>
      </w:r>
    </w:p>
    <w:p w:rsidR="00AB0CE0" w:rsidRDefault="000F07E5" w:rsidP="00AB0CE0">
      <w:pPr>
        <w:spacing w:line="360" w:lineRule="auto"/>
        <w:ind w:firstLine="1440"/>
        <w:rPr>
          <w:sz w:val="26"/>
          <w:szCs w:val="26"/>
        </w:rPr>
      </w:pPr>
      <w:r>
        <w:rPr>
          <w:sz w:val="26"/>
          <w:szCs w:val="26"/>
        </w:rPr>
        <w:t xml:space="preserve"> </w:t>
      </w:r>
    </w:p>
    <w:p w:rsidR="00EB3313" w:rsidRPr="00880CB7" w:rsidRDefault="00EB3313" w:rsidP="00EB3313">
      <w:pPr>
        <w:pStyle w:val="Heading5"/>
        <w:rPr>
          <w:szCs w:val="26"/>
        </w:rPr>
      </w:pPr>
      <w:bookmarkStart w:id="67" w:name="_Toc263848856"/>
      <w:r w:rsidRPr="00880CB7">
        <w:rPr>
          <w:szCs w:val="26"/>
        </w:rPr>
        <w:t>3.</w:t>
      </w:r>
      <w:r w:rsidRPr="00880CB7">
        <w:rPr>
          <w:szCs w:val="26"/>
        </w:rPr>
        <w:tab/>
        <w:t>Positions of the Parties</w:t>
      </w:r>
      <w:bookmarkEnd w:id="67"/>
    </w:p>
    <w:p w:rsidR="00EB3313" w:rsidRPr="00880CB7" w:rsidRDefault="00EB3313" w:rsidP="00F94FC6">
      <w:pPr>
        <w:spacing w:line="360" w:lineRule="auto"/>
        <w:rPr>
          <w:sz w:val="26"/>
          <w:szCs w:val="26"/>
        </w:rPr>
      </w:pPr>
    </w:p>
    <w:p w:rsidR="000C2B21" w:rsidRDefault="00F94FC6" w:rsidP="00F94FC6">
      <w:pPr>
        <w:spacing w:line="360" w:lineRule="auto"/>
        <w:ind w:firstLine="1440"/>
        <w:rPr>
          <w:sz w:val="26"/>
          <w:szCs w:val="26"/>
        </w:rPr>
      </w:pPr>
      <w:r>
        <w:rPr>
          <w:sz w:val="26"/>
          <w:szCs w:val="26"/>
        </w:rPr>
        <w:t>The OTS argues that the ALJ erred by rejecting its proposal for a representative capital structure for all EDCs based on a barometer g</w:t>
      </w:r>
      <w:r w:rsidR="008A5D96">
        <w:rPr>
          <w:sz w:val="26"/>
          <w:szCs w:val="26"/>
        </w:rPr>
        <w:t xml:space="preserve">roup included in the </w:t>
      </w:r>
      <w:r w:rsidR="008A5D96">
        <w:rPr>
          <w:sz w:val="26"/>
          <w:szCs w:val="26"/>
        </w:rPr>
        <w:lastRenderedPageBreak/>
        <w:t>Q</w:t>
      </w:r>
      <w:r>
        <w:rPr>
          <w:sz w:val="26"/>
          <w:szCs w:val="26"/>
        </w:rPr>
        <w:t xml:space="preserve">uarterly </w:t>
      </w:r>
      <w:r w:rsidR="008A5D96">
        <w:rPr>
          <w:sz w:val="26"/>
          <w:szCs w:val="26"/>
        </w:rPr>
        <w:t>E</w:t>
      </w:r>
      <w:r>
        <w:rPr>
          <w:sz w:val="26"/>
          <w:szCs w:val="26"/>
        </w:rPr>
        <w:t xml:space="preserve">arnings </w:t>
      </w:r>
      <w:r w:rsidR="008A5D96">
        <w:rPr>
          <w:sz w:val="26"/>
          <w:szCs w:val="26"/>
        </w:rPr>
        <w:t>R</w:t>
      </w:r>
      <w:r>
        <w:rPr>
          <w:sz w:val="26"/>
          <w:szCs w:val="26"/>
        </w:rPr>
        <w:t xml:space="preserve">eport.  </w:t>
      </w:r>
      <w:r w:rsidR="00267D1D">
        <w:rPr>
          <w:sz w:val="26"/>
          <w:szCs w:val="26"/>
        </w:rPr>
        <w:t xml:space="preserve">OTS Exc. at 13.  </w:t>
      </w:r>
      <w:r w:rsidR="00562F48">
        <w:rPr>
          <w:sz w:val="26"/>
          <w:szCs w:val="26"/>
        </w:rPr>
        <w:t>According to t</w:t>
      </w:r>
      <w:r w:rsidR="006960A0">
        <w:rPr>
          <w:sz w:val="26"/>
          <w:szCs w:val="26"/>
        </w:rPr>
        <w:t>he OTS</w:t>
      </w:r>
      <w:r w:rsidR="00562F48">
        <w:rPr>
          <w:sz w:val="26"/>
          <w:szCs w:val="26"/>
        </w:rPr>
        <w:t xml:space="preserve">, </w:t>
      </w:r>
      <w:r w:rsidR="006960A0">
        <w:rPr>
          <w:sz w:val="26"/>
          <w:szCs w:val="26"/>
        </w:rPr>
        <w:t xml:space="preserve">the </w:t>
      </w:r>
      <w:r w:rsidR="00562F48">
        <w:rPr>
          <w:sz w:val="26"/>
          <w:szCs w:val="26"/>
        </w:rPr>
        <w:t xml:space="preserve">ALJ </w:t>
      </w:r>
      <w:r w:rsidR="006960A0">
        <w:rPr>
          <w:sz w:val="26"/>
          <w:szCs w:val="26"/>
        </w:rPr>
        <w:t xml:space="preserve">correctly </w:t>
      </w:r>
      <w:r w:rsidR="00562F48">
        <w:rPr>
          <w:sz w:val="26"/>
          <w:szCs w:val="26"/>
        </w:rPr>
        <w:t xml:space="preserve">characterized </w:t>
      </w:r>
      <w:r w:rsidR="006960A0">
        <w:rPr>
          <w:sz w:val="26"/>
          <w:szCs w:val="26"/>
        </w:rPr>
        <w:t xml:space="preserve">the arguments </w:t>
      </w:r>
      <w:r w:rsidR="00562F48">
        <w:rPr>
          <w:sz w:val="26"/>
          <w:szCs w:val="26"/>
        </w:rPr>
        <w:t xml:space="preserve">that the OTS </w:t>
      </w:r>
      <w:r w:rsidR="006960A0">
        <w:rPr>
          <w:sz w:val="26"/>
          <w:szCs w:val="26"/>
        </w:rPr>
        <w:t xml:space="preserve">offered in its </w:t>
      </w:r>
      <w:r w:rsidR="00A7404A">
        <w:rPr>
          <w:sz w:val="26"/>
          <w:szCs w:val="26"/>
        </w:rPr>
        <w:t>M</w:t>
      </w:r>
      <w:r w:rsidR="00267D1D">
        <w:rPr>
          <w:sz w:val="26"/>
          <w:szCs w:val="26"/>
        </w:rPr>
        <w:t xml:space="preserve">ain </w:t>
      </w:r>
      <w:r w:rsidR="00A7404A">
        <w:rPr>
          <w:sz w:val="26"/>
          <w:szCs w:val="26"/>
        </w:rPr>
        <w:t>B</w:t>
      </w:r>
      <w:r w:rsidR="006960A0">
        <w:rPr>
          <w:sz w:val="26"/>
          <w:szCs w:val="26"/>
        </w:rPr>
        <w:t>rief</w:t>
      </w:r>
      <w:r w:rsidR="000C2B21">
        <w:rPr>
          <w:sz w:val="26"/>
          <w:szCs w:val="26"/>
        </w:rPr>
        <w:t xml:space="preserve"> by saying:</w:t>
      </w:r>
    </w:p>
    <w:p w:rsidR="000C2B21" w:rsidRDefault="000C2B21" w:rsidP="000C2B21">
      <w:pPr>
        <w:ind w:firstLine="1440"/>
        <w:rPr>
          <w:sz w:val="26"/>
          <w:szCs w:val="26"/>
        </w:rPr>
      </w:pPr>
    </w:p>
    <w:p w:rsidR="000C2B21" w:rsidRDefault="000C2B21" w:rsidP="000C2B21">
      <w:pPr>
        <w:ind w:left="1440" w:right="1440"/>
        <w:rPr>
          <w:sz w:val="26"/>
          <w:szCs w:val="26"/>
        </w:rPr>
      </w:pPr>
      <w:r>
        <w:rPr>
          <w:sz w:val="26"/>
          <w:szCs w:val="26"/>
        </w:rPr>
        <w:t>OTS believes that a representative capital structure is important for two reasons: (1) it will be based on the same barometer group that will be used to determine the appropriate cost rate of common equity, and thus match the financial risk associated with the corresponding cost rate of common equity, and (2) since some electric companies have capital structures that are not representative of the industry norm, using a representative capital structure will not advantage or disadvantage any EDC or its ratepayers.</w:t>
      </w:r>
    </w:p>
    <w:p w:rsidR="000C2B21" w:rsidRDefault="000C2B21" w:rsidP="000C2B21">
      <w:pPr>
        <w:ind w:left="1440" w:right="1440"/>
        <w:rPr>
          <w:sz w:val="26"/>
          <w:szCs w:val="26"/>
        </w:rPr>
      </w:pPr>
    </w:p>
    <w:p w:rsidR="0037211F" w:rsidRDefault="0037211F" w:rsidP="000C2B21">
      <w:pPr>
        <w:ind w:left="1440" w:right="1440"/>
        <w:rPr>
          <w:sz w:val="26"/>
          <w:szCs w:val="26"/>
        </w:rPr>
      </w:pPr>
    </w:p>
    <w:p w:rsidR="00880CB7" w:rsidRDefault="000C2B21" w:rsidP="000C2B21">
      <w:pPr>
        <w:spacing w:line="360" w:lineRule="auto"/>
        <w:rPr>
          <w:sz w:val="26"/>
          <w:szCs w:val="26"/>
        </w:rPr>
      </w:pPr>
      <w:r>
        <w:rPr>
          <w:sz w:val="26"/>
          <w:szCs w:val="26"/>
        </w:rPr>
        <w:t xml:space="preserve">I.D. at 14.  The OTS argues, however, that the ALJ </w:t>
      </w:r>
      <w:r w:rsidR="006960A0">
        <w:rPr>
          <w:sz w:val="26"/>
          <w:szCs w:val="26"/>
        </w:rPr>
        <w:t xml:space="preserve">failed to </w:t>
      </w:r>
      <w:r w:rsidR="00DE1772">
        <w:rPr>
          <w:sz w:val="26"/>
          <w:szCs w:val="26"/>
        </w:rPr>
        <w:t>address</w:t>
      </w:r>
      <w:r w:rsidR="00562F48">
        <w:rPr>
          <w:sz w:val="26"/>
          <w:szCs w:val="26"/>
        </w:rPr>
        <w:t xml:space="preserve"> </w:t>
      </w:r>
      <w:r w:rsidR="006960A0">
        <w:rPr>
          <w:sz w:val="26"/>
          <w:szCs w:val="26"/>
        </w:rPr>
        <w:t xml:space="preserve">the arguments </w:t>
      </w:r>
      <w:r w:rsidR="00562F48">
        <w:rPr>
          <w:sz w:val="26"/>
          <w:szCs w:val="26"/>
        </w:rPr>
        <w:t xml:space="preserve">that the </w:t>
      </w:r>
      <w:r w:rsidR="00A7404A">
        <w:rPr>
          <w:sz w:val="26"/>
          <w:szCs w:val="26"/>
        </w:rPr>
        <w:t>OTS offered in its Reply B</w:t>
      </w:r>
      <w:r w:rsidR="006960A0">
        <w:rPr>
          <w:sz w:val="26"/>
          <w:szCs w:val="26"/>
        </w:rPr>
        <w:t>rief.</w:t>
      </w:r>
      <w:r w:rsidR="00267D1D">
        <w:rPr>
          <w:sz w:val="26"/>
          <w:szCs w:val="26"/>
        </w:rPr>
        <w:t xml:space="preserve">  </w:t>
      </w:r>
      <w:r w:rsidR="00342188">
        <w:rPr>
          <w:sz w:val="26"/>
          <w:szCs w:val="26"/>
        </w:rPr>
        <w:t>These arguments responded to the Companies’ arguments</w:t>
      </w:r>
      <w:r w:rsidR="008A5D96">
        <w:rPr>
          <w:sz w:val="26"/>
          <w:szCs w:val="26"/>
        </w:rPr>
        <w:t xml:space="preserve">, which </w:t>
      </w:r>
      <w:r w:rsidR="00342188">
        <w:rPr>
          <w:sz w:val="26"/>
          <w:szCs w:val="26"/>
        </w:rPr>
        <w:t xml:space="preserve">the ALJ </w:t>
      </w:r>
      <w:r w:rsidR="00E17A59">
        <w:rPr>
          <w:sz w:val="26"/>
          <w:szCs w:val="26"/>
        </w:rPr>
        <w:t xml:space="preserve">apparently </w:t>
      </w:r>
      <w:r w:rsidR="00342188">
        <w:rPr>
          <w:sz w:val="26"/>
          <w:szCs w:val="26"/>
        </w:rPr>
        <w:t xml:space="preserve">found persuasive.   OTS Exc. at 14.  </w:t>
      </w:r>
    </w:p>
    <w:p w:rsidR="006960A0" w:rsidRDefault="006960A0" w:rsidP="00F94FC6">
      <w:pPr>
        <w:spacing w:line="360" w:lineRule="auto"/>
        <w:ind w:firstLine="1440"/>
        <w:rPr>
          <w:sz w:val="26"/>
          <w:szCs w:val="26"/>
        </w:rPr>
      </w:pPr>
    </w:p>
    <w:p w:rsidR="004009C5" w:rsidRDefault="00342188" w:rsidP="00DE37E2">
      <w:pPr>
        <w:spacing w:line="360" w:lineRule="auto"/>
        <w:ind w:firstLine="1440"/>
        <w:rPr>
          <w:sz w:val="26"/>
          <w:szCs w:val="26"/>
        </w:rPr>
      </w:pPr>
      <w:r>
        <w:rPr>
          <w:sz w:val="26"/>
          <w:szCs w:val="26"/>
        </w:rPr>
        <w:t xml:space="preserve">The ALJ </w:t>
      </w:r>
      <w:r w:rsidR="001B02BE">
        <w:rPr>
          <w:sz w:val="26"/>
          <w:szCs w:val="26"/>
        </w:rPr>
        <w:t xml:space="preserve">apparently </w:t>
      </w:r>
      <w:r>
        <w:rPr>
          <w:sz w:val="26"/>
          <w:szCs w:val="26"/>
        </w:rPr>
        <w:t xml:space="preserve">agreed with the Companies that </w:t>
      </w:r>
      <w:r w:rsidR="00DE1772">
        <w:rPr>
          <w:sz w:val="26"/>
          <w:szCs w:val="26"/>
        </w:rPr>
        <w:t xml:space="preserve">the </w:t>
      </w:r>
      <w:r w:rsidR="00DE1772">
        <w:rPr>
          <w:i/>
          <w:sz w:val="26"/>
          <w:szCs w:val="26"/>
        </w:rPr>
        <w:t xml:space="preserve">Implementation Order </w:t>
      </w:r>
      <w:r w:rsidR="001B02BE">
        <w:rPr>
          <w:sz w:val="26"/>
          <w:szCs w:val="26"/>
        </w:rPr>
        <w:t>indicates</w:t>
      </w:r>
      <w:r>
        <w:rPr>
          <w:sz w:val="26"/>
          <w:szCs w:val="26"/>
        </w:rPr>
        <w:t xml:space="preserve"> that </w:t>
      </w:r>
      <w:r w:rsidR="00E83A56">
        <w:rPr>
          <w:sz w:val="26"/>
          <w:szCs w:val="26"/>
        </w:rPr>
        <w:t xml:space="preserve">capital structure is to be company specific.  The </w:t>
      </w:r>
      <w:r w:rsidR="00E83A56">
        <w:rPr>
          <w:i/>
          <w:sz w:val="26"/>
          <w:szCs w:val="26"/>
        </w:rPr>
        <w:t xml:space="preserve">Implementation Order </w:t>
      </w:r>
      <w:r w:rsidR="008A5D96">
        <w:rPr>
          <w:sz w:val="26"/>
          <w:szCs w:val="26"/>
        </w:rPr>
        <w:t>states</w:t>
      </w:r>
      <w:r w:rsidR="000E03BB">
        <w:rPr>
          <w:sz w:val="26"/>
          <w:szCs w:val="26"/>
        </w:rPr>
        <w:t>:</w:t>
      </w:r>
    </w:p>
    <w:p w:rsidR="000E03BB" w:rsidRDefault="000E03BB" w:rsidP="00CC5221">
      <w:pPr>
        <w:ind w:firstLine="1440"/>
        <w:rPr>
          <w:sz w:val="26"/>
          <w:szCs w:val="26"/>
        </w:rPr>
      </w:pPr>
    </w:p>
    <w:p w:rsidR="000E03BB" w:rsidRPr="00920883" w:rsidRDefault="000E03BB" w:rsidP="000E03BB">
      <w:pPr>
        <w:ind w:left="1440" w:right="1440" w:firstLine="720"/>
        <w:rPr>
          <w:sz w:val="26"/>
        </w:rPr>
      </w:pPr>
      <w:r w:rsidRPr="00920883">
        <w:rPr>
          <w:sz w:val="26"/>
        </w:rPr>
        <w:t xml:space="preserve">Act 129 allows an EDC to recover “all reasonable and prudent costs of providing smart meter technology.”  In order to determine what these costs are, each EDC will </w:t>
      </w:r>
      <w:r>
        <w:rPr>
          <w:sz w:val="26"/>
        </w:rPr>
        <w:t xml:space="preserve">document </w:t>
      </w:r>
      <w:r w:rsidRPr="00920883">
        <w:rPr>
          <w:sz w:val="26"/>
        </w:rPr>
        <w:t xml:space="preserve">all costs relating to its smart meter deployment and installation plan.  These costs will include both capital and expense items relating to all plan elements, equipment and facilities, as well as an analysis of all related administrative costs. </w:t>
      </w:r>
      <w:r>
        <w:rPr>
          <w:sz w:val="26"/>
        </w:rPr>
        <w:t xml:space="preserve"> </w:t>
      </w:r>
      <w:r w:rsidRPr="00920883">
        <w:rPr>
          <w:sz w:val="26"/>
        </w:rPr>
        <w:t xml:space="preserve">More specifically, these costs would include, but not be limited to, capital expenditures for any equipment and facilities that may be required to implement the smart meter plan, as well as depreciation, operating and maintenance expenses, </w:t>
      </w:r>
      <w:r w:rsidRPr="00CF4744">
        <w:rPr>
          <w:i/>
          <w:sz w:val="26"/>
        </w:rPr>
        <w:t>a return component based on the EDC’s</w:t>
      </w:r>
      <w:r w:rsidRPr="000E03BB">
        <w:rPr>
          <w:i/>
          <w:sz w:val="26"/>
        </w:rPr>
        <w:t xml:space="preserve"> weighted cost of capital</w:t>
      </w:r>
      <w:r w:rsidRPr="00920883">
        <w:rPr>
          <w:sz w:val="26"/>
        </w:rPr>
        <w:t xml:space="preserve">, and taxes. </w:t>
      </w:r>
      <w:r>
        <w:rPr>
          <w:sz w:val="26"/>
        </w:rPr>
        <w:t xml:space="preserve"> </w:t>
      </w:r>
      <w:r w:rsidRPr="00920883">
        <w:rPr>
          <w:sz w:val="26"/>
        </w:rPr>
        <w:t xml:space="preserve">Administrative costs would include, but not be limited to, </w:t>
      </w:r>
      <w:r>
        <w:rPr>
          <w:sz w:val="26"/>
        </w:rPr>
        <w:t xml:space="preserve">incremental </w:t>
      </w:r>
      <w:r w:rsidRPr="00920883">
        <w:rPr>
          <w:sz w:val="26"/>
        </w:rPr>
        <w:t xml:space="preserve">costs relating to plan development, cost analysis, </w:t>
      </w:r>
      <w:r>
        <w:rPr>
          <w:sz w:val="26"/>
        </w:rPr>
        <w:t xml:space="preserve">measurement and verification, </w:t>
      </w:r>
      <w:r w:rsidRPr="00920883">
        <w:rPr>
          <w:sz w:val="26"/>
        </w:rPr>
        <w:t xml:space="preserve">and reporting.  In addition, the plan should </w:t>
      </w:r>
      <w:r w:rsidRPr="00920883">
        <w:rPr>
          <w:sz w:val="26"/>
        </w:rPr>
        <w:lastRenderedPageBreak/>
        <w:t>include cost estimates for testing, upgrades, maintenance and personnel training.  The EDC must also provide sufficient support to demonstrate that all such costs are reasonable and prudent with respect to its smart meter plan.</w:t>
      </w:r>
      <w:r>
        <w:rPr>
          <w:sz w:val="26"/>
        </w:rPr>
        <w:t xml:space="preserve">  Consistent with Section 315(a), the burden of proof shall be on the EDC.  66 Pa.C.S. § 315(a).</w:t>
      </w:r>
    </w:p>
    <w:p w:rsidR="000E03BB" w:rsidRPr="00E83A56" w:rsidRDefault="000E03BB" w:rsidP="00DE37E2">
      <w:pPr>
        <w:spacing w:line="360" w:lineRule="auto"/>
        <w:ind w:firstLine="1440"/>
        <w:rPr>
          <w:sz w:val="26"/>
          <w:szCs w:val="26"/>
        </w:rPr>
      </w:pPr>
    </w:p>
    <w:p w:rsidR="00F94FC6" w:rsidRPr="000E03BB" w:rsidRDefault="000E03BB" w:rsidP="00F94FC6">
      <w:pPr>
        <w:spacing w:line="360" w:lineRule="auto"/>
        <w:rPr>
          <w:sz w:val="26"/>
          <w:szCs w:val="26"/>
        </w:rPr>
      </w:pPr>
      <w:r>
        <w:rPr>
          <w:i/>
          <w:sz w:val="26"/>
          <w:szCs w:val="26"/>
        </w:rPr>
        <w:t>Implementation Order</w:t>
      </w:r>
      <w:r>
        <w:rPr>
          <w:sz w:val="26"/>
          <w:szCs w:val="26"/>
        </w:rPr>
        <w:t xml:space="preserve"> at 29 (emphasis added).  The OTS contends that the </w:t>
      </w:r>
      <w:r w:rsidR="00A20049">
        <w:rPr>
          <w:sz w:val="26"/>
          <w:szCs w:val="26"/>
        </w:rPr>
        <w:t xml:space="preserve">ALJ gave undue importance to the use of the word “the” in the </w:t>
      </w:r>
      <w:r>
        <w:rPr>
          <w:sz w:val="26"/>
          <w:szCs w:val="26"/>
        </w:rPr>
        <w:t xml:space="preserve">italicized portion of the </w:t>
      </w:r>
      <w:r w:rsidR="004734DC">
        <w:rPr>
          <w:sz w:val="26"/>
          <w:szCs w:val="26"/>
        </w:rPr>
        <w:t xml:space="preserve">above </w:t>
      </w:r>
      <w:r>
        <w:rPr>
          <w:sz w:val="26"/>
          <w:szCs w:val="26"/>
        </w:rPr>
        <w:t>quotation</w:t>
      </w:r>
      <w:r w:rsidR="00A20049">
        <w:rPr>
          <w:sz w:val="26"/>
          <w:szCs w:val="26"/>
        </w:rPr>
        <w:t xml:space="preserve">.  The OTS argues that the </w:t>
      </w:r>
      <w:r w:rsidR="0007290E">
        <w:rPr>
          <w:sz w:val="26"/>
          <w:szCs w:val="26"/>
        </w:rPr>
        <w:t>Commission was simply referring to an EDC in the singular</w:t>
      </w:r>
      <w:r w:rsidR="00A20049">
        <w:rPr>
          <w:sz w:val="26"/>
          <w:szCs w:val="26"/>
        </w:rPr>
        <w:t xml:space="preserve"> and did not intend to </w:t>
      </w:r>
      <w:r w:rsidR="00DB02D1">
        <w:rPr>
          <w:sz w:val="26"/>
          <w:szCs w:val="26"/>
        </w:rPr>
        <w:t>limit the legal interpretation of its Order by using the expression “the</w:t>
      </w:r>
      <w:r w:rsidR="00751F02">
        <w:rPr>
          <w:sz w:val="26"/>
          <w:szCs w:val="26"/>
        </w:rPr>
        <w:t>”</w:t>
      </w:r>
      <w:r w:rsidR="00DB02D1">
        <w:rPr>
          <w:sz w:val="26"/>
          <w:szCs w:val="26"/>
        </w:rPr>
        <w:t xml:space="preserve"> EDC</w:t>
      </w:r>
      <w:r w:rsidR="00F5424D">
        <w:rPr>
          <w:sz w:val="26"/>
          <w:szCs w:val="26"/>
        </w:rPr>
        <w:t>.</w:t>
      </w:r>
      <w:r w:rsidR="00DB02D1">
        <w:rPr>
          <w:sz w:val="26"/>
          <w:szCs w:val="26"/>
        </w:rPr>
        <w:t xml:space="preserve">  OTS Exc. at 16; OTS RB at 13.</w:t>
      </w:r>
      <w:r w:rsidR="004734DC">
        <w:rPr>
          <w:sz w:val="26"/>
          <w:szCs w:val="26"/>
        </w:rPr>
        <w:t xml:space="preserve"> </w:t>
      </w:r>
    </w:p>
    <w:p w:rsidR="000E03BB" w:rsidRDefault="000E03BB" w:rsidP="00F94FC6">
      <w:pPr>
        <w:spacing w:line="360" w:lineRule="auto"/>
        <w:rPr>
          <w:sz w:val="26"/>
          <w:szCs w:val="26"/>
        </w:rPr>
      </w:pPr>
    </w:p>
    <w:p w:rsidR="00751F02" w:rsidRDefault="00E17A59" w:rsidP="00751F02">
      <w:pPr>
        <w:spacing w:line="360" w:lineRule="auto"/>
        <w:ind w:firstLine="1440"/>
        <w:rPr>
          <w:sz w:val="26"/>
          <w:szCs w:val="26"/>
        </w:rPr>
      </w:pPr>
      <w:r>
        <w:rPr>
          <w:sz w:val="26"/>
          <w:szCs w:val="26"/>
        </w:rPr>
        <w:t xml:space="preserve">The ALJ also apparently agreed with the Companies’ argument that a representative capital structure should not be used because that approach would ensure that some EDCs over-recover their capital costs while other EDCs under-recover theirs.  </w:t>
      </w:r>
      <w:r w:rsidR="00DA1665">
        <w:rPr>
          <w:sz w:val="26"/>
          <w:szCs w:val="26"/>
        </w:rPr>
        <w:t>I.D. at 36.  The OTS responds that some EDCs have capital structures that are not representative of the industry norm.  Adoption of the OTS recommendation presents the Commission with the opportunity to apply a uniform structure that is more representative.  OTS Exc. at 16; OTS RB at 13-14.</w:t>
      </w:r>
    </w:p>
    <w:p w:rsidR="008E04DB" w:rsidRDefault="008E04DB" w:rsidP="00751F02">
      <w:pPr>
        <w:spacing w:line="360" w:lineRule="auto"/>
        <w:ind w:firstLine="1440"/>
        <w:rPr>
          <w:sz w:val="26"/>
          <w:szCs w:val="26"/>
        </w:rPr>
      </w:pPr>
    </w:p>
    <w:p w:rsidR="008E04DB" w:rsidRDefault="008E04DB" w:rsidP="00751F02">
      <w:pPr>
        <w:spacing w:line="360" w:lineRule="auto"/>
        <w:ind w:firstLine="1440"/>
        <w:rPr>
          <w:sz w:val="26"/>
          <w:szCs w:val="26"/>
        </w:rPr>
      </w:pPr>
      <w:r>
        <w:rPr>
          <w:sz w:val="26"/>
          <w:szCs w:val="26"/>
        </w:rPr>
        <w:t xml:space="preserve">Finally, the OTS submits that its recommendation should not be rejected simply because the nature of the assets to be capitalized might differ from one EDC to the next.  The OTS’s proposal would have the benefit of applying a uniform rate of return recovery treatment for all EDCs that must submit a smart meter plan. </w:t>
      </w:r>
      <w:r w:rsidR="008C18FD">
        <w:rPr>
          <w:sz w:val="26"/>
          <w:szCs w:val="26"/>
        </w:rPr>
        <w:t xml:space="preserve">If each EDC can recover the same overall rate of return on capital assets, no EDC would have an advantage or disadvantage relative to each other. </w:t>
      </w:r>
      <w:r>
        <w:rPr>
          <w:sz w:val="26"/>
          <w:szCs w:val="26"/>
        </w:rPr>
        <w:t xml:space="preserve"> OTS Exc. at 17.</w:t>
      </w:r>
    </w:p>
    <w:p w:rsidR="00366606" w:rsidRDefault="00366606" w:rsidP="00751F02">
      <w:pPr>
        <w:spacing w:line="360" w:lineRule="auto"/>
        <w:ind w:firstLine="1440"/>
        <w:rPr>
          <w:sz w:val="26"/>
          <w:szCs w:val="26"/>
        </w:rPr>
      </w:pPr>
    </w:p>
    <w:p w:rsidR="00366606" w:rsidRDefault="002A1E01" w:rsidP="00751F02">
      <w:pPr>
        <w:spacing w:line="360" w:lineRule="auto"/>
        <w:ind w:firstLine="1440"/>
        <w:rPr>
          <w:sz w:val="26"/>
          <w:szCs w:val="26"/>
        </w:rPr>
      </w:pPr>
      <w:r>
        <w:rPr>
          <w:sz w:val="26"/>
          <w:szCs w:val="26"/>
        </w:rPr>
        <w:t>The Companies respond that the Quarterly Earnings Reports are not intended to be used in the manner proposed by the OTS.  The</w:t>
      </w:r>
      <w:r w:rsidR="00B45976">
        <w:rPr>
          <w:sz w:val="26"/>
          <w:szCs w:val="26"/>
        </w:rPr>
        <w:t xml:space="preserve"> report has not been subjected to the level of scrutiny that would occur during a base rate case.  The </w:t>
      </w:r>
      <w:r w:rsidR="00B45976">
        <w:rPr>
          <w:sz w:val="26"/>
          <w:szCs w:val="26"/>
        </w:rPr>
        <w:lastRenderedPageBreak/>
        <w:t xml:space="preserve">Companies’ proposal, in contrast, utilizes data resulting from such litigation.  The Companies also </w:t>
      </w:r>
      <w:r w:rsidR="007B012A">
        <w:rPr>
          <w:sz w:val="26"/>
          <w:szCs w:val="26"/>
        </w:rPr>
        <w:t>argue</w:t>
      </w:r>
      <w:r w:rsidR="00B45976">
        <w:rPr>
          <w:sz w:val="26"/>
          <w:szCs w:val="26"/>
        </w:rPr>
        <w:t xml:space="preserve"> that their proposed </w:t>
      </w:r>
      <w:r w:rsidR="007B012A">
        <w:rPr>
          <w:sz w:val="26"/>
          <w:szCs w:val="26"/>
        </w:rPr>
        <w:t>capital structure</w:t>
      </w:r>
      <w:r w:rsidR="00F462C7">
        <w:rPr>
          <w:sz w:val="26"/>
          <w:szCs w:val="26"/>
        </w:rPr>
        <w:t xml:space="preserve"> of 51% long term debt and 49% equity</w:t>
      </w:r>
      <w:r w:rsidR="007B012A">
        <w:rPr>
          <w:sz w:val="26"/>
          <w:szCs w:val="26"/>
        </w:rPr>
        <w:t xml:space="preserve"> is reasonable, considering that the </w:t>
      </w:r>
      <w:r w:rsidR="00B45976">
        <w:rPr>
          <w:sz w:val="26"/>
          <w:szCs w:val="26"/>
        </w:rPr>
        <w:t>long term debt ratios for 2009</w:t>
      </w:r>
      <w:r w:rsidR="007B012A">
        <w:rPr>
          <w:sz w:val="26"/>
          <w:szCs w:val="26"/>
        </w:rPr>
        <w:t xml:space="preserve">, for the companies </w:t>
      </w:r>
      <w:r w:rsidR="00B45976">
        <w:rPr>
          <w:sz w:val="26"/>
          <w:szCs w:val="26"/>
        </w:rPr>
        <w:t>in the barometer group</w:t>
      </w:r>
      <w:r w:rsidR="007B012A">
        <w:rPr>
          <w:sz w:val="26"/>
          <w:szCs w:val="26"/>
        </w:rPr>
        <w:t>,</w:t>
      </w:r>
      <w:r w:rsidR="00B45976">
        <w:rPr>
          <w:sz w:val="26"/>
          <w:szCs w:val="26"/>
        </w:rPr>
        <w:t xml:space="preserve"> range from </w:t>
      </w:r>
      <w:r w:rsidR="00F462C7">
        <w:rPr>
          <w:sz w:val="26"/>
          <w:szCs w:val="26"/>
        </w:rPr>
        <w:t>35%</w:t>
      </w:r>
      <w:r w:rsidR="00B45976">
        <w:rPr>
          <w:sz w:val="26"/>
          <w:szCs w:val="26"/>
        </w:rPr>
        <w:t xml:space="preserve"> to </w:t>
      </w:r>
      <w:r w:rsidR="00F462C7">
        <w:rPr>
          <w:sz w:val="26"/>
          <w:szCs w:val="26"/>
        </w:rPr>
        <w:t>59%</w:t>
      </w:r>
      <w:r w:rsidR="00B45976">
        <w:rPr>
          <w:sz w:val="26"/>
          <w:szCs w:val="26"/>
        </w:rPr>
        <w:t>.</w:t>
      </w:r>
      <w:r w:rsidR="00F462C7">
        <w:rPr>
          <w:sz w:val="26"/>
          <w:szCs w:val="26"/>
        </w:rPr>
        <w:t xml:space="preserve">  </w:t>
      </w:r>
      <w:r w:rsidR="0065353A">
        <w:rPr>
          <w:sz w:val="26"/>
          <w:szCs w:val="26"/>
        </w:rPr>
        <w:t>T</w:t>
      </w:r>
      <w:r w:rsidR="00F462C7">
        <w:rPr>
          <w:sz w:val="26"/>
          <w:szCs w:val="26"/>
        </w:rPr>
        <w:t xml:space="preserve">he Companies </w:t>
      </w:r>
      <w:r w:rsidR="0065353A">
        <w:rPr>
          <w:sz w:val="26"/>
          <w:szCs w:val="26"/>
        </w:rPr>
        <w:t>submit that</w:t>
      </w:r>
      <w:r w:rsidR="00574CAC">
        <w:rPr>
          <w:sz w:val="26"/>
          <w:szCs w:val="26"/>
        </w:rPr>
        <w:t xml:space="preserve"> there is no basis for imposing a uniform capital structure on all EDCs that are subject to the smart meter plan requirement.  </w:t>
      </w:r>
      <w:r w:rsidR="0065353A">
        <w:rPr>
          <w:sz w:val="26"/>
          <w:szCs w:val="26"/>
        </w:rPr>
        <w:t xml:space="preserve">Uniformity ensures that some companies over-recover their capital costs while other companies under-recover theirs. </w:t>
      </w:r>
      <w:r w:rsidR="00E52098">
        <w:rPr>
          <w:sz w:val="26"/>
          <w:szCs w:val="26"/>
        </w:rPr>
        <w:t xml:space="preserve"> </w:t>
      </w:r>
      <w:r w:rsidR="00574CAC">
        <w:rPr>
          <w:sz w:val="26"/>
          <w:szCs w:val="26"/>
        </w:rPr>
        <w:t xml:space="preserve">According to the Companies, </w:t>
      </w:r>
      <w:r w:rsidR="00F462C7">
        <w:rPr>
          <w:sz w:val="26"/>
          <w:szCs w:val="26"/>
        </w:rPr>
        <w:t>each ED</w:t>
      </w:r>
      <w:r w:rsidR="00574CAC">
        <w:rPr>
          <w:sz w:val="26"/>
          <w:szCs w:val="26"/>
        </w:rPr>
        <w:t>C</w:t>
      </w:r>
      <w:r w:rsidR="00F462C7">
        <w:rPr>
          <w:sz w:val="26"/>
          <w:szCs w:val="26"/>
        </w:rPr>
        <w:t xml:space="preserve"> is unique and has approached the smart meter </w:t>
      </w:r>
      <w:r w:rsidR="00574CAC">
        <w:rPr>
          <w:sz w:val="26"/>
          <w:szCs w:val="26"/>
        </w:rPr>
        <w:t xml:space="preserve">requirement in its own way. </w:t>
      </w:r>
      <w:r w:rsidR="00B45976">
        <w:rPr>
          <w:sz w:val="26"/>
          <w:szCs w:val="26"/>
        </w:rPr>
        <w:t xml:space="preserve"> </w:t>
      </w:r>
      <w:r w:rsidR="0065353A">
        <w:rPr>
          <w:sz w:val="26"/>
          <w:szCs w:val="26"/>
        </w:rPr>
        <w:t>As a result</w:t>
      </w:r>
      <w:r w:rsidR="00574CAC">
        <w:rPr>
          <w:sz w:val="26"/>
          <w:szCs w:val="26"/>
        </w:rPr>
        <w:t>, there is no reason to treat the EDCs uniformly.</w:t>
      </w:r>
      <w:r w:rsidR="00B45976">
        <w:rPr>
          <w:sz w:val="26"/>
          <w:szCs w:val="26"/>
        </w:rPr>
        <w:t xml:space="preserve"> </w:t>
      </w:r>
      <w:r w:rsidR="0065353A">
        <w:rPr>
          <w:sz w:val="26"/>
          <w:szCs w:val="26"/>
        </w:rPr>
        <w:t xml:space="preserve"> </w:t>
      </w:r>
      <w:r w:rsidR="00B55DC4">
        <w:rPr>
          <w:sz w:val="26"/>
          <w:szCs w:val="26"/>
        </w:rPr>
        <w:t>FirstEnergy</w:t>
      </w:r>
      <w:r w:rsidR="0065353A">
        <w:rPr>
          <w:sz w:val="26"/>
          <w:szCs w:val="26"/>
        </w:rPr>
        <w:t xml:space="preserve"> R.Exc. at 14.</w:t>
      </w:r>
    </w:p>
    <w:p w:rsidR="000E03BB" w:rsidRDefault="000E03BB" w:rsidP="00F94FC6">
      <w:pPr>
        <w:spacing w:line="360" w:lineRule="auto"/>
        <w:rPr>
          <w:sz w:val="26"/>
          <w:szCs w:val="26"/>
        </w:rPr>
      </w:pPr>
    </w:p>
    <w:p w:rsidR="00F94FC6" w:rsidRDefault="00F94FC6" w:rsidP="00F94FC6">
      <w:pPr>
        <w:spacing w:line="360" w:lineRule="auto"/>
        <w:ind w:firstLine="1440"/>
        <w:rPr>
          <w:sz w:val="26"/>
          <w:szCs w:val="26"/>
        </w:rPr>
      </w:pPr>
      <w:r>
        <w:rPr>
          <w:sz w:val="26"/>
          <w:szCs w:val="26"/>
        </w:rPr>
        <w:t xml:space="preserve">No other Party addressed this aspect of the Initial Decision. </w:t>
      </w:r>
    </w:p>
    <w:p w:rsidR="00F94FC6" w:rsidRPr="00880CB7" w:rsidRDefault="00F94FC6" w:rsidP="00F94FC6">
      <w:pPr>
        <w:spacing w:line="360" w:lineRule="auto"/>
        <w:rPr>
          <w:sz w:val="26"/>
          <w:szCs w:val="26"/>
        </w:rPr>
      </w:pPr>
    </w:p>
    <w:p w:rsidR="00EB3313" w:rsidRPr="00880CB7" w:rsidRDefault="00EB3313" w:rsidP="00EB3313">
      <w:pPr>
        <w:pStyle w:val="Heading5"/>
        <w:rPr>
          <w:szCs w:val="26"/>
        </w:rPr>
      </w:pPr>
      <w:bookmarkStart w:id="68" w:name="_Toc263848857"/>
      <w:r w:rsidRPr="00880CB7">
        <w:rPr>
          <w:szCs w:val="26"/>
        </w:rPr>
        <w:t>4.</w:t>
      </w:r>
      <w:r w:rsidRPr="00880CB7">
        <w:rPr>
          <w:szCs w:val="26"/>
        </w:rPr>
        <w:tab/>
        <w:t>Disposition</w:t>
      </w:r>
      <w:bookmarkEnd w:id="68"/>
    </w:p>
    <w:p w:rsidR="00EB3313" w:rsidRPr="00880CB7" w:rsidRDefault="00EB3313" w:rsidP="00EB3313">
      <w:pPr>
        <w:rPr>
          <w:sz w:val="26"/>
          <w:szCs w:val="26"/>
        </w:rPr>
      </w:pPr>
    </w:p>
    <w:p w:rsidR="00EB3313" w:rsidRPr="00880CB7" w:rsidRDefault="00EB3313" w:rsidP="00EB3313">
      <w:pPr>
        <w:rPr>
          <w:sz w:val="26"/>
          <w:szCs w:val="26"/>
        </w:rPr>
      </w:pPr>
    </w:p>
    <w:p w:rsidR="00CC7BA0" w:rsidRDefault="00CC7BA0" w:rsidP="00F65430">
      <w:pPr>
        <w:spacing w:line="360" w:lineRule="auto"/>
        <w:ind w:firstLine="1440"/>
      </w:pPr>
      <w:r>
        <w:rPr>
          <w:sz w:val="26"/>
          <w:szCs w:val="26"/>
        </w:rPr>
        <w:t xml:space="preserve">We will modify the decision of the ALJ.  Although we prefer </w:t>
      </w:r>
      <w:r w:rsidR="004546B0">
        <w:rPr>
          <w:sz w:val="26"/>
          <w:szCs w:val="26"/>
        </w:rPr>
        <w:t xml:space="preserve">a </w:t>
      </w:r>
      <w:r>
        <w:rPr>
          <w:sz w:val="26"/>
          <w:szCs w:val="26"/>
        </w:rPr>
        <w:t xml:space="preserve">company-specific </w:t>
      </w:r>
      <w:r w:rsidR="004546B0">
        <w:rPr>
          <w:sz w:val="26"/>
          <w:szCs w:val="26"/>
        </w:rPr>
        <w:t>approach</w:t>
      </w:r>
      <w:r>
        <w:rPr>
          <w:sz w:val="26"/>
          <w:szCs w:val="26"/>
        </w:rPr>
        <w:t xml:space="preserve">, we are concerned </w:t>
      </w:r>
      <w:r w:rsidR="004546B0">
        <w:rPr>
          <w:sz w:val="26"/>
          <w:szCs w:val="26"/>
        </w:rPr>
        <w:t xml:space="preserve">about the use of stale information where </w:t>
      </w:r>
      <w:r w:rsidR="002C29D6">
        <w:rPr>
          <w:sz w:val="26"/>
          <w:szCs w:val="26"/>
        </w:rPr>
        <w:t xml:space="preserve">the </w:t>
      </w:r>
      <w:r w:rsidR="004546B0">
        <w:rPr>
          <w:sz w:val="26"/>
          <w:szCs w:val="26"/>
        </w:rPr>
        <w:t>EDC</w:t>
      </w:r>
      <w:r w:rsidR="002C29D6">
        <w:rPr>
          <w:sz w:val="26"/>
          <w:szCs w:val="26"/>
        </w:rPr>
        <w:t xml:space="preserve">’s most recent </w:t>
      </w:r>
      <w:r w:rsidR="004546B0">
        <w:rPr>
          <w:sz w:val="26"/>
          <w:szCs w:val="26"/>
        </w:rPr>
        <w:t xml:space="preserve">base rate case </w:t>
      </w:r>
      <w:r w:rsidR="002C29D6">
        <w:rPr>
          <w:sz w:val="26"/>
          <w:szCs w:val="26"/>
        </w:rPr>
        <w:t>is dated</w:t>
      </w:r>
      <w:r w:rsidR="004546B0">
        <w:rPr>
          <w:sz w:val="26"/>
          <w:szCs w:val="26"/>
        </w:rPr>
        <w:t>.</w:t>
      </w:r>
      <w:r w:rsidR="002C29D6">
        <w:rPr>
          <w:sz w:val="26"/>
          <w:szCs w:val="26"/>
        </w:rPr>
        <w:t xml:space="preserve">  Consequently, we find that the capital structure for each Company will be determined as follows:  </w:t>
      </w:r>
      <w:r w:rsidR="00B65A86">
        <w:rPr>
          <w:sz w:val="26"/>
          <w:szCs w:val="26"/>
        </w:rPr>
        <w:t>I</w:t>
      </w:r>
      <w:r w:rsidR="002C29D6">
        <w:rPr>
          <w:sz w:val="26"/>
          <w:szCs w:val="26"/>
        </w:rPr>
        <w:t xml:space="preserve">f the Company </w:t>
      </w:r>
      <w:r>
        <w:rPr>
          <w:sz w:val="26"/>
          <w:szCs w:val="26"/>
        </w:rPr>
        <w:t xml:space="preserve">has a capital structure from a litigated base rate case </w:t>
      </w:r>
      <w:r w:rsidR="00A80D4E">
        <w:rPr>
          <w:sz w:val="26"/>
          <w:szCs w:val="26"/>
        </w:rPr>
        <w:t xml:space="preserve">that is less than three </w:t>
      </w:r>
      <w:r>
        <w:rPr>
          <w:sz w:val="26"/>
          <w:szCs w:val="26"/>
        </w:rPr>
        <w:t>years old</w:t>
      </w:r>
      <w:r w:rsidR="002C29D6">
        <w:rPr>
          <w:sz w:val="26"/>
          <w:szCs w:val="26"/>
        </w:rPr>
        <w:t>,</w:t>
      </w:r>
      <w:r>
        <w:rPr>
          <w:sz w:val="26"/>
          <w:szCs w:val="26"/>
        </w:rPr>
        <w:t xml:space="preserve"> the </w:t>
      </w:r>
      <w:r w:rsidR="00123CA9">
        <w:rPr>
          <w:sz w:val="26"/>
          <w:szCs w:val="26"/>
        </w:rPr>
        <w:t>c</w:t>
      </w:r>
      <w:r>
        <w:rPr>
          <w:sz w:val="26"/>
          <w:szCs w:val="26"/>
        </w:rPr>
        <w:t xml:space="preserve">apital structure ratios </w:t>
      </w:r>
      <w:r w:rsidR="00123CA9">
        <w:rPr>
          <w:sz w:val="26"/>
          <w:szCs w:val="26"/>
        </w:rPr>
        <w:t xml:space="preserve">from that base rate case </w:t>
      </w:r>
      <w:r>
        <w:rPr>
          <w:sz w:val="26"/>
          <w:szCs w:val="26"/>
        </w:rPr>
        <w:t>shall be used for the purposes of recovering</w:t>
      </w:r>
      <w:r w:rsidR="00B65A86">
        <w:rPr>
          <w:sz w:val="26"/>
          <w:szCs w:val="26"/>
        </w:rPr>
        <w:t xml:space="preserve"> the Company’s</w:t>
      </w:r>
      <w:r>
        <w:rPr>
          <w:sz w:val="26"/>
          <w:szCs w:val="26"/>
        </w:rPr>
        <w:t xml:space="preserve"> smart meter costs.</w:t>
      </w:r>
      <w:r w:rsidR="00C97AD4">
        <w:rPr>
          <w:rStyle w:val="FootnoteReference"/>
          <w:sz w:val="26"/>
          <w:szCs w:val="26"/>
        </w:rPr>
        <w:footnoteReference w:id="1"/>
      </w:r>
      <w:r>
        <w:rPr>
          <w:sz w:val="26"/>
          <w:szCs w:val="26"/>
        </w:rPr>
        <w:t xml:space="preserve">  </w:t>
      </w:r>
      <w:r w:rsidR="00A80D4E">
        <w:rPr>
          <w:sz w:val="26"/>
          <w:szCs w:val="26"/>
        </w:rPr>
        <w:t xml:space="preserve">If the Company’s last litigated base rate case is more than three years old, the capital structure ratio that will be used is the Company’s actual capital structure included in the </w:t>
      </w:r>
      <w:r w:rsidR="00381414">
        <w:rPr>
          <w:sz w:val="26"/>
          <w:szCs w:val="26"/>
        </w:rPr>
        <w:t xml:space="preserve">then most </w:t>
      </w:r>
      <w:r w:rsidR="001B1806">
        <w:rPr>
          <w:sz w:val="26"/>
          <w:szCs w:val="26"/>
        </w:rPr>
        <w:t>recent</w:t>
      </w:r>
      <w:r w:rsidR="00381414">
        <w:rPr>
          <w:sz w:val="26"/>
          <w:szCs w:val="26"/>
        </w:rPr>
        <w:t xml:space="preserve"> </w:t>
      </w:r>
      <w:r w:rsidR="00A80D4E">
        <w:rPr>
          <w:sz w:val="26"/>
          <w:szCs w:val="26"/>
        </w:rPr>
        <w:t>Quarterly Earnings Report</w:t>
      </w:r>
      <w:r w:rsidR="00123CA9">
        <w:rPr>
          <w:sz w:val="26"/>
          <w:szCs w:val="26"/>
        </w:rPr>
        <w:t>.</w:t>
      </w:r>
      <w:r w:rsidR="0036307A">
        <w:rPr>
          <w:rStyle w:val="FootnoteReference"/>
          <w:sz w:val="26"/>
          <w:szCs w:val="26"/>
        </w:rPr>
        <w:footnoteReference w:id="2"/>
      </w:r>
      <w:r w:rsidR="007D212F">
        <w:rPr>
          <w:sz w:val="26"/>
          <w:szCs w:val="26"/>
        </w:rPr>
        <w:t xml:space="preserve">  If</w:t>
      </w:r>
      <w:r w:rsidR="004423B8">
        <w:rPr>
          <w:sz w:val="26"/>
          <w:szCs w:val="26"/>
        </w:rPr>
        <w:t>, however,</w:t>
      </w:r>
      <w:r w:rsidR="007D212F">
        <w:rPr>
          <w:sz w:val="26"/>
          <w:szCs w:val="26"/>
        </w:rPr>
        <w:t xml:space="preserve"> the Company’s </w:t>
      </w:r>
      <w:r w:rsidR="00C97AD4">
        <w:rPr>
          <w:sz w:val="26"/>
          <w:szCs w:val="26"/>
        </w:rPr>
        <w:lastRenderedPageBreak/>
        <w:t xml:space="preserve">actual capital structure from the Quarterly Earnings Report </w:t>
      </w:r>
      <w:r w:rsidR="007D212F">
        <w:rPr>
          <w:sz w:val="26"/>
          <w:szCs w:val="26"/>
        </w:rPr>
        <w:t>is outside the zone of reasonableness for the electric utility industry,</w:t>
      </w:r>
      <w:r w:rsidR="00AD32A2" w:rsidRPr="00AD32A2">
        <w:rPr>
          <w:rStyle w:val="FootnoteReference"/>
          <w:sz w:val="26"/>
          <w:szCs w:val="26"/>
        </w:rPr>
        <w:t xml:space="preserve"> </w:t>
      </w:r>
      <w:r w:rsidR="00AD32A2">
        <w:rPr>
          <w:rStyle w:val="FootnoteReference"/>
          <w:sz w:val="26"/>
          <w:szCs w:val="26"/>
        </w:rPr>
        <w:footnoteReference w:id="3"/>
      </w:r>
      <w:r w:rsidR="007D212F">
        <w:rPr>
          <w:sz w:val="26"/>
          <w:szCs w:val="26"/>
        </w:rPr>
        <w:t xml:space="preserve"> the capital structure ratio that will be used is </w:t>
      </w:r>
      <w:r w:rsidR="00F65430">
        <w:rPr>
          <w:sz w:val="26"/>
          <w:szCs w:val="26"/>
        </w:rPr>
        <w:t xml:space="preserve">the </w:t>
      </w:r>
      <w:r w:rsidR="007D212F">
        <w:rPr>
          <w:sz w:val="26"/>
          <w:szCs w:val="26"/>
        </w:rPr>
        <w:t xml:space="preserve">average of the electric utility barometer group that is included in the </w:t>
      </w:r>
      <w:r w:rsidR="00381414">
        <w:rPr>
          <w:sz w:val="26"/>
          <w:szCs w:val="26"/>
        </w:rPr>
        <w:t xml:space="preserve">then most </w:t>
      </w:r>
      <w:r w:rsidR="001B1806">
        <w:rPr>
          <w:sz w:val="26"/>
          <w:szCs w:val="26"/>
        </w:rPr>
        <w:t>recent</w:t>
      </w:r>
      <w:r w:rsidR="00381414">
        <w:rPr>
          <w:sz w:val="26"/>
          <w:szCs w:val="26"/>
        </w:rPr>
        <w:t xml:space="preserve"> </w:t>
      </w:r>
      <w:r w:rsidR="007D212F">
        <w:rPr>
          <w:sz w:val="26"/>
          <w:szCs w:val="26"/>
        </w:rPr>
        <w:t>Quarterly Earnings Report.</w:t>
      </w:r>
      <w:r w:rsidR="00A80D4E">
        <w:rPr>
          <w:sz w:val="26"/>
          <w:szCs w:val="26"/>
        </w:rPr>
        <w:t xml:space="preserve"> </w:t>
      </w:r>
      <w:r w:rsidR="004423B8">
        <w:rPr>
          <w:sz w:val="26"/>
          <w:szCs w:val="26"/>
        </w:rPr>
        <w:t xml:space="preserve"> </w:t>
      </w:r>
      <w:r>
        <w:rPr>
          <w:sz w:val="26"/>
          <w:szCs w:val="26"/>
        </w:rPr>
        <w:t>The applicable capital structure ratio shall be refreshed after the results of the next base rate case</w:t>
      </w:r>
      <w:r w:rsidR="00F65430">
        <w:rPr>
          <w:sz w:val="26"/>
          <w:szCs w:val="26"/>
        </w:rPr>
        <w:t xml:space="preserve"> for that Company</w:t>
      </w:r>
      <w:r>
        <w:rPr>
          <w:sz w:val="26"/>
          <w:szCs w:val="26"/>
        </w:rPr>
        <w:t xml:space="preserve">.  To the extent that </w:t>
      </w:r>
      <w:r w:rsidR="00DE262E">
        <w:rPr>
          <w:sz w:val="26"/>
          <w:szCs w:val="26"/>
        </w:rPr>
        <w:t xml:space="preserve">the </w:t>
      </w:r>
      <w:r w:rsidR="00F65430">
        <w:rPr>
          <w:sz w:val="26"/>
          <w:szCs w:val="26"/>
        </w:rPr>
        <w:t xml:space="preserve">Company’s </w:t>
      </w:r>
      <w:r>
        <w:rPr>
          <w:sz w:val="26"/>
          <w:szCs w:val="26"/>
        </w:rPr>
        <w:t xml:space="preserve">subsequent base rate case is settled, </w:t>
      </w:r>
      <w:r w:rsidR="00F65430">
        <w:rPr>
          <w:sz w:val="26"/>
          <w:szCs w:val="26"/>
        </w:rPr>
        <w:t xml:space="preserve">the </w:t>
      </w:r>
      <w:r>
        <w:rPr>
          <w:sz w:val="26"/>
          <w:szCs w:val="26"/>
        </w:rPr>
        <w:t>parties are to establish the applicable capital structure ratio to apply for the purposes of the P</w:t>
      </w:r>
      <w:r w:rsidR="00F65430">
        <w:rPr>
          <w:sz w:val="26"/>
          <w:szCs w:val="26"/>
        </w:rPr>
        <w:t>lan</w:t>
      </w:r>
      <w:r>
        <w:rPr>
          <w:sz w:val="26"/>
          <w:szCs w:val="26"/>
        </w:rPr>
        <w:t xml:space="preserve"> recovery mechanism in that proceeding.</w:t>
      </w:r>
    </w:p>
    <w:p w:rsidR="00EB3313" w:rsidRPr="00880CB7" w:rsidRDefault="00EB3313" w:rsidP="002F5812">
      <w:pPr>
        <w:spacing w:line="360" w:lineRule="auto"/>
        <w:ind w:firstLine="1440"/>
        <w:rPr>
          <w:sz w:val="26"/>
          <w:szCs w:val="26"/>
        </w:rPr>
      </w:pPr>
    </w:p>
    <w:p w:rsidR="002F5812" w:rsidRDefault="00A117DD" w:rsidP="00A117DD">
      <w:pPr>
        <w:pStyle w:val="Heading4"/>
      </w:pPr>
      <w:bookmarkStart w:id="69" w:name="_Toc259798222"/>
      <w:bookmarkStart w:id="70" w:name="_Toc263848858"/>
      <w:r>
        <w:t xml:space="preserve">b.  </w:t>
      </w:r>
      <w:r>
        <w:tab/>
        <w:t>Cost Rates of Senior Securities</w:t>
      </w:r>
      <w:bookmarkEnd w:id="69"/>
      <w:bookmarkEnd w:id="70"/>
    </w:p>
    <w:p w:rsidR="00A117DD" w:rsidRDefault="00A117DD" w:rsidP="002F5812">
      <w:pPr>
        <w:spacing w:line="360" w:lineRule="auto"/>
        <w:ind w:firstLine="1440"/>
        <w:rPr>
          <w:sz w:val="26"/>
          <w:szCs w:val="26"/>
        </w:rPr>
      </w:pPr>
    </w:p>
    <w:p w:rsidR="00EB3313" w:rsidRDefault="00EB3313" w:rsidP="00EB3313">
      <w:pPr>
        <w:pStyle w:val="Heading5"/>
      </w:pPr>
      <w:bookmarkStart w:id="71" w:name="_Toc263848859"/>
      <w:r>
        <w:t>1.</w:t>
      </w:r>
      <w:r>
        <w:tab/>
      </w:r>
      <w:r w:rsidR="00B55DC4">
        <w:t>FirstEnergy</w:t>
      </w:r>
      <w:r>
        <w:t>’s Plan</w:t>
      </w:r>
      <w:bookmarkEnd w:id="71"/>
    </w:p>
    <w:p w:rsidR="00EB3313" w:rsidRDefault="00EB3313" w:rsidP="00EB3313">
      <w:pPr>
        <w:spacing w:line="360" w:lineRule="auto"/>
        <w:ind w:firstLine="2160"/>
        <w:rPr>
          <w:sz w:val="26"/>
          <w:szCs w:val="26"/>
        </w:rPr>
      </w:pPr>
    </w:p>
    <w:p w:rsidR="00F63FB2" w:rsidRDefault="00F63415" w:rsidP="00F63FB2">
      <w:pPr>
        <w:spacing w:line="360" w:lineRule="auto"/>
        <w:ind w:firstLine="1440"/>
        <w:rPr>
          <w:sz w:val="26"/>
          <w:szCs w:val="26"/>
        </w:rPr>
      </w:pPr>
      <w:r>
        <w:rPr>
          <w:sz w:val="26"/>
          <w:szCs w:val="26"/>
        </w:rPr>
        <w:t>The Companies proposed using their</w:t>
      </w:r>
      <w:r w:rsidR="00F63FB2">
        <w:rPr>
          <w:sz w:val="26"/>
          <w:szCs w:val="26"/>
        </w:rPr>
        <w:t xml:space="preserve"> most recent calendar year’s cost of long-term debt as reported to the Commission in their annual earnings reports to the Commission.  </w:t>
      </w:r>
      <w:r w:rsidR="00B55DC4">
        <w:rPr>
          <w:sz w:val="26"/>
          <w:szCs w:val="26"/>
        </w:rPr>
        <w:t>FirstEnergy</w:t>
      </w:r>
      <w:r w:rsidR="00F63FB2">
        <w:rPr>
          <w:sz w:val="26"/>
          <w:szCs w:val="26"/>
        </w:rPr>
        <w:t xml:space="preserve"> MB at 10.</w:t>
      </w:r>
      <w:r>
        <w:rPr>
          <w:sz w:val="26"/>
          <w:szCs w:val="26"/>
        </w:rPr>
        <w:t xml:space="preserve">  This figure would be updated annually.  </w:t>
      </w:r>
      <w:r w:rsidRPr="00F63415">
        <w:rPr>
          <w:i/>
          <w:sz w:val="26"/>
          <w:szCs w:val="26"/>
        </w:rPr>
        <w:t>Id</w:t>
      </w:r>
      <w:r>
        <w:rPr>
          <w:sz w:val="26"/>
          <w:szCs w:val="26"/>
        </w:rPr>
        <w:t xml:space="preserve">. at 27.  The OTS proposed that this figure be updated quarterly.  OTS </w:t>
      </w:r>
      <w:r w:rsidR="00997D8D">
        <w:rPr>
          <w:sz w:val="26"/>
          <w:szCs w:val="26"/>
        </w:rPr>
        <w:t xml:space="preserve">RB at 5. </w:t>
      </w:r>
    </w:p>
    <w:p w:rsidR="00F63FB2" w:rsidRDefault="00F63FB2" w:rsidP="00EB3313">
      <w:pPr>
        <w:spacing w:line="360" w:lineRule="auto"/>
        <w:ind w:firstLine="2160"/>
        <w:rPr>
          <w:sz w:val="26"/>
          <w:szCs w:val="26"/>
        </w:rPr>
      </w:pPr>
    </w:p>
    <w:p w:rsidR="00EB3313" w:rsidRDefault="00EB3313" w:rsidP="00EB3313">
      <w:pPr>
        <w:pStyle w:val="Heading5"/>
      </w:pPr>
      <w:bookmarkStart w:id="72" w:name="_Toc263848860"/>
      <w:r>
        <w:t>2.</w:t>
      </w:r>
      <w:r>
        <w:tab/>
        <w:t>ALJ’s Recommendation</w:t>
      </w:r>
      <w:bookmarkEnd w:id="72"/>
    </w:p>
    <w:p w:rsidR="00997D8D" w:rsidRDefault="00997D8D" w:rsidP="00997D8D">
      <w:pPr>
        <w:spacing w:line="360" w:lineRule="auto"/>
        <w:ind w:firstLine="1440"/>
        <w:rPr>
          <w:sz w:val="26"/>
          <w:szCs w:val="26"/>
        </w:rPr>
      </w:pPr>
    </w:p>
    <w:p w:rsidR="00EB3313" w:rsidRDefault="00997D8D" w:rsidP="00997D8D">
      <w:pPr>
        <w:spacing w:line="360" w:lineRule="auto"/>
        <w:ind w:firstLine="1440"/>
        <w:rPr>
          <w:sz w:val="26"/>
          <w:szCs w:val="26"/>
        </w:rPr>
      </w:pPr>
      <w:r>
        <w:rPr>
          <w:sz w:val="26"/>
          <w:szCs w:val="26"/>
        </w:rPr>
        <w:t>The ALJ approved the Plan, as proposed, with regard to this issue.  The ALJ noted that the OTS’</w:t>
      </w:r>
      <w:r w:rsidR="00066031">
        <w:rPr>
          <w:sz w:val="26"/>
          <w:szCs w:val="26"/>
        </w:rPr>
        <w:t>s</w:t>
      </w:r>
      <w:r>
        <w:rPr>
          <w:sz w:val="26"/>
          <w:szCs w:val="26"/>
        </w:rPr>
        <w:t xml:space="preserve"> proposal called for blending the cost rates of debt and preferred stock, but the Companies have no preferred stock outstanding.  In addition, </w:t>
      </w:r>
      <w:r w:rsidR="00503C85">
        <w:rPr>
          <w:sz w:val="26"/>
          <w:szCs w:val="26"/>
        </w:rPr>
        <w:t>the ALJ apparently agreed with the Companies that there is no precedent for such a blended rate.  I.D. at 36-37.</w:t>
      </w:r>
    </w:p>
    <w:p w:rsidR="00997D8D" w:rsidRDefault="00997D8D" w:rsidP="00EB3313">
      <w:pPr>
        <w:spacing w:line="360" w:lineRule="auto"/>
        <w:ind w:firstLine="2160"/>
        <w:rPr>
          <w:sz w:val="26"/>
          <w:szCs w:val="26"/>
        </w:rPr>
      </w:pPr>
    </w:p>
    <w:p w:rsidR="00EB3313" w:rsidRDefault="00EB3313" w:rsidP="00EB3313">
      <w:pPr>
        <w:pStyle w:val="Heading5"/>
      </w:pPr>
      <w:bookmarkStart w:id="73" w:name="_Toc263848861"/>
      <w:r>
        <w:t>3.</w:t>
      </w:r>
      <w:r>
        <w:tab/>
        <w:t>Positions of the Parties</w:t>
      </w:r>
      <w:bookmarkEnd w:id="73"/>
    </w:p>
    <w:p w:rsidR="00EB3313" w:rsidRDefault="00EB3313" w:rsidP="00EB3313"/>
    <w:p w:rsidR="00503C85" w:rsidRDefault="00503C85" w:rsidP="00503C85">
      <w:pPr>
        <w:spacing w:line="360" w:lineRule="auto"/>
        <w:ind w:firstLine="1440"/>
        <w:rPr>
          <w:sz w:val="26"/>
          <w:szCs w:val="26"/>
        </w:rPr>
      </w:pPr>
      <w:r>
        <w:rPr>
          <w:sz w:val="26"/>
          <w:szCs w:val="26"/>
        </w:rPr>
        <w:t xml:space="preserve">The OTS argues that the ALJ failed to give adequate weight to its argument that using quarterly debt cost rates is preferable because that approach better reflects </w:t>
      </w:r>
      <w:r w:rsidR="00A3557C">
        <w:rPr>
          <w:sz w:val="26"/>
          <w:szCs w:val="26"/>
        </w:rPr>
        <w:t xml:space="preserve">the Companies’ </w:t>
      </w:r>
      <w:r>
        <w:rPr>
          <w:sz w:val="26"/>
          <w:szCs w:val="26"/>
        </w:rPr>
        <w:t xml:space="preserve">actual </w:t>
      </w:r>
      <w:r w:rsidR="00A3557C">
        <w:rPr>
          <w:sz w:val="26"/>
          <w:szCs w:val="26"/>
        </w:rPr>
        <w:t>current cost rate and will better reflect the cost of capital used to finance the smart meter technology.  OTS Exc. at 18-19; OTS RB at 1</w:t>
      </w:r>
      <w:r w:rsidR="006A1B4F">
        <w:rPr>
          <w:sz w:val="26"/>
          <w:szCs w:val="26"/>
        </w:rPr>
        <w:t>6.</w:t>
      </w:r>
    </w:p>
    <w:p w:rsidR="00E52098" w:rsidRDefault="00E52098" w:rsidP="00503C85">
      <w:pPr>
        <w:spacing w:line="360" w:lineRule="auto"/>
        <w:ind w:firstLine="1440"/>
        <w:rPr>
          <w:sz w:val="26"/>
          <w:szCs w:val="26"/>
        </w:rPr>
      </w:pPr>
    </w:p>
    <w:p w:rsidR="00E52098" w:rsidRDefault="00E52098" w:rsidP="00503C85">
      <w:pPr>
        <w:spacing w:line="360" w:lineRule="auto"/>
        <w:ind w:firstLine="1440"/>
        <w:rPr>
          <w:sz w:val="26"/>
          <w:szCs w:val="26"/>
        </w:rPr>
      </w:pPr>
      <w:r>
        <w:rPr>
          <w:sz w:val="26"/>
          <w:szCs w:val="26"/>
        </w:rPr>
        <w:t>The Companies continue to oppose</w:t>
      </w:r>
      <w:r w:rsidR="006D4EF7">
        <w:rPr>
          <w:sz w:val="26"/>
          <w:szCs w:val="26"/>
        </w:rPr>
        <w:t xml:space="preserve"> the</w:t>
      </w:r>
      <w:r>
        <w:rPr>
          <w:sz w:val="26"/>
          <w:szCs w:val="26"/>
        </w:rPr>
        <w:t xml:space="preserve"> OTS’s recommendation.  They argue “neither the frequency nor the magnitude of changes in the weighted average cost rate of senior securities is likely to produce any material impact on the Companies’ overall cost of capital on a quarterly basis.”  </w:t>
      </w:r>
      <w:r w:rsidR="00B55DC4">
        <w:rPr>
          <w:sz w:val="26"/>
          <w:szCs w:val="26"/>
        </w:rPr>
        <w:t>FirstEnergy</w:t>
      </w:r>
      <w:r>
        <w:rPr>
          <w:sz w:val="26"/>
          <w:szCs w:val="26"/>
        </w:rPr>
        <w:t xml:space="preserve"> R.Exc. at 14.</w:t>
      </w:r>
      <w:r w:rsidR="00023DA7">
        <w:rPr>
          <w:sz w:val="26"/>
          <w:szCs w:val="26"/>
        </w:rPr>
        <w:t xml:space="preserve">  They also argue that the time and resources required by a quarterly filing and adjustment outweigh the benefits of such a procedure.   </w:t>
      </w:r>
    </w:p>
    <w:p w:rsidR="00503C85" w:rsidRDefault="00503C85" w:rsidP="00503C85">
      <w:pPr>
        <w:spacing w:line="360" w:lineRule="auto"/>
        <w:ind w:firstLine="1440"/>
        <w:rPr>
          <w:sz w:val="26"/>
          <w:szCs w:val="26"/>
        </w:rPr>
      </w:pPr>
    </w:p>
    <w:p w:rsidR="00503C85" w:rsidRDefault="00503C85" w:rsidP="00503C85">
      <w:pPr>
        <w:spacing w:line="360" w:lineRule="auto"/>
        <w:ind w:firstLine="1440"/>
        <w:rPr>
          <w:sz w:val="26"/>
          <w:szCs w:val="26"/>
        </w:rPr>
      </w:pPr>
      <w:r>
        <w:rPr>
          <w:sz w:val="26"/>
          <w:szCs w:val="26"/>
        </w:rPr>
        <w:t xml:space="preserve">No other Party addressed this aspect of the Initial Decision. </w:t>
      </w:r>
    </w:p>
    <w:p w:rsidR="00503C85" w:rsidRDefault="00503C85" w:rsidP="00EB3313"/>
    <w:p w:rsidR="00EB3313" w:rsidRDefault="00EB3313" w:rsidP="00EB3313">
      <w:pPr>
        <w:pStyle w:val="Heading5"/>
      </w:pPr>
      <w:bookmarkStart w:id="74" w:name="_Toc263848862"/>
      <w:r>
        <w:t>4.</w:t>
      </w:r>
      <w:r>
        <w:tab/>
        <w:t>Disposition</w:t>
      </w:r>
      <w:bookmarkEnd w:id="74"/>
    </w:p>
    <w:p w:rsidR="00EB3313" w:rsidRDefault="00EB3313" w:rsidP="00EB3313"/>
    <w:p w:rsidR="000A6B98" w:rsidRDefault="0024026B" w:rsidP="000A6B98">
      <w:pPr>
        <w:spacing w:line="360" w:lineRule="auto"/>
        <w:ind w:firstLine="1440"/>
        <w:rPr>
          <w:sz w:val="26"/>
          <w:szCs w:val="26"/>
        </w:rPr>
      </w:pPr>
      <w:r>
        <w:rPr>
          <w:sz w:val="26"/>
          <w:szCs w:val="26"/>
        </w:rPr>
        <w:t xml:space="preserve">We agree that the mechanism proposed by </w:t>
      </w:r>
      <w:r w:rsidR="00066031">
        <w:rPr>
          <w:sz w:val="26"/>
          <w:szCs w:val="26"/>
        </w:rPr>
        <w:t xml:space="preserve">the </w:t>
      </w:r>
      <w:r>
        <w:rPr>
          <w:sz w:val="26"/>
          <w:szCs w:val="26"/>
        </w:rPr>
        <w:t xml:space="preserve">OTS (the most recent Quarterly Earnings Reports) should be used </w:t>
      </w:r>
      <w:r w:rsidR="006D4EF7">
        <w:rPr>
          <w:sz w:val="26"/>
          <w:szCs w:val="26"/>
        </w:rPr>
        <w:t>because</w:t>
      </w:r>
      <w:r w:rsidR="000A6B98">
        <w:rPr>
          <w:sz w:val="26"/>
          <w:szCs w:val="26"/>
        </w:rPr>
        <w:t xml:space="preserve"> </w:t>
      </w:r>
      <w:r w:rsidR="00421AC8">
        <w:rPr>
          <w:sz w:val="26"/>
          <w:szCs w:val="26"/>
        </w:rPr>
        <w:t xml:space="preserve">using the quarterly Earnings Reports will produce </w:t>
      </w:r>
      <w:r w:rsidR="000A6B98">
        <w:rPr>
          <w:sz w:val="26"/>
          <w:szCs w:val="26"/>
        </w:rPr>
        <w:t xml:space="preserve">the </w:t>
      </w:r>
      <w:r w:rsidR="00421AC8">
        <w:rPr>
          <w:sz w:val="26"/>
          <w:szCs w:val="26"/>
        </w:rPr>
        <w:t xml:space="preserve">most </w:t>
      </w:r>
      <w:r w:rsidR="000A6B98">
        <w:rPr>
          <w:sz w:val="26"/>
          <w:szCs w:val="26"/>
        </w:rPr>
        <w:t xml:space="preserve">accurate and </w:t>
      </w:r>
      <w:r w:rsidR="00421AC8">
        <w:rPr>
          <w:sz w:val="26"/>
          <w:szCs w:val="26"/>
        </w:rPr>
        <w:t xml:space="preserve">up-to-date costs of capital for the companies related to the Plan.  </w:t>
      </w:r>
      <w:r w:rsidR="002A2232">
        <w:rPr>
          <w:sz w:val="26"/>
          <w:szCs w:val="26"/>
        </w:rPr>
        <w:t xml:space="preserve">The quarterly cost of debt and, where applicable, preferred stock, will be used in the Companies’ annual reconciliation and annual projections to determine the Companies’ weighted cost of capital.  </w:t>
      </w:r>
      <w:r w:rsidR="000A6B98">
        <w:rPr>
          <w:sz w:val="26"/>
          <w:szCs w:val="26"/>
        </w:rPr>
        <w:t xml:space="preserve">  </w:t>
      </w:r>
    </w:p>
    <w:p w:rsidR="000A6B98" w:rsidRDefault="000A6B98" w:rsidP="000A6B98">
      <w:pPr>
        <w:spacing w:line="360" w:lineRule="auto"/>
        <w:ind w:firstLine="1440"/>
        <w:rPr>
          <w:sz w:val="26"/>
          <w:szCs w:val="26"/>
        </w:rPr>
      </w:pPr>
    </w:p>
    <w:p w:rsidR="000A6B98" w:rsidRDefault="00421AC8" w:rsidP="000A6B98">
      <w:pPr>
        <w:spacing w:line="360" w:lineRule="auto"/>
        <w:ind w:firstLine="1440"/>
        <w:rPr>
          <w:sz w:val="26"/>
          <w:szCs w:val="26"/>
        </w:rPr>
      </w:pPr>
      <w:r>
        <w:rPr>
          <w:sz w:val="26"/>
          <w:szCs w:val="26"/>
        </w:rPr>
        <w:t>We note t</w:t>
      </w:r>
      <w:r w:rsidR="000A6B98">
        <w:rPr>
          <w:sz w:val="26"/>
          <w:szCs w:val="26"/>
        </w:rPr>
        <w:t>he Companies’ argument that neither the frequency nor the magnitude of changes in the weighted average cost rate of senior securities is likely to produce any material impact on the Companies’ overall cost of capit</w:t>
      </w:r>
      <w:r>
        <w:rPr>
          <w:sz w:val="26"/>
          <w:szCs w:val="26"/>
        </w:rPr>
        <w:t>al on a quarterly basis.</w:t>
      </w:r>
      <w:r w:rsidR="000A6B98">
        <w:rPr>
          <w:sz w:val="26"/>
          <w:szCs w:val="26"/>
        </w:rPr>
        <w:t xml:space="preserve">  However, w</w:t>
      </w:r>
      <w:r>
        <w:rPr>
          <w:sz w:val="26"/>
          <w:szCs w:val="26"/>
        </w:rPr>
        <w:t>hile we agree with the Companies</w:t>
      </w:r>
      <w:r w:rsidR="000A6B98">
        <w:rPr>
          <w:sz w:val="26"/>
          <w:szCs w:val="26"/>
        </w:rPr>
        <w:t xml:space="preserve"> regarding the potential impact, at </w:t>
      </w:r>
      <w:r w:rsidR="000A6B98">
        <w:rPr>
          <w:sz w:val="26"/>
          <w:szCs w:val="26"/>
        </w:rPr>
        <w:lastRenderedPageBreak/>
        <w:t>this time when there is no outstanding preferred stock, the inclusion of this component could, at some future time, represent a notable change in capital structure.  Additionally, since the actual current quarterly data regarding preferred stock and debt is available, this should be utilized as recommended by the OTS.  Accordingly, we shall reverse the ALJ’s recommendation and adopt the OTS’</w:t>
      </w:r>
      <w:r>
        <w:rPr>
          <w:sz w:val="26"/>
          <w:szCs w:val="26"/>
        </w:rPr>
        <w:t>s</w:t>
      </w:r>
      <w:r w:rsidR="000A6B98">
        <w:rPr>
          <w:sz w:val="26"/>
          <w:szCs w:val="26"/>
        </w:rPr>
        <w:t xml:space="preserve"> position on this issue. </w:t>
      </w:r>
    </w:p>
    <w:p w:rsidR="000A6B98" w:rsidRDefault="000A6B98" w:rsidP="00EB3313"/>
    <w:p w:rsidR="002F5812" w:rsidRPr="005F7DB5" w:rsidRDefault="00A117DD" w:rsidP="00A117DD">
      <w:pPr>
        <w:pStyle w:val="Heading4"/>
      </w:pPr>
      <w:bookmarkStart w:id="75" w:name="_Toc259798223"/>
      <w:bookmarkStart w:id="76" w:name="_Toc263848863"/>
      <w:r>
        <w:t>c</w:t>
      </w:r>
      <w:r w:rsidR="002F5812">
        <w:t>.</w:t>
      </w:r>
      <w:r w:rsidR="002F5812">
        <w:tab/>
      </w:r>
      <w:r>
        <w:t>Common E</w:t>
      </w:r>
      <w:r w:rsidR="002F5812" w:rsidRPr="005F7DB5">
        <w:t>quity</w:t>
      </w:r>
      <w:r>
        <w:t xml:space="preserve"> Cost Rate</w:t>
      </w:r>
      <w:bookmarkEnd w:id="75"/>
      <w:bookmarkEnd w:id="76"/>
    </w:p>
    <w:p w:rsidR="0039323E" w:rsidRDefault="0039323E" w:rsidP="002F5812">
      <w:pPr>
        <w:spacing w:line="360" w:lineRule="auto"/>
        <w:ind w:firstLine="2160"/>
        <w:rPr>
          <w:sz w:val="26"/>
          <w:szCs w:val="26"/>
        </w:rPr>
      </w:pPr>
    </w:p>
    <w:p w:rsidR="00EB3313" w:rsidRDefault="00EB3313" w:rsidP="00EB3313">
      <w:pPr>
        <w:pStyle w:val="Heading5"/>
      </w:pPr>
      <w:bookmarkStart w:id="77" w:name="_Toc263848864"/>
      <w:r>
        <w:t>1.</w:t>
      </w:r>
      <w:r>
        <w:tab/>
      </w:r>
      <w:r w:rsidR="00B55DC4">
        <w:t>FirstEnergy</w:t>
      </w:r>
      <w:r>
        <w:t>’s Plan</w:t>
      </w:r>
      <w:bookmarkEnd w:id="77"/>
    </w:p>
    <w:p w:rsidR="00EB3313" w:rsidRDefault="00EB3313" w:rsidP="00EB3313">
      <w:pPr>
        <w:spacing w:line="360" w:lineRule="auto"/>
        <w:ind w:firstLine="2160"/>
        <w:rPr>
          <w:sz w:val="26"/>
          <w:szCs w:val="26"/>
        </w:rPr>
      </w:pPr>
    </w:p>
    <w:p w:rsidR="00691B7B" w:rsidRDefault="00B55DC4" w:rsidP="00BD631C">
      <w:pPr>
        <w:spacing w:line="360" w:lineRule="auto"/>
        <w:ind w:firstLine="1440"/>
        <w:rPr>
          <w:sz w:val="26"/>
          <w:szCs w:val="26"/>
        </w:rPr>
      </w:pPr>
      <w:r>
        <w:rPr>
          <w:sz w:val="26"/>
          <w:szCs w:val="26"/>
        </w:rPr>
        <w:t>FirstEnergy</w:t>
      </w:r>
      <w:r w:rsidR="005C06C8">
        <w:rPr>
          <w:sz w:val="26"/>
          <w:szCs w:val="26"/>
        </w:rPr>
        <w:t xml:space="preserve"> </w:t>
      </w:r>
      <w:r w:rsidR="00BD631C">
        <w:rPr>
          <w:sz w:val="26"/>
          <w:szCs w:val="26"/>
        </w:rPr>
        <w:t xml:space="preserve">proposed </w:t>
      </w:r>
      <w:r w:rsidR="005C06C8">
        <w:rPr>
          <w:sz w:val="26"/>
          <w:szCs w:val="26"/>
        </w:rPr>
        <w:t>using</w:t>
      </w:r>
      <w:r w:rsidR="00BD631C">
        <w:rPr>
          <w:sz w:val="26"/>
          <w:szCs w:val="26"/>
        </w:rPr>
        <w:t xml:space="preserve"> </w:t>
      </w:r>
      <w:r w:rsidR="005C06C8">
        <w:rPr>
          <w:sz w:val="26"/>
          <w:szCs w:val="26"/>
        </w:rPr>
        <w:t xml:space="preserve">a company-specific cost of common equity.  Specifically, </w:t>
      </w:r>
      <w:r>
        <w:rPr>
          <w:sz w:val="26"/>
          <w:szCs w:val="26"/>
        </w:rPr>
        <w:t>FirstEnergy</w:t>
      </w:r>
      <w:r w:rsidR="00691B7B">
        <w:rPr>
          <w:sz w:val="26"/>
          <w:szCs w:val="26"/>
        </w:rPr>
        <w:t xml:space="preserve"> proposed using </w:t>
      </w:r>
      <w:r w:rsidR="00BD631C">
        <w:rPr>
          <w:sz w:val="26"/>
          <w:szCs w:val="26"/>
        </w:rPr>
        <w:t>the cost of equity adopted by the Commission in the last base rate case</w:t>
      </w:r>
      <w:r w:rsidR="00691B7B">
        <w:rPr>
          <w:sz w:val="26"/>
          <w:szCs w:val="26"/>
        </w:rPr>
        <w:t xml:space="preserve"> for </w:t>
      </w:r>
      <w:r>
        <w:rPr>
          <w:sz w:val="26"/>
          <w:szCs w:val="26"/>
        </w:rPr>
        <w:t>Met-Ed</w:t>
      </w:r>
      <w:r w:rsidR="00691B7B">
        <w:rPr>
          <w:sz w:val="26"/>
          <w:szCs w:val="26"/>
        </w:rPr>
        <w:t xml:space="preserve"> and Penelec (10.1%),</w:t>
      </w:r>
      <w:r w:rsidR="001A5D20">
        <w:rPr>
          <w:sz w:val="26"/>
          <w:szCs w:val="26"/>
        </w:rPr>
        <w:t xml:space="preserve"> </w:t>
      </w:r>
      <w:r w:rsidR="00BD631C">
        <w:rPr>
          <w:sz w:val="26"/>
          <w:szCs w:val="26"/>
        </w:rPr>
        <w:t xml:space="preserve">until an updated cost of equity finding is made in a future </w:t>
      </w:r>
      <w:r>
        <w:rPr>
          <w:sz w:val="26"/>
          <w:szCs w:val="26"/>
        </w:rPr>
        <w:t>Met-Ed</w:t>
      </w:r>
      <w:r w:rsidR="00BD631C">
        <w:rPr>
          <w:sz w:val="26"/>
          <w:szCs w:val="26"/>
        </w:rPr>
        <w:t xml:space="preserve">, Penelec or Penn Power base rate proceeding.  </w:t>
      </w:r>
      <w:r>
        <w:rPr>
          <w:sz w:val="26"/>
          <w:szCs w:val="26"/>
        </w:rPr>
        <w:t>FirstEnergy</w:t>
      </w:r>
      <w:r w:rsidR="00691B7B">
        <w:rPr>
          <w:sz w:val="26"/>
          <w:szCs w:val="26"/>
        </w:rPr>
        <w:t xml:space="preserve"> MB at 10.</w:t>
      </w:r>
    </w:p>
    <w:p w:rsidR="00691B7B" w:rsidRDefault="00691B7B" w:rsidP="00BD631C">
      <w:pPr>
        <w:spacing w:line="360" w:lineRule="auto"/>
        <w:ind w:firstLine="1440"/>
        <w:rPr>
          <w:sz w:val="26"/>
          <w:szCs w:val="26"/>
        </w:rPr>
      </w:pPr>
    </w:p>
    <w:p w:rsidR="008F4F8F" w:rsidRDefault="008F4F8F" w:rsidP="008F4F8F">
      <w:pPr>
        <w:spacing w:line="360" w:lineRule="auto"/>
        <w:ind w:firstLine="1440"/>
        <w:rPr>
          <w:sz w:val="26"/>
          <w:szCs w:val="26"/>
        </w:rPr>
      </w:pPr>
      <w:r>
        <w:rPr>
          <w:sz w:val="26"/>
          <w:szCs w:val="26"/>
        </w:rPr>
        <w:t>The OTS argued that the Commission should not use a co</w:t>
      </w:r>
      <w:r w:rsidR="00BF74B2">
        <w:rPr>
          <w:sz w:val="26"/>
          <w:szCs w:val="26"/>
        </w:rPr>
        <w:t>mpany-specific cost of common equity</w:t>
      </w:r>
      <w:r>
        <w:rPr>
          <w:sz w:val="26"/>
          <w:szCs w:val="26"/>
        </w:rPr>
        <w:t xml:space="preserve">.  Instead, the OTS argued that the Commission </w:t>
      </w:r>
      <w:r w:rsidR="00900E3A">
        <w:rPr>
          <w:sz w:val="26"/>
          <w:szCs w:val="26"/>
        </w:rPr>
        <w:t xml:space="preserve">should use the same </w:t>
      </w:r>
      <w:r w:rsidR="00BF74B2">
        <w:rPr>
          <w:sz w:val="26"/>
          <w:szCs w:val="26"/>
        </w:rPr>
        <w:t xml:space="preserve">cost of common equity </w:t>
      </w:r>
      <w:r>
        <w:rPr>
          <w:sz w:val="26"/>
          <w:szCs w:val="26"/>
        </w:rPr>
        <w:t xml:space="preserve">for all EDCs that are required to file a smart meter plan with the Commission.  This </w:t>
      </w:r>
      <w:r w:rsidR="00900E3A">
        <w:rPr>
          <w:sz w:val="26"/>
          <w:szCs w:val="26"/>
        </w:rPr>
        <w:t xml:space="preserve">cost of common equity </w:t>
      </w:r>
      <w:r>
        <w:rPr>
          <w:sz w:val="26"/>
          <w:szCs w:val="26"/>
        </w:rPr>
        <w:t xml:space="preserve">would be based on </w:t>
      </w:r>
      <w:r w:rsidR="00FC7435">
        <w:rPr>
          <w:sz w:val="26"/>
          <w:szCs w:val="26"/>
        </w:rPr>
        <w:t xml:space="preserve">the </w:t>
      </w:r>
      <w:r>
        <w:rPr>
          <w:sz w:val="26"/>
          <w:szCs w:val="26"/>
        </w:rPr>
        <w:t>barometer group</w:t>
      </w:r>
      <w:r w:rsidR="00FC7435">
        <w:rPr>
          <w:sz w:val="26"/>
          <w:szCs w:val="26"/>
        </w:rPr>
        <w:t xml:space="preserve"> included in the Quarterly Earnings Report</w:t>
      </w:r>
      <w:r w:rsidR="00900E3A">
        <w:rPr>
          <w:sz w:val="26"/>
          <w:szCs w:val="26"/>
        </w:rPr>
        <w:t xml:space="preserve">. </w:t>
      </w:r>
      <w:r w:rsidR="0094191E">
        <w:rPr>
          <w:sz w:val="26"/>
          <w:szCs w:val="26"/>
        </w:rPr>
        <w:t xml:space="preserve"> </w:t>
      </w:r>
      <w:r w:rsidR="00C526FB">
        <w:rPr>
          <w:sz w:val="26"/>
          <w:szCs w:val="26"/>
        </w:rPr>
        <w:t>As support for its proposal, t</w:t>
      </w:r>
      <w:r w:rsidR="0094191E">
        <w:rPr>
          <w:sz w:val="26"/>
          <w:szCs w:val="26"/>
        </w:rPr>
        <w:t xml:space="preserve">he OTS </w:t>
      </w:r>
      <w:r w:rsidR="000C2D45">
        <w:rPr>
          <w:sz w:val="26"/>
          <w:szCs w:val="26"/>
        </w:rPr>
        <w:t xml:space="preserve">noted that this approach is used in </w:t>
      </w:r>
      <w:r w:rsidR="00C526FB">
        <w:rPr>
          <w:sz w:val="26"/>
          <w:szCs w:val="26"/>
        </w:rPr>
        <w:t>distribution system improvement charge (</w:t>
      </w:r>
      <w:r w:rsidR="000C2D45">
        <w:rPr>
          <w:sz w:val="26"/>
          <w:szCs w:val="26"/>
        </w:rPr>
        <w:t>DSIC</w:t>
      </w:r>
      <w:r w:rsidR="00C526FB">
        <w:rPr>
          <w:sz w:val="26"/>
          <w:szCs w:val="26"/>
        </w:rPr>
        <w:t>)</w:t>
      </w:r>
      <w:r w:rsidR="000C2D45">
        <w:rPr>
          <w:sz w:val="26"/>
          <w:szCs w:val="26"/>
        </w:rPr>
        <w:t xml:space="preserve"> proceedings in the water industry.</w:t>
      </w:r>
      <w:r w:rsidR="00900E3A">
        <w:rPr>
          <w:sz w:val="26"/>
          <w:szCs w:val="26"/>
        </w:rPr>
        <w:t xml:space="preserve"> OTS MB</w:t>
      </w:r>
      <w:r w:rsidR="0094191E">
        <w:rPr>
          <w:sz w:val="26"/>
          <w:szCs w:val="26"/>
        </w:rPr>
        <w:t xml:space="preserve"> 16-17.</w:t>
      </w:r>
      <w:r w:rsidR="00900E3A">
        <w:rPr>
          <w:sz w:val="26"/>
          <w:szCs w:val="26"/>
        </w:rPr>
        <w:t xml:space="preserve"> </w:t>
      </w:r>
      <w:r>
        <w:rPr>
          <w:sz w:val="26"/>
          <w:szCs w:val="26"/>
        </w:rPr>
        <w:t xml:space="preserve">  </w:t>
      </w:r>
    </w:p>
    <w:p w:rsidR="00BD631C" w:rsidRDefault="00BD631C" w:rsidP="00BD631C">
      <w:pPr>
        <w:spacing w:line="360" w:lineRule="auto"/>
        <w:ind w:firstLine="1440"/>
        <w:rPr>
          <w:sz w:val="26"/>
          <w:szCs w:val="26"/>
        </w:rPr>
      </w:pPr>
    </w:p>
    <w:p w:rsidR="00EB3313" w:rsidRDefault="00EB3313" w:rsidP="00EB3313">
      <w:pPr>
        <w:pStyle w:val="Heading5"/>
      </w:pPr>
      <w:bookmarkStart w:id="78" w:name="_Toc263848865"/>
      <w:r>
        <w:t>2.</w:t>
      </w:r>
      <w:r>
        <w:tab/>
        <w:t>ALJ’s Recommendation</w:t>
      </w:r>
      <w:bookmarkEnd w:id="78"/>
    </w:p>
    <w:p w:rsidR="00EB3313" w:rsidRDefault="00EB3313" w:rsidP="00EB3313">
      <w:pPr>
        <w:spacing w:line="360" w:lineRule="auto"/>
        <w:ind w:firstLine="2160"/>
        <w:rPr>
          <w:sz w:val="26"/>
          <w:szCs w:val="26"/>
        </w:rPr>
      </w:pPr>
    </w:p>
    <w:p w:rsidR="00C526FB" w:rsidRDefault="003A04A0" w:rsidP="003A04A0">
      <w:pPr>
        <w:spacing w:line="360" w:lineRule="auto"/>
        <w:ind w:firstLine="1440"/>
        <w:rPr>
          <w:sz w:val="26"/>
          <w:szCs w:val="26"/>
        </w:rPr>
      </w:pPr>
      <w:r>
        <w:rPr>
          <w:sz w:val="26"/>
          <w:szCs w:val="26"/>
        </w:rPr>
        <w:t xml:space="preserve">The ALJ approved </w:t>
      </w:r>
      <w:r w:rsidR="00B55DC4">
        <w:rPr>
          <w:sz w:val="26"/>
          <w:szCs w:val="26"/>
        </w:rPr>
        <w:t>FirstEnergy</w:t>
      </w:r>
      <w:r>
        <w:rPr>
          <w:sz w:val="26"/>
          <w:szCs w:val="26"/>
        </w:rPr>
        <w:t xml:space="preserve">’s proposal to use company-specific data to calculate the cost of common equity.  The ALJ found </w:t>
      </w:r>
      <w:r w:rsidR="006A02A9">
        <w:rPr>
          <w:sz w:val="26"/>
          <w:szCs w:val="26"/>
        </w:rPr>
        <w:t>“</w:t>
      </w:r>
      <w:r>
        <w:rPr>
          <w:sz w:val="26"/>
          <w:szCs w:val="26"/>
        </w:rPr>
        <w:t>no persu</w:t>
      </w:r>
      <w:r w:rsidR="006A02A9">
        <w:rPr>
          <w:sz w:val="26"/>
          <w:szCs w:val="26"/>
        </w:rPr>
        <w:t xml:space="preserve">asive precedent” for using </w:t>
      </w:r>
      <w:r w:rsidR="006A02A9">
        <w:rPr>
          <w:sz w:val="26"/>
          <w:szCs w:val="26"/>
        </w:rPr>
        <w:lastRenderedPageBreak/>
        <w:t xml:space="preserve">a barometer group to calculate the cost of common equity.  In addition, the ALJ found the Companies’ approach reasonable.  </w:t>
      </w:r>
      <w:r>
        <w:rPr>
          <w:sz w:val="26"/>
          <w:szCs w:val="26"/>
        </w:rPr>
        <w:t>I</w:t>
      </w:r>
      <w:r w:rsidR="007C4A07">
        <w:rPr>
          <w:sz w:val="26"/>
          <w:szCs w:val="26"/>
        </w:rPr>
        <w:t>.</w:t>
      </w:r>
      <w:r>
        <w:rPr>
          <w:sz w:val="26"/>
          <w:szCs w:val="26"/>
        </w:rPr>
        <w:t>D</w:t>
      </w:r>
      <w:r w:rsidR="007C4A07">
        <w:rPr>
          <w:sz w:val="26"/>
          <w:szCs w:val="26"/>
        </w:rPr>
        <w:t>.</w:t>
      </w:r>
      <w:r>
        <w:rPr>
          <w:sz w:val="26"/>
          <w:szCs w:val="26"/>
        </w:rPr>
        <w:t xml:space="preserve"> </w:t>
      </w:r>
      <w:r w:rsidR="006A02A9">
        <w:rPr>
          <w:sz w:val="26"/>
          <w:szCs w:val="26"/>
        </w:rPr>
        <w:t>at 37-38.</w:t>
      </w:r>
      <w:r>
        <w:rPr>
          <w:sz w:val="26"/>
          <w:szCs w:val="26"/>
        </w:rPr>
        <w:t xml:space="preserve">   </w:t>
      </w:r>
    </w:p>
    <w:p w:rsidR="00C526FB" w:rsidRDefault="00C526FB" w:rsidP="00EB3313">
      <w:pPr>
        <w:spacing w:line="360" w:lineRule="auto"/>
        <w:ind w:firstLine="2160"/>
        <w:rPr>
          <w:sz w:val="26"/>
          <w:szCs w:val="26"/>
        </w:rPr>
      </w:pPr>
    </w:p>
    <w:p w:rsidR="00EB3313" w:rsidRDefault="00EB3313" w:rsidP="00EB3313">
      <w:pPr>
        <w:pStyle w:val="Heading5"/>
      </w:pPr>
      <w:bookmarkStart w:id="79" w:name="_Toc263848866"/>
      <w:r>
        <w:t>3.</w:t>
      </w:r>
      <w:r>
        <w:tab/>
        <w:t>Positions of the Parties</w:t>
      </w:r>
      <w:bookmarkEnd w:id="79"/>
    </w:p>
    <w:p w:rsidR="00EB3313" w:rsidRDefault="00EB3313" w:rsidP="00EB3313"/>
    <w:p w:rsidR="00713EC3" w:rsidRDefault="00FC7435" w:rsidP="0047609C">
      <w:pPr>
        <w:spacing w:line="360" w:lineRule="auto"/>
        <w:ind w:firstLine="1440"/>
        <w:rPr>
          <w:sz w:val="26"/>
          <w:szCs w:val="26"/>
        </w:rPr>
      </w:pPr>
      <w:r>
        <w:rPr>
          <w:sz w:val="26"/>
          <w:szCs w:val="26"/>
        </w:rPr>
        <w:t>T</w:t>
      </w:r>
      <w:r w:rsidR="001F0B97">
        <w:rPr>
          <w:sz w:val="26"/>
          <w:szCs w:val="26"/>
        </w:rPr>
        <w:t>he OTS</w:t>
      </w:r>
      <w:r w:rsidR="009B337B">
        <w:rPr>
          <w:sz w:val="26"/>
          <w:szCs w:val="26"/>
        </w:rPr>
        <w:t xml:space="preserve"> continues to </w:t>
      </w:r>
      <w:r w:rsidR="003B31F4">
        <w:rPr>
          <w:sz w:val="26"/>
          <w:szCs w:val="26"/>
        </w:rPr>
        <w:t xml:space="preserve">recommend “the use of a Commission staff calculated cost rate of common equity for the electric industry as presented in the </w:t>
      </w:r>
      <w:r w:rsidR="009B337B">
        <w:rPr>
          <w:sz w:val="26"/>
          <w:szCs w:val="26"/>
        </w:rPr>
        <w:t>Q</w:t>
      </w:r>
      <w:r w:rsidR="00230E2A">
        <w:rPr>
          <w:sz w:val="26"/>
          <w:szCs w:val="26"/>
        </w:rPr>
        <w:t xml:space="preserve">uarterly </w:t>
      </w:r>
      <w:r w:rsidR="009B337B">
        <w:rPr>
          <w:sz w:val="26"/>
          <w:szCs w:val="26"/>
        </w:rPr>
        <w:t>E</w:t>
      </w:r>
      <w:r w:rsidR="00230E2A">
        <w:rPr>
          <w:sz w:val="26"/>
          <w:szCs w:val="26"/>
        </w:rPr>
        <w:t xml:space="preserve">arnings </w:t>
      </w:r>
      <w:r w:rsidR="009B337B">
        <w:rPr>
          <w:sz w:val="26"/>
          <w:szCs w:val="26"/>
        </w:rPr>
        <w:t>R</w:t>
      </w:r>
      <w:r w:rsidR="00230E2A">
        <w:rPr>
          <w:sz w:val="26"/>
          <w:szCs w:val="26"/>
        </w:rPr>
        <w:t>eport.</w:t>
      </w:r>
      <w:r w:rsidR="003B31F4">
        <w:rPr>
          <w:sz w:val="26"/>
          <w:szCs w:val="26"/>
        </w:rPr>
        <w:t>”</w:t>
      </w:r>
      <w:r w:rsidR="00A514C6">
        <w:rPr>
          <w:sz w:val="26"/>
          <w:szCs w:val="26"/>
        </w:rPr>
        <w:t xml:space="preserve">  OTS Exc. at 19-20.  This approach would be consistent with </w:t>
      </w:r>
      <w:r w:rsidR="00187D4A">
        <w:rPr>
          <w:sz w:val="26"/>
          <w:szCs w:val="26"/>
        </w:rPr>
        <w:t xml:space="preserve">the </w:t>
      </w:r>
      <w:r w:rsidR="00A514C6">
        <w:rPr>
          <w:sz w:val="26"/>
          <w:szCs w:val="26"/>
        </w:rPr>
        <w:t>OTS’s proposal to use a barometer group to determine the capital structure</w:t>
      </w:r>
      <w:r w:rsidR="0055022E">
        <w:rPr>
          <w:sz w:val="26"/>
          <w:szCs w:val="26"/>
        </w:rPr>
        <w:t xml:space="preserve"> of all EDCs that are required to submit a smart meter plan</w:t>
      </w:r>
      <w:r w:rsidR="00A514C6">
        <w:rPr>
          <w:sz w:val="26"/>
          <w:szCs w:val="26"/>
        </w:rPr>
        <w:t>.</w:t>
      </w:r>
      <w:r w:rsidR="00230E2A">
        <w:rPr>
          <w:sz w:val="26"/>
          <w:szCs w:val="26"/>
        </w:rPr>
        <w:t xml:space="preserve"> </w:t>
      </w:r>
      <w:r w:rsidR="00535045">
        <w:rPr>
          <w:sz w:val="26"/>
          <w:szCs w:val="26"/>
        </w:rPr>
        <w:t xml:space="preserve"> </w:t>
      </w:r>
      <w:r w:rsidR="00713EC3">
        <w:rPr>
          <w:sz w:val="26"/>
          <w:szCs w:val="26"/>
        </w:rPr>
        <w:t xml:space="preserve">As a result, </w:t>
      </w:r>
      <w:r w:rsidR="00535045">
        <w:rPr>
          <w:sz w:val="26"/>
          <w:szCs w:val="26"/>
        </w:rPr>
        <w:t xml:space="preserve">the </w:t>
      </w:r>
      <w:r w:rsidR="00713EC3">
        <w:rPr>
          <w:sz w:val="26"/>
          <w:szCs w:val="26"/>
        </w:rPr>
        <w:t xml:space="preserve">OTS argues, the cost of common equity would be properly matched with the financial risk associated with the capital structure.  </w:t>
      </w:r>
      <w:r w:rsidR="00713EC3" w:rsidRPr="00713EC3">
        <w:rPr>
          <w:i/>
          <w:sz w:val="26"/>
          <w:szCs w:val="26"/>
        </w:rPr>
        <w:t>Id</w:t>
      </w:r>
      <w:r w:rsidR="00713EC3">
        <w:rPr>
          <w:sz w:val="26"/>
          <w:szCs w:val="26"/>
        </w:rPr>
        <w:t>. at 20, n. 12.</w:t>
      </w:r>
    </w:p>
    <w:p w:rsidR="00713EC3" w:rsidRDefault="00713EC3" w:rsidP="0047609C">
      <w:pPr>
        <w:spacing w:line="360" w:lineRule="auto"/>
        <w:ind w:firstLine="1440"/>
        <w:rPr>
          <w:sz w:val="26"/>
          <w:szCs w:val="26"/>
        </w:rPr>
      </w:pPr>
    </w:p>
    <w:p w:rsidR="00DD6837" w:rsidRDefault="00187D4A" w:rsidP="0047609C">
      <w:pPr>
        <w:spacing w:line="360" w:lineRule="auto"/>
        <w:ind w:firstLine="1440"/>
        <w:rPr>
          <w:sz w:val="26"/>
          <w:szCs w:val="26"/>
        </w:rPr>
      </w:pPr>
      <w:r>
        <w:rPr>
          <w:sz w:val="26"/>
          <w:szCs w:val="26"/>
        </w:rPr>
        <w:t xml:space="preserve">In addition, the </w:t>
      </w:r>
      <w:r w:rsidR="00535045">
        <w:rPr>
          <w:sz w:val="26"/>
          <w:szCs w:val="26"/>
        </w:rPr>
        <w:t>OTS notes that Act 129 permits</w:t>
      </w:r>
      <w:r>
        <w:rPr>
          <w:sz w:val="26"/>
          <w:szCs w:val="26"/>
        </w:rPr>
        <w:t xml:space="preserve"> EDCs to recover smart meter technology costs through base rates or through a reconcilable automatic adjustment clause.  </w:t>
      </w:r>
      <w:r w:rsidR="004A3F2F">
        <w:rPr>
          <w:sz w:val="26"/>
          <w:szCs w:val="26"/>
        </w:rPr>
        <w:t xml:space="preserve">66 Pa. C.S. § 2807(f)(7).  The Companies selected the quicker and simpler </w:t>
      </w:r>
      <w:r w:rsidR="004069CB">
        <w:rPr>
          <w:sz w:val="26"/>
          <w:szCs w:val="26"/>
        </w:rPr>
        <w:t xml:space="preserve">funding mechanism of a reconcilable automatic adjustment.  </w:t>
      </w:r>
      <w:r w:rsidR="004A3F2F">
        <w:rPr>
          <w:sz w:val="26"/>
          <w:szCs w:val="26"/>
        </w:rPr>
        <w:t xml:space="preserve">The OTS argues that its approach is </w:t>
      </w:r>
      <w:r w:rsidR="00F35C1C">
        <w:rPr>
          <w:sz w:val="26"/>
          <w:szCs w:val="26"/>
        </w:rPr>
        <w:t xml:space="preserve">consistent with this choice because it is </w:t>
      </w:r>
      <w:r w:rsidR="004A3F2F">
        <w:rPr>
          <w:sz w:val="26"/>
          <w:szCs w:val="26"/>
        </w:rPr>
        <w:t>simpler and more equitable than</w:t>
      </w:r>
      <w:r w:rsidR="004069CB">
        <w:rPr>
          <w:sz w:val="26"/>
          <w:szCs w:val="26"/>
        </w:rPr>
        <w:t xml:space="preserve"> th</w:t>
      </w:r>
      <w:r w:rsidR="004A3F2F">
        <w:rPr>
          <w:sz w:val="26"/>
          <w:szCs w:val="26"/>
        </w:rPr>
        <w:t>e</w:t>
      </w:r>
      <w:r w:rsidR="003B03BD">
        <w:rPr>
          <w:sz w:val="26"/>
          <w:szCs w:val="26"/>
        </w:rPr>
        <w:t xml:space="preserve"> approach advocated by the Companies.  OTS Exc. at 20.</w:t>
      </w:r>
    </w:p>
    <w:p w:rsidR="00DD6837" w:rsidRDefault="00DD6837" w:rsidP="0047609C">
      <w:pPr>
        <w:spacing w:line="360" w:lineRule="auto"/>
        <w:ind w:firstLine="1440"/>
        <w:rPr>
          <w:sz w:val="26"/>
          <w:szCs w:val="26"/>
        </w:rPr>
      </w:pPr>
    </w:p>
    <w:p w:rsidR="007B4335" w:rsidRDefault="00F35C1C" w:rsidP="0047609C">
      <w:pPr>
        <w:spacing w:line="360" w:lineRule="auto"/>
        <w:ind w:firstLine="1440"/>
        <w:rPr>
          <w:sz w:val="26"/>
          <w:szCs w:val="26"/>
        </w:rPr>
      </w:pPr>
      <w:r>
        <w:rPr>
          <w:sz w:val="26"/>
          <w:szCs w:val="26"/>
        </w:rPr>
        <w:t>The Companies argue that their currently-authorized 10.1% equity return rate is a better proxy for their current cost of equity than a generic figure derived from a barometer group.</w:t>
      </w:r>
      <w:r w:rsidR="007B4335">
        <w:rPr>
          <w:sz w:val="26"/>
          <w:szCs w:val="26"/>
        </w:rPr>
        <w:t xml:space="preserve">  According to </w:t>
      </w:r>
      <w:r w:rsidR="00B55DC4">
        <w:rPr>
          <w:sz w:val="26"/>
          <w:szCs w:val="26"/>
        </w:rPr>
        <w:t>FirstEnergy</w:t>
      </w:r>
      <w:r w:rsidR="007B4335">
        <w:rPr>
          <w:sz w:val="26"/>
          <w:szCs w:val="26"/>
        </w:rPr>
        <w:t xml:space="preserve">, the companies in the barometer group may not </w:t>
      </w:r>
      <w:r w:rsidR="0081499B">
        <w:rPr>
          <w:sz w:val="26"/>
          <w:szCs w:val="26"/>
        </w:rPr>
        <w:t xml:space="preserve">have </w:t>
      </w:r>
      <w:r w:rsidR="007B4335">
        <w:rPr>
          <w:sz w:val="26"/>
          <w:szCs w:val="26"/>
        </w:rPr>
        <w:t xml:space="preserve">the same business risks as do the three </w:t>
      </w:r>
      <w:r w:rsidR="00B55DC4">
        <w:rPr>
          <w:sz w:val="26"/>
          <w:szCs w:val="26"/>
        </w:rPr>
        <w:t>FirstEnergy</w:t>
      </w:r>
      <w:r w:rsidR="007B4335">
        <w:rPr>
          <w:sz w:val="26"/>
          <w:szCs w:val="26"/>
        </w:rPr>
        <w:t xml:space="preserve"> Companies.  </w:t>
      </w:r>
      <w:r w:rsidR="00B55DC4">
        <w:rPr>
          <w:sz w:val="26"/>
          <w:szCs w:val="26"/>
        </w:rPr>
        <w:t>FirstEnergy</w:t>
      </w:r>
      <w:r w:rsidR="0081499B">
        <w:rPr>
          <w:sz w:val="26"/>
          <w:szCs w:val="26"/>
        </w:rPr>
        <w:t xml:space="preserve"> R.Exc. at 14-15.</w:t>
      </w:r>
    </w:p>
    <w:p w:rsidR="007B4335" w:rsidRDefault="007B4335" w:rsidP="0047609C">
      <w:pPr>
        <w:spacing w:line="360" w:lineRule="auto"/>
        <w:ind w:firstLine="1440"/>
        <w:rPr>
          <w:sz w:val="26"/>
          <w:szCs w:val="26"/>
        </w:rPr>
      </w:pPr>
    </w:p>
    <w:p w:rsidR="00ED3CF7" w:rsidRDefault="007B4335" w:rsidP="0047609C">
      <w:pPr>
        <w:spacing w:line="360" w:lineRule="auto"/>
        <w:ind w:firstLine="1440"/>
        <w:rPr>
          <w:sz w:val="26"/>
          <w:szCs w:val="26"/>
        </w:rPr>
      </w:pPr>
      <w:r>
        <w:rPr>
          <w:sz w:val="26"/>
          <w:szCs w:val="26"/>
        </w:rPr>
        <w:t xml:space="preserve">In addition, the Companies note that DSIC proceedings only use a generic equity return rate when more than two years have passed since the rate decision in the pertinent company’s last base rate case.  </w:t>
      </w:r>
      <w:r w:rsidR="0081499B">
        <w:rPr>
          <w:sz w:val="26"/>
          <w:szCs w:val="26"/>
        </w:rPr>
        <w:t xml:space="preserve">“Unlike electric utilities, many water utilities file </w:t>
      </w:r>
      <w:r w:rsidR="0081499B">
        <w:rPr>
          <w:sz w:val="26"/>
          <w:szCs w:val="26"/>
        </w:rPr>
        <w:lastRenderedPageBreak/>
        <w:t>base rate cases on a two-year cycle, thus allowing them to go for extended periods without hav</w:t>
      </w:r>
      <w:r w:rsidR="00535045">
        <w:rPr>
          <w:sz w:val="26"/>
          <w:szCs w:val="26"/>
        </w:rPr>
        <w:t>ing to utilize the FUS</w:t>
      </w:r>
      <w:r w:rsidR="0081499B">
        <w:rPr>
          <w:sz w:val="26"/>
          <w:szCs w:val="26"/>
        </w:rPr>
        <w:t xml:space="preserve"> ‘generic’ return rate in their DSIC calculations.”  </w:t>
      </w:r>
      <w:r w:rsidR="0081499B" w:rsidRPr="0081499B">
        <w:rPr>
          <w:i/>
          <w:sz w:val="26"/>
          <w:szCs w:val="26"/>
        </w:rPr>
        <w:t>Id</w:t>
      </w:r>
      <w:r w:rsidR="0081499B">
        <w:rPr>
          <w:sz w:val="26"/>
          <w:szCs w:val="26"/>
        </w:rPr>
        <w:t>. at 15.</w:t>
      </w:r>
    </w:p>
    <w:p w:rsidR="00ED3CF7" w:rsidRDefault="00ED3CF7" w:rsidP="0047609C">
      <w:pPr>
        <w:spacing w:line="360" w:lineRule="auto"/>
        <w:ind w:firstLine="1440"/>
        <w:rPr>
          <w:sz w:val="26"/>
          <w:szCs w:val="26"/>
        </w:rPr>
      </w:pPr>
    </w:p>
    <w:p w:rsidR="0047609C" w:rsidRDefault="00ED3CF7" w:rsidP="0047609C">
      <w:pPr>
        <w:spacing w:line="360" w:lineRule="auto"/>
        <w:ind w:firstLine="1440"/>
        <w:rPr>
          <w:sz w:val="26"/>
          <w:szCs w:val="26"/>
        </w:rPr>
      </w:pPr>
      <w:r>
        <w:rPr>
          <w:sz w:val="26"/>
          <w:szCs w:val="26"/>
        </w:rPr>
        <w:t xml:space="preserve">The Companies urge the Commission to affirm the ALJ’s decision.  If, however, the Commission chooses to </w:t>
      </w:r>
      <w:r w:rsidR="00D134EB">
        <w:rPr>
          <w:sz w:val="26"/>
          <w:szCs w:val="26"/>
        </w:rPr>
        <w:t xml:space="preserve">use a generic equity cost rate, the Companies argue that the Commission should do so through a rule-making proceeding.  </w:t>
      </w:r>
      <w:r w:rsidR="00D134EB" w:rsidRPr="00D134EB">
        <w:rPr>
          <w:i/>
          <w:sz w:val="26"/>
          <w:szCs w:val="26"/>
        </w:rPr>
        <w:t>Id</w:t>
      </w:r>
      <w:r w:rsidR="00D134EB">
        <w:rPr>
          <w:sz w:val="26"/>
          <w:szCs w:val="26"/>
        </w:rPr>
        <w:t>. at 16.</w:t>
      </w:r>
      <w:r w:rsidR="007B4335">
        <w:rPr>
          <w:sz w:val="26"/>
          <w:szCs w:val="26"/>
        </w:rPr>
        <w:t xml:space="preserve"> </w:t>
      </w:r>
      <w:r w:rsidR="004A3F2F">
        <w:rPr>
          <w:sz w:val="26"/>
          <w:szCs w:val="26"/>
        </w:rPr>
        <w:t xml:space="preserve">   </w:t>
      </w:r>
      <w:r w:rsidR="00187D4A">
        <w:rPr>
          <w:sz w:val="26"/>
          <w:szCs w:val="26"/>
        </w:rPr>
        <w:t xml:space="preserve"> </w:t>
      </w:r>
      <w:r w:rsidR="00230E2A">
        <w:rPr>
          <w:sz w:val="26"/>
          <w:szCs w:val="26"/>
        </w:rPr>
        <w:t xml:space="preserve"> </w:t>
      </w:r>
      <w:r w:rsidR="001F0B97">
        <w:rPr>
          <w:sz w:val="26"/>
          <w:szCs w:val="26"/>
        </w:rPr>
        <w:t xml:space="preserve"> </w:t>
      </w:r>
    </w:p>
    <w:p w:rsidR="0047609C" w:rsidRDefault="0047609C" w:rsidP="0047609C">
      <w:pPr>
        <w:spacing w:line="360" w:lineRule="auto"/>
        <w:ind w:firstLine="1440"/>
        <w:rPr>
          <w:sz w:val="26"/>
          <w:szCs w:val="26"/>
        </w:rPr>
      </w:pPr>
    </w:p>
    <w:p w:rsidR="0047609C" w:rsidRDefault="0047609C" w:rsidP="0047609C">
      <w:pPr>
        <w:spacing w:line="360" w:lineRule="auto"/>
        <w:ind w:firstLine="1440"/>
        <w:rPr>
          <w:sz w:val="26"/>
          <w:szCs w:val="26"/>
        </w:rPr>
      </w:pPr>
      <w:r>
        <w:rPr>
          <w:sz w:val="26"/>
          <w:szCs w:val="26"/>
        </w:rPr>
        <w:t xml:space="preserve">No other Party addressed this aspect of the Initial Decision. </w:t>
      </w:r>
    </w:p>
    <w:p w:rsidR="0047609C" w:rsidRDefault="0047609C" w:rsidP="00EB3313"/>
    <w:p w:rsidR="00EB3313" w:rsidRDefault="00EB3313" w:rsidP="00EB3313">
      <w:pPr>
        <w:pStyle w:val="Heading5"/>
      </w:pPr>
      <w:bookmarkStart w:id="80" w:name="_Toc263848867"/>
      <w:r>
        <w:t>4.</w:t>
      </w:r>
      <w:r>
        <w:tab/>
        <w:t>Disposition</w:t>
      </w:r>
      <w:bookmarkEnd w:id="80"/>
    </w:p>
    <w:p w:rsidR="000A6B98" w:rsidRDefault="000A6B98" w:rsidP="000A6B98">
      <w:pPr>
        <w:spacing w:line="360" w:lineRule="auto"/>
        <w:ind w:firstLine="1440"/>
        <w:rPr>
          <w:sz w:val="26"/>
          <w:szCs w:val="26"/>
        </w:rPr>
      </w:pPr>
    </w:p>
    <w:p w:rsidR="00B82E20" w:rsidRDefault="000A6B98" w:rsidP="000A6B98">
      <w:pPr>
        <w:spacing w:line="360" w:lineRule="auto"/>
        <w:ind w:firstLine="1440"/>
        <w:rPr>
          <w:sz w:val="26"/>
          <w:szCs w:val="26"/>
        </w:rPr>
      </w:pPr>
      <w:r>
        <w:rPr>
          <w:sz w:val="26"/>
          <w:szCs w:val="26"/>
        </w:rPr>
        <w:t>Based upon our review of this issue</w:t>
      </w:r>
      <w:r w:rsidR="00F93533">
        <w:rPr>
          <w:sz w:val="26"/>
          <w:szCs w:val="26"/>
        </w:rPr>
        <w:t>,</w:t>
      </w:r>
      <w:r>
        <w:rPr>
          <w:sz w:val="26"/>
          <w:szCs w:val="26"/>
        </w:rPr>
        <w:t xml:space="preserve"> we </w:t>
      </w:r>
      <w:r w:rsidR="00B82E20">
        <w:rPr>
          <w:sz w:val="26"/>
          <w:szCs w:val="26"/>
        </w:rPr>
        <w:t xml:space="preserve">conclude </w:t>
      </w:r>
      <w:r>
        <w:rPr>
          <w:sz w:val="26"/>
          <w:szCs w:val="26"/>
        </w:rPr>
        <w:t xml:space="preserve">that </w:t>
      </w:r>
      <w:r w:rsidR="00F93533">
        <w:rPr>
          <w:sz w:val="26"/>
          <w:szCs w:val="26"/>
        </w:rPr>
        <w:t xml:space="preserve">the cost of common equity for each Company will be determined as follows:  </w:t>
      </w:r>
      <w:r>
        <w:rPr>
          <w:sz w:val="26"/>
          <w:szCs w:val="26"/>
        </w:rPr>
        <w:t xml:space="preserve">if </w:t>
      </w:r>
      <w:r w:rsidR="00F93533">
        <w:rPr>
          <w:sz w:val="26"/>
          <w:szCs w:val="26"/>
        </w:rPr>
        <w:t xml:space="preserve">that Company has </w:t>
      </w:r>
      <w:r>
        <w:rPr>
          <w:sz w:val="26"/>
          <w:szCs w:val="26"/>
        </w:rPr>
        <w:t xml:space="preserve">a Return on Equity (ROE) </w:t>
      </w:r>
      <w:r w:rsidR="00B82E20">
        <w:rPr>
          <w:sz w:val="26"/>
          <w:szCs w:val="26"/>
        </w:rPr>
        <w:t xml:space="preserve">from a litigated base rate case that </w:t>
      </w:r>
      <w:r>
        <w:rPr>
          <w:sz w:val="26"/>
          <w:szCs w:val="26"/>
        </w:rPr>
        <w:t xml:space="preserve">is less than three years old, that ROE is to be used to determine the weighted average cost of capital under the Plan.  </w:t>
      </w:r>
      <w:r w:rsidR="00F93533">
        <w:rPr>
          <w:sz w:val="26"/>
          <w:szCs w:val="26"/>
        </w:rPr>
        <w:t>I</w:t>
      </w:r>
      <w:r>
        <w:rPr>
          <w:sz w:val="26"/>
          <w:szCs w:val="26"/>
        </w:rPr>
        <w:t>f</w:t>
      </w:r>
      <w:r w:rsidR="00B82E20">
        <w:rPr>
          <w:sz w:val="26"/>
          <w:szCs w:val="26"/>
        </w:rPr>
        <w:t>,</w:t>
      </w:r>
      <w:r>
        <w:rPr>
          <w:sz w:val="26"/>
          <w:szCs w:val="26"/>
        </w:rPr>
        <w:t xml:space="preserve"> however, the last litigated </w:t>
      </w:r>
      <w:r w:rsidR="00B82E20">
        <w:rPr>
          <w:sz w:val="26"/>
          <w:szCs w:val="26"/>
        </w:rPr>
        <w:t xml:space="preserve">base rate case </w:t>
      </w:r>
      <w:r>
        <w:rPr>
          <w:sz w:val="26"/>
          <w:szCs w:val="26"/>
        </w:rPr>
        <w:t xml:space="preserve">is more than three years old, the Quarterly ROEs </w:t>
      </w:r>
      <w:r w:rsidR="00B82E20">
        <w:rPr>
          <w:sz w:val="26"/>
          <w:szCs w:val="26"/>
        </w:rPr>
        <w:t xml:space="preserve">for the electric utility barometer group </w:t>
      </w:r>
      <w:r w:rsidR="00F93533">
        <w:rPr>
          <w:sz w:val="26"/>
          <w:szCs w:val="26"/>
        </w:rPr>
        <w:t xml:space="preserve">included in the </w:t>
      </w:r>
      <w:r w:rsidR="00381414">
        <w:rPr>
          <w:sz w:val="26"/>
          <w:szCs w:val="26"/>
        </w:rPr>
        <w:t xml:space="preserve">then most recent </w:t>
      </w:r>
      <w:r w:rsidR="00F93533">
        <w:rPr>
          <w:sz w:val="26"/>
          <w:szCs w:val="26"/>
        </w:rPr>
        <w:t>Qu</w:t>
      </w:r>
      <w:r>
        <w:rPr>
          <w:sz w:val="26"/>
          <w:szCs w:val="26"/>
        </w:rPr>
        <w:t>arterly Earnings Report is to be utilized</w:t>
      </w:r>
      <w:r w:rsidR="004866F7">
        <w:rPr>
          <w:rStyle w:val="FootnoteReference"/>
          <w:sz w:val="26"/>
          <w:szCs w:val="26"/>
        </w:rPr>
        <w:footnoteReference w:id="4"/>
      </w:r>
      <w:r w:rsidR="004866F7">
        <w:rPr>
          <w:sz w:val="26"/>
          <w:szCs w:val="26"/>
        </w:rPr>
        <w:t xml:space="preserve"> </w:t>
      </w:r>
      <w:r w:rsidR="00B82E20">
        <w:rPr>
          <w:sz w:val="26"/>
          <w:szCs w:val="26"/>
        </w:rPr>
        <w:t>until an ROE is determined in a subs</w:t>
      </w:r>
      <w:r w:rsidR="00EA5FBE">
        <w:rPr>
          <w:sz w:val="26"/>
          <w:szCs w:val="26"/>
        </w:rPr>
        <w:t>equent litigated base rate case, to be effective for the subsequent three year period</w:t>
      </w:r>
      <w:r>
        <w:rPr>
          <w:sz w:val="26"/>
          <w:szCs w:val="26"/>
        </w:rPr>
        <w:t>.</w:t>
      </w:r>
      <w:r w:rsidR="00EA5FBE">
        <w:rPr>
          <w:sz w:val="26"/>
          <w:szCs w:val="26"/>
        </w:rPr>
        <w:t xml:space="preserve">  To the extent that the subsequent base rate case is settled, </w:t>
      </w:r>
      <w:r w:rsidR="0066725D">
        <w:rPr>
          <w:sz w:val="26"/>
          <w:szCs w:val="26"/>
        </w:rPr>
        <w:t xml:space="preserve">the </w:t>
      </w:r>
      <w:r w:rsidR="00916F1D">
        <w:rPr>
          <w:sz w:val="26"/>
          <w:szCs w:val="26"/>
        </w:rPr>
        <w:t>p</w:t>
      </w:r>
      <w:r w:rsidR="00EA5FBE">
        <w:rPr>
          <w:sz w:val="26"/>
          <w:szCs w:val="26"/>
        </w:rPr>
        <w:t xml:space="preserve">arties are to establish the applicable ROE to apply for the purposes of the Plan recovery mechanism in that proceeding. </w:t>
      </w:r>
      <w:r>
        <w:rPr>
          <w:sz w:val="26"/>
          <w:szCs w:val="26"/>
        </w:rPr>
        <w:t xml:space="preserve">  </w:t>
      </w:r>
    </w:p>
    <w:p w:rsidR="000A6B98" w:rsidRDefault="000A6B98" w:rsidP="000A6B98">
      <w:pPr>
        <w:spacing w:line="360" w:lineRule="auto"/>
        <w:ind w:firstLine="1440"/>
        <w:rPr>
          <w:sz w:val="26"/>
          <w:szCs w:val="26"/>
        </w:rPr>
      </w:pPr>
    </w:p>
    <w:p w:rsidR="000A6B98" w:rsidRDefault="000A6B98" w:rsidP="000A6B98">
      <w:pPr>
        <w:spacing w:line="360" w:lineRule="auto"/>
        <w:ind w:firstLine="1440"/>
        <w:rPr>
          <w:sz w:val="26"/>
          <w:szCs w:val="26"/>
        </w:rPr>
      </w:pPr>
      <w:r>
        <w:rPr>
          <w:sz w:val="26"/>
          <w:szCs w:val="26"/>
        </w:rPr>
        <w:t>While the water company DSIC ROE computation is based upon a litigated allowance unless two years has passed since that ROE was established, we believe that a span of three years for those EDCs filing sma</w:t>
      </w:r>
      <w:r w:rsidR="00EA5FBE">
        <w:rPr>
          <w:sz w:val="26"/>
          <w:szCs w:val="26"/>
        </w:rPr>
        <w:t>rt meter plans is reasonable.  Although t</w:t>
      </w:r>
      <w:r>
        <w:rPr>
          <w:sz w:val="26"/>
          <w:szCs w:val="26"/>
        </w:rPr>
        <w:t xml:space="preserve">he </w:t>
      </w:r>
      <w:r>
        <w:rPr>
          <w:sz w:val="26"/>
          <w:szCs w:val="26"/>
        </w:rPr>
        <w:lastRenderedPageBreak/>
        <w:t>three year period may not represent the historic filing of our EDCs over the last two decades, we believe that</w:t>
      </w:r>
      <w:r w:rsidR="00EA5FBE">
        <w:rPr>
          <w:sz w:val="26"/>
          <w:szCs w:val="26"/>
        </w:rPr>
        <w:t>,</w:t>
      </w:r>
      <w:r>
        <w:rPr>
          <w:sz w:val="26"/>
          <w:szCs w:val="26"/>
        </w:rPr>
        <w:t xml:space="preserve"> given today’s economic uncertainty, the use of a </w:t>
      </w:r>
      <w:r w:rsidR="00EA5FBE">
        <w:rPr>
          <w:sz w:val="26"/>
          <w:szCs w:val="26"/>
        </w:rPr>
        <w:t xml:space="preserve">three year period </w:t>
      </w:r>
      <w:r>
        <w:rPr>
          <w:sz w:val="26"/>
          <w:szCs w:val="26"/>
        </w:rPr>
        <w:t>to establish this component of rate recovery is also reasonable.  Accordingly, we shall reverse the recommendation of the ALJ and adopt the OTS’s position.</w:t>
      </w:r>
    </w:p>
    <w:p w:rsidR="00EB3313" w:rsidRDefault="00EB3313" w:rsidP="002F5812">
      <w:pPr>
        <w:spacing w:line="360" w:lineRule="auto"/>
        <w:ind w:firstLine="2160"/>
        <w:rPr>
          <w:sz w:val="26"/>
          <w:szCs w:val="26"/>
        </w:rPr>
      </w:pPr>
    </w:p>
    <w:p w:rsidR="0039323E" w:rsidRDefault="0039323E" w:rsidP="0039323E">
      <w:pPr>
        <w:pStyle w:val="Heading3"/>
      </w:pPr>
      <w:bookmarkStart w:id="81" w:name="_Toc259798224"/>
      <w:bookmarkStart w:id="82" w:name="_Toc263848868"/>
      <w:r>
        <w:t>2.</w:t>
      </w:r>
      <w:r>
        <w:tab/>
        <w:t>SMT-C Filing and Reconciliation Dates and Adjustment Periods</w:t>
      </w:r>
      <w:bookmarkEnd w:id="81"/>
      <w:bookmarkEnd w:id="82"/>
    </w:p>
    <w:p w:rsidR="0039323E" w:rsidRDefault="0039323E" w:rsidP="002F5812">
      <w:pPr>
        <w:spacing w:line="360" w:lineRule="auto"/>
        <w:ind w:firstLine="2160"/>
        <w:rPr>
          <w:sz w:val="26"/>
          <w:szCs w:val="26"/>
        </w:rPr>
      </w:pPr>
    </w:p>
    <w:p w:rsidR="00EB3313" w:rsidRDefault="00EB3313" w:rsidP="00EB3313">
      <w:pPr>
        <w:pStyle w:val="Heading4"/>
      </w:pPr>
      <w:bookmarkStart w:id="83" w:name="_Toc259798225"/>
      <w:bookmarkStart w:id="84" w:name="_Toc263848869"/>
      <w:r>
        <w:t>a.</w:t>
      </w:r>
      <w:r>
        <w:tab/>
      </w:r>
      <w:r w:rsidR="00B55DC4">
        <w:t>FirstEnergy</w:t>
      </w:r>
      <w:r>
        <w:t>’s Plan</w:t>
      </w:r>
      <w:bookmarkEnd w:id="83"/>
      <w:bookmarkEnd w:id="84"/>
    </w:p>
    <w:p w:rsidR="00EB3313" w:rsidRDefault="00EB3313" w:rsidP="00EB3313">
      <w:pPr>
        <w:spacing w:line="360" w:lineRule="auto"/>
        <w:ind w:firstLine="2160"/>
        <w:rPr>
          <w:sz w:val="26"/>
          <w:szCs w:val="26"/>
        </w:rPr>
      </w:pPr>
    </w:p>
    <w:p w:rsidR="00FA2146" w:rsidRDefault="00566399" w:rsidP="00EB3313">
      <w:pPr>
        <w:spacing w:line="360" w:lineRule="auto"/>
        <w:ind w:firstLine="2160"/>
        <w:rPr>
          <w:sz w:val="26"/>
          <w:szCs w:val="26"/>
        </w:rPr>
      </w:pPr>
      <w:r>
        <w:rPr>
          <w:sz w:val="26"/>
          <w:szCs w:val="26"/>
        </w:rPr>
        <w:t xml:space="preserve">The Companies propose that the SMT-C rider be updated and reconciled on an annual basis (unless a material under- or over-collection is expected, in which case </w:t>
      </w:r>
      <w:r w:rsidR="00D21328">
        <w:rPr>
          <w:sz w:val="26"/>
          <w:szCs w:val="26"/>
        </w:rPr>
        <w:t>the Companies would submit a request for an interim revision of rates).  W</w:t>
      </w:r>
      <w:r w:rsidR="006C7DEF">
        <w:rPr>
          <w:sz w:val="26"/>
          <w:szCs w:val="26"/>
        </w:rPr>
        <w:t xml:space="preserve">ith the exception of the initial </w:t>
      </w:r>
      <w:r w:rsidR="005823AE">
        <w:rPr>
          <w:sz w:val="26"/>
          <w:szCs w:val="26"/>
        </w:rPr>
        <w:t xml:space="preserve">SMT-C </w:t>
      </w:r>
      <w:r w:rsidR="006C7DEF">
        <w:rPr>
          <w:sz w:val="26"/>
          <w:szCs w:val="26"/>
        </w:rPr>
        <w:t xml:space="preserve">rates, the Companies propose </w:t>
      </w:r>
      <w:r w:rsidR="005823AE">
        <w:rPr>
          <w:sz w:val="26"/>
          <w:szCs w:val="26"/>
        </w:rPr>
        <w:t>the following milestone dates and deadlines for filing:</w:t>
      </w:r>
    </w:p>
    <w:p w:rsidR="005823AE" w:rsidRDefault="005823AE" w:rsidP="00EB3313">
      <w:pPr>
        <w:spacing w:line="360" w:lineRule="auto"/>
        <w:ind w:firstLine="2160"/>
        <w:rPr>
          <w:sz w:val="26"/>
          <w:szCs w:val="26"/>
        </w:rPr>
      </w:pPr>
    </w:p>
    <w:p w:rsidR="005823AE" w:rsidRDefault="005823AE" w:rsidP="004866F7">
      <w:pPr>
        <w:ind w:firstLine="1440"/>
        <w:rPr>
          <w:sz w:val="26"/>
          <w:szCs w:val="26"/>
        </w:rPr>
      </w:pPr>
      <w:r>
        <w:rPr>
          <w:sz w:val="26"/>
          <w:szCs w:val="26"/>
        </w:rPr>
        <w:t>January 31</w:t>
      </w:r>
      <w:r>
        <w:rPr>
          <w:sz w:val="26"/>
          <w:szCs w:val="26"/>
        </w:rPr>
        <w:tab/>
        <w:t>End of the 12-month SMT-C Reconciliation Year</w:t>
      </w:r>
    </w:p>
    <w:p w:rsidR="005823AE" w:rsidRDefault="005823AE" w:rsidP="005823AE">
      <w:pPr>
        <w:ind w:firstLine="2160"/>
        <w:rPr>
          <w:sz w:val="26"/>
          <w:szCs w:val="26"/>
        </w:rPr>
      </w:pPr>
    </w:p>
    <w:p w:rsidR="005823AE" w:rsidRDefault="005823AE" w:rsidP="004866F7">
      <w:pPr>
        <w:ind w:left="2880" w:right="1440" w:hanging="1440"/>
        <w:rPr>
          <w:sz w:val="26"/>
          <w:szCs w:val="26"/>
        </w:rPr>
      </w:pPr>
      <w:r>
        <w:rPr>
          <w:sz w:val="26"/>
          <w:szCs w:val="26"/>
        </w:rPr>
        <w:t>March 1</w:t>
      </w:r>
      <w:r>
        <w:rPr>
          <w:sz w:val="26"/>
          <w:szCs w:val="26"/>
        </w:rPr>
        <w:tab/>
        <w:t>Filing date for (1) the statement of reconciliation of SMT-C revenues and costs for the Recon</w:t>
      </w:r>
      <w:r w:rsidR="00513251">
        <w:rPr>
          <w:sz w:val="26"/>
          <w:szCs w:val="26"/>
        </w:rPr>
        <w:t>ciliation Year and (2) the SMT-C rates to become effective on April 1 and accompanying information.</w:t>
      </w:r>
    </w:p>
    <w:p w:rsidR="00513251" w:rsidRDefault="00513251" w:rsidP="005823AE">
      <w:pPr>
        <w:ind w:firstLine="2160"/>
        <w:rPr>
          <w:sz w:val="26"/>
          <w:szCs w:val="26"/>
        </w:rPr>
      </w:pPr>
    </w:p>
    <w:p w:rsidR="005F24ED" w:rsidRDefault="00513251" w:rsidP="004866F7">
      <w:pPr>
        <w:ind w:left="2880" w:right="1440" w:hanging="1440"/>
        <w:rPr>
          <w:sz w:val="26"/>
          <w:szCs w:val="26"/>
        </w:rPr>
      </w:pPr>
      <w:r>
        <w:rPr>
          <w:sz w:val="26"/>
          <w:szCs w:val="26"/>
        </w:rPr>
        <w:t>April 1</w:t>
      </w:r>
      <w:r>
        <w:rPr>
          <w:sz w:val="26"/>
          <w:szCs w:val="26"/>
        </w:rPr>
        <w:tab/>
        <w:t xml:space="preserve">Beginning of 12-month SMT-C Computational Year and effective </w:t>
      </w:r>
      <w:r w:rsidR="005F24ED">
        <w:rPr>
          <w:sz w:val="26"/>
          <w:szCs w:val="26"/>
        </w:rPr>
        <w:t xml:space="preserve">date of the proposed </w:t>
      </w:r>
      <w:r w:rsidR="005F24ED">
        <w:rPr>
          <w:sz w:val="26"/>
          <w:szCs w:val="26"/>
        </w:rPr>
        <w:br/>
        <w:t xml:space="preserve">SMT-C rates subject to the Commission’s review of the Companies’ reconciliation statements and public hearings thereon, as required by 66 Pa. C.S. § 1307(e), and subsequent audits, as provide in 66 Pa. C.S. </w:t>
      </w:r>
      <w:r w:rsidR="00067E2F">
        <w:rPr>
          <w:sz w:val="26"/>
          <w:szCs w:val="26"/>
        </w:rPr>
        <w:br/>
      </w:r>
      <w:r w:rsidR="005F24ED">
        <w:rPr>
          <w:sz w:val="26"/>
          <w:szCs w:val="26"/>
        </w:rPr>
        <w:t>§ 1307(d).</w:t>
      </w:r>
    </w:p>
    <w:p w:rsidR="005F24ED" w:rsidRDefault="005F24ED" w:rsidP="005F24ED">
      <w:pPr>
        <w:spacing w:line="360" w:lineRule="auto"/>
        <w:ind w:left="1440" w:right="1440" w:firstLine="720"/>
        <w:rPr>
          <w:sz w:val="26"/>
          <w:szCs w:val="26"/>
        </w:rPr>
      </w:pPr>
    </w:p>
    <w:p w:rsidR="00513251" w:rsidRDefault="00B55DC4" w:rsidP="00F40A4A">
      <w:pPr>
        <w:spacing w:line="360" w:lineRule="auto"/>
        <w:rPr>
          <w:sz w:val="26"/>
          <w:szCs w:val="26"/>
        </w:rPr>
      </w:pPr>
      <w:r>
        <w:rPr>
          <w:sz w:val="26"/>
          <w:szCs w:val="26"/>
        </w:rPr>
        <w:t>FirstEnergy</w:t>
      </w:r>
      <w:r w:rsidR="00F40A4A">
        <w:rPr>
          <w:sz w:val="26"/>
          <w:szCs w:val="26"/>
        </w:rPr>
        <w:t xml:space="preserve"> MB at 30.</w:t>
      </w:r>
      <w:r w:rsidR="005F24ED">
        <w:rPr>
          <w:sz w:val="26"/>
          <w:szCs w:val="26"/>
        </w:rPr>
        <w:t xml:space="preserve"> </w:t>
      </w:r>
      <w:r w:rsidR="00566399">
        <w:rPr>
          <w:sz w:val="26"/>
          <w:szCs w:val="26"/>
        </w:rPr>
        <w:t xml:space="preserve"> </w:t>
      </w:r>
    </w:p>
    <w:p w:rsidR="005823AE" w:rsidRDefault="005823AE" w:rsidP="00EB3313">
      <w:pPr>
        <w:spacing w:line="360" w:lineRule="auto"/>
        <w:ind w:firstLine="2160"/>
        <w:rPr>
          <w:sz w:val="26"/>
          <w:szCs w:val="26"/>
        </w:rPr>
      </w:pPr>
    </w:p>
    <w:p w:rsidR="00566399" w:rsidRDefault="00566399" w:rsidP="009121E7">
      <w:pPr>
        <w:spacing w:line="360" w:lineRule="auto"/>
        <w:ind w:firstLine="1440"/>
        <w:rPr>
          <w:sz w:val="26"/>
          <w:szCs w:val="26"/>
        </w:rPr>
      </w:pPr>
      <w:r>
        <w:rPr>
          <w:sz w:val="26"/>
          <w:szCs w:val="26"/>
        </w:rPr>
        <w:lastRenderedPageBreak/>
        <w:t xml:space="preserve">The </w:t>
      </w:r>
      <w:r w:rsidR="00F40A4A">
        <w:rPr>
          <w:sz w:val="26"/>
          <w:szCs w:val="26"/>
        </w:rPr>
        <w:t xml:space="preserve">OTS recommended that the Commission establish a uniform schedule for smart meter filings, rather than having a </w:t>
      </w:r>
      <w:r w:rsidR="001855E7">
        <w:rPr>
          <w:sz w:val="26"/>
          <w:szCs w:val="26"/>
        </w:rPr>
        <w:t>company-specific</w:t>
      </w:r>
      <w:r w:rsidR="00F40A4A">
        <w:rPr>
          <w:sz w:val="26"/>
          <w:szCs w:val="26"/>
        </w:rPr>
        <w:t xml:space="preserve"> schedule.</w:t>
      </w:r>
      <w:r w:rsidR="009121E7">
        <w:rPr>
          <w:sz w:val="26"/>
          <w:szCs w:val="26"/>
        </w:rPr>
        <w:t xml:space="preserve">  Under the OTS’s proposed</w:t>
      </w:r>
      <w:r w:rsidR="001855E7">
        <w:rPr>
          <w:sz w:val="26"/>
          <w:szCs w:val="26"/>
        </w:rPr>
        <w:t xml:space="preserve"> schedule, the twelve-month Reconciliation Year w</w:t>
      </w:r>
      <w:r w:rsidR="009121E7">
        <w:rPr>
          <w:sz w:val="26"/>
          <w:szCs w:val="26"/>
        </w:rPr>
        <w:t>ould end on June 30</w:t>
      </w:r>
      <w:r w:rsidR="001855E7">
        <w:rPr>
          <w:sz w:val="26"/>
          <w:szCs w:val="26"/>
        </w:rPr>
        <w:t>.  The EDCs would be required to submit their annual filing</w:t>
      </w:r>
      <w:r w:rsidR="009121E7">
        <w:rPr>
          <w:sz w:val="26"/>
          <w:szCs w:val="26"/>
        </w:rPr>
        <w:t>s</w:t>
      </w:r>
      <w:r w:rsidR="001855E7">
        <w:rPr>
          <w:sz w:val="26"/>
          <w:szCs w:val="26"/>
        </w:rPr>
        <w:t xml:space="preserve"> by August 1, the Commission would be required to hold hearings by October 1, and the Commission</w:t>
      </w:r>
      <w:r w:rsidR="00A7404A">
        <w:rPr>
          <w:sz w:val="26"/>
          <w:szCs w:val="26"/>
        </w:rPr>
        <w:t xml:space="preserve"> would be required to issue an O</w:t>
      </w:r>
      <w:r w:rsidR="001855E7">
        <w:rPr>
          <w:sz w:val="26"/>
          <w:szCs w:val="26"/>
        </w:rPr>
        <w:t>rder by December 1</w:t>
      </w:r>
      <w:r w:rsidR="009121E7">
        <w:rPr>
          <w:sz w:val="26"/>
          <w:szCs w:val="26"/>
        </w:rPr>
        <w:t xml:space="preserve">.  The resulting </w:t>
      </w:r>
      <w:r w:rsidR="001855E7">
        <w:rPr>
          <w:sz w:val="26"/>
          <w:szCs w:val="26"/>
        </w:rPr>
        <w:t>tariff</w:t>
      </w:r>
      <w:r w:rsidR="009121E7">
        <w:rPr>
          <w:sz w:val="26"/>
          <w:szCs w:val="26"/>
        </w:rPr>
        <w:t xml:space="preserve"> would be</w:t>
      </w:r>
      <w:r w:rsidR="001855E7">
        <w:rPr>
          <w:sz w:val="26"/>
          <w:szCs w:val="26"/>
        </w:rPr>
        <w:t xml:space="preserve"> effective on January 1.</w:t>
      </w:r>
      <w:r w:rsidR="009121E7">
        <w:rPr>
          <w:sz w:val="26"/>
          <w:szCs w:val="26"/>
        </w:rPr>
        <w:t xml:space="preserve">  OTS MB at 10.</w:t>
      </w:r>
    </w:p>
    <w:p w:rsidR="00566399" w:rsidRDefault="00566399" w:rsidP="009121E7">
      <w:pPr>
        <w:spacing w:line="360" w:lineRule="auto"/>
        <w:ind w:firstLine="1440"/>
        <w:rPr>
          <w:sz w:val="26"/>
          <w:szCs w:val="26"/>
        </w:rPr>
      </w:pPr>
    </w:p>
    <w:p w:rsidR="005823AE" w:rsidRDefault="00566399" w:rsidP="009121E7">
      <w:pPr>
        <w:spacing w:line="360" w:lineRule="auto"/>
        <w:ind w:firstLine="1440"/>
        <w:rPr>
          <w:sz w:val="26"/>
          <w:szCs w:val="26"/>
        </w:rPr>
      </w:pPr>
      <w:r>
        <w:rPr>
          <w:sz w:val="26"/>
          <w:szCs w:val="26"/>
        </w:rPr>
        <w:t>In addition</w:t>
      </w:r>
      <w:r w:rsidR="00D21328">
        <w:rPr>
          <w:sz w:val="26"/>
          <w:szCs w:val="26"/>
        </w:rPr>
        <w:t xml:space="preserve"> to the annual rate adjustment and reconciliation, the OTS recommended that rates should be reviewed and adjusted quarterly.  This would minimize the impact of projection errors and avoid “dramatic</w:t>
      </w:r>
      <w:r w:rsidR="00095EC9">
        <w:rPr>
          <w:sz w:val="26"/>
          <w:szCs w:val="26"/>
        </w:rPr>
        <w:t xml:space="preserve"> fluctuations” in rates as a result of annual adjustments</w:t>
      </w:r>
      <w:r w:rsidR="00D21328">
        <w:rPr>
          <w:sz w:val="26"/>
          <w:szCs w:val="26"/>
        </w:rPr>
        <w:t>.  OTS MB at 12.</w:t>
      </w:r>
      <w:r w:rsidR="00095EC9">
        <w:rPr>
          <w:sz w:val="26"/>
          <w:szCs w:val="26"/>
        </w:rPr>
        <w:t xml:space="preserve">  </w:t>
      </w:r>
      <w:r w:rsidR="00066031">
        <w:rPr>
          <w:sz w:val="26"/>
          <w:szCs w:val="26"/>
        </w:rPr>
        <w:t xml:space="preserve">The </w:t>
      </w:r>
      <w:r w:rsidR="00095EC9">
        <w:rPr>
          <w:sz w:val="26"/>
          <w:szCs w:val="26"/>
        </w:rPr>
        <w:t>OTS argued that these filings should be due at least ten days before the beginning of each calendar quarter, to allow for rate adjustments on January 1, April 1, July 1 and October 1.</w:t>
      </w:r>
      <w:r w:rsidR="00D21328">
        <w:rPr>
          <w:sz w:val="26"/>
          <w:szCs w:val="26"/>
        </w:rPr>
        <w:t xml:space="preserve">  </w:t>
      </w:r>
      <w:r w:rsidR="001855E7">
        <w:rPr>
          <w:sz w:val="26"/>
          <w:szCs w:val="26"/>
        </w:rPr>
        <w:t xml:space="preserve">  </w:t>
      </w:r>
      <w:r w:rsidR="00F40A4A">
        <w:rPr>
          <w:sz w:val="26"/>
          <w:szCs w:val="26"/>
        </w:rPr>
        <w:t xml:space="preserve">  </w:t>
      </w:r>
    </w:p>
    <w:p w:rsidR="00FA2146" w:rsidRDefault="00FA2146" w:rsidP="00EB3313">
      <w:pPr>
        <w:spacing w:line="360" w:lineRule="auto"/>
        <w:ind w:firstLine="2160"/>
        <w:rPr>
          <w:sz w:val="26"/>
          <w:szCs w:val="26"/>
        </w:rPr>
      </w:pPr>
    </w:p>
    <w:p w:rsidR="00EB3313" w:rsidRDefault="00EB3313" w:rsidP="00EB3313">
      <w:pPr>
        <w:pStyle w:val="Heading4"/>
      </w:pPr>
      <w:bookmarkStart w:id="85" w:name="_Toc259798226"/>
      <w:bookmarkStart w:id="86" w:name="_Toc263848870"/>
      <w:r>
        <w:t>b.</w:t>
      </w:r>
      <w:r>
        <w:tab/>
        <w:t>ALJ’s Recommendation</w:t>
      </w:r>
      <w:bookmarkEnd w:id="85"/>
      <w:bookmarkEnd w:id="86"/>
    </w:p>
    <w:p w:rsidR="00EB3313" w:rsidRDefault="00EB3313" w:rsidP="00EB3313">
      <w:pPr>
        <w:spacing w:line="360" w:lineRule="auto"/>
        <w:ind w:firstLine="2160"/>
        <w:rPr>
          <w:sz w:val="26"/>
          <w:szCs w:val="26"/>
        </w:rPr>
      </w:pPr>
    </w:p>
    <w:p w:rsidR="00F14DD2" w:rsidRPr="00F108C2" w:rsidRDefault="00A367FA" w:rsidP="00EB3313">
      <w:pPr>
        <w:spacing w:line="360" w:lineRule="auto"/>
        <w:ind w:firstLine="2160"/>
        <w:rPr>
          <w:sz w:val="26"/>
          <w:szCs w:val="26"/>
        </w:rPr>
      </w:pPr>
      <w:r>
        <w:rPr>
          <w:sz w:val="26"/>
          <w:szCs w:val="26"/>
        </w:rPr>
        <w:t xml:space="preserve">With regard to filing and reconciliation dates and adjustment periods, the ALJ found the Companies’ Plan reasonable and consistent with both Act 129 and the </w:t>
      </w:r>
      <w:r w:rsidR="004665D7">
        <w:rPr>
          <w:i/>
          <w:sz w:val="26"/>
          <w:szCs w:val="26"/>
        </w:rPr>
        <w:t xml:space="preserve">Implementation Order.  </w:t>
      </w:r>
      <w:r w:rsidR="00F108C2">
        <w:rPr>
          <w:sz w:val="26"/>
          <w:szCs w:val="26"/>
        </w:rPr>
        <w:t xml:space="preserve">The ALJ was not persuaded that the timetables of the EDCs need to match, nor was she persuaded that the Companies’ ratepayers should pay </w:t>
      </w:r>
      <w:r w:rsidR="00F27F14">
        <w:rPr>
          <w:sz w:val="26"/>
          <w:szCs w:val="26"/>
        </w:rPr>
        <w:t xml:space="preserve">the cost of </w:t>
      </w:r>
      <w:r w:rsidR="00F108C2">
        <w:rPr>
          <w:sz w:val="26"/>
          <w:szCs w:val="26"/>
        </w:rPr>
        <w:t xml:space="preserve">quarterly </w:t>
      </w:r>
      <w:r w:rsidR="00F27F14">
        <w:rPr>
          <w:sz w:val="26"/>
          <w:szCs w:val="26"/>
        </w:rPr>
        <w:t xml:space="preserve">reports and </w:t>
      </w:r>
      <w:r w:rsidR="00F108C2">
        <w:rPr>
          <w:sz w:val="26"/>
          <w:szCs w:val="26"/>
        </w:rPr>
        <w:t>adjustments.</w:t>
      </w:r>
      <w:r w:rsidR="00F27F14">
        <w:rPr>
          <w:sz w:val="26"/>
          <w:szCs w:val="26"/>
        </w:rPr>
        <w:t xml:space="preserve">  She therefore rejected the OTS’s proposal and approved the Companies’ proposed filing and reconciliation dates and adjustment periods. </w:t>
      </w:r>
      <w:r w:rsidR="007C4A07">
        <w:rPr>
          <w:sz w:val="26"/>
          <w:szCs w:val="26"/>
        </w:rPr>
        <w:t>I.D.</w:t>
      </w:r>
      <w:r w:rsidR="00F27F14">
        <w:rPr>
          <w:sz w:val="26"/>
          <w:szCs w:val="26"/>
        </w:rPr>
        <w:t>at 38-41.</w:t>
      </w:r>
      <w:r w:rsidR="00F108C2">
        <w:rPr>
          <w:sz w:val="26"/>
          <w:szCs w:val="26"/>
        </w:rPr>
        <w:t xml:space="preserve">  </w:t>
      </w:r>
    </w:p>
    <w:p w:rsidR="00F14DD2" w:rsidRDefault="00F14DD2" w:rsidP="00EB3313">
      <w:pPr>
        <w:spacing w:line="360" w:lineRule="auto"/>
        <w:ind w:firstLine="2160"/>
        <w:rPr>
          <w:sz w:val="26"/>
          <w:szCs w:val="26"/>
        </w:rPr>
      </w:pPr>
    </w:p>
    <w:p w:rsidR="00EB3313" w:rsidRDefault="00EB3313" w:rsidP="00EB3313">
      <w:pPr>
        <w:pStyle w:val="Heading4"/>
      </w:pPr>
      <w:bookmarkStart w:id="87" w:name="_Toc259798227"/>
      <w:bookmarkStart w:id="88" w:name="_Toc263848871"/>
      <w:r>
        <w:t>c.</w:t>
      </w:r>
      <w:r>
        <w:tab/>
        <w:t>Positions of the Parties</w:t>
      </w:r>
      <w:bookmarkEnd w:id="87"/>
      <w:bookmarkEnd w:id="88"/>
    </w:p>
    <w:p w:rsidR="00EB3313" w:rsidRPr="00A22AAC" w:rsidRDefault="00EB3313" w:rsidP="00EB3313">
      <w:pPr>
        <w:rPr>
          <w:sz w:val="26"/>
          <w:szCs w:val="26"/>
        </w:rPr>
      </w:pPr>
    </w:p>
    <w:p w:rsidR="00ED44E6" w:rsidRDefault="00A22AAC" w:rsidP="00A22AAC">
      <w:pPr>
        <w:spacing w:line="360" w:lineRule="auto"/>
        <w:ind w:firstLine="1440"/>
        <w:rPr>
          <w:sz w:val="26"/>
          <w:szCs w:val="26"/>
        </w:rPr>
      </w:pPr>
      <w:r>
        <w:rPr>
          <w:sz w:val="26"/>
          <w:szCs w:val="26"/>
        </w:rPr>
        <w:t xml:space="preserve">The OTS argues that the ALJ erred by not establishing a uniform </w:t>
      </w:r>
      <w:r w:rsidR="00E02DA3">
        <w:rPr>
          <w:sz w:val="26"/>
          <w:szCs w:val="26"/>
        </w:rPr>
        <w:t xml:space="preserve">schedule for filing dates and </w:t>
      </w:r>
      <w:r>
        <w:rPr>
          <w:sz w:val="26"/>
          <w:szCs w:val="26"/>
        </w:rPr>
        <w:t>reconciliation period</w:t>
      </w:r>
      <w:r w:rsidR="00E02DA3">
        <w:rPr>
          <w:sz w:val="26"/>
          <w:szCs w:val="26"/>
        </w:rPr>
        <w:t>s</w:t>
      </w:r>
      <w:r>
        <w:rPr>
          <w:sz w:val="26"/>
          <w:szCs w:val="26"/>
        </w:rPr>
        <w:t xml:space="preserve">.  </w:t>
      </w:r>
      <w:r w:rsidR="002D10B1">
        <w:rPr>
          <w:sz w:val="26"/>
          <w:szCs w:val="26"/>
        </w:rPr>
        <w:t xml:space="preserve">OTS Exc. at 7-9.  </w:t>
      </w:r>
      <w:r>
        <w:rPr>
          <w:sz w:val="26"/>
          <w:szCs w:val="26"/>
        </w:rPr>
        <w:t xml:space="preserve">According to the OTS, </w:t>
      </w:r>
      <w:r w:rsidR="00E02DA3">
        <w:rPr>
          <w:sz w:val="26"/>
          <w:szCs w:val="26"/>
        </w:rPr>
        <w:t xml:space="preserve">such </w:t>
      </w:r>
      <w:r>
        <w:rPr>
          <w:sz w:val="26"/>
          <w:szCs w:val="26"/>
        </w:rPr>
        <w:lastRenderedPageBreak/>
        <w:t>a uniform schedule would promote administrative and judicial efficiency</w:t>
      </w:r>
      <w:r w:rsidR="00FF3F3E">
        <w:rPr>
          <w:sz w:val="26"/>
          <w:szCs w:val="26"/>
        </w:rPr>
        <w:t xml:space="preserve"> for the Commission and all parties involved in EDC smart meter proceedings</w:t>
      </w:r>
      <w:r>
        <w:rPr>
          <w:sz w:val="26"/>
          <w:szCs w:val="26"/>
        </w:rPr>
        <w:t>.</w:t>
      </w:r>
      <w:r w:rsidR="00FF3F3E">
        <w:rPr>
          <w:sz w:val="26"/>
          <w:szCs w:val="26"/>
        </w:rPr>
        <w:t xml:space="preserve">  </w:t>
      </w:r>
      <w:r w:rsidR="00A7404A">
        <w:rPr>
          <w:sz w:val="26"/>
          <w:szCs w:val="26"/>
        </w:rPr>
        <w:t>In this regard, t</w:t>
      </w:r>
      <w:r w:rsidR="00FF3F3E">
        <w:rPr>
          <w:sz w:val="26"/>
          <w:szCs w:val="26"/>
        </w:rPr>
        <w:t xml:space="preserve">he OTS notes </w:t>
      </w:r>
      <w:r w:rsidR="00ED44E6">
        <w:rPr>
          <w:sz w:val="26"/>
          <w:szCs w:val="26"/>
        </w:rPr>
        <w:t>that the Commission engages in an extensive review process for both gas distribution companies’ annual 1307(f) proceedings and EDCs’ annual Energy Efficiency and Conservation Plan proceedings</w:t>
      </w:r>
      <w:r w:rsidR="00A7404A">
        <w:rPr>
          <w:sz w:val="26"/>
          <w:szCs w:val="26"/>
        </w:rPr>
        <w:t>:</w:t>
      </w:r>
      <w:r w:rsidR="00ED44E6">
        <w:rPr>
          <w:sz w:val="26"/>
          <w:szCs w:val="26"/>
        </w:rPr>
        <w:t xml:space="preserve">  </w:t>
      </w:r>
    </w:p>
    <w:p w:rsidR="00ED44E6" w:rsidRDefault="00ED44E6" w:rsidP="00ED44E6">
      <w:pPr>
        <w:ind w:firstLine="1440"/>
        <w:rPr>
          <w:sz w:val="26"/>
          <w:szCs w:val="26"/>
        </w:rPr>
      </w:pPr>
    </w:p>
    <w:p w:rsidR="00A22AAC" w:rsidRDefault="00FF3F3E" w:rsidP="00ED44E6">
      <w:pPr>
        <w:ind w:left="1440" w:right="1440"/>
        <w:rPr>
          <w:sz w:val="26"/>
          <w:szCs w:val="26"/>
        </w:rPr>
      </w:pPr>
      <w:r>
        <w:rPr>
          <w:sz w:val="26"/>
          <w:szCs w:val="26"/>
        </w:rPr>
        <w:t>Synchronizing the filing and review dates between those for the smart meter filings and those for such other annual Commission review proceedings to avoid each other during the year</w:t>
      </w:r>
      <w:r w:rsidR="00ED44E6">
        <w:rPr>
          <w:sz w:val="26"/>
          <w:szCs w:val="26"/>
        </w:rPr>
        <w:t xml:space="preserve"> will allow the Office of Administrative Law Judge (“OALJ”), the statutory and other interested parties and particularly the Commission sufficient time to review and rule upon all aspects of such filings, and in particular the reported costs to be assessed to ratepayers.</w:t>
      </w:r>
    </w:p>
    <w:p w:rsidR="009B7286" w:rsidRDefault="009B7286" w:rsidP="009B7286">
      <w:pPr>
        <w:spacing w:line="360" w:lineRule="auto"/>
        <w:ind w:left="1440" w:right="1440"/>
        <w:rPr>
          <w:sz w:val="26"/>
          <w:szCs w:val="26"/>
        </w:rPr>
      </w:pPr>
    </w:p>
    <w:p w:rsidR="00FF3F3E" w:rsidRDefault="002D10B1" w:rsidP="00673C4C">
      <w:pPr>
        <w:spacing w:line="360" w:lineRule="auto"/>
        <w:rPr>
          <w:sz w:val="26"/>
          <w:szCs w:val="26"/>
        </w:rPr>
      </w:pPr>
      <w:r w:rsidRPr="002D10B1">
        <w:rPr>
          <w:i/>
          <w:sz w:val="26"/>
          <w:szCs w:val="26"/>
        </w:rPr>
        <w:t>Id</w:t>
      </w:r>
      <w:r w:rsidR="00673C4C">
        <w:rPr>
          <w:sz w:val="26"/>
          <w:szCs w:val="26"/>
        </w:rPr>
        <w:t>. at 8.</w:t>
      </w:r>
      <w:r w:rsidR="00E02DA3">
        <w:rPr>
          <w:sz w:val="26"/>
          <w:szCs w:val="26"/>
        </w:rPr>
        <w:t xml:space="preserve">  Finally, the OTS suggests that a uniform </w:t>
      </w:r>
      <w:r>
        <w:rPr>
          <w:sz w:val="26"/>
          <w:szCs w:val="26"/>
        </w:rPr>
        <w:t xml:space="preserve">schedule for filing dates and reconciliation periods would improve the Commission’s ability to ensure consistency in its decisions regarding smart meter plans. </w:t>
      </w:r>
    </w:p>
    <w:p w:rsidR="00673C4C" w:rsidRDefault="00673C4C" w:rsidP="00673C4C">
      <w:pPr>
        <w:spacing w:line="360" w:lineRule="auto"/>
        <w:ind w:firstLine="1440"/>
        <w:rPr>
          <w:sz w:val="26"/>
          <w:szCs w:val="26"/>
        </w:rPr>
      </w:pPr>
    </w:p>
    <w:p w:rsidR="009B7286" w:rsidRDefault="002D10B1" w:rsidP="00673C4C">
      <w:pPr>
        <w:spacing w:line="360" w:lineRule="auto"/>
        <w:ind w:firstLine="1440"/>
        <w:rPr>
          <w:sz w:val="26"/>
          <w:szCs w:val="26"/>
        </w:rPr>
      </w:pPr>
      <w:r>
        <w:rPr>
          <w:sz w:val="26"/>
          <w:szCs w:val="26"/>
        </w:rPr>
        <w:t xml:space="preserve">The OTS also argues that the ALJ erred by not requiring the Companies to </w:t>
      </w:r>
      <w:r w:rsidR="00030DCE">
        <w:rPr>
          <w:sz w:val="26"/>
          <w:szCs w:val="26"/>
        </w:rPr>
        <w:t xml:space="preserve">make </w:t>
      </w:r>
      <w:r>
        <w:rPr>
          <w:sz w:val="26"/>
          <w:szCs w:val="26"/>
        </w:rPr>
        <w:t xml:space="preserve">quarterly </w:t>
      </w:r>
      <w:r w:rsidR="00030DCE">
        <w:rPr>
          <w:sz w:val="26"/>
          <w:szCs w:val="26"/>
        </w:rPr>
        <w:t xml:space="preserve">filings, so that their </w:t>
      </w:r>
      <w:r w:rsidR="002E3F47">
        <w:rPr>
          <w:sz w:val="26"/>
          <w:szCs w:val="26"/>
        </w:rPr>
        <w:t>SMT-C R</w:t>
      </w:r>
      <w:r w:rsidR="00AE14CC">
        <w:rPr>
          <w:sz w:val="26"/>
          <w:szCs w:val="26"/>
        </w:rPr>
        <w:t>iders</w:t>
      </w:r>
      <w:r w:rsidR="00030DCE">
        <w:rPr>
          <w:sz w:val="26"/>
          <w:szCs w:val="26"/>
        </w:rPr>
        <w:t xml:space="preserve"> can be reviewed and potentially adjusted</w:t>
      </w:r>
      <w:r w:rsidR="002E3F47">
        <w:rPr>
          <w:sz w:val="26"/>
          <w:szCs w:val="26"/>
        </w:rPr>
        <w:t xml:space="preserve"> more regularly</w:t>
      </w:r>
      <w:r w:rsidR="00AE14CC">
        <w:rPr>
          <w:sz w:val="26"/>
          <w:szCs w:val="26"/>
        </w:rPr>
        <w:t xml:space="preserve">.  </w:t>
      </w:r>
      <w:r w:rsidR="00030DCE">
        <w:rPr>
          <w:sz w:val="26"/>
          <w:szCs w:val="26"/>
        </w:rPr>
        <w:t>OTS Exc. at 9-13.</w:t>
      </w:r>
      <w:r w:rsidR="002F0C6C">
        <w:rPr>
          <w:sz w:val="26"/>
          <w:szCs w:val="26"/>
        </w:rPr>
        <w:t xml:space="preserve"> </w:t>
      </w:r>
      <w:r w:rsidR="00942C26">
        <w:rPr>
          <w:sz w:val="26"/>
          <w:szCs w:val="26"/>
        </w:rPr>
        <w:t xml:space="preserve"> </w:t>
      </w:r>
      <w:r w:rsidR="002F0C6C">
        <w:rPr>
          <w:sz w:val="26"/>
          <w:szCs w:val="26"/>
        </w:rPr>
        <w:t>The OTS contends that the Companies’ reasons for opposing the proposed quarterly filings are unpersuasive.  According to the OTS, the Companies should be tracking their expenditures and reviewing their projects</w:t>
      </w:r>
      <w:r w:rsidR="003040EC">
        <w:rPr>
          <w:sz w:val="26"/>
          <w:szCs w:val="26"/>
        </w:rPr>
        <w:t xml:space="preserve"> on an on-going basis</w:t>
      </w:r>
      <w:r w:rsidR="002F0C6C">
        <w:rPr>
          <w:sz w:val="26"/>
          <w:szCs w:val="26"/>
        </w:rPr>
        <w:t>, so a requirement t</w:t>
      </w:r>
      <w:r w:rsidR="003040EC">
        <w:rPr>
          <w:sz w:val="26"/>
          <w:szCs w:val="26"/>
        </w:rPr>
        <w:t>hat they</w:t>
      </w:r>
      <w:r w:rsidR="002F0C6C">
        <w:rPr>
          <w:sz w:val="26"/>
          <w:szCs w:val="26"/>
        </w:rPr>
        <w:t xml:space="preserve"> file this information with the Commission “should not be a major undertaking.”  </w:t>
      </w:r>
      <w:r w:rsidR="002F0C6C" w:rsidRPr="001A30AB">
        <w:rPr>
          <w:i/>
          <w:sz w:val="26"/>
          <w:szCs w:val="26"/>
        </w:rPr>
        <w:t>Id</w:t>
      </w:r>
      <w:r w:rsidR="002F0C6C">
        <w:rPr>
          <w:sz w:val="26"/>
          <w:szCs w:val="26"/>
        </w:rPr>
        <w:t xml:space="preserve">. at 11.  </w:t>
      </w:r>
      <w:r w:rsidR="001A30AB">
        <w:rPr>
          <w:sz w:val="26"/>
          <w:szCs w:val="26"/>
        </w:rPr>
        <w:t>The OTS further argues that there is no record evidence supporting the Companies’ claim that the Commission and the parties would incur significant additional costs as a result of the quarterly filing and review process</w:t>
      </w:r>
      <w:r w:rsidR="00941D81">
        <w:rPr>
          <w:sz w:val="26"/>
          <w:szCs w:val="26"/>
        </w:rPr>
        <w:t xml:space="preserve">.  Similarly, the OTS submits that </w:t>
      </w:r>
      <w:r w:rsidR="001A30AB">
        <w:rPr>
          <w:sz w:val="26"/>
          <w:szCs w:val="26"/>
        </w:rPr>
        <w:t xml:space="preserve">there </w:t>
      </w:r>
      <w:r w:rsidR="00941D81">
        <w:rPr>
          <w:sz w:val="26"/>
          <w:szCs w:val="26"/>
        </w:rPr>
        <w:t xml:space="preserve">is no </w:t>
      </w:r>
      <w:r w:rsidR="001A30AB">
        <w:rPr>
          <w:sz w:val="26"/>
          <w:szCs w:val="26"/>
        </w:rPr>
        <w:t>record evidence supporting the Companies’ claim that the SMT-C riders should not vary materially from quarter to quarter.</w:t>
      </w:r>
    </w:p>
    <w:p w:rsidR="009B7286" w:rsidRDefault="009B7286" w:rsidP="00673C4C">
      <w:pPr>
        <w:spacing w:line="360" w:lineRule="auto"/>
        <w:ind w:firstLine="1440"/>
        <w:rPr>
          <w:sz w:val="26"/>
          <w:szCs w:val="26"/>
        </w:rPr>
      </w:pPr>
    </w:p>
    <w:p w:rsidR="002D10B1" w:rsidRDefault="0016470C" w:rsidP="00673C4C">
      <w:pPr>
        <w:spacing w:line="360" w:lineRule="auto"/>
        <w:ind w:firstLine="1440"/>
        <w:rPr>
          <w:sz w:val="26"/>
          <w:szCs w:val="26"/>
        </w:rPr>
      </w:pPr>
      <w:r>
        <w:rPr>
          <w:sz w:val="26"/>
          <w:szCs w:val="26"/>
        </w:rPr>
        <w:lastRenderedPageBreak/>
        <w:t>With regard to the OTS’ proposal for a uniform schedule</w:t>
      </w:r>
      <w:r w:rsidR="00E740A1">
        <w:rPr>
          <w:sz w:val="26"/>
          <w:szCs w:val="26"/>
        </w:rPr>
        <w:t xml:space="preserve"> for filing dates and reconciliation periods</w:t>
      </w:r>
      <w:r>
        <w:rPr>
          <w:sz w:val="26"/>
          <w:szCs w:val="26"/>
        </w:rPr>
        <w:t>, t</w:t>
      </w:r>
      <w:r w:rsidR="009B7286">
        <w:rPr>
          <w:sz w:val="26"/>
          <w:szCs w:val="26"/>
        </w:rPr>
        <w:t xml:space="preserve">he Companies </w:t>
      </w:r>
      <w:r w:rsidR="00E740A1">
        <w:rPr>
          <w:sz w:val="26"/>
          <w:szCs w:val="26"/>
        </w:rPr>
        <w:t xml:space="preserve">argue </w:t>
      </w:r>
      <w:r w:rsidR="009B7286">
        <w:rPr>
          <w:sz w:val="26"/>
          <w:szCs w:val="26"/>
        </w:rPr>
        <w:t>that th</w:t>
      </w:r>
      <w:r w:rsidR="000269EE">
        <w:rPr>
          <w:sz w:val="26"/>
          <w:szCs w:val="26"/>
        </w:rPr>
        <w:t>e OTS offers no new arguments</w:t>
      </w:r>
      <w:r w:rsidR="00E740A1">
        <w:rPr>
          <w:sz w:val="26"/>
          <w:szCs w:val="26"/>
        </w:rPr>
        <w:t>.  The Companies submit that the OTS</w:t>
      </w:r>
      <w:r w:rsidR="000269EE">
        <w:rPr>
          <w:sz w:val="26"/>
          <w:szCs w:val="26"/>
        </w:rPr>
        <w:t xml:space="preserve"> renews arguments that were considered and </w:t>
      </w:r>
      <w:r w:rsidR="002E3F47">
        <w:rPr>
          <w:sz w:val="26"/>
          <w:szCs w:val="26"/>
        </w:rPr>
        <w:t xml:space="preserve">properly </w:t>
      </w:r>
      <w:r w:rsidR="000269EE">
        <w:rPr>
          <w:sz w:val="26"/>
          <w:szCs w:val="26"/>
        </w:rPr>
        <w:t xml:space="preserve">rejected by the ALJ.  </w:t>
      </w:r>
      <w:r w:rsidR="00E740A1">
        <w:rPr>
          <w:sz w:val="26"/>
          <w:szCs w:val="26"/>
        </w:rPr>
        <w:t>According to t</w:t>
      </w:r>
      <w:r w:rsidR="001F5B92">
        <w:rPr>
          <w:sz w:val="26"/>
          <w:szCs w:val="26"/>
        </w:rPr>
        <w:t>he Companies</w:t>
      </w:r>
      <w:r w:rsidR="00E740A1">
        <w:rPr>
          <w:sz w:val="26"/>
          <w:szCs w:val="26"/>
        </w:rPr>
        <w:t xml:space="preserve">, </w:t>
      </w:r>
      <w:r w:rsidR="001F5B92">
        <w:rPr>
          <w:sz w:val="26"/>
          <w:szCs w:val="26"/>
        </w:rPr>
        <w:t xml:space="preserve">the ALJ </w:t>
      </w:r>
      <w:r w:rsidR="002E3F47">
        <w:rPr>
          <w:sz w:val="26"/>
          <w:szCs w:val="26"/>
        </w:rPr>
        <w:t>correct</w:t>
      </w:r>
      <w:r w:rsidR="001F5B92">
        <w:rPr>
          <w:sz w:val="26"/>
          <w:szCs w:val="26"/>
        </w:rPr>
        <w:t xml:space="preserve">ly concluded that the Companies’ </w:t>
      </w:r>
      <w:r w:rsidR="00E740A1">
        <w:rPr>
          <w:sz w:val="26"/>
          <w:szCs w:val="26"/>
        </w:rPr>
        <w:t xml:space="preserve">proposed schedule </w:t>
      </w:r>
      <w:r w:rsidR="001F5B92">
        <w:rPr>
          <w:sz w:val="26"/>
          <w:szCs w:val="26"/>
        </w:rPr>
        <w:t>is reasonable and consistent with Section 1307.  The Companies reiterate their argument that the OTS’</w:t>
      </w:r>
      <w:r w:rsidR="00066031">
        <w:rPr>
          <w:sz w:val="26"/>
          <w:szCs w:val="26"/>
        </w:rPr>
        <w:t>s</w:t>
      </w:r>
      <w:r w:rsidR="001F5B92">
        <w:rPr>
          <w:sz w:val="26"/>
          <w:szCs w:val="26"/>
        </w:rPr>
        <w:t xml:space="preserve"> p</w:t>
      </w:r>
      <w:r w:rsidR="00FF3839">
        <w:rPr>
          <w:sz w:val="26"/>
          <w:szCs w:val="26"/>
        </w:rPr>
        <w:t>roposed uniform schedule would introduce a</w:t>
      </w:r>
      <w:r w:rsidR="00E740A1">
        <w:rPr>
          <w:sz w:val="26"/>
          <w:szCs w:val="26"/>
        </w:rPr>
        <w:t>n unnecessary</w:t>
      </w:r>
      <w:r w:rsidR="00FF3839">
        <w:rPr>
          <w:sz w:val="26"/>
          <w:szCs w:val="26"/>
        </w:rPr>
        <w:t xml:space="preserve"> six-month delay between the end of the Reconciliation Year and the effective date of the adjusted tariffs.  They further contend that this </w:t>
      </w:r>
      <w:r w:rsidR="000269EE">
        <w:rPr>
          <w:sz w:val="26"/>
          <w:szCs w:val="26"/>
        </w:rPr>
        <w:t xml:space="preserve">period </w:t>
      </w:r>
      <w:r w:rsidR="00FF3839">
        <w:rPr>
          <w:sz w:val="26"/>
          <w:szCs w:val="26"/>
        </w:rPr>
        <w:t xml:space="preserve">is four months longer than the </w:t>
      </w:r>
      <w:r w:rsidR="000269EE">
        <w:rPr>
          <w:sz w:val="26"/>
          <w:szCs w:val="26"/>
        </w:rPr>
        <w:t>comparable period in Section 1307 adjustment clause proceedings.</w:t>
      </w:r>
      <w:r w:rsidR="00FF3839">
        <w:rPr>
          <w:sz w:val="26"/>
          <w:szCs w:val="26"/>
        </w:rPr>
        <w:t xml:space="preserve"> </w:t>
      </w:r>
      <w:r w:rsidR="001F5B92">
        <w:rPr>
          <w:sz w:val="26"/>
          <w:szCs w:val="26"/>
        </w:rPr>
        <w:t xml:space="preserve"> </w:t>
      </w:r>
      <w:r w:rsidR="00B55DC4">
        <w:rPr>
          <w:sz w:val="26"/>
          <w:szCs w:val="26"/>
        </w:rPr>
        <w:t>FirstEnergy</w:t>
      </w:r>
      <w:r w:rsidR="001F5B92">
        <w:rPr>
          <w:sz w:val="26"/>
          <w:szCs w:val="26"/>
        </w:rPr>
        <w:t xml:space="preserve"> R.Exc. at 8-9.</w:t>
      </w:r>
    </w:p>
    <w:p w:rsidR="0016470C" w:rsidRDefault="0016470C" w:rsidP="00673C4C">
      <w:pPr>
        <w:spacing w:line="360" w:lineRule="auto"/>
        <w:ind w:firstLine="1440"/>
        <w:rPr>
          <w:sz w:val="26"/>
          <w:szCs w:val="26"/>
        </w:rPr>
      </w:pPr>
    </w:p>
    <w:p w:rsidR="0016470C" w:rsidRPr="00FF7EE9" w:rsidRDefault="00E740A1" w:rsidP="00673C4C">
      <w:pPr>
        <w:spacing w:line="360" w:lineRule="auto"/>
        <w:ind w:firstLine="1440"/>
        <w:rPr>
          <w:sz w:val="26"/>
          <w:szCs w:val="26"/>
        </w:rPr>
      </w:pPr>
      <w:r>
        <w:rPr>
          <w:sz w:val="26"/>
          <w:szCs w:val="26"/>
        </w:rPr>
        <w:t xml:space="preserve">With regard to </w:t>
      </w:r>
      <w:r w:rsidR="002E3F47">
        <w:rPr>
          <w:sz w:val="26"/>
          <w:szCs w:val="26"/>
        </w:rPr>
        <w:t xml:space="preserve">the </w:t>
      </w:r>
      <w:r>
        <w:rPr>
          <w:sz w:val="26"/>
          <w:szCs w:val="26"/>
        </w:rPr>
        <w:t>OTS’</w:t>
      </w:r>
      <w:r w:rsidR="00066031">
        <w:rPr>
          <w:sz w:val="26"/>
          <w:szCs w:val="26"/>
        </w:rPr>
        <w:t>s</w:t>
      </w:r>
      <w:r>
        <w:rPr>
          <w:sz w:val="26"/>
          <w:szCs w:val="26"/>
        </w:rPr>
        <w:t xml:space="preserve"> proposal for quarterly adjustments to the SMT-C rider, the Companies argue </w:t>
      </w:r>
      <w:r w:rsidR="00FF7EE9">
        <w:rPr>
          <w:sz w:val="26"/>
          <w:szCs w:val="26"/>
        </w:rPr>
        <w:t xml:space="preserve">that quarterly updates are not required by Act 129 or the </w:t>
      </w:r>
      <w:r w:rsidR="00FF7EE9">
        <w:rPr>
          <w:i/>
          <w:sz w:val="26"/>
          <w:szCs w:val="26"/>
        </w:rPr>
        <w:t>Implementation Order.</w:t>
      </w:r>
      <w:r w:rsidR="00FF7EE9">
        <w:rPr>
          <w:sz w:val="26"/>
          <w:szCs w:val="26"/>
        </w:rPr>
        <w:t xml:space="preserve">  They also argue that the benefits of the procedure are outweighed by the costs.  The Companies acknowledge that quarterly updates and adjustments might be appropriate where the costs being recovered are volatile, or where customers need to receive price signals about the cost of electricity, but neither situation is present here.  </w:t>
      </w:r>
      <w:r w:rsidR="008D26C7">
        <w:rPr>
          <w:sz w:val="26"/>
          <w:szCs w:val="26"/>
        </w:rPr>
        <w:t xml:space="preserve">In addition, the Companies argue there is no need for the proposal because any party may request an interim adjustment of the </w:t>
      </w:r>
      <w:r w:rsidR="005D15C4">
        <w:rPr>
          <w:sz w:val="26"/>
          <w:szCs w:val="26"/>
        </w:rPr>
        <w:t xml:space="preserve">Companies’ </w:t>
      </w:r>
      <w:r w:rsidR="008D26C7">
        <w:rPr>
          <w:sz w:val="26"/>
          <w:szCs w:val="26"/>
        </w:rPr>
        <w:t xml:space="preserve">SMT-C rider at any time to preempt a material over- or under-collection.  </w:t>
      </w:r>
      <w:r w:rsidR="00B55DC4">
        <w:rPr>
          <w:sz w:val="26"/>
          <w:szCs w:val="26"/>
        </w:rPr>
        <w:t>FirstEnergy</w:t>
      </w:r>
      <w:r w:rsidR="008D26C7">
        <w:rPr>
          <w:sz w:val="26"/>
          <w:szCs w:val="26"/>
        </w:rPr>
        <w:t xml:space="preserve"> R.Exc. at 9-10.</w:t>
      </w:r>
      <w:r w:rsidR="00FF7EE9">
        <w:rPr>
          <w:sz w:val="26"/>
          <w:szCs w:val="26"/>
        </w:rPr>
        <w:t xml:space="preserve"> </w:t>
      </w:r>
    </w:p>
    <w:p w:rsidR="00A22AAC" w:rsidRDefault="00A22AAC" w:rsidP="00A22AAC">
      <w:pPr>
        <w:spacing w:line="360" w:lineRule="auto"/>
        <w:ind w:firstLine="1440"/>
        <w:rPr>
          <w:sz w:val="26"/>
          <w:szCs w:val="26"/>
        </w:rPr>
      </w:pPr>
    </w:p>
    <w:p w:rsidR="00A22AAC" w:rsidRDefault="00A22AAC" w:rsidP="00A22AAC">
      <w:pPr>
        <w:spacing w:line="360" w:lineRule="auto"/>
        <w:ind w:firstLine="1440"/>
        <w:rPr>
          <w:sz w:val="26"/>
          <w:szCs w:val="26"/>
        </w:rPr>
      </w:pPr>
      <w:r>
        <w:rPr>
          <w:sz w:val="26"/>
          <w:szCs w:val="26"/>
        </w:rPr>
        <w:t xml:space="preserve">No other Party addressed this aspect of the Initial Decision. </w:t>
      </w:r>
    </w:p>
    <w:p w:rsidR="00A22AAC" w:rsidRPr="00A22AAC" w:rsidRDefault="00A22AAC" w:rsidP="00A22AAC">
      <w:pPr>
        <w:ind w:firstLine="1440"/>
        <w:rPr>
          <w:sz w:val="26"/>
          <w:szCs w:val="26"/>
        </w:rPr>
      </w:pPr>
    </w:p>
    <w:p w:rsidR="00EB3313" w:rsidRDefault="00EB3313" w:rsidP="00EB3313">
      <w:pPr>
        <w:pStyle w:val="Heading4"/>
        <w:rPr>
          <w:szCs w:val="26"/>
        </w:rPr>
      </w:pPr>
      <w:bookmarkStart w:id="89" w:name="_Toc259798228"/>
      <w:bookmarkStart w:id="90" w:name="_Toc263848872"/>
      <w:r w:rsidRPr="00A22AAC">
        <w:rPr>
          <w:szCs w:val="26"/>
        </w:rPr>
        <w:t>d.</w:t>
      </w:r>
      <w:r w:rsidRPr="00A22AAC">
        <w:rPr>
          <w:szCs w:val="26"/>
        </w:rPr>
        <w:tab/>
        <w:t>Disposition</w:t>
      </w:r>
      <w:bookmarkEnd w:id="89"/>
      <w:bookmarkEnd w:id="90"/>
    </w:p>
    <w:p w:rsidR="00B41817" w:rsidRPr="00B41817" w:rsidRDefault="00B41817" w:rsidP="00B41817"/>
    <w:p w:rsidR="005126B3" w:rsidRDefault="005126B3" w:rsidP="005126B3">
      <w:pPr>
        <w:spacing w:line="360" w:lineRule="auto"/>
        <w:ind w:firstLine="1350"/>
        <w:rPr>
          <w:sz w:val="26"/>
          <w:szCs w:val="26"/>
        </w:rPr>
      </w:pPr>
      <w:r>
        <w:rPr>
          <w:b/>
          <w:sz w:val="26"/>
          <w:szCs w:val="26"/>
        </w:rPr>
        <w:tab/>
      </w:r>
      <w:r>
        <w:rPr>
          <w:sz w:val="26"/>
          <w:szCs w:val="26"/>
        </w:rPr>
        <w:t xml:space="preserve">We shall </w:t>
      </w:r>
      <w:r w:rsidR="00B41817">
        <w:rPr>
          <w:sz w:val="26"/>
          <w:szCs w:val="26"/>
        </w:rPr>
        <w:t xml:space="preserve">modify the Initial Decision and </w:t>
      </w:r>
      <w:r>
        <w:rPr>
          <w:sz w:val="26"/>
          <w:szCs w:val="26"/>
        </w:rPr>
        <w:t>adopt t</w:t>
      </w:r>
      <w:r w:rsidRPr="00A00AD6">
        <w:rPr>
          <w:sz w:val="26"/>
          <w:szCs w:val="26"/>
        </w:rPr>
        <w:t>he uniform procedural schedule advocated by the O</w:t>
      </w:r>
      <w:r w:rsidR="00B41817">
        <w:rPr>
          <w:sz w:val="26"/>
          <w:szCs w:val="26"/>
        </w:rPr>
        <w:t>TS, with a 12-</w:t>
      </w:r>
      <w:r w:rsidRPr="00A00AD6">
        <w:rPr>
          <w:sz w:val="26"/>
          <w:szCs w:val="26"/>
        </w:rPr>
        <w:t>month reconciliation p</w:t>
      </w:r>
      <w:r w:rsidR="00B41817">
        <w:rPr>
          <w:sz w:val="26"/>
          <w:szCs w:val="26"/>
        </w:rPr>
        <w:t>eriod ending June 30 of each Plan</w:t>
      </w:r>
      <w:r w:rsidRPr="00A00AD6">
        <w:rPr>
          <w:sz w:val="26"/>
          <w:szCs w:val="26"/>
        </w:rPr>
        <w:t xml:space="preserve"> year,</w:t>
      </w:r>
      <w:r>
        <w:rPr>
          <w:sz w:val="26"/>
          <w:szCs w:val="26"/>
        </w:rPr>
        <w:t xml:space="preserve"> modified to only require a</w:t>
      </w:r>
      <w:r w:rsidRPr="00A00AD6">
        <w:rPr>
          <w:sz w:val="26"/>
          <w:szCs w:val="26"/>
        </w:rPr>
        <w:t xml:space="preserve">nnual filings, effective January 1 of each year, using average </w:t>
      </w:r>
      <w:r>
        <w:rPr>
          <w:sz w:val="26"/>
          <w:szCs w:val="26"/>
        </w:rPr>
        <w:t xml:space="preserve">capital </w:t>
      </w:r>
      <w:r w:rsidRPr="00A00AD6">
        <w:rPr>
          <w:sz w:val="26"/>
          <w:szCs w:val="26"/>
        </w:rPr>
        <w:t xml:space="preserve">balances.  Specifically, </w:t>
      </w:r>
      <w:r w:rsidR="00B41817">
        <w:rPr>
          <w:sz w:val="26"/>
          <w:szCs w:val="26"/>
        </w:rPr>
        <w:t xml:space="preserve">the Companies </w:t>
      </w:r>
      <w:r w:rsidRPr="00A00AD6">
        <w:rPr>
          <w:sz w:val="26"/>
          <w:szCs w:val="26"/>
        </w:rPr>
        <w:t xml:space="preserve">shall not be required to </w:t>
      </w:r>
      <w:r w:rsidRPr="00A00AD6">
        <w:rPr>
          <w:sz w:val="26"/>
          <w:szCs w:val="26"/>
        </w:rPr>
        <w:lastRenderedPageBreak/>
        <w:t xml:space="preserve">incorporate quarterly filings, but may file for interim adjustments as necessary </w:t>
      </w:r>
      <w:r w:rsidR="00B41817">
        <w:rPr>
          <w:sz w:val="26"/>
          <w:szCs w:val="26"/>
        </w:rPr>
        <w:t xml:space="preserve">to maintain a balance between </w:t>
      </w:r>
      <w:r w:rsidRPr="00A00AD6">
        <w:rPr>
          <w:sz w:val="26"/>
          <w:szCs w:val="26"/>
        </w:rPr>
        <w:t>P</w:t>
      </w:r>
      <w:r w:rsidR="00B41817">
        <w:rPr>
          <w:sz w:val="26"/>
          <w:szCs w:val="26"/>
        </w:rPr>
        <w:t>lan</w:t>
      </w:r>
      <w:r w:rsidRPr="00A00AD6">
        <w:rPr>
          <w:sz w:val="26"/>
          <w:szCs w:val="26"/>
        </w:rPr>
        <w:t xml:space="preserve"> net costs and revenues collected under a separate cost recovery mechanism under its tariff. </w:t>
      </w:r>
      <w:r>
        <w:rPr>
          <w:sz w:val="26"/>
          <w:szCs w:val="26"/>
        </w:rPr>
        <w:t xml:space="preserve">  </w:t>
      </w:r>
    </w:p>
    <w:p w:rsidR="00EB3313" w:rsidRPr="00A22AAC" w:rsidRDefault="00EB3313" w:rsidP="00EB3313">
      <w:pPr>
        <w:rPr>
          <w:sz w:val="26"/>
          <w:szCs w:val="26"/>
        </w:rPr>
      </w:pPr>
    </w:p>
    <w:p w:rsidR="0039323E" w:rsidRDefault="00A7404A" w:rsidP="0039323E">
      <w:pPr>
        <w:pStyle w:val="Heading3"/>
      </w:pPr>
      <w:bookmarkStart w:id="91" w:name="_Toc259798229"/>
      <w:bookmarkStart w:id="92" w:name="_Toc263848873"/>
      <w:r>
        <w:t>3.</w:t>
      </w:r>
      <w:r>
        <w:tab/>
        <w:t>Interest on Over- and Under-C</w:t>
      </w:r>
      <w:r w:rsidR="0039323E">
        <w:t>ollections</w:t>
      </w:r>
      <w:bookmarkEnd w:id="91"/>
      <w:bookmarkEnd w:id="92"/>
    </w:p>
    <w:p w:rsidR="006C5448" w:rsidRDefault="006C5448" w:rsidP="006C5448">
      <w:pPr>
        <w:pStyle w:val="Heading4"/>
      </w:pPr>
    </w:p>
    <w:p w:rsidR="006C5448" w:rsidRDefault="006C5448" w:rsidP="006C5448">
      <w:pPr>
        <w:pStyle w:val="Heading4"/>
      </w:pPr>
      <w:bookmarkStart w:id="93" w:name="_Toc259798230"/>
      <w:bookmarkStart w:id="94" w:name="_Toc263848874"/>
      <w:r>
        <w:t>a.</w:t>
      </w:r>
      <w:r>
        <w:tab/>
      </w:r>
      <w:r w:rsidR="00B55DC4">
        <w:t>FirstEnergy</w:t>
      </w:r>
      <w:r>
        <w:t>’s Plan</w:t>
      </w:r>
      <w:bookmarkEnd w:id="93"/>
      <w:bookmarkEnd w:id="94"/>
    </w:p>
    <w:p w:rsidR="006C5448" w:rsidRDefault="006C5448" w:rsidP="006C5448">
      <w:pPr>
        <w:spacing w:line="360" w:lineRule="auto"/>
        <w:ind w:firstLine="2160"/>
        <w:rPr>
          <w:sz w:val="26"/>
          <w:szCs w:val="26"/>
        </w:rPr>
      </w:pPr>
    </w:p>
    <w:p w:rsidR="00C70186" w:rsidRPr="005443EB" w:rsidRDefault="00C70186" w:rsidP="005443EB">
      <w:pPr>
        <w:spacing w:line="360" w:lineRule="auto"/>
        <w:ind w:firstLine="1440"/>
        <w:rPr>
          <w:sz w:val="26"/>
          <w:szCs w:val="26"/>
        </w:rPr>
      </w:pPr>
      <w:r>
        <w:rPr>
          <w:sz w:val="26"/>
          <w:szCs w:val="26"/>
        </w:rPr>
        <w:t>The Companies’ Plan calls for interest on net over- and under-collections at the</w:t>
      </w:r>
      <w:r w:rsidR="000536EF">
        <w:rPr>
          <w:sz w:val="26"/>
          <w:szCs w:val="26"/>
        </w:rPr>
        <w:t xml:space="preserve"> legal rate of six percent </w:t>
      </w:r>
      <w:r>
        <w:rPr>
          <w:sz w:val="26"/>
          <w:szCs w:val="26"/>
        </w:rPr>
        <w:t xml:space="preserve">per year.  41 P.S. § 202.  </w:t>
      </w:r>
      <w:r w:rsidR="00B55DC4">
        <w:rPr>
          <w:sz w:val="26"/>
          <w:szCs w:val="26"/>
        </w:rPr>
        <w:t>FirstEnergy</w:t>
      </w:r>
      <w:r w:rsidR="00187B87">
        <w:rPr>
          <w:sz w:val="26"/>
          <w:szCs w:val="26"/>
        </w:rPr>
        <w:t xml:space="preserve"> St. No. 3 at 9.  </w:t>
      </w:r>
      <w:r w:rsidR="00D5359F">
        <w:rPr>
          <w:sz w:val="26"/>
          <w:szCs w:val="26"/>
        </w:rPr>
        <w:t>The OTS argued that interest should apply to net over-collections</w:t>
      </w:r>
      <w:r w:rsidR="00C54C8F">
        <w:rPr>
          <w:sz w:val="26"/>
          <w:szCs w:val="26"/>
        </w:rPr>
        <w:t>,</w:t>
      </w:r>
      <w:r w:rsidR="005443EB">
        <w:rPr>
          <w:sz w:val="26"/>
          <w:szCs w:val="26"/>
        </w:rPr>
        <w:t xml:space="preserve"> but not net under-collections.  In addition, the OTS argued that interest on net over-collections should be paid at the maximum lawful rate of interest for residential mortgages published monthly in the </w:t>
      </w:r>
      <w:r w:rsidR="005443EB">
        <w:rPr>
          <w:i/>
          <w:sz w:val="26"/>
          <w:szCs w:val="26"/>
        </w:rPr>
        <w:t>Pennsylvania Bulletin.</w:t>
      </w:r>
      <w:r w:rsidR="005443EB">
        <w:rPr>
          <w:sz w:val="26"/>
          <w:szCs w:val="26"/>
        </w:rPr>
        <w:t xml:space="preserve">  OTS </w:t>
      </w:r>
      <w:r w:rsidR="00C54C8F">
        <w:rPr>
          <w:sz w:val="26"/>
          <w:szCs w:val="26"/>
        </w:rPr>
        <w:t>MB at 18.</w:t>
      </w:r>
    </w:p>
    <w:p w:rsidR="00C70186" w:rsidRDefault="00C70186" w:rsidP="006C5448">
      <w:pPr>
        <w:spacing w:line="360" w:lineRule="auto"/>
        <w:ind w:firstLine="2160"/>
        <w:rPr>
          <w:sz w:val="26"/>
          <w:szCs w:val="26"/>
        </w:rPr>
      </w:pPr>
    </w:p>
    <w:p w:rsidR="006C5448" w:rsidRDefault="006C5448" w:rsidP="006C5448">
      <w:pPr>
        <w:pStyle w:val="Heading4"/>
      </w:pPr>
      <w:bookmarkStart w:id="95" w:name="_Toc259798231"/>
      <w:bookmarkStart w:id="96" w:name="_Toc263848875"/>
      <w:r>
        <w:t>b.</w:t>
      </w:r>
      <w:r>
        <w:tab/>
        <w:t>ALJ’s Recommendation</w:t>
      </w:r>
      <w:bookmarkEnd w:id="95"/>
      <w:bookmarkEnd w:id="96"/>
    </w:p>
    <w:p w:rsidR="006C5448" w:rsidRDefault="006C5448" w:rsidP="006C5448">
      <w:pPr>
        <w:spacing w:line="360" w:lineRule="auto"/>
        <w:ind w:firstLine="2160"/>
        <w:rPr>
          <w:sz w:val="26"/>
          <w:szCs w:val="26"/>
        </w:rPr>
      </w:pPr>
    </w:p>
    <w:p w:rsidR="00E73581" w:rsidRDefault="00C54C8F" w:rsidP="00E73581">
      <w:pPr>
        <w:spacing w:line="360" w:lineRule="auto"/>
        <w:ind w:firstLine="1440"/>
        <w:rPr>
          <w:sz w:val="26"/>
          <w:szCs w:val="26"/>
        </w:rPr>
      </w:pPr>
      <w:r>
        <w:rPr>
          <w:sz w:val="26"/>
          <w:szCs w:val="26"/>
        </w:rPr>
        <w:t xml:space="preserve">The ALJ </w:t>
      </w:r>
      <w:r w:rsidR="00B433B2">
        <w:rPr>
          <w:sz w:val="26"/>
          <w:szCs w:val="26"/>
        </w:rPr>
        <w:t xml:space="preserve">concluded that </w:t>
      </w:r>
      <w:r w:rsidR="00024038">
        <w:rPr>
          <w:sz w:val="26"/>
          <w:szCs w:val="26"/>
        </w:rPr>
        <w:t>“</w:t>
      </w:r>
      <w:r w:rsidR="00B433B2">
        <w:rPr>
          <w:sz w:val="26"/>
          <w:szCs w:val="26"/>
        </w:rPr>
        <w:t>the letter of the law</w:t>
      </w:r>
      <w:r w:rsidR="00024038">
        <w:rPr>
          <w:sz w:val="26"/>
          <w:szCs w:val="26"/>
        </w:rPr>
        <w:t>”</w:t>
      </w:r>
      <w:r w:rsidR="00B433B2">
        <w:rPr>
          <w:sz w:val="26"/>
          <w:szCs w:val="26"/>
        </w:rPr>
        <w:t xml:space="preserve"> does not provide for interest on </w:t>
      </w:r>
      <w:r>
        <w:rPr>
          <w:sz w:val="26"/>
          <w:szCs w:val="26"/>
        </w:rPr>
        <w:t xml:space="preserve">net over- </w:t>
      </w:r>
      <w:r w:rsidR="00B433B2">
        <w:rPr>
          <w:sz w:val="26"/>
          <w:szCs w:val="26"/>
        </w:rPr>
        <w:t>or</w:t>
      </w:r>
      <w:r>
        <w:rPr>
          <w:sz w:val="26"/>
          <w:szCs w:val="26"/>
        </w:rPr>
        <w:t xml:space="preserve"> under-collection</w:t>
      </w:r>
      <w:r w:rsidR="00B433B2">
        <w:rPr>
          <w:sz w:val="26"/>
          <w:szCs w:val="26"/>
        </w:rPr>
        <w:t xml:space="preserve">s.  </w:t>
      </w:r>
      <w:r w:rsidR="00024038">
        <w:rPr>
          <w:sz w:val="26"/>
          <w:szCs w:val="26"/>
        </w:rPr>
        <w:t xml:space="preserve">I.D. at 43.  </w:t>
      </w:r>
      <w:r w:rsidR="00E73581">
        <w:rPr>
          <w:sz w:val="26"/>
          <w:szCs w:val="26"/>
        </w:rPr>
        <w:t xml:space="preserve">The ALJ noted that the </w:t>
      </w:r>
      <w:r w:rsidR="00E73581">
        <w:rPr>
          <w:i/>
          <w:sz w:val="26"/>
          <w:szCs w:val="26"/>
        </w:rPr>
        <w:t xml:space="preserve">Implementation Order </w:t>
      </w:r>
      <w:r w:rsidR="00E73581">
        <w:rPr>
          <w:sz w:val="26"/>
          <w:szCs w:val="26"/>
        </w:rPr>
        <w:t xml:space="preserve">refers to Section 1307(e) of the Code, 66 Pa. C.S. § 1307(e), which does not mention interest.  In contrast, Section 1307(f) of the Code, 66 Pa. C.S. § 1307(f), makes specific provision for interest in the recovery of natural gas costs. </w:t>
      </w:r>
    </w:p>
    <w:p w:rsidR="00093640" w:rsidRDefault="00093640" w:rsidP="00093640">
      <w:pPr>
        <w:ind w:left="1440" w:right="1440"/>
        <w:rPr>
          <w:sz w:val="26"/>
          <w:szCs w:val="26"/>
        </w:rPr>
      </w:pPr>
    </w:p>
    <w:p w:rsidR="007270C1" w:rsidRDefault="00093640" w:rsidP="00093640">
      <w:pPr>
        <w:ind w:left="1440" w:right="1440"/>
        <w:rPr>
          <w:sz w:val="26"/>
          <w:szCs w:val="26"/>
        </w:rPr>
      </w:pPr>
      <w:r>
        <w:rPr>
          <w:sz w:val="26"/>
          <w:szCs w:val="26"/>
        </w:rPr>
        <w:t>The Legislature included interest for subsection (f) only, and I cannot assume that the section specifically limited to the recovery of natural gas costs also applies to utilities proceeding under subsection (e).  Therefore, the interest is disallowed.</w:t>
      </w:r>
    </w:p>
    <w:p w:rsidR="00C54C8F" w:rsidRDefault="00E73581" w:rsidP="006C5448">
      <w:pPr>
        <w:spacing w:line="360" w:lineRule="auto"/>
        <w:ind w:firstLine="2160"/>
        <w:rPr>
          <w:sz w:val="26"/>
          <w:szCs w:val="26"/>
        </w:rPr>
      </w:pPr>
      <w:r>
        <w:rPr>
          <w:sz w:val="26"/>
          <w:szCs w:val="26"/>
        </w:rPr>
        <w:t xml:space="preserve"> </w:t>
      </w:r>
      <w:r w:rsidR="00C54C8F">
        <w:rPr>
          <w:sz w:val="26"/>
          <w:szCs w:val="26"/>
        </w:rPr>
        <w:t xml:space="preserve"> </w:t>
      </w:r>
    </w:p>
    <w:p w:rsidR="00C54C8F" w:rsidRDefault="00093640" w:rsidP="00093640">
      <w:pPr>
        <w:spacing w:line="360" w:lineRule="auto"/>
        <w:rPr>
          <w:sz w:val="26"/>
          <w:szCs w:val="26"/>
        </w:rPr>
      </w:pPr>
      <w:r>
        <w:rPr>
          <w:sz w:val="26"/>
          <w:szCs w:val="26"/>
        </w:rPr>
        <w:t>I.D. at 43.</w:t>
      </w:r>
    </w:p>
    <w:p w:rsidR="00093640" w:rsidRDefault="00093640" w:rsidP="00093640">
      <w:pPr>
        <w:spacing w:line="360" w:lineRule="auto"/>
        <w:rPr>
          <w:sz w:val="26"/>
          <w:szCs w:val="26"/>
        </w:rPr>
      </w:pPr>
    </w:p>
    <w:p w:rsidR="006C5448" w:rsidRDefault="006C5448" w:rsidP="006C5448">
      <w:pPr>
        <w:pStyle w:val="Heading4"/>
      </w:pPr>
      <w:bookmarkStart w:id="97" w:name="_Toc259798232"/>
      <w:bookmarkStart w:id="98" w:name="_Toc263848876"/>
      <w:r>
        <w:lastRenderedPageBreak/>
        <w:t>c.</w:t>
      </w:r>
      <w:r>
        <w:tab/>
        <w:t>Positions of the Parties</w:t>
      </w:r>
      <w:bookmarkEnd w:id="97"/>
      <w:bookmarkEnd w:id="98"/>
    </w:p>
    <w:p w:rsidR="006C5448" w:rsidRPr="00C43E0A" w:rsidRDefault="006C5448" w:rsidP="006C5448">
      <w:pPr>
        <w:rPr>
          <w:sz w:val="26"/>
          <w:szCs w:val="26"/>
        </w:rPr>
      </w:pPr>
    </w:p>
    <w:p w:rsidR="00A5065F" w:rsidRDefault="00C43E0A" w:rsidP="00C43E0A">
      <w:pPr>
        <w:spacing w:line="360" w:lineRule="auto"/>
        <w:ind w:firstLine="1440"/>
        <w:rPr>
          <w:sz w:val="26"/>
          <w:szCs w:val="26"/>
        </w:rPr>
      </w:pPr>
      <w:r w:rsidRPr="00C43E0A">
        <w:rPr>
          <w:sz w:val="26"/>
          <w:szCs w:val="26"/>
        </w:rPr>
        <w:t xml:space="preserve">The OTS agrees with the ALJ that no interest </w:t>
      </w:r>
      <w:r>
        <w:rPr>
          <w:sz w:val="26"/>
          <w:szCs w:val="26"/>
        </w:rPr>
        <w:t xml:space="preserve">should be paid on net under-collections.  The OTS, however, continues to argue that interest should be paid on net over-collections at the residential mortgage rate.  </w:t>
      </w:r>
      <w:r w:rsidR="00A5065F">
        <w:rPr>
          <w:sz w:val="26"/>
          <w:szCs w:val="26"/>
        </w:rPr>
        <w:t>OTS Exc. at 22-</w:t>
      </w:r>
      <w:r w:rsidR="006236D8">
        <w:rPr>
          <w:sz w:val="26"/>
          <w:szCs w:val="26"/>
        </w:rPr>
        <w:t>23.</w:t>
      </w:r>
    </w:p>
    <w:p w:rsidR="00A5065F" w:rsidRDefault="00A5065F" w:rsidP="00C43E0A">
      <w:pPr>
        <w:spacing w:line="360" w:lineRule="auto"/>
        <w:ind w:firstLine="1440"/>
        <w:rPr>
          <w:sz w:val="26"/>
          <w:szCs w:val="26"/>
        </w:rPr>
      </w:pPr>
    </w:p>
    <w:p w:rsidR="00C43E0A" w:rsidRDefault="00116532" w:rsidP="00C43E0A">
      <w:pPr>
        <w:spacing w:line="360" w:lineRule="auto"/>
        <w:ind w:firstLine="1440"/>
        <w:rPr>
          <w:sz w:val="26"/>
          <w:szCs w:val="26"/>
        </w:rPr>
      </w:pPr>
      <w:r>
        <w:rPr>
          <w:sz w:val="26"/>
          <w:szCs w:val="26"/>
        </w:rPr>
        <w:t>With regard to net under-collections, t</w:t>
      </w:r>
      <w:r w:rsidR="008525E2">
        <w:rPr>
          <w:sz w:val="26"/>
          <w:szCs w:val="26"/>
        </w:rPr>
        <w:t xml:space="preserve">he OTS </w:t>
      </w:r>
      <w:r w:rsidR="00A5065F">
        <w:rPr>
          <w:sz w:val="26"/>
          <w:szCs w:val="26"/>
        </w:rPr>
        <w:t xml:space="preserve">notes </w:t>
      </w:r>
      <w:r w:rsidR="008525E2">
        <w:rPr>
          <w:sz w:val="26"/>
          <w:szCs w:val="26"/>
        </w:rPr>
        <w:t>that there is a</w:t>
      </w:r>
      <w:r w:rsidR="00E57670">
        <w:rPr>
          <w:sz w:val="26"/>
          <w:szCs w:val="26"/>
        </w:rPr>
        <w:t xml:space="preserve"> return component in the SMT-C R</w:t>
      </w:r>
      <w:r w:rsidR="008525E2">
        <w:rPr>
          <w:sz w:val="26"/>
          <w:szCs w:val="26"/>
        </w:rPr>
        <w:t xml:space="preserve">ider for capitalized expenditures.  According to the OTS, </w:t>
      </w:r>
      <w:r w:rsidR="00A5065F">
        <w:rPr>
          <w:sz w:val="26"/>
          <w:szCs w:val="26"/>
        </w:rPr>
        <w:t xml:space="preserve">this permits </w:t>
      </w:r>
      <w:r w:rsidR="008525E2">
        <w:rPr>
          <w:sz w:val="26"/>
          <w:szCs w:val="26"/>
        </w:rPr>
        <w:t>th</w:t>
      </w:r>
      <w:r w:rsidR="00A5065F">
        <w:rPr>
          <w:sz w:val="26"/>
          <w:szCs w:val="26"/>
        </w:rPr>
        <w:t xml:space="preserve">e Companies to </w:t>
      </w:r>
      <w:r w:rsidR="008525E2">
        <w:rPr>
          <w:sz w:val="26"/>
          <w:szCs w:val="26"/>
        </w:rPr>
        <w:t xml:space="preserve">receive a return of and a return on their capitalized assets, which is the bulk of their </w:t>
      </w:r>
      <w:r w:rsidR="00A5065F">
        <w:rPr>
          <w:sz w:val="26"/>
          <w:szCs w:val="26"/>
        </w:rPr>
        <w:t xml:space="preserve">smart meter </w:t>
      </w:r>
      <w:r w:rsidR="008525E2">
        <w:rPr>
          <w:sz w:val="26"/>
          <w:szCs w:val="26"/>
        </w:rPr>
        <w:t>expenditures.</w:t>
      </w:r>
      <w:r w:rsidR="00A5065F">
        <w:rPr>
          <w:sz w:val="26"/>
          <w:szCs w:val="26"/>
        </w:rPr>
        <w:t xml:space="preserve">  The OTS also notes that the smart meter surcharge mechanism permits rate base recognition quicker than would occur through the base rate case process.  As a result, the OTS contends that the Companies do not need to recover interest on under-collections.</w:t>
      </w:r>
      <w:r w:rsidR="008525E2">
        <w:rPr>
          <w:sz w:val="26"/>
          <w:szCs w:val="26"/>
        </w:rPr>
        <w:t xml:space="preserve">  </w:t>
      </w:r>
      <w:r>
        <w:rPr>
          <w:i/>
          <w:sz w:val="26"/>
          <w:szCs w:val="26"/>
        </w:rPr>
        <w:t xml:space="preserve">Id. </w:t>
      </w:r>
      <w:r>
        <w:rPr>
          <w:sz w:val="26"/>
          <w:szCs w:val="26"/>
        </w:rPr>
        <w:t>at 22-24.</w:t>
      </w:r>
    </w:p>
    <w:p w:rsidR="00116532" w:rsidRDefault="00116532" w:rsidP="00C43E0A">
      <w:pPr>
        <w:spacing w:line="360" w:lineRule="auto"/>
        <w:ind w:firstLine="1440"/>
        <w:rPr>
          <w:sz w:val="26"/>
          <w:szCs w:val="26"/>
        </w:rPr>
      </w:pPr>
    </w:p>
    <w:p w:rsidR="00116532" w:rsidRDefault="00116532" w:rsidP="00C43E0A">
      <w:pPr>
        <w:spacing w:line="360" w:lineRule="auto"/>
        <w:ind w:firstLine="1440"/>
        <w:rPr>
          <w:sz w:val="26"/>
          <w:szCs w:val="26"/>
        </w:rPr>
      </w:pPr>
      <w:r>
        <w:rPr>
          <w:sz w:val="26"/>
          <w:szCs w:val="26"/>
        </w:rPr>
        <w:t xml:space="preserve">With regard to net over-collections, the OTS notes that the residential mortgage rate is the rate currently used by the Commission when calculating the DSIC.  The OTS contends that the residential mortgage rate is the proper rate to apply, in part, because “it constitutes the current and best representative cost of borrowed funds.”  </w:t>
      </w:r>
      <w:r w:rsidRPr="00116532">
        <w:rPr>
          <w:i/>
          <w:sz w:val="26"/>
          <w:szCs w:val="26"/>
        </w:rPr>
        <w:t>Id</w:t>
      </w:r>
      <w:r>
        <w:rPr>
          <w:sz w:val="26"/>
          <w:szCs w:val="26"/>
        </w:rPr>
        <w:t>. at 25.</w:t>
      </w:r>
    </w:p>
    <w:p w:rsidR="00116532" w:rsidRDefault="00116532" w:rsidP="00C43E0A">
      <w:pPr>
        <w:spacing w:line="360" w:lineRule="auto"/>
        <w:ind w:firstLine="1440"/>
        <w:rPr>
          <w:sz w:val="26"/>
          <w:szCs w:val="26"/>
        </w:rPr>
      </w:pPr>
    </w:p>
    <w:p w:rsidR="00116532" w:rsidRDefault="00B55DC4" w:rsidP="00C43E0A">
      <w:pPr>
        <w:spacing w:line="360" w:lineRule="auto"/>
        <w:ind w:firstLine="1440"/>
        <w:rPr>
          <w:sz w:val="26"/>
          <w:szCs w:val="26"/>
        </w:rPr>
      </w:pPr>
      <w:r>
        <w:rPr>
          <w:sz w:val="26"/>
          <w:szCs w:val="26"/>
        </w:rPr>
        <w:t>FirstEnergy</w:t>
      </w:r>
      <w:r w:rsidR="00116532">
        <w:rPr>
          <w:sz w:val="26"/>
          <w:szCs w:val="26"/>
        </w:rPr>
        <w:t xml:space="preserve"> also excepts to the ALJ’s conclusion regarding interest.  </w:t>
      </w:r>
      <w:r>
        <w:rPr>
          <w:sz w:val="26"/>
          <w:szCs w:val="26"/>
        </w:rPr>
        <w:t>FirstEnergy</w:t>
      </w:r>
      <w:r w:rsidR="00116532">
        <w:rPr>
          <w:sz w:val="26"/>
          <w:szCs w:val="26"/>
        </w:rPr>
        <w:t xml:space="preserve">, however, argues that the Commission should approve the Plan’s proposal for interest on net under- and over-collections at the legal rate of interest.  </w:t>
      </w:r>
      <w:r>
        <w:rPr>
          <w:sz w:val="26"/>
          <w:szCs w:val="26"/>
        </w:rPr>
        <w:t>FirstEnergy</w:t>
      </w:r>
      <w:r w:rsidR="00844306">
        <w:rPr>
          <w:sz w:val="26"/>
          <w:szCs w:val="26"/>
        </w:rPr>
        <w:t xml:space="preserve"> Exc. at 2.  </w:t>
      </w:r>
      <w:r>
        <w:rPr>
          <w:sz w:val="26"/>
          <w:szCs w:val="26"/>
        </w:rPr>
        <w:t>FirstEnergy</w:t>
      </w:r>
      <w:r w:rsidR="008D4F0E">
        <w:rPr>
          <w:sz w:val="26"/>
          <w:szCs w:val="26"/>
        </w:rPr>
        <w:t xml:space="preserve"> contends that interest on under- and over-collections is necessary to achieve the full and current recovery of costs allowed by Act 129.  66 Pa. S. </w:t>
      </w:r>
      <w:r w:rsidR="00067E2F">
        <w:rPr>
          <w:sz w:val="26"/>
          <w:szCs w:val="26"/>
        </w:rPr>
        <w:br/>
      </w:r>
      <w:r w:rsidR="008D4F0E">
        <w:rPr>
          <w:sz w:val="26"/>
          <w:szCs w:val="26"/>
        </w:rPr>
        <w:t xml:space="preserve">§ 2807(f)(7).  </w:t>
      </w:r>
      <w:r w:rsidR="00F01D24">
        <w:rPr>
          <w:sz w:val="26"/>
          <w:szCs w:val="26"/>
        </w:rPr>
        <w:t xml:space="preserve">According to </w:t>
      </w:r>
      <w:r>
        <w:rPr>
          <w:sz w:val="26"/>
          <w:szCs w:val="26"/>
        </w:rPr>
        <w:t>FirstEnergy</w:t>
      </w:r>
      <w:r w:rsidR="00F01D24">
        <w:rPr>
          <w:sz w:val="26"/>
          <w:szCs w:val="26"/>
        </w:rPr>
        <w:t xml:space="preserve">, interest on under- and over-collections is necessary to reflect the time value of money.  </w:t>
      </w:r>
      <w:r>
        <w:rPr>
          <w:sz w:val="26"/>
          <w:szCs w:val="26"/>
        </w:rPr>
        <w:t>FirstEnergy</w:t>
      </w:r>
      <w:r w:rsidR="00F01D24">
        <w:rPr>
          <w:sz w:val="26"/>
          <w:szCs w:val="26"/>
        </w:rPr>
        <w:t xml:space="preserve"> als</w:t>
      </w:r>
      <w:r w:rsidR="00B45EA2">
        <w:rPr>
          <w:sz w:val="26"/>
          <w:szCs w:val="26"/>
        </w:rPr>
        <w:t>o</w:t>
      </w:r>
      <w:r w:rsidR="00F01D24">
        <w:rPr>
          <w:sz w:val="26"/>
          <w:szCs w:val="26"/>
        </w:rPr>
        <w:t xml:space="preserve"> argues that the ALJ’s statutory interpretation is contrary to Commission precedent, which has allowed interest on net under- and over-collections in other 1307(e) proceedings.  </w:t>
      </w:r>
      <w:r w:rsidR="00B45EA2" w:rsidRPr="00B45EA2">
        <w:rPr>
          <w:i/>
          <w:sz w:val="26"/>
          <w:szCs w:val="26"/>
        </w:rPr>
        <w:t>Id</w:t>
      </w:r>
      <w:r w:rsidR="00B45EA2">
        <w:rPr>
          <w:sz w:val="26"/>
          <w:szCs w:val="26"/>
        </w:rPr>
        <w:t>. at 3-5.</w:t>
      </w:r>
    </w:p>
    <w:p w:rsidR="00B45EA2" w:rsidRDefault="00B45EA2" w:rsidP="00C43E0A">
      <w:pPr>
        <w:spacing w:line="360" w:lineRule="auto"/>
        <w:ind w:firstLine="1440"/>
        <w:rPr>
          <w:sz w:val="26"/>
          <w:szCs w:val="26"/>
        </w:rPr>
      </w:pPr>
    </w:p>
    <w:p w:rsidR="00B45EA2" w:rsidRPr="00116532" w:rsidRDefault="0039463C" w:rsidP="00123A3F">
      <w:pPr>
        <w:spacing w:line="360" w:lineRule="auto"/>
        <w:ind w:firstLine="1440"/>
        <w:rPr>
          <w:sz w:val="26"/>
          <w:szCs w:val="26"/>
        </w:rPr>
      </w:pPr>
      <w:r>
        <w:rPr>
          <w:sz w:val="26"/>
          <w:szCs w:val="26"/>
        </w:rPr>
        <w:t xml:space="preserve">The Companies </w:t>
      </w:r>
      <w:r w:rsidR="00B45EA2">
        <w:rPr>
          <w:sz w:val="26"/>
          <w:szCs w:val="26"/>
        </w:rPr>
        <w:t>oppose the OTS’</w:t>
      </w:r>
      <w:r w:rsidR="00066031">
        <w:rPr>
          <w:sz w:val="26"/>
          <w:szCs w:val="26"/>
        </w:rPr>
        <w:t>s</w:t>
      </w:r>
      <w:r w:rsidR="00B45EA2">
        <w:rPr>
          <w:sz w:val="26"/>
          <w:szCs w:val="26"/>
        </w:rPr>
        <w:t xml:space="preserve"> proposal for two reasons.  First</w:t>
      </w:r>
      <w:r>
        <w:rPr>
          <w:sz w:val="26"/>
          <w:szCs w:val="26"/>
        </w:rPr>
        <w:t xml:space="preserve">, the Companies </w:t>
      </w:r>
      <w:r w:rsidR="00B45EA2">
        <w:rPr>
          <w:sz w:val="26"/>
          <w:szCs w:val="26"/>
        </w:rPr>
        <w:t xml:space="preserve">contend there is no justification for “one-directional interest” (i.e., interest on over-collections but not under-collections).  </w:t>
      </w:r>
      <w:r>
        <w:rPr>
          <w:sz w:val="26"/>
          <w:szCs w:val="26"/>
        </w:rPr>
        <w:t xml:space="preserve">The return component in the SMT-C </w:t>
      </w:r>
      <w:r w:rsidR="00123A3F">
        <w:rPr>
          <w:sz w:val="26"/>
          <w:szCs w:val="26"/>
        </w:rPr>
        <w:t xml:space="preserve">Rider </w:t>
      </w:r>
      <w:r>
        <w:rPr>
          <w:sz w:val="26"/>
          <w:szCs w:val="26"/>
        </w:rPr>
        <w:t>does not recognize the time value of money associated with a shortfall in revenues compared to costs.  Second, the Companies s</w:t>
      </w:r>
      <w:r w:rsidR="00B45EA2">
        <w:rPr>
          <w:sz w:val="26"/>
          <w:szCs w:val="26"/>
        </w:rPr>
        <w:t xml:space="preserve">ubmit that the statutory rate of interest should apply </w:t>
      </w:r>
      <w:r w:rsidR="00EB3F07">
        <w:rPr>
          <w:sz w:val="26"/>
          <w:szCs w:val="26"/>
        </w:rPr>
        <w:t xml:space="preserve">rather than the residential mortgage rate.  </w:t>
      </w:r>
      <w:r w:rsidR="00EB3F07" w:rsidRPr="00EB3F07">
        <w:rPr>
          <w:i/>
          <w:sz w:val="26"/>
          <w:szCs w:val="26"/>
        </w:rPr>
        <w:t>Id</w:t>
      </w:r>
      <w:r w:rsidR="00EB3F07">
        <w:rPr>
          <w:sz w:val="26"/>
          <w:szCs w:val="26"/>
        </w:rPr>
        <w:t>. at 5-6</w:t>
      </w:r>
      <w:r>
        <w:rPr>
          <w:sz w:val="26"/>
          <w:szCs w:val="26"/>
        </w:rPr>
        <w:t xml:space="preserve">; </w:t>
      </w:r>
      <w:r w:rsidR="00B55DC4">
        <w:rPr>
          <w:sz w:val="26"/>
          <w:szCs w:val="26"/>
        </w:rPr>
        <w:t>FirstEnergy</w:t>
      </w:r>
      <w:r>
        <w:rPr>
          <w:sz w:val="26"/>
          <w:szCs w:val="26"/>
        </w:rPr>
        <w:t xml:space="preserve"> R.Exc. at 16-17.</w:t>
      </w:r>
    </w:p>
    <w:p w:rsidR="00C43E0A" w:rsidRDefault="00C43E0A" w:rsidP="004A425C">
      <w:pPr>
        <w:spacing w:line="360" w:lineRule="auto"/>
        <w:ind w:firstLine="1440"/>
        <w:rPr>
          <w:sz w:val="26"/>
          <w:szCs w:val="26"/>
        </w:rPr>
      </w:pPr>
    </w:p>
    <w:p w:rsidR="004A425C" w:rsidRDefault="004A425C" w:rsidP="004A425C">
      <w:pPr>
        <w:spacing w:line="360" w:lineRule="auto"/>
        <w:ind w:firstLine="1440"/>
        <w:rPr>
          <w:sz w:val="26"/>
          <w:szCs w:val="26"/>
        </w:rPr>
      </w:pPr>
      <w:r>
        <w:rPr>
          <w:sz w:val="26"/>
          <w:szCs w:val="26"/>
        </w:rPr>
        <w:t xml:space="preserve">No other Party addressed this aspect of the Initial Decision. </w:t>
      </w:r>
    </w:p>
    <w:p w:rsidR="004A425C" w:rsidRDefault="004A425C" w:rsidP="00702DBA">
      <w:pPr>
        <w:spacing w:line="360" w:lineRule="auto"/>
      </w:pPr>
    </w:p>
    <w:p w:rsidR="006C5448" w:rsidRDefault="006C5448" w:rsidP="006C5448">
      <w:pPr>
        <w:pStyle w:val="Heading4"/>
      </w:pPr>
      <w:bookmarkStart w:id="99" w:name="_Toc259798233"/>
      <w:bookmarkStart w:id="100" w:name="_Toc263848877"/>
      <w:r>
        <w:t>d.</w:t>
      </w:r>
      <w:r>
        <w:tab/>
        <w:t>Disposition</w:t>
      </w:r>
      <w:bookmarkEnd w:id="99"/>
      <w:bookmarkEnd w:id="100"/>
    </w:p>
    <w:p w:rsidR="0039323E" w:rsidRDefault="0039323E" w:rsidP="002F5812">
      <w:pPr>
        <w:spacing w:line="360" w:lineRule="auto"/>
        <w:ind w:firstLine="2160"/>
        <w:rPr>
          <w:sz w:val="26"/>
          <w:szCs w:val="26"/>
        </w:rPr>
      </w:pPr>
    </w:p>
    <w:p w:rsidR="000A6B98" w:rsidRDefault="000A6B98" w:rsidP="000A6B98">
      <w:pPr>
        <w:spacing w:line="360" w:lineRule="auto"/>
        <w:ind w:firstLine="1440"/>
        <w:rPr>
          <w:sz w:val="26"/>
          <w:szCs w:val="26"/>
        </w:rPr>
      </w:pPr>
      <w:r>
        <w:rPr>
          <w:sz w:val="26"/>
          <w:szCs w:val="26"/>
        </w:rPr>
        <w:t xml:space="preserve">The recovery of interest within a 1307(e) reconciliation mechanism is not specifically provided for within the statutory language.  However, the Commission does require Group I gas utilities to pay </w:t>
      </w:r>
      <w:r w:rsidR="00123A3F">
        <w:rPr>
          <w:sz w:val="26"/>
          <w:szCs w:val="26"/>
        </w:rPr>
        <w:t xml:space="preserve">their </w:t>
      </w:r>
      <w:r>
        <w:rPr>
          <w:sz w:val="26"/>
          <w:szCs w:val="26"/>
        </w:rPr>
        <w:t>customers interest on over-collected gas costs.  52 Pa Code § 53.66.  The Commission has also provided for the imputation of interest, at the legal rate of six percent per year, within other 1307(e) type recovery mechanisms such a</w:t>
      </w:r>
      <w:r w:rsidR="00123A3F">
        <w:rPr>
          <w:sz w:val="26"/>
          <w:szCs w:val="26"/>
        </w:rPr>
        <w:t>s Universal Service Cost Riders,</w:t>
      </w:r>
      <w:r>
        <w:rPr>
          <w:sz w:val="26"/>
          <w:szCs w:val="26"/>
        </w:rPr>
        <w:t xml:space="preserve"> Default Service Charge Riders and Consumer Education Program Cost Recovery Riders.  By providing for the imputation of interest within the</w:t>
      </w:r>
      <w:r w:rsidR="00123A3F">
        <w:rPr>
          <w:sz w:val="26"/>
          <w:szCs w:val="26"/>
        </w:rPr>
        <w:t xml:space="preserve"> SMT-C Riders,</w:t>
      </w:r>
      <w:r>
        <w:rPr>
          <w:sz w:val="26"/>
          <w:szCs w:val="26"/>
        </w:rPr>
        <w:t xml:space="preserve"> the utility is able to recover all allowable costs, including the time value of money, on a full and current basis, as allowed by Act 129.  66 Pa. </w:t>
      </w:r>
      <w:r w:rsidR="00123A3F">
        <w:rPr>
          <w:sz w:val="26"/>
          <w:szCs w:val="26"/>
        </w:rPr>
        <w:t>C.</w:t>
      </w:r>
      <w:r>
        <w:rPr>
          <w:sz w:val="26"/>
          <w:szCs w:val="26"/>
        </w:rPr>
        <w:t xml:space="preserve">S. </w:t>
      </w:r>
      <w:r w:rsidR="00123A3F">
        <w:rPr>
          <w:sz w:val="26"/>
          <w:szCs w:val="26"/>
        </w:rPr>
        <w:br/>
      </w:r>
      <w:r>
        <w:rPr>
          <w:sz w:val="26"/>
          <w:szCs w:val="26"/>
        </w:rPr>
        <w:t>§ 2807(f)(7).  If the recovery of interest were not allowed the utility would not recover all of its allowable costs.</w:t>
      </w:r>
    </w:p>
    <w:p w:rsidR="000A6B98" w:rsidRDefault="000A6B98" w:rsidP="000A6B98">
      <w:pPr>
        <w:spacing w:line="360" w:lineRule="auto"/>
        <w:ind w:firstLine="1440"/>
        <w:rPr>
          <w:sz w:val="26"/>
          <w:szCs w:val="26"/>
        </w:rPr>
      </w:pPr>
    </w:p>
    <w:p w:rsidR="000A6B98" w:rsidRDefault="000A6B98" w:rsidP="000A6B98">
      <w:pPr>
        <w:spacing w:line="360" w:lineRule="auto"/>
        <w:ind w:firstLine="1440"/>
        <w:rPr>
          <w:sz w:val="26"/>
          <w:szCs w:val="26"/>
        </w:rPr>
      </w:pPr>
      <w:r>
        <w:rPr>
          <w:sz w:val="26"/>
          <w:szCs w:val="26"/>
        </w:rPr>
        <w:t xml:space="preserve">The Companies’ Plan calls for interest on net over- and under-collections at the legal rate of six percent per year.  41 P.S. § 202.  Prior Commission decisions regarding 1307(e) recovery mechanisms have provided for the imposition of interest, at the legal rate, on both over and under-collections.  We recognize that the residential </w:t>
      </w:r>
      <w:r>
        <w:rPr>
          <w:sz w:val="26"/>
          <w:szCs w:val="26"/>
        </w:rPr>
        <w:lastRenderedPageBreak/>
        <w:t>mortgage interest rate is used in the reconciliation of other types of costs incurred by various utilities</w:t>
      </w:r>
      <w:r w:rsidR="00123A3F">
        <w:rPr>
          <w:sz w:val="26"/>
          <w:szCs w:val="26"/>
        </w:rPr>
        <w:t>.  H</w:t>
      </w:r>
      <w:r>
        <w:rPr>
          <w:sz w:val="26"/>
          <w:szCs w:val="26"/>
        </w:rPr>
        <w:t>owever</w:t>
      </w:r>
      <w:r w:rsidR="00123A3F">
        <w:rPr>
          <w:sz w:val="26"/>
          <w:szCs w:val="26"/>
        </w:rPr>
        <w:t>,</w:t>
      </w:r>
      <w:r>
        <w:rPr>
          <w:sz w:val="26"/>
          <w:szCs w:val="26"/>
        </w:rPr>
        <w:t xml:space="preserve"> we believe that the legal rate, as requested by the Companies, is reasonable and fulfills the requirement of the Act regarding full and current recovery.  Accordingly, we shall grant the Companies’ </w:t>
      </w:r>
      <w:r w:rsidR="00123A3F">
        <w:rPr>
          <w:sz w:val="26"/>
          <w:szCs w:val="26"/>
        </w:rPr>
        <w:t xml:space="preserve">Exception and </w:t>
      </w:r>
      <w:r>
        <w:rPr>
          <w:sz w:val="26"/>
          <w:szCs w:val="26"/>
        </w:rPr>
        <w:t xml:space="preserve">deny the </w:t>
      </w:r>
      <w:r w:rsidR="00123A3F">
        <w:rPr>
          <w:sz w:val="26"/>
          <w:szCs w:val="26"/>
        </w:rPr>
        <w:t>E</w:t>
      </w:r>
      <w:r>
        <w:rPr>
          <w:sz w:val="26"/>
          <w:szCs w:val="26"/>
        </w:rPr>
        <w:t>x</w:t>
      </w:r>
      <w:r w:rsidR="00123A3F">
        <w:rPr>
          <w:sz w:val="26"/>
          <w:szCs w:val="26"/>
        </w:rPr>
        <w:t>ception of the OTS with regard to interest on over- and under-collections</w:t>
      </w:r>
      <w:r>
        <w:rPr>
          <w:sz w:val="26"/>
          <w:szCs w:val="26"/>
        </w:rPr>
        <w:t>.</w:t>
      </w:r>
    </w:p>
    <w:p w:rsidR="000A6B98" w:rsidRDefault="000A6B98" w:rsidP="002F5812">
      <w:pPr>
        <w:spacing w:line="360" w:lineRule="auto"/>
        <w:ind w:firstLine="2160"/>
        <w:rPr>
          <w:sz w:val="26"/>
          <w:szCs w:val="26"/>
        </w:rPr>
      </w:pPr>
    </w:p>
    <w:p w:rsidR="00E77617" w:rsidRDefault="00E77617" w:rsidP="00E77617">
      <w:pPr>
        <w:pStyle w:val="Heading3"/>
      </w:pPr>
      <w:bookmarkStart w:id="101" w:name="_Toc259798234"/>
      <w:bookmarkStart w:id="102" w:name="_Toc263848878"/>
      <w:r>
        <w:t>4.</w:t>
      </w:r>
      <w:r>
        <w:tab/>
        <w:t>Current Recovery of Start-Up and Assessment Period Costs</w:t>
      </w:r>
      <w:bookmarkEnd w:id="101"/>
      <w:bookmarkEnd w:id="102"/>
    </w:p>
    <w:p w:rsidR="00E77617" w:rsidRDefault="00E77617" w:rsidP="00E77617">
      <w:pPr>
        <w:spacing w:line="360" w:lineRule="auto"/>
        <w:ind w:firstLine="2160"/>
        <w:rPr>
          <w:sz w:val="26"/>
          <w:szCs w:val="26"/>
        </w:rPr>
      </w:pPr>
    </w:p>
    <w:p w:rsidR="00E77617" w:rsidRDefault="00E77617" w:rsidP="00E77617">
      <w:pPr>
        <w:pStyle w:val="Heading4"/>
      </w:pPr>
      <w:bookmarkStart w:id="103" w:name="_Toc259798235"/>
      <w:bookmarkStart w:id="104" w:name="_Toc263848879"/>
      <w:r>
        <w:t>a.</w:t>
      </w:r>
      <w:r>
        <w:tab/>
      </w:r>
      <w:r w:rsidR="00B55DC4">
        <w:t>FirstEnergy</w:t>
      </w:r>
      <w:r>
        <w:t>’s Plan</w:t>
      </w:r>
      <w:bookmarkEnd w:id="103"/>
      <w:bookmarkEnd w:id="104"/>
    </w:p>
    <w:p w:rsidR="00E77617" w:rsidRDefault="00E77617" w:rsidP="00E77617">
      <w:pPr>
        <w:spacing w:line="360" w:lineRule="auto"/>
        <w:ind w:firstLine="2160"/>
        <w:rPr>
          <w:sz w:val="26"/>
          <w:szCs w:val="26"/>
        </w:rPr>
      </w:pPr>
    </w:p>
    <w:p w:rsidR="00E77617" w:rsidRDefault="00E77617" w:rsidP="00E77617">
      <w:pPr>
        <w:spacing w:line="360" w:lineRule="auto"/>
        <w:ind w:firstLine="1440"/>
        <w:rPr>
          <w:sz w:val="26"/>
          <w:szCs w:val="26"/>
        </w:rPr>
      </w:pPr>
      <w:r>
        <w:rPr>
          <w:sz w:val="26"/>
          <w:szCs w:val="26"/>
        </w:rPr>
        <w:t>As stated in the Initial Decision,</w:t>
      </w:r>
    </w:p>
    <w:p w:rsidR="00B55D33" w:rsidRDefault="00B55D33" w:rsidP="00E77617">
      <w:pPr>
        <w:ind w:left="1440" w:right="1440"/>
        <w:rPr>
          <w:sz w:val="26"/>
          <w:szCs w:val="26"/>
        </w:rPr>
      </w:pPr>
    </w:p>
    <w:p w:rsidR="00E77617" w:rsidRDefault="00E77617" w:rsidP="00E77617">
      <w:pPr>
        <w:ind w:left="1440" w:right="1440"/>
        <w:rPr>
          <w:sz w:val="26"/>
          <w:szCs w:val="26"/>
        </w:rPr>
      </w:pPr>
      <w:r>
        <w:rPr>
          <w:sz w:val="26"/>
          <w:szCs w:val="26"/>
        </w:rPr>
        <w:tab/>
        <w:t xml:space="preserve">The Companies propose that (1) administrative start-up costs incurred through the effective date of the SMT-C Riders should be deferred, accrue compound interest based on the legal rate in 41 P.S. § 202, and be recovered over the 12-month period ending March 31, 2011; and (2) the projected expenses for the 24-month Assessment Period be recovered on a current basis. </w:t>
      </w:r>
    </w:p>
    <w:p w:rsidR="00E77617" w:rsidRDefault="00E77617" w:rsidP="00E77617">
      <w:pPr>
        <w:spacing w:line="360" w:lineRule="auto"/>
        <w:ind w:firstLine="2160"/>
        <w:rPr>
          <w:sz w:val="26"/>
          <w:szCs w:val="26"/>
        </w:rPr>
      </w:pPr>
    </w:p>
    <w:p w:rsidR="00E77617" w:rsidRPr="00E77617" w:rsidRDefault="00E77617" w:rsidP="00E77617">
      <w:pPr>
        <w:spacing w:line="360" w:lineRule="auto"/>
        <w:rPr>
          <w:sz w:val="26"/>
          <w:szCs w:val="26"/>
        </w:rPr>
      </w:pPr>
      <w:r w:rsidRPr="00E77617">
        <w:rPr>
          <w:sz w:val="26"/>
          <w:szCs w:val="26"/>
        </w:rPr>
        <w:t xml:space="preserve">I.D. at 44.  </w:t>
      </w:r>
      <w:r w:rsidR="00B55D33">
        <w:rPr>
          <w:sz w:val="26"/>
          <w:szCs w:val="26"/>
        </w:rPr>
        <w:t xml:space="preserve">The </w:t>
      </w:r>
      <w:r w:rsidRPr="00E77617">
        <w:rPr>
          <w:sz w:val="26"/>
          <w:szCs w:val="26"/>
        </w:rPr>
        <w:t xml:space="preserve">OTS proposed that administrative start-up costs and Assessment Period costs be capitalized and depreciated, rather than expensed when incurred.  </w:t>
      </w:r>
      <w:r>
        <w:rPr>
          <w:sz w:val="26"/>
          <w:szCs w:val="26"/>
        </w:rPr>
        <w:t>The OTS argued</w:t>
      </w:r>
      <w:r w:rsidRPr="00E77617">
        <w:rPr>
          <w:sz w:val="26"/>
          <w:szCs w:val="26"/>
        </w:rPr>
        <w:t xml:space="preserve"> that the costs incurred to develop the infrastructure and make it operational should be treated as capital costs.  In support of i</w:t>
      </w:r>
      <w:r>
        <w:rPr>
          <w:sz w:val="26"/>
          <w:szCs w:val="26"/>
        </w:rPr>
        <w:t>ts position, the OTS also stated</w:t>
      </w:r>
      <w:r w:rsidRPr="00E77617">
        <w:rPr>
          <w:sz w:val="26"/>
          <w:szCs w:val="26"/>
        </w:rPr>
        <w:t xml:space="preserve"> t</w:t>
      </w:r>
      <w:r>
        <w:rPr>
          <w:sz w:val="26"/>
          <w:szCs w:val="26"/>
        </w:rPr>
        <w:t>hat infrastructure development</w:t>
      </w:r>
      <w:r w:rsidRPr="00E77617">
        <w:rPr>
          <w:sz w:val="26"/>
          <w:szCs w:val="26"/>
        </w:rPr>
        <w:t xml:space="preserve"> and rebuild costs are investments which will provide benefits over an extended period of time and</w:t>
      </w:r>
      <w:r>
        <w:rPr>
          <w:sz w:val="26"/>
          <w:szCs w:val="26"/>
        </w:rPr>
        <w:t>,</w:t>
      </w:r>
      <w:r w:rsidRPr="00E77617">
        <w:rPr>
          <w:sz w:val="26"/>
          <w:szCs w:val="26"/>
        </w:rPr>
        <w:t xml:space="preserve"> as such, should b</w:t>
      </w:r>
      <w:r>
        <w:rPr>
          <w:sz w:val="26"/>
          <w:szCs w:val="26"/>
        </w:rPr>
        <w:t>e depreciated over time, just like</w:t>
      </w:r>
      <w:r w:rsidRPr="00E77617">
        <w:rPr>
          <w:sz w:val="26"/>
          <w:szCs w:val="26"/>
        </w:rPr>
        <w:t xml:space="preserve"> the costs of plant investments.  Lastly, the OTS states that the ratemaking principle for plant acqui</w:t>
      </w:r>
      <w:r w:rsidR="00B55D33">
        <w:rPr>
          <w:sz w:val="26"/>
          <w:szCs w:val="26"/>
        </w:rPr>
        <w:t>sitions to be amortized over their useful liv</w:t>
      </w:r>
      <w:r w:rsidRPr="00E77617">
        <w:rPr>
          <w:sz w:val="26"/>
          <w:szCs w:val="26"/>
        </w:rPr>
        <w:t>e</w:t>
      </w:r>
      <w:r w:rsidR="00B55D33">
        <w:rPr>
          <w:sz w:val="26"/>
          <w:szCs w:val="26"/>
        </w:rPr>
        <w:t>s</w:t>
      </w:r>
      <w:r w:rsidRPr="00E77617">
        <w:rPr>
          <w:sz w:val="26"/>
          <w:szCs w:val="26"/>
        </w:rPr>
        <w:t xml:space="preserve"> should be maintained in the treatment of </w:t>
      </w:r>
      <w:r>
        <w:rPr>
          <w:sz w:val="26"/>
          <w:szCs w:val="26"/>
        </w:rPr>
        <w:t>smart meter p</w:t>
      </w:r>
      <w:r w:rsidRPr="00E77617">
        <w:rPr>
          <w:sz w:val="26"/>
          <w:szCs w:val="26"/>
        </w:rPr>
        <w:t xml:space="preserve">lan costs.  OTS MB at 20-22.     </w:t>
      </w:r>
    </w:p>
    <w:p w:rsidR="00E77617" w:rsidRDefault="00E77617" w:rsidP="00E77617">
      <w:pPr>
        <w:spacing w:line="360" w:lineRule="auto"/>
        <w:ind w:firstLine="2160"/>
        <w:rPr>
          <w:sz w:val="26"/>
          <w:szCs w:val="26"/>
        </w:rPr>
      </w:pPr>
    </w:p>
    <w:p w:rsidR="00E77617" w:rsidRDefault="00E77617" w:rsidP="00E77617">
      <w:pPr>
        <w:pStyle w:val="Heading4"/>
      </w:pPr>
      <w:bookmarkStart w:id="105" w:name="_Toc259798236"/>
      <w:bookmarkStart w:id="106" w:name="_Toc263848880"/>
      <w:r>
        <w:lastRenderedPageBreak/>
        <w:t>b.</w:t>
      </w:r>
      <w:r>
        <w:tab/>
        <w:t>ALJ’s Recommendation</w:t>
      </w:r>
      <w:bookmarkEnd w:id="105"/>
      <w:bookmarkEnd w:id="106"/>
    </w:p>
    <w:p w:rsidR="00E77617" w:rsidRDefault="00E77617" w:rsidP="00E77617">
      <w:pPr>
        <w:spacing w:line="360" w:lineRule="auto"/>
        <w:ind w:firstLine="2160"/>
        <w:rPr>
          <w:sz w:val="26"/>
          <w:szCs w:val="26"/>
        </w:rPr>
      </w:pPr>
    </w:p>
    <w:p w:rsidR="00E77617" w:rsidRDefault="00E77617" w:rsidP="00E77617">
      <w:pPr>
        <w:spacing w:line="360" w:lineRule="auto"/>
        <w:ind w:firstLine="1440"/>
        <w:rPr>
          <w:sz w:val="26"/>
          <w:szCs w:val="26"/>
        </w:rPr>
      </w:pPr>
      <w:r>
        <w:rPr>
          <w:sz w:val="26"/>
          <w:szCs w:val="26"/>
        </w:rPr>
        <w:t xml:space="preserve">The ALJ approved the Companies’ proposal regarding administrative start-up costs.  With regard to Assessment Period costs, however, the ALJ concluded that the costs in question should be capitalized over the life of the smart meter technology to which the costs relate.  I.D. at 46.  </w:t>
      </w:r>
    </w:p>
    <w:p w:rsidR="00E77617" w:rsidRDefault="00E77617" w:rsidP="00E77617">
      <w:pPr>
        <w:spacing w:line="360" w:lineRule="auto"/>
        <w:ind w:firstLine="2160"/>
        <w:rPr>
          <w:sz w:val="26"/>
          <w:szCs w:val="26"/>
        </w:rPr>
      </w:pPr>
    </w:p>
    <w:p w:rsidR="00E77617" w:rsidRPr="00E4598C" w:rsidRDefault="00E77617" w:rsidP="00E77617">
      <w:pPr>
        <w:pStyle w:val="Heading4"/>
        <w:rPr>
          <w:szCs w:val="26"/>
        </w:rPr>
      </w:pPr>
      <w:bookmarkStart w:id="107" w:name="_Toc259798237"/>
      <w:bookmarkStart w:id="108" w:name="_Toc263848881"/>
      <w:r w:rsidRPr="00E4598C">
        <w:rPr>
          <w:szCs w:val="26"/>
        </w:rPr>
        <w:t>c.</w:t>
      </w:r>
      <w:r w:rsidRPr="00E4598C">
        <w:rPr>
          <w:szCs w:val="26"/>
        </w:rPr>
        <w:tab/>
        <w:t>Positions of the Parties</w:t>
      </w:r>
      <w:bookmarkEnd w:id="107"/>
      <w:bookmarkEnd w:id="108"/>
    </w:p>
    <w:p w:rsidR="00E77617" w:rsidRPr="00E4598C" w:rsidRDefault="00E77617" w:rsidP="00E77617">
      <w:pPr>
        <w:spacing w:line="360" w:lineRule="auto"/>
        <w:rPr>
          <w:sz w:val="26"/>
          <w:szCs w:val="26"/>
        </w:rPr>
      </w:pPr>
    </w:p>
    <w:p w:rsidR="00E77617" w:rsidRPr="00E4598C" w:rsidRDefault="00E77617" w:rsidP="00E77617">
      <w:pPr>
        <w:spacing w:line="360" w:lineRule="auto"/>
        <w:ind w:firstLine="1440"/>
        <w:rPr>
          <w:sz w:val="26"/>
          <w:szCs w:val="26"/>
        </w:rPr>
      </w:pPr>
      <w:r>
        <w:rPr>
          <w:sz w:val="26"/>
          <w:szCs w:val="26"/>
        </w:rPr>
        <w:t xml:space="preserve">The OTS excepts to the ALJ’s conclusion that administrative start-up costs should be expensed.  The OTS contends that the Companies’ administrative start-up expenses are investments that provide a benefit over an extended time period, similar to any other plant investments.  An investment in physical plant should be recovered from those ratepayers who receive the benefit.  “Because the number of customers in the service territory remains fluid, it would not be appropriate to recover the costs only from those customers who are in the service territory at the beginning of the recovery period.”  OTS Exc. at 26.  Therefore, the OTS concludes, administrative start-up costs are appropriately depreciated over the life of the asset.  </w:t>
      </w:r>
      <w:r w:rsidRPr="00F02C86">
        <w:rPr>
          <w:i/>
          <w:sz w:val="26"/>
          <w:szCs w:val="26"/>
        </w:rPr>
        <w:t>Id</w:t>
      </w:r>
      <w:r>
        <w:rPr>
          <w:sz w:val="26"/>
          <w:szCs w:val="26"/>
        </w:rPr>
        <w:t xml:space="preserve">. at 25-26.      </w:t>
      </w:r>
    </w:p>
    <w:p w:rsidR="00E77617" w:rsidRPr="00E4598C" w:rsidRDefault="00E77617" w:rsidP="00E77617">
      <w:pPr>
        <w:spacing w:line="360" w:lineRule="auto"/>
        <w:rPr>
          <w:sz w:val="26"/>
          <w:szCs w:val="26"/>
        </w:rPr>
      </w:pPr>
    </w:p>
    <w:p w:rsidR="00E77617" w:rsidRDefault="00E77617" w:rsidP="00E77617">
      <w:pPr>
        <w:spacing w:line="360" w:lineRule="auto"/>
        <w:ind w:firstLine="1440"/>
        <w:rPr>
          <w:sz w:val="26"/>
          <w:szCs w:val="26"/>
        </w:rPr>
      </w:pPr>
      <w:r>
        <w:rPr>
          <w:sz w:val="26"/>
          <w:szCs w:val="26"/>
        </w:rPr>
        <w:t xml:space="preserve">The Companies except to the ALJ’s conclusion that Assessment Period costs should be capitalized over the life of the smart meter technology to which the costs relate.  The Companies state that the costs in question include research and development costs that are traditionally treated as expense items.  </w:t>
      </w:r>
      <w:r w:rsidR="00B55DC4">
        <w:rPr>
          <w:sz w:val="26"/>
          <w:szCs w:val="26"/>
        </w:rPr>
        <w:t>FirstEnergy</w:t>
      </w:r>
      <w:r>
        <w:rPr>
          <w:sz w:val="26"/>
          <w:szCs w:val="26"/>
        </w:rPr>
        <w:t xml:space="preserve"> Exc. at 3, 6-8.  The Companies further state that their proposal will moderate the impact of the Plan on customers’ rates.  According to the Companies, the expenses the Companies will incur during the Assessment Period will be relatively small, whereas the costs that will be incurred during the implementation of the Plan will be greater.  “It does not make sense to defer the recovery of Assessment Period costs from a period when SMT-C rates will be relatively low to a period when those rates will be considerably higher.”  </w:t>
      </w:r>
      <w:r w:rsidRPr="000C5F9E">
        <w:rPr>
          <w:i/>
          <w:sz w:val="26"/>
          <w:szCs w:val="26"/>
        </w:rPr>
        <w:t>Id</w:t>
      </w:r>
      <w:r>
        <w:rPr>
          <w:sz w:val="26"/>
          <w:szCs w:val="26"/>
        </w:rPr>
        <w:t>. at 7.</w:t>
      </w:r>
    </w:p>
    <w:p w:rsidR="00E77617" w:rsidRDefault="00E77617" w:rsidP="00E77617">
      <w:pPr>
        <w:spacing w:line="360" w:lineRule="auto"/>
        <w:ind w:firstLine="1440"/>
        <w:rPr>
          <w:sz w:val="26"/>
          <w:szCs w:val="26"/>
        </w:rPr>
      </w:pPr>
    </w:p>
    <w:p w:rsidR="00E77617" w:rsidRDefault="00E77617" w:rsidP="00E77617">
      <w:pPr>
        <w:spacing w:line="360" w:lineRule="auto"/>
        <w:ind w:firstLine="1440"/>
        <w:rPr>
          <w:sz w:val="26"/>
          <w:szCs w:val="26"/>
        </w:rPr>
      </w:pPr>
      <w:r>
        <w:rPr>
          <w:sz w:val="26"/>
          <w:szCs w:val="26"/>
        </w:rPr>
        <w:t>The Companies further argue that the ALJ’s decision leaves certain implementation issues unresolved.  For example, the Companies state that it is unclear whether the Companies will be permitted to earn a return on, as well as a return of, Assessment Period costs.  The Companies also state that the starting point for the recovery period has not been identified.  The Companies conclude that the OTS’</w:t>
      </w:r>
      <w:r w:rsidR="00066031">
        <w:rPr>
          <w:sz w:val="26"/>
          <w:szCs w:val="26"/>
        </w:rPr>
        <w:t>s</w:t>
      </w:r>
      <w:r>
        <w:rPr>
          <w:sz w:val="26"/>
          <w:szCs w:val="26"/>
        </w:rPr>
        <w:t xml:space="preserve"> proposal, as adopted by the ALJ, “creates levels of complexity that are not justified by the nature and amount of the Assessment Period costs to be recovered.”  </w:t>
      </w:r>
      <w:r w:rsidRPr="00741BFF">
        <w:rPr>
          <w:i/>
          <w:sz w:val="26"/>
          <w:szCs w:val="26"/>
        </w:rPr>
        <w:t>Id</w:t>
      </w:r>
      <w:r>
        <w:rPr>
          <w:sz w:val="26"/>
          <w:szCs w:val="26"/>
        </w:rPr>
        <w:t xml:space="preserve">. at 8.  </w:t>
      </w:r>
    </w:p>
    <w:p w:rsidR="00E77617" w:rsidRDefault="00E77617" w:rsidP="00E77617">
      <w:pPr>
        <w:spacing w:line="360" w:lineRule="auto"/>
        <w:ind w:firstLine="1440"/>
        <w:rPr>
          <w:sz w:val="26"/>
          <w:szCs w:val="26"/>
        </w:rPr>
      </w:pPr>
    </w:p>
    <w:p w:rsidR="00E77617" w:rsidRDefault="00E77617" w:rsidP="00E77617">
      <w:pPr>
        <w:spacing w:line="360" w:lineRule="auto"/>
        <w:ind w:firstLine="1440"/>
        <w:rPr>
          <w:sz w:val="26"/>
          <w:szCs w:val="26"/>
        </w:rPr>
      </w:pPr>
      <w:r>
        <w:rPr>
          <w:sz w:val="26"/>
          <w:szCs w:val="26"/>
        </w:rPr>
        <w:t>The OTS responds by arguing that the Assessment Period costs are not primarily research and development expenses.  According to the OTS, the expenses in question are infrastructure development and rebuild implementation costs.  That is, the OTS contends that the expenses represent plant improvements that are generally capitalized over the useful life of the items for rate-making purposes.  OTS R.Exc. at 2-3.</w:t>
      </w:r>
    </w:p>
    <w:p w:rsidR="00E77617" w:rsidRDefault="00E77617" w:rsidP="00E77617">
      <w:pPr>
        <w:spacing w:line="360" w:lineRule="auto"/>
        <w:ind w:firstLine="1440"/>
        <w:rPr>
          <w:sz w:val="26"/>
          <w:szCs w:val="26"/>
        </w:rPr>
      </w:pPr>
    </w:p>
    <w:p w:rsidR="00E77617" w:rsidRDefault="00E77617" w:rsidP="00E77617">
      <w:pPr>
        <w:spacing w:line="360" w:lineRule="auto"/>
        <w:ind w:firstLine="1440"/>
        <w:rPr>
          <w:sz w:val="26"/>
          <w:szCs w:val="26"/>
        </w:rPr>
      </w:pPr>
      <w:r>
        <w:rPr>
          <w:sz w:val="26"/>
          <w:szCs w:val="26"/>
        </w:rPr>
        <w:t xml:space="preserve">The OTS further responds by arguing that there are no significant unresolved implementation issues.  The OTS submits that its recommendation to capitalize Assessment Period costs inherently includes both the return on and return of such assets.  </w:t>
      </w:r>
      <w:r w:rsidR="00066031">
        <w:rPr>
          <w:sz w:val="26"/>
          <w:szCs w:val="26"/>
        </w:rPr>
        <w:t xml:space="preserve">The </w:t>
      </w:r>
      <w:r>
        <w:rPr>
          <w:sz w:val="26"/>
          <w:szCs w:val="26"/>
        </w:rPr>
        <w:t xml:space="preserve">OTS also submits that, implicit in its recommendation regarding the capitalization of Assessment Period costs, was the concept that the starting point for the recovery period is when the meter is placed into service.  </w:t>
      </w:r>
      <w:r w:rsidRPr="00543E6A">
        <w:rPr>
          <w:i/>
          <w:sz w:val="26"/>
          <w:szCs w:val="26"/>
        </w:rPr>
        <w:t>Id</w:t>
      </w:r>
      <w:r>
        <w:rPr>
          <w:sz w:val="26"/>
          <w:szCs w:val="26"/>
        </w:rPr>
        <w:t xml:space="preserve">. at 3-4. </w:t>
      </w:r>
    </w:p>
    <w:p w:rsidR="00E77617" w:rsidRDefault="00E77617" w:rsidP="00E77617">
      <w:pPr>
        <w:spacing w:line="360" w:lineRule="auto"/>
        <w:ind w:firstLine="1440"/>
        <w:rPr>
          <w:sz w:val="26"/>
          <w:szCs w:val="26"/>
        </w:rPr>
      </w:pPr>
    </w:p>
    <w:p w:rsidR="00E77617" w:rsidRDefault="00E77617" w:rsidP="00E77617">
      <w:pPr>
        <w:spacing w:line="360" w:lineRule="auto"/>
        <w:ind w:firstLine="1440"/>
        <w:rPr>
          <w:sz w:val="26"/>
          <w:szCs w:val="26"/>
        </w:rPr>
      </w:pPr>
      <w:r>
        <w:rPr>
          <w:sz w:val="26"/>
          <w:szCs w:val="26"/>
        </w:rPr>
        <w:t xml:space="preserve">No other Party addressed this aspect of the Initial Decision. </w:t>
      </w:r>
    </w:p>
    <w:p w:rsidR="00E77617" w:rsidRDefault="00E77617" w:rsidP="00E77617">
      <w:pPr>
        <w:spacing w:line="360" w:lineRule="auto"/>
        <w:ind w:firstLine="1440"/>
        <w:rPr>
          <w:sz w:val="26"/>
          <w:szCs w:val="26"/>
        </w:rPr>
      </w:pPr>
    </w:p>
    <w:p w:rsidR="00E77617" w:rsidRDefault="00E77617" w:rsidP="00E77617">
      <w:pPr>
        <w:pStyle w:val="Heading4"/>
      </w:pPr>
      <w:bookmarkStart w:id="109" w:name="_Toc259798238"/>
      <w:bookmarkStart w:id="110" w:name="_Toc263848882"/>
      <w:r>
        <w:t>d.</w:t>
      </w:r>
      <w:r>
        <w:tab/>
        <w:t>Disposition</w:t>
      </w:r>
      <w:bookmarkEnd w:id="109"/>
      <w:bookmarkEnd w:id="110"/>
    </w:p>
    <w:p w:rsidR="00E77617" w:rsidRDefault="00E77617" w:rsidP="00E77617">
      <w:pPr>
        <w:spacing w:line="360" w:lineRule="auto"/>
        <w:ind w:firstLine="2160"/>
        <w:rPr>
          <w:sz w:val="26"/>
          <w:szCs w:val="26"/>
        </w:rPr>
      </w:pPr>
    </w:p>
    <w:p w:rsidR="00E77617" w:rsidRDefault="00E77617" w:rsidP="00E77617">
      <w:pPr>
        <w:spacing w:line="360" w:lineRule="auto"/>
        <w:ind w:firstLine="1440"/>
        <w:rPr>
          <w:sz w:val="26"/>
          <w:szCs w:val="26"/>
        </w:rPr>
      </w:pPr>
      <w:r>
        <w:rPr>
          <w:sz w:val="26"/>
          <w:szCs w:val="26"/>
        </w:rPr>
        <w:t>Regarding the recovery of Start-Up Costs, we agree with the ALJ’s adoption of the Companies’ position.  We agree with the Compani</w:t>
      </w:r>
      <w:r w:rsidR="007D36DB">
        <w:rPr>
          <w:sz w:val="26"/>
          <w:szCs w:val="26"/>
        </w:rPr>
        <w:t>es’ rationale that recovery of start-up c</w:t>
      </w:r>
      <w:r>
        <w:rPr>
          <w:sz w:val="26"/>
          <w:szCs w:val="26"/>
        </w:rPr>
        <w:t xml:space="preserve">osts on a current basis will moderate the rate impact on customers.  </w:t>
      </w:r>
      <w:r>
        <w:rPr>
          <w:sz w:val="26"/>
          <w:szCs w:val="26"/>
        </w:rPr>
        <w:lastRenderedPageBreak/>
        <w:t xml:space="preserve">Additionally, this treatment is consistent with our treatment of </w:t>
      </w:r>
      <w:r w:rsidR="007D36DB">
        <w:rPr>
          <w:sz w:val="26"/>
          <w:szCs w:val="26"/>
        </w:rPr>
        <w:t xml:space="preserve">start-up </w:t>
      </w:r>
      <w:r>
        <w:rPr>
          <w:sz w:val="26"/>
          <w:szCs w:val="26"/>
        </w:rPr>
        <w:t>costs incurred by the Companies in their Energy Efficiency and Conservation Plans.</w:t>
      </w:r>
    </w:p>
    <w:p w:rsidR="00E77617" w:rsidRDefault="00E77617" w:rsidP="00E77617">
      <w:pPr>
        <w:spacing w:line="360" w:lineRule="auto"/>
        <w:ind w:firstLine="1440"/>
        <w:rPr>
          <w:sz w:val="26"/>
          <w:szCs w:val="26"/>
        </w:rPr>
      </w:pPr>
    </w:p>
    <w:p w:rsidR="00E77617" w:rsidRDefault="007D36DB" w:rsidP="00E77617">
      <w:pPr>
        <w:spacing w:line="360" w:lineRule="auto"/>
        <w:ind w:firstLine="1440"/>
        <w:rPr>
          <w:sz w:val="26"/>
          <w:szCs w:val="26"/>
        </w:rPr>
      </w:pPr>
      <w:r>
        <w:rPr>
          <w:sz w:val="26"/>
          <w:szCs w:val="26"/>
        </w:rPr>
        <w:t>Assessment Period c</w:t>
      </w:r>
      <w:r w:rsidR="00E77617">
        <w:rPr>
          <w:sz w:val="26"/>
          <w:szCs w:val="26"/>
        </w:rPr>
        <w:t>osts should also be recovered on a current basis, as proposed by the Companies.  The Companies state that the expenses tha</w:t>
      </w:r>
      <w:r w:rsidR="00B55D33">
        <w:rPr>
          <w:sz w:val="26"/>
          <w:szCs w:val="26"/>
        </w:rPr>
        <w:t>t will be incurred during the twenty</w:t>
      </w:r>
      <w:r w:rsidR="00E77617">
        <w:rPr>
          <w:sz w:val="26"/>
          <w:szCs w:val="26"/>
        </w:rPr>
        <w:t>-</w:t>
      </w:r>
      <w:r w:rsidR="00B55D33">
        <w:rPr>
          <w:sz w:val="26"/>
          <w:szCs w:val="26"/>
        </w:rPr>
        <w:t xml:space="preserve">four </w:t>
      </w:r>
      <w:r w:rsidR="00E77617">
        <w:rPr>
          <w:sz w:val="26"/>
          <w:szCs w:val="26"/>
        </w:rPr>
        <w:t xml:space="preserve">month Assessment Period will include costs associated with the review and testing of numerous meters and various meter infrastructure configurations as part of the Companies’ research and development efforts. </w:t>
      </w:r>
      <w:r>
        <w:rPr>
          <w:sz w:val="26"/>
          <w:szCs w:val="26"/>
        </w:rPr>
        <w:t xml:space="preserve"> </w:t>
      </w:r>
      <w:r w:rsidR="00B55DC4">
        <w:rPr>
          <w:sz w:val="26"/>
          <w:szCs w:val="26"/>
        </w:rPr>
        <w:t>FirstEnergy</w:t>
      </w:r>
      <w:r>
        <w:rPr>
          <w:sz w:val="26"/>
          <w:szCs w:val="26"/>
        </w:rPr>
        <w:t xml:space="preserve"> </w:t>
      </w:r>
      <w:r w:rsidR="00E77617">
        <w:rPr>
          <w:sz w:val="26"/>
          <w:szCs w:val="26"/>
        </w:rPr>
        <w:t xml:space="preserve">St. </w:t>
      </w:r>
      <w:r>
        <w:rPr>
          <w:sz w:val="26"/>
          <w:szCs w:val="26"/>
        </w:rPr>
        <w:t xml:space="preserve">No. </w:t>
      </w:r>
      <w:r w:rsidR="00E77617">
        <w:rPr>
          <w:sz w:val="26"/>
          <w:szCs w:val="26"/>
        </w:rPr>
        <w:t>3</w:t>
      </w:r>
      <w:r w:rsidR="00B55D33">
        <w:rPr>
          <w:sz w:val="26"/>
          <w:szCs w:val="26"/>
        </w:rPr>
        <w:t xml:space="preserve">-R, at 12; </w:t>
      </w:r>
      <w:r w:rsidR="00B55DC4">
        <w:rPr>
          <w:sz w:val="26"/>
          <w:szCs w:val="26"/>
        </w:rPr>
        <w:t>FirstEnergy</w:t>
      </w:r>
      <w:r w:rsidR="00B55D33">
        <w:rPr>
          <w:sz w:val="26"/>
          <w:szCs w:val="26"/>
        </w:rPr>
        <w:t xml:space="preserve"> M</w:t>
      </w:r>
      <w:r>
        <w:rPr>
          <w:sz w:val="26"/>
          <w:szCs w:val="26"/>
        </w:rPr>
        <w:t>B at 36</w:t>
      </w:r>
      <w:r w:rsidR="00E77617">
        <w:rPr>
          <w:sz w:val="26"/>
          <w:szCs w:val="26"/>
        </w:rPr>
        <w:t>.  We agree with the Companies</w:t>
      </w:r>
      <w:r>
        <w:rPr>
          <w:sz w:val="26"/>
          <w:szCs w:val="26"/>
        </w:rPr>
        <w:t>’</w:t>
      </w:r>
      <w:r w:rsidR="00E77617">
        <w:rPr>
          <w:sz w:val="26"/>
          <w:szCs w:val="26"/>
        </w:rPr>
        <w:t xml:space="preserve"> position that research and development costs are traditionally trea</w:t>
      </w:r>
      <w:r w:rsidR="00CD5C74">
        <w:rPr>
          <w:sz w:val="26"/>
          <w:szCs w:val="26"/>
        </w:rPr>
        <w:t>ted as an expense item for rate-</w:t>
      </w:r>
      <w:r w:rsidR="00E77617">
        <w:rPr>
          <w:sz w:val="26"/>
          <w:szCs w:val="26"/>
        </w:rPr>
        <w:t>making purposes</w:t>
      </w:r>
      <w:r w:rsidR="00CD133B">
        <w:rPr>
          <w:sz w:val="26"/>
          <w:szCs w:val="26"/>
        </w:rPr>
        <w:t>.  T</w:t>
      </w:r>
      <w:r w:rsidR="00E77617">
        <w:rPr>
          <w:sz w:val="26"/>
          <w:szCs w:val="26"/>
        </w:rPr>
        <w:t>herefore, it is appropriate to grant the Companies</w:t>
      </w:r>
      <w:r w:rsidR="00CD133B">
        <w:rPr>
          <w:sz w:val="26"/>
          <w:szCs w:val="26"/>
        </w:rPr>
        <w:t>’</w:t>
      </w:r>
      <w:r w:rsidR="00E77617">
        <w:rPr>
          <w:sz w:val="26"/>
          <w:szCs w:val="26"/>
        </w:rPr>
        <w:t xml:space="preserve"> request for recovery on a current basis for these expenditures.  Based upon the above discussion</w:t>
      </w:r>
      <w:r w:rsidR="00CD133B">
        <w:rPr>
          <w:sz w:val="26"/>
          <w:szCs w:val="26"/>
        </w:rPr>
        <w:t>, the Exception</w:t>
      </w:r>
      <w:r w:rsidR="00E77617">
        <w:rPr>
          <w:sz w:val="26"/>
          <w:szCs w:val="26"/>
        </w:rPr>
        <w:t xml:space="preserve"> of the OTS</w:t>
      </w:r>
      <w:r w:rsidR="00CD133B">
        <w:rPr>
          <w:sz w:val="26"/>
          <w:szCs w:val="26"/>
        </w:rPr>
        <w:t xml:space="preserve"> regarding start-up costs is denied, and </w:t>
      </w:r>
      <w:r w:rsidR="00E77617">
        <w:rPr>
          <w:sz w:val="26"/>
          <w:szCs w:val="26"/>
        </w:rPr>
        <w:t xml:space="preserve">the </w:t>
      </w:r>
      <w:r w:rsidR="00CD133B">
        <w:rPr>
          <w:sz w:val="26"/>
          <w:szCs w:val="26"/>
        </w:rPr>
        <w:t>Exception of the Companies regarding Assessment Period costs is granted</w:t>
      </w:r>
      <w:r w:rsidR="00E77617">
        <w:rPr>
          <w:sz w:val="26"/>
          <w:szCs w:val="26"/>
        </w:rPr>
        <w:t>.</w:t>
      </w:r>
    </w:p>
    <w:p w:rsidR="009E5516" w:rsidRDefault="009E5516" w:rsidP="002F5812">
      <w:pPr>
        <w:spacing w:line="360" w:lineRule="auto"/>
        <w:ind w:firstLine="2160"/>
        <w:rPr>
          <w:sz w:val="26"/>
          <w:szCs w:val="26"/>
        </w:rPr>
      </w:pPr>
    </w:p>
    <w:p w:rsidR="0039323E" w:rsidRDefault="008E496C" w:rsidP="008E496C">
      <w:pPr>
        <w:pStyle w:val="Heading3"/>
        <w:spacing w:line="240" w:lineRule="auto"/>
        <w:ind w:left="2160" w:hanging="720"/>
      </w:pPr>
      <w:bookmarkStart w:id="111" w:name="_Toc259798239"/>
      <w:bookmarkStart w:id="112" w:name="_Toc263848883"/>
      <w:r>
        <w:t>5.</w:t>
      </w:r>
      <w:r>
        <w:tab/>
        <w:t>Recognition of Operating Expense Reductions and Avoided Capital Costs</w:t>
      </w:r>
      <w:bookmarkEnd w:id="111"/>
      <w:bookmarkEnd w:id="112"/>
    </w:p>
    <w:p w:rsidR="008E496C" w:rsidRDefault="008E496C" w:rsidP="002F5812">
      <w:pPr>
        <w:spacing w:line="360" w:lineRule="auto"/>
        <w:ind w:firstLine="2160"/>
        <w:rPr>
          <w:sz w:val="26"/>
          <w:szCs w:val="26"/>
        </w:rPr>
      </w:pPr>
    </w:p>
    <w:p w:rsidR="006C5448" w:rsidRDefault="006C5448" w:rsidP="006C5448">
      <w:pPr>
        <w:pStyle w:val="Heading4"/>
      </w:pPr>
      <w:bookmarkStart w:id="113" w:name="_Toc259798240"/>
      <w:bookmarkStart w:id="114" w:name="_Toc263848884"/>
      <w:r>
        <w:t>a.</w:t>
      </w:r>
      <w:r>
        <w:tab/>
      </w:r>
      <w:r w:rsidR="00B55DC4">
        <w:t>FirstEnergy</w:t>
      </w:r>
      <w:r>
        <w:t>’s Plan</w:t>
      </w:r>
      <w:bookmarkEnd w:id="113"/>
      <w:bookmarkEnd w:id="114"/>
    </w:p>
    <w:p w:rsidR="006C5448" w:rsidRDefault="006C5448" w:rsidP="006C5448">
      <w:pPr>
        <w:spacing w:line="360" w:lineRule="auto"/>
        <w:ind w:firstLine="2160"/>
        <w:rPr>
          <w:sz w:val="26"/>
          <w:szCs w:val="26"/>
        </w:rPr>
      </w:pPr>
    </w:p>
    <w:p w:rsidR="007937B5" w:rsidRDefault="00F11054" w:rsidP="007937B5">
      <w:pPr>
        <w:spacing w:line="360" w:lineRule="auto"/>
        <w:ind w:firstLine="1440"/>
        <w:rPr>
          <w:sz w:val="26"/>
          <w:szCs w:val="26"/>
        </w:rPr>
      </w:pPr>
      <w:r>
        <w:rPr>
          <w:sz w:val="26"/>
          <w:szCs w:val="26"/>
        </w:rPr>
        <w:t xml:space="preserve">Act 129 permits an EDC to </w:t>
      </w:r>
      <w:r w:rsidR="007937B5">
        <w:rPr>
          <w:sz w:val="26"/>
          <w:szCs w:val="26"/>
        </w:rPr>
        <w:t>recover reasonable and prudent costs of providing smart meter technology.</w:t>
      </w:r>
    </w:p>
    <w:p w:rsidR="007937B5" w:rsidRDefault="007937B5" w:rsidP="007937B5">
      <w:pPr>
        <w:ind w:firstLine="1440"/>
        <w:rPr>
          <w:sz w:val="26"/>
          <w:szCs w:val="26"/>
        </w:rPr>
      </w:pPr>
    </w:p>
    <w:p w:rsidR="007937B5" w:rsidRPr="002F3D54" w:rsidRDefault="007937B5" w:rsidP="007937B5">
      <w:pPr>
        <w:ind w:left="1440" w:right="1440"/>
        <w:rPr>
          <w:i/>
          <w:sz w:val="26"/>
          <w:szCs w:val="26"/>
        </w:rPr>
      </w:pPr>
      <w:r>
        <w:rPr>
          <w:sz w:val="26"/>
          <w:szCs w:val="26"/>
        </w:rPr>
        <w:t xml:space="preserve">This paragraph includes annual depreciation and capital costs </w:t>
      </w:r>
      <w:r w:rsidR="002F3D54">
        <w:rPr>
          <w:sz w:val="26"/>
          <w:szCs w:val="26"/>
        </w:rPr>
        <w:t xml:space="preserve">over the life of the smart meter technology and the cost of any system upgrades that the [EDC] may require to enable the use of the smart meter technology which are incurred after the effective date of this paragraph, </w:t>
      </w:r>
      <w:r w:rsidR="002F3D54">
        <w:rPr>
          <w:i/>
          <w:sz w:val="26"/>
          <w:szCs w:val="26"/>
        </w:rPr>
        <w:t>less operating and capital cost savings realized by the [EDC] from the installation and use of the smart meter technology.</w:t>
      </w:r>
    </w:p>
    <w:p w:rsidR="007937B5" w:rsidRDefault="007937B5" w:rsidP="006C5448">
      <w:pPr>
        <w:spacing w:line="360" w:lineRule="auto"/>
        <w:ind w:firstLine="2160"/>
        <w:rPr>
          <w:sz w:val="26"/>
          <w:szCs w:val="26"/>
        </w:rPr>
      </w:pPr>
    </w:p>
    <w:p w:rsidR="00C05F12" w:rsidRDefault="002F3D54" w:rsidP="002F3D54">
      <w:pPr>
        <w:spacing w:line="360" w:lineRule="auto"/>
        <w:rPr>
          <w:sz w:val="26"/>
          <w:szCs w:val="26"/>
        </w:rPr>
      </w:pPr>
      <w:r>
        <w:rPr>
          <w:sz w:val="26"/>
          <w:szCs w:val="26"/>
        </w:rPr>
        <w:t xml:space="preserve">66 Pa. C.S. § 2807(f)(7) (emphasis added).  </w:t>
      </w:r>
    </w:p>
    <w:p w:rsidR="00C05F12" w:rsidRDefault="00C05F12" w:rsidP="002F3D54">
      <w:pPr>
        <w:spacing w:line="360" w:lineRule="auto"/>
        <w:rPr>
          <w:sz w:val="26"/>
          <w:szCs w:val="26"/>
        </w:rPr>
      </w:pPr>
    </w:p>
    <w:p w:rsidR="00D94759" w:rsidRDefault="00D94759" w:rsidP="00D94759">
      <w:pPr>
        <w:spacing w:line="360" w:lineRule="auto"/>
        <w:ind w:firstLine="1440"/>
        <w:rPr>
          <w:sz w:val="26"/>
          <w:szCs w:val="26"/>
        </w:rPr>
      </w:pPr>
      <w:r>
        <w:rPr>
          <w:sz w:val="26"/>
          <w:szCs w:val="26"/>
        </w:rPr>
        <w:t>The Companies’ Plan did not address operating and capital cost savings realized from the installation and use of smart meter technology.</w:t>
      </w:r>
      <w:r w:rsidR="00C05F12">
        <w:rPr>
          <w:sz w:val="26"/>
          <w:szCs w:val="26"/>
        </w:rPr>
        <w:t xml:space="preserve">  The OCA, however, recommended that the Companies’ SMT-C Riders be modified to explicitly state that any reduction in operating expenses or avoided capital expenditures will be deducted from the incremental costs of the Plan to determine net recoverable costs.  OCA St. No. 1 at 17-18.</w:t>
      </w:r>
    </w:p>
    <w:p w:rsidR="007937B5" w:rsidRDefault="007937B5" w:rsidP="006C5448">
      <w:pPr>
        <w:spacing w:line="360" w:lineRule="auto"/>
        <w:ind w:firstLine="2160"/>
        <w:rPr>
          <w:sz w:val="26"/>
          <w:szCs w:val="26"/>
        </w:rPr>
      </w:pPr>
    </w:p>
    <w:p w:rsidR="006C5448" w:rsidRDefault="006C5448" w:rsidP="006C5448">
      <w:pPr>
        <w:pStyle w:val="Heading4"/>
      </w:pPr>
      <w:bookmarkStart w:id="115" w:name="_Toc259798241"/>
      <w:bookmarkStart w:id="116" w:name="_Toc263848885"/>
      <w:r>
        <w:t>b.</w:t>
      </w:r>
      <w:r>
        <w:tab/>
        <w:t>ALJ’s Recommendation</w:t>
      </w:r>
      <w:bookmarkEnd w:id="115"/>
      <w:bookmarkEnd w:id="116"/>
    </w:p>
    <w:p w:rsidR="006C5448" w:rsidRDefault="006C5448" w:rsidP="006C5448">
      <w:pPr>
        <w:spacing w:line="360" w:lineRule="auto"/>
        <w:ind w:firstLine="2160"/>
        <w:rPr>
          <w:sz w:val="26"/>
          <w:szCs w:val="26"/>
        </w:rPr>
      </w:pPr>
    </w:p>
    <w:p w:rsidR="00C05F12" w:rsidRDefault="00C05F12" w:rsidP="00C05F12">
      <w:pPr>
        <w:spacing w:line="360" w:lineRule="auto"/>
        <w:ind w:firstLine="1440"/>
        <w:rPr>
          <w:sz w:val="26"/>
          <w:szCs w:val="26"/>
        </w:rPr>
      </w:pPr>
      <w:r>
        <w:rPr>
          <w:sz w:val="26"/>
          <w:szCs w:val="26"/>
        </w:rPr>
        <w:t xml:space="preserve">The ALJ found that Act 129 requires that an EDC’s tariff reflect the possibility that smart metering may result in savings for the EDC in the future.  As a result, the ALJ </w:t>
      </w:r>
      <w:r w:rsidR="001258F4">
        <w:rPr>
          <w:sz w:val="26"/>
          <w:szCs w:val="26"/>
        </w:rPr>
        <w:t xml:space="preserve">ordered </w:t>
      </w:r>
      <w:r w:rsidR="004642CF">
        <w:rPr>
          <w:sz w:val="26"/>
          <w:szCs w:val="26"/>
        </w:rPr>
        <w:t>the Companies to include wording in the</w:t>
      </w:r>
      <w:r w:rsidR="001258F4">
        <w:rPr>
          <w:sz w:val="26"/>
          <w:szCs w:val="26"/>
        </w:rPr>
        <w:t>ir</w:t>
      </w:r>
      <w:r w:rsidR="004642CF">
        <w:rPr>
          <w:sz w:val="26"/>
          <w:szCs w:val="26"/>
        </w:rPr>
        <w:t xml:space="preserve"> SMT-C Rider</w:t>
      </w:r>
      <w:r w:rsidR="001258F4">
        <w:rPr>
          <w:sz w:val="26"/>
          <w:szCs w:val="26"/>
        </w:rPr>
        <w:t>s</w:t>
      </w:r>
      <w:r w:rsidR="004642CF">
        <w:rPr>
          <w:sz w:val="26"/>
          <w:szCs w:val="26"/>
        </w:rPr>
        <w:t xml:space="preserve"> </w:t>
      </w:r>
      <w:r w:rsidR="001258F4">
        <w:rPr>
          <w:sz w:val="26"/>
          <w:szCs w:val="26"/>
        </w:rPr>
        <w:t xml:space="preserve">“to </w:t>
      </w:r>
      <w:r w:rsidR="004642CF">
        <w:rPr>
          <w:sz w:val="26"/>
          <w:szCs w:val="26"/>
        </w:rPr>
        <w:t>provid</w:t>
      </w:r>
      <w:r w:rsidR="001258F4">
        <w:rPr>
          <w:sz w:val="26"/>
          <w:szCs w:val="26"/>
        </w:rPr>
        <w:t>e</w:t>
      </w:r>
      <w:r w:rsidR="004642CF">
        <w:rPr>
          <w:sz w:val="26"/>
          <w:szCs w:val="26"/>
        </w:rPr>
        <w:t xml:space="preserve"> for operating and capital cost savings realized as a result of the smart meter installation and use of the technology.</w:t>
      </w:r>
      <w:r w:rsidR="001258F4">
        <w:rPr>
          <w:sz w:val="26"/>
          <w:szCs w:val="26"/>
        </w:rPr>
        <w:t>”</w:t>
      </w:r>
      <w:r w:rsidR="004642CF">
        <w:rPr>
          <w:sz w:val="26"/>
          <w:szCs w:val="26"/>
        </w:rPr>
        <w:t xml:space="preserve">  I.D. at 47.</w:t>
      </w:r>
    </w:p>
    <w:p w:rsidR="00C05F12" w:rsidRDefault="00C05F12" w:rsidP="006C5448">
      <w:pPr>
        <w:spacing w:line="360" w:lineRule="auto"/>
        <w:ind w:firstLine="2160"/>
        <w:rPr>
          <w:sz w:val="26"/>
          <w:szCs w:val="26"/>
        </w:rPr>
      </w:pPr>
    </w:p>
    <w:p w:rsidR="006C5448" w:rsidRDefault="006C5448" w:rsidP="006C5448">
      <w:pPr>
        <w:pStyle w:val="Heading4"/>
      </w:pPr>
      <w:bookmarkStart w:id="117" w:name="_Toc259798242"/>
      <w:bookmarkStart w:id="118" w:name="_Toc263848886"/>
      <w:r>
        <w:t>c.</w:t>
      </w:r>
      <w:r>
        <w:tab/>
        <w:t>Positions of the Parties</w:t>
      </w:r>
      <w:bookmarkEnd w:id="117"/>
      <w:bookmarkEnd w:id="118"/>
    </w:p>
    <w:p w:rsidR="006C5448" w:rsidRDefault="006C5448" w:rsidP="006C5448"/>
    <w:p w:rsidR="00524A83" w:rsidRDefault="00F20920" w:rsidP="001258F4">
      <w:pPr>
        <w:spacing w:line="360" w:lineRule="auto"/>
        <w:ind w:firstLine="1440"/>
        <w:rPr>
          <w:sz w:val="26"/>
          <w:szCs w:val="26"/>
        </w:rPr>
      </w:pPr>
      <w:r>
        <w:rPr>
          <w:sz w:val="26"/>
          <w:szCs w:val="26"/>
        </w:rPr>
        <w:t xml:space="preserve">The Companies argue that future base rate proceedings are the best place to recognize operating and capital cost savings realized as a result of the installation and use of smart meter technology.  </w:t>
      </w:r>
      <w:r w:rsidR="00524A83">
        <w:rPr>
          <w:sz w:val="26"/>
          <w:szCs w:val="26"/>
        </w:rPr>
        <w:t xml:space="preserve">According to the Companies, “the difficulty and uncertainty surrounding the quantification of such savings make future distribution base rate proceedings the best place to recognize any operational savings directly associated with the implementation of the Companies’ Smart Meter Plan.”  </w:t>
      </w:r>
      <w:r w:rsidR="00B55DC4">
        <w:rPr>
          <w:sz w:val="26"/>
          <w:szCs w:val="26"/>
        </w:rPr>
        <w:t>FirstEnergy</w:t>
      </w:r>
      <w:r w:rsidR="00524A83">
        <w:rPr>
          <w:sz w:val="26"/>
          <w:szCs w:val="26"/>
        </w:rPr>
        <w:t xml:space="preserve"> Exc. at 8.  The Companies also argue that </w:t>
      </w:r>
      <w:r w:rsidR="0042507F">
        <w:rPr>
          <w:sz w:val="26"/>
          <w:szCs w:val="26"/>
        </w:rPr>
        <w:t xml:space="preserve">savings resulting from the use of smart metering should be recognized in </w:t>
      </w:r>
      <w:r w:rsidR="00524A83">
        <w:rPr>
          <w:sz w:val="26"/>
          <w:szCs w:val="26"/>
        </w:rPr>
        <w:t xml:space="preserve">base rate proceedings because revenue reductions caused by reduced electricity consumption or shifting energy demand attributable to smart metering can only be reflected in </w:t>
      </w:r>
      <w:r w:rsidR="007B4FCD">
        <w:rPr>
          <w:sz w:val="26"/>
          <w:szCs w:val="26"/>
        </w:rPr>
        <w:t>base</w:t>
      </w:r>
      <w:r w:rsidR="00524A83">
        <w:rPr>
          <w:sz w:val="26"/>
          <w:szCs w:val="26"/>
        </w:rPr>
        <w:t xml:space="preserve"> rate proceedings.  </w:t>
      </w:r>
      <w:r w:rsidR="00524A83" w:rsidRPr="00524A83">
        <w:rPr>
          <w:i/>
          <w:sz w:val="26"/>
          <w:szCs w:val="26"/>
        </w:rPr>
        <w:t>Id</w:t>
      </w:r>
      <w:r w:rsidR="00524A83">
        <w:rPr>
          <w:sz w:val="26"/>
          <w:szCs w:val="26"/>
        </w:rPr>
        <w:t xml:space="preserve">. </w:t>
      </w:r>
    </w:p>
    <w:p w:rsidR="00524A83" w:rsidRDefault="00524A83" w:rsidP="001258F4">
      <w:pPr>
        <w:spacing w:line="360" w:lineRule="auto"/>
        <w:ind w:firstLine="1440"/>
        <w:rPr>
          <w:sz w:val="26"/>
          <w:szCs w:val="26"/>
        </w:rPr>
      </w:pPr>
    </w:p>
    <w:p w:rsidR="001258F4" w:rsidRDefault="00D341C8" w:rsidP="001258F4">
      <w:pPr>
        <w:spacing w:line="360" w:lineRule="auto"/>
        <w:ind w:firstLine="1440"/>
        <w:rPr>
          <w:sz w:val="26"/>
          <w:szCs w:val="26"/>
        </w:rPr>
      </w:pPr>
      <w:r>
        <w:rPr>
          <w:sz w:val="26"/>
          <w:szCs w:val="26"/>
        </w:rPr>
        <w:lastRenderedPageBreak/>
        <w:t>If</w:t>
      </w:r>
      <w:r w:rsidR="0042507F">
        <w:rPr>
          <w:sz w:val="26"/>
          <w:szCs w:val="26"/>
        </w:rPr>
        <w:t>, however,</w:t>
      </w:r>
      <w:r>
        <w:rPr>
          <w:sz w:val="26"/>
          <w:szCs w:val="26"/>
        </w:rPr>
        <w:t xml:space="preserve"> the Commission affirms the holding of the ALJ, the Companies ask the Commission to clarify that </w:t>
      </w:r>
      <w:r w:rsidR="009331DB">
        <w:rPr>
          <w:sz w:val="26"/>
          <w:szCs w:val="26"/>
        </w:rPr>
        <w:t>“capital cost savings” do not include</w:t>
      </w:r>
      <w:r>
        <w:rPr>
          <w:sz w:val="26"/>
          <w:szCs w:val="26"/>
        </w:rPr>
        <w:t xml:space="preserve"> future “avoided” capital costs.  The Companies argue that </w:t>
      </w:r>
      <w:r w:rsidR="00BE28B4">
        <w:rPr>
          <w:sz w:val="26"/>
          <w:szCs w:val="26"/>
        </w:rPr>
        <w:t xml:space="preserve">“avoided” costs are not currently reflected in </w:t>
      </w:r>
      <w:r w:rsidR="0021099A">
        <w:rPr>
          <w:sz w:val="26"/>
          <w:szCs w:val="26"/>
        </w:rPr>
        <w:t>rates</w:t>
      </w:r>
      <w:r w:rsidR="0042507F">
        <w:rPr>
          <w:sz w:val="26"/>
          <w:szCs w:val="26"/>
        </w:rPr>
        <w:t>.  T</w:t>
      </w:r>
      <w:r w:rsidR="0021099A">
        <w:rPr>
          <w:sz w:val="26"/>
          <w:szCs w:val="26"/>
        </w:rPr>
        <w:t xml:space="preserve">herefore, their avoidance would not reduce existing base rates.  </w:t>
      </w:r>
      <w:r w:rsidR="0042507F" w:rsidRPr="0042507F">
        <w:rPr>
          <w:i/>
          <w:sz w:val="26"/>
          <w:szCs w:val="26"/>
        </w:rPr>
        <w:t>Id</w:t>
      </w:r>
      <w:r w:rsidR="0042507F">
        <w:rPr>
          <w:sz w:val="26"/>
          <w:szCs w:val="26"/>
        </w:rPr>
        <w:t xml:space="preserve">. </w:t>
      </w:r>
      <w:r w:rsidR="00F20920">
        <w:rPr>
          <w:sz w:val="26"/>
          <w:szCs w:val="26"/>
        </w:rPr>
        <w:t xml:space="preserve">at </w:t>
      </w:r>
      <w:r>
        <w:rPr>
          <w:sz w:val="26"/>
          <w:szCs w:val="26"/>
        </w:rPr>
        <w:t>8-9.</w:t>
      </w:r>
    </w:p>
    <w:p w:rsidR="0021099A" w:rsidRDefault="0021099A" w:rsidP="001258F4">
      <w:pPr>
        <w:spacing w:line="360" w:lineRule="auto"/>
        <w:ind w:firstLine="1440"/>
        <w:rPr>
          <w:sz w:val="26"/>
          <w:szCs w:val="26"/>
        </w:rPr>
      </w:pPr>
    </w:p>
    <w:p w:rsidR="000742B8" w:rsidRDefault="0044073E" w:rsidP="001258F4">
      <w:pPr>
        <w:spacing w:line="360" w:lineRule="auto"/>
        <w:ind w:firstLine="1440"/>
        <w:rPr>
          <w:sz w:val="26"/>
          <w:szCs w:val="26"/>
        </w:rPr>
      </w:pPr>
      <w:r>
        <w:rPr>
          <w:sz w:val="26"/>
          <w:szCs w:val="26"/>
        </w:rPr>
        <w:t xml:space="preserve">In response, the OCA notes that Act 129 permits EDCs subject to the smart metering requirement to recover reasonable and prudent costs incurred, minus the savings that result from the smart meter plan.  </w:t>
      </w:r>
      <w:r w:rsidR="000742B8">
        <w:rPr>
          <w:sz w:val="26"/>
          <w:szCs w:val="26"/>
        </w:rPr>
        <w:t>The OCA notes that at least one other EDC subject to the smart metering requirement has included language in its tariff</w:t>
      </w:r>
      <w:r w:rsidR="0042507F">
        <w:rPr>
          <w:sz w:val="26"/>
          <w:szCs w:val="26"/>
        </w:rPr>
        <w:t>s</w:t>
      </w:r>
      <w:r w:rsidR="000742B8">
        <w:rPr>
          <w:sz w:val="26"/>
          <w:szCs w:val="26"/>
        </w:rPr>
        <w:t xml:space="preserve"> to account for savings resulting from its smart meter plan.  According to the OCA, Act 129 requires such language to be included in the EDC’s tariff.  OCA R.Exc. at 5.</w:t>
      </w:r>
    </w:p>
    <w:p w:rsidR="000742B8" w:rsidRDefault="000742B8" w:rsidP="001258F4">
      <w:pPr>
        <w:spacing w:line="360" w:lineRule="auto"/>
        <w:ind w:firstLine="1440"/>
        <w:rPr>
          <w:sz w:val="26"/>
          <w:szCs w:val="26"/>
        </w:rPr>
      </w:pPr>
    </w:p>
    <w:p w:rsidR="0021099A" w:rsidRDefault="007A76DF" w:rsidP="001258F4">
      <w:pPr>
        <w:spacing w:line="360" w:lineRule="auto"/>
        <w:ind w:firstLine="1440"/>
        <w:rPr>
          <w:sz w:val="26"/>
          <w:szCs w:val="26"/>
        </w:rPr>
      </w:pPr>
      <w:r>
        <w:rPr>
          <w:sz w:val="26"/>
          <w:szCs w:val="26"/>
        </w:rPr>
        <w:t xml:space="preserve">The OCA </w:t>
      </w:r>
      <w:r w:rsidR="0044073E">
        <w:rPr>
          <w:sz w:val="26"/>
          <w:szCs w:val="26"/>
        </w:rPr>
        <w:t>further notes</w:t>
      </w:r>
      <w:r w:rsidR="00877EC8">
        <w:rPr>
          <w:sz w:val="26"/>
          <w:szCs w:val="26"/>
        </w:rPr>
        <w:t xml:space="preserve"> that Act 129 gives </w:t>
      </w:r>
      <w:r w:rsidR="000742B8">
        <w:rPr>
          <w:sz w:val="26"/>
          <w:szCs w:val="26"/>
        </w:rPr>
        <w:t>each EDC</w:t>
      </w:r>
      <w:r w:rsidR="0044073E">
        <w:rPr>
          <w:sz w:val="26"/>
          <w:szCs w:val="26"/>
        </w:rPr>
        <w:t xml:space="preserve"> subject to the smart metering requirement </w:t>
      </w:r>
      <w:r w:rsidR="00877EC8">
        <w:rPr>
          <w:sz w:val="26"/>
          <w:szCs w:val="26"/>
        </w:rPr>
        <w:t xml:space="preserve">an option </w:t>
      </w:r>
      <w:r w:rsidR="0044073E">
        <w:rPr>
          <w:sz w:val="26"/>
          <w:szCs w:val="26"/>
        </w:rPr>
        <w:t xml:space="preserve">as </w:t>
      </w:r>
      <w:r w:rsidR="00877EC8">
        <w:rPr>
          <w:sz w:val="26"/>
          <w:szCs w:val="26"/>
        </w:rPr>
        <w:t xml:space="preserve">to </w:t>
      </w:r>
      <w:r w:rsidR="000742B8">
        <w:rPr>
          <w:sz w:val="26"/>
          <w:szCs w:val="26"/>
        </w:rPr>
        <w:t xml:space="preserve">how to recover its </w:t>
      </w:r>
      <w:r w:rsidR="0044073E">
        <w:rPr>
          <w:sz w:val="26"/>
          <w:szCs w:val="26"/>
        </w:rPr>
        <w:t xml:space="preserve">costs.  </w:t>
      </w:r>
      <w:r w:rsidR="00877EC8">
        <w:rPr>
          <w:sz w:val="26"/>
          <w:szCs w:val="26"/>
        </w:rPr>
        <w:t xml:space="preserve">The EDC can recover the costs of its smart meter plan through base rates or through a Section 1307 reconcilable automatic adjustment </w:t>
      </w:r>
      <w:r w:rsidR="0044073E">
        <w:rPr>
          <w:sz w:val="26"/>
          <w:szCs w:val="26"/>
        </w:rPr>
        <w:t>mechanism</w:t>
      </w:r>
      <w:r w:rsidR="00877EC8">
        <w:rPr>
          <w:sz w:val="26"/>
          <w:szCs w:val="26"/>
        </w:rPr>
        <w:t xml:space="preserve">.  </w:t>
      </w:r>
      <w:r w:rsidR="0044073E">
        <w:rPr>
          <w:sz w:val="26"/>
          <w:szCs w:val="26"/>
        </w:rPr>
        <w:t xml:space="preserve">In this case, the Companies chose to recover their costs through a Section 1307 automatic adjustment mechanism.  Therefore, the OCA concludes, the Companies must account for savings </w:t>
      </w:r>
      <w:r w:rsidR="00FB41F4">
        <w:rPr>
          <w:sz w:val="26"/>
          <w:szCs w:val="26"/>
        </w:rPr>
        <w:t xml:space="preserve">as a result of smart metering in the automatic adjustment mechanism.  </w:t>
      </w:r>
      <w:r w:rsidR="001A1D34">
        <w:rPr>
          <w:sz w:val="26"/>
          <w:szCs w:val="26"/>
        </w:rPr>
        <w:t>OCA R.Exc. at 2-6.</w:t>
      </w:r>
    </w:p>
    <w:p w:rsidR="000E7553" w:rsidRDefault="000E7553" w:rsidP="001258F4">
      <w:pPr>
        <w:spacing w:line="360" w:lineRule="auto"/>
        <w:ind w:firstLine="1440"/>
        <w:rPr>
          <w:sz w:val="26"/>
          <w:szCs w:val="26"/>
        </w:rPr>
      </w:pPr>
    </w:p>
    <w:p w:rsidR="006C73ED" w:rsidRDefault="006C73ED" w:rsidP="006C73ED">
      <w:pPr>
        <w:spacing w:line="360" w:lineRule="auto"/>
        <w:ind w:firstLine="1440"/>
        <w:rPr>
          <w:sz w:val="26"/>
          <w:szCs w:val="26"/>
        </w:rPr>
      </w:pPr>
      <w:r>
        <w:rPr>
          <w:sz w:val="26"/>
          <w:szCs w:val="26"/>
        </w:rPr>
        <w:t xml:space="preserve">No other Party addressed this aspect of the Initial Decision. </w:t>
      </w:r>
    </w:p>
    <w:p w:rsidR="001258F4" w:rsidRDefault="001258F4" w:rsidP="006C5448"/>
    <w:p w:rsidR="006C5448" w:rsidRDefault="006C5448" w:rsidP="006C5448">
      <w:pPr>
        <w:pStyle w:val="Heading4"/>
      </w:pPr>
      <w:bookmarkStart w:id="119" w:name="_Toc259798243"/>
      <w:bookmarkStart w:id="120" w:name="_Toc263848887"/>
      <w:r>
        <w:t>d.</w:t>
      </w:r>
      <w:r>
        <w:tab/>
        <w:t>Disposition</w:t>
      </w:r>
      <w:bookmarkEnd w:id="119"/>
      <w:bookmarkEnd w:id="120"/>
    </w:p>
    <w:p w:rsidR="000A6B98" w:rsidRDefault="000A6B98" w:rsidP="000A6B98">
      <w:pPr>
        <w:spacing w:line="360" w:lineRule="auto"/>
        <w:ind w:firstLine="1440"/>
        <w:rPr>
          <w:sz w:val="26"/>
          <w:szCs w:val="26"/>
        </w:rPr>
      </w:pPr>
    </w:p>
    <w:p w:rsidR="000A6B98" w:rsidRDefault="000A6B98" w:rsidP="000A6B98">
      <w:pPr>
        <w:spacing w:line="360" w:lineRule="auto"/>
        <w:ind w:firstLine="1440"/>
        <w:rPr>
          <w:sz w:val="26"/>
          <w:szCs w:val="26"/>
        </w:rPr>
      </w:pPr>
      <w:r>
        <w:rPr>
          <w:sz w:val="26"/>
          <w:szCs w:val="26"/>
        </w:rPr>
        <w:t xml:space="preserve">We believe that the ALJ’s recommendation is correct in that Act 129 requires an EDC’s tariff </w:t>
      </w:r>
      <w:r w:rsidR="00F11054">
        <w:rPr>
          <w:sz w:val="26"/>
          <w:szCs w:val="26"/>
        </w:rPr>
        <w:t xml:space="preserve">to </w:t>
      </w:r>
      <w:r>
        <w:rPr>
          <w:sz w:val="26"/>
          <w:szCs w:val="26"/>
        </w:rPr>
        <w:t xml:space="preserve">reflect the possibility that smart metering may result in savings for the EDC in the future.  As a result, the ALJ </w:t>
      </w:r>
      <w:r w:rsidR="00F11054">
        <w:rPr>
          <w:sz w:val="26"/>
          <w:szCs w:val="26"/>
        </w:rPr>
        <w:t xml:space="preserve">properly </w:t>
      </w:r>
      <w:r>
        <w:rPr>
          <w:sz w:val="26"/>
          <w:szCs w:val="26"/>
        </w:rPr>
        <w:t xml:space="preserve">ordered the Companies to include wording in their SMT-C Riders “to provide for operating and capital cost </w:t>
      </w:r>
      <w:r>
        <w:rPr>
          <w:sz w:val="26"/>
          <w:szCs w:val="26"/>
        </w:rPr>
        <w:lastRenderedPageBreak/>
        <w:t>savings realized as a result of the smart meter installation and use of the technology.”  66 Pa. C.S. § 2807(f)(7).</w:t>
      </w:r>
    </w:p>
    <w:p w:rsidR="000A6B98" w:rsidRDefault="000A6B98" w:rsidP="000A6B98">
      <w:pPr>
        <w:spacing w:line="360" w:lineRule="auto"/>
        <w:ind w:firstLine="1440"/>
        <w:rPr>
          <w:sz w:val="26"/>
          <w:szCs w:val="26"/>
        </w:rPr>
      </w:pPr>
    </w:p>
    <w:p w:rsidR="000A6B98" w:rsidRDefault="000A6B98" w:rsidP="000A6B98">
      <w:pPr>
        <w:spacing w:line="360" w:lineRule="auto"/>
        <w:ind w:firstLine="1440"/>
        <w:rPr>
          <w:sz w:val="26"/>
          <w:szCs w:val="26"/>
        </w:rPr>
      </w:pPr>
      <w:r>
        <w:rPr>
          <w:sz w:val="26"/>
          <w:szCs w:val="26"/>
        </w:rPr>
        <w:t>To accomplish this requirement of the Act, PECO has included the following language in its tariff:</w:t>
      </w:r>
    </w:p>
    <w:p w:rsidR="00F11054" w:rsidRDefault="00F11054" w:rsidP="000A6B98">
      <w:pPr>
        <w:ind w:left="1440" w:right="1440"/>
        <w:rPr>
          <w:sz w:val="26"/>
          <w:szCs w:val="26"/>
        </w:rPr>
      </w:pPr>
    </w:p>
    <w:p w:rsidR="000A6B98" w:rsidRDefault="000A6B98" w:rsidP="000A6B98">
      <w:pPr>
        <w:ind w:left="1440" w:right="1440"/>
        <w:rPr>
          <w:sz w:val="26"/>
          <w:szCs w:val="26"/>
        </w:rPr>
      </w:pPr>
      <w:r>
        <w:rPr>
          <w:sz w:val="26"/>
          <w:szCs w:val="26"/>
        </w:rPr>
        <w:t>Any reductions in operating expenses or avoided capital expenditures due to the Smart Metering Program will be deducted from the incremental costs of the Smart Meter Program to derive the net incremental cost of the Program that is recoverable.  Such reductions shall include any reductions in the Company’s current meter and meter reading costs.</w:t>
      </w:r>
    </w:p>
    <w:p w:rsidR="000A6B98" w:rsidRDefault="000A6B98" w:rsidP="000A6B98">
      <w:pPr>
        <w:ind w:left="1440" w:right="1440"/>
        <w:rPr>
          <w:sz w:val="26"/>
          <w:szCs w:val="26"/>
        </w:rPr>
      </w:pPr>
    </w:p>
    <w:p w:rsidR="000A6B98" w:rsidRDefault="00F11054" w:rsidP="00F11054">
      <w:pPr>
        <w:spacing w:line="360" w:lineRule="auto"/>
        <w:rPr>
          <w:sz w:val="26"/>
          <w:szCs w:val="26"/>
        </w:rPr>
      </w:pPr>
      <w:r>
        <w:rPr>
          <w:sz w:val="26"/>
          <w:szCs w:val="26"/>
        </w:rPr>
        <w:t>OCA St. No. 1 at 17</w:t>
      </w:r>
      <w:r w:rsidR="000A6B98">
        <w:rPr>
          <w:sz w:val="26"/>
          <w:szCs w:val="26"/>
        </w:rPr>
        <w:t>; OCA R.Exc. at 5; PECO Joint Petition for Partial Settlement, Attachment A – Smart Meter Cost Recovery Surcharge filed on November 25, 2009 at Docket No. M-2009-2123944.</w:t>
      </w:r>
    </w:p>
    <w:p w:rsidR="000A6B98" w:rsidRDefault="000A6B98" w:rsidP="000A6B98">
      <w:pPr>
        <w:spacing w:line="360" w:lineRule="auto"/>
        <w:ind w:firstLine="1440"/>
        <w:rPr>
          <w:sz w:val="26"/>
          <w:szCs w:val="26"/>
        </w:rPr>
      </w:pPr>
    </w:p>
    <w:p w:rsidR="000A6B98" w:rsidRDefault="000A6B98" w:rsidP="000A6B98">
      <w:pPr>
        <w:spacing w:line="360" w:lineRule="auto"/>
        <w:ind w:firstLine="1440"/>
        <w:rPr>
          <w:sz w:val="26"/>
          <w:szCs w:val="26"/>
        </w:rPr>
      </w:pPr>
      <w:r>
        <w:rPr>
          <w:sz w:val="26"/>
          <w:szCs w:val="26"/>
        </w:rPr>
        <w:t>Regarding where the cost savings attributable to the smart meter program should be reflected</w:t>
      </w:r>
      <w:r w:rsidR="00F11054">
        <w:rPr>
          <w:sz w:val="26"/>
          <w:szCs w:val="26"/>
        </w:rPr>
        <w:t>,</w:t>
      </w:r>
      <w:r>
        <w:rPr>
          <w:sz w:val="26"/>
          <w:szCs w:val="26"/>
        </w:rPr>
        <w:t xml:space="preserve"> the Companies state that a future base rate proceeding is the appropriate venue.  We disagree.  The Companies selected the use of a reconcilable</w:t>
      </w:r>
      <w:r w:rsidR="00F11054">
        <w:rPr>
          <w:sz w:val="26"/>
          <w:szCs w:val="26"/>
        </w:rPr>
        <w:t xml:space="preserve"> adjustment</w:t>
      </w:r>
      <w:r>
        <w:rPr>
          <w:sz w:val="26"/>
          <w:szCs w:val="26"/>
        </w:rPr>
        <w:t xml:space="preserve"> mechanism in lieu of a base rate proceeding to recover their Plan costs</w:t>
      </w:r>
      <w:r w:rsidR="00F11054">
        <w:rPr>
          <w:sz w:val="26"/>
          <w:szCs w:val="26"/>
        </w:rPr>
        <w:t>.  T</w:t>
      </w:r>
      <w:r>
        <w:rPr>
          <w:sz w:val="26"/>
          <w:szCs w:val="26"/>
        </w:rPr>
        <w:t>herefore</w:t>
      </w:r>
      <w:r w:rsidR="00F11054">
        <w:rPr>
          <w:sz w:val="26"/>
          <w:szCs w:val="26"/>
        </w:rPr>
        <w:t>,</w:t>
      </w:r>
      <w:r>
        <w:rPr>
          <w:sz w:val="26"/>
          <w:szCs w:val="26"/>
        </w:rPr>
        <w:t xml:space="preserve"> it is only appropriate for any cost savings to be reflected in that same reconcilable </w:t>
      </w:r>
      <w:r w:rsidR="00F11054">
        <w:rPr>
          <w:sz w:val="26"/>
          <w:szCs w:val="26"/>
        </w:rPr>
        <w:t xml:space="preserve">adjustment </w:t>
      </w:r>
      <w:r>
        <w:rPr>
          <w:sz w:val="26"/>
          <w:szCs w:val="26"/>
        </w:rPr>
        <w:t>mechanism.  Based upon our review of the record on this issue</w:t>
      </w:r>
      <w:r w:rsidR="00F11054">
        <w:rPr>
          <w:sz w:val="26"/>
          <w:szCs w:val="26"/>
        </w:rPr>
        <w:t>,</w:t>
      </w:r>
      <w:r>
        <w:rPr>
          <w:sz w:val="26"/>
          <w:szCs w:val="26"/>
        </w:rPr>
        <w:t xml:space="preserve"> we shall adopt the recommendation of the OCA on reflecting any cost savings in the Companies SMT-C Riders.  Accordingly, we shall direct the Companies to add the above language to their SMT-C Riders and to also include language to clarify that the treatment of those savings will be reflected in the reconciliation process concomitantly with any other change from the originally approved recovery rate.</w:t>
      </w:r>
    </w:p>
    <w:p w:rsidR="006C5448" w:rsidRDefault="006C5448" w:rsidP="002F5812">
      <w:pPr>
        <w:spacing w:line="360" w:lineRule="auto"/>
        <w:ind w:firstLine="2160"/>
        <w:rPr>
          <w:sz w:val="26"/>
          <w:szCs w:val="26"/>
        </w:rPr>
      </w:pPr>
    </w:p>
    <w:p w:rsidR="008E496C" w:rsidRDefault="008E496C" w:rsidP="008E496C">
      <w:pPr>
        <w:pStyle w:val="Heading3"/>
      </w:pPr>
      <w:bookmarkStart w:id="121" w:name="_Toc259798244"/>
      <w:bookmarkStart w:id="122" w:name="_Toc263848888"/>
      <w:r>
        <w:lastRenderedPageBreak/>
        <w:t>6.</w:t>
      </w:r>
      <w:r>
        <w:tab/>
        <w:t>Cost Allocation</w:t>
      </w:r>
      <w:bookmarkEnd w:id="121"/>
      <w:bookmarkEnd w:id="122"/>
    </w:p>
    <w:p w:rsidR="006C5448" w:rsidRDefault="006C5448" w:rsidP="006C5448">
      <w:pPr>
        <w:pStyle w:val="Heading4"/>
      </w:pPr>
    </w:p>
    <w:p w:rsidR="006C5448" w:rsidRDefault="006C5448" w:rsidP="006C5448">
      <w:pPr>
        <w:pStyle w:val="Heading4"/>
      </w:pPr>
      <w:bookmarkStart w:id="123" w:name="_Toc259798245"/>
      <w:bookmarkStart w:id="124" w:name="_Toc263848889"/>
      <w:r>
        <w:t>a.</w:t>
      </w:r>
      <w:r>
        <w:tab/>
      </w:r>
      <w:r w:rsidR="00B55DC4">
        <w:t>FirstEnergy</w:t>
      </w:r>
      <w:r>
        <w:t>’s Plan</w:t>
      </w:r>
      <w:bookmarkEnd w:id="123"/>
      <w:bookmarkEnd w:id="124"/>
    </w:p>
    <w:p w:rsidR="006C5448" w:rsidRDefault="006C5448" w:rsidP="006C5448">
      <w:pPr>
        <w:spacing w:line="360" w:lineRule="auto"/>
        <w:ind w:firstLine="2160"/>
        <w:rPr>
          <w:sz w:val="26"/>
          <w:szCs w:val="26"/>
        </w:rPr>
      </w:pPr>
    </w:p>
    <w:p w:rsidR="00E66A8B" w:rsidRPr="00E66A8B" w:rsidRDefault="00E66A8B" w:rsidP="00D9774E">
      <w:pPr>
        <w:spacing w:line="360" w:lineRule="auto"/>
        <w:ind w:firstLine="1440"/>
        <w:rPr>
          <w:sz w:val="26"/>
          <w:szCs w:val="26"/>
        </w:rPr>
      </w:pPr>
      <w:r>
        <w:rPr>
          <w:sz w:val="26"/>
          <w:szCs w:val="26"/>
        </w:rPr>
        <w:t xml:space="preserve">The </w:t>
      </w:r>
      <w:r w:rsidRPr="00B56BC4">
        <w:rPr>
          <w:i/>
          <w:sz w:val="26"/>
          <w:szCs w:val="26"/>
        </w:rPr>
        <w:t>Implementation Order</w:t>
      </w:r>
      <w:r>
        <w:rPr>
          <w:sz w:val="26"/>
          <w:szCs w:val="26"/>
        </w:rPr>
        <w:t xml:space="preserve"> stated:</w:t>
      </w:r>
    </w:p>
    <w:p w:rsidR="00336446" w:rsidRDefault="00336446" w:rsidP="00E66A8B">
      <w:pPr>
        <w:ind w:left="1440" w:right="1440" w:firstLine="720"/>
        <w:rPr>
          <w:sz w:val="26"/>
        </w:rPr>
      </w:pPr>
    </w:p>
    <w:p w:rsidR="00E66A8B" w:rsidRDefault="00E66A8B" w:rsidP="00E66A8B">
      <w:pPr>
        <w:ind w:left="1440" w:right="1440" w:firstLine="720"/>
        <w:rPr>
          <w:sz w:val="26"/>
        </w:rPr>
      </w:pPr>
      <w:r w:rsidRPr="00920883">
        <w:rPr>
          <w:sz w:val="26"/>
        </w:rPr>
        <w:t>The Commission will require that all measures associated with an EDC’s smart metering plan shall be financed by the customer class that receives the benefit of such measures.  In order to ensure that proper allocation takes place, it will be necessary for the utilities to determine the total costs related to their smart metering plans</w:t>
      </w:r>
      <w:r w:rsidR="00336446">
        <w:rPr>
          <w:sz w:val="26"/>
        </w:rPr>
        <w:t xml:space="preserve"> . . . .</w:t>
      </w:r>
      <w:r w:rsidRPr="00920883">
        <w:rPr>
          <w:sz w:val="26"/>
        </w:rPr>
        <w:t xml:space="preserve">  Once these costs have been determined, we will require the EDC to allocate those costs to the classes whom derive benefit from such costs.  Any costs that can be clearly shown to benefit solely one specific class should be assigned wholly to that class.  Those costs that provide benefit across multiple classes should be allocated among the appropriate classes using reasonable cost of service practices.</w:t>
      </w:r>
    </w:p>
    <w:p w:rsidR="00E66A8B" w:rsidRDefault="00E66A8B" w:rsidP="006C5448">
      <w:pPr>
        <w:spacing w:line="360" w:lineRule="auto"/>
        <w:ind w:firstLine="2160"/>
        <w:rPr>
          <w:sz w:val="26"/>
          <w:szCs w:val="26"/>
        </w:rPr>
      </w:pPr>
    </w:p>
    <w:p w:rsidR="00E66A8B" w:rsidRDefault="00E66A8B" w:rsidP="00E66A8B">
      <w:pPr>
        <w:spacing w:line="360" w:lineRule="auto"/>
        <w:rPr>
          <w:sz w:val="26"/>
          <w:szCs w:val="26"/>
        </w:rPr>
      </w:pPr>
      <w:r w:rsidRPr="00B56BC4">
        <w:rPr>
          <w:i/>
          <w:sz w:val="26"/>
          <w:szCs w:val="26"/>
        </w:rPr>
        <w:t>Implementation Order</w:t>
      </w:r>
      <w:r>
        <w:rPr>
          <w:i/>
          <w:sz w:val="26"/>
          <w:szCs w:val="26"/>
        </w:rPr>
        <w:t xml:space="preserve"> </w:t>
      </w:r>
      <w:r w:rsidRPr="00E66A8B">
        <w:rPr>
          <w:sz w:val="26"/>
          <w:szCs w:val="26"/>
        </w:rPr>
        <w:t>at 30.</w:t>
      </w:r>
    </w:p>
    <w:p w:rsidR="00F40CCB" w:rsidRPr="00E66A8B" w:rsidRDefault="00F40CCB" w:rsidP="00E66A8B">
      <w:pPr>
        <w:spacing w:line="360" w:lineRule="auto"/>
        <w:rPr>
          <w:sz w:val="26"/>
          <w:szCs w:val="26"/>
        </w:rPr>
      </w:pPr>
    </w:p>
    <w:p w:rsidR="00CE08F5" w:rsidRDefault="00F40CCB" w:rsidP="00D9774E">
      <w:pPr>
        <w:spacing w:line="360" w:lineRule="auto"/>
        <w:ind w:firstLine="1440"/>
        <w:rPr>
          <w:sz w:val="26"/>
          <w:szCs w:val="26"/>
        </w:rPr>
      </w:pPr>
      <w:r>
        <w:rPr>
          <w:sz w:val="26"/>
          <w:szCs w:val="26"/>
        </w:rPr>
        <w:t>Under the Companies’ Plan, a</w:t>
      </w:r>
      <w:r w:rsidR="004E0EC1">
        <w:rPr>
          <w:sz w:val="26"/>
          <w:szCs w:val="26"/>
        </w:rPr>
        <w:t xml:space="preserve">ll costs incurred before and during the Assessment Period, as well as Plan costs that are not directly assignable during the Deployment Period, would be considered </w:t>
      </w:r>
      <w:r w:rsidR="00F101E4">
        <w:rPr>
          <w:sz w:val="26"/>
          <w:szCs w:val="26"/>
        </w:rPr>
        <w:t xml:space="preserve">common costs.  MEIUG </w:t>
      </w:r>
      <w:r w:rsidR="00F101E4">
        <w:rPr>
          <w:i/>
          <w:sz w:val="26"/>
          <w:szCs w:val="26"/>
        </w:rPr>
        <w:t>et al.,</w:t>
      </w:r>
      <w:r w:rsidR="00F101E4">
        <w:rPr>
          <w:sz w:val="26"/>
          <w:szCs w:val="26"/>
        </w:rPr>
        <w:t xml:space="preserve"> R.Exc. at 2-3.  These </w:t>
      </w:r>
      <w:r w:rsidR="00B56BC4">
        <w:rPr>
          <w:sz w:val="26"/>
          <w:szCs w:val="26"/>
        </w:rPr>
        <w:t xml:space="preserve">common costs </w:t>
      </w:r>
      <w:r w:rsidR="00F101E4">
        <w:rPr>
          <w:sz w:val="26"/>
          <w:szCs w:val="26"/>
        </w:rPr>
        <w:t xml:space="preserve">would be allocated </w:t>
      </w:r>
      <w:r w:rsidR="00B56BC4">
        <w:rPr>
          <w:sz w:val="26"/>
          <w:szCs w:val="26"/>
        </w:rPr>
        <w:t>among the rate classes based on each class’</w:t>
      </w:r>
      <w:r w:rsidR="00901E1F">
        <w:rPr>
          <w:sz w:val="26"/>
          <w:szCs w:val="26"/>
        </w:rPr>
        <w:t>s</w:t>
      </w:r>
      <w:r w:rsidR="00B56BC4">
        <w:rPr>
          <w:sz w:val="26"/>
          <w:szCs w:val="26"/>
        </w:rPr>
        <w:t xml:space="preserve"> number of customers.  Companies’ St. No. 3-R at 2-4.  </w:t>
      </w:r>
      <w:r w:rsidR="00901E1F">
        <w:rPr>
          <w:sz w:val="26"/>
          <w:szCs w:val="26"/>
        </w:rPr>
        <w:t>The OCA</w:t>
      </w:r>
      <w:r w:rsidR="004C1AA9">
        <w:rPr>
          <w:sz w:val="26"/>
          <w:szCs w:val="26"/>
        </w:rPr>
        <w:t>, however,</w:t>
      </w:r>
      <w:r w:rsidR="00901E1F">
        <w:rPr>
          <w:sz w:val="26"/>
          <w:szCs w:val="26"/>
        </w:rPr>
        <w:t xml:space="preserve"> argue</w:t>
      </w:r>
      <w:r w:rsidR="004C1AA9">
        <w:rPr>
          <w:sz w:val="26"/>
          <w:szCs w:val="26"/>
        </w:rPr>
        <w:t xml:space="preserve">d </w:t>
      </w:r>
      <w:r w:rsidR="00901E1F">
        <w:rPr>
          <w:sz w:val="26"/>
          <w:szCs w:val="26"/>
        </w:rPr>
        <w:t xml:space="preserve">that the Companies should allocate common costs among the classes based on energy usage and demand.  </w:t>
      </w:r>
      <w:r w:rsidR="004C1AA9">
        <w:rPr>
          <w:sz w:val="26"/>
          <w:szCs w:val="26"/>
        </w:rPr>
        <w:t xml:space="preserve">OCA MB at </w:t>
      </w:r>
      <w:r w:rsidR="00E575A0">
        <w:rPr>
          <w:sz w:val="26"/>
          <w:szCs w:val="26"/>
        </w:rPr>
        <w:t>22-31.</w:t>
      </w:r>
    </w:p>
    <w:p w:rsidR="00AF05A0" w:rsidRDefault="00AF05A0" w:rsidP="00D9774E">
      <w:pPr>
        <w:spacing w:line="360" w:lineRule="auto"/>
        <w:ind w:firstLine="1440"/>
        <w:rPr>
          <w:sz w:val="26"/>
          <w:szCs w:val="26"/>
        </w:rPr>
      </w:pPr>
    </w:p>
    <w:p w:rsidR="00E10EA8" w:rsidRDefault="00E10EA8">
      <w:pPr>
        <w:spacing w:after="200" w:line="276" w:lineRule="auto"/>
        <w:rPr>
          <w:rFonts w:eastAsiaTheme="majorEastAsia" w:cstheme="majorBidi"/>
          <w:b/>
          <w:bCs/>
          <w:iCs/>
          <w:sz w:val="26"/>
        </w:rPr>
      </w:pPr>
      <w:bookmarkStart w:id="125" w:name="_Toc259798246"/>
      <w:r>
        <w:br w:type="page"/>
      </w:r>
    </w:p>
    <w:p w:rsidR="006C5448" w:rsidRDefault="006C5448" w:rsidP="006C5448">
      <w:pPr>
        <w:pStyle w:val="Heading4"/>
      </w:pPr>
      <w:bookmarkStart w:id="126" w:name="_Toc263848890"/>
      <w:r>
        <w:lastRenderedPageBreak/>
        <w:t>b.</w:t>
      </w:r>
      <w:r>
        <w:tab/>
        <w:t>ALJ’s Recommendation</w:t>
      </w:r>
      <w:bookmarkEnd w:id="125"/>
      <w:bookmarkEnd w:id="126"/>
    </w:p>
    <w:p w:rsidR="006C5448" w:rsidRDefault="006C5448" w:rsidP="006C5448">
      <w:pPr>
        <w:spacing w:line="360" w:lineRule="auto"/>
        <w:ind w:firstLine="2160"/>
        <w:rPr>
          <w:sz w:val="26"/>
          <w:szCs w:val="26"/>
        </w:rPr>
      </w:pPr>
    </w:p>
    <w:p w:rsidR="00D9774E" w:rsidRDefault="001A580F" w:rsidP="00D9774E">
      <w:pPr>
        <w:spacing w:line="360" w:lineRule="auto"/>
        <w:ind w:firstLine="1440"/>
        <w:rPr>
          <w:sz w:val="26"/>
          <w:szCs w:val="26"/>
        </w:rPr>
      </w:pPr>
      <w:r>
        <w:rPr>
          <w:sz w:val="26"/>
          <w:szCs w:val="26"/>
        </w:rPr>
        <w:t xml:space="preserve">The ALJ noted that the OCA’s proposal would dramatically change the </w:t>
      </w:r>
      <w:r w:rsidR="00583F09">
        <w:rPr>
          <w:sz w:val="26"/>
          <w:szCs w:val="26"/>
        </w:rPr>
        <w:t xml:space="preserve">Plan’s </w:t>
      </w:r>
      <w:r>
        <w:rPr>
          <w:sz w:val="26"/>
          <w:szCs w:val="26"/>
        </w:rPr>
        <w:t xml:space="preserve">allocation of common costs among the </w:t>
      </w:r>
      <w:r w:rsidR="002207EF">
        <w:rPr>
          <w:sz w:val="26"/>
          <w:szCs w:val="26"/>
        </w:rPr>
        <w:t xml:space="preserve">customer </w:t>
      </w:r>
      <w:r>
        <w:rPr>
          <w:sz w:val="26"/>
          <w:szCs w:val="26"/>
        </w:rPr>
        <w:t xml:space="preserve">classes.  For example, the Plan would allocate 88.23% of </w:t>
      </w:r>
      <w:r w:rsidR="00B55DC4">
        <w:rPr>
          <w:sz w:val="26"/>
          <w:szCs w:val="26"/>
        </w:rPr>
        <w:t>Met-Ed</w:t>
      </w:r>
      <w:r w:rsidR="005430FF">
        <w:rPr>
          <w:sz w:val="26"/>
          <w:szCs w:val="26"/>
        </w:rPr>
        <w:t xml:space="preserve">’s </w:t>
      </w:r>
      <w:r>
        <w:rPr>
          <w:sz w:val="26"/>
          <w:szCs w:val="26"/>
        </w:rPr>
        <w:t xml:space="preserve">common costs </w:t>
      </w:r>
      <w:r w:rsidR="005430FF">
        <w:rPr>
          <w:sz w:val="26"/>
          <w:szCs w:val="26"/>
        </w:rPr>
        <w:t xml:space="preserve">to the residential class, 11.45% to the commercial class, and 0.32% to the industrial class.  The OCA’s proposal would allocate 35.5% of </w:t>
      </w:r>
      <w:r w:rsidR="00B55DC4">
        <w:rPr>
          <w:sz w:val="26"/>
          <w:szCs w:val="26"/>
        </w:rPr>
        <w:t>Met-Ed</w:t>
      </w:r>
      <w:r w:rsidR="005430FF">
        <w:rPr>
          <w:sz w:val="26"/>
          <w:szCs w:val="26"/>
        </w:rPr>
        <w:t>’s common costs</w:t>
      </w:r>
      <w:r w:rsidR="0094181A">
        <w:rPr>
          <w:sz w:val="26"/>
          <w:szCs w:val="26"/>
        </w:rPr>
        <w:t xml:space="preserve"> to the residential class, 36.7</w:t>
      </w:r>
      <w:r w:rsidR="005430FF">
        <w:rPr>
          <w:sz w:val="26"/>
          <w:szCs w:val="26"/>
        </w:rPr>
        <w:t xml:space="preserve">% to the commercial class, and 27.8% to the industrial class.  </w:t>
      </w:r>
      <w:r w:rsidR="002207EF">
        <w:rPr>
          <w:sz w:val="26"/>
          <w:szCs w:val="26"/>
        </w:rPr>
        <w:t>Similarly, t</w:t>
      </w:r>
      <w:r w:rsidR="0095344E">
        <w:rPr>
          <w:sz w:val="26"/>
          <w:szCs w:val="26"/>
        </w:rPr>
        <w:t>he OCA’s</w:t>
      </w:r>
      <w:r w:rsidR="00583F09">
        <w:rPr>
          <w:sz w:val="26"/>
          <w:szCs w:val="26"/>
        </w:rPr>
        <w:t xml:space="preserve"> proposal would </w:t>
      </w:r>
      <w:r w:rsidR="002207EF">
        <w:rPr>
          <w:sz w:val="26"/>
          <w:szCs w:val="26"/>
        </w:rPr>
        <w:t xml:space="preserve">significantly modify </w:t>
      </w:r>
      <w:r w:rsidR="00583F09">
        <w:rPr>
          <w:sz w:val="26"/>
          <w:szCs w:val="26"/>
        </w:rPr>
        <w:t xml:space="preserve">the allocation of common costs among the </w:t>
      </w:r>
      <w:r w:rsidR="002207EF">
        <w:rPr>
          <w:sz w:val="26"/>
          <w:szCs w:val="26"/>
        </w:rPr>
        <w:t xml:space="preserve">customer </w:t>
      </w:r>
      <w:r w:rsidR="00583F09">
        <w:rPr>
          <w:sz w:val="26"/>
          <w:szCs w:val="26"/>
        </w:rPr>
        <w:t>classes for Penelec and Penn Power.  I.D. at 53.</w:t>
      </w:r>
    </w:p>
    <w:p w:rsidR="00583F09" w:rsidRDefault="00583F09" w:rsidP="00D9774E">
      <w:pPr>
        <w:spacing w:line="360" w:lineRule="auto"/>
        <w:ind w:firstLine="1440"/>
        <w:rPr>
          <w:sz w:val="26"/>
          <w:szCs w:val="26"/>
        </w:rPr>
      </w:pPr>
    </w:p>
    <w:p w:rsidR="00583F09" w:rsidRDefault="008F04BD" w:rsidP="00D9774E">
      <w:pPr>
        <w:spacing w:line="360" w:lineRule="auto"/>
        <w:ind w:firstLine="1440"/>
        <w:rPr>
          <w:sz w:val="26"/>
          <w:szCs w:val="26"/>
        </w:rPr>
      </w:pPr>
      <w:r>
        <w:rPr>
          <w:sz w:val="26"/>
          <w:szCs w:val="26"/>
        </w:rPr>
        <w:t xml:space="preserve">The ALJ rejected the OCA’s proposal.  She concluded that the OCA </w:t>
      </w:r>
      <w:r w:rsidR="00284DAF">
        <w:rPr>
          <w:sz w:val="26"/>
          <w:szCs w:val="26"/>
        </w:rPr>
        <w:t xml:space="preserve">was </w:t>
      </w:r>
      <w:r>
        <w:rPr>
          <w:sz w:val="26"/>
          <w:szCs w:val="26"/>
        </w:rPr>
        <w:t xml:space="preserve">“ignoring long-standing principles of cost causation.”  I.D. at 55.  She concluded </w:t>
      </w:r>
      <w:r w:rsidR="006E17BC">
        <w:rPr>
          <w:sz w:val="26"/>
          <w:szCs w:val="26"/>
        </w:rPr>
        <w:t xml:space="preserve">further </w:t>
      </w:r>
      <w:r>
        <w:rPr>
          <w:sz w:val="26"/>
          <w:szCs w:val="26"/>
        </w:rPr>
        <w:t xml:space="preserve">that the </w:t>
      </w:r>
      <w:r w:rsidR="002207EF">
        <w:rPr>
          <w:sz w:val="26"/>
          <w:szCs w:val="26"/>
        </w:rPr>
        <w:t xml:space="preserve">Plan’s </w:t>
      </w:r>
      <w:r>
        <w:rPr>
          <w:sz w:val="26"/>
          <w:szCs w:val="26"/>
        </w:rPr>
        <w:t xml:space="preserve">common costs would be incurred without regard to energy consumption or customer demand.  </w:t>
      </w:r>
      <w:r w:rsidR="00284DAF">
        <w:rPr>
          <w:sz w:val="26"/>
          <w:szCs w:val="26"/>
        </w:rPr>
        <w:t xml:space="preserve">She also noted that </w:t>
      </w:r>
      <w:r>
        <w:rPr>
          <w:sz w:val="26"/>
          <w:szCs w:val="26"/>
        </w:rPr>
        <w:t>the smart meter technology would be provided to all metered customers</w:t>
      </w:r>
      <w:r w:rsidR="00284DAF">
        <w:rPr>
          <w:sz w:val="26"/>
          <w:szCs w:val="26"/>
        </w:rPr>
        <w:t xml:space="preserve">.  She therefore recommended that common costs be allocated based on the number of customers in each class, as the Companies proposed.  </w:t>
      </w:r>
      <w:r w:rsidR="00284DAF" w:rsidRPr="00284DAF">
        <w:rPr>
          <w:i/>
          <w:sz w:val="26"/>
          <w:szCs w:val="26"/>
        </w:rPr>
        <w:t>Id</w:t>
      </w:r>
      <w:r w:rsidR="00284DAF">
        <w:rPr>
          <w:sz w:val="26"/>
          <w:szCs w:val="26"/>
        </w:rPr>
        <w:t>.</w:t>
      </w:r>
      <w:r>
        <w:rPr>
          <w:sz w:val="26"/>
          <w:szCs w:val="26"/>
        </w:rPr>
        <w:t xml:space="preserve"> </w:t>
      </w:r>
    </w:p>
    <w:p w:rsidR="005430FF" w:rsidRDefault="005430FF" w:rsidP="00D9774E">
      <w:pPr>
        <w:spacing w:line="360" w:lineRule="auto"/>
        <w:ind w:firstLine="1440"/>
        <w:rPr>
          <w:sz w:val="26"/>
          <w:szCs w:val="26"/>
        </w:rPr>
      </w:pPr>
    </w:p>
    <w:p w:rsidR="006C5448" w:rsidRPr="003F2CE4" w:rsidRDefault="006C5448" w:rsidP="006C5448">
      <w:pPr>
        <w:pStyle w:val="Heading4"/>
        <w:rPr>
          <w:szCs w:val="26"/>
        </w:rPr>
      </w:pPr>
      <w:bookmarkStart w:id="127" w:name="_Toc259798247"/>
      <w:bookmarkStart w:id="128" w:name="_Toc263848891"/>
      <w:r w:rsidRPr="003F2CE4">
        <w:rPr>
          <w:szCs w:val="26"/>
        </w:rPr>
        <w:t>c.</w:t>
      </w:r>
      <w:r w:rsidRPr="003F2CE4">
        <w:rPr>
          <w:szCs w:val="26"/>
        </w:rPr>
        <w:tab/>
        <w:t>Positions of the Parties</w:t>
      </w:r>
      <w:bookmarkEnd w:id="127"/>
      <w:bookmarkEnd w:id="128"/>
    </w:p>
    <w:p w:rsidR="006C5448" w:rsidRPr="003F2CE4" w:rsidRDefault="006C5448" w:rsidP="006C5448">
      <w:pPr>
        <w:rPr>
          <w:sz w:val="26"/>
          <w:szCs w:val="26"/>
        </w:rPr>
      </w:pPr>
    </w:p>
    <w:p w:rsidR="002207EF" w:rsidRPr="003F2CE4" w:rsidRDefault="003F2CE4" w:rsidP="003F2CE4">
      <w:pPr>
        <w:spacing w:line="360" w:lineRule="auto"/>
        <w:ind w:firstLine="1440"/>
        <w:rPr>
          <w:sz w:val="26"/>
          <w:szCs w:val="26"/>
        </w:rPr>
      </w:pPr>
      <w:r w:rsidRPr="003F2CE4">
        <w:rPr>
          <w:sz w:val="26"/>
          <w:szCs w:val="26"/>
        </w:rPr>
        <w:t>The OCA excepts t</w:t>
      </w:r>
      <w:r>
        <w:rPr>
          <w:sz w:val="26"/>
          <w:szCs w:val="26"/>
        </w:rPr>
        <w:t>o t</w:t>
      </w:r>
      <w:r w:rsidRPr="003F2CE4">
        <w:rPr>
          <w:sz w:val="26"/>
          <w:szCs w:val="26"/>
        </w:rPr>
        <w:t>h</w:t>
      </w:r>
      <w:r>
        <w:rPr>
          <w:sz w:val="26"/>
          <w:szCs w:val="26"/>
        </w:rPr>
        <w:t>e ALJ’s decision regard</w:t>
      </w:r>
      <w:r w:rsidR="001417C3">
        <w:rPr>
          <w:sz w:val="26"/>
          <w:szCs w:val="26"/>
        </w:rPr>
        <w:t>ing</w:t>
      </w:r>
      <w:r>
        <w:rPr>
          <w:sz w:val="26"/>
          <w:szCs w:val="26"/>
        </w:rPr>
        <w:t xml:space="preserve"> the allocation of common costs.  </w:t>
      </w:r>
      <w:r w:rsidR="00B4574D">
        <w:rPr>
          <w:sz w:val="26"/>
          <w:szCs w:val="26"/>
        </w:rPr>
        <w:t xml:space="preserve">The OCA disputes the ALJ’s statement that smart meter costs are “akin to traditional metering.”  OCA Exc. at 7 (quoting I.D. at 55).  </w:t>
      </w:r>
      <w:r w:rsidR="0007487A">
        <w:rPr>
          <w:sz w:val="26"/>
          <w:szCs w:val="26"/>
        </w:rPr>
        <w:t>The OCA contends that</w:t>
      </w:r>
      <w:r w:rsidR="00B4574D">
        <w:rPr>
          <w:sz w:val="26"/>
          <w:szCs w:val="26"/>
        </w:rPr>
        <w:t xml:space="preserve"> these are not traditional meters and the reasons for incurring these costs diverge widely from the reason that traditional metering costs are incurred.  </w:t>
      </w:r>
      <w:r w:rsidR="0007487A">
        <w:rPr>
          <w:sz w:val="26"/>
          <w:szCs w:val="26"/>
        </w:rPr>
        <w:t xml:space="preserve">According to the </w:t>
      </w:r>
      <w:r w:rsidR="00B4574D">
        <w:rPr>
          <w:sz w:val="26"/>
          <w:szCs w:val="26"/>
        </w:rPr>
        <w:t>OCA</w:t>
      </w:r>
      <w:r w:rsidR="0007487A">
        <w:rPr>
          <w:sz w:val="26"/>
          <w:szCs w:val="26"/>
        </w:rPr>
        <w:t xml:space="preserve">: </w:t>
      </w:r>
      <w:r w:rsidR="00B4574D">
        <w:rPr>
          <w:sz w:val="26"/>
          <w:szCs w:val="26"/>
        </w:rPr>
        <w:t xml:space="preserve">the true cost causation of the smart meter network is </w:t>
      </w:r>
      <w:r w:rsidR="002918CD">
        <w:rPr>
          <w:sz w:val="26"/>
          <w:szCs w:val="26"/>
        </w:rPr>
        <w:t xml:space="preserve">compliance with </w:t>
      </w:r>
      <w:r w:rsidR="00B4574D">
        <w:rPr>
          <w:sz w:val="26"/>
          <w:szCs w:val="26"/>
        </w:rPr>
        <w:t>Act 129</w:t>
      </w:r>
      <w:r w:rsidR="0007487A">
        <w:rPr>
          <w:sz w:val="26"/>
          <w:szCs w:val="26"/>
        </w:rPr>
        <w:t xml:space="preserve">; the </w:t>
      </w:r>
      <w:r w:rsidR="00B4574D">
        <w:rPr>
          <w:sz w:val="26"/>
          <w:szCs w:val="26"/>
        </w:rPr>
        <w:t>primary purpose of installing the smart meter network is to impact the energy usage and peak demand of customers, in order to reduce and stabilize energy prices</w:t>
      </w:r>
      <w:r w:rsidR="0007487A">
        <w:rPr>
          <w:sz w:val="26"/>
          <w:szCs w:val="26"/>
        </w:rPr>
        <w:t>; and t</w:t>
      </w:r>
      <w:r w:rsidR="00B4574D">
        <w:rPr>
          <w:sz w:val="26"/>
          <w:szCs w:val="26"/>
        </w:rPr>
        <w:t xml:space="preserve">he benefit of that impact will accrue to all customer groups based on their energy usage and the </w:t>
      </w:r>
      <w:r w:rsidR="00B4574D">
        <w:rPr>
          <w:sz w:val="26"/>
          <w:szCs w:val="26"/>
        </w:rPr>
        <w:lastRenderedPageBreak/>
        <w:t xml:space="preserve">demand they place on the system.  </w:t>
      </w:r>
      <w:r w:rsidR="002918CD">
        <w:rPr>
          <w:sz w:val="26"/>
          <w:szCs w:val="26"/>
        </w:rPr>
        <w:t xml:space="preserve">The OCA submits that </w:t>
      </w:r>
      <w:r w:rsidR="005D3BF1">
        <w:rPr>
          <w:sz w:val="26"/>
          <w:szCs w:val="26"/>
        </w:rPr>
        <w:t xml:space="preserve">common costs should be allocated to customer classes in reasonable proportion to the benefits received by each class from the planning and implementation of the smart meter system.  </w:t>
      </w:r>
      <w:r w:rsidR="0007487A">
        <w:rPr>
          <w:sz w:val="26"/>
          <w:szCs w:val="26"/>
        </w:rPr>
        <w:t xml:space="preserve">Therefore, the OCA concludes, common costs should be allocated on a </w:t>
      </w:r>
      <w:r w:rsidR="0040376C">
        <w:rPr>
          <w:sz w:val="26"/>
          <w:szCs w:val="26"/>
        </w:rPr>
        <w:t xml:space="preserve">50% energy </w:t>
      </w:r>
      <w:r w:rsidR="0007487A">
        <w:rPr>
          <w:sz w:val="26"/>
          <w:szCs w:val="26"/>
        </w:rPr>
        <w:t>usage</w:t>
      </w:r>
      <w:r w:rsidR="0040376C">
        <w:rPr>
          <w:sz w:val="26"/>
          <w:szCs w:val="26"/>
        </w:rPr>
        <w:t xml:space="preserve">/50% </w:t>
      </w:r>
      <w:r w:rsidR="0007487A">
        <w:rPr>
          <w:sz w:val="26"/>
          <w:szCs w:val="26"/>
        </w:rPr>
        <w:t>d</w:t>
      </w:r>
      <w:r w:rsidR="0094181A">
        <w:rPr>
          <w:sz w:val="26"/>
          <w:szCs w:val="26"/>
        </w:rPr>
        <w:t>emand basis.  The OCA believes this</w:t>
      </w:r>
      <w:r w:rsidR="0007487A">
        <w:rPr>
          <w:sz w:val="26"/>
          <w:szCs w:val="26"/>
        </w:rPr>
        <w:t xml:space="preserve"> approach </w:t>
      </w:r>
      <w:r w:rsidR="001417C3">
        <w:rPr>
          <w:sz w:val="26"/>
          <w:szCs w:val="26"/>
        </w:rPr>
        <w:t xml:space="preserve">properly </w:t>
      </w:r>
      <w:r w:rsidR="0007487A">
        <w:rPr>
          <w:sz w:val="26"/>
          <w:szCs w:val="26"/>
        </w:rPr>
        <w:t>reflects cost causation and is consistent with traditional rate-making principles.  OCA at 6-17.</w:t>
      </w:r>
    </w:p>
    <w:p w:rsidR="00836BC7" w:rsidRPr="003F2CE4" w:rsidRDefault="00836BC7" w:rsidP="003F2CE4">
      <w:pPr>
        <w:spacing w:line="360" w:lineRule="auto"/>
        <w:rPr>
          <w:sz w:val="26"/>
          <w:szCs w:val="26"/>
        </w:rPr>
      </w:pPr>
    </w:p>
    <w:p w:rsidR="0044222F" w:rsidRDefault="003F2CE4" w:rsidP="003F2CE4">
      <w:pPr>
        <w:spacing w:line="360" w:lineRule="auto"/>
        <w:ind w:firstLine="1440"/>
        <w:rPr>
          <w:sz w:val="26"/>
          <w:szCs w:val="26"/>
        </w:rPr>
      </w:pPr>
      <w:r>
        <w:rPr>
          <w:sz w:val="26"/>
          <w:szCs w:val="26"/>
        </w:rPr>
        <w:t>The Companies respond</w:t>
      </w:r>
      <w:r w:rsidR="002801E4">
        <w:rPr>
          <w:sz w:val="26"/>
          <w:szCs w:val="26"/>
        </w:rPr>
        <w:t xml:space="preserve"> that common costs vary based on the number of customer accounts, not </w:t>
      </w:r>
      <w:r w:rsidR="0044222F">
        <w:rPr>
          <w:sz w:val="26"/>
          <w:szCs w:val="26"/>
        </w:rPr>
        <w:t>based on</w:t>
      </w:r>
      <w:r w:rsidR="002801E4">
        <w:rPr>
          <w:sz w:val="26"/>
          <w:szCs w:val="26"/>
        </w:rPr>
        <w:t xml:space="preserve"> the </w:t>
      </w:r>
      <w:r w:rsidR="00ED1D23">
        <w:rPr>
          <w:sz w:val="26"/>
          <w:szCs w:val="26"/>
        </w:rPr>
        <w:t xml:space="preserve">customer’s </w:t>
      </w:r>
      <w:r w:rsidR="002801E4">
        <w:rPr>
          <w:sz w:val="26"/>
          <w:szCs w:val="26"/>
        </w:rPr>
        <w:t>energy us</w:t>
      </w:r>
      <w:r w:rsidR="00ED1D23">
        <w:rPr>
          <w:sz w:val="26"/>
          <w:szCs w:val="26"/>
        </w:rPr>
        <w:t>age</w:t>
      </w:r>
      <w:r w:rsidR="002801E4">
        <w:rPr>
          <w:sz w:val="26"/>
          <w:szCs w:val="26"/>
        </w:rPr>
        <w:t xml:space="preserve"> or peak demand.  </w:t>
      </w:r>
      <w:r w:rsidR="003D6BB2">
        <w:rPr>
          <w:sz w:val="26"/>
          <w:szCs w:val="26"/>
        </w:rPr>
        <w:t xml:space="preserve">The Companies maintain that the OCA would have its desired outcome (reducing the </w:t>
      </w:r>
      <w:r w:rsidR="00724806">
        <w:rPr>
          <w:sz w:val="26"/>
          <w:szCs w:val="26"/>
        </w:rPr>
        <w:t xml:space="preserve">proportion of </w:t>
      </w:r>
      <w:r w:rsidR="003D6BB2">
        <w:rPr>
          <w:sz w:val="26"/>
          <w:szCs w:val="26"/>
        </w:rPr>
        <w:t xml:space="preserve">common costs allocated to the residential class) dictate the </w:t>
      </w:r>
      <w:r w:rsidR="00724806">
        <w:rPr>
          <w:sz w:val="26"/>
          <w:szCs w:val="26"/>
        </w:rPr>
        <w:t>Companies’</w:t>
      </w:r>
      <w:r w:rsidR="009A3838">
        <w:rPr>
          <w:sz w:val="26"/>
          <w:szCs w:val="26"/>
        </w:rPr>
        <w:t xml:space="preserve"> </w:t>
      </w:r>
      <w:r w:rsidR="003D6BB2">
        <w:rPr>
          <w:sz w:val="26"/>
          <w:szCs w:val="26"/>
        </w:rPr>
        <w:t xml:space="preserve">allocation methodology. </w:t>
      </w:r>
      <w:r w:rsidR="00724806">
        <w:rPr>
          <w:sz w:val="26"/>
          <w:szCs w:val="26"/>
        </w:rPr>
        <w:t xml:space="preserve"> This is an invalid approach, according to the Companies. </w:t>
      </w:r>
      <w:r w:rsidR="003D6BB2">
        <w:rPr>
          <w:sz w:val="26"/>
          <w:szCs w:val="26"/>
        </w:rPr>
        <w:t xml:space="preserve"> </w:t>
      </w:r>
      <w:r w:rsidR="001338DE">
        <w:rPr>
          <w:sz w:val="26"/>
          <w:szCs w:val="26"/>
        </w:rPr>
        <w:t xml:space="preserve">The Companies </w:t>
      </w:r>
      <w:r w:rsidR="00724806">
        <w:rPr>
          <w:sz w:val="26"/>
          <w:szCs w:val="26"/>
        </w:rPr>
        <w:t xml:space="preserve">further </w:t>
      </w:r>
      <w:r w:rsidR="009A3838">
        <w:rPr>
          <w:sz w:val="26"/>
          <w:szCs w:val="26"/>
        </w:rPr>
        <w:t xml:space="preserve">contend </w:t>
      </w:r>
      <w:r w:rsidR="001338DE">
        <w:rPr>
          <w:sz w:val="26"/>
          <w:szCs w:val="26"/>
        </w:rPr>
        <w:t xml:space="preserve">that </w:t>
      </w:r>
      <w:r w:rsidR="00BC397F">
        <w:rPr>
          <w:sz w:val="26"/>
          <w:szCs w:val="26"/>
        </w:rPr>
        <w:t xml:space="preserve">the </w:t>
      </w:r>
      <w:r w:rsidR="009E1A0A">
        <w:rPr>
          <w:sz w:val="26"/>
          <w:szCs w:val="26"/>
        </w:rPr>
        <w:t>OCA’s proposal is a benefits-based allocation approach rather than a cost-based alloc</w:t>
      </w:r>
      <w:r w:rsidR="003D6BB2">
        <w:rPr>
          <w:sz w:val="26"/>
          <w:szCs w:val="26"/>
        </w:rPr>
        <w:t xml:space="preserve">ation approach. </w:t>
      </w:r>
      <w:r w:rsidR="009A3838">
        <w:rPr>
          <w:sz w:val="26"/>
          <w:szCs w:val="26"/>
        </w:rPr>
        <w:t xml:space="preserve"> </w:t>
      </w:r>
      <w:r w:rsidR="00B55DC4">
        <w:rPr>
          <w:sz w:val="26"/>
          <w:szCs w:val="26"/>
        </w:rPr>
        <w:t>FirstEnergy</w:t>
      </w:r>
      <w:r w:rsidR="009A3838">
        <w:rPr>
          <w:sz w:val="26"/>
          <w:szCs w:val="26"/>
        </w:rPr>
        <w:t xml:space="preserve"> R.Exc. at 18-20.  </w:t>
      </w:r>
    </w:p>
    <w:p w:rsidR="0044222F" w:rsidRDefault="0044222F" w:rsidP="003F2CE4">
      <w:pPr>
        <w:spacing w:line="360" w:lineRule="auto"/>
        <w:ind w:firstLine="1440"/>
        <w:rPr>
          <w:sz w:val="26"/>
          <w:szCs w:val="26"/>
        </w:rPr>
      </w:pPr>
    </w:p>
    <w:p w:rsidR="00836BC7" w:rsidRDefault="001338DE" w:rsidP="003F2CE4">
      <w:pPr>
        <w:spacing w:line="360" w:lineRule="auto"/>
        <w:ind w:firstLine="1440"/>
        <w:rPr>
          <w:sz w:val="26"/>
          <w:szCs w:val="26"/>
        </w:rPr>
      </w:pPr>
      <w:r>
        <w:rPr>
          <w:sz w:val="26"/>
          <w:szCs w:val="26"/>
        </w:rPr>
        <w:t>According to the</w:t>
      </w:r>
      <w:r w:rsidR="009E1A0A">
        <w:rPr>
          <w:sz w:val="26"/>
          <w:szCs w:val="26"/>
        </w:rPr>
        <w:t xml:space="preserve"> Companies</w:t>
      </w:r>
      <w:r>
        <w:rPr>
          <w:sz w:val="26"/>
          <w:szCs w:val="26"/>
        </w:rPr>
        <w:t xml:space="preserve">, </w:t>
      </w:r>
      <w:r w:rsidR="009E1A0A">
        <w:rPr>
          <w:sz w:val="26"/>
          <w:szCs w:val="26"/>
        </w:rPr>
        <w:t xml:space="preserve">the OCA erroneously argues that </w:t>
      </w:r>
      <w:r w:rsidR="00724806">
        <w:rPr>
          <w:sz w:val="26"/>
          <w:szCs w:val="26"/>
        </w:rPr>
        <w:t>smart meter common costs are qualitatively different</w:t>
      </w:r>
      <w:r>
        <w:rPr>
          <w:sz w:val="26"/>
          <w:szCs w:val="26"/>
        </w:rPr>
        <w:t xml:space="preserve"> from other forms of metering costs.  </w:t>
      </w:r>
      <w:r w:rsidR="00080404">
        <w:rPr>
          <w:sz w:val="26"/>
          <w:szCs w:val="26"/>
        </w:rPr>
        <w:t>The Companies argue that the costs of traditional meters have been allocated on a custom</w:t>
      </w:r>
      <w:r w:rsidR="0044222F">
        <w:rPr>
          <w:sz w:val="26"/>
          <w:szCs w:val="26"/>
        </w:rPr>
        <w:t>er basis although these meters encourage conservation, promote efficient use of utility service, and reduce overall costs.  This is no</w:t>
      </w:r>
      <w:r w:rsidR="00724806">
        <w:rPr>
          <w:sz w:val="26"/>
          <w:szCs w:val="26"/>
        </w:rPr>
        <w:t>t qualitatively</w:t>
      </w:r>
      <w:r w:rsidR="0044222F">
        <w:rPr>
          <w:sz w:val="26"/>
          <w:szCs w:val="26"/>
        </w:rPr>
        <w:t xml:space="preserve"> different from smart meters, which the OCA as</w:t>
      </w:r>
      <w:r w:rsidR="00724806">
        <w:rPr>
          <w:sz w:val="26"/>
          <w:szCs w:val="26"/>
        </w:rPr>
        <w:t>serts</w:t>
      </w:r>
      <w:r w:rsidR="0044222F">
        <w:rPr>
          <w:sz w:val="26"/>
          <w:szCs w:val="26"/>
        </w:rPr>
        <w:t xml:space="preserve"> are intended to reduce and stabilize the cost of energy.  </w:t>
      </w:r>
      <w:r w:rsidR="003D6BB2" w:rsidRPr="003D6BB2">
        <w:rPr>
          <w:i/>
          <w:sz w:val="26"/>
          <w:szCs w:val="26"/>
        </w:rPr>
        <w:t>Id</w:t>
      </w:r>
      <w:r w:rsidR="003D6BB2">
        <w:rPr>
          <w:sz w:val="26"/>
          <w:szCs w:val="26"/>
        </w:rPr>
        <w:t>. at 19-20.</w:t>
      </w:r>
      <w:r>
        <w:rPr>
          <w:sz w:val="26"/>
          <w:szCs w:val="26"/>
        </w:rPr>
        <w:t xml:space="preserve"> </w:t>
      </w:r>
    </w:p>
    <w:p w:rsidR="009710DA" w:rsidRDefault="009710DA" w:rsidP="003F2CE4">
      <w:pPr>
        <w:spacing w:line="360" w:lineRule="auto"/>
        <w:ind w:firstLine="1440"/>
        <w:rPr>
          <w:sz w:val="26"/>
          <w:szCs w:val="26"/>
        </w:rPr>
      </w:pPr>
    </w:p>
    <w:p w:rsidR="009710DA" w:rsidRPr="00C8645C" w:rsidRDefault="009710DA" w:rsidP="009710DA">
      <w:pPr>
        <w:spacing w:line="360" w:lineRule="auto"/>
        <w:ind w:firstLine="1440"/>
        <w:rPr>
          <w:i/>
          <w:sz w:val="26"/>
          <w:szCs w:val="26"/>
        </w:rPr>
      </w:pPr>
      <w:r>
        <w:rPr>
          <w:sz w:val="26"/>
          <w:szCs w:val="26"/>
        </w:rPr>
        <w:t xml:space="preserve">MEIUG </w:t>
      </w:r>
      <w:r w:rsidRPr="003F2CE4">
        <w:rPr>
          <w:i/>
          <w:sz w:val="26"/>
          <w:szCs w:val="26"/>
        </w:rPr>
        <w:t>et al</w:t>
      </w:r>
      <w:r w:rsidR="004E0EC1">
        <w:rPr>
          <w:i/>
          <w:sz w:val="26"/>
          <w:szCs w:val="26"/>
        </w:rPr>
        <w:t xml:space="preserve">., </w:t>
      </w:r>
      <w:r w:rsidR="004E0EC1">
        <w:rPr>
          <w:sz w:val="26"/>
          <w:szCs w:val="26"/>
        </w:rPr>
        <w:t xml:space="preserve">like the Companies, believes the ALJ correctly allocated common costs based on the number of customers.  </w:t>
      </w:r>
      <w:r w:rsidR="00C8645C">
        <w:rPr>
          <w:sz w:val="26"/>
          <w:szCs w:val="26"/>
        </w:rPr>
        <w:t xml:space="preserve">According to MEIUG </w:t>
      </w:r>
      <w:r w:rsidR="00C8645C">
        <w:rPr>
          <w:i/>
          <w:sz w:val="26"/>
          <w:szCs w:val="26"/>
        </w:rPr>
        <w:t>et al.:</w:t>
      </w:r>
    </w:p>
    <w:p w:rsidR="009710DA" w:rsidRDefault="009710DA" w:rsidP="00C8645C">
      <w:pPr>
        <w:ind w:firstLine="1440"/>
        <w:rPr>
          <w:sz w:val="26"/>
          <w:szCs w:val="26"/>
        </w:rPr>
      </w:pPr>
    </w:p>
    <w:p w:rsidR="00C8645C" w:rsidRDefault="00C8645C" w:rsidP="002D0560">
      <w:pPr>
        <w:ind w:left="1440" w:right="1440"/>
        <w:rPr>
          <w:sz w:val="26"/>
          <w:szCs w:val="26"/>
        </w:rPr>
      </w:pPr>
      <w:r>
        <w:rPr>
          <w:sz w:val="26"/>
          <w:szCs w:val="26"/>
        </w:rPr>
        <w:t>The OCA’s proposed cost allocation approach … is unsubstantiated and would require the Companies to allocate costs based on a “value of service” approach (</w:t>
      </w:r>
      <w:r w:rsidRPr="00C8645C">
        <w:rPr>
          <w:sz w:val="26"/>
          <w:szCs w:val="26"/>
          <w:u w:val="single"/>
        </w:rPr>
        <w:t>i.e.</w:t>
      </w:r>
      <w:r>
        <w:rPr>
          <w:sz w:val="26"/>
          <w:szCs w:val="26"/>
        </w:rPr>
        <w:t xml:space="preserve">, </w:t>
      </w:r>
      <w:r w:rsidR="002D0560">
        <w:rPr>
          <w:sz w:val="26"/>
          <w:szCs w:val="26"/>
        </w:rPr>
        <w:t xml:space="preserve">according to a customer’s energy or demand consumption), even though </w:t>
      </w:r>
      <w:r w:rsidR="002D0560">
        <w:rPr>
          <w:sz w:val="26"/>
          <w:szCs w:val="26"/>
        </w:rPr>
        <w:lastRenderedPageBreak/>
        <w:t>no nexus exists between the cost to the Companies for the Smart Meter Plan and a customer’s energy or demand consumption, particularly with respect to the non-direct costs of administering the smart meter communication network and other back office systems.</w:t>
      </w:r>
    </w:p>
    <w:p w:rsidR="00C8645C" w:rsidRDefault="00C8645C" w:rsidP="00C8645C">
      <w:pPr>
        <w:spacing w:line="360" w:lineRule="auto"/>
        <w:ind w:left="1440" w:right="1440"/>
        <w:rPr>
          <w:sz w:val="26"/>
          <w:szCs w:val="26"/>
        </w:rPr>
      </w:pPr>
    </w:p>
    <w:p w:rsidR="006D2276" w:rsidRDefault="002D0560" w:rsidP="002D0560">
      <w:pPr>
        <w:spacing w:line="360" w:lineRule="auto"/>
        <w:rPr>
          <w:sz w:val="26"/>
          <w:szCs w:val="26"/>
        </w:rPr>
      </w:pPr>
      <w:r>
        <w:rPr>
          <w:sz w:val="26"/>
          <w:szCs w:val="26"/>
        </w:rPr>
        <w:t xml:space="preserve">MEIUG </w:t>
      </w:r>
      <w:r>
        <w:rPr>
          <w:i/>
          <w:sz w:val="26"/>
          <w:szCs w:val="26"/>
        </w:rPr>
        <w:t xml:space="preserve">et al. </w:t>
      </w:r>
      <w:r>
        <w:rPr>
          <w:sz w:val="26"/>
          <w:szCs w:val="26"/>
        </w:rPr>
        <w:t>R.Exc. at 3.</w:t>
      </w:r>
      <w:r w:rsidR="00426D9E">
        <w:rPr>
          <w:sz w:val="26"/>
          <w:szCs w:val="26"/>
        </w:rPr>
        <w:t xml:space="preserve">  </w:t>
      </w:r>
    </w:p>
    <w:p w:rsidR="006D2276" w:rsidRDefault="006D2276" w:rsidP="002D0560">
      <w:pPr>
        <w:spacing w:line="360" w:lineRule="auto"/>
        <w:rPr>
          <w:sz w:val="26"/>
          <w:szCs w:val="26"/>
        </w:rPr>
      </w:pPr>
    </w:p>
    <w:p w:rsidR="009A278E" w:rsidRPr="006D2276" w:rsidRDefault="00426D9E" w:rsidP="006D2276">
      <w:pPr>
        <w:spacing w:line="360" w:lineRule="auto"/>
        <w:ind w:firstLine="1440"/>
        <w:rPr>
          <w:sz w:val="26"/>
          <w:szCs w:val="26"/>
        </w:rPr>
      </w:pPr>
      <w:r>
        <w:rPr>
          <w:sz w:val="26"/>
          <w:szCs w:val="26"/>
        </w:rPr>
        <w:t xml:space="preserve">MEIUG </w:t>
      </w:r>
      <w:r w:rsidRPr="00426D9E">
        <w:rPr>
          <w:i/>
          <w:sz w:val="26"/>
          <w:szCs w:val="26"/>
        </w:rPr>
        <w:t>et al.</w:t>
      </w:r>
      <w:r>
        <w:rPr>
          <w:sz w:val="26"/>
          <w:szCs w:val="26"/>
        </w:rPr>
        <w:t xml:space="preserve"> maintains that the ALJ’s decision is consistent with Commonwealth Court precedent, </w:t>
      </w:r>
      <w:r w:rsidR="0040700D">
        <w:rPr>
          <w:sz w:val="26"/>
          <w:szCs w:val="26"/>
        </w:rPr>
        <w:t xml:space="preserve">including </w:t>
      </w:r>
      <w:r w:rsidR="00DC3AC7">
        <w:rPr>
          <w:i/>
          <w:sz w:val="26"/>
          <w:szCs w:val="26"/>
        </w:rPr>
        <w:t>Lloyd v. Pa. PUC</w:t>
      </w:r>
      <w:r w:rsidR="00DC3AC7">
        <w:rPr>
          <w:sz w:val="26"/>
          <w:szCs w:val="26"/>
        </w:rPr>
        <w:t>, 904 A.2d 1010 (Cmwlth</w:t>
      </w:r>
      <w:r w:rsidR="0049406B">
        <w:rPr>
          <w:sz w:val="26"/>
          <w:szCs w:val="26"/>
        </w:rPr>
        <w:t>.</w:t>
      </w:r>
      <w:r w:rsidR="00DC3AC7">
        <w:rPr>
          <w:sz w:val="26"/>
          <w:szCs w:val="26"/>
        </w:rPr>
        <w:t xml:space="preserve"> Ct. 2006).  MEIUG </w:t>
      </w:r>
      <w:r w:rsidR="00DC3AC7" w:rsidRPr="00DC3AC7">
        <w:rPr>
          <w:i/>
          <w:sz w:val="26"/>
          <w:szCs w:val="26"/>
        </w:rPr>
        <w:t>et al.</w:t>
      </w:r>
      <w:r w:rsidR="00DC3AC7">
        <w:rPr>
          <w:sz w:val="26"/>
          <w:szCs w:val="26"/>
        </w:rPr>
        <w:t xml:space="preserve"> further argues that the ALJ’s decision is consistent with </w:t>
      </w:r>
      <w:r>
        <w:rPr>
          <w:sz w:val="26"/>
          <w:szCs w:val="26"/>
        </w:rPr>
        <w:t xml:space="preserve">the </w:t>
      </w:r>
      <w:r>
        <w:rPr>
          <w:i/>
          <w:sz w:val="26"/>
          <w:szCs w:val="26"/>
        </w:rPr>
        <w:t>Implementation Order</w:t>
      </w:r>
      <w:r>
        <w:rPr>
          <w:sz w:val="26"/>
          <w:szCs w:val="26"/>
        </w:rPr>
        <w:t xml:space="preserve"> and traditional cost causation principles.  </w:t>
      </w:r>
      <w:r w:rsidR="006D2276">
        <w:rPr>
          <w:sz w:val="26"/>
          <w:szCs w:val="26"/>
        </w:rPr>
        <w:t xml:space="preserve">Additionally, MEIUG </w:t>
      </w:r>
      <w:r w:rsidR="006D2276" w:rsidRPr="006D2276">
        <w:rPr>
          <w:i/>
          <w:sz w:val="26"/>
          <w:szCs w:val="26"/>
        </w:rPr>
        <w:t>et al.</w:t>
      </w:r>
      <w:r w:rsidR="006D2276">
        <w:rPr>
          <w:i/>
          <w:sz w:val="26"/>
          <w:szCs w:val="26"/>
        </w:rPr>
        <w:t xml:space="preserve"> </w:t>
      </w:r>
      <w:r w:rsidR="006D2276">
        <w:rPr>
          <w:sz w:val="26"/>
          <w:szCs w:val="26"/>
        </w:rPr>
        <w:t xml:space="preserve">agrees with the Companies that the Plan’s proposed treatment of smart meter costs is consistent with the Commission’s traditional rate-making treatment of common metering costs.  </w:t>
      </w:r>
      <w:r w:rsidR="006D2276" w:rsidRPr="005E77E7">
        <w:rPr>
          <w:i/>
          <w:sz w:val="26"/>
          <w:szCs w:val="26"/>
        </w:rPr>
        <w:t>Id</w:t>
      </w:r>
      <w:r w:rsidR="006D2276">
        <w:rPr>
          <w:sz w:val="26"/>
          <w:szCs w:val="26"/>
        </w:rPr>
        <w:t xml:space="preserve">. at 4-8.  </w:t>
      </w:r>
    </w:p>
    <w:p w:rsidR="009A278E" w:rsidRDefault="009A278E" w:rsidP="002D0560">
      <w:pPr>
        <w:spacing w:line="360" w:lineRule="auto"/>
        <w:rPr>
          <w:sz w:val="26"/>
          <w:szCs w:val="26"/>
        </w:rPr>
      </w:pPr>
    </w:p>
    <w:p w:rsidR="002D0560" w:rsidRPr="009A278E" w:rsidRDefault="009A278E" w:rsidP="009A278E">
      <w:pPr>
        <w:spacing w:line="360" w:lineRule="auto"/>
        <w:ind w:firstLine="1440"/>
        <w:rPr>
          <w:sz w:val="26"/>
          <w:szCs w:val="26"/>
        </w:rPr>
      </w:pPr>
      <w:r>
        <w:rPr>
          <w:sz w:val="26"/>
          <w:szCs w:val="26"/>
        </w:rPr>
        <w:t xml:space="preserve">MEIUG </w:t>
      </w:r>
      <w:r w:rsidRPr="009A278E">
        <w:rPr>
          <w:i/>
          <w:sz w:val="26"/>
          <w:szCs w:val="26"/>
        </w:rPr>
        <w:t>et al.</w:t>
      </w:r>
      <w:r>
        <w:rPr>
          <w:sz w:val="26"/>
          <w:szCs w:val="26"/>
        </w:rPr>
        <w:t xml:space="preserve"> notes that the OCA’s position is based, in part, on </w:t>
      </w:r>
      <w:r>
        <w:rPr>
          <w:i/>
          <w:sz w:val="26"/>
          <w:szCs w:val="26"/>
        </w:rPr>
        <w:t>Illinois Commerce Commission v. FERC</w:t>
      </w:r>
      <w:r>
        <w:rPr>
          <w:sz w:val="26"/>
          <w:szCs w:val="26"/>
        </w:rPr>
        <w:t>, 576 F.3d 470 (7</w:t>
      </w:r>
      <w:r w:rsidRPr="009A278E">
        <w:rPr>
          <w:sz w:val="26"/>
          <w:szCs w:val="26"/>
          <w:vertAlign w:val="superscript"/>
        </w:rPr>
        <w:t>th</w:t>
      </w:r>
      <w:r>
        <w:rPr>
          <w:sz w:val="26"/>
          <w:szCs w:val="26"/>
        </w:rPr>
        <w:t xml:space="preserve"> Cir. 2009)</w:t>
      </w:r>
      <w:r w:rsidR="004871B6">
        <w:rPr>
          <w:sz w:val="26"/>
          <w:szCs w:val="26"/>
        </w:rPr>
        <w:t>, which was an appeal of a Federal Energy Regulatory Commission order regarding the allocation of transmission network improvement and enhancement costs</w:t>
      </w:r>
      <w:r>
        <w:rPr>
          <w:sz w:val="26"/>
          <w:szCs w:val="26"/>
        </w:rPr>
        <w:t xml:space="preserve">.  According to MEIUG </w:t>
      </w:r>
      <w:r w:rsidRPr="009A278E">
        <w:rPr>
          <w:i/>
          <w:sz w:val="26"/>
          <w:szCs w:val="26"/>
        </w:rPr>
        <w:t>et al.</w:t>
      </w:r>
      <w:r>
        <w:rPr>
          <w:sz w:val="26"/>
          <w:szCs w:val="26"/>
        </w:rPr>
        <w:t xml:space="preserve">, this case is not helpful for resolving the </w:t>
      </w:r>
      <w:r w:rsidR="004871B6">
        <w:rPr>
          <w:sz w:val="26"/>
          <w:szCs w:val="26"/>
        </w:rPr>
        <w:t xml:space="preserve">issue before us because “it was decided by a federal court that exercises no jurisdictional authority over the Commonwealth of Pennsylvania and addresses costs that are not similar to the smart meter costs at issue here.”  MEIUG </w:t>
      </w:r>
      <w:r w:rsidR="004871B6">
        <w:rPr>
          <w:i/>
          <w:sz w:val="26"/>
          <w:szCs w:val="26"/>
        </w:rPr>
        <w:t xml:space="preserve">et al. </w:t>
      </w:r>
      <w:r w:rsidR="004871B6">
        <w:rPr>
          <w:sz w:val="26"/>
          <w:szCs w:val="26"/>
        </w:rPr>
        <w:t xml:space="preserve">R.Exc. at 5.  </w:t>
      </w:r>
    </w:p>
    <w:p w:rsidR="00D10F1F" w:rsidRDefault="00D10F1F" w:rsidP="002D0560">
      <w:pPr>
        <w:spacing w:line="360" w:lineRule="auto"/>
        <w:rPr>
          <w:sz w:val="26"/>
          <w:szCs w:val="26"/>
        </w:rPr>
      </w:pPr>
    </w:p>
    <w:p w:rsidR="00C50912" w:rsidRDefault="0049406B" w:rsidP="003F2CE4">
      <w:pPr>
        <w:spacing w:line="360" w:lineRule="auto"/>
        <w:ind w:firstLine="1440"/>
        <w:rPr>
          <w:sz w:val="26"/>
          <w:szCs w:val="26"/>
        </w:rPr>
      </w:pPr>
      <w:r>
        <w:rPr>
          <w:sz w:val="26"/>
          <w:szCs w:val="26"/>
        </w:rPr>
        <w:t>Similarly, t</w:t>
      </w:r>
      <w:r w:rsidR="003F2CE4">
        <w:rPr>
          <w:sz w:val="26"/>
          <w:szCs w:val="26"/>
        </w:rPr>
        <w:t>he OSB</w:t>
      </w:r>
      <w:r w:rsidR="0056322D">
        <w:rPr>
          <w:sz w:val="26"/>
          <w:szCs w:val="26"/>
        </w:rPr>
        <w:t>A</w:t>
      </w:r>
      <w:r w:rsidR="00D10F1F">
        <w:rPr>
          <w:sz w:val="26"/>
          <w:szCs w:val="26"/>
        </w:rPr>
        <w:t xml:space="preserve"> </w:t>
      </w:r>
      <w:r>
        <w:rPr>
          <w:sz w:val="26"/>
          <w:szCs w:val="26"/>
        </w:rPr>
        <w:t xml:space="preserve">requests that we </w:t>
      </w:r>
      <w:r w:rsidR="00D10F1F">
        <w:rPr>
          <w:sz w:val="26"/>
          <w:szCs w:val="26"/>
        </w:rPr>
        <w:t xml:space="preserve">adopt the ALJ’s position regarding the allocation of </w:t>
      </w:r>
      <w:r w:rsidR="0056322D">
        <w:rPr>
          <w:sz w:val="26"/>
          <w:szCs w:val="26"/>
        </w:rPr>
        <w:t xml:space="preserve">common costs.  The OSBA argues that </w:t>
      </w:r>
      <w:r>
        <w:rPr>
          <w:sz w:val="26"/>
          <w:szCs w:val="26"/>
        </w:rPr>
        <w:t>t</w:t>
      </w:r>
      <w:r w:rsidR="0056322D">
        <w:rPr>
          <w:sz w:val="26"/>
          <w:szCs w:val="26"/>
        </w:rPr>
        <w:t xml:space="preserve">he </w:t>
      </w:r>
      <w:r w:rsidR="002B7E6D">
        <w:rPr>
          <w:sz w:val="26"/>
          <w:szCs w:val="26"/>
        </w:rPr>
        <w:t>common costs</w:t>
      </w:r>
      <w:r>
        <w:rPr>
          <w:sz w:val="26"/>
          <w:szCs w:val="26"/>
        </w:rPr>
        <w:t xml:space="preserve"> in question</w:t>
      </w:r>
      <w:r w:rsidR="002B7E6D">
        <w:rPr>
          <w:sz w:val="26"/>
          <w:szCs w:val="26"/>
        </w:rPr>
        <w:t xml:space="preserve"> include such things as meter data management, network management, and administrative costs.  These costs do not</w:t>
      </w:r>
      <w:r>
        <w:rPr>
          <w:sz w:val="26"/>
          <w:szCs w:val="26"/>
        </w:rPr>
        <w:t xml:space="preserve"> vary from customer to customer</w:t>
      </w:r>
      <w:r w:rsidR="002B7E6D">
        <w:rPr>
          <w:sz w:val="26"/>
          <w:szCs w:val="26"/>
        </w:rPr>
        <w:t xml:space="preserve"> and bear no relation to energy or demand.  </w:t>
      </w:r>
      <w:r w:rsidR="00C50912">
        <w:rPr>
          <w:sz w:val="26"/>
          <w:szCs w:val="26"/>
        </w:rPr>
        <w:t>OSBA R.Exc. at 3-8.</w:t>
      </w:r>
    </w:p>
    <w:p w:rsidR="00C50912" w:rsidRDefault="00C50912" w:rsidP="003F2CE4">
      <w:pPr>
        <w:spacing w:line="360" w:lineRule="auto"/>
        <w:ind w:firstLine="1440"/>
        <w:rPr>
          <w:sz w:val="26"/>
          <w:szCs w:val="26"/>
        </w:rPr>
      </w:pPr>
    </w:p>
    <w:p w:rsidR="002B7E6D" w:rsidRDefault="00C50912" w:rsidP="003F2CE4">
      <w:pPr>
        <w:spacing w:line="360" w:lineRule="auto"/>
        <w:ind w:firstLine="1440"/>
        <w:rPr>
          <w:sz w:val="26"/>
          <w:szCs w:val="26"/>
        </w:rPr>
      </w:pPr>
      <w:r>
        <w:rPr>
          <w:sz w:val="26"/>
          <w:szCs w:val="26"/>
        </w:rPr>
        <w:t xml:space="preserve">The OSBA </w:t>
      </w:r>
      <w:r w:rsidR="00122D19">
        <w:rPr>
          <w:sz w:val="26"/>
          <w:szCs w:val="26"/>
        </w:rPr>
        <w:t>argues that the OCA’s position is based on faulty assumptions.  Th</w:t>
      </w:r>
      <w:r w:rsidR="0094181A">
        <w:rPr>
          <w:sz w:val="26"/>
          <w:szCs w:val="26"/>
        </w:rPr>
        <w:t>e OCA erroneously assumes that c</w:t>
      </w:r>
      <w:r w:rsidR="00122D19">
        <w:rPr>
          <w:sz w:val="26"/>
          <w:szCs w:val="26"/>
        </w:rPr>
        <w:t xml:space="preserve">ommercial ratepayers are more likely to reduce their electric bills through the use of smart meters than are Residential ratepayers.  The OSBA contends that the record does not support this assumption.  The OSBA </w:t>
      </w:r>
      <w:r w:rsidR="00AC5EAF">
        <w:rPr>
          <w:sz w:val="26"/>
          <w:szCs w:val="26"/>
        </w:rPr>
        <w:t>also d</w:t>
      </w:r>
      <w:r>
        <w:rPr>
          <w:sz w:val="26"/>
          <w:szCs w:val="26"/>
        </w:rPr>
        <w:t xml:space="preserve">isagrees with the OCA’s </w:t>
      </w:r>
      <w:r w:rsidR="00AC5EAF">
        <w:rPr>
          <w:sz w:val="26"/>
          <w:szCs w:val="26"/>
        </w:rPr>
        <w:t xml:space="preserve">assumption </w:t>
      </w:r>
      <w:r w:rsidR="00B60353">
        <w:rPr>
          <w:sz w:val="26"/>
          <w:szCs w:val="26"/>
        </w:rPr>
        <w:t xml:space="preserve">that the principle reason for </w:t>
      </w:r>
      <w:r w:rsidR="0049406B">
        <w:rPr>
          <w:sz w:val="26"/>
          <w:szCs w:val="26"/>
        </w:rPr>
        <w:t xml:space="preserve">the General Assembly’s decision to </w:t>
      </w:r>
      <w:r>
        <w:rPr>
          <w:sz w:val="26"/>
          <w:szCs w:val="26"/>
        </w:rPr>
        <w:t>mandat</w:t>
      </w:r>
      <w:r w:rsidR="0049406B">
        <w:rPr>
          <w:sz w:val="26"/>
          <w:szCs w:val="26"/>
        </w:rPr>
        <w:t>e</w:t>
      </w:r>
      <w:r>
        <w:rPr>
          <w:sz w:val="26"/>
          <w:szCs w:val="26"/>
        </w:rPr>
        <w:t xml:space="preserve"> </w:t>
      </w:r>
      <w:r w:rsidR="0049406B">
        <w:rPr>
          <w:sz w:val="26"/>
          <w:szCs w:val="26"/>
        </w:rPr>
        <w:t>t</w:t>
      </w:r>
      <w:r w:rsidR="00DA0DE7">
        <w:rPr>
          <w:sz w:val="26"/>
          <w:szCs w:val="26"/>
        </w:rPr>
        <w:t>he deployment of smart meters i</w:t>
      </w:r>
      <w:r>
        <w:rPr>
          <w:sz w:val="26"/>
          <w:szCs w:val="26"/>
        </w:rPr>
        <w:t xml:space="preserve">s to save ratepayers money.  </w:t>
      </w:r>
      <w:r w:rsidR="00AC5EAF">
        <w:rPr>
          <w:sz w:val="26"/>
          <w:szCs w:val="26"/>
        </w:rPr>
        <w:t>O</w:t>
      </w:r>
      <w:r>
        <w:rPr>
          <w:sz w:val="26"/>
          <w:szCs w:val="26"/>
        </w:rPr>
        <w:t xml:space="preserve">ne of the policy goals of Act 129 is to reduce </w:t>
      </w:r>
      <w:r w:rsidR="00AC5EAF">
        <w:rPr>
          <w:sz w:val="26"/>
          <w:szCs w:val="26"/>
        </w:rPr>
        <w:t xml:space="preserve">the </w:t>
      </w:r>
      <w:r>
        <w:rPr>
          <w:sz w:val="26"/>
          <w:szCs w:val="26"/>
        </w:rPr>
        <w:t xml:space="preserve">air emissions associated with energy use.  </w:t>
      </w:r>
      <w:r w:rsidR="00122D19">
        <w:rPr>
          <w:sz w:val="26"/>
          <w:szCs w:val="26"/>
        </w:rPr>
        <w:t>All ratepayers will experience th</w:t>
      </w:r>
      <w:r>
        <w:rPr>
          <w:sz w:val="26"/>
          <w:szCs w:val="26"/>
        </w:rPr>
        <w:t>ese environmen</w:t>
      </w:r>
      <w:r w:rsidR="00122D19">
        <w:rPr>
          <w:sz w:val="26"/>
          <w:szCs w:val="26"/>
        </w:rPr>
        <w:t>tal benefits, even if the</w:t>
      </w:r>
      <w:r w:rsidR="0094181A">
        <w:rPr>
          <w:sz w:val="26"/>
          <w:szCs w:val="26"/>
        </w:rPr>
        <w:t>ir electric bills do not decrease</w:t>
      </w:r>
      <w:r w:rsidR="00122D19">
        <w:rPr>
          <w:sz w:val="26"/>
          <w:szCs w:val="26"/>
        </w:rPr>
        <w:t xml:space="preserve"> because of smart meters.  </w:t>
      </w:r>
      <w:r w:rsidR="00122D19" w:rsidRPr="005935C5">
        <w:rPr>
          <w:i/>
          <w:sz w:val="26"/>
          <w:szCs w:val="26"/>
        </w:rPr>
        <w:t>Id</w:t>
      </w:r>
      <w:r w:rsidR="00122D19">
        <w:rPr>
          <w:sz w:val="26"/>
          <w:szCs w:val="26"/>
        </w:rPr>
        <w:t xml:space="preserve">. at 8-9. </w:t>
      </w:r>
    </w:p>
    <w:p w:rsidR="002B7E6D" w:rsidRDefault="002B7E6D" w:rsidP="003F2CE4">
      <w:pPr>
        <w:spacing w:line="360" w:lineRule="auto"/>
        <w:ind w:firstLine="1440"/>
        <w:rPr>
          <w:sz w:val="26"/>
          <w:szCs w:val="26"/>
        </w:rPr>
      </w:pPr>
    </w:p>
    <w:p w:rsidR="00122D19" w:rsidRDefault="00A07A41" w:rsidP="003F2CE4">
      <w:pPr>
        <w:spacing w:line="360" w:lineRule="auto"/>
        <w:ind w:firstLine="1440"/>
        <w:rPr>
          <w:sz w:val="26"/>
          <w:szCs w:val="26"/>
        </w:rPr>
      </w:pPr>
      <w:r>
        <w:rPr>
          <w:sz w:val="26"/>
          <w:szCs w:val="26"/>
        </w:rPr>
        <w:t xml:space="preserve">If, however, the Commission </w:t>
      </w:r>
      <w:r w:rsidR="005935C5">
        <w:rPr>
          <w:sz w:val="26"/>
          <w:szCs w:val="26"/>
        </w:rPr>
        <w:t xml:space="preserve">finds that common costs should not be allocated solely on the basis of customer count, the OSBA recommends an alternative approach:  allocate the common costs in proportion to the allocation of the meters’ costs.  “This alternative could be implemented by estimating the meters costs (which would not be incurred during the Assessment Period) and reconciling those estimates when the actual costs are known.”  </w:t>
      </w:r>
      <w:r w:rsidR="005935C5" w:rsidRPr="005935C5">
        <w:rPr>
          <w:i/>
          <w:sz w:val="26"/>
          <w:szCs w:val="26"/>
        </w:rPr>
        <w:t>Id</w:t>
      </w:r>
      <w:r w:rsidR="005935C5">
        <w:rPr>
          <w:sz w:val="26"/>
          <w:szCs w:val="26"/>
        </w:rPr>
        <w:t xml:space="preserve">. at 11.  </w:t>
      </w:r>
    </w:p>
    <w:p w:rsidR="00836BC7" w:rsidRPr="003F2CE4" w:rsidRDefault="00836BC7" w:rsidP="003F2CE4">
      <w:pPr>
        <w:spacing w:line="360" w:lineRule="auto"/>
        <w:rPr>
          <w:sz w:val="26"/>
          <w:szCs w:val="26"/>
        </w:rPr>
      </w:pPr>
    </w:p>
    <w:p w:rsidR="006C5448" w:rsidRPr="003F2CE4" w:rsidRDefault="006C5448" w:rsidP="006C5448">
      <w:pPr>
        <w:pStyle w:val="Heading4"/>
        <w:rPr>
          <w:szCs w:val="26"/>
        </w:rPr>
      </w:pPr>
      <w:bookmarkStart w:id="129" w:name="_Toc259798248"/>
      <w:bookmarkStart w:id="130" w:name="_Toc263848892"/>
      <w:r w:rsidRPr="003F2CE4">
        <w:rPr>
          <w:szCs w:val="26"/>
        </w:rPr>
        <w:t>d.</w:t>
      </w:r>
      <w:r w:rsidRPr="003F2CE4">
        <w:rPr>
          <w:szCs w:val="26"/>
        </w:rPr>
        <w:tab/>
        <w:t>Disposition</w:t>
      </w:r>
      <w:bookmarkEnd w:id="129"/>
      <w:bookmarkEnd w:id="130"/>
    </w:p>
    <w:p w:rsidR="008E496C" w:rsidRDefault="008E496C" w:rsidP="002F5812">
      <w:pPr>
        <w:spacing w:line="360" w:lineRule="auto"/>
        <w:ind w:firstLine="2160"/>
        <w:rPr>
          <w:sz w:val="26"/>
          <w:szCs w:val="26"/>
        </w:rPr>
      </w:pPr>
    </w:p>
    <w:p w:rsidR="00070DBA" w:rsidRDefault="00070DBA" w:rsidP="00070DBA">
      <w:pPr>
        <w:spacing w:line="360" w:lineRule="auto"/>
        <w:ind w:firstLine="1440"/>
        <w:rPr>
          <w:sz w:val="26"/>
          <w:szCs w:val="26"/>
        </w:rPr>
      </w:pPr>
      <w:r>
        <w:rPr>
          <w:sz w:val="26"/>
          <w:szCs w:val="26"/>
        </w:rPr>
        <w:t>The ALJ has recommended adoption of the Companies’ proposal to allocate non-direct common costs based upon the number of customers in each class divided by the total number of customers.  This methodology has also been supported by</w:t>
      </w:r>
      <w:r w:rsidR="0094181A">
        <w:rPr>
          <w:sz w:val="26"/>
          <w:szCs w:val="26"/>
        </w:rPr>
        <w:t xml:space="preserve"> MEIUG</w:t>
      </w:r>
      <w:r>
        <w:rPr>
          <w:sz w:val="26"/>
          <w:szCs w:val="26"/>
        </w:rPr>
        <w:t xml:space="preserve"> </w:t>
      </w:r>
      <w:r>
        <w:rPr>
          <w:i/>
          <w:sz w:val="26"/>
          <w:szCs w:val="26"/>
        </w:rPr>
        <w:t>et al.</w:t>
      </w:r>
      <w:r>
        <w:rPr>
          <w:sz w:val="26"/>
          <w:szCs w:val="26"/>
        </w:rPr>
        <w:t xml:space="preserve"> and the OSBA.  We disagree.  We do</w:t>
      </w:r>
      <w:r w:rsidR="00A0570E">
        <w:rPr>
          <w:sz w:val="26"/>
          <w:szCs w:val="26"/>
        </w:rPr>
        <w:t>,</w:t>
      </w:r>
      <w:r>
        <w:rPr>
          <w:sz w:val="26"/>
          <w:szCs w:val="26"/>
        </w:rPr>
        <w:t xml:space="preserve"> however</w:t>
      </w:r>
      <w:r w:rsidR="00A0570E">
        <w:rPr>
          <w:sz w:val="26"/>
          <w:szCs w:val="26"/>
        </w:rPr>
        <w:t>,</w:t>
      </w:r>
      <w:r>
        <w:rPr>
          <w:sz w:val="26"/>
          <w:szCs w:val="26"/>
        </w:rPr>
        <w:t xml:space="preserve"> support the ALJ</w:t>
      </w:r>
      <w:r w:rsidR="0094181A">
        <w:rPr>
          <w:sz w:val="26"/>
          <w:szCs w:val="26"/>
        </w:rPr>
        <w:t>’s</w:t>
      </w:r>
      <w:r>
        <w:rPr>
          <w:sz w:val="26"/>
          <w:szCs w:val="26"/>
        </w:rPr>
        <w:t xml:space="preserve"> rejection </w:t>
      </w:r>
      <w:r w:rsidR="0094181A">
        <w:rPr>
          <w:sz w:val="26"/>
          <w:szCs w:val="26"/>
        </w:rPr>
        <w:t xml:space="preserve">of </w:t>
      </w:r>
      <w:r>
        <w:rPr>
          <w:sz w:val="26"/>
          <w:szCs w:val="26"/>
        </w:rPr>
        <w:t>the OCA’s proposal</w:t>
      </w:r>
      <w:r w:rsidR="0094181A">
        <w:rPr>
          <w:sz w:val="26"/>
          <w:szCs w:val="26"/>
        </w:rPr>
        <w:t>, based on the conclusion</w:t>
      </w:r>
      <w:r>
        <w:rPr>
          <w:sz w:val="26"/>
          <w:szCs w:val="26"/>
        </w:rPr>
        <w:t xml:space="preserve"> that the OCA was “ignoring long-standing principles of cost causation.”  I.D. at 55.</w:t>
      </w:r>
    </w:p>
    <w:p w:rsidR="00070DBA" w:rsidRDefault="00070DBA" w:rsidP="00070DBA">
      <w:pPr>
        <w:spacing w:line="360" w:lineRule="auto"/>
        <w:ind w:firstLine="1440"/>
        <w:rPr>
          <w:sz w:val="26"/>
          <w:szCs w:val="26"/>
        </w:rPr>
      </w:pPr>
    </w:p>
    <w:p w:rsidR="00070DBA" w:rsidRDefault="00070DBA" w:rsidP="00070DBA">
      <w:pPr>
        <w:spacing w:line="360" w:lineRule="auto"/>
        <w:ind w:firstLine="1440"/>
        <w:rPr>
          <w:sz w:val="26"/>
          <w:szCs w:val="26"/>
        </w:rPr>
      </w:pPr>
      <w:r>
        <w:rPr>
          <w:sz w:val="26"/>
          <w:szCs w:val="26"/>
        </w:rPr>
        <w:t xml:space="preserve">The ALJ found that the Plan’s non-direct common costs would be incurred without regard to energy consumption or customer demand.  I.D. at 55.  We believe that </w:t>
      </w:r>
      <w:r>
        <w:rPr>
          <w:sz w:val="26"/>
          <w:szCs w:val="26"/>
        </w:rPr>
        <w:lastRenderedPageBreak/>
        <w:t>the non-direct common costs incurred are related to the number of meters to be installed or upgraded pursuant to the Companies’ Plan.  While one could argue that the number of meters is virtually equivalent to the number of customers, especially when the residential class is considered, in some instances</w:t>
      </w:r>
      <w:r w:rsidR="00A0570E">
        <w:rPr>
          <w:sz w:val="26"/>
          <w:szCs w:val="26"/>
        </w:rPr>
        <w:t>,</w:t>
      </w:r>
      <w:r>
        <w:rPr>
          <w:sz w:val="26"/>
          <w:szCs w:val="26"/>
        </w:rPr>
        <w:t xml:space="preserve"> a single customer will have more than one meter.  We also believe that allocating the non-direct common costs over the number of meters is reasonable in that it will more accurately reflect the level of common costs for each rate class and the extent to which these investments and services enable customers to participate in the smart meter program.  Therefore, we shall </w:t>
      </w:r>
      <w:r w:rsidR="00A0570E">
        <w:rPr>
          <w:sz w:val="26"/>
          <w:szCs w:val="26"/>
        </w:rPr>
        <w:t>direct that</w:t>
      </w:r>
      <w:r>
        <w:rPr>
          <w:sz w:val="26"/>
          <w:szCs w:val="26"/>
        </w:rPr>
        <w:t xml:space="preserve"> each of the </w:t>
      </w:r>
      <w:r w:rsidR="00A0570E">
        <w:rPr>
          <w:sz w:val="26"/>
          <w:szCs w:val="26"/>
        </w:rPr>
        <w:t>C</w:t>
      </w:r>
      <w:r>
        <w:rPr>
          <w:sz w:val="26"/>
          <w:szCs w:val="26"/>
        </w:rPr>
        <w:t>ompanies allocate all non-direct common costs pursuant to the number of meters in each rate class divided by the total number of meters served by each Comp</w:t>
      </w:r>
      <w:r w:rsidR="00A0570E">
        <w:rPr>
          <w:sz w:val="26"/>
          <w:szCs w:val="26"/>
        </w:rPr>
        <w:t>any.  Accordingly, the Parties’ E</w:t>
      </w:r>
      <w:r>
        <w:rPr>
          <w:sz w:val="26"/>
          <w:szCs w:val="26"/>
        </w:rPr>
        <w:t>xceptions to this issue are denied.</w:t>
      </w:r>
    </w:p>
    <w:p w:rsidR="00070DBA" w:rsidRDefault="00070DBA" w:rsidP="00070DBA">
      <w:pPr>
        <w:spacing w:line="360" w:lineRule="auto"/>
        <w:ind w:firstLine="1440"/>
        <w:rPr>
          <w:sz w:val="26"/>
          <w:szCs w:val="26"/>
        </w:rPr>
      </w:pPr>
    </w:p>
    <w:p w:rsidR="008E496C" w:rsidRDefault="008E496C" w:rsidP="008E496C">
      <w:pPr>
        <w:pStyle w:val="Heading3"/>
      </w:pPr>
      <w:bookmarkStart w:id="131" w:name="_Toc259798249"/>
      <w:bookmarkStart w:id="132" w:name="_Toc263848893"/>
      <w:r>
        <w:t>7.</w:t>
      </w:r>
      <w:r>
        <w:tab/>
        <w:t>Rate Design</w:t>
      </w:r>
      <w:bookmarkEnd w:id="131"/>
      <w:bookmarkEnd w:id="132"/>
      <w:r w:rsidR="00903510">
        <w:t xml:space="preserve"> </w:t>
      </w:r>
    </w:p>
    <w:p w:rsidR="00BA3433" w:rsidRDefault="00BA3433" w:rsidP="006C5448">
      <w:pPr>
        <w:pStyle w:val="Heading4"/>
      </w:pPr>
      <w:bookmarkStart w:id="133" w:name="_Toc242516351"/>
      <w:bookmarkEnd w:id="24"/>
    </w:p>
    <w:p w:rsidR="006C5448" w:rsidRDefault="006C5448" w:rsidP="006C5448">
      <w:pPr>
        <w:pStyle w:val="Heading4"/>
      </w:pPr>
      <w:bookmarkStart w:id="134" w:name="_Toc259798250"/>
      <w:bookmarkStart w:id="135" w:name="_Toc263848894"/>
      <w:r>
        <w:t>a.</w:t>
      </w:r>
      <w:r>
        <w:tab/>
      </w:r>
      <w:r w:rsidR="00903510">
        <w:t>Residential</w:t>
      </w:r>
      <w:bookmarkEnd w:id="134"/>
      <w:bookmarkEnd w:id="135"/>
      <w:r w:rsidR="00903510">
        <w:t xml:space="preserve"> </w:t>
      </w:r>
    </w:p>
    <w:p w:rsidR="006C5448" w:rsidRDefault="006C5448" w:rsidP="006C5448">
      <w:pPr>
        <w:spacing w:line="360" w:lineRule="auto"/>
        <w:ind w:firstLine="2160"/>
        <w:rPr>
          <w:sz w:val="26"/>
          <w:szCs w:val="26"/>
        </w:rPr>
      </w:pPr>
    </w:p>
    <w:p w:rsidR="00903510" w:rsidRDefault="00903510" w:rsidP="00903510">
      <w:pPr>
        <w:pStyle w:val="Heading5"/>
      </w:pPr>
      <w:bookmarkStart w:id="136" w:name="_Toc263848895"/>
      <w:r>
        <w:t>i.</w:t>
      </w:r>
      <w:r>
        <w:tab/>
      </w:r>
      <w:r w:rsidR="00B55DC4">
        <w:t>FirstEnergy</w:t>
      </w:r>
      <w:r>
        <w:t>’s Plan</w:t>
      </w:r>
      <w:bookmarkEnd w:id="136"/>
    </w:p>
    <w:p w:rsidR="00903510" w:rsidRDefault="00903510" w:rsidP="00903510">
      <w:pPr>
        <w:spacing w:line="360" w:lineRule="auto"/>
        <w:ind w:firstLine="2880"/>
        <w:rPr>
          <w:sz w:val="26"/>
          <w:szCs w:val="26"/>
        </w:rPr>
      </w:pPr>
    </w:p>
    <w:p w:rsidR="00942F97" w:rsidRDefault="00942F97" w:rsidP="00942F97">
      <w:pPr>
        <w:spacing w:line="360" w:lineRule="auto"/>
        <w:ind w:firstLine="1440"/>
        <w:rPr>
          <w:sz w:val="26"/>
          <w:szCs w:val="26"/>
        </w:rPr>
      </w:pPr>
      <w:r>
        <w:rPr>
          <w:sz w:val="26"/>
          <w:szCs w:val="26"/>
        </w:rPr>
        <w:t xml:space="preserve">The Companies’ </w:t>
      </w:r>
      <w:r w:rsidR="007F1D6A">
        <w:rPr>
          <w:sz w:val="26"/>
          <w:szCs w:val="26"/>
        </w:rPr>
        <w:t xml:space="preserve">Plan </w:t>
      </w:r>
      <w:r>
        <w:rPr>
          <w:sz w:val="26"/>
          <w:szCs w:val="26"/>
        </w:rPr>
        <w:t xml:space="preserve">proposed that smart meter plan costs </w:t>
      </w:r>
      <w:r w:rsidR="00EA57D8">
        <w:rPr>
          <w:sz w:val="26"/>
          <w:szCs w:val="26"/>
        </w:rPr>
        <w:t xml:space="preserve">assigned to each class be recovered using a </w:t>
      </w:r>
      <w:r>
        <w:rPr>
          <w:sz w:val="26"/>
          <w:szCs w:val="26"/>
        </w:rPr>
        <w:t xml:space="preserve">fixed customer charge.  </w:t>
      </w:r>
      <w:r w:rsidR="00EA57D8">
        <w:rPr>
          <w:sz w:val="26"/>
          <w:szCs w:val="26"/>
        </w:rPr>
        <w:t xml:space="preserve">The OCA argued that costs should be allocated primarily on a volumetric basis.  OCA MB at 37-39.   </w:t>
      </w:r>
    </w:p>
    <w:p w:rsidR="00EB7ECA" w:rsidRDefault="00EB7ECA" w:rsidP="00903510">
      <w:pPr>
        <w:spacing w:line="360" w:lineRule="auto"/>
        <w:ind w:firstLine="2880"/>
        <w:rPr>
          <w:sz w:val="26"/>
          <w:szCs w:val="26"/>
        </w:rPr>
      </w:pPr>
    </w:p>
    <w:p w:rsidR="00903510" w:rsidRDefault="00903510" w:rsidP="00903510">
      <w:pPr>
        <w:pStyle w:val="Heading5"/>
      </w:pPr>
      <w:bookmarkStart w:id="137" w:name="_Toc263848896"/>
      <w:r>
        <w:t>ii.</w:t>
      </w:r>
      <w:r>
        <w:tab/>
        <w:t>ALJ’s Recommendation</w:t>
      </w:r>
      <w:bookmarkEnd w:id="137"/>
    </w:p>
    <w:p w:rsidR="00942F97" w:rsidRDefault="00942F97" w:rsidP="00942F97">
      <w:pPr>
        <w:spacing w:line="360" w:lineRule="auto"/>
        <w:ind w:firstLine="1440"/>
        <w:rPr>
          <w:sz w:val="26"/>
          <w:szCs w:val="26"/>
        </w:rPr>
      </w:pPr>
    </w:p>
    <w:p w:rsidR="00903510" w:rsidRDefault="00942F97" w:rsidP="00942F97">
      <w:pPr>
        <w:spacing w:line="360" w:lineRule="auto"/>
        <w:ind w:firstLine="1440"/>
        <w:rPr>
          <w:sz w:val="26"/>
          <w:szCs w:val="26"/>
        </w:rPr>
      </w:pPr>
      <w:r>
        <w:rPr>
          <w:sz w:val="26"/>
          <w:szCs w:val="26"/>
        </w:rPr>
        <w:t xml:space="preserve">The ALJ approved </w:t>
      </w:r>
      <w:r w:rsidR="00B55DC4">
        <w:rPr>
          <w:sz w:val="26"/>
          <w:szCs w:val="26"/>
        </w:rPr>
        <w:t>FirstEnergy</w:t>
      </w:r>
      <w:r>
        <w:rPr>
          <w:sz w:val="26"/>
          <w:szCs w:val="26"/>
        </w:rPr>
        <w:t>’s proposal without discussion.</w:t>
      </w:r>
    </w:p>
    <w:p w:rsidR="00942F97" w:rsidRDefault="00942F97" w:rsidP="006C5448">
      <w:pPr>
        <w:spacing w:line="360" w:lineRule="auto"/>
        <w:ind w:firstLine="2160"/>
        <w:rPr>
          <w:sz w:val="26"/>
          <w:szCs w:val="26"/>
        </w:rPr>
      </w:pPr>
    </w:p>
    <w:p w:rsidR="003B6E03" w:rsidRDefault="003B6E03">
      <w:pPr>
        <w:spacing w:after="200" w:line="276" w:lineRule="auto"/>
        <w:rPr>
          <w:rFonts w:eastAsiaTheme="majorEastAsia" w:cstheme="majorBidi"/>
          <w:b/>
          <w:sz w:val="26"/>
        </w:rPr>
      </w:pPr>
      <w:r>
        <w:br w:type="page"/>
      </w:r>
    </w:p>
    <w:p w:rsidR="00903510" w:rsidRDefault="00903510" w:rsidP="00903510">
      <w:pPr>
        <w:pStyle w:val="Heading5"/>
      </w:pPr>
      <w:bookmarkStart w:id="138" w:name="_Toc263848897"/>
      <w:r>
        <w:lastRenderedPageBreak/>
        <w:t>iii.</w:t>
      </w:r>
      <w:r>
        <w:tab/>
        <w:t>Positions of the Parties</w:t>
      </w:r>
      <w:bookmarkEnd w:id="138"/>
    </w:p>
    <w:p w:rsidR="00903510" w:rsidRDefault="00903510" w:rsidP="006C5448">
      <w:pPr>
        <w:spacing w:line="360" w:lineRule="auto"/>
        <w:ind w:firstLine="2160"/>
        <w:rPr>
          <w:sz w:val="26"/>
          <w:szCs w:val="26"/>
        </w:rPr>
      </w:pPr>
    </w:p>
    <w:p w:rsidR="00942F97" w:rsidRDefault="00663049" w:rsidP="00EB7ECA">
      <w:pPr>
        <w:spacing w:line="360" w:lineRule="auto"/>
        <w:ind w:firstLine="1440"/>
        <w:rPr>
          <w:sz w:val="26"/>
          <w:szCs w:val="26"/>
        </w:rPr>
      </w:pPr>
      <w:r>
        <w:rPr>
          <w:sz w:val="26"/>
          <w:szCs w:val="26"/>
        </w:rPr>
        <w:t>T</w:t>
      </w:r>
      <w:r w:rsidR="00EB7ECA">
        <w:rPr>
          <w:sz w:val="26"/>
          <w:szCs w:val="26"/>
        </w:rPr>
        <w:t>he OCA</w:t>
      </w:r>
      <w:r>
        <w:rPr>
          <w:sz w:val="26"/>
          <w:szCs w:val="26"/>
        </w:rPr>
        <w:t xml:space="preserve"> excepted to the ALJ’s decision </w:t>
      </w:r>
      <w:r w:rsidR="008A3F38">
        <w:rPr>
          <w:sz w:val="26"/>
          <w:szCs w:val="26"/>
        </w:rPr>
        <w:t>as it pertains to reside</w:t>
      </w:r>
      <w:r>
        <w:rPr>
          <w:sz w:val="26"/>
          <w:szCs w:val="26"/>
        </w:rPr>
        <w:t>n</w:t>
      </w:r>
      <w:r w:rsidR="008A3F38">
        <w:rPr>
          <w:sz w:val="26"/>
          <w:szCs w:val="26"/>
        </w:rPr>
        <w:t>t</w:t>
      </w:r>
      <w:r>
        <w:rPr>
          <w:sz w:val="26"/>
          <w:szCs w:val="26"/>
        </w:rPr>
        <w:t>i</w:t>
      </w:r>
      <w:r w:rsidR="008A3F38">
        <w:rPr>
          <w:sz w:val="26"/>
          <w:szCs w:val="26"/>
        </w:rPr>
        <w:t>a</w:t>
      </w:r>
      <w:r>
        <w:rPr>
          <w:sz w:val="26"/>
          <w:szCs w:val="26"/>
        </w:rPr>
        <w:t xml:space="preserve">l customers. </w:t>
      </w:r>
      <w:r w:rsidR="008A3F38">
        <w:rPr>
          <w:sz w:val="26"/>
          <w:szCs w:val="26"/>
        </w:rPr>
        <w:t xml:space="preserve">  </w:t>
      </w:r>
      <w:r w:rsidR="007013BC">
        <w:rPr>
          <w:sz w:val="26"/>
          <w:szCs w:val="26"/>
        </w:rPr>
        <w:t xml:space="preserve">OCA Exc. at 17.  The OCA contends that </w:t>
      </w:r>
      <w:r w:rsidR="00EB7ECA">
        <w:rPr>
          <w:sz w:val="26"/>
          <w:szCs w:val="26"/>
        </w:rPr>
        <w:t xml:space="preserve">costs should be recovered from </w:t>
      </w:r>
      <w:r w:rsidR="007013BC">
        <w:rPr>
          <w:sz w:val="26"/>
          <w:szCs w:val="26"/>
        </w:rPr>
        <w:t xml:space="preserve">within the </w:t>
      </w:r>
      <w:r w:rsidR="00EB7ECA">
        <w:rPr>
          <w:sz w:val="26"/>
          <w:szCs w:val="26"/>
        </w:rPr>
        <w:t xml:space="preserve">residential </w:t>
      </w:r>
      <w:r w:rsidR="007013BC">
        <w:rPr>
          <w:sz w:val="26"/>
          <w:szCs w:val="26"/>
        </w:rPr>
        <w:t xml:space="preserve">class </w:t>
      </w:r>
      <w:r w:rsidR="00EB7ECA">
        <w:rPr>
          <w:sz w:val="26"/>
          <w:szCs w:val="26"/>
        </w:rPr>
        <w:t>on a per kWh, or usage, basis.  This approach reflects the greater benefits that residential customers with greater usage stand to realize from smart meter capabilities.  OCA Exc. at 17-19.</w:t>
      </w:r>
    </w:p>
    <w:p w:rsidR="00942F97" w:rsidRDefault="00942F97" w:rsidP="006C5448">
      <w:pPr>
        <w:spacing w:line="360" w:lineRule="auto"/>
        <w:ind w:firstLine="2160"/>
        <w:rPr>
          <w:sz w:val="26"/>
          <w:szCs w:val="26"/>
        </w:rPr>
      </w:pPr>
    </w:p>
    <w:p w:rsidR="00EB7ECA" w:rsidRDefault="00B55DC4" w:rsidP="00EB7ECA">
      <w:pPr>
        <w:spacing w:line="360" w:lineRule="auto"/>
        <w:ind w:firstLine="1440"/>
        <w:rPr>
          <w:sz w:val="26"/>
          <w:szCs w:val="26"/>
        </w:rPr>
      </w:pPr>
      <w:r>
        <w:rPr>
          <w:sz w:val="26"/>
          <w:szCs w:val="26"/>
        </w:rPr>
        <w:t>FirstEnergy</w:t>
      </w:r>
      <w:r w:rsidR="00E666C5">
        <w:rPr>
          <w:sz w:val="26"/>
          <w:szCs w:val="26"/>
        </w:rPr>
        <w:t xml:space="preserve"> notes that </w:t>
      </w:r>
      <w:r w:rsidR="00A0570E">
        <w:rPr>
          <w:sz w:val="26"/>
          <w:szCs w:val="26"/>
        </w:rPr>
        <w:t xml:space="preserve">the </w:t>
      </w:r>
      <w:r w:rsidR="00E666C5">
        <w:rPr>
          <w:sz w:val="26"/>
          <w:szCs w:val="26"/>
        </w:rPr>
        <w:t xml:space="preserve">OCA’s argument on this issue is essentially an extension of the OCA’s argument regarding the allocation of common costs.  Both arguments should be rejected for the same reasons.  In addition, </w:t>
      </w:r>
      <w:r>
        <w:rPr>
          <w:sz w:val="26"/>
          <w:szCs w:val="26"/>
        </w:rPr>
        <w:t>FirstEnergy</w:t>
      </w:r>
      <w:r w:rsidR="00E666C5">
        <w:rPr>
          <w:sz w:val="26"/>
          <w:szCs w:val="26"/>
        </w:rPr>
        <w:t xml:space="preserve"> states that </w:t>
      </w:r>
      <w:r>
        <w:rPr>
          <w:sz w:val="26"/>
          <w:szCs w:val="26"/>
        </w:rPr>
        <w:t>Smart Meter Plan</w:t>
      </w:r>
      <w:r w:rsidR="00EB7ECA">
        <w:rPr>
          <w:sz w:val="26"/>
          <w:szCs w:val="26"/>
        </w:rPr>
        <w:t xml:space="preserve"> costs represent a “basic” customer cost that is properly recovered as part of the customer charge.  </w:t>
      </w:r>
      <w:r>
        <w:rPr>
          <w:sz w:val="26"/>
          <w:szCs w:val="26"/>
        </w:rPr>
        <w:t>FirstEnergy</w:t>
      </w:r>
      <w:r w:rsidR="00EB7ECA">
        <w:rPr>
          <w:sz w:val="26"/>
          <w:szCs w:val="26"/>
        </w:rPr>
        <w:t xml:space="preserve"> R.Exc. at 22-23.</w:t>
      </w:r>
    </w:p>
    <w:p w:rsidR="00EB7ECA" w:rsidRDefault="00EB7ECA" w:rsidP="00EB7ECA">
      <w:pPr>
        <w:spacing w:line="360" w:lineRule="auto"/>
        <w:ind w:firstLine="1440"/>
        <w:rPr>
          <w:sz w:val="26"/>
          <w:szCs w:val="26"/>
        </w:rPr>
      </w:pPr>
    </w:p>
    <w:p w:rsidR="008A3F38" w:rsidRDefault="008A3F38" w:rsidP="008A3F38">
      <w:pPr>
        <w:spacing w:line="360" w:lineRule="auto"/>
        <w:ind w:firstLine="1440"/>
        <w:rPr>
          <w:sz w:val="26"/>
          <w:szCs w:val="26"/>
        </w:rPr>
      </w:pPr>
      <w:r>
        <w:rPr>
          <w:sz w:val="26"/>
          <w:szCs w:val="26"/>
        </w:rPr>
        <w:t xml:space="preserve">No other Party addressed this aspect of the Initial Decision. </w:t>
      </w:r>
    </w:p>
    <w:p w:rsidR="008A3F38" w:rsidRDefault="008A3F38" w:rsidP="00EB7ECA">
      <w:pPr>
        <w:spacing w:line="360" w:lineRule="auto"/>
        <w:ind w:firstLine="1440"/>
        <w:rPr>
          <w:sz w:val="26"/>
          <w:szCs w:val="26"/>
        </w:rPr>
      </w:pPr>
    </w:p>
    <w:p w:rsidR="00903510" w:rsidRDefault="00903510" w:rsidP="00903510">
      <w:pPr>
        <w:pStyle w:val="Heading5"/>
      </w:pPr>
      <w:bookmarkStart w:id="139" w:name="_Toc263848898"/>
      <w:r>
        <w:t>iv.</w:t>
      </w:r>
      <w:r>
        <w:tab/>
        <w:t>Disposition</w:t>
      </w:r>
      <w:bookmarkEnd w:id="139"/>
    </w:p>
    <w:p w:rsidR="00E56F38" w:rsidRDefault="00E56F38" w:rsidP="00E56F38">
      <w:pPr>
        <w:spacing w:line="360" w:lineRule="auto"/>
        <w:ind w:firstLine="1440"/>
        <w:rPr>
          <w:sz w:val="26"/>
          <w:szCs w:val="26"/>
        </w:rPr>
      </w:pPr>
    </w:p>
    <w:p w:rsidR="00E56F38" w:rsidRDefault="00E56F38" w:rsidP="00E56F38">
      <w:pPr>
        <w:spacing w:line="360" w:lineRule="auto"/>
        <w:ind w:firstLine="1440"/>
        <w:rPr>
          <w:sz w:val="26"/>
          <w:szCs w:val="26"/>
        </w:rPr>
      </w:pPr>
      <w:r>
        <w:rPr>
          <w:sz w:val="26"/>
          <w:szCs w:val="26"/>
        </w:rPr>
        <w:t>On this issue</w:t>
      </w:r>
      <w:r w:rsidR="00A0570E">
        <w:rPr>
          <w:sz w:val="26"/>
          <w:szCs w:val="26"/>
        </w:rPr>
        <w:t>,</w:t>
      </w:r>
      <w:r>
        <w:rPr>
          <w:sz w:val="26"/>
          <w:szCs w:val="26"/>
        </w:rPr>
        <w:t xml:space="preserve"> we support the ALJ and the Companies.  The OCA’s approach presumes that higher usage customers will enjoy a greater benefit from the smart meter program.  OCA MB at 39.  We do not agree with this implicit assumption and there is no record evidence to support this claim.   We believe that</w:t>
      </w:r>
      <w:r w:rsidR="00A0570E">
        <w:rPr>
          <w:sz w:val="26"/>
          <w:szCs w:val="26"/>
        </w:rPr>
        <w:t>,</w:t>
      </w:r>
      <w:r>
        <w:rPr>
          <w:sz w:val="26"/>
          <w:szCs w:val="26"/>
        </w:rPr>
        <w:t xml:space="preserve"> to provide recovery of these costs through a monthly customer charge is consistent with our decision to allocate these same costs on a ‘per meter’ basis.  Additionally, as cost savings are realized by the Companies and reflected in the fixed monthly charge, the ratepayers will be able to see that specific change on their bills.  Such a reduction may not be as evident to customers if contained within a volumetric or usage rate.  </w:t>
      </w:r>
      <w:r w:rsidR="00A0570E">
        <w:rPr>
          <w:sz w:val="26"/>
          <w:szCs w:val="26"/>
        </w:rPr>
        <w:t>Accordingly, we shall deny the E</w:t>
      </w:r>
      <w:r>
        <w:rPr>
          <w:sz w:val="26"/>
          <w:szCs w:val="26"/>
        </w:rPr>
        <w:t>xception of the OCA and adopt the recommendation of the ALJ on this issue.</w:t>
      </w:r>
    </w:p>
    <w:p w:rsidR="00903510" w:rsidRDefault="00903510" w:rsidP="006C5448">
      <w:pPr>
        <w:spacing w:line="360" w:lineRule="auto"/>
        <w:ind w:firstLine="2160"/>
        <w:rPr>
          <w:sz w:val="26"/>
          <w:szCs w:val="26"/>
        </w:rPr>
      </w:pPr>
    </w:p>
    <w:p w:rsidR="006C5448" w:rsidRDefault="006C5448" w:rsidP="006C5448">
      <w:pPr>
        <w:pStyle w:val="Heading4"/>
      </w:pPr>
      <w:bookmarkStart w:id="140" w:name="_Toc259798251"/>
      <w:bookmarkStart w:id="141" w:name="_Toc263848899"/>
      <w:r>
        <w:lastRenderedPageBreak/>
        <w:t>b.</w:t>
      </w:r>
      <w:r>
        <w:tab/>
      </w:r>
      <w:r w:rsidR="00903510">
        <w:t>Commercial</w:t>
      </w:r>
      <w:bookmarkEnd w:id="140"/>
      <w:bookmarkEnd w:id="141"/>
      <w:r w:rsidR="00903510">
        <w:t xml:space="preserve"> </w:t>
      </w:r>
    </w:p>
    <w:p w:rsidR="00942F97" w:rsidRDefault="00942F97" w:rsidP="00E241CB">
      <w:pPr>
        <w:pStyle w:val="Heading5"/>
      </w:pPr>
    </w:p>
    <w:p w:rsidR="00E241CB" w:rsidRDefault="00E241CB" w:rsidP="00E241CB">
      <w:pPr>
        <w:pStyle w:val="Heading5"/>
      </w:pPr>
      <w:bookmarkStart w:id="142" w:name="_Toc263848900"/>
      <w:r>
        <w:t>i.</w:t>
      </w:r>
      <w:r>
        <w:tab/>
      </w:r>
      <w:r w:rsidR="00B55DC4">
        <w:t>FirstEnergy</w:t>
      </w:r>
      <w:r>
        <w:t>’s Plan</w:t>
      </w:r>
      <w:bookmarkEnd w:id="142"/>
    </w:p>
    <w:p w:rsidR="00E241CB" w:rsidRDefault="00E241CB" w:rsidP="00E241CB">
      <w:pPr>
        <w:spacing w:line="360" w:lineRule="auto"/>
        <w:ind w:firstLine="2880"/>
        <w:rPr>
          <w:sz w:val="26"/>
          <w:szCs w:val="26"/>
        </w:rPr>
      </w:pPr>
    </w:p>
    <w:p w:rsidR="00942F97" w:rsidRDefault="00023B41" w:rsidP="00942F97">
      <w:pPr>
        <w:spacing w:line="360" w:lineRule="auto"/>
        <w:ind w:firstLine="1440"/>
        <w:rPr>
          <w:sz w:val="26"/>
          <w:szCs w:val="26"/>
        </w:rPr>
      </w:pPr>
      <w:r>
        <w:rPr>
          <w:sz w:val="26"/>
          <w:szCs w:val="26"/>
        </w:rPr>
        <w:t xml:space="preserve">The Companies’ Plan proposed that </w:t>
      </w:r>
      <w:r w:rsidR="00B55DC4">
        <w:rPr>
          <w:sz w:val="26"/>
          <w:szCs w:val="26"/>
        </w:rPr>
        <w:t>Smart Meter Plan</w:t>
      </w:r>
      <w:r>
        <w:rPr>
          <w:sz w:val="26"/>
          <w:szCs w:val="26"/>
        </w:rPr>
        <w:t xml:space="preserve"> costs assigned to each class be recovered using a fixed customer charge.  </w:t>
      </w:r>
    </w:p>
    <w:p w:rsidR="00942F97" w:rsidRDefault="00942F97" w:rsidP="00E241CB">
      <w:pPr>
        <w:spacing w:line="360" w:lineRule="auto"/>
        <w:ind w:firstLine="2880"/>
        <w:rPr>
          <w:sz w:val="26"/>
          <w:szCs w:val="26"/>
        </w:rPr>
      </w:pPr>
    </w:p>
    <w:p w:rsidR="00E241CB" w:rsidRDefault="00E241CB" w:rsidP="00E241CB">
      <w:pPr>
        <w:pStyle w:val="Heading5"/>
      </w:pPr>
      <w:bookmarkStart w:id="143" w:name="_Toc263848901"/>
      <w:r>
        <w:t>ii.</w:t>
      </w:r>
      <w:r>
        <w:tab/>
        <w:t>ALJ’s Recommendation</w:t>
      </w:r>
      <w:bookmarkEnd w:id="143"/>
    </w:p>
    <w:p w:rsidR="00E241CB" w:rsidRDefault="00E241CB" w:rsidP="00E241CB">
      <w:pPr>
        <w:spacing w:line="360" w:lineRule="auto"/>
        <w:ind w:firstLine="2160"/>
        <w:rPr>
          <w:sz w:val="26"/>
          <w:szCs w:val="26"/>
        </w:rPr>
      </w:pPr>
    </w:p>
    <w:p w:rsidR="00605CA4" w:rsidRDefault="00605CA4" w:rsidP="00605CA4">
      <w:pPr>
        <w:spacing w:line="360" w:lineRule="auto"/>
        <w:ind w:firstLine="1440"/>
        <w:rPr>
          <w:sz w:val="26"/>
          <w:szCs w:val="26"/>
        </w:rPr>
      </w:pPr>
      <w:r>
        <w:rPr>
          <w:sz w:val="26"/>
          <w:szCs w:val="26"/>
        </w:rPr>
        <w:t xml:space="preserve">The ALJ approved </w:t>
      </w:r>
      <w:r w:rsidR="00B55DC4">
        <w:rPr>
          <w:sz w:val="26"/>
          <w:szCs w:val="26"/>
        </w:rPr>
        <w:t>FirstEnergy</w:t>
      </w:r>
      <w:r>
        <w:rPr>
          <w:sz w:val="26"/>
          <w:szCs w:val="26"/>
        </w:rPr>
        <w:t>’s proposal without discussion.</w:t>
      </w:r>
    </w:p>
    <w:p w:rsidR="00605CA4" w:rsidRDefault="00605CA4" w:rsidP="00E241CB">
      <w:pPr>
        <w:spacing w:line="360" w:lineRule="auto"/>
        <w:ind w:firstLine="2160"/>
        <w:rPr>
          <w:sz w:val="26"/>
          <w:szCs w:val="26"/>
        </w:rPr>
      </w:pPr>
    </w:p>
    <w:p w:rsidR="00E241CB" w:rsidRDefault="00E241CB" w:rsidP="00E241CB">
      <w:pPr>
        <w:pStyle w:val="Heading5"/>
      </w:pPr>
      <w:bookmarkStart w:id="144" w:name="_Toc263848902"/>
      <w:r>
        <w:t>iii.</w:t>
      </w:r>
      <w:r>
        <w:tab/>
        <w:t>Positions of the Parties</w:t>
      </w:r>
      <w:bookmarkEnd w:id="144"/>
    </w:p>
    <w:p w:rsidR="00E241CB" w:rsidRDefault="00E241CB" w:rsidP="00E241CB">
      <w:pPr>
        <w:spacing w:line="360" w:lineRule="auto"/>
        <w:ind w:firstLine="2160"/>
        <w:rPr>
          <w:sz w:val="26"/>
          <w:szCs w:val="26"/>
        </w:rPr>
      </w:pPr>
    </w:p>
    <w:p w:rsidR="00023B41" w:rsidRDefault="003F42D0" w:rsidP="00023B41">
      <w:pPr>
        <w:spacing w:line="360" w:lineRule="auto"/>
        <w:ind w:firstLine="1440"/>
        <w:rPr>
          <w:sz w:val="26"/>
          <w:szCs w:val="26"/>
        </w:rPr>
      </w:pPr>
      <w:r>
        <w:rPr>
          <w:sz w:val="26"/>
          <w:szCs w:val="26"/>
        </w:rPr>
        <w:t>The OSBA supports the Compan</w:t>
      </w:r>
      <w:r w:rsidR="00864C1B">
        <w:rPr>
          <w:sz w:val="26"/>
          <w:szCs w:val="26"/>
        </w:rPr>
        <w:t xml:space="preserve">ies’ proposal to recover costs from the Commercial class using a fixed customer charge.  </w:t>
      </w:r>
      <w:r w:rsidR="00023B41">
        <w:rPr>
          <w:sz w:val="26"/>
          <w:szCs w:val="26"/>
        </w:rPr>
        <w:t>If</w:t>
      </w:r>
      <w:r w:rsidR="00864C1B">
        <w:rPr>
          <w:sz w:val="26"/>
          <w:szCs w:val="26"/>
        </w:rPr>
        <w:t>, however,</w:t>
      </w:r>
      <w:r w:rsidR="00023B41">
        <w:rPr>
          <w:sz w:val="26"/>
          <w:szCs w:val="26"/>
        </w:rPr>
        <w:t xml:space="preserve"> the Commission agrees with the OCA</w:t>
      </w:r>
      <w:r w:rsidR="00864C1B">
        <w:rPr>
          <w:sz w:val="26"/>
          <w:szCs w:val="26"/>
        </w:rPr>
        <w:t xml:space="preserve"> that</w:t>
      </w:r>
      <w:r w:rsidR="00023B41">
        <w:rPr>
          <w:sz w:val="26"/>
          <w:szCs w:val="26"/>
        </w:rPr>
        <w:t xml:space="preserve"> common costs</w:t>
      </w:r>
      <w:r w:rsidR="00864C1B">
        <w:rPr>
          <w:sz w:val="26"/>
          <w:szCs w:val="26"/>
        </w:rPr>
        <w:t xml:space="preserve"> should be allocated based </w:t>
      </w:r>
      <w:r w:rsidR="00EF3387">
        <w:rPr>
          <w:sz w:val="26"/>
          <w:szCs w:val="26"/>
        </w:rPr>
        <w:t>on energy consumption</w:t>
      </w:r>
      <w:r w:rsidR="00023B41">
        <w:rPr>
          <w:sz w:val="26"/>
          <w:szCs w:val="26"/>
        </w:rPr>
        <w:t xml:space="preserve">, the </w:t>
      </w:r>
      <w:r>
        <w:rPr>
          <w:sz w:val="26"/>
          <w:szCs w:val="26"/>
        </w:rPr>
        <w:t xml:space="preserve">OSBA </w:t>
      </w:r>
      <w:r w:rsidR="00CB48D8">
        <w:rPr>
          <w:sz w:val="26"/>
          <w:szCs w:val="26"/>
        </w:rPr>
        <w:t xml:space="preserve">argues that consistency dictates that </w:t>
      </w:r>
      <w:r w:rsidR="00EF3387">
        <w:rPr>
          <w:sz w:val="26"/>
          <w:szCs w:val="26"/>
        </w:rPr>
        <w:t xml:space="preserve">the costs of meters </w:t>
      </w:r>
      <w:r w:rsidR="00CB48D8">
        <w:rPr>
          <w:sz w:val="26"/>
          <w:szCs w:val="26"/>
        </w:rPr>
        <w:t xml:space="preserve">should be </w:t>
      </w:r>
      <w:r w:rsidR="00B509A2">
        <w:rPr>
          <w:sz w:val="26"/>
          <w:szCs w:val="26"/>
        </w:rPr>
        <w:t xml:space="preserve">recovered within the Commercial class using a customer charge, but common costs </w:t>
      </w:r>
      <w:r w:rsidR="00CB48D8">
        <w:rPr>
          <w:sz w:val="26"/>
          <w:szCs w:val="26"/>
        </w:rPr>
        <w:t xml:space="preserve">should be </w:t>
      </w:r>
      <w:r w:rsidR="00B509A2">
        <w:rPr>
          <w:sz w:val="26"/>
          <w:szCs w:val="26"/>
        </w:rPr>
        <w:t>recov</w:t>
      </w:r>
      <w:r w:rsidR="00A0570E">
        <w:rPr>
          <w:sz w:val="26"/>
          <w:szCs w:val="26"/>
        </w:rPr>
        <w:t xml:space="preserve">ered within the Commercial </w:t>
      </w:r>
      <w:r w:rsidR="00B509A2">
        <w:rPr>
          <w:sz w:val="26"/>
          <w:szCs w:val="26"/>
        </w:rPr>
        <w:t>class via a per kWh charge.  OSBA R.Exc. at 12-13.</w:t>
      </w:r>
    </w:p>
    <w:p w:rsidR="002F4774" w:rsidRDefault="002F4774" w:rsidP="00023B41">
      <w:pPr>
        <w:spacing w:line="360" w:lineRule="auto"/>
        <w:ind w:firstLine="1440"/>
        <w:rPr>
          <w:sz w:val="26"/>
          <w:szCs w:val="26"/>
        </w:rPr>
      </w:pPr>
    </w:p>
    <w:p w:rsidR="002F4774" w:rsidRDefault="002F4774" w:rsidP="002F4774">
      <w:pPr>
        <w:spacing w:line="360" w:lineRule="auto"/>
        <w:ind w:firstLine="1440"/>
        <w:rPr>
          <w:sz w:val="26"/>
          <w:szCs w:val="26"/>
        </w:rPr>
      </w:pPr>
      <w:r>
        <w:rPr>
          <w:sz w:val="26"/>
          <w:szCs w:val="26"/>
        </w:rPr>
        <w:t xml:space="preserve">No other Party addressed this aspect of the Initial Decision. </w:t>
      </w:r>
    </w:p>
    <w:p w:rsidR="00023B41" w:rsidRDefault="00023B41" w:rsidP="00E241CB">
      <w:pPr>
        <w:spacing w:line="360" w:lineRule="auto"/>
        <w:ind w:firstLine="2160"/>
        <w:rPr>
          <w:sz w:val="26"/>
          <w:szCs w:val="26"/>
        </w:rPr>
      </w:pPr>
    </w:p>
    <w:p w:rsidR="00E241CB" w:rsidRDefault="00E241CB" w:rsidP="00E241CB">
      <w:pPr>
        <w:pStyle w:val="Heading5"/>
      </w:pPr>
      <w:bookmarkStart w:id="145" w:name="_Toc263848903"/>
      <w:r>
        <w:t>iv.</w:t>
      </w:r>
      <w:r>
        <w:tab/>
        <w:t>Disposition</w:t>
      </w:r>
      <w:bookmarkEnd w:id="145"/>
    </w:p>
    <w:p w:rsidR="006C5448" w:rsidRDefault="006C5448" w:rsidP="006C5448">
      <w:pPr>
        <w:spacing w:line="360" w:lineRule="auto"/>
        <w:ind w:firstLine="2160"/>
        <w:rPr>
          <w:sz w:val="26"/>
          <w:szCs w:val="26"/>
        </w:rPr>
      </w:pPr>
    </w:p>
    <w:p w:rsidR="00E56F38" w:rsidRDefault="00A0570E" w:rsidP="00E56F38">
      <w:pPr>
        <w:spacing w:line="360" w:lineRule="auto"/>
        <w:ind w:firstLine="1440"/>
        <w:rPr>
          <w:sz w:val="26"/>
          <w:szCs w:val="26"/>
        </w:rPr>
      </w:pPr>
      <w:r>
        <w:rPr>
          <w:sz w:val="26"/>
          <w:szCs w:val="26"/>
        </w:rPr>
        <w:t xml:space="preserve">Based on our decision regarding the allocation of common costs, we find this Exception is moot.  </w:t>
      </w:r>
    </w:p>
    <w:p w:rsidR="008F606B" w:rsidRPr="008F606B" w:rsidRDefault="008F606B" w:rsidP="00823A00">
      <w:pPr>
        <w:pStyle w:val="Heading2"/>
      </w:pPr>
    </w:p>
    <w:p w:rsidR="003B6E03" w:rsidRDefault="003B6E03">
      <w:pPr>
        <w:spacing w:after="200" w:line="276" w:lineRule="auto"/>
        <w:rPr>
          <w:rFonts w:eastAsiaTheme="majorEastAsia" w:cstheme="majorBidi"/>
          <w:b/>
          <w:bCs/>
          <w:sz w:val="26"/>
          <w:szCs w:val="28"/>
        </w:rPr>
      </w:pPr>
      <w:bookmarkStart w:id="146" w:name="_Toc259798252"/>
      <w:r>
        <w:br w:type="page"/>
      </w:r>
    </w:p>
    <w:p w:rsidR="009A077C" w:rsidRPr="00352094" w:rsidRDefault="006F4B78" w:rsidP="00940B59">
      <w:pPr>
        <w:pStyle w:val="Heading1"/>
      </w:pPr>
      <w:bookmarkStart w:id="147" w:name="_Toc263848904"/>
      <w:r>
        <w:lastRenderedPageBreak/>
        <w:t>V</w:t>
      </w:r>
      <w:r w:rsidR="00D823BC">
        <w:t>I</w:t>
      </w:r>
      <w:r w:rsidR="00B6382E">
        <w:t xml:space="preserve">.  </w:t>
      </w:r>
      <w:r>
        <w:tab/>
      </w:r>
      <w:r w:rsidR="009A077C" w:rsidRPr="00352094">
        <w:t>Conclusion</w:t>
      </w:r>
      <w:bookmarkEnd w:id="133"/>
      <w:bookmarkEnd w:id="146"/>
      <w:bookmarkEnd w:id="147"/>
    </w:p>
    <w:p w:rsidR="009A077C" w:rsidRDefault="009A077C" w:rsidP="009A077C">
      <w:pPr>
        <w:spacing w:line="360" w:lineRule="auto"/>
        <w:rPr>
          <w:sz w:val="26"/>
          <w:szCs w:val="26"/>
        </w:rPr>
      </w:pPr>
    </w:p>
    <w:p w:rsidR="00D47468" w:rsidRDefault="00890C15" w:rsidP="007A47D5">
      <w:pPr>
        <w:spacing w:line="360" w:lineRule="auto"/>
        <w:ind w:firstLine="1440"/>
        <w:rPr>
          <w:b/>
          <w:sz w:val="26"/>
        </w:rPr>
      </w:pPr>
      <w:r>
        <w:rPr>
          <w:sz w:val="26"/>
          <w:szCs w:val="26"/>
        </w:rPr>
        <w:t xml:space="preserve">For the reasons set forth above, we </w:t>
      </w:r>
      <w:r w:rsidR="00326139">
        <w:rPr>
          <w:sz w:val="26"/>
          <w:szCs w:val="26"/>
        </w:rPr>
        <w:t>will grant</w:t>
      </w:r>
      <w:r>
        <w:rPr>
          <w:sz w:val="26"/>
          <w:szCs w:val="26"/>
        </w:rPr>
        <w:t xml:space="preserve"> the Joint Petition of Metropolitan Edison Company, Pennsylvania Electric Company and Pennsylvania Power Company for Approval of Smart Meter Technology Procurement and Installation Plan</w:t>
      </w:r>
      <w:r w:rsidR="00326139">
        <w:rPr>
          <w:sz w:val="26"/>
          <w:szCs w:val="26"/>
        </w:rPr>
        <w:t>,</w:t>
      </w:r>
      <w:r w:rsidR="007905B2">
        <w:rPr>
          <w:sz w:val="26"/>
          <w:szCs w:val="26"/>
        </w:rPr>
        <w:t xml:space="preserve"> consistent with this Opinion and Order.  The Companies are permitted to implement their Plans, as modified herein</w:t>
      </w:r>
      <w:r w:rsidR="005B4E26">
        <w:rPr>
          <w:sz w:val="26"/>
          <w:szCs w:val="26"/>
        </w:rPr>
        <w:t xml:space="preserve">.  Metropolitan Edison Company, Pennsylvania Electric Company and Pennsylvania Power Company shall each file with the Commission, for its approval, </w:t>
      </w:r>
      <w:r w:rsidR="005B4E26" w:rsidRPr="004D5F55">
        <w:rPr>
          <w:sz w:val="26"/>
          <w:szCs w:val="26"/>
        </w:rPr>
        <w:t xml:space="preserve">a </w:t>
      </w:r>
      <w:r w:rsidR="005B4E26">
        <w:rPr>
          <w:sz w:val="26"/>
          <w:szCs w:val="26"/>
        </w:rPr>
        <w:t xml:space="preserve">tariff supplement containing a revised </w:t>
      </w:r>
      <w:r w:rsidR="005B4E26" w:rsidRPr="004D5F55">
        <w:rPr>
          <w:sz w:val="26"/>
          <w:szCs w:val="26"/>
        </w:rPr>
        <w:t>Smart Meter Technologies Charge Rider</w:t>
      </w:r>
      <w:r w:rsidR="00702DBA">
        <w:rPr>
          <w:sz w:val="26"/>
          <w:szCs w:val="26"/>
        </w:rPr>
        <w:t xml:space="preserve"> that</w:t>
      </w:r>
      <w:r w:rsidR="005B4E26">
        <w:rPr>
          <w:sz w:val="26"/>
          <w:szCs w:val="26"/>
        </w:rPr>
        <w:t xml:space="preserve"> is consistent with this Opinion and Order</w:t>
      </w:r>
      <w:r w:rsidR="009950A2">
        <w:rPr>
          <w:sz w:val="26"/>
          <w:szCs w:val="26"/>
        </w:rPr>
        <w:t>.  Copies shall be served on all Parties to this proceeding</w:t>
      </w:r>
      <w:r w:rsidR="007D459E">
        <w:rPr>
          <w:sz w:val="26"/>
          <w:szCs w:val="26"/>
        </w:rPr>
        <w:t xml:space="preserve">.  </w:t>
      </w:r>
      <w:r w:rsidR="00702DBA">
        <w:rPr>
          <w:sz w:val="26"/>
          <w:szCs w:val="26"/>
        </w:rPr>
        <w:t xml:space="preserve">No Company </w:t>
      </w:r>
      <w:r w:rsidR="007D459E">
        <w:rPr>
          <w:sz w:val="26"/>
          <w:szCs w:val="26"/>
        </w:rPr>
        <w:t xml:space="preserve">shall begin collecting rates pursuant to </w:t>
      </w:r>
      <w:r w:rsidR="00702DBA">
        <w:rPr>
          <w:sz w:val="26"/>
          <w:szCs w:val="26"/>
        </w:rPr>
        <w:t xml:space="preserve">its </w:t>
      </w:r>
      <w:r w:rsidR="00E146FD">
        <w:rPr>
          <w:sz w:val="26"/>
          <w:szCs w:val="26"/>
        </w:rPr>
        <w:t>tariff</w:t>
      </w:r>
      <w:r w:rsidR="007D459E">
        <w:rPr>
          <w:sz w:val="26"/>
          <w:szCs w:val="26"/>
        </w:rPr>
        <w:t xml:space="preserve"> until </w:t>
      </w:r>
      <w:r w:rsidR="00E146FD">
        <w:rPr>
          <w:sz w:val="26"/>
          <w:szCs w:val="26"/>
        </w:rPr>
        <w:t>it is</w:t>
      </w:r>
      <w:r w:rsidR="007D459E">
        <w:rPr>
          <w:sz w:val="26"/>
          <w:szCs w:val="26"/>
        </w:rPr>
        <w:t xml:space="preserve"> approved by this Commission</w:t>
      </w:r>
      <w:r w:rsidR="007A47D5">
        <w:rPr>
          <w:sz w:val="26"/>
          <w:szCs w:val="26"/>
        </w:rPr>
        <w:t xml:space="preserve">; </w:t>
      </w:r>
      <w:r w:rsidR="00920080">
        <w:rPr>
          <w:b/>
          <w:sz w:val="26"/>
        </w:rPr>
        <w:t>TH</w:t>
      </w:r>
      <w:r w:rsidR="009F398E" w:rsidRPr="003C63B1">
        <w:rPr>
          <w:b/>
          <w:sz w:val="26"/>
        </w:rPr>
        <w:t xml:space="preserve">EREFORE; </w:t>
      </w:r>
    </w:p>
    <w:p w:rsidR="00D47468" w:rsidRDefault="00D47468" w:rsidP="009F398E">
      <w:pPr>
        <w:spacing w:line="360" w:lineRule="auto"/>
        <w:rPr>
          <w:b/>
          <w:sz w:val="26"/>
        </w:rPr>
      </w:pPr>
    </w:p>
    <w:p w:rsidR="009F398E" w:rsidRDefault="009F398E" w:rsidP="005B4E26">
      <w:pPr>
        <w:spacing w:line="360" w:lineRule="auto"/>
        <w:ind w:firstLine="1440"/>
        <w:rPr>
          <w:b/>
          <w:sz w:val="26"/>
        </w:rPr>
      </w:pPr>
      <w:r w:rsidRPr="003C63B1">
        <w:rPr>
          <w:b/>
          <w:sz w:val="26"/>
        </w:rPr>
        <w:t>IT IS ORDERED:</w:t>
      </w:r>
    </w:p>
    <w:p w:rsidR="003A1D4E" w:rsidRDefault="003A1D4E" w:rsidP="009F398E">
      <w:pPr>
        <w:spacing w:line="360" w:lineRule="auto"/>
        <w:rPr>
          <w:sz w:val="26"/>
        </w:rPr>
      </w:pPr>
    </w:p>
    <w:p w:rsidR="006E17BC" w:rsidRDefault="006E17BC" w:rsidP="006E17BC">
      <w:pPr>
        <w:spacing w:line="360" w:lineRule="auto"/>
        <w:ind w:firstLine="1440"/>
        <w:rPr>
          <w:sz w:val="26"/>
          <w:szCs w:val="26"/>
        </w:rPr>
      </w:pPr>
      <w:r>
        <w:rPr>
          <w:sz w:val="26"/>
          <w:szCs w:val="26"/>
        </w:rPr>
        <w:t>1.</w:t>
      </w:r>
      <w:r>
        <w:rPr>
          <w:sz w:val="26"/>
          <w:szCs w:val="26"/>
        </w:rPr>
        <w:tab/>
        <w:t>That the Initial Decision issued by Administrative Law Judge Susan D. Colwell on January 28, 2010, is adopted as modified</w:t>
      </w:r>
      <w:r w:rsidR="002B2FB5">
        <w:rPr>
          <w:sz w:val="26"/>
          <w:szCs w:val="26"/>
        </w:rPr>
        <w:t xml:space="preserve">, consistent with </w:t>
      </w:r>
      <w:r>
        <w:rPr>
          <w:sz w:val="26"/>
          <w:szCs w:val="26"/>
        </w:rPr>
        <w:t>this Opinion and Order.</w:t>
      </w:r>
    </w:p>
    <w:p w:rsidR="006E17BC" w:rsidRDefault="006E17BC" w:rsidP="00890C15">
      <w:pPr>
        <w:spacing w:line="360" w:lineRule="auto"/>
        <w:ind w:firstLine="1440"/>
        <w:rPr>
          <w:sz w:val="26"/>
        </w:rPr>
      </w:pPr>
    </w:p>
    <w:p w:rsidR="00890C15" w:rsidRDefault="006E17BC" w:rsidP="00890C15">
      <w:pPr>
        <w:spacing w:line="360" w:lineRule="auto"/>
        <w:ind w:firstLine="1440"/>
        <w:rPr>
          <w:sz w:val="26"/>
          <w:szCs w:val="26"/>
        </w:rPr>
      </w:pPr>
      <w:r>
        <w:rPr>
          <w:sz w:val="26"/>
        </w:rPr>
        <w:t>2</w:t>
      </w:r>
      <w:r w:rsidR="00890C15">
        <w:rPr>
          <w:sz w:val="26"/>
        </w:rPr>
        <w:t>.</w:t>
      </w:r>
      <w:r w:rsidR="00890C15">
        <w:rPr>
          <w:sz w:val="26"/>
        </w:rPr>
        <w:tab/>
        <w:t>Th</w:t>
      </w:r>
      <w:r w:rsidR="004B61A2">
        <w:rPr>
          <w:sz w:val="26"/>
        </w:rPr>
        <w:t>at th</w:t>
      </w:r>
      <w:r w:rsidR="00890C15">
        <w:rPr>
          <w:sz w:val="26"/>
        </w:rPr>
        <w:t xml:space="preserve">e </w:t>
      </w:r>
      <w:r w:rsidR="00890C15">
        <w:rPr>
          <w:sz w:val="26"/>
          <w:szCs w:val="26"/>
        </w:rPr>
        <w:t xml:space="preserve">Joint Petition of Metropolitan Edison Company, Pennsylvania Electric Company and Pennsylvania Power Company for Approval of Smart Meter Technology Procurement and Installation Plan is </w:t>
      </w:r>
      <w:r w:rsidR="009858B6">
        <w:rPr>
          <w:sz w:val="26"/>
          <w:szCs w:val="26"/>
        </w:rPr>
        <w:t>granted, consistent with this Opinion and Order</w:t>
      </w:r>
      <w:r w:rsidR="00890C15">
        <w:rPr>
          <w:sz w:val="26"/>
          <w:szCs w:val="26"/>
        </w:rPr>
        <w:t>.</w:t>
      </w:r>
    </w:p>
    <w:p w:rsidR="00890C15" w:rsidRDefault="00890C15" w:rsidP="00890C15">
      <w:pPr>
        <w:spacing w:line="360" w:lineRule="auto"/>
        <w:ind w:firstLine="1440"/>
        <w:rPr>
          <w:sz w:val="26"/>
          <w:szCs w:val="26"/>
        </w:rPr>
      </w:pPr>
    </w:p>
    <w:p w:rsidR="00890C15" w:rsidRDefault="006E17BC" w:rsidP="00890C15">
      <w:pPr>
        <w:spacing w:line="360" w:lineRule="auto"/>
        <w:ind w:firstLine="1440"/>
        <w:rPr>
          <w:sz w:val="26"/>
          <w:szCs w:val="26"/>
        </w:rPr>
      </w:pPr>
      <w:r>
        <w:rPr>
          <w:sz w:val="26"/>
          <w:szCs w:val="26"/>
        </w:rPr>
        <w:t>3</w:t>
      </w:r>
      <w:r w:rsidR="00890C15">
        <w:rPr>
          <w:sz w:val="26"/>
          <w:szCs w:val="26"/>
        </w:rPr>
        <w:t>.</w:t>
      </w:r>
      <w:r w:rsidR="00890C15">
        <w:rPr>
          <w:sz w:val="26"/>
          <w:szCs w:val="26"/>
        </w:rPr>
        <w:tab/>
        <w:t>Th</w:t>
      </w:r>
      <w:r w:rsidR="004B61A2">
        <w:rPr>
          <w:sz w:val="26"/>
          <w:szCs w:val="26"/>
        </w:rPr>
        <w:t>at th</w:t>
      </w:r>
      <w:r w:rsidR="00890C15">
        <w:rPr>
          <w:sz w:val="26"/>
          <w:szCs w:val="26"/>
        </w:rPr>
        <w:t>e Smart Meter Technology Procurement and Installation Plan filed by Metropolitan Edison Company, Pennsylvania Electric Company and Pennsylvania Power Company on August 14, 2009</w:t>
      </w:r>
      <w:r w:rsidR="009858B6">
        <w:rPr>
          <w:sz w:val="26"/>
          <w:szCs w:val="26"/>
        </w:rPr>
        <w:t>, is approved, as modified by this Opinion and Order</w:t>
      </w:r>
      <w:r w:rsidR="00890C15">
        <w:rPr>
          <w:sz w:val="26"/>
          <w:szCs w:val="26"/>
        </w:rPr>
        <w:t>.</w:t>
      </w:r>
    </w:p>
    <w:p w:rsidR="004B61A2" w:rsidRDefault="004B61A2" w:rsidP="00890C15">
      <w:pPr>
        <w:spacing w:line="360" w:lineRule="auto"/>
        <w:ind w:firstLine="1440"/>
        <w:rPr>
          <w:sz w:val="26"/>
          <w:szCs w:val="26"/>
        </w:rPr>
      </w:pPr>
    </w:p>
    <w:p w:rsidR="004B61A2" w:rsidRDefault="006E17BC" w:rsidP="00890C15">
      <w:pPr>
        <w:spacing w:line="360" w:lineRule="auto"/>
        <w:ind w:firstLine="1440"/>
        <w:rPr>
          <w:sz w:val="26"/>
          <w:szCs w:val="26"/>
        </w:rPr>
      </w:pPr>
      <w:r>
        <w:rPr>
          <w:sz w:val="26"/>
          <w:szCs w:val="26"/>
        </w:rPr>
        <w:lastRenderedPageBreak/>
        <w:t>4</w:t>
      </w:r>
      <w:r w:rsidR="004B61A2">
        <w:rPr>
          <w:sz w:val="26"/>
          <w:szCs w:val="26"/>
        </w:rPr>
        <w:t>.</w:t>
      </w:r>
      <w:r w:rsidR="004B61A2">
        <w:rPr>
          <w:sz w:val="26"/>
          <w:szCs w:val="26"/>
        </w:rPr>
        <w:tab/>
        <w:t xml:space="preserve">That Metropolitan Edison Company, Pennsylvania Electric Company and Pennsylvania Power Company are permitted to implement the Smart Meter Technology Procurement and Installation Plan, </w:t>
      </w:r>
      <w:r w:rsidR="00D160A6">
        <w:rPr>
          <w:sz w:val="26"/>
          <w:szCs w:val="26"/>
        </w:rPr>
        <w:t>as modified by this Opinion and Order.</w:t>
      </w:r>
    </w:p>
    <w:p w:rsidR="00D160A6" w:rsidRDefault="00D160A6" w:rsidP="00890C15">
      <w:pPr>
        <w:spacing w:line="360" w:lineRule="auto"/>
        <w:ind w:firstLine="1440"/>
        <w:rPr>
          <w:sz w:val="26"/>
          <w:szCs w:val="26"/>
        </w:rPr>
      </w:pPr>
    </w:p>
    <w:p w:rsidR="00D160A6" w:rsidRDefault="006E17BC" w:rsidP="00890C15">
      <w:pPr>
        <w:spacing w:line="360" w:lineRule="auto"/>
        <w:ind w:firstLine="1440"/>
        <w:rPr>
          <w:sz w:val="26"/>
          <w:szCs w:val="26"/>
        </w:rPr>
      </w:pPr>
      <w:r>
        <w:rPr>
          <w:sz w:val="26"/>
          <w:szCs w:val="26"/>
        </w:rPr>
        <w:t>5</w:t>
      </w:r>
      <w:r w:rsidR="00D160A6" w:rsidRPr="004D5F55">
        <w:rPr>
          <w:sz w:val="26"/>
          <w:szCs w:val="26"/>
        </w:rPr>
        <w:t>.</w:t>
      </w:r>
      <w:r w:rsidR="00D160A6" w:rsidRPr="004D5F55">
        <w:rPr>
          <w:sz w:val="26"/>
          <w:szCs w:val="26"/>
        </w:rPr>
        <w:tab/>
        <w:t>That</w:t>
      </w:r>
      <w:r w:rsidR="00417C4F">
        <w:rPr>
          <w:sz w:val="26"/>
          <w:szCs w:val="26"/>
        </w:rPr>
        <w:t xml:space="preserve"> upon entry of this Opinion and Order, </w:t>
      </w:r>
      <w:r w:rsidR="00D160A6" w:rsidRPr="004D5F55">
        <w:rPr>
          <w:sz w:val="26"/>
          <w:szCs w:val="26"/>
        </w:rPr>
        <w:t>Metropolitan Edison Company</w:t>
      </w:r>
      <w:r w:rsidR="00E90334">
        <w:rPr>
          <w:sz w:val="26"/>
          <w:szCs w:val="26"/>
        </w:rPr>
        <w:t xml:space="preserve"> </w:t>
      </w:r>
      <w:r w:rsidR="00417C4F">
        <w:rPr>
          <w:sz w:val="26"/>
          <w:szCs w:val="26"/>
        </w:rPr>
        <w:t xml:space="preserve">is permitted to file </w:t>
      </w:r>
      <w:r w:rsidR="00E146FD">
        <w:rPr>
          <w:sz w:val="26"/>
          <w:szCs w:val="26"/>
        </w:rPr>
        <w:t xml:space="preserve">a tariff or tariff supplement </w:t>
      </w:r>
      <w:r w:rsidR="00417C4F">
        <w:rPr>
          <w:sz w:val="26"/>
          <w:szCs w:val="26"/>
        </w:rPr>
        <w:t>to implement a</w:t>
      </w:r>
      <w:r w:rsidR="00E90334">
        <w:rPr>
          <w:sz w:val="26"/>
          <w:szCs w:val="26"/>
        </w:rPr>
        <w:t xml:space="preserve"> </w:t>
      </w:r>
      <w:r w:rsidR="00D640A0" w:rsidRPr="004D5F55">
        <w:rPr>
          <w:sz w:val="26"/>
          <w:szCs w:val="26"/>
        </w:rPr>
        <w:t>Smart Meter Technologies Charge Rider</w:t>
      </w:r>
      <w:r w:rsidR="00417C4F">
        <w:rPr>
          <w:sz w:val="26"/>
          <w:szCs w:val="26"/>
        </w:rPr>
        <w:t xml:space="preserve">, </w:t>
      </w:r>
      <w:r w:rsidR="00E90334">
        <w:rPr>
          <w:sz w:val="26"/>
          <w:szCs w:val="26"/>
        </w:rPr>
        <w:t xml:space="preserve">consistent with this Opinion and Order.  </w:t>
      </w:r>
      <w:r w:rsidR="00417C4F">
        <w:rPr>
          <w:sz w:val="26"/>
          <w:szCs w:val="26"/>
        </w:rPr>
        <w:t xml:space="preserve">Metropolitan Edison Company shall also file supporting documentation reflecting the calculation of these charges.  </w:t>
      </w:r>
      <w:r w:rsidR="00E90334">
        <w:rPr>
          <w:sz w:val="26"/>
          <w:szCs w:val="26"/>
        </w:rPr>
        <w:t xml:space="preserve">Copies shall be </w:t>
      </w:r>
      <w:r w:rsidR="00D640A0" w:rsidRPr="004D5F55">
        <w:rPr>
          <w:sz w:val="26"/>
          <w:szCs w:val="26"/>
        </w:rPr>
        <w:t>serve</w:t>
      </w:r>
      <w:r w:rsidR="00E90334">
        <w:rPr>
          <w:sz w:val="26"/>
          <w:szCs w:val="26"/>
        </w:rPr>
        <w:t>d</w:t>
      </w:r>
      <w:r w:rsidR="00D640A0" w:rsidRPr="004D5F55">
        <w:rPr>
          <w:sz w:val="26"/>
          <w:szCs w:val="26"/>
        </w:rPr>
        <w:t xml:space="preserve"> on all Parties to this p</w:t>
      </w:r>
      <w:r w:rsidR="00E90334">
        <w:rPr>
          <w:sz w:val="26"/>
          <w:szCs w:val="26"/>
        </w:rPr>
        <w:t>roceeding</w:t>
      </w:r>
      <w:r w:rsidR="00D640A0" w:rsidRPr="004D5F55">
        <w:rPr>
          <w:sz w:val="26"/>
          <w:szCs w:val="26"/>
        </w:rPr>
        <w:t xml:space="preserve">.  </w:t>
      </w:r>
    </w:p>
    <w:p w:rsidR="00417C4F" w:rsidRDefault="00417C4F" w:rsidP="00890C15">
      <w:pPr>
        <w:spacing w:line="360" w:lineRule="auto"/>
        <w:ind w:firstLine="1440"/>
        <w:rPr>
          <w:sz w:val="26"/>
          <w:szCs w:val="26"/>
        </w:rPr>
      </w:pPr>
    </w:p>
    <w:p w:rsidR="008438A5" w:rsidRDefault="006E17BC" w:rsidP="00890C15">
      <w:pPr>
        <w:spacing w:line="360" w:lineRule="auto"/>
        <w:ind w:firstLine="1440"/>
        <w:rPr>
          <w:sz w:val="26"/>
          <w:szCs w:val="26"/>
        </w:rPr>
      </w:pPr>
      <w:r>
        <w:rPr>
          <w:sz w:val="26"/>
          <w:szCs w:val="26"/>
        </w:rPr>
        <w:t>6</w:t>
      </w:r>
      <w:r w:rsidR="008438A5">
        <w:rPr>
          <w:sz w:val="26"/>
          <w:szCs w:val="26"/>
        </w:rPr>
        <w:t>.</w:t>
      </w:r>
      <w:r w:rsidR="008438A5">
        <w:rPr>
          <w:sz w:val="26"/>
          <w:szCs w:val="26"/>
        </w:rPr>
        <w:tab/>
        <w:t xml:space="preserve">That </w:t>
      </w:r>
      <w:r w:rsidR="008438A5" w:rsidRPr="004D5F55">
        <w:rPr>
          <w:sz w:val="26"/>
          <w:szCs w:val="26"/>
        </w:rPr>
        <w:t>Metropolitan Edison Company</w:t>
      </w:r>
      <w:r w:rsidR="008438A5">
        <w:rPr>
          <w:sz w:val="26"/>
          <w:szCs w:val="26"/>
        </w:rPr>
        <w:t xml:space="preserve">’s </w:t>
      </w:r>
      <w:r w:rsidR="00E146FD">
        <w:rPr>
          <w:sz w:val="26"/>
          <w:szCs w:val="26"/>
        </w:rPr>
        <w:t xml:space="preserve">tariff or </w:t>
      </w:r>
      <w:r w:rsidR="008438A5">
        <w:rPr>
          <w:sz w:val="26"/>
          <w:szCs w:val="26"/>
        </w:rPr>
        <w:t xml:space="preserve">tariff supplement may be filed upon less than statutory notice and, pursuant to the provisions of 52 Pa. Code </w:t>
      </w:r>
      <w:r w:rsidR="008438A5">
        <w:rPr>
          <w:sz w:val="26"/>
          <w:szCs w:val="26"/>
        </w:rPr>
        <w:br/>
        <w:t>§§ 53.31 and 53.101, may be filed to be effective for service rendered on and after the date of entry of the instant Opinion and Order.</w:t>
      </w:r>
      <w:r w:rsidR="00C06012">
        <w:rPr>
          <w:sz w:val="26"/>
          <w:szCs w:val="26"/>
        </w:rPr>
        <w:t xml:space="preserve">  However, Metropolitan Edison Company shall not implement the rates pursuant to its tariff until it is approved by this Commission.</w:t>
      </w:r>
    </w:p>
    <w:p w:rsidR="00E90334" w:rsidRDefault="00E90334" w:rsidP="00890C15">
      <w:pPr>
        <w:spacing w:line="360" w:lineRule="auto"/>
        <w:ind w:firstLine="1440"/>
        <w:rPr>
          <w:sz w:val="26"/>
          <w:szCs w:val="26"/>
        </w:rPr>
      </w:pPr>
    </w:p>
    <w:p w:rsidR="00417C4F" w:rsidRDefault="006E17BC" w:rsidP="00417C4F">
      <w:pPr>
        <w:spacing w:line="360" w:lineRule="auto"/>
        <w:ind w:firstLine="1440"/>
        <w:rPr>
          <w:sz w:val="26"/>
          <w:szCs w:val="26"/>
        </w:rPr>
      </w:pPr>
      <w:r>
        <w:rPr>
          <w:sz w:val="26"/>
          <w:szCs w:val="26"/>
        </w:rPr>
        <w:t>7</w:t>
      </w:r>
      <w:r w:rsidR="00417C4F" w:rsidRPr="004D5F55">
        <w:rPr>
          <w:sz w:val="26"/>
          <w:szCs w:val="26"/>
        </w:rPr>
        <w:t>.</w:t>
      </w:r>
      <w:r w:rsidR="00417C4F" w:rsidRPr="004D5F55">
        <w:rPr>
          <w:sz w:val="26"/>
          <w:szCs w:val="26"/>
        </w:rPr>
        <w:tab/>
        <w:t>That</w:t>
      </w:r>
      <w:r w:rsidR="00417C4F">
        <w:rPr>
          <w:sz w:val="26"/>
          <w:szCs w:val="26"/>
        </w:rPr>
        <w:t xml:space="preserve"> upon entry of this Opinion and Order, Pennsylvania Power </w:t>
      </w:r>
      <w:r w:rsidR="00417C4F" w:rsidRPr="004D5F55">
        <w:rPr>
          <w:sz w:val="26"/>
          <w:szCs w:val="26"/>
        </w:rPr>
        <w:t>Company</w:t>
      </w:r>
      <w:r w:rsidR="00417C4F">
        <w:rPr>
          <w:sz w:val="26"/>
          <w:szCs w:val="26"/>
        </w:rPr>
        <w:t xml:space="preserve"> is permitted to file </w:t>
      </w:r>
      <w:r w:rsidR="00A24595">
        <w:rPr>
          <w:sz w:val="26"/>
          <w:szCs w:val="26"/>
        </w:rPr>
        <w:t xml:space="preserve">a </w:t>
      </w:r>
      <w:r w:rsidR="00417C4F">
        <w:rPr>
          <w:sz w:val="26"/>
          <w:szCs w:val="26"/>
        </w:rPr>
        <w:t>tariff</w:t>
      </w:r>
      <w:r w:rsidR="00A24595">
        <w:rPr>
          <w:sz w:val="26"/>
          <w:szCs w:val="26"/>
        </w:rPr>
        <w:t xml:space="preserve"> or </w:t>
      </w:r>
      <w:r w:rsidR="00417C4F">
        <w:rPr>
          <w:sz w:val="26"/>
          <w:szCs w:val="26"/>
        </w:rPr>
        <w:t xml:space="preserve">tariff supplement to implement a </w:t>
      </w:r>
      <w:r w:rsidR="00417C4F" w:rsidRPr="004D5F55">
        <w:rPr>
          <w:sz w:val="26"/>
          <w:szCs w:val="26"/>
        </w:rPr>
        <w:t>Smart Meter Technologies Charge Rider</w:t>
      </w:r>
      <w:r w:rsidR="00417C4F">
        <w:rPr>
          <w:sz w:val="26"/>
          <w:szCs w:val="26"/>
        </w:rPr>
        <w:t xml:space="preserve">, consistent with this Opinion and Order.  </w:t>
      </w:r>
      <w:r w:rsidR="00BC194B">
        <w:rPr>
          <w:sz w:val="26"/>
          <w:szCs w:val="26"/>
        </w:rPr>
        <w:t>Pennsylvania Power</w:t>
      </w:r>
      <w:r w:rsidR="00417C4F">
        <w:rPr>
          <w:sz w:val="26"/>
          <w:szCs w:val="26"/>
        </w:rPr>
        <w:t xml:space="preserve"> Company shall also file supporting documentation reflecting the calculation of these charges.  Copies shall be </w:t>
      </w:r>
      <w:r w:rsidR="00417C4F" w:rsidRPr="004D5F55">
        <w:rPr>
          <w:sz w:val="26"/>
          <w:szCs w:val="26"/>
        </w:rPr>
        <w:t>serve</w:t>
      </w:r>
      <w:r w:rsidR="00417C4F">
        <w:rPr>
          <w:sz w:val="26"/>
          <w:szCs w:val="26"/>
        </w:rPr>
        <w:t>d</w:t>
      </w:r>
      <w:r w:rsidR="00417C4F" w:rsidRPr="004D5F55">
        <w:rPr>
          <w:sz w:val="26"/>
          <w:szCs w:val="26"/>
        </w:rPr>
        <w:t xml:space="preserve"> on all Parties to this p</w:t>
      </w:r>
      <w:r w:rsidR="00417C4F">
        <w:rPr>
          <w:sz w:val="26"/>
          <w:szCs w:val="26"/>
        </w:rPr>
        <w:t>roceeding</w:t>
      </w:r>
      <w:r w:rsidR="00417C4F" w:rsidRPr="004D5F55">
        <w:rPr>
          <w:sz w:val="26"/>
          <w:szCs w:val="26"/>
        </w:rPr>
        <w:t xml:space="preserve">.  </w:t>
      </w:r>
    </w:p>
    <w:p w:rsidR="00B37458" w:rsidRDefault="00B37458" w:rsidP="00B37458">
      <w:pPr>
        <w:spacing w:line="360" w:lineRule="auto"/>
        <w:ind w:firstLine="1440"/>
        <w:rPr>
          <w:sz w:val="26"/>
          <w:szCs w:val="26"/>
        </w:rPr>
      </w:pPr>
    </w:p>
    <w:p w:rsidR="00B37458" w:rsidRDefault="006E17BC" w:rsidP="00B37458">
      <w:pPr>
        <w:spacing w:line="360" w:lineRule="auto"/>
        <w:ind w:firstLine="1440"/>
        <w:rPr>
          <w:sz w:val="26"/>
          <w:szCs w:val="26"/>
        </w:rPr>
      </w:pPr>
      <w:r>
        <w:rPr>
          <w:sz w:val="26"/>
          <w:szCs w:val="26"/>
        </w:rPr>
        <w:t>8</w:t>
      </w:r>
      <w:r w:rsidR="00B37458">
        <w:rPr>
          <w:sz w:val="26"/>
          <w:szCs w:val="26"/>
        </w:rPr>
        <w:t>.</w:t>
      </w:r>
      <w:r w:rsidR="00B37458">
        <w:rPr>
          <w:sz w:val="26"/>
          <w:szCs w:val="26"/>
        </w:rPr>
        <w:tab/>
        <w:t xml:space="preserve">That Pennsylvania Power </w:t>
      </w:r>
      <w:r w:rsidR="00B37458" w:rsidRPr="004D5F55">
        <w:rPr>
          <w:sz w:val="26"/>
          <w:szCs w:val="26"/>
        </w:rPr>
        <w:t>Company</w:t>
      </w:r>
      <w:r w:rsidR="00B37458">
        <w:rPr>
          <w:sz w:val="26"/>
          <w:szCs w:val="26"/>
        </w:rPr>
        <w:t xml:space="preserve">’s </w:t>
      </w:r>
      <w:r w:rsidR="00A24595">
        <w:rPr>
          <w:sz w:val="26"/>
          <w:szCs w:val="26"/>
        </w:rPr>
        <w:t xml:space="preserve">tariff or </w:t>
      </w:r>
      <w:r w:rsidR="00B37458">
        <w:rPr>
          <w:sz w:val="26"/>
          <w:szCs w:val="26"/>
        </w:rPr>
        <w:t xml:space="preserve">tariff supplement may be filed upon less than statutory notice and, pursuant to the provisions of 52 Pa. Code </w:t>
      </w:r>
      <w:r w:rsidR="00B37458">
        <w:rPr>
          <w:sz w:val="26"/>
          <w:szCs w:val="26"/>
        </w:rPr>
        <w:br/>
        <w:t>§§ 53.31 and 53.101, may be filed to be effective for service rendered on and after the date of entry of the instant Opinion and Order.</w:t>
      </w:r>
      <w:r w:rsidR="00C06012">
        <w:rPr>
          <w:sz w:val="26"/>
          <w:szCs w:val="26"/>
        </w:rPr>
        <w:t xml:space="preserve">  However, Pennsylvania Power Company shall not implement the rates pursuant to its tariff until it is approved by this Commission.</w:t>
      </w:r>
    </w:p>
    <w:p w:rsidR="00E90334" w:rsidRDefault="00E90334" w:rsidP="00890C15">
      <w:pPr>
        <w:spacing w:line="360" w:lineRule="auto"/>
        <w:ind w:firstLine="1440"/>
        <w:rPr>
          <w:sz w:val="26"/>
          <w:szCs w:val="26"/>
        </w:rPr>
      </w:pPr>
    </w:p>
    <w:p w:rsidR="00BC194B" w:rsidRDefault="006E17BC" w:rsidP="00BC194B">
      <w:pPr>
        <w:spacing w:line="360" w:lineRule="auto"/>
        <w:ind w:firstLine="1440"/>
        <w:rPr>
          <w:sz w:val="26"/>
          <w:szCs w:val="26"/>
        </w:rPr>
      </w:pPr>
      <w:r>
        <w:rPr>
          <w:sz w:val="26"/>
          <w:szCs w:val="26"/>
        </w:rPr>
        <w:lastRenderedPageBreak/>
        <w:t>9</w:t>
      </w:r>
      <w:r w:rsidR="00BC194B" w:rsidRPr="004D5F55">
        <w:rPr>
          <w:sz w:val="26"/>
          <w:szCs w:val="26"/>
        </w:rPr>
        <w:t>.</w:t>
      </w:r>
      <w:r w:rsidR="00BC194B" w:rsidRPr="004D5F55">
        <w:rPr>
          <w:sz w:val="26"/>
          <w:szCs w:val="26"/>
        </w:rPr>
        <w:tab/>
        <w:t>That</w:t>
      </w:r>
      <w:r w:rsidR="00BC194B">
        <w:rPr>
          <w:sz w:val="26"/>
          <w:szCs w:val="26"/>
        </w:rPr>
        <w:t xml:space="preserve"> upon entry of this Opinion and Order, Pennsylvania Electric </w:t>
      </w:r>
      <w:r w:rsidR="00BC194B" w:rsidRPr="004D5F55">
        <w:rPr>
          <w:sz w:val="26"/>
          <w:szCs w:val="26"/>
        </w:rPr>
        <w:t>Company</w:t>
      </w:r>
      <w:r w:rsidR="00BC194B">
        <w:rPr>
          <w:sz w:val="26"/>
          <w:szCs w:val="26"/>
        </w:rPr>
        <w:t xml:space="preserve"> is permitted to file </w:t>
      </w:r>
      <w:r w:rsidR="00A24595">
        <w:rPr>
          <w:sz w:val="26"/>
          <w:szCs w:val="26"/>
        </w:rPr>
        <w:t xml:space="preserve">a </w:t>
      </w:r>
      <w:r w:rsidR="00BC194B">
        <w:rPr>
          <w:sz w:val="26"/>
          <w:szCs w:val="26"/>
        </w:rPr>
        <w:t>tariff</w:t>
      </w:r>
      <w:r w:rsidR="00A24595">
        <w:rPr>
          <w:sz w:val="26"/>
          <w:szCs w:val="26"/>
        </w:rPr>
        <w:t xml:space="preserve"> or tariff supplement</w:t>
      </w:r>
      <w:r w:rsidR="00BC194B">
        <w:rPr>
          <w:sz w:val="26"/>
          <w:szCs w:val="26"/>
        </w:rPr>
        <w:t xml:space="preserve"> to implement a </w:t>
      </w:r>
      <w:r w:rsidR="00BC194B" w:rsidRPr="004D5F55">
        <w:rPr>
          <w:sz w:val="26"/>
          <w:szCs w:val="26"/>
        </w:rPr>
        <w:t>Smart Meter Technologies Charge Rider</w:t>
      </w:r>
      <w:r w:rsidR="00BC194B">
        <w:rPr>
          <w:sz w:val="26"/>
          <w:szCs w:val="26"/>
        </w:rPr>
        <w:t xml:space="preserve">, consistent with this Opinion and Order.  Pennsylvania Electric Company shall also file supporting documentation reflecting the calculation of these charges.  Copies shall be </w:t>
      </w:r>
      <w:r w:rsidR="00BC194B" w:rsidRPr="004D5F55">
        <w:rPr>
          <w:sz w:val="26"/>
          <w:szCs w:val="26"/>
        </w:rPr>
        <w:t>serve</w:t>
      </w:r>
      <w:r w:rsidR="00BC194B">
        <w:rPr>
          <w:sz w:val="26"/>
          <w:szCs w:val="26"/>
        </w:rPr>
        <w:t>d</w:t>
      </w:r>
      <w:r w:rsidR="00BC194B" w:rsidRPr="004D5F55">
        <w:rPr>
          <w:sz w:val="26"/>
          <w:szCs w:val="26"/>
        </w:rPr>
        <w:t xml:space="preserve"> on all Parties to this p</w:t>
      </w:r>
      <w:r w:rsidR="00BC194B">
        <w:rPr>
          <w:sz w:val="26"/>
          <w:szCs w:val="26"/>
        </w:rPr>
        <w:t>roceeding</w:t>
      </w:r>
      <w:r w:rsidR="00BC194B" w:rsidRPr="004D5F55">
        <w:rPr>
          <w:sz w:val="26"/>
          <w:szCs w:val="26"/>
        </w:rPr>
        <w:t xml:space="preserve">.  </w:t>
      </w:r>
    </w:p>
    <w:p w:rsidR="00B37458" w:rsidRDefault="00B37458" w:rsidP="00B37458">
      <w:pPr>
        <w:spacing w:line="360" w:lineRule="auto"/>
        <w:ind w:firstLine="1440"/>
        <w:rPr>
          <w:sz w:val="26"/>
          <w:szCs w:val="26"/>
        </w:rPr>
      </w:pPr>
    </w:p>
    <w:p w:rsidR="00B37458" w:rsidRDefault="006E17BC" w:rsidP="00B37458">
      <w:pPr>
        <w:spacing w:line="360" w:lineRule="auto"/>
        <w:ind w:firstLine="1440"/>
        <w:rPr>
          <w:sz w:val="26"/>
          <w:szCs w:val="26"/>
        </w:rPr>
      </w:pPr>
      <w:r>
        <w:rPr>
          <w:sz w:val="26"/>
          <w:szCs w:val="26"/>
        </w:rPr>
        <w:t>10</w:t>
      </w:r>
      <w:r w:rsidR="00B37458">
        <w:rPr>
          <w:sz w:val="26"/>
          <w:szCs w:val="26"/>
        </w:rPr>
        <w:t>.</w:t>
      </w:r>
      <w:r w:rsidR="00B37458">
        <w:rPr>
          <w:sz w:val="26"/>
          <w:szCs w:val="26"/>
        </w:rPr>
        <w:tab/>
        <w:t xml:space="preserve">That </w:t>
      </w:r>
      <w:r w:rsidR="00677C84">
        <w:rPr>
          <w:sz w:val="26"/>
          <w:szCs w:val="26"/>
        </w:rPr>
        <w:t xml:space="preserve">Pennsylvania Electric </w:t>
      </w:r>
      <w:r w:rsidR="00B37458" w:rsidRPr="004D5F55">
        <w:rPr>
          <w:sz w:val="26"/>
          <w:szCs w:val="26"/>
        </w:rPr>
        <w:t>Company</w:t>
      </w:r>
      <w:r w:rsidR="00B37458">
        <w:rPr>
          <w:sz w:val="26"/>
          <w:szCs w:val="26"/>
        </w:rPr>
        <w:t xml:space="preserve">’s tariff </w:t>
      </w:r>
      <w:r w:rsidR="00A24595">
        <w:rPr>
          <w:sz w:val="26"/>
          <w:szCs w:val="26"/>
        </w:rPr>
        <w:t>or tariff supplement</w:t>
      </w:r>
      <w:r w:rsidR="00B37458">
        <w:rPr>
          <w:sz w:val="26"/>
          <w:szCs w:val="26"/>
        </w:rPr>
        <w:t xml:space="preserve"> may be filed upon less than statutory notice and, pursuant to the provisions of 52 Pa. Code §§ 53.31 and 53.101, may be filed to be effective for service rendered on and after the date of entry of the instant Opinion and Order.</w:t>
      </w:r>
      <w:r w:rsidR="00C06012">
        <w:rPr>
          <w:sz w:val="26"/>
          <w:szCs w:val="26"/>
        </w:rPr>
        <w:t xml:space="preserve">  However, Pennsylvania Electric Company shall not implement the rates pursuant to its tariff until it is approved by this Commission.</w:t>
      </w:r>
    </w:p>
    <w:p w:rsidR="00E90334" w:rsidRDefault="00E90334" w:rsidP="00890C15">
      <w:pPr>
        <w:spacing w:line="360" w:lineRule="auto"/>
        <w:ind w:firstLine="1440"/>
        <w:rPr>
          <w:sz w:val="26"/>
          <w:szCs w:val="26"/>
        </w:rPr>
      </w:pPr>
    </w:p>
    <w:p w:rsidR="005E5C57" w:rsidRPr="007D018F" w:rsidRDefault="006E17BC" w:rsidP="005E5C57">
      <w:pPr>
        <w:spacing w:line="360" w:lineRule="auto"/>
        <w:ind w:firstLine="1440"/>
        <w:rPr>
          <w:sz w:val="26"/>
          <w:szCs w:val="26"/>
        </w:rPr>
      </w:pPr>
      <w:r>
        <w:rPr>
          <w:sz w:val="26"/>
          <w:szCs w:val="26"/>
        </w:rPr>
        <w:t>11</w:t>
      </w:r>
      <w:r w:rsidR="00BD3216">
        <w:rPr>
          <w:sz w:val="26"/>
          <w:szCs w:val="26"/>
        </w:rPr>
        <w:t>.</w:t>
      </w:r>
      <w:r w:rsidR="00BD3216">
        <w:rPr>
          <w:sz w:val="26"/>
          <w:szCs w:val="26"/>
        </w:rPr>
        <w:tab/>
      </w:r>
      <w:r w:rsidR="005E5C57">
        <w:rPr>
          <w:sz w:val="26"/>
          <w:szCs w:val="26"/>
        </w:rPr>
        <w:t xml:space="preserve">That Metropolitan Edison Company, Pennsylvania Electric Company and Pennsylvania Power Company </w:t>
      </w:r>
      <w:r w:rsidR="005E5C57" w:rsidRPr="007D018F">
        <w:rPr>
          <w:sz w:val="26"/>
          <w:szCs w:val="26"/>
        </w:rPr>
        <w:t>sh</w:t>
      </w:r>
      <w:r w:rsidR="005E5C57">
        <w:rPr>
          <w:sz w:val="26"/>
          <w:szCs w:val="26"/>
        </w:rPr>
        <w:t xml:space="preserve">all </w:t>
      </w:r>
      <w:r w:rsidR="005E5C57" w:rsidRPr="007D018F">
        <w:rPr>
          <w:sz w:val="26"/>
          <w:szCs w:val="26"/>
        </w:rPr>
        <w:t xml:space="preserve">study </w:t>
      </w:r>
      <w:r w:rsidR="005E5C57">
        <w:rPr>
          <w:sz w:val="26"/>
          <w:szCs w:val="26"/>
        </w:rPr>
        <w:t xml:space="preserve">sub-hourly metering </w:t>
      </w:r>
      <w:r w:rsidR="005E5C57" w:rsidRPr="007D018F">
        <w:rPr>
          <w:sz w:val="26"/>
          <w:szCs w:val="26"/>
        </w:rPr>
        <w:t>issues during the Assessment Period</w:t>
      </w:r>
      <w:r w:rsidR="005E5C57">
        <w:rPr>
          <w:sz w:val="26"/>
          <w:szCs w:val="26"/>
        </w:rPr>
        <w:t xml:space="preserve"> </w:t>
      </w:r>
      <w:r w:rsidR="007B74D8">
        <w:rPr>
          <w:sz w:val="26"/>
          <w:szCs w:val="26"/>
        </w:rPr>
        <w:t xml:space="preserve">using a stakeholder collaborative process </w:t>
      </w:r>
      <w:r w:rsidR="005E5C57">
        <w:rPr>
          <w:sz w:val="26"/>
          <w:szCs w:val="26"/>
        </w:rPr>
        <w:t xml:space="preserve">and include </w:t>
      </w:r>
      <w:r w:rsidR="005E5C57" w:rsidRPr="007D018F">
        <w:rPr>
          <w:sz w:val="26"/>
          <w:szCs w:val="26"/>
        </w:rPr>
        <w:t xml:space="preserve">the results in the </w:t>
      </w:r>
      <w:r w:rsidR="005E5C57">
        <w:rPr>
          <w:sz w:val="26"/>
          <w:szCs w:val="26"/>
        </w:rPr>
        <w:t>Deployment P</w:t>
      </w:r>
      <w:r w:rsidR="005E5C57" w:rsidRPr="007D018F">
        <w:rPr>
          <w:sz w:val="26"/>
          <w:szCs w:val="26"/>
        </w:rPr>
        <w:t xml:space="preserve">lan </w:t>
      </w:r>
      <w:r w:rsidR="005E5C57">
        <w:rPr>
          <w:sz w:val="26"/>
          <w:szCs w:val="26"/>
        </w:rPr>
        <w:t xml:space="preserve">to be </w:t>
      </w:r>
      <w:r w:rsidR="005E5C57" w:rsidRPr="007D018F">
        <w:rPr>
          <w:sz w:val="26"/>
          <w:szCs w:val="26"/>
        </w:rPr>
        <w:t xml:space="preserve">filed with the Commission.  </w:t>
      </w:r>
      <w:r w:rsidR="005E5C57">
        <w:rPr>
          <w:sz w:val="26"/>
          <w:szCs w:val="26"/>
        </w:rPr>
        <w:t>The Deployment Plan</w:t>
      </w:r>
      <w:r w:rsidR="005E5C57" w:rsidRPr="007D018F">
        <w:rPr>
          <w:sz w:val="26"/>
          <w:szCs w:val="26"/>
        </w:rPr>
        <w:t xml:space="preserve"> sh</w:t>
      </w:r>
      <w:r w:rsidR="005E5C57">
        <w:rPr>
          <w:sz w:val="26"/>
          <w:szCs w:val="26"/>
        </w:rPr>
        <w:t xml:space="preserve">all also </w:t>
      </w:r>
      <w:r w:rsidR="005E5C57" w:rsidRPr="007D018F">
        <w:rPr>
          <w:sz w:val="26"/>
          <w:szCs w:val="26"/>
        </w:rPr>
        <w:t>provide a thorough cost/benefi</w:t>
      </w:r>
      <w:r w:rsidR="008E7252">
        <w:rPr>
          <w:sz w:val="26"/>
          <w:szCs w:val="26"/>
        </w:rPr>
        <w:t>t analysis</w:t>
      </w:r>
      <w:r w:rsidR="005E5C57" w:rsidRPr="007D018F">
        <w:rPr>
          <w:sz w:val="26"/>
          <w:szCs w:val="26"/>
        </w:rPr>
        <w:t xml:space="preserve">.  </w:t>
      </w:r>
    </w:p>
    <w:p w:rsidR="005E5C57" w:rsidRDefault="005E5C57" w:rsidP="00890C15">
      <w:pPr>
        <w:spacing w:line="360" w:lineRule="auto"/>
        <w:ind w:firstLine="1440"/>
        <w:rPr>
          <w:sz w:val="26"/>
          <w:szCs w:val="26"/>
        </w:rPr>
      </w:pPr>
    </w:p>
    <w:p w:rsidR="005E5C57" w:rsidRDefault="006E17BC" w:rsidP="00890C15">
      <w:pPr>
        <w:spacing w:line="360" w:lineRule="auto"/>
        <w:ind w:firstLine="1440"/>
        <w:rPr>
          <w:sz w:val="26"/>
          <w:szCs w:val="26"/>
        </w:rPr>
      </w:pPr>
      <w:r>
        <w:rPr>
          <w:sz w:val="26"/>
          <w:szCs w:val="26"/>
        </w:rPr>
        <w:t>12</w:t>
      </w:r>
      <w:r w:rsidR="00425992">
        <w:rPr>
          <w:sz w:val="26"/>
          <w:szCs w:val="26"/>
        </w:rPr>
        <w:t>.</w:t>
      </w:r>
      <w:r w:rsidR="00425992">
        <w:rPr>
          <w:sz w:val="26"/>
          <w:szCs w:val="26"/>
        </w:rPr>
        <w:tab/>
        <w:t xml:space="preserve">That all Plan costs, including both expense and capital items (net of tax) and revenues included in the Companies’ smart meter revenues, shall not be included in the revenue requirement used in future distribution base rate cases of Metropolitan Edison Company, Pennsylvania Electric Company or Pennsylvania Power Company, and will be subject to Commission review and audit.  </w:t>
      </w:r>
    </w:p>
    <w:p w:rsidR="005E5C57" w:rsidRDefault="005E5C57" w:rsidP="00890C15">
      <w:pPr>
        <w:spacing w:line="360" w:lineRule="auto"/>
        <w:ind w:firstLine="1440"/>
        <w:rPr>
          <w:sz w:val="26"/>
          <w:szCs w:val="26"/>
        </w:rPr>
      </w:pPr>
    </w:p>
    <w:p w:rsidR="00D757F9" w:rsidRDefault="006E17BC" w:rsidP="00D757F9">
      <w:pPr>
        <w:spacing w:line="360" w:lineRule="auto"/>
        <w:ind w:firstLine="1440"/>
        <w:rPr>
          <w:sz w:val="26"/>
          <w:szCs w:val="26"/>
        </w:rPr>
      </w:pPr>
      <w:r>
        <w:rPr>
          <w:sz w:val="26"/>
          <w:szCs w:val="26"/>
        </w:rPr>
        <w:t>13</w:t>
      </w:r>
      <w:r w:rsidR="00425992">
        <w:rPr>
          <w:sz w:val="26"/>
          <w:szCs w:val="26"/>
        </w:rPr>
        <w:t>.</w:t>
      </w:r>
      <w:r w:rsidR="00D757F9">
        <w:rPr>
          <w:sz w:val="26"/>
          <w:szCs w:val="26"/>
        </w:rPr>
        <w:tab/>
        <w:t xml:space="preserve">That Metropolitan Edison Company, Pennsylvania Electric Company and Pennsylvania Power Company shall submit their annual </w:t>
      </w:r>
      <w:r w:rsidR="00B55DC4">
        <w:rPr>
          <w:sz w:val="26"/>
          <w:szCs w:val="26"/>
        </w:rPr>
        <w:t>Smart Meter Plan</w:t>
      </w:r>
      <w:r w:rsidR="005F43B8">
        <w:rPr>
          <w:sz w:val="26"/>
          <w:szCs w:val="26"/>
        </w:rPr>
        <w:t xml:space="preserve"> </w:t>
      </w:r>
      <w:r w:rsidR="00D757F9">
        <w:rPr>
          <w:sz w:val="26"/>
          <w:szCs w:val="26"/>
        </w:rPr>
        <w:t xml:space="preserve">filings by August 1, using a twelve-month Reconciliation Year ending on June 30 and an </w:t>
      </w:r>
      <w:r w:rsidR="00D757F9">
        <w:rPr>
          <w:sz w:val="26"/>
          <w:szCs w:val="26"/>
        </w:rPr>
        <w:lastRenderedPageBreak/>
        <w:t>effective date of January 1 of the following year.</w:t>
      </w:r>
      <w:r w:rsidR="006B243B">
        <w:rPr>
          <w:sz w:val="26"/>
          <w:szCs w:val="26"/>
        </w:rPr>
        <w:t xml:space="preserve">  Commission proceedings shall be scheduled so that hearings may be held by October 1.  </w:t>
      </w:r>
    </w:p>
    <w:p w:rsidR="00B014E3" w:rsidRDefault="00B014E3" w:rsidP="00D757F9">
      <w:pPr>
        <w:spacing w:line="360" w:lineRule="auto"/>
        <w:ind w:firstLine="1440"/>
        <w:rPr>
          <w:sz w:val="26"/>
          <w:szCs w:val="26"/>
        </w:rPr>
      </w:pPr>
    </w:p>
    <w:p w:rsidR="002E310A" w:rsidRDefault="006E17BC" w:rsidP="00890C15">
      <w:pPr>
        <w:spacing w:line="360" w:lineRule="auto"/>
        <w:ind w:firstLine="1440"/>
        <w:rPr>
          <w:sz w:val="26"/>
          <w:szCs w:val="26"/>
        </w:rPr>
      </w:pPr>
      <w:r>
        <w:rPr>
          <w:sz w:val="26"/>
          <w:szCs w:val="26"/>
        </w:rPr>
        <w:t>14</w:t>
      </w:r>
      <w:r w:rsidR="00B014E3">
        <w:rPr>
          <w:sz w:val="26"/>
          <w:szCs w:val="26"/>
        </w:rPr>
        <w:t>.</w:t>
      </w:r>
      <w:r w:rsidR="00B014E3">
        <w:rPr>
          <w:sz w:val="26"/>
          <w:szCs w:val="26"/>
        </w:rPr>
        <w:tab/>
      </w:r>
      <w:r w:rsidR="002E310A">
        <w:rPr>
          <w:sz w:val="26"/>
          <w:szCs w:val="26"/>
        </w:rPr>
        <w:t>That any directive, requirement, disposition or the like contained in the body of this Opinion and Order that is not the subject of an individual Or</w:t>
      </w:r>
      <w:r w:rsidR="005F43B8">
        <w:rPr>
          <w:sz w:val="26"/>
          <w:szCs w:val="26"/>
        </w:rPr>
        <w:t xml:space="preserve">dering Paragraph shall have </w:t>
      </w:r>
      <w:r w:rsidR="002E310A">
        <w:rPr>
          <w:sz w:val="26"/>
          <w:szCs w:val="26"/>
        </w:rPr>
        <w:t>full force and effect as if fully contained in this part.</w:t>
      </w:r>
    </w:p>
    <w:p w:rsidR="002E310A" w:rsidRDefault="002E310A" w:rsidP="00890C15">
      <w:pPr>
        <w:spacing w:line="360" w:lineRule="auto"/>
        <w:ind w:firstLine="1440"/>
        <w:rPr>
          <w:sz w:val="26"/>
          <w:szCs w:val="26"/>
        </w:rPr>
      </w:pPr>
    </w:p>
    <w:p w:rsidR="00890C15" w:rsidRDefault="006E17BC" w:rsidP="00890C15">
      <w:pPr>
        <w:spacing w:line="360" w:lineRule="auto"/>
        <w:ind w:firstLine="1440"/>
        <w:rPr>
          <w:sz w:val="26"/>
          <w:szCs w:val="26"/>
        </w:rPr>
      </w:pPr>
      <w:r>
        <w:rPr>
          <w:sz w:val="26"/>
          <w:szCs w:val="26"/>
        </w:rPr>
        <w:t>15</w:t>
      </w:r>
      <w:r w:rsidR="00890C15">
        <w:rPr>
          <w:sz w:val="26"/>
          <w:szCs w:val="26"/>
        </w:rPr>
        <w:t>.</w:t>
      </w:r>
      <w:r w:rsidR="00890C15">
        <w:rPr>
          <w:sz w:val="26"/>
          <w:szCs w:val="26"/>
        </w:rPr>
        <w:tab/>
        <w:t>Th</w:t>
      </w:r>
      <w:r w:rsidR="004B61A2">
        <w:rPr>
          <w:sz w:val="26"/>
          <w:szCs w:val="26"/>
        </w:rPr>
        <w:t>at th</w:t>
      </w:r>
      <w:r w:rsidR="00890C15">
        <w:rPr>
          <w:sz w:val="26"/>
          <w:szCs w:val="26"/>
        </w:rPr>
        <w:t xml:space="preserve">e </w:t>
      </w:r>
      <w:r w:rsidR="004F3F69">
        <w:rPr>
          <w:sz w:val="26"/>
          <w:szCs w:val="26"/>
        </w:rPr>
        <w:t>Initial Decision issued by Administrative Law Judge Susan D. Colwe</w:t>
      </w:r>
      <w:r w:rsidR="004B61A2">
        <w:rPr>
          <w:sz w:val="26"/>
          <w:szCs w:val="26"/>
        </w:rPr>
        <w:t>ll on January 28, 2010, is modified, consistent with this Opinion and Order</w:t>
      </w:r>
      <w:r w:rsidR="004F3F69">
        <w:rPr>
          <w:sz w:val="26"/>
          <w:szCs w:val="26"/>
        </w:rPr>
        <w:t>.</w:t>
      </w:r>
    </w:p>
    <w:p w:rsidR="004B61A2" w:rsidRDefault="004B61A2" w:rsidP="00890C15">
      <w:pPr>
        <w:spacing w:line="360" w:lineRule="auto"/>
        <w:ind w:firstLine="1440"/>
        <w:rPr>
          <w:sz w:val="26"/>
          <w:szCs w:val="26"/>
        </w:rPr>
      </w:pPr>
    </w:p>
    <w:p w:rsidR="004F3F69" w:rsidRDefault="006E17BC" w:rsidP="00890C15">
      <w:pPr>
        <w:spacing w:line="360" w:lineRule="auto"/>
        <w:ind w:firstLine="1440"/>
        <w:rPr>
          <w:sz w:val="26"/>
          <w:szCs w:val="26"/>
        </w:rPr>
      </w:pPr>
      <w:r>
        <w:rPr>
          <w:sz w:val="26"/>
          <w:szCs w:val="26"/>
        </w:rPr>
        <w:t>16</w:t>
      </w:r>
      <w:r w:rsidR="004B61A2">
        <w:rPr>
          <w:sz w:val="26"/>
          <w:szCs w:val="26"/>
        </w:rPr>
        <w:t>.</w:t>
      </w:r>
      <w:r w:rsidR="004B61A2">
        <w:rPr>
          <w:sz w:val="26"/>
          <w:szCs w:val="26"/>
        </w:rPr>
        <w:tab/>
        <w:t xml:space="preserve">That </w:t>
      </w:r>
      <w:r w:rsidR="002E310A">
        <w:rPr>
          <w:sz w:val="26"/>
          <w:szCs w:val="26"/>
        </w:rPr>
        <w:t>t</w:t>
      </w:r>
      <w:r w:rsidR="004F3F69">
        <w:rPr>
          <w:sz w:val="26"/>
          <w:szCs w:val="26"/>
        </w:rPr>
        <w:t>he Exceptions filed by the Offic</w:t>
      </w:r>
      <w:r w:rsidR="002E310A">
        <w:rPr>
          <w:sz w:val="26"/>
          <w:szCs w:val="26"/>
        </w:rPr>
        <w:t>e of Consumer Advocate are denied.</w:t>
      </w:r>
    </w:p>
    <w:p w:rsidR="004F3F69" w:rsidRDefault="004F3F69" w:rsidP="00890C15">
      <w:pPr>
        <w:spacing w:line="360" w:lineRule="auto"/>
        <w:ind w:firstLine="1440"/>
        <w:rPr>
          <w:sz w:val="26"/>
          <w:szCs w:val="26"/>
        </w:rPr>
      </w:pPr>
    </w:p>
    <w:p w:rsidR="004F3F69" w:rsidRDefault="006E17BC" w:rsidP="00890C15">
      <w:pPr>
        <w:spacing w:line="360" w:lineRule="auto"/>
        <w:ind w:firstLine="1440"/>
        <w:rPr>
          <w:sz w:val="26"/>
          <w:szCs w:val="26"/>
        </w:rPr>
      </w:pPr>
      <w:r>
        <w:rPr>
          <w:sz w:val="26"/>
          <w:szCs w:val="26"/>
        </w:rPr>
        <w:t>17</w:t>
      </w:r>
      <w:r w:rsidR="00912102">
        <w:rPr>
          <w:sz w:val="26"/>
          <w:szCs w:val="26"/>
        </w:rPr>
        <w:t>.</w:t>
      </w:r>
      <w:r w:rsidR="00912102">
        <w:rPr>
          <w:sz w:val="26"/>
          <w:szCs w:val="26"/>
        </w:rPr>
        <w:tab/>
        <w:t>That t</w:t>
      </w:r>
      <w:r w:rsidR="004F3F69">
        <w:rPr>
          <w:sz w:val="26"/>
          <w:szCs w:val="26"/>
        </w:rPr>
        <w:t>he Exceptions filed by Metropolitan Edison Company, Pennsylvania Electric Company and Pe</w:t>
      </w:r>
      <w:r w:rsidR="002E310A">
        <w:rPr>
          <w:sz w:val="26"/>
          <w:szCs w:val="26"/>
        </w:rPr>
        <w:t>nnsylvania Power Company are granted in part and denied in part</w:t>
      </w:r>
      <w:r w:rsidR="004F3F69">
        <w:rPr>
          <w:sz w:val="26"/>
          <w:szCs w:val="26"/>
        </w:rPr>
        <w:t>.</w:t>
      </w:r>
    </w:p>
    <w:p w:rsidR="004F3F69" w:rsidRDefault="004F3F69" w:rsidP="00890C15">
      <w:pPr>
        <w:spacing w:line="360" w:lineRule="auto"/>
        <w:ind w:firstLine="1440"/>
        <w:rPr>
          <w:sz w:val="26"/>
          <w:szCs w:val="26"/>
        </w:rPr>
      </w:pPr>
    </w:p>
    <w:p w:rsidR="004F3F69" w:rsidRDefault="006E17BC" w:rsidP="00890C15">
      <w:pPr>
        <w:spacing w:line="360" w:lineRule="auto"/>
        <w:ind w:firstLine="1440"/>
        <w:rPr>
          <w:sz w:val="26"/>
          <w:szCs w:val="26"/>
        </w:rPr>
      </w:pPr>
      <w:r>
        <w:rPr>
          <w:sz w:val="26"/>
          <w:szCs w:val="26"/>
        </w:rPr>
        <w:t>18</w:t>
      </w:r>
      <w:r w:rsidR="004F3F69">
        <w:rPr>
          <w:sz w:val="26"/>
          <w:szCs w:val="26"/>
        </w:rPr>
        <w:t>.</w:t>
      </w:r>
      <w:r w:rsidR="004F3F69">
        <w:rPr>
          <w:sz w:val="26"/>
          <w:szCs w:val="26"/>
        </w:rPr>
        <w:tab/>
        <w:t>T</w:t>
      </w:r>
      <w:r w:rsidR="00912102">
        <w:rPr>
          <w:sz w:val="26"/>
          <w:szCs w:val="26"/>
        </w:rPr>
        <w:t>hat t</w:t>
      </w:r>
      <w:r w:rsidR="004F3F69">
        <w:rPr>
          <w:sz w:val="26"/>
          <w:szCs w:val="26"/>
        </w:rPr>
        <w:t>he Exceptions filed by th</w:t>
      </w:r>
      <w:r w:rsidR="002E310A">
        <w:rPr>
          <w:sz w:val="26"/>
          <w:szCs w:val="26"/>
        </w:rPr>
        <w:t>e Office of Trial Staff are granted in part and denied in part</w:t>
      </w:r>
      <w:r w:rsidR="004F3F69">
        <w:rPr>
          <w:sz w:val="26"/>
          <w:szCs w:val="26"/>
        </w:rPr>
        <w:t>.</w:t>
      </w:r>
    </w:p>
    <w:p w:rsidR="004F3F69" w:rsidRDefault="004F3F69" w:rsidP="00890C15">
      <w:pPr>
        <w:spacing w:line="360" w:lineRule="auto"/>
        <w:ind w:firstLine="1440"/>
        <w:rPr>
          <w:sz w:val="26"/>
          <w:szCs w:val="26"/>
        </w:rPr>
      </w:pPr>
    </w:p>
    <w:p w:rsidR="004F3F69" w:rsidRDefault="006E17BC" w:rsidP="00890C15">
      <w:pPr>
        <w:spacing w:line="360" w:lineRule="auto"/>
        <w:ind w:firstLine="1440"/>
        <w:rPr>
          <w:sz w:val="26"/>
        </w:rPr>
      </w:pPr>
      <w:r>
        <w:rPr>
          <w:sz w:val="26"/>
          <w:szCs w:val="26"/>
        </w:rPr>
        <w:t>19</w:t>
      </w:r>
      <w:r w:rsidR="004F3F69">
        <w:rPr>
          <w:sz w:val="26"/>
          <w:szCs w:val="26"/>
        </w:rPr>
        <w:t>.</w:t>
      </w:r>
      <w:r w:rsidR="004F3F69">
        <w:rPr>
          <w:sz w:val="26"/>
          <w:szCs w:val="26"/>
        </w:rPr>
        <w:tab/>
        <w:t>T</w:t>
      </w:r>
      <w:r w:rsidR="00912102">
        <w:rPr>
          <w:sz w:val="26"/>
          <w:szCs w:val="26"/>
        </w:rPr>
        <w:t>hat t</w:t>
      </w:r>
      <w:r w:rsidR="004F3F69">
        <w:rPr>
          <w:sz w:val="26"/>
          <w:szCs w:val="26"/>
        </w:rPr>
        <w:t>he Exceptions filed by the Department of E</w:t>
      </w:r>
      <w:r w:rsidR="002E310A">
        <w:rPr>
          <w:sz w:val="26"/>
          <w:szCs w:val="26"/>
        </w:rPr>
        <w:t>nvironmental Protection are denied</w:t>
      </w:r>
      <w:r w:rsidR="004F3F69">
        <w:rPr>
          <w:sz w:val="26"/>
          <w:szCs w:val="26"/>
        </w:rPr>
        <w:t>.</w:t>
      </w:r>
    </w:p>
    <w:p w:rsidR="00EA50B3" w:rsidRDefault="00EA50B3" w:rsidP="0096733E">
      <w:pPr>
        <w:spacing w:line="360" w:lineRule="auto"/>
        <w:ind w:firstLine="1440"/>
        <w:rPr>
          <w:sz w:val="26"/>
        </w:rPr>
      </w:pPr>
    </w:p>
    <w:p w:rsidR="002B2FB5" w:rsidRDefault="002B2FB5">
      <w:pPr>
        <w:spacing w:after="200" w:line="276" w:lineRule="auto"/>
        <w:rPr>
          <w:sz w:val="26"/>
        </w:rPr>
      </w:pPr>
      <w:r>
        <w:rPr>
          <w:sz w:val="26"/>
        </w:rPr>
        <w:br w:type="page"/>
      </w:r>
    </w:p>
    <w:p w:rsidR="00EE5629" w:rsidRDefault="006E17BC" w:rsidP="0096733E">
      <w:pPr>
        <w:spacing w:line="360" w:lineRule="auto"/>
        <w:ind w:firstLine="1440"/>
        <w:rPr>
          <w:sz w:val="26"/>
        </w:rPr>
      </w:pPr>
      <w:r>
        <w:rPr>
          <w:sz w:val="26"/>
        </w:rPr>
        <w:lastRenderedPageBreak/>
        <w:t>20</w:t>
      </w:r>
      <w:r w:rsidR="00EE5629">
        <w:rPr>
          <w:sz w:val="26"/>
        </w:rPr>
        <w:t>.</w:t>
      </w:r>
      <w:r w:rsidR="00EE5629">
        <w:rPr>
          <w:sz w:val="26"/>
        </w:rPr>
        <w:tab/>
      </w:r>
      <w:r w:rsidR="00912102">
        <w:rPr>
          <w:sz w:val="26"/>
        </w:rPr>
        <w:t>That, u</w:t>
      </w:r>
      <w:r w:rsidR="004B5962">
        <w:rPr>
          <w:sz w:val="26"/>
        </w:rPr>
        <w:t xml:space="preserve">pon </w:t>
      </w:r>
      <w:r w:rsidR="008438A5">
        <w:rPr>
          <w:sz w:val="26"/>
        </w:rPr>
        <w:t xml:space="preserve">acceptance and approval by the Commission of the tariff revisions filed by </w:t>
      </w:r>
      <w:r w:rsidR="008438A5" w:rsidRPr="004D5F55">
        <w:rPr>
          <w:sz w:val="26"/>
          <w:szCs w:val="26"/>
        </w:rPr>
        <w:t>Metropolitan Edison Company</w:t>
      </w:r>
      <w:r w:rsidR="008438A5">
        <w:rPr>
          <w:sz w:val="26"/>
          <w:szCs w:val="26"/>
        </w:rPr>
        <w:t xml:space="preserve">, Pennsylvania Electric Company, and Pennsylvania Power Company, </w:t>
      </w:r>
      <w:r w:rsidR="00284870">
        <w:rPr>
          <w:sz w:val="26"/>
          <w:szCs w:val="26"/>
        </w:rPr>
        <w:t xml:space="preserve">the Secretary’s Bureau </w:t>
      </w:r>
      <w:r w:rsidR="004B5962">
        <w:rPr>
          <w:sz w:val="26"/>
        </w:rPr>
        <w:t>shall mark</w:t>
      </w:r>
      <w:r w:rsidR="005F43B8">
        <w:rPr>
          <w:sz w:val="26"/>
        </w:rPr>
        <w:t xml:space="preserve"> this case</w:t>
      </w:r>
      <w:r w:rsidR="004B5962">
        <w:rPr>
          <w:sz w:val="26"/>
        </w:rPr>
        <w:t xml:space="preserve"> closed.</w:t>
      </w:r>
    </w:p>
    <w:p w:rsidR="00EE5629" w:rsidRDefault="00EE5629" w:rsidP="0096733E">
      <w:pPr>
        <w:spacing w:line="360" w:lineRule="auto"/>
        <w:ind w:firstLine="1440"/>
        <w:rPr>
          <w:sz w:val="26"/>
        </w:rPr>
      </w:pPr>
    </w:p>
    <w:p w:rsidR="004C1CD2" w:rsidRPr="003C63B1" w:rsidRDefault="001A2D70" w:rsidP="004C1CD2">
      <w:pPr>
        <w:tabs>
          <w:tab w:val="left" w:pos="-720"/>
        </w:tabs>
        <w:suppressAutoHyphens/>
        <w:rPr>
          <w:sz w:val="26"/>
        </w:rPr>
      </w:pPr>
      <w:r>
        <w:rPr>
          <w:b/>
          <w:noProof/>
          <w:sz w:val="26"/>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137160</wp:posOffset>
            </wp:positionV>
            <wp:extent cx="2200275" cy="838200"/>
            <wp:effectExtent l="19050" t="0" r="9525"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C1CD2" w:rsidRPr="003C63B1">
        <w:rPr>
          <w:b/>
          <w:sz w:val="26"/>
        </w:rPr>
        <w:tab/>
      </w:r>
      <w:r w:rsidR="004C1CD2" w:rsidRPr="003C63B1">
        <w:rPr>
          <w:b/>
          <w:sz w:val="26"/>
        </w:rPr>
        <w:tab/>
      </w:r>
      <w:r w:rsidR="004C1CD2" w:rsidRPr="003C63B1">
        <w:rPr>
          <w:b/>
          <w:sz w:val="26"/>
        </w:rPr>
        <w:tab/>
      </w:r>
      <w:r w:rsidR="004C1CD2" w:rsidRPr="003C63B1">
        <w:rPr>
          <w:b/>
          <w:sz w:val="26"/>
        </w:rPr>
        <w:tab/>
      </w:r>
      <w:r w:rsidR="004C1CD2" w:rsidRPr="003C63B1">
        <w:rPr>
          <w:b/>
          <w:sz w:val="26"/>
        </w:rPr>
        <w:tab/>
      </w:r>
      <w:r w:rsidR="004C1CD2" w:rsidRPr="003C63B1">
        <w:rPr>
          <w:b/>
          <w:sz w:val="26"/>
        </w:rPr>
        <w:tab/>
      </w:r>
      <w:r w:rsidR="004C1CD2" w:rsidRPr="003C63B1">
        <w:rPr>
          <w:b/>
          <w:sz w:val="26"/>
        </w:rPr>
        <w:tab/>
        <w:t>BY THE COMMISSION,</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BA6302" w:rsidP="004C1CD2">
      <w:pPr>
        <w:tabs>
          <w:tab w:val="left" w:pos="-720"/>
        </w:tabs>
        <w:suppressAutoHyphens/>
        <w:rPr>
          <w:sz w:val="26"/>
        </w:rPr>
      </w:pPr>
      <w:r>
        <w:rPr>
          <w:sz w:val="26"/>
        </w:rPr>
        <w:tab/>
      </w:r>
      <w:r>
        <w:rPr>
          <w:sz w:val="26"/>
        </w:rPr>
        <w:tab/>
      </w:r>
      <w:r>
        <w:rPr>
          <w:sz w:val="26"/>
        </w:rPr>
        <w:tab/>
      </w:r>
      <w:r>
        <w:rPr>
          <w:sz w:val="26"/>
        </w:rPr>
        <w:tab/>
      </w:r>
      <w:r>
        <w:rPr>
          <w:sz w:val="26"/>
        </w:rPr>
        <w:tab/>
      </w:r>
      <w:r>
        <w:rPr>
          <w:sz w:val="26"/>
        </w:rPr>
        <w:tab/>
      </w:r>
      <w:r>
        <w:rPr>
          <w:sz w:val="26"/>
        </w:rPr>
        <w:tab/>
      </w:r>
      <w:r w:rsidR="00C674F8">
        <w:rPr>
          <w:sz w:val="26"/>
        </w:rPr>
        <w:t>Rosemary Chiavetta</w:t>
      </w: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(SEAL)</w:t>
      </w:r>
    </w:p>
    <w:p w:rsidR="004C1CD2" w:rsidRPr="003C63B1" w:rsidRDefault="004C1CD2" w:rsidP="004C1CD2">
      <w:pPr>
        <w:tabs>
          <w:tab w:val="left" w:pos="-720"/>
        </w:tabs>
        <w:suppressAutoHyphens/>
        <w:rPr>
          <w:sz w:val="26"/>
        </w:rPr>
      </w:pPr>
    </w:p>
    <w:p w:rsidR="004C1CD2" w:rsidRPr="003C63B1" w:rsidRDefault="00710770" w:rsidP="004C1CD2">
      <w:pPr>
        <w:tabs>
          <w:tab w:val="left" w:pos="-720"/>
        </w:tabs>
        <w:suppressAutoHyphens/>
        <w:rPr>
          <w:sz w:val="26"/>
        </w:rPr>
      </w:pPr>
      <w:r>
        <w:rPr>
          <w:sz w:val="26"/>
        </w:rPr>
        <w:t>OR</w:t>
      </w:r>
      <w:r w:rsidR="004B5962">
        <w:rPr>
          <w:sz w:val="26"/>
        </w:rPr>
        <w:t>DER ADOPTED:  April 15</w:t>
      </w:r>
      <w:r w:rsidR="002B5FFC">
        <w:rPr>
          <w:sz w:val="26"/>
        </w:rPr>
        <w:t>, 2010</w:t>
      </w:r>
    </w:p>
    <w:p w:rsidR="004C1CD2" w:rsidRPr="003C63B1" w:rsidRDefault="004C1CD2" w:rsidP="004C1CD2">
      <w:pPr>
        <w:tabs>
          <w:tab w:val="left" w:pos="-720"/>
        </w:tabs>
        <w:suppressAutoHyphens/>
        <w:rPr>
          <w:sz w:val="26"/>
        </w:rPr>
      </w:pPr>
    </w:p>
    <w:p w:rsidR="004C1CD2" w:rsidRPr="001A2D70" w:rsidRDefault="004C1CD2" w:rsidP="004C1CD2">
      <w:pPr>
        <w:tabs>
          <w:tab w:val="left" w:pos="-720"/>
        </w:tabs>
        <w:suppressAutoHyphens/>
        <w:rPr>
          <w:b/>
          <w:sz w:val="26"/>
        </w:rPr>
      </w:pPr>
      <w:r w:rsidRPr="003C63B1">
        <w:rPr>
          <w:sz w:val="26"/>
        </w:rPr>
        <w:t xml:space="preserve">ORDER ENTERED: </w:t>
      </w:r>
      <w:r w:rsidR="00710770">
        <w:rPr>
          <w:sz w:val="26"/>
        </w:rPr>
        <w:t xml:space="preserve">  </w:t>
      </w:r>
      <w:r w:rsidR="001A2D70" w:rsidRPr="001A2D70">
        <w:rPr>
          <w:b/>
          <w:sz w:val="26"/>
        </w:rPr>
        <w:t>June 9, 2010</w:t>
      </w:r>
    </w:p>
    <w:p w:rsidR="009A077C" w:rsidRPr="00DB1424" w:rsidRDefault="009A077C" w:rsidP="009A077C">
      <w:pPr>
        <w:spacing w:line="360" w:lineRule="auto"/>
        <w:rPr>
          <w:sz w:val="26"/>
          <w:szCs w:val="26"/>
        </w:rPr>
      </w:pPr>
    </w:p>
    <w:sectPr w:rsidR="009A077C" w:rsidRPr="00DB1424" w:rsidSect="00805EB4">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758" w:rsidRDefault="00E86758" w:rsidP="008F250B">
      <w:r>
        <w:separator/>
      </w:r>
    </w:p>
  </w:endnote>
  <w:endnote w:type="continuationSeparator" w:id="0">
    <w:p w:rsidR="00E86758" w:rsidRDefault="00E86758" w:rsidP="008F250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20F0502020204030204"/>
    <w:charset w:val="00"/>
    <w:family w:val="swiss"/>
    <w:pitch w:val="variable"/>
    <w:sig w:usb0="A00002EF" w:usb1="4000207B" w:usb2="00000000" w:usb3="00000000" w:csb0="0000009F" w:csb1="00000000"/>
  </w:font>
  <w:font w:name="Tahoma">
    <w:altName w:val="?l?r ??????????????????????????"/>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imes New (W1)">
    <w:altName w:val="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89266"/>
      <w:docPartObj>
        <w:docPartGallery w:val="Page Numbers (Bottom of Page)"/>
        <w:docPartUnique/>
      </w:docPartObj>
    </w:sdtPr>
    <w:sdtContent>
      <w:p w:rsidR="001A2D70" w:rsidRDefault="001A2D70">
        <w:pPr>
          <w:pStyle w:val="Footer"/>
          <w:jc w:val="center"/>
        </w:pPr>
        <w:fldSimple w:instr=" PAGE   \* MERGEFORMAT ">
          <w:r w:rsidR="000E2DEE">
            <w:rPr>
              <w:noProof/>
            </w:rPr>
            <w:t>57</w:t>
          </w:r>
        </w:fldSimple>
      </w:p>
    </w:sdtContent>
  </w:sdt>
  <w:p w:rsidR="001A2D70" w:rsidRDefault="001A2D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82657"/>
      <w:docPartObj>
        <w:docPartGallery w:val="Page Numbers (Bottom of Page)"/>
        <w:docPartUnique/>
      </w:docPartObj>
    </w:sdtPr>
    <w:sdtContent>
      <w:p w:rsidR="001A2D70" w:rsidRDefault="001A2D70">
        <w:pPr>
          <w:pStyle w:val="Footer"/>
          <w:jc w:val="center"/>
        </w:pPr>
        <w:fldSimple w:instr=" PAGE   \* MERGEFORMAT ">
          <w:r>
            <w:rPr>
              <w:noProof/>
            </w:rPr>
            <w:t>1</w:t>
          </w:r>
        </w:fldSimple>
      </w:p>
    </w:sdtContent>
  </w:sdt>
  <w:p w:rsidR="001A2D70" w:rsidRDefault="001A2D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758" w:rsidRDefault="00E86758" w:rsidP="008F250B">
      <w:r>
        <w:separator/>
      </w:r>
    </w:p>
  </w:footnote>
  <w:footnote w:type="continuationSeparator" w:id="0">
    <w:p w:rsidR="00E86758" w:rsidRDefault="00E86758" w:rsidP="008F250B">
      <w:r>
        <w:continuationSeparator/>
      </w:r>
    </w:p>
  </w:footnote>
  <w:footnote w:id="1">
    <w:p w:rsidR="001A2D70" w:rsidRPr="00C97AD4" w:rsidRDefault="001A2D70" w:rsidP="00C97AD4">
      <w:pPr>
        <w:pStyle w:val="FootnoteText"/>
        <w:ind w:firstLine="720"/>
        <w:rPr>
          <w:sz w:val="26"/>
          <w:szCs w:val="26"/>
        </w:rPr>
      </w:pPr>
      <w:r w:rsidRPr="00C97AD4">
        <w:rPr>
          <w:rStyle w:val="FootnoteReference"/>
          <w:sz w:val="26"/>
          <w:szCs w:val="26"/>
        </w:rPr>
        <w:footnoteRef/>
      </w:r>
      <w:r w:rsidRPr="00C97AD4">
        <w:rPr>
          <w:sz w:val="26"/>
          <w:szCs w:val="26"/>
        </w:rPr>
        <w:t xml:space="preserve"> </w:t>
      </w:r>
      <w:r w:rsidRPr="00C97AD4">
        <w:rPr>
          <w:sz w:val="26"/>
          <w:szCs w:val="26"/>
        </w:rPr>
        <w:tab/>
        <w:t>This includes a hypothetical capital structure if one is used in place of an actual capital structure in the disposition of the rate case.</w:t>
      </w:r>
    </w:p>
  </w:footnote>
  <w:footnote w:id="2">
    <w:p w:rsidR="001A2D70" w:rsidRPr="001F0D21" w:rsidRDefault="001A2D70">
      <w:pPr>
        <w:pStyle w:val="FootnoteText"/>
        <w:rPr>
          <w:sz w:val="26"/>
          <w:szCs w:val="26"/>
        </w:rPr>
      </w:pPr>
      <w:r w:rsidRPr="001F0D21">
        <w:rPr>
          <w:sz w:val="26"/>
          <w:szCs w:val="26"/>
        </w:rPr>
        <w:tab/>
      </w:r>
      <w:r w:rsidRPr="001F0D21">
        <w:rPr>
          <w:rStyle w:val="FootnoteReference"/>
          <w:sz w:val="26"/>
          <w:szCs w:val="26"/>
        </w:rPr>
        <w:footnoteRef/>
      </w:r>
      <w:r w:rsidRPr="001F0D21">
        <w:rPr>
          <w:sz w:val="26"/>
          <w:szCs w:val="26"/>
        </w:rPr>
        <w:t xml:space="preserve"> </w:t>
      </w:r>
      <w:r w:rsidRPr="001F0D21">
        <w:rPr>
          <w:sz w:val="26"/>
          <w:szCs w:val="26"/>
        </w:rPr>
        <w:tab/>
        <w:t>We not</w:t>
      </w:r>
      <w:r>
        <w:rPr>
          <w:sz w:val="26"/>
          <w:szCs w:val="26"/>
        </w:rPr>
        <w:t>e that prior</w:t>
      </w:r>
      <w:r w:rsidRPr="001F0D21">
        <w:rPr>
          <w:sz w:val="26"/>
          <w:szCs w:val="26"/>
        </w:rPr>
        <w:t xml:space="preserve"> Quarterly Earnings Reports did </w:t>
      </w:r>
      <w:r>
        <w:rPr>
          <w:sz w:val="26"/>
          <w:szCs w:val="26"/>
        </w:rPr>
        <w:t>not include certain data discussed in this Opinion and Order, including the actual capital structure of the Companies.  Consistent with this Opinion and Order, this information will be included in the Quarterly Earnings Report b</w:t>
      </w:r>
      <w:r w:rsidRPr="001F0D21">
        <w:rPr>
          <w:sz w:val="26"/>
          <w:szCs w:val="26"/>
        </w:rPr>
        <w:t xml:space="preserve">eginning with the report for the period ending </w:t>
      </w:r>
      <w:r>
        <w:rPr>
          <w:sz w:val="26"/>
          <w:szCs w:val="26"/>
        </w:rPr>
        <w:t>December 31, 2009.</w:t>
      </w:r>
      <w:r w:rsidRPr="001F0D21">
        <w:rPr>
          <w:sz w:val="26"/>
          <w:szCs w:val="26"/>
        </w:rPr>
        <w:t xml:space="preserve">  </w:t>
      </w:r>
    </w:p>
  </w:footnote>
  <w:footnote w:id="3">
    <w:p w:rsidR="001A2D70" w:rsidRPr="00F314D1" w:rsidRDefault="001A2D70" w:rsidP="00AD32A2">
      <w:pPr>
        <w:pStyle w:val="FootnoteText"/>
        <w:rPr>
          <w:sz w:val="26"/>
          <w:szCs w:val="26"/>
        </w:rPr>
      </w:pPr>
      <w:r w:rsidRPr="00F314D1">
        <w:rPr>
          <w:sz w:val="26"/>
          <w:szCs w:val="26"/>
        </w:rPr>
        <w:tab/>
      </w:r>
      <w:r w:rsidRPr="00F314D1">
        <w:rPr>
          <w:rStyle w:val="FootnoteReference"/>
          <w:sz w:val="26"/>
          <w:szCs w:val="26"/>
        </w:rPr>
        <w:footnoteRef/>
      </w:r>
      <w:r w:rsidRPr="00F314D1">
        <w:rPr>
          <w:sz w:val="26"/>
          <w:szCs w:val="26"/>
        </w:rPr>
        <w:t xml:space="preserve"> </w:t>
      </w:r>
      <w:r w:rsidRPr="00F314D1">
        <w:rPr>
          <w:sz w:val="26"/>
          <w:szCs w:val="26"/>
        </w:rPr>
        <w:tab/>
        <w:t>The zone of reasonableness is defined by the capital structures of the electric barometer group in</w:t>
      </w:r>
      <w:r>
        <w:rPr>
          <w:sz w:val="26"/>
          <w:szCs w:val="26"/>
        </w:rPr>
        <w:t>cluded in</w:t>
      </w:r>
      <w:r w:rsidRPr="00F314D1">
        <w:rPr>
          <w:sz w:val="26"/>
          <w:szCs w:val="26"/>
        </w:rPr>
        <w:t xml:space="preserve"> the </w:t>
      </w:r>
      <w:r>
        <w:rPr>
          <w:sz w:val="26"/>
          <w:szCs w:val="26"/>
        </w:rPr>
        <w:t xml:space="preserve">then most recent </w:t>
      </w:r>
      <w:r w:rsidRPr="00F314D1">
        <w:rPr>
          <w:sz w:val="26"/>
          <w:szCs w:val="26"/>
        </w:rPr>
        <w:t>Quar</w:t>
      </w:r>
      <w:r>
        <w:rPr>
          <w:sz w:val="26"/>
          <w:szCs w:val="26"/>
        </w:rPr>
        <w:t>terly Earnings Report.</w:t>
      </w:r>
    </w:p>
  </w:footnote>
  <w:footnote w:id="4">
    <w:p w:rsidR="001A2D70" w:rsidRPr="004866F7" w:rsidRDefault="001A2D70" w:rsidP="004866F7">
      <w:pPr>
        <w:ind w:firstLine="720"/>
        <w:rPr>
          <w:sz w:val="26"/>
          <w:szCs w:val="26"/>
        </w:rPr>
      </w:pPr>
      <w:r w:rsidRPr="004866F7">
        <w:rPr>
          <w:rStyle w:val="FootnoteReference"/>
          <w:sz w:val="26"/>
          <w:szCs w:val="26"/>
        </w:rPr>
        <w:footnoteRef/>
      </w:r>
      <w:r w:rsidRPr="004866F7">
        <w:rPr>
          <w:sz w:val="26"/>
          <w:szCs w:val="26"/>
        </w:rPr>
        <w:t xml:space="preserve"> </w:t>
      </w:r>
      <w:r w:rsidRPr="004866F7">
        <w:rPr>
          <w:sz w:val="26"/>
          <w:szCs w:val="26"/>
        </w:rPr>
        <w:tab/>
        <w:t xml:space="preserve">Since all of the Companies have a litigated ROE that is more than three years old, the Quarterly ROEs shall be used for all three Companies until the next base rate case is concluded. </w:t>
      </w:r>
    </w:p>
    <w:p w:rsidR="001A2D70" w:rsidRDefault="001A2D7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D70" w:rsidRDefault="001A2D70">
    <w:pPr>
      <w:pStyle w:val="Header"/>
      <w:jc w:val="center"/>
    </w:pPr>
  </w:p>
  <w:p w:rsidR="001A2D70" w:rsidRDefault="001A2D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4BC1"/>
    <w:multiLevelType w:val="hybridMultilevel"/>
    <w:tmpl w:val="61F6A3A2"/>
    <w:lvl w:ilvl="0" w:tplc="08C02DE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4462019"/>
    <w:multiLevelType w:val="hybridMultilevel"/>
    <w:tmpl w:val="4CE4498A"/>
    <w:lvl w:ilvl="0" w:tplc="FD04456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4F846DE"/>
    <w:multiLevelType w:val="hybridMultilevel"/>
    <w:tmpl w:val="9FE0E1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7B969BE"/>
    <w:multiLevelType w:val="hybridMultilevel"/>
    <w:tmpl w:val="DCAEA9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BDC3A5C"/>
    <w:multiLevelType w:val="hybridMultilevel"/>
    <w:tmpl w:val="4E4AD8B2"/>
    <w:lvl w:ilvl="0" w:tplc="E2DEE8D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70136D3"/>
    <w:multiLevelType w:val="hybridMultilevel"/>
    <w:tmpl w:val="581EFDA0"/>
    <w:lvl w:ilvl="0" w:tplc="28580E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EF5211"/>
    <w:multiLevelType w:val="multilevel"/>
    <w:tmpl w:val="955423B0"/>
    <w:name w:val="zzmpStandard||Standard|2|3|1|1|4|0||1|4|1||1|4|1||1|4|1||1|4|0||1|4|0||1|4|0||1|4|0||1|4|0||"/>
    <w:lvl w:ilvl="0">
      <w:start w:val="1"/>
      <w:numFmt w:val="decimal"/>
      <w:pStyle w:val="StandardL1"/>
      <w:lvlText w:val="%1."/>
      <w:lvlJc w:val="left"/>
      <w:pPr>
        <w:tabs>
          <w:tab w:val="num" w:pos="720"/>
        </w:tabs>
        <w:ind w:left="-720" w:firstLine="720"/>
      </w:pPr>
      <w:rPr>
        <w:rFonts w:ascii="Times New Roman" w:hAnsi="Times New Roman" w:cs="Times New Roman"/>
        <w:b w:val="0"/>
        <w:i w:val="0"/>
        <w:caps w:val="0"/>
        <w:sz w:val="24"/>
        <w:u w:val="none"/>
      </w:rPr>
    </w:lvl>
    <w:lvl w:ilvl="1">
      <w:start w:val="1"/>
      <w:numFmt w:val="lowerLetter"/>
      <w:pStyle w:val="StandardL2"/>
      <w:lvlText w:val="(%2)"/>
      <w:lvlJc w:val="left"/>
      <w:pPr>
        <w:tabs>
          <w:tab w:val="num" w:pos="720"/>
        </w:tabs>
        <w:ind w:left="-720" w:firstLine="720"/>
      </w:pPr>
      <w:rPr>
        <w:rFonts w:ascii="Times New Roman" w:hAnsi="Times New Roman" w:cs="Times New Roman"/>
        <w:b w:val="0"/>
        <w:i w:val="0"/>
        <w:caps w:val="0"/>
        <w:sz w:val="24"/>
        <w:u w:val="none"/>
      </w:rPr>
    </w:lvl>
    <w:lvl w:ilvl="2">
      <w:start w:val="1"/>
      <w:numFmt w:val="lowerRoman"/>
      <w:pStyle w:val="StandardL3"/>
      <w:lvlText w:val="(%3)"/>
      <w:lvlJc w:val="left"/>
      <w:pPr>
        <w:tabs>
          <w:tab w:val="num" w:pos="1440"/>
        </w:tabs>
        <w:ind w:left="-720" w:firstLine="1440"/>
      </w:pPr>
      <w:rPr>
        <w:rFonts w:ascii="Times New Roman" w:hAnsi="Times New Roman" w:cs="Times New Roman"/>
        <w:b w:val="0"/>
        <w:i w:val="0"/>
        <w:caps w:val="0"/>
        <w:sz w:val="24"/>
        <w:u w:val="none"/>
      </w:rPr>
    </w:lvl>
    <w:lvl w:ilvl="3">
      <w:start w:val="1"/>
      <w:numFmt w:val="decimal"/>
      <w:pStyle w:val="StandardL4"/>
      <w:lvlText w:val="(%4)"/>
      <w:lvlJc w:val="left"/>
      <w:pPr>
        <w:tabs>
          <w:tab w:val="num" w:pos="2160"/>
        </w:tabs>
        <w:ind w:left="-720" w:firstLine="2160"/>
      </w:pPr>
      <w:rPr>
        <w:rFonts w:ascii="Times New Roman" w:hAnsi="Times New Roman" w:cs="Times New Roman"/>
        <w:b w:val="0"/>
        <w:i w:val="0"/>
        <w:caps w:val="0"/>
        <w:sz w:val="24"/>
        <w:u w:val="none"/>
      </w:rPr>
    </w:lvl>
    <w:lvl w:ilvl="4">
      <w:start w:val="1"/>
      <w:numFmt w:val="lowerLetter"/>
      <w:pStyle w:val="StandardL5"/>
      <w:lvlText w:val="%5."/>
      <w:lvlJc w:val="left"/>
      <w:pPr>
        <w:tabs>
          <w:tab w:val="num" w:pos="2880"/>
        </w:tabs>
        <w:ind w:left="-720" w:firstLine="2880"/>
      </w:pPr>
      <w:rPr>
        <w:rFonts w:ascii="Times New Roman" w:hAnsi="Times New Roman" w:cs="Times New Roman"/>
        <w:b w:val="0"/>
        <w:i w:val="0"/>
        <w:caps w:val="0"/>
        <w:sz w:val="24"/>
        <w:u w:val="none"/>
      </w:rPr>
    </w:lvl>
    <w:lvl w:ilvl="5">
      <w:start w:val="1"/>
      <w:numFmt w:val="lowerRoman"/>
      <w:pStyle w:val="StandardL6"/>
      <w:lvlText w:val="%6."/>
      <w:lvlJc w:val="left"/>
      <w:pPr>
        <w:tabs>
          <w:tab w:val="num" w:pos="3600"/>
        </w:tabs>
        <w:ind w:left="-720" w:firstLine="3600"/>
      </w:pPr>
      <w:rPr>
        <w:rFonts w:ascii="Times New Roman" w:hAnsi="Times New Roman" w:cs="Times New Roman"/>
        <w:b w:val="0"/>
        <w:i w:val="0"/>
        <w:caps w:val="0"/>
        <w:sz w:val="24"/>
        <w:u w:val="none"/>
      </w:rPr>
    </w:lvl>
    <w:lvl w:ilvl="6">
      <w:start w:val="1"/>
      <w:numFmt w:val="decimal"/>
      <w:pStyle w:val="StandardL7"/>
      <w:lvlText w:val="%7)"/>
      <w:lvlJc w:val="left"/>
      <w:pPr>
        <w:tabs>
          <w:tab w:val="num" w:pos="4320"/>
        </w:tabs>
        <w:ind w:left="-720" w:firstLine="4320"/>
      </w:pPr>
      <w:rPr>
        <w:rFonts w:ascii="Times New Roman" w:hAnsi="Times New Roman" w:cs="Times New Roman"/>
        <w:b w:val="0"/>
        <w:i w:val="0"/>
        <w:caps w:val="0"/>
        <w:sz w:val="24"/>
        <w:u w:val="none"/>
      </w:rPr>
    </w:lvl>
    <w:lvl w:ilvl="7">
      <w:start w:val="1"/>
      <w:numFmt w:val="lowerLetter"/>
      <w:pStyle w:val="StandardL8"/>
      <w:lvlText w:val="%8)"/>
      <w:lvlJc w:val="left"/>
      <w:pPr>
        <w:tabs>
          <w:tab w:val="num" w:pos="5040"/>
        </w:tabs>
        <w:ind w:left="-720" w:firstLine="5040"/>
      </w:pPr>
      <w:rPr>
        <w:rFonts w:ascii="Times New Roman" w:hAnsi="Times New Roman" w:cs="Times New Roman"/>
        <w:b w:val="0"/>
        <w:i w:val="0"/>
        <w:caps w:val="0"/>
        <w:sz w:val="24"/>
        <w:u w:val="none"/>
      </w:rPr>
    </w:lvl>
    <w:lvl w:ilvl="8">
      <w:start w:val="1"/>
      <w:numFmt w:val="lowerRoman"/>
      <w:pStyle w:val="StandardL9"/>
      <w:lvlText w:val="%9)"/>
      <w:lvlJc w:val="left"/>
      <w:pPr>
        <w:tabs>
          <w:tab w:val="num" w:pos="5760"/>
        </w:tabs>
        <w:ind w:left="-720" w:firstLine="5760"/>
      </w:pPr>
      <w:rPr>
        <w:rFonts w:ascii="Times New Roman" w:hAnsi="Times New Roman" w:cs="Times New Roman"/>
        <w:b w:val="0"/>
        <w:i w:val="0"/>
        <w:caps w:val="0"/>
        <w:sz w:val="24"/>
        <w:u w:val="none"/>
      </w:rPr>
    </w:lvl>
  </w:abstractNum>
  <w:abstractNum w:abstractNumId="7">
    <w:nsid w:val="242E2647"/>
    <w:multiLevelType w:val="hybridMultilevel"/>
    <w:tmpl w:val="76D446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263C7C65"/>
    <w:multiLevelType w:val="hybridMultilevel"/>
    <w:tmpl w:val="61F6A3A2"/>
    <w:lvl w:ilvl="0" w:tplc="08C02DE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642798D"/>
    <w:multiLevelType w:val="hybridMultilevel"/>
    <w:tmpl w:val="D264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536341"/>
    <w:multiLevelType w:val="multilevel"/>
    <w:tmpl w:val="A6DE31F6"/>
    <w:name w:val="zzmpBrief||Brief|3|1|1|1|2|41||1|0|33||1|0|32||1|0|33||1|0|32||1|0|32||1|0|32||1|0|32||1|0|32||"/>
    <w:lvl w:ilvl="0">
      <w:start w:val="1"/>
      <w:numFmt w:val="upperRoman"/>
      <w:pStyle w:val="BriefL1"/>
      <w:lvlText w:val="%1."/>
      <w:lvlJc w:val="left"/>
      <w:pPr>
        <w:tabs>
          <w:tab w:val="num" w:pos="720"/>
        </w:tabs>
        <w:ind w:left="0" w:firstLine="0"/>
      </w:pPr>
      <w:rPr>
        <w:b/>
        <w:i w:val="0"/>
        <w:caps/>
        <w:smallCaps w:val="0"/>
        <w:u w:val="none"/>
      </w:rPr>
    </w:lvl>
    <w:lvl w:ilvl="1">
      <w:start w:val="1"/>
      <w:numFmt w:val="upperLetter"/>
      <w:pStyle w:val="BriefL2"/>
      <w:lvlText w:val="%2."/>
      <w:lvlJc w:val="left"/>
      <w:pPr>
        <w:tabs>
          <w:tab w:val="num" w:pos="1440"/>
        </w:tabs>
        <w:ind w:left="1440" w:hanging="720"/>
      </w:pPr>
      <w:rPr>
        <w:b/>
        <w:i w:val="0"/>
        <w:caps w:val="0"/>
        <w:u w:val="none"/>
      </w:rPr>
    </w:lvl>
    <w:lvl w:ilvl="2">
      <w:start w:val="1"/>
      <w:numFmt w:val="decimal"/>
      <w:pStyle w:val="BriefL3"/>
      <w:lvlText w:val="%3."/>
      <w:lvlJc w:val="left"/>
      <w:pPr>
        <w:tabs>
          <w:tab w:val="num" w:pos="2160"/>
        </w:tabs>
        <w:ind w:left="2160" w:hanging="720"/>
      </w:pPr>
      <w:rPr>
        <w:b/>
        <w:i w:val="0"/>
        <w:caps w:val="0"/>
        <w:u w:val="none"/>
      </w:rPr>
    </w:lvl>
    <w:lvl w:ilvl="3">
      <w:start w:val="1"/>
      <w:numFmt w:val="lowerLetter"/>
      <w:pStyle w:val="BriefL4"/>
      <w:lvlText w:val="%4."/>
      <w:lvlJc w:val="left"/>
      <w:pPr>
        <w:tabs>
          <w:tab w:val="num" w:pos="2880"/>
        </w:tabs>
        <w:ind w:left="2880" w:hanging="720"/>
      </w:pPr>
      <w:rPr>
        <w:b/>
        <w:i w:val="0"/>
        <w:caps w:val="0"/>
        <w:u w:val="none"/>
      </w:rPr>
    </w:lvl>
    <w:lvl w:ilvl="4">
      <w:start w:val="1"/>
      <w:numFmt w:val="decimal"/>
      <w:pStyle w:val="BriefL5"/>
      <w:lvlText w:val="(%5)"/>
      <w:lvlJc w:val="left"/>
      <w:pPr>
        <w:tabs>
          <w:tab w:val="num" w:pos="3600"/>
        </w:tabs>
        <w:ind w:left="3600" w:hanging="720"/>
      </w:pPr>
      <w:rPr>
        <w:b w:val="0"/>
        <w:i w:val="0"/>
        <w:caps w:val="0"/>
        <w:u w:val="none"/>
      </w:rPr>
    </w:lvl>
    <w:lvl w:ilvl="5">
      <w:start w:val="1"/>
      <w:numFmt w:val="lowerLetter"/>
      <w:pStyle w:val="BriefL6"/>
      <w:lvlText w:val="(%6)"/>
      <w:lvlJc w:val="left"/>
      <w:pPr>
        <w:tabs>
          <w:tab w:val="num" w:pos="4320"/>
        </w:tabs>
        <w:ind w:left="4320" w:hanging="720"/>
      </w:pPr>
      <w:rPr>
        <w:b w:val="0"/>
        <w:i w:val="0"/>
        <w:caps w:val="0"/>
        <w:u w:val="none"/>
      </w:rPr>
    </w:lvl>
    <w:lvl w:ilvl="6">
      <w:start w:val="1"/>
      <w:numFmt w:val="lowerRoman"/>
      <w:pStyle w:val="BriefL7"/>
      <w:lvlText w:val="(%7)"/>
      <w:lvlJc w:val="left"/>
      <w:pPr>
        <w:tabs>
          <w:tab w:val="num" w:pos="5040"/>
        </w:tabs>
        <w:ind w:left="5040" w:hanging="720"/>
      </w:pPr>
      <w:rPr>
        <w:b w:val="0"/>
        <w:i w:val="0"/>
        <w:caps w:val="0"/>
        <w:u w:val="none"/>
      </w:rPr>
    </w:lvl>
    <w:lvl w:ilvl="7">
      <w:start w:val="1"/>
      <w:numFmt w:val="lowerLetter"/>
      <w:pStyle w:val="BriefL8"/>
      <w:lvlText w:val="%8)"/>
      <w:lvlJc w:val="left"/>
      <w:pPr>
        <w:tabs>
          <w:tab w:val="num" w:pos="5760"/>
        </w:tabs>
        <w:ind w:left="5760" w:hanging="720"/>
      </w:pPr>
      <w:rPr>
        <w:b w:val="0"/>
        <w:i w:val="0"/>
        <w:caps w:val="0"/>
        <w:u w:val="none"/>
      </w:rPr>
    </w:lvl>
    <w:lvl w:ilvl="8">
      <w:start w:val="1"/>
      <w:numFmt w:val="lowerRoman"/>
      <w:pStyle w:val="BriefL9"/>
      <w:lvlText w:val="%9)"/>
      <w:lvlJc w:val="left"/>
      <w:pPr>
        <w:tabs>
          <w:tab w:val="num" w:pos="6480"/>
        </w:tabs>
        <w:ind w:left="6480" w:hanging="720"/>
      </w:pPr>
      <w:rPr>
        <w:b w:val="0"/>
        <w:i w:val="0"/>
        <w:caps w:val="0"/>
        <w:u w:val="none"/>
      </w:rPr>
    </w:lvl>
  </w:abstractNum>
  <w:abstractNum w:abstractNumId="11">
    <w:nsid w:val="2E540004"/>
    <w:multiLevelType w:val="hybridMultilevel"/>
    <w:tmpl w:val="4CB08930"/>
    <w:lvl w:ilvl="0" w:tplc="C2E461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51658DA"/>
    <w:multiLevelType w:val="hybridMultilevel"/>
    <w:tmpl w:val="CB9A90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F94DB5"/>
    <w:multiLevelType w:val="hybridMultilevel"/>
    <w:tmpl w:val="62140D30"/>
    <w:lvl w:ilvl="0" w:tplc="6512B954">
      <w:start w:val="1"/>
      <w:numFmt w:val="upperLetter"/>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nsid w:val="380C5EF2"/>
    <w:multiLevelType w:val="hybridMultilevel"/>
    <w:tmpl w:val="62140D30"/>
    <w:lvl w:ilvl="0" w:tplc="6512B954">
      <w:start w:val="1"/>
      <w:numFmt w:val="upperLetter"/>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nsid w:val="3B8A6E55"/>
    <w:multiLevelType w:val="hybridMultilevel"/>
    <w:tmpl w:val="237CC600"/>
    <w:lvl w:ilvl="0" w:tplc="58EA92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B4213"/>
    <w:multiLevelType w:val="hybridMultilevel"/>
    <w:tmpl w:val="560A2EFA"/>
    <w:lvl w:ilvl="0" w:tplc="BDA889A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57DA1F16"/>
    <w:multiLevelType w:val="hybridMultilevel"/>
    <w:tmpl w:val="AEAEE65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
    <w:nsid w:val="5AC86A0B"/>
    <w:multiLevelType w:val="hybridMultilevel"/>
    <w:tmpl w:val="15C8F870"/>
    <w:lvl w:ilvl="0" w:tplc="6F4AE60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6C7E6092"/>
    <w:multiLevelType w:val="hybridMultilevel"/>
    <w:tmpl w:val="D8D4EBF6"/>
    <w:lvl w:ilvl="0" w:tplc="B060004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6E975B4C"/>
    <w:multiLevelType w:val="hybridMultilevel"/>
    <w:tmpl w:val="8BF22D6E"/>
    <w:lvl w:ilvl="0" w:tplc="0409000F">
      <w:start w:val="1"/>
      <w:numFmt w:val="decimal"/>
      <w:lvlText w:val="%1."/>
      <w:lvlJc w:val="left"/>
      <w:pPr>
        <w:ind w:left="180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127237A"/>
    <w:multiLevelType w:val="hybridMultilevel"/>
    <w:tmpl w:val="D0DC3730"/>
    <w:lvl w:ilvl="0" w:tplc="8A6EFF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CF0D57"/>
    <w:multiLevelType w:val="hybridMultilevel"/>
    <w:tmpl w:val="C91268B4"/>
    <w:lvl w:ilvl="0" w:tplc="4A6442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766E3603"/>
    <w:multiLevelType w:val="hybridMultilevel"/>
    <w:tmpl w:val="AE0A24E0"/>
    <w:lvl w:ilvl="0" w:tplc="5C3854E8">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7C9B26E7"/>
    <w:multiLevelType w:val="hybridMultilevel"/>
    <w:tmpl w:val="61F6A3A2"/>
    <w:lvl w:ilvl="0" w:tplc="08C02DE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1"/>
  </w:num>
  <w:num w:numId="2">
    <w:abstractNumId w:val="15"/>
  </w:num>
  <w:num w:numId="3">
    <w:abstractNumId w:val="4"/>
  </w:num>
  <w:num w:numId="4">
    <w:abstractNumId w:val="16"/>
  </w:num>
  <w:num w:numId="5">
    <w:abstractNumId w:val="14"/>
  </w:num>
  <w:num w:numId="6">
    <w:abstractNumId w:val="13"/>
  </w:num>
  <w:num w:numId="7">
    <w:abstractNumId w:val="10"/>
  </w:num>
  <w:num w:numId="8">
    <w:abstractNumId w:val="7"/>
  </w:num>
  <w:num w:numId="9">
    <w:abstractNumId w:val="12"/>
  </w:num>
  <w:num w:numId="10">
    <w:abstractNumId w:val="3"/>
  </w:num>
  <w:num w:numId="11">
    <w:abstractNumId w:val="9"/>
  </w:num>
  <w:num w:numId="12">
    <w:abstractNumId w:val="19"/>
  </w:num>
  <w:num w:numId="13">
    <w:abstractNumId w:val="1"/>
  </w:num>
  <w:num w:numId="14">
    <w:abstractNumId w:val="11"/>
  </w:num>
  <w:num w:numId="15">
    <w:abstractNumId w:val="5"/>
  </w:num>
  <w:num w:numId="16">
    <w:abstractNumId w:val="0"/>
  </w:num>
  <w:num w:numId="17">
    <w:abstractNumId w:val="22"/>
  </w:num>
  <w:num w:numId="18">
    <w:abstractNumId w:val="23"/>
  </w:num>
  <w:num w:numId="19">
    <w:abstractNumId w:val="18"/>
  </w:num>
  <w:num w:numId="20">
    <w:abstractNumId w:val="24"/>
  </w:num>
  <w:num w:numId="21">
    <w:abstractNumId w:val="8"/>
  </w:num>
  <w:num w:numId="22">
    <w:abstractNumId w:val="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7"/>
  </w:num>
  <w:num w:numId="2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01730"/>
  </w:hdrShapeDefaults>
  <w:footnotePr>
    <w:footnote w:id="-1"/>
    <w:footnote w:id="0"/>
  </w:footnotePr>
  <w:endnotePr>
    <w:endnote w:id="-1"/>
    <w:endnote w:id="0"/>
  </w:endnotePr>
  <w:compat/>
  <w:rsids>
    <w:rsidRoot w:val="00F461A6"/>
    <w:rsid w:val="000004A8"/>
    <w:rsid w:val="00000D10"/>
    <w:rsid w:val="000017DE"/>
    <w:rsid w:val="00003887"/>
    <w:rsid w:val="00004E31"/>
    <w:rsid w:val="000050A5"/>
    <w:rsid w:val="0000701D"/>
    <w:rsid w:val="00007355"/>
    <w:rsid w:val="00010B60"/>
    <w:rsid w:val="00010C5A"/>
    <w:rsid w:val="00010DC0"/>
    <w:rsid w:val="00010E15"/>
    <w:rsid w:val="00010EC3"/>
    <w:rsid w:val="00011080"/>
    <w:rsid w:val="00011146"/>
    <w:rsid w:val="00012624"/>
    <w:rsid w:val="0001265B"/>
    <w:rsid w:val="00013409"/>
    <w:rsid w:val="00013762"/>
    <w:rsid w:val="00013A71"/>
    <w:rsid w:val="00014AC1"/>
    <w:rsid w:val="00014AC5"/>
    <w:rsid w:val="00014C80"/>
    <w:rsid w:val="00015A11"/>
    <w:rsid w:val="00016010"/>
    <w:rsid w:val="00016B13"/>
    <w:rsid w:val="000173A1"/>
    <w:rsid w:val="00017503"/>
    <w:rsid w:val="000177C2"/>
    <w:rsid w:val="000177E9"/>
    <w:rsid w:val="00017811"/>
    <w:rsid w:val="00017852"/>
    <w:rsid w:val="00017FE8"/>
    <w:rsid w:val="00020830"/>
    <w:rsid w:val="00020D1E"/>
    <w:rsid w:val="00020EE2"/>
    <w:rsid w:val="000212DB"/>
    <w:rsid w:val="00021493"/>
    <w:rsid w:val="0002216B"/>
    <w:rsid w:val="00022398"/>
    <w:rsid w:val="000227CD"/>
    <w:rsid w:val="00022AE1"/>
    <w:rsid w:val="00022B74"/>
    <w:rsid w:val="00022C4F"/>
    <w:rsid w:val="00023ACB"/>
    <w:rsid w:val="00023B41"/>
    <w:rsid w:val="00023BD3"/>
    <w:rsid w:val="00023DA7"/>
    <w:rsid w:val="00024038"/>
    <w:rsid w:val="000249DC"/>
    <w:rsid w:val="00024E3E"/>
    <w:rsid w:val="0002512C"/>
    <w:rsid w:val="00025AC4"/>
    <w:rsid w:val="00025AE3"/>
    <w:rsid w:val="00026207"/>
    <w:rsid w:val="000262F4"/>
    <w:rsid w:val="00026612"/>
    <w:rsid w:val="000269EE"/>
    <w:rsid w:val="00026C07"/>
    <w:rsid w:val="00030DCE"/>
    <w:rsid w:val="00031345"/>
    <w:rsid w:val="0003176C"/>
    <w:rsid w:val="000329C2"/>
    <w:rsid w:val="00033054"/>
    <w:rsid w:val="0003351A"/>
    <w:rsid w:val="00033853"/>
    <w:rsid w:val="00034FFB"/>
    <w:rsid w:val="0003530B"/>
    <w:rsid w:val="00035848"/>
    <w:rsid w:val="00036BE5"/>
    <w:rsid w:val="0003731E"/>
    <w:rsid w:val="000374AC"/>
    <w:rsid w:val="00037F84"/>
    <w:rsid w:val="000403DD"/>
    <w:rsid w:val="000413C2"/>
    <w:rsid w:val="000414C0"/>
    <w:rsid w:val="000421FE"/>
    <w:rsid w:val="00042754"/>
    <w:rsid w:val="0004330A"/>
    <w:rsid w:val="00043FE9"/>
    <w:rsid w:val="00046B4F"/>
    <w:rsid w:val="00047236"/>
    <w:rsid w:val="00047304"/>
    <w:rsid w:val="0004734D"/>
    <w:rsid w:val="00047404"/>
    <w:rsid w:val="00047F4A"/>
    <w:rsid w:val="00050437"/>
    <w:rsid w:val="00050A52"/>
    <w:rsid w:val="0005126E"/>
    <w:rsid w:val="000518D3"/>
    <w:rsid w:val="00051AC5"/>
    <w:rsid w:val="00051C07"/>
    <w:rsid w:val="00051DBA"/>
    <w:rsid w:val="000529B2"/>
    <w:rsid w:val="000536EF"/>
    <w:rsid w:val="00054612"/>
    <w:rsid w:val="000547D7"/>
    <w:rsid w:val="00054827"/>
    <w:rsid w:val="0005510D"/>
    <w:rsid w:val="000552F7"/>
    <w:rsid w:val="0005549C"/>
    <w:rsid w:val="0005598E"/>
    <w:rsid w:val="00055F69"/>
    <w:rsid w:val="00056286"/>
    <w:rsid w:val="00056446"/>
    <w:rsid w:val="0005685C"/>
    <w:rsid w:val="000576A7"/>
    <w:rsid w:val="0006218F"/>
    <w:rsid w:val="0006266B"/>
    <w:rsid w:val="000626FD"/>
    <w:rsid w:val="000649EC"/>
    <w:rsid w:val="00065045"/>
    <w:rsid w:val="000656BA"/>
    <w:rsid w:val="00066031"/>
    <w:rsid w:val="000662FC"/>
    <w:rsid w:val="00066C7D"/>
    <w:rsid w:val="00066DC8"/>
    <w:rsid w:val="00066FA5"/>
    <w:rsid w:val="00067981"/>
    <w:rsid w:val="00067E2F"/>
    <w:rsid w:val="00070DBA"/>
    <w:rsid w:val="00072274"/>
    <w:rsid w:val="0007290E"/>
    <w:rsid w:val="00073201"/>
    <w:rsid w:val="000735F8"/>
    <w:rsid w:val="00073FA7"/>
    <w:rsid w:val="000742B8"/>
    <w:rsid w:val="0007482E"/>
    <w:rsid w:val="0007487A"/>
    <w:rsid w:val="000750D0"/>
    <w:rsid w:val="00075E35"/>
    <w:rsid w:val="00076F15"/>
    <w:rsid w:val="00080100"/>
    <w:rsid w:val="000801AA"/>
    <w:rsid w:val="00080404"/>
    <w:rsid w:val="000806C8"/>
    <w:rsid w:val="000807C4"/>
    <w:rsid w:val="000807C6"/>
    <w:rsid w:val="00080CF1"/>
    <w:rsid w:val="000819B2"/>
    <w:rsid w:val="000832C9"/>
    <w:rsid w:val="0008373F"/>
    <w:rsid w:val="00083F65"/>
    <w:rsid w:val="000843A7"/>
    <w:rsid w:val="0008467D"/>
    <w:rsid w:val="000854A4"/>
    <w:rsid w:val="00085623"/>
    <w:rsid w:val="00085DD9"/>
    <w:rsid w:val="000865FB"/>
    <w:rsid w:val="000867F2"/>
    <w:rsid w:val="00086ABF"/>
    <w:rsid w:val="00086B1A"/>
    <w:rsid w:val="000906BB"/>
    <w:rsid w:val="000906DC"/>
    <w:rsid w:val="00090996"/>
    <w:rsid w:val="00090B35"/>
    <w:rsid w:val="00091D10"/>
    <w:rsid w:val="000924A7"/>
    <w:rsid w:val="00092E58"/>
    <w:rsid w:val="00093640"/>
    <w:rsid w:val="000939BC"/>
    <w:rsid w:val="000940D5"/>
    <w:rsid w:val="00094E89"/>
    <w:rsid w:val="00094FA2"/>
    <w:rsid w:val="00095BB7"/>
    <w:rsid w:val="00095C0E"/>
    <w:rsid w:val="00095DB7"/>
    <w:rsid w:val="00095EC9"/>
    <w:rsid w:val="000966B5"/>
    <w:rsid w:val="00096E5E"/>
    <w:rsid w:val="00097504"/>
    <w:rsid w:val="000A081C"/>
    <w:rsid w:val="000A1B06"/>
    <w:rsid w:val="000A1EA0"/>
    <w:rsid w:val="000A1EAC"/>
    <w:rsid w:val="000A1F3E"/>
    <w:rsid w:val="000A365D"/>
    <w:rsid w:val="000A3BBC"/>
    <w:rsid w:val="000A3E2D"/>
    <w:rsid w:val="000A43FA"/>
    <w:rsid w:val="000A4527"/>
    <w:rsid w:val="000A4AD2"/>
    <w:rsid w:val="000A4D51"/>
    <w:rsid w:val="000A6B98"/>
    <w:rsid w:val="000A6E82"/>
    <w:rsid w:val="000A78C9"/>
    <w:rsid w:val="000A78D1"/>
    <w:rsid w:val="000B056B"/>
    <w:rsid w:val="000B1D68"/>
    <w:rsid w:val="000B2067"/>
    <w:rsid w:val="000B216D"/>
    <w:rsid w:val="000B27CC"/>
    <w:rsid w:val="000B4D2E"/>
    <w:rsid w:val="000B4EAE"/>
    <w:rsid w:val="000B5724"/>
    <w:rsid w:val="000B6B15"/>
    <w:rsid w:val="000B6DA3"/>
    <w:rsid w:val="000B70B7"/>
    <w:rsid w:val="000B768B"/>
    <w:rsid w:val="000B7C04"/>
    <w:rsid w:val="000B7CF5"/>
    <w:rsid w:val="000C072F"/>
    <w:rsid w:val="000C1912"/>
    <w:rsid w:val="000C25D6"/>
    <w:rsid w:val="000C2AE3"/>
    <w:rsid w:val="000C2B21"/>
    <w:rsid w:val="000C2D45"/>
    <w:rsid w:val="000C35C3"/>
    <w:rsid w:val="000C3662"/>
    <w:rsid w:val="000C3BAB"/>
    <w:rsid w:val="000C3D32"/>
    <w:rsid w:val="000C414C"/>
    <w:rsid w:val="000C445D"/>
    <w:rsid w:val="000C45E8"/>
    <w:rsid w:val="000C5027"/>
    <w:rsid w:val="000C5F9E"/>
    <w:rsid w:val="000C68E9"/>
    <w:rsid w:val="000C6C08"/>
    <w:rsid w:val="000C76E0"/>
    <w:rsid w:val="000C7F3A"/>
    <w:rsid w:val="000D029C"/>
    <w:rsid w:val="000D07C7"/>
    <w:rsid w:val="000D1340"/>
    <w:rsid w:val="000D18F4"/>
    <w:rsid w:val="000D2A7B"/>
    <w:rsid w:val="000D3381"/>
    <w:rsid w:val="000D3661"/>
    <w:rsid w:val="000D3C26"/>
    <w:rsid w:val="000D3EA4"/>
    <w:rsid w:val="000D470A"/>
    <w:rsid w:val="000D6CE7"/>
    <w:rsid w:val="000D721A"/>
    <w:rsid w:val="000D77C0"/>
    <w:rsid w:val="000E03BB"/>
    <w:rsid w:val="000E0E2E"/>
    <w:rsid w:val="000E0F94"/>
    <w:rsid w:val="000E1F38"/>
    <w:rsid w:val="000E21DC"/>
    <w:rsid w:val="000E2A28"/>
    <w:rsid w:val="000E2DEE"/>
    <w:rsid w:val="000E396E"/>
    <w:rsid w:val="000E42EE"/>
    <w:rsid w:val="000E47DB"/>
    <w:rsid w:val="000E4EBD"/>
    <w:rsid w:val="000E7035"/>
    <w:rsid w:val="000E751F"/>
    <w:rsid w:val="000E7553"/>
    <w:rsid w:val="000F07E5"/>
    <w:rsid w:val="000F0964"/>
    <w:rsid w:val="000F1824"/>
    <w:rsid w:val="000F18AD"/>
    <w:rsid w:val="000F1DCE"/>
    <w:rsid w:val="000F23EE"/>
    <w:rsid w:val="000F241E"/>
    <w:rsid w:val="000F2BBB"/>
    <w:rsid w:val="000F3524"/>
    <w:rsid w:val="000F383E"/>
    <w:rsid w:val="000F38E1"/>
    <w:rsid w:val="000F3914"/>
    <w:rsid w:val="000F477C"/>
    <w:rsid w:val="000F4EEF"/>
    <w:rsid w:val="000F5494"/>
    <w:rsid w:val="000F6027"/>
    <w:rsid w:val="000F6694"/>
    <w:rsid w:val="000F671F"/>
    <w:rsid w:val="000F74FF"/>
    <w:rsid w:val="000F79BB"/>
    <w:rsid w:val="000F7A89"/>
    <w:rsid w:val="000F7B03"/>
    <w:rsid w:val="000F7C17"/>
    <w:rsid w:val="001009CD"/>
    <w:rsid w:val="00100D31"/>
    <w:rsid w:val="00101601"/>
    <w:rsid w:val="00101667"/>
    <w:rsid w:val="00101CB3"/>
    <w:rsid w:val="001027A3"/>
    <w:rsid w:val="00102C85"/>
    <w:rsid w:val="00102EC4"/>
    <w:rsid w:val="001034C6"/>
    <w:rsid w:val="00104243"/>
    <w:rsid w:val="001048C1"/>
    <w:rsid w:val="00106D89"/>
    <w:rsid w:val="00107041"/>
    <w:rsid w:val="0011041F"/>
    <w:rsid w:val="0011069B"/>
    <w:rsid w:val="001106E8"/>
    <w:rsid w:val="00110701"/>
    <w:rsid w:val="0011138C"/>
    <w:rsid w:val="00111E76"/>
    <w:rsid w:val="00112041"/>
    <w:rsid w:val="00112BA4"/>
    <w:rsid w:val="00114212"/>
    <w:rsid w:val="0011561B"/>
    <w:rsid w:val="0011598A"/>
    <w:rsid w:val="00115E51"/>
    <w:rsid w:val="001164F4"/>
    <w:rsid w:val="00116532"/>
    <w:rsid w:val="00116781"/>
    <w:rsid w:val="001167B2"/>
    <w:rsid w:val="00117229"/>
    <w:rsid w:val="00117C62"/>
    <w:rsid w:val="00117CB2"/>
    <w:rsid w:val="001207D5"/>
    <w:rsid w:val="00122B42"/>
    <w:rsid w:val="00122D19"/>
    <w:rsid w:val="00123455"/>
    <w:rsid w:val="001235AD"/>
    <w:rsid w:val="0012383B"/>
    <w:rsid w:val="00123A3F"/>
    <w:rsid w:val="00123CA9"/>
    <w:rsid w:val="00124980"/>
    <w:rsid w:val="00124A2D"/>
    <w:rsid w:val="001258F4"/>
    <w:rsid w:val="001261A8"/>
    <w:rsid w:val="001267D4"/>
    <w:rsid w:val="00126B65"/>
    <w:rsid w:val="00126F03"/>
    <w:rsid w:val="00126F43"/>
    <w:rsid w:val="0012745A"/>
    <w:rsid w:val="00127636"/>
    <w:rsid w:val="001306AD"/>
    <w:rsid w:val="00131C9F"/>
    <w:rsid w:val="00131E29"/>
    <w:rsid w:val="00132400"/>
    <w:rsid w:val="001338DE"/>
    <w:rsid w:val="00134EB9"/>
    <w:rsid w:val="001360FC"/>
    <w:rsid w:val="001362F3"/>
    <w:rsid w:val="00136D6F"/>
    <w:rsid w:val="00137D20"/>
    <w:rsid w:val="00137EDF"/>
    <w:rsid w:val="001416F8"/>
    <w:rsid w:val="00141751"/>
    <w:rsid w:val="001417C3"/>
    <w:rsid w:val="00142B4B"/>
    <w:rsid w:val="00143341"/>
    <w:rsid w:val="001435FD"/>
    <w:rsid w:val="0014375D"/>
    <w:rsid w:val="00143A76"/>
    <w:rsid w:val="00143E8B"/>
    <w:rsid w:val="0014401E"/>
    <w:rsid w:val="001441F7"/>
    <w:rsid w:val="0014426C"/>
    <w:rsid w:val="00144341"/>
    <w:rsid w:val="001444C6"/>
    <w:rsid w:val="00146E86"/>
    <w:rsid w:val="00147145"/>
    <w:rsid w:val="00150A71"/>
    <w:rsid w:val="00151BBC"/>
    <w:rsid w:val="00151F00"/>
    <w:rsid w:val="00152000"/>
    <w:rsid w:val="00152436"/>
    <w:rsid w:val="001537D2"/>
    <w:rsid w:val="00153D05"/>
    <w:rsid w:val="00154497"/>
    <w:rsid w:val="001546F5"/>
    <w:rsid w:val="0015521D"/>
    <w:rsid w:val="0015639A"/>
    <w:rsid w:val="00156616"/>
    <w:rsid w:val="00160055"/>
    <w:rsid w:val="0016013C"/>
    <w:rsid w:val="00161478"/>
    <w:rsid w:val="00161B5B"/>
    <w:rsid w:val="0016271B"/>
    <w:rsid w:val="00162AE9"/>
    <w:rsid w:val="001639C2"/>
    <w:rsid w:val="00163F5B"/>
    <w:rsid w:val="0016470C"/>
    <w:rsid w:val="00164CD4"/>
    <w:rsid w:val="0016534E"/>
    <w:rsid w:val="001661DD"/>
    <w:rsid w:val="0016632E"/>
    <w:rsid w:val="001663C8"/>
    <w:rsid w:val="00166C56"/>
    <w:rsid w:val="001677B1"/>
    <w:rsid w:val="00167862"/>
    <w:rsid w:val="00167964"/>
    <w:rsid w:val="001703BA"/>
    <w:rsid w:val="00170C83"/>
    <w:rsid w:val="00171FC4"/>
    <w:rsid w:val="00172142"/>
    <w:rsid w:val="001724DF"/>
    <w:rsid w:val="00173408"/>
    <w:rsid w:val="00173571"/>
    <w:rsid w:val="001738EA"/>
    <w:rsid w:val="00173A06"/>
    <w:rsid w:val="00173AC1"/>
    <w:rsid w:val="001742A8"/>
    <w:rsid w:val="00174CCE"/>
    <w:rsid w:val="00174D3D"/>
    <w:rsid w:val="001751E4"/>
    <w:rsid w:val="00175D60"/>
    <w:rsid w:val="00177277"/>
    <w:rsid w:val="001774C7"/>
    <w:rsid w:val="001804F9"/>
    <w:rsid w:val="00181615"/>
    <w:rsid w:val="00181644"/>
    <w:rsid w:val="00182238"/>
    <w:rsid w:val="00182713"/>
    <w:rsid w:val="00182CA7"/>
    <w:rsid w:val="00182ECC"/>
    <w:rsid w:val="001832EB"/>
    <w:rsid w:val="00184137"/>
    <w:rsid w:val="001843FD"/>
    <w:rsid w:val="0018452B"/>
    <w:rsid w:val="00184812"/>
    <w:rsid w:val="00184E1C"/>
    <w:rsid w:val="001851C2"/>
    <w:rsid w:val="001851F3"/>
    <w:rsid w:val="001855E7"/>
    <w:rsid w:val="0018567A"/>
    <w:rsid w:val="00186ACC"/>
    <w:rsid w:val="00187B87"/>
    <w:rsid w:val="00187D4A"/>
    <w:rsid w:val="00187DC0"/>
    <w:rsid w:val="00190841"/>
    <w:rsid w:val="00190895"/>
    <w:rsid w:val="001927FC"/>
    <w:rsid w:val="0019292A"/>
    <w:rsid w:val="001935BB"/>
    <w:rsid w:val="001939A3"/>
    <w:rsid w:val="0019448A"/>
    <w:rsid w:val="001962B2"/>
    <w:rsid w:val="00197273"/>
    <w:rsid w:val="001972DA"/>
    <w:rsid w:val="00197371"/>
    <w:rsid w:val="00197C4B"/>
    <w:rsid w:val="001A005F"/>
    <w:rsid w:val="001A038D"/>
    <w:rsid w:val="001A05D7"/>
    <w:rsid w:val="001A13A9"/>
    <w:rsid w:val="001A1D34"/>
    <w:rsid w:val="001A1F1E"/>
    <w:rsid w:val="001A25C4"/>
    <w:rsid w:val="001A29E2"/>
    <w:rsid w:val="001A2A56"/>
    <w:rsid w:val="001A2D70"/>
    <w:rsid w:val="001A2E28"/>
    <w:rsid w:val="001A30AB"/>
    <w:rsid w:val="001A361E"/>
    <w:rsid w:val="001A395D"/>
    <w:rsid w:val="001A4132"/>
    <w:rsid w:val="001A45D7"/>
    <w:rsid w:val="001A4952"/>
    <w:rsid w:val="001A4A4E"/>
    <w:rsid w:val="001A4BE5"/>
    <w:rsid w:val="001A5400"/>
    <w:rsid w:val="001A580F"/>
    <w:rsid w:val="001A5D20"/>
    <w:rsid w:val="001A6FD5"/>
    <w:rsid w:val="001A70B8"/>
    <w:rsid w:val="001B02BE"/>
    <w:rsid w:val="001B0859"/>
    <w:rsid w:val="001B1806"/>
    <w:rsid w:val="001B1D2A"/>
    <w:rsid w:val="001B3BD8"/>
    <w:rsid w:val="001B5DD6"/>
    <w:rsid w:val="001B6442"/>
    <w:rsid w:val="001B6595"/>
    <w:rsid w:val="001B69D6"/>
    <w:rsid w:val="001B6C4B"/>
    <w:rsid w:val="001B72A4"/>
    <w:rsid w:val="001B751A"/>
    <w:rsid w:val="001B7A23"/>
    <w:rsid w:val="001C00A2"/>
    <w:rsid w:val="001C010A"/>
    <w:rsid w:val="001C0C31"/>
    <w:rsid w:val="001C185A"/>
    <w:rsid w:val="001C1DCA"/>
    <w:rsid w:val="001C2811"/>
    <w:rsid w:val="001C2C70"/>
    <w:rsid w:val="001C307A"/>
    <w:rsid w:val="001C3693"/>
    <w:rsid w:val="001C4255"/>
    <w:rsid w:val="001C59AE"/>
    <w:rsid w:val="001C5A7F"/>
    <w:rsid w:val="001C5E64"/>
    <w:rsid w:val="001C5F5E"/>
    <w:rsid w:val="001C6609"/>
    <w:rsid w:val="001C67A1"/>
    <w:rsid w:val="001C718B"/>
    <w:rsid w:val="001D05F6"/>
    <w:rsid w:val="001D0B88"/>
    <w:rsid w:val="001D0D76"/>
    <w:rsid w:val="001D0D9C"/>
    <w:rsid w:val="001D2277"/>
    <w:rsid w:val="001D3AE6"/>
    <w:rsid w:val="001D44D5"/>
    <w:rsid w:val="001D4F01"/>
    <w:rsid w:val="001D6963"/>
    <w:rsid w:val="001D6E22"/>
    <w:rsid w:val="001D7DC2"/>
    <w:rsid w:val="001E1276"/>
    <w:rsid w:val="001E131E"/>
    <w:rsid w:val="001E1AEB"/>
    <w:rsid w:val="001E2A99"/>
    <w:rsid w:val="001E3672"/>
    <w:rsid w:val="001E4463"/>
    <w:rsid w:val="001E46BE"/>
    <w:rsid w:val="001E4A76"/>
    <w:rsid w:val="001E4B37"/>
    <w:rsid w:val="001E5AF9"/>
    <w:rsid w:val="001E5F90"/>
    <w:rsid w:val="001E694B"/>
    <w:rsid w:val="001E7C7B"/>
    <w:rsid w:val="001F0B97"/>
    <w:rsid w:val="001F0D21"/>
    <w:rsid w:val="001F0D6A"/>
    <w:rsid w:val="001F1988"/>
    <w:rsid w:val="001F1D20"/>
    <w:rsid w:val="001F4F60"/>
    <w:rsid w:val="001F5B92"/>
    <w:rsid w:val="001F71E3"/>
    <w:rsid w:val="001F7379"/>
    <w:rsid w:val="002005DE"/>
    <w:rsid w:val="00201BF3"/>
    <w:rsid w:val="00201F45"/>
    <w:rsid w:val="00203FB5"/>
    <w:rsid w:val="002045ED"/>
    <w:rsid w:val="002049CB"/>
    <w:rsid w:val="00205B29"/>
    <w:rsid w:val="0020740F"/>
    <w:rsid w:val="00207D61"/>
    <w:rsid w:val="00207DEB"/>
    <w:rsid w:val="002100A5"/>
    <w:rsid w:val="002104B2"/>
    <w:rsid w:val="0021099A"/>
    <w:rsid w:val="002109CE"/>
    <w:rsid w:val="0021132F"/>
    <w:rsid w:val="002127FA"/>
    <w:rsid w:val="0021290C"/>
    <w:rsid w:val="00213897"/>
    <w:rsid w:val="00214324"/>
    <w:rsid w:val="00214B02"/>
    <w:rsid w:val="00214DC5"/>
    <w:rsid w:val="0021596A"/>
    <w:rsid w:val="0021616A"/>
    <w:rsid w:val="0021628C"/>
    <w:rsid w:val="00216FEF"/>
    <w:rsid w:val="00217053"/>
    <w:rsid w:val="00217A05"/>
    <w:rsid w:val="00217C19"/>
    <w:rsid w:val="00220157"/>
    <w:rsid w:val="002207EF"/>
    <w:rsid w:val="00224FAF"/>
    <w:rsid w:val="002259AD"/>
    <w:rsid w:val="002260B4"/>
    <w:rsid w:val="00226AE1"/>
    <w:rsid w:val="00227CB6"/>
    <w:rsid w:val="00227DD0"/>
    <w:rsid w:val="002300C0"/>
    <w:rsid w:val="00230365"/>
    <w:rsid w:val="00230B02"/>
    <w:rsid w:val="00230BEA"/>
    <w:rsid w:val="00230E2A"/>
    <w:rsid w:val="00231464"/>
    <w:rsid w:val="002315B5"/>
    <w:rsid w:val="00231E67"/>
    <w:rsid w:val="00233680"/>
    <w:rsid w:val="00233C21"/>
    <w:rsid w:val="00234026"/>
    <w:rsid w:val="0023477C"/>
    <w:rsid w:val="0023535B"/>
    <w:rsid w:val="002354F0"/>
    <w:rsid w:val="002356E4"/>
    <w:rsid w:val="0023602C"/>
    <w:rsid w:val="0024026B"/>
    <w:rsid w:val="002408D8"/>
    <w:rsid w:val="00240D7B"/>
    <w:rsid w:val="00240F67"/>
    <w:rsid w:val="002415ED"/>
    <w:rsid w:val="00241951"/>
    <w:rsid w:val="00241DC8"/>
    <w:rsid w:val="0024259E"/>
    <w:rsid w:val="00243DB3"/>
    <w:rsid w:val="00244CC5"/>
    <w:rsid w:val="00244F9B"/>
    <w:rsid w:val="002461C9"/>
    <w:rsid w:val="00246419"/>
    <w:rsid w:val="00246631"/>
    <w:rsid w:val="00247967"/>
    <w:rsid w:val="00247DAB"/>
    <w:rsid w:val="00250370"/>
    <w:rsid w:val="00250C83"/>
    <w:rsid w:val="00251EF2"/>
    <w:rsid w:val="00252088"/>
    <w:rsid w:val="0025247C"/>
    <w:rsid w:val="00252833"/>
    <w:rsid w:val="00253421"/>
    <w:rsid w:val="0025362E"/>
    <w:rsid w:val="00255535"/>
    <w:rsid w:val="00255F65"/>
    <w:rsid w:val="002565AE"/>
    <w:rsid w:val="00256FB1"/>
    <w:rsid w:val="00260697"/>
    <w:rsid w:val="00260CC3"/>
    <w:rsid w:val="00260FC9"/>
    <w:rsid w:val="00261A7E"/>
    <w:rsid w:val="00261E2B"/>
    <w:rsid w:val="002625C1"/>
    <w:rsid w:val="00262958"/>
    <w:rsid w:val="00264094"/>
    <w:rsid w:val="002667F1"/>
    <w:rsid w:val="00266853"/>
    <w:rsid w:val="00267D1D"/>
    <w:rsid w:val="00270529"/>
    <w:rsid w:val="00270BFC"/>
    <w:rsid w:val="002723F5"/>
    <w:rsid w:val="00272569"/>
    <w:rsid w:val="00272608"/>
    <w:rsid w:val="00272CBD"/>
    <w:rsid w:val="00272FA8"/>
    <w:rsid w:val="00273E21"/>
    <w:rsid w:val="00274CD9"/>
    <w:rsid w:val="002750A7"/>
    <w:rsid w:val="00277C4A"/>
    <w:rsid w:val="002801E4"/>
    <w:rsid w:val="00280664"/>
    <w:rsid w:val="0028093B"/>
    <w:rsid w:val="00281BE4"/>
    <w:rsid w:val="002824F7"/>
    <w:rsid w:val="00282EFF"/>
    <w:rsid w:val="002832D0"/>
    <w:rsid w:val="00283F72"/>
    <w:rsid w:val="00284870"/>
    <w:rsid w:val="00284DAF"/>
    <w:rsid w:val="00285257"/>
    <w:rsid w:val="002864ED"/>
    <w:rsid w:val="002867F0"/>
    <w:rsid w:val="00286976"/>
    <w:rsid w:val="00286BE7"/>
    <w:rsid w:val="00287295"/>
    <w:rsid w:val="00287323"/>
    <w:rsid w:val="00287816"/>
    <w:rsid w:val="00287D04"/>
    <w:rsid w:val="00287D7F"/>
    <w:rsid w:val="002918CD"/>
    <w:rsid w:val="00291F68"/>
    <w:rsid w:val="0029277D"/>
    <w:rsid w:val="00292BA6"/>
    <w:rsid w:val="0029321C"/>
    <w:rsid w:val="00293A89"/>
    <w:rsid w:val="00293BA3"/>
    <w:rsid w:val="002947B2"/>
    <w:rsid w:val="0029493F"/>
    <w:rsid w:val="00294FC3"/>
    <w:rsid w:val="0029536C"/>
    <w:rsid w:val="0029659E"/>
    <w:rsid w:val="0029673A"/>
    <w:rsid w:val="00297385"/>
    <w:rsid w:val="002A0564"/>
    <w:rsid w:val="002A0668"/>
    <w:rsid w:val="002A1814"/>
    <w:rsid w:val="002A1E01"/>
    <w:rsid w:val="002A2232"/>
    <w:rsid w:val="002A2AD7"/>
    <w:rsid w:val="002A2C05"/>
    <w:rsid w:val="002A3191"/>
    <w:rsid w:val="002A3381"/>
    <w:rsid w:val="002A3637"/>
    <w:rsid w:val="002A6AF7"/>
    <w:rsid w:val="002B135A"/>
    <w:rsid w:val="002B1CD6"/>
    <w:rsid w:val="002B2FB5"/>
    <w:rsid w:val="002B3184"/>
    <w:rsid w:val="002B3F1C"/>
    <w:rsid w:val="002B40C2"/>
    <w:rsid w:val="002B4CEA"/>
    <w:rsid w:val="002B5913"/>
    <w:rsid w:val="002B5F1A"/>
    <w:rsid w:val="002B5FFC"/>
    <w:rsid w:val="002B60E0"/>
    <w:rsid w:val="002B7558"/>
    <w:rsid w:val="002B76F6"/>
    <w:rsid w:val="002B7E6D"/>
    <w:rsid w:val="002C0BEB"/>
    <w:rsid w:val="002C0FDB"/>
    <w:rsid w:val="002C174E"/>
    <w:rsid w:val="002C216D"/>
    <w:rsid w:val="002C29D6"/>
    <w:rsid w:val="002C2CCD"/>
    <w:rsid w:val="002C3CA9"/>
    <w:rsid w:val="002C46A0"/>
    <w:rsid w:val="002C46CD"/>
    <w:rsid w:val="002C54A9"/>
    <w:rsid w:val="002C5CA2"/>
    <w:rsid w:val="002C6DFF"/>
    <w:rsid w:val="002C715C"/>
    <w:rsid w:val="002C79D5"/>
    <w:rsid w:val="002C7E89"/>
    <w:rsid w:val="002C7F47"/>
    <w:rsid w:val="002D0560"/>
    <w:rsid w:val="002D06B6"/>
    <w:rsid w:val="002D10B1"/>
    <w:rsid w:val="002D160D"/>
    <w:rsid w:val="002D16EA"/>
    <w:rsid w:val="002D201A"/>
    <w:rsid w:val="002D20DD"/>
    <w:rsid w:val="002D308A"/>
    <w:rsid w:val="002D31F9"/>
    <w:rsid w:val="002D3825"/>
    <w:rsid w:val="002D3C42"/>
    <w:rsid w:val="002D3FFC"/>
    <w:rsid w:val="002D40FF"/>
    <w:rsid w:val="002D4200"/>
    <w:rsid w:val="002D46F9"/>
    <w:rsid w:val="002D4ECD"/>
    <w:rsid w:val="002D52E3"/>
    <w:rsid w:val="002D564C"/>
    <w:rsid w:val="002D6357"/>
    <w:rsid w:val="002E117F"/>
    <w:rsid w:val="002E24F1"/>
    <w:rsid w:val="002E310A"/>
    <w:rsid w:val="002E387E"/>
    <w:rsid w:val="002E3A37"/>
    <w:rsid w:val="002E3B7F"/>
    <w:rsid w:val="002E3F47"/>
    <w:rsid w:val="002E4B66"/>
    <w:rsid w:val="002E4DBE"/>
    <w:rsid w:val="002E5E4E"/>
    <w:rsid w:val="002E61AD"/>
    <w:rsid w:val="002E6643"/>
    <w:rsid w:val="002E68FC"/>
    <w:rsid w:val="002E6E54"/>
    <w:rsid w:val="002F0B27"/>
    <w:rsid w:val="002F0C6C"/>
    <w:rsid w:val="002F1A26"/>
    <w:rsid w:val="002F1B65"/>
    <w:rsid w:val="002F1D8D"/>
    <w:rsid w:val="002F392D"/>
    <w:rsid w:val="002F3D54"/>
    <w:rsid w:val="002F4190"/>
    <w:rsid w:val="002F4774"/>
    <w:rsid w:val="002F5812"/>
    <w:rsid w:val="002F6668"/>
    <w:rsid w:val="002F6AD0"/>
    <w:rsid w:val="002F7E35"/>
    <w:rsid w:val="003014CE"/>
    <w:rsid w:val="003018AA"/>
    <w:rsid w:val="00302308"/>
    <w:rsid w:val="0030275C"/>
    <w:rsid w:val="003040EC"/>
    <w:rsid w:val="00304764"/>
    <w:rsid w:val="00306615"/>
    <w:rsid w:val="00306798"/>
    <w:rsid w:val="00306C97"/>
    <w:rsid w:val="0030745F"/>
    <w:rsid w:val="003079B7"/>
    <w:rsid w:val="00310460"/>
    <w:rsid w:val="0031079C"/>
    <w:rsid w:val="00310FBA"/>
    <w:rsid w:val="00310FEF"/>
    <w:rsid w:val="00311210"/>
    <w:rsid w:val="003114C3"/>
    <w:rsid w:val="00311716"/>
    <w:rsid w:val="00314205"/>
    <w:rsid w:val="0031481C"/>
    <w:rsid w:val="00314A85"/>
    <w:rsid w:val="00314F79"/>
    <w:rsid w:val="0031559E"/>
    <w:rsid w:val="00316D28"/>
    <w:rsid w:val="003171EE"/>
    <w:rsid w:val="00317293"/>
    <w:rsid w:val="003179AD"/>
    <w:rsid w:val="00321A7A"/>
    <w:rsid w:val="00321F34"/>
    <w:rsid w:val="00322E57"/>
    <w:rsid w:val="00322E5A"/>
    <w:rsid w:val="00322EA3"/>
    <w:rsid w:val="00323D56"/>
    <w:rsid w:val="0032447C"/>
    <w:rsid w:val="003244AB"/>
    <w:rsid w:val="00324E9E"/>
    <w:rsid w:val="003252CE"/>
    <w:rsid w:val="003253F3"/>
    <w:rsid w:val="00325B18"/>
    <w:rsid w:val="00325C92"/>
    <w:rsid w:val="00326139"/>
    <w:rsid w:val="003270AB"/>
    <w:rsid w:val="003274CF"/>
    <w:rsid w:val="00327792"/>
    <w:rsid w:val="003279A8"/>
    <w:rsid w:val="00327D82"/>
    <w:rsid w:val="00327E17"/>
    <w:rsid w:val="0033088E"/>
    <w:rsid w:val="00331175"/>
    <w:rsid w:val="003318C0"/>
    <w:rsid w:val="00331F46"/>
    <w:rsid w:val="00331F5D"/>
    <w:rsid w:val="00332C38"/>
    <w:rsid w:val="00332F8C"/>
    <w:rsid w:val="00333E19"/>
    <w:rsid w:val="003346E3"/>
    <w:rsid w:val="00334D20"/>
    <w:rsid w:val="003350D8"/>
    <w:rsid w:val="003350D9"/>
    <w:rsid w:val="003361C0"/>
    <w:rsid w:val="0033643A"/>
    <w:rsid w:val="00336446"/>
    <w:rsid w:val="003368A3"/>
    <w:rsid w:val="00336F53"/>
    <w:rsid w:val="00341159"/>
    <w:rsid w:val="003414F7"/>
    <w:rsid w:val="00342188"/>
    <w:rsid w:val="00342E33"/>
    <w:rsid w:val="003434DB"/>
    <w:rsid w:val="003439C3"/>
    <w:rsid w:val="00344CC2"/>
    <w:rsid w:val="0034541A"/>
    <w:rsid w:val="003465D3"/>
    <w:rsid w:val="003467BF"/>
    <w:rsid w:val="003477A9"/>
    <w:rsid w:val="00347DE0"/>
    <w:rsid w:val="00347FEE"/>
    <w:rsid w:val="003501E8"/>
    <w:rsid w:val="0035051B"/>
    <w:rsid w:val="003516C8"/>
    <w:rsid w:val="00351756"/>
    <w:rsid w:val="00351A54"/>
    <w:rsid w:val="00351BEA"/>
    <w:rsid w:val="00352094"/>
    <w:rsid w:val="00353AF2"/>
    <w:rsid w:val="00353F55"/>
    <w:rsid w:val="00353FAF"/>
    <w:rsid w:val="00354B2A"/>
    <w:rsid w:val="00356163"/>
    <w:rsid w:val="003565FD"/>
    <w:rsid w:val="00356761"/>
    <w:rsid w:val="003575DB"/>
    <w:rsid w:val="0036067D"/>
    <w:rsid w:val="0036073F"/>
    <w:rsid w:val="00360C1C"/>
    <w:rsid w:val="00360C77"/>
    <w:rsid w:val="0036238B"/>
    <w:rsid w:val="00362C2D"/>
    <w:rsid w:val="0036307A"/>
    <w:rsid w:val="003636D4"/>
    <w:rsid w:val="00363A08"/>
    <w:rsid w:val="003645D8"/>
    <w:rsid w:val="003653BB"/>
    <w:rsid w:val="003656FD"/>
    <w:rsid w:val="00365F20"/>
    <w:rsid w:val="00366328"/>
    <w:rsid w:val="003665B0"/>
    <w:rsid w:val="00366606"/>
    <w:rsid w:val="00366670"/>
    <w:rsid w:val="00366EBB"/>
    <w:rsid w:val="00367979"/>
    <w:rsid w:val="00367A78"/>
    <w:rsid w:val="00367B7D"/>
    <w:rsid w:val="0037109F"/>
    <w:rsid w:val="00371380"/>
    <w:rsid w:val="003720DA"/>
    <w:rsid w:val="0037211F"/>
    <w:rsid w:val="00372156"/>
    <w:rsid w:val="00372723"/>
    <w:rsid w:val="00373530"/>
    <w:rsid w:val="00373735"/>
    <w:rsid w:val="00374371"/>
    <w:rsid w:val="00375422"/>
    <w:rsid w:val="003755FB"/>
    <w:rsid w:val="00375708"/>
    <w:rsid w:val="0037577C"/>
    <w:rsid w:val="00376479"/>
    <w:rsid w:val="0037690D"/>
    <w:rsid w:val="0037723D"/>
    <w:rsid w:val="00377A9F"/>
    <w:rsid w:val="00377ED6"/>
    <w:rsid w:val="003800EF"/>
    <w:rsid w:val="00380794"/>
    <w:rsid w:val="003808F6"/>
    <w:rsid w:val="00381414"/>
    <w:rsid w:val="003819AD"/>
    <w:rsid w:val="00381B7A"/>
    <w:rsid w:val="00381E3A"/>
    <w:rsid w:val="0038250A"/>
    <w:rsid w:val="00383AE0"/>
    <w:rsid w:val="00383DF6"/>
    <w:rsid w:val="0038403D"/>
    <w:rsid w:val="00384296"/>
    <w:rsid w:val="00384BDF"/>
    <w:rsid w:val="00385390"/>
    <w:rsid w:val="0038544B"/>
    <w:rsid w:val="00385502"/>
    <w:rsid w:val="00385BAD"/>
    <w:rsid w:val="00386627"/>
    <w:rsid w:val="00386A96"/>
    <w:rsid w:val="00386B22"/>
    <w:rsid w:val="00386F1E"/>
    <w:rsid w:val="0038785C"/>
    <w:rsid w:val="00387EBF"/>
    <w:rsid w:val="00390048"/>
    <w:rsid w:val="0039030A"/>
    <w:rsid w:val="00390508"/>
    <w:rsid w:val="003907BA"/>
    <w:rsid w:val="00390C8D"/>
    <w:rsid w:val="003912B0"/>
    <w:rsid w:val="003918CB"/>
    <w:rsid w:val="00391BB0"/>
    <w:rsid w:val="003921DF"/>
    <w:rsid w:val="00392938"/>
    <w:rsid w:val="00393016"/>
    <w:rsid w:val="0039323E"/>
    <w:rsid w:val="0039380C"/>
    <w:rsid w:val="00394092"/>
    <w:rsid w:val="003943A7"/>
    <w:rsid w:val="00394605"/>
    <w:rsid w:val="0039463C"/>
    <w:rsid w:val="00394B4F"/>
    <w:rsid w:val="00395642"/>
    <w:rsid w:val="003958FA"/>
    <w:rsid w:val="003967F4"/>
    <w:rsid w:val="0039691F"/>
    <w:rsid w:val="00396BF8"/>
    <w:rsid w:val="003975E7"/>
    <w:rsid w:val="00397BC3"/>
    <w:rsid w:val="00397BDF"/>
    <w:rsid w:val="003A0182"/>
    <w:rsid w:val="003A04A0"/>
    <w:rsid w:val="003A104E"/>
    <w:rsid w:val="003A1640"/>
    <w:rsid w:val="003A1AC5"/>
    <w:rsid w:val="003A1D4E"/>
    <w:rsid w:val="003A2253"/>
    <w:rsid w:val="003A2FB7"/>
    <w:rsid w:val="003A4496"/>
    <w:rsid w:val="003A49E6"/>
    <w:rsid w:val="003A4FDE"/>
    <w:rsid w:val="003A591E"/>
    <w:rsid w:val="003A5D24"/>
    <w:rsid w:val="003B03BD"/>
    <w:rsid w:val="003B30E9"/>
    <w:rsid w:val="003B31F4"/>
    <w:rsid w:val="003B39E5"/>
    <w:rsid w:val="003B4687"/>
    <w:rsid w:val="003B481E"/>
    <w:rsid w:val="003B5C17"/>
    <w:rsid w:val="003B5C7C"/>
    <w:rsid w:val="003B6E03"/>
    <w:rsid w:val="003B6F80"/>
    <w:rsid w:val="003B79A6"/>
    <w:rsid w:val="003C05F3"/>
    <w:rsid w:val="003C061A"/>
    <w:rsid w:val="003C1BC5"/>
    <w:rsid w:val="003C1CBC"/>
    <w:rsid w:val="003C26E6"/>
    <w:rsid w:val="003C2D37"/>
    <w:rsid w:val="003C2D9D"/>
    <w:rsid w:val="003C30E1"/>
    <w:rsid w:val="003C3140"/>
    <w:rsid w:val="003C3302"/>
    <w:rsid w:val="003C3438"/>
    <w:rsid w:val="003C444B"/>
    <w:rsid w:val="003C54D2"/>
    <w:rsid w:val="003C5C58"/>
    <w:rsid w:val="003C69B7"/>
    <w:rsid w:val="003C7B50"/>
    <w:rsid w:val="003D0A27"/>
    <w:rsid w:val="003D0B91"/>
    <w:rsid w:val="003D0CE1"/>
    <w:rsid w:val="003D174E"/>
    <w:rsid w:val="003D18C4"/>
    <w:rsid w:val="003D2AC5"/>
    <w:rsid w:val="003D3109"/>
    <w:rsid w:val="003D4482"/>
    <w:rsid w:val="003D47AD"/>
    <w:rsid w:val="003D47FE"/>
    <w:rsid w:val="003D546E"/>
    <w:rsid w:val="003D571F"/>
    <w:rsid w:val="003D5961"/>
    <w:rsid w:val="003D602B"/>
    <w:rsid w:val="003D638F"/>
    <w:rsid w:val="003D65BF"/>
    <w:rsid w:val="003D6AB5"/>
    <w:rsid w:val="003D6BB2"/>
    <w:rsid w:val="003D7314"/>
    <w:rsid w:val="003D748D"/>
    <w:rsid w:val="003D7565"/>
    <w:rsid w:val="003E0D06"/>
    <w:rsid w:val="003E0DDB"/>
    <w:rsid w:val="003E21F1"/>
    <w:rsid w:val="003E2276"/>
    <w:rsid w:val="003E33A6"/>
    <w:rsid w:val="003E3549"/>
    <w:rsid w:val="003E3FD6"/>
    <w:rsid w:val="003E4EAA"/>
    <w:rsid w:val="003E505E"/>
    <w:rsid w:val="003E5535"/>
    <w:rsid w:val="003E58B9"/>
    <w:rsid w:val="003E6448"/>
    <w:rsid w:val="003E67AC"/>
    <w:rsid w:val="003E693B"/>
    <w:rsid w:val="003E6E9B"/>
    <w:rsid w:val="003E7243"/>
    <w:rsid w:val="003E72FA"/>
    <w:rsid w:val="003E74D6"/>
    <w:rsid w:val="003E7B78"/>
    <w:rsid w:val="003F0363"/>
    <w:rsid w:val="003F07D0"/>
    <w:rsid w:val="003F163C"/>
    <w:rsid w:val="003F2336"/>
    <w:rsid w:val="003F2CE4"/>
    <w:rsid w:val="003F2FD7"/>
    <w:rsid w:val="003F42D0"/>
    <w:rsid w:val="003F479B"/>
    <w:rsid w:val="003F54C8"/>
    <w:rsid w:val="003F5D5D"/>
    <w:rsid w:val="003F60BD"/>
    <w:rsid w:val="003F646B"/>
    <w:rsid w:val="003F6B27"/>
    <w:rsid w:val="004009C5"/>
    <w:rsid w:val="004013E8"/>
    <w:rsid w:val="0040204C"/>
    <w:rsid w:val="004025BD"/>
    <w:rsid w:val="0040376C"/>
    <w:rsid w:val="00403AF9"/>
    <w:rsid w:val="00403BEC"/>
    <w:rsid w:val="00404088"/>
    <w:rsid w:val="00405AB5"/>
    <w:rsid w:val="004064DA"/>
    <w:rsid w:val="004069CB"/>
    <w:rsid w:val="00406EB7"/>
    <w:rsid w:val="0040700D"/>
    <w:rsid w:val="0040771B"/>
    <w:rsid w:val="0041031C"/>
    <w:rsid w:val="00411330"/>
    <w:rsid w:val="00411452"/>
    <w:rsid w:val="004125FA"/>
    <w:rsid w:val="00412936"/>
    <w:rsid w:val="00413564"/>
    <w:rsid w:val="00414EA5"/>
    <w:rsid w:val="004166CD"/>
    <w:rsid w:val="00416C23"/>
    <w:rsid w:val="004173E3"/>
    <w:rsid w:val="004177CF"/>
    <w:rsid w:val="00417829"/>
    <w:rsid w:val="00417C4F"/>
    <w:rsid w:val="00417D8B"/>
    <w:rsid w:val="00421358"/>
    <w:rsid w:val="00421740"/>
    <w:rsid w:val="00421AC8"/>
    <w:rsid w:val="00421C32"/>
    <w:rsid w:val="00421C89"/>
    <w:rsid w:val="0042205F"/>
    <w:rsid w:val="00422588"/>
    <w:rsid w:val="004226F9"/>
    <w:rsid w:val="00422F86"/>
    <w:rsid w:val="00423071"/>
    <w:rsid w:val="0042333B"/>
    <w:rsid w:val="00423EB9"/>
    <w:rsid w:val="00424D23"/>
    <w:rsid w:val="00424F78"/>
    <w:rsid w:val="0042507F"/>
    <w:rsid w:val="004254DF"/>
    <w:rsid w:val="00425992"/>
    <w:rsid w:val="004261E0"/>
    <w:rsid w:val="00426D9E"/>
    <w:rsid w:val="0042773B"/>
    <w:rsid w:val="00430262"/>
    <w:rsid w:val="00430475"/>
    <w:rsid w:val="00430926"/>
    <w:rsid w:val="004321C7"/>
    <w:rsid w:val="00432F1E"/>
    <w:rsid w:val="00432F9B"/>
    <w:rsid w:val="0043322C"/>
    <w:rsid w:val="00434243"/>
    <w:rsid w:val="00434683"/>
    <w:rsid w:val="00435AD6"/>
    <w:rsid w:val="00435C50"/>
    <w:rsid w:val="00436B9F"/>
    <w:rsid w:val="00436C58"/>
    <w:rsid w:val="00436F6C"/>
    <w:rsid w:val="004375E7"/>
    <w:rsid w:val="00437DAA"/>
    <w:rsid w:val="00440693"/>
    <w:rsid w:val="0044073E"/>
    <w:rsid w:val="00440771"/>
    <w:rsid w:val="00441174"/>
    <w:rsid w:val="0044222F"/>
    <w:rsid w:val="004423B8"/>
    <w:rsid w:val="00442768"/>
    <w:rsid w:val="004438F4"/>
    <w:rsid w:val="00443F92"/>
    <w:rsid w:val="00444427"/>
    <w:rsid w:val="00444B27"/>
    <w:rsid w:val="00445362"/>
    <w:rsid w:val="004472E5"/>
    <w:rsid w:val="004475C9"/>
    <w:rsid w:val="0044784E"/>
    <w:rsid w:val="00447AE3"/>
    <w:rsid w:val="004512C8"/>
    <w:rsid w:val="004517BC"/>
    <w:rsid w:val="0045312D"/>
    <w:rsid w:val="004534E2"/>
    <w:rsid w:val="0045368F"/>
    <w:rsid w:val="004537DC"/>
    <w:rsid w:val="00453943"/>
    <w:rsid w:val="00454282"/>
    <w:rsid w:val="00454571"/>
    <w:rsid w:val="0045461B"/>
    <w:rsid w:val="004546B0"/>
    <w:rsid w:val="00454715"/>
    <w:rsid w:val="00454B28"/>
    <w:rsid w:val="00454B73"/>
    <w:rsid w:val="004572DD"/>
    <w:rsid w:val="004603BF"/>
    <w:rsid w:val="0046282B"/>
    <w:rsid w:val="00462DFA"/>
    <w:rsid w:val="00463624"/>
    <w:rsid w:val="00463AB6"/>
    <w:rsid w:val="00463F9B"/>
    <w:rsid w:val="004640C5"/>
    <w:rsid w:val="004642CF"/>
    <w:rsid w:val="00464407"/>
    <w:rsid w:val="004648CC"/>
    <w:rsid w:val="004649C2"/>
    <w:rsid w:val="00464A8C"/>
    <w:rsid w:val="00465A06"/>
    <w:rsid w:val="00465AD0"/>
    <w:rsid w:val="0046606B"/>
    <w:rsid w:val="004665D7"/>
    <w:rsid w:val="0047003B"/>
    <w:rsid w:val="00470421"/>
    <w:rsid w:val="004715F2"/>
    <w:rsid w:val="004716B3"/>
    <w:rsid w:val="00471725"/>
    <w:rsid w:val="00471DD9"/>
    <w:rsid w:val="004726D3"/>
    <w:rsid w:val="004734DC"/>
    <w:rsid w:val="004747F4"/>
    <w:rsid w:val="004749BC"/>
    <w:rsid w:val="0047608F"/>
    <w:rsid w:val="0047609C"/>
    <w:rsid w:val="0047627F"/>
    <w:rsid w:val="00476554"/>
    <w:rsid w:val="00476BFC"/>
    <w:rsid w:val="00477D28"/>
    <w:rsid w:val="00480185"/>
    <w:rsid w:val="00480882"/>
    <w:rsid w:val="00480BCC"/>
    <w:rsid w:val="00482649"/>
    <w:rsid w:val="00482C61"/>
    <w:rsid w:val="00483B95"/>
    <w:rsid w:val="00484607"/>
    <w:rsid w:val="00484FA6"/>
    <w:rsid w:val="00485B01"/>
    <w:rsid w:val="00485DC0"/>
    <w:rsid w:val="00485E57"/>
    <w:rsid w:val="00486562"/>
    <w:rsid w:val="004866F7"/>
    <w:rsid w:val="00486BC7"/>
    <w:rsid w:val="00486CBB"/>
    <w:rsid w:val="00486CBF"/>
    <w:rsid w:val="004871B6"/>
    <w:rsid w:val="004873DC"/>
    <w:rsid w:val="0048774B"/>
    <w:rsid w:val="00487870"/>
    <w:rsid w:val="004912DF"/>
    <w:rsid w:val="0049157F"/>
    <w:rsid w:val="004919C1"/>
    <w:rsid w:val="004919D8"/>
    <w:rsid w:val="00491D91"/>
    <w:rsid w:val="00491F48"/>
    <w:rsid w:val="00493006"/>
    <w:rsid w:val="004933B3"/>
    <w:rsid w:val="0049406B"/>
    <w:rsid w:val="00495357"/>
    <w:rsid w:val="0049552F"/>
    <w:rsid w:val="00495EA8"/>
    <w:rsid w:val="0049615C"/>
    <w:rsid w:val="00496D41"/>
    <w:rsid w:val="00497883"/>
    <w:rsid w:val="004A085D"/>
    <w:rsid w:val="004A093D"/>
    <w:rsid w:val="004A16BE"/>
    <w:rsid w:val="004A2E4E"/>
    <w:rsid w:val="004A2F9F"/>
    <w:rsid w:val="004A3CDD"/>
    <w:rsid w:val="004A3F2F"/>
    <w:rsid w:val="004A425C"/>
    <w:rsid w:val="004A4DEB"/>
    <w:rsid w:val="004A545D"/>
    <w:rsid w:val="004A57D4"/>
    <w:rsid w:val="004B19A9"/>
    <w:rsid w:val="004B211C"/>
    <w:rsid w:val="004B2A16"/>
    <w:rsid w:val="004B2BE5"/>
    <w:rsid w:val="004B484D"/>
    <w:rsid w:val="004B5962"/>
    <w:rsid w:val="004B5A78"/>
    <w:rsid w:val="004B5D1F"/>
    <w:rsid w:val="004B61A2"/>
    <w:rsid w:val="004B667D"/>
    <w:rsid w:val="004C0069"/>
    <w:rsid w:val="004C0715"/>
    <w:rsid w:val="004C0BF0"/>
    <w:rsid w:val="004C13A4"/>
    <w:rsid w:val="004C155F"/>
    <w:rsid w:val="004C1AA9"/>
    <w:rsid w:val="004C1CD2"/>
    <w:rsid w:val="004C1D6D"/>
    <w:rsid w:val="004C29F3"/>
    <w:rsid w:val="004C34FB"/>
    <w:rsid w:val="004C50EB"/>
    <w:rsid w:val="004C533A"/>
    <w:rsid w:val="004C6969"/>
    <w:rsid w:val="004C69BC"/>
    <w:rsid w:val="004D1CC1"/>
    <w:rsid w:val="004D207C"/>
    <w:rsid w:val="004D2793"/>
    <w:rsid w:val="004D44AD"/>
    <w:rsid w:val="004D50EB"/>
    <w:rsid w:val="004D5664"/>
    <w:rsid w:val="004D5ADB"/>
    <w:rsid w:val="004D5F55"/>
    <w:rsid w:val="004D623E"/>
    <w:rsid w:val="004D7103"/>
    <w:rsid w:val="004D7A83"/>
    <w:rsid w:val="004D7F52"/>
    <w:rsid w:val="004E018A"/>
    <w:rsid w:val="004E030A"/>
    <w:rsid w:val="004E0D67"/>
    <w:rsid w:val="004E0EC1"/>
    <w:rsid w:val="004E3268"/>
    <w:rsid w:val="004E387E"/>
    <w:rsid w:val="004E442F"/>
    <w:rsid w:val="004E45E6"/>
    <w:rsid w:val="004E66A4"/>
    <w:rsid w:val="004E678B"/>
    <w:rsid w:val="004F04D9"/>
    <w:rsid w:val="004F05C7"/>
    <w:rsid w:val="004F1919"/>
    <w:rsid w:val="004F1AAE"/>
    <w:rsid w:val="004F1AE5"/>
    <w:rsid w:val="004F22DA"/>
    <w:rsid w:val="004F25EB"/>
    <w:rsid w:val="004F2673"/>
    <w:rsid w:val="004F2F59"/>
    <w:rsid w:val="004F3F69"/>
    <w:rsid w:val="004F5552"/>
    <w:rsid w:val="004F5A1E"/>
    <w:rsid w:val="004F6D76"/>
    <w:rsid w:val="004F6FBB"/>
    <w:rsid w:val="00500769"/>
    <w:rsid w:val="00500B07"/>
    <w:rsid w:val="00501D74"/>
    <w:rsid w:val="00502097"/>
    <w:rsid w:val="005022A4"/>
    <w:rsid w:val="00502C41"/>
    <w:rsid w:val="00503C85"/>
    <w:rsid w:val="00503DFC"/>
    <w:rsid w:val="00504662"/>
    <w:rsid w:val="00504834"/>
    <w:rsid w:val="0050570E"/>
    <w:rsid w:val="00505AEE"/>
    <w:rsid w:val="0050632E"/>
    <w:rsid w:val="0050640D"/>
    <w:rsid w:val="005076C2"/>
    <w:rsid w:val="005077C8"/>
    <w:rsid w:val="005077E8"/>
    <w:rsid w:val="00507B63"/>
    <w:rsid w:val="005105AC"/>
    <w:rsid w:val="005106B9"/>
    <w:rsid w:val="00510A1A"/>
    <w:rsid w:val="00511030"/>
    <w:rsid w:val="00511062"/>
    <w:rsid w:val="00511AE2"/>
    <w:rsid w:val="00511C05"/>
    <w:rsid w:val="00512007"/>
    <w:rsid w:val="005126B3"/>
    <w:rsid w:val="00512D4E"/>
    <w:rsid w:val="00512F82"/>
    <w:rsid w:val="00513251"/>
    <w:rsid w:val="00513354"/>
    <w:rsid w:val="0051434D"/>
    <w:rsid w:val="00514507"/>
    <w:rsid w:val="005151B7"/>
    <w:rsid w:val="005158A0"/>
    <w:rsid w:val="00515C2E"/>
    <w:rsid w:val="00516791"/>
    <w:rsid w:val="0051722E"/>
    <w:rsid w:val="005176F7"/>
    <w:rsid w:val="00517B9C"/>
    <w:rsid w:val="00520015"/>
    <w:rsid w:val="0052113D"/>
    <w:rsid w:val="0052194F"/>
    <w:rsid w:val="00522218"/>
    <w:rsid w:val="00523B91"/>
    <w:rsid w:val="00523F11"/>
    <w:rsid w:val="00524A83"/>
    <w:rsid w:val="00525400"/>
    <w:rsid w:val="0052582B"/>
    <w:rsid w:val="00525B7C"/>
    <w:rsid w:val="00525C93"/>
    <w:rsid w:val="00527CBF"/>
    <w:rsid w:val="005303DF"/>
    <w:rsid w:val="00530774"/>
    <w:rsid w:val="00530FE3"/>
    <w:rsid w:val="005312B8"/>
    <w:rsid w:val="0053161F"/>
    <w:rsid w:val="0053196D"/>
    <w:rsid w:val="0053197D"/>
    <w:rsid w:val="005322F9"/>
    <w:rsid w:val="005325FC"/>
    <w:rsid w:val="00532D5C"/>
    <w:rsid w:val="00533647"/>
    <w:rsid w:val="005338DF"/>
    <w:rsid w:val="00533910"/>
    <w:rsid w:val="00534679"/>
    <w:rsid w:val="005346B9"/>
    <w:rsid w:val="0053497E"/>
    <w:rsid w:val="00535045"/>
    <w:rsid w:val="00535E7E"/>
    <w:rsid w:val="00536011"/>
    <w:rsid w:val="00536A11"/>
    <w:rsid w:val="00536A74"/>
    <w:rsid w:val="005374EE"/>
    <w:rsid w:val="00540830"/>
    <w:rsid w:val="0054159B"/>
    <w:rsid w:val="0054174C"/>
    <w:rsid w:val="0054205C"/>
    <w:rsid w:val="00542DF2"/>
    <w:rsid w:val="005430FD"/>
    <w:rsid w:val="005430FF"/>
    <w:rsid w:val="0054324A"/>
    <w:rsid w:val="0054364E"/>
    <w:rsid w:val="005436A6"/>
    <w:rsid w:val="00543B63"/>
    <w:rsid w:val="00543D20"/>
    <w:rsid w:val="00543E6A"/>
    <w:rsid w:val="005443EB"/>
    <w:rsid w:val="00544AE6"/>
    <w:rsid w:val="00544B9A"/>
    <w:rsid w:val="0054645B"/>
    <w:rsid w:val="00546F1C"/>
    <w:rsid w:val="00547659"/>
    <w:rsid w:val="00550025"/>
    <w:rsid w:val="0055022E"/>
    <w:rsid w:val="005507B5"/>
    <w:rsid w:val="005509BB"/>
    <w:rsid w:val="00551FEB"/>
    <w:rsid w:val="005528BA"/>
    <w:rsid w:val="00552F5E"/>
    <w:rsid w:val="005532F9"/>
    <w:rsid w:val="00553E14"/>
    <w:rsid w:val="00553FBD"/>
    <w:rsid w:val="0055440B"/>
    <w:rsid w:val="0055505E"/>
    <w:rsid w:val="00555263"/>
    <w:rsid w:val="00556247"/>
    <w:rsid w:val="005566C1"/>
    <w:rsid w:val="0055708D"/>
    <w:rsid w:val="0055761A"/>
    <w:rsid w:val="00560403"/>
    <w:rsid w:val="005605EF"/>
    <w:rsid w:val="00560F55"/>
    <w:rsid w:val="00561285"/>
    <w:rsid w:val="005615ED"/>
    <w:rsid w:val="00561CA6"/>
    <w:rsid w:val="00562F48"/>
    <w:rsid w:val="0056322D"/>
    <w:rsid w:val="005632F1"/>
    <w:rsid w:val="0056380E"/>
    <w:rsid w:val="005640F0"/>
    <w:rsid w:val="00565224"/>
    <w:rsid w:val="0056602B"/>
    <w:rsid w:val="00566399"/>
    <w:rsid w:val="00566428"/>
    <w:rsid w:val="0056717C"/>
    <w:rsid w:val="005678F1"/>
    <w:rsid w:val="00567EAE"/>
    <w:rsid w:val="00570386"/>
    <w:rsid w:val="00570FF7"/>
    <w:rsid w:val="00571CA4"/>
    <w:rsid w:val="0057210D"/>
    <w:rsid w:val="005741B9"/>
    <w:rsid w:val="00574CAC"/>
    <w:rsid w:val="00575E74"/>
    <w:rsid w:val="005768FF"/>
    <w:rsid w:val="00576E82"/>
    <w:rsid w:val="00577A49"/>
    <w:rsid w:val="0058063A"/>
    <w:rsid w:val="00580D90"/>
    <w:rsid w:val="0058140C"/>
    <w:rsid w:val="00581A01"/>
    <w:rsid w:val="00581AE8"/>
    <w:rsid w:val="00581D51"/>
    <w:rsid w:val="00581F87"/>
    <w:rsid w:val="005823AE"/>
    <w:rsid w:val="005826DC"/>
    <w:rsid w:val="005838C4"/>
    <w:rsid w:val="00583978"/>
    <w:rsid w:val="00583F09"/>
    <w:rsid w:val="00584085"/>
    <w:rsid w:val="005843D4"/>
    <w:rsid w:val="0058483F"/>
    <w:rsid w:val="00584A97"/>
    <w:rsid w:val="00584B5E"/>
    <w:rsid w:val="00585064"/>
    <w:rsid w:val="005865CC"/>
    <w:rsid w:val="00586B7D"/>
    <w:rsid w:val="00590A04"/>
    <w:rsid w:val="00590C17"/>
    <w:rsid w:val="00590ECF"/>
    <w:rsid w:val="00591237"/>
    <w:rsid w:val="00591B1C"/>
    <w:rsid w:val="00591F16"/>
    <w:rsid w:val="005920B7"/>
    <w:rsid w:val="0059231E"/>
    <w:rsid w:val="00592FE1"/>
    <w:rsid w:val="005933F8"/>
    <w:rsid w:val="00593515"/>
    <w:rsid w:val="005935C5"/>
    <w:rsid w:val="00593B49"/>
    <w:rsid w:val="00593D1C"/>
    <w:rsid w:val="00594E34"/>
    <w:rsid w:val="00595A15"/>
    <w:rsid w:val="00596A0B"/>
    <w:rsid w:val="00596E05"/>
    <w:rsid w:val="005970FA"/>
    <w:rsid w:val="005974D8"/>
    <w:rsid w:val="00597F3C"/>
    <w:rsid w:val="005A0405"/>
    <w:rsid w:val="005A0AF7"/>
    <w:rsid w:val="005A18BA"/>
    <w:rsid w:val="005A1E0A"/>
    <w:rsid w:val="005A1EEC"/>
    <w:rsid w:val="005A2298"/>
    <w:rsid w:val="005A2DB4"/>
    <w:rsid w:val="005A34C8"/>
    <w:rsid w:val="005A410B"/>
    <w:rsid w:val="005A462B"/>
    <w:rsid w:val="005A46F3"/>
    <w:rsid w:val="005A49E3"/>
    <w:rsid w:val="005A5436"/>
    <w:rsid w:val="005A55C5"/>
    <w:rsid w:val="005A5F7D"/>
    <w:rsid w:val="005A642E"/>
    <w:rsid w:val="005A6542"/>
    <w:rsid w:val="005A69BD"/>
    <w:rsid w:val="005A7C22"/>
    <w:rsid w:val="005B0874"/>
    <w:rsid w:val="005B095C"/>
    <w:rsid w:val="005B0C12"/>
    <w:rsid w:val="005B109A"/>
    <w:rsid w:val="005B1144"/>
    <w:rsid w:val="005B15A2"/>
    <w:rsid w:val="005B1757"/>
    <w:rsid w:val="005B3428"/>
    <w:rsid w:val="005B3EBF"/>
    <w:rsid w:val="005B413D"/>
    <w:rsid w:val="005B4C03"/>
    <w:rsid w:val="005B4CE3"/>
    <w:rsid w:val="005B4E26"/>
    <w:rsid w:val="005B4E52"/>
    <w:rsid w:val="005B4FC2"/>
    <w:rsid w:val="005B529F"/>
    <w:rsid w:val="005B5F39"/>
    <w:rsid w:val="005B63A5"/>
    <w:rsid w:val="005B66E2"/>
    <w:rsid w:val="005B7588"/>
    <w:rsid w:val="005B7B8A"/>
    <w:rsid w:val="005C06C8"/>
    <w:rsid w:val="005C0B68"/>
    <w:rsid w:val="005C1B3D"/>
    <w:rsid w:val="005C3803"/>
    <w:rsid w:val="005C3C58"/>
    <w:rsid w:val="005C4296"/>
    <w:rsid w:val="005C42A9"/>
    <w:rsid w:val="005C461C"/>
    <w:rsid w:val="005C4DA9"/>
    <w:rsid w:val="005C5196"/>
    <w:rsid w:val="005C532B"/>
    <w:rsid w:val="005C5411"/>
    <w:rsid w:val="005C5BFF"/>
    <w:rsid w:val="005C7540"/>
    <w:rsid w:val="005C7B71"/>
    <w:rsid w:val="005C7BA5"/>
    <w:rsid w:val="005D0555"/>
    <w:rsid w:val="005D0885"/>
    <w:rsid w:val="005D08FE"/>
    <w:rsid w:val="005D0987"/>
    <w:rsid w:val="005D1420"/>
    <w:rsid w:val="005D15C4"/>
    <w:rsid w:val="005D1617"/>
    <w:rsid w:val="005D1DB1"/>
    <w:rsid w:val="005D205D"/>
    <w:rsid w:val="005D2C75"/>
    <w:rsid w:val="005D3A98"/>
    <w:rsid w:val="005D3BF1"/>
    <w:rsid w:val="005D50EB"/>
    <w:rsid w:val="005D5B5C"/>
    <w:rsid w:val="005D5CA7"/>
    <w:rsid w:val="005D615C"/>
    <w:rsid w:val="005D7ABA"/>
    <w:rsid w:val="005E1087"/>
    <w:rsid w:val="005E1A9B"/>
    <w:rsid w:val="005E1DC7"/>
    <w:rsid w:val="005E213A"/>
    <w:rsid w:val="005E2B3D"/>
    <w:rsid w:val="005E2C9F"/>
    <w:rsid w:val="005E2CA8"/>
    <w:rsid w:val="005E4A83"/>
    <w:rsid w:val="005E4AC2"/>
    <w:rsid w:val="005E4B85"/>
    <w:rsid w:val="005E4C3B"/>
    <w:rsid w:val="005E5175"/>
    <w:rsid w:val="005E530A"/>
    <w:rsid w:val="005E5C57"/>
    <w:rsid w:val="005E64B8"/>
    <w:rsid w:val="005E6960"/>
    <w:rsid w:val="005E71E7"/>
    <w:rsid w:val="005E77E7"/>
    <w:rsid w:val="005E7929"/>
    <w:rsid w:val="005F0971"/>
    <w:rsid w:val="005F10A1"/>
    <w:rsid w:val="005F12C1"/>
    <w:rsid w:val="005F1523"/>
    <w:rsid w:val="005F24ED"/>
    <w:rsid w:val="005F289F"/>
    <w:rsid w:val="005F2B8B"/>
    <w:rsid w:val="005F2F55"/>
    <w:rsid w:val="005F43B8"/>
    <w:rsid w:val="005F4696"/>
    <w:rsid w:val="005F61B8"/>
    <w:rsid w:val="005F69C1"/>
    <w:rsid w:val="005F6AE1"/>
    <w:rsid w:val="005F73A6"/>
    <w:rsid w:val="0060060C"/>
    <w:rsid w:val="00602AE0"/>
    <w:rsid w:val="00603213"/>
    <w:rsid w:val="00603340"/>
    <w:rsid w:val="006042B6"/>
    <w:rsid w:val="006052F6"/>
    <w:rsid w:val="00605482"/>
    <w:rsid w:val="00605CA4"/>
    <w:rsid w:val="00606128"/>
    <w:rsid w:val="006063D9"/>
    <w:rsid w:val="006075B0"/>
    <w:rsid w:val="00607880"/>
    <w:rsid w:val="0060795D"/>
    <w:rsid w:val="00607A9E"/>
    <w:rsid w:val="0061066E"/>
    <w:rsid w:val="0061075A"/>
    <w:rsid w:val="0061111F"/>
    <w:rsid w:val="006146C4"/>
    <w:rsid w:val="00614B4F"/>
    <w:rsid w:val="00614CC9"/>
    <w:rsid w:val="00614F46"/>
    <w:rsid w:val="00615171"/>
    <w:rsid w:val="0061599D"/>
    <w:rsid w:val="006160A5"/>
    <w:rsid w:val="00616477"/>
    <w:rsid w:val="00617518"/>
    <w:rsid w:val="00617EF0"/>
    <w:rsid w:val="006200D8"/>
    <w:rsid w:val="006201A6"/>
    <w:rsid w:val="00620AC2"/>
    <w:rsid w:val="00620B77"/>
    <w:rsid w:val="00620B93"/>
    <w:rsid w:val="00621738"/>
    <w:rsid w:val="00621B81"/>
    <w:rsid w:val="00621EE0"/>
    <w:rsid w:val="00621FF3"/>
    <w:rsid w:val="006225A1"/>
    <w:rsid w:val="00623484"/>
    <w:rsid w:val="006234A2"/>
    <w:rsid w:val="006236D8"/>
    <w:rsid w:val="00623D6C"/>
    <w:rsid w:val="006240AD"/>
    <w:rsid w:val="0062513B"/>
    <w:rsid w:val="006252A1"/>
    <w:rsid w:val="00625B20"/>
    <w:rsid w:val="006260D5"/>
    <w:rsid w:val="00627102"/>
    <w:rsid w:val="00627C6A"/>
    <w:rsid w:val="00627E28"/>
    <w:rsid w:val="0063161D"/>
    <w:rsid w:val="00631D0A"/>
    <w:rsid w:val="006323FA"/>
    <w:rsid w:val="00632DF1"/>
    <w:rsid w:val="00634056"/>
    <w:rsid w:val="006347E8"/>
    <w:rsid w:val="00634A68"/>
    <w:rsid w:val="00634B08"/>
    <w:rsid w:val="006351F2"/>
    <w:rsid w:val="00635326"/>
    <w:rsid w:val="006353CF"/>
    <w:rsid w:val="00635844"/>
    <w:rsid w:val="00636760"/>
    <w:rsid w:val="00636C5A"/>
    <w:rsid w:val="00636DA6"/>
    <w:rsid w:val="006372BB"/>
    <w:rsid w:val="00637766"/>
    <w:rsid w:val="0064000B"/>
    <w:rsid w:val="00640678"/>
    <w:rsid w:val="00640A11"/>
    <w:rsid w:val="00640A40"/>
    <w:rsid w:val="00641DCF"/>
    <w:rsid w:val="00642A78"/>
    <w:rsid w:val="0064461F"/>
    <w:rsid w:val="00646320"/>
    <w:rsid w:val="0064632B"/>
    <w:rsid w:val="00646CE3"/>
    <w:rsid w:val="0064797E"/>
    <w:rsid w:val="00647AA3"/>
    <w:rsid w:val="00650759"/>
    <w:rsid w:val="00650A6D"/>
    <w:rsid w:val="00650E87"/>
    <w:rsid w:val="00651D1F"/>
    <w:rsid w:val="00652429"/>
    <w:rsid w:val="006529FB"/>
    <w:rsid w:val="00652AAD"/>
    <w:rsid w:val="00652DFC"/>
    <w:rsid w:val="0065303B"/>
    <w:rsid w:val="0065353A"/>
    <w:rsid w:val="00653C9B"/>
    <w:rsid w:val="00654036"/>
    <w:rsid w:val="00654E90"/>
    <w:rsid w:val="00655C6B"/>
    <w:rsid w:val="00655DBD"/>
    <w:rsid w:val="00656A7D"/>
    <w:rsid w:val="006573A1"/>
    <w:rsid w:val="00657D04"/>
    <w:rsid w:val="0066039C"/>
    <w:rsid w:val="00660E13"/>
    <w:rsid w:val="006619A7"/>
    <w:rsid w:val="00661B0E"/>
    <w:rsid w:val="00661C0F"/>
    <w:rsid w:val="00662C2E"/>
    <w:rsid w:val="00662E2B"/>
    <w:rsid w:val="00663049"/>
    <w:rsid w:val="00663FAF"/>
    <w:rsid w:val="00665246"/>
    <w:rsid w:val="00666A48"/>
    <w:rsid w:val="00667093"/>
    <w:rsid w:val="0066715A"/>
    <w:rsid w:val="0066725D"/>
    <w:rsid w:val="006678DC"/>
    <w:rsid w:val="00667D53"/>
    <w:rsid w:val="006703B1"/>
    <w:rsid w:val="00670C51"/>
    <w:rsid w:val="00670E8E"/>
    <w:rsid w:val="00671E38"/>
    <w:rsid w:val="00671E60"/>
    <w:rsid w:val="00672B72"/>
    <w:rsid w:val="006730D4"/>
    <w:rsid w:val="006735FA"/>
    <w:rsid w:val="00673C4C"/>
    <w:rsid w:val="006745B4"/>
    <w:rsid w:val="00675C08"/>
    <w:rsid w:val="006761B6"/>
    <w:rsid w:val="006762FD"/>
    <w:rsid w:val="00677C84"/>
    <w:rsid w:val="006801FC"/>
    <w:rsid w:val="00681EA3"/>
    <w:rsid w:val="00682A9C"/>
    <w:rsid w:val="00682EC6"/>
    <w:rsid w:val="006831E9"/>
    <w:rsid w:val="00683763"/>
    <w:rsid w:val="00684039"/>
    <w:rsid w:val="00684644"/>
    <w:rsid w:val="00684C27"/>
    <w:rsid w:val="00686484"/>
    <w:rsid w:val="0068717F"/>
    <w:rsid w:val="00687C55"/>
    <w:rsid w:val="006903A1"/>
    <w:rsid w:val="00690DB8"/>
    <w:rsid w:val="006912A8"/>
    <w:rsid w:val="0069196A"/>
    <w:rsid w:val="00691B48"/>
    <w:rsid w:val="00691B7B"/>
    <w:rsid w:val="00691BDA"/>
    <w:rsid w:val="00694144"/>
    <w:rsid w:val="006949BA"/>
    <w:rsid w:val="00695B97"/>
    <w:rsid w:val="006960A0"/>
    <w:rsid w:val="00696B5D"/>
    <w:rsid w:val="00697009"/>
    <w:rsid w:val="0069730A"/>
    <w:rsid w:val="00697663"/>
    <w:rsid w:val="006A02A9"/>
    <w:rsid w:val="006A0D2A"/>
    <w:rsid w:val="006A1766"/>
    <w:rsid w:val="006A1B4F"/>
    <w:rsid w:val="006A4921"/>
    <w:rsid w:val="006A54BB"/>
    <w:rsid w:val="006A6019"/>
    <w:rsid w:val="006B09BB"/>
    <w:rsid w:val="006B243B"/>
    <w:rsid w:val="006B276C"/>
    <w:rsid w:val="006B2D6A"/>
    <w:rsid w:val="006B30D4"/>
    <w:rsid w:val="006B47F5"/>
    <w:rsid w:val="006B48A4"/>
    <w:rsid w:val="006B4BF8"/>
    <w:rsid w:val="006B55AC"/>
    <w:rsid w:val="006B5C41"/>
    <w:rsid w:val="006B5F69"/>
    <w:rsid w:val="006B6302"/>
    <w:rsid w:val="006B6BD4"/>
    <w:rsid w:val="006B79AA"/>
    <w:rsid w:val="006C0276"/>
    <w:rsid w:val="006C0CD7"/>
    <w:rsid w:val="006C0F4D"/>
    <w:rsid w:val="006C20C2"/>
    <w:rsid w:val="006C3030"/>
    <w:rsid w:val="006C3886"/>
    <w:rsid w:val="006C3991"/>
    <w:rsid w:val="006C3BDA"/>
    <w:rsid w:val="006C3FEA"/>
    <w:rsid w:val="006C494A"/>
    <w:rsid w:val="006C4E01"/>
    <w:rsid w:val="006C52FF"/>
    <w:rsid w:val="006C5448"/>
    <w:rsid w:val="006C5B35"/>
    <w:rsid w:val="006C655C"/>
    <w:rsid w:val="006C6CE7"/>
    <w:rsid w:val="006C6DA4"/>
    <w:rsid w:val="006C73ED"/>
    <w:rsid w:val="006C78AE"/>
    <w:rsid w:val="006C7920"/>
    <w:rsid w:val="006C7DEF"/>
    <w:rsid w:val="006D0790"/>
    <w:rsid w:val="006D0806"/>
    <w:rsid w:val="006D09DD"/>
    <w:rsid w:val="006D2276"/>
    <w:rsid w:val="006D28D3"/>
    <w:rsid w:val="006D2ADC"/>
    <w:rsid w:val="006D34C4"/>
    <w:rsid w:val="006D3DE9"/>
    <w:rsid w:val="006D428A"/>
    <w:rsid w:val="006D429A"/>
    <w:rsid w:val="006D4EF7"/>
    <w:rsid w:val="006D5011"/>
    <w:rsid w:val="006D52B0"/>
    <w:rsid w:val="006D59B0"/>
    <w:rsid w:val="006D6B3E"/>
    <w:rsid w:val="006D760C"/>
    <w:rsid w:val="006D7818"/>
    <w:rsid w:val="006E01E9"/>
    <w:rsid w:val="006E0223"/>
    <w:rsid w:val="006E0381"/>
    <w:rsid w:val="006E0528"/>
    <w:rsid w:val="006E08FF"/>
    <w:rsid w:val="006E17BC"/>
    <w:rsid w:val="006E1E44"/>
    <w:rsid w:val="006E2681"/>
    <w:rsid w:val="006E2EDA"/>
    <w:rsid w:val="006E391C"/>
    <w:rsid w:val="006E397C"/>
    <w:rsid w:val="006E3DED"/>
    <w:rsid w:val="006E4B25"/>
    <w:rsid w:val="006E5A70"/>
    <w:rsid w:val="006E6555"/>
    <w:rsid w:val="006E7624"/>
    <w:rsid w:val="006E7970"/>
    <w:rsid w:val="006E7F86"/>
    <w:rsid w:val="006F0C78"/>
    <w:rsid w:val="006F10B1"/>
    <w:rsid w:val="006F10DD"/>
    <w:rsid w:val="006F1549"/>
    <w:rsid w:val="006F23DC"/>
    <w:rsid w:val="006F240A"/>
    <w:rsid w:val="006F2ADC"/>
    <w:rsid w:val="006F2B1B"/>
    <w:rsid w:val="006F2BA4"/>
    <w:rsid w:val="006F3129"/>
    <w:rsid w:val="006F4132"/>
    <w:rsid w:val="006F499B"/>
    <w:rsid w:val="006F4B78"/>
    <w:rsid w:val="006F62BC"/>
    <w:rsid w:val="006F64BE"/>
    <w:rsid w:val="006F68A2"/>
    <w:rsid w:val="006F72AD"/>
    <w:rsid w:val="006F7850"/>
    <w:rsid w:val="007010CE"/>
    <w:rsid w:val="0070121D"/>
    <w:rsid w:val="007013BC"/>
    <w:rsid w:val="00701D13"/>
    <w:rsid w:val="007021AD"/>
    <w:rsid w:val="00702290"/>
    <w:rsid w:val="00702450"/>
    <w:rsid w:val="00702DBA"/>
    <w:rsid w:val="007040E9"/>
    <w:rsid w:val="007047DB"/>
    <w:rsid w:val="00704C37"/>
    <w:rsid w:val="007059A7"/>
    <w:rsid w:val="007059AD"/>
    <w:rsid w:val="007063D4"/>
    <w:rsid w:val="00706ABB"/>
    <w:rsid w:val="0070705E"/>
    <w:rsid w:val="007077E5"/>
    <w:rsid w:val="00707A3A"/>
    <w:rsid w:val="00707C42"/>
    <w:rsid w:val="0071050D"/>
    <w:rsid w:val="00710770"/>
    <w:rsid w:val="00710824"/>
    <w:rsid w:val="00710D49"/>
    <w:rsid w:val="00713216"/>
    <w:rsid w:val="00713369"/>
    <w:rsid w:val="00713EC3"/>
    <w:rsid w:val="00714448"/>
    <w:rsid w:val="007156AC"/>
    <w:rsid w:val="00716857"/>
    <w:rsid w:val="00716AEF"/>
    <w:rsid w:val="00717282"/>
    <w:rsid w:val="00717ABD"/>
    <w:rsid w:val="00717ACE"/>
    <w:rsid w:val="00717FD7"/>
    <w:rsid w:val="00720949"/>
    <w:rsid w:val="007212F7"/>
    <w:rsid w:val="00721561"/>
    <w:rsid w:val="00721752"/>
    <w:rsid w:val="00722B3B"/>
    <w:rsid w:val="00722CF0"/>
    <w:rsid w:val="00722DD4"/>
    <w:rsid w:val="00723C60"/>
    <w:rsid w:val="00724806"/>
    <w:rsid w:val="00724CBA"/>
    <w:rsid w:val="00725F2C"/>
    <w:rsid w:val="00726972"/>
    <w:rsid w:val="00727037"/>
    <w:rsid w:val="007270C1"/>
    <w:rsid w:val="00727370"/>
    <w:rsid w:val="00730127"/>
    <w:rsid w:val="00731D93"/>
    <w:rsid w:val="00731FF7"/>
    <w:rsid w:val="00732111"/>
    <w:rsid w:val="0073238B"/>
    <w:rsid w:val="007348B9"/>
    <w:rsid w:val="007359B7"/>
    <w:rsid w:val="00735E25"/>
    <w:rsid w:val="00736545"/>
    <w:rsid w:val="00737EE7"/>
    <w:rsid w:val="0074064E"/>
    <w:rsid w:val="007413B9"/>
    <w:rsid w:val="00741BFF"/>
    <w:rsid w:val="00742972"/>
    <w:rsid w:val="00742D65"/>
    <w:rsid w:val="00743C75"/>
    <w:rsid w:val="00744568"/>
    <w:rsid w:val="007452B2"/>
    <w:rsid w:val="007455B5"/>
    <w:rsid w:val="00747250"/>
    <w:rsid w:val="00747C9D"/>
    <w:rsid w:val="00747D05"/>
    <w:rsid w:val="00750BFC"/>
    <w:rsid w:val="007510F9"/>
    <w:rsid w:val="00751C0F"/>
    <w:rsid w:val="00751F02"/>
    <w:rsid w:val="00751FC9"/>
    <w:rsid w:val="00752036"/>
    <w:rsid w:val="00752315"/>
    <w:rsid w:val="00753610"/>
    <w:rsid w:val="007543B0"/>
    <w:rsid w:val="0075555B"/>
    <w:rsid w:val="007568A9"/>
    <w:rsid w:val="00757C9B"/>
    <w:rsid w:val="00760563"/>
    <w:rsid w:val="007606D5"/>
    <w:rsid w:val="00760FE5"/>
    <w:rsid w:val="0076116D"/>
    <w:rsid w:val="007616BB"/>
    <w:rsid w:val="007620C5"/>
    <w:rsid w:val="007622A9"/>
    <w:rsid w:val="0076246E"/>
    <w:rsid w:val="00762D78"/>
    <w:rsid w:val="00763213"/>
    <w:rsid w:val="00764BDC"/>
    <w:rsid w:val="00764E09"/>
    <w:rsid w:val="00767B6E"/>
    <w:rsid w:val="007710AF"/>
    <w:rsid w:val="00771AC3"/>
    <w:rsid w:val="007724D2"/>
    <w:rsid w:val="00773A6E"/>
    <w:rsid w:val="007742BE"/>
    <w:rsid w:val="00774849"/>
    <w:rsid w:val="00774F82"/>
    <w:rsid w:val="00775AD5"/>
    <w:rsid w:val="0077639A"/>
    <w:rsid w:val="00776903"/>
    <w:rsid w:val="00776AB5"/>
    <w:rsid w:val="0078100C"/>
    <w:rsid w:val="0078121D"/>
    <w:rsid w:val="007813C7"/>
    <w:rsid w:val="00781444"/>
    <w:rsid w:val="007819FC"/>
    <w:rsid w:val="00782780"/>
    <w:rsid w:val="007827EA"/>
    <w:rsid w:val="007838F4"/>
    <w:rsid w:val="00783A6E"/>
    <w:rsid w:val="00783DA6"/>
    <w:rsid w:val="00784113"/>
    <w:rsid w:val="007841DD"/>
    <w:rsid w:val="00784BE2"/>
    <w:rsid w:val="007854E6"/>
    <w:rsid w:val="00785990"/>
    <w:rsid w:val="00785D2D"/>
    <w:rsid w:val="0078772C"/>
    <w:rsid w:val="007878E4"/>
    <w:rsid w:val="00790400"/>
    <w:rsid w:val="0079045D"/>
    <w:rsid w:val="007905B2"/>
    <w:rsid w:val="007908F2"/>
    <w:rsid w:val="00790D65"/>
    <w:rsid w:val="00791408"/>
    <w:rsid w:val="00791824"/>
    <w:rsid w:val="007925BD"/>
    <w:rsid w:val="007937B5"/>
    <w:rsid w:val="00793A23"/>
    <w:rsid w:val="00794311"/>
    <w:rsid w:val="00794908"/>
    <w:rsid w:val="00796B5E"/>
    <w:rsid w:val="007A07C5"/>
    <w:rsid w:val="007A0AEE"/>
    <w:rsid w:val="007A148E"/>
    <w:rsid w:val="007A1EBF"/>
    <w:rsid w:val="007A1FCB"/>
    <w:rsid w:val="007A203D"/>
    <w:rsid w:val="007A22B8"/>
    <w:rsid w:val="007A232D"/>
    <w:rsid w:val="007A2761"/>
    <w:rsid w:val="007A2DD5"/>
    <w:rsid w:val="007A3387"/>
    <w:rsid w:val="007A3CC1"/>
    <w:rsid w:val="007A4272"/>
    <w:rsid w:val="007A43CA"/>
    <w:rsid w:val="007A47D5"/>
    <w:rsid w:val="007A4BA6"/>
    <w:rsid w:val="007A5191"/>
    <w:rsid w:val="007A5768"/>
    <w:rsid w:val="007A6991"/>
    <w:rsid w:val="007A7452"/>
    <w:rsid w:val="007A76DF"/>
    <w:rsid w:val="007B012A"/>
    <w:rsid w:val="007B0491"/>
    <w:rsid w:val="007B0943"/>
    <w:rsid w:val="007B0E63"/>
    <w:rsid w:val="007B2510"/>
    <w:rsid w:val="007B337A"/>
    <w:rsid w:val="007B3AE8"/>
    <w:rsid w:val="007B3D5C"/>
    <w:rsid w:val="007B3DFE"/>
    <w:rsid w:val="007B4131"/>
    <w:rsid w:val="007B4335"/>
    <w:rsid w:val="007B4418"/>
    <w:rsid w:val="007B4FCD"/>
    <w:rsid w:val="007B559A"/>
    <w:rsid w:val="007B6E8F"/>
    <w:rsid w:val="007B7156"/>
    <w:rsid w:val="007B7460"/>
    <w:rsid w:val="007B74D8"/>
    <w:rsid w:val="007B78CB"/>
    <w:rsid w:val="007B7BE4"/>
    <w:rsid w:val="007B7F67"/>
    <w:rsid w:val="007C173D"/>
    <w:rsid w:val="007C1822"/>
    <w:rsid w:val="007C2380"/>
    <w:rsid w:val="007C2E95"/>
    <w:rsid w:val="007C34FB"/>
    <w:rsid w:val="007C3A9E"/>
    <w:rsid w:val="007C3E82"/>
    <w:rsid w:val="007C4079"/>
    <w:rsid w:val="007C44A6"/>
    <w:rsid w:val="007C4971"/>
    <w:rsid w:val="007C4A07"/>
    <w:rsid w:val="007C56B0"/>
    <w:rsid w:val="007C64EB"/>
    <w:rsid w:val="007C6748"/>
    <w:rsid w:val="007C6F14"/>
    <w:rsid w:val="007C7420"/>
    <w:rsid w:val="007D018F"/>
    <w:rsid w:val="007D0396"/>
    <w:rsid w:val="007D212F"/>
    <w:rsid w:val="007D24C0"/>
    <w:rsid w:val="007D2761"/>
    <w:rsid w:val="007D314C"/>
    <w:rsid w:val="007D36DB"/>
    <w:rsid w:val="007D3A37"/>
    <w:rsid w:val="007D3AA0"/>
    <w:rsid w:val="007D3B44"/>
    <w:rsid w:val="007D3C69"/>
    <w:rsid w:val="007D42F4"/>
    <w:rsid w:val="007D459E"/>
    <w:rsid w:val="007D478F"/>
    <w:rsid w:val="007D4D8C"/>
    <w:rsid w:val="007D528E"/>
    <w:rsid w:val="007D57C3"/>
    <w:rsid w:val="007D5A11"/>
    <w:rsid w:val="007D5BFE"/>
    <w:rsid w:val="007D5ECF"/>
    <w:rsid w:val="007D635E"/>
    <w:rsid w:val="007D6634"/>
    <w:rsid w:val="007D697B"/>
    <w:rsid w:val="007D727B"/>
    <w:rsid w:val="007E00E1"/>
    <w:rsid w:val="007E060C"/>
    <w:rsid w:val="007E09B1"/>
    <w:rsid w:val="007E1795"/>
    <w:rsid w:val="007E1CF7"/>
    <w:rsid w:val="007E2815"/>
    <w:rsid w:val="007E2F0D"/>
    <w:rsid w:val="007E318F"/>
    <w:rsid w:val="007E382B"/>
    <w:rsid w:val="007E3E7E"/>
    <w:rsid w:val="007E4811"/>
    <w:rsid w:val="007E6CA8"/>
    <w:rsid w:val="007E6EB0"/>
    <w:rsid w:val="007E75D1"/>
    <w:rsid w:val="007E774E"/>
    <w:rsid w:val="007E7D28"/>
    <w:rsid w:val="007F0287"/>
    <w:rsid w:val="007F1D6A"/>
    <w:rsid w:val="007F241C"/>
    <w:rsid w:val="007F2487"/>
    <w:rsid w:val="007F24FD"/>
    <w:rsid w:val="007F2D42"/>
    <w:rsid w:val="007F38AB"/>
    <w:rsid w:val="007F3E56"/>
    <w:rsid w:val="007F509E"/>
    <w:rsid w:val="007F5970"/>
    <w:rsid w:val="007F5A3C"/>
    <w:rsid w:val="007F5B3A"/>
    <w:rsid w:val="007F5C75"/>
    <w:rsid w:val="007F5DE8"/>
    <w:rsid w:val="007F6349"/>
    <w:rsid w:val="007F7076"/>
    <w:rsid w:val="007F71F1"/>
    <w:rsid w:val="007F727A"/>
    <w:rsid w:val="007F77B6"/>
    <w:rsid w:val="007F7CD0"/>
    <w:rsid w:val="00800A75"/>
    <w:rsid w:val="00801DD3"/>
    <w:rsid w:val="00801DE2"/>
    <w:rsid w:val="0080282F"/>
    <w:rsid w:val="008034CF"/>
    <w:rsid w:val="00803AFA"/>
    <w:rsid w:val="00803EF3"/>
    <w:rsid w:val="00805CC9"/>
    <w:rsid w:val="00805EB4"/>
    <w:rsid w:val="008064A9"/>
    <w:rsid w:val="008104B1"/>
    <w:rsid w:val="00810603"/>
    <w:rsid w:val="00811CF2"/>
    <w:rsid w:val="0081244E"/>
    <w:rsid w:val="0081358D"/>
    <w:rsid w:val="008135EF"/>
    <w:rsid w:val="008146FF"/>
    <w:rsid w:val="0081499B"/>
    <w:rsid w:val="00814A67"/>
    <w:rsid w:val="00814BDD"/>
    <w:rsid w:val="00814FDE"/>
    <w:rsid w:val="00815212"/>
    <w:rsid w:val="00815524"/>
    <w:rsid w:val="0081669D"/>
    <w:rsid w:val="00816D81"/>
    <w:rsid w:val="00816DFD"/>
    <w:rsid w:val="008170BE"/>
    <w:rsid w:val="00817B83"/>
    <w:rsid w:val="00820F9B"/>
    <w:rsid w:val="00821766"/>
    <w:rsid w:val="00821938"/>
    <w:rsid w:val="00821CC0"/>
    <w:rsid w:val="00822468"/>
    <w:rsid w:val="00823739"/>
    <w:rsid w:val="00823A00"/>
    <w:rsid w:val="008244C4"/>
    <w:rsid w:val="00824687"/>
    <w:rsid w:val="0082487F"/>
    <w:rsid w:val="00824A2E"/>
    <w:rsid w:val="00824AE3"/>
    <w:rsid w:val="00825447"/>
    <w:rsid w:val="008254AE"/>
    <w:rsid w:val="00825AD8"/>
    <w:rsid w:val="0082685C"/>
    <w:rsid w:val="00827940"/>
    <w:rsid w:val="00827FBB"/>
    <w:rsid w:val="008305B8"/>
    <w:rsid w:val="008305DB"/>
    <w:rsid w:val="00831C64"/>
    <w:rsid w:val="008322B3"/>
    <w:rsid w:val="0083324D"/>
    <w:rsid w:val="0083334D"/>
    <w:rsid w:val="008333CE"/>
    <w:rsid w:val="0083378A"/>
    <w:rsid w:val="0083425C"/>
    <w:rsid w:val="0083429F"/>
    <w:rsid w:val="00834DB4"/>
    <w:rsid w:val="008363DF"/>
    <w:rsid w:val="00836AB3"/>
    <w:rsid w:val="00836BC7"/>
    <w:rsid w:val="00837590"/>
    <w:rsid w:val="008378E1"/>
    <w:rsid w:val="00840179"/>
    <w:rsid w:val="008406AC"/>
    <w:rsid w:val="00840CEB"/>
    <w:rsid w:val="00841733"/>
    <w:rsid w:val="00842227"/>
    <w:rsid w:val="008424AC"/>
    <w:rsid w:val="00842513"/>
    <w:rsid w:val="008434D1"/>
    <w:rsid w:val="008438A5"/>
    <w:rsid w:val="00844183"/>
    <w:rsid w:val="00844306"/>
    <w:rsid w:val="00844C15"/>
    <w:rsid w:val="00845F99"/>
    <w:rsid w:val="00846046"/>
    <w:rsid w:val="008478A7"/>
    <w:rsid w:val="00850030"/>
    <w:rsid w:val="008507AF"/>
    <w:rsid w:val="00850BC6"/>
    <w:rsid w:val="008513B7"/>
    <w:rsid w:val="00851692"/>
    <w:rsid w:val="008522F9"/>
    <w:rsid w:val="008525E2"/>
    <w:rsid w:val="00852A6B"/>
    <w:rsid w:val="008532B9"/>
    <w:rsid w:val="008536DB"/>
    <w:rsid w:val="00853BC2"/>
    <w:rsid w:val="0085464E"/>
    <w:rsid w:val="00854B0D"/>
    <w:rsid w:val="0085535A"/>
    <w:rsid w:val="008558C9"/>
    <w:rsid w:val="008559BB"/>
    <w:rsid w:val="00855FBA"/>
    <w:rsid w:val="0085650D"/>
    <w:rsid w:val="00856FF8"/>
    <w:rsid w:val="00857315"/>
    <w:rsid w:val="0085798E"/>
    <w:rsid w:val="00857C96"/>
    <w:rsid w:val="008600BA"/>
    <w:rsid w:val="00860FBE"/>
    <w:rsid w:val="0086236A"/>
    <w:rsid w:val="00862D33"/>
    <w:rsid w:val="00863880"/>
    <w:rsid w:val="00863B5C"/>
    <w:rsid w:val="00864BB3"/>
    <w:rsid w:val="00864C1B"/>
    <w:rsid w:val="00865D6C"/>
    <w:rsid w:val="00865DB6"/>
    <w:rsid w:val="00865E10"/>
    <w:rsid w:val="0086627F"/>
    <w:rsid w:val="0086645E"/>
    <w:rsid w:val="0086719F"/>
    <w:rsid w:val="00867C71"/>
    <w:rsid w:val="00870758"/>
    <w:rsid w:val="00870B9F"/>
    <w:rsid w:val="008724C6"/>
    <w:rsid w:val="008728BE"/>
    <w:rsid w:val="008729A7"/>
    <w:rsid w:val="00872A9F"/>
    <w:rsid w:val="00872BC0"/>
    <w:rsid w:val="008734BC"/>
    <w:rsid w:val="008738B4"/>
    <w:rsid w:val="00875629"/>
    <w:rsid w:val="00875CEA"/>
    <w:rsid w:val="0087664D"/>
    <w:rsid w:val="0087687F"/>
    <w:rsid w:val="00876E2C"/>
    <w:rsid w:val="0087709B"/>
    <w:rsid w:val="00877C1A"/>
    <w:rsid w:val="00877EC8"/>
    <w:rsid w:val="00880CB7"/>
    <w:rsid w:val="00881654"/>
    <w:rsid w:val="00882ADC"/>
    <w:rsid w:val="00883E89"/>
    <w:rsid w:val="00883F91"/>
    <w:rsid w:val="00884BB4"/>
    <w:rsid w:val="00884EB3"/>
    <w:rsid w:val="00886591"/>
    <w:rsid w:val="00886B79"/>
    <w:rsid w:val="00890C15"/>
    <w:rsid w:val="00890E0D"/>
    <w:rsid w:val="00891762"/>
    <w:rsid w:val="00891959"/>
    <w:rsid w:val="00892629"/>
    <w:rsid w:val="00892762"/>
    <w:rsid w:val="00893917"/>
    <w:rsid w:val="00895A98"/>
    <w:rsid w:val="008966F0"/>
    <w:rsid w:val="00896B35"/>
    <w:rsid w:val="008970E3"/>
    <w:rsid w:val="008A02BA"/>
    <w:rsid w:val="008A0DDE"/>
    <w:rsid w:val="008A23C0"/>
    <w:rsid w:val="008A28F9"/>
    <w:rsid w:val="008A2C40"/>
    <w:rsid w:val="008A3F38"/>
    <w:rsid w:val="008A4283"/>
    <w:rsid w:val="008A43E2"/>
    <w:rsid w:val="008A4557"/>
    <w:rsid w:val="008A4645"/>
    <w:rsid w:val="008A5B1F"/>
    <w:rsid w:val="008A5D96"/>
    <w:rsid w:val="008A65A0"/>
    <w:rsid w:val="008B0138"/>
    <w:rsid w:val="008B018C"/>
    <w:rsid w:val="008B0560"/>
    <w:rsid w:val="008B0783"/>
    <w:rsid w:val="008B0EB9"/>
    <w:rsid w:val="008B0FA2"/>
    <w:rsid w:val="008B13D0"/>
    <w:rsid w:val="008B1DD0"/>
    <w:rsid w:val="008B1EDA"/>
    <w:rsid w:val="008B3228"/>
    <w:rsid w:val="008B39D1"/>
    <w:rsid w:val="008B4236"/>
    <w:rsid w:val="008B493E"/>
    <w:rsid w:val="008B6DBA"/>
    <w:rsid w:val="008B76A7"/>
    <w:rsid w:val="008B7719"/>
    <w:rsid w:val="008C01E5"/>
    <w:rsid w:val="008C02CB"/>
    <w:rsid w:val="008C0395"/>
    <w:rsid w:val="008C18FD"/>
    <w:rsid w:val="008C19F2"/>
    <w:rsid w:val="008C2472"/>
    <w:rsid w:val="008C318C"/>
    <w:rsid w:val="008C3420"/>
    <w:rsid w:val="008C5459"/>
    <w:rsid w:val="008C78C8"/>
    <w:rsid w:val="008C7905"/>
    <w:rsid w:val="008D0648"/>
    <w:rsid w:val="008D0905"/>
    <w:rsid w:val="008D0FD8"/>
    <w:rsid w:val="008D10EF"/>
    <w:rsid w:val="008D1187"/>
    <w:rsid w:val="008D1BB2"/>
    <w:rsid w:val="008D1FD4"/>
    <w:rsid w:val="008D26C7"/>
    <w:rsid w:val="008D2C2E"/>
    <w:rsid w:val="008D2FB6"/>
    <w:rsid w:val="008D3767"/>
    <w:rsid w:val="008D439F"/>
    <w:rsid w:val="008D4F0E"/>
    <w:rsid w:val="008D5E8A"/>
    <w:rsid w:val="008D688D"/>
    <w:rsid w:val="008D70F4"/>
    <w:rsid w:val="008D7487"/>
    <w:rsid w:val="008D7524"/>
    <w:rsid w:val="008D75E8"/>
    <w:rsid w:val="008E04DB"/>
    <w:rsid w:val="008E0B70"/>
    <w:rsid w:val="008E0F51"/>
    <w:rsid w:val="008E10E9"/>
    <w:rsid w:val="008E10EF"/>
    <w:rsid w:val="008E128F"/>
    <w:rsid w:val="008E138D"/>
    <w:rsid w:val="008E2821"/>
    <w:rsid w:val="008E3F85"/>
    <w:rsid w:val="008E4526"/>
    <w:rsid w:val="008E496C"/>
    <w:rsid w:val="008E4C54"/>
    <w:rsid w:val="008E4F4F"/>
    <w:rsid w:val="008E5268"/>
    <w:rsid w:val="008E5602"/>
    <w:rsid w:val="008E5D09"/>
    <w:rsid w:val="008E657A"/>
    <w:rsid w:val="008E67D3"/>
    <w:rsid w:val="008E6C5B"/>
    <w:rsid w:val="008E7252"/>
    <w:rsid w:val="008E726A"/>
    <w:rsid w:val="008E74D1"/>
    <w:rsid w:val="008E7710"/>
    <w:rsid w:val="008E7C8E"/>
    <w:rsid w:val="008F04BD"/>
    <w:rsid w:val="008F053C"/>
    <w:rsid w:val="008F0AB6"/>
    <w:rsid w:val="008F0B1A"/>
    <w:rsid w:val="008F0E7F"/>
    <w:rsid w:val="008F250B"/>
    <w:rsid w:val="008F2C6B"/>
    <w:rsid w:val="008F46B9"/>
    <w:rsid w:val="008F49C5"/>
    <w:rsid w:val="008F4F8F"/>
    <w:rsid w:val="008F55E3"/>
    <w:rsid w:val="008F5EAD"/>
    <w:rsid w:val="008F606B"/>
    <w:rsid w:val="008F6DCA"/>
    <w:rsid w:val="009004D4"/>
    <w:rsid w:val="00900E3A"/>
    <w:rsid w:val="00901122"/>
    <w:rsid w:val="00901A60"/>
    <w:rsid w:val="00901E1F"/>
    <w:rsid w:val="00901F0B"/>
    <w:rsid w:val="00901F94"/>
    <w:rsid w:val="009027D2"/>
    <w:rsid w:val="00903510"/>
    <w:rsid w:val="00903523"/>
    <w:rsid w:val="009036A4"/>
    <w:rsid w:val="00903CA8"/>
    <w:rsid w:val="00903D29"/>
    <w:rsid w:val="00903F34"/>
    <w:rsid w:val="00904147"/>
    <w:rsid w:val="00906519"/>
    <w:rsid w:val="009078F5"/>
    <w:rsid w:val="00910218"/>
    <w:rsid w:val="0091039F"/>
    <w:rsid w:val="00912102"/>
    <w:rsid w:val="009121E7"/>
    <w:rsid w:val="009122A1"/>
    <w:rsid w:val="009122C0"/>
    <w:rsid w:val="00912316"/>
    <w:rsid w:val="00912429"/>
    <w:rsid w:val="009126F3"/>
    <w:rsid w:val="009129CC"/>
    <w:rsid w:val="009136BF"/>
    <w:rsid w:val="00913A64"/>
    <w:rsid w:val="00914155"/>
    <w:rsid w:val="009143DC"/>
    <w:rsid w:val="009146B3"/>
    <w:rsid w:val="0091493B"/>
    <w:rsid w:val="0091493E"/>
    <w:rsid w:val="00915D0D"/>
    <w:rsid w:val="00915EA4"/>
    <w:rsid w:val="00915FAB"/>
    <w:rsid w:val="009168D0"/>
    <w:rsid w:val="00916D70"/>
    <w:rsid w:val="00916F1D"/>
    <w:rsid w:val="00916F96"/>
    <w:rsid w:val="009170FC"/>
    <w:rsid w:val="00917E05"/>
    <w:rsid w:val="00917F01"/>
    <w:rsid w:val="00920080"/>
    <w:rsid w:val="009200D2"/>
    <w:rsid w:val="00920345"/>
    <w:rsid w:val="009205D6"/>
    <w:rsid w:val="00920B4A"/>
    <w:rsid w:val="009211F6"/>
    <w:rsid w:val="00921BB6"/>
    <w:rsid w:val="00921D1C"/>
    <w:rsid w:val="00922A66"/>
    <w:rsid w:val="00922B86"/>
    <w:rsid w:val="00922DB9"/>
    <w:rsid w:val="009239E4"/>
    <w:rsid w:val="00924504"/>
    <w:rsid w:val="009245D7"/>
    <w:rsid w:val="009251C9"/>
    <w:rsid w:val="00926AC4"/>
    <w:rsid w:val="00927547"/>
    <w:rsid w:val="0092771C"/>
    <w:rsid w:val="0093002C"/>
    <w:rsid w:val="00930147"/>
    <w:rsid w:val="00930407"/>
    <w:rsid w:val="00930E63"/>
    <w:rsid w:val="009316B7"/>
    <w:rsid w:val="00931BCB"/>
    <w:rsid w:val="00932679"/>
    <w:rsid w:val="00932A39"/>
    <w:rsid w:val="0093300D"/>
    <w:rsid w:val="009331DB"/>
    <w:rsid w:val="00934005"/>
    <w:rsid w:val="0093438E"/>
    <w:rsid w:val="00934A95"/>
    <w:rsid w:val="00934D0F"/>
    <w:rsid w:val="00935580"/>
    <w:rsid w:val="009358F8"/>
    <w:rsid w:val="00936368"/>
    <w:rsid w:val="00936E05"/>
    <w:rsid w:val="00937718"/>
    <w:rsid w:val="00937B36"/>
    <w:rsid w:val="009403A0"/>
    <w:rsid w:val="00940B59"/>
    <w:rsid w:val="00941268"/>
    <w:rsid w:val="0094181A"/>
    <w:rsid w:val="0094191E"/>
    <w:rsid w:val="00941D36"/>
    <w:rsid w:val="00941D81"/>
    <w:rsid w:val="00942436"/>
    <w:rsid w:val="009425DF"/>
    <w:rsid w:val="00942C26"/>
    <w:rsid w:val="00942F2B"/>
    <w:rsid w:val="00942F97"/>
    <w:rsid w:val="009430A5"/>
    <w:rsid w:val="009432CB"/>
    <w:rsid w:val="00943716"/>
    <w:rsid w:val="00943BF6"/>
    <w:rsid w:val="009440E8"/>
    <w:rsid w:val="009446ED"/>
    <w:rsid w:val="009458EB"/>
    <w:rsid w:val="00946A92"/>
    <w:rsid w:val="009470C5"/>
    <w:rsid w:val="0094756A"/>
    <w:rsid w:val="00947D67"/>
    <w:rsid w:val="00947F47"/>
    <w:rsid w:val="00950B4B"/>
    <w:rsid w:val="00951B2B"/>
    <w:rsid w:val="00951E43"/>
    <w:rsid w:val="00951F63"/>
    <w:rsid w:val="00952478"/>
    <w:rsid w:val="00952738"/>
    <w:rsid w:val="00952831"/>
    <w:rsid w:val="00952981"/>
    <w:rsid w:val="00952A3D"/>
    <w:rsid w:val="00953162"/>
    <w:rsid w:val="0095344E"/>
    <w:rsid w:val="00954D1A"/>
    <w:rsid w:val="009551DB"/>
    <w:rsid w:val="00955214"/>
    <w:rsid w:val="009552D4"/>
    <w:rsid w:val="00955D7B"/>
    <w:rsid w:val="009568B5"/>
    <w:rsid w:val="009568FE"/>
    <w:rsid w:val="00956BAC"/>
    <w:rsid w:val="0095737F"/>
    <w:rsid w:val="00957A1D"/>
    <w:rsid w:val="00960955"/>
    <w:rsid w:val="00962691"/>
    <w:rsid w:val="00962B26"/>
    <w:rsid w:val="00963818"/>
    <w:rsid w:val="00964208"/>
    <w:rsid w:val="00965C10"/>
    <w:rsid w:val="00965C63"/>
    <w:rsid w:val="0096733E"/>
    <w:rsid w:val="0096742A"/>
    <w:rsid w:val="009677C1"/>
    <w:rsid w:val="00970646"/>
    <w:rsid w:val="00970CAF"/>
    <w:rsid w:val="00970F81"/>
    <w:rsid w:val="009710DA"/>
    <w:rsid w:val="0097186F"/>
    <w:rsid w:val="0097236D"/>
    <w:rsid w:val="0097239B"/>
    <w:rsid w:val="009727EC"/>
    <w:rsid w:val="00973300"/>
    <w:rsid w:val="0097351D"/>
    <w:rsid w:val="00974544"/>
    <w:rsid w:val="00974CD0"/>
    <w:rsid w:val="00974DAF"/>
    <w:rsid w:val="009763AA"/>
    <w:rsid w:val="0098019D"/>
    <w:rsid w:val="00980F0D"/>
    <w:rsid w:val="0098165B"/>
    <w:rsid w:val="00981724"/>
    <w:rsid w:val="009819BD"/>
    <w:rsid w:val="00982309"/>
    <w:rsid w:val="009828A8"/>
    <w:rsid w:val="0098384C"/>
    <w:rsid w:val="00985537"/>
    <w:rsid w:val="009858B6"/>
    <w:rsid w:val="00986DD4"/>
    <w:rsid w:val="00987B1B"/>
    <w:rsid w:val="0099030A"/>
    <w:rsid w:val="009907E6"/>
    <w:rsid w:val="00990C3D"/>
    <w:rsid w:val="00990C57"/>
    <w:rsid w:val="00992410"/>
    <w:rsid w:val="0099297B"/>
    <w:rsid w:val="00992D1E"/>
    <w:rsid w:val="009930B2"/>
    <w:rsid w:val="00993893"/>
    <w:rsid w:val="00993908"/>
    <w:rsid w:val="009949F8"/>
    <w:rsid w:val="009950A2"/>
    <w:rsid w:val="00995505"/>
    <w:rsid w:val="009955BB"/>
    <w:rsid w:val="00995D34"/>
    <w:rsid w:val="0099619C"/>
    <w:rsid w:val="009971EC"/>
    <w:rsid w:val="00997D8D"/>
    <w:rsid w:val="009A0168"/>
    <w:rsid w:val="009A0751"/>
    <w:rsid w:val="009A077C"/>
    <w:rsid w:val="009A0788"/>
    <w:rsid w:val="009A178B"/>
    <w:rsid w:val="009A193A"/>
    <w:rsid w:val="009A278E"/>
    <w:rsid w:val="009A3838"/>
    <w:rsid w:val="009A395A"/>
    <w:rsid w:val="009A3D83"/>
    <w:rsid w:val="009A4E61"/>
    <w:rsid w:val="009A64BB"/>
    <w:rsid w:val="009A6E96"/>
    <w:rsid w:val="009A72D1"/>
    <w:rsid w:val="009B0273"/>
    <w:rsid w:val="009B071F"/>
    <w:rsid w:val="009B19F1"/>
    <w:rsid w:val="009B1CDC"/>
    <w:rsid w:val="009B337B"/>
    <w:rsid w:val="009B4189"/>
    <w:rsid w:val="009B4B4C"/>
    <w:rsid w:val="009B5017"/>
    <w:rsid w:val="009B61F1"/>
    <w:rsid w:val="009B6890"/>
    <w:rsid w:val="009B6F76"/>
    <w:rsid w:val="009B7286"/>
    <w:rsid w:val="009B7519"/>
    <w:rsid w:val="009B7674"/>
    <w:rsid w:val="009C00AF"/>
    <w:rsid w:val="009C0835"/>
    <w:rsid w:val="009C0A33"/>
    <w:rsid w:val="009C0A7A"/>
    <w:rsid w:val="009C1107"/>
    <w:rsid w:val="009C155F"/>
    <w:rsid w:val="009C2223"/>
    <w:rsid w:val="009C35D5"/>
    <w:rsid w:val="009C3DFA"/>
    <w:rsid w:val="009C419B"/>
    <w:rsid w:val="009C449E"/>
    <w:rsid w:val="009C480B"/>
    <w:rsid w:val="009C499C"/>
    <w:rsid w:val="009C4C5F"/>
    <w:rsid w:val="009C5E66"/>
    <w:rsid w:val="009C5EAC"/>
    <w:rsid w:val="009C643E"/>
    <w:rsid w:val="009C6F38"/>
    <w:rsid w:val="009C75A5"/>
    <w:rsid w:val="009C7D54"/>
    <w:rsid w:val="009D021F"/>
    <w:rsid w:val="009D04EC"/>
    <w:rsid w:val="009D057B"/>
    <w:rsid w:val="009D0C82"/>
    <w:rsid w:val="009D0D86"/>
    <w:rsid w:val="009D12BD"/>
    <w:rsid w:val="009D16CC"/>
    <w:rsid w:val="009D1CAF"/>
    <w:rsid w:val="009D1E82"/>
    <w:rsid w:val="009D1EF4"/>
    <w:rsid w:val="009D29AA"/>
    <w:rsid w:val="009D3687"/>
    <w:rsid w:val="009D46AE"/>
    <w:rsid w:val="009D5233"/>
    <w:rsid w:val="009D55C3"/>
    <w:rsid w:val="009D5741"/>
    <w:rsid w:val="009D5D3E"/>
    <w:rsid w:val="009D6100"/>
    <w:rsid w:val="009D6D35"/>
    <w:rsid w:val="009D79D3"/>
    <w:rsid w:val="009D7D33"/>
    <w:rsid w:val="009E1597"/>
    <w:rsid w:val="009E199A"/>
    <w:rsid w:val="009E1A0A"/>
    <w:rsid w:val="009E26A1"/>
    <w:rsid w:val="009E2982"/>
    <w:rsid w:val="009E2AB9"/>
    <w:rsid w:val="009E3E8B"/>
    <w:rsid w:val="009E5099"/>
    <w:rsid w:val="009E5516"/>
    <w:rsid w:val="009E560D"/>
    <w:rsid w:val="009E58A6"/>
    <w:rsid w:val="009F0252"/>
    <w:rsid w:val="009F1547"/>
    <w:rsid w:val="009F27B3"/>
    <w:rsid w:val="009F2A43"/>
    <w:rsid w:val="009F398E"/>
    <w:rsid w:val="009F3FC7"/>
    <w:rsid w:val="009F5022"/>
    <w:rsid w:val="009F5AA4"/>
    <w:rsid w:val="009F623B"/>
    <w:rsid w:val="009F6246"/>
    <w:rsid w:val="009F6E28"/>
    <w:rsid w:val="009F7E33"/>
    <w:rsid w:val="009F7FAE"/>
    <w:rsid w:val="00A00CF8"/>
    <w:rsid w:val="00A00DA5"/>
    <w:rsid w:val="00A019C2"/>
    <w:rsid w:val="00A01A36"/>
    <w:rsid w:val="00A01B25"/>
    <w:rsid w:val="00A01B45"/>
    <w:rsid w:val="00A024BC"/>
    <w:rsid w:val="00A02CE8"/>
    <w:rsid w:val="00A02EAA"/>
    <w:rsid w:val="00A0338C"/>
    <w:rsid w:val="00A034BC"/>
    <w:rsid w:val="00A03DF8"/>
    <w:rsid w:val="00A03DFA"/>
    <w:rsid w:val="00A04627"/>
    <w:rsid w:val="00A04F57"/>
    <w:rsid w:val="00A051EB"/>
    <w:rsid w:val="00A0570E"/>
    <w:rsid w:val="00A059F9"/>
    <w:rsid w:val="00A0686E"/>
    <w:rsid w:val="00A07A41"/>
    <w:rsid w:val="00A106CC"/>
    <w:rsid w:val="00A108BD"/>
    <w:rsid w:val="00A10A4A"/>
    <w:rsid w:val="00A117DD"/>
    <w:rsid w:val="00A12417"/>
    <w:rsid w:val="00A13091"/>
    <w:rsid w:val="00A14C15"/>
    <w:rsid w:val="00A1573D"/>
    <w:rsid w:val="00A159D3"/>
    <w:rsid w:val="00A1670E"/>
    <w:rsid w:val="00A167C3"/>
    <w:rsid w:val="00A16D1F"/>
    <w:rsid w:val="00A17480"/>
    <w:rsid w:val="00A20049"/>
    <w:rsid w:val="00A208EF"/>
    <w:rsid w:val="00A20A91"/>
    <w:rsid w:val="00A21582"/>
    <w:rsid w:val="00A227E2"/>
    <w:rsid w:val="00A2291F"/>
    <w:rsid w:val="00A22A54"/>
    <w:rsid w:val="00A22AAC"/>
    <w:rsid w:val="00A23CB0"/>
    <w:rsid w:val="00A24595"/>
    <w:rsid w:val="00A247EB"/>
    <w:rsid w:val="00A24AA2"/>
    <w:rsid w:val="00A2506F"/>
    <w:rsid w:val="00A25346"/>
    <w:rsid w:val="00A25F06"/>
    <w:rsid w:val="00A26DF2"/>
    <w:rsid w:val="00A27DEE"/>
    <w:rsid w:val="00A27E20"/>
    <w:rsid w:val="00A304E2"/>
    <w:rsid w:val="00A308F1"/>
    <w:rsid w:val="00A309D3"/>
    <w:rsid w:val="00A32165"/>
    <w:rsid w:val="00A32453"/>
    <w:rsid w:val="00A324A7"/>
    <w:rsid w:val="00A329F2"/>
    <w:rsid w:val="00A32F2D"/>
    <w:rsid w:val="00A333A5"/>
    <w:rsid w:val="00A3527D"/>
    <w:rsid w:val="00A3557C"/>
    <w:rsid w:val="00A36172"/>
    <w:rsid w:val="00A367FA"/>
    <w:rsid w:val="00A36BEF"/>
    <w:rsid w:val="00A370CB"/>
    <w:rsid w:val="00A404F5"/>
    <w:rsid w:val="00A40EF9"/>
    <w:rsid w:val="00A41062"/>
    <w:rsid w:val="00A429AE"/>
    <w:rsid w:val="00A42D49"/>
    <w:rsid w:val="00A42F55"/>
    <w:rsid w:val="00A4331B"/>
    <w:rsid w:val="00A43320"/>
    <w:rsid w:val="00A44F74"/>
    <w:rsid w:val="00A4562B"/>
    <w:rsid w:val="00A45B1C"/>
    <w:rsid w:val="00A46155"/>
    <w:rsid w:val="00A466F1"/>
    <w:rsid w:val="00A4781C"/>
    <w:rsid w:val="00A5065F"/>
    <w:rsid w:val="00A513A6"/>
    <w:rsid w:val="00A514C6"/>
    <w:rsid w:val="00A5173A"/>
    <w:rsid w:val="00A51C59"/>
    <w:rsid w:val="00A51D9A"/>
    <w:rsid w:val="00A535E5"/>
    <w:rsid w:val="00A54577"/>
    <w:rsid w:val="00A558AC"/>
    <w:rsid w:val="00A559BD"/>
    <w:rsid w:val="00A55D5C"/>
    <w:rsid w:val="00A60175"/>
    <w:rsid w:val="00A606B7"/>
    <w:rsid w:val="00A60B20"/>
    <w:rsid w:val="00A61381"/>
    <w:rsid w:val="00A62039"/>
    <w:rsid w:val="00A62CCB"/>
    <w:rsid w:val="00A634AA"/>
    <w:rsid w:val="00A635D3"/>
    <w:rsid w:val="00A63C71"/>
    <w:rsid w:val="00A64F00"/>
    <w:rsid w:val="00A659EF"/>
    <w:rsid w:val="00A65CE8"/>
    <w:rsid w:val="00A65F77"/>
    <w:rsid w:val="00A66246"/>
    <w:rsid w:val="00A6634B"/>
    <w:rsid w:val="00A666B0"/>
    <w:rsid w:val="00A668C3"/>
    <w:rsid w:val="00A66BED"/>
    <w:rsid w:val="00A66F14"/>
    <w:rsid w:val="00A6707E"/>
    <w:rsid w:val="00A67923"/>
    <w:rsid w:val="00A67C12"/>
    <w:rsid w:val="00A67D87"/>
    <w:rsid w:val="00A70769"/>
    <w:rsid w:val="00A70B3B"/>
    <w:rsid w:val="00A70DAF"/>
    <w:rsid w:val="00A714D6"/>
    <w:rsid w:val="00A72D55"/>
    <w:rsid w:val="00A72E0E"/>
    <w:rsid w:val="00A73A25"/>
    <w:rsid w:val="00A73E7E"/>
    <w:rsid w:val="00A7404A"/>
    <w:rsid w:val="00A742BA"/>
    <w:rsid w:val="00A74301"/>
    <w:rsid w:val="00A7443B"/>
    <w:rsid w:val="00A7464F"/>
    <w:rsid w:val="00A75C72"/>
    <w:rsid w:val="00A75F8D"/>
    <w:rsid w:val="00A7768D"/>
    <w:rsid w:val="00A77985"/>
    <w:rsid w:val="00A80034"/>
    <w:rsid w:val="00A80D4E"/>
    <w:rsid w:val="00A8160A"/>
    <w:rsid w:val="00A82960"/>
    <w:rsid w:val="00A82CAB"/>
    <w:rsid w:val="00A833D9"/>
    <w:rsid w:val="00A83D9E"/>
    <w:rsid w:val="00A84FA3"/>
    <w:rsid w:val="00A8501B"/>
    <w:rsid w:val="00A85644"/>
    <w:rsid w:val="00A85786"/>
    <w:rsid w:val="00A860DA"/>
    <w:rsid w:val="00A86942"/>
    <w:rsid w:val="00A90031"/>
    <w:rsid w:val="00A910F0"/>
    <w:rsid w:val="00A91821"/>
    <w:rsid w:val="00A94AB5"/>
    <w:rsid w:val="00A952B2"/>
    <w:rsid w:val="00A95BDA"/>
    <w:rsid w:val="00A95BE9"/>
    <w:rsid w:val="00A96ECC"/>
    <w:rsid w:val="00A9759D"/>
    <w:rsid w:val="00A97DA0"/>
    <w:rsid w:val="00AA01BE"/>
    <w:rsid w:val="00AA034C"/>
    <w:rsid w:val="00AA16D0"/>
    <w:rsid w:val="00AA19A1"/>
    <w:rsid w:val="00AA1B97"/>
    <w:rsid w:val="00AA204C"/>
    <w:rsid w:val="00AA271E"/>
    <w:rsid w:val="00AA2B22"/>
    <w:rsid w:val="00AA2DF8"/>
    <w:rsid w:val="00AA5539"/>
    <w:rsid w:val="00AA5C75"/>
    <w:rsid w:val="00AA65E8"/>
    <w:rsid w:val="00AA6B98"/>
    <w:rsid w:val="00AA7016"/>
    <w:rsid w:val="00AA792C"/>
    <w:rsid w:val="00AA7E2D"/>
    <w:rsid w:val="00AB0CE0"/>
    <w:rsid w:val="00AB14B6"/>
    <w:rsid w:val="00AB2504"/>
    <w:rsid w:val="00AB250A"/>
    <w:rsid w:val="00AB270A"/>
    <w:rsid w:val="00AB2889"/>
    <w:rsid w:val="00AB2BE2"/>
    <w:rsid w:val="00AB2D7C"/>
    <w:rsid w:val="00AB2E35"/>
    <w:rsid w:val="00AB2F18"/>
    <w:rsid w:val="00AB33BC"/>
    <w:rsid w:val="00AB3F68"/>
    <w:rsid w:val="00AB42A6"/>
    <w:rsid w:val="00AB4312"/>
    <w:rsid w:val="00AB43A0"/>
    <w:rsid w:val="00AB45E7"/>
    <w:rsid w:val="00AB472B"/>
    <w:rsid w:val="00AB4852"/>
    <w:rsid w:val="00AB4873"/>
    <w:rsid w:val="00AB5041"/>
    <w:rsid w:val="00AB5CD2"/>
    <w:rsid w:val="00AB793A"/>
    <w:rsid w:val="00AB7C95"/>
    <w:rsid w:val="00AB7DBD"/>
    <w:rsid w:val="00AC02C8"/>
    <w:rsid w:val="00AC1061"/>
    <w:rsid w:val="00AC17BA"/>
    <w:rsid w:val="00AC2F6E"/>
    <w:rsid w:val="00AC3300"/>
    <w:rsid w:val="00AC3A73"/>
    <w:rsid w:val="00AC3A87"/>
    <w:rsid w:val="00AC3D9F"/>
    <w:rsid w:val="00AC42DA"/>
    <w:rsid w:val="00AC43CA"/>
    <w:rsid w:val="00AC446B"/>
    <w:rsid w:val="00AC459C"/>
    <w:rsid w:val="00AC4906"/>
    <w:rsid w:val="00AC57B8"/>
    <w:rsid w:val="00AC5EAF"/>
    <w:rsid w:val="00AC67B3"/>
    <w:rsid w:val="00AC6A34"/>
    <w:rsid w:val="00AD01D4"/>
    <w:rsid w:val="00AD0C21"/>
    <w:rsid w:val="00AD0DBF"/>
    <w:rsid w:val="00AD0ED3"/>
    <w:rsid w:val="00AD219A"/>
    <w:rsid w:val="00AD2643"/>
    <w:rsid w:val="00AD2E77"/>
    <w:rsid w:val="00AD3026"/>
    <w:rsid w:val="00AD32A2"/>
    <w:rsid w:val="00AD36CA"/>
    <w:rsid w:val="00AD390D"/>
    <w:rsid w:val="00AD3D25"/>
    <w:rsid w:val="00AD41AF"/>
    <w:rsid w:val="00AD4319"/>
    <w:rsid w:val="00AD4AF1"/>
    <w:rsid w:val="00AD6354"/>
    <w:rsid w:val="00AD6861"/>
    <w:rsid w:val="00AD6DAF"/>
    <w:rsid w:val="00AD7695"/>
    <w:rsid w:val="00AE0B4F"/>
    <w:rsid w:val="00AE1071"/>
    <w:rsid w:val="00AE14CC"/>
    <w:rsid w:val="00AE26A8"/>
    <w:rsid w:val="00AE2CCE"/>
    <w:rsid w:val="00AE33FF"/>
    <w:rsid w:val="00AE35DA"/>
    <w:rsid w:val="00AE4FE2"/>
    <w:rsid w:val="00AE5FFD"/>
    <w:rsid w:val="00AE60D6"/>
    <w:rsid w:val="00AE6231"/>
    <w:rsid w:val="00AE6584"/>
    <w:rsid w:val="00AE7E07"/>
    <w:rsid w:val="00AF03AA"/>
    <w:rsid w:val="00AF03E9"/>
    <w:rsid w:val="00AF05A0"/>
    <w:rsid w:val="00AF0698"/>
    <w:rsid w:val="00AF0BC6"/>
    <w:rsid w:val="00AF164F"/>
    <w:rsid w:val="00AF34B3"/>
    <w:rsid w:val="00AF3934"/>
    <w:rsid w:val="00AF4493"/>
    <w:rsid w:val="00AF45F8"/>
    <w:rsid w:val="00AF4AFC"/>
    <w:rsid w:val="00AF4E31"/>
    <w:rsid w:val="00AF4FD9"/>
    <w:rsid w:val="00AF5203"/>
    <w:rsid w:val="00AF7E18"/>
    <w:rsid w:val="00B00EE9"/>
    <w:rsid w:val="00B00F32"/>
    <w:rsid w:val="00B014E3"/>
    <w:rsid w:val="00B015F0"/>
    <w:rsid w:val="00B016E8"/>
    <w:rsid w:val="00B02655"/>
    <w:rsid w:val="00B037E1"/>
    <w:rsid w:val="00B038C3"/>
    <w:rsid w:val="00B03C03"/>
    <w:rsid w:val="00B043F7"/>
    <w:rsid w:val="00B046C9"/>
    <w:rsid w:val="00B0514F"/>
    <w:rsid w:val="00B051A1"/>
    <w:rsid w:val="00B05489"/>
    <w:rsid w:val="00B05763"/>
    <w:rsid w:val="00B05852"/>
    <w:rsid w:val="00B05BA5"/>
    <w:rsid w:val="00B07350"/>
    <w:rsid w:val="00B0746E"/>
    <w:rsid w:val="00B07BA6"/>
    <w:rsid w:val="00B101A3"/>
    <w:rsid w:val="00B104F8"/>
    <w:rsid w:val="00B111A0"/>
    <w:rsid w:val="00B11DA9"/>
    <w:rsid w:val="00B1311C"/>
    <w:rsid w:val="00B1413D"/>
    <w:rsid w:val="00B1447D"/>
    <w:rsid w:val="00B15F01"/>
    <w:rsid w:val="00B15FC5"/>
    <w:rsid w:val="00B16DE8"/>
    <w:rsid w:val="00B204A4"/>
    <w:rsid w:val="00B2059D"/>
    <w:rsid w:val="00B2082B"/>
    <w:rsid w:val="00B20A6D"/>
    <w:rsid w:val="00B20E5C"/>
    <w:rsid w:val="00B20F81"/>
    <w:rsid w:val="00B21183"/>
    <w:rsid w:val="00B227DB"/>
    <w:rsid w:val="00B228CD"/>
    <w:rsid w:val="00B22FF4"/>
    <w:rsid w:val="00B233BB"/>
    <w:rsid w:val="00B23EF8"/>
    <w:rsid w:val="00B24FFC"/>
    <w:rsid w:val="00B25A91"/>
    <w:rsid w:val="00B25C20"/>
    <w:rsid w:val="00B268CE"/>
    <w:rsid w:val="00B273A9"/>
    <w:rsid w:val="00B274B8"/>
    <w:rsid w:val="00B30EBF"/>
    <w:rsid w:val="00B3130C"/>
    <w:rsid w:val="00B320E9"/>
    <w:rsid w:val="00B322EA"/>
    <w:rsid w:val="00B32FDD"/>
    <w:rsid w:val="00B3341E"/>
    <w:rsid w:val="00B33A1A"/>
    <w:rsid w:val="00B33DAE"/>
    <w:rsid w:val="00B3465B"/>
    <w:rsid w:val="00B36200"/>
    <w:rsid w:val="00B37458"/>
    <w:rsid w:val="00B37C9F"/>
    <w:rsid w:val="00B40143"/>
    <w:rsid w:val="00B40AA0"/>
    <w:rsid w:val="00B41195"/>
    <w:rsid w:val="00B41817"/>
    <w:rsid w:val="00B41997"/>
    <w:rsid w:val="00B42D8D"/>
    <w:rsid w:val="00B433B2"/>
    <w:rsid w:val="00B433DF"/>
    <w:rsid w:val="00B4353F"/>
    <w:rsid w:val="00B4426C"/>
    <w:rsid w:val="00B44C3F"/>
    <w:rsid w:val="00B4568D"/>
    <w:rsid w:val="00B4574D"/>
    <w:rsid w:val="00B45976"/>
    <w:rsid w:val="00B45EA2"/>
    <w:rsid w:val="00B46D22"/>
    <w:rsid w:val="00B46F4E"/>
    <w:rsid w:val="00B470FF"/>
    <w:rsid w:val="00B47BA9"/>
    <w:rsid w:val="00B509A2"/>
    <w:rsid w:val="00B51013"/>
    <w:rsid w:val="00B51310"/>
    <w:rsid w:val="00B51B49"/>
    <w:rsid w:val="00B52340"/>
    <w:rsid w:val="00B5280C"/>
    <w:rsid w:val="00B52866"/>
    <w:rsid w:val="00B5299B"/>
    <w:rsid w:val="00B52EE2"/>
    <w:rsid w:val="00B535E9"/>
    <w:rsid w:val="00B559E6"/>
    <w:rsid w:val="00B55AFA"/>
    <w:rsid w:val="00B55D33"/>
    <w:rsid w:val="00B55DC4"/>
    <w:rsid w:val="00B55F3F"/>
    <w:rsid w:val="00B56534"/>
    <w:rsid w:val="00B56BC4"/>
    <w:rsid w:val="00B56F60"/>
    <w:rsid w:val="00B57126"/>
    <w:rsid w:val="00B57742"/>
    <w:rsid w:val="00B602C5"/>
    <w:rsid w:val="00B60353"/>
    <w:rsid w:val="00B60A36"/>
    <w:rsid w:val="00B60D33"/>
    <w:rsid w:val="00B60E76"/>
    <w:rsid w:val="00B612D6"/>
    <w:rsid w:val="00B61585"/>
    <w:rsid w:val="00B6313B"/>
    <w:rsid w:val="00B6382E"/>
    <w:rsid w:val="00B646BC"/>
    <w:rsid w:val="00B65A86"/>
    <w:rsid w:val="00B65CF8"/>
    <w:rsid w:val="00B70763"/>
    <w:rsid w:val="00B707A7"/>
    <w:rsid w:val="00B70EC6"/>
    <w:rsid w:val="00B71820"/>
    <w:rsid w:val="00B7239B"/>
    <w:rsid w:val="00B732FA"/>
    <w:rsid w:val="00B77395"/>
    <w:rsid w:val="00B77556"/>
    <w:rsid w:val="00B77FBB"/>
    <w:rsid w:val="00B801DB"/>
    <w:rsid w:val="00B80B4F"/>
    <w:rsid w:val="00B81395"/>
    <w:rsid w:val="00B8235E"/>
    <w:rsid w:val="00B82BDB"/>
    <w:rsid w:val="00B82E20"/>
    <w:rsid w:val="00B82E39"/>
    <w:rsid w:val="00B830F4"/>
    <w:rsid w:val="00B8310C"/>
    <w:rsid w:val="00B8450E"/>
    <w:rsid w:val="00B84B7D"/>
    <w:rsid w:val="00B858C2"/>
    <w:rsid w:val="00B85AAE"/>
    <w:rsid w:val="00B8615D"/>
    <w:rsid w:val="00B8648C"/>
    <w:rsid w:val="00B866A0"/>
    <w:rsid w:val="00B86B44"/>
    <w:rsid w:val="00B86F6C"/>
    <w:rsid w:val="00B87981"/>
    <w:rsid w:val="00B87C55"/>
    <w:rsid w:val="00B90667"/>
    <w:rsid w:val="00B92B7D"/>
    <w:rsid w:val="00B9313A"/>
    <w:rsid w:val="00B93A80"/>
    <w:rsid w:val="00B94786"/>
    <w:rsid w:val="00B94A45"/>
    <w:rsid w:val="00B94BD1"/>
    <w:rsid w:val="00B95595"/>
    <w:rsid w:val="00B95BED"/>
    <w:rsid w:val="00B95E35"/>
    <w:rsid w:val="00B96064"/>
    <w:rsid w:val="00B96AFC"/>
    <w:rsid w:val="00B96B37"/>
    <w:rsid w:val="00B96F5F"/>
    <w:rsid w:val="00B96FAE"/>
    <w:rsid w:val="00B97AF8"/>
    <w:rsid w:val="00B97EC3"/>
    <w:rsid w:val="00BA11D0"/>
    <w:rsid w:val="00BA1CA3"/>
    <w:rsid w:val="00BA1F49"/>
    <w:rsid w:val="00BA2B07"/>
    <w:rsid w:val="00BA2F56"/>
    <w:rsid w:val="00BA32AB"/>
    <w:rsid w:val="00BA3433"/>
    <w:rsid w:val="00BA3BE9"/>
    <w:rsid w:val="00BA3FCD"/>
    <w:rsid w:val="00BA43AD"/>
    <w:rsid w:val="00BA4883"/>
    <w:rsid w:val="00BA5766"/>
    <w:rsid w:val="00BA58E8"/>
    <w:rsid w:val="00BA5DEB"/>
    <w:rsid w:val="00BA6302"/>
    <w:rsid w:val="00BA77D7"/>
    <w:rsid w:val="00BA7B34"/>
    <w:rsid w:val="00BA7C22"/>
    <w:rsid w:val="00BB0053"/>
    <w:rsid w:val="00BB05AB"/>
    <w:rsid w:val="00BB1D93"/>
    <w:rsid w:val="00BB210A"/>
    <w:rsid w:val="00BB255E"/>
    <w:rsid w:val="00BB3038"/>
    <w:rsid w:val="00BB42AC"/>
    <w:rsid w:val="00BB5FBB"/>
    <w:rsid w:val="00BB6552"/>
    <w:rsid w:val="00BB67A3"/>
    <w:rsid w:val="00BB6AD9"/>
    <w:rsid w:val="00BB6B4E"/>
    <w:rsid w:val="00BB6B4F"/>
    <w:rsid w:val="00BB7075"/>
    <w:rsid w:val="00BB7F6C"/>
    <w:rsid w:val="00BC034E"/>
    <w:rsid w:val="00BC194B"/>
    <w:rsid w:val="00BC397F"/>
    <w:rsid w:val="00BC3E7D"/>
    <w:rsid w:val="00BC4505"/>
    <w:rsid w:val="00BC4922"/>
    <w:rsid w:val="00BC49A1"/>
    <w:rsid w:val="00BC67F8"/>
    <w:rsid w:val="00BC6A49"/>
    <w:rsid w:val="00BC6D3B"/>
    <w:rsid w:val="00BC741B"/>
    <w:rsid w:val="00BD1192"/>
    <w:rsid w:val="00BD148D"/>
    <w:rsid w:val="00BD3216"/>
    <w:rsid w:val="00BD360E"/>
    <w:rsid w:val="00BD3E44"/>
    <w:rsid w:val="00BD4545"/>
    <w:rsid w:val="00BD4A97"/>
    <w:rsid w:val="00BD535B"/>
    <w:rsid w:val="00BD631C"/>
    <w:rsid w:val="00BD7870"/>
    <w:rsid w:val="00BD7C68"/>
    <w:rsid w:val="00BD7E61"/>
    <w:rsid w:val="00BE01D1"/>
    <w:rsid w:val="00BE1219"/>
    <w:rsid w:val="00BE28B4"/>
    <w:rsid w:val="00BE3F84"/>
    <w:rsid w:val="00BE41A9"/>
    <w:rsid w:val="00BE41FA"/>
    <w:rsid w:val="00BE5052"/>
    <w:rsid w:val="00BE5F56"/>
    <w:rsid w:val="00BE6058"/>
    <w:rsid w:val="00BE6A9B"/>
    <w:rsid w:val="00BE6FD1"/>
    <w:rsid w:val="00BE7085"/>
    <w:rsid w:val="00BE71B2"/>
    <w:rsid w:val="00BE73FF"/>
    <w:rsid w:val="00BE7F1A"/>
    <w:rsid w:val="00BF01CC"/>
    <w:rsid w:val="00BF06E2"/>
    <w:rsid w:val="00BF1D3E"/>
    <w:rsid w:val="00BF215D"/>
    <w:rsid w:val="00BF31DC"/>
    <w:rsid w:val="00BF3CC6"/>
    <w:rsid w:val="00BF6601"/>
    <w:rsid w:val="00BF66C6"/>
    <w:rsid w:val="00BF6DF3"/>
    <w:rsid w:val="00BF7028"/>
    <w:rsid w:val="00BF71BA"/>
    <w:rsid w:val="00BF74B2"/>
    <w:rsid w:val="00BF7D33"/>
    <w:rsid w:val="00C00281"/>
    <w:rsid w:val="00C002FA"/>
    <w:rsid w:val="00C02E6C"/>
    <w:rsid w:val="00C03022"/>
    <w:rsid w:val="00C03198"/>
    <w:rsid w:val="00C03776"/>
    <w:rsid w:val="00C0460E"/>
    <w:rsid w:val="00C05E45"/>
    <w:rsid w:val="00C05F12"/>
    <w:rsid w:val="00C06012"/>
    <w:rsid w:val="00C06655"/>
    <w:rsid w:val="00C1004F"/>
    <w:rsid w:val="00C119B6"/>
    <w:rsid w:val="00C122C8"/>
    <w:rsid w:val="00C127C5"/>
    <w:rsid w:val="00C12D1E"/>
    <w:rsid w:val="00C12E49"/>
    <w:rsid w:val="00C13821"/>
    <w:rsid w:val="00C144C3"/>
    <w:rsid w:val="00C145FD"/>
    <w:rsid w:val="00C14614"/>
    <w:rsid w:val="00C155B4"/>
    <w:rsid w:val="00C158A1"/>
    <w:rsid w:val="00C159C0"/>
    <w:rsid w:val="00C159FB"/>
    <w:rsid w:val="00C160C3"/>
    <w:rsid w:val="00C1689D"/>
    <w:rsid w:val="00C16B53"/>
    <w:rsid w:val="00C16C9D"/>
    <w:rsid w:val="00C16FF9"/>
    <w:rsid w:val="00C21982"/>
    <w:rsid w:val="00C223F2"/>
    <w:rsid w:val="00C2330E"/>
    <w:rsid w:val="00C23549"/>
    <w:rsid w:val="00C23B8F"/>
    <w:rsid w:val="00C23CDC"/>
    <w:rsid w:val="00C23FB8"/>
    <w:rsid w:val="00C26154"/>
    <w:rsid w:val="00C262AF"/>
    <w:rsid w:val="00C26BD5"/>
    <w:rsid w:val="00C3088F"/>
    <w:rsid w:val="00C30CA5"/>
    <w:rsid w:val="00C311EA"/>
    <w:rsid w:val="00C3256E"/>
    <w:rsid w:val="00C326CF"/>
    <w:rsid w:val="00C32DFA"/>
    <w:rsid w:val="00C32E2C"/>
    <w:rsid w:val="00C33130"/>
    <w:rsid w:val="00C34ABA"/>
    <w:rsid w:val="00C34D7A"/>
    <w:rsid w:val="00C3650A"/>
    <w:rsid w:val="00C36A3F"/>
    <w:rsid w:val="00C373D2"/>
    <w:rsid w:val="00C37D21"/>
    <w:rsid w:val="00C400E2"/>
    <w:rsid w:val="00C40147"/>
    <w:rsid w:val="00C40249"/>
    <w:rsid w:val="00C40A28"/>
    <w:rsid w:val="00C413D4"/>
    <w:rsid w:val="00C4221D"/>
    <w:rsid w:val="00C42256"/>
    <w:rsid w:val="00C429AB"/>
    <w:rsid w:val="00C431DF"/>
    <w:rsid w:val="00C4369D"/>
    <w:rsid w:val="00C43D99"/>
    <w:rsid w:val="00C43E0A"/>
    <w:rsid w:val="00C44863"/>
    <w:rsid w:val="00C4654A"/>
    <w:rsid w:val="00C46A55"/>
    <w:rsid w:val="00C5031E"/>
    <w:rsid w:val="00C503D2"/>
    <w:rsid w:val="00C50912"/>
    <w:rsid w:val="00C50926"/>
    <w:rsid w:val="00C511C7"/>
    <w:rsid w:val="00C52324"/>
    <w:rsid w:val="00C526FB"/>
    <w:rsid w:val="00C5364B"/>
    <w:rsid w:val="00C53ADD"/>
    <w:rsid w:val="00C53EBF"/>
    <w:rsid w:val="00C53FA6"/>
    <w:rsid w:val="00C54021"/>
    <w:rsid w:val="00C54225"/>
    <w:rsid w:val="00C54888"/>
    <w:rsid w:val="00C54C8F"/>
    <w:rsid w:val="00C54FDA"/>
    <w:rsid w:val="00C54FE7"/>
    <w:rsid w:val="00C552A9"/>
    <w:rsid w:val="00C554CF"/>
    <w:rsid w:val="00C55ABE"/>
    <w:rsid w:val="00C62273"/>
    <w:rsid w:val="00C63DA5"/>
    <w:rsid w:val="00C648E8"/>
    <w:rsid w:val="00C656CD"/>
    <w:rsid w:val="00C660CA"/>
    <w:rsid w:val="00C674F8"/>
    <w:rsid w:val="00C67877"/>
    <w:rsid w:val="00C70186"/>
    <w:rsid w:val="00C70CCA"/>
    <w:rsid w:val="00C70F06"/>
    <w:rsid w:val="00C714AE"/>
    <w:rsid w:val="00C722F2"/>
    <w:rsid w:val="00C72D7F"/>
    <w:rsid w:val="00C72DD9"/>
    <w:rsid w:val="00C73215"/>
    <w:rsid w:val="00C73F19"/>
    <w:rsid w:val="00C74588"/>
    <w:rsid w:val="00C75655"/>
    <w:rsid w:val="00C77364"/>
    <w:rsid w:val="00C814D0"/>
    <w:rsid w:val="00C8175E"/>
    <w:rsid w:val="00C817B2"/>
    <w:rsid w:val="00C82D40"/>
    <w:rsid w:val="00C82DE5"/>
    <w:rsid w:val="00C83F34"/>
    <w:rsid w:val="00C84009"/>
    <w:rsid w:val="00C8460B"/>
    <w:rsid w:val="00C85079"/>
    <w:rsid w:val="00C854A2"/>
    <w:rsid w:val="00C85970"/>
    <w:rsid w:val="00C8645C"/>
    <w:rsid w:val="00C86797"/>
    <w:rsid w:val="00C86849"/>
    <w:rsid w:val="00C868F6"/>
    <w:rsid w:val="00C86946"/>
    <w:rsid w:val="00C86EF0"/>
    <w:rsid w:val="00C8780E"/>
    <w:rsid w:val="00C87B9C"/>
    <w:rsid w:val="00C90E24"/>
    <w:rsid w:val="00C913F1"/>
    <w:rsid w:val="00C918CE"/>
    <w:rsid w:val="00C92441"/>
    <w:rsid w:val="00C92AE9"/>
    <w:rsid w:val="00C932CB"/>
    <w:rsid w:val="00C9341F"/>
    <w:rsid w:val="00C93DB8"/>
    <w:rsid w:val="00C94E5F"/>
    <w:rsid w:val="00C9514E"/>
    <w:rsid w:val="00C96B72"/>
    <w:rsid w:val="00C9744B"/>
    <w:rsid w:val="00C97AAE"/>
    <w:rsid w:val="00C97AD4"/>
    <w:rsid w:val="00C97EBB"/>
    <w:rsid w:val="00C97F66"/>
    <w:rsid w:val="00CA1503"/>
    <w:rsid w:val="00CA3284"/>
    <w:rsid w:val="00CA32CD"/>
    <w:rsid w:val="00CA3A35"/>
    <w:rsid w:val="00CA3AE8"/>
    <w:rsid w:val="00CA40B4"/>
    <w:rsid w:val="00CA4CF7"/>
    <w:rsid w:val="00CA5464"/>
    <w:rsid w:val="00CA548D"/>
    <w:rsid w:val="00CA5768"/>
    <w:rsid w:val="00CA5DBB"/>
    <w:rsid w:val="00CA61E6"/>
    <w:rsid w:val="00CA721A"/>
    <w:rsid w:val="00CA76B8"/>
    <w:rsid w:val="00CA7BA6"/>
    <w:rsid w:val="00CA7C11"/>
    <w:rsid w:val="00CB08DE"/>
    <w:rsid w:val="00CB152F"/>
    <w:rsid w:val="00CB24B1"/>
    <w:rsid w:val="00CB2A92"/>
    <w:rsid w:val="00CB2A96"/>
    <w:rsid w:val="00CB4144"/>
    <w:rsid w:val="00CB41FE"/>
    <w:rsid w:val="00CB48D8"/>
    <w:rsid w:val="00CB5405"/>
    <w:rsid w:val="00CB56F9"/>
    <w:rsid w:val="00CB5754"/>
    <w:rsid w:val="00CB61B6"/>
    <w:rsid w:val="00CB641E"/>
    <w:rsid w:val="00CB7302"/>
    <w:rsid w:val="00CB7A92"/>
    <w:rsid w:val="00CC0530"/>
    <w:rsid w:val="00CC06AD"/>
    <w:rsid w:val="00CC1199"/>
    <w:rsid w:val="00CC1A94"/>
    <w:rsid w:val="00CC20DE"/>
    <w:rsid w:val="00CC2D84"/>
    <w:rsid w:val="00CC32C5"/>
    <w:rsid w:val="00CC3607"/>
    <w:rsid w:val="00CC409B"/>
    <w:rsid w:val="00CC4B64"/>
    <w:rsid w:val="00CC5221"/>
    <w:rsid w:val="00CC52AB"/>
    <w:rsid w:val="00CC5662"/>
    <w:rsid w:val="00CC5CEA"/>
    <w:rsid w:val="00CC6EF0"/>
    <w:rsid w:val="00CC75DC"/>
    <w:rsid w:val="00CC796D"/>
    <w:rsid w:val="00CC7AA2"/>
    <w:rsid w:val="00CC7BA0"/>
    <w:rsid w:val="00CD0068"/>
    <w:rsid w:val="00CD0C7E"/>
    <w:rsid w:val="00CD133B"/>
    <w:rsid w:val="00CD138D"/>
    <w:rsid w:val="00CD1A02"/>
    <w:rsid w:val="00CD1B82"/>
    <w:rsid w:val="00CD2AFF"/>
    <w:rsid w:val="00CD2B4F"/>
    <w:rsid w:val="00CD4578"/>
    <w:rsid w:val="00CD4673"/>
    <w:rsid w:val="00CD474D"/>
    <w:rsid w:val="00CD4813"/>
    <w:rsid w:val="00CD5089"/>
    <w:rsid w:val="00CD5C74"/>
    <w:rsid w:val="00CD6C8D"/>
    <w:rsid w:val="00CD79CA"/>
    <w:rsid w:val="00CD7A02"/>
    <w:rsid w:val="00CE01CF"/>
    <w:rsid w:val="00CE03C3"/>
    <w:rsid w:val="00CE04DB"/>
    <w:rsid w:val="00CE08F5"/>
    <w:rsid w:val="00CE0BC7"/>
    <w:rsid w:val="00CE12F0"/>
    <w:rsid w:val="00CE1D2D"/>
    <w:rsid w:val="00CE2CD0"/>
    <w:rsid w:val="00CE2FF4"/>
    <w:rsid w:val="00CE335D"/>
    <w:rsid w:val="00CE3387"/>
    <w:rsid w:val="00CE3ED8"/>
    <w:rsid w:val="00CE4193"/>
    <w:rsid w:val="00CE4F96"/>
    <w:rsid w:val="00CE52E2"/>
    <w:rsid w:val="00CE567D"/>
    <w:rsid w:val="00CE63B2"/>
    <w:rsid w:val="00CE6807"/>
    <w:rsid w:val="00CE6D8D"/>
    <w:rsid w:val="00CE716E"/>
    <w:rsid w:val="00CE7944"/>
    <w:rsid w:val="00CF05D0"/>
    <w:rsid w:val="00CF05E2"/>
    <w:rsid w:val="00CF0F06"/>
    <w:rsid w:val="00CF0FD7"/>
    <w:rsid w:val="00CF15C8"/>
    <w:rsid w:val="00CF23E2"/>
    <w:rsid w:val="00CF257A"/>
    <w:rsid w:val="00CF3FF6"/>
    <w:rsid w:val="00CF4744"/>
    <w:rsid w:val="00CF4A94"/>
    <w:rsid w:val="00CF5494"/>
    <w:rsid w:val="00CF572C"/>
    <w:rsid w:val="00CF5B47"/>
    <w:rsid w:val="00CF5F87"/>
    <w:rsid w:val="00CF65C2"/>
    <w:rsid w:val="00CF6B15"/>
    <w:rsid w:val="00CF7EDA"/>
    <w:rsid w:val="00D007D1"/>
    <w:rsid w:val="00D01483"/>
    <w:rsid w:val="00D0167E"/>
    <w:rsid w:val="00D01690"/>
    <w:rsid w:val="00D01AB5"/>
    <w:rsid w:val="00D02C08"/>
    <w:rsid w:val="00D0332E"/>
    <w:rsid w:val="00D04059"/>
    <w:rsid w:val="00D05F28"/>
    <w:rsid w:val="00D0642E"/>
    <w:rsid w:val="00D07252"/>
    <w:rsid w:val="00D10F1F"/>
    <w:rsid w:val="00D12387"/>
    <w:rsid w:val="00D133D4"/>
    <w:rsid w:val="00D134EB"/>
    <w:rsid w:val="00D13705"/>
    <w:rsid w:val="00D137DA"/>
    <w:rsid w:val="00D149E1"/>
    <w:rsid w:val="00D150F7"/>
    <w:rsid w:val="00D16008"/>
    <w:rsid w:val="00D160A6"/>
    <w:rsid w:val="00D1610D"/>
    <w:rsid w:val="00D1661B"/>
    <w:rsid w:val="00D17678"/>
    <w:rsid w:val="00D17D09"/>
    <w:rsid w:val="00D20817"/>
    <w:rsid w:val="00D20F80"/>
    <w:rsid w:val="00D21328"/>
    <w:rsid w:val="00D226B2"/>
    <w:rsid w:val="00D227C5"/>
    <w:rsid w:val="00D22C75"/>
    <w:rsid w:val="00D23CBC"/>
    <w:rsid w:val="00D23F43"/>
    <w:rsid w:val="00D2455F"/>
    <w:rsid w:val="00D2458A"/>
    <w:rsid w:val="00D246E8"/>
    <w:rsid w:val="00D24F99"/>
    <w:rsid w:val="00D25696"/>
    <w:rsid w:val="00D25CD4"/>
    <w:rsid w:val="00D261C8"/>
    <w:rsid w:val="00D261F9"/>
    <w:rsid w:val="00D26482"/>
    <w:rsid w:val="00D2686E"/>
    <w:rsid w:val="00D27972"/>
    <w:rsid w:val="00D27A35"/>
    <w:rsid w:val="00D309AB"/>
    <w:rsid w:val="00D318D2"/>
    <w:rsid w:val="00D31AAA"/>
    <w:rsid w:val="00D32ACB"/>
    <w:rsid w:val="00D335BC"/>
    <w:rsid w:val="00D3381C"/>
    <w:rsid w:val="00D33C33"/>
    <w:rsid w:val="00D33D87"/>
    <w:rsid w:val="00D341C8"/>
    <w:rsid w:val="00D34505"/>
    <w:rsid w:val="00D345D5"/>
    <w:rsid w:val="00D359A7"/>
    <w:rsid w:val="00D36553"/>
    <w:rsid w:val="00D36C2B"/>
    <w:rsid w:val="00D373BB"/>
    <w:rsid w:val="00D37710"/>
    <w:rsid w:val="00D37EDC"/>
    <w:rsid w:val="00D37FDF"/>
    <w:rsid w:val="00D4008B"/>
    <w:rsid w:val="00D4069D"/>
    <w:rsid w:val="00D40FE1"/>
    <w:rsid w:val="00D41091"/>
    <w:rsid w:val="00D41500"/>
    <w:rsid w:val="00D41B2E"/>
    <w:rsid w:val="00D426F5"/>
    <w:rsid w:val="00D42978"/>
    <w:rsid w:val="00D43369"/>
    <w:rsid w:val="00D437C2"/>
    <w:rsid w:val="00D439A4"/>
    <w:rsid w:val="00D43A24"/>
    <w:rsid w:val="00D43AFC"/>
    <w:rsid w:val="00D44ACE"/>
    <w:rsid w:val="00D450E6"/>
    <w:rsid w:val="00D4599A"/>
    <w:rsid w:val="00D47468"/>
    <w:rsid w:val="00D47F6E"/>
    <w:rsid w:val="00D5054C"/>
    <w:rsid w:val="00D529D0"/>
    <w:rsid w:val="00D52F37"/>
    <w:rsid w:val="00D5359F"/>
    <w:rsid w:val="00D53658"/>
    <w:rsid w:val="00D53854"/>
    <w:rsid w:val="00D5449E"/>
    <w:rsid w:val="00D54581"/>
    <w:rsid w:val="00D5640A"/>
    <w:rsid w:val="00D60232"/>
    <w:rsid w:val="00D61F24"/>
    <w:rsid w:val="00D640A0"/>
    <w:rsid w:val="00D64BE4"/>
    <w:rsid w:val="00D656F5"/>
    <w:rsid w:val="00D657AC"/>
    <w:rsid w:val="00D65F88"/>
    <w:rsid w:val="00D65FBE"/>
    <w:rsid w:val="00D66EBB"/>
    <w:rsid w:val="00D67449"/>
    <w:rsid w:val="00D67B3F"/>
    <w:rsid w:val="00D67D5A"/>
    <w:rsid w:val="00D70163"/>
    <w:rsid w:val="00D705D7"/>
    <w:rsid w:val="00D70775"/>
    <w:rsid w:val="00D722DF"/>
    <w:rsid w:val="00D74C8F"/>
    <w:rsid w:val="00D751AC"/>
    <w:rsid w:val="00D757F9"/>
    <w:rsid w:val="00D76057"/>
    <w:rsid w:val="00D76AA8"/>
    <w:rsid w:val="00D77439"/>
    <w:rsid w:val="00D77C9E"/>
    <w:rsid w:val="00D80A6D"/>
    <w:rsid w:val="00D82375"/>
    <w:rsid w:val="00D823BC"/>
    <w:rsid w:val="00D82E2E"/>
    <w:rsid w:val="00D83188"/>
    <w:rsid w:val="00D838DC"/>
    <w:rsid w:val="00D83F6D"/>
    <w:rsid w:val="00D83FC8"/>
    <w:rsid w:val="00D84F1D"/>
    <w:rsid w:val="00D8506A"/>
    <w:rsid w:val="00D856B7"/>
    <w:rsid w:val="00D85793"/>
    <w:rsid w:val="00D8620D"/>
    <w:rsid w:val="00D8621B"/>
    <w:rsid w:val="00D86E47"/>
    <w:rsid w:val="00D87F4B"/>
    <w:rsid w:val="00D90AD6"/>
    <w:rsid w:val="00D90FF7"/>
    <w:rsid w:val="00D92090"/>
    <w:rsid w:val="00D928F2"/>
    <w:rsid w:val="00D94003"/>
    <w:rsid w:val="00D9448A"/>
    <w:rsid w:val="00D94759"/>
    <w:rsid w:val="00D95669"/>
    <w:rsid w:val="00D9774E"/>
    <w:rsid w:val="00DA009C"/>
    <w:rsid w:val="00DA06B5"/>
    <w:rsid w:val="00DA0CEC"/>
    <w:rsid w:val="00DA0DE7"/>
    <w:rsid w:val="00DA1665"/>
    <w:rsid w:val="00DA2267"/>
    <w:rsid w:val="00DA2469"/>
    <w:rsid w:val="00DA2723"/>
    <w:rsid w:val="00DA2F4D"/>
    <w:rsid w:val="00DA3BB2"/>
    <w:rsid w:val="00DA4BA9"/>
    <w:rsid w:val="00DA4E35"/>
    <w:rsid w:val="00DA5F60"/>
    <w:rsid w:val="00DA6A1D"/>
    <w:rsid w:val="00DA6A67"/>
    <w:rsid w:val="00DA77A2"/>
    <w:rsid w:val="00DB011C"/>
    <w:rsid w:val="00DB02D1"/>
    <w:rsid w:val="00DB1424"/>
    <w:rsid w:val="00DB150F"/>
    <w:rsid w:val="00DB16AC"/>
    <w:rsid w:val="00DB16FB"/>
    <w:rsid w:val="00DB2339"/>
    <w:rsid w:val="00DB2822"/>
    <w:rsid w:val="00DB2BCE"/>
    <w:rsid w:val="00DB47B5"/>
    <w:rsid w:val="00DB47E8"/>
    <w:rsid w:val="00DB57EA"/>
    <w:rsid w:val="00DB74D3"/>
    <w:rsid w:val="00DB7904"/>
    <w:rsid w:val="00DB7A39"/>
    <w:rsid w:val="00DC15C6"/>
    <w:rsid w:val="00DC189D"/>
    <w:rsid w:val="00DC3386"/>
    <w:rsid w:val="00DC3A1C"/>
    <w:rsid w:val="00DC3AC7"/>
    <w:rsid w:val="00DC42B6"/>
    <w:rsid w:val="00DC5790"/>
    <w:rsid w:val="00DC5A0C"/>
    <w:rsid w:val="00DC5C32"/>
    <w:rsid w:val="00DC5D22"/>
    <w:rsid w:val="00DC6D31"/>
    <w:rsid w:val="00DC7682"/>
    <w:rsid w:val="00DD126B"/>
    <w:rsid w:val="00DD142C"/>
    <w:rsid w:val="00DD15BF"/>
    <w:rsid w:val="00DD1A90"/>
    <w:rsid w:val="00DD1A99"/>
    <w:rsid w:val="00DD1DD9"/>
    <w:rsid w:val="00DD22A6"/>
    <w:rsid w:val="00DD2B7B"/>
    <w:rsid w:val="00DD3E7F"/>
    <w:rsid w:val="00DD4F74"/>
    <w:rsid w:val="00DD52B4"/>
    <w:rsid w:val="00DD5618"/>
    <w:rsid w:val="00DD5AA5"/>
    <w:rsid w:val="00DD5DEE"/>
    <w:rsid w:val="00DD63B0"/>
    <w:rsid w:val="00DD6669"/>
    <w:rsid w:val="00DD6837"/>
    <w:rsid w:val="00DD70E1"/>
    <w:rsid w:val="00DD7D7D"/>
    <w:rsid w:val="00DE003B"/>
    <w:rsid w:val="00DE1703"/>
    <w:rsid w:val="00DE1772"/>
    <w:rsid w:val="00DE19ED"/>
    <w:rsid w:val="00DE262E"/>
    <w:rsid w:val="00DE2E89"/>
    <w:rsid w:val="00DE36C6"/>
    <w:rsid w:val="00DE37E2"/>
    <w:rsid w:val="00DE45A7"/>
    <w:rsid w:val="00DE4E62"/>
    <w:rsid w:val="00DE5384"/>
    <w:rsid w:val="00DE5D8E"/>
    <w:rsid w:val="00DE6207"/>
    <w:rsid w:val="00DE6617"/>
    <w:rsid w:val="00DE76C4"/>
    <w:rsid w:val="00DE7EA4"/>
    <w:rsid w:val="00DF0346"/>
    <w:rsid w:val="00DF064D"/>
    <w:rsid w:val="00DF115A"/>
    <w:rsid w:val="00DF152A"/>
    <w:rsid w:val="00DF2325"/>
    <w:rsid w:val="00DF2DF8"/>
    <w:rsid w:val="00DF33BB"/>
    <w:rsid w:val="00DF43AB"/>
    <w:rsid w:val="00DF49B6"/>
    <w:rsid w:val="00DF5C9C"/>
    <w:rsid w:val="00DF5DC2"/>
    <w:rsid w:val="00DF6662"/>
    <w:rsid w:val="00DF68A3"/>
    <w:rsid w:val="00DF6D57"/>
    <w:rsid w:val="00DF7147"/>
    <w:rsid w:val="00DF7180"/>
    <w:rsid w:val="00DF748E"/>
    <w:rsid w:val="00DF74D6"/>
    <w:rsid w:val="00E007A7"/>
    <w:rsid w:val="00E01B1A"/>
    <w:rsid w:val="00E02171"/>
    <w:rsid w:val="00E025C5"/>
    <w:rsid w:val="00E0291C"/>
    <w:rsid w:val="00E02B9B"/>
    <w:rsid w:val="00E02D9B"/>
    <w:rsid w:val="00E02DA3"/>
    <w:rsid w:val="00E03C40"/>
    <w:rsid w:val="00E04E4E"/>
    <w:rsid w:val="00E0735A"/>
    <w:rsid w:val="00E07E50"/>
    <w:rsid w:val="00E108BB"/>
    <w:rsid w:val="00E10CC7"/>
    <w:rsid w:val="00E10EA8"/>
    <w:rsid w:val="00E11A3C"/>
    <w:rsid w:val="00E1225D"/>
    <w:rsid w:val="00E12B2C"/>
    <w:rsid w:val="00E12BEC"/>
    <w:rsid w:val="00E135B2"/>
    <w:rsid w:val="00E13F26"/>
    <w:rsid w:val="00E140B6"/>
    <w:rsid w:val="00E143EC"/>
    <w:rsid w:val="00E146FD"/>
    <w:rsid w:val="00E152F6"/>
    <w:rsid w:val="00E15DBA"/>
    <w:rsid w:val="00E1642B"/>
    <w:rsid w:val="00E16F39"/>
    <w:rsid w:val="00E17A59"/>
    <w:rsid w:val="00E17B4B"/>
    <w:rsid w:val="00E20740"/>
    <w:rsid w:val="00E208D7"/>
    <w:rsid w:val="00E20CDA"/>
    <w:rsid w:val="00E22040"/>
    <w:rsid w:val="00E2219E"/>
    <w:rsid w:val="00E22BC7"/>
    <w:rsid w:val="00E23FD8"/>
    <w:rsid w:val="00E241CB"/>
    <w:rsid w:val="00E25063"/>
    <w:rsid w:val="00E25173"/>
    <w:rsid w:val="00E255A4"/>
    <w:rsid w:val="00E25D94"/>
    <w:rsid w:val="00E26AD1"/>
    <w:rsid w:val="00E26D46"/>
    <w:rsid w:val="00E30121"/>
    <w:rsid w:val="00E305A6"/>
    <w:rsid w:val="00E311D5"/>
    <w:rsid w:val="00E318FD"/>
    <w:rsid w:val="00E319FC"/>
    <w:rsid w:val="00E31B60"/>
    <w:rsid w:val="00E31BCA"/>
    <w:rsid w:val="00E31CBD"/>
    <w:rsid w:val="00E3263C"/>
    <w:rsid w:val="00E32CDC"/>
    <w:rsid w:val="00E34503"/>
    <w:rsid w:val="00E34CC3"/>
    <w:rsid w:val="00E350CD"/>
    <w:rsid w:val="00E351B1"/>
    <w:rsid w:val="00E35D75"/>
    <w:rsid w:val="00E36896"/>
    <w:rsid w:val="00E371A5"/>
    <w:rsid w:val="00E37781"/>
    <w:rsid w:val="00E37C45"/>
    <w:rsid w:val="00E40D8B"/>
    <w:rsid w:val="00E410E7"/>
    <w:rsid w:val="00E41D9E"/>
    <w:rsid w:val="00E43713"/>
    <w:rsid w:val="00E4578C"/>
    <w:rsid w:val="00E4598C"/>
    <w:rsid w:val="00E45A7F"/>
    <w:rsid w:val="00E45FFD"/>
    <w:rsid w:val="00E477DD"/>
    <w:rsid w:val="00E47803"/>
    <w:rsid w:val="00E47D81"/>
    <w:rsid w:val="00E47F12"/>
    <w:rsid w:val="00E500B0"/>
    <w:rsid w:val="00E50823"/>
    <w:rsid w:val="00E50CB0"/>
    <w:rsid w:val="00E514F0"/>
    <w:rsid w:val="00E52098"/>
    <w:rsid w:val="00E537CB"/>
    <w:rsid w:val="00E538C7"/>
    <w:rsid w:val="00E545EB"/>
    <w:rsid w:val="00E54676"/>
    <w:rsid w:val="00E54B9F"/>
    <w:rsid w:val="00E5513D"/>
    <w:rsid w:val="00E55360"/>
    <w:rsid w:val="00E561F4"/>
    <w:rsid w:val="00E564BF"/>
    <w:rsid w:val="00E56F38"/>
    <w:rsid w:val="00E575A0"/>
    <w:rsid w:val="00E57670"/>
    <w:rsid w:val="00E5770A"/>
    <w:rsid w:val="00E57962"/>
    <w:rsid w:val="00E579DA"/>
    <w:rsid w:val="00E57B9D"/>
    <w:rsid w:val="00E600D8"/>
    <w:rsid w:val="00E609CA"/>
    <w:rsid w:val="00E617B8"/>
    <w:rsid w:val="00E619D8"/>
    <w:rsid w:val="00E61D18"/>
    <w:rsid w:val="00E623D1"/>
    <w:rsid w:val="00E62783"/>
    <w:rsid w:val="00E63A57"/>
    <w:rsid w:val="00E654FD"/>
    <w:rsid w:val="00E657CB"/>
    <w:rsid w:val="00E666C5"/>
    <w:rsid w:val="00E66A8B"/>
    <w:rsid w:val="00E705B5"/>
    <w:rsid w:val="00E705B7"/>
    <w:rsid w:val="00E70804"/>
    <w:rsid w:val="00E70DFA"/>
    <w:rsid w:val="00E71364"/>
    <w:rsid w:val="00E71934"/>
    <w:rsid w:val="00E71C15"/>
    <w:rsid w:val="00E73581"/>
    <w:rsid w:val="00E73BFD"/>
    <w:rsid w:val="00E73F9E"/>
    <w:rsid w:val="00E740A1"/>
    <w:rsid w:val="00E74775"/>
    <w:rsid w:val="00E74D66"/>
    <w:rsid w:val="00E768C9"/>
    <w:rsid w:val="00E76CE3"/>
    <w:rsid w:val="00E77617"/>
    <w:rsid w:val="00E77CEA"/>
    <w:rsid w:val="00E77F7F"/>
    <w:rsid w:val="00E77F97"/>
    <w:rsid w:val="00E80EAA"/>
    <w:rsid w:val="00E8174C"/>
    <w:rsid w:val="00E81E49"/>
    <w:rsid w:val="00E81EB1"/>
    <w:rsid w:val="00E82A73"/>
    <w:rsid w:val="00E82F4A"/>
    <w:rsid w:val="00E83A56"/>
    <w:rsid w:val="00E83B58"/>
    <w:rsid w:val="00E83D30"/>
    <w:rsid w:val="00E8417E"/>
    <w:rsid w:val="00E844F3"/>
    <w:rsid w:val="00E847DA"/>
    <w:rsid w:val="00E8480D"/>
    <w:rsid w:val="00E85560"/>
    <w:rsid w:val="00E866DA"/>
    <w:rsid w:val="00E86758"/>
    <w:rsid w:val="00E86C35"/>
    <w:rsid w:val="00E87457"/>
    <w:rsid w:val="00E87BB6"/>
    <w:rsid w:val="00E90334"/>
    <w:rsid w:val="00E915FA"/>
    <w:rsid w:val="00E91A5A"/>
    <w:rsid w:val="00E932ED"/>
    <w:rsid w:val="00E93359"/>
    <w:rsid w:val="00E9389A"/>
    <w:rsid w:val="00E943E3"/>
    <w:rsid w:val="00E94BE1"/>
    <w:rsid w:val="00E95821"/>
    <w:rsid w:val="00E9594E"/>
    <w:rsid w:val="00E95E66"/>
    <w:rsid w:val="00E96817"/>
    <w:rsid w:val="00E96D15"/>
    <w:rsid w:val="00E97217"/>
    <w:rsid w:val="00E97885"/>
    <w:rsid w:val="00EA1731"/>
    <w:rsid w:val="00EA1CB4"/>
    <w:rsid w:val="00EA1E6F"/>
    <w:rsid w:val="00EA2164"/>
    <w:rsid w:val="00EA2365"/>
    <w:rsid w:val="00EA2EE4"/>
    <w:rsid w:val="00EA3A87"/>
    <w:rsid w:val="00EA50B3"/>
    <w:rsid w:val="00EA57D8"/>
    <w:rsid w:val="00EA5870"/>
    <w:rsid w:val="00EA5E3B"/>
    <w:rsid w:val="00EA5FBE"/>
    <w:rsid w:val="00EA6929"/>
    <w:rsid w:val="00EA69D4"/>
    <w:rsid w:val="00EA6F69"/>
    <w:rsid w:val="00EA730E"/>
    <w:rsid w:val="00EA772C"/>
    <w:rsid w:val="00EB055B"/>
    <w:rsid w:val="00EB3313"/>
    <w:rsid w:val="00EB3F07"/>
    <w:rsid w:val="00EB3F90"/>
    <w:rsid w:val="00EB4CF3"/>
    <w:rsid w:val="00EB4EF9"/>
    <w:rsid w:val="00EB5773"/>
    <w:rsid w:val="00EB713A"/>
    <w:rsid w:val="00EB7ECA"/>
    <w:rsid w:val="00EC1212"/>
    <w:rsid w:val="00EC1A74"/>
    <w:rsid w:val="00EC1D3D"/>
    <w:rsid w:val="00EC2404"/>
    <w:rsid w:val="00EC2517"/>
    <w:rsid w:val="00EC26BC"/>
    <w:rsid w:val="00EC40F6"/>
    <w:rsid w:val="00EC415F"/>
    <w:rsid w:val="00EC421D"/>
    <w:rsid w:val="00EC448B"/>
    <w:rsid w:val="00EC4539"/>
    <w:rsid w:val="00EC4649"/>
    <w:rsid w:val="00EC48D7"/>
    <w:rsid w:val="00EC4922"/>
    <w:rsid w:val="00EC498A"/>
    <w:rsid w:val="00EC4DF2"/>
    <w:rsid w:val="00EC4E16"/>
    <w:rsid w:val="00EC4F69"/>
    <w:rsid w:val="00EC5BD5"/>
    <w:rsid w:val="00EC714A"/>
    <w:rsid w:val="00EC7E67"/>
    <w:rsid w:val="00EC7F85"/>
    <w:rsid w:val="00ED03C3"/>
    <w:rsid w:val="00ED083A"/>
    <w:rsid w:val="00ED11A3"/>
    <w:rsid w:val="00ED1D23"/>
    <w:rsid w:val="00ED20E2"/>
    <w:rsid w:val="00ED2111"/>
    <w:rsid w:val="00ED29BC"/>
    <w:rsid w:val="00ED36E4"/>
    <w:rsid w:val="00ED3CF7"/>
    <w:rsid w:val="00ED44E6"/>
    <w:rsid w:val="00ED468F"/>
    <w:rsid w:val="00ED50B1"/>
    <w:rsid w:val="00ED53A1"/>
    <w:rsid w:val="00ED60F8"/>
    <w:rsid w:val="00ED6198"/>
    <w:rsid w:val="00ED6711"/>
    <w:rsid w:val="00ED7B6B"/>
    <w:rsid w:val="00EE09B8"/>
    <w:rsid w:val="00EE0B3E"/>
    <w:rsid w:val="00EE14D2"/>
    <w:rsid w:val="00EE1C47"/>
    <w:rsid w:val="00EE240E"/>
    <w:rsid w:val="00EE248F"/>
    <w:rsid w:val="00EE36E5"/>
    <w:rsid w:val="00EE36EB"/>
    <w:rsid w:val="00EE3E62"/>
    <w:rsid w:val="00EE40FF"/>
    <w:rsid w:val="00EE45D3"/>
    <w:rsid w:val="00EE5629"/>
    <w:rsid w:val="00EE6345"/>
    <w:rsid w:val="00EE72FA"/>
    <w:rsid w:val="00EE7728"/>
    <w:rsid w:val="00EE7898"/>
    <w:rsid w:val="00EE7CCD"/>
    <w:rsid w:val="00EF0406"/>
    <w:rsid w:val="00EF0C36"/>
    <w:rsid w:val="00EF2A1C"/>
    <w:rsid w:val="00EF2D02"/>
    <w:rsid w:val="00EF2F31"/>
    <w:rsid w:val="00EF3387"/>
    <w:rsid w:val="00EF64F0"/>
    <w:rsid w:val="00EF70A9"/>
    <w:rsid w:val="00EF7251"/>
    <w:rsid w:val="00EF7C75"/>
    <w:rsid w:val="00F01526"/>
    <w:rsid w:val="00F019DD"/>
    <w:rsid w:val="00F01C4C"/>
    <w:rsid w:val="00F01D24"/>
    <w:rsid w:val="00F02BEE"/>
    <w:rsid w:val="00F02C86"/>
    <w:rsid w:val="00F031C7"/>
    <w:rsid w:val="00F0406A"/>
    <w:rsid w:val="00F04098"/>
    <w:rsid w:val="00F047AC"/>
    <w:rsid w:val="00F04BA9"/>
    <w:rsid w:val="00F058AF"/>
    <w:rsid w:val="00F059CA"/>
    <w:rsid w:val="00F060A2"/>
    <w:rsid w:val="00F0678F"/>
    <w:rsid w:val="00F06DF8"/>
    <w:rsid w:val="00F07210"/>
    <w:rsid w:val="00F1010C"/>
    <w:rsid w:val="00F101E4"/>
    <w:rsid w:val="00F10202"/>
    <w:rsid w:val="00F108C2"/>
    <w:rsid w:val="00F10E63"/>
    <w:rsid w:val="00F11054"/>
    <w:rsid w:val="00F114A8"/>
    <w:rsid w:val="00F128DE"/>
    <w:rsid w:val="00F13036"/>
    <w:rsid w:val="00F13F75"/>
    <w:rsid w:val="00F1401D"/>
    <w:rsid w:val="00F14DD2"/>
    <w:rsid w:val="00F15843"/>
    <w:rsid w:val="00F15DBB"/>
    <w:rsid w:val="00F16154"/>
    <w:rsid w:val="00F1661C"/>
    <w:rsid w:val="00F166CD"/>
    <w:rsid w:val="00F16714"/>
    <w:rsid w:val="00F16F50"/>
    <w:rsid w:val="00F2014E"/>
    <w:rsid w:val="00F20920"/>
    <w:rsid w:val="00F21621"/>
    <w:rsid w:val="00F218A5"/>
    <w:rsid w:val="00F22C46"/>
    <w:rsid w:val="00F22E39"/>
    <w:rsid w:val="00F22F8D"/>
    <w:rsid w:val="00F233BA"/>
    <w:rsid w:val="00F23407"/>
    <w:rsid w:val="00F23829"/>
    <w:rsid w:val="00F23A29"/>
    <w:rsid w:val="00F23A41"/>
    <w:rsid w:val="00F244A8"/>
    <w:rsid w:val="00F244F8"/>
    <w:rsid w:val="00F24D75"/>
    <w:rsid w:val="00F25285"/>
    <w:rsid w:val="00F261E3"/>
    <w:rsid w:val="00F262C6"/>
    <w:rsid w:val="00F2704B"/>
    <w:rsid w:val="00F27221"/>
    <w:rsid w:val="00F27245"/>
    <w:rsid w:val="00F27D82"/>
    <w:rsid w:val="00F27F14"/>
    <w:rsid w:val="00F300C7"/>
    <w:rsid w:val="00F301DE"/>
    <w:rsid w:val="00F30FB1"/>
    <w:rsid w:val="00F314D1"/>
    <w:rsid w:val="00F31917"/>
    <w:rsid w:val="00F31FEC"/>
    <w:rsid w:val="00F325CB"/>
    <w:rsid w:val="00F332D1"/>
    <w:rsid w:val="00F335E7"/>
    <w:rsid w:val="00F34F33"/>
    <w:rsid w:val="00F352DD"/>
    <w:rsid w:val="00F35BAB"/>
    <w:rsid w:val="00F35C1C"/>
    <w:rsid w:val="00F36C8D"/>
    <w:rsid w:val="00F40573"/>
    <w:rsid w:val="00F40A4A"/>
    <w:rsid w:val="00F40CCB"/>
    <w:rsid w:val="00F4157C"/>
    <w:rsid w:val="00F420DE"/>
    <w:rsid w:val="00F42436"/>
    <w:rsid w:val="00F427D1"/>
    <w:rsid w:val="00F42ADB"/>
    <w:rsid w:val="00F4329E"/>
    <w:rsid w:val="00F44D9B"/>
    <w:rsid w:val="00F459D8"/>
    <w:rsid w:val="00F45F49"/>
    <w:rsid w:val="00F461A6"/>
    <w:rsid w:val="00F462C7"/>
    <w:rsid w:val="00F46EF7"/>
    <w:rsid w:val="00F47E87"/>
    <w:rsid w:val="00F505E6"/>
    <w:rsid w:val="00F51A31"/>
    <w:rsid w:val="00F51EC8"/>
    <w:rsid w:val="00F5203B"/>
    <w:rsid w:val="00F524CF"/>
    <w:rsid w:val="00F527E8"/>
    <w:rsid w:val="00F52A7A"/>
    <w:rsid w:val="00F5424D"/>
    <w:rsid w:val="00F56608"/>
    <w:rsid w:val="00F57211"/>
    <w:rsid w:val="00F60223"/>
    <w:rsid w:val="00F60DA0"/>
    <w:rsid w:val="00F610A8"/>
    <w:rsid w:val="00F61411"/>
    <w:rsid w:val="00F6142C"/>
    <w:rsid w:val="00F61D56"/>
    <w:rsid w:val="00F61F3D"/>
    <w:rsid w:val="00F6234C"/>
    <w:rsid w:val="00F62BCA"/>
    <w:rsid w:val="00F63415"/>
    <w:rsid w:val="00F63F6D"/>
    <w:rsid w:val="00F63FB2"/>
    <w:rsid w:val="00F643FB"/>
    <w:rsid w:val="00F64A23"/>
    <w:rsid w:val="00F65430"/>
    <w:rsid w:val="00F6551C"/>
    <w:rsid w:val="00F659E9"/>
    <w:rsid w:val="00F662F3"/>
    <w:rsid w:val="00F667C1"/>
    <w:rsid w:val="00F67415"/>
    <w:rsid w:val="00F67442"/>
    <w:rsid w:val="00F70B3B"/>
    <w:rsid w:val="00F70F3A"/>
    <w:rsid w:val="00F7217C"/>
    <w:rsid w:val="00F72730"/>
    <w:rsid w:val="00F729E6"/>
    <w:rsid w:val="00F72DC8"/>
    <w:rsid w:val="00F730DD"/>
    <w:rsid w:val="00F73E98"/>
    <w:rsid w:val="00F74DA1"/>
    <w:rsid w:val="00F75B73"/>
    <w:rsid w:val="00F77721"/>
    <w:rsid w:val="00F8040A"/>
    <w:rsid w:val="00F80C70"/>
    <w:rsid w:val="00F81DFF"/>
    <w:rsid w:val="00F81E7C"/>
    <w:rsid w:val="00F821C6"/>
    <w:rsid w:val="00F821E0"/>
    <w:rsid w:val="00F824C9"/>
    <w:rsid w:val="00F831E3"/>
    <w:rsid w:val="00F8320E"/>
    <w:rsid w:val="00F84124"/>
    <w:rsid w:val="00F8546B"/>
    <w:rsid w:val="00F862D6"/>
    <w:rsid w:val="00F8667F"/>
    <w:rsid w:val="00F86882"/>
    <w:rsid w:val="00F872EF"/>
    <w:rsid w:val="00F9023D"/>
    <w:rsid w:val="00F92F8A"/>
    <w:rsid w:val="00F93533"/>
    <w:rsid w:val="00F941BE"/>
    <w:rsid w:val="00F943D6"/>
    <w:rsid w:val="00F94670"/>
    <w:rsid w:val="00F94A11"/>
    <w:rsid w:val="00F94E1B"/>
    <w:rsid w:val="00F94FC6"/>
    <w:rsid w:val="00F95B4E"/>
    <w:rsid w:val="00F95BEA"/>
    <w:rsid w:val="00F9615B"/>
    <w:rsid w:val="00F969D4"/>
    <w:rsid w:val="00F96E76"/>
    <w:rsid w:val="00F97464"/>
    <w:rsid w:val="00F97E2E"/>
    <w:rsid w:val="00FA1A82"/>
    <w:rsid w:val="00FA1D37"/>
    <w:rsid w:val="00FA1FAE"/>
    <w:rsid w:val="00FA2146"/>
    <w:rsid w:val="00FA2E78"/>
    <w:rsid w:val="00FA3958"/>
    <w:rsid w:val="00FA3CC1"/>
    <w:rsid w:val="00FA3ECA"/>
    <w:rsid w:val="00FA47AD"/>
    <w:rsid w:val="00FA5005"/>
    <w:rsid w:val="00FA524E"/>
    <w:rsid w:val="00FA6283"/>
    <w:rsid w:val="00FA6428"/>
    <w:rsid w:val="00FA7830"/>
    <w:rsid w:val="00FA7B03"/>
    <w:rsid w:val="00FB0249"/>
    <w:rsid w:val="00FB08DD"/>
    <w:rsid w:val="00FB0A30"/>
    <w:rsid w:val="00FB0ACA"/>
    <w:rsid w:val="00FB103D"/>
    <w:rsid w:val="00FB1686"/>
    <w:rsid w:val="00FB1DC8"/>
    <w:rsid w:val="00FB2384"/>
    <w:rsid w:val="00FB3DE7"/>
    <w:rsid w:val="00FB3F62"/>
    <w:rsid w:val="00FB41F4"/>
    <w:rsid w:val="00FB42A5"/>
    <w:rsid w:val="00FB5116"/>
    <w:rsid w:val="00FB587B"/>
    <w:rsid w:val="00FB668C"/>
    <w:rsid w:val="00FB6865"/>
    <w:rsid w:val="00FB6C1D"/>
    <w:rsid w:val="00FB705A"/>
    <w:rsid w:val="00FB7715"/>
    <w:rsid w:val="00FB7DCD"/>
    <w:rsid w:val="00FB7FCA"/>
    <w:rsid w:val="00FC08AE"/>
    <w:rsid w:val="00FC0A9D"/>
    <w:rsid w:val="00FC0C2B"/>
    <w:rsid w:val="00FC0CC2"/>
    <w:rsid w:val="00FC22D2"/>
    <w:rsid w:val="00FC43E7"/>
    <w:rsid w:val="00FC5753"/>
    <w:rsid w:val="00FC579D"/>
    <w:rsid w:val="00FC6782"/>
    <w:rsid w:val="00FC6949"/>
    <w:rsid w:val="00FC6980"/>
    <w:rsid w:val="00FC7435"/>
    <w:rsid w:val="00FC77CA"/>
    <w:rsid w:val="00FD01E5"/>
    <w:rsid w:val="00FD0201"/>
    <w:rsid w:val="00FD03CF"/>
    <w:rsid w:val="00FD04FC"/>
    <w:rsid w:val="00FD07CA"/>
    <w:rsid w:val="00FD0D06"/>
    <w:rsid w:val="00FD1108"/>
    <w:rsid w:val="00FD1C2C"/>
    <w:rsid w:val="00FD1C6A"/>
    <w:rsid w:val="00FD22F7"/>
    <w:rsid w:val="00FD2F09"/>
    <w:rsid w:val="00FD36B1"/>
    <w:rsid w:val="00FD4C77"/>
    <w:rsid w:val="00FD4FF8"/>
    <w:rsid w:val="00FD63E2"/>
    <w:rsid w:val="00FD7119"/>
    <w:rsid w:val="00FD7331"/>
    <w:rsid w:val="00FD77B0"/>
    <w:rsid w:val="00FE17B3"/>
    <w:rsid w:val="00FE198F"/>
    <w:rsid w:val="00FE227A"/>
    <w:rsid w:val="00FE28F9"/>
    <w:rsid w:val="00FE36BF"/>
    <w:rsid w:val="00FE4409"/>
    <w:rsid w:val="00FE4BAF"/>
    <w:rsid w:val="00FE5CE6"/>
    <w:rsid w:val="00FE5FC7"/>
    <w:rsid w:val="00FE6401"/>
    <w:rsid w:val="00FE6C8A"/>
    <w:rsid w:val="00FE743B"/>
    <w:rsid w:val="00FE7F25"/>
    <w:rsid w:val="00FF094B"/>
    <w:rsid w:val="00FF0956"/>
    <w:rsid w:val="00FF0B20"/>
    <w:rsid w:val="00FF1714"/>
    <w:rsid w:val="00FF1768"/>
    <w:rsid w:val="00FF2B2C"/>
    <w:rsid w:val="00FF3839"/>
    <w:rsid w:val="00FF3850"/>
    <w:rsid w:val="00FF39A3"/>
    <w:rsid w:val="00FF3F3E"/>
    <w:rsid w:val="00FF4555"/>
    <w:rsid w:val="00FF614E"/>
    <w:rsid w:val="00FF6517"/>
    <w:rsid w:val="00FF6B96"/>
    <w:rsid w:val="00FF7412"/>
    <w:rsid w:val="00FF79C9"/>
    <w:rsid w:val="00FF7C0E"/>
    <w:rsid w:val="00FF7D79"/>
    <w:rsid w:val="00FF7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C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5B97"/>
    <w:pPr>
      <w:keepNext/>
      <w:keepLines/>
      <w:spacing w:line="360" w:lineRule="auto"/>
      <w:outlineLvl w:val="0"/>
    </w:pPr>
    <w:rPr>
      <w:rFonts w:eastAsiaTheme="majorEastAsia" w:cstheme="majorBidi"/>
      <w:b/>
      <w:bCs/>
      <w:sz w:val="26"/>
      <w:szCs w:val="28"/>
    </w:rPr>
  </w:style>
  <w:style w:type="paragraph" w:styleId="Heading2">
    <w:name w:val="heading 2"/>
    <w:basedOn w:val="Normal"/>
    <w:next w:val="Normal"/>
    <w:link w:val="Heading2Char"/>
    <w:uiPriority w:val="9"/>
    <w:unhideWhenUsed/>
    <w:qFormat/>
    <w:rsid w:val="00695B97"/>
    <w:pPr>
      <w:keepNext/>
      <w:keepLines/>
      <w:spacing w:line="360" w:lineRule="auto"/>
      <w:ind w:left="7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95B97"/>
    <w:pPr>
      <w:keepNext/>
      <w:keepLines/>
      <w:spacing w:line="360" w:lineRule="auto"/>
      <w:ind w:left="144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695B97"/>
    <w:pPr>
      <w:keepNext/>
      <w:keepLines/>
      <w:spacing w:line="360" w:lineRule="auto"/>
      <w:ind w:left="216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695B97"/>
    <w:pPr>
      <w:keepNext/>
      <w:keepLines/>
      <w:spacing w:line="360" w:lineRule="auto"/>
      <w:ind w:left="2880"/>
      <w:outlineLvl w:val="4"/>
    </w:pPr>
    <w:rPr>
      <w:rFonts w:eastAsiaTheme="majorEastAsia" w:cstheme="majorBidi"/>
      <w:b/>
      <w:sz w:val="26"/>
    </w:rPr>
  </w:style>
  <w:style w:type="paragraph" w:styleId="Heading6">
    <w:name w:val="heading 6"/>
    <w:basedOn w:val="Normal"/>
    <w:next w:val="Normal"/>
    <w:link w:val="Heading6Char"/>
    <w:uiPriority w:val="9"/>
    <w:unhideWhenUsed/>
    <w:qFormat/>
    <w:rsid w:val="008E4C54"/>
    <w:pPr>
      <w:keepNext/>
      <w:keepLines/>
      <w:spacing w:line="360" w:lineRule="auto"/>
      <w:ind w:firstLine="3600"/>
      <w:outlineLvl w:val="5"/>
    </w:pPr>
    <w:rPr>
      <w:rFonts w:eastAsiaTheme="majorEastAsia"/>
      <w:b/>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1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5B97"/>
    <w:rPr>
      <w:rFonts w:ascii="Times New Roman" w:eastAsiaTheme="majorEastAsia" w:hAnsi="Times New Roman" w:cstheme="majorBidi"/>
      <w:b/>
      <w:bCs/>
      <w:sz w:val="26"/>
      <w:szCs w:val="28"/>
    </w:rPr>
  </w:style>
  <w:style w:type="paragraph" w:styleId="ListParagraph">
    <w:name w:val="List Paragraph"/>
    <w:basedOn w:val="Normal"/>
    <w:uiPriority w:val="34"/>
    <w:qFormat/>
    <w:rsid w:val="00DB1424"/>
    <w:pPr>
      <w:ind w:left="720"/>
      <w:contextualSpacing/>
    </w:pPr>
  </w:style>
  <w:style w:type="paragraph" w:styleId="TOC1">
    <w:name w:val="toc 1"/>
    <w:basedOn w:val="Normal"/>
    <w:next w:val="Normal"/>
    <w:autoRedefine/>
    <w:uiPriority w:val="39"/>
    <w:unhideWhenUsed/>
    <w:qFormat/>
    <w:rsid w:val="004D1CC1"/>
    <w:pPr>
      <w:spacing w:after="100"/>
    </w:pPr>
  </w:style>
  <w:style w:type="character" w:styleId="Hyperlink">
    <w:name w:val="Hyperlink"/>
    <w:basedOn w:val="DefaultParagraphFont"/>
    <w:uiPriority w:val="99"/>
    <w:unhideWhenUsed/>
    <w:rsid w:val="004D1CC1"/>
    <w:rPr>
      <w:color w:val="5F5F5F" w:themeColor="hyperlink"/>
      <w:u w:val="single"/>
    </w:rPr>
  </w:style>
  <w:style w:type="character" w:customStyle="1" w:styleId="Heading2Char">
    <w:name w:val="Heading 2 Char"/>
    <w:basedOn w:val="DefaultParagraphFont"/>
    <w:link w:val="Heading2"/>
    <w:uiPriority w:val="9"/>
    <w:rsid w:val="00695B97"/>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695B97"/>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9"/>
    <w:rsid w:val="00695B97"/>
    <w:rPr>
      <w:rFonts w:ascii="Times New Roman" w:eastAsiaTheme="majorEastAsia" w:hAnsi="Times New Roman" w:cstheme="majorBidi"/>
      <w:b/>
      <w:bCs/>
      <w:iCs/>
      <w:sz w:val="26"/>
      <w:szCs w:val="24"/>
    </w:rPr>
  </w:style>
  <w:style w:type="paragraph" w:styleId="TOC2">
    <w:name w:val="toc 2"/>
    <w:basedOn w:val="Normal"/>
    <w:next w:val="Normal"/>
    <w:autoRedefine/>
    <w:uiPriority w:val="39"/>
    <w:unhideWhenUsed/>
    <w:qFormat/>
    <w:rsid w:val="000854A4"/>
    <w:pPr>
      <w:tabs>
        <w:tab w:val="left" w:pos="1080"/>
        <w:tab w:val="right" w:leader="dot" w:pos="9350"/>
      </w:tabs>
      <w:spacing w:after="100"/>
      <w:ind w:left="240"/>
    </w:pPr>
  </w:style>
  <w:style w:type="paragraph" w:styleId="TOC3">
    <w:name w:val="toc 3"/>
    <w:basedOn w:val="Normal"/>
    <w:next w:val="Normal"/>
    <w:autoRedefine/>
    <w:uiPriority w:val="39"/>
    <w:unhideWhenUsed/>
    <w:qFormat/>
    <w:rsid w:val="00E02D9B"/>
    <w:pPr>
      <w:tabs>
        <w:tab w:val="left" w:pos="1440"/>
        <w:tab w:val="right" w:leader="dot" w:pos="9350"/>
      </w:tabs>
      <w:spacing w:after="100"/>
      <w:ind w:left="480"/>
    </w:pPr>
  </w:style>
  <w:style w:type="paragraph" w:styleId="TOC4">
    <w:name w:val="toc 4"/>
    <w:basedOn w:val="Normal"/>
    <w:next w:val="Normal"/>
    <w:autoRedefine/>
    <w:uiPriority w:val="39"/>
    <w:unhideWhenUsed/>
    <w:rsid w:val="00E02D9B"/>
    <w:pPr>
      <w:tabs>
        <w:tab w:val="left" w:pos="1800"/>
        <w:tab w:val="right" w:leader="dot" w:pos="9350"/>
      </w:tabs>
      <w:spacing w:after="100"/>
      <w:ind w:left="720"/>
    </w:pPr>
  </w:style>
  <w:style w:type="character" w:customStyle="1" w:styleId="Heading5Char">
    <w:name w:val="Heading 5 Char"/>
    <w:basedOn w:val="DefaultParagraphFont"/>
    <w:link w:val="Heading5"/>
    <w:uiPriority w:val="9"/>
    <w:rsid w:val="00695B97"/>
    <w:rPr>
      <w:rFonts w:ascii="Times New Roman" w:eastAsiaTheme="majorEastAsia" w:hAnsi="Times New Roman" w:cstheme="majorBidi"/>
      <w:b/>
      <w:sz w:val="26"/>
      <w:szCs w:val="24"/>
    </w:rPr>
  </w:style>
  <w:style w:type="paragraph" w:styleId="TOC5">
    <w:name w:val="toc 5"/>
    <w:basedOn w:val="Normal"/>
    <w:next w:val="Normal"/>
    <w:autoRedefine/>
    <w:uiPriority w:val="39"/>
    <w:unhideWhenUsed/>
    <w:rsid w:val="00E02D9B"/>
    <w:pPr>
      <w:tabs>
        <w:tab w:val="left" w:pos="2160"/>
        <w:tab w:val="right" w:leader="dot" w:pos="9350"/>
      </w:tabs>
      <w:spacing w:after="100"/>
      <w:ind w:left="2160" w:hanging="1200"/>
    </w:pPr>
  </w:style>
  <w:style w:type="paragraph" w:styleId="Header">
    <w:name w:val="header"/>
    <w:basedOn w:val="Normal"/>
    <w:link w:val="HeaderChar"/>
    <w:uiPriority w:val="99"/>
    <w:unhideWhenUsed/>
    <w:rsid w:val="008F250B"/>
    <w:pPr>
      <w:tabs>
        <w:tab w:val="center" w:pos="4680"/>
        <w:tab w:val="right" w:pos="9360"/>
      </w:tabs>
    </w:pPr>
  </w:style>
  <w:style w:type="character" w:customStyle="1" w:styleId="HeaderChar">
    <w:name w:val="Header Char"/>
    <w:basedOn w:val="DefaultParagraphFont"/>
    <w:link w:val="Header"/>
    <w:uiPriority w:val="99"/>
    <w:rsid w:val="008F25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250B"/>
    <w:pPr>
      <w:tabs>
        <w:tab w:val="center" w:pos="4680"/>
        <w:tab w:val="right" w:pos="9360"/>
      </w:tabs>
    </w:pPr>
  </w:style>
  <w:style w:type="character" w:customStyle="1" w:styleId="FooterChar">
    <w:name w:val="Footer Char"/>
    <w:basedOn w:val="DefaultParagraphFont"/>
    <w:link w:val="Footer"/>
    <w:uiPriority w:val="99"/>
    <w:rsid w:val="008F250B"/>
    <w:rPr>
      <w:rFonts w:ascii="Times New Roman" w:eastAsia="Times New Roman" w:hAnsi="Times New Roman" w:cs="Times New Roman"/>
      <w:sz w:val="24"/>
      <w:szCs w:val="24"/>
    </w:rPr>
  </w:style>
  <w:style w:type="paragraph" w:styleId="FootnoteText">
    <w:name w:val="footnote text"/>
    <w:aliases w:val="TBG Style,ALTS FOOTNOTE,Footnote Text 2,fn,Footnote text,FOOTNOTE,Footnote Text Char1 Char,Footnote Text Char Char Char,ALTS FOOTNOTE Char Char Char,fn Char Char Char,Footnote Text Char2 Char Char Char,Footnote Text1 Char"/>
    <w:basedOn w:val="Normal"/>
    <w:link w:val="FootnoteTextChar"/>
    <w:unhideWhenUsed/>
    <w:rsid w:val="003E58B9"/>
    <w:rPr>
      <w:sz w:val="20"/>
      <w:szCs w:val="20"/>
    </w:rPr>
  </w:style>
  <w:style w:type="character" w:customStyle="1" w:styleId="FootnoteTextChar">
    <w:name w:val="Footnote Text Char"/>
    <w:aliases w:val="TBG Style Char,ALTS FOOTNOTE Char,Footnote Text 2 Char,fn Char,Footnote text Char,FOOTNOTE Char,Footnote Text Char1 Char Char,Footnote Text Char Char Char Char,ALTS FOOTNOTE Char Char Char Char,fn Char Char Char Char"/>
    <w:basedOn w:val="DefaultParagraphFont"/>
    <w:link w:val="FootnoteText"/>
    <w:rsid w:val="003E58B9"/>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3E58B9"/>
    <w:rPr>
      <w:vertAlign w:val="superscript"/>
    </w:rPr>
  </w:style>
  <w:style w:type="paragraph" w:customStyle="1" w:styleId="p3">
    <w:name w:val="p3"/>
    <w:basedOn w:val="Normal"/>
    <w:rsid w:val="00A308F1"/>
    <w:pPr>
      <w:widowControl w:val="0"/>
      <w:tabs>
        <w:tab w:val="left" w:pos="204"/>
      </w:tabs>
      <w:autoSpaceDE w:val="0"/>
      <w:autoSpaceDN w:val="0"/>
      <w:adjustRightInd w:val="0"/>
    </w:pPr>
  </w:style>
  <w:style w:type="paragraph" w:styleId="TOC6">
    <w:name w:val="toc 6"/>
    <w:basedOn w:val="Normal"/>
    <w:next w:val="Normal"/>
    <w:autoRedefine/>
    <w:uiPriority w:val="39"/>
    <w:unhideWhenUsed/>
    <w:rsid w:val="00D439A4"/>
    <w:pPr>
      <w:tabs>
        <w:tab w:val="left" w:pos="1800"/>
        <w:tab w:val="right" w:leader="dot" w:pos="9350"/>
      </w:tabs>
      <w:spacing w:after="100" w:line="276" w:lineRule="auto"/>
      <w:ind w:left="1100"/>
    </w:pPr>
    <w:rPr>
      <w:rFonts w:eastAsiaTheme="minorEastAsia"/>
      <w:noProof/>
      <w:sz w:val="22"/>
      <w:szCs w:val="22"/>
    </w:rPr>
  </w:style>
  <w:style w:type="paragraph" w:styleId="TOC7">
    <w:name w:val="toc 7"/>
    <w:basedOn w:val="Normal"/>
    <w:next w:val="Normal"/>
    <w:autoRedefine/>
    <w:uiPriority w:val="39"/>
    <w:unhideWhenUsed/>
    <w:rsid w:val="00543B6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43B6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43B63"/>
    <w:pPr>
      <w:spacing w:after="100" w:line="276" w:lineRule="auto"/>
      <w:ind w:left="1760"/>
    </w:pPr>
    <w:rPr>
      <w:rFonts w:asciiTheme="minorHAnsi" w:eastAsiaTheme="minorEastAsia" w:hAnsiTheme="minorHAnsi" w:cstheme="minorBidi"/>
      <w:sz w:val="22"/>
      <w:szCs w:val="22"/>
    </w:rPr>
  </w:style>
  <w:style w:type="paragraph" w:customStyle="1" w:styleId="Default">
    <w:name w:val="Default"/>
    <w:rsid w:val="00A8003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E5FC7"/>
    <w:rPr>
      <w:rFonts w:ascii="Tahoma" w:hAnsi="Tahoma" w:cs="Tahoma"/>
      <w:sz w:val="16"/>
      <w:szCs w:val="16"/>
    </w:rPr>
  </w:style>
  <w:style w:type="character" w:customStyle="1" w:styleId="BalloonTextChar">
    <w:name w:val="Balloon Text Char"/>
    <w:basedOn w:val="DefaultParagraphFont"/>
    <w:link w:val="BalloonText"/>
    <w:uiPriority w:val="99"/>
    <w:semiHidden/>
    <w:rsid w:val="00FE5FC7"/>
    <w:rPr>
      <w:rFonts w:ascii="Tahoma" w:eastAsia="Times New Roman" w:hAnsi="Tahoma" w:cs="Tahoma"/>
      <w:sz w:val="16"/>
      <w:szCs w:val="16"/>
    </w:rPr>
  </w:style>
  <w:style w:type="character" w:styleId="Emphasis">
    <w:name w:val="Emphasis"/>
    <w:basedOn w:val="DefaultParagraphFont"/>
    <w:qFormat/>
    <w:rsid w:val="00367979"/>
    <w:rPr>
      <w:i/>
      <w:iCs/>
    </w:rPr>
  </w:style>
  <w:style w:type="paragraph" w:styleId="BodyText2">
    <w:name w:val="Body Text 2"/>
    <w:basedOn w:val="Normal"/>
    <w:link w:val="BodyText2Char"/>
    <w:rsid w:val="003653BB"/>
    <w:pPr>
      <w:spacing w:line="480" w:lineRule="auto"/>
      <w:ind w:firstLine="720"/>
      <w:jc w:val="both"/>
    </w:pPr>
  </w:style>
  <w:style w:type="character" w:customStyle="1" w:styleId="BodyText2Char">
    <w:name w:val="Body Text 2 Char"/>
    <w:basedOn w:val="DefaultParagraphFont"/>
    <w:link w:val="BodyText2"/>
    <w:rsid w:val="003653BB"/>
    <w:rPr>
      <w:rFonts w:ascii="Times New Roman" w:eastAsia="Times New Roman" w:hAnsi="Times New Roman" w:cs="Times New Roman"/>
      <w:sz w:val="24"/>
      <w:szCs w:val="24"/>
    </w:rPr>
  </w:style>
  <w:style w:type="paragraph" w:styleId="NoSpacing">
    <w:name w:val="No Spacing"/>
    <w:uiPriority w:val="1"/>
    <w:qFormat/>
    <w:rsid w:val="00AB7DBD"/>
    <w:pPr>
      <w:spacing w:after="0" w:line="240" w:lineRule="auto"/>
    </w:pPr>
    <w:rPr>
      <w:rFonts w:ascii="Calibri" w:eastAsia="Times New Roman" w:hAnsi="Calibri" w:cs="Times New Roman"/>
    </w:rPr>
  </w:style>
  <w:style w:type="character" w:customStyle="1" w:styleId="Heading6Char">
    <w:name w:val="Heading 6 Char"/>
    <w:basedOn w:val="DefaultParagraphFont"/>
    <w:link w:val="Heading6"/>
    <w:uiPriority w:val="9"/>
    <w:rsid w:val="008E4C54"/>
    <w:rPr>
      <w:rFonts w:ascii="Times New Roman" w:eastAsiaTheme="majorEastAsia" w:hAnsi="Times New Roman" w:cs="Times New Roman"/>
      <w:b/>
      <w:iCs/>
      <w:sz w:val="26"/>
      <w:szCs w:val="26"/>
    </w:rPr>
  </w:style>
  <w:style w:type="character" w:styleId="LineNumber">
    <w:name w:val="line number"/>
    <w:basedOn w:val="DefaultParagraphFont"/>
    <w:rsid w:val="00540830"/>
    <w:rPr>
      <w:rFonts w:ascii="Times New Roman" w:hAnsi="Times New Roman"/>
      <w:sz w:val="24"/>
    </w:rPr>
  </w:style>
  <w:style w:type="paragraph" w:styleId="BodyText">
    <w:name w:val="Body Text"/>
    <w:basedOn w:val="Normal"/>
    <w:link w:val="BodyTextChar"/>
    <w:uiPriority w:val="99"/>
    <w:semiHidden/>
    <w:unhideWhenUsed/>
    <w:rsid w:val="004517BC"/>
    <w:pPr>
      <w:spacing w:after="120"/>
    </w:pPr>
  </w:style>
  <w:style w:type="character" w:customStyle="1" w:styleId="BodyTextChar">
    <w:name w:val="Body Text Char"/>
    <w:basedOn w:val="DefaultParagraphFont"/>
    <w:link w:val="BodyText"/>
    <w:uiPriority w:val="99"/>
    <w:semiHidden/>
    <w:rsid w:val="004517BC"/>
    <w:rPr>
      <w:rFonts w:ascii="Times New Roman" w:eastAsia="Times New Roman" w:hAnsi="Times New Roman" w:cs="Times New Roman"/>
      <w:sz w:val="24"/>
      <w:szCs w:val="24"/>
    </w:rPr>
  </w:style>
  <w:style w:type="paragraph" w:customStyle="1" w:styleId="FirmDouble05">
    <w:name w:val="Firm Double 05"/>
    <w:basedOn w:val="Normal"/>
    <w:rsid w:val="004517BC"/>
    <w:pPr>
      <w:spacing w:after="120" w:line="480" w:lineRule="auto"/>
      <w:ind w:firstLine="720"/>
    </w:pPr>
  </w:style>
  <w:style w:type="paragraph" w:customStyle="1" w:styleId="BriefL1">
    <w:name w:val="Brief_L1"/>
    <w:basedOn w:val="Normal"/>
    <w:next w:val="BodyText"/>
    <w:rsid w:val="004517BC"/>
    <w:pPr>
      <w:numPr>
        <w:numId w:val="7"/>
      </w:numPr>
      <w:spacing w:after="360"/>
      <w:jc w:val="center"/>
      <w:outlineLvl w:val="0"/>
    </w:pPr>
    <w:rPr>
      <w:b/>
      <w:caps/>
      <w:szCs w:val="20"/>
    </w:rPr>
  </w:style>
  <w:style w:type="paragraph" w:customStyle="1" w:styleId="BriefL2">
    <w:name w:val="Brief_L2"/>
    <w:basedOn w:val="BriefL1"/>
    <w:next w:val="BodyText"/>
    <w:rsid w:val="004517BC"/>
    <w:pPr>
      <w:keepNext/>
      <w:keepLines/>
      <w:numPr>
        <w:ilvl w:val="1"/>
      </w:numPr>
      <w:jc w:val="left"/>
      <w:outlineLvl w:val="1"/>
    </w:pPr>
    <w:rPr>
      <w:caps w:val="0"/>
    </w:rPr>
  </w:style>
  <w:style w:type="paragraph" w:customStyle="1" w:styleId="BriefL3">
    <w:name w:val="Brief_L3"/>
    <w:basedOn w:val="BriefL2"/>
    <w:rsid w:val="004517BC"/>
    <w:pPr>
      <w:keepNext w:val="0"/>
      <w:keepLines w:val="0"/>
      <w:numPr>
        <w:ilvl w:val="2"/>
      </w:numPr>
      <w:spacing w:after="240"/>
      <w:outlineLvl w:val="2"/>
    </w:pPr>
    <w:rPr>
      <w:rFonts w:ascii="Times New Roman Bold" w:hAnsi="Times New Roman Bold"/>
    </w:rPr>
  </w:style>
  <w:style w:type="paragraph" w:customStyle="1" w:styleId="BriefL4">
    <w:name w:val="Brief_L4"/>
    <w:basedOn w:val="BriefL3"/>
    <w:next w:val="BodyText"/>
    <w:rsid w:val="004517BC"/>
    <w:pPr>
      <w:numPr>
        <w:ilvl w:val="3"/>
      </w:numPr>
      <w:outlineLvl w:val="3"/>
    </w:pPr>
    <w:rPr>
      <w:rFonts w:ascii="Times New Roman" w:hAnsi="Times New Roman"/>
    </w:rPr>
  </w:style>
  <w:style w:type="paragraph" w:customStyle="1" w:styleId="BriefL5">
    <w:name w:val="Brief_L5"/>
    <w:basedOn w:val="BriefL4"/>
    <w:next w:val="BodyText"/>
    <w:rsid w:val="004517BC"/>
    <w:pPr>
      <w:numPr>
        <w:ilvl w:val="4"/>
      </w:numPr>
      <w:outlineLvl w:val="4"/>
    </w:pPr>
    <w:rPr>
      <w:rFonts w:ascii="Times New Roman Bold" w:hAnsi="Times New Roman Bold"/>
    </w:rPr>
  </w:style>
  <w:style w:type="paragraph" w:customStyle="1" w:styleId="BriefL6">
    <w:name w:val="Brief_L6"/>
    <w:basedOn w:val="BriefL5"/>
    <w:next w:val="BodyText"/>
    <w:rsid w:val="004517BC"/>
    <w:pPr>
      <w:numPr>
        <w:ilvl w:val="5"/>
      </w:numPr>
      <w:outlineLvl w:val="5"/>
    </w:pPr>
  </w:style>
  <w:style w:type="paragraph" w:customStyle="1" w:styleId="BriefL7">
    <w:name w:val="Brief_L7"/>
    <w:basedOn w:val="BriefL6"/>
    <w:next w:val="BodyText"/>
    <w:rsid w:val="004517BC"/>
    <w:pPr>
      <w:numPr>
        <w:ilvl w:val="6"/>
      </w:numPr>
      <w:outlineLvl w:val="6"/>
    </w:pPr>
  </w:style>
  <w:style w:type="paragraph" w:customStyle="1" w:styleId="BriefL8">
    <w:name w:val="Brief_L8"/>
    <w:basedOn w:val="BriefL7"/>
    <w:next w:val="BodyText"/>
    <w:rsid w:val="004517BC"/>
    <w:pPr>
      <w:numPr>
        <w:ilvl w:val="7"/>
      </w:numPr>
      <w:outlineLvl w:val="7"/>
    </w:pPr>
  </w:style>
  <w:style w:type="paragraph" w:customStyle="1" w:styleId="BriefL9">
    <w:name w:val="Brief_L9"/>
    <w:basedOn w:val="BriefL8"/>
    <w:next w:val="BodyText"/>
    <w:rsid w:val="004517BC"/>
    <w:pPr>
      <w:numPr>
        <w:ilvl w:val="8"/>
      </w:numPr>
      <w:outlineLvl w:val="8"/>
    </w:pPr>
  </w:style>
  <w:style w:type="paragraph" w:styleId="TOCHeading">
    <w:name w:val="TOC Heading"/>
    <w:basedOn w:val="Heading1"/>
    <w:next w:val="Normal"/>
    <w:uiPriority w:val="39"/>
    <w:semiHidden/>
    <w:unhideWhenUsed/>
    <w:qFormat/>
    <w:rsid w:val="008F2C6B"/>
    <w:pPr>
      <w:spacing w:before="480" w:line="276" w:lineRule="auto"/>
      <w:outlineLvl w:val="9"/>
    </w:pPr>
    <w:rPr>
      <w:rFonts w:asciiTheme="majorHAnsi" w:hAnsiTheme="majorHAnsi"/>
      <w:color w:val="A5A5A5" w:themeColor="accent1" w:themeShade="BF"/>
      <w:sz w:val="28"/>
    </w:rPr>
  </w:style>
  <w:style w:type="paragraph" w:customStyle="1" w:styleId="StandardL1">
    <w:name w:val="Standard_L1"/>
    <w:basedOn w:val="Normal"/>
    <w:rsid w:val="004512C8"/>
    <w:pPr>
      <w:numPr>
        <w:numId w:val="22"/>
      </w:numPr>
      <w:spacing w:after="120" w:line="480" w:lineRule="auto"/>
      <w:outlineLvl w:val="0"/>
    </w:pPr>
    <w:rPr>
      <w:szCs w:val="20"/>
    </w:rPr>
  </w:style>
  <w:style w:type="paragraph" w:customStyle="1" w:styleId="StandardL2">
    <w:name w:val="Standard_L2"/>
    <w:basedOn w:val="StandardL1"/>
    <w:rsid w:val="004512C8"/>
    <w:pPr>
      <w:numPr>
        <w:ilvl w:val="1"/>
      </w:numPr>
      <w:spacing w:after="240" w:line="240" w:lineRule="auto"/>
      <w:outlineLvl w:val="1"/>
    </w:pPr>
  </w:style>
  <w:style w:type="paragraph" w:customStyle="1" w:styleId="StandardL3">
    <w:name w:val="Standard_L3"/>
    <w:basedOn w:val="StandardL2"/>
    <w:rsid w:val="004512C8"/>
    <w:pPr>
      <w:numPr>
        <w:ilvl w:val="2"/>
      </w:numPr>
      <w:outlineLvl w:val="2"/>
    </w:pPr>
  </w:style>
  <w:style w:type="paragraph" w:customStyle="1" w:styleId="StandardL4">
    <w:name w:val="Standard_L4"/>
    <w:basedOn w:val="StandardL3"/>
    <w:rsid w:val="004512C8"/>
    <w:pPr>
      <w:numPr>
        <w:ilvl w:val="3"/>
      </w:numPr>
      <w:outlineLvl w:val="3"/>
    </w:pPr>
  </w:style>
  <w:style w:type="paragraph" w:customStyle="1" w:styleId="StandardL5">
    <w:name w:val="Standard_L5"/>
    <w:basedOn w:val="StandardL4"/>
    <w:rsid w:val="004512C8"/>
    <w:pPr>
      <w:numPr>
        <w:ilvl w:val="4"/>
      </w:numPr>
      <w:outlineLvl w:val="4"/>
    </w:pPr>
  </w:style>
  <w:style w:type="paragraph" w:customStyle="1" w:styleId="StandardL6">
    <w:name w:val="Standard_L6"/>
    <w:basedOn w:val="StandardL5"/>
    <w:rsid w:val="004512C8"/>
    <w:pPr>
      <w:numPr>
        <w:ilvl w:val="5"/>
      </w:numPr>
      <w:outlineLvl w:val="5"/>
    </w:pPr>
  </w:style>
  <w:style w:type="paragraph" w:customStyle="1" w:styleId="StandardL7">
    <w:name w:val="Standard_L7"/>
    <w:basedOn w:val="StandardL6"/>
    <w:rsid w:val="004512C8"/>
    <w:pPr>
      <w:numPr>
        <w:ilvl w:val="6"/>
      </w:numPr>
      <w:outlineLvl w:val="6"/>
    </w:pPr>
  </w:style>
  <w:style w:type="paragraph" w:customStyle="1" w:styleId="StandardL8">
    <w:name w:val="Standard_L8"/>
    <w:basedOn w:val="StandardL7"/>
    <w:rsid w:val="004512C8"/>
    <w:pPr>
      <w:numPr>
        <w:ilvl w:val="7"/>
      </w:numPr>
      <w:outlineLvl w:val="7"/>
    </w:pPr>
  </w:style>
  <w:style w:type="paragraph" w:customStyle="1" w:styleId="StandardL9">
    <w:name w:val="Standard_L9"/>
    <w:basedOn w:val="StandardL8"/>
    <w:rsid w:val="004512C8"/>
    <w:pPr>
      <w:numPr>
        <w:ilvl w:val="8"/>
      </w:numPr>
      <w:outlineLvl w:val="8"/>
    </w:pPr>
  </w:style>
  <w:style w:type="character" w:styleId="CommentReference">
    <w:name w:val="annotation reference"/>
    <w:basedOn w:val="DefaultParagraphFont"/>
    <w:uiPriority w:val="99"/>
    <w:semiHidden/>
    <w:unhideWhenUsed/>
    <w:rsid w:val="005126B3"/>
    <w:rPr>
      <w:sz w:val="16"/>
      <w:szCs w:val="16"/>
    </w:rPr>
  </w:style>
  <w:style w:type="paragraph" w:styleId="CommentText">
    <w:name w:val="annotation text"/>
    <w:basedOn w:val="Normal"/>
    <w:link w:val="CommentTextChar"/>
    <w:uiPriority w:val="99"/>
    <w:semiHidden/>
    <w:unhideWhenUsed/>
    <w:rsid w:val="005126B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126B3"/>
    <w:rPr>
      <w:sz w:val="20"/>
      <w:szCs w:val="20"/>
    </w:rPr>
  </w:style>
  <w:style w:type="paragraph" w:styleId="Revision">
    <w:name w:val="Revision"/>
    <w:hidden/>
    <w:uiPriority w:val="99"/>
    <w:semiHidden/>
    <w:rsid w:val="0011722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356231">
      <w:bodyDiv w:val="1"/>
      <w:marLeft w:val="0"/>
      <w:marRight w:val="0"/>
      <w:marTop w:val="0"/>
      <w:marBottom w:val="0"/>
      <w:divBdr>
        <w:top w:val="none" w:sz="0" w:space="0" w:color="auto"/>
        <w:left w:val="none" w:sz="0" w:space="0" w:color="auto"/>
        <w:bottom w:val="none" w:sz="0" w:space="0" w:color="auto"/>
        <w:right w:val="none" w:sz="0" w:space="0" w:color="auto"/>
      </w:divBdr>
    </w:div>
    <w:div w:id="55053224">
      <w:bodyDiv w:val="1"/>
      <w:marLeft w:val="0"/>
      <w:marRight w:val="0"/>
      <w:marTop w:val="0"/>
      <w:marBottom w:val="0"/>
      <w:divBdr>
        <w:top w:val="none" w:sz="0" w:space="0" w:color="auto"/>
        <w:left w:val="none" w:sz="0" w:space="0" w:color="auto"/>
        <w:bottom w:val="none" w:sz="0" w:space="0" w:color="auto"/>
        <w:right w:val="none" w:sz="0" w:space="0" w:color="auto"/>
      </w:divBdr>
    </w:div>
    <w:div w:id="517156031">
      <w:bodyDiv w:val="1"/>
      <w:marLeft w:val="0"/>
      <w:marRight w:val="0"/>
      <w:marTop w:val="0"/>
      <w:marBottom w:val="0"/>
      <w:divBdr>
        <w:top w:val="none" w:sz="0" w:space="0" w:color="auto"/>
        <w:left w:val="none" w:sz="0" w:space="0" w:color="auto"/>
        <w:bottom w:val="none" w:sz="0" w:space="0" w:color="auto"/>
        <w:right w:val="none" w:sz="0" w:space="0" w:color="auto"/>
      </w:divBdr>
    </w:div>
    <w:div w:id="611130937">
      <w:bodyDiv w:val="1"/>
      <w:marLeft w:val="0"/>
      <w:marRight w:val="0"/>
      <w:marTop w:val="0"/>
      <w:marBottom w:val="0"/>
      <w:divBdr>
        <w:top w:val="none" w:sz="0" w:space="0" w:color="auto"/>
        <w:left w:val="none" w:sz="0" w:space="0" w:color="auto"/>
        <w:bottom w:val="none" w:sz="0" w:space="0" w:color="auto"/>
        <w:right w:val="none" w:sz="0" w:space="0" w:color="auto"/>
      </w:divBdr>
    </w:div>
    <w:div w:id="639000509">
      <w:bodyDiv w:val="1"/>
      <w:marLeft w:val="0"/>
      <w:marRight w:val="0"/>
      <w:marTop w:val="0"/>
      <w:marBottom w:val="0"/>
      <w:divBdr>
        <w:top w:val="none" w:sz="0" w:space="0" w:color="auto"/>
        <w:left w:val="none" w:sz="0" w:space="0" w:color="auto"/>
        <w:bottom w:val="none" w:sz="0" w:space="0" w:color="auto"/>
        <w:right w:val="none" w:sz="0" w:space="0" w:color="auto"/>
      </w:divBdr>
    </w:div>
    <w:div w:id="673148821">
      <w:bodyDiv w:val="1"/>
      <w:marLeft w:val="0"/>
      <w:marRight w:val="0"/>
      <w:marTop w:val="0"/>
      <w:marBottom w:val="0"/>
      <w:divBdr>
        <w:top w:val="none" w:sz="0" w:space="0" w:color="auto"/>
        <w:left w:val="none" w:sz="0" w:space="0" w:color="auto"/>
        <w:bottom w:val="none" w:sz="0" w:space="0" w:color="auto"/>
        <w:right w:val="none" w:sz="0" w:space="0" w:color="auto"/>
      </w:divBdr>
    </w:div>
    <w:div w:id="714352608">
      <w:bodyDiv w:val="1"/>
      <w:marLeft w:val="0"/>
      <w:marRight w:val="0"/>
      <w:marTop w:val="0"/>
      <w:marBottom w:val="0"/>
      <w:divBdr>
        <w:top w:val="none" w:sz="0" w:space="0" w:color="auto"/>
        <w:left w:val="none" w:sz="0" w:space="0" w:color="auto"/>
        <w:bottom w:val="none" w:sz="0" w:space="0" w:color="auto"/>
        <w:right w:val="none" w:sz="0" w:space="0" w:color="auto"/>
      </w:divBdr>
    </w:div>
    <w:div w:id="724914132">
      <w:bodyDiv w:val="1"/>
      <w:marLeft w:val="0"/>
      <w:marRight w:val="0"/>
      <w:marTop w:val="0"/>
      <w:marBottom w:val="0"/>
      <w:divBdr>
        <w:top w:val="none" w:sz="0" w:space="0" w:color="auto"/>
        <w:left w:val="none" w:sz="0" w:space="0" w:color="auto"/>
        <w:bottom w:val="none" w:sz="0" w:space="0" w:color="auto"/>
        <w:right w:val="none" w:sz="0" w:space="0" w:color="auto"/>
      </w:divBdr>
    </w:div>
    <w:div w:id="774521613">
      <w:bodyDiv w:val="1"/>
      <w:marLeft w:val="0"/>
      <w:marRight w:val="0"/>
      <w:marTop w:val="0"/>
      <w:marBottom w:val="0"/>
      <w:divBdr>
        <w:top w:val="none" w:sz="0" w:space="0" w:color="auto"/>
        <w:left w:val="none" w:sz="0" w:space="0" w:color="auto"/>
        <w:bottom w:val="none" w:sz="0" w:space="0" w:color="auto"/>
        <w:right w:val="none" w:sz="0" w:space="0" w:color="auto"/>
      </w:divBdr>
    </w:div>
    <w:div w:id="832649575">
      <w:bodyDiv w:val="1"/>
      <w:marLeft w:val="0"/>
      <w:marRight w:val="0"/>
      <w:marTop w:val="0"/>
      <w:marBottom w:val="0"/>
      <w:divBdr>
        <w:top w:val="none" w:sz="0" w:space="0" w:color="auto"/>
        <w:left w:val="none" w:sz="0" w:space="0" w:color="auto"/>
        <w:bottom w:val="none" w:sz="0" w:space="0" w:color="auto"/>
        <w:right w:val="none" w:sz="0" w:space="0" w:color="auto"/>
      </w:divBdr>
    </w:div>
    <w:div w:id="883368619">
      <w:bodyDiv w:val="1"/>
      <w:marLeft w:val="0"/>
      <w:marRight w:val="0"/>
      <w:marTop w:val="0"/>
      <w:marBottom w:val="0"/>
      <w:divBdr>
        <w:top w:val="none" w:sz="0" w:space="0" w:color="auto"/>
        <w:left w:val="none" w:sz="0" w:space="0" w:color="auto"/>
        <w:bottom w:val="none" w:sz="0" w:space="0" w:color="auto"/>
        <w:right w:val="none" w:sz="0" w:space="0" w:color="auto"/>
      </w:divBdr>
    </w:div>
    <w:div w:id="885488809">
      <w:bodyDiv w:val="1"/>
      <w:marLeft w:val="0"/>
      <w:marRight w:val="0"/>
      <w:marTop w:val="0"/>
      <w:marBottom w:val="0"/>
      <w:divBdr>
        <w:top w:val="none" w:sz="0" w:space="0" w:color="auto"/>
        <w:left w:val="none" w:sz="0" w:space="0" w:color="auto"/>
        <w:bottom w:val="none" w:sz="0" w:space="0" w:color="auto"/>
        <w:right w:val="none" w:sz="0" w:space="0" w:color="auto"/>
      </w:divBdr>
    </w:div>
    <w:div w:id="1016007380">
      <w:bodyDiv w:val="1"/>
      <w:marLeft w:val="0"/>
      <w:marRight w:val="0"/>
      <w:marTop w:val="0"/>
      <w:marBottom w:val="0"/>
      <w:divBdr>
        <w:top w:val="none" w:sz="0" w:space="0" w:color="auto"/>
        <w:left w:val="none" w:sz="0" w:space="0" w:color="auto"/>
        <w:bottom w:val="none" w:sz="0" w:space="0" w:color="auto"/>
        <w:right w:val="none" w:sz="0" w:space="0" w:color="auto"/>
      </w:divBdr>
    </w:div>
    <w:div w:id="1290473874">
      <w:bodyDiv w:val="1"/>
      <w:marLeft w:val="0"/>
      <w:marRight w:val="0"/>
      <w:marTop w:val="0"/>
      <w:marBottom w:val="0"/>
      <w:divBdr>
        <w:top w:val="none" w:sz="0" w:space="0" w:color="auto"/>
        <w:left w:val="none" w:sz="0" w:space="0" w:color="auto"/>
        <w:bottom w:val="none" w:sz="0" w:space="0" w:color="auto"/>
        <w:right w:val="none" w:sz="0" w:space="0" w:color="auto"/>
      </w:divBdr>
    </w:div>
    <w:div w:id="1297762100">
      <w:bodyDiv w:val="1"/>
      <w:marLeft w:val="0"/>
      <w:marRight w:val="0"/>
      <w:marTop w:val="0"/>
      <w:marBottom w:val="0"/>
      <w:divBdr>
        <w:top w:val="none" w:sz="0" w:space="0" w:color="auto"/>
        <w:left w:val="none" w:sz="0" w:space="0" w:color="auto"/>
        <w:bottom w:val="none" w:sz="0" w:space="0" w:color="auto"/>
        <w:right w:val="none" w:sz="0" w:space="0" w:color="auto"/>
      </w:divBdr>
    </w:div>
    <w:div w:id="1315379574">
      <w:bodyDiv w:val="1"/>
      <w:marLeft w:val="0"/>
      <w:marRight w:val="0"/>
      <w:marTop w:val="0"/>
      <w:marBottom w:val="0"/>
      <w:divBdr>
        <w:top w:val="none" w:sz="0" w:space="0" w:color="auto"/>
        <w:left w:val="none" w:sz="0" w:space="0" w:color="auto"/>
        <w:bottom w:val="none" w:sz="0" w:space="0" w:color="auto"/>
        <w:right w:val="none" w:sz="0" w:space="0" w:color="auto"/>
      </w:divBdr>
    </w:div>
    <w:div w:id="1677266542">
      <w:bodyDiv w:val="1"/>
      <w:marLeft w:val="0"/>
      <w:marRight w:val="0"/>
      <w:marTop w:val="0"/>
      <w:marBottom w:val="0"/>
      <w:divBdr>
        <w:top w:val="none" w:sz="0" w:space="0" w:color="auto"/>
        <w:left w:val="none" w:sz="0" w:space="0" w:color="auto"/>
        <w:bottom w:val="none" w:sz="0" w:space="0" w:color="auto"/>
        <w:right w:val="none" w:sz="0" w:space="0" w:color="auto"/>
      </w:divBdr>
    </w:div>
    <w:div w:id="1980068003">
      <w:bodyDiv w:val="1"/>
      <w:marLeft w:val="0"/>
      <w:marRight w:val="0"/>
      <w:marTop w:val="0"/>
      <w:marBottom w:val="0"/>
      <w:divBdr>
        <w:top w:val="none" w:sz="0" w:space="0" w:color="auto"/>
        <w:left w:val="none" w:sz="0" w:space="0" w:color="auto"/>
        <w:bottom w:val="none" w:sz="0" w:space="0" w:color="auto"/>
        <w:right w:val="none" w:sz="0" w:space="0" w:color="auto"/>
      </w:divBdr>
    </w:div>
    <w:div w:id="211805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5C2D2-4210-4520-AE12-97AC7797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61</Pages>
  <Words>15257</Words>
  <Characters>86966</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jnase</dc:creator>
  <cp:lastModifiedBy>joyce marie farner</cp:lastModifiedBy>
  <cp:revision>11</cp:revision>
  <cp:lastPrinted>2010-06-09T17:16:00Z</cp:lastPrinted>
  <dcterms:created xsi:type="dcterms:W3CDTF">2010-06-08T16:39:00Z</dcterms:created>
  <dcterms:modified xsi:type="dcterms:W3CDTF">2010-06-09T17:20:00Z</dcterms:modified>
</cp:coreProperties>
</file>