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96" w:type="dxa"/>
        <w:tblLayout w:type="fixed"/>
        <w:tblLook w:val="0000"/>
      </w:tblPr>
      <w:tblGrid>
        <w:gridCol w:w="2448"/>
        <w:gridCol w:w="2700"/>
        <w:gridCol w:w="810"/>
        <w:gridCol w:w="720"/>
        <w:gridCol w:w="2880"/>
        <w:gridCol w:w="720"/>
        <w:gridCol w:w="18"/>
      </w:tblGrid>
      <w:tr w:rsidR="00B97D30" w:rsidRPr="00701F7E">
        <w:trPr>
          <w:gridAfter w:val="1"/>
          <w:wAfter w:w="18" w:type="dxa"/>
        </w:trPr>
        <w:tc>
          <w:tcPr>
            <w:tcW w:w="2448" w:type="dxa"/>
          </w:tcPr>
          <w:p w:rsidR="00B97D30" w:rsidRPr="00701F7E" w:rsidRDefault="00B05B3F" w:rsidP="00B97D30">
            <w:pPr>
              <w:rPr>
                <w:color w:val="auto"/>
              </w:rPr>
            </w:pPr>
            <w:r w:rsidRPr="00701F7E">
              <w:rPr>
                <w:color w:val="auto"/>
              </w:rPr>
              <w:t xml:space="preserve"> </w:t>
            </w:r>
          </w:p>
        </w:tc>
        <w:tc>
          <w:tcPr>
            <w:tcW w:w="4230" w:type="dxa"/>
            <w:gridSpan w:val="3"/>
          </w:tcPr>
          <w:p w:rsidR="00B97D30" w:rsidRPr="00701F7E" w:rsidRDefault="00B97D30" w:rsidP="00B97D30">
            <w:pPr>
              <w:jc w:val="center"/>
              <w:rPr>
                <w:b/>
                <w:color w:val="auto"/>
                <w:sz w:val="26"/>
              </w:rPr>
            </w:pPr>
            <w:r w:rsidRPr="00701F7E">
              <w:rPr>
                <w:b/>
                <w:color w:val="auto"/>
                <w:sz w:val="26"/>
              </w:rPr>
              <w:t>PENNSYLVANIA</w:t>
            </w:r>
          </w:p>
          <w:p w:rsidR="00B97D30" w:rsidRPr="00701F7E" w:rsidRDefault="00B97D30" w:rsidP="00B97D30">
            <w:pPr>
              <w:jc w:val="center"/>
              <w:rPr>
                <w:b/>
                <w:color w:val="auto"/>
                <w:sz w:val="26"/>
              </w:rPr>
            </w:pPr>
            <w:r w:rsidRPr="00701F7E">
              <w:rPr>
                <w:b/>
                <w:color w:val="auto"/>
                <w:sz w:val="26"/>
              </w:rPr>
              <w:t>PUBLIC UTILITY COMMISSION</w:t>
            </w:r>
          </w:p>
          <w:p w:rsidR="00B97D30" w:rsidRPr="00701F7E" w:rsidRDefault="00B97D30" w:rsidP="00B97D30">
            <w:pPr>
              <w:jc w:val="center"/>
              <w:rPr>
                <w:color w:val="auto"/>
                <w:sz w:val="26"/>
              </w:rPr>
            </w:pPr>
            <w:r w:rsidRPr="00701F7E">
              <w:rPr>
                <w:b/>
                <w:color w:val="auto"/>
                <w:sz w:val="26"/>
              </w:rPr>
              <w:t>Harrisburg, PA  17105-3265</w:t>
            </w:r>
          </w:p>
        </w:tc>
        <w:tc>
          <w:tcPr>
            <w:tcW w:w="3600" w:type="dxa"/>
            <w:gridSpan w:val="2"/>
          </w:tcPr>
          <w:p w:rsidR="00B97D30" w:rsidRPr="00701F7E" w:rsidRDefault="00B97D30" w:rsidP="00B97D30">
            <w:pPr>
              <w:rPr>
                <w:color w:val="auto"/>
              </w:rPr>
            </w:pPr>
          </w:p>
        </w:tc>
      </w:tr>
      <w:tr w:rsidR="009D36EB" w:rsidRPr="00701F7E">
        <w:trPr>
          <w:gridAfter w:val="1"/>
          <w:wAfter w:w="18" w:type="dxa"/>
        </w:trPr>
        <w:tc>
          <w:tcPr>
            <w:tcW w:w="2448" w:type="dxa"/>
          </w:tcPr>
          <w:p w:rsidR="009D36EB" w:rsidRPr="00701F7E" w:rsidRDefault="009D36EB" w:rsidP="00B97D30">
            <w:pPr>
              <w:rPr>
                <w:color w:val="auto"/>
              </w:rPr>
            </w:pPr>
          </w:p>
        </w:tc>
        <w:tc>
          <w:tcPr>
            <w:tcW w:w="4230" w:type="dxa"/>
            <w:gridSpan w:val="3"/>
          </w:tcPr>
          <w:p w:rsidR="009D36EB" w:rsidRPr="00701F7E" w:rsidRDefault="009D36EB" w:rsidP="00B97D30">
            <w:pPr>
              <w:jc w:val="center"/>
              <w:rPr>
                <w:b/>
                <w:color w:val="auto"/>
                <w:sz w:val="26"/>
              </w:rPr>
            </w:pPr>
          </w:p>
        </w:tc>
        <w:tc>
          <w:tcPr>
            <w:tcW w:w="3600" w:type="dxa"/>
            <w:gridSpan w:val="2"/>
          </w:tcPr>
          <w:p w:rsidR="009D36EB" w:rsidRPr="00701F7E" w:rsidRDefault="009D36EB" w:rsidP="00B97D30">
            <w:pPr>
              <w:rPr>
                <w:color w:val="auto"/>
              </w:rPr>
            </w:pPr>
          </w:p>
        </w:tc>
      </w:tr>
      <w:tr w:rsidR="00B97D30" w:rsidRPr="00701F7E">
        <w:tc>
          <w:tcPr>
            <w:tcW w:w="5148" w:type="dxa"/>
            <w:gridSpan w:val="2"/>
          </w:tcPr>
          <w:p w:rsidR="00B97D30" w:rsidRPr="00701F7E" w:rsidRDefault="00B97D30" w:rsidP="00B97D30">
            <w:pPr>
              <w:rPr>
                <w:color w:val="auto"/>
                <w:sz w:val="26"/>
              </w:rPr>
            </w:pPr>
          </w:p>
        </w:tc>
        <w:tc>
          <w:tcPr>
            <w:tcW w:w="5148" w:type="dxa"/>
            <w:gridSpan w:val="5"/>
          </w:tcPr>
          <w:p w:rsidR="00B97D30" w:rsidRPr="00701F7E" w:rsidRDefault="00B97D30" w:rsidP="00C41F96">
            <w:pPr>
              <w:ind w:firstLine="619"/>
              <w:rPr>
                <w:color w:val="auto"/>
                <w:sz w:val="26"/>
              </w:rPr>
            </w:pPr>
            <w:r w:rsidRPr="00701F7E">
              <w:rPr>
                <w:color w:val="auto"/>
                <w:sz w:val="26"/>
              </w:rPr>
              <w:t xml:space="preserve">Public Meeting held </w:t>
            </w:r>
            <w:r w:rsidR="00CE27B5">
              <w:rPr>
                <w:color w:val="auto"/>
                <w:sz w:val="26"/>
              </w:rPr>
              <w:t xml:space="preserve">June </w:t>
            </w:r>
            <w:r w:rsidR="00C41F96">
              <w:rPr>
                <w:color w:val="auto"/>
                <w:sz w:val="26"/>
              </w:rPr>
              <w:t>16</w:t>
            </w:r>
            <w:r w:rsidR="00AB7E9B" w:rsidRPr="00701F7E">
              <w:rPr>
                <w:color w:val="auto"/>
                <w:sz w:val="26"/>
              </w:rPr>
              <w:t>, 20</w:t>
            </w:r>
            <w:r w:rsidR="00847798">
              <w:rPr>
                <w:color w:val="auto"/>
                <w:sz w:val="26"/>
              </w:rPr>
              <w:t>10</w:t>
            </w:r>
          </w:p>
        </w:tc>
      </w:tr>
      <w:tr w:rsidR="00B97D30" w:rsidRPr="00847798">
        <w:tc>
          <w:tcPr>
            <w:tcW w:w="5148" w:type="dxa"/>
            <w:gridSpan w:val="2"/>
          </w:tcPr>
          <w:p w:rsidR="00B97D30" w:rsidRPr="00847798" w:rsidRDefault="00B97D30" w:rsidP="00B97D30">
            <w:pPr>
              <w:rPr>
                <w:color w:val="auto"/>
                <w:sz w:val="26"/>
                <w:highlight w:val="green"/>
              </w:rPr>
            </w:pPr>
            <w:r w:rsidRPr="00231DF6">
              <w:rPr>
                <w:color w:val="auto"/>
                <w:sz w:val="26"/>
              </w:rPr>
              <w:t>Commissioners Present:</w:t>
            </w:r>
          </w:p>
        </w:tc>
        <w:tc>
          <w:tcPr>
            <w:tcW w:w="5148" w:type="dxa"/>
            <w:gridSpan w:val="5"/>
          </w:tcPr>
          <w:p w:rsidR="00B97D30" w:rsidRPr="00847798" w:rsidRDefault="00B97D30" w:rsidP="00B97D30">
            <w:pPr>
              <w:rPr>
                <w:color w:val="auto"/>
                <w:sz w:val="26"/>
                <w:highlight w:val="green"/>
              </w:rPr>
            </w:pPr>
          </w:p>
        </w:tc>
      </w:tr>
      <w:tr w:rsidR="009D36EB" w:rsidRPr="00847798">
        <w:tc>
          <w:tcPr>
            <w:tcW w:w="5148" w:type="dxa"/>
            <w:gridSpan w:val="2"/>
          </w:tcPr>
          <w:p w:rsidR="009D36EB" w:rsidRPr="00847798" w:rsidRDefault="009D36EB" w:rsidP="00B97D30">
            <w:pPr>
              <w:rPr>
                <w:color w:val="auto"/>
                <w:sz w:val="26"/>
                <w:highlight w:val="green"/>
              </w:rPr>
            </w:pPr>
          </w:p>
        </w:tc>
        <w:tc>
          <w:tcPr>
            <w:tcW w:w="5148" w:type="dxa"/>
            <w:gridSpan w:val="5"/>
          </w:tcPr>
          <w:p w:rsidR="009D36EB" w:rsidRPr="00847798" w:rsidRDefault="009D36EB" w:rsidP="00B97D30">
            <w:pPr>
              <w:rPr>
                <w:color w:val="auto"/>
                <w:sz w:val="26"/>
                <w:highlight w:val="green"/>
              </w:rPr>
            </w:pPr>
          </w:p>
        </w:tc>
      </w:tr>
      <w:tr w:rsidR="00231DF6" w:rsidRPr="00847798">
        <w:tc>
          <w:tcPr>
            <w:tcW w:w="9558" w:type="dxa"/>
            <w:gridSpan w:val="5"/>
          </w:tcPr>
          <w:p w:rsidR="00231DF6" w:rsidRPr="00231DF6" w:rsidRDefault="00231DF6" w:rsidP="00DB5D4D">
            <w:pPr>
              <w:ind w:firstLine="450"/>
              <w:rPr>
                <w:color w:val="auto"/>
                <w:sz w:val="26"/>
                <w:szCs w:val="26"/>
              </w:rPr>
            </w:pPr>
            <w:r w:rsidRPr="00231DF6">
              <w:rPr>
                <w:color w:val="auto"/>
                <w:sz w:val="26"/>
                <w:szCs w:val="26"/>
              </w:rPr>
              <w:t>James H. Cawley, Chairman</w:t>
            </w:r>
          </w:p>
        </w:tc>
        <w:tc>
          <w:tcPr>
            <w:tcW w:w="738" w:type="dxa"/>
            <w:gridSpan w:val="2"/>
          </w:tcPr>
          <w:p w:rsidR="00231DF6" w:rsidRPr="00847798" w:rsidRDefault="00231DF6" w:rsidP="00B97D30">
            <w:pPr>
              <w:rPr>
                <w:color w:val="auto"/>
                <w:sz w:val="26"/>
                <w:highlight w:val="green"/>
              </w:rPr>
            </w:pPr>
          </w:p>
        </w:tc>
      </w:tr>
      <w:tr w:rsidR="00231DF6" w:rsidRPr="00847798">
        <w:tc>
          <w:tcPr>
            <w:tcW w:w="9558" w:type="dxa"/>
            <w:gridSpan w:val="5"/>
          </w:tcPr>
          <w:p w:rsidR="00231DF6" w:rsidRPr="00231DF6" w:rsidRDefault="00231DF6" w:rsidP="00DB5D4D">
            <w:pPr>
              <w:ind w:firstLine="450"/>
              <w:rPr>
                <w:color w:val="auto"/>
                <w:sz w:val="26"/>
                <w:szCs w:val="26"/>
              </w:rPr>
            </w:pPr>
            <w:r w:rsidRPr="00231DF6">
              <w:rPr>
                <w:color w:val="auto"/>
                <w:sz w:val="26"/>
                <w:szCs w:val="26"/>
              </w:rPr>
              <w:t>Tyrone J. Christy, Vice Chairman</w:t>
            </w:r>
          </w:p>
        </w:tc>
        <w:tc>
          <w:tcPr>
            <w:tcW w:w="738" w:type="dxa"/>
            <w:gridSpan w:val="2"/>
          </w:tcPr>
          <w:p w:rsidR="00231DF6" w:rsidRPr="00847798" w:rsidRDefault="00231DF6" w:rsidP="00B97D30">
            <w:pPr>
              <w:rPr>
                <w:color w:val="auto"/>
                <w:sz w:val="26"/>
                <w:highlight w:val="green"/>
              </w:rPr>
            </w:pPr>
          </w:p>
        </w:tc>
      </w:tr>
      <w:tr w:rsidR="00231DF6" w:rsidRPr="00847798">
        <w:tc>
          <w:tcPr>
            <w:tcW w:w="9558" w:type="dxa"/>
            <w:gridSpan w:val="5"/>
          </w:tcPr>
          <w:p w:rsidR="00231DF6" w:rsidRPr="00231DF6" w:rsidRDefault="00231DF6" w:rsidP="00DB5D4D">
            <w:pPr>
              <w:ind w:firstLine="450"/>
              <w:rPr>
                <w:color w:val="auto"/>
                <w:sz w:val="26"/>
                <w:szCs w:val="26"/>
              </w:rPr>
            </w:pPr>
            <w:r w:rsidRPr="00231DF6">
              <w:rPr>
                <w:color w:val="auto"/>
                <w:sz w:val="26"/>
                <w:szCs w:val="26"/>
              </w:rPr>
              <w:t>Wayne E. Gardner</w:t>
            </w:r>
          </w:p>
        </w:tc>
        <w:tc>
          <w:tcPr>
            <w:tcW w:w="738" w:type="dxa"/>
            <w:gridSpan w:val="2"/>
          </w:tcPr>
          <w:p w:rsidR="00231DF6" w:rsidRPr="00847798" w:rsidRDefault="00231DF6" w:rsidP="00B97D30">
            <w:pPr>
              <w:rPr>
                <w:color w:val="auto"/>
                <w:sz w:val="26"/>
                <w:highlight w:val="green"/>
              </w:rPr>
            </w:pPr>
          </w:p>
        </w:tc>
      </w:tr>
      <w:tr w:rsidR="00231DF6" w:rsidRPr="00847798">
        <w:tc>
          <w:tcPr>
            <w:tcW w:w="9558" w:type="dxa"/>
            <w:gridSpan w:val="5"/>
          </w:tcPr>
          <w:p w:rsidR="00231DF6" w:rsidRPr="00231DF6" w:rsidRDefault="00231DF6" w:rsidP="00DB5D4D">
            <w:pPr>
              <w:ind w:firstLine="450"/>
              <w:rPr>
                <w:color w:val="auto"/>
                <w:sz w:val="26"/>
                <w:szCs w:val="26"/>
              </w:rPr>
            </w:pPr>
            <w:r w:rsidRPr="00231DF6">
              <w:rPr>
                <w:color w:val="auto"/>
                <w:sz w:val="26"/>
                <w:szCs w:val="26"/>
              </w:rPr>
              <w:t>Robert F. Powelson</w:t>
            </w:r>
          </w:p>
        </w:tc>
        <w:tc>
          <w:tcPr>
            <w:tcW w:w="738" w:type="dxa"/>
            <w:gridSpan w:val="2"/>
          </w:tcPr>
          <w:p w:rsidR="00231DF6" w:rsidRPr="00847798" w:rsidRDefault="00231DF6" w:rsidP="00B97D30">
            <w:pPr>
              <w:rPr>
                <w:color w:val="auto"/>
                <w:sz w:val="26"/>
                <w:highlight w:val="green"/>
              </w:rPr>
            </w:pPr>
          </w:p>
        </w:tc>
      </w:tr>
      <w:tr w:rsidR="00811CE5" w:rsidRPr="00847798">
        <w:tc>
          <w:tcPr>
            <w:tcW w:w="9558" w:type="dxa"/>
            <w:gridSpan w:val="5"/>
          </w:tcPr>
          <w:p w:rsidR="00827FD5" w:rsidRPr="00847798" w:rsidRDefault="00827FD5" w:rsidP="005312E8">
            <w:pPr>
              <w:ind w:firstLine="450"/>
              <w:rPr>
                <w:color w:val="auto"/>
                <w:sz w:val="26"/>
                <w:highlight w:val="green"/>
              </w:rPr>
            </w:pPr>
          </w:p>
        </w:tc>
        <w:tc>
          <w:tcPr>
            <w:tcW w:w="738" w:type="dxa"/>
            <w:gridSpan w:val="2"/>
          </w:tcPr>
          <w:p w:rsidR="00811CE5" w:rsidRPr="00847798" w:rsidRDefault="00811CE5" w:rsidP="00B97D30">
            <w:pPr>
              <w:rPr>
                <w:color w:val="auto"/>
                <w:sz w:val="26"/>
                <w:highlight w:val="green"/>
              </w:rPr>
            </w:pPr>
          </w:p>
        </w:tc>
      </w:tr>
      <w:tr w:rsidR="009D36EB" w:rsidRPr="00847798">
        <w:tc>
          <w:tcPr>
            <w:tcW w:w="9558" w:type="dxa"/>
            <w:gridSpan w:val="5"/>
          </w:tcPr>
          <w:p w:rsidR="009D36EB" w:rsidRPr="00847798" w:rsidRDefault="009D36EB" w:rsidP="00B97D30">
            <w:pPr>
              <w:ind w:firstLine="450"/>
              <w:rPr>
                <w:color w:val="auto"/>
                <w:sz w:val="26"/>
                <w:highlight w:val="green"/>
              </w:rPr>
            </w:pPr>
          </w:p>
        </w:tc>
        <w:tc>
          <w:tcPr>
            <w:tcW w:w="738" w:type="dxa"/>
            <w:gridSpan w:val="2"/>
          </w:tcPr>
          <w:p w:rsidR="009D36EB" w:rsidRPr="00847798" w:rsidRDefault="009D36EB" w:rsidP="00B97D30">
            <w:pPr>
              <w:rPr>
                <w:color w:val="auto"/>
                <w:sz w:val="26"/>
                <w:highlight w:val="green"/>
              </w:rPr>
            </w:pPr>
          </w:p>
        </w:tc>
      </w:tr>
      <w:tr w:rsidR="00B97D30" w:rsidRPr="00231DF6" w:rsidTr="00000AD0">
        <w:trPr>
          <w:gridAfter w:val="1"/>
          <w:wAfter w:w="18" w:type="dxa"/>
        </w:trPr>
        <w:tc>
          <w:tcPr>
            <w:tcW w:w="5958" w:type="dxa"/>
            <w:gridSpan w:val="3"/>
            <w:vAlign w:val="center"/>
          </w:tcPr>
          <w:p w:rsidR="00B97D30" w:rsidRPr="00231DF6" w:rsidRDefault="00407F11" w:rsidP="00407F11">
            <w:pPr>
              <w:jc w:val="center"/>
              <w:rPr>
                <w:color w:val="auto"/>
                <w:sz w:val="26"/>
                <w:szCs w:val="26"/>
              </w:rPr>
            </w:pPr>
            <w:r w:rsidRPr="00231DF6">
              <w:rPr>
                <w:color w:val="auto"/>
                <w:sz w:val="26"/>
                <w:szCs w:val="26"/>
              </w:rPr>
              <w:t>Pennsylvania Public Utility Commission</w:t>
            </w:r>
          </w:p>
          <w:p w:rsidR="00407F11" w:rsidRPr="00231DF6" w:rsidRDefault="00407F11" w:rsidP="00407F11">
            <w:pPr>
              <w:jc w:val="center"/>
              <w:rPr>
                <w:color w:val="auto"/>
                <w:sz w:val="26"/>
                <w:szCs w:val="26"/>
              </w:rPr>
            </w:pPr>
            <w:r w:rsidRPr="00231DF6">
              <w:rPr>
                <w:color w:val="auto"/>
                <w:sz w:val="26"/>
                <w:szCs w:val="26"/>
              </w:rPr>
              <w:t>v.</w:t>
            </w:r>
          </w:p>
          <w:p w:rsidR="00407F11" w:rsidRPr="00231DF6" w:rsidRDefault="00407F11" w:rsidP="00407F11">
            <w:pPr>
              <w:jc w:val="center"/>
              <w:rPr>
                <w:color w:val="auto"/>
                <w:sz w:val="26"/>
                <w:szCs w:val="26"/>
              </w:rPr>
            </w:pPr>
            <w:r w:rsidRPr="00231DF6">
              <w:rPr>
                <w:color w:val="auto"/>
                <w:sz w:val="26"/>
                <w:szCs w:val="26"/>
              </w:rPr>
              <w:t>PPL Electric Utilities Corporation</w:t>
            </w:r>
          </w:p>
        </w:tc>
        <w:tc>
          <w:tcPr>
            <w:tcW w:w="4320" w:type="dxa"/>
            <w:gridSpan w:val="3"/>
          </w:tcPr>
          <w:p w:rsidR="00584FE3" w:rsidRPr="00231DF6" w:rsidRDefault="00584FE3" w:rsidP="009D36EB">
            <w:pPr>
              <w:jc w:val="center"/>
              <w:rPr>
                <w:color w:val="auto"/>
                <w:sz w:val="26"/>
              </w:rPr>
            </w:pPr>
            <w:r w:rsidRPr="00231DF6">
              <w:rPr>
                <w:color w:val="auto"/>
                <w:sz w:val="26"/>
              </w:rPr>
              <w:t>Docket Number:</w:t>
            </w:r>
          </w:p>
          <w:p w:rsidR="00B97D30" w:rsidRPr="00231DF6" w:rsidRDefault="00A15B78" w:rsidP="009D36EB">
            <w:pPr>
              <w:jc w:val="center"/>
              <w:rPr>
                <w:color w:val="auto"/>
                <w:sz w:val="26"/>
              </w:rPr>
            </w:pPr>
            <w:r w:rsidRPr="00231DF6">
              <w:rPr>
                <w:color w:val="auto"/>
                <w:sz w:val="26"/>
              </w:rPr>
              <w:t>R</w:t>
            </w:r>
            <w:r w:rsidR="00B97D30" w:rsidRPr="00231DF6">
              <w:rPr>
                <w:color w:val="auto"/>
                <w:sz w:val="26"/>
              </w:rPr>
              <w:t>-</w:t>
            </w:r>
            <w:r w:rsidR="00CE27B5">
              <w:rPr>
                <w:color w:val="auto"/>
                <w:sz w:val="26"/>
              </w:rPr>
              <w:t>2010-2170296</w:t>
            </w:r>
          </w:p>
          <w:p w:rsidR="00F32804" w:rsidRPr="00231DF6" w:rsidRDefault="00F32804" w:rsidP="009D36EB">
            <w:pPr>
              <w:jc w:val="center"/>
              <w:rPr>
                <w:color w:val="auto"/>
                <w:sz w:val="26"/>
              </w:rPr>
            </w:pPr>
          </w:p>
        </w:tc>
      </w:tr>
      <w:tr w:rsidR="00B97D30" w:rsidRPr="00231DF6">
        <w:trPr>
          <w:gridAfter w:val="1"/>
          <w:wAfter w:w="18" w:type="dxa"/>
        </w:trPr>
        <w:tc>
          <w:tcPr>
            <w:tcW w:w="5958" w:type="dxa"/>
            <w:gridSpan w:val="3"/>
          </w:tcPr>
          <w:p w:rsidR="00B97D30" w:rsidRPr="00231DF6" w:rsidRDefault="00B97D30" w:rsidP="00B97D30">
            <w:pPr>
              <w:rPr>
                <w:color w:val="auto"/>
                <w:sz w:val="26"/>
              </w:rPr>
            </w:pPr>
          </w:p>
        </w:tc>
        <w:tc>
          <w:tcPr>
            <w:tcW w:w="4320" w:type="dxa"/>
            <w:gridSpan w:val="3"/>
          </w:tcPr>
          <w:p w:rsidR="00B97D30" w:rsidRPr="00231DF6" w:rsidRDefault="00B97D30" w:rsidP="00B97D30">
            <w:pPr>
              <w:jc w:val="right"/>
              <w:rPr>
                <w:color w:val="auto"/>
                <w:sz w:val="26"/>
              </w:rPr>
            </w:pPr>
          </w:p>
        </w:tc>
      </w:tr>
    </w:tbl>
    <w:p w:rsidR="00B97D30" w:rsidRPr="00231DF6" w:rsidRDefault="00B97D30" w:rsidP="000F3AEF">
      <w:pPr>
        <w:pStyle w:val="Heading1"/>
        <w:spacing w:line="360" w:lineRule="auto"/>
        <w:rPr>
          <w:color w:val="auto"/>
        </w:rPr>
      </w:pPr>
      <w:r w:rsidRPr="00231DF6">
        <w:rPr>
          <w:color w:val="auto"/>
        </w:rPr>
        <w:t>ORDER</w:t>
      </w:r>
    </w:p>
    <w:p w:rsidR="00B97D30" w:rsidRPr="00231DF6" w:rsidRDefault="00B97D30" w:rsidP="000F3AEF">
      <w:pPr>
        <w:spacing w:line="360" w:lineRule="auto"/>
        <w:rPr>
          <w:color w:val="auto"/>
          <w:sz w:val="26"/>
        </w:rPr>
      </w:pPr>
    </w:p>
    <w:p w:rsidR="00B97D30" w:rsidRPr="00231DF6" w:rsidRDefault="00B97D30" w:rsidP="006E1CD8">
      <w:pPr>
        <w:spacing w:line="360" w:lineRule="auto"/>
        <w:rPr>
          <w:color w:val="auto"/>
          <w:sz w:val="26"/>
        </w:rPr>
      </w:pPr>
      <w:r w:rsidRPr="00231DF6">
        <w:rPr>
          <w:b/>
          <w:color w:val="auto"/>
          <w:sz w:val="26"/>
        </w:rPr>
        <w:t>BY THE COMMISSION:</w:t>
      </w:r>
    </w:p>
    <w:p w:rsidR="00B97D30" w:rsidRPr="00847798" w:rsidRDefault="00B97D30" w:rsidP="006E1CD8">
      <w:pPr>
        <w:spacing w:line="360" w:lineRule="auto"/>
        <w:rPr>
          <w:color w:val="auto"/>
          <w:sz w:val="26"/>
          <w:highlight w:val="green"/>
        </w:rPr>
      </w:pPr>
    </w:p>
    <w:p w:rsidR="00E62BA7" w:rsidRDefault="00A805C5" w:rsidP="00967C04">
      <w:pPr>
        <w:spacing w:line="360" w:lineRule="auto"/>
        <w:ind w:firstLine="1440"/>
        <w:rPr>
          <w:color w:val="auto"/>
          <w:sz w:val="26"/>
          <w:szCs w:val="26"/>
        </w:rPr>
      </w:pPr>
      <w:r w:rsidRPr="00A805C5">
        <w:rPr>
          <w:color w:val="auto"/>
          <w:sz w:val="26"/>
          <w:szCs w:val="26"/>
        </w:rPr>
        <w:t>On April 15, 2010</w:t>
      </w:r>
      <w:r w:rsidR="00E14562" w:rsidRPr="00A805C5">
        <w:rPr>
          <w:color w:val="auto"/>
          <w:sz w:val="26"/>
          <w:szCs w:val="26"/>
        </w:rPr>
        <w:t>, PPL Electric Utilities Corporation (“PPL” or “the C</w:t>
      </w:r>
      <w:r w:rsidRPr="00A805C5">
        <w:rPr>
          <w:color w:val="auto"/>
          <w:sz w:val="26"/>
          <w:szCs w:val="26"/>
        </w:rPr>
        <w:t>ompany”) filed Supplement No. 85</w:t>
      </w:r>
      <w:r w:rsidR="00E14562" w:rsidRPr="00A805C5">
        <w:rPr>
          <w:color w:val="auto"/>
          <w:sz w:val="26"/>
          <w:szCs w:val="26"/>
        </w:rPr>
        <w:t xml:space="preserve"> to Tariff Electric-Pa. P</w:t>
      </w:r>
      <w:r w:rsidRPr="00A805C5">
        <w:rPr>
          <w:color w:val="auto"/>
          <w:sz w:val="26"/>
          <w:szCs w:val="26"/>
        </w:rPr>
        <w:t>.U.C No. 201 (“Supplement No. 85</w:t>
      </w:r>
      <w:r w:rsidR="00E14562" w:rsidRPr="00A805C5">
        <w:rPr>
          <w:color w:val="auto"/>
          <w:sz w:val="26"/>
          <w:szCs w:val="26"/>
        </w:rPr>
        <w:t>”)</w:t>
      </w:r>
      <w:r w:rsidRPr="00A805C5">
        <w:rPr>
          <w:color w:val="auto"/>
          <w:sz w:val="26"/>
          <w:szCs w:val="26"/>
        </w:rPr>
        <w:t xml:space="preserve"> to become effective June 14</w:t>
      </w:r>
      <w:r w:rsidR="00E14562" w:rsidRPr="00A805C5">
        <w:rPr>
          <w:color w:val="auto"/>
          <w:sz w:val="26"/>
          <w:szCs w:val="26"/>
        </w:rPr>
        <w:t xml:space="preserve">, 2010.  </w:t>
      </w:r>
      <w:r w:rsidR="003F2C37">
        <w:rPr>
          <w:color w:val="auto"/>
          <w:sz w:val="26"/>
          <w:szCs w:val="26"/>
        </w:rPr>
        <w:t xml:space="preserve">The Company subsequently filed to extend the effective date to June 17, 2010.  </w:t>
      </w:r>
      <w:r w:rsidRPr="00A805C5">
        <w:rPr>
          <w:color w:val="auto"/>
          <w:sz w:val="26"/>
          <w:szCs w:val="26"/>
        </w:rPr>
        <w:t>Supplement No. 85</w:t>
      </w:r>
      <w:r w:rsidR="00967C04">
        <w:rPr>
          <w:color w:val="auto"/>
          <w:sz w:val="26"/>
          <w:szCs w:val="26"/>
        </w:rPr>
        <w:t xml:space="preserve"> </w:t>
      </w:r>
      <w:r w:rsidR="00967C04" w:rsidRPr="00967C04">
        <w:rPr>
          <w:color w:val="auto"/>
          <w:sz w:val="26"/>
          <w:szCs w:val="26"/>
        </w:rPr>
        <w:t>proposes to establish an Optional Monthly Pricing</w:t>
      </w:r>
      <w:r w:rsidR="00967C04">
        <w:rPr>
          <w:color w:val="auto"/>
          <w:sz w:val="26"/>
          <w:szCs w:val="26"/>
        </w:rPr>
        <w:t xml:space="preserve"> </w:t>
      </w:r>
      <w:r w:rsidR="00967C04" w:rsidRPr="00967C04">
        <w:rPr>
          <w:color w:val="auto"/>
          <w:sz w:val="26"/>
          <w:szCs w:val="26"/>
        </w:rPr>
        <w:t>Service for Large Commercia</w:t>
      </w:r>
      <w:r w:rsidR="008047EA">
        <w:rPr>
          <w:color w:val="auto"/>
          <w:sz w:val="26"/>
          <w:szCs w:val="26"/>
        </w:rPr>
        <w:t>l and Industrial ("Large C&amp;I") c</w:t>
      </w:r>
      <w:r w:rsidR="00967C04" w:rsidRPr="00967C04">
        <w:rPr>
          <w:color w:val="auto"/>
          <w:sz w:val="26"/>
          <w:szCs w:val="26"/>
        </w:rPr>
        <w:t>ustomers.</w:t>
      </w:r>
      <w:r w:rsidR="003A2465">
        <w:rPr>
          <w:color w:val="auto"/>
          <w:sz w:val="26"/>
          <w:szCs w:val="26"/>
        </w:rPr>
        <w:t xml:space="preserve">  This filing was made pursuant to the Joint Petition for Settlement of PPL’s Default Service Plan (“DSP Settlement”) in which the Company committed to file an optional monthly or quarterly-priced</w:t>
      </w:r>
      <w:r w:rsidR="00BA0D40">
        <w:rPr>
          <w:color w:val="auto"/>
          <w:sz w:val="26"/>
          <w:szCs w:val="26"/>
        </w:rPr>
        <w:t xml:space="preserve"> load-</w:t>
      </w:r>
      <w:r w:rsidR="008047EA">
        <w:rPr>
          <w:color w:val="auto"/>
          <w:sz w:val="26"/>
          <w:szCs w:val="26"/>
        </w:rPr>
        <w:t>following</w:t>
      </w:r>
      <w:r w:rsidR="003A2465">
        <w:rPr>
          <w:color w:val="auto"/>
          <w:sz w:val="26"/>
          <w:szCs w:val="26"/>
        </w:rPr>
        <w:t xml:space="preserve"> service </w:t>
      </w:r>
      <w:r w:rsidR="008047EA">
        <w:rPr>
          <w:color w:val="auto"/>
          <w:sz w:val="26"/>
          <w:szCs w:val="26"/>
        </w:rPr>
        <w:t>applicable to its Large C&amp;I customers.</w:t>
      </w:r>
      <w:r w:rsidR="002D2831">
        <w:rPr>
          <w:color w:val="auto"/>
          <w:sz w:val="26"/>
          <w:szCs w:val="26"/>
        </w:rPr>
        <w:t xml:space="preserve">  The Commission approved the DSP Settlem</w:t>
      </w:r>
      <w:r w:rsidR="005F32AE">
        <w:rPr>
          <w:color w:val="auto"/>
          <w:sz w:val="26"/>
          <w:szCs w:val="26"/>
        </w:rPr>
        <w:t>ent in an Order entered on June </w:t>
      </w:r>
      <w:r w:rsidR="002D2831">
        <w:rPr>
          <w:color w:val="auto"/>
          <w:sz w:val="26"/>
          <w:szCs w:val="26"/>
        </w:rPr>
        <w:t>30, 2009, at Docket No. P-2008-2060309.</w:t>
      </w:r>
    </w:p>
    <w:p w:rsidR="001D019C" w:rsidRDefault="001D019C" w:rsidP="001D019C">
      <w:pPr>
        <w:ind w:firstLine="1440"/>
        <w:rPr>
          <w:color w:val="auto"/>
          <w:sz w:val="26"/>
          <w:szCs w:val="26"/>
        </w:rPr>
      </w:pPr>
    </w:p>
    <w:p w:rsidR="001D019C" w:rsidRPr="001D019C" w:rsidRDefault="001D019C" w:rsidP="001D019C">
      <w:pPr>
        <w:spacing w:line="360" w:lineRule="auto"/>
        <w:rPr>
          <w:b/>
          <w:color w:val="auto"/>
          <w:sz w:val="26"/>
          <w:szCs w:val="26"/>
          <w:u w:val="single"/>
        </w:rPr>
      </w:pPr>
      <w:r w:rsidRPr="001D019C">
        <w:rPr>
          <w:b/>
          <w:color w:val="auto"/>
          <w:sz w:val="26"/>
          <w:szCs w:val="26"/>
          <w:u w:val="single"/>
        </w:rPr>
        <w:t>Background</w:t>
      </w:r>
    </w:p>
    <w:p w:rsidR="00D53651" w:rsidRDefault="00D53651" w:rsidP="001D019C">
      <w:pPr>
        <w:ind w:firstLine="1440"/>
        <w:rPr>
          <w:color w:val="auto"/>
          <w:sz w:val="26"/>
          <w:szCs w:val="26"/>
        </w:rPr>
      </w:pPr>
    </w:p>
    <w:p w:rsidR="00D53651" w:rsidRDefault="00D53651" w:rsidP="00D53651">
      <w:pPr>
        <w:spacing w:line="360" w:lineRule="auto"/>
        <w:ind w:firstLine="1440"/>
        <w:rPr>
          <w:color w:val="auto"/>
          <w:sz w:val="26"/>
          <w:szCs w:val="26"/>
        </w:rPr>
      </w:pPr>
      <w:r w:rsidRPr="00D53651">
        <w:rPr>
          <w:color w:val="auto"/>
          <w:sz w:val="26"/>
          <w:szCs w:val="26"/>
        </w:rPr>
        <w:t>O</w:t>
      </w:r>
      <w:r w:rsidR="001D019C">
        <w:rPr>
          <w:color w:val="auto"/>
          <w:sz w:val="26"/>
          <w:szCs w:val="26"/>
        </w:rPr>
        <w:t xml:space="preserve">n August 28, 2008, PPL </w:t>
      </w:r>
      <w:r w:rsidRPr="00D53651">
        <w:rPr>
          <w:color w:val="auto"/>
          <w:sz w:val="26"/>
          <w:szCs w:val="26"/>
        </w:rPr>
        <w:t>filed a Petition for Approval of a Default Service</w:t>
      </w:r>
      <w:r w:rsidR="001D019C">
        <w:rPr>
          <w:color w:val="auto"/>
          <w:sz w:val="26"/>
          <w:szCs w:val="26"/>
        </w:rPr>
        <w:t xml:space="preserve"> </w:t>
      </w:r>
      <w:r w:rsidRPr="00D53651">
        <w:rPr>
          <w:color w:val="auto"/>
          <w:sz w:val="26"/>
          <w:szCs w:val="26"/>
        </w:rPr>
        <w:t>Program and Procurement Plan for the Period January 1, 2011</w:t>
      </w:r>
      <w:r w:rsidR="005F32AE">
        <w:rPr>
          <w:color w:val="auto"/>
          <w:sz w:val="26"/>
          <w:szCs w:val="26"/>
        </w:rPr>
        <w:t>,</w:t>
      </w:r>
      <w:r w:rsidRPr="00D53651">
        <w:rPr>
          <w:color w:val="auto"/>
          <w:sz w:val="26"/>
          <w:szCs w:val="26"/>
        </w:rPr>
        <w:t xml:space="preserve"> through May 31, 2013</w:t>
      </w:r>
      <w:r w:rsidR="005F32AE">
        <w:rPr>
          <w:color w:val="auto"/>
          <w:sz w:val="26"/>
          <w:szCs w:val="26"/>
        </w:rPr>
        <w:t>,</w:t>
      </w:r>
      <w:r w:rsidRPr="00D53651">
        <w:rPr>
          <w:color w:val="auto"/>
          <w:sz w:val="26"/>
          <w:szCs w:val="26"/>
        </w:rPr>
        <w:t xml:space="preserve"> to </w:t>
      </w:r>
      <w:r w:rsidRPr="00D53651">
        <w:rPr>
          <w:color w:val="auto"/>
          <w:sz w:val="26"/>
          <w:szCs w:val="26"/>
        </w:rPr>
        <w:lastRenderedPageBreak/>
        <w:t>establish</w:t>
      </w:r>
      <w:r w:rsidR="001D019C">
        <w:rPr>
          <w:color w:val="auto"/>
          <w:sz w:val="26"/>
          <w:szCs w:val="26"/>
        </w:rPr>
        <w:t xml:space="preserve"> </w:t>
      </w:r>
      <w:r w:rsidRPr="00D53651">
        <w:rPr>
          <w:color w:val="auto"/>
          <w:sz w:val="26"/>
          <w:szCs w:val="26"/>
        </w:rPr>
        <w:t>the terms and con</w:t>
      </w:r>
      <w:r w:rsidR="001D019C">
        <w:rPr>
          <w:color w:val="auto"/>
          <w:sz w:val="26"/>
          <w:szCs w:val="26"/>
        </w:rPr>
        <w:t>ditions under which the Company</w:t>
      </w:r>
      <w:r w:rsidRPr="00D53651">
        <w:rPr>
          <w:color w:val="auto"/>
          <w:sz w:val="26"/>
          <w:szCs w:val="26"/>
        </w:rPr>
        <w:t xml:space="preserve"> would provide Provider of Last Resort</w:t>
      </w:r>
      <w:r w:rsidR="001D019C">
        <w:rPr>
          <w:color w:val="auto"/>
          <w:sz w:val="26"/>
          <w:szCs w:val="26"/>
        </w:rPr>
        <w:t xml:space="preserve"> </w:t>
      </w:r>
      <w:r w:rsidRPr="00D53651">
        <w:rPr>
          <w:color w:val="auto"/>
          <w:sz w:val="26"/>
          <w:szCs w:val="26"/>
        </w:rPr>
        <w:t>("POLR" or "default") service and obtain generation supply for that service beginning January 1,</w:t>
      </w:r>
      <w:r w:rsidR="00515C3C">
        <w:rPr>
          <w:color w:val="auto"/>
          <w:sz w:val="26"/>
          <w:szCs w:val="26"/>
        </w:rPr>
        <w:t xml:space="preserve"> </w:t>
      </w:r>
      <w:r w:rsidRPr="00D53651">
        <w:rPr>
          <w:color w:val="auto"/>
          <w:sz w:val="26"/>
          <w:szCs w:val="26"/>
        </w:rPr>
        <w:t>2011.</w:t>
      </w:r>
      <w:r w:rsidR="00515C3C">
        <w:rPr>
          <w:color w:val="auto"/>
          <w:sz w:val="26"/>
          <w:szCs w:val="26"/>
        </w:rPr>
        <w:t xml:space="preserve">  </w:t>
      </w:r>
      <w:r w:rsidR="00865B71">
        <w:rPr>
          <w:color w:val="auto"/>
          <w:sz w:val="26"/>
          <w:szCs w:val="26"/>
        </w:rPr>
        <w:t>On March 11, 2009, the p</w:t>
      </w:r>
      <w:r w:rsidRPr="00D53651">
        <w:rPr>
          <w:color w:val="auto"/>
          <w:sz w:val="26"/>
          <w:szCs w:val="26"/>
        </w:rPr>
        <w:t>arties to that proceeding entered into the DSP Settlement,</w:t>
      </w:r>
      <w:r w:rsidR="00515C3C">
        <w:rPr>
          <w:color w:val="auto"/>
          <w:sz w:val="26"/>
          <w:szCs w:val="26"/>
        </w:rPr>
        <w:t xml:space="preserve"> </w:t>
      </w:r>
      <w:r w:rsidRPr="00D53651">
        <w:rPr>
          <w:color w:val="auto"/>
          <w:sz w:val="26"/>
          <w:szCs w:val="26"/>
        </w:rPr>
        <w:t>establishing terms and conditions for providing POLR service for the period January 1, 2011</w:t>
      </w:r>
      <w:r w:rsidR="005F32AE">
        <w:rPr>
          <w:color w:val="auto"/>
          <w:sz w:val="26"/>
          <w:szCs w:val="26"/>
        </w:rPr>
        <w:t>,</w:t>
      </w:r>
      <w:r w:rsidR="00515C3C">
        <w:rPr>
          <w:color w:val="auto"/>
          <w:sz w:val="26"/>
          <w:szCs w:val="26"/>
        </w:rPr>
        <w:t xml:space="preserve"> </w:t>
      </w:r>
      <w:r w:rsidRPr="00D53651">
        <w:rPr>
          <w:color w:val="auto"/>
          <w:sz w:val="26"/>
          <w:szCs w:val="26"/>
        </w:rPr>
        <w:t>through May 31, 2013, and resolving other issues.</w:t>
      </w:r>
    </w:p>
    <w:p w:rsidR="009B231E" w:rsidRPr="00D53651" w:rsidRDefault="009B231E" w:rsidP="0021524F">
      <w:pPr>
        <w:ind w:firstLine="1440"/>
        <w:rPr>
          <w:color w:val="auto"/>
          <w:sz w:val="26"/>
          <w:szCs w:val="26"/>
        </w:rPr>
      </w:pPr>
    </w:p>
    <w:p w:rsidR="00DC50A8" w:rsidRDefault="009B231E" w:rsidP="00DC50A8">
      <w:pPr>
        <w:spacing w:line="360" w:lineRule="auto"/>
        <w:ind w:firstLine="1440"/>
        <w:rPr>
          <w:color w:val="auto"/>
          <w:sz w:val="26"/>
          <w:szCs w:val="26"/>
        </w:rPr>
      </w:pPr>
      <w:r>
        <w:rPr>
          <w:color w:val="auto"/>
          <w:sz w:val="26"/>
          <w:szCs w:val="26"/>
        </w:rPr>
        <w:t>T</w:t>
      </w:r>
      <w:r w:rsidR="00D53651" w:rsidRPr="00D53651">
        <w:rPr>
          <w:color w:val="auto"/>
          <w:sz w:val="26"/>
          <w:szCs w:val="26"/>
        </w:rPr>
        <w:t>he DSP Settlement established the Large C&amp;I</w:t>
      </w:r>
      <w:r>
        <w:rPr>
          <w:color w:val="auto"/>
          <w:sz w:val="26"/>
          <w:szCs w:val="26"/>
        </w:rPr>
        <w:t xml:space="preserve"> </w:t>
      </w:r>
      <w:r w:rsidR="00D53651" w:rsidRPr="00D53651">
        <w:rPr>
          <w:color w:val="auto"/>
          <w:sz w:val="26"/>
          <w:szCs w:val="26"/>
        </w:rPr>
        <w:t>class</w:t>
      </w:r>
      <w:r w:rsidR="00906F0B">
        <w:rPr>
          <w:rStyle w:val="FootnoteReference"/>
          <w:color w:val="auto"/>
          <w:sz w:val="26"/>
          <w:szCs w:val="26"/>
        </w:rPr>
        <w:footnoteReference w:id="1"/>
      </w:r>
      <w:r w:rsidR="00D53651" w:rsidRPr="00D53651">
        <w:rPr>
          <w:color w:val="auto"/>
          <w:sz w:val="26"/>
          <w:szCs w:val="26"/>
        </w:rPr>
        <w:t xml:space="preserve"> as a separate</w:t>
      </w:r>
      <w:r>
        <w:rPr>
          <w:color w:val="auto"/>
          <w:sz w:val="26"/>
          <w:szCs w:val="26"/>
        </w:rPr>
        <w:t xml:space="preserve"> customer class for</w:t>
      </w:r>
      <w:r w:rsidR="00D53651" w:rsidRPr="00D53651">
        <w:rPr>
          <w:color w:val="auto"/>
          <w:sz w:val="26"/>
          <w:szCs w:val="26"/>
        </w:rPr>
        <w:t xml:space="preserve"> POLR procu</w:t>
      </w:r>
      <w:r>
        <w:rPr>
          <w:color w:val="auto"/>
          <w:sz w:val="26"/>
          <w:szCs w:val="26"/>
        </w:rPr>
        <w:t>rement, and further established</w:t>
      </w:r>
      <w:r w:rsidR="00D53651" w:rsidRPr="00D53651">
        <w:rPr>
          <w:color w:val="auto"/>
          <w:sz w:val="26"/>
          <w:szCs w:val="26"/>
        </w:rPr>
        <w:t xml:space="preserve"> that the default servi</w:t>
      </w:r>
      <w:r>
        <w:rPr>
          <w:color w:val="auto"/>
          <w:sz w:val="26"/>
          <w:szCs w:val="26"/>
        </w:rPr>
        <w:t xml:space="preserve">ce procurement </w:t>
      </w:r>
      <w:r w:rsidR="00B52C1C">
        <w:rPr>
          <w:color w:val="auto"/>
          <w:sz w:val="26"/>
          <w:szCs w:val="26"/>
        </w:rPr>
        <w:t xml:space="preserve">for this </w:t>
      </w:r>
      <w:r w:rsidR="00D53651" w:rsidRPr="00D53651">
        <w:rPr>
          <w:color w:val="auto"/>
          <w:sz w:val="26"/>
          <w:szCs w:val="26"/>
        </w:rPr>
        <w:t>class would be a real-time hourly-priced service.</w:t>
      </w:r>
      <w:r w:rsidR="00B52C1C">
        <w:rPr>
          <w:color w:val="auto"/>
          <w:sz w:val="26"/>
          <w:szCs w:val="26"/>
        </w:rPr>
        <w:t xml:space="preserve">  </w:t>
      </w:r>
      <w:r w:rsidR="003518D9">
        <w:rPr>
          <w:color w:val="auto"/>
          <w:sz w:val="26"/>
          <w:szCs w:val="26"/>
        </w:rPr>
        <w:t>In accordance with this arrangement</w:t>
      </w:r>
      <w:r w:rsidR="00DC50A8">
        <w:rPr>
          <w:color w:val="auto"/>
          <w:sz w:val="26"/>
          <w:szCs w:val="26"/>
        </w:rPr>
        <w:t xml:space="preserve">, PPL </w:t>
      </w:r>
      <w:r w:rsidR="00D53651" w:rsidRPr="00D53651">
        <w:rPr>
          <w:color w:val="auto"/>
          <w:sz w:val="26"/>
          <w:szCs w:val="26"/>
        </w:rPr>
        <w:t xml:space="preserve">will </w:t>
      </w:r>
      <w:r w:rsidR="00D3548B">
        <w:rPr>
          <w:color w:val="auto"/>
          <w:sz w:val="26"/>
          <w:szCs w:val="26"/>
        </w:rPr>
        <w:t>issue a single annual solicitation in which it will request competitive offers from suppliers to provide default service spot market supply for Large C&amp;I customers.  PPL</w:t>
      </w:r>
      <w:r w:rsidR="003518D9">
        <w:rPr>
          <w:color w:val="auto"/>
          <w:sz w:val="26"/>
          <w:szCs w:val="26"/>
        </w:rPr>
        <w:t xml:space="preserve"> will </w:t>
      </w:r>
      <w:r w:rsidR="00D53651" w:rsidRPr="00D53651">
        <w:rPr>
          <w:color w:val="auto"/>
          <w:sz w:val="26"/>
          <w:szCs w:val="26"/>
        </w:rPr>
        <w:t>pay winning bidders a price equal to the sum of the PPL Zonal real-</w:t>
      </w:r>
      <w:r w:rsidR="00DC50A8" w:rsidRPr="00DC50A8">
        <w:rPr>
          <w:color w:val="auto"/>
          <w:sz w:val="26"/>
          <w:szCs w:val="26"/>
        </w:rPr>
        <w:t>time hourly spot-market prices, the PPL Zonal capacity charge</w:t>
      </w:r>
      <w:r w:rsidR="00B051A5">
        <w:rPr>
          <w:color w:val="auto"/>
          <w:sz w:val="26"/>
          <w:szCs w:val="26"/>
        </w:rPr>
        <w:t>,</w:t>
      </w:r>
      <w:r w:rsidR="00DC50A8" w:rsidRPr="00DC50A8">
        <w:rPr>
          <w:color w:val="auto"/>
          <w:sz w:val="26"/>
          <w:szCs w:val="26"/>
        </w:rPr>
        <w:t xml:space="preserve"> and their winning bid price. </w:t>
      </w:r>
      <w:r w:rsidR="00B051A5">
        <w:rPr>
          <w:color w:val="auto"/>
          <w:sz w:val="26"/>
          <w:szCs w:val="26"/>
        </w:rPr>
        <w:t xml:space="preserve"> </w:t>
      </w:r>
      <w:r w:rsidR="00DC50A8" w:rsidRPr="00DC50A8">
        <w:rPr>
          <w:color w:val="auto"/>
          <w:sz w:val="26"/>
          <w:szCs w:val="26"/>
        </w:rPr>
        <w:t>In</w:t>
      </w:r>
      <w:r w:rsidR="00DC50A8">
        <w:rPr>
          <w:color w:val="auto"/>
          <w:sz w:val="26"/>
          <w:szCs w:val="26"/>
        </w:rPr>
        <w:t xml:space="preserve"> </w:t>
      </w:r>
      <w:r w:rsidR="00DC50A8" w:rsidRPr="00DC50A8">
        <w:rPr>
          <w:color w:val="auto"/>
          <w:sz w:val="26"/>
          <w:szCs w:val="26"/>
        </w:rPr>
        <w:t>exchange, the winning bidders are required to provide all components of default supply</w:t>
      </w:r>
      <w:r w:rsidR="00DC50A8">
        <w:rPr>
          <w:color w:val="auto"/>
          <w:sz w:val="26"/>
          <w:szCs w:val="26"/>
        </w:rPr>
        <w:t xml:space="preserve"> </w:t>
      </w:r>
      <w:r w:rsidR="00DD4C6F">
        <w:rPr>
          <w:color w:val="auto"/>
          <w:sz w:val="26"/>
          <w:szCs w:val="26"/>
        </w:rPr>
        <w:t xml:space="preserve">necessary for PPL </w:t>
      </w:r>
      <w:r w:rsidR="00DC50A8" w:rsidRPr="00DC50A8">
        <w:rPr>
          <w:color w:val="auto"/>
          <w:sz w:val="26"/>
          <w:szCs w:val="26"/>
        </w:rPr>
        <w:t>to satisfy its POLR obligations to</w:t>
      </w:r>
      <w:r w:rsidR="00DD4C6F">
        <w:rPr>
          <w:color w:val="auto"/>
          <w:sz w:val="26"/>
          <w:szCs w:val="26"/>
        </w:rPr>
        <w:t xml:space="preserve"> </w:t>
      </w:r>
      <w:r w:rsidR="00DC50A8" w:rsidRPr="00DC50A8">
        <w:rPr>
          <w:color w:val="auto"/>
          <w:sz w:val="26"/>
          <w:szCs w:val="26"/>
        </w:rPr>
        <w:t>Large C&amp;I customers.</w:t>
      </w:r>
      <w:r w:rsidR="00DD4C6F">
        <w:rPr>
          <w:color w:val="auto"/>
          <w:sz w:val="26"/>
          <w:szCs w:val="26"/>
        </w:rPr>
        <w:t xml:space="preserve">  </w:t>
      </w:r>
      <w:r w:rsidR="00DC50A8" w:rsidRPr="00DC50A8">
        <w:rPr>
          <w:color w:val="auto"/>
          <w:sz w:val="26"/>
          <w:szCs w:val="26"/>
        </w:rPr>
        <w:t>The DSP Settlement also provided for the Company to file an optional monthly or</w:t>
      </w:r>
      <w:r w:rsidR="00DD4C6F">
        <w:rPr>
          <w:color w:val="auto"/>
          <w:sz w:val="26"/>
          <w:szCs w:val="26"/>
        </w:rPr>
        <w:t xml:space="preserve"> </w:t>
      </w:r>
      <w:r w:rsidR="00DC50A8" w:rsidRPr="00DC50A8">
        <w:rPr>
          <w:color w:val="auto"/>
          <w:sz w:val="26"/>
          <w:szCs w:val="26"/>
        </w:rPr>
        <w:t>quarterly fixed-price, load-following service for Large C&amp;I customers.</w:t>
      </w:r>
      <w:r w:rsidR="00DD4C6F">
        <w:rPr>
          <w:color w:val="auto"/>
          <w:sz w:val="26"/>
          <w:szCs w:val="26"/>
        </w:rPr>
        <w:t xml:space="preserve">  </w:t>
      </w:r>
      <w:r w:rsidR="00DC50A8" w:rsidRPr="00DC50A8">
        <w:rPr>
          <w:color w:val="auto"/>
          <w:sz w:val="26"/>
          <w:szCs w:val="26"/>
        </w:rPr>
        <w:t xml:space="preserve">Specifically, </w:t>
      </w:r>
      <w:r w:rsidR="00DD4C6F">
        <w:rPr>
          <w:color w:val="auto"/>
          <w:sz w:val="26"/>
          <w:szCs w:val="26"/>
        </w:rPr>
        <w:t xml:space="preserve">Paragraph No. 40 of the DSP Settlement </w:t>
      </w:r>
      <w:r w:rsidR="00DC50A8" w:rsidRPr="00DC50A8">
        <w:rPr>
          <w:color w:val="auto"/>
          <w:sz w:val="26"/>
          <w:szCs w:val="26"/>
        </w:rPr>
        <w:t>provides as follows:</w:t>
      </w:r>
    </w:p>
    <w:p w:rsidR="00C42F9A" w:rsidRDefault="00C42F9A" w:rsidP="0021524F">
      <w:pPr>
        <w:ind w:firstLine="1440"/>
        <w:rPr>
          <w:color w:val="auto"/>
          <w:sz w:val="26"/>
          <w:szCs w:val="26"/>
        </w:rPr>
      </w:pPr>
    </w:p>
    <w:p w:rsidR="00C42F9A" w:rsidRPr="00DC50A8" w:rsidRDefault="00C42F9A" w:rsidP="009B7B82">
      <w:pPr>
        <w:ind w:left="1440" w:right="1440"/>
        <w:rPr>
          <w:color w:val="auto"/>
          <w:sz w:val="26"/>
          <w:szCs w:val="26"/>
        </w:rPr>
      </w:pPr>
      <w:r w:rsidRPr="00C42F9A">
        <w:rPr>
          <w:color w:val="auto"/>
          <w:sz w:val="26"/>
          <w:szCs w:val="26"/>
        </w:rPr>
        <w:t>PPL Electric's hourly default service proposal is</w:t>
      </w:r>
      <w:r>
        <w:rPr>
          <w:color w:val="auto"/>
          <w:sz w:val="26"/>
          <w:szCs w:val="26"/>
        </w:rPr>
        <w:t xml:space="preserve"> </w:t>
      </w:r>
      <w:r w:rsidRPr="00C42F9A">
        <w:rPr>
          <w:color w:val="auto"/>
          <w:sz w:val="26"/>
          <w:szCs w:val="26"/>
        </w:rPr>
        <w:t>accepted as filed. PPL Electric will convene a separate</w:t>
      </w:r>
      <w:r>
        <w:rPr>
          <w:color w:val="auto"/>
          <w:sz w:val="26"/>
          <w:szCs w:val="26"/>
        </w:rPr>
        <w:t xml:space="preserve"> </w:t>
      </w:r>
      <w:r w:rsidRPr="00C42F9A">
        <w:rPr>
          <w:color w:val="auto"/>
          <w:sz w:val="26"/>
          <w:szCs w:val="26"/>
        </w:rPr>
        <w:t>collaborative with interested parties to develop and file an optional</w:t>
      </w:r>
      <w:r>
        <w:rPr>
          <w:color w:val="auto"/>
          <w:sz w:val="26"/>
          <w:szCs w:val="26"/>
        </w:rPr>
        <w:t xml:space="preserve"> </w:t>
      </w:r>
      <w:r w:rsidRPr="00C42F9A">
        <w:rPr>
          <w:color w:val="auto"/>
          <w:sz w:val="26"/>
          <w:szCs w:val="26"/>
        </w:rPr>
        <w:t>monthly or quarterly load following service for Large C&amp;I</w:t>
      </w:r>
      <w:r>
        <w:rPr>
          <w:color w:val="auto"/>
          <w:sz w:val="26"/>
          <w:szCs w:val="26"/>
        </w:rPr>
        <w:t xml:space="preserve"> </w:t>
      </w:r>
      <w:r w:rsidRPr="00C42F9A">
        <w:rPr>
          <w:color w:val="auto"/>
          <w:sz w:val="26"/>
          <w:szCs w:val="26"/>
        </w:rPr>
        <w:t>customers. As part of the collaborative, the parties will in good</w:t>
      </w:r>
      <w:r>
        <w:rPr>
          <w:color w:val="auto"/>
          <w:sz w:val="26"/>
          <w:szCs w:val="26"/>
        </w:rPr>
        <w:t xml:space="preserve"> </w:t>
      </w:r>
      <w:r w:rsidRPr="00C42F9A">
        <w:rPr>
          <w:color w:val="auto"/>
          <w:sz w:val="26"/>
          <w:szCs w:val="26"/>
        </w:rPr>
        <w:t>faith consider, among other things, designs for the monthly or</w:t>
      </w:r>
      <w:r>
        <w:rPr>
          <w:color w:val="auto"/>
          <w:sz w:val="26"/>
          <w:szCs w:val="26"/>
        </w:rPr>
        <w:t xml:space="preserve"> </w:t>
      </w:r>
      <w:r w:rsidR="009B7B82" w:rsidRPr="00C42F9A">
        <w:rPr>
          <w:color w:val="auto"/>
          <w:sz w:val="26"/>
          <w:szCs w:val="26"/>
        </w:rPr>
        <w:t>quarterly</w:t>
      </w:r>
      <w:r w:rsidRPr="00C42F9A">
        <w:rPr>
          <w:color w:val="auto"/>
          <w:sz w:val="26"/>
          <w:szCs w:val="26"/>
        </w:rPr>
        <w:t xml:space="preserve"> option that avoid any impediments to or restrictions on</w:t>
      </w:r>
      <w:r>
        <w:rPr>
          <w:color w:val="auto"/>
          <w:sz w:val="26"/>
          <w:szCs w:val="26"/>
        </w:rPr>
        <w:t xml:space="preserve"> </w:t>
      </w:r>
      <w:r w:rsidRPr="00C42F9A">
        <w:rPr>
          <w:color w:val="auto"/>
          <w:sz w:val="26"/>
          <w:szCs w:val="26"/>
        </w:rPr>
        <w:t>switching and that achieve resulting rates for Large C&amp;I customers</w:t>
      </w:r>
      <w:r>
        <w:rPr>
          <w:color w:val="auto"/>
          <w:sz w:val="26"/>
          <w:szCs w:val="26"/>
        </w:rPr>
        <w:t xml:space="preserve"> </w:t>
      </w:r>
      <w:r w:rsidRPr="00C42F9A">
        <w:rPr>
          <w:color w:val="auto"/>
          <w:sz w:val="26"/>
          <w:szCs w:val="26"/>
        </w:rPr>
        <w:t>that are reasonable, while ensuring that PPL Electric will recover,</w:t>
      </w:r>
      <w:r>
        <w:rPr>
          <w:color w:val="auto"/>
          <w:sz w:val="26"/>
          <w:szCs w:val="26"/>
        </w:rPr>
        <w:t xml:space="preserve"> </w:t>
      </w:r>
      <w:r w:rsidRPr="00C42F9A">
        <w:rPr>
          <w:color w:val="auto"/>
          <w:sz w:val="26"/>
          <w:szCs w:val="26"/>
        </w:rPr>
        <w:t>on a full and current basis, the reasonable cost incurred to provide</w:t>
      </w:r>
      <w:r>
        <w:rPr>
          <w:color w:val="auto"/>
          <w:sz w:val="26"/>
          <w:szCs w:val="26"/>
        </w:rPr>
        <w:t xml:space="preserve"> </w:t>
      </w:r>
      <w:r w:rsidRPr="00C42F9A">
        <w:rPr>
          <w:color w:val="auto"/>
          <w:sz w:val="26"/>
          <w:szCs w:val="26"/>
        </w:rPr>
        <w:t xml:space="preserve">the product. PPL Electric </w:t>
      </w:r>
      <w:r w:rsidRPr="00C42F9A">
        <w:rPr>
          <w:color w:val="auto"/>
          <w:sz w:val="26"/>
          <w:szCs w:val="26"/>
        </w:rPr>
        <w:lastRenderedPageBreak/>
        <w:t>will consider input from interested</w:t>
      </w:r>
      <w:r>
        <w:rPr>
          <w:color w:val="auto"/>
          <w:sz w:val="26"/>
          <w:szCs w:val="26"/>
        </w:rPr>
        <w:t xml:space="preserve"> </w:t>
      </w:r>
      <w:r w:rsidRPr="00C42F9A">
        <w:rPr>
          <w:color w:val="auto"/>
          <w:sz w:val="26"/>
          <w:szCs w:val="26"/>
        </w:rPr>
        <w:t>parties, but will file a proposal that is acceptable to PPL Electric.</w:t>
      </w:r>
      <w:r>
        <w:rPr>
          <w:color w:val="auto"/>
          <w:sz w:val="26"/>
          <w:szCs w:val="26"/>
        </w:rPr>
        <w:t xml:space="preserve"> </w:t>
      </w:r>
      <w:r w:rsidRPr="00C42F9A">
        <w:rPr>
          <w:color w:val="auto"/>
          <w:sz w:val="26"/>
          <w:szCs w:val="26"/>
        </w:rPr>
        <w:t xml:space="preserve">Such filing will be made with the Commission on or before </w:t>
      </w:r>
      <w:r w:rsidRPr="00D007D2">
        <w:rPr>
          <w:color w:val="auto"/>
          <w:sz w:val="26"/>
          <w:szCs w:val="26"/>
        </w:rPr>
        <w:t>June 1, 2009.</w:t>
      </w:r>
      <w:r w:rsidR="00D007D2">
        <w:rPr>
          <w:rStyle w:val="FootnoteReference"/>
          <w:color w:val="auto"/>
          <w:sz w:val="26"/>
          <w:szCs w:val="26"/>
        </w:rPr>
        <w:footnoteReference w:id="2"/>
      </w:r>
      <w:r w:rsidRPr="00C42F9A">
        <w:rPr>
          <w:color w:val="auto"/>
          <w:sz w:val="26"/>
          <w:szCs w:val="26"/>
        </w:rPr>
        <w:t xml:space="preserve"> </w:t>
      </w:r>
      <w:r w:rsidR="00D007D2">
        <w:rPr>
          <w:color w:val="auto"/>
          <w:sz w:val="26"/>
          <w:szCs w:val="26"/>
        </w:rPr>
        <w:t xml:space="preserve"> </w:t>
      </w:r>
      <w:r w:rsidRPr="00C42F9A">
        <w:rPr>
          <w:color w:val="auto"/>
          <w:sz w:val="26"/>
          <w:szCs w:val="26"/>
        </w:rPr>
        <w:t>All parties reserve their rights to object to the terms of such</w:t>
      </w:r>
      <w:r>
        <w:rPr>
          <w:color w:val="auto"/>
          <w:sz w:val="26"/>
          <w:szCs w:val="26"/>
        </w:rPr>
        <w:t xml:space="preserve"> </w:t>
      </w:r>
      <w:r w:rsidRPr="00C42F9A">
        <w:rPr>
          <w:color w:val="auto"/>
          <w:sz w:val="26"/>
          <w:szCs w:val="26"/>
        </w:rPr>
        <w:t>proposal and to propose alternate provisions. The parties agree</w:t>
      </w:r>
      <w:r>
        <w:rPr>
          <w:color w:val="auto"/>
          <w:sz w:val="26"/>
          <w:szCs w:val="26"/>
        </w:rPr>
        <w:t xml:space="preserve"> </w:t>
      </w:r>
      <w:r w:rsidRPr="00C42F9A">
        <w:rPr>
          <w:color w:val="auto"/>
          <w:sz w:val="26"/>
          <w:szCs w:val="26"/>
        </w:rPr>
        <w:t>that the only issue to be resolved in that proceeding will be the</w:t>
      </w:r>
      <w:r>
        <w:rPr>
          <w:color w:val="auto"/>
          <w:sz w:val="26"/>
          <w:szCs w:val="26"/>
        </w:rPr>
        <w:t xml:space="preserve"> </w:t>
      </w:r>
      <w:r w:rsidRPr="00C42F9A">
        <w:rPr>
          <w:color w:val="auto"/>
          <w:sz w:val="26"/>
          <w:szCs w:val="26"/>
        </w:rPr>
        <w:t>p</w:t>
      </w:r>
      <w:r>
        <w:rPr>
          <w:color w:val="auto"/>
          <w:sz w:val="26"/>
          <w:szCs w:val="26"/>
        </w:rPr>
        <w:t xml:space="preserve">rovision of optional monthly or </w:t>
      </w:r>
      <w:r w:rsidRPr="00C42F9A">
        <w:rPr>
          <w:color w:val="auto"/>
          <w:sz w:val="26"/>
          <w:szCs w:val="26"/>
        </w:rPr>
        <w:t>quarterly default service to Large</w:t>
      </w:r>
      <w:r>
        <w:rPr>
          <w:color w:val="auto"/>
          <w:sz w:val="26"/>
          <w:szCs w:val="26"/>
        </w:rPr>
        <w:t xml:space="preserve"> </w:t>
      </w:r>
      <w:r w:rsidRPr="00C42F9A">
        <w:rPr>
          <w:color w:val="auto"/>
          <w:sz w:val="26"/>
          <w:szCs w:val="26"/>
        </w:rPr>
        <w:t>C&amp;I customers.</w:t>
      </w:r>
    </w:p>
    <w:p w:rsidR="00967C04" w:rsidRDefault="00967C04" w:rsidP="0021524F">
      <w:pPr>
        <w:ind w:firstLine="1440"/>
        <w:rPr>
          <w:color w:val="auto"/>
          <w:sz w:val="26"/>
          <w:szCs w:val="26"/>
        </w:rPr>
      </w:pPr>
    </w:p>
    <w:p w:rsidR="00967C04" w:rsidRPr="00882C9F" w:rsidRDefault="00882C9F" w:rsidP="00882C9F">
      <w:pPr>
        <w:spacing w:line="360" w:lineRule="auto"/>
        <w:ind w:firstLine="1440"/>
        <w:rPr>
          <w:color w:val="auto"/>
          <w:sz w:val="26"/>
          <w:szCs w:val="26"/>
        </w:rPr>
      </w:pPr>
      <w:r w:rsidRPr="00882C9F">
        <w:rPr>
          <w:color w:val="auto"/>
          <w:sz w:val="26"/>
          <w:szCs w:val="26"/>
        </w:rPr>
        <w:t>I</w:t>
      </w:r>
      <w:r>
        <w:rPr>
          <w:color w:val="auto"/>
          <w:sz w:val="26"/>
          <w:szCs w:val="26"/>
        </w:rPr>
        <w:t xml:space="preserve">n accordance with the </w:t>
      </w:r>
      <w:r w:rsidRPr="00882C9F">
        <w:rPr>
          <w:color w:val="auto"/>
          <w:sz w:val="26"/>
          <w:szCs w:val="26"/>
        </w:rPr>
        <w:t>provisions</w:t>
      </w:r>
      <w:r>
        <w:rPr>
          <w:color w:val="auto"/>
          <w:sz w:val="26"/>
          <w:szCs w:val="26"/>
        </w:rPr>
        <w:t xml:space="preserve"> of the DSP Settlement, PPL </w:t>
      </w:r>
      <w:r w:rsidRPr="00882C9F">
        <w:rPr>
          <w:color w:val="auto"/>
          <w:sz w:val="26"/>
          <w:szCs w:val="26"/>
        </w:rPr>
        <w:t>held a series of meetings and</w:t>
      </w:r>
      <w:r>
        <w:rPr>
          <w:color w:val="auto"/>
          <w:sz w:val="26"/>
          <w:szCs w:val="26"/>
        </w:rPr>
        <w:t xml:space="preserve"> </w:t>
      </w:r>
      <w:r w:rsidRPr="00882C9F">
        <w:rPr>
          <w:color w:val="auto"/>
          <w:sz w:val="26"/>
          <w:szCs w:val="26"/>
        </w:rPr>
        <w:t>discussions with interested parties, including representatives of Large C&amp;I customers' interests</w:t>
      </w:r>
      <w:r>
        <w:rPr>
          <w:color w:val="auto"/>
          <w:sz w:val="26"/>
          <w:szCs w:val="26"/>
        </w:rPr>
        <w:t xml:space="preserve"> </w:t>
      </w:r>
      <w:r w:rsidRPr="00882C9F">
        <w:rPr>
          <w:color w:val="auto"/>
          <w:sz w:val="26"/>
          <w:szCs w:val="26"/>
        </w:rPr>
        <w:t>such as</w:t>
      </w:r>
      <w:r w:rsidR="00776220">
        <w:rPr>
          <w:color w:val="auto"/>
          <w:sz w:val="26"/>
          <w:szCs w:val="26"/>
        </w:rPr>
        <w:t xml:space="preserve"> the PP&amp;L Industrial Customer Alliance</w:t>
      </w:r>
      <w:r w:rsidRPr="00882C9F">
        <w:rPr>
          <w:color w:val="auto"/>
          <w:sz w:val="26"/>
          <w:szCs w:val="26"/>
        </w:rPr>
        <w:t xml:space="preserve"> </w:t>
      </w:r>
      <w:r w:rsidR="00776220">
        <w:rPr>
          <w:color w:val="auto"/>
          <w:sz w:val="26"/>
          <w:szCs w:val="26"/>
        </w:rPr>
        <w:t>(“</w:t>
      </w:r>
      <w:r w:rsidRPr="00882C9F">
        <w:rPr>
          <w:color w:val="auto"/>
          <w:sz w:val="26"/>
          <w:szCs w:val="26"/>
        </w:rPr>
        <w:t>PPLICA</w:t>
      </w:r>
      <w:r w:rsidR="00776220">
        <w:rPr>
          <w:color w:val="auto"/>
          <w:sz w:val="26"/>
          <w:szCs w:val="26"/>
        </w:rPr>
        <w:t>”)</w:t>
      </w:r>
      <w:r w:rsidRPr="00882C9F">
        <w:rPr>
          <w:color w:val="auto"/>
          <w:sz w:val="26"/>
          <w:szCs w:val="26"/>
        </w:rPr>
        <w:t>, marketer interests</w:t>
      </w:r>
      <w:r>
        <w:rPr>
          <w:color w:val="auto"/>
          <w:sz w:val="26"/>
          <w:szCs w:val="26"/>
        </w:rPr>
        <w:t>, including, but not limited to</w:t>
      </w:r>
      <w:r w:rsidRPr="00882C9F">
        <w:rPr>
          <w:color w:val="auto"/>
          <w:sz w:val="26"/>
          <w:szCs w:val="26"/>
        </w:rPr>
        <w:t xml:space="preserve"> the Retail Energy Supply</w:t>
      </w:r>
      <w:r>
        <w:rPr>
          <w:color w:val="auto"/>
          <w:sz w:val="26"/>
          <w:szCs w:val="26"/>
        </w:rPr>
        <w:t xml:space="preserve"> </w:t>
      </w:r>
      <w:r w:rsidRPr="00882C9F">
        <w:rPr>
          <w:color w:val="auto"/>
          <w:sz w:val="26"/>
          <w:szCs w:val="26"/>
        </w:rPr>
        <w:t>Association ("RESA") and Richards Energy Group, Inc. ("Richards"), and various wholesale</w:t>
      </w:r>
      <w:r>
        <w:rPr>
          <w:color w:val="auto"/>
          <w:sz w:val="26"/>
          <w:szCs w:val="26"/>
        </w:rPr>
        <w:t xml:space="preserve"> </w:t>
      </w:r>
      <w:r w:rsidRPr="00882C9F">
        <w:rPr>
          <w:color w:val="auto"/>
          <w:sz w:val="26"/>
          <w:szCs w:val="26"/>
        </w:rPr>
        <w:t xml:space="preserve">suppliers. </w:t>
      </w:r>
      <w:r w:rsidR="00776220">
        <w:rPr>
          <w:color w:val="auto"/>
          <w:sz w:val="26"/>
          <w:szCs w:val="26"/>
        </w:rPr>
        <w:t xml:space="preserve"> </w:t>
      </w:r>
      <w:r w:rsidRPr="00882C9F">
        <w:rPr>
          <w:color w:val="auto"/>
          <w:sz w:val="26"/>
          <w:szCs w:val="26"/>
        </w:rPr>
        <w:t>During these meetings and discussions, a number of alternative proposals for the</w:t>
      </w:r>
      <w:r w:rsidR="00776220">
        <w:rPr>
          <w:color w:val="auto"/>
          <w:sz w:val="26"/>
          <w:szCs w:val="26"/>
        </w:rPr>
        <w:t xml:space="preserve"> </w:t>
      </w:r>
      <w:r w:rsidRPr="00882C9F">
        <w:rPr>
          <w:color w:val="auto"/>
          <w:sz w:val="26"/>
          <w:szCs w:val="26"/>
        </w:rPr>
        <w:t xml:space="preserve">design of this optional service were considered and discussed. </w:t>
      </w:r>
      <w:r w:rsidR="00776220">
        <w:rPr>
          <w:color w:val="auto"/>
          <w:sz w:val="26"/>
          <w:szCs w:val="26"/>
        </w:rPr>
        <w:t xml:space="preserve"> PPL </w:t>
      </w:r>
      <w:r w:rsidR="008157E3">
        <w:rPr>
          <w:color w:val="auto"/>
          <w:sz w:val="26"/>
          <w:szCs w:val="26"/>
        </w:rPr>
        <w:t xml:space="preserve">states that </w:t>
      </w:r>
      <w:r w:rsidRPr="00882C9F">
        <w:rPr>
          <w:color w:val="auto"/>
          <w:sz w:val="26"/>
          <w:szCs w:val="26"/>
        </w:rPr>
        <w:t>the proposal set forth</w:t>
      </w:r>
      <w:r w:rsidR="00776220">
        <w:rPr>
          <w:color w:val="auto"/>
          <w:sz w:val="26"/>
          <w:szCs w:val="26"/>
        </w:rPr>
        <w:t xml:space="preserve"> in Supplement No. 85 </w:t>
      </w:r>
      <w:r w:rsidRPr="00882C9F">
        <w:rPr>
          <w:color w:val="auto"/>
          <w:sz w:val="26"/>
          <w:szCs w:val="26"/>
        </w:rPr>
        <w:t>reflects a general concurrence of the participants to the</w:t>
      </w:r>
      <w:r w:rsidR="008157E3">
        <w:rPr>
          <w:color w:val="auto"/>
          <w:sz w:val="26"/>
          <w:szCs w:val="26"/>
        </w:rPr>
        <w:t>se</w:t>
      </w:r>
      <w:r w:rsidRPr="00882C9F">
        <w:rPr>
          <w:color w:val="auto"/>
          <w:sz w:val="26"/>
          <w:szCs w:val="26"/>
        </w:rPr>
        <w:t xml:space="preserve"> discussions as a reasonable design</w:t>
      </w:r>
      <w:r w:rsidR="008157E3">
        <w:rPr>
          <w:color w:val="auto"/>
          <w:sz w:val="26"/>
          <w:szCs w:val="26"/>
        </w:rPr>
        <w:t xml:space="preserve"> </w:t>
      </w:r>
      <w:r w:rsidRPr="00882C9F">
        <w:rPr>
          <w:color w:val="auto"/>
          <w:sz w:val="26"/>
          <w:szCs w:val="26"/>
        </w:rPr>
        <w:t>of the optional service.</w:t>
      </w:r>
      <w:r w:rsidR="008157E3">
        <w:rPr>
          <w:color w:val="auto"/>
          <w:sz w:val="26"/>
          <w:szCs w:val="26"/>
        </w:rPr>
        <w:t xml:space="preserve">  However, PPL </w:t>
      </w:r>
      <w:r w:rsidRPr="00882C9F">
        <w:rPr>
          <w:color w:val="auto"/>
          <w:sz w:val="26"/>
          <w:szCs w:val="26"/>
        </w:rPr>
        <w:t>notes that no parties were asked to join in this</w:t>
      </w:r>
      <w:r w:rsidR="008157E3">
        <w:rPr>
          <w:color w:val="auto"/>
          <w:sz w:val="26"/>
          <w:szCs w:val="26"/>
        </w:rPr>
        <w:t xml:space="preserve"> </w:t>
      </w:r>
      <w:r w:rsidRPr="00882C9F">
        <w:rPr>
          <w:color w:val="auto"/>
          <w:sz w:val="26"/>
          <w:szCs w:val="26"/>
        </w:rPr>
        <w:t>filing, and all parties retain their rights, as provided in the Settlement, to object to the proposal.</w:t>
      </w:r>
    </w:p>
    <w:p w:rsidR="002C73F0" w:rsidRPr="00882C9F" w:rsidRDefault="002C73F0" w:rsidP="001619A8">
      <w:pPr>
        <w:ind w:firstLine="720"/>
        <w:rPr>
          <w:color w:val="auto"/>
          <w:sz w:val="26"/>
          <w:szCs w:val="26"/>
        </w:rPr>
      </w:pPr>
    </w:p>
    <w:p w:rsidR="002C73F0" w:rsidRPr="00164EFA" w:rsidRDefault="005F174F" w:rsidP="002C73F0">
      <w:pPr>
        <w:spacing w:line="360" w:lineRule="auto"/>
        <w:rPr>
          <w:b/>
          <w:color w:val="auto"/>
          <w:sz w:val="26"/>
          <w:szCs w:val="26"/>
          <w:u w:val="single"/>
        </w:rPr>
      </w:pPr>
      <w:r>
        <w:rPr>
          <w:b/>
          <w:color w:val="auto"/>
          <w:sz w:val="26"/>
          <w:szCs w:val="26"/>
          <w:u w:val="single"/>
        </w:rPr>
        <w:t>PPL’s Optional Monthly Pricing Service</w:t>
      </w:r>
    </w:p>
    <w:p w:rsidR="00E321FA" w:rsidRPr="005F2557" w:rsidRDefault="00E321FA" w:rsidP="001619A8">
      <w:pPr>
        <w:ind w:firstLine="720"/>
        <w:rPr>
          <w:color w:val="auto"/>
          <w:sz w:val="26"/>
          <w:szCs w:val="26"/>
        </w:rPr>
      </w:pPr>
    </w:p>
    <w:p w:rsidR="00A05F2D" w:rsidRDefault="000F4FFA" w:rsidP="00A05F2D">
      <w:pPr>
        <w:spacing w:line="360" w:lineRule="auto"/>
        <w:ind w:firstLine="720"/>
        <w:rPr>
          <w:color w:val="auto"/>
          <w:sz w:val="26"/>
          <w:szCs w:val="26"/>
        </w:rPr>
      </w:pPr>
      <w:r w:rsidRPr="005F2557">
        <w:rPr>
          <w:color w:val="auto"/>
          <w:sz w:val="26"/>
          <w:szCs w:val="26"/>
        </w:rPr>
        <w:tab/>
      </w:r>
      <w:r w:rsidR="00A05F2D" w:rsidRPr="00A05F2D">
        <w:rPr>
          <w:color w:val="auto"/>
          <w:sz w:val="26"/>
          <w:szCs w:val="26"/>
        </w:rPr>
        <w:t>The following is a summary o</w:t>
      </w:r>
      <w:r w:rsidR="00A05F2D">
        <w:rPr>
          <w:color w:val="auto"/>
          <w:sz w:val="26"/>
          <w:szCs w:val="26"/>
        </w:rPr>
        <w:t>f the provisions of PPL</w:t>
      </w:r>
      <w:r w:rsidR="00291C9D">
        <w:rPr>
          <w:color w:val="auto"/>
          <w:sz w:val="26"/>
          <w:szCs w:val="26"/>
        </w:rPr>
        <w:t>'s</w:t>
      </w:r>
      <w:r w:rsidR="00A05F2D" w:rsidRPr="00A05F2D">
        <w:rPr>
          <w:color w:val="auto"/>
          <w:sz w:val="26"/>
          <w:szCs w:val="26"/>
        </w:rPr>
        <w:t xml:space="preserve"> Large</w:t>
      </w:r>
      <w:r w:rsidR="00A05F2D">
        <w:rPr>
          <w:color w:val="auto"/>
          <w:sz w:val="26"/>
          <w:szCs w:val="26"/>
        </w:rPr>
        <w:t xml:space="preserve"> C&amp;I </w:t>
      </w:r>
      <w:r w:rsidR="00A05F2D" w:rsidRPr="00A05F2D">
        <w:rPr>
          <w:color w:val="auto"/>
          <w:sz w:val="26"/>
          <w:szCs w:val="26"/>
        </w:rPr>
        <w:t>Customer Optional Monthly Pricing Service</w:t>
      </w:r>
      <w:r w:rsidR="00A05F2D">
        <w:rPr>
          <w:color w:val="auto"/>
          <w:sz w:val="26"/>
          <w:szCs w:val="26"/>
        </w:rPr>
        <w:t xml:space="preserve"> a</w:t>
      </w:r>
      <w:r w:rsidR="00C772D4">
        <w:rPr>
          <w:color w:val="auto"/>
          <w:sz w:val="26"/>
          <w:szCs w:val="26"/>
        </w:rPr>
        <w:t>s proposed in Supplement No. 85, and as set</w:t>
      </w:r>
      <w:r w:rsidR="00291C9D">
        <w:rPr>
          <w:color w:val="auto"/>
          <w:sz w:val="26"/>
          <w:szCs w:val="26"/>
        </w:rPr>
        <w:t xml:space="preserve"> forth in </w:t>
      </w:r>
      <w:r w:rsidR="00C772D4">
        <w:rPr>
          <w:color w:val="auto"/>
          <w:sz w:val="26"/>
          <w:szCs w:val="26"/>
        </w:rPr>
        <w:t>the Company’s Statement of Reasons accompanying its filing:</w:t>
      </w:r>
    </w:p>
    <w:p w:rsidR="00A05F2D" w:rsidRDefault="00A05F2D" w:rsidP="0021524F">
      <w:pPr>
        <w:ind w:firstLine="720"/>
        <w:rPr>
          <w:color w:val="auto"/>
          <w:sz w:val="26"/>
          <w:szCs w:val="26"/>
        </w:rPr>
      </w:pPr>
    </w:p>
    <w:p w:rsidR="00A05F2D" w:rsidRPr="008E3DAE" w:rsidRDefault="00A05F2D" w:rsidP="008E3DAE">
      <w:pPr>
        <w:pStyle w:val="ListParagraph"/>
        <w:numPr>
          <w:ilvl w:val="0"/>
          <w:numId w:val="16"/>
        </w:numPr>
        <w:spacing w:line="360" w:lineRule="auto"/>
        <w:rPr>
          <w:color w:val="auto"/>
          <w:sz w:val="26"/>
          <w:szCs w:val="26"/>
        </w:rPr>
      </w:pPr>
      <w:r w:rsidRPr="008E3DAE">
        <w:rPr>
          <w:b/>
          <w:color w:val="auto"/>
          <w:sz w:val="26"/>
          <w:szCs w:val="26"/>
          <w:u w:val="single"/>
        </w:rPr>
        <w:t>Eligibility</w:t>
      </w:r>
      <w:r w:rsidRPr="008E3DAE">
        <w:rPr>
          <w:color w:val="auto"/>
          <w:sz w:val="26"/>
          <w:szCs w:val="26"/>
        </w:rPr>
        <w:t xml:space="preserve"> - All Large C&amp;I Customers, as that term is defined above and in the</w:t>
      </w:r>
      <w:r w:rsidR="00291C9D" w:rsidRPr="008E3DAE">
        <w:rPr>
          <w:color w:val="auto"/>
          <w:sz w:val="26"/>
          <w:szCs w:val="26"/>
        </w:rPr>
        <w:t xml:space="preserve"> </w:t>
      </w:r>
      <w:r w:rsidRPr="008E3DAE">
        <w:rPr>
          <w:color w:val="auto"/>
          <w:sz w:val="26"/>
          <w:szCs w:val="26"/>
        </w:rPr>
        <w:t xml:space="preserve">Settlement, taking 60 hertz service effective January 1, 2011, will be eligible for the Optional Monthly Pricing Service. </w:t>
      </w:r>
      <w:r w:rsidR="00291C9D" w:rsidRPr="008E3DAE">
        <w:rPr>
          <w:color w:val="auto"/>
          <w:sz w:val="26"/>
          <w:szCs w:val="26"/>
        </w:rPr>
        <w:t xml:space="preserve"> </w:t>
      </w:r>
      <w:r w:rsidRPr="008E3DAE">
        <w:rPr>
          <w:color w:val="auto"/>
          <w:sz w:val="26"/>
          <w:szCs w:val="26"/>
        </w:rPr>
        <w:t>Eligible customers must affirmatively elect the Optional Monthly Pricing Service as discussed below.</w:t>
      </w:r>
      <w:r w:rsidR="00291C9D" w:rsidRPr="008E3DAE">
        <w:rPr>
          <w:color w:val="auto"/>
          <w:sz w:val="26"/>
          <w:szCs w:val="26"/>
        </w:rPr>
        <w:t xml:space="preserve"> </w:t>
      </w:r>
      <w:r w:rsidRPr="008E3DAE">
        <w:rPr>
          <w:color w:val="auto"/>
          <w:sz w:val="26"/>
          <w:szCs w:val="26"/>
        </w:rPr>
        <w:t xml:space="preserve"> If a customer does not </w:t>
      </w:r>
      <w:r w:rsidRPr="008E3DAE">
        <w:rPr>
          <w:color w:val="auto"/>
          <w:sz w:val="26"/>
          <w:szCs w:val="26"/>
        </w:rPr>
        <w:lastRenderedPageBreak/>
        <w:t>elect the Optional Monthly Pricing Service or does not shop with an EGS, the customer will receive the Hourly Default Service.</w:t>
      </w:r>
    </w:p>
    <w:p w:rsidR="00A05F2D" w:rsidRPr="00A05F2D" w:rsidRDefault="00A05F2D" w:rsidP="0021524F">
      <w:pPr>
        <w:rPr>
          <w:color w:val="auto"/>
          <w:sz w:val="26"/>
          <w:szCs w:val="26"/>
        </w:rPr>
      </w:pPr>
    </w:p>
    <w:p w:rsidR="00A05F2D" w:rsidRPr="008E3DAE" w:rsidRDefault="00A05F2D" w:rsidP="008E3DAE">
      <w:pPr>
        <w:pStyle w:val="ListParagraph"/>
        <w:numPr>
          <w:ilvl w:val="0"/>
          <w:numId w:val="16"/>
        </w:numPr>
        <w:spacing w:line="360" w:lineRule="auto"/>
        <w:rPr>
          <w:color w:val="auto"/>
          <w:sz w:val="26"/>
          <w:szCs w:val="26"/>
        </w:rPr>
      </w:pPr>
      <w:r w:rsidRPr="008E3DAE">
        <w:rPr>
          <w:b/>
          <w:color w:val="auto"/>
          <w:sz w:val="26"/>
          <w:szCs w:val="26"/>
          <w:u w:val="single"/>
        </w:rPr>
        <w:t>Price</w:t>
      </w:r>
      <w:r w:rsidRPr="008E3DAE">
        <w:rPr>
          <w:color w:val="auto"/>
          <w:sz w:val="26"/>
          <w:szCs w:val="26"/>
        </w:rPr>
        <w:t xml:space="preserve"> - The price will change on the first of every month. </w:t>
      </w:r>
      <w:r w:rsidR="008A54DD" w:rsidRPr="008E3DAE">
        <w:rPr>
          <w:color w:val="auto"/>
          <w:sz w:val="26"/>
          <w:szCs w:val="26"/>
        </w:rPr>
        <w:t xml:space="preserve"> </w:t>
      </w:r>
      <w:r w:rsidRPr="008E3DAE">
        <w:rPr>
          <w:color w:val="auto"/>
          <w:sz w:val="26"/>
          <w:szCs w:val="26"/>
        </w:rPr>
        <w:t>The monthly price will</w:t>
      </w:r>
      <w:r w:rsidR="00816B85" w:rsidRPr="008E3DAE">
        <w:rPr>
          <w:color w:val="auto"/>
          <w:sz w:val="26"/>
          <w:szCs w:val="26"/>
        </w:rPr>
        <w:t xml:space="preserve"> </w:t>
      </w:r>
      <w:r w:rsidRPr="008E3DAE">
        <w:rPr>
          <w:color w:val="auto"/>
          <w:sz w:val="26"/>
          <w:szCs w:val="26"/>
        </w:rPr>
        <w:t xml:space="preserve">be set on a cents per kWh basis. </w:t>
      </w:r>
      <w:r w:rsidR="008A54DD" w:rsidRPr="008E3DAE">
        <w:rPr>
          <w:color w:val="auto"/>
          <w:sz w:val="26"/>
          <w:szCs w:val="26"/>
        </w:rPr>
        <w:t xml:space="preserve"> </w:t>
      </w:r>
      <w:r w:rsidRPr="008E3DAE">
        <w:rPr>
          <w:color w:val="auto"/>
          <w:sz w:val="26"/>
          <w:szCs w:val="26"/>
        </w:rPr>
        <w:t>The monthly prices will be determined by a competitive</w:t>
      </w:r>
      <w:r w:rsidR="00816B85" w:rsidRPr="008E3DAE">
        <w:rPr>
          <w:color w:val="auto"/>
          <w:sz w:val="26"/>
          <w:szCs w:val="26"/>
        </w:rPr>
        <w:t xml:space="preserve"> </w:t>
      </w:r>
      <w:r w:rsidRPr="008E3DAE">
        <w:rPr>
          <w:color w:val="auto"/>
          <w:sz w:val="26"/>
          <w:szCs w:val="26"/>
        </w:rPr>
        <w:t>solicitation held quarterly, plus an adder for recovery of costs incurred to undertake the</w:t>
      </w:r>
      <w:r w:rsidR="00816B85" w:rsidRPr="008E3DAE">
        <w:rPr>
          <w:color w:val="auto"/>
          <w:sz w:val="26"/>
          <w:szCs w:val="26"/>
        </w:rPr>
        <w:t xml:space="preserve"> </w:t>
      </w:r>
      <w:r w:rsidRPr="008E3DAE">
        <w:rPr>
          <w:color w:val="auto"/>
          <w:sz w:val="26"/>
          <w:szCs w:val="26"/>
        </w:rPr>
        <w:t xml:space="preserve">solicitations. </w:t>
      </w:r>
      <w:r w:rsidR="008A54DD" w:rsidRPr="008E3DAE">
        <w:rPr>
          <w:color w:val="auto"/>
          <w:sz w:val="26"/>
          <w:szCs w:val="26"/>
        </w:rPr>
        <w:t xml:space="preserve"> </w:t>
      </w:r>
      <w:r w:rsidRPr="008E3DAE">
        <w:rPr>
          <w:color w:val="auto"/>
          <w:sz w:val="26"/>
          <w:szCs w:val="26"/>
        </w:rPr>
        <w:t>Due to the transition from a calendar year to a PJM year for solicitation and pricing</w:t>
      </w:r>
      <w:r w:rsidR="00816B85" w:rsidRPr="008E3DAE">
        <w:rPr>
          <w:color w:val="auto"/>
          <w:sz w:val="26"/>
          <w:szCs w:val="26"/>
        </w:rPr>
        <w:t xml:space="preserve"> </w:t>
      </w:r>
      <w:r w:rsidRPr="008E3DAE">
        <w:rPr>
          <w:color w:val="auto"/>
          <w:sz w:val="26"/>
          <w:szCs w:val="26"/>
        </w:rPr>
        <w:t>purposes, the first solicitation will establish monthly prices for a five-month period (January -</w:t>
      </w:r>
      <w:r w:rsidR="00816B85" w:rsidRPr="008E3DAE">
        <w:rPr>
          <w:color w:val="auto"/>
          <w:sz w:val="26"/>
          <w:szCs w:val="26"/>
        </w:rPr>
        <w:t xml:space="preserve"> </w:t>
      </w:r>
      <w:r w:rsidRPr="008E3DAE">
        <w:rPr>
          <w:color w:val="auto"/>
          <w:sz w:val="26"/>
          <w:szCs w:val="26"/>
        </w:rPr>
        <w:t xml:space="preserve">May, 2011). </w:t>
      </w:r>
      <w:r w:rsidR="008A54DD" w:rsidRPr="008E3DAE">
        <w:rPr>
          <w:color w:val="auto"/>
          <w:sz w:val="26"/>
          <w:szCs w:val="26"/>
        </w:rPr>
        <w:t xml:space="preserve"> </w:t>
      </w:r>
      <w:r w:rsidRPr="008E3DAE">
        <w:rPr>
          <w:color w:val="auto"/>
          <w:sz w:val="26"/>
          <w:szCs w:val="26"/>
        </w:rPr>
        <w:t>Participating customers a</w:t>
      </w:r>
      <w:r w:rsidR="00816B85" w:rsidRPr="008E3DAE">
        <w:rPr>
          <w:color w:val="auto"/>
          <w:sz w:val="26"/>
          <w:szCs w:val="26"/>
        </w:rPr>
        <w:t xml:space="preserve">lso will be responsible for all </w:t>
      </w:r>
      <w:r w:rsidRPr="008E3DAE">
        <w:rPr>
          <w:color w:val="auto"/>
          <w:sz w:val="26"/>
          <w:szCs w:val="26"/>
        </w:rPr>
        <w:t>other charges contained in</w:t>
      </w:r>
      <w:r w:rsidR="00816B85" w:rsidRPr="008E3DAE">
        <w:rPr>
          <w:color w:val="auto"/>
          <w:sz w:val="26"/>
          <w:szCs w:val="26"/>
        </w:rPr>
        <w:t xml:space="preserve"> </w:t>
      </w:r>
      <w:r w:rsidRPr="008E3DAE">
        <w:rPr>
          <w:color w:val="auto"/>
          <w:sz w:val="26"/>
          <w:szCs w:val="26"/>
        </w:rPr>
        <w:t>their applicable rate schedule.</w:t>
      </w:r>
    </w:p>
    <w:p w:rsidR="001348C6" w:rsidRDefault="001348C6" w:rsidP="0021524F">
      <w:pPr>
        <w:ind w:firstLine="720"/>
        <w:rPr>
          <w:color w:val="auto"/>
          <w:sz w:val="26"/>
          <w:szCs w:val="26"/>
        </w:rPr>
      </w:pPr>
    </w:p>
    <w:p w:rsidR="00A05F2D" w:rsidRPr="008E3DAE" w:rsidRDefault="00A05F2D" w:rsidP="008E3DAE">
      <w:pPr>
        <w:pStyle w:val="ListParagraph"/>
        <w:numPr>
          <w:ilvl w:val="0"/>
          <w:numId w:val="16"/>
        </w:numPr>
        <w:spacing w:line="360" w:lineRule="auto"/>
        <w:rPr>
          <w:color w:val="auto"/>
          <w:sz w:val="26"/>
          <w:szCs w:val="26"/>
        </w:rPr>
      </w:pPr>
      <w:r w:rsidRPr="008E3DAE">
        <w:rPr>
          <w:b/>
          <w:color w:val="auto"/>
          <w:sz w:val="26"/>
          <w:szCs w:val="26"/>
          <w:u w:val="single"/>
        </w:rPr>
        <w:t>Product</w:t>
      </w:r>
      <w:r w:rsidRPr="008E3DAE">
        <w:rPr>
          <w:color w:val="auto"/>
          <w:sz w:val="26"/>
          <w:szCs w:val="26"/>
        </w:rPr>
        <w:t xml:space="preserve"> - The product to be solicited will be a load-following, full-requirements</w:t>
      </w:r>
      <w:r w:rsidR="001348C6" w:rsidRPr="008E3DAE">
        <w:rPr>
          <w:color w:val="auto"/>
          <w:sz w:val="26"/>
          <w:szCs w:val="26"/>
        </w:rPr>
        <w:t xml:space="preserve"> service, </w:t>
      </w:r>
      <w:r w:rsidRPr="008E3DAE">
        <w:rPr>
          <w:color w:val="auto"/>
          <w:sz w:val="26"/>
          <w:szCs w:val="26"/>
        </w:rPr>
        <w:t>including, without limitation, energy, capacity, transmission (excluding Network</w:t>
      </w:r>
      <w:r w:rsidR="001348C6" w:rsidRPr="008E3DAE">
        <w:rPr>
          <w:color w:val="auto"/>
          <w:sz w:val="26"/>
          <w:szCs w:val="26"/>
        </w:rPr>
        <w:t xml:space="preserve"> </w:t>
      </w:r>
      <w:r w:rsidRPr="008E3DAE">
        <w:rPr>
          <w:color w:val="auto"/>
          <w:sz w:val="26"/>
          <w:szCs w:val="26"/>
        </w:rPr>
        <w:t>Integration Transmission Service), ancillary services</w:t>
      </w:r>
      <w:r w:rsidR="001348C6" w:rsidRPr="008E3DAE">
        <w:rPr>
          <w:color w:val="auto"/>
          <w:sz w:val="26"/>
          <w:szCs w:val="26"/>
        </w:rPr>
        <w:t xml:space="preserve">, transmission and distribution </w:t>
      </w:r>
      <w:r w:rsidRPr="008E3DAE">
        <w:rPr>
          <w:color w:val="auto"/>
          <w:sz w:val="26"/>
          <w:szCs w:val="26"/>
        </w:rPr>
        <w:t>losses,</w:t>
      </w:r>
      <w:r w:rsidR="001348C6" w:rsidRPr="008E3DAE">
        <w:rPr>
          <w:color w:val="auto"/>
          <w:sz w:val="26"/>
          <w:szCs w:val="26"/>
        </w:rPr>
        <w:t xml:space="preserve"> </w:t>
      </w:r>
      <w:r w:rsidRPr="008E3DAE">
        <w:rPr>
          <w:color w:val="auto"/>
          <w:sz w:val="26"/>
          <w:szCs w:val="26"/>
        </w:rPr>
        <w:t>congestion management costs, Altern</w:t>
      </w:r>
      <w:r w:rsidR="001348C6" w:rsidRPr="008E3DAE">
        <w:rPr>
          <w:color w:val="auto"/>
          <w:sz w:val="26"/>
          <w:szCs w:val="26"/>
        </w:rPr>
        <w:t xml:space="preserve">ative Energy Portfolio Standard </w:t>
      </w:r>
      <w:r w:rsidRPr="008E3DAE">
        <w:rPr>
          <w:color w:val="auto"/>
          <w:sz w:val="26"/>
          <w:szCs w:val="26"/>
        </w:rPr>
        <w:t>requirements and such</w:t>
      </w:r>
      <w:r w:rsidR="001348C6" w:rsidRPr="008E3DAE">
        <w:rPr>
          <w:color w:val="auto"/>
          <w:sz w:val="26"/>
          <w:szCs w:val="26"/>
        </w:rPr>
        <w:t xml:space="preserve"> </w:t>
      </w:r>
      <w:r w:rsidRPr="008E3DAE">
        <w:rPr>
          <w:color w:val="auto"/>
          <w:sz w:val="26"/>
          <w:szCs w:val="26"/>
        </w:rPr>
        <w:t xml:space="preserve">other services or products that </w:t>
      </w:r>
      <w:r w:rsidR="001348C6" w:rsidRPr="008E3DAE">
        <w:rPr>
          <w:color w:val="auto"/>
          <w:sz w:val="26"/>
          <w:szCs w:val="26"/>
        </w:rPr>
        <w:t xml:space="preserve">are required by PPL Electric to </w:t>
      </w:r>
      <w:r w:rsidRPr="008E3DAE">
        <w:rPr>
          <w:color w:val="auto"/>
          <w:sz w:val="26"/>
          <w:szCs w:val="26"/>
        </w:rPr>
        <w:t>supply the Optional Monthly</w:t>
      </w:r>
      <w:r w:rsidR="002D0F85" w:rsidRPr="008E3DAE">
        <w:rPr>
          <w:color w:val="auto"/>
          <w:sz w:val="26"/>
          <w:szCs w:val="26"/>
        </w:rPr>
        <w:t xml:space="preserve"> </w:t>
      </w:r>
      <w:r w:rsidRPr="008E3DAE">
        <w:rPr>
          <w:color w:val="auto"/>
          <w:sz w:val="26"/>
          <w:szCs w:val="26"/>
        </w:rPr>
        <w:t>Pricing Service to customers electing the service.</w:t>
      </w:r>
    </w:p>
    <w:p w:rsidR="002D0F85" w:rsidRPr="00A05F2D" w:rsidRDefault="002D0F85" w:rsidP="0021524F">
      <w:pPr>
        <w:rPr>
          <w:color w:val="auto"/>
          <w:sz w:val="26"/>
          <w:szCs w:val="26"/>
        </w:rPr>
      </w:pPr>
    </w:p>
    <w:p w:rsidR="00A05F2D" w:rsidRPr="008E3DAE" w:rsidRDefault="00653294" w:rsidP="008E3DAE">
      <w:pPr>
        <w:pStyle w:val="ListParagraph"/>
        <w:numPr>
          <w:ilvl w:val="0"/>
          <w:numId w:val="16"/>
        </w:numPr>
        <w:spacing w:line="360" w:lineRule="auto"/>
        <w:rPr>
          <w:color w:val="auto"/>
          <w:sz w:val="26"/>
          <w:szCs w:val="26"/>
        </w:rPr>
      </w:pPr>
      <w:r w:rsidRPr="008E3DAE">
        <w:rPr>
          <w:b/>
          <w:color w:val="auto"/>
          <w:sz w:val="26"/>
          <w:szCs w:val="26"/>
          <w:u w:val="single"/>
        </w:rPr>
        <w:t>Solicitation</w:t>
      </w:r>
      <w:r w:rsidR="00A05F2D" w:rsidRPr="008E3DAE">
        <w:rPr>
          <w:b/>
          <w:color w:val="auto"/>
          <w:sz w:val="26"/>
          <w:szCs w:val="26"/>
          <w:u w:val="single"/>
        </w:rPr>
        <w:t xml:space="preserve"> Process</w:t>
      </w:r>
      <w:r w:rsidR="00A05F2D" w:rsidRPr="008E3DAE">
        <w:rPr>
          <w:color w:val="auto"/>
          <w:sz w:val="26"/>
          <w:szCs w:val="26"/>
        </w:rPr>
        <w:t xml:space="preserve"> - Each solicitation will be conducted quarterly, to be carried</w:t>
      </w:r>
      <w:r w:rsidR="00261AE0" w:rsidRPr="008E3DAE">
        <w:rPr>
          <w:color w:val="auto"/>
          <w:sz w:val="26"/>
          <w:szCs w:val="26"/>
        </w:rPr>
        <w:t xml:space="preserve"> </w:t>
      </w:r>
      <w:r w:rsidR="00A05F2D" w:rsidRPr="008E3DAE">
        <w:rPr>
          <w:color w:val="auto"/>
          <w:sz w:val="26"/>
          <w:szCs w:val="26"/>
        </w:rPr>
        <w:t>out at the same time as solicitations for the full-requirements products for Residential and Small</w:t>
      </w:r>
      <w:r w:rsidR="00261AE0" w:rsidRPr="008E3DAE">
        <w:rPr>
          <w:color w:val="auto"/>
          <w:sz w:val="26"/>
          <w:szCs w:val="26"/>
        </w:rPr>
        <w:t xml:space="preserve"> </w:t>
      </w:r>
      <w:r w:rsidR="00A05F2D" w:rsidRPr="008E3DAE">
        <w:rPr>
          <w:color w:val="auto"/>
          <w:sz w:val="26"/>
          <w:szCs w:val="26"/>
        </w:rPr>
        <w:t>C&amp;I classes as provided by the Settlement.</w:t>
      </w:r>
      <w:r w:rsidR="008A54DD" w:rsidRPr="008E3DAE">
        <w:rPr>
          <w:color w:val="auto"/>
          <w:sz w:val="26"/>
          <w:szCs w:val="26"/>
        </w:rPr>
        <w:t xml:space="preserve"> </w:t>
      </w:r>
      <w:r w:rsidR="00A05F2D" w:rsidRPr="008E3DAE">
        <w:rPr>
          <w:color w:val="auto"/>
          <w:sz w:val="26"/>
          <w:szCs w:val="26"/>
        </w:rPr>
        <w:t xml:space="preserve"> The initial sol</w:t>
      </w:r>
      <w:r w:rsidR="00261AE0" w:rsidRPr="008E3DAE">
        <w:rPr>
          <w:color w:val="auto"/>
          <w:sz w:val="26"/>
          <w:szCs w:val="26"/>
        </w:rPr>
        <w:t xml:space="preserve">icitation will be undertaken in </w:t>
      </w:r>
      <w:r w:rsidR="00A05F2D" w:rsidRPr="008E3DAE">
        <w:rPr>
          <w:color w:val="auto"/>
          <w:sz w:val="26"/>
          <w:szCs w:val="26"/>
        </w:rPr>
        <w:t>October</w:t>
      </w:r>
      <w:r w:rsidR="00261AE0" w:rsidRPr="008E3DAE">
        <w:rPr>
          <w:color w:val="auto"/>
          <w:sz w:val="26"/>
          <w:szCs w:val="26"/>
        </w:rPr>
        <w:t xml:space="preserve"> </w:t>
      </w:r>
      <w:r w:rsidR="00A05F2D" w:rsidRPr="008E3DAE">
        <w:rPr>
          <w:color w:val="auto"/>
          <w:sz w:val="26"/>
          <w:szCs w:val="26"/>
        </w:rPr>
        <w:t>2010.</w:t>
      </w:r>
      <w:r w:rsidR="008A54DD" w:rsidRPr="008E3DAE">
        <w:rPr>
          <w:color w:val="auto"/>
          <w:sz w:val="26"/>
          <w:szCs w:val="26"/>
        </w:rPr>
        <w:t xml:space="preserve"> </w:t>
      </w:r>
      <w:r w:rsidR="00A05F2D" w:rsidRPr="008E3DAE">
        <w:rPr>
          <w:color w:val="auto"/>
          <w:sz w:val="26"/>
          <w:szCs w:val="26"/>
        </w:rPr>
        <w:t xml:space="preserve"> In each solicitation, bidders will be required to provide separate prices for each month in</w:t>
      </w:r>
      <w:r w:rsidR="00261AE0" w:rsidRPr="008E3DAE">
        <w:rPr>
          <w:color w:val="auto"/>
          <w:sz w:val="26"/>
          <w:szCs w:val="26"/>
        </w:rPr>
        <w:t xml:space="preserve"> </w:t>
      </w:r>
      <w:r w:rsidR="00A05F2D" w:rsidRPr="008E3DAE">
        <w:rPr>
          <w:color w:val="auto"/>
          <w:sz w:val="26"/>
          <w:szCs w:val="26"/>
        </w:rPr>
        <w:t>the upcoming quarter.</w:t>
      </w:r>
      <w:r w:rsidR="008A54DD" w:rsidRPr="008E3DAE">
        <w:rPr>
          <w:color w:val="auto"/>
          <w:sz w:val="26"/>
          <w:szCs w:val="26"/>
        </w:rPr>
        <w:t xml:space="preserve"> </w:t>
      </w:r>
      <w:r w:rsidR="00A05F2D" w:rsidRPr="008E3DAE">
        <w:rPr>
          <w:color w:val="auto"/>
          <w:sz w:val="26"/>
          <w:szCs w:val="26"/>
        </w:rPr>
        <w:t xml:space="preserve"> For each RFP Bidder, the Company will calculate a single average bid</w:t>
      </w:r>
      <w:r w:rsidR="00261AE0" w:rsidRPr="008E3DAE">
        <w:rPr>
          <w:color w:val="auto"/>
          <w:sz w:val="26"/>
          <w:szCs w:val="26"/>
        </w:rPr>
        <w:t xml:space="preserve"> </w:t>
      </w:r>
      <w:r w:rsidR="00A05F2D" w:rsidRPr="008E3DAE">
        <w:rPr>
          <w:color w:val="auto"/>
          <w:sz w:val="26"/>
          <w:szCs w:val="26"/>
        </w:rPr>
        <w:t>price, based upon a simple average of the monthly offer prices, for each number of tranches up to</w:t>
      </w:r>
      <w:r w:rsidR="00261AE0" w:rsidRPr="008E3DAE">
        <w:rPr>
          <w:color w:val="auto"/>
          <w:sz w:val="26"/>
          <w:szCs w:val="26"/>
        </w:rPr>
        <w:t xml:space="preserve"> </w:t>
      </w:r>
      <w:r w:rsidR="00A05F2D" w:rsidRPr="008E3DAE">
        <w:rPr>
          <w:color w:val="auto"/>
          <w:sz w:val="26"/>
          <w:szCs w:val="26"/>
        </w:rPr>
        <w:t xml:space="preserve">the total tranches offered. </w:t>
      </w:r>
      <w:r w:rsidR="008A54DD" w:rsidRPr="008E3DAE">
        <w:rPr>
          <w:color w:val="auto"/>
          <w:sz w:val="26"/>
          <w:szCs w:val="26"/>
        </w:rPr>
        <w:t xml:space="preserve"> </w:t>
      </w:r>
      <w:r w:rsidR="00A05F2D" w:rsidRPr="008E3DAE">
        <w:rPr>
          <w:color w:val="auto"/>
          <w:sz w:val="26"/>
          <w:szCs w:val="26"/>
        </w:rPr>
        <w:t>The winning bids will be selected based upon the combination of</w:t>
      </w:r>
      <w:r w:rsidR="00261AE0" w:rsidRPr="008E3DAE">
        <w:rPr>
          <w:color w:val="auto"/>
          <w:sz w:val="26"/>
          <w:szCs w:val="26"/>
        </w:rPr>
        <w:t xml:space="preserve"> </w:t>
      </w:r>
      <w:r w:rsidR="00A05F2D" w:rsidRPr="008E3DAE">
        <w:rPr>
          <w:color w:val="auto"/>
          <w:sz w:val="26"/>
          <w:szCs w:val="26"/>
        </w:rPr>
        <w:t>individually averaged bids with the lowest combination price.</w:t>
      </w:r>
      <w:r w:rsidR="008A54DD" w:rsidRPr="008E3DAE">
        <w:rPr>
          <w:color w:val="auto"/>
          <w:sz w:val="26"/>
          <w:szCs w:val="26"/>
        </w:rPr>
        <w:t xml:space="preserve"> </w:t>
      </w:r>
      <w:r w:rsidR="00A05F2D" w:rsidRPr="008E3DAE">
        <w:rPr>
          <w:color w:val="auto"/>
          <w:sz w:val="26"/>
          <w:szCs w:val="26"/>
        </w:rPr>
        <w:t xml:space="preserve"> Service will be solicited in 100</w:t>
      </w:r>
      <w:r w:rsidR="00261AE0" w:rsidRPr="008E3DAE">
        <w:rPr>
          <w:color w:val="auto"/>
          <w:sz w:val="26"/>
          <w:szCs w:val="26"/>
        </w:rPr>
        <w:t xml:space="preserve"> </w:t>
      </w:r>
      <w:r w:rsidR="00A05F2D" w:rsidRPr="008E3DAE">
        <w:rPr>
          <w:color w:val="auto"/>
          <w:sz w:val="26"/>
          <w:szCs w:val="26"/>
        </w:rPr>
        <w:t xml:space="preserve">MW tranches using the same approach for </w:t>
      </w:r>
      <w:r w:rsidR="00A05F2D" w:rsidRPr="008E3DAE">
        <w:rPr>
          <w:color w:val="auto"/>
          <w:sz w:val="26"/>
          <w:szCs w:val="26"/>
        </w:rPr>
        <w:lastRenderedPageBreak/>
        <w:t>soliciting full-requirements, load-following service</w:t>
      </w:r>
      <w:r w:rsidR="00261AE0" w:rsidRPr="008E3DAE">
        <w:rPr>
          <w:color w:val="auto"/>
          <w:sz w:val="26"/>
          <w:szCs w:val="26"/>
        </w:rPr>
        <w:t xml:space="preserve"> </w:t>
      </w:r>
      <w:r w:rsidR="00A05F2D" w:rsidRPr="008E3DAE">
        <w:rPr>
          <w:color w:val="auto"/>
          <w:sz w:val="26"/>
          <w:szCs w:val="26"/>
        </w:rPr>
        <w:t>for other default service groups.</w:t>
      </w:r>
      <w:r w:rsidR="005818A1" w:rsidRPr="008E3DAE">
        <w:rPr>
          <w:color w:val="auto"/>
          <w:sz w:val="26"/>
          <w:szCs w:val="26"/>
        </w:rPr>
        <w:t xml:space="preserve"> </w:t>
      </w:r>
      <w:r w:rsidR="00A05F2D" w:rsidRPr="008E3DAE">
        <w:rPr>
          <w:color w:val="auto"/>
          <w:sz w:val="26"/>
          <w:szCs w:val="26"/>
        </w:rPr>
        <w:t xml:space="preserve"> Winning bidders will be paid their original, unaveraged prices</w:t>
      </w:r>
      <w:r w:rsidR="00261AE0" w:rsidRPr="008E3DAE">
        <w:rPr>
          <w:color w:val="auto"/>
          <w:sz w:val="26"/>
          <w:szCs w:val="26"/>
        </w:rPr>
        <w:t xml:space="preserve"> for each month of the </w:t>
      </w:r>
      <w:r w:rsidR="00A05F2D" w:rsidRPr="008E3DAE">
        <w:rPr>
          <w:color w:val="auto"/>
          <w:sz w:val="26"/>
          <w:szCs w:val="26"/>
        </w:rPr>
        <w:t>solicitation period.</w:t>
      </w:r>
      <w:r w:rsidR="005818A1" w:rsidRPr="008E3DAE">
        <w:rPr>
          <w:color w:val="auto"/>
          <w:sz w:val="26"/>
          <w:szCs w:val="26"/>
        </w:rPr>
        <w:t xml:space="preserve"> </w:t>
      </w:r>
      <w:r w:rsidR="009A757E">
        <w:rPr>
          <w:color w:val="auto"/>
          <w:sz w:val="26"/>
          <w:szCs w:val="26"/>
        </w:rPr>
        <w:t xml:space="preserve"> If tranches are not full</w:t>
      </w:r>
      <w:r w:rsidR="00A05F2D" w:rsidRPr="008E3DAE">
        <w:rPr>
          <w:color w:val="auto"/>
          <w:sz w:val="26"/>
          <w:szCs w:val="26"/>
        </w:rPr>
        <w:t>y subscribed in any solicitation,</w:t>
      </w:r>
      <w:r w:rsidR="00261AE0" w:rsidRPr="008E3DAE">
        <w:rPr>
          <w:color w:val="auto"/>
          <w:sz w:val="26"/>
          <w:szCs w:val="26"/>
        </w:rPr>
        <w:t xml:space="preserve"> </w:t>
      </w:r>
      <w:r w:rsidR="00A05F2D" w:rsidRPr="008E3DAE">
        <w:rPr>
          <w:color w:val="auto"/>
          <w:sz w:val="26"/>
          <w:szCs w:val="26"/>
        </w:rPr>
        <w:t>the service will not be made available for that quarter.</w:t>
      </w:r>
    </w:p>
    <w:p w:rsidR="00261AE0" w:rsidRPr="00A05F2D" w:rsidRDefault="00261AE0" w:rsidP="0021524F">
      <w:pPr>
        <w:rPr>
          <w:color w:val="auto"/>
          <w:sz w:val="26"/>
          <w:szCs w:val="26"/>
        </w:rPr>
      </w:pPr>
    </w:p>
    <w:p w:rsidR="00A05F2D" w:rsidRPr="008E3DAE" w:rsidRDefault="00A05F2D" w:rsidP="008E3DAE">
      <w:pPr>
        <w:pStyle w:val="ListParagraph"/>
        <w:numPr>
          <w:ilvl w:val="0"/>
          <w:numId w:val="16"/>
        </w:numPr>
        <w:spacing w:line="360" w:lineRule="auto"/>
        <w:rPr>
          <w:color w:val="auto"/>
          <w:sz w:val="26"/>
          <w:szCs w:val="26"/>
        </w:rPr>
      </w:pPr>
      <w:r w:rsidRPr="008E3DAE">
        <w:rPr>
          <w:b/>
          <w:color w:val="auto"/>
          <w:sz w:val="26"/>
          <w:szCs w:val="26"/>
          <w:u w:val="single"/>
        </w:rPr>
        <w:t>Time to Elect Service and Switching Provisions</w:t>
      </w:r>
      <w:r w:rsidRPr="008E3DAE">
        <w:rPr>
          <w:color w:val="auto"/>
          <w:sz w:val="26"/>
          <w:szCs w:val="26"/>
        </w:rPr>
        <w:t xml:space="preserve"> - A customer may elect the</w:t>
      </w:r>
      <w:r w:rsidR="001556B8" w:rsidRPr="008E3DAE">
        <w:rPr>
          <w:color w:val="auto"/>
          <w:sz w:val="26"/>
          <w:szCs w:val="26"/>
        </w:rPr>
        <w:t xml:space="preserve"> </w:t>
      </w:r>
      <w:r w:rsidRPr="008E3DAE">
        <w:rPr>
          <w:color w:val="auto"/>
          <w:sz w:val="26"/>
          <w:szCs w:val="26"/>
        </w:rPr>
        <w:t>service, effective with the next billing cycle beginning 15 days or later from the date of election.</w:t>
      </w:r>
      <w:r w:rsidR="001556B8" w:rsidRPr="008E3DAE">
        <w:rPr>
          <w:color w:val="auto"/>
          <w:sz w:val="26"/>
          <w:szCs w:val="26"/>
        </w:rPr>
        <w:t xml:space="preserve"> </w:t>
      </w:r>
      <w:r w:rsidR="00D92C28" w:rsidRPr="008E3DAE">
        <w:rPr>
          <w:color w:val="auto"/>
          <w:sz w:val="26"/>
          <w:szCs w:val="26"/>
        </w:rPr>
        <w:t xml:space="preserve"> </w:t>
      </w:r>
      <w:r w:rsidRPr="008E3DAE">
        <w:rPr>
          <w:color w:val="auto"/>
          <w:sz w:val="26"/>
          <w:szCs w:val="26"/>
        </w:rPr>
        <w:t>Following election of the Optional Monthly Pricing Servi</w:t>
      </w:r>
      <w:r w:rsidR="001556B8" w:rsidRPr="008E3DAE">
        <w:rPr>
          <w:color w:val="auto"/>
          <w:sz w:val="26"/>
          <w:szCs w:val="26"/>
        </w:rPr>
        <w:t xml:space="preserve">ce, the customer will remain on </w:t>
      </w:r>
      <w:r w:rsidRPr="008E3DAE">
        <w:rPr>
          <w:color w:val="auto"/>
          <w:sz w:val="26"/>
          <w:szCs w:val="26"/>
        </w:rPr>
        <w:t>the</w:t>
      </w:r>
      <w:r w:rsidR="001556B8" w:rsidRPr="008E3DAE">
        <w:rPr>
          <w:color w:val="auto"/>
          <w:sz w:val="26"/>
          <w:szCs w:val="26"/>
        </w:rPr>
        <w:t xml:space="preserve"> </w:t>
      </w:r>
      <w:r w:rsidRPr="008E3DAE">
        <w:rPr>
          <w:color w:val="auto"/>
          <w:sz w:val="26"/>
          <w:szCs w:val="26"/>
        </w:rPr>
        <w:t>Optional Monthly Pricing Service, unless that service becomes unavailable, or until another</w:t>
      </w:r>
      <w:r w:rsidR="001556B8" w:rsidRPr="008E3DAE">
        <w:rPr>
          <w:color w:val="auto"/>
          <w:sz w:val="26"/>
          <w:szCs w:val="26"/>
        </w:rPr>
        <w:t xml:space="preserve"> </w:t>
      </w:r>
      <w:r w:rsidRPr="008E3DAE">
        <w:rPr>
          <w:color w:val="auto"/>
          <w:sz w:val="26"/>
          <w:szCs w:val="26"/>
        </w:rPr>
        <w:t xml:space="preserve">service option is elected and goes into effect. </w:t>
      </w:r>
      <w:r w:rsidR="00D92C28" w:rsidRPr="008E3DAE">
        <w:rPr>
          <w:color w:val="auto"/>
          <w:sz w:val="26"/>
          <w:szCs w:val="26"/>
        </w:rPr>
        <w:t xml:space="preserve"> </w:t>
      </w:r>
      <w:r w:rsidRPr="008E3DAE">
        <w:rPr>
          <w:color w:val="auto"/>
          <w:sz w:val="26"/>
          <w:szCs w:val="26"/>
        </w:rPr>
        <w:t>Customers may switch from the Optional Monthly</w:t>
      </w:r>
      <w:r w:rsidR="001556B8" w:rsidRPr="008E3DAE">
        <w:rPr>
          <w:color w:val="auto"/>
          <w:sz w:val="26"/>
          <w:szCs w:val="26"/>
        </w:rPr>
        <w:t xml:space="preserve"> </w:t>
      </w:r>
      <w:r w:rsidRPr="008E3DAE">
        <w:rPr>
          <w:color w:val="auto"/>
          <w:sz w:val="26"/>
          <w:szCs w:val="26"/>
        </w:rPr>
        <w:t>Pricing Service to service from an Electric Generation Supplier ("EGS") at any time in</w:t>
      </w:r>
      <w:r w:rsidR="001556B8" w:rsidRPr="008E3DAE">
        <w:rPr>
          <w:color w:val="auto"/>
          <w:sz w:val="26"/>
          <w:szCs w:val="26"/>
        </w:rPr>
        <w:t xml:space="preserve"> </w:t>
      </w:r>
      <w:r w:rsidRPr="008E3DAE">
        <w:rPr>
          <w:color w:val="auto"/>
          <w:sz w:val="26"/>
          <w:szCs w:val="26"/>
        </w:rPr>
        <w:t>accordance with the Commission's switching regulations and PPL Electric's tariff provisions</w:t>
      </w:r>
      <w:r w:rsidR="001556B8" w:rsidRPr="008E3DAE">
        <w:rPr>
          <w:color w:val="auto"/>
          <w:sz w:val="26"/>
          <w:szCs w:val="26"/>
        </w:rPr>
        <w:t xml:space="preserve"> </w:t>
      </w:r>
      <w:r w:rsidRPr="008E3DAE">
        <w:rPr>
          <w:color w:val="auto"/>
          <w:sz w:val="26"/>
          <w:szCs w:val="26"/>
        </w:rPr>
        <w:t>related to changing service options.</w:t>
      </w:r>
      <w:r w:rsidR="00D92C28" w:rsidRPr="008E3DAE">
        <w:rPr>
          <w:color w:val="auto"/>
          <w:sz w:val="26"/>
          <w:szCs w:val="26"/>
        </w:rPr>
        <w:t xml:space="preserve"> </w:t>
      </w:r>
      <w:r w:rsidRPr="008E3DAE">
        <w:rPr>
          <w:color w:val="auto"/>
          <w:sz w:val="26"/>
          <w:szCs w:val="26"/>
        </w:rPr>
        <w:t xml:space="preserve"> An eligible customer served by an EGS or served on Hourly</w:t>
      </w:r>
      <w:r w:rsidR="001556B8" w:rsidRPr="008E3DAE">
        <w:rPr>
          <w:color w:val="auto"/>
          <w:sz w:val="26"/>
          <w:szCs w:val="26"/>
        </w:rPr>
        <w:t xml:space="preserve"> </w:t>
      </w:r>
      <w:r w:rsidRPr="008E3DAE">
        <w:rPr>
          <w:color w:val="auto"/>
          <w:sz w:val="26"/>
          <w:szCs w:val="26"/>
        </w:rPr>
        <w:t>Default Service may elect the Optional Monthly Pricing Service, in accordance with switching</w:t>
      </w:r>
      <w:r w:rsidR="001556B8" w:rsidRPr="008E3DAE">
        <w:rPr>
          <w:color w:val="auto"/>
          <w:sz w:val="26"/>
          <w:szCs w:val="26"/>
        </w:rPr>
        <w:t xml:space="preserve"> </w:t>
      </w:r>
      <w:r w:rsidRPr="008E3DAE">
        <w:rPr>
          <w:color w:val="auto"/>
          <w:sz w:val="26"/>
          <w:szCs w:val="26"/>
        </w:rPr>
        <w:t xml:space="preserve">rules. </w:t>
      </w:r>
      <w:r w:rsidR="00D92C28" w:rsidRPr="008E3DAE">
        <w:rPr>
          <w:color w:val="auto"/>
          <w:sz w:val="26"/>
          <w:szCs w:val="26"/>
        </w:rPr>
        <w:t xml:space="preserve"> </w:t>
      </w:r>
      <w:r w:rsidRPr="008E3DAE">
        <w:rPr>
          <w:color w:val="auto"/>
          <w:sz w:val="26"/>
          <w:szCs w:val="26"/>
        </w:rPr>
        <w:t>A customer on the Optional Monthly Pricing Service will not be permitted to switch to the</w:t>
      </w:r>
      <w:r w:rsidR="001556B8" w:rsidRPr="008E3DAE">
        <w:rPr>
          <w:color w:val="auto"/>
          <w:sz w:val="26"/>
          <w:szCs w:val="26"/>
        </w:rPr>
        <w:t xml:space="preserve"> </w:t>
      </w:r>
      <w:r w:rsidRPr="008E3DAE">
        <w:rPr>
          <w:color w:val="auto"/>
          <w:sz w:val="26"/>
          <w:szCs w:val="26"/>
        </w:rPr>
        <w:t>Hourly Default Service until first shopping with an EGS for at least one month; provided,</w:t>
      </w:r>
      <w:r w:rsidR="001556B8" w:rsidRPr="008E3DAE">
        <w:rPr>
          <w:color w:val="auto"/>
          <w:sz w:val="26"/>
          <w:szCs w:val="26"/>
        </w:rPr>
        <w:t xml:space="preserve"> </w:t>
      </w:r>
      <w:r w:rsidRPr="008E3DAE">
        <w:rPr>
          <w:color w:val="auto"/>
          <w:sz w:val="26"/>
          <w:szCs w:val="26"/>
        </w:rPr>
        <w:t>however, that if the Optional Monthly Pricing Service is unavailable because tranches were not</w:t>
      </w:r>
      <w:r w:rsidR="001556B8" w:rsidRPr="008E3DAE">
        <w:rPr>
          <w:color w:val="auto"/>
          <w:sz w:val="26"/>
          <w:szCs w:val="26"/>
        </w:rPr>
        <w:t xml:space="preserve"> </w:t>
      </w:r>
      <w:r w:rsidRPr="008E3DAE">
        <w:rPr>
          <w:color w:val="auto"/>
          <w:sz w:val="26"/>
          <w:szCs w:val="26"/>
        </w:rPr>
        <w:t>fully subscribed, customers on the Optional Monthly Pricing Service, who do not elect an EGS,</w:t>
      </w:r>
      <w:r w:rsidR="001556B8" w:rsidRPr="008E3DAE">
        <w:rPr>
          <w:color w:val="auto"/>
          <w:sz w:val="26"/>
          <w:szCs w:val="26"/>
        </w:rPr>
        <w:t xml:space="preserve"> </w:t>
      </w:r>
      <w:r w:rsidRPr="008E3DAE">
        <w:rPr>
          <w:color w:val="auto"/>
          <w:sz w:val="26"/>
          <w:szCs w:val="26"/>
        </w:rPr>
        <w:t xml:space="preserve">will be switched to the Hourly Default Service. </w:t>
      </w:r>
      <w:r w:rsidR="003E69E6" w:rsidRPr="008E3DAE">
        <w:rPr>
          <w:color w:val="auto"/>
          <w:sz w:val="26"/>
          <w:szCs w:val="26"/>
        </w:rPr>
        <w:t xml:space="preserve"> </w:t>
      </w:r>
      <w:r w:rsidRPr="008E3DAE">
        <w:rPr>
          <w:color w:val="auto"/>
          <w:sz w:val="26"/>
          <w:szCs w:val="26"/>
        </w:rPr>
        <w:t>Thereafter, when the Optional Monthly Pricing</w:t>
      </w:r>
      <w:r w:rsidR="001556B8" w:rsidRPr="008E3DAE">
        <w:rPr>
          <w:color w:val="auto"/>
          <w:sz w:val="26"/>
          <w:szCs w:val="26"/>
        </w:rPr>
        <w:t xml:space="preserve"> </w:t>
      </w:r>
      <w:r w:rsidRPr="008E3DAE">
        <w:rPr>
          <w:color w:val="auto"/>
          <w:sz w:val="26"/>
          <w:szCs w:val="26"/>
        </w:rPr>
        <w:t>Service again becomes available, customers will be required to affirmatively select the service.</w:t>
      </w:r>
    </w:p>
    <w:p w:rsidR="001556B8" w:rsidRPr="00A05F2D" w:rsidRDefault="001556B8" w:rsidP="0021524F">
      <w:pPr>
        <w:rPr>
          <w:color w:val="auto"/>
          <w:sz w:val="26"/>
          <w:szCs w:val="26"/>
        </w:rPr>
      </w:pPr>
    </w:p>
    <w:p w:rsidR="00066337" w:rsidRDefault="00A05F2D" w:rsidP="008E3DAE">
      <w:pPr>
        <w:pStyle w:val="ListParagraph"/>
        <w:numPr>
          <w:ilvl w:val="0"/>
          <w:numId w:val="16"/>
        </w:numPr>
        <w:spacing w:line="360" w:lineRule="auto"/>
        <w:rPr>
          <w:color w:val="auto"/>
          <w:sz w:val="26"/>
          <w:szCs w:val="26"/>
        </w:rPr>
      </w:pPr>
      <w:r w:rsidRPr="008E3DAE">
        <w:rPr>
          <w:b/>
          <w:color w:val="auto"/>
          <w:sz w:val="26"/>
          <w:szCs w:val="26"/>
          <w:u w:val="single"/>
        </w:rPr>
        <w:t>Recovery of Solicitation Costs</w:t>
      </w:r>
      <w:r w:rsidRPr="008E3DAE">
        <w:rPr>
          <w:color w:val="auto"/>
          <w:sz w:val="26"/>
          <w:szCs w:val="26"/>
        </w:rPr>
        <w:t xml:space="preserve"> - The costs incurred by PPL Electric to solicit and</w:t>
      </w:r>
      <w:r w:rsidR="001556B8" w:rsidRPr="008E3DAE">
        <w:rPr>
          <w:color w:val="auto"/>
          <w:sz w:val="26"/>
          <w:szCs w:val="26"/>
        </w:rPr>
        <w:t xml:space="preserve"> </w:t>
      </w:r>
      <w:r w:rsidRPr="008E3DAE">
        <w:rPr>
          <w:color w:val="auto"/>
          <w:sz w:val="26"/>
          <w:szCs w:val="26"/>
        </w:rPr>
        <w:t>procure the Optional Monthly Pricing Service and the Hourly Default Service will be fully</w:t>
      </w:r>
      <w:r w:rsidR="001556B8" w:rsidRPr="008E3DAE">
        <w:rPr>
          <w:color w:val="auto"/>
          <w:sz w:val="26"/>
          <w:szCs w:val="26"/>
        </w:rPr>
        <w:t xml:space="preserve"> </w:t>
      </w:r>
      <w:r w:rsidRPr="008E3DAE">
        <w:rPr>
          <w:color w:val="auto"/>
          <w:sz w:val="26"/>
          <w:szCs w:val="26"/>
        </w:rPr>
        <w:t>recovered from all customers in the Large C&amp;I clas</w:t>
      </w:r>
      <w:r w:rsidR="001556B8" w:rsidRPr="008E3DAE">
        <w:rPr>
          <w:color w:val="auto"/>
          <w:sz w:val="26"/>
          <w:szCs w:val="26"/>
        </w:rPr>
        <w:t xml:space="preserve">s who take the Optional Monthly </w:t>
      </w:r>
      <w:r w:rsidRPr="008E3DAE">
        <w:rPr>
          <w:color w:val="auto"/>
          <w:sz w:val="26"/>
          <w:szCs w:val="26"/>
        </w:rPr>
        <w:t>Pricing</w:t>
      </w:r>
      <w:r w:rsidR="001556B8" w:rsidRPr="008E3DAE">
        <w:rPr>
          <w:color w:val="auto"/>
          <w:sz w:val="26"/>
          <w:szCs w:val="26"/>
        </w:rPr>
        <w:t xml:space="preserve"> </w:t>
      </w:r>
      <w:r w:rsidRPr="008E3DAE">
        <w:rPr>
          <w:color w:val="auto"/>
          <w:sz w:val="26"/>
          <w:szCs w:val="26"/>
        </w:rPr>
        <w:t xml:space="preserve">Service or the Hourly Default Service through a pro rata charge per kWh. </w:t>
      </w:r>
      <w:r w:rsidR="003E69E6" w:rsidRPr="008E3DAE">
        <w:rPr>
          <w:color w:val="auto"/>
          <w:sz w:val="26"/>
          <w:szCs w:val="26"/>
        </w:rPr>
        <w:t xml:space="preserve"> </w:t>
      </w:r>
      <w:r w:rsidRPr="008E3DAE">
        <w:rPr>
          <w:color w:val="auto"/>
          <w:sz w:val="26"/>
          <w:szCs w:val="26"/>
        </w:rPr>
        <w:t>PPL Electric's cost</w:t>
      </w:r>
      <w:r w:rsidR="001556B8" w:rsidRPr="008E3DAE">
        <w:rPr>
          <w:color w:val="auto"/>
          <w:sz w:val="26"/>
          <w:szCs w:val="26"/>
        </w:rPr>
        <w:t xml:space="preserve"> </w:t>
      </w:r>
      <w:r w:rsidRPr="008E3DAE">
        <w:rPr>
          <w:color w:val="auto"/>
          <w:sz w:val="26"/>
          <w:szCs w:val="26"/>
        </w:rPr>
        <w:t>recovery for the Optional Monthly Pricing Service is fully reconcilable.</w:t>
      </w:r>
    </w:p>
    <w:p w:rsidR="00673D32" w:rsidRDefault="00673D32" w:rsidP="0021524F">
      <w:pPr>
        <w:rPr>
          <w:color w:val="auto"/>
          <w:sz w:val="26"/>
          <w:szCs w:val="26"/>
        </w:rPr>
      </w:pPr>
    </w:p>
    <w:p w:rsidR="00673D32" w:rsidRDefault="00673D32" w:rsidP="00C143F4">
      <w:pPr>
        <w:spacing w:line="360" w:lineRule="auto"/>
        <w:rPr>
          <w:color w:val="auto"/>
          <w:sz w:val="26"/>
          <w:szCs w:val="26"/>
        </w:rPr>
      </w:pPr>
      <w:r>
        <w:rPr>
          <w:color w:val="auto"/>
          <w:sz w:val="26"/>
          <w:szCs w:val="26"/>
        </w:rPr>
        <w:tab/>
      </w:r>
      <w:r>
        <w:rPr>
          <w:color w:val="auto"/>
          <w:sz w:val="26"/>
          <w:szCs w:val="26"/>
        </w:rPr>
        <w:tab/>
      </w:r>
      <w:r w:rsidR="00B60C9B">
        <w:rPr>
          <w:color w:val="auto"/>
          <w:sz w:val="26"/>
          <w:szCs w:val="26"/>
        </w:rPr>
        <w:t xml:space="preserve">PPL asserts that its proposed Optional Monthly Pricing Service </w:t>
      </w:r>
      <w:r w:rsidR="00C143F4" w:rsidRPr="00C143F4">
        <w:rPr>
          <w:color w:val="auto"/>
          <w:sz w:val="26"/>
          <w:szCs w:val="26"/>
        </w:rPr>
        <w:t>meets Large C&amp;I customers' desire for an optional fixed-price service from</w:t>
      </w:r>
      <w:r w:rsidR="00B60C9B">
        <w:rPr>
          <w:color w:val="auto"/>
          <w:sz w:val="26"/>
          <w:szCs w:val="26"/>
        </w:rPr>
        <w:t xml:space="preserve"> the Company</w:t>
      </w:r>
      <w:r w:rsidR="00C143F4" w:rsidRPr="00C143F4">
        <w:rPr>
          <w:color w:val="auto"/>
          <w:sz w:val="26"/>
          <w:szCs w:val="26"/>
        </w:rPr>
        <w:t xml:space="preserve"> as an alternative to the hourly-priced default service. </w:t>
      </w:r>
      <w:r w:rsidR="00820021">
        <w:rPr>
          <w:color w:val="auto"/>
          <w:sz w:val="26"/>
          <w:szCs w:val="26"/>
        </w:rPr>
        <w:t xml:space="preserve"> As </w:t>
      </w:r>
      <w:r w:rsidR="00AD4A29">
        <w:rPr>
          <w:color w:val="auto"/>
          <w:sz w:val="26"/>
          <w:szCs w:val="26"/>
        </w:rPr>
        <w:t>PPL</w:t>
      </w:r>
      <w:r w:rsidR="00820021">
        <w:rPr>
          <w:color w:val="auto"/>
          <w:sz w:val="26"/>
          <w:szCs w:val="26"/>
        </w:rPr>
        <w:t xml:space="preserve"> </w:t>
      </w:r>
      <w:r w:rsidR="00777A87">
        <w:rPr>
          <w:color w:val="auto"/>
          <w:sz w:val="26"/>
          <w:szCs w:val="26"/>
        </w:rPr>
        <w:t>explains</w:t>
      </w:r>
      <w:r w:rsidR="00AD4A29">
        <w:rPr>
          <w:color w:val="auto"/>
          <w:sz w:val="26"/>
          <w:szCs w:val="26"/>
        </w:rPr>
        <w:t>, t</w:t>
      </w:r>
      <w:r w:rsidR="00C143F4" w:rsidRPr="00C143F4">
        <w:rPr>
          <w:color w:val="auto"/>
          <w:sz w:val="26"/>
          <w:szCs w:val="26"/>
        </w:rPr>
        <w:t>he monthly price provides</w:t>
      </w:r>
      <w:r w:rsidR="00AD4A29">
        <w:rPr>
          <w:color w:val="auto"/>
          <w:sz w:val="26"/>
          <w:szCs w:val="26"/>
        </w:rPr>
        <w:t xml:space="preserve"> </w:t>
      </w:r>
      <w:r w:rsidR="00C143F4" w:rsidRPr="00C143F4">
        <w:rPr>
          <w:color w:val="auto"/>
          <w:sz w:val="26"/>
          <w:szCs w:val="26"/>
        </w:rPr>
        <w:t>an option for customers who do not want the volatility of hourly default service rates, or who</w:t>
      </w:r>
      <w:r w:rsidR="00AD4A29">
        <w:rPr>
          <w:color w:val="auto"/>
          <w:sz w:val="26"/>
          <w:szCs w:val="26"/>
        </w:rPr>
        <w:t xml:space="preserve"> </w:t>
      </w:r>
      <w:r w:rsidR="00C143F4" w:rsidRPr="00C143F4">
        <w:rPr>
          <w:color w:val="auto"/>
          <w:sz w:val="26"/>
          <w:szCs w:val="26"/>
        </w:rPr>
        <w:t xml:space="preserve">may have lost or are unable to procure fixed service from an EGS. </w:t>
      </w:r>
      <w:r w:rsidR="00AD4A29">
        <w:rPr>
          <w:color w:val="auto"/>
          <w:sz w:val="26"/>
          <w:szCs w:val="26"/>
        </w:rPr>
        <w:t xml:space="preserve"> </w:t>
      </w:r>
      <w:r w:rsidR="00C143F4" w:rsidRPr="00C143F4">
        <w:rPr>
          <w:color w:val="auto"/>
          <w:sz w:val="26"/>
          <w:szCs w:val="26"/>
        </w:rPr>
        <w:t xml:space="preserve">In addition, </w:t>
      </w:r>
      <w:r w:rsidR="00AD4A29">
        <w:rPr>
          <w:color w:val="auto"/>
          <w:sz w:val="26"/>
          <w:szCs w:val="26"/>
        </w:rPr>
        <w:t xml:space="preserve">PPL </w:t>
      </w:r>
      <w:r w:rsidR="00756E19">
        <w:rPr>
          <w:color w:val="auto"/>
          <w:sz w:val="26"/>
          <w:szCs w:val="26"/>
        </w:rPr>
        <w:t xml:space="preserve">states that </w:t>
      </w:r>
      <w:r w:rsidR="00C143F4" w:rsidRPr="00C143F4">
        <w:rPr>
          <w:color w:val="auto"/>
          <w:sz w:val="26"/>
          <w:szCs w:val="26"/>
        </w:rPr>
        <w:t>customers</w:t>
      </w:r>
      <w:r w:rsidR="00756E19">
        <w:rPr>
          <w:color w:val="auto"/>
          <w:sz w:val="26"/>
          <w:szCs w:val="26"/>
        </w:rPr>
        <w:t xml:space="preserve"> </w:t>
      </w:r>
      <w:r w:rsidR="00C143F4" w:rsidRPr="00C143F4">
        <w:rPr>
          <w:color w:val="auto"/>
          <w:sz w:val="26"/>
          <w:szCs w:val="26"/>
        </w:rPr>
        <w:t>indicated a desire for a service that is simple to elect, does not require nomination of service</w:t>
      </w:r>
      <w:r w:rsidR="00756E19">
        <w:rPr>
          <w:color w:val="auto"/>
          <w:sz w:val="26"/>
          <w:szCs w:val="26"/>
        </w:rPr>
        <w:t xml:space="preserve"> quantities, </w:t>
      </w:r>
      <w:r w:rsidR="00C143F4" w:rsidRPr="00C143F4">
        <w:rPr>
          <w:color w:val="auto"/>
          <w:sz w:val="26"/>
          <w:szCs w:val="26"/>
        </w:rPr>
        <w:t xml:space="preserve">and that does not restrict ability to select other energy supply products. </w:t>
      </w:r>
      <w:r w:rsidR="00820021">
        <w:rPr>
          <w:color w:val="auto"/>
          <w:sz w:val="26"/>
          <w:szCs w:val="26"/>
        </w:rPr>
        <w:t xml:space="preserve"> PPL asserts</w:t>
      </w:r>
      <w:r w:rsidR="00756E19">
        <w:rPr>
          <w:color w:val="auto"/>
          <w:sz w:val="26"/>
          <w:szCs w:val="26"/>
        </w:rPr>
        <w:t xml:space="preserve"> that t</w:t>
      </w:r>
      <w:r w:rsidR="00C143F4" w:rsidRPr="00C143F4">
        <w:rPr>
          <w:color w:val="auto"/>
          <w:sz w:val="26"/>
          <w:szCs w:val="26"/>
        </w:rPr>
        <w:t>he latter</w:t>
      </w:r>
      <w:r w:rsidR="00756E19">
        <w:rPr>
          <w:color w:val="auto"/>
          <w:sz w:val="26"/>
          <w:szCs w:val="26"/>
        </w:rPr>
        <w:t xml:space="preserve"> </w:t>
      </w:r>
      <w:r w:rsidR="00C143F4" w:rsidRPr="00C143F4">
        <w:rPr>
          <w:color w:val="auto"/>
          <w:sz w:val="26"/>
          <w:szCs w:val="26"/>
        </w:rPr>
        <w:t>point also is important to EGSs, who do n</w:t>
      </w:r>
      <w:r w:rsidR="00756E19">
        <w:rPr>
          <w:color w:val="auto"/>
          <w:sz w:val="26"/>
          <w:szCs w:val="26"/>
        </w:rPr>
        <w:t>ot want customers committed to l</w:t>
      </w:r>
      <w:r w:rsidR="00C143F4" w:rsidRPr="00C143F4">
        <w:rPr>
          <w:color w:val="auto"/>
          <w:sz w:val="26"/>
          <w:szCs w:val="26"/>
        </w:rPr>
        <w:t>ong-term service</w:t>
      </w:r>
      <w:r w:rsidR="00756E19">
        <w:rPr>
          <w:color w:val="auto"/>
          <w:sz w:val="26"/>
          <w:szCs w:val="26"/>
        </w:rPr>
        <w:t xml:space="preserve"> </w:t>
      </w:r>
      <w:r w:rsidR="00C143F4" w:rsidRPr="00C143F4">
        <w:rPr>
          <w:color w:val="auto"/>
          <w:sz w:val="26"/>
          <w:szCs w:val="26"/>
        </w:rPr>
        <w:t>arrangements with the Company.</w:t>
      </w:r>
    </w:p>
    <w:p w:rsidR="005F1379" w:rsidRDefault="005F1379" w:rsidP="0021524F">
      <w:pPr>
        <w:rPr>
          <w:color w:val="auto"/>
          <w:sz w:val="26"/>
          <w:szCs w:val="26"/>
        </w:rPr>
      </w:pPr>
    </w:p>
    <w:p w:rsidR="005F1379" w:rsidRPr="005F1379" w:rsidRDefault="005F1379" w:rsidP="005F1379">
      <w:pPr>
        <w:spacing w:line="360" w:lineRule="auto"/>
        <w:rPr>
          <w:color w:val="auto"/>
          <w:sz w:val="26"/>
          <w:szCs w:val="26"/>
        </w:rPr>
      </w:pPr>
      <w:r>
        <w:rPr>
          <w:color w:val="auto"/>
          <w:sz w:val="26"/>
          <w:szCs w:val="26"/>
        </w:rPr>
        <w:tab/>
      </w:r>
      <w:r>
        <w:rPr>
          <w:color w:val="auto"/>
          <w:sz w:val="26"/>
          <w:szCs w:val="26"/>
        </w:rPr>
        <w:tab/>
        <w:t xml:space="preserve">PPL states that in designing the optional service, it </w:t>
      </w:r>
      <w:r w:rsidRPr="005F1379">
        <w:rPr>
          <w:color w:val="auto"/>
          <w:sz w:val="26"/>
          <w:szCs w:val="26"/>
        </w:rPr>
        <w:t>took into account the</w:t>
      </w:r>
    </w:p>
    <w:p w:rsidR="005F1379" w:rsidRDefault="005F1379" w:rsidP="005F1379">
      <w:pPr>
        <w:spacing w:line="360" w:lineRule="auto"/>
        <w:rPr>
          <w:color w:val="auto"/>
          <w:sz w:val="26"/>
          <w:szCs w:val="26"/>
        </w:rPr>
      </w:pPr>
      <w:r w:rsidRPr="005F1379">
        <w:rPr>
          <w:color w:val="auto"/>
          <w:sz w:val="26"/>
          <w:szCs w:val="26"/>
        </w:rPr>
        <w:t>DSP Settlement condition</w:t>
      </w:r>
      <w:r>
        <w:rPr>
          <w:color w:val="auto"/>
          <w:sz w:val="26"/>
          <w:szCs w:val="26"/>
        </w:rPr>
        <w:t xml:space="preserve"> that the service be a load-follo</w:t>
      </w:r>
      <w:r w:rsidRPr="005F1379">
        <w:rPr>
          <w:color w:val="auto"/>
          <w:sz w:val="26"/>
          <w:szCs w:val="26"/>
        </w:rPr>
        <w:t>wing</w:t>
      </w:r>
      <w:r>
        <w:rPr>
          <w:color w:val="auto"/>
          <w:sz w:val="26"/>
          <w:szCs w:val="26"/>
        </w:rPr>
        <w:t xml:space="preserve">, full-requirements product, which </w:t>
      </w:r>
      <w:r w:rsidRPr="005F1379">
        <w:rPr>
          <w:color w:val="auto"/>
          <w:sz w:val="26"/>
          <w:szCs w:val="26"/>
        </w:rPr>
        <w:t>simplifies pricing, and substantially eliminates the risk of</w:t>
      </w:r>
      <w:r>
        <w:rPr>
          <w:color w:val="auto"/>
          <w:sz w:val="26"/>
          <w:szCs w:val="26"/>
        </w:rPr>
        <w:t xml:space="preserve"> </w:t>
      </w:r>
      <w:r w:rsidRPr="005F1379">
        <w:rPr>
          <w:color w:val="auto"/>
          <w:sz w:val="26"/>
          <w:szCs w:val="26"/>
        </w:rPr>
        <w:t xml:space="preserve">over/undercollections that would arise if block and spot </w:t>
      </w:r>
      <w:r>
        <w:rPr>
          <w:color w:val="auto"/>
          <w:sz w:val="26"/>
          <w:szCs w:val="26"/>
        </w:rPr>
        <w:t xml:space="preserve">products were acquired to serve </w:t>
      </w:r>
      <w:r w:rsidRPr="005F1379">
        <w:rPr>
          <w:color w:val="auto"/>
          <w:sz w:val="26"/>
          <w:szCs w:val="26"/>
        </w:rPr>
        <w:t>an</w:t>
      </w:r>
      <w:r>
        <w:rPr>
          <w:color w:val="auto"/>
          <w:sz w:val="26"/>
          <w:szCs w:val="26"/>
        </w:rPr>
        <w:t xml:space="preserve"> </w:t>
      </w:r>
      <w:r w:rsidRPr="005F1379">
        <w:rPr>
          <w:color w:val="auto"/>
          <w:sz w:val="26"/>
          <w:szCs w:val="26"/>
        </w:rPr>
        <w:t>undefined load.</w:t>
      </w:r>
      <w:r>
        <w:rPr>
          <w:color w:val="auto"/>
          <w:sz w:val="26"/>
          <w:szCs w:val="26"/>
        </w:rPr>
        <w:t xml:space="preserve"> </w:t>
      </w:r>
      <w:r w:rsidRPr="005F1379">
        <w:rPr>
          <w:color w:val="auto"/>
          <w:sz w:val="26"/>
          <w:szCs w:val="26"/>
        </w:rPr>
        <w:t xml:space="preserve"> </w:t>
      </w:r>
      <w:r w:rsidR="00CD68E3">
        <w:rPr>
          <w:color w:val="auto"/>
          <w:sz w:val="26"/>
          <w:szCs w:val="26"/>
        </w:rPr>
        <w:t xml:space="preserve"> PPL asserts that t</w:t>
      </w:r>
      <w:r w:rsidRPr="005F1379">
        <w:rPr>
          <w:color w:val="auto"/>
          <w:sz w:val="26"/>
          <w:szCs w:val="26"/>
        </w:rPr>
        <w:t>his is particularly a concern for the Large C&amp;I customer market, where</w:t>
      </w:r>
      <w:r w:rsidR="00CD68E3">
        <w:rPr>
          <w:color w:val="auto"/>
          <w:sz w:val="26"/>
          <w:szCs w:val="26"/>
        </w:rPr>
        <w:t xml:space="preserve"> </w:t>
      </w:r>
      <w:r w:rsidRPr="005F1379">
        <w:rPr>
          <w:color w:val="auto"/>
          <w:sz w:val="26"/>
          <w:szCs w:val="26"/>
        </w:rPr>
        <w:t>substantial shopping is expected, but load swings from a small number of customers could result</w:t>
      </w:r>
      <w:r w:rsidR="00CD68E3">
        <w:rPr>
          <w:color w:val="auto"/>
          <w:sz w:val="26"/>
          <w:szCs w:val="26"/>
        </w:rPr>
        <w:t xml:space="preserve"> </w:t>
      </w:r>
      <w:r w:rsidRPr="005F1379">
        <w:rPr>
          <w:color w:val="auto"/>
          <w:sz w:val="26"/>
          <w:szCs w:val="26"/>
        </w:rPr>
        <w:t>in actual usage</w:t>
      </w:r>
      <w:r w:rsidR="00CD68E3">
        <w:rPr>
          <w:color w:val="auto"/>
          <w:sz w:val="26"/>
          <w:szCs w:val="26"/>
        </w:rPr>
        <w:t xml:space="preserve"> that is substantially d</w:t>
      </w:r>
      <w:r w:rsidRPr="005F1379">
        <w:rPr>
          <w:color w:val="auto"/>
          <w:sz w:val="26"/>
          <w:szCs w:val="26"/>
        </w:rPr>
        <w:t xml:space="preserve">ifferent from projections. </w:t>
      </w:r>
      <w:r w:rsidR="00CD68E3">
        <w:rPr>
          <w:color w:val="auto"/>
          <w:sz w:val="26"/>
          <w:szCs w:val="26"/>
        </w:rPr>
        <w:t xml:space="preserve"> </w:t>
      </w:r>
      <w:r w:rsidRPr="005F1379">
        <w:rPr>
          <w:color w:val="auto"/>
          <w:sz w:val="26"/>
          <w:szCs w:val="26"/>
        </w:rPr>
        <w:t xml:space="preserve">At the same time, </w:t>
      </w:r>
      <w:r w:rsidR="00CD68E3">
        <w:rPr>
          <w:color w:val="auto"/>
          <w:sz w:val="26"/>
          <w:szCs w:val="26"/>
        </w:rPr>
        <w:t xml:space="preserve">PPL contends that </w:t>
      </w:r>
      <w:r w:rsidRPr="005F1379">
        <w:rPr>
          <w:color w:val="auto"/>
          <w:sz w:val="26"/>
          <w:szCs w:val="26"/>
        </w:rPr>
        <w:t>monthly pricing and</w:t>
      </w:r>
      <w:r w:rsidR="00CD68E3">
        <w:rPr>
          <w:color w:val="auto"/>
          <w:sz w:val="26"/>
          <w:szCs w:val="26"/>
        </w:rPr>
        <w:t xml:space="preserve"> </w:t>
      </w:r>
      <w:r w:rsidRPr="005F1379">
        <w:rPr>
          <w:color w:val="auto"/>
          <w:sz w:val="26"/>
          <w:szCs w:val="26"/>
        </w:rPr>
        <w:t>solicitation in multiple tranches somewhat moderates and spreads the risk of such swings among</w:t>
      </w:r>
      <w:r w:rsidR="00CD68E3">
        <w:rPr>
          <w:color w:val="auto"/>
          <w:sz w:val="26"/>
          <w:szCs w:val="26"/>
        </w:rPr>
        <w:t xml:space="preserve"> </w:t>
      </w:r>
      <w:r w:rsidRPr="005F1379">
        <w:rPr>
          <w:color w:val="auto"/>
          <w:sz w:val="26"/>
          <w:szCs w:val="26"/>
        </w:rPr>
        <w:t>multiple bidders, as compared to a price that is fixed for a full quarter</w:t>
      </w:r>
      <w:r w:rsidR="00CD68E3">
        <w:rPr>
          <w:color w:val="auto"/>
          <w:sz w:val="26"/>
          <w:szCs w:val="26"/>
        </w:rPr>
        <w:t>,</w:t>
      </w:r>
      <w:r w:rsidRPr="005F1379">
        <w:rPr>
          <w:color w:val="auto"/>
          <w:sz w:val="26"/>
          <w:szCs w:val="26"/>
        </w:rPr>
        <w:t xml:space="preserve"> and a solicitation that</w:t>
      </w:r>
      <w:r w:rsidR="00CD68E3">
        <w:rPr>
          <w:color w:val="auto"/>
          <w:sz w:val="26"/>
          <w:szCs w:val="26"/>
        </w:rPr>
        <w:t xml:space="preserve"> </w:t>
      </w:r>
      <w:r w:rsidRPr="005F1379">
        <w:rPr>
          <w:color w:val="auto"/>
          <w:sz w:val="26"/>
          <w:szCs w:val="26"/>
        </w:rPr>
        <w:t>chooses only a single winning bidder.</w:t>
      </w:r>
    </w:p>
    <w:p w:rsidR="00AC46FE" w:rsidRDefault="00AC46FE" w:rsidP="0021524F">
      <w:pPr>
        <w:rPr>
          <w:color w:val="auto"/>
          <w:sz w:val="26"/>
          <w:szCs w:val="26"/>
        </w:rPr>
      </w:pPr>
    </w:p>
    <w:p w:rsidR="00AC46FE" w:rsidRDefault="00AC46FE" w:rsidP="00AC46FE">
      <w:pPr>
        <w:spacing w:line="360" w:lineRule="auto"/>
        <w:rPr>
          <w:color w:val="auto"/>
          <w:sz w:val="26"/>
          <w:szCs w:val="26"/>
        </w:rPr>
      </w:pPr>
      <w:r>
        <w:rPr>
          <w:color w:val="auto"/>
          <w:sz w:val="26"/>
          <w:szCs w:val="26"/>
        </w:rPr>
        <w:tab/>
      </w:r>
      <w:r>
        <w:rPr>
          <w:color w:val="auto"/>
          <w:sz w:val="26"/>
          <w:szCs w:val="26"/>
        </w:rPr>
        <w:tab/>
      </w:r>
      <w:r w:rsidR="0079510E">
        <w:rPr>
          <w:color w:val="auto"/>
          <w:sz w:val="26"/>
          <w:szCs w:val="26"/>
        </w:rPr>
        <w:t>PPL explains that t</w:t>
      </w:r>
      <w:r w:rsidRPr="00AC46FE">
        <w:rPr>
          <w:color w:val="auto"/>
          <w:sz w:val="26"/>
          <w:szCs w:val="26"/>
        </w:rPr>
        <w:t>he provisions for switching between the Hourly Default Service and the Optional</w:t>
      </w:r>
      <w:r w:rsidR="0079510E">
        <w:rPr>
          <w:color w:val="auto"/>
          <w:sz w:val="26"/>
          <w:szCs w:val="26"/>
        </w:rPr>
        <w:t xml:space="preserve"> </w:t>
      </w:r>
      <w:r w:rsidRPr="00AC46FE">
        <w:rPr>
          <w:color w:val="auto"/>
          <w:sz w:val="26"/>
          <w:szCs w:val="26"/>
        </w:rPr>
        <w:t>Monthly Pricing Service reflect a compromise of competing concerns.</w:t>
      </w:r>
      <w:r w:rsidR="0079510E">
        <w:rPr>
          <w:color w:val="auto"/>
          <w:sz w:val="26"/>
          <w:szCs w:val="26"/>
        </w:rPr>
        <w:t xml:space="preserve"> </w:t>
      </w:r>
      <w:r w:rsidRPr="00AC46FE">
        <w:rPr>
          <w:color w:val="auto"/>
          <w:sz w:val="26"/>
          <w:szCs w:val="26"/>
        </w:rPr>
        <w:t xml:space="preserve"> On the one hand, Large</w:t>
      </w:r>
      <w:r w:rsidR="0079510E">
        <w:rPr>
          <w:color w:val="auto"/>
          <w:sz w:val="26"/>
          <w:szCs w:val="26"/>
        </w:rPr>
        <w:t xml:space="preserve"> </w:t>
      </w:r>
      <w:r w:rsidRPr="00AC46FE">
        <w:rPr>
          <w:color w:val="auto"/>
          <w:sz w:val="26"/>
          <w:szCs w:val="26"/>
        </w:rPr>
        <w:t>C&amp;I customers proposed that they be able to switch from the Hourly Default Service to the</w:t>
      </w:r>
      <w:r w:rsidR="0079510E">
        <w:rPr>
          <w:color w:val="auto"/>
          <w:sz w:val="26"/>
          <w:szCs w:val="26"/>
        </w:rPr>
        <w:t xml:space="preserve"> </w:t>
      </w:r>
      <w:r w:rsidRPr="00AC46FE">
        <w:rPr>
          <w:color w:val="auto"/>
          <w:sz w:val="26"/>
          <w:szCs w:val="26"/>
        </w:rPr>
        <w:t xml:space="preserve">Optional Monthly Pricing </w:t>
      </w:r>
      <w:r w:rsidR="00E40D4F">
        <w:rPr>
          <w:color w:val="auto"/>
          <w:sz w:val="26"/>
          <w:szCs w:val="26"/>
        </w:rPr>
        <w:t>due to a concern that they might be</w:t>
      </w:r>
      <w:r w:rsidRPr="00AC46FE">
        <w:rPr>
          <w:color w:val="auto"/>
          <w:sz w:val="26"/>
          <w:szCs w:val="26"/>
        </w:rPr>
        <w:t xml:space="preserve"> placed on the Hourly Default Service as a "default" from an EGS after the 15-day</w:t>
      </w:r>
      <w:r w:rsidR="004A4667">
        <w:rPr>
          <w:color w:val="auto"/>
          <w:sz w:val="26"/>
          <w:szCs w:val="26"/>
        </w:rPr>
        <w:t xml:space="preserve"> </w:t>
      </w:r>
      <w:r w:rsidRPr="00AC46FE">
        <w:rPr>
          <w:color w:val="auto"/>
          <w:sz w:val="26"/>
          <w:szCs w:val="26"/>
        </w:rPr>
        <w:t xml:space="preserve">monthly window to elect the Optional Monthly Pricing Service, or because they </w:t>
      </w:r>
      <w:r w:rsidRPr="00AC46FE">
        <w:rPr>
          <w:color w:val="auto"/>
          <w:sz w:val="26"/>
          <w:szCs w:val="26"/>
        </w:rPr>
        <w:lastRenderedPageBreak/>
        <w:t>failed to</w:t>
      </w:r>
      <w:r w:rsidR="004A4667">
        <w:rPr>
          <w:color w:val="auto"/>
          <w:sz w:val="26"/>
          <w:szCs w:val="26"/>
        </w:rPr>
        <w:t xml:space="preserve"> </w:t>
      </w:r>
      <w:r w:rsidRPr="00AC46FE">
        <w:rPr>
          <w:color w:val="auto"/>
          <w:sz w:val="26"/>
          <w:szCs w:val="26"/>
        </w:rPr>
        <w:t>consider the optional service initially.</w:t>
      </w:r>
      <w:r w:rsidR="004A4667">
        <w:rPr>
          <w:color w:val="auto"/>
          <w:sz w:val="26"/>
          <w:szCs w:val="26"/>
        </w:rPr>
        <w:t xml:space="preserve"> </w:t>
      </w:r>
      <w:r w:rsidR="008D154E">
        <w:rPr>
          <w:color w:val="auto"/>
          <w:sz w:val="26"/>
          <w:szCs w:val="26"/>
        </w:rPr>
        <w:t xml:space="preserve"> On the other hand, </w:t>
      </w:r>
      <w:r w:rsidR="00BB0405">
        <w:rPr>
          <w:color w:val="auto"/>
          <w:sz w:val="26"/>
          <w:szCs w:val="26"/>
        </w:rPr>
        <w:t>PPL argues</w:t>
      </w:r>
      <w:r w:rsidR="008D154E">
        <w:rPr>
          <w:color w:val="auto"/>
          <w:sz w:val="26"/>
          <w:szCs w:val="26"/>
        </w:rPr>
        <w:t xml:space="preserve"> that</w:t>
      </w:r>
      <w:r w:rsidRPr="00AC46FE">
        <w:rPr>
          <w:color w:val="auto"/>
          <w:sz w:val="26"/>
          <w:szCs w:val="26"/>
        </w:rPr>
        <w:t xml:space="preserve"> it would not be fair to</w:t>
      </w:r>
      <w:r w:rsidR="008D154E">
        <w:rPr>
          <w:color w:val="auto"/>
          <w:sz w:val="26"/>
          <w:szCs w:val="26"/>
        </w:rPr>
        <w:t xml:space="preserve"> </w:t>
      </w:r>
      <w:r w:rsidRPr="00AC46FE">
        <w:rPr>
          <w:color w:val="auto"/>
          <w:sz w:val="26"/>
          <w:szCs w:val="26"/>
        </w:rPr>
        <w:t>bidders providing supply to either the Hourly Default Service or the Optional Monthly Pricing</w:t>
      </w:r>
      <w:r w:rsidR="006B76B8">
        <w:rPr>
          <w:color w:val="auto"/>
          <w:sz w:val="26"/>
          <w:szCs w:val="26"/>
        </w:rPr>
        <w:t xml:space="preserve"> </w:t>
      </w:r>
      <w:r w:rsidRPr="00AC46FE">
        <w:rPr>
          <w:color w:val="auto"/>
          <w:sz w:val="26"/>
          <w:szCs w:val="26"/>
        </w:rPr>
        <w:t xml:space="preserve">Service for customers to be able to freely switch between the two products. </w:t>
      </w:r>
      <w:r w:rsidR="00BB0405">
        <w:rPr>
          <w:color w:val="auto"/>
          <w:sz w:val="26"/>
          <w:szCs w:val="26"/>
        </w:rPr>
        <w:t xml:space="preserve"> </w:t>
      </w:r>
      <w:r w:rsidRPr="00AC46FE">
        <w:rPr>
          <w:color w:val="auto"/>
          <w:sz w:val="26"/>
          <w:szCs w:val="26"/>
        </w:rPr>
        <w:t xml:space="preserve">Therefore, </w:t>
      </w:r>
      <w:r w:rsidR="00BB0405">
        <w:rPr>
          <w:color w:val="auto"/>
          <w:sz w:val="26"/>
          <w:szCs w:val="26"/>
        </w:rPr>
        <w:t xml:space="preserve">under PPL’s proposal, </w:t>
      </w:r>
      <w:r w:rsidRPr="00AC46FE">
        <w:rPr>
          <w:color w:val="auto"/>
          <w:sz w:val="26"/>
          <w:szCs w:val="26"/>
        </w:rPr>
        <w:t>once a</w:t>
      </w:r>
      <w:r w:rsidR="00BB0405">
        <w:rPr>
          <w:color w:val="auto"/>
          <w:sz w:val="26"/>
          <w:szCs w:val="26"/>
        </w:rPr>
        <w:t xml:space="preserve"> </w:t>
      </w:r>
      <w:r w:rsidRPr="00AC46FE">
        <w:rPr>
          <w:color w:val="auto"/>
          <w:sz w:val="26"/>
          <w:szCs w:val="26"/>
        </w:rPr>
        <w:t>customer elects the Optio</w:t>
      </w:r>
      <w:r w:rsidR="00BB0405">
        <w:rPr>
          <w:color w:val="auto"/>
          <w:sz w:val="26"/>
          <w:szCs w:val="26"/>
        </w:rPr>
        <w:t xml:space="preserve">nal Monthly Pricing Service, it </w:t>
      </w:r>
      <w:r w:rsidRPr="00AC46FE">
        <w:rPr>
          <w:color w:val="auto"/>
          <w:sz w:val="26"/>
          <w:szCs w:val="26"/>
        </w:rPr>
        <w:t>may only switch to the Hourly Default</w:t>
      </w:r>
      <w:r w:rsidR="00BB0405">
        <w:rPr>
          <w:color w:val="auto"/>
          <w:sz w:val="26"/>
          <w:szCs w:val="26"/>
        </w:rPr>
        <w:t xml:space="preserve"> </w:t>
      </w:r>
      <w:r w:rsidRPr="00AC46FE">
        <w:rPr>
          <w:color w:val="auto"/>
          <w:sz w:val="26"/>
          <w:szCs w:val="26"/>
        </w:rPr>
        <w:t>Service if it first shops with an EGS for at least one month, unless the customer is switched to</w:t>
      </w:r>
      <w:r w:rsidR="00BB0405">
        <w:rPr>
          <w:color w:val="auto"/>
          <w:sz w:val="26"/>
          <w:szCs w:val="26"/>
        </w:rPr>
        <w:t xml:space="preserve"> </w:t>
      </w:r>
      <w:r w:rsidRPr="00AC46FE">
        <w:rPr>
          <w:color w:val="auto"/>
          <w:sz w:val="26"/>
          <w:szCs w:val="26"/>
        </w:rPr>
        <w:t>Hourly Default Service in the event the Optional Monthly Pricing Service is unavailable in any</w:t>
      </w:r>
      <w:r w:rsidR="00BB0405">
        <w:rPr>
          <w:color w:val="auto"/>
          <w:sz w:val="26"/>
          <w:szCs w:val="26"/>
        </w:rPr>
        <w:t xml:space="preserve"> </w:t>
      </w:r>
      <w:r w:rsidRPr="00AC46FE">
        <w:rPr>
          <w:color w:val="auto"/>
          <w:sz w:val="26"/>
          <w:szCs w:val="26"/>
        </w:rPr>
        <w:t>quarter.</w:t>
      </w:r>
    </w:p>
    <w:p w:rsidR="00B91DAF" w:rsidRDefault="00B91DAF" w:rsidP="0021524F">
      <w:pPr>
        <w:rPr>
          <w:color w:val="auto"/>
          <w:sz w:val="26"/>
          <w:szCs w:val="26"/>
        </w:rPr>
      </w:pPr>
    </w:p>
    <w:p w:rsidR="00B91DAF" w:rsidRDefault="00B91DAF" w:rsidP="00B91DAF">
      <w:pPr>
        <w:spacing w:line="360" w:lineRule="auto"/>
        <w:rPr>
          <w:color w:val="auto"/>
          <w:sz w:val="26"/>
          <w:szCs w:val="26"/>
        </w:rPr>
      </w:pPr>
      <w:r>
        <w:rPr>
          <w:color w:val="auto"/>
          <w:sz w:val="26"/>
          <w:szCs w:val="26"/>
        </w:rPr>
        <w:tab/>
      </w:r>
      <w:r>
        <w:rPr>
          <w:color w:val="auto"/>
          <w:sz w:val="26"/>
          <w:szCs w:val="26"/>
        </w:rPr>
        <w:tab/>
        <w:t>Finally, PPL notes that it</w:t>
      </w:r>
      <w:r w:rsidRPr="00B91DAF">
        <w:rPr>
          <w:color w:val="auto"/>
          <w:sz w:val="26"/>
          <w:szCs w:val="26"/>
        </w:rPr>
        <w:t xml:space="preserve"> will incur costs to undertake the solicitations for both the Hourly</w:t>
      </w:r>
      <w:r>
        <w:rPr>
          <w:color w:val="auto"/>
          <w:sz w:val="26"/>
          <w:szCs w:val="26"/>
        </w:rPr>
        <w:t xml:space="preserve"> </w:t>
      </w:r>
      <w:r w:rsidRPr="00B91DAF">
        <w:rPr>
          <w:color w:val="auto"/>
          <w:sz w:val="26"/>
          <w:szCs w:val="26"/>
        </w:rPr>
        <w:t>Default Service and the Optional Monthly Pricing Service.</w:t>
      </w:r>
      <w:r>
        <w:rPr>
          <w:color w:val="auto"/>
          <w:sz w:val="26"/>
          <w:szCs w:val="26"/>
        </w:rPr>
        <w:t xml:space="preserve"> </w:t>
      </w:r>
      <w:r w:rsidRPr="00B91DAF">
        <w:rPr>
          <w:color w:val="auto"/>
          <w:sz w:val="26"/>
          <w:szCs w:val="26"/>
        </w:rPr>
        <w:t xml:space="preserve"> </w:t>
      </w:r>
      <w:r w:rsidR="00BA5978">
        <w:rPr>
          <w:color w:val="auto"/>
          <w:sz w:val="26"/>
          <w:szCs w:val="26"/>
        </w:rPr>
        <w:t>PPL states that i</w:t>
      </w:r>
      <w:r w:rsidRPr="00B91DAF">
        <w:rPr>
          <w:color w:val="auto"/>
          <w:sz w:val="26"/>
          <w:szCs w:val="26"/>
        </w:rPr>
        <w:t>t is unknown to what extent</w:t>
      </w:r>
      <w:r>
        <w:rPr>
          <w:color w:val="auto"/>
          <w:sz w:val="26"/>
          <w:szCs w:val="26"/>
        </w:rPr>
        <w:t xml:space="preserve"> </w:t>
      </w:r>
      <w:r w:rsidRPr="00B91DAF">
        <w:rPr>
          <w:color w:val="auto"/>
          <w:sz w:val="26"/>
          <w:szCs w:val="26"/>
        </w:rPr>
        <w:t>customers will elect these two services, and within the limits of switching provisions described</w:t>
      </w:r>
      <w:r>
        <w:rPr>
          <w:color w:val="auto"/>
          <w:sz w:val="26"/>
          <w:szCs w:val="26"/>
        </w:rPr>
        <w:t xml:space="preserve"> </w:t>
      </w:r>
      <w:r w:rsidRPr="00B91DAF">
        <w:rPr>
          <w:color w:val="auto"/>
          <w:sz w:val="26"/>
          <w:szCs w:val="26"/>
        </w:rPr>
        <w:t xml:space="preserve">above, customers may move between the two services. </w:t>
      </w:r>
      <w:r w:rsidR="004211FC">
        <w:rPr>
          <w:color w:val="auto"/>
          <w:sz w:val="26"/>
          <w:szCs w:val="26"/>
        </w:rPr>
        <w:t xml:space="preserve"> Therefore, t</w:t>
      </w:r>
      <w:r w:rsidRPr="00B91DAF">
        <w:rPr>
          <w:color w:val="auto"/>
          <w:sz w:val="26"/>
          <w:szCs w:val="26"/>
        </w:rPr>
        <w:t>o avoid the potential for customers</w:t>
      </w:r>
      <w:r>
        <w:rPr>
          <w:color w:val="auto"/>
          <w:sz w:val="26"/>
          <w:szCs w:val="26"/>
        </w:rPr>
        <w:t xml:space="preserve"> </w:t>
      </w:r>
      <w:r w:rsidRPr="00B91DAF">
        <w:rPr>
          <w:color w:val="auto"/>
          <w:sz w:val="26"/>
          <w:szCs w:val="26"/>
        </w:rPr>
        <w:t>making a service choice based upon the relative effect upon rates resulting from solicitation</w:t>
      </w:r>
      <w:r>
        <w:rPr>
          <w:color w:val="auto"/>
          <w:sz w:val="26"/>
          <w:szCs w:val="26"/>
        </w:rPr>
        <w:t xml:space="preserve"> </w:t>
      </w:r>
      <w:r w:rsidRPr="00B91DAF">
        <w:rPr>
          <w:color w:val="auto"/>
          <w:sz w:val="26"/>
          <w:szCs w:val="26"/>
        </w:rPr>
        <w:t>costs, and to provide for full recovery of costs as provided by law and the DSP Settlement, PPL</w:t>
      </w:r>
      <w:r w:rsidR="004211FC">
        <w:rPr>
          <w:color w:val="auto"/>
          <w:sz w:val="26"/>
          <w:szCs w:val="26"/>
        </w:rPr>
        <w:t xml:space="preserve"> is proposing to </w:t>
      </w:r>
      <w:r w:rsidRPr="00B91DAF">
        <w:rPr>
          <w:color w:val="auto"/>
          <w:sz w:val="26"/>
          <w:szCs w:val="26"/>
        </w:rPr>
        <w:t>recover the costs of solicitations for both Hourly Default Service and Optional</w:t>
      </w:r>
      <w:r>
        <w:rPr>
          <w:color w:val="auto"/>
          <w:sz w:val="26"/>
          <w:szCs w:val="26"/>
        </w:rPr>
        <w:t xml:space="preserve"> </w:t>
      </w:r>
      <w:r w:rsidRPr="00B91DAF">
        <w:rPr>
          <w:color w:val="auto"/>
          <w:sz w:val="26"/>
          <w:szCs w:val="26"/>
        </w:rPr>
        <w:t>Monthly Pricing Service through a pro rata component of both services' rates.</w:t>
      </w:r>
    </w:p>
    <w:p w:rsidR="00742245" w:rsidRDefault="00742245" w:rsidP="0021524F">
      <w:pPr>
        <w:rPr>
          <w:color w:val="auto"/>
          <w:sz w:val="26"/>
          <w:szCs w:val="26"/>
        </w:rPr>
      </w:pPr>
    </w:p>
    <w:p w:rsidR="00742245" w:rsidRPr="00673D32" w:rsidRDefault="000C16FD" w:rsidP="00742245">
      <w:pPr>
        <w:spacing w:line="360" w:lineRule="auto"/>
        <w:rPr>
          <w:color w:val="auto"/>
          <w:sz w:val="26"/>
          <w:szCs w:val="26"/>
        </w:rPr>
      </w:pPr>
      <w:r>
        <w:rPr>
          <w:color w:val="auto"/>
          <w:sz w:val="26"/>
          <w:szCs w:val="26"/>
        </w:rPr>
        <w:tab/>
      </w:r>
      <w:r>
        <w:rPr>
          <w:color w:val="auto"/>
          <w:sz w:val="26"/>
          <w:szCs w:val="26"/>
        </w:rPr>
        <w:tab/>
        <w:t>In conclusion</w:t>
      </w:r>
      <w:r w:rsidR="00742245">
        <w:rPr>
          <w:color w:val="auto"/>
          <w:sz w:val="26"/>
          <w:szCs w:val="26"/>
        </w:rPr>
        <w:t xml:space="preserve">, PPL contends that its proposed </w:t>
      </w:r>
      <w:r w:rsidR="00742245" w:rsidRPr="00742245">
        <w:rPr>
          <w:color w:val="auto"/>
          <w:sz w:val="26"/>
          <w:szCs w:val="26"/>
        </w:rPr>
        <w:t xml:space="preserve">Optional Monthly Pricing </w:t>
      </w:r>
      <w:r w:rsidR="00742245">
        <w:rPr>
          <w:color w:val="auto"/>
          <w:sz w:val="26"/>
          <w:szCs w:val="26"/>
        </w:rPr>
        <w:t xml:space="preserve">Service </w:t>
      </w:r>
      <w:r w:rsidR="00742245" w:rsidRPr="00742245">
        <w:rPr>
          <w:color w:val="auto"/>
          <w:sz w:val="26"/>
          <w:szCs w:val="26"/>
        </w:rPr>
        <w:t>is in full compliance with</w:t>
      </w:r>
      <w:r w:rsidR="00742245">
        <w:rPr>
          <w:color w:val="auto"/>
          <w:sz w:val="26"/>
          <w:szCs w:val="26"/>
        </w:rPr>
        <w:t xml:space="preserve"> </w:t>
      </w:r>
      <w:r w:rsidR="00742245" w:rsidRPr="00742245">
        <w:rPr>
          <w:color w:val="auto"/>
          <w:sz w:val="26"/>
          <w:szCs w:val="26"/>
        </w:rPr>
        <w:t>the requirements of the DSP Settlement, reflects a general consensus of the meetings held with</w:t>
      </w:r>
      <w:r w:rsidR="00742245">
        <w:rPr>
          <w:color w:val="auto"/>
          <w:sz w:val="26"/>
          <w:szCs w:val="26"/>
        </w:rPr>
        <w:t xml:space="preserve"> </w:t>
      </w:r>
      <w:r w:rsidR="00742245" w:rsidRPr="00742245">
        <w:rPr>
          <w:color w:val="auto"/>
          <w:sz w:val="26"/>
          <w:szCs w:val="26"/>
        </w:rPr>
        <w:t>stakeholders</w:t>
      </w:r>
      <w:r w:rsidR="00742245">
        <w:rPr>
          <w:color w:val="auto"/>
          <w:sz w:val="26"/>
          <w:szCs w:val="26"/>
        </w:rPr>
        <w:t>, and provides the Company’s</w:t>
      </w:r>
      <w:r w:rsidR="00742245" w:rsidRPr="00742245">
        <w:rPr>
          <w:color w:val="auto"/>
          <w:sz w:val="26"/>
          <w:szCs w:val="26"/>
        </w:rPr>
        <w:t xml:space="preserve"> large commercial and industrial customers with another</w:t>
      </w:r>
      <w:r w:rsidR="00742245">
        <w:rPr>
          <w:color w:val="auto"/>
          <w:sz w:val="26"/>
          <w:szCs w:val="26"/>
        </w:rPr>
        <w:t xml:space="preserve"> </w:t>
      </w:r>
      <w:r w:rsidR="00742245" w:rsidRPr="00742245">
        <w:rPr>
          <w:color w:val="auto"/>
          <w:sz w:val="26"/>
          <w:szCs w:val="26"/>
        </w:rPr>
        <w:t>option for purchasing generation supply in 2011</w:t>
      </w:r>
      <w:r w:rsidR="00742245">
        <w:rPr>
          <w:color w:val="auto"/>
          <w:sz w:val="26"/>
          <w:szCs w:val="26"/>
        </w:rPr>
        <w:t xml:space="preserve">.  Thus, PPL </w:t>
      </w:r>
      <w:r w:rsidR="00742245" w:rsidRPr="00742245">
        <w:rPr>
          <w:color w:val="auto"/>
          <w:sz w:val="26"/>
          <w:szCs w:val="26"/>
        </w:rPr>
        <w:t>requests</w:t>
      </w:r>
      <w:r w:rsidR="00742245">
        <w:rPr>
          <w:color w:val="auto"/>
          <w:sz w:val="26"/>
          <w:szCs w:val="26"/>
        </w:rPr>
        <w:t xml:space="preserve"> </w:t>
      </w:r>
      <w:r w:rsidR="00742245" w:rsidRPr="00742245">
        <w:rPr>
          <w:color w:val="auto"/>
          <w:sz w:val="26"/>
          <w:szCs w:val="26"/>
        </w:rPr>
        <w:t xml:space="preserve">that the </w:t>
      </w:r>
      <w:r w:rsidR="00742245">
        <w:rPr>
          <w:color w:val="auto"/>
          <w:sz w:val="26"/>
          <w:szCs w:val="26"/>
        </w:rPr>
        <w:t>Commission approve its</w:t>
      </w:r>
      <w:r w:rsidR="00742245" w:rsidRPr="00742245">
        <w:rPr>
          <w:color w:val="auto"/>
          <w:sz w:val="26"/>
          <w:szCs w:val="26"/>
        </w:rPr>
        <w:t xml:space="preserve"> proposal and permit it to become effective on June</w:t>
      </w:r>
      <w:r w:rsidR="00742245">
        <w:rPr>
          <w:color w:val="auto"/>
          <w:sz w:val="26"/>
          <w:szCs w:val="26"/>
        </w:rPr>
        <w:t xml:space="preserve"> </w:t>
      </w:r>
      <w:r w:rsidR="00401FC9">
        <w:rPr>
          <w:color w:val="auto"/>
          <w:sz w:val="26"/>
          <w:szCs w:val="26"/>
        </w:rPr>
        <w:t>14, 2010</w:t>
      </w:r>
      <w:r w:rsidR="00742245" w:rsidRPr="00742245">
        <w:rPr>
          <w:color w:val="auto"/>
          <w:sz w:val="26"/>
          <w:szCs w:val="26"/>
        </w:rPr>
        <w:t>.</w:t>
      </w:r>
    </w:p>
    <w:p w:rsidR="00486E76" w:rsidRPr="00CD1011" w:rsidRDefault="00486E76" w:rsidP="001619A8">
      <w:pPr>
        <w:ind w:firstLine="720"/>
        <w:rPr>
          <w:color w:val="auto"/>
          <w:sz w:val="26"/>
          <w:szCs w:val="26"/>
          <w:highlight w:val="green"/>
        </w:rPr>
      </w:pPr>
    </w:p>
    <w:p w:rsidR="00486E76" w:rsidRDefault="00486E76" w:rsidP="00486E76">
      <w:pPr>
        <w:spacing w:line="360" w:lineRule="auto"/>
        <w:rPr>
          <w:b/>
          <w:color w:val="auto"/>
          <w:sz w:val="26"/>
          <w:szCs w:val="26"/>
          <w:u w:val="single"/>
        </w:rPr>
      </w:pPr>
      <w:r w:rsidRPr="000E3EA9">
        <w:rPr>
          <w:b/>
          <w:color w:val="auto"/>
          <w:sz w:val="26"/>
          <w:szCs w:val="26"/>
          <w:u w:val="single"/>
        </w:rPr>
        <w:t>Disposition</w:t>
      </w:r>
    </w:p>
    <w:p w:rsidR="0021524F" w:rsidRPr="000E3EA9" w:rsidRDefault="0021524F" w:rsidP="0021524F">
      <w:pPr>
        <w:rPr>
          <w:b/>
          <w:color w:val="auto"/>
          <w:sz w:val="26"/>
          <w:szCs w:val="26"/>
          <w:u w:val="single"/>
        </w:rPr>
      </w:pPr>
    </w:p>
    <w:p w:rsidR="00CF36CE" w:rsidRPr="000E3EA9" w:rsidRDefault="00204D1C" w:rsidP="00720A2D">
      <w:pPr>
        <w:spacing w:line="360" w:lineRule="auto"/>
        <w:rPr>
          <w:color w:val="auto"/>
          <w:sz w:val="26"/>
          <w:szCs w:val="26"/>
        </w:rPr>
      </w:pPr>
      <w:r>
        <w:rPr>
          <w:color w:val="auto"/>
          <w:sz w:val="26"/>
          <w:szCs w:val="26"/>
        </w:rPr>
        <w:tab/>
      </w:r>
      <w:r>
        <w:rPr>
          <w:color w:val="auto"/>
          <w:sz w:val="26"/>
          <w:szCs w:val="26"/>
        </w:rPr>
        <w:tab/>
      </w:r>
      <w:r w:rsidR="00EB181C">
        <w:rPr>
          <w:color w:val="auto"/>
          <w:sz w:val="26"/>
          <w:szCs w:val="26"/>
        </w:rPr>
        <w:t xml:space="preserve">PPL’s </w:t>
      </w:r>
      <w:r>
        <w:rPr>
          <w:color w:val="auto"/>
          <w:sz w:val="26"/>
          <w:szCs w:val="26"/>
        </w:rPr>
        <w:t>proposed Op</w:t>
      </w:r>
      <w:r w:rsidR="00EB181C">
        <w:rPr>
          <w:color w:val="auto"/>
          <w:sz w:val="26"/>
          <w:szCs w:val="26"/>
        </w:rPr>
        <w:t xml:space="preserve">tional Monthly Pricing Service provides another option for Large C&amp;I customers who, for various reasons as discussed above, may prefer not to be served under the Company’s hourly default service rates.  The service appears to meet the requirements </w:t>
      </w:r>
      <w:r w:rsidR="00B8306F">
        <w:rPr>
          <w:color w:val="auto"/>
          <w:sz w:val="26"/>
          <w:szCs w:val="26"/>
        </w:rPr>
        <w:t xml:space="preserve">set forth in the DSP Settlement, and to strike a reasonable balance </w:t>
      </w:r>
      <w:r w:rsidR="00B8306F">
        <w:rPr>
          <w:color w:val="auto"/>
          <w:sz w:val="26"/>
          <w:szCs w:val="26"/>
        </w:rPr>
        <w:lastRenderedPageBreak/>
        <w:t>between</w:t>
      </w:r>
      <w:r w:rsidR="009C3D18">
        <w:rPr>
          <w:color w:val="auto"/>
          <w:sz w:val="26"/>
          <w:szCs w:val="26"/>
        </w:rPr>
        <w:t xml:space="preserve"> the interests of </w:t>
      </w:r>
      <w:r w:rsidR="00B8306F">
        <w:rPr>
          <w:color w:val="auto"/>
          <w:sz w:val="26"/>
          <w:szCs w:val="26"/>
        </w:rPr>
        <w:t>customers who would be served under it, and suppliers who would bid on and prov</w:t>
      </w:r>
      <w:r w:rsidR="009C3D18">
        <w:rPr>
          <w:color w:val="auto"/>
          <w:sz w:val="26"/>
          <w:szCs w:val="26"/>
        </w:rPr>
        <w:t>ide the product.  Moreover, we note that while the DSP Settlement provided that all parties would have the right to object to the terms of PPL’s proposal and to propose alternate provisions, none of them have done so in this</w:t>
      </w:r>
      <w:r w:rsidR="00820021">
        <w:rPr>
          <w:color w:val="auto"/>
          <w:sz w:val="26"/>
          <w:szCs w:val="26"/>
        </w:rPr>
        <w:t xml:space="preserve"> proceeding.  For these reasons</w:t>
      </w:r>
      <w:r w:rsidR="009C3D18">
        <w:rPr>
          <w:color w:val="auto"/>
          <w:sz w:val="26"/>
          <w:szCs w:val="26"/>
        </w:rPr>
        <w:t xml:space="preserve"> we</w:t>
      </w:r>
      <w:r w:rsidR="00720A2D">
        <w:rPr>
          <w:color w:val="auto"/>
          <w:sz w:val="26"/>
          <w:szCs w:val="26"/>
        </w:rPr>
        <w:t xml:space="preserve"> find the rates, terms and conditions contained in PPL’s Optional Monthly Pricing Service to be just, reasonable and within the public interest, and we </w:t>
      </w:r>
      <w:r w:rsidR="009C3D18">
        <w:rPr>
          <w:color w:val="auto"/>
          <w:sz w:val="26"/>
          <w:szCs w:val="26"/>
        </w:rPr>
        <w:t>will approve Supp</w:t>
      </w:r>
      <w:r w:rsidR="00720A2D">
        <w:rPr>
          <w:color w:val="auto"/>
          <w:sz w:val="26"/>
          <w:szCs w:val="26"/>
        </w:rPr>
        <w:t>lement No. 85 as filed</w:t>
      </w:r>
      <w:r w:rsidR="00BB4198" w:rsidRPr="000E3EA9">
        <w:rPr>
          <w:color w:val="auto"/>
          <w:sz w:val="26"/>
          <w:szCs w:val="26"/>
        </w:rPr>
        <w:t>;</w:t>
      </w:r>
      <w:r w:rsidR="00FA456B" w:rsidRPr="000E3EA9">
        <w:rPr>
          <w:color w:val="auto"/>
          <w:sz w:val="26"/>
          <w:szCs w:val="26"/>
        </w:rPr>
        <w:t xml:space="preserve">  </w:t>
      </w:r>
      <w:r w:rsidR="00CF36CE" w:rsidRPr="000E3EA9">
        <w:rPr>
          <w:b/>
          <w:color w:val="auto"/>
          <w:sz w:val="26"/>
          <w:szCs w:val="26"/>
        </w:rPr>
        <w:t>THEREFORE,</w:t>
      </w:r>
    </w:p>
    <w:p w:rsidR="00757B8A" w:rsidRDefault="00CF36CE" w:rsidP="001619A8">
      <w:pPr>
        <w:rPr>
          <w:b/>
          <w:color w:val="auto"/>
          <w:sz w:val="26"/>
          <w:szCs w:val="26"/>
        </w:rPr>
      </w:pPr>
      <w:r w:rsidRPr="000E3EA9">
        <w:rPr>
          <w:b/>
          <w:color w:val="auto"/>
          <w:sz w:val="26"/>
          <w:szCs w:val="26"/>
        </w:rPr>
        <w:tab/>
      </w:r>
    </w:p>
    <w:p w:rsidR="00720A2D" w:rsidRPr="000E3EA9" w:rsidRDefault="00720A2D" w:rsidP="001619A8">
      <w:pPr>
        <w:rPr>
          <w:b/>
          <w:color w:val="auto"/>
          <w:sz w:val="26"/>
          <w:szCs w:val="26"/>
        </w:rPr>
      </w:pPr>
    </w:p>
    <w:p w:rsidR="00CF36CE" w:rsidRDefault="00CF36CE" w:rsidP="003C332F">
      <w:pPr>
        <w:spacing w:line="360" w:lineRule="auto"/>
        <w:ind w:firstLine="720"/>
        <w:rPr>
          <w:b/>
          <w:color w:val="auto"/>
          <w:sz w:val="26"/>
          <w:szCs w:val="26"/>
        </w:rPr>
      </w:pPr>
      <w:r w:rsidRPr="000E3EA9">
        <w:rPr>
          <w:b/>
          <w:color w:val="auto"/>
          <w:sz w:val="26"/>
          <w:szCs w:val="26"/>
        </w:rPr>
        <w:t>IT IS ORDERED:</w:t>
      </w:r>
    </w:p>
    <w:p w:rsidR="003B6E0E" w:rsidRDefault="003B6E0E" w:rsidP="0021524F">
      <w:pPr>
        <w:ind w:firstLine="720"/>
        <w:rPr>
          <w:b/>
          <w:color w:val="auto"/>
          <w:sz w:val="26"/>
          <w:szCs w:val="26"/>
        </w:rPr>
      </w:pPr>
    </w:p>
    <w:p w:rsidR="003B6E0E" w:rsidRPr="00990917" w:rsidRDefault="003B6E0E" w:rsidP="003B6E0E">
      <w:pPr>
        <w:spacing w:line="360" w:lineRule="auto"/>
        <w:ind w:firstLine="1440"/>
        <w:rPr>
          <w:color w:val="auto"/>
          <w:sz w:val="26"/>
          <w:szCs w:val="26"/>
        </w:rPr>
      </w:pPr>
      <w:r>
        <w:rPr>
          <w:color w:val="auto"/>
          <w:sz w:val="26"/>
          <w:szCs w:val="26"/>
        </w:rPr>
        <w:t>1.</w:t>
      </w:r>
      <w:r>
        <w:rPr>
          <w:color w:val="auto"/>
          <w:sz w:val="26"/>
          <w:szCs w:val="26"/>
        </w:rPr>
        <w:tab/>
      </w:r>
      <w:r w:rsidRPr="00FD596B">
        <w:rPr>
          <w:color w:val="auto"/>
          <w:sz w:val="26"/>
          <w:szCs w:val="26"/>
        </w:rPr>
        <w:t>That</w:t>
      </w:r>
      <w:r>
        <w:rPr>
          <w:color w:val="auto"/>
          <w:sz w:val="26"/>
          <w:szCs w:val="26"/>
        </w:rPr>
        <w:t xml:space="preserve"> the Optional Monthly Pricing Service for Large C&amp;I customers</w:t>
      </w:r>
      <w:r w:rsidRPr="00FD596B">
        <w:rPr>
          <w:color w:val="auto"/>
          <w:sz w:val="26"/>
          <w:szCs w:val="26"/>
        </w:rPr>
        <w:t xml:space="preserve"> proposed by PPL Electric Utilities Corporation in its </w:t>
      </w:r>
      <w:r>
        <w:rPr>
          <w:color w:val="auto"/>
          <w:sz w:val="26"/>
          <w:szCs w:val="26"/>
        </w:rPr>
        <w:t>Supplement No. 85</w:t>
      </w:r>
      <w:r w:rsidRPr="00FD596B">
        <w:rPr>
          <w:color w:val="auto"/>
          <w:sz w:val="26"/>
          <w:szCs w:val="26"/>
        </w:rPr>
        <w:t xml:space="preserve"> to Tariff Electric-Pa. P.U.C No. 201 </w:t>
      </w:r>
      <w:r>
        <w:rPr>
          <w:color w:val="auto"/>
          <w:sz w:val="26"/>
          <w:szCs w:val="26"/>
        </w:rPr>
        <w:t>is</w:t>
      </w:r>
      <w:r w:rsidRPr="00FD596B">
        <w:rPr>
          <w:color w:val="auto"/>
          <w:sz w:val="26"/>
          <w:szCs w:val="26"/>
        </w:rPr>
        <w:t xml:space="preserve"> </w:t>
      </w:r>
      <w:r>
        <w:rPr>
          <w:color w:val="auto"/>
          <w:sz w:val="26"/>
          <w:szCs w:val="26"/>
        </w:rPr>
        <w:t xml:space="preserve">hereby </w:t>
      </w:r>
      <w:r w:rsidRPr="00FD596B">
        <w:rPr>
          <w:color w:val="auto"/>
          <w:sz w:val="26"/>
          <w:szCs w:val="26"/>
        </w:rPr>
        <w:t>approved as filed.</w:t>
      </w:r>
    </w:p>
    <w:p w:rsidR="003B6E0E" w:rsidRPr="00990917" w:rsidRDefault="003B6E0E" w:rsidP="003B6E0E">
      <w:pPr>
        <w:rPr>
          <w:color w:val="auto"/>
          <w:sz w:val="26"/>
          <w:szCs w:val="26"/>
        </w:rPr>
      </w:pPr>
    </w:p>
    <w:p w:rsidR="003B6E0E" w:rsidRDefault="00FE081C" w:rsidP="003B6E0E">
      <w:pPr>
        <w:spacing w:line="360" w:lineRule="auto"/>
        <w:ind w:firstLine="1440"/>
        <w:rPr>
          <w:color w:val="auto"/>
          <w:sz w:val="26"/>
          <w:szCs w:val="26"/>
        </w:rPr>
      </w:pPr>
      <w:r>
        <w:rPr>
          <w:color w:val="auto"/>
          <w:sz w:val="26"/>
          <w:szCs w:val="26"/>
        </w:rPr>
        <w:t>2</w:t>
      </w:r>
      <w:r w:rsidR="003B6E0E" w:rsidRPr="00990917">
        <w:rPr>
          <w:color w:val="auto"/>
          <w:sz w:val="26"/>
          <w:szCs w:val="26"/>
        </w:rPr>
        <w:t>.</w:t>
      </w:r>
      <w:r w:rsidR="003B6E0E" w:rsidRPr="00990917">
        <w:rPr>
          <w:color w:val="auto"/>
          <w:sz w:val="26"/>
          <w:szCs w:val="26"/>
        </w:rPr>
        <w:tab/>
        <w:t xml:space="preserve">That a copy of this Order </w:t>
      </w:r>
      <w:r w:rsidR="00D007D2">
        <w:rPr>
          <w:color w:val="auto"/>
          <w:sz w:val="26"/>
          <w:szCs w:val="26"/>
        </w:rPr>
        <w:t>be served upon</w:t>
      </w:r>
      <w:r w:rsidR="003B6E0E" w:rsidRPr="00990917">
        <w:rPr>
          <w:color w:val="auto"/>
          <w:sz w:val="26"/>
          <w:szCs w:val="26"/>
        </w:rPr>
        <w:t xml:space="preserve"> all parties to the </w:t>
      </w:r>
      <w:r w:rsidR="004115C0">
        <w:rPr>
          <w:color w:val="auto"/>
          <w:sz w:val="26"/>
          <w:szCs w:val="26"/>
        </w:rPr>
        <w:t>Joint Petition</w:t>
      </w:r>
      <w:r w:rsidR="003B6E0E" w:rsidRPr="00990917">
        <w:rPr>
          <w:color w:val="auto"/>
          <w:sz w:val="26"/>
          <w:szCs w:val="26"/>
        </w:rPr>
        <w:t xml:space="preserve"> for Settlement approved in PPL Electric Utilit</w:t>
      </w:r>
      <w:r w:rsidR="004115C0">
        <w:rPr>
          <w:color w:val="auto"/>
          <w:sz w:val="26"/>
          <w:szCs w:val="26"/>
        </w:rPr>
        <w:t>ies Corporation’s Default Service Plan</w:t>
      </w:r>
      <w:r w:rsidR="003B6E0E" w:rsidRPr="00990917">
        <w:rPr>
          <w:color w:val="auto"/>
          <w:sz w:val="26"/>
          <w:szCs w:val="26"/>
        </w:rPr>
        <w:t xml:space="preserve"> proceeding</w:t>
      </w:r>
      <w:r w:rsidR="004115C0">
        <w:rPr>
          <w:color w:val="auto"/>
          <w:sz w:val="26"/>
          <w:szCs w:val="26"/>
        </w:rPr>
        <w:t xml:space="preserve"> at Docket No. P-2008-2060309.</w:t>
      </w:r>
    </w:p>
    <w:p w:rsidR="003B6E0E" w:rsidRDefault="003B6E0E" w:rsidP="0021524F">
      <w:pPr>
        <w:ind w:firstLine="720"/>
        <w:rPr>
          <w:b/>
          <w:color w:val="auto"/>
          <w:sz w:val="26"/>
          <w:szCs w:val="26"/>
        </w:rPr>
      </w:pPr>
    </w:p>
    <w:p w:rsidR="00FE081C" w:rsidRPr="00000AD0" w:rsidRDefault="00D007D2" w:rsidP="00FE081C">
      <w:pPr>
        <w:pStyle w:val="BodyTextIndent"/>
        <w:rPr>
          <w:color w:val="000000"/>
          <w:kern w:val="2"/>
        </w:rPr>
      </w:pPr>
      <w:r>
        <w:rPr>
          <w:color w:val="000000"/>
          <w:kern w:val="2"/>
          <w:szCs w:val="26"/>
        </w:rPr>
        <w:t>3.</w:t>
      </w:r>
      <w:r>
        <w:rPr>
          <w:color w:val="000000"/>
          <w:kern w:val="2"/>
          <w:szCs w:val="26"/>
        </w:rPr>
        <w:tab/>
      </w:r>
      <w:r w:rsidR="00FE081C" w:rsidRPr="00104D48">
        <w:rPr>
          <w:color w:val="000000"/>
          <w:kern w:val="2"/>
          <w:szCs w:val="26"/>
        </w:rPr>
        <w:t xml:space="preserve">That the </w:t>
      </w:r>
      <w:r w:rsidR="00FE081C">
        <w:rPr>
          <w:color w:val="000000"/>
          <w:kern w:val="2"/>
          <w:szCs w:val="26"/>
        </w:rPr>
        <w:t xml:space="preserve">proceeding at </w:t>
      </w:r>
      <w:r w:rsidR="005779F5">
        <w:rPr>
          <w:color w:val="000000"/>
          <w:kern w:val="2"/>
          <w:szCs w:val="26"/>
        </w:rPr>
        <w:t>Docket No. R-2008-2170296</w:t>
      </w:r>
      <w:r w:rsidR="00FE081C" w:rsidRPr="00104D48">
        <w:rPr>
          <w:color w:val="000000"/>
          <w:kern w:val="2"/>
          <w:szCs w:val="26"/>
        </w:rPr>
        <w:t xml:space="preserve"> be marked closed.</w:t>
      </w:r>
    </w:p>
    <w:p w:rsidR="00666117" w:rsidRPr="000E3EA9" w:rsidRDefault="00666117" w:rsidP="00666117">
      <w:pPr>
        <w:ind w:firstLine="1440"/>
        <w:rPr>
          <w:color w:val="auto"/>
          <w:sz w:val="26"/>
          <w:szCs w:val="26"/>
        </w:rPr>
      </w:pPr>
    </w:p>
    <w:p w:rsidR="006062E1" w:rsidRPr="000E3EA9" w:rsidRDefault="006062E1" w:rsidP="001619A8">
      <w:pPr>
        <w:rPr>
          <w:color w:val="auto"/>
          <w:sz w:val="26"/>
          <w:szCs w:val="26"/>
        </w:rPr>
      </w:pPr>
    </w:p>
    <w:p w:rsidR="001C04DB" w:rsidRPr="000E3EA9" w:rsidRDefault="001C04DB" w:rsidP="001619A8">
      <w:pPr>
        <w:rPr>
          <w:color w:val="auto"/>
          <w:sz w:val="26"/>
          <w:szCs w:val="26"/>
        </w:rPr>
      </w:pPr>
    </w:p>
    <w:p w:rsidR="00CF36CE" w:rsidRPr="000E3EA9" w:rsidRDefault="00F71CCB" w:rsidP="000E3D47">
      <w:pPr>
        <w:ind w:left="5040"/>
        <w:rPr>
          <w:b/>
          <w:color w:val="auto"/>
          <w:sz w:val="26"/>
          <w:szCs w:val="26"/>
        </w:rPr>
      </w:pPr>
      <w:r>
        <w:rPr>
          <w:b/>
          <w:noProof/>
          <w:color w:val="auto"/>
          <w:sz w:val="26"/>
          <w:szCs w:val="26"/>
        </w:rPr>
        <w:drawing>
          <wp:anchor distT="0" distB="0" distL="114300" distR="114300" simplePos="0" relativeHeight="251658240" behindDoc="1" locked="0" layoutInCell="1" allowOverlap="1">
            <wp:simplePos x="0" y="0"/>
            <wp:positionH relativeFrom="column">
              <wp:posOffset>2847975</wp:posOffset>
            </wp:positionH>
            <wp:positionV relativeFrom="paragraph">
              <wp:posOffset>68580</wp:posOffset>
            </wp:positionV>
            <wp:extent cx="2200275" cy="838200"/>
            <wp:effectExtent l="19050" t="0" r="9525" b="0"/>
            <wp:wrapNone/>
            <wp:docPr id="9" name="Picture 9"/>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F36CE" w:rsidRPr="000E3EA9">
        <w:rPr>
          <w:b/>
          <w:color w:val="auto"/>
          <w:sz w:val="26"/>
          <w:szCs w:val="26"/>
        </w:rPr>
        <w:t>BY THE COMMISSION,</w:t>
      </w:r>
    </w:p>
    <w:p w:rsidR="00CF36CE" w:rsidRPr="000E3EA9" w:rsidRDefault="00CF36CE" w:rsidP="000E3D47">
      <w:pPr>
        <w:ind w:left="5040"/>
        <w:rPr>
          <w:b/>
          <w:color w:val="auto"/>
          <w:sz w:val="26"/>
          <w:szCs w:val="26"/>
        </w:rPr>
      </w:pPr>
    </w:p>
    <w:p w:rsidR="000E3D47" w:rsidRPr="000E3EA9" w:rsidRDefault="000E3D47" w:rsidP="000E3D47">
      <w:pPr>
        <w:ind w:left="5040"/>
        <w:rPr>
          <w:b/>
          <w:color w:val="auto"/>
          <w:sz w:val="26"/>
          <w:szCs w:val="26"/>
        </w:rPr>
      </w:pPr>
    </w:p>
    <w:p w:rsidR="000E3D47" w:rsidRPr="000E3EA9" w:rsidRDefault="000E3D47" w:rsidP="000E3D47">
      <w:pPr>
        <w:ind w:left="5040"/>
        <w:rPr>
          <w:b/>
          <w:color w:val="auto"/>
          <w:sz w:val="26"/>
          <w:szCs w:val="26"/>
        </w:rPr>
      </w:pPr>
    </w:p>
    <w:p w:rsidR="00CF36CE" w:rsidRPr="000E3EA9" w:rsidRDefault="00CD1011" w:rsidP="000E3D47">
      <w:pPr>
        <w:ind w:left="5040"/>
        <w:rPr>
          <w:color w:val="auto"/>
          <w:sz w:val="26"/>
          <w:szCs w:val="26"/>
        </w:rPr>
      </w:pPr>
      <w:r w:rsidRPr="000E3EA9">
        <w:rPr>
          <w:color w:val="auto"/>
          <w:sz w:val="26"/>
          <w:szCs w:val="26"/>
        </w:rPr>
        <w:t>Rosemary Chiavetta</w:t>
      </w:r>
    </w:p>
    <w:p w:rsidR="00CF36CE" w:rsidRPr="000E3EA9" w:rsidRDefault="00CF36CE" w:rsidP="000E3D47">
      <w:pPr>
        <w:ind w:left="5040"/>
        <w:rPr>
          <w:color w:val="auto"/>
          <w:sz w:val="26"/>
          <w:szCs w:val="26"/>
        </w:rPr>
      </w:pPr>
      <w:r w:rsidRPr="000E3EA9">
        <w:rPr>
          <w:color w:val="auto"/>
          <w:sz w:val="26"/>
          <w:szCs w:val="26"/>
        </w:rPr>
        <w:t>Secretary</w:t>
      </w:r>
    </w:p>
    <w:p w:rsidR="00CF36CE" w:rsidRPr="00C807D5" w:rsidRDefault="00CF36CE" w:rsidP="000E3D47">
      <w:pPr>
        <w:spacing w:line="360" w:lineRule="auto"/>
        <w:rPr>
          <w:color w:val="auto"/>
          <w:sz w:val="26"/>
          <w:szCs w:val="26"/>
        </w:rPr>
      </w:pPr>
      <w:r w:rsidRPr="000E3EA9">
        <w:rPr>
          <w:color w:val="auto"/>
          <w:sz w:val="26"/>
          <w:szCs w:val="26"/>
        </w:rPr>
        <w:t>(SEAL)</w:t>
      </w:r>
    </w:p>
    <w:p w:rsidR="000E3D47" w:rsidRPr="00C807D5" w:rsidRDefault="000E3D47" w:rsidP="001619A8">
      <w:pPr>
        <w:rPr>
          <w:color w:val="auto"/>
          <w:sz w:val="26"/>
          <w:szCs w:val="26"/>
        </w:rPr>
      </w:pPr>
    </w:p>
    <w:p w:rsidR="00CF36CE" w:rsidRPr="00C807D5" w:rsidRDefault="007B01A5" w:rsidP="000E3D47">
      <w:pPr>
        <w:spacing w:line="360" w:lineRule="auto"/>
        <w:rPr>
          <w:color w:val="auto"/>
          <w:sz w:val="26"/>
          <w:szCs w:val="26"/>
        </w:rPr>
      </w:pPr>
      <w:r w:rsidRPr="00C807D5">
        <w:rPr>
          <w:color w:val="auto"/>
          <w:sz w:val="26"/>
          <w:szCs w:val="26"/>
        </w:rPr>
        <w:t>ORDER ADOPTED:</w:t>
      </w:r>
      <w:r w:rsidR="009A2B4C" w:rsidRPr="00C807D5">
        <w:rPr>
          <w:color w:val="auto"/>
          <w:sz w:val="26"/>
          <w:szCs w:val="26"/>
        </w:rPr>
        <w:t xml:space="preserve"> </w:t>
      </w:r>
      <w:r w:rsidR="00CD1011">
        <w:rPr>
          <w:color w:val="auto"/>
          <w:sz w:val="26"/>
          <w:szCs w:val="26"/>
        </w:rPr>
        <w:t xml:space="preserve"> June </w:t>
      </w:r>
      <w:r w:rsidR="00C41F96">
        <w:rPr>
          <w:color w:val="auto"/>
          <w:sz w:val="26"/>
          <w:szCs w:val="26"/>
        </w:rPr>
        <w:t>16</w:t>
      </w:r>
      <w:r w:rsidR="00C807D5" w:rsidRPr="00C807D5">
        <w:rPr>
          <w:color w:val="auto"/>
          <w:sz w:val="26"/>
          <w:szCs w:val="26"/>
        </w:rPr>
        <w:t>, 2010</w:t>
      </w:r>
    </w:p>
    <w:p w:rsidR="009A7F4F" w:rsidRPr="00701F7E" w:rsidRDefault="00CF36CE" w:rsidP="000E3D47">
      <w:pPr>
        <w:spacing w:line="360" w:lineRule="auto"/>
        <w:rPr>
          <w:color w:val="auto"/>
          <w:sz w:val="26"/>
          <w:szCs w:val="26"/>
        </w:rPr>
      </w:pPr>
      <w:r w:rsidRPr="00C807D5">
        <w:rPr>
          <w:color w:val="auto"/>
          <w:sz w:val="26"/>
          <w:szCs w:val="26"/>
        </w:rPr>
        <w:t xml:space="preserve">ORDER ENTERED: </w:t>
      </w:r>
      <w:r w:rsidR="00E9777F" w:rsidRPr="00C807D5">
        <w:rPr>
          <w:color w:val="auto"/>
          <w:sz w:val="26"/>
          <w:szCs w:val="26"/>
        </w:rPr>
        <w:t xml:space="preserve"> </w:t>
      </w:r>
      <w:r w:rsidR="00F71CCB">
        <w:rPr>
          <w:color w:val="auto"/>
          <w:sz w:val="26"/>
          <w:szCs w:val="26"/>
        </w:rPr>
        <w:t>June 16, 2010</w:t>
      </w:r>
    </w:p>
    <w:sectPr w:rsidR="009A7F4F" w:rsidRPr="00701F7E" w:rsidSect="00DB460F">
      <w:footerReference w:type="even" r:id="rId9"/>
      <w:footerReference w:type="default" r:id="rId10"/>
      <w:footerReference w:type="first" r:id="rId11"/>
      <w:pgSz w:w="12240" w:h="15840"/>
      <w:pgMar w:top="1440" w:right="1440" w:bottom="1152"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2EA" w:rsidRDefault="000422EA">
      <w:r>
        <w:separator/>
      </w:r>
    </w:p>
  </w:endnote>
  <w:endnote w:type="continuationSeparator" w:id="0">
    <w:p w:rsidR="000422EA" w:rsidRDefault="000422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A1D" w:rsidRDefault="00B05535">
    <w:pPr>
      <w:pStyle w:val="Footer"/>
      <w:framePr w:wrap="around" w:vAnchor="text" w:hAnchor="margin" w:xAlign="center" w:y="1"/>
      <w:rPr>
        <w:rStyle w:val="PageNumber"/>
      </w:rPr>
    </w:pPr>
    <w:r>
      <w:rPr>
        <w:rStyle w:val="PageNumber"/>
      </w:rPr>
      <w:fldChar w:fldCharType="begin"/>
    </w:r>
    <w:r w:rsidR="00F85A1D">
      <w:rPr>
        <w:rStyle w:val="PageNumber"/>
      </w:rPr>
      <w:instrText xml:space="preserve">PAGE  </w:instrText>
    </w:r>
    <w:r>
      <w:rPr>
        <w:rStyle w:val="PageNumber"/>
      </w:rPr>
      <w:fldChar w:fldCharType="end"/>
    </w:r>
  </w:p>
  <w:p w:rsidR="00F85A1D" w:rsidRDefault="00F85A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A1D" w:rsidRPr="001E72C6" w:rsidRDefault="00B05535">
    <w:pPr>
      <w:pStyle w:val="Footer"/>
      <w:framePr w:wrap="around" w:vAnchor="text" w:hAnchor="margin" w:xAlign="center" w:y="1"/>
      <w:rPr>
        <w:rStyle w:val="PageNumber"/>
        <w:color w:val="auto"/>
      </w:rPr>
    </w:pPr>
    <w:r w:rsidRPr="001E72C6">
      <w:rPr>
        <w:rStyle w:val="PageNumber"/>
        <w:color w:val="auto"/>
      </w:rPr>
      <w:fldChar w:fldCharType="begin"/>
    </w:r>
    <w:r w:rsidR="00F85A1D" w:rsidRPr="001E72C6">
      <w:rPr>
        <w:rStyle w:val="PageNumber"/>
        <w:color w:val="auto"/>
      </w:rPr>
      <w:instrText xml:space="preserve">PAGE  </w:instrText>
    </w:r>
    <w:r w:rsidRPr="001E72C6">
      <w:rPr>
        <w:rStyle w:val="PageNumber"/>
        <w:color w:val="auto"/>
      </w:rPr>
      <w:fldChar w:fldCharType="separate"/>
    </w:r>
    <w:r w:rsidR="00F71CCB">
      <w:rPr>
        <w:rStyle w:val="PageNumber"/>
        <w:noProof/>
        <w:color w:val="auto"/>
      </w:rPr>
      <w:t>8</w:t>
    </w:r>
    <w:r w:rsidRPr="001E72C6">
      <w:rPr>
        <w:rStyle w:val="PageNumber"/>
        <w:color w:val="auto"/>
      </w:rPr>
      <w:fldChar w:fldCharType="end"/>
    </w:r>
  </w:p>
  <w:p w:rsidR="00F85A1D" w:rsidRDefault="00F85A1D">
    <w:pPr>
      <w:pStyle w:val="Footer"/>
      <w:rPr>
        <w:color w:val="80008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A1D" w:rsidRDefault="00F85A1D">
    <w:pPr>
      <w:pStyle w:val="Footer"/>
      <w:rPr>
        <w:sz w:val="16"/>
      </w:rPr>
    </w:pPr>
  </w:p>
  <w:p w:rsidR="00F85A1D" w:rsidRDefault="00F85A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2EA" w:rsidRDefault="000422EA">
      <w:r>
        <w:separator/>
      </w:r>
    </w:p>
  </w:footnote>
  <w:footnote w:type="continuationSeparator" w:id="0">
    <w:p w:rsidR="000422EA" w:rsidRDefault="000422EA">
      <w:r>
        <w:continuationSeparator/>
      </w:r>
    </w:p>
  </w:footnote>
  <w:footnote w:id="1">
    <w:p w:rsidR="00906F0B" w:rsidRPr="009E2514" w:rsidRDefault="00906F0B" w:rsidP="009E2514">
      <w:pPr>
        <w:autoSpaceDE w:val="0"/>
        <w:autoSpaceDN w:val="0"/>
        <w:adjustRightInd w:val="0"/>
        <w:rPr>
          <w:color w:val="auto"/>
          <w:sz w:val="22"/>
          <w:szCs w:val="22"/>
        </w:rPr>
      </w:pPr>
      <w:r w:rsidRPr="00906F0B">
        <w:rPr>
          <w:color w:val="auto"/>
          <w:sz w:val="22"/>
          <w:szCs w:val="22"/>
        </w:rPr>
        <w:tab/>
      </w:r>
      <w:r w:rsidRPr="00906F0B">
        <w:rPr>
          <w:rStyle w:val="FootnoteReference"/>
          <w:color w:val="auto"/>
          <w:sz w:val="22"/>
          <w:szCs w:val="22"/>
        </w:rPr>
        <w:footnoteRef/>
      </w:r>
      <w:r w:rsidRPr="00906F0B">
        <w:rPr>
          <w:color w:val="auto"/>
          <w:sz w:val="22"/>
          <w:szCs w:val="22"/>
        </w:rPr>
        <w:t xml:space="preserve"> </w:t>
      </w:r>
      <w:r w:rsidRPr="00906F0B">
        <w:rPr>
          <w:color w:val="auto"/>
          <w:sz w:val="22"/>
          <w:szCs w:val="22"/>
        </w:rPr>
        <w:tab/>
      </w:r>
      <w:r>
        <w:rPr>
          <w:color w:val="auto"/>
          <w:sz w:val="22"/>
          <w:szCs w:val="22"/>
        </w:rPr>
        <w:t xml:space="preserve">The Large C&amp;I class includes </w:t>
      </w:r>
      <w:r w:rsidRPr="00906F0B">
        <w:rPr>
          <w:color w:val="auto"/>
          <w:sz w:val="22"/>
          <w:szCs w:val="22"/>
        </w:rPr>
        <w:t>the following rate schedules (with two exceptions noted below) r</w:t>
      </w:r>
      <w:r>
        <w:rPr>
          <w:color w:val="auto"/>
          <w:sz w:val="22"/>
          <w:szCs w:val="22"/>
        </w:rPr>
        <w:t xml:space="preserve">eceiving 60 hertz service: Rate </w:t>
      </w:r>
      <w:r w:rsidRPr="00906F0B">
        <w:rPr>
          <w:color w:val="auto"/>
          <w:sz w:val="22"/>
          <w:szCs w:val="22"/>
        </w:rPr>
        <w:t xml:space="preserve">Schedules LP-4, IS-P(R), LP-5, LP-6, LPEP,2 </w:t>
      </w:r>
      <w:r>
        <w:rPr>
          <w:color w:val="auto"/>
          <w:sz w:val="22"/>
          <w:szCs w:val="22"/>
        </w:rPr>
        <w:t xml:space="preserve">and IS-T(R), and standby service for these rate </w:t>
      </w:r>
      <w:r w:rsidRPr="00906F0B">
        <w:rPr>
          <w:color w:val="auto"/>
          <w:sz w:val="22"/>
          <w:szCs w:val="22"/>
        </w:rPr>
        <w:t xml:space="preserve">schedules. </w:t>
      </w:r>
      <w:r>
        <w:rPr>
          <w:color w:val="auto"/>
          <w:sz w:val="22"/>
          <w:szCs w:val="22"/>
        </w:rPr>
        <w:t xml:space="preserve"> </w:t>
      </w:r>
      <w:r w:rsidRPr="00906F0B">
        <w:rPr>
          <w:color w:val="auto"/>
          <w:sz w:val="22"/>
          <w:szCs w:val="22"/>
        </w:rPr>
        <w:t>The two exceptions under the DSP Settlement are; (</w:t>
      </w:r>
      <w:r>
        <w:rPr>
          <w:color w:val="auto"/>
          <w:sz w:val="22"/>
          <w:szCs w:val="22"/>
        </w:rPr>
        <w:t>1) to exclude Rate Schedule LP-</w:t>
      </w:r>
      <w:r w:rsidRPr="00906F0B">
        <w:rPr>
          <w:color w:val="auto"/>
          <w:sz w:val="22"/>
          <w:szCs w:val="22"/>
        </w:rPr>
        <w:t xml:space="preserve">4 customers with less than 500 kW of peak demand from the Large C&amp;I class; </w:t>
      </w:r>
      <w:r>
        <w:rPr>
          <w:color w:val="auto"/>
          <w:sz w:val="22"/>
          <w:szCs w:val="22"/>
        </w:rPr>
        <w:t xml:space="preserve">and (2) to </w:t>
      </w:r>
      <w:r w:rsidRPr="00906F0B">
        <w:rPr>
          <w:color w:val="auto"/>
          <w:sz w:val="22"/>
          <w:szCs w:val="22"/>
        </w:rPr>
        <w:t>include Rate Schedule GS-3 customers with 500 kW or great</w:t>
      </w:r>
      <w:r w:rsidR="009E2514">
        <w:rPr>
          <w:color w:val="auto"/>
          <w:sz w:val="22"/>
          <w:szCs w:val="22"/>
        </w:rPr>
        <w:t xml:space="preserve">er peak demand in the Large C&amp;I </w:t>
      </w:r>
      <w:r w:rsidRPr="00906F0B">
        <w:rPr>
          <w:color w:val="auto"/>
          <w:sz w:val="22"/>
          <w:szCs w:val="22"/>
        </w:rPr>
        <w:t>class.</w:t>
      </w:r>
    </w:p>
  </w:footnote>
  <w:footnote w:id="2">
    <w:p w:rsidR="00D007D2" w:rsidRPr="00D007D2" w:rsidRDefault="00D007D2">
      <w:pPr>
        <w:pStyle w:val="FootnoteText"/>
        <w:rPr>
          <w:color w:val="auto"/>
          <w:sz w:val="22"/>
          <w:szCs w:val="22"/>
        </w:rPr>
      </w:pPr>
      <w:r>
        <w:tab/>
      </w:r>
      <w:r w:rsidRPr="00D007D2">
        <w:rPr>
          <w:rStyle w:val="FootnoteReference"/>
          <w:color w:val="auto"/>
          <w:sz w:val="22"/>
          <w:szCs w:val="22"/>
        </w:rPr>
        <w:footnoteRef/>
      </w:r>
      <w:r w:rsidRPr="00D007D2">
        <w:rPr>
          <w:color w:val="auto"/>
          <w:sz w:val="22"/>
          <w:szCs w:val="22"/>
        </w:rPr>
        <w:tab/>
        <w:t>Presumably</w:t>
      </w:r>
      <w:r>
        <w:rPr>
          <w:color w:val="auto"/>
          <w:sz w:val="22"/>
          <w:szCs w:val="22"/>
        </w:rPr>
        <w:t>,</w:t>
      </w:r>
      <w:r w:rsidRPr="00D007D2">
        <w:rPr>
          <w:color w:val="auto"/>
          <w:sz w:val="22"/>
          <w:szCs w:val="22"/>
        </w:rPr>
        <w:t xml:space="preserve"> this date was meant to read “June 1, </w:t>
      </w:r>
      <w:r w:rsidRPr="00D007D2">
        <w:rPr>
          <w:i/>
          <w:color w:val="auto"/>
          <w:sz w:val="22"/>
          <w:szCs w:val="22"/>
        </w:rPr>
        <w:t>2010</w:t>
      </w:r>
      <w:r w:rsidRPr="00D007D2">
        <w:rPr>
          <w:color w:val="auto"/>
          <w:sz w:val="22"/>
          <w:szCs w:val="22"/>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130EB"/>
    <w:multiLevelType w:val="hybridMultilevel"/>
    <w:tmpl w:val="C43495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EDC41B5"/>
    <w:multiLevelType w:val="hybridMultilevel"/>
    <w:tmpl w:val="7F045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B664EF"/>
    <w:multiLevelType w:val="hybridMultilevel"/>
    <w:tmpl w:val="F8242254"/>
    <w:lvl w:ilvl="0" w:tplc="92A2F3C2">
      <w:start w:val="3"/>
      <w:numFmt w:val="decimal"/>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27BC0FB0"/>
    <w:multiLevelType w:val="singleLevel"/>
    <w:tmpl w:val="F44CA66A"/>
    <w:lvl w:ilvl="0">
      <w:start w:val="1"/>
      <w:numFmt w:val="lowerLetter"/>
      <w:lvlText w:val="(%1)"/>
      <w:lvlJc w:val="left"/>
      <w:pPr>
        <w:tabs>
          <w:tab w:val="num" w:pos="2160"/>
        </w:tabs>
        <w:ind w:left="2160" w:hanging="720"/>
      </w:pPr>
      <w:rPr>
        <w:rFonts w:hint="default"/>
      </w:rPr>
    </w:lvl>
  </w:abstractNum>
  <w:abstractNum w:abstractNumId="4">
    <w:nsid w:val="33475D05"/>
    <w:multiLevelType w:val="hybridMultilevel"/>
    <w:tmpl w:val="A44A33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AA563D"/>
    <w:multiLevelType w:val="hybridMultilevel"/>
    <w:tmpl w:val="D0B4FE3C"/>
    <w:lvl w:ilvl="0" w:tplc="6BC00EA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16A4471"/>
    <w:multiLevelType w:val="hybridMultilevel"/>
    <w:tmpl w:val="A6687C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AF1203"/>
    <w:multiLevelType w:val="hybridMultilevel"/>
    <w:tmpl w:val="397CB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FF43D8"/>
    <w:multiLevelType w:val="hybridMultilevel"/>
    <w:tmpl w:val="3A6CABAC"/>
    <w:lvl w:ilvl="0" w:tplc="76AE69B8">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646D69B3"/>
    <w:multiLevelType w:val="hybridMultilevel"/>
    <w:tmpl w:val="B07296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A10E10"/>
    <w:multiLevelType w:val="hybridMultilevel"/>
    <w:tmpl w:val="496C4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A22527"/>
    <w:multiLevelType w:val="hybridMultilevel"/>
    <w:tmpl w:val="203C0466"/>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75FF7D47"/>
    <w:multiLevelType w:val="hybridMultilevel"/>
    <w:tmpl w:val="B85E7A32"/>
    <w:lvl w:ilvl="0" w:tplc="39782C80">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78C02B73"/>
    <w:multiLevelType w:val="hybridMultilevel"/>
    <w:tmpl w:val="9A7293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A6F3D49"/>
    <w:multiLevelType w:val="hybridMultilevel"/>
    <w:tmpl w:val="CC682664"/>
    <w:lvl w:ilvl="0" w:tplc="37ECC2B0">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7EF0093E"/>
    <w:multiLevelType w:val="hybridMultilevel"/>
    <w:tmpl w:val="8AF442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8"/>
  </w:num>
  <w:num w:numId="4">
    <w:abstractNumId w:val="12"/>
  </w:num>
  <w:num w:numId="5">
    <w:abstractNumId w:val="3"/>
  </w:num>
  <w:num w:numId="6">
    <w:abstractNumId w:val="5"/>
  </w:num>
  <w:num w:numId="7">
    <w:abstractNumId w:val="14"/>
  </w:num>
  <w:num w:numId="8">
    <w:abstractNumId w:val="10"/>
  </w:num>
  <w:num w:numId="9">
    <w:abstractNumId w:val="4"/>
  </w:num>
  <w:num w:numId="10">
    <w:abstractNumId w:val="9"/>
  </w:num>
  <w:num w:numId="11">
    <w:abstractNumId w:val="1"/>
  </w:num>
  <w:num w:numId="12">
    <w:abstractNumId w:val="15"/>
  </w:num>
  <w:num w:numId="13">
    <w:abstractNumId w:val="6"/>
  </w:num>
  <w:num w:numId="14">
    <w:abstractNumId w:val="0"/>
  </w:num>
  <w:num w:numId="15">
    <w:abstractNumId w:val="11"/>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8" w:dllVersion="513" w:checkStyle="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B97D30"/>
    <w:rsid w:val="0000029A"/>
    <w:rsid w:val="00000AD0"/>
    <w:rsid w:val="00000BDB"/>
    <w:rsid w:val="00001348"/>
    <w:rsid w:val="000016B8"/>
    <w:rsid w:val="00002DA2"/>
    <w:rsid w:val="000032D1"/>
    <w:rsid w:val="00004345"/>
    <w:rsid w:val="000063F5"/>
    <w:rsid w:val="00007245"/>
    <w:rsid w:val="00010C62"/>
    <w:rsid w:val="000148D9"/>
    <w:rsid w:val="00017C79"/>
    <w:rsid w:val="00017E45"/>
    <w:rsid w:val="00021687"/>
    <w:rsid w:val="00021691"/>
    <w:rsid w:val="00021919"/>
    <w:rsid w:val="00022A31"/>
    <w:rsid w:val="0002502C"/>
    <w:rsid w:val="000254FE"/>
    <w:rsid w:val="000261D3"/>
    <w:rsid w:val="00027AB8"/>
    <w:rsid w:val="00027C0D"/>
    <w:rsid w:val="000337A1"/>
    <w:rsid w:val="000369F8"/>
    <w:rsid w:val="000400D9"/>
    <w:rsid w:val="000404CC"/>
    <w:rsid w:val="00041019"/>
    <w:rsid w:val="00041549"/>
    <w:rsid w:val="000422EA"/>
    <w:rsid w:val="000422F7"/>
    <w:rsid w:val="00043F57"/>
    <w:rsid w:val="00045BBC"/>
    <w:rsid w:val="00046E20"/>
    <w:rsid w:val="0005051D"/>
    <w:rsid w:val="000507BE"/>
    <w:rsid w:val="000510F6"/>
    <w:rsid w:val="00051963"/>
    <w:rsid w:val="00055639"/>
    <w:rsid w:val="00056B06"/>
    <w:rsid w:val="00060E36"/>
    <w:rsid w:val="00060ED7"/>
    <w:rsid w:val="00062047"/>
    <w:rsid w:val="00062507"/>
    <w:rsid w:val="000626DC"/>
    <w:rsid w:val="00062AE3"/>
    <w:rsid w:val="00064BC3"/>
    <w:rsid w:val="0006613C"/>
    <w:rsid w:val="00066337"/>
    <w:rsid w:val="000736CF"/>
    <w:rsid w:val="00075879"/>
    <w:rsid w:val="00075A2D"/>
    <w:rsid w:val="00075C63"/>
    <w:rsid w:val="00077698"/>
    <w:rsid w:val="0008023A"/>
    <w:rsid w:val="00081FC3"/>
    <w:rsid w:val="000825AD"/>
    <w:rsid w:val="000835A2"/>
    <w:rsid w:val="000844B8"/>
    <w:rsid w:val="00085226"/>
    <w:rsid w:val="000872DE"/>
    <w:rsid w:val="00087695"/>
    <w:rsid w:val="000901E1"/>
    <w:rsid w:val="00091B43"/>
    <w:rsid w:val="000947FA"/>
    <w:rsid w:val="00094F4A"/>
    <w:rsid w:val="0009769B"/>
    <w:rsid w:val="000978B1"/>
    <w:rsid w:val="00097EB1"/>
    <w:rsid w:val="000A1CBE"/>
    <w:rsid w:val="000A2362"/>
    <w:rsid w:val="000A3AC8"/>
    <w:rsid w:val="000A5308"/>
    <w:rsid w:val="000A76A0"/>
    <w:rsid w:val="000A7FF8"/>
    <w:rsid w:val="000B0151"/>
    <w:rsid w:val="000B0CE3"/>
    <w:rsid w:val="000B1057"/>
    <w:rsid w:val="000B143F"/>
    <w:rsid w:val="000B1563"/>
    <w:rsid w:val="000B1711"/>
    <w:rsid w:val="000B318B"/>
    <w:rsid w:val="000B4B55"/>
    <w:rsid w:val="000B4B82"/>
    <w:rsid w:val="000C02C6"/>
    <w:rsid w:val="000C16FD"/>
    <w:rsid w:val="000C23CC"/>
    <w:rsid w:val="000C2C21"/>
    <w:rsid w:val="000C2D6A"/>
    <w:rsid w:val="000C4131"/>
    <w:rsid w:val="000C53E5"/>
    <w:rsid w:val="000C61D6"/>
    <w:rsid w:val="000D032A"/>
    <w:rsid w:val="000D3891"/>
    <w:rsid w:val="000D45D7"/>
    <w:rsid w:val="000D4826"/>
    <w:rsid w:val="000D49D6"/>
    <w:rsid w:val="000D623F"/>
    <w:rsid w:val="000D6F51"/>
    <w:rsid w:val="000D74B4"/>
    <w:rsid w:val="000E18A8"/>
    <w:rsid w:val="000E1D2D"/>
    <w:rsid w:val="000E1E74"/>
    <w:rsid w:val="000E2E65"/>
    <w:rsid w:val="000E370D"/>
    <w:rsid w:val="000E3D47"/>
    <w:rsid w:val="000E3EA9"/>
    <w:rsid w:val="000E3EFB"/>
    <w:rsid w:val="000E56C9"/>
    <w:rsid w:val="000E5A04"/>
    <w:rsid w:val="000E69B7"/>
    <w:rsid w:val="000F0234"/>
    <w:rsid w:val="000F07FA"/>
    <w:rsid w:val="000F14A1"/>
    <w:rsid w:val="000F15DA"/>
    <w:rsid w:val="000F208B"/>
    <w:rsid w:val="000F306E"/>
    <w:rsid w:val="000F3AEF"/>
    <w:rsid w:val="000F40DE"/>
    <w:rsid w:val="000F4705"/>
    <w:rsid w:val="000F472E"/>
    <w:rsid w:val="000F4FFA"/>
    <w:rsid w:val="000F54D4"/>
    <w:rsid w:val="000F57CB"/>
    <w:rsid w:val="001000C6"/>
    <w:rsid w:val="00100952"/>
    <w:rsid w:val="00100EDF"/>
    <w:rsid w:val="0010110A"/>
    <w:rsid w:val="00102CE8"/>
    <w:rsid w:val="00103CE4"/>
    <w:rsid w:val="00105DCA"/>
    <w:rsid w:val="0010689B"/>
    <w:rsid w:val="00111832"/>
    <w:rsid w:val="001124F1"/>
    <w:rsid w:val="001127A5"/>
    <w:rsid w:val="00114131"/>
    <w:rsid w:val="0011465E"/>
    <w:rsid w:val="00115764"/>
    <w:rsid w:val="00115D29"/>
    <w:rsid w:val="0011670F"/>
    <w:rsid w:val="00116901"/>
    <w:rsid w:val="00117ADC"/>
    <w:rsid w:val="00121761"/>
    <w:rsid w:val="001227BF"/>
    <w:rsid w:val="00122B2D"/>
    <w:rsid w:val="00123032"/>
    <w:rsid w:val="001238C1"/>
    <w:rsid w:val="0012747A"/>
    <w:rsid w:val="00127E7C"/>
    <w:rsid w:val="00130328"/>
    <w:rsid w:val="00131867"/>
    <w:rsid w:val="00131B2D"/>
    <w:rsid w:val="00132175"/>
    <w:rsid w:val="00132179"/>
    <w:rsid w:val="001323E0"/>
    <w:rsid w:val="00132D4E"/>
    <w:rsid w:val="00132D66"/>
    <w:rsid w:val="001341F3"/>
    <w:rsid w:val="001348C6"/>
    <w:rsid w:val="0014147D"/>
    <w:rsid w:val="00141872"/>
    <w:rsid w:val="001504C9"/>
    <w:rsid w:val="00151068"/>
    <w:rsid w:val="00152065"/>
    <w:rsid w:val="001556B8"/>
    <w:rsid w:val="001560E4"/>
    <w:rsid w:val="001561F6"/>
    <w:rsid w:val="0015624B"/>
    <w:rsid w:val="00156C9C"/>
    <w:rsid w:val="00156E35"/>
    <w:rsid w:val="00157D8B"/>
    <w:rsid w:val="00160B61"/>
    <w:rsid w:val="001619A8"/>
    <w:rsid w:val="001624AB"/>
    <w:rsid w:val="001629E3"/>
    <w:rsid w:val="00162E29"/>
    <w:rsid w:val="00164EFA"/>
    <w:rsid w:val="00165822"/>
    <w:rsid w:val="00166DD5"/>
    <w:rsid w:val="00167788"/>
    <w:rsid w:val="0017120A"/>
    <w:rsid w:val="00171949"/>
    <w:rsid w:val="00171C95"/>
    <w:rsid w:val="0017304D"/>
    <w:rsid w:val="00174D69"/>
    <w:rsid w:val="0017599F"/>
    <w:rsid w:val="00175E74"/>
    <w:rsid w:val="00175F52"/>
    <w:rsid w:val="00176AA1"/>
    <w:rsid w:val="001836FD"/>
    <w:rsid w:val="001839BF"/>
    <w:rsid w:val="00183F1C"/>
    <w:rsid w:val="001850F7"/>
    <w:rsid w:val="00185CEA"/>
    <w:rsid w:val="0018680F"/>
    <w:rsid w:val="00190B54"/>
    <w:rsid w:val="00191327"/>
    <w:rsid w:val="00191BE6"/>
    <w:rsid w:val="001936EC"/>
    <w:rsid w:val="001937A2"/>
    <w:rsid w:val="00193954"/>
    <w:rsid w:val="00193FEF"/>
    <w:rsid w:val="00196149"/>
    <w:rsid w:val="001A0528"/>
    <w:rsid w:val="001A195D"/>
    <w:rsid w:val="001A1E79"/>
    <w:rsid w:val="001A261C"/>
    <w:rsid w:val="001A34FE"/>
    <w:rsid w:val="001A35BF"/>
    <w:rsid w:val="001A476A"/>
    <w:rsid w:val="001A7970"/>
    <w:rsid w:val="001B1CD9"/>
    <w:rsid w:val="001B4654"/>
    <w:rsid w:val="001B56C7"/>
    <w:rsid w:val="001B76EC"/>
    <w:rsid w:val="001B7C79"/>
    <w:rsid w:val="001C04CF"/>
    <w:rsid w:val="001C04DB"/>
    <w:rsid w:val="001C0BCD"/>
    <w:rsid w:val="001C2750"/>
    <w:rsid w:val="001C2ADA"/>
    <w:rsid w:val="001C5655"/>
    <w:rsid w:val="001C60E1"/>
    <w:rsid w:val="001C6C05"/>
    <w:rsid w:val="001D019C"/>
    <w:rsid w:val="001D0C2E"/>
    <w:rsid w:val="001D1C78"/>
    <w:rsid w:val="001D24C2"/>
    <w:rsid w:val="001D2FD4"/>
    <w:rsid w:val="001D3B5C"/>
    <w:rsid w:val="001D3C10"/>
    <w:rsid w:val="001D3F3F"/>
    <w:rsid w:val="001D6CCE"/>
    <w:rsid w:val="001D74F2"/>
    <w:rsid w:val="001E003D"/>
    <w:rsid w:val="001E028A"/>
    <w:rsid w:val="001E03B1"/>
    <w:rsid w:val="001E148E"/>
    <w:rsid w:val="001E1A40"/>
    <w:rsid w:val="001E1FC9"/>
    <w:rsid w:val="001E24FA"/>
    <w:rsid w:val="001E27D9"/>
    <w:rsid w:val="001E3DC6"/>
    <w:rsid w:val="001E72C6"/>
    <w:rsid w:val="001F0651"/>
    <w:rsid w:val="001F0FBB"/>
    <w:rsid w:val="001F400F"/>
    <w:rsid w:val="001F44B1"/>
    <w:rsid w:val="001F49D5"/>
    <w:rsid w:val="001F4E01"/>
    <w:rsid w:val="001F524E"/>
    <w:rsid w:val="001F622F"/>
    <w:rsid w:val="001F6B35"/>
    <w:rsid w:val="001F7AED"/>
    <w:rsid w:val="00201986"/>
    <w:rsid w:val="00201B54"/>
    <w:rsid w:val="00202220"/>
    <w:rsid w:val="002028A0"/>
    <w:rsid w:val="0020393D"/>
    <w:rsid w:val="00204D1C"/>
    <w:rsid w:val="00204DA6"/>
    <w:rsid w:val="0020623F"/>
    <w:rsid w:val="002073E7"/>
    <w:rsid w:val="002079FA"/>
    <w:rsid w:val="00211BAC"/>
    <w:rsid w:val="00211CC8"/>
    <w:rsid w:val="00214A5C"/>
    <w:rsid w:val="0021524F"/>
    <w:rsid w:val="00215CE0"/>
    <w:rsid w:val="00217268"/>
    <w:rsid w:val="00217B38"/>
    <w:rsid w:val="0022033A"/>
    <w:rsid w:val="002205BE"/>
    <w:rsid w:val="00220CE7"/>
    <w:rsid w:val="00221327"/>
    <w:rsid w:val="00222747"/>
    <w:rsid w:val="002229DB"/>
    <w:rsid w:val="002243BF"/>
    <w:rsid w:val="002268EA"/>
    <w:rsid w:val="0022728B"/>
    <w:rsid w:val="00227292"/>
    <w:rsid w:val="00227399"/>
    <w:rsid w:val="002302CF"/>
    <w:rsid w:val="0023074F"/>
    <w:rsid w:val="0023165A"/>
    <w:rsid w:val="00231DF6"/>
    <w:rsid w:val="00232EE2"/>
    <w:rsid w:val="00233105"/>
    <w:rsid w:val="00233B57"/>
    <w:rsid w:val="00235E2D"/>
    <w:rsid w:val="00236166"/>
    <w:rsid w:val="002361D9"/>
    <w:rsid w:val="00237A50"/>
    <w:rsid w:val="00241DCF"/>
    <w:rsid w:val="00242149"/>
    <w:rsid w:val="0024265C"/>
    <w:rsid w:val="002436D2"/>
    <w:rsid w:val="00244F9B"/>
    <w:rsid w:val="00245BA4"/>
    <w:rsid w:val="00247025"/>
    <w:rsid w:val="002503F1"/>
    <w:rsid w:val="002544BD"/>
    <w:rsid w:val="00254660"/>
    <w:rsid w:val="00254CCB"/>
    <w:rsid w:val="00256874"/>
    <w:rsid w:val="00256EE9"/>
    <w:rsid w:val="00260B01"/>
    <w:rsid w:val="00261AE0"/>
    <w:rsid w:val="00264FF3"/>
    <w:rsid w:val="00265D16"/>
    <w:rsid w:val="00266405"/>
    <w:rsid w:val="00266CC6"/>
    <w:rsid w:val="0026792D"/>
    <w:rsid w:val="00270FE4"/>
    <w:rsid w:val="002719AE"/>
    <w:rsid w:val="002726E3"/>
    <w:rsid w:val="00272A1C"/>
    <w:rsid w:val="00273CD7"/>
    <w:rsid w:val="002742B8"/>
    <w:rsid w:val="0027438D"/>
    <w:rsid w:val="00274DC8"/>
    <w:rsid w:val="002755CB"/>
    <w:rsid w:val="00276CBC"/>
    <w:rsid w:val="002805B2"/>
    <w:rsid w:val="0028338D"/>
    <w:rsid w:val="00283918"/>
    <w:rsid w:val="00283ECC"/>
    <w:rsid w:val="002840FA"/>
    <w:rsid w:val="00286A36"/>
    <w:rsid w:val="00287CB4"/>
    <w:rsid w:val="00291C9D"/>
    <w:rsid w:val="0029286D"/>
    <w:rsid w:val="0029434D"/>
    <w:rsid w:val="00294DEA"/>
    <w:rsid w:val="002952BB"/>
    <w:rsid w:val="00297DE6"/>
    <w:rsid w:val="002A05F1"/>
    <w:rsid w:val="002A112B"/>
    <w:rsid w:val="002A12EC"/>
    <w:rsid w:val="002A1C57"/>
    <w:rsid w:val="002A30A2"/>
    <w:rsid w:val="002A403D"/>
    <w:rsid w:val="002A4351"/>
    <w:rsid w:val="002A5340"/>
    <w:rsid w:val="002A5696"/>
    <w:rsid w:val="002A66DF"/>
    <w:rsid w:val="002A700F"/>
    <w:rsid w:val="002A7C2C"/>
    <w:rsid w:val="002B00C5"/>
    <w:rsid w:val="002B1519"/>
    <w:rsid w:val="002B4757"/>
    <w:rsid w:val="002B5BCD"/>
    <w:rsid w:val="002B6047"/>
    <w:rsid w:val="002B72F8"/>
    <w:rsid w:val="002B737F"/>
    <w:rsid w:val="002B762F"/>
    <w:rsid w:val="002C050D"/>
    <w:rsid w:val="002C055E"/>
    <w:rsid w:val="002C0771"/>
    <w:rsid w:val="002C0AD5"/>
    <w:rsid w:val="002C0E86"/>
    <w:rsid w:val="002C1036"/>
    <w:rsid w:val="002C24E6"/>
    <w:rsid w:val="002C2B2E"/>
    <w:rsid w:val="002C442D"/>
    <w:rsid w:val="002C6687"/>
    <w:rsid w:val="002C7019"/>
    <w:rsid w:val="002C73F0"/>
    <w:rsid w:val="002D0F85"/>
    <w:rsid w:val="002D1681"/>
    <w:rsid w:val="002D2831"/>
    <w:rsid w:val="002D292F"/>
    <w:rsid w:val="002D2CA3"/>
    <w:rsid w:val="002D3311"/>
    <w:rsid w:val="002D5330"/>
    <w:rsid w:val="002D5384"/>
    <w:rsid w:val="002D6A70"/>
    <w:rsid w:val="002D6FF6"/>
    <w:rsid w:val="002E0758"/>
    <w:rsid w:val="002E0B2D"/>
    <w:rsid w:val="002E0E52"/>
    <w:rsid w:val="002E1EBE"/>
    <w:rsid w:val="002E2A42"/>
    <w:rsid w:val="002E2A54"/>
    <w:rsid w:val="002E2B54"/>
    <w:rsid w:val="002E2C32"/>
    <w:rsid w:val="002E7A29"/>
    <w:rsid w:val="002F0CC7"/>
    <w:rsid w:val="002F128D"/>
    <w:rsid w:val="002F1F00"/>
    <w:rsid w:val="002F387E"/>
    <w:rsid w:val="002F6D5F"/>
    <w:rsid w:val="002F6FAB"/>
    <w:rsid w:val="002F709A"/>
    <w:rsid w:val="002F72DE"/>
    <w:rsid w:val="002F7928"/>
    <w:rsid w:val="0030051A"/>
    <w:rsid w:val="00302475"/>
    <w:rsid w:val="003024B9"/>
    <w:rsid w:val="003032A7"/>
    <w:rsid w:val="00304947"/>
    <w:rsid w:val="003066C4"/>
    <w:rsid w:val="003078FC"/>
    <w:rsid w:val="00307B46"/>
    <w:rsid w:val="003109FB"/>
    <w:rsid w:val="00310B19"/>
    <w:rsid w:val="00311FD4"/>
    <w:rsid w:val="00317AA3"/>
    <w:rsid w:val="00320722"/>
    <w:rsid w:val="00321724"/>
    <w:rsid w:val="00321DDD"/>
    <w:rsid w:val="00324DDB"/>
    <w:rsid w:val="00325214"/>
    <w:rsid w:val="003253B5"/>
    <w:rsid w:val="00325FE3"/>
    <w:rsid w:val="003265FB"/>
    <w:rsid w:val="003271AD"/>
    <w:rsid w:val="00330048"/>
    <w:rsid w:val="0033112B"/>
    <w:rsid w:val="0033191D"/>
    <w:rsid w:val="00332F89"/>
    <w:rsid w:val="00334792"/>
    <w:rsid w:val="00335F4C"/>
    <w:rsid w:val="0033687A"/>
    <w:rsid w:val="00337BBD"/>
    <w:rsid w:val="0034334E"/>
    <w:rsid w:val="00345069"/>
    <w:rsid w:val="00346308"/>
    <w:rsid w:val="00350369"/>
    <w:rsid w:val="00350947"/>
    <w:rsid w:val="003518D9"/>
    <w:rsid w:val="00352E41"/>
    <w:rsid w:val="0035313C"/>
    <w:rsid w:val="00353424"/>
    <w:rsid w:val="00353643"/>
    <w:rsid w:val="003539AE"/>
    <w:rsid w:val="003546E3"/>
    <w:rsid w:val="003546F2"/>
    <w:rsid w:val="00354A6A"/>
    <w:rsid w:val="00354C76"/>
    <w:rsid w:val="003560CF"/>
    <w:rsid w:val="003561B1"/>
    <w:rsid w:val="003572A1"/>
    <w:rsid w:val="00360676"/>
    <w:rsid w:val="003606F9"/>
    <w:rsid w:val="00365985"/>
    <w:rsid w:val="00365D5D"/>
    <w:rsid w:val="00365E2F"/>
    <w:rsid w:val="003666C9"/>
    <w:rsid w:val="0036778E"/>
    <w:rsid w:val="0037086C"/>
    <w:rsid w:val="00374038"/>
    <w:rsid w:val="00374071"/>
    <w:rsid w:val="0037567C"/>
    <w:rsid w:val="003765D4"/>
    <w:rsid w:val="00377298"/>
    <w:rsid w:val="0038147D"/>
    <w:rsid w:val="00383BBD"/>
    <w:rsid w:val="0038488B"/>
    <w:rsid w:val="003866D2"/>
    <w:rsid w:val="00386EE4"/>
    <w:rsid w:val="003903D6"/>
    <w:rsid w:val="00391C4E"/>
    <w:rsid w:val="00391FC3"/>
    <w:rsid w:val="003920A3"/>
    <w:rsid w:val="00392498"/>
    <w:rsid w:val="00393E8B"/>
    <w:rsid w:val="00394613"/>
    <w:rsid w:val="0039594F"/>
    <w:rsid w:val="003967AF"/>
    <w:rsid w:val="00397C23"/>
    <w:rsid w:val="003A02A2"/>
    <w:rsid w:val="003A03AB"/>
    <w:rsid w:val="003A04DB"/>
    <w:rsid w:val="003A0A92"/>
    <w:rsid w:val="003A0D07"/>
    <w:rsid w:val="003A2465"/>
    <w:rsid w:val="003A26AA"/>
    <w:rsid w:val="003A3E43"/>
    <w:rsid w:val="003A4594"/>
    <w:rsid w:val="003A6315"/>
    <w:rsid w:val="003A6A0A"/>
    <w:rsid w:val="003A6FF6"/>
    <w:rsid w:val="003A7850"/>
    <w:rsid w:val="003B0074"/>
    <w:rsid w:val="003B19E6"/>
    <w:rsid w:val="003B1ABC"/>
    <w:rsid w:val="003B6E0E"/>
    <w:rsid w:val="003C1212"/>
    <w:rsid w:val="003C1332"/>
    <w:rsid w:val="003C2110"/>
    <w:rsid w:val="003C27A9"/>
    <w:rsid w:val="003C3299"/>
    <w:rsid w:val="003C332F"/>
    <w:rsid w:val="003C36D0"/>
    <w:rsid w:val="003C4C2F"/>
    <w:rsid w:val="003C588D"/>
    <w:rsid w:val="003C6FD2"/>
    <w:rsid w:val="003D0075"/>
    <w:rsid w:val="003D03E9"/>
    <w:rsid w:val="003D0E69"/>
    <w:rsid w:val="003D2784"/>
    <w:rsid w:val="003D3A6F"/>
    <w:rsid w:val="003D445D"/>
    <w:rsid w:val="003D55F7"/>
    <w:rsid w:val="003D55FB"/>
    <w:rsid w:val="003D5DCB"/>
    <w:rsid w:val="003D5EDD"/>
    <w:rsid w:val="003D6427"/>
    <w:rsid w:val="003D6F88"/>
    <w:rsid w:val="003E022A"/>
    <w:rsid w:val="003E06BD"/>
    <w:rsid w:val="003E200C"/>
    <w:rsid w:val="003E20D2"/>
    <w:rsid w:val="003E2D01"/>
    <w:rsid w:val="003E5AA1"/>
    <w:rsid w:val="003E69E6"/>
    <w:rsid w:val="003E6BC1"/>
    <w:rsid w:val="003F14DD"/>
    <w:rsid w:val="003F2C37"/>
    <w:rsid w:val="003F2CCD"/>
    <w:rsid w:val="003F3145"/>
    <w:rsid w:val="003F3EA2"/>
    <w:rsid w:val="003F40C6"/>
    <w:rsid w:val="003F50DF"/>
    <w:rsid w:val="003F525D"/>
    <w:rsid w:val="003F58AA"/>
    <w:rsid w:val="003F722C"/>
    <w:rsid w:val="003F7684"/>
    <w:rsid w:val="003F7790"/>
    <w:rsid w:val="00401E27"/>
    <w:rsid w:val="00401FC9"/>
    <w:rsid w:val="00402B91"/>
    <w:rsid w:val="004039CF"/>
    <w:rsid w:val="00403A97"/>
    <w:rsid w:val="00403ABF"/>
    <w:rsid w:val="00403F5B"/>
    <w:rsid w:val="00405305"/>
    <w:rsid w:val="004058C7"/>
    <w:rsid w:val="004065C0"/>
    <w:rsid w:val="00407F05"/>
    <w:rsid w:val="00407F11"/>
    <w:rsid w:val="00410A25"/>
    <w:rsid w:val="00410BDC"/>
    <w:rsid w:val="004115C0"/>
    <w:rsid w:val="00412ECF"/>
    <w:rsid w:val="00412F14"/>
    <w:rsid w:val="0041324B"/>
    <w:rsid w:val="004132BF"/>
    <w:rsid w:val="0041380F"/>
    <w:rsid w:val="004144A0"/>
    <w:rsid w:val="00415955"/>
    <w:rsid w:val="00415F56"/>
    <w:rsid w:val="0041716E"/>
    <w:rsid w:val="004211FC"/>
    <w:rsid w:val="0042207F"/>
    <w:rsid w:val="0042280F"/>
    <w:rsid w:val="00424ABF"/>
    <w:rsid w:val="004260B2"/>
    <w:rsid w:val="00427468"/>
    <w:rsid w:val="004277F9"/>
    <w:rsid w:val="00427B56"/>
    <w:rsid w:val="00431352"/>
    <w:rsid w:val="00431605"/>
    <w:rsid w:val="0043195E"/>
    <w:rsid w:val="0043289A"/>
    <w:rsid w:val="004334A7"/>
    <w:rsid w:val="0043384B"/>
    <w:rsid w:val="00433BE9"/>
    <w:rsid w:val="0043416E"/>
    <w:rsid w:val="004357AD"/>
    <w:rsid w:val="004371E5"/>
    <w:rsid w:val="0044079F"/>
    <w:rsid w:val="00440DDC"/>
    <w:rsid w:val="00441E26"/>
    <w:rsid w:val="00443DA4"/>
    <w:rsid w:val="00446B51"/>
    <w:rsid w:val="0045112F"/>
    <w:rsid w:val="00451170"/>
    <w:rsid w:val="00451E25"/>
    <w:rsid w:val="00452AE6"/>
    <w:rsid w:val="0045367C"/>
    <w:rsid w:val="004537A1"/>
    <w:rsid w:val="00453BEE"/>
    <w:rsid w:val="00454D9F"/>
    <w:rsid w:val="004565F1"/>
    <w:rsid w:val="00460D5B"/>
    <w:rsid w:val="00461605"/>
    <w:rsid w:val="00462FA5"/>
    <w:rsid w:val="00462FFC"/>
    <w:rsid w:val="004634DB"/>
    <w:rsid w:val="004638C8"/>
    <w:rsid w:val="00463D35"/>
    <w:rsid w:val="00464538"/>
    <w:rsid w:val="00464E16"/>
    <w:rsid w:val="00465401"/>
    <w:rsid w:val="0046585F"/>
    <w:rsid w:val="00465FAE"/>
    <w:rsid w:val="004678E7"/>
    <w:rsid w:val="00471307"/>
    <w:rsid w:val="0047171E"/>
    <w:rsid w:val="00471CE5"/>
    <w:rsid w:val="004724BC"/>
    <w:rsid w:val="004725C1"/>
    <w:rsid w:val="00472731"/>
    <w:rsid w:val="00473944"/>
    <w:rsid w:val="00474571"/>
    <w:rsid w:val="004746FD"/>
    <w:rsid w:val="004756A4"/>
    <w:rsid w:val="004800B8"/>
    <w:rsid w:val="004804E8"/>
    <w:rsid w:val="00483F7C"/>
    <w:rsid w:val="00484101"/>
    <w:rsid w:val="0048481C"/>
    <w:rsid w:val="00486E76"/>
    <w:rsid w:val="00490D3A"/>
    <w:rsid w:val="00490FD0"/>
    <w:rsid w:val="004913C1"/>
    <w:rsid w:val="00491A91"/>
    <w:rsid w:val="00492960"/>
    <w:rsid w:val="00494B6D"/>
    <w:rsid w:val="00494C17"/>
    <w:rsid w:val="00494E68"/>
    <w:rsid w:val="0049517D"/>
    <w:rsid w:val="0049566E"/>
    <w:rsid w:val="00496F98"/>
    <w:rsid w:val="00497C19"/>
    <w:rsid w:val="004A01E1"/>
    <w:rsid w:val="004A02B2"/>
    <w:rsid w:val="004A333C"/>
    <w:rsid w:val="004A4667"/>
    <w:rsid w:val="004A4F7F"/>
    <w:rsid w:val="004A5030"/>
    <w:rsid w:val="004B10E5"/>
    <w:rsid w:val="004B1A42"/>
    <w:rsid w:val="004B36C0"/>
    <w:rsid w:val="004B39BE"/>
    <w:rsid w:val="004B5EFE"/>
    <w:rsid w:val="004B64BF"/>
    <w:rsid w:val="004C1985"/>
    <w:rsid w:val="004C1F91"/>
    <w:rsid w:val="004C78ED"/>
    <w:rsid w:val="004C7C7A"/>
    <w:rsid w:val="004D0276"/>
    <w:rsid w:val="004D0808"/>
    <w:rsid w:val="004D1847"/>
    <w:rsid w:val="004D1D66"/>
    <w:rsid w:val="004D1F37"/>
    <w:rsid w:val="004D2FDC"/>
    <w:rsid w:val="004D4F46"/>
    <w:rsid w:val="004D56DA"/>
    <w:rsid w:val="004D5BA2"/>
    <w:rsid w:val="004D639C"/>
    <w:rsid w:val="004D6918"/>
    <w:rsid w:val="004D7524"/>
    <w:rsid w:val="004E0833"/>
    <w:rsid w:val="004E12DB"/>
    <w:rsid w:val="004E1836"/>
    <w:rsid w:val="004E19BE"/>
    <w:rsid w:val="004E1F7B"/>
    <w:rsid w:val="004E2DFE"/>
    <w:rsid w:val="004E3558"/>
    <w:rsid w:val="004E45D2"/>
    <w:rsid w:val="004E66BF"/>
    <w:rsid w:val="004E6F53"/>
    <w:rsid w:val="004E77E4"/>
    <w:rsid w:val="004E796C"/>
    <w:rsid w:val="004F059E"/>
    <w:rsid w:val="004F085E"/>
    <w:rsid w:val="004F08DB"/>
    <w:rsid w:val="004F2749"/>
    <w:rsid w:val="004F29DC"/>
    <w:rsid w:val="004F2C59"/>
    <w:rsid w:val="004F3345"/>
    <w:rsid w:val="004F383F"/>
    <w:rsid w:val="004F3A32"/>
    <w:rsid w:val="004F4DD5"/>
    <w:rsid w:val="004F5F11"/>
    <w:rsid w:val="004F6280"/>
    <w:rsid w:val="004F6EDF"/>
    <w:rsid w:val="004F78DC"/>
    <w:rsid w:val="00501C7E"/>
    <w:rsid w:val="005025A1"/>
    <w:rsid w:val="00503277"/>
    <w:rsid w:val="00503D93"/>
    <w:rsid w:val="0050406B"/>
    <w:rsid w:val="00504FB9"/>
    <w:rsid w:val="005067F8"/>
    <w:rsid w:val="00506A62"/>
    <w:rsid w:val="00511D8B"/>
    <w:rsid w:val="00512796"/>
    <w:rsid w:val="0051297E"/>
    <w:rsid w:val="00513BC2"/>
    <w:rsid w:val="00514DC5"/>
    <w:rsid w:val="0051542B"/>
    <w:rsid w:val="00515931"/>
    <w:rsid w:val="00515A60"/>
    <w:rsid w:val="00515C3C"/>
    <w:rsid w:val="00516083"/>
    <w:rsid w:val="00520814"/>
    <w:rsid w:val="005212DF"/>
    <w:rsid w:val="0052210E"/>
    <w:rsid w:val="00522419"/>
    <w:rsid w:val="005234A4"/>
    <w:rsid w:val="00523F04"/>
    <w:rsid w:val="005252BC"/>
    <w:rsid w:val="00525E1A"/>
    <w:rsid w:val="00525FC3"/>
    <w:rsid w:val="00526202"/>
    <w:rsid w:val="005263DF"/>
    <w:rsid w:val="00526564"/>
    <w:rsid w:val="00526F6A"/>
    <w:rsid w:val="00527466"/>
    <w:rsid w:val="00527A9E"/>
    <w:rsid w:val="0053006E"/>
    <w:rsid w:val="005305BC"/>
    <w:rsid w:val="0053101D"/>
    <w:rsid w:val="005312E8"/>
    <w:rsid w:val="0053214D"/>
    <w:rsid w:val="005331C1"/>
    <w:rsid w:val="00533794"/>
    <w:rsid w:val="00534761"/>
    <w:rsid w:val="00536001"/>
    <w:rsid w:val="005364E7"/>
    <w:rsid w:val="0053652E"/>
    <w:rsid w:val="00537DCC"/>
    <w:rsid w:val="005400B0"/>
    <w:rsid w:val="00542744"/>
    <w:rsid w:val="0054285B"/>
    <w:rsid w:val="00544646"/>
    <w:rsid w:val="00545DD0"/>
    <w:rsid w:val="00547D0D"/>
    <w:rsid w:val="005505F4"/>
    <w:rsid w:val="00553DA2"/>
    <w:rsid w:val="0055416F"/>
    <w:rsid w:val="0056050F"/>
    <w:rsid w:val="00560C1E"/>
    <w:rsid w:val="0056150D"/>
    <w:rsid w:val="00561DC4"/>
    <w:rsid w:val="005622AD"/>
    <w:rsid w:val="00565502"/>
    <w:rsid w:val="005660F0"/>
    <w:rsid w:val="0056712B"/>
    <w:rsid w:val="00571FB6"/>
    <w:rsid w:val="00572030"/>
    <w:rsid w:val="0057224A"/>
    <w:rsid w:val="00572DF1"/>
    <w:rsid w:val="0057473F"/>
    <w:rsid w:val="005750DB"/>
    <w:rsid w:val="005762B2"/>
    <w:rsid w:val="00576EAA"/>
    <w:rsid w:val="005773D8"/>
    <w:rsid w:val="005779F5"/>
    <w:rsid w:val="0058003A"/>
    <w:rsid w:val="005806E0"/>
    <w:rsid w:val="005814B8"/>
    <w:rsid w:val="005818A1"/>
    <w:rsid w:val="0058450C"/>
    <w:rsid w:val="00584FE3"/>
    <w:rsid w:val="005851E8"/>
    <w:rsid w:val="0058536E"/>
    <w:rsid w:val="00587304"/>
    <w:rsid w:val="005877FD"/>
    <w:rsid w:val="00587C49"/>
    <w:rsid w:val="00587D6C"/>
    <w:rsid w:val="00590DE3"/>
    <w:rsid w:val="005929CE"/>
    <w:rsid w:val="005936AF"/>
    <w:rsid w:val="00595FE8"/>
    <w:rsid w:val="0059630C"/>
    <w:rsid w:val="0059698D"/>
    <w:rsid w:val="0059740F"/>
    <w:rsid w:val="005A06C1"/>
    <w:rsid w:val="005A06C5"/>
    <w:rsid w:val="005A18EB"/>
    <w:rsid w:val="005A284A"/>
    <w:rsid w:val="005A34E8"/>
    <w:rsid w:val="005A4E01"/>
    <w:rsid w:val="005A4F32"/>
    <w:rsid w:val="005A778B"/>
    <w:rsid w:val="005A7C96"/>
    <w:rsid w:val="005B10FB"/>
    <w:rsid w:val="005B193A"/>
    <w:rsid w:val="005B1BCE"/>
    <w:rsid w:val="005B1CC0"/>
    <w:rsid w:val="005B2C12"/>
    <w:rsid w:val="005B2E01"/>
    <w:rsid w:val="005B34CD"/>
    <w:rsid w:val="005B45CA"/>
    <w:rsid w:val="005B576E"/>
    <w:rsid w:val="005B6D45"/>
    <w:rsid w:val="005B6D7D"/>
    <w:rsid w:val="005B6E70"/>
    <w:rsid w:val="005C0EED"/>
    <w:rsid w:val="005C1406"/>
    <w:rsid w:val="005C1C54"/>
    <w:rsid w:val="005C2D25"/>
    <w:rsid w:val="005C2DC9"/>
    <w:rsid w:val="005C2E43"/>
    <w:rsid w:val="005C3E76"/>
    <w:rsid w:val="005C5ACF"/>
    <w:rsid w:val="005C5D1A"/>
    <w:rsid w:val="005C5FA6"/>
    <w:rsid w:val="005C6FFF"/>
    <w:rsid w:val="005D02E6"/>
    <w:rsid w:val="005D0793"/>
    <w:rsid w:val="005D1262"/>
    <w:rsid w:val="005D1327"/>
    <w:rsid w:val="005D26CC"/>
    <w:rsid w:val="005D2B8F"/>
    <w:rsid w:val="005D3A58"/>
    <w:rsid w:val="005D58BD"/>
    <w:rsid w:val="005D7B2D"/>
    <w:rsid w:val="005D7CD1"/>
    <w:rsid w:val="005E07D3"/>
    <w:rsid w:val="005E0B8D"/>
    <w:rsid w:val="005E1CFD"/>
    <w:rsid w:val="005E1FA0"/>
    <w:rsid w:val="005E3D5B"/>
    <w:rsid w:val="005E4563"/>
    <w:rsid w:val="005E4DE9"/>
    <w:rsid w:val="005E56A5"/>
    <w:rsid w:val="005E5B7F"/>
    <w:rsid w:val="005E6819"/>
    <w:rsid w:val="005E771E"/>
    <w:rsid w:val="005E7B2B"/>
    <w:rsid w:val="005F0611"/>
    <w:rsid w:val="005F068E"/>
    <w:rsid w:val="005F0E45"/>
    <w:rsid w:val="005F1379"/>
    <w:rsid w:val="005F174F"/>
    <w:rsid w:val="005F2557"/>
    <w:rsid w:val="005F26C2"/>
    <w:rsid w:val="005F32AE"/>
    <w:rsid w:val="005F44B8"/>
    <w:rsid w:val="005F4688"/>
    <w:rsid w:val="006002DE"/>
    <w:rsid w:val="006013FB"/>
    <w:rsid w:val="0060397A"/>
    <w:rsid w:val="006054C9"/>
    <w:rsid w:val="006059DA"/>
    <w:rsid w:val="00605BBA"/>
    <w:rsid w:val="00605DE7"/>
    <w:rsid w:val="006062E1"/>
    <w:rsid w:val="00606E6C"/>
    <w:rsid w:val="00610FFE"/>
    <w:rsid w:val="0061161F"/>
    <w:rsid w:val="00613BD7"/>
    <w:rsid w:val="0061522E"/>
    <w:rsid w:val="00615EBC"/>
    <w:rsid w:val="006213AF"/>
    <w:rsid w:val="00621CDC"/>
    <w:rsid w:val="00622627"/>
    <w:rsid w:val="0062313B"/>
    <w:rsid w:val="006240EF"/>
    <w:rsid w:val="00624463"/>
    <w:rsid w:val="00624566"/>
    <w:rsid w:val="00624A38"/>
    <w:rsid w:val="00624FF0"/>
    <w:rsid w:val="00625A92"/>
    <w:rsid w:val="00626D61"/>
    <w:rsid w:val="00631EFD"/>
    <w:rsid w:val="006354FE"/>
    <w:rsid w:val="00636CA2"/>
    <w:rsid w:val="00636E69"/>
    <w:rsid w:val="006403D3"/>
    <w:rsid w:val="00641594"/>
    <w:rsid w:val="00641A4F"/>
    <w:rsid w:val="00642966"/>
    <w:rsid w:val="00642E6D"/>
    <w:rsid w:val="006435C4"/>
    <w:rsid w:val="00644076"/>
    <w:rsid w:val="00644BA5"/>
    <w:rsid w:val="00645269"/>
    <w:rsid w:val="00645ED4"/>
    <w:rsid w:val="0064744F"/>
    <w:rsid w:val="00647E0C"/>
    <w:rsid w:val="006502AA"/>
    <w:rsid w:val="0065111B"/>
    <w:rsid w:val="00651436"/>
    <w:rsid w:val="0065306F"/>
    <w:rsid w:val="00653294"/>
    <w:rsid w:val="00654752"/>
    <w:rsid w:val="00654759"/>
    <w:rsid w:val="00655505"/>
    <w:rsid w:val="0065556F"/>
    <w:rsid w:val="00661EE4"/>
    <w:rsid w:val="00663584"/>
    <w:rsid w:val="006639DA"/>
    <w:rsid w:val="00663BEC"/>
    <w:rsid w:val="00663D86"/>
    <w:rsid w:val="00666117"/>
    <w:rsid w:val="00666943"/>
    <w:rsid w:val="0066796C"/>
    <w:rsid w:val="00670635"/>
    <w:rsid w:val="00671D69"/>
    <w:rsid w:val="006733EC"/>
    <w:rsid w:val="00673D32"/>
    <w:rsid w:val="00673F81"/>
    <w:rsid w:val="0067518E"/>
    <w:rsid w:val="0067729A"/>
    <w:rsid w:val="00680703"/>
    <w:rsid w:val="00680DDB"/>
    <w:rsid w:val="00682555"/>
    <w:rsid w:val="00683236"/>
    <w:rsid w:val="00683B78"/>
    <w:rsid w:val="00684048"/>
    <w:rsid w:val="00687A3A"/>
    <w:rsid w:val="00691A47"/>
    <w:rsid w:val="00692D1E"/>
    <w:rsid w:val="006940B6"/>
    <w:rsid w:val="006958DB"/>
    <w:rsid w:val="00696FCD"/>
    <w:rsid w:val="00697CFC"/>
    <w:rsid w:val="006A0F0A"/>
    <w:rsid w:val="006A1E3D"/>
    <w:rsid w:val="006A21C0"/>
    <w:rsid w:val="006A230C"/>
    <w:rsid w:val="006A2F07"/>
    <w:rsid w:val="006A4F76"/>
    <w:rsid w:val="006A5EC1"/>
    <w:rsid w:val="006A6F11"/>
    <w:rsid w:val="006A7ADB"/>
    <w:rsid w:val="006B0377"/>
    <w:rsid w:val="006B06D7"/>
    <w:rsid w:val="006B448E"/>
    <w:rsid w:val="006B5B2A"/>
    <w:rsid w:val="006B5BD1"/>
    <w:rsid w:val="006B5CD9"/>
    <w:rsid w:val="006B6DD6"/>
    <w:rsid w:val="006B76B8"/>
    <w:rsid w:val="006C00B0"/>
    <w:rsid w:val="006C1694"/>
    <w:rsid w:val="006C1AE1"/>
    <w:rsid w:val="006C1BAC"/>
    <w:rsid w:val="006C22C0"/>
    <w:rsid w:val="006C4022"/>
    <w:rsid w:val="006C49D3"/>
    <w:rsid w:val="006C4C83"/>
    <w:rsid w:val="006C516F"/>
    <w:rsid w:val="006C5993"/>
    <w:rsid w:val="006C5A9A"/>
    <w:rsid w:val="006C607B"/>
    <w:rsid w:val="006C7B03"/>
    <w:rsid w:val="006D26E1"/>
    <w:rsid w:val="006D27A0"/>
    <w:rsid w:val="006D2E65"/>
    <w:rsid w:val="006D3498"/>
    <w:rsid w:val="006D366C"/>
    <w:rsid w:val="006D36FA"/>
    <w:rsid w:val="006D4E52"/>
    <w:rsid w:val="006D5B52"/>
    <w:rsid w:val="006D70AD"/>
    <w:rsid w:val="006E02FE"/>
    <w:rsid w:val="006E0B05"/>
    <w:rsid w:val="006E1CD8"/>
    <w:rsid w:val="006E1EED"/>
    <w:rsid w:val="006E42A6"/>
    <w:rsid w:val="006E42FE"/>
    <w:rsid w:val="006E498C"/>
    <w:rsid w:val="006E5954"/>
    <w:rsid w:val="006E625C"/>
    <w:rsid w:val="006E6FCF"/>
    <w:rsid w:val="006E7861"/>
    <w:rsid w:val="006E7C68"/>
    <w:rsid w:val="006F0E32"/>
    <w:rsid w:val="006F139A"/>
    <w:rsid w:val="006F1D3C"/>
    <w:rsid w:val="006F2E54"/>
    <w:rsid w:val="006F483F"/>
    <w:rsid w:val="006F503F"/>
    <w:rsid w:val="006F6424"/>
    <w:rsid w:val="006F6494"/>
    <w:rsid w:val="006F68DA"/>
    <w:rsid w:val="006F7938"/>
    <w:rsid w:val="0070179E"/>
    <w:rsid w:val="007018B0"/>
    <w:rsid w:val="00701F7E"/>
    <w:rsid w:val="0070352A"/>
    <w:rsid w:val="00703988"/>
    <w:rsid w:val="00704FC3"/>
    <w:rsid w:val="0070526C"/>
    <w:rsid w:val="00705667"/>
    <w:rsid w:val="00707492"/>
    <w:rsid w:val="007102E1"/>
    <w:rsid w:val="007130C9"/>
    <w:rsid w:val="00713915"/>
    <w:rsid w:val="007144A1"/>
    <w:rsid w:val="00715EFC"/>
    <w:rsid w:val="00716F74"/>
    <w:rsid w:val="00720214"/>
    <w:rsid w:val="00720A2D"/>
    <w:rsid w:val="00720A3E"/>
    <w:rsid w:val="00721001"/>
    <w:rsid w:val="007225B3"/>
    <w:rsid w:val="007226FB"/>
    <w:rsid w:val="0072380E"/>
    <w:rsid w:val="00724F03"/>
    <w:rsid w:val="0072745B"/>
    <w:rsid w:val="0073087C"/>
    <w:rsid w:val="00730C8C"/>
    <w:rsid w:val="00730EE8"/>
    <w:rsid w:val="007316E2"/>
    <w:rsid w:val="00731ECD"/>
    <w:rsid w:val="007346E5"/>
    <w:rsid w:val="00735F7A"/>
    <w:rsid w:val="00736060"/>
    <w:rsid w:val="007404FF"/>
    <w:rsid w:val="00740C4D"/>
    <w:rsid w:val="00741A1E"/>
    <w:rsid w:val="00742245"/>
    <w:rsid w:val="00743BBC"/>
    <w:rsid w:val="00744543"/>
    <w:rsid w:val="00746681"/>
    <w:rsid w:val="00746A65"/>
    <w:rsid w:val="0075041D"/>
    <w:rsid w:val="00751221"/>
    <w:rsid w:val="00755346"/>
    <w:rsid w:val="00756853"/>
    <w:rsid w:val="00756E19"/>
    <w:rsid w:val="007575E0"/>
    <w:rsid w:val="00757B8A"/>
    <w:rsid w:val="00760014"/>
    <w:rsid w:val="00760BB1"/>
    <w:rsid w:val="00760D94"/>
    <w:rsid w:val="0076179A"/>
    <w:rsid w:val="00761A75"/>
    <w:rsid w:val="00761EDA"/>
    <w:rsid w:val="00762422"/>
    <w:rsid w:val="0076291B"/>
    <w:rsid w:val="00762BC6"/>
    <w:rsid w:val="0076326B"/>
    <w:rsid w:val="0076390E"/>
    <w:rsid w:val="00764A43"/>
    <w:rsid w:val="00765F61"/>
    <w:rsid w:val="00766333"/>
    <w:rsid w:val="00766C0F"/>
    <w:rsid w:val="00766E00"/>
    <w:rsid w:val="0076732D"/>
    <w:rsid w:val="007710E2"/>
    <w:rsid w:val="00773E22"/>
    <w:rsid w:val="00775B81"/>
    <w:rsid w:val="00776220"/>
    <w:rsid w:val="00776810"/>
    <w:rsid w:val="00776C6A"/>
    <w:rsid w:val="00776C7B"/>
    <w:rsid w:val="00776D93"/>
    <w:rsid w:val="00777174"/>
    <w:rsid w:val="0077741B"/>
    <w:rsid w:val="00777A87"/>
    <w:rsid w:val="00777FF7"/>
    <w:rsid w:val="00780631"/>
    <w:rsid w:val="0078078F"/>
    <w:rsid w:val="007815CA"/>
    <w:rsid w:val="00782E5E"/>
    <w:rsid w:val="00784272"/>
    <w:rsid w:val="0078477B"/>
    <w:rsid w:val="00785448"/>
    <w:rsid w:val="00790C01"/>
    <w:rsid w:val="007918E8"/>
    <w:rsid w:val="00793563"/>
    <w:rsid w:val="0079510E"/>
    <w:rsid w:val="007953DB"/>
    <w:rsid w:val="007959CE"/>
    <w:rsid w:val="00796DBA"/>
    <w:rsid w:val="00797480"/>
    <w:rsid w:val="007A0B5B"/>
    <w:rsid w:val="007A30E9"/>
    <w:rsid w:val="007A38F4"/>
    <w:rsid w:val="007A4BF0"/>
    <w:rsid w:val="007A5252"/>
    <w:rsid w:val="007A53B5"/>
    <w:rsid w:val="007A5C7C"/>
    <w:rsid w:val="007A6353"/>
    <w:rsid w:val="007A64DD"/>
    <w:rsid w:val="007A6D37"/>
    <w:rsid w:val="007B0050"/>
    <w:rsid w:val="007B01A5"/>
    <w:rsid w:val="007B063C"/>
    <w:rsid w:val="007B0FFE"/>
    <w:rsid w:val="007B63ED"/>
    <w:rsid w:val="007B64D5"/>
    <w:rsid w:val="007C03EB"/>
    <w:rsid w:val="007C0F48"/>
    <w:rsid w:val="007C314F"/>
    <w:rsid w:val="007C3C66"/>
    <w:rsid w:val="007C599F"/>
    <w:rsid w:val="007C6B8F"/>
    <w:rsid w:val="007C6BBC"/>
    <w:rsid w:val="007C6EB3"/>
    <w:rsid w:val="007D0F68"/>
    <w:rsid w:val="007D12C7"/>
    <w:rsid w:val="007D2478"/>
    <w:rsid w:val="007D2A5D"/>
    <w:rsid w:val="007D34E5"/>
    <w:rsid w:val="007D4B78"/>
    <w:rsid w:val="007D4BCB"/>
    <w:rsid w:val="007D4C11"/>
    <w:rsid w:val="007D4E60"/>
    <w:rsid w:val="007D6BE9"/>
    <w:rsid w:val="007D6C74"/>
    <w:rsid w:val="007D7BDD"/>
    <w:rsid w:val="007E0260"/>
    <w:rsid w:val="007E305B"/>
    <w:rsid w:val="007E38EF"/>
    <w:rsid w:val="007E652C"/>
    <w:rsid w:val="007E70FF"/>
    <w:rsid w:val="007F1B7D"/>
    <w:rsid w:val="007F1D44"/>
    <w:rsid w:val="007F24D6"/>
    <w:rsid w:val="007F2598"/>
    <w:rsid w:val="007F3673"/>
    <w:rsid w:val="007F4131"/>
    <w:rsid w:val="007F49E4"/>
    <w:rsid w:val="007F6483"/>
    <w:rsid w:val="00802AE4"/>
    <w:rsid w:val="0080368D"/>
    <w:rsid w:val="008047EA"/>
    <w:rsid w:val="00804951"/>
    <w:rsid w:val="00804FE0"/>
    <w:rsid w:val="00805195"/>
    <w:rsid w:val="00805C95"/>
    <w:rsid w:val="008062FD"/>
    <w:rsid w:val="00807D48"/>
    <w:rsid w:val="008107E7"/>
    <w:rsid w:val="00811500"/>
    <w:rsid w:val="00811CE5"/>
    <w:rsid w:val="008146DD"/>
    <w:rsid w:val="00815065"/>
    <w:rsid w:val="0081554C"/>
    <w:rsid w:val="008157E3"/>
    <w:rsid w:val="00815A1C"/>
    <w:rsid w:val="00815B48"/>
    <w:rsid w:val="00816B85"/>
    <w:rsid w:val="00820021"/>
    <w:rsid w:val="008208EC"/>
    <w:rsid w:val="00821C46"/>
    <w:rsid w:val="00821C5E"/>
    <w:rsid w:val="00824BE7"/>
    <w:rsid w:val="0082653E"/>
    <w:rsid w:val="00826B19"/>
    <w:rsid w:val="008272FD"/>
    <w:rsid w:val="00827B3A"/>
    <w:rsid w:val="00827FD5"/>
    <w:rsid w:val="00830A04"/>
    <w:rsid w:val="00830ECE"/>
    <w:rsid w:val="00831DC9"/>
    <w:rsid w:val="00831DFE"/>
    <w:rsid w:val="008324C7"/>
    <w:rsid w:val="00833D4A"/>
    <w:rsid w:val="00834484"/>
    <w:rsid w:val="00834F2A"/>
    <w:rsid w:val="00835585"/>
    <w:rsid w:val="00835A48"/>
    <w:rsid w:val="00835F71"/>
    <w:rsid w:val="00836D63"/>
    <w:rsid w:val="00837B08"/>
    <w:rsid w:val="008419BE"/>
    <w:rsid w:val="0084200F"/>
    <w:rsid w:val="008424C4"/>
    <w:rsid w:val="00842887"/>
    <w:rsid w:val="00843A5D"/>
    <w:rsid w:val="008457B3"/>
    <w:rsid w:val="00847798"/>
    <w:rsid w:val="008477EB"/>
    <w:rsid w:val="0084784C"/>
    <w:rsid w:val="00847F0A"/>
    <w:rsid w:val="00851C85"/>
    <w:rsid w:val="00855EBA"/>
    <w:rsid w:val="00860643"/>
    <w:rsid w:val="00864319"/>
    <w:rsid w:val="008647D8"/>
    <w:rsid w:val="00864E8F"/>
    <w:rsid w:val="008659B3"/>
    <w:rsid w:val="00865B71"/>
    <w:rsid w:val="008660AE"/>
    <w:rsid w:val="00866E9B"/>
    <w:rsid w:val="00867856"/>
    <w:rsid w:val="008679DD"/>
    <w:rsid w:val="00870298"/>
    <w:rsid w:val="008720B3"/>
    <w:rsid w:val="00872387"/>
    <w:rsid w:val="00874728"/>
    <w:rsid w:val="008762BE"/>
    <w:rsid w:val="00876472"/>
    <w:rsid w:val="00880B1E"/>
    <w:rsid w:val="00881974"/>
    <w:rsid w:val="008822C6"/>
    <w:rsid w:val="00882C9F"/>
    <w:rsid w:val="00884BBE"/>
    <w:rsid w:val="00886215"/>
    <w:rsid w:val="008906A7"/>
    <w:rsid w:val="00890DAB"/>
    <w:rsid w:val="00891563"/>
    <w:rsid w:val="0089192A"/>
    <w:rsid w:val="00891E5E"/>
    <w:rsid w:val="0089230A"/>
    <w:rsid w:val="00893338"/>
    <w:rsid w:val="00894D60"/>
    <w:rsid w:val="00894E84"/>
    <w:rsid w:val="00894F10"/>
    <w:rsid w:val="008954F1"/>
    <w:rsid w:val="00895815"/>
    <w:rsid w:val="00895FE9"/>
    <w:rsid w:val="00896FD4"/>
    <w:rsid w:val="00897128"/>
    <w:rsid w:val="008A0244"/>
    <w:rsid w:val="008A2A87"/>
    <w:rsid w:val="008A4A3D"/>
    <w:rsid w:val="008A54DD"/>
    <w:rsid w:val="008A6329"/>
    <w:rsid w:val="008B0D93"/>
    <w:rsid w:val="008B56B2"/>
    <w:rsid w:val="008B6216"/>
    <w:rsid w:val="008B6E67"/>
    <w:rsid w:val="008B7B1F"/>
    <w:rsid w:val="008C03F3"/>
    <w:rsid w:val="008C069C"/>
    <w:rsid w:val="008C287C"/>
    <w:rsid w:val="008C2901"/>
    <w:rsid w:val="008C2C8A"/>
    <w:rsid w:val="008C2E6A"/>
    <w:rsid w:val="008C4606"/>
    <w:rsid w:val="008C6AF0"/>
    <w:rsid w:val="008C6D24"/>
    <w:rsid w:val="008C6D37"/>
    <w:rsid w:val="008C7122"/>
    <w:rsid w:val="008C7C44"/>
    <w:rsid w:val="008D0E9B"/>
    <w:rsid w:val="008D154E"/>
    <w:rsid w:val="008D1559"/>
    <w:rsid w:val="008D30F1"/>
    <w:rsid w:val="008D312F"/>
    <w:rsid w:val="008D4406"/>
    <w:rsid w:val="008D4D85"/>
    <w:rsid w:val="008D5040"/>
    <w:rsid w:val="008D559D"/>
    <w:rsid w:val="008D719A"/>
    <w:rsid w:val="008D79D6"/>
    <w:rsid w:val="008E0797"/>
    <w:rsid w:val="008E0D17"/>
    <w:rsid w:val="008E0E39"/>
    <w:rsid w:val="008E2AB0"/>
    <w:rsid w:val="008E2BF4"/>
    <w:rsid w:val="008E2E67"/>
    <w:rsid w:val="008E3805"/>
    <w:rsid w:val="008E395B"/>
    <w:rsid w:val="008E39B4"/>
    <w:rsid w:val="008E3D34"/>
    <w:rsid w:val="008E3DAE"/>
    <w:rsid w:val="008E5258"/>
    <w:rsid w:val="008E54CF"/>
    <w:rsid w:val="008E5E0D"/>
    <w:rsid w:val="008E6147"/>
    <w:rsid w:val="008E65BC"/>
    <w:rsid w:val="008E6671"/>
    <w:rsid w:val="008E6AE5"/>
    <w:rsid w:val="008E73D7"/>
    <w:rsid w:val="008E7850"/>
    <w:rsid w:val="008F050C"/>
    <w:rsid w:val="008F0EA9"/>
    <w:rsid w:val="008F2C1B"/>
    <w:rsid w:val="008F302D"/>
    <w:rsid w:val="008F30F9"/>
    <w:rsid w:val="008F3810"/>
    <w:rsid w:val="008F3C1F"/>
    <w:rsid w:val="008F4610"/>
    <w:rsid w:val="008F49EE"/>
    <w:rsid w:val="008F66C9"/>
    <w:rsid w:val="008F6F4D"/>
    <w:rsid w:val="008F7C0D"/>
    <w:rsid w:val="008F7CD0"/>
    <w:rsid w:val="0090193C"/>
    <w:rsid w:val="00901AD8"/>
    <w:rsid w:val="009025C8"/>
    <w:rsid w:val="009026AE"/>
    <w:rsid w:val="009041F5"/>
    <w:rsid w:val="00904AB8"/>
    <w:rsid w:val="00904FF2"/>
    <w:rsid w:val="00905E33"/>
    <w:rsid w:val="00906F0B"/>
    <w:rsid w:val="009070C3"/>
    <w:rsid w:val="00910A0F"/>
    <w:rsid w:val="00911365"/>
    <w:rsid w:val="009122ED"/>
    <w:rsid w:val="009124AA"/>
    <w:rsid w:val="00912710"/>
    <w:rsid w:val="0091353C"/>
    <w:rsid w:val="0091444B"/>
    <w:rsid w:val="009144F3"/>
    <w:rsid w:val="00914D66"/>
    <w:rsid w:val="00914EE6"/>
    <w:rsid w:val="00915785"/>
    <w:rsid w:val="00915B69"/>
    <w:rsid w:val="00915D00"/>
    <w:rsid w:val="00916C18"/>
    <w:rsid w:val="0092081F"/>
    <w:rsid w:val="00921827"/>
    <w:rsid w:val="00925950"/>
    <w:rsid w:val="00932E7F"/>
    <w:rsid w:val="00933622"/>
    <w:rsid w:val="00933662"/>
    <w:rsid w:val="00934557"/>
    <w:rsid w:val="009355FE"/>
    <w:rsid w:val="00936404"/>
    <w:rsid w:val="009378C4"/>
    <w:rsid w:val="009402D4"/>
    <w:rsid w:val="00940BDE"/>
    <w:rsid w:val="0094153C"/>
    <w:rsid w:val="00942801"/>
    <w:rsid w:val="00943A6D"/>
    <w:rsid w:val="00943CC2"/>
    <w:rsid w:val="00943FD2"/>
    <w:rsid w:val="009447F0"/>
    <w:rsid w:val="00944E67"/>
    <w:rsid w:val="00946181"/>
    <w:rsid w:val="00946540"/>
    <w:rsid w:val="009465FA"/>
    <w:rsid w:val="00946614"/>
    <w:rsid w:val="00946D24"/>
    <w:rsid w:val="00947294"/>
    <w:rsid w:val="0095086D"/>
    <w:rsid w:val="009513A4"/>
    <w:rsid w:val="00951EB5"/>
    <w:rsid w:val="00951EB8"/>
    <w:rsid w:val="009539CC"/>
    <w:rsid w:val="00954B50"/>
    <w:rsid w:val="009557D2"/>
    <w:rsid w:val="00956A2D"/>
    <w:rsid w:val="00956A3E"/>
    <w:rsid w:val="00956EE0"/>
    <w:rsid w:val="00957C0F"/>
    <w:rsid w:val="009619EB"/>
    <w:rsid w:val="0096209C"/>
    <w:rsid w:val="00962951"/>
    <w:rsid w:val="00964927"/>
    <w:rsid w:val="00966515"/>
    <w:rsid w:val="00967C04"/>
    <w:rsid w:val="00967CC3"/>
    <w:rsid w:val="009711D2"/>
    <w:rsid w:val="009715A3"/>
    <w:rsid w:val="00971BC2"/>
    <w:rsid w:val="009727B7"/>
    <w:rsid w:val="00972979"/>
    <w:rsid w:val="009733A1"/>
    <w:rsid w:val="00976A69"/>
    <w:rsid w:val="00976E3E"/>
    <w:rsid w:val="00976EDF"/>
    <w:rsid w:val="00977545"/>
    <w:rsid w:val="009800B2"/>
    <w:rsid w:val="009803F1"/>
    <w:rsid w:val="00980AC1"/>
    <w:rsid w:val="009822F1"/>
    <w:rsid w:val="00983A87"/>
    <w:rsid w:val="00983C84"/>
    <w:rsid w:val="009866B1"/>
    <w:rsid w:val="009868C1"/>
    <w:rsid w:val="0098692F"/>
    <w:rsid w:val="009869B9"/>
    <w:rsid w:val="00986E98"/>
    <w:rsid w:val="009903CB"/>
    <w:rsid w:val="00990917"/>
    <w:rsid w:val="009909D9"/>
    <w:rsid w:val="00991078"/>
    <w:rsid w:val="009929EE"/>
    <w:rsid w:val="00992B2F"/>
    <w:rsid w:val="009935D1"/>
    <w:rsid w:val="009962A1"/>
    <w:rsid w:val="00996B27"/>
    <w:rsid w:val="009A257A"/>
    <w:rsid w:val="009A2915"/>
    <w:rsid w:val="009A2B4C"/>
    <w:rsid w:val="009A3309"/>
    <w:rsid w:val="009A417F"/>
    <w:rsid w:val="009A6B30"/>
    <w:rsid w:val="009A757E"/>
    <w:rsid w:val="009A7F4F"/>
    <w:rsid w:val="009B08A6"/>
    <w:rsid w:val="009B128C"/>
    <w:rsid w:val="009B1F50"/>
    <w:rsid w:val="009B231E"/>
    <w:rsid w:val="009B34BB"/>
    <w:rsid w:val="009B3D79"/>
    <w:rsid w:val="009B407F"/>
    <w:rsid w:val="009B4AAF"/>
    <w:rsid w:val="009B541E"/>
    <w:rsid w:val="009B5450"/>
    <w:rsid w:val="009B6017"/>
    <w:rsid w:val="009B67FB"/>
    <w:rsid w:val="009B6A40"/>
    <w:rsid w:val="009B6FF6"/>
    <w:rsid w:val="009B750B"/>
    <w:rsid w:val="009B7B82"/>
    <w:rsid w:val="009C10DD"/>
    <w:rsid w:val="009C155B"/>
    <w:rsid w:val="009C18B5"/>
    <w:rsid w:val="009C2057"/>
    <w:rsid w:val="009C2333"/>
    <w:rsid w:val="009C3D18"/>
    <w:rsid w:val="009C4C0C"/>
    <w:rsid w:val="009C4CA9"/>
    <w:rsid w:val="009C4DEE"/>
    <w:rsid w:val="009C4E5A"/>
    <w:rsid w:val="009C50A1"/>
    <w:rsid w:val="009D026D"/>
    <w:rsid w:val="009D04C7"/>
    <w:rsid w:val="009D12F5"/>
    <w:rsid w:val="009D36EB"/>
    <w:rsid w:val="009D45F3"/>
    <w:rsid w:val="009D57BB"/>
    <w:rsid w:val="009D5877"/>
    <w:rsid w:val="009E0208"/>
    <w:rsid w:val="009E1DD7"/>
    <w:rsid w:val="009E2514"/>
    <w:rsid w:val="009E2528"/>
    <w:rsid w:val="009E2E9F"/>
    <w:rsid w:val="009E3A08"/>
    <w:rsid w:val="009E49DB"/>
    <w:rsid w:val="009E51F1"/>
    <w:rsid w:val="009E5540"/>
    <w:rsid w:val="009E5733"/>
    <w:rsid w:val="009E5CAA"/>
    <w:rsid w:val="009E68A2"/>
    <w:rsid w:val="009E6DD0"/>
    <w:rsid w:val="009F20A5"/>
    <w:rsid w:val="009F6AD5"/>
    <w:rsid w:val="00A00849"/>
    <w:rsid w:val="00A02694"/>
    <w:rsid w:val="00A03B69"/>
    <w:rsid w:val="00A043E3"/>
    <w:rsid w:val="00A04EA3"/>
    <w:rsid w:val="00A051A9"/>
    <w:rsid w:val="00A059B2"/>
    <w:rsid w:val="00A05F2D"/>
    <w:rsid w:val="00A07AD1"/>
    <w:rsid w:val="00A07C8F"/>
    <w:rsid w:val="00A11576"/>
    <w:rsid w:val="00A11B45"/>
    <w:rsid w:val="00A13459"/>
    <w:rsid w:val="00A135F2"/>
    <w:rsid w:val="00A15B78"/>
    <w:rsid w:val="00A15F00"/>
    <w:rsid w:val="00A168A8"/>
    <w:rsid w:val="00A215A5"/>
    <w:rsid w:val="00A2181F"/>
    <w:rsid w:val="00A23283"/>
    <w:rsid w:val="00A251DE"/>
    <w:rsid w:val="00A25FF6"/>
    <w:rsid w:val="00A26856"/>
    <w:rsid w:val="00A2742F"/>
    <w:rsid w:val="00A30D30"/>
    <w:rsid w:val="00A310A6"/>
    <w:rsid w:val="00A322D8"/>
    <w:rsid w:val="00A33722"/>
    <w:rsid w:val="00A33C1B"/>
    <w:rsid w:val="00A342B0"/>
    <w:rsid w:val="00A3720B"/>
    <w:rsid w:val="00A428D7"/>
    <w:rsid w:val="00A43878"/>
    <w:rsid w:val="00A43E1A"/>
    <w:rsid w:val="00A45BC1"/>
    <w:rsid w:val="00A465A4"/>
    <w:rsid w:val="00A46E52"/>
    <w:rsid w:val="00A4721D"/>
    <w:rsid w:val="00A51518"/>
    <w:rsid w:val="00A51A6E"/>
    <w:rsid w:val="00A520D9"/>
    <w:rsid w:val="00A52D8D"/>
    <w:rsid w:val="00A53D3E"/>
    <w:rsid w:val="00A554E7"/>
    <w:rsid w:val="00A55843"/>
    <w:rsid w:val="00A56CDE"/>
    <w:rsid w:val="00A6080E"/>
    <w:rsid w:val="00A621BB"/>
    <w:rsid w:val="00A63B20"/>
    <w:rsid w:val="00A6436A"/>
    <w:rsid w:val="00A64867"/>
    <w:rsid w:val="00A648C9"/>
    <w:rsid w:val="00A64B26"/>
    <w:rsid w:val="00A650F3"/>
    <w:rsid w:val="00A66024"/>
    <w:rsid w:val="00A702FB"/>
    <w:rsid w:val="00A7050C"/>
    <w:rsid w:val="00A70D6D"/>
    <w:rsid w:val="00A71B97"/>
    <w:rsid w:val="00A72531"/>
    <w:rsid w:val="00A72B3C"/>
    <w:rsid w:val="00A735F8"/>
    <w:rsid w:val="00A73D3C"/>
    <w:rsid w:val="00A73EFD"/>
    <w:rsid w:val="00A74A43"/>
    <w:rsid w:val="00A75E4C"/>
    <w:rsid w:val="00A80051"/>
    <w:rsid w:val="00A80529"/>
    <w:rsid w:val="00A805C5"/>
    <w:rsid w:val="00A815A0"/>
    <w:rsid w:val="00A836B6"/>
    <w:rsid w:val="00A870CB"/>
    <w:rsid w:val="00A9055B"/>
    <w:rsid w:val="00A906D8"/>
    <w:rsid w:val="00A910FE"/>
    <w:rsid w:val="00A919E7"/>
    <w:rsid w:val="00A94432"/>
    <w:rsid w:val="00A9520A"/>
    <w:rsid w:val="00A967F4"/>
    <w:rsid w:val="00A97A2E"/>
    <w:rsid w:val="00A97FEF"/>
    <w:rsid w:val="00AA0E4C"/>
    <w:rsid w:val="00AA153C"/>
    <w:rsid w:val="00AA27EF"/>
    <w:rsid w:val="00AA62A9"/>
    <w:rsid w:val="00AA71D6"/>
    <w:rsid w:val="00AA7EDD"/>
    <w:rsid w:val="00AB0852"/>
    <w:rsid w:val="00AB09EE"/>
    <w:rsid w:val="00AB20E4"/>
    <w:rsid w:val="00AB3E2B"/>
    <w:rsid w:val="00AB574D"/>
    <w:rsid w:val="00AB7AFB"/>
    <w:rsid w:val="00AB7DB8"/>
    <w:rsid w:val="00AB7E9B"/>
    <w:rsid w:val="00AC033D"/>
    <w:rsid w:val="00AC2407"/>
    <w:rsid w:val="00AC25DB"/>
    <w:rsid w:val="00AC2F04"/>
    <w:rsid w:val="00AC343A"/>
    <w:rsid w:val="00AC35E9"/>
    <w:rsid w:val="00AC37D3"/>
    <w:rsid w:val="00AC3B9C"/>
    <w:rsid w:val="00AC46FE"/>
    <w:rsid w:val="00AC7250"/>
    <w:rsid w:val="00AC7E46"/>
    <w:rsid w:val="00AD04D8"/>
    <w:rsid w:val="00AD3492"/>
    <w:rsid w:val="00AD4A29"/>
    <w:rsid w:val="00AD5892"/>
    <w:rsid w:val="00AE0993"/>
    <w:rsid w:val="00AE0C1A"/>
    <w:rsid w:val="00AE22B3"/>
    <w:rsid w:val="00AE2473"/>
    <w:rsid w:val="00AE28DC"/>
    <w:rsid w:val="00AE3637"/>
    <w:rsid w:val="00AE39F3"/>
    <w:rsid w:val="00AE43A9"/>
    <w:rsid w:val="00AF0B37"/>
    <w:rsid w:val="00AF23F3"/>
    <w:rsid w:val="00AF2FC0"/>
    <w:rsid w:val="00AF309B"/>
    <w:rsid w:val="00AF3FDE"/>
    <w:rsid w:val="00AF5A4C"/>
    <w:rsid w:val="00AF7E58"/>
    <w:rsid w:val="00B0098C"/>
    <w:rsid w:val="00B01BE8"/>
    <w:rsid w:val="00B04950"/>
    <w:rsid w:val="00B051A5"/>
    <w:rsid w:val="00B05535"/>
    <w:rsid w:val="00B05B3F"/>
    <w:rsid w:val="00B05B5F"/>
    <w:rsid w:val="00B105F1"/>
    <w:rsid w:val="00B119F8"/>
    <w:rsid w:val="00B12A6B"/>
    <w:rsid w:val="00B13BAC"/>
    <w:rsid w:val="00B16095"/>
    <w:rsid w:val="00B17277"/>
    <w:rsid w:val="00B175DF"/>
    <w:rsid w:val="00B20CC3"/>
    <w:rsid w:val="00B21AE5"/>
    <w:rsid w:val="00B22195"/>
    <w:rsid w:val="00B25643"/>
    <w:rsid w:val="00B2668F"/>
    <w:rsid w:val="00B30425"/>
    <w:rsid w:val="00B304EF"/>
    <w:rsid w:val="00B31B0E"/>
    <w:rsid w:val="00B31BD1"/>
    <w:rsid w:val="00B3583F"/>
    <w:rsid w:val="00B35910"/>
    <w:rsid w:val="00B35D6D"/>
    <w:rsid w:val="00B36673"/>
    <w:rsid w:val="00B379A7"/>
    <w:rsid w:val="00B37DB2"/>
    <w:rsid w:val="00B40434"/>
    <w:rsid w:val="00B4149E"/>
    <w:rsid w:val="00B41A9F"/>
    <w:rsid w:val="00B4435D"/>
    <w:rsid w:val="00B456DD"/>
    <w:rsid w:val="00B45C02"/>
    <w:rsid w:val="00B45FD9"/>
    <w:rsid w:val="00B50C8F"/>
    <w:rsid w:val="00B5179E"/>
    <w:rsid w:val="00B52C1C"/>
    <w:rsid w:val="00B53059"/>
    <w:rsid w:val="00B548C4"/>
    <w:rsid w:val="00B54A99"/>
    <w:rsid w:val="00B56729"/>
    <w:rsid w:val="00B570E5"/>
    <w:rsid w:val="00B57FE0"/>
    <w:rsid w:val="00B57FFD"/>
    <w:rsid w:val="00B60C9B"/>
    <w:rsid w:val="00B62F62"/>
    <w:rsid w:val="00B63934"/>
    <w:rsid w:val="00B66300"/>
    <w:rsid w:val="00B663E0"/>
    <w:rsid w:val="00B66FFF"/>
    <w:rsid w:val="00B67656"/>
    <w:rsid w:val="00B704DD"/>
    <w:rsid w:val="00B73867"/>
    <w:rsid w:val="00B748DF"/>
    <w:rsid w:val="00B74CC0"/>
    <w:rsid w:val="00B75115"/>
    <w:rsid w:val="00B75F06"/>
    <w:rsid w:val="00B76770"/>
    <w:rsid w:val="00B82BD5"/>
    <w:rsid w:val="00B8306F"/>
    <w:rsid w:val="00B83364"/>
    <w:rsid w:val="00B83561"/>
    <w:rsid w:val="00B83952"/>
    <w:rsid w:val="00B84D5D"/>
    <w:rsid w:val="00B8525D"/>
    <w:rsid w:val="00B85B4E"/>
    <w:rsid w:val="00B865A7"/>
    <w:rsid w:val="00B86A7D"/>
    <w:rsid w:val="00B87523"/>
    <w:rsid w:val="00B87D6B"/>
    <w:rsid w:val="00B91DAF"/>
    <w:rsid w:val="00B92379"/>
    <w:rsid w:val="00B92D81"/>
    <w:rsid w:val="00B936DB"/>
    <w:rsid w:val="00B9407B"/>
    <w:rsid w:val="00B940E0"/>
    <w:rsid w:val="00B94609"/>
    <w:rsid w:val="00B948D7"/>
    <w:rsid w:val="00B95F99"/>
    <w:rsid w:val="00B964FA"/>
    <w:rsid w:val="00B970AE"/>
    <w:rsid w:val="00B97D30"/>
    <w:rsid w:val="00BA0ACD"/>
    <w:rsid w:val="00BA0D40"/>
    <w:rsid w:val="00BA2075"/>
    <w:rsid w:val="00BA2E7D"/>
    <w:rsid w:val="00BA3551"/>
    <w:rsid w:val="00BA3BD2"/>
    <w:rsid w:val="00BA4673"/>
    <w:rsid w:val="00BA4F3A"/>
    <w:rsid w:val="00BA5207"/>
    <w:rsid w:val="00BA5851"/>
    <w:rsid w:val="00BA5978"/>
    <w:rsid w:val="00BA6202"/>
    <w:rsid w:val="00BA6966"/>
    <w:rsid w:val="00BA77CF"/>
    <w:rsid w:val="00BA7B8E"/>
    <w:rsid w:val="00BB0405"/>
    <w:rsid w:val="00BB0EF9"/>
    <w:rsid w:val="00BB3333"/>
    <w:rsid w:val="00BB4198"/>
    <w:rsid w:val="00BB47C4"/>
    <w:rsid w:val="00BB5C9D"/>
    <w:rsid w:val="00BB6EF2"/>
    <w:rsid w:val="00BC16A3"/>
    <w:rsid w:val="00BC2B86"/>
    <w:rsid w:val="00BC3CF1"/>
    <w:rsid w:val="00BC4156"/>
    <w:rsid w:val="00BC4E75"/>
    <w:rsid w:val="00BC5252"/>
    <w:rsid w:val="00BC56B8"/>
    <w:rsid w:val="00BC5A9E"/>
    <w:rsid w:val="00BD073C"/>
    <w:rsid w:val="00BD1F43"/>
    <w:rsid w:val="00BD3998"/>
    <w:rsid w:val="00BD78AD"/>
    <w:rsid w:val="00BE0914"/>
    <w:rsid w:val="00BE1A89"/>
    <w:rsid w:val="00BE1BC6"/>
    <w:rsid w:val="00BE340F"/>
    <w:rsid w:val="00BE3417"/>
    <w:rsid w:val="00BE3513"/>
    <w:rsid w:val="00BE6405"/>
    <w:rsid w:val="00BE67E5"/>
    <w:rsid w:val="00BE6CFA"/>
    <w:rsid w:val="00BE70CF"/>
    <w:rsid w:val="00BE7CD2"/>
    <w:rsid w:val="00BE7F4C"/>
    <w:rsid w:val="00BF01BC"/>
    <w:rsid w:val="00BF0EA9"/>
    <w:rsid w:val="00BF1C4A"/>
    <w:rsid w:val="00BF1E08"/>
    <w:rsid w:val="00BF21D5"/>
    <w:rsid w:val="00BF27FA"/>
    <w:rsid w:val="00BF5D8B"/>
    <w:rsid w:val="00BF7170"/>
    <w:rsid w:val="00BF7231"/>
    <w:rsid w:val="00C0044C"/>
    <w:rsid w:val="00C02C45"/>
    <w:rsid w:val="00C032BA"/>
    <w:rsid w:val="00C032C8"/>
    <w:rsid w:val="00C033C2"/>
    <w:rsid w:val="00C03B54"/>
    <w:rsid w:val="00C0563F"/>
    <w:rsid w:val="00C063AB"/>
    <w:rsid w:val="00C06521"/>
    <w:rsid w:val="00C0758D"/>
    <w:rsid w:val="00C0776E"/>
    <w:rsid w:val="00C102C6"/>
    <w:rsid w:val="00C10DE5"/>
    <w:rsid w:val="00C121D4"/>
    <w:rsid w:val="00C124E5"/>
    <w:rsid w:val="00C13E1D"/>
    <w:rsid w:val="00C143F4"/>
    <w:rsid w:val="00C14D04"/>
    <w:rsid w:val="00C15613"/>
    <w:rsid w:val="00C15B3E"/>
    <w:rsid w:val="00C17693"/>
    <w:rsid w:val="00C17D77"/>
    <w:rsid w:val="00C20497"/>
    <w:rsid w:val="00C218B4"/>
    <w:rsid w:val="00C2378A"/>
    <w:rsid w:val="00C23877"/>
    <w:rsid w:val="00C24CA5"/>
    <w:rsid w:val="00C254EE"/>
    <w:rsid w:val="00C25B6A"/>
    <w:rsid w:val="00C26AC9"/>
    <w:rsid w:val="00C26EBA"/>
    <w:rsid w:val="00C32A94"/>
    <w:rsid w:val="00C333E5"/>
    <w:rsid w:val="00C34C6B"/>
    <w:rsid w:val="00C34CD5"/>
    <w:rsid w:val="00C4021A"/>
    <w:rsid w:val="00C40475"/>
    <w:rsid w:val="00C415F0"/>
    <w:rsid w:val="00C419D3"/>
    <w:rsid w:val="00C41F96"/>
    <w:rsid w:val="00C42F9A"/>
    <w:rsid w:val="00C44048"/>
    <w:rsid w:val="00C44503"/>
    <w:rsid w:val="00C44AB9"/>
    <w:rsid w:val="00C4583D"/>
    <w:rsid w:val="00C45DC6"/>
    <w:rsid w:val="00C46B18"/>
    <w:rsid w:val="00C46B7D"/>
    <w:rsid w:val="00C47A63"/>
    <w:rsid w:val="00C47D66"/>
    <w:rsid w:val="00C51440"/>
    <w:rsid w:val="00C51C37"/>
    <w:rsid w:val="00C52446"/>
    <w:rsid w:val="00C53686"/>
    <w:rsid w:val="00C53CEE"/>
    <w:rsid w:val="00C53D86"/>
    <w:rsid w:val="00C55019"/>
    <w:rsid w:val="00C56396"/>
    <w:rsid w:val="00C60761"/>
    <w:rsid w:val="00C61163"/>
    <w:rsid w:val="00C6158E"/>
    <w:rsid w:val="00C61AAC"/>
    <w:rsid w:val="00C63999"/>
    <w:rsid w:val="00C64EDA"/>
    <w:rsid w:val="00C64FE8"/>
    <w:rsid w:val="00C65AA2"/>
    <w:rsid w:val="00C6655E"/>
    <w:rsid w:val="00C66B6B"/>
    <w:rsid w:val="00C70623"/>
    <w:rsid w:val="00C72337"/>
    <w:rsid w:val="00C72E88"/>
    <w:rsid w:val="00C73437"/>
    <w:rsid w:val="00C73F50"/>
    <w:rsid w:val="00C7540F"/>
    <w:rsid w:val="00C75D27"/>
    <w:rsid w:val="00C772D4"/>
    <w:rsid w:val="00C8070A"/>
    <w:rsid w:val="00C807D5"/>
    <w:rsid w:val="00C83F8E"/>
    <w:rsid w:val="00C84502"/>
    <w:rsid w:val="00C848C7"/>
    <w:rsid w:val="00C86288"/>
    <w:rsid w:val="00C87381"/>
    <w:rsid w:val="00C87FBF"/>
    <w:rsid w:val="00C912D0"/>
    <w:rsid w:val="00C92589"/>
    <w:rsid w:val="00C97835"/>
    <w:rsid w:val="00CA083A"/>
    <w:rsid w:val="00CA191E"/>
    <w:rsid w:val="00CA1A8A"/>
    <w:rsid w:val="00CA2649"/>
    <w:rsid w:val="00CA321B"/>
    <w:rsid w:val="00CA4DE2"/>
    <w:rsid w:val="00CA519B"/>
    <w:rsid w:val="00CA535B"/>
    <w:rsid w:val="00CA5597"/>
    <w:rsid w:val="00CA6EF8"/>
    <w:rsid w:val="00CB0024"/>
    <w:rsid w:val="00CB0FD6"/>
    <w:rsid w:val="00CB232F"/>
    <w:rsid w:val="00CB2813"/>
    <w:rsid w:val="00CB2B20"/>
    <w:rsid w:val="00CB2F22"/>
    <w:rsid w:val="00CB4EA2"/>
    <w:rsid w:val="00CB74E1"/>
    <w:rsid w:val="00CC1FE3"/>
    <w:rsid w:val="00CC26F7"/>
    <w:rsid w:val="00CC2C70"/>
    <w:rsid w:val="00CC2DCD"/>
    <w:rsid w:val="00CC4EE6"/>
    <w:rsid w:val="00CC4F5E"/>
    <w:rsid w:val="00CC611D"/>
    <w:rsid w:val="00CC64A8"/>
    <w:rsid w:val="00CD0BDB"/>
    <w:rsid w:val="00CD0DAE"/>
    <w:rsid w:val="00CD1011"/>
    <w:rsid w:val="00CD4256"/>
    <w:rsid w:val="00CD68E3"/>
    <w:rsid w:val="00CD6F99"/>
    <w:rsid w:val="00CE0627"/>
    <w:rsid w:val="00CE27B5"/>
    <w:rsid w:val="00CE45A1"/>
    <w:rsid w:val="00CE55ED"/>
    <w:rsid w:val="00CE5623"/>
    <w:rsid w:val="00CE589A"/>
    <w:rsid w:val="00CE7114"/>
    <w:rsid w:val="00CE7F79"/>
    <w:rsid w:val="00CF0384"/>
    <w:rsid w:val="00CF1237"/>
    <w:rsid w:val="00CF21AC"/>
    <w:rsid w:val="00CF36CE"/>
    <w:rsid w:val="00CF4911"/>
    <w:rsid w:val="00CF5AB8"/>
    <w:rsid w:val="00CF60A6"/>
    <w:rsid w:val="00CF6146"/>
    <w:rsid w:val="00CF6400"/>
    <w:rsid w:val="00CF6B50"/>
    <w:rsid w:val="00D00164"/>
    <w:rsid w:val="00D0021D"/>
    <w:rsid w:val="00D007D2"/>
    <w:rsid w:val="00D0107E"/>
    <w:rsid w:val="00D0115F"/>
    <w:rsid w:val="00D0134E"/>
    <w:rsid w:val="00D0263A"/>
    <w:rsid w:val="00D02DDC"/>
    <w:rsid w:val="00D03F96"/>
    <w:rsid w:val="00D051D1"/>
    <w:rsid w:val="00D116F0"/>
    <w:rsid w:val="00D119E0"/>
    <w:rsid w:val="00D129C6"/>
    <w:rsid w:val="00D13084"/>
    <w:rsid w:val="00D13138"/>
    <w:rsid w:val="00D13E6D"/>
    <w:rsid w:val="00D14CF6"/>
    <w:rsid w:val="00D15629"/>
    <w:rsid w:val="00D172A0"/>
    <w:rsid w:val="00D1795E"/>
    <w:rsid w:val="00D17B0E"/>
    <w:rsid w:val="00D2011C"/>
    <w:rsid w:val="00D204C5"/>
    <w:rsid w:val="00D20E15"/>
    <w:rsid w:val="00D217D5"/>
    <w:rsid w:val="00D22387"/>
    <w:rsid w:val="00D22A31"/>
    <w:rsid w:val="00D23E00"/>
    <w:rsid w:val="00D26D00"/>
    <w:rsid w:val="00D273C8"/>
    <w:rsid w:val="00D30DBA"/>
    <w:rsid w:val="00D31194"/>
    <w:rsid w:val="00D313A2"/>
    <w:rsid w:val="00D32499"/>
    <w:rsid w:val="00D32F93"/>
    <w:rsid w:val="00D340C2"/>
    <w:rsid w:val="00D34E04"/>
    <w:rsid w:val="00D3548B"/>
    <w:rsid w:val="00D35D7C"/>
    <w:rsid w:val="00D36D11"/>
    <w:rsid w:val="00D36DDD"/>
    <w:rsid w:val="00D375C7"/>
    <w:rsid w:val="00D41367"/>
    <w:rsid w:val="00D4550E"/>
    <w:rsid w:val="00D455BB"/>
    <w:rsid w:val="00D45946"/>
    <w:rsid w:val="00D45D48"/>
    <w:rsid w:val="00D46235"/>
    <w:rsid w:val="00D474FF"/>
    <w:rsid w:val="00D5064E"/>
    <w:rsid w:val="00D50BFB"/>
    <w:rsid w:val="00D51619"/>
    <w:rsid w:val="00D525E2"/>
    <w:rsid w:val="00D5269F"/>
    <w:rsid w:val="00D5289A"/>
    <w:rsid w:val="00D53590"/>
    <w:rsid w:val="00D53651"/>
    <w:rsid w:val="00D54B33"/>
    <w:rsid w:val="00D54F26"/>
    <w:rsid w:val="00D55155"/>
    <w:rsid w:val="00D55268"/>
    <w:rsid w:val="00D5544A"/>
    <w:rsid w:val="00D56ADA"/>
    <w:rsid w:val="00D60570"/>
    <w:rsid w:val="00D60B71"/>
    <w:rsid w:val="00D6178C"/>
    <w:rsid w:val="00D6185C"/>
    <w:rsid w:val="00D64168"/>
    <w:rsid w:val="00D64A5A"/>
    <w:rsid w:val="00D64DEF"/>
    <w:rsid w:val="00D65DD4"/>
    <w:rsid w:val="00D6603C"/>
    <w:rsid w:val="00D672C9"/>
    <w:rsid w:val="00D675F2"/>
    <w:rsid w:val="00D71923"/>
    <w:rsid w:val="00D75AB8"/>
    <w:rsid w:val="00D76680"/>
    <w:rsid w:val="00D77AC6"/>
    <w:rsid w:val="00D8075D"/>
    <w:rsid w:val="00D81D13"/>
    <w:rsid w:val="00D829C3"/>
    <w:rsid w:val="00D82F45"/>
    <w:rsid w:val="00D86C9C"/>
    <w:rsid w:val="00D8722C"/>
    <w:rsid w:val="00D87428"/>
    <w:rsid w:val="00D87980"/>
    <w:rsid w:val="00D91752"/>
    <w:rsid w:val="00D92C28"/>
    <w:rsid w:val="00D92F84"/>
    <w:rsid w:val="00D9347B"/>
    <w:rsid w:val="00D9665A"/>
    <w:rsid w:val="00D97439"/>
    <w:rsid w:val="00D974FC"/>
    <w:rsid w:val="00DA010A"/>
    <w:rsid w:val="00DA1C26"/>
    <w:rsid w:val="00DA29F6"/>
    <w:rsid w:val="00DA2F27"/>
    <w:rsid w:val="00DA3F44"/>
    <w:rsid w:val="00DA4077"/>
    <w:rsid w:val="00DA574E"/>
    <w:rsid w:val="00DA5ABB"/>
    <w:rsid w:val="00DA718D"/>
    <w:rsid w:val="00DB0BE4"/>
    <w:rsid w:val="00DB25A7"/>
    <w:rsid w:val="00DB37B6"/>
    <w:rsid w:val="00DB460F"/>
    <w:rsid w:val="00DB792F"/>
    <w:rsid w:val="00DC00B0"/>
    <w:rsid w:val="00DC1EC5"/>
    <w:rsid w:val="00DC1FE0"/>
    <w:rsid w:val="00DC4A60"/>
    <w:rsid w:val="00DC50A8"/>
    <w:rsid w:val="00DD0A75"/>
    <w:rsid w:val="00DD1A37"/>
    <w:rsid w:val="00DD1F91"/>
    <w:rsid w:val="00DD2E57"/>
    <w:rsid w:val="00DD3ECF"/>
    <w:rsid w:val="00DD424D"/>
    <w:rsid w:val="00DD4451"/>
    <w:rsid w:val="00DD4C6F"/>
    <w:rsid w:val="00DD4E71"/>
    <w:rsid w:val="00DD67C2"/>
    <w:rsid w:val="00DD6E56"/>
    <w:rsid w:val="00DE107F"/>
    <w:rsid w:val="00DE12F7"/>
    <w:rsid w:val="00DE1F24"/>
    <w:rsid w:val="00DE2C8B"/>
    <w:rsid w:val="00DE46CA"/>
    <w:rsid w:val="00DE616F"/>
    <w:rsid w:val="00DE65AB"/>
    <w:rsid w:val="00DF0F3E"/>
    <w:rsid w:val="00DF2984"/>
    <w:rsid w:val="00DF3006"/>
    <w:rsid w:val="00DF4AF8"/>
    <w:rsid w:val="00DF5165"/>
    <w:rsid w:val="00DF5E66"/>
    <w:rsid w:val="00E00D2A"/>
    <w:rsid w:val="00E01944"/>
    <w:rsid w:val="00E01BD5"/>
    <w:rsid w:val="00E01C36"/>
    <w:rsid w:val="00E01FC2"/>
    <w:rsid w:val="00E02BE8"/>
    <w:rsid w:val="00E02E0E"/>
    <w:rsid w:val="00E02E55"/>
    <w:rsid w:val="00E054AC"/>
    <w:rsid w:val="00E05EFB"/>
    <w:rsid w:val="00E06BD8"/>
    <w:rsid w:val="00E06BF1"/>
    <w:rsid w:val="00E11371"/>
    <w:rsid w:val="00E13DE5"/>
    <w:rsid w:val="00E14562"/>
    <w:rsid w:val="00E147CB"/>
    <w:rsid w:val="00E14FC2"/>
    <w:rsid w:val="00E15AD6"/>
    <w:rsid w:val="00E160E9"/>
    <w:rsid w:val="00E173BB"/>
    <w:rsid w:val="00E173BC"/>
    <w:rsid w:val="00E17A96"/>
    <w:rsid w:val="00E21B5A"/>
    <w:rsid w:val="00E2489B"/>
    <w:rsid w:val="00E25A6E"/>
    <w:rsid w:val="00E263F3"/>
    <w:rsid w:val="00E27D53"/>
    <w:rsid w:val="00E27D8D"/>
    <w:rsid w:val="00E321FA"/>
    <w:rsid w:val="00E3300B"/>
    <w:rsid w:val="00E33735"/>
    <w:rsid w:val="00E33829"/>
    <w:rsid w:val="00E33AA4"/>
    <w:rsid w:val="00E3453D"/>
    <w:rsid w:val="00E35D70"/>
    <w:rsid w:val="00E3652E"/>
    <w:rsid w:val="00E3655C"/>
    <w:rsid w:val="00E36B6D"/>
    <w:rsid w:val="00E37FE0"/>
    <w:rsid w:val="00E40A13"/>
    <w:rsid w:val="00E40C49"/>
    <w:rsid w:val="00E40D4F"/>
    <w:rsid w:val="00E41007"/>
    <w:rsid w:val="00E43129"/>
    <w:rsid w:val="00E45816"/>
    <w:rsid w:val="00E52CFA"/>
    <w:rsid w:val="00E54576"/>
    <w:rsid w:val="00E550BA"/>
    <w:rsid w:val="00E550BD"/>
    <w:rsid w:val="00E57D17"/>
    <w:rsid w:val="00E60F0E"/>
    <w:rsid w:val="00E62BA7"/>
    <w:rsid w:val="00E6308A"/>
    <w:rsid w:val="00E64881"/>
    <w:rsid w:val="00E64C1B"/>
    <w:rsid w:val="00E677F0"/>
    <w:rsid w:val="00E703FA"/>
    <w:rsid w:val="00E70522"/>
    <w:rsid w:val="00E724AE"/>
    <w:rsid w:val="00E73604"/>
    <w:rsid w:val="00E73658"/>
    <w:rsid w:val="00E74C64"/>
    <w:rsid w:val="00E751DC"/>
    <w:rsid w:val="00E75DB4"/>
    <w:rsid w:val="00E762BB"/>
    <w:rsid w:val="00E773B6"/>
    <w:rsid w:val="00E7760D"/>
    <w:rsid w:val="00E81913"/>
    <w:rsid w:val="00E830E8"/>
    <w:rsid w:val="00E83249"/>
    <w:rsid w:val="00E83719"/>
    <w:rsid w:val="00E84079"/>
    <w:rsid w:val="00E84369"/>
    <w:rsid w:val="00E85BAC"/>
    <w:rsid w:val="00E87702"/>
    <w:rsid w:val="00E90A39"/>
    <w:rsid w:val="00E90AE7"/>
    <w:rsid w:val="00E916F5"/>
    <w:rsid w:val="00E91BF5"/>
    <w:rsid w:val="00E91C92"/>
    <w:rsid w:val="00E9279D"/>
    <w:rsid w:val="00E9446E"/>
    <w:rsid w:val="00E968D0"/>
    <w:rsid w:val="00E976C7"/>
    <w:rsid w:val="00E9777F"/>
    <w:rsid w:val="00EA14D1"/>
    <w:rsid w:val="00EA2CFC"/>
    <w:rsid w:val="00EA33EF"/>
    <w:rsid w:val="00EA3BD3"/>
    <w:rsid w:val="00EA4921"/>
    <w:rsid w:val="00EA5188"/>
    <w:rsid w:val="00EA635B"/>
    <w:rsid w:val="00EA742E"/>
    <w:rsid w:val="00EB181C"/>
    <w:rsid w:val="00EB349C"/>
    <w:rsid w:val="00EB47D0"/>
    <w:rsid w:val="00EB4B7E"/>
    <w:rsid w:val="00EB53BF"/>
    <w:rsid w:val="00EB7B5C"/>
    <w:rsid w:val="00EC1729"/>
    <w:rsid w:val="00EC19BD"/>
    <w:rsid w:val="00EC2798"/>
    <w:rsid w:val="00EC4BD4"/>
    <w:rsid w:val="00EC6DDC"/>
    <w:rsid w:val="00EC7741"/>
    <w:rsid w:val="00EC7A99"/>
    <w:rsid w:val="00ED1658"/>
    <w:rsid w:val="00ED211B"/>
    <w:rsid w:val="00ED2EB5"/>
    <w:rsid w:val="00ED33C1"/>
    <w:rsid w:val="00ED3B88"/>
    <w:rsid w:val="00ED446F"/>
    <w:rsid w:val="00ED533B"/>
    <w:rsid w:val="00ED6CB3"/>
    <w:rsid w:val="00ED7D92"/>
    <w:rsid w:val="00EE0BDA"/>
    <w:rsid w:val="00EE0C91"/>
    <w:rsid w:val="00EE238F"/>
    <w:rsid w:val="00EE28C2"/>
    <w:rsid w:val="00EE2962"/>
    <w:rsid w:val="00EE4AAB"/>
    <w:rsid w:val="00EE5B92"/>
    <w:rsid w:val="00EE5F69"/>
    <w:rsid w:val="00EE77B9"/>
    <w:rsid w:val="00EE7B7E"/>
    <w:rsid w:val="00EE7DDC"/>
    <w:rsid w:val="00EF2F8F"/>
    <w:rsid w:val="00EF3623"/>
    <w:rsid w:val="00EF5081"/>
    <w:rsid w:val="00EF5612"/>
    <w:rsid w:val="00EF5DB6"/>
    <w:rsid w:val="00F01731"/>
    <w:rsid w:val="00F02239"/>
    <w:rsid w:val="00F10ED1"/>
    <w:rsid w:val="00F12FB2"/>
    <w:rsid w:val="00F1370D"/>
    <w:rsid w:val="00F13931"/>
    <w:rsid w:val="00F139D8"/>
    <w:rsid w:val="00F152B7"/>
    <w:rsid w:val="00F16BBC"/>
    <w:rsid w:val="00F21CE3"/>
    <w:rsid w:val="00F21FAD"/>
    <w:rsid w:val="00F309EE"/>
    <w:rsid w:val="00F315BB"/>
    <w:rsid w:val="00F32804"/>
    <w:rsid w:val="00F35DF5"/>
    <w:rsid w:val="00F36D89"/>
    <w:rsid w:val="00F36F5F"/>
    <w:rsid w:val="00F377E4"/>
    <w:rsid w:val="00F37F1F"/>
    <w:rsid w:val="00F4059B"/>
    <w:rsid w:val="00F43AD2"/>
    <w:rsid w:val="00F4435B"/>
    <w:rsid w:val="00F44BF5"/>
    <w:rsid w:val="00F479A0"/>
    <w:rsid w:val="00F508F6"/>
    <w:rsid w:val="00F521F2"/>
    <w:rsid w:val="00F52D5E"/>
    <w:rsid w:val="00F5301C"/>
    <w:rsid w:val="00F57767"/>
    <w:rsid w:val="00F614A8"/>
    <w:rsid w:val="00F62941"/>
    <w:rsid w:val="00F63A84"/>
    <w:rsid w:val="00F64E2C"/>
    <w:rsid w:val="00F64EF8"/>
    <w:rsid w:val="00F706B1"/>
    <w:rsid w:val="00F719BA"/>
    <w:rsid w:val="00F71CCB"/>
    <w:rsid w:val="00F73EE3"/>
    <w:rsid w:val="00F74A05"/>
    <w:rsid w:val="00F762EB"/>
    <w:rsid w:val="00F76B73"/>
    <w:rsid w:val="00F77420"/>
    <w:rsid w:val="00F77C8F"/>
    <w:rsid w:val="00F80541"/>
    <w:rsid w:val="00F81548"/>
    <w:rsid w:val="00F8281E"/>
    <w:rsid w:val="00F842E8"/>
    <w:rsid w:val="00F85A1D"/>
    <w:rsid w:val="00F90B40"/>
    <w:rsid w:val="00F91955"/>
    <w:rsid w:val="00F91BC4"/>
    <w:rsid w:val="00F946D8"/>
    <w:rsid w:val="00F9583C"/>
    <w:rsid w:val="00F96D0C"/>
    <w:rsid w:val="00FA07DF"/>
    <w:rsid w:val="00FA0E3A"/>
    <w:rsid w:val="00FA1578"/>
    <w:rsid w:val="00FA1A60"/>
    <w:rsid w:val="00FA21F9"/>
    <w:rsid w:val="00FA3156"/>
    <w:rsid w:val="00FA4103"/>
    <w:rsid w:val="00FA456B"/>
    <w:rsid w:val="00FA4A9F"/>
    <w:rsid w:val="00FA512B"/>
    <w:rsid w:val="00FA5450"/>
    <w:rsid w:val="00FA7C64"/>
    <w:rsid w:val="00FB0266"/>
    <w:rsid w:val="00FB0B3A"/>
    <w:rsid w:val="00FB0B42"/>
    <w:rsid w:val="00FB2A00"/>
    <w:rsid w:val="00FB2C5A"/>
    <w:rsid w:val="00FB2EFA"/>
    <w:rsid w:val="00FB468D"/>
    <w:rsid w:val="00FB5220"/>
    <w:rsid w:val="00FB6260"/>
    <w:rsid w:val="00FB67BB"/>
    <w:rsid w:val="00FB6DE9"/>
    <w:rsid w:val="00FB741C"/>
    <w:rsid w:val="00FB785C"/>
    <w:rsid w:val="00FB7DCE"/>
    <w:rsid w:val="00FC161D"/>
    <w:rsid w:val="00FC3081"/>
    <w:rsid w:val="00FC3FE4"/>
    <w:rsid w:val="00FC60A9"/>
    <w:rsid w:val="00FC7DC0"/>
    <w:rsid w:val="00FD005A"/>
    <w:rsid w:val="00FD04E2"/>
    <w:rsid w:val="00FD05C9"/>
    <w:rsid w:val="00FD1231"/>
    <w:rsid w:val="00FD45C4"/>
    <w:rsid w:val="00FD596B"/>
    <w:rsid w:val="00FE081C"/>
    <w:rsid w:val="00FE3AC5"/>
    <w:rsid w:val="00FE6F59"/>
    <w:rsid w:val="00FE7D48"/>
    <w:rsid w:val="00FE7F4E"/>
    <w:rsid w:val="00FF03DF"/>
    <w:rsid w:val="00FF0554"/>
    <w:rsid w:val="00FF2BBB"/>
    <w:rsid w:val="00FF34A4"/>
    <w:rsid w:val="00FF34FC"/>
    <w:rsid w:val="00FF3C08"/>
    <w:rsid w:val="00FF4B42"/>
    <w:rsid w:val="00FF51F9"/>
    <w:rsid w:val="00FF629D"/>
    <w:rsid w:val="00FF689D"/>
    <w:rsid w:val="00FF6D1A"/>
    <w:rsid w:val="00FF6F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3B69"/>
    <w:rPr>
      <w:color w:val="0000FF"/>
      <w:sz w:val="24"/>
    </w:rPr>
  </w:style>
  <w:style w:type="paragraph" w:styleId="Heading1">
    <w:name w:val="heading 1"/>
    <w:basedOn w:val="Normal"/>
    <w:next w:val="Normal"/>
    <w:qFormat/>
    <w:rsid w:val="009909D9"/>
    <w:pPr>
      <w:keepNext/>
      <w:tabs>
        <w:tab w:val="left" w:pos="1440"/>
      </w:tabs>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09D9"/>
    <w:pPr>
      <w:tabs>
        <w:tab w:val="center" w:pos="4320"/>
        <w:tab w:val="right" w:pos="8640"/>
      </w:tabs>
    </w:pPr>
  </w:style>
  <w:style w:type="paragraph" w:styleId="Footer">
    <w:name w:val="footer"/>
    <w:basedOn w:val="Normal"/>
    <w:rsid w:val="009909D9"/>
    <w:pPr>
      <w:tabs>
        <w:tab w:val="center" w:pos="4320"/>
        <w:tab w:val="right" w:pos="8640"/>
      </w:tabs>
    </w:pPr>
  </w:style>
  <w:style w:type="character" w:styleId="PageNumber">
    <w:name w:val="page number"/>
    <w:basedOn w:val="DefaultParagraphFont"/>
    <w:rsid w:val="009909D9"/>
  </w:style>
  <w:style w:type="paragraph" w:styleId="BodyText">
    <w:name w:val="Body Text"/>
    <w:basedOn w:val="Normal"/>
    <w:rsid w:val="009909D9"/>
    <w:pPr>
      <w:tabs>
        <w:tab w:val="left" w:pos="-1440"/>
        <w:tab w:val="left" w:pos="-720"/>
        <w:tab w:val="left" w:pos="0"/>
        <w:tab w:val="left" w:pos="432"/>
        <w:tab w:val="left" w:pos="576"/>
        <w:tab w:val="left" w:pos="1440"/>
        <w:tab w:val="left" w:pos="2086"/>
        <w:tab w:val="left" w:pos="2880"/>
      </w:tabs>
      <w:suppressAutoHyphens/>
      <w:spacing w:line="360" w:lineRule="auto"/>
    </w:pPr>
    <w:rPr>
      <w:kern w:val="2"/>
      <w:sz w:val="26"/>
    </w:rPr>
  </w:style>
  <w:style w:type="paragraph" w:styleId="BodyText2">
    <w:name w:val="Body Text 2"/>
    <w:basedOn w:val="Normal"/>
    <w:rsid w:val="009909D9"/>
    <w:pPr>
      <w:tabs>
        <w:tab w:val="left" w:pos="-1440"/>
        <w:tab w:val="left" w:pos="-720"/>
        <w:tab w:val="left" w:pos="0"/>
        <w:tab w:val="left" w:pos="432"/>
        <w:tab w:val="left" w:pos="576"/>
        <w:tab w:val="left" w:pos="720"/>
        <w:tab w:val="left" w:pos="1440"/>
        <w:tab w:val="left" w:pos="2086"/>
        <w:tab w:val="left" w:pos="2880"/>
      </w:tabs>
      <w:suppressAutoHyphens/>
      <w:spacing w:line="360" w:lineRule="auto"/>
    </w:pPr>
    <w:rPr>
      <w:color w:val="auto"/>
      <w:kern w:val="2"/>
      <w:sz w:val="26"/>
    </w:rPr>
  </w:style>
  <w:style w:type="paragraph" w:styleId="BodyTextIndent">
    <w:name w:val="Body Text Indent"/>
    <w:basedOn w:val="Normal"/>
    <w:rsid w:val="009909D9"/>
    <w:pPr>
      <w:spacing w:line="360" w:lineRule="auto"/>
      <w:ind w:firstLine="1440"/>
    </w:pPr>
    <w:rPr>
      <w:sz w:val="26"/>
    </w:rPr>
  </w:style>
  <w:style w:type="paragraph" w:styleId="BalloonText">
    <w:name w:val="Balloon Text"/>
    <w:basedOn w:val="Normal"/>
    <w:semiHidden/>
    <w:rsid w:val="006A2F07"/>
    <w:rPr>
      <w:rFonts w:ascii="Tahoma" w:hAnsi="Tahoma" w:cs="Tahoma"/>
      <w:sz w:val="16"/>
      <w:szCs w:val="16"/>
    </w:rPr>
  </w:style>
  <w:style w:type="paragraph" w:customStyle="1" w:styleId="p3">
    <w:name w:val="p3"/>
    <w:basedOn w:val="Normal"/>
    <w:rsid w:val="00C17693"/>
    <w:pPr>
      <w:widowControl w:val="0"/>
      <w:tabs>
        <w:tab w:val="left" w:pos="204"/>
      </w:tabs>
      <w:autoSpaceDE w:val="0"/>
      <w:autoSpaceDN w:val="0"/>
      <w:adjustRightInd w:val="0"/>
    </w:pPr>
    <w:rPr>
      <w:color w:val="auto"/>
      <w:szCs w:val="24"/>
    </w:rPr>
  </w:style>
  <w:style w:type="paragraph" w:styleId="FootnoteText">
    <w:name w:val="footnote text"/>
    <w:basedOn w:val="Normal"/>
    <w:semiHidden/>
    <w:rsid w:val="00E43129"/>
    <w:rPr>
      <w:sz w:val="20"/>
    </w:rPr>
  </w:style>
  <w:style w:type="character" w:styleId="FootnoteReference">
    <w:name w:val="footnote reference"/>
    <w:basedOn w:val="DefaultParagraphFont"/>
    <w:semiHidden/>
    <w:rsid w:val="00E43129"/>
    <w:rPr>
      <w:vertAlign w:val="superscript"/>
    </w:rPr>
  </w:style>
  <w:style w:type="paragraph" w:styleId="BlockText">
    <w:name w:val="Block Text"/>
    <w:basedOn w:val="Normal"/>
    <w:rsid w:val="00B748DF"/>
    <w:pPr>
      <w:tabs>
        <w:tab w:val="left" w:pos="0"/>
      </w:tabs>
      <w:spacing w:line="360" w:lineRule="auto"/>
      <w:ind w:left="720" w:right="-1411" w:hanging="720"/>
    </w:pPr>
    <w:rPr>
      <w:color w:val="auto"/>
      <w:sz w:val="26"/>
    </w:rPr>
  </w:style>
  <w:style w:type="paragraph" w:customStyle="1" w:styleId="t1">
    <w:name w:val="t1"/>
    <w:basedOn w:val="Normal"/>
    <w:rsid w:val="00A428D7"/>
    <w:pPr>
      <w:widowControl w:val="0"/>
      <w:autoSpaceDE w:val="0"/>
      <w:autoSpaceDN w:val="0"/>
      <w:adjustRightInd w:val="0"/>
    </w:pPr>
    <w:rPr>
      <w:color w:val="auto"/>
      <w:szCs w:val="24"/>
    </w:rPr>
  </w:style>
  <w:style w:type="paragraph" w:customStyle="1" w:styleId="t2">
    <w:name w:val="t2"/>
    <w:basedOn w:val="Normal"/>
    <w:rsid w:val="00A428D7"/>
    <w:pPr>
      <w:widowControl w:val="0"/>
      <w:autoSpaceDE w:val="0"/>
      <w:autoSpaceDN w:val="0"/>
      <w:adjustRightInd w:val="0"/>
    </w:pPr>
    <w:rPr>
      <w:color w:val="auto"/>
      <w:szCs w:val="24"/>
    </w:rPr>
  </w:style>
  <w:style w:type="paragraph" w:customStyle="1" w:styleId="t3">
    <w:name w:val="t3"/>
    <w:basedOn w:val="Normal"/>
    <w:rsid w:val="00A428D7"/>
    <w:pPr>
      <w:widowControl w:val="0"/>
      <w:autoSpaceDE w:val="0"/>
      <w:autoSpaceDN w:val="0"/>
      <w:adjustRightInd w:val="0"/>
    </w:pPr>
    <w:rPr>
      <w:color w:val="auto"/>
      <w:szCs w:val="24"/>
    </w:rPr>
  </w:style>
  <w:style w:type="paragraph" w:customStyle="1" w:styleId="p4">
    <w:name w:val="p4"/>
    <w:basedOn w:val="Normal"/>
    <w:rsid w:val="00A428D7"/>
    <w:pPr>
      <w:widowControl w:val="0"/>
      <w:tabs>
        <w:tab w:val="left" w:pos="7256"/>
      </w:tabs>
      <w:autoSpaceDE w:val="0"/>
      <w:autoSpaceDN w:val="0"/>
      <w:adjustRightInd w:val="0"/>
      <w:ind w:left="5816"/>
    </w:pPr>
    <w:rPr>
      <w:color w:val="auto"/>
      <w:szCs w:val="24"/>
    </w:rPr>
  </w:style>
  <w:style w:type="paragraph" w:customStyle="1" w:styleId="c5">
    <w:name w:val="c5"/>
    <w:basedOn w:val="Normal"/>
    <w:rsid w:val="00A428D7"/>
    <w:pPr>
      <w:widowControl w:val="0"/>
      <w:autoSpaceDE w:val="0"/>
      <w:autoSpaceDN w:val="0"/>
      <w:adjustRightInd w:val="0"/>
      <w:jc w:val="center"/>
    </w:pPr>
    <w:rPr>
      <w:color w:val="auto"/>
      <w:szCs w:val="24"/>
    </w:rPr>
  </w:style>
  <w:style w:type="paragraph" w:customStyle="1" w:styleId="p6">
    <w:name w:val="p6"/>
    <w:basedOn w:val="Normal"/>
    <w:rsid w:val="00A428D7"/>
    <w:pPr>
      <w:widowControl w:val="0"/>
      <w:tabs>
        <w:tab w:val="left" w:pos="204"/>
      </w:tabs>
      <w:autoSpaceDE w:val="0"/>
      <w:autoSpaceDN w:val="0"/>
      <w:adjustRightInd w:val="0"/>
    </w:pPr>
    <w:rPr>
      <w:color w:val="auto"/>
      <w:szCs w:val="24"/>
    </w:rPr>
  </w:style>
  <w:style w:type="table" w:styleId="TableGrid">
    <w:name w:val="Table Grid"/>
    <w:basedOn w:val="TableNormal"/>
    <w:rsid w:val="00996B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671D69"/>
    <w:rPr>
      <w:rFonts w:ascii="Courier New" w:hAnsi="Courier New" w:cs="Courier New"/>
      <w:sz w:val="20"/>
    </w:rPr>
  </w:style>
  <w:style w:type="paragraph" w:styleId="DocumentMap">
    <w:name w:val="Document Map"/>
    <w:basedOn w:val="Normal"/>
    <w:link w:val="DocumentMapChar"/>
    <w:rsid w:val="003C332F"/>
    <w:rPr>
      <w:rFonts w:ascii="Tahoma" w:hAnsi="Tahoma" w:cs="Tahoma"/>
      <w:sz w:val="16"/>
      <w:szCs w:val="16"/>
    </w:rPr>
  </w:style>
  <w:style w:type="character" w:customStyle="1" w:styleId="DocumentMapChar">
    <w:name w:val="Document Map Char"/>
    <w:basedOn w:val="DefaultParagraphFont"/>
    <w:link w:val="DocumentMap"/>
    <w:rsid w:val="003C332F"/>
    <w:rPr>
      <w:rFonts w:ascii="Tahoma" w:hAnsi="Tahoma" w:cs="Tahoma"/>
      <w:color w:val="0000FF"/>
      <w:sz w:val="16"/>
      <w:szCs w:val="16"/>
    </w:rPr>
  </w:style>
  <w:style w:type="paragraph" w:styleId="ListParagraph">
    <w:name w:val="List Paragraph"/>
    <w:basedOn w:val="Normal"/>
    <w:uiPriority w:val="34"/>
    <w:qFormat/>
    <w:rsid w:val="00E01C36"/>
    <w:pPr>
      <w:ind w:left="720"/>
    </w:pPr>
  </w:style>
</w:styles>
</file>

<file path=word/webSettings.xml><?xml version="1.0" encoding="utf-8"?>
<w:webSettings xmlns:r="http://schemas.openxmlformats.org/officeDocument/2006/relationships" xmlns:w="http://schemas.openxmlformats.org/wordprocessingml/2006/main">
  <w:divs>
    <w:div w:id="74936133">
      <w:bodyDiv w:val="1"/>
      <w:marLeft w:val="0"/>
      <w:marRight w:val="0"/>
      <w:marTop w:val="0"/>
      <w:marBottom w:val="0"/>
      <w:divBdr>
        <w:top w:val="none" w:sz="0" w:space="0" w:color="auto"/>
        <w:left w:val="none" w:sz="0" w:space="0" w:color="auto"/>
        <w:bottom w:val="none" w:sz="0" w:space="0" w:color="auto"/>
        <w:right w:val="none" w:sz="0" w:space="0" w:color="auto"/>
      </w:divBdr>
    </w:div>
    <w:div w:id="138889386">
      <w:bodyDiv w:val="1"/>
      <w:marLeft w:val="0"/>
      <w:marRight w:val="0"/>
      <w:marTop w:val="0"/>
      <w:marBottom w:val="0"/>
      <w:divBdr>
        <w:top w:val="none" w:sz="0" w:space="0" w:color="auto"/>
        <w:left w:val="none" w:sz="0" w:space="0" w:color="auto"/>
        <w:bottom w:val="none" w:sz="0" w:space="0" w:color="auto"/>
        <w:right w:val="none" w:sz="0" w:space="0" w:color="auto"/>
      </w:divBdr>
    </w:div>
    <w:div w:id="1089303556">
      <w:bodyDiv w:val="1"/>
      <w:marLeft w:val="0"/>
      <w:marRight w:val="0"/>
      <w:marTop w:val="0"/>
      <w:marBottom w:val="0"/>
      <w:divBdr>
        <w:top w:val="none" w:sz="0" w:space="0" w:color="auto"/>
        <w:left w:val="none" w:sz="0" w:space="0" w:color="auto"/>
        <w:bottom w:val="none" w:sz="0" w:space="0" w:color="auto"/>
        <w:right w:val="none" w:sz="0" w:space="0" w:color="auto"/>
      </w:divBdr>
    </w:div>
    <w:div w:id="1194221789">
      <w:bodyDiv w:val="1"/>
      <w:marLeft w:val="0"/>
      <w:marRight w:val="0"/>
      <w:marTop w:val="0"/>
      <w:marBottom w:val="0"/>
      <w:divBdr>
        <w:top w:val="none" w:sz="0" w:space="0" w:color="auto"/>
        <w:left w:val="none" w:sz="0" w:space="0" w:color="auto"/>
        <w:bottom w:val="none" w:sz="0" w:space="0" w:color="auto"/>
        <w:right w:val="none" w:sz="0" w:space="0" w:color="auto"/>
      </w:divBdr>
    </w:div>
    <w:div w:id="1203254217">
      <w:bodyDiv w:val="1"/>
      <w:marLeft w:val="0"/>
      <w:marRight w:val="0"/>
      <w:marTop w:val="0"/>
      <w:marBottom w:val="0"/>
      <w:divBdr>
        <w:top w:val="none" w:sz="0" w:space="0" w:color="auto"/>
        <w:left w:val="none" w:sz="0" w:space="0" w:color="auto"/>
        <w:bottom w:val="none" w:sz="0" w:space="0" w:color="auto"/>
        <w:right w:val="none" w:sz="0" w:space="0" w:color="auto"/>
      </w:divBdr>
    </w:div>
    <w:div w:id="126827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0DC1A-5AA0-40A4-AC20-89CD0DEA5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8</Pages>
  <Words>2254</Words>
  <Characters>12854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FUS-1082*; R-00994804.O; METED</vt:lpstr>
    </vt:vector>
  </TitlesOfParts>
  <Company>PA PUC</Company>
  <LinksUpToDate>false</LinksUpToDate>
  <CharactersWithSpaces>15078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FUS-1082*; R-00994804.O; METED</dc:title>
  <dc:subject/>
  <dc:creator>MIS</dc:creator>
  <cp:keywords/>
  <cp:lastModifiedBy>Administrator</cp:lastModifiedBy>
  <cp:revision>74</cp:revision>
  <cp:lastPrinted>2010-06-16T15:35:00Z</cp:lastPrinted>
  <dcterms:created xsi:type="dcterms:W3CDTF">2010-05-14T15:49:00Z</dcterms:created>
  <dcterms:modified xsi:type="dcterms:W3CDTF">2010-06-16T15:35:00Z</dcterms:modified>
</cp:coreProperties>
</file>