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67483F" w:rsidRPr="00273105" w:rsidTr="005E199A">
        <w:tc>
          <w:tcPr>
            <w:tcW w:w="2448" w:type="dxa"/>
          </w:tcPr>
          <w:p w:rsidR="0067483F" w:rsidRPr="00273105" w:rsidRDefault="0067483F" w:rsidP="005E199A">
            <w:pPr>
              <w:rPr>
                <w:color w:val="000000"/>
                <w:sz w:val="26"/>
                <w:szCs w:val="26"/>
              </w:rPr>
            </w:pPr>
          </w:p>
        </w:tc>
        <w:tc>
          <w:tcPr>
            <w:tcW w:w="5130" w:type="dxa"/>
          </w:tcPr>
          <w:p w:rsidR="0067483F" w:rsidRPr="00273105" w:rsidRDefault="0067483F" w:rsidP="005E199A">
            <w:pPr>
              <w:jc w:val="center"/>
              <w:rPr>
                <w:b/>
                <w:color w:val="000000"/>
                <w:sz w:val="26"/>
                <w:szCs w:val="26"/>
              </w:rPr>
            </w:pPr>
            <w:r w:rsidRPr="00273105">
              <w:rPr>
                <w:b/>
                <w:color w:val="000000"/>
                <w:sz w:val="26"/>
                <w:szCs w:val="26"/>
              </w:rPr>
              <w:t>PENNSYLVANIA</w:t>
            </w:r>
          </w:p>
          <w:p w:rsidR="0067483F" w:rsidRPr="00273105" w:rsidRDefault="0067483F" w:rsidP="005E199A">
            <w:pPr>
              <w:jc w:val="center"/>
              <w:rPr>
                <w:b/>
                <w:color w:val="000000"/>
                <w:sz w:val="26"/>
                <w:szCs w:val="26"/>
              </w:rPr>
            </w:pPr>
            <w:r w:rsidRPr="00273105">
              <w:rPr>
                <w:b/>
                <w:color w:val="000000"/>
                <w:sz w:val="26"/>
                <w:szCs w:val="26"/>
              </w:rPr>
              <w:t>PUBLIC UTILITY COMMISSION</w:t>
            </w:r>
          </w:p>
          <w:p w:rsidR="0067483F" w:rsidRPr="00273105" w:rsidRDefault="0067483F" w:rsidP="005E199A">
            <w:pPr>
              <w:jc w:val="center"/>
              <w:rPr>
                <w:color w:val="000000"/>
                <w:sz w:val="26"/>
                <w:szCs w:val="26"/>
              </w:rPr>
            </w:pPr>
            <w:r w:rsidRPr="00273105">
              <w:rPr>
                <w:b/>
                <w:color w:val="000000"/>
                <w:sz w:val="26"/>
                <w:szCs w:val="26"/>
              </w:rPr>
              <w:t>Harrisburg, PA 17105-3265</w:t>
            </w:r>
          </w:p>
        </w:tc>
        <w:tc>
          <w:tcPr>
            <w:tcW w:w="2700" w:type="dxa"/>
          </w:tcPr>
          <w:p w:rsidR="0067483F" w:rsidRPr="00273105" w:rsidRDefault="0067483F" w:rsidP="005E199A">
            <w:pPr>
              <w:rPr>
                <w:color w:val="000000"/>
                <w:sz w:val="26"/>
                <w:szCs w:val="26"/>
              </w:rPr>
            </w:pPr>
          </w:p>
        </w:tc>
      </w:tr>
    </w:tbl>
    <w:p w:rsidR="0067483F" w:rsidRPr="00273105" w:rsidRDefault="0067483F" w:rsidP="0067483F">
      <w:pPr>
        <w:rPr>
          <w:color w:val="000000"/>
          <w:sz w:val="26"/>
          <w:szCs w:val="26"/>
        </w:rPr>
      </w:pPr>
    </w:p>
    <w:tbl>
      <w:tblPr>
        <w:tblW w:w="0" w:type="auto"/>
        <w:tblLayout w:type="fixed"/>
        <w:tblLook w:val="0000"/>
      </w:tblPr>
      <w:tblGrid>
        <w:gridCol w:w="5148"/>
        <w:gridCol w:w="5148"/>
      </w:tblGrid>
      <w:tr w:rsidR="0067483F" w:rsidRPr="00273105" w:rsidTr="005E199A">
        <w:tc>
          <w:tcPr>
            <w:tcW w:w="5148" w:type="dxa"/>
          </w:tcPr>
          <w:p w:rsidR="0067483F" w:rsidRPr="00273105" w:rsidRDefault="0067483F" w:rsidP="005E199A">
            <w:pPr>
              <w:rPr>
                <w:color w:val="000000"/>
                <w:sz w:val="26"/>
                <w:szCs w:val="26"/>
              </w:rPr>
            </w:pPr>
          </w:p>
        </w:tc>
        <w:tc>
          <w:tcPr>
            <w:tcW w:w="5148" w:type="dxa"/>
          </w:tcPr>
          <w:p w:rsidR="0067483F" w:rsidRPr="00273105" w:rsidRDefault="00C13A7C" w:rsidP="00DB7110">
            <w:pPr>
              <w:ind w:firstLine="612"/>
              <w:rPr>
                <w:color w:val="000000"/>
                <w:sz w:val="26"/>
                <w:szCs w:val="26"/>
              </w:rPr>
            </w:pPr>
            <w:r w:rsidRPr="00273105">
              <w:rPr>
                <w:color w:val="000000"/>
                <w:sz w:val="26"/>
                <w:szCs w:val="26"/>
              </w:rPr>
              <w:t xml:space="preserve">Public Meeting held </w:t>
            </w:r>
            <w:r w:rsidR="008859CB" w:rsidRPr="00273105">
              <w:rPr>
                <w:color w:val="000000"/>
                <w:sz w:val="26"/>
                <w:szCs w:val="26"/>
              </w:rPr>
              <w:t xml:space="preserve">June </w:t>
            </w:r>
            <w:r w:rsidR="00DB7110">
              <w:rPr>
                <w:color w:val="000000"/>
                <w:sz w:val="26"/>
                <w:szCs w:val="26"/>
              </w:rPr>
              <w:t>16</w:t>
            </w:r>
            <w:r w:rsidRPr="00273105">
              <w:rPr>
                <w:color w:val="000000"/>
                <w:sz w:val="26"/>
                <w:szCs w:val="26"/>
              </w:rPr>
              <w:t>, 2010</w:t>
            </w:r>
          </w:p>
        </w:tc>
      </w:tr>
      <w:tr w:rsidR="0067483F" w:rsidRPr="00273105" w:rsidTr="005E199A">
        <w:tc>
          <w:tcPr>
            <w:tcW w:w="5148" w:type="dxa"/>
          </w:tcPr>
          <w:p w:rsidR="0067483F" w:rsidRPr="00273105" w:rsidRDefault="0067483F" w:rsidP="005E199A">
            <w:pPr>
              <w:rPr>
                <w:color w:val="000000"/>
                <w:sz w:val="26"/>
                <w:szCs w:val="26"/>
              </w:rPr>
            </w:pPr>
            <w:r w:rsidRPr="00273105">
              <w:rPr>
                <w:color w:val="000000"/>
                <w:sz w:val="26"/>
                <w:szCs w:val="26"/>
              </w:rPr>
              <w:t>Commissioners Present:</w:t>
            </w:r>
          </w:p>
        </w:tc>
        <w:tc>
          <w:tcPr>
            <w:tcW w:w="5148" w:type="dxa"/>
          </w:tcPr>
          <w:p w:rsidR="0067483F" w:rsidRPr="00273105" w:rsidRDefault="0067483F" w:rsidP="005E199A">
            <w:pPr>
              <w:rPr>
                <w:color w:val="000000"/>
                <w:sz w:val="26"/>
                <w:szCs w:val="26"/>
              </w:rPr>
            </w:pPr>
          </w:p>
        </w:tc>
      </w:tr>
    </w:tbl>
    <w:p w:rsidR="0067483F" w:rsidRPr="00273105" w:rsidRDefault="0067483F" w:rsidP="0067483F">
      <w:pPr>
        <w:rPr>
          <w:color w:val="000000"/>
          <w:sz w:val="26"/>
          <w:szCs w:val="26"/>
        </w:rPr>
      </w:pPr>
    </w:p>
    <w:tbl>
      <w:tblPr>
        <w:tblW w:w="10296" w:type="dxa"/>
        <w:tblLayout w:type="fixed"/>
        <w:tblLook w:val="0000"/>
      </w:tblPr>
      <w:tblGrid>
        <w:gridCol w:w="9558"/>
        <w:gridCol w:w="738"/>
      </w:tblGrid>
      <w:tr w:rsidR="0067483F" w:rsidRPr="00273105" w:rsidTr="005E199A">
        <w:tc>
          <w:tcPr>
            <w:tcW w:w="9558" w:type="dxa"/>
          </w:tcPr>
          <w:p w:rsidR="0067483F" w:rsidRPr="00273105" w:rsidRDefault="0067483F" w:rsidP="005E199A">
            <w:pPr>
              <w:ind w:firstLine="450"/>
              <w:rPr>
                <w:color w:val="000000"/>
                <w:sz w:val="26"/>
                <w:szCs w:val="26"/>
              </w:rPr>
            </w:pPr>
            <w:r w:rsidRPr="00273105">
              <w:rPr>
                <w:color w:val="000000"/>
                <w:sz w:val="26"/>
                <w:szCs w:val="26"/>
              </w:rPr>
              <w:t>James H. Cawley, Chairman</w:t>
            </w:r>
          </w:p>
        </w:tc>
        <w:tc>
          <w:tcPr>
            <w:tcW w:w="738" w:type="dxa"/>
          </w:tcPr>
          <w:p w:rsidR="0067483F" w:rsidRPr="00273105" w:rsidRDefault="0067483F" w:rsidP="005E199A">
            <w:pPr>
              <w:rPr>
                <w:color w:val="000000"/>
                <w:sz w:val="26"/>
                <w:szCs w:val="26"/>
              </w:rPr>
            </w:pPr>
          </w:p>
        </w:tc>
      </w:tr>
      <w:tr w:rsidR="0067483F" w:rsidRPr="00273105" w:rsidTr="005E199A">
        <w:tc>
          <w:tcPr>
            <w:tcW w:w="9558" w:type="dxa"/>
          </w:tcPr>
          <w:p w:rsidR="0067483F" w:rsidRPr="00273105" w:rsidRDefault="0067483F" w:rsidP="00486304">
            <w:pPr>
              <w:ind w:firstLine="450"/>
              <w:rPr>
                <w:color w:val="000000"/>
                <w:sz w:val="26"/>
                <w:szCs w:val="26"/>
              </w:rPr>
            </w:pPr>
            <w:r w:rsidRPr="00273105">
              <w:rPr>
                <w:color w:val="000000"/>
                <w:sz w:val="26"/>
                <w:szCs w:val="26"/>
              </w:rPr>
              <w:t>Tyrone J. Christy, Vice Chairman</w:t>
            </w:r>
            <w:r w:rsidR="00C42BCF">
              <w:rPr>
                <w:color w:val="000000"/>
                <w:sz w:val="26"/>
                <w:szCs w:val="26"/>
              </w:rPr>
              <w:t>; Statement</w:t>
            </w:r>
          </w:p>
        </w:tc>
        <w:tc>
          <w:tcPr>
            <w:tcW w:w="738" w:type="dxa"/>
          </w:tcPr>
          <w:p w:rsidR="0067483F" w:rsidRPr="00273105" w:rsidRDefault="0067483F" w:rsidP="005E199A">
            <w:pPr>
              <w:rPr>
                <w:color w:val="000000"/>
                <w:sz w:val="26"/>
                <w:szCs w:val="26"/>
              </w:rPr>
            </w:pPr>
          </w:p>
        </w:tc>
      </w:tr>
      <w:tr w:rsidR="0067483F" w:rsidRPr="00273105" w:rsidTr="005E199A">
        <w:tc>
          <w:tcPr>
            <w:tcW w:w="9558" w:type="dxa"/>
          </w:tcPr>
          <w:p w:rsidR="0067483F" w:rsidRPr="00273105" w:rsidRDefault="001233BA" w:rsidP="005E199A">
            <w:pPr>
              <w:ind w:firstLine="450"/>
              <w:rPr>
                <w:color w:val="000000"/>
                <w:sz w:val="26"/>
                <w:szCs w:val="26"/>
              </w:rPr>
            </w:pPr>
            <w:r w:rsidRPr="00273105">
              <w:rPr>
                <w:color w:val="000000"/>
                <w:sz w:val="26"/>
                <w:szCs w:val="26"/>
              </w:rPr>
              <w:t>Wayne E. Gardner</w:t>
            </w:r>
          </w:p>
        </w:tc>
        <w:tc>
          <w:tcPr>
            <w:tcW w:w="738" w:type="dxa"/>
          </w:tcPr>
          <w:p w:rsidR="0067483F" w:rsidRPr="00273105" w:rsidRDefault="0067483F" w:rsidP="005E199A">
            <w:pPr>
              <w:rPr>
                <w:color w:val="000000"/>
                <w:sz w:val="26"/>
                <w:szCs w:val="26"/>
              </w:rPr>
            </w:pPr>
          </w:p>
        </w:tc>
      </w:tr>
      <w:tr w:rsidR="0067483F" w:rsidRPr="00273105" w:rsidTr="005E199A">
        <w:tc>
          <w:tcPr>
            <w:tcW w:w="9558" w:type="dxa"/>
          </w:tcPr>
          <w:p w:rsidR="0067483F" w:rsidRPr="00273105" w:rsidRDefault="001233BA" w:rsidP="005E199A">
            <w:pPr>
              <w:ind w:firstLine="450"/>
              <w:rPr>
                <w:color w:val="000000"/>
                <w:sz w:val="26"/>
                <w:szCs w:val="26"/>
              </w:rPr>
            </w:pPr>
            <w:r w:rsidRPr="00273105">
              <w:rPr>
                <w:color w:val="000000"/>
                <w:sz w:val="26"/>
                <w:szCs w:val="26"/>
              </w:rPr>
              <w:t>Robert F. Powelson</w:t>
            </w:r>
          </w:p>
        </w:tc>
        <w:tc>
          <w:tcPr>
            <w:tcW w:w="738" w:type="dxa"/>
          </w:tcPr>
          <w:p w:rsidR="0067483F" w:rsidRPr="00273105" w:rsidRDefault="0067483F" w:rsidP="005E199A">
            <w:pPr>
              <w:rPr>
                <w:color w:val="000000"/>
                <w:sz w:val="26"/>
                <w:szCs w:val="26"/>
              </w:rPr>
            </w:pPr>
          </w:p>
        </w:tc>
      </w:tr>
    </w:tbl>
    <w:p w:rsidR="0067483F" w:rsidRPr="00273105" w:rsidRDefault="0067483F" w:rsidP="0067483F">
      <w:pPr>
        <w:rPr>
          <w:color w:val="000000"/>
          <w:sz w:val="26"/>
          <w:szCs w:val="26"/>
        </w:rPr>
      </w:pPr>
    </w:p>
    <w:tbl>
      <w:tblPr>
        <w:tblW w:w="10278" w:type="dxa"/>
        <w:tblLayout w:type="fixed"/>
        <w:tblLook w:val="0000"/>
      </w:tblPr>
      <w:tblGrid>
        <w:gridCol w:w="5148"/>
        <w:gridCol w:w="5130"/>
      </w:tblGrid>
      <w:tr w:rsidR="0067483F" w:rsidRPr="00273105" w:rsidTr="005E199A">
        <w:tc>
          <w:tcPr>
            <w:tcW w:w="5148" w:type="dxa"/>
          </w:tcPr>
          <w:p w:rsidR="0067483F" w:rsidRPr="00273105" w:rsidRDefault="0067483F" w:rsidP="005E199A">
            <w:pPr>
              <w:rPr>
                <w:color w:val="000000"/>
                <w:sz w:val="26"/>
                <w:szCs w:val="26"/>
              </w:rPr>
            </w:pPr>
          </w:p>
          <w:p w:rsidR="0067483F" w:rsidRPr="00273105" w:rsidRDefault="0067483F" w:rsidP="005E199A">
            <w:pPr>
              <w:rPr>
                <w:color w:val="000000"/>
                <w:sz w:val="26"/>
                <w:szCs w:val="26"/>
              </w:rPr>
            </w:pPr>
            <w:r w:rsidRPr="00273105">
              <w:rPr>
                <w:color w:val="000000"/>
                <w:sz w:val="26"/>
                <w:szCs w:val="26"/>
              </w:rPr>
              <w:t xml:space="preserve">Licensing Requirements For Natural Gas Suppliers; </w:t>
            </w:r>
            <w:r w:rsidRPr="00273105">
              <w:rPr>
                <w:i/>
                <w:color w:val="000000"/>
                <w:sz w:val="26"/>
                <w:szCs w:val="26"/>
              </w:rPr>
              <w:t>SEARCH Final Order and Action Plan</w:t>
            </w:r>
            <w:r w:rsidRPr="00273105">
              <w:rPr>
                <w:color w:val="000000"/>
                <w:sz w:val="26"/>
                <w:szCs w:val="26"/>
              </w:rPr>
              <w:t>: Natural Gas Supplier Issues</w:t>
            </w:r>
          </w:p>
        </w:tc>
        <w:tc>
          <w:tcPr>
            <w:tcW w:w="5130" w:type="dxa"/>
          </w:tcPr>
          <w:p w:rsidR="0067483F" w:rsidRPr="00273105" w:rsidRDefault="0067483F" w:rsidP="005E199A">
            <w:pPr>
              <w:jc w:val="center"/>
              <w:rPr>
                <w:color w:val="000000"/>
                <w:sz w:val="26"/>
                <w:szCs w:val="26"/>
              </w:rPr>
            </w:pPr>
          </w:p>
          <w:p w:rsidR="0067483F" w:rsidRPr="00273105" w:rsidRDefault="0067483F" w:rsidP="005E199A">
            <w:pPr>
              <w:rPr>
                <w:color w:val="000000"/>
                <w:sz w:val="26"/>
                <w:szCs w:val="26"/>
              </w:rPr>
            </w:pPr>
            <w:r w:rsidRPr="00273105">
              <w:rPr>
                <w:color w:val="000000"/>
                <w:sz w:val="26"/>
                <w:szCs w:val="26"/>
              </w:rPr>
              <w:t>Docket No. L-2008-2069115</w:t>
            </w:r>
          </w:p>
          <w:p w:rsidR="0067483F" w:rsidRPr="00273105" w:rsidRDefault="0067483F" w:rsidP="005E199A">
            <w:pPr>
              <w:rPr>
                <w:color w:val="000000"/>
                <w:sz w:val="26"/>
                <w:szCs w:val="26"/>
              </w:rPr>
            </w:pPr>
            <w:r w:rsidRPr="00273105">
              <w:rPr>
                <w:color w:val="000000"/>
                <w:sz w:val="26"/>
                <w:szCs w:val="26"/>
              </w:rPr>
              <w:t xml:space="preserve">                   I-00040103F0002 </w:t>
            </w:r>
          </w:p>
        </w:tc>
      </w:tr>
    </w:tbl>
    <w:p w:rsidR="0067483F" w:rsidRPr="00273105" w:rsidRDefault="0067483F" w:rsidP="0067483F">
      <w:pPr>
        <w:jc w:val="center"/>
        <w:rPr>
          <w:b/>
          <w:color w:val="000000"/>
          <w:sz w:val="26"/>
          <w:szCs w:val="26"/>
        </w:rPr>
      </w:pPr>
    </w:p>
    <w:p w:rsidR="0067483F" w:rsidRPr="00273105" w:rsidRDefault="0067483F" w:rsidP="0067483F">
      <w:pPr>
        <w:jc w:val="center"/>
        <w:rPr>
          <w:b/>
          <w:color w:val="000000"/>
          <w:sz w:val="26"/>
          <w:szCs w:val="26"/>
        </w:rPr>
      </w:pPr>
    </w:p>
    <w:p w:rsidR="0067483F" w:rsidRPr="00273105" w:rsidRDefault="0067483F" w:rsidP="0067483F">
      <w:pPr>
        <w:jc w:val="center"/>
        <w:rPr>
          <w:b/>
          <w:color w:val="000000"/>
          <w:sz w:val="26"/>
          <w:szCs w:val="26"/>
        </w:rPr>
      </w:pPr>
    </w:p>
    <w:p w:rsidR="0067483F" w:rsidRPr="00273105" w:rsidRDefault="006A11F0" w:rsidP="00770178">
      <w:pPr>
        <w:spacing w:line="360" w:lineRule="auto"/>
        <w:jc w:val="center"/>
        <w:rPr>
          <w:b/>
          <w:color w:val="000000"/>
          <w:sz w:val="26"/>
          <w:szCs w:val="26"/>
        </w:rPr>
      </w:pPr>
      <w:r w:rsidRPr="00273105">
        <w:rPr>
          <w:b/>
          <w:color w:val="000000"/>
          <w:sz w:val="26"/>
          <w:szCs w:val="26"/>
        </w:rPr>
        <w:t>FINAL</w:t>
      </w:r>
      <w:r w:rsidR="0067483F" w:rsidRPr="00273105">
        <w:rPr>
          <w:b/>
          <w:color w:val="000000"/>
          <w:sz w:val="26"/>
          <w:szCs w:val="26"/>
        </w:rPr>
        <w:t xml:space="preserve"> RULEMAKING ORDER</w:t>
      </w:r>
    </w:p>
    <w:p w:rsidR="0067483F" w:rsidRPr="00273105" w:rsidRDefault="0067483F" w:rsidP="00770178">
      <w:pPr>
        <w:spacing w:line="360" w:lineRule="auto"/>
        <w:rPr>
          <w:color w:val="000000"/>
          <w:sz w:val="26"/>
          <w:szCs w:val="26"/>
        </w:rPr>
      </w:pPr>
    </w:p>
    <w:p w:rsidR="00A155F6" w:rsidRPr="00273105" w:rsidRDefault="00D25354" w:rsidP="00770178">
      <w:pPr>
        <w:spacing w:line="360" w:lineRule="auto"/>
        <w:rPr>
          <w:color w:val="000000"/>
          <w:sz w:val="26"/>
          <w:szCs w:val="26"/>
        </w:rPr>
      </w:pPr>
      <w:r w:rsidRPr="00273105">
        <w:rPr>
          <w:color w:val="000000"/>
          <w:sz w:val="26"/>
          <w:szCs w:val="26"/>
        </w:rPr>
        <w:tab/>
        <w:t xml:space="preserve">On December 8, 2008, we issued a proposed rulemaking order that set forth revisions to the security requirements </w:t>
      </w:r>
      <w:r w:rsidR="002B1BF7" w:rsidRPr="00273105">
        <w:rPr>
          <w:color w:val="000000"/>
          <w:sz w:val="26"/>
          <w:szCs w:val="26"/>
        </w:rPr>
        <w:t xml:space="preserve">for licensing natural gas suppliers </w:t>
      </w:r>
      <w:r w:rsidRPr="00273105">
        <w:rPr>
          <w:color w:val="000000"/>
          <w:sz w:val="26"/>
          <w:szCs w:val="26"/>
        </w:rPr>
        <w:t xml:space="preserve">at 52 Pa. Code </w:t>
      </w:r>
      <w:r w:rsidR="002B1BF7" w:rsidRPr="00273105">
        <w:rPr>
          <w:color w:val="000000"/>
          <w:sz w:val="26"/>
          <w:szCs w:val="26"/>
        </w:rPr>
        <w:t xml:space="preserve">  </w:t>
      </w:r>
      <w:r w:rsidRPr="00273105">
        <w:rPr>
          <w:color w:val="000000"/>
          <w:sz w:val="26"/>
          <w:szCs w:val="26"/>
        </w:rPr>
        <w:t>§ 62.101-62.114.  I</w:t>
      </w:r>
      <w:r w:rsidR="0067483F" w:rsidRPr="00273105">
        <w:rPr>
          <w:color w:val="000000"/>
          <w:sz w:val="26"/>
          <w:szCs w:val="26"/>
        </w:rPr>
        <w:t>n its September 11, 2008 Final Order and Action Plan regarding the Commission’s</w:t>
      </w:r>
      <w:r w:rsidR="0067483F" w:rsidRPr="00273105">
        <w:rPr>
          <w:i/>
          <w:color w:val="000000"/>
          <w:sz w:val="26"/>
          <w:szCs w:val="26"/>
        </w:rPr>
        <w:t xml:space="preserve"> Investigation into the Natural Gas Supply Market:  Report on Stakeholder’s Working Group</w:t>
      </w:r>
      <w:r w:rsidR="0067483F" w:rsidRPr="00273105">
        <w:rPr>
          <w:rStyle w:val="FootnoteReference"/>
          <w:color w:val="000000"/>
          <w:sz w:val="26"/>
          <w:szCs w:val="26"/>
        </w:rPr>
        <w:footnoteReference w:id="1"/>
      </w:r>
      <w:r w:rsidR="0067483F" w:rsidRPr="00273105">
        <w:rPr>
          <w:i/>
          <w:color w:val="000000"/>
          <w:sz w:val="26"/>
          <w:szCs w:val="26"/>
        </w:rPr>
        <w:t xml:space="preserve">, </w:t>
      </w:r>
      <w:r w:rsidR="0067483F" w:rsidRPr="00273105">
        <w:rPr>
          <w:color w:val="000000"/>
          <w:sz w:val="26"/>
          <w:szCs w:val="26"/>
        </w:rPr>
        <w:t>Docket No. I-00040103F0002 (</w:t>
      </w:r>
      <w:r w:rsidR="0067483F" w:rsidRPr="00273105">
        <w:rPr>
          <w:i/>
          <w:color w:val="000000"/>
          <w:sz w:val="26"/>
          <w:szCs w:val="26"/>
        </w:rPr>
        <w:t>SEARCH Order</w:t>
      </w:r>
      <w:r w:rsidR="0067483F" w:rsidRPr="00273105">
        <w:rPr>
          <w:color w:val="000000"/>
          <w:sz w:val="26"/>
          <w:szCs w:val="26"/>
        </w:rPr>
        <w:t>), the Commission</w:t>
      </w:r>
      <w:r w:rsidRPr="00273105">
        <w:rPr>
          <w:color w:val="000000"/>
          <w:sz w:val="26"/>
          <w:szCs w:val="26"/>
        </w:rPr>
        <w:t xml:space="preserve"> had </w:t>
      </w:r>
      <w:r w:rsidR="0067483F" w:rsidRPr="00273105">
        <w:rPr>
          <w:color w:val="000000"/>
          <w:sz w:val="26"/>
          <w:szCs w:val="26"/>
        </w:rPr>
        <w:t xml:space="preserve">determined that one way to increase effective competition in the retail natural gas market was to revise </w:t>
      </w:r>
      <w:r w:rsidR="00736615" w:rsidRPr="00273105">
        <w:rPr>
          <w:color w:val="000000"/>
          <w:sz w:val="26"/>
          <w:szCs w:val="26"/>
        </w:rPr>
        <w:t xml:space="preserve">the security requirements </w:t>
      </w:r>
      <w:r w:rsidR="0067483F" w:rsidRPr="00273105">
        <w:rPr>
          <w:color w:val="000000"/>
          <w:sz w:val="26"/>
          <w:szCs w:val="26"/>
        </w:rPr>
        <w:t xml:space="preserve">in regard to the </w:t>
      </w:r>
      <w:r w:rsidR="00736615" w:rsidRPr="00273105">
        <w:rPr>
          <w:color w:val="000000"/>
          <w:sz w:val="26"/>
          <w:szCs w:val="26"/>
        </w:rPr>
        <w:t xml:space="preserve">amount of </w:t>
      </w:r>
      <w:r w:rsidR="0067483F" w:rsidRPr="00273105">
        <w:rPr>
          <w:color w:val="000000"/>
          <w:sz w:val="26"/>
          <w:szCs w:val="26"/>
        </w:rPr>
        <w:t xml:space="preserve">security </w:t>
      </w:r>
      <w:r w:rsidR="009922BC" w:rsidRPr="00273105">
        <w:rPr>
          <w:color w:val="000000"/>
          <w:sz w:val="26"/>
          <w:szCs w:val="26"/>
        </w:rPr>
        <w:t xml:space="preserve">that was </w:t>
      </w:r>
      <w:r w:rsidR="0067483F" w:rsidRPr="00273105">
        <w:rPr>
          <w:color w:val="000000"/>
          <w:sz w:val="26"/>
          <w:szCs w:val="26"/>
        </w:rPr>
        <w:t xml:space="preserve">needed and the </w:t>
      </w:r>
      <w:r w:rsidR="009922BC" w:rsidRPr="00273105">
        <w:rPr>
          <w:color w:val="000000"/>
          <w:sz w:val="26"/>
          <w:szCs w:val="26"/>
        </w:rPr>
        <w:t>types</w:t>
      </w:r>
      <w:r w:rsidR="0067483F" w:rsidRPr="00273105">
        <w:rPr>
          <w:color w:val="000000"/>
          <w:sz w:val="26"/>
          <w:szCs w:val="26"/>
        </w:rPr>
        <w:t xml:space="preserve"> of security that could be used</w:t>
      </w:r>
      <w:r w:rsidR="009922BC" w:rsidRPr="00273105">
        <w:rPr>
          <w:color w:val="000000"/>
          <w:sz w:val="26"/>
          <w:szCs w:val="26"/>
        </w:rPr>
        <w:t>.</w:t>
      </w:r>
      <w:r w:rsidR="0067483F" w:rsidRPr="00273105">
        <w:rPr>
          <w:color w:val="000000"/>
          <w:sz w:val="26"/>
          <w:szCs w:val="26"/>
        </w:rPr>
        <w:t xml:space="preserve">  </w:t>
      </w:r>
      <w:r w:rsidR="00F320B1" w:rsidRPr="00273105">
        <w:rPr>
          <w:color w:val="000000"/>
          <w:sz w:val="26"/>
          <w:szCs w:val="26"/>
        </w:rPr>
        <w:t xml:space="preserve">Before us today is an order </w:t>
      </w:r>
      <w:r w:rsidR="00410125" w:rsidRPr="00273105">
        <w:rPr>
          <w:color w:val="000000"/>
          <w:sz w:val="26"/>
          <w:szCs w:val="26"/>
        </w:rPr>
        <w:t xml:space="preserve">that </w:t>
      </w:r>
      <w:r w:rsidR="00F320B1" w:rsidRPr="00273105">
        <w:rPr>
          <w:color w:val="000000"/>
          <w:sz w:val="26"/>
          <w:szCs w:val="26"/>
        </w:rPr>
        <w:t>finaliz</w:t>
      </w:r>
      <w:r w:rsidR="00410125" w:rsidRPr="00273105">
        <w:rPr>
          <w:color w:val="000000"/>
          <w:sz w:val="26"/>
          <w:szCs w:val="26"/>
        </w:rPr>
        <w:t>es</w:t>
      </w:r>
      <w:r w:rsidR="00F320B1" w:rsidRPr="00273105">
        <w:rPr>
          <w:color w:val="000000"/>
          <w:sz w:val="26"/>
          <w:szCs w:val="26"/>
        </w:rPr>
        <w:t xml:space="preserve"> the</w:t>
      </w:r>
      <w:r w:rsidR="0067483F" w:rsidRPr="00273105">
        <w:rPr>
          <w:color w:val="000000"/>
          <w:sz w:val="26"/>
          <w:szCs w:val="26"/>
        </w:rPr>
        <w:t xml:space="preserve"> revisions to the Commission’s </w:t>
      </w:r>
      <w:r w:rsidR="00FF68DB" w:rsidRPr="00273105">
        <w:rPr>
          <w:color w:val="000000"/>
          <w:sz w:val="26"/>
          <w:szCs w:val="26"/>
        </w:rPr>
        <w:t>NGS</w:t>
      </w:r>
      <w:r w:rsidR="0067483F" w:rsidRPr="00273105">
        <w:rPr>
          <w:color w:val="000000"/>
          <w:sz w:val="26"/>
          <w:szCs w:val="26"/>
        </w:rPr>
        <w:t xml:space="preserve"> licensing regulations on these matters. </w:t>
      </w:r>
    </w:p>
    <w:p w:rsidR="00075819" w:rsidRPr="00273105" w:rsidRDefault="00075819" w:rsidP="00770178">
      <w:pPr>
        <w:spacing w:line="360" w:lineRule="auto"/>
        <w:jc w:val="center"/>
        <w:rPr>
          <w:b/>
          <w:color w:val="000000"/>
          <w:sz w:val="26"/>
          <w:szCs w:val="26"/>
        </w:rPr>
      </w:pPr>
      <w:r w:rsidRPr="00273105">
        <w:rPr>
          <w:b/>
          <w:color w:val="000000"/>
          <w:sz w:val="26"/>
          <w:szCs w:val="26"/>
        </w:rPr>
        <w:lastRenderedPageBreak/>
        <w:t>DISCUSSION</w:t>
      </w:r>
    </w:p>
    <w:p w:rsidR="00075819" w:rsidRPr="00273105" w:rsidRDefault="00075819" w:rsidP="00770178">
      <w:pPr>
        <w:spacing w:line="360" w:lineRule="auto"/>
        <w:rPr>
          <w:b/>
          <w:color w:val="000000"/>
          <w:sz w:val="26"/>
          <w:szCs w:val="26"/>
        </w:rPr>
      </w:pPr>
    </w:p>
    <w:p w:rsidR="002B13DE" w:rsidRPr="00273105" w:rsidRDefault="002B13DE" w:rsidP="00770178">
      <w:pPr>
        <w:spacing w:line="360" w:lineRule="auto"/>
        <w:rPr>
          <w:b/>
          <w:color w:val="000000"/>
          <w:sz w:val="26"/>
          <w:szCs w:val="26"/>
        </w:rPr>
      </w:pPr>
      <w:r w:rsidRPr="00273105">
        <w:rPr>
          <w:b/>
          <w:color w:val="000000"/>
          <w:sz w:val="26"/>
          <w:szCs w:val="26"/>
        </w:rPr>
        <w:t>Background</w:t>
      </w:r>
    </w:p>
    <w:p w:rsidR="00075819" w:rsidRPr="00273105" w:rsidRDefault="00075819" w:rsidP="00770178">
      <w:pPr>
        <w:pStyle w:val="p3"/>
        <w:tabs>
          <w:tab w:val="clear" w:pos="204"/>
        </w:tabs>
        <w:spacing w:line="360" w:lineRule="auto"/>
        <w:rPr>
          <w:color w:val="000000"/>
          <w:sz w:val="26"/>
          <w:szCs w:val="26"/>
        </w:rPr>
      </w:pPr>
      <w:r w:rsidRPr="00273105">
        <w:rPr>
          <w:color w:val="000000"/>
          <w:sz w:val="26"/>
          <w:szCs w:val="26"/>
        </w:rPr>
        <w:tab/>
        <w:t>Section 2208(c)(1)(i) of the Public Utility Code establishes the security requirements for the issuance and mainten</w:t>
      </w:r>
      <w:r w:rsidR="00185629" w:rsidRPr="00273105">
        <w:rPr>
          <w:color w:val="000000"/>
          <w:sz w:val="26"/>
          <w:szCs w:val="26"/>
        </w:rPr>
        <w:t>ance of a NGS</w:t>
      </w:r>
      <w:r w:rsidRPr="00273105">
        <w:rPr>
          <w:color w:val="000000"/>
          <w:sz w:val="26"/>
          <w:szCs w:val="26"/>
        </w:rPr>
        <w:t xml:space="preserve"> license. The section also authorizes the natural gas distribution company (NGDC) to determine the amount and form of the bond or other security that is required for a NGS license.  This section reads as follows:</w:t>
      </w:r>
    </w:p>
    <w:p w:rsidR="00075819" w:rsidRPr="00273105" w:rsidRDefault="00075819" w:rsidP="00770178">
      <w:pPr>
        <w:pStyle w:val="p3"/>
        <w:tabs>
          <w:tab w:val="clear" w:pos="204"/>
        </w:tabs>
        <w:spacing w:line="360" w:lineRule="auto"/>
        <w:rPr>
          <w:color w:val="000000"/>
          <w:sz w:val="26"/>
          <w:szCs w:val="26"/>
        </w:rPr>
      </w:pPr>
    </w:p>
    <w:p w:rsidR="00075819" w:rsidRPr="00273105" w:rsidRDefault="00075819" w:rsidP="0080745A">
      <w:pPr>
        <w:overflowPunct/>
        <w:autoSpaceDE/>
        <w:autoSpaceDN/>
        <w:adjustRightInd/>
        <w:ind w:left="720" w:right="720"/>
        <w:textAlignment w:val="auto"/>
        <w:rPr>
          <w:color w:val="000000"/>
          <w:sz w:val="26"/>
          <w:szCs w:val="26"/>
        </w:rPr>
      </w:pPr>
      <w:r w:rsidRPr="00273105">
        <w:rPr>
          <w:b/>
          <w:bCs/>
          <w:color w:val="000000"/>
          <w:sz w:val="26"/>
          <w:szCs w:val="26"/>
        </w:rPr>
        <w:t>(c) Financial fitness.—</w:t>
      </w:r>
    </w:p>
    <w:p w:rsidR="00075819" w:rsidRPr="00273105" w:rsidRDefault="00075819" w:rsidP="0080745A">
      <w:pPr>
        <w:overflowPunct/>
        <w:autoSpaceDE/>
        <w:autoSpaceDN/>
        <w:adjustRightInd/>
        <w:ind w:left="720" w:right="720"/>
        <w:textAlignment w:val="auto"/>
        <w:rPr>
          <w:color w:val="000000"/>
          <w:sz w:val="26"/>
          <w:szCs w:val="26"/>
        </w:rPr>
      </w:pPr>
      <w:r w:rsidRPr="00273105">
        <w:rPr>
          <w:color w:val="000000"/>
          <w:sz w:val="26"/>
          <w:szCs w:val="26"/>
        </w:rPr>
        <w:t>(1) In order to ensure the safety and reliability of the natural gas supply service in this Commonwealth, no natural gas supplier license shall be issued or remain in force unless the applicant or holder, as the case may be, complies with all of the following:</w:t>
      </w:r>
    </w:p>
    <w:p w:rsidR="00075819" w:rsidRPr="00273105" w:rsidRDefault="00075819" w:rsidP="0080745A">
      <w:pPr>
        <w:overflowPunct/>
        <w:autoSpaceDE/>
        <w:autoSpaceDN/>
        <w:adjustRightInd/>
        <w:ind w:left="720" w:right="720"/>
        <w:textAlignment w:val="auto"/>
        <w:rPr>
          <w:color w:val="000000"/>
          <w:sz w:val="26"/>
          <w:szCs w:val="26"/>
        </w:rPr>
      </w:pPr>
      <w:r w:rsidRPr="00273105">
        <w:rPr>
          <w:color w:val="000000"/>
          <w:sz w:val="26"/>
          <w:szCs w:val="26"/>
        </w:rPr>
        <w:t xml:space="preserve">(i) </w:t>
      </w:r>
      <w:r w:rsidRPr="00273105">
        <w:rPr>
          <w:color w:val="000000"/>
          <w:sz w:val="26"/>
          <w:szCs w:val="26"/>
          <w:u w:val="single"/>
        </w:rPr>
        <w:t>Furnishes a bond or other security in a form and amount to ensure the financial responsibility of the natural gas supplier.</w:t>
      </w:r>
      <w:r w:rsidRPr="00010613">
        <w:rPr>
          <w:color w:val="000000"/>
          <w:sz w:val="26"/>
          <w:szCs w:val="26"/>
        </w:rPr>
        <w:t xml:space="preserve"> </w:t>
      </w:r>
      <w:r w:rsidRPr="00273105">
        <w:rPr>
          <w:color w:val="000000"/>
          <w:sz w:val="26"/>
          <w:szCs w:val="26"/>
        </w:rPr>
        <w:t>The criteria each natural gas distribution company shall use to determine the amount and form of such bond or other security shall be set forth in the natural gas distribution company's restructuring filing. In approving the criteria, commission considerations shall include, but not be limited to, the financial impact on the natural gas distribution company or an alternative supplier of last resort of a default or subsequent bankruptcy of a natural gas supplier. The commission shall periodically review the criteria upon petition by any party. The amount and form of the bond or other security may be mutually agreed to between the natural gas distribution company or the alternate supplier of last resort and the natural gas supplier or, failing that, shall be determined by criteria approved by the commission.</w:t>
      </w:r>
    </w:p>
    <w:p w:rsidR="00075819" w:rsidRPr="00273105" w:rsidRDefault="00075819" w:rsidP="00770178">
      <w:pPr>
        <w:pStyle w:val="p3"/>
        <w:spacing w:line="360" w:lineRule="auto"/>
        <w:rPr>
          <w:b/>
          <w:color w:val="000000"/>
          <w:sz w:val="26"/>
          <w:szCs w:val="26"/>
        </w:rPr>
      </w:pPr>
      <w:bookmarkStart w:id="0" w:name="SP;10c0000001331"/>
      <w:bookmarkStart w:id="1" w:name="SP;69e30000b2793"/>
      <w:bookmarkEnd w:id="0"/>
      <w:bookmarkEnd w:id="1"/>
      <w:r w:rsidRPr="00273105">
        <w:rPr>
          <w:color w:val="000000"/>
          <w:sz w:val="26"/>
          <w:szCs w:val="26"/>
        </w:rPr>
        <w:t>66 Pa.C.S. § 2208(c)(1)(i)(emphasis added).</w:t>
      </w:r>
    </w:p>
    <w:p w:rsidR="00075819" w:rsidRPr="00273105" w:rsidRDefault="00075819" w:rsidP="00770178">
      <w:pPr>
        <w:pStyle w:val="p3"/>
        <w:spacing w:line="360" w:lineRule="auto"/>
        <w:rPr>
          <w:color w:val="000000"/>
          <w:sz w:val="26"/>
          <w:szCs w:val="26"/>
        </w:rPr>
      </w:pPr>
    </w:p>
    <w:p w:rsidR="0067483F" w:rsidRPr="00273105" w:rsidRDefault="00075819" w:rsidP="00770178">
      <w:pPr>
        <w:spacing w:line="360" w:lineRule="auto"/>
        <w:rPr>
          <w:color w:val="000000"/>
          <w:sz w:val="26"/>
          <w:szCs w:val="26"/>
        </w:rPr>
      </w:pPr>
      <w:r w:rsidRPr="00273105">
        <w:rPr>
          <w:color w:val="000000"/>
          <w:sz w:val="26"/>
          <w:szCs w:val="26"/>
        </w:rPr>
        <w:tab/>
        <w:t xml:space="preserve">The Commission’s NGS licensing regulations became effective on publication in the </w:t>
      </w:r>
      <w:r w:rsidRPr="00273105">
        <w:rPr>
          <w:i/>
          <w:color w:val="000000"/>
          <w:sz w:val="26"/>
          <w:szCs w:val="26"/>
        </w:rPr>
        <w:t>Pennsylvania Bulletin</w:t>
      </w:r>
      <w:r w:rsidRPr="00273105">
        <w:rPr>
          <w:color w:val="000000"/>
          <w:sz w:val="26"/>
          <w:szCs w:val="26"/>
        </w:rPr>
        <w:t xml:space="preserve"> on July 21, 2001.  </w:t>
      </w:r>
      <w:r w:rsidR="002B13DE" w:rsidRPr="00273105">
        <w:rPr>
          <w:color w:val="000000"/>
          <w:sz w:val="26"/>
          <w:szCs w:val="26"/>
        </w:rPr>
        <w:t>31 Pa.</w:t>
      </w:r>
      <w:r w:rsidRPr="00273105">
        <w:rPr>
          <w:color w:val="000000"/>
          <w:sz w:val="26"/>
          <w:szCs w:val="26"/>
        </w:rPr>
        <w:t xml:space="preserve">B. 3943.  </w:t>
      </w:r>
      <w:r w:rsidRPr="00273105">
        <w:rPr>
          <w:i/>
          <w:color w:val="000000"/>
          <w:sz w:val="26"/>
          <w:szCs w:val="26"/>
        </w:rPr>
        <w:t>Licensing Requirements for Natural Gas Suppliers</w:t>
      </w:r>
      <w:r w:rsidRPr="00273105">
        <w:rPr>
          <w:color w:val="000000"/>
          <w:sz w:val="26"/>
          <w:szCs w:val="26"/>
        </w:rPr>
        <w:t xml:space="preserve">, Order entered April 19, 2001 at Docket No. L-00000150. </w:t>
      </w:r>
      <w:r w:rsidR="002B1BF7" w:rsidRPr="00273105">
        <w:rPr>
          <w:color w:val="000000"/>
          <w:sz w:val="26"/>
          <w:szCs w:val="26"/>
        </w:rPr>
        <w:t xml:space="preserve"> </w:t>
      </w:r>
      <w:r w:rsidRPr="00273105">
        <w:rPr>
          <w:color w:val="000000"/>
          <w:sz w:val="26"/>
          <w:szCs w:val="26"/>
        </w:rPr>
        <w:t xml:space="preserve">Section 62.111 addresses bonds and other security. </w:t>
      </w:r>
      <w:r w:rsidR="008859CB" w:rsidRPr="00273105">
        <w:rPr>
          <w:i/>
          <w:color w:val="000000"/>
          <w:sz w:val="26"/>
          <w:szCs w:val="26"/>
        </w:rPr>
        <w:t>See</w:t>
      </w:r>
      <w:r w:rsidRPr="00273105">
        <w:rPr>
          <w:color w:val="000000"/>
          <w:sz w:val="26"/>
          <w:szCs w:val="26"/>
        </w:rPr>
        <w:t xml:space="preserve"> 52 Pa. Code § 62.111.  </w:t>
      </w:r>
    </w:p>
    <w:p w:rsidR="00075819" w:rsidRDefault="00075819" w:rsidP="00770178">
      <w:pPr>
        <w:spacing w:line="360" w:lineRule="auto"/>
        <w:rPr>
          <w:color w:val="000000"/>
          <w:sz w:val="26"/>
          <w:szCs w:val="26"/>
        </w:rPr>
      </w:pPr>
    </w:p>
    <w:p w:rsidR="0013367A" w:rsidRPr="00273105" w:rsidRDefault="0013367A" w:rsidP="00770178">
      <w:pPr>
        <w:spacing w:line="360" w:lineRule="auto"/>
        <w:rPr>
          <w:color w:val="000000"/>
          <w:sz w:val="26"/>
          <w:szCs w:val="26"/>
        </w:rPr>
      </w:pPr>
    </w:p>
    <w:p w:rsidR="00075819" w:rsidRPr="00273105" w:rsidRDefault="00075819" w:rsidP="00770178">
      <w:pPr>
        <w:pStyle w:val="p3"/>
        <w:tabs>
          <w:tab w:val="clear" w:pos="204"/>
        </w:tabs>
        <w:spacing w:line="360" w:lineRule="auto"/>
        <w:rPr>
          <w:color w:val="000000"/>
          <w:sz w:val="26"/>
          <w:szCs w:val="26"/>
        </w:rPr>
      </w:pPr>
      <w:r w:rsidRPr="00273105">
        <w:rPr>
          <w:color w:val="000000"/>
          <w:sz w:val="26"/>
          <w:szCs w:val="26"/>
        </w:rPr>
        <w:lastRenderedPageBreak/>
        <w:tab/>
        <w:t xml:space="preserve">In the </w:t>
      </w:r>
      <w:r w:rsidRPr="00273105">
        <w:rPr>
          <w:i/>
          <w:color w:val="000000"/>
          <w:sz w:val="26"/>
          <w:szCs w:val="26"/>
        </w:rPr>
        <w:t>SEARCH Order</w:t>
      </w:r>
      <w:r w:rsidRPr="00273105">
        <w:rPr>
          <w:color w:val="000000"/>
          <w:sz w:val="26"/>
          <w:szCs w:val="26"/>
        </w:rPr>
        <w:t>, the Commission identified NGDC security requirements as one barrier to supplier participation in the retail market</w:t>
      </w:r>
      <w:r w:rsidRPr="00273105">
        <w:rPr>
          <w:rStyle w:val="FootnoteReference"/>
          <w:i/>
          <w:color w:val="000000"/>
          <w:sz w:val="26"/>
          <w:szCs w:val="26"/>
        </w:rPr>
        <w:footnoteReference w:id="2"/>
      </w:r>
      <w:r w:rsidRPr="00273105">
        <w:rPr>
          <w:color w:val="000000"/>
          <w:sz w:val="26"/>
          <w:szCs w:val="26"/>
        </w:rPr>
        <w:t xml:space="preserve">.  Referencing the </w:t>
      </w:r>
      <w:r w:rsidRPr="00273105">
        <w:rPr>
          <w:i/>
          <w:color w:val="000000"/>
          <w:sz w:val="26"/>
          <w:szCs w:val="26"/>
        </w:rPr>
        <w:t>SEARCH Report</w:t>
      </w:r>
      <w:r w:rsidRPr="00273105">
        <w:rPr>
          <w:color w:val="000000"/>
          <w:sz w:val="26"/>
          <w:szCs w:val="26"/>
        </w:rPr>
        <w:t xml:space="preserve">, the </w:t>
      </w:r>
      <w:r w:rsidRPr="00273105">
        <w:rPr>
          <w:i/>
          <w:color w:val="000000"/>
          <w:sz w:val="26"/>
          <w:szCs w:val="26"/>
        </w:rPr>
        <w:t>SEARCH Order</w:t>
      </w:r>
      <w:r w:rsidRPr="00273105">
        <w:rPr>
          <w:color w:val="000000"/>
          <w:sz w:val="26"/>
          <w:szCs w:val="26"/>
        </w:rPr>
        <w:t xml:space="preserve"> discussed the criteria used by the NGDC in establishing a security level and the extent of the Commission’s authority under the law to modify security requirements:</w:t>
      </w:r>
    </w:p>
    <w:p w:rsidR="00075819" w:rsidRPr="00273105" w:rsidRDefault="00075819" w:rsidP="00FE27B2">
      <w:pPr>
        <w:tabs>
          <w:tab w:val="left" w:pos="720"/>
          <w:tab w:val="left" w:pos="1440"/>
          <w:tab w:val="left" w:pos="2160"/>
          <w:tab w:val="left" w:pos="2880"/>
          <w:tab w:val="left" w:pos="3600"/>
        </w:tabs>
        <w:ind w:left="864"/>
        <w:rPr>
          <w:color w:val="000000"/>
          <w:sz w:val="26"/>
          <w:szCs w:val="26"/>
        </w:rPr>
      </w:pPr>
    </w:p>
    <w:p w:rsidR="00075819" w:rsidRPr="00273105" w:rsidRDefault="00075819" w:rsidP="0080745A">
      <w:pPr>
        <w:tabs>
          <w:tab w:val="left" w:pos="720"/>
          <w:tab w:val="left" w:pos="1440"/>
          <w:tab w:val="left" w:pos="2160"/>
          <w:tab w:val="left" w:pos="2880"/>
          <w:tab w:val="left" w:pos="3600"/>
        </w:tabs>
        <w:ind w:left="864"/>
        <w:rPr>
          <w:color w:val="000000"/>
          <w:sz w:val="26"/>
          <w:szCs w:val="26"/>
        </w:rPr>
      </w:pPr>
      <w:r w:rsidRPr="00273105">
        <w:rPr>
          <w:color w:val="000000"/>
          <w:sz w:val="26"/>
          <w:szCs w:val="26"/>
        </w:rPr>
        <w:t xml:space="preserve">The criteria that are to be used by the NGDC to set the amount and form of the security were established in each company’s restructuring proceeding.  The level of security is based on a formula that takes into account the NGDC’s exposure to costs. For the retail supply market, this formula involves the peak day demand estimate for capacity, number of days’ potential exposure in a billing cycle, and commodity estimates for quantity and cost. Offsets to the amount of security that a NGS must provide may include calls on capacity, receivable purchases or receivable pledges.  NGDC costs related to supplier default as set forth in Section 2207(k) of the Public Utility Code may also be taken into account when establishing the amount of security required. 66 Pa.C.S. § 2207(k).  </w:t>
      </w:r>
      <w:r w:rsidRPr="00273105">
        <w:rPr>
          <w:i/>
          <w:color w:val="000000"/>
          <w:sz w:val="26"/>
          <w:szCs w:val="26"/>
        </w:rPr>
        <w:t>SEARCH Report</w:t>
      </w:r>
      <w:r w:rsidRPr="00273105">
        <w:rPr>
          <w:color w:val="000000"/>
          <w:sz w:val="26"/>
          <w:szCs w:val="26"/>
        </w:rPr>
        <w:t>, pp. 18-19.</w:t>
      </w:r>
    </w:p>
    <w:p w:rsidR="00075819" w:rsidRPr="00273105" w:rsidRDefault="00075819" w:rsidP="0080745A">
      <w:pPr>
        <w:ind w:left="864"/>
        <w:rPr>
          <w:color w:val="000000"/>
          <w:sz w:val="26"/>
          <w:szCs w:val="26"/>
        </w:rPr>
      </w:pPr>
    </w:p>
    <w:p w:rsidR="00075819" w:rsidRPr="00273105" w:rsidRDefault="00075819" w:rsidP="0080745A">
      <w:pPr>
        <w:ind w:left="864"/>
        <w:rPr>
          <w:color w:val="000000"/>
          <w:sz w:val="26"/>
          <w:szCs w:val="26"/>
        </w:rPr>
      </w:pPr>
      <w:r w:rsidRPr="00273105">
        <w:rPr>
          <w:color w:val="000000"/>
          <w:sz w:val="26"/>
          <w:szCs w:val="26"/>
        </w:rPr>
        <w:tab/>
        <w:t xml:space="preserve">If a NGDC and NGS cannot come to a mutual agreement, the level or form of security is determined by criteria approved by the Commission.  </w:t>
      </w:r>
      <w:r w:rsidRPr="00273105">
        <w:rPr>
          <w:i/>
          <w:color w:val="000000"/>
          <w:sz w:val="26"/>
          <w:szCs w:val="26"/>
        </w:rPr>
        <w:t>See</w:t>
      </w:r>
      <w:r w:rsidRPr="00273105">
        <w:rPr>
          <w:color w:val="000000"/>
          <w:sz w:val="26"/>
          <w:szCs w:val="26"/>
        </w:rPr>
        <w:t xml:space="preserve"> 66 Pa.C.S.§ 2208(c)(1).  These criteria were established in the Commission’s NGS licensing regulations and are to be used to determine security levels and acceptable forms for the security when voluntary agreement is not reached. </w:t>
      </w:r>
      <w:r w:rsidRPr="00273105">
        <w:rPr>
          <w:i/>
          <w:color w:val="000000"/>
          <w:sz w:val="26"/>
          <w:szCs w:val="26"/>
        </w:rPr>
        <w:t>See</w:t>
      </w:r>
      <w:r w:rsidRPr="00273105">
        <w:rPr>
          <w:color w:val="000000"/>
          <w:sz w:val="26"/>
          <w:szCs w:val="26"/>
        </w:rPr>
        <w:t xml:space="preserve"> 52 Pa. Code § 62.111.  Section 62.111(c) permits the use of the irrevocable letters of credit, corporate parental or other third party guaranty, and real or personal property.  Personal property would include the use of escrow account or the pledge or purchase of receivables. 52 Pa. Code § 62.111(c). </w:t>
      </w:r>
      <w:r w:rsidRPr="00273105">
        <w:rPr>
          <w:i/>
          <w:color w:val="000000"/>
          <w:sz w:val="26"/>
          <w:szCs w:val="26"/>
        </w:rPr>
        <w:t>SEARCH Report</w:t>
      </w:r>
      <w:r w:rsidRPr="00273105">
        <w:rPr>
          <w:color w:val="000000"/>
          <w:sz w:val="26"/>
          <w:szCs w:val="26"/>
        </w:rPr>
        <w:t>, pp. 18-19.</w:t>
      </w:r>
    </w:p>
    <w:p w:rsidR="00075819" w:rsidRPr="00273105" w:rsidRDefault="00075819" w:rsidP="00FE27B2">
      <w:pPr>
        <w:ind w:left="864"/>
        <w:rPr>
          <w:color w:val="000000"/>
          <w:sz w:val="26"/>
          <w:szCs w:val="26"/>
        </w:rPr>
      </w:pPr>
    </w:p>
    <w:p w:rsidR="00075819" w:rsidRPr="00273105" w:rsidRDefault="00075819" w:rsidP="0080745A">
      <w:pPr>
        <w:ind w:left="720"/>
        <w:rPr>
          <w:color w:val="000000"/>
          <w:sz w:val="26"/>
          <w:szCs w:val="26"/>
        </w:rPr>
      </w:pPr>
      <w:r w:rsidRPr="00273105">
        <w:rPr>
          <w:color w:val="000000"/>
          <w:sz w:val="26"/>
          <w:szCs w:val="26"/>
        </w:rPr>
        <w:tab/>
        <w:t xml:space="preserve">Also, an individual NGDC’s security requirement, including the level of security, is subject to periodic review by the Commission.  66 Pa.C.S. §2208(c).  </w:t>
      </w:r>
      <w:r w:rsidRPr="00273105">
        <w:rPr>
          <w:i/>
          <w:color w:val="000000"/>
          <w:sz w:val="26"/>
          <w:szCs w:val="26"/>
        </w:rPr>
        <w:t>See also</w:t>
      </w:r>
      <w:r w:rsidRPr="00273105">
        <w:rPr>
          <w:color w:val="000000"/>
          <w:sz w:val="26"/>
          <w:szCs w:val="26"/>
        </w:rPr>
        <w:t xml:space="preserve">, </w:t>
      </w:r>
      <w:r w:rsidRPr="00273105">
        <w:rPr>
          <w:i/>
          <w:color w:val="000000"/>
          <w:sz w:val="26"/>
          <w:szCs w:val="26"/>
        </w:rPr>
        <w:t>UGI Utilities, Inc. – Gas Division v. PA PUC</w:t>
      </w:r>
      <w:r w:rsidRPr="00273105">
        <w:rPr>
          <w:color w:val="000000"/>
          <w:sz w:val="26"/>
          <w:szCs w:val="26"/>
        </w:rPr>
        <w:t xml:space="preserve">, 878 A. 2d 186 (Pa. Cmwlth. 2005) </w:t>
      </w:r>
      <w:r w:rsidRPr="00273105">
        <w:rPr>
          <w:i/>
          <w:color w:val="000000"/>
          <w:sz w:val="26"/>
          <w:szCs w:val="26"/>
        </w:rPr>
        <w:t>appeal den</w:t>
      </w:r>
      <w:r w:rsidRPr="00273105">
        <w:rPr>
          <w:color w:val="000000"/>
          <w:sz w:val="26"/>
          <w:szCs w:val="26"/>
        </w:rPr>
        <w:t>. 586 Pa. 732; 890 A.2d 1062 (2005) (the Commission has discretion to approve criteria to be used to determine the financial security necessary based upon financial impact on the NGDC by a default by a NGS). Thus, a supplier is not without a remedy to address unreasonable security requirements of a NGDC on a case-by-case basis.</w:t>
      </w:r>
    </w:p>
    <w:p w:rsidR="00075819" w:rsidRPr="00273105" w:rsidRDefault="00075819" w:rsidP="00770178">
      <w:pPr>
        <w:spacing w:line="360" w:lineRule="auto"/>
        <w:rPr>
          <w:color w:val="000000"/>
          <w:sz w:val="26"/>
          <w:szCs w:val="26"/>
        </w:rPr>
      </w:pPr>
      <w:r w:rsidRPr="00273105">
        <w:rPr>
          <w:i/>
          <w:color w:val="000000"/>
          <w:sz w:val="26"/>
          <w:szCs w:val="26"/>
        </w:rPr>
        <w:t>SEARCH Order</w:t>
      </w:r>
      <w:r w:rsidRPr="00273105">
        <w:rPr>
          <w:color w:val="000000"/>
          <w:sz w:val="26"/>
          <w:szCs w:val="26"/>
        </w:rPr>
        <w:t>, pp. 23-24.</w:t>
      </w:r>
    </w:p>
    <w:p w:rsidR="00075819" w:rsidRPr="00273105" w:rsidRDefault="00075819" w:rsidP="00770178">
      <w:pPr>
        <w:spacing w:line="360" w:lineRule="auto"/>
        <w:rPr>
          <w:color w:val="000000"/>
          <w:sz w:val="26"/>
          <w:szCs w:val="26"/>
        </w:rPr>
      </w:pPr>
      <w:r w:rsidRPr="00273105">
        <w:rPr>
          <w:color w:val="000000"/>
          <w:sz w:val="26"/>
          <w:szCs w:val="26"/>
        </w:rPr>
        <w:lastRenderedPageBreak/>
        <w:tab/>
        <w:t xml:space="preserve">The </w:t>
      </w:r>
      <w:r w:rsidRPr="00273105">
        <w:rPr>
          <w:i/>
          <w:color w:val="000000"/>
          <w:sz w:val="26"/>
          <w:szCs w:val="26"/>
        </w:rPr>
        <w:t>SEARCH Order</w:t>
      </w:r>
      <w:r w:rsidRPr="00273105">
        <w:rPr>
          <w:color w:val="000000"/>
          <w:sz w:val="26"/>
          <w:szCs w:val="26"/>
        </w:rPr>
        <w:t xml:space="preserve"> also discussed the suppliers’ position that uniformity in the use of security instruments across NGDC service territories, and greater acceptance of other types of security by the NGDCs would decrease costs for suppliers and remove a barrier to supplier entry and participation. </w:t>
      </w:r>
    </w:p>
    <w:p w:rsidR="00075819" w:rsidRPr="00273105" w:rsidRDefault="00075819" w:rsidP="00770178">
      <w:pPr>
        <w:spacing w:line="360" w:lineRule="auto"/>
        <w:ind w:left="864"/>
        <w:rPr>
          <w:color w:val="000000"/>
          <w:sz w:val="26"/>
          <w:szCs w:val="26"/>
        </w:rPr>
      </w:pPr>
    </w:p>
    <w:p w:rsidR="00075819" w:rsidRPr="00273105" w:rsidRDefault="00075819" w:rsidP="0080745A">
      <w:pPr>
        <w:ind w:left="864"/>
        <w:rPr>
          <w:color w:val="000000"/>
          <w:sz w:val="26"/>
          <w:szCs w:val="26"/>
        </w:rPr>
      </w:pPr>
      <w:r w:rsidRPr="00273105">
        <w:rPr>
          <w:color w:val="000000"/>
          <w:sz w:val="26"/>
          <w:szCs w:val="26"/>
        </w:rPr>
        <w:tab/>
        <w:t xml:space="preserve">However, the </w:t>
      </w:r>
      <w:r w:rsidRPr="00273105">
        <w:rPr>
          <w:i/>
          <w:color w:val="000000"/>
          <w:sz w:val="26"/>
          <w:szCs w:val="26"/>
        </w:rPr>
        <w:t>SEARCH Report</w:t>
      </w:r>
      <w:r w:rsidRPr="00273105">
        <w:rPr>
          <w:color w:val="000000"/>
          <w:sz w:val="26"/>
          <w:szCs w:val="26"/>
        </w:rPr>
        <w:t xml:space="preserve"> states that suppliers</w:t>
      </w:r>
      <w:r w:rsidRPr="00273105" w:rsidDel="000E7C19">
        <w:rPr>
          <w:color w:val="000000"/>
          <w:sz w:val="26"/>
          <w:szCs w:val="26"/>
        </w:rPr>
        <w:t xml:space="preserve"> </w:t>
      </w:r>
      <w:r w:rsidRPr="00273105">
        <w:rPr>
          <w:color w:val="000000"/>
          <w:sz w:val="26"/>
          <w:szCs w:val="26"/>
        </w:rPr>
        <w:t xml:space="preserve">observe </w:t>
      </w:r>
      <w:r w:rsidRPr="00273105" w:rsidDel="000E7C19">
        <w:rPr>
          <w:color w:val="000000"/>
          <w:sz w:val="26"/>
          <w:szCs w:val="26"/>
        </w:rPr>
        <w:t xml:space="preserve">that the use of security instruments is not uniform among the companies and </w:t>
      </w:r>
      <w:r w:rsidRPr="00273105">
        <w:rPr>
          <w:color w:val="000000"/>
          <w:sz w:val="26"/>
          <w:szCs w:val="26"/>
        </w:rPr>
        <w:t>contend that this</w:t>
      </w:r>
      <w:r w:rsidRPr="00273105" w:rsidDel="000E7C19">
        <w:rPr>
          <w:color w:val="000000"/>
          <w:sz w:val="26"/>
          <w:szCs w:val="26"/>
        </w:rPr>
        <w:t xml:space="preserve"> variability is a barrier to market entry and multi-system participation.  </w:t>
      </w:r>
      <w:r w:rsidRPr="00273105">
        <w:rPr>
          <w:color w:val="000000"/>
          <w:sz w:val="26"/>
          <w:szCs w:val="26"/>
        </w:rPr>
        <w:t xml:space="preserve">Suppliers also raised concerns about the escalating cost of security to match the growth of their sales, and opined that there should be </w:t>
      </w:r>
      <w:r w:rsidRPr="00273105" w:rsidDel="000E7C19">
        <w:rPr>
          <w:color w:val="000000"/>
          <w:sz w:val="26"/>
          <w:szCs w:val="26"/>
        </w:rPr>
        <w:t xml:space="preserve">a limitation on the frequency of review of required security levels, with specific triggers for that review, such as a percentage change in pool size. </w:t>
      </w:r>
      <w:r w:rsidRPr="00273105">
        <w:rPr>
          <w:i/>
          <w:color w:val="000000"/>
          <w:sz w:val="26"/>
          <w:szCs w:val="26"/>
        </w:rPr>
        <w:t>SEARCH Report</w:t>
      </w:r>
      <w:r w:rsidRPr="00273105">
        <w:rPr>
          <w:color w:val="000000"/>
          <w:sz w:val="26"/>
          <w:szCs w:val="26"/>
        </w:rPr>
        <w:t>, p. 19.</w:t>
      </w:r>
      <w:r w:rsidRPr="00273105" w:rsidDel="000E7C19">
        <w:rPr>
          <w:color w:val="000000"/>
          <w:sz w:val="26"/>
          <w:szCs w:val="26"/>
        </w:rPr>
        <w:t xml:space="preserve"> </w:t>
      </w:r>
    </w:p>
    <w:p w:rsidR="00075819" w:rsidRPr="00273105" w:rsidRDefault="00075819" w:rsidP="0080745A">
      <w:pPr>
        <w:ind w:left="864"/>
        <w:rPr>
          <w:color w:val="000000"/>
          <w:sz w:val="26"/>
          <w:szCs w:val="26"/>
        </w:rPr>
      </w:pPr>
    </w:p>
    <w:p w:rsidR="00075819" w:rsidRPr="00273105" w:rsidRDefault="00075819" w:rsidP="0080745A">
      <w:pPr>
        <w:ind w:left="864"/>
        <w:rPr>
          <w:color w:val="000000"/>
          <w:sz w:val="26"/>
          <w:szCs w:val="26"/>
        </w:rPr>
      </w:pPr>
      <w:r w:rsidRPr="00273105">
        <w:rPr>
          <w:color w:val="000000"/>
          <w:sz w:val="26"/>
          <w:szCs w:val="26"/>
        </w:rPr>
        <w:tab/>
        <w:t>Suppliers also view t</w:t>
      </w:r>
      <w:r w:rsidRPr="00273105" w:rsidDel="000E7C19">
        <w:rPr>
          <w:color w:val="000000"/>
          <w:sz w:val="26"/>
          <w:szCs w:val="26"/>
        </w:rPr>
        <w:t xml:space="preserve">he </w:t>
      </w:r>
      <w:r w:rsidRPr="00273105">
        <w:rPr>
          <w:color w:val="000000"/>
          <w:sz w:val="26"/>
          <w:szCs w:val="26"/>
        </w:rPr>
        <w:t xml:space="preserve">NGDC’s </w:t>
      </w:r>
      <w:r w:rsidRPr="00273105" w:rsidDel="000E7C19">
        <w:rPr>
          <w:color w:val="000000"/>
          <w:sz w:val="26"/>
          <w:szCs w:val="26"/>
        </w:rPr>
        <w:t>acceptance of only certain financial instrume</w:t>
      </w:r>
      <w:r w:rsidRPr="00273105">
        <w:rPr>
          <w:color w:val="000000"/>
          <w:sz w:val="26"/>
          <w:szCs w:val="26"/>
        </w:rPr>
        <w:t xml:space="preserve">nts </w:t>
      </w:r>
      <w:r w:rsidRPr="00273105" w:rsidDel="000E7C19">
        <w:rPr>
          <w:color w:val="000000"/>
          <w:sz w:val="26"/>
          <w:szCs w:val="26"/>
        </w:rPr>
        <w:t xml:space="preserve">as a barrier to market entry. </w:t>
      </w:r>
      <w:r w:rsidRPr="00273105">
        <w:rPr>
          <w:color w:val="000000"/>
          <w:sz w:val="26"/>
          <w:szCs w:val="26"/>
        </w:rPr>
        <w:t xml:space="preserve">Suppliers prefer to </w:t>
      </w:r>
      <w:r w:rsidRPr="00273105" w:rsidDel="000E7C19">
        <w:rPr>
          <w:color w:val="000000"/>
          <w:sz w:val="26"/>
          <w:szCs w:val="26"/>
        </w:rPr>
        <w:t xml:space="preserve">use corporate guarantees as the predominant practice.  Further, to ensure fairness and remove a possible barrier for market entry, </w:t>
      </w:r>
      <w:r w:rsidRPr="00273105">
        <w:rPr>
          <w:color w:val="000000"/>
          <w:sz w:val="26"/>
          <w:szCs w:val="26"/>
        </w:rPr>
        <w:t xml:space="preserve">suppliers believe that </w:t>
      </w:r>
      <w:r w:rsidRPr="00273105" w:rsidDel="000E7C19">
        <w:rPr>
          <w:color w:val="000000"/>
          <w:sz w:val="26"/>
          <w:szCs w:val="26"/>
        </w:rPr>
        <w:t xml:space="preserve">specific criteria for acceptable financial instruments should be established in a regulation </w:t>
      </w:r>
      <w:r w:rsidRPr="00273105">
        <w:rPr>
          <w:color w:val="000000"/>
          <w:sz w:val="26"/>
          <w:szCs w:val="26"/>
        </w:rPr>
        <w:t>or</w:t>
      </w:r>
      <w:r w:rsidRPr="00273105" w:rsidDel="000E7C19">
        <w:rPr>
          <w:color w:val="000000"/>
          <w:sz w:val="26"/>
          <w:szCs w:val="26"/>
        </w:rPr>
        <w:t xml:space="preserve"> order rather than permitting companies to set those through tariffs.</w:t>
      </w:r>
      <w:r w:rsidRPr="00273105">
        <w:rPr>
          <w:color w:val="000000"/>
          <w:sz w:val="26"/>
          <w:szCs w:val="26"/>
        </w:rPr>
        <w:t xml:space="preserve">  </w:t>
      </w:r>
      <w:r w:rsidRPr="00273105">
        <w:rPr>
          <w:i/>
          <w:color w:val="000000"/>
          <w:sz w:val="26"/>
          <w:szCs w:val="26"/>
        </w:rPr>
        <w:t>SEARCH Report</w:t>
      </w:r>
      <w:r w:rsidRPr="00273105">
        <w:rPr>
          <w:color w:val="000000"/>
          <w:sz w:val="26"/>
          <w:szCs w:val="26"/>
        </w:rPr>
        <w:t xml:space="preserve">, p. 19. </w:t>
      </w:r>
    </w:p>
    <w:p w:rsidR="00075819" w:rsidRPr="00273105" w:rsidRDefault="00075819" w:rsidP="0080745A">
      <w:pPr>
        <w:ind w:left="864"/>
        <w:rPr>
          <w:color w:val="000000"/>
          <w:sz w:val="26"/>
          <w:szCs w:val="26"/>
        </w:rPr>
      </w:pPr>
    </w:p>
    <w:p w:rsidR="00075819" w:rsidRPr="00273105" w:rsidRDefault="00075819" w:rsidP="0080745A">
      <w:pPr>
        <w:ind w:left="864"/>
        <w:rPr>
          <w:color w:val="000000"/>
          <w:sz w:val="26"/>
          <w:szCs w:val="26"/>
        </w:rPr>
      </w:pPr>
      <w:r w:rsidRPr="00273105">
        <w:rPr>
          <w:color w:val="000000"/>
          <w:sz w:val="26"/>
          <w:szCs w:val="26"/>
        </w:rPr>
        <w:tab/>
        <w:t xml:space="preserve">Establishing standard language for the form of the financial instrument used for security and reasonable criteria for the amount of security should assist NGSs in obtaining security in an acceptable form and amount, while aiding the NGDC in collecting a claim against the security in the event of supplier default. North American Energy Standards Board (NAESB) forms and business practices could be reviewed for appropriateness to develop uniform language to address this issue. </w:t>
      </w:r>
      <w:r w:rsidRPr="00273105">
        <w:rPr>
          <w:i/>
          <w:color w:val="000000"/>
          <w:sz w:val="26"/>
          <w:szCs w:val="26"/>
        </w:rPr>
        <w:t>SEARCH</w:t>
      </w:r>
      <w:r w:rsidRPr="00273105">
        <w:rPr>
          <w:color w:val="000000"/>
          <w:sz w:val="26"/>
          <w:szCs w:val="26"/>
        </w:rPr>
        <w:t xml:space="preserve"> </w:t>
      </w:r>
      <w:r w:rsidRPr="00273105">
        <w:rPr>
          <w:i/>
          <w:color w:val="000000"/>
          <w:sz w:val="26"/>
          <w:szCs w:val="26"/>
        </w:rPr>
        <w:t>Report</w:t>
      </w:r>
      <w:r w:rsidRPr="00273105">
        <w:rPr>
          <w:color w:val="000000"/>
          <w:sz w:val="26"/>
          <w:szCs w:val="26"/>
        </w:rPr>
        <w:t xml:space="preserve">, p. 21.  Also, the use of a POR program should be examined as a way to reduce the level of required security, to lessen the need for frequent credit reviews and to ameliorate adjustments in security level that might normally be triggered by changes in a company’s creditworthiness rating, which can occur for reasons unrelated to its immediate business interaction and relationships.  </w:t>
      </w:r>
      <w:r w:rsidRPr="00273105">
        <w:rPr>
          <w:i/>
          <w:color w:val="000000"/>
          <w:sz w:val="26"/>
          <w:szCs w:val="26"/>
        </w:rPr>
        <w:t>SEARCH Report</w:t>
      </w:r>
      <w:r w:rsidRPr="00273105">
        <w:rPr>
          <w:color w:val="000000"/>
          <w:sz w:val="26"/>
          <w:szCs w:val="26"/>
        </w:rPr>
        <w:t>, p. 21.</w:t>
      </w:r>
    </w:p>
    <w:p w:rsidR="00075819" w:rsidRPr="00273105" w:rsidRDefault="00075819" w:rsidP="00770178">
      <w:pPr>
        <w:spacing w:line="360" w:lineRule="auto"/>
        <w:ind w:left="864"/>
        <w:rPr>
          <w:color w:val="000000"/>
          <w:sz w:val="26"/>
          <w:szCs w:val="26"/>
        </w:rPr>
      </w:pPr>
    </w:p>
    <w:p w:rsidR="00075819" w:rsidRPr="00273105" w:rsidRDefault="00075819" w:rsidP="00770178">
      <w:pPr>
        <w:spacing w:line="360" w:lineRule="auto"/>
        <w:rPr>
          <w:color w:val="000000"/>
          <w:sz w:val="26"/>
          <w:szCs w:val="26"/>
        </w:rPr>
      </w:pPr>
      <w:r w:rsidRPr="00273105">
        <w:rPr>
          <w:i/>
          <w:color w:val="000000"/>
          <w:sz w:val="26"/>
          <w:szCs w:val="26"/>
        </w:rPr>
        <w:t>SEARCH Order</w:t>
      </w:r>
      <w:r w:rsidRPr="00273105">
        <w:rPr>
          <w:color w:val="000000"/>
          <w:sz w:val="26"/>
          <w:szCs w:val="26"/>
        </w:rPr>
        <w:t>, pp. 24-25.</w:t>
      </w:r>
    </w:p>
    <w:p w:rsidR="00075819" w:rsidRDefault="00075819" w:rsidP="00770178">
      <w:pPr>
        <w:spacing w:line="360" w:lineRule="auto"/>
        <w:ind w:left="864"/>
        <w:rPr>
          <w:color w:val="000000"/>
          <w:sz w:val="26"/>
          <w:szCs w:val="26"/>
        </w:rPr>
      </w:pPr>
    </w:p>
    <w:p w:rsidR="00FE27B2" w:rsidRPr="00273105" w:rsidRDefault="00FE27B2" w:rsidP="00770178">
      <w:pPr>
        <w:spacing w:line="360" w:lineRule="auto"/>
        <w:ind w:left="864"/>
        <w:rPr>
          <w:color w:val="000000"/>
          <w:sz w:val="26"/>
          <w:szCs w:val="26"/>
        </w:rPr>
      </w:pPr>
    </w:p>
    <w:p w:rsidR="00075819" w:rsidRPr="00273105" w:rsidRDefault="00075819" w:rsidP="00770178">
      <w:pPr>
        <w:spacing w:line="360" w:lineRule="auto"/>
        <w:rPr>
          <w:color w:val="000000"/>
          <w:sz w:val="26"/>
          <w:szCs w:val="26"/>
        </w:rPr>
      </w:pPr>
      <w:r w:rsidRPr="00273105">
        <w:rPr>
          <w:color w:val="000000"/>
          <w:sz w:val="26"/>
          <w:szCs w:val="26"/>
        </w:rPr>
        <w:lastRenderedPageBreak/>
        <w:tab/>
        <w:t xml:space="preserve">After our review of the </w:t>
      </w:r>
      <w:r w:rsidRPr="00273105">
        <w:rPr>
          <w:i/>
          <w:color w:val="000000"/>
          <w:sz w:val="26"/>
          <w:szCs w:val="26"/>
        </w:rPr>
        <w:t>SEARCH Report</w:t>
      </w:r>
      <w:r w:rsidRPr="00273105">
        <w:rPr>
          <w:color w:val="000000"/>
          <w:sz w:val="26"/>
          <w:szCs w:val="26"/>
        </w:rPr>
        <w:t xml:space="preserve">, we determined that it </w:t>
      </w:r>
      <w:r w:rsidR="002B1BF7" w:rsidRPr="00273105">
        <w:rPr>
          <w:color w:val="000000"/>
          <w:sz w:val="26"/>
          <w:szCs w:val="26"/>
        </w:rPr>
        <w:t>was</w:t>
      </w:r>
      <w:r w:rsidRPr="00273105">
        <w:rPr>
          <w:color w:val="000000"/>
          <w:sz w:val="26"/>
          <w:szCs w:val="26"/>
        </w:rPr>
        <w:t xml:space="preserve"> in the public interest to initiate a rulemaking to address security requirements related to NGS licensing.</w:t>
      </w:r>
      <w:r w:rsidR="00A865A6">
        <w:rPr>
          <w:color w:val="000000"/>
          <w:sz w:val="26"/>
          <w:szCs w:val="26"/>
        </w:rPr>
        <w:t>”</w:t>
      </w:r>
      <w:r w:rsidRPr="00273105">
        <w:rPr>
          <w:color w:val="000000"/>
          <w:sz w:val="26"/>
          <w:szCs w:val="26"/>
        </w:rPr>
        <w:t xml:space="preserve">  </w:t>
      </w:r>
      <w:r w:rsidRPr="00273105">
        <w:rPr>
          <w:i/>
          <w:color w:val="000000"/>
          <w:sz w:val="26"/>
          <w:szCs w:val="26"/>
        </w:rPr>
        <w:t>SEARCH Order</w:t>
      </w:r>
      <w:r w:rsidRPr="00273105">
        <w:rPr>
          <w:color w:val="000000"/>
          <w:sz w:val="26"/>
          <w:szCs w:val="26"/>
        </w:rPr>
        <w:t xml:space="preserve">, p. 25. </w:t>
      </w:r>
      <w:r w:rsidR="00CE39E5" w:rsidRPr="00273105">
        <w:rPr>
          <w:color w:val="000000"/>
          <w:sz w:val="26"/>
          <w:szCs w:val="26"/>
        </w:rPr>
        <w:t>Our</w:t>
      </w:r>
      <w:r w:rsidRPr="00273105">
        <w:rPr>
          <w:color w:val="000000"/>
          <w:sz w:val="26"/>
          <w:szCs w:val="26"/>
        </w:rPr>
        <w:t xml:space="preserve"> goal </w:t>
      </w:r>
      <w:r w:rsidR="00CE39E5" w:rsidRPr="00273105">
        <w:rPr>
          <w:color w:val="000000"/>
          <w:sz w:val="26"/>
          <w:szCs w:val="26"/>
        </w:rPr>
        <w:t>was</w:t>
      </w:r>
      <w:r w:rsidRPr="00273105">
        <w:rPr>
          <w:color w:val="000000"/>
          <w:sz w:val="26"/>
          <w:szCs w:val="26"/>
        </w:rPr>
        <w:t xml:space="preserve"> to update the </w:t>
      </w:r>
      <w:r w:rsidR="00CE39E5" w:rsidRPr="00273105">
        <w:rPr>
          <w:color w:val="000000"/>
          <w:sz w:val="26"/>
          <w:szCs w:val="26"/>
        </w:rPr>
        <w:t xml:space="preserve">security requirement in the </w:t>
      </w:r>
      <w:r w:rsidRPr="00273105">
        <w:rPr>
          <w:color w:val="000000"/>
          <w:sz w:val="26"/>
          <w:szCs w:val="26"/>
        </w:rPr>
        <w:t xml:space="preserve">regulations </w:t>
      </w:r>
      <w:r w:rsidR="00CE39E5" w:rsidRPr="00273105">
        <w:rPr>
          <w:color w:val="000000"/>
          <w:sz w:val="26"/>
          <w:szCs w:val="26"/>
        </w:rPr>
        <w:t>“</w:t>
      </w:r>
      <w:r w:rsidRPr="00273105">
        <w:rPr>
          <w:color w:val="000000"/>
          <w:sz w:val="26"/>
          <w:szCs w:val="26"/>
        </w:rPr>
        <w:t>to better balance the ability of NGS firms to provide adequate security with the NGDC’s risk of a supplier default.</w:t>
      </w:r>
      <w:r w:rsidR="002C5F17">
        <w:rPr>
          <w:color w:val="000000"/>
          <w:sz w:val="26"/>
          <w:szCs w:val="26"/>
        </w:rPr>
        <w:t>”</w:t>
      </w:r>
      <w:r w:rsidR="00161C8B" w:rsidRPr="00273105">
        <w:rPr>
          <w:color w:val="000000"/>
          <w:sz w:val="26"/>
          <w:szCs w:val="26"/>
        </w:rPr>
        <w:t xml:space="preserve"> </w:t>
      </w:r>
      <w:r w:rsidR="00CE39E5" w:rsidRPr="00273105">
        <w:rPr>
          <w:color w:val="000000"/>
          <w:sz w:val="26"/>
          <w:szCs w:val="26"/>
        </w:rPr>
        <w:t xml:space="preserve"> </w:t>
      </w:r>
      <w:r w:rsidRPr="00273105">
        <w:rPr>
          <w:color w:val="000000"/>
          <w:sz w:val="26"/>
          <w:szCs w:val="26"/>
        </w:rPr>
        <w:t>Specific matters that were to be addressed included</w:t>
      </w:r>
      <w:r w:rsidR="00C13A7C" w:rsidRPr="00273105">
        <w:rPr>
          <w:color w:val="000000"/>
          <w:sz w:val="26"/>
          <w:szCs w:val="26"/>
        </w:rPr>
        <w:t>:</w:t>
      </w:r>
      <w:r w:rsidRPr="00273105">
        <w:rPr>
          <w:color w:val="000000"/>
          <w:sz w:val="26"/>
          <w:szCs w:val="26"/>
        </w:rPr>
        <w:t xml:space="preserve"> (1) the use of NGS accounts receivable in purchase of receivables program</w:t>
      </w:r>
      <w:r w:rsidR="007F4856" w:rsidRPr="00273105">
        <w:rPr>
          <w:color w:val="000000"/>
          <w:sz w:val="26"/>
          <w:szCs w:val="26"/>
        </w:rPr>
        <w:t xml:space="preserve">s as fulfillment of some </w:t>
      </w:r>
      <w:r w:rsidRPr="00273105">
        <w:rPr>
          <w:color w:val="000000"/>
          <w:sz w:val="26"/>
          <w:szCs w:val="26"/>
        </w:rPr>
        <w:t>part</w:t>
      </w:r>
      <w:r w:rsidR="007F4856" w:rsidRPr="00273105">
        <w:rPr>
          <w:color w:val="000000"/>
          <w:sz w:val="26"/>
          <w:szCs w:val="26"/>
        </w:rPr>
        <w:t xml:space="preserve">, </w:t>
      </w:r>
      <w:r w:rsidRPr="00273105">
        <w:rPr>
          <w:color w:val="000000"/>
          <w:sz w:val="26"/>
          <w:szCs w:val="26"/>
        </w:rPr>
        <w:t xml:space="preserve">or all of security requirements; (2) the adoption of standard language for financial instruments used for security; and (3) the development of reasonable criteria for NGDCs to use to establish the amount of security necessary for licensing purposes.  </w:t>
      </w:r>
      <w:r w:rsidR="00161C8B" w:rsidRPr="00273105">
        <w:rPr>
          <w:i/>
          <w:color w:val="000000"/>
          <w:sz w:val="26"/>
          <w:szCs w:val="26"/>
        </w:rPr>
        <w:t xml:space="preserve">SEARCH </w:t>
      </w:r>
      <w:r w:rsidR="00CE39E5" w:rsidRPr="00273105">
        <w:rPr>
          <w:i/>
          <w:color w:val="000000"/>
          <w:sz w:val="26"/>
          <w:szCs w:val="26"/>
        </w:rPr>
        <w:t>Order</w:t>
      </w:r>
      <w:r w:rsidR="00CE39E5" w:rsidRPr="00273105">
        <w:rPr>
          <w:color w:val="000000"/>
          <w:sz w:val="26"/>
          <w:szCs w:val="26"/>
        </w:rPr>
        <w:t xml:space="preserve">, p. </w:t>
      </w:r>
      <w:r w:rsidR="00350944" w:rsidRPr="00273105">
        <w:rPr>
          <w:color w:val="000000"/>
          <w:sz w:val="26"/>
          <w:szCs w:val="26"/>
        </w:rPr>
        <w:t>26</w:t>
      </w:r>
      <w:r w:rsidR="00CE39E5" w:rsidRPr="00273105">
        <w:rPr>
          <w:color w:val="000000"/>
          <w:sz w:val="26"/>
          <w:szCs w:val="26"/>
        </w:rPr>
        <w:t>.</w:t>
      </w:r>
    </w:p>
    <w:p w:rsidR="00D34C0C" w:rsidRPr="00273105" w:rsidRDefault="00D34C0C" w:rsidP="00770178">
      <w:pPr>
        <w:spacing w:line="360" w:lineRule="auto"/>
        <w:rPr>
          <w:color w:val="000000"/>
          <w:sz w:val="26"/>
          <w:szCs w:val="26"/>
        </w:rPr>
      </w:pPr>
    </w:p>
    <w:p w:rsidR="00703BEB" w:rsidRPr="00273105" w:rsidRDefault="00161C8B" w:rsidP="00770178">
      <w:pPr>
        <w:spacing w:line="360" w:lineRule="auto"/>
        <w:rPr>
          <w:color w:val="000000"/>
          <w:sz w:val="26"/>
          <w:szCs w:val="26"/>
        </w:rPr>
      </w:pPr>
      <w:r w:rsidRPr="00273105">
        <w:rPr>
          <w:color w:val="000000"/>
          <w:sz w:val="26"/>
          <w:szCs w:val="26"/>
        </w:rPr>
        <w:tab/>
        <w:t xml:space="preserve">The </w:t>
      </w:r>
      <w:r w:rsidR="00421403" w:rsidRPr="00273105">
        <w:rPr>
          <w:color w:val="000000"/>
          <w:sz w:val="26"/>
          <w:szCs w:val="26"/>
        </w:rPr>
        <w:t>p</w:t>
      </w:r>
      <w:r w:rsidRPr="00273105">
        <w:rPr>
          <w:color w:val="000000"/>
          <w:sz w:val="26"/>
          <w:szCs w:val="26"/>
        </w:rPr>
        <w:t xml:space="preserve">roposed </w:t>
      </w:r>
      <w:r w:rsidR="00421403" w:rsidRPr="00273105">
        <w:rPr>
          <w:color w:val="000000"/>
          <w:sz w:val="26"/>
          <w:szCs w:val="26"/>
        </w:rPr>
        <w:t>r</w:t>
      </w:r>
      <w:r w:rsidRPr="00273105">
        <w:rPr>
          <w:color w:val="000000"/>
          <w:sz w:val="26"/>
          <w:szCs w:val="26"/>
        </w:rPr>
        <w:t xml:space="preserve">ulemaking </w:t>
      </w:r>
      <w:r w:rsidR="00421403" w:rsidRPr="00273105">
        <w:rPr>
          <w:color w:val="000000"/>
          <w:sz w:val="26"/>
          <w:szCs w:val="26"/>
        </w:rPr>
        <w:t>o</w:t>
      </w:r>
      <w:r w:rsidR="002B13DE" w:rsidRPr="00273105">
        <w:rPr>
          <w:color w:val="000000"/>
          <w:sz w:val="26"/>
          <w:szCs w:val="26"/>
        </w:rPr>
        <w:t xml:space="preserve">rder was entered </w:t>
      </w:r>
      <w:r w:rsidR="006F27D9" w:rsidRPr="00273105">
        <w:rPr>
          <w:color w:val="000000"/>
          <w:sz w:val="26"/>
          <w:szCs w:val="26"/>
        </w:rPr>
        <w:t xml:space="preserve">on </w:t>
      </w:r>
      <w:r w:rsidR="002B13DE" w:rsidRPr="00273105">
        <w:rPr>
          <w:color w:val="000000"/>
          <w:sz w:val="26"/>
          <w:szCs w:val="26"/>
        </w:rPr>
        <w:t>December 8, 2008</w:t>
      </w:r>
      <w:r w:rsidR="007F4856" w:rsidRPr="00273105">
        <w:rPr>
          <w:color w:val="000000"/>
          <w:sz w:val="26"/>
          <w:szCs w:val="26"/>
        </w:rPr>
        <w:t>,</w:t>
      </w:r>
      <w:r w:rsidR="002B13DE" w:rsidRPr="00273105">
        <w:rPr>
          <w:color w:val="000000"/>
          <w:sz w:val="26"/>
          <w:szCs w:val="26"/>
        </w:rPr>
        <w:t xml:space="preserve"> and was published on April 4, 2009</w:t>
      </w:r>
      <w:r w:rsidR="002C5F17">
        <w:rPr>
          <w:color w:val="000000"/>
          <w:sz w:val="26"/>
          <w:szCs w:val="26"/>
        </w:rPr>
        <w:t>,</w:t>
      </w:r>
      <w:r w:rsidR="002B13DE" w:rsidRPr="00273105">
        <w:rPr>
          <w:color w:val="000000"/>
          <w:sz w:val="26"/>
          <w:szCs w:val="26"/>
        </w:rPr>
        <w:t xml:space="preserve"> in the </w:t>
      </w:r>
      <w:r w:rsidR="002B13DE" w:rsidRPr="00273105">
        <w:rPr>
          <w:i/>
          <w:color w:val="000000"/>
          <w:sz w:val="26"/>
          <w:szCs w:val="26"/>
        </w:rPr>
        <w:t>Pennsylvania Bulletin</w:t>
      </w:r>
      <w:r w:rsidR="00394BFD" w:rsidRPr="00273105">
        <w:rPr>
          <w:color w:val="000000"/>
          <w:sz w:val="26"/>
          <w:szCs w:val="26"/>
        </w:rPr>
        <w:t xml:space="preserve"> at 39 </w:t>
      </w:r>
      <w:r w:rsidR="002B13DE" w:rsidRPr="00273105">
        <w:rPr>
          <w:color w:val="000000"/>
          <w:sz w:val="26"/>
          <w:szCs w:val="26"/>
        </w:rPr>
        <w:t>Pa.B. 1657</w:t>
      </w:r>
      <w:r w:rsidR="007F4856" w:rsidRPr="00273105">
        <w:rPr>
          <w:color w:val="000000"/>
          <w:sz w:val="26"/>
          <w:szCs w:val="26"/>
        </w:rPr>
        <w:t xml:space="preserve">.  The order established </w:t>
      </w:r>
      <w:r w:rsidR="002B13DE" w:rsidRPr="00273105">
        <w:rPr>
          <w:color w:val="000000"/>
          <w:sz w:val="26"/>
          <w:szCs w:val="26"/>
        </w:rPr>
        <w:t xml:space="preserve">a 60-day comment period.  </w:t>
      </w:r>
      <w:r w:rsidR="00A80825" w:rsidRPr="00273105">
        <w:rPr>
          <w:color w:val="000000"/>
          <w:sz w:val="26"/>
          <w:szCs w:val="26"/>
        </w:rPr>
        <w:t xml:space="preserve">No reply comments were permitted to be filed.  </w:t>
      </w:r>
    </w:p>
    <w:p w:rsidR="00703BEB" w:rsidRPr="00273105" w:rsidRDefault="00703BEB" w:rsidP="00770178">
      <w:pPr>
        <w:spacing w:line="360" w:lineRule="auto"/>
        <w:rPr>
          <w:color w:val="000000"/>
          <w:sz w:val="26"/>
          <w:szCs w:val="26"/>
        </w:rPr>
      </w:pPr>
    </w:p>
    <w:p w:rsidR="009F715D" w:rsidRDefault="002A4B38" w:rsidP="00703BEB">
      <w:pPr>
        <w:spacing w:line="360" w:lineRule="auto"/>
        <w:ind w:firstLine="720"/>
        <w:rPr>
          <w:color w:val="000000"/>
          <w:sz w:val="26"/>
          <w:szCs w:val="26"/>
        </w:rPr>
      </w:pPr>
      <w:r w:rsidRPr="00273105">
        <w:rPr>
          <w:color w:val="000000"/>
          <w:sz w:val="26"/>
          <w:szCs w:val="26"/>
        </w:rPr>
        <w:t xml:space="preserve">Comments were filed by </w:t>
      </w:r>
      <w:r w:rsidR="004D6F52">
        <w:rPr>
          <w:color w:val="000000"/>
          <w:sz w:val="26"/>
          <w:szCs w:val="26"/>
        </w:rPr>
        <w:t>seven</w:t>
      </w:r>
      <w:r w:rsidRPr="00273105">
        <w:rPr>
          <w:color w:val="000000"/>
          <w:sz w:val="26"/>
          <w:szCs w:val="26"/>
        </w:rPr>
        <w:t xml:space="preserve"> interested parties:</w:t>
      </w:r>
      <w:r w:rsidR="00AC0459" w:rsidRPr="00273105">
        <w:rPr>
          <w:color w:val="000000"/>
          <w:sz w:val="26"/>
          <w:szCs w:val="26"/>
        </w:rPr>
        <w:t xml:space="preserve">  </w:t>
      </w:r>
      <w:r w:rsidR="000B4156" w:rsidRPr="00273105">
        <w:rPr>
          <w:color w:val="000000"/>
          <w:sz w:val="26"/>
          <w:szCs w:val="26"/>
        </w:rPr>
        <w:t xml:space="preserve">the Energy Association of </w:t>
      </w:r>
      <w:r w:rsidR="0004733B" w:rsidRPr="00273105">
        <w:rPr>
          <w:color w:val="000000"/>
          <w:sz w:val="26"/>
          <w:szCs w:val="26"/>
        </w:rPr>
        <w:t>P</w:t>
      </w:r>
      <w:r w:rsidR="000B4156" w:rsidRPr="00273105">
        <w:rPr>
          <w:color w:val="000000"/>
          <w:sz w:val="26"/>
          <w:szCs w:val="26"/>
        </w:rPr>
        <w:t>ennsylvania</w:t>
      </w:r>
      <w:r w:rsidR="0044237E" w:rsidRPr="00273105">
        <w:rPr>
          <w:color w:val="000000"/>
          <w:sz w:val="26"/>
          <w:szCs w:val="26"/>
        </w:rPr>
        <w:t xml:space="preserve"> (EAPA)</w:t>
      </w:r>
      <w:r w:rsidR="002730F0" w:rsidRPr="00273105">
        <w:rPr>
          <w:rStyle w:val="FootnoteReference"/>
          <w:color w:val="000000"/>
          <w:sz w:val="26"/>
          <w:szCs w:val="26"/>
        </w:rPr>
        <w:footnoteReference w:id="3"/>
      </w:r>
      <w:r w:rsidR="0044237E" w:rsidRPr="00273105">
        <w:rPr>
          <w:color w:val="000000"/>
          <w:sz w:val="26"/>
          <w:szCs w:val="26"/>
        </w:rPr>
        <w:t xml:space="preserve">; </w:t>
      </w:r>
      <w:r w:rsidR="0004733B" w:rsidRPr="00273105">
        <w:rPr>
          <w:color w:val="000000"/>
          <w:sz w:val="26"/>
          <w:szCs w:val="26"/>
        </w:rPr>
        <w:t>the NGS Parties</w:t>
      </w:r>
      <w:r w:rsidR="00294935" w:rsidRPr="00273105">
        <w:rPr>
          <w:rStyle w:val="FootnoteReference"/>
          <w:color w:val="000000"/>
          <w:sz w:val="26"/>
          <w:szCs w:val="26"/>
        </w:rPr>
        <w:footnoteReference w:id="4"/>
      </w:r>
      <w:r w:rsidR="0004733B" w:rsidRPr="00273105">
        <w:rPr>
          <w:color w:val="000000"/>
          <w:sz w:val="26"/>
          <w:szCs w:val="26"/>
        </w:rPr>
        <w:t xml:space="preserve">, </w:t>
      </w:r>
      <w:r w:rsidR="002B1BF7" w:rsidRPr="00273105">
        <w:rPr>
          <w:color w:val="000000"/>
          <w:sz w:val="26"/>
          <w:szCs w:val="26"/>
        </w:rPr>
        <w:t>t</w:t>
      </w:r>
      <w:r w:rsidR="0044237E" w:rsidRPr="00273105">
        <w:rPr>
          <w:color w:val="000000"/>
          <w:sz w:val="26"/>
          <w:szCs w:val="26"/>
        </w:rPr>
        <w:t>he Retail Energy Supply Association (RESA)</w:t>
      </w:r>
      <w:r w:rsidR="00294935" w:rsidRPr="00273105">
        <w:rPr>
          <w:rStyle w:val="FootnoteReference"/>
          <w:color w:val="000000"/>
          <w:sz w:val="26"/>
          <w:szCs w:val="26"/>
        </w:rPr>
        <w:footnoteReference w:id="5"/>
      </w:r>
      <w:r w:rsidR="0044237E" w:rsidRPr="00273105">
        <w:rPr>
          <w:color w:val="000000"/>
          <w:sz w:val="26"/>
          <w:szCs w:val="26"/>
        </w:rPr>
        <w:t>; Philadelphia Gas Works (PGW); National Fuel Gas Distribution Company (NFG);</w:t>
      </w:r>
      <w:r w:rsidR="004D6F52">
        <w:rPr>
          <w:color w:val="000000"/>
          <w:sz w:val="26"/>
          <w:szCs w:val="26"/>
        </w:rPr>
        <w:t xml:space="preserve"> PECO Energy Company (PECO) </w:t>
      </w:r>
      <w:r w:rsidR="00394BFD" w:rsidRPr="00273105">
        <w:rPr>
          <w:color w:val="000000"/>
          <w:sz w:val="26"/>
          <w:szCs w:val="26"/>
        </w:rPr>
        <w:t xml:space="preserve">and </w:t>
      </w:r>
      <w:r w:rsidR="0044237E" w:rsidRPr="00273105">
        <w:rPr>
          <w:color w:val="000000"/>
          <w:sz w:val="26"/>
          <w:szCs w:val="26"/>
        </w:rPr>
        <w:t>Equitable Gas Company (Equitable)</w:t>
      </w:r>
      <w:r w:rsidR="005E199A" w:rsidRPr="00273105">
        <w:rPr>
          <w:color w:val="000000"/>
          <w:sz w:val="26"/>
          <w:szCs w:val="26"/>
        </w:rPr>
        <w:t>.</w:t>
      </w:r>
      <w:r w:rsidR="00394BFD" w:rsidRPr="00273105">
        <w:rPr>
          <w:color w:val="000000"/>
          <w:sz w:val="26"/>
          <w:szCs w:val="26"/>
        </w:rPr>
        <w:t xml:space="preserve">  The Independent Regulatory Review Commission (IRRC) also filed comments.</w:t>
      </w:r>
      <w:r w:rsidR="0044237E" w:rsidRPr="00273105">
        <w:rPr>
          <w:color w:val="000000"/>
          <w:sz w:val="26"/>
          <w:szCs w:val="26"/>
        </w:rPr>
        <w:t xml:space="preserve"> </w:t>
      </w:r>
    </w:p>
    <w:p w:rsidR="009140B0" w:rsidRDefault="009F715D" w:rsidP="009F715D">
      <w:pPr>
        <w:spacing w:line="360" w:lineRule="auto"/>
        <w:ind w:firstLine="720"/>
        <w:rPr>
          <w:color w:val="000000"/>
          <w:sz w:val="26"/>
          <w:szCs w:val="26"/>
        </w:rPr>
      </w:pPr>
      <w:r>
        <w:rPr>
          <w:color w:val="000000"/>
          <w:sz w:val="26"/>
          <w:szCs w:val="26"/>
        </w:rPr>
        <w:br w:type="page"/>
      </w:r>
      <w:r w:rsidR="002D325F" w:rsidRPr="00273105">
        <w:rPr>
          <w:color w:val="000000"/>
          <w:sz w:val="26"/>
          <w:szCs w:val="26"/>
        </w:rPr>
        <w:lastRenderedPageBreak/>
        <w:t xml:space="preserve">We have reviewed </w:t>
      </w:r>
      <w:r w:rsidR="009143A0" w:rsidRPr="00273105">
        <w:rPr>
          <w:color w:val="000000"/>
          <w:sz w:val="26"/>
          <w:szCs w:val="26"/>
        </w:rPr>
        <w:t xml:space="preserve">and addressed </w:t>
      </w:r>
      <w:r w:rsidR="002D325F" w:rsidRPr="00273105">
        <w:rPr>
          <w:color w:val="000000"/>
          <w:sz w:val="26"/>
          <w:szCs w:val="26"/>
        </w:rPr>
        <w:t>the</w:t>
      </w:r>
      <w:r w:rsidR="009143A0" w:rsidRPr="00273105">
        <w:rPr>
          <w:color w:val="000000"/>
          <w:sz w:val="26"/>
          <w:szCs w:val="26"/>
        </w:rPr>
        <w:t>se</w:t>
      </w:r>
      <w:r w:rsidR="002D325F" w:rsidRPr="00273105">
        <w:rPr>
          <w:color w:val="000000"/>
          <w:sz w:val="26"/>
          <w:szCs w:val="26"/>
        </w:rPr>
        <w:t xml:space="preserve"> comments </w:t>
      </w:r>
      <w:r w:rsidR="00F14E15" w:rsidRPr="00273105">
        <w:rPr>
          <w:color w:val="000000"/>
          <w:sz w:val="26"/>
          <w:szCs w:val="26"/>
        </w:rPr>
        <w:t>below.</w:t>
      </w:r>
    </w:p>
    <w:p w:rsidR="009F715D" w:rsidRDefault="009F715D" w:rsidP="00D54CD7">
      <w:pPr>
        <w:spacing w:line="360" w:lineRule="auto"/>
        <w:rPr>
          <w:b/>
          <w:color w:val="000000"/>
          <w:sz w:val="26"/>
          <w:szCs w:val="26"/>
        </w:rPr>
      </w:pPr>
    </w:p>
    <w:p w:rsidR="00075819" w:rsidRPr="00273105" w:rsidRDefault="00D54CD7" w:rsidP="00D54CD7">
      <w:pPr>
        <w:spacing w:line="360" w:lineRule="auto"/>
        <w:rPr>
          <w:b/>
          <w:color w:val="000000"/>
          <w:sz w:val="26"/>
          <w:szCs w:val="26"/>
        </w:rPr>
      </w:pPr>
      <w:r w:rsidRPr="00273105">
        <w:rPr>
          <w:b/>
          <w:color w:val="000000"/>
          <w:sz w:val="26"/>
          <w:szCs w:val="26"/>
        </w:rPr>
        <w:t>Comments</w:t>
      </w:r>
    </w:p>
    <w:p w:rsidR="00E372B3" w:rsidRPr="00273105" w:rsidRDefault="00E372B3" w:rsidP="009F715D">
      <w:pPr>
        <w:jc w:val="center"/>
        <w:rPr>
          <w:b/>
          <w:color w:val="000000"/>
          <w:sz w:val="26"/>
          <w:szCs w:val="26"/>
        </w:rPr>
      </w:pPr>
    </w:p>
    <w:p w:rsidR="00D34C0C" w:rsidRPr="00273105" w:rsidRDefault="00E372B3" w:rsidP="00770178">
      <w:pPr>
        <w:spacing w:line="360" w:lineRule="auto"/>
        <w:rPr>
          <w:b/>
          <w:color w:val="000000"/>
          <w:sz w:val="26"/>
          <w:szCs w:val="26"/>
        </w:rPr>
      </w:pPr>
      <w:r w:rsidRPr="00273105">
        <w:rPr>
          <w:b/>
          <w:color w:val="000000"/>
          <w:sz w:val="26"/>
          <w:szCs w:val="26"/>
        </w:rPr>
        <w:t>§ 62.111 – Suppliers Serving Large Customers (over 300 Mcf annually)</w:t>
      </w:r>
    </w:p>
    <w:p w:rsidR="002B1BF7" w:rsidRPr="00273105" w:rsidRDefault="002B1BF7" w:rsidP="00770178">
      <w:pPr>
        <w:spacing w:line="360" w:lineRule="auto"/>
        <w:ind w:firstLine="720"/>
        <w:rPr>
          <w:color w:val="000000"/>
          <w:sz w:val="26"/>
          <w:szCs w:val="26"/>
        </w:rPr>
      </w:pPr>
    </w:p>
    <w:p w:rsidR="00E01F56" w:rsidRPr="00273105" w:rsidRDefault="006C2010" w:rsidP="00770178">
      <w:pPr>
        <w:spacing w:line="360" w:lineRule="auto"/>
        <w:ind w:firstLine="720"/>
        <w:rPr>
          <w:color w:val="000000"/>
          <w:sz w:val="26"/>
          <w:szCs w:val="26"/>
        </w:rPr>
      </w:pPr>
      <w:r w:rsidRPr="00273105">
        <w:rPr>
          <w:color w:val="000000"/>
          <w:sz w:val="26"/>
          <w:szCs w:val="26"/>
        </w:rPr>
        <w:t xml:space="preserve">As a general comment, </w:t>
      </w:r>
      <w:r w:rsidR="00E01F56" w:rsidRPr="00273105">
        <w:rPr>
          <w:color w:val="000000"/>
          <w:sz w:val="26"/>
          <w:szCs w:val="26"/>
        </w:rPr>
        <w:t xml:space="preserve">Equitable states that modifications to </w:t>
      </w:r>
      <w:r w:rsidR="00947565">
        <w:rPr>
          <w:color w:val="000000"/>
          <w:sz w:val="26"/>
          <w:szCs w:val="26"/>
        </w:rPr>
        <w:t>S</w:t>
      </w:r>
      <w:r w:rsidR="00E01F56" w:rsidRPr="00273105">
        <w:rPr>
          <w:color w:val="000000"/>
          <w:sz w:val="26"/>
          <w:szCs w:val="26"/>
        </w:rPr>
        <w:t xml:space="preserve">ection 62.111 should make it clear that the security provisions apply only to those natural gas suppliers who </w:t>
      </w:r>
      <w:r w:rsidR="002A4B38" w:rsidRPr="00273105">
        <w:rPr>
          <w:color w:val="000000"/>
          <w:sz w:val="26"/>
          <w:szCs w:val="26"/>
        </w:rPr>
        <w:t>offer</w:t>
      </w:r>
      <w:r w:rsidR="00E01F56" w:rsidRPr="00273105">
        <w:rPr>
          <w:color w:val="000000"/>
          <w:sz w:val="26"/>
          <w:szCs w:val="26"/>
        </w:rPr>
        <w:t xml:space="preserve"> service to residential customers and small commercial and industrial customers </w:t>
      </w:r>
      <w:r w:rsidR="002A4B38" w:rsidRPr="00273105">
        <w:rPr>
          <w:color w:val="000000"/>
          <w:sz w:val="26"/>
          <w:szCs w:val="26"/>
        </w:rPr>
        <w:t xml:space="preserve">that </w:t>
      </w:r>
      <w:r w:rsidR="00E01F56" w:rsidRPr="00273105">
        <w:rPr>
          <w:color w:val="000000"/>
          <w:sz w:val="26"/>
          <w:szCs w:val="26"/>
        </w:rPr>
        <w:t>consum</w:t>
      </w:r>
      <w:r w:rsidR="002A4B38" w:rsidRPr="00273105">
        <w:rPr>
          <w:color w:val="000000"/>
          <w:sz w:val="26"/>
          <w:szCs w:val="26"/>
        </w:rPr>
        <w:t>e</w:t>
      </w:r>
      <w:r w:rsidR="00E01F56" w:rsidRPr="00273105">
        <w:rPr>
          <w:color w:val="000000"/>
          <w:sz w:val="26"/>
          <w:szCs w:val="26"/>
        </w:rPr>
        <w:t xml:space="preserve"> less than 300 Mcf annually.  </w:t>
      </w:r>
      <w:r w:rsidR="008D2C9D" w:rsidRPr="00273105">
        <w:rPr>
          <w:color w:val="000000"/>
          <w:sz w:val="26"/>
          <w:szCs w:val="26"/>
        </w:rPr>
        <w:t>Equitable also expresses</w:t>
      </w:r>
      <w:r w:rsidRPr="00273105">
        <w:rPr>
          <w:color w:val="000000"/>
          <w:sz w:val="26"/>
          <w:szCs w:val="26"/>
        </w:rPr>
        <w:t xml:space="preserve"> the opinion that a </w:t>
      </w:r>
      <w:r w:rsidR="00E01F56" w:rsidRPr="00273105">
        <w:rPr>
          <w:color w:val="000000"/>
          <w:sz w:val="26"/>
          <w:szCs w:val="26"/>
        </w:rPr>
        <w:t>NGS that offer</w:t>
      </w:r>
      <w:r w:rsidR="002A4B38" w:rsidRPr="00273105">
        <w:rPr>
          <w:color w:val="000000"/>
          <w:sz w:val="26"/>
          <w:szCs w:val="26"/>
        </w:rPr>
        <w:t>s</w:t>
      </w:r>
      <w:r w:rsidR="00E01F56" w:rsidRPr="00273105">
        <w:rPr>
          <w:color w:val="000000"/>
          <w:sz w:val="26"/>
          <w:szCs w:val="26"/>
        </w:rPr>
        <w:t xml:space="preserve"> service to large commercial and indu</w:t>
      </w:r>
      <w:r w:rsidRPr="00273105">
        <w:rPr>
          <w:color w:val="000000"/>
          <w:sz w:val="26"/>
          <w:szCs w:val="26"/>
        </w:rPr>
        <w:t>strial customers sh</w:t>
      </w:r>
      <w:r w:rsidR="00E01F56" w:rsidRPr="00273105">
        <w:rPr>
          <w:color w:val="000000"/>
          <w:sz w:val="26"/>
          <w:szCs w:val="26"/>
        </w:rPr>
        <w:t>ould be permitted and required to determine appropriate security with the NGDC outside the parameters of this section.</w:t>
      </w:r>
      <w:r w:rsidR="00305214" w:rsidRPr="00273105">
        <w:rPr>
          <w:color w:val="000000"/>
          <w:sz w:val="26"/>
          <w:szCs w:val="26"/>
        </w:rPr>
        <w:t xml:space="preserve"> </w:t>
      </w:r>
      <w:r w:rsidR="00305214" w:rsidRPr="00273105">
        <w:rPr>
          <w:i/>
          <w:color w:val="000000"/>
          <w:sz w:val="26"/>
          <w:szCs w:val="26"/>
        </w:rPr>
        <w:t>Equitable Comments,</w:t>
      </w:r>
      <w:r w:rsidR="00305214" w:rsidRPr="00273105">
        <w:rPr>
          <w:color w:val="000000"/>
          <w:sz w:val="26"/>
          <w:szCs w:val="26"/>
        </w:rPr>
        <w:t xml:space="preserve"> Appendix A, p. 1. </w:t>
      </w:r>
      <w:r w:rsidR="00E01F56" w:rsidRPr="00273105">
        <w:rPr>
          <w:color w:val="000000"/>
          <w:sz w:val="26"/>
          <w:szCs w:val="26"/>
        </w:rPr>
        <w:t xml:space="preserve"> </w:t>
      </w:r>
    </w:p>
    <w:p w:rsidR="00891B91" w:rsidRPr="00273105" w:rsidRDefault="00891B91" w:rsidP="00770178">
      <w:pPr>
        <w:spacing w:line="360" w:lineRule="auto"/>
        <w:rPr>
          <w:b/>
          <w:color w:val="000000"/>
          <w:sz w:val="26"/>
          <w:szCs w:val="26"/>
        </w:rPr>
      </w:pPr>
    </w:p>
    <w:p w:rsidR="00891B91" w:rsidRPr="00273105" w:rsidRDefault="007118A7" w:rsidP="00770178">
      <w:pPr>
        <w:spacing w:line="360" w:lineRule="auto"/>
        <w:rPr>
          <w:b/>
          <w:i/>
          <w:color w:val="000000"/>
          <w:sz w:val="26"/>
          <w:szCs w:val="26"/>
        </w:rPr>
      </w:pPr>
      <w:r w:rsidRPr="00273105">
        <w:rPr>
          <w:b/>
          <w:i/>
          <w:color w:val="000000"/>
          <w:sz w:val="26"/>
          <w:szCs w:val="26"/>
        </w:rPr>
        <w:t>Resolution</w:t>
      </w:r>
    </w:p>
    <w:p w:rsidR="002B1BF7" w:rsidRPr="00273105" w:rsidRDefault="002B1BF7" w:rsidP="00770178">
      <w:pPr>
        <w:spacing w:line="360" w:lineRule="auto"/>
        <w:rPr>
          <w:b/>
          <w:color w:val="000000"/>
          <w:sz w:val="26"/>
          <w:szCs w:val="26"/>
        </w:rPr>
      </w:pPr>
    </w:p>
    <w:p w:rsidR="00115569" w:rsidRPr="00273105" w:rsidRDefault="00115569" w:rsidP="00615834">
      <w:pPr>
        <w:spacing w:line="360" w:lineRule="auto"/>
        <w:ind w:firstLine="720"/>
        <w:rPr>
          <w:color w:val="000000"/>
          <w:sz w:val="26"/>
          <w:szCs w:val="26"/>
        </w:rPr>
      </w:pPr>
      <w:r w:rsidRPr="00273105">
        <w:rPr>
          <w:color w:val="000000"/>
          <w:sz w:val="26"/>
          <w:szCs w:val="26"/>
        </w:rPr>
        <w:t xml:space="preserve">The </w:t>
      </w:r>
      <w:r w:rsidR="000E12B9" w:rsidRPr="00273105">
        <w:rPr>
          <w:color w:val="000000"/>
          <w:sz w:val="26"/>
          <w:szCs w:val="26"/>
        </w:rPr>
        <w:t xml:space="preserve">definition of “natural gas supplier” </w:t>
      </w:r>
      <w:r w:rsidRPr="00273105">
        <w:rPr>
          <w:color w:val="000000"/>
          <w:sz w:val="26"/>
          <w:szCs w:val="26"/>
        </w:rPr>
        <w:t xml:space="preserve">at 66 Pa.C.S. § 2202 does </w:t>
      </w:r>
      <w:r w:rsidR="00375AF3" w:rsidRPr="00273105">
        <w:rPr>
          <w:color w:val="000000"/>
          <w:sz w:val="26"/>
          <w:szCs w:val="26"/>
        </w:rPr>
        <w:t xml:space="preserve">not categorize </w:t>
      </w:r>
      <w:r w:rsidRPr="00273105">
        <w:rPr>
          <w:color w:val="000000"/>
          <w:sz w:val="26"/>
          <w:szCs w:val="26"/>
        </w:rPr>
        <w:t xml:space="preserve">a supplier </w:t>
      </w:r>
      <w:r w:rsidR="00375AF3" w:rsidRPr="00273105">
        <w:rPr>
          <w:color w:val="000000"/>
          <w:sz w:val="26"/>
          <w:szCs w:val="26"/>
        </w:rPr>
        <w:t xml:space="preserve">by </w:t>
      </w:r>
      <w:r w:rsidR="002A687C" w:rsidRPr="00273105">
        <w:rPr>
          <w:color w:val="000000"/>
          <w:sz w:val="26"/>
          <w:szCs w:val="26"/>
        </w:rPr>
        <w:t>the class of customer</w:t>
      </w:r>
      <w:r w:rsidR="000E12B9" w:rsidRPr="00273105">
        <w:rPr>
          <w:color w:val="000000"/>
          <w:sz w:val="26"/>
          <w:szCs w:val="26"/>
        </w:rPr>
        <w:t xml:space="preserve">s </w:t>
      </w:r>
      <w:r w:rsidR="00375AF3" w:rsidRPr="00273105">
        <w:rPr>
          <w:color w:val="000000"/>
          <w:sz w:val="26"/>
          <w:szCs w:val="26"/>
        </w:rPr>
        <w:t xml:space="preserve">it </w:t>
      </w:r>
      <w:r w:rsidR="002A687C" w:rsidRPr="00273105">
        <w:rPr>
          <w:color w:val="000000"/>
          <w:sz w:val="26"/>
          <w:szCs w:val="26"/>
        </w:rPr>
        <w:t>serve</w:t>
      </w:r>
      <w:r w:rsidR="00375AF3" w:rsidRPr="00273105">
        <w:rPr>
          <w:color w:val="000000"/>
          <w:sz w:val="26"/>
          <w:szCs w:val="26"/>
        </w:rPr>
        <w:t>s,</w:t>
      </w:r>
      <w:r w:rsidR="002A687C" w:rsidRPr="00273105">
        <w:rPr>
          <w:color w:val="000000"/>
          <w:sz w:val="26"/>
          <w:szCs w:val="26"/>
        </w:rPr>
        <w:t xml:space="preserve"> </w:t>
      </w:r>
      <w:r w:rsidR="002A4B38" w:rsidRPr="00273105">
        <w:rPr>
          <w:color w:val="000000"/>
          <w:sz w:val="26"/>
          <w:szCs w:val="26"/>
        </w:rPr>
        <w:t>n</w:t>
      </w:r>
      <w:r w:rsidR="002A687C" w:rsidRPr="00273105">
        <w:rPr>
          <w:color w:val="000000"/>
          <w:sz w:val="26"/>
          <w:szCs w:val="26"/>
        </w:rPr>
        <w:t xml:space="preserve">or </w:t>
      </w:r>
      <w:r w:rsidR="00375AF3" w:rsidRPr="00273105">
        <w:rPr>
          <w:color w:val="000000"/>
          <w:sz w:val="26"/>
          <w:szCs w:val="26"/>
        </w:rPr>
        <w:t xml:space="preserve">by </w:t>
      </w:r>
      <w:r w:rsidR="002A687C" w:rsidRPr="00273105">
        <w:rPr>
          <w:color w:val="000000"/>
          <w:sz w:val="26"/>
          <w:szCs w:val="26"/>
        </w:rPr>
        <w:t xml:space="preserve">the volume of </w:t>
      </w:r>
      <w:r w:rsidR="006B7571">
        <w:rPr>
          <w:color w:val="000000"/>
          <w:sz w:val="26"/>
          <w:szCs w:val="26"/>
        </w:rPr>
        <w:t xml:space="preserve">natural </w:t>
      </w:r>
      <w:r w:rsidR="002A687C" w:rsidRPr="00273105">
        <w:rPr>
          <w:color w:val="000000"/>
          <w:sz w:val="26"/>
          <w:szCs w:val="26"/>
        </w:rPr>
        <w:t xml:space="preserve">gas </w:t>
      </w:r>
      <w:r w:rsidR="005330FC" w:rsidRPr="00273105">
        <w:rPr>
          <w:color w:val="000000"/>
          <w:sz w:val="26"/>
          <w:szCs w:val="26"/>
        </w:rPr>
        <w:t>its</w:t>
      </w:r>
      <w:r w:rsidR="00375AF3" w:rsidRPr="00273105">
        <w:rPr>
          <w:color w:val="000000"/>
          <w:sz w:val="26"/>
          <w:szCs w:val="26"/>
        </w:rPr>
        <w:t xml:space="preserve"> customers </w:t>
      </w:r>
      <w:r w:rsidR="002A687C" w:rsidRPr="00273105">
        <w:rPr>
          <w:color w:val="000000"/>
          <w:sz w:val="26"/>
          <w:szCs w:val="26"/>
        </w:rPr>
        <w:t>consume</w:t>
      </w:r>
      <w:r w:rsidR="000E12B9" w:rsidRPr="00273105">
        <w:rPr>
          <w:color w:val="000000"/>
          <w:sz w:val="26"/>
          <w:szCs w:val="26"/>
        </w:rPr>
        <w:t>.</w:t>
      </w:r>
      <w:r w:rsidR="006A1A8E" w:rsidRPr="00273105">
        <w:rPr>
          <w:color w:val="000000"/>
          <w:sz w:val="26"/>
          <w:szCs w:val="26"/>
        </w:rPr>
        <w:t xml:space="preserve">  </w:t>
      </w:r>
      <w:r w:rsidR="002A687C" w:rsidRPr="00273105">
        <w:rPr>
          <w:color w:val="000000"/>
          <w:sz w:val="26"/>
          <w:szCs w:val="26"/>
        </w:rPr>
        <w:t>In fact, the</w:t>
      </w:r>
      <w:r w:rsidR="0086730D" w:rsidRPr="00273105">
        <w:rPr>
          <w:color w:val="000000"/>
          <w:sz w:val="26"/>
          <w:szCs w:val="26"/>
        </w:rPr>
        <w:t xml:space="preserve"> only </w:t>
      </w:r>
      <w:r w:rsidR="005330FC" w:rsidRPr="00273105">
        <w:rPr>
          <w:color w:val="000000"/>
          <w:sz w:val="26"/>
          <w:szCs w:val="26"/>
        </w:rPr>
        <w:t xml:space="preserve">criterion in the definition </w:t>
      </w:r>
      <w:r w:rsidR="0086730D" w:rsidRPr="00273105">
        <w:rPr>
          <w:color w:val="000000"/>
          <w:sz w:val="26"/>
          <w:szCs w:val="26"/>
        </w:rPr>
        <w:t xml:space="preserve">is that the </w:t>
      </w:r>
      <w:r w:rsidR="002A687C" w:rsidRPr="00273105">
        <w:rPr>
          <w:color w:val="000000"/>
          <w:sz w:val="26"/>
          <w:szCs w:val="26"/>
        </w:rPr>
        <w:t xml:space="preserve">natural gas </w:t>
      </w:r>
      <w:r w:rsidR="0086730D" w:rsidRPr="00273105">
        <w:rPr>
          <w:color w:val="000000"/>
          <w:sz w:val="26"/>
          <w:szCs w:val="26"/>
        </w:rPr>
        <w:t>supplier</w:t>
      </w:r>
      <w:r w:rsidR="002A687C" w:rsidRPr="00273105">
        <w:rPr>
          <w:color w:val="000000"/>
          <w:sz w:val="26"/>
          <w:szCs w:val="26"/>
        </w:rPr>
        <w:t xml:space="preserve"> </w:t>
      </w:r>
      <w:r w:rsidR="0086730D" w:rsidRPr="00273105">
        <w:rPr>
          <w:color w:val="000000"/>
          <w:sz w:val="26"/>
          <w:szCs w:val="26"/>
        </w:rPr>
        <w:t>provides retail natural gas supply service as opposed to wholesale gas service.</w:t>
      </w:r>
      <w:r w:rsidR="006A1A8E" w:rsidRPr="00273105">
        <w:rPr>
          <w:color w:val="000000"/>
          <w:sz w:val="26"/>
          <w:szCs w:val="26"/>
        </w:rPr>
        <w:t xml:space="preserve"> </w:t>
      </w:r>
      <w:r w:rsidR="00615834" w:rsidRPr="00273105">
        <w:rPr>
          <w:color w:val="000000"/>
          <w:sz w:val="26"/>
          <w:szCs w:val="26"/>
        </w:rPr>
        <w:t xml:space="preserve"> </w:t>
      </w:r>
      <w:r w:rsidR="005A338C" w:rsidRPr="00273105">
        <w:rPr>
          <w:color w:val="000000"/>
          <w:sz w:val="26"/>
          <w:szCs w:val="26"/>
        </w:rPr>
        <w:t xml:space="preserve">For this reason, </w:t>
      </w:r>
      <w:r w:rsidR="00E01F56" w:rsidRPr="00273105">
        <w:rPr>
          <w:color w:val="000000"/>
          <w:sz w:val="26"/>
          <w:szCs w:val="26"/>
        </w:rPr>
        <w:t xml:space="preserve">we see no </w:t>
      </w:r>
      <w:r w:rsidR="005A338C" w:rsidRPr="00273105">
        <w:rPr>
          <w:color w:val="000000"/>
          <w:sz w:val="26"/>
          <w:szCs w:val="26"/>
        </w:rPr>
        <w:t>need</w:t>
      </w:r>
      <w:r w:rsidR="00E01F56" w:rsidRPr="00273105">
        <w:rPr>
          <w:color w:val="000000"/>
          <w:sz w:val="26"/>
          <w:szCs w:val="26"/>
        </w:rPr>
        <w:t xml:space="preserve"> to make a distinction </w:t>
      </w:r>
      <w:r w:rsidR="00E35B3A" w:rsidRPr="00273105">
        <w:rPr>
          <w:color w:val="000000"/>
          <w:sz w:val="26"/>
          <w:szCs w:val="26"/>
        </w:rPr>
        <w:t xml:space="preserve">between suppliers </w:t>
      </w:r>
      <w:r w:rsidR="000E2758" w:rsidRPr="00273105">
        <w:rPr>
          <w:color w:val="000000"/>
          <w:sz w:val="26"/>
          <w:szCs w:val="26"/>
        </w:rPr>
        <w:t>based on the v</w:t>
      </w:r>
      <w:r w:rsidR="006C372E" w:rsidRPr="00273105">
        <w:rPr>
          <w:color w:val="000000"/>
          <w:sz w:val="26"/>
          <w:szCs w:val="26"/>
        </w:rPr>
        <w:t>olume of gas that c</w:t>
      </w:r>
      <w:r w:rsidR="00E35B3A" w:rsidRPr="00273105">
        <w:rPr>
          <w:color w:val="000000"/>
          <w:sz w:val="26"/>
          <w:szCs w:val="26"/>
        </w:rPr>
        <w:t>ustomers consume</w:t>
      </w:r>
      <w:r w:rsidR="00552A84" w:rsidRPr="00273105">
        <w:rPr>
          <w:color w:val="000000"/>
          <w:sz w:val="26"/>
          <w:szCs w:val="26"/>
        </w:rPr>
        <w:t>, especially since we</w:t>
      </w:r>
      <w:r w:rsidR="005A338C" w:rsidRPr="00273105">
        <w:rPr>
          <w:color w:val="000000"/>
          <w:sz w:val="26"/>
          <w:szCs w:val="26"/>
        </w:rPr>
        <w:t xml:space="preserve"> are attempting to create a more competitive retail market by adopting consistent</w:t>
      </w:r>
      <w:r w:rsidR="005A338C" w:rsidRPr="00273105">
        <w:rPr>
          <w:b/>
          <w:color w:val="000000"/>
          <w:sz w:val="26"/>
          <w:szCs w:val="26"/>
        </w:rPr>
        <w:t xml:space="preserve"> </w:t>
      </w:r>
      <w:r w:rsidR="005A338C" w:rsidRPr="00273105">
        <w:rPr>
          <w:color w:val="000000"/>
          <w:sz w:val="26"/>
          <w:szCs w:val="26"/>
        </w:rPr>
        <w:t>requirements for suppliers</w:t>
      </w:r>
      <w:r w:rsidR="00552A84" w:rsidRPr="00273105">
        <w:rPr>
          <w:color w:val="000000"/>
          <w:sz w:val="26"/>
          <w:szCs w:val="26"/>
        </w:rPr>
        <w:t>.</w:t>
      </w:r>
      <w:r w:rsidR="005A338C" w:rsidRPr="00273105">
        <w:rPr>
          <w:color w:val="000000"/>
          <w:sz w:val="26"/>
          <w:szCs w:val="26"/>
        </w:rPr>
        <w:t xml:space="preserve"> </w:t>
      </w:r>
      <w:r w:rsidR="00CB4B44" w:rsidRPr="00273105">
        <w:rPr>
          <w:color w:val="000000"/>
          <w:sz w:val="26"/>
          <w:szCs w:val="26"/>
        </w:rPr>
        <w:t>Accordingly, w</w:t>
      </w:r>
      <w:r w:rsidR="00E35B3A" w:rsidRPr="00273105">
        <w:rPr>
          <w:color w:val="000000"/>
          <w:sz w:val="26"/>
          <w:szCs w:val="26"/>
        </w:rPr>
        <w:t>e will not make the requested change.</w:t>
      </w:r>
      <w:r w:rsidR="00031040" w:rsidRPr="00273105">
        <w:rPr>
          <w:color w:val="000000"/>
          <w:sz w:val="26"/>
          <w:szCs w:val="26"/>
        </w:rPr>
        <w:t xml:space="preserve"> </w:t>
      </w:r>
      <w:r w:rsidR="00417345" w:rsidRPr="00273105">
        <w:rPr>
          <w:color w:val="000000"/>
          <w:sz w:val="26"/>
          <w:szCs w:val="26"/>
        </w:rPr>
        <w:t xml:space="preserve"> </w:t>
      </w:r>
    </w:p>
    <w:p w:rsidR="00115569" w:rsidRPr="00273105" w:rsidRDefault="00115569" w:rsidP="00615834">
      <w:pPr>
        <w:spacing w:line="360" w:lineRule="auto"/>
        <w:ind w:firstLine="720"/>
        <w:rPr>
          <w:color w:val="000000"/>
          <w:sz w:val="26"/>
          <w:szCs w:val="26"/>
        </w:rPr>
      </w:pPr>
    </w:p>
    <w:p w:rsidR="009F715D" w:rsidRDefault="00115569" w:rsidP="00615834">
      <w:pPr>
        <w:spacing w:line="360" w:lineRule="auto"/>
        <w:ind w:firstLine="720"/>
        <w:rPr>
          <w:color w:val="000000"/>
          <w:sz w:val="26"/>
          <w:szCs w:val="26"/>
        </w:rPr>
      </w:pPr>
      <w:r w:rsidRPr="00273105">
        <w:rPr>
          <w:color w:val="000000"/>
          <w:sz w:val="26"/>
          <w:szCs w:val="26"/>
        </w:rPr>
        <w:t>As to Equitable’s comment that it should be able to determine appropriate security for a NGS that offers service to large commercial and industrial customers outside the parameters of this section, we</w:t>
      </w:r>
      <w:r w:rsidR="00031040" w:rsidRPr="00273105">
        <w:rPr>
          <w:color w:val="000000"/>
          <w:sz w:val="26"/>
          <w:szCs w:val="26"/>
        </w:rPr>
        <w:t xml:space="preserve"> </w:t>
      </w:r>
      <w:r w:rsidR="00417345" w:rsidRPr="00273105">
        <w:rPr>
          <w:color w:val="000000"/>
          <w:sz w:val="26"/>
          <w:szCs w:val="26"/>
        </w:rPr>
        <w:t xml:space="preserve">will </w:t>
      </w:r>
      <w:r w:rsidR="00031040" w:rsidRPr="00273105">
        <w:rPr>
          <w:color w:val="000000"/>
          <w:sz w:val="26"/>
          <w:szCs w:val="26"/>
        </w:rPr>
        <w:t>note that a NGDC and a supplier can always come to a</w:t>
      </w:r>
      <w:r w:rsidR="00EF6B0B" w:rsidRPr="00273105">
        <w:rPr>
          <w:color w:val="000000"/>
          <w:sz w:val="26"/>
          <w:szCs w:val="26"/>
        </w:rPr>
        <w:t xml:space="preserve"> </w:t>
      </w:r>
    </w:p>
    <w:p w:rsidR="00E35B3A" w:rsidRPr="00273105" w:rsidRDefault="009F715D" w:rsidP="009F715D">
      <w:pPr>
        <w:spacing w:line="360" w:lineRule="auto"/>
        <w:rPr>
          <w:color w:val="000000"/>
          <w:sz w:val="26"/>
          <w:szCs w:val="26"/>
        </w:rPr>
      </w:pPr>
      <w:r>
        <w:rPr>
          <w:color w:val="000000"/>
          <w:sz w:val="26"/>
          <w:szCs w:val="26"/>
        </w:rPr>
        <w:br w:type="page"/>
      </w:r>
      <w:r w:rsidR="00EF6B0B" w:rsidRPr="00273105">
        <w:rPr>
          <w:color w:val="000000"/>
          <w:sz w:val="26"/>
          <w:szCs w:val="26"/>
        </w:rPr>
        <w:lastRenderedPageBreak/>
        <w:t>mutual</w:t>
      </w:r>
      <w:r w:rsidR="00031040" w:rsidRPr="00273105">
        <w:rPr>
          <w:color w:val="000000"/>
          <w:sz w:val="26"/>
          <w:szCs w:val="26"/>
        </w:rPr>
        <w:t xml:space="preserve"> agreement on the amount of security </w:t>
      </w:r>
      <w:r w:rsidR="00EF6B0B" w:rsidRPr="00273105">
        <w:rPr>
          <w:color w:val="000000"/>
          <w:sz w:val="26"/>
          <w:szCs w:val="26"/>
        </w:rPr>
        <w:t xml:space="preserve">that </w:t>
      </w:r>
      <w:r w:rsidR="00031040" w:rsidRPr="00273105">
        <w:rPr>
          <w:color w:val="000000"/>
          <w:sz w:val="26"/>
          <w:szCs w:val="26"/>
        </w:rPr>
        <w:t>th</w:t>
      </w:r>
      <w:r w:rsidR="00EF6B0B" w:rsidRPr="00273105">
        <w:rPr>
          <w:color w:val="000000"/>
          <w:sz w:val="26"/>
          <w:szCs w:val="26"/>
        </w:rPr>
        <w:t>e NGS must</w:t>
      </w:r>
      <w:r w:rsidR="00031040" w:rsidRPr="00273105">
        <w:rPr>
          <w:color w:val="000000"/>
          <w:sz w:val="26"/>
          <w:szCs w:val="26"/>
        </w:rPr>
        <w:t xml:space="preserve"> provide.  </w:t>
      </w:r>
      <w:r w:rsidR="00421E8B" w:rsidRPr="00273105">
        <w:rPr>
          <w:color w:val="000000"/>
          <w:sz w:val="26"/>
          <w:szCs w:val="26"/>
        </w:rPr>
        <w:t xml:space="preserve">66 Pa. C.S. </w:t>
      </w:r>
      <w:r w:rsidR="000E5B22" w:rsidRPr="00273105">
        <w:rPr>
          <w:color w:val="000000"/>
          <w:sz w:val="26"/>
          <w:szCs w:val="26"/>
        </w:rPr>
        <w:t xml:space="preserve">      </w:t>
      </w:r>
      <w:r w:rsidR="00421E8B" w:rsidRPr="00273105">
        <w:rPr>
          <w:color w:val="000000"/>
          <w:sz w:val="26"/>
          <w:szCs w:val="26"/>
        </w:rPr>
        <w:t>§ 2208(C)</w:t>
      </w:r>
      <w:r w:rsidR="00EF6B0B" w:rsidRPr="00273105">
        <w:rPr>
          <w:color w:val="000000"/>
          <w:sz w:val="26"/>
          <w:szCs w:val="26"/>
        </w:rPr>
        <w:t xml:space="preserve">(1)(i)(relating to requirements for natural gas suppliers; financial fitness). </w:t>
      </w:r>
      <w:r w:rsidR="00031040" w:rsidRPr="00273105">
        <w:rPr>
          <w:color w:val="000000"/>
          <w:sz w:val="26"/>
          <w:szCs w:val="26"/>
        </w:rPr>
        <w:t xml:space="preserve">The only caveat </w:t>
      </w:r>
      <w:r w:rsidR="007B2CFC" w:rsidRPr="00273105">
        <w:rPr>
          <w:color w:val="000000"/>
          <w:sz w:val="26"/>
          <w:szCs w:val="26"/>
        </w:rPr>
        <w:t xml:space="preserve">is </w:t>
      </w:r>
      <w:r w:rsidR="00031040" w:rsidRPr="00273105">
        <w:rPr>
          <w:color w:val="000000"/>
          <w:sz w:val="26"/>
          <w:szCs w:val="26"/>
        </w:rPr>
        <w:t xml:space="preserve">that the NGDC must </w:t>
      </w:r>
      <w:r w:rsidR="00782E34">
        <w:rPr>
          <w:color w:val="000000"/>
          <w:sz w:val="26"/>
          <w:szCs w:val="26"/>
        </w:rPr>
        <w:t xml:space="preserve">apply </w:t>
      </w:r>
      <w:r w:rsidR="007B2CFC" w:rsidRPr="00273105">
        <w:rPr>
          <w:color w:val="000000"/>
          <w:sz w:val="26"/>
          <w:szCs w:val="26"/>
        </w:rPr>
        <w:t>the</w:t>
      </w:r>
      <w:r w:rsidR="00031040" w:rsidRPr="00273105">
        <w:rPr>
          <w:color w:val="000000"/>
          <w:sz w:val="26"/>
          <w:szCs w:val="26"/>
        </w:rPr>
        <w:t xml:space="preserve"> </w:t>
      </w:r>
      <w:r w:rsidR="00A80825" w:rsidRPr="00273105">
        <w:rPr>
          <w:color w:val="000000"/>
          <w:sz w:val="26"/>
          <w:szCs w:val="26"/>
        </w:rPr>
        <w:t xml:space="preserve">criteria </w:t>
      </w:r>
      <w:r w:rsidR="00031040" w:rsidRPr="00273105">
        <w:rPr>
          <w:color w:val="000000"/>
          <w:sz w:val="26"/>
          <w:szCs w:val="26"/>
        </w:rPr>
        <w:t xml:space="preserve">used as </w:t>
      </w:r>
      <w:r w:rsidR="002C5F17">
        <w:rPr>
          <w:color w:val="000000"/>
          <w:sz w:val="26"/>
          <w:szCs w:val="26"/>
        </w:rPr>
        <w:t>the</w:t>
      </w:r>
      <w:r w:rsidR="00031040" w:rsidRPr="00273105">
        <w:rPr>
          <w:color w:val="000000"/>
          <w:sz w:val="26"/>
          <w:szCs w:val="26"/>
        </w:rPr>
        <w:t xml:space="preserve"> basis for such an agreement</w:t>
      </w:r>
      <w:r w:rsidR="00417345" w:rsidRPr="00273105">
        <w:rPr>
          <w:color w:val="000000"/>
          <w:sz w:val="26"/>
          <w:szCs w:val="26"/>
        </w:rPr>
        <w:t xml:space="preserve"> to </w:t>
      </w:r>
      <w:r w:rsidR="00514B33" w:rsidRPr="00273105">
        <w:rPr>
          <w:color w:val="000000"/>
          <w:sz w:val="26"/>
          <w:szCs w:val="26"/>
        </w:rPr>
        <w:t xml:space="preserve">other </w:t>
      </w:r>
      <w:r w:rsidR="007B2CFC" w:rsidRPr="00273105">
        <w:rPr>
          <w:color w:val="000000"/>
          <w:sz w:val="26"/>
          <w:szCs w:val="26"/>
        </w:rPr>
        <w:t xml:space="preserve">agreements with </w:t>
      </w:r>
      <w:r w:rsidR="00417345" w:rsidRPr="00273105">
        <w:rPr>
          <w:color w:val="000000"/>
          <w:sz w:val="26"/>
          <w:szCs w:val="26"/>
        </w:rPr>
        <w:t>other similarly situated suppliers</w:t>
      </w:r>
      <w:r w:rsidR="00782E34">
        <w:rPr>
          <w:color w:val="000000"/>
          <w:sz w:val="26"/>
          <w:szCs w:val="26"/>
        </w:rPr>
        <w:t xml:space="preserve"> so as</w:t>
      </w:r>
      <w:r w:rsidR="007B2CFC" w:rsidRPr="00273105">
        <w:rPr>
          <w:color w:val="000000"/>
          <w:sz w:val="26"/>
          <w:szCs w:val="26"/>
        </w:rPr>
        <w:t xml:space="preserve"> to avoid </w:t>
      </w:r>
      <w:r w:rsidR="00137516" w:rsidRPr="00273105">
        <w:rPr>
          <w:color w:val="000000"/>
          <w:sz w:val="26"/>
          <w:szCs w:val="26"/>
        </w:rPr>
        <w:t xml:space="preserve">discriminatory or anticompetitive conduct.  </w:t>
      </w:r>
      <w:r w:rsidR="00137516" w:rsidRPr="00273105">
        <w:rPr>
          <w:i/>
          <w:color w:val="000000"/>
          <w:sz w:val="26"/>
          <w:szCs w:val="26"/>
        </w:rPr>
        <w:t>See</w:t>
      </w:r>
      <w:r w:rsidR="00137516" w:rsidRPr="00273105">
        <w:rPr>
          <w:color w:val="000000"/>
          <w:sz w:val="26"/>
          <w:szCs w:val="26"/>
        </w:rPr>
        <w:t xml:space="preserve"> 66 Pa.C.S.</w:t>
      </w:r>
      <w:r w:rsidR="00421E8B" w:rsidRPr="00273105">
        <w:rPr>
          <w:color w:val="000000"/>
          <w:sz w:val="26"/>
          <w:szCs w:val="26"/>
        </w:rPr>
        <w:t xml:space="preserve"> </w:t>
      </w:r>
      <w:r w:rsidR="003F5AC5" w:rsidRPr="00273105">
        <w:rPr>
          <w:color w:val="000000"/>
          <w:sz w:val="26"/>
          <w:szCs w:val="26"/>
        </w:rPr>
        <w:t xml:space="preserve">§ </w:t>
      </w:r>
      <w:r w:rsidR="00137516" w:rsidRPr="00273105">
        <w:rPr>
          <w:color w:val="000000"/>
          <w:sz w:val="26"/>
          <w:szCs w:val="26"/>
        </w:rPr>
        <w:t>2209</w:t>
      </w:r>
      <w:r w:rsidR="007739CF">
        <w:rPr>
          <w:color w:val="000000"/>
          <w:sz w:val="26"/>
          <w:szCs w:val="26"/>
        </w:rPr>
        <w:t xml:space="preserve"> </w:t>
      </w:r>
      <w:r w:rsidR="00137516" w:rsidRPr="00273105">
        <w:rPr>
          <w:color w:val="000000"/>
          <w:sz w:val="26"/>
          <w:szCs w:val="26"/>
        </w:rPr>
        <w:t>(relating to market power remediation)</w:t>
      </w:r>
      <w:r w:rsidR="007B7742" w:rsidRPr="00273105">
        <w:rPr>
          <w:color w:val="000000"/>
          <w:sz w:val="26"/>
          <w:szCs w:val="26"/>
        </w:rPr>
        <w:t>; 52 Pa. Code § 62.141</w:t>
      </w:r>
      <w:r w:rsidR="00EF6B0B" w:rsidRPr="00273105">
        <w:rPr>
          <w:color w:val="000000"/>
          <w:sz w:val="26"/>
          <w:szCs w:val="26"/>
        </w:rPr>
        <w:t xml:space="preserve"> </w:t>
      </w:r>
      <w:r w:rsidR="007B7742" w:rsidRPr="00273105">
        <w:rPr>
          <w:color w:val="000000"/>
          <w:sz w:val="26"/>
          <w:szCs w:val="26"/>
        </w:rPr>
        <w:t>-</w:t>
      </w:r>
      <w:r w:rsidR="00EF6B0B" w:rsidRPr="00273105">
        <w:rPr>
          <w:color w:val="000000"/>
          <w:sz w:val="26"/>
          <w:szCs w:val="26"/>
        </w:rPr>
        <w:t xml:space="preserve"> </w:t>
      </w:r>
      <w:r w:rsidR="007B7742" w:rsidRPr="00273105">
        <w:rPr>
          <w:color w:val="000000"/>
          <w:sz w:val="26"/>
          <w:szCs w:val="26"/>
        </w:rPr>
        <w:t>§ 62.142</w:t>
      </w:r>
      <w:r w:rsidR="00137516" w:rsidRPr="00273105">
        <w:rPr>
          <w:color w:val="000000"/>
          <w:sz w:val="26"/>
          <w:szCs w:val="26"/>
        </w:rPr>
        <w:t xml:space="preserve"> </w:t>
      </w:r>
      <w:r w:rsidR="007B7742" w:rsidRPr="00273105">
        <w:rPr>
          <w:color w:val="000000"/>
          <w:sz w:val="26"/>
          <w:szCs w:val="26"/>
        </w:rPr>
        <w:t>(relating to standards of conduct)</w:t>
      </w:r>
      <w:r w:rsidR="003F5AC5" w:rsidRPr="00273105">
        <w:rPr>
          <w:color w:val="000000"/>
          <w:sz w:val="26"/>
          <w:szCs w:val="26"/>
        </w:rPr>
        <w:t>.</w:t>
      </w:r>
    </w:p>
    <w:p w:rsidR="00E35B3A" w:rsidRPr="00273105" w:rsidRDefault="00E35B3A" w:rsidP="00891B91">
      <w:pPr>
        <w:spacing w:line="360" w:lineRule="auto"/>
        <w:ind w:firstLine="720"/>
        <w:rPr>
          <w:b/>
          <w:color w:val="000000"/>
          <w:sz w:val="26"/>
          <w:szCs w:val="26"/>
        </w:rPr>
      </w:pPr>
    </w:p>
    <w:p w:rsidR="00863D73" w:rsidRPr="00273105" w:rsidRDefault="000A44AE" w:rsidP="00863D73">
      <w:pPr>
        <w:spacing w:line="360" w:lineRule="auto"/>
        <w:rPr>
          <w:color w:val="000000"/>
          <w:sz w:val="26"/>
          <w:szCs w:val="26"/>
        </w:rPr>
      </w:pPr>
      <w:r w:rsidRPr="00273105">
        <w:rPr>
          <w:b/>
          <w:color w:val="000000"/>
          <w:sz w:val="26"/>
          <w:szCs w:val="26"/>
        </w:rPr>
        <w:t>Section 62.111</w:t>
      </w:r>
      <w:r w:rsidR="00ED45A7" w:rsidRPr="00273105">
        <w:rPr>
          <w:b/>
          <w:color w:val="000000"/>
          <w:sz w:val="26"/>
          <w:szCs w:val="26"/>
        </w:rPr>
        <w:t xml:space="preserve">(c)(1)(i) - </w:t>
      </w:r>
      <w:r w:rsidR="001A397B" w:rsidRPr="00273105">
        <w:rPr>
          <w:b/>
          <w:color w:val="000000"/>
          <w:sz w:val="26"/>
          <w:szCs w:val="26"/>
        </w:rPr>
        <w:t>Security Amount</w:t>
      </w:r>
    </w:p>
    <w:p w:rsidR="00324106" w:rsidRPr="00273105" w:rsidRDefault="00324106" w:rsidP="00863D73">
      <w:pPr>
        <w:spacing w:line="360" w:lineRule="auto"/>
        <w:rPr>
          <w:b/>
          <w:color w:val="000000"/>
          <w:sz w:val="26"/>
          <w:szCs w:val="26"/>
        </w:rPr>
      </w:pPr>
    </w:p>
    <w:p w:rsidR="006579C9" w:rsidRPr="00273105" w:rsidRDefault="003B761E" w:rsidP="00760A34">
      <w:pPr>
        <w:spacing w:line="360" w:lineRule="auto"/>
        <w:ind w:firstLine="720"/>
        <w:rPr>
          <w:color w:val="000000"/>
          <w:sz w:val="26"/>
          <w:szCs w:val="26"/>
          <w:u w:val="single"/>
        </w:rPr>
      </w:pPr>
      <w:r w:rsidRPr="00273105">
        <w:rPr>
          <w:color w:val="000000"/>
          <w:sz w:val="26"/>
          <w:szCs w:val="26"/>
        </w:rPr>
        <w:t xml:space="preserve">RESA proposes the addition to the regulation of a </w:t>
      </w:r>
      <w:r w:rsidR="006579C9" w:rsidRPr="00273105">
        <w:rPr>
          <w:color w:val="000000"/>
          <w:sz w:val="26"/>
          <w:szCs w:val="26"/>
        </w:rPr>
        <w:t xml:space="preserve">formula </w:t>
      </w:r>
      <w:r w:rsidRPr="00273105">
        <w:rPr>
          <w:color w:val="000000"/>
          <w:sz w:val="26"/>
          <w:szCs w:val="26"/>
        </w:rPr>
        <w:t xml:space="preserve">that would be used </w:t>
      </w:r>
      <w:r w:rsidR="006579C9" w:rsidRPr="00273105">
        <w:rPr>
          <w:color w:val="000000"/>
          <w:sz w:val="26"/>
          <w:szCs w:val="26"/>
        </w:rPr>
        <w:t>to calculate the amount of security that will be required to operate on a NGDC’s system</w:t>
      </w:r>
      <w:r w:rsidR="00262E6D" w:rsidRPr="00273105">
        <w:rPr>
          <w:color w:val="000000"/>
          <w:sz w:val="26"/>
          <w:szCs w:val="26"/>
        </w:rPr>
        <w:t>.  The formula is that “s</w:t>
      </w:r>
      <w:r w:rsidR="006579C9" w:rsidRPr="00273105">
        <w:rPr>
          <w:color w:val="000000"/>
          <w:sz w:val="26"/>
          <w:szCs w:val="26"/>
        </w:rPr>
        <w:t xml:space="preserve">ecurity cannot exceed the NGS’ customers’ MDQ </w:t>
      </w:r>
      <w:r w:rsidR="00774B9C" w:rsidRPr="00273105">
        <w:rPr>
          <w:color w:val="000000"/>
          <w:sz w:val="26"/>
          <w:szCs w:val="26"/>
        </w:rPr>
        <w:t xml:space="preserve">[Maximum Daily Quantity] </w:t>
      </w:r>
      <w:r w:rsidR="006579C9" w:rsidRPr="00273105">
        <w:rPr>
          <w:color w:val="000000"/>
          <w:sz w:val="26"/>
          <w:szCs w:val="26"/>
        </w:rPr>
        <w:t xml:space="preserve">times the peak forecasted NYMEX </w:t>
      </w:r>
      <w:r w:rsidR="0013776F" w:rsidRPr="00273105">
        <w:rPr>
          <w:color w:val="000000"/>
          <w:sz w:val="26"/>
          <w:szCs w:val="26"/>
        </w:rPr>
        <w:t>[</w:t>
      </w:r>
      <w:r w:rsidR="00774B9C" w:rsidRPr="00273105">
        <w:rPr>
          <w:color w:val="000000"/>
          <w:sz w:val="26"/>
          <w:szCs w:val="26"/>
        </w:rPr>
        <w:t>New York Mercan</w:t>
      </w:r>
      <w:r w:rsidR="0013776F" w:rsidRPr="00273105">
        <w:rPr>
          <w:color w:val="000000"/>
          <w:sz w:val="26"/>
          <w:szCs w:val="26"/>
        </w:rPr>
        <w:t xml:space="preserve">tile Exchange] </w:t>
      </w:r>
      <w:r w:rsidR="006579C9" w:rsidRPr="00273105">
        <w:rPr>
          <w:color w:val="000000"/>
          <w:sz w:val="26"/>
          <w:szCs w:val="26"/>
        </w:rPr>
        <w:t>price for the next 12 months and for upstream capacity to the city gate times 10 days.</w:t>
      </w:r>
      <w:r w:rsidR="00262E6D" w:rsidRPr="00273105">
        <w:rPr>
          <w:color w:val="000000"/>
          <w:sz w:val="26"/>
          <w:szCs w:val="26"/>
        </w:rPr>
        <w:t>”</w:t>
      </w:r>
      <w:r w:rsidR="00B818E3">
        <w:rPr>
          <w:color w:val="000000"/>
          <w:sz w:val="26"/>
          <w:szCs w:val="26"/>
        </w:rPr>
        <w:t xml:space="preserve"> </w:t>
      </w:r>
      <w:r w:rsidR="00B818E3" w:rsidRPr="00B818E3">
        <w:rPr>
          <w:i/>
          <w:color w:val="000000"/>
          <w:sz w:val="26"/>
          <w:szCs w:val="26"/>
        </w:rPr>
        <w:t>RESA Comments</w:t>
      </w:r>
      <w:r w:rsidR="00B818E3">
        <w:rPr>
          <w:color w:val="000000"/>
          <w:sz w:val="26"/>
          <w:szCs w:val="26"/>
        </w:rPr>
        <w:t>, p. 4.</w:t>
      </w:r>
    </w:p>
    <w:p w:rsidR="00863D73" w:rsidRPr="00273105" w:rsidRDefault="00863D73" w:rsidP="00863D73">
      <w:pPr>
        <w:spacing w:line="360" w:lineRule="auto"/>
        <w:rPr>
          <w:color w:val="000000"/>
          <w:sz w:val="26"/>
          <w:szCs w:val="26"/>
        </w:rPr>
      </w:pPr>
    </w:p>
    <w:p w:rsidR="00960010" w:rsidRPr="00273105" w:rsidRDefault="006579C9" w:rsidP="00324106">
      <w:pPr>
        <w:spacing w:line="360" w:lineRule="auto"/>
        <w:ind w:firstLine="720"/>
        <w:rPr>
          <w:color w:val="000000"/>
          <w:sz w:val="26"/>
          <w:szCs w:val="26"/>
        </w:rPr>
      </w:pPr>
      <w:r w:rsidRPr="00273105">
        <w:rPr>
          <w:color w:val="000000"/>
          <w:sz w:val="26"/>
          <w:szCs w:val="26"/>
        </w:rPr>
        <w:t>RESA also suggests a baseline creditworthiness standard, w</w:t>
      </w:r>
      <w:r w:rsidR="00947565">
        <w:rPr>
          <w:color w:val="000000"/>
          <w:sz w:val="26"/>
          <w:szCs w:val="26"/>
        </w:rPr>
        <w:t>hich if met, would satisfy the S</w:t>
      </w:r>
      <w:r w:rsidRPr="00273105">
        <w:rPr>
          <w:color w:val="000000"/>
          <w:sz w:val="26"/>
          <w:szCs w:val="26"/>
        </w:rPr>
        <w:t xml:space="preserve">ection 2208(c) security requirement and would obviate the need for the supplier to post additional security.  </w:t>
      </w:r>
      <w:r w:rsidR="00B31FAC" w:rsidRPr="00273105">
        <w:rPr>
          <w:color w:val="000000"/>
          <w:sz w:val="26"/>
          <w:szCs w:val="26"/>
        </w:rPr>
        <w:t xml:space="preserve">The standard would entail the supplier having a minimum </w:t>
      </w:r>
      <w:r w:rsidR="00246D25" w:rsidRPr="00273105">
        <w:rPr>
          <w:color w:val="000000"/>
          <w:sz w:val="26"/>
          <w:szCs w:val="26"/>
        </w:rPr>
        <w:t xml:space="preserve">investment grade </w:t>
      </w:r>
      <w:r w:rsidR="00B31FAC" w:rsidRPr="00273105">
        <w:rPr>
          <w:color w:val="000000"/>
          <w:sz w:val="26"/>
          <w:szCs w:val="26"/>
        </w:rPr>
        <w:t xml:space="preserve">credit rating </w:t>
      </w:r>
      <w:r w:rsidR="00D55226" w:rsidRPr="00273105">
        <w:rPr>
          <w:color w:val="000000"/>
          <w:sz w:val="26"/>
          <w:szCs w:val="26"/>
        </w:rPr>
        <w:t xml:space="preserve">or its equivalent </w:t>
      </w:r>
      <w:r w:rsidR="00B31FAC" w:rsidRPr="00273105">
        <w:rPr>
          <w:color w:val="000000"/>
          <w:sz w:val="26"/>
          <w:szCs w:val="26"/>
        </w:rPr>
        <w:t xml:space="preserve">from two of three credit rating agencies.  </w:t>
      </w:r>
      <w:r w:rsidRPr="00273105">
        <w:rPr>
          <w:i/>
          <w:noProof/>
          <w:color w:val="000000"/>
          <w:sz w:val="26"/>
          <w:szCs w:val="26"/>
        </w:rPr>
        <w:t>RESA Comments</w:t>
      </w:r>
      <w:r w:rsidRPr="00273105">
        <w:rPr>
          <w:noProof/>
          <w:color w:val="000000"/>
          <w:sz w:val="26"/>
          <w:szCs w:val="26"/>
        </w:rPr>
        <w:t>, pp. 5-6.</w:t>
      </w:r>
      <w:r w:rsidR="00B31FAC" w:rsidRPr="00273105">
        <w:rPr>
          <w:noProof/>
          <w:color w:val="000000"/>
          <w:sz w:val="26"/>
          <w:szCs w:val="26"/>
        </w:rPr>
        <w:t xml:space="preserve">  </w:t>
      </w:r>
      <w:r w:rsidR="00960010" w:rsidRPr="00273105">
        <w:rPr>
          <w:color w:val="000000"/>
          <w:sz w:val="26"/>
          <w:szCs w:val="26"/>
        </w:rPr>
        <w:t xml:space="preserve">RESA states that the minimum threshold security requirement is warranted to reflect the reduced risk associated with a NGS that has a favorable investment grade/credit rating.  </w:t>
      </w:r>
      <w:r w:rsidR="00960010" w:rsidRPr="00273105">
        <w:rPr>
          <w:i/>
          <w:color w:val="000000"/>
          <w:sz w:val="26"/>
          <w:szCs w:val="26"/>
        </w:rPr>
        <w:t>RESA Comments</w:t>
      </w:r>
      <w:r w:rsidR="00960010" w:rsidRPr="00273105">
        <w:rPr>
          <w:color w:val="000000"/>
          <w:sz w:val="26"/>
          <w:szCs w:val="26"/>
        </w:rPr>
        <w:t>, p. 7.</w:t>
      </w:r>
    </w:p>
    <w:p w:rsidR="00960010" w:rsidRPr="00273105" w:rsidRDefault="00960010" w:rsidP="00960010">
      <w:pPr>
        <w:spacing w:line="360" w:lineRule="auto"/>
        <w:rPr>
          <w:color w:val="000000"/>
          <w:sz w:val="26"/>
          <w:szCs w:val="26"/>
        </w:rPr>
      </w:pPr>
    </w:p>
    <w:p w:rsidR="006B0411" w:rsidRPr="00273105" w:rsidRDefault="00007201" w:rsidP="00007201">
      <w:pPr>
        <w:spacing w:line="360" w:lineRule="auto"/>
        <w:rPr>
          <w:color w:val="000000"/>
          <w:sz w:val="26"/>
          <w:szCs w:val="26"/>
        </w:rPr>
      </w:pPr>
      <w:r w:rsidRPr="00273105">
        <w:rPr>
          <w:color w:val="000000"/>
          <w:sz w:val="26"/>
          <w:szCs w:val="26"/>
        </w:rPr>
        <w:tab/>
      </w:r>
      <w:r w:rsidR="007039DF" w:rsidRPr="00273105">
        <w:rPr>
          <w:color w:val="000000"/>
          <w:sz w:val="26"/>
          <w:szCs w:val="26"/>
        </w:rPr>
        <w:t xml:space="preserve">EAPA </w:t>
      </w:r>
      <w:r w:rsidR="009B25DF" w:rsidRPr="00273105">
        <w:rPr>
          <w:color w:val="000000"/>
          <w:sz w:val="26"/>
          <w:szCs w:val="26"/>
        </w:rPr>
        <w:t>comments</w:t>
      </w:r>
      <w:r w:rsidR="007039DF" w:rsidRPr="00273105">
        <w:rPr>
          <w:color w:val="000000"/>
          <w:sz w:val="26"/>
          <w:szCs w:val="26"/>
        </w:rPr>
        <w:t xml:space="preserve"> </w:t>
      </w:r>
      <w:r w:rsidR="006B0411" w:rsidRPr="00273105">
        <w:rPr>
          <w:color w:val="000000"/>
          <w:sz w:val="26"/>
          <w:szCs w:val="26"/>
        </w:rPr>
        <w:t xml:space="preserve">that </w:t>
      </w:r>
      <w:r w:rsidR="009B25DF" w:rsidRPr="00273105">
        <w:rPr>
          <w:color w:val="000000"/>
          <w:sz w:val="26"/>
          <w:szCs w:val="26"/>
        </w:rPr>
        <w:t xml:space="preserve">financial security requirements for NGSs are necessitated by </w:t>
      </w:r>
      <w:r w:rsidR="006B0411" w:rsidRPr="00273105">
        <w:rPr>
          <w:color w:val="000000"/>
          <w:sz w:val="26"/>
          <w:szCs w:val="26"/>
        </w:rPr>
        <w:t xml:space="preserve">Section 2207(k) </w:t>
      </w:r>
      <w:r w:rsidR="000E6BB0" w:rsidRPr="00273105">
        <w:rPr>
          <w:color w:val="000000"/>
          <w:sz w:val="26"/>
          <w:szCs w:val="26"/>
        </w:rPr>
        <w:t xml:space="preserve">that </w:t>
      </w:r>
      <w:r w:rsidR="006B0411" w:rsidRPr="00273105">
        <w:rPr>
          <w:color w:val="000000"/>
          <w:sz w:val="26"/>
          <w:szCs w:val="26"/>
        </w:rPr>
        <w:t>permits the NGDC, acting as the supplier of last resort</w:t>
      </w:r>
      <w:r w:rsidR="002C5F17">
        <w:rPr>
          <w:color w:val="000000"/>
          <w:sz w:val="26"/>
          <w:szCs w:val="26"/>
        </w:rPr>
        <w:t xml:space="preserve"> (SOLR)</w:t>
      </w:r>
      <w:r w:rsidR="006B0411" w:rsidRPr="00273105">
        <w:rPr>
          <w:color w:val="000000"/>
          <w:sz w:val="26"/>
          <w:szCs w:val="26"/>
        </w:rPr>
        <w:t>, to charge customers returning from a defaulting supplier the rates the supplier would have charged the customer for the remainder of</w:t>
      </w:r>
      <w:r w:rsidR="000C2ACF">
        <w:rPr>
          <w:color w:val="000000"/>
          <w:sz w:val="26"/>
          <w:szCs w:val="26"/>
        </w:rPr>
        <w:t xml:space="preserve"> the billing cycle.  66 Pa.C.S.</w:t>
      </w:r>
      <w:r w:rsidR="006B0411" w:rsidRPr="00273105">
        <w:rPr>
          <w:color w:val="000000"/>
          <w:sz w:val="26"/>
          <w:szCs w:val="26"/>
        </w:rPr>
        <w:t>§ 2207 (k)</w:t>
      </w:r>
      <w:r w:rsidR="000C2ACF">
        <w:rPr>
          <w:color w:val="000000"/>
          <w:sz w:val="26"/>
          <w:szCs w:val="26"/>
        </w:rPr>
        <w:t xml:space="preserve"> </w:t>
      </w:r>
      <w:r w:rsidR="006B0411" w:rsidRPr="00273105">
        <w:rPr>
          <w:color w:val="000000"/>
          <w:sz w:val="26"/>
          <w:szCs w:val="26"/>
        </w:rPr>
        <w:lastRenderedPageBreak/>
        <w:t xml:space="preserve">(relating to rate after service discontinued [by a defaulting supplier]). </w:t>
      </w:r>
      <w:r w:rsidR="008F1C10">
        <w:rPr>
          <w:color w:val="000000"/>
          <w:sz w:val="26"/>
          <w:szCs w:val="26"/>
        </w:rPr>
        <w:t xml:space="preserve"> </w:t>
      </w:r>
      <w:r w:rsidRPr="00273105">
        <w:rPr>
          <w:i/>
          <w:color w:val="000000"/>
          <w:sz w:val="26"/>
          <w:szCs w:val="26"/>
        </w:rPr>
        <w:t>EAPA Comments</w:t>
      </w:r>
      <w:r w:rsidRPr="00273105">
        <w:rPr>
          <w:color w:val="000000"/>
          <w:sz w:val="26"/>
          <w:szCs w:val="26"/>
        </w:rPr>
        <w:t xml:space="preserve">, pp. 1-2. </w:t>
      </w:r>
      <w:r w:rsidR="008F1C10">
        <w:rPr>
          <w:color w:val="000000"/>
          <w:sz w:val="26"/>
          <w:szCs w:val="26"/>
        </w:rPr>
        <w:t xml:space="preserve"> </w:t>
      </w:r>
      <w:r w:rsidR="006B0411" w:rsidRPr="00273105">
        <w:rPr>
          <w:color w:val="000000"/>
          <w:sz w:val="26"/>
          <w:szCs w:val="26"/>
        </w:rPr>
        <w:t>This section specifically provides that</w:t>
      </w:r>
      <w:r w:rsidR="000E6BB0" w:rsidRPr="00273105">
        <w:rPr>
          <w:color w:val="000000"/>
          <w:sz w:val="26"/>
          <w:szCs w:val="26"/>
        </w:rPr>
        <w:t>:</w:t>
      </w:r>
      <w:r w:rsidR="006B0411" w:rsidRPr="00273105">
        <w:rPr>
          <w:color w:val="000000"/>
          <w:sz w:val="26"/>
          <w:szCs w:val="26"/>
        </w:rPr>
        <w:t xml:space="preserve"> </w:t>
      </w:r>
    </w:p>
    <w:p w:rsidR="006B0411" w:rsidRPr="00273105" w:rsidRDefault="006B0411" w:rsidP="006B0411">
      <w:pPr>
        <w:ind w:left="720"/>
        <w:rPr>
          <w:color w:val="000000"/>
          <w:sz w:val="26"/>
          <w:szCs w:val="26"/>
        </w:rPr>
      </w:pPr>
      <w:r w:rsidRPr="00273105">
        <w:rPr>
          <w:color w:val="000000"/>
          <w:sz w:val="26"/>
          <w:szCs w:val="26"/>
        </w:rPr>
        <w:t>any difference between costs incurred by the supplier of last resort and the amounts payable by the retail gas customer shall be recovered from the natural gas supplier or from the bond or other security provided by the natural gas supplier without recourse to any retail gas customer not otherwise contractually committed for the difference.</w:t>
      </w:r>
    </w:p>
    <w:p w:rsidR="006B0411" w:rsidRDefault="006B0411" w:rsidP="006B0411">
      <w:pPr>
        <w:rPr>
          <w:color w:val="000000"/>
          <w:sz w:val="26"/>
          <w:szCs w:val="26"/>
        </w:rPr>
      </w:pPr>
      <w:r w:rsidRPr="00273105">
        <w:rPr>
          <w:color w:val="000000"/>
          <w:sz w:val="26"/>
          <w:szCs w:val="26"/>
        </w:rPr>
        <w:t>66 Pa.C.S. § 2207(k).</w:t>
      </w:r>
    </w:p>
    <w:p w:rsidR="002C5F17" w:rsidRDefault="002C5F17" w:rsidP="006B0411">
      <w:pPr>
        <w:rPr>
          <w:color w:val="000000"/>
          <w:sz w:val="26"/>
          <w:szCs w:val="26"/>
        </w:rPr>
      </w:pPr>
    </w:p>
    <w:p w:rsidR="002C5F17" w:rsidRPr="00273105" w:rsidRDefault="002C5F17" w:rsidP="00B204A3">
      <w:pPr>
        <w:spacing w:line="360" w:lineRule="auto"/>
        <w:rPr>
          <w:color w:val="000000"/>
          <w:sz w:val="26"/>
          <w:szCs w:val="26"/>
        </w:rPr>
      </w:pPr>
      <w:r>
        <w:rPr>
          <w:color w:val="000000"/>
          <w:sz w:val="26"/>
          <w:szCs w:val="26"/>
        </w:rPr>
        <w:t xml:space="preserve">The supplier’s </w:t>
      </w:r>
      <w:r w:rsidR="00B204A3">
        <w:rPr>
          <w:color w:val="000000"/>
          <w:sz w:val="26"/>
          <w:szCs w:val="26"/>
        </w:rPr>
        <w:t>bond or other security pays</w:t>
      </w:r>
      <w:r>
        <w:rPr>
          <w:color w:val="000000"/>
          <w:sz w:val="26"/>
          <w:szCs w:val="26"/>
        </w:rPr>
        <w:t xml:space="preserve"> the NGDC or the SOLR the difference between the cost of the replacement gas</w:t>
      </w:r>
      <w:r w:rsidR="00B204A3">
        <w:rPr>
          <w:color w:val="000000"/>
          <w:sz w:val="26"/>
          <w:szCs w:val="26"/>
        </w:rPr>
        <w:t xml:space="preserve"> supply</w:t>
      </w:r>
      <w:r>
        <w:rPr>
          <w:color w:val="000000"/>
          <w:sz w:val="26"/>
          <w:szCs w:val="26"/>
        </w:rPr>
        <w:t xml:space="preserve"> for returning </w:t>
      </w:r>
      <w:r w:rsidR="00B204A3">
        <w:rPr>
          <w:color w:val="000000"/>
          <w:sz w:val="26"/>
          <w:szCs w:val="26"/>
        </w:rPr>
        <w:t>customers from a defaulting supplier and the amount that the NGDC or SOLR can collect from those customers for the gas supply under the defaulting supplier’s agreement.</w:t>
      </w:r>
      <w:r>
        <w:rPr>
          <w:color w:val="000000"/>
          <w:sz w:val="26"/>
          <w:szCs w:val="26"/>
        </w:rPr>
        <w:t xml:space="preserve"> </w:t>
      </w:r>
    </w:p>
    <w:p w:rsidR="008911BC" w:rsidRPr="00273105" w:rsidRDefault="008911BC" w:rsidP="007D779B">
      <w:pPr>
        <w:rPr>
          <w:color w:val="000000"/>
          <w:sz w:val="26"/>
          <w:szCs w:val="26"/>
        </w:rPr>
      </w:pPr>
    </w:p>
    <w:p w:rsidR="006B0411" w:rsidRPr="00273105" w:rsidRDefault="008911BC" w:rsidP="006B0411">
      <w:pPr>
        <w:spacing w:line="360" w:lineRule="auto"/>
        <w:ind w:firstLine="720"/>
        <w:rPr>
          <w:color w:val="000000"/>
          <w:sz w:val="26"/>
          <w:szCs w:val="26"/>
        </w:rPr>
      </w:pPr>
      <w:r w:rsidRPr="00273105">
        <w:rPr>
          <w:color w:val="000000"/>
          <w:sz w:val="26"/>
          <w:szCs w:val="26"/>
        </w:rPr>
        <w:t xml:space="preserve">EAPA also comments </w:t>
      </w:r>
      <w:r w:rsidR="007039DF" w:rsidRPr="00273105">
        <w:rPr>
          <w:color w:val="000000"/>
          <w:sz w:val="26"/>
          <w:szCs w:val="26"/>
        </w:rPr>
        <w:t xml:space="preserve">that financial risks </w:t>
      </w:r>
      <w:r w:rsidR="000E6BB0" w:rsidRPr="00273105">
        <w:rPr>
          <w:color w:val="000000"/>
          <w:sz w:val="26"/>
          <w:szCs w:val="26"/>
        </w:rPr>
        <w:t xml:space="preserve">imposed by Section 2207(k) </w:t>
      </w:r>
      <w:r w:rsidR="007039DF" w:rsidRPr="00273105">
        <w:rPr>
          <w:color w:val="000000"/>
          <w:sz w:val="26"/>
          <w:szCs w:val="26"/>
        </w:rPr>
        <w:t xml:space="preserve">vary from NGDC to NGDC.  For NGDCs that have on-system storage facilities, native natural gas production and </w:t>
      </w:r>
      <w:r w:rsidR="00482BFA" w:rsidRPr="00273105">
        <w:rPr>
          <w:color w:val="000000"/>
          <w:sz w:val="26"/>
          <w:szCs w:val="26"/>
        </w:rPr>
        <w:t xml:space="preserve">ample pipeline capacity, the financial risk of obtaining supply during peak periods may be relatively small. </w:t>
      </w:r>
      <w:r w:rsidR="006B0411" w:rsidRPr="00273105">
        <w:rPr>
          <w:color w:val="000000"/>
          <w:sz w:val="26"/>
          <w:szCs w:val="26"/>
        </w:rPr>
        <w:t xml:space="preserve"> </w:t>
      </w:r>
      <w:r w:rsidR="006B0411" w:rsidRPr="00273105">
        <w:rPr>
          <w:i/>
          <w:color w:val="000000"/>
          <w:sz w:val="26"/>
          <w:szCs w:val="26"/>
        </w:rPr>
        <w:t>EAPA Comments</w:t>
      </w:r>
      <w:r w:rsidR="006B0411" w:rsidRPr="00273105">
        <w:rPr>
          <w:color w:val="000000"/>
          <w:sz w:val="26"/>
          <w:szCs w:val="26"/>
        </w:rPr>
        <w:t xml:space="preserve">, p. 2.  </w:t>
      </w:r>
      <w:r w:rsidR="00482BFA" w:rsidRPr="00273105">
        <w:rPr>
          <w:color w:val="000000"/>
          <w:sz w:val="26"/>
          <w:szCs w:val="26"/>
        </w:rPr>
        <w:t xml:space="preserve">For those NGDCs who do not, the financial risks may be relatively large.  The </w:t>
      </w:r>
      <w:r w:rsidR="00EC1338" w:rsidRPr="00273105">
        <w:rPr>
          <w:color w:val="000000"/>
          <w:sz w:val="26"/>
          <w:szCs w:val="26"/>
        </w:rPr>
        <w:t>bond or other security provided by the NGS ensures the financial responsibility of the supplier, but ultimately</w:t>
      </w:r>
      <w:r w:rsidR="008147B4" w:rsidRPr="00273105">
        <w:rPr>
          <w:color w:val="000000"/>
          <w:sz w:val="26"/>
          <w:szCs w:val="26"/>
        </w:rPr>
        <w:t xml:space="preserve"> ensures </w:t>
      </w:r>
      <w:r w:rsidR="00EC1338" w:rsidRPr="00273105">
        <w:rPr>
          <w:color w:val="000000"/>
          <w:sz w:val="26"/>
          <w:szCs w:val="26"/>
        </w:rPr>
        <w:t xml:space="preserve">“the safety and the reliability of the natural gas supply service in this Commonwealth.”  </w:t>
      </w:r>
      <w:r w:rsidR="00760A34" w:rsidRPr="00273105">
        <w:rPr>
          <w:i/>
          <w:color w:val="000000"/>
          <w:sz w:val="26"/>
          <w:szCs w:val="26"/>
        </w:rPr>
        <w:t>See</w:t>
      </w:r>
      <w:r w:rsidR="00760A34" w:rsidRPr="00273105">
        <w:rPr>
          <w:color w:val="000000"/>
          <w:sz w:val="26"/>
          <w:szCs w:val="26"/>
        </w:rPr>
        <w:t xml:space="preserve"> </w:t>
      </w:r>
      <w:r w:rsidR="00EC1338" w:rsidRPr="00273105">
        <w:rPr>
          <w:color w:val="000000"/>
          <w:sz w:val="26"/>
          <w:szCs w:val="26"/>
        </w:rPr>
        <w:t>66 Pa.C.S.</w:t>
      </w:r>
      <w:r w:rsidR="008147B4" w:rsidRPr="00273105">
        <w:rPr>
          <w:color w:val="000000"/>
          <w:sz w:val="26"/>
          <w:szCs w:val="26"/>
        </w:rPr>
        <w:t xml:space="preserve"> </w:t>
      </w:r>
      <w:r w:rsidR="00EC1338" w:rsidRPr="00273105">
        <w:rPr>
          <w:color w:val="000000"/>
          <w:sz w:val="26"/>
          <w:szCs w:val="26"/>
        </w:rPr>
        <w:t>§ 2208(c)(1)(i).</w:t>
      </w:r>
      <w:r w:rsidR="007039DF" w:rsidRPr="00273105">
        <w:rPr>
          <w:color w:val="000000"/>
          <w:sz w:val="26"/>
          <w:szCs w:val="26"/>
        </w:rPr>
        <w:t xml:space="preserve"> </w:t>
      </w:r>
      <w:r w:rsidR="007D779B" w:rsidRPr="00273105">
        <w:rPr>
          <w:i/>
          <w:color w:val="000000"/>
          <w:sz w:val="26"/>
          <w:szCs w:val="26"/>
        </w:rPr>
        <w:t>EAPA Comments</w:t>
      </w:r>
      <w:r w:rsidR="007D779B" w:rsidRPr="00273105">
        <w:rPr>
          <w:color w:val="000000"/>
          <w:sz w:val="26"/>
          <w:szCs w:val="26"/>
        </w:rPr>
        <w:t xml:space="preserve">, p. 2.  </w:t>
      </w:r>
    </w:p>
    <w:p w:rsidR="007039DF" w:rsidRPr="00273105" w:rsidRDefault="007039DF" w:rsidP="00960010">
      <w:pPr>
        <w:spacing w:line="360" w:lineRule="auto"/>
        <w:rPr>
          <w:color w:val="000000"/>
          <w:sz w:val="26"/>
          <w:szCs w:val="26"/>
        </w:rPr>
      </w:pPr>
    </w:p>
    <w:p w:rsidR="00960010" w:rsidRPr="00273105" w:rsidRDefault="00960010" w:rsidP="00960010">
      <w:pPr>
        <w:spacing w:line="360" w:lineRule="auto"/>
        <w:rPr>
          <w:b/>
          <w:i/>
          <w:color w:val="000000"/>
          <w:sz w:val="26"/>
          <w:szCs w:val="26"/>
        </w:rPr>
      </w:pPr>
      <w:r w:rsidRPr="00273105">
        <w:rPr>
          <w:b/>
          <w:i/>
          <w:color w:val="000000"/>
          <w:sz w:val="26"/>
          <w:szCs w:val="26"/>
        </w:rPr>
        <w:t>Resolution</w:t>
      </w:r>
    </w:p>
    <w:p w:rsidR="00653681" w:rsidRPr="00273105" w:rsidRDefault="00653681" w:rsidP="00960010">
      <w:pPr>
        <w:spacing w:line="360" w:lineRule="auto"/>
        <w:rPr>
          <w:color w:val="000000"/>
          <w:sz w:val="26"/>
          <w:szCs w:val="26"/>
        </w:rPr>
      </w:pPr>
    </w:p>
    <w:p w:rsidR="00C34BF7" w:rsidRDefault="00E82912" w:rsidP="006D3B38">
      <w:pPr>
        <w:spacing w:line="360" w:lineRule="auto"/>
        <w:ind w:firstLine="720"/>
        <w:rPr>
          <w:color w:val="000000"/>
          <w:sz w:val="26"/>
          <w:szCs w:val="26"/>
        </w:rPr>
      </w:pPr>
      <w:r w:rsidRPr="00273105">
        <w:rPr>
          <w:color w:val="000000"/>
          <w:sz w:val="26"/>
          <w:szCs w:val="26"/>
        </w:rPr>
        <w:t>Section 2208 (c)</w:t>
      </w:r>
      <w:r w:rsidR="00F30D02" w:rsidRPr="00273105">
        <w:rPr>
          <w:color w:val="000000"/>
          <w:sz w:val="26"/>
          <w:szCs w:val="26"/>
        </w:rPr>
        <w:t>(1)</w:t>
      </w:r>
      <w:r w:rsidRPr="00273105">
        <w:rPr>
          <w:color w:val="000000"/>
          <w:sz w:val="26"/>
          <w:szCs w:val="26"/>
        </w:rPr>
        <w:t xml:space="preserve"> requires that a supplier provide </w:t>
      </w:r>
      <w:r w:rsidR="00755755" w:rsidRPr="00273105">
        <w:rPr>
          <w:color w:val="000000"/>
          <w:sz w:val="26"/>
          <w:szCs w:val="26"/>
        </w:rPr>
        <w:t xml:space="preserve">a bond or </w:t>
      </w:r>
      <w:r w:rsidRPr="00273105">
        <w:rPr>
          <w:color w:val="000000"/>
          <w:sz w:val="26"/>
          <w:szCs w:val="26"/>
        </w:rPr>
        <w:t xml:space="preserve">other security to </w:t>
      </w:r>
      <w:r w:rsidR="00755755" w:rsidRPr="00273105">
        <w:rPr>
          <w:color w:val="000000"/>
          <w:sz w:val="26"/>
          <w:szCs w:val="26"/>
        </w:rPr>
        <w:t xml:space="preserve">ensure </w:t>
      </w:r>
      <w:r w:rsidR="00203BB6" w:rsidRPr="00273105">
        <w:rPr>
          <w:color w:val="000000"/>
          <w:sz w:val="26"/>
          <w:szCs w:val="26"/>
        </w:rPr>
        <w:t>its</w:t>
      </w:r>
      <w:r w:rsidR="00755755" w:rsidRPr="00273105">
        <w:rPr>
          <w:color w:val="000000"/>
          <w:sz w:val="26"/>
          <w:szCs w:val="26"/>
        </w:rPr>
        <w:t xml:space="preserve"> financial responsibility so it can </w:t>
      </w:r>
      <w:r w:rsidRPr="00273105">
        <w:rPr>
          <w:color w:val="000000"/>
          <w:sz w:val="26"/>
          <w:szCs w:val="26"/>
        </w:rPr>
        <w:t xml:space="preserve">be licensed as a NGS.  </w:t>
      </w:r>
      <w:r w:rsidR="004E7E51" w:rsidRPr="00273105">
        <w:rPr>
          <w:color w:val="000000"/>
          <w:sz w:val="26"/>
          <w:szCs w:val="26"/>
        </w:rPr>
        <w:t>66 Pa.C.S.</w:t>
      </w:r>
      <w:r w:rsidR="001A397B" w:rsidRPr="00273105">
        <w:rPr>
          <w:color w:val="000000"/>
          <w:sz w:val="26"/>
          <w:szCs w:val="26"/>
        </w:rPr>
        <w:t xml:space="preserve">                     </w:t>
      </w:r>
      <w:r w:rsidR="004E7E51" w:rsidRPr="00273105">
        <w:rPr>
          <w:color w:val="000000"/>
          <w:sz w:val="26"/>
          <w:szCs w:val="26"/>
        </w:rPr>
        <w:t xml:space="preserve">§ 2208(c)(1). </w:t>
      </w:r>
      <w:r w:rsidR="00210215" w:rsidRPr="00273105">
        <w:rPr>
          <w:color w:val="000000"/>
          <w:sz w:val="26"/>
          <w:szCs w:val="26"/>
        </w:rPr>
        <w:t xml:space="preserve">The purpose of the security is to ensure the financial responsibility of the supplier </w:t>
      </w:r>
      <w:r w:rsidR="000407D9" w:rsidRPr="00273105">
        <w:rPr>
          <w:color w:val="000000"/>
          <w:sz w:val="26"/>
          <w:szCs w:val="26"/>
        </w:rPr>
        <w:t>and the safety and the reliability of the natural gas supply. 66 Pa.C.S. §2208(c)(1). Specifically, the security can be used to pay</w:t>
      </w:r>
      <w:r w:rsidR="00C34BF7">
        <w:rPr>
          <w:color w:val="000000"/>
          <w:sz w:val="26"/>
          <w:szCs w:val="26"/>
        </w:rPr>
        <w:t>, in part,</w:t>
      </w:r>
      <w:r w:rsidR="000407D9" w:rsidRPr="00273105">
        <w:rPr>
          <w:color w:val="000000"/>
          <w:sz w:val="26"/>
          <w:szCs w:val="26"/>
        </w:rPr>
        <w:t xml:space="preserve"> for the costs of replacement gas </w:t>
      </w:r>
      <w:r w:rsidR="00C34BF7">
        <w:rPr>
          <w:color w:val="000000"/>
          <w:sz w:val="26"/>
          <w:szCs w:val="26"/>
        </w:rPr>
        <w:t xml:space="preserve">supply </w:t>
      </w:r>
      <w:r w:rsidR="000407D9" w:rsidRPr="00273105">
        <w:rPr>
          <w:color w:val="000000"/>
          <w:sz w:val="26"/>
          <w:szCs w:val="26"/>
        </w:rPr>
        <w:t xml:space="preserve">for customers of </w:t>
      </w:r>
      <w:r w:rsidR="00C34BF7">
        <w:rPr>
          <w:color w:val="000000"/>
          <w:sz w:val="26"/>
          <w:szCs w:val="26"/>
        </w:rPr>
        <w:t>suppliers who return to default service</w:t>
      </w:r>
      <w:r w:rsidR="000407D9" w:rsidRPr="00273105">
        <w:rPr>
          <w:color w:val="000000"/>
          <w:sz w:val="26"/>
          <w:szCs w:val="26"/>
        </w:rPr>
        <w:t xml:space="preserve">.  </w:t>
      </w:r>
    </w:p>
    <w:p w:rsidR="00E06C9F" w:rsidRDefault="00E06C9F" w:rsidP="00E06C9F">
      <w:pPr>
        <w:spacing w:line="360" w:lineRule="auto"/>
        <w:ind w:firstLine="720"/>
        <w:rPr>
          <w:color w:val="000000"/>
          <w:sz w:val="26"/>
          <w:szCs w:val="26"/>
        </w:rPr>
      </w:pPr>
      <w:r>
        <w:rPr>
          <w:color w:val="000000"/>
          <w:sz w:val="26"/>
          <w:szCs w:val="26"/>
        </w:rPr>
        <w:lastRenderedPageBreak/>
        <w:t>Section 62.111(c)(1) has always recognized that the starting point for setting the security for a licensee was the amount that would satisfy the statutory requirement in 66 Pa. C.S.§ 2207(K).  Section 62.111(c)(1) reads as follows:</w:t>
      </w:r>
    </w:p>
    <w:p w:rsidR="00E06C9F" w:rsidRDefault="00E06C9F" w:rsidP="00E06C9F">
      <w:pPr>
        <w:ind w:left="720" w:right="720" w:firstLine="360"/>
        <w:rPr>
          <w:rFonts w:eastAsia="Calibri"/>
          <w:color w:val="000000"/>
          <w:sz w:val="26"/>
          <w:szCs w:val="26"/>
        </w:rPr>
      </w:pPr>
      <w:r w:rsidRPr="00273105">
        <w:rPr>
          <w:rFonts w:eastAsia="Calibri"/>
          <w:color w:val="000000"/>
          <w:sz w:val="26"/>
          <w:szCs w:val="26"/>
        </w:rPr>
        <w:t xml:space="preserve">(1)  The amount of the security should be reasonably related to the financial exposure imposed on the NGDC or supplier of last resort resulting from the default or bankruptcy of the licensee.  </w:t>
      </w:r>
      <w:r w:rsidRPr="00872723">
        <w:rPr>
          <w:rFonts w:eastAsia="Calibri"/>
          <w:color w:val="000000"/>
          <w:sz w:val="26"/>
          <w:szCs w:val="26"/>
        </w:rPr>
        <w:t>At a minimum, the</w:t>
      </w:r>
      <w:r w:rsidRPr="00273105">
        <w:rPr>
          <w:rFonts w:eastAsia="Calibri"/>
          <w:color w:val="000000"/>
          <w:sz w:val="26"/>
          <w:szCs w:val="26"/>
        </w:rPr>
        <w:t xml:space="preserve"> amount of security should </w:t>
      </w:r>
      <w:r w:rsidRPr="00872723">
        <w:rPr>
          <w:rFonts w:eastAsia="Calibri"/>
          <w:color w:val="000000"/>
          <w:sz w:val="26"/>
          <w:szCs w:val="26"/>
        </w:rPr>
        <w:t>materially</w:t>
      </w:r>
      <w:r w:rsidRPr="00273105">
        <w:rPr>
          <w:rFonts w:eastAsia="Calibri"/>
          <w:color w:val="000000"/>
          <w:sz w:val="26"/>
          <w:szCs w:val="26"/>
        </w:rPr>
        <w:t xml:space="preserve"> reflect the difference between the cost of gas incurred </w:t>
      </w:r>
      <w:r w:rsidRPr="00872723">
        <w:rPr>
          <w:rFonts w:eastAsia="Calibri"/>
          <w:color w:val="000000"/>
          <w:sz w:val="26"/>
          <w:szCs w:val="26"/>
        </w:rPr>
        <w:t>and the supplier’s charges, if any, incurred</w:t>
      </w:r>
      <w:r w:rsidRPr="00273105">
        <w:rPr>
          <w:rFonts w:eastAsia="Calibri"/>
          <w:color w:val="000000"/>
          <w:sz w:val="26"/>
          <w:szCs w:val="26"/>
        </w:rPr>
        <w:t xml:space="preserve"> by the NGDC or supplier </w:t>
      </w:r>
      <w:r w:rsidRPr="00E64EE8">
        <w:rPr>
          <w:rFonts w:eastAsia="Calibri"/>
          <w:color w:val="000000"/>
          <w:sz w:val="26"/>
          <w:szCs w:val="26"/>
        </w:rPr>
        <w:t>of last resort during one billing cycle.</w:t>
      </w:r>
    </w:p>
    <w:p w:rsidR="005513F6" w:rsidRDefault="00510CF4">
      <w:pPr>
        <w:spacing w:line="360" w:lineRule="auto"/>
        <w:rPr>
          <w:color w:val="000000"/>
          <w:sz w:val="26"/>
          <w:szCs w:val="26"/>
        </w:rPr>
      </w:pPr>
      <w:r>
        <w:rPr>
          <w:color w:val="000000"/>
          <w:sz w:val="26"/>
          <w:szCs w:val="26"/>
        </w:rPr>
        <w:t>52 Pa. Code § 62.111(c)(1).</w:t>
      </w:r>
    </w:p>
    <w:p w:rsidR="005513F6" w:rsidRDefault="005513F6">
      <w:pPr>
        <w:spacing w:line="360" w:lineRule="auto"/>
        <w:rPr>
          <w:color w:val="000000"/>
          <w:sz w:val="26"/>
          <w:szCs w:val="26"/>
        </w:rPr>
      </w:pPr>
    </w:p>
    <w:p w:rsidR="00E06C9F" w:rsidRDefault="00E06C9F" w:rsidP="00E06C9F">
      <w:pPr>
        <w:spacing w:line="360" w:lineRule="auto"/>
        <w:rPr>
          <w:color w:val="000000"/>
          <w:sz w:val="26"/>
          <w:szCs w:val="26"/>
        </w:rPr>
      </w:pPr>
      <w:r>
        <w:rPr>
          <w:color w:val="000000"/>
          <w:sz w:val="26"/>
          <w:szCs w:val="26"/>
        </w:rPr>
        <w:t xml:space="preserve">This </w:t>
      </w:r>
      <w:r w:rsidR="006B1DFD">
        <w:rPr>
          <w:color w:val="000000"/>
          <w:sz w:val="26"/>
          <w:szCs w:val="26"/>
        </w:rPr>
        <w:t>preliminary</w:t>
      </w:r>
      <w:r>
        <w:rPr>
          <w:color w:val="000000"/>
          <w:sz w:val="26"/>
          <w:szCs w:val="26"/>
        </w:rPr>
        <w:t xml:space="preserve"> security amount could then be adjusted upward or downward based on the criteria set forth in </w:t>
      </w:r>
      <w:r w:rsidR="00947565">
        <w:rPr>
          <w:color w:val="000000"/>
          <w:sz w:val="26"/>
          <w:szCs w:val="26"/>
        </w:rPr>
        <w:t>S</w:t>
      </w:r>
      <w:r>
        <w:rPr>
          <w:color w:val="000000"/>
          <w:sz w:val="26"/>
          <w:szCs w:val="26"/>
        </w:rPr>
        <w:t xml:space="preserve">ection 62.111(c)(1)(i)(A)-(E).  </w:t>
      </w:r>
    </w:p>
    <w:p w:rsidR="00E06C9F" w:rsidRDefault="00E06C9F" w:rsidP="00E06C9F">
      <w:pPr>
        <w:spacing w:line="360" w:lineRule="auto"/>
        <w:rPr>
          <w:color w:val="000000"/>
          <w:sz w:val="26"/>
          <w:szCs w:val="26"/>
        </w:rPr>
      </w:pPr>
    </w:p>
    <w:p w:rsidR="00C76BA9" w:rsidRPr="008D742D" w:rsidRDefault="00E06C9F" w:rsidP="00C76BA9">
      <w:pPr>
        <w:spacing w:line="360" w:lineRule="auto"/>
        <w:rPr>
          <w:color w:val="000000"/>
          <w:sz w:val="26"/>
          <w:szCs w:val="26"/>
        </w:rPr>
      </w:pPr>
      <w:r>
        <w:rPr>
          <w:color w:val="000000"/>
          <w:sz w:val="26"/>
          <w:szCs w:val="26"/>
        </w:rPr>
        <w:tab/>
        <w:t xml:space="preserve">In reviewing the comments to this rulemaking, we discovered that the use of </w:t>
      </w:r>
      <w:r w:rsidR="008A4665">
        <w:rPr>
          <w:color w:val="000000"/>
          <w:sz w:val="26"/>
          <w:szCs w:val="26"/>
        </w:rPr>
        <w:t xml:space="preserve">the </w:t>
      </w:r>
      <w:r>
        <w:rPr>
          <w:color w:val="000000"/>
          <w:sz w:val="26"/>
          <w:szCs w:val="26"/>
        </w:rPr>
        <w:t>phrase “at minimum” in the second sentence as well as the paraphras</w:t>
      </w:r>
      <w:r w:rsidR="00DE052D">
        <w:rPr>
          <w:color w:val="000000"/>
          <w:sz w:val="26"/>
          <w:szCs w:val="26"/>
        </w:rPr>
        <w:t>ing of statutory language from S</w:t>
      </w:r>
      <w:r>
        <w:rPr>
          <w:color w:val="000000"/>
          <w:sz w:val="26"/>
          <w:szCs w:val="26"/>
        </w:rPr>
        <w:t xml:space="preserve">ection 2207(k) has created some confusion.  For this reason, we will revise this sentence by deleting the phrase “at minimum” and </w:t>
      </w:r>
      <w:r w:rsidR="00C26467">
        <w:rPr>
          <w:color w:val="000000"/>
          <w:sz w:val="26"/>
          <w:szCs w:val="26"/>
        </w:rPr>
        <w:t xml:space="preserve">the word </w:t>
      </w:r>
      <w:r w:rsidR="006B1DFD">
        <w:rPr>
          <w:color w:val="000000"/>
          <w:sz w:val="26"/>
          <w:szCs w:val="26"/>
        </w:rPr>
        <w:t xml:space="preserve">“material,” and </w:t>
      </w:r>
      <w:r>
        <w:rPr>
          <w:color w:val="000000"/>
          <w:sz w:val="26"/>
          <w:szCs w:val="26"/>
        </w:rPr>
        <w:t>by incorporating the</w:t>
      </w:r>
      <w:r w:rsidR="00DE052D">
        <w:rPr>
          <w:color w:val="000000"/>
          <w:sz w:val="26"/>
          <w:szCs w:val="26"/>
        </w:rPr>
        <w:t xml:space="preserve"> exact statutory language from S</w:t>
      </w:r>
      <w:r>
        <w:rPr>
          <w:color w:val="000000"/>
          <w:sz w:val="26"/>
          <w:szCs w:val="26"/>
        </w:rPr>
        <w:t xml:space="preserve">ection 2207(k).  This </w:t>
      </w:r>
      <w:r w:rsidR="006B1DFD">
        <w:rPr>
          <w:color w:val="000000"/>
          <w:sz w:val="26"/>
          <w:szCs w:val="26"/>
        </w:rPr>
        <w:t xml:space="preserve">revision </w:t>
      </w:r>
      <w:r>
        <w:rPr>
          <w:color w:val="000000"/>
          <w:sz w:val="26"/>
          <w:szCs w:val="26"/>
        </w:rPr>
        <w:t xml:space="preserve">should make the method for establishing the </w:t>
      </w:r>
      <w:r w:rsidR="006B1DFD">
        <w:rPr>
          <w:color w:val="000000"/>
          <w:sz w:val="26"/>
          <w:szCs w:val="26"/>
        </w:rPr>
        <w:t xml:space="preserve">preliminary </w:t>
      </w:r>
      <w:r>
        <w:rPr>
          <w:color w:val="000000"/>
          <w:sz w:val="26"/>
          <w:szCs w:val="26"/>
        </w:rPr>
        <w:t xml:space="preserve">security </w:t>
      </w:r>
      <w:r w:rsidR="006B1DFD">
        <w:rPr>
          <w:color w:val="000000"/>
          <w:sz w:val="26"/>
          <w:szCs w:val="26"/>
        </w:rPr>
        <w:t xml:space="preserve">amount </w:t>
      </w:r>
      <w:r>
        <w:rPr>
          <w:color w:val="000000"/>
          <w:sz w:val="26"/>
          <w:szCs w:val="26"/>
        </w:rPr>
        <w:t>required for licensing more understandable</w:t>
      </w:r>
      <w:r w:rsidRPr="008D742D">
        <w:rPr>
          <w:color w:val="000000"/>
          <w:sz w:val="26"/>
          <w:szCs w:val="26"/>
        </w:rPr>
        <w:t>.</w:t>
      </w:r>
      <w:r w:rsidR="00C76BA9" w:rsidRPr="008D742D">
        <w:rPr>
          <w:color w:val="000000"/>
          <w:sz w:val="26"/>
          <w:szCs w:val="26"/>
        </w:rPr>
        <w:t xml:space="preserve">  This amount will then be the security amount ordinarily required, unless one or mor</w:t>
      </w:r>
      <w:r w:rsidR="00DE052D">
        <w:rPr>
          <w:color w:val="000000"/>
          <w:sz w:val="26"/>
          <w:szCs w:val="26"/>
        </w:rPr>
        <w:t xml:space="preserve">e of the criteria set forth in </w:t>
      </w:r>
      <w:r w:rsidR="00947565">
        <w:rPr>
          <w:color w:val="000000"/>
          <w:sz w:val="26"/>
          <w:szCs w:val="26"/>
        </w:rPr>
        <w:t>S</w:t>
      </w:r>
      <w:r w:rsidR="00C76BA9" w:rsidRPr="008D742D">
        <w:rPr>
          <w:color w:val="000000"/>
          <w:sz w:val="26"/>
          <w:szCs w:val="26"/>
        </w:rPr>
        <w:t>ection 62.111(c)(1)(i)(A)-(E) warrant an upward or downward adjustment to that amount.</w:t>
      </w:r>
    </w:p>
    <w:p w:rsidR="00C76BA9" w:rsidRDefault="00C76BA9" w:rsidP="00C76BA9">
      <w:pPr>
        <w:rPr>
          <w:rFonts w:ascii="Calibri" w:hAnsi="Calibri"/>
          <w:color w:val="000000"/>
          <w:sz w:val="22"/>
          <w:szCs w:val="22"/>
        </w:rPr>
      </w:pPr>
    </w:p>
    <w:p w:rsidR="006D3B38" w:rsidRPr="00273105" w:rsidRDefault="00257F98" w:rsidP="009644D0">
      <w:pPr>
        <w:spacing w:line="360" w:lineRule="auto"/>
        <w:ind w:firstLine="720"/>
        <w:rPr>
          <w:color w:val="000000"/>
          <w:sz w:val="26"/>
          <w:szCs w:val="26"/>
        </w:rPr>
      </w:pPr>
      <w:r>
        <w:rPr>
          <w:color w:val="000000"/>
          <w:sz w:val="26"/>
          <w:szCs w:val="26"/>
        </w:rPr>
        <w:t>While we agree that a NGS’s credit rating may be taken into account by an NGDC in establishing the amount of security, we cannot a</w:t>
      </w:r>
      <w:r w:rsidR="00D12379">
        <w:rPr>
          <w:color w:val="000000"/>
          <w:sz w:val="26"/>
          <w:szCs w:val="26"/>
        </w:rPr>
        <w:t>dopt</w:t>
      </w:r>
      <w:r>
        <w:rPr>
          <w:color w:val="000000"/>
          <w:sz w:val="26"/>
          <w:szCs w:val="26"/>
        </w:rPr>
        <w:t xml:space="preserve"> </w:t>
      </w:r>
      <w:r w:rsidR="006D3B38" w:rsidRPr="00273105">
        <w:rPr>
          <w:color w:val="000000"/>
          <w:sz w:val="26"/>
          <w:szCs w:val="26"/>
        </w:rPr>
        <w:t xml:space="preserve">RESA’s proposal to eliminate the security requirement </w:t>
      </w:r>
      <w:r w:rsidR="008B7653">
        <w:rPr>
          <w:color w:val="000000"/>
          <w:sz w:val="26"/>
          <w:szCs w:val="26"/>
        </w:rPr>
        <w:t xml:space="preserve">upon the showing of some baseline creditworthiness standard.  </w:t>
      </w:r>
      <w:r w:rsidR="006D3B38" w:rsidRPr="00273105">
        <w:rPr>
          <w:color w:val="000000"/>
          <w:sz w:val="26"/>
          <w:szCs w:val="26"/>
        </w:rPr>
        <w:t xml:space="preserve">  </w:t>
      </w:r>
      <w:r w:rsidR="008B7653">
        <w:rPr>
          <w:color w:val="000000"/>
          <w:sz w:val="26"/>
          <w:szCs w:val="26"/>
        </w:rPr>
        <w:t>Risks vary from supplier to supplier</w:t>
      </w:r>
      <w:r w:rsidR="00F918ED">
        <w:rPr>
          <w:color w:val="000000"/>
          <w:sz w:val="26"/>
          <w:szCs w:val="26"/>
        </w:rPr>
        <w:t>,</w:t>
      </w:r>
      <w:r w:rsidR="008B7653">
        <w:rPr>
          <w:color w:val="000000"/>
          <w:sz w:val="26"/>
          <w:szCs w:val="26"/>
        </w:rPr>
        <w:t xml:space="preserve"> and </w:t>
      </w:r>
      <w:r w:rsidR="00246C09">
        <w:rPr>
          <w:color w:val="000000"/>
          <w:sz w:val="26"/>
          <w:szCs w:val="26"/>
        </w:rPr>
        <w:t>thus, financial exposure</w:t>
      </w:r>
      <w:r w:rsidR="00F918ED">
        <w:rPr>
          <w:color w:val="000000"/>
          <w:sz w:val="26"/>
          <w:szCs w:val="26"/>
        </w:rPr>
        <w:t xml:space="preserve"> </w:t>
      </w:r>
      <w:r w:rsidR="00246C09">
        <w:rPr>
          <w:color w:val="000000"/>
          <w:sz w:val="26"/>
          <w:szCs w:val="26"/>
        </w:rPr>
        <w:t xml:space="preserve">posed by </w:t>
      </w:r>
      <w:r w:rsidR="00F918ED">
        <w:rPr>
          <w:color w:val="000000"/>
          <w:sz w:val="26"/>
          <w:szCs w:val="26"/>
        </w:rPr>
        <w:t xml:space="preserve">suppliers operating on NGDC systems </w:t>
      </w:r>
      <w:r w:rsidR="00246C09">
        <w:rPr>
          <w:color w:val="000000"/>
          <w:sz w:val="26"/>
          <w:szCs w:val="26"/>
        </w:rPr>
        <w:t>vary from NGDC to NGDC</w:t>
      </w:r>
      <w:r w:rsidR="00D12379">
        <w:rPr>
          <w:color w:val="000000"/>
          <w:sz w:val="26"/>
          <w:szCs w:val="26"/>
        </w:rPr>
        <w:t xml:space="preserve"> making a baseline creditworthiness standard </w:t>
      </w:r>
      <w:r w:rsidR="008D742D">
        <w:rPr>
          <w:color w:val="000000"/>
          <w:sz w:val="26"/>
          <w:szCs w:val="26"/>
        </w:rPr>
        <w:t>based solely on credit or investment ratings</w:t>
      </w:r>
      <w:r w:rsidR="00AD523E">
        <w:rPr>
          <w:color w:val="000000"/>
          <w:sz w:val="26"/>
          <w:szCs w:val="26"/>
        </w:rPr>
        <w:t xml:space="preserve"> </w:t>
      </w:r>
      <w:r w:rsidR="00D12379">
        <w:rPr>
          <w:color w:val="000000"/>
          <w:sz w:val="26"/>
          <w:szCs w:val="26"/>
        </w:rPr>
        <w:t>difficult, if not impossible, to establish</w:t>
      </w:r>
      <w:r w:rsidR="007853FD">
        <w:rPr>
          <w:color w:val="000000"/>
          <w:sz w:val="26"/>
          <w:szCs w:val="26"/>
        </w:rPr>
        <w:t xml:space="preserve"> </w:t>
      </w:r>
      <w:r w:rsidR="008D742D">
        <w:rPr>
          <w:color w:val="000000"/>
          <w:sz w:val="26"/>
          <w:szCs w:val="26"/>
        </w:rPr>
        <w:t>for use in the statewide retail market</w:t>
      </w:r>
      <w:r w:rsidR="00D12379">
        <w:rPr>
          <w:color w:val="000000"/>
          <w:sz w:val="26"/>
          <w:szCs w:val="26"/>
        </w:rPr>
        <w:t>.</w:t>
      </w:r>
      <w:r w:rsidR="00F02FFD">
        <w:rPr>
          <w:color w:val="000000"/>
          <w:sz w:val="26"/>
          <w:szCs w:val="26"/>
        </w:rPr>
        <w:t xml:space="preserve"> </w:t>
      </w:r>
      <w:r w:rsidR="00FF3A00">
        <w:rPr>
          <w:color w:val="000000"/>
          <w:sz w:val="26"/>
          <w:szCs w:val="26"/>
        </w:rPr>
        <w:t xml:space="preserve"> </w:t>
      </w:r>
      <w:r w:rsidR="008D742D">
        <w:rPr>
          <w:color w:val="000000"/>
          <w:sz w:val="26"/>
          <w:szCs w:val="26"/>
        </w:rPr>
        <w:t xml:space="preserve">However, we understand </w:t>
      </w:r>
      <w:r w:rsidR="008D742D">
        <w:rPr>
          <w:color w:val="000000"/>
          <w:sz w:val="26"/>
          <w:szCs w:val="26"/>
        </w:rPr>
        <w:lastRenderedPageBreak/>
        <w:t>that some NGDCs do not require a NGS</w:t>
      </w:r>
      <w:r w:rsidR="008518D7">
        <w:rPr>
          <w:color w:val="000000"/>
          <w:sz w:val="26"/>
          <w:szCs w:val="26"/>
        </w:rPr>
        <w:t xml:space="preserve"> </w:t>
      </w:r>
      <w:r w:rsidR="008D742D">
        <w:rPr>
          <w:color w:val="000000"/>
          <w:sz w:val="26"/>
          <w:szCs w:val="26"/>
        </w:rPr>
        <w:t>to post additional security when th</w:t>
      </w:r>
      <w:r w:rsidR="00D17EC4">
        <w:rPr>
          <w:color w:val="000000"/>
          <w:sz w:val="26"/>
          <w:szCs w:val="26"/>
        </w:rPr>
        <w:t>e</w:t>
      </w:r>
      <w:r w:rsidR="008D742D">
        <w:rPr>
          <w:color w:val="000000"/>
          <w:sz w:val="26"/>
          <w:szCs w:val="26"/>
        </w:rPr>
        <w:t xml:space="preserve"> NGS has a high credit rating</w:t>
      </w:r>
      <w:r w:rsidR="00D17EC4">
        <w:rPr>
          <w:color w:val="000000"/>
          <w:sz w:val="26"/>
          <w:szCs w:val="26"/>
        </w:rPr>
        <w:t>,</w:t>
      </w:r>
      <w:r w:rsidR="008D742D">
        <w:rPr>
          <w:color w:val="000000"/>
          <w:sz w:val="26"/>
          <w:szCs w:val="26"/>
        </w:rPr>
        <w:t xml:space="preserve"> or is backed by a high</w:t>
      </w:r>
      <w:r w:rsidR="00D17EC4">
        <w:rPr>
          <w:color w:val="000000"/>
          <w:sz w:val="26"/>
          <w:szCs w:val="26"/>
        </w:rPr>
        <w:t>ly</w:t>
      </w:r>
      <w:r w:rsidR="008D742D">
        <w:rPr>
          <w:color w:val="000000"/>
          <w:sz w:val="26"/>
          <w:szCs w:val="26"/>
        </w:rPr>
        <w:t xml:space="preserve"> rated parental or other corporate guaranty</w:t>
      </w:r>
      <w:r w:rsidR="00CE4020">
        <w:rPr>
          <w:color w:val="000000"/>
          <w:sz w:val="26"/>
          <w:szCs w:val="26"/>
        </w:rPr>
        <w:t xml:space="preserve">. </w:t>
      </w:r>
      <w:r w:rsidR="008D742D">
        <w:rPr>
          <w:color w:val="000000"/>
          <w:sz w:val="26"/>
          <w:szCs w:val="26"/>
        </w:rPr>
        <w:t xml:space="preserve"> To the extent that a NGDC has adopted such a standard</w:t>
      </w:r>
      <w:r w:rsidR="00FE1B01">
        <w:rPr>
          <w:color w:val="000000"/>
          <w:sz w:val="26"/>
          <w:szCs w:val="26"/>
        </w:rPr>
        <w:t>,</w:t>
      </w:r>
      <w:r w:rsidR="008D742D">
        <w:rPr>
          <w:color w:val="000000"/>
          <w:sz w:val="26"/>
          <w:szCs w:val="26"/>
        </w:rPr>
        <w:t xml:space="preserve"> we will direct that the NGDC include this standard in its tariff.  This will ensure that all NGSs have notice of the standard and will further ensure that the standard is applied in a non-discriminatory manner to a</w:t>
      </w:r>
      <w:r w:rsidR="00DE052D">
        <w:rPr>
          <w:color w:val="000000"/>
          <w:sz w:val="26"/>
          <w:szCs w:val="26"/>
        </w:rPr>
        <w:t>ll NGSs.  We have also revised S</w:t>
      </w:r>
      <w:r w:rsidR="008D742D">
        <w:rPr>
          <w:color w:val="000000"/>
          <w:sz w:val="26"/>
          <w:szCs w:val="26"/>
        </w:rPr>
        <w:t>ection 62.111(c) to require NGDCs to include this information in their tariffs.</w:t>
      </w:r>
    </w:p>
    <w:p w:rsidR="006D3B38" w:rsidRPr="00273105" w:rsidRDefault="006D3B38" w:rsidP="002043C9">
      <w:pPr>
        <w:spacing w:line="360" w:lineRule="auto"/>
        <w:ind w:firstLine="720"/>
        <w:rPr>
          <w:color w:val="000000"/>
          <w:sz w:val="26"/>
          <w:szCs w:val="26"/>
        </w:rPr>
      </w:pPr>
    </w:p>
    <w:p w:rsidR="00C34BF7" w:rsidRDefault="005403CA" w:rsidP="002043C9">
      <w:pPr>
        <w:spacing w:line="360" w:lineRule="auto"/>
        <w:ind w:firstLine="720"/>
        <w:rPr>
          <w:color w:val="000000"/>
          <w:sz w:val="26"/>
          <w:szCs w:val="26"/>
        </w:rPr>
      </w:pPr>
      <w:r w:rsidRPr="00273105">
        <w:rPr>
          <w:color w:val="000000"/>
          <w:sz w:val="26"/>
          <w:szCs w:val="26"/>
        </w:rPr>
        <w:t xml:space="preserve">In regard to </w:t>
      </w:r>
      <w:r w:rsidR="00A80825" w:rsidRPr="00273105">
        <w:rPr>
          <w:color w:val="000000"/>
          <w:sz w:val="26"/>
          <w:szCs w:val="26"/>
        </w:rPr>
        <w:t xml:space="preserve">the </w:t>
      </w:r>
      <w:r w:rsidR="00D05F83" w:rsidRPr="008D742D">
        <w:rPr>
          <w:color w:val="000000"/>
          <w:sz w:val="26"/>
          <w:szCs w:val="26"/>
        </w:rPr>
        <w:t>RESA’s</w:t>
      </w:r>
      <w:r w:rsidR="00F02FFD" w:rsidRPr="008D742D">
        <w:rPr>
          <w:color w:val="000000"/>
          <w:sz w:val="26"/>
          <w:szCs w:val="26"/>
        </w:rPr>
        <w:t xml:space="preserve"> suggestion to </w:t>
      </w:r>
      <w:r w:rsidR="00A80825" w:rsidRPr="00273105">
        <w:rPr>
          <w:color w:val="000000"/>
          <w:sz w:val="26"/>
          <w:szCs w:val="26"/>
        </w:rPr>
        <w:t xml:space="preserve">use </w:t>
      </w:r>
      <w:r w:rsidRPr="00273105">
        <w:rPr>
          <w:color w:val="000000"/>
          <w:sz w:val="26"/>
          <w:szCs w:val="26"/>
        </w:rPr>
        <w:t>a standardized formula to calculate the security amount, t</w:t>
      </w:r>
      <w:r w:rsidR="00AF6E8F" w:rsidRPr="00273105">
        <w:rPr>
          <w:color w:val="000000"/>
          <w:sz w:val="26"/>
          <w:szCs w:val="26"/>
        </w:rPr>
        <w:t>he law provides NGDCs with the discretion to set the security amount for licensing</w:t>
      </w:r>
      <w:r w:rsidR="00CA6BB0" w:rsidRPr="00273105">
        <w:rPr>
          <w:color w:val="000000"/>
          <w:sz w:val="26"/>
          <w:szCs w:val="26"/>
        </w:rPr>
        <w:t>,</w:t>
      </w:r>
      <w:r w:rsidR="00BC22BE" w:rsidRPr="00273105">
        <w:rPr>
          <w:color w:val="000000"/>
          <w:sz w:val="26"/>
          <w:szCs w:val="26"/>
        </w:rPr>
        <w:t xml:space="preserve"> and </w:t>
      </w:r>
      <w:r w:rsidR="00FC5045" w:rsidRPr="00273105">
        <w:rPr>
          <w:color w:val="000000"/>
          <w:sz w:val="26"/>
          <w:szCs w:val="26"/>
        </w:rPr>
        <w:t>states</w:t>
      </w:r>
      <w:r w:rsidR="00AA2150" w:rsidRPr="00273105">
        <w:rPr>
          <w:color w:val="000000"/>
          <w:sz w:val="26"/>
          <w:szCs w:val="26"/>
        </w:rPr>
        <w:t xml:space="preserve"> that the criteria used</w:t>
      </w:r>
      <w:r w:rsidR="00F30D02" w:rsidRPr="00273105">
        <w:rPr>
          <w:color w:val="000000"/>
          <w:sz w:val="26"/>
          <w:szCs w:val="26"/>
        </w:rPr>
        <w:t xml:space="preserve"> </w:t>
      </w:r>
      <w:r w:rsidR="00FC5045" w:rsidRPr="00273105">
        <w:rPr>
          <w:color w:val="000000"/>
          <w:sz w:val="26"/>
          <w:szCs w:val="26"/>
        </w:rPr>
        <w:t>“</w:t>
      </w:r>
      <w:r w:rsidR="00F30D02" w:rsidRPr="00273105">
        <w:rPr>
          <w:color w:val="000000"/>
          <w:sz w:val="26"/>
          <w:szCs w:val="26"/>
        </w:rPr>
        <w:t xml:space="preserve">shall include, but not be limited to, the financial impact on the natural gas distribution company . . .of a default or subsequent bankruptcy of a natural gas supplier.” </w:t>
      </w:r>
      <w:r w:rsidR="00AA2150" w:rsidRPr="00273105">
        <w:rPr>
          <w:color w:val="000000"/>
          <w:sz w:val="26"/>
          <w:szCs w:val="26"/>
        </w:rPr>
        <w:t xml:space="preserve"> </w:t>
      </w:r>
      <w:r w:rsidR="00F30D02" w:rsidRPr="00273105">
        <w:rPr>
          <w:color w:val="000000"/>
          <w:sz w:val="26"/>
          <w:szCs w:val="26"/>
        </w:rPr>
        <w:t>66 Pa.C.S.</w:t>
      </w:r>
      <w:r w:rsidR="00A80825" w:rsidRPr="00273105">
        <w:rPr>
          <w:color w:val="000000"/>
          <w:sz w:val="26"/>
          <w:szCs w:val="26"/>
        </w:rPr>
        <w:t xml:space="preserve"> </w:t>
      </w:r>
      <w:r w:rsidR="00F30D02" w:rsidRPr="00273105">
        <w:rPr>
          <w:color w:val="000000"/>
          <w:sz w:val="26"/>
          <w:szCs w:val="26"/>
        </w:rPr>
        <w:t>§ 2208(c)(1)(i)</w:t>
      </w:r>
      <w:r w:rsidR="00AF6E8F" w:rsidRPr="00273105">
        <w:rPr>
          <w:color w:val="000000"/>
          <w:sz w:val="26"/>
          <w:szCs w:val="26"/>
        </w:rPr>
        <w:t xml:space="preserve">. </w:t>
      </w:r>
      <w:r w:rsidR="004E7E51" w:rsidRPr="00273105">
        <w:rPr>
          <w:color w:val="000000"/>
          <w:sz w:val="26"/>
          <w:szCs w:val="26"/>
        </w:rPr>
        <w:t xml:space="preserve"> </w:t>
      </w:r>
      <w:r w:rsidR="008F6BB3" w:rsidRPr="00273105">
        <w:rPr>
          <w:color w:val="000000"/>
          <w:sz w:val="26"/>
          <w:szCs w:val="26"/>
        </w:rPr>
        <w:t xml:space="preserve">Because </w:t>
      </w:r>
      <w:r w:rsidR="00FC5045" w:rsidRPr="00273105">
        <w:rPr>
          <w:color w:val="000000"/>
          <w:sz w:val="26"/>
          <w:szCs w:val="26"/>
        </w:rPr>
        <w:t xml:space="preserve">the </w:t>
      </w:r>
      <w:r w:rsidR="004E7E51" w:rsidRPr="00273105">
        <w:rPr>
          <w:color w:val="000000"/>
          <w:sz w:val="26"/>
          <w:szCs w:val="26"/>
        </w:rPr>
        <w:t xml:space="preserve">NGDC may take into account </w:t>
      </w:r>
      <w:r w:rsidR="00203BB6" w:rsidRPr="00273105">
        <w:rPr>
          <w:color w:val="000000"/>
          <w:sz w:val="26"/>
          <w:szCs w:val="26"/>
        </w:rPr>
        <w:t>criteria</w:t>
      </w:r>
      <w:r w:rsidR="004E7E51" w:rsidRPr="00273105">
        <w:rPr>
          <w:color w:val="000000"/>
          <w:sz w:val="26"/>
          <w:szCs w:val="26"/>
        </w:rPr>
        <w:t xml:space="preserve"> </w:t>
      </w:r>
      <w:r w:rsidR="00786CF2" w:rsidRPr="00273105">
        <w:rPr>
          <w:color w:val="000000"/>
          <w:sz w:val="26"/>
          <w:szCs w:val="26"/>
        </w:rPr>
        <w:t xml:space="preserve">other than the cost of replacement gas </w:t>
      </w:r>
      <w:r w:rsidR="004E7E51" w:rsidRPr="00273105">
        <w:rPr>
          <w:color w:val="000000"/>
          <w:sz w:val="26"/>
          <w:szCs w:val="26"/>
        </w:rPr>
        <w:t>when establishing a security amount for a supplier</w:t>
      </w:r>
      <w:r w:rsidR="008F6BB3" w:rsidRPr="00273105">
        <w:rPr>
          <w:color w:val="000000"/>
          <w:sz w:val="26"/>
          <w:szCs w:val="26"/>
        </w:rPr>
        <w:t xml:space="preserve">, we do not believe that it </w:t>
      </w:r>
      <w:r w:rsidR="002033F4" w:rsidRPr="00273105">
        <w:rPr>
          <w:color w:val="000000"/>
          <w:sz w:val="26"/>
          <w:szCs w:val="26"/>
        </w:rPr>
        <w:t xml:space="preserve">appropriate </w:t>
      </w:r>
      <w:r w:rsidR="00003F2F" w:rsidRPr="00273105">
        <w:rPr>
          <w:color w:val="000000"/>
          <w:sz w:val="26"/>
          <w:szCs w:val="26"/>
        </w:rPr>
        <w:t xml:space="preserve">to </w:t>
      </w:r>
      <w:r w:rsidR="008F6BB3" w:rsidRPr="00273105">
        <w:rPr>
          <w:color w:val="000000"/>
          <w:sz w:val="26"/>
          <w:szCs w:val="26"/>
        </w:rPr>
        <w:t xml:space="preserve">adopt </w:t>
      </w:r>
      <w:r w:rsidR="008D742D">
        <w:rPr>
          <w:color w:val="000000"/>
          <w:sz w:val="26"/>
          <w:szCs w:val="26"/>
        </w:rPr>
        <w:t xml:space="preserve">one </w:t>
      </w:r>
      <w:r w:rsidR="008F6BB3" w:rsidRPr="00273105">
        <w:rPr>
          <w:color w:val="000000"/>
          <w:sz w:val="26"/>
          <w:szCs w:val="26"/>
        </w:rPr>
        <w:t xml:space="preserve">standard formula </w:t>
      </w:r>
      <w:r w:rsidR="003E716F">
        <w:rPr>
          <w:color w:val="000000"/>
          <w:sz w:val="26"/>
          <w:szCs w:val="26"/>
        </w:rPr>
        <w:t>to calculate</w:t>
      </w:r>
      <w:r w:rsidR="008F6BB3" w:rsidRPr="00273105">
        <w:rPr>
          <w:color w:val="000000"/>
          <w:sz w:val="26"/>
          <w:szCs w:val="26"/>
        </w:rPr>
        <w:t xml:space="preserve"> the security amount</w:t>
      </w:r>
      <w:r w:rsidR="00E71DB2">
        <w:rPr>
          <w:color w:val="000000"/>
          <w:sz w:val="26"/>
          <w:szCs w:val="26"/>
        </w:rPr>
        <w:t xml:space="preserve"> </w:t>
      </w:r>
      <w:r w:rsidR="00E70569">
        <w:rPr>
          <w:color w:val="000000"/>
          <w:sz w:val="26"/>
          <w:szCs w:val="26"/>
        </w:rPr>
        <w:t>for use by all NGDCs</w:t>
      </w:r>
      <w:r w:rsidR="008F6BB3" w:rsidRPr="00273105">
        <w:rPr>
          <w:color w:val="000000"/>
          <w:sz w:val="26"/>
          <w:szCs w:val="26"/>
        </w:rPr>
        <w:t xml:space="preserve">.  </w:t>
      </w:r>
      <w:r w:rsidR="00653681" w:rsidRPr="00273105">
        <w:rPr>
          <w:color w:val="000000"/>
          <w:sz w:val="26"/>
          <w:szCs w:val="26"/>
        </w:rPr>
        <w:t>Accordingly, we will not adopt RESA revision</w:t>
      </w:r>
      <w:r w:rsidR="00A21FF8" w:rsidRPr="00273105">
        <w:rPr>
          <w:color w:val="000000"/>
          <w:sz w:val="26"/>
          <w:szCs w:val="26"/>
        </w:rPr>
        <w:t xml:space="preserve"> to the regulations</w:t>
      </w:r>
      <w:r w:rsidR="00A60BE4" w:rsidRPr="00273105">
        <w:rPr>
          <w:color w:val="000000"/>
          <w:sz w:val="26"/>
          <w:szCs w:val="26"/>
        </w:rPr>
        <w:t xml:space="preserve"> at this time</w:t>
      </w:r>
      <w:r w:rsidR="00653681" w:rsidRPr="00273105">
        <w:rPr>
          <w:color w:val="000000"/>
          <w:sz w:val="26"/>
          <w:szCs w:val="26"/>
        </w:rPr>
        <w:t xml:space="preserve">. </w:t>
      </w:r>
    </w:p>
    <w:p w:rsidR="00003F2F" w:rsidRPr="00273105" w:rsidRDefault="00003F2F" w:rsidP="00E06C9F">
      <w:pPr>
        <w:spacing w:line="360" w:lineRule="auto"/>
        <w:rPr>
          <w:color w:val="000000"/>
          <w:sz w:val="26"/>
          <w:szCs w:val="26"/>
        </w:rPr>
      </w:pPr>
    </w:p>
    <w:p w:rsidR="00641BF1" w:rsidRDefault="00653681" w:rsidP="002043C9">
      <w:pPr>
        <w:spacing w:line="360" w:lineRule="auto"/>
        <w:ind w:firstLine="720"/>
        <w:rPr>
          <w:color w:val="000000"/>
          <w:sz w:val="26"/>
          <w:szCs w:val="26"/>
        </w:rPr>
      </w:pPr>
      <w:r w:rsidRPr="00273105">
        <w:rPr>
          <w:color w:val="000000"/>
          <w:sz w:val="26"/>
          <w:szCs w:val="26"/>
        </w:rPr>
        <w:t xml:space="preserve">We </w:t>
      </w:r>
      <w:r w:rsidR="00AF6E8F" w:rsidRPr="00273105">
        <w:rPr>
          <w:color w:val="000000"/>
          <w:sz w:val="26"/>
          <w:szCs w:val="26"/>
        </w:rPr>
        <w:t>note</w:t>
      </w:r>
      <w:r w:rsidRPr="00273105">
        <w:rPr>
          <w:color w:val="000000"/>
          <w:sz w:val="26"/>
          <w:szCs w:val="26"/>
        </w:rPr>
        <w:t xml:space="preserve">, however, that </w:t>
      </w:r>
      <w:r w:rsidR="00E70569">
        <w:rPr>
          <w:color w:val="000000"/>
          <w:sz w:val="26"/>
          <w:szCs w:val="26"/>
        </w:rPr>
        <w:t>some</w:t>
      </w:r>
      <w:r w:rsidR="00C839A9">
        <w:rPr>
          <w:color w:val="000000"/>
          <w:sz w:val="26"/>
          <w:szCs w:val="26"/>
        </w:rPr>
        <w:t xml:space="preserve"> </w:t>
      </w:r>
      <w:r w:rsidR="00661EAD">
        <w:rPr>
          <w:color w:val="000000"/>
          <w:sz w:val="26"/>
          <w:szCs w:val="26"/>
        </w:rPr>
        <w:t>NGDC</w:t>
      </w:r>
      <w:r w:rsidR="00E70569">
        <w:rPr>
          <w:color w:val="000000"/>
          <w:sz w:val="26"/>
          <w:szCs w:val="26"/>
        </w:rPr>
        <w:t>s</w:t>
      </w:r>
      <w:r w:rsidR="00661EAD">
        <w:rPr>
          <w:color w:val="000000"/>
          <w:sz w:val="26"/>
          <w:szCs w:val="26"/>
        </w:rPr>
        <w:t xml:space="preserve"> </w:t>
      </w:r>
      <w:r w:rsidR="00E70569">
        <w:rPr>
          <w:color w:val="000000"/>
          <w:sz w:val="26"/>
          <w:szCs w:val="26"/>
        </w:rPr>
        <w:t xml:space="preserve">may use their own formulas to calculate the level of security for </w:t>
      </w:r>
      <w:r w:rsidR="00661EAD">
        <w:rPr>
          <w:color w:val="000000"/>
          <w:sz w:val="26"/>
          <w:szCs w:val="26"/>
        </w:rPr>
        <w:t>NGS</w:t>
      </w:r>
      <w:r w:rsidR="003E716F">
        <w:rPr>
          <w:color w:val="000000"/>
          <w:sz w:val="26"/>
          <w:szCs w:val="26"/>
        </w:rPr>
        <w:t>s</w:t>
      </w:r>
      <w:r w:rsidR="00661EAD">
        <w:rPr>
          <w:color w:val="000000"/>
          <w:sz w:val="26"/>
          <w:szCs w:val="26"/>
        </w:rPr>
        <w:t xml:space="preserve"> </w:t>
      </w:r>
      <w:r w:rsidR="00E70569">
        <w:rPr>
          <w:color w:val="000000"/>
          <w:sz w:val="26"/>
          <w:szCs w:val="26"/>
        </w:rPr>
        <w:t>operating on their systems.  These formulas were established in the</w:t>
      </w:r>
      <w:r w:rsidR="00661EAD">
        <w:rPr>
          <w:color w:val="000000"/>
          <w:sz w:val="26"/>
          <w:szCs w:val="26"/>
        </w:rPr>
        <w:t xml:space="preserve"> NGDC</w:t>
      </w:r>
      <w:r w:rsidR="003E716F">
        <w:rPr>
          <w:color w:val="000000"/>
          <w:sz w:val="26"/>
          <w:szCs w:val="26"/>
        </w:rPr>
        <w:t>s</w:t>
      </w:r>
      <w:r w:rsidR="00661EAD">
        <w:rPr>
          <w:color w:val="000000"/>
          <w:sz w:val="26"/>
          <w:szCs w:val="26"/>
        </w:rPr>
        <w:t xml:space="preserve">’ </w:t>
      </w:r>
      <w:r w:rsidR="00E70569">
        <w:rPr>
          <w:color w:val="000000"/>
          <w:sz w:val="26"/>
          <w:szCs w:val="26"/>
        </w:rPr>
        <w:t>restructuring proceedings for the retail supply market.</w:t>
      </w:r>
      <w:r w:rsidR="00C839A9">
        <w:rPr>
          <w:color w:val="000000"/>
          <w:sz w:val="26"/>
          <w:szCs w:val="26"/>
        </w:rPr>
        <w:t xml:space="preserve">  </w:t>
      </w:r>
      <w:r w:rsidR="000D6BD1">
        <w:rPr>
          <w:color w:val="000000"/>
          <w:sz w:val="26"/>
          <w:szCs w:val="26"/>
        </w:rPr>
        <w:t>T</w:t>
      </w:r>
      <w:r w:rsidR="00E70569">
        <w:rPr>
          <w:color w:val="000000"/>
          <w:sz w:val="26"/>
          <w:szCs w:val="26"/>
        </w:rPr>
        <w:t xml:space="preserve">hese formulas involve the peak day demand estimate for capacity, the number of days potential exposure in the billing cycle and the commodity estimates for quantity and cost. </w:t>
      </w:r>
      <w:r w:rsidR="009517A2">
        <w:rPr>
          <w:color w:val="000000"/>
          <w:sz w:val="26"/>
          <w:szCs w:val="26"/>
        </w:rPr>
        <w:t xml:space="preserve"> </w:t>
      </w:r>
      <w:r w:rsidR="009517A2" w:rsidRPr="009517A2">
        <w:rPr>
          <w:i/>
          <w:color w:val="000000"/>
          <w:sz w:val="26"/>
          <w:szCs w:val="26"/>
        </w:rPr>
        <w:t>SEARCH R</w:t>
      </w:r>
      <w:r w:rsidR="00E70569" w:rsidRPr="009517A2">
        <w:rPr>
          <w:i/>
          <w:color w:val="000000"/>
          <w:sz w:val="26"/>
          <w:szCs w:val="26"/>
        </w:rPr>
        <w:t>eport</w:t>
      </w:r>
      <w:r w:rsidR="009517A2">
        <w:rPr>
          <w:color w:val="000000"/>
          <w:sz w:val="26"/>
          <w:szCs w:val="26"/>
        </w:rPr>
        <w:t xml:space="preserve">, </w:t>
      </w:r>
      <w:r w:rsidR="00E70569">
        <w:rPr>
          <w:color w:val="000000"/>
          <w:sz w:val="26"/>
          <w:szCs w:val="26"/>
        </w:rPr>
        <w:t>p</w:t>
      </w:r>
      <w:r w:rsidR="009517A2">
        <w:rPr>
          <w:color w:val="000000"/>
          <w:sz w:val="26"/>
          <w:szCs w:val="26"/>
        </w:rPr>
        <w:t xml:space="preserve">. 18-19.  </w:t>
      </w:r>
      <w:r w:rsidR="003E716F">
        <w:rPr>
          <w:color w:val="000000"/>
          <w:sz w:val="26"/>
          <w:szCs w:val="26"/>
        </w:rPr>
        <w:t>A</w:t>
      </w:r>
      <w:r w:rsidR="00E70569">
        <w:rPr>
          <w:color w:val="000000"/>
          <w:sz w:val="26"/>
          <w:szCs w:val="26"/>
        </w:rPr>
        <w:t>gain, to promote transparency of credit requir</w:t>
      </w:r>
      <w:r w:rsidR="006E5EF4">
        <w:rPr>
          <w:color w:val="000000"/>
          <w:sz w:val="26"/>
          <w:szCs w:val="26"/>
        </w:rPr>
        <w:t>e</w:t>
      </w:r>
      <w:r w:rsidR="00E70569">
        <w:rPr>
          <w:color w:val="000000"/>
          <w:sz w:val="26"/>
          <w:szCs w:val="26"/>
        </w:rPr>
        <w:t xml:space="preserve">ments for licensing, we will direct a </w:t>
      </w:r>
      <w:r w:rsidR="00C839A9">
        <w:rPr>
          <w:color w:val="000000"/>
          <w:sz w:val="26"/>
          <w:szCs w:val="26"/>
        </w:rPr>
        <w:t xml:space="preserve">NGDC </w:t>
      </w:r>
      <w:r w:rsidR="00E70569">
        <w:rPr>
          <w:color w:val="000000"/>
          <w:sz w:val="26"/>
          <w:szCs w:val="26"/>
        </w:rPr>
        <w:t>that uses a formula to calculate security amounts to include the formula with other applicable rules for its use in its</w:t>
      </w:r>
      <w:r w:rsidR="00DE052D">
        <w:rPr>
          <w:color w:val="000000"/>
          <w:sz w:val="26"/>
          <w:szCs w:val="26"/>
        </w:rPr>
        <w:t xml:space="preserve"> tariff.  We have also revised S</w:t>
      </w:r>
      <w:r w:rsidR="00E70569">
        <w:rPr>
          <w:color w:val="000000"/>
          <w:sz w:val="26"/>
          <w:szCs w:val="26"/>
        </w:rPr>
        <w:t xml:space="preserve">ection 62.111(c) to require </w:t>
      </w:r>
      <w:r w:rsidR="009B04F9">
        <w:rPr>
          <w:color w:val="000000"/>
          <w:sz w:val="26"/>
          <w:szCs w:val="26"/>
        </w:rPr>
        <w:t>NGDC</w:t>
      </w:r>
      <w:r w:rsidR="00E70569">
        <w:rPr>
          <w:color w:val="000000"/>
          <w:sz w:val="26"/>
          <w:szCs w:val="26"/>
        </w:rPr>
        <w:t>s</w:t>
      </w:r>
      <w:r w:rsidR="009B04F9">
        <w:rPr>
          <w:color w:val="000000"/>
          <w:sz w:val="26"/>
          <w:szCs w:val="26"/>
        </w:rPr>
        <w:t xml:space="preserve"> </w:t>
      </w:r>
      <w:r w:rsidR="00E70569">
        <w:rPr>
          <w:color w:val="000000"/>
          <w:sz w:val="26"/>
          <w:szCs w:val="26"/>
        </w:rPr>
        <w:t>to include this information in their tariffs</w:t>
      </w:r>
      <w:r w:rsidR="009B04F9">
        <w:rPr>
          <w:color w:val="000000"/>
          <w:sz w:val="26"/>
          <w:szCs w:val="26"/>
        </w:rPr>
        <w:t>.</w:t>
      </w:r>
    </w:p>
    <w:p w:rsidR="00641BF1" w:rsidRDefault="00641BF1" w:rsidP="002043C9">
      <w:pPr>
        <w:spacing w:line="360" w:lineRule="auto"/>
        <w:ind w:firstLine="720"/>
        <w:rPr>
          <w:color w:val="000000"/>
          <w:sz w:val="26"/>
          <w:szCs w:val="26"/>
        </w:rPr>
      </w:pPr>
    </w:p>
    <w:p w:rsidR="008518D7" w:rsidRPr="00273105" w:rsidRDefault="00641BF1" w:rsidP="008518D7">
      <w:pPr>
        <w:spacing w:line="360" w:lineRule="auto"/>
        <w:ind w:firstLine="720"/>
        <w:rPr>
          <w:color w:val="000000"/>
          <w:sz w:val="26"/>
          <w:szCs w:val="26"/>
        </w:rPr>
      </w:pPr>
      <w:r>
        <w:rPr>
          <w:color w:val="000000"/>
          <w:sz w:val="26"/>
          <w:szCs w:val="26"/>
        </w:rPr>
        <w:lastRenderedPageBreak/>
        <w:t>W</w:t>
      </w:r>
      <w:r w:rsidR="006E5EF4">
        <w:rPr>
          <w:color w:val="000000"/>
          <w:sz w:val="26"/>
          <w:szCs w:val="26"/>
        </w:rPr>
        <w:t>hile</w:t>
      </w:r>
      <w:r w:rsidR="006E5EF4" w:rsidRPr="00273105">
        <w:rPr>
          <w:color w:val="000000"/>
          <w:sz w:val="26"/>
          <w:szCs w:val="26"/>
        </w:rPr>
        <w:t xml:space="preserve"> </w:t>
      </w:r>
      <w:r w:rsidR="00016AF5" w:rsidRPr="00273105">
        <w:rPr>
          <w:color w:val="000000"/>
          <w:sz w:val="26"/>
          <w:szCs w:val="26"/>
        </w:rPr>
        <w:t>the NGDC has th</w:t>
      </w:r>
      <w:r w:rsidR="00AF6E8F" w:rsidRPr="00273105">
        <w:rPr>
          <w:color w:val="000000"/>
          <w:sz w:val="26"/>
          <w:szCs w:val="26"/>
        </w:rPr>
        <w:t>e</w:t>
      </w:r>
      <w:r w:rsidR="00016AF5" w:rsidRPr="00273105">
        <w:rPr>
          <w:color w:val="000000"/>
          <w:sz w:val="26"/>
          <w:szCs w:val="26"/>
        </w:rPr>
        <w:t xml:space="preserve"> discretion</w:t>
      </w:r>
      <w:r w:rsidR="00AF6E8F" w:rsidRPr="00273105">
        <w:rPr>
          <w:color w:val="000000"/>
          <w:sz w:val="26"/>
          <w:szCs w:val="26"/>
        </w:rPr>
        <w:t xml:space="preserve"> to set the level of security</w:t>
      </w:r>
      <w:r w:rsidR="00016AF5" w:rsidRPr="00273105">
        <w:rPr>
          <w:color w:val="000000"/>
          <w:sz w:val="26"/>
          <w:szCs w:val="26"/>
        </w:rPr>
        <w:t>,</w:t>
      </w:r>
      <w:r w:rsidR="00653681" w:rsidRPr="00273105">
        <w:rPr>
          <w:color w:val="000000"/>
          <w:sz w:val="26"/>
          <w:szCs w:val="26"/>
        </w:rPr>
        <w:t xml:space="preserve"> the </w:t>
      </w:r>
      <w:r w:rsidR="00E911DF" w:rsidRPr="00273105">
        <w:rPr>
          <w:color w:val="000000"/>
          <w:sz w:val="26"/>
          <w:szCs w:val="26"/>
        </w:rPr>
        <w:t>Commission has the authority</w:t>
      </w:r>
      <w:r w:rsidR="00016AF5" w:rsidRPr="00273105">
        <w:rPr>
          <w:color w:val="000000"/>
          <w:sz w:val="26"/>
          <w:szCs w:val="26"/>
        </w:rPr>
        <w:t xml:space="preserve"> to approve criteria to be used to determine the appropriate </w:t>
      </w:r>
      <w:r w:rsidR="00CA6FF3" w:rsidRPr="00273105">
        <w:rPr>
          <w:color w:val="000000"/>
          <w:sz w:val="26"/>
          <w:szCs w:val="26"/>
        </w:rPr>
        <w:t xml:space="preserve">amount of </w:t>
      </w:r>
      <w:r w:rsidR="00016AF5" w:rsidRPr="00273105">
        <w:rPr>
          <w:color w:val="000000"/>
          <w:sz w:val="26"/>
          <w:szCs w:val="26"/>
        </w:rPr>
        <w:t>security based upon</w:t>
      </w:r>
      <w:r w:rsidR="00003F2F" w:rsidRPr="00273105">
        <w:rPr>
          <w:color w:val="000000"/>
          <w:sz w:val="26"/>
          <w:szCs w:val="26"/>
        </w:rPr>
        <w:t xml:space="preserve"> financial impact on the NGDC of</w:t>
      </w:r>
      <w:r w:rsidR="00016AF5" w:rsidRPr="00273105">
        <w:rPr>
          <w:color w:val="000000"/>
          <w:sz w:val="26"/>
          <w:szCs w:val="26"/>
        </w:rPr>
        <w:t xml:space="preserve"> a supplier</w:t>
      </w:r>
      <w:r w:rsidR="00003F2F" w:rsidRPr="00273105">
        <w:rPr>
          <w:color w:val="000000"/>
          <w:sz w:val="26"/>
          <w:szCs w:val="26"/>
        </w:rPr>
        <w:t>’s</w:t>
      </w:r>
      <w:r w:rsidR="00016AF5" w:rsidRPr="00273105">
        <w:rPr>
          <w:color w:val="000000"/>
          <w:sz w:val="26"/>
          <w:szCs w:val="26"/>
        </w:rPr>
        <w:t xml:space="preserve"> default</w:t>
      </w:r>
      <w:r w:rsidR="00003F2F" w:rsidRPr="00273105">
        <w:rPr>
          <w:color w:val="000000"/>
          <w:sz w:val="26"/>
          <w:szCs w:val="26"/>
        </w:rPr>
        <w:t>,</w:t>
      </w:r>
      <w:r w:rsidR="00AF6E8F" w:rsidRPr="00273105">
        <w:rPr>
          <w:color w:val="000000"/>
          <w:sz w:val="26"/>
          <w:szCs w:val="26"/>
        </w:rPr>
        <w:t xml:space="preserve"> and may </w:t>
      </w:r>
      <w:r w:rsidR="00470354" w:rsidRPr="00273105">
        <w:rPr>
          <w:color w:val="000000"/>
          <w:sz w:val="26"/>
          <w:szCs w:val="26"/>
        </w:rPr>
        <w:t>review NGDC decisions regarding the application of these criteria</w:t>
      </w:r>
      <w:r w:rsidR="00016AF5" w:rsidRPr="00273105">
        <w:rPr>
          <w:color w:val="000000"/>
          <w:sz w:val="26"/>
          <w:szCs w:val="26"/>
        </w:rPr>
        <w:t>.</w:t>
      </w:r>
      <w:r w:rsidR="00470354" w:rsidRPr="00273105">
        <w:rPr>
          <w:color w:val="000000"/>
          <w:sz w:val="26"/>
          <w:szCs w:val="26"/>
        </w:rPr>
        <w:t xml:space="preserve"> </w:t>
      </w:r>
      <w:r w:rsidR="00016AF5" w:rsidRPr="00273105">
        <w:rPr>
          <w:color w:val="000000"/>
          <w:sz w:val="26"/>
          <w:szCs w:val="26"/>
        </w:rPr>
        <w:t xml:space="preserve"> </w:t>
      </w:r>
      <w:r w:rsidR="008518D7">
        <w:rPr>
          <w:color w:val="000000"/>
          <w:sz w:val="26"/>
          <w:szCs w:val="26"/>
        </w:rPr>
        <w:t xml:space="preserve">Nevertheless, we expect that the NGDC will establish a security amount that is reasonably related to its financial exposure. </w:t>
      </w:r>
      <w:r w:rsidR="008518D7" w:rsidRPr="00F02FFD">
        <w:rPr>
          <w:i/>
          <w:color w:val="000000"/>
          <w:sz w:val="26"/>
          <w:szCs w:val="26"/>
        </w:rPr>
        <w:t xml:space="preserve"> </w:t>
      </w:r>
      <w:r w:rsidR="008518D7" w:rsidRPr="00273105">
        <w:rPr>
          <w:i/>
          <w:color w:val="000000"/>
          <w:sz w:val="26"/>
          <w:szCs w:val="26"/>
        </w:rPr>
        <w:t xml:space="preserve">See </w:t>
      </w:r>
      <w:r w:rsidR="008518D7" w:rsidRPr="00273105">
        <w:rPr>
          <w:i/>
          <w:iCs/>
          <w:color w:val="000000"/>
          <w:sz w:val="26"/>
          <w:szCs w:val="26"/>
        </w:rPr>
        <w:t>UGI Utilities v. Pennsylvania Public Utility Commission</w:t>
      </w:r>
      <w:r w:rsidR="008518D7" w:rsidRPr="00273105">
        <w:rPr>
          <w:color w:val="000000"/>
          <w:sz w:val="26"/>
          <w:szCs w:val="26"/>
        </w:rPr>
        <w:t>, 878 A.2d 186, 192 (Pa. Cmwlth. 2005)</w:t>
      </w:r>
      <w:r w:rsidR="008518D7">
        <w:rPr>
          <w:color w:val="000000"/>
          <w:sz w:val="26"/>
          <w:szCs w:val="26"/>
        </w:rPr>
        <w:t>(</w:t>
      </w:r>
      <w:r w:rsidR="008518D7" w:rsidRPr="00D67400">
        <w:rPr>
          <w:i/>
          <w:color w:val="000000"/>
          <w:sz w:val="26"/>
          <w:szCs w:val="26"/>
        </w:rPr>
        <w:t>UGI Utilities</w:t>
      </w:r>
      <w:r w:rsidR="008518D7">
        <w:rPr>
          <w:color w:val="000000"/>
          <w:sz w:val="26"/>
          <w:szCs w:val="26"/>
        </w:rPr>
        <w:t>)</w:t>
      </w:r>
      <w:r w:rsidR="008518D7" w:rsidRPr="00273105">
        <w:rPr>
          <w:color w:val="000000"/>
          <w:sz w:val="26"/>
          <w:szCs w:val="26"/>
        </w:rPr>
        <w:t xml:space="preserve"> (the law provides for a ‘‘reasonably related’’ financial security requirement, not the worst case scenario as determined by the NGDC, which is contrary to the intentions of the statute to promote competition and choice in the natural gas industry).</w:t>
      </w:r>
    </w:p>
    <w:p w:rsidR="00CA6FF3" w:rsidRPr="00273105" w:rsidRDefault="00CA6FF3" w:rsidP="002043C9">
      <w:pPr>
        <w:spacing w:line="360" w:lineRule="auto"/>
        <w:ind w:firstLine="720"/>
        <w:rPr>
          <w:color w:val="000000"/>
          <w:sz w:val="26"/>
          <w:szCs w:val="26"/>
        </w:rPr>
      </w:pPr>
    </w:p>
    <w:p w:rsidR="005D2787" w:rsidRPr="00273105" w:rsidRDefault="00EB3667" w:rsidP="004A2B7D">
      <w:pPr>
        <w:spacing w:line="360" w:lineRule="auto"/>
        <w:ind w:firstLine="720"/>
        <w:rPr>
          <w:color w:val="000000"/>
          <w:sz w:val="26"/>
          <w:szCs w:val="26"/>
        </w:rPr>
      </w:pPr>
      <w:r>
        <w:rPr>
          <w:color w:val="000000"/>
          <w:sz w:val="26"/>
          <w:szCs w:val="26"/>
        </w:rPr>
        <w:t>H</w:t>
      </w:r>
      <w:r w:rsidR="006E5EF4">
        <w:rPr>
          <w:color w:val="000000"/>
          <w:sz w:val="26"/>
          <w:szCs w:val="26"/>
        </w:rPr>
        <w:t>owever</w:t>
      </w:r>
      <w:r w:rsidR="001A397B" w:rsidRPr="00273105">
        <w:rPr>
          <w:color w:val="000000"/>
          <w:sz w:val="26"/>
          <w:szCs w:val="26"/>
        </w:rPr>
        <w:t>, w</w:t>
      </w:r>
      <w:r w:rsidR="00C97A0B" w:rsidRPr="00273105">
        <w:rPr>
          <w:color w:val="000000"/>
          <w:sz w:val="26"/>
          <w:szCs w:val="26"/>
        </w:rPr>
        <w:t xml:space="preserve">hen </w:t>
      </w:r>
      <w:r w:rsidR="00007201" w:rsidRPr="00273105">
        <w:rPr>
          <w:color w:val="000000"/>
          <w:sz w:val="26"/>
          <w:szCs w:val="26"/>
        </w:rPr>
        <w:t>a NGS</w:t>
      </w:r>
      <w:r w:rsidR="00C97A0B" w:rsidRPr="00273105">
        <w:rPr>
          <w:color w:val="000000"/>
          <w:sz w:val="26"/>
          <w:szCs w:val="26"/>
        </w:rPr>
        <w:t xml:space="preserve"> </w:t>
      </w:r>
      <w:r w:rsidR="006E5EF4">
        <w:rPr>
          <w:color w:val="000000"/>
          <w:sz w:val="26"/>
          <w:szCs w:val="26"/>
        </w:rPr>
        <w:t xml:space="preserve">believes that the amount of security that it is being required to post to obtain a license is too high and it </w:t>
      </w:r>
      <w:r w:rsidR="00C97A0B" w:rsidRPr="00273105">
        <w:rPr>
          <w:color w:val="000000"/>
          <w:sz w:val="26"/>
          <w:szCs w:val="26"/>
        </w:rPr>
        <w:t>cannot come to an agreement with the NGDC</w:t>
      </w:r>
      <w:r w:rsidR="00744CCE" w:rsidRPr="00273105">
        <w:rPr>
          <w:color w:val="000000"/>
          <w:sz w:val="26"/>
          <w:szCs w:val="26"/>
        </w:rPr>
        <w:t xml:space="preserve"> regarding </w:t>
      </w:r>
      <w:r w:rsidR="006E5EF4">
        <w:rPr>
          <w:color w:val="000000"/>
          <w:sz w:val="26"/>
          <w:szCs w:val="26"/>
        </w:rPr>
        <w:t xml:space="preserve">an alternative </w:t>
      </w:r>
      <w:r w:rsidR="00744CCE" w:rsidRPr="00273105">
        <w:rPr>
          <w:color w:val="000000"/>
          <w:sz w:val="26"/>
          <w:szCs w:val="26"/>
        </w:rPr>
        <w:t>amount</w:t>
      </w:r>
      <w:r w:rsidR="00C97A0B" w:rsidRPr="00273105">
        <w:rPr>
          <w:color w:val="000000"/>
          <w:sz w:val="26"/>
          <w:szCs w:val="26"/>
        </w:rPr>
        <w:t>,</w:t>
      </w:r>
      <w:r w:rsidR="006C7CA3" w:rsidRPr="00273105">
        <w:rPr>
          <w:color w:val="000000"/>
          <w:sz w:val="26"/>
          <w:szCs w:val="26"/>
        </w:rPr>
        <w:t xml:space="preserve"> </w:t>
      </w:r>
      <w:r w:rsidR="00DB7110">
        <w:rPr>
          <w:color w:val="000000"/>
          <w:sz w:val="26"/>
          <w:szCs w:val="26"/>
        </w:rPr>
        <w:t xml:space="preserve">it </w:t>
      </w:r>
      <w:r w:rsidR="006C7CA3" w:rsidRPr="00273105">
        <w:rPr>
          <w:color w:val="000000"/>
          <w:sz w:val="26"/>
          <w:szCs w:val="26"/>
        </w:rPr>
        <w:t xml:space="preserve">may file a formal complaint against a </w:t>
      </w:r>
      <w:r w:rsidR="00C97A0B" w:rsidRPr="00273105">
        <w:rPr>
          <w:color w:val="000000"/>
          <w:sz w:val="26"/>
          <w:szCs w:val="26"/>
        </w:rPr>
        <w:t>NGDC</w:t>
      </w:r>
      <w:r w:rsidR="006C7CA3" w:rsidRPr="00273105">
        <w:rPr>
          <w:color w:val="000000"/>
          <w:sz w:val="26"/>
          <w:szCs w:val="26"/>
        </w:rPr>
        <w:t xml:space="preserve">.  The Commission has adjudicated complaints from suppliers against NGDCs </w:t>
      </w:r>
      <w:r w:rsidR="00EC14B8" w:rsidRPr="00273105">
        <w:rPr>
          <w:color w:val="000000"/>
          <w:sz w:val="26"/>
          <w:szCs w:val="26"/>
        </w:rPr>
        <w:t>alleging</w:t>
      </w:r>
      <w:r w:rsidR="006C7CA3" w:rsidRPr="00273105">
        <w:rPr>
          <w:color w:val="000000"/>
          <w:sz w:val="26"/>
          <w:szCs w:val="26"/>
        </w:rPr>
        <w:t xml:space="preserve"> high security amounts, and, based on the </w:t>
      </w:r>
      <w:r w:rsidR="00EC14B8" w:rsidRPr="00273105">
        <w:rPr>
          <w:color w:val="000000"/>
          <w:sz w:val="26"/>
          <w:szCs w:val="26"/>
        </w:rPr>
        <w:t>record</w:t>
      </w:r>
      <w:r w:rsidR="006C7CA3" w:rsidRPr="00273105">
        <w:rPr>
          <w:color w:val="000000"/>
          <w:sz w:val="26"/>
          <w:szCs w:val="26"/>
        </w:rPr>
        <w:t xml:space="preserve"> presented, has adjusted security when it was warranted. </w:t>
      </w:r>
      <w:r w:rsidR="00D67400" w:rsidRPr="00D67400">
        <w:rPr>
          <w:i/>
          <w:color w:val="000000"/>
          <w:sz w:val="26"/>
          <w:szCs w:val="26"/>
        </w:rPr>
        <w:t>See</w:t>
      </w:r>
      <w:r w:rsidR="00D67400">
        <w:rPr>
          <w:color w:val="000000"/>
          <w:sz w:val="26"/>
          <w:szCs w:val="26"/>
        </w:rPr>
        <w:t xml:space="preserve"> </w:t>
      </w:r>
      <w:r w:rsidR="00D67400" w:rsidRPr="00BB4FE9">
        <w:rPr>
          <w:i/>
          <w:color w:val="000000"/>
          <w:sz w:val="26"/>
          <w:szCs w:val="26"/>
        </w:rPr>
        <w:t>UGI Utilities</w:t>
      </w:r>
      <w:r w:rsidR="00D67400">
        <w:rPr>
          <w:color w:val="000000"/>
          <w:sz w:val="26"/>
          <w:szCs w:val="26"/>
        </w:rPr>
        <w:t>,</w:t>
      </w:r>
      <w:r w:rsidR="00D67400" w:rsidRPr="00D67400">
        <w:rPr>
          <w:i/>
          <w:color w:val="000000"/>
          <w:sz w:val="26"/>
          <w:szCs w:val="26"/>
        </w:rPr>
        <w:t xml:space="preserve"> supra.</w:t>
      </w:r>
      <w:r w:rsidR="006C7CA3" w:rsidRPr="00273105">
        <w:rPr>
          <w:color w:val="000000"/>
          <w:sz w:val="26"/>
          <w:szCs w:val="26"/>
        </w:rPr>
        <w:t xml:space="preserve">  Alternatively, a supplier </w:t>
      </w:r>
      <w:r w:rsidR="0074470A" w:rsidRPr="00273105">
        <w:rPr>
          <w:color w:val="000000"/>
          <w:sz w:val="26"/>
          <w:szCs w:val="26"/>
        </w:rPr>
        <w:t xml:space="preserve">may follow the </w:t>
      </w:r>
      <w:r w:rsidR="00492834" w:rsidRPr="00273105">
        <w:rPr>
          <w:color w:val="000000"/>
          <w:sz w:val="26"/>
          <w:szCs w:val="26"/>
        </w:rPr>
        <w:t>proce</w:t>
      </w:r>
      <w:r w:rsidR="00D616E5" w:rsidRPr="00273105">
        <w:rPr>
          <w:color w:val="000000"/>
          <w:sz w:val="26"/>
          <w:szCs w:val="26"/>
        </w:rPr>
        <w:t xml:space="preserve">dures </w:t>
      </w:r>
      <w:r w:rsidR="0074470A" w:rsidRPr="00273105">
        <w:rPr>
          <w:color w:val="000000"/>
          <w:sz w:val="26"/>
          <w:szCs w:val="26"/>
        </w:rPr>
        <w:t>to</w:t>
      </w:r>
      <w:r w:rsidR="00D616E5" w:rsidRPr="00273105">
        <w:rPr>
          <w:color w:val="000000"/>
          <w:sz w:val="26"/>
          <w:szCs w:val="26"/>
        </w:rPr>
        <w:t xml:space="preserve"> dispute a NGDC’s determination </w:t>
      </w:r>
      <w:r w:rsidR="00230A1C" w:rsidRPr="00273105">
        <w:rPr>
          <w:color w:val="000000"/>
          <w:sz w:val="26"/>
          <w:szCs w:val="26"/>
        </w:rPr>
        <w:t xml:space="preserve">of </w:t>
      </w:r>
      <w:r w:rsidR="003E716F">
        <w:rPr>
          <w:color w:val="000000"/>
          <w:sz w:val="26"/>
          <w:szCs w:val="26"/>
        </w:rPr>
        <w:t xml:space="preserve">the </w:t>
      </w:r>
      <w:r w:rsidR="00230A1C" w:rsidRPr="00273105">
        <w:rPr>
          <w:color w:val="000000"/>
          <w:sz w:val="26"/>
          <w:szCs w:val="26"/>
        </w:rPr>
        <w:t xml:space="preserve">security </w:t>
      </w:r>
      <w:r w:rsidR="00D616E5" w:rsidRPr="00273105">
        <w:rPr>
          <w:color w:val="000000"/>
          <w:sz w:val="26"/>
          <w:szCs w:val="26"/>
        </w:rPr>
        <w:t>amount</w:t>
      </w:r>
      <w:r w:rsidR="00230A1C" w:rsidRPr="00273105">
        <w:rPr>
          <w:color w:val="000000"/>
          <w:sz w:val="26"/>
          <w:szCs w:val="26"/>
        </w:rPr>
        <w:t xml:space="preserve"> </w:t>
      </w:r>
      <w:r w:rsidR="003E716F">
        <w:rPr>
          <w:color w:val="000000"/>
          <w:sz w:val="26"/>
          <w:szCs w:val="26"/>
        </w:rPr>
        <w:t>set forth in</w:t>
      </w:r>
      <w:r w:rsidR="00492834" w:rsidRPr="00273105">
        <w:rPr>
          <w:color w:val="000000"/>
          <w:sz w:val="26"/>
          <w:szCs w:val="26"/>
        </w:rPr>
        <w:t xml:space="preserve"> </w:t>
      </w:r>
      <w:r w:rsidR="00DE052D">
        <w:rPr>
          <w:color w:val="000000"/>
          <w:sz w:val="26"/>
          <w:szCs w:val="26"/>
        </w:rPr>
        <w:t>S</w:t>
      </w:r>
      <w:r w:rsidR="00492834" w:rsidRPr="00273105">
        <w:rPr>
          <w:color w:val="000000"/>
          <w:sz w:val="26"/>
          <w:szCs w:val="26"/>
        </w:rPr>
        <w:t>ection 62.111</w:t>
      </w:r>
      <w:r w:rsidR="008A39AF" w:rsidRPr="00273105">
        <w:rPr>
          <w:color w:val="000000"/>
          <w:sz w:val="26"/>
          <w:szCs w:val="26"/>
        </w:rPr>
        <w:t>(c)</w:t>
      </w:r>
      <w:r w:rsidR="004B5AF7" w:rsidRPr="00273105">
        <w:rPr>
          <w:color w:val="000000"/>
          <w:sz w:val="26"/>
          <w:szCs w:val="26"/>
        </w:rPr>
        <w:t xml:space="preserve"> </w:t>
      </w:r>
      <w:r w:rsidR="008A39AF" w:rsidRPr="00273105">
        <w:rPr>
          <w:color w:val="000000"/>
          <w:sz w:val="26"/>
          <w:szCs w:val="26"/>
        </w:rPr>
        <w:t>(8)</w:t>
      </w:r>
      <w:r w:rsidR="00744CCE" w:rsidRPr="00273105">
        <w:rPr>
          <w:color w:val="000000"/>
          <w:sz w:val="26"/>
          <w:szCs w:val="26"/>
        </w:rPr>
        <w:t xml:space="preserve">(i) and (ii) </w:t>
      </w:r>
      <w:r w:rsidR="003E716F">
        <w:rPr>
          <w:color w:val="000000"/>
          <w:sz w:val="26"/>
          <w:szCs w:val="26"/>
        </w:rPr>
        <w:t xml:space="preserve">that are </w:t>
      </w:r>
      <w:r w:rsidR="00744CCE" w:rsidRPr="00273105">
        <w:rPr>
          <w:color w:val="000000"/>
          <w:sz w:val="26"/>
          <w:szCs w:val="26"/>
        </w:rPr>
        <w:t>discussed below.</w:t>
      </w:r>
      <w:r w:rsidR="00230A1C" w:rsidRPr="00273105">
        <w:rPr>
          <w:color w:val="000000"/>
          <w:sz w:val="26"/>
          <w:szCs w:val="26"/>
        </w:rPr>
        <w:t xml:space="preserve"> </w:t>
      </w:r>
    </w:p>
    <w:p w:rsidR="00350944" w:rsidRPr="00273105" w:rsidRDefault="00350944" w:rsidP="00350944">
      <w:pPr>
        <w:spacing w:line="360" w:lineRule="auto"/>
        <w:ind w:firstLine="720"/>
        <w:rPr>
          <w:noProof/>
          <w:color w:val="000000"/>
          <w:sz w:val="26"/>
          <w:szCs w:val="26"/>
        </w:rPr>
      </w:pPr>
    </w:p>
    <w:p w:rsidR="0067483F" w:rsidRPr="00273105" w:rsidRDefault="000D29E2" w:rsidP="00863D73">
      <w:pPr>
        <w:spacing w:line="360" w:lineRule="auto"/>
        <w:rPr>
          <w:b/>
          <w:color w:val="000000"/>
          <w:sz w:val="26"/>
          <w:szCs w:val="26"/>
        </w:rPr>
      </w:pPr>
      <w:r w:rsidRPr="00273105">
        <w:rPr>
          <w:b/>
          <w:color w:val="000000"/>
          <w:sz w:val="26"/>
          <w:szCs w:val="26"/>
        </w:rPr>
        <w:t xml:space="preserve">Section </w:t>
      </w:r>
      <w:r w:rsidR="00527E46" w:rsidRPr="00273105">
        <w:rPr>
          <w:b/>
          <w:color w:val="000000"/>
          <w:sz w:val="26"/>
          <w:szCs w:val="26"/>
        </w:rPr>
        <w:t>62.111 (c)(1)</w:t>
      </w:r>
      <w:r w:rsidR="000A44AE" w:rsidRPr="00273105">
        <w:rPr>
          <w:b/>
          <w:color w:val="000000"/>
          <w:sz w:val="26"/>
          <w:szCs w:val="26"/>
        </w:rPr>
        <w:t>(ii)</w:t>
      </w:r>
      <w:r w:rsidR="00ED45A7" w:rsidRPr="00273105">
        <w:rPr>
          <w:b/>
          <w:color w:val="000000"/>
          <w:sz w:val="26"/>
          <w:szCs w:val="26"/>
        </w:rPr>
        <w:t xml:space="preserve"> - </w:t>
      </w:r>
      <w:r w:rsidR="00527E46" w:rsidRPr="00273105">
        <w:rPr>
          <w:b/>
          <w:color w:val="000000"/>
          <w:sz w:val="26"/>
          <w:szCs w:val="26"/>
        </w:rPr>
        <w:t>Adjustment of Security Amount</w:t>
      </w:r>
    </w:p>
    <w:p w:rsidR="000112E9" w:rsidRPr="00273105" w:rsidRDefault="000112E9" w:rsidP="00863D73">
      <w:pPr>
        <w:spacing w:line="360" w:lineRule="auto"/>
        <w:rPr>
          <w:b/>
          <w:color w:val="000000"/>
          <w:sz w:val="26"/>
          <w:szCs w:val="26"/>
        </w:rPr>
      </w:pPr>
    </w:p>
    <w:p w:rsidR="0067483F" w:rsidRPr="00273105" w:rsidRDefault="0067483F" w:rsidP="00770178">
      <w:pPr>
        <w:spacing w:line="360" w:lineRule="auto"/>
        <w:rPr>
          <w:color w:val="000000"/>
          <w:sz w:val="26"/>
          <w:szCs w:val="26"/>
        </w:rPr>
      </w:pPr>
      <w:r w:rsidRPr="00273105">
        <w:rPr>
          <w:color w:val="000000"/>
          <w:sz w:val="26"/>
          <w:szCs w:val="26"/>
        </w:rPr>
        <w:tab/>
      </w:r>
      <w:r w:rsidR="002B1BF7" w:rsidRPr="00273105">
        <w:rPr>
          <w:color w:val="000000"/>
          <w:sz w:val="26"/>
          <w:szCs w:val="26"/>
        </w:rPr>
        <w:t>Section 62.111(c)(1)(ii)</w:t>
      </w:r>
      <w:r w:rsidRPr="00273105">
        <w:rPr>
          <w:color w:val="000000"/>
          <w:sz w:val="26"/>
          <w:szCs w:val="26"/>
        </w:rPr>
        <w:t xml:space="preserve"> states that the amount of the security may be adjusted, but not more often than every six months, and the adjustments must be reasonable.  It then lists criteria upon which these adjustments must be based.  In response to suppliers’ complaints about the frequency of security level adjustments and the need for specific triggering events for creditworthiness reviews and security adjustments, we </w:t>
      </w:r>
      <w:r w:rsidR="00C5293F" w:rsidRPr="00273105">
        <w:rPr>
          <w:color w:val="000000"/>
          <w:sz w:val="26"/>
          <w:szCs w:val="26"/>
        </w:rPr>
        <w:t xml:space="preserve">proposed to </w:t>
      </w:r>
      <w:r w:rsidRPr="00273105">
        <w:rPr>
          <w:color w:val="000000"/>
          <w:sz w:val="26"/>
          <w:szCs w:val="26"/>
        </w:rPr>
        <w:t>revise the criteria to make them more stringent.  T</w:t>
      </w:r>
      <w:r w:rsidR="00702DBF" w:rsidRPr="00273105">
        <w:rPr>
          <w:color w:val="000000"/>
          <w:sz w:val="26"/>
          <w:szCs w:val="26"/>
        </w:rPr>
        <w:t xml:space="preserve">he </w:t>
      </w:r>
      <w:r w:rsidR="00EC068C" w:rsidRPr="00273105">
        <w:rPr>
          <w:color w:val="000000"/>
          <w:sz w:val="26"/>
          <w:szCs w:val="26"/>
        </w:rPr>
        <w:t xml:space="preserve">regulation was revised so that </w:t>
      </w:r>
      <w:r w:rsidRPr="00273105">
        <w:rPr>
          <w:color w:val="000000"/>
          <w:sz w:val="26"/>
          <w:szCs w:val="26"/>
        </w:rPr>
        <w:t xml:space="preserve">only changes in the NGS’s operation that would </w:t>
      </w:r>
      <w:r w:rsidRPr="00273105">
        <w:rPr>
          <w:i/>
          <w:color w:val="000000"/>
          <w:sz w:val="26"/>
          <w:szCs w:val="26"/>
        </w:rPr>
        <w:t>materially</w:t>
      </w:r>
      <w:r w:rsidRPr="00273105">
        <w:rPr>
          <w:color w:val="000000"/>
          <w:sz w:val="26"/>
          <w:szCs w:val="26"/>
        </w:rPr>
        <w:t xml:space="preserve"> affect the NGDC system operation </w:t>
      </w:r>
      <w:r w:rsidRPr="00273105">
        <w:rPr>
          <w:color w:val="000000"/>
          <w:sz w:val="26"/>
          <w:szCs w:val="26"/>
        </w:rPr>
        <w:lastRenderedPageBreak/>
        <w:t xml:space="preserve">or reliability or </w:t>
      </w:r>
      <w:r w:rsidR="00DB7110">
        <w:rPr>
          <w:color w:val="000000"/>
          <w:sz w:val="26"/>
          <w:szCs w:val="26"/>
        </w:rPr>
        <w:t xml:space="preserve">changes </w:t>
      </w:r>
      <w:r w:rsidRPr="00273105">
        <w:rPr>
          <w:color w:val="000000"/>
          <w:sz w:val="26"/>
          <w:szCs w:val="26"/>
        </w:rPr>
        <w:t xml:space="preserve">that would </w:t>
      </w:r>
      <w:r w:rsidRPr="00273105">
        <w:rPr>
          <w:i/>
          <w:color w:val="000000"/>
          <w:sz w:val="26"/>
          <w:szCs w:val="26"/>
        </w:rPr>
        <w:t>materially</w:t>
      </w:r>
      <w:r w:rsidRPr="00273105">
        <w:rPr>
          <w:color w:val="000000"/>
          <w:sz w:val="26"/>
          <w:szCs w:val="26"/>
        </w:rPr>
        <w:t xml:space="preserve"> affect the NGS’s creditworthiness c</w:t>
      </w:r>
      <w:r w:rsidR="00702DBF" w:rsidRPr="00273105">
        <w:rPr>
          <w:color w:val="000000"/>
          <w:sz w:val="26"/>
          <w:szCs w:val="26"/>
        </w:rPr>
        <w:t>ould</w:t>
      </w:r>
      <w:r w:rsidRPr="00273105">
        <w:rPr>
          <w:color w:val="000000"/>
          <w:sz w:val="26"/>
          <w:szCs w:val="26"/>
        </w:rPr>
        <w:t xml:space="preserve"> trigger a review and adjustment</w:t>
      </w:r>
      <w:r w:rsidR="00EC068C" w:rsidRPr="00273105">
        <w:rPr>
          <w:color w:val="000000"/>
          <w:sz w:val="26"/>
          <w:szCs w:val="26"/>
        </w:rPr>
        <w:t xml:space="preserve"> of security</w:t>
      </w:r>
      <w:r w:rsidRPr="00273105">
        <w:rPr>
          <w:color w:val="000000"/>
          <w:sz w:val="26"/>
          <w:szCs w:val="26"/>
        </w:rPr>
        <w:t xml:space="preserve">. </w:t>
      </w:r>
    </w:p>
    <w:p w:rsidR="00D54CD7" w:rsidRPr="00273105" w:rsidRDefault="00D54CD7" w:rsidP="00770178">
      <w:pPr>
        <w:spacing w:line="360" w:lineRule="auto"/>
        <w:rPr>
          <w:color w:val="000000"/>
          <w:sz w:val="26"/>
          <w:szCs w:val="26"/>
        </w:rPr>
      </w:pPr>
    </w:p>
    <w:p w:rsidR="00D54CD7" w:rsidRPr="00273105" w:rsidRDefault="00D54CD7" w:rsidP="00770178">
      <w:pPr>
        <w:spacing w:line="360" w:lineRule="auto"/>
        <w:rPr>
          <w:color w:val="000000"/>
          <w:sz w:val="26"/>
          <w:szCs w:val="26"/>
        </w:rPr>
      </w:pPr>
      <w:r w:rsidRPr="00273105">
        <w:rPr>
          <w:color w:val="000000"/>
          <w:sz w:val="26"/>
          <w:szCs w:val="26"/>
        </w:rPr>
        <w:tab/>
        <w:t xml:space="preserve">We have divided the comments filed to this section into two parts to facilitate their disposition.  </w:t>
      </w:r>
    </w:p>
    <w:p w:rsidR="004C0060" w:rsidRPr="00273105" w:rsidRDefault="004C0060" w:rsidP="00770178">
      <w:pPr>
        <w:spacing w:line="360" w:lineRule="auto"/>
        <w:rPr>
          <w:color w:val="000000"/>
          <w:sz w:val="26"/>
          <w:szCs w:val="26"/>
        </w:rPr>
      </w:pPr>
    </w:p>
    <w:p w:rsidR="004C0060" w:rsidRPr="00273105" w:rsidRDefault="004C0060" w:rsidP="004C0060">
      <w:pPr>
        <w:spacing w:line="360" w:lineRule="auto"/>
        <w:rPr>
          <w:b/>
          <w:color w:val="000000"/>
          <w:sz w:val="26"/>
          <w:szCs w:val="26"/>
        </w:rPr>
      </w:pPr>
      <w:r w:rsidRPr="00273105">
        <w:rPr>
          <w:b/>
          <w:color w:val="000000"/>
          <w:sz w:val="26"/>
          <w:szCs w:val="26"/>
        </w:rPr>
        <w:t>A.</w:t>
      </w:r>
      <w:r w:rsidRPr="00273105">
        <w:rPr>
          <w:b/>
          <w:color w:val="000000"/>
          <w:sz w:val="26"/>
          <w:szCs w:val="26"/>
        </w:rPr>
        <w:tab/>
      </w:r>
      <w:r w:rsidR="00B5702C">
        <w:rPr>
          <w:b/>
          <w:color w:val="000000"/>
          <w:sz w:val="26"/>
          <w:szCs w:val="26"/>
        </w:rPr>
        <w:t>Six</w:t>
      </w:r>
      <w:r w:rsidR="00D54CD7" w:rsidRPr="00273105">
        <w:rPr>
          <w:b/>
          <w:color w:val="000000"/>
          <w:sz w:val="26"/>
          <w:szCs w:val="26"/>
        </w:rPr>
        <w:t xml:space="preserve"> Month </w:t>
      </w:r>
      <w:r w:rsidRPr="00273105">
        <w:rPr>
          <w:b/>
          <w:color w:val="000000"/>
          <w:sz w:val="26"/>
          <w:szCs w:val="26"/>
        </w:rPr>
        <w:t>Time Restriction</w:t>
      </w:r>
    </w:p>
    <w:p w:rsidR="00ED45A7" w:rsidRPr="00273105" w:rsidRDefault="00ED45A7" w:rsidP="00ED45A7">
      <w:pPr>
        <w:spacing w:line="360" w:lineRule="auto"/>
        <w:rPr>
          <w:b/>
          <w:i/>
          <w:color w:val="000000"/>
          <w:sz w:val="26"/>
          <w:szCs w:val="26"/>
        </w:rPr>
      </w:pPr>
    </w:p>
    <w:p w:rsidR="0081773F" w:rsidRPr="00273105" w:rsidRDefault="00702CBF" w:rsidP="00702CBF">
      <w:pPr>
        <w:spacing w:line="360" w:lineRule="auto"/>
        <w:ind w:firstLine="720"/>
        <w:rPr>
          <w:noProof/>
          <w:color w:val="000000"/>
          <w:sz w:val="26"/>
          <w:szCs w:val="26"/>
        </w:rPr>
      </w:pPr>
      <w:r w:rsidRPr="00273105">
        <w:rPr>
          <w:noProof/>
          <w:color w:val="000000"/>
          <w:sz w:val="26"/>
          <w:szCs w:val="26"/>
        </w:rPr>
        <w:t xml:space="preserve">EAPA and NFG propose eliminating the six months limit on adjusting security and recommends reliance on reasonableness of the requirement to protect against rapid and random changes in security.  </w:t>
      </w:r>
      <w:r w:rsidR="0016145E" w:rsidRPr="00273105">
        <w:rPr>
          <w:noProof/>
          <w:color w:val="000000"/>
          <w:sz w:val="26"/>
          <w:szCs w:val="26"/>
        </w:rPr>
        <w:t>The argument is that a</w:t>
      </w:r>
      <w:r w:rsidRPr="00273105">
        <w:rPr>
          <w:noProof/>
          <w:color w:val="000000"/>
          <w:sz w:val="26"/>
          <w:szCs w:val="26"/>
        </w:rPr>
        <w:t>llowing changes more frequently than every 6 months will permit the NGS to maintain different security levels in the winter and the summer because the NGDC will no longer fear being locked into a security amount in the event of a change in circumstances.  This would not be a burden to the NGSs and would provide greater flexibility for both parties.  As an alternative, NFG suggests a limit or freeze on NGS customer enrollments.</w:t>
      </w:r>
      <w:r w:rsidR="006A6466">
        <w:rPr>
          <w:noProof/>
          <w:color w:val="000000"/>
          <w:sz w:val="26"/>
          <w:szCs w:val="26"/>
        </w:rPr>
        <w:t xml:space="preserve"> </w:t>
      </w:r>
      <w:r w:rsidR="006A6466" w:rsidRPr="006A6466">
        <w:rPr>
          <w:i/>
          <w:noProof/>
          <w:color w:val="000000"/>
          <w:sz w:val="26"/>
          <w:szCs w:val="26"/>
        </w:rPr>
        <w:t>EAPA Comments</w:t>
      </w:r>
      <w:r w:rsidR="006A6466">
        <w:rPr>
          <w:noProof/>
          <w:color w:val="000000"/>
          <w:sz w:val="26"/>
          <w:szCs w:val="26"/>
        </w:rPr>
        <w:t>, p. 3;</w:t>
      </w:r>
      <w:r w:rsidRPr="00273105">
        <w:rPr>
          <w:noProof/>
          <w:color w:val="000000"/>
          <w:sz w:val="26"/>
          <w:szCs w:val="26"/>
        </w:rPr>
        <w:t xml:space="preserve"> </w:t>
      </w:r>
      <w:r w:rsidRPr="00273105">
        <w:rPr>
          <w:i/>
          <w:noProof/>
          <w:color w:val="000000"/>
          <w:sz w:val="26"/>
          <w:szCs w:val="26"/>
        </w:rPr>
        <w:t>NFG Comments</w:t>
      </w:r>
      <w:r w:rsidRPr="00273105">
        <w:rPr>
          <w:noProof/>
          <w:color w:val="000000"/>
          <w:sz w:val="26"/>
          <w:szCs w:val="26"/>
        </w:rPr>
        <w:t xml:space="preserve">, p. 5.  </w:t>
      </w:r>
    </w:p>
    <w:p w:rsidR="000407F0" w:rsidRPr="00273105" w:rsidRDefault="000407F0" w:rsidP="00702CBF">
      <w:pPr>
        <w:spacing w:line="360" w:lineRule="auto"/>
        <w:ind w:firstLine="720"/>
        <w:rPr>
          <w:noProof/>
          <w:color w:val="000000"/>
          <w:sz w:val="26"/>
          <w:szCs w:val="26"/>
        </w:rPr>
      </w:pPr>
    </w:p>
    <w:p w:rsidR="004B5AF7" w:rsidRPr="00273105" w:rsidRDefault="00851FA8" w:rsidP="00851FA8">
      <w:pPr>
        <w:spacing w:line="360" w:lineRule="auto"/>
        <w:rPr>
          <w:b/>
          <w:i/>
          <w:noProof/>
          <w:color w:val="000000"/>
          <w:sz w:val="26"/>
          <w:szCs w:val="26"/>
        </w:rPr>
      </w:pPr>
      <w:r w:rsidRPr="00273105">
        <w:rPr>
          <w:b/>
          <w:i/>
          <w:noProof/>
          <w:color w:val="000000"/>
          <w:sz w:val="26"/>
          <w:szCs w:val="26"/>
        </w:rPr>
        <w:t>Resolution</w:t>
      </w:r>
    </w:p>
    <w:p w:rsidR="00851FA8" w:rsidRPr="00273105" w:rsidRDefault="00851FA8" w:rsidP="00851FA8">
      <w:pPr>
        <w:spacing w:line="360" w:lineRule="auto"/>
        <w:ind w:firstLine="720"/>
        <w:rPr>
          <w:noProof/>
          <w:color w:val="000000"/>
          <w:sz w:val="26"/>
          <w:szCs w:val="26"/>
        </w:rPr>
      </w:pPr>
      <w:r w:rsidRPr="00273105">
        <w:rPr>
          <w:noProof/>
          <w:color w:val="000000"/>
          <w:sz w:val="26"/>
          <w:szCs w:val="26"/>
        </w:rPr>
        <w:t>The Commission understands the utility of eliminating the six months restriction on adjusting security a</w:t>
      </w:r>
      <w:r w:rsidR="00DE052D">
        <w:rPr>
          <w:noProof/>
          <w:color w:val="000000"/>
          <w:sz w:val="26"/>
          <w:szCs w:val="26"/>
        </w:rPr>
        <w:t>mounts and will delete it from S</w:t>
      </w:r>
      <w:r w:rsidRPr="00273105">
        <w:rPr>
          <w:noProof/>
          <w:color w:val="000000"/>
          <w:sz w:val="26"/>
          <w:szCs w:val="26"/>
        </w:rPr>
        <w:t>ection 62.111(c)(1)(ii). We believe that elimination of this restriction will allow the NGDC to establish seasonable levels of security for NGSs operating on its system.</w:t>
      </w:r>
      <w:r w:rsidR="006D346E" w:rsidRPr="006D346E">
        <w:rPr>
          <w:noProof/>
          <w:color w:val="000000"/>
          <w:sz w:val="26"/>
          <w:szCs w:val="26"/>
        </w:rPr>
        <w:t xml:space="preserve"> </w:t>
      </w:r>
      <w:r w:rsidR="006D346E">
        <w:rPr>
          <w:noProof/>
          <w:color w:val="000000"/>
          <w:sz w:val="26"/>
          <w:szCs w:val="26"/>
        </w:rPr>
        <w:t xml:space="preserve">We will substitute the phrase “as circumstances warrant” for the deleted language.  </w:t>
      </w:r>
    </w:p>
    <w:p w:rsidR="00851FA8" w:rsidRDefault="00851FA8" w:rsidP="00851FA8">
      <w:pPr>
        <w:spacing w:line="360" w:lineRule="auto"/>
        <w:ind w:firstLine="720"/>
        <w:rPr>
          <w:noProof/>
          <w:color w:val="000000"/>
          <w:sz w:val="26"/>
          <w:szCs w:val="26"/>
        </w:rPr>
      </w:pPr>
    </w:p>
    <w:p w:rsidR="008F1C10" w:rsidRDefault="008F1C10" w:rsidP="00851FA8">
      <w:pPr>
        <w:spacing w:line="360" w:lineRule="auto"/>
        <w:ind w:firstLine="720"/>
        <w:rPr>
          <w:noProof/>
          <w:color w:val="000000"/>
          <w:sz w:val="26"/>
          <w:szCs w:val="26"/>
        </w:rPr>
      </w:pPr>
    </w:p>
    <w:p w:rsidR="00B84794" w:rsidRPr="00273105" w:rsidRDefault="00B84794" w:rsidP="00851FA8">
      <w:pPr>
        <w:spacing w:line="360" w:lineRule="auto"/>
        <w:ind w:firstLine="720"/>
        <w:rPr>
          <w:noProof/>
          <w:color w:val="000000"/>
          <w:sz w:val="26"/>
          <w:szCs w:val="26"/>
        </w:rPr>
      </w:pPr>
    </w:p>
    <w:p w:rsidR="00851FA8" w:rsidRPr="00273105" w:rsidRDefault="0040424D" w:rsidP="006B67F5">
      <w:pPr>
        <w:ind w:left="720" w:hanging="720"/>
        <w:rPr>
          <w:b/>
          <w:noProof/>
          <w:color w:val="000000"/>
          <w:sz w:val="26"/>
          <w:szCs w:val="26"/>
        </w:rPr>
      </w:pPr>
      <w:r w:rsidRPr="00273105">
        <w:rPr>
          <w:b/>
          <w:noProof/>
          <w:color w:val="000000"/>
          <w:sz w:val="26"/>
          <w:szCs w:val="26"/>
        </w:rPr>
        <w:lastRenderedPageBreak/>
        <w:t>B.</w:t>
      </w:r>
      <w:r w:rsidRPr="00273105">
        <w:rPr>
          <w:b/>
          <w:noProof/>
          <w:color w:val="000000"/>
          <w:sz w:val="26"/>
          <w:szCs w:val="26"/>
        </w:rPr>
        <w:tab/>
        <w:t>Triggering Events for Adjustment</w:t>
      </w:r>
      <w:r w:rsidR="006B67F5" w:rsidRPr="00273105">
        <w:rPr>
          <w:b/>
          <w:noProof/>
          <w:color w:val="000000"/>
          <w:sz w:val="26"/>
          <w:szCs w:val="26"/>
        </w:rPr>
        <w:t xml:space="preserve"> in Security Amount; Adjustments in Advance of Possible Default</w:t>
      </w:r>
      <w:r w:rsidR="005E49EC" w:rsidRPr="00273105">
        <w:rPr>
          <w:b/>
          <w:noProof/>
          <w:color w:val="000000"/>
          <w:sz w:val="26"/>
          <w:szCs w:val="26"/>
        </w:rPr>
        <w:t>; Need to Define Modifiers “Significant” and “Materially” for Clarity</w:t>
      </w:r>
    </w:p>
    <w:p w:rsidR="0040424D" w:rsidRPr="00273105" w:rsidRDefault="0040424D" w:rsidP="00851FA8">
      <w:pPr>
        <w:spacing w:line="360" w:lineRule="auto"/>
        <w:rPr>
          <w:noProof/>
          <w:color w:val="000000"/>
          <w:sz w:val="26"/>
          <w:szCs w:val="26"/>
        </w:rPr>
      </w:pPr>
    </w:p>
    <w:p w:rsidR="00F61FAD" w:rsidRPr="00273105" w:rsidRDefault="0081773F" w:rsidP="00702CBF">
      <w:pPr>
        <w:spacing w:line="360" w:lineRule="auto"/>
        <w:ind w:firstLine="720"/>
        <w:rPr>
          <w:color w:val="000000"/>
          <w:sz w:val="26"/>
          <w:szCs w:val="26"/>
        </w:rPr>
      </w:pPr>
      <w:r w:rsidRPr="00273105">
        <w:rPr>
          <w:color w:val="000000"/>
          <w:sz w:val="26"/>
          <w:szCs w:val="26"/>
        </w:rPr>
        <w:t xml:space="preserve">The EAPA offers revisions </w:t>
      </w:r>
      <w:r w:rsidR="004B5AF7" w:rsidRPr="00273105">
        <w:rPr>
          <w:color w:val="000000"/>
          <w:sz w:val="26"/>
          <w:szCs w:val="26"/>
        </w:rPr>
        <w:t xml:space="preserve">to the proposed regulation </w:t>
      </w:r>
      <w:r w:rsidRPr="00273105">
        <w:rPr>
          <w:color w:val="000000"/>
          <w:sz w:val="26"/>
          <w:szCs w:val="26"/>
        </w:rPr>
        <w:t xml:space="preserve">to achieve two purposes: </w:t>
      </w:r>
      <w:r w:rsidR="004B5AF7" w:rsidRPr="00273105">
        <w:rPr>
          <w:color w:val="000000"/>
          <w:sz w:val="26"/>
          <w:szCs w:val="26"/>
        </w:rPr>
        <w:t xml:space="preserve">(1) </w:t>
      </w:r>
      <w:r w:rsidRPr="00273105">
        <w:rPr>
          <w:color w:val="000000"/>
          <w:sz w:val="26"/>
          <w:szCs w:val="26"/>
        </w:rPr>
        <w:t xml:space="preserve">to ensure that security is provided in advance of </w:t>
      </w:r>
      <w:r w:rsidR="00431B8F">
        <w:rPr>
          <w:color w:val="000000"/>
          <w:sz w:val="26"/>
          <w:szCs w:val="26"/>
        </w:rPr>
        <w:t xml:space="preserve">supplier default that it </w:t>
      </w:r>
      <w:r w:rsidRPr="00273105">
        <w:rPr>
          <w:color w:val="000000"/>
          <w:sz w:val="26"/>
          <w:szCs w:val="26"/>
        </w:rPr>
        <w:t xml:space="preserve">is sufficient to cover the </w:t>
      </w:r>
      <w:r w:rsidR="00431B8F">
        <w:rPr>
          <w:color w:val="000000"/>
          <w:sz w:val="26"/>
          <w:szCs w:val="26"/>
        </w:rPr>
        <w:t xml:space="preserve">financial </w:t>
      </w:r>
      <w:r w:rsidRPr="00273105">
        <w:rPr>
          <w:color w:val="000000"/>
          <w:sz w:val="26"/>
          <w:szCs w:val="26"/>
        </w:rPr>
        <w:t>risk</w:t>
      </w:r>
      <w:r w:rsidR="00431B8F">
        <w:rPr>
          <w:color w:val="000000"/>
          <w:sz w:val="26"/>
          <w:szCs w:val="26"/>
        </w:rPr>
        <w:t xml:space="preserve"> to the NGDC</w:t>
      </w:r>
      <w:r w:rsidRPr="00273105">
        <w:rPr>
          <w:color w:val="000000"/>
          <w:sz w:val="26"/>
          <w:szCs w:val="26"/>
        </w:rPr>
        <w:t xml:space="preserve">; and </w:t>
      </w:r>
      <w:r w:rsidR="004B5AF7" w:rsidRPr="00273105">
        <w:rPr>
          <w:color w:val="000000"/>
          <w:sz w:val="26"/>
          <w:szCs w:val="26"/>
        </w:rPr>
        <w:t xml:space="preserve">(2) </w:t>
      </w:r>
      <w:r w:rsidRPr="00273105">
        <w:rPr>
          <w:color w:val="000000"/>
          <w:sz w:val="26"/>
          <w:szCs w:val="26"/>
        </w:rPr>
        <w:t xml:space="preserve">to allow for adjustment </w:t>
      </w:r>
      <w:r w:rsidR="00431B8F">
        <w:rPr>
          <w:color w:val="000000"/>
          <w:sz w:val="26"/>
          <w:szCs w:val="26"/>
        </w:rPr>
        <w:t xml:space="preserve">of the security amount </w:t>
      </w:r>
      <w:r w:rsidRPr="00273105">
        <w:rPr>
          <w:color w:val="000000"/>
          <w:sz w:val="26"/>
          <w:szCs w:val="26"/>
        </w:rPr>
        <w:t xml:space="preserve">when there is a significant increase in customer number, change in class of customer </w:t>
      </w:r>
      <w:r w:rsidR="00431B8F">
        <w:rPr>
          <w:color w:val="000000"/>
          <w:sz w:val="26"/>
          <w:szCs w:val="26"/>
        </w:rPr>
        <w:t xml:space="preserve">served </w:t>
      </w:r>
      <w:r w:rsidRPr="00273105">
        <w:rPr>
          <w:color w:val="000000"/>
          <w:sz w:val="26"/>
          <w:szCs w:val="26"/>
        </w:rPr>
        <w:t>or significant change in the volume of gas supplied by the NGS.</w:t>
      </w:r>
    </w:p>
    <w:p w:rsidR="00F61FAD" w:rsidRPr="00273105" w:rsidRDefault="00F61FAD" w:rsidP="00702CBF">
      <w:pPr>
        <w:spacing w:line="360" w:lineRule="auto"/>
        <w:ind w:firstLine="720"/>
        <w:rPr>
          <w:color w:val="000000"/>
          <w:sz w:val="26"/>
          <w:szCs w:val="26"/>
        </w:rPr>
      </w:pPr>
    </w:p>
    <w:p w:rsidR="00AA6225" w:rsidRPr="00273105" w:rsidRDefault="00F61FAD" w:rsidP="00955E3B">
      <w:pPr>
        <w:spacing w:line="360" w:lineRule="auto"/>
        <w:ind w:firstLine="720"/>
        <w:rPr>
          <w:noProof/>
          <w:color w:val="000000"/>
          <w:sz w:val="26"/>
          <w:szCs w:val="26"/>
        </w:rPr>
      </w:pPr>
      <w:r w:rsidRPr="00273105">
        <w:rPr>
          <w:noProof/>
          <w:color w:val="000000"/>
          <w:sz w:val="26"/>
          <w:szCs w:val="26"/>
        </w:rPr>
        <w:t xml:space="preserve">PGW states that security levels should be adjusted when there is a significant change in volume of gas provided by the supplier.  This </w:t>
      </w:r>
      <w:r w:rsidR="007F4828" w:rsidRPr="00273105">
        <w:rPr>
          <w:noProof/>
          <w:color w:val="000000"/>
          <w:sz w:val="26"/>
          <w:szCs w:val="26"/>
        </w:rPr>
        <w:t xml:space="preserve">change in volume </w:t>
      </w:r>
      <w:r w:rsidRPr="00273105">
        <w:rPr>
          <w:noProof/>
          <w:color w:val="000000"/>
          <w:sz w:val="26"/>
          <w:szCs w:val="26"/>
        </w:rPr>
        <w:t xml:space="preserve">would be independent of an increase in the number of customers since a current commercial or industrial customer could significantly increase its purchase of gas </w:t>
      </w:r>
      <w:r w:rsidR="007F4828" w:rsidRPr="00273105">
        <w:rPr>
          <w:noProof/>
          <w:color w:val="000000"/>
          <w:sz w:val="26"/>
          <w:szCs w:val="26"/>
        </w:rPr>
        <w:t xml:space="preserve">from a supplier </w:t>
      </w:r>
      <w:r w:rsidRPr="00273105">
        <w:rPr>
          <w:noProof/>
          <w:color w:val="000000"/>
          <w:sz w:val="26"/>
          <w:szCs w:val="26"/>
        </w:rPr>
        <w:t xml:space="preserve">and thus significantly increase the financial exposure of PGW and its customers.  PGW and Equitable suggest that a 10% increase in volume would represent a significant increase in volume that would justify an adjustment in </w:t>
      </w:r>
      <w:r w:rsidR="007F4828" w:rsidRPr="00273105">
        <w:rPr>
          <w:noProof/>
          <w:color w:val="000000"/>
          <w:sz w:val="26"/>
          <w:szCs w:val="26"/>
        </w:rPr>
        <w:t xml:space="preserve">the </w:t>
      </w:r>
      <w:r w:rsidRPr="00273105">
        <w:rPr>
          <w:noProof/>
          <w:color w:val="000000"/>
          <w:sz w:val="26"/>
          <w:szCs w:val="26"/>
        </w:rPr>
        <w:t xml:space="preserve">amount of security.  NFG and Equitable agree that an increase in gas volume may be more important than an increase in the number of customers.  </w:t>
      </w:r>
      <w:r w:rsidR="00B427D9" w:rsidRPr="00273105">
        <w:rPr>
          <w:noProof/>
          <w:color w:val="000000"/>
          <w:sz w:val="26"/>
          <w:szCs w:val="26"/>
        </w:rPr>
        <w:t xml:space="preserve">NFG also suggests that the </w:t>
      </w:r>
      <w:r w:rsidR="00B427D9" w:rsidRPr="00273105">
        <w:rPr>
          <w:color w:val="000000"/>
          <w:sz w:val="26"/>
          <w:szCs w:val="26"/>
        </w:rPr>
        <w:t xml:space="preserve">Commission should evaluate a means of tying the ability to adjust security requirements to commodity prices. </w:t>
      </w:r>
      <w:r w:rsidR="00FE25DD" w:rsidRPr="00FE25DD">
        <w:rPr>
          <w:i/>
          <w:color w:val="000000"/>
          <w:sz w:val="26"/>
          <w:szCs w:val="26"/>
        </w:rPr>
        <w:t>Equitable</w:t>
      </w:r>
      <w:r w:rsidR="00D75066">
        <w:rPr>
          <w:color w:val="000000"/>
          <w:sz w:val="26"/>
          <w:szCs w:val="26"/>
        </w:rPr>
        <w:t xml:space="preserve"> </w:t>
      </w:r>
      <w:r w:rsidR="00FE25DD" w:rsidRPr="00FE25DD">
        <w:rPr>
          <w:i/>
          <w:color w:val="000000"/>
          <w:sz w:val="26"/>
          <w:szCs w:val="26"/>
        </w:rPr>
        <w:t>Comments,</w:t>
      </w:r>
      <w:r w:rsidR="00D75066">
        <w:rPr>
          <w:color w:val="000000"/>
          <w:sz w:val="26"/>
          <w:szCs w:val="26"/>
        </w:rPr>
        <w:t xml:space="preserve"> Appendix A, p. 1; </w:t>
      </w:r>
      <w:r w:rsidR="00B427D9" w:rsidRPr="00273105">
        <w:rPr>
          <w:i/>
          <w:color w:val="000000"/>
          <w:sz w:val="26"/>
          <w:szCs w:val="26"/>
        </w:rPr>
        <w:t>NFG Comments</w:t>
      </w:r>
      <w:r w:rsidR="00B427D9" w:rsidRPr="00273105">
        <w:rPr>
          <w:color w:val="000000"/>
          <w:sz w:val="26"/>
          <w:szCs w:val="26"/>
        </w:rPr>
        <w:t>, p. 3</w:t>
      </w:r>
      <w:r w:rsidR="00D75066">
        <w:rPr>
          <w:color w:val="000000"/>
          <w:sz w:val="26"/>
          <w:szCs w:val="26"/>
        </w:rPr>
        <w:t>.</w:t>
      </w:r>
      <w:r w:rsidR="00EE3FFE" w:rsidRPr="00EE3FFE">
        <w:rPr>
          <w:color w:val="000000"/>
          <w:sz w:val="26"/>
          <w:szCs w:val="26"/>
        </w:rPr>
        <w:t xml:space="preserve"> </w:t>
      </w:r>
      <w:r w:rsidR="00EE3FFE">
        <w:rPr>
          <w:color w:val="000000"/>
          <w:sz w:val="26"/>
          <w:szCs w:val="26"/>
        </w:rPr>
        <w:t xml:space="preserve"> PECO supports a threshold of a 25% increase in the projected </w:t>
      </w:r>
      <w:r w:rsidR="00A16C0C">
        <w:rPr>
          <w:color w:val="000000"/>
          <w:sz w:val="26"/>
          <w:szCs w:val="26"/>
        </w:rPr>
        <w:t xml:space="preserve">quantity of natural gas that suppliers deliver or an increase in the projected volume of gas consumed to trigger an increase in security requirements.  </w:t>
      </w:r>
      <w:r w:rsidR="00A16C0C" w:rsidRPr="00A16C0C">
        <w:rPr>
          <w:i/>
          <w:color w:val="000000"/>
          <w:sz w:val="26"/>
          <w:szCs w:val="26"/>
        </w:rPr>
        <w:t>PECO Comments</w:t>
      </w:r>
      <w:r w:rsidR="00A16C0C">
        <w:rPr>
          <w:color w:val="000000"/>
          <w:sz w:val="26"/>
          <w:szCs w:val="26"/>
        </w:rPr>
        <w:t>, pp. 2-3.</w:t>
      </w:r>
      <w:r w:rsidR="00EE3FFE">
        <w:rPr>
          <w:color w:val="000000"/>
          <w:sz w:val="26"/>
          <w:szCs w:val="26"/>
        </w:rPr>
        <w:t xml:space="preserve"> </w:t>
      </w:r>
    </w:p>
    <w:p w:rsidR="00AA6225" w:rsidRPr="00273105" w:rsidRDefault="00AA6225" w:rsidP="00F61FAD">
      <w:pPr>
        <w:spacing w:line="360" w:lineRule="auto"/>
        <w:rPr>
          <w:noProof/>
          <w:color w:val="000000"/>
          <w:sz w:val="26"/>
          <w:szCs w:val="26"/>
        </w:rPr>
      </w:pPr>
    </w:p>
    <w:p w:rsidR="00AA6225" w:rsidRPr="00273105" w:rsidRDefault="00AA6225" w:rsidP="00AA6225">
      <w:pPr>
        <w:spacing w:line="360" w:lineRule="auto"/>
        <w:ind w:firstLine="720"/>
        <w:rPr>
          <w:color w:val="000000"/>
          <w:sz w:val="26"/>
          <w:szCs w:val="26"/>
        </w:rPr>
      </w:pPr>
      <w:r w:rsidRPr="00273105">
        <w:rPr>
          <w:color w:val="000000"/>
          <w:sz w:val="26"/>
          <w:szCs w:val="26"/>
        </w:rPr>
        <w:t xml:space="preserve">The EAPA states </w:t>
      </w:r>
      <w:r w:rsidR="008C31D0">
        <w:rPr>
          <w:color w:val="000000"/>
          <w:sz w:val="26"/>
          <w:szCs w:val="26"/>
        </w:rPr>
        <w:t xml:space="preserve">that the </w:t>
      </w:r>
      <w:r w:rsidR="00431B8F">
        <w:rPr>
          <w:color w:val="000000"/>
          <w:sz w:val="26"/>
          <w:szCs w:val="26"/>
        </w:rPr>
        <w:t xml:space="preserve">“25% </w:t>
      </w:r>
      <w:r w:rsidR="008C31D0">
        <w:rPr>
          <w:color w:val="000000"/>
          <w:sz w:val="26"/>
          <w:szCs w:val="26"/>
        </w:rPr>
        <w:t xml:space="preserve">change in customers” </w:t>
      </w:r>
      <w:r w:rsidRPr="00273105">
        <w:rPr>
          <w:color w:val="000000"/>
          <w:sz w:val="26"/>
          <w:szCs w:val="26"/>
        </w:rPr>
        <w:t>trigger for adjustment of security amount is arbitrary and does not consider a change in the volume of natural gas supplied. If the parties cannot agree on the meaning of the term “significant</w:t>
      </w:r>
      <w:r w:rsidR="00955E3B" w:rsidRPr="00273105">
        <w:rPr>
          <w:color w:val="000000"/>
          <w:sz w:val="26"/>
          <w:szCs w:val="26"/>
        </w:rPr>
        <w:t>,</w:t>
      </w:r>
      <w:r w:rsidRPr="00273105">
        <w:rPr>
          <w:color w:val="000000"/>
          <w:sz w:val="26"/>
          <w:szCs w:val="26"/>
        </w:rPr>
        <w:t xml:space="preserve">” the </w:t>
      </w:r>
      <w:r w:rsidR="00DE052D">
        <w:rPr>
          <w:color w:val="000000"/>
          <w:sz w:val="26"/>
          <w:szCs w:val="26"/>
        </w:rPr>
        <w:t>proposed S</w:t>
      </w:r>
      <w:r w:rsidR="00955E3B" w:rsidRPr="00273105">
        <w:rPr>
          <w:color w:val="000000"/>
          <w:sz w:val="26"/>
          <w:szCs w:val="26"/>
        </w:rPr>
        <w:t xml:space="preserve">ection 62.111(c)(6) </w:t>
      </w:r>
      <w:r w:rsidRPr="00273105">
        <w:rPr>
          <w:color w:val="000000"/>
          <w:sz w:val="26"/>
          <w:szCs w:val="26"/>
        </w:rPr>
        <w:t>provide</w:t>
      </w:r>
      <w:r w:rsidR="00D17EC4">
        <w:rPr>
          <w:color w:val="000000"/>
          <w:sz w:val="26"/>
          <w:szCs w:val="26"/>
        </w:rPr>
        <w:t>s</w:t>
      </w:r>
      <w:r w:rsidRPr="00273105">
        <w:rPr>
          <w:color w:val="000000"/>
          <w:sz w:val="26"/>
          <w:szCs w:val="26"/>
        </w:rPr>
        <w:t xml:space="preserve"> a means to resolve the dispute.  Thus, </w:t>
      </w:r>
      <w:r w:rsidRPr="00273105">
        <w:rPr>
          <w:color w:val="000000"/>
          <w:sz w:val="26"/>
          <w:szCs w:val="26"/>
        </w:rPr>
        <w:lastRenderedPageBreak/>
        <w:t xml:space="preserve">prescriptive triggers can be avoided and the final sentence of the proposed regulation at §62.111(c)(i)(ii)(C) can be deleted. </w:t>
      </w:r>
      <w:r w:rsidRPr="00273105">
        <w:rPr>
          <w:i/>
          <w:color w:val="000000"/>
          <w:sz w:val="26"/>
          <w:szCs w:val="26"/>
        </w:rPr>
        <w:t>EAPA Comments</w:t>
      </w:r>
      <w:r w:rsidRPr="00273105">
        <w:rPr>
          <w:color w:val="000000"/>
          <w:sz w:val="26"/>
          <w:szCs w:val="26"/>
        </w:rPr>
        <w:t>, p. 3</w:t>
      </w:r>
      <w:r w:rsidR="00B741B4">
        <w:rPr>
          <w:color w:val="000000"/>
          <w:sz w:val="26"/>
          <w:szCs w:val="26"/>
        </w:rPr>
        <w:t>.</w:t>
      </w:r>
      <w:r w:rsidR="00EE3FFE">
        <w:rPr>
          <w:color w:val="000000"/>
          <w:sz w:val="26"/>
          <w:szCs w:val="26"/>
        </w:rPr>
        <w:t xml:space="preserve"> </w:t>
      </w:r>
    </w:p>
    <w:p w:rsidR="00D07CA8" w:rsidRPr="00273105" w:rsidRDefault="00D07CA8" w:rsidP="00AA6225">
      <w:pPr>
        <w:spacing w:line="360" w:lineRule="auto"/>
        <w:ind w:firstLine="720"/>
        <w:rPr>
          <w:color w:val="000000"/>
          <w:sz w:val="26"/>
          <w:szCs w:val="26"/>
        </w:rPr>
      </w:pPr>
    </w:p>
    <w:p w:rsidR="00F61FAD" w:rsidRPr="00273105" w:rsidRDefault="00FA0750" w:rsidP="00AA6225">
      <w:pPr>
        <w:spacing w:line="360" w:lineRule="auto"/>
        <w:ind w:firstLine="720"/>
        <w:rPr>
          <w:noProof/>
          <w:color w:val="000000"/>
          <w:sz w:val="26"/>
          <w:szCs w:val="26"/>
        </w:rPr>
      </w:pPr>
      <w:r w:rsidRPr="00273105">
        <w:rPr>
          <w:color w:val="000000"/>
          <w:sz w:val="26"/>
          <w:szCs w:val="26"/>
        </w:rPr>
        <w:t xml:space="preserve">IRRC </w:t>
      </w:r>
      <w:r w:rsidR="008C31D0">
        <w:rPr>
          <w:color w:val="000000"/>
          <w:sz w:val="26"/>
          <w:szCs w:val="26"/>
        </w:rPr>
        <w:t>states</w:t>
      </w:r>
      <w:r w:rsidRPr="00273105">
        <w:rPr>
          <w:color w:val="000000"/>
          <w:sz w:val="26"/>
          <w:szCs w:val="26"/>
        </w:rPr>
        <w:t xml:space="preserve"> that this </w:t>
      </w:r>
      <w:r w:rsidR="00792CAD" w:rsidRPr="00273105">
        <w:rPr>
          <w:color w:val="000000"/>
          <w:sz w:val="26"/>
          <w:szCs w:val="26"/>
        </w:rPr>
        <w:t>provision</w:t>
      </w:r>
      <w:r w:rsidRPr="00273105">
        <w:rPr>
          <w:color w:val="000000"/>
          <w:sz w:val="26"/>
          <w:szCs w:val="26"/>
        </w:rPr>
        <w:t xml:space="preserve"> should be revised to reflect the imp</w:t>
      </w:r>
      <w:r w:rsidR="00B427D9" w:rsidRPr="00273105">
        <w:rPr>
          <w:color w:val="000000"/>
          <w:sz w:val="26"/>
          <w:szCs w:val="26"/>
        </w:rPr>
        <w:t xml:space="preserve">act on the NGDC’s financial risk </w:t>
      </w:r>
      <w:r w:rsidRPr="00273105">
        <w:rPr>
          <w:color w:val="000000"/>
          <w:sz w:val="26"/>
          <w:szCs w:val="26"/>
        </w:rPr>
        <w:t xml:space="preserve">of changes in volume delivered or consumed as well as </w:t>
      </w:r>
      <w:r w:rsidR="00B427D9" w:rsidRPr="00273105">
        <w:rPr>
          <w:color w:val="000000"/>
          <w:sz w:val="26"/>
          <w:szCs w:val="26"/>
        </w:rPr>
        <w:t xml:space="preserve">changes in </w:t>
      </w:r>
      <w:r w:rsidRPr="00273105">
        <w:rPr>
          <w:color w:val="000000"/>
          <w:sz w:val="26"/>
          <w:szCs w:val="26"/>
        </w:rPr>
        <w:t>the number of customers.  IRRC also states that the PUC should specify the percentage change in volume that could trigger an adjustment to the amount of security required.</w:t>
      </w:r>
      <w:r w:rsidR="006A6466">
        <w:rPr>
          <w:color w:val="000000"/>
          <w:sz w:val="26"/>
          <w:szCs w:val="26"/>
        </w:rPr>
        <w:t xml:space="preserve"> </w:t>
      </w:r>
      <w:r w:rsidR="00FE25DD" w:rsidRPr="00FE25DD">
        <w:rPr>
          <w:i/>
          <w:color w:val="000000"/>
          <w:sz w:val="26"/>
          <w:szCs w:val="26"/>
        </w:rPr>
        <w:t>IRRC Comments</w:t>
      </w:r>
      <w:r w:rsidR="006A6466">
        <w:rPr>
          <w:color w:val="000000"/>
          <w:sz w:val="26"/>
          <w:szCs w:val="26"/>
        </w:rPr>
        <w:t>, p.</w:t>
      </w:r>
      <w:r w:rsidR="00DC7455">
        <w:rPr>
          <w:color w:val="000000"/>
          <w:sz w:val="26"/>
          <w:szCs w:val="26"/>
        </w:rPr>
        <w:t xml:space="preserve"> 2</w:t>
      </w:r>
      <w:r w:rsidR="006A6466">
        <w:rPr>
          <w:color w:val="000000"/>
          <w:sz w:val="26"/>
          <w:szCs w:val="26"/>
        </w:rPr>
        <w:t>.</w:t>
      </w:r>
    </w:p>
    <w:p w:rsidR="00F61FAD" w:rsidRPr="00273105" w:rsidRDefault="00F61FAD" w:rsidP="00F61FAD">
      <w:pPr>
        <w:spacing w:line="360" w:lineRule="auto"/>
        <w:rPr>
          <w:noProof/>
          <w:color w:val="000000"/>
          <w:sz w:val="26"/>
          <w:szCs w:val="26"/>
        </w:rPr>
      </w:pPr>
    </w:p>
    <w:p w:rsidR="00EF2BC8" w:rsidRPr="00273105" w:rsidRDefault="007F4828" w:rsidP="00FE1B43">
      <w:pPr>
        <w:spacing w:line="360" w:lineRule="auto"/>
        <w:ind w:firstLine="720"/>
        <w:rPr>
          <w:color w:val="000000"/>
          <w:sz w:val="26"/>
          <w:szCs w:val="26"/>
        </w:rPr>
      </w:pPr>
      <w:r w:rsidRPr="00273105">
        <w:rPr>
          <w:color w:val="000000"/>
          <w:sz w:val="26"/>
          <w:szCs w:val="26"/>
        </w:rPr>
        <w:t>In regard to timing</w:t>
      </w:r>
      <w:r w:rsidR="00FE1B43" w:rsidRPr="00273105">
        <w:rPr>
          <w:color w:val="000000"/>
          <w:sz w:val="26"/>
          <w:szCs w:val="26"/>
        </w:rPr>
        <w:t>,</w:t>
      </w:r>
      <w:r w:rsidRPr="00273105">
        <w:rPr>
          <w:color w:val="000000"/>
          <w:sz w:val="26"/>
          <w:szCs w:val="26"/>
        </w:rPr>
        <w:t xml:space="preserve"> </w:t>
      </w:r>
      <w:r w:rsidR="00F61FAD" w:rsidRPr="00273105">
        <w:rPr>
          <w:color w:val="000000"/>
          <w:sz w:val="26"/>
          <w:szCs w:val="26"/>
        </w:rPr>
        <w:t>NFG states that directing a change in security only</w:t>
      </w:r>
      <w:r w:rsidR="002A372D" w:rsidRPr="00273105">
        <w:rPr>
          <w:color w:val="000000"/>
          <w:sz w:val="26"/>
          <w:szCs w:val="26"/>
        </w:rPr>
        <w:t xml:space="preserve"> if an event materially affects </w:t>
      </w:r>
      <w:r w:rsidR="00F61FAD" w:rsidRPr="00273105">
        <w:rPr>
          <w:color w:val="000000"/>
          <w:sz w:val="26"/>
          <w:szCs w:val="26"/>
        </w:rPr>
        <w:t xml:space="preserve">system operations or reliability potentially subjects all customers to unnecessary risk that could have been avoided if a NGS was required to post appropriate security before </w:t>
      </w:r>
      <w:r w:rsidR="00FE1B43" w:rsidRPr="00273105">
        <w:rPr>
          <w:color w:val="000000"/>
          <w:sz w:val="26"/>
          <w:szCs w:val="26"/>
        </w:rPr>
        <w:t>it</w:t>
      </w:r>
      <w:r w:rsidR="00F61FAD" w:rsidRPr="00273105">
        <w:rPr>
          <w:color w:val="000000"/>
          <w:sz w:val="26"/>
          <w:szCs w:val="26"/>
        </w:rPr>
        <w:t xml:space="preserve"> </w:t>
      </w:r>
      <w:r w:rsidR="00F61FAD" w:rsidRPr="00273105">
        <w:rPr>
          <w:i/>
          <w:color w:val="000000"/>
          <w:sz w:val="26"/>
          <w:szCs w:val="26"/>
        </w:rPr>
        <w:t>materially</w:t>
      </w:r>
      <w:r w:rsidR="00F61FAD" w:rsidRPr="00273105">
        <w:rPr>
          <w:color w:val="000000"/>
          <w:sz w:val="26"/>
          <w:szCs w:val="26"/>
        </w:rPr>
        <w:t xml:space="preserve"> impacted system operations.  In other words, NFG believe</w:t>
      </w:r>
      <w:r w:rsidR="007406EB">
        <w:rPr>
          <w:color w:val="000000"/>
          <w:sz w:val="26"/>
          <w:szCs w:val="26"/>
        </w:rPr>
        <w:t>s</w:t>
      </w:r>
      <w:r w:rsidR="00F61FAD" w:rsidRPr="00273105">
        <w:rPr>
          <w:color w:val="000000"/>
          <w:sz w:val="26"/>
          <w:szCs w:val="26"/>
        </w:rPr>
        <w:t xml:space="preserve"> it is appropriate to have sufficient security to cover </w:t>
      </w:r>
      <w:r w:rsidR="00F61FAD" w:rsidRPr="00273105">
        <w:rPr>
          <w:i/>
          <w:color w:val="000000"/>
          <w:sz w:val="26"/>
          <w:szCs w:val="26"/>
        </w:rPr>
        <w:t>material</w:t>
      </w:r>
      <w:r w:rsidR="00F61FAD" w:rsidRPr="00273105">
        <w:rPr>
          <w:color w:val="000000"/>
          <w:sz w:val="26"/>
          <w:szCs w:val="26"/>
        </w:rPr>
        <w:t xml:space="preserve"> impacts on the system operations before, and not after, the event occurs.  </w:t>
      </w:r>
      <w:r w:rsidR="000D6BD1" w:rsidRPr="00273105">
        <w:rPr>
          <w:color w:val="000000"/>
          <w:sz w:val="26"/>
          <w:szCs w:val="26"/>
        </w:rPr>
        <w:t>In addition</w:t>
      </w:r>
      <w:r w:rsidR="00F61FAD" w:rsidRPr="00273105">
        <w:rPr>
          <w:color w:val="000000"/>
          <w:sz w:val="26"/>
          <w:szCs w:val="26"/>
        </w:rPr>
        <w:t xml:space="preserve">, NFG states that an early warning of a supplier’s default could be discerned from a pattern of operating violations that may not, at the time, have been material.  </w:t>
      </w:r>
      <w:r w:rsidR="00F61FAD" w:rsidRPr="00273105">
        <w:rPr>
          <w:i/>
          <w:color w:val="000000"/>
          <w:sz w:val="26"/>
          <w:szCs w:val="26"/>
        </w:rPr>
        <w:t>NFG Comments</w:t>
      </w:r>
      <w:r w:rsidR="00F61FAD" w:rsidRPr="00273105">
        <w:rPr>
          <w:color w:val="000000"/>
          <w:sz w:val="26"/>
          <w:szCs w:val="26"/>
        </w:rPr>
        <w:t>, p</w:t>
      </w:r>
      <w:r w:rsidR="00FE1B43" w:rsidRPr="00273105">
        <w:rPr>
          <w:color w:val="000000"/>
          <w:sz w:val="26"/>
          <w:szCs w:val="26"/>
        </w:rPr>
        <w:t>p</w:t>
      </w:r>
      <w:r w:rsidR="00F61FAD" w:rsidRPr="00273105">
        <w:rPr>
          <w:color w:val="000000"/>
          <w:sz w:val="26"/>
          <w:szCs w:val="26"/>
        </w:rPr>
        <w:t>. 2</w:t>
      </w:r>
      <w:r w:rsidR="00FE1B43" w:rsidRPr="00273105">
        <w:rPr>
          <w:color w:val="000000"/>
          <w:sz w:val="26"/>
          <w:szCs w:val="26"/>
        </w:rPr>
        <w:t>-</w:t>
      </w:r>
      <w:r w:rsidR="00EF2BC8" w:rsidRPr="00273105">
        <w:rPr>
          <w:color w:val="000000"/>
          <w:sz w:val="26"/>
          <w:szCs w:val="26"/>
        </w:rPr>
        <w:t>3.</w:t>
      </w:r>
    </w:p>
    <w:p w:rsidR="0081773F" w:rsidRPr="00273105" w:rsidRDefault="0081773F" w:rsidP="00702CBF">
      <w:pPr>
        <w:spacing w:line="360" w:lineRule="auto"/>
        <w:ind w:firstLine="720"/>
        <w:rPr>
          <w:noProof/>
          <w:color w:val="000000"/>
          <w:sz w:val="26"/>
          <w:szCs w:val="26"/>
        </w:rPr>
      </w:pPr>
    </w:p>
    <w:p w:rsidR="0081773F" w:rsidRPr="00273105" w:rsidRDefault="0081773F" w:rsidP="0081773F">
      <w:pPr>
        <w:spacing w:line="360" w:lineRule="auto"/>
        <w:ind w:firstLine="720"/>
        <w:rPr>
          <w:noProof/>
          <w:color w:val="000000"/>
          <w:sz w:val="26"/>
          <w:szCs w:val="26"/>
        </w:rPr>
      </w:pPr>
      <w:r w:rsidRPr="00273105">
        <w:rPr>
          <w:noProof/>
          <w:color w:val="000000"/>
          <w:sz w:val="26"/>
          <w:szCs w:val="26"/>
        </w:rPr>
        <w:t xml:space="preserve">PGW recommends that the criteria that would trigger an adjustment in the level of security for a NGS should be expanded to include “significant changes in a licensee’s recent operating history that materially affected NGDC system operations or reliability on </w:t>
      </w:r>
      <w:r w:rsidRPr="00273105">
        <w:rPr>
          <w:noProof/>
          <w:color w:val="000000"/>
          <w:sz w:val="26"/>
          <w:szCs w:val="26"/>
          <w:u w:val="single"/>
        </w:rPr>
        <w:t>other</w:t>
      </w:r>
      <w:r w:rsidRPr="00273105">
        <w:rPr>
          <w:noProof/>
          <w:color w:val="000000"/>
          <w:sz w:val="26"/>
          <w:szCs w:val="26"/>
        </w:rPr>
        <w:t xml:space="preserve"> NGDC systems.</w:t>
      </w:r>
      <w:r w:rsidR="005E78C0" w:rsidRPr="00273105">
        <w:rPr>
          <w:noProof/>
          <w:color w:val="000000"/>
          <w:sz w:val="26"/>
          <w:szCs w:val="26"/>
        </w:rPr>
        <w:t>”</w:t>
      </w:r>
      <w:r w:rsidRPr="00273105">
        <w:rPr>
          <w:noProof/>
          <w:color w:val="000000"/>
          <w:sz w:val="26"/>
          <w:szCs w:val="26"/>
        </w:rPr>
        <w:t xml:space="preserve"> </w:t>
      </w:r>
      <w:r w:rsidR="00173E69" w:rsidRPr="008C31D0">
        <w:rPr>
          <w:i/>
          <w:noProof/>
          <w:color w:val="000000"/>
          <w:sz w:val="26"/>
          <w:szCs w:val="26"/>
        </w:rPr>
        <w:t>PGW Comments</w:t>
      </w:r>
      <w:r w:rsidR="00173E69">
        <w:rPr>
          <w:noProof/>
          <w:color w:val="000000"/>
          <w:sz w:val="26"/>
          <w:szCs w:val="26"/>
        </w:rPr>
        <w:t>, pp. 2-3.</w:t>
      </w:r>
    </w:p>
    <w:p w:rsidR="0081773F" w:rsidRPr="00273105" w:rsidRDefault="0081773F" w:rsidP="00702CBF">
      <w:pPr>
        <w:spacing w:line="360" w:lineRule="auto"/>
        <w:ind w:firstLine="720"/>
        <w:rPr>
          <w:noProof/>
          <w:color w:val="000000"/>
          <w:sz w:val="26"/>
          <w:szCs w:val="26"/>
        </w:rPr>
      </w:pPr>
    </w:p>
    <w:p w:rsidR="00B92ACB" w:rsidRPr="00273105" w:rsidRDefault="0081773F" w:rsidP="00222104">
      <w:pPr>
        <w:spacing w:line="360" w:lineRule="auto"/>
        <w:ind w:firstLine="720"/>
        <w:rPr>
          <w:color w:val="000000"/>
          <w:sz w:val="26"/>
          <w:szCs w:val="26"/>
        </w:rPr>
      </w:pPr>
      <w:r w:rsidRPr="00273105">
        <w:rPr>
          <w:noProof/>
          <w:color w:val="000000"/>
          <w:sz w:val="26"/>
          <w:szCs w:val="26"/>
        </w:rPr>
        <w:t xml:space="preserve">NFG objects to </w:t>
      </w:r>
      <w:r w:rsidR="005E49EC" w:rsidRPr="00273105">
        <w:rPr>
          <w:noProof/>
          <w:color w:val="000000"/>
          <w:sz w:val="26"/>
          <w:szCs w:val="26"/>
        </w:rPr>
        <w:t xml:space="preserve">the use of the phrases </w:t>
      </w:r>
      <w:r w:rsidRPr="00273105">
        <w:rPr>
          <w:noProof/>
          <w:color w:val="000000"/>
          <w:sz w:val="26"/>
          <w:szCs w:val="26"/>
        </w:rPr>
        <w:t xml:space="preserve">“significant changes” and “materially affects” because they are too broad and ambiguous for a regulations. </w:t>
      </w:r>
      <w:r w:rsidR="00227659" w:rsidRPr="00273105">
        <w:rPr>
          <w:noProof/>
          <w:color w:val="000000"/>
          <w:sz w:val="26"/>
          <w:szCs w:val="26"/>
        </w:rPr>
        <w:t xml:space="preserve"> </w:t>
      </w:r>
      <w:r w:rsidR="00B92ACB" w:rsidRPr="00273105">
        <w:rPr>
          <w:color w:val="000000"/>
          <w:sz w:val="26"/>
          <w:szCs w:val="26"/>
        </w:rPr>
        <w:t xml:space="preserve">NFG also characterizes the “materiality” clause (as affecting system reliability) as a loophole that would only benefit potentially unreliable NGSs. </w:t>
      </w:r>
      <w:r w:rsidR="00B92ACB" w:rsidRPr="00273105">
        <w:rPr>
          <w:i/>
          <w:color w:val="000000"/>
          <w:sz w:val="26"/>
          <w:szCs w:val="26"/>
        </w:rPr>
        <w:t>NFG Comments</w:t>
      </w:r>
      <w:r w:rsidR="00B92ACB" w:rsidRPr="00273105">
        <w:rPr>
          <w:color w:val="000000"/>
          <w:sz w:val="26"/>
          <w:szCs w:val="26"/>
        </w:rPr>
        <w:t xml:space="preserve">, pp. 3-4.  NFG recommends deletion of this language. </w:t>
      </w:r>
    </w:p>
    <w:p w:rsidR="0081773F" w:rsidRPr="00273105" w:rsidRDefault="0081773F" w:rsidP="0081773F">
      <w:pPr>
        <w:spacing w:line="360" w:lineRule="auto"/>
        <w:ind w:firstLine="720"/>
        <w:rPr>
          <w:noProof/>
          <w:color w:val="000000"/>
          <w:sz w:val="26"/>
          <w:szCs w:val="26"/>
        </w:rPr>
      </w:pPr>
    </w:p>
    <w:p w:rsidR="00702CBF" w:rsidRPr="00273105" w:rsidRDefault="00702CBF" w:rsidP="00702CBF">
      <w:pPr>
        <w:spacing w:line="360" w:lineRule="auto"/>
        <w:ind w:firstLine="720"/>
        <w:rPr>
          <w:color w:val="000000"/>
          <w:sz w:val="26"/>
          <w:szCs w:val="26"/>
        </w:rPr>
      </w:pPr>
      <w:r w:rsidRPr="00273105">
        <w:rPr>
          <w:color w:val="000000"/>
          <w:sz w:val="26"/>
          <w:szCs w:val="26"/>
        </w:rPr>
        <w:lastRenderedPageBreak/>
        <w:t>IRRC states that “significant changes</w:t>
      </w:r>
      <w:r w:rsidR="00A80825" w:rsidRPr="00273105">
        <w:rPr>
          <w:color w:val="000000"/>
          <w:sz w:val="26"/>
          <w:szCs w:val="26"/>
        </w:rPr>
        <w:t>”</w:t>
      </w:r>
      <w:r w:rsidRPr="00273105">
        <w:rPr>
          <w:color w:val="000000"/>
          <w:sz w:val="26"/>
          <w:szCs w:val="26"/>
        </w:rPr>
        <w:t xml:space="preserve"> should be defined or clearly explained in Section </w:t>
      </w:r>
      <w:r w:rsidR="00792CAD" w:rsidRPr="00273105">
        <w:rPr>
          <w:color w:val="000000"/>
          <w:sz w:val="26"/>
          <w:szCs w:val="26"/>
        </w:rPr>
        <w:t>62.111</w:t>
      </w:r>
      <w:r w:rsidRPr="00273105">
        <w:rPr>
          <w:color w:val="000000"/>
          <w:sz w:val="26"/>
          <w:szCs w:val="26"/>
        </w:rPr>
        <w:t xml:space="preserve">(c)(1)(ii)(A) and (B).  IRRC also states that the term “material affects” in Section </w:t>
      </w:r>
      <w:r w:rsidR="00792CAD" w:rsidRPr="00273105">
        <w:rPr>
          <w:color w:val="000000"/>
          <w:sz w:val="26"/>
          <w:szCs w:val="26"/>
        </w:rPr>
        <w:t>62.111</w:t>
      </w:r>
      <w:r w:rsidRPr="00273105">
        <w:rPr>
          <w:color w:val="000000"/>
          <w:sz w:val="26"/>
          <w:szCs w:val="26"/>
        </w:rPr>
        <w:t>(c)(1)(ii)(A),</w:t>
      </w:r>
      <w:r w:rsidR="008C31D0">
        <w:rPr>
          <w:color w:val="000000"/>
          <w:sz w:val="26"/>
          <w:szCs w:val="26"/>
        </w:rPr>
        <w:t xml:space="preserve"> </w:t>
      </w:r>
      <w:r w:rsidRPr="00273105">
        <w:rPr>
          <w:color w:val="000000"/>
          <w:sz w:val="26"/>
          <w:szCs w:val="26"/>
        </w:rPr>
        <w:t xml:space="preserve">(B) and (E) should be defined in each instance or include the </w:t>
      </w:r>
      <w:r w:rsidR="00A80825" w:rsidRPr="00273105">
        <w:rPr>
          <w:color w:val="000000"/>
          <w:sz w:val="26"/>
          <w:szCs w:val="26"/>
        </w:rPr>
        <w:t>criteria that are</w:t>
      </w:r>
      <w:r w:rsidRPr="00273105">
        <w:rPr>
          <w:color w:val="000000"/>
          <w:sz w:val="26"/>
          <w:szCs w:val="26"/>
        </w:rPr>
        <w:t xml:space="preserve"> to be used in each instance to determine if there is a material effect.</w:t>
      </w:r>
      <w:r w:rsidR="006A6466">
        <w:rPr>
          <w:color w:val="000000"/>
          <w:sz w:val="26"/>
          <w:szCs w:val="26"/>
        </w:rPr>
        <w:t xml:space="preserve"> </w:t>
      </w:r>
      <w:r w:rsidR="00FE25DD" w:rsidRPr="00FE25DD">
        <w:rPr>
          <w:i/>
          <w:color w:val="000000"/>
          <w:sz w:val="26"/>
          <w:szCs w:val="26"/>
        </w:rPr>
        <w:t>IRRC’s Comments</w:t>
      </w:r>
      <w:r w:rsidR="006A6466">
        <w:rPr>
          <w:color w:val="000000"/>
          <w:sz w:val="26"/>
          <w:szCs w:val="26"/>
        </w:rPr>
        <w:t>, p.</w:t>
      </w:r>
      <w:r w:rsidR="00DC7455">
        <w:rPr>
          <w:color w:val="000000"/>
          <w:sz w:val="26"/>
          <w:szCs w:val="26"/>
        </w:rPr>
        <w:t xml:space="preserve"> 1.</w:t>
      </w:r>
      <w:r w:rsidR="006A6466">
        <w:rPr>
          <w:color w:val="000000"/>
          <w:sz w:val="26"/>
          <w:szCs w:val="26"/>
        </w:rPr>
        <w:t xml:space="preserve"> </w:t>
      </w:r>
    </w:p>
    <w:p w:rsidR="00702CBF" w:rsidRPr="00273105" w:rsidRDefault="00702CBF" w:rsidP="00702CBF">
      <w:pPr>
        <w:spacing w:line="360" w:lineRule="auto"/>
        <w:ind w:firstLine="720"/>
        <w:rPr>
          <w:noProof/>
          <w:color w:val="000000"/>
          <w:sz w:val="26"/>
          <w:szCs w:val="26"/>
        </w:rPr>
      </w:pPr>
    </w:p>
    <w:p w:rsidR="00E01F56" w:rsidRPr="00273105" w:rsidRDefault="00F61FAD" w:rsidP="00770178">
      <w:pPr>
        <w:spacing w:line="360" w:lineRule="auto"/>
        <w:rPr>
          <w:b/>
          <w:i/>
          <w:noProof/>
          <w:color w:val="000000"/>
          <w:sz w:val="26"/>
          <w:szCs w:val="26"/>
        </w:rPr>
      </w:pPr>
      <w:r w:rsidRPr="00273105">
        <w:rPr>
          <w:b/>
          <w:i/>
          <w:noProof/>
          <w:color w:val="000000"/>
          <w:sz w:val="26"/>
          <w:szCs w:val="26"/>
        </w:rPr>
        <w:t>Resolution</w:t>
      </w:r>
    </w:p>
    <w:p w:rsidR="00B07ADF" w:rsidRPr="00273105" w:rsidRDefault="00B07ADF" w:rsidP="006B3BD6">
      <w:pPr>
        <w:spacing w:line="360" w:lineRule="auto"/>
        <w:ind w:firstLine="720"/>
        <w:rPr>
          <w:noProof/>
          <w:color w:val="000000"/>
          <w:sz w:val="26"/>
          <w:szCs w:val="26"/>
        </w:rPr>
      </w:pPr>
    </w:p>
    <w:p w:rsidR="00E7263D" w:rsidRPr="00273105" w:rsidRDefault="00EE4CD1" w:rsidP="006B3BD6">
      <w:pPr>
        <w:spacing w:line="360" w:lineRule="auto"/>
        <w:ind w:firstLine="720"/>
        <w:rPr>
          <w:noProof/>
          <w:color w:val="000000"/>
          <w:sz w:val="26"/>
          <w:szCs w:val="26"/>
        </w:rPr>
      </w:pPr>
      <w:r w:rsidRPr="00273105">
        <w:rPr>
          <w:noProof/>
          <w:color w:val="000000"/>
          <w:sz w:val="26"/>
          <w:szCs w:val="26"/>
        </w:rPr>
        <w:t xml:space="preserve">In regard to circumstances that may warrant a change in the level of security, we agree that a substantial change in volume of gas sold by </w:t>
      </w:r>
      <w:r w:rsidR="00E15EC9" w:rsidRPr="00273105">
        <w:rPr>
          <w:noProof/>
          <w:color w:val="000000"/>
          <w:sz w:val="26"/>
          <w:szCs w:val="26"/>
        </w:rPr>
        <w:t>a</w:t>
      </w:r>
      <w:r w:rsidRPr="00273105">
        <w:rPr>
          <w:noProof/>
          <w:color w:val="000000"/>
          <w:sz w:val="26"/>
          <w:szCs w:val="26"/>
        </w:rPr>
        <w:t xml:space="preserve"> supplier </w:t>
      </w:r>
      <w:r w:rsidR="004A5E49" w:rsidRPr="00273105">
        <w:rPr>
          <w:noProof/>
          <w:color w:val="000000"/>
          <w:sz w:val="26"/>
          <w:szCs w:val="26"/>
        </w:rPr>
        <w:t>c</w:t>
      </w:r>
      <w:r w:rsidRPr="00273105">
        <w:rPr>
          <w:noProof/>
          <w:color w:val="000000"/>
          <w:sz w:val="26"/>
          <w:szCs w:val="26"/>
        </w:rPr>
        <w:t>ould warrant a</w:t>
      </w:r>
      <w:r w:rsidR="004A5E49" w:rsidRPr="00273105">
        <w:rPr>
          <w:noProof/>
          <w:color w:val="000000"/>
          <w:sz w:val="26"/>
          <w:szCs w:val="26"/>
        </w:rPr>
        <w:t>n adjustment of the security amount</w:t>
      </w:r>
      <w:r w:rsidR="00DE052D">
        <w:rPr>
          <w:noProof/>
          <w:color w:val="000000"/>
          <w:sz w:val="26"/>
          <w:szCs w:val="26"/>
        </w:rPr>
        <w:t>, and so we will revise S</w:t>
      </w:r>
      <w:r w:rsidR="00E7263D" w:rsidRPr="00273105">
        <w:rPr>
          <w:noProof/>
          <w:color w:val="000000"/>
          <w:sz w:val="26"/>
          <w:szCs w:val="26"/>
        </w:rPr>
        <w:t>ection 62.111(c)(1)(i)(C) to add “change in volume</w:t>
      </w:r>
      <w:r w:rsidR="00541134" w:rsidRPr="00273105">
        <w:rPr>
          <w:noProof/>
          <w:color w:val="000000"/>
          <w:sz w:val="26"/>
          <w:szCs w:val="26"/>
        </w:rPr>
        <w:t xml:space="preserve"> of gas</w:t>
      </w:r>
      <w:r w:rsidR="00E7263D" w:rsidRPr="00273105">
        <w:rPr>
          <w:noProof/>
          <w:color w:val="000000"/>
          <w:sz w:val="26"/>
          <w:szCs w:val="26"/>
        </w:rPr>
        <w:t xml:space="preserve">” as a triggering event for adjusting security amounts.  </w:t>
      </w:r>
    </w:p>
    <w:p w:rsidR="00E7263D" w:rsidRPr="00273105" w:rsidRDefault="00E7263D" w:rsidP="006B3BD6">
      <w:pPr>
        <w:spacing w:line="360" w:lineRule="auto"/>
        <w:ind w:firstLine="720"/>
        <w:rPr>
          <w:noProof/>
          <w:color w:val="000000"/>
          <w:sz w:val="26"/>
          <w:szCs w:val="26"/>
        </w:rPr>
      </w:pPr>
    </w:p>
    <w:p w:rsidR="00A442DA" w:rsidRPr="00273105" w:rsidRDefault="004A5E49" w:rsidP="006B3BD6">
      <w:pPr>
        <w:spacing w:line="360" w:lineRule="auto"/>
        <w:ind w:firstLine="720"/>
        <w:rPr>
          <w:noProof/>
          <w:color w:val="000000"/>
          <w:sz w:val="26"/>
          <w:szCs w:val="26"/>
        </w:rPr>
      </w:pPr>
      <w:r w:rsidRPr="00273105">
        <w:rPr>
          <w:noProof/>
          <w:color w:val="000000"/>
          <w:sz w:val="26"/>
          <w:szCs w:val="26"/>
        </w:rPr>
        <w:t>However, security adjustment</w:t>
      </w:r>
      <w:r w:rsidR="0052117A" w:rsidRPr="00273105">
        <w:rPr>
          <w:noProof/>
          <w:color w:val="000000"/>
          <w:sz w:val="26"/>
          <w:szCs w:val="26"/>
        </w:rPr>
        <w:t>s</w:t>
      </w:r>
      <w:r w:rsidRPr="00273105">
        <w:rPr>
          <w:noProof/>
          <w:color w:val="000000"/>
          <w:sz w:val="26"/>
          <w:szCs w:val="26"/>
        </w:rPr>
        <w:t xml:space="preserve"> for changes in the price of natural gas </w:t>
      </w:r>
      <w:r w:rsidR="00605B92" w:rsidRPr="00273105">
        <w:rPr>
          <w:noProof/>
          <w:color w:val="000000"/>
          <w:sz w:val="26"/>
          <w:szCs w:val="26"/>
        </w:rPr>
        <w:t>require more careful consideration</w:t>
      </w:r>
      <w:r w:rsidRPr="00273105">
        <w:rPr>
          <w:noProof/>
          <w:color w:val="000000"/>
          <w:sz w:val="26"/>
          <w:szCs w:val="26"/>
        </w:rPr>
        <w:t xml:space="preserve">. We can foresee </w:t>
      </w:r>
      <w:r w:rsidR="00605B92" w:rsidRPr="00273105">
        <w:rPr>
          <w:noProof/>
          <w:color w:val="000000"/>
          <w:sz w:val="26"/>
          <w:szCs w:val="26"/>
        </w:rPr>
        <w:t xml:space="preserve">that </w:t>
      </w:r>
      <w:r w:rsidRPr="00273105">
        <w:rPr>
          <w:noProof/>
          <w:color w:val="000000"/>
          <w:sz w:val="26"/>
          <w:szCs w:val="26"/>
        </w:rPr>
        <w:t xml:space="preserve">price volatility </w:t>
      </w:r>
      <w:r w:rsidR="00101FD3" w:rsidRPr="00273105">
        <w:rPr>
          <w:noProof/>
          <w:color w:val="000000"/>
          <w:sz w:val="26"/>
          <w:szCs w:val="26"/>
        </w:rPr>
        <w:t xml:space="preserve">could cause a NGDC to request an ever escalating amount of security for a short term period.  The NGS would then </w:t>
      </w:r>
      <w:r w:rsidR="00605B92" w:rsidRPr="00273105">
        <w:rPr>
          <w:noProof/>
          <w:color w:val="000000"/>
          <w:sz w:val="26"/>
          <w:szCs w:val="26"/>
        </w:rPr>
        <w:t xml:space="preserve">be obliged to </w:t>
      </w:r>
      <w:r w:rsidR="00101FD3" w:rsidRPr="00273105">
        <w:rPr>
          <w:noProof/>
          <w:color w:val="000000"/>
          <w:sz w:val="26"/>
          <w:szCs w:val="26"/>
        </w:rPr>
        <w:t xml:space="preserve">request a change in security when </w:t>
      </w:r>
      <w:r w:rsidR="00E15EC9" w:rsidRPr="00273105">
        <w:rPr>
          <w:noProof/>
          <w:color w:val="000000"/>
          <w:sz w:val="26"/>
          <w:szCs w:val="26"/>
        </w:rPr>
        <w:t>prices fell</w:t>
      </w:r>
      <w:r w:rsidR="007B7A03" w:rsidRPr="00273105">
        <w:rPr>
          <w:noProof/>
          <w:color w:val="000000"/>
          <w:sz w:val="26"/>
          <w:szCs w:val="26"/>
        </w:rPr>
        <w:t>.</w:t>
      </w:r>
      <w:r w:rsidR="00101FD3" w:rsidRPr="00273105">
        <w:rPr>
          <w:noProof/>
          <w:color w:val="000000"/>
          <w:sz w:val="26"/>
          <w:szCs w:val="26"/>
        </w:rPr>
        <w:t xml:space="preserve">  </w:t>
      </w:r>
      <w:r w:rsidR="00DE5CD7" w:rsidRPr="00273105">
        <w:rPr>
          <w:noProof/>
          <w:color w:val="000000"/>
          <w:sz w:val="26"/>
          <w:szCs w:val="26"/>
        </w:rPr>
        <w:t xml:space="preserve">Accordingly, we will add a </w:t>
      </w:r>
      <w:r w:rsidR="00173E69">
        <w:rPr>
          <w:noProof/>
          <w:color w:val="000000"/>
          <w:sz w:val="26"/>
          <w:szCs w:val="26"/>
        </w:rPr>
        <w:t>provision</w:t>
      </w:r>
      <w:r w:rsidR="00D026CB" w:rsidRPr="00273105">
        <w:rPr>
          <w:noProof/>
          <w:color w:val="000000"/>
          <w:sz w:val="26"/>
          <w:szCs w:val="26"/>
        </w:rPr>
        <w:t xml:space="preserve"> that </w:t>
      </w:r>
      <w:r w:rsidR="00DE5CD7" w:rsidRPr="00273105">
        <w:rPr>
          <w:noProof/>
          <w:color w:val="000000"/>
          <w:sz w:val="26"/>
          <w:szCs w:val="26"/>
        </w:rPr>
        <w:t xml:space="preserve">a </w:t>
      </w:r>
      <w:r w:rsidR="00CA3E0B" w:rsidRPr="00273105">
        <w:rPr>
          <w:noProof/>
          <w:color w:val="000000"/>
          <w:sz w:val="26"/>
          <w:szCs w:val="26"/>
        </w:rPr>
        <w:t xml:space="preserve">25% </w:t>
      </w:r>
      <w:r w:rsidR="00DE5CD7" w:rsidRPr="00273105">
        <w:rPr>
          <w:noProof/>
          <w:color w:val="000000"/>
          <w:sz w:val="26"/>
          <w:szCs w:val="26"/>
        </w:rPr>
        <w:t xml:space="preserve">change in the </w:t>
      </w:r>
      <w:r w:rsidR="00CA3E0B" w:rsidRPr="00273105">
        <w:rPr>
          <w:noProof/>
          <w:color w:val="000000"/>
          <w:sz w:val="26"/>
          <w:szCs w:val="26"/>
        </w:rPr>
        <w:t xml:space="preserve">unit </w:t>
      </w:r>
      <w:r w:rsidR="00DE5CD7" w:rsidRPr="00273105">
        <w:rPr>
          <w:noProof/>
          <w:color w:val="000000"/>
          <w:sz w:val="26"/>
          <w:szCs w:val="26"/>
        </w:rPr>
        <w:t xml:space="preserve">price of gas </w:t>
      </w:r>
      <w:r w:rsidR="00CA3E0B" w:rsidRPr="00273105">
        <w:rPr>
          <w:noProof/>
          <w:color w:val="000000"/>
          <w:sz w:val="26"/>
          <w:szCs w:val="26"/>
        </w:rPr>
        <w:t xml:space="preserve">averaged over a consecutive </w:t>
      </w:r>
      <w:r w:rsidR="00932955" w:rsidRPr="00273105">
        <w:rPr>
          <w:noProof/>
          <w:color w:val="000000"/>
          <w:sz w:val="26"/>
          <w:szCs w:val="26"/>
        </w:rPr>
        <w:t>3</w:t>
      </w:r>
      <w:r w:rsidR="00CA3E0B" w:rsidRPr="00273105">
        <w:rPr>
          <w:noProof/>
          <w:color w:val="000000"/>
          <w:sz w:val="26"/>
          <w:szCs w:val="26"/>
        </w:rPr>
        <w:t>0 day period will constitute a significant change in price that would support a change in security level.</w:t>
      </w:r>
    </w:p>
    <w:p w:rsidR="00A442DA" w:rsidRPr="00273105" w:rsidRDefault="00A442DA" w:rsidP="006B3BD6">
      <w:pPr>
        <w:spacing w:line="360" w:lineRule="auto"/>
        <w:ind w:firstLine="720"/>
        <w:rPr>
          <w:noProof/>
          <w:color w:val="000000"/>
          <w:sz w:val="26"/>
          <w:szCs w:val="26"/>
        </w:rPr>
      </w:pPr>
    </w:p>
    <w:p w:rsidR="00101FD3" w:rsidRPr="00273105" w:rsidRDefault="00D4629D" w:rsidP="006B3BD6">
      <w:pPr>
        <w:spacing w:line="360" w:lineRule="auto"/>
        <w:ind w:firstLine="720"/>
        <w:rPr>
          <w:noProof/>
          <w:color w:val="000000"/>
          <w:sz w:val="26"/>
          <w:szCs w:val="26"/>
        </w:rPr>
      </w:pPr>
      <w:r w:rsidRPr="00273105">
        <w:rPr>
          <w:noProof/>
          <w:color w:val="000000"/>
          <w:sz w:val="26"/>
          <w:szCs w:val="26"/>
        </w:rPr>
        <w:t xml:space="preserve">In regard to </w:t>
      </w:r>
      <w:r w:rsidR="009A76A4" w:rsidRPr="00273105">
        <w:rPr>
          <w:noProof/>
          <w:color w:val="000000"/>
          <w:sz w:val="26"/>
          <w:szCs w:val="26"/>
        </w:rPr>
        <w:t xml:space="preserve">the </w:t>
      </w:r>
      <w:r w:rsidRPr="00273105">
        <w:rPr>
          <w:noProof/>
          <w:color w:val="000000"/>
          <w:sz w:val="26"/>
          <w:szCs w:val="26"/>
        </w:rPr>
        <w:t>percentage change in the number of customers served</w:t>
      </w:r>
      <w:r w:rsidR="009A76A4" w:rsidRPr="00273105">
        <w:rPr>
          <w:noProof/>
          <w:color w:val="000000"/>
          <w:sz w:val="26"/>
          <w:szCs w:val="26"/>
        </w:rPr>
        <w:t>,</w:t>
      </w:r>
      <w:r w:rsidR="00023701" w:rsidRPr="00273105">
        <w:rPr>
          <w:noProof/>
          <w:color w:val="000000"/>
          <w:sz w:val="26"/>
          <w:szCs w:val="26"/>
        </w:rPr>
        <w:t xml:space="preserve"> </w:t>
      </w:r>
      <w:r w:rsidRPr="00273105">
        <w:rPr>
          <w:noProof/>
          <w:color w:val="000000"/>
          <w:sz w:val="26"/>
          <w:szCs w:val="26"/>
        </w:rPr>
        <w:t xml:space="preserve">we </w:t>
      </w:r>
      <w:r w:rsidR="00023701" w:rsidRPr="00273105">
        <w:rPr>
          <w:noProof/>
          <w:color w:val="000000"/>
          <w:sz w:val="26"/>
          <w:szCs w:val="26"/>
        </w:rPr>
        <w:t xml:space="preserve">will follow IRRC’s comment and better define the changes that </w:t>
      </w:r>
      <w:r w:rsidR="006255AD" w:rsidRPr="00273105">
        <w:rPr>
          <w:noProof/>
          <w:color w:val="000000"/>
          <w:sz w:val="26"/>
          <w:szCs w:val="26"/>
        </w:rPr>
        <w:t>may</w:t>
      </w:r>
      <w:r w:rsidR="00023701" w:rsidRPr="00273105">
        <w:rPr>
          <w:noProof/>
          <w:color w:val="000000"/>
          <w:sz w:val="26"/>
          <w:szCs w:val="26"/>
        </w:rPr>
        <w:t xml:space="preserve"> be considered to be a </w:t>
      </w:r>
      <w:r w:rsidR="00EF069F" w:rsidRPr="00273105">
        <w:rPr>
          <w:noProof/>
          <w:color w:val="000000"/>
          <w:sz w:val="26"/>
          <w:szCs w:val="26"/>
        </w:rPr>
        <w:t xml:space="preserve">significant change that </w:t>
      </w:r>
      <w:r w:rsidR="001B001C" w:rsidRPr="00273105">
        <w:rPr>
          <w:noProof/>
          <w:color w:val="000000"/>
          <w:sz w:val="26"/>
          <w:szCs w:val="26"/>
        </w:rPr>
        <w:t>c</w:t>
      </w:r>
      <w:r w:rsidR="00EF069F" w:rsidRPr="00273105">
        <w:rPr>
          <w:noProof/>
          <w:color w:val="000000"/>
          <w:sz w:val="26"/>
          <w:szCs w:val="26"/>
        </w:rPr>
        <w:t xml:space="preserve">ould </w:t>
      </w:r>
      <w:r w:rsidR="009A76A4" w:rsidRPr="00273105">
        <w:rPr>
          <w:noProof/>
          <w:color w:val="000000"/>
          <w:sz w:val="26"/>
          <w:szCs w:val="26"/>
        </w:rPr>
        <w:t xml:space="preserve">trigger a change in security levels.  Specifically, we have revised </w:t>
      </w:r>
      <w:r w:rsidR="00DE052D">
        <w:rPr>
          <w:noProof/>
          <w:color w:val="000000"/>
          <w:sz w:val="26"/>
          <w:szCs w:val="26"/>
        </w:rPr>
        <w:t>S</w:t>
      </w:r>
      <w:r w:rsidR="00880179" w:rsidRPr="00273105">
        <w:rPr>
          <w:noProof/>
          <w:color w:val="000000"/>
          <w:sz w:val="26"/>
          <w:szCs w:val="26"/>
        </w:rPr>
        <w:t xml:space="preserve">ection </w:t>
      </w:r>
      <w:r w:rsidR="009A76A4" w:rsidRPr="00273105">
        <w:rPr>
          <w:noProof/>
          <w:color w:val="000000"/>
          <w:sz w:val="26"/>
          <w:szCs w:val="26"/>
        </w:rPr>
        <w:t>62.111(c)(1)(</w:t>
      </w:r>
      <w:r w:rsidR="006E14E6" w:rsidRPr="00273105">
        <w:rPr>
          <w:noProof/>
          <w:color w:val="000000"/>
          <w:sz w:val="26"/>
          <w:szCs w:val="26"/>
        </w:rPr>
        <w:t>i</w:t>
      </w:r>
      <w:r w:rsidR="009A76A4" w:rsidRPr="00273105">
        <w:rPr>
          <w:noProof/>
          <w:color w:val="000000"/>
          <w:sz w:val="26"/>
          <w:szCs w:val="26"/>
        </w:rPr>
        <w:t xml:space="preserve">i)(C) to </w:t>
      </w:r>
      <w:r w:rsidR="001B001C" w:rsidRPr="00273105">
        <w:rPr>
          <w:noProof/>
          <w:color w:val="000000"/>
          <w:sz w:val="26"/>
          <w:szCs w:val="26"/>
        </w:rPr>
        <w:t xml:space="preserve">add a time element so that </w:t>
      </w:r>
      <w:r w:rsidR="009A76A4" w:rsidRPr="00273105">
        <w:rPr>
          <w:noProof/>
          <w:color w:val="000000"/>
          <w:sz w:val="26"/>
          <w:szCs w:val="26"/>
        </w:rPr>
        <w:t>a significant change in customer number would be a change</w:t>
      </w:r>
      <w:r w:rsidR="002B26BC" w:rsidRPr="00273105">
        <w:rPr>
          <w:noProof/>
          <w:color w:val="000000"/>
          <w:sz w:val="26"/>
          <w:szCs w:val="26"/>
        </w:rPr>
        <w:t xml:space="preserve"> of 25% averaged over a</w:t>
      </w:r>
      <w:r w:rsidR="001B001C" w:rsidRPr="00273105">
        <w:rPr>
          <w:noProof/>
          <w:color w:val="000000"/>
          <w:sz w:val="26"/>
          <w:szCs w:val="26"/>
        </w:rPr>
        <w:t xml:space="preserve"> </w:t>
      </w:r>
      <w:r w:rsidR="0034163F" w:rsidRPr="00273105">
        <w:rPr>
          <w:noProof/>
          <w:color w:val="000000"/>
          <w:sz w:val="26"/>
          <w:szCs w:val="26"/>
        </w:rPr>
        <w:t xml:space="preserve">consecutive </w:t>
      </w:r>
      <w:r w:rsidR="00932955" w:rsidRPr="00273105">
        <w:rPr>
          <w:noProof/>
          <w:color w:val="000000"/>
          <w:sz w:val="26"/>
          <w:szCs w:val="26"/>
        </w:rPr>
        <w:t>3</w:t>
      </w:r>
      <w:r w:rsidR="009A76A4" w:rsidRPr="00273105">
        <w:rPr>
          <w:noProof/>
          <w:color w:val="000000"/>
          <w:sz w:val="26"/>
          <w:szCs w:val="26"/>
        </w:rPr>
        <w:t>0 day period.</w:t>
      </w:r>
      <w:r w:rsidR="00DE5CD7" w:rsidRPr="00273105">
        <w:rPr>
          <w:noProof/>
          <w:color w:val="000000"/>
          <w:sz w:val="26"/>
          <w:szCs w:val="26"/>
        </w:rPr>
        <w:t xml:space="preserve">  We have</w:t>
      </w:r>
      <w:r w:rsidR="00782D17" w:rsidRPr="00273105">
        <w:rPr>
          <w:noProof/>
          <w:color w:val="000000"/>
          <w:sz w:val="26"/>
          <w:szCs w:val="26"/>
        </w:rPr>
        <w:t xml:space="preserve"> added this same qualification to better define a change in </w:t>
      </w:r>
      <w:r w:rsidR="006255AD" w:rsidRPr="00273105">
        <w:rPr>
          <w:noProof/>
          <w:color w:val="000000"/>
          <w:sz w:val="26"/>
          <w:szCs w:val="26"/>
        </w:rPr>
        <w:t xml:space="preserve">volume of </w:t>
      </w:r>
      <w:r w:rsidR="00782D17" w:rsidRPr="00273105">
        <w:rPr>
          <w:noProof/>
          <w:color w:val="000000"/>
          <w:sz w:val="26"/>
          <w:szCs w:val="26"/>
        </w:rPr>
        <w:t xml:space="preserve">gas delivered that could trigger a change in security amount. </w:t>
      </w:r>
      <w:r w:rsidR="00932955" w:rsidRPr="00273105">
        <w:rPr>
          <w:noProof/>
          <w:color w:val="000000"/>
          <w:sz w:val="26"/>
          <w:szCs w:val="26"/>
        </w:rPr>
        <w:t xml:space="preserve"> We note that a</w:t>
      </w:r>
      <w:r w:rsidR="00EF069F" w:rsidRPr="00273105">
        <w:rPr>
          <w:noProof/>
          <w:color w:val="000000"/>
          <w:sz w:val="26"/>
          <w:szCs w:val="26"/>
        </w:rPr>
        <w:t xml:space="preserve"> </w:t>
      </w:r>
      <w:r w:rsidR="00782D17" w:rsidRPr="00273105">
        <w:rPr>
          <w:noProof/>
          <w:color w:val="000000"/>
          <w:sz w:val="26"/>
          <w:szCs w:val="26"/>
        </w:rPr>
        <w:t xml:space="preserve">25% </w:t>
      </w:r>
      <w:r w:rsidR="00880179" w:rsidRPr="00273105">
        <w:rPr>
          <w:noProof/>
          <w:color w:val="000000"/>
          <w:sz w:val="26"/>
          <w:szCs w:val="26"/>
        </w:rPr>
        <w:t xml:space="preserve">benchmark </w:t>
      </w:r>
      <w:r w:rsidR="004D054B">
        <w:rPr>
          <w:noProof/>
          <w:color w:val="000000"/>
          <w:sz w:val="26"/>
          <w:szCs w:val="26"/>
        </w:rPr>
        <w:t>may appear to be ove</w:t>
      </w:r>
      <w:r w:rsidR="00010067">
        <w:rPr>
          <w:noProof/>
          <w:color w:val="000000"/>
          <w:sz w:val="26"/>
          <w:szCs w:val="26"/>
        </w:rPr>
        <w:t>r</w:t>
      </w:r>
      <w:r w:rsidR="004D054B">
        <w:rPr>
          <w:noProof/>
          <w:color w:val="000000"/>
          <w:sz w:val="26"/>
          <w:szCs w:val="26"/>
        </w:rPr>
        <w:t xml:space="preserve">ly generous, but it </w:t>
      </w:r>
      <w:r w:rsidR="00880179" w:rsidRPr="00273105">
        <w:rPr>
          <w:noProof/>
          <w:color w:val="000000"/>
          <w:sz w:val="26"/>
          <w:szCs w:val="26"/>
        </w:rPr>
        <w:t>cuts both ways</w:t>
      </w:r>
      <w:r w:rsidR="00950857" w:rsidRPr="00273105">
        <w:rPr>
          <w:noProof/>
          <w:color w:val="000000"/>
          <w:sz w:val="26"/>
          <w:szCs w:val="26"/>
        </w:rPr>
        <w:t>.  J</w:t>
      </w:r>
      <w:r w:rsidR="00880179" w:rsidRPr="00273105">
        <w:rPr>
          <w:noProof/>
          <w:color w:val="000000"/>
          <w:sz w:val="26"/>
          <w:szCs w:val="26"/>
        </w:rPr>
        <w:t xml:space="preserve">ust as </w:t>
      </w:r>
      <w:r w:rsidR="00397841" w:rsidRPr="00273105">
        <w:rPr>
          <w:noProof/>
          <w:color w:val="000000"/>
          <w:sz w:val="26"/>
          <w:szCs w:val="26"/>
        </w:rPr>
        <w:t xml:space="preserve">a 25% increase in </w:t>
      </w:r>
      <w:r w:rsidR="00397841" w:rsidRPr="00273105">
        <w:rPr>
          <w:noProof/>
          <w:color w:val="000000"/>
          <w:sz w:val="26"/>
          <w:szCs w:val="26"/>
        </w:rPr>
        <w:lastRenderedPageBreak/>
        <w:t>customers</w:t>
      </w:r>
      <w:r w:rsidR="00880179" w:rsidRPr="00273105">
        <w:rPr>
          <w:noProof/>
          <w:color w:val="000000"/>
          <w:sz w:val="26"/>
          <w:szCs w:val="26"/>
        </w:rPr>
        <w:t xml:space="preserve"> would act as a triggering event that woul</w:t>
      </w:r>
      <w:r w:rsidR="00950857" w:rsidRPr="00273105">
        <w:rPr>
          <w:noProof/>
          <w:color w:val="000000"/>
          <w:sz w:val="26"/>
          <w:szCs w:val="26"/>
        </w:rPr>
        <w:t>d</w:t>
      </w:r>
      <w:r w:rsidR="00880179" w:rsidRPr="00273105">
        <w:rPr>
          <w:noProof/>
          <w:color w:val="000000"/>
          <w:sz w:val="26"/>
          <w:szCs w:val="26"/>
        </w:rPr>
        <w:t xml:space="preserve"> allow a NGDC to </w:t>
      </w:r>
      <w:r w:rsidR="00950857" w:rsidRPr="00273105">
        <w:rPr>
          <w:noProof/>
          <w:color w:val="000000"/>
          <w:sz w:val="26"/>
          <w:szCs w:val="26"/>
        </w:rPr>
        <w:t xml:space="preserve">increase a </w:t>
      </w:r>
      <w:r w:rsidR="00397841" w:rsidRPr="00273105">
        <w:rPr>
          <w:noProof/>
          <w:color w:val="000000"/>
          <w:sz w:val="26"/>
          <w:szCs w:val="26"/>
        </w:rPr>
        <w:t xml:space="preserve">NGS’s </w:t>
      </w:r>
      <w:r w:rsidR="00950857" w:rsidRPr="00273105">
        <w:rPr>
          <w:noProof/>
          <w:color w:val="000000"/>
          <w:sz w:val="26"/>
          <w:szCs w:val="26"/>
        </w:rPr>
        <w:t xml:space="preserve">security amount, </w:t>
      </w:r>
      <w:r w:rsidR="00397841" w:rsidRPr="00273105">
        <w:rPr>
          <w:noProof/>
          <w:color w:val="000000"/>
          <w:sz w:val="26"/>
          <w:szCs w:val="26"/>
        </w:rPr>
        <w:t xml:space="preserve">a 25% decrease in customers would </w:t>
      </w:r>
      <w:r w:rsidR="00950857" w:rsidRPr="00273105">
        <w:rPr>
          <w:noProof/>
          <w:color w:val="000000"/>
          <w:sz w:val="26"/>
          <w:szCs w:val="26"/>
        </w:rPr>
        <w:t xml:space="preserve">act as </w:t>
      </w:r>
      <w:r w:rsidR="001B001C" w:rsidRPr="00273105">
        <w:rPr>
          <w:noProof/>
          <w:color w:val="000000"/>
          <w:sz w:val="26"/>
          <w:szCs w:val="26"/>
        </w:rPr>
        <w:t>an</w:t>
      </w:r>
      <w:r w:rsidR="00950857" w:rsidRPr="00273105">
        <w:rPr>
          <w:noProof/>
          <w:color w:val="000000"/>
          <w:sz w:val="26"/>
          <w:szCs w:val="26"/>
        </w:rPr>
        <w:t xml:space="preserve"> event that would allow a supplier to </w:t>
      </w:r>
      <w:r w:rsidR="00932955" w:rsidRPr="00273105">
        <w:rPr>
          <w:noProof/>
          <w:color w:val="000000"/>
          <w:sz w:val="26"/>
          <w:szCs w:val="26"/>
        </w:rPr>
        <w:t>request</w:t>
      </w:r>
      <w:r w:rsidR="00950857" w:rsidRPr="00273105">
        <w:rPr>
          <w:noProof/>
          <w:color w:val="000000"/>
          <w:sz w:val="26"/>
          <w:szCs w:val="26"/>
        </w:rPr>
        <w:t xml:space="preserve"> a decrease in security amount.</w:t>
      </w:r>
    </w:p>
    <w:p w:rsidR="00FE2FB4" w:rsidRPr="00273105" w:rsidRDefault="00FE2FB4" w:rsidP="006B3BD6">
      <w:pPr>
        <w:spacing w:line="360" w:lineRule="auto"/>
        <w:ind w:firstLine="720"/>
        <w:rPr>
          <w:noProof/>
          <w:color w:val="000000"/>
          <w:sz w:val="26"/>
          <w:szCs w:val="26"/>
        </w:rPr>
      </w:pPr>
    </w:p>
    <w:p w:rsidR="00F02CCD" w:rsidRPr="00273105" w:rsidRDefault="00034B0E" w:rsidP="006B3BD6">
      <w:pPr>
        <w:spacing w:line="360" w:lineRule="auto"/>
        <w:ind w:firstLine="720"/>
        <w:rPr>
          <w:noProof/>
          <w:color w:val="000000"/>
          <w:sz w:val="26"/>
          <w:szCs w:val="26"/>
        </w:rPr>
      </w:pPr>
      <w:r w:rsidRPr="00273105">
        <w:rPr>
          <w:noProof/>
          <w:color w:val="000000"/>
          <w:sz w:val="26"/>
          <w:szCs w:val="26"/>
        </w:rPr>
        <w:t xml:space="preserve">We have revised </w:t>
      </w:r>
      <w:r w:rsidR="00F02CCD" w:rsidRPr="00273105">
        <w:rPr>
          <w:noProof/>
          <w:color w:val="000000"/>
          <w:sz w:val="26"/>
          <w:szCs w:val="26"/>
        </w:rPr>
        <w:t xml:space="preserve">the following sections to add language that explain circumstances </w:t>
      </w:r>
      <w:r w:rsidR="00DF2492" w:rsidRPr="00273105">
        <w:rPr>
          <w:noProof/>
          <w:color w:val="000000"/>
          <w:sz w:val="26"/>
          <w:szCs w:val="26"/>
        </w:rPr>
        <w:t xml:space="preserve">relating to credit rating services and investment rating services </w:t>
      </w:r>
      <w:r w:rsidR="00F02CCD" w:rsidRPr="00273105">
        <w:rPr>
          <w:noProof/>
          <w:color w:val="000000"/>
          <w:sz w:val="26"/>
          <w:szCs w:val="26"/>
        </w:rPr>
        <w:t xml:space="preserve">that </w:t>
      </w:r>
      <w:r w:rsidR="00DF2492" w:rsidRPr="00273105">
        <w:rPr>
          <w:noProof/>
          <w:color w:val="000000"/>
          <w:sz w:val="26"/>
          <w:szCs w:val="26"/>
        </w:rPr>
        <w:t xml:space="preserve">could </w:t>
      </w:r>
      <w:r w:rsidR="00F02CCD" w:rsidRPr="00273105">
        <w:rPr>
          <w:noProof/>
          <w:color w:val="000000"/>
          <w:sz w:val="26"/>
          <w:szCs w:val="26"/>
        </w:rPr>
        <w:t>materially affect a licensee’s credit</w:t>
      </w:r>
      <w:r w:rsidR="001F1AB6" w:rsidRPr="00273105">
        <w:rPr>
          <w:noProof/>
          <w:color w:val="000000"/>
          <w:sz w:val="26"/>
          <w:szCs w:val="26"/>
        </w:rPr>
        <w:t>w</w:t>
      </w:r>
      <w:r w:rsidR="008F1D6C" w:rsidRPr="00273105">
        <w:rPr>
          <w:noProof/>
          <w:color w:val="000000"/>
          <w:sz w:val="26"/>
          <w:szCs w:val="26"/>
        </w:rPr>
        <w:t>orthiness</w:t>
      </w:r>
      <w:r w:rsidR="00F02CCD" w:rsidRPr="00273105">
        <w:rPr>
          <w:noProof/>
          <w:color w:val="000000"/>
          <w:sz w:val="26"/>
          <w:szCs w:val="26"/>
        </w:rPr>
        <w:t>:</w:t>
      </w:r>
    </w:p>
    <w:p w:rsidR="008F1D6C" w:rsidRPr="00273105" w:rsidRDefault="00ED46BF" w:rsidP="004B2863">
      <w:pPr>
        <w:pStyle w:val="ListParagraph"/>
        <w:numPr>
          <w:ilvl w:val="0"/>
          <w:numId w:val="1"/>
        </w:numPr>
        <w:spacing w:line="360" w:lineRule="auto"/>
        <w:rPr>
          <w:noProof/>
          <w:color w:val="000000"/>
          <w:sz w:val="26"/>
          <w:szCs w:val="26"/>
        </w:rPr>
      </w:pPr>
      <w:r w:rsidRPr="00273105">
        <w:rPr>
          <w:noProof/>
          <w:color w:val="000000"/>
          <w:sz w:val="26"/>
          <w:szCs w:val="26"/>
        </w:rPr>
        <w:t>Section 62.111(c)(1)(i</w:t>
      </w:r>
      <w:r w:rsidR="00395327" w:rsidRPr="00273105">
        <w:rPr>
          <w:noProof/>
          <w:color w:val="000000"/>
          <w:sz w:val="26"/>
          <w:szCs w:val="26"/>
        </w:rPr>
        <w:t>i</w:t>
      </w:r>
      <w:r w:rsidRPr="00273105">
        <w:rPr>
          <w:noProof/>
          <w:color w:val="000000"/>
          <w:sz w:val="26"/>
          <w:szCs w:val="26"/>
        </w:rPr>
        <w:t>)(B)</w:t>
      </w:r>
      <w:r w:rsidR="00F02CCD" w:rsidRPr="00273105">
        <w:rPr>
          <w:noProof/>
          <w:color w:val="000000"/>
          <w:sz w:val="26"/>
          <w:szCs w:val="26"/>
        </w:rPr>
        <w:t xml:space="preserve"> </w:t>
      </w:r>
      <w:r w:rsidR="008F1D6C" w:rsidRPr="00273105">
        <w:rPr>
          <w:noProof/>
          <w:color w:val="000000"/>
          <w:sz w:val="26"/>
          <w:szCs w:val="26"/>
        </w:rPr>
        <w:t xml:space="preserve">- </w:t>
      </w:r>
      <w:r w:rsidR="00F02CCD" w:rsidRPr="00273105">
        <w:rPr>
          <w:noProof/>
          <w:color w:val="000000"/>
          <w:sz w:val="26"/>
          <w:szCs w:val="26"/>
        </w:rPr>
        <w:t xml:space="preserve">when two of five listed credit rating companies change the licensee’s credit rating. </w:t>
      </w:r>
    </w:p>
    <w:p w:rsidR="00D961D4" w:rsidRPr="00273105" w:rsidRDefault="008F1D6C" w:rsidP="004B2863">
      <w:pPr>
        <w:pStyle w:val="ListParagraph"/>
        <w:numPr>
          <w:ilvl w:val="0"/>
          <w:numId w:val="1"/>
        </w:numPr>
        <w:spacing w:line="360" w:lineRule="auto"/>
        <w:rPr>
          <w:noProof/>
          <w:color w:val="000000"/>
          <w:sz w:val="26"/>
          <w:szCs w:val="26"/>
        </w:rPr>
      </w:pPr>
      <w:r w:rsidRPr="00273105">
        <w:rPr>
          <w:noProof/>
          <w:color w:val="000000"/>
          <w:sz w:val="26"/>
          <w:szCs w:val="26"/>
        </w:rPr>
        <w:t>Section 62.111(c)(1)</w:t>
      </w:r>
      <w:r w:rsidR="001F1AB6" w:rsidRPr="00273105">
        <w:rPr>
          <w:noProof/>
          <w:color w:val="000000"/>
          <w:sz w:val="26"/>
          <w:szCs w:val="26"/>
        </w:rPr>
        <w:t>(i</w:t>
      </w:r>
      <w:r w:rsidR="00395327" w:rsidRPr="00273105">
        <w:rPr>
          <w:noProof/>
          <w:color w:val="000000"/>
          <w:sz w:val="26"/>
          <w:szCs w:val="26"/>
        </w:rPr>
        <w:t>i</w:t>
      </w:r>
      <w:r w:rsidR="001F1AB6" w:rsidRPr="00273105">
        <w:rPr>
          <w:noProof/>
          <w:color w:val="000000"/>
          <w:sz w:val="26"/>
          <w:szCs w:val="26"/>
        </w:rPr>
        <w:t>)</w:t>
      </w:r>
      <w:r w:rsidRPr="00273105">
        <w:rPr>
          <w:noProof/>
          <w:color w:val="000000"/>
          <w:sz w:val="26"/>
          <w:szCs w:val="26"/>
        </w:rPr>
        <w:t xml:space="preserve">(D) </w:t>
      </w:r>
      <w:r w:rsidR="00D961D4" w:rsidRPr="00273105">
        <w:rPr>
          <w:noProof/>
          <w:color w:val="000000"/>
          <w:sz w:val="26"/>
          <w:szCs w:val="26"/>
        </w:rPr>
        <w:t>–</w:t>
      </w:r>
      <w:r w:rsidRPr="00273105">
        <w:rPr>
          <w:noProof/>
          <w:color w:val="000000"/>
          <w:sz w:val="26"/>
          <w:szCs w:val="26"/>
        </w:rPr>
        <w:t xml:space="preserve"> </w:t>
      </w:r>
      <w:r w:rsidR="00D961D4" w:rsidRPr="00273105">
        <w:rPr>
          <w:noProof/>
          <w:color w:val="000000"/>
          <w:sz w:val="26"/>
          <w:szCs w:val="26"/>
        </w:rPr>
        <w:t xml:space="preserve">when a two of the </w:t>
      </w:r>
      <w:r w:rsidR="0003572D" w:rsidRPr="00273105">
        <w:rPr>
          <w:noProof/>
          <w:color w:val="000000"/>
          <w:sz w:val="26"/>
          <w:szCs w:val="26"/>
        </w:rPr>
        <w:t>five</w:t>
      </w:r>
      <w:r w:rsidR="00D961D4" w:rsidRPr="00273105">
        <w:rPr>
          <w:noProof/>
          <w:color w:val="000000"/>
          <w:sz w:val="26"/>
          <w:szCs w:val="26"/>
        </w:rPr>
        <w:t xml:space="preserve"> listed investment ratings service change the licensee’s ratings of its issued securities.</w:t>
      </w:r>
    </w:p>
    <w:p w:rsidR="001F1AB6" w:rsidRPr="00273105" w:rsidRDefault="001F1AB6" w:rsidP="006B3BD6">
      <w:pPr>
        <w:spacing w:line="360" w:lineRule="auto"/>
        <w:ind w:firstLine="720"/>
        <w:rPr>
          <w:noProof/>
          <w:color w:val="000000"/>
          <w:sz w:val="26"/>
          <w:szCs w:val="26"/>
        </w:rPr>
      </w:pPr>
    </w:p>
    <w:p w:rsidR="001F1AB6" w:rsidRPr="00273105" w:rsidRDefault="00DE052D" w:rsidP="006B3BD6">
      <w:pPr>
        <w:spacing w:line="360" w:lineRule="auto"/>
        <w:ind w:firstLine="720"/>
        <w:rPr>
          <w:noProof/>
          <w:color w:val="000000"/>
          <w:sz w:val="26"/>
          <w:szCs w:val="26"/>
        </w:rPr>
      </w:pPr>
      <w:r>
        <w:rPr>
          <w:noProof/>
          <w:color w:val="000000"/>
          <w:sz w:val="26"/>
          <w:szCs w:val="26"/>
        </w:rPr>
        <w:t>As now revised, S</w:t>
      </w:r>
      <w:r w:rsidR="00F94744">
        <w:rPr>
          <w:noProof/>
          <w:color w:val="000000"/>
          <w:sz w:val="26"/>
          <w:szCs w:val="26"/>
        </w:rPr>
        <w:t xml:space="preserve">ection 62.111(c)(1)(ii)(B) would be applicable to a supplier’s credit score for obtaining a bond or letter of credit from an insurance company or bank or other </w:t>
      </w:r>
      <w:r w:rsidR="00A6749F">
        <w:rPr>
          <w:noProof/>
          <w:color w:val="000000"/>
          <w:sz w:val="26"/>
          <w:szCs w:val="26"/>
        </w:rPr>
        <w:t>surety. S</w:t>
      </w:r>
      <w:r w:rsidR="001F1AB6" w:rsidRPr="00273105">
        <w:rPr>
          <w:noProof/>
          <w:color w:val="000000"/>
          <w:sz w:val="26"/>
          <w:szCs w:val="26"/>
        </w:rPr>
        <w:t>ection 62.111(c)(1)(</w:t>
      </w:r>
      <w:r w:rsidR="00395327" w:rsidRPr="00273105">
        <w:rPr>
          <w:noProof/>
          <w:color w:val="000000"/>
          <w:sz w:val="26"/>
          <w:szCs w:val="26"/>
        </w:rPr>
        <w:t>i</w:t>
      </w:r>
      <w:r w:rsidR="001F1AB6" w:rsidRPr="00273105">
        <w:rPr>
          <w:noProof/>
          <w:color w:val="000000"/>
          <w:sz w:val="26"/>
          <w:szCs w:val="26"/>
        </w:rPr>
        <w:t>i)(D)</w:t>
      </w:r>
      <w:r w:rsidR="00C7735E" w:rsidRPr="00273105">
        <w:rPr>
          <w:noProof/>
          <w:color w:val="000000"/>
          <w:sz w:val="26"/>
          <w:szCs w:val="26"/>
        </w:rPr>
        <w:t>, as now revised,</w:t>
      </w:r>
      <w:r w:rsidR="001F1AB6" w:rsidRPr="00273105">
        <w:rPr>
          <w:noProof/>
          <w:color w:val="000000"/>
          <w:sz w:val="26"/>
          <w:szCs w:val="26"/>
        </w:rPr>
        <w:t xml:space="preserve"> </w:t>
      </w:r>
      <w:r w:rsidR="00D961D4" w:rsidRPr="00273105">
        <w:rPr>
          <w:noProof/>
          <w:color w:val="000000"/>
          <w:sz w:val="26"/>
          <w:szCs w:val="26"/>
        </w:rPr>
        <w:t xml:space="preserve">may be </w:t>
      </w:r>
      <w:r w:rsidR="00C7735E" w:rsidRPr="00273105">
        <w:rPr>
          <w:noProof/>
          <w:color w:val="000000"/>
          <w:sz w:val="26"/>
          <w:szCs w:val="26"/>
        </w:rPr>
        <w:t xml:space="preserve">most </w:t>
      </w:r>
      <w:r w:rsidR="001F1AB6" w:rsidRPr="00273105">
        <w:rPr>
          <w:noProof/>
          <w:color w:val="000000"/>
          <w:sz w:val="26"/>
          <w:szCs w:val="26"/>
        </w:rPr>
        <w:t>applicable to situations where</w:t>
      </w:r>
      <w:r w:rsidR="00D961D4" w:rsidRPr="00273105">
        <w:rPr>
          <w:noProof/>
          <w:color w:val="000000"/>
          <w:sz w:val="26"/>
          <w:szCs w:val="26"/>
        </w:rPr>
        <w:t xml:space="preserve"> the NGDC </w:t>
      </w:r>
      <w:r w:rsidR="00C7735E" w:rsidRPr="00273105">
        <w:rPr>
          <w:noProof/>
          <w:color w:val="000000"/>
          <w:sz w:val="26"/>
          <w:szCs w:val="26"/>
        </w:rPr>
        <w:t xml:space="preserve">has agreed to </w:t>
      </w:r>
      <w:r w:rsidR="00D961D4" w:rsidRPr="00273105">
        <w:rPr>
          <w:noProof/>
          <w:color w:val="000000"/>
          <w:sz w:val="26"/>
          <w:szCs w:val="26"/>
        </w:rPr>
        <w:t>to accept a corporate</w:t>
      </w:r>
      <w:r w:rsidR="008B351B" w:rsidRPr="00273105">
        <w:rPr>
          <w:noProof/>
          <w:color w:val="000000"/>
          <w:sz w:val="26"/>
          <w:szCs w:val="26"/>
        </w:rPr>
        <w:t xml:space="preserve">, parental or other third-party </w:t>
      </w:r>
      <w:r w:rsidR="00D961D4" w:rsidRPr="00273105">
        <w:rPr>
          <w:noProof/>
          <w:color w:val="000000"/>
          <w:sz w:val="26"/>
          <w:szCs w:val="26"/>
        </w:rPr>
        <w:t>guarant</w:t>
      </w:r>
      <w:r w:rsidR="008B351B" w:rsidRPr="00273105">
        <w:rPr>
          <w:noProof/>
          <w:color w:val="000000"/>
          <w:sz w:val="26"/>
          <w:szCs w:val="26"/>
        </w:rPr>
        <w:t>y</w:t>
      </w:r>
      <w:r w:rsidR="00D961D4" w:rsidRPr="00273105">
        <w:rPr>
          <w:noProof/>
          <w:color w:val="000000"/>
          <w:sz w:val="26"/>
          <w:szCs w:val="26"/>
        </w:rPr>
        <w:t xml:space="preserve"> as</w:t>
      </w:r>
      <w:r w:rsidR="001F1AB6" w:rsidRPr="00273105">
        <w:rPr>
          <w:noProof/>
          <w:color w:val="000000"/>
          <w:sz w:val="26"/>
          <w:szCs w:val="26"/>
        </w:rPr>
        <w:t xml:space="preserve"> security.</w:t>
      </w:r>
      <w:r w:rsidR="00DA5784" w:rsidRPr="00273105">
        <w:rPr>
          <w:noProof/>
          <w:color w:val="000000"/>
          <w:sz w:val="26"/>
          <w:szCs w:val="26"/>
        </w:rPr>
        <w:t xml:space="preserve"> </w:t>
      </w:r>
      <w:r w:rsidR="00F02CCD" w:rsidRPr="00273105">
        <w:rPr>
          <w:noProof/>
          <w:color w:val="000000"/>
          <w:sz w:val="26"/>
          <w:szCs w:val="26"/>
        </w:rPr>
        <w:t xml:space="preserve"> </w:t>
      </w:r>
      <w:r w:rsidR="008B351B" w:rsidRPr="00273105">
        <w:rPr>
          <w:i/>
          <w:noProof/>
          <w:color w:val="000000"/>
          <w:sz w:val="26"/>
          <w:szCs w:val="26"/>
        </w:rPr>
        <w:t>See</w:t>
      </w:r>
      <w:r>
        <w:rPr>
          <w:noProof/>
          <w:color w:val="000000"/>
          <w:sz w:val="26"/>
          <w:szCs w:val="26"/>
        </w:rPr>
        <w:t xml:space="preserve"> S</w:t>
      </w:r>
      <w:r w:rsidR="008B351B" w:rsidRPr="00273105">
        <w:rPr>
          <w:noProof/>
          <w:color w:val="000000"/>
          <w:sz w:val="26"/>
          <w:szCs w:val="26"/>
        </w:rPr>
        <w:t>ection 62.111</w:t>
      </w:r>
      <w:r w:rsidR="00CB5716" w:rsidRPr="00273105">
        <w:rPr>
          <w:noProof/>
          <w:color w:val="000000"/>
          <w:sz w:val="26"/>
          <w:szCs w:val="26"/>
        </w:rPr>
        <w:t>(c)</w:t>
      </w:r>
      <w:r w:rsidR="008B351B" w:rsidRPr="00273105">
        <w:rPr>
          <w:noProof/>
          <w:color w:val="000000"/>
          <w:sz w:val="26"/>
          <w:szCs w:val="26"/>
        </w:rPr>
        <w:t>(2)(iii).</w:t>
      </w:r>
      <w:r w:rsidR="00A6749F">
        <w:rPr>
          <w:noProof/>
          <w:color w:val="000000"/>
          <w:sz w:val="26"/>
          <w:szCs w:val="26"/>
        </w:rPr>
        <w:t xml:space="preserve">  To ensure that a supplier’s change in rating was not a mistake or fluke, we added the requirement that two of the five listed </w:t>
      </w:r>
      <w:r w:rsidR="00FE09D7">
        <w:rPr>
          <w:noProof/>
          <w:color w:val="000000"/>
          <w:sz w:val="26"/>
          <w:szCs w:val="26"/>
        </w:rPr>
        <w:t xml:space="preserve">major ratings </w:t>
      </w:r>
      <w:r w:rsidR="00A6749F">
        <w:rPr>
          <w:noProof/>
          <w:color w:val="000000"/>
          <w:sz w:val="26"/>
          <w:szCs w:val="26"/>
        </w:rPr>
        <w:t xml:space="preserve">companies would need to make the change </w:t>
      </w:r>
      <w:r w:rsidR="00C26467">
        <w:rPr>
          <w:noProof/>
          <w:color w:val="000000"/>
          <w:sz w:val="26"/>
          <w:szCs w:val="26"/>
        </w:rPr>
        <w:t xml:space="preserve">in rating </w:t>
      </w:r>
      <w:r w:rsidR="009317DA">
        <w:rPr>
          <w:noProof/>
          <w:color w:val="000000"/>
          <w:sz w:val="26"/>
          <w:szCs w:val="26"/>
        </w:rPr>
        <w:t>to trigger a</w:t>
      </w:r>
      <w:r w:rsidR="00C26467">
        <w:rPr>
          <w:noProof/>
          <w:color w:val="000000"/>
          <w:sz w:val="26"/>
          <w:szCs w:val="26"/>
        </w:rPr>
        <w:t xml:space="preserve">n adjustment </w:t>
      </w:r>
      <w:r w:rsidR="009317DA">
        <w:rPr>
          <w:noProof/>
          <w:color w:val="000000"/>
          <w:sz w:val="26"/>
          <w:szCs w:val="26"/>
        </w:rPr>
        <w:t xml:space="preserve">in </w:t>
      </w:r>
      <w:r w:rsidR="00C26467">
        <w:rPr>
          <w:noProof/>
          <w:color w:val="000000"/>
          <w:sz w:val="26"/>
          <w:szCs w:val="26"/>
        </w:rPr>
        <w:t xml:space="preserve">the </w:t>
      </w:r>
      <w:r w:rsidR="009317DA">
        <w:rPr>
          <w:noProof/>
          <w:color w:val="000000"/>
          <w:sz w:val="26"/>
          <w:szCs w:val="26"/>
        </w:rPr>
        <w:t>security amount</w:t>
      </w:r>
      <w:r w:rsidR="00A6749F">
        <w:rPr>
          <w:noProof/>
          <w:color w:val="000000"/>
          <w:sz w:val="26"/>
          <w:szCs w:val="26"/>
        </w:rPr>
        <w:t>.</w:t>
      </w:r>
    </w:p>
    <w:p w:rsidR="00034B0E" w:rsidRPr="00273105" w:rsidRDefault="00034B0E" w:rsidP="006B3BD6">
      <w:pPr>
        <w:spacing w:line="360" w:lineRule="auto"/>
        <w:ind w:firstLine="720"/>
        <w:rPr>
          <w:noProof/>
          <w:color w:val="000000"/>
          <w:sz w:val="26"/>
          <w:szCs w:val="26"/>
        </w:rPr>
      </w:pPr>
    </w:p>
    <w:p w:rsidR="002902A1" w:rsidRPr="00273105" w:rsidRDefault="00CA6EA5" w:rsidP="002902A1">
      <w:pPr>
        <w:spacing w:line="360" w:lineRule="auto"/>
        <w:rPr>
          <w:color w:val="000000"/>
        </w:rPr>
      </w:pPr>
      <w:r w:rsidRPr="00273105">
        <w:rPr>
          <w:noProof/>
          <w:color w:val="000000"/>
          <w:sz w:val="26"/>
          <w:szCs w:val="26"/>
        </w:rPr>
        <w:tab/>
      </w:r>
      <w:r w:rsidR="000D0E5E" w:rsidRPr="00273105">
        <w:rPr>
          <w:noProof/>
          <w:color w:val="000000"/>
          <w:sz w:val="26"/>
          <w:szCs w:val="26"/>
        </w:rPr>
        <w:t>In response to IRRC’s comment, w</w:t>
      </w:r>
      <w:r w:rsidR="00DE052D">
        <w:rPr>
          <w:noProof/>
          <w:color w:val="000000"/>
          <w:sz w:val="26"/>
          <w:szCs w:val="26"/>
        </w:rPr>
        <w:t>e have also revised S</w:t>
      </w:r>
      <w:r w:rsidR="00CB5716" w:rsidRPr="00273105">
        <w:rPr>
          <w:noProof/>
          <w:color w:val="000000"/>
          <w:sz w:val="26"/>
          <w:szCs w:val="26"/>
        </w:rPr>
        <w:t>ection 62.111(c)(2)(i</w:t>
      </w:r>
      <w:r w:rsidR="00395327" w:rsidRPr="00273105">
        <w:rPr>
          <w:noProof/>
          <w:color w:val="000000"/>
          <w:sz w:val="26"/>
          <w:szCs w:val="26"/>
        </w:rPr>
        <w:t>i</w:t>
      </w:r>
      <w:r w:rsidR="00CB5716" w:rsidRPr="00273105">
        <w:rPr>
          <w:noProof/>
          <w:color w:val="000000"/>
          <w:sz w:val="26"/>
          <w:szCs w:val="26"/>
        </w:rPr>
        <w:t xml:space="preserve">)(E) </w:t>
      </w:r>
      <w:r w:rsidR="00395327" w:rsidRPr="00273105">
        <w:rPr>
          <w:noProof/>
          <w:color w:val="000000"/>
          <w:sz w:val="26"/>
          <w:szCs w:val="26"/>
        </w:rPr>
        <w:t xml:space="preserve">to explain that a NGDC system’s operation or reliability </w:t>
      </w:r>
      <w:r w:rsidR="006B736C" w:rsidRPr="00273105">
        <w:rPr>
          <w:noProof/>
          <w:color w:val="000000"/>
          <w:sz w:val="26"/>
          <w:szCs w:val="26"/>
        </w:rPr>
        <w:t>c</w:t>
      </w:r>
      <w:r w:rsidR="00395327" w:rsidRPr="00273105">
        <w:rPr>
          <w:noProof/>
          <w:color w:val="000000"/>
          <w:sz w:val="26"/>
          <w:szCs w:val="26"/>
        </w:rPr>
        <w:t xml:space="preserve">ould be materially impacted </w:t>
      </w:r>
      <w:r w:rsidR="002902A1" w:rsidRPr="00273105">
        <w:rPr>
          <w:rFonts w:eastAsia="Calibri"/>
          <w:color w:val="000000"/>
          <w:sz w:val="26"/>
          <w:szCs w:val="26"/>
        </w:rPr>
        <w:t>when a supplier fails to deliver natural gas supply sufficient to meet its customers’ needs on five separate occasions within a 30</w:t>
      </w:r>
      <w:r w:rsidR="00B5702C">
        <w:rPr>
          <w:rFonts w:eastAsia="Calibri"/>
          <w:color w:val="000000"/>
          <w:sz w:val="26"/>
          <w:szCs w:val="26"/>
        </w:rPr>
        <w:t xml:space="preserve"> </w:t>
      </w:r>
      <w:r w:rsidR="002902A1" w:rsidRPr="00273105">
        <w:rPr>
          <w:rFonts w:eastAsia="Calibri"/>
          <w:color w:val="000000"/>
          <w:sz w:val="26"/>
          <w:szCs w:val="26"/>
        </w:rPr>
        <w:t>day period, or fails to comply with NGDC operational flow orders as defined at 52 Pa. Code § 69.11(relating to definitions).</w:t>
      </w:r>
      <w:r w:rsidR="001D458E">
        <w:rPr>
          <w:rFonts w:eastAsia="Calibri"/>
          <w:color w:val="000000"/>
          <w:sz w:val="26"/>
          <w:szCs w:val="26"/>
        </w:rPr>
        <w:t xml:space="preserve">  These are </w:t>
      </w:r>
      <w:r w:rsidR="002E282B">
        <w:rPr>
          <w:rFonts w:eastAsia="Calibri"/>
          <w:color w:val="000000"/>
          <w:sz w:val="26"/>
          <w:szCs w:val="26"/>
        </w:rPr>
        <w:t xml:space="preserve">only two examples of how a NGDC could be impacted when a supplier defaults on gas delivery volumes. </w:t>
      </w:r>
    </w:p>
    <w:p w:rsidR="00CB5716" w:rsidRPr="00273105" w:rsidRDefault="00CB5716" w:rsidP="006B3BD6">
      <w:pPr>
        <w:spacing w:line="360" w:lineRule="auto"/>
        <w:ind w:firstLine="720"/>
        <w:rPr>
          <w:noProof/>
          <w:color w:val="000000"/>
          <w:sz w:val="26"/>
          <w:szCs w:val="26"/>
        </w:rPr>
      </w:pPr>
    </w:p>
    <w:p w:rsidR="0047760C" w:rsidRPr="00273105" w:rsidRDefault="006268FE" w:rsidP="006B3BD6">
      <w:pPr>
        <w:spacing w:line="360" w:lineRule="auto"/>
        <w:ind w:firstLine="720"/>
        <w:rPr>
          <w:noProof/>
          <w:color w:val="000000"/>
          <w:sz w:val="26"/>
          <w:szCs w:val="26"/>
        </w:rPr>
      </w:pPr>
      <w:r w:rsidRPr="00273105">
        <w:rPr>
          <w:noProof/>
          <w:color w:val="000000"/>
          <w:sz w:val="26"/>
          <w:szCs w:val="26"/>
        </w:rPr>
        <w:lastRenderedPageBreak/>
        <w:t xml:space="preserve">In regard to the comments that urge </w:t>
      </w:r>
      <w:r w:rsidR="000D7067" w:rsidRPr="00273105">
        <w:rPr>
          <w:noProof/>
          <w:color w:val="000000"/>
          <w:sz w:val="26"/>
          <w:szCs w:val="26"/>
        </w:rPr>
        <w:t xml:space="preserve">that </w:t>
      </w:r>
      <w:r w:rsidRPr="00273105">
        <w:rPr>
          <w:noProof/>
          <w:color w:val="000000"/>
          <w:sz w:val="26"/>
          <w:szCs w:val="26"/>
        </w:rPr>
        <w:t>changes in a NGS’s operating history on other NGDC sy</w:t>
      </w:r>
      <w:r w:rsidR="008056FA" w:rsidRPr="00273105">
        <w:rPr>
          <w:noProof/>
          <w:color w:val="000000"/>
          <w:sz w:val="26"/>
          <w:szCs w:val="26"/>
        </w:rPr>
        <w:t>stems that materially affect system operation and reliability should also be considered as a basis for adjusting the security amount, we agree.  A record of a NGS’s compliance with other NGDC system requirements is a fair predictor of its future compliance with another NGDC’s system requirements.  For this reason, we believe that the operating history of an applicant or a licensee on other NGDC systems may also be considered by a NGDC when it establishes the initial security amount ne</w:t>
      </w:r>
      <w:r w:rsidR="00B74427" w:rsidRPr="00273105">
        <w:rPr>
          <w:noProof/>
          <w:color w:val="000000"/>
          <w:sz w:val="26"/>
          <w:szCs w:val="26"/>
        </w:rPr>
        <w:t>c</w:t>
      </w:r>
      <w:r w:rsidR="007826EE" w:rsidRPr="00273105">
        <w:rPr>
          <w:noProof/>
          <w:color w:val="000000"/>
          <w:sz w:val="26"/>
          <w:szCs w:val="26"/>
        </w:rPr>
        <w:t xml:space="preserve">essary for the </w:t>
      </w:r>
      <w:r w:rsidR="00035BDC" w:rsidRPr="00273105">
        <w:rPr>
          <w:noProof/>
          <w:color w:val="000000"/>
          <w:sz w:val="26"/>
          <w:szCs w:val="26"/>
        </w:rPr>
        <w:t>applicant</w:t>
      </w:r>
      <w:r w:rsidR="00C6268C" w:rsidRPr="00273105">
        <w:rPr>
          <w:noProof/>
          <w:color w:val="000000"/>
          <w:sz w:val="26"/>
          <w:szCs w:val="26"/>
        </w:rPr>
        <w:t xml:space="preserve"> to be licensed as a NGS in Pennsylvania.  Accordingly, we</w:t>
      </w:r>
      <w:r w:rsidR="00DE052D">
        <w:rPr>
          <w:noProof/>
          <w:color w:val="000000"/>
          <w:sz w:val="26"/>
          <w:szCs w:val="26"/>
        </w:rPr>
        <w:t xml:space="preserve"> have revised both S</w:t>
      </w:r>
      <w:r w:rsidR="00C6268C" w:rsidRPr="00273105">
        <w:rPr>
          <w:noProof/>
          <w:color w:val="000000"/>
          <w:sz w:val="26"/>
          <w:szCs w:val="26"/>
        </w:rPr>
        <w:t>ection 62.111(c)(1)(i)(A) and 6</w:t>
      </w:r>
      <w:r w:rsidR="008056FA" w:rsidRPr="00273105">
        <w:rPr>
          <w:noProof/>
          <w:color w:val="000000"/>
          <w:sz w:val="26"/>
          <w:szCs w:val="26"/>
        </w:rPr>
        <w:t>2.111(c)(1)(ii)(A) consistent with this discussion.</w:t>
      </w:r>
      <w:r w:rsidR="00DF2492" w:rsidRPr="00273105">
        <w:rPr>
          <w:noProof/>
          <w:color w:val="000000"/>
          <w:sz w:val="26"/>
          <w:szCs w:val="26"/>
        </w:rPr>
        <w:t xml:space="preserve"> </w:t>
      </w:r>
    </w:p>
    <w:p w:rsidR="0047760C" w:rsidRPr="00273105" w:rsidRDefault="0047760C" w:rsidP="006B3BD6">
      <w:pPr>
        <w:spacing w:line="360" w:lineRule="auto"/>
        <w:ind w:firstLine="720"/>
        <w:rPr>
          <w:noProof/>
          <w:color w:val="000000"/>
          <w:sz w:val="26"/>
          <w:szCs w:val="26"/>
        </w:rPr>
      </w:pPr>
    </w:p>
    <w:p w:rsidR="006268FE" w:rsidRPr="00273105" w:rsidRDefault="0047760C" w:rsidP="006B3BD6">
      <w:pPr>
        <w:spacing w:line="360" w:lineRule="auto"/>
        <w:ind w:firstLine="720"/>
        <w:rPr>
          <w:noProof/>
          <w:color w:val="000000"/>
          <w:sz w:val="26"/>
          <w:szCs w:val="26"/>
        </w:rPr>
      </w:pPr>
      <w:r w:rsidRPr="00273105">
        <w:rPr>
          <w:noProof/>
          <w:color w:val="000000"/>
          <w:sz w:val="26"/>
          <w:szCs w:val="26"/>
        </w:rPr>
        <w:t>Finally, for consistency, w</w:t>
      </w:r>
      <w:r w:rsidR="006005B9" w:rsidRPr="00273105">
        <w:rPr>
          <w:noProof/>
          <w:color w:val="000000"/>
          <w:sz w:val="26"/>
          <w:szCs w:val="26"/>
        </w:rPr>
        <w:t xml:space="preserve">e </w:t>
      </w:r>
      <w:r w:rsidR="00397841" w:rsidRPr="00273105">
        <w:rPr>
          <w:noProof/>
          <w:color w:val="000000"/>
          <w:sz w:val="26"/>
          <w:szCs w:val="26"/>
        </w:rPr>
        <w:t xml:space="preserve">added </w:t>
      </w:r>
      <w:r w:rsidR="00C1226D" w:rsidRPr="00273105">
        <w:rPr>
          <w:noProof/>
          <w:color w:val="000000"/>
          <w:sz w:val="26"/>
          <w:szCs w:val="26"/>
        </w:rPr>
        <w:t xml:space="preserve">a reference </w:t>
      </w:r>
      <w:r w:rsidR="00397841" w:rsidRPr="00273105">
        <w:rPr>
          <w:noProof/>
          <w:color w:val="000000"/>
          <w:sz w:val="26"/>
          <w:szCs w:val="26"/>
        </w:rPr>
        <w:t>to</w:t>
      </w:r>
      <w:r w:rsidR="00DF2492" w:rsidRPr="00273105">
        <w:rPr>
          <w:noProof/>
          <w:color w:val="000000"/>
          <w:sz w:val="26"/>
          <w:szCs w:val="26"/>
        </w:rPr>
        <w:t xml:space="preserve"> </w:t>
      </w:r>
      <w:r w:rsidR="00DE052D">
        <w:rPr>
          <w:noProof/>
          <w:color w:val="000000"/>
          <w:sz w:val="26"/>
          <w:szCs w:val="26"/>
        </w:rPr>
        <w:t>S</w:t>
      </w:r>
      <w:r w:rsidR="00C1226D" w:rsidRPr="00273105">
        <w:rPr>
          <w:noProof/>
          <w:color w:val="000000"/>
          <w:sz w:val="26"/>
          <w:szCs w:val="26"/>
        </w:rPr>
        <w:t xml:space="preserve">ection </w:t>
      </w:r>
      <w:r w:rsidR="006005B9" w:rsidRPr="00273105">
        <w:rPr>
          <w:rFonts w:eastAsia="Calibri"/>
          <w:color w:val="000000"/>
          <w:sz w:val="26"/>
          <w:szCs w:val="26"/>
        </w:rPr>
        <w:t>62.111(c)(i</w:t>
      </w:r>
      <w:r w:rsidR="00C1226D" w:rsidRPr="00273105">
        <w:rPr>
          <w:rFonts w:eastAsia="Calibri"/>
          <w:color w:val="000000"/>
          <w:sz w:val="26"/>
          <w:szCs w:val="26"/>
        </w:rPr>
        <w:t>)(A)-(E)</w:t>
      </w:r>
      <w:r w:rsidRPr="00273105">
        <w:rPr>
          <w:rFonts w:eastAsia="Calibri"/>
          <w:color w:val="000000"/>
          <w:sz w:val="26"/>
          <w:szCs w:val="26"/>
        </w:rPr>
        <w:t>, as now revised,</w:t>
      </w:r>
      <w:r w:rsidR="00C1226D" w:rsidRPr="00273105">
        <w:rPr>
          <w:rFonts w:eastAsia="Calibri"/>
          <w:color w:val="000000"/>
          <w:sz w:val="26"/>
          <w:szCs w:val="26"/>
        </w:rPr>
        <w:t xml:space="preserve"> in </w:t>
      </w:r>
      <w:r w:rsidR="00DE052D">
        <w:rPr>
          <w:noProof/>
          <w:color w:val="000000"/>
          <w:sz w:val="26"/>
          <w:szCs w:val="26"/>
        </w:rPr>
        <w:t>S</w:t>
      </w:r>
      <w:r w:rsidR="00DF2492" w:rsidRPr="00273105">
        <w:rPr>
          <w:noProof/>
          <w:color w:val="000000"/>
          <w:sz w:val="26"/>
          <w:szCs w:val="26"/>
        </w:rPr>
        <w:t xml:space="preserve">ection </w:t>
      </w:r>
      <w:r w:rsidR="00397841" w:rsidRPr="00273105">
        <w:rPr>
          <w:noProof/>
          <w:color w:val="000000"/>
          <w:sz w:val="26"/>
          <w:szCs w:val="26"/>
        </w:rPr>
        <w:t>62.111</w:t>
      </w:r>
      <w:r w:rsidR="00DF2492" w:rsidRPr="00273105">
        <w:rPr>
          <w:noProof/>
          <w:color w:val="000000"/>
          <w:sz w:val="26"/>
          <w:szCs w:val="26"/>
        </w:rPr>
        <w:t xml:space="preserve">(c)(1)(i)(D) </w:t>
      </w:r>
      <w:r w:rsidR="00C1226D" w:rsidRPr="00273105">
        <w:rPr>
          <w:noProof/>
          <w:color w:val="000000"/>
          <w:sz w:val="26"/>
          <w:szCs w:val="26"/>
        </w:rPr>
        <w:t xml:space="preserve">to </w:t>
      </w:r>
      <w:r w:rsidR="006005B9" w:rsidRPr="00273105">
        <w:rPr>
          <w:noProof/>
          <w:color w:val="000000"/>
          <w:sz w:val="26"/>
          <w:szCs w:val="26"/>
        </w:rPr>
        <w:t xml:space="preserve">better </w:t>
      </w:r>
      <w:r w:rsidR="00C1226D" w:rsidRPr="00273105">
        <w:rPr>
          <w:noProof/>
          <w:color w:val="000000"/>
          <w:sz w:val="26"/>
          <w:szCs w:val="26"/>
        </w:rPr>
        <w:t>explain the phrase “information that materially affects a lice</w:t>
      </w:r>
      <w:r w:rsidR="006005B9" w:rsidRPr="00273105">
        <w:rPr>
          <w:noProof/>
          <w:color w:val="000000"/>
          <w:sz w:val="26"/>
          <w:szCs w:val="26"/>
        </w:rPr>
        <w:t>nsee’s creditworthiness”</w:t>
      </w:r>
      <w:r w:rsidRPr="00273105">
        <w:rPr>
          <w:noProof/>
          <w:color w:val="000000"/>
          <w:sz w:val="26"/>
          <w:szCs w:val="26"/>
        </w:rPr>
        <w:t xml:space="preserve"> </w:t>
      </w:r>
      <w:r w:rsidR="00E9671B" w:rsidRPr="00273105">
        <w:rPr>
          <w:noProof/>
          <w:color w:val="000000"/>
          <w:sz w:val="26"/>
          <w:szCs w:val="26"/>
        </w:rPr>
        <w:t>in regard to establishing the initial security amount for NGS licensing requirement.</w:t>
      </w:r>
      <w:r w:rsidR="00DF2492" w:rsidRPr="00273105">
        <w:rPr>
          <w:noProof/>
          <w:color w:val="000000"/>
          <w:sz w:val="26"/>
          <w:szCs w:val="26"/>
        </w:rPr>
        <w:t xml:space="preserve"> </w:t>
      </w:r>
    </w:p>
    <w:p w:rsidR="006E5EF4" w:rsidRDefault="006E5EF4" w:rsidP="00A844A6">
      <w:pPr>
        <w:spacing w:line="360" w:lineRule="auto"/>
        <w:rPr>
          <w:b/>
          <w:color w:val="000000"/>
          <w:sz w:val="26"/>
          <w:szCs w:val="26"/>
        </w:rPr>
      </w:pPr>
    </w:p>
    <w:p w:rsidR="00A844A6" w:rsidRPr="00273105" w:rsidRDefault="0067483F" w:rsidP="00A844A6">
      <w:pPr>
        <w:spacing w:line="360" w:lineRule="auto"/>
        <w:rPr>
          <w:b/>
          <w:color w:val="000000"/>
          <w:sz w:val="26"/>
          <w:szCs w:val="26"/>
        </w:rPr>
      </w:pPr>
      <w:r w:rsidRPr="00273105">
        <w:rPr>
          <w:b/>
          <w:color w:val="000000"/>
          <w:sz w:val="26"/>
          <w:szCs w:val="26"/>
        </w:rPr>
        <w:t xml:space="preserve">Section 62.111(c)(2) </w:t>
      </w:r>
      <w:r w:rsidR="00A844A6" w:rsidRPr="00273105">
        <w:rPr>
          <w:b/>
          <w:color w:val="000000"/>
          <w:sz w:val="26"/>
          <w:szCs w:val="26"/>
        </w:rPr>
        <w:t>-Types of Security</w:t>
      </w:r>
    </w:p>
    <w:p w:rsidR="005659A1" w:rsidRPr="00273105" w:rsidRDefault="005659A1" w:rsidP="00770178">
      <w:pPr>
        <w:spacing w:line="360" w:lineRule="auto"/>
        <w:rPr>
          <w:b/>
          <w:color w:val="000000"/>
          <w:sz w:val="26"/>
          <w:szCs w:val="26"/>
        </w:rPr>
      </w:pPr>
    </w:p>
    <w:p w:rsidR="0067483F" w:rsidRPr="00273105" w:rsidRDefault="008056FA" w:rsidP="00770178">
      <w:pPr>
        <w:spacing w:line="360" w:lineRule="auto"/>
        <w:rPr>
          <w:color w:val="000000"/>
          <w:sz w:val="26"/>
          <w:szCs w:val="26"/>
        </w:rPr>
      </w:pPr>
      <w:r w:rsidRPr="00273105">
        <w:rPr>
          <w:color w:val="000000"/>
          <w:sz w:val="26"/>
          <w:szCs w:val="26"/>
        </w:rPr>
        <w:tab/>
        <w:t xml:space="preserve">This section lists the legal and financial instruments that shall be acceptable for security.  </w:t>
      </w:r>
      <w:r w:rsidR="00BD569A">
        <w:rPr>
          <w:color w:val="000000"/>
          <w:sz w:val="26"/>
          <w:szCs w:val="26"/>
        </w:rPr>
        <w:t>In the proposed rulemaking order, w</w:t>
      </w:r>
      <w:r w:rsidRPr="00273105">
        <w:rPr>
          <w:color w:val="000000"/>
          <w:sz w:val="26"/>
          <w:szCs w:val="26"/>
        </w:rPr>
        <w:t>e revised the list to include escrow accounts, accounts pledged to the NGDC or sold by the supplier in a NGDC purchase of receivables program, and “calls on capacity” or other operational offsets that may be mutually agreeable to NGDC and NGS.</w:t>
      </w:r>
    </w:p>
    <w:p w:rsidR="00BD43D7" w:rsidRPr="00273105" w:rsidRDefault="00BD43D7" w:rsidP="00770178">
      <w:pPr>
        <w:spacing w:line="360" w:lineRule="auto"/>
        <w:rPr>
          <w:b/>
          <w:color w:val="000000"/>
          <w:sz w:val="26"/>
          <w:szCs w:val="26"/>
        </w:rPr>
      </w:pPr>
    </w:p>
    <w:p w:rsidR="00BD43D7" w:rsidRPr="00273105" w:rsidRDefault="00BD569A" w:rsidP="00226234">
      <w:pPr>
        <w:spacing w:line="360" w:lineRule="auto"/>
        <w:ind w:firstLine="720"/>
        <w:rPr>
          <w:color w:val="000000"/>
          <w:sz w:val="26"/>
          <w:szCs w:val="26"/>
        </w:rPr>
      </w:pPr>
      <w:r>
        <w:rPr>
          <w:color w:val="000000"/>
          <w:sz w:val="26"/>
          <w:szCs w:val="26"/>
        </w:rPr>
        <w:t xml:space="preserve">In its comments, </w:t>
      </w:r>
      <w:r w:rsidR="008056FA" w:rsidRPr="00273105">
        <w:rPr>
          <w:color w:val="000000"/>
          <w:sz w:val="26"/>
          <w:szCs w:val="26"/>
        </w:rPr>
        <w:t>NFG argues that accounts receivable that are ‘sold’ cannot be used as security by anyone.  NFG states that the financial exposure imposed by an NGS on a NGDC may be reduced by a purchase of receivables program.  The accounts receivable will not be a security instrument, but it will lower the financial exposure of the NGDC through the ability of the NGDC to “off-set” any potential liabilities incurred by the NGS with payments due under the POR.</w:t>
      </w:r>
      <w:r w:rsidR="006A6466">
        <w:rPr>
          <w:color w:val="000000"/>
          <w:sz w:val="26"/>
          <w:szCs w:val="26"/>
        </w:rPr>
        <w:t xml:space="preserve"> </w:t>
      </w:r>
      <w:r w:rsidR="00FE25DD" w:rsidRPr="00FE25DD">
        <w:rPr>
          <w:i/>
          <w:color w:val="000000"/>
          <w:sz w:val="26"/>
          <w:szCs w:val="26"/>
        </w:rPr>
        <w:t>NFG Comments</w:t>
      </w:r>
      <w:r w:rsidR="006A6466">
        <w:rPr>
          <w:color w:val="000000"/>
          <w:sz w:val="26"/>
          <w:szCs w:val="26"/>
        </w:rPr>
        <w:t>, pp.</w:t>
      </w:r>
      <w:r w:rsidR="00CB437D">
        <w:rPr>
          <w:color w:val="000000"/>
          <w:sz w:val="26"/>
          <w:szCs w:val="26"/>
        </w:rPr>
        <w:t xml:space="preserve"> </w:t>
      </w:r>
      <w:r w:rsidR="006A6466">
        <w:rPr>
          <w:color w:val="000000"/>
          <w:sz w:val="26"/>
          <w:szCs w:val="26"/>
        </w:rPr>
        <w:t>5-6.</w:t>
      </w:r>
    </w:p>
    <w:p w:rsidR="00BD43D7" w:rsidRDefault="008056FA" w:rsidP="00770178">
      <w:pPr>
        <w:spacing w:line="360" w:lineRule="auto"/>
        <w:rPr>
          <w:color w:val="000000"/>
          <w:sz w:val="26"/>
          <w:szCs w:val="26"/>
        </w:rPr>
      </w:pPr>
      <w:r w:rsidRPr="00273105">
        <w:rPr>
          <w:color w:val="000000"/>
          <w:sz w:val="26"/>
          <w:szCs w:val="26"/>
        </w:rPr>
        <w:lastRenderedPageBreak/>
        <w:tab/>
        <w:t xml:space="preserve">Equitable states that the final regulations for POR programs have not yet been established so it is premature to include receivables as a type of acceptable security.  Currently Equitable forwards NGS receivables once per calendar month.  </w:t>
      </w:r>
      <w:r w:rsidR="00A865A6">
        <w:rPr>
          <w:color w:val="000000"/>
          <w:sz w:val="26"/>
          <w:szCs w:val="26"/>
        </w:rPr>
        <w:t>Equitable questions wh</w:t>
      </w:r>
      <w:r w:rsidR="00523FA2">
        <w:rPr>
          <w:color w:val="000000"/>
          <w:sz w:val="26"/>
          <w:szCs w:val="26"/>
        </w:rPr>
        <w:t xml:space="preserve">ether it would be acceptable </w:t>
      </w:r>
      <w:r w:rsidR="00A865A6">
        <w:rPr>
          <w:color w:val="000000"/>
          <w:sz w:val="26"/>
          <w:szCs w:val="26"/>
        </w:rPr>
        <w:t xml:space="preserve">for the NGDC to retain 100% of the NGS receivables </w:t>
      </w:r>
      <w:r w:rsidR="00B5702C">
        <w:rPr>
          <w:color w:val="000000"/>
          <w:sz w:val="26"/>
          <w:szCs w:val="26"/>
        </w:rPr>
        <w:t xml:space="preserve">if </w:t>
      </w:r>
      <w:r w:rsidR="00B5702C" w:rsidRPr="00273105">
        <w:rPr>
          <w:color w:val="000000"/>
          <w:sz w:val="26"/>
          <w:szCs w:val="26"/>
        </w:rPr>
        <w:t>the</w:t>
      </w:r>
      <w:r w:rsidRPr="00273105">
        <w:rPr>
          <w:color w:val="000000"/>
          <w:sz w:val="26"/>
          <w:szCs w:val="26"/>
        </w:rPr>
        <w:t xml:space="preserve"> NGS fails to deliver gas during a winter month</w:t>
      </w:r>
      <w:r w:rsidR="00A865A6">
        <w:rPr>
          <w:color w:val="000000"/>
          <w:sz w:val="26"/>
          <w:szCs w:val="26"/>
        </w:rPr>
        <w:t>.</w:t>
      </w:r>
      <w:r w:rsidRPr="00273105">
        <w:rPr>
          <w:color w:val="000000"/>
          <w:sz w:val="26"/>
          <w:szCs w:val="26"/>
        </w:rPr>
        <w:t xml:space="preserve"> </w:t>
      </w:r>
      <w:r w:rsidR="006E5EF4">
        <w:rPr>
          <w:color w:val="000000"/>
          <w:sz w:val="26"/>
          <w:szCs w:val="26"/>
        </w:rPr>
        <w:t xml:space="preserve"> </w:t>
      </w:r>
      <w:r w:rsidR="00155AB5">
        <w:rPr>
          <w:color w:val="000000"/>
          <w:sz w:val="26"/>
          <w:szCs w:val="26"/>
        </w:rPr>
        <w:t>Equitable also states that a</w:t>
      </w:r>
      <w:r w:rsidRPr="00273105">
        <w:rPr>
          <w:color w:val="000000"/>
          <w:sz w:val="26"/>
          <w:szCs w:val="26"/>
        </w:rPr>
        <w:t xml:space="preserve"> NGDC should be allowed to retain 100% of NGS receivables in the event of a mid-month NGS failure to deliver, and receivables considered to be acceptable security.  The receivables would be used to satisfy the NGS obligations with the balance, if any, payable to the NGS.  Equitable notes that NGSs have historically failed during periods of a run-up in gas prices.  </w:t>
      </w:r>
      <w:r w:rsidR="00021582" w:rsidRPr="00287DED">
        <w:rPr>
          <w:i/>
          <w:color w:val="000000"/>
          <w:sz w:val="26"/>
          <w:szCs w:val="26"/>
        </w:rPr>
        <w:t>Equitable Comments</w:t>
      </w:r>
      <w:r w:rsidR="00021582">
        <w:rPr>
          <w:color w:val="000000"/>
          <w:sz w:val="26"/>
          <w:szCs w:val="26"/>
        </w:rPr>
        <w:t>,</w:t>
      </w:r>
      <w:r w:rsidR="00FB5B31">
        <w:rPr>
          <w:color w:val="000000"/>
          <w:sz w:val="26"/>
          <w:szCs w:val="26"/>
        </w:rPr>
        <w:t xml:space="preserve"> Appendix A,</w:t>
      </w:r>
      <w:r w:rsidR="00021582">
        <w:rPr>
          <w:color w:val="000000"/>
          <w:sz w:val="26"/>
          <w:szCs w:val="26"/>
        </w:rPr>
        <w:t xml:space="preserve"> </w:t>
      </w:r>
      <w:r w:rsidR="00FB5B31">
        <w:rPr>
          <w:color w:val="000000"/>
          <w:sz w:val="26"/>
          <w:szCs w:val="26"/>
        </w:rPr>
        <w:t>p</w:t>
      </w:r>
      <w:r w:rsidR="00021582">
        <w:rPr>
          <w:color w:val="000000"/>
          <w:sz w:val="26"/>
          <w:szCs w:val="26"/>
        </w:rPr>
        <w:t xml:space="preserve">p. </w:t>
      </w:r>
      <w:r w:rsidR="00FB5B31">
        <w:rPr>
          <w:color w:val="000000"/>
          <w:sz w:val="26"/>
          <w:szCs w:val="26"/>
        </w:rPr>
        <w:t>1-2</w:t>
      </w:r>
      <w:r w:rsidR="00021582">
        <w:rPr>
          <w:color w:val="000000"/>
          <w:sz w:val="26"/>
          <w:szCs w:val="26"/>
        </w:rPr>
        <w:t>.</w:t>
      </w:r>
    </w:p>
    <w:p w:rsidR="00044351" w:rsidRDefault="00044351" w:rsidP="00770178">
      <w:pPr>
        <w:spacing w:line="360" w:lineRule="auto"/>
        <w:rPr>
          <w:color w:val="000000"/>
          <w:sz w:val="26"/>
          <w:szCs w:val="26"/>
        </w:rPr>
      </w:pPr>
    </w:p>
    <w:p w:rsidR="00044351" w:rsidRPr="00273105" w:rsidRDefault="00044351" w:rsidP="00770178">
      <w:pPr>
        <w:spacing w:line="360" w:lineRule="auto"/>
        <w:rPr>
          <w:color w:val="000000"/>
          <w:sz w:val="26"/>
          <w:szCs w:val="26"/>
        </w:rPr>
      </w:pPr>
      <w:r>
        <w:rPr>
          <w:color w:val="000000"/>
          <w:sz w:val="26"/>
          <w:szCs w:val="26"/>
        </w:rPr>
        <w:tab/>
        <w:t xml:space="preserve">PECO states that if a NGDC purchases NGS customer receivables, the receivables belong to the NGDC and the NGDC acquires the increased risk of uncollectible accounts.  NGDCs should not be required to use those receivables to satisfy NGS </w:t>
      </w:r>
      <w:r w:rsidR="001D2A27">
        <w:rPr>
          <w:color w:val="000000"/>
          <w:sz w:val="26"/>
          <w:szCs w:val="26"/>
        </w:rPr>
        <w:t xml:space="preserve">security requirements.  </w:t>
      </w:r>
      <w:r w:rsidR="001D2A27" w:rsidRPr="001D2A27">
        <w:rPr>
          <w:i/>
          <w:color w:val="000000"/>
          <w:sz w:val="26"/>
          <w:szCs w:val="26"/>
        </w:rPr>
        <w:t>PECO Comments</w:t>
      </w:r>
      <w:r w:rsidR="001D2A27">
        <w:rPr>
          <w:color w:val="000000"/>
          <w:sz w:val="26"/>
          <w:szCs w:val="26"/>
        </w:rPr>
        <w:t>, p. 4.</w:t>
      </w:r>
    </w:p>
    <w:p w:rsidR="000D6EDA" w:rsidRPr="00273105" w:rsidRDefault="000D6EDA" w:rsidP="00770178">
      <w:pPr>
        <w:spacing w:line="360" w:lineRule="auto"/>
        <w:rPr>
          <w:color w:val="000000"/>
          <w:sz w:val="26"/>
          <w:szCs w:val="26"/>
        </w:rPr>
      </w:pPr>
    </w:p>
    <w:p w:rsidR="000D6EDA" w:rsidRPr="00273105" w:rsidRDefault="008056FA" w:rsidP="00770178">
      <w:pPr>
        <w:spacing w:line="360" w:lineRule="auto"/>
        <w:rPr>
          <w:color w:val="000000"/>
          <w:sz w:val="26"/>
          <w:szCs w:val="26"/>
        </w:rPr>
      </w:pPr>
      <w:r w:rsidRPr="00273105">
        <w:rPr>
          <w:color w:val="000000"/>
          <w:sz w:val="26"/>
          <w:szCs w:val="26"/>
        </w:rPr>
        <w:tab/>
        <w:t xml:space="preserve">IRRC states that the PUC needs to provide further justification for including accounts receivable as acceptable security.  This direction is based on comments that receivables cannot quickly be converted to cash, and alone, should not be an acceptable form of security.  </w:t>
      </w:r>
      <w:r w:rsidR="00155AB5" w:rsidRPr="00B002C1">
        <w:rPr>
          <w:i/>
          <w:color w:val="000000"/>
          <w:sz w:val="26"/>
          <w:szCs w:val="26"/>
        </w:rPr>
        <w:t>IRRC Comments</w:t>
      </w:r>
      <w:r w:rsidR="00155AB5">
        <w:rPr>
          <w:color w:val="000000"/>
          <w:sz w:val="26"/>
          <w:szCs w:val="26"/>
        </w:rPr>
        <w:t>, p.</w:t>
      </w:r>
      <w:r w:rsidR="00310F35">
        <w:rPr>
          <w:color w:val="000000"/>
          <w:sz w:val="26"/>
          <w:szCs w:val="26"/>
        </w:rPr>
        <w:t xml:space="preserve"> 2.</w:t>
      </w:r>
    </w:p>
    <w:p w:rsidR="00363AE6" w:rsidRPr="00273105" w:rsidRDefault="00363AE6" w:rsidP="00770178">
      <w:pPr>
        <w:spacing w:line="360" w:lineRule="auto"/>
        <w:rPr>
          <w:color w:val="000000"/>
          <w:sz w:val="26"/>
          <w:szCs w:val="26"/>
        </w:rPr>
      </w:pPr>
    </w:p>
    <w:p w:rsidR="007F4828" w:rsidRDefault="00363AE6" w:rsidP="00770178">
      <w:pPr>
        <w:spacing w:line="360" w:lineRule="auto"/>
        <w:rPr>
          <w:color w:val="000000"/>
          <w:sz w:val="26"/>
          <w:szCs w:val="26"/>
        </w:rPr>
      </w:pPr>
      <w:r w:rsidRPr="00273105">
        <w:rPr>
          <w:color w:val="000000"/>
          <w:sz w:val="26"/>
          <w:szCs w:val="26"/>
        </w:rPr>
        <w:tab/>
        <w:t>RESA suggests adding an additional operational of</w:t>
      </w:r>
      <w:r w:rsidR="00DE052D">
        <w:rPr>
          <w:color w:val="000000"/>
          <w:sz w:val="26"/>
          <w:szCs w:val="26"/>
        </w:rPr>
        <w:t>fset to be used as security in S</w:t>
      </w:r>
      <w:r w:rsidRPr="00273105">
        <w:rPr>
          <w:color w:val="000000"/>
          <w:sz w:val="26"/>
          <w:szCs w:val="26"/>
        </w:rPr>
        <w:t xml:space="preserve">ection 62.111(c)(2)(vi): “netting NGDC gas supply purchases against NGS collateral requirements.” </w:t>
      </w:r>
      <w:r w:rsidR="00310F35">
        <w:rPr>
          <w:i/>
          <w:color w:val="000000"/>
          <w:sz w:val="26"/>
          <w:szCs w:val="26"/>
        </w:rPr>
        <w:t xml:space="preserve">RESA </w:t>
      </w:r>
      <w:r w:rsidR="00155AB5" w:rsidRPr="00B002C1">
        <w:rPr>
          <w:i/>
          <w:color w:val="000000"/>
          <w:sz w:val="26"/>
          <w:szCs w:val="26"/>
        </w:rPr>
        <w:t>Comments</w:t>
      </w:r>
      <w:r w:rsidR="00155AB5">
        <w:rPr>
          <w:color w:val="000000"/>
          <w:sz w:val="26"/>
          <w:szCs w:val="26"/>
        </w:rPr>
        <w:t xml:space="preserve">, p. </w:t>
      </w:r>
      <w:r w:rsidR="004E3DEF">
        <w:rPr>
          <w:color w:val="000000"/>
          <w:sz w:val="26"/>
          <w:szCs w:val="26"/>
        </w:rPr>
        <w:t>7</w:t>
      </w:r>
      <w:r w:rsidR="00155AB5">
        <w:rPr>
          <w:color w:val="000000"/>
          <w:sz w:val="26"/>
          <w:szCs w:val="26"/>
        </w:rPr>
        <w:t>.</w:t>
      </w:r>
    </w:p>
    <w:p w:rsidR="00F62489" w:rsidRDefault="00F62489" w:rsidP="00770178">
      <w:pPr>
        <w:spacing w:line="360" w:lineRule="auto"/>
        <w:rPr>
          <w:color w:val="000000"/>
          <w:sz w:val="26"/>
          <w:szCs w:val="26"/>
        </w:rPr>
      </w:pPr>
    </w:p>
    <w:p w:rsidR="00F62489" w:rsidRPr="00273105" w:rsidRDefault="00F62489" w:rsidP="00770178">
      <w:pPr>
        <w:spacing w:line="360" w:lineRule="auto"/>
        <w:rPr>
          <w:color w:val="000000"/>
          <w:sz w:val="26"/>
          <w:szCs w:val="26"/>
        </w:rPr>
      </w:pPr>
      <w:r>
        <w:rPr>
          <w:color w:val="000000"/>
          <w:sz w:val="26"/>
          <w:szCs w:val="26"/>
        </w:rPr>
        <w:tab/>
        <w:t xml:space="preserve">NFG </w:t>
      </w:r>
      <w:r w:rsidR="007B2112">
        <w:rPr>
          <w:color w:val="000000"/>
          <w:sz w:val="26"/>
          <w:szCs w:val="26"/>
        </w:rPr>
        <w:t>comments</w:t>
      </w:r>
      <w:r>
        <w:rPr>
          <w:color w:val="000000"/>
          <w:sz w:val="26"/>
          <w:szCs w:val="26"/>
        </w:rPr>
        <w:t xml:space="preserve"> that “cash” should be </w:t>
      </w:r>
      <w:r w:rsidR="007B2112">
        <w:rPr>
          <w:color w:val="000000"/>
          <w:sz w:val="26"/>
          <w:szCs w:val="26"/>
        </w:rPr>
        <w:t xml:space="preserve">added as a form of security.  NFG also comments that “escrow accounts” should be deleted as a type of security because of the administrative expenses involved in maintaining such an account.  </w:t>
      </w:r>
      <w:r w:rsidR="007B2112" w:rsidRPr="007B2112">
        <w:rPr>
          <w:i/>
          <w:color w:val="000000"/>
          <w:sz w:val="26"/>
          <w:szCs w:val="26"/>
        </w:rPr>
        <w:t>NFG Comments</w:t>
      </w:r>
      <w:r w:rsidR="007B2112">
        <w:rPr>
          <w:color w:val="000000"/>
          <w:sz w:val="26"/>
          <w:szCs w:val="26"/>
        </w:rPr>
        <w:t>, p. 5.</w:t>
      </w:r>
    </w:p>
    <w:p w:rsidR="00363AE6" w:rsidRPr="00273105" w:rsidRDefault="00363AE6" w:rsidP="00770178">
      <w:pPr>
        <w:spacing w:line="360" w:lineRule="auto"/>
        <w:rPr>
          <w:b/>
          <w:color w:val="000000"/>
          <w:sz w:val="26"/>
          <w:szCs w:val="26"/>
        </w:rPr>
      </w:pPr>
    </w:p>
    <w:p w:rsidR="002C175C" w:rsidRPr="00273105" w:rsidRDefault="007F4828" w:rsidP="00770178">
      <w:pPr>
        <w:spacing w:line="360" w:lineRule="auto"/>
        <w:rPr>
          <w:b/>
          <w:i/>
          <w:color w:val="000000"/>
          <w:sz w:val="26"/>
          <w:szCs w:val="26"/>
        </w:rPr>
      </w:pPr>
      <w:r w:rsidRPr="00273105">
        <w:rPr>
          <w:b/>
          <w:i/>
          <w:color w:val="000000"/>
          <w:sz w:val="26"/>
          <w:szCs w:val="26"/>
        </w:rPr>
        <w:lastRenderedPageBreak/>
        <w:t>Resolution</w:t>
      </w:r>
    </w:p>
    <w:p w:rsidR="00C7735E" w:rsidRPr="00273105" w:rsidRDefault="00C7735E" w:rsidP="00770178">
      <w:pPr>
        <w:spacing w:line="360" w:lineRule="auto"/>
        <w:rPr>
          <w:b/>
          <w:i/>
          <w:color w:val="000000"/>
          <w:sz w:val="26"/>
          <w:szCs w:val="26"/>
        </w:rPr>
      </w:pPr>
    </w:p>
    <w:p w:rsidR="002330F9" w:rsidRPr="00273105" w:rsidRDefault="008056FA" w:rsidP="002330F9">
      <w:pPr>
        <w:spacing w:after="120" w:line="360" w:lineRule="auto"/>
        <w:ind w:firstLine="720"/>
        <w:rPr>
          <w:rFonts w:eastAsia="Calibri"/>
          <w:color w:val="000000"/>
          <w:sz w:val="26"/>
          <w:szCs w:val="26"/>
        </w:rPr>
      </w:pPr>
      <w:r w:rsidRPr="00273105">
        <w:rPr>
          <w:rFonts w:eastAsia="Calibri"/>
          <w:color w:val="000000"/>
          <w:sz w:val="26"/>
          <w:szCs w:val="26"/>
        </w:rPr>
        <w:t xml:space="preserve">The use of the word “sold” in the provision that permitted purchase of receivables to be used as security collateral was to provide flexibility to NGDCs in designing “purchase of receivables” programs (POR).  Because of the legal ambiguity unintentionally created, we have replaced the word “sold” with “assigned.”  </w:t>
      </w:r>
    </w:p>
    <w:p w:rsidR="00B449B8" w:rsidRPr="00273105" w:rsidRDefault="00B449B8" w:rsidP="002330F9">
      <w:pPr>
        <w:spacing w:after="120" w:line="360" w:lineRule="auto"/>
        <w:ind w:firstLine="720"/>
        <w:rPr>
          <w:rFonts w:eastAsia="Calibri"/>
          <w:color w:val="000000"/>
          <w:sz w:val="26"/>
          <w:szCs w:val="26"/>
        </w:rPr>
      </w:pPr>
    </w:p>
    <w:p w:rsidR="001327DF" w:rsidRPr="00273105" w:rsidRDefault="008056FA" w:rsidP="002330F9">
      <w:pPr>
        <w:spacing w:after="120" w:line="360" w:lineRule="auto"/>
        <w:ind w:firstLine="720"/>
        <w:rPr>
          <w:rFonts w:eastAsia="Calibri"/>
          <w:color w:val="000000"/>
          <w:sz w:val="26"/>
          <w:szCs w:val="26"/>
        </w:rPr>
      </w:pPr>
      <w:r w:rsidRPr="00273105">
        <w:rPr>
          <w:rFonts w:eastAsia="Calibri"/>
          <w:color w:val="000000"/>
          <w:sz w:val="26"/>
          <w:szCs w:val="26"/>
        </w:rPr>
        <w:t>In response to IRRC</w:t>
      </w:r>
      <w:r w:rsidR="00373D92">
        <w:rPr>
          <w:rFonts w:eastAsia="Calibri"/>
          <w:color w:val="000000"/>
          <w:sz w:val="26"/>
          <w:szCs w:val="26"/>
        </w:rPr>
        <w:t>’s</w:t>
      </w:r>
      <w:r w:rsidRPr="00273105">
        <w:rPr>
          <w:rFonts w:eastAsia="Calibri"/>
          <w:color w:val="000000"/>
          <w:sz w:val="26"/>
          <w:szCs w:val="26"/>
        </w:rPr>
        <w:t xml:space="preserve"> comment regarding the need to justify the use of receivables as a security, we note that accounts receivable represent a future stream of income owed to the NGS, and thus, are an asset.  As such, receivables are NGS personal property, a type of security that has been recognized as an acceptable form of security since the regulations were first promulgated on July 21, 2001.  </w:t>
      </w:r>
      <w:r w:rsidRPr="00273105">
        <w:rPr>
          <w:rFonts w:eastAsia="Calibri"/>
          <w:i/>
          <w:color w:val="000000"/>
          <w:sz w:val="26"/>
          <w:szCs w:val="26"/>
        </w:rPr>
        <w:t>See</w:t>
      </w:r>
      <w:r w:rsidRPr="00273105">
        <w:rPr>
          <w:rFonts w:eastAsia="Calibri"/>
          <w:color w:val="000000"/>
          <w:sz w:val="26"/>
          <w:szCs w:val="26"/>
        </w:rPr>
        <w:t xml:space="preserve"> 52 Pa. Code </w:t>
      </w:r>
      <w:r w:rsidR="007739CF">
        <w:rPr>
          <w:rFonts w:eastAsia="Calibri"/>
          <w:color w:val="000000"/>
          <w:sz w:val="26"/>
          <w:szCs w:val="26"/>
        </w:rPr>
        <w:t xml:space="preserve">               </w:t>
      </w:r>
      <w:r w:rsidRPr="00273105">
        <w:rPr>
          <w:rFonts w:eastAsia="Calibri"/>
          <w:color w:val="000000"/>
          <w:sz w:val="26"/>
          <w:szCs w:val="26"/>
        </w:rPr>
        <w:t>§ 62.111(c)(3); 31 Pa.B</w:t>
      </w:r>
      <w:r w:rsidR="00A865A6">
        <w:rPr>
          <w:rFonts w:eastAsia="Calibri"/>
          <w:color w:val="000000"/>
          <w:sz w:val="26"/>
          <w:szCs w:val="26"/>
        </w:rPr>
        <w:t>.</w:t>
      </w:r>
      <w:r w:rsidRPr="00273105">
        <w:rPr>
          <w:rFonts w:eastAsia="Calibri"/>
          <w:color w:val="000000"/>
          <w:sz w:val="26"/>
          <w:szCs w:val="26"/>
        </w:rPr>
        <w:t xml:space="preserve"> 3943.  By way of further explanation, in POR programs NGS receivables are pledged or are assigned to the NGDC, thereby </w:t>
      </w:r>
      <w:r w:rsidR="00523FA2">
        <w:rPr>
          <w:rFonts w:eastAsia="Calibri"/>
          <w:color w:val="000000"/>
          <w:sz w:val="26"/>
          <w:szCs w:val="26"/>
        </w:rPr>
        <w:t xml:space="preserve">transferring an asset to the NGDC which, in turn, </w:t>
      </w:r>
      <w:r w:rsidRPr="00273105">
        <w:rPr>
          <w:rFonts w:eastAsia="Calibri"/>
          <w:color w:val="000000"/>
          <w:sz w:val="26"/>
          <w:szCs w:val="26"/>
        </w:rPr>
        <w:t>reduc</w:t>
      </w:r>
      <w:r w:rsidR="00523FA2">
        <w:rPr>
          <w:rFonts w:eastAsia="Calibri"/>
          <w:color w:val="000000"/>
          <w:sz w:val="26"/>
          <w:szCs w:val="26"/>
        </w:rPr>
        <w:t>es</w:t>
      </w:r>
      <w:r w:rsidRPr="00273105">
        <w:rPr>
          <w:rFonts w:eastAsia="Calibri"/>
          <w:color w:val="000000"/>
          <w:sz w:val="26"/>
          <w:szCs w:val="26"/>
        </w:rPr>
        <w:t xml:space="preserve"> the financial risk to the NGDC in the event of a NGS default on its obligations, </w:t>
      </w:r>
      <w:r w:rsidRPr="00273105">
        <w:rPr>
          <w:rFonts w:eastAsia="Calibri"/>
          <w:i/>
          <w:color w:val="000000"/>
          <w:sz w:val="26"/>
          <w:szCs w:val="26"/>
        </w:rPr>
        <w:t>e.g.</w:t>
      </w:r>
      <w:r w:rsidRPr="00273105">
        <w:rPr>
          <w:rFonts w:eastAsia="Calibri"/>
          <w:color w:val="000000"/>
          <w:sz w:val="26"/>
          <w:szCs w:val="26"/>
        </w:rPr>
        <w:t xml:space="preserve">, failure to deliver gas in the necessary quantities.  The discounting of NGS receivables in a NGDC’s POR </w:t>
      </w:r>
      <w:r w:rsidR="00DB7110">
        <w:rPr>
          <w:rFonts w:eastAsia="Calibri"/>
          <w:color w:val="000000"/>
          <w:sz w:val="26"/>
          <w:szCs w:val="26"/>
        </w:rPr>
        <w:t>accounts for</w:t>
      </w:r>
      <w:r w:rsidRPr="00273105">
        <w:rPr>
          <w:rFonts w:eastAsia="Calibri"/>
          <w:color w:val="000000"/>
          <w:sz w:val="26"/>
          <w:szCs w:val="26"/>
        </w:rPr>
        <w:t xml:space="preserve"> the risk of uncollectibles, and reduces the NGDC’s overall financial exposure</w:t>
      </w:r>
      <w:r w:rsidR="00523FA2">
        <w:rPr>
          <w:rFonts w:eastAsia="Calibri"/>
          <w:color w:val="000000"/>
          <w:sz w:val="26"/>
          <w:szCs w:val="26"/>
        </w:rPr>
        <w:t xml:space="preserve"> by i</w:t>
      </w:r>
      <w:r w:rsidR="00AF44CF">
        <w:rPr>
          <w:rFonts w:eastAsia="Calibri"/>
          <w:color w:val="000000"/>
          <w:sz w:val="26"/>
          <w:szCs w:val="26"/>
        </w:rPr>
        <w:t>mproving the quality of those NG</w:t>
      </w:r>
      <w:r w:rsidR="00523FA2">
        <w:rPr>
          <w:rFonts w:eastAsia="Calibri"/>
          <w:color w:val="000000"/>
          <w:sz w:val="26"/>
          <w:szCs w:val="26"/>
        </w:rPr>
        <w:t xml:space="preserve">S accounts </w:t>
      </w:r>
      <w:r w:rsidR="00862DB8">
        <w:rPr>
          <w:rFonts w:eastAsia="Calibri"/>
          <w:color w:val="000000"/>
          <w:sz w:val="26"/>
          <w:szCs w:val="26"/>
        </w:rPr>
        <w:t>receivable</w:t>
      </w:r>
      <w:r w:rsidR="00523FA2">
        <w:rPr>
          <w:rFonts w:eastAsia="Calibri"/>
          <w:color w:val="000000"/>
          <w:sz w:val="26"/>
          <w:szCs w:val="26"/>
        </w:rPr>
        <w:t xml:space="preserve"> which now belong to the NGDC</w:t>
      </w:r>
      <w:r w:rsidRPr="00273105">
        <w:rPr>
          <w:rFonts w:eastAsia="Calibri"/>
          <w:color w:val="000000"/>
          <w:sz w:val="26"/>
          <w:szCs w:val="26"/>
        </w:rPr>
        <w:t>.  For th</w:t>
      </w:r>
      <w:r w:rsidR="006F1F48" w:rsidRPr="00273105">
        <w:rPr>
          <w:rFonts w:eastAsia="Calibri"/>
          <w:color w:val="000000"/>
          <w:sz w:val="26"/>
          <w:szCs w:val="26"/>
        </w:rPr>
        <w:t>ese</w:t>
      </w:r>
      <w:r w:rsidR="00FA0517" w:rsidRPr="00273105">
        <w:rPr>
          <w:rFonts w:eastAsia="Calibri"/>
          <w:color w:val="000000"/>
          <w:sz w:val="26"/>
          <w:szCs w:val="26"/>
        </w:rPr>
        <w:t xml:space="preserve"> reason</w:t>
      </w:r>
      <w:r w:rsidR="006F1F48" w:rsidRPr="00273105">
        <w:rPr>
          <w:rFonts w:eastAsia="Calibri"/>
          <w:color w:val="000000"/>
          <w:sz w:val="26"/>
          <w:szCs w:val="26"/>
        </w:rPr>
        <w:t>s</w:t>
      </w:r>
      <w:r w:rsidR="00FA0517" w:rsidRPr="00273105">
        <w:rPr>
          <w:rFonts w:eastAsia="Calibri"/>
          <w:color w:val="000000"/>
          <w:sz w:val="26"/>
          <w:szCs w:val="26"/>
        </w:rPr>
        <w:t xml:space="preserve">, </w:t>
      </w:r>
      <w:r w:rsidR="006F1F48" w:rsidRPr="00273105">
        <w:rPr>
          <w:rFonts w:eastAsia="Calibri"/>
          <w:color w:val="000000"/>
          <w:sz w:val="26"/>
          <w:szCs w:val="26"/>
        </w:rPr>
        <w:t xml:space="preserve">we believe that </w:t>
      </w:r>
      <w:r w:rsidR="00A80825" w:rsidRPr="00273105">
        <w:rPr>
          <w:rFonts w:eastAsia="Calibri"/>
          <w:color w:val="000000"/>
          <w:sz w:val="26"/>
          <w:szCs w:val="26"/>
        </w:rPr>
        <w:t>receivables in a POR program are</w:t>
      </w:r>
      <w:r w:rsidR="00C343FA" w:rsidRPr="00273105">
        <w:rPr>
          <w:rFonts w:eastAsia="Calibri"/>
          <w:color w:val="000000"/>
          <w:sz w:val="26"/>
          <w:szCs w:val="26"/>
        </w:rPr>
        <w:t xml:space="preserve"> an acceptable form of security.</w:t>
      </w:r>
      <w:r w:rsidR="00E95E32" w:rsidRPr="00273105">
        <w:rPr>
          <w:rFonts w:eastAsia="Calibri"/>
          <w:color w:val="000000"/>
          <w:sz w:val="26"/>
          <w:szCs w:val="26"/>
        </w:rPr>
        <w:t xml:space="preserve">  We will also adopt RESA’s suggestion and </w:t>
      </w:r>
      <w:r w:rsidR="0057204B" w:rsidRPr="00273105">
        <w:rPr>
          <w:rFonts w:eastAsia="Calibri"/>
          <w:color w:val="000000"/>
          <w:sz w:val="26"/>
          <w:szCs w:val="26"/>
        </w:rPr>
        <w:t xml:space="preserve">will </w:t>
      </w:r>
      <w:r w:rsidR="00E95E32" w:rsidRPr="00273105">
        <w:rPr>
          <w:rFonts w:eastAsia="Calibri"/>
          <w:color w:val="000000"/>
          <w:sz w:val="26"/>
          <w:szCs w:val="26"/>
        </w:rPr>
        <w:t xml:space="preserve">add </w:t>
      </w:r>
      <w:r w:rsidR="00E95E32" w:rsidRPr="00273105">
        <w:rPr>
          <w:color w:val="000000"/>
          <w:sz w:val="26"/>
          <w:szCs w:val="26"/>
        </w:rPr>
        <w:t>the</w:t>
      </w:r>
      <w:r w:rsidR="00CE021C" w:rsidRPr="00273105">
        <w:rPr>
          <w:color w:val="000000"/>
          <w:sz w:val="26"/>
          <w:szCs w:val="26"/>
        </w:rPr>
        <w:t xml:space="preserve"> </w:t>
      </w:r>
      <w:r w:rsidR="00E95E32" w:rsidRPr="00273105">
        <w:rPr>
          <w:color w:val="000000"/>
          <w:sz w:val="26"/>
          <w:szCs w:val="26"/>
        </w:rPr>
        <w:t>“netting</w:t>
      </w:r>
      <w:r w:rsidR="0057204B" w:rsidRPr="00273105">
        <w:rPr>
          <w:color w:val="000000"/>
          <w:sz w:val="26"/>
          <w:szCs w:val="26"/>
        </w:rPr>
        <w:t>” of</w:t>
      </w:r>
      <w:r w:rsidR="00E95E32" w:rsidRPr="00273105">
        <w:rPr>
          <w:color w:val="000000"/>
          <w:sz w:val="26"/>
          <w:szCs w:val="26"/>
        </w:rPr>
        <w:t xml:space="preserve"> </w:t>
      </w:r>
      <w:r w:rsidR="0057204B" w:rsidRPr="00273105">
        <w:rPr>
          <w:color w:val="000000"/>
          <w:sz w:val="26"/>
          <w:szCs w:val="26"/>
        </w:rPr>
        <w:t xml:space="preserve"> “</w:t>
      </w:r>
      <w:r w:rsidR="00E95E32" w:rsidRPr="00273105">
        <w:rPr>
          <w:color w:val="000000"/>
          <w:sz w:val="26"/>
          <w:szCs w:val="26"/>
        </w:rPr>
        <w:t>NGDC gas supply purchases</w:t>
      </w:r>
      <w:r w:rsidR="002E78D7">
        <w:rPr>
          <w:color w:val="000000"/>
          <w:sz w:val="26"/>
          <w:szCs w:val="26"/>
        </w:rPr>
        <w:t xml:space="preserve"> </w:t>
      </w:r>
      <w:r w:rsidR="001C2C1D">
        <w:rPr>
          <w:color w:val="000000"/>
          <w:sz w:val="26"/>
          <w:szCs w:val="26"/>
        </w:rPr>
        <w:t>from the NGS</w:t>
      </w:r>
      <w:r w:rsidR="00E75366">
        <w:rPr>
          <w:color w:val="000000"/>
          <w:sz w:val="26"/>
          <w:szCs w:val="26"/>
        </w:rPr>
        <w:t>”</w:t>
      </w:r>
      <w:r w:rsidR="00E95E32" w:rsidRPr="00273105">
        <w:rPr>
          <w:color w:val="000000"/>
          <w:sz w:val="26"/>
          <w:szCs w:val="26"/>
        </w:rPr>
        <w:t xml:space="preserve"> against </w:t>
      </w:r>
      <w:r w:rsidR="00A61561">
        <w:rPr>
          <w:color w:val="000000"/>
          <w:sz w:val="26"/>
          <w:szCs w:val="26"/>
        </w:rPr>
        <w:t>“</w:t>
      </w:r>
      <w:r w:rsidR="00E95E32" w:rsidRPr="00273105">
        <w:rPr>
          <w:color w:val="000000"/>
          <w:sz w:val="26"/>
          <w:szCs w:val="26"/>
        </w:rPr>
        <w:t xml:space="preserve">NGS </w:t>
      </w:r>
      <w:r w:rsidR="001C2C1D">
        <w:rPr>
          <w:color w:val="000000"/>
          <w:sz w:val="26"/>
          <w:szCs w:val="26"/>
        </w:rPr>
        <w:t>security</w:t>
      </w:r>
      <w:r w:rsidR="00E75366">
        <w:rPr>
          <w:color w:val="000000"/>
          <w:sz w:val="26"/>
          <w:szCs w:val="26"/>
        </w:rPr>
        <w:t xml:space="preserve"> </w:t>
      </w:r>
      <w:r w:rsidR="00E95E32" w:rsidRPr="00273105">
        <w:rPr>
          <w:color w:val="000000"/>
          <w:sz w:val="26"/>
          <w:szCs w:val="26"/>
        </w:rPr>
        <w:t xml:space="preserve">requirements” as another example of an operational offset that is acceptable </w:t>
      </w:r>
      <w:r w:rsidR="003059D7">
        <w:rPr>
          <w:color w:val="000000"/>
          <w:sz w:val="26"/>
          <w:szCs w:val="26"/>
        </w:rPr>
        <w:t xml:space="preserve">as </w:t>
      </w:r>
      <w:r w:rsidR="00B100F5" w:rsidRPr="00273105">
        <w:rPr>
          <w:color w:val="000000"/>
          <w:sz w:val="26"/>
          <w:szCs w:val="26"/>
        </w:rPr>
        <w:t xml:space="preserve">security in </w:t>
      </w:r>
      <w:r w:rsidR="00DE052D">
        <w:rPr>
          <w:color w:val="000000"/>
          <w:sz w:val="26"/>
          <w:szCs w:val="26"/>
        </w:rPr>
        <w:t>S</w:t>
      </w:r>
      <w:r w:rsidR="002902A1" w:rsidRPr="00273105">
        <w:rPr>
          <w:color w:val="000000"/>
          <w:sz w:val="26"/>
          <w:szCs w:val="26"/>
        </w:rPr>
        <w:t>ection 62.111(c)(2)(vi).</w:t>
      </w:r>
      <w:r w:rsidR="00E95E32" w:rsidRPr="00273105">
        <w:rPr>
          <w:color w:val="000000"/>
          <w:sz w:val="26"/>
          <w:szCs w:val="26"/>
        </w:rPr>
        <w:t xml:space="preserve"> </w:t>
      </w:r>
    </w:p>
    <w:p w:rsidR="00D855F4" w:rsidRPr="00273105" w:rsidRDefault="00D855F4" w:rsidP="002330F9">
      <w:pPr>
        <w:spacing w:after="120" w:line="360" w:lineRule="auto"/>
        <w:ind w:firstLine="720"/>
        <w:rPr>
          <w:rFonts w:eastAsia="Calibri"/>
          <w:color w:val="000000"/>
          <w:sz w:val="26"/>
          <w:szCs w:val="26"/>
        </w:rPr>
      </w:pPr>
    </w:p>
    <w:p w:rsidR="002847EA" w:rsidRDefault="008056FA" w:rsidP="0064587D">
      <w:pPr>
        <w:spacing w:line="360" w:lineRule="auto"/>
        <w:rPr>
          <w:rFonts w:eastAsia="Calibri"/>
          <w:color w:val="000000"/>
          <w:sz w:val="26"/>
          <w:szCs w:val="26"/>
        </w:rPr>
      </w:pPr>
      <w:r w:rsidRPr="00273105">
        <w:rPr>
          <w:rFonts w:eastAsia="Calibri"/>
          <w:color w:val="000000"/>
          <w:sz w:val="26"/>
          <w:szCs w:val="26"/>
        </w:rPr>
        <w:tab/>
      </w:r>
      <w:r w:rsidR="000D6BD1" w:rsidRPr="00273105">
        <w:rPr>
          <w:rFonts w:eastAsia="Calibri"/>
          <w:color w:val="000000"/>
          <w:sz w:val="26"/>
          <w:szCs w:val="26"/>
        </w:rPr>
        <w:t>In addition</w:t>
      </w:r>
      <w:r w:rsidRPr="00273105">
        <w:rPr>
          <w:rFonts w:eastAsia="Calibri"/>
          <w:color w:val="000000"/>
          <w:sz w:val="26"/>
          <w:szCs w:val="26"/>
        </w:rPr>
        <w:t>,</w:t>
      </w:r>
      <w:r w:rsidR="00FA0517" w:rsidRPr="00273105">
        <w:rPr>
          <w:rFonts w:eastAsia="Calibri"/>
          <w:color w:val="000000"/>
          <w:sz w:val="26"/>
          <w:szCs w:val="26"/>
        </w:rPr>
        <w:t xml:space="preserve"> we</w:t>
      </w:r>
      <w:r w:rsidR="0019707E" w:rsidRPr="00273105">
        <w:rPr>
          <w:rFonts w:eastAsia="Calibri"/>
          <w:color w:val="000000"/>
          <w:sz w:val="26"/>
          <w:szCs w:val="26"/>
        </w:rPr>
        <w:t xml:space="preserve"> will clarify</w:t>
      </w:r>
      <w:r w:rsidR="00DC097A" w:rsidRPr="00273105">
        <w:rPr>
          <w:rFonts w:eastAsia="Calibri"/>
          <w:color w:val="000000"/>
          <w:sz w:val="26"/>
          <w:szCs w:val="26"/>
        </w:rPr>
        <w:t xml:space="preserve"> that </w:t>
      </w:r>
      <w:r w:rsidR="00264423" w:rsidRPr="00273105">
        <w:rPr>
          <w:rFonts w:eastAsia="Calibri"/>
          <w:color w:val="000000"/>
          <w:sz w:val="26"/>
          <w:szCs w:val="26"/>
        </w:rPr>
        <w:t xml:space="preserve">NGS </w:t>
      </w:r>
      <w:r w:rsidR="00DC097A" w:rsidRPr="00273105">
        <w:rPr>
          <w:rFonts w:eastAsia="Calibri"/>
          <w:color w:val="000000"/>
          <w:sz w:val="26"/>
          <w:szCs w:val="26"/>
        </w:rPr>
        <w:t xml:space="preserve">receivables in a </w:t>
      </w:r>
      <w:r w:rsidR="006E0357" w:rsidRPr="00273105">
        <w:rPr>
          <w:rFonts w:eastAsia="Calibri"/>
          <w:color w:val="000000"/>
          <w:sz w:val="26"/>
          <w:szCs w:val="26"/>
        </w:rPr>
        <w:t>POR</w:t>
      </w:r>
      <w:r w:rsidR="00DC097A" w:rsidRPr="00273105">
        <w:rPr>
          <w:rFonts w:eastAsia="Calibri"/>
          <w:color w:val="000000"/>
          <w:sz w:val="26"/>
          <w:szCs w:val="26"/>
        </w:rPr>
        <w:t xml:space="preserve"> program, or any of the </w:t>
      </w:r>
      <w:r w:rsidR="00AA53FC" w:rsidRPr="00273105">
        <w:rPr>
          <w:rFonts w:eastAsia="Calibri"/>
          <w:color w:val="000000"/>
          <w:sz w:val="26"/>
          <w:szCs w:val="26"/>
        </w:rPr>
        <w:t xml:space="preserve">other </w:t>
      </w:r>
      <w:r w:rsidRPr="00273105">
        <w:rPr>
          <w:rFonts w:eastAsia="Calibri"/>
          <w:color w:val="000000"/>
          <w:sz w:val="26"/>
          <w:szCs w:val="26"/>
        </w:rPr>
        <w:t>financial or legal instruments or property, real or personal, listed as a</w:t>
      </w:r>
      <w:r w:rsidR="00DE052D">
        <w:rPr>
          <w:rFonts w:eastAsia="Calibri"/>
          <w:color w:val="000000"/>
          <w:sz w:val="26"/>
          <w:szCs w:val="26"/>
        </w:rPr>
        <w:t>cceptable forms of security in S</w:t>
      </w:r>
      <w:r w:rsidRPr="00273105">
        <w:rPr>
          <w:rFonts w:eastAsia="Calibri"/>
          <w:color w:val="000000"/>
          <w:sz w:val="26"/>
          <w:szCs w:val="26"/>
        </w:rPr>
        <w:t xml:space="preserve">ection 62.111(c)(2) need not by itself satisfy the entire security </w:t>
      </w:r>
      <w:r w:rsidRPr="00273105">
        <w:rPr>
          <w:rFonts w:eastAsia="Calibri"/>
          <w:color w:val="000000"/>
          <w:sz w:val="26"/>
          <w:szCs w:val="26"/>
        </w:rPr>
        <w:lastRenderedPageBreak/>
        <w:t xml:space="preserve">amount.  The NGS may offer to provide one or more these forms of security to satisfy the total security amount required for licensing.  </w:t>
      </w:r>
    </w:p>
    <w:p w:rsidR="00D24185" w:rsidRPr="00273105" w:rsidRDefault="00D24185" w:rsidP="0064587D">
      <w:pPr>
        <w:spacing w:line="360" w:lineRule="auto"/>
        <w:rPr>
          <w:rFonts w:eastAsia="Calibri"/>
          <w:color w:val="000000"/>
          <w:sz w:val="26"/>
          <w:szCs w:val="26"/>
        </w:rPr>
      </w:pPr>
    </w:p>
    <w:p w:rsidR="00D24185" w:rsidRPr="00273105" w:rsidRDefault="00D24185" w:rsidP="00D24185">
      <w:pPr>
        <w:spacing w:line="360" w:lineRule="auto"/>
        <w:rPr>
          <w:rFonts w:eastAsia="Calibri"/>
          <w:color w:val="000000"/>
          <w:sz w:val="26"/>
          <w:szCs w:val="26"/>
        </w:rPr>
      </w:pPr>
      <w:r>
        <w:rPr>
          <w:rFonts w:eastAsia="Calibri"/>
          <w:color w:val="000000"/>
          <w:sz w:val="26"/>
          <w:szCs w:val="26"/>
        </w:rPr>
        <w:tab/>
        <w:t xml:space="preserve">We will also revise this section to add “cash” as an </w:t>
      </w:r>
      <w:r w:rsidR="00DE052D">
        <w:rPr>
          <w:rFonts w:eastAsia="Calibri"/>
          <w:color w:val="000000"/>
          <w:sz w:val="26"/>
          <w:szCs w:val="26"/>
        </w:rPr>
        <w:t>acceptable type of security at S</w:t>
      </w:r>
      <w:r>
        <w:rPr>
          <w:rFonts w:eastAsia="Calibri"/>
          <w:color w:val="000000"/>
          <w:sz w:val="26"/>
          <w:szCs w:val="26"/>
        </w:rPr>
        <w:t xml:space="preserve">ection 62.111(c)(2)(vii).  However, we will not eliminate the use of “escrow accounts” as suggested by NFG.  We understand that there may be additional costs involved with maintaining an escrow account, but if the NGDC and NGS are both agreeable to its use, responsibility for the maintenance cost is just another point for agreement. </w:t>
      </w:r>
    </w:p>
    <w:p w:rsidR="002847EA" w:rsidRPr="00273105" w:rsidRDefault="002847EA" w:rsidP="0064587D">
      <w:pPr>
        <w:spacing w:line="360" w:lineRule="auto"/>
        <w:rPr>
          <w:rFonts w:eastAsia="Calibri"/>
          <w:color w:val="000000"/>
          <w:sz w:val="26"/>
          <w:szCs w:val="26"/>
        </w:rPr>
      </w:pPr>
    </w:p>
    <w:p w:rsidR="00893E25" w:rsidRDefault="008056FA" w:rsidP="0064587D">
      <w:pPr>
        <w:spacing w:line="360" w:lineRule="auto"/>
        <w:rPr>
          <w:rFonts w:eastAsia="Calibri"/>
          <w:color w:val="000000"/>
          <w:sz w:val="26"/>
          <w:szCs w:val="26"/>
        </w:rPr>
      </w:pPr>
      <w:r w:rsidRPr="00273105">
        <w:rPr>
          <w:rFonts w:eastAsia="Calibri"/>
          <w:color w:val="000000"/>
          <w:sz w:val="26"/>
          <w:szCs w:val="26"/>
        </w:rPr>
        <w:tab/>
        <w:t xml:space="preserve">Ideally, the NGS and the NDC will come to an agreement on the amount and the form of security that the NGS will need to provide to maintain its license.  However, the NGDC’s determinations in regard to the security amount or the forms of security it will accept is subject to Commission review and must be reasonable in regard to the individual supplier and consistent in regard to all suppliers to guard against discriminatory or anti-competitive conduct.  </w:t>
      </w:r>
      <w:r w:rsidRPr="00273105">
        <w:rPr>
          <w:rFonts w:eastAsia="Calibri"/>
          <w:i/>
          <w:color w:val="000000"/>
          <w:sz w:val="26"/>
          <w:szCs w:val="26"/>
        </w:rPr>
        <w:t>See</w:t>
      </w:r>
      <w:r w:rsidRPr="00273105">
        <w:rPr>
          <w:rFonts w:eastAsia="Calibri"/>
          <w:color w:val="000000"/>
          <w:sz w:val="26"/>
          <w:szCs w:val="26"/>
        </w:rPr>
        <w:t xml:space="preserve"> </w:t>
      </w:r>
      <w:r w:rsidR="00F448A3">
        <w:rPr>
          <w:rFonts w:eastAsia="Calibri"/>
          <w:color w:val="000000"/>
          <w:sz w:val="26"/>
          <w:szCs w:val="26"/>
        </w:rPr>
        <w:t>5</w:t>
      </w:r>
      <w:r w:rsidRPr="00273105">
        <w:rPr>
          <w:rFonts w:eastAsia="Calibri"/>
          <w:color w:val="000000"/>
          <w:sz w:val="26"/>
          <w:szCs w:val="26"/>
        </w:rPr>
        <w:t>2 Pa.</w:t>
      </w:r>
      <w:r w:rsidR="00CD57EB" w:rsidRPr="00273105">
        <w:rPr>
          <w:rFonts w:eastAsia="Calibri"/>
          <w:color w:val="000000"/>
          <w:sz w:val="26"/>
          <w:szCs w:val="26"/>
        </w:rPr>
        <w:t xml:space="preserve"> </w:t>
      </w:r>
      <w:r w:rsidR="00322C67" w:rsidRPr="00273105">
        <w:rPr>
          <w:rFonts w:eastAsia="Calibri"/>
          <w:color w:val="000000"/>
          <w:sz w:val="26"/>
          <w:szCs w:val="26"/>
        </w:rPr>
        <w:t>Code § 62.111(c)</w:t>
      </w:r>
      <w:r w:rsidR="006C2183" w:rsidRPr="00273105">
        <w:rPr>
          <w:rFonts w:eastAsia="Calibri"/>
          <w:color w:val="000000"/>
          <w:sz w:val="26"/>
          <w:szCs w:val="26"/>
        </w:rPr>
        <w:t>.</w:t>
      </w:r>
    </w:p>
    <w:p w:rsidR="00E01F56" w:rsidRPr="00273105" w:rsidRDefault="00E01F56" w:rsidP="00770178">
      <w:pPr>
        <w:spacing w:line="360" w:lineRule="auto"/>
        <w:rPr>
          <w:color w:val="000000"/>
          <w:sz w:val="26"/>
          <w:szCs w:val="26"/>
        </w:rPr>
      </w:pPr>
    </w:p>
    <w:p w:rsidR="00A54321" w:rsidRPr="00273105" w:rsidRDefault="00D85D02" w:rsidP="00A54321">
      <w:pPr>
        <w:spacing w:line="360" w:lineRule="auto"/>
        <w:rPr>
          <w:b/>
          <w:color w:val="000000"/>
          <w:sz w:val="26"/>
          <w:szCs w:val="26"/>
        </w:rPr>
      </w:pPr>
      <w:r w:rsidRPr="00273105">
        <w:rPr>
          <w:b/>
          <w:color w:val="000000"/>
          <w:sz w:val="26"/>
          <w:szCs w:val="26"/>
        </w:rPr>
        <w:t>Section 62.111(c)(4) - Use of NAESB Standards</w:t>
      </w:r>
    </w:p>
    <w:p w:rsidR="00A54321" w:rsidRPr="00273105" w:rsidRDefault="00A54321" w:rsidP="00A54321">
      <w:pPr>
        <w:spacing w:line="360" w:lineRule="auto"/>
        <w:rPr>
          <w:b/>
          <w:color w:val="000000"/>
          <w:sz w:val="26"/>
          <w:szCs w:val="26"/>
        </w:rPr>
      </w:pPr>
    </w:p>
    <w:p w:rsidR="0067483F" w:rsidRPr="00273105" w:rsidRDefault="008056FA" w:rsidP="00770178">
      <w:pPr>
        <w:spacing w:line="360" w:lineRule="auto"/>
        <w:rPr>
          <w:color w:val="000000"/>
          <w:sz w:val="26"/>
          <w:szCs w:val="26"/>
        </w:rPr>
      </w:pPr>
      <w:r w:rsidRPr="00273105">
        <w:rPr>
          <w:color w:val="000000"/>
          <w:sz w:val="26"/>
          <w:szCs w:val="26"/>
        </w:rPr>
        <w:tab/>
        <w:t xml:space="preserve">This </w:t>
      </w:r>
      <w:r w:rsidR="00287DED">
        <w:rPr>
          <w:color w:val="000000"/>
          <w:sz w:val="26"/>
          <w:szCs w:val="26"/>
        </w:rPr>
        <w:t xml:space="preserve">proposed </w:t>
      </w:r>
      <w:r w:rsidRPr="00273105">
        <w:rPr>
          <w:color w:val="000000"/>
          <w:sz w:val="26"/>
          <w:szCs w:val="26"/>
        </w:rPr>
        <w:t xml:space="preserve">section states that, when practicable, the NGDC shall use applicable North American Energy Standards Board </w:t>
      </w:r>
      <w:r w:rsidR="00D24185">
        <w:rPr>
          <w:color w:val="000000"/>
          <w:sz w:val="26"/>
          <w:szCs w:val="26"/>
        </w:rPr>
        <w:t xml:space="preserve">(NAESB) </w:t>
      </w:r>
      <w:r w:rsidRPr="00273105">
        <w:rPr>
          <w:color w:val="000000"/>
          <w:sz w:val="26"/>
          <w:szCs w:val="26"/>
        </w:rPr>
        <w:t>forms or language for financial and legal instruments.</w:t>
      </w:r>
    </w:p>
    <w:p w:rsidR="00CD57EB" w:rsidRPr="00273105" w:rsidRDefault="00CD57EB" w:rsidP="00770178">
      <w:pPr>
        <w:spacing w:line="360" w:lineRule="auto"/>
        <w:rPr>
          <w:color w:val="000000"/>
          <w:sz w:val="26"/>
          <w:szCs w:val="26"/>
        </w:rPr>
      </w:pPr>
    </w:p>
    <w:p w:rsidR="000702F4" w:rsidRPr="00273105" w:rsidRDefault="00CD57EB" w:rsidP="00770178">
      <w:pPr>
        <w:spacing w:line="360" w:lineRule="auto"/>
        <w:rPr>
          <w:color w:val="000000"/>
          <w:sz w:val="26"/>
          <w:szCs w:val="26"/>
        </w:rPr>
      </w:pPr>
      <w:r w:rsidRPr="00273105">
        <w:rPr>
          <w:color w:val="000000"/>
          <w:sz w:val="26"/>
          <w:szCs w:val="26"/>
        </w:rPr>
        <w:tab/>
        <w:t xml:space="preserve">In its comments, </w:t>
      </w:r>
      <w:r w:rsidR="000702F4" w:rsidRPr="00273105">
        <w:rPr>
          <w:color w:val="000000"/>
          <w:sz w:val="26"/>
          <w:szCs w:val="26"/>
        </w:rPr>
        <w:t>Equitable believes that the use of forms and language in security instruments should also be at the discretion of the NGDC and proposes the following language:</w:t>
      </w:r>
    </w:p>
    <w:p w:rsidR="000702F4" w:rsidRPr="00273105" w:rsidRDefault="000702F4" w:rsidP="00770178">
      <w:pPr>
        <w:spacing w:line="360" w:lineRule="auto"/>
        <w:rPr>
          <w:color w:val="000000"/>
          <w:sz w:val="26"/>
          <w:szCs w:val="26"/>
        </w:rPr>
      </w:pPr>
    </w:p>
    <w:p w:rsidR="000702F4" w:rsidRPr="00273105" w:rsidRDefault="008056FA" w:rsidP="00770178">
      <w:pPr>
        <w:spacing w:line="360" w:lineRule="auto"/>
        <w:ind w:left="720"/>
        <w:rPr>
          <w:color w:val="000000"/>
          <w:sz w:val="26"/>
          <w:szCs w:val="26"/>
        </w:rPr>
      </w:pPr>
      <w:r w:rsidRPr="00273105">
        <w:rPr>
          <w:color w:val="000000"/>
          <w:sz w:val="26"/>
          <w:szCs w:val="26"/>
        </w:rPr>
        <w:t xml:space="preserve">When practicable </w:t>
      </w:r>
      <w:r w:rsidRPr="00273105">
        <w:rPr>
          <w:color w:val="000000"/>
          <w:sz w:val="26"/>
          <w:szCs w:val="26"/>
          <w:u w:val="single"/>
        </w:rPr>
        <w:t>and in the NGDC’s discretion</w:t>
      </w:r>
      <w:r w:rsidRPr="00273105">
        <w:rPr>
          <w:color w:val="000000"/>
          <w:sz w:val="26"/>
          <w:szCs w:val="26"/>
        </w:rPr>
        <w:t>, the NGDC shall use applicable North American Energy Standards Board forms or language for financial and legal instruments that are used for security.</w:t>
      </w:r>
    </w:p>
    <w:p w:rsidR="002C175C" w:rsidRPr="00273105" w:rsidRDefault="008056FA" w:rsidP="002C175C">
      <w:pPr>
        <w:spacing w:line="360" w:lineRule="auto"/>
        <w:rPr>
          <w:color w:val="000000"/>
          <w:sz w:val="26"/>
          <w:szCs w:val="26"/>
        </w:rPr>
      </w:pPr>
      <w:r w:rsidRPr="00273105">
        <w:rPr>
          <w:color w:val="000000"/>
          <w:sz w:val="26"/>
          <w:szCs w:val="26"/>
        </w:rPr>
        <w:lastRenderedPageBreak/>
        <w:t xml:space="preserve">In regard to Section 62.111(c)(4), Equitable states that the use of forms and language in security instruments should be at the discretion of the NGDC.  </w:t>
      </w:r>
      <w:r w:rsidR="00287DED" w:rsidRPr="00287DED">
        <w:rPr>
          <w:i/>
          <w:color w:val="000000"/>
          <w:sz w:val="26"/>
          <w:szCs w:val="26"/>
        </w:rPr>
        <w:t>Equitable Comments</w:t>
      </w:r>
      <w:r w:rsidR="00287DED">
        <w:rPr>
          <w:color w:val="000000"/>
          <w:sz w:val="26"/>
          <w:szCs w:val="26"/>
        </w:rPr>
        <w:t xml:space="preserve">, </w:t>
      </w:r>
      <w:r w:rsidR="00FB5B31">
        <w:rPr>
          <w:color w:val="000000"/>
          <w:sz w:val="26"/>
          <w:szCs w:val="26"/>
        </w:rPr>
        <w:t>A</w:t>
      </w:r>
      <w:r w:rsidR="00287DED">
        <w:rPr>
          <w:color w:val="000000"/>
          <w:sz w:val="26"/>
          <w:szCs w:val="26"/>
        </w:rPr>
        <w:t>p</w:t>
      </w:r>
      <w:r w:rsidR="00FB5B31">
        <w:rPr>
          <w:color w:val="000000"/>
          <w:sz w:val="26"/>
          <w:szCs w:val="26"/>
        </w:rPr>
        <w:t>pendix A, p. 2</w:t>
      </w:r>
      <w:r w:rsidR="00287DED">
        <w:rPr>
          <w:color w:val="000000"/>
          <w:sz w:val="26"/>
          <w:szCs w:val="26"/>
        </w:rPr>
        <w:t>.</w:t>
      </w:r>
    </w:p>
    <w:p w:rsidR="002C175C" w:rsidRPr="00273105" w:rsidRDefault="002C175C" w:rsidP="002C175C">
      <w:pPr>
        <w:spacing w:line="360" w:lineRule="auto"/>
        <w:rPr>
          <w:color w:val="000000"/>
          <w:sz w:val="26"/>
          <w:szCs w:val="26"/>
        </w:rPr>
      </w:pPr>
    </w:p>
    <w:p w:rsidR="002C175C" w:rsidRPr="00273105" w:rsidRDefault="002C175C" w:rsidP="002C175C">
      <w:pPr>
        <w:spacing w:line="360" w:lineRule="auto"/>
        <w:rPr>
          <w:b/>
          <w:i/>
          <w:color w:val="000000"/>
          <w:sz w:val="26"/>
          <w:szCs w:val="26"/>
        </w:rPr>
      </w:pPr>
      <w:r w:rsidRPr="00273105">
        <w:rPr>
          <w:b/>
          <w:i/>
          <w:color w:val="000000"/>
          <w:sz w:val="26"/>
          <w:szCs w:val="26"/>
        </w:rPr>
        <w:t xml:space="preserve">Resolution </w:t>
      </w:r>
    </w:p>
    <w:p w:rsidR="002C175C" w:rsidRPr="00273105" w:rsidRDefault="008056FA" w:rsidP="002C175C">
      <w:pPr>
        <w:spacing w:line="360" w:lineRule="auto"/>
        <w:rPr>
          <w:color w:val="000000"/>
          <w:sz w:val="26"/>
          <w:szCs w:val="26"/>
        </w:rPr>
      </w:pPr>
      <w:r w:rsidRPr="00273105">
        <w:rPr>
          <w:color w:val="000000"/>
          <w:sz w:val="26"/>
          <w:szCs w:val="26"/>
        </w:rPr>
        <w:tab/>
        <w:t xml:space="preserve">The Commission declines to revise this section.  The standardization of business practices, including forms, was identified as a means to increase supplier participation in the statewide retail natural gas supply market.  </w:t>
      </w:r>
      <w:r w:rsidRPr="00273105">
        <w:rPr>
          <w:i/>
          <w:color w:val="000000"/>
          <w:sz w:val="26"/>
          <w:szCs w:val="26"/>
        </w:rPr>
        <w:t>SEARCH Order</w:t>
      </w:r>
      <w:r w:rsidRPr="00273105">
        <w:rPr>
          <w:color w:val="000000"/>
          <w:sz w:val="26"/>
          <w:szCs w:val="26"/>
        </w:rPr>
        <w:t xml:space="preserve">, </w:t>
      </w:r>
      <w:r w:rsidR="009D39F4">
        <w:rPr>
          <w:color w:val="000000"/>
          <w:sz w:val="26"/>
          <w:szCs w:val="26"/>
        </w:rPr>
        <w:t>p</w:t>
      </w:r>
      <w:r w:rsidRPr="00273105">
        <w:rPr>
          <w:color w:val="000000"/>
          <w:sz w:val="26"/>
          <w:szCs w:val="26"/>
        </w:rPr>
        <w:t xml:space="preserve">p. </w:t>
      </w:r>
      <w:r w:rsidR="009D39F4">
        <w:rPr>
          <w:color w:val="000000"/>
          <w:sz w:val="26"/>
          <w:szCs w:val="26"/>
        </w:rPr>
        <w:t>26-33</w:t>
      </w:r>
      <w:r w:rsidR="00D24185">
        <w:rPr>
          <w:color w:val="000000"/>
          <w:sz w:val="26"/>
          <w:szCs w:val="26"/>
        </w:rPr>
        <w:t>.  NAESB</w:t>
      </w:r>
      <w:r w:rsidRPr="00273105">
        <w:rPr>
          <w:color w:val="000000"/>
          <w:sz w:val="26"/>
          <w:szCs w:val="26"/>
        </w:rPr>
        <w:t xml:space="preserve"> has developed numerous forms that are in use in the natural gas industry today. While NAESB business practices, forms and language for financial and legal instruments will be examined more thoroughly in the rulemaking, </w:t>
      </w:r>
      <w:r w:rsidRPr="00273105">
        <w:rPr>
          <w:bCs/>
          <w:i/>
          <w:color w:val="000000"/>
          <w:sz w:val="26"/>
          <w:szCs w:val="26"/>
        </w:rPr>
        <w:t>Natural Gas Distribution Company Business Practices</w:t>
      </w:r>
      <w:r w:rsidR="00724AA3" w:rsidRPr="00273105">
        <w:rPr>
          <w:color w:val="000000"/>
          <w:sz w:val="26"/>
          <w:szCs w:val="26"/>
        </w:rPr>
        <w:t xml:space="preserve">, Order entered May 1, 2009 at Docket No. L-2008-2069117, </w:t>
      </w:r>
      <w:r w:rsidR="00EC041C" w:rsidRPr="00273105">
        <w:rPr>
          <w:color w:val="000000"/>
          <w:sz w:val="26"/>
          <w:szCs w:val="26"/>
        </w:rPr>
        <w:t>we see no reason not to encourage their use, where practical, here.</w:t>
      </w:r>
    </w:p>
    <w:p w:rsidR="000702F4" w:rsidRPr="00273105" w:rsidRDefault="000702F4" w:rsidP="00770178">
      <w:pPr>
        <w:spacing w:line="360" w:lineRule="auto"/>
        <w:rPr>
          <w:color w:val="000000"/>
          <w:sz w:val="26"/>
          <w:szCs w:val="26"/>
        </w:rPr>
      </w:pPr>
    </w:p>
    <w:p w:rsidR="0067483F" w:rsidRPr="00273105" w:rsidRDefault="0067483F" w:rsidP="00770178">
      <w:pPr>
        <w:spacing w:line="360" w:lineRule="auto"/>
        <w:rPr>
          <w:b/>
          <w:color w:val="000000"/>
          <w:sz w:val="26"/>
          <w:szCs w:val="26"/>
        </w:rPr>
      </w:pPr>
      <w:r w:rsidRPr="00273105">
        <w:rPr>
          <w:b/>
          <w:color w:val="000000"/>
          <w:sz w:val="26"/>
          <w:szCs w:val="26"/>
        </w:rPr>
        <w:t xml:space="preserve">Section 62.111(c)(5) </w:t>
      </w:r>
      <w:r w:rsidR="00925AC8" w:rsidRPr="00273105">
        <w:rPr>
          <w:b/>
          <w:color w:val="000000"/>
          <w:sz w:val="26"/>
          <w:szCs w:val="26"/>
        </w:rPr>
        <w:t xml:space="preserve">– Annual </w:t>
      </w:r>
      <w:r w:rsidR="0033728A" w:rsidRPr="00273105">
        <w:rPr>
          <w:b/>
          <w:color w:val="000000"/>
          <w:sz w:val="26"/>
          <w:szCs w:val="26"/>
        </w:rPr>
        <w:t>R</w:t>
      </w:r>
      <w:r w:rsidR="00925AC8" w:rsidRPr="00273105">
        <w:rPr>
          <w:b/>
          <w:color w:val="000000"/>
          <w:sz w:val="26"/>
          <w:szCs w:val="26"/>
        </w:rPr>
        <w:t>eporting Requirements</w:t>
      </w:r>
    </w:p>
    <w:p w:rsidR="0058600E" w:rsidRPr="00273105" w:rsidRDefault="0058600E" w:rsidP="00770178">
      <w:pPr>
        <w:spacing w:line="360" w:lineRule="auto"/>
        <w:rPr>
          <w:b/>
          <w:color w:val="000000"/>
          <w:sz w:val="26"/>
          <w:szCs w:val="26"/>
        </w:rPr>
      </w:pPr>
    </w:p>
    <w:p w:rsidR="0067483F" w:rsidRPr="00273105" w:rsidRDefault="008056FA" w:rsidP="00770178">
      <w:pPr>
        <w:spacing w:line="360" w:lineRule="auto"/>
        <w:rPr>
          <w:color w:val="000000"/>
          <w:sz w:val="26"/>
          <w:szCs w:val="26"/>
        </w:rPr>
      </w:pPr>
      <w:r w:rsidRPr="00273105">
        <w:rPr>
          <w:color w:val="000000"/>
          <w:sz w:val="26"/>
          <w:szCs w:val="26"/>
        </w:rPr>
        <w:tab/>
      </w:r>
      <w:r w:rsidR="00DE052D">
        <w:rPr>
          <w:color w:val="000000"/>
          <w:sz w:val="26"/>
          <w:szCs w:val="26"/>
        </w:rPr>
        <w:t>Proposed S</w:t>
      </w:r>
      <w:r w:rsidRPr="00273105">
        <w:rPr>
          <w:color w:val="000000"/>
          <w:sz w:val="26"/>
          <w:szCs w:val="26"/>
        </w:rPr>
        <w:t xml:space="preserve">ection 62.111(c)(5) imposes an annual reporting requirement on the NGDCs. The purpose of this reporting requirement is to gather information about the NGDC’s application of established criteria to set and adjust levels of security for suppliers that operate on the NGDC’s system.  The report will be filed with the Commission’s Secretary. </w:t>
      </w:r>
    </w:p>
    <w:p w:rsidR="005A10C2" w:rsidRPr="00273105" w:rsidRDefault="005A10C2" w:rsidP="00770178">
      <w:pPr>
        <w:spacing w:line="360" w:lineRule="auto"/>
        <w:rPr>
          <w:color w:val="000000"/>
          <w:sz w:val="26"/>
          <w:szCs w:val="26"/>
        </w:rPr>
      </w:pPr>
    </w:p>
    <w:p w:rsidR="00BD43D7" w:rsidRPr="00273105" w:rsidRDefault="00A01E04" w:rsidP="00A01E04">
      <w:pPr>
        <w:spacing w:line="360" w:lineRule="auto"/>
        <w:ind w:firstLine="720"/>
        <w:rPr>
          <w:b/>
          <w:color w:val="000000"/>
          <w:sz w:val="26"/>
          <w:szCs w:val="26"/>
        </w:rPr>
      </w:pPr>
      <w:r w:rsidRPr="00273105">
        <w:rPr>
          <w:color w:val="000000"/>
          <w:sz w:val="26"/>
          <w:szCs w:val="26"/>
        </w:rPr>
        <w:t>P</w:t>
      </w:r>
      <w:r w:rsidR="005A10C2" w:rsidRPr="00273105">
        <w:rPr>
          <w:color w:val="000000"/>
          <w:sz w:val="26"/>
          <w:szCs w:val="26"/>
        </w:rPr>
        <w:t xml:space="preserve">GW comments that </w:t>
      </w:r>
      <w:r w:rsidR="00DE052D">
        <w:rPr>
          <w:color w:val="000000"/>
          <w:sz w:val="26"/>
          <w:szCs w:val="26"/>
        </w:rPr>
        <w:t>S</w:t>
      </w:r>
      <w:r w:rsidR="00BD43D7" w:rsidRPr="00273105">
        <w:rPr>
          <w:color w:val="000000"/>
          <w:sz w:val="26"/>
          <w:szCs w:val="26"/>
        </w:rPr>
        <w:t xml:space="preserve">ection </w:t>
      </w:r>
      <w:r w:rsidR="002255E8" w:rsidRPr="00273105">
        <w:rPr>
          <w:color w:val="000000"/>
          <w:sz w:val="26"/>
          <w:szCs w:val="26"/>
        </w:rPr>
        <w:t>62.111</w:t>
      </w:r>
      <w:r w:rsidR="00BD43D7" w:rsidRPr="00273105">
        <w:rPr>
          <w:color w:val="000000"/>
          <w:sz w:val="26"/>
          <w:szCs w:val="26"/>
        </w:rPr>
        <w:t>(c)(5)(iv)</w:t>
      </w:r>
      <w:r w:rsidR="003059D7">
        <w:rPr>
          <w:color w:val="000000"/>
          <w:sz w:val="26"/>
          <w:szCs w:val="26"/>
        </w:rPr>
        <w:t>, which</w:t>
      </w:r>
      <w:r w:rsidR="00357AE6" w:rsidRPr="00273105">
        <w:rPr>
          <w:color w:val="000000"/>
          <w:sz w:val="26"/>
          <w:szCs w:val="26"/>
        </w:rPr>
        <w:t xml:space="preserve"> requires that the NGDC</w:t>
      </w:r>
      <w:r w:rsidR="00BD43D7" w:rsidRPr="00273105">
        <w:rPr>
          <w:color w:val="000000"/>
          <w:sz w:val="26"/>
          <w:szCs w:val="26"/>
        </w:rPr>
        <w:t xml:space="preserve"> report</w:t>
      </w:r>
      <w:r w:rsidR="008056FA" w:rsidRPr="00273105">
        <w:rPr>
          <w:color w:val="000000"/>
          <w:sz w:val="26"/>
          <w:szCs w:val="26"/>
        </w:rPr>
        <w:t xml:space="preserve"> “the number of times in the last quarter that the NGDC determined that a change in the level of security was needed for a supplier to maintain its license</w:t>
      </w:r>
      <w:r w:rsidR="003059D7">
        <w:rPr>
          <w:color w:val="000000"/>
          <w:sz w:val="26"/>
          <w:szCs w:val="26"/>
        </w:rPr>
        <w:t>,</w:t>
      </w:r>
      <w:r w:rsidR="008056FA" w:rsidRPr="00273105">
        <w:rPr>
          <w:color w:val="000000"/>
          <w:sz w:val="26"/>
          <w:szCs w:val="26"/>
        </w:rPr>
        <w:t xml:space="preserve">” should be changed to the number of times in the last year.  </w:t>
      </w:r>
      <w:r w:rsidR="008056FA" w:rsidRPr="00273105">
        <w:rPr>
          <w:i/>
          <w:color w:val="000000"/>
          <w:sz w:val="26"/>
          <w:szCs w:val="26"/>
        </w:rPr>
        <w:t>PGW Comments</w:t>
      </w:r>
      <w:r w:rsidR="008056FA" w:rsidRPr="00273105">
        <w:rPr>
          <w:color w:val="000000"/>
          <w:sz w:val="26"/>
          <w:szCs w:val="26"/>
        </w:rPr>
        <w:t xml:space="preserve">, p. 5.  EAPA provided the same comment.  </w:t>
      </w:r>
      <w:r w:rsidR="008056FA" w:rsidRPr="00273105">
        <w:rPr>
          <w:i/>
          <w:color w:val="000000"/>
          <w:sz w:val="26"/>
          <w:szCs w:val="26"/>
        </w:rPr>
        <w:t>EAPA Comments</w:t>
      </w:r>
      <w:r w:rsidR="008056FA" w:rsidRPr="00273105">
        <w:rPr>
          <w:color w:val="000000"/>
          <w:sz w:val="26"/>
          <w:szCs w:val="26"/>
        </w:rPr>
        <w:t>, p. 4.</w:t>
      </w:r>
    </w:p>
    <w:p w:rsidR="00487541" w:rsidRPr="00273105" w:rsidRDefault="00487541" w:rsidP="00770178">
      <w:pPr>
        <w:spacing w:line="360" w:lineRule="auto"/>
        <w:ind w:firstLine="720"/>
        <w:rPr>
          <w:color w:val="000000"/>
          <w:sz w:val="26"/>
          <w:szCs w:val="26"/>
        </w:rPr>
      </w:pPr>
    </w:p>
    <w:p w:rsidR="00A01E04" w:rsidRPr="00273105" w:rsidRDefault="008056FA" w:rsidP="00770178">
      <w:pPr>
        <w:spacing w:line="360" w:lineRule="auto"/>
        <w:ind w:firstLine="720"/>
        <w:rPr>
          <w:color w:val="000000"/>
          <w:sz w:val="26"/>
          <w:szCs w:val="26"/>
        </w:rPr>
      </w:pPr>
      <w:r w:rsidRPr="00273105">
        <w:rPr>
          <w:color w:val="000000"/>
          <w:sz w:val="26"/>
          <w:szCs w:val="26"/>
        </w:rPr>
        <w:lastRenderedPageBreak/>
        <w:t>In its comments, EAPA offers revisions to streamline and consolidate the new reporting requirements and clarifies that it is not the NGDC, but the Commission who grants the license.  EAPA states that its revisions underscore that the amount and form of the security should be reasonabl</w:t>
      </w:r>
      <w:r w:rsidR="00D24185">
        <w:rPr>
          <w:color w:val="000000"/>
          <w:sz w:val="26"/>
          <w:szCs w:val="26"/>
        </w:rPr>
        <w:t>y</w:t>
      </w:r>
      <w:r w:rsidRPr="00273105">
        <w:rPr>
          <w:color w:val="000000"/>
          <w:sz w:val="26"/>
          <w:szCs w:val="26"/>
        </w:rPr>
        <w:t xml:space="preserve"> related to the financial exposure imposed on the NGDC or SOLR resulting from a potential default or bankruptcy of the NGS.  The criteria established for security must “ensure the financial responsibility” of the licensee in the event of default or bankruptcy, and EAPA’s proposed revisions use that specific wording. </w:t>
      </w:r>
      <w:r w:rsidR="00287DED" w:rsidRPr="00287DED">
        <w:rPr>
          <w:i/>
          <w:color w:val="000000"/>
          <w:sz w:val="26"/>
          <w:szCs w:val="26"/>
        </w:rPr>
        <w:t>EAPA Comments</w:t>
      </w:r>
      <w:r w:rsidR="00287DED">
        <w:rPr>
          <w:color w:val="000000"/>
          <w:sz w:val="26"/>
          <w:szCs w:val="26"/>
        </w:rPr>
        <w:t>, p.</w:t>
      </w:r>
      <w:r w:rsidR="00D75066">
        <w:rPr>
          <w:color w:val="000000"/>
          <w:sz w:val="26"/>
          <w:szCs w:val="26"/>
        </w:rPr>
        <w:t xml:space="preserve"> 4</w:t>
      </w:r>
      <w:r w:rsidR="00287DED">
        <w:rPr>
          <w:color w:val="000000"/>
          <w:sz w:val="26"/>
          <w:szCs w:val="26"/>
        </w:rPr>
        <w:t>.</w:t>
      </w:r>
    </w:p>
    <w:p w:rsidR="00CE64B1" w:rsidRDefault="00CE64B1" w:rsidP="00A01E04">
      <w:pPr>
        <w:spacing w:line="360" w:lineRule="auto"/>
        <w:jc w:val="both"/>
        <w:rPr>
          <w:b/>
          <w:color w:val="000000"/>
          <w:sz w:val="26"/>
          <w:szCs w:val="26"/>
        </w:rPr>
      </w:pPr>
    </w:p>
    <w:p w:rsidR="00BD43D7" w:rsidRPr="00273105" w:rsidRDefault="00A01E04" w:rsidP="00A01E04">
      <w:pPr>
        <w:spacing w:line="360" w:lineRule="auto"/>
        <w:jc w:val="both"/>
        <w:rPr>
          <w:b/>
          <w:i/>
          <w:color w:val="000000"/>
          <w:sz w:val="26"/>
          <w:szCs w:val="26"/>
        </w:rPr>
      </w:pPr>
      <w:r w:rsidRPr="00273105">
        <w:rPr>
          <w:b/>
          <w:i/>
          <w:color w:val="000000"/>
          <w:sz w:val="26"/>
          <w:szCs w:val="26"/>
        </w:rPr>
        <w:t>Resolution</w:t>
      </w:r>
    </w:p>
    <w:p w:rsidR="000407F0" w:rsidRPr="00273105" w:rsidRDefault="000407F0" w:rsidP="00A01E04">
      <w:pPr>
        <w:spacing w:line="360" w:lineRule="auto"/>
        <w:jc w:val="both"/>
        <w:rPr>
          <w:b/>
          <w:color w:val="000000"/>
          <w:sz w:val="26"/>
          <w:szCs w:val="26"/>
        </w:rPr>
      </w:pPr>
    </w:p>
    <w:p w:rsidR="00123AFD" w:rsidRPr="00273105" w:rsidRDefault="00123AFD" w:rsidP="00123AFD">
      <w:pPr>
        <w:spacing w:line="360" w:lineRule="auto"/>
        <w:ind w:firstLine="720"/>
        <w:rPr>
          <w:color w:val="000000"/>
          <w:sz w:val="26"/>
          <w:szCs w:val="26"/>
        </w:rPr>
      </w:pPr>
      <w:r w:rsidRPr="00273105">
        <w:rPr>
          <w:color w:val="000000"/>
          <w:sz w:val="26"/>
          <w:szCs w:val="26"/>
        </w:rPr>
        <w:t xml:space="preserve">The Commission has proposed an annual reporting requirement to gather information about the criteria used by NGDCs to establish security amounts and the rules used by NGDCs to adjust security amounts to obtain, and maintain a NGS license.  </w:t>
      </w:r>
      <w:r w:rsidRPr="00273105">
        <w:rPr>
          <w:i/>
          <w:color w:val="000000"/>
          <w:sz w:val="26"/>
          <w:szCs w:val="26"/>
        </w:rPr>
        <w:t>See</w:t>
      </w:r>
      <w:r w:rsidRPr="00273105">
        <w:rPr>
          <w:color w:val="000000"/>
          <w:sz w:val="26"/>
          <w:szCs w:val="26"/>
        </w:rPr>
        <w:t xml:space="preserve"> 52 Pa. Code § 62.111 (c)(5).  The information collected will be used to study the criteria and rules used by the NGDCs to establish and adjust security amounts for NGSs operating on their systems.  The data will also be used to evaluate the consistency of </w:t>
      </w:r>
      <w:r w:rsidR="008D4D61" w:rsidRPr="00273105">
        <w:rPr>
          <w:color w:val="000000"/>
          <w:sz w:val="26"/>
          <w:szCs w:val="26"/>
        </w:rPr>
        <w:t>the application by a NGDC of</w:t>
      </w:r>
      <w:r w:rsidRPr="00273105">
        <w:rPr>
          <w:color w:val="000000"/>
          <w:sz w:val="26"/>
          <w:szCs w:val="26"/>
        </w:rPr>
        <w:t xml:space="preserve"> its criteria and rules to NGSs operating on its system.  It is envisioned that the collected data may also be used to standardize these criteria and rules so that they may be included for use by all NGDCs in a standardized supplier coordination tariff.</w:t>
      </w:r>
    </w:p>
    <w:p w:rsidR="00123AFD" w:rsidRPr="00273105" w:rsidRDefault="00123AFD" w:rsidP="00123AFD">
      <w:pPr>
        <w:spacing w:line="360" w:lineRule="auto"/>
        <w:ind w:firstLine="720"/>
        <w:rPr>
          <w:color w:val="000000"/>
          <w:sz w:val="26"/>
          <w:szCs w:val="26"/>
        </w:rPr>
      </w:pPr>
    </w:p>
    <w:p w:rsidR="00046FA1" w:rsidRPr="00273105" w:rsidRDefault="00CE64B1" w:rsidP="00046FA1">
      <w:pPr>
        <w:spacing w:line="360" w:lineRule="auto"/>
        <w:rPr>
          <w:color w:val="000000"/>
          <w:sz w:val="26"/>
          <w:szCs w:val="26"/>
        </w:rPr>
      </w:pPr>
      <w:r w:rsidRPr="00273105">
        <w:rPr>
          <w:color w:val="000000"/>
          <w:sz w:val="26"/>
          <w:szCs w:val="26"/>
        </w:rPr>
        <w:tab/>
        <w:t xml:space="preserve">Based on the comments, we have revised the reporting requirements to clarify that it is the Commission and not the NGDC that grants </w:t>
      </w:r>
      <w:r w:rsidR="003C4443" w:rsidRPr="00273105">
        <w:rPr>
          <w:color w:val="000000"/>
          <w:sz w:val="26"/>
          <w:szCs w:val="26"/>
        </w:rPr>
        <w:t>an NGS a</w:t>
      </w:r>
      <w:r w:rsidRPr="00273105">
        <w:rPr>
          <w:color w:val="000000"/>
          <w:sz w:val="26"/>
          <w:szCs w:val="26"/>
        </w:rPr>
        <w:t xml:space="preserve"> license.</w:t>
      </w:r>
      <w:r w:rsidR="00241BC5" w:rsidRPr="00273105">
        <w:rPr>
          <w:color w:val="000000"/>
          <w:sz w:val="26"/>
          <w:szCs w:val="26"/>
        </w:rPr>
        <w:t xml:space="preserve">  </w:t>
      </w:r>
      <w:r w:rsidR="00DE052D">
        <w:rPr>
          <w:color w:val="000000"/>
          <w:sz w:val="26"/>
          <w:szCs w:val="26"/>
        </w:rPr>
        <w:t>While S</w:t>
      </w:r>
      <w:r w:rsidR="00EB6C0B" w:rsidRPr="00273105">
        <w:rPr>
          <w:color w:val="000000"/>
          <w:sz w:val="26"/>
          <w:szCs w:val="26"/>
        </w:rPr>
        <w:t xml:space="preserve">ection 62.111 (b) makes it clear that the purpose of the security requirement for licensing is to ensure </w:t>
      </w:r>
      <w:r w:rsidR="00B77FA2" w:rsidRPr="00273105">
        <w:rPr>
          <w:color w:val="000000"/>
          <w:sz w:val="26"/>
          <w:szCs w:val="26"/>
        </w:rPr>
        <w:t>the licensee’s financial responsibility, we have added EAPA’s suggested language that reiterates this point in</w:t>
      </w:r>
      <w:r w:rsidR="004F267B" w:rsidRPr="00273105">
        <w:rPr>
          <w:color w:val="000000"/>
          <w:sz w:val="26"/>
          <w:szCs w:val="26"/>
        </w:rPr>
        <w:t xml:space="preserve"> regard to </w:t>
      </w:r>
      <w:r w:rsidR="002313B5" w:rsidRPr="00273105">
        <w:rPr>
          <w:color w:val="000000"/>
          <w:sz w:val="26"/>
          <w:szCs w:val="26"/>
        </w:rPr>
        <w:t xml:space="preserve">security that the </w:t>
      </w:r>
      <w:r w:rsidR="004F267B" w:rsidRPr="00273105">
        <w:rPr>
          <w:color w:val="000000"/>
          <w:sz w:val="26"/>
          <w:szCs w:val="26"/>
        </w:rPr>
        <w:t xml:space="preserve">licensee </w:t>
      </w:r>
      <w:r w:rsidR="002313B5" w:rsidRPr="00273105">
        <w:rPr>
          <w:color w:val="000000"/>
          <w:sz w:val="26"/>
          <w:szCs w:val="26"/>
        </w:rPr>
        <w:t xml:space="preserve">must have in place to </w:t>
      </w:r>
      <w:r w:rsidR="00DE052D">
        <w:rPr>
          <w:color w:val="000000"/>
          <w:sz w:val="26"/>
          <w:szCs w:val="26"/>
        </w:rPr>
        <w:t>maintain its license in S</w:t>
      </w:r>
      <w:r w:rsidR="004F267B" w:rsidRPr="00273105">
        <w:rPr>
          <w:color w:val="000000"/>
          <w:sz w:val="26"/>
          <w:szCs w:val="26"/>
        </w:rPr>
        <w:t>ection 62.111(c)(5)(ii).</w:t>
      </w:r>
      <w:r w:rsidR="0058600E" w:rsidRPr="00273105">
        <w:rPr>
          <w:color w:val="000000"/>
          <w:sz w:val="26"/>
          <w:szCs w:val="26"/>
        </w:rPr>
        <w:t xml:space="preserve">  We also </w:t>
      </w:r>
      <w:r w:rsidR="00DE052D">
        <w:rPr>
          <w:color w:val="000000"/>
          <w:sz w:val="26"/>
          <w:szCs w:val="26"/>
        </w:rPr>
        <w:t>revised S</w:t>
      </w:r>
      <w:r w:rsidR="008D3413" w:rsidRPr="00273105">
        <w:rPr>
          <w:color w:val="000000"/>
          <w:sz w:val="26"/>
          <w:szCs w:val="26"/>
        </w:rPr>
        <w:t xml:space="preserve">ection 62.111(c)(5)(iv) </w:t>
      </w:r>
      <w:r w:rsidR="005A52C9" w:rsidRPr="00273105">
        <w:rPr>
          <w:color w:val="000000"/>
          <w:sz w:val="26"/>
          <w:szCs w:val="26"/>
        </w:rPr>
        <w:lastRenderedPageBreak/>
        <w:t xml:space="preserve">to delete language </w:t>
      </w:r>
      <w:r w:rsidR="0058600E" w:rsidRPr="00273105">
        <w:rPr>
          <w:color w:val="000000"/>
          <w:sz w:val="26"/>
          <w:szCs w:val="26"/>
        </w:rPr>
        <w:t xml:space="preserve">that requests data be reported </w:t>
      </w:r>
      <w:r w:rsidR="005A52C9" w:rsidRPr="00273105">
        <w:rPr>
          <w:color w:val="000000"/>
          <w:sz w:val="26"/>
          <w:szCs w:val="26"/>
        </w:rPr>
        <w:t>“</w:t>
      </w:r>
      <w:r w:rsidR="0058600E" w:rsidRPr="00273105">
        <w:rPr>
          <w:color w:val="000000"/>
          <w:sz w:val="26"/>
          <w:szCs w:val="26"/>
        </w:rPr>
        <w:t xml:space="preserve">for the </w:t>
      </w:r>
      <w:r w:rsidR="008D3413" w:rsidRPr="00273105">
        <w:rPr>
          <w:color w:val="000000"/>
          <w:sz w:val="26"/>
          <w:szCs w:val="26"/>
        </w:rPr>
        <w:t>last quarter</w:t>
      </w:r>
      <w:r w:rsidR="005A52C9" w:rsidRPr="00273105">
        <w:rPr>
          <w:color w:val="000000"/>
          <w:sz w:val="26"/>
          <w:szCs w:val="26"/>
        </w:rPr>
        <w:t xml:space="preserve">” as being inconsistent with an annual reporting </w:t>
      </w:r>
      <w:r w:rsidR="005811A3" w:rsidRPr="00273105">
        <w:rPr>
          <w:color w:val="000000"/>
          <w:sz w:val="26"/>
          <w:szCs w:val="26"/>
        </w:rPr>
        <w:t>requirement.</w:t>
      </w:r>
      <w:r w:rsidR="005A52C9" w:rsidRPr="00273105">
        <w:rPr>
          <w:color w:val="000000"/>
          <w:sz w:val="26"/>
          <w:szCs w:val="26"/>
        </w:rPr>
        <w:t xml:space="preserve"> </w:t>
      </w:r>
    </w:p>
    <w:p w:rsidR="00CE64B1" w:rsidRDefault="00CE64B1" w:rsidP="00A01E04">
      <w:pPr>
        <w:spacing w:line="360" w:lineRule="auto"/>
        <w:jc w:val="both"/>
        <w:rPr>
          <w:b/>
          <w:color w:val="000000"/>
          <w:sz w:val="26"/>
          <w:szCs w:val="26"/>
        </w:rPr>
      </w:pPr>
    </w:p>
    <w:p w:rsidR="000D5096" w:rsidRPr="00273105" w:rsidRDefault="000D5096" w:rsidP="000D5096">
      <w:pPr>
        <w:spacing w:line="360" w:lineRule="auto"/>
        <w:rPr>
          <w:b/>
          <w:color w:val="000000"/>
          <w:sz w:val="26"/>
          <w:szCs w:val="26"/>
        </w:rPr>
      </w:pPr>
      <w:r w:rsidRPr="00273105">
        <w:rPr>
          <w:b/>
          <w:color w:val="000000"/>
          <w:sz w:val="26"/>
          <w:szCs w:val="26"/>
        </w:rPr>
        <w:t>Section 62.111(c)(6)</w:t>
      </w:r>
      <w:r w:rsidR="00842294" w:rsidRPr="00273105">
        <w:rPr>
          <w:b/>
          <w:color w:val="000000"/>
          <w:sz w:val="26"/>
          <w:szCs w:val="26"/>
        </w:rPr>
        <w:t>- Dispute</w:t>
      </w:r>
      <w:r w:rsidR="00721F48" w:rsidRPr="00273105">
        <w:rPr>
          <w:b/>
          <w:color w:val="000000"/>
          <w:sz w:val="26"/>
          <w:szCs w:val="26"/>
        </w:rPr>
        <w:t xml:space="preserve"> Resolution Procedures</w:t>
      </w:r>
    </w:p>
    <w:p w:rsidR="000D5096" w:rsidRPr="00273105" w:rsidRDefault="000D5096" w:rsidP="00770178">
      <w:pPr>
        <w:spacing w:line="360" w:lineRule="auto"/>
        <w:rPr>
          <w:b/>
          <w:color w:val="000000"/>
          <w:sz w:val="26"/>
          <w:szCs w:val="26"/>
        </w:rPr>
      </w:pPr>
    </w:p>
    <w:p w:rsidR="005077DB" w:rsidRPr="00273105" w:rsidRDefault="0067483F" w:rsidP="00770178">
      <w:pPr>
        <w:spacing w:line="360" w:lineRule="auto"/>
        <w:rPr>
          <w:color w:val="000000"/>
          <w:sz w:val="26"/>
          <w:szCs w:val="26"/>
        </w:rPr>
      </w:pPr>
      <w:r w:rsidRPr="00273105">
        <w:rPr>
          <w:color w:val="000000"/>
          <w:sz w:val="26"/>
          <w:szCs w:val="26"/>
        </w:rPr>
        <w:tab/>
      </w:r>
      <w:r w:rsidR="00DE052D">
        <w:rPr>
          <w:color w:val="000000"/>
          <w:sz w:val="26"/>
          <w:szCs w:val="26"/>
        </w:rPr>
        <w:t>Proposed S</w:t>
      </w:r>
      <w:r w:rsidRPr="00273105">
        <w:rPr>
          <w:color w:val="000000"/>
          <w:sz w:val="26"/>
          <w:szCs w:val="26"/>
        </w:rPr>
        <w:t xml:space="preserve">ection 62.111(c)(6) lists four Commission processes that a NGS may pursue if it is unable to reach an agreement with the NGDC on the form or amount of security to be provided: informal mediation; alternate dispute resolution with the OALJ; litigation of a formal complaint; and petition for Commission review of NGDC criteria for security levels.  The first alternative presented, informal mediation, may be requested by filing a dispute with the Commission’s Secretary.  The </w:t>
      </w:r>
      <w:r w:rsidR="0028329E" w:rsidRPr="00273105">
        <w:rPr>
          <w:color w:val="000000"/>
          <w:sz w:val="26"/>
          <w:szCs w:val="26"/>
        </w:rPr>
        <w:t>Secretary will assign the complaint to the appropriate bureau</w:t>
      </w:r>
      <w:r w:rsidRPr="00273105">
        <w:rPr>
          <w:color w:val="000000"/>
          <w:sz w:val="26"/>
          <w:szCs w:val="26"/>
        </w:rPr>
        <w:t xml:space="preserve"> </w:t>
      </w:r>
      <w:r w:rsidR="0028329E" w:rsidRPr="00273105">
        <w:rPr>
          <w:color w:val="000000"/>
          <w:sz w:val="26"/>
          <w:szCs w:val="26"/>
        </w:rPr>
        <w:t xml:space="preserve">that will </w:t>
      </w:r>
      <w:r w:rsidRPr="00273105">
        <w:rPr>
          <w:color w:val="000000"/>
          <w:sz w:val="26"/>
          <w:szCs w:val="26"/>
        </w:rPr>
        <w:t>act as the mediator between the NGS and the NGDC.</w:t>
      </w:r>
    </w:p>
    <w:p w:rsidR="005A10C2" w:rsidRPr="00273105" w:rsidRDefault="005A10C2" w:rsidP="00770178">
      <w:pPr>
        <w:spacing w:line="360" w:lineRule="auto"/>
        <w:rPr>
          <w:b/>
          <w:color w:val="000000"/>
          <w:sz w:val="26"/>
          <w:szCs w:val="26"/>
        </w:rPr>
      </w:pPr>
    </w:p>
    <w:p w:rsidR="00DC3620" w:rsidRPr="00273105" w:rsidRDefault="00721F48" w:rsidP="00DC3620">
      <w:pPr>
        <w:spacing w:line="360" w:lineRule="auto"/>
        <w:ind w:firstLine="720"/>
        <w:rPr>
          <w:color w:val="000000"/>
          <w:sz w:val="26"/>
          <w:szCs w:val="26"/>
        </w:rPr>
      </w:pPr>
      <w:r w:rsidRPr="00273105">
        <w:rPr>
          <w:color w:val="000000"/>
          <w:sz w:val="26"/>
          <w:szCs w:val="26"/>
        </w:rPr>
        <w:t xml:space="preserve">In its comments, </w:t>
      </w:r>
      <w:r w:rsidR="00BD43D7" w:rsidRPr="00273105">
        <w:rPr>
          <w:color w:val="000000"/>
          <w:sz w:val="26"/>
          <w:szCs w:val="26"/>
        </w:rPr>
        <w:t xml:space="preserve">RESA suggests that the Commission add a provision that lists the Commission processes, formal and informal that a NGS may pursue to resolve a dispute with the NGDC on the form and/ or amount of security.  </w:t>
      </w:r>
      <w:r w:rsidR="00BD43D7" w:rsidRPr="00273105">
        <w:rPr>
          <w:i/>
          <w:color w:val="000000"/>
          <w:sz w:val="26"/>
          <w:szCs w:val="26"/>
        </w:rPr>
        <w:t>RESA Comments</w:t>
      </w:r>
      <w:r w:rsidR="00BD43D7" w:rsidRPr="00273105">
        <w:rPr>
          <w:color w:val="000000"/>
          <w:sz w:val="26"/>
          <w:szCs w:val="26"/>
        </w:rPr>
        <w:t>, p. 9.</w:t>
      </w:r>
      <w:r w:rsidR="00DC3620" w:rsidRPr="00273105">
        <w:rPr>
          <w:color w:val="000000"/>
          <w:sz w:val="26"/>
          <w:szCs w:val="26"/>
        </w:rPr>
        <w:t xml:space="preserve"> </w:t>
      </w:r>
    </w:p>
    <w:p w:rsidR="00DC3620" w:rsidRPr="00273105" w:rsidRDefault="00DC3620" w:rsidP="00DC3620">
      <w:pPr>
        <w:spacing w:line="360" w:lineRule="auto"/>
        <w:ind w:firstLine="720"/>
        <w:rPr>
          <w:color w:val="000000"/>
          <w:sz w:val="26"/>
          <w:szCs w:val="26"/>
        </w:rPr>
      </w:pPr>
    </w:p>
    <w:p w:rsidR="0064553F" w:rsidRDefault="00BD43D7" w:rsidP="00DC3620">
      <w:pPr>
        <w:spacing w:line="360" w:lineRule="auto"/>
        <w:ind w:firstLine="720"/>
        <w:rPr>
          <w:color w:val="000000"/>
          <w:sz w:val="26"/>
          <w:szCs w:val="26"/>
        </w:rPr>
      </w:pPr>
      <w:r w:rsidRPr="00273105">
        <w:rPr>
          <w:color w:val="000000"/>
          <w:sz w:val="26"/>
          <w:szCs w:val="26"/>
        </w:rPr>
        <w:t xml:space="preserve">NFG states that there is no mention of the </w:t>
      </w:r>
      <w:r w:rsidR="00DC3620" w:rsidRPr="00273105">
        <w:rPr>
          <w:color w:val="000000"/>
          <w:sz w:val="26"/>
          <w:szCs w:val="26"/>
        </w:rPr>
        <w:t>Office of Competitive Market Oversight</w:t>
      </w:r>
      <w:r w:rsidR="0028329E" w:rsidRPr="00273105">
        <w:rPr>
          <w:rStyle w:val="FootnoteReference"/>
          <w:color w:val="000000"/>
          <w:sz w:val="26"/>
          <w:szCs w:val="26"/>
        </w:rPr>
        <w:footnoteReference w:id="6"/>
      </w:r>
      <w:r w:rsidR="00DC3620" w:rsidRPr="00273105">
        <w:rPr>
          <w:color w:val="000000"/>
          <w:sz w:val="26"/>
          <w:szCs w:val="26"/>
        </w:rPr>
        <w:t xml:space="preserve"> </w:t>
      </w:r>
      <w:r w:rsidRPr="00273105">
        <w:rPr>
          <w:color w:val="000000"/>
          <w:sz w:val="26"/>
          <w:szCs w:val="26"/>
        </w:rPr>
        <w:t xml:space="preserve">in the dispute resolution section and states that attempting to resolve the dispute through the OCMO should be required before an NGS can attempt to obtain other Commission intervention by filing a formal complaint.  </w:t>
      </w:r>
      <w:r w:rsidRPr="00273105">
        <w:rPr>
          <w:i/>
          <w:color w:val="000000"/>
          <w:sz w:val="26"/>
          <w:szCs w:val="26"/>
        </w:rPr>
        <w:t>NFG Comments</w:t>
      </w:r>
      <w:r w:rsidRPr="00273105">
        <w:rPr>
          <w:color w:val="000000"/>
          <w:sz w:val="26"/>
          <w:szCs w:val="26"/>
        </w:rPr>
        <w:t xml:space="preserve">, p. 6.  </w:t>
      </w:r>
      <w:r w:rsidR="0064553F">
        <w:rPr>
          <w:color w:val="000000"/>
          <w:sz w:val="26"/>
          <w:szCs w:val="26"/>
        </w:rPr>
        <w:t xml:space="preserve">PECO comments that supplier complaints should be initially referred to the OCMO for mediation and advisory purposes.  </w:t>
      </w:r>
      <w:r w:rsidR="0064553F" w:rsidRPr="0064553F">
        <w:rPr>
          <w:i/>
          <w:color w:val="000000"/>
          <w:sz w:val="26"/>
          <w:szCs w:val="26"/>
        </w:rPr>
        <w:t>PECO Comments</w:t>
      </w:r>
      <w:r w:rsidR="0064553F">
        <w:rPr>
          <w:color w:val="000000"/>
          <w:sz w:val="26"/>
          <w:szCs w:val="26"/>
        </w:rPr>
        <w:t>, p. 5.</w:t>
      </w:r>
    </w:p>
    <w:p w:rsidR="0064553F" w:rsidRDefault="0064553F" w:rsidP="00DC3620">
      <w:pPr>
        <w:spacing w:line="360" w:lineRule="auto"/>
        <w:ind w:firstLine="720"/>
        <w:rPr>
          <w:color w:val="000000"/>
          <w:sz w:val="26"/>
          <w:szCs w:val="26"/>
        </w:rPr>
      </w:pPr>
    </w:p>
    <w:p w:rsidR="00BD43D7" w:rsidRPr="00273105" w:rsidRDefault="00BD43D7" w:rsidP="00DC3620">
      <w:pPr>
        <w:spacing w:line="360" w:lineRule="auto"/>
        <w:ind w:firstLine="720"/>
        <w:rPr>
          <w:color w:val="000000"/>
          <w:sz w:val="26"/>
          <w:szCs w:val="26"/>
        </w:rPr>
      </w:pPr>
      <w:r w:rsidRPr="00273105">
        <w:rPr>
          <w:color w:val="000000"/>
          <w:sz w:val="26"/>
          <w:szCs w:val="26"/>
        </w:rPr>
        <w:lastRenderedPageBreak/>
        <w:t xml:space="preserve">NFG also states that the section does not explain how the financial security should be handled pending the resolution of the dispute.  NFG suggests that in order to protect system reliability and NGDC ratepayers, an NGS must post the required security in order to provide or continue to provide service on the NGDC system pending the dispute resolution.  </w:t>
      </w:r>
      <w:r w:rsidRPr="00273105">
        <w:rPr>
          <w:i/>
          <w:color w:val="000000"/>
          <w:sz w:val="26"/>
          <w:szCs w:val="26"/>
        </w:rPr>
        <w:t>NFG Comments</w:t>
      </w:r>
      <w:r w:rsidRPr="00273105">
        <w:rPr>
          <w:color w:val="000000"/>
          <w:sz w:val="26"/>
          <w:szCs w:val="26"/>
        </w:rPr>
        <w:t>, p. 7.</w:t>
      </w:r>
      <w:r w:rsidR="0064553F">
        <w:rPr>
          <w:color w:val="000000"/>
          <w:sz w:val="26"/>
          <w:szCs w:val="26"/>
        </w:rPr>
        <w:t xml:space="preserve">  </w:t>
      </w:r>
      <w:r w:rsidR="00E55BE1">
        <w:rPr>
          <w:color w:val="000000"/>
          <w:sz w:val="26"/>
          <w:szCs w:val="26"/>
        </w:rPr>
        <w:t xml:space="preserve">PECO comments that the Commission should clarify its intent that NGSs continue to provide service to customers during disputes.  </w:t>
      </w:r>
      <w:r w:rsidR="00E55BE1" w:rsidRPr="00E55BE1">
        <w:rPr>
          <w:i/>
          <w:color w:val="000000"/>
          <w:sz w:val="26"/>
          <w:szCs w:val="26"/>
        </w:rPr>
        <w:t>PECO Comments</w:t>
      </w:r>
      <w:r w:rsidR="00E55BE1">
        <w:rPr>
          <w:color w:val="000000"/>
          <w:sz w:val="26"/>
          <w:szCs w:val="26"/>
        </w:rPr>
        <w:t xml:space="preserve">, p. 5. </w:t>
      </w:r>
    </w:p>
    <w:p w:rsidR="0028329E" w:rsidRPr="00273105" w:rsidRDefault="0028329E" w:rsidP="00DC3620">
      <w:pPr>
        <w:spacing w:line="360" w:lineRule="auto"/>
        <w:ind w:firstLine="720"/>
        <w:rPr>
          <w:color w:val="000000"/>
          <w:sz w:val="26"/>
          <w:szCs w:val="26"/>
        </w:rPr>
      </w:pPr>
    </w:p>
    <w:p w:rsidR="00C95BA0" w:rsidRDefault="00AC3F50" w:rsidP="00DC3620">
      <w:pPr>
        <w:spacing w:line="360" w:lineRule="auto"/>
        <w:ind w:firstLine="720"/>
        <w:rPr>
          <w:color w:val="000000"/>
          <w:sz w:val="26"/>
          <w:szCs w:val="26"/>
        </w:rPr>
      </w:pPr>
      <w:r w:rsidRPr="00273105">
        <w:rPr>
          <w:color w:val="000000"/>
          <w:sz w:val="26"/>
          <w:szCs w:val="26"/>
        </w:rPr>
        <w:t>Equitable states that the NGDC should have the right of appeal to the Commission from a bureau decision concerning NGS security</w:t>
      </w:r>
      <w:r w:rsidR="004E0F5E" w:rsidRPr="00273105">
        <w:rPr>
          <w:color w:val="000000"/>
          <w:sz w:val="26"/>
          <w:szCs w:val="26"/>
        </w:rPr>
        <w:t>.</w:t>
      </w:r>
      <w:r w:rsidRPr="00273105">
        <w:rPr>
          <w:color w:val="000000"/>
          <w:sz w:val="26"/>
          <w:szCs w:val="26"/>
        </w:rPr>
        <w:t xml:space="preserve"> </w:t>
      </w:r>
      <w:r w:rsidR="00FE25DD" w:rsidRPr="00FE25DD">
        <w:rPr>
          <w:i/>
          <w:color w:val="000000"/>
          <w:sz w:val="26"/>
          <w:szCs w:val="26"/>
        </w:rPr>
        <w:t>Equitable Comments</w:t>
      </w:r>
      <w:r w:rsidR="00287DED">
        <w:rPr>
          <w:color w:val="000000"/>
          <w:sz w:val="26"/>
          <w:szCs w:val="26"/>
        </w:rPr>
        <w:t xml:space="preserve">, </w:t>
      </w:r>
      <w:r w:rsidR="00FB5B31">
        <w:rPr>
          <w:color w:val="000000"/>
          <w:sz w:val="26"/>
          <w:szCs w:val="26"/>
        </w:rPr>
        <w:t xml:space="preserve">Appendix A. </w:t>
      </w:r>
    </w:p>
    <w:p w:rsidR="00BD43D7" w:rsidRPr="00273105" w:rsidRDefault="00287DED" w:rsidP="00C32BEC">
      <w:pPr>
        <w:spacing w:line="360" w:lineRule="auto"/>
        <w:rPr>
          <w:color w:val="000000"/>
          <w:sz w:val="26"/>
          <w:szCs w:val="26"/>
        </w:rPr>
      </w:pPr>
      <w:r>
        <w:rPr>
          <w:color w:val="000000"/>
          <w:sz w:val="26"/>
          <w:szCs w:val="26"/>
        </w:rPr>
        <w:t>p.</w:t>
      </w:r>
      <w:r w:rsidR="00FB5B31">
        <w:rPr>
          <w:color w:val="000000"/>
          <w:sz w:val="26"/>
          <w:szCs w:val="26"/>
        </w:rPr>
        <w:t xml:space="preserve"> 3.</w:t>
      </w:r>
      <w:r>
        <w:rPr>
          <w:color w:val="000000"/>
          <w:sz w:val="26"/>
          <w:szCs w:val="26"/>
        </w:rPr>
        <w:t xml:space="preserve"> </w:t>
      </w:r>
      <w:r w:rsidR="00C32BEC">
        <w:rPr>
          <w:color w:val="000000"/>
          <w:sz w:val="26"/>
          <w:szCs w:val="26"/>
        </w:rPr>
        <w:t xml:space="preserve">  </w:t>
      </w:r>
      <w:r w:rsidR="00DC3620" w:rsidRPr="00273105">
        <w:rPr>
          <w:color w:val="000000"/>
          <w:sz w:val="26"/>
          <w:szCs w:val="26"/>
        </w:rPr>
        <w:t xml:space="preserve">EAPA supports the dispute resolution provision and </w:t>
      </w:r>
      <w:r w:rsidR="00813B57" w:rsidRPr="00273105">
        <w:rPr>
          <w:color w:val="000000"/>
          <w:sz w:val="26"/>
          <w:szCs w:val="26"/>
        </w:rPr>
        <w:t xml:space="preserve">suggests revising </w:t>
      </w:r>
      <w:r w:rsidR="00DC3620" w:rsidRPr="00273105">
        <w:rPr>
          <w:color w:val="000000"/>
          <w:sz w:val="26"/>
          <w:szCs w:val="26"/>
        </w:rPr>
        <w:t>it to require the NGS first to attempt to resolve the issue with the NGDC</w:t>
      </w:r>
      <w:r w:rsidR="00813B57" w:rsidRPr="00273105">
        <w:rPr>
          <w:color w:val="000000"/>
          <w:sz w:val="26"/>
          <w:szCs w:val="26"/>
        </w:rPr>
        <w:t>:</w:t>
      </w:r>
      <w:r w:rsidR="00DC3620" w:rsidRPr="00273105">
        <w:rPr>
          <w:color w:val="000000"/>
          <w:sz w:val="26"/>
          <w:szCs w:val="26"/>
        </w:rPr>
        <w:t xml:space="preserve"> to assign the dispute to the OCMO</w:t>
      </w:r>
      <w:r w:rsidR="00813B57" w:rsidRPr="00273105">
        <w:rPr>
          <w:color w:val="000000"/>
          <w:sz w:val="26"/>
          <w:szCs w:val="26"/>
        </w:rPr>
        <w:t>;</w:t>
      </w:r>
      <w:r w:rsidR="00DC3620" w:rsidRPr="00273105">
        <w:rPr>
          <w:color w:val="000000"/>
          <w:sz w:val="26"/>
          <w:szCs w:val="26"/>
        </w:rPr>
        <w:t xml:space="preserve"> and to </w:t>
      </w:r>
      <w:r w:rsidR="00F82642" w:rsidRPr="00273105">
        <w:rPr>
          <w:color w:val="000000"/>
          <w:sz w:val="26"/>
          <w:szCs w:val="26"/>
        </w:rPr>
        <w:t xml:space="preserve">require an existing licensee to post the adjusted security amount </w:t>
      </w:r>
      <w:r w:rsidR="00DC3620" w:rsidRPr="00273105">
        <w:rPr>
          <w:color w:val="000000"/>
          <w:sz w:val="26"/>
          <w:szCs w:val="26"/>
        </w:rPr>
        <w:t xml:space="preserve"> requested by the NGDC until the dispute is resolved.  The rationale is to ensure </w:t>
      </w:r>
      <w:r w:rsidR="00EA2164">
        <w:rPr>
          <w:color w:val="000000"/>
          <w:sz w:val="26"/>
          <w:szCs w:val="26"/>
        </w:rPr>
        <w:t xml:space="preserve">that there is </w:t>
      </w:r>
      <w:r w:rsidR="00DC3620" w:rsidRPr="00273105">
        <w:rPr>
          <w:color w:val="000000"/>
          <w:sz w:val="26"/>
          <w:szCs w:val="26"/>
        </w:rPr>
        <w:t xml:space="preserve">adequate security </w:t>
      </w:r>
      <w:r w:rsidR="00EA2164">
        <w:rPr>
          <w:color w:val="000000"/>
          <w:sz w:val="26"/>
          <w:szCs w:val="26"/>
        </w:rPr>
        <w:t xml:space="preserve">in place </w:t>
      </w:r>
      <w:r w:rsidR="00DC3620" w:rsidRPr="00273105">
        <w:rPr>
          <w:color w:val="000000"/>
          <w:sz w:val="26"/>
          <w:szCs w:val="26"/>
        </w:rPr>
        <w:t xml:space="preserve">to cover the </w:t>
      </w:r>
      <w:r w:rsidR="00EA2164">
        <w:rPr>
          <w:color w:val="000000"/>
          <w:sz w:val="26"/>
          <w:szCs w:val="26"/>
        </w:rPr>
        <w:t xml:space="preserve">financial </w:t>
      </w:r>
      <w:r w:rsidR="00DC3620" w:rsidRPr="00273105">
        <w:rPr>
          <w:color w:val="000000"/>
          <w:sz w:val="26"/>
          <w:szCs w:val="26"/>
        </w:rPr>
        <w:t xml:space="preserve">exposure of the NGDC while the dispute is being resolved.  </w:t>
      </w:r>
      <w:r w:rsidR="00DC3620" w:rsidRPr="00273105">
        <w:rPr>
          <w:i/>
          <w:color w:val="000000"/>
          <w:sz w:val="26"/>
          <w:szCs w:val="26"/>
        </w:rPr>
        <w:t>EAPA Comments</w:t>
      </w:r>
      <w:r w:rsidR="00DC3620" w:rsidRPr="00273105">
        <w:rPr>
          <w:color w:val="000000"/>
          <w:sz w:val="26"/>
          <w:szCs w:val="26"/>
        </w:rPr>
        <w:t>, p. 5</w:t>
      </w:r>
      <w:r w:rsidR="003C577E">
        <w:rPr>
          <w:color w:val="000000"/>
          <w:sz w:val="26"/>
          <w:szCs w:val="26"/>
        </w:rPr>
        <w:t>.</w:t>
      </w:r>
    </w:p>
    <w:p w:rsidR="00DC3620" w:rsidRPr="00273105" w:rsidRDefault="00DC3620" w:rsidP="00DC3620">
      <w:pPr>
        <w:spacing w:line="360" w:lineRule="auto"/>
        <w:ind w:firstLine="720"/>
        <w:rPr>
          <w:color w:val="000000"/>
          <w:sz w:val="26"/>
          <w:szCs w:val="26"/>
        </w:rPr>
      </w:pPr>
    </w:p>
    <w:p w:rsidR="00BD43D7" w:rsidRPr="00273105" w:rsidRDefault="00BD43D7" w:rsidP="00DC3620">
      <w:pPr>
        <w:spacing w:line="360" w:lineRule="auto"/>
        <w:ind w:firstLine="720"/>
        <w:rPr>
          <w:color w:val="000000"/>
          <w:sz w:val="26"/>
          <w:szCs w:val="26"/>
        </w:rPr>
      </w:pPr>
      <w:r w:rsidRPr="00273105">
        <w:rPr>
          <w:color w:val="000000"/>
          <w:sz w:val="26"/>
          <w:szCs w:val="26"/>
        </w:rPr>
        <w:t>IRRC states that several commenters noted that the regulation does not address the NGS’s responsibilities to customers during the dispute resolution process.  IRRC suggests that, in the final form regulation, the Commission should clarify the responsibilities of all parties during the pendency of the dispute.</w:t>
      </w:r>
      <w:r w:rsidR="00287DED">
        <w:rPr>
          <w:color w:val="000000"/>
          <w:sz w:val="26"/>
          <w:szCs w:val="26"/>
        </w:rPr>
        <w:t xml:space="preserve"> </w:t>
      </w:r>
      <w:r w:rsidR="00287DED" w:rsidRPr="00287DED">
        <w:rPr>
          <w:i/>
          <w:color w:val="000000"/>
          <w:sz w:val="26"/>
          <w:szCs w:val="26"/>
        </w:rPr>
        <w:t>IRRC Comments</w:t>
      </w:r>
      <w:r w:rsidR="00287DED">
        <w:rPr>
          <w:color w:val="000000"/>
          <w:sz w:val="26"/>
          <w:szCs w:val="26"/>
        </w:rPr>
        <w:t xml:space="preserve">, p. </w:t>
      </w:r>
      <w:r w:rsidR="00310F35">
        <w:rPr>
          <w:color w:val="000000"/>
          <w:sz w:val="26"/>
          <w:szCs w:val="26"/>
        </w:rPr>
        <w:t>2</w:t>
      </w:r>
      <w:r w:rsidR="00287DED">
        <w:rPr>
          <w:color w:val="000000"/>
          <w:sz w:val="26"/>
          <w:szCs w:val="26"/>
        </w:rPr>
        <w:t>.</w:t>
      </w:r>
    </w:p>
    <w:p w:rsidR="00BD43D7" w:rsidRPr="00273105" w:rsidRDefault="00BD43D7" w:rsidP="00770178">
      <w:pPr>
        <w:spacing w:line="360" w:lineRule="auto"/>
        <w:rPr>
          <w:color w:val="000000"/>
          <w:sz w:val="26"/>
          <w:szCs w:val="26"/>
        </w:rPr>
      </w:pPr>
    </w:p>
    <w:p w:rsidR="00AC3F50" w:rsidRPr="00273105" w:rsidRDefault="00BD43D7" w:rsidP="00770178">
      <w:pPr>
        <w:spacing w:line="360" w:lineRule="auto"/>
        <w:rPr>
          <w:b/>
          <w:i/>
          <w:color w:val="000000"/>
          <w:sz w:val="26"/>
          <w:szCs w:val="26"/>
        </w:rPr>
      </w:pPr>
      <w:r w:rsidRPr="00273105">
        <w:rPr>
          <w:b/>
          <w:i/>
          <w:color w:val="000000"/>
          <w:sz w:val="26"/>
          <w:szCs w:val="26"/>
        </w:rPr>
        <w:t>Res</w:t>
      </w:r>
      <w:r w:rsidR="00AC3F50" w:rsidRPr="00273105">
        <w:rPr>
          <w:b/>
          <w:i/>
          <w:color w:val="000000"/>
          <w:sz w:val="26"/>
          <w:szCs w:val="26"/>
        </w:rPr>
        <w:t>olution</w:t>
      </w:r>
      <w:r w:rsidRPr="00273105">
        <w:rPr>
          <w:b/>
          <w:i/>
          <w:color w:val="000000"/>
          <w:sz w:val="26"/>
          <w:szCs w:val="26"/>
        </w:rPr>
        <w:t xml:space="preserve"> </w:t>
      </w:r>
    </w:p>
    <w:p w:rsidR="00AC3F50" w:rsidRPr="00273105" w:rsidRDefault="00AC3F50" w:rsidP="00770178">
      <w:pPr>
        <w:spacing w:line="360" w:lineRule="auto"/>
        <w:rPr>
          <w:b/>
          <w:color w:val="000000"/>
          <w:sz w:val="26"/>
          <w:szCs w:val="26"/>
        </w:rPr>
      </w:pPr>
    </w:p>
    <w:p w:rsidR="0010053F" w:rsidRPr="00273105" w:rsidRDefault="00A52A5F" w:rsidP="00770178">
      <w:pPr>
        <w:spacing w:line="360" w:lineRule="auto"/>
        <w:rPr>
          <w:color w:val="000000"/>
          <w:sz w:val="26"/>
          <w:szCs w:val="26"/>
        </w:rPr>
      </w:pPr>
      <w:r w:rsidRPr="00273105">
        <w:rPr>
          <w:color w:val="000000"/>
          <w:sz w:val="26"/>
          <w:szCs w:val="26"/>
        </w:rPr>
        <w:tab/>
        <w:t xml:space="preserve">We have not identified the </w:t>
      </w:r>
      <w:r w:rsidR="005A549D" w:rsidRPr="00273105">
        <w:rPr>
          <w:color w:val="000000"/>
          <w:sz w:val="26"/>
          <w:szCs w:val="26"/>
        </w:rPr>
        <w:t>Office of Competitive Marke</w:t>
      </w:r>
      <w:r w:rsidRPr="00273105">
        <w:rPr>
          <w:color w:val="000000"/>
          <w:sz w:val="26"/>
          <w:szCs w:val="26"/>
        </w:rPr>
        <w:t xml:space="preserve">t Office as the </w:t>
      </w:r>
      <w:r w:rsidR="00F96F9A" w:rsidRPr="00273105">
        <w:rPr>
          <w:color w:val="000000"/>
          <w:sz w:val="26"/>
          <w:szCs w:val="26"/>
        </w:rPr>
        <w:t>Commission office</w:t>
      </w:r>
      <w:r w:rsidR="00D17324" w:rsidRPr="00273105">
        <w:rPr>
          <w:color w:val="000000"/>
          <w:sz w:val="26"/>
          <w:szCs w:val="26"/>
        </w:rPr>
        <w:t xml:space="preserve"> that will mediate a dispute </w:t>
      </w:r>
      <w:r w:rsidR="007739CF">
        <w:rPr>
          <w:color w:val="000000"/>
          <w:sz w:val="26"/>
          <w:szCs w:val="26"/>
        </w:rPr>
        <w:t>about the amount of</w:t>
      </w:r>
      <w:r w:rsidR="00D17324" w:rsidRPr="00273105">
        <w:rPr>
          <w:color w:val="000000"/>
          <w:sz w:val="26"/>
          <w:szCs w:val="26"/>
        </w:rPr>
        <w:t xml:space="preserve"> security because we did not want to limit our ability i</w:t>
      </w:r>
      <w:r w:rsidR="00DE052D">
        <w:rPr>
          <w:color w:val="000000"/>
          <w:sz w:val="26"/>
          <w:szCs w:val="26"/>
        </w:rPr>
        <w:t>n making such assignments.  In S</w:t>
      </w:r>
      <w:r w:rsidR="00D17324" w:rsidRPr="00273105">
        <w:rPr>
          <w:color w:val="000000"/>
          <w:sz w:val="26"/>
          <w:szCs w:val="26"/>
        </w:rPr>
        <w:t xml:space="preserve">ection 62.111(c)(8)(1), we did expand the </w:t>
      </w:r>
      <w:r w:rsidR="00F96F9A" w:rsidRPr="00273105">
        <w:rPr>
          <w:color w:val="000000"/>
          <w:sz w:val="26"/>
          <w:szCs w:val="26"/>
        </w:rPr>
        <w:t xml:space="preserve">list of bureaus that will be involved in informal mediation to include </w:t>
      </w:r>
      <w:r w:rsidR="00F96F9A" w:rsidRPr="00273105">
        <w:rPr>
          <w:color w:val="000000"/>
          <w:sz w:val="26"/>
          <w:szCs w:val="26"/>
        </w:rPr>
        <w:lastRenderedPageBreak/>
        <w:t xml:space="preserve">an “office, or other designated unit.”  The term “other designated unit” is intended to include working groups composed of staff and </w:t>
      </w:r>
      <w:r w:rsidR="0010053F" w:rsidRPr="00273105">
        <w:rPr>
          <w:color w:val="000000"/>
          <w:sz w:val="26"/>
          <w:szCs w:val="26"/>
        </w:rPr>
        <w:t>other stakeholders.</w:t>
      </w:r>
    </w:p>
    <w:p w:rsidR="004E0F5E" w:rsidRPr="00273105" w:rsidRDefault="004E0F5E" w:rsidP="00770178">
      <w:pPr>
        <w:spacing w:line="360" w:lineRule="auto"/>
        <w:rPr>
          <w:color w:val="000000"/>
          <w:sz w:val="26"/>
          <w:szCs w:val="26"/>
        </w:rPr>
      </w:pPr>
    </w:p>
    <w:p w:rsidR="004E0F5E" w:rsidRPr="00273105" w:rsidRDefault="004E0F5E" w:rsidP="00770178">
      <w:pPr>
        <w:spacing w:line="360" w:lineRule="auto"/>
        <w:rPr>
          <w:color w:val="000000"/>
          <w:sz w:val="26"/>
          <w:szCs w:val="26"/>
        </w:rPr>
      </w:pPr>
      <w:r w:rsidRPr="00273105">
        <w:rPr>
          <w:color w:val="000000"/>
          <w:sz w:val="26"/>
          <w:szCs w:val="26"/>
        </w:rPr>
        <w:tab/>
      </w:r>
      <w:r w:rsidR="00F80412" w:rsidRPr="00273105">
        <w:rPr>
          <w:color w:val="000000"/>
          <w:sz w:val="26"/>
          <w:szCs w:val="26"/>
        </w:rPr>
        <w:t>W</w:t>
      </w:r>
      <w:r w:rsidR="00952549" w:rsidRPr="00273105">
        <w:rPr>
          <w:color w:val="000000"/>
          <w:sz w:val="26"/>
          <w:szCs w:val="26"/>
        </w:rPr>
        <w:t xml:space="preserve">e have </w:t>
      </w:r>
      <w:r w:rsidR="00F80412" w:rsidRPr="00273105">
        <w:rPr>
          <w:color w:val="000000"/>
          <w:sz w:val="26"/>
          <w:szCs w:val="26"/>
        </w:rPr>
        <w:t xml:space="preserve">included a requirement that the NGS must contact the NGDC and attempt to resolve the dispute over the security amount before </w:t>
      </w:r>
      <w:r w:rsidR="00725BCE" w:rsidRPr="00273105">
        <w:rPr>
          <w:color w:val="000000"/>
          <w:sz w:val="26"/>
          <w:szCs w:val="26"/>
        </w:rPr>
        <w:t xml:space="preserve">filing for Commission intervention through informal mediation, alternative dispute resolution or litigation.  We </w:t>
      </w:r>
      <w:r w:rsidR="00580C4B" w:rsidRPr="00273105">
        <w:rPr>
          <w:color w:val="000000"/>
          <w:sz w:val="26"/>
          <w:szCs w:val="26"/>
        </w:rPr>
        <w:t xml:space="preserve">agree that </w:t>
      </w:r>
      <w:r w:rsidR="00725BCE" w:rsidRPr="00273105">
        <w:rPr>
          <w:color w:val="000000"/>
          <w:sz w:val="26"/>
          <w:szCs w:val="26"/>
        </w:rPr>
        <w:t>the parties should make a</w:t>
      </w:r>
      <w:r w:rsidR="00580C4B" w:rsidRPr="00273105">
        <w:rPr>
          <w:color w:val="000000"/>
          <w:sz w:val="26"/>
          <w:szCs w:val="26"/>
        </w:rPr>
        <w:t>n initial</w:t>
      </w:r>
      <w:r w:rsidR="00725BCE" w:rsidRPr="00273105">
        <w:rPr>
          <w:color w:val="000000"/>
          <w:sz w:val="26"/>
          <w:szCs w:val="26"/>
        </w:rPr>
        <w:t xml:space="preserve"> </w:t>
      </w:r>
      <w:r w:rsidR="00580C4B" w:rsidRPr="00273105">
        <w:rPr>
          <w:color w:val="000000"/>
          <w:sz w:val="26"/>
          <w:szCs w:val="26"/>
        </w:rPr>
        <w:t>attempt</w:t>
      </w:r>
      <w:r w:rsidR="00725BCE" w:rsidRPr="00273105">
        <w:rPr>
          <w:color w:val="000000"/>
          <w:sz w:val="26"/>
          <w:szCs w:val="26"/>
        </w:rPr>
        <w:t xml:space="preserve"> to resolve the differences between themselves.</w:t>
      </w:r>
      <w:r w:rsidR="00F80412" w:rsidRPr="00273105">
        <w:rPr>
          <w:color w:val="000000"/>
          <w:sz w:val="26"/>
          <w:szCs w:val="26"/>
        </w:rPr>
        <w:t xml:space="preserve"> </w:t>
      </w:r>
      <w:r w:rsidR="00580C4B" w:rsidRPr="00273105">
        <w:rPr>
          <w:color w:val="000000"/>
          <w:sz w:val="26"/>
          <w:szCs w:val="26"/>
        </w:rPr>
        <w:t xml:space="preserve"> However, w</w:t>
      </w:r>
      <w:r w:rsidRPr="00273105">
        <w:rPr>
          <w:color w:val="000000"/>
          <w:sz w:val="26"/>
          <w:szCs w:val="26"/>
        </w:rPr>
        <w:t xml:space="preserve">e </w:t>
      </w:r>
      <w:r w:rsidR="00580C4B" w:rsidRPr="00273105">
        <w:rPr>
          <w:color w:val="000000"/>
          <w:sz w:val="26"/>
          <w:szCs w:val="26"/>
        </w:rPr>
        <w:t>do not see the necessity of</w:t>
      </w:r>
      <w:r w:rsidRPr="00273105">
        <w:rPr>
          <w:color w:val="000000"/>
          <w:sz w:val="26"/>
          <w:szCs w:val="26"/>
        </w:rPr>
        <w:t xml:space="preserve"> requir</w:t>
      </w:r>
      <w:r w:rsidR="00580C4B" w:rsidRPr="00273105">
        <w:rPr>
          <w:color w:val="000000"/>
          <w:sz w:val="26"/>
          <w:szCs w:val="26"/>
        </w:rPr>
        <w:t>ing</w:t>
      </w:r>
      <w:r w:rsidRPr="00273105">
        <w:rPr>
          <w:color w:val="000000"/>
          <w:sz w:val="26"/>
          <w:szCs w:val="26"/>
        </w:rPr>
        <w:t xml:space="preserve"> an existing licensee to go through </w:t>
      </w:r>
      <w:r w:rsidR="00580C4B" w:rsidRPr="00273105">
        <w:rPr>
          <w:color w:val="000000"/>
          <w:sz w:val="26"/>
          <w:szCs w:val="26"/>
        </w:rPr>
        <w:t xml:space="preserve">an informal </w:t>
      </w:r>
      <w:r w:rsidRPr="00273105">
        <w:rPr>
          <w:color w:val="000000"/>
          <w:sz w:val="26"/>
          <w:szCs w:val="26"/>
        </w:rPr>
        <w:t xml:space="preserve">mediation process before it </w:t>
      </w:r>
      <w:r w:rsidR="00580C4B" w:rsidRPr="00273105">
        <w:rPr>
          <w:color w:val="000000"/>
          <w:sz w:val="26"/>
          <w:szCs w:val="26"/>
        </w:rPr>
        <w:t>may</w:t>
      </w:r>
      <w:r w:rsidRPr="00273105">
        <w:rPr>
          <w:color w:val="000000"/>
          <w:sz w:val="26"/>
          <w:szCs w:val="26"/>
        </w:rPr>
        <w:t xml:space="preserve"> </w:t>
      </w:r>
      <w:r w:rsidR="00952549" w:rsidRPr="00273105">
        <w:rPr>
          <w:color w:val="000000"/>
          <w:sz w:val="26"/>
          <w:szCs w:val="26"/>
        </w:rPr>
        <w:t>file a formal complaint with the Commission</w:t>
      </w:r>
      <w:r w:rsidR="00EA2164">
        <w:rPr>
          <w:color w:val="000000"/>
          <w:sz w:val="26"/>
          <w:szCs w:val="26"/>
        </w:rPr>
        <w:t>. Accordingly,</w:t>
      </w:r>
      <w:r w:rsidR="002003FC" w:rsidRPr="00273105">
        <w:rPr>
          <w:color w:val="000000"/>
          <w:sz w:val="26"/>
          <w:szCs w:val="26"/>
        </w:rPr>
        <w:t xml:space="preserve"> we will not adopt this suggestion.</w:t>
      </w:r>
    </w:p>
    <w:p w:rsidR="0010053F" w:rsidRPr="00273105" w:rsidRDefault="0010053F" w:rsidP="00770178">
      <w:pPr>
        <w:spacing w:line="360" w:lineRule="auto"/>
        <w:rPr>
          <w:color w:val="000000"/>
          <w:sz w:val="26"/>
          <w:szCs w:val="26"/>
        </w:rPr>
      </w:pPr>
    </w:p>
    <w:p w:rsidR="0018312D" w:rsidRPr="00273105" w:rsidRDefault="0010053F" w:rsidP="00770178">
      <w:pPr>
        <w:spacing w:line="360" w:lineRule="auto"/>
        <w:rPr>
          <w:color w:val="000000"/>
          <w:sz w:val="26"/>
          <w:szCs w:val="26"/>
        </w:rPr>
      </w:pPr>
      <w:r w:rsidRPr="00273105">
        <w:rPr>
          <w:color w:val="000000"/>
          <w:sz w:val="26"/>
          <w:szCs w:val="26"/>
        </w:rPr>
        <w:tab/>
      </w:r>
      <w:r w:rsidR="002003FC" w:rsidRPr="00273105">
        <w:rPr>
          <w:color w:val="000000"/>
          <w:sz w:val="26"/>
          <w:szCs w:val="26"/>
        </w:rPr>
        <w:t>W</w:t>
      </w:r>
      <w:r w:rsidRPr="00273105">
        <w:rPr>
          <w:color w:val="000000"/>
          <w:sz w:val="26"/>
          <w:szCs w:val="26"/>
        </w:rPr>
        <w:t xml:space="preserve">e </w:t>
      </w:r>
      <w:r w:rsidR="002003FC" w:rsidRPr="00273105">
        <w:rPr>
          <w:color w:val="000000"/>
          <w:sz w:val="26"/>
          <w:szCs w:val="26"/>
        </w:rPr>
        <w:t xml:space="preserve">also </w:t>
      </w:r>
      <w:r w:rsidRPr="00273105">
        <w:rPr>
          <w:color w:val="000000"/>
          <w:sz w:val="26"/>
          <w:szCs w:val="26"/>
        </w:rPr>
        <w:t xml:space="preserve">will not adopt the suggestion that we provide for a right of appeal to the Commission from a bureau decision concerning NGS security because it is unnecessary.  </w:t>
      </w:r>
      <w:r w:rsidR="00182933" w:rsidRPr="00273105">
        <w:rPr>
          <w:color w:val="000000"/>
          <w:sz w:val="26"/>
          <w:szCs w:val="26"/>
        </w:rPr>
        <w:t xml:space="preserve">Section 5.44 of the Commission’s Rules of Practice and Procedure already permits </w:t>
      </w:r>
      <w:r w:rsidR="00BD43D7" w:rsidRPr="00273105">
        <w:rPr>
          <w:color w:val="000000"/>
          <w:sz w:val="26"/>
          <w:szCs w:val="26"/>
        </w:rPr>
        <w:t xml:space="preserve">a party </w:t>
      </w:r>
      <w:r w:rsidR="00182933" w:rsidRPr="00273105">
        <w:rPr>
          <w:color w:val="000000"/>
          <w:sz w:val="26"/>
          <w:szCs w:val="26"/>
        </w:rPr>
        <w:t xml:space="preserve">to </w:t>
      </w:r>
      <w:r w:rsidR="00BD3775">
        <w:rPr>
          <w:color w:val="000000"/>
          <w:sz w:val="26"/>
          <w:szCs w:val="26"/>
        </w:rPr>
        <w:t xml:space="preserve">appeal </w:t>
      </w:r>
      <w:r w:rsidR="00BD43D7" w:rsidRPr="00273105">
        <w:rPr>
          <w:color w:val="000000"/>
          <w:sz w:val="26"/>
          <w:szCs w:val="26"/>
        </w:rPr>
        <w:t>the decision of Commission staff</w:t>
      </w:r>
      <w:r w:rsidR="00182933" w:rsidRPr="00273105">
        <w:rPr>
          <w:color w:val="000000"/>
          <w:sz w:val="26"/>
          <w:szCs w:val="26"/>
        </w:rPr>
        <w:t xml:space="preserve">.  </w:t>
      </w:r>
      <w:r w:rsidR="00182933" w:rsidRPr="00273105">
        <w:rPr>
          <w:i/>
          <w:color w:val="000000"/>
          <w:sz w:val="26"/>
          <w:szCs w:val="26"/>
        </w:rPr>
        <w:t>See</w:t>
      </w:r>
      <w:r w:rsidR="00BD43D7" w:rsidRPr="00273105">
        <w:rPr>
          <w:i/>
          <w:color w:val="000000"/>
          <w:sz w:val="26"/>
          <w:szCs w:val="26"/>
        </w:rPr>
        <w:t xml:space="preserve"> </w:t>
      </w:r>
      <w:r w:rsidR="00A95BCF" w:rsidRPr="00273105">
        <w:rPr>
          <w:color w:val="000000"/>
          <w:sz w:val="26"/>
          <w:szCs w:val="26"/>
        </w:rPr>
        <w:t>52 Pa. Code § 5.44 (</w:t>
      </w:r>
      <w:r w:rsidR="00BD43D7" w:rsidRPr="00273105">
        <w:rPr>
          <w:color w:val="000000"/>
          <w:sz w:val="26"/>
          <w:szCs w:val="26"/>
        </w:rPr>
        <w:t>relating to petitions for appeal from actions of the staff).</w:t>
      </w:r>
    </w:p>
    <w:p w:rsidR="00FA6F28" w:rsidRPr="00273105" w:rsidRDefault="00FA6F28" w:rsidP="00AC3F50">
      <w:pPr>
        <w:spacing w:line="360" w:lineRule="auto"/>
        <w:ind w:firstLine="720"/>
        <w:rPr>
          <w:color w:val="000000"/>
          <w:sz w:val="26"/>
          <w:szCs w:val="26"/>
        </w:rPr>
      </w:pPr>
    </w:p>
    <w:p w:rsidR="00FA6F28" w:rsidRPr="00273105" w:rsidRDefault="00997C68" w:rsidP="00770178">
      <w:pPr>
        <w:spacing w:line="360" w:lineRule="auto"/>
        <w:rPr>
          <w:color w:val="000000"/>
          <w:sz w:val="26"/>
          <w:szCs w:val="26"/>
        </w:rPr>
      </w:pPr>
      <w:r w:rsidRPr="00273105">
        <w:rPr>
          <w:color w:val="000000"/>
          <w:sz w:val="26"/>
          <w:szCs w:val="26"/>
        </w:rPr>
        <w:tab/>
        <w:t>In response to</w:t>
      </w:r>
      <w:r w:rsidR="00DE052D">
        <w:rPr>
          <w:color w:val="000000"/>
          <w:sz w:val="26"/>
          <w:szCs w:val="26"/>
        </w:rPr>
        <w:t xml:space="preserve"> IRRC’s comment, we have added S</w:t>
      </w:r>
      <w:r w:rsidRPr="00273105">
        <w:rPr>
          <w:color w:val="000000"/>
          <w:sz w:val="26"/>
          <w:szCs w:val="26"/>
        </w:rPr>
        <w:t xml:space="preserve">ection 62.111(c)(9) that clarifies the responsibilities </w:t>
      </w:r>
      <w:r w:rsidR="003C2158" w:rsidRPr="00273105">
        <w:rPr>
          <w:color w:val="000000"/>
          <w:sz w:val="26"/>
          <w:szCs w:val="26"/>
        </w:rPr>
        <w:t xml:space="preserve">of the NGS and the NGDC </w:t>
      </w:r>
      <w:r w:rsidR="00182933" w:rsidRPr="00273105">
        <w:rPr>
          <w:color w:val="000000"/>
          <w:sz w:val="26"/>
          <w:szCs w:val="26"/>
        </w:rPr>
        <w:t xml:space="preserve">to all parties, including customers, </w:t>
      </w:r>
      <w:r w:rsidRPr="00273105">
        <w:rPr>
          <w:color w:val="000000"/>
          <w:sz w:val="26"/>
          <w:szCs w:val="26"/>
        </w:rPr>
        <w:t>during the pendency of a dispute</w:t>
      </w:r>
      <w:r w:rsidR="00C62484" w:rsidRPr="00273105">
        <w:rPr>
          <w:color w:val="000000"/>
          <w:sz w:val="26"/>
          <w:szCs w:val="26"/>
        </w:rPr>
        <w:t>, including the requirement that the NGS post the amount of security requested by the NGDC</w:t>
      </w:r>
      <w:r w:rsidRPr="00273105">
        <w:rPr>
          <w:color w:val="000000"/>
          <w:sz w:val="26"/>
          <w:szCs w:val="26"/>
        </w:rPr>
        <w:t>.</w:t>
      </w:r>
      <w:r w:rsidR="00C62484" w:rsidRPr="00273105">
        <w:rPr>
          <w:color w:val="000000"/>
          <w:sz w:val="26"/>
          <w:szCs w:val="26"/>
        </w:rPr>
        <w:t xml:space="preserve">  The Commission notes that it expects that the security amount requested </w:t>
      </w:r>
      <w:r w:rsidR="00D6369C" w:rsidRPr="00273105">
        <w:rPr>
          <w:color w:val="000000"/>
          <w:sz w:val="26"/>
          <w:szCs w:val="26"/>
        </w:rPr>
        <w:t xml:space="preserve">by the NGDC </w:t>
      </w:r>
      <w:r w:rsidR="00C62484" w:rsidRPr="00273105">
        <w:rPr>
          <w:color w:val="000000"/>
          <w:sz w:val="26"/>
          <w:szCs w:val="26"/>
        </w:rPr>
        <w:t xml:space="preserve">will be a good faith estimate necessary to ensure the financial responsibility of the </w:t>
      </w:r>
      <w:r w:rsidR="00D6369C" w:rsidRPr="00273105">
        <w:rPr>
          <w:color w:val="000000"/>
          <w:sz w:val="26"/>
          <w:szCs w:val="26"/>
        </w:rPr>
        <w:t>supplier</w:t>
      </w:r>
      <w:r w:rsidR="003D534E" w:rsidRPr="00273105">
        <w:rPr>
          <w:color w:val="000000"/>
          <w:sz w:val="26"/>
          <w:szCs w:val="26"/>
        </w:rPr>
        <w:t xml:space="preserve"> as this amount may be subject to change or refund depending on the ultimate resolution of the dispute.</w:t>
      </w:r>
    </w:p>
    <w:p w:rsidR="00C24584" w:rsidRPr="00273105" w:rsidRDefault="00C24584" w:rsidP="00770178">
      <w:pPr>
        <w:spacing w:line="360" w:lineRule="auto"/>
        <w:rPr>
          <w:color w:val="000000"/>
          <w:sz w:val="26"/>
          <w:szCs w:val="26"/>
        </w:rPr>
      </w:pPr>
    </w:p>
    <w:p w:rsidR="00C24584" w:rsidRPr="00273105" w:rsidRDefault="00C24584" w:rsidP="00C24584">
      <w:pPr>
        <w:spacing w:line="360" w:lineRule="auto"/>
        <w:rPr>
          <w:b/>
          <w:color w:val="000000"/>
          <w:sz w:val="26"/>
          <w:szCs w:val="26"/>
        </w:rPr>
      </w:pPr>
      <w:r w:rsidRPr="00273105">
        <w:rPr>
          <w:b/>
          <w:color w:val="000000"/>
          <w:sz w:val="26"/>
          <w:szCs w:val="26"/>
        </w:rPr>
        <w:t>Section 62.111(c)(7) - NGS Request</w:t>
      </w:r>
      <w:r w:rsidR="00A95B73" w:rsidRPr="00273105">
        <w:rPr>
          <w:b/>
          <w:color w:val="000000"/>
          <w:sz w:val="26"/>
          <w:szCs w:val="26"/>
        </w:rPr>
        <w:t xml:space="preserve"> for</w:t>
      </w:r>
      <w:r w:rsidRPr="00273105">
        <w:rPr>
          <w:b/>
          <w:color w:val="000000"/>
          <w:sz w:val="26"/>
          <w:szCs w:val="26"/>
        </w:rPr>
        <w:t xml:space="preserve"> Change in Security</w:t>
      </w:r>
    </w:p>
    <w:p w:rsidR="00C24584" w:rsidRPr="00273105" w:rsidRDefault="00C24584" w:rsidP="00C24584">
      <w:pPr>
        <w:spacing w:line="360" w:lineRule="auto"/>
        <w:rPr>
          <w:b/>
          <w:color w:val="000000"/>
          <w:sz w:val="26"/>
          <w:szCs w:val="26"/>
        </w:rPr>
      </w:pPr>
    </w:p>
    <w:p w:rsidR="00C24584" w:rsidRPr="00273105" w:rsidRDefault="00C24584" w:rsidP="00C24584">
      <w:pPr>
        <w:spacing w:line="360" w:lineRule="auto"/>
        <w:ind w:firstLine="720"/>
        <w:rPr>
          <w:color w:val="000000"/>
          <w:sz w:val="26"/>
          <w:szCs w:val="26"/>
        </w:rPr>
      </w:pPr>
      <w:r w:rsidRPr="00273105">
        <w:rPr>
          <w:color w:val="000000"/>
          <w:sz w:val="26"/>
          <w:szCs w:val="26"/>
        </w:rPr>
        <w:t xml:space="preserve">RESA states that the NGDCs should be permitted to request a peak (winter) and off-peak (summer) security calculation to reflect the decrease in customer load and thus, </w:t>
      </w:r>
      <w:r w:rsidRPr="00273105">
        <w:rPr>
          <w:color w:val="000000"/>
          <w:sz w:val="26"/>
          <w:szCs w:val="26"/>
        </w:rPr>
        <w:lastRenderedPageBreak/>
        <w:t>a reduction to the NGDC’s risk of supplier default, during the off-peak period.  This formula, which is based on the New York’s Uniform Business Practices, would calculate security based on the published gas price forecasts, as well as the cost of capacity (generally calculated as the weighted average cost of capacity), which would most accurately reflect the costs and risks a NGDC would face upon supplier default.</w:t>
      </w:r>
      <w:r w:rsidR="008A5337">
        <w:rPr>
          <w:color w:val="000000"/>
          <w:sz w:val="26"/>
          <w:szCs w:val="26"/>
        </w:rPr>
        <w:t xml:space="preserve"> </w:t>
      </w:r>
      <w:r w:rsidR="008A5337" w:rsidRPr="008A5337">
        <w:rPr>
          <w:i/>
          <w:color w:val="000000"/>
          <w:sz w:val="26"/>
          <w:szCs w:val="26"/>
        </w:rPr>
        <w:t>RESA Comments</w:t>
      </w:r>
      <w:r w:rsidR="008A5337">
        <w:rPr>
          <w:color w:val="000000"/>
          <w:sz w:val="26"/>
          <w:szCs w:val="26"/>
        </w:rPr>
        <w:t>, p.</w:t>
      </w:r>
      <w:r w:rsidR="008B68C4">
        <w:rPr>
          <w:color w:val="000000"/>
          <w:sz w:val="26"/>
          <w:szCs w:val="26"/>
        </w:rPr>
        <w:t xml:space="preserve"> 4.</w:t>
      </w:r>
      <w:r w:rsidR="008A5337">
        <w:rPr>
          <w:color w:val="000000"/>
          <w:sz w:val="26"/>
          <w:szCs w:val="26"/>
        </w:rPr>
        <w:t xml:space="preserve"> </w:t>
      </w:r>
    </w:p>
    <w:p w:rsidR="00C24584" w:rsidRPr="00273105" w:rsidRDefault="00C24584" w:rsidP="00C24584">
      <w:pPr>
        <w:spacing w:line="360" w:lineRule="auto"/>
        <w:ind w:firstLine="720"/>
        <w:rPr>
          <w:color w:val="000000"/>
          <w:sz w:val="26"/>
          <w:szCs w:val="26"/>
        </w:rPr>
      </w:pPr>
    </w:p>
    <w:p w:rsidR="00C24584" w:rsidRPr="00273105" w:rsidRDefault="00C24584" w:rsidP="00C24584">
      <w:pPr>
        <w:spacing w:line="360" w:lineRule="auto"/>
        <w:ind w:firstLine="720"/>
        <w:rPr>
          <w:color w:val="000000"/>
          <w:sz w:val="26"/>
          <w:szCs w:val="26"/>
        </w:rPr>
      </w:pPr>
      <w:r w:rsidRPr="00273105">
        <w:rPr>
          <w:color w:val="000000"/>
          <w:sz w:val="26"/>
          <w:szCs w:val="26"/>
        </w:rPr>
        <w:t xml:space="preserve">RESA also requests the addition of a </w:t>
      </w:r>
      <w:r w:rsidR="00792CAD" w:rsidRPr="00273105">
        <w:rPr>
          <w:color w:val="000000"/>
          <w:sz w:val="26"/>
          <w:szCs w:val="26"/>
        </w:rPr>
        <w:t>provision</w:t>
      </w:r>
      <w:r w:rsidRPr="00273105">
        <w:rPr>
          <w:color w:val="000000"/>
          <w:sz w:val="26"/>
          <w:szCs w:val="26"/>
        </w:rPr>
        <w:t xml:space="preserve"> that permits a NGS to request a reduction in security upon certain conditions including a rating upgrade to the minimal rating level of two of the three following agencies: Standard and Poor’s Rating Services, Moody’s Investor Service, Inc. and Fitch, Inc., or a significant decrease in the total usage of the supplier’s customers for 30 days; or a significant decrease in gas supply cost lasting for 30 days.  RESA further proposes that a significant reduction be defined as a reduction of 25% in total customer load or in gas supply costs.  This addition would further reduce market entry barriers for suppliers and ensure broader participation by existing suppliers.  </w:t>
      </w:r>
      <w:r w:rsidRPr="00273105">
        <w:rPr>
          <w:i/>
          <w:color w:val="000000"/>
          <w:sz w:val="26"/>
          <w:szCs w:val="26"/>
        </w:rPr>
        <w:t>RESA Comments</w:t>
      </w:r>
      <w:r w:rsidRPr="00273105">
        <w:rPr>
          <w:color w:val="000000"/>
          <w:sz w:val="26"/>
          <w:szCs w:val="26"/>
        </w:rPr>
        <w:t xml:space="preserve">, p. 6.   </w:t>
      </w:r>
    </w:p>
    <w:p w:rsidR="00C24584" w:rsidRPr="00273105" w:rsidRDefault="00C24584" w:rsidP="00C24584">
      <w:pPr>
        <w:spacing w:line="360" w:lineRule="auto"/>
        <w:ind w:firstLine="720"/>
        <w:rPr>
          <w:color w:val="000000"/>
          <w:sz w:val="26"/>
          <w:szCs w:val="26"/>
        </w:rPr>
      </w:pPr>
    </w:p>
    <w:p w:rsidR="00C24584" w:rsidRPr="00273105" w:rsidRDefault="00C24584" w:rsidP="00C24584">
      <w:pPr>
        <w:spacing w:line="360" w:lineRule="auto"/>
        <w:ind w:firstLine="720"/>
        <w:rPr>
          <w:color w:val="000000"/>
          <w:sz w:val="26"/>
          <w:szCs w:val="26"/>
        </w:rPr>
      </w:pPr>
      <w:r w:rsidRPr="00273105">
        <w:rPr>
          <w:color w:val="000000"/>
          <w:sz w:val="26"/>
          <w:szCs w:val="26"/>
        </w:rPr>
        <w:t>IRRC suggests that the regulation permit suppliers to request a reduction in security under certain circumstances where it is apparent that there is a reduction in the risk of supplier default</w:t>
      </w:r>
      <w:r w:rsidR="00D468AB">
        <w:rPr>
          <w:color w:val="000000"/>
          <w:sz w:val="26"/>
          <w:szCs w:val="26"/>
        </w:rPr>
        <w:t>.</w:t>
      </w:r>
      <w:r w:rsidRPr="00273105">
        <w:rPr>
          <w:color w:val="000000"/>
          <w:sz w:val="26"/>
          <w:szCs w:val="26"/>
        </w:rPr>
        <w:t xml:space="preserve"> </w:t>
      </w:r>
      <w:r w:rsidR="00D468AB">
        <w:rPr>
          <w:color w:val="000000"/>
          <w:sz w:val="26"/>
          <w:szCs w:val="26"/>
        </w:rPr>
        <w:t xml:space="preserve"> </w:t>
      </w:r>
      <w:r w:rsidR="00310F35">
        <w:rPr>
          <w:color w:val="000000"/>
          <w:sz w:val="26"/>
          <w:szCs w:val="26"/>
        </w:rPr>
        <w:t xml:space="preserve">IRRC states that </w:t>
      </w:r>
      <w:r w:rsidRPr="00273105">
        <w:rPr>
          <w:color w:val="000000"/>
          <w:sz w:val="26"/>
          <w:szCs w:val="26"/>
        </w:rPr>
        <w:t xml:space="preserve">RESA recommends </w:t>
      </w:r>
      <w:r w:rsidR="007739CF">
        <w:rPr>
          <w:color w:val="000000"/>
          <w:sz w:val="26"/>
          <w:szCs w:val="26"/>
        </w:rPr>
        <w:t xml:space="preserve">that </w:t>
      </w:r>
      <w:r w:rsidRPr="00273105">
        <w:rPr>
          <w:color w:val="000000"/>
          <w:sz w:val="26"/>
          <w:szCs w:val="26"/>
        </w:rPr>
        <w:t>specific criteria be used in demonstrating the reduction of risk and a 5-calendar day time limit within which the NGDC must make its decision.  IRRC questions if there is an existing process by which the supplier can seek decreased security requirements. If there is a process, then it should be included in this regulation.  If there is no process in place, the Commission should consider including one in the final form regulations.</w:t>
      </w:r>
      <w:r w:rsidR="008A5337">
        <w:rPr>
          <w:color w:val="000000"/>
          <w:sz w:val="26"/>
          <w:szCs w:val="26"/>
        </w:rPr>
        <w:t xml:space="preserve"> </w:t>
      </w:r>
      <w:r w:rsidR="00D468AB">
        <w:rPr>
          <w:i/>
          <w:color w:val="000000"/>
          <w:sz w:val="26"/>
          <w:szCs w:val="26"/>
        </w:rPr>
        <w:t>IRRC</w:t>
      </w:r>
      <w:r w:rsidR="00FE25DD" w:rsidRPr="00FE25DD">
        <w:rPr>
          <w:i/>
          <w:color w:val="000000"/>
          <w:sz w:val="26"/>
          <w:szCs w:val="26"/>
        </w:rPr>
        <w:t xml:space="preserve"> Comments</w:t>
      </w:r>
      <w:r w:rsidR="008A5337">
        <w:rPr>
          <w:color w:val="000000"/>
          <w:sz w:val="26"/>
          <w:szCs w:val="26"/>
        </w:rPr>
        <w:t xml:space="preserve">, p. </w:t>
      </w:r>
      <w:r w:rsidR="00DC7455">
        <w:rPr>
          <w:color w:val="000000"/>
          <w:sz w:val="26"/>
          <w:szCs w:val="26"/>
        </w:rPr>
        <w:t>1.</w:t>
      </w:r>
    </w:p>
    <w:p w:rsidR="00310F35" w:rsidRDefault="00310F35" w:rsidP="00C24584">
      <w:pPr>
        <w:spacing w:line="360" w:lineRule="auto"/>
        <w:rPr>
          <w:color w:val="000000"/>
          <w:sz w:val="26"/>
          <w:szCs w:val="26"/>
        </w:rPr>
      </w:pPr>
    </w:p>
    <w:p w:rsidR="007464AA" w:rsidRDefault="007464AA" w:rsidP="00C24584">
      <w:pPr>
        <w:spacing w:line="360" w:lineRule="auto"/>
        <w:rPr>
          <w:color w:val="000000"/>
          <w:sz w:val="26"/>
          <w:szCs w:val="26"/>
        </w:rPr>
      </w:pPr>
    </w:p>
    <w:p w:rsidR="007464AA" w:rsidRDefault="007464AA" w:rsidP="00C24584">
      <w:pPr>
        <w:spacing w:line="360" w:lineRule="auto"/>
        <w:rPr>
          <w:color w:val="000000"/>
          <w:sz w:val="26"/>
          <w:szCs w:val="26"/>
        </w:rPr>
      </w:pPr>
    </w:p>
    <w:p w:rsidR="007464AA" w:rsidRPr="00273105" w:rsidRDefault="007464AA" w:rsidP="00C24584">
      <w:pPr>
        <w:spacing w:line="360" w:lineRule="auto"/>
        <w:rPr>
          <w:color w:val="000000"/>
          <w:sz w:val="26"/>
          <w:szCs w:val="26"/>
        </w:rPr>
      </w:pPr>
    </w:p>
    <w:p w:rsidR="00C24584" w:rsidRDefault="00C24584" w:rsidP="00C24584">
      <w:pPr>
        <w:spacing w:line="360" w:lineRule="auto"/>
        <w:rPr>
          <w:b/>
          <w:i/>
          <w:noProof/>
          <w:color w:val="000000"/>
          <w:sz w:val="26"/>
          <w:szCs w:val="26"/>
        </w:rPr>
      </w:pPr>
      <w:r w:rsidRPr="00273105">
        <w:rPr>
          <w:b/>
          <w:i/>
          <w:noProof/>
          <w:color w:val="000000"/>
          <w:sz w:val="26"/>
          <w:szCs w:val="26"/>
        </w:rPr>
        <w:lastRenderedPageBreak/>
        <w:t>Resolution</w:t>
      </w:r>
    </w:p>
    <w:p w:rsidR="007464AA" w:rsidRPr="00273105" w:rsidRDefault="007464AA" w:rsidP="00C24584">
      <w:pPr>
        <w:spacing w:line="360" w:lineRule="auto"/>
        <w:rPr>
          <w:b/>
          <w:i/>
          <w:noProof/>
          <w:color w:val="000000"/>
          <w:sz w:val="26"/>
          <w:szCs w:val="26"/>
        </w:rPr>
      </w:pPr>
    </w:p>
    <w:p w:rsidR="00C24584" w:rsidRPr="00273105" w:rsidRDefault="00C24584" w:rsidP="00C24584">
      <w:pPr>
        <w:spacing w:line="360" w:lineRule="auto"/>
        <w:rPr>
          <w:noProof/>
          <w:color w:val="000000"/>
          <w:sz w:val="26"/>
          <w:szCs w:val="26"/>
        </w:rPr>
      </w:pPr>
      <w:r w:rsidRPr="00273105">
        <w:rPr>
          <w:noProof/>
          <w:color w:val="000000"/>
          <w:sz w:val="26"/>
          <w:szCs w:val="26"/>
        </w:rPr>
        <w:tab/>
        <w:t>The Commission first notes that the elimination of the 6 month restriction on</w:t>
      </w:r>
      <w:r w:rsidR="00DE052D">
        <w:rPr>
          <w:noProof/>
          <w:color w:val="000000"/>
          <w:sz w:val="26"/>
          <w:szCs w:val="26"/>
        </w:rPr>
        <w:t xml:space="preserve"> adjusting security amounts in S</w:t>
      </w:r>
      <w:r w:rsidRPr="00273105">
        <w:rPr>
          <w:noProof/>
          <w:color w:val="000000"/>
          <w:sz w:val="26"/>
          <w:szCs w:val="26"/>
        </w:rPr>
        <w:t>ection 62.111(</w:t>
      </w:r>
      <w:r w:rsidR="00964CA6" w:rsidRPr="00273105">
        <w:rPr>
          <w:noProof/>
          <w:color w:val="000000"/>
          <w:sz w:val="26"/>
          <w:szCs w:val="26"/>
        </w:rPr>
        <w:t>c</w:t>
      </w:r>
      <w:r w:rsidRPr="00273105">
        <w:rPr>
          <w:noProof/>
          <w:color w:val="000000"/>
          <w:sz w:val="26"/>
          <w:szCs w:val="26"/>
        </w:rPr>
        <w:t>) (</w:t>
      </w:r>
      <w:r w:rsidR="00964CA6" w:rsidRPr="00273105">
        <w:rPr>
          <w:noProof/>
          <w:color w:val="000000"/>
          <w:sz w:val="26"/>
          <w:szCs w:val="26"/>
        </w:rPr>
        <w:t>1</w:t>
      </w:r>
      <w:r w:rsidRPr="00273105">
        <w:rPr>
          <w:noProof/>
          <w:color w:val="000000"/>
          <w:sz w:val="26"/>
          <w:szCs w:val="26"/>
        </w:rPr>
        <w:t>)</w:t>
      </w:r>
      <w:r w:rsidR="00964CA6" w:rsidRPr="00273105">
        <w:rPr>
          <w:noProof/>
          <w:color w:val="000000"/>
          <w:sz w:val="26"/>
          <w:szCs w:val="26"/>
        </w:rPr>
        <w:t>(ii)</w:t>
      </w:r>
      <w:r w:rsidRPr="00273105">
        <w:rPr>
          <w:noProof/>
          <w:color w:val="000000"/>
          <w:sz w:val="26"/>
          <w:szCs w:val="26"/>
        </w:rPr>
        <w:t xml:space="preserve"> should facilitate seasonal levels of bonding, and permit a supplier to ask for reduction in security when the risk of financial exposure to the NGDC decreases. </w:t>
      </w:r>
    </w:p>
    <w:p w:rsidR="00C24584" w:rsidRPr="00273105" w:rsidRDefault="00C24584" w:rsidP="00C24584">
      <w:pPr>
        <w:spacing w:line="360" w:lineRule="auto"/>
        <w:rPr>
          <w:noProof/>
          <w:color w:val="000000"/>
          <w:sz w:val="26"/>
          <w:szCs w:val="26"/>
        </w:rPr>
      </w:pPr>
    </w:p>
    <w:p w:rsidR="00C24584" w:rsidRPr="00273105" w:rsidRDefault="00C24584" w:rsidP="00C24584">
      <w:pPr>
        <w:spacing w:line="360" w:lineRule="auto"/>
        <w:rPr>
          <w:noProof/>
          <w:color w:val="000000"/>
          <w:sz w:val="26"/>
          <w:szCs w:val="26"/>
        </w:rPr>
      </w:pPr>
      <w:r w:rsidRPr="00273105">
        <w:rPr>
          <w:noProof/>
          <w:color w:val="000000"/>
          <w:sz w:val="26"/>
          <w:szCs w:val="26"/>
        </w:rPr>
        <w:tab/>
        <w:t>The Commission has provided criteria for</w:t>
      </w:r>
      <w:r w:rsidR="00DE052D">
        <w:rPr>
          <w:noProof/>
          <w:color w:val="000000"/>
          <w:sz w:val="26"/>
          <w:szCs w:val="26"/>
        </w:rPr>
        <w:t xml:space="preserve"> the adjustment of security in S</w:t>
      </w:r>
      <w:r w:rsidRPr="00273105">
        <w:rPr>
          <w:noProof/>
          <w:color w:val="000000"/>
          <w:sz w:val="26"/>
          <w:szCs w:val="26"/>
        </w:rPr>
        <w:t>ection 62.111(</w:t>
      </w:r>
      <w:r w:rsidR="008834DE" w:rsidRPr="00273105">
        <w:rPr>
          <w:noProof/>
          <w:color w:val="000000"/>
          <w:sz w:val="26"/>
          <w:szCs w:val="26"/>
        </w:rPr>
        <w:t>c</w:t>
      </w:r>
      <w:r w:rsidRPr="00273105">
        <w:rPr>
          <w:noProof/>
          <w:color w:val="000000"/>
          <w:sz w:val="26"/>
          <w:szCs w:val="26"/>
        </w:rPr>
        <w:t>) (</w:t>
      </w:r>
      <w:r w:rsidR="008834DE" w:rsidRPr="00273105">
        <w:rPr>
          <w:noProof/>
          <w:color w:val="000000"/>
          <w:sz w:val="26"/>
          <w:szCs w:val="26"/>
        </w:rPr>
        <w:t>1</w:t>
      </w:r>
      <w:r w:rsidRPr="00273105">
        <w:rPr>
          <w:noProof/>
          <w:color w:val="000000"/>
          <w:sz w:val="26"/>
          <w:szCs w:val="26"/>
        </w:rPr>
        <w:t>)</w:t>
      </w:r>
      <w:r w:rsidR="008834DE" w:rsidRPr="00273105">
        <w:rPr>
          <w:noProof/>
          <w:color w:val="000000"/>
          <w:sz w:val="26"/>
          <w:szCs w:val="26"/>
        </w:rPr>
        <w:t>(ii)(A)-(E)</w:t>
      </w:r>
      <w:r w:rsidRPr="00273105">
        <w:rPr>
          <w:noProof/>
          <w:color w:val="000000"/>
          <w:sz w:val="26"/>
          <w:szCs w:val="26"/>
        </w:rPr>
        <w:t xml:space="preserve"> that may be used by the NGDC to increase the security amount when financial risk to the NGDC is increased, and by the NGS to request a reduction in security amount when the financial risk to the NGDC decreases.  Section 62.111(</w:t>
      </w:r>
      <w:r w:rsidR="008834DE" w:rsidRPr="00273105">
        <w:rPr>
          <w:noProof/>
          <w:color w:val="000000"/>
          <w:sz w:val="26"/>
          <w:szCs w:val="26"/>
        </w:rPr>
        <w:t>c</w:t>
      </w:r>
      <w:r w:rsidRPr="00273105">
        <w:rPr>
          <w:noProof/>
          <w:color w:val="000000"/>
          <w:sz w:val="26"/>
          <w:szCs w:val="26"/>
        </w:rPr>
        <w:t>)(</w:t>
      </w:r>
      <w:r w:rsidR="008834DE" w:rsidRPr="00273105">
        <w:rPr>
          <w:noProof/>
          <w:color w:val="000000"/>
          <w:sz w:val="26"/>
          <w:szCs w:val="26"/>
        </w:rPr>
        <w:t>7</w:t>
      </w:r>
      <w:r w:rsidRPr="00273105">
        <w:rPr>
          <w:noProof/>
          <w:color w:val="000000"/>
          <w:sz w:val="26"/>
          <w:szCs w:val="26"/>
        </w:rPr>
        <w:t xml:space="preserve">) sets forth an procedure, including specific deadlines for response, that may be used by the NGS to request a decrease in security amount when the NGS is unable to come to agreement with a NGDC for a lower security amount.  </w:t>
      </w:r>
      <w:r w:rsidR="0031349C" w:rsidRPr="00273105">
        <w:rPr>
          <w:noProof/>
          <w:color w:val="000000"/>
          <w:sz w:val="26"/>
          <w:szCs w:val="26"/>
        </w:rPr>
        <w:t xml:space="preserve">We believe that these revisions are consistent with and satisfy </w:t>
      </w:r>
      <w:r w:rsidR="003059D7">
        <w:rPr>
          <w:noProof/>
          <w:color w:val="000000"/>
          <w:sz w:val="26"/>
          <w:szCs w:val="26"/>
        </w:rPr>
        <w:t xml:space="preserve">RESA’s and </w:t>
      </w:r>
      <w:r w:rsidR="0031349C" w:rsidRPr="00273105">
        <w:rPr>
          <w:noProof/>
          <w:color w:val="000000"/>
          <w:sz w:val="26"/>
          <w:szCs w:val="26"/>
        </w:rPr>
        <w:t>IRRC’s comments on this issue.</w:t>
      </w:r>
    </w:p>
    <w:p w:rsidR="00FA6F28" w:rsidRDefault="00FA6F28" w:rsidP="00770178">
      <w:pPr>
        <w:spacing w:line="360" w:lineRule="auto"/>
        <w:rPr>
          <w:color w:val="000000"/>
          <w:sz w:val="26"/>
          <w:szCs w:val="26"/>
        </w:rPr>
      </w:pPr>
    </w:p>
    <w:p w:rsidR="008F1C10" w:rsidRPr="00273105" w:rsidRDefault="008F1C10" w:rsidP="00770178">
      <w:pPr>
        <w:spacing w:line="360" w:lineRule="auto"/>
        <w:rPr>
          <w:color w:val="000000"/>
          <w:sz w:val="26"/>
          <w:szCs w:val="26"/>
        </w:rPr>
      </w:pPr>
    </w:p>
    <w:p w:rsidR="0018312D" w:rsidRPr="00273105" w:rsidRDefault="0018312D" w:rsidP="00770178">
      <w:pPr>
        <w:spacing w:line="360" w:lineRule="auto"/>
        <w:jc w:val="center"/>
        <w:rPr>
          <w:b/>
          <w:color w:val="000000"/>
          <w:sz w:val="26"/>
          <w:szCs w:val="26"/>
        </w:rPr>
      </w:pPr>
      <w:r w:rsidRPr="00273105">
        <w:rPr>
          <w:b/>
          <w:color w:val="000000"/>
          <w:sz w:val="26"/>
          <w:szCs w:val="26"/>
        </w:rPr>
        <w:t>CONCLUSION</w:t>
      </w:r>
    </w:p>
    <w:p w:rsidR="004A305C" w:rsidRPr="00273105" w:rsidRDefault="004A305C" w:rsidP="00770178">
      <w:pPr>
        <w:spacing w:line="360" w:lineRule="auto"/>
        <w:jc w:val="center"/>
        <w:rPr>
          <w:b/>
          <w:color w:val="000000"/>
          <w:sz w:val="26"/>
          <w:szCs w:val="26"/>
        </w:rPr>
      </w:pPr>
    </w:p>
    <w:p w:rsidR="006B455D" w:rsidRPr="00273105" w:rsidRDefault="004A305C" w:rsidP="00770178">
      <w:pPr>
        <w:spacing w:line="360" w:lineRule="auto"/>
        <w:rPr>
          <w:color w:val="000000"/>
          <w:sz w:val="26"/>
          <w:szCs w:val="26"/>
        </w:rPr>
      </w:pPr>
      <w:r w:rsidRPr="00273105">
        <w:rPr>
          <w:color w:val="000000"/>
          <w:sz w:val="26"/>
          <w:szCs w:val="26"/>
        </w:rPr>
        <w:tab/>
        <w:t>The Commission adopts the regulation revised herein as final</w:t>
      </w:r>
      <w:r w:rsidR="00E60B65" w:rsidRPr="00273105">
        <w:rPr>
          <w:color w:val="000000"/>
          <w:sz w:val="26"/>
          <w:szCs w:val="26"/>
        </w:rPr>
        <w:t>. T</w:t>
      </w:r>
      <w:r w:rsidR="006B455D" w:rsidRPr="00273105">
        <w:rPr>
          <w:color w:val="000000"/>
          <w:spacing w:val="-3"/>
          <w:sz w:val="26"/>
          <w:szCs w:val="26"/>
        </w:rPr>
        <w:t>his rulemaking revises Section 62.111 to</w:t>
      </w:r>
      <w:r w:rsidR="006B455D" w:rsidRPr="00273105">
        <w:rPr>
          <w:color w:val="000000"/>
          <w:sz w:val="26"/>
          <w:szCs w:val="26"/>
        </w:rPr>
        <w:t xml:space="preserve"> include</w:t>
      </w:r>
      <w:r w:rsidR="00151F90" w:rsidRPr="00273105">
        <w:rPr>
          <w:color w:val="000000"/>
          <w:sz w:val="26"/>
          <w:szCs w:val="26"/>
        </w:rPr>
        <w:t xml:space="preserve">, </w:t>
      </w:r>
      <w:r w:rsidR="00151F90" w:rsidRPr="00273105">
        <w:rPr>
          <w:i/>
          <w:color w:val="000000"/>
          <w:sz w:val="26"/>
          <w:szCs w:val="26"/>
        </w:rPr>
        <w:t>inter alia</w:t>
      </w:r>
      <w:r w:rsidR="00151F90" w:rsidRPr="00273105">
        <w:rPr>
          <w:color w:val="000000"/>
          <w:sz w:val="26"/>
          <w:szCs w:val="26"/>
        </w:rPr>
        <w:t>,</w:t>
      </w:r>
      <w:r w:rsidR="00EE703D" w:rsidRPr="00273105">
        <w:rPr>
          <w:color w:val="000000"/>
          <w:sz w:val="26"/>
          <w:szCs w:val="26"/>
        </w:rPr>
        <w:t xml:space="preserve"> </w:t>
      </w:r>
      <w:r w:rsidR="006B455D" w:rsidRPr="00273105">
        <w:rPr>
          <w:color w:val="000000"/>
          <w:sz w:val="26"/>
          <w:szCs w:val="26"/>
        </w:rPr>
        <w:t xml:space="preserve">the development of reasonable criteria for </w:t>
      </w:r>
      <w:r w:rsidR="00F60B77" w:rsidRPr="00273105">
        <w:rPr>
          <w:color w:val="000000"/>
          <w:sz w:val="26"/>
          <w:szCs w:val="26"/>
        </w:rPr>
        <w:t xml:space="preserve">establishing the initial security amount </w:t>
      </w:r>
      <w:r w:rsidR="00EE703D" w:rsidRPr="00273105">
        <w:rPr>
          <w:color w:val="000000"/>
          <w:sz w:val="26"/>
          <w:szCs w:val="26"/>
        </w:rPr>
        <w:t xml:space="preserve">and for </w:t>
      </w:r>
      <w:r w:rsidR="006B455D" w:rsidRPr="00273105">
        <w:rPr>
          <w:color w:val="000000"/>
          <w:sz w:val="26"/>
          <w:szCs w:val="26"/>
        </w:rPr>
        <w:t xml:space="preserve">adjusting the </w:t>
      </w:r>
      <w:r w:rsidR="00F60B77" w:rsidRPr="00273105">
        <w:rPr>
          <w:color w:val="000000"/>
          <w:sz w:val="26"/>
          <w:szCs w:val="26"/>
        </w:rPr>
        <w:t>security amount</w:t>
      </w:r>
      <w:r w:rsidR="00EE703D" w:rsidRPr="00273105">
        <w:rPr>
          <w:color w:val="000000"/>
          <w:sz w:val="26"/>
          <w:szCs w:val="26"/>
        </w:rPr>
        <w:t xml:space="preserve"> for</w:t>
      </w:r>
      <w:r w:rsidR="006B455D" w:rsidRPr="00273105">
        <w:rPr>
          <w:color w:val="000000"/>
          <w:sz w:val="26"/>
          <w:szCs w:val="26"/>
        </w:rPr>
        <w:t xml:space="preserve"> </w:t>
      </w:r>
      <w:r w:rsidR="00EE703D" w:rsidRPr="00273105">
        <w:rPr>
          <w:color w:val="000000"/>
          <w:sz w:val="26"/>
          <w:szCs w:val="26"/>
        </w:rPr>
        <w:t>a NGS</w:t>
      </w:r>
      <w:r w:rsidR="006B455D" w:rsidRPr="00273105">
        <w:rPr>
          <w:color w:val="000000"/>
          <w:sz w:val="26"/>
          <w:szCs w:val="26"/>
        </w:rPr>
        <w:t xml:space="preserve"> license</w:t>
      </w:r>
      <w:r w:rsidR="00F60B77" w:rsidRPr="00273105">
        <w:rPr>
          <w:color w:val="000000"/>
          <w:sz w:val="26"/>
          <w:szCs w:val="26"/>
        </w:rPr>
        <w:t xml:space="preserve">, regardless of whether the request </w:t>
      </w:r>
      <w:r w:rsidR="00EE703D" w:rsidRPr="00273105">
        <w:rPr>
          <w:color w:val="000000"/>
          <w:sz w:val="26"/>
          <w:szCs w:val="26"/>
        </w:rPr>
        <w:t xml:space="preserve">for the adjustment </w:t>
      </w:r>
      <w:r w:rsidR="00F60B77" w:rsidRPr="00273105">
        <w:rPr>
          <w:color w:val="000000"/>
          <w:sz w:val="26"/>
          <w:szCs w:val="26"/>
        </w:rPr>
        <w:t>is made by the NGDC or the NGS</w:t>
      </w:r>
      <w:r w:rsidR="006B455D" w:rsidRPr="00273105">
        <w:rPr>
          <w:color w:val="000000"/>
          <w:sz w:val="26"/>
          <w:szCs w:val="26"/>
        </w:rPr>
        <w:t>.</w:t>
      </w:r>
      <w:r w:rsidR="006B455D" w:rsidRPr="00273105">
        <w:rPr>
          <w:color w:val="000000"/>
          <w:spacing w:val="-3"/>
          <w:sz w:val="26"/>
          <w:szCs w:val="26"/>
        </w:rPr>
        <w:t xml:space="preserve">  </w:t>
      </w:r>
      <w:r w:rsidR="00245C8D" w:rsidRPr="00273105">
        <w:rPr>
          <w:color w:val="000000"/>
          <w:spacing w:val="-3"/>
          <w:sz w:val="26"/>
          <w:szCs w:val="26"/>
        </w:rPr>
        <w:t xml:space="preserve">Also established is a NGDC annual reporting requirement </w:t>
      </w:r>
      <w:r w:rsidR="007739CF">
        <w:rPr>
          <w:color w:val="000000"/>
          <w:spacing w:val="-3"/>
          <w:sz w:val="26"/>
          <w:szCs w:val="26"/>
        </w:rPr>
        <w:t>that</w:t>
      </w:r>
      <w:r w:rsidR="00245C8D" w:rsidRPr="00273105">
        <w:rPr>
          <w:color w:val="000000"/>
          <w:spacing w:val="-3"/>
          <w:sz w:val="26"/>
          <w:szCs w:val="26"/>
        </w:rPr>
        <w:t xml:space="preserve"> will permit the Commission to collect data relating to the adjustment of security amounts </w:t>
      </w:r>
      <w:r w:rsidR="001D0781" w:rsidRPr="00273105">
        <w:rPr>
          <w:color w:val="000000"/>
          <w:spacing w:val="-3"/>
          <w:sz w:val="26"/>
          <w:szCs w:val="26"/>
        </w:rPr>
        <w:t>and the triggering events, financial and</w:t>
      </w:r>
      <w:r w:rsidR="006B6EAB">
        <w:rPr>
          <w:color w:val="000000"/>
          <w:spacing w:val="-3"/>
          <w:sz w:val="26"/>
          <w:szCs w:val="26"/>
        </w:rPr>
        <w:t>/</w:t>
      </w:r>
      <w:r w:rsidR="001D0781" w:rsidRPr="00273105">
        <w:rPr>
          <w:color w:val="000000"/>
          <w:spacing w:val="-3"/>
          <w:sz w:val="26"/>
          <w:szCs w:val="26"/>
        </w:rPr>
        <w:t xml:space="preserve">or operational, that triggered the adjustment. </w:t>
      </w:r>
      <w:r w:rsidR="00245C8D" w:rsidRPr="00273105">
        <w:rPr>
          <w:color w:val="000000"/>
          <w:spacing w:val="-3"/>
          <w:sz w:val="26"/>
          <w:szCs w:val="26"/>
        </w:rPr>
        <w:t xml:space="preserve"> </w:t>
      </w:r>
      <w:r w:rsidR="00151F90" w:rsidRPr="00273105">
        <w:rPr>
          <w:color w:val="000000"/>
          <w:spacing w:val="-3"/>
          <w:sz w:val="26"/>
          <w:szCs w:val="26"/>
        </w:rPr>
        <w:t>The revision also permit</w:t>
      </w:r>
      <w:r w:rsidR="008D3926" w:rsidRPr="00273105">
        <w:rPr>
          <w:color w:val="000000"/>
          <w:spacing w:val="-3"/>
          <w:sz w:val="26"/>
          <w:szCs w:val="26"/>
        </w:rPr>
        <w:t>s</w:t>
      </w:r>
      <w:r w:rsidR="00151F90" w:rsidRPr="00273105">
        <w:rPr>
          <w:color w:val="000000"/>
          <w:spacing w:val="-3"/>
          <w:sz w:val="26"/>
          <w:szCs w:val="26"/>
        </w:rPr>
        <w:t xml:space="preserve"> </w:t>
      </w:r>
      <w:r w:rsidR="00151F90" w:rsidRPr="00273105">
        <w:rPr>
          <w:color w:val="000000"/>
          <w:sz w:val="26"/>
          <w:szCs w:val="26"/>
        </w:rPr>
        <w:t xml:space="preserve">the use of </w:t>
      </w:r>
      <w:r w:rsidR="00BA7227" w:rsidRPr="00273105">
        <w:rPr>
          <w:color w:val="000000"/>
          <w:sz w:val="26"/>
          <w:szCs w:val="26"/>
        </w:rPr>
        <w:t xml:space="preserve">escrow accounts, cash, and </w:t>
      </w:r>
      <w:r w:rsidR="00151F90" w:rsidRPr="00273105">
        <w:rPr>
          <w:color w:val="000000"/>
          <w:sz w:val="26"/>
          <w:szCs w:val="26"/>
        </w:rPr>
        <w:t xml:space="preserve">NGS accounts receivable in a </w:t>
      </w:r>
      <w:r w:rsidR="006C5AFF">
        <w:rPr>
          <w:color w:val="000000"/>
          <w:sz w:val="26"/>
          <w:szCs w:val="26"/>
        </w:rPr>
        <w:t>Commission</w:t>
      </w:r>
      <w:r w:rsidR="00151F90" w:rsidRPr="00273105">
        <w:rPr>
          <w:color w:val="000000"/>
          <w:sz w:val="26"/>
          <w:szCs w:val="26"/>
        </w:rPr>
        <w:t>-approved POR program to reduce the total security requirement</w:t>
      </w:r>
      <w:r w:rsidR="004902CF" w:rsidRPr="00273105">
        <w:rPr>
          <w:color w:val="000000"/>
          <w:sz w:val="26"/>
          <w:szCs w:val="26"/>
        </w:rPr>
        <w:t xml:space="preserve">.  </w:t>
      </w:r>
      <w:r w:rsidR="00DE052D">
        <w:rPr>
          <w:color w:val="000000"/>
          <w:sz w:val="26"/>
          <w:szCs w:val="26"/>
        </w:rPr>
        <w:t>Finally, S</w:t>
      </w:r>
      <w:r w:rsidR="00962DB4" w:rsidRPr="00273105">
        <w:rPr>
          <w:color w:val="000000"/>
          <w:sz w:val="26"/>
          <w:szCs w:val="26"/>
        </w:rPr>
        <w:t xml:space="preserve">ection 62.111(c)(7) establishes a process by which a supplier can request a reduction in </w:t>
      </w:r>
      <w:r w:rsidR="00941349" w:rsidRPr="00273105">
        <w:rPr>
          <w:color w:val="000000"/>
          <w:sz w:val="26"/>
          <w:szCs w:val="26"/>
        </w:rPr>
        <w:t xml:space="preserve">security </w:t>
      </w:r>
      <w:r w:rsidR="00941349" w:rsidRPr="00273105">
        <w:rPr>
          <w:color w:val="000000"/>
          <w:sz w:val="26"/>
          <w:szCs w:val="26"/>
        </w:rPr>
        <w:lastRenderedPageBreak/>
        <w:t xml:space="preserve">amount, and </w:t>
      </w:r>
      <w:r w:rsidR="00DE052D">
        <w:rPr>
          <w:color w:val="000000"/>
          <w:sz w:val="26"/>
          <w:szCs w:val="26"/>
        </w:rPr>
        <w:t>S</w:t>
      </w:r>
      <w:r w:rsidR="004902CF" w:rsidRPr="00273105">
        <w:rPr>
          <w:color w:val="000000"/>
          <w:sz w:val="26"/>
          <w:szCs w:val="26"/>
        </w:rPr>
        <w:t>ection 62.111</w:t>
      </w:r>
      <w:r w:rsidR="009F6F4E" w:rsidRPr="00273105">
        <w:rPr>
          <w:color w:val="000000"/>
          <w:sz w:val="26"/>
          <w:szCs w:val="26"/>
        </w:rPr>
        <w:t>(c)(</w:t>
      </w:r>
      <w:r w:rsidR="00962DB4" w:rsidRPr="00273105">
        <w:rPr>
          <w:color w:val="000000"/>
          <w:sz w:val="26"/>
          <w:szCs w:val="26"/>
        </w:rPr>
        <w:t>8</w:t>
      </w:r>
      <w:r w:rsidR="009F6F4E" w:rsidRPr="00273105">
        <w:rPr>
          <w:color w:val="000000"/>
          <w:sz w:val="26"/>
          <w:szCs w:val="26"/>
        </w:rPr>
        <w:t>)</w:t>
      </w:r>
      <w:r w:rsidR="004902CF" w:rsidRPr="00273105">
        <w:rPr>
          <w:color w:val="000000"/>
          <w:sz w:val="26"/>
          <w:szCs w:val="26"/>
        </w:rPr>
        <w:t xml:space="preserve"> sets forth an informal</w:t>
      </w:r>
      <w:r w:rsidR="001D0781" w:rsidRPr="00273105">
        <w:rPr>
          <w:color w:val="000000"/>
          <w:sz w:val="26"/>
          <w:szCs w:val="26"/>
        </w:rPr>
        <w:t xml:space="preserve"> procedure that may be used </w:t>
      </w:r>
      <w:r w:rsidR="00E420E7" w:rsidRPr="00273105">
        <w:rPr>
          <w:color w:val="000000"/>
          <w:sz w:val="26"/>
          <w:szCs w:val="26"/>
        </w:rPr>
        <w:t xml:space="preserve">by the NGS </w:t>
      </w:r>
      <w:r w:rsidR="001D0781" w:rsidRPr="00273105">
        <w:rPr>
          <w:color w:val="000000"/>
          <w:sz w:val="26"/>
          <w:szCs w:val="26"/>
        </w:rPr>
        <w:t xml:space="preserve">in lieu </w:t>
      </w:r>
      <w:r w:rsidR="00095E6E">
        <w:rPr>
          <w:color w:val="000000"/>
          <w:sz w:val="26"/>
          <w:szCs w:val="26"/>
        </w:rPr>
        <w:t xml:space="preserve">of </w:t>
      </w:r>
      <w:r w:rsidR="001D0781" w:rsidRPr="00273105">
        <w:rPr>
          <w:color w:val="000000"/>
          <w:sz w:val="26"/>
          <w:szCs w:val="26"/>
        </w:rPr>
        <w:t xml:space="preserve">filing a formal complaint </w:t>
      </w:r>
      <w:r w:rsidR="00245C8D" w:rsidRPr="00273105">
        <w:rPr>
          <w:color w:val="000000"/>
          <w:sz w:val="26"/>
          <w:szCs w:val="26"/>
        </w:rPr>
        <w:t xml:space="preserve">to </w:t>
      </w:r>
      <w:r w:rsidR="001D0781" w:rsidRPr="00273105">
        <w:rPr>
          <w:color w:val="000000"/>
          <w:sz w:val="26"/>
          <w:szCs w:val="26"/>
        </w:rPr>
        <w:t>resolve</w:t>
      </w:r>
      <w:r w:rsidR="004902CF" w:rsidRPr="00273105">
        <w:rPr>
          <w:color w:val="000000"/>
          <w:sz w:val="26"/>
          <w:szCs w:val="26"/>
        </w:rPr>
        <w:t xml:space="preserve"> a dispute </w:t>
      </w:r>
      <w:r w:rsidR="001D0781" w:rsidRPr="00273105">
        <w:rPr>
          <w:color w:val="000000"/>
          <w:sz w:val="26"/>
          <w:szCs w:val="26"/>
        </w:rPr>
        <w:t xml:space="preserve">with a NGDC </w:t>
      </w:r>
      <w:r w:rsidR="004902CF" w:rsidRPr="00273105">
        <w:rPr>
          <w:color w:val="000000"/>
          <w:sz w:val="26"/>
          <w:szCs w:val="26"/>
        </w:rPr>
        <w:t>over the amount</w:t>
      </w:r>
      <w:r w:rsidR="001D0781" w:rsidRPr="00273105">
        <w:rPr>
          <w:color w:val="000000"/>
          <w:sz w:val="26"/>
          <w:szCs w:val="26"/>
        </w:rPr>
        <w:t xml:space="preserve"> of security required for licensing</w:t>
      </w:r>
      <w:r w:rsidR="004902CF" w:rsidRPr="00273105">
        <w:rPr>
          <w:color w:val="000000"/>
          <w:sz w:val="26"/>
          <w:szCs w:val="26"/>
        </w:rPr>
        <w:t xml:space="preserve">.  </w:t>
      </w:r>
      <w:r w:rsidR="006B455D" w:rsidRPr="00273105">
        <w:rPr>
          <w:color w:val="000000"/>
          <w:spacing w:val="-3"/>
          <w:sz w:val="26"/>
          <w:szCs w:val="26"/>
        </w:rPr>
        <w:t>The</w:t>
      </w:r>
      <w:r w:rsidR="009F6F4E" w:rsidRPr="00273105">
        <w:rPr>
          <w:color w:val="000000"/>
          <w:spacing w:val="-3"/>
          <w:sz w:val="26"/>
          <w:szCs w:val="26"/>
        </w:rPr>
        <w:t xml:space="preserve"> Commission believes that the</w:t>
      </w:r>
      <w:r w:rsidR="00353A19" w:rsidRPr="00273105">
        <w:rPr>
          <w:color w:val="000000"/>
          <w:spacing w:val="-3"/>
          <w:sz w:val="26"/>
          <w:szCs w:val="26"/>
        </w:rPr>
        <w:t>se</w:t>
      </w:r>
      <w:r w:rsidR="006B455D" w:rsidRPr="00273105">
        <w:rPr>
          <w:color w:val="000000"/>
          <w:spacing w:val="-3"/>
          <w:sz w:val="26"/>
          <w:szCs w:val="26"/>
        </w:rPr>
        <w:t xml:space="preserve"> </w:t>
      </w:r>
      <w:r w:rsidR="00941349" w:rsidRPr="00273105">
        <w:rPr>
          <w:color w:val="000000"/>
          <w:spacing w:val="-3"/>
          <w:sz w:val="26"/>
          <w:szCs w:val="26"/>
        </w:rPr>
        <w:t>regulations</w:t>
      </w:r>
      <w:r w:rsidR="006C5AFF">
        <w:rPr>
          <w:color w:val="000000"/>
          <w:spacing w:val="-3"/>
          <w:sz w:val="26"/>
          <w:szCs w:val="26"/>
        </w:rPr>
        <w:t>,</w:t>
      </w:r>
      <w:r w:rsidR="00941349" w:rsidRPr="00273105">
        <w:rPr>
          <w:color w:val="000000"/>
          <w:spacing w:val="-3"/>
          <w:sz w:val="26"/>
          <w:szCs w:val="26"/>
        </w:rPr>
        <w:t xml:space="preserve"> </w:t>
      </w:r>
      <w:r w:rsidR="00E420E7" w:rsidRPr="00273105">
        <w:rPr>
          <w:color w:val="000000"/>
          <w:spacing w:val="-3"/>
          <w:sz w:val="26"/>
          <w:szCs w:val="26"/>
        </w:rPr>
        <w:t>as revised</w:t>
      </w:r>
      <w:r w:rsidR="006C5AFF">
        <w:rPr>
          <w:color w:val="000000"/>
          <w:spacing w:val="-3"/>
          <w:sz w:val="26"/>
          <w:szCs w:val="26"/>
        </w:rPr>
        <w:t>,</w:t>
      </w:r>
      <w:r w:rsidR="00E420E7" w:rsidRPr="00273105">
        <w:rPr>
          <w:color w:val="000000"/>
          <w:spacing w:val="-3"/>
          <w:sz w:val="26"/>
          <w:szCs w:val="26"/>
        </w:rPr>
        <w:t xml:space="preserve"> </w:t>
      </w:r>
      <w:r w:rsidR="006B455D" w:rsidRPr="00273105">
        <w:rPr>
          <w:color w:val="000000"/>
          <w:sz w:val="26"/>
          <w:szCs w:val="26"/>
        </w:rPr>
        <w:t>better balance the ability of a NGS to provide adequate security to maintain its license with a NGDC’s actual risk of financial loss in the event of supplier default.</w:t>
      </w:r>
    </w:p>
    <w:p w:rsidR="0018312D" w:rsidRPr="00273105" w:rsidRDefault="0018312D" w:rsidP="00770178">
      <w:pPr>
        <w:spacing w:line="360" w:lineRule="auto"/>
        <w:rPr>
          <w:b/>
          <w:color w:val="000000"/>
          <w:sz w:val="26"/>
          <w:szCs w:val="26"/>
        </w:rPr>
      </w:pPr>
    </w:p>
    <w:p w:rsidR="004A305C" w:rsidRDefault="004A305C" w:rsidP="00770178">
      <w:pPr>
        <w:pStyle w:val="NormalWeb"/>
        <w:spacing w:before="0" w:beforeAutospacing="0" w:after="0" w:afterAutospacing="0" w:line="360" w:lineRule="auto"/>
        <w:ind w:firstLine="720"/>
        <w:rPr>
          <w:color w:val="000000"/>
          <w:sz w:val="26"/>
          <w:szCs w:val="26"/>
        </w:rPr>
      </w:pPr>
      <w:r w:rsidRPr="00273105">
        <w:rPr>
          <w:color w:val="000000"/>
          <w:sz w:val="26"/>
          <w:szCs w:val="26"/>
        </w:rPr>
        <w:t xml:space="preserve">Accordingly, </w:t>
      </w:r>
      <w:r w:rsidR="002975A3" w:rsidRPr="00273105">
        <w:rPr>
          <w:color w:val="000000"/>
          <w:sz w:val="26"/>
          <w:szCs w:val="26"/>
        </w:rPr>
        <w:t>pursuant to</w:t>
      </w:r>
      <w:r w:rsidR="00DE052D">
        <w:rPr>
          <w:color w:val="000000"/>
          <w:sz w:val="26"/>
          <w:szCs w:val="26"/>
        </w:rPr>
        <w:t xml:space="preserve"> S</w:t>
      </w:r>
      <w:r w:rsidRPr="00273105">
        <w:rPr>
          <w:color w:val="000000"/>
          <w:sz w:val="26"/>
          <w:szCs w:val="26"/>
        </w:rPr>
        <w:t>ections 501, 2</w:t>
      </w:r>
      <w:r w:rsidR="0026157D" w:rsidRPr="00273105">
        <w:rPr>
          <w:color w:val="000000"/>
          <w:sz w:val="26"/>
          <w:szCs w:val="26"/>
        </w:rPr>
        <w:t>203(12) and 2208</w:t>
      </w:r>
      <w:r w:rsidRPr="00273105">
        <w:rPr>
          <w:color w:val="000000"/>
          <w:sz w:val="26"/>
          <w:szCs w:val="26"/>
        </w:rPr>
        <w:t xml:space="preserve"> of the Public Utility Code, 66 Pa.C.S. §§ 501, </w:t>
      </w:r>
      <w:r w:rsidR="0026157D" w:rsidRPr="00273105">
        <w:rPr>
          <w:color w:val="000000"/>
          <w:sz w:val="26"/>
          <w:szCs w:val="26"/>
        </w:rPr>
        <w:t>2203</w:t>
      </w:r>
      <w:r w:rsidRPr="00273105">
        <w:rPr>
          <w:color w:val="000000"/>
          <w:sz w:val="26"/>
          <w:szCs w:val="26"/>
        </w:rPr>
        <w:t xml:space="preserve"> and 2</w:t>
      </w:r>
      <w:r w:rsidR="0026157D" w:rsidRPr="00273105">
        <w:rPr>
          <w:color w:val="000000"/>
          <w:sz w:val="26"/>
          <w:szCs w:val="26"/>
        </w:rPr>
        <w:t>208</w:t>
      </w:r>
      <w:r w:rsidR="00DE052D">
        <w:rPr>
          <w:color w:val="000000"/>
          <w:sz w:val="26"/>
          <w:szCs w:val="26"/>
        </w:rPr>
        <w:t>; S</w:t>
      </w:r>
      <w:r w:rsidRPr="00273105">
        <w:rPr>
          <w:color w:val="000000"/>
          <w:sz w:val="26"/>
          <w:szCs w:val="26"/>
        </w:rPr>
        <w:t xml:space="preserve">ections 201 and 202 of the Act of July 31, 1968, P.L. 769 No. 240, 45 P.S. §§ 1201-1202, and the regulations promulgated thereunder at 1 </w:t>
      </w:r>
      <w:r w:rsidR="00947565">
        <w:rPr>
          <w:color w:val="000000"/>
          <w:sz w:val="26"/>
          <w:szCs w:val="26"/>
        </w:rPr>
        <w:t>Pa. Code §§ 7.1, 7.2, and 7.5; S</w:t>
      </w:r>
      <w:r w:rsidRPr="00273105">
        <w:rPr>
          <w:color w:val="000000"/>
          <w:sz w:val="26"/>
          <w:szCs w:val="26"/>
        </w:rPr>
        <w:t xml:space="preserve">ection 204(b) of the Commonwealth Attorneys Act, 71 P.S. </w:t>
      </w:r>
      <w:r w:rsidR="00C94367" w:rsidRPr="00273105">
        <w:rPr>
          <w:color w:val="000000"/>
          <w:sz w:val="26"/>
          <w:szCs w:val="26"/>
        </w:rPr>
        <w:t xml:space="preserve">§ </w:t>
      </w:r>
      <w:r w:rsidRPr="00273105">
        <w:rPr>
          <w:color w:val="000000"/>
          <w:sz w:val="26"/>
          <w:szCs w:val="26"/>
        </w:rPr>
        <w:t xml:space="preserve">732.204(b); </w:t>
      </w:r>
      <w:r w:rsidR="00947565">
        <w:rPr>
          <w:color w:val="000000"/>
          <w:sz w:val="26"/>
          <w:szCs w:val="26"/>
        </w:rPr>
        <w:t>S</w:t>
      </w:r>
      <w:r w:rsidRPr="00273105">
        <w:rPr>
          <w:color w:val="000000"/>
          <w:sz w:val="26"/>
          <w:szCs w:val="26"/>
        </w:rPr>
        <w:t xml:space="preserve">ection 745.5 of the Regulatory Review Act, 71 P.S. </w:t>
      </w:r>
      <w:r w:rsidR="00C94367" w:rsidRPr="00273105">
        <w:rPr>
          <w:color w:val="000000"/>
          <w:sz w:val="26"/>
          <w:szCs w:val="26"/>
        </w:rPr>
        <w:t xml:space="preserve"> </w:t>
      </w:r>
      <w:r w:rsidR="00947565">
        <w:rPr>
          <w:color w:val="000000"/>
          <w:sz w:val="26"/>
          <w:szCs w:val="26"/>
        </w:rPr>
        <w:t>§ 745.5; and S</w:t>
      </w:r>
      <w:r w:rsidRPr="00273105">
        <w:rPr>
          <w:color w:val="000000"/>
          <w:sz w:val="26"/>
          <w:szCs w:val="26"/>
        </w:rPr>
        <w:t xml:space="preserve">ection 612 of the Administrative Code of 1929, 71 P.S. § 232, and the regulations promulgated thereunder at 4 Pa. Code §§ 7.231-7.234, we will adopt as final  the proposed </w:t>
      </w:r>
      <w:r w:rsidR="000606C7" w:rsidRPr="00273105">
        <w:rPr>
          <w:color w:val="000000"/>
          <w:sz w:val="26"/>
          <w:szCs w:val="26"/>
        </w:rPr>
        <w:t>revisions to Section 62.111 as</w:t>
      </w:r>
      <w:r w:rsidRPr="00273105">
        <w:rPr>
          <w:color w:val="000000"/>
          <w:sz w:val="26"/>
          <w:szCs w:val="26"/>
        </w:rPr>
        <w:t xml:space="preserve"> set forth in Annex A, attached hereto; </w:t>
      </w:r>
      <w:r w:rsidRPr="00273105">
        <w:rPr>
          <w:b/>
          <w:color w:val="000000"/>
          <w:sz w:val="26"/>
          <w:szCs w:val="26"/>
        </w:rPr>
        <w:t>THEREFORE</w:t>
      </w:r>
      <w:r w:rsidRPr="00273105">
        <w:rPr>
          <w:color w:val="000000"/>
          <w:sz w:val="26"/>
          <w:szCs w:val="26"/>
        </w:rPr>
        <w:t xml:space="preserve">, </w:t>
      </w:r>
    </w:p>
    <w:p w:rsidR="006B4897" w:rsidRPr="00273105" w:rsidRDefault="006B4897" w:rsidP="00770178">
      <w:pPr>
        <w:pStyle w:val="NormalWeb"/>
        <w:spacing w:before="0" w:beforeAutospacing="0" w:after="0" w:afterAutospacing="0" w:line="360" w:lineRule="auto"/>
        <w:ind w:firstLine="720"/>
        <w:rPr>
          <w:color w:val="000000"/>
          <w:sz w:val="26"/>
          <w:szCs w:val="26"/>
        </w:rPr>
      </w:pPr>
    </w:p>
    <w:p w:rsidR="004A305C" w:rsidRDefault="007464AA" w:rsidP="00770178">
      <w:pPr>
        <w:spacing w:line="360" w:lineRule="auto"/>
        <w:rPr>
          <w:b/>
          <w:color w:val="000000"/>
          <w:sz w:val="26"/>
          <w:szCs w:val="26"/>
        </w:rPr>
      </w:pPr>
      <w:r>
        <w:rPr>
          <w:b/>
          <w:color w:val="000000"/>
          <w:sz w:val="26"/>
          <w:szCs w:val="26"/>
        </w:rPr>
        <w:tab/>
      </w:r>
      <w:r w:rsidR="004A305C" w:rsidRPr="00273105">
        <w:rPr>
          <w:b/>
          <w:color w:val="000000"/>
          <w:sz w:val="26"/>
          <w:szCs w:val="26"/>
        </w:rPr>
        <w:t>IT IS ORDERED:</w:t>
      </w:r>
    </w:p>
    <w:p w:rsidR="006B4897" w:rsidRPr="00273105" w:rsidRDefault="006B4897" w:rsidP="00770178">
      <w:pPr>
        <w:spacing w:line="360" w:lineRule="auto"/>
        <w:rPr>
          <w:b/>
          <w:color w:val="000000"/>
          <w:sz w:val="26"/>
          <w:szCs w:val="26"/>
        </w:rPr>
      </w:pPr>
    </w:p>
    <w:p w:rsidR="004A305C" w:rsidRDefault="006B4897" w:rsidP="006B4897">
      <w:pPr>
        <w:pStyle w:val="NormalWeb"/>
        <w:spacing w:before="0" w:beforeAutospacing="0" w:after="0" w:afterAutospacing="0" w:line="360" w:lineRule="auto"/>
        <w:rPr>
          <w:color w:val="000000"/>
          <w:sz w:val="26"/>
          <w:szCs w:val="26"/>
        </w:rPr>
      </w:pPr>
      <w:r>
        <w:rPr>
          <w:color w:val="000000"/>
          <w:sz w:val="26"/>
          <w:szCs w:val="26"/>
        </w:rPr>
        <w:tab/>
      </w:r>
      <w:r>
        <w:rPr>
          <w:color w:val="000000"/>
          <w:sz w:val="26"/>
          <w:szCs w:val="26"/>
        </w:rPr>
        <w:tab/>
      </w:r>
      <w:r w:rsidR="007F373C" w:rsidRPr="00273105">
        <w:rPr>
          <w:color w:val="000000"/>
          <w:sz w:val="26"/>
          <w:szCs w:val="26"/>
        </w:rPr>
        <w:t>1.</w:t>
      </w:r>
      <w:r w:rsidR="007F373C" w:rsidRPr="00273105">
        <w:rPr>
          <w:color w:val="000000"/>
          <w:sz w:val="26"/>
          <w:szCs w:val="26"/>
        </w:rPr>
        <w:tab/>
        <w:t>That the regulation</w:t>
      </w:r>
      <w:r w:rsidR="004A305C" w:rsidRPr="00273105">
        <w:rPr>
          <w:color w:val="000000"/>
          <w:sz w:val="26"/>
          <w:szCs w:val="26"/>
        </w:rPr>
        <w:t xml:space="preserve"> of the Commission, 52 Pa. Code </w:t>
      </w:r>
      <w:r w:rsidR="00293905" w:rsidRPr="00273105">
        <w:rPr>
          <w:color w:val="000000"/>
          <w:sz w:val="26"/>
          <w:szCs w:val="26"/>
        </w:rPr>
        <w:t>§ 62.111</w:t>
      </w:r>
      <w:r w:rsidR="00C32BEC">
        <w:rPr>
          <w:color w:val="000000"/>
          <w:sz w:val="26"/>
          <w:szCs w:val="26"/>
        </w:rPr>
        <w:t xml:space="preserve"> </w:t>
      </w:r>
      <w:r w:rsidR="00293905" w:rsidRPr="00273105">
        <w:rPr>
          <w:color w:val="000000"/>
          <w:sz w:val="26"/>
          <w:szCs w:val="26"/>
        </w:rPr>
        <w:t>(relating to</w:t>
      </w:r>
      <w:r w:rsidR="004A305C" w:rsidRPr="00273105">
        <w:rPr>
          <w:color w:val="000000"/>
          <w:sz w:val="26"/>
          <w:szCs w:val="26"/>
        </w:rPr>
        <w:t xml:space="preserve"> </w:t>
      </w:r>
      <w:r w:rsidR="00293905" w:rsidRPr="00273105">
        <w:rPr>
          <w:color w:val="000000"/>
          <w:sz w:val="26"/>
          <w:szCs w:val="26"/>
        </w:rPr>
        <w:t>bonds or other security</w:t>
      </w:r>
      <w:r w:rsidR="007F373C" w:rsidRPr="00273105">
        <w:rPr>
          <w:color w:val="000000"/>
          <w:sz w:val="26"/>
          <w:szCs w:val="26"/>
        </w:rPr>
        <w:t xml:space="preserve"> [for natural gas supplier licenses]) </w:t>
      </w:r>
      <w:r w:rsidR="00293905" w:rsidRPr="00273105">
        <w:rPr>
          <w:color w:val="000000"/>
          <w:sz w:val="26"/>
          <w:szCs w:val="26"/>
        </w:rPr>
        <w:t xml:space="preserve">is </w:t>
      </w:r>
      <w:r w:rsidR="004A305C" w:rsidRPr="00273105">
        <w:rPr>
          <w:color w:val="000000"/>
          <w:sz w:val="26"/>
          <w:szCs w:val="26"/>
        </w:rPr>
        <w:t>amended to read as set forth in Annex A.</w:t>
      </w:r>
    </w:p>
    <w:p w:rsidR="006B4897" w:rsidRPr="00273105" w:rsidRDefault="006B4897" w:rsidP="006B4897">
      <w:pPr>
        <w:pStyle w:val="NormalWeb"/>
        <w:spacing w:before="0" w:beforeAutospacing="0" w:after="0" w:afterAutospacing="0" w:line="360" w:lineRule="auto"/>
        <w:rPr>
          <w:color w:val="000000"/>
          <w:sz w:val="26"/>
          <w:szCs w:val="26"/>
        </w:rPr>
      </w:pPr>
    </w:p>
    <w:p w:rsidR="004A305C" w:rsidRDefault="006B4897" w:rsidP="006B4897">
      <w:pPr>
        <w:pStyle w:val="NormalWeb"/>
        <w:spacing w:before="0" w:beforeAutospacing="0" w:after="0" w:afterAutospacing="0" w:line="360" w:lineRule="auto"/>
        <w:rPr>
          <w:color w:val="000000"/>
          <w:sz w:val="26"/>
          <w:szCs w:val="26"/>
        </w:rPr>
      </w:pPr>
      <w:r>
        <w:rPr>
          <w:color w:val="000000"/>
          <w:sz w:val="26"/>
          <w:szCs w:val="26"/>
        </w:rPr>
        <w:tab/>
      </w:r>
      <w:r>
        <w:rPr>
          <w:color w:val="000000"/>
          <w:sz w:val="26"/>
          <w:szCs w:val="26"/>
        </w:rPr>
        <w:tab/>
      </w:r>
      <w:r w:rsidR="004A305C" w:rsidRPr="00273105">
        <w:rPr>
          <w:color w:val="000000"/>
          <w:sz w:val="26"/>
          <w:szCs w:val="26"/>
        </w:rPr>
        <w:t>2.</w:t>
      </w:r>
      <w:r w:rsidR="004A305C" w:rsidRPr="00273105">
        <w:rPr>
          <w:color w:val="000000"/>
          <w:sz w:val="26"/>
          <w:szCs w:val="26"/>
        </w:rPr>
        <w:tab/>
        <w:t>That the Secretary shall submit this order and Annex A to the Office of Attorney General for approval as to legality.</w:t>
      </w:r>
    </w:p>
    <w:p w:rsidR="006B4897" w:rsidRPr="00273105" w:rsidRDefault="006B4897" w:rsidP="006B4897">
      <w:pPr>
        <w:pStyle w:val="NormalWeb"/>
        <w:spacing w:before="0" w:beforeAutospacing="0" w:after="0" w:afterAutospacing="0" w:line="360" w:lineRule="auto"/>
        <w:rPr>
          <w:color w:val="000000"/>
          <w:sz w:val="26"/>
          <w:szCs w:val="26"/>
        </w:rPr>
      </w:pPr>
    </w:p>
    <w:p w:rsidR="004A305C" w:rsidRPr="00273105" w:rsidRDefault="006B4897" w:rsidP="006B4897">
      <w:pPr>
        <w:pStyle w:val="NormalWeb"/>
        <w:spacing w:before="0" w:beforeAutospacing="0" w:after="0" w:afterAutospacing="0" w:line="360" w:lineRule="auto"/>
        <w:rPr>
          <w:color w:val="000000"/>
          <w:sz w:val="26"/>
          <w:szCs w:val="26"/>
        </w:rPr>
      </w:pPr>
      <w:r>
        <w:rPr>
          <w:color w:val="000000"/>
          <w:sz w:val="26"/>
          <w:szCs w:val="26"/>
        </w:rPr>
        <w:tab/>
      </w:r>
      <w:r>
        <w:rPr>
          <w:color w:val="000000"/>
          <w:sz w:val="26"/>
          <w:szCs w:val="26"/>
        </w:rPr>
        <w:tab/>
      </w:r>
      <w:r w:rsidR="004A305C" w:rsidRPr="00273105">
        <w:rPr>
          <w:color w:val="000000"/>
          <w:sz w:val="26"/>
          <w:szCs w:val="26"/>
        </w:rPr>
        <w:t>3.</w:t>
      </w:r>
      <w:r w:rsidR="004A305C" w:rsidRPr="00273105">
        <w:rPr>
          <w:color w:val="000000"/>
          <w:sz w:val="26"/>
          <w:szCs w:val="26"/>
        </w:rPr>
        <w:tab/>
        <w:t>That the Secretary shall submit this order and Annex A to the Governor's Budget Office for review of fiscal impact.</w:t>
      </w:r>
    </w:p>
    <w:p w:rsidR="004A305C" w:rsidRDefault="006B4897" w:rsidP="006B4897">
      <w:pPr>
        <w:pStyle w:val="NormalWeb"/>
        <w:spacing w:before="0" w:beforeAutospacing="0" w:after="0" w:afterAutospacing="0" w:line="360" w:lineRule="auto"/>
        <w:rPr>
          <w:color w:val="000000"/>
          <w:sz w:val="26"/>
          <w:szCs w:val="26"/>
        </w:rPr>
      </w:pPr>
      <w:r>
        <w:rPr>
          <w:color w:val="000000"/>
          <w:sz w:val="26"/>
          <w:szCs w:val="26"/>
        </w:rPr>
        <w:lastRenderedPageBreak/>
        <w:tab/>
      </w:r>
      <w:r>
        <w:rPr>
          <w:color w:val="000000"/>
          <w:sz w:val="26"/>
          <w:szCs w:val="26"/>
        </w:rPr>
        <w:tab/>
      </w:r>
      <w:r w:rsidR="004A305C" w:rsidRPr="00273105">
        <w:rPr>
          <w:color w:val="000000"/>
          <w:sz w:val="26"/>
          <w:szCs w:val="26"/>
        </w:rPr>
        <w:t>4.</w:t>
      </w:r>
      <w:r w:rsidR="004A305C" w:rsidRPr="00273105">
        <w:rPr>
          <w:color w:val="000000"/>
          <w:sz w:val="26"/>
          <w:szCs w:val="26"/>
        </w:rPr>
        <w:tab/>
        <w:t>That the Secretary shall submit this order and Annex A for review by the designated standing committees of both houses of the General Assembly, and for review and approval by the Independent Regulatory Review Commission.</w:t>
      </w:r>
    </w:p>
    <w:p w:rsidR="006B4897" w:rsidRPr="00273105" w:rsidRDefault="006B4897" w:rsidP="006B4897">
      <w:pPr>
        <w:pStyle w:val="NormalWeb"/>
        <w:spacing w:before="0" w:beforeAutospacing="0" w:after="0" w:afterAutospacing="0" w:line="360" w:lineRule="auto"/>
        <w:rPr>
          <w:color w:val="000000"/>
          <w:sz w:val="26"/>
          <w:szCs w:val="26"/>
        </w:rPr>
      </w:pPr>
    </w:p>
    <w:p w:rsidR="004A305C" w:rsidRDefault="006B4897" w:rsidP="006B4897">
      <w:pPr>
        <w:pStyle w:val="NormalWeb"/>
        <w:spacing w:before="0" w:beforeAutospacing="0" w:after="0" w:afterAutospacing="0" w:line="360" w:lineRule="auto"/>
        <w:rPr>
          <w:color w:val="000000"/>
          <w:sz w:val="26"/>
          <w:szCs w:val="26"/>
        </w:rPr>
      </w:pPr>
      <w:r>
        <w:rPr>
          <w:color w:val="000000"/>
          <w:sz w:val="26"/>
          <w:szCs w:val="26"/>
        </w:rPr>
        <w:tab/>
      </w:r>
      <w:r>
        <w:rPr>
          <w:color w:val="000000"/>
          <w:sz w:val="26"/>
          <w:szCs w:val="26"/>
        </w:rPr>
        <w:tab/>
      </w:r>
      <w:r w:rsidR="004A305C" w:rsidRPr="00273105">
        <w:rPr>
          <w:color w:val="000000"/>
          <w:sz w:val="26"/>
          <w:szCs w:val="26"/>
        </w:rPr>
        <w:t>5.</w:t>
      </w:r>
      <w:r w:rsidR="004A305C" w:rsidRPr="00273105">
        <w:rPr>
          <w:color w:val="000000"/>
          <w:sz w:val="26"/>
          <w:szCs w:val="26"/>
        </w:rPr>
        <w:tab/>
        <w:t xml:space="preserve">That the Secretary shall duly certify this order and Annex A with the Legislative Reference Bureau for publication in the </w:t>
      </w:r>
      <w:r w:rsidR="004A305C" w:rsidRPr="00273105">
        <w:rPr>
          <w:i/>
          <w:color w:val="000000"/>
          <w:sz w:val="26"/>
          <w:szCs w:val="26"/>
        </w:rPr>
        <w:t>Pennsylvania Bulletin</w:t>
      </w:r>
      <w:r w:rsidR="004A305C" w:rsidRPr="00273105">
        <w:rPr>
          <w:color w:val="000000"/>
          <w:sz w:val="26"/>
          <w:szCs w:val="26"/>
        </w:rPr>
        <w:t>.</w:t>
      </w:r>
    </w:p>
    <w:p w:rsidR="006B4897" w:rsidRPr="00273105" w:rsidRDefault="006B4897" w:rsidP="006B4897">
      <w:pPr>
        <w:pStyle w:val="NormalWeb"/>
        <w:spacing w:before="0" w:beforeAutospacing="0" w:after="0" w:afterAutospacing="0" w:line="360" w:lineRule="auto"/>
        <w:rPr>
          <w:color w:val="000000"/>
          <w:sz w:val="26"/>
          <w:szCs w:val="26"/>
        </w:rPr>
      </w:pPr>
    </w:p>
    <w:p w:rsidR="004A305C" w:rsidRDefault="006B4897" w:rsidP="006B4897">
      <w:pPr>
        <w:pStyle w:val="NormalWeb"/>
        <w:spacing w:before="0" w:beforeAutospacing="0" w:after="0" w:afterAutospacing="0" w:line="360" w:lineRule="auto"/>
        <w:rPr>
          <w:color w:val="000000"/>
          <w:sz w:val="26"/>
          <w:szCs w:val="26"/>
        </w:rPr>
      </w:pPr>
      <w:r>
        <w:rPr>
          <w:color w:val="000000"/>
          <w:sz w:val="26"/>
          <w:szCs w:val="26"/>
        </w:rPr>
        <w:tab/>
      </w:r>
      <w:r>
        <w:rPr>
          <w:color w:val="000000"/>
          <w:sz w:val="26"/>
          <w:szCs w:val="26"/>
        </w:rPr>
        <w:tab/>
      </w:r>
      <w:r w:rsidR="004A305C" w:rsidRPr="00273105">
        <w:rPr>
          <w:color w:val="000000"/>
          <w:sz w:val="26"/>
          <w:szCs w:val="26"/>
        </w:rPr>
        <w:t>6.</w:t>
      </w:r>
      <w:r w:rsidR="004A305C" w:rsidRPr="00273105">
        <w:rPr>
          <w:color w:val="000000"/>
          <w:sz w:val="26"/>
          <w:szCs w:val="26"/>
        </w:rPr>
        <w:tab/>
        <w:t xml:space="preserve">That these regulations shall become effective upon publication in the </w:t>
      </w:r>
      <w:r w:rsidR="004A305C" w:rsidRPr="00273105">
        <w:rPr>
          <w:i/>
          <w:color w:val="000000"/>
          <w:sz w:val="26"/>
          <w:szCs w:val="26"/>
        </w:rPr>
        <w:t>Pennsylvania Bulletin</w:t>
      </w:r>
      <w:r w:rsidR="004A305C" w:rsidRPr="00273105">
        <w:rPr>
          <w:color w:val="000000"/>
          <w:sz w:val="26"/>
          <w:szCs w:val="26"/>
        </w:rPr>
        <w:t>.</w:t>
      </w:r>
    </w:p>
    <w:p w:rsidR="006B4897" w:rsidRPr="00273105" w:rsidRDefault="006B4897" w:rsidP="006B4897">
      <w:pPr>
        <w:pStyle w:val="NormalWeb"/>
        <w:spacing w:before="0" w:beforeAutospacing="0" w:after="0" w:afterAutospacing="0" w:line="360" w:lineRule="auto"/>
        <w:rPr>
          <w:color w:val="000000"/>
          <w:sz w:val="26"/>
          <w:szCs w:val="26"/>
        </w:rPr>
      </w:pPr>
    </w:p>
    <w:p w:rsidR="004A305C" w:rsidRDefault="006B4897" w:rsidP="006B4897">
      <w:pPr>
        <w:spacing w:line="360" w:lineRule="auto"/>
        <w:rPr>
          <w:color w:val="000000"/>
          <w:sz w:val="26"/>
          <w:szCs w:val="26"/>
        </w:rPr>
      </w:pPr>
      <w:r>
        <w:rPr>
          <w:color w:val="000000"/>
          <w:sz w:val="26"/>
          <w:szCs w:val="26"/>
        </w:rPr>
        <w:tab/>
      </w:r>
      <w:r>
        <w:rPr>
          <w:color w:val="000000"/>
          <w:sz w:val="26"/>
          <w:szCs w:val="26"/>
        </w:rPr>
        <w:tab/>
      </w:r>
      <w:r w:rsidR="004A305C" w:rsidRPr="00273105">
        <w:rPr>
          <w:color w:val="000000"/>
          <w:sz w:val="26"/>
          <w:szCs w:val="26"/>
        </w:rPr>
        <w:t>7.</w:t>
      </w:r>
      <w:r w:rsidR="004A305C" w:rsidRPr="00273105">
        <w:rPr>
          <w:color w:val="000000"/>
          <w:sz w:val="26"/>
          <w:szCs w:val="26"/>
        </w:rPr>
        <w:tab/>
        <w:t xml:space="preserve">That the contact persons for this final-form rulemaking are Annunciata Marino, </w:t>
      </w:r>
      <w:r w:rsidR="00F26C24" w:rsidRPr="00273105">
        <w:rPr>
          <w:color w:val="000000"/>
          <w:sz w:val="26"/>
          <w:szCs w:val="26"/>
        </w:rPr>
        <w:t>FUS</w:t>
      </w:r>
      <w:r w:rsidR="004A305C" w:rsidRPr="00273105">
        <w:rPr>
          <w:color w:val="000000"/>
          <w:sz w:val="26"/>
          <w:szCs w:val="26"/>
        </w:rPr>
        <w:t>, (717) 7</w:t>
      </w:r>
      <w:r w:rsidR="00F26C24" w:rsidRPr="00273105">
        <w:rPr>
          <w:color w:val="000000"/>
          <w:sz w:val="26"/>
          <w:szCs w:val="26"/>
        </w:rPr>
        <w:t>72</w:t>
      </w:r>
      <w:r w:rsidR="004A305C" w:rsidRPr="00273105">
        <w:rPr>
          <w:color w:val="000000"/>
          <w:sz w:val="26"/>
          <w:szCs w:val="26"/>
        </w:rPr>
        <w:t>-</w:t>
      </w:r>
      <w:r w:rsidR="00293905" w:rsidRPr="00273105">
        <w:rPr>
          <w:color w:val="000000"/>
          <w:sz w:val="26"/>
          <w:szCs w:val="26"/>
        </w:rPr>
        <w:t>2151</w:t>
      </w:r>
      <w:r w:rsidR="004A305C" w:rsidRPr="00273105">
        <w:rPr>
          <w:color w:val="000000"/>
          <w:sz w:val="26"/>
          <w:szCs w:val="26"/>
        </w:rPr>
        <w:t xml:space="preserve"> (technical), Patricia Krise Burket, Assistant Counsel, (717) 787-3464. Alternate formats of this document are available to persons with disabilities and may be obtained by contacting Sherri DelBiondo, Regulatory Review Assistant, Law Bureau, (717) 772-4597.</w:t>
      </w:r>
    </w:p>
    <w:p w:rsidR="006B4897" w:rsidRPr="00273105" w:rsidRDefault="006B4897" w:rsidP="006B4897">
      <w:pPr>
        <w:spacing w:line="360" w:lineRule="auto"/>
        <w:rPr>
          <w:color w:val="000000"/>
          <w:sz w:val="26"/>
          <w:szCs w:val="26"/>
        </w:rPr>
      </w:pPr>
    </w:p>
    <w:p w:rsidR="004A305C" w:rsidRDefault="006B4897" w:rsidP="006B4897">
      <w:pPr>
        <w:spacing w:line="360" w:lineRule="auto"/>
        <w:rPr>
          <w:color w:val="000000"/>
          <w:sz w:val="26"/>
          <w:szCs w:val="26"/>
        </w:rPr>
      </w:pPr>
      <w:r>
        <w:rPr>
          <w:color w:val="000000"/>
          <w:sz w:val="26"/>
          <w:szCs w:val="26"/>
        </w:rPr>
        <w:tab/>
      </w:r>
      <w:r>
        <w:rPr>
          <w:color w:val="000000"/>
          <w:sz w:val="26"/>
          <w:szCs w:val="26"/>
        </w:rPr>
        <w:tab/>
      </w:r>
      <w:r w:rsidR="004A305C" w:rsidRPr="00273105">
        <w:rPr>
          <w:color w:val="000000"/>
          <w:sz w:val="26"/>
          <w:szCs w:val="26"/>
        </w:rPr>
        <w:t>8.</w:t>
      </w:r>
      <w:r w:rsidR="004A305C" w:rsidRPr="00273105">
        <w:rPr>
          <w:color w:val="000000"/>
          <w:sz w:val="26"/>
          <w:szCs w:val="26"/>
        </w:rPr>
        <w:tab/>
        <w:t xml:space="preserve">That a copy of this Order and Annex A shall be served on all jurisdictional </w:t>
      </w:r>
      <w:r w:rsidR="00081972" w:rsidRPr="00273105">
        <w:rPr>
          <w:color w:val="000000"/>
          <w:sz w:val="26"/>
          <w:szCs w:val="26"/>
        </w:rPr>
        <w:t xml:space="preserve">natural gas </w:t>
      </w:r>
      <w:r w:rsidR="004A305C" w:rsidRPr="00273105">
        <w:rPr>
          <w:color w:val="000000"/>
          <w:sz w:val="26"/>
          <w:szCs w:val="26"/>
        </w:rPr>
        <w:t xml:space="preserve">distribution companies, </w:t>
      </w:r>
      <w:r w:rsidR="00081972" w:rsidRPr="00273105">
        <w:rPr>
          <w:color w:val="000000"/>
          <w:sz w:val="26"/>
          <w:szCs w:val="26"/>
        </w:rPr>
        <w:t>natural gas suppliers</w:t>
      </w:r>
      <w:r w:rsidR="004A305C" w:rsidRPr="00273105">
        <w:rPr>
          <w:color w:val="000000"/>
          <w:sz w:val="26"/>
          <w:szCs w:val="26"/>
        </w:rPr>
        <w:t xml:space="preserve">, the Office of Consumer Advocate, the Office of Small Business Advocate and all other parties that filed comments at Docket </w:t>
      </w:r>
      <w:r w:rsidR="0084759D" w:rsidRPr="00273105">
        <w:rPr>
          <w:color w:val="000000"/>
          <w:sz w:val="26"/>
          <w:szCs w:val="26"/>
        </w:rPr>
        <w:t>No. L-2008-2069115</w:t>
      </w:r>
      <w:r w:rsidR="004A305C" w:rsidRPr="00273105">
        <w:rPr>
          <w:color w:val="000000"/>
          <w:sz w:val="26"/>
          <w:szCs w:val="26"/>
        </w:rPr>
        <w:t xml:space="preserve">, </w:t>
      </w:r>
      <w:r w:rsidR="0084759D" w:rsidRPr="00273105">
        <w:rPr>
          <w:color w:val="000000"/>
          <w:sz w:val="26"/>
          <w:szCs w:val="26"/>
        </w:rPr>
        <w:t xml:space="preserve">Licensing Requirements </w:t>
      </w:r>
      <w:r w:rsidR="00824AE8" w:rsidRPr="00273105">
        <w:rPr>
          <w:color w:val="000000"/>
          <w:sz w:val="26"/>
          <w:szCs w:val="26"/>
        </w:rPr>
        <w:t>f</w:t>
      </w:r>
      <w:r w:rsidR="0084759D" w:rsidRPr="00273105">
        <w:rPr>
          <w:color w:val="000000"/>
          <w:sz w:val="26"/>
          <w:szCs w:val="26"/>
        </w:rPr>
        <w:t>or Natural Gas Suppliers</w:t>
      </w:r>
      <w:r w:rsidR="004A305C" w:rsidRPr="00273105">
        <w:rPr>
          <w:color w:val="000000"/>
          <w:sz w:val="26"/>
          <w:szCs w:val="26"/>
        </w:rPr>
        <w:t>.</w:t>
      </w:r>
    </w:p>
    <w:p w:rsidR="007D2AAA" w:rsidRPr="00273105" w:rsidRDefault="007512B1" w:rsidP="006B4897">
      <w:pPr>
        <w:spacing w:line="360" w:lineRule="auto"/>
        <w:rPr>
          <w:color w:val="000000"/>
          <w:sz w:val="26"/>
          <w:szCs w:val="26"/>
        </w:rPr>
      </w:pPr>
      <w:r>
        <w:rPr>
          <w:color w:val="000000"/>
          <w:sz w:val="26"/>
          <w:szCs w:val="26"/>
        </w:rPr>
        <w:br w:type="page"/>
      </w:r>
      <w:r w:rsidR="006B4897">
        <w:rPr>
          <w:color w:val="000000"/>
          <w:sz w:val="26"/>
          <w:szCs w:val="26"/>
        </w:rPr>
        <w:lastRenderedPageBreak/>
        <w:tab/>
      </w:r>
      <w:r w:rsidR="006B4897">
        <w:rPr>
          <w:color w:val="000000"/>
          <w:sz w:val="26"/>
          <w:szCs w:val="26"/>
        </w:rPr>
        <w:tab/>
      </w:r>
      <w:r w:rsidR="007D2AAA">
        <w:rPr>
          <w:color w:val="000000"/>
          <w:sz w:val="26"/>
          <w:szCs w:val="26"/>
        </w:rPr>
        <w:t>9.</w:t>
      </w:r>
      <w:r w:rsidR="007D2AAA">
        <w:rPr>
          <w:color w:val="000000"/>
          <w:sz w:val="26"/>
          <w:szCs w:val="26"/>
        </w:rPr>
        <w:tab/>
        <w:t xml:space="preserve">That within 30 days after the </w:t>
      </w:r>
      <w:r w:rsidR="009F1EC8">
        <w:rPr>
          <w:color w:val="000000"/>
          <w:sz w:val="26"/>
          <w:szCs w:val="26"/>
        </w:rPr>
        <w:t xml:space="preserve">date </w:t>
      </w:r>
      <w:r w:rsidR="001C2C1D">
        <w:rPr>
          <w:color w:val="000000"/>
          <w:sz w:val="26"/>
          <w:szCs w:val="26"/>
        </w:rPr>
        <w:t>that</w:t>
      </w:r>
      <w:r w:rsidR="00025FF4">
        <w:rPr>
          <w:color w:val="000000"/>
          <w:sz w:val="26"/>
          <w:szCs w:val="26"/>
        </w:rPr>
        <w:t xml:space="preserve"> </w:t>
      </w:r>
      <w:r w:rsidR="009F1EC8">
        <w:rPr>
          <w:color w:val="000000"/>
          <w:sz w:val="26"/>
          <w:szCs w:val="26"/>
        </w:rPr>
        <w:t>the</w:t>
      </w:r>
      <w:r w:rsidR="00BE4CC5">
        <w:rPr>
          <w:color w:val="000000"/>
          <w:sz w:val="26"/>
          <w:szCs w:val="26"/>
        </w:rPr>
        <w:t>se</w:t>
      </w:r>
      <w:r w:rsidR="009F1EC8">
        <w:rPr>
          <w:color w:val="000000"/>
          <w:sz w:val="26"/>
          <w:szCs w:val="26"/>
        </w:rPr>
        <w:t xml:space="preserve"> regulations become effective</w:t>
      </w:r>
      <w:r w:rsidR="007D2AAA">
        <w:rPr>
          <w:color w:val="000000"/>
          <w:sz w:val="26"/>
          <w:szCs w:val="26"/>
        </w:rPr>
        <w:t xml:space="preserve">, all natural gas distribution companies </w:t>
      </w:r>
      <w:r w:rsidR="0038008B">
        <w:rPr>
          <w:color w:val="000000"/>
          <w:sz w:val="26"/>
          <w:szCs w:val="26"/>
        </w:rPr>
        <w:t xml:space="preserve">shall </w:t>
      </w:r>
      <w:r w:rsidR="007D2AAA">
        <w:rPr>
          <w:color w:val="000000"/>
          <w:sz w:val="26"/>
          <w:szCs w:val="26"/>
        </w:rPr>
        <w:t xml:space="preserve">file </w:t>
      </w:r>
      <w:r w:rsidR="009F1EC8">
        <w:rPr>
          <w:color w:val="000000"/>
          <w:sz w:val="26"/>
          <w:szCs w:val="26"/>
        </w:rPr>
        <w:t>with the Commission’s Secretary revised</w:t>
      </w:r>
      <w:r w:rsidR="007D2AAA">
        <w:rPr>
          <w:color w:val="000000"/>
          <w:sz w:val="26"/>
          <w:szCs w:val="26"/>
        </w:rPr>
        <w:t xml:space="preserve"> tariff</w:t>
      </w:r>
      <w:r w:rsidR="00BE4CC5">
        <w:rPr>
          <w:color w:val="000000"/>
          <w:sz w:val="26"/>
          <w:szCs w:val="26"/>
        </w:rPr>
        <w:t xml:space="preserve"> pages</w:t>
      </w:r>
      <w:r w:rsidR="007D2AAA">
        <w:rPr>
          <w:color w:val="000000"/>
          <w:sz w:val="26"/>
          <w:szCs w:val="26"/>
        </w:rPr>
        <w:t xml:space="preserve"> </w:t>
      </w:r>
      <w:r w:rsidR="0038008B">
        <w:rPr>
          <w:color w:val="000000"/>
          <w:sz w:val="26"/>
          <w:szCs w:val="26"/>
        </w:rPr>
        <w:t xml:space="preserve">consistent with </w:t>
      </w:r>
      <w:r w:rsidR="001C2C1D">
        <w:rPr>
          <w:color w:val="000000"/>
          <w:sz w:val="26"/>
          <w:szCs w:val="26"/>
        </w:rPr>
        <w:t xml:space="preserve">this order and </w:t>
      </w:r>
      <w:r w:rsidR="009F1EC8">
        <w:rPr>
          <w:color w:val="000000"/>
          <w:sz w:val="26"/>
          <w:szCs w:val="26"/>
        </w:rPr>
        <w:t>the</w:t>
      </w:r>
      <w:r w:rsidR="00BE4CC5">
        <w:rPr>
          <w:color w:val="000000"/>
          <w:sz w:val="26"/>
          <w:szCs w:val="26"/>
        </w:rPr>
        <w:t>se</w:t>
      </w:r>
      <w:r w:rsidR="009F1EC8">
        <w:rPr>
          <w:color w:val="000000"/>
          <w:sz w:val="26"/>
          <w:szCs w:val="26"/>
        </w:rPr>
        <w:t xml:space="preserve"> </w:t>
      </w:r>
      <w:r w:rsidR="00044E8A">
        <w:rPr>
          <w:color w:val="000000"/>
          <w:sz w:val="26"/>
          <w:szCs w:val="26"/>
        </w:rPr>
        <w:t>regulations.</w:t>
      </w:r>
      <w:r w:rsidR="0019767B">
        <w:rPr>
          <w:color w:val="000000"/>
          <w:sz w:val="26"/>
          <w:szCs w:val="26"/>
        </w:rPr>
        <w:t xml:space="preserve">  </w:t>
      </w:r>
      <w:r w:rsidR="001C2C1D">
        <w:rPr>
          <w:color w:val="000000"/>
          <w:sz w:val="26"/>
          <w:szCs w:val="26"/>
        </w:rPr>
        <w:t>The natural gas distribution company shall serve a copy of this compliance filing on all natural gas suppliers licensed in its service territory</w:t>
      </w:r>
      <w:r w:rsidR="00AB2B5D">
        <w:rPr>
          <w:color w:val="000000"/>
          <w:sz w:val="26"/>
          <w:szCs w:val="26"/>
        </w:rPr>
        <w:t>.</w:t>
      </w:r>
    </w:p>
    <w:p w:rsidR="004A305C" w:rsidRPr="00273105" w:rsidRDefault="004A305C" w:rsidP="00770178">
      <w:pPr>
        <w:pStyle w:val="p17"/>
        <w:spacing w:line="360" w:lineRule="auto"/>
        <w:ind w:left="5057"/>
        <w:rPr>
          <w:bCs/>
          <w:color w:val="000000"/>
          <w:sz w:val="26"/>
          <w:szCs w:val="26"/>
        </w:rPr>
      </w:pPr>
    </w:p>
    <w:p w:rsidR="004A305C" w:rsidRPr="00273105" w:rsidRDefault="00C42BCF" w:rsidP="00770178">
      <w:pPr>
        <w:pStyle w:val="p17"/>
        <w:spacing w:line="360" w:lineRule="auto"/>
        <w:ind w:left="5057"/>
        <w:rPr>
          <w:bCs/>
          <w:color w:val="000000"/>
          <w:sz w:val="26"/>
          <w:szCs w:val="26"/>
        </w:rPr>
      </w:pPr>
      <w:r>
        <w:rPr>
          <w:bCs/>
          <w:noProof/>
          <w:color w:val="000000"/>
          <w:sz w:val="26"/>
          <w:szCs w:val="26"/>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137795</wp:posOffset>
            </wp:positionV>
            <wp:extent cx="2198370" cy="84137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8370" cy="841375"/>
                    </a:xfrm>
                    <a:prstGeom prst="rect">
                      <a:avLst/>
                    </a:prstGeom>
                    <a:noFill/>
                    <a:ln w="9525">
                      <a:noFill/>
                      <a:miter lim="800000"/>
                      <a:headEnd/>
                      <a:tailEnd/>
                    </a:ln>
                  </pic:spPr>
                </pic:pic>
              </a:graphicData>
            </a:graphic>
          </wp:anchor>
        </w:drawing>
      </w:r>
      <w:r w:rsidR="004A305C" w:rsidRPr="00273105">
        <w:rPr>
          <w:bCs/>
          <w:color w:val="000000"/>
          <w:sz w:val="26"/>
          <w:szCs w:val="26"/>
        </w:rPr>
        <w:t>BY THE COMMISSION,</w:t>
      </w:r>
    </w:p>
    <w:p w:rsidR="004A305C" w:rsidRDefault="004A305C" w:rsidP="00770178">
      <w:pPr>
        <w:tabs>
          <w:tab w:val="left" w:pos="5057"/>
        </w:tabs>
        <w:spacing w:line="360" w:lineRule="auto"/>
        <w:rPr>
          <w:bCs/>
          <w:color w:val="000000"/>
          <w:sz w:val="26"/>
          <w:szCs w:val="26"/>
        </w:rPr>
      </w:pPr>
    </w:p>
    <w:p w:rsidR="00C80636" w:rsidRPr="00273105" w:rsidRDefault="00C80636" w:rsidP="00770178">
      <w:pPr>
        <w:tabs>
          <w:tab w:val="left" w:pos="5057"/>
        </w:tabs>
        <w:spacing w:line="360" w:lineRule="auto"/>
        <w:rPr>
          <w:bCs/>
          <w:color w:val="000000"/>
          <w:sz w:val="26"/>
          <w:szCs w:val="26"/>
        </w:rPr>
      </w:pPr>
    </w:p>
    <w:p w:rsidR="004A305C" w:rsidRPr="00273105" w:rsidRDefault="00991F3F" w:rsidP="00C94367">
      <w:pPr>
        <w:pStyle w:val="p18"/>
        <w:ind w:left="5069"/>
        <w:rPr>
          <w:color w:val="000000"/>
          <w:sz w:val="26"/>
          <w:szCs w:val="26"/>
        </w:rPr>
      </w:pPr>
      <w:r w:rsidRPr="00273105">
        <w:rPr>
          <w:color w:val="000000"/>
          <w:sz w:val="26"/>
          <w:szCs w:val="26"/>
        </w:rPr>
        <w:t>Rosemary Chiavetta</w:t>
      </w:r>
    </w:p>
    <w:p w:rsidR="004A305C" w:rsidRPr="00273105" w:rsidRDefault="004A305C" w:rsidP="00C94367">
      <w:pPr>
        <w:pStyle w:val="p18"/>
        <w:ind w:left="5069"/>
        <w:rPr>
          <w:color w:val="000000"/>
          <w:sz w:val="26"/>
          <w:szCs w:val="26"/>
        </w:rPr>
      </w:pPr>
      <w:r w:rsidRPr="00273105">
        <w:rPr>
          <w:color w:val="000000"/>
          <w:sz w:val="26"/>
          <w:szCs w:val="26"/>
        </w:rPr>
        <w:t>Secretary</w:t>
      </w:r>
    </w:p>
    <w:p w:rsidR="004A305C" w:rsidRPr="00273105" w:rsidRDefault="004A305C" w:rsidP="00770178">
      <w:pPr>
        <w:pStyle w:val="p14"/>
        <w:spacing w:line="360" w:lineRule="auto"/>
        <w:rPr>
          <w:color w:val="000000"/>
          <w:sz w:val="26"/>
          <w:szCs w:val="26"/>
        </w:rPr>
      </w:pPr>
    </w:p>
    <w:p w:rsidR="004A305C" w:rsidRPr="00273105" w:rsidRDefault="004A305C" w:rsidP="00770178">
      <w:pPr>
        <w:pStyle w:val="p14"/>
        <w:spacing w:line="360" w:lineRule="auto"/>
        <w:rPr>
          <w:color w:val="000000"/>
          <w:sz w:val="26"/>
          <w:szCs w:val="26"/>
        </w:rPr>
      </w:pPr>
    </w:p>
    <w:p w:rsidR="004A305C" w:rsidRPr="00273105" w:rsidRDefault="004A305C" w:rsidP="00770178">
      <w:pPr>
        <w:pStyle w:val="p14"/>
        <w:spacing w:line="360" w:lineRule="auto"/>
        <w:rPr>
          <w:color w:val="000000"/>
          <w:sz w:val="26"/>
          <w:szCs w:val="26"/>
        </w:rPr>
      </w:pPr>
      <w:r w:rsidRPr="00273105">
        <w:rPr>
          <w:color w:val="000000"/>
          <w:sz w:val="26"/>
          <w:szCs w:val="26"/>
        </w:rPr>
        <w:t>(SEAL)</w:t>
      </w:r>
    </w:p>
    <w:p w:rsidR="004A305C" w:rsidRPr="00273105" w:rsidRDefault="004A305C" w:rsidP="00770178">
      <w:pPr>
        <w:pStyle w:val="p14"/>
        <w:spacing w:line="360" w:lineRule="auto"/>
        <w:rPr>
          <w:color w:val="000000"/>
          <w:sz w:val="26"/>
          <w:szCs w:val="26"/>
        </w:rPr>
      </w:pPr>
    </w:p>
    <w:p w:rsidR="004A305C" w:rsidRPr="00273105" w:rsidRDefault="004A305C" w:rsidP="00770178">
      <w:pPr>
        <w:pStyle w:val="p14"/>
        <w:spacing w:line="360" w:lineRule="auto"/>
        <w:rPr>
          <w:color w:val="000000"/>
          <w:sz w:val="26"/>
          <w:szCs w:val="26"/>
        </w:rPr>
      </w:pPr>
      <w:r w:rsidRPr="00273105">
        <w:rPr>
          <w:color w:val="000000"/>
          <w:sz w:val="26"/>
          <w:szCs w:val="26"/>
        </w:rPr>
        <w:t xml:space="preserve">ORDER ADOPTED:  </w:t>
      </w:r>
      <w:r w:rsidR="007512B1">
        <w:rPr>
          <w:color w:val="000000"/>
          <w:sz w:val="26"/>
          <w:szCs w:val="26"/>
        </w:rPr>
        <w:t>June 16, 2010</w:t>
      </w:r>
    </w:p>
    <w:p w:rsidR="004A305C" w:rsidRPr="00273105" w:rsidRDefault="004A305C" w:rsidP="00770178">
      <w:pPr>
        <w:pStyle w:val="p14"/>
        <w:spacing w:line="360" w:lineRule="auto"/>
        <w:rPr>
          <w:color w:val="000000"/>
          <w:sz w:val="26"/>
          <w:szCs w:val="26"/>
        </w:rPr>
      </w:pPr>
    </w:p>
    <w:p w:rsidR="0018312D" w:rsidRPr="00273105" w:rsidRDefault="004A305C" w:rsidP="00770178">
      <w:pPr>
        <w:spacing w:line="360" w:lineRule="auto"/>
        <w:rPr>
          <w:b/>
          <w:color w:val="000000"/>
          <w:sz w:val="26"/>
          <w:szCs w:val="26"/>
        </w:rPr>
      </w:pPr>
      <w:r w:rsidRPr="00273105">
        <w:rPr>
          <w:color w:val="000000"/>
          <w:sz w:val="26"/>
          <w:szCs w:val="26"/>
        </w:rPr>
        <w:t>ORDER ENTERED:</w:t>
      </w:r>
      <w:r w:rsidR="00C42BCF">
        <w:rPr>
          <w:color w:val="000000"/>
          <w:sz w:val="26"/>
          <w:szCs w:val="26"/>
        </w:rPr>
        <w:t xml:space="preserve">  </w:t>
      </w:r>
      <w:r w:rsidR="00C42BCF" w:rsidRPr="00C42BCF">
        <w:rPr>
          <w:b/>
          <w:color w:val="000000"/>
          <w:sz w:val="26"/>
          <w:szCs w:val="26"/>
        </w:rPr>
        <w:t>June 17, 2010</w:t>
      </w:r>
    </w:p>
    <w:p w:rsidR="0018312D" w:rsidRPr="00273105" w:rsidRDefault="0018312D" w:rsidP="004A305C">
      <w:pPr>
        <w:spacing w:line="360" w:lineRule="auto"/>
        <w:rPr>
          <w:b/>
          <w:color w:val="000000"/>
          <w:sz w:val="26"/>
          <w:szCs w:val="26"/>
        </w:rPr>
      </w:pPr>
    </w:p>
    <w:p w:rsidR="0018312D" w:rsidRPr="00273105" w:rsidRDefault="0018312D" w:rsidP="0018312D">
      <w:pPr>
        <w:spacing w:line="360" w:lineRule="auto"/>
        <w:jc w:val="center"/>
        <w:rPr>
          <w:b/>
          <w:color w:val="000000"/>
          <w:sz w:val="26"/>
          <w:szCs w:val="26"/>
        </w:rPr>
        <w:sectPr w:rsidR="0018312D" w:rsidRPr="00273105" w:rsidSect="00A155F6">
          <w:footerReference w:type="default" r:id="rId9"/>
          <w:pgSz w:w="12240" w:h="15840"/>
          <w:pgMar w:top="1440" w:right="1440" w:bottom="1440" w:left="1440" w:header="720" w:footer="720" w:gutter="0"/>
          <w:cols w:space="720"/>
          <w:docGrid w:linePitch="360"/>
        </w:sectPr>
      </w:pPr>
    </w:p>
    <w:p w:rsidR="00F22013" w:rsidRPr="00273105" w:rsidRDefault="00F22013" w:rsidP="00F22013">
      <w:pPr>
        <w:jc w:val="center"/>
        <w:rPr>
          <w:rFonts w:eastAsia="Calibri"/>
          <w:b/>
          <w:color w:val="000000"/>
          <w:sz w:val="26"/>
          <w:szCs w:val="26"/>
        </w:rPr>
      </w:pPr>
      <w:r w:rsidRPr="00273105">
        <w:rPr>
          <w:rFonts w:eastAsia="Calibri"/>
          <w:b/>
          <w:color w:val="000000"/>
          <w:sz w:val="26"/>
          <w:szCs w:val="26"/>
        </w:rPr>
        <w:lastRenderedPageBreak/>
        <w:t>ANNEX A</w:t>
      </w:r>
    </w:p>
    <w:p w:rsidR="00F22013" w:rsidRPr="00273105" w:rsidRDefault="00F22013" w:rsidP="00F22013">
      <w:pPr>
        <w:jc w:val="center"/>
        <w:rPr>
          <w:rFonts w:eastAsia="Calibri"/>
          <w:b/>
          <w:color w:val="000000"/>
          <w:sz w:val="26"/>
          <w:szCs w:val="26"/>
        </w:rPr>
      </w:pPr>
    </w:p>
    <w:p w:rsidR="00F22013" w:rsidRPr="00273105" w:rsidRDefault="00F22013" w:rsidP="00F22013">
      <w:pPr>
        <w:jc w:val="center"/>
        <w:rPr>
          <w:rFonts w:eastAsia="Calibri"/>
          <w:b/>
          <w:color w:val="000000"/>
          <w:sz w:val="26"/>
          <w:szCs w:val="26"/>
        </w:rPr>
      </w:pPr>
    </w:p>
    <w:p w:rsidR="00F22013" w:rsidRPr="00273105" w:rsidRDefault="00F22013" w:rsidP="00F22013">
      <w:pPr>
        <w:jc w:val="center"/>
        <w:rPr>
          <w:rFonts w:eastAsia="Calibri"/>
          <w:b/>
          <w:color w:val="000000"/>
          <w:sz w:val="26"/>
          <w:szCs w:val="26"/>
        </w:rPr>
      </w:pPr>
      <w:r w:rsidRPr="00273105">
        <w:rPr>
          <w:rFonts w:eastAsia="Calibri"/>
          <w:b/>
          <w:color w:val="000000"/>
          <w:sz w:val="26"/>
          <w:szCs w:val="26"/>
        </w:rPr>
        <w:t>PART I. PUBLIC UTILITY COMMISSION</w:t>
      </w:r>
    </w:p>
    <w:p w:rsidR="00F22013" w:rsidRPr="00273105" w:rsidRDefault="00F22013" w:rsidP="00F22013">
      <w:pPr>
        <w:jc w:val="center"/>
        <w:rPr>
          <w:rFonts w:eastAsia="Calibri"/>
          <w:b/>
          <w:color w:val="000000"/>
          <w:sz w:val="26"/>
          <w:szCs w:val="26"/>
        </w:rPr>
      </w:pPr>
      <w:r w:rsidRPr="00273105">
        <w:rPr>
          <w:rFonts w:eastAsia="Calibri"/>
          <w:b/>
          <w:color w:val="000000"/>
          <w:sz w:val="26"/>
          <w:szCs w:val="26"/>
        </w:rPr>
        <w:t>Subpart C. FIXED SERVICE UTILITIES</w:t>
      </w:r>
    </w:p>
    <w:p w:rsidR="00F22013" w:rsidRPr="00273105" w:rsidRDefault="00F22013" w:rsidP="00F22013">
      <w:pPr>
        <w:jc w:val="center"/>
        <w:rPr>
          <w:rFonts w:eastAsia="Calibri"/>
          <w:b/>
          <w:color w:val="000000"/>
          <w:sz w:val="26"/>
          <w:szCs w:val="26"/>
        </w:rPr>
      </w:pPr>
      <w:r w:rsidRPr="00273105">
        <w:rPr>
          <w:rFonts w:eastAsia="Calibri"/>
          <w:b/>
          <w:color w:val="000000"/>
          <w:sz w:val="26"/>
          <w:szCs w:val="26"/>
        </w:rPr>
        <w:t>CHAPTER 62. NATURAL GAS SUPPLY CUSTOMER CHOICE</w:t>
      </w:r>
    </w:p>
    <w:p w:rsidR="00F22013" w:rsidRPr="00273105" w:rsidRDefault="00F22013" w:rsidP="00F22013">
      <w:pPr>
        <w:pStyle w:val="Heading1"/>
        <w:jc w:val="center"/>
        <w:rPr>
          <w:rFonts w:ascii="Times New Roman" w:hAnsi="Times New Roman" w:cs="Times New Roman"/>
          <w:color w:val="000000"/>
          <w:sz w:val="26"/>
          <w:szCs w:val="26"/>
        </w:rPr>
      </w:pPr>
      <w:r w:rsidRPr="00273105">
        <w:rPr>
          <w:rFonts w:ascii="Times New Roman" w:hAnsi="Times New Roman" w:cs="Times New Roman"/>
          <w:color w:val="000000"/>
          <w:sz w:val="26"/>
          <w:szCs w:val="26"/>
        </w:rPr>
        <w:t>Subchapter D. LICENSING REQUIREMENTS FOR NATURAL GAS SUPPLIERS</w:t>
      </w:r>
    </w:p>
    <w:p w:rsidR="00F22013" w:rsidRPr="00273105" w:rsidRDefault="00F22013" w:rsidP="00F22013">
      <w:pPr>
        <w:rPr>
          <w:rFonts w:eastAsia="Calibri"/>
          <w:color w:val="000000"/>
          <w:sz w:val="26"/>
          <w:szCs w:val="26"/>
        </w:rPr>
      </w:pPr>
    </w:p>
    <w:p w:rsidR="00F22013" w:rsidRPr="00273105" w:rsidRDefault="00F22013" w:rsidP="00F22013">
      <w:pPr>
        <w:jc w:val="center"/>
        <w:rPr>
          <w:rFonts w:eastAsia="Calibri"/>
          <w:b/>
          <w:color w:val="000000"/>
          <w:sz w:val="26"/>
          <w:szCs w:val="26"/>
        </w:rPr>
      </w:pPr>
      <w:r w:rsidRPr="00273105">
        <w:rPr>
          <w:rFonts w:eastAsia="Calibri"/>
          <w:b/>
          <w:color w:val="000000"/>
          <w:sz w:val="26"/>
          <w:szCs w:val="26"/>
        </w:rPr>
        <w:br/>
        <w:t>*</w:t>
      </w:r>
      <w:r w:rsidRPr="00273105">
        <w:rPr>
          <w:rFonts w:eastAsia="Calibri"/>
          <w:b/>
          <w:color w:val="000000"/>
          <w:sz w:val="26"/>
          <w:szCs w:val="26"/>
        </w:rPr>
        <w:tab/>
        <w:t>*</w:t>
      </w:r>
      <w:r w:rsidRPr="00273105">
        <w:rPr>
          <w:rFonts w:eastAsia="Calibri"/>
          <w:b/>
          <w:color w:val="000000"/>
          <w:sz w:val="26"/>
          <w:szCs w:val="26"/>
        </w:rPr>
        <w:tab/>
        <w:t>*</w:t>
      </w:r>
      <w:r w:rsidRPr="00273105">
        <w:rPr>
          <w:rFonts w:eastAsia="Calibri"/>
          <w:b/>
          <w:color w:val="000000"/>
          <w:sz w:val="26"/>
          <w:szCs w:val="26"/>
        </w:rPr>
        <w:tab/>
        <w:t>*</w:t>
      </w:r>
    </w:p>
    <w:p w:rsidR="00F22013" w:rsidRPr="00273105" w:rsidRDefault="00F22013" w:rsidP="00F22013">
      <w:pPr>
        <w:spacing w:line="360" w:lineRule="auto"/>
        <w:jc w:val="center"/>
        <w:rPr>
          <w:color w:val="000000"/>
          <w:sz w:val="26"/>
          <w:szCs w:val="26"/>
        </w:rPr>
      </w:pPr>
    </w:p>
    <w:p w:rsidR="00C059DA" w:rsidRPr="00273105" w:rsidRDefault="00C059DA" w:rsidP="00C059DA">
      <w:pPr>
        <w:rPr>
          <w:rFonts w:eastAsia="Calibri"/>
          <w:color w:val="000000"/>
          <w:sz w:val="26"/>
          <w:szCs w:val="26"/>
        </w:rPr>
      </w:pPr>
    </w:p>
    <w:p w:rsidR="00C059DA" w:rsidRPr="00273105" w:rsidRDefault="00C059DA" w:rsidP="00C059DA">
      <w:pPr>
        <w:spacing w:before="100" w:beforeAutospacing="1" w:after="100" w:afterAutospacing="1"/>
        <w:outlineLvl w:val="3"/>
        <w:rPr>
          <w:rFonts w:eastAsia="Calibri"/>
          <w:b/>
          <w:bCs/>
          <w:color w:val="000000"/>
          <w:sz w:val="26"/>
          <w:szCs w:val="26"/>
        </w:rPr>
      </w:pPr>
      <w:r w:rsidRPr="00273105">
        <w:rPr>
          <w:rFonts w:eastAsia="Calibri"/>
          <w:b/>
          <w:bCs/>
          <w:color w:val="000000"/>
          <w:sz w:val="26"/>
          <w:szCs w:val="26"/>
        </w:rPr>
        <w:t>§ 62.111. Bonds or other security.</w:t>
      </w: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(a)  A license will not be issued or remain in force until the licensee furnishes proof of</w:t>
      </w:r>
      <w:r w:rsidR="00947565">
        <w:rPr>
          <w:rFonts w:eastAsia="Calibri"/>
          <w:color w:val="000000"/>
          <w:sz w:val="26"/>
          <w:szCs w:val="26"/>
        </w:rPr>
        <w:t xml:space="preserve"> a bond or other security. See s</w:t>
      </w:r>
      <w:r w:rsidRPr="00273105">
        <w:rPr>
          <w:rFonts w:eastAsia="Calibri"/>
          <w:color w:val="000000"/>
          <w:sz w:val="26"/>
          <w:szCs w:val="26"/>
        </w:rPr>
        <w:t xml:space="preserve">ection 2208(c)(1)(i) of the act (relating to requirements for natural gas suppliers). </w:t>
      </w:r>
    </w:p>
    <w:p w:rsidR="00C059DA" w:rsidRPr="00273105" w:rsidRDefault="00C059DA"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(b)  The purpose of the security requirement is to ensure the licensee’s</w:t>
      </w:r>
      <w:r w:rsidR="00947565">
        <w:rPr>
          <w:rFonts w:eastAsia="Calibri"/>
          <w:color w:val="000000"/>
          <w:sz w:val="26"/>
          <w:szCs w:val="26"/>
        </w:rPr>
        <w:t xml:space="preserve"> financial responsibility. See s</w:t>
      </w:r>
      <w:r w:rsidRPr="00273105">
        <w:rPr>
          <w:rFonts w:eastAsia="Calibri"/>
          <w:color w:val="000000"/>
          <w:sz w:val="26"/>
          <w:szCs w:val="26"/>
        </w:rPr>
        <w:t>ection 2208(c)(1)(i) of the act.</w:t>
      </w:r>
    </w:p>
    <w:p w:rsidR="00C059DA" w:rsidRPr="00273105" w:rsidRDefault="00C059DA"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(c)  The amount and the form of the security, if not mutually agreed upon by the NGDC and the licensee, shall be based on the criteria established in this section. The criteria shall be applied in a nondiscriminatory manner. The Commission will periodically review the established criteria upon petition by any party. </w:t>
      </w:r>
      <w:r w:rsidR="00EB6A10">
        <w:rPr>
          <w:rFonts w:eastAsia="Calibri"/>
          <w:color w:val="000000"/>
          <w:sz w:val="26"/>
          <w:szCs w:val="26"/>
        </w:rPr>
        <w:t xml:space="preserve"> </w:t>
      </w:r>
      <w:r w:rsidR="00CE7DF4">
        <w:rPr>
          <w:rFonts w:eastAsia="Calibri"/>
          <w:color w:val="000000"/>
          <w:sz w:val="26"/>
          <w:szCs w:val="26"/>
        </w:rPr>
        <w:t xml:space="preserve">THE NGDC SHALL INCLUDE </w:t>
      </w:r>
      <w:r w:rsidR="00494CA3">
        <w:rPr>
          <w:rFonts w:eastAsia="Calibri"/>
          <w:color w:val="000000"/>
          <w:sz w:val="26"/>
          <w:szCs w:val="26"/>
        </w:rPr>
        <w:t>THE</w:t>
      </w:r>
      <w:r w:rsidR="00CE7DF4">
        <w:rPr>
          <w:rFonts w:eastAsia="Calibri"/>
          <w:color w:val="000000"/>
          <w:sz w:val="26"/>
          <w:szCs w:val="26"/>
        </w:rPr>
        <w:t xml:space="preserve"> RULES, FORMULAS AND STANDARDS IT USES TO CALCULATE AND ADJUST SECURITY AMOUNTS IN </w:t>
      </w:r>
      <w:r w:rsidR="004A3C91">
        <w:rPr>
          <w:rFonts w:eastAsia="Calibri"/>
          <w:color w:val="000000"/>
          <w:sz w:val="26"/>
          <w:szCs w:val="26"/>
        </w:rPr>
        <w:t>A</w:t>
      </w:r>
      <w:r w:rsidR="00CE7DF4">
        <w:rPr>
          <w:rFonts w:eastAsia="Calibri"/>
          <w:color w:val="000000"/>
          <w:sz w:val="26"/>
          <w:szCs w:val="26"/>
        </w:rPr>
        <w:t xml:space="preserve"> TARIFF.</w:t>
      </w:r>
    </w:p>
    <w:p w:rsidR="004B77CE" w:rsidRPr="00273105" w:rsidRDefault="004B77CE"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(1)  The amount of the security should be reasonably related to the financial exposure imposed on the NGDC or supplier of last resort resulting from the default or bankruptcy of the licensee.  </w:t>
      </w:r>
      <w:r w:rsidR="00FE25DD" w:rsidRPr="00FE25DD">
        <w:rPr>
          <w:rFonts w:eastAsia="Calibri"/>
          <w:strike/>
          <w:color w:val="000000"/>
          <w:sz w:val="26"/>
          <w:szCs w:val="26"/>
        </w:rPr>
        <w:t>At a minimum,</w:t>
      </w:r>
      <w:r w:rsidR="00FE25DD" w:rsidRPr="000D6BD1">
        <w:rPr>
          <w:rFonts w:eastAsia="Calibri"/>
          <w:color w:val="000000"/>
          <w:sz w:val="26"/>
          <w:szCs w:val="26"/>
        </w:rPr>
        <w:t xml:space="preserve"> the</w:t>
      </w:r>
      <w:r w:rsidR="004249FC">
        <w:rPr>
          <w:rFonts w:eastAsia="Calibri"/>
          <w:color w:val="000000"/>
          <w:sz w:val="26"/>
          <w:szCs w:val="26"/>
        </w:rPr>
        <w:t xml:space="preserve"> </w:t>
      </w:r>
      <w:r w:rsidRPr="00273105">
        <w:rPr>
          <w:rFonts w:eastAsia="Calibri"/>
          <w:color w:val="000000"/>
          <w:sz w:val="26"/>
          <w:szCs w:val="26"/>
        </w:rPr>
        <w:t xml:space="preserve">amount of security should </w:t>
      </w:r>
      <w:r w:rsidR="00FE25DD" w:rsidRPr="00FE25DD">
        <w:rPr>
          <w:rFonts w:eastAsia="Calibri"/>
          <w:strike/>
          <w:color w:val="000000"/>
          <w:sz w:val="26"/>
          <w:szCs w:val="26"/>
        </w:rPr>
        <w:t>materially</w:t>
      </w:r>
      <w:r w:rsidRPr="00273105">
        <w:rPr>
          <w:rFonts w:eastAsia="Calibri"/>
          <w:color w:val="000000"/>
          <w:sz w:val="26"/>
          <w:szCs w:val="26"/>
        </w:rPr>
        <w:t xml:space="preserve"> reflect the </w:t>
      </w:r>
      <w:r w:rsidRPr="00273105">
        <w:rPr>
          <w:rFonts w:eastAsia="Calibri"/>
          <w:color w:val="000000"/>
          <w:sz w:val="26"/>
          <w:szCs w:val="26"/>
        </w:rPr>
        <w:lastRenderedPageBreak/>
        <w:t xml:space="preserve">difference between the cost of gas incurred </w:t>
      </w:r>
      <w:r w:rsidR="00FE25DD" w:rsidRPr="00FE25DD">
        <w:rPr>
          <w:rFonts w:eastAsia="Calibri"/>
          <w:strike/>
          <w:color w:val="000000"/>
          <w:sz w:val="26"/>
          <w:szCs w:val="26"/>
        </w:rPr>
        <w:t>and the supplier’s charges, if any, incurred</w:t>
      </w:r>
      <w:r w:rsidRPr="00273105">
        <w:rPr>
          <w:rFonts w:eastAsia="Calibri"/>
          <w:color w:val="000000"/>
          <w:sz w:val="26"/>
          <w:szCs w:val="26"/>
        </w:rPr>
        <w:t xml:space="preserve"> by the NGDC or supplier </w:t>
      </w:r>
      <w:r w:rsidR="00CB0868" w:rsidRPr="00E64EE8">
        <w:rPr>
          <w:rFonts w:eastAsia="Calibri"/>
          <w:color w:val="000000"/>
          <w:sz w:val="26"/>
          <w:szCs w:val="26"/>
        </w:rPr>
        <w:t xml:space="preserve">of last resort </w:t>
      </w:r>
      <w:r w:rsidR="00E64EE8">
        <w:rPr>
          <w:rFonts w:eastAsia="Calibri"/>
          <w:color w:val="000000"/>
          <w:sz w:val="26"/>
          <w:szCs w:val="26"/>
        </w:rPr>
        <w:t xml:space="preserve">AND THE AMOUNT PAYABLE BY THE LICENSEE’S RETAIL GAS CUSTOMERS </w:t>
      </w:r>
      <w:r w:rsidR="00CB0868" w:rsidRPr="00E64EE8">
        <w:rPr>
          <w:rFonts w:eastAsia="Calibri"/>
          <w:color w:val="000000"/>
          <w:sz w:val="26"/>
          <w:szCs w:val="26"/>
        </w:rPr>
        <w:t>during one billing cycle</w:t>
      </w:r>
      <w:r w:rsidRPr="00E64EE8">
        <w:rPr>
          <w:rFonts w:eastAsia="Calibri"/>
          <w:color w:val="000000"/>
          <w:sz w:val="26"/>
          <w:szCs w:val="26"/>
        </w:rPr>
        <w:t>.</w:t>
      </w:r>
      <w:r w:rsidRPr="00273105">
        <w:rPr>
          <w:rFonts w:eastAsia="Calibri"/>
          <w:color w:val="000000"/>
          <w:sz w:val="26"/>
          <w:szCs w:val="26"/>
        </w:rPr>
        <w:t xml:space="preserve"> </w:t>
      </w:r>
    </w:p>
    <w:p w:rsidR="000702F4" w:rsidRPr="00273105" w:rsidRDefault="000702F4"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(i)   The amount of security established under this paragraph may be modified based on one or more of the following: </w:t>
      </w:r>
    </w:p>
    <w:p w:rsidR="006A7B88" w:rsidRPr="00273105" w:rsidRDefault="006A7B88" w:rsidP="00C059DA">
      <w:pPr>
        <w:spacing w:line="360" w:lineRule="auto"/>
        <w:rPr>
          <w:rFonts w:eastAsia="Calibri"/>
          <w:color w:val="000000"/>
          <w:sz w:val="26"/>
          <w:szCs w:val="26"/>
        </w:rPr>
      </w:pPr>
    </w:p>
    <w:p w:rsidR="00C059DA" w:rsidRPr="00273105" w:rsidRDefault="008056FA" w:rsidP="00C059DA">
      <w:pPr>
        <w:spacing w:line="360" w:lineRule="auto"/>
        <w:rPr>
          <w:rFonts w:eastAsia="Calibri"/>
          <w:color w:val="000000"/>
          <w:sz w:val="26"/>
          <w:szCs w:val="26"/>
        </w:rPr>
      </w:pPr>
      <w:r w:rsidRPr="00273105">
        <w:rPr>
          <w:rFonts w:eastAsia="Calibri"/>
          <w:color w:val="000000"/>
          <w:sz w:val="26"/>
          <w:szCs w:val="26"/>
        </w:rPr>
        <w:t xml:space="preserve">       (A)   The licensee’s past operating history ON THE NGDC’S SYSTEM AND ON OTHER NGDC SYSTEMS, including the length of time that the licensee operated on the </w:t>
      </w:r>
      <w:r w:rsidRPr="00273105">
        <w:rPr>
          <w:rFonts w:eastAsia="Calibri"/>
          <w:strike/>
          <w:color w:val="000000"/>
          <w:sz w:val="26"/>
          <w:szCs w:val="26"/>
        </w:rPr>
        <w:t>NGDC’s</w:t>
      </w:r>
      <w:r w:rsidRPr="00273105">
        <w:rPr>
          <w:rFonts w:eastAsia="Calibri"/>
          <w:color w:val="000000"/>
          <w:sz w:val="26"/>
          <w:szCs w:val="26"/>
        </w:rPr>
        <w:t xml:space="preserve"> NG</w:t>
      </w:r>
      <w:r w:rsidR="009149FF" w:rsidRPr="00273105">
        <w:rPr>
          <w:rFonts w:eastAsia="Calibri"/>
          <w:color w:val="000000"/>
          <w:sz w:val="26"/>
          <w:szCs w:val="26"/>
        </w:rPr>
        <w:t xml:space="preserve">DC </w:t>
      </w:r>
      <w:r w:rsidR="00C059DA" w:rsidRPr="00273105">
        <w:rPr>
          <w:rFonts w:eastAsia="Calibri"/>
          <w:color w:val="000000"/>
          <w:sz w:val="26"/>
          <w:szCs w:val="26"/>
        </w:rPr>
        <w:t xml:space="preserve">system, the number of customers served and past supply reliability problems. </w:t>
      </w:r>
    </w:p>
    <w:p w:rsidR="006A7B88" w:rsidRPr="00273105" w:rsidRDefault="006A7B88" w:rsidP="00C059DA">
      <w:pPr>
        <w:spacing w:line="360" w:lineRule="auto"/>
        <w:rPr>
          <w:rFonts w:eastAsia="Calibri"/>
          <w:color w:val="000000"/>
          <w:sz w:val="26"/>
          <w:szCs w:val="26"/>
        </w:rPr>
      </w:pPr>
    </w:p>
    <w:p w:rsidR="00C059DA" w:rsidRPr="00273105" w:rsidRDefault="008056FA" w:rsidP="00C059DA">
      <w:pPr>
        <w:spacing w:line="360" w:lineRule="auto"/>
        <w:rPr>
          <w:rFonts w:eastAsia="Calibri"/>
          <w:color w:val="000000"/>
          <w:sz w:val="26"/>
          <w:szCs w:val="26"/>
        </w:rPr>
      </w:pPr>
      <w:r w:rsidRPr="00273105">
        <w:rPr>
          <w:rFonts w:eastAsia="Calibri"/>
          <w:color w:val="000000"/>
          <w:sz w:val="26"/>
          <w:szCs w:val="26"/>
        </w:rPr>
        <w:t xml:space="preserve">       (B)   The licensee’s credit reports. </w:t>
      </w:r>
    </w:p>
    <w:p w:rsidR="006A7B88" w:rsidRPr="00273105" w:rsidRDefault="006A7B88" w:rsidP="00C059DA">
      <w:pPr>
        <w:spacing w:line="360" w:lineRule="auto"/>
        <w:rPr>
          <w:rFonts w:eastAsia="Calibri"/>
          <w:color w:val="000000"/>
          <w:sz w:val="26"/>
          <w:szCs w:val="26"/>
        </w:rPr>
      </w:pPr>
    </w:p>
    <w:p w:rsidR="0058470E" w:rsidRPr="00273105" w:rsidRDefault="008056FA" w:rsidP="00C059DA">
      <w:pPr>
        <w:spacing w:line="360" w:lineRule="auto"/>
        <w:rPr>
          <w:rFonts w:eastAsia="Calibri"/>
          <w:color w:val="000000"/>
          <w:sz w:val="26"/>
          <w:szCs w:val="26"/>
        </w:rPr>
      </w:pPr>
      <w:r w:rsidRPr="00273105">
        <w:rPr>
          <w:rFonts w:eastAsia="Calibri"/>
          <w:color w:val="000000"/>
          <w:sz w:val="26"/>
          <w:szCs w:val="26"/>
        </w:rPr>
        <w:t>       (C)   The number and class of customers being served.</w:t>
      </w:r>
    </w:p>
    <w:p w:rsidR="006A7B88" w:rsidRPr="00273105" w:rsidRDefault="006A7B88" w:rsidP="00C059DA">
      <w:pPr>
        <w:spacing w:line="360" w:lineRule="auto"/>
        <w:rPr>
          <w:rFonts w:eastAsia="Calibri"/>
          <w:b/>
          <w:color w:val="000000"/>
          <w:sz w:val="26"/>
          <w:szCs w:val="26"/>
        </w:rPr>
      </w:pPr>
    </w:p>
    <w:p w:rsidR="006A7B88" w:rsidRPr="00273105" w:rsidRDefault="008056FA" w:rsidP="00C059DA">
      <w:pPr>
        <w:spacing w:line="360" w:lineRule="auto"/>
        <w:rPr>
          <w:rFonts w:eastAsia="Calibri"/>
          <w:color w:val="000000"/>
          <w:sz w:val="26"/>
          <w:szCs w:val="26"/>
        </w:rPr>
      </w:pPr>
      <w:r w:rsidRPr="00273105">
        <w:rPr>
          <w:rFonts w:eastAsia="Calibri"/>
          <w:color w:val="000000"/>
          <w:sz w:val="26"/>
          <w:szCs w:val="26"/>
        </w:rPr>
        <w:t>       (D)   Information that materially</w:t>
      </w:r>
      <w:r w:rsidR="007163A6" w:rsidRPr="00273105">
        <w:rPr>
          <w:rFonts w:eastAsia="Calibri"/>
          <w:color w:val="000000"/>
          <w:sz w:val="26"/>
          <w:szCs w:val="26"/>
        </w:rPr>
        <w:t xml:space="preserve"> </w:t>
      </w:r>
      <w:r w:rsidRPr="00273105">
        <w:rPr>
          <w:rFonts w:eastAsia="Calibri"/>
          <w:color w:val="000000"/>
          <w:sz w:val="26"/>
          <w:szCs w:val="26"/>
        </w:rPr>
        <w:t>affects a licensee’s creditworthiness</w:t>
      </w:r>
      <w:r w:rsidR="007163A6" w:rsidRPr="00273105">
        <w:rPr>
          <w:rFonts w:eastAsia="Calibri"/>
          <w:color w:val="000000"/>
          <w:sz w:val="26"/>
          <w:szCs w:val="26"/>
        </w:rPr>
        <w:t xml:space="preserve"> AS SET FORTH IN § 62.111(C)(II)(A)-(E)</w:t>
      </w:r>
      <w:r w:rsidRPr="00273105">
        <w:rPr>
          <w:rFonts w:eastAsia="Calibri"/>
          <w:color w:val="000000"/>
          <w:sz w:val="26"/>
          <w:szCs w:val="26"/>
        </w:rPr>
        <w:t>.</w:t>
      </w: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w:t>
      </w:r>
    </w:p>
    <w:p w:rsidR="004B77CE"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(E)   The licensee’s demonstrated capability to provide the volume of natural gas necessary for its customers’ needs. </w:t>
      </w:r>
    </w:p>
    <w:p w:rsidR="006A7B88" w:rsidRPr="00273105" w:rsidRDefault="006A7B88"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(ii)   The amount of the security may be adjusted</w:t>
      </w:r>
      <w:r w:rsidR="007A723C">
        <w:rPr>
          <w:rFonts w:eastAsia="Calibri"/>
          <w:color w:val="000000"/>
          <w:sz w:val="26"/>
          <w:szCs w:val="26"/>
        </w:rPr>
        <w:t xml:space="preserve"> AS CIRCUMSTANCES WARRANT</w:t>
      </w:r>
      <w:r w:rsidRPr="00273105">
        <w:rPr>
          <w:rFonts w:eastAsia="Calibri"/>
          <w:strike/>
          <w:color w:val="000000"/>
          <w:sz w:val="26"/>
          <w:szCs w:val="26"/>
        </w:rPr>
        <w:t>, but not more often than every 6 months</w:t>
      </w:r>
      <w:r w:rsidRPr="00273105">
        <w:rPr>
          <w:rFonts w:eastAsia="Calibri"/>
          <w:color w:val="000000"/>
          <w:sz w:val="26"/>
          <w:szCs w:val="26"/>
        </w:rPr>
        <w:t xml:space="preserve">.  The adjustments </w:t>
      </w:r>
      <w:r w:rsidR="009149FF" w:rsidRPr="00273105">
        <w:rPr>
          <w:rFonts w:eastAsia="Calibri"/>
          <w:color w:val="000000"/>
          <w:sz w:val="26"/>
          <w:szCs w:val="26"/>
        </w:rPr>
        <w:t>[</w:t>
      </w:r>
      <w:r w:rsidRPr="00273105">
        <w:rPr>
          <w:rFonts w:eastAsia="Calibri"/>
          <w:color w:val="000000"/>
          <w:sz w:val="26"/>
          <w:szCs w:val="26"/>
        </w:rPr>
        <w:t>shall</w:t>
      </w:r>
      <w:r w:rsidR="009149FF" w:rsidRPr="00273105">
        <w:rPr>
          <w:rFonts w:eastAsia="Calibri"/>
          <w:color w:val="000000"/>
          <w:sz w:val="26"/>
          <w:szCs w:val="26"/>
        </w:rPr>
        <w:t xml:space="preserve">] </w:t>
      </w:r>
      <w:r w:rsidR="009149FF" w:rsidRPr="00273105">
        <w:rPr>
          <w:rFonts w:eastAsia="Calibri"/>
          <w:color w:val="000000"/>
          <w:sz w:val="26"/>
          <w:szCs w:val="26"/>
          <w:u w:val="single"/>
        </w:rPr>
        <w:t>must</w:t>
      </w:r>
      <w:r w:rsidRPr="00273105">
        <w:rPr>
          <w:rFonts w:eastAsia="Calibri"/>
          <w:color w:val="000000"/>
          <w:sz w:val="26"/>
          <w:szCs w:val="26"/>
        </w:rPr>
        <w:t xml:space="preserve"> be reasonable and based on one or more of the following criteria: </w:t>
      </w:r>
    </w:p>
    <w:p w:rsidR="006A7B88" w:rsidRPr="00273105" w:rsidRDefault="006A7B88"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(A)  </w:t>
      </w:r>
      <w:r w:rsidRPr="00273105">
        <w:rPr>
          <w:rFonts w:eastAsia="Calibri"/>
          <w:strike/>
          <w:color w:val="000000"/>
          <w:sz w:val="26"/>
          <w:szCs w:val="26"/>
          <w:u w:val="single"/>
        </w:rPr>
        <w:t>Significant changes</w:t>
      </w:r>
      <w:r w:rsidRPr="00273105">
        <w:rPr>
          <w:rFonts w:eastAsia="Calibri"/>
          <w:color w:val="000000"/>
          <w:sz w:val="26"/>
          <w:szCs w:val="26"/>
        </w:rPr>
        <w:t xml:space="preserve"> A CHANGE [Changes] in a licensee’s recent operating history on the </w:t>
      </w:r>
      <w:r w:rsidRPr="00273105">
        <w:rPr>
          <w:rFonts w:eastAsia="Calibri"/>
          <w:strike/>
          <w:color w:val="000000"/>
          <w:sz w:val="26"/>
          <w:szCs w:val="26"/>
        </w:rPr>
        <w:t>NGDC’s</w:t>
      </w:r>
      <w:r w:rsidRPr="00273105">
        <w:rPr>
          <w:rFonts w:eastAsia="Calibri"/>
          <w:color w:val="000000"/>
          <w:sz w:val="26"/>
          <w:szCs w:val="26"/>
        </w:rPr>
        <w:t xml:space="preserve"> </w:t>
      </w:r>
      <w:r w:rsidR="009149FF" w:rsidRPr="00273105">
        <w:rPr>
          <w:rFonts w:eastAsia="Calibri"/>
          <w:color w:val="000000"/>
          <w:sz w:val="26"/>
          <w:szCs w:val="26"/>
        </w:rPr>
        <w:t xml:space="preserve">NGDC </w:t>
      </w:r>
      <w:r w:rsidRPr="00273105">
        <w:rPr>
          <w:rFonts w:eastAsia="Calibri"/>
          <w:color w:val="000000"/>
          <w:sz w:val="26"/>
          <w:szCs w:val="26"/>
        </w:rPr>
        <w:t>system</w:t>
      </w:r>
      <w:r w:rsidR="00C92022" w:rsidRPr="00273105">
        <w:rPr>
          <w:rFonts w:eastAsia="Calibri"/>
          <w:color w:val="000000"/>
          <w:sz w:val="26"/>
          <w:szCs w:val="26"/>
        </w:rPr>
        <w:t xml:space="preserve"> OR ON OTHER NGDC SYSTEMS</w:t>
      </w:r>
      <w:r w:rsidRPr="00273105">
        <w:rPr>
          <w:rFonts w:eastAsia="Calibri"/>
          <w:color w:val="000000"/>
          <w:sz w:val="26"/>
          <w:szCs w:val="26"/>
        </w:rPr>
        <w:t xml:space="preserve"> </w:t>
      </w:r>
      <w:r w:rsidRPr="00273105">
        <w:rPr>
          <w:rFonts w:eastAsia="Calibri"/>
          <w:color w:val="000000"/>
          <w:sz w:val="26"/>
          <w:szCs w:val="26"/>
          <w:u w:val="single"/>
        </w:rPr>
        <w:t xml:space="preserve">that </w:t>
      </w:r>
      <w:r w:rsidRPr="00273105">
        <w:rPr>
          <w:rFonts w:eastAsia="Calibri"/>
          <w:strike/>
          <w:color w:val="000000"/>
          <w:sz w:val="26"/>
          <w:szCs w:val="26"/>
          <w:u w:val="single"/>
        </w:rPr>
        <w:t>have</w:t>
      </w:r>
      <w:r w:rsidRPr="00273105">
        <w:rPr>
          <w:rFonts w:eastAsia="Calibri"/>
          <w:color w:val="000000"/>
          <w:sz w:val="26"/>
          <w:szCs w:val="26"/>
          <w:u w:val="single"/>
        </w:rPr>
        <w:t xml:space="preserve"> </w:t>
      </w:r>
      <w:r w:rsidRPr="00273105">
        <w:rPr>
          <w:rFonts w:eastAsia="Calibri"/>
          <w:color w:val="000000"/>
          <w:sz w:val="26"/>
          <w:szCs w:val="26"/>
        </w:rPr>
        <w:t xml:space="preserve">HAS </w:t>
      </w:r>
      <w:r w:rsidRPr="00273105">
        <w:rPr>
          <w:rFonts w:eastAsia="Calibri"/>
          <w:color w:val="000000"/>
          <w:sz w:val="26"/>
          <w:szCs w:val="26"/>
          <w:u w:val="single"/>
        </w:rPr>
        <w:t>materially affected NGDC system operation or reliability</w:t>
      </w:r>
      <w:r w:rsidRPr="002201DA">
        <w:rPr>
          <w:rFonts w:eastAsia="Calibri"/>
          <w:color w:val="000000"/>
          <w:sz w:val="26"/>
          <w:szCs w:val="26"/>
          <w:u w:val="single"/>
        </w:rPr>
        <w:t>.</w:t>
      </w:r>
      <w:r w:rsidRPr="00273105">
        <w:rPr>
          <w:rFonts w:eastAsia="Calibri"/>
          <w:color w:val="000000"/>
          <w:sz w:val="26"/>
          <w:szCs w:val="26"/>
        </w:rPr>
        <w:t xml:space="preserve"> </w:t>
      </w:r>
      <w:r w:rsidR="00E961CE" w:rsidRPr="00273105">
        <w:rPr>
          <w:rFonts w:eastAsia="Calibri"/>
          <w:color w:val="000000"/>
          <w:sz w:val="26"/>
          <w:szCs w:val="26"/>
        </w:rPr>
        <w:t xml:space="preserve">A CHANGE THAT </w:t>
      </w:r>
      <w:r w:rsidR="00E961CE" w:rsidRPr="00273105">
        <w:rPr>
          <w:rFonts w:eastAsia="Calibri"/>
          <w:color w:val="000000"/>
          <w:sz w:val="26"/>
          <w:szCs w:val="26"/>
        </w:rPr>
        <w:lastRenderedPageBreak/>
        <w:t>COULD MATERIALLY AFFECT NGDC SYSTEM OPERATION OR RELIABILITY MAY OCCUR WHEN A SUPPLIER FAILS TO DELIVER NATURAL GAS SUPPLY SUFFICIENT TO MEET ITS CUSTOMERS’ NEEDS, OR FAILS TO COMPLY WITH NGDC</w:t>
      </w:r>
      <w:r w:rsidR="00FB3783" w:rsidRPr="00273105">
        <w:rPr>
          <w:rFonts w:eastAsia="Calibri"/>
          <w:color w:val="000000"/>
          <w:sz w:val="26"/>
          <w:szCs w:val="26"/>
        </w:rPr>
        <w:t xml:space="preserve"> OPERATIONAL FLOW ORDERS AS DEFINED AT 52 PA. CODE § 69.11 (RELATING TO DEFINITIONS).</w:t>
      </w:r>
    </w:p>
    <w:p w:rsidR="006A7B88" w:rsidRPr="00273105" w:rsidRDefault="006A7B88" w:rsidP="00C059DA">
      <w:pPr>
        <w:spacing w:line="360" w:lineRule="auto"/>
        <w:rPr>
          <w:rFonts w:eastAsia="Calibri"/>
          <w:color w:val="000000"/>
          <w:sz w:val="26"/>
          <w:szCs w:val="26"/>
        </w:rPr>
      </w:pPr>
    </w:p>
    <w:p w:rsidR="00B81D44" w:rsidRPr="00273105" w:rsidRDefault="00C059DA" w:rsidP="00BE1564">
      <w:pPr>
        <w:pStyle w:val="style3"/>
        <w:spacing w:before="0" w:beforeAutospacing="0" w:after="0" w:afterAutospacing="0" w:line="360" w:lineRule="auto"/>
        <w:rPr>
          <w:rFonts w:ascii="Times New Roman" w:eastAsia="Calibri" w:hAnsi="Times New Roman"/>
          <w:color w:val="000000"/>
          <w:sz w:val="26"/>
          <w:szCs w:val="26"/>
        </w:rPr>
      </w:pPr>
      <w:r w:rsidRPr="00273105">
        <w:rPr>
          <w:rFonts w:ascii="Times New Roman" w:eastAsia="Calibri" w:hAnsi="Times New Roman"/>
          <w:color w:val="000000"/>
          <w:sz w:val="26"/>
          <w:szCs w:val="26"/>
        </w:rPr>
        <w:t>       (B)   </w:t>
      </w:r>
      <w:r w:rsidRPr="00273105">
        <w:rPr>
          <w:rFonts w:ascii="Times New Roman" w:eastAsia="Calibri" w:hAnsi="Times New Roman"/>
          <w:color w:val="000000"/>
          <w:sz w:val="26"/>
          <w:szCs w:val="26"/>
          <w:u w:val="single"/>
        </w:rPr>
        <w:t>A change</w:t>
      </w:r>
      <w:r w:rsidRPr="00273105">
        <w:rPr>
          <w:rFonts w:ascii="Times New Roman" w:eastAsia="Calibri" w:hAnsi="Times New Roman"/>
          <w:color w:val="000000"/>
          <w:sz w:val="26"/>
          <w:szCs w:val="26"/>
        </w:rPr>
        <w:t xml:space="preserve"> [Changes] in a licensee’s credit reports </w:t>
      </w:r>
      <w:r w:rsidRPr="00273105">
        <w:rPr>
          <w:rFonts w:ascii="Times New Roman" w:eastAsia="Calibri" w:hAnsi="Times New Roman"/>
          <w:color w:val="000000"/>
          <w:sz w:val="26"/>
          <w:szCs w:val="26"/>
          <w:u w:val="single"/>
        </w:rPr>
        <w:t>that materially affects a licensee’s creditworthiness</w:t>
      </w:r>
      <w:r w:rsidRPr="00273105">
        <w:rPr>
          <w:rFonts w:ascii="Times New Roman" w:eastAsia="Calibri" w:hAnsi="Times New Roman"/>
          <w:color w:val="000000"/>
          <w:sz w:val="26"/>
          <w:szCs w:val="26"/>
        </w:rPr>
        <w:t xml:space="preserve">. </w:t>
      </w:r>
      <w:r w:rsidRPr="00273105" w:rsidDel="00F10C32">
        <w:rPr>
          <w:rFonts w:ascii="Times New Roman" w:eastAsia="Calibri" w:hAnsi="Times New Roman"/>
          <w:color w:val="000000"/>
          <w:sz w:val="26"/>
          <w:szCs w:val="26"/>
        </w:rPr>
        <w:t xml:space="preserve">A LICENSEE’S CREDITWORTHINESS </w:t>
      </w:r>
      <w:r w:rsidR="00F41CCE" w:rsidRPr="00273105">
        <w:rPr>
          <w:rFonts w:ascii="Times New Roman" w:eastAsia="Calibri" w:hAnsi="Times New Roman"/>
          <w:color w:val="000000"/>
          <w:sz w:val="26"/>
          <w:szCs w:val="26"/>
        </w:rPr>
        <w:t>COULD</w:t>
      </w:r>
      <w:r w:rsidRPr="00273105" w:rsidDel="00F10C32">
        <w:rPr>
          <w:rFonts w:ascii="Times New Roman" w:eastAsia="Calibri" w:hAnsi="Times New Roman"/>
          <w:color w:val="000000"/>
          <w:sz w:val="26"/>
          <w:szCs w:val="26"/>
        </w:rPr>
        <w:t xml:space="preserve"> BE MATERIALLY AFFECTED WHEN TWO OF THE FOLLOWING CREDIT RATING COMPANIES CHANGE THE LICENSEE’S CREDIT RATING</w:t>
      </w:r>
      <w:r w:rsidR="00740822" w:rsidRPr="00273105">
        <w:rPr>
          <w:rFonts w:ascii="Times New Roman" w:eastAsia="Calibri" w:hAnsi="Times New Roman"/>
          <w:color w:val="000000"/>
          <w:sz w:val="26"/>
          <w:szCs w:val="26"/>
        </w:rPr>
        <w:t xml:space="preserve">: </w:t>
      </w:r>
    </w:p>
    <w:p w:rsidR="00B81D44" w:rsidRPr="00273105" w:rsidRDefault="00B81D44" w:rsidP="00BE1564">
      <w:pPr>
        <w:pStyle w:val="style3"/>
        <w:spacing w:before="0" w:beforeAutospacing="0" w:after="0" w:afterAutospacing="0" w:line="360" w:lineRule="auto"/>
        <w:rPr>
          <w:rFonts w:ascii="Times New Roman" w:eastAsia="Calibri" w:hAnsi="Times New Roman"/>
          <w:color w:val="000000"/>
          <w:sz w:val="26"/>
          <w:szCs w:val="26"/>
        </w:rPr>
      </w:pPr>
      <w:r w:rsidRPr="00273105">
        <w:rPr>
          <w:rFonts w:ascii="Times New Roman" w:eastAsia="Calibri" w:hAnsi="Times New Roman"/>
          <w:color w:val="000000"/>
          <w:sz w:val="26"/>
          <w:szCs w:val="26"/>
        </w:rPr>
        <w:tab/>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I</w:t>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 xml:space="preserve">  </w:t>
      </w:r>
      <w:r w:rsidR="00740822" w:rsidRPr="00273105">
        <w:rPr>
          <w:rFonts w:ascii="Times New Roman" w:eastAsia="Calibri" w:hAnsi="Times New Roman"/>
          <w:color w:val="000000"/>
          <w:sz w:val="26"/>
          <w:szCs w:val="26"/>
        </w:rPr>
        <w:t>DUN &amp; BRADSTREET</w:t>
      </w:r>
      <w:r w:rsidRPr="00273105">
        <w:rPr>
          <w:rFonts w:ascii="Times New Roman" w:eastAsia="Calibri" w:hAnsi="Times New Roman"/>
          <w:color w:val="000000"/>
          <w:sz w:val="26"/>
          <w:szCs w:val="26"/>
        </w:rPr>
        <w:t>.</w:t>
      </w:r>
      <w:r w:rsidR="005A0330" w:rsidRPr="00273105">
        <w:rPr>
          <w:rFonts w:ascii="Times New Roman" w:eastAsia="Calibri" w:hAnsi="Times New Roman"/>
          <w:color w:val="000000"/>
          <w:sz w:val="26"/>
          <w:szCs w:val="26"/>
        </w:rPr>
        <w:t xml:space="preserve"> </w:t>
      </w:r>
    </w:p>
    <w:p w:rsidR="00B81D44" w:rsidRPr="00273105" w:rsidRDefault="00B81D44" w:rsidP="00BE1564">
      <w:pPr>
        <w:pStyle w:val="style3"/>
        <w:spacing w:before="0" w:beforeAutospacing="0" w:after="0" w:afterAutospacing="0" w:line="360" w:lineRule="auto"/>
        <w:rPr>
          <w:rFonts w:ascii="Times New Roman" w:eastAsia="Calibri" w:hAnsi="Times New Roman"/>
          <w:color w:val="000000"/>
          <w:sz w:val="26"/>
          <w:szCs w:val="26"/>
        </w:rPr>
      </w:pPr>
      <w:r w:rsidRPr="00273105">
        <w:rPr>
          <w:rFonts w:ascii="Times New Roman" w:eastAsia="Calibri" w:hAnsi="Times New Roman"/>
          <w:color w:val="000000"/>
          <w:sz w:val="26"/>
          <w:szCs w:val="26"/>
        </w:rPr>
        <w:tab/>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II</w:t>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 xml:space="preserve">  </w:t>
      </w:r>
      <w:r w:rsidR="005A0330" w:rsidRPr="00273105">
        <w:rPr>
          <w:rFonts w:ascii="Times New Roman" w:eastAsia="Calibri" w:hAnsi="Times New Roman"/>
          <w:color w:val="000000"/>
          <w:sz w:val="26"/>
          <w:szCs w:val="26"/>
        </w:rPr>
        <w:t>STANDARD &amp; POORS</w:t>
      </w:r>
      <w:r w:rsidR="001E7427" w:rsidRPr="00273105">
        <w:rPr>
          <w:rFonts w:ascii="Times New Roman" w:eastAsia="Calibri" w:hAnsi="Times New Roman"/>
          <w:color w:val="000000"/>
          <w:sz w:val="26"/>
          <w:szCs w:val="26"/>
        </w:rPr>
        <w:t xml:space="preserve"> RATING SERVICES INC.</w:t>
      </w:r>
      <w:r w:rsidR="005A0330" w:rsidRPr="00273105">
        <w:rPr>
          <w:rFonts w:ascii="Times New Roman" w:eastAsia="Calibri" w:hAnsi="Times New Roman"/>
          <w:color w:val="000000"/>
          <w:sz w:val="26"/>
          <w:szCs w:val="26"/>
        </w:rPr>
        <w:t xml:space="preserve"> </w:t>
      </w:r>
    </w:p>
    <w:p w:rsidR="00B81D44" w:rsidRPr="00273105" w:rsidRDefault="00B81D44" w:rsidP="00BE1564">
      <w:pPr>
        <w:pStyle w:val="style3"/>
        <w:spacing w:before="0" w:beforeAutospacing="0" w:after="0" w:afterAutospacing="0" w:line="360" w:lineRule="auto"/>
        <w:rPr>
          <w:rFonts w:ascii="Times New Roman" w:eastAsia="Calibri" w:hAnsi="Times New Roman"/>
          <w:color w:val="000000"/>
          <w:sz w:val="26"/>
          <w:szCs w:val="26"/>
        </w:rPr>
      </w:pPr>
      <w:r w:rsidRPr="00273105">
        <w:rPr>
          <w:rFonts w:ascii="Times New Roman" w:eastAsia="Calibri" w:hAnsi="Times New Roman"/>
          <w:color w:val="000000"/>
          <w:sz w:val="26"/>
          <w:szCs w:val="26"/>
        </w:rPr>
        <w:tab/>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III</w:t>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 xml:space="preserve">  </w:t>
      </w:r>
      <w:r w:rsidR="00023BB2" w:rsidRPr="00273105">
        <w:rPr>
          <w:rFonts w:ascii="Times New Roman" w:eastAsia="Calibri" w:hAnsi="Times New Roman"/>
          <w:color w:val="000000"/>
          <w:sz w:val="26"/>
          <w:szCs w:val="26"/>
        </w:rPr>
        <w:t>TRANSUNION</w:t>
      </w:r>
      <w:r w:rsidR="004056E9" w:rsidRPr="00273105">
        <w:rPr>
          <w:rFonts w:ascii="Times New Roman" w:eastAsia="Calibri" w:hAnsi="Times New Roman"/>
          <w:color w:val="000000"/>
          <w:sz w:val="26"/>
          <w:szCs w:val="26"/>
        </w:rPr>
        <w:t xml:space="preserve"> LLC</w:t>
      </w:r>
      <w:r w:rsidRPr="00273105">
        <w:rPr>
          <w:rFonts w:ascii="Times New Roman" w:eastAsia="Calibri" w:hAnsi="Times New Roman"/>
          <w:color w:val="000000"/>
          <w:sz w:val="26"/>
          <w:szCs w:val="26"/>
        </w:rPr>
        <w:t>.</w:t>
      </w:r>
      <w:r w:rsidR="00023BB2" w:rsidRPr="00273105">
        <w:rPr>
          <w:rFonts w:ascii="Times New Roman" w:eastAsia="Calibri" w:hAnsi="Times New Roman"/>
          <w:color w:val="000000"/>
          <w:sz w:val="26"/>
          <w:szCs w:val="26"/>
        </w:rPr>
        <w:t xml:space="preserve"> </w:t>
      </w:r>
    </w:p>
    <w:p w:rsidR="00B81D44" w:rsidRPr="00273105" w:rsidRDefault="00B81D44" w:rsidP="00BE1564">
      <w:pPr>
        <w:pStyle w:val="style3"/>
        <w:spacing w:before="0" w:beforeAutospacing="0" w:after="0" w:afterAutospacing="0" w:line="360" w:lineRule="auto"/>
        <w:rPr>
          <w:rFonts w:ascii="Times New Roman" w:eastAsia="Calibri" w:hAnsi="Times New Roman"/>
          <w:color w:val="000000"/>
          <w:sz w:val="26"/>
          <w:szCs w:val="26"/>
        </w:rPr>
      </w:pPr>
      <w:r w:rsidRPr="00273105">
        <w:rPr>
          <w:rFonts w:ascii="Times New Roman" w:eastAsia="Calibri" w:hAnsi="Times New Roman"/>
          <w:color w:val="000000"/>
          <w:sz w:val="26"/>
          <w:szCs w:val="26"/>
        </w:rPr>
        <w:tab/>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IV</w:t>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 xml:space="preserve">  </w:t>
      </w:r>
      <w:r w:rsidR="005A0330" w:rsidRPr="00273105">
        <w:rPr>
          <w:rFonts w:ascii="Times New Roman" w:eastAsia="Calibri" w:hAnsi="Times New Roman"/>
          <w:color w:val="000000"/>
          <w:sz w:val="26"/>
          <w:szCs w:val="26"/>
        </w:rPr>
        <w:t>EQUIFAX</w:t>
      </w:r>
      <w:r w:rsidR="004056E9" w:rsidRPr="00273105">
        <w:rPr>
          <w:rFonts w:ascii="Times New Roman" w:eastAsia="Calibri" w:hAnsi="Times New Roman"/>
          <w:color w:val="000000"/>
          <w:sz w:val="26"/>
          <w:szCs w:val="26"/>
        </w:rPr>
        <w:t xml:space="preserve"> INC.</w:t>
      </w:r>
    </w:p>
    <w:p w:rsidR="00C059DA" w:rsidRPr="00273105" w:rsidRDefault="00B81D44" w:rsidP="00BE1564">
      <w:pPr>
        <w:pStyle w:val="style3"/>
        <w:spacing w:before="0" w:beforeAutospacing="0" w:after="0" w:afterAutospacing="0" w:line="360" w:lineRule="auto"/>
        <w:rPr>
          <w:rFonts w:ascii="Times New Roman" w:eastAsia="Calibri" w:hAnsi="Times New Roman"/>
          <w:color w:val="000000"/>
          <w:sz w:val="26"/>
          <w:szCs w:val="26"/>
        </w:rPr>
      </w:pPr>
      <w:r w:rsidRPr="00273105">
        <w:rPr>
          <w:rFonts w:ascii="Times New Roman" w:eastAsia="Calibri" w:hAnsi="Times New Roman"/>
          <w:color w:val="000000"/>
          <w:sz w:val="26"/>
          <w:szCs w:val="26"/>
        </w:rPr>
        <w:tab/>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V</w:t>
      </w:r>
      <w:r w:rsidR="006B6EAB">
        <w:rPr>
          <w:rFonts w:ascii="Times New Roman" w:eastAsia="Calibri" w:hAnsi="Times New Roman"/>
          <w:color w:val="000000"/>
          <w:sz w:val="26"/>
          <w:szCs w:val="26"/>
        </w:rPr>
        <w:t>)</w:t>
      </w:r>
      <w:r w:rsidRPr="00273105">
        <w:rPr>
          <w:rFonts w:ascii="Times New Roman" w:eastAsia="Calibri" w:hAnsi="Times New Roman"/>
          <w:color w:val="000000"/>
          <w:sz w:val="26"/>
          <w:szCs w:val="26"/>
        </w:rPr>
        <w:t xml:space="preserve">  </w:t>
      </w:r>
      <w:r w:rsidR="005A0330" w:rsidRPr="00273105">
        <w:rPr>
          <w:rFonts w:ascii="Times New Roman" w:eastAsia="Calibri" w:hAnsi="Times New Roman"/>
          <w:color w:val="000000"/>
          <w:sz w:val="26"/>
          <w:szCs w:val="26"/>
        </w:rPr>
        <w:t>EXPERIAN</w:t>
      </w:r>
      <w:r w:rsidR="004056E9" w:rsidRPr="00273105">
        <w:rPr>
          <w:rFonts w:ascii="Times New Roman" w:eastAsia="Calibri" w:hAnsi="Times New Roman"/>
          <w:color w:val="000000"/>
          <w:sz w:val="26"/>
          <w:szCs w:val="26"/>
        </w:rPr>
        <w:t xml:space="preserve"> INFORMATION SOLUTIONS, INC</w:t>
      </w:r>
      <w:r w:rsidR="005A0330" w:rsidRPr="00273105">
        <w:rPr>
          <w:rFonts w:ascii="Times New Roman" w:eastAsia="Calibri" w:hAnsi="Times New Roman"/>
          <w:color w:val="000000"/>
          <w:sz w:val="26"/>
          <w:szCs w:val="26"/>
        </w:rPr>
        <w:t xml:space="preserve">. </w:t>
      </w:r>
    </w:p>
    <w:p w:rsidR="006A7B88" w:rsidRPr="00273105" w:rsidRDefault="006A7B88" w:rsidP="00BE1564">
      <w:pPr>
        <w:pStyle w:val="style3"/>
        <w:spacing w:before="0" w:beforeAutospacing="0" w:after="0" w:afterAutospacing="0" w:line="360" w:lineRule="auto"/>
        <w:rPr>
          <w:rFonts w:ascii="Times New Roman" w:hAnsi="Times New Roman"/>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(C)   </w:t>
      </w:r>
      <w:r w:rsidRPr="00273105">
        <w:rPr>
          <w:rFonts w:eastAsia="Calibri"/>
          <w:color w:val="000000"/>
          <w:sz w:val="26"/>
          <w:szCs w:val="26"/>
          <w:u w:val="single"/>
        </w:rPr>
        <w:t>A significant change</w:t>
      </w:r>
      <w:r w:rsidRPr="00273105">
        <w:rPr>
          <w:rFonts w:eastAsia="Calibri"/>
          <w:color w:val="000000"/>
          <w:sz w:val="26"/>
          <w:szCs w:val="26"/>
        </w:rPr>
        <w:t xml:space="preserve"> [Changes] in the number </w:t>
      </w:r>
      <w:r w:rsidRPr="00273105">
        <w:rPr>
          <w:rFonts w:eastAsia="Calibri"/>
          <w:color w:val="000000"/>
          <w:sz w:val="26"/>
          <w:szCs w:val="26"/>
          <w:u w:val="single"/>
        </w:rPr>
        <w:t>of customers</w:t>
      </w:r>
      <w:r w:rsidR="0096314B" w:rsidRPr="00273105">
        <w:rPr>
          <w:rFonts w:eastAsia="Calibri"/>
          <w:color w:val="000000"/>
          <w:sz w:val="26"/>
          <w:szCs w:val="26"/>
          <w:u w:val="single"/>
        </w:rPr>
        <w:t xml:space="preserve"> </w:t>
      </w:r>
      <w:r w:rsidR="0096314B" w:rsidRPr="00273105">
        <w:rPr>
          <w:rFonts w:eastAsia="Calibri"/>
          <w:color w:val="000000"/>
          <w:sz w:val="26"/>
          <w:szCs w:val="26"/>
        </w:rPr>
        <w:t>SERVED</w:t>
      </w:r>
      <w:r w:rsidR="002201DA">
        <w:rPr>
          <w:rFonts w:eastAsia="Calibri"/>
          <w:color w:val="000000"/>
          <w:sz w:val="26"/>
          <w:szCs w:val="26"/>
        </w:rPr>
        <w:t>,</w:t>
      </w:r>
      <w:r w:rsidRPr="00273105">
        <w:rPr>
          <w:rFonts w:eastAsia="Calibri"/>
          <w:color w:val="000000"/>
          <w:sz w:val="26"/>
          <w:szCs w:val="26"/>
        </w:rPr>
        <w:t xml:space="preserve"> IN THE VOLUME OF GAS DELIVERED, </w:t>
      </w:r>
      <w:r w:rsidR="00630203" w:rsidRPr="00273105">
        <w:rPr>
          <w:rFonts w:eastAsia="Calibri"/>
          <w:color w:val="000000"/>
          <w:sz w:val="26"/>
          <w:szCs w:val="26"/>
        </w:rPr>
        <w:t xml:space="preserve">OR IN THE UNIT PRICE OF NATURAL GAS </w:t>
      </w:r>
      <w:r w:rsidRPr="00273105">
        <w:rPr>
          <w:rFonts w:eastAsia="Calibri"/>
          <w:color w:val="000000"/>
          <w:sz w:val="26"/>
          <w:szCs w:val="26"/>
        </w:rPr>
        <w:t xml:space="preserve">or </w:t>
      </w:r>
      <w:r w:rsidRPr="00273105">
        <w:rPr>
          <w:rFonts w:eastAsia="Calibri"/>
          <w:color w:val="000000"/>
          <w:sz w:val="26"/>
          <w:szCs w:val="26"/>
          <w:u w:val="single"/>
        </w:rPr>
        <w:t>a change in the</w:t>
      </w:r>
      <w:r w:rsidRPr="00273105">
        <w:rPr>
          <w:rFonts w:eastAsia="Calibri"/>
          <w:color w:val="000000"/>
          <w:sz w:val="26"/>
          <w:szCs w:val="26"/>
        </w:rPr>
        <w:t xml:space="preserve"> class of customers being served by the licensee. A CHANGE</w:t>
      </w:r>
      <w:r w:rsidR="00305D54" w:rsidRPr="00273105">
        <w:rPr>
          <w:rFonts w:eastAsia="Calibri"/>
          <w:color w:val="000000"/>
          <w:sz w:val="26"/>
          <w:szCs w:val="26"/>
        </w:rPr>
        <w:t xml:space="preserve"> OVER A </w:t>
      </w:r>
      <w:r w:rsidR="00630203" w:rsidRPr="00273105">
        <w:rPr>
          <w:rFonts w:eastAsia="Calibri"/>
          <w:color w:val="000000"/>
          <w:sz w:val="26"/>
          <w:szCs w:val="26"/>
        </w:rPr>
        <w:t xml:space="preserve">CONSECUTIVE </w:t>
      </w:r>
      <w:r w:rsidR="00F10C32" w:rsidRPr="00273105">
        <w:rPr>
          <w:rFonts w:eastAsia="Calibri"/>
          <w:color w:val="000000"/>
          <w:sz w:val="26"/>
          <w:szCs w:val="26"/>
        </w:rPr>
        <w:t>30</w:t>
      </w:r>
      <w:r w:rsidR="00305D54" w:rsidRPr="00273105">
        <w:rPr>
          <w:rFonts w:eastAsia="Calibri"/>
          <w:color w:val="000000"/>
          <w:sz w:val="26"/>
          <w:szCs w:val="26"/>
        </w:rPr>
        <w:t xml:space="preserve"> DAY PERIOD</w:t>
      </w:r>
      <w:r w:rsidRPr="00273105">
        <w:rPr>
          <w:rFonts w:eastAsia="Calibri"/>
          <w:color w:val="000000"/>
          <w:sz w:val="26"/>
          <w:szCs w:val="26"/>
        </w:rPr>
        <w:t xml:space="preserve"> </w:t>
      </w:r>
      <w:r w:rsidRPr="00273105">
        <w:rPr>
          <w:rFonts w:eastAsia="Calibri"/>
          <w:strike/>
          <w:color w:val="000000"/>
          <w:sz w:val="26"/>
          <w:szCs w:val="26"/>
          <w:u w:val="single"/>
        </w:rPr>
        <w:t>An increase</w:t>
      </w:r>
      <w:r w:rsidRPr="00273105">
        <w:rPr>
          <w:rFonts w:eastAsia="Calibri"/>
          <w:color w:val="000000"/>
          <w:sz w:val="26"/>
          <w:szCs w:val="26"/>
          <w:u w:val="single"/>
        </w:rPr>
        <w:t xml:space="preserve"> of 25% in the number of customers </w:t>
      </w:r>
      <w:r w:rsidR="0096314B" w:rsidRPr="00273105">
        <w:rPr>
          <w:rFonts w:eastAsia="Calibri"/>
          <w:color w:val="000000"/>
          <w:sz w:val="26"/>
          <w:szCs w:val="26"/>
        </w:rPr>
        <w:t>SERVED</w:t>
      </w:r>
      <w:r w:rsidR="00630203" w:rsidRPr="00273105">
        <w:rPr>
          <w:rFonts w:eastAsia="Calibri"/>
          <w:color w:val="000000"/>
          <w:sz w:val="26"/>
          <w:szCs w:val="26"/>
        </w:rPr>
        <w:t xml:space="preserve">, </w:t>
      </w:r>
      <w:r w:rsidRPr="00273105">
        <w:rPr>
          <w:rFonts w:eastAsia="Calibri"/>
          <w:color w:val="000000"/>
          <w:sz w:val="26"/>
          <w:szCs w:val="26"/>
        </w:rPr>
        <w:t>IN THE VOLUME OF GAS DELIVERED</w:t>
      </w:r>
      <w:r w:rsidR="00957910" w:rsidRPr="00273105">
        <w:rPr>
          <w:rFonts w:eastAsia="Calibri"/>
          <w:color w:val="000000"/>
          <w:sz w:val="26"/>
          <w:szCs w:val="26"/>
        </w:rPr>
        <w:t xml:space="preserve"> </w:t>
      </w:r>
      <w:r w:rsidR="00D96A20" w:rsidRPr="00273105">
        <w:rPr>
          <w:rFonts w:eastAsia="Calibri"/>
          <w:color w:val="000000"/>
          <w:sz w:val="26"/>
          <w:szCs w:val="26"/>
        </w:rPr>
        <w:t xml:space="preserve">OR IN THE </w:t>
      </w:r>
      <w:r w:rsidR="00630203" w:rsidRPr="00273105">
        <w:rPr>
          <w:rFonts w:eastAsia="Calibri"/>
          <w:color w:val="000000"/>
          <w:sz w:val="26"/>
          <w:szCs w:val="26"/>
        </w:rPr>
        <w:t xml:space="preserve">AVERAGE </w:t>
      </w:r>
      <w:r w:rsidR="00D96A20" w:rsidRPr="00273105">
        <w:rPr>
          <w:rFonts w:eastAsia="Calibri"/>
          <w:color w:val="000000"/>
          <w:sz w:val="26"/>
          <w:szCs w:val="26"/>
        </w:rPr>
        <w:t xml:space="preserve">UNIT PRICE OF NATURAL GAS </w:t>
      </w:r>
      <w:r w:rsidRPr="00273105">
        <w:rPr>
          <w:rFonts w:eastAsia="Calibri"/>
          <w:color w:val="000000"/>
          <w:sz w:val="26"/>
          <w:szCs w:val="26"/>
          <w:u w:val="single"/>
        </w:rPr>
        <w:t xml:space="preserve">would represent a significant change </w:t>
      </w:r>
      <w:r w:rsidRPr="00273105">
        <w:rPr>
          <w:rFonts w:eastAsia="Calibri"/>
          <w:strike/>
          <w:color w:val="000000"/>
          <w:sz w:val="26"/>
          <w:szCs w:val="26"/>
          <w:u w:val="single"/>
        </w:rPr>
        <w:t>that would justify an NGDC directing that additional security be provided</w:t>
      </w:r>
      <w:r w:rsidRPr="00273105">
        <w:rPr>
          <w:rFonts w:eastAsia="Calibri"/>
          <w:color w:val="000000"/>
          <w:sz w:val="26"/>
          <w:szCs w:val="26"/>
          <w:u w:val="single"/>
        </w:rPr>
        <w:t>.</w:t>
      </w:r>
      <w:r w:rsidRPr="00273105">
        <w:rPr>
          <w:rFonts w:eastAsia="Calibri"/>
          <w:color w:val="000000"/>
          <w:sz w:val="26"/>
          <w:szCs w:val="26"/>
        </w:rPr>
        <w:t xml:space="preserve"> </w:t>
      </w:r>
    </w:p>
    <w:p w:rsidR="006A7B88" w:rsidRPr="00273105" w:rsidRDefault="006A7B88" w:rsidP="00C059DA">
      <w:pPr>
        <w:spacing w:line="360" w:lineRule="auto"/>
        <w:rPr>
          <w:rFonts w:eastAsia="Calibri"/>
          <w:color w:val="000000"/>
          <w:sz w:val="26"/>
          <w:szCs w:val="26"/>
        </w:rPr>
      </w:pPr>
    </w:p>
    <w:p w:rsidR="00B81D44" w:rsidRPr="00273105" w:rsidRDefault="00C059DA" w:rsidP="00C059DA">
      <w:pPr>
        <w:spacing w:line="360" w:lineRule="auto"/>
        <w:rPr>
          <w:rFonts w:eastAsia="Calibri"/>
          <w:color w:val="000000"/>
          <w:sz w:val="26"/>
          <w:szCs w:val="26"/>
        </w:rPr>
      </w:pPr>
      <w:r w:rsidRPr="00273105">
        <w:rPr>
          <w:rFonts w:eastAsia="Calibri"/>
          <w:color w:val="000000"/>
          <w:sz w:val="26"/>
          <w:szCs w:val="26"/>
        </w:rPr>
        <w:t>       (D)   </w:t>
      </w:r>
      <w:r w:rsidRPr="00273105">
        <w:rPr>
          <w:rFonts w:eastAsia="Calibri"/>
          <w:color w:val="000000"/>
          <w:sz w:val="26"/>
          <w:szCs w:val="26"/>
          <w:u w:val="single"/>
        </w:rPr>
        <w:t>A change</w:t>
      </w:r>
      <w:r w:rsidRPr="00273105">
        <w:rPr>
          <w:rFonts w:eastAsia="Calibri"/>
          <w:color w:val="000000"/>
          <w:sz w:val="26"/>
          <w:szCs w:val="26"/>
        </w:rPr>
        <w:t xml:space="preserve"> [Changes] in </w:t>
      </w:r>
      <w:r w:rsidR="00721BAB">
        <w:rPr>
          <w:rFonts w:eastAsia="Calibri"/>
          <w:color w:val="000000"/>
          <w:sz w:val="26"/>
          <w:szCs w:val="26"/>
        </w:rPr>
        <w:t xml:space="preserve">OPERATIONAL OR FINANCIAL </w:t>
      </w:r>
      <w:r w:rsidRPr="00273105">
        <w:rPr>
          <w:rFonts w:eastAsia="Calibri"/>
          <w:color w:val="000000"/>
          <w:sz w:val="26"/>
          <w:szCs w:val="26"/>
        </w:rPr>
        <w:t xml:space="preserve">circumstances that materially </w:t>
      </w:r>
      <w:r w:rsidRPr="00273105">
        <w:rPr>
          <w:rFonts w:eastAsia="Calibri"/>
          <w:color w:val="000000"/>
          <w:sz w:val="26"/>
          <w:szCs w:val="26"/>
          <w:u w:val="single"/>
        </w:rPr>
        <w:t>affects</w:t>
      </w:r>
      <w:r w:rsidRPr="00273105">
        <w:rPr>
          <w:rFonts w:eastAsia="Calibri"/>
          <w:color w:val="000000"/>
          <w:sz w:val="26"/>
          <w:szCs w:val="26"/>
        </w:rPr>
        <w:t xml:space="preserve"> [affect] a licensee’s creditworthiness. </w:t>
      </w:r>
      <w:r w:rsidR="001E7427" w:rsidRPr="00273105">
        <w:rPr>
          <w:rFonts w:eastAsia="Calibri"/>
          <w:color w:val="000000"/>
          <w:sz w:val="26"/>
          <w:szCs w:val="26"/>
        </w:rPr>
        <w:t>A LICENSEE’S CREDITWORTHINESS C</w:t>
      </w:r>
      <w:r w:rsidR="001E7427" w:rsidRPr="00273105" w:rsidDel="00F10C32">
        <w:rPr>
          <w:rFonts w:eastAsia="Calibri"/>
          <w:color w:val="000000"/>
          <w:sz w:val="26"/>
          <w:szCs w:val="26"/>
        </w:rPr>
        <w:t xml:space="preserve">OULD BE MATERIALLY AFFECTED WHEN TWO OF THE FOLLOWING </w:t>
      </w:r>
      <w:r w:rsidR="00335825" w:rsidRPr="00273105">
        <w:rPr>
          <w:rFonts w:eastAsia="Calibri"/>
          <w:color w:val="000000"/>
          <w:sz w:val="26"/>
          <w:szCs w:val="26"/>
        </w:rPr>
        <w:t>INVESTMENT</w:t>
      </w:r>
      <w:r w:rsidR="001E7427" w:rsidRPr="00273105" w:rsidDel="00F10C32">
        <w:rPr>
          <w:rFonts w:eastAsia="Calibri"/>
          <w:color w:val="000000"/>
          <w:sz w:val="26"/>
          <w:szCs w:val="26"/>
        </w:rPr>
        <w:t xml:space="preserve"> RATING COMPANIES CHANGE THE LICENSEE’S RATING</w:t>
      </w:r>
      <w:r w:rsidR="001E7427" w:rsidRPr="00273105">
        <w:rPr>
          <w:rFonts w:eastAsia="Calibri"/>
          <w:color w:val="000000"/>
          <w:sz w:val="26"/>
          <w:szCs w:val="26"/>
        </w:rPr>
        <w:t xml:space="preserve"> OF ITS ISSUED SECURITIES FROM AN INVESTMENT </w:t>
      </w:r>
      <w:r w:rsidR="001E7427" w:rsidRPr="00273105">
        <w:rPr>
          <w:rFonts w:eastAsia="Calibri"/>
          <w:color w:val="000000"/>
          <w:sz w:val="26"/>
          <w:szCs w:val="26"/>
        </w:rPr>
        <w:lastRenderedPageBreak/>
        <w:t>GRADE OR GOOD RATING TO A SPECULATIVE OR MODERATE CREDIT RISK RATING, AND VICE VERSA:</w:t>
      </w:r>
    </w:p>
    <w:p w:rsidR="00B81D44" w:rsidRPr="00273105" w:rsidRDefault="00B81D44" w:rsidP="00C059DA">
      <w:pPr>
        <w:spacing w:line="360" w:lineRule="auto"/>
        <w:rPr>
          <w:rFonts w:eastAsia="Calibri"/>
          <w:color w:val="000000"/>
          <w:sz w:val="26"/>
          <w:szCs w:val="26"/>
        </w:rPr>
      </w:pPr>
      <w:r w:rsidRPr="00273105">
        <w:rPr>
          <w:rFonts w:eastAsia="Calibri"/>
          <w:color w:val="000000"/>
          <w:sz w:val="26"/>
          <w:szCs w:val="26"/>
        </w:rPr>
        <w:tab/>
      </w:r>
      <w:r w:rsidR="006B6EAB">
        <w:rPr>
          <w:rFonts w:eastAsia="Calibri"/>
          <w:color w:val="000000"/>
          <w:sz w:val="26"/>
          <w:szCs w:val="26"/>
        </w:rPr>
        <w:t>(</w:t>
      </w:r>
      <w:r w:rsidRPr="00273105">
        <w:rPr>
          <w:rFonts w:eastAsia="Calibri"/>
          <w:color w:val="000000"/>
          <w:sz w:val="26"/>
          <w:szCs w:val="26"/>
        </w:rPr>
        <w:t>I</w:t>
      </w:r>
      <w:r w:rsidR="006B6EAB">
        <w:rPr>
          <w:rFonts w:eastAsia="Calibri"/>
          <w:color w:val="000000"/>
          <w:sz w:val="26"/>
          <w:szCs w:val="26"/>
        </w:rPr>
        <w:t>)</w:t>
      </w:r>
      <w:r w:rsidRPr="00273105">
        <w:rPr>
          <w:rFonts w:eastAsia="Calibri"/>
          <w:color w:val="000000"/>
          <w:sz w:val="26"/>
          <w:szCs w:val="26"/>
        </w:rPr>
        <w:t xml:space="preserve"> </w:t>
      </w:r>
      <w:r w:rsidR="001E7427" w:rsidRPr="00273105">
        <w:rPr>
          <w:rFonts w:eastAsia="Calibri"/>
          <w:color w:val="000000"/>
          <w:sz w:val="26"/>
          <w:szCs w:val="26"/>
        </w:rPr>
        <w:t xml:space="preserve"> STANDARD AND POOR’S RATING SERVICES, INC.</w:t>
      </w:r>
    </w:p>
    <w:p w:rsidR="00B81D44" w:rsidRPr="00273105" w:rsidRDefault="00B81D44" w:rsidP="00C059DA">
      <w:pPr>
        <w:spacing w:line="360" w:lineRule="auto"/>
        <w:rPr>
          <w:rFonts w:eastAsia="Calibri"/>
          <w:color w:val="000000"/>
          <w:sz w:val="26"/>
          <w:szCs w:val="26"/>
        </w:rPr>
      </w:pPr>
      <w:r w:rsidRPr="00273105">
        <w:rPr>
          <w:rFonts w:eastAsia="Calibri"/>
          <w:color w:val="000000"/>
          <w:sz w:val="26"/>
          <w:szCs w:val="26"/>
        </w:rPr>
        <w:tab/>
      </w:r>
      <w:r w:rsidR="006B6EAB">
        <w:rPr>
          <w:rFonts w:eastAsia="Calibri"/>
          <w:color w:val="000000"/>
          <w:sz w:val="26"/>
          <w:szCs w:val="26"/>
        </w:rPr>
        <w:t>(</w:t>
      </w:r>
      <w:r w:rsidRPr="00273105">
        <w:rPr>
          <w:rFonts w:eastAsia="Calibri"/>
          <w:color w:val="000000"/>
          <w:sz w:val="26"/>
          <w:szCs w:val="26"/>
        </w:rPr>
        <w:t>II</w:t>
      </w:r>
      <w:r w:rsidR="006B6EAB">
        <w:rPr>
          <w:rFonts w:eastAsia="Calibri"/>
          <w:color w:val="000000"/>
          <w:sz w:val="26"/>
          <w:szCs w:val="26"/>
        </w:rPr>
        <w:t>)</w:t>
      </w:r>
      <w:r w:rsidRPr="00273105">
        <w:rPr>
          <w:rFonts w:eastAsia="Calibri"/>
          <w:color w:val="000000"/>
          <w:sz w:val="26"/>
          <w:szCs w:val="26"/>
        </w:rPr>
        <w:t xml:space="preserve">  </w:t>
      </w:r>
      <w:r w:rsidR="001E7427" w:rsidRPr="00273105">
        <w:rPr>
          <w:rFonts w:eastAsia="Calibri"/>
          <w:color w:val="000000"/>
          <w:sz w:val="26"/>
          <w:szCs w:val="26"/>
        </w:rPr>
        <w:t xml:space="preserve">MOODY’S INVESTMENT SERVICE, INC. </w:t>
      </w:r>
    </w:p>
    <w:p w:rsidR="006A7B88" w:rsidRPr="00273105" w:rsidRDefault="00B81D44" w:rsidP="00C059DA">
      <w:pPr>
        <w:spacing w:line="360" w:lineRule="auto"/>
        <w:rPr>
          <w:rFonts w:eastAsia="Calibri"/>
          <w:color w:val="000000"/>
          <w:sz w:val="26"/>
          <w:szCs w:val="26"/>
        </w:rPr>
      </w:pPr>
      <w:r w:rsidRPr="00273105">
        <w:rPr>
          <w:rFonts w:eastAsia="Calibri"/>
          <w:color w:val="000000"/>
          <w:sz w:val="26"/>
          <w:szCs w:val="26"/>
        </w:rPr>
        <w:tab/>
      </w:r>
      <w:r w:rsidR="006B6EAB">
        <w:rPr>
          <w:rFonts w:eastAsia="Calibri"/>
          <w:color w:val="000000"/>
          <w:sz w:val="26"/>
          <w:szCs w:val="26"/>
        </w:rPr>
        <w:t>(</w:t>
      </w:r>
      <w:r w:rsidRPr="00273105">
        <w:rPr>
          <w:rFonts w:eastAsia="Calibri"/>
          <w:color w:val="000000"/>
          <w:sz w:val="26"/>
          <w:szCs w:val="26"/>
        </w:rPr>
        <w:t>III</w:t>
      </w:r>
      <w:r w:rsidR="006B6EAB">
        <w:rPr>
          <w:rFonts w:eastAsia="Calibri"/>
          <w:color w:val="000000"/>
          <w:sz w:val="26"/>
          <w:szCs w:val="26"/>
        </w:rPr>
        <w:t>)</w:t>
      </w:r>
      <w:r w:rsidRPr="00273105">
        <w:rPr>
          <w:rFonts w:eastAsia="Calibri"/>
          <w:color w:val="000000"/>
          <w:sz w:val="26"/>
          <w:szCs w:val="26"/>
        </w:rPr>
        <w:t xml:space="preserve">  </w:t>
      </w:r>
      <w:r w:rsidR="001E7427" w:rsidRPr="00273105">
        <w:rPr>
          <w:rFonts w:eastAsia="Calibri"/>
          <w:color w:val="000000"/>
          <w:sz w:val="26"/>
          <w:szCs w:val="26"/>
        </w:rPr>
        <w:t>FITCH, INC.</w:t>
      </w:r>
      <w:r w:rsidR="0015619F" w:rsidRPr="00273105">
        <w:rPr>
          <w:rFonts w:eastAsia="Calibri"/>
          <w:color w:val="000000"/>
          <w:sz w:val="26"/>
          <w:szCs w:val="26"/>
        </w:rPr>
        <w:t xml:space="preserve"> </w:t>
      </w:r>
    </w:p>
    <w:p w:rsidR="00293382" w:rsidRPr="00273105" w:rsidRDefault="00293382" w:rsidP="00C059DA">
      <w:pPr>
        <w:spacing w:line="360" w:lineRule="auto"/>
        <w:rPr>
          <w:rFonts w:eastAsia="Calibri"/>
          <w:color w:val="000000"/>
          <w:sz w:val="26"/>
          <w:szCs w:val="26"/>
        </w:rPr>
      </w:pPr>
      <w:r w:rsidRPr="00273105">
        <w:rPr>
          <w:rFonts w:eastAsia="Calibri"/>
          <w:color w:val="000000"/>
          <w:sz w:val="26"/>
          <w:szCs w:val="26"/>
        </w:rPr>
        <w:tab/>
      </w:r>
      <w:r w:rsidR="006B6EAB">
        <w:rPr>
          <w:rFonts w:eastAsia="Calibri"/>
          <w:color w:val="000000"/>
          <w:sz w:val="26"/>
          <w:szCs w:val="26"/>
        </w:rPr>
        <w:t>(</w:t>
      </w:r>
      <w:r w:rsidRPr="00273105">
        <w:rPr>
          <w:rFonts w:eastAsia="Calibri"/>
          <w:color w:val="000000"/>
          <w:sz w:val="26"/>
          <w:szCs w:val="26"/>
        </w:rPr>
        <w:t>IV</w:t>
      </w:r>
      <w:r w:rsidR="006B6EAB">
        <w:rPr>
          <w:rFonts w:eastAsia="Calibri"/>
          <w:color w:val="000000"/>
          <w:sz w:val="26"/>
          <w:szCs w:val="26"/>
        </w:rPr>
        <w:t>)</w:t>
      </w:r>
      <w:r w:rsidRPr="00273105">
        <w:rPr>
          <w:rFonts w:eastAsia="Calibri"/>
          <w:color w:val="000000"/>
          <w:sz w:val="26"/>
          <w:szCs w:val="26"/>
        </w:rPr>
        <w:t xml:space="preserve">  A. M. BEST COMPANY, INC.</w:t>
      </w:r>
    </w:p>
    <w:p w:rsidR="00293382" w:rsidRPr="00273105" w:rsidRDefault="00293382" w:rsidP="00C059DA">
      <w:pPr>
        <w:spacing w:line="360" w:lineRule="auto"/>
        <w:rPr>
          <w:rFonts w:eastAsia="Calibri"/>
          <w:color w:val="000000"/>
          <w:sz w:val="26"/>
          <w:szCs w:val="26"/>
        </w:rPr>
      </w:pPr>
      <w:r w:rsidRPr="00273105">
        <w:rPr>
          <w:rFonts w:eastAsia="Calibri"/>
          <w:color w:val="000000"/>
          <w:sz w:val="26"/>
          <w:szCs w:val="26"/>
        </w:rPr>
        <w:tab/>
      </w:r>
      <w:r w:rsidR="006B6EAB">
        <w:rPr>
          <w:rFonts w:eastAsia="Calibri"/>
          <w:color w:val="000000"/>
          <w:sz w:val="26"/>
          <w:szCs w:val="26"/>
        </w:rPr>
        <w:t>(</w:t>
      </w:r>
      <w:r w:rsidRPr="00273105">
        <w:rPr>
          <w:rFonts w:eastAsia="Calibri"/>
          <w:color w:val="000000"/>
          <w:sz w:val="26"/>
          <w:szCs w:val="26"/>
        </w:rPr>
        <w:t>V</w:t>
      </w:r>
      <w:r w:rsidR="006B6EAB">
        <w:rPr>
          <w:rFonts w:eastAsia="Calibri"/>
          <w:color w:val="000000"/>
          <w:sz w:val="26"/>
          <w:szCs w:val="26"/>
        </w:rPr>
        <w:t>)</w:t>
      </w:r>
      <w:r w:rsidRPr="00273105">
        <w:rPr>
          <w:rFonts w:eastAsia="Calibri"/>
          <w:color w:val="000000"/>
          <w:sz w:val="26"/>
          <w:szCs w:val="26"/>
        </w:rPr>
        <w:t xml:space="preserve">  </w:t>
      </w:r>
      <w:r w:rsidR="00F1638C" w:rsidRPr="00273105">
        <w:rPr>
          <w:rFonts w:eastAsia="Calibri"/>
          <w:color w:val="000000"/>
          <w:sz w:val="26"/>
          <w:szCs w:val="26"/>
        </w:rPr>
        <w:t>DBRS, INC.</w:t>
      </w:r>
    </w:p>
    <w:p w:rsidR="00C059DA" w:rsidRPr="00273105" w:rsidRDefault="00F10C32" w:rsidP="00C059DA">
      <w:pPr>
        <w:spacing w:line="360" w:lineRule="auto"/>
        <w:rPr>
          <w:rFonts w:eastAsia="Calibri"/>
          <w:color w:val="000000"/>
          <w:sz w:val="26"/>
          <w:szCs w:val="26"/>
        </w:rPr>
      </w:pPr>
      <w:r w:rsidRPr="00273105">
        <w:rPr>
          <w:rFonts w:eastAsia="Calibri"/>
          <w:color w:val="000000"/>
          <w:sz w:val="26"/>
          <w:szCs w:val="26"/>
        </w:rPr>
        <w:t xml:space="preserve"> </w:t>
      </w:r>
    </w:p>
    <w:p w:rsidR="00C059DA" w:rsidRPr="00273105" w:rsidRDefault="00C059DA" w:rsidP="00A722E9">
      <w:pPr>
        <w:spacing w:line="360" w:lineRule="auto"/>
        <w:rPr>
          <w:rFonts w:eastAsia="Calibri"/>
          <w:color w:val="000000"/>
          <w:sz w:val="26"/>
          <w:szCs w:val="26"/>
        </w:rPr>
      </w:pPr>
      <w:r w:rsidRPr="00273105">
        <w:rPr>
          <w:rFonts w:eastAsia="Calibri"/>
          <w:color w:val="000000"/>
          <w:sz w:val="26"/>
          <w:szCs w:val="26"/>
        </w:rPr>
        <w:t>       (E)   </w:t>
      </w:r>
      <w:r w:rsidRPr="00273105">
        <w:rPr>
          <w:rFonts w:eastAsia="Calibri"/>
          <w:color w:val="000000"/>
          <w:sz w:val="26"/>
          <w:szCs w:val="26"/>
          <w:u w:val="single"/>
        </w:rPr>
        <w:t>A change in the</w:t>
      </w:r>
      <w:r w:rsidRPr="00273105">
        <w:rPr>
          <w:rFonts w:eastAsia="Calibri"/>
          <w:color w:val="000000"/>
          <w:sz w:val="26"/>
          <w:szCs w:val="26"/>
        </w:rPr>
        <w:t xml:space="preserve"> [The] licensee’s demonstrated capability to provide the volume of natural gas necessary for its customers’ needs</w:t>
      </w:r>
      <w:r w:rsidRPr="00273105">
        <w:rPr>
          <w:rFonts w:eastAsia="Calibri"/>
          <w:color w:val="000000"/>
          <w:sz w:val="26"/>
          <w:szCs w:val="26"/>
          <w:u w:val="single"/>
        </w:rPr>
        <w:t xml:space="preserve"> that materially affects NGDC system operation or reliability</w:t>
      </w:r>
      <w:r w:rsidRPr="00273105">
        <w:rPr>
          <w:rFonts w:eastAsia="Calibri"/>
          <w:color w:val="000000"/>
          <w:sz w:val="26"/>
          <w:szCs w:val="26"/>
        </w:rPr>
        <w:t>.</w:t>
      </w:r>
      <w:r w:rsidR="0015619F" w:rsidRPr="00273105">
        <w:rPr>
          <w:rFonts w:eastAsia="Calibri"/>
          <w:color w:val="000000"/>
          <w:sz w:val="26"/>
          <w:szCs w:val="26"/>
        </w:rPr>
        <w:t xml:space="preserve"> </w:t>
      </w:r>
      <w:r w:rsidR="00A722E9" w:rsidRPr="00273105">
        <w:rPr>
          <w:rFonts w:eastAsia="Calibri"/>
          <w:color w:val="000000"/>
          <w:sz w:val="26"/>
          <w:szCs w:val="26"/>
        </w:rPr>
        <w:t xml:space="preserve">A CHANGE THAT </w:t>
      </w:r>
      <w:r w:rsidR="00F16A35" w:rsidRPr="00273105">
        <w:rPr>
          <w:rFonts w:eastAsia="Calibri"/>
          <w:color w:val="000000"/>
          <w:sz w:val="26"/>
          <w:szCs w:val="26"/>
        </w:rPr>
        <w:t>C</w:t>
      </w:r>
      <w:r w:rsidR="00A722E9" w:rsidRPr="00273105">
        <w:rPr>
          <w:rFonts w:eastAsia="Calibri"/>
          <w:color w:val="000000"/>
          <w:sz w:val="26"/>
          <w:szCs w:val="26"/>
        </w:rPr>
        <w:t xml:space="preserve">OULD </w:t>
      </w:r>
      <w:r w:rsidR="005318CB" w:rsidRPr="00273105">
        <w:rPr>
          <w:rFonts w:eastAsia="Calibri"/>
          <w:color w:val="000000"/>
          <w:sz w:val="26"/>
          <w:szCs w:val="26"/>
        </w:rPr>
        <w:t>M</w:t>
      </w:r>
      <w:r w:rsidR="00A722E9" w:rsidRPr="00273105">
        <w:rPr>
          <w:rFonts w:eastAsia="Calibri"/>
          <w:color w:val="000000"/>
          <w:sz w:val="26"/>
          <w:szCs w:val="26"/>
        </w:rPr>
        <w:t>ATERIALLY AFFECT NGDC SYSTEM OPERATION OR RELIABILITY</w:t>
      </w:r>
      <w:r w:rsidR="000A7015" w:rsidRPr="00273105">
        <w:rPr>
          <w:rFonts w:eastAsia="Calibri"/>
          <w:color w:val="000000"/>
          <w:sz w:val="26"/>
          <w:szCs w:val="26"/>
        </w:rPr>
        <w:t xml:space="preserve"> </w:t>
      </w:r>
      <w:r w:rsidR="00F16A35" w:rsidRPr="00273105">
        <w:rPr>
          <w:rFonts w:eastAsia="Calibri"/>
          <w:color w:val="000000"/>
          <w:sz w:val="26"/>
          <w:szCs w:val="26"/>
        </w:rPr>
        <w:t>MAY OCCUR WHEN</w:t>
      </w:r>
      <w:r w:rsidR="000A7015" w:rsidRPr="00273105">
        <w:rPr>
          <w:rFonts w:eastAsia="Calibri"/>
          <w:color w:val="000000"/>
          <w:sz w:val="26"/>
          <w:szCs w:val="26"/>
        </w:rPr>
        <w:t xml:space="preserve"> A SUPPLIER </w:t>
      </w:r>
      <w:r w:rsidR="00F16A35" w:rsidRPr="00273105">
        <w:rPr>
          <w:rFonts w:eastAsia="Calibri"/>
          <w:color w:val="000000"/>
          <w:sz w:val="26"/>
          <w:szCs w:val="26"/>
        </w:rPr>
        <w:t xml:space="preserve">FAILS TO DELIVER NATURAL </w:t>
      </w:r>
      <w:r w:rsidR="000A7015" w:rsidRPr="00273105">
        <w:rPr>
          <w:rFonts w:eastAsia="Calibri"/>
          <w:color w:val="000000"/>
          <w:sz w:val="26"/>
          <w:szCs w:val="26"/>
        </w:rPr>
        <w:t xml:space="preserve">GAS SUPPLY </w:t>
      </w:r>
      <w:r w:rsidR="00F16A35" w:rsidRPr="00273105">
        <w:rPr>
          <w:rFonts w:eastAsia="Calibri"/>
          <w:color w:val="000000"/>
          <w:sz w:val="26"/>
          <w:szCs w:val="26"/>
        </w:rPr>
        <w:t>SUFFICIENT TO MEET ITS CUSTOMERS</w:t>
      </w:r>
      <w:r w:rsidR="00E443B1" w:rsidRPr="00273105">
        <w:rPr>
          <w:rFonts w:eastAsia="Calibri"/>
          <w:color w:val="000000"/>
          <w:sz w:val="26"/>
          <w:szCs w:val="26"/>
        </w:rPr>
        <w:t>’</w:t>
      </w:r>
      <w:r w:rsidR="00F16A35" w:rsidRPr="00273105">
        <w:rPr>
          <w:rFonts w:eastAsia="Calibri"/>
          <w:color w:val="000000"/>
          <w:sz w:val="26"/>
          <w:szCs w:val="26"/>
        </w:rPr>
        <w:t xml:space="preserve"> NEEDS ON FIVE SEPARATE OCCASIONS WITHIN A 30</w:t>
      </w:r>
      <w:r w:rsidR="00080F38">
        <w:rPr>
          <w:rFonts w:eastAsia="Calibri"/>
          <w:color w:val="000000"/>
          <w:sz w:val="26"/>
          <w:szCs w:val="26"/>
        </w:rPr>
        <w:t xml:space="preserve"> </w:t>
      </w:r>
      <w:r w:rsidR="00F16A35" w:rsidRPr="00273105">
        <w:rPr>
          <w:rFonts w:eastAsia="Calibri"/>
          <w:color w:val="000000"/>
          <w:sz w:val="26"/>
          <w:szCs w:val="26"/>
        </w:rPr>
        <w:t xml:space="preserve">DAY PERIOD, OR FAILS TO COMPLY WITH NGDC </w:t>
      </w:r>
      <w:r w:rsidR="00676807" w:rsidRPr="00273105">
        <w:rPr>
          <w:rFonts w:eastAsia="Calibri"/>
          <w:color w:val="000000"/>
          <w:sz w:val="26"/>
          <w:szCs w:val="26"/>
        </w:rPr>
        <w:t>OPERATIONAL FLOW ORDERS AS DEFINED AT 52 PA. CODE § 69.11</w:t>
      </w:r>
      <w:r w:rsidR="00FB3783" w:rsidRPr="00273105">
        <w:rPr>
          <w:rFonts w:eastAsia="Calibri"/>
          <w:color w:val="000000"/>
          <w:sz w:val="26"/>
          <w:szCs w:val="26"/>
        </w:rPr>
        <w:t>(RELATING TO DEFINITIONS)</w:t>
      </w:r>
      <w:r w:rsidR="00F16A35" w:rsidRPr="00273105">
        <w:rPr>
          <w:rFonts w:eastAsia="Calibri"/>
          <w:color w:val="000000"/>
          <w:sz w:val="26"/>
          <w:szCs w:val="26"/>
        </w:rPr>
        <w:t>.</w:t>
      </w:r>
      <w:r w:rsidR="000A7015" w:rsidRPr="00273105">
        <w:rPr>
          <w:rFonts w:eastAsia="Calibri"/>
          <w:color w:val="000000"/>
          <w:sz w:val="26"/>
          <w:szCs w:val="26"/>
        </w:rPr>
        <w:t xml:space="preserve"> </w:t>
      </w:r>
    </w:p>
    <w:p w:rsidR="006A7B88" w:rsidRPr="00273105" w:rsidRDefault="006A7B88" w:rsidP="00A722E9">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(2)  The following legal and financial instruments and property shall be acceptable as security: </w:t>
      </w:r>
    </w:p>
    <w:p w:rsidR="006A7B88" w:rsidRPr="00273105" w:rsidRDefault="006A7B88"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(i)   Bond. </w:t>
      </w:r>
    </w:p>
    <w:p w:rsidR="006A7B88" w:rsidRPr="00273105" w:rsidRDefault="006A7B88"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xml:space="preserve">     (ii)   Irrevocable letter of credit. </w:t>
      </w:r>
    </w:p>
    <w:p w:rsidR="006A7B88" w:rsidRPr="00273105" w:rsidRDefault="006A7B88"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rPr>
      </w:pPr>
      <w:r w:rsidRPr="00273105">
        <w:rPr>
          <w:rFonts w:eastAsia="Calibri"/>
          <w:color w:val="000000"/>
          <w:sz w:val="26"/>
          <w:szCs w:val="26"/>
        </w:rPr>
        <w:t>     (iii)   Corporate, parental or other third-party guaranty.</w:t>
      </w:r>
    </w:p>
    <w:p w:rsidR="006A7B88" w:rsidRPr="00273105" w:rsidRDefault="006A7B88" w:rsidP="00C059DA">
      <w:pPr>
        <w:spacing w:line="360" w:lineRule="auto"/>
        <w:rPr>
          <w:rFonts w:eastAsia="Calibri"/>
          <w:color w:val="000000"/>
          <w:sz w:val="26"/>
          <w:szCs w:val="26"/>
        </w:rPr>
      </w:pPr>
    </w:p>
    <w:p w:rsidR="00C059DA" w:rsidRPr="00273105" w:rsidRDefault="00C059DA" w:rsidP="00C059DA">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(iv)  Escrow account.</w:t>
      </w:r>
    </w:p>
    <w:p w:rsidR="006A7B88" w:rsidRPr="00273105" w:rsidRDefault="006A7B88" w:rsidP="00C059DA">
      <w:pPr>
        <w:spacing w:line="360" w:lineRule="auto"/>
        <w:rPr>
          <w:rFonts w:eastAsia="Calibri"/>
          <w:color w:val="000000"/>
          <w:sz w:val="26"/>
          <w:szCs w:val="26"/>
          <w:u w:val="single"/>
        </w:rPr>
      </w:pPr>
    </w:p>
    <w:p w:rsidR="00C059DA" w:rsidRPr="00273105" w:rsidRDefault="00C059DA" w:rsidP="00C059DA">
      <w:pPr>
        <w:spacing w:line="360" w:lineRule="auto"/>
        <w:rPr>
          <w:rFonts w:eastAsia="Calibri"/>
          <w:color w:val="000000"/>
          <w:sz w:val="26"/>
          <w:szCs w:val="26"/>
          <w:u w:val="single"/>
        </w:rPr>
      </w:pPr>
      <w:r w:rsidRPr="00273105">
        <w:rPr>
          <w:rFonts w:eastAsia="Calibri"/>
          <w:color w:val="000000"/>
          <w:sz w:val="26"/>
          <w:szCs w:val="26"/>
        </w:rPr>
        <w:lastRenderedPageBreak/>
        <w:t xml:space="preserve">     </w:t>
      </w:r>
      <w:r w:rsidRPr="00273105">
        <w:rPr>
          <w:rFonts w:eastAsia="Calibri"/>
          <w:color w:val="000000"/>
          <w:sz w:val="26"/>
          <w:szCs w:val="26"/>
          <w:u w:val="single"/>
        </w:rPr>
        <w:t xml:space="preserve">(v)  Accounts receivable pledged </w:t>
      </w:r>
      <w:r w:rsidRPr="00273105">
        <w:rPr>
          <w:rFonts w:eastAsia="Calibri"/>
          <w:color w:val="000000"/>
          <w:sz w:val="26"/>
          <w:szCs w:val="26"/>
        </w:rPr>
        <w:t xml:space="preserve">OR </w:t>
      </w:r>
      <w:r w:rsidR="002255E8" w:rsidRPr="00273105">
        <w:rPr>
          <w:rFonts w:eastAsia="Calibri"/>
          <w:color w:val="000000"/>
          <w:sz w:val="26"/>
          <w:szCs w:val="26"/>
        </w:rPr>
        <w:t>ASSIGNED</w:t>
      </w:r>
      <w:r w:rsidRPr="00273105">
        <w:rPr>
          <w:rFonts w:eastAsia="Calibri"/>
          <w:color w:val="000000"/>
          <w:sz w:val="26"/>
          <w:szCs w:val="26"/>
        </w:rPr>
        <w:t xml:space="preserve"> TO A</w:t>
      </w:r>
      <w:r w:rsidRPr="00273105">
        <w:rPr>
          <w:rFonts w:eastAsia="Calibri"/>
          <w:strike/>
          <w:color w:val="000000"/>
          <w:sz w:val="26"/>
          <w:szCs w:val="26"/>
          <w:u w:val="single"/>
        </w:rPr>
        <w:t xml:space="preserve"> to the</w:t>
      </w:r>
      <w:r w:rsidRPr="00273105">
        <w:rPr>
          <w:rFonts w:eastAsia="Calibri"/>
          <w:color w:val="000000"/>
          <w:sz w:val="26"/>
          <w:szCs w:val="26"/>
          <w:u w:val="single"/>
        </w:rPr>
        <w:t xml:space="preserve"> NGDC </w:t>
      </w:r>
      <w:r w:rsidRPr="00273105">
        <w:rPr>
          <w:rFonts w:eastAsia="Calibri"/>
          <w:strike/>
          <w:color w:val="000000"/>
          <w:sz w:val="26"/>
          <w:szCs w:val="26"/>
          <w:u w:val="single"/>
        </w:rPr>
        <w:t xml:space="preserve">or sold </w:t>
      </w:r>
      <w:r w:rsidRPr="00273105">
        <w:rPr>
          <w:rFonts w:eastAsia="Calibri"/>
          <w:color w:val="000000"/>
          <w:sz w:val="26"/>
          <w:szCs w:val="26"/>
          <w:u w:val="single"/>
        </w:rPr>
        <w:t xml:space="preserve">by a </w:t>
      </w:r>
      <w:r w:rsidRPr="00273105">
        <w:rPr>
          <w:rFonts w:eastAsia="Calibri"/>
          <w:color w:val="000000"/>
          <w:sz w:val="26"/>
          <w:szCs w:val="26"/>
        </w:rPr>
        <w:t>LICENSEE</w:t>
      </w:r>
      <w:r w:rsidRPr="00273105">
        <w:rPr>
          <w:rFonts w:eastAsia="Calibri"/>
          <w:color w:val="000000"/>
          <w:sz w:val="26"/>
          <w:szCs w:val="26"/>
          <w:u w:val="single"/>
        </w:rPr>
        <w:t xml:space="preserve"> </w:t>
      </w:r>
      <w:r w:rsidRPr="00273105">
        <w:rPr>
          <w:rFonts w:eastAsia="Calibri"/>
          <w:strike/>
          <w:color w:val="000000"/>
          <w:sz w:val="26"/>
          <w:szCs w:val="26"/>
          <w:u w:val="single"/>
        </w:rPr>
        <w:t>supplier</w:t>
      </w:r>
      <w:r w:rsidRPr="00273105">
        <w:rPr>
          <w:rFonts w:eastAsia="Calibri"/>
          <w:color w:val="000000"/>
          <w:sz w:val="26"/>
          <w:szCs w:val="26"/>
          <w:u w:val="single"/>
        </w:rPr>
        <w:t xml:space="preserve"> participating in </w:t>
      </w:r>
      <w:r w:rsidRPr="00273105">
        <w:rPr>
          <w:rFonts w:eastAsia="Calibri"/>
          <w:strike/>
          <w:color w:val="000000"/>
          <w:sz w:val="26"/>
          <w:szCs w:val="26"/>
          <w:u w:val="single"/>
        </w:rPr>
        <w:t>a</w:t>
      </w:r>
      <w:r w:rsidRPr="00273105">
        <w:rPr>
          <w:rFonts w:eastAsia="Calibri"/>
          <w:color w:val="000000"/>
          <w:sz w:val="26"/>
          <w:szCs w:val="26"/>
          <w:u w:val="single"/>
        </w:rPr>
        <w:t xml:space="preserve"> </w:t>
      </w:r>
      <w:r w:rsidRPr="00273105">
        <w:rPr>
          <w:rFonts w:eastAsia="Calibri"/>
          <w:color w:val="000000"/>
          <w:sz w:val="26"/>
          <w:szCs w:val="26"/>
        </w:rPr>
        <w:t xml:space="preserve">THE NGDC’S </w:t>
      </w:r>
      <w:r w:rsidRPr="00273105">
        <w:rPr>
          <w:rFonts w:eastAsia="Calibri"/>
          <w:strike/>
          <w:color w:val="000000"/>
          <w:sz w:val="26"/>
          <w:szCs w:val="26"/>
          <w:u w:val="single"/>
        </w:rPr>
        <w:t>NGDC</w:t>
      </w:r>
      <w:r w:rsidRPr="00273105">
        <w:rPr>
          <w:rFonts w:eastAsia="Calibri"/>
          <w:color w:val="000000"/>
          <w:sz w:val="26"/>
          <w:szCs w:val="26"/>
          <w:u w:val="single"/>
        </w:rPr>
        <w:t xml:space="preserve"> purchase of receivables program that </w:t>
      </w:r>
      <w:r w:rsidRPr="00273105">
        <w:rPr>
          <w:rFonts w:eastAsia="Calibri"/>
          <w:color w:val="000000"/>
          <w:sz w:val="26"/>
          <w:szCs w:val="26"/>
        </w:rPr>
        <w:t xml:space="preserve">HAS BEEN APPROVED BY THE COMMISSION AS BEING </w:t>
      </w:r>
      <w:r w:rsidRPr="00273105">
        <w:rPr>
          <w:rFonts w:eastAsia="Calibri"/>
          <w:strike/>
          <w:color w:val="000000"/>
          <w:sz w:val="26"/>
          <w:szCs w:val="26"/>
          <w:u w:val="single"/>
        </w:rPr>
        <w:t xml:space="preserve">is </w:t>
      </w:r>
      <w:r w:rsidRPr="00273105">
        <w:rPr>
          <w:rFonts w:eastAsia="Calibri"/>
          <w:color w:val="000000"/>
          <w:sz w:val="26"/>
          <w:szCs w:val="26"/>
          <w:u w:val="single"/>
        </w:rPr>
        <w:t>consistent with Commission orders, guidelines and regulations governing such programs.</w:t>
      </w:r>
    </w:p>
    <w:p w:rsidR="006A7B88" w:rsidRPr="00273105" w:rsidRDefault="006A7B88" w:rsidP="00C059DA">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(vi)  Calls on capacity</w:t>
      </w:r>
      <w:r w:rsidR="00451E66" w:rsidRPr="00273105">
        <w:rPr>
          <w:rFonts w:eastAsia="Calibri"/>
          <w:color w:val="000000"/>
          <w:sz w:val="26"/>
          <w:szCs w:val="26"/>
          <w:u w:val="single"/>
        </w:rPr>
        <w:t>,</w:t>
      </w:r>
      <w:r w:rsidR="00451E66" w:rsidRPr="00273105">
        <w:rPr>
          <w:rFonts w:eastAsia="Calibri"/>
          <w:color w:val="000000"/>
          <w:sz w:val="26"/>
          <w:szCs w:val="26"/>
        </w:rPr>
        <w:t xml:space="preserve"> </w:t>
      </w:r>
      <w:r w:rsidR="00FD7D14" w:rsidRPr="00273105">
        <w:rPr>
          <w:color w:val="000000"/>
          <w:sz w:val="26"/>
          <w:szCs w:val="26"/>
        </w:rPr>
        <w:t xml:space="preserve">NETTING NGDC GAS SUPPLY PURCHASES </w:t>
      </w:r>
      <w:r w:rsidR="009C62E5">
        <w:rPr>
          <w:color w:val="000000"/>
          <w:sz w:val="26"/>
          <w:szCs w:val="26"/>
        </w:rPr>
        <w:t xml:space="preserve">FROM THE NGS </w:t>
      </w:r>
      <w:r w:rsidR="00FD7D14" w:rsidRPr="00273105">
        <w:rPr>
          <w:color w:val="000000"/>
          <w:sz w:val="26"/>
          <w:szCs w:val="26"/>
        </w:rPr>
        <w:t xml:space="preserve">AGAINST NGS </w:t>
      </w:r>
      <w:r w:rsidR="00C651A1">
        <w:rPr>
          <w:color w:val="000000"/>
          <w:sz w:val="26"/>
          <w:szCs w:val="26"/>
        </w:rPr>
        <w:t xml:space="preserve">SECURITY </w:t>
      </w:r>
      <w:r w:rsidR="00FD7D14" w:rsidRPr="00273105">
        <w:rPr>
          <w:color w:val="000000"/>
          <w:sz w:val="26"/>
          <w:szCs w:val="26"/>
        </w:rPr>
        <w:t>REQUIREMENTS,</w:t>
      </w:r>
      <w:r w:rsidR="00FD7D14" w:rsidRPr="00273105">
        <w:rPr>
          <w:rFonts w:eastAsia="Calibri"/>
          <w:color w:val="000000"/>
          <w:sz w:val="26"/>
          <w:szCs w:val="26"/>
          <w:u w:val="single"/>
        </w:rPr>
        <w:t xml:space="preserve"> </w:t>
      </w:r>
      <w:r w:rsidRPr="00273105">
        <w:rPr>
          <w:rFonts w:eastAsia="Calibri"/>
          <w:color w:val="000000"/>
          <w:sz w:val="26"/>
          <w:szCs w:val="26"/>
          <w:u w:val="single"/>
        </w:rPr>
        <w:t>or other operational offsets as may be mutually agreed upon by the NGDC and the NGS.</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(VII)  CASH.</w:t>
      </w:r>
    </w:p>
    <w:p w:rsidR="00451E66" w:rsidRPr="00273105" w:rsidRDefault="00451E66"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(3)  In addition to the requirements in this section, small suppliers with annual operating revenues of less than $1 million may utilize real or personal property AS SECURITY with the following supporting documentation</w:t>
      </w:r>
      <w:r w:rsidRPr="00273105">
        <w:rPr>
          <w:rFonts w:eastAsia="Calibri"/>
          <w:strike/>
          <w:color w:val="000000"/>
          <w:sz w:val="26"/>
          <w:szCs w:val="26"/>
        </w:rPr>
        <w:t xml:space="preserve"> acceptable as security</w:t>
      </w:r>
      <w:r w:rsidRPr="00273105">
        <w:rPr>
          <w:rFonts w:eastAsia="Calibri"/>
          <w:color w:val="000000"/>
          <w:sz w:val="26"/>
          <w:szCs w:val="26"/>
        </w:rPr>
        <w:t xml:space="preserve">: </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(i)   A verified statement from the licensee that it has clear title to the property and that the property has not been pledged as collateral, or otherwise encumbered in regard to any other legal or financial transaction. </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(ii)   A current appraisal report of the market value of the property.</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 xml:space="preserve">(4)  When practicable, the NGDC shall use applicable North American Energy Standards Board forms or language for financial and legal instruments that are used as security. </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 xml:space="preserve">(5)  The NGDC shall file an annual report with the Secretary no later than April 30 of each year.  The report </w:t>
      </w:r>
      <w:r w:rsidR="0087617B" w:rsidRPr="00273105">
        <w:rPr>
          <w:rFonts w:eastAsia="Calibri"/>
          <w:color w:val="000000"/>
          <w:sz w:val="26"/>
          <w:szCs w:val="26"/>
          <w:u w:val="single"/>
        </w:rPr>
        <w:t>must</w:t>
      </w:r>
      <w:r w:rsidRPr="00273105">
        <w:rPr>
          <w:rFonts w:eastAsia="Calibri"/>
          <w:color w:val="000000"/>
          <w:sz w:val="26"/>
          <w:szCs w:val="26"/>
          <w:u w:val="single"/>
        </w:rPr>
        <w:t xml:space="preserve"> contain the following information for the prior calendar year:</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lastRenderedPageBreak/>
        <w:t xml:space="preserve">     </w:t>
      </w:r>
      <w:r w:rsidRPr="00273105">
        <w:rPr>
          <w:rFonts w:eastAsia="Calibri"/>
          <w:color w:val="000000"/>
          <w:sz w:val="26"/>
          <w:szCs w:val="26"/>
          <w:u w:val="single"/>
        </w:rPr>
        <w:t xml:space="preserve">(i)   The criteria that is </w:t>
      </w:r>
      <w:r w:rsidRPr="00273105">
        <w:rPr>
          <w:rFonts w:eastAsia="Calibri"/>
          <w:strike/>
          <w:color w:val="000000"/>
          <w:sz w:val="26"/>
          <w:szCs w:val="26"/>
          <w:u w:val="single"/>
        </w:rPr>
        <w:t>being</w:t>
      </w:r>
      <w:r w:rsidRPr="00273105">
        <w:rPr>
          <w:rFonts w:eastAsia="Calibri"/>
          <w:color w:val="000000"/>
          <w:sz w:val="26"/>
          <w:szCs w:val="26"/>
          <w:u w:val="single"/>
        </w:rPr>
        <w:t xml:space="preserve"> used to establish the amount of security that </w:t>
      </w:r>
      <w:r w:rsidRPr="00273105">
        <w:rPr>
          <w:rFonts w:eastAsia="Calibri"/>
          <w:color w:val="000000"/>
          <w:sz w:val="26"/>
          <w:szCs w:val="26"/>
        </w:rPr>
        <w:t>AN APPLICANT</w:t>
      </w:r>
      <w:r w:rsidRPr="00273105">
        <w:rPr>
          <w:rFonts w:eastAsia="Calibri"/>
          <w:color w:val="000000"/>
          <w:sz w:val="26"/>
          <w:szCs w:val="26"/>
          <w:u w:val="single"/>
        </w:rPr>
        <w:t xml:space="preserve"> </w:t>
      </w:r>
      <w:r w:rsidRPr="00273105">
        <w:rPr>
          <w:rFonts w:eastAsia="Calibri"/>
          <w:strike/>
          <w:color w:val="000000"/>
          <w:sz w:val="26"/>
          <w:szCs w:val="26"/>
          <w:u w:val="single"/>
        </w:rPr>
        <w:t>a supplier</w:t>
      </w:r>
      <w:r w:rsidRPr="00273105">
        <w:rPr>
          <w:rFonts w:eastAsia="Calibri"/>
          <w:color w:val="000000"/>
          <w:sz w:val="26"/>
          <w:szCs w:val="26"/>
          <w:u w:val="single"/>
        </w:rPr>
        <w:t xml:space="preserve"> must provide </w:t>
      </w:r>
      <w:r w:rsidR="00D30084" w:rsidRPr="00D30084">
        <w:rPr>
          <w:rFonts w:eastAsia="Calibri"/>
          <w:color w:val="000000"/>
          <w:sz w:val="26"/>
          <w:szCs w:val="26"/>
        </w:rPr>
        <w:t>TO THE NGDC</w:t>
      </w:r>
      <w:r w:rsidR="00FB331F" w:rsidRPr="00BC5C4C">
        <w:rPr>
          <w:rFonts w:eastAsia="Calibri"/>
          <w:color w:val="000000"/>
          <w:sz w:val="26"/>
          <w:szCs w:val="26"/>
        </w:rPr>
        <w:t xml:space="preserve"> </w:t>
      </w:r>
      <w:r w:rsidR="00241BC5" w:rsidRPr="00273105">
        <w:rPr>
          <w:rFonts w:eastAsia="Calibri"/>
          <w:color w:val="000000"/>
          <w:sz w:val="26"/>
          <w:szCs w:val="26"/>
        </w:rPr>
        <w:t xml:space="preserve">IN ORDER </w:t>
      </w:r>
      <w:r w:rsidRPr="00273105">
        <w:rPr>
          <w:rFonts w:eastAsia="Calibri"/>
          <w:color w:val="000000"/>
          <w:sz w:val="26"/>
          <w:szCs w:val="26"/>
          <w:u w:val="single"/>
        </w:rPr>
        <w:t>to be granted a license</w:t>
      </w:r>
      <w:r w:rsidR="00B81D61" w:rsidRPr="00273105">
        <w:rPr>
          <w:rFonts w:eastAsia="Calibri"/>
          <w:color w:val="000000"/>
          <w:sz w:val="26"/>
          <w:szCs w:val="26"/>
        </w:rPr>
        <w:t xml:space="preserve"> BY THE COMMISSION</w:t>
      </w:r>
      <w:r w:rsidRPr="00273105">
        <w:rPr>
          <w:rFonts w:eastAsia="Calibri"/>
          <w:color w:val="000000"/>
          <w:sz w:val="26"/>
          <w:szCs w:val="26"/>
          <w:u w:val="single"/>
        </w:rPr>
        <w:t xml:space="preserve">. </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 xml:space="preserve">(ii)  The criteria that is </w:t>
      </w:r>
      <w:r w:rsidRPr="00273105">
        <w:rPr>
          <w:rFonts w:eastAsia="Calibri"/>
          <w:strike/>
          <w:color w:val="000000"/>
          <w:sz w:val="26"/>
          <w:szCs w:val="26"/>
          <w:u w:val="single"/>
        </w:rPr>
        <w:t>being</w:t>
      </w:r>
      <w:r w:rsidRPr="00273105">
        <w:rPr>
          <w:rFonts w:eastAsia="Calibri"/>
          <w:color w:val="000000"/>
          <w:sz w:val="26"/>
          <w:szCs w:val="26"/>
          <w:u w:val="single"/>
        </w:rPr>
        <w:t xml:space="preserve"> used to determine the amount of security that a </w:t>
      </w:r>
      <w:r w:rsidRPr="00273105">
        <w:rPr>
          <w:rFonts w:eastAsia="Calibri"/>
          <w:strike/>
          <w:color w:val="000000"/>
          <w:sz w:val="26"/>
          <w:szCs w:val="26"/>
          <w:u w:val="single"/>
        </w:rPr>
        <w:t>supplier</w:t>
      </w:r>
      <w:r w:rsidRPr="00273105">
        <w:rPr>
          <w:rFonts w:eastAsia="Calibri"/>
          <w:color w:val="000000"/>
          <w:sz w:val="26"/>
          <w:szCs w:val="26"/>
        </w:rPr>
        <w:t xml:space="preserve"> LICENSEE </w:t>
      </w:r>
      <w:r w:rsidRPr="00273105">
        <w:rPr>
          <w:rFonts w:eastAsia="Calibri"/>
          <w:color w:val="000000"/>
          <w:sz w:val="26"/>
          <w:szCs w:val="26"/>
          <w:u w:val="single"/>
        </w:rPr>
        <w:t>must provide to</w:t>
      </w:r>
      <w:r w:rsidRPr="00273105">
        <w:rPr>
          <w:rFonts w:eastAsia="Calibri"/>
          <w:color w:val="000000"/>
          <w:sz w:val="26"/>
          <w:szCs w:val="26"/>
        </w:rPr>
        <w:t xml:space="preserve"> </w:t>
      </w:r>
      <w:r w:rsidR="00FB331F" w:rsidRPr="00273105">
        <w:rPr>
          <w:rFonts w:eastAsia="Calibri"/>
          <w:color w:val="000000"/>
          <w:sz w:val="26"/>
          <w:szCs w:val="26"/>
        </w:rPr>
        <w:t xml:space="preserve">ENSURE ITS FINANCIAL RESPONSIBILITY IN ORDER TO </w:t>
      </w:r>
      <w:r w:rsidRPr="00273105">
        <w:rPr>
          <w:rFonts w:eastAsia="Calibri"/>
          <w:color w:val="000000"/>
          <w:sz w:val="26"/>
          <w:szCs w:val="26"/>
          <w:u w:val="single"/>
        </w:rPr>
        <w:t xml:space="preserve">maintain a license. </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 xml:space="preserve">(iii)  The criteria that is </w:t>
      </w:r>
      <w:r w:rsidRPr="00273105">
        <w:rPr>
          <w:rFonts w:eastAsia="Calibri"/>
          <w:strike/>
          <w:color w:val="000000"/>
          <w:sz w:val="26"/>
          <w:szCs w:val="26"/>
          <w:u w:val="single"/>
        </w:rPr>
        <w:t>being</w:t>
      </w:r>
      <w:r w:rsidRPr="00273105">
        <w:rPr>
          <w:rFonts w:eastAsia="Calibri"/>
          <w:color w:val="000000"/>
          <w:sz w:val="26"/>
          <w:szCs w:val="26"/>
          <w:u w:val="single"/>
        </w:rPr>
        <w:t xml:space="preserve"> used to determine that a change in the amount of security is needed for the </w:t>
      </w:r>
      <w:r w:rsidRPr="00273105">
        <w:rPr>
          <w:rFonts w:eastAsia="Calibri"/>
          <w:strike/>
          <w:color w:val="000000"/>
          <w:sz w:val="26"/>
          <w:szCs w:val="26"/>
          <w:u w:val="single"/>
        </w:rPr>
        <w:t>supplier</w:t>
      </w:r>
      <w:r w:rsidRPr="00273105">
        <w:rPr>
          <w:rFonts w:eastAsia="Calibri"/>
          <w:color w:val="000000"/>
          <w:sz w:val="26"/>
          <w:szCs w:val="26"/>
          <w:u w:val="single"/>
        </w:rPr>
        <w:t xml:space="preserve"> </w:t>
      </w:r>
      <w:r w:rsidRPr="00273105">
        <w:rPr>
          <w:rFonts w:eastAsia="Calibri"/>
          <w:color w:val="000000"/>
          <w:sz w:val="26"/>
          <w:szCs w:val="26"/>
        </w:rPr>
        <w:t xml:space="preserve">LICENSEE </w:t>
      </w:r>
      <w:r w:rsidRPr="00273105">
        <w:rPr>
          <w:rFonts w:eastAsia="Calibri"/>
          <w:color w:val="000000"/>
          <w:sz w:val="26"/>
          <w:szCs w:val="26"/>
          <w:u w:val="single"/>
        </w:rPr>
        <w:t>to maintain a license.</w:t>
      </w:r>
    </w:p>
    <w:p w:rsidR="006A7B88" w:rsidRPr="00273105" w:rsidRDefault="006A7B88" w:rsidP="0040714D">
      <w:pPr>
        <w:spacing w:line="360" w:lineRule="auto"/>
        <w:rPr>
          <w:rFonts w:eastAsia="Calibri"/>
          <w:color w:val="000000"/>
          <w:sz w:val="26"/>
          <w:szCs w:val="26"/>
          <w:u w:val="single"/>
        </w:rPr>
      </w:pPr>
    </w:p>
    <w:p w:rsidR="00CA2FB7"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w:t>
      </w:r>
      <w:r w:rsidRPr="00273105">
        <w:rPr>
          <w:rFonts w:eastAsia="Calibri"/>
          <w:color w:val="000000"/>
          <w:sz w:val="26"/>
          <w:szCs w:val="26"/>
          <w:u w:val="single"/>
        </w:rPr>
        <w:t xml:space="preserve">(iv)  The number of </w:t>
      </w:r>
      <w:r w:rsidRPr="00273105">
        <w:rPr>
          <w:rFonts w:eastAsia="Calibri"/>
          <w:strike/>
          <w:color w:val="000000"/>
          <w:sz w:val="26"/>
          <w:szCs w:val="26"/>
          <w:u w:val="single"/>
        </w:rPr>
        <w:t>times</w:t>
      </w:r>
      <w:r w:rsidRPr="00273105">
        <w:rPr>
          <w:rFonts w:eastAsia="Calibri"/>
          <w:color w:val="000000"/>
          <w:sz w:val="26"/>
          <w:szCs w:val="26"/>
          <w:u w:val="single"/>
        </w:rPr>
        <w:t xml:space="preserve"> </w:t>
      </w:r>
      <w:r w:rsidR="00B81D61" w:rsidRPr="00273105">
        <w:rPr>
          <w:rFonts w:eastAsia="Calibri"/>
          <w:color w:val="000000"/>
          <w:sz w:val="26"/>
          <w:szCs w:val="26"/>
        </w:rPr>
        <w:t>INSTANCES</w:t>
      </w:r>
      <w:r w:rsidR="00B81D61" w:rsidRPr="00273105">
        <w:rPr>
          <w:rFonts w:eastAsia="Calibri"/>
          <w:color w:val="000000"/>
          <w:sz w:val="26"/>
          <w:szCs w:val="26"/>
          <w:u w:val="single"/>
        </w:rPr>
        <w:t xml:space="preserve"> </w:t>
      </w:r>
      <w:r w:rsidRPr="00273105">
        <w:rPr>
          <w:rFonts w:eastAsia="Calibri"/>
          <w:color w:val="000000"/>
          <w:sz w:val="26"/>
          <w:szCs w:val="26"/>
          <w:u w:val="single"/>
        </w:rPr>
        <w:t xml:space="preserve">in the last </w:t>
      </w:r>
      <w:r w:rsidRPr="00273105">
        <w:rPr>
          <w:rFonts w:eastAsia="Calibri"/>
          <w:strike/>
          <w:color w:val="000000"/>
          <w:sz w:val="26"/>
          <w:szCs w:val="26"/>
          <w:u w:val="single"/>
        </w:rPr>
        <w:t>quarter</w:t>
      </w:r>
      <w:r w:rsidRPr="00273105">
        <w:rPr>
          <w:rFonts w:eastAsia="Calibri"/>
          <w:color w:val="000000"/>
          <w:sz w:val="26"/>
          <w:szCs w:val="26"/>
        </w:rPr>
        <w:t xml:space="preserve"> </w:t>
      </w:r>
      <w:r w:rsidR="00B81D61" w:rsidRPr="00273105">
        <w:rPr>
          <w:rFonts w:eastAsia="Calibri"/>
          <w:color w:val="000000"/>
          <w:sz w:val="26"/>
          <w:szCs w:val="26"/>
        </w:rPr>
        <w:t>YEAR</w:t>
      </w:r>
      <w:r w:rsidRPr="00273105">
        <w:rPr>
          <w:rFonts w:eastAsia="Calibri"/>
          <w:color w:val="000000"/>
          <w:sz w:val="26"/>
          <w:szCs w:val="26"/>
        </w:rPr>
        <w:t xml:space="preserve"> </w:t>
      </w:r>
      <w:r w:rsidRPr="00273105">
        <w:rPr>
          <w:rFonts w:eastAsia="Calibri"/>
          <w:color w:val="000000"/>
          <w:sz w:val="26"/>
          <w:szCs w:val="26"/>
          <w:u w:val="single"/>
        </w:rPr>
        <w:t xml:space="preserve">that the NGDC determined that a change in the </w:t>
      </w:r>
      <w:r w:rsidR="004F2CD3" w:rsidRPr="00273105">
        <w:rPr>
          <w:rFonts w:eastAsia="Calibri"/>
          <w:strike/>
          <w:color w:val="000000"/>
          <w:sz w:val="26"/>
          <w:szCs w:val="26"/>
          <w:u w:val="single"/>
        </w:rPr>
        <w:t>level</w:t>
      </w:r>
      <w:r w:rsidRPr="00273105">
        <w:rPr>
          <w:rFonts w:eastAsia="Calibri"/>
          <w:color w:val="000000"/>
          <w:sz w:val="26"/>
          <w:szCs w:val="26"/>
          <w:u w:val="single"/>
        </w:rPr>
        <w:t xml:space="preserve"> </w:t>
      </w:r>
      <w:r w:rsidR="0087617B" w:rsidRPr="00273105">
        <w:rPr>
          <w:rFonts w:eastAsia="Calibri"/>
          <w:color w:val="000000"/>
          <w:sz w:val="26"/>
          <w:szCs w:val="26"/>
        </w:rPr>
        <w:t>AMOUNT</w:t>
      </w:r>
      <w:r w:rsidR="0087617B" w:rsidRPr="00273105">
        <w:rPr>
          <w:rFonts w:eastAsia="Calibri"/>
          <w:color w:val="000000"/>
          <w:sz w:val="26"/>
          <w:szCs w:val="26"/>
          <w:u w:val="single"/>
        </w:rPr>
        <w:t xml:space="preserve"> </w:t>
      </w:r>
      <w:r w:rsidRPr="00273105">
        <w:rPr>
          <w:rFonts w:eastAsia="Calibri"/>
          <w:color w:val="000000"/>
          <w:sz w:val="26"/>
          <w:szCs w:val="26"/>
          <w:u w:val="single"/>
        </w:rPr>
        <w:t xml:space="preserve">of security was needed for a </w:t>
      </w:r>
      <w:r w:rsidRPr="00273105">
        <w:rPr>
          <w:rFonts w:eastAsia="Calibri"/>
          <w:strike/>
          <w:color w:val="000000"/>
          <w:sz w:val="26"/>
          <w:szCs w:val="26"/>
          <w:u w:val="single"/>
        </w:rPr>
        <w:t>supplier</w:t>
      </w:r>
      <w:r w:rsidRPr="00273105">
        <w:rPr>
          <w:rFonts w:eastAsia="Calibri"/>
          <w:color w:val="000000"/>
          <w:sz w:val="26"/>
          <w:szCs w:val="26"/>
          <w:u w:val="single"/>
        </w:rPr>
        <w:t xml:space="preserve"> </w:t>
      </w:r>
      <w:r w:rsidRPr="00273105">
        <w:rPr>
          <w:rFonts w:eastAsia="Calibri"/>
          <w:color w:val="000000"/>
          <w:sz w:val="26"/>
          <w:szCs w:val="26"/>
        </w:rPr>
        <w:t xml:space="preserve">LICENSEE </w:t>
      </w:r>
      <w:r w:rsidRPr="00273105">
        <w:rPr>
          <w:rFonts w:eastAsia="Calibri"/>
          <w:color w:val="000000"/>
          <w:sz w:val="26"/>
          <w:szCs w:val="26"/>
          <w:u w:val="single"/>
        </w:rPr>
        <w:t>to maintain its license.</w:t>
      </w:r>
      <w:r w:rsidRPr="00273105">
        <w:rPr>
          <w:rFonts w:eastAsia="Calibri"/>
          <w:color w:val="000000"/>
          <w:sz w:val="26"/>
          <w:szCs w:val="26"/>
        </w:rPr>
        <w:t xml:space="preserve"> FOR EACH INSTANCE, THE FOLLOWING INFORMATION SHALL BE REPORTED:</w:t>
      </w:r>
    </w:p>
    <w:p w:rsidR="00CA2FB7" w:rsidRPr="00273105" w:rsidRDefault="00CA2FB7" w:rsidP="0040714D">
      <w:pPr>
        <w:spacing w:line="360" w:lineRule="auto"/>
        <w:rPr>
          <w:rFonts w:eastAsia="Calibri"/>
          <w:color w:val="000000"/>
          <w:sz w:val="26"/>
          <w:szCs w:val="26"/>
        </w:rPr>
      </w:pPr>
      <w:r w:rsidRPr="00273105">
        <w:rPr>
          <w:rFonts w:eastAsia="Calibri"/>
          <w:color w:val="000000"/>
          <w:sz w:val="26"/>
          <w:szCs w:val="26"/>
        </w:rPr>
        <w:t xml:space="preserve">  (A) </w:t>
      </w:r>
      <w:r w:rsidR="0040714D" w:rsidRPr="00273105">
        <w:rPr>
          <w:rFonts w:eastAsia="Calibri"/>
          <w:color w:val="000000"/>
          <w:sz w:val="26"/>
          <w:szCs w:val="26"/>
        </w:rPr>
        <w:t xml:space="preserve"> THE NAME OF THE LICENSEE INVOLVED</w:t>
      </w:r>
      <w:r w:rsidRPr="00273105">
        <w:rPr>
          <w:rFonts w:eastAsia="Calibri"/>
          <w:color w:val="000000"/>
          <w:sz w:val="26"/>
          <w:szCs w:val="26"/>
        </w:rPr>
        <w:t>.</w:t>
      </w:r>
    </w:p>
    <w:p w:rsidR="00CA2FB7" w:rsidRPr="00273105" w:rsidRDefault="00CA2FB7" w:rsidP="0040714D">
      <w:pPr>
        <w:spacing w:line="360" w:lineRule="auto"/>
        <w:rPr>
          <w:rFonts w:eastAsia="Calibri"/>
          <w:color w:val="000000"/>
          <w:sz w:val="26"/>
          <w:szCs w:val="26"/>
        </w:rPr>
      </w:pPr>
      <w:r w:rsidRPr="00273105">
        <w:rPr>
          <w:rFonts w:eastAsia="Calibri"/>
          <w:color w:val="000000"/>
          <w:sz w:val="26"/>
          <w:szCs w:val="26"/>
        </w:rPr>
        <w:t xml:space="preserve"> </w:t>
      </w:r>
      <w:r w:rsidR="0040714D" w:rsidRPr="00273105">
        <w:rPr>
          <w:rFonts w:eastAsia="Calibri"/>
          <w:color w:val="000000"/>
          <w:sz w:val="26"/>
          <w:szCs w:val="26"/>
        </w:rPr>
        <w:t xml:space="preserve"> </w:t>
      </w:r>
      <w:r w:rsidRPr="00273105">
        <w:rPr>
          <w:rFonts w:eastAsia="Calibri"/>
          <w:color w:val="000000"/>
          <w:sz w:val="26"/>
          <w:szCs w:val="26"/>
        </w:rPr>
        <w:t xml:space="preserve">(B)  </w:t>
      </w:r>
      <w:r w:rsidR="0040714D" w:rsidRPr="00273105">
        <w:rPr>
          <w:rFonts w:eastAsia="Calibri"/>
          <w:color w:val="000000"/>
          <w:sz w:val="26"/>
          <w:szCs w:val="26"/>
        </w:rPr>
        <w:t>THE DATE OF THE NGDC’S DETERMINATION</w:t>
      </w:r>
      <w:r w:rsidRPr="00273105">
        <w:rPr>
          <w:rFonts w:eastAsia="Calibri"/>
          <w:color w:val="000000"/>
          <w:sz w:val="26"/>
          <w:szCs w:val="26"/>
        </w:rPr>
        <w:t>.</w:t>
      </w:r>
      <w:r w:rsidR="0040714D" w:rsidRPr="00273105">
        <w:rPr>
          <w:rFonts w:eastAsia="Calibri"/>
          <w:color w:val="000000"/>
          <w:sz w:val="26"/>
          <w:szCs w:val="26"/>
        </w:rPr>
        <w:t xml:space="preserve"> </w:t>
      </w:r>
    </w:p>
    <w:p w:rsidR="00CA2FB7" w:rsidRPr="00273105" w:rsidRDefault="00CA2FB7" w:rsidP="0040714D">
      <w:pPr>
        <w:spacing w:line="360" w:lineRule="auto"/>
        <w:rPr>
          <w:rFonts w:eastAsia="Calibri"/>
          <w:color w:val="000000"/>
          <w:sz w:val="26"/>
          <w:szCs w:val="26"/>
        </w:rPr>
      </w:pPr>
      <w:r w:rsidRPr="00273105">
        <w:rPr>
          <w:rFonts w:eastAsia="Calibri"/>
          <w:color w:val="000000"/>
          <w:sz w:val="26"/>
          <w:szCs w:val="26"/>
        </w:rPr>
        <w:t xml:space="preserve">  (C)  </w:t>
      </w:r>
      <w:r w:rsidR="0040714D" w:rsidRPr="00273105">
        <w:rPr>
          <w:rFonts w:eastAsia="Calibri"/>
          <w:color w:val="000000"/>
          <w:sz w:val="26"/>
          <w:szCs w:val="26"/>
        </w:rPr>
        <w:t>THE REASON FOR THE DETERMINATION</w:t>
      </w:r>
      <w:r w:rsidRPr="00273105">
        <w:rPr>
          <w:rFonts w:eastAsia="Calibri"/>
          <w:color w:val="000000"/>
          <w:sz w:val="26"/>
          <w:szCs w:val="26"/>
        </w:rPr>
        <w:t>.</w:t>
      </w:r>
    </w:p>
    <w:p w:rsidR="0040714D" w:rsidRPr="00273105" w:rsidRDefault="00CA2FB7" w:rsidP="0040714D">
      <w:pPr>
        <w:spacing w:line="360" w:lineRule="auto"/>
        <w:rPr>
          <w:rFonts w:eastAsia="Calibri"/>
          <w:color w:val="000000"/>
          <w:sz w:val="26"/>
          <w:szCs w:val="26"/>
        </w:rPr>
      </w:pPr>
      <w:r w:rsidRPr="00273105">
        <w:rPr>
          <w:rFonts w:eastAsia="Calibri"/>
          <w:color w:val="000000"/>
          <w:sz w:val="26"/>
          <w:szCs w:val="26"/>
        </w:rPr>
        <w:t xml:space="preserve">  (D)  </w:t>
      </w:r>
      <w:r w:rsidR="0040714D" w:rsidRPr="00273105">
        <w:rPr>
          <w:rFonts w:eastAsia="Calibri"/>
          <w:color w:val="000000"/>
          <w:sz w:val="26"/>
          <w:szCs w:val="26"/>
        </w:rPr>
        <w:t>THE LICENSEE’S RESPONSE TO THE NGDC DETERMINATION.</w:t>
      </w:r>
    </w:p>
    <w:p w:rsidR="006A7B88" w:rsidRPr="00273105" w:rsidRDefault="006A7B88" w:rsidP="0040714D">
      <w:pPr>
        <w:spacing w:line="360" w:lineRule="auto"/>
        <w:rPr>
          <w:rFonts w:eastAsia="Calibri"/>
          <w:color w:val="000000"/>
          <w:sz w:val="26"/>
          <w:szCs w:val="26"/>
        </w:rPr>
      </w:pPr>
    </w:p>
    <w:p w:rsidR="00CD59C3"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w:t>
      </w:r>
      <w:r w:rsidRPr="00273105">
        <w:rPr>
          <w:rFonts w:eastAsia="Calibri"/>
          <w:color w:val="000000"/>
          <w:sz w:val="26"/>
          <w:szCs w:val="26"/>
          <w:u w:val="single"/>
        </w:rPr>
        <w:t xml:space="preserve">(v)  The types of legal </w:t>
      </w:r>
      <w:r w:rsidRPr="00273105">
        <w:rPr>
          <w:rFonts w:eastAsia="Calibri"/>
          <w:color w:val="000000"/>
          <w:sz w:val="26"/>
          <w:szCs w:val="26"/>
        </w:rPr>
        <w:t xml:space="preserve">INSTRUMENTS, </w:t>
      </w:r>
      <w:r w:rsidRPr="00273105">
        <w:rPr>
          <w:rFonts w:eastAsia="Calibri"/>
          <w:strike/>
          <w:color w:val="000000"/>
          <w:sz w:val="26"/>
          <w:szCs w:val="26"/>
          <w:u w:val="single"/>
        </w:rPr>
        <w:t xml:space="preserve">and </w:t>
      </w:r>
      <w:r w:rsidRPr="00273105">
        <w:rPr>
          <w:rFonts w:eastAsia="Calibri"/>
          <w:color w:val="000000"/>
          <w:sz w:val="26"/>
          <w:szCs w:val="26"/>
          <w:u w:val="single"/>
        </w:rPr>
        <w:t>financial instruments and property, real and personal, that the NGDC accepted as security for licensing purposes.</w:t>
      </w:r>
      <w:r w:rsidRPr="00273105">
        <w:rPr>
          <w:rFonts w:eastAsia="Calibri"/>
          <w:color w:val="000000"/>
          <w:sz w:val="26"/>
          <w:szCs w:val="26"/>
        </w:rPr>
        <w:t xml:space="preserve"> FOR EACH SECURITY TYPE REPORTED, THE FOLLOWING INFORMATION SHALL BE REPORTED: </w:t>
      </w:r>
    </w:p>
    <w:p w:rsidR="00CD59C3" w:rsidRPr="00273105" w:rsidRDefault="00CD59C3" w:rsidP="0040714D">
      <w:pPr>
        <w:spacing w:line="360" w:lineRule="auto"/>
        <w:rPr>
          <w:rFonts w:eastAsia="Calibri"/>
          <w:color w:val="000000"/>
          <w:sz w:val="26"/>
          <w:szCs w:val="26"/>
        </w:rPr>
      </w:pPr>
      <w:r w:rsidRPr="00273105">
        <w:rPr>
          <w:rFonts w:eastAsia="Calibri"/>
          <w:color w:val="000000"/>
          <w:sz w:val="26"/>
          <w:szCs w:val="26"/>
        </w:rPr>
        <w:t xml:space="preserve">  (A)  </w:t>
      </w:r>
      <w:r w:rsidR="0040714D" w:rsidRPr="00273105">
        <w:rPr>
          <w:rFonts w:eastAsia="Calibri"/>
          <w:color w:val="000000"/>
          <w:sz w:val="26"/>
          <w:szCs w:val="26"/>
        </w:rPr>
        <w:t>THE NAME OF THE APPLICANT OR LICENSEE INVOLVED</w:t>
      </w:r>
      <w:r w:rsidRPr="00273105">
        <w:rPr>
          <w:rFonts w:eastAsia="Calibri"/>
          <w:color w:val="000000"/>
          <w:sz w:val="26"/>
          <w:szCs w:val="26"/>
        </w:rPr>
        <w:t>.</w:t>
      </w:r>
    </w:p>
    <w:p w:rsidR="00CD59C3" w:rsidRPr="00273105" w:rsidRDefault="00CD59C3" w:rsidP="0040714D">
      <w:pPr>
        <w:spacing w:line="360" w:lineRule="auto"/>
        <w:rPr>
          <w:rFonts w:eastAsia="Calibri"/>
          <w:color w:val="000000"/>
          <w:sz w:val="26"/>
          <w:szCs w:val="26"/>
        </w:rPr>
      </w:pPr>
      <w:r w:rsidRPr="00273105">
        <w:rPr>
          <w:rFonts w:eastAsia="Calibri"/>
          <w:color w:val="000000"/>
          <w:sz w:val="26"/>
          <w:szCs w:val="26"/>
        </w:rPr>
        <w:t xml:space="preserve">  (B)  </w:t>
      </w:r>
      <w:r w:rsidR="0040714D" w:rsidRPr="00273105">
        <w:rPr>
          <w:rFonts w:eastAsia="Calibri"/>
          <w:color w:val="000000"/>
          <w:sz w:val="26"/>
          <w:szCs w:val="26"/>
        </w:rPr>
        <w:t>THE NAME AND ADDRESS OF THE BANK, COMPANY OR OTHER ENTITY THAT IS ACTING AS THE SURETY OR GUARANTOR</w:t>
      </w:r>
      <w:r w:rsidRPr="00273105">
        <w:rPr>
          <w:rFonts w:eastAsia="Calibri"/>
          <w:color w:val="000000"/>
          <w:sz w:val="26"/>
          <w:szCs w:val="26"/>
        </w:rPr>
        <w:t>.</w:t>
      </w:r>
      <w:r w:rsidR="0040714D" w:rsidRPr="00273105">
        <w:rPr>
          <w:rFonts w:eastAsia="Calibri"/>
          <w:color w:val="000000"/>
          <w:sz w:val="26"/>
          <w:szCs w:val="26"/>
        </w:rPr>
        <w:t xml:space="preserve"> </w:t>
      </w:r>
    </w:p>
    <w:p w:rsidR="00CD59C3" w:rsidRPr="00273105" w:rsidRDefault="00CD59C3" w:rsidP="0040714D">
      <w:pPr>
        <w:spacing w:line="360" w:lineRule="auto"/>
        <w:rPr>
          <w:rFonts w:eastAsia="Calibri"/>
          <w:color w:val="000000"/>
          <w:sz w:val="26"/>
          <w:szCs w:val="26"/>
        </w:rPr>
      </w:pPr>
      <w:r w:rsidRPr="00273105">
        <w:rPr>
          <w:rFonts w:eastAsia="Calibri"/>
          <w:color w:val="000000"/>
          <w:sz w:val="26"/>
          <w:szCs w:val="26"/>
        </w:rPr>
        <w:t xml:space="preserve">  (C) </w:t>
      </w:r>
      <w:r w:rsidR="0037028A" w:rsidRPr="00273105">
        <w:rPr>
          <w:rFonts w:eastAsia="Calibri"/>
          <w:color w:val="000000"/>
          <w:sz w:val="26"/>
          <w:szCs w:val="26"/>
        </w:rPr>
        <w:t>THE AMOUNT OF SECURITY</w:t>
      </w:r>
      <w:r w:rsidRPr="00273105">
        <w:rPr>
          <w:rFonts w:eastAsia="Calibri"/>
          <w:color w:val="000000"/>
          <w:sz w:val="26"/>
          <w:szCs w:val="26"/>
        </w:rPr>
        <w:t>.</w:t>
      </w:r>
    </w:p>
    <w:p w:rsidR="0040714D" w:rsidRPr="00273105" w:rsidRDefault="00CD59C3" w:rsidP="0040714D">
      <w:pPr>
        <w:spacing w:line="360" w:lineRule="auto"/>
        <w:rPr>
          <w:rFonts w:eastAsia="Calibri"/>
          <w:color w:val="000000"/>
          <w:sz w:val="26"/>
          <w:szCs w:val="26"/>
        </w:rPr>
      </w:pPr>
      <w:r w:rsidRPr="00273105">
        <w:rPr>
          <w:rFonts w:eastAsia="Calibri"/>
          <w:color w:val="000000"/>
          <w:sz w:val="26"/>
          <w:szCs w:val="26"/>
        </w:rPr>
        <w:t xml:space="preserve">  (D)  </w:t>
      </w:r>
      <w:r w:rsidR="0040714D" w:rsidRPr="00273105">
        <w:rPr>
          <w:rFonts w:eastAsia="Calibri"/>
          <w:color w:val="000000"/>
          <w:sz w:val="26"/>
          <w:szCs w:val="26"/>
        </w:rPr>
        <w:t>THE DATE THAT THE SECURITY WAS POSTED.</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w:t>
      </w:r>
      <w:r w:rsidRPr="00273105">
        <w:rPr>
          <w:rFonts w:eastAsia="Calibri"/>
          <w:color w:val="000000"/>
          <w:sz w:val="26"/>
          <w:szCs w:val="26"/>
          <w:u w:val="single"/>
        </w:rPr>
        <w:t>(6)</w:t>
      </w:r>
      <w:r w:rsidRPr="00273105">
        <w:rPr>
          <w:rFonts w:eastAsia="Calibri"/>
          <w:color w:val="000000"/>
          <w:sz w:val="26"/>
          <w:szCs w:val="26"/>
        </w:rPr>
        <w:t xml:space="preserve">  WHEN A NGDC DETERMINES THAT AN ADJUSTMENT IN THE AMOUNT OR TYPE OF SECURITY THAT A LICENSEE MUST PROVIDE TO MAINTAIN ITS LICENSE IS WARRANTED, THE NGDC SHALL PROVIDE NOTICE OF ITS DETERMINATION TO THE LICENSEE IN WRITING. THE NGDC’S DETERMINATION SHALL BE BASED ON THE CRITERIA LISTED IN </w:t>
      </w:r>
      <w:r w:rsidR="00CD59C3" w:rsidRPr="00273105">
        <w:rPr>
          <w:rFonts w:eastAsia="Calibri"/>
          <w:color w:val="000000"/>
          <w:sz w:val="26"/>
          <w:szCs w:val="26"/>
        </w:rPr>
        <w:t xml:space="preserve">       </w:t>
      </w:r>
      <w:r w:rsidR="00C700B7" w:rsidRPr="00273105">
        <w:rPr>
          <w:rFonts w:eastAsia="Calibri"/>
          <w:color w:val="000000"/>
          <w:sz w:val="26"/>
          <w:szCs w:val="26"/>
        </w:rPr>
        <w:t xml:space="preserve">              </w:t>
      </w:r>
      <w:r w:rsidR="00CD59C3" w:rsidRPr="00273105">
        <w:rPr>
          <w:rFonts w:eastAsia="Calibri"/>
          <w:color w:val="000000"/>
          <w:sz w:val="26"/>
          <w:szCs w:val="26"/>
        </w:rPr>
        <w:t xml:space="preserve">§ </w:t>
      </w:r>
      <w:r w:rsidRPr="00273105">
        <w:rPr>
          <w:rFonts w:eastAsia="Calibri"/>
          <w:color w:val="000000"/>
          <w:sz w:val="26"/>
          <w:szCs w:val="26"/>
        </w:rPr>
        <w:t>62.111(</w:t>
      </w:r>
      <w:r w:rsidR="00366321">
        <w:rPr>
          <w:rFonts w:eastAsia="Calibri"/>
          <w:color w:val="000000"/>
          <w:sz w:val="26"/>
          <w:szCs w:val="26"/>
        </w:rPr>
        <w:t>C</w:t>
      </w:r>
      <w:r w:rsidRPr="00273105">
        <w:rPr>
          <w:rFonts w:eastAsia="Calibri"/>
          <w:color w:val="000000"/>
          <w:sz w:val="26"/>
          <w:szCs w:val="26"/>
        </w:rPr>
        <w:t xml:space="preserve">)(1)(2)(3).  THE LICENSEE SHALL COMPLY WITH THE NGDC’S DETERMINATION NO LATER THAN </w:t>
      </w:r>
      <w:r w:rsidR="000E74F7" w:rsidRPr="00273105">
        <w:rPr>
          <w:rFonts w:eastAsia="Calibri"/>
          <w:color w:val="000000"/>
          <w:sz w:val="26"/>
          <w:szCs w:val="26"/>
        </w:rPr>
        <w:t>5</w:t>
      </w:r>
      <w:r w:rsidRPr="00273105">
        <w:rPr>
          <w:rFonts w:eastAsia="Calibri"/>
          <w:color w:val="000000"/>
          <w:sz w:val="26"/>
          <w:szCs w:val="26"/>
        </w:rPr>
        <w:t xml:space="preserve"> </w:t>
      </w:r>
      <w:r w:rsidR="00721BAB">
        <w:rPr>
          <w:rFonts w:eastAsia="Calibri"/>
          <w:color w:val="000000"/>
          <w:sz w:val="26"/>
          <w:szCs w:val="26"/>
        </w:rPr>
        <w:t xml:space="preserve">BUSINESS </w:t>
      </w:r>
      <w:r w:rsidRPr="00273105">
        <w:rPr>
          <w:rFonts w:eastAsia="Calibri"/>
          <w:color w:val="000000"/>
          <w:sz w:val="26"/>
          <w:szCs w:val="26"/>
        </w:rPr>
        <w:t xml:space="preserve">DAYS AFTER </w:t>
      </w:r>
      <w:r w:rsidR="003251C2" w:rsidRPr="00273105">
        <w:rPr>
          <w:rFonts w:eastAsia="Calibri"/>
          <w:color w:val="000000"/>
          <w:sz w:val="26"/>
          <w:szCs w:val="26"/>
        </w:rPr>
        <w:t xml:space="preserve">THE DATE THAT </w:t>
      </w:r>
      <w:r w:rsidR="005C5826" w:rsidRPr="00273105">
        <w:rPr>
          <w:color w:val="000000"/>
          <w:sz w:val="26"/>
          <w:szCs w:val="26"/>
        </w:rPr>
        <w:t>THE LICENSEE WAS</w:t>
      </w:r>
      <w:r w:rsidR="00FF76E6" w:rsidRPr="00273105">
        <w:rPr>
          <w:color w:val="000000"/>
          <w:sz w:val="26"/>
          <w:szCs w:val="26"/>
        </w:rPr>
        <w:t xml:space="preserve"> SERVED WITH NOTICE OF THE NGDC’S DETERMINATION.</w:t>
      </w:r>
      <w:r w:rsidR="004F2CD3" w:rsidRPr="00273105">
        <w:rPr>
          <w:rFonts w:eastAsia="Calibri"/>
          <w:color w:val="000000"/>
          <w:sz w:val="26"/>
          <w:szCs w:val="26"/>
        </w:rPr>
        <w:t xml:space="preserve">  WHEN THE LICENSEE DISAGREES WITH THE NGD</w:t>
      </w:r>
      <w:r w:rsidRPr="00273105">
        <w:rPr>
          <w:rFonts w:eastAsia="Calibri"/>
          <w:color w:val="000000"/>
          <w:sz w:val="26"/>
          <w:szCs w:val="26"/>
        </w:rPr>
        <w:t xml:space="preserve">C’S DETERMINATION, THE LICENSEE MAY FILE A DISPUTE WITH THE NGDC PURSUANT TO </w:t>
      </w:r>
      <w:r w:rsidR="00A137D7" w:rsidRPr="00273105">
        <w:rPr>
          <w:rFonts w:eastAsia="Calibri"/>
          <w:color w:val="000000"/>
          <w:sz w:val="26"/>
          <w:szCs w:val="26"/>
        </w:rPr>
        <w:t xml:space="preserve">§ </w:t>
      </w:r>
      <w:r w:rsidRPr="00273105">
        <w:rPr>
          <w:rFonts w:eastAsia="Calibri"/>
          <w:color w:val="000000"/>
          <w:sz w:val="26"/>
          <w:szCs w:val="26"/>
        </w:rPr>
        <w:t>62.111(C)(8).</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(7) A LICENSEE MAY REQUEST THAT THE NGDC ADJUST THE AMOUNT OR TYPE OF SECURITY </w:t>
      </w:r>
      <w:r w:rsidR="00A10DCC">
        <w:rPr>
          <w:rFonts w:eastAsia="Calibri"/>
          <w:color w:val="000000"/>
          <w:sz w:val="26"/>
          <w:szCs w:val="26"/>
        </w:rPr>
        <w:t>THE</w:t>
      </w:r>
      <w:r w:rsidR="00FF76E6" w:rsidRPr="00273105">
        <w:rPr>
          <w:rFonts w:eastAsia="Calibri"/>
          <w:color w:val="000000"/>
          <w:sz w:val="26"/>
          <w:szCs w:val="26"/>
        </w:rPr>
        <w:t xml:space="preserve"> </w:t>
      </w:r>
      <w:r w:rsidR="0044798D" w:rsidRPr="00273105">
        <w:rPr>
          <w:rFonts w:eastAsia="Calibri"/>
          <w:color w:val="000000"/>
          <w:sz w:val="26"/>
          <w:szCs w:val="26"/>
        </w:rPr>
        <w:t>LICENSEE</w:t>
      </w:r>
      <w:r w:rsidRPr="00273105">
        <w:rPr>
          <w:rFonts w:eastAsia="Calibri"/>
          <w:color w:val="000000"/>
          <w:sz w:val="26"/>
          <w:szCs w:val="26"/>
        </w:rPr>
        <w:t xml:space="preserve"> MUST PROVIDE TO MAINTAIN ITS LICENSE.  THE LICENSEE SHALL PROVIDE ITS REQUEST IN WRITING TO THE NGDC.  THE REQUEST SHALL BE BASED ON CRITERIA LISTED IN SECTION 62.111(</w:t>
      </w:r>
      <w:r w:rsidR="00A10DCC">
        <w:rPr>
          <w:rFonts w:eastAsia="Calibri"/>
          <w:color w:val="000000"/>
          <w:sz w:val="26"/>
          <w:szCs w:val="26"/>
        </w:rPr>
        <w:t>C</w:t>
      </w:r>
      <w:r w:rsidRPr="00273105">
        <w:rPr>
          <w:rFonts w:eastAsia="Calibri"/>
          <w:color w:val="000000"/>
          <w:sz w:val="26"/>
          <w:szCs w:val="26"/>
        </w:rPr>
        <w:t xml:space="preserve">)(1)(2)(3).  THE NGDC SHALL MAKE ITS DETERMINATION ON THE REQUEST AND SHALL PROVIDE A </w:t>
      </w:r>
      <w:r w:rsidR="00423A00" w:rsidRPr="00273105">
        <w:rPr>
          <w:rFonts w:eastAsia="Calibri"/>
          <w:color w:val="000000"/>
          <w:sz w:val="26"/>
          <w:szCs w:val="26"/>
        </w:rPr>
        <w:t xml:space="preserve">WRITTEN </w:t>
      </w:r>
      <w:r w:rsidRPr="00273105">
        <w:rPr>
          <w:rFonts w:eastAsia="Calibri"/>
          <w:color w:val="000000"/>
          <w:sz w:val="26"/>
          <w:szCs w:val="26"/>
        </w:rPr>
        <w:t xml:space="preserve">RESPONSE TO THE LICENSEE WITHIN </w:t>
      </w:r>
      <w:r w:rsidR="000E74F7" w:rsidRPr="00273105">
        <w:rPr>
          <w:rFonts w:eastAsia="Calibri"/>
          <w:color w:val="000000"/>
          <w:sz w:val="26"/>
          <w:szCs w:val="26"/>
        </w:rPr>
        <w:t>5</w:t>
      </w:r>
      <w:r w:rsidRPr="00273105">
        <w:rPr>
          <w:rFonts w:eastAsia="Calibri"/>
          <w:color w:val="000000"/>
          <w:sz w:val="26"/>
          <w:szCs w:val="26"/>
        </w:rPr>
        <w:t xml:space="preserve"> </w:t>
      </w:r>
      <w:r w:rsidR="00721BAB">
        <w:rPr>
          <w:rFonts w:eastAsia="Calibri"/>
          <w:color w:val="000000"/>
          <w:sz w:val="26"/>
          <w:szCs w:val="26"/>
        </w:rPr>
        <w:t xml:space="preserve">BUSINESS </w:t>
      </w:r>
      <w:r w:rsidRPr="00273105">
        <w:rPr>
          <w:rFonts w:eastAsia="Calibri"/>
          <w:color w:val="000000"/>
          <w:sz w:val="26"/>
          <w:szCs w:val="26"/>
        </w:rPr>
        <w:t xml:space="preserve">DAYS </w:t>
      </w:r>
      <w:r w:rsidR="00423A00" w:rsidRPr="00273105">
        <w:rPr>
          <w:rFonts w:eastAsia="Calibri"/>
          <w:color w:val="000000"/>
          <w:sz w:val="26"/>
          <w:szCs w:val="26"/>
        </w:rPr>
        <w:t>AFTER</w:t>
      </w:r>
      <w:r w:rsidRPr="00273105">
        <w:rPr>
          <w:rFonts w:eastAsia="Calibri"/>
          <w:color w:val="000000"/>
          <w:sz w:val="26"/>
          <w:szCs w:val="26"/>
        </w:rPr>
        <w:t xml:space="preserve"> THE DATE </w:t>
      </w:r>
      <w:r w:rsidR="00423A00" w:rsidRPr="00273105">
        <w:rPr>
          <w:rFonts w:eastAsia="Calibri"/>
          <w:color w:val="000000"/>
          <w:sz w:val="26"/>
          <w:szCs w:val="26"/>
        </w:rPr>
        <w:t xml:space="preserve">THAT </w:t>
      </w:r>
      <w:r w:rsidRPr="00273105">
        <w:rPr>
          <w:rFonts w:eastAsia="Calibri"/>
          <w:color w:val="000000"/>
          <w:sz w:val="26"/>
          <w:szCs w:val="26"/>
        </w:rPr>
        <w:t xml:space="preserve">THE REQUEST </w:t>
      </w:r>
      <w:r w:rsidR="005C5826" w:rsidRPr="00273105">
        <w:rPr>
          <w:rFonts w:eastAsia="Calibri"/>
          <w:color w:val="000000"/>
          <w:sz w:val="26"/>
          <w:szCs w:val="26"/>
        </w:rPr>
        <w:t>WAS</w:t>
      </w:r>
      <w:r w:rsidRPr="00273105">
        <w:rPr>
          <w:rFonts w:eastAsia="Calibri"/>
          <w:color w:val="000000"/>
          <w:sz w:val="26"/>
          <w:szCs w:val="26"/>
        </w:rPr>
        <w:t xml:space="preserve"> MADE.  WHEN THE NGDC AGREES TO THE REQUESTED ADJUSTMENT IN SECURITY, THE LICENSEE SHALL POST THE SECURITY WITHIN </w:t>
      </w:r>
      <w:r w:rsidR="000E74F7" w:rsidRPr="00273105">
        <w:rPr>
          <w:rFonts w:eastAsia="Calibri"/>
          <w:color w:val="000000"/>
          <w:sz w:val="26"/>
          <w:szCs w:val="26"/>
        </w:rPr>
        <w:t>5</w:t>
      </w:r>
      <w:r w:rsidRPr="00273105">
        <w:rPr>
          <w:rFonts w:eastAsia="Calibri"/>
          <w:color w:val="000000"/>
          <w:sz w:val="26"/>
          <w:szCs w:val="26"/>
        </w:rPr>
        <w:t xml:space="preserve"> </w:t>
      </w:r>
      <w:r w:rsidR="00721BAB">
        <w:rPr>
          <w:rFonts w:eastAsia="Calibri"/>
          <w:color w:val="000000"/>
          <w:sz w:val="26"/>
          <w:szCs w:val="26"/>
        </w:rPr>
        <w:t xml:space="preserve">BUSINESS </w:t>
      </w:r>
      <w:r w:rsidRPr="00273105">
        <w:rPr>
          <w:rFonts w:eastAsia="Calibri"/>
          <w:color w:val="000000"/>
          <w:sz w:val="26"/>
          <w:szCs w:val="26"/>
        </w:rPr>
        <w:t xml:space="preserve">DAYS </w:t>
      </w:r>
      <w:r w:rsidR="003251C2" w:rsidRPr="00273105">
        <w:rPr>
          <w:rFonts w:eastAsia="Calibri"/>
          <w:color w:val="000000"/>
          <w:sz w:val="26"/>
          <w:szCs w:val="26"/>
        </w:rPr>
        <w:t xml:space="preserve">AFTER THE DATE THAT </w:t>
      </w:r>
      <w:r w:rsidR="005C5826" w:rsidRPr="00273105">
        <w:rPr>
          <w:color w:val="000000"/>
          <w:sz w:val="26"/>
          <w:szCs w:val="26"/>
        </w:rPr>
        <w:t>THE LICENSEE WAS</w:t>
      </w:r>
      <w:r w:rsidR="003251C2" w:rsidRPr="00273105">
        <w:rPr>
          <w:color w:val="000000"/>
          <w:sz w:val="26"/>
          <w:szCs w:val="26"/>
        </w:rPr>
        <w:t xml:space="preserve"> SERVED WITH NOTICE OF THE NGDC’S DETERMINATION.</w:t>
      </w:r>
      <w:r w:rsidRPr="00273105">
        <w:rPr>
          <w:rFonts w:eastAsia="Calibri"/>
          <w:color w:val="000000"/>
          <w:sz w:val="26"/>
          <w:szCs w:val="26"/>
        </w:rPr>
        <w:t xml:space="preserve">  WHEN THE LICENSEE DISAGREES WITH THE NGDC’S DETERMINATION, THE LICENSEE MAY FILE A DISPUTE WITH THE NGDC PURSUANT TO </w:t>
      </w:r>
      <w:r w:rsidR="00A137D7" w:rsidRPr="00273105">
        <w:rPr>
          <w:rFonts w:eastAsia="Calibri"/>
          <w:color w:val="000000"/>
          <w:sz w:val="26"/>
          <w:szCs w:val="26"/>
        </w:rPr>
        <w:t>§</w:t>
      </w:r>
      <w:r w:rsidRPr="00273105">
        <w:rPr>
          <w:rFonts w:eastAsia="Calibri"/>
          <w:color w:val="000000"/>
          <w:sz w:val="26"/>
          <w:szCs w:val="26"/>
        </w:rPr>
        <w:t xml:space="preserve"> 62.111(C)(8).</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(8)  </w:t>
      </w:r>
      <w:r w:rsidRPr="00273105">
        <w:rPr>
          <w:rFonts w:eastAsia="Calibri"/>
          <w:color w:val="000000"/>
          <w:sz w:val="26"/>
          <w:szCs w:val="26"/>
          <w:u w:val="single"/>
        </w:rPr>
        <w:t xml:space="preserve">When there is a dispute relating to the form or amount of security, the </w:t>
      </w:r>
      <w:r w:rsidRPr="00273105">
        <w:rPr>
          <w:rFonts w:eastAsia="Calibri"/>
          <w:strike/>
          <w:color w:val="000000"/>
          <w:sz w:val="26"/>
          <w:szCs w:val="26"/>
          <w:u w:val="single"/>
        </w:rPr>
        <w:t xml:space="preserve">NGS </w:t>
      </w:r>
      <w:r w:rsidRPr="00273105">
        <w:rPr>
          <w:rFonts w:eastAsia="Calibri"/>
          <w:color w:val="000000"/>
          <w:sz w:val="26"/>
          <w:szCs w:val="26"/>
        </w:rPr>
        <w:t xml:space="preserve">APPLICANT OR LICENSEE SHALL NOTIFY THE NGDC OF THE DISPUTE AND </w:t>
      </w:r>
      <w:r w:rsidRPr="00273105">
        <w:rPr>
          <w:rFonts w:eastAsia="Calibri"/>
          <w:color w:val="000000"/>
          <w:sz w:val="26"/>
          <w:szCs w:val="26"/>
        </w:rPr>
        <w:lastRenderedPageBreak/>
        <w:t xml:space="preserve">ATTEMPT TO RESOLVE THE DISPUTE.  IF A RESOLUTION </w:t>
      </w:r>
      <w:r w:rsidR="00A137D7" w:rsidRPr="00273105">
        <w:rPr>
          <w:rFonts w:eastAsia="Calibri"/>
          <w:color w:val="000000"/>
          <w:sz w:val="26"/>
          <w:szCs w:val="26"/>
        </w:rPr>
        <w:t>IS NOT</w:t>
      </w:r>
      <w:r w:rsidRPr="00273105">
        <w:rPr>
          <w:rFonts w:eastAsia="Calibri"/>
          <w:color w:val="000000"/>
          <w:sz w:val="26"/>
          <w:szCs w:val="26"/>
        </w:rPr>
        <w:t xml:space="preserve"> REACHED WITHIN 30 DAYS AFTER THE </w:t>
      </w:r>
      <w:r w:rsidR="00423A00" w:rsidRPr="00273105">
        <w:rPr>
          <w:rFonts w:eastAsia="Calibri"/>
          <w:color w:val="000000"/>
          <w:sz w:val="26"/>
          <w:szCs w:val="26"/>
        </w:rPr>
        <w:t xml:space="preserve">DATE THAT THE </w:t>
      </w:r>
      <w:r w:rsidRPr="00273105">
        <w:rPr>
          <w:rFonts w:eastAsia="Calibri"/>
          <w:color w:val="000000"/>
          <w:sz w:val="26"/>
          <w:szCs w:val="26"/>
        </w:rPr>
        <w:t xml:space="preserve">NGDC IS NOTIFIED OF THE DISPUTE, THE APPLICANT OR THE LICENSEE </w:t>
      </w:r>
      <w:r w:rsidRPr="00273105">
        <w:rPr>
          <w:rFonts w:eastAsia="Calibri"/>
          <w:color w:val="000000"/>
          <w:sz w:val="26"/>
          <w:szCs w:val="26"/>
          <w:u w:val="single"/>
        </w:rPr>
        <w:t>may:</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w:t>
      </w:r>
      <w:r w:rsidRPr="00273105">
        <w:rPr>
          <w:rFonts w:eastAsia="Calibri"/>
          <w:color w:val="000000"/>
          <w:sz w:val="26"/>
          <w:szCs w:val="26"/>
          <w:u w:val="single"/>
        </w:rPr>
        <w:t>(i)  Submit the dispute to the Secretary for assignment to the appropriate bureau</w:t>
      </w:r>
      <w:r w:rsidR="00423A00" w:rsidRPr="00273105">
        <w:rPr>
          <w:rFonts w:eastAsia="Calibri"/>
          <w:color w:val="000000"/>
          <w:sz w:val="26"/>
          <w:szCs w:val="26"/>
        </w:rPr>
        <w:t>,</w:t>
      </w:r>
      <w:r w:rsidR="00423A00" w:rsidRPr="00273105">
        <w:rPr>
          <w:rFonts w:eastAsia="Calibri"/>
          <w:color w:val="000000"/>
          <w:sz w:val="26"/>
          <w:szCs w:val="26"/>
          <w:u w:val="single"/>
        </w:rPr>
        <w:t xml:space="preserve"> </w:t>
      </w:r>
      <w:r w:rsidR="00423A00" w:rsidRPr="00273105">
        <w:rPr>
          <w:rFonts w:eastAsia="Calibri"/>
          <w:color w:val="000000"/>
          <w:sz w:val="26"/>
          <w:szCs w:val="26"/>
        </w:rPr>
        <w:t>OFFICE</w:t>
      </w:r>
      <w:r w:rsidR="00706C3E" w:rsidRPr="00273105">
        <w:rPr>
          <w:rFonts w:eastAsia="Calibri"/>
          <w:color w:val="000000"/>
          <w:sz w:val="26"/>
          <w:szCs w:val="26"/>
        </w:rPr>
        <w:t>,</w:t>
      </w:r>
      <w:r w:rsidR="00423A00" w:rsidRPr="00273105">
        <w:rPr>
          <w:rFonts w:eastAsia="Calibri"/>
          <w:color w:val="000000"/>
          <w:sz w:val="26"/>
          <w:szCs w:val="26"/>
        </w:rPr>
        <w:t xml:space="preserve"> OR OTHER DESIGNATED UNIT</w:t>
      </w:r>
      <w:r w:rsidRPr="00273105">
        <w:rPr>
          <w:rFonts w:eastAsia="Calibri"/>
          <w:color w:val="000000"/>
          <w:sz w:val="26"/>
          <w:szCs w:val="26"/>
          <w:u w:val="single"/>
        </w:rPr>
        <w:t xml:space="preserve"> for informal mediation and resolution.</w:t>
      </w:r>
      <w:r w:rsidRPr="00273105">
        <w:rPr>
          <w:rFonts w:eastAsia="Calibri"/>
          <w:color w:val="000000"/>
          <w:sz w:val="26"/>
          <w:szCs w:val="26"/>
        </w:rPr>
        <w:t xml:space="preserve">  A PARTY </w:t>
      </w:r>
      <w:r w:rsidR="00B17FB1" w:rsidRPr="00273105">
        <w:rPr>
          <w:rFonts w:eastAsia="Calibri"/>
          <w:color w:val="000000"/>
          <w:sz w:val="26"/>
          <w:szCs w:val="26"/>
        </w:rPr>
        <w:t xml:space="preserve">DISSATISFIED WITH THE STAFF DETERMINATION </w:t>
      </w:r>
      <w:r w:rsidRPr="00273105">
        <w:rPr>
          <w:rFonts w:eastAsia="Calibri"/>
          <w:color w:val="000000"/>
          <w:sz w:val="26"/>
          <w:szCs w:val="26"/>
        </w:rPr>
        <w:t>MAY FILE A PETITION FOR APPEAL FROM A DECISION MADE BY THE BUREAU PURSUANT TO 52 PA. CODE § 5.44 (RELATING TO PETITIONS FOR APPEAL FROM STAFF) OR MAY FILE A FORMAL COMPLAINT WITH THE COMMISSION</w:t>
      </w:r>
      <w:r w:rsidR="00B17FB1" w:rsidRPr="00273105">
        <w:rPr>
          <w:rFonts w:eastAsia="Calibri"/>
          <w:color w:val="000000"/>
          <w:sz w:val="26"/>
          <w:szCs w:val="26"/>
        </w:rPr>
        <w:t xml:space="preserve"> PURSUANT TO 52 PA</w:t>
      </w:r>
      <w:r w:rsidR="00FE106E" w:rsidRPr="00273105">
        <w:rPr>
          <w:rFonts w:eastAsia="Calibri"/>
          <w:color w:val="000000"/>
          <w:sz w:val="26"/>
          <w:szCs w:val="26"/>
        </w:rPr>
        <w:t>.</w:t>
      </w:r>
      <w:r w:rsidR="00B17FB1" w:rsidRPr="00273105">
        <w:rPr>
          <w:rFonts w:eastAsia="Calibri"/>
          <w:color w:val="000000"/>
          <w:sz w:val="26"/>
          <w:szCs w:val="26"/>
        </w:rPr>
        <w:t xml:space="preserve"> CODE §§ 5.21-5.22 (RELATING TO FORMAL COMPLAINTS GENERALLY AND CONTENT OF FORMAL COMPLAINT)</w:t>
      </w:r>
      <w:r w:rsidRPr="00273105">
        <w:rPr>
          <w:rFonts w:eastAsia="Calibri"/>
          <w:color w:val="000000"/>
          <w:sz w:val="26"/>
          <w:szCs w:val="26"/>
        </w:rPr>
        <w:t xml:space="preserve">. </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(ii)  File a formal complaint with the Commission and request alternative dispute resolution by the Office of Administrative Law Judge.</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(iii)  File a formal complaint with the Commission and proceed with the litigation of the complaint.</w:t>
      </w:r>
    </w:p>
    <w:p w:rsidR="006A7B88" w:rsidRPr="00273105" w:rsidRDefault="006A7B88" w:rsidP="0040714D">
      <w:pPr>
        <w:spacing w:line="360" w:lineRule="auto"/>
        <w:rPr>
          <w:rFonts w:eastAsia="Calibri"/>
          <w:color w:val="000000"/>
          <w:sz w:val="26"/>
          <w:szCs w:val="26"/>
          <w:u w:val="single"/>
        </w:rPr>
      </w:pPr>
    </w:p>
    <w:p w:rsidR="0040714D" w:rsidRPr="00273105" w:rsidRDefault="0040714D" w:rsidP="0040714D">
      <w:pPr>
        <w:spacing w:line="360" w:lineRule="auto"/>
        <w:rPr>
          <w:rFonts w:eastAsia="Calibri"/>
          <w:color w:val="000000"/>
          <w:sz w:val="26"/>
          <w:szCs w:val="26"/>
          <w:u w:val="single"/>
        </w:rPr>
      </w:pPr>
      <w:r w:rsidRPr="00273105">
        <w:rPr>
          <w:rFonts w:eastAsia="Calibri"/>
          <w:color w:val="000000"/>
          <w:sz w:val="26"/>
          <w:szCs w:val="26"/>
        </w:rPr>
        <w:t xml:space="preserve">     </w:t>
      </w:r>
      <w:r w:rsidRPr="00273105">
        <w:rPr>
          <w:rFonts w:eastAsia="Calibri"/>
          <w:color w:val="000000"/>
          <w:sz w:val="26"/>
          <w:szCs w:val="26"/>
          <w:u w:val="single"/>
        </w:rPr>
        <w:t xml:space="preserve">(iv)  File a petition with the Commission and request review of the criteria used by the NGDC. </w:t>
      </w:r>
    </w:p>
    <w:p w:rsidR="006A7B88" w:rsidRPr="00273105" w:rsidRDefault="006A7B88" w:rsidP="0040714D">
      <w:pPr>
        <w:spacing w:line="360" w:lineRule="auto"/>
        <w:rPr>
          <w:rFonts w:eastAsia="Calibri"/>
          <w:color w:val="000000"/>
          <w:sz w:val="26"/>
          <w:szCs w:val="26"/>
          <w:u w:val="single"/>
        </w:rPr>
      </w:pPr>
    </w:p>
    <w:p w:rsidR="00FE79A2"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(9)    WHEN A LICENSEE SUBMITS A DISPUTE OR FILES A FORMAL COMPLAINT RELATING TO AN ADJUSTMENT IN SECURITY BY A NGDC, THE </w:t>
      </w:r>
      <w:r w:rsidR="006473AA" w:rsidRPr="00273105">
        <w:rPr>
          <w:rFonts w:eastAsia="Calibri"/>
          <w:color w:val="000000"/>
          <w:sz w:val="26"/>
          <w:szCs w:val="26"/>
        </w:rPr>
        <w:t>FOLLOWING OBLIGATIONS SHALL APPLY</w:t>
      </w:r>
      <w:r w:rsidR="009F5E54" w:rsidRPr="00273105">
        <w:rPr>
          <w:rFonts w:eastAsia="Calibri"/>
          <w:color w:val="000000"/>
          <w:sz w:val="26"/>
          <w:szCs w:val="26"/>
        </w:rPr>
        <w:t>:</w:t>
      </w:r>
    </w:p>
    <w:p w:rsidR="006A7B88" w:rsidRPr="00273105" w:rsidRDefault="006A7B88" w:rsidP="0040714D">
      <w:pPr>
        <w:spacing w:line="360" w:lineRule="auto"/>
        <w:rPr>
          <w:rFonts w:eastAsia="Calibri"/>
          <w:color w:val="000000"/>
          <w:sz w:val="26"/>
          <w:szCs w:val="26"/>
        </w:rPr>
      </w:pPr>
    </w:p>
    <w:p w:rsidR="0040714D" w:rsidRPr="00273105" w:rsidRDefault="00FE79A2" w:rsidP="0040714D">
      <w:pPr>
        <w:spacing w:line="360" w:lineRule="auto"/>
        <w:rPr>
          <w:rFonts w:eastAsia="Calibri"/>
          <w:color w:val="000000"/>
          <w:sz w:val="26"/>
          <w:szCs w:val="26"/>
        </w:rPr>
      </w:pPr>
      <w:r w:rsidRPr="00273105">
        <w:rPr>
          <w:rFonts w:eastAsia="Calibri"/>
          <w:color w:val="000000"/>
          <w:sz w:val="26"/>
          <w:szCs w:val="26"/>
        </w:rPr>
        <w:t xml:space="preserve">     </w:t>
      </w:r>
      <w:r w:rsidR="0040714D" w:rsidRPr="00273105">
        <w:rPr>
          <w:rFonts w:eastAsia="Calibri"/>
          <w:color w:val="000000"/>
          <w:sz w:val="26"/>
          <w:szCs w:val="26"/>
        </w:rPr>
        <w:t xml:space="preserve"> </w:t>
      </w:r>
      <w:r w:rsidRPr="00273105">
        <w:rPr>
          <w:rFonts w:eastAsia="Calibri"/>
          <w:color w:val="000000"/>
          <w:sz w:val="26"/>
          <w:szCs w:val="26"/>
        </w:rPr>
        <w:t>(I)</w:t>
      </w:r>
      <w:r w:rsidR="00F37F17" w:rsidRPr="00273105">
        <w:rPr>
          <w:rFonts w:eastAsia="Calibri"/>
          <w:color w:val="000000"/>
          <w:sz w:val="26"/>
          <w:szCs w:val="26"/>
        </w:rPr>
        <w:t xml:space="preserve">  </w:t>
      </w:r>
      <w:r w:rsidR="009F5E54" w:rsidRPr="00273105">
        <w:rPr>
          <w:rFonts w:eastAsia="Calibri"/>
          <w:color w:val="000000"/>
          <w:sz w:val="26"/>
          <w:szCs w:val="26"/>
        </w:rPr>
        <w:t xml:space="preserve">THE LICENSEE SHALL </w:t>
      </w:r>
      <w:r w:rsidR="0040714D" w:rsidRPr="00273105">
        <w:rPr>
          <w:rFonts w:eastAsia="Calibri"/>
          <w:color w:val="000000"/>
          <w:sz w:val="26"/>
          <w:szCs w:val="26"/>
        </w:rPr>
        <w:t xml:space="preserve">PROVIDE </w:t>
      </w:r>
      <w:r w:rsidR="00D23F59" w:rsidRPr="00273105">
        <w:rPr>
          <w:rFonts w:eastAsia="Calibri"/>
          <w:color w:val="000000"/>
          <w:sz w:val="26"/>
          <w:szCs w:val="26"/>
        </w:rPr>
        <w:t xml:space="preserve">TO THE NGDC </w:t>
      </w:r>
      <w:r w:rsidR="0040714D" w:rsidRPr="00273105">
        <w:rPr>
          <w:rFonts w:eastAsia="Calibri"/>
          <w:color w:val="000000"/>
          <w:sz w:val="26"/>
          <w:szCs w:val="26"/>
        </w:rPr>
        <w:t xml:space="preserve">THE ADJUSTED SECURITY AMOUNT </w:t>
      </w:r>
      <w:r w:rsidR="003D0344" w:rsidRPr="00273105">
        <w:rPr>
          <w:rFonts w:eastAsia="Calibri"/>
          <w:color w:val="000000"/>
          <w:sz w:val="26"/>
          <w:szCs w:val="26"/>
        </w:rPr>
        <w:t xml:space="preserve">AS DIRECTED BY THE NGDC.  THE LICENSEE SHALL </w:t>
      </w:r>
      <w:r w:rsidR="003D0344" w:rsidRPr="00273105">
        <w:rPr>
          <w:rFonts w:eastAsia="Calibri"/>
          <w:color w:val="000000"/>
          <w:sz w:val="26"/>
          <w:szCs w:val="26"/>
        </w:rPr>
        <w:lastRenderedPageBreak/>
        <w:t xml:space="preserve">MAINTAIN THE ADJUSTED AMOUNT OF SECURITY </w:t>
      </w:r>
      <w:r w:rsidR="0040714D" w:rsidRPr="00273105">
        <w:rPr>
          <w:rFonts w:eastAsia="Calibri"/>
          <w:color w:val="000000"/>
          <w:sz w:val="26"/>
          <w:szCs w:val="26"/>
        </w:rPr>
        <w:t xml:space="preserve">UNTIL THE DISPUTE </w:t>
      </w:r>
      <w:r w:rsidR="00F37F17" w:rsidRPr="00273105">
        <w:rPr>
          <w:rFonts w:eastAsia="Calibri"/>
          <w:color w:val="000000"/>
          <w:sz w:val="26"/>
          <w:szCs w:val="26"/>
        </w:rPr>
        <w:t xml:space="preserve">OR COMPLAINT IS </w:t>
      </w:r>
      <w:r w:rsidR="0040714D" w:rsidRPr="00273105">
        <w:rPr>
          <w:rFonts w:eastAsia="Calibri"/>
          <w:color w:val="000000"/>
          <w:sz w:val="26"/>
          <w:szCs w:val="26"/>
        </w:rPr>
        <w:t>RESOLVED OR UNTIL DIREC</w:t>
      </w:r>
      <w:r w:rsidRPr="00273105">
        <w:rPr>
          <w:rFonts w:eastAsia="Calibri"/>
          <w:color w:val="000000"/>
          <w:sz w:val="26"/>
          <w:szCs w:val="26"/>
        </w:rPr>
        <w:t>TED OTHERWISE BY THE COMMISSION</w:t>
      </w:r>
      <w:r w:rsidR="00AE3297" w:rsidRPr="00273105">
        <w:rPr>
          <w:rFonts w:eastAsia="Calibri"/>
          <w:color w:val="000000"/>
          <w:sz w:val="26"/>
          <w:szCs w:val="26"/>
        </w:rPr>
        <w:t>.</w:t>
      </w:r>
    </w:p>
    <w:p w:rsidR="006A7B88" w:rsidRPr="00273105" w:rsidRDefault="006A7B88" w:rsidP="0040714D">
      <w:pPr>
        <w:spacing w:line="360" w:lineRule="auto"/>
        <w:rPr>
          <w:rFonts w:eastAsia="Calibri"/>
          <w:color w:val="000000"/>
          <w:sz w:val="26"/>
          <w:szCs w:val="26"/>
        </w:rPr>
      </w:pPr>
    </w:p>
    <w:p w:rsidR="001C220A" w:rsidRPr="00273105" w:rsidRDefault="00F37F17" w:rsidP="0040714D">
      <w:pPr>
        <w:spacing w:line="360" w:lineRule="auto"/>
        <w:rPr>
          <w:rFonts w:eastAsia="Calibri"/>
          <w:color w:val="000000"/>
          <w:sz w:val="26"/>
          <w:szCs w:val="26"/>
        </w:rPr>
      </w:pPr>
      <w:r w:rsidRPr="00273105">
        <w:rPr>
          <w:rFonts w:eastAsia="Calibri"/>
          <w:color w:val="000000"/>
          <w:sz w:val="26"/>
          <w:szCs w:val="26"/>
        </w:rPr>
        <w:t xml:space="preserve">      (II)  </w:t>
      </w:r>
      <w:r w:rsidR="009F5E54" w:rsidRPr="00273105">
        <w:rPr>
          <w:rFonts w:eastAsia="Calibri"/>
          <w:color w:val="000000"/>
          <w:sz w:val="26"/>
          <w:szCs w:val="26"/>
        </w:rPr>
        <w:t xml:space="preserve">THE LICENSEE SHALL </w:t>
      </w:r>
      <w:r w:rsidRPr="00273105">
        <w:rPr>
          <w:rFonts w:eastAsia="Calibri"/>
          <w:color w:val="000000"/>
          <w:sz w:val="26"/>
          <w:szCs w:val="26"/>
        </w:rPr>
        <w:t xml:space="preserve">CONTINUE TO </w:t>
      </w:r>
      <w:r w:rsidR="00006DF6" w:rsidRPr="00273105">
        <w:rPr>
          <w:rFonts w:eastAsia="Calibri"/>
          <w:color w:val="000000"/>
          <w:sz w:val="26"/>
          <w:szCs w:val="26"/>
        </w:rPr>
        <w:t xml:space="preserve">OPERATE ON THE NGDC SYSTEM IN ACCORDANCE WITH </w:t>
      </w:r>
      <w:r w:rsidR="004C4F2C" w:rsidRPr="00273105">
        <w:rPr>
          <w:rFonts w:eastAsia="Calibri"/>
          <w:color w:val="000000"/>
          <w:sz w:val="26"/>
          <w:szCs w:val="26"/>
        </w:rPr>
        <w:t xml:space="preserve">SYSTEM </w:t>
      </w:r>
      <w:r w:rsidR="00507D0B" w:rsidRPr="00273105">
        <w:rPr>
          <w:rFonts w:eastAsia="Calibri"/>
          <w:color w:val="000000"/>
          <w:sz w:val="26"/>
          <w:szCs w:val="26"/>
        </w:rPr>
        <w:t xml:space="preserve">OPERATION AND BUSINESS </w:t>
      </w:r>
      <w:r w:rsidR="00006DF6" w:rsidRPr="00273105">
        <w:rPr>
          <w:rFonts w:eastAsia="Calibri"/>
          <w:color w:val="000000"/>
          <w:sz w:val="26"/>
          <w:szCs w:val="26"/>
        </w:rPr>
        <w:t>RULES AND PRA</w:t>
      </w:r>
      <w:r w:rsidR="004C4F2C" w:rsidRPr="00273105">
        <w:rPr>
          <w:rFonts w:eastAsia="Calibri"/>
          <w:color w:val="000000"/>
          <w:sz w:val="26"/>
          <w:szCs w:val="26"/>
        </w:rPr>
        <w:t xml:space="preserve">CTICES </w:t>
      </w:r>
      <w:r w:rsidR="001C220A" w:rsidRPr="00273105">
        <w:rPr>
          <w:rFonts w:eastAsia="Calibri"/>
          <w:color w:val="000000"/>
          <w:sz w:val="26"/>
          <w:szCs w:val="26"/>
        </w:rPr>
        <w:t>UNTIL THE DISPUTE OR COMPLAINT IS RESOLVED OR UNTIL DIRECTED OTHERWISE BY THE COMMISSION.</w:t>
      </w:r>
    </w:p>
    <w:p w:rsidR="006A7B88" w:rsidRPr="00273105" w:rsidRDefault="006A7B88" w:rsidP="0040714D">
      <w:pPr>
        <w:spacing w:line="360" w:lineRule="auto"/>
        <w:rPr>
          <w:rFonts w:eastAsia="Calibri"/>
          <w:color w:val="000000"/>
          <w:sz w:val="26"/>
          <w:szCs w:val="26"/>
        </w:rPr>
      </w:pPr>
    </w:p>
    <w:p w:rsidR="00F37F17" w:rsidRPr="00273105" w:rsidRDefault="001C220A" w:rsidP="0040714D">
      <w:pPr>
        <w:spacing w:line="360" w:lineRule="auto"/>
        <w:rPr>
          <w:rFonts w:eastAsia="Calibri"/>
          <w:color w:val="000000"/>
          <w:sz w:val="26"/>
          <w:szCs w:val="26"/>
        </w:rPr>
      </w:pPr>
      <w:r w:rsidRPr="00273105">
        <w:rPr>
          <w:rFonts w:eastAsia="Calibri"/>
          <w:color w:val="000000"/>
          <w:sz w:val="26"/>
          <w:szCs w:val="26"/>
        </w:rPr>
        <w:t xml:space="preserve">     (III) THE LICENSEE </w:t>
      </w:r>
      <w:r w:rsidR="00006DF6" w:rsidRPr="00273105">
        <w:rPr>
          <w:rFonts w:eastAsia="Calibri"/>
          <w:color w:val="000000"/>
          <w:sz w:val="26"/>
          <w:szCs w:val="26"/>
        </w:rPr>
        <w:t xml:space="preserve">SHALL </w:t>
      </w:r>
      <w:r w:rsidR="004C4F2C" w:rsidRPr="00273105">
        <w:rPr>
          <w:rFonts w:eastAsia="Calibri"/>
          <w:color w:val="000000"/>
          <w:sz w:val="26"/>
          <w:szCs w:val="26"/>
        </w:rPr>
        <w:t xml:space="preserve">CAUSE TO BE DELIVERED TO THE </w:t>
      </w:r>
      <w:r w:rsidRPr="00273105">
        <w:rPr>
          <w:rFonts w:eastAsia="Calibri"/>
          <w:color w:val="000000"/>
          <w:sz w:val="26"/>
          <w:szCs w:val="26"/>
        </w:rPr>
        <w:t xml:space="preserve">NGDC </w:t>
      </w:r>
      <w:r w:rsidR="004C4F2C" w:rsidRPr="00273105">
        <w:rPr>
          <w:rFonts w:eastAsia="Calibri"/>
          <w:color w:val="000000"/>
          <w:sz w:val="26"/>
          <w:szCs w:val="26"/>
        </w:rPr>
        <w:t>SYSTEM</w:t>
      </w:r>
      <w:r w:rsidR="00F37F17" w:rsidRPr="00273105">
        <w:rPr>
          <w:rFonts w:eastAsia="Calibri"/>
          <w:color w:val="000000"/>
          <w:sz w:val="26"/>
          <w:szCs w:val="26"/>
        </w:rPr>
        <w:t xml:space="preserve"> NATURAL GAS SUPPLY</w:t>
      </w:r>
      <w:r w:rsidR="009F5E54" w:rsidRPr="00273105">
        <w:rPr>
          <w:rFonts w:eastAsia="Calibri"/>
          <w:color w:val="000000"/>
          <w:sz w:val="26"/>
          <w:szCs w:val="26"/>
        </w:rPr>
        <w:t xml:space="preserve"> IN THE </w:t>
      </w:r>
      <w:r w:rsidRPr="00273105">
        <w:rPr>
          <w:rFonts w:eastAsia="Calibri"/>
          <w:color w:val="000000"/>
          <w:sz w:val="26"/>
          <w:szCs w:val="26"/>
        </w:rPr>
        <w:t>VOLUME</w:t>
      </w:r>
      <w:r w:rsidR="009F5E54" w:rsidRPr="00273105">
        <w:rPr>
          <w:rFonts w:eastAsia="Calibri"/>
          <w:color w:val="000000"/>
          <w:sz w:val="26"/>
          <w:szCs w:val="26"/>
        </w:rPr>
        <w:t xml:space="preserve"> NECESSARY TO FULFILL </w:t>
      </w:r>
      <w:r w:rsidR="00F37F17" w:rsidRPr="00273105">
        <w:rPr>
          <w:rFonts w:eastAsia="Calibri"/>
          <w:color w:val="000000"/>
          <w:sz w:val="26"/>
          <w:szCs w:val="26"/>
        </w:rPr>
        <w:t xml:space="preserve">ITS CUSTOMERS </w:t>
      </w:r>
      <w:r w:rsidR="009F5E54" w:rsidRPr="00273105">
        <w:rPr>
          <w:rFonts w:eastAsia="Calibri"/>
          <w:color w:val="000000"/>
          <w:sz w:val="26"/>
          <w:szCs w:val="26"/>
        </w:rPr>
        <w:t xml:space="preserve">REQUIREMENTS </w:t>
      </w:r>
      <w:r w:rsidR="00D9193B" w:rsidRPr="00273105">
        <w:rPr>
          <w:rFonts w:eastAsia="Calibri"/>
          <w:color w:val="000000"/>
          <w:sz w:val="26"/>
          <w:szCs w:val="26"/>
        </w:rPr>
        <w:t xml:space="preserve">AND SHALL PROVIDE CUSTOMER SUPPORT SERVICES </w:t>
      </w:r>
      <w:r w:rsidR="00F37F17" w:rsidRPr="00273105">
        <w:rPr>
          <w:rFonts w:eastAsia="Calibri"/>
          <w:color w:val="000000"/>
          <w:sz w:val="26"/>
          <w:szCs w:val="26"/>
        </w:rPr>
        <w:t xml:space="preserve">UNTIL THE DISPUTE OR COMPLAINT IS RESOLVED OR UNTIL DIRECTED </w:t>
      </w:r>
      <w:r w:rsidR="00311732" w:rsidRPr="00273105">
        <w:rPr>
          <w:rFonts w:eastAsia="Calibri"/>
          <w:color w:val="000000"/>
          <w:sz w:val="26"/>
          <w:szCs w:val="26"/>
        </w:rPr>
        <w:t xml:space="preserve">OTHERWISE </w:t>
      </w:r>
      <w:r w:rsidR="00F37F17" w:rsidRPr="00273105">
        <w:rPr>
          <w:rFonts w:eastAsia="Calibri"/>
          <w:color w:val="000000"/>
          <w:sz w:val="26"/>
          <w:szCs w:val="26"/>
        </w:rPr>
        <w:t>BY THE COMMISSION.</w:t>
      </w:r>
    </w:p>
    <w:p w:rsidR="006A7B88" w:rsidRPr="00273105" w:rsidRDefault="006A7B88" w:rsidP="0040714D">
      <w:pPr>
        <w:spacing w:line="360" w:lineRule="auto"/>
        <w:rPr>
          <w:rFonts w:eastAsia="Calibri"/>
          <w:color w:val="000000"/>
          <w:sz w:val="26"/>
          <w:szCs w:val="26"/>
        </w:rPr>
      </w:pPr>
    </w:p>
    <w:p w:rsidR="009F5E54" w:rsidRPr="00273105" w:rsidRDefault="009F5E54" w:rsidP="0040714D">
      <w:pPr>
        <w:spacing w:line="360" w:lineRule="auto"/>
        <w:rPr>
          <w:rFonts w:eastAsia="Calibri"/>
          <w:color w:val="000000"/>
          <w:sz w:val="26"/>
          <w:szCs w:val="26"/>
        </w:rPr>
      </w:pPr>
      <w:r w:rsidRPr="00273105">
        <w:rPr>
          <w:rFonts w:eastAsia="Calibri"/>
          <w:color w:val="000000"/>
          <w:sz w:val="26"/>
          <w:szCs w:val="26"/>
        </w:rPr>
        <w:t xml:space="preserve">     (</w:t>
      </w:r>
      <w:r w:rsidR="001C220A" w:rsidRPr="00273105">
        <w:rPr>
          <w:rFonts w:eastAsia="Calibri"/>
          <w:color w:val="000000"/>
          <w:sz w:val="26"/>
          <w:szCs w:val="26"/>
        </w:rPr>
        <w:t>IV</w:t>
      </w:r>
      <w:r w:rsidRPr="00273105">
        <w:rPr>
          <w:rFonts w:eastAsia="Calibri"/>
          <w:color w:val="000000"/>
          <w:sz w:val="26"/>
          <w:szCs w:val="26"/>
        </w:rPr>
        <w:t xml:space="preserve">)  THE NGDC SHALL PERMIT THE </w:t>
      </w:r>
      <w:r w:rsidR="006F1AB8" w:rsidRPr="00273105">
        <w:rPr>
          <w:rFonts w:eastAsia="Calibri"/>
          <w:color w:val="000000"/>
          <w:sz w:val="26"/>
          <w:szCs w:val="26"/>
        </w:rPr>
        <w:t xml:space="preserve">LICENSEE TO </w:t>
      </w:r>
      <w:r w:rsidRPr="00273105">
        <w:rPr>
          <w:rFonts w:eastAsia="Calibri"/>
          <w:color w:val="000000"/>
          <w:sz w:val="26"/>
          <w:szCs w:val="26"/>
        </w:rPr>
        <w:t>CONTINUE</w:t>
      </w:r>
      <w:r w:rsidR="006F1AB8" w:rsidRPr="00273105">
        <w:rPr>
          <w:rFonts w:eastAsia="Calibri"/>
          <w:color w:val="000000"/>
          <w:sz w:val="26"/>
          <w:szCs w:val="26"/>
        </w:rPr>
        <w:t xml:space="preserve"> </w:t>
      </w:r>
      <w:r w:rsidR="00AE3297" w:rsidRPr="00273105">
        <w:rPr>
          <w:rFonts w:eastAsia="Calibri"/>
          <w:color w:val="000000"/>
          <w:sz w:val="26"/>
          <w:szCs w:val="26"/>
        </w:rPr>
        <w:t xml:space="preserve">TO OPERATE </w:t>
      </w:r>
      <w:r w:rsidRPr="00273105">
        <w:rPr>
          <w:rFonts w:eastAsia="Calibri"/>
          <w:color w:val="000000"/>
          <w:sz w:val="26"/>
          <w:szCs w:val="26"/>
        </w:rPr>
        <w:t xml:space="preserve">ON </w:t>
      </w:r>
      <w:r w:rsidR="006F1AB8" w:rsidRPr="00273105">
        <w:rPr>
          <w:rFonts w:eastAsia="Calibri"/>
          <w:color w:val="000000"/>
          <w:sz w:val="26"/>
          <w:szCs w:val="26"/>
        </w:rPr>
        <w:t xml:space="preserve">THE </w:t>
      </w:r>
      <w:r w:rsidR="00AE3297" w:rsidRPr="00273105">
        <w:rPr>
          <w:rFonts w:eastAsia="Calibri"/>
          <w:color w:val="000000"/>
          <w:sz w:val="26"/>
          <w:szCs w:val="26"/>
        </w:rPr>
        <w:t xml:space="preserve">NGDC </w:t>
      </w:r>
      <w:r w:rsidR="006F1AB8" w:rsidRPr="00273105">
        <w:rPr>
          <w:rFonts w:eastAsia="Calibri"/>
          <w:color w:val="000000"/>
          <w:sz w:val="26"/>
          <w:szCs w:val="26"/>
        </w:rPr>
        <w:t>SYSTEM</w:t>
      </w:r>
      <w:r w:rsidRPr="00273105">
        <w:rPr>
          <w:rFonts w:eastAsia="Calibri"/>
          <w:color w:val="000000"/>
          <w:sz w:val="26"/>
          <w:szCs w:val="26"/>
        </w:rPr>
        <w:t xml:space="preserve"> </w:t>
      </w:r>
      <w:r w:rsidR="006F1AB8" w:rsidRPr="00273105">
        <w:rPr>
          <w:rFonts w:eastAsia="Calibri"/>
          <w:color w:val="000000"/>
          <w:sz w:val="26"/>
          <w:szCs w:val="26"/>
        </w:rPr>
        <w:t>UNTIL THE DISPUTE OR COMPLAINT IS RESOLVED OR UNTIL DIRECTED OTHERWISE BY THE COMMISSION.</w:t>
      </w:r>
    </w:p>
    <w:p w:rsidR="001C220A" w:rsidRPr="00273105" w:rsidRDefault="001C220A"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xml:space="preserve"> (d)  The licensee shall submit to the Commission documentation demonstrating that it has complied with the bonding or security requirement. One copy of each bond, letter of credit, or other financial or legal instrument or document evidencing an agreement between the licensee and the NGDC shall be submitted to the Commission. </w:t>
      </w:r>
    </w:p>
    <w:p w:rsidR="006A7B88" w:rsidRPr="00273105" w:rsidRDefault="006A7B88" w:rsidP="0040714D">
      <w:pPr>
        <w:spacing w:line="360" w:lineRule="auto"/>
        <w:rPr>
          <w:rFonts w:eastAsia="Calibri"/>
          <w:color w:val="000000"/>
          <w:sz w:val="26"/>
          <w:szCs w:val="26"/>
        </w:rPr>
      </w:pPr>
    </w:p>
    <w:p w:rsidR="0040714D" w:rsidRPr="00273105" w:rsidRDefault="0040714D" w:rsidP="0040714D">
      <w:pPr>
        <w:spacing w:line="360" w:lineRule="auto"/>
        <w:rPr>
          <w:rFonts w:eastAsia="Calibri"/>
          <w:color w:val="000000"/>
          <w:sz w:val="26"/>
          <w:szCs w:val="26"/>
        </w:rPr>
      </w:pPr>
      <w:r w:rsidRPr="00273105">
        <w:rPr>
          <w:rFonts w:eastAsia="Calibri"/>
          <w:color w:val="000000"/>
          <w:sz w:val="26"/>
          <w:szCs w:val="26"/>
        </w:rPr>
        <w:t> (e)  Licensee liability for violations of 66 Pa.C.S. (relating to the Public Utility Code) and Commission orders and regulations is not limited by these security requirements.</w:t>
      </w:r>
    </w:p>
    <w:p w:rsidR="0067483F" w:rsidRPr="00273105" w:rsidRDefault="0067483F">
      <w:pPr>
        <w:rPr>
          <w:color w:val="000000"/>
          <w:sz w:val="26"/>
          <w:szCs w:val="26"/>
        </w:rPr>
      </w:pPr>
    </w:p>
    <w:sectPr w:rsidR="0067483F" w:rsidRPr="00273105" w:rsidSect="005077DB">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069" w:rsidRDefault="00DA5069" w:rsidP="0067483F">
      <w:r>
        <w:separator/>
      </w:r>
    </w:p>
  </w:endnote>
  <w:endnote w:type="continuationSeparator" w:id="0">
    <w:p w:rsidR="00DA5069" w:rsidRDefault="00DA5069" w:rsidP="00674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69" w:rsidRPr="00EC1338" w:rsidRDefault="00AC58B1">
    <w:pPr>
      <w:pStyle w:val="Footer"/>
      <w:jc w:val="center"/>
      <w:rPr>
        <w:color w:val="000000"/>
      </w:rPr>
    </w:pPr>
    <w:r w:rsidRPr="00EC1338">
      <w:rPr>
        <w:color w:val="000000"/>
      </w:rPr>
      <w:fldChar w:fldCharType="begin"/>
    </w:r>
    <w:r w:rsidR="00E70569" w:rsidRPr="00EC1338">
      <w:rPr>
        <w:color w:val="000000"/>
      </w:rPr>
      <w:instrText xml:space="preserve"> PAGE   \* MERGEFORMAT </w:instrText>
    </w:r>
    <w:r w:rsidRPr="00EC1338">
      <w:rPr>
        <w:color w:val="000000"/>
      </w:rPr>
      <w:fldChar w:fldCharType="separate"/>
    </w:r>
    <w:r w:rsidR="00C776E6">
      <w:rPr>
        <w:noProof/>
        <w:color w:val="000000"/>
      </w:rPr>
      <w:t>30</w:t>
    </w:r>
    <w:r w:rsidRPr="00EC1338">
      <w:rPr>
        <w:color w:val="000000"/>
      </w:rPr>
      <w:fldChar w:fldCharType="end"/>
    </w:r>
  </w:p>
  <w:p w:rsidR="00E70569" w:rsidRPr="00B05083" w:rsidRDefault="00E70569">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69" w:rsidRPr="00363A52" w:rsidRDefault="00AC58B1">
    <w:pPr>
      <w:pStyle w:val="Footer"/>
      <w:jc w:val="center"/>
      <w:rPr>
        <w:color w:val="000000"/>
      </w:rPr>
    </w:pPr>
    <w:r w:rsidRPr="00363A52">
      <w:rPr>
        <w:color w:val="000000"/>
      </w:rPr>
      <w:fldChar w:fldCharType="begin"/>
    </w:r>
    <w:r w:rsidR="00E70569" w:rsidRPr="00363A52">
      <w:rPr>
        <w:color w:val="000000"/>
      </w:rPr>
      <w:instrText xml:space="preserve"> PAGE   \* MERGEFORMAT </w:instrText>
    </w:r>
    <w:r w:rsidRPr="00363A52">
      <w:rPr>
        <w:color w:val="000000"/>
      </w:rPr>
      <w:fldChar w:fldCharType="separate"/>
    </w:r>
    <w:r w:rsidR="00C776E6">
      <w:rPr>
        <w:noProof/>
        <w:color w:val="000000"/>
      </w:rPr>
      <w:t>1</w:t>
    </w:r>
    <w:r w:rsidRPr="00363A52">
      <w:rPr>
        <w:color w:val="000000"/>
      </w:rPr>
      <w:fldChar w:fldCharType="end"/>
    </w:r>
  </w:p>
  <w:p w:rsidR="00E70569" w:rsidRPr="00363A52" w:rsidRDefault="00E70569">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069" w:rsidRDefault="00DA5069" w:rsidP="0067483F">
      <w:r>
        <w:separator/>
      </w:r>
    </w:p>
  </w:footnote>
  <w:footnote w:type="continuationSeparator" w:id="0">
    <w:p w:rsidR="00DA5069" w:rsidRDefault="00DA5069" w:rsidP="0067483F">
      <w:r>
        <w:continuationSeparator/>
      </w:r>
    </w:p>
  </w:footnote>
  <w:footnote w:id="1">
    <w:p w:rsidR="00E70569" w:rsidRPr="00273105" w:rsidRDefault="00E70569" w:rsidP="002C7EC9">
      <w:r w:rsidRPr="00273105">
        <w:rPr>
          <w:rStyle w:val="FootnoteReference"/>
          <w:color w:val="000000"/>
          <w:sz w:val="22"/>
          <w:szCs w:val="22"/>
        </w:rPr>
        <w:footnoteRef/>
      </w:r>
      <w:r w:rsidRPr="00273105">
        <w:t xml:space="preserve"> The Stakeholders had been convened based on the Commission finding that “effective competition” did not exist in the retail natural gas market in accordance with 66 Pa.C.S. § 2204(g)(relating to investigation and report to General Assembly).  </w:t>
      </w:r>
      <w:r w:rsidRPr="00273105">
        <w:rPr>
          <w:i/>
        </w:rPr>
        <w:t>See Investigation into the Natural Gas Supply Market: Report to the General Assembly on Competition in Pennsylvania’s Retail Natural Gas Supply Market</w:t>
      </w:r>
      <w:r w:rsidRPr="00273105">
        <w:t>, Order entered at Docket No. I-00040103.</w:t>
      </w:r>
    </w:p>
    <w:p w:rsidR="00E70569" w:rsidRPr="00273105" w:rsidRDefault="00E70569" w:rsidP="0067483F">
      <w:pPr>
        <w:pStyle w:val="FootnoteText"/>
        <w:rPr>
          <w:color w:val="000000"/>
          <w:sz w:val="22"/>
          <w:szCs w:val="22"/>
        </w:rPr>
      </w:pPr>
    </w:p>
  </w:footnote>
  <w:footnote w:id="2">
    <w:p w:rsidR="00E70569" w:rsidRPr="00273105" w:rsidRDefault="00E70569" w:rsidP="00075819">
      <w:pPr>
        <w:pStyle w:val="FootnoteText"/>
        <w:rPr>
          <w:color w:val="000000"/>
          <w:sz w:val="22"/>
          <w:szCs w:val="22"/>
        </w:rPr>
      </w:pPr>
      <w:r w:rsidRPr="00273105">
        <w:rPr>
          <w:rStyle w:val="FootnoteReference"/>
          <w:color w:val="000000"/>
          <w:sz w:val="22"/>
          <w:szCs w:val="22"/>
        </w:rPr>
        <w:footnoteRef/>
      </w:r>
      <w:r w:rsidRPr="00273105">
        <w:rPr>
          <w:color w:val="000000"/>
          <w:sz w:val="22"/>
          <w:szCs w:val="22"/>
        </w:rPr>
        <w:t xml:space="preserve"> This subject is fully discussed in the </w:t>
      </w:r>
      <w:r w:rsidRPr="00273105">
        <w:rPr>
          <w:i/>
          <w:color w:val="000000"/>
          <w:sz w:val="22"/>
          <w:szCs w:val="22"/>
        </w:rPr>
        <w:t>SEARCH Report</w:t>
      </w:r>
      <w:r w:rsidRPr="00273105">
        <w:rPr>
          <w:color w:val="000000"/>
          <w:sz w:val="22"/>
          <w:szCs w:val="22"/>
        </w:rPr>
        <w:t xml:space="preserve"> in Section I (Creditworthiness/Security) at </w:t>
      </w:r>
    </w:p>
    <w:p w:rsidR="00E70569" w:rsidRPr="00273105" w:rsidRDefault="00E70569" w:rsidP="00075819">
      <w:pPr>
        <w:pStyle w:val="FootnoteText"/>
        <w:rPr>
          <w:color w:val="000000"/>
          <w:sz w:val="22"/>
          <w:szCs w:val="22"/>
        </w:rPr>
      </w:pPr>
      <w:r w:rsidRPr="00273105">
        <w:rPr>
          <w:color w:val="000000"/>
          <w:sz w:val="22"/>
          <w:szCs w:val="22"/>
        </w:rPr>
        <w:t>pp. 18-21.</w:t>
      </w:r>
    </w:p>
  </w:footnote>
  <w:footnote w:id="3">
    <w:p w:rsidR="00E70569" w:rsidRPr="00273105" w:rsidRDefault="00E70569">
      <w:pPr>
        <w:pStyle w:val="FootnoteText"/>
        <w:rPr>
          <w:color w:val="000000"/>
          <w:sz w:val="22"/>
          <w:szCs w:val="22"/>
        </w:rPr>
      </w:pPr>
      <w:r w:rsidRPr="00273105">
        <w:rPr>
          <w:rStyle w:val="FootnoteReference"/>
          <w:color w:val="000000"/>
          <w:sz w:val="22"/>
          <w:szCs w:val="22"/>
        </w:rPr>
        <w:footnoteRef/>
      </w:r>
      <w:r w:rsidRPr="00273105">
        <w:rPr>
          <w:color w:val="000000"/>
          <w:sz w:val="22"/>
          <w:szCs w:val="22"/>
        </w:rPr>
        <w:t xml:space="preserve">  Natural gas industry members of EAPA include Columbia Gas of PA, Dominion Peoples, Equitable Gas, National Fuel Gas Distribution Corp., PECO Energy Co., Philadelphia Gas Works, and UGI Utilities, Inc.</w:t>
      </w:r>
    </w:p>
  </w:footnote>
  <w:footnote w:id="4">
    <w:p w:rsidR="00E70569" w:rsidRPr="00273105" w:rsidRDefault="00E70569">
      <w:pPr>
        <w:pStyle w:val="FootnoteText"/>
        <w:rPr>
          <w:color w:val="000000"/>
          <w:sz w:val="22"/>
          <w:szCs w:val="22"/>
        </w:rPr>
      </w:pPr>
      <w:r w:rsidRPr="00273105">
        <w:rPr>
          <w:rStyle w:val="FootnoteReference"/>
          <w:color w:val="000000"/>
          <w:sz w:val="22"/>
          <w:szCs w:val="22"/>
        </w:rPr>
        <w:footnoteRef/>
      </w:r>
      <w:r w:rsidRPr="00273105">
        <w:rPr>
          <w:color w:val="000000"/>
          <w:sz w:val="22"/>
          <w:szCs w:val="22"/>
        </w:rPr>
        <w:t xml:space="preserve">  The NGS Parties include Agway Energy Services, LLC, Gateway Energy Services Corporation, Interstate Gas Supply, Inc., and Vectren Retail, LLC.</w:t>
      </w:r>
    </w:p>
  </w:footnote>
  <w:footnote w:id="5">
    <w:p w:rsidR="00E70569" w:rsidRPr="00273105" w:rsidRDefault="00E70569" w:rsidP="00BF2F3E">
      <w:pPr>
        <w:keepLines/>
        <w:rPr>
          <w:color w:val="000000"/>
          <w:sz w:val="22"/>
          <w:szCs w:val="22"/>
        </w:rPr>
      </w:pPr>
      <w:r w:rsidRPr="00273105">
        <w:rPr>
          <w:rStyle w:val="FootnoteReference"/>
          <w:color w:val="000000"/>
          <w:sz w:val="22"/>
          <w:szCs w:val="22"/>
        </w:rPr>
        <w:footnoteRef/>
      </w:r>
      <w:r w:rsidRPr="00273105">
        <w:rPr>
          <w:color w:val="000000"/>
          <w:sz w:val="22"/>
          <w:szCs w:val="22"/>
        </w:rPr>
        <w:t xml:space="preserve">  RESA is a non-profit trade association whose members are involved in the wholesale generation of electric generation and the competitive supply of natural gas to residential, commercial and industrial customers.  RESA’s members include Commerce Energy, Inc., Consolidated Edison Solutions, Inc., Direct Energy Services, LLC, Exelon Energy Company, Gexa Energy, Green Mountain Energy Company, Hess Corporation, Integrys Energy Services, Inc., Liberty Power Corporation, RRI Energy, Sempra Energy Solutions LLC, SUEZ Energy Resources NA, Inc., and US Energy Savings Corporation.  </w:t>
      </w:r>
    </w:p>
  </w:footnote>
  <w:footnote w:id="6">
    <w:p w:rsidR="00E70569" w:rsidRPr="00273105" w:rsidRDefault="00E70569" w:rsidP="0028329E">
      <w:pPr>
        <w:pStyle w:val="FootnoteText"/>
        <w:rPr>
          <w:color w:val="000000"/>
          <w:sz w:val="22"/>
          <w:szCs w:val="22"/>
        </w:rPr>
      </w:pPr>
      <w:r w:rsidRPr="00273105">
        <w:rPr>
          <w:rStyle w:val="FootnoteReference"/>
          <w:color w:val="000000"/>
          <w:sz w:val="22"/>
          <w:szCs w:val="22"/>
        </w:rPr>
        <w:footnoteRef/>
      </w:r>
      <w:r w:rsidRPr="00273105">
        <w:rPr>
          <w:color w:val="000000"/>
          <w:sz w:val="22"/>
          <w:szCs w:val="22"/>
        </w:rPr>
        <w:t xml:space="preserve"> In the SEARCH Action Plan, the Commission directed that an independent unit be created within the Commission to oversee the development and the functioning of the competitive retail natural gas market.  </w:t>
      </w:r>
      <w:r w:rsidRPr="00273105">
        <w:rPr>
          <w:i/>
          <w:color w:val="000000"/>
          <w:sz w:val="22"/>
          <w:szCs w:val="22"/>
        </w:rPr>
        <w:t>SEARCH Order</w:t>
      </w:r>
      <w:r w:rsidRPr="00273105">
        <w:rPr>
          <w:color w:val="000000"/>
          <w:sz w:val="22"/>
          <w:szCs w:val="22"/>
        </w:rPr>
        <w:t xml:space="preserve">, pp. 8-10 and Ordering Paragraph 5.  The unit, the Office of Competitive Market Supply, was created within the Office of the Director of Operations by Secretarial Letter dated January 9, 2009 at Docket No. M-2009-2082042.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7C59"/>
    <w:multiLevelType w:val="hybridMultilevel"/>
    <w:tmpl w:val="86EA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1"/>
    <w:footnote w:id="0"/>
  </w:footnotePr>
  <w:endnotePr>
    <w:endnote w:id="-1"/>
    <w:endnote w:id="0"/>
  </w:endnotePr>
  <w:compat/>
  <w:rsids>
    <w:rsidRoot w:val="0067483F"/>
    <w:rsid w:val="00002866"/>
    <w:rsid w:val="00002BCA"/>
    <w:rsid w:val="00003F2F"/>
    <w:rsid w:val="000060BB"/>
    <w:rsid w:val="00006DF6"/>
    <w:rsid w:val="00007201"/>
    <w:rsid w:val="00010067"/>
    <w:rsid w:val="00010613"/>
    <w:rsid w:val="00010FD7"/>
    <w:rsid w:val="000112E9"/>
    <w:rsid w:val="00016919"/>
    <w:rsid w:val="00016AF5"/>
    <w:rsid w:val="00021582"/>
    <w:rsid w:val="00023701"/>
    <w:rsid w:val="00023BB2"/>
    <w:rsid w:val="000255FB"/>
    <w:rsid w:val="00025685"/>
    <w:rsid w:val="00025FF4"/>
    <w:rsid w:val="00031040"/>
    <w:rsid w:val="00031C99"/>
    <w:rsid w:val="00033006"/>
    <w:rsid w:val="00034B0E"/>
    <w:rsid w:val="000355C0"/>
    <w:rsid w:val="0003572D"/>
    <w:rsid w:val="00035BDC"/>
    <w:rsid w:val="000407D9"/>
    <w:rsid w:val="000407F0"/>
    <w:rsid w:val="00044351"/>
    <w:rsid w:val="00044E8A"/>
    <w:rsid w:val="00046FA1"/>
    <w:rsid w:val="0004733B"/>
    <w:rsid w:val="000524D1"/>
    <w:rsid w:val="000606C7"/>
    <w:rsid w:val="00062232"/>
    <w:rsid w:val="00063F65"/>
    <w:rsid w:val="0006428B"/>
    <w:rsid w:val="000702F4"/>
    <w:rsid w:val="00072035"/>
    <w:rsid w:val="00073A6C"/>
    <w:rsid w:val="00074844"/>
    <w:rsid w:val="00074F4C"/>
    <w:rsid w:val="00075819"/>
    <w:rsid w:val="00080F38"/>
    <w:rsid w:val="0008188E"/>
    <w:rsid w:val="00081972"/>
    <w:rsid w:val="00081DAE"/>
    <w:rsid w:val="000873BC"/>
    <w:rsid w:val="00091489"/>
    <w:rsid w:val="00095E6E"/>
    <w:rsid w:val="000A44AE"/>
    <w:rsid w:val="000A6D2C"/>
    <w:rsid w:val="000A7015"/>
    <w:rsid w:val="000B1839"/>
    <w:rsid w:val="000B1926"/>
    <w:rsid w:val="000B2E10"/>
    <w:rsid w:val="000B4156"/>
    <w:rsid w:val="000C02B1"/>
    <w:rsid w:val="000C097B"/>
    <w:rsid w:val="000C19CD"/>
    <w:rsid w:val="000C2ACF"/>
    <w:rsid w:val="000C52DA"/>
    <w:rsid w:val="000C6C01"/>
    <w:rsid w:val="000D0E5E"/>
    <w:rsid w:val="000D29E2"/>
    <w:rsid w:val="000D4F82"/>
    <w:rsid w:val="000D5096"/>
    <w:rsid w:val="000D6235"/>
    <w:rsid w:val="000D6BD1"/>
    <w:rsid w:val="000D6EDA"/>
    <w:rsid w:val="000D7067"/>
    <w:rsid w:val="000D70A0"/>
    <w:rsid w:val="000E12B9"/>
    <w:rsid w:val="000E2758"/>
    <w:rsid w:val="000E5B22"/>
    <w:rsid w:val="000E6BB0"/>
    <w:rsid w:val="000E74F7"/>
    <w:rsid w:val="0010053F"/>
    <w:rsid w:val="00101FD3"/>
    <w:rsid w:val="0010609B"/>
    <w:rsid w:val="00107100"/>
    <w:rsid w:val="00107819"/>
    <w:rsid w:val="00115569"/>
    <w:rsid w:val="001233BA"/>
    <w:rsid w:val="00123AFD"/>
    <w:rsid w:val="001270E5"/>
    <w:rsid w:val="001327DF"/>
    <w:rsid w:val="0013367A"/>
    <w:rsid w:val="00134838"/>
    <w:rsid w:val="00137516"/>
    <w:rsid w:val="0013776F"/>
    <w:rsid w:val="00141E11"/>
    <w:rsid w:val="00141E54"/>
    <w:rsid w:val="001451F0"/>
    <w:rsid w:val="0014664D"/>
    <w:rsid w:val="00151F90"/>
    <w:rsid w:val="00155AB5"/>
    <w:rsid w:val="0015619F"/>
    <w:rsid w:val="0016080B"/>
    <w:rsid w:val="0016145E"/>
    <w:rsid w:val="00161C8B"/>
    <w:rsid w:val="00173E69"/>
    <w:rsid w:val="00174801"/>
    <w:rsid w:val="0017607B"/>
    <w:rsid w:val="001778DD"/>
    <w:rsid w:val="00182933"/>
    <w:rsid w:val="0018312D"/>
    <w:rsid w:val="00183A05"/>
    <w:rsid w:val="00185629"/>
    <w:rsid w:val="0018600C"/>
    <w:rsid w:val="00192090"/>
    <w:rsid w:val="001922F5"/>
    <w:rsid w:val="0019707E"/>
    <w:rsid w:val="00197645"/>
    <w:rsid w:val="0019767B"/>
    <w:rsid w:val="001A2D5E"/>
    <w:rsid w:val="001A397B"/>
    <w:rsid w:val="001A5ADA"/>
    <w:rsid w:val="001A64F5"/>
    <w:rsid w:val="001A708A"/>
    <w:rsid w:val="001B001C"/>
    <w:rsid w:val="001B324A"/>
    <w:rsid w:val="001B4213"/>
    <w:rsid w:val="001C220A"/>
    <w:rsid w:val="001C2B2B"/>
    <w:rsid w:val="001C2C1D"/>
    <w:rsid w:val="001C4405"/>
    <w:rsid w:val="001C723B"/>
    <w:rsid w:val="001D064D"/>
    <w:rsid w:val="001D0781"/>
    <w:rsid w:val="001D2A27"/>
    <w:rsid w:val="001D458E"/>
    <w:rsid w:val="001E7427"/>
    <w:rsid w:val="001F1AB6"/>
    <w:rsid w:val="001F651A"/>
    <w:rsid w:val="002003FC"/>
    <w:rsid w:val="00201A6A"/>
    <w:rsid w:val="00201C73"/>
    <w:rsid w:val="002033F4"/>
    <w:rsid w:val="00203BB6"/>
    <w:rsid w:val="002043C9"/>
    <w:rsid w:val="00210215"/>
    <w:rsid w:val="00217D60"/>
    <w:rsid w:val="002201DA"/>
    <w:rsid w:val="00222104"/>
    <w:rsid w:val="002230DF"/>
    <w:rsid w:val="00224127"/>
    <w:rsid w:val="002255E8"/>
    <w:rsid w:val="00226234"/>
    <w:rsid w:val="00227659"/>
    <w:rsid w:val="00230A1C"/>
    <w:rsid w:val="002313B5"/>
    <w:rsid w:val="00231917"/>
    <w:rsid w:val="00232DF4"/>
    <w:rsid w:val="002330F9"/>
    <w:rsid w:val="00241BC5"/>
    <w:rsid w:val="00245C8D"/>
    <w:rsid w:val="00246C09"/>
    <w:rsid w:val="00246D25"/>
    <w:rsid w:val="00250AB1"/>
    <w:rsid w:val="00251636"/>
    <w:rsid w:val="002544AE"/>
    <w:rsid w:val="002553B8"/>
    <w:rsid w:val="0025766A"/>
    <w:rsid w:val="00257F98"/>
    <w:rsid w:val="0026157D"/>
    <w:rsid w:val="002621D1"/>
    <w:rsid w:val="00262E6D"/>
    <w:rsid w:val="00264423"/>
    <w:rsid w:val="002645A2"/>
    <w:rsid w:val="00270127"/>
    <w:rsid w:val="00270C74"/>
    <w:rsid w:val="002730F0"/>
    <w:rsid w:val="00273105"/>
    <w:rsid w:val="00274768"/>
    <w:rsid w:val="00275531"/>
    <w:rsid w:val="00275DE3"/>
    <w:rsid w:val="0028329E"/>
    <w:rsid w:val="002847EA"/>
    <w:rsid w:val="002853B4"/>
    <w:rsid w:val="00287DED"/>
    <w:rsid w:val="002902A1"/>
    <w:rsid w:val="0029060E"/>
    <w:rsid w:val="00293382"/>
    <w:rsid w:val="00293905"/>
    <w:rsid w:val="00294935"/>
    <w:rsid w:val="00295306"/>
    <w:rsid w:val="002975A3"/>
    <w:rsid w:val="002A078E"/>
    <w:rsid w:val="002A372D"/>
    <w:rsid w:val="002A4B38"/>
    <w:rsid w:val="002A687C"/>
    <w:rsid w:val="002A6FC0"/>
    <w:rsid w:val="002B034F"/>
    <w:rsid w:val="002B13DE"/>
    <w:rsid w:val="002B1BF7"/>
    <w:rsid w:val="002B26BC"/>
    <w:rsid w:val="002B5AB9"/>
    <w:rsid w:val="002B63D7"/>
    <w:rsid w:val="002B6A4E"/>
    <w:rsid w:val="002C175C"/>
    <w:rsid w:val="002C1C26"/>
    <w:rsid w:val="002C2229"/>
    <w:rsid w:val="002C4F00"/>
    <w:rsid w:val="002C5F17"/>
    <w:rsid w:val="002C7EC9"/>
    <w:rsid w:val="002D2E47"/>
    <w:rsid w:val="002D325F"/>
    <w:rsid w:val="002D4CDB"/>
    <w:rsid w:val="002E0587"/>
    <w:rsid w:val="002E282B"/>
    <w:rsid w:val="002E7002"/>
    <w:rsid w:val="002E78D7"/>
    <w:rsid w:val="002F0DFD"/>
    <w:rsid w:val="002F144F"/>
    <w:rsid w:val="002F17FA"/>
    <w:rsid w:val="002F33FB"/>
    <w:rsid w:val="00301A62"/>
    <w:rsid w:val="00305214"/>
    <w:rsid w:val="003059D7"/>
    <w:rsid w:val="00305D54"/>
    <w:rsid w:val="00306995"/>
    <w:rsid w:val="00307885"/>
    <w:rsid w:val="00310F35"/>
    <w:rsid w:val="00311732"/>
    <w:rsid w:val="0031349C"/>
    <w:rsid w:val="003167DD"/>
    <w:rsid w:val="0032244C"/>
    <w:rsid w:val="00322586"/>
    <w:rsid w:val="00322C67"/>
    <w:rsid w:val="00324106"/>
    <w:rsid w:val="003251C2"/>
    <w:rsid w:val="00326E07"/>
    <w:rsid w:val="00335825"/>
    <w:rsid w:val="0033728A"/>
    <w:rsid w:val="003378B7"/>
    <w:rsid w:val="00340EBA"/>
    <w:rsid w:val="0034163F"/>
    <w:rsid w:val="0034171A"/>
    <w:rsid w:val="00341E3C"/>
    <w:rsid w:val="003460A8"/>
    <w:rsid w:val="00350944"/>
    <w:rsid w:val="00353A19"/>
    <w:rsid w:val="003579FB"/>
    <w:rsid w:val="00357AE6"/>
    <w:rsid w:val="003632BF"/>
    <w:rsid w:val="00363824"/>
    <w:rsid w:val="00363A52"/>
    <w:rsid w:val="00363AE6"/>
    <w:rsid w:val="003654B1"/>
    <w:rsid w:val="00366321"/>
    <w:rsid w:val="0037028A"/>
    <w:rsid w:val="00370B04"/>
    <w:rsid w:val="003727B8"/>
    <w:rsid w:val="00373D92"/>
    <w:rsid w:val="003751B8"/>
    <w:rsid w:val="00375AF3"/>
    <w:rsid w:val="003760C2"/>
    <w:rsid w:val="00376D8C"/>
    <w:rsid w:val="00377B22"/>
    <w:rsid w:val="0038008B"/>
    <w:rsid w:val="003828BB"/>
    <w:rsid w:val="003835F9"/>
    <w:rsid w:val="003836DF"/>
    <w:rsid w:val="00391559"/>
    <w:rsid w:val="00393860"/>
    <w:rsid w:val="00394BFD"/>
    <w:rsid w:val="00395327"/>
    <w:rsid w:val="00395A7A"/>
    <w:rsid w:val="00397841"/>
    <w:rsid w:val="003A0478"/>
    <w:rsid w:val="003A1076"/>
    <w:rsid w:val="003A2EB4"/>
    <w:rsid w:val="003A723B"/>
    <w:rsid w:val="003A7FFD"/>
    <w:rsid w:val="003B2A94"/>
    <w:rsid w:val="003B761E"/>
    <w:rsid w:val="003C14E1"/>
    <w:rsid w:val="003C1DDE"/>
    <w:rsid w:val="003C2158"/>
    <w:rsid w:val="003C4443"/>
    <w:rsid w:val="003C4BCF"/>
    <w:rsid w:val="003C577E"/>
    <w:rsid w:val="003C589E"/>
    <w:rsid w:val="003D0344"/>
    <w:rsid w:val="003D21F9"/>
    <w:rsid w:val="003D534E"/>
    <w:rsid w:val="003D70C7"/>
    <w:rsid w:val="003D7371"/>
    <w:rsid w:val="003E292D"/>
    <w:rsid w:val="003E37DF"/>
    <w:rsid w:val="003E37F8"/>
    <w:rsid w:val="003E455F"/>
    <w:rsid w:val="003E47F6"/>
    <w:rsid w:val="003E5D6A"/>
    <w:rsid w:val="003E716F"/>
    <w:rsid w:val="003F1121"/>
    <w:rsid w:val="003F35DC"/>
    <w:rsid w:val="003F3A21"/>
    <w:rsid w:val="003F4B6D"/>
    <w:rsid w:val="003F5AC5"/>
    <w:rsid w:val="00400FE7"/>
    <w:rsid w:val="0040424D"/>
    <w:rsid w:val="00404F0A"/>
    <w:rsid w:val="004056E9"/>
    <w:rsid w:val="0040714D"/>
    <w:rsid w:val="00410125"/>
    <w:rsid w:val="00413C20"/>
    <w:rsid w:val="0041693C"/>
    <w:rsid w:val="00417345"/>
    <w:rsid w:val="00417B63"/>
    <w:rsid w:val="00420980"/>
    <w:rsid w:val="00421403"/>
    <w:rsid w:val="00421E8B"/>
    <w:rsid w:val="00422631"/>
    <w:rsid w:val="00423161"/>
    <w:rsid w:val="00423A00"/>
    <w:rsid w:val="004249FC"/>
    <w:rsid w:val="00427C42"/>
    <w:rsid w:val="00431A17"/>
    <w:rsid w:val="00431B8F"/>
    <w:rsid w:val="0043651D"/>
    <w:rsid w:val="00437387"/>
    <w:rsid w:val="004374E3"/>
    <w:rsid w:val="004377A3"/>
    <w:rsid w:val="0044237E"/>
    <w:rsid w:val="004432B0"/>
    <w:rsid w:val="0044798D"/>
    <w:rsid w:val="004519D9"/>
    <w:rsid w:val="00451DE4"/>
    <w:rsid w:val="00451E66"/>
    <w:rsid w:val="00462547"/>
    <w:rsid w:val="00463D82"/>
    <w:rsid w:val="00470354"/>
    <w:rsid w:val="00474D21"/>
    <w:rsid w:val="0047760C"/>
    <w:rsid w:val="00482BFA"/>
    <w:rsid w:val="00483FCB"/>
    <w:rsid w:val="00485C89"/>
    <w:rsid w:val="00486304"/>
    <w:rsid w:val="00487541"/>
    <w:rsid w:val="004902CF"/>
    <w:rsid w:val="0049047C"/>
    <w:rsid w:val="00492834"/>
    <w:rsid w:val="0049296A"/>
    <w:rsid w:val="00492BFE"/>
    <w:rsid w:val="00494CA3"/>
    <w:rsid w:val="00497B27"/>
    <w:rsid w:val="004A0718"/>
    <w:rsid w:val="004A11B4"/>
    <w:rsid w:val="004A26BD"/>
    <w:rsid w:val="004A2B7D"/>
    <w:rsid w:val="004A305C"/>
    <w:rsid w:val="004A3C91"/>
    <w:rsid w:val="004A5E49"/>
    <w:rsid w:val="004B21BF"/>
    <w:rsid w:val="004B2863"/>
    <w:rsid w:val="004B381E"/>
    <w:rsid w:val="004B4E4F"/>
    <w:rsid w:val="004B5AF7"/>
    <w:rsid w:val="004B760B"/>
    <w:rsid w:val="004B77CE"/>
    <w:rsid w:val="004C0060"/>
    <w:rsid w:val="004C4F2C"/>
    <w:rsid w:val="004C6C7C"/>
    <w:rsid w:val="004D042E"/>
    <w:rsid w:val="004D054B"/>
    <w:rsid w:val="004D4E5E"/>
    <w:rsid w:val="004D4EE2"/>
    <w:rsid w:val="004D613D"/>
    <w:rsid w:val="004D6F52"/>
    <w:rsid w:val="004E0055"/>
    <w:rsid w:val="004E0F5E"/>
    <w:rsid w:val="004E2D0D"/>
    <w:rsid w:val="004E3DEF"/>
    <w:rsid w:val="004E6046"/>
    <w:rsid w:val="004E65BA"/>
    <w:rsid w:val="004E7E51"/>
    <w:rsid w:val="004F20A8"/>
    <w:rsid w:val="004F267B"/>
    <w:rsid w:val="004F2CD3"/>
    <w:rsid w:val="004F61DF"/>
    <w:rsid w:val="0050306B"/>
    <w:rsid w:val="005033C4"/>
    <w:rsid w:val="00506E63"/>
    <w:rsid w:val="00506FF5"/>
    <w:rsid w:val="005077DB"/>
    <w:rsid w:val="00507D0B"/>
    <w:rsid w:val="00510CF4"/>
    <w:rsid w:val="0051131E"/>
    <w:rsid w:val="00511729"/>
    <w:rsid w:val="00512411"/>
    <w:rsid w:val="005138C1"/>
    <w:rsid w:val="00513E29"/>
    <w:rsid w:val="00514B33"/>
    <w:rsid w:val="00515B7D"/>
    <w:rsid w:val="00516182"/>
    <w:rsid w:val="0051687E"/>
    <w:rsid w:val="0052117A"/>
    <w:rsid w:val="00523FA2"/>
    <w:rsid w:val="005274B4"/>
    <w:rsid w:val="00527E46"/>
    <w:rsid w:val="005318CB"/>
    <w:rsid w:val="005330FC"/>
    <w:rsid w:val="00535BB0"/>
    <w:rsid w:val="005403CA"/>
    <w:rsid w:val="00541134"/>
    <w:rsid w:val="00544090"/>
    <w:rsid w:val="005442EC"/>
    <w:rsid w:val="00544DFE"/>
    <w:rsid w:val="00547DB8"/>
    <w:rsid w:val="005513F6"/>
    <w:rsid w:val="0055261E"/>
    <w:rsid w:val="00552A84"/>
    <w:rsid w:val="0056074A"/>
    <w:rsid w:val="005619F1"/>
    <w:rsid w:val="00563D55"/>
    <w:rsid w:val="005659A1"/>
    <w:rsid w:val="00571B58"/>
    <w:rsid w:val="0057204B"/>
    <w:rsid w:val="00580C4B"/>
    <w:rsid w:val="00581184"/>
    <w:rsid w:val="005811A3"/>
    <w:rsid w:val="00583FC0"/>
    <w:rsid w:val="0058470E"/>
    <w:rsid w:val="00585ED0"/>
    <w:rsid w:val="0058600E"/>
    <w:rsid w:val="00593943"/>
    <w:rsid w:val="00594980"/>
    <w:rsid w:val="0059529A"/>
    <w:rsid w:val="005A02A4"/>
    <w:rsid w:val="005A0330"/>
    <w:rsid w:val="005A05CA"/>
    <w:rsid w:val="005A10C2"/>
    <w:rsid w:val="005A1383"/>
    <w:rsid w:val="005A338C"/>
    <w:rsid w:val="005A369E"/>
    <w:rsid w:val="005A52C9"/>
    <w:rsid w:val="005A549D"/>
    <w:rsid w:val="005A59D0"/>
    <w:rsid w:val="005A605A"/>
    <w:rsid w:val="005B3FEC"/>
    <w:rsid w:val="005C0C2C"/>
    <w:rsid w:val="005C5826"/>
    <w:rsid w:val="005C66E0"/>
    <w:rsid w:val="005D056F"/>
    <w:rsid w:val="005D16EB"/>
    <w:rsid w:val="005D2787"/>
    <w:rsid w:val="005D5D5F"/>
    <w:rsid w:val="005D70B6"/>
    <w:rsid w:val="005E11B6"/>
    <w:rsid w:val="005E1975"/>
    <w:rsid w:val="005E199A"/>
    <w:rsid w:val="005E2C7C"/>
    <w:rsid w:val="005E49EC"/>
    <w:rsid w:val="005E78C0"/>
    <w:rsid w:val="005F2959"/>
    <w:rsid w:val="005F5294"/>
    <w:rsid w:val="006005B9"/>
    <w:rsid w:val="00603211"/>
    <w:rsid w:val="00605B92"/>
    <w:rsid w:val="006061AB"/>
    <w:rsid w:val="00607820"/>
    <w:rsid w:val="0061022D"/>
    <w:rsid w:val="006125E3"/>
    <w:rsid w:val="00613892"/>
    <w:rsid w:val="0061396D"/>
    <w:rsid w:val="00615834"/>
    <w:rsid w:val="00622382"/>
    <w:rsid w:val="00623EE0"/>
    <w:rsid w:val="006255AD"/>
    <w:rsid w:val="006268FE"/>
    <w:rsid w:val="00630203"/>
    <w:rsid w:val="00630B1A"/>
    <w:rsid w:val="00630D61"/>
    <w:rsid w:val="00636E77"/>
    <w:rsid w:val="00641BF1"/>
    <w:rsid w:val="0064553F"/>
    <w:rsid w:val="0064587D"/>
    <w:rsid w:val="006463E5"/>
    <w:rsid w:val="006465A8"/>
    <w:rsid w:val="006473AA"/>
    <w:rsid w:val="0065363E"/>
    <w:rsid w:val="00653681"/>
    <w:rsid w:val="00657067"/>
    <w:rsid w:val="006579C9"/>
    <w:rsid w:val="00660B7D"/>
    <w:rsid w:val="00661EAD"/>
    <w:rsid w:val="00665613"/>
    <w:rsid w:val="00665C3D"/>
    <w:rsid w:val="00667C55"/>
    <w:rsid w:val="0067483F"/>
    <w:rsid w:val="006750EA"/>
    <w:rsid w:val="00676807"/>
    <w:rsid w:val="00681977"/>
    <w:rsid w:val="00682B57"/>
    <w:rsid w:val="006852CD"/>
    <w:rsid w:val="00686369"/>
    <w:rsid w:val="0069146A"/>
    <w:rsid w:val="00696079"/>
    <w:rsid w:val="006A06CE"/>
    <w:rsid w:val="006A11F0"/>
    <w:rsid w:val="006A1A8E"/>
    <w:rsid w:val="006A6466"/>
    <w:rsid w:val="006A7B88"/>
    <w:rsid w:val="006B0411"/>
    <w:rsid w:val="006B1DFD"/>
    <w:rsid w:val="006B3BD6"/>
    <w:rsid w:val="006B455D"/>
    <w:rsid w:val="006B4897"/>
    <w:rsid w:val="006B67F5"/>
    <w:rsid w:val="006B6EAB"/>
    <w:rsid w:val="006B736C"/>
    <w:rsid w:val="006B7571"/>
    <w:rsid w:val="006C2010"/>
    <w:rsid w:val="006C2183"/>
    <w:rsid w:val="006C372E"/>
    <w:rsid w:val="006C3E4E"/>
    <w:rsid w:val="006C4BA7"/>
    <w:rsid w:val="006C4D25"/>
    <w:rsid w:val="006C5493"/>
    <w:rsid w:val="006C5AFF"/>
    <w:rsid w:val="006C7CA3"/>
    <w:rsid w:val="006D2483"/>
    <w:rsid w:val="006D346E"/>
    <w:rsid w:val="006D37C9"/>
    <w:rsid w:val="006D3B38"/>
    <w:rsid w:val="006D6BBE"/>
    <w:rsid w:val="006E01F9"/>
    <w:rsid w:val="006E0357"/>
    <w:rsid w:val="006E0891"/>
    <w:rsid w:val="006E14E6"/>
    <w:rsid w:val="006E4A38"/>
    <w:rsid w:val="006E5EF4"/>
    <w:rsid w:val="006F1AB8"/>
    <w:rsid w:val="006F1F48"/>
    <w:rsid w:val="006F27D9"/>
    <w:rsid w:val="00702CBF"/>
    <w:rsid w:val="00702DBF"/>
    <w:rsid w:val="007032A3"/>
    <w:rsid w:val="00703742"/>
    <w:rsid w:val="007039DF"/>
    <w:rsid w:val="00703BEB"/>
    <w:rsid w:val="007056B3"/>
    <w:rsid w:val="00705D22"/>
    <w:rsid w:val="00706C3E"/>
    <w:rsid w:val="00707653"/>
    <w:rsid w:val="00707EDC"/>
    <w:rsid w:val="00711755"/>
    <w:rsid w:val="007118A7"/>
    <w:rsid w:val="00714251"/>
    <w:rsid w:val="007163A6"/>
    <w:rsid w:val="007216DB"/>
    <w:rsid w:val="00721BAB"/>
    <w:rsid w:val="00721F48"/>
    <w:rsid w:val="00724AA3"/>
    <w:rsid w:val="00724F16"/>
    <w:rsid w:val="00725031"/>
    <w:rsid w:val="00725BCE"/>
    <w:rsid w:val="00730D49"/>
    <w:rsid w:val="00732B40"/>
    <w:rsid w:val="0073496C"/>
    <w:rsid w:val="00736615"/>
    <w:rsid w:val="00737513"/>
    <w:rsid w:val="007406EB"/>
    <w:rsid w:val="00740822"/>
    <w:rsid w:val="00742797"/>
    <w:rsid w:val="0074407A"/>
    <w:rsid w:val="0074470A"/>
    <w:rsid w:val="00744CCE"/>
    <w:rsid w:val="007464AA"/>
    <w:rsid w:val="007474E9"/>
    <w:rsid w:val="00747E82"/>
    <w:rsid w:val="007512B1"/>
    <w:rsid w:val="00753210"/>
    <w:rsid w:val="007538C4"/>
    <w:rsid w:val="00755755"/>
    <w:rsid w:val="00755ED1"/>
    <w:rsid w:val="00760A34"/>
    <w:rsid w:val="00760B7A"/>
    <w:rsid w:val="00764BE7"/>
    <w:rsid w:val="00765FE0"/>
    <w:rsid w:val="00770178"/>
    <w:rsid w:val="007739CF"/>
    <w:rsid w:val="00774B9C"/>
    <w:rsid w:val="00781EB4"/>
    <w:rsid w:val="007826EE"/>
    <w:rsid w:val="00782D17"/>
    <w:rsid w:val="00782E34"/>
    <w:rsid w:val="007837B5"/>
    <w:rsid w:val="0078403E"/>
    <w:rsid w:val="007853FD"/>
    <w:rsid w:val="007860C5"/>
    <w:rsid w:val="00786CF2"/>
    <w:rsid w:val="00787416"/>
    <w:rsid w:val="00787FBE"/>
    <w:rsid w:val="00791C9E"/>
    <w:rsid w:val="00792CAD"/>
    <w:rsid w:val="00796A63"/>
    <w:rsid w:val="007A1667"/>
    <w:rsid w:val="007A3F10"/>
    <w:rsid w:val="007A723C"/>
    <w:rsid w:val="007B0EF3"/>
    <w:rsid w:val="007B2112"/>
    <w:rsid w:val="007B2CFC"/>
    <w:rsid w:val="007B7742"/>
    <w:rsid w:val="007B7A03"/>
    <w:rsid w:val="007B7AE9"/>
    <w:rsid w:val="007C405F"/>
    <w:rsid w:val="007C7A04"/>
    <w:rsid w:val="007D14AD"/>
    <w:rsid w:val="007D265A"/>
    <w:rsid w:val="007D2AAA"/>
    <w:rsid w:val="007D6E52"/>
    <w:rsid w:val="007D779B"/>
    <w:rsid w:val="007E58F1"/>
    <w:rsid w:val="007F0BFF"/>
    <w:rsid w:val="007F170A"/>
    <w:rsid w:val="007F249C"/>
    <w:rsid w:val="007F373C"/>
    <w:rsid w:val="007F4828"/>
    <w:rsid w:val="007F4856"/>
    <w:rsid w:val="007F75BF"/>
    <w:rsid w:val="0080316C"/>
    <w:rsid w:val="008056FA"/>
    <w:rsid w:val="0080745A"/>
    <w:rsid w:val="00811059"/>
    <w:rsid w:val="00811272"/>
    <w:rsid w:val="00813A1F"/>
    <w:rsid w:val="00813B57"/>
    <w:rsid w:val="00814752"/>
    <w:rsid w:val="008147B4"/>
    <w:rsid w:val="00816C43"/>
    <w:rsid w:val="0081773F"/>
    <w:rsid w:val="00820FEC"/>
    <w:rsid w:val="00822710"/>
    <w:rsid w:val="00824934"/>
    <w:rsid w:val="00824AE8"/>
    <w:rsid w:val="00824C84"/>
    <w:rsid w:val="00825E9F"/>
    <w:rsid w:val="00826763"/>
    <w:rsid w:val="0082722B"/>
    <w:rsid w:val="00832902"/>
    <w:rsid w:val="0083343F"/>
    <w:rsid w:val="008344C1"/>
    <w:rsid w:val="00837D60"/>
    <w:rsid w:val="00842294"/>
    <w:rsid w:val="0084759D"/>
    <w:rsid w:val="00850D34"/>
    <w:rsid w:val="008518D7"/>
    <w:rsid w:val="00851FA8"/>
    <w:rsid w:val="00857832"/>
    <w:rsid w:val="00862DB8"/>
    <w:rsid w:val="00863D73"/>
    <w:rsid w:val="00865F6E"/>
    <w:rsid w:val="0086730D"/>
    <w:rsid w:val="00872723"/>
    <w:rsid w:val="00872B86"/>
    <w:rsid w:val="00873E82"/>
    <w:rsid w:val="0087617B"/>
    <w:rsid w:val="00876E91"/>
    <w:rsid w:val="00880179"/>
    <w:rsid w:val="0088275A"/>
    <w:rsid w:val="008834DE"/>
    <w:rsid w:val="00883863"/>
    <w:rsid w:val="008859CB"/>
    <w:rsid w:val="00890AD1"/>
    <w:rsid w:val="008911BC"/>
    <w:rsid w:val="00891B91"/>
    <w:rsid w:val="00893AE4"/>
    <w:rsid w:val="00893E25"/>
    <w:rsid w:val="008940A2"/>
    <w:rsid w:val="00895818"/>
    <w:rsid w:val="008A39AF"/>
    <w:rsid w:val="008A4665"/>
    <w:rsid w:val="008A5337"/>
    <w:rsid w:val="008A687F"/>
    <w:rsid w:val="008B351B"/>
    <w:rsid w:val="008B651F"/>
    <w:rsid w:val="008B68C4"/>
    <w:rsid w:val="008B7653"/>
    <w:rsid w:val="008C2ED5"/>
    <w:rsid w:val="008C31D0"/>
    <w:rsid w:val="008D2A6C"/>
    <w:rsid w:val="008D2C9D"/>
    <w:rsid w:val="008D3413"/>
    <w:rsid w:val="008D3926"/>
    <w:rsid w:val="008D4D61"/>
    <w:rsid w:val="008D742D"/>
    <w:rsid w:val="008E5BC1"/>
    <w:rsid w:val="008E756D"/>
    <w:rsid w:val="008F1C10"/>
    <w:rsid w:val="008F1D6C"/>
    <w:rsid w:val="008F6BB3"/>
    <w:rsid w:val="009006C7"/>
    <w:rsid w:val="00906488"/>
    <w:rsid w:val="00910FEF"/>
    <w:rsid w:val="00912A7C"/>
    <w:rsid w:val="00913D22"/>
    <w:rsid w:val="009140B0"/>
    <w:rsid w:val="009143A0"/>
    <w:rsid w:val="009149FF"/>
    <w:rsid w:val="009216A8"/>
    <w:rsid w:val="00921E63"/>
    <w:rsid w:val="00922D42"/>
    <w:rsid w:val="00925AC8"/>
    <w:rsid w:val="009266A2"/>
    <w:rsid w:val="009317DA"/>
    <w:rsid w:val="00932955"/>
    <w:rsid w:val="00936D6D"/>
    <w:rsid w:val="00941349"/>
    <w:rsid w:val="009454EE"/>
    <w:rsid w:val="00947565"/>
    <w:rsid w:val="00950857"/>
    <w:rsid w:val="009517A2"/>
    <w:rsid w:val="00952549"/>
    <w:rsid w:val="00955E3B"/>
    <w:rsid w:val="00957541"/>
    <w:rsid w:val="00957910"/>
    <w:rsid w:val="00960010"/>
    <w:rsid w:val="0096171A"/>
    <w:rsid w:val="00962DB4"/>
    <w:rsid w:val="0096314B"/>
    <w:rsid w:val="009644D0"/>
    <w:rsid w:val="00964CA6"/>
    <w:rsid w:val="00970B85"/>
    <w:rsid w:val="0097368D"/>
    <w:rsid w:val="00973A41"/>
    <w:rsid w:val="00973BBA"/>
    <w:rsid w:val="00974CB2"/>
    <w:rsid w:val="00986C3A"/>
    <w:rsid w:val="009905A1"/>
    <w:rsid w:val="00991F3F"/>
    <w:rsid w:val="0099203E"/>
    <w:rsid w:val="009922BC"/>
    <w:rsid w:val="0099349A"/>
    <w:rsid w:val="00995CFF"/>
    <w:rsid w:val="00997C68"/>
    <w:rsid w:val="009A0AD3"/>
    <w:rsid w:val="009A5DE4"/>
    <w:rsid w:val="009A71BC"/>
    <w:rsid w:val="009A76A4"/>
    <w:rsid w:val="009B04F9"/>
    <w:rsid w:val="009B25DF"/>
    <w:rsid w:val="009B3719"/>
    <w:rsid w:val="009C0C20"/>
    <w:rsid w:val="009C142B"/>
    <w:rsid w:val="009C2DBD"/>
    <w:rsid w:val="009C62E5"/>
    <w:rsid w:val="009D11E7"/>
    <w:rsid w:val="009D39F4"/>
    <w:rsid w:val="009D428C"/>
    <w:rsid w:val="009E1342"/>
    <w:rsid w:val="009E1D72"/>
    <w:rsid w:val="009E757B"/>
    <w:rsid w:val="009F0B2F"/>
    <w:rsid w:val="009F1D98"/>
    <w:rsid w:val="009F1EC8"/>
    <w:rsid w:val="009F20D8"/>
    <w:rsid w:val="009F2864"/>
    <w:rsid w:val="009F4C4D"/>
    <w:rsid w:val="009F5E54"/>
    <w:rsid w:val="009F6F4E"/>
    <w:rsid w:val="009F715D"/>
    <w:rsid w:val="009F7317"/>
    <w:rsid w:val="00A01E04"/>
    <w:rsid w:val="00A03E3E"/>
    <w:rsid w:val="00A050E0"/>
    <w:rsid w:val="00A06502"/>
    <w:rsid w:val="00A10DCC"/>
    <w:rsid w:val="00A137D7"/>
    <w:rsid w:val="00A1415D"/>
    <w:rsid w:val="00A155F6"/>
    <w:rsid w:val="00A16C0C"/>
    <w:rsid w:val="00A17864"/>
    <w:rsid w:val="00A20A0C"/>
    <w:rsid w:val="00A21FF8"/>
    <w:rsid w:val="00A236BE"/>
    <w:rsid w:val="00A32286"/>
    <w:rsid w:val="00A35353"/>
    <w:rsid w:val="00A3601C"/>
    <w:rsid w:val="00A42EF3"/>
    <w:rsid w:val="00A434EF"/>
    <w:rsid w:val="00A442DA"/>
    <w:rsid w:val="00A4488A"/>
    <w:rsid w:val="00A44A2A"/>
    <w:rsid w:val="00A52A5F"/>
    <w:rsid w:val="00A54321"/>
    <w:rsid w:val="00A55863"/>
    <w:rsid w:val="00A60BE4"/>
    <w:rsid w:val="00A61561"/>
    <w:rsid w:val="00A61E89"/>
    <w:rsid w:val="00A65BD7"/>
    <w:rsid w:val="00A6749F"/>
    <w:rsid w:val="00A6785D"/>
    <w:rsid w:val="00A7060C"/>
    <w:rsid w:val="00A71676"/>
    <w:rsid w:val="00A71B28"/>
    <w:rsid w:val="00A722E9"/>
    <w:rsid w:val="00A73E9C"/>
    <w:rsid w:val="00A750D3"/>
    <w:rsid w:val="00A7537C"/>
    <w:rsid w:val="00A77BBE"/>
    <w:rsid w:val="00A805FC"/>
    <w:rsid w:val="00A80825"/>
    <w:rsid w:val="00A844A6"/>
    <w:rsid w:val="00A865A6"/>
    <w:rsid w:val="00A9083A"/>
    <w:rsid w:val="00A90E5F"/>
    <w:rsid w:val="00A91C03"/>
    <w:rsid w:val="00A93DB7"/>
    <w:rsid w:val="00A93F4F"/>
    <w:rsid w:val="00A95B73"/>
    <w:rsid w:val="00A95BCF"/>
    <w:rsid w:val="00AA185A"/>
    <w:rsid w:val="00AA2150"/>
    <w:rsid w:val="00AA2836"/>
    <w:rsid w:val="00AA53FC"/>
    <w:rsid w:val="00AA5974"/>
    <w:rsid w:val="00AA5FE2"/>
    <w:rsid w:val="00AA6225"/>
    <w:rsid w:val="00AA710C"/>
    <w:rsid w:val="00AB1C19"/>
    <w:rsid w:val="00AB1FF3"/>
    <w:rsid w:val="00AB2B5D"/>
    <w:rsid w:val="00AB3AA6"/>
    <w:rsid w:val="00AB3B62"/>
    <w:rsid w:val="00AC0459"/>
    <w:rsid w:val="00AC3F50"/>
    <w:rsid w:val="00AC5196"/>
    <w:rsid w:val="00AC570E"/>
    <w:rsid w:val="00AC58B1"/>
    <w:rsid w:val="00AC685C"/>
    <w:rsid w:val="00AD395C"/>
    <w:rsid w:val="00AD4528"/>
    <w:rsid w:val="00AD4EAF"/>
    <w:rsid w:val="00AD523E"/>
    <w:rsid w:val="00AD69F2"/>
    <w:rsid w:val="00AE3297"/>
    <w:rsid w:val="00AE6506"/>
    <w:rsid w:val="00AF2228"/>
    <w:rsid w:val="00AF44CF"/>
    <w:rsid w:val="00AF6E8F"/>
    <w:rsid w:val="00B00012"/>
    <w:rsid w:val="00B002C1"/>
    <w:rsid w:val="00B0163F"/>
    <w:rsid w:val="00B024FE"/>
    <w:rsid w:val="00B03A7C"/>
    <w:rsid w:val="00B03D53"/>
    <w:rsid w:val="00B05083"/>
    <w:rsid w:val="00B055F2"/>
    <w:rsid w:val="00B07ADF"/>
    <w:rsid w:val="00B100F5"/>
    <w:rsid w:val="00B13FD6"/>
    <w:rsid w:val="00B15413"/>
    <w:rsid w:val="00B173A0"/>
    <w:rsid w:val="00B17FB1"/>
    <w:rsid w:val="00B204A3"/>
    <w:rsid w:val="00B24D62"/>
    <w:rsid w:val="00B25D51"/>
    <w:rsid w:val="00B26B00"/>
    <w:rsid w:val="00B306B5"/>
    <w:rsid w:val="00B31FAC"/>
    <w:rsid w:val="00B32989"/>
    <w:rsid w:val="00B32ABF"/>
    <w:rsid w:val="00B336CB"/>
    <w:rsid w:val="00B34A3B"/>
    <w:rsid w:val="00B35B19"/>
    <w:rsid w:val="00B36AC3"/>
    <w:rsid w:val="00B427D9"/>
    <w:rsid w:val="00B42CD1"/>
    <w:rsid w:val="00B430EB"/>
    <w:rsid w:val="00B44577"/>
    <w:rsid w:val="00B449B8"/>
    <w:rsid w:val="00B50774"/>
    <w:rsid w:val="00B54397"/>
    <w:rsid w:val="00B5702C"/>
    <w:rsid w:val="00B60836"/>
    <w:rsid w:val="00B616B0"/>
    <w:rsid w:val="00B61A7D"/>
    <w:rsid w:val="00B63A9A"/>
    <w:rsid w:val="00B65D42"/>
    <w:rsid w:val="00B668A4"/>
    <w:rsid w:val="00B707D4"/>
    <w:rsid w:val="00B72AC1"/>
    <w:rsid w:val="00B73054"/>
    <w:rsid w:val="00B73834"/>
    <w:rsid w:val="00B741B4"/>
    <w:rsid w:val="00B74427"/>
    <w:rsid w:val="00B77FA2"/>
    <w:rsid w:val="00B808A6"/>
    <w:rsid w:val="00B80C95"/>
    <w:rsid w:val="00B818E3"/>
    <w:rsid w:val="00B81D44"/>
    <w:rsid w:val="00B81D61"/>
    <w:rsid w:val="00B8272D"/>
    <w:rsid w:val="00B84794"/>
    <w:rsid w:val="00B86B55"/>
    <w:rsid w:val="00B87F05"/>
    <w:rsid w:val="00B92ACB"/>
    <w:rsid w:val="00B95187"/>
    <w:rsid w:val="00BA3F74"/>
    <w:rsid w:val="00BA57EE"/>
    <w:rsid w:val="00BA7227"/>
    <w:rsid w:val="00BB3B0B"/>
    <w:rsid w:val="00BB4FE9"/>
    <w:rsid w:val="00BB5778"/>
    <w:rsid w:val="00BB6904"/>
    <w:rsid w:val="00BB6C76"/>
    <w:rsid w:val="00BC0F02"/>
    <w:rsid w:val="00BC22BE"/>
    <w:rsid w:val="00BC254B"/>
    <w:rsid w:val="00BC5C4C"/>
    <w:rsid w:val="00BC66CF"/>
    <w:rsid w:val="00BD0C3C"/>
    <w:rsid w:val="00BD274E"/>
    <w:rsid w:val="00BD2A31"/>
    <w:rsid w:val="00BD3775"/>
    <w:rsid w:val="00BD43D7"/>
    <w:rsid w:val="00BD569A"/>
    <w:rsid w:val="00BE14AA"/>
    <w:rsid w:val="00BE1564"/>
    <w:rsid w:val="00BE1C31"/>
    <w:rsid w:val="00BE4CC5"/>
    <w:rsid w:val="00BE6806"/>
    <w:rsid w:val="00BE68E3"/>
    <w:rsid w:val="00BE73A0"/>
    <w:rsid w:val="00BF18AC"/>
    <w:rsid w:val="00BF2F3E"/>
    <w:rsid w:val="00BF5961"/>
    <w:rsid w:val="00C0134E"/>
    <w:rsid w:val="00C059DA"/>
    <w:rsid w:val="00C06FA0"/>
    <w:rsid w:val="00C076FF"/>
    <w:rsid w:val="00C07EA5"/>
    <w:rsid w:val="00C11C5C"/>
    <w:rsid w:val="00C11E86"/>
    <w:rsid w:val="00C1226D"/>
    <w:rsid w:val="00C12640"/>
    <w:rsid w:val="00C12D11"/>
    <w:rsid w:val="00C13A7C"/>
    <w:rsid w:val="00C16250"/>
    <w:rsid w:val="00C16423"/>
    <w:rsid w:val="00C24584"/>
    <w:rsid w:val="00C251D7"/>
    <w:rsid w:val="00C26467"/>
    <w:rsid w:val="00C27488"/>
    <w:rsid w:val="00C305E7"/>
    <w:rsid w:val="00C30CFB"/>
    <w:rsid w:val="00C3270E"/>
    <w:rsid w:val="00C328B8"/>
    <w:rsid w:val="00C32BEC"/>
    <w:rsid w:val="00C343FA"/>
    <w:rsid w:val="00C34BF7"/>
    <w:rsid w:val="00C354DD"/>
    <w:rsid w:val="00C428B6"/>
    <w:rsid w:val="00C42BCF"/>
    <w:rsid w:val="00C447DA"/>
    <w:rsid w:val="00C44EE5"/>
    <w:rsid w:val="00C520C5"/>
    <w:rsid w:val="00C5293F"/>
    <w:rsid w:val="00C53EF2"/>
    <w:rsid w:val="00C54CBC"/>
    <w:rsid w:val="00C62484"/>
    <w:rsid w:val="00C6268C"/>
    <w:rsid w:val="00C651A1"/>
    <w:rsid w:val="00C65FA1"/>
    <w:rsid w:val="00C671A3"/>
    <w:rsid w:val="00C700B7"/>
    <w:rsid w:val="00C71AB7"/>
    <w:rsid w:val="00C732E1"/>
    <w:rsid w:val="00C758BF"/>
    <w:rsid w:val="00C7654F"/>
    <w:rsid w:val="00C76BA9"/>
    <w:rsid w:val="00C76F61"/>
    <w:rsid w:val="00C7735E"/>
    <w:rsid w:val="00C774AA"/>
    <w:rsid w:val="00C776E6"/>
    <w:rsid w:val="00C77DE6"/>
    <w:rsid w:val="00C80636"/>
    <w:rsid w:val="00C80A57"/>
    <w:rsid w:val="00C82B72"/>
    <w:rsid w:val="00C839A9"/>
    <w:rsid w:val="00C83F19"/>
    <w:rsid w:val="00C90455"/>
    <w:rsid w:val="00C90F3E"/>
    <w:rsid w:val="00C91812"/>
    <w:rsid w:val="00C92022"/>
    <w:rsid w:val="00C94367"/>
    <w:rsid w:val="00C95BA0"/>
    <w:rsid w:val="00C97A0B"/>
    <w:rsid w:val="00C97EA6"/>
    <w:rsid w:val="00CA18B4"/>
    <w:rsid w:val="00CA2FB7"/>
    <w:rsid w:val="00CA3361"/>
    <w:rsid w:val="00CA3E0B"/>
    <w:rsid w:val="00CA5CBB"/>
    <w:rsid w:val="00CA6BB0"/>
    <w:rsid w:val="00CA6EA5"/>
    <w:rsid w:val="00CA6FF3"/>
    <w:rsid w:val="00CB0868"/>
    <w:rsid w:val="00CB1AEF"/>
    <w:rsid w:val="00CB437D"/>
    <w:rsid w:val="00CB4B44"/>
    <w:rsid w:val="00CB5716"/>
    <w:rsid w:val="00CB6DCC"/>
    <w:rsid w:val="00CC251A"/>
    <w:rsid w:val="00CC5BE0"/>
    <w:rsid w:val="00CD57EB"/>
    <w:rsid w:val="00CD59C3"/>
    <w:rsid w:val="00CD648F"/>
    <w:rsid w:val="00CE021C"/>
    <w:rsid w:val="00CE08B9"/>
    <w:rsid w:val="00CE39E5"/>
    <w:rsid w:val="00CE4020"/>
    <w:rsid w:val="00CE5B99"/>
    <w:rsid w:val="00CE64B1"/>
    <w:rsid w:val="00CE7DF4"/>
    <w:rsid w:val="00CF1BB1"/>
    <w:rsid w:val="00CF49FE"/>
    <w:rsid w:val="00CF6752"/>
    <w:rsid w:val="00CF6FAC"/>
    <w:rsid w:val="00D01B45"/>
    <w:rsid w:val="00D026CB"/>
    <w:rsid w:val="00D0290A"/>
    <w:rsid w:val="00D05F83"/>
    <w:rsid w:val="00D07CA8"/>
    <w:rsid w:val="00D12379"/>
    <w:rsid w:val="00D167DA"/>
    <w:rsid w:val="00D17324"/>
    <w:rsid w:val="00D17EC4"/>
    <w:rsid w:val="00D2025A"/>
    <w:rsid w:val="00D23F59"/>
    <w:rsid w:val="00D24185"/>
    <w:rsid w:val="00D25354"/>
    <w:rsid w:val="00D30084"/>
    <w:rsid w:val="00D30B1C"/>
    <w:rsid w:val="00D317F6"/>
    <w:rsid w:val="00D34C0C"/>
    <w:rsid w:val="00D3599B"/>
    <w:rsid w:val="00D36445"/>
    <w:rsid w:val="00D419A4"/>
    <w:rsid w:val="00D41B59"/>
    <w:rsid w:val="00D43224"/>
    <w:rsid w:val="00D440C5"/>
    <w:rsid w:val="00D4629D"/>
    <w:rsid w:val="00D468AB"/>
    <w:rsid w:val="00D468DB"/>
    <w:rsid w:val="00D47C36"/>
    <w:rsid w:val="00D53253"/>
    <w:rsid w:val="00D54CD7"/>
    <w:rsid w:val="00D55226"/>
    <w:rsid w:val="00D55540"/>
    <w:rsid w:val="00D56E85"/>
    <w:rsid w:val="00D616E5"/>
    <w:rsid w:val="00D6369C"/>
    <w:rsid w:val="00D67400"/>
    <w:rsid w:val="00D74729"/>
    <w:rsid w:val="00D75066"/>
    <w:rsid w:val="00D81F6F"/>
    <w:rsid w:val="00D824D7"/>
    <w:rsid w:val="00D83AB9"/>
    <w:rsid w:val="00D83E33"/>
    <w:rsid w:val="00D855F4"/>
    <w:rsid w:val="00D85D02"/>
    <w:rsid w:val="00D87E86"/>
    <w:rsid w:val="00D9193B"/>
    <w:rsid w:val="00D93971"/>
    <w:rsid w:val="00D94B4E"/>
    <w:rsid w:val="00D961D4"/>
    <w:rsid w:val="00D96796"/>
    <w:rsid w:val="00D96A20"/>
    <w:rsid w:val="00DA1807"/>
    <w:rsid w:val="00DA2486"/>
    <w:rsid w:val="00DA397F"/>
    <w:rsid w:val="00DA5069"/>
    <w:rsid w:val="00DA5784"/>
    <w:rsid w:val="00DA5AF0"/>
    <w:rsid w:val="00DA7A9A"/>
    <w:rsid w:val="00DA7BFC"/>
    <w:rsid w:val="00DB07ED"/>
    <w:rsid w:val="00DB1948"/>
    <w:rsid w:val="00DB34FF"/>
    <w:rsid w:val="00DB3627"/>
    <w:rsid w:val="00DB6E17"/>
    <w:rsid w:val="00DB7110"/>
    <w:rsid w:val="00DC097A"/>
    <w:rsid w:val="00DC3620"/>
    <w:rsid w:val="00DC7455"/>
    <w:rsid w:val="00DC7ECB"/>
    <w:rsid w:val="00DD1582"/>
    <w:rsid w:val="00DD4667"/>
    <w:rsid w:val="00DD5C9B"/>
    <w:rsid w:val="00DE009F"/>
    <w:rsid w:val="00DE052D"/>
    <w:rsid w:val="00DE5CD7"/>
    <w:rsid w:val="00DF2492"/>
    <w:rsid w:val="00DF36B1"/>
    <w:rsid w:val="00DF5C9A"/>
    <w:rsid w:val="00E01E1F"/>
    <w:rsid w:val="00E01F56"/>
    <w:rsid w:val="00E06060"/>
    <w:rsid w:val="00E0647D"/>
    <w:rsid w:val="00E06C9F"/>
    <w:rsid w:val="00E06CB5"/>
    <w:rsid w:val="00E1284C"/>
    <w:rsid w:val="00E13918"/>
    <w:rsid w:val="00E15EC9"/>
    <w:rsid w:val="00E17C5F"/>
    <w:rsid w:val="00E17FD4"/>
    <w:rsid w:val="00E22A13"/>
    <w:rsid w:val="00E24BA7"/>
    <w:rsid w:val="00E26A33"/>
    <w:rsid w:val="00E322E4"/>
    <w:rsid w:val="00E33019"/>
    <w:rsid w:val="00E35B3A"/>
    <w:rsid w:val="00E36EE1"/>
    <w:rsid w:val="00E372B3"/>
    <w:rsid w:val="00E40130"/>
    <w:rsid w:val="00E40D6F"/>
    <w:rsid w:val="00E417E8"/>
    <w:rsid w:val="00E420E7"/>
    <w:rsid w:val="00E443B1"/>
    <w:rsid w:val="00E44800"/>
    <w:rsid w:val="00E504FC"/>
    <w:rsid w:val="00E50F1E"/>
    <w:rsid w:val="00E52B40"/>
    <w:rsid w:val="00E54B20"/>
    <w:rsid w:val="00E55BE1"/>
    <w:rsid w:val="00E60B65"/>
    <w:rsid w:val="00E6325A"/>
    <w:rsid w:val="00E64EE8"/>
    <w:rsid w:val="00E70569"/>
    <w:rsid w:val="00E71C26"/>
    <w:rsid w:val="00E71DB2"/>
    <w:rsid w:val="00E7263D"/>
    <w:rsid w:val="00E727FE"/>
    <w:rsid w:val="00E73273"/>
    <w:rsid w:val="00E737A6"/>
    <w:rsid w:val="00E74BA4"/>
    <w:rsid w:val="00E75366"/>
    <w:rsid w:val="00E75AEB"/>
    <w:rsid w:val="00E76AA3"/>
    <w:rsid w:val="00E80D98"/>
    <w:rsid w:val="00E81EE2"/>
    <w:rsid w:val="00E82912"/>
    <w:rsid w:val="00E83D59"/>
    <w:rsid w:val="00E90785"/>
    <w:rsid w:val="00E911DF"/>
    <w:rsid w:val="00E924E7"/>
    <w:rsid w:val="00E92831"/>
    <w:rsid w:val="00E95E32"/>
    <w:rsid w:val="00E961CE"/>
    <w:rsid w:val="00E9671B"/>
    <w:rsid w:val="00EA1028"/>
    <w:rsid w:val="00EA153E"/>
    <w:rsid w:val="00EA2164"/>
    <w:rsid w:val="00EA3395"/>
    <w:rsid w:val="00EA339A"/>
    <w:rsid w:val="00EB3667"/>
    <w:rsid w:val="00EB4A2F"/>
    <w:rsid w:val="00EB5339"/>
    <w:rsid w:val="00EB6A10"/>
    <w:rsid w:val="00EB6C0B"/>
    <w:rsid w:val="00EB6F39"/>
    <w:rsid w:val="00EC041C"/>
    <w:rsid w:val="00EC068C"/>
    <w:rsid w:val="00EC095E"/>
    <w:rsid w:val="00EC1338"/>
    <w:rsid w:val="00EC14B8"/>
    <w:rsid w:val="00EC3B4B"/>
    <w:rsid w:val="00ED2302"/>
    <w:rsid w:val="00ED45A7"/>
    <w:rsid w:val="00ED46BF"/>
    <w:rsid w:val="00ED4CB8"/>
    <w:rsid w:val="00ED545B"/>
    <w:rsid w:val="00EE0E75"/>
    <w:rsid w:val="00EE3FFE"/>
    <w:rsid w:val="00EE4CD1"/>
    <w:rsid w:val="00EE703D"/>
    <w:rsid w:val="00EF069F"/>
    <w:rsid w:val="00EF1F98"/>
    <w:rsid w:val="00EF2BC8"/>
    <w:rsid w:val="00EF4B7C"/>
    <w:rsid w:val="00EF4DF8"/>
    <w:rsid w:val="00EF6B0B"/>
    <w:rsid w:val="00F01493"/>
    <w:rsid w:val="00F0149F"/>
    <w:rsid w:val="00F021A9"/>
    <w:rsid w:val="00F02347"/>
    <w:rsid w:val="00F02CCD"/>
    <w:rsid w:val="00F02FFD"/>
    <w:rsid w:val="00F10C32"/>
    <w:rsid w:val="00F12AC3"/>
    <w:rsid w:val="00F12CF1"/>
    <w:rsid w:val="00F13CA8"/>
    <w:rsid w:val="00F14E15"/>
    <w:rsid w:val="00F155EE"/>
    <w:rsid w:val="00F15F1F"/>
    <w:rsid w:val="00F1638C"/>
    <w:rsid w:val="00F16A35"/>
    <w:rsid w:val="00F16AE1"/>
    <w:rsid w:val="00F22013"/>
    <w:rsid w:val="00F24985"/>
    <w:rsid w:val="00F261E6"/>
    <w:rsid w:val="00F26C24"/>
    <w:rsid w:val="00F26CCA"/>
    <w:rsid w:val="00F278B4"/>
    <w:rsid w:val="00F30D02"/>
    <w:rsid w:val="00F320B1"/>
    <w:rsid w:val="00F36399"/>
    <w:rsid w:val="00F37F17"/>
    <w:rsid w:val="00F40F8C"/>
    <w:rsid w:val="00F419C2"/>
    <w:rsid w:val="00F41CCE"/>
    <w:rsid w:val="00F448A3"/>
    <w:rsid w:val="00F52A9B"/>
    <w:rsid w:val="00F60B77"/>
    <w:rsid w:val="00F61FAD"/>
    <w:rsid w:val="00F621AA"/>
    <w:rsid w:val="00F62213"/>
    <w:rsid w:val="00F62489"/>
    <w:rsid w:val="00F643CF"/>
    <w:rsid w:val="00F66B18"/>
    <w:rsid w:val="00F677E1"/>
    <w:rsid w:val="00F754C6"/>
    <w:rsid w:val="00F80412"/>
    <w:rsid w:val="00F825F2"/>
    <w:rsid w:val="00F82642"/>
    <w:rsid w:val="00F82E96"/>
    <w:rsid w:val="00F83015"/>
    <w:rsid w:val="00F856A1"/>
    <w:rsid w:val="00F85BFC"/>
    <w:rsid w:val="00F918ED"/>
    <w:rsid w:val="00F92176"/>
    <w:rsid w:val="00F92A21"/>
    <w:rsid w:val="00F94744"/>
    <w:rsid w:val="00F96F9A"/>
    <w:rsid w:val="00F97B17"/>
    <w:rsid w:val="00FA0517"/>
    <w:rsid w:val="00FA0750"/>
    <w:rsid w:val="00FA61A1"/>
    <w:rsid w:val="00FA6F28"/>
    <w:rsid w:val="00FA7F88"/>
    <w:rsid w:val="00FB1779"/>
    <w:rsid w:val="00FB331F"/>
    <w:rsid w:val="00FB3783"/>
    <w:rsid w:val="00FB5B31"/>
    <w:rsid w:val="00FB5EF9"/>
    <w:rsid w:val="00FB7230"/>
    <w:rsid w:val="00FC4C27"/>
    <w:rsid w:val="00FC5045"/>
    <w:rsid w:val="00FC580A"/>
    <w:rsid w:val="00FC7A8B"/>
    <w:rsid w:val="00FD11CD"/>
    <w:rsid w:val="00FD499A"/>
    <w:rsid w:val="00FD59BC"/>
    <w:rsid w:val="00FD63E5"/>
    <w:rsid w:val="00FD6AA4"/>
    <w:rsid w:val="00FD6B83"/>
    <w:rsid w:val="00FD7042"/>
    <w:rsid w:val="00FD7046"/>
    <w:rsid w:val="00FD7D14"/>
    <w:rsid w:val="00FE09D7"/>
    <w:rsid w:val="00FE106E"/>
    <w:rsid w:val="00FE1586"/>
    <w:rsid w:val="00FE1B01"/>
    <w:rsid w:val="00FE1B43"/>
    <w:rsid w:val="00FE23B6"/>
    <w:rsid w:val="00FE25DD"/>
    <w:rsid w:val="00FE27B2"/>
    <w:rsid w:val="00FE2FB4"/>
    <w:rsid w:val="00FE594E"/>
    <w:rsid w:val="00FE79A2"/>
    <w:rsid w:val="00FE7D0E"/>
    <w:rsid w:val="00FF3A00"/>
    <w:rsid w:val="00FF56CA"/>
    <w:rsid w:val="00FF68DB"/>
    <w:rsid w:val="00FF76E6"/>
    <w:rsid w:val="00FF7B4C"/>
    <w:rsid w:val="00FF7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EC9"/>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F2201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7483F"/>
    <w:rPr>
      <w:sz w:val="20"/>
    </w:rPr>
  </w:style>
  <w:style w:type="character" w:customStyle="1" w:styleId="FootnoteTextChar">
    <w:name w:val="Footnote Text Char"/>
    <w:basedOn w:val="DefaultParagraphFont"/>
    <w:link w:val="FootnoteText"/>
    <w:semiHidden/>
    <w:rsid w:val="0067483F"/>
    <w:rPr>
      <w:rFonts w:ascii="Times New Roman" w:eastAsia="Times New Roman" w:hAnsi="Times New Roman" w:cs="Times New Roman"/>
      <w:color w:val="0000FF"/>
      <w:sz w:val="20"/>
      <w:szCs w:val="20"/>
    </w:rPr>
  </w:style>
  <w:style w:type="character" w:styleId="FootnoteReference">
    <w:name w:val="footnote reference"/>
    <w:basedOn w:val="DefaultParagraphFont"/>
    <w:semiHidden/>
    <w:rsid w:val="0067483F"/>
    <w:rPr>
      <w:vertAlign w:val="superscript"/>
    </w:rPr>
  </w:style>
  <w:style w:type="paragraph" w:customStyle="1" w:styleId="p3">
    <w:name w:val="p3"/>
    <w:basedOn w:val="Normal"/>
    <w:rsid w:val="00075819"/>
    <w:pPr>
      <w:widowControl w:val="0"/>
      <w:tabs>
        <w:tab w:val="left" w:pos="204"/>
      </w:tabs>
      <w:overflowPunct/>
      <w:textAlignment w:val="auto"/>
    </w:pPr>
    <w:rPr>
      <w:szCs w:val="24"/>
    </w:rPr>
  </w:style>
  <w:style w:type="paragraph" w:styleId="Header">
    <w:name w:val="header"/>
    <w:basedOn w:val="Normal"/>
    <w:link w:val="HeaderChar"/>
    <w:uiPriority w:val="99"/>
    <w:semiHidden/>
    <w:unhideWhenUsed/>
    <w:rsid w:val="005077DB"/>
    <w:pPr>
      <w:tabs>
        <w:tab w:val="center" w:pos="4680"/>
        <w:tab w:val="right" w:pos="9360"/>
      </w:tabs>
    </w:pPr>
  </w:style>
  <w:style w:type="character" w:customStyle="1" w:styleId="HeaderChar">
    <w:name w:val="Header Char"/>
    <w:basedOn w:val="DefaultParagraphFont"/>
    <w:link w:val="Header"/>
    <w:uiPriority w:val="99"/>
    <w:semiHidden/>
    <w:rsid w:val="005077DB"/>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5077DB"/>
    <w:pPr>
      <w:tabs>
        <w:tab w:val="center" w:pos="4680"/>
        <w:tab w:val="right" w:pos="9360"/>
      </w:tabs>
    </w:pPr>
  </w:style>
  <w:style w:type="character" w:customStyle="1" w:styleId="FooterChar">
    <w:name w:val="Footer Char"/>
    <w:basedOn w:val="DefaultParagraphFont"/>
    <w:link w:val="Footer"/>
    <w:uiPriority w:val="99"/>
    <w:rsid w:val="005077DB"/>
    <w:rPr>
      <w:rFonts w:ascii="Times New Roman" w:eastAsia="Times New Roman" w:hAnsi="Times New Roman" w:cs="Times New Roman"/>
      <w:color w:val="0000FF"/>
      <w:sz w:val="24"/>
      <w:szCs w:val="20"/>
    </w:rPr>
  </w:style>
  <w:style w:type="character" w:customStyle="1" w:styleId="Heading1Char">
    <w:name w:val="Heading 1 Char"/>
    <w:basedOn w:val="DefaultParagraphFont"/>
    <w:link w:val="Heading1"/>
    <w:rsid w:val="00F22013"/>
    <w:rPr>
      <w:rFonts w:ascii="Arial" w:eastAsia="Times New Roman" w:hAnsi="Arial" w:cs="Arial"/>
      <w:b/>
      <w:bCs/>
      <w:color w:val="0000FF"/>
      <w:kern w:val="32"/>
      <w:sz w:val="32"/>
      <w:szCs w:val="32"/>
    </w:rPr>
  </w:style>
  <w:style w:type="paragraph" w:customStyle="1" w:styleId="style3">
    <w:name w:val="style3"/>
    <w:basedOn w:val="Normal"/>
    <w:rsid w:val="00C059DA"/>
    <w:pPr>
      <w:overflowPunct/>
      <w:autoSpaceDE/>
      <w:autoSpaceDN/>
      <w:adjustRightInd/>
      <w:spacing w:before="100" w:beforeAutospacing="1" w:after="100" w:afterAutospacing="1"/>
      <w:textAlignment w:val="auto"/>
    </w:pPr>
    <w:rPr>
      <w:rFonts w:ascii="Verdana" w:hAnsi="Verdana"/>
      <w:color w:val="006600"/>
      <w:sz w:val="17"/>
      <w:szCs w:val="17"/>
    </w:rPr>
  </w:style>
  <w:style w:type="paragraph" w:customStyle="1" w:styleId="p14">
    <w:name w:val="p14"/>
    <w:basedOn w:val="Normal"/>
    <w:rsid w:val="004A305C"/>
    <w:pPr>
      <w:widowControl w:val="0"/>
      <w:tabs>
        <w:tab w:val="left" w:pos="204"/>
      </w:tabs>
      <w:overflowPunct/>
      <w:textAlignment w:val="auto"/>
    </w:pPr>
    <w:rPr>
      <w:szCs w:val="24"/>
    </w:rPr>
  </w:style>
  <w:style w:type="paragraph" w:customStyle="1" w:styleId="p17">
    <w:name w:val="p17"/>
    <w:basedOn w:val="Normal"/>
    <w:rsid w:val="004A305C"/>
    <w:pPr>
      <w:widowControl w:val="0"/>
      <w:tabs>
        <w:tab w:val="left" w:pos="5057"/>
      </w:tabs>
      <w:overflowPunct/>
      <w:ind w:left="3617"/>
      <w:textAlignment w:val="auto"/>
    </w:pPr>
    <w:rPr>
      <w:szCs w:val="24"/>
    </w:rPr>
  </w:style>
  <w:style w:type="paragraph" w:customStyle="1" w:styleId="p18">
    <w:name w:val="p18"/>
    <w:basedOn w:val="Normal"/>
    <w:rsid w:val="004A305C"/>
    <w:pPr>
      <w:widowControl w:val="0"/>
      <w:tabs>
        <w:tab w:val="left" w:pos="5062"/>
      </w:tabs>
      <w:overflowPunct/>
      <w:ind w:left="3622"/>
      <w:textAlignment w:val="auto"/>
    </w:pPr>
    <w:rPr>
      <w:szCs w:val="24"/>
    </w:rPr>
  </w:style>
  <w:style w:type="paragraph" w:styleId="NormalWeb">
    <w:name w:val="Normal (Web)"/>
    <w:basedOn w:val="Normal"/>
    <w:rsid w:val="004A305C"/>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4A305C"/>
    <w:rPr>
      <w:rFonts w:ascii="Tahoma" w:hAnsi="Tahoma" w:cs="Tahoma"/>
      <w:sz w:val="16"/>
      <w:szCs w:val="16"/>
    </w:rPr>
  </w:style>
  <w:style w:type="character" w:customStyle="1" w:styleId="BalloonTextChar">
    <w:name w:val="Balloon Text Char"/>
    <w:basedOn w:val="DefaultParagraphFont"/>
    <w:link w:val="BalloonText"/>
    <w:uiPriority w:val="99"/>
    <w:semiHidden/>
    <w:rsid w:val="004A305C"/>
    <w:rPr>
      <w:rFonts w:ascii="Tahoma" w:eastAsia="Times New Roman" w:hAnsi="Tahoma" w:cs="Tahoma"/>
      <w:color w:val="0000FF"/>
      <w:sz w:val="16"/>
      <w:szCs w:val="16"/>
    </w:rPr>
  </w:style>
  <w:style w:type="character" w:styleId="CommentReference">
    <w:name w:val="annotation reference"/>
    <w:basedOn w:val="DefaultParagraphFont"/>
    <w:uiPriority w:val="99"/>
    <w:semiHidden/>
    <w:unhideWhenUsed/>
    <w:rsid w:val="00E06060"/>
    <w:rPr>
      <w:sz w:val="16"/>
      <w:szCs w:val="16"/>
    </w:rPr>
  </w:style>
  <w:style w:type="paragraph" w:styleId="CommentText">
    <w:name w:val="annotation text"/>
    <w:basedOn w:val="Normal"/>
    <w:link w:val="CommentTextChar"/>
    <w:uiPriority w:val="99"/>
    <w:semiHidden/>
    <w:unhideWhenUsed/>
    <w:rsid w:val="00E06060"/>
    <w:rPr>
      <w:sz w:val="20"/>
    </w:rPr>
  </w:style>
  <w:style w:type="character" w:customStyle="1" w:styleId="CommentTextChar">
    <w:name w:val="Comment Text Char"/>
    <w:basedOn w:val="DefaultParagraphFont"/>
    <w:link w:val="CommentText"/>
    <w:uiPriority w:val="99"/>
    <w:semiHidden/>
    <w:rsid w:val="00E06060"/>
    <w:rPr>
      <w:rFonts w:ascii="Times New Roman" w:eastAsia="Times New Roman" w:hAnsi="Times New Roman"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E06060"/>
    <w:rPr>
      <w:b/>
      <w:bCs/>
    </w:rPr>
  </w:style>
  <w:style w:type="character" w:customStyle="1" w:styleId="CommentSubjectChar">
    <w:name w:val="Comment Subject Char"/>
    <w:basedOn w:val="CommentTextChar"/>
    <w:link w:val="CommentSubject"/>
    <w:uiPriority w:val="99"/>
    <w:semiHidden/>
    <w:rsid w:val="00E06060"/>
    <w:rPr>
      <w:b/>
      <w:bCs/>
    </w:rPr>
  </w:style>
  <w:style w:type="character" w:styleId="Hyperlink">
    <w:name w:val="Hyperlink"/>
    <w:basedOn w:val="DefaultParagraphFont"/>
    <w:uiPriority w:val="99"/>
    <w:semiHidden/>
    <w:unhideWhenUsed/>
    <w:rsid w:val="00724AA3"/>
    <w:rPr>
      <w:color w:val="0000FF"/>
      <w:u w:val="single"/>
    </w:rPr>
  </w:style>
  <w:style w:type="paragraph" w:styleId="ListParagraph">
    <w:name w:val="List Paragraph"/>
    <w:basedOn w:val="Normal"/>
    <w:uiPriority w:val="34"/>
    <w:qFormat/>
    <w:rsid w:val="004B2863"/>
    <w:pPr>
      <w:ind w:left="720"/>
      <w:contextualSpacing/>
    </w:pPr>
  </w:style>
</w:styles>
</file>

<file path=word/webSettings.xml><?xml version="1.0" encoding="utf-8"?>
<w:webSettings xmlns:r="http://schemas.openxmlformats.org/officeDocument/2006/relationships" xmlns:w="http://schemas.openxmlformats.org/wordprocessingml/2006/main">
  <w:divs>
    <w:div w:id="16825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DFBEC-D263-4E8A-8C81-3DE9DAAB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39</Pages>
  <Words>9863</Words>
  <Characters>56223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joyce marie farner</cp:lastModifiedBy>
  <cp:revision>11</cp:revision>
  <cp:lastPrinted>2010-06-17T13:41:00Z</cp:lastPrinted>
  <dcterms:created xsi:type="dcterms:W3CDTF">2010-06-16T18:46:00Z</dcterms:created>
  <dcterms:modified xsi:type="dcterms:W3CDTF">2010-06-17T13:51:00Z</dcterms:modified>
</cp:coreProperties>
</file>