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229" w:rsidRPr="00596508" w:rsidRDefault="00062229" w:rsidP="00062229">
      <w:pPr>
        <w:tabs>
          <w:tab w:val="center" w:pos="4680"/>
        </w:tabs>
        <w:suppressAutoHyphens/>
        <w:jc w:val="center"/>
        <w:rPr>
          <w:b/>
        </w:rPr>
      </w:pPr>
      <w:r w:rsidRPr="00596508">
        <w:rPr>
          <w:b/>
        </w:rPr>
        <w:t>BEFORE THE</w:t>
      </w:r>
    </w:p>
    <w:p w:rsidR="00062229" w:rsidRDefault="00062229" w:rsidP="00062229">
      <w:pPr>
        <w:pStyle w:val="Heading1"/>
        <w:spacing w:before="0" w:after="0"/>
        <w:jc w:val="center"/>
        <w:rPr>
          <w:rFonts w:ascii="Times New Roman" w:hAnsi="Times New Roman"/>
          <w:sz w:val="24"/>
        </w:rPr>
      </w:pPr>
      <w:r w:rsidRPr="00596508">
        <w:rPr>
          <w:rFonts w:ascii="Times New Roman" w:hAnsi="Times New Roman"/>
          <w:sz w:val="24"/>
        </w:rPr>
        <w:t>PENNSYLVANIA PUBLIC UTILITY COMMISSION</w:t>
      </w:r>
    </w:p>
    <w:p w:rsidR="00062229" w:rsidRPr="005779D0" w:rsidRDefault="00062229" w:rsidP="00062229">
      <w:pPr>
        <w:spacing w:line="240" w:lineRule="auto"/>
      </w:pPr>
    </w:p>
    <w:p w:rsidR="00062229" w:rsidRPr="00596508" w:rsidRDefault="00062229" w:rsidP="00062229">
      <w:pPr>
        <w:tabs>
          <w:tab w:val="left" w:pos="-720"/>
        </w:tabs>
        <w:suppressAutoHyphens/>
        <w:spacing w:line="240" w:lineRule="auto"/>
        <w:jc w:val="both"/>
      </w:pPr>
    </w:p>
    <w:p w:rsidR="00062229" w:rsidRPr="00596508" w:rsidRDefault="00062229" w:rsidP="00062229">
      <w:pPr>
        <w:tabs>
          <w:tab w:val="left" w:pos="-720"/>
        </w:tabs>
        <w:suppressAutoHyphens/>
        <w:spacing w:line="240" w:lineRule="auto"/>
        <w:jc w:val="both"/>
      </w:pPr>
    </w:p>
    <w:tbl>
      <w:tblPr>
        <w:tblW w:w="0" w:type="auto"/>
        <w:tblLook w:val="01E0"/>
      </w:tblPr>
      <w:tblGrid>
        <w:gridCol w:w="4771"/>
        <w:gridCol w:w="283"/>
        <w:gridCol w:w="4522"/>
      </w:tblGrid>
      <w:tr w:rsidR="00062229" w:rsidRPr="00596508" w:rsidTr="00771592">
        <w:tc>
          <w:tcPr>
            <w:tcW w:w="4772" w:type="dxa"/>
          </w:tcPr>
          <w:p w:rsidR="00062229" w:rsidRPr="008E6921" w:rsidRDefault="00062229" w:rsidP="00771592">
            <w:pPr>
              <w:tabs>
                <w:tab w:val="left" w:pos="-720"/>
              </w:tabs>
              <w:suppressAutoHyphens/>
              <w:spacing w:line="240" w:lineRule="auto"/>
              <w:rPr>
                <w:rFonts w:eastAsia="Times New Roman"/>
              </w:rPr>
            </w:pPr>
            <w:r w:rsidRPr="008E6921">
              <w:rPr>
                <w:rFonts w:eastAsia="Times New Roman"/>
              </w:rPr>
              <w:t>Verizon Pennsylvania Inc., Verizon North Inc., Bell Atlantic Communications, Inc. d/b/a Verizon Long Distance, Verizon Select Services, Inc., Verizon Global Networks, Inc., MCImetro Access Transmission Services, LLC d/b/a Verizon Access Transmission Services and MCI Communications Services, Inc.</w:t>
            </w:r>
          </w:p>
          <w:p w:rsidR="00062229" w:rsidRPr="008E6921" w:rsidRDefault="00062229" w:rsidP="00771592">
            <w:pPr>
              <w:tabs>
                <w:tab w:val="left" w:pos="-720"/>
              </w:tabs>
              <w:suppressAutoHyphens/>
              <w:spacing w:line="240" w:lineRule="auto"/>
              <w:rPr>
                <w:rFonts w:eastAsia="Times New Roman"/>
              </w:rPr>
            </w:pPr>
          </w:p>
          <w:p w:rsidR="00062229" w:rsidRPr="008E6921" w:rsidRDefault="00062229" w:rsidP="00771592">
            <w:pPr>
              <w:tabs>
                <w:tab w:val="left" w:pos="-720"/>
              </w:tabs>
              <w:suppressAutoHyphens/>
              <w:spacing w:line="240" w:lineRule="auto"/>
              <w:jc w:val="center"/>
              <w:rPr>
                <w:rFonts w:eastAsia="Times New Roman"/>
              </w:rPr>
            </w:pPr>
            <w:r w:rsidRPr="008E6921">
              <w:rPr>
                <w:rFonts w:eastAsia="Times New Roman"/>
              </w:rPr>
              <w:t>v.</w:t>
            </w:r>
          </w:p>
          <w:p w:rsidR="00062229" w:rsidRPr="008E6921" w:rsidRDefault="00062229" w:rsidP="00771592">
            <w:pPr>
              <w:tabs>
                <w:tab w:val="left" w:pos="-720"/>
              </w:tabs>
              <w:suppressAutoHyphens/>
              <w:spacing w:line="240" w:lineRule="auto"/>
              <w:rPr>
                <w:rFonts w:eastAsia="Times New Roman"/>
              </w:rPr>
            </w:pPr>
          </w:p>
          <w:p w:rsidR="00062229" w:rsidRDefault="00062229" w:rsidP="00771592">
            <w:pPr>
              <w:tabs>
                <w:tab w:val="left" w:pos="-720"/>
              </w:tabs>
              <w:suppressAutoHyphens/>
              <w:spacing w:line="240" w:lineRule="auto"/>
              <w:rPr>
                <w:rFonts w:eastAsia="Times New Roman"/>
              </w:rPr>
            </w:pPr>
            <w:r w:rsidRPr="008E6921">
              <w:rPr>
                <w:rFonts w:eastAsia="Times New Roman"/>
              </w:rPr>
              <w:t>CTC Communications Corporation</w:t>
            </w:r>
            <w:r>
              <w:rPr>
                <w:rFonts w:eastAsia="Times New Roman"/>
              </w:rPr>
              <w:t xml:space="preserve"> </w:t>
            </w:r>
          </w:p>
          <w:p w:rsidR="00062229" w:rsidRDefault="00062229" w:rsidP="00771592">
            <w:pPr>
              <w:tabs>
                <w:tab w:val="left" w:pos="-720"/>
              </w:tabs>
              <w:suppressAutoHyphens/>
              <w:spacing w:line="240" w:lineRule="auto"/>
              <w:rPr>
                <w:rFonts w:eastAsia="Times New Roman"/>
              </w:rPr>
            </w:pPr>
          </w:p>
          <w:p w:rsidR="00062229" w:rsidRDefault="00062229" w:rsidP="00771592">
            <w:pPr>
              <w:tabs>
                <w:tab w:val="left" w:pos="-720"/>
              </w:tabs>
              <w:suppressAutoHyphens/>
              <w:spacing w:line="240" w:lineRule="auto"/>
              <w:jc w:val="center"/>
              <w:rPr>
                <w:rFonts w:eastAsia="Times New Roman"/>
              </w:rPr>
            </w:pPr>
            <w:r>
              <w:rPr>
                <w:rFonts w:eastAsia="Times New Roman"/>
              </w:rPr>
              <w:t xml:space="preserve">and </w:t>
            </w:r>
          </w:p>
          <w:p w:rsidR="00062229" w:rsidRDefault="00062229" w:rsidP="00771592">
            <w:pPr>
              <w:tabs>
                <w:tab w:val="left" w:pos="-720"/>
              </w:tabs>
              <w:suppressAutoHyphens/>
              <w:spacing w:line="240" w:lineRule="auto"/>
              <w:rPr>
                <w:rFonts w:eastAsia="Times New Roman"/>
              </w:rPr>
            </w:pPr>
          </w:p>
          <w:p w:rsidR="00062229" w:rsidRPr="008E6921" w:rsidRDefault="00062229" w:rsidP="00771592">
            <w:pPr>
              <w:tabs>
                <w:tab w:val="left" w:pos="-720"/>
              </w:tabs>
              <w:suppressAutoHyphens/>
              <w:spacing w:line="240" w:lineRule="auto"/>
              <w:rPr>
                <w:rFonts w:eastAsia="Times New Roman"/>
              </w:rPr>
            </w:pPr>
            <w:r w:rsidRPr="008E6921">
              <w:rPr>
                <w:rFonts w:eastAsia="Times New Roman"/>
              </w:rPr>
              <w:t xml:space="preserve">FiberNet Telecommunications of </w:t>
            </w:r>
            <w:smartTag w:uri="urn:schemas-microsoft-com:office:smarttags" w:element="place">
              <w:smartTag w:uri="urn:schemas-microsoft-com:office:smarttags" w:element="State">
                <w:r w:rsidRPr="008E6921">
                  <w:rPr>
                    <w:rFonts w:eastAsia="Times New Roman"/>
                  </w:rPr>
                  <w:t>Pennsylvania</w:t>
                </w:r>
              </w:smartTag>
            </w:smartTag>
            <w:r w:rsidRPr="008E6921">
              <w:rPr>
                <w:rFonts w:eastAsia="Times New Roman"/>
              </w:rPr>
              <w:t>, LLC</w:t>
            </w:r>
          </w:p>
          <w:p w:rsidR="00062229" w:rsidRPr="008E6921" w:rsidRDefault="00062229" w:rsidP="00771592">
            <w:pPr>
              <w:tabs>
                <w:tab w:val="left" w:pos="-720"/>
              </w:tabs>
              <w:suppressAutoHyphens/>
              <w:spacing w:line="240" w:lineRule="auto"/>
              <w:rPr>
                <w:rFonts w:eastAsia="Times New Roman"/>
              </w:rPr>
            </w:pPr>
          </w:p>
          <w:p w:rsidR="00062229" w:rsidRPr="008E6921" w:rsidRDefault="00062229" w:rsidP="00771592">
            <w:pPr>
              <w:tabs>
                <w:tab w:val="left" w:pos="-720"/>
              </w:tabs>
              <w:suppressAutoHyphens/>
              <w:spacing w:line="240" w:lineRule="auto"/>
              <w:rPr>
                <w:rFonts w:eastAsia="Times New Roman"/>
              </w:rPr>
            </w:pPr>
          </w:p>
          <w:p w:rsidR="00062229" w:rsidRPr="008E6921" w:rsidRDefault="00062229" w:rsidP="00771592">
            <w:pPr>
              <w:tabs>
                <w:tab w:val="left" w:pos="-720"/>
              </w:tabs>
              <w:suppressAutoHyphens/>
              <w:spacing w:line="240" w:lineRule="auto"/>
              <w:jc w:val="center"/>
              <w:rPr>
                <w:rFonts w:eastAsia="Times New Roman"/>
              </w:rPr>
            </w:pPr>
            <w:r w:rsidRPr="008E6921">
              <w:rPr>
                <w:rFonts w:eastAsia="Times New Roman"/>
              </w:rPr>
              <w:t>and</w:t>
            </w:r>
          </w:p>
          <w:p w:rsidR="00062229" w:rsidRPr="008E6921" w:rsidRDefault="00062229" w:rsidP="00771592">
            <w:pPr>
              <w:tabs>
                <w:tab w:val="left" w:pos="-720"/>
              </w:tabs>
              <w:suppressAutoHyphens/>
              <w:spacing w:line="240" w:lineRule="auto"/>
              <w:rPr>
                <w:rFonts w:eastAsia="Times New Roman"/>
              </w:rPr>
            </w:pPr>
          </w:p>
          <w:p w:rsidR="00062229" w:rsidRPr="008E6921" w:rsidRDefault="00062229" w:rsidP="00771592">
            <w:pPr>
              <w:tabs>
                <w:tab w:val="left" w:pos="-720"/>
              </w:tabs>
              <w:suppressAutoHyphens/>
              <w:spacing w:line="240" w:lineRule="auto"/>
              <w:rPr>
                <w:rFonts w:eastAsia="Times New Roman"/>
              </w:rPr>
            </w:pPr>
            <w:r>
              <w:rPr>
                <w:rFonts w:eastAsia="Times New Roman"/>
              </w:rPr>
              <w:t>Choice One Communications of   Pennsylvania, Inc.</w:t>
            </w:r>
          </w:p>
          <w:p w:rsidR="00062229" w:rsidRPr="008E6921" w:rsidRDefault="00062229" w:rsidP="00771592">
            <w:pPr>
              <w:tabs>
                <w:tab w:val="left" w:pos="-720"/>
              </w:tabs>
              <w:suppressAutoHyphens/>
              <w:spacing w:line="240" w:lineRule="auto"/>
              <w:rPr>
                <w:rFonts w:eastAsia="Times New Roman"/>
              </w:rPr>
            </w:pPr>
          </w:p>
        </w:tc>
        <w:tc>
          <w:tcPr>
            <w:tcW w:w="280" w:type="dxa"/>
          </w:tcPr>
          <w:p w:rsidR="00062229" w:rsidRPr="008E6921" w:rsidRDefault="00062229" w:rsidP="00771592">
            <w:pPr>
              <w:tabs>
                <w:tab w:val="left" w:pos="-720"/>
              </w:tabs>
              <w:suppressAutoHyphens/>
              <w:spacing w:line="240" w:lineRule="auto"/>
              <w:jc w:val="both"/>
              <w:rPr>
                <w:rFonts w:eastAsia="Times New Roman"/>
              </w:rPr>
            </w:pPr>
            <w:r w:rsidRPr="008E6921">
              <w:rPr>
                <w:rFonts w:eastAsia="Times New Roman"/>
              </w:rPr>
              <w:t>:</w:t>
            </w:r>
            <w:r w:rsidRPr="008E6921">
              <w:rPr>
                <w:rFonts w:eastAsia="Times New Roman"/>
              </w:rPr>
              <w:br/>
              <w:t>:</w:t>
            </w:r>
            <w:r w:rsidRPr="008E6921">
              <w:rPr>
                <w:rFonts w:eastAsia="Times New Roman"/>
              </w:rPr>
              <w:br/>
              <w:t>:</w:t>
            </w:r>
            <w:r w:rsidRPr="008E6921">
              <w:rPr>
                <w:rFonts w:eastAsia="Times New Roman"/>
              </w:rPr>
              <w:br/>
              <w:t>:</w:t>
            </w:r>
            <w:r w:rsidRPr="008E6921">
              <w:rPr>
                <w:rFonts w:eastAsia="Times New Roman"/>
              </w:rPr>
              <w:br/>
              <w:t>:</w:t>
            </w:r>
            <w:r w:rsidRPr="008E6921">
              <w:rPr>
                <w:rFonts w:eastAsia="Times New Roman"/>
              </w:rPr>
              <w:br/>
              <w:t>:</w:t>
            </w:r>
            <w:r w:rsidRPr="008E6921">
              <w:rPr>
                <w:rFonts w:eastAsia="Times New Roman"/>
              </w:rPr>
              <w:br/>
              <w:t>:</w:t>
            </w:r>
            <w:r w:rsidRPr="008E6921">
              <w:rPr>
                <w:rFonts w:eastAsia="Times New Roman"/>
              </w:rPr>
              <w:br/>
              <w:t>:</w:t>
            </w:r>
            <w:r w:rsidRPr="008E6921">
              <w:rPr>
                <w:rFonts w:eastAsia="Times New Roman"/>
              </w:rPr>
              <w:br/>
              <w:t>:</w:t>
            </w:r>
            <w:r w:rsidRPr="008E6921">
              <w:rPr>
                <w:rFonts w:eastAsia="Times New Roman"/>
              </w:rPr>
              <w:br/>
              <w:t>:</w:t>
            </w:r>
            <w:r w:rsidRPr="008E6921">
              <w:rPr>
                <w:rFonts w:eastAsia="Times New Roman"/>
              </w:rPr>
              <w:br/>
              <w:t>:</w:t>
            </w:r>
            <w:r w:rsidRPr="008E6921">
              <w:rPr>
                <w:rFonts w:eastAsia="Times New Roman"/>
              </w:rPr>
              <w:br/>
              <w:t>:</w:t>
            </w:r>
            <w:r w:rsidRPr="008E6921">
              <w:rPr>
                <w:rFonts w:eastAsia="Times New Roman"/>
              </w:rPr>
              <w:br/>
              <w:t>:</w:t>
            </w:r>
            <w:r w:rsidRPr="008E6921">
              <w:rPr>
                <w:rFonts w:eastAsia="Times New Roman"/>
              </w:rPr>
              <w:br/>
              <w:t>:</w:t>
            </w:r>
          </w:p>
          <w:p w:rsidR="00062229" w:rsidRPr="008E6921" w:rsidRDefault="00062229" w:rsidP="00771592">
            <w:pPr>
              <w:tabs>
                <w:tab w:val="left" w:pos="-720"/>
              </w:tabs>
              <w:suppressAutoHyphens/>
              <w:spacing w:line="240" w:lineRule="auto"/>
              <w:jc w:val="both"/>
              <w:rPr>
                <w:rFonts w:eastAsia="Times New Roman"/>
              </w:rPr>
            </w:pPr>
            <w:r w:rsidRPr="008E6921">
              <w:rPr>
                <w:rFonts w:eastAsia="Times New Roman"/>
              </w:rPr>
              <w:t>:</w:t>
            </w:r>
          </w:p>
          <w:p w:rsidR="00062229" w:rsidRPr="008E6921" w:rsidRDefault="00062229" w:rsidP="00771592">
            <w:pPr>
              <w:tabs>
                <w:tab w:val="left" w:pos="-720"/>
              </w:tabs>
              <w:suppressAutoHyphens/>
              <w:spacing w:line="240" w:lineRule="auto"/>
              <w:jc w:val="both"/>
              <w:rPr>
                <w:rFonts w:eastAsia="Times New Roman"/>
              </w:rPr>
            </w:pPr>
            <w:r w:rsidRPr="008E6921">
              <w:rPr>
                <w:rFonts w:eastAsia="Times New Roman"/>
              </w:rPr>
              <w:t>:</w:t>
            </w:r>
          </w:p>
          <w:p w:rsidR="00062229" w:rsidRPr="008E6921" w:rsidRDefault="00062229" w:rsidP="00771592">
            <w:pPr>
              <w:tabs>
                <w:tab w:val="left" w:pos="-720"/>
              </w:tabs>
              <w:suppressAutoHyphens/>
              <w:spacing w:line="240" w:lineRule="auto"/>
              <w:jc w:val="both"/>
              <w:rPr>
                <w:rFonts w:eastAsia="Times New Roman"/>
              </w:rPr>
            </w:pPr>
            <w:r w:rsidRPr="008E6921">
              <w:rPr>
                <w:rFonts w:eastAsia="Times New Roman"/>
              </w:rPr>
              <w:t>:</w:t>
            </w:r>
          </w:p>
          <w:p w:rsidR="00062229" w:rsidRPr="008E6921" w:rsidRDefault="00062229" w:rsidP="00771592">
            <w:pPr>
              <w:tabs>
                <w:tab w:val="left" w:pos="-720"/>
              </w:tabs>
              <w:suppressAutoHyphens/>
              <w:spacing w:line="240" w:lineRule="auto"/>
              <w:jc w:val="both"/>
              <w:rPr>
                <w:rFonts w:eastAsia="Times New Roman"/>
              </w:rPr>
            </w:pPr>
            <w:r w:rsidRPr="008E6921">
              <w:rPr>
                <w:rFonts w:eastAsia="Times New Roman"/>
              </w:rPr>
              <w:t>:</w:t>
            </w:r>
          </w:p>
          <w:p w:rsidR="00062229" w:rsidRPr="008E6921" w:rsidRDefault="00062229" w:rsidP="00771592">
            <w:pPr>
              <w:tabs>
                <w:tab w:val="left" w:pos="-720"/>
              </w:tabs>
              <w:suppressAutoHyphens/>
              <w:spacing w:line="240" w:lineRule="auto"/>
              <w:jc w:val="both"/>
              <w:rPr>
                <w:rFonts w:eastAsia="Times New Roman"/>
              </w:rPr>
            </w:pPr>
            <w:r w:rsidRPr="008E6921">
              <w:rPr>
                <w:rFonts w:eastAsia="Times New Roman"/>
              </w:rPr>
              <w:t>:</w:t>
            </w:r>
          </w:p>
          <w:p w:rsidR="00062229" w:rsidRPr="008E6921" w:rsidRDefault="00062229" w:rsidP="00771592">
            <w:pPr>
              <w:tabs>
                <w:tab w:val="left" w:pos="-720"/>
              </w:tabs>
              <w:suppressAutoHyphens/>
              <w:spacing w:line="240" w:lineRule="auto"/>
              <w:jc w:val="both"/>
              <w:rPr>
                <w:rFonts w:eastAsia="Times New Roman"/>
              </w:rPr>
            </w:pPr>
            <w:r w:rsidRPr="008E6921">
              <w:rPr>
                <w:rFonts w:eastAsia="Times New Roman"/>
              </w:rPr>
              <w:t>:</w:t>
            </w:r>
            <w:r w:rsidRPr="008E6921">
              <w:rPr>
                <w:rFonts w:eastAsia="Times New Roman"/>
              </w:rPr>
              <w:br/>
              <w:t>:</w:t>
            </w:r>
          </w:p>
        </w:tc>
        <w:tc>
          <w:tcPr>
            <w:tcW w:w="4524" w:type="dxa"/>
          </w:tcPr>
          <w:p w:rsidR="00062229" w:rsidRPr="008E6921" w:rsidRDefault="00062229" w:rsidP="00771592">
            <w:pPr>
              <w:tabs>
                <w:tab w:val="left" w:pos="-720"/>
              </w:tabs>
              <w:suppressAutoHyphens/>
              <w:spacing w:line="240" w:lineRule="auto"/>
              <w:jc w:val="both"/>
              <w:rPr>
                <w:rFonts w:eastAsia="Times New Roman"/>
              </w:rPr>
            </w:pPr>
          </w:p>
          <w:p w:rsidR="00062229" w:rsidRPr="008E6921" w:rsidRDefault="00062229" w:rsidP="00771592">
            <w:pPr>
              <w:tabs>
                <w:tab w:val="left" w:pos="-720"/>
              </w:tabs>
              <w:suppressAutoHyphens/>
              <w:spacing w:line="240" w:lineRule="auto"/>
              <w:jc w:val="both"/>
              <w:rPr>
                <w:rFonts w:eastAsia="Times New Roman"/>
              </w:rPr>
            </w:pPr>
          </w:p>
          <w:p w:rsidR="00062229" w:rsidRPr="008E6921" w:rsidRDefault="00062229" w:rsidP="00771592">
            <w:pPr>
              <w:tabs>
                <w:tab w:val="left" w:pos="-720"/>
              </w:tabs>
              <w:suppressAutoHyphens/>
              <w:spacing w:line="240" w:lineRule="auto"/>
              <w:jc w:val="both"/>
              <w:rPr>
                <w:rFonts w:eastAsia="Times New Roman"/>
              </w:rPr>
            </w:pPr>
          </w:p>
          <w:p w:rsidR="00062229" w:rsidRPr="008E6921" w:rsidRDefault="00062229" w:rsidP="00771592">
            <w:pPr>
              <w:tabs>
                <w:tab w:val="left" w:pos="-720"/>
              </w:tabs>
              <w:suppressAutoHyphens/>
              <w:spacing w:line="240" w:lineRule="auto"/>
              <w:jc w:val="both"/>
              <w:rPr>
                <w:rFonts w:eastAsia="Times New Roman"/>
              </w:rPr>
            </w:pPr>
          </w:p>
          <w:p w:rsidR="00062229" w:rsidRDefault="00062229" w:rsidP="00771592">
            <w:pPr>
              <w:tabs>
                <w:tab w:val="left" w:pos="-720"/>
              </w:tabs>
              <w:suppressAutoHyphens/>
              <w:spacing w:line="240" w:lineRule="auto"/>
              <w:jc w:val="center"/>
              <w:rPr>
                <w:rFonts w:eastAsia="Times New Roman"/>
              </w:rPr>
            </w:pPr>
          </w:p>
          <w:p w:rsidR="00062229" w:rsidRDefault="00062229" w:rsidP="00771592">
            <w:pPr>
              <w:tabs>
                <w:tab w:val="left" w:pos="-720"/>
              </w:tabs>
              <w:suppressAutoHyphens/>
              <w:spacing w:line="240" w:lineRule="auto"/>
              <w:jc w:val="center"/>
              <w:rPr>
                <w:rFonts w:eastAsia="Times New Roman"/>
              </w:rPr>
            </w:pPr>
          </w:p>
          <w:p w:rsidR="00062229" w:rsidRDefault="00062229" w:rsidP="00771592">
            <w:pPr>
              <w:tabs>
                <w:tab w:val="left" w:pos="-720"/>
              </w:tabs>
              <w:suppressAutoHyphens/>
              <w:spacing w:line="240" w:lineRule="auto"/>
              <w:jc w:val="center"/>
              <w:rPr>
                <w:rFonts w:eastAsia="Times New Roman"/>
              </w:rPr>
            </w:pPr>
          </w:p>
          <w:p w:rsidR="00062229" w:rsidRDefault="00062229" w:rsidP="00771592">
            <w:pPr>
              <w:tabs>
                <w:tab w:val="left" w:pos="-720"/>
              </w:tabs>
              <w:suppressAutoHyphens/>
              <w:spacing w:line="240" w:lineRule="auto"/>
              <w:jc w:val="center"/>
              <w:rPr>
                <w:rFonts w:eastAsia="Times New Roman"/>
              </w:rPr>
            </w:pPr>
          </w:p>
          <w:p w:rsidR="00062229" w:rsidRDefault="00062229" w:rsidP="00771592">
            <w:pPr>
              <w:tabs>
                <w:tab w:val="left" w:pos="-720"/>
              </w:tabs>
              <w:suppressAutoHyphens/>
              <w:spacing w:line="240" w:lineRule="auto"/>
              <w:jc w:val="center"/>
              <w:rPr>
                <w:rFonts w:eastAsia="Times New Roman"/>
              </w:rPr>
            </w:pPr>
          </w:p>
          <w:p w:rsidR="00062229" w:rsidRDefault="00062229" w:rsidP="00771592">
            <w:pPr>
              <w:tabs>
                <w:tab w:val="left" w:pos="-720"/>
              </w:tabs>
              <w:suppressAutoHyphens/>
              <w:spacing w:line="240" w:lineRule="auto"/>
              <w:jc w:val="center"/>
              <w:rPr>
                <w:rFonts w:eastAsia="Times New Roman"/>
              </w:rPr>
            </w:pPr>
          </w:p>
          <w:p w:rsidR="00062229" w:rsidRPr="008E6921" w:rsidRDefault="00062229" w:rsidP="00771592">
            <w:pPr>
              <w:tabs>
                <w:tab w:val="left" w:pos="-720"/>
              </w:tabs>
              <w:suppressAutoHyphens/>
              <w:spacing w:line="240" w:lineRule="auto"/>
              <w:jc w:val="center"/>
              <w:rPr>
                <w:rFonts w:eastAsia="Times New Roman"/>
              </w:rPr>
            </w:pPr>
            <w:r w:rsidRPr="008E6921">
              <w:rPr>
                <w:rFonts w:eastAsia="Times New Roman"/>
              </w:rPr>
              <w:t>C-20077672</w:t>
            </w:r>
          </w:p>
          <w:p w:rsidR="00062229" w:rsidRPr="008E6921" w:rsidRDefault="00062229" w:rsidP="00771592">
            <w:pPr>
              <w:tabs>
                <w:tab w:val="left" w:pos="-720"/>
              </w:tabs>
              <w:suppressAutoHyphens/>
              <w:spacing w:line="240" w:lineRule="auto"/>
              <w:jc w:val="center"/>
              <w:rPr>
                <w:rFonts w:eastAsia="Times New Roman"/>
              </w:rPr>
            </w:pPr>
          </w:p>
          <w:p w:rsidR="00062229" w:rsidRDefault="00062229" w:rsidP="00771592">
            <w:pPr>
              <w:tabs>
                <w:tab w:val="left" w:pos="-720"/>
              </w:tabs>
              <w:suppressAutoHyphens/>
              <w:spacing w:line="240" w:lineRule="auto"/>
              <w:jc w:val="center"/>
              <w:rPr>
                <w:rFonts w:eastAsia="Times New Roman"/>
              </w:rPr>
            </w:pPr>
          </w:p>
          <w:p w:rsidR="00062229" w:rsidRDefault="00062229" w:rsidP="00771592">
            <w:pPr>
              <w:tabs>
                <w:tab w:val="left" w:pos="-720"/>
              </w:tabs>
              <w:suppressAutoHyphens/>
              <w:spacing w:line="240" w:lineRule="auto"/>
              <w:jc w:val="center"/>
              <w:rPr>
                <w:rFonts w:eastAsia="Times New Roman"/>
              </w:rPr>
            </w:pPr>
          </w:p>
          <w:p w:rsidR="00062229" w:rsidRPr="008E6921" w:rsidRDefault="00062229" w:rsidP="00771592">
            <w:pPr>
              <w:tabs>
                <w:tab w:val="left" w:pos="-720"/>
              </w:tabs>
              <w:suppressAutoHyphens/>
              <w:spacing w:line="240" w:lineRule="auto"/>
              <w:jc w:val="center"/>
              <w:rPr>
                <w:rFonts w:eastAsia="Times New Roman"/>
              </w:rPr>
            </w:pPr>
            <w:r w:rsidRPr="008E6921">
              <w:rPr>
                <w:rFonts w:eastAsia="Times New Roman"/>
              </w:rPr>
              <w:t>C-20077674</w:t>
            </w:r>
          </w:p>
          <w:p w:rsidR="00062229" w:rsidRPr="008E6921" w:rsidRDefault="00062229" w:rsidP="00771592">
            <w:pPr>
              <w:tabs>
                <w:tab w:val="left" w:pos="-720"/>
              </w:tabs>
              <w:suppressAutoHyphens/>
              <w:spacing w:line="240" w:lineRule="auto"/>
              <w:jc w:val="center"/>
              <w:rPr>
                <w:rFonts w:eastAsia="Times New Roman"/>
              </w:rPr>
            </w:pPr>
          </w:p>
          <w:p w:rsidR="00062229" w:rsidRDefault="00062229" w:rsidP="00771592">
            <w:pPr>
              <w:tabs>
                <w:tab w:val="left" w:pos="-720"/>
              </w:tabs>
              <w:suppressAutoHyphens/>
              <w:spacing w:line="240" w:lineRule="auto"/>
              <w:jc w:val="center"/>
              <w:rPr>
                <w:rFonts w:eastAsia="Times New Roman"/>
              </w:rPr>
            </w:pPr>
          </w:p>
          <w:p w:rsidR="00062229" w:rsidRDefault="00062229" w:rsidP="00771592">
            <w:pPr>
              <w:tabs>
                <w:tab w:val="left" w:pos="-720"/>
              </w:tabs>
              <w:suppressAutoHyphens/>
              <w:spacing w:line="240" w:lineRule="auto"/>
              <w:jc w:val="center"/>
              <w:rPr>
                <w:rFonts w:eastAsia="Times New Roman"/>
              </w:rPr>
            </w:pPr>
          </w:p>
          <w:p w:rsidR="00062229" w:rsidRDefault="00062229" w:rsidP="00771592">
            <w:pPr>
              <w:tabs>
                <w:tab w:val="left" w:pos="-720"/>
              </w:tabs>
              <w:suppressAutoHyphens/>
              <w:spacing w:line="240" w:lineRule="auto"/>
              <w:jc w:val="center"/>
              <w:rPr>
                <w:rFonts w:eastAsia="Times New Roman"/>
              </w:rPr>
            </w:pPr>
          </w:p>
          <w:p w:rsidR="00062229" w:rsidRDefault="00062229" w:rsidP="00771592">
            <w:pPr>
              <w:tabs>
                <w:tab w:val="left" w:pos="-720"/>
              </w:tabs>
              <w:suppressAutoHyphens/>
              <w:spacing w:line="240" w:lineRule="auto"/>
              <w:jc w:val="center"/>
              <w:rPr>
                <w:rFonts w:eastAsia="Times New Roman"/>
              </w:rPr>
            </w:pPr>
          </w:p>
          <w:p w:rsidR="00062229" w:rsidRPr="008E6921" w:rsidRDefault="00062229" w:rsidP="00771592">
            <w:pPr>
              <w:tabs>
                <w:tab w:val="left" w:pos="-720"/>
              </w:tabs>
              <w:suppressAutoHyphens/>
              <w:spacing w:line="240" w:lineRule="auto"/>
              <w:jc w:val="center"/>
              <w:rPr>
                <w:rFonts w:eastAsia="Times New Roman"/>
              </w:rPr>
            </w:pPr>
            <w:r w:rsidRPr="008E6921">
              <w:rPr>
                <w:rFonts w:eastAsia="Times New Roman"/>
              </w:rPr>
              <w:t>C-20077676</w:t>
            </w:r>
          </w:p>
        </w:tc>
      </w:tr>
    </w:tbl>
    <w:p w:rsidR="00062229" w:rsidRDefault="00062229" w:rsidP="00062229">
      <w:pPr>
        <w:tabs>
          <w:tab w:val="left" w:pos="-720"/>
        </w:tabs>
        <w:suppressAutoHyphens/>
        <w:spacing w:line="240" w:lineRule="auto"/>
        <w:jc w:val="both"/>
      </w:pPr>
    </w:p>
    <w:p w:rsidR="00062229" w:rsidRDefault="00062229" w:rsidP="00062229">
      <w:pPr>
        <w:tabs>
          <w:tab w:val="left" w:pos="-720"/>
        </w:tabs>
        <w:suppressAutoHyphens/>
        <w:spacing w:line="240" w:lineRule="auto"/>
        <w:jc w:val="both"/>
      </w:pPr>
    </w:p>
    <w:p w:rsidR="00062229" w:rsidRDefault="00062229" w:rsidP="00062229">
      <w:pPr>
        <w:tabs>
          <w:tab w:val="left" w:pos="-720"/>
        </w:tabs>
        <w:suppressAutoHyphens/>
        <w:spacing w:line="240" w:lineRule="auto"/>
        <w:jc w:val="both"/>
      </w:pPr>
    </w:p>
    <w:p w:rsidR="00062229" w:rsidRDefault="00062229" w:rsidP="00062229">
      <w:pPr>
        <w:tabs>
          <w:tab w:val="left" w:pos="-720"/>
        </w:tabs>
        <w:suppressAutoHyphens/>
        <w:jc w:val="both"/>
      </w:pPr>
    </w:p>
    <w:p w:rsidR="00062229" w:rsidRPr="002C60FC" w:rsidRDefault="00062229" w:rsidP="00062229">
      <w:pPr>
        <w:tabs>
          <w:tab w:val="left" w:pos="-720"/>
        </w:tabs>
        <w:suppressAutoHyphens/>
        <w:jc w:val="center"/>
        <w:rPr>
          <w:b/>
          <w:sz w:val="40"/>
          <w:szCs w:val="40"/>
        </w:rPr>
      </w:pPr>
      <w:r>
        <w:rPr>
          <w:b/>
          <w:sz w:val="40"/>
          <w:szCs w:val="40"/>
        </w:rPr>
        <w:t>NON-</w:t>
      </w:r>
      <w:r w:rsidRPr="002C60FC">
        <w:rPr>
          <w:b/>
          <w:sz w:val="40"/>
          <w:szCs w:val="40"/>
        </w:rPr>
        <w:t>PROPRIETARY</w:t>
      </w:r>
    </w:p>
    <w:p w:rsidR="00062229" w:rsidRDefault="00062229" w:rsidP="00062229">
      <w:pPr>
        <w:tabs>
          <w:tab w:val="left" w:pos="-720"/>
        </w:tabs>
        <w:suppressAutoHyphens/>
        <w:jc w:val="center"/>
        <w:rPr>
          <w:b/>
          <w:u w:val="single"/>
        </w:rPr>
      </w:pPr>
    </w:p>
    <w:p w:rsidR="00062229" w:rsidRPr="008E6921" w:rsidRDefault="00062229" w:rsidP="00062229">
      <w:pPr>
        <w:tabs>
          <w:tab w:val="left" w:pos="-720"/>
        </w:tabs>
        <w:suppressAutoHyphens/>
        <w:jc w:val="center"/>
        <w:rPr>
          <w:b/>
          <w:u w:val="single"/>
        </w:rPr>
      </w:pPr>
      <w:r>
        <w:rPr>
          <w:b/>
          <w:u w:val="single"/>
        </w:rPr>
        <w:t>RECOMMENDED DECISION</w:t>
      </w:r>
    </w:p>
    <w:p w:rsidR="00062229" w:rsidRDefault="00062229" w:rsidP="00062229">
      <w:pPr>
        <w:tabs>
          <w:tab w:val="left" w:pos="-720"/>
        </w:tabs>
        <w:suppressAutoHyphens/>
        <w:spacing w:line="240" w:lineRule="auto"/>
        <w:jc w:val="both"/>
      </w:pPr>
    </w:p>
    <w:p w:rsidR="00062229" w:rsidRPr="00596508" w:rsidRDefault="00062229" w:rsidP="00062229">
      <w:pPr>
        <w:tabs>
          <w:tab w:val="left" w:pos="-720"/>
        </w:tabs>
        <w:suppressAutoHyphens/>
        <w:jc w:val="both"/>
      </w:pPr>
    </w:p>
    <w:p w:rsidR="00062229" w:rsidRDefault="00062229" w:rsidP="00062229">
      <w:pPr>
        <w:spacing w:line="240" w:lineRule="auto"/>
        <w:jc w:val="center"/>
      </w:pPr>
      <w:r>
        <w:t>Before</w:t>
      </w:r>
    </w:p>
    <w:p w:rsidR="00062229" w:rsidRDefault="00062229" w:rsidP="00062229">
      <w:pPr>
        <w:spacing w:line="240" w:lineRule="auto"/>
        <w:jc w:val="center"/>
      </w:pPr>
      <w:r>
        <w:t>Louis G. Cocheres</w:t>
      </w:r>
    </w:p>
    <w:p w:rsidR="00062229" w:rsidRPr="008E6921" w:rsidRDefault="00062229" w:rsidP="00062229">
      <w:pPr>
        <w:spacing w:line="240" w:lineRule="auto"/>
        <w:jc w:val="center"/>
      </w:pPr>
      <w:r>
        <w:t>Administrative Law Judge</w:t>
      </w:r>
    </w:p>
    <w:p w:rsidR="00062229" w:rsidRDefault="00062229" w:rsidP="00062229">
      <w:pPr>
        <w:jc w:val="center"/>
        <w:rPr>
          <w:u w:val="single"/>
        </w:rPr>
        <w:sectPr w:rsidR="00062229" w:rsidSect="00062229">
          <w:footerReference w:type="default" r:id="rId7"/>
          <w:pgSz w:w="12240" w:h="15840" w:code="1"/>
          <w:pgMar w:top="1440" w:right="1440" w:bottom="1440" w:left="1440" w:header="720" w:footer="720" w:gutter="0"/>
          <w:cols w:space="720"/>
          <w:noEndnote/>
          <w:titlePg/>
          <w:docGrid w:linePitch="326"/>
        </w:sectPr>
      </w:pPr>
    </w:p>
    <w:p w:rsidR="00062229" w:rsidRPr="00774101" w:rsidRDefault="00062229" w:rsidP="00062229">
      <w:pPr>
        <w:jc w:val="center"/>
      </w:pPr>
      <w:r>
        <w:rPr>
          <w:u w:val="single"/>
        </w:rPr>
        <w:lastRenderedPageBreak/>
        <w:t>SUMMARY OF RECOMMENDATION</w:t>
      </w:r>
    </w:p>
    <w:p w:rsidR="00062229" w:rsidRDefault="00062229" w:rsidP="00062229"/>
    <w:p w:rsidR="00062229" w:rsidRDefault="00062229" w:rsidP="00062229">
      <w:r>
        <w:tab/>
      </w:r>
      <w:r>
        <w:tab/>
        <w:t xml:space="preserve">This case is the third complaint of a trilogy filed by Verizon and its affliates against Competitive Local Exchange Carriers (CLECs) based on its belief that the CLECs’ intrastate access charges were higher than allowable under 66 Pa. C.S. § 3017(c).  The other two cases were:  </w:t>
      </w:r>
      <w:r w:rsidRPr="00E27197">
        <w:rPr>
          <w:i/>
        </w:rPr>
        <w:t>Verizon Pennsylvania Inc., Verizon North Inc., Bell Atlantic Communications, Inc. d/b/a Verizon Long Distance, Verizon Select Services, Inc., Verizon Global Networks, Inc., MCImetro Access Transmission Services, LLC d/b/a Verizon Access Transmission Services and MCI Communications Services, Inc. v. Penn Telecom, Inc</w:t>
      </w:r>
      <w:r>
        <w:t xml:space="preserve">., Opinion and Order, entered </w:t>
      </w:r>
    </w:p>
    <w:p w:rsidR="00062229" w:rsidRDefault="00062229" w:rsidP="00062229">
      <w:r>
        <w:t>August 29, 2008 at Docket No. C-20066987 (Slip Op.) (</w:t>
      </w:r>
      <w:r>
        <w:rPr>
          <w:i/>
        </w:rPr>
        <w:t>PTI</w:t>
      </w:r>
      <w:r>
        <w:t xml:space="preserve">) and </w:t>
      </w:r>
      <w:r w:rsidRPr="00A43AED">
        <w:rPr>
          <w:i/>
        </w:rPr>
        <w:t>Verizon Pennsylvania Inc., Verizon North Inc., Bell Atlantic Communications, Inc. d/b/a Verizon Long Distance, Verizon Select Services, Inc., Verizon Global Networks, Inc., MCImetro Access Transmission Services, LLC d/b/a Verizon Access Transmission Services and MCI Communications Services, Inc. v. CTSI</w:t>
      </w:r>
      <w:r>
        <w:t>, Opinion and Order, entered August 29, 2008 at Docket No. C-20077332 (Slip Op.) (</w:t>
      </w:r>
      <w:r>
        <w:rPr>
          <w:i/>
        </w:rPr>
        <w:t>CTSI</w:t>
      </w:r>
      <w:r>
        <w:t>).  The primary question in this case (as well as the previous two) was whether the One Communications Companies could present credible cost studies which justified their current tariffed rates?  They did not.  There are two secondary issues:  First, is Verizon entitled to a refund for the difference between the rate it paid and the rate it should have paid pursuant to the Public Utility Code, 66 Pa. C.S. § 1312?  It is.  Second, is Verizon liable for recoupment by FiberNet for the difference between the below tariff rate Verizon paid and the revised rate it should have paid</w:t>
      </w:r>
      <w:r w:rsidRPr="00E32E48">
        <w:t xml:space="preserve"> </w:t>
      </w:r>
      <w:r>
        <w:t>pursuant to the Public Utility Code.  It is.  As a result of the failure of the One Communications Companies’ to validate their switched access rates, I concluded that the rates were unjust and unreasonable.  I note that in these circumstances Section 1312(a) of the Public Utility Code specifies that “all patrons,” not simply the complainants, are entitled to refunds.</w:t>
      </w:r>
    </w:p>
    <w:p w:rsidR="00062229" w:rsidRDefault="00062229" w:rsidP="00062229"/>
    <w:p w:rsidR="00062229" w:rsidRPr="0062412E" w:rsidRDefault="00062229" w:rsidP="00062229">
      <w:pPr>
        <w:jc w:val="center"/>
        <w:rPr>
          <w:u w:val="single"/>
        </w:rPr>
      </w:pPr>
      <w:r>
        <w:rPr>
          <w:u w:val="single"/>
        </w:rPr>
        <w:t>HISTORY OF THE PROCEEDING</w:t>
      </w:r>
    </w:p>
    <w:p w:rsidR="00062229" w:rsidRDefault="00062229" w:rsidP="00062229"/>
    <w:p w:rsidR="00062229" w:rsidRDefault="00062229" w:rsidP="00062229">
      <w:pPr>
        <w:rPr>
          <w:bCs/>
        </w:rPr>
      </w:pPr>
      <w:r>
        <w:tab/>
      </w:r>
      <w:r>
        <w:tab/>
      </w:r>
      <w:r>
        <w:rPr>
          <w:bCs/>
        </w:rPr>
        <w:t xml:space="preserve">On April 25, 2007, </w:t>
      </w:r>
      <w:r w:rsidRPr="004D4846">
        <w:t>Verizon Pennsylvania Inc., Verizon North Inc., Bell Atlantic Communications, Inc. d/b/a Verizon Long Distance, Verizon Select Services, Inc., Verizon Global Networks, Inc., MCImetro Access Transmission Services, LLC d/b/a Verizon Access Transmission Services and MCI Communications Services, Inc.</w:t>
      </w:r>
      <w:r>
        <w:t xml:space="preserve">, (collectively, Verizon, VZ or </w:t>
      </w:r>
      <w:r>
        <w:lastRenderedPageBreak/>
        <w:t xml:space="preserve">complainants) </w:t>
      </w:r>
      <w:r>
        <w:rPr>
          <w:bCs/>
        </w:rPr>
        <w:t xml:space="preserve">filed a formal complaint against the </w:t>
      </w:r>
      <w:r>
        <w:t xml:space="preserve">Choice One Communications of Pennsylvania, Inc., (Choice One), CTC Communications Corporation., (CTC) and FiberNet Telecommunications of Pennsylvania, LLC, (FiberNet) (collectively, the </w:t>
      </w:r>
      <w:r>
        <w:rPr>
          <w:bCs/>
        </w:rPr>
        <w:t xml:space="preserve">One Communications Companies, Companies, OC or respondents) and alleged the Companies violated </w:t>
      </w:r>
      <w:r>
        <w:t>66 Pa. C.S. § 3017(c).  Verizon requested that the Commission order the One Communications Companies to reduce their tariffed intrastate switched access rates to comply with the statute and order them to refund or credit to Verizon all amounts charged to Verizon in violation of 66 Pa. C.S. § 3017(c)</w:t>
      </w:r>
      <w:r>
        <w:rPr>
          <w:bCs/>
        </w:rPr>
        <w:t xml:space="preserve"> from its effective date of November 30, 2004, to the present, with interest.</w:t>
      </w:r>
    </w:p>
    <w:p w:rsidR="00062229" w:rsidRDefault="00062229" w:rsidP="00062229">
      <w:pPr>
        <w:rPr>
          <w:bCs/>
        </w:rPr>
      </w:pPr>
    </w:p>
    <w:p w:rsidR="00062229" w:rsidRDefault="00062229" w:rsidP="00062229">
      <w:r>
        <w:rPr>
          <w:bCs/>
        </w:rPr>
        <w:tab/>
      </w:r>
      <w:r>
        <w:rPr>
          <w:bCs/>
        </w:rPr>
        <w:tab/>
        <w:t xml:space="preserve">On May 31, 2007, the One Communications Companies answered Verizon’s complaint.  They admitted that their intrastate switched access rates were higher than the incumbents’ intrastate switched access rates and that they had instituted no proceeding to declare their higher access rates cost justified.  They </w:t>
      </w:r>
      <w:r>
        <w:t>denied that any proceedings were either necessary or required.</w:t>
      </w:r>
    </w:p>
    <w:p w:rsidR="00062229" w:rsidRDefault="00062229" w:rsidP="00062229"/>
    <w:p w:rsidR="00062229" w:rsidRDefault="00062229" w:rsidP="00062229">
      <w:r>
        <w:tab/>
      </w:r>
      <w:r>
        <w:tab/>
        <w:t xml:space="preserve">A prehearing conference was held on August 2, 2007, in which the parties agreed to a litigation schedule.  </w:t>
      </w:r>
      <w:r>
        <w:rPr>
          <w:i/>
        </w:rPr>
        <w:t>See</w:t>
      </w:r>
      <w:r>
        <w:t>, Prehearing Order No. 3, dated September 24, 2007.  Pursuant to that schedule, the parties served prepared direct, rebuttal and surrebuttal testimony and exhibits.  By Prehearing Order No. 1, dated August 10, 2007, the three above listed complaints were consolidated for hearing and decisional purposes.</w:t>
      </w:r>
    </w:p>
    <w:p w:rsidR="00062229" w:rsidRDefault="00062229" w:rsidP="00062229"/>
    <w:p w:rsidR="00062229" w:rsidRDefault="00062229" w:rsidP="00062229">
      <w:r>
        <w:tab/>
      </w:r>
      <w:r>
        <w:tab/>
        <w:t>A hearing was held on January 16, 2008 for the purpose of admitting and cross-examining the testimony and exhibits.  At the January 16 hearing Verizon presented a panel of two witnesses who sponsored three statements and 32 exhibits.  Verizon also presented four cross-examination exhibits.  T</w:t>
      </w:r>
      <w:r>
        <w:rPr>
          <w:bCs/>
        </w:rPr>
        <w:t>he One Communications Companies presented one witness who sponsored three statements and three exhibits.  The Companies</w:t>
      </w:r>
      <w:r w:rsidRPr="00D5053E">
        <w:t xml:space="preserve"> </w:t>
      </w:r>
      <w:r>
        <w:t>also presented 22 cross</w:t>
      </w:r>
      <w:r>
        <w:noBreakHyphen/>
        <w:t>examination exhibits.  A majority of the prepared statements and a significant number of the exhibits were presented in both proprietary and non-proprietary format.  The transcript covers 306 pages, including 42 pages designated as proprietary.</w:t>
      </w:r>
    </w:p>
    <w:p w:rsidR="00062229" w:rsidRDefault="00062229" w:rsidP="00062229"/>
    <w:p w:rsidR="00062229" w:rsidRDefault="00062229" w:rsidP="00062229">
      <w:r>
        <w:lastRenderedPageBreak/>
        <w:tab/>
      </w:r>
      <w:r>
        <w:tab/>
        <w:t xml:space="preserve">Main briefs (M.B.) were filed on March 6, 2008.  Reply briefs (R.B.) were filed on April 7, 2008.  Unfortunately, </w:t>
      </w:r>
      <w:r>
        <w:rPr>
          <w:bCs/>
        </w:rPr>
        <w:t xml:space="preserve">the One Communications Companies’ main and reply briefs included extra-record evidence which set off a flurry of motions.  (Those motions will be described in more detail in the Discussion below.)  Ultimately, the One Communications Companies withdrew the extra-record evidence with two letters, dated </w:t>
      </w:r>
      <w:r>
        <w:t>August 19, 2009.</w:t>
      </w:r>
    </w:p>
    <w:p w:rsidR="00062229" w:rsidRDefault="00062229" w:rsidP="00062229"/>
    <w:p w:rsidR="00062229" w:rsidRDefault="00062229" w:rsidP="00062229">
      <w:r>
        <w:tab/>
      </w:r>
      <w:r>
        <w:tab/>
        <w:t xml:space="preserve">After the </w:t>
      </w:r>
      <w:r>
        <w:rPr>
          <w:i/>
        </w:rPr>
        <w:t>PTI</w:t>
      </w:r>
      <w:r>
        <w:t xml:space="preserve"> and </w:t>
      </w:r>
      <w:r>
        <w:rPr>
          <w:i/>
        </w:rPr>
        <w:t>CTSI</w:t>
      </w:r>
      <w:r>
        <w:t xml:space="preserve"> cases were resolved by the Commission’s Opinions and Orders, adopted August 7, 2008 and entered August 29, 2008, I contacted the parties informally by e-mail, dated August 27, 2008.  I met with the parties in an informal off-the-record conference call on September 3, 2008.  The parties agreed to implement the mediation process in conformity with the guidance in the </w:t>
      </w:r>
      <w:r>
        <w:rPr>
          <w:i/>
        </w:rPr>
        <w:t>PTI</w:t>
      </w:r>
      <w:r>
        <w:t xml:space="preserve"> and </w:t>
      </w:r>
      <w:r>
        <w:rPr>
          <w:i/>
        </w:rPr>
        <w:t>CTSI</w:t>
      </w:r>
      <w:r>
        <w:t xml:space="preserve"> cases.  The mediation was not successful, and in January 2009 the cases were returned to my docket.  On August 17, 2009, I held an on-the-record status conference by telephone.  At that time the parties agreed to enter into settlement negotiations and to regularly report their progress to me.  By e-mail dated December 3, 2009, counsel for Verizon informed me that the settlement negotiations were unsuccessful.</w:t>
      </w:r>
    </w:p>
    <w:p w:rsidR="00062229" w:rsidRDefault="00062229" w:rsidP="00062229"/>
    <w:p w:rsidR="00062229" w:rsidRDefault="00062229" w:rsidP="00062229">
      <w:r>
        <w:tab/>
      </w:r>
      <w:r>
        <w:tab/>
        <w:t xml:space="preserve">I met with the parties in an off-the-record conference call on December 3, 2008.  At that time I directed the parties to prepare supplemental briefs (S.B.) on the issue of whether or not the </w:t>
      </w:r>
      <w:r>
        <w:rPr>
          <w:bCs/>
        </w:rPr>
        <w:t>One Communications Companies’</w:t>
      </w:r>
      <w:r>
        <w:t xml:space="preserve"> cost of service studies met the applicable legal standards set forth in the Commission Orders in the</w:t>
      </w:r>
      <w:r w:rsidRPr="00C96DAB">
        <w:rPr>
          <w:i/>
        </w:rPr>
        <w:t xml:space="preserve"> CTSI</w:t>
      </w:r>
      <w:r>
        <w:t xml:space="preserve"> and </w:t>
      </w:r>
      <w:r>
        <w:rPr>
          <w:i/>
        </w:rPr>
        <w:t>PTI</w:t>
      </w:r>
      <w:r>
        <w:t xml:space="preserve"> cases.  The briefs were due on December 17, 2009.  Those directions were confirmed by an e-mail of the same date.  The supplemental briefs were filed on December 17 as directed.  No party objected during the conference call or in their briefs to the application of the standards from the </w:t>
      </w:r>
      <w:r>
        <w:rPr>
          <w:i/>
        </w:rPr>
        <w:t>CTSI</w:t>
      </w:r>
      <w:r>
        <w:t xml:space="preserve"> and </w:t>
      </w:r>
      <w:r>
        <w:rPr>
          <w:i/>
        </w:rPr>
        <w:t>PTI</w:t>
      </w:r>
      <w:r>
        <w:t xml:space="preserve"> cases to the cases at hand.</w:t>
      </w:r>
    </w:p>
    <w:p w:rsidR="00062229" w:rsidRDefault="00062229" w:rsidP="00062229"/>
    <w:p w:rsidR="00062229" w:rsidRPr="007D3C23" w:rsidRDefault="00062229" w:rsidP="00062229">
      <w:pPr>
        <w:jc w:val="center"/>
      </w:pPr>
      <w:r w:rsidRPr="00684AC4">
        <w:rPr>
          <w:u w:val="single"/>
        </w:rPr>
        <w:t>FINDINGS OF FACT</w:t>
      </w:r>
    </w:p>
    <w:p w:rsidR="00062229" w:rsidRPr="00684AC4" w:rsidRDefault="00062229" w:rsidP="00062229">
      <w:pPr>
        <w:jc w:val="center"/>
        <w:rPr>
          <w:u w:val="single"/>
        </w:rPr>
      </w:pPr>
    </w:p>
    <w:p w:rsidR="00062229" w:rsidRPr="00684AC4" w:rsidRDefault="00062229" w:rsidP="00062229">
      <w:pPr>
        <w:pStyle w:val="WBBlockText"/>
        <w:numPr>
          <w:ilvl w:val="0"/>
          <w:numId w:val="1"/>
        </w:numPr>
        <w:spacing w:after="0" w:line="360" w:lineRule="auto"/>
        <w:ind w:left="0" w:firstLine="1440"/>
      </w:pPr>
      <w:r w:rsidRPr="00684AC4">
        <w:t>Verizon Pennsylvania Inc. (Verizon PA) is a “</w:t>
      </w:r>
      <w:r w:rsidRPr="00684AC4">
        <w:rPr>
          <w:color w:val="000000"/>
        </w:rPr>
        <w:t>local exchange telecommunications company” as defined by 66 Pa. C.S. § 3012 and an “incumbent local exchange telecommunications company”</w:t>
      </w:r>
      <w:r>
        <w:rPr>
          <w:color w:val="000000"/>
        </w:rPr>
        <w:t xml:space="preserve"> (ILEC)</w:t>
      </w:r>
      <w:r w:rsidRPr="00684AC4">
        <w:rPr>
          <w:color w:val="000000"/>
        </w:rPr>
        <w:t xml:space="preserve"> as contemplated by 66 Pa. C.S. § 3017(c).  </w:t>
      </w:r>
      <w:r w:rsidRPr="00684AC4">
        <w:rPr>
          <w:color w:val="000000"/>
        </w:rPr>
        <w:lastRenderedPageBreak/>
        <w:t xml:space="preserve">Verizon PA </w:t>
      </w:r>
      <w:r w:rsidRPr="00684AC4">
        <w:t>is authorized by the Commission to provide, and does provide, telecommunications service in the Commonwealth of Pennsylvania.  Verizon Complaint ¶ 1.</w:t>
      </w:r>
    </w:p>
    <w:p w:rsidR="00062229" w:rsidRPr="00684AC4" w:rsidRDefault="00062229" w:rsidP="00062229">
      <w:pPr>
        <w:pStyle w:val="WBBlockText"/>
        <w:spacing w:after="0" w:line="360" w:lineRule="auto"/>
        <w:ind w:firstLine="1440"/>
      </w:pPr>
    </w:p>
    <w:p w:rsidR="00062229" w:rsidRPr="00684AC4" w:rsidRDefault="00062229" w:rsidP="00062229">
      <w:pPr>
        <w:pStyle w:val="WBBlockText"/>
        <w:numPr>
          <w:ilvl w:val="0"/>
          <w:numId w:val="1"/>
        </w:numPr>
        <w:spacing w:after="0" w:line="360" w:lineRule="auto"/>
        <w:ind w:left="0" w:firstLine="1440"/>
      </w:pPr>
      <w:r w:rsidRPr="00684AC4">
        <w:t>Verizon North Inc. (Verizon North) is a “</w:t>
      </w:r>
      <w:r w:rsidRPr="00684AC4">
        <w:rPr>
          <w:color w:val="000000"/>
        </w:rPr>
        <w:t xml:space="preserve">local exchange telecommunications company” as defined by 66 Pa. C.S. § 3012 and an </w:t>
      </w:r>
      <w:r>
        <w:rPr>
          <w:color w:val="000000"/>
        </w:rPr>
        <w:t xml:space="preserve">ILEC </w:t>
      </w:r>
      <w:r w:rsidRPr="00684AC4">
        <w:rPr>
          <w:color w:val="000000"/>
        </w:rPr>
        <w:t>as contemplated by 66 Pa. C.S.</w:t>
      </w:r>
      <w:r>
        <w:rPr>
          <w:color w:val="000000"/>
        </w:rPr>
        <w:t> </w:t>
      </w:r>
      <w:r w:rsidRPr="00684AC4">
        <w:rPr>
          <w:color w:val="000000"/>
        </w:rPr>
        <w:t>§</w:t>
      </w:r>
      <w:r>
        <w:rPr>
          <w:color w:val="000000"/>
        </w:rPr>
        <w:t> </w:t>
      </w:r>
      <w:r w:rsidRPr="00684AC4">
        <w:rPr>
          <w:color w:val="000000"/>
        </w:rPr>
        <w:t xml:space="preserve">3017(c).  Verizon North </w:t>
      </w:r>
      <w:r w:rsidRPr="00684AC4">
        <w:t>is authorized by the Commission to provide, and does provide, telecommunications service in the Commonwealth of Pennsylvania.  Verizon Complaint</w:t>
      </w:r>
      <w:r>
        <w:t> </w:t>
      </w:r>
      <w:r w:rsidRPr="00684AC4">
        <w:t>¶ 2.</w:t>
      </w:r>
    </w:p>
    <w:p w:rsidR="00062229" w:rsidRPr="00684AC4" w:rsidRDefault="00062229" w:rsidP="00062229">
      <w:pPr>
        <w:pStyle w:val="ListParagraph"/>
        <w:spacing w:line="360" w:lineRule="auto"/>
        <w:ind w:firstLine="1440"/>
        <w:contextualSpacing w:val="0"/>
        <w:rPr>
          <w:sz w:val="24"/>
          <w:szCs w:val="24"/>
        </w:rPr>
      </w:pPr>
    </w:p>
    <w:p w:rsidR="00062229" w:rsidRPr="00684AC4" w:rsidRDefault="00062229" w:rsidP="00062229">
      <w:pPr>
        <w:pStyle w:val="WBBlockText"/>
        <w:numPr>
          <w:ilvl w:val="0"/>
          <w:numId w:val="1"/>
        </w:numPr>
        <w:spacing w:after="0" w:line="360" w:lineRule="auto"/>
        <w:ind w:left="0" w:firstLine="1440"/>
      </w:pPr>
      <w:r w:rsidRPr="00684AC4">
        <w:t xml:space="preserve">Verizon Select Services Inc. (VSSI) is an interexchange telecommunications carrier </w:t>
      </w:r>
      <w:r w:rsidRPr="00684AC4">
        <w:rPr>
          <w:color w:val="000000"/>
        </w:rPr>
        <w:t xml:space="preserve">that </w:t>
      </w:r>
      <w:r w:rsidRPr="00684AC4">
        <w:t>is authorized by the Commission to provide, and that does provide, interexchange telecommunications services in the Commonwealth of Pennsylvania. Verizon Complaint ¶ 3.</w:t>
      </w:r>
    </w:p>
    <w:p w:rsidR="00062229" w:rsidRPr="00684AC4" w:rsidRDefault="00062229" w:rsidP="00062229">
      <w:pPr>
        <w:pStyle w:val="ListParagraph"/>
        <w:spacing w:line="360" w:lineRule="auto"/>
        <w:ind w:firstLine="1440"/>
        <w:contextualSpacing w:val="0"/>
        <w:rPr>
          <w:sz w:val="24"/>
          <w:szCs w:val="24"/>
        </w:rPr>
      </w:pPr>
    </w:p>
    <w:p w:rsidR="00062229" w:rsidRPr="00684AC4" w:rsidRDefault="00062229" w:rsidP="00062229">
      <w:pPr>
        <w:pStyle w:val="WBBlockText"/>
        <w:numPr>
          <w:ilvl w:val="0"/>
          <w:numId w:val="1"/>
        </w:numPr>
        <w:spacing w:after="0" w:line="360" w:lineRule="auto"/>
        <w:ind w:left="0" w:firstLine="1440"/>
      </w:pPr>
      <w:r w:rsidRPr="00684AC4">
        <w:t xml:space="preserve">Bell Atlantic Communications, Inc. d/b/a Verizon Long Distance (VZLD) is an interexchange telecommunications carrier </w:t>
      </w:r>
      <w:r w:rsidRPr="00684AC4">
        <w:rPr>
          <w:color w:val="000000"/>
        </w:rPr>
        <w:t xml:space="preserve">that </w:t>
      </w:r>
      <w:r w:rsidRPr="00684AC4">
        <w:t>is authorized by the Commission to provide, and that does provide, interexchange telecommunications services in the Commonwealth of Pennsylvania.  Verizon Complaint ¶ 4.</w:t>
      </w:r>
    </w:p>
    <w:p w:rsidR="00062229" w:rsidRPr="00684AC4" w:rsidRDefault="00062229" w:rsidP="00062229">
      <w:pPr>
        <w:pStyle w:val="ListParagraph"/>
        <w:spacing w:line="360" w:lineRule="auto"/>
        <w:ind w:firstLine="1440"/>
        <w:contextualSpacing w:val="0"/>
        <w:rPr>
          <w:sz w:val="24"/>
          <w:szCs w:val="24"/>
        </w:rPr>
      </w:pPr>
    </w:p>
    <w:p w:rsidR="00062229" w:rsidRPr="00684AC4" w:rsidRDefault="00062229" w:rsidP="00062229">
      <w:pPr>
        <w:pStyle w:val="WBBlockText"/>
        <w:numPr>
          <w:ilvl w:val="0"/>
          <w:numId w:val="1"/>
        </w:numPr>
        <w:spacing w:after="0" w:line="360" w:lineRule="auto"/>
        <w:ind w:left="0" w:firstLine="1440"/>
      </w:pPr>
      <w:r w:rsidRPr="00684AC4">
        <w:t>Verizon Global Networks, Inc. (VZGNI) operates and manages network facilities and services for certificated Verizon interexchange affiliates, including but not limited to VSSI and VZLD.  Verizon Complaint ¶ 5.</w:t>
      </w:r>
    </w:p>
    <w:p w:rsidR="00062229" w:rsidRPr="00684AC4" w:rsidRDefault="00062229" w:rsidP="00062229">
      <w:pPr>
        <w:pStyle w:val="ListParagraph"/>
        <w:spacing w:line="360" w:lineRule="auto"/>
        <w:ind w:firstLine="1440"/>
        <w:contextualSpacing w:val="0"/>
        <w:rPr>
          <w:sz w:val="24"/>
          <w:szCs w:val="24"/>
        </w:rPr>
      </w:pPr>
    </w:p>
    <w:p w:rsidR="00062229" w:rsidRPr="00684AC4" w:rsidRDefault="00062229" w:rsidP="00062229">
      <w:pPr>
        <w:pStyle w:val="WBBlockText"/>
        <w:numPr>
          <w:ilvl w:val="0"/>
          <w:numId w:val="1"/>
        </w:numPr>
        <w:spacing w:after="0" w:line="360" w:lineRule="auto"/>
        <w:ind w:left="0" w:firstLine="1440"/>
      </w:pPr>
      <w:r w:rsidRPr="00684AC4">
        <w:t>MCImetro Access Transmission Services, LLC d/b/a Verizon Access Transmission Services (Verizon Access) is a competitive local exchange carrier (CLEC) that is authorized by the Commission to provide, and that does provide, telecommunications service in the Commonwealth of Pennsylvania.  Verizon Complaint ¶ 6.</w:t>
      </w:r>
    </w:p>
    <w:p w:rsidR="00062229" w:rsidRPr="00684AC4" w:rsidRDefault="00062229" w:rsidP="00062229">
      <w:pPr>
        <w:pStyle w:val="ListParagraph"/>
        <w:spacing w:line="360" w:lineRule="auto"/>
        <w:ind w:firstLine="1440"/>
        <w:contextualSpacing w:val="0"/>
        <w:rPr>
          <w:sz w:val="24"/>
          <w:szCs w:val="24"/>
        </w:rPr>
      </w:pPr>
    </w:p>
    <w:p w:rsidR="00062229" w:rsidRPr="00684AC4" w:rsidRDefault="00062229" w:rsidP="00062229">
      <w:pPr>
        <w:pStyle w:val="WBBlockText"/>
        <w:numPr>
          <w:ilvl w:val="0"/>
          <w:numId w:val="1"/>
        </w:numPr>
        <w:spacing w:after="0" w:line="360" w:lineRule="auto"/>
        <w:ind w:left="0" w:firstLine="1440"/>
      </w:pPr>
      <w:r w:rsidRPr="00684AC4">
        <w:t xml:space="preserve">MCI Communications Services Inc. (MCI) is an interexchange telecommunications carrier </w:t>
      </w:r>
      <w:r w:rsidRPr="00684AC4">
        <w:rPr>
          <w:color w:val="000000"/>
        </w:rPr>
        <w:t xml:space="preserve">that </w:t>
      </w:r>
      <w:r w:rsidRPr="00684AC4">
        <w:t xml:space="preserve">is authorized by the Commission to provide, and that does </w:t>
      </w:r>
      <w:r w:rsidRPr="00684AC4">
        <w:lastRenderedPageBreak/>
        <w:t>provide, interexchange telecommunications service in the Commonwealth of Pennsylvania. Verizon Complaint ¶ 7.</w:t>
      </w:r>
    </w:p>
    <w:p w:rsidR="00062229" w:rsidRPr="00684AC4" w:rsidRDefault="00062229" w:rsidP="00062229">
      <w:pPr>
        <w:pStyle w:val="ListParagraph"/>
        <w:spacing w:line="360" w:lineRule="auto"/>
        <w:ind w:firstLine="1440"/>
        <w:contextualSpacing w:val="0"/>
        <w:rPr>
          <w:sz w:val="24"/>
          <w:szCs w:val="24"/>
        </w:rPr>
      </w:pPr>
    </w:p>
    <w:p w:rsidR="00062229" w:rsidRPr="00684AC4" w:rsidRDefault="00062229" w:rsidP="00062229">
      <w:pPr>
        <w:pStyle w:val="WBBlockText"/>
        <w:numPr>
          <w:ilvl w:val="0"/>
          <w:numId w:val="1"/>
        </w:numPr>
        <w:spacing w:after="0" w:line="360" w:lineRule="auto"/>
        <w:ind w:left="0" w:firstLine="1440"/>
      </w:pPr>
      <w:r w:rsidRPr="00684AC4">
        <w:t>One Communications is a holding company that owns telecommunications carriers providing competitive local exchange telecommunications service in the Commonwealth of Pennsylvania.  Verizon Complaint ¶</w:t>
      </w:r>
      <w:r>
        <w:t xml:space="preserve"> </w:t>
      </w:r>
      <w:r w:rsidRPr="00684AC4">
        <w:t>9; One Communications A</w:t>
      </w:r>
      <w:r>
        <w:t xml:space="preserve">nswer ¶ </w:t>
      </w:r>
      <w:r w:rsidRPr="00684AC4">
        <w:t>9.</w:t>
      </w:r>
    </w:p>
    <w:p w:rsidR="00062229" w:rsidRPr="00684AC4" w:rsidRDefault="00062229" w:rsidP="00062229">
      <w:pPr>
        <w:pStyle w:val="ListParagraph"/>
        <w:spacing w:line="360" w:lineRule="auto"/>
        <w:ind w:firstLine="1440"/>
        <w:contextualSpacing w:val="0"/>
        <w:rPr>
          <w:sz w:val="24"/>
          <w:szCs w:val="24"/>
        </w:rPr>
      </w:pPr>
    </w:p>
    <w:p w:rsidR="00062229" w:rsidRPr="00684AC4" w:rsidRDefault="00062229" w:rsidP="00062229">
      <w:pPr>
        <w:pStyle w:val="WBBlockText"/>
        <w:numPr>
          <w:ilvl w:val="0"/>
          <w:numId w:val="1"/>
        </w:numPr>
        <w:spacing w:after="0" w:line="360" w:lineRule="auto"/>
        <w:ind w:left="0" w:firstLine="1440"/>
      </w:pPr>
      <w:r w:rsidRPr="00684AC4">
        <w:t>Choice One Communications of Pennsylvania Inc. (Choice One) is a “telecommunications carrier providing competitive local exchange telecommunications service” in the Commonwealth of Pennsylvania as set forth in 66 Pa. C.S. § 3017(c).  Choice One is operating under Operating Company Number</w:t>
      </w:r>
      <w:r>
        <w:t>s</w:t>
      </w:r>
      <w:r w:rsidRPr="00684AC4">
        <w:t xml:space="preserve"> (OCN) 4024 and 9490.  Choice One is a subsidiary of One Communications.  Verizon Complaint ¶ </w:t>
      </w:r>
      <w:r>
        <w:t>10; One Communications Answer ¶ </w:t>
      </w:r>
      <w:r w:rsidRPr="00684AC4">
        <w:t>10.</w:t>
      </w:r>
    </w:p>
    <w:p w:rsidR="00062229" w:rsidRPr="00684AC4" w:rsidRDefault="00062229" w:rsidP="00062229">
      <w:pPr>
        <w:pStyle w:val="ListParagraph"/>
        <w:spacing w:line="360" w:lineRule="auto"/>
        <w:ind w:firstLine="1440"/>
        <w:contextualSpacing w:val="0"/>
        <w:rPr>
          <w:sz w:val="24"/>
          <w:szCs w:val="24"/>
        </w:rPr>
      </w:pPr>
    </w:p>
    <w:p w:rsidR="00062229" w:rsidRPr="00684AC4" w:rsidRDefault="00062229" w:rsidP="00062229">
      <w:pPr>
        <w:pStyle w:val="WBBlockText"/>
        <w:numPr>
          <w:ilvl w:val="0"/>
          <w:numId w:val="1"/>
        </w:numPr>
        <w:spacing w:after="0" w:line="360" w:lineRule="auto"/>
        <w:ind w:left="0" w:firstLine="1440"/>
      </w:pPr>
      <w:r w:rsidRPr="00684AC4">
        <w:t>CTC Communications Corp. (CTC) is a “telecommunications carrier providing competitive local exchange telecommunications service” in the Commonwealth of Pennsylvania as set forth in 66 Pa. C.S. § 3017(c).  CTC is operating under OCN</w:t>
      </w:r>
      <w:r>
        <w:t>s</w:t>
      </w:r>
      <w:r w:rsidRPr="00684AC4">
        <w:t xml:space="preserve"> 3115 and</w:t>
      </w:r>
      <w:r>
        <w:t> </w:t>
      </w:r>
      <w:r w:rsidRPr="00684AC4">
        <w:t>395D.  CTC is a subsidiary of One Communications.  Verizon Complaint ¶ 11; One Communications Answer</w:t>
      </w:r>
      <w:r>
        <w:t> ¶ </w:t>
      </w:r>
      <w:r w:rsidRPr="00684AC4">
        <w:t>11.</w:t>
      </w:r>
    </w:p>
    <w:p w:rsidR="00062229" w:rsidRPr="00684AC4" w:rsidRDefault="00062229" w:rsidP="00062229">
      <w:pPr>
        <w:pStyle w:val="ListParagraph"/>
        <w:spacing w:line="360" w:lineRule="auto"/>
        <w:ind w:firstLine="1440"/>
        <w:contextualSpacing w:val="0"/>
        <w:rPr>
          <w:sz w:val="24"/>
          <w:szCs w:val="24"/>
        </w:rPr>
      </w:pPr>
    </w:p>
    <w:p w:rsidR="00062229" w:rsidRPr="00684AC4" w:rsidRDefault="00062229" w:rsidP="00062229">
      <w:pPr>
        <w:pStyle w:val="WBBlockText"/>
        <w:numPr>
          <w:ilvl w:val="0"/>
          <w:numId w:val="1"/>
        </w:numPr>
        <w:spacing w:after="0" w:line="360" w:lineRule="auto"/>
        <w:ind w:left="0" w:firstLine="1440"/>
      </w:pPr>
      <w:r w:rsidRPr="00684AC4">
        <w:t>FiberNet Telecommunications of Pennsylvania, LLC (FiberNet) is a “telecommunications carrier providing competitive local exchange telecommunications service” in the Commonwealth of Pennsylvania as set forth in 66 Pa. C.S. § 3017(c).  FiberNet is operating under OCN 3609.  FiberNet is a subsidiary of One Communications.  Verizon Complaint ¶ 13; One Communications Answer ¶ 13.</w:t>
      </w:r>
    </w:p>
    <w:p w:rsidR="00062229" w:rsidRPr="00684AC4" w:rsidRDefault="00062229" w:rsidP="00062229">
      <w:pPr>
        <w:pStyle w:val="ListParagraph"/>
        <w:spacing w:line="360" w:lineRule="auto"/>
        <w:ind w:firstLine="1440"/>
        <w:contextualSpacing w:val="0"/>
        <w:rPr>
          <w:sz w:val="24"/>
          <w:szCs w:val="24"/>
        </w:rPr>
      </w:pPr>
    </w:p>
    <w:p w:rsidR="00062229" w:rsidRPr="00684AC4" w:rsidRDefault="00062229" w:rsidP="00062229">
      <w:pPr>
        <w:pStyle w:val="WBBlockText"/>
        <w:numPr>
          <w:ilvl w:val="0"/>
          <w:numId w:val="1"/>
        </w:numPr>
        <w:spacing w:after="0" w:line="360" w:lineRule="auto"/>
        <w:ind w:left="0" w:firstLine="1440"/>
      </w:pPr>
      <w:r w:rsidRPr="00684AC4">
        <w:t>One Communications claims on its website to be “the largest privately-held competitive local exchange carrier in the U.S.”  It also claims to serve “more than 160,000 businesses, from large to small, in 16 states throughout the Northe</w:t>
      </w:r>
      <w:r>
        <w:t>a</w:t>
      </w:r>
      <w:r w:rsidRPr="00684AC4">
        <w:t>st, Mid-Atlantic and Upper Midwest regions.” Verizon Complaint ¶ 15; One Communications Answer ¶ 15.</w:t>
      </w:r>
    </w:p>
    <w:p w:rsidR="00062229" w:rsidRPr="00684AC4" w:rsidRDefault="00062229" w:rsidP="00062229">
      <w:pPr>
        <w:pStyle w:val="ListParagraph"/>
        <w:spacing w:line="360" w:lineRule="auto"/>
        <w:ind w:firstLine="1440"/>
        <w:contextualSpacing w:val="0"/>
        <w:rPr>
          <w:sz w:val="24"/>
          <w:szCs w:val="24"/>
        </w:rPr>
      </w:pPr>
    </w:p>
    <w:p w:rsidR="00062229" w:rsidRDefault="00062229" w:rsidP="00062229">
      <w:pPr>
        <w:pStyle w:val="WBBlockText"/>
        <w:numPr>
          <w:ilvl w:val="0"/>
          <w:numId w:val="1"/>
        </w:numPr>
        <w:spacing w:after="0" w:line="360" w:lineRule="auto"/>
        <w:ind w:left="0" w:firstLine="1440"/>
      </w:pPr>
      <w:r w:rsidRPr="00684AC4">
        <w:lastRenderedPageBreak/>
        <w:t>Choice One, CTC and FiberNet present themselves for marketing purposes as a single entity operating under the “One Communications” name.  Verizon St 1.0 (Price Direct) at</w:t>
      </w:r>
      <w:r>
        <w:t> </w:t>
      </w:r>
      <w:r w:rsidRPr="00684AC4">
        <w:t>4.</w:t>
      </w:r>
    </w:p>
    <w:p w:rsidR="00062229" w:rsidRPr="00684AC4" w:rsidRDefault="00062229" w:rsidP="00062229">
      <w:pPr>
        <w:pStyle w:val="WBBlockText"/>
        <w:spacing w:after="0" w:line="360" w:lineRule="auto"/>
        <w:ind w:left="720" w:firstLine="1440"/>
      </w:pPr>
    </w:p>
    <w:p w:rsidR="00062229" w:rsidRPr="00684AC4" w:rsidRDefault="00062229" w:rsidP="00062229">
      <w:pPr>
        <w:pStyle w:val="WBBlockText"/>
        <w:numPr>
          <w:ilvl w:val="0"/>
          <w:numId w:val="1"/>
        </w:numPr>
        <w:spacing w:after="0" w:line="360" w:lineRule="auto"/>
        <w:ind w:left="0" w:firstLine="1440"/>
      </w:pPr>
      <w:r w:rsidRPr="00684AC4">
        <w:t>The One Communications Companies provide or are authorized to provide competitive local exchange telecommunications service in the service territories of incumbent local exchange telecommunications companies Verizon PA and Verizon North.  Verizon Complaint ¶ 17; One Communications Answer ¶ 17.</w:t>
      </w:r>
    </w:p>
    <w:p w:rsidR="00062229" w:rsidRPr="00684AC4" w:rsidRDefault="00062229" w:rsidP="00062229">
      <w:pPr>
        <w:pStyle w:val="ListParagraph"/>
        <w:spacing w:line="360" w:lineRule="auto"/>
        <w:ind w:firstLine="1440"/>
        <w:contextualSpacing w:val="0"/>
        <w:rPr>
          <w:sz w:val="24"/>
          <w:szCs w:val="24"/>
        </w:rPr>
      </w:pPr>
    </w:p>
    <w:p w:rsidR="00062229" w:rsidRPr="00684AC4" w:rsidRDefault="00062229" w:rsidP="00062229">
      <w:pPr>
        <w:pStyle w:val="WBBlockText"/>
        <w:numPr>
          <w:ilvl w:val="0"/>
          <w:numId w:val="1"/>
        </w:numPr>
        <w:spacing w:after="0" w:line="360" w:lineRule="auto"/>
        <w:ind w:left="0" w:firstLine="1440"/>
      </w:pPr>
      <w:r w:rsidRPr="00684AC4">
        <w:t xml:space="preserve">Choice One’s intrastate switched access rates can be found in its </w:t>
      </w:r>
      <w:r>
        <w:t>T</w:t>
      </w:r>
      <w:r w:rsidRPr="00684AC4">
        <w:t>ariff PA P.U.C.</w:t>
      </w:r>
      <w:r>
        <w:t> </w:t>
      </w:r>
      <w:r w:rsidRPr="00684AC4">
        <w:t>No. 2.  These intrastate switched access rates apply in the exchange areas served by Verizon PA and Verizon North. Verizon Complaint ¶ 21; One Communications Answer ¶ 21; Verizon St 1.0 (Price Direct) at 7.</w:t>
      </w:r>
    </w:p>
    <w:p w:rsidR="00062229" w:rsidRPr="00684AC4" w:rsidRDefault="00062229" w:rsidP="00062229">
      <w:pPr>
        <w:pStyle w:val="ListParagraph"/>
        <w:spacing w:line="360" w:lineRule="auto"/>
        <w:ind w:firstLine="1440"/>
        <w:contextualSpacing w:val="0"/>
        <w:rPr>
          <w:sz w:val="24"/>
          <w:szCs w:val="24"/>
        </w:rPr>
      </w:pPr>
    </w:p>
    <w:p w:rsidR="00062229" w:rsidRPr="00684AC4" w:rsidRDefault="00062229" w:rsidP="00062229">
      <w:pPr>
        <w:pStyle w:val="WBBlockText"/>
        <w:numPr>
          <w:ilvl w:val="0"/>
          <w:numId w:val="1"/>
        </w:numPr>
        <w:spacing w:after="0" w:line="360" w:lineRule="auto"/>
        <w:ind w:left="0" w:firstLine="1440"/>
      </w:pPr>
      <w:r w:rsidRPr="00684AC4">
        <w:t>CTC’s</w:t>
      </w:r>
      <w:r>
        <w:t xml:space="preserve"> </w:t>
      </w:r>
      <w:r w:rsidRPr="00684AC4">
        <w:t xml:space="preserve">intrastate switched access rates are contained in its </w:t>
      </w:r>
      <w:r>
        <w:t>T</w:t>
      </w:r>
      <w:r w:rsidRPr="00684AC4">
        <w:t>ariff Pa. P.U.C. No. 5.  These intrastate switched access rates apply in the exchange areas served by Verizon PA and Verizon North.  Verizon Complaint ¶ 35; One Communications Answer ¶ 35; Verizon St 1.0 (Price Direct) at 7.</w:t>
      </w:r>
    </w:p>
    <w:p w:rsidR="00062229" w:rsidRPr="00684AC4" w:rsidRDefault="00062229" w:rsidP="00062229">
      <w:pPr>
        <w:pStyle w:val="ListParagraph"/>
        <w:spacing w:line="360" w:lineRule="auto"/>
        <w:ind w:firstLine="1440"/>
        <w:contextualSpacing w:val="0"/>
        <w:rPr>
          <w:sz w:val="24"/>
          <w:szCs w:val="24"/>
        </w:rPr>
      </w:pPr>
    </w:p>
    <w:p w:rsidR="00062229" w:rsidRPr="00684AC4" w:rsidRDefault="00062229" w:rsidP="00062229">
      <w:pPr>
        <w:pStyle w:val="WBBlockText"/>
        <w:numPr>
          <w:ilvl w:val="0"/>
          <w:numId w:val="1"/>
        </w:numPr>
        <w:spacing w:after="0" w:line="360" w:lineRule="auto"/>
        <w:ind w:left="0" w:firstLine="1440"/>
      </w:pPr>
      <w:r>
        <w:t>FiberNet’</w:t>
      </w:r>
      <w:r w:rsidRPr="00684AC4">
        <w:t>s</w:t>
      </w:r>
      <w:r>
        <w:t xml:space="preserve"> </w:t>
      </w:r>
      <w:r w:rsidRPr="00684AC4">
        <w:t xml:space="preserve">intrastate switched access rates are contained in its </w:t>
      </w:r>
      <w:r>
        <w:t>T</w:t>
      </w:r>
      <w:r w:rsidRPr="00684AC4">
        <w:t>ariff Pa. P.U.C. No.</w:t>
      </w:r>
      <w:r>
        <w:t> </w:t>
      </w:r>
      <w:r w:rsidRPr="00684AC4">
        <w:t>4.  These intrastate switched access rates apply in the exchange areas served by Verizon PA and Verizon North.  Verizon Complaint ¶ 50; One Communications Answer ¶ 50; Verizon St 1.0 (Price Direct) at 8.</w:t>
      </w:r>
    </w:p>
    <w:p w:rsidR="00062229" w:rsidRPr="00684AC4" w:rsidRDefault="00062229" w:rsidP="00062229">
      <w:pPr>
        <w:pStyle w:val="ListParagraph"/>
        <w:spacing w:line="360" w:lineRule="auto"/>
        <w:ind w:firstLine="1440"/>
        <w:contextualSpacing w:val="0"/>
        <w:rPr>
          <w:sz w:val="24"/>
          <w:szCs w:val="24"/>
        </w:rPr>
      </w:pPr>
    </w:p>
    <w:p w:rsidR="00062229" w:rsidRPr="00684AC4" w:rsidRDefault="00062229" w:rsidP="00062229">
      <w:pPr>
        <w:pStyle w:val="WBBlockText"/>
        <w:numPr>
          <w:ilvl w:val="0"/>
          <w:numId w:val="1"/>
        </w:numPr>
        <w:spacing w:after="0" w:line="360" w:lineRule="auto"/>
        <w:ind w:left="0" w:firstLine="1440"/>
      </w:pPr>
      <w:r w:rsidRPr="00684AC4">
        <w:t xml:space="preserve">Verizon PA’s intrastate switched access rates can be found in its Tariff Pa. </w:t>
      </w:r>
      <w:r>
        <w:t>P.U.C.</w:t>
      </w:r>
      <w:r w:rsidRPr="00684AC4">
        <w:t xml:space="preserve"> No. 302.  Verizon PA’s </w:t>
      </w:r>
      <w:r>
        <w:t>T</w:t>
      </w:r>
      <w:r w:rsidRPr="00684AC4">
        <w:t xml:space="preserve">ariff Pa. </w:t>
      </w:r>
      <w:r>
        <w:t>P.U.C.</w:t>
      </w:r>
      <w:r w:rsidRPr="00684AC4">
        <w:t xml:space="preserve"> No. 302 includes a Carrier Charge of $0.58 per access line or trunk per month, as well as certain per-minute-of-use or per-minute-of-use, per-mile charges for local switching and transport.  Verizon Complaint ¶ 18.</w:t>
      </w:r>
    </w:p>
    <w:p w:rsidR="00062229" w:rsidRPr="00684AC4" w:rsidRDefault="00062229" w:rsidP="00062229">
      <w:pPr>
        <w:pStyle w:val="ListParagraph"/>
        <w:spacing w:line="360" w:lineRule="auto"/>
        <w:ind w:firstLine="1440"/>
        <w:contextualSpacing w:val="0"/>
        <w:rPr>
          <w:sz w:val="24"/>
          <w:szCs w:val="24"/>
        </w:rPr>
      </w:pPr>
    </w:p>
    <w:p w:rsidR="00062229" w:rsidRPr="00684AC4" w:rsidRDefault="00062229" w:rsidP="00062229">
      <w:pPr>
        <w:pStyle w:val="WBBlockText"/>
        <w:numPr>
          <w:ilvl w:val="0"/>
          <w:numId w:val="1"/>
        </w:numPr>
        <w:spacing w:after="0" w:line="360" w:lineRule="auto"/>
        <w:ind w:left="0" w:firstLine="1440"/>
      </w:pPr>
      <w:r w:rsidRPr="00684AC4">
        <w:lastRenderedPageBreak/>
        <w:t xml:space="preserve">Verizon North’s intrastate switched access rates can be found in its Tariff Pa. </w:t>
      </w:r>
      <w:r>
        <w:t>P.U.C.</w:t>
      </w:r>
      <w:r w:rsidRPr="00684AC4">
        <w:t xml:space="preserve"> No. 9.  </w:t>
      </w:r>
      <w:r w:rsidRPr="00684AC4">
        <w:rPr>
          <w:color w:val="000000"/>
        </w:rPr>
        <w:t xml:space="preserve">Effective February 1, 2005, to the present, Verizon North’s intrastate switched access rate elements are identical to those of Verizon PA.  </w:t>
      </w:r>
      <w:r w:rsidRPr="00684AC4">
        <w:t>Verizon Complaint ¶ 19.</w:t>
      </w:r>
    </w:p>
    <w:p w:rsidR="00062229" w:rsidRPr="00684AC4" w:rsidRDefault="00062229" w:rsidP="00062229">
      <w:pPr>
        <w:pStyle w:val="ListParagraph"/>
        <w:spacing w:line="360" w:lineRule="auto"/>
        <w:ind w:firstLine="1440"/>
        <w:contextualSpacing w:val="0"/>
        <w:rPr>
          <w:sz w:val="24"/>
          <w:szCs w:val="24"/>
        </w:rPr>
      </w:pPr>
    </w:p>
    <w:p w:rsidR="00062229" w:rsidRPr="00684AC4" w:rsidRDefault="00062229" w:rsidP="00062229">
      <w:pPr>
        <w:pStyle w:val="WBBlockText"/>
        <w:numPr>
          <w:ilvl w:val="0"/>
          <w:numId w:val="1"/>
        </w:numPr>
        <w:spacing w:after="0" w:line="360" w:lineRule="auto"/>
        <w:ind w:left="0" w:firstLine="1440"/>
      </w:pPr>
      <w:r w:rsidRPr="00684AC4">
        <w:t>Each of the Verizon companies is an intrastate switched access customer of Choice One.  Verizon Complaint ¶ 30; One Communications Answer ¶ 30</w:t>
      </w:r>
      <w:r>
        <w:t>.</w:t>
      </w:r>
      <w:r w:rsidRPr="00684AC4">
        <w:t xml:space="preserve">  </w:t>
      </w:r>
    </w:p>
    <w:p w:rsidR="00062229" w:rsidRPr="00684AC4" w:rsidRDefault="00062229" w:rsidP="00062229">
      <w:pPr>
        <w:pStyle w:val="ListParagraph"/>
        <w:spacing w:line="360" w:lineRule="auto"/>
        <w:ind w:firstLine="1440"/>
        <w:contextualSpacing w:val="0"/>
        <w:rPr>
          <w:sz w:val="24"/>
          <w:szCs w:val="24"/>
        </w:rPr>
      </w:pPr>
    </w:p>
    <w:p w:rsidR="00062229" w:rsidRPr="00684AC4" w:rsidRDefault="00062229" w:rsidP="00062229">
      <w:pPr>
        <w:pStyle w:val="WBBlockText"/>
        <w:numPr>
          <w:ilvl w:val="0"/>
          <w:numId w:val="1"/>
        </w:numPr>
        <w:spacing w:after="0" w:line="360" w:lineRule="auto"/>
        <w:ind w:left="0" w:firstLine="1440"/>
      </w:pPr>
      <w:r w:rsidRPr="00684AC4">
        <w:t xml:space="preserve">Each of the Verizon companies is an intrastate switched access customer of CTC. Verizon St. 1.0 (Price Direct) at 38-40.  </w:t>
      </w:r>
    </w:p>
    <w:p w:rsidR="00062229" w:rsidRPr="00684AC4" w:rsidRDefault="00062229" w:rsidP="00062229">
      <w:pPr>
        <w:pStyle w:val="ListParagraph"/>
        <w:spacing w:line="360" w:lineRule="auto"/>
        <w:ind w:firstLine="1440"/>
        <w:contextualSpacing w:val="0"/>
        <w:rPr>
          <w:sz w:val="24"/>
          <w:szCs w:val="24"/>
        </w:rPr>
      </w:pPr>
    </w:p>
    <w:p w:rsidR="00062229" w:rsidRPr="00684AC4" w:rsidRDefault="00062229" w:rsidP="00062229">
      <w:pPr>
        <w:pStyle w:val="WBBlockText"/>
        <w:numPr>
          <w:ilvl w:val="0"/>
          <w:numId w:val="1"/>
        </w:numPr>
        <w:spacing w:after="0" w:line="360" w:lineRule="auto"/>
        <w:ind w:left="0" w:firstLine="1440"/>
      </w:pPr>
      <w:r w:rsidRPr="00684AC4">
        <w:t>Each of the Verizon companies is an intrastate sw</w:t>
      </w:r>
      <w:r>
        <w:t>itched access customer of FiberN</w:t>
      </w:r>
      <w:r w:rsidRPr="00684AC4">
        <w:t>et.  Verizon St. 1.0 (Price Direct) at 34-35; One Communications St. 2.0 (Parrish Rebuttal) at 2, n.1.</w:t>
      </w:r>
    </w:p>
    <w:p w:rsidR="00062229" w:rsidRPr="00684AC4" w:rsidRDefault="00062229" w:rsidP="00062229">
      <w:pPr>
        <w:pStyle w:val="ListParagraph"/>
        <w:spacing w:line="360" w:lineRule="auto"/>
        <w:ind w:firstLine="1440"/>
        <w:contextualSpacing w:val="0"/>
        <w:rPr>
          <w:sz w:val="24"/>
          <w:szCs w:val="24"/>
        </w:rPr>
      </w:pPr>
    </w:p>
    <w:p w:rsidR="00062229" w:rsidRPr="00684AC4" w:rsidRDefault="00062229" w:rsidP="00062229">
      <w:pPr>
        <w:pStyle w:val="WBBlockText"/>
        <w:numPr>
          <w:ilvl w:val="0"/>
          <w:numId w:val="1"/>
        </w:numPr>
        <w:spacing w:after="0" w:line="360" w:lineRule="auto"/>
        <w:ind w:left="0" w:firstLine="1440"/>
      </w:pPr>
      <w:r w:rsidRPr="00684AC4">
        <w:t xml:space="preserve">Choice One's </w:t>
      </w:r>
      <w:r>
        <w:t>T</w:t>
      </w:r>
      <w:r w:rsidRPr="00684AC4">
        <w:t>ariff Pa. P.U.C. No. 2 includes five switched access rate elements on a per</w:t>
      </w:r>
      <w:r w:rsidR="00AB067A">
        <w:t xml:space="preserve"> </w:t>
      </w:r>
      <w:r w:rsidRPr="00684AC4">
        <w:t xml:space="preserve">minute-of-use basis: Carrier Common Line Charge, Local Switching, Local Transport, Tandem Switching and Interconnection Charge. </w:t>
      </w:r>
      <w:r w:rsidR="00AB067A">
        <w:t xml:space="preserve"> </w:t>
      </w:r>
      <w:r w:rsidRPr="00684AC4">
        <w:t xml:space="preserve">The first three rate elements have six per-minute-of-use rates that are associated with time of day (Day, Evening and Night/Weekend) and traffic type (InterLATA and IntraLATA). </w:t>
      </w:r>
      <w:r w:rsidR="00AB067A">
        <w:t xml:space="preserve"> </w:t>
      </w:r>
      <w:r w:rsidRPr="00684AC4">
        <w:t xml:space="preserve">The latter two rate elements have two per-minute-of-use rates that are the same for each traffic type (InterLATA and IntraLATA). </w:t>
      </w:r>
      <w:r w:rsidR="00AB067A">
        <w:t xml:space="preserve"> </w:t>
      </w:r>
      <w:r w:rsidRPr="00684AC4">
        <w:t>Choice One's tariff also includes a Transport Mileage switched access rate element that is assessed on a per-minute-of-use, per-mile basis.</w:t>
      </w:r>
      <w:r w:rsidR="00AB067A">
        <w:t xml:space="preserve"> </w:t>
      </w:r>
      <w:r w:rsidRPr="00684AC4">
        <w:t xml:space="preserve"> Choice One's Transport Mileage rate element has multiple per-minute-of-use, per-mile rates that are associated with time of day (Day, Evening and Night/Weekend) and traffic type (InterLATA and IntraLATA). </w:t>
      </w:r>
      <w:r w:rsidR="00AB067A">
        <w:t xml:space="preserve"> </w:t>
      </w:r>
      <w:r w:rsidRPr="00684AC4">
        <w:t>None of Choice One's tariffed switched access rates has been altered since the enactment of Act 183 on November</w:t>
      </w:r>
      <w:r>
        <w:t> </w:t>
      </w:r>
      <w:r w:rsidRPr="00684AC4">
        <w:t>30,</w:t>
      </w:r>
      <w:r>
        <w:t> </w:t>
      </w:r>
      <w:r w:rsidRPr="00684AC4">
        <w:t xml:space="preserve">2004.  Verizon Complaint ¶ 22; One Communications Answer ¶ 22.  </w:t>
      </w:r>
    </w:p>
    <w:p w:rsidR="00062229" w:rsidRPr="00684AC4" w:rsidRDefault="00062229" w:rsidP="00062229">
      <w:pPr>
        <w:pStyle w:val="ListParagraph"/>
        <w:spacing w:line="360" w:lineRule="auto"/>
        <w:ind w:firstLine="1440"/>
        <w:contextualSpacing w:val="0"/>
        <w:rPr>
          <w:sz w:val="24"/>
          <w:szCs w:val="24"/>
        </w:rPr>
      </w:pPr>
    </w:p>
    <w:p w:rsidR="00062229" w:rsidRDefault="00062229" w:rsidP="00062229">
      <w:pPr>
        <w:pStyle w:val="WBBlockText"/>
        <w:numPr>
          <w:ilvl w:val="0"/>
          <w:numId w:val="1"/>
        </w:numPr>
        <w:spacing w:after="0" w:line="360" w:lineRule="auto"/>
        <w:ind w:left="0" w:firstLine="1440"/>
      </w:pPr>
      <w:r w:rsidRPr="00684AC4">
        <w:t xml:space="preserve">CTC’s </w:t>
      </w:r>
      <w:r>
        <w:t>T</w:t>
      </w:r>
      <w:r w:rsidRPr="00684AC4">
        <w:t xml:space="preserve">ariff Pa. P.U.C. No. 5 includes ten switched access rate elements on a per-minute-of-use basis:  Carrier Common Line Charge, Local Switching, Shared End Office Trunk Charge, Tandem Switching, Tandem Transportation Termination, Tandem Transport Facility, Host/Remote Transport Termination, Transport Multiplexing, </w:t>
      </w:r>
      <w:r w:rsidRPr="00684AC4">
        <w:lastRenderedPageBreak/>
        <w:t xml:space="preserve">Interconnection, and Interconnection Charge.  CTC’s </w:t>
      </w:r>
      <w:r>
        <w:t>T</w:t>
      </w:r>
      <w:r w:rsidRPr="00684AC4">
        <w:t>ariff Pa. P.U.C. No. 5 also includes a Host/Remote Transport Facility switched access rate element that is assessed on a per-minute-of-use, per-mile basis.  Verizon Complaint ¶ 36; One Communications Answer ¶ 36.</w:t>
      </w:r>
    </w:p>
    <w:p w:rsidR="00062229" w:rsidRPr="001F6E38" w:rsidRDefault="00062229" w:rsidP="00062229">
      <w:pPr>
        <w:pStyle w:val="ListParagraph"/>
        <w:spacing w:line="360" w:lineRule="auto"/>
        <w:ind w:firstLine="1440"/>
        <w:contextualSpacing w:val="0"/>
        <w:rPr>
          <w:sz w:val="24"/>
          <w:szCs w:val="24"/>
        </w:rPr>
      </w:pPr>
    </w:p>
    <w:p w:rsidR="00062229" w:rsidRPr="00684AC4" w:rsidRDefault="00062229" w:rsidP="00062229">
      <w:pPr>
        <w:pStyle w:val="WBBlockText"/>
        <w:numPr>
          <w:ilvl w:val="0"/>
          <w:numId w:val="1"/>
        </w:numPr>
        <w:spacing w:after="0" w:line="360" w:lineRule="auto"/>
        <w:ind w:left="0" w:firstLine="1440"/>
      </w:pPr>
      <w:r>
        <w:t>The most practical way to compare a CLEC’s switched access rates to those of the ILEC is to calculate a composite rate per-minute-of-use, taking into account all of the access rate elements being charged.  Verizon Complaint ¶ 28.</w:t>
      </w:r>
    </w:p>
    <w:p w:rsidR="00062229" w:rsidRPr="00684AC4" w:rsidRDefault="00062229" w:rsidP="00062229">
      <w:pPr>
        <w:pStyle w:val="ListParagraph"/>
        <w:spacing w:line="360" w:lineRule="auto"/>
        <w:ind w:left="0" w:firstLine="1440"/>
        <w:contextualSpacing w:val="0"/>
        <w:rPr>
          <w:sz w:val="24"/>
          <w:szCs w:val="24"/>
        </w:rPr>
      </w:pPr>
    </w:p>
    <w:p w:rsidR="00062229" w:rsidRPr="00684AC4" w:rsidRDefault="00062229" w:rsidP="00062229">
      <w:pPr>
        <w:pStyle w:val="WBBlockText"/>
        <w:numPr>
          <w:ilvl w:val="0"/>
          <w:numId w:val="1"/>
        </w:numPr>
        <w:spacing w:after="0" w:line="360" w:lineRule="auto"/>
        <w:ind w:left="0" w:firstLine="1440"/>
      </w:pPr>
      <w:r w:rsidRPr="00684AC4">
        <w:t>Choice One, CTC, Verizon PA and Verizon North generally have three categories of intrastate switched access rates:  (1) carrier charge/carrier common line charge, (2)</w:t>
      </w:r>
      <w:r>
        <w:t> </w:t>
      </w:r>
      <w:r w:rsidRPr="00684AC4">
        <w:t>local switching, and (3) transport.  Within those categories the particular rate elements are sometimes identical</w:t>
      </w:r>
      <w:r>
        <w:t>,</w:t>
      </w:r>
      <w:r w:rsidRPr="00684AC4">
        <w:t xml:space="preserve"> but sometimes have different names or are charged in different ways.  Verizon St. 1.0 (Price Direct) at 8.  </w:t>
      </w:r>
    </w:p>
    <w:p w:rsidR="00062229" w:rsidRPr="00684AC4" w:rsidRDefault="00062229" w:rsidP="00062229">
      <w:pPr>
        <w:pStyle w:val="ListParagraph"/>
        <w:spacing w:line="360" w:lineRule="auto"/>
        <w:ind w:firstLine="1440"/>
        <w:contextualSpacing w:val="0"/>
        <w:rPr>
          <w:sz w:val="24"/>
          <w:szCs w:val="24"/>
        </w:rPr>
      </w:pPr>
    </w:p>
    <w:p w:rsidR="00062229" w:rsidRPr="00684AC4" w:rsidRDefault="00062229" w:rsidP="00062229">
      <w:pPr>
        <w:pStyle w:val="WBBlockText"/>
        <w:numPr>
          <w:ilvl w:val="0"/>
          <w:numId w:val="1"/>
        </w:numPr>
        <w:spacing w:after="0" w:line="360" w:lineRule="auto"/>
        <w:ind w:left="0" w:firstLine="1440"/>
      </w:pPr>
      <w:r w:rsidRPr="00684AC4">
        <w:t>Choice One’s current tariffed intrastate switched access rates are higher than the tariffed</w:t>
      </w:r>
      <w:r>
        <w:t xml:space="preserve"> </w:t>
      </w:r>
      <w:r w:rsidRPr="00684AC4">
        <w:t>rates of the incumbent local exchange telecommunications company in the same service territory.  Verizon Complaint ¶ 23; One Communications Answer ¶ 23.</w:t>
      </w:r>
    </w:p>
    <w:p w:rsidR="00062229" w:rsidRPr="00684AC4" w:rsidRDefault="00062229" w:rsidP="00062229">
      <w:pPr>
        <w:pStyle w:val="ListParagraph"/>
        <w:spacing w:line="360" w:lineRule="auto"/>
        <w:ind w:firstLine="1440"/>
        <w:contextualSpacing w:val="0"/>
        <w:rPr>
          <w:sz w:val="24"/>
          <w:szCs w:val="24"/>
        </w:rPr>
      </w:pPr>
    </w:p>
    <w:p w:rsidR="00062229" w:rsidRPr="00684AC4" w:rsidRDefault="00062229" w:rsidP="00062229">
      <w:pPr>
        <w:pStyle w:val="WBBlockText"/>
        <w:numPr>
          <w:ilvl w:val="0"/>
          <w:numId w:val="1"/>
        </w:numPr>
        <w:spacing w:after="0" w:line="360" w:lineRule="auto"/>
        <w:ind w:left="0" w:firstLine="1440"/>
      </w:pPr>
      <w:r w:rsidRPr="00684AC4">
        <w:t>CTC’s current tariffed intrastate switched access rates are higher than the tariffed rates of the incumbent local exchange telecommunications company in the same service territory.  Verizon Complaint ¶ 37; One Communications Answer ¶ 37.</w:t>
      </w:r>
    </w:p>
    <w:p w:rsidR="00062229" w:rsidRPr="00684AC4" w:rsidRDefault="00062229" w:rsidP="00062229">
      <w:pPr>
        <w:pStyle w:val="ListParagraph"/>
        <w:spacing w:line="360" w:lineRule="auto"/>
        <w:ind w:firstLine="1440"/>
        <w:contextualSpacing w:val="0"/>
        <w:rPr>
          <w:sz w:val="24"/>
          <w:szCs w:val="24"/>
        </w:rPr>
      </w:pPr>
    </w:p>
    <w:p w:rsidR="00062229" w:rsidRPr="00684AC4" w:rsidRDefault="00062229" w:rsidP="00062229">
      <w:pPr>
        <w:pStyle w:val="WBBlockText"/>
        <w:numPr>
          <w:ilvl w:val="0"/>
          <w:numId w:val="1"/>
        </w:numPr>
        <w:spacing w:after="0" w:line="360" w:lineRule="auto"/>
        <w:ind w:left="0" w:firstLine="1440"/>
      </w:pPr>
      <w:r w:rsidRPr="00684AC4">
        <w:t>Choice One’s effective composite intrastate switched access rate ranges from about 2.5 to 4.6 cents per minute-of-use.  Verizon PA charges approximately 1.7 cents per minute-of-use for the same services while Verizon North charges approximately 1.4 cents per minute-of-use for the same services.  Verizon St. 1.0 (Price Direct) at 9-26; Verizon Main Brief at 14-16.</w:t>
      </w:r>
    </w:p>
    <w:p w:rsidR="00062229" w:rsidRPr="00684AC4" w:rsidRDefault="00062229" w:rsidP="00062229">
      <w:pPr>
        <w:pStyle w:val="ListParagraph"/>
        <w:spacing w:line="360" w:lineRule="auto"/>
        <w:ind w:firstLine="1440"/>
        <w:contextualSpacing w:val="0"/>
        <w:rPr>
          <w:sz w:val="24"/>
          <w:szCs w:val="24"/>
        </w:rPr>
      </w:pPr>
    </w:p>
    <w:p w:rsidR="00062229" w:rsidRPr="00684AC4" w:rsidRDefault="00062229" w:rsidP="00062229">
      <w:pPr>
        <w:pStyle w:val="WBBlockText"/>
        <w:numPr>
          <w:ilvl w:val="0"/>
          <w:numId w:val="1"/>
        </w:numPr>
        <w:spacing w:after="0" w:line="360" w:lineRule="auto"/>
        <w:ind w:left="0" w:firstLine="1440"/>
      </w:pPr>
      <w:r w:rsidRPr="00684AC4">
        <w:t>CTC’s effective composite intrastate switched access rate is approximately 3.8</w:t>
      </w:r>
      <w:r>
        <w:t> </w:t>
      </w:r>
      <w:r w:rsidRPr="00684AC4">
        <w:t xml:space="preserve">cents per minute-of-use.  Verizon PA charges approximately 1.6 cents per-minute-of-use for </w:t>
      </w:r>
      <w:r w:rsidRPr="00684AC4">
        <w:lastRenderedPageBreak/>
        <w:t>the same services while Verizon North charges approximately 1.3 cents per minute-of-use for the same services.  Verizon St. 1.0 (Price Direct) at 26-32; Verizon Main Brief at 16-17.</w:t>
      </w:r>
    </w:p>
    <w:p w:rsidR="00062229" w:rsidRPr="00684AC4" w:rsidRDefault="00062229" w:rsidP="00062229">
      <w:pPr>
        <w:pStyle w:val="ListParagraph"/>
        <w:spacing w:line="360" w:lineRule="auto"/>
        <w:ind w:firstLine="1440"/>
        <w:contextualSpacing w:val="0"/>
        <w:rPr>
          <w:sz w:val="24"/>
          <w:szCs w:val="24"/>
        </w:rPr>
      </w:pPr>
    </w:p>
    <w:p w:rsidR="00062229" w:rsidRPr="00684AC4" w:rsidRDefault="00062229" w:rsidP="00062229">
      <w:pPr>
        <w:pStyle w:val="WBBlockText"/>
        <w:numPr>
          <w:ilvl w:val="0"/>
          <w:numId w:val="1"/>
        </w:numPr>
        <w:spacing w:after="0" w:line="360" w:lineRule="auto"/>
        <w:ind w:left="0" w:firstLine="1440"/>
      </w:pPr>
      <w:r w:rsidRPr="00684AC4">
        <w:t>FiberNet’s tariff includes one switched access rate element on a per-minute-of-use basis:  Blended Carrier Switched Access.  FiberNet’s tariffed Blended Carrier Switched Access rate is $0.06 per-minute-of-use.  Verizon Complaint ¶¶</w:t>
      </w:r>
      <w:r>
        <w:t xml:space="preserve"> </w:t>
      </w:r>
      <w:r w:rsidRPr="00684AC4">
        <w:t>51-52; One Communications Answer</w:t>
      </w:r>
      <w:r>
        <w:t> </w:t>
      </w:r>
      <w:r w:rsidRPr="00684AC4">
        <w:t>¶¶</w:t>
      </w:r>
      <w:r>
        <w:t> </w:t>
      </w:r>
      <w:r w:rsidRPr="00684AC4">
        <w:t>51-52.</w:t>
      </w:r>
    </w:p>
    <w:p w:rsidR="00062229" w:rsidRPr="00684AC4" w:rsidRDefault="00062229" w:rsidP="00062229">
      <w:pPr>
        <w:pStyle w:val="ListParagraph"/>
        <w:spacing w:line="360" w:lineRule="auto"/>
        <w:ind w:firstLine="1440"/>
        <w:contextualSpacing w:val="0"/>
        <w:rPr>
          <w:sz w:val="24"/>
          <w:szCs w:val="24"/>
        </w:rPr>
      </w:pPr>
    </w:p>
    <w:p w:rsidR="00062229" w:rsidRPr="00684AC4" w:rsidRDefault="00062229" w:rsidP="00062229">
      <w:pPr>
        <w:pStyle w:val="WBBlockText"/>
        <w:numPr>
          <w:ilvl w:val="0"/>
          <w:numId w:val="1"/>
        </w:numPr>
        <w:spacing w:after="0" w:line="360" w:lineRule="auto"/>
        <w:ind w:left="0" w:firstLine="1440"/>
      </w:pPr>
      <w:r w:rsidRPr="00684AC4">
        <w:t xml:space="preserve">Notwithstanding its tariffed rates, FiberNet is billing the Verizon companies at rates that are below the tariffed switched access rates of both Verizon PA and Verizon North.  FiberNet does not bill any interexchange carriers </w:t>
      </w:r>
      <w:r>
        <w:t xml:space="preserve">at </w:t>
      </w:r>
      <w:r w:rsidRPr="00684AC4">
        <w:t>its tariffed rate of $0.06 per minute-of-use.  Since September 1, 2007, FiberNet has been charging a composite per-minute rate of $0.00994 for intrastate switched access in Pennsylvania.  Prior to that date, FiberNet charged composite per-minute intrastate switched access rates of $0.006 to Verizon North, $0.009 to Verizon Pennsylvania and $0.0099 to all other carriers.  Verizon St. 1.0 (Price Direct) at 34-35; One Communications Main Brief at 8-9; One Communications St. 2.0 (Parrish Rebuttal) at 2, n.1.</w:t>
      </w:r>
    </w:p>
    <w:p w:rsidR="00062229" w:rsidRPr="00684AC4" w:rsidRDefault="00062229" w:rsidP="00062229">
      <w:pPr>
        <w:pStyle w:val="ListParagraph"/>
        <w:spacing w:line="360" w:lineRule="auto"/>
        <w:ind w:firstLine="1440"/>
        <w:contextualSpacing w:val="0"/>
        <w:rPr>
          <w:sz w:val="24"/>
          <w:szCs w:val="24"/>
        </w:rPr>
      </w:pPr>
    </w:p>
    <w:p w:rsidR="00062229" w:rsidRPr="00684AC4" w:rsidRDefault="00062229" w:rsidP="00062229">
      <w:pPr>
        <w:pStyle w:val="WBBlockText"/>
        <w:numPr>
          <w:ilvl w:val="0"/>
          <w:numId w:val="1"/>
        </w:numPr>
        <w:spacing w:after="0" w:line="360" w:lineRule="auto"/>
        <w:ind w:left="0" w:firstLine="1440"/>
      </w:pPr>
      <w:r w:rsidRPr="00684AC4">
        <w:t>Numerous CLECs are providing the same intrastate switched access services as the One Communications Companies in the same areas served by the One Communications Companies at around $0.017 or $0.018 per minute-of-use.  Verizon Main Brief at 26; Verizon Supplemental Brief at 9.</w:t>
      </w:r>
    </w:p>
    <w:p w:rsidR="00062229" w:rsidRPr="00684AC4" w:rsidRDefault="00062229" w:rsidP="00062229">
      <w:pPr>
        <w:pStyle w:val="ListParagraph"/>
        <w:spacing w:line="360" w:lineRule="auto"/>
        <w:ind w:firstLine="1440"/>
        <w:contextualSpacing w:val="0"/>
        <w:rPr>
          <w:sz w:val="24"/>
          <w:szCs w:val="24"/>
        </w:rPr>
      </w:pPr>
    </w:p>
    <w:p w:rsidR="00062229" w:rsidRPr="00684AC4" w:rsidRDefault="00062229" w:rsidP="00062229">
      <w:pPr>
        <w:pStyle w:val="WBBlockText"/>
        <w:numPr>
          <w:ilvl w:val="0"/>
          <w:numId w:val="1"/>
        </w:numPr>
        <w:spacing w:after="0" w:line="360" w:lineRule="auto"/>
        <w:ind w:left="0" w:firstLine="1440"/>
      </w:pPr>
      <w:r w:rsidRPr="00684AC4">
        <w:t>Numerous CLECs charge tariffed intrastate switched access rates that are equal to or less than the intrastate switched access rates charged by the incumbent local exchange telecommunications company in the same service territory.  Verizon St. 1.1 (Price/Mazziotti Rebuttal) at 25.</w:t>
      </w:r>
    </w:p>
    <w:p w:rsidR="00062229" w:rsidRPr="00684AC4" w:rsidRDefault="00062229" w:rsidP="00062229">
      <w:pPr>
        <w:pStyle w:val="ListParagraph"/>
        <w:spacing w:line="360" w:lineRule="auto"/>
        <w:ind w:firstLine="1440"/>
        <w:contextualSpacing w:val="0"/>
        <w:rPr>
          <w:sz w:val="24"/>
          <w:szCs w:val="24"/>
        </w:rPr>
      </w:pPr>
    </w:p>
    <w:p w:rsidR="00062229" w:rsidRPr="00684AC4" w:rsidRDefault="00062229" w:rsidP="00062229">
      <w:pPr>
        <w:pStyle w:val="WBBlockText"/>
        <w:numPr>
          <w:ilvl w:val="0"/>
          <w:numId w:val="1"/>
        </w:numPr>
        <w:spacing w:after="0" w:line="360" w:lineRule="auto"/>
        <w:ind w:left="0" w:firstLine="1440"/>
      </w:pPr>
      <w:r w:rsidRPr="00684AC4">
        <w:t>The One Communications Companies commissioned  cost stud</w:t>
      </w:r>
      <w:r>
        <w:t>ies</w:t>
      </w:r>
      <w:r w:rsidRPr="00684AC4">
        <w:t xml:space="preserve"> to determine the cost of providing intrastate</w:t>
      </w:r>
      <w:r>
        <w:t xml:space="preserve"> switched</w:t>
      </w:r>
      <w:r w:rsidRPr="00684AC4">
        <w:t xml:space="preserve"> access services for Choice One, FiberNet and CTC.  The One Communications Companies’ cost stud</w:t>
      </w:r>
      <w:r>
        <w:t>ies reflect</w:t>
      </w:r>
      <w:r w:rsidRPr="00684AC4">
        <w:t xml:space="preserve"> a fully-distributed cost (FDC) </w:t>
      </w:r>
      <w:r w:rsidRPr="00684AC4">
        <w:lastRenderedPageBreak/>
        <w:t xml:space="preserve">methodology.  The FDC methodology allocates booked costs among individual services by a specified formula (including a rate of return) in order to determine the cost of providing those individual services.  The intrastate access rates being charged by Choice One, FiberNet and CTC are all less than the cost </w:t>
      </w:r>
      <w:r>
        <w:t xml:space="preserve">or “Total Recovery Requirement” </w:t>
      </w:r>
      <w:r w:rsidRPr="00684AC4">
        <w:t xml:space="preserve">of providing those intrastate access services </w:t>
      </w:r>
      <w:r w:rsidRPr="00CA01CC">
        <w:t>as determined by the One Communications Companies’ cost studies</w:t>
      </w:r>
      <w:r w:rsidRPr="00684AC4">
        <w:t>.  One Communications St. 1.0 (Parrish Direct)</w:t>
      </w:r>
      <w:r>
        <w:t xml:space="preserve"> at 4.</w:t>
      </w:r>
    </w:p>
    <w:p w:rsidR="00062229" w:rsidRPr="00684AC4" w:rsidRDefault="00062229" w:rsidP="00062229">
      <w:pPr>
        <w:pStyle w:val="ListParagraph"/>
        <w:spacing w:line="360" w:lineRule="auto"/>
        <w:ind w:firstLine="1440"/>
        <w:contextualSpacing w:val="0"/>
        <w:rPr>
          <w:sz w:val="24"/>
          <w:szCs w:val="24"/>
        </w:rPr>
      </w:pPr>
    </w:p>
    <w:p w:rsidR="00062229" w:rsidRPr="00684AC4" w:rsidRDefault="00062229" w:rsidP="00062229">
      <w:pPr>
        <w:pStyle w:val="WBBlockText"/>
        <w:numPr>
          <w:ilvl w:val="0"/>
          <w:numId w:val="1"/>
        </w:numPr>
        <w:spacing w:after="0" w:line="360" w:lineRule="auto"/>
        <w:ind w:left="0" w:firstLine="1440"/>
      </w:pPr>
      <w:r w:rsidRPr="00684AC4">
        <w:t>The One Communications</w:t>
      </w:r>
      <w:r>
        <w:t xml:space="preserve"> Companies’ cost studies allocated</w:t>
      </w:r>
      <w:r w:rsidRPr="00684AC4">
        <w:t xml:space="preserve"> the costs related to voice services among categories based on the relative use of the network facilities as measured by minutes of use</w:t>
      </w:r>
      <w:r>
        <w:t xml:space="preserve"> (MOU)</w:t>
      </w:r>
      <w:r w:rsidRPr="00684AC4">
        <w:t>.  One Communications Companies St. 1.0 (Parrish Direct) at</w:t>
      </w:r>
      <w:r>
        <w:t> </w:t>
      </w:r>
      <w:r w:rsidRPr="00684AC4">
        <w:t>14.</w:t>
      </w:r>
    </w:p>
    <w:p w:rsidR="00062229" w:rsidRPr="00684AC4" w:rsidRDefault="00062229" w:rsidP="00062229">
      <w:pPr>
        <w:pStyle w:val="ListParagraph"/>
        <w:spacing w:line="360" w:lineRule="auto"/>
        <w:ind w:firstLine="1440"/>
        <w:contextualSpacing w:val="0"/>
        <w:rPr>
          <w:sz w:val="24"/>
          <w:szCs w:val="24"/>
        </w:rPr>
      </w:pPr>
    </w:p>
    <w:p w:rsidR="00062229" w:rsidRPr="00684AC4" w:rsidRDefault="00062229" w:rsidP="00062229">
      <w:pPr>
        <w:pStyle w:val="WBBlockText"/>
        <w:numPr>
          <w:ilvl w:val="0"/>
          <w:numId w:val="1"/>
        </w:numPr>
        <w:spacing w:after="0" w:line="360" w:lineRule="auto"/>
        <w:ind w:left="0" w:firstLine="1440"/>
      </w:pPr>
      <w:r w:rsidRPr="00684AC4">
        <w:t>Allocating costs based on minutes of use does not allocate any costs to services that are not based on minutes of use.  The One Communications Companies provide many non</w:t>
      </w:r>
      <w:r>
        <w:noBreakHyphen/>
      </w:r>
      <w:r w:rsidRPr="00684AC4">
        <w:t>usage based services that make use of local loop plant.  Verizon St. 1.1 (Price/Mazziotti Rebuttal) at 41 and Exhibits R-15, R-16 and R-17.</w:t>
      </w:r>
    </w:p>
    <w:p w:rsidR="00062229" w:rsidRPr="00684AC4" w:rsidRDefault="00062229" w:rsidP="00062229">
      <w:pPr>
        <w:pStyle w:val="ListParagraph"/>
        <w:spacing w:line="360" w:lineRule="auto"/>
        <w:ind w:firstLine="1440"/>
        <w:contextualSpacing w:val="0"/>
        <w:rPr>
          <w:sz w:val="24"/>
          <w:szCs w:val="24"/>
        </w:rPr>
      </w:pPr>
    </w:p>
    <w:p w:rsidR="00062229" w:rsidRDefault="00062229" w:rsidP="00062229">
      <w:pPr>
        <w:pStyle w:val="WBBlockText"/>
        <w:numPr>
          <w:ilvl w:val="0"/>
          <w:numId w:val="1"/>
        </w:numPr>
        <w:spacing w:after="0" w:line="360" w:lineRule="auto"/>
        <w:ind w:left="0" w:firstLine="1440"/>
      </w:pPr>
      <w:r w:rsidRPr="00684AC4">
        <w:t xml:space="preserve">The </w:t>
      </w:r>
      <w:r>
        <w:t xml:space="preserve">“Total Recovery Requirement” or </w:t>
      </w:r>
      <w:r w:rsidRPr="00684AC4">
        <w:t xml:space="preserve">cost of providing intrastate access services, as determined by the One Communications Companies’ cost </w:t>
      </w:r>
      <w:r>
        <w:t>studies</w:t>
      </w:r>
      <w:r w:rsidRPr="00684AC4">
        <w:t>, includes costs associated with providing interstate access services that cannot be recovered through the One Communications Companies’ interstate access rates due to</w:t>
      </w:r>
      <w:r w:rsidRPr="00086016">
        <w:t xml:space="preserve"> </w:t>
      </w:r>
      <w:r>
        <w:t>Federal Communications Commission</w:t>
      </w:r>
      <w:r w:rsidRPr="00684AC4">
        <w:t xml:space="preserve"> </w:t>
      </w:r>
      <w:r>
        <w:t>(</w:t>
      </w:r>
      <w:r w:rsidRPr="00684AC4">
        <w:t>F</w:t>
      </w:r>
      <w:r>
        <w:t>.</w:t>
      </w:r>
      <w:r w:rsidRPr="00684AC4">
        <w:t>C</w:t>
      </w:r>
      <w:r>
        <w:t>.</w:t>
      </w:r>
      <w:r w:rsidRPr="00684AC4">
        <w:t>C</w:t>
      </w:r>
      <w:r>
        <w:t>.)</w:t>
      </w:r>
      <w:r w:rsidRPr="00684AC4">
        <w:t xml:space="preserve"> actions.  According to the One Communications Companies’ cost </w:t>
      </w:r>
      <w:r>
        <w:t>studies</w:t>
      </w:r>
      <w:r w:rsidRPr="00684AC4">
        <w:t xml:space="preserve">, this “residual interstate revenue requirement” increases the per-minute </w:t>
      </w:r>
      <w:r>
        <w:t xml:space="preserve">“Total Recovery Requirement” or </w:t>
      </w:r>
      <w:r w:rsidRPr="00684AC4">
        <w:t xml:space="preserve">cost of providing intrastate access services from </w:t>
      </w:r>
      <w:r w:rsidRPr="00464D87">
        <w:rPr>
          <w:b/>
        </w:rPr>
        <w:t xml:space="preserve">[BEGIN PROPRIETARY] </w:t>
      </w:r>
      <w:r>
        <w:tab/>
        <w:t xml:space="preserve">    </w:t>
      </w:r>
      <w:r>
        <w:tab/>
        <w:t xml:space="preserve"> </w:t>
      </w:r>
      <w:r w:rsidRPr="00684AC4">
        <w:t xml:space="preserve"> </w:t>
      </w:r>
      <w:r w:rsidRPr="00464D87">
        <w:rPr>
          <w:b/>
        </w:rPr>
        <w:t>[END PROPRIETARY]</w:t>
      </w:r>
      <w:r w:rsidRPr="00684AC4">
        <w:t xml:space="preserve"> to </w:t>
      </w:r>
      <w:r w:rsidRPr="00464D87">
        <w:rPr>
          <w:b/>
        </w:rPr>
        <w:t xml:space="preserve">[BEGIN PROPRIETARY] </w:t>
      </w:r>
      <w:r>
        <w:t xml:space="preserve">       </w:t>
      </w:r>
      <w:r w:rsidRPr="00684AC4">
        <w:t xml:space="preserve"> </w:t>
      </w:r>
      <w:r w:rsidRPr="00464D87">
        <w:rPr>
          <w:b/>
        </w:rPr>
        <w:t xml:space="preserve">[END PROPRIETARY] </w:t>
      </w:r>
      <w:r w:rsidRPr="00684AC4">
        <w:t xml:space="preserve">for Choice One, from </w:t>
      </w:r>
      <w:r w:rsidRPr="00464D87">
        <w:rPr>
          <w:b/>
        </w:rPr>
        <w:t xml:space="preserve">[BEGIN PROPRIETARY] </w:t>
      </w:r>
      <w:r>
        <w:t xml:space="preserve">       </w:t>
      </w:r>
      <w:r w:rsidRPr="00684AC4">
        <w:t xml:space="preserve"> </w:t>
      </w:r>
      <w:r w:rsidRPr="00464D87">
        <w:rPr>
          <w:b/>
        </w:rPr>
        <w:t xml:space="preserve">[END PROPRIETARY] </w:t>
      </w:r>
      <w:r w:rsidRPr="00684AC4">
        <w:t xml:space="preserve">to </w:t>
      </w:r>
      <w:r w:rsidRPr="00464D87">
        <w:rPr>
          <w:b/>
        </w:rPr>
        <w:t>[BEGIN PROPRIETARY]</w:t>
      </w:r>
      <w:r>
        <w:t xml:space="preserve">        </w:t>
      </w:r>
      <w:r w:rsidRPr="00684AC4">
        <w:t xml:space="preserve"> </w:t>
      </w:r>
      <w:r w:rsidRPr="00464D87">
        <w:rPr>
          <w:b/>
        </w:rPr>
        <w:t>[END PROPRIETARY]</w:t>
      </w:r>
      <w:r w:rsidRPr="00684AC4">
        <w:t xml:space="preserve"> for FiberNet and from </w:t>
      </w:r>
      <w:r w:rsidRPr="00464D87">
        <w:rPr>
          <w:b/>
        </w:rPr>
        <w:t xml:space="preserve">[BEGIN PROPRIETARY] </w:t>
      </w:r>
      <w:r>
        <w:t xml:space="preserve">       </w:t>
      </w:r>
      <w:r w:rsidRPr="00464D87">
        <w:rPr>
          <w:b/>
        </w:rPr>
        <w:t xml:space="preserve">[END PROPRIETARY] </w:t>
      </w:r>
      <w:r w:rsidRPr="00684AC4">
        <w:t xml:space="preserve">to </w:t>
      </w:r>
      <w:r w:rsidRPr="00464D87">
        <w:rPr>
          <w:b/>
        </w:rPr>
        <w:t xml:space="preserve">[BEGIN PROPRIETARY] </w:t>
      </w:r>
      <w:r>
        <w:t xml:space="preserve">       </w:t>
      </w:r>
      <w:r w:rsidRPr="00684AC4">
        <w:t xml:space="preserve"> </w:t>
      </w:r>
      <w:r w:rsidRPr="00464D87">
        <w:rPr>
          <w:b/>
        </w:rPr>
        <w:t xml:space="preserve">[END PROPRIETARY] </w:t>
      </w:r>
      <w:r w:rsidRPr="00684AC4">
        <w:t xml:space="preserve">for CTC.  This represents an increase in the per-minute </w:t>
      </w:r>
      <w:r>
        <w:t xml:space="preserve">“Total Recovery Requirement” or </w:t>
      </w:r>
      <w:r w:rsidRPr="00684AC4">
        <w:t xml:space="preserve">cost of providing intrastate switched access services of </w:t>
      </w:r>
      <w:r w:rsidRPr="00464D87">
        <w:rPr>
          <w:b/>
        </w:rPr>
        <w:t xml:space="preserve">[BEGIN PROPRIETARY] </w:t>
      </w:r>
      <w:r>
        <w:t xml:space="preserve">    </w:t>
      </w:r>
      <w:r w:rsidRPr="00464D87">
        <w:rPr>
          <w:b/>
        </w:rPr>
        <w:t xml:space="preserve"> [END PROPRIETARY] </w:t>
      </w:r>
      <w:r w:rsidRPr="00684AC4">
        <w:t>for Choice One,</w:t>
      </w:r>
      <w:r>
        <w:rPr>
          <w:b/>
        </w:rPr>
        <w:t xml:space="preserve">    </w:t>
      </w:r>
      <w:r w:rsidRPr="00684AC4">
        <w:rPr>
          <w:b/>
        </w:rPr>
        <w:lastRenderedPageBreak/>
        <w:t xml:space="preserve">[BEGIN PROPRIETARY] </w:t>
      </w:r>
      <w:r>
        <w:t xml:space="preserve">   </w:t>
      </w:r>
      <w:r w:rsidRPr="00684AC4">
        <w:rPr>
          <w:b/>
        </w:rPr>
        <w:t xml:space="preserve"> [END PROPRIETARY] </w:t>
      </w:r>
      <w:r w:rsidRPr="00684AC4">
        <w:t>for FiberNet and</w:t>
      </w:r>
      <w:r w:rsidRPr="00684AC4">
        <w:rPr>
          <w:b/>
        </w:rPr>
        <w:t xml:space="preserve"> [BEGIN PROPRIETARY] </w:t>
      </w:r>
      <w:r>
        <w:t xml:space="preserve">       </w:t>
      </w:r>
      <w:r w:rsidRPr="00684AC4">
        <w:rPr>
          <w:b/>
        </w:rPr>
        <w:t xml:space="preserve"> [END PROPRIETARY] </w:t>
      </w:r>
      <w:r w:rsidRPr="00684AC4">
        <w:t>for CTC.  One Communications St. 1.0 (Parrish Direct) at 3-4, 20; Verizon St. 1.1 (Price/Mazziotti Rebuttal) at</w:t>
      </w:r>
      <w:r>
        <w:t> </w:t>
      </w:r>
      <w:r w:rsidRPr="00684AC4">
        <w:t>28.</w:t>
      </w:r>
    </w:p>
    <w:p w:rsidR="00062229" w:rsidRDefault="00062229" w:rsidP="00062229">
      <w:pPr>
        <w:pStyle w:val="WBBlockText"/>
        <w:spacing w:after="0" w:line="360" w:lineRule="auto"/>
        <w:ind w:left="2160"/>
      </w:pPr>
    </w:p>
    <w:p w:rsidR="00062229" w:rsidRDefault="00062229" w:rsidP="00062229">
      <w:pPr>
        <w:pStyle w:val="WBBlockText"/>
        <w:numPr>
          <w:ilvl w:val="0"/>
          <w:numId w:val="1"/>
        </w:numPr>
        <w:spacing w:after="0" w:line="360" w:lineRule="auto"/>
        <w:ind w:left="0" w:firstLine="1440"/>
      </w:pPr>
      <w:r>
        <w:t xml:space="preserve">Inclusion of a “residual interstate recovery requirement” is a concept never approved by this Commission for other carriers’ access rates and is not a component of the ILECs’ access rates.  Verizon Supplemental Brief at 12. </w:t>
      </w:r>
    </w:p>
    <w:p w:rsidR="00062229" w:rsidRPr="001D5F02" w:rsidRDefault="00062229" w:rsidP="00062229">
      <w:pPr>
        <w:pStyle w:val="WBBlockText"/>
        <w:spacing w:after="0" w:line="360" w:lineRule="auto"/>
        <w:ind w:left="720" w:firstLine="1440"/>
        <w:rPr>
          <w:color w:val="000000"/>
        </w:rPr>
      </w:pPr>
    </w:p>
    <w:p w:rsidR="00062229" w:rsidRPr="001D5F02" w:rsidRDefault="00062229" w:rsidP="00062229">
      <w:pPr>
        <w:pStyle w:val="WBBlockText"/>
        <w:numPr>
          <w:ilvl w:val="0"/>
          <w:numId w:val="1"/>
        </w:numPr>
        <w:spacing w:after="0" w:line="360" w:lineRule="auto"/>
        <w:ind w:left="0" w:firstLine="1440"/>
        <w:rPr>
          <w:color w:val="000000"/>
        </w:rPr>
      </w:pPr>
      <w:r w:rsidRPr="00F517CD">
        <w:rPr>
          <w:color w:val="000000"/>
        </w:rPr>
        <w:t xml:space="preserve">Exclusive of any residual interstate revenue requirements, the local loop costs included in the One Communications Companies’ cost studies comprise the single-largest component of the cost of intrastate switched access services as calculated by the One Communications Companies’ cost studies.  Exclusive of any residual interstate revenue </w:t>
      </w:r>
      <w:r w:rsidRPr="001D5F02">
        <w:rPr>
          <w:color w:val="000000"/>
        </w:rPr>
        <w:t xml:space="preserve">requirements, the One Communications Companies’ cost </w:t>
      </w:r>
      <w:r>
        <w:rPr>
          <w:color w:val="000000"/>
        </w:rPr>
        <w:t>studies attribute</w:t>
      </w:r>
      <w:r w:rsidRPr="001D5F02">
        <w:rPr>
          <w:color w:val="000000"/>
        </w:rPr>
        <w:t xml:space="preserve"> between </w:t>
      </w:r>
      <w:r w:rsidRPr="001D5F02">
        <w:rPr>
          <w:b/>
          <w:color w:val="000000"/>
        </w:rPr>
        <w:t xml:space="preserve">[BEGIN PROPRIETARY] </w:t>
      </w:r>
      <w:r>
        <w:rPr>
          <w:color w:val="000000"/>
        </w:rPr>
        <w:t xml:space="preserve">                      </w:t>
      </w:r>
      <w:r w:rsidRPr="001D5F02">
        <w:rPr>
          <w:b/>
          <w:color w:val="000000"/>
        </w:rPr>
        <w:t xml:space="preserve"> [END PROPRIETARY] </w:t>
      </w:r>
      <w:r w:rsidRPr="001D5F02">
        <w:rPr>
          <w:color w:val="000000"/>
        </w:rPr>
        <w:t>of the cost of providing intrastate switched access services to the local loop.  Verizon St. 1.1 (Price/Mazziotti Rebuttal) at 36.</w:t>
      </w:r>
    </w:p>
    <w:p w:rsidR="00062229" w:rsidRPr="00F517CD" w:rsidRDefault="00062229" w:rsidP="00062229">
      <w:pPr>
        <w:pStyle w:val="WBBlockText"/>
        <w:spacing w:after="0" w:line="360" w:lineRule="auto"/>
        <w:ind w:left="1440"/>
        <w:rPr>
          <w:color w:val="000000"/>
        </w:rPr>
      </w:pPr>
    </w:p>
    <w:p w:rsidR="00062229" w:rsidRDefault="00062229" w:rsidP="00062229">
      <w:pPr>
        <w:pStyle w:val="WBBlockText"/>
        <w:numPr>
          <w:ilvl w:val="0"/>
          <w:numId w:val="1"/>
        </w:numPr>
        <w:spacing w:after="0" w:line="360" w:lineRule="auto"/>
        <w:ind w:left="0" w:firstLine="1440"/>
        <w:rPr>
          <w:color w:val="000000"/>
        </w:rPr>
      </w:pPr>
      <w:r w:rsidRPr="001D5F02">
        <w:rPr>
          <w:color w:val="000000"/>
        </w:rPr>
        <w:t xml:space="preserve">Removing the local loop costs from the One Communications Companies’ cost </w:t>
      </w:r>
      <w:r>
        <w:rPr>
          <w:color w:val="000000"/>
        </w:rPr>
        <w:t>studies</w:t>
      </w:r>
      <w:r w:rsidRPr="001D5F02">
        <w:rPr>
          <w:color w:val="000000"/>
        </w:rPr>
        <w:t xml:space="preserve"> would reduce the calculated per-minute cost of providing intrastate switched access services (exclusive of any residual interstate revenue requirements) from </w:t>
      </w:r>
      <w:r w:rsidRPr="001D5F02">
        <w:rPr>
          <w:b/>
          <w:color w:val="000000"/>
        </w:rPr>
        <w:t>[BEGIN PROPRIETARY]</w:t>
      </w:r>
      <w:r>
        <w:rPr>
          <w:color w:val="000000"/>
        </w:rPr>
        <w:t xml:space="preserve">                                </w:t>
      </w:r>
      <w:r w:rsidRPr="001D5F02">
        <w:rPr>
          <w:color w:val="000000"/>
        </w:rPr>
        <w:t xml:space="preserve"> </w:t>
      </w:r>
      <w:r w:rsidRPr="001D5F02">
        <w:rPr>
          <w:b/>
          <w:color w:val="000000"/>
        </w:rPr>
        <w:t>[END PROPRIETARY]</w:t>
      </w:r>
      <w:r w:rsidRPr="001D5F02">
        <w:rPr>
          <w:color w:val="000000"/>
        </w:rPr>
        <w:t xml:space="preserve"> for Choice One, from </w:t>
      </w:r>
      <w:r w:rsidRPr="001D5F02">
        <w:rPr>
          <w:b/>
          <w:color w:val="000000"/>
        </w:rPr>
        <w:t xml:space="preserve">[BEGIN PROPRIETARY] </w:t>
      </w:r>
      <w:r>
        <w:rPr>
          <w:b/>
          <w:color w:val="000000"/>
        </w:rPr>
        <w:t xml:space="preserve">                               </w:t>
      </w:r>
      <w:r w:rsidRPr="001D5F02">
        <w:rPr>
          <w:color w:val="000000"/>
        </w:rPr>
        <w:t xml:space="preserve"> </w:t>
      </w:r>
      <w:r w:rsidRPr="001D5F02">
        <w:rPr>
          <w:b/>
          <w:color w:val="000000"/>
        </w:rPr>
        <w:t>[END PROPRIETARY]</w:t>
      </w:r>
      <w:r w:rsidRPr="001D5F02">
        <w:rPr>
          <w:color w:val="000000"/>
        </w:rPr>
        <w:t xml:space="preserve"> for FiberNet and from </w:t>
      </w:r>
      <w:r w:rsidRPr="001D5F02">
        <w:rPr>
          <w:b/>
          <w:color w:val="000000"/>
        </w:rPr>
        <w:t>[BEGIN PROPRIETARY]</w:t>
      </w:r>
      <w:r>
        <w:rPr>
          <w:color w:val="000000"/>
        </w:rPr>
        <w:t xml:space="preserve">                                 </w:t>
      </w:r>
      <w:r w:rsidRPr="001D5F02">
        <w:rPr>
          <w:color w:val="000000"/>
        </w:rPr>
        <w:t xml:space="preserve"> </w:t>
      </w:r>
      <w:r w:rsidRPr="001D5F02">
        <w:rPr>
          <w:b/>
          <w:color w:val="000000"/>
        </w:rPr>
        <w:t>[END PROPRIETARY]</w:t>
      </w:r>
      <w:r w:rsidRPr="001D5F02">
        <w:rPr>
          <w:color w:val="000000"/>
        </w:rPr>
        <w:t xml:space="preserve"> for CTC.  Verizon St. 1.1 (Price/Mazziotti Rebuttal) at 37.</w:t>
      </w:r>
    </w:p>
    <w:p w:rsidR="00062229" w:rsidRPr="001F6E38" w:rsidRDefault="00062229" w:rsidP="00062229">
      <w:pPr>
        <w:pStyle w:val="ListParagraph"/>
        <w:spacing w:line="360" w:lineRule="auto"/>
        <w:ind w:firstLine="1440"/>
        <w:contextualSpacing w:val="0"/>
        <w:rPr>
          <w:color w:val="000000"/>
          <w:sz w:val="24"/>
          <w:szCs w:val="24"/>
        </w:rPr>
      </w:pPr>
    </w:p>
    <w:p w:rsidR="00062229" w:rsidRDefault="00062229" w:rsidP="00062229">
      <w:pPr>
        <w:pStyle w:val="WBBlockText"/>
        <w:numPr>
          <w:ilvl w:val="0"/>
          <w:numId w:val="1"/>
        </w:numPr>
        <w:spacing w:after="0" w:line="360" w:lineRule="auto"/>
        <w:ind w:left="0" w:firstLine="1440"/>
        <w:rPr>
          <w:color w:val="000000"/>
        </w:rPr>
      </w:pPr>
      <w:r>
        <w:rPr>
          <w:color w:val="000000"/>
        </w:rPr>
        <w:t xml:space="preserve">The cost and operating parameter information on which the One Communications Companies’ cost studies are based differed significantly from the same information provided by employees of the One Communications Companies in verified responses to Verizon’s discovery requests.  Verizon Main Brief at 19- 20.   </w:t>
      </w:r>
    </w:p>
    <w:p w:rsidR="00062229" w:rsidRDefault="00062229" w:rsidP="00062229">
      <w:pPr>
        <w:pStyle w:val="WBBlockText"/>
        <w:spacing w:after="0" w:line="360" w:lineRule="auto"/>
        <w:ind w:left="720" w:firstLine="1440"/>
        <w:rPr>
          <w:color w:val="000000"/>
        </w:rPr>
      </w:pPr>
    </w:p>
    <w:p w:rsidR="00062229" w:rsidRPr="00F475DA" w:rsidRDefault="00062229" w:rsidP="00062229">
      <w:pPr>
        <w:pStyle w:val="WBBlockText"/>
        <w:numPr>
          <w:ilvl w:val="0"/>
          <w:numId w:val="1"/>
        </w:numPr>
        <w:spacing w:after="0" w:line="360" w:lineRule="auto"/>
        <w:ind w:left="0" w:firstLine="1440"/>
        <w:rPr>
          <w:color w:val="000000"/>
        </w:rPr>
      </w:pPr>
      <w:r>
        <w:rPr>
          <w:color w:val="000000"/>
        </w:rPr>
        <w:t xml:space="preserve">The parties did not object to applying the standards set forth in the </w:t>
      </w:r>
      <w:r>
        <w:rPr>
          <w:i/>
          <w:color w:val="000000"/>
        </w:rPr>
        <w:t>PTI</w:t>
      </w:r>
      <w:r>
        <w:rPr>
          <w:color w:val="000000"/>
        </w:rPr>
        <w:t xml:space="preserve"> and </w:t>
      </w:r>
      <w:r>
        <w:rPr>
          <w:i/>
          <w:color w:val="000000"/>
        </w:rPr>
        <w:t>CTSI</w:t>
      </w:r>
      <w:r>
        <w:rPr>
          <w:color w:val="000000"/>
        </w:rPr>
        <w:t xml:space="preserve"> cases </w:t>
      </w:r>
      <w:r>
        <w:t>during the December 3, 2009 conference call or in their briefs.</w:t>
      </w:r>
    </w:p>
    <w:p w:rsidR="00062229" w:rsidRPr="0062412E" w:rsidRDefault="00062229" w:rsidP="00062229">
      <w:pPr>
        <w:jc w:val="center"/>
        <w:rPr>
          <w:u w:val="single"/>
        </w:rPr>
      </w:pPr>
      <w:r>
        <w:rPr>
          <w:u w:val="single"/>
        </w:rPr>
        <w:lastRenderedPageBreak/>
        <w:t>DISCUSSION</w:t>
      </w:r>
    </w:p>
    <w:p w:rsidR="00062229" w:rsidRDefault="00062229" w:rsidP="00062229"/>
    <w:p w:rsidR="00062229" w:rsidRPr="009C479C" w:rsidRDefault="00062229" w:rsidP="00062229">
      <w:r>
        <w:t>A.</w:t>
      </w:r>
      <w:r>
        <w:tab/>
      </w:r>
      <w:r>
        <w:rPr>
          <w:u w:val="single"/>
        </w:rPr>
        <w:t>BURDEN OF PROOF AND LEGAL STANDARDS</w:t>
      </w:r>
    </w:p>
    <w:p w:rsidR="00062229" w:rsidRDefault="00062229" w:rsidP="00062229"/>
    <w:p w:rsidR="00062229" w:rsidRDefault="00062229" w:rsidP="00062229">
      <w:r>
        <w:tab/>
      </w:r>
      <w:r>
        <w:tab/>
        <w:t xml:space="preserve">Because there have been two prior cases, the Commission has already set forth its guidelines for the burden of proof and the standards the parties must meet.  The </w:t>
      </w:r>
      <w:r>
        <w:rPr>
          <w:i/>
        </w:rPr>
        <w:t>PTI</w:t>
      </w:r>
      <w:r>
        <w:t xml:space="preserve"> and </w:t>
      </w:r>
      <w:r>
        <w:rPr>
          <w:i/>
        </w:rPr>
        <w:t>CTSI</w:t>
      </w:r>
      <w:r>
        <w:t xml:space="preserve"> cases have near identical text on these subjects.  With respect to the burden of proof, the Commission stated:</w:t>
      </w:r>
    </w:p>
    <w:p w:rsidR="00062229" w:rsidRDefault="00062229" w:rsidP="00062229"/>
    <w:p w:rsidR="00062229" w:rsidRDefault="00062229" w:rsidP="00062229">
      <w:pPr>
        <w:spacing w:line="240" w:lineRule="auto"/>
        <w:ind w:left="1440" w:right="1440" w:firstLine="720"/>
        <w:rPr>
          <w:szCs w:val="26"/>
        </w:rPr>
      </w:pPr>
      <w:r>
        <w:rPr>
          <w:szCs w:val="26"/>
        </w:rPr>
        <w:t xml:space="preserve">As the proponent of a rule or order, the Complainant in this proceeding bears the burden of proof pursuant to Section 332(a) of the Code, 66 Pa. C.S. § 332(a), which provides that the party seeking a rule or order from the Commission has the burden of proof in that proceeding.  It is axiomatic that “[a] litigant’s burden of proof before administrative tribunals as well as before most civil proceedings is satisfied by establishing a preponderance of evidence which is substantial and legally credible.”  </w:t>
      </w:r>
      <w:r>
        <w:rPr>
          <w:i/>
          <w:iCs/>
          <w:szCs w:val="26"/>
        </w:rPr>
        <w:t xml:space="preserve">Samuel J. Lansberry, Inc. v. </w:t>
      </w:r>
      <w:smartTag w:uri="urn:schemas-microsoft-com:office:smarttags" w:element="State">
        <w:r>
          <w:rPr>
            <w:i/>
            <w:iCs/>
            <w:szCs w:val="26"/>
          </w:rPr>
          <w:t>Pa.</w:t>
        </w:r>
      </w:smartTag>
      <w:r>
        <w:rPr>
          <w:i/>
          <w:iCs/>
          <w:szCs w:val="26"/>
        </w:rPr>
        <w:t xml:space="preserve"> PUC</w:t>
      </w:r>
      <w:r>
        <w:rPr>
          <w:szCs w:val="26"/>
        </w:rPr>
        <w:t>, 578 A.2d 600, 602 (</w:t>
      </w:r>
      <w:smartTag w:uri="urn:schemas-microsoft-com:office:smarttags" w:element="place">
        <w:smartTag w:uri="urn:schemas-microsoft-com:office:smarttags" w:element="State">
          <w:r>
            <w:rPr>
              <w:szCs w:val="26"/>
            </w:rPr>
            <w:t>Pa.</w:t>
          </w:r>
        </w:smartTag>
      </w:smartTag>
      <w:r>
        <w:rPr>
          <w:szCs w:val="26"/>
        </w:rPr>
        <w:t xml:space="preserve"> Cmwlth. 1990).</w:t>
      </w:r>
    </w:p>
    <w:p w:rsidR="00062229" w:rsidRDefault="00062229" w:rsidP="00062229">
      <w:pPr>
        <w:spacing w:line="240" w:lineRule="auto"/>
        <w:ind w:left="1440" w:right="1440"/>
      </w:pPr>
    </w:p>
    <w:p w:rsidR="00062229" w:rsidRDefault="00062229" w:rsidP="00062229">
      <w:r>
        <w:rPr>
          <w:i/>
        </w:rPr>
        <w:t>PTI</w:t>
      </w:r>
      <w:r>
        <w:t xml:space="preserve"> Slip Op. at 6.  In this instance Verizon, as the complainant, had the burden of proving that the One Communications Companies violated the Public Utility Code, a Commission regulation or a Commission order.  Ultimately, Verizon succeeded in proving that the One Communications Companies’ intrastate switched access rates were unjust and unreasonable in violation of </w:t>
      </w:r>
    </w:p>
    <w:p w:rsidR="00062229" w:rsidRDefault="00062229" w:rsidP="00062229">
      <w:r>
        <w:t>Section 3017(c) of the Code which states:</w:t>
      </w:r>
    </w:p>
    <w:p w:rsidR="00062229" w:rsidRDefault="00062229" w:rsidP="00062229"/>
    <w:p w:rsidR="00062229" w:rsidRPr="0039129D" w:rsidRDefault="00062229" w:rsidP="00062229">
      <w:pPr>
        <w:spacing w:line="240" w:lineRule="auto"/>
        <w:ind w:left="1440" w:right="1440"/>
        <w:rPr>
          <w:b/>
        </w:rPr>
      </w:pPr>
      <w:r w:rsidRPr="00A860D1">
        <w:t>Limitation.—No</w:t>
      </w:r>
      <w:r>
        <w:t xml:space="preserve"> telecommunications carrier providing competitive local exchange telecommunications service may charge access rates higher than those charged by the incumbent local exchange telecommunications company in the same service territory unless such carrier can demonstrate that the higher access rates are cost justified. </w:t>
      </w:r>
      <w:r w:rsidRPr="00A860D1">
        <w:t xml:space="preserve"> </w:t>
      </w:r>
      <w:r w:rsidRPr="00A860D1">
        <w:rPr>
          <w:b/>
        </w:rPr>
        <w:br/>
      </w:r>
    </w:p>
    <w:p w:rsidR="00062229" w:rsidRDefault="00062229" w:rsidP="00062229">
      <w:r>
        <w:rPr>
          <w:i/>
        </w:rPr>
        <w:t>Id.</w:t>
      </w:r>
      <w:r>
        <w:t xml:space="preserve">  Verizon succeeded because the parties stipulated that the One Communications Companies’ intrastate access rates were higher than Verizon’s rates for the same service.  As a result of the stipulation, the burden of coming forth with evidence shifted to the Companies to demonstrate </w:t>
      </w:r>
      <w:r>
        <w:lastRenderedPageBreak/>
        <w:t>that the higher access rates were cost justified.  The respondents were unable to produce cost studies which met the Commission’s standards, which are set forth below:</w:t>
      </w:r>
    </w:p>
    <w:p w:rsidR="00062229" w:rsidRDefault="00062229" w:rsidP="00062229"/>
    <w:p w:rsidR="00062229" w:rsidRPr="00E402CE" w:rsidRDefault="00062229" w:rsidP="00062229">
      <w:pPr>
        <w:spacing w:line="240" w:lineRule="auto"/>
        <w:ind w:left="2160" w:right="1440" w:hanging="720"/>
        <w:rPr>
          <w:szCs w:val="26"/>
        </w:rPr>
      </w:pPr>
      <w:r w:rsidRPr="00E402CE">
        <w:rPr>
          <w:szCs w:val="26"/>
        </w:rPr>
        <w:t>1.</w:t>
      </w:r>
      <w:r w:rsidRPr="00E402CE">
        <w:rPr>
          <w:szCs w:val="26"/>
        </w:rPr>
        <w:tab/>
        <w:t>The “cost justified” standard of Section 3017(c), 66 Pa.C</w:t>
      </w:r>
      <w:r w:rsidR="000A1B2F">
        <w:rPr>
          <w:szCs w:val="26"/>
        </w:rPr>
        <w:t>.</w:t>
      </w:r>
      <w:r w:rsidRPr="00E402CE">
        <w:rPr>
          <w:szCs w:val="26"/>
        </w:rPr>
        <w:t xml:space="preserve">S. </w:t>
      </w:r>
      <w:r w:rsidR="00C43E3E" w:rsidRPr="00E402CE">
        <w:rPr>
          <w:szCs w:val="26"/>
        </w:rPr>
        <w:t>§</w:t>
      </w:r>
      <w:r w:rsidRPr="00E402CE">
        <w:rPr>
          <w:szCs w:val="26"/>
        </w:rPr>
        <w:t xml:space="preserve">3017(c), equates with a “reasonable measure of costs” for a CLEC’s intrastate switched access services.  </w:t>
      </w:r>
    </w:p>
    <w:p w:rsidR="00062229" w:rsidRPr="00E402CE" w:rsidRDefault="00062229" w:rsidP="00062229">
      <w:pPr>
        <w:spacing w:line="240" w:lineRule="auto"/>
        <w:ind w:left="2160" w:right="1440" w:hanging="720"/>
        <w:rPr>
          <w:szCs w:val="26"/>
        </w:rPr>
      </w:pPr>
    </w:p>
    <w:p w:rsidR="00062229" w:rsidRPr="00E402CE" w:rsidRDefault="00062229" w:rsidP="00062229">
      <w:pPr>
        <w:spacing w:line="240" w:lineRule="auto"/>
        <w:ind w:left="2160" w:right="1440" w:hanging="720"/>
        <w:rPr>
          <w:szCs w:val="26"/>
        </w:rPr>
      </w:pPr>
      <w:r w:rsidRPr="00E402CE">
        <w:rPr>
          <w:szCs w:val="26"/>
        </w:rPr>
        <w:t>2.</w:t>
      </w:r>
      <w:r w:rsidRPr="00E402CE">
        <w:rPr>
          <w:szCs w:val="26"/>
        </w:rPr>
        <w:tab/>
        <w:t xml:space="preserve">A reasonable measure of the CLEC’s local loop plant can be included in the CLEC cost </w:t>
      </w:r>
      <w:r>
        <w:rPr>
          <w:szCs w:val="26"/>
        </w:rPr>
        <w:t>studies</w:t>
      </w:r>
      <w:r w:rsidRPr="00E402CE">
        <w:rPr>
          <w:szCs w:val="26"/>
        </w:rPr>
        <w:t xml:space="preserve"> performed for establishing the reasonable measure of costs for its intrastate access services.  </w:t>
      </w:r>
    </w:p>
    <w:p w:rsidR="00062229" w:rsidRPr="00E402CE" w:rsidRDefault="00062229" w:rsidP="00062229">
      <w:pPr>
        <w:spacing w:line="240" w:lineRule="auto"/>
        <w:ind w:left="2160" w:right="1440" w:hanging="720"/>
        <w:rPr>
          <w:szCs w:val="26"/>
        </w:rPr>
      </w:pPr>
    </w:p>
    <w:p w:rsidR="00062229" w:rsidRPr="00E402CE" w:rsidRDefault="00062229" w:rsidP="00062229">
      <w:pPr>
        <w:spacing w:line="240" w:lineRule="auto"/>
        <w:ind w:left="2160" w:right="1440" w:hanging="720"/>
        <w:rPr>
          <w:szCs w:val="26"/>
        </w:rPr>
      </w:pPr>
      <w:r w:rsidRPr="00E402CE">
        <w:rPr>
          <w:szCs w:val="26"/>
        </w:rPr>
        <w:t>3.</w:t>
      </w:r>
      <w:r w:rsidRPr="00E402CE">
        <w:rPr>
          <w:szCs w:val="26"/>
        </w:rPr>
        <w:tab/>
        <w:t xml:space="preserve">Although FDC embedded accounting-revenue requirement cost studies by the CLEC are generally acceptable, consideration should be given to forward-looking economic cost studies that treat the CLEC’s loop costs as joint costs.  In ascertaining the joint loop costs of a CLEC, consideration should be given to whether the CLEC’s loop costs can, in part, be derived from the UNE-Loop (UNE-L) rates that the CLEC pays for leasing loops to its end-user customers from an ILEC or multiple ILECs.  Similarly, in any CLEC cost </w:t>
      </w:r>
      <w:r>
        <w:rPr>
          <w:szCs w:val="26"/>
        </w:rPr>
        <w:t>studies</w:t>
      </w:r>
      <w:r w:rsidRPr="00E402CE">
        <w:rPr>
          <w:szCs w:val="26"/>
        </w:rPr>
        <w:t xml:space="preserve">, there must be a clear and well documented demonstration of how the CLEC recovers joint loop costs from services other than intrastate switched access.  </w:t>
      </w:r>
    </w:p>
    <w:p w:rsidR="00062229" w:rsidRPr="00E402CE" w:rsidRDefault="00062229" w:rsidP="00062229">
      <w:pPr>
        <w:spacing w:line="240" w:lineRule="auto"/>
        <w:ind w:left="2160" w:right="1440" w:hanging="720"/>
        <w:rPr>
          <w:szCs w:val="26"/>
        </w:rPr>
      </w:pPr>
    </w:p>
    <w:p w:rsidR="00062229" w:rsidRPr="00E402CE" w:rsidRDefault="00062229" w:rsidP="00062229">
      <w:pPr>
        <w:spacing w:line="240" w:lineRule="auto"/>
        <w:ind w:left="2160" w:right="1440" w:hanging="720"/>
        <w:rPr>
          <w:szCs w:val="26"/>
        </w:rPr>
      </w:pPr>
      <w:r w:rsidRPr="00E402CE">
        <w:rPr>
          <w:szCs w:val="26"/>
        </w:rPr>
        <w:t>4.</w:t>
      </w:r>
      <w:r w:rsidRPr="00E402CE">
        <w:rPr>
          <w:szCs w:val="26"/>
        </w:rPr>
        <w:tab/>
        <w:t>The cost justification of the ILEC’s intrastate access rates is immaterial in ascertaining the reasonable measure of costs for the CLEC’s intrastate switched carrier access services.  However, ILEC and CLEC intrastate and interstate switched access rates may be used as proxy benchmarks for establishing an appropriate range of just and reasonable intrastate access rates for a particular CLEC.  Rural ILEC intrastate and interstate access rates may play a role in establishing such a range if a particular CLEC operates in rural exchanges of a non-rural ILEC and/or in the service area of a rural ILEC.</w:t>
      </w:r>
    </w:p>
    <w:p w:rsidR="00062229" w:rsidRPr="00E402CE" w:rsidRDefault="00062229" w:rsidP="00062229">
      <w:pPr>
        <w:spacing w:line="240" w:lineRule="auto"/>
        <w:ind w:left="2160" w:right="1440" w:hanging="720"/>
        <w:rPr>
          <w:szCs w:val="26"/>
        </w:rPr>
      </w:pPr>
    </w:p>
    <w:p w:rsidR="00062229" w:rsidRPr="00E402CE" w:rsidRDefault="00062229" w:rsidP="00062229">
      <w:pPr>
        <w:spacing w:line="240" w:lineRule="auto"/>
        <w:ind w:left="2160" w:right="1440" w:hanging="720"/>
        <w:rPr>
          <w:szCs w:val="26"/>
        </w:rPr>
      </w:pPr>
      <w:r w:rsidRPr="00E402CE">
        <w:rPr>
          <w:szCs w:val="26"/>
        </w:rPr>
        <w:t>5.</w:t>
      </w:r>
      <w:r w:rsidRPr="00E402CE">
        <w:rPr>
          <w:szCs w:val="26"/>
        </w:rPr>
        <w:tab/>
        <w:t>There must be appropriate consideration given to whether the CLEC’s interstate carrier access charges influence or interact in any fashion with the reasonable measure of cost and the setting of the CLEC’s intrastate carrier access charges.</w:t>
      </w:r>
    </w:p>
    <w:p w:rsidR="00062229" w:rsidRPr="00E402CE" w:rsidRDefault="00062229" w:rsidP="00062229">
      <w:pPr>
        <w:spacing w:line="240" w:lineRule="auto"/>
        <w:ind w:left="2160" w:right="1440" w:hanging="720"/>
        <w:rPr>
          <w:szCs w:val="26"/>
        </w:rPr>
      </w:pPr>
    </w:p>
    <w:p w:rsidR="00062229" w:rsidRDefault="00062229" w:rsidP="00062229">
      <w:pPr>
        <w:spacing w:line="240" w:lineRule="auto"/>
        <w:ind w:left="2160" w:right="1440" w:hanging="720"/>
        <w:rPr>
          <w:szCs w:val="26"/>
        </w:rPr>
      </w:pPr>
      <w:r w:rsidRPr="00E402CE">
        <w:rPr>
          <w:szCs w:val="26"/>
        </w:rPr>
        <w:lastRenderedPageBreak/>
        <w:t>6.</w:t>
      </w:r>
      <w:r w:rsidRPr="00E402CE">
        <w:rPr>
          <w:szCs w:val="26"/>
        </w:rPr>
        <w:tab/>
        <w:t xml:space="preserve">The issue of rate refunds, if any, shall be adjudicated under 66 </w:t>
      </w:r>
      <w:smartTag w:uri="urn:schemas-microsoft-com:office:smarttags" w:element="place">
        <w:smartTag w:uri="urn:schemas-microsoft-com:office:smarttags" w:element="State">
          <w:r w:rsidRPr="00E402CE">
            <w:rPr>
              <w:szCs w:val="26"/>
            </w:rPr>
            <w:t>Pa.</w:t>
          </w:r>
        </w:smartTag>
      </w:smartTag>
      <w:r w:rsidRPr="00E402CE">
        <w:rPr>
          <w:szCs w:val="26"/>
        </w:rPr>
        <w:t xml:space="preserve"> C.S. § 1312 regarding the determination of unjust and unreasonable rates and the issuance of refunds together with interest at the legal rate.</w:t>
      </w:r>
    </w:p>
    <w:p w:rsidR="00062229" w:rsidRDefault="00062229" w:rsidP="00062229">
      <w:pPr>
        <w:rPr>
          <w:szCs w:val="26"/>
        </w:rPr>
      </w:pPr>
    </w:p>
    <w:p w:rsidR="00062229" w:rsidRDefault="00062229" w:rsidP="00062229">
      <w:r>
        <w:rPr>
          <w:i/>
          <w:szCs w:val="26"/>
        </w:rPr>
        <w:t>PTI</w:t>
      </w:r>
      <w:r>
        <w:rPr>
          <w:szCs w:val="26"/>
        </w:rPr>
        <w:t xml:space="preserve"> at 17-18.  What follows below is an analysis of the record for each of the six standards listed above insofar as they are applicable to this case.  Because these standards did not exist at the time the case was litigated and briefed, the main and reply briefs did not follow the format set forth in the standards.  Not surprisingly, the arguments covered some of the points in the standards, and some of the parties’ positions were rendered moot or reduced by the Commission’s ruling.  In an effort to focus me and the parties on these standards, I directed the parties to file one round of supplemental briefs addressing each of the six standards.  No one objected to the application of the standards to the record or arguments previously prepared.  Although the supplemental briefs repeated some of arguments from the main and reply briefs, the parties did a good job of concentrating on the Commission’s standards.  </w:t>
      </w:r>
      <w:r>
        <w:t>I also emphasize that any argument not discussed below should be deemed denied.</w:t>
      </w:r>
    </w:p>
    <w:p w:rsidR="00062229" w:rsidRDefault="00062229" w:rsidP="00062229"/>
    <w:p w:rsidR="00062229" w:rsidRPr="00E402CE" w:rsidRDefault="00062229" w:rsidP="00062229">
      <w:pPr>
        <w:spacing w:line="240" w:lineRule="auto"/>
        <w:ind w:left="720" w:hanging="720"/>
        <w:rPr>
          <w:szCs w:val="26"/>
        </w:rPr>
      </w:pPr>
      <w:r>
        <w:t>B.</w:t>
      </w:r>
      <w:r>
        <w:tab/>
      </w:r>
      <w:r w:rsidRPr="00E402CE">
        <w:rPr>
          <w:szCs w:val="26"/>
        </w:rPr>
        <w:t>THE “COST JUSTIFIED” ST</w:t>
      </w:r>
      <w:r w:rsidR="00C43E3E">
        <w:rPr>
          <w:szCs w:val="26"/>
        </w:rPr>
        <w:t>ANDARD OF SECTION 3017(C), 66 Pa</w:t>
      </w:r>
      <w:r w:rsidRPr="00E402CE">
        <w:rPr>
          <w:szCs w:val="26"/>
        </w:rPr>
        <w:t>.C</w:t>
      </w:r>
      <w:r w:rsidR="00C43E3E">
        <w:rPr>
          <w:szCs w:val="26"/>
        </w:rPr>
        <w:t>.</w:t>
      </w:r>
      <w:r w:rsidRPr="00E402CE">
        <w:rPr>
          <w:szCs w:val="26"/>
        </w:rPr>
        <w:t xml:space="preserve">S. </w:t>
      </w:r>
      <w:r w:rsidR="00C43E3E" w:rsidRPr="00E402CE">
        <w:rPr>
          <w:szCs w:val="26"/>
        </w:rPr>
        <w:t>§</w:t>
      </w:r>
      <w:r w:rsidRPr="00E402CE">
        <w:rPr>
          <w:i/>
          <w:iCs/>
          <w:szCs w:val="26"/>
        </w:rPr>
        <w:t xml:space="preserve"> </w:t>
      </w:r>
      <w:r w:rsidRPr="00E402CE">
        <w:rPr>
          <w:szCs w:val="26"/>
        </w:rPr>
        <w:t xml:space="preserve">3017(C), EQUATES WITH A “REASONABLE MEASURE OF COSTS” FOR A CLEC’S INTRASTATE SWITCHED ACCESS SERVICES.  </w:t>
      </w:r>
    </w:p>
    <w:p w:rsidR="00062229" w:rsidRDefault="00062229" w:rsidP="00062229"/>
    <w:p w:rsidR="00062229" w:rsidRDefault="00062229" w:rsidP="00062229">
      <w:r>
        <w:tab/>
      </w:r>
      <w:r>
        <w:tab/>
        <w:t>The parties did not disagree with this standard.  They did disagree about its application to the facts.  The obvious dichotomy was Verizon’s position that the One Communications Companies’ cost studies (one for each company) were inadmissible, fundamentally flawed and unreliable</w:t>
      </w:r>
      <w:r w:rsidR="00C43E3E">
        <w:t xml:space="preserve"> (</w:t>
      </w:r>
      <w:r>
        <w:t>VZ S.B. at 3-</w:t>
      </w:r>
      <w:r w:rsidR="00C43E3E">
        <w:t>5) w</w:t>
      </w:r>
      <w:r>
        <w:t>hile the One Communications Companies argued that their cost studies contained inputs directly and causally related to intrastate switched access service and that their cost allocations were reasonable.  OC S.B. at 2-7.  Having reviewed the record, the briefs and the law, I find that I generally agree with almost all of the Verizon positions.</w:t>
      </w:r>
    </w:p>
    <w:p w:rsidR="00062229" w:rsidRDefault="00062229" w:rsidP="00062229"/>
    <w:p w:rsidR="00062229" w:rsidRDefault="00062229" w:rsidP="00062229">
      <w:r>
        <w:tab/>
      </w:r>
      <w:r>
        <w:tab/>
        <w:t xml:space="preserve">The One Communications Companies began their argument by emphasizing that Section 3012 defined “Switched access service” to include “common  terminating, switching and trunking facilities” and “local switching and common and dedicated transport” facilities and “the </w:t>
      </w:r>
      <w:r>
        <w:lastRenderedPageBreak/>
        <w:t>carrier charge.”  66 Pa. C.S. § 3012.  OC S.B. at 3.  According to the One Communications Companies their expert witness, Mr. Parrish, used actual cost data as part of his fully distributed cost methodology compiled from the Companies’ records.  The One Communications Companies listed various expenses which were allegedly directly and indirectly attributable to access service.  In addition, the cost studies included various capital cost items.  OC S.B. at 3-5.</w:t>
      </w:r>
    </w:p>
    <w:p w:rsidR="00062229" w:rsidRDefault="00062229" w:rsidP="00062229"/>
    <w:p w:rsidR="00062229" w:rsidRDefault="00062229" w:rsidP="00062229">
      <w:r>
        <w:tab/>
      </w:r>
      <w:r>
        <w:tab/>
        <w:t>The One Communications Companies continued by asserting that Mr. Parrish applied agency guidelines and industry accepted allocation formulas to assign both direct and indirect costs.  Assignment of costs was based on usage or similar measures, and allocation of general and administrative costs was done in direct proportion to directly and relatively assigned costs.  The allocation of each category of expenses and capital costs was demonstrated in the various schedules which accompanied Mr. Parrish’s testimony.  The Companies posited that his chosen methodology led to an accurate calculation of service-specific costs which met the required standard.  OC S.B. at 5-7.</w:t>
      </w:r>
    </w:p>
    <w:p w:rsidR="00062229" w:rsidRDefault="00062229" w:rsidP="00062229"/>
    <w:p w:rsidR="00062229" w:rsidRDefault="00062229" w:rsidP="00062229">
      <w:r>
        <w:tab/>
      </w:r>
      <w:r>
        <w:tab/>
        <w:t xml:space="preserve">Verizon began its </w:t>
      </w:r>
      <w:r w:rsidR="00C43E3E">
        <w:t>challenge</w:t>
      </w:r>
      <w:r>
        <w:t xml:space="preserve"> on the One Communications Companies’ cost studies by asking me to reconsider my initial ruling to admit them into the record.  Verizon pointed out that Mr. Parrish testified on cross-examination that he had no personal knowledge of the inputs for his studies.  The opinions he derived from the alleged facts in his studies were based on information which was provided by company employees who had not appeared in the case and which had not been personally verified by him.  In addition, Mr. Parrish could not explain how or why the One Communications Companies’ responses to interrogatories contradicted key facts which were used in his studies.  Verizon then renewed its argument that the studies were based on unreliable hearsay and</w:t>
      </w:r>
      <w:r w:rsidR="00C43E3E">
        <w:t xml:space="preserve"> were</w:t>
      </w:r>
      <w:r>
        <w:t xml:space="preserve"> inadmissible.  In the alternative, it asserted that, if the studies were admissible, they had been so badly discredited that they should be given no weight, and that the One Communications Companies had failed to carry their burden of proof.  Verizon concluded the Companies had agreed with the alternative position to the extent that the Companies believed the studies were admissible and that any criticism went to the weight of the evidence.  VZ M.B. at 18-23.  VZ R.B. at 5-8.   VZ S.B. at 3-5.  OC R.B. at 12.</w:t>
      </w:r>
    </w:p>
    <w:p w:rsidR="00062229" w:rsidRDefault="00062229" w:rsidP="00062229"/>
    <w:p w:rsidR="00C43E3E" w:rsidRDefault="00C43E3E" w:rsidP="00062229"/>
    <w:p w:rsidR="00062229" w:rsidRDefault="00062229" w:rsidP="00062229">
      <w:r>
        <w:lastRenderedPageBreak/>
        <w:tab/>
      </w:r>
      <w:r>
        <w:tab/>
        <w:t>At the conclusion of the January 16, 2008 hearing, the One Communications Companies moved for the admission of OC St. 1.0 and it</w:t>
      </w:r>
      <w:r w:rsidR="00C43E3E">
        <w:t>s</w:t>
      </w:r>
      <w:r>
        <w:t xml:space="preserve"> attached Exhibits and OC St. Nos. 2.0 and 3.0 into the record.  All of the evidence was sponsored by Mr. Parrish and included an access cost study for each Company.  Tr. 252-253, 294.  Verizon objected on the basis that the studies were based entirely on hearsay from One Communications Companies employees who had not presented testimony in this case.  Verizon further noted: 1) that Mr. Parrish had not accessed the Companies’ systems, accounting records or books to verify any of the data supplied to him, 2) that Mr. Parrish could not explain why the One Communications Companies in response to discovery requests provided information from their files which contradicted key facts in his studies and 3) that he could not verify the accuracy of the inputs to his studies on the day of hearing.  Tr. 294-296.  I overruled the objection based on the fact that Mr. Parrish testified as an expert witness.  As guidance for my decision, I used the Pennsylvania Rules of Evidence regarding expert testimony which permitted experts to rely on the kind of data provided to him by the Companies’ employees.  Pa.R.E. 703. Tr. 296-297.  Having reviewed </w:t>
      </w:r>
      <w:r w:rsidR="00016A77">
        <w:t xml:space="preserve">the </w:t>
      </w:r>
      <w:r>
        <w:t>transcript of the objection, the rule of evidence and the request for reconsideration of the ruling, I am not inclined to reverse the decision to admit the cost studies.  The request to declare the cost studies inadmissible is denied.</w:t>
      </w:r>
    </w:p>
    <w:p w:rsidR="00062229" w:rsidRDefault="00062229" w:rsidP="00062229"/>
    <w:p w:rsidR="00062229" w:rsidRDefault="00062229" w:rsidP="00062229">
      <w:r>
        <w:tab/>
      </w:r>
      <w:r>
        <w:tab/>
        <w:t xml:space="preserve">Having found the cost studies admissible, I hasten to add that I agree with Verizon’s alternative position that the studies were fundamentally flawed and unreliable. I also agree that, by the time cross-examination was concluded, the cost studies had been so badly discredited that they should be given no weight, and that the One Communications Companies had failed to meet the “cost justified” standard in the statute or the six guidelines in the </w:t>
      </w:r>
      <w:r>
        <w:rPr>
          <w:i/>
        </w:rPr>
        <w:t>PTI</w:t>
      </w:r>
      <w:r>
        <w:t xml:space="preserve"> and </w:t>
      </w:r>
      <w:r>
        <w:rPr>
          <w:i/>
        </w:rPr>
        <w:t>CTSI</w:t>
      </w:r>
      <w:r>
        <w:t xml:space="preserve"> cases.  66 Pa. C.S. § 3017(c).  My confidence in the reliability of the cost studies began to erode when Mr. Parrish testified that he relied on data provided by the Companies’ employees and had </w:t>
      </w:r>
      <w:r>
        <w:rPr>
          <w:u w:val="single"/>
        </w:rPr>
        <w:t>not</w:t>
      </w:r>
      <w:r>
        <w:t xml:space="preserve"> attempted to verify it.  Standing alone these facts would not have been sufficient to undermine the validity of the studies.  However, his inability to explain the Companies’ discovery responses which contradicted the data in his studies was an admission that the studies were inaccurate.  He was not only presented as an expert witness, but he was also the only witness.  He and the Companies knew or should have known that the discovery responses contradicted the data in the studies.  At a minimum he should have returned to the Companies </w:t>
      </w:r>
      <w:r>
        <w:lastRenderedPageBreak/>
        <w:t xml:space="preserve">and checked the discovery responses and the data in his studies against the actual records </w:t>
      </w:r>
      <w:r>
        <w:rPr>
          <w:u w:val="single"/>
        </w:rPr>
        <w:t>before the hearing</w:t>
      </w:r>
      <w:r>
        <w:t xml:space="preserve">.  Perhaps then he would have been prepared to present a credible explanation in defense of his studies, instead of none at all.  </w:t>
      </w:r>
    </w:p>
    <w:p w:rsidR="00062229" w:rsidRDefault="00062229" w:rsidP="00062229"/>
    <w:p w:rsidR="00062229" w:rsidRDefault="00062229" w:rsidP="00062229">
      <w:r>
        <w:tab/>
      </w:r>
      <w:r>
        <w:tab/>
        <w:t>There is another issue that neither of the parties addressed.  The tariffed rates in question for Choice One and CTC became effective in 2004.  (It is not clear when the rates for FiberNet became effective.)  In order to demonstrate compliance with the statute, Mr. Parrish used 2006 data</w:t>
      </w:r>
      <w:r w:rsidRPr="00215A2D">
        <w:t xml:space="preserve"> </w:t>
      </w:r>
      <w:r>
        <w:t xml:space="preserve">from each company to prepare a cost study which was presented at a January 2008 hearing.  OC St. 1.0 at 5.  While I am willing to accept the 2006 data as likely to be the most recent available, normally a new rate is justified based on information available at the time of filing.  There is no 2004 data in the record.  The issue of the appropriate time period for data used for cost justification was raised in the </w:t>
      </w:r>
      <w:r>
        <w:rPr>
          <w:i/>
        </w:rPr>
        <w:t>CTSI</w:t>
      </w:r>
      <w:r>
        <w:t xml:space="preserve"> case as follows:</w:t>
      </w:r>
    </w:p>
    <w:p w:rsidR="00062229" w:rsidRDefault="00062229" w:rsidP="00062229"/>
    <w:p w:rsidR="00062229" w:rsidRDefault="00062229" w:rsidP="00062229">
      <w:pPr>
        <w:spacing w:line="240" w:lineRule="auto"/>
        <w:ind w:left="1440" w:right="1440"/>
      </w:pPr>
      <w:r>
        <w:t xml:space="preserve">(3) whether CLEC access charges that are higher than the ILEC’s access charges must be shown to be “cost justified” at the time the tariffed rates are filed with the Commission or whether a CLEC may wait for the rate to be challenged before having to demonstrate that the rates are “cost justified.” R.D. at 13.  </w:t>
      </w:r>
    </w:p>
    <w:p w:rsidR="00062229" w:rsidRPr="00CA0D62" w:rsidRDefault="00062229" w:rsidP="00062229"/>
    <w:p w:rsidR="00062229" w:rsidRDefault="00062229" w:rsidP="00062229">
      <w:r>
        <w:rPr>
          <w:i/>
        </w:rPr>
        <w:t>Id</w:t>
      </w:r>
      <w:r>
        <w:t>. at 3-4.  Unfortunately, the Commission did not answer the question.  Under these circumstances I am reluctant to rule that using 2006 data was unacceptable per se.  However, I admit that I would have been more comfortable with 2004 data which would have answered the question of, “What were the Companies thinking at the time they made the decisions to set the rates?</w:t>
      </w:r>
      <w:r w:rsidR="00016A77">
        <w:t xml:space="preserve"> </w:t>
      </w:r>
      <w:r>
        <w:t xml:space="preserve">”I also note that there does not appear to be an applicable regulation on the subject.  In the </w:t>
      </w:r>
      <w:r>
        <w:rPr>
          <w:i/>
        </w:rPr>
        <w:t>PTI</w:t>
      </w:r>
      <w:r>
        <w:t xml:space="preserve"> case, the Commission referred to CLEC cost support requirements found in the regulations.  52 Pa. Code § 53.59(e).  </w:t>
      </w:r>
      <w:r>
        <w:rPr>
          <w:i/>
        </w:rPr>
        <w:t>PTI</w:t>
      </w:r>
      <w:r>
        <w:t xml:space="preserve"> at 11.  This regulation is not applicable because it only gives CLECs the obligation to produce documentary support at the request of the Commission.  </w:t>
      </w:r>
      <w:r>
        <w:rPr>
          <w:i/>
        </w:rPr>
        <w:t>Id</w:t>
      </w:r>
      <w:r>
        <w:t xml:space="preserve">.  In this instance the documentation was produced by the One Communications Companies in response to the shifting burden of production in a complaint case.  The ultimate result was that the Companies produced faulty cost studies based on 2006 data which failed to credibly support their existing rates.  </w:t>
      </w:r>
    </w:p>
    <w:p w:rsidR="00062229" w:rsidRPr="00223BB6" w:rsidRDefault="00062229" w:rsidP="00062229"/>
    <w:p w:rsidR="00062229" w:rsidRDefault="00062229" w:rsidP="00062229">
      <w:r>
        <w:lastRenderedPageBreak/>
        <w:tab/>
      </w:r>
      <w:r>
        <w:tab/>
        <w:t>The above analysis is only the start of many valid criticisms of the studies.  Those  other problems will be set forth in more detail below.</w:t>
      </w:r>
    </w:p>
    <w:p w:rsidR="00062229" w:rsidRDefault="00062229" w:rsidP="00062229"/>
    <w:p w:rsidR="00062229" w:rsidRDefault="00062229" w:rsidP="00062229">
      <w:pPr>
        <w:spacing w:line="240" w:lineRule="auto"/>
        <w:ind w:left="720" w:hanging="720"/>
      </w:pPr>
      <w:r>
        <w:t>C.</w:t>
      </w:r>
      <w:r>
        <w:tab/>
      </w:r>
      <w:r w:rsidRPr="00E402CE">
        <w:rPr>
          <w:szCs w:val="26"/>
        </w:rPr>
        <w:t xml:space="preserve">A REASONABLE MEASURE OF THE CLEC’S LOCAL LOOP PLANT CAN BE INCLUDED IN THE CLEC COST </w:t>
      </w:r>
      <w:r>
        <w:rPr>
          <w:szCs w:val="26"/>
        </w:rPr>
        <w:t>STUDIES</w:t>
      </w:r>
      <w:r w:rsidRPr="00E402CE">
        <w:rPr>
          <w:szCs w:val="26"/>
        </w:rPr>
        <w:t xml:space="preserve"> PERFORMED FOR ESTABLISHING THE REASONABLE MEASURE OF COSTS FOR ITS INTRASTATE ACCESS SERVICES.  </w:t>
      </w:r>
    </w:p>
    <w:p w:rsidR="00062229" w:rsidRPr="00837B99" w:rsidRDefault="00062229" w:rsidP="00062229"/>
    <w:p w:rsidR="00062229" w:rsidRDefault="00062229" w:rsidP="00062229">
      <w:r>
        <w:tab/>
      </w:r>
      <w:r>
        <w:tab/>
        <w:t xml:space="preserve">Initially, Verizon took the position that local loop costs should not be included in the costs of switched access service because loops were not a traffic sensitive cost and were not affected by switched access.  VZ M.B. at 38-42.  However, after the Commission promulgated the </w:t>
      </w:r>
      <w:r>
        <w:rPr>
          <w:i/>
        </w:rPr>
        <w:t>PTI</w:t>
      </w:r>
      <w:r>
        <w:t xml:space="preserve"> and </w:t>
      </w:r>
      <w:r>
        <w:rPr>
          <w:i/>
        </w:rPr>
        <w:t>CTSI</w:t>
      </w:r>
      <w:r>
        <w:t xml:space="preserve"> decisions, Verizon argued that the Companies’ cost methodology for determining loop costs attributable to switched access service was flawed.  Basically, Verizon asserted that there were three major issues associated with the One Communications Companies’ calculation of loop costs to be included in the cost of rendering intrastate access charges:  Verizon’s first problem was the Companies’ inclusion of allegedly unrecovered </w:t>
      </w:r>
      <w:r w:rsidRPr="003E319E">
        <w:rPr>
          <w:u w:val="single"/>
        </w:rPr>
        <w:t>interstate</w:t>
      </w:r>
      <w:r>
        <w:t xml:space="preserve"> access service costs as part of the loop cost calculation.  The second problem was assigning non-traffic sensitive costs on the basis of minutes of use.  The third problem was the exclusion of certain local loop MOU from the allocation formula.  VZ S.B. at 10-14.</w:t>
      </w:r>
    </w:p>
    <w:p w:rsidR="00062229" w:rsidRDefault="00062229" w:rsidP="00062229"/>
    <w:p w:rsidR="00062229" w:rsidRDefault="00062229" w:rsidP="00062229">
      <w:r>
        <w:tab/>
      </w:r>
      <w:r>
        <w:tab/>
        <w:t xml:space="preserve">The One Communications Companies contended that Verizon’s opposition to the inclusion of loop costs in the intrastate access service cost study was refuted by the Commission decisions in the </w:t>
      </w:r>
      <w:r>
        <w:rPr>
          <w:i/>
        </w:rPr>
        <w:t>PTI</w:t>
      </w:r>
      <w:r>
        <w:t xml:space="preserve"> and </w:t>
      </w:r>
      <w:r>
        <w:rPr>
          <w:i/>
        </w:rPr>
        <w:t>CTSI</w:t>
      </w:r>
      <w:r>
        <w:t xml:space="preserve"> cases.  The Companies continued that Mr. Parrish allocated local loop costs in accordance with</w:t>
      </w:r>
      <w:r w:rsidRPr="00937FF9">
        <w:t xml:space="preserve"> </w:t>
      </w:r>
      <w:r>
        <w:t xml:space="preserve">F.C.C. policy and this Commission’s acceptance of the validity of relative use measurements.  The Companies claimed that the cost studies did not include terminating local minutes in the MOU formula because the F.C.C. precluded recovery of local loop costs from local termination services.  While they acknowledged that there was more than one way to allocate loop costs, they believed that using MOU was the preferred methodology.  The Companies rejected the use of forward-looking methodologies as hypothetical and less reliable than actual data.  They attributed the inclusion of </w:t>
      </w:r>
      <w:r>
        <w:rPr>
          <w:u w:val="single"/>
        </w:rPr>
        <w:t>interstate</w:t>
      </w:r>
      <w:r>
        <w:t xml:space="preserve"> access costs in the calculation of intrastate access charges to the F.C.C. cap on </w:t>
      </w:r>
      <w:r>
        <w:rPr>
          <w:u w:val="single"/>
        </w:rPr>
        <w:t>interstate</w:t>
      </w:r>
      <w:r>
        <w:t xml:space="preserve"> access rates and the F.C.C.’s alleged dictate to recover the residual </w:t>
      </w:r>
      <w:r>
        <w:rPr>
          <w:u w:val="single"/>
        </w:rPr>
        <w:t>interstate</w:t>
      </w:r>
      <w:r>
        <w:t xml:space="preserve"> charges from the intrastate jurisdiction.  The Companies </w:t>
      </w:r>
      <w:r>
        <w:lastRenderedPageBreak/>
        <w:t xml:space="preserve">also believed that Section 3012 was broad enough to allow inclusion of the </w:t>
      </w:r>
      <w:r>
        <w:rPr>
          <w:u w:val="single"/>
        </w:rPr>
        <w:t>interstate</w:t>
      </w:r>
      <w:r>
        <w:t xml:space="preserve"> residual, particularly when both intrastate and </w:t>
      </w:r>
      <w:r>
        <w:rPr>
          <w:u w:val="single"/>
        </w:rPr>
        <w:t>interstate</w:t>
      </w:r>
      <w:r>
        <w:t xml:space="preserve"> access functionality was identical in relationship to the loop.  OC M.B. at 25-28.  OC R.B. at 28</w:t>
      </w:r>
      <w:r>
        <w:noBreakHyphen/>
        <w:t>29.  OC S.B. at 7-10.</w:t>
      </w:r>
    </w:p>
    <w:p w:rsidR="00062229" w:rsidRDefault="00062229" w:rsidP="00062229"/>
    <w:p w:rsidR="00062229" w:rsidRDefault="00062229" w:rsidP="00062229">
      <w:r>
        <w:tab/>
      </w:r>
      <w:r>
        <w:tab/>
        <w:t xml:space="preserve">The One Communications Companies denied Verizon’s premise that </w:t>
      </w:r>
      <w:r>
        <w:rPr>
          <w:u w:val="single"/>
        </w:rPr>
        <w:t>interstate</w:t>
      </w:r>
      <w:r>
        <w:t xml:space="preserve"> residual costs were not related to intrastate access services.  The Companies noted that Verizon witnesses conceded that there was no difference between intrastate and </w:t>
      </w:r>
      <w:r>
        <w:rPr>
          <w:u w:val="single"/>
        </w:rPr>
        <w:t>interstate</w:t>
      </w:r>
      <w:r>
        <w:t xml:space="preserve"> access service from an engineering prospective.  The respondents contended that including the </w:t>
      </w:r>
      <w:r>
        <w:rPr>
          <w:u w:val="single"/>
        </w:rPr>
        <w:t>interstate</w:t>
      </w:r>
      <w:r>
        <w:t xml:space="preserve"> costs was entirely consistent with a Fully Distributed Cost (FDC) methodology.  Any shortfall due to the F.C.C. cap came from the same class of service provided by the Companies to all in-state toll carriers.  The One Communications Companies determined that they should collect that shortfall from same customer class.  The Companies dismissed Verizon’s argument that the respondents should use the End User Common Line (EUCL) charge to offset any </w:t>
      </w:r>
      <w:r>
        <w:rPr>
          <w:u w:val="single"/>
        </w:rPr>
        <w:t>interstate</w:t>
      </w:r>
      <w:r>
        <w:t xml:space="preserve"> shortfall.  The</w:t>
      </w:r>
      <w:r w:rsidRPr="00E92CFF">
        <w:t xml:space="preserve"> </w:t>
      </w:r>
      <w:r>
        <w:t xml:space="preserve">One Communications Companies claimed, even if the </w:t>
      </w:r>
      <w:r>
        <w:rPr>
          <w:u w:val="single"/>
        </w:rPr>
        <w:t>interstate</w:t>
      </w:r>
      <w:r>
        <w:t xml:space="preserve"> shortfall was collected through the EUCL, it would create a corresponding need for cost recovery of a similar amount from local loops  and, ultimately, local service rates.  The Companies posited that access costs were attributable to toll carriers, but the Verizon reconfiguration would flow those costs to the end users.  Citing the F.C.C., the respondents asserted that CLECs could flow the residual through into intrastate access rates.  </w:t>
      </w:r>
      <w:r>
        <w:rPr>
          <w:i/>
          <w:iCs/>
          <w:noProof/>
        </w:rPr>
        <w:t>Access Charge Reform: Reform of Access Charges Imposed by Competitive Local Exchange Carriers</w:t>
      </w:r>
      <w:r>
        <w:rPr>
          <w:noProof/>
        </w:rPr>
        <w:t>, Seventh Report and Order and Further Notice of Proposed Rulemaking, 16 FCC Rcd 9923, ¶ 39 (2001) (</w:t>
      </w:r>
      <w:r>
        <w:rPr>
          <w:i/>
          <w:noProof/>
        </w:rPr>
        <w:t>Seventh R&amp;O</w:t>
      </w:r>
      <w:r>
        <w:rPr>
          <w:noProof/>
        </w:rPr>
        <w:t>).</w:t>
      </w:r>
      <w:r>
        <w:t xml:space="preserve">  OC R.B. at 29-31.</w:t>
      </w:r>
    </w:p>
    <w:p w:rsidR="00062229" w:rsidRDefault="00062229" w:rsidP="00062229"/>
    <w:p w:rsidR="00062229" w:rsidRDefault="00062229" w:rsidP="00062229">
      <w:r>
        <w:tab/>
      </w:r>
      <w:r>
        <w:tab/>
        <w:t>The One Communications Companies repeated their rejection of Verizon’s argument that loop costs were not part of the cost of providing switched access service.  The Companies contended that switched access service was an end-to-end communications service which relied on common network facilities and the local loop.  The respondents conceded that the cost of the local loop did not vary with usage, but emphasized: 1) that the Public Utility Code included common network and loops in the definition of switched access service (citing 66 Pa. C.S. § 3012), 2) that the Companies’ tariffs expressly notified the interexchange carriers that loop costs were included in the rate and 3) that, as a result, it was appropriate to include these costs in the cost studies.  OC R.B. at 31-34.</w:t>
      </w:r>
    </w:p>
    <w:p w:rsidR="00062229" w:rsidRDefault="00062229" w:rsidP="00062229">
      <w:r>
        <w:lastRenderedPageBreak/>
        <w:tab/>
      </w:r>
      <w:r>
        <w:tab/>
        <w:t xml:space="preserve">Previously in this decision I set forth Section 3017(c) of the Public Utility Code.  That Section ends with the following words, “. . . unless such carrier can demonstrate that the higher [intrastate] access rates are cost justified.”  I added the bracketed insertion to emphasize the subject of the statute and this case.  I find that the attempt by the One Communications Companies to recover </w:t>
      </w:r>
      <w:r>
        <w:rPr>
          <w:u w:val="single"/>
        </w:rPr>
        <w:t>interstate</w:t>
      </w:r>
      <w:r>
        <w:t xml:space="preserve"> rate shortfalls to be contra-definitional to the statute.  Simply put:  the direction of the Legislature to this Commission to identify intrastate costs cannot include </w:t>
      </w:r>
      <w:r>
        <w:rPr>
          <w:u w:val="single"/>
        </w:rPr>
        <w:t>interstate</w:t>
      </w:r>
      <w:r>
        <w:t xml:space="preserve"> rate shortfalls no matter what kind of cost study the CLEC uses.  The validity of my evaluation can be demonstrated with the following example:  </w:t>
      </w:r>
    </w:p>
    <w:p w:rsidR="00062229" w:rsidRDefault="00062229" w:rsidP="00062229"/>
    <w:p w:rsidR="00062229" w:rsidRDefault="00062229" w:rsidP="00062229">
      <w:r>
        <w:t xml:space="preserve">Assume there is a candy maker who sells two products: gum balls and chocolate bars.  Producing a gum ball costs 5 cents and producing a chocolate bar costs 10 cents.  Every day the candy maker sells exactly one gum ball and one candy bar.  If he desires a 20% rate of return, he will charge 6 cents each for gum balls and 12 cents each for chocolate bars.  </w:t>
      </w:r>
    </w:p>
    <w:p w:rsidR="00062229" w:rsidRDefault="00062229" w:rsidP="00062229"/>
    <w:p w:rsidR="00062229" w:rsidRDefault="00062229" w:rsidP="00062229">
      <w:r>
        <w:t>Rate of Return = (Final Value – Initial Value) / Initial Value</w:t>
      </w:r>
    </w:p>
    <w:p w:rsidR="00062229" w:rsidRDefault="00062229" w:rsidP="00062229"/>
    <w:p w:rsidR="00062229" w:rsidRDefault="00062229" w:rsidP="00062229">
      <w:r>
        <w:t>.2 = (((1 x 6)+(1 x 12)) – ((1 x 5)+(1 x 10)))/((1 x 5)+(1 x 10))</w:t>
      </w:r>
    </w:p>
    <w:p w:rsidR="00062229" w:rsidRDefault="00062229" w:rsidP="00062229"/>
    <w:p w:rsidR="00062229" w:rsidRDefault="00062229" w:rsidP="00062229">
      <w:r>
        <w:t xml:space="preserve">The government steps in and decides to regulate the cost of chocolate bars.  It mandates that the maximum price that can be charged for a chocolate bar is 11 cents.  Now to realize that same 20% rate of return the candy maker must increase the price of gum balls to 7 cents.  </w:t>
      </w:r>
    </w:p>
    <w:p w:rsidR="00062229" w:rsidRDefault="00062229" w:rsidP="00062229"/>
    <w:p w:rsidR="00062229" w:rsidRDefault="00062229" w:rsidP="00062229">
      <w:r>
        <w:t>.2 = (((1 x 7)+(1 x 11)) – ((1 x 5)+(1 x 10)))/((1 x 5)+(1 x 10))</w:t>
      </w:r>
    </w:p>
    <w:p w:rsidR="00062229" w:rsidRDefault="00062229" w:rsidP="00062229"/>
    <w:p w:rsidR="00062229" w:rsidRDefault="00062229" w:rsidP="00062229">
      <w:r>
        <w:t xml:space="preserve">The point is that his </w:t>
      </w:r>
      <w:r w:rsidRPr="00AE39CB">
        <w:rPr>
          <w:b/>
        </w:rPr>
        <w:t>cost</w:t>
      </w:r>
      <w:r>
        <w:t xml:space="preserve"> for gum balls did not change.  They still </w:t>
      </w:r>
      <w:r w:rsidRPr="00AE39CB">
        <w:rPr>
          <w:b/>
        </w:rPr>
        <w:t>cost</w:t>
      </w:r>
      <w:r>
        <w:t xml:space="preserve"> 5 cents.  </w:t>
      </w:r>
    </w:p>
    <w:p w:rsidR="00062229" w:rsidRDefault="00062229" w:rsidP="00062229"/>
    <w:p w:rsidR="00062229" w:rsidRDefault="00062229" w:rsidP="00062229">
      <w:r>
        <w:t xml:space="preserve">The same logic is applicable to the One Communications Companies’ attempt to include </w:t>
      </w:r>
      <w:r w:rsidRPr="002134F2">
        <w:rPr>
          <w:u w:val="single"/>
        </w:rPr>
        <w:t>interstate</w:t>
      </w:r>
      <w:r>
        <w:t xml:space="preserve"> access rate shortfalls in the cost of intrastate access service.  Just because the F.C.C. capped the </w:t>
      </w:r>
      <w:r>
        <w:rPr>
          <w:u w:val="single"/>
        </w:rPr>
        <w:t>interstate</w:t>
      </w:r>
      <w:r>
        <w:t xml:space="preserve"> access rates and encouraged the CLECs to recover any revenue shortfall from other sources, does not mean that the Companies can reasonably believe that </w:t>
      </w:r>
      <w:r>
        <w:lastRenderedPageBreak/>
        <w:t xml:space="preserve">Section 3017(c) authorized the collection of those shortfalls as part of a study to identify the costs of rendering intrastate access service.  </w:t>
      </w:r>
    </w:p>
    <w:p w:rsidR="00062229" w:rsidRDefault="00062229" w:rsidP="00062229"/>
    <w:p w:rsidR="00062229" w:rsidRDefault="00062229" w:rsidP="00062229">
      <w:r>
        <w:tab/>
      </w:r>
      <w:r>
        <w:tab/>
        <w:t xml:space="preserve">The Companies’ position was not enhanced by the fact that the inclusion of the revenues attributed to the </w:t>
      </w:r>
      <w:r>
        <w:rPr>
          <w:u w:val="single"/>
        </w:rPr>
        <w:t>interstate</w:t>
      </w:r>
      <w:r>
        <w:t xml:space="preserve"> shortfalls made up a substantial part of the difference between the respondents’ intrastate access rates and Verizon’s rates for the same service.  Verizon highlighted the difference as follows:</w:t>
      </w:r>
    </w:p>
    <w:p w:rsidR="00062229" w:rsidRDefault="00062229" w:rsidP="00062229"/>
    <w:p w:rsidR="00062229" w:rsidRDefault="00062229" w:rsidP="00062229">
      <w:pPr>
        <w:pBdr>
          <w:bottom w:val="single" w:sz="4" w:space="1" w:color="auto"/>
        </w:pBdr>
        <w:spacing w:line="240" w:lineRule="auto"/>
        <w:ind w:left="1440" w:right="1440"/>
        <w:rPr>
          <w:b/>
        </w:rPr>
      </w:pPr>
      <w:r>
        <w:t xml:space="preserve">Specifically, even without any other corrections, the removal of this unreasonable component of One Communications’ claimed cost would reduce the cost study results from </w:t>
      </w:r>
      <w:r>
        <w:rPr>
          <w:b/>
        </w:rPr>
        <w:t xml:space="preserve">[BEGIN PROPRIETARY] </w:t>
      </w:r>
    </w:p>
    <w:p w:rsidR="00062229" w:rsidRDefault="00062229" w:rsidP="00062229">
      <w:pPr>
        <w:pBdr>
          <w:bottom w:val="single" w:sz="4" w:space="1" w:color="auto"/>
        </w:pBdr>
        <w:spacing w:line="240" w:lineRule="auto"/>
        <w:ind w:left="1440" w:right="1440"/>
        <w:rPr>
          <w:b/>
        </w:rPr>
      </w:pPr>
    </w:p>
    <w:p w:rsidR="00062229" w:rsidRDefault="00062229" w:rsidP="00062229">
      <w:pPr>
        <w:pBdr>
          <w:bottom w:val="single" w:sz="4" w:space="1" w:color="auto"/>
        </w:pBdr>
        <w:spacing w:line="240" w:lineRule="auto"/>
        <w:ind w:left="1440" w:right="1440"/>
      </w:pPr>
      <w:r>
        <w:rPr>
          <w:b/>
        </w:rPr>
        <w:t xml:space="preserve">                        [END PROPRIETARY]</w:t>
      </w:r>
      <w:r>
        <w:t>.</w:t>
      </w:r>
      <w:r w:rsidRPr="005A2F5B">
        <w:rPr>
          <w:vertAlign w:val="superscript"/>
        </w:rPr>
        <w:t xml:space="preserve"> </w:t>
      </w:r>
      <w:r w:rsidRPr="00DE13BC">
        <w:rPr>
          <w:vertAlign w:val="superscript"/>
        </w:rPr>
        <w:t>12</w:t>
      </w:r>
      <w:r>
        <w:t xml:space="preserve">                                            </w:t>
      </w:r>
    </w:p>
    <w:p w:rsidR="00062229" w:rsidRDefault="00062229" w:rsidP="00062229">
      <w:pPr>
        <w:pStyle w:val="FootnoteText"/>
        <w:ind w:left="1440" w:right="1440" w:hanging="288"/>
      </w:pPr>
      <w:r w:rsidRPr="00FD3D5E">
        <w:rPr>
          <w:vertAlign w:val="superscript"/>
        </w:rPr>
        <w:t>12</w:t>
      </w:r>
      <w:r w:rsidRPr="00FD3D5E">
        <w:rPr>
          <w:i/>
        </w:rPr>
        <w:t xml:space="preserve"> </w:t>
      </w:r>
      <w:r w:rsidRPr="00FF6549">
        <w:rPr>
          <w:i/>
          <w:szCs w:val="24"/>
        </w:rPr>
        <w:t>See</w:t>
      </w:r>
      <w:r>
        <w:rPr>
          <w:szCs w:val="24"/>
        </w:rPr>
        <w:t xml:space="preserve"> </w:t>
      </w:r>
      <w:r>
        <w:t>One Communications Companies</w:t>
      </w:r>
      <w:r>
        <w:rPr>
          <w:szCs w:val="24"/>
        </w:rPr>
        <w:t xml:space="preserve"> St. 1.0 (Parrish Direct) at 4.</w:t>
      </w:r>
    </w:p>
    <w:p w:rsidR="00062229" w:rsidRDefault="00062229" w:rsidP="00062229"/>
    <w:p w:rsidR="00062229" w:rsidRDefault="00062229" w:rsidP="00062229">
      <w:r>
        <w:t>VZ S.B. at 12.  I also note that the Companies’ calculations of these shortfalls were not challenged.  However, given Mr. Parrish’s prior comments about accepting the word of the employees about the contents of the respondents’ records, I have some reluctance to endorse the accuracy of the numbers provided.</w:t>
      </w:r>
    </w:p>
    <w:p w:rsidR="00062229" w:rsidRDefault="00062229" w:rsidP="00062229"/>
    <w:p w:rsidR="00062229" w:rsidRDefault="00062229" w:rsidP="00062229">
      <w:r>
        <w:tab/>
      </w:r>
      <w:r>
        <w:tab/>
        <w:t xml:space="preserve">The second issue concerned the allocation of the cost of the loop even though the loop is not a traffic sensitive piece of equipment.  The One Communications Companies’ cost studies allocate costs among categories based on the relative use of the network facilities as measured by minutes of use.  OC St. 1.0 at 14.  Allocating costs based on minutes of use fails to allocate any costs to services that are not based on usage.  The One Communications Companies provide many non-usage based services that make use of the local loop plant.  These include Caller ID, Distinctive Ring, Call Waiting, and Call Trace, among others.  None of the One Communications Companies’ costs were allocated to these non-usage based services.  VZ St. 1.1 at 41 and Exhs. R-15, R-16 and R-17.  The One Communications Companies’ cost studies allocate each company’s costs only to usage-based services.  VZ M.B. at 42. </w:t>
      </w:r>
    </w:p>
    <w:p w:rsidR="00062229" w:rsidRDefault="00062229" w:rsidP="00062229"/>
    <w:p w:rsidR="00062229" w:rsidRDefault="00062229" w:rsidP="00062229">
      <w:pPr>
        <w:rPr>
          <w:b/>
        </w:rPr>
      </w:pPr>
      <w:r>
        <w:lastRenderedPageBreak/>
        <w:tab/>
      </w:r>
      <w:r>
        <w:tab/>
        <w:t>The One Communications companies argue the non-usage based vertical services cited by Verizon are standard features in modern switches and their costs are likely inconsequential in any event.  OC M.B. at 30, OC R.B. at 22.</w:t>
      </w:r>
      <w:r w:rsidRPr="002C12C3">
        <w:t xml:space="preserve"> </w:t>
      </w:r>
      <w:r>
        <w:t xml:space="preserve">  This argument misses the point.  It is not the allocation of the cost of the switch which is at issue.  It is the failure of the Companies to properly account for the use of the loop by these services in a MOU cost study.  The One Communications Companies cost studies did not allocate any loop costs to non-usage based services which results in recovery of all  costs from usage-based services such as switched access.  The local loop costs included in the One Communications Companies’ cost studies comprises the second largest component of their calculated switched access cost.  In the One Communications Companies cost studies, between </w:t>
      </w:r>
      <w:r>
        <w:rPr>
          <w:b/>
        </w:rPr>
        <w:t xml:space="preserve">[BEGIN PROPRIETARY] </w:t>
      </w:r>
    </w:p>
    <w:p w:rsidR="00062229" w:rsidRDefault="00062229" w:rsidP="00062229">
      <w:r>
        <w:rPr>
          <w:b/>
        </w:rPr>
        <w:t xml:space="preserve">[END PROPRIETARY] </w:t>
      </w:r>
      <w:r>
        <w:t xml:space="preserve">of the intrastate switched access cost is attributable to local loop.  VZ St. 1.1 at 36.  The One Communications Companies’ cost studies admit that the rate above </w:t>
      </w:r>
      <w:r>
        <w:rPr>
          <w:b/>
        </w:rPr>
        <w:t xml:space="preserve">[BEGIN PROPRIETARY] </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[END PROPRIETARY] </w:t>
      </w:r>
      <w:r>
        <w:t xml:space="preserve">is a pure recovery of loop costs.  </w:t>
      </w:r>
      <w:r>
        <w:rPr>
          <w:i/>
        </w:rPr>
        <w:t xml:space="preserve">See </w:t>
      </w:r>
      <w:r w:rsidRPr="007D3573">
        <w:t>also</w:t>
      </w:r>
      <w:r>
        <w:t>,</w:t>
      </w:r>
      <w:r w:rsidRPr="007D3573">
        <w:t>VZ</w:t>
      </w:r>
      <w:r>
        <w:t xml:space="preserve"> S.B.at 13.  The exposure of these flaws in calculation of loop costs continued to undermine the credibility of the cost studies.</w:t>
      </w:r>
    </w:p>
    <w:p w:rsidR="00062229" w:rsidRDefault="00062229" w:rsidP="00062229"/>
    <w:p w:rsidR="00062229" w:rsidRDefault="00062229" w:rsidP="00062229">
      <w:r>
        <w:tab/>
      </w:r>
      <w:r>
        <w:tab/>
        <w:t>The third problem with the One Communications Companies’ cost studies was the allocation of the costs of network transportation and switching functions among voice services based on network minutes of use, including minutes of terminating local and toll traffic.  The flaw was that the costs of the loop were allocated on originating and terminating minutes exclusive of terminating local minutes.  OC St. 1.0 at 14.</w:t>
      </w:r>
    </w:p>
    <w:p w:rsidR="00062229" w:rsidRDefault="00062229" w:rsidP="00062229"/>
    <w:p w:rsidR="00062229" w:rsidRDefault="00062229" w:rsidP="00062229">
      <w:r>
        <w:tab/>
      </w:r>
      <w:r>
        <w:tab/>
        <w:t xml:space="preserve">By excluding local termination minutes the Companies’ cost studies again over  allocated loop costs to intrastate switched access services.  Excluding the local minutes of use from each cost study inflated </w:t>
      </w:r>
      <w:r>
        <w:rPr>
          <w:b/>
        </w:rPr>
        <w:t>[BEGIN PROPRIETARY]</w:t>
      </w:r>
      <w:r>
        <w:t xml:space="preserve"> </w:t>
      </w:r>
    </w:p>
    <w:p w:rsidR="00062229" w:rsidRDefault="00062229" w:rsidP="00062229"/>
    <w:p w:rsidR="00062229" w:rsidRPr="00AA7EE7" w:rsidRDefault="00062229" w:rsidP="00062229">
      <w:pPr>
        <w:ind w:firstLine="720"/>
        <w:rPr>
          <w:b/>
        </w:rPr>
      </w:pPr>
      <w:r>
        <w:t xml:space="preserve">          </w:t>
      </w:r>
      <w:r>
        <w:tab/>
        <w:t xml:space="preserve">       </w:t>
      </w:r>
      <w:r>
        <w:rPr>
          <w:b/>
        </w:rPr>
        <w:t>[END PROPRIETARY]</w:t>
      </w:r>
      <w:r>
        <w:t>.  VZ St. 1.1 at 43.</w:t>
      </w:r>
    </w:p>
    <w:p w:rsidR="00062229" w:rsidRDefault="00062229" w:rsidP="00062229"/>
    <w:p w:rsidR="00062229" w:rsidRDefault="00062229" w:rsidP="00062229">
      <w:r>
        <w:tab/>
      </w:r>
      <w:r>
        <w:tab/>
        <w:t xml:space="preserve">The majority of the excluded local minutes of use are terminated to customers whose technical arrangements include facilities collocated with the One Communications </w:t>
      </w:r>
      <w:r>
        <w:lastRenderedPageBreak/>
        <w:t>Companies’ central offices and thus are terminated without utilization of the local loop.  Since the loop is not utilized it would be inappropriate to allocate any loop costs to this traffic.  However, the remaining local termination traffic does utilize the local loop.  OC R.B. at 28, OC St. 3.0 at 36.</w:t>
      </w:r>
    </w:p>
    <w:p w:rsidR="00062229" w:rsidRDefault="00062229" w:rsidP="00062229"/>
    <w:p w:rsidR="00062229" w:rsidRDefault="00062229" w:rsidP="00062229">
      <w:r>
        <w:tab/>
      </w:r>
      <w:r>
        <w:tab/>
        <w:t xml:space="preserve">The One Communications Companies assert that the remaining local termination minutes that do utilize the local loop should not bear any loop costs because such minutes are billed via reciprocal compensation and F.C.C. rules prohibit the recovery of loop costs through reciprocal compensation.  OC  M.B. at 31.  The Companies’ argument is off the mark.  Reciprocal compensation is a rate.  The issue in this case concerns cost studies.  The One Communications Companies have submitted </w:t>
      </w:r>
      <w:r w:rsidRPr="00362670">
        <w:rPr>
          <w:u w:val="single"/>
        </w:rPr>
        <w:t>cost</w:t>
      </w:r>
      <w:r>
        <w:t xml:space="preserve"> studies to determine the </w:t>
      </w:r>
      <w:r w:rsidRPr="00362670">
        <w:rPr>
          <w:u w:val="single"/>
        </w:rPr>
        <w:t>cost</w:t>
      </w:r>
      <w:r>
        <w:t xml:space="preserve"> of providing intrastate switched access services.  They have not demonstrated that the requirement to charge reciprocal compensation rates for local termination traffic somehow affects, or indeed increases, the </w:t>
      </w:r>
      <w:r w:rsidRPr="00362670">
        <w:rPr>
          <w:u w:val="single"/>
        </w:rPr>
        <w:t>cost</w:t>
      </w:r>
      <w:r w:rsidRPr="00362670">
        <w:t xml:space="preserve"> </w:t>
      </w:r>
      <w:r>
        <w:t>of providing switched access services.  T</w:t>
      </w:r>
      <w:r w:rsidRPr="00A0419B">
        <w:t xml:space="preserve">he costs of a service are the same regardless of the price charged for that service. </w:t>
      </w:r>
      <w:r>
        <w:t xml:space="preserve"> If loop costs are allocated to various services based on the relative number of minutes that each service is carried over the loops, then all minutes for all services should be included as part of that allocation process.  Excluding the local minutes distorts the factors used in the study and over-allocates costs to switched access services.  VZ St. 1.1 at 44.  </w:t>
      </w:r>
      <w:r>
        <w:rPr>
          <w:i/>
        </w:rPr>
        <w:t xml:space="preserve">See </w:t>
      </w:r>
      <w:r w:rsidRPr="007D3573">
        <w:t>also</w:t>
      </w:r>
      <w:r>
        <w:t>,</w:t>
      </w:r>
      <w:r w:rsidRPr="00037755">
        <w:t xml:space="preserve"> </w:t>
      </w:r>
      <w:r w:rsidRPr="007D3573">
        <w:t>VZ</w:t>
      </w:r>
      <w:r>
        <w:t xml:space="preserve"> R.B.at 26, </w:t>
      </w:r>
      <w:r w:rsidRPr="007D3573">
        <w:t>VZ</w:t>
      </w:r>
      <w:r>
        <w:t xml:space="preserve"> S.B.at 14.  Once again, these kinds of errors further denigrate the value of the cost studies.</w:t>
      </w:r>
    </w:p>
    <w:p w:rsidR="00062229" w:rsidRDefault="00062229" w:rsidP="00062229"/>
    <w:p w:rsidR="00062229" w:rsidRDefault="00062229" w:rsidP="00062229">
      <w:pPr>
        <w:spacing w:line="240" w:lineRule="auto"/>
        <w:ind w:left="720" w:hanging="720"/>
      </w:pPr>
      <w:r>
        <w:t>D.</w:t>
      </w:r>
      <w:r>
        <w:tab/>
      </w:r>
      <w:r w:rsidRPr="00E402CE">
        <w:rPr>
          <w:szCs w:val="26"/>
        </w:rPr>
        <w:t xml:space="preserve">ALTHOUGH FDC EMBEDDED ACCOUNTING-REVENUE REQUIREMENT COST STUDIES BY THE CLEC ARE GENERALLY ACCEPTABLE, CONSIDERATION SHOULD BE GIVEN TO FORWARD-LOOKING ECONOMIC COST STUDIES THAT TREAT THE CLEC’S LOOP COSTS AS JOINT COSTS.  IN ASCERTAINING THE JOINT LOOP COSTS OF A CLEC, CONSIDERATION SHOULD BE GIVEN TO WHETHER THE CLEC’S LOOP COSTS CAN, IN PART, BE DERIVED FROM THE UNE-LOOP (UNE-L) RATES THAT THE CLEC PAYS FOR LEASING LOOPS TO ITS END-USER CUSTOMERS FROM AN ILEC OR MULTIPLE ILECS.  SIMILARLY, IN ANY CLEC COST STUDY, THERE MUST BE A CLEAR AND WELL DOCUMENTED DEMONSTRATION OF HOW THE CLEC RECOVERS JOINT LOOP COSTS FROM SERVICES OTHER THAN INTRASTATE SWITCHED ACCESS.  </w:t>
      </w:r>
    </w:p>
    <w:p w:rsidR="00062229" w:rsidRDefault="00062229" w:rsidP="00062229"/>
    <w:p w:rsidR="00062229" w:rsidRDefault="00062229" w:rsidP="00062229">
      <w:r>
        <w:lastRenderedPageBreak/>
        <w:tab/>
      </w:r>
      <w:r>
        <w:tab/>
        <w:t xml:space="preserve">Verizon focused on the question of whether there was clear and well documented information on how the Companies recovered joint loop costs from services other than intrastate switched access.  </w:t>
      </w:r>
      <w:r w:rsidRPr="007D3573">
        <w:t>VZ</w:t>
      </w:r>
      <w:r>
        <w:t xml:space="preserve"> R.B.at 25, </w:t>
      </w:r>
      <w:r w:rsidRPr="007D3573">
        <w:t>VZ</w:t>
      </w:r>
      <w:r>
        <w:t xml:space="preserve"> S.B.at 13-14.  In contrast, the One Communications Companies asserted that their cost studies were in an acceptable FDC study format.  The Companies emphasized that the Commission had declared that FDC studies were acceptable which overruled Verizon’s initial position (citing </w:t>
      </w:r>
      <w:r>
        <w:rPr>
          <w:i/>
        </w:rPr>
        <w:t>PTI</w:t>
      </w:r>
      <w:r>
        <w:t xml:space="preserve">).  They continued that their witness, </w:t>
      </w:r>
    </w:p>
    <w:p w:rsidR="00062229" w:rsidRDefault="00062229" w:rsidP="00062229">
      <w:r>
        <w:t>Mr. Parrish, had used booked costs to conform to revenue requirement standards to identify total costs and divided by the annual MOU of intrastate switched access traffic provided by the respondents.  The Companies explained how they believed that Mr. Parrish had appropriately integrated UNE-Loop (UNE-L) costs into the cost studies.  They concluded this argument by pointing out that the Companies had documented how they attributed residual loop costs to other services.  OC S.B. at 10-15.  Having reviewed the record and the arguments, I agree with Verizon.  I view the cost studies as providing clear record evidence that they were designed to inflate the intrastate access service costs to the absolute maximum.</w:t>
      </w:r>
    </w:p>
    <w:p w:rsidR="00062229" w:rsidRDefault="00062229" w:rsidP="00062229"/>
    <w:p w:rsidR="00062229" w:rsidRDefault="00062229" w:rsidP="00062229">
      <w:r>
        <w:tab/>
      </w:r>
      <w:r>
        <w:tab/>
        <w:t xml:space="preserve">In an effort to keep repetition to a minimum, I note that the prior discussion relating to the allocation of loop costs demonstrated two relevant major flaws.  The first flaw was to over allocate loop costs to switched access service by the failure of the Companies to properly account for the use of the loop by non-usage based services in a MOU cost study.  The One Communications Companies cost studies did not allocate any loop costs to non-usage based services which results in recovery of all  costs from usage based services such as switched access.  The second flaw was that the costs of the loop were allocated on originating and terminating minutes </w:t>
      </w:r>
      <w:r w:rsidRPr="009E46D3">
        <w:rPr>
          <w:u w:val="single"/>
        </w:rPr>
        <w:t>exclusive</w:t>
      </w:r>
      <w:r>
        <w:t xml:space="preserve"> of terminating local minutes.  By excluding local termination minutes the Companies’ cost studies again over allocated loop costs to intrastate switched access services.  These two flaws demonstrate the Companies’ failure to clearly document how they recovered joint loop costs from services other than switched access.  Indeed, they document the exact opposite and support my conclusion that the cost studies were designed to inflate the intrastate access service costs to the absolute maximum.  The respondents proved that they unreasonably reduced their recovery of joint loop costs from services other than switched access.  </w:t>
      </w:r>
      <w:r>
        <w:rPr>
          <w:i/>
        </w:rPr>
        <w:t xml:space="preserve">See </w:t>
      </w:r>
      <w:r w:rsidRPr="007D3573">
        <w:t>also</w:t>
      </w:r>
      <w:r>
        <w:t>,</w:t>
      </w:r>
      <w:r w:rsidRPr="00037755">
        <w:t xml:space="preserve"> </w:t>
      </w:r>
      <w:r w:rsidRPr="007D3573">
        <w:t>VZ</w:t>
      </w:r>
      <w:r>
        <w:t xml:space="preserve"> R.B. at 25- 26, </w:t>
      </w:r>
      <w:r w:rsidRPr="007D3573">
        <w:t>VZ</w:t>
      </w:r>
      <w:r>
        <w:t xml:space="preserve"> S.B. at 13-14.</w:t>
      </w:r>
    </w:p>
    <w:p w:rsidR="00062229" w:rsidRDefault="00062229" w:rsidP="00062229"/>
    <w:p w:rsidR="00062229" w:rsidRPr="00E402CE" w:rsidRDefault="00062229" w:rsidP="00062229">
      <w:pPr>
        <w:spacing w:line="240" w:lineRule="auto"/>
        <w:ind w:left="720" w:hanging="720"/>
        <w:rPr>
          <w:szCs w:val="26"/>
        </w:rPr>
      </w:pPr>
      <w:r>
        <w:lastRenderedPageBreak/>
        <w:t>E.</w:t>
      </w:r>
      <w:r>
        <w:tab/>
      </w:r>
      <w:r w:rsidRPr="00E402CE">
        <w:rPr>
          <w:szCs w:val="26"/>
        </w:rPr>
        <w:t>THE COST JUSTIFICATION OF THE ILEC’S INTRASTATE ACCESS RATES IS IMMATERIAL IN ASCERTAINING THE REASONABLE MEASURE OF COSTS FOR THE CLEC’S INTRASTATE SWITCHED CARRIER ACCESS SERVICES.  HOWEVER, ILEC AND CLEC INTRASTATE AND INTERSTATE SWITCHED ACCESS RATES MAY BE USED AS PROXY BENCHMARKS FOR ESTABLISHING AN APPROPRIATE RANGE OF JUST AND REASONABLE INTRASTATE ACCESS RATES FOR A PARTICULAR CLEC.  RURAL ILEC INTRASTATE AND INTERSTATE ACCESS RATES MAY PLAY A ROLE IN ESTABLISHING SUCH A RANGE IF A PARTICULAR CLEC OPERATES IN RURAL EXCHANGES OF A NON-RURAL ILEC AND/OR IN THE SERVICE AREA OF A RURAL ILEC.</w:t>
      </w:r>
    </w:p>
    <w:p w:rsidR="00062229" w:rsidRDefault="00062229" w:rsidP="00062229"/>
    <w:p w:rsidR="00062229" w:rsidRDefault="00062229" w:rsidP="00062229">
      <w:r>
        <w:tab/>
      </w:r>
      <w:r>
        <w:tab/>
        <w:t>Verizon noted that the Commission did not precisely define a reasonable CLEC access rate, but was willing to use certain “proxy benchmarks” by comparing the CLEC’s rates to the interstate and intrastate access rates of other carriers’ charges for the same service.  Verizon viewed this comparison as consistent with the F.C.C.’s policy to promote competition and to prevent the CLECs from inappropriately shifting carrier costs onto the IXCs and the long distance market served by the IXCs.  Verizon contended that the record showed there were no other companies operating in Verizon territory charging intrastate access rates nearly as high as the One Communications Companies.  Verizon continued that the Companies were charging intrastate access rates higher than the interstate and intrastate access rates of ILECs and CLECs operating in the same territory and higher than the Companies’ interstate access rates, as well.</w:t>
      </w:r>
    </w:p>
    <w:p w:rsidR="00062229" w:rsidRDefault="00062229" w:rsidP="00062229">
      <w:r>
        <w:t>VZ S.B. at 7-10.</w:t>
      </w:r>
    </w:p>
    <w:p w:rsidR="00062229" w:rsidRDefault="00062229" w:rsidP="00062229"/>
    <w:p w:rsidR="00062229" w:rsidRDefault="00062229" w:rsidP="00062229">
      <w:r>
        <w:tab/>
      </w:r>
      <w:r>
        <w:tab/>
        <w:t>The One Communications Companies touted their cost studies as verifiable FDC studies.  They believed it would be inappropriate to compare their intrastate access rates to Verizon’s due to the huge disparity in size between the opposing parties.  The respondents compared the number of their access lines and resulting economies of scale to those of Verizon’s.  They concluded there was such a mismatch that using Verizon’s intrastate access rates as a proxy would be unfair.  OC S.B. at 16-17.</w:t>
      </w:r>
    </w:p>
    <w:p w:rsidR="00062229" w:rsidRDefault="00062229" w:rsidP="00062229"/>
    <w:p w:rsidR="00062229" w:rsidRPr="005A53BA" w:rsidRDefault="00062229" w:rsidP="00062229">
      <w:r>
        <w:tab/>
      </w:r>
      <w:r>
        <w:tab/>
        <w:t>The One Communications Companies</w:t>
      </w:r>
      <w:r w:rsidR="001236A2">
        <w:t>’ attempt to avoid comparing their</w:t>
      </w:r>
      <w:r>
        <w:t xml:space="preserve"> access rates with those of Verizon is without support in the Public Utility Code.  66 Pa. C.S. § 3017(c).  The statute, quoted earlier, gives CLECs only one way to justify charging a higher rate</w:t>
      </w:r>
      <w:r w:rsidRPr="00A00C4F">
        <w:t xml:space="preserve"> </w:t>
      </w:r>
      <w:r>
        <w:t xml:space="preserve">for switched intrastate access than an ILEC; and it is “cost justified.”  </w:t>
      </w:r>
      <w:r>
        <w:rPr>
          <w:i/>
        </w:rPr>
        <w:t>Id</w:t>
      </w:r>
      <w:r>
        <w:t xml:space="preserve">.  When the Companies </w:t>
      </w:r>
      <w:r>
        <w:lastRenderedPageBreak/>
        <w:t xml:space="preserve">made the decision to begin competitive service in Verizon’s service territory, their management knew or should have known that they were about to compete with the largest telecommunications carrier in Pennsylvania.  To try now to justify higher costs based on the comparative number of access lines and economies of scale is simply not persuasive; nor is it authorized </w:t>
      </w:r>
      <w:r w:rsidR="00B8285A">
        <w:t xml:space="preserve">in </w:t>
      </w:r>
      <w:r>
        <w:t xml:space="preserve">the statutory language.  </w:t>
      </w:r>
      <w:r>
        <w:rPr>
          <w:i/>
        </w:rPr>
        <w:t>Id</w:t>
      </w:r>
      <w:r>
        <w:t>.</w:t>
      </w:r>
    </w:p>
    <w:p w:rsidR="00062229" w:rsidRDefault="00062229" w:rsidP="00062229"/>
    <w:p w:rsidR="00062229" w:rsidRDefault="00062229" w:rsidP="00062229">
      <w:r>
        <w:tab/>
      </w:r>
      <w:r>
        <w:tab/>
        <w:t xml:space="preserve">My reading of the statute led me to the conclusion that it was designed to substantially reduce or eliminate cross-subsidization.  Unfortunately, the cost studies at issue provide classic examples of the cross-subsidies which must be avoided.  The first example is the attempt to recover all alleged </w:t>
      </w:r>
      <w:r w:rsidRPr="003322B3">
        <w:rPr>
          <w:u w:val="single"/>
        </w:rPr>
        <w:t>interstate</w:t>
      </w:r>
      <w:r>
        <w:t xml:space="preserve"> access charge shortfalls from the intrastate access users.  The second example is the attempt</w:t>
      </w:r>
      <w:r w:rsidR="00B8285A">
        <w:t xml:space="preserve"> to</w:t>
      </w:r>
      <w:r>
        <w:t xml:space="preserve"> over allocate local loop costs to the intrastate access users.  </w:t>
      </w:r>
    </w:p>
    <w:p w:rsidR="00062229" w:rsidRDefault="00062229" w:rsidP="00062229">
      <w:r>
        <w:t>In both examples the One Communications Companies are attempting to shift costs which would otherwise fall on their customers to the intrastate carriers.</w:t>
      </w:r>
    </w:p>
    <w:p w:rsidR="00062229" w:rsidRDefault="00062229" w:rsidP="00062229"/>
    <w:p w:rsidR="00062229" w:rsidRDefault="00062229" w:rsidP="00062229">
      <w:pPr>
        <w:rPr>
          <w:szCs w:val="26"/>
        </w:rPr>
      </w:pPr>
      <w:r>
        <w:tab/>
      </w:r>
      <w:r>
        <w:tab/>
        <w:t>Even if I omit a comparison between Verizon and the Companies, the record contains sufficient evidence to find that the Companies still failed to meet the benchmarks set by other CLECs and ILECs for</w:t>
      </w:r>
      <w:r w:rsidRPr="00E402CE">
        <w:rPr>
          <w:szCs w:val="26"/>
        </w:rPr>
        <w:t xml:space="preserve"> intrastate and interstate switched access rates</w:t>
      </w:r>
      <w:r>
        <w:rPr>
          <w:szCs w:val="26"/>
        </w:rPr>
        <w:t>.  The rates of those other companies may</w:t>
      </w:r>
      <w:r w:rsidRPr="00E402CE">
        <w:rPr>
          <w:szCs w:val="26"/>
        </w:rPr>
        <w:t xml:space="preserve"> be used as proxy benchmarks for establishing an appropriate range of just and reasonable intrastate access rates for a particular CLEC.</w:t>
      </w:r>
      <w:r>
        <w:rPr>
          <w:szCs w:val="26"/>
        </w:rPr>
        <w:t xml:space="preserve">  Verizon provided the following list of CLECs charging rates no higher than Verizon’s:</w:t>
      </w:r>
    </w:p>
    <w:p w:rsidR="00062229" w:rsidRDefault="00062229" w:rsidP="00062229">
      <w:pPr>
        <w:rPr>
          <w:szCs w:val="26"/>
        </w:rPr>
      </w:pPr>
    </w:p>
    <w:p w:rsidR="00062229" w:rsidRDefault="00062229" w:rsidP="00062229">
      <w:pPr>
        <w:spacing w:line="240" w:lineRule="auto"/>
        <w:ind w:left="1440" w:right="1440"/>
        <w:rPr>
          <w:szCs w:val="26"/>
        </w:rPr>
      </w:pPr>
      <w:r>
        <w:t xml:space="preserve">For example, Broadview (Pa. PUC No. 5), Cavalier (Pa. PUC No. 4), MCImetro (Pa. PUC No. 4), Comcast (Pa. PUC No. 4), AT&amp;T (PA P.U.C. No 17), Level 3 (Pa. PUC No. 4), XO (P.U.C. Tariff No. 13), RCN (Pa. PUC No. 4), Telcove (Pa. PUC No. 2), US LEC (Pa. PUC No. 2) and others all charge tariffed rates at or lower than the statutory rate cap.  Verizon St. 1.1 (Price/Mazziotti Rebuttal) at 25.  </w:t>
      </w:r>
    </w:p>
    <w:p w:rsidR="00062229" w:rsidRDefault="00062229" w:rsidP="00062229"/>
    <w:p w:rsidR="00062229" w:rsidRDefault="00062229" w:rsidP="00062229">
      <w:r>
        <w:t>VZ M.B. at 26 n. 48.  The respondents did not challenge these facts.  Under these circumstances</w:t>
      </w:r>
      <w:r w:rsidR="00B8285A">
        <w:t>,</w:t>
      </w:r>
      <w:r>
        <w:t xml:space="preserve"> I find that the One Communications Companies failed to carry their burden of persuasion on this issue.</w:t>
      </w:r>
    </w:p>
    <w:p w:rsidR="00062229" w:rsidRDefault="00062229" w:rsidP="00062229"/>
    <w:p w:rsidR="00062229" w:rsidRDefault="00062229" w:rsidP="00062229">
      <w:pPr>
        <w:spacing w:line="240" w:lineRule="auto"/>
        <w:ind w:left="720" w:hanging="720"/>
      </w:pPr>
      <w:r>
        <w:lastRenderedPageBreak/>
        <w:t>F.</w:t>
      </w:r>
      <w:r>
        <w:tab/>
      </w:r>
      <w:r>
        <w:rPr>
          <w:szCs w:val="26"/>
        </w:rPr>
        <w:t>THERE MUST BE APPROPRIATE CONSIDERATION GIVEN TO WHETHER THE CLEC’S INTERSTATE CARRIER ACCESS CHARGES INFLUENCE OR INTERACT IN ANY FASHION WITH THE REASONABLE MEASURE OF COST AND THE SETTING OF THE CLEC’S INTRASTATE CARRIER ACCESS CHARGES.</w:t>
      </w:r>
    </w:p>
    <w:p w:rsidR="00062229" w:rsidRDefault="00062229" w:rsidP="00062229"/>
    <w:p w:rsidR="00B8285A" w:rsidRDefault="00062229" w:rsidP="00062229">
      <w:r>
        <w:tab/>
      </w:r>
      <w:r>
        <w:tab/>
        <w:t xml:space="preserve">I will not repeat the analysis of the relationship of the One Communications Companies’ alleged </w:t>
      </w:r>
      <w:r>
        <w:rPr>
          <w:u w:val="single"/>
        </w:rPr>
        <w:t>interstate</w:t>
      </w:r>
      <w:r>
        <w:t xml:space="preserve"> access rate shortfall to the Companies’ intrastate cost studies.  </w:t>
      </w:r>
    </w:p>
    <w:p w:rsidR="00062229" w:rsidRDefault="00062229" w:rsidP="00062229">
      <w:r w:rsidRPr="00A25FB2">
        <w:rPr>
          <w:i/>
        </w:rPr>
        <w:t>See</w:t>
      </w:r>
      <w:r>
        <w:t>,</w:t>
      </w:r>
      <w:r w:rsidR="00B8285A">
        <w:t xml:space="preserve"> </w:t>
      </w:r>
      <w:r>
        <w:t xml:space="preserve">C above.  </w:t>
      </w:r>
      <w:r w:rsidRPr="00A25FB2">
        <w:t>Briefly</w:t>
      </w:r>
      <w:r>
        <w:t>, my examination of the cost studies led to the conclusion that the Companies’ studies were unreasonably inflated by the attempt to recover the alleged shortfall as part of the intrastate access rates.  To say the least the respondents’</w:t>
      </w:r>
      <w:r w:rsidRPr="001F11AA">
        <w:t xml:space="preserve"> </w:t>
      </w:r>
      <w:r>
        <w:rPr>
          <w:u w:val="single"/>
        </w:rPr>
        <w:t>interstate</w:t>
      </w:r>
      <w:r>
        <w:t xml:space="preserve"> access rates influenced their intrastate access rates in a decidedly negative fashion.</w:t>
      </w:r>
    </w:p>
    <w:p w:rsidR="00062229" w:rsidRDefault="00062229" w:rsidP="00062229"/>
    <w:p w:rsidR="00062229" w:rsidRDefault="00062229" w:rsidP="00062229">
      <w:pPr>
        <w:spacing w:line="240" w:lineRule="auto"/>
        <w:ind w:left="720" w:hanging="720"/>
      </w:pPr>
      <w:r>
        <w:t>G.</w:t>
      </w:r>
      <w:r>
        <w:tab/>
      </w:r>
      <w:r>
        <w:rPr>
          <w:szCs w:val="26"/>
        </w:rPr>
        <w:t>THE ISSUE OF RATE REFUNDS, IF ANY, SHALL BE ADJUDICATED UNDER    66 PA. C.S. § 1312 REGARDING THE DETERMINATION OF UNJUST AND UNREASONABLE RATES AND THE ISSUANCE OF REFUNDS TOGETHER WITH INTEREST AT THE LEGAL RATE.</w:t>
      </w:r>
    </w:p>
    <w:p w:rsidR="00062229" w:rsidRDefault="00062229" w:rsidP="00062229"/>
    <w:p w:rsidR="00062229" w:rsidRDefault="00062229" w:rsidP="00062229">
      <w:r>
        <w:tab/>
      </w:r>
      <w:r>
        <w:tab/>
        <w:t>On April 25, 2007</w:t>
      </w:r>
      <w:r w:rsidR="00647BF8">
        <w:t>,</w:t>
      </w:r>
      <w:r>
        <w:t xml:space="preserve"> Verizon filed its Complaint against the One Communications Companies.  While there was only one Complaint filed, a different docket number was assigned to each named respondent.  As part of the requested relief Verizon asked the Commission:  1) to direct the Companies to immediately reduce their intrastate switched access tariffs to a level no higher than those charged by ILECs in the corresponding service territories; and 2) to order a refund or credit</w:t>
      </w:r>
      <w:r w:rsidRPr="0048642E">
        <w:t xml:space="preserve"> </w:t>
      </w:r>
      <w:r>
        <w:t>with interest for all amounts illegally charged to Verizon in violation of Section 3017(c) of the Public Utility Code starting from the November 30, 2004, the effective date of the statute</w:t>
      </w:r>
      <w:r w:rsidR="00647BF8">
        <w:t>,</w:t>
      </w:r>
      <w:r>
        <w:t xml:space="preserve"> to the present.  Complaint at 15, ¶ (c).  66 Pa. C.S. § 3017(c).  Verizon sought its refunds pursuant to Section 1312(a) of the Public Utility Code and provided a calculation to quantify the amount in controversy.  VZ M.B.</w:t>
      </w:r>
      <w:r w:rsidR="00647BF8">
        <w:t xml:space="preserve"> at 44-49.  VZ R.B. at 27-28.  </w:t>
      </w:r>
      <w:r>
        <w:t>VZ S.B. at 14-17.</w:t>
      </w:r>
    </w:p>
    <w:p w:rsidR="00062229" w:rsidRDefault="00062229" w:rsidP="00062229"/>
    <w:p w:rsidR="00062229" w:rsidRDefault="00062229" w:rsidP="00062229">
      <w:r>
        <w:tab/>
      </w:r>
      <w:r>
        <w:tab/>
        <w:t xml:space="preserve">The One Communications Companies argued that there was no legal or equitable justification for ordering a refund.  The Companies asserted that Section 1312 of the Public Utility Code was not applicable.  More specifically, the respondents contended that they had not violated any order or regulation of the Commission and that they had not charged Verizon any amount in excess of an existing, effective tariff.  They denied that there was any record evidence to justify finding that the rates were unjust or unreasonable.  The Companies believed that, </w:t>
      </w:r>
      <w:r>
        <w:lastRenderedPageBreak/>
        <w:t>because the tariffs were lawfully filed and accepted by the Commission, they should not be liable for refunds when they were required to adhere to their tariffs.  The respondents explained that Verizon had the opportunity to challenge the tariffs when the tariffs were first filed and had unreasonably delayed in bringing these complaints.  OC R.B. at 34-37.   OC S.B. at 19-21.</w:t>
      </w:r>
    </w:p>
    <w:p w:rsidR="00062229" w:rsidRDefault="00062229" w:rsidP="00062229"/>
    <w:p w:rsidR="00062229" w:rsidRDefault="00062229" w:rsidP="00062229">
      <w:r>
        <w:tab/>
      </w:r>
      <w:r>
        <w:tab/>
        <w:t>Having reviewed the briefs and the cost studies and the Public Utility Code, I agree with Verizon.  I have concluded that the</w:t>
      </w:r>
      <w:r w:rsidRPr="006F4FDD">
        <w:t xml:space="preserve"> </w:t>
      </w:r>
      <w:r>
        <w:t xml:space="preserve">One Communications Companies’ existing intrastate switched access tariffs are unjust and unreasonable and that the Companies must file tariffs equal to the rates Verizon charges for the same service.  In accordance with </w:t>
      </w:r>
    </w:p>
    <w:p w:rsidR="00062229" w:rsidRDefault="00062229" w:rsidP="00062229">
      <w:r>
        <w:t>Section 1312(a) of the Public Utility Code</w:t>
      </w:r>
      <w:r w:rsidR="00647BF8">
        <w:t>,</w:t>
      </w:r>
      <w:r>
        <w:t xml:space="preserve"> I further find that Verizon is entitled to a refund with interest at the legal rate from Choice One and CTC for the difference between the existing tariffed rates and the rates Verizon charges for the same service.  66 Pa. C.S. § 1312(a).  I note that FiberNet has a tariffed rate higher than Verizon’s rate, but actually charged Verizon a rate lower than Verizon’s rate.  As a result, the Companies shall be entitled to a credit for the amount owed by Verizon to FiberNet representing the difference between what Verizon paid and Verizon’s tariffed rate for the same service.</w:t>
      </w:r>
    </w:p>
    <w:p w:rsidR="00062229" w:rsidRDefault="00062229" w:rsidP="00062229"/>
    <w:p w:rsidR="00062229" w:rsidRDefault="00062229" w:rsidP="00062229">
      <w:r>
        <w:tab/>
      </w:r>
      <w:r>
        <w:tab/>
        <w:t>Initially, I agree with the</w:t>
      </w:r>
      <w:r w:rsidRPr="00E069EE">
        <w:t xml:space="preserve"> </w:t>
      </w:r>
      <w:r>
        <w:t xml:space="preserve">One Communications Companies to the extent that I find no evidence that they violated any order or regulation of the Commission or that they had charged Verizon any amount in excess of an existing, effective tariff.  Our agreement ends at that point.  Verizon was totally successful in its efforts to entirely discredit the Companies’ cost studies in a variety of ways, as set forth above.  In the </w:t>
      </w:r>
      <w:r>
        <w:rPr>
          <w:i/>
        </w:rPr>
        <w:t>PTI</w:t>
      </w:r>
      <w:r>
        <w:t xml:space="preserve"> and </w:t>
      </w:r>
      <w:r>
        <w:rPr>
          <w:i/>
        </w:rPr>
        <w:t>CTSI</w:t>
      </w:r>
      <w:r>
        <w:t xml:space="preserve"> Opinions and Orders this Commission set forth six criteria for evaluating cases arising under Section 3017(c) of the Public Utility Code.  66 Pa. C.S. § 3017(c).  The first five standards concern evaluation of the cost studies presented in this case.  As noted above, the One Communications Companies failed to satisfy any of those five standards.</w:t>
      </w:r>
    </w:p>
    <w:p w:rsidR="00062229" w:rsidRDefault="00062229" w:rsidP="00062229"/>
    <w:p w:rsidR="00062229" w:rsidRDefault="00062229" w:rsidP="00062229">
      <w:r>
        <w:tab/>
      </w:r>
      <w:r>
        <w:tab/>
        <w:t xml:space="preserve">The sixth standard concerns refunds.  Even though the parties have presented some argument about the applicability of Section 1309, the standard specified that Section 1312 of the Public Utility Code should be applied.  In view of the common issues between this case and the </w:t>
      </w:r>
      <w:r>
        <w:rPr>
          <w:i/>
        </w:rPr>
        <w:t>PTI</w:t>
      </w:r>
      <w:r>
        <w:t xml:space="preserve"> and </w:t>
      </w:r>
      <w:r>
        <w:rPr>
          <w:i/>
        </w:rPr>
        <w:t>CTSI</w:t>
      </w:r>
      <w:r>
        <w:t xml:space="preserve"> cases, I see no reason to depart from the Commission’s clear guidance.   </w:t>
      </w:r>
      <w:r>
        <w:lastRenderedPageBreak/>
        <w:t xml:space="preserve">As noted above, I have already concluded that the One Communications Companies’ tariffed  intrastate access rates are unjust and unreasonable.  That conclusion is based on the many inaccuracies found in the cost studies.  The importance of this conclusion is that it triggers the need to direct refunds.  Verizon correctly asserted that the Companies did not challenge Verizon’s refund calculations.  </w:t>
      </w:r>
    </w:p>
    <w:p w:rsidR="00062229" w:rsidRDefault="00062229" w:rsidP="00062229"/>
    <w:p w:rsidR="00062229" w:rsidRDefault="00062229" w:rsidP="00062229">
      <w:r>
        <w:tab/>
      </w:r>
      <w:r>
        <w:tab/>
        <w:t>Accordingly, I will recommend that, because the respondents failed to demonstrate the validity of their rates, the</w:t>
      </w:r>
      <w:r w:rsidRPr="00D028CB">
        <w:t xml:space="preserve"> </w:t>
      </w:r>
      <w:r>
        <w:t>Companies must file intrastate access tariffs equal to the rates Verizon, and other Pennsylvania ILECs in w</w:t>
      </w:r>
      <w:r w:rsidR="00647BF8">
        <w:t>hose territory the respondents operate.</w:t>
      </w:r>
      <w:r>
        <w:t xml:space="preserve"> Before defining the refund owing, I note that the statute specifies:</w:t>
      </w:r>
    </w:p>
    <w:p w:rsidR="00062229" w:rsidRDefault="00062229" w:rsidP="00062229"/>
    <w:p w:rsidR="00062229" w:rsidRPr="000649B8" w:rsidRDefault="00062229" w:rsidP="00062229">
      <w:pPr>
        <w:spacing w:line="240" w:lineRule="auto"/>
        <w:ind w:left="1440" w:right="1440"/>
      </w:pPr>
      <w:r>
        <w:t xml:space="preserve">  </w:t>
      </w:r>
      <w:r w:rsidRPr="000A7ECF">
        <w:rPr>
          <w:b/>
        </w:rPr>
        <w:t>(a)  General rule.—</w:t>
      </w:r>
      <w:r>
        <w:t xml:space="preserve">If, in any proceeding involving rates, the commission shall determine that any rate received by a public utility was unjust or unreasonable, . . .the commission shall have the power and authority to make an order requiring the public utility to refund the amount of any excess </w:t>
      </w:r>
      <w:r w:rsidRPr="00EC683F">
        <w:rPr>
          <w:u w:val="single"/>
        </w:rPr>
        <w:t>paid by any patron</w:t>
      </w:r>
      <w:r>
        <w:t xml:space="preserve">, in consequence of such unlawful collection, within four years prior to the date of the filing of the complaint, together with interest at the legal rate from the date of each such excessive payment. . . . </w:t>
      </w:r>
      <w:r w:rsidRPr="000649B8">
        <w:rPr>
          <w:u w:val="single"/>
        </w:rPr>
        <w:t>Any order of the commission awarding a refund shall be made for and on behalf</w:t>
      </w:r>
      <w:r>
        <w:rPr>
          <w:u w:val="single"/>
        </w:rPr>
        <w:t xml:space="preserve"> of all patrons subject to the same rate of the public utility</w:t>
      </w:r>
      <w:r>
        <w:t>.</w:t>
      </w:r>
    </w:p>
    <w:p w:rsidR="00062229" w:rsidRDefault="00062229" w:rsidP="00062229"/>
    <w:p w:rsidR="00062229" w:rsidRDefault="00062229" w:rsidP="00062229">
      <w:r>
        <w:rPr>
          <w:i/>
        </w:rPr>
        <w:t>Id</w:t>
      </w:r>
      <w:r>
        <w:t xml:space="preserve">.  (Bolding in the original.  Underlining added.)  My reading of the underlined portions of the statute led me to the conclusion that the Companies’ liability extends beyond the parties to this case to all “patrons” including Verizon and other Pennsylvania ILECs in whose territory the respondents operate, and other CLECs and IXCs.  In other words, anyone who paid the Companies’ tariffed rate for intrastate switched access services is entitled to a refund.  Choice One and CTC  must refund to Verizon and all others who used the Companies’ intrastate access services in the Verizon service territory the difference between the existing tariffed rates and the rates Verizon charges for the same service.  The respondents’ rates were in effect on </w:t>
      </w:r>
    </w:p>
    <w:p w:rsidR="00062229" w:rsidRDefault="00062229" w:rsidP="00062229">
      <w:r>
        <w:t xml:space="preserve">November 30, 2004, which is the effective date of Section 3017 in its present form.  That date is less than four years prior to the filing of Verizon’s Complaint.  As a result, the refund period shall begin with the first payments made after that date by Verizon and all others in 2004 and ending with any payments made up to the date the tariffs are cancelled pursuant to the </w:t>
      </w:r>
      <w:r>
        <w:lastRenderedPageBreak/>
        <w:t xml:space="preserve">Commission’s decision in this case.  In addition Verizon and all others shall be entitled to interest at the legal rate from the date each payment was made.  66 Pa. C.S. § 1312(a).  </w:t>
      </w:r>
    </w:p>
    <w:p w:rsidR="00062229" w:rsidRDefault="00062229" w:rsidP="00062229"/>
    <w:p w:rsidR="00062229" w:rsidRDefault="00062229" w:rsidP="00062229">
      <w:r>
        <w:tab/>
      </w:r>
      <w:r>
        <w:tab/>
        <w:t xml:space="preserve">To the extent that FiberNet charged any intrastate switched access amount in excess of Verizon’s access rates, or the access rates of other Pennsylvania ILECs (in whose territory FiberNet operated), it too will be liable for refunding the difference according to the rulings set forth above.  The evidence of record established that FiberNet’s filed tariff was higher than Verizon’s.  All of Verizon’s criticism directed to the cost studies included the study offered to justify FiberNet’s tariffed rate.  My conclusion above that Verizon was successful in destroying the credibility of the Companies’ cost studies included the FiberNet cost study.  However, the evidence clearly indicates that FiberNet charged Verizon </w:t>
      </w:r>
      <w:r>
        <w:rPr>
          <w:u w:val="single"/>
        </w:rPr>
        <w:t>less than Verizon’s rates for intrastate access</w:t>
      </w:r>
      <w:r>
        <w:t xml:space="preserve"> and that FiberNet did not begin to provide intrastate switched access to Verizon until 2006.  As noted previously, the Companies are not entitled to backbill Verizon for the full amount of the current FiberNet tariff.  Instead, the respondents are entitled to a credit for the difference between what Verizon actually paid and the comparable Verizon rate.  There is limited evidence about what FiberNet charged other ILECs, CLECs and IXCs.  Because </w:t>
      </w:r>
    </w:p>
    <w:p w:rsidR="00062229" w:rsidRDefault="00062229" w:rsidP="00062229">
      <w:r>
        <w:t>Section 1312(a) requires a refund for all patrons when the tariffed rates are found to be unjust and unreasonable, the other patrons may be owed a refund or liable for a credit dependent on the actual amount charged by FiberNet.</w:t>
      </w:r>
    </w:p>
    <w:p w:rsidR="00062229" w:rsidRDefault="00062229" w:rsidP="00062229"/>
    <w:p w:rsidR="00062229" w:rsidRDefault="00062229" w:rsidP="00062229">
      <w:r>
        <w:tab/>
      </w:r>
      <w:r>
        <w:tab/>
        <w:t xml:space="preserve">In conclusion I emphasize that these cases have been pending before me for approximately three years.  Some of the delay is attributable to me, and some of the delay was due to the parties’ two failed attempts to settle the cases.  After the </w:t>
      </w:r>
      <w:r>
        <w:rPr>
          <w:i/>
        </w:rPr>
        <w:t>PTI</w:t>
      </w:r>
      <w:r>
        <w:t xml:space="preserve"> and </w:t>
      </w:r>
      <w:r>
        <w:rPr>
          <w:i/>
        </w:rPr>
        <w:t>CTSI</w:t>
      </w:r>
      <w:r>
        <w:t xml:space="preserve"> cases were resolved by the Commission’s Opinions and Orders, adopted August 7, 2008 and entered </w:t>
      </w:r>
    </w:p>
    <w:p w:rsidR="00062229" w:rsidRDefault="00062229" w:rsidP="00062229">
      <w:r>
        <w:t xml:space="preserve">August 29, 2008, I contacted the parties informally by e-mail, dated August 27, 2008.  At that time I informed the parties that my decision would likely resemble the decisions prepared by Administrative Law Judges Weismandel and Colwell in the </w:t>
      </w:r>
      <w:r>
        <w:rPr>
          <w:i/>
        </w:rPr>
        <w:t>PTI</w:t>
      </w:r>
      <w:r>
        <w:t xml:space="preserve"> and </w:t>
      </w:r>
      <w:r>
        <w:rPr>
          <w:i/>
        </w:rPr>
        <w:t>CTSI</w:t>
      </w:r>
      <w:r>
        <w:t xml:space="preserve"> cases, respectively.     I met with the parties in an off-the-record conference call on September 3, 2008.  The parties agreed to implement the mediation process in conformity to the directions in the </w:t>
      </w:r>
      <w:r>
        <w:rPr>
          <w:i/>
        </w:rPr>
        <w:t>PTI</w:t>
      </w:r>
      <w:r>
        <w:t xml:space="preserve"> and </w:t>
      </w:r>
      <w:r>
        <w:rPr>
          <w:i/>
        </w:rPr>
        <w:t>CTSI</w:t>
      </w:r>
      <w:r>
        <w:t xml:space="preserve"> cases.</w:t>
      </w:r>
      <w:r w:rsidR="006A223F">
        <w:t xml:space="preserve"> </w:t>
      </w:r>
      <w:r>
        <w:t xml:space="preserve"> Their agreement was confirmed by my e-mail of the same date.  The mediation was not successful, and in January 2009 the cases were returned to my docket.  On August 17, 2009,        </w:t>
      </w:r>
      <w:r>
        <w:lastRenderedPageBreak/>
        <w:t xml:space="preserve">I held an on-the-record status conference by telephone.  At that time the parties agreed to enter into settlement negotiations and to regularly report their progress to me.  By e-mail dated December 3, 2009, counsel for Verizon informed me that the settlement negotiations were unsuccessful.  I have provided this procedural review to highlight the fact that the parties have already attempted to implement the guidance provided in the </w:t>
      </w:r>
      <w:r>
        <w:rPr>
          <w:i/>
        </w:rPr>
        <w:t>PTI</w:t>
      </w:r>
      <w:r>
        <w:t xml:space="preserve"> and </w:t>
      </w:r>
      <w:r>
        <w:rPr>
          <w:i/>
        </w:rPr>
        <w:t>CTSI</w:t>
      </w:r>
      <w:r>
        <w:t xml:space="preserve"> cases, as well as a second settlement effort which failed.  While I appreciate the parties willingness to try to settle, there are few choices left for a remedy.  Because in August 2008 I explained my likely recommendation to the parties, I find that there is no reason to delay implementation of the remedy.  Accordingly, the One Communications Companies will be directed to promptly file revised tariffs and make the appropriate refunds.</w:t>
      </w:r>
    </w:p>
    <w:p w:rsidR="00062229" w:rsidRDefault="00062229" w:rsidP="00062229"/>
    <w:p w:rsidR="00062229" w:rsidRPr="004D7C83" w:rsidRDefault="00062229" w:rsidP="00062229">
      <w:r>
        <w:t>H.</w:t>
      </w:r>
      <w:r>
        <w:tab/>
      </w:r>
      <w:r>
        <w:rPr>
          <w:u w:val="single"/>
        </w:rPr>
        <w:t>MISCELLANEOUS</w:t>
      </w:r>
    </w:p>
    <w:p w:rsidR="00062229" w:rsidRDefault="00062229" w:rsidP="00062229"/>
    <w:p w:rsidR="00062229" w:rsidRDefault="00062229" w:rsidP="00062229">
      <w:r>
        <w:tab/>
      </w:r>
      <w:r>
        <w:tab/>
        <w:t>As noted in the History of the Proceeding, there are a variety of motions pending.  All of the motions concerned the extra-record evidence which was attached to the One Communications Companies’ main and reply briefs and which was withdrawn.  I will review them briefly below.</w:t>
      </w:r>
    </w:p>
    <w:p w:rsidR="00062229" w:rsidRDefault="00062229" w:rsidP="00062229"/>
    <w:p w:rsidR="00062229" w:rsidRDefault="00062229" w:rsidP="00062229">
      <w:r>
        <w:tab/>
      </w:r>
      <w:r>
        <w:tab/>
        <w:t>Both Verizon and the Companies filed their main briefs on March 6, 2008.  By letter dated April 7, 2008, Verizon filed a Motion to Strike Extra-Record Evidence in the Main Brief Filed by the One Communications Companies.  By letter dated April 18, 2008</w:t>
      </w:r>
      <w:r w:rsidR="006A223F">
        <w:t>,</w:t>
      </w:r>
      <w:r>
        <w:t xml:space="preserve"> the Companies filed their Opposition of One Communications to Verizon Motion to Strike.  At the same time the Companies filed their Petition of the One Communications Companies to Reopen Record for the Admission of Public Documents and Adjudicative Facts.  By letter dated </w:t>
      </w:r>
    </w:p>
    <w:p w:rsidR="00062229" w:rsidRDefault="00062229" w:rsidP="00062229">
      <w:r>
        <w:t>April 28, 2008</w:t>
      </w:r>
      <w:r w:rsidR="006A223F">
        <w:t>,</w:t>
      </w:r>
      <w:r>
        <w:t xml:space="preserve"> Verizon filed its Opposition of Verizon to Petition to Reopen the Record filed by the One Communications Companies.</w:t>
      </w:r>
    </w:p>
    <w:p w:rsidR="00062229" w:rsidRDefault="00062229" w:rsidP="00062229">
      <w:r>
        <w:t xml:space="preserve">  </w:t>
      </w:r>
    </w:p>
    <w:p w:rsidR="00062229" w:rsidRDefault="00062229" w:rsidP="00062229">
      <w:r>
        <w:tab/>
      </w:r>
      <w:r>
        <w:tab/>
        <w:t xml:space="preserve">Both Verizon and the Companies filed their reply briefs on April 8, 2008.  By letter dated April 28, 2008, Verizon filed a Motion to Strike Extra-Record Evidence in the Reply Brief Filed by the One Communications Companies.  At the same time Verizon filed its Motion of Verizon to Strike Refund Argument, or Alternatively for Leave to File a Limited Surreply </w:t>
      </w:r>
      <w:r>
        <w:lastRenderedPageBreak/>
        <w:t>Brief.  By letter dated May 14, 2008</w:t>
      </w:r>
      <w:r w:rsidR="006A223F">
        <w:t>,</w:t>
      </w:r>
      <w:r>
        <w:t xml:space="preserve"> the Companies filed their Opposition of One Communications Companies to Motion of Verizon to Strike.  At the same time the Companies filed their Opposition of One Communications to Motion of Verizon to Strike Refund Argument, or Alternatively for Leave to File a Limited Surreply Brief.  </w:t>
      </w:r>
    </w:p>
    <w:p w:rsidR="00062229" w:rsidRDefault="00062229" w:rsidP="00062229"/>
    <w:p w:rsidR="00062229" w:rsidRDefault="00062229" w:rsidP="00062229">
      <w:r>
        <w:tab/>
      </w:r>
      <w:r>
        <w:tab/>
        <w:t>As noted above, on August 17, 2009, I held an on-the-record status conference by telephone.  At that time, not only did the parties agree to enter into settlement negotiations, but also the Companies agreed to withdraw the evidence which was the subject of the Motions.  By two letters dated August 19, 2009, the Companies withdrew the information in both of their briefs which was the target of the Motions.  By letter dated August 18, 2009, Verizon withdrew the Supplemental Prehearing Memorandum (previously labeled Verizon Surreply Brief Limited to the Issue of a Refund) which it had filed on August 14, 2008.</w:t>
      </w:r>
    </w:p>
    <w:p w:rsidR="00062229" w:rsidRDefault="00062229" w:rsidP="00062229"/>
    <w:p w:rsidR="00062229" w:rsidRDefault="00062229" w:rsidP="00062229">
      <w:r>
        <w:tab/>
      </w:r>
      <w:r>
        <w:tab/>
        <w:t>Having reviewed the motions and the record, I find that all of the motions were rendered moot by the Companies’ letters dated August 19, 2008 and that no further rulings are needed.</w:t>
      </w:r>
    </w:p>
    <w:p w:rsidR="00062229" w:rsidRDefault="00062229" w:rsidP="00062229"/>
    <w:p w:rsidR="00062229" w:rsidRPr="0087200E" w:rsidRDefault="00062229" w:rsidP="00062229">
      <w:pPr>
        <w:jc w:val="center"/>
      </w:pPr>
      <w:r>
        <w:rPr>
          <w:u w:val="single"/>
        </w:rPr>
        <w:t>CONCLUSIONS OF LAW</w:t>
      </w:r>
    </w:p>
    <w:p w:rsidR="00062229" w:rsidRDefault="00062229" w:rsidP="00062229"/>
    <w:p w:rsidR="00062229" w:rsidRDefault="00062229" w:rsidP="00062229">
      <w:pPr>
        <w:numPr>
          <w:ilvl w:val="0"/>
          <w:numId w:val="2"/>
        </w:numPr>
        <w:ind w:left="0" w:firstLine="1440"/>
      </w:pPr>
      <w:r>
        <w:t xml:space="preserve">The Commission has jurisdiction over the parties and subject matter of this proceeding.  </w:t>
      </w:r>
      <w:r w:rsidRPr="00D14305">
        <w:t xml:space="preserve">66 </w:t>
      </w:r>
      <w:smartTag w:uri="urn:schemas-microsoft-com:office:smarttags" w:element="place">
        <w:smartTag w:uri="urn:schemas-microsoft-com:office:smarttags" w:element="State">
          <w:r w:rsidRPr="00D14305">
            <w:t>Pa.</w:t>
          </w:r>
        </w:smartTag>
      </w:smartTag>
      <w:r>
        <w:t xml:space="preserve"> C.S. § 701.</w:t>
      </w:r>
    </w:p>
    <w:p w:rsidR="00062229" w:rsidRDefault="00062229" w:rsidP="00062229">
      <w:pPr>
        <w:ind w:left="1440"/>
      </w:pPr>
    </w:p>
    <w:p w:rsidR="00062229" w:rsidRDefault="00062229" w:rsidP="00062229">
      <w:pPr>
        <w:numPr>
          <w:ilvl w:val="0"/>
          <w:numId w:val="2"/>
        </w:numPr>
        <w:ind w:left="0" w:firstLine="1440"/>
      </w:pPr>
      <w:r w:rsidRPr="00D14305">
        <w:t xml:space="preserve">As the party seeking affirmative relief from the Commission, </w:t>
      </w:r>
      <w:r>
        <w:t>the c</w:t>
      </w:r>
      <w:r w:rsidRPr="00D14305">
        <w:t xml:space="preserve">omplainant bears the burden of proof.  66 </w:t>
      </w:r>
      <w:smartTag w:uri="urn:schemas-microsoft-com:office:smarttags" w:element="place">
        <w:smartTag w:uri="urn:schemas-microsoft-com:office:smarttags" w:element="State">
          <w:r w:rsidRPr="00D14305">
            <w:t>Pa.</w:t>
          </w:r>
        </w:smartTag>
      </w:smartTag>
      <w:r>
        <w:t xml:space="preserve"> C.S. §332(a).</w:t>
      </w:r>
    </w:p>
    <w:p w:rsidR="00062229" w:rsidRDefault="00062229" w:rsidP="00062229">
      <w:pPr>
        <w:ind w:left="1440"/>
      </w:pPr>
    </w:p>
    <w:p w:rsidR="00062229" w:rsidRPr="006C3830" w:rsidRDefault="00062229" w:rsidP="00062229">
      <w:pPr>
        <w:numPr>
          <w:ilvl w:val="0"/>
          <w:numId w:val="2"/>
        </w:numPr>
        <w:ind w:left="0" w:firstLine="1440"/>
      </w:pPr>
      <w:r>
        <w:t>A</w:t>
      </w:r>
      <w:r w:rsidRPr="00D14305">
        <w:rPr>
          <w:spacing w:val="-3"/>
        </w:rPr>
        <w:t xml:space="preserve"> complainant must show that the named utility is responsible or accountable for the problem described in the Complaint in order to prevail.  </w:t>
      </w:r>
      <w:r w:rsidRPr="00EE3F06">
        <w:rPr>
          <w:i/>
          <w:spacing w:val="-3"/>
        </w:rPr>
        <w:t xml:space="preserve">Patterson v. Bell Telephone Company of </w:t>
      </w:r>
      <w:smartTag w:uri="urn:schemas-microsoft-com:office:smarttags" w:element="State">
        <w:r w:rsidRPr="00EE3F06">
          <w:rPr>
            <w:i/>
            <w:spacing w:val="-3"/>
          </w:rPr>
          <w:t>Pennsylvania</w:t>
        </w:r>
      </w:smartTag>
      <w:r w:rsidRPr="00D14305">
        <w:rPr>
          <w:spacing w:val="-3"/>
        </w:rPr>
        <w:t xml:space="preserve">, 72 </w:t>
      </w:r>
      <w:smartTag w:uri="urn:schemas-microsoft-com:office:smarttags" w:element="State">
        <w:r w:rsidRPr="00D14305">
          <w:rPr>
            <w:spacing w:val="-3"/>
          </w:rPr>
          <w:t>Pa.</w:t>
        </w:r>
      </w:smartTag>
      <w:r w:rsidRPr="00D14305">
        <w:rPr>
          <w:spacing w:val="-3"/>
        </w:rPr>
        <w:t xml:space="preserve"> PUC 196 (1990); </w:t>
      </w:r>
      <w:r w:rsidRPr="00EE3F06">
        <w:rPr>
          <w:i/>
          <w:spacing w:val="-3"/>
        </w:rPr>
        <w:t>Feinstein v. Philadelphia Suburban Water Company</w:t>
      </w:r>
      <w:r w:rsidRPr="00D14305">
        <w:rPr>
          <w:spacing w:val="-3"/>
        </w:rPr>
        <w:t xml:space="preserve">, 50 </w:t>
      </w:r>
      <w:smartTag w:uri="urn:schemas-microsoft-com:office:smarttags" w:element="place">
        <w:smartTag w:uri="urn:schemas-microsoft-com:office:smarttags" w:element="State">
          <w:r w:rsidRPr="00D14305">
            <w:rPr>
              <w:spacing w:val="-3"/>
            </w:rPr>
            <w:t>Pa.</w:t>
          </w:r>
        </w:smartTag>
      </w:smartTag>
      <w:r>
        <w:rPr>
          <w:spacing w:val="-3"/>
        </w:rPr>
        <w:t xml:space="preserve"> PUC 300 (1976).</w:t>
      </w:r>
    </w:p>
    <w:p w:rsidR="00062229" w:rsidRPr="006C3830" w:rsidRDefault="00062229" w:rsidP="00062229">
      <w:pPr>
        <w:ind w:left="1440"/>
      </w:pPr>
    </w:p>
    <w:p w:rsidR="00062229" w:rsidRPr="006C3830" w:rsidRDefault="00062229" w:rsidP="00062229">
      <w:pPr>
        <w:numPr>
          <w:ilvl w:val="0"/>
          <w:numId w:val="2"/>
        </w:numPr>
        <w:ind w:left="0" w:firstLine="1440"/>
      </w:pPr>
      <w:r>
        <w:rPr>
          <w:spacing w:val="-3"/>
        </w:rPr>
        <w:lastRenderedPageBreak/>
        <w:t xml:space="preserve">The burden of proof must be carried </w:t>
      </w:r>
      <w:r w:rsidRPr="00D14305">
        <w:rPr>
          <w:spacing w:val="-3"/>
        </w:rPr>
        <w:t xml:space="preserve">by a preponderance of the evidence.  </w:t>
      </w:r>
      <w:r w:rsidRPr="00EE3F06">
        <w:rPr>
          <w:i/>
          <w:spacing w:val="-3"/>
        </w:rPr>
        <w:t>Samuel J. Lansberry, Inc. v. PA Public Utility Comm’n</w:t>
      </w:r>
      <w:r w:rsidRPr="00D14305">
        <w:rPr>
          <w:spacing w:val="-3"/>
        </w:rPr>
        <w:t xml:space="preserve">, 578 A.2d 600 (1990), </w:t>
      </w:r>
      <w:r w:rsidRPr="00D14305">
        <w:rPr>
          <w:i/>
          <w:spacing w:val="-3"/>
        </w:rPr>
        <w:t>alloc. den.</w:t>
      </w:r>
      <w:r w:rsidRPr="00D14305">
        <w:rPr>
          <w:spacing w:val="-3"/>
        </w:rPr>
        <w:t xml:space="preserve">, 602 A.2d 863 (1992).  That is, by presenting evidence more convincing, by even the smallest amount, than that presented by the other party.  </w:t>
      </w:r>
      <w:r w:rsidRPr="00EE3F06">
        <w:rPr>
          <w:i/>
          <w:spacing w:val="-3"/>
        </w:rPr>
        <w:t>Se-Ling Hosiery v. Marqulies</w:t>
      </w:r>
      <w:r>
        <w:rPr>
          <w:spacing w:val="-3"/>
        </w:rPr>
        <w:t>, 70 A.2d 854 (1950).</w:t>
      </w:r>
    </w:p>
    <w:p w:rsidR="00062229" w:rsidRPr="006C3830" w:rsidRDefault="00062229" w:rsidP="00062229">
      <w:pPr>
        <w:ind w:left="1440"/>
      </w:pPr>
    </w:p>
    <w:p w:rsidR="00062229" w:rsidRDefault="00062229" w:rsidP="00062229">
      <w:pPr>
        <w:numPr>
          <w:ilvl w:val="0"/>
          <w:numId w:val="2"/>
        </w:numPr>
        <w:ind w:left="0" w:firstLine="1440"/>
      </w:pPr>
      <w:r>
        <w:rPr>
          <w:spacing w:val="-3"/>
        </w:rPr>
        <w:t>A</w:t>
      </w:r>
      <w:r w:rsidRPr="00D14305">
        <w:rPr>
          <w:spacing w:val="-3"/>
        </w:rPr>
        <w:t xml:space="preserve">ny finding of fact necessary to support the Commission’s adjudication must be based upon substantial evidence.  </w:t>
      </w:r>
      <w:r w:rsidRPr="00EE3F06">
        <w:rPr>
          <w:i/>
          <w:spacing w:val="-3"/>
        </w:rPr>
        <w:t>Mill v. Comm’w., PA Public Utility Comm’n</w:t>
      </w:r>
      <w:r w:rsidRPr="00D14305">
        <w:rPr>
          <w:spacing w:val="-3"/>
        </w:rPr>
        <w:t xml:space="preserve">, 447 A.2d 1100 (1982); </w:t>
      </w:r>
      <w:r w:rsidRPr="00EE3F06">
        <w:rPr>
          <w:i/>
          <w:spacing w:val="-3"/>
        </w:rPr>
        <w:t>Edan Transportation Corp. v. PA Public Utility Comm’n</w:t>
      </w:r>
      <w:r w:rsidRPr="00D14305">
        <w:rPr>
          <w:spacing w:val="-3"/>
        </w:rPr>
        <w:t>, 623 A.2d 6 (1993), 2 Pa.</w:t>
      </w:r>
      <w:r>
        <w:rPr>
          <w:spacing w:val="-3"/>
        </w:rPr>
        <w:t xml:space="preserve"> </w:t>
      </w:r>
      <w:r w:rsidRPr="00D14305">
        <w:rPr>
          <w:spacing w:val="-3"/>
        </w:rPr>
        <w:t xml:space="preserve">C.S. §704.  More is required than a mere trace of evidence or a suspicion of the existence of a fact sought to be established.  </w:t>
      </w:r>
      <w:smartTag w:uri="urn:schemas-microsoft-com:office:smarttags" w:element="place">
        <w:smartTag w:uri="urn:schemas-microsoft-com:office:smarttags" w:element="City">
          <w:r w:rsidRPr="00EE3F06">
            <w:rPr>
              <w:i/>
              <w:spacing w:val="-3"/>
            </w:rPr>
            <w:t>Norfolk</w:t>
          </w:r>
        </w:smartTag>
      </w:smartTag>
      <w:r w:rsidRPr="00EE3F06">
        <w:rPr>
          <w:i/>
          <w:spacing w:val="-3"/>
        </w:rPr>
        <w:t xml:space="preserve"> and Western Ry. v. PA Public Utility Comm’n</w:t>
      </w:r>
      <w:r w:rsidRPr="00D14305">
        <w:rPr>
          <w:spacing w:val="-3"/>
        </w:rPr>
        <w:t xml:space="preserve">, 413 A.2d 1037 (1980); </w:t>
      </w:r>
      <w:r w:rsidRPr="00EE3F06">
        <w:rPr>
          <w:i/>
          <w:spacing w:val="-3"/>
        </w:rPr>
        <w:t>Erie Resistor Corp. v. Unemployment Compensation Bd. of Review</w:t>
      </w:r>
      <w:r w:rsidRPr="00D14305">
        <w:rPr>
          <w:spacing w:val="-3"/>
        </w:rPr>
        <w:t xml:space="preserve">, 166 A.2d 96 (1960); </w:t>
      </w:r>
      <w:r w:rsidRPr="00EE3F06">
        <w:rPr>
          <w:i/>
          <w:spacing w:val="-3"/>
        </w:rPr>
        <w:t xml:space="preserve">Murphy v. Commonwealth, Dep’t. of Public Welfare, </w:t>
      </w:r>
      <w:smartTag w:uri="urn:schemas-microsoft-com:office:smarttags" w:element="place">
        <w:smartTag w:uri="urn:schemas-microsoft-com:office:smarttags" w:element="PlaceName">
          <w:r w:rsidRPr="00EE3F06">
            <w:rPr>
              <w:i/>
              <w:spacing w:val="-3"/>
            </w:rPr>
            <w:t>White</w:t>
          </w:r>
        </w:smartTag>
        <w:r w:rsidRPr="00EE3F06">
          <w:rPr>
            <w:i/>
            <w:spacing w:val="-3"/>
          </w:rPr>
          <w:t xml:space="preserve"> </w:t>
        </w:r>
        <w:smartTag w:uri="urn:schemas-microsoft-com:office:smarttags" w:element="PlaceName">
          <w:r w:rsidRPr="00EE3F06">
            <w:rPr>
              <w:i/>
              <w:spacing w:val="-3"/>
            </w:rPr>
            <w:t>Haven</w:t>
          </w:r>
        </w:smartTag>
        <w:r w:rsidRPr="00EE3F06">
          <w:rPr>
            <w:i/>
            <w:spacing w:val="-3"/>
          </w:rPr>
          <w:t xml:space="preserve"> </w:t>
        </w:r>
        <w:smartTag w:uri="urn:schemas-microsoft-com:office:smarttags" w:element="PlaceType">
          <w:r w:rsidRPr="00EE3F06">
            <w:rPr>
              <w:i/>
              <w:spacing w:val="-3"/>
            </w:rPr>
            <w:t>Center</w:t>
          </w:r>
        </w:smartTag>
      </w:smartTag>
      <w:r w:rsidRPr="00D14305">
        <w:rPr>
          <w:spacing w:val="-3"/>
        </w:rPr>
        <w:t>, 480 A.2d 382 (1984).</w:t>
      </w:r>
    </w:p>
    <w:p w:rsidR="00062229" w:rsidRDefault="00062229" w:rsidP="00062229">
      <w:pPr>
        <w:ind w:left="1440"/>
      </w:pPr>
    </w:p>
    <w:p w:rsidR="00062229" w:rsidRDefault="00062229" w:rsidP="00062229">
      <w:pPr>
        <w:numPr>
          <w:ilvl w:val="0"/>
          <w:numId w:val="2"/>
        </w:numPr>
        <w:ind w:left="0" w:firstLine="1440"/>
      </w:pPr>
      <w:r>
        <w:t xml:space="preserve">Each of the One Communications Companies is a telecommunications carrier providing competitive local exchange telecommunications service and is subject to the requirements of </w:t>
      </w:r>
      <w:r>
        <w:rPr>
          <w:color w:val="000000"/>
        </w:rPr>
        <w:t>66 Pa. C.S. § 3017(c).</w:t>
      </w:r>
    </w:p>
    <w:p w:rsidR="00062229" w:rsidRDefault="00062229" w:rsidP="00062229">
      <w:pPr>
        <w:ind w:firstLine="1440"/>
      </w:pPr>
    </w:p>
    <w:p w:rsidR="00062229" w:rsidRPr="00297C42" w:rsidRDefault="00062229" w:rsidP="00062229">
      <w:pPr>
        <w:numPr>
          <w:ilvl w:val="0"/>
          <w:numId w:val="2"/>
        </w:numPr>
        <w:ind w:left="0" w:firstLine="1440"/>
      </w:pPr>
      <w:r>
        <w:t xml:space="preserve">In the service territories of Verizon PA and Verizon North, Choice One and CTC are charging access rates higher than those charged by the incumbent local exchange telecommunications company in the same service territory in violation of </w:t>
      </w:r>
      <w:r>
        <w:rPr>
          <w:color w:val="000000"/>
        </w:rPr>
        <w:t>66 Pa. C.S. § 3017(c).</w:t>
      </w:r>
      <w:r w:rsidRPr="00096775">
        <w:rPr>
          <w:color w:val="000000"/>
        </w:rPr>
        <w:t xml:space="preserve"> </w:t>
      </w:r>
      <w:r>
        <w:rPr>
          <w:color w:val="000000"/>
        </w:rPr>
        <w:t xml:space="preserve"> </w:t>
      </w:r>
    </w:p>
    <w:p w:rsidR="00062229" w:rsidRPr="00297C42" w:rsidRDefault="00062229" w:rsidP="00062229">
      <w:pPr>
        <w:ind w:left="1440"/>
      </w:pPr>
    </w:p>
    <w:p w:rsidR="00062229" w:rsidRDefault="00062229" w:rsidP="00062229">
      <w:pPr>
        <w:numPr>
          <w:ilvl w:val="0"/>
          <w:numId w:val="2"/>
        </w:numPr>
        <w:ind w:left="0" w:firstLine="1440"/>
      </w:pPr>
      <w:r>
        <w:t xml:space="preserve">In the service territories of Verizon PA and Verizon North, FiberNet maintains a tariffed access rates higher than the rates charged by the incumbent local exchange telecommunications company in the same service territory in violation of </w:t>
      </w:r>
      <w:r>
        <w:rPr>
          <w:color w:val="000000"/>
        </w:rPr>
        <w:t>66 Pa. C.S. § 3017(c).</w:t>
      </w:r>
    </w:p>
    <w:p w:rsidR="00062229" w:rsidRDefault="00062229" w:rsidP="00062229">
      <w:pPr>
        <w:ind w:left="1440"/>
      </w:pPr>
    </w:p>
    <w:p w:rsidR="00062229" w:rsidRDefault="00062229" w:rsidP="00062229">
      <w:pPr>
        <w:numPr>
          <w:ilvl w:val="0"/>
          <w:numId w:val="2"/>
        </w:numPr>
        <w:ind w:left="0" w:firstLine="1440"/>
      </w:pPr>
      <w:r>
        <w:t xml:space="preserve">The provisions of </w:t>
      </w:r>
      <w:r w:rsidRPr="006877F7">
        <w:t>66 Pa.</w:t>
      </w:r>
      <w:r>
        <w:t xml:space="preserve"> C.</w:t>
      </w:r>
      <w:r w:rsidRPr="006877F7">
        <w:t>S. §</w:t>
      </w:r>
      <w:r>
        <w:t xml:space="preserve"> </w:t>
      </w:r>
      <w:r w:rsidRPr="006877F7">
        <w:t>301</w:t>
      </w:r>
      <w:r>
        <w:t>7</w:t>
      </w:r>
      <w:r w:rsidRPr="006877F7">
        <w:t>(</w:t>
      </w:r>
      <w:r>
        <w:t>c</w:t>
      </w:r>
      <w:r w:rsidRPr="006877F7">
        <w:t>)</w:t>
      </w:r>
      <w:r>
        <w:t xml:space="preserve"> became effective on        November 30, 2004.  </w:t>
      </w:r>
      <w:r w:rsidRPr="006877F7">
        <w:t>66 Pa.</w:t>
      </w:r>
      <w:r>
        <w:t xml:space="preserve"> C.</w:t>
      </w:r>
      <w:r w:rsidRPr="006877F7">
        <w:t>S. §</w:t>
      </w:r>
      <w:r>
        <w:t xml:space="preserve"> </w:t>
      </w:r>
      <w:r w:rsidRPr="006877F7">
        <w:t>301</w:t>
      </w:r>
      <w:r>
        <w:t>7</w:t>
      </w:r>
      <w:r w:rsidRPr="006877F7">
        <w:t>(</w:t>
      </w:r>
      <w:r>
        <w:t>c</w:t>
      </w:r>
      <w:r w:rsidRPr="006877F7">
        <w:t>)</w:t>
      </w:r>
      <w:r>
        <w:t xml:space="preserve"> contains the following mandate applicable to the intrastate switched access rates charged by CLECs:</w:t>
      </w:r>
    </w:p>
    <w:p w:rsidR="00062229" w:rsidRDefault="00062229" w:rsidP="00062229">
      <w:pPr>
        <w:ind w:left="1440"/>
      </w:pPr>
    </w:p>
    <w:p w:rsidR="00062229" w:rsidRDefault="00062229" w:rsidP="00062229">
      <w:pPr>
        <w:spacing w:line="240" w:lineRule="auto"/>
        <w:ind w:left="1440" w:right="1440"/>
      </w:pPr>
      <w:r>
        <w:t xml:space="preserve">Limitation - No telecommunications carrier providing competitive local exchange telecommunications service may charge access rates higher than those charged by the incumbent local exchange </w:t>
      </w:r>
      <w:r>
        <w:lastRenderedPageBreak/>
        <w:t xml:space="preserve">telecommunications company in the same service territory unless such carrier can demonstrate that the higher access rates are cost justified.  </w:t>
      </w:r>
    </w:p>
    <w:p w:rsidR="00062229" w:rsidRDefault="00062229" w:rsidP="00062229">
      <w:pPr>
        <w:spacing w:line="240" w:lineRule="auto"/>
        <w:ind w:left="1440" w:right="1440"/>
        <w:jc w:val="both"/>
      </w:pPr>
    </w:p>
    <w:p w:rsidR="00062229" w:rsidRDefault="00062229" w:rsidP="00062229">
      <w:pPr>
        <w:ind w:right="1440"/>
        <w:jc w:val="both"/>
      </w:pPr>
      <w:r>
        <w:t>66 Pa. C.S. § 3017(c).</w:t>
      </w:r>
    </w:p>
    <w:p w:rsidR="00062229" w:rsidRDefault="00062229" w:rsidP="00062229">
      <w:pPr>
        <w:ind w:left="1440" w:right="1440"/>
        <w:jc w:val="both"/>
      </w:pPr>
    </w:p>
    <w:p w:rsidR="00062229" w:rsidRDefault="00062229" w:rsidP="00062229">
      <w:pPr>
        <w:numPr>
          <w:ilvl w:val="0"/>
          <w:numId w:val="2"/>
        </w:numPr>
        <w:ind w:left="0" w:firstLine="1440"/>
      </w:pPr>
      <w:r>
        <w:t>The complainant’s initial burden is to prove that:  (1) the above statutory section is applicable in this instance; and</w:t>
      </w:r>
      <w:r w:rsidR="006A223F">
        <w:t xml:space="preserve"> (2) the respondents’ switched </w:t>
      </w:r>
      <w:r>
        <w:t>access rates are higher than complainant’s rates.</w:t>
      </w:r>
    </w:p>
    <w:p w:rsidR="00062229" w:rsidRDefault="00062229" w:rsidP="00062229">
      <w:pPr>
        <w:ind w:left="1440"/>
      </w:pPr>
    </w:p>
    <w:p w:rsidR="00062229" w:rsidRDefault="00062229" w:rsidP="00062229">
      <w:pPr>
        <w:numPr>
          <w:ilvl w:val="0"/>
          <w:numId w:val="2"/>
        </w:numPr>
        <w:ind w:left="0" w:firstLine="1440"/>
      </w:pPr>
      <w:r>
        <w:t>Verizon satisfied it</w:t>
      </w:r>
      <w:r w:rsidR="006A223F">
        <w:t>s</w:t>
      </w:r>
      <w:r>
        <w:t xml:space="preserve"> burden of proof by virtue of One Communications Companies’ admissions that their switched access rates exceeded those of Verizon.</w:t>
      </w:r>
    </w:p>
    <w:p w:rsidR="00062229" w:rsidRDefault="00062229" w:rsidP="00062229">
      <w:pPr>
        <w:ind w:left="1440"/>
      </w:pPr>
    </w:p>
    <w:p w:rsidR="00062229" w:rsidRDefault="00062229" w:rsidP="00062229">
      <w:pPr>
        <w:numPr>
          <w:ilvl w:val="0"/>
          <w:numId w:val="2"/>
        </w:numPr>
        <w:ind w:left="0" w:firstLine="1440"/>
      </w:pPr>
      <w:r>
        <w:t>A CLEC’s access rate is not per se unreasonable merely because it exceeds the ILEC rate.</w:t>
      </w:r>
    </w:p>
    <w:p w:rsidR="00062229" w:rsidRDefault="00062229" w:rsidP="00062229">
      <w:pPr>
        <w:ind w:left="1440"/>
      </w:pPr>
    </w:p>
    <w:p w:rsidR="00062229" w:rsidRDefault="00062229" w:rsidP="00062229">
      <w:pPr>
        <w:numPr>
          <w:ilvl w:val="0"/>
          <w:numId w:val="2"/>
        </w:numPr>
        <w:ind w:left="0" w:firstLine="1440"/>
      </w:pPr>
      <w:r>
        <w:t>There is no single correct cost methodology.</w:t>
      </w:r>
    </w:p>
    <w:p w:rsidR="00062229" w:rsidRDefault="00062229" w:rsidP="00062229">
      <w:pPr>
        <w:ind w:left="1440"/>
      </w:pPr>
    </w:p>
    <w:p w:rsidR="00062229" w:rsidRDefault="00062229" w:rsidP="00062229">
      <w:pPr>
        <w:numPr>
          <w:ilvl w:val="0"/>
          <w:numId w:val="2"/>
        </w:numPr>
        <w:ind w:left="0" w:firstLine="1440"/>
      </w:pPr>
      <w:r>
        <w:t xml:space="preserve">“[T]he use of FDC and embedded cost revenue requirement standards and methods should be available to a CLEC for deriving a reasonable measure of underlying costs in order to cost justify its rates in the ILEC’s ‘same service territory.’”  </w:t>
      </w:r>
      <w:r>
        <w:rPr>
          <w:i/>
        </w:rPr>
        <w:t>PTI</w:t>
      </w:r>
      <w:r>
        <w:t xml:space="preserve"> at 15.</w:t>
      </w:r>
    </w:p>
    <w:p w:rsidR="00062229" w:rsidRDefault="00062229" w:rsidP="00062229">
      <w:pPr>
        <w:ind w:left="1440"/>
      </w:pPr>
    </w:p>
    <w:p w:rsidR="00062229" w:rsidRDefault="00062229" w:rsidP="00062229">
      <w:pPr>
        <w:numPr>
          <w:ilvl w:val="0"/>
          <w:numId w:val="2"/>
        </w:numPr>
        <w:ind w:left="0" w:firstLine="1440"/>
      </w:pPr>
      <w:r>
        <w:t>The third Applicable Legal Standard permits forward-looking cost studies so long as they “</w:t>
      </w:r>
      <w:r>
        <w:rPr>
          <w:szCs w:val="26"/>
        </w:rPr>
        <w:t xml:space="preserve">treat the CLEC’s loop costs as joint costs.”  This standard overrules Verizon’s position, that a forward-looking cost study must be used, and must exclude loop costs.  </w:t>
      </w:r>
      <w:r>
        <w:rPr>
          <w:i/>
        </w:rPr>
        <w:t>PTI</w:t>
      </w:r>
      <w:r>
        <w:t xml:space="preserve"> at 17.</w:t>
      </w:r>
    </w:p>
    <w:p w:rsidR="00062229" w:rsidRDefault="00062229" w:rsidP="00062229">
      <w:pPr>
        <w:ind w:left="1440"/>
      </w:pPr>
    </w:p>
    <w:p w:rsidR="00062229" w:rsidRDefault="00062229" w:rsidP="00062229">
      <w:pPr>
        <w:numPr>
          <w:ilvl w:val="0"/>
          <w:numId w:val="2"/>
        </w:numPr>
        <w:ind w:left="0" w:firstLine="1440"/>
      </w:pPr>
      <w:r>
        <w:t>The One Communications Companies’ studies were admissible as evidence.  However, the revenue requirement methodology used by Mr. Parrish did not credibly demonstrate that the</w:t>
      </w:r>
      <w:r w:rsidRPr="00132C8C">
        <w:t xml:space="preserve"> </w:t>
      </w:r>
      <w:r>
        <w:t>Companies’ access rates were cost justified.</w:t>
      </w:r>
    </w:p>
    <w:p w:rsidR="00062229" w:rsidRDefault="00062229" w:rsidP="00062229">
      <w:pPr>
        <w:ind w:left="1440"/>
      </w:pPr>
    </w:p>
    <w:p w:rsidR="00062229" w:rsidRDefault="00062229" w:rsidP="00062229">
      <w:pPr>
        <w:numPr>
          <w:ilvl w:val="0"/>
          <w:numId w:val="2"/>
        </w:numPr>
        <w:ind w:left="0" w:firstLine="1440"/>
      </w:pPr>
      <w:r>
        <w:t>One Communications Companies’</w:t>
      </w:r>
      <w:r>
        <w:rPr>
          <w:bCs/>
        </w:rPr>
        <w:t xml:space="preserve"> </w:t>
      </w:r>
      <w:r>
        <w:t xml:space="preserve">cost studies do not meet the applicable legal standards set forth in the Commission Orders in </w:t>
      </w:r>
      <w:r>
        <w:rPr>
          <w:i/>
        </w:rPr>
        <w:t>PTI</w:t>
      </w:r>
      <w:r>
        <w:t xml:space="preserve"> and </w:t>
      </w:r>
      <w:r>
        <w:rPr>
          <w:i/>
        </w:rPr>
        <w:t>CTSI</w:t>
      </w:r>
      <w:r>
        <w:t>.</w:t>
      </w:r>
    </w:p>
    <w:p w:rsidR="00062229" w:rsidRDefault="00062229" w:rsidP="00062229">
      <w:pPr>
        <w:numPr>
          <w:ilvl w:val="0"/>
          <w:numId w:val="2"/>
        </w:numPr>
        <w:ind w:left="0" w:firstLine="1440"/>
      </w:pPr>
      <w:r>
        <w:rPr>
          <w:color w:val="000000"/>
        </w:rPr>
        <w:lastRenderedPageBreak/>
        <w:t>The One Communications Companies did not met their burden under 66 Pa. C.S § 3017(c) to demonstrate that their higher switched access rates were cost justified.</w:t>
      </w:r>
    </w:p>
    <w:p w:rsidR="00062229" w:rsidRDefault="00062229" w:rsidP="00062229">
      <w:pPr>
        <w:ind w:left="1440"/>
      </w:pPr>
    </w:p>
    <w:p w:rsidR="00062229" w:rsidRDefault="00062229" w:rsidP="00062229">
      <w:pPr>
        <w:numPr>
          <w:ilvl w:val="0"/>
          <w:numId w:val="2"/>
        </w:numPr>
        <w:ind w:left="0" w:firstLine="1440"/>
      </w:pPr>
      <w:r>
        <w:t xml:space="preserve">Local loop costs are valid components of switched access costs.  </w:t>
      </w:r>
      <w:r>
        <w:rPr>
          <w:i/>
        </w:rPr>
        <w:t>PTI</w:t>
      </w:r>
      <w:r>
        <w:t xml:space="preserve"> and </w:t>
      </w:r>
      <w:r>
        <w:rPr>
          <w:i/>
        </w:rPr>
        <w:t>CTSI</w:t>
      </w:r>
      <w:r>
        <w:t>.</w:t>
      </w:r>
    </w:p>
    <w:p w:rsidR="00062229" w:rsidRDefault="00062229" w:rsidP="00062229">
      <w:pPr>
        <w:ind w:left="1440"/>
      </w:pPr>
    </w:p>
    <w:p w:rsidR="00062229" w:rsidRDefault="00062229" w:rsidP="00062229">
      <w:pPr>
        <w:numPr>
          <w:ilvl w:val="0"/>
          <w:numId w:val="2"/>
        </w:numPr>
        <w:ind w:left="0" w:firstLine="1440"/>
      </w:pPr>
      <w:r>
        <w:t xml:space="preserve">The Commission has consistently adopted the position that the fixed costs associated with the loop plant and facilities of ILECs should be allocated and recovered by services that utilize the local loop, including the ILECs’ intrastate carrier access services.  </w:t>
      </w:r>
      <w:r>
        <w:rPr>
          <w:i/>
        </w:rPr>
        <w:t>CTSI.</w:t>
      </w:r>
    </w:p>
    <w:p w:rsidR="00062229" w:rsidRDefault="00062229" w:rsidP="00062229">
      <w:pPr>
        <w:ind w:left="1440"/>
      </w:pPr>
    </w:p>
    <w:p w:rsidR="00062229" w:rsidRDefault="00062229" w:rsidP="00062229">
      <w:pPr>
        <w:numPr>
          <w:ilvl w:val="0"/>
          <w:numId w:val="2"/>
        </w:numPr>
        <w:ind w:left="0" w:firstLine="1440"/>
      </w:pPr>
      <w:r>
        <w:t>The Companies’</w:t>
      </w:r>
      <w:r w:rsidRPr="00AD28CE">
        <w:t xml:space="preserve"> </w:t>
      </w:r>
      <w:r>
        <w:t>cost studies were flawed and unreliable because they improperly inflated local loop costs.</w:t>
      </w:r>
    </w:p>
    <w:p w:rsidR="00062229" w:rsidRDefault="00062229" w:rsidP="00062229">
      <w:pPr>
        <w:ind w:left="1440"/>
      </w:pPr>
    </w:p>
    <w:p w:rsidR="00062229" w:rsidRDefault="00062229" w:rsidP="00062229">
      <w:pPr>
        <w:numPr>
          <w:ilvl w:val="0"/>
          <w:numId w:val="2"/>
        </w:numPr>
        <w:ind w:left="0" w:firstLine="1440"/>
      </w:pPr>
      <w:r>
        <w:t>One Communications</w:t>
      </w:r>
      <w:r w:rsidRPr="0009625B">
        <w:t xml:space="preserve"> </w:t>
      </w:r>
      <w:r>
        <w:t>Companies’ FDC studies fail to comply with the third Applicable Legal Standard.</w:t>
      </w:r>
    </w:p>
    <w:p w:rsidR="00062229" w:rsidRDefault="00062229" w:rsidP="00062229">
      <w:pPr>
        <w:ind w:left="1440"/>
      </w:pPr>
    </w:p>
    <w:p w:rsidR="00062229" w:rsidRDefault="00062229" w:rsidP="00062229">
      <w:pPr>
        <w:numPr>
          <w:ilvl w:val="0"/>
          <w:numId w:val="2"/>
        </w:numPr>
        <w:ind w:left="0" w:firstLine="1440"/>
      </w:pPr>
      <w:r>
        <w:t>The Companies’</w:t>
      </w:r>
      <w:r w:rsidRPr="00AD28CE">
        <w:t xml:space="preserve"> </w:t>
      </w:r>
      <w:r>
        <w:t>studies were flawed and unreliable because they improperly inflated the result by including revenue requirements assigned to interstate access service.</w:t>
      </w:r>
    </w:p>
    <w:p w:rsidR="00062229" w:rsidRDefault="00062229" w:rsidP="00062229">
      <w:pPr>
        <w:ind w:left="1440"/>
      </w:pPr>
    </w:p>
    <w:p w:rsidR="00062229" w:rsidRDefault="00062229" w:rsidP="00062229">
      <w:pPr>
        <w:numPr>
          <w:ilvl w:val="0"/>
          <w:numId w:val="2"/>
        </w:numPr>
        <w:ind w:left="0" w:firstLine="1440"/>
      </w:pPr>
      <w:r>
        <w:t>One Communications Companies are not entitled to recover their interstate costs shortfall in their intrastate switched access rates.</w:t>
      </w:r>
    </w:p>
    <w:p w:rsidR="00062229" w:rsidRDefault="00062229" w:rsidP="00062229">
      <w:pPr>
        <w:ind w:left="1440"/>
      </w:pPr>
    </w:p>
    <w:p w:rsidR="00062229" w:rsidRDefault="00062229" w:rsidP="00062229">
      <w:pPr>
        <w:numPr>
          <w:ilvl w:val="0"/>
          <w:numId w:val="2"/>
        </w:numPr>
        <w:ind w:left="0" w:firstLine="1440"/>
      </w:pPr>
      <w:r>
        <w:t>The Companies’ cost</w:t>
      </w:r>
      <w:r w:rsidRPr="00AD28CE">
        <w:t xml:space="preserve"> </w:t>
      </w:r>
      <w:r>
        <w:t>studies were flawed and unreliable because they improperly inflated the result by using flawed allocation factors.</w:t>
      </w:r>
    </w:p>
    <w:p w:rsidR="00062229" w:rsidRDefault="00062229" w:rsidP="00062229">
      <w:pPr>
        <w:ind w:left="1440"/>
      </w:pPr>
    </w:p>
    <w:p w:rsidR="00062229" w:rsidRPr="0039288E" w:rsidRDefault="00062229" w:rsidP="00062229">
      <w:pPr>
        <w:numPr>
          <w:ilvl w:val="0"/>
          <w:numId w:val="2"/>
        </w:numPr>
        <w:ind w:left="0" w:firstLine="1440"/>
      </w:pPr>
      <w:r>
        <w:t xml:space="preserve">According to 66 Pa. C.S. § 3012, </w:t>
      </w:r>
      <w:r>
        <w:rPr>
          <w:bCs/>
          <w:color w:val="000000"/>
        </w:rPr>
        <w:t>"Switched access service" is defined as “</w:t>
      </w:r>
      <w:r>
        <w:rPr>
          <w:color w:val="000000"/>
        </w:rPr>
        <w:t>A service which provides for the use of common terminating, switching and trunking facilities of a local exchange telecommunications company's public switched network. The term includes, but is not limited to, the rates for local switching, common and dedicated transport and the carrier charge.”</w:t>
      </w:r>
    </w:p>
    <w:p w:rsidR="00062229" w:rsidRDefault="00062229" w:rsidP="00062229">
      <w:pPr>
        <w:numPr>
          <w:ilvl w:val="0"/>
          <w:numId w:val="2"/>
        </w:numPr>
        <w:ind w:left="0" w:firstLine="1440"/>
      </w:pPr>
      <w:r>
        <w:lastRenderedPageBreak/>
        <w:t xml:space="preserve">A reasonable measure of costs for “switched access service” should include cost inputs related to “the use of common terminating, switching and trunking facilities,” along with cost inputs related to – but not limited to – the functionalities for “local switching and common and dedicated transport.”  </w:t>
      </w:r>
      <w:r>
        <w:rPr>
          <w:i/>
        </w:rPr>
        <w:t>Id</w:t>
      </w:r>
      <w:r>
        <w:t>.</w:t>
      </w:r>
    </w:p>
    <w:p w:rsidR="00062229" w:rsidRDefault="00062229" w:rsidP="00062229">
      <w:pPr>
        <w:ind w:left="1440"/>
      </w:pPr>
    </w:p>
    <w:p w:rsidR="00062229" w:rsidRDefault="00062229" w:rsidP="00062229">
      <w:pPr>
        <w:numPr>
          <w:ilvl w:val="0"/>
          <w:numId w:val="2"/>
        </w:numPr>
        <w:ind w:left="0" w:firstLine="1440"/>
      </w:pPr>
      <w:r>
        <w:t xml:space="preserve">The reasonable measure of costs should also include a “carrier charge,” </w:t>
      </w:r>
      <w:r>
        <w:rPr>
          <w:i/>
        </w:rPr>
        <w:t>i.e.</w:t>
      </w:r>
      <w:r>
        <w:t xml:space="preserve">, a flat fee designed to recover a portion of the cost of the local loop.”  </w:t>
      </w:r>
      <w:r>
        <w:rPr>
          <w:i/>
        </w:rPr>
        <w:t>Id</w:t>
      </w:r>
      <w:r>
        <w:t>.</w:t>
      </w:r>
    </w:p>
    <w:p w:rsidR="00062229" w:rsidRDefault="00062229" w:rsidP="00062229">
      <w:pPr>
        <w:ind w:left="1440"/>
      </w:pPr>
    </w:p>
    <w:p w:rsidR="00062229" w:rsidRDefault="00062229" w:rsidP="00062229">
      <w:pPr>
        <w:numPr>
          <w:ilvl w:val="0"/>
          <w:numId w:val="2"/>
        </w:numPr>
        <w:ind w:left="0" w:firstLine="1440"/>
      </w:pPr>
      <w:r>
        <w:t>The first Applicable Legal Standard, using Section 3012’s definition of switched access service, contemplates three types of switched access costs:  facilities, functionalities and a carrier charge.</w:t>
      </w:r>
    </w:p>
    <w:p w:rsidR="00062229" w:rsidRDefault="00062229" w:rsidP="00062229">
      <w:pPr>
        <w:ind w:left="1440"/>
      </w:pPr>
    </w:p>
    <w:p w:rsidR="00062229" w:rsidRDefault="00062229" w:rsidP="00062229">
      <w:pPr>
        <w:numPr>
          <w:ilvl w:val="0"/>
          <w:numId w:val="2"/>
        </w:numPr>
        <w:ind w:left="0" w:firstLine="1440"/>
      </w:pPr>
      <w:r>
        <w:t xml:space="preserve">The cost justification for an </w:t>
      </w:r>
      <w:r>
        <w:rPr>
          <w:i/>
        </w:rPr>
        <w:t>ILEC’s</w:t>
      </w:r>
      <w:r>
        <w:t xml:space="preserve"> intrastate access rates is immaterial in ascertaining the reasonable measure of costs for a </w:t>
      </w:r>
      <w:r>
        <w:rPr>
          <w:i/>
        </w:rPr>
        <w:t>CLEC’s</w:t>
      </w:r>
      <w:r>
        <w:t xml:space="preserve"> intrastate switched access services.  </w:t>
      </w:r>
      <w:r>
        <w:rPr>
          <w:i/>
        </w:rPr>
        <w:t>PTI</w:t>
      </w:r>
      <w:r>
        <w:t xml:space="preserve"> and </w:t>
      </w:r>
      <w:r>
        <w:rPr>
          <w:i/>
        </w:rPr>
        <w:t>CTSI</w:t>
      </w:r>
      <w:r>
        <w:t>.</w:t>
      </w:r>
    </w:p>
    <w:p w:rsidR="00062229" w:rsidRDefault="00062229" w:rsidP="00062229">
      <w:pPr>
        <w:ind w:left="1440"/>
      </w:pPr>
    </w:p>
    <w:p w:rsidR="00062229" w:rsidRDefault="00062229" w:rsidP="00062229">
      <w:pPr>
        <w:numPr>
          <w:ilvl w:val="0"/>
          <w:numId w:val="2"/>
        </w:numPr>
        <w:ind w:left="0" w:firstLine="1440"/>
      </w:pPr>
      <w:r>
        <w:rPr>
          <w:color w:val="000000"/>
        </w:rPr>
        <w:t xml:space="preserve">The One Communications Companies’ </w:t>
      </w:r>
      <w:r>
        <w:t>intrastate</w:t>
      </w:r>
      <w:r>
        <w:rPr>
          <w:color w:val="000000"/>
        </w:rPr>
        <w:t xml:space="preserve"> switched access rates are </w:t>
      </w:r>
      <w:r>
        <w:t>unjust or unreasonable under 66 Pa. C.S. §§ 1301 and 1312.</w:t>
      </w:r>
    </w:p>
    <w:p w:rsidR="00062229" w:rsidRDefault="00062229" w:rsidP="00062229">
      <w:pPr>
        <w:ind w:left="1440"/>
      </w:pPr>
    </w:p>
    <w:p w:rsidR="00062229" w:rsidRPr="00182E15" w:rsidRDefault="00062229" w:rsidP="00062229">
      <w:pPr>
        <w:numPr>
          <w:ilvl w:val="0"/>
          <w:numId w:val="2"/>
        </w:numPr>
        <w:ind w:left="0" w:firstLine="1440"/>
      </w:pPr>
      <w:r>
        <w:rPr>
          <w:color w:val="000000"/>
        </w:rPr>
        <w:t xml:space="preserve">The One Communications Companies must file tariff revisions to reduce their </w:t>
      </w:r>
      <w:r>
        <w:t>intrastate</w:t>
      </w:r>
      <w:r>
        <w:rPr>
          <w:color w:val="000000"/>
        </w:rPr>
        <w:t xml:space="preserve"> switched access rates to those charged by the incumbent local exchange telecommunications companies in the same service territory.  66 Pa. C.S § 3017(c).</w:t>
      </w:r>
    </w:p>
    <w:p w:rsidR="00062229" w:rsidRPr="00182E15" w:rsidRDefault="00062229" w:rsidP="00062229">
      <w:pPr>
        <w:ind w:left="1440"/>
      </w:pPr>
    </w:p>
    <w:p w:rsidR="00062229" w:rsidRPr="004508C6" w:rsidRDefault="00062229" w:rsidP="00062229">
      <w:pPr>
        <w:numPr>
          <w:ilvl w:val="0"/>
          <w:numId w:val="2"/>
        </w:numPr>
        <w:ind w:left="0" w:firstLine="1440"/>
      </w:pPr>
      <w:r>
        <w:rPr>
          <w:color w:val="000000"/>
        </w:rPr>
        <w:t xml:space="preserve">Choice One and CTC owe a refund to Verizon and all other </w:t>
      </w:r>
      <w:r>
        <w:t>intrastate</w:t>
      </w:r>
      <w:r>
        <w:rPr>
          <w:color w:val="000000"/>
        </w:rPr>
        <w:t xml:space="preserve"> switched access patrons by charging those customers rates which are in violation of 66 Pa. C.S. § 3017(c) and which are </w:t>
      </w:r>
      <w:r>
        <w:t>unjust or unreasonable under 66 Pa. C.S. §§ 1301 and 1312</w:t>
      </w:r>
      <w:r>
        <w:rPr>
          <w:color w:val="000000"/>
        </w:rPr>
        <w:t>.</w:t>
      </w:r>
    </w:p>
    <w:p w:rsidR="00062229" w:rsidRDefault="00062229" w:rsidP="00062229">
      <w:pPr>
        <w:ind w:left="1440"/>
      </w:pPr>
    </w:p>
    <w:p w:rsidR="00062229" w:rsidRPr="004508C6" w:rsidRDefault="00062229" w:rsidP="00062229">
      <w:pPr>
        <w:numPr>
          <w:ilvl w:val="0"/>
          <w:numId w:val="2"/>
        </w:numPr>
        <w:ind w:left="0" w:firstLine="1440"/>
      </w:pPr>
      <w:r>
        <w:t>Purs</w:t>
      </w:r>
      <w:r>
        <w:rPr>
          <w:color w:val="000000"/>
        </w:rPr>
        <w:t>uant to 66 Pa. C.S. § 1312(a):</w:t>
      </w:r>
    </w:p>
    <w:p w:rsidR="00062229" w:rsidRPr="00601385" w:rsidRDefault="00062229" w:rsidP="00062229">
      <w:pPr>
        <w:ind w:left="1440"/>
      </w:pPr>
    </w:p>
    <w:p w:rsidR="00062229" w:rsidRDefault="00062229" w:rsidP="00062229">
      <w:pPr>
        <w:spacing w:line="240" w:lineRule="auto"/>
        <w:ind w:left="1440" w:right="1440"/>
      </w:pPr>
      <w:r w:rsidRPr="004641E6">
        <w:t xml:space="preserve">If, in any proceeding involving rates, the commission shall determine that any rate received by a public utility was unjust or unreasonable, or was in violation of any regulation or order of the </w:t>
      </w:r>
      <w:r w:rsidRPr="004641E6">
        <w:lastRenderedPageBreak/>
        <w:t xml:space="preserve">commission, or was in excess of the applicable rate contained in an existing and effective tariff of such public utility, the commission shall have the power and authority to make an order requiring the public utility to refund the amount of any excess paid by any patron, in consequence of such unlawful collection, within four years prior to the date of the filing of the complaint, together with interest at the legal rate from the date of each such excessive payment. </w:t>
      </w:r>
      <w:r>
        <w:t xml:space="preserve"> </w:t>
      </w:r>
      <w:r w:rsidRPr="004641E6">
        <w:t xml:space="preserve">In making a determination under this section, the commission need not find that the rate complained of was extortionate or oppressive. </w:t>
      </w:r>
      <w:r>
        <w:t xml:space="preserve"> </w:t>
      </w:r>
      <w:r w:rsidRPr="004641E6">
        <w:t xml:space="preserve">Any order of the commission awarding a refund shall be made for and on behalf of </w:t>
      </w:r>
      <w:r w:rsidRPr="00CB3989">
        <w:rPr>
          <w:u w:val="single"/>
        </w:rPr>
        <w:t>all patrons</w:t>
      </w:r>
      <w:r w:rsidRPr="004641E6">
        <w:t xml:space="preserve"> subject to the same rate of the public utility. </w:t>
      </w:r>
      <w:r>
        <w:t xml:space="preserve"> </w:t>
      </w:r>
      <w:r w:rsidRPr="004641E6">
        <w:t>The commission shall state in any refund order the exact amount to be paid, the reasonable time within which payment shall be made, and shall make findings upon pertinent questions of fact.</w:t>
      </w:r>
    </w:p>
    <w:p w:rsidR="00062229" w:rsidRDefault="00062229" w:rsidP="00062229">
      <w:pPr>
        <w:rPr>
          <w:color w:val="000000"/>
        </w:rPr>
      </w:pPr>
    </w:p>
    <w:p w:rsidR="00062229" w:rsidRDefault="00062229" w:rsidP="00062229">
      <w:pPr>
        <w:rPr>
          <w:color w:val="000000"/>
        </w:rPr>
      </w:pPr>
      <w:r>
        <w:rPr>
          <w:color w:val="000000"/>
        </w:rPr>
        <w:t>(Emphasis added.)</w:t>
      </w:r>
    </w:p>
    <w:p w:rsidR="00062229" w:rsidRDefault="00062229" w:rsidP="00062229">
      <w:pPr>
        <w:rPr>
          <w:color w:val="000000"/>
        </w:rPr>
      </w:pPr>
    </w:p>
    <w:p w:rsidR="00062229" w:rsidRDefault="00062229" w:rsidP="00062229">
      <w:pPr>
        <w:numPr>
          <w:ilvl w:val="0"/>
          <w:numId w:val="2"/>
        </w:numPr>
        <w:ind w:left="0" w:firstLine="1440"/>
      </w:pPr>
      <w:r>
        <w:t>Section 1312 of the Public Utility Code authorizes the Commission to order a public utility to issue refunds to all patrons in proceedings involving rates only if the Commission determines that the rate received by the public utility: (i) was unjust or unreasonable; (ii) was in violation of any order or regulation of the Commission; or (iii) was in excess of the applicable rate contained in an existing and effective tariff of the public utility.</w:t>
      </w:r>
    </w:p>
    <w:p w:rsidR="00062229" w:rsidRDefault="00062229" w:rsidP="00062229">
      <w:pPr>
        <w:ind w:left="1440"/>
      </w:pPr>
    </w:p>
    <w:p w:rsidR="00062229" w:rsidRPr="00972A2A" w:rsidRDefault="00062229" w:rsidP="00062229">
      <w:pPr>
        <w:numPr>
          <w:ilvl w:val="0"/>
          <w:numId w:val="2"/>
        </w:numPr>
        <w:ind w:left="0" w:firstLine="1440"/>
        <w:rPr>
          <w:color w:val="000000"/>
        </w:rPr>
      </w:pPr>
      <w:r w:rsidRPr="00972A2A">
        <w:rPr>
          <w:color w:val="000000"/>
        </w:rPr>
        <w:t>The One Communications Companies’ intrastate switched access rates are unjust and unreasonable because they are in excess of the level permitted to be charged under 66 Pa. C.S. § 3017(c), and because the One Communications Companies have not demonstrated that their higher access rates are cost justified.  Accordingly, pursuant to 66 Pa. C.S. § 1312(a), Choice One and CTC are required to refund the amount of any excess paid by Verizon and all other patrons from the effective date (November 30, 2004) of Section 3017, plus interest at the legal rate of 6% per annum</w:t>
      </w:r>
      <w:r w:rsidRPr="0005526F">
        <w:t xml:space="preserve"> </w:t>
      </w:r>
      <w:r w:rsidRPr="004641E6">
        <w:t>from the date of each such excessive payment</w:t>
      </w:r>
      <w:r w:rsidRPr="00972A2A">
        <w:rPr>
          <w:color w:val="000000"/>
        </w:rPr>
        <w:t xml:space="preserve">.  66 Pa. C.S. § 1312(a); </w:t>
      </w:r>
      <w:r>
        <w:t>41 P.S. § 202;</w:t>
      </w:r>
      <w:r w:rsidRPr="00972A2A">
        <w:rPr>
          <w:i/>
        </w:rPr>
        <w:t xml:space="preserve"> </w:t>
      </w:r>
      <w:hyperlink r:id="rId8" w:tgtFrame="x" w:tooltip="Clicking this link retrieves the full text document in another window" w:history="1">
        <w:r w:rsidRPr="00BD67E7">
          <w:rPr>
            <w:rStyle w:val="Hyperlink"/>
            <w:rFonts w:ascii="Times New (W1)" w:hAnsi="Times New (W1)"/>
            <w:i/>
            <w:u w:val="none"/>
          </w:rPr>
          <w:t>Duquesne Light Co. v. Pa. Public Util. Com</w:t>
        </w:r>
        <w:r w:rsidRPr="00BD67E7">
          <w:rPr>
            <w:rStyle w:val="Hyperlink"/>
            <w:rFonts w:ascii="Times New (W1)" w:hAnsi="Times New (W1)"/>
            <w:u w:val="none"/>
          </w:rPr>
          <w:t>, 117 Pa. Commw. 28, 36 (Pa. Commw. Ct. 1988)</w:t>
        </w:r>
      </w:hyperlink>
      <w:r>
        <w:rPr>
          <w:rFonts w:ascii="Times New (W1)" w:hAnsi="Times New (W1)"/>
        </w:rPr>
        <w:t>, 543 A.2d 196 (1988)</w:t>
      </w:r>
      <w:r w:rsidRPr="00BD67E7">
        <w:t xml:space="preserve">. </w:t>
      </w:r>
      <w:r>
        <w:t xml:space="preserve"> In addition, FiberNet is prohibited from attempting to back-bill at the rate contained in its tariff.</w:t>
      </w:r>
    </w:p>
    <w:p w:rsidR="00062229" w:rsidRDefault="00062229" w:rsidP="00062229">
      <w:pPr>
        <w:ind w:left="1440"/>
        <w:rPr>
          <w:color w:val="000000"/>
        </w:rPr>
      </w:pPr>
    </w:p>
    <w:p w:rsidR="00062229" w:rsidRDefault="00062229" w:rsidP="00062229">
      <w:pPr>
        <w:numPr>
          <w:ilvl w:val="0"/>
          <w:numId w:val="2"/>
        </w:numPr>
        <w:ind w:left="0" w:firstLine="1440"/>
      </w:pPr>
      <w:r>
        <w:rPr>
          <w:color w:val="000000"/>
        </w:rPr>
        <w:lastRenderedPageBreak/>
        <w:t xml:space="preserve">Choice One must refund to Verizon </w:t>
      </w:r>
      <w:r>
        <w:t>$2,266,288.35 for the period from November 30, 2004 to July 1, 2007</w:t>
      </w:r>
      <w:r w:rsidR="00C31B08">
        <w:t>,</w:t>
      </w:r>
      <w:r>
        <w:t xml:space="preserve"> and must apply the following overcharge percentages to calculate the refund for the period after July 1, 2007: 64.4% for charges to the Verizon long distance companies, 54.3% for charges to the former MCI companies and 32% for charges to the Verizon ILECs, for a total overcharge percentage of 42.4%.</w:t>
      </w:r>
    </w:p>
    <w:p w:rsidR="00062229" w:rsidRDefault="00062229" w:rsidP="00062229">
      <w:pPr>
        <w:ind w:left="1440"/>
      </w:pPr>
    </w:p>
    <w:p w:rsidR="00062229" w:rsidRDefault="00062229" w:rsidP="00062229">
      <w:pPr>
        <w:numPr>
          <w:ilvl w:val="0"/>
          <w:numId w:val="2"/>
        </w:numPr>
        <w:ind w:left="0" w:firstLine="1440"/>
      </w:pPr>
      <w:r>
        <w:t>The Companies’ liability extends beyond the parties to this case to all “patrons” including Verizon and other Pennsylvania ILECs in whose territory the respondents operate, and other CLECs and IXCs.  Any patron who paid the Companies’ tariffed rate for intrastate switched access services is entitled to a refund.  Choice One and CTC  must refund to Verizon and all others who used the Companies’ intrastate access services in the Verizon service territory the difference between the existing tariffed rates and the rates Verizon charges for the same service.  66 Pa. C.S. § 1312(c).</w:t>
      </w:r>
    </w:p>
    <w:p w:rsidR="00062229" w:rsidRDefault="00062229" w:rsidP="00062229">
      <w:pPr>
        <w:ind w:left="1440"/>
      </w:pPr>
    </w:p>
    <w:p w:rsidR="00062229" w:rsidRDefault="00062229" w:rsidP="00062229">
      <w:pPr>
        <w:numPr>
          <w:ilvl w:val="0"/>
          <w:numId w:val="2"/>
        </w:numPr>
        <w:ind w:left="0" w:firstLine="1440"/>
      </w:pPr>
      <w:r>
        <w:t>To the extent that FiberNet charged any intrastate switched access amount in excess of Verizon’s access rates, or the access rates of other Pennsylvania ILECs (in whose territory FiberNet operated), it too will be liable for refunding the difference according to the rulings set forth above.</w:t>
      </w:r>
    </w:p>
    <w:p w:rsidR="00062229" w:rsidRDefault="00062229" w:rsidP="00062229">
      <w:pPr>
        <w:ind w:left="1440"/>
      </w:pPr>
    </w:p>
    <w:p w:rsidR="00062229" w:rsidRDefault="00062229" w:rsidP="00062229">
      <w:pPr>
        <w:numPr>
          <w:ilvl w:val="0"/>
          <w:numId w:val="2"/>
        </w:numPr>
        <w:ind w:left="0" w:firstLine="1440"/>
      </w:pPr>
      <w:r>
        <w:t xml:space="preserve">Because the evidence clearly indicates that FiberNet charged Verizon </w:t>
      </w:r>
      <w:r>
        <w:rPr>
          <w:u w:val="single"/>
        </w:rPr>
        <w:t>less than Verizon’s rates for intrastate access</w:t>
      </w:r>
      <w:r>
        <w:t xml:space="preserve"> and that FiberNet did not begin to provide intrastate switched access to Verizon until 2006, the respondents are entitled to a credit for the difference between what Verizon actually paid to FiberNet and the comparable Verizon rate.  </w:t>
      </w:r>
    </w:p>
    <w:p w:rsidR="00062229" w:rsidRDefault="00062229" w:rsidP="00062229">
      <w:pPr>
        <w:ind w:left="1440"/>
      </w:pPr>
    </w:p>
    <w:p w:rsidR="00062229" w:rsidRDefault="00062229" w:rsidP="00062229">
      <w:pPr>
        <w:numPr>
          <w:ilvl w:val="0"/>
          <w:numId w:val="2"/>
        </w:numPr>
        <w:ind w:left="0" w:firstLine="1440"/>
      </w:pPr>
      <w:r>
        <w:t>There is limited evidence about what FiberNet charged other ILECs, CLECs and IXCs.  Because Section 1312(a) requires a refund for all patrons when the tariffed rates are found to be unjust and unreasonable, the other patrons may be owed a refund or may be liable for a credit dependent on the actual amount charged by FiberNet.</w:t>
      </w:r>
    </w:p>
    <w:p w:rsidR="00062229" w:rsidRDefault="00062229" w:rsidP="00062229">
      <w:pPr>
        <w:ind w:left="1440"/>
      </w:pPr>
    </w:p>
    <w:p w:rsidR="00062229" w:rsidRPr="007841E3" w:rsidRDefault="00062229" w:rsidP="00062229">
      <w:pPr>
        <w:numPr>
          <w:ilvl w:val="0"/>
          <w:numId w:val="2"/>
        </w:numPr>
        <w:ind w:left="0" w:firstLine="1440"/>
      </w:pPr>
      <w:r>
        <w:rPr>
          <w:color w:val="000000"/>
        </w:rPr>
        <w:t>CTC must calculate the refund for the period after November 30, 2004</w:t>
      </w:r>
      <w:r w:rsidR="00C31B08">
        <w:rPr>
          <w:color w:val="000000"/>
        </w:rPr>
        <w:t>,</w:t>
      </w:r>
      <w:r>
        <w:rPr>
          <w:color w:val="000000"/>
        </w:rPr>
        <w:t xml:space="preserve"> by applying the overcharge percentage of 40.6%.  Verizon St. 1.0 Table 8.</w:t>
      </w:r>
    </w:p>
    <w:p w:rsidR="00062229" w:rsidRPr="00AE4D6B" w:rsidRDefault="00062229" w:rsidP="00062229">
      <w:pPr>
        <w:numPr>
          <w:ilvl w:val="0"/>
          <w:numId w:val="2"/>
        </w:numPr>
        <w:ind w:left="0" w:firstLine="1440"/>
      </w:pPr>
      <w:r>
        <w:rPr>
          <w:color w:val="000000"/>
        </w:rPr>
        <w:lastRenderedPageBreak/>
        <w:t>The One Communications Companies</w:t>
      </w:r>
      <w:r w:rsidRPr="0083368E">
        <w:rPr>
          <w:color w:val="000000"/>
        </w:rPr>
        <w:t xml:space="preserve"> must pay interest on </w:t>
      </w:r>
      <w:r>
        <w:rPr>
          <w:color w:val="000000"/>
        </w:rPr>
        <w:t xml:space="preserve">all </w:t>
      </w:r>
      <w:r w:rsidRPr="0083368E">
        <w:rPr>
          <w:color w:val="000000"/>
        </w:rPr>
        <w:t>refund</w:t>
      </w:r>
      <w:r>
        <w:rPr>
          <w:color w:val="000000"/>
        </w:rPr>
        <w:t>s</w:t>
      </w:r>
      <w:r w:rsidRPr="0083368E">
        <w:rPr>
          <w:color w:val="000000"/>
        </w:rPr>
        <w:t xml:space="preserve"> at the legal rate of 6% per annum</w:t>
      </w:r>
      <w:r w:rsidRPr="00AE5287">
        <w:t xml:space="preserve"> </w:t>
      </w:r>
      <w:r>
        <w:t>from the date of each such excessive payment</w:t>
      </w:r>
      <w:r w:rsidRPr="0083368E">
        <w:rPr>
          <w:color w:val="000000"/>
        </w:rPr>
        <w:t>.</w:t>
      </w:r>
      <w:r>
        <w:rPr>
          <w:color w:val="000000"/>
        </w:rPr>
        <w:t xml:space="preserve">  41 Pa. C.S. § 202.</w:t>
      </w:r>
    </w:p>
    <w:p w:rsidR="00062229" w:rsidRPr="00AE4D6B" w:rsidRDefault="00062229" w:rsidP="00062229">
      <w:pPr>
        <w:ind w:left="1440"/>
      </w:pPr>
    </w:p>
    <w:p w:rsidR="00062229" w:rsidRPr="0083368E" w:rsidRDefault="00062229" w:rsidP="00062229">
      <w:pPr>
        <w:numPr>
          <w:ilvl w:val="0"/>
          <w:numId w:val="2"/>
        </w:numPr>
        <w:ind w:left="0" w:firstLine="1440"/>
      </w:pPr>
      <w:r>
        <w:rPr>
          <w:color w:val="000000"/>
        </w:rPr>
        <w:t xml:space="preserve">The One Communications Companies </w:t>
      </w:r>
      <w:r>
        <w:t xml:space="preserve">shall cease and desist from further violations of the Public Utility Code, 66 Pa. C.S. § 101 </w:t>
      </w:r>
      <w:r>
        <w:rPr>
          <w:i/>
        </w:rPr>
        <w:t>et seq.</w:t>
      </w:r>
      <w:r>
        <w:t xml:space="preserve">, Commission regulations,           52 Pa. Code §§ 1.1 </w:t>
      </w:r>
      <w:r>
        <w:rPr>
          <w:i/>
        </w:rPr>
        <w:t>et seq.</w:t>
      </w:r>
      <w:r>
        <w:t>, and Commission Orders.</w:t>
      </w:r>
    </w:p>
    <w:p w:rsidR="00062229" w:rsidRDefault="00062229" w:rsidP="00062229">
      <w:pPr>
        <w:ind w:left="1440"/>
      </w:pPr>
    </w:p>
    <w:p w:rsidR="00062229" w:rsidRDefault="00062229" w:rsidP="00062229">
      <w:pPr>
        <w:jc w:val="center"/>
        <w:rPr>
          <w:u w:val="single"/>
        </w:rPr>
      </w:pPr>
      <w:r>
        <w:rPr>
          <w:u w:val="single"/>
        </w:rPr>
        <w:t>ORDER</w:t>
      </w:r>
    </w:p>
    <w:p w:rsidR="00062229" w:rsidRPr="004126B4" w:rsidRDefault="00062229" w:rsidP="00062229">
      <w:pPr>
        <w:jc w:val="center"/>
      </w:pPr>
    </w:p>
    <w:p w:rsidR="00062229" w:rsidRDefault="00062229" w:rsidP="00062229"/>
    <w:p w:rsidR="00062229" w:rsidRDefault="00062229" w:rsidP="00062229">
      <w:r>
        <w:tab/>
      </w:r>
      <w:r>
        <w:tab/>
        <w:t>NOW THEREFORE,</w:t>
      </w:r>
    </w:p>
    <w:p w:rsidR="00062229" w:rsidRDefault="00062229" w:rsidP="00062229"/>
    <w:p w:rsidR="00062229" w:rsidRDefault="00062229" w:rsidP="00062229">
      <w:r>
        <w:tab/>
      </w:r>
      <w:r>
        <w:tab/>
        <w:t>IT IS RECOMMENDED:</w:t>
      </w:r>
      <w:r>
        <w:tab/>
      </w:r>
    </w:p>
    <w:p w:rsidR="00062229" w:rsidRDefault="00062229" w:rsidP="00062229"/>
    <w:p w:rsidR="00062229" w:rsidRPr="00056A09" w:rsidRDefault="00062229" w:rsidP="00062229">
      <w:pPr>
        <w:jc w:val="center"/>
        <w:rPr>
          <w:u w:val="single"/>
        </w:rPr>
      </w:pPr>
      <w:r w:rsidRPr="00056A09">
        <w:rPr>
          <w:u w:val="single"/>
        </w:rPr>
        <w:t>Choice One Commu</w:t>
      </w:r>
      <w:r>
        <w:rPr>
          <w:u w:val="single"/>
        </w:rPr>
        <w:t>nications of Pennsylvania, Inc.</w:t>
      </w:r>
    </w:p>
    <w:p w:rsidR="00062229" w:rsidRDefault="00062229" w:rsidP="00062229"/>
    <w:p w:rsidR="00062229" w:rsidRDefault="00062229" w:rsidP="00062229">
      <w:pPr>
        <w:numPr>
          <w:ilvl w:val="0"/>
          <w:numId w:val="3"/>
        </w:numPr>
        <w:ind w:left="0" w:firstLine="1440"/>
      </w:pPr>
      <w:r>
        <w:t xml:space="preserve">That the Complaint of </w:t>
      </w:r>
      <w:r w:rsidRPr="00887218">
        <w:rPr>
          <w:i/>
        </w:rPr>
        <w:t>Verizon Pennsylvania Inc., Verizon North Inc., Bell Atlantic Communications, Inc. d/b/a Verizon Long Distance, Verizon Select Services Inc., Verizon Global Networks, Inc., MCImetro Access Transmission Services, LLC d/b/a Verizon Access Transmission Services, and MCI Communications Services Inc.,</w:t>
      </w:r>
      <w:r>
        <w:rPr>
          <w:i/>
        </w:rPr>
        <w:t xml:space="preserve"> </w:t>
      </w:r>
      <w:r w:rsidRPr="00887218">
        <w:rPr>
          <w:i/>
        </w:rPr>
        <w:t xml:space="preserve">versus Choice One Communications of Pennsylvania, Inc., </w:t>
      </w:r>
      <w:r>
        <w:t>at Docket No. C-20077676 is hereby sustained.</w:t>
      </w:r>
    </w:p>
    <w:p w:rsidR="00062229" w:rsidRDefault="00062229" w:rsidP="00062229">
      <w:pPr>
        <w:ind w:left="1440"/>
      </w:pPr>
    </w:p>
    <w:p w:rsidR="00062229" w:rsidRPr="00987DD4" w:rsidRDefault="00062229" w:rsidP="00062229">
      <w:pPr>
        <w:numPr>
          <w:ilvl w:val="0"/>
          <w:numId w:val="3"/>
        </w:numPr>
        <w:ind w:left="0" w:firstLine="1440"/>
      </w:pPr>
      <w:r>
        <w:t>That the Choice One Communications of Pennsylvania, Inc.,</w:t>
      </w:r>
      <w:r w:rsidRPr="003737AA">
        <w:rPr>
          <w:color w:val="000000"/>
        </w:rPr>
        <w:t xml:space="preserve"> </w:t>
      </w:r>
      <w:r>
        <w:rPr>
          <w:color w:val="000000"/>
        </w:rPr>
        <w:t xml:space="preserve">intrastate switched access rates found in its Tariff PA </w:t>
      </w:r>
      <w:r w:rsidRPr="00670DCD">
        <w:rPr>
          <w:color w:val="000000"/>
        </w:rPr>
        <w:t>P</w:t>
      </w:r>
      <w:r>
        <w:rPr>
          <w:color w:val="000000"/>
        </w:rPr>
        <w:t>.</w:t>
      </w:r>
      <w:r w:rsidRPr="00670DCD">
        <w:rPr>
          <w:color w:val="000000"/>
        </w:rPr>
        <w:t>U</w:t>
      </w:r>
      <w:r>
        <w:rPr>
          <w:color w:val="000000"/>
        </w:rPr>
        <w:t>.</w:t>
      </w:r>
      <w:r w:rsidRPr="00670DCD">
        <w:rPr>
          <w:color w:val="000000"/>
        </w:rPr>
        <w:t>C</w:t>
      </w:r>
      <w:r>
        <w:rPr>
          <w:color w:val="000000"/>
        </w:rPr>
        <w:t>.</w:t>
      </w:r>
      <w:r w:rsidRPr="00670DCD">
        <w:rPr>
          <w:color w:val="000000"/>
        </w:rPr>
        <w:t xml:space="preserve"> No</w:t>
      </w:r>
      <w:r>
        <w:rPr>
          <w:color w:val="000000"/>
        </w:rPr>
        <w:t>.</w:t>
      </w:r>
      <w:r w:rsidRPr="00670DCD">
        <w:rPr>
          <w:color w:val="000000"/>
        </w:rPr>
        <w:t xml:space="preserve"> </w:t>
      </w:r>
      <w:r>
        <w:rPr>
          <w:color w:val="000000"/>
        </w:rPr>
        <w:t>2 are unjust and unreasonable.</w:t>
      </w:r>
    </w:p>
    <w:p w:rsidR="00062229" w:rsidRPr="00987DD4" w:rsidRDefault="00062229" w:rsidP="00062229">
      <w:pPr>
        <w:ind w:left="1440"/>
      </w:pPr>
    </w:p>
    <w:p w:rsidR="00062229" w:rsidRPr="00946506" w:rsidRDefault="00062229" w:rsidP="00062229">
      <w:pPr>
        <w:numPr>
          <w:ilvl w:val="0"/>
          <w:numId w:val="3"/>
        </w:numPr>
        <w:ind w:left="0" w:firstLine="1440"/>
      </w:pPr>
      <w:r>
        <w:t xml:space="preserve">That within ten (10) </w:t>
      </w:r>
      <w:r>
        <w:rPr>
          <w:color w:val="000000"/>
        </w:rPr>
        <w:t xml:space="preserve">days of the effective date of the Commission’s Order, </w:t>
      </w:r>
      <w:r>
        <w:t xml:space="preserve">Choice One Communications of Pennsylvania, Inc., shall file a tariff cancelling its tariffed intrastate </w:t>
      </w:r>
      <w:r>
        <w:rPr>
          <w:color w:val="000000"/>
        </w:rPr>
        <w:t xml:space="preserve">switched access rates found in its Tariff PA </w:t>
      </w:r>
      <w:r w:rsidRPr="00670DCD">
        <w:rPr>
          <w:color w:val="000000"/>
        </w:rPr>
        <w:t>P</w:t>
      </w:r>
      <w:r>
        <w:rPr>
          <w:color w:val="000000"/>
        </w:rPr>
        <w:t>.</w:t>
      </w:r>
      <w:r w:rsidRPr="00670DCD">
        <w:rPr>
          <w:color w:val="000000"/>
        </w:rPr>
        <w:t>U</w:t>
      </w:r>
      <w:r>
        <w:rPr>
          <w:color w:val="000000"/>
        </w:rPr>
        <w:t>.</w:t>
      </w:r>
      <w:r w:rsidRPr="00670DCD">
        <w:rPr>
          <w:color w:val="000000"/>
        </w:rPr>
        <w:t>C</w:t>
      </w:r>
      <w:r>
        <w:rPr>
          <w:color w:val="000000"/>
        </w:rPr>
        <w:t>.</w:t>
      </w:r>
      <w:r w:rsidRPr="00670DCD">
        <w:rPr>
          <w:color w:val="000000"/>
        </w:rPr>
        <w:t xml:space="preserve"> No</w:t>
      </w:r>
      <w:r>
        <w:rPr>
          <w:color w:val="000000"/>
        </w:rPr>
        <w:t>.</w:t>
      </w:r>
      <w:r w:rsidRPr="00670DCD">
        <w:rPr>
          <w:color w:val="000000"/>
        </w:rPr>
        <w:t xml:space="preserve"> </w:t>
      </w:r>
      <w:r>
        <w:rPr>
          <w:color w:val="000000"/>
        </w:rPr>
        <w:t>2.</w:t>
      </w:r>
    </w:p>
    <w:p w:rsidR="00062229" w:rsidRPr="00946506" w:rsidRDefault="00062229" w:rsidP="00062229">
      <w:pPr>
        <w:ind w:left="1440"/>
      </w:pPr>
    </w:p>
    <w:p w:rsidR="00062229" w:rsidRDefault="00062229" w:rsidP="00062229">
      <w:pPr>
        <w:numPr>
          <w:ilvl w:val="0"/>
          <w:numId w:val="3"/>
        </w:numPr>
        <w:ind w:left="0" w:firstLine="1440"/>
      </w:pPr>
      <w:r>
        <w:t xml:space="preserve">That within ten (10) </w:t>
      </w:r>
      <w:r>
        <w:rPr>
          <w:color w:val="000000"/>
        </w:rPr>
        <w:t xml:space="preserve">days of the effective date of the Commission’s Order, </w:t>
      </w:r>
      <w:r>
        <w:t xml:space="preserve">Choice One Communications of Pennsylvania, Inc., shall file a tariff revision reducing its </w:t>
      </w:r>
      <w:r>
        <w:lastRenderedPageBreak/>
        <w:t>tariffed intrastate switched access rates to a level no higher than those of the incumbent local exchange telecommunications companies in the same service territory.</w:t>
      </w:r>
    </w:p>
    <w:p w:rsidR="00062229" w:rsidRDefault="00062229" w:rsidP="00062229">
      <w:pPr>
        <w:ind w:left="1440"/>
      </w:pPr>
    </w:p>
    <w:p w:rsidR="00062229" w:rsidRDefault="00062229" w:rsidP="00062229">
      <w:pPr>
        <w:numPr>
          <w:ilvl w:val="0"/>
          <w:numId w:val="3"/>
        </w:numPr>
        <w:ind w:left="0" w:firstLine="1440"/>
      </w:pPr>
      <w:r>
        <w:t>That within thirty (30) days of the effective date of the Commission’s Order, Choice One Communications of Pennsylvania, Inc., shall issue refunds in the amount of $2,266,288.35 for the period from November 30, 2004 to July 1, 2007</w:t>
      </w:r>
      <w:r w:rsidR="00C31B08">
        <w:t>,</w:t>
      </w:r>
      <w:r>
        <w:t xml:space="preserve"> to Verizon and must apply the following overcharge percentages to calculate the refunds for the period after July 1, 2007: 64.4% for charges to the Verizon long distance companies, 54.3% for charges to the former MCI companies and 32% for charges to the Verizon ILECs, for a total overcharge percentage of 42.4% to </w:t>
      </w:r>
      <w:r w:rsidRPr="00596D1F">
        <w:t>Verizon Pennsylvania Inc., Verizon North Inc., Bell Atlantic Communications, Inc. d/b/a Verizon Long Distance, Verizon Select Services Inc., Verizon Global Networks, Inc., MCImetro Access Transmission Services, LLC d/b/a Verizon Access Transmission Services, and MCI Communications Services Inc.,</w:t>
      </w:r>
      <w:r>
        <w:t xml:space="preserve"> plus interest at the legal rate of 6% per annum from the date of each such excessive payment.</w:t>
      </w:r>
    </w:p>
    <w:p w:rsidR="00062229" w:rsidRDefault="00062229" w:rsidP="00062229">
      <w:pPr>
        <w:ind w:left="1440"/>
      </w:pPr>
    </w:p>
    <w:p w:rsidR="00062229" w:rsidRDefault="00062229" w:rsidP="00062229">
      <w:pPr>
        <w:numPr>
          <w:ilvl w:val="0"/>
          <w:numId w:val="3"/>
        </w:numPr>
        <w:ind w:left="0" w:firstLine="1440"/>
      </w:pPr>
      <w:r>
        <w:t>That within thirty (30) days of the effective date of the Commission’s Order, Choice One Communications of Pennsylvania, Inc., shall issue refunds to all other patrons in accordance with the guidance in Paragraph 5 above plus interest at the legal rate of  6% per annum from the date of each such excessive payment.</w:t>
      </w:r>
    </w:p>
    <w:p w:rsidR="00062229" w:rsidRDefault="00062229" w:rsidP="00062229">
      <w:pPr>
        <w:ind w:left="1440"/>
      </w:pPr>
    </w:p>
    <w:p w:rsidR="00062229" w:rsidRDefault="00062229" w:rsidP="00062229">
      <w:pPr>
        <w:numPr>
          <w:ilvl w:val="0"/>
          <w:numId w:val="3"/>
        </w:numPr>
        <w:ind w:left="0" w:firstLine="1440"/>
      </w:pPr>
      <w:r>
        <w:t>That within sixty (60) days of the effective date of the Commission’s Order, Choice One Communications of Pennsylvania, Inc., shall file with the Secretary a complete accounting of all amounts refunded and detailed with entries of the names and addresses of all patrons eligible for a refund, the date of payment, the amount of refund, the amount of interest paid and the reasons for any failure to make a refund.  The accounting shall include a certificate of service on all eligible patrons and a notice that, if the patrons disagree with the accounting, they shall have twenty (20) days</w:t>
      </w:r>
      <w:r w:rsidRPr="007D3261">
        <w:t xml:space="preserve"> </w:t>
      </w:r>
      <w:r>
        <w:t>from the date of receipt of notice to notify the Secretary.</w:t>
      </w:r>
    </w:p>
    <w:p w:rsidR="00062229" w:rsidRDefault="00062229" w:rsidP="00062229">
      <w:pPr>
        <w:ind w:left="1440"/>
      </w:pPr>
    </w:p>
    <w:p w:rsidR="00062229" w:rsidRDefault="00062229" w:rsidP="00062229">
      <w:pPr>
        <w:ind w:left="1440"/>
      </w:pPr>
    </w:p>
    <w:p w:rsidR="00062229" w:rsidRDefault="00062229" w:rsidP="00062229">
      <w:pPr>
        <w:numPr>
          <w:ilvl w:val="0"/>
          <w:numId w:val="3"/>
        </w:numPr>
        <w:ind w:left="0" w:firstLine="1440"/>
      </w:pPr>
      <w:r>
        <w:lastRenderedPageBreak/>
        <w:t>That Choice One Communications of Pennsylvania, Inc.,</w:t>
      </w:r>
      <w:r w:rsidRPr="00EC7F55">
        <w:t xml:space="preserve"> </w:t>
      </w:r>
      <w:r>
        <w:t>is enjoined from charging access rates higher than the corresponding incumbent local exchange telecommunications company’s rates in the same service territory rates unless and until the Commission first enters a final order finding that Choice One has demonstrated that higher access rates are cost justified.</w:t>
      </w:r>
    </w:p>
    <w:p w:rsidR="00062229" w:rsidRDefault="00062229" w:rsidP="00062229">
      <w:pPr>
        <w:ind w:left="1440"/>
      </w:pPr>
    </w:p>
    <w:p w:rsidR="00062229" w:rsidRPr="00BF6677" w:rsidRDefault="00062229" w:rsidP="00062229">
      <w:pPr>
        <w:numPr>
          <w:ilvl w:val="0"/>
          <w:numId w:val="3"/>
        </w:numPr>
        <w:ind w:left="0" w:firstLine="1440"/>
      </w:pPr>
      <w:r>
        <w:t xml:space="preserve">That Choice One Communications of Pennsylvania, Inc., shall cease and desist from further violations of the Public Utility Code, 66 Pa. C.S. §§ 101 </w:t>
      </w:r>
      <w:r>
        <w:rPr>
          <w:i/>
        </w:rPr>
        <w:t>et seq.</w:t>
      </w:r>
      <w:r>
        <w:t xml:space="preserve">, Commission regulations, 52 Pa. Code §§ 1.1 </w:t>
      </w:r>
      <w:r>
        <w:rPr>
          <w:i/>
        </w:rPr>
        <w:t>et seq.</w:t>
      </w:r>
      <w:r>
        <w:t>, and Commission Orders.</w:t>
      </w:r>
    </w:p>
    <w:p w:rsidR="00062229" w:rsidRPr="00BF6677" w:rsidRDefault="00062229" w:rsidP="00062229">
      <w:pPr>
        <w:ind w:left="1440"/>
      </w:pPr>
    </w:p>
    <w:p w:rsidR="00062229" w:rsidRPr="00E059C5" w:rsidRDefault="00062229" w:rsidP="00062229">
      <w:pPr>
        <w:numPr>
          <w:ilvl w:val="0"/>
          <w:numId w:val="3"/>
        </w:numPr>
        <w:ind w:left="0" w:firstLine="1440"/>
      </w:pPr>
      <w:r>
        <w:t>That within ninety (90) days</w:t>
      </w:r>
      <w:r w:rsidRPr="000213DC">
        <w:t xml:space="preserve"> </w:t>
      </w:r>
      <w:r>
        <w:t>of the effective date of the Commission’s Order, if there are no notices received from the patrons, as set forth in Paragraph 7 above, the Secretary shall mark the docket at No. C-20077676 closed.  In the event notices are received in accordance with Paragraph 7 above, the Secretary shall refer them to the Law Bureau for whatever action is deemed appropriate, and the docket shall not be closed.</w:t>
      </w:r>
    </w:p>
    <w:p w:rsidR="00062229" w:rsidRDefault="00062229" w:rsidP="00062229">
      <w:pPr>
        <w:ind w:left="1440"/>
      </w:pPr>
    </w:p>
    <w:p w:rsidR="00062229" w:rsidRPr="00972B51" w:rsidRDefault="00062229" w:rsidP="00062229">
      <w:pPr>
        <w:jc w:val="center"/>
        <w:rPr>
          <w:u w:val="single"/>
        </w:rPr>
      </w:pPr>
      <w:r>
        <w:rPr>
          <w:u w:val="single"/>
        </w:rPr>
        <w:t>CTC Communications Corporation</w:t>
      </w:r>
    </w:p>
    <w:p w:rsidR="00062229" w:rsidRDefault="00062229" w:rsidP="00062229">
      <w:pPr>
        <w:ind w:left="1440"/>
      </w:pPr>
    </w:p>
    <w:p w:rsidR="00062229" w:rsidRDefault="00062229" w:rsidP="00062229">
      <w:pPr>
        <w:numPr>
          <w:ilvl w:val="0"/>
          <w:numId w:val="3"/>
        </w:numPr>
        <w:ind w:left="0" w:firstLine="1440"/>
      </w:pPr>
      <w:r>
        <w:t xml:space="preserve">That the Complaint of </w:t>
      </w:r>
      <w:r w:rsidRPr="00887218">
        <w:rPr>
          <w:i/>
        </w:rPr>
        <w:t>Verizon Pennsylvania Inc., Verizon North Inc., Bell Atlantic Communications, Inc. d/b/a Verizon Long Distance, Verizon Select Services Inc., Verizon Global Networks, Inc., MCImetro Access Transmission Services, LLC d/b/a Verizon Access Transmission Services, and MCI Communications Services Inc.,</w:t>
      </w:r>
      <w:r>
        <w:rPr>
          <w:i/>
        </w:rPr>
        <w:t xml:space="preserve"> </w:t>
      </w:r>
      <w:r w:rsidRPr="00887218">
        <w:rPr>
          <w:i/>
        </w:rPr>
        <w:t>vers</w:t>
      </w:r>
      <w:r>
        <w:rPr>
          <w:i/>
        </w:rPr>
        <w:t xml:space="preserve">us </w:t>
      </w:r>
      <w:r w:rsidRPr="003E2A80">
        <w:rPr>
          <w:i/>
        </w:rPr>
        <w:t xml:space="preserve">CTC Communications </w:t>
      </w:r>
      <w:r>
        <w:rPr>
          <w:i/>
        </w:rPr>
        <w:t>Corporation</w:t>
      </w:r>
      <w:r w:rsidRPr="003E2A80">
        <w:t xml:space="preserve"> </w:t>
      </w:r>
      <w:r>
        <w:t>at Docket No. C-20077672 is hereby sustained.</w:t>
      </w:r>
    </w:p>
    <w:p w:rsidR="00062229" w:rsidRDefault="00062229" w:rsidP="00062229">
      <w:pPr>
        <w:ind w:left="1440"/>
      </w:pPr>
    </w:p>
    <w:p w:rsidR="00062229" w:rsidRPr="00202990" w:rsidRDefault="00062229" w:rsidP="00062229">
      <w:pPr>
        <w:numPr>
          <w:ilvl w:val="0"/>
          <w:numId w:val="3"/>
        </w:numPr>
        <w:ind w:left="0" w:firstLine="1440"/>
      </w:pPr>
      <w:r>
        <w:t xml:space="preserve">That the CTC Communications </w:t>
      </w:r>
      <w:r w:rsidRPr="008D147E">
        <w:t>Corporation</w:t>
      </w:r>
      <w:r w:rsidRPr="003737AA">
        <w:rPr>
          <w:color w:val="000000"/>
        </w:rPr>
        <w:t xml:space="preserve"> </w:t>
      </w:r>
      <w:r>
        <w:rPr>
          <w:color w:val="000000"/>
        </w:rPr>
        <w:t xml:space="preserve">intrastate switched access rates found in its Tariff PA </w:t>
      </w:r>
      <w:r w:rsidRPr="00670DCD">
        <w:rPr>
          <w:color w:val="000000"/>
        </w:rPr>
        <w:t>P</w:t>
      </w:r>
      <w:r>
        <w:rPr>
          <w:color w:val="000000"/>
        </w:rPr>
        <w:t>.</w:t>
      </w:r>
      <w:r w:rsidRPr="00670DCD">
        <w:rPr>
          <w:color w:val="000000"/>
        </w:rPr>
        <w:t>U</w:t>
      </w:r>
      <w:r>
        <w:rPr>
          <w:color w:val="000000"/>
        </w:rPr>
        <w:t>.</w:t>
      </w:r>
      <w:r w:rsidRPr="00670DCD">
        <w:rPr>
          <w:color w:val="000000"/>
        </w:rPr>
        <w:t>C</w:t>
      </w:r>
      <w:r>
        <w:rPr>
          <w:color w:val="000000"/>
        </w:rPr>
        <w:t>.</w:t>
      </w:r>
      <w:r w:rsidRPr="00670DCD">
        <w:rPr>
          <w:color w:val="000000"/>
        </w:rPr>
        <w:t xml:space="preserve"> No</w:t>
      </w:r>
      <w:r>
        <w:rPr>
          <w:color w:val="000000"/>
        </w:rPr>
        <w:t>.</w:t>
      </w:r>
      <w:r w:rsidRPr="00670DCD">
        <w:rPr>
          <w:color w:val="000000"/>
        </w:rPr>
        <w:t xml:space="preserve"> </w:t>
      </w:r>
      <w:r>
        <w:rPr>
          <w:color w:val="000000"/>
        </w:rPr>
        <w:t>5 are unjust and unreasonable.</w:t>
      </w:r>
    </w:p>
    <w:p w:rsidR="00062229" w:rsidRPr="00202990" w:rsidRDefault="00062229" w:rsidP="00062229">
      <w:pPr>
        <w:ind w:left="1440"/>
      </w:pPr>
    </w:p>
    <w:p w:rsidR="00062229" w:rsidRPr="00202990" w:rsidRDefault="00062229" w:rsidP="00062229">
      <w:pPr>
        <w:numPr>
          <w:ilvl w:val="0"/>
          <w:numId w:val="3"/>
        </w:numPr>
        <w:ind w:left="0" w:firstLine="1440"/>
      </w:pPr>
      <w:r>
        <w:t xml:space="preserve">That within ten (10) </w:t>
      </w:r>
      <w:r>
        <w:rPr>
          <w:color w:val="000000"/>
        </w:rPr>
        <w:t xml:space="preserve">days of the effective date of the Commission’s Order, </w:t>
      </w:r>
      <w:r>
        <w:t>CTC Communications Corporation shall file a tariff cancelling its tariffed intrastate</w:t>
      </w:r>
      <w:r>
        <w:rPr>
          <w:color w:val="000000"/>
        </w:rPr>
        <w:t xml:space="preserve"> switched access rates found in its Tariff PA </w:t>
      </w:r>
      <w:r w:rsidRPr="00670DCD">
        <w:rPr>
          <w:color w:val="000000"/>
        </w:rPr>
        <w:t>P</w:t>
      </w:r>
      <w:r>
        <w:rPr>
          <w:color w:val="000000"/>
        </w:rPr>
        <w:t>.</w:t>
      </w:r>
      <w:r w:rsidRPr="00670DCD">
        <w:rPr>
          <w:color w:val="000000"/>
        </w:rPr>
        <w:t>U</w:t>
      </w:r>
      <w:r>
        <w:rPr>
          <w:color w:val="000000"/>
        </w:rPr>
        <w:t>.</w:t>
      </w:r>
      <w:r w:rsidRPr="00670DCD">
        <w:rPr>
          <w:color w:val="000000"/>
        </w:rPr>
        <w:t>C</w:t>
      </w:r>
      <w:r>
        <w:rPr>
          <w:color w:val="000000"/>
        </w:rPr>
        <w:t>.</w:t>
      </w:r>
      <w:r w:rsidRPr="00670DCD">
        <w:rPr>
          <w:color w:val="000000"/>
        </w:rPr>
        <w:t xml:space="preserve"> No</w:t>
      </w:r>
      <w:r>
        <w:rPr>
          <w:color w:val="000000"/>
        </w:rPr>
        <w:t>.</w:t>
      </w:r>
      <w:r w:rsidRPr="00670DCD">
        <w:rPr>
          <w:color w:val="000000"/>
        </w:rPr>
        <w:t xml:space="preserve"> </w:t>
      </w:r>
      <w:r>
        <w:rPr>
          <w:color w:val="000000"/>
        </w:rPr>
        <w:t>5.</w:t>
      </w:r>
    </w:p>
    <w:p w:rsidR="00062229" w:rsidRPr="00202990" w:rsidRDefault="00062229" w:rsidP="00062229">
      <w:pPr>
        <w:ind w:left="1440"/>
      </w:pPr>
    </w:p>
    <w:p w:rsidR="00062229" w:rsidRDefault="00062229" w:rsidP="00062229">
      <w:pPr>
        <w:numPr>
          <w:ilvl w:val="0"/>
          <w:numId w:val="3"/>
        </w:numPr>
        <w:ind w:left="0" w:firstLine="1440"/>
      </w:pPr>
      <w:r>
        <w:lastRenderedPageBreak/>
        <w:t xml:space="preserve">That within ten (10) </w:t>
      </w:r>
      <w:r>
        <w:rPr>
          <w:color w:val="000000"/>
        </w:rPr>
        <w:t xml:space="preserve">days of the effective date of the Commission’s Order, </w:t>
      </w:r>
      <w:r>
        <w:t>CTC Communications Corporation shall file a tariff revision reducing its tariffed intrastate switched access rates to a level no higher than those of the incumbent local exchange telecommunications companies in the same service territory.</w:t>
      </w:r>
    </w:p>
    <w:p w:rsidR="00062229" w:rsidRDefault="00062229" w:rsidP="00062229">
      <w:pPr>
        <w:ind w:left="1440"/>
      </w:pPr>
    </w:p>
    <w:p w:rsidR="00062229" w:rsidRPr="004F5459" w:rsidRDefault="00062229" w:rsidP="00062229">
      <w:pPr>
        <w:numPr>
          <w:ilvl w:val="0"/>
          <w:numId w:val="3"/>
        </w:numPr>
        <w:ind w:left="0" w:firstLine="1440"/>
      </w:pPr>
      <w:r>
        <w:t xml:space="preserve">That within thirty (30) days of the effective date of the Commission’s Order, CTC Communications Corporation shall issue refunds </w:t>
      </w:r>
      <w:r>
        <w:rPr>
          <w:color w:val="000000"/>
        </w:rPr>
        <w:t xml:space="preserve">for the period after          November 30, 2004 by applying the overcharge percentage of 40.6%, as noted in Verizon St. 1.0 Table 8, </w:t>
      </w:r>
      <w:r>
        <w:t xml:space="preserve">to </w:t>
      </w:r>
      <w:r w:rsidRPr="00596D1F">
        <w:t>Verizon Pennsylvania Inc., Verizon North Inc., Bell Atlantic Communications, Inc. d/b/a Verizon Long Distance, Verizon Select Services Inc., Verizon Global Networks, Inc., MCImetro Access Transmission Services, LLC d/b/a Verizon Access Transmission Services, and MCI Communications Services Inc.,</w:t>
      </w:r>
      <w:r>
        <w:t xml:space="preserve"> and all other patrons</w:t>
      </w:r>
      <w:r>
        <w:rPr>
          <w:i/>
        </w:rPr>
        <w:t xml:space="preserve"> </w:t>
      </w:r>
      <w:r>
        <w:t>in accordance with the Commission’s Order, plus interest at the legal rate of 6% per annum from the date of each such excessive payment.</w:t>
      </w:r>
      <w:r>
        <w:rPr>
          <w:color w:val="000000"/>
        </w:rPr>
        <w:t xml:space="preserve"> </w:t>
      </w:r>
    </w:p>
    <w:p w:rsidR="00062229" w:rsidRPr="004F5459" w:rsidRDefault="00062229" w:rsidP="00062229">
      <w:pPr>
        <w:ind w:left="1440"/>
      </w:pPr>
    </w:p>
    <w:p w:rsidR="00062229" w:rsidRDefault="00062229" w:rsidP="00062229">
      <w:pPr>
        <w:numPr>
          <w:ilvl w:val="0"/>
          <w:numId w:val="3"/>
        </w:numPr>
        <w:ind w:left="0" w:firstLine="1440"/>
      </w:pPr>
      <w:r>
        <w:t>That within sixty (60) days of the effective date of the Commission’s Order, CTC Communications Corporation shall file with the Secretary a complete accounting of all amounts refunded and detailed with entries of the names and addresses of all patrons eligible for a refund, the date of payment, the amount of refund, the amount of interest paid and the reasons for any failure to make a refund.  The accounting shall include a certificate of service on all</w:t>
      </w:r>
      <w:r w:rsidRPr="00EE0CBC">
        <w:t xml:space="preserve"> </w:t>
      </w:r>
      <w:r>
        <w:t>eligible patrons and a notice that, if the patrons disagree with the accounting, they shall have twenty (20) days from the date of receipt of notice to notify the Secretary.</w:t>
      </w:r>
    </w:p>
    <w:p w:rsidR="00062229" w:rsidRDefault="00062229" w:rsidP="00062229">
      <w:pPr>
        <w:ind w:left="1440"/>
      </w:pPr>
    </w:p>
    <w:p w:rsidR="00062229" w:rsidRDefault="00062229" w:rsidP="00062229">
      <w:pPr>
        <w:numPr>
          <w:ilvl w:val="0"/>
          <w:numId w:val="3"/>
        </w:numPr>
        <w:ind w:left="0" w:firstLine="1440"/>
      </w:pPr>
      <w:r>
        <w:t>That CTC Communications Corporation is enjoined from charging access rates higher than the corresponding incumbent local exchange telecommunications company’s rates in the same service territory rates unless and until the Commission first enters a final order finding that CTC Communications has demonstrated that higher access rates are cost justified.</w:t>
      </w:r>
    </w:p>
    <w:p w:rsidR="00062229" w:rsidRDefault="00062229" w:rsidP="00062229">
      <w:pPr>
        <w:ind w:left="1440"/>
      </w:pPr>
    </w:p>
    <w:p w:rsidR="00062229" w:rsidRPr="002E57CF" w:rsidRDefault="00062229" w:rsidP="00062229">
      <w:pPr>
        <w:numPr>
          <w:ilvl w:val="0"/>
          <w:numId w:val="3"/>
        </w:numPr>
        <w:ind w:left="0" w:firstLine="1440"/>
      </w:pPr>
      <w:r>
        <w:t xml:space="preserve">That CTC Communications Corporation shall cease and desist from further violations of the Public Utility Code, 66 Pa. C.S. §§ 101 </w:t>
      </w:r>
      <w:r>
        <w:rPr>
          <w:i/>
        </w:rPr>
        <w:t>et seq.</w:t>
      </w:r>
      <w:r>
        <w:t xml:space="preserve">, Commission regulations, 52 Pa. Code §§ 1.1 </w:t>
      </w:r>
      <w:r>
        <w:rPr>
          <w:i/>
        </w:rPr>
        <w:t>et seq.</w:t>
      </w:r>
      <w:r>
        <w:t>, and Commission Orders.</w:t>
      </w:r>
    </w:p>
    <w:p w:rsidR="00062229" w:rsidRDefault="00062229" w:rsidP="00062229">
      <w:pPr>
        <w:numPr>
          <w:ilvl w:val="0"/>
          <w:numId w:val="3"/>
        </w:numPr>
        <w:ind w:left="0" w:firstLine="1440"/>
      </w:pPr>
      <w:r>
        <w:lastRenderedPageBreak/>
        <w:t>That within ninety (90) days</w:t>
      </w:r>
      <w:r w:rsidRPr="000213DC">
        <w:t xml:space="preserve"> </w:t>
      </w:r>
      <w:r>
        <w:t>of the effective date of the Commission’s Order, if there are no notices received from the patrons, as set forth in Paragraph 16 above, the Secretary shall mark the docket at No. C</w:t>
      </w:r>
      <w:r>
        <w:noBreakHyphen/>
        <w:t>20077672 closed.  In the event notices are received in accordance with Paragraph 16 above, the Secretary shall refer them to the Law Bureau for whatever action is deemed appropriate, and the docket shall not be closed.</w:t>
      </w:r>
    </w:p>
    <w:p w:rsidR="00062229" w:rsidRDefault="00062229" w:rsidP="00062229">
      <w:pPr>
        <w:ind w:left="1440"/>
      </w:pPr>
    </w:p>
    <w:p w:rsidR="00062229" w:rsidRPr="000C2F05" w:rsidRDefault="00062229" w:rsidP="00062229">
      <w:pPr>
        <w:jc w:val="center"/>
        <w:rPr>
          <w:u w:val="single"/>
        </w:rPr>
      </w:pPr>
      <w:r w:rsidRPr="000C2F05">
        <w:rPr>
          <w:u w:val="single"/>
        </w:rPr>
        <w:t>FiberNet Telecommunications of Pennsylvania, LLC</w:t>
      </w:r>
    </w:p>
    <w:p w:rsidR="00062229" w:rsidRDefault="00062229" w:rsidP="00062229">
      <w:pPr>
        <w:ind w:left="1440"/>
      </w:pPr>
    </w:p>
    <w:p w:rsidR="00062229" w:rsidRDefault="00062229" w:rsidP="00062229">
      <w:pPr>
        <w:numPr>
          <w:ilvl w:val="0"/>
          <w:numId w:val="3"/>
        </w:numPr>
        <w:ind w:left="0" w:firstLine="1440"/>
      </w:pPr>
      <w:r>
        <w:t xml:space="preserve">That the Complaint of </w:t>
      </w:r>
      <w:r>
        <w:rPr>
          <w:i/>
        </w:rPr>
        <w:t xml:space="preserve">Verizon Pennsylvania Inc., Verizon North Inc., Bell Atlantic Communications, Inc. d/b/a Verizon Long Distance, Verizon Select Services Inc., Verizon Global Networks, Inc., MCImetro Access Transmission Services, LLC d/b/a Verizon Access Transmission Services, and MCI Communications Services Inc., versus </w:t>
      </w:r>
      <w:r w:rsidRPr="00024F1B">
        <w:rPr>
          <w:i/>
        </w:rPr>
        <w:t>FiberNet Telecommunications of Pennsylvania, LLC</w:t>
      </w:r>
      <w:r>
        <w:t>,</w:t>
      </w:r>
      <w:r w:rsidRPr="00024F1B">
        <w:t xml:space="preserve"> </w:t>
      </w:r>
      <w:r>
        <w:t>at Docket No. C-20077674 is hereby sustained.</w:t>
      </w:r>
    </w:p>
    <w:p w:rsidR="00062229" w:rsidRDefault="00062229" w:rsidP="00062229">
      <w:pPr>
        <w:ind w:left="1440"/>
      </w:pPr>
    </w:p>
    <w:p w:rsidR="00062229" w:rsidRPr="00AF39FA" w:rsidRDefault="00062229" w:rsidP="00062229">
      <w:pPr>
        <w:numPr>
          <w:ilvl w:val="0"/>
          <w:numId w:val="3"/>
        </w:numPr>
        <w:ind w:left="0" w:firstLine="1440"/>
      </w:pPr>
      <w:r>
        <w:t xml:space="preserve">That the </w:t>
      </w:r>
      <w:r w:rsidRPr="000C2F05">
        <w:t>FiberNet Telecommunications of Pennsylvania, LLC</w:t>
      </w:r>
      <w:r>
        <w:t xml:space="preserve">, </w:t>
      </w:r>
      <w:r>
        <w:rPr>
          <w:color w:val="000000"/>
        </w:rPr>
        <w:t xml:space="preserve">intrastate switched access rates found in its Tariff PA </w:t>
      </w:r>
      <w:r w:rsidRPr="00670DCD">
        <w:rPr>
          <w:color w:val="000000"/>
        </w:rPr>
        <w:t>P</w:t>
      </w:r>
      <w:r>
        <w:rPr>
          <w:color w:val="000000"/>
        </w:rPr>
        <w:t>.</w:t>
      </w:r>
      <w:r w:rsidRPr="00670DCD">
        <w:rPr>
          <w:color w:val="000000"/>
        </w:rPr>
        <w:t>U</w:t>
      </w:r>
      <w:r>
        <w:rPr>
          <w:color w:val="000000"/>
        </w:rPr>
        <w:t>.</w:t>
      </w:r>
      <w:r w:rsidRPr="00670DCD">
        <w:rPr>
          <w:color w:val="000000"/>
        </w:rPr>
        <w:t>C</w:t>
      </w:r>
      <w:r>
        <w:rPr>
          <w:color w:val="000000"/>
        </w:rPr>
        <w:t>.</w:t>
      </w:r>
      <w:r w:rsidRPr="00670DCD">
        <w:rPr>
          <w:color w:val="000000"/>
        </w:rPr>
        <w:t xml:space="preserve"> </w:t>
      </w:r>
      <w:r>
        <w:t>No. 4</w:t>
      </w:r>
      <w:r>
        <w:rPr>
          <w:color w:val="000000"/>
        </w:rPr>
        <w:t xml:space="preserve"> are unjust and unreasonable.</w:t>
      </w:r>
    </w:p>
    <w:p w:rsidR="00062229" w:rsidRPr="00AF39FA" w:rsidRDefault="00062229" w:rsidP="00062229">
      <w:pPr>
        <w:ind w:left="1440"/>
      </w:pPr>
    </w:p>
    <w:p w:rsidR="00062229" w:rsidRPr="00AF39FA" w:rsidRDefault="00062229" w:rsidP="00062229">
      <w:pPr>
        <w:numPr>
          <w:ilvl w:val="0"/>
          <w:numId w:val="3"/>
        </w:numPr>
        <w:ind w:left="0" w:firstLine="1440"/>
      </w:pPr>
      <w:r>
        <w:t xml:space="preserve">That within ten (10) </w:t>
      </w:r>
      <w:r>
        <w:rPr>
          <w:color w:val="000000"/>
        </w:rPr>
        <w:t xml:space="preserve">days of the effective date of the Commission’s Order, </w:t>
      </w:r>
      <w:r>
        <w:t>FiberNet Telecommunications of Pennsylvania, LLC,  shall file a tariff cancelling its tariffed intrastate</w:t>
      </w:r>
      <w:r>
        <w:rPr>
          <w:color w:val="000000"/>
        </w:rPr>
        <w:t xml:space="preserve"> switched access rates found in its Tariff PA </w:t>
      </w:r>
      <w:r w:rsidRPr="00670DCD">
        <w:rPr>
          <w:color w:val="000000"/>
        </w:rPr>
        <w:t>P</w:t>
      </w:r>
      <w:r>
        <w:rPr>
          <w:color w:val="000000"/>
        </w:rPr>
        <w:t>.</w:t>
      </w:r>
      <w:r w:rsidRPr="00670DCD">
        <w:rPr>
          <w:color w:val="000000"/>
        </w:rPr>
        <w:t>U</w:t>
      </w:r>
      <w:r>
        <w:rPr>
          <w:color w:val="000000"/>
        </w:rPr>
        <w:t>.</w:t>
      </w:r>
      <w:r w:rsidRPr="00670DCD">
        <w:rPr>
          <w:color w:val="000000"/>
        </w:rPr>
        <w:t>C</w:t>
      </w:r>
      <w:r>
        <w:rPr>
          <w:color w:val="000000"/>
        </w:rPr>
        <w:t>.</w:t>
      </w:r>
      <w:r w:rsidRPr="00670DCD">
        <w:rPr>
          <w:color w:val="000000"/>
        </w:rPr>
        <w:t xml:space="preserve"> </w:t>
      </w:r>
      <w:r>
        <w:t>No. 4.</w:t>
      </w:r>
    </w:p>
    <w:p w:rsidR="00062229" w:rsidRPr="00202990" w:rsidRDefault="00062229" w:rsidP="00062229">
      <w:pPr>
        <w:ind w:left="1440"/>
      </w:pPr>
    </w:p>
    <w:p w:rsidR="00062229" w:rsidRDefault="00062229" w:rsidP="00062229">
      <w:pPr>
        <w:numPr>
          <w:ilvl w:val="0"/>
          <w:numId w:val="3"/>
        </w:numPr>
        <w:ind w:left="0" w:firstLine="1440"/>
      </w:pPr>
      <w:r>
        <w:t xml:space="preserve">That within ten (10) </w:t>
      </w:r>
      <w:r>
        <w:rPr>
          <w:color w:val="000000"/>
        </w:rPr>
        <w:t xml:space="preserve">days of the effective date of the Commission’s Order, </w:t>
      </w:r>
      <w:r>
        <w:t>FiberNet Telecommunications of Pennsylvania, LLC, shall file a tariff revision reducing its tariffed intrastate switched access rates to a level no higher than those of the incumbent local exchange telecommunications companies in the same service territory.</w:t>
      </w:r>
    </w:p>
    <w:p w:rsidR="00062229" w:rsidRDefault="00062229" w:rsidP="00062229">
      <w:pPr>
        <w:ind w:left="1440"/>
      </w:pPr>
    </w:p>
    <w:p w:rsidR="00062229" w:rsidRDefault="00062229" w:rsidP="00062229">
      <w:pPr>
        <w:numPr>
          <w:ilvl w:val="0"/>
          <w:numId w:val="3"/>
        </w:numPr>
        <w:ind w:left="0" w:firstLine="1440"/>
      </w:pPr>
      <w:r>
        <w:t xml:space="preserve">That within thirty (30) days of the effective date of the Commission’s Order, </w:t>
      </w:r>
      <w:r w:rsidRPr="000C2F05">
        <w:t>FiberNet Telecommunications of Pennsylvania, LLC</w:t>
      </w:r>
      <w:r>
        <w:t>, shall issue switched access refunds to all patrons in accordance with the guidance in the discussion in the Recommended Decision and</w:t>
      </w:r>
      <w:r>
        <w:rPr>
          <w:i/>
        </w:rPr>
        <w:t xml:space="preserve"> </w:t>
      </w:r>
      <w:r>
        <w:t xml:space="preserve">in accordance with the Commission’s Order, plus interest at the legal rate of 6% per annum from the date of each such excessive payment.  In the alternative, FiberNet is authorized to </w:t>
      </w:r>
      <w:r>
        <w:lastRenderedPageBreak/>
        <w:t>backbill any patron for the difference between what the patron actually paid to FiberNet and the comparable incumbent local exchange carrier switched access rate which the patron should have paid.</w:t>
      </w:r>
    </w:p>
    <w:p w:rsidR="00062229" w:rsidRDefault="00062229" w:rsidP="00062229">
      <w:pPr>
        <w:ind w:left="1440"/>
      </w:pPr>
    </w:p>
    <w:p w:rsidR="00062229" w:rsidRDefault="00062229" w:rsidP="00062229">
      <w:pPr>
        <w:numPr>
          <w:ilvl w:val="0"/>
          <w:numId w:val="3"/>
        </w:numPr>
        <w:ind w:left="0" w:firstLine="1440"/>
      </w:pPr>
      <w:r>
        <w:t>That within sixty (60) days of the effective date of the Commission’s Order, FiberNet Telecommunications of Pennsylvania, LLC, shall file with the Secretary a complete accounting of all amounts refunded or backbilled and detailed with entries of the names and addresses of all patrons eligible for a refund or liable for a backbill, the date of payment or billing, the amount of refund or bill, the amount of interest paid on the refund (no interest shall be due on the backbill) and the reasons for any failure to make a refund.  The accounting shall include a certificate of service on all</w:t>
      </w:r>
      <w:r w:rsidRPr="00EE0CBC">
        <w:t xml:space="preserve"> </w:t>
      </w:r>
      <w:r>
        <w:t xml:space="preserve">eligible patrons and a notice that, if the patrons disagree with the accounting, they shall have twenty (20) days from the date of receipt of notice to notify the Secretary.  </w:t>
      </w:r>
    </w:p>
    <w:p w:rsidR="00062229" w:rsidRDefault="00062229" w:rsidP="00062229">
      <w:pPr>
        <w:ind w:left="1440"/>
      </w:pPr>
    </w:p>
    <w:p w:rsidR="00062229" w:rsidRDefault="00062229" w:rsidP="00062229">
      <w:pPr>
        <w:numPr>
          <w:ilvl w:val="0"/>
          <w:numId w:val="3"/>
        </w:numPr>
        <w:ind w:left="0" w:firstLine="1440"/>
      </w:pPr>
      <w:r>
        <w:t>That FiberNet Telecommunications of Pennsylvania, LLC, is enjoined from charging access rates higher than the corresponding incumbent local exchange telecommunications company’s rates in the same service territory rates unless and until the Commission first enters a final order finding that FiberNet has demonstrated that higher access rates are cost justified.</w:t>
      </w:r>
    </w:p>
    <w:p w:rsidR="00062229" w:rsidRDefault="00062229" w:rsidP="00062229">
      <w:pPr>
        <w:ind w:left="1440"/>
      </w:pPr>
    </w:p>
    <w:p w:rsidR="00062229" w:rsidRDefault="00062229" w:rsidP="00062229">
      <w:pPr>
        <w:numPr>
          <w:ilvl w:val="0"/>
          <w:numId w:val="3"/>
        </w:numPr>
        <w:ind w:left="0" w:firstLine="1440"/>
      </w:pPr>
      <w:r>
        <w:t xml:space="preserve">That FiberNet Telecommunications of Pennsylvania, LLC, shall cease and desist from further violations of the Public Utility Code, 66 Pa. C.S. §§ 101 </w:t>
      </w:r>
      <w:r>
        <w:rPr>
          <w:i/>
        </w:rPr>
        <w:t>et seq.</w:t>
      </w:r>
      <w:r>
        <w:t xml:space="preserve"> Commission regulations, 52 Pa. Code §§ 1.1 </w:t>
      </w:r>
      <w:r>
        <w:rPr>
          <w:i/>
        </w:rPr>
        <w:t>et seq.</w:t>
      </w:r>
      <w:r>
        <w:t>, and Commission Orders.</w:t>
      </w:r>
    </w:p>
    <w:p w:rsidR="00062229" w:rsidRDefault="00062229" w:rsidP="00062229">
      <w:pPr>
        <w:pStyle w:val="ListParagraph"/>
      </w:pPr>
    </w:p>
    <w:p w:rsidR="00062229" w:rsidRDefault="00062229" w:rsidP="00062229"/>
    <w:p w:rsidR="00062229" w:rsidRDefault="00062229" w:rsidP="00062229"/>
    <w:p w:rsidR="00062229" w:rsidRDefault="00062229" w:rsidP="00062229"/>
    <w:p w:rsidR="00062229" w:rsidRDefault="00062229" w:rsidP="00062229"/>
    <w:p w:rsidR="00062229" w:rsidRDefault="00062229" w:rsidP="00062229"/>
    <w:p w:rsidR="00062229" w:rsidRPr="002E57CF" w:rsidRDefault="00062229" w:rsidP="00062229">
      <w:pPr>
        <w:ind w:left="1440"/>
      </w:pPr>
    </w:p>
    <w:p w:rsidR="00062229" w:rsidRDefault="00062229" w:rsidP="00062229">
      <w:pPr>
        <w:numPr>
          <w:ilvl w:val="0"/>
          <w:numId w:val="3"/>
        </w:numPr>
        <w:ind w:left="0" w:firstLine="1440"/>
      </w:pPr>
      <w:r>
        <w:lastRenderedPageBreak/>
        <w:t>That within ninety (90) days of the effective date of the Commission’s Order, if there are no notices received from the patrons, as set forth in Paragraph 25 above, the Secretary shall mark the docket at No. C</w:t>
      </w:r>
      <w:r>
        <w:noBreakHyphen/>
        <w:t>20077674 closed.  In the event notices are received in accordance with Paragraph 25 above, the Secretary shall refer them to the Law Bureau for whatever action is deemed appropriate, and the docket shall not be closed.</w:t>
      </w:r>
    </w:p>
    <w:p w:rsidR="00062229" w:rsidRDefault="00062229" w:rsidP="00062229"/>
    <w:p w:rsidR="00062229" w:rsidRDefault="00062229" w:rsidP="00062229"/>
    <w:p w:rsidR="00062229" w:rsidRDefault="00062229" w:rsidP="00062229"/>
    <w:p w:rsidR="00062229" w:rsidRDefault="00062229" w:rsidP="00062229">
      <w:pPr>
        <w:spacing w:line="240" w:lineRule="auto"/>
      </w:pPr>
      <w:r>
        <w:t>Dated:</w:t>
      </w:r>
      <w:r>
        <w:tab/>
      </w:r>
      <w:r w:rsidR="006B19EE">
        <w:rPr>
          <w:u w:val="single"/>
        </w:rPr>
        <w:t>June</w:t>
      </w:r>
      <w:r>
        <w:rPr>
          <w:u w:val="single"/>
        </w:rPr>
        <w:t xml:space="preserve"> 3, 2010</w:t>
      </w:r>
      <w:r>
        <w:tab/>
      </w:r>
      <w:r>
        <w:tab/>
      </w:r>
      <w:r>
        <w:tab/>
      </w:r>
      <w:r>
        <w:tab/>
      </w:r>
      <w:r>
        <w:tab/>
      </w:r>
      <w:r>
        <w:rPr>
          <w:u w:val="single"/>
        </w:rPr>
        <w:tab/>
      </w:r>
      <w:r>
        <w:rPr>
          <w:u w:val="single"/>
        </w:rPr>
        <w:tab/>
      </w:r>
      <w:r>
        <w:rPr>
          <w:u w:val="single"/>
        </w:rPr>
        <w:tab/>
      </w:r>
      <w:r>
        <w:rPr>
          <w:u w:val="single"/>
        </w:rPr>
        <w:tab/>
      </w:r>
      <w:r>
        <w:rPr>
          <w:u w:val="single"/>
        </w:rPr>
        <w:tab/>
      </w:r>
    </w:p>
    <w:p w:rsidR="00062229" w:rsidRDefault="00062229" w:rsidP="00062229">
      <w:pPr>
        <w:spacing w:line="240" w:lineRule="auto"/>
      </w:pPr>
      <w:r>
        <w:tab/>
      </w:r>
      <w:r>
        <w:tab/>
      </w:r>
      <w:r>
        <w:tab/>
      </w:r>
      <w:r>
        <w:tab/>
      </w:r>
      <w:r>
        <w:tab/>
      </w:r>
      <w:r>
        <w:tab/>
      </w:r>
      <w:r>
        <w:tab/>
        <w:t>Louis G. Cocheres</w:t>
      </w:r>
    </w:p>
    <w:p w:rsidR="00062229" w:rsidRPr="004953AC" w:rsidRDefault="00062229" w:rsidP="00062229">
      <w:pPr>
        <w:spacing w:line="240" w:lineRule="auto"/>
      </w:pPr>
      <w:r>
        <w:tab/>
      </w:r>
      <w:r>
        <w:tab/>
      </w:r>
      <w:r>
        <w:tab/>
      </w:r>
      <w:r>
        <w:tab/>
      </w:r>
      <w:r>
        <w:tab/>
      </w:r>
      <w:r>
        <w:tab/>
      </w:r>
      <w:r>
        <w:tab/>
        <w:t>Administrative Law Judge</w:t>
      </w:r>
    </w:p>
    <w:p w:rsidR="00062229" w:rsidRDefault="00062229" w:rsidP="00062229"/>
    <w:p w:rsidR="00062229" w:rsidRDefault="00062229" w:rsidP="00062229">
      <w:pPr>
        <w:pStyle w:val="WBBlockText"/>
        <w:spacing w:after="0" w:line="360" w:lineRule="auto"/>
        <w:rPr>
          <w:color w:val="000000"/>
        </w:rPr>
      </w:pPr>
    </w:p>
    <w:p w:rsidR="00062229" w:rsidRPr="00CE5973" w:rsidRDefault="00062229" w:rsidP="00062229"/>
    <w:p w:rsidR="00235C60" w:rsidRDefault="00235C60"/>
    <w:sectPr w:rsidR="00235C60" w:rsidSect="00C33610">
      <w:pgSz w:w="12240" w:h="15840" w:code="1"/>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ED6" w:rsidRDefault="00FA1ED6" w:rsidP="0022693B">
      <w:pPr>
        <w:spacing w:line="240" w:lineRule="auto"/>
      </w:pPr>
      <w:r>
        <w:separator/>
      </w:r>
    </w:p>
  </w:endnote>
  <w:endnote w:type="continuationSeparator" w:id="0">
    <w:p w:rsidR="00FA1ED6" w:rsidRDefault="00FA1ED6" w:rsidP="0022693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W1)">
    <w:altName w:val="Times New Roman"/>
    <w:charset w:val="00"/>
    <w:family w:val="roman"/>
    <w:pitch w:val="variable"/>
    <w:sig w:usb0="00000000"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D8F" w:rsidRPr="00766DA9" w:rsidRDefault="0022693B">
    <w:pPr>
      <w:pStyle w:val="Footer"/>
      <w:jc w:val="center"/>
      <w:rPr>
        <w:sz w:val="20"/>
        <w:szCs w:val="20"/>
      </w:rPr>
    </w:pPr>
    <w:r w:rsidRPr="00766DA9">
      <w:rPr>
        <w:sz w:val="20"/>
        <w:szCs w:val="20"/>
      </w:rPr>
      <w:fldChar w:fldCharType="begin"/>
    </w:r>
    <w:r w:rsidR="00062229" w:rsidRPr="00766DA9">
      <w:rPr>
        <w:sz w:val="20"/>
        <w:szCs w:val="20"/>
      </w:rPr>
      <w:instrText xml:space="preserve"> PAGE   \* MERGEFORMAT </w:instrText>
    </w:r>
    <w:r w:rsidRPr="00766DA9">
      <w:rPr>
        <w:sz w:val="20"/>
        <w:szCs w:val="20"/>
      </w:rPr>
      <w:fldChar w:fldCharType="separate"/>
    </w:r>
    <w:r w:rsidR="006B19EE">
      <w:rPr>
        <w:noProof/>
        <w:sz w:val="20"/>
        <w:szCs w:val="20"/>
      </w:rPr>
      <w:t>3</w:t>
    </w:r>
    <w:r w:rsidRPr="00766DA9">
      <w:rPr>
        <w:sz w:val="20"/>
        <w:szCs w:val="20"/>
      </w:rPr>
      <w:fldChar w:fldCharType="end"/>
    </w:r>
  </w:p>
  <w:p w:rsidR="00615D8F" w:rsidRDefault="00FA1E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ED6" w:rsidRDefault="00FA1ED6" w:rsidP="0022693B">
      <w:pPr>
        <w:spacing w:line="240" w:lineRule="auto"/>
      </w:pPr>
      <w:r>
        <w:separator/>
      </w:r>
    </w:p>
  </w:footnote>
  <w:footnote w:type="continuationSeparator" w:id="0">
    <w:p w:rsidR="00FA1ED6" w:rsidRDefault="00FA1ED6" w:rsidP="0022693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F3BBA"/>
    <w:multiLevelType w:val="hybridMultilevel"/>
    <w:tmpl w:val="409C15DC"/>
    <w:lvl w:ilvl="0" w:tplc="A4F4D7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9B50C1"/>
    <w:multiLevelType w:val="hybridMultilevel"/>
    <w:tmpl w:val="8794D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B33BC4"/>
    <w:multiLevelType w:val="hybridMultilevel"/>
    <w:tmpl w:val="F8DEE6E8"/>
    <w:lvl w:ilvl="0" w:tplc="1EA61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62229"/>
    <w:rsid w:val="000003E0"/>
    <w:rsid w:val="00000DF4"/>
    <w:rsid w:val="000010AD"/>
    <w:rsid w:val="00001956"/>
    <w:rsid w:val="00001B7D"/>
    <w:rsid w:val="00001E13"/>
    <w:rsid w:val="000026C4"/>
    <w:rsid w:val="00002841"/>
    <w:rsid w:val="00002A17"/>
    <w:rsid w:val="00002DC7"/>
    <w:rsid w:val="0000305D"/>
    <w:rsid w:val="0000319F"/>
    <w:rsid w:val="000037B7"/>
    <w:rsid w:val="00003968"/>
    <w:rsid w:val="00004C41"/>
    <w:rsid w:val="0000509D"/>
    <w:rsid w:val="000054D5"/>
    <w:rsid w:val="00005C26"/>
    <w:rsid w:val="000068D9"/>
    <w:rsid w:val="000077A0"/>
    <w:rsid w:val="00010EA2"/>
    <w:rsid w:val="0001189D"/>
    <w:rsid w:val="00012010"/>
    <w:rsid w:val="00012472"/>
    <w:rsid w:val="00012521"/>
    <w:rsid w:val="00012807"/>
    <w:rsid w:val="000130F9"/>
    <w:rsid w:val="00014473"/>
    <w:rsid w:val="00014A41"/>
    <w:rsid w:val="0001565C"/>
    <w:rsid w:val="000166B9"/>
    <w:rsid w:val="00016A77"/>
    <w:rsid w:val="000170AF"/>
    <w:rsid w:val="00017819"/>
    <w:rsid w:val="00017DE1"/>
    <w:rsid w:val="000220A7"/>
    <w:rsid w:val="000230BF"/>
    <w:rsid w:val="000231EB"/>
    <w:rsid w:val="00023FE0"/>
    <w:rsid w:val="0002471F"/>
    <w:rsid w:val="00024AB5"/>
    <w:rsid w:val="00024B5A"/>
    <w:rsid w:val="000264CB"/>
    <w:rsid w:val="00026982"/>
    <w:rsid w:val="00026E3A"/>
    <w:rsid w:val="00027588"/>
    <w:rsid w:val="00030307"/>
    <w:rsid w:val="00030B67"/>
    <w:rsid w:val="0003130D"/>
    <w:rsid w:val="00031328"/>
    <w:rsid w:val="000319D1"/>
    <w:rsid w:val="000324F5"/>
    <w:rsid w:val="00032605"/>
    <w:rsid w:val="00033C2B"/>
    <w:rsid w:val="000348E0"/>
    <w:rsid w:val="00034E84"/>
    <w:rsid w:val="000356EF"/>
    <w:rsid w:val="00036CA9"/>
    <w:rsid w:val="0004096D"/>
    <w:rsid w:val="00041CCE"/>
    <w:rsid w:val="00041F9B"/>
    <w:rsid w:val="0004295C"/>
    <w:rsid w:val="00043143"/>
    <w:rsid w:val="00043555"/>
    <w:rsid w:val="00044AD1"/>
    <w:rsid w:val="00044B0F"/>
    <w:rsid w:val="00044E69"/>
    <w:rsid w:val="000463B9"/>
    <w:rsid w:val="00046C17"/>
    <w:rsid w:val="000479FD"/>
    <w:rsid w:val="00047E91"/>
    <w:rsid w:val="0005039D"/>
    <w:rsid w:val="00051B95"/>
    <w:rsid w:val="00052731"/>
    <w:rsid w:val="00053483"/>
    <w:rsid w:val="0005532F"/>
    <w:rsid w:val="000560F9"/>
    <w:rsid w:val="000564AA"/>
    <w:rsid w:val="000567E1"/>
    <w:rsid w:val="00056C86"/>
    <w:rsid w:val="00056D57"/>
    <w:rsid w:val="00057503"/>
    <w:rsid w:val="000607CB"/>
    <w:rsid w:val="00061E28"/>
    <w:rsid w:val="00062229"/>
    <w:rsid w:val="000625C0"/>
    <w:rsid w:val="0006384C"/>
    <w:rsid w:val="00064CF9"/>
    <w:rsid w:val="00064F86"/>
    <w:rsid w:val="00065420"/>
    <w:rsid w:val="00065787"/>
    <w:rsid w:val="00065AAE"/>
    <w:rsid w:val="00066102"/>
    <w:rsid w:val="000674AB"/>
    <w:rsid w:val="00067593"/>
    <w:rsid w:val="0007005F"/>
    <w:rsid w:val="00070B37"/>
    <w:rsid w:val="00070C16"/>
    <w:rsid w:val="00071074"/>
    <w:rsid w:val="00071208"/>
    <w:rsid w:val="0007206D"/>
    <w:rsid w:val="0007467F"/>
    <w:rsid w:val="00074745"/>
    <w:rsid w:val="00075D6B"/>
    <w:rsid w:val="00075FA6"/>
    <w:rsid w:val="00076DA7"/>
    <w:rsid w:val="00077B1C"/>
    <w:rsid w:val="00077C0D"/>
    <w:rsid w:val="00080CCC"/>
    <w:rsid w:val="00080F83"/>
    <w:rsid w:val="00081251"/>
    <w:rsid w:val="00082E88"/>
    <w:rsid w:val="00083519"/>
    <w:rsid w:val="00084D6C"/>
    <w:rsid w:val="000865FE"/>
    <w:rsid w:val="00086F00"/>
    <w:rsid w:val="000871FD"/>
    <w:rsid w:val="00087B7B"/>
    <w:rsid w:val="00087C2F"/>
    <w:rsid w:val="00091255"/>
    <w:rsid w:val="00092A23"/>
    <w:rsid w:val="0009336B"/>
    <w:rsid w:val="000941C7"/>
    <w:rsid w:val="0009472C"/>
    <w:rsid w:val="000953E6"/>
    <w:rsid w:val="000962B0"/>
    <w:rsid w:val="00097972"/>
    <w:rsid w:val="000A07CB"/>
    <w:rsid w:val="000A0A76"/>
    <w:rsid w:val="000A1B2F"/>
    <w:rsid w:val="000A22E9"/>
    <w:rsid w:val="000A2478"/>
    <w:rsid w:val="000A260F"/>
    <w:rsid w:val="000A2746"/>
    <w:rsid w:val="000A2DAB"/>
    <w:rsid w:val="000A3129"/>
    <w:rsid w:val="000A3638"/>
    <w:rsid w:val="000A575E"/>
    <w:rsid w:val="000A5E2C"/>
    <w:rsid w:val="000A69C5"/>
    <w:rsid w:val="000A69FB"/>
    <w:rsid w:val="000A6D9E"/>
    <w:rsid w:val="000B14F6"/>
    <w:rsid w:val="000B15EE"/>
    <w:rsid w:val="000B2C8A"/>
    <w:rsid w:val="000B2F63"/>
    <w:rsid w:val="000B380F"/>
    <w:rsid w:val="000B4275"/>
    <w:rsid w:val="000B4D91"/>
    <w:rsid w:val="000B50F5"/>
    <w:rsid w:val="000B7361"/>
    <w:rsid w:val="000B7DC6"/>
    <w:rsid w:val="000C0477"/>
    <w:rsid w:val="000C04B3"/>
    <w:rsid w:val="000C0CAC"/>
    <w:rsid w:val="000C1E08"/>
    <w:rsid w:val="000C25AF"/>
    <w:rsid w:val="000C2D50"/>
    <w:rsid w:val="000C300F"/>
    <w:rsid w:val="000C302A"/>
    <w:rsid w:val="000C3BC9"/>
    <w:rsid w:val="000C3DF8"/>
    <w:rsid w:val="000C41F8"/>
    <w:rsid w:val="000C4209"/>
    <w:rsid w:val="000C47FF"/>
    <w:rsid w:val="000C4D11"/>
    <w:rsid w:val="000C5E56"/>
    <w:rsid w:val="000C6088"/>
    <w:rsid w:val="000D05DA"/>
    <w:rsid w:val="000D0D18"/>
    <w:rsid w:val="000D13DF"/>
    <w:rsid w:val="000D16F4"/>
    <w:rsid w:val="000D2E98"/>
    <w:rsid w:val="000D30AB"/>
    <w:rsid w:val="000D3320"/>
    <w:rsid w:val="000D3957"/>
    <w:rsid w:val="000D3DE7"/>
    <w:rsid w:val="000D412D"/>
    <w:rsid w:val="000D6085"/>
    <w:rsid w:val="000D6BFB"/>
    <w:rsid w:val="000E1511"/>
    <w:rsid w:val="000E1C97"/>
    <w:rsid w:val="000E2B37"/>
    <w:rsid w:val="000E2D64"/>
    <w:rsid w:val="000E2F23"/>
    <w:rsid w:val="000E3889"/>
    <w:rsid w:val="000E3A96"/>
    <w:rsid w:val="000E4E90"/>
    <w:rsid w:val="000E5884"/>
    <w:rsid w:val="000E5A4A"/>
    <w:rsid w:val="000E607E"/>
    <w:rsid w:val="000E771E"/>
    <w:rsid w:val="000E79CE"/>
    <w:rsid w:val="000F0825"/>
    <w:rsid w:val="000F096E"/>
    <w:rsid w:val="000F1F36"/>
    <w:rsid w:val="000F37EA"/>
    <w:rsid w:val="000F3800"/>
    <w:rsid w:val="000F3DA5"/>
    <w:rsid w:val="000F44F3"/>
    <w:rsid w:val="000F457B"/>
    <w:rsid w:val="000F5568"/>
    <w:rsid w:val="000F6041"/>
    <w:rsid w:val="000F6869"/>
    <w:rsid w:val="0010007C"/>
    <w:rsid w:val="001012EC"/>
    <w:rsid w:val="0010534E"/>
    <w:rsid w:val="00105ECA"/>
    <w:rsid w:val="001065E4"/>
    <w:rsid w:val="00106C27"/>
    <w:rsid w:val="00110881"/>
    <w:rsid w:val="001139C6"/>
    <w:rsid w:val="00114D10"/>
    <w:rsid w:val="00114EC5"/>
    <w:rsid w:val="00114F5B"/>
    <w:rsid w:val="00115191"/>
    <w:rsid w:val="0011712A"/>
    <w:rsid w:val="00117375"/>
    <w:rsid w:val="00117B51"/>
    <w:rsid w:val="00121FA4"/>
    <w:rsid w:val="001222FF"/>
    <w:rsid w:val="0012291C"/>
    <w:rsid w:val="00123034"/>
    <w:rsid w:val="00123280"/>
    <w:rsid w:val="001235BC"/>
    <w:rsid w:val="001236A2"/>
    <w:rsid w:val="001251B0"/>
    <w:rsid w:val="0012537B"/>
    <w:rsid w:val="0012580E"/>
    <w:rsid w:val="00125926"/>
    <w:rsid w:val="00126607"/>
    <w:rsid w:val="001266F3"/>
    <w:rsid w:val="00126EBD"/>
    <w:rsid w:val="00130476"/>
    <w:rsid w:val="001312F9"/>
    <w:rsid w:val="00131D8D"/>
    <w:rsid w:val="00133098"/>
    <w:rsid w:val="001332F2"/>
    <w:rsid w:val="00133913"/>
    <w:rsid w:val="00133D4E"/>
    <w:rsid w:val="00134013"/>
    <w:rsid w:val="001353E3"/>
    <w:rsid w:val="0013589E"/>
    <w:rsid w:val="00135CE4"/>
    <w:rsid w:val="001366B2"/>
    <w:rsid w:val="0013696B"/>
    <w:rsid w:val="00136DC0"/>
    <w:rsid w:val="00136F7F"/>
    <w:rsid w:val="0013756D"/>
    <w:rsid w:val="0013757E"/>
    <w:rsid w:val="001378AC"/>
    <w:rsid w:val="0013798E"/>
    <w:rsid w:val="00137BF9"/>
    <w:rsid w:val="00137F12"/>
    <w:rsid w:val="00141DB7"/>
    <w:rsid w:val="001439C4"/>
    <w:rsid w:val="001456D4"/>
    <w:rsid w:val="001457E5"/>
    <w:rsid w:val="00145A22"/>
    <w:rsid w:val="001460BB"/>
    <w:rsid w:val="00146CB9"/>
    <w:rsid w:val="00147327"/>
    <w:rsid w:val="00147E95"/>
    <w:rsid w:val="00150599"/>
    <w:rsid w:val="00150B7C"/>
    <w:rsid w:val="00151163"/>
    <w:rsid w:val="00151FB3"/>
    <w:rsid w:val="001520A5"/>
    <w:rsid w:val="0015288A"/>
    <w:rsid w:val="001528F1"/>
    <w:rsid w:val="00152E12"/>
    <w:rsid w:val="00153533"/>
    <w:rsid w:val="00154306"/>
    <w:rsid w:val="001543DB"/>
    <w:rsid w:val="001544AB"/>
    <w:rsid w:val="00154A77"/>
    <w:rsid w:val="00154F94"/>
    <w:rsid w:val="001558EB"/>
    <w:rsid w:val="00155A47"/>
    <w:rsid w:val="00155EC2"/>
    <w:rsid w:val="00157E5E"/>
    <w:rsid w:val="00160C31"/>
    <w:rsid w:val="00161598"/>
    <w:rsid w:val="00162CD5"/>
    <w:rsid w:val="001630AC"/>
    <w:rsid w:val="00163BD2"/>
    <w:rsid w:val="00166E76"/>
    <w:rsid w:val="001671B7"/>
    <w:rsid w:val="001713ED"/>
    <w:rsid w:val="00171A33"/>
    <w:rsid w:val="00171C0F"/>
    <w:rsid w:val="00171E73"/>
    <w:rsid w:val="00172D36"/>
    <w:rsid w:val="00173D18"/>
    <w:rsid w:val="001745D7"/>
    <w:rsid w:val="00175787"/>
    <w:rsid w:val="0018046D"/>
    <w:rsid w:val="00181794"/>
    <w:rsid w:val="001817F3"/>
    <w:rsid w:val="0018209D"/>
    <w:rsid w:val="001832FE"/>
    <w:rsid w:val="0018472A"/>
    <w:rsid w:val="00186252"/>
    <w:rsid w:val="00186EB0"/>
    <w:rsid w:val="00190281"/>
    <w:rsid w:val="00190D0F"/>
    <w:rsid w:val="00191104"/>
    <w:rsid w:val="001912D8"/>
    <w:rsid w:val="001914A6"/>
    <w:rsid w:val="00191FD2"/>
    <w:rsid w:val="0019201B"/>
    <w:rsid w:val="00192212"/>
    <w:rsid w:val="00192E37"/>
    <w:rsid w:val="00192FC8"/>
    <w:rsid w:val="00193503"/>
    <w:rsid w:val="001937CB"/>
    <w:rsid w:val="0019389D"/>
    <w:rsid w:val="001940D4"/>
    <w:rsid w:val="00194313"/>
    <w:rsid w:val="00194C74"/>
    <w:rsid w:val="00195877"/>
    <w:rsid w:val="00196235"/>
    <w:rsid w:val="00197887"/>
    <w:rsid w:val="00197E6F"/>
    <w:rsid w:val="001A094C"/>
    <w:rsid w:val="001A0F0A"/>
    <w:rsid w:val="001A1452"/>
    <w:rsid w:val="001A1934"/>
    <w:rsid w:val="001A3A76"/>
    <w:rsid w:val="001A458F"/>
    <w:rsid w:val="001A4CE7"/>
    <w:rsid w:val="001A581E"/>
    <w:rsid w:val="001A71CD"/>
    <w:rsid w:val="001A748C"/>
    <w:rsid w:val="001A7753"/>
    <w:rsid w:val="001B0AA0"/>
    <w:rsid w:val="001B0CAC"/>
    <w:rsid w:val="001B11B0"/>
    <w:rsid w:val="001B127E"/>
    <w:rsid w:val="001B17ED"/>
    <w:rsid w:val="001B348F"/>
    <w:rsid w:val="001B568E"/>
    <w:rsid w:val="001B67E2"/>
    <w:rsid w:val="001B6F8D"/>
    <w:rsid w:val="001B7AB2"/>
    <w:rsid w:val="001B7AC0"/>
    <w:rsid w:val="001C00AD"/>
    <w:rsid w:val="001C01D4"/>
    <w:rsid w:val="001C0497"/>
    <w:rsid w:val="001C058A"/>
    <w:rsid w:val="001C0DFF"/>
    <w:rsid w:val="001C1463"/>
    <w:rsid w:val="001C2CA4"/>
    <w:rsid w:val="001C2DC7"/>
    <w:rsid w:val="001C2F1D"/>
    <w:rsid w:val="001C3297"/>
    <w:rsid w:val="001C3D2F"/>
    <w:rsid w:val="001C4497"/>
    <w:rsid w:val="001C4CB1"/>
    <w:rsid w:val="001C50C2"/>
    <w:rsid w:val="001C5BB5"/>
    <w:rsid w:val="001C6BAF"/>
    <w:rsid w:val="001C6F52"/>
    <w:rsid w:val="001C7188"/>
    <w:rsid w:val="001C71DC"/>
    <w:rsid w:val="001C773E"/>
    <w:rsid w:val="001C79C8"/>
    <w:rsid w:val="001D1648"/>
    <w:rsid w:val="001D3E0A"/>
    <w:rsid w:val="001D45BD"/>
    <w:rsid w:val="001D4764"/>
    <w:rsid w:val="001D58ED"/>
    <w:rsid w:val="001D5AA9"/>
    <w:rsid w:val="001D6218"/>
    <w:rsid w:val="001D6D5F"/>
    <w:rsid w:val="001D76E0"/>
    <w:rsid w:val="001E0377"/>
    <w:rsid w:val="001E04FE"/>
    <w:rsid w:val="001E077E"/>
    <w:rsid w:val="001E1642"/>
    <w:rsid w:val="001E1A0F"/>
    <w:rsid w:val="001E1FB1"/>
    <w:rsid w:val="001E218D"/>
    <w:rsid w:val="001E2C0C"/>
    <w:rsid w:val="001E3112"/>
    <w:rsid w:val="001E3143"/>
    <w:rsid w:val="001E3D6C"/>
    <w:rsid w:val="001E4547"/>
    <w:rsid w:val="001E6F32"/>
    <w:rsid w:val="001E7473"/>
    <w:rsid w:val="001E773B"/>
    <w:rsid w:val="001E7AFD"/>
    <w:rsid w:val="001E7D3A"/>
    <w:rsid w:val="001F0074"/>
    <w:rsid w:val="001F091C"/>
    <w:rsid w:val="001F0A6C"/>
    <w:rsid w:val="001F0F0C"/>
    <w:rsid w:val="001F25E1"/>
    <w:rsid w:val="001F2BDB"/>
    <w:rsid w:val="001F3B73"/>
    <w:rsid w:val="001F44BF"/>
    <w:rsid w:val="001F5045"/>
    <w:rsid w:val="001F6649"/>
    <w:rsid w:val="001F71D9"/>
    <w:rsid w:val="001F76DF"/>
    <w:rsid w:val="001F7AE4"/>
    <w:rsid w:val="001F7BB0"/>
    <w:rsid w:val="0020155A"/>
    <w:rsid w:val="00201937"/>
    <w:rsid w:val="00201E5D"/>
    <w:rsid w:val="00202459"/>
    <w:rsid w:val="00202E6B"/>
    <w:rsid w:val="00202F70"/>
    <w:rsid w:val="002037A5"/>
    <w:rsid w:val="00204804"/>
    <w:rsid w:val="0020655E"/>
    <w:rsid w:val="00206E39"/>
    <w:rsid w:val="00206E65"/>
    <w:rsid w:val="00207DE2"/>
    <w:rsid w:val="00210CA0"/>
    <w:rsid w:val="00211ACC"/>
    <w:rsid w:val="00211F6A"/>
    <w:rsid w:val="002130C7"/>
    <w:rsid w:val="002136E8"/>
    <w:rsid w:val="00213FAB"/>
    <w:rsid w:val="0021422A"/>
    <w:rsid w:val="00214F20"/>
    <w:rsid w:val="002158E7"/>
    <w:rsid w:val="00215C5B"/>
    <w:rsid w:val="00215FF6"/>
    <w:rsid w:val="00220FAA"/>
    <w:rsid w:val="002220C8"/>
    <w:rsid w:val="002236DA"/>
    <w:rsid w:val="0022389F"/>
    <w:rsid w:val="002243B1"/>
    <w:rsid w:val="0022484A"/>
    <w:rsid w:val="00224857"/>
    <w:rsid w:val="00226639"/>
    <w:rsid w:val="0022668E"/>
    <w:rsid w:val="00226859"/>
    <w:rsid w:val="0022693B"/>
    <w:rsid w:val="002269CE"/>
    <w:rsid w:val="002271D5"/>
    <w:rsid w:val="00230475"/>
    <w:rsid w:val="002305D7"/>
    <w:rsid w:val="00230B66"/>
    <w:rsid w:val="00230B6C"/>
    <w:rsid w:val="002313F9"/>
    <w:rsid w:val="00231A33"/>
    <w:rsid w:val="00231AFC"/>
    <w:rsid w:val="002343C2"/>
    <w:rsid w:val="00235C59"/>
    <w:rsid w:val="00235C60"/>
    <w:rsid w:val="002361A5"/>
    <w:rsid w:val="002367F9"/>
    <w:rsid w:val="00236A85"/>
    <w:rsid w:val="002375C3"/>
    <w:rsid w:val="00241132"/>
    <w:rsid w:val="00241A82"/>
    <w:rsid w:val="00243026"/>
    <w:rsid w:val="00244308"/>
    <w:rsid w:val="0024531B"/>
    <w:rsid w:val="002454AD"/>
    <w:rsid w:val="00245665"/>
    <w:rsid w:val="00245D67"/>
    <w:rsid w:val="0024616F"/>
    <w:rsid w:val="002476AE"/>
    <w:rsid w:val="0024783E"/>
    <w:rsid w:val="0025164A"/>
    <w:rsid w:val="00252BA8"/>
    <w:rsid w:val="0025360E"/>
    <w:rsid w:val="00253A6C"/>
    <w:rsid w:val="00254098"/>
    <w:rsid w:val="002555A3"/>
    <w:rsid w:val="002573EF"/>
    <w:rsid w:val="0025758D"/>
    <w:rsid w:val="002613F6"/>
    <w:rsid w:val="00262FBF"/>
    <w:rsid w:val="00263F95"/>
    <w:rsid w:val="002658B8"/>
    <w:rsid w:val="00266AFF"/>
    <w:rsid w:val="00266E52"/>
    <w:rsid w:val="0027026C"/>
    <w:rsid w:val="00272612"/>
    <w:rsid w:val="00272BD7"/>
    <w:rsid w:val="00272E8F"/>
    <w:rsid w:val="002730C7"/>
    <w:rsid w:val="00273359"/>
    <w:rsid w:val="002749BE"/>
    <w:rsid w:val="00274F91"/>
    <w:rsid w:val="00275DE7"/>
    <w:rsid w:val="00276F50"/>
    <w:rsid w:val="00277871"/>
    <w:rsid w:val="002778BC"/>
    <w:rsid w:val="00277BBD"/>
    <w:rsid w:val="00280144"/>
    <w:rsid w:val="00281368"/>
    <w:rsid w:val="00281574"/>
    <w:rsid w:val="00282666"/>
    <w:rsid w:val="002832B2"/>
    <w:rsid w:val="0028445E"/>
    <w:rsid w:val="0028454A"/>
    <w:rsid w:val="00284933"/>
    <w:rsid w:val="0028566C"/>
    <w:rsid w:val="00285E27"/>
    <w:rsid w:val="0028627E"/>
    <w:rsid w:val="00286F69"/>
    <w:rsid w:val="00291267"/>
    <w:rsid w:val="00292684"/>
    <w:rsid w:val="00292834"/>
    <w:rsid w:val="002942FC"/>
    <w:rsid w:val="0029572C"/>
    <w:rsid w:val="00296C2D"/>
    <w:rsid w:val="00296C6B"/>
    <w:rsid w:val="00297105"/>
    <w:rsid w:val="00297D1B"/>
    <w:rsid w:val="00297E4B"/>
    <w:rsid w:val="002A081C"/>
    <w:rsid w:val="002A0FE9"/>
    <w:rsid w:val="002A18B0"/>
    <w:rsid w:val="002A218A"/>
    <w:rsid w:val="002A31EE"/>
    <w:rsid w:val="002A3341"/>
    <w:rsid w:val="002A427A"/>
    <w:rsid w:val="002A5903"/>
    <w:rsid w:val="002A59DF"/>
    <w:rsid w:val="002A601B"/>
    <w:rsid w:val="002A6ACE"/>
    <w:rsid w:val="002A7B2F"/>
    <w:rsid w:val="002B0710"/>
    <w:rsid w:val="002B1419"/>
    <w:rsid w:val="002B14BB"/>
    <w:rsid w:val="002B18A8"/>
    <w:rsid w:val="002B1C95"/>
    <w:rsid w:val="002B1F9D"/>
    <w:rsid w:val="002B2596"/>
    <w:rsid w:val="002B2E53"/>
    <w:rsid w:val="002B45A3"/>
    <w:rsid w:val="002B4CA3"/>
    <w:rsid w:val="002B5238"/>
    <w:rsid w:val="002B5648"/>
    <w:rsid w:val="002B571D"/>
    <w:rsid w:val="002B62E5"/>
    <w:rsid w:val="002B656A"/>
    <w:rsid w:val="002B65FD"/>
    <w:rsid w:val="002C07EA"/>
    <w:rsid w:val="002C1970"/>
    <w:rsid w:val="002C1AA3"/>
    <w:rsid w:val="002C1FA5"/>
    <w:rsid w:val="002C256B"/>
    <w:rsid w:val="002C2BEE"/>
    <w:rsid w:val="002C2D7E"/>
    <w:rsid w:val="002C31A0"/>
    <w:rsid w:val="002C4AEF"/>
    <w:rsid w:val="002C4BA3"/>
    <w:rsid w:val="002C5726"/>
    <w:rsid w:val="002C6047"/>
    <w:rsid w:val="002C6826"/>
    <w:rsid w:val="002C7F67"/>
    <w:rsid w:val="002D0895"/>
    <w:rsid w:val="002D0A1C"/>
    <w:rsid w:val="002D0EC6"/>
    <w:rsid w:val="002D15F9"/>
    <w:rsid w:val="002D1D64"/>
    <w:rsid w:val="002D3716"/>
    <w:rsid w:val="002D4569"/>
    <w:rsid w:val="002D5B43"/>
    <w:rsid w:val="002D6568"/>
    <w:rsid w:val="002D6697"/>
    <w:rsid w:val="002D7687"/>
    <w:rsid w:val="002D7EFA"/>
    <w:rsid w:val="002E0686"/>
    <w:rsid w:val="002E133A"/>
    <w:rsid w:val="002E260C"/>
    <w:rsid w:val="002E2FF2"/>
    <w:rsid w:val="002E7CB0"/>
    <w:rsid w:val="002F0854"/>
    <w:rsid w:val="002F175B"/>
    <w:rsid w:val="002F2661"/>
    <w:rsid w:val="002F28BD"/>
    <w:rsid w:val="002F2C77"/>
    <w:rsid w:val="002F3CF8"/>
    <w:rsid w:val="002F5310"/>
    <w:rsid w:val="002F5F5F"/>
    <w:rsid w:val="002F7A42"/>
    <w:rsid w:val="002F7EB1"/>
    <w:rsid w:val="00300250"/>
    <w:rsid w:val="003004F2"/>
    <w:rsid w:val="00301B16"/>
    <w:rsid w:val="00302B4C"/>
    <w:rsid w:val="003038AD"/>
    <w:rsid w:val="00303903"/>
    <w:rsid w:val="003040DC"/>
    <w:rsid w:val="0030417C"/>
    <w:rsid w:val="003046C5"/>
    <w:rsid w:val="00305CDF"/>
    <w:rsid w:val="00306060"/>
    <w:rsid w:val="00307065"/>
    <w:rsid w:val="00307C13"/>
    <w:rsid w:val="00310262"/>
    <w:rsid w:val="00310263"/>
    <w:rsid w:val="00310B99"/>
    <w:rsid w:val="00311FEC"/>
    <w:rsid w:val="003127FD"/>
    <w:rsid w:val="00312B8A"/>
    <w:rsid w:val="0031545D"/>
    <w:rsid w:val="00315A4F"/>
    <w:rsid w:val="00315B06"/>
    <w:rsid w:val="00315D81"/>
    <w:rsid w:val="00315FA7"/>
    <w:rsid w:val="003167AA"/>
    <w:rsid w:val="00317E12"/>
    <w:rsid w:val="00321DFD"/>
    <w:rsid w:val="003226CF"/>
    <w:rsid w:val="00323C91"/>
    <w:rsid w:val="00323FE0"/>
    <w:rsid w:val="00324463"/>
    <w:rsid w:val="003244C0"/>
    <w:rsid w:val="00324EAD"/>
    <w:rsid w:val="0032516B"/>
    <w:rsid w:val="00325B7F"/>
    <w:rsid w:val="00325BAE"/>
    <w:rsid w:val="00326EE3"/>
    <w:rsid w:val="00327A92"/>
    <w:rsid w:val="00327B4F"/>
    <w:rsid w:val="00330111"/>
    <w:rsid w:val="00330A81"/>
    <w:rsid w:val="00331E91"/>
    <w:rsid w:val="00331EB3"/>
    <w:rsid w:val="00332139"/>
    <w:rsid w:val="003338D8"/>
    <w:rsid w:val="00333B41"/>
    <w:rsid w:val="00333BCA"/>
    <w:rsid w:val="00333C31"/>
    <w:rsid w:val="00334449"/>
    <w:rsid w:val="00334BFB"/>
    <w:rsid w:val="00335505"/>
    <w:rsid w:val="0033578B"/>
    <w:rsid w:val="00336AB1"/>
    <w:rsid w:val="00340561"/>
    <w:rsid w:val="00341D7F"/>
    <w:rsid w:val="00342987"/>
    <w:rsid w:val="00342EF2"/>
    <w:rsid w:val="00343917"/>
    <w:rsid w:val="00343AF4"/>
    <w:rsid w:val="00344728"/>
    <w:rsid w:val="003459FF"/>
    <w:rsid w:val="003466D3"/>
    <w:rsid w:val="003504DB"/>
    <w:rsid w:val="0035122B"/>
    <w:rsid w:val="00351E6F"/>
    <w:rsid w:val="00352C1E"/>
    <w:rsid w:val="00352E06"/>
    <w:rsid w:val="003548DE"/>
    <w:rsid w:val="00354973"/>
    <w:rsid w:val="00355632"/>
    <w:rsid w:val="00355841"/>
    <w:rsid w:val="003564D4"/>
    <w:rsid w:val="00360B83"/>
    <w:rsid w:val="003619A7"/>
    <w:rsid w:val="003630F8"/>
    <w:rsid w:val="00363177"/>
    <w:rsid w:val="0036373D"/>
    <w:rsid w:val="00364366"/>
    <w:rsid w:val="003645E4"/>
    <w:rsid w:val="00365736"/>
    <w:rsid w:val="00366B25"/>
    <w:rsid w:val="0036727B"/>
    <w:rsid w:val="00367395"/>
    <w:rsid w:val="00367D38"/>
    <w:rsid w:val="0037084E"/>
    <w:rsid w:val="003708F9"/>
    <w:rsid w:val="0037172D"/>
    <w:rsid w:val="0037278A"/>
    <w:rsid w:val="00373175"/>
    <w:rsid w:val="003731BF"/>
    <w:rsid w:val="00373584"/>
    <w:rsid w:val="00373817"/>
    <w:rsid w:val="003739CE"/>
    <w:rsid w:val="003745DE"/>
    <w:rsid w:val="00374DFD"/>
    <w:rsid w:val="00376D84"/>
    <w:rsid w:val="00376EDE"/>
    <w:rsid w:val="00377326"/>
    <w:rsid w:val="0037786F"/>
    <w:rsid w:val="003778B5"/>
    <w:rsid w:val="00380389"/>
    <w:rsid w:val="00380541"/>
    <w:rsid w:val="003807F1"/>
    <w:rsid w:val="00381BD1"/>
    <w:rsid w:val="00382A4E"/>
    <w:rsid w:val="00382BE0"/>
    <w:rsid w:val="0038334A"/>
    <w:rsid w:val="003834DF"/>
    <w:rsid w:val="0038396A"/>
    <w:rsid w:val="00383DC6"/>
    <w:rsid w:val="003843F6"/>
    <w:rsid w:val="00384918"/>
    <w:rsid w:val="00384C81"/>
    <w:rsid w:val="00384E3E"/>
    <w:rsid w:val="0038539C"/>
    <w:rsid w:val="003853E1"/>
    <w:rsid w:val="00385555"/>
    <w:rsid w:val="003864EE"/>
    <w:rsid w:val="00386811"/>
    <w:rsid w:val="00387BC4"/>
    <w:rsid w:val="00387BDD"/>
    <w:rsid w:val="0039054C"/>
    <w:rsid w:val="00390EA3"/>
    <w:rsid w:val="00390EE2"/>
    <w:rsid w:val="00391371"/>
    <w:rsid w:val="00391CF0"/>
    <w:rsid w:val="00392C29"/>
    <w:rsid w:val="00392DF5"/>
    <w:rsid w:val="00393184"/>
    <w:rsid w:val="00394274"/>
    <w:rsid w:val="00395A5D"/>
    <w:rsid w:val="00395B13"/>
    <w:rsid w:val="00395B18"/>
    <w:rsid w:val="00395D3A"/>
    <w:rsid w:val="00395F3A"/>
    <w:rsid w:val="0039689C"/>
    <w:rsid w:val="003A05B0"/>
    <w:rsid w:val="003A191C"/>
    <w:rsid w:val="003A3035"/>
    <w:rsid w:val="003A3160"/>
    <w:rsid w:val="003A3E25"/>
    <w:rsid w:val="003A452C"/>
    <w:rsid w:val="003A4544"/>
    <w:rsid w:val="003A4B4E"/>
    <w:rsid w:val="003A5398"/>
    <w:rsid w:val="003A5786"/>
    <w:rsid w:val="003A5E0D"/>
    <w:rsid w:val="003A5E19"/>
    <w:rsid w:val="003B02B1"/>
    <w:rsid w:val="003B1F0F"/>
    <w:rsid w:val="003B2149"/>
    <w:rsid w:val="003B37CC"/>
    <w:rsid w:val="003B3AF2"/>
    <w:rsid w:val="003B3C9F"/>
    <w:rsid w:val="003B3F6E"/>
    <w:rsid w:val="003B4735"/>
    <w:rsid w:val="003B5A26"/>
    <w:rsid w:val="003B7A62"/>
    <w:rsid w:val="003C0153"/>
    <w:rsid w:val="003C04C2"/>
    <w:rsid w:val="003C113B"/>
    <w:rsid w:val="003C2747"/>
    <w:rsid w:val="003C2E37"/>
    <w:rsid w:val="003C3271"/>
    <w:rsid w:val="003C3CC4"/>
    <w:rsid w:val="003C4B1D"/>
    <w:rsid w:val="003C4CE1"/>
    <w:rsid w:val="003C59D4"/>
    <w:rsid w:val="003C6143"/>
    <w:rsid w:val="003D11D8"/>
    <w:rsid w:val="003D17A3"/>
    <w:rsid w:val="003D3701"/>
    <w:rsid w:val="003D3B5E"/>
    <w:rsid w:val="003D3C11"/>
    <w:rsid w:val="003D3C4A"/>
    <w:rsid w:val="003D3F68"/>
    <w:rsid w:val="003D3FD6"/>
    <w:rsid w:val="003D4A29"/>
    <w:rsid w:val="003D4B7D"/>
    <w:rsid w:val="003D4D96"/>
    <w:rsid w:val="003D4DA7"/>
    <w:rsid w:val="003D6C47"/>
    <w:rsid w:val="003E04C0"/>
    <w:rsid w:val="003E04E2"/>
    <w:rsid w:val="003E15A5"/>
    <w:rsid w:val="003E1D31"/>
    <w:rsid w:val="003E212D"/>
    <w:rsid w:val="003E29A2"/>
    <w:rsid w:val="003E30A1"/>
    <w:rsid w:val="003E31EB"/>
    <w:rsid w:val="003E3C04"/>
    <w:rsid w:val="003E40B2"/>
    <w:rsid w:val="003E423A"/>
    <w:rsid w:val="003E606A"/>
    <w:rsid w:val="003E60E8"/>
    <w:rsid w:val="003E626C"/>
    <w:rsid w:val="003E7259"/>
    <w:rsid w:val="003E76B0"/>
    <w:rsid w:val="003E7C4C"/>
    <w:rsid w:val="003F002B"/>
    <w:rsid w:val="003F0039"/>
    <w:rsid w:val="003F0521"/>
    <w:rsid w:val="003F14CB"/>
    <w:rsid w:val="003F1E74"/>
    <w:rsid w:val="003F234E"/>
    <w:rsid w:val="003F33CD"/>
    <w:rsid w:val="003F4027"/>
    <w:rsid w:val="003F40A6"/>
    <w:rsid w:val="003F5335"/>
    <w:rsid w:val="003F544D"/>
    <w:rsid w:val="003F5E1D"/>
    <w:rsid w:val="003F7492"/>
    <w:rsid w:val="00401068"/>
    <w:rsid w:val="004012D3"/>
    <w:rsid w:val="00401975"/>
    <w:rsid w:val="00402B33"/>
    <w:rsid w:val="00403042"/>
    <w:rsid w:val="00403132"/>
    <w:rsid w:val="00403138"/>
    <w:rsid w:val="00403239"/>
    <w:rsid w:val="00404E99"/>
    <w:rsid w:val="00406227"/>
    <w:rsid w:val="00410443"/>
    <w:rsid w:val="004106E7"/>
    <w:rsid w:val="00410EC5"/>
    <w:rsid w:val="0041270C"/>
    <w:rsid w:val="00412D85"/>
    <w:rsid w:val="00413574"/>
    <w:rsid w:val="0041423E"/>
    <w:rsid w:val="00414A67"/>
    <w:rsid w:val="00415261"/>
    <w:rsid w:val="00416251"/>
    <w:rsid w:val="00416735"/>
    <w:rsid w:val="0041747B"/>
    <w:rsid w:val="004178DB"/>
    <w:rsid w:val="00417E70"/>
    <w:rsid w:val="00420690"/>
    <w:rsid w:val="00421038"/>
    <w:rsid w:val="00421956"/>
    <w:rsid w:val="00421BEA"/>
    <w:rsid w:val="00421E26"/>
    <w:rsid w:val="004222D5"/>
    <w:rsid w:val="00423218"/>
    <w:rsid w:val="004236E8"/>
    <w:rsid w:val="004237A4"/>
    <w:rsid w:val="00423A76"/>
    <w:rsid w:val="00423DA8"/>
    <w:rsid w:val="0042456A"/>
    <w:rsid w:val="004252B1"/>
    <w:rsid w:val="00425A6A"/>
    <w:rsid w:val="00426260"/>
    <w:rsid w:val="00427B28"/>
    <w:rsid w:val="00430D6A"/>
    <w:rsid w:val="004328F9"/>
    <w:rsid w:val="00432E62"/>
    <w:rsid w:val="004338EC"/>
    <w:rsid w:val="00435693"/>
    <w:rsid w:val="004359C7"/>
    <w:rsid w:val="00437637"/>
    <w:rsid w:val="00442F09"/>
    <w:rsid w:val="004438A1"/>
    <w:rsid w:val="00444D13"/>
    <w:rsid w:val="00445032"/>
    <w:rsid w:val="004456D0"/>
    <w:rsid w:val="004478D9"/>
    <w:rsid w:val="004507B1"/>
    <w:rsid w:val="00450D31"/>
    <w:rsid w:val="00451864"/>
    <w:rsid w:val="00451FE9"/>
    <w:rsid w:val="004527C5"/>
    <w:rsid w:val="00454053"/>
    <w:rsid w:val="004545DF"/>
    <w:rsid w:val="00455BDF"/>
    <w:rsid w:val="004569A2"/>
    <w:rsid w:val="00456A51"/>
    <w:rsid w:val="00456A8E"/>
    <w:rsid w:val="00456BCA"/>
    <w:rsid w:val="00461925"/>
    <w:rsid w:val="00461F72"/>
    <w:rsid w:val="00463C63"/>
    <w:rsid w:val="00463E21"/>
    <w:rsid w:val="00465EFF"/>
    <w:rsid w:val="00466149"/>
    <w:rsid w:val="00470EE7"/>
    <w:rsid w:val="0047169D"/>
    <w:rsid w:val="004717E7"/>
    <w:rsid w:val="00471DB9"/>
    <w:rsid w:val="00471F36"/>
    <w:rsid w:val="00472889"/>
    <w:rsid w:val="00473BE2"/>
    <w:rsid w:val="00474FD7"/>
    <w:rsid w:val="004751D9"/>
    <w:rsid w:val="00475DD5"/>
    <w:rsid w:val="004768EC"/>
    <w:rsid w:val="004772C1"/>
    <w:rsid w:val="00477D49"/>
    <w:rsid w:val="00477DA4"/>
    <w:rsid w:val="00477FF5"/>
    <w:rsid w:val="004803F9"/>
    <w:rsid w:val="00480407"/>
    <w:rsid w:val="00481C6C"/>
    <w:rsid w:val="00482809"/>
    <w:rsid w:val="004846A1"/>
    <w:rsid w:val="00485081"/>
    <w:rsid w:val="00485429"/>
    <w:rsid w:val="0048573C"/>
    <w:rsid w:val="00490616"/>
    <w:rsid w:val="00490707"/>
    <w:rsid w:val="00490774"/>
    <w:rsid w:val="0049128D"/>
    <w:rsid w:val="004937BC"/>
    <w:rsid w:val="00493A2C"/>
    <w:rsid w:val="00493D6E"/>
    <w:rsid w:val="00493E12"/>
    <w:rsid w:val="0049439D"/>
    <w:rsid w:val="00494A2E"/>
    <w:rsid w:val="004963A3"/>
    <w:rsid w:val="0049647A"/>
    <w:rsid w:val="00496B0E"/>
    <w:rsid w:val="00496BA1"/>
    <w:rsid w:val="00496F2F"/>
    <w:rsid w:val="004974F8"/>
    <w:rsid w:val="004977BB"/>
    <w:rsid w:val="00497B42"/>
    <w:rsid w:val="00497D6D"/>
    <w:rsid w:val="00497DAE"/>
    <w:rsid w:val="004A0EB4"/>
    <w:rsid w:val="004A12B9"/>
    <w:rsid w:val="004A1580"/>
    <w:rsid w:val="004A1982"/>
    <w:rsid w:val="004A1DD6"/>
    <w:rsid w:val="004A3311"/>
    <w:rsid w:val="004A37F0"/>
    <w:rsid w:val="004A396C"/>
    <w:rsid w:val="004A3EF5"/>
    <w:rsid w:val="004A55FC"/>
    <w:rsid w:val="004A5723"/>
    <w:rsid w:val="004A6215"/>
    <w:rsid w:val="004A7A22"/>
    <w:rsid w:val="004B0B00"/>
    <w:rsid w:val="004B12FA"/>
    <w:rsid w:val="004B3321"/>
    <w:rsid w:val="004B49AB"/>
    <w:rsid w:val="004B49B5"/>
    <w:rsid w:val="004B5146"/>
    <w:rsid w:val="004B6F22"/>
    <w:rsid w:val="004B7D55"/>
    <w:rsid w:val="004C01FA"/>
    <w:rsid w:val="004C1D32"/>
    <w:rsid w:val="004C2295"/>
    <w:rsid w:val="004C28A5"/>
    <w:rsid w:val="004C2CE2"/>
    <w:rsid w:val="004C3DBC"/>
    <w:rsid w:val="004C3DF1"/>
    <w:rsid w:val="004C5155"/>
    <w:rsid w:val="004C5CCF"/>
    <w:rsid w:val="004C6CC0"/>
    <w:rsid w:val="004D10C6"/>
    <w:rsid w:val="004D10D1"/>
    <w:rsid w:val="004D195E"/>
    <w:rsid w:val="004D2A9D"/>
    <w:rsid w:val="004D2EF9"/>
    <w:rsid w:val="004D438F"/>
    <w:rsid w:val="004D7A40"/>
    <w:rsid w:val="004E1E0F"/>
    <w:rsid w:val="004E245B"/>
    <w:rsid w:val="004E2887"/>
    <w:rsid w:val="004E52B2"/>
    <w:rsid w:val="004E66A1"/>
    <w:rsid w:val="004E7124"/>
    <w:rsid w:val="004F3044"/>
    <w:rsid w:val="004F3120"/>
    <w:rsid w:val="004F3655"/>
    <w:rsid w:val="004F56E7"/>
    <w:rsid w:val="004F748B"/>
    <w:rsid w:val="004F74BF"/>
    <w:rsid w:val="00500A38"/>
    <w:rsid w:val="00500D3C"/>
    <w:rsid w:val="00501726"/>
    <w:rsid w:val="00501F3C"/>
    <w:rsid w:val="005037C3"/>
    <w:rsid w:val="005038D5"/>
    <w:rsid w:val="00503D95"/>
    <w:rsid w:val="00504A49"/>
    <w:rsid w:val="00507A85"/>
    <w:rsid w:val="0051002A"/>
    <w:rsid w:val="005106A3"/>
    <w:rsid w:val="0051084A"/>
    <w:rsid w:val="00511800"/>
    <w:rsid w:val="00512262"/>
    <w:rsid w:val="0051280C"/>
    <w:rsid w:val="0051337D"/>
    <w:rsid w:val="005133D2"/>
    <w:rsid w:val="00514A93"/>
    <w:rsid w:val="005154A8"/>
    <w:rsid w:val="00515B43"/>
    <w:rsid w:val="0051601A"/>
    <w:rsid w:val="00516A18"/>
    <w:rsid w:val="005205A0"/>
    <w:rsid w:val="0052060C"/>
    <w:rsid w:val="00520D79"/>
    <w:rsid w:val="005214CC"/>
    <w:rsid w:val="00523017"/>
    <w:rsid w:val="00523932"/>
    <w:rsid w:val="00524931"/>
    <w:rsid w:val="00526582"/>
    <w:rsid w:val="005267BD"/>
    <w:rsid w:val="00526F4B"/>
    <w:rsid w:val="005303C3"/>
    <w:rsid w:val="0053048A"/>
    <w:rsid w:val="005307B9"/>
    <w:rsid w:val="00532CA1"/>
    <w:rsid w:val="0053310F"/>
    <w:rsid w:val="00533F9D"/>
    <w:rsid w:val="00533FC8"/>
    <w:rsid w:val="00535F20"/>
    <w:rsid w:val="00537416"/>
    <w:rsid w:val="00537FBF"/>
    <w:rsid w:val="00541770"/>
    <w:rsid w:val="0054178B"/>
    <w:rsid w:val="00541B05"/>
    <w:rsid w:val="00542310"/>
    <w:rsid w:val="005426CF"/>
    <w:rsid w:val="00542A61"/>
    <w:rsid w:val="00542F56"/>
    <w:rsid w:val="00544DA5"/>
    <w:rsid w:val="00545273"/>
    <w:rsid w:val="00546940"/>
    <w:rsid w:val="0054768C"/>
    <w:rsid w:val="0054789D"/>
    <w:rsid w:val="005505F1"/>
    <w:rsid w:val="00552281"/>
    <w:rsid w:val="005538EB"/>
    <w:rsid w:val="0055412B"/>
    <w:rsid w:val="005556BA"/>
    <w:rsid w:val="00555A5E"/>
    <w:rsid w:val="00555FCE"/>
    <w:rsid w:val="0055678E"/>
    <w:rsid w:val="00557A37"/>
    <w:rsid w:val="00557A88"/>
    <w:rsid w:val="00560104"/>
    <w:rsid w:val="00560553"/>
    <w:rsid w:val="005605FE"/>
    <w:rsid w:val="00560CCB"/>
    <w:rsid w:val="00561173"/>
    <w:rsid w:val="005615EF"/>
    <w:rsid w:val="00561DB5"/>
    <w:rsid w:val="005627D2"/>
    <w:rsid w:val="00562F3C"/>
    <w:rsid w:val="00563DAA"/>
    <w:rsid w:val="00564C19"/>
    <w:rsid w:val="00564F75"/>
    <w:rsid w:val="0056573D"/>
    <w:rsid w:val="00565A6A"/>
    <w:rsid w:val="0056602B"/>
    <w:rsid w:val="00566576"/>
    <w:rsid w:val="0057018D"/>
    <w:rsid w:val="00571805"/>
    <w:rsid w:val="0057268D"/>
    <w:rsid w:val="005749A0"/>
    <w:rsid w:val="00574A31"/>
    <w:rsid w:val="00575019"/>
    <w:rsid w:val="005764A3"/>
    <w:rsid w:val="005765BC"/>
    <w:rsid w:val="00576D31"/>
    <w:rsid w:val="00576FA7"/>
    <w:rsid w:val="005800EF"/>
    <w:rsid w:val="005802A1"/>
    <w:rsid w:val="0058068D"/>
    <w:rsid w:val="00580C93"/>
    <w:rsid w:val="00580ED6"/>
    <w:rsid w:val="0058254C"/>
    <w:rsid w:val="00584CE8"/>
    <w:rsid w:val="00586D2E"/>
    <w:rsid w:val="00586F3D"/>
    <w:rsid w:val="00587BF5"/>
    <w:rsid w:val="00590352"/>
    <w:rsid w:val="005911AC"/>
    <w:rsid w:val="00591747"/>
    <w:rsid w:val="0059324D"/>
    <w:rsid w:val="00593BC1"/>
    <w:rsid w:val="00593CD9"/>
    <w:rsid w:val="00594347"/>
    <w:rsid w:val="00594C8A"/>
    <w:rsid w:val="005979B3"/>
    <w:rsid w:val="005A029B"/>
    <w:rsid w:val="005A0589"/>
    <w:rsid w:val="005A06A1"/>
    <w:rsid w:val="005A0F17"/>
    <w:rsid w:val="005A2179"/>
    <w:rsid w:val="005A2CE1"/>
    <w:rsid w:val="005A30AA"/>
    <w:rsid w:val="005A362D"/>
    <w:rsid w:val="005A4082"/>
    <w:rsid w:val="005A425A"/>
    <w:rsid w:val="005A4909"/>
    <w:rsid w:val="005A4E56"/>
    <w:rsid w:val="005A548D"/>
    <w:rsid w:val="005A54AD"/>
    <w:rsid w:val="005A7D08"/>
    <w:rsid w:val="005A7E1B"/>
    <w:rsid w:val="005B1476"/>
    <w:rsid w:val="005B2590"/>
    <w:rsid w:val="005B26C4"/>
    <w:rsid w:val="005B2906"/>
    <w:rsid w:val="005B4160"/>
    <w:rsid w:val="005B498C"/>
    <w:rsid w:val="005B521D"/>
    <w:rsid w:val="005B52CF"/>
    <w:rsid w:val="005B5B3B"/>
    <w:rsid w:val="005B732C"/>
    <w:rsid w:val="005B7516"/>
    <w:rsid w:val="005B7749"/>
    <w:rsid w:val="005C0818"/>
    <w:rsid w:val="005C117B"/>
    <w:rsid w:val="005C1B34"/>
    <w:rsid w:val="005C3636"/>
    <w:rsid w:val="005C5961"/>
    <w:rsid w:val="005C5BCE"/>
    <w:rsid w:val="005C6225"/>
    <w:rsid w:val="005C6D59"/>
    <w:rsid w:val="005D02F9"/>
    <w:rsid w:val="005D0347"/>
    <w:rsid w:val="005D2858"/>
    <w:rsid w:val="005D3416"/>
    <w:rsid w:val="005D35B7"/>
    <w:rsid w:val="005D3751"/>
    <w:rsid w:val="005D3953"/>
    <w:rsid w:val="005D4BCA"/>
    <w:rsid w:val="005D63B0"/>
    <w:rsid w:val="005D6481"/>
    <w:rsid w:val="005D6A78"/>
    <w:rsid w:val="005D78AF"/>
    <w:rsid w:val="005D791B"/>
    <w:rsid w:val="005D7EDE"/>
    <w:rsid w:val="005E0CC8"/>
    <w:rsid w:val="005E25F8"/>
    <w:rsid w:val="005E3881"/>
    <w:rsid w:val="005E3D7E"/>
    <w:rsid w:val="005E5FDC"/>
    <w:rsid w:val="005E6639"/>
    <w:rsid w:val="005E6C0C"/>
    <w:rsid w:val="005E6D09"/>
    <w:rsid w:val="005E7179"/>
    <w:rsid w:val="005E768D"/>
    <w:rsid w:val="005F0BC1"/>
    <w:rsid w:val="005F112D"/>
    <w:rsid w:val="005F1376"/>
    <w:rsid w:val="005F1794"/>
    <w:rsid w:val="005F1DD5"/>
    <w:rsid w:val="005F39CE"/>
    <w:rsid w:val="005F3B89"/>
    <w:rsid w:val="005F3E6D"/>
    <w:rsid w:val="005F40B0"/>
    <w:rsid w:val="005F4370"/>
    <w:rsid w:val="005F43F7"/>
    <w:rsid w:val="005F4D91"/>
    <w:rsid w:val="005F5AA9"/>
    <w:rsid w:val="005F5AC7"/>
    <w:rsid w:val="005F67B7"/>
    <w:rsid w:val="005F6912"/>
    <w:rsid w:val="005F6CDD"/>
    <w:rsid w:val="005F6CEF"/>
    <w:rsid w:val="005F6EA8"/>
    <w:rsid w:val="005F70DC"/>
    <w:rsid w:val="005F7E0C"/>
    <w:rsid w:val="005F7FFE"/>
    <w:rsid w:val="00600345"/>
    <w:rsid w:val="0060091D"/>
    <w:rsid w:val="006040D0"/>
    <w:rsid w:val="006064A4"/>
    <w:rsid w:val="00607442"/>
    <w:rsid w:val="0061126A"/>
    <w:rsid w:val="0061148C"/>
    <w:rsid w:val="00611A07"/>
    <w:rsid w:val="00611A44"/>
    <w:rsid w:val="00611F21"/>
    <w:rsid w:val="006120C1"/>
    <w:rsid w:val="006125A6"/>
    <w:rsid w:val="006126F0"/>
    <w:rsid w:val="00613D2B"/>
    <w:rsid w:val="006145DD"/>
    <w:rsid w:val="0061641A"/>
    <w:rsid w:val="00616730"/>
    <w:rsid w:val="006178F4"/>
    <w:rsid w:val="00617DF4"/>
    <w:rsid w:val="00620686"/>
    <w:rsid w:val="00620DC1"/>
    <w:rsid w:val="00620E9D"/>
    <w:rsid w:val="006216F6"/>
    <w:rsid w:val="00621CB8"/>
    <w:rsid w:val="0062211F"/>
    <w:rsid w:val="006224F7"/>
    <w:rsid w:val="00623280"/>
    <w:rsid w:val="00623FDF"/>
    <w:rsid w:val="00624925"/>
    <w:rsid w:val="0062594E"/>
    <w:rsid w:val="00625EB2"/>
    <w:rsid w:val="006264AB"/>
    <w:rsid w:val="00627755"/>
    <w:rsid w:val="00627930"/>
    <w:rsid w:val="0063064F"/>
    <w:rsid w:val="00630836"/>
    <w:rsid w:val="00631117"/>
    <w:rsid w:val="00632877"/>
    <w:rsid w:val="00633C24"/>
    <w:rsid w:val="00634ABC"/>
    <w:rsid w:val="00634BCB"/>
    <w:rsid w:val="0063562F"/>
    <w:rsid w:val="00635CD8"/>
    <w:rsid w:val="00635F05"/>
    <w:rsid w:val="00637B3E"/>
    <w:rsid w:val="0064033B"/>
    <w:rsid w:val="0064094F"/>
    <w:rsid w:val="00640DA5"/>
    <w:rsid w:val="00641BA5"/>
    <w:rsid w:val="00641BB1"/>
    <w:rsid w:val="006425C8"/>
    <w:rsid w:val="00643BFE"/>
    <w:rsid w:val="00643C00"/>
    <w:rsid w:val="006445CA"/>
    <w:rsid w:val="00644A51"/>
    <w:rsid w:val="006469D7"/>
    <w:rsid w:val="00646E41"/>
    <w:rsid w:val="00647BF8"/>
    <w:rsid w:val="0065142D"/>
    <w:rsid w:val="0065152A"/>
    <w:rsid w:val="00651D85"/>
    <w:rsid w:val="00652521"/>
    <w:rsid w:val="00652CFD"/>
    <w:rsid w:val="00652F03"/>
    <w:rsid w:val="0065328C"/>
    <w:rsid w:val="00653F60"/>
    <w:rsid w:val="00655A16"/>
    <w:rsid w:val="00656958"/>
    <w:rsid w:val="006574A0"/>
    <w:rsid w:val="00660296"/>
    <w:rsid w:val="00661850"/>
    <w:rsid w:val="0066217F"/>
    <w:rsid w:val="00663990"/>
    <w:rsid w:val="00663D08"/>
    <w:rsid w:val="00663E22"/>
    <w:rsid w:val="006644A6"/>
    <w:rsid w:val="006644B8"/>
    <w:rsid w:val="00664B0A"/>
    <w:rsid w:val="00664BAC"/>
    <w:rsid w:val="006656B6"/>
    <w:rsid w:val="0066620F"/>
    <w:rsid w:val="00666506"/>
    <w:rsid w:val="0066703F"/>
    <w:rsid w:val="0066771C"/>
    <w:rsid w:val="00670008"/>
    <w:rsid w:val="0067020E"/>
    <w:rsid w:val="006704FE"/>
    <w:rsid w:val="006708AD"/>
    <w:rsid w:val="0067126C"/>
    <w:rsid w:val="00672F72"/>
    <w:rsid w:val="00674924"/>
    <w:rsid w:val="00674962"/>
    <w:rsid w:val="0067607A"/>
    <w:rsid w:val="0067612F"/>
    <w:rsid w:val="00677B23"/>
    <w:rsid w:val="006803D0"/>
    <w:rsid w:val="00680B52"/>
    <w:rsid w:val="00680E6F"/>
    <w:rsid w:val="0068101A"/>
    <w:rsid w:val="006812FB"/>
    <w:rsid w:val="006816F1"/>
    <w:rsid w:val="00682B81"/>
    <w:rsid w:val="0068330B"/>
    <w:rsid w:val="00683C02"/>
    <w:rsid w:val="00684851"/>
    <w:rsid w:val="00685294"/>
    <w:rsid w:val="00685FD0"/>
    <w:rsid w:val="00686134"/>
    <w:rsid w:val="006875AB"/>
    <w:rsid w:val="0069064B"/>
    <w:rsid w:val="00690B78"/>
    <w:rsid w:val="00690B86"/>
    <w:rsid w:val="006921F9"/>
    <w:rsid w:val="006925DF"/>
    <w:rsid w:val="00692A8F"/>
    <w:rsid w:val="006936E8"/>
    <w:rsid w:val="0069428C"/>
    <w:rsid w:val="006944E1"/>
    <w:rsid w:val="00694E5C"/>
    <w:rsid w:val="00694F24"/>
    <w:rsid w:val="00694F3F"/>
    <w:rsid w:val="00695468"/>
    <w:rsid w:val="006959EB"/>
    <w:rsid w:val="00695AD3"/>
    <w:rsid w:val="00697F00"/>
    <w:rsid w:val="006A0108"/>
    <w:rsid w:val="006A2020"/>
    <w:rsid w:val="006A214C"/>
    <w:rsid w:val="006A223F"/>
    <w:rsid w:val="006A3378"/>
    <w:rsid w:val="006A3751"/>
    <w:rsid w:val="006A39AA"/>
    <w:rsid w:val="006A494F"/>
    <w:rsid w:val="006A523D"/>
    <w:rsid w:val="006A54CB"/>
    <w:rsid w:val="006A5516"/>
    <w:rsid w:val="006A67C4"/>
    <w:rsid w:val="006A722B"/>
    <w:rsid w:val="006A7E4F"/>
    <w:rsid w:val="006B0641"/>
    <w:rsid w:val="006B19EE"/>
    <w:rsid w:val="006B20BB"/>
    <w:rsid w:val="006B2692"/>
    <w:rsid w:val="006B3958"/>
    <w:rsid w:val="006B481D"/>
    <w:rsid w:val="006B49C8"/>
    <w:rsid w:val="006B508B"/>
    <w:rsid w:val="006B577C"/>
    <w:rsid w:val="006B5C58"/>
    <w:rsid w:val="006B6A46"/>
    <w:rsid w:val="006B7459"/>
    <w:rsid w:val="006B77F2"/>
    <w:rsid w:val="006C0D6E"/>
    <w:rsid w:val="006C0E6F"/>
    <w:rsid w:val="006C1F62"/>
    <w:rsid w:val="006C23FE"/>
    <w:rsid w:val="006C3049"/>
    <w:rsid w:val="006C3A20"/>
    <w:rsid w:val="006C3CAE"/>
    <w:rsid w:val="006C4C40"/>
    <w:rsid w:val="006C58A5"/>
    <w:rsid w:val="006C6B0A"/>
    <w:rsid w:val="006D0840"/>
    <w:rsid w:val="006D18B2"/>
    <w:rsid w:val="006D1D2B"/>
    <w:rsid w:val="006D2F8C"/>
    <w:rsid w:val="006D358D"/>
    <w:rsid w:val="006D57CE"/>
    <w:rsid w:val="006D69EB"/>
    <w:rsid w:val="006D7C6B"/>
    <w:rsid w:val="006E0C86"/>
    <w:rsid w:val="006E16E3"/>
    <w:rsid w:val="006E1B1E"/>
    <w:rsid w:val="006E20D6"/>
    <w:rsid w:val="006E4062"/>
    <w:rsid w:val="006E54E3"/>
    <w:rsid w:val="006E689B"/>
    <w:rsid w:val="006E6D70"/>
    <w:rsid w:val="006E75A8"/>
    <w:rsid w:val="006E7681"/>
    <w:rsid w:val="006E7A7B"/>
    <w:rsid w:val="006F0591"/>
    <w:rsid w:val="006F07B3"/>
    <w:rsid w:val="006F0B37"/>
    <w:rsid w:val="006F0FE8"/>
    <w:rsid w:val="006F1463"/>
    <w:rsid w:val="006F176C"/>
    <w:rsid w:val="006F1D1A"/>
    <w:rsid w:val="006F24A9"/>
    <w:rsid w:val="006F3577"/>
    <w:rsid w:val="006F3B56"/>
    <w:rsid w:val="006F4194"/>
    <w:rsid w:val="006F43E1"/>
    <w:rsid w:val="006F4A11"/>
    <w:rsid w:val="006F4B51"/>
    <w:rsid w:val="006F5268"/>
    <w:rsid w:val="006F52CE"/>
    <w:rsid w:val="006F57B0"/>
    <w:rsid w:val="006F757B"/>
    <w:rsid w:val="006F7809"/>
    <w:rsid w:val="006F7DB2"/>
    <w:rsid w:val="006F7E58"/>
    <w:rsid w:val="00700197"/>
    <w:rsid w:val="0070141D"/>
    <w:rsid w:val="00701627"/>
    <w:rsid w:val="00703199"/>
    <w:rsid w:val="007031FD"/>
    <w:rsid w:val="00704439"/>
    <w:rsid w:val="00704972"/>
    <w:rsid w:val="00705A0D"/>
    <w:rsid w:val="00706255"/>
    <w:rsid w:val="007074E4"/>
    <w:rsid w:val="00707547"/>
    <w:rsid w:val="00707A7D"/>
    <w:rsid w:val="00707AB6"/>
    <w:rsid w:val="00710CDC"/>
    <w:rsid w:val="007118E8"/>
    <w:rsid w:val="007124A1"/>
    <w:rsid w:val="00712ADB"/>
    <w:rsid w:val="00713B7C"/>
    <w:rsid w:val="00713D1B"/>
    <w:rsid w:val="00713DC8"/>
    <w:rsid w:val="007164B2"/>
    <w:rsid w:val="00720E90"/>
    <w:rsid w:val="00721E73"/>
    <w:rsid w:val="007226B6"/>
    <w:rsid w:val="007231E5"/>
    <w:rsid w:val="007237E9"/>
    <w:rsid w:val="00724829"/>
    <w:rsid w:val="00724E23"/>
    <w:rsid w:val="0072593F"/>
    <w:rsid w:val="007263D8"/>
    <w:rsid w:val="00727B98"/>
    <w:rsid w:val="007302F9"/>
    <w:rsid w:val="007319A9"/>
    <w:rsid w:val="00731D15"/>
    <w:rsid w:val="00731D37"/>
    <w:rsid w:val="00732BFD"/>
    <w:rsid w:val="00733C8D"/>
    <w:rsid w:val="007340C2"/>
    <w:rsid w:val="007344E2"/>
    <w:rsid w:val="00734F43"/>
    <w:rsid w:val="00735624"/>
    <w:rsid w:val="00735ACB"/>
    <w:rsid w:val="00735CDC"/>
    <w:rsid w:val="00737883"/>
    <w:rsid w:val="00740CBA"/>
    <w:rsid w:val="00741F68"/>
    <w:rsid w:val="007425C8"/>
    <w:rsid w:val="00743D91"/>
    <w:rsid w:val="00744FBA"/>
    <w:rsid w:val="0074561B"/>
    <w:rsid w:val="007469CD"/>
    <w:rsid w:val="00746D67"/>
    <w:rsid w:val="00747D57"/>
    <w:rsid w:val="0075009E"/>
    <w:rsid w:val="007512ED"/>
    <w:rsid w:val="00751380"/>
    <w:rsid w:val="0075208F"/>
    <w:rsid w:val="007522F4"/>
    <w:rsid w:val="0075302F"/>
    <w:rsid w:val="00753EA7"/>
    <w:rsid w:val="00754281"/>
    <w:rsid w:val="007542AC"/>
    <w:rsid w:val="00754389"/>
    <w:rsid w:val="0075445A"/>
    <w:rsid w:val="00755687"/>
    <w:rsid w:val="00757CEB"/>
    <w:rsid w:val="00762E17"/>
    <w:rsid w:val="007639F9"/>
    <w:rsid w:val="00764A80"/>
    <w:rsid w:val="00766675"/>
    <w:rsid w:val="00766710"/>
    <w:rsid w:val="00766EBF"/>
    <w:rsid w:val="00767575"/>
    <w:rsid w:val="00767D6E"/>
    <w:rsid w:val="00770C39"/>
    <w:rsid w:val="007717F6"/>
    <w:rsid w:val="00772528"/>
    <w:rsid w:val="00774167"/>
    <w:rsid w:val="00774F7D"/>
    <w:rsid w:val="0077514B"/>
    <w:rsid w:val="0077515D"/>
    <w:rsid w:val="00775801"/>
    <w:rsid w:val="007802B1"/>
    <w:rsid w:val="00780A68"/>
    <w:rsid w:val="00781955"/>
    <w:rsid w:val="007853D7"/>
    <w:rsid w:val="00785946"/>
    <w:rsid w:val="0078666A"/>
    <w:rsid w:val="00787931"/>
    <w:rsid w:val="00787DF3"/>
    <w:rsid w:val="007902FB"/>
    <w:rsid w:val="0079050C"/>
    <w:rsid w:val="00790629"/>
    <w:rsid w:val="00790FB3"/>
    <w:rsid w:val="0079162E"/>
    <w:rsid w:val="007919F2"/>
    <w:rsid w:val="00792B27"/>
    <w:rsid w:val="007932B0"/>
    <w:rsid w:val="0079483F"/>
    <w:rsid w:val="00794B26"/>
    <w:rsid w:val="007958DF"/>
    <w:rsid w:val="00796B2A"/>
    <w:rsid w:val="00796B54"/>
    <w:rsid w:val="007A002F"/>
    <w:rsid w:val="007A0DF8"/>
    <w:rsid w:val="007A0EC0"/>
    <w:rsid w:val="007A1325"/>
    <w:rsid w:val="007A2030"/>
    <w:rsid w:val="007A38B7"/>
    <w:rsid w:val="007A3FF8"/>
    <w:rsid w:val="007A4752"/>
    <w:rsid w:val="007A533F"/>
    <w:rsid w:val="007A5582"/>
    <w:rsid w:val="007A5772"/>
    <w:rsid w:val="007A6A35"/>
    <w:rsid w:val="007A78AB"/>
    <w:rsid w:val="007A7B38"/>
    <w:rsid w:val="007A7E5F"/>
    <w:rsid w:val="007B0853"/>
    <w:rsid w:val="007B1167"/>
    <w:rsid w:val="007B14C7"/>
    <w:rsid w:val="007B15E2"/>
    <w:rsid w:val="007B3849"/>
    <w:rsid w:val="007B3D63"/>
    <w:rsid w:val="007B4D89"/>
    <w:rsid w:val="007B59ED"/>
    <w:rsid w:val="007B66B1"/>
    <w:rsid w:val="007B6A86"/>
    <w:rsid w:val="007B72CC"/>
    <w:rsid w:val="007B7A7E"/>
    <w:rsid w:val="007B7C2C"/>
    <w:rsid w:val="007C1178"/>
    <w:rsid w:val="007C1720"/>
    <w:rsid w:val="007C4CFA"/>
    <w:rsid w:val="007C4FCF"/>
    <w:rsid w:val="007C51EB"/>
    <w:rsid w:val="007C5B78"/>
    <w:rsid w:val="007C64D0"/>
    <w:rsid w:val="007C659C"/>
    <w:rsid w:val="007C6626"/>
    <w:rsid w:val="007C6F28"/>
    <w:rsid w:val="007C6FB8"/>
    <w:rsid w:val="007D253A"/>
    <w:rsid w:val="007D27C3"/>
    <w:rsid w:val="007D39C9"/>
    <w:rsid w:val="007D56E6"/>
    <w:rsid w:val="007D79BD"/>
    <w:rsid w:val="007E22F2"/>
    <w:rsid w:val="007E2684"/>
    <w:rsid w:val="007E28CA"/>
    <w:rsid w:val="007E2E4F"/>
    <w:rsid w:val="007E320B"/>
    <w:rsid w:val="007E325D"/>
    <w:rsid w:val="007E3A53"/>
    <w:rsid w:val="007E4BFF"/>
    <w:rsid w:val="007E51FC"/>
    <w:rsid w:val="007E6403"/>
    <w:rsid w:val="007E7253"/>
    <w:rsid w:val="007F032A"/>
    <w:rsid w:val="007F1282"/>
    <w:rsid w:val="007F1342"/>
    <w:rsid w:val="007F2415"/>
    <w:rsid w:val="007F2FD6"/>
    <w:rsid w:val="007F3A0F"/>
    <w:rsid w:val="007F414E"/>
    <w:rsid w:val="007F44B8"/>
    <w:rsid w:val="007F59DA"/>
    <w:rsid w:val="007F64D3"/>
    <w:rsid w:val="007F6A35"/>
    <w:rsid w:val="007F732B"/>
    <w:rsid w:val="00800BE9"/>
    <w:rsid w:val="00800C08"/>
    <w:rsid w:val="00803545"/>
    <w:rsid w:val="00803A68"/>
    <w:rsid w:val="008041CE"/>
    <w:rsid w:val="00804617"/>
    <w:rsid w:val="008046A3"/>
    <w:rsid w:val="008049E6"/>
    <w:rsid w:val="00805CD0"/>
    <w:rsid w:val="008066D5"/>
    <w:rsid w:val="008075E6"/>
    <w:rsid w:val="00807FC2"/>
    <w:rsid w:val="00810ADA"/>
    <w:rsid w:val="00810B5C"/>
    <w:rsid w:val="00811059"/>
    <w:rsid w:val="00811E50"/>
    <w:rsid w:val="008126D2"/>
    <w:rsid w:val="00812FD8"/>
    <w:rsid w:val="00813110"/>
    <w:rsid w:val="00813234"/>
    <w:rsid w:val="008134FC"/>
    <w:rsid w:val="00813E15"/>
    <w:rsid w:val="008142F6"/>
    <w:rsid w:val="00817A79"/>
    <w:rsid w:val="00817B67"/>
    <w:rsid w:val="00820DCD"/>
    <w:rsid w:val="00820F51"/>
    <w:rsid w:val="008211BF"/>
    <w:rsid w:val="0082188C"/>
    <w:rsid w:val="00821B91"/>
    <w:rsid w:val="00821BB1"/>
    <w:rsid w:val="008242D3"/>
    <w:rsid w:val="00824605"/>
    <w:rsid w:val="0082482D"/>
    <w:rsid w:val="00826936"/>
    <w:rsid w:val="00827844"/>
    <w:rsid w:val="00830537"/>
    <w:rsid w:val="008306B6"/>
    <w:rsid w:val="00830E12"/>
    <w:rsid w:val="008313F2"/>
    <w:rsid w:val="008324A0"/>
    <w:rsid w:val="00833146"/>
    <w:rsid w:val="00833E8A"/>
    <w:rsid w:val="008344C2"/>
    <w:rsid w:val="00834A09"/>
    <w:rsid w:val="00835AE9"/>
    <w:rsid w:val="008362B7"/>
    <w:rsid w:val="008363AE"/>
    <w:rsid w:val="00836AC8"/>
    <w:rsid w:val="0083711E"/>
    <w:rsid w:val="008373B7"/>
    <w:rsid w:val="0083785C"/>
    <w:rsid w:val="00837E1F"/>
    <w:rsid w:val="00837FCB"/>
    <w:rsid w:val="0084011D"/>
    <w:rsid w:val="00840169"/>
    <w:rsid w:val="00840D45"/>
    <w:rsid w:val="00841443"/>
    <w:rsid w:val="00841531"/>
    <w:rsid w:val="00842C83"/>
    <w:rsid w:val="008433B4"/>
    <w:rsid w:val="008437F3"/>
    <w:rsid w:val="00843C19"/>
    <w:rsid w:val="00843DCE"/>
    <w:rsid w:val="00843E77"/>
    <w:rsid w:val="00843FF4"/>
    <w:rsid w:val="00844D94"/>
    <w:rsid w:val="008458F7"/>
    <w:rsid w:val="00845EFE"/>
    <w:rsid w:val="008467EC"/>
    <w:rsid w:val="00846A32"/>
    <w:rsid w:val="00846D07"/>
    <w:rsid w:val="008474E4"/>
    <w:rsid w:val="008478E4"/>
    <w:rsid w:val="008500E0"/>
    <w:rsid w:val="008507BE"/>
    <w:rsid w:val="00850F7D"/>
    <w:rsid w:val="008516C0"/>
    <w:rsid w:val="008518C1"/>
    <w:rsid w:val="00852AAC"/>
    <w:rsid w:val="0085352D"/>
    <w:rsid w:val="00853C44"/>
    <w:rsid w:val="00853C69"/>
    <w:rsid w:val="00853D42"/>
    <w:rsid w:val="008541AE"/>
    <w:rsid w:val="00854670"/>
    <w:rsid w:val="00854939"/>
    <w:rsid w:val="00856679"/>
    <w:rsid w:val="00856D81"/>
    <w:rsid w:val="00860126"/>
    <w:rsid w:val="008615AF"/>
    <w:rsid w:val="00863478"/>
    <w:rsid w:val="0086358C"/>
    <w:rsid w:val="0086382C"/>
    <w:rsid w:val="00863F82"/>
    <w:rsid w:val="00863FD3"/>
    <w:rsid w:val="00864C49"/>
    <w:rsid w:val="00865072"/>
    <w:rsid w:val="0086678D"/>
    <w:rsid w:val="00866EC7"/>
    <w:rsid w:val="00867790"/>
    <w:rsid w:val="0087002A"/>
    <w:rsid w:val="0087089E"/>
    <w:rsid w:val="00870EFC"/>
    <w:rsid w:val="00872492"/>
    <w:rsid w:val="00873186"/>
    <w:rsid w:val="00873B0C"/>
    <w:rsid w:val="00874094"/>
    <w:rsid w:val="008742D0"/>
    <w:rsid w:val="0087440D"/>
    <w:rsid w:val="00874D89"/>
    <w:rsid w:val="0087509C"/>
    <w:rsid w:val="008756B2"/>
    <w:rsid w:val="008765A9"/>
    <w:rsid w:val="00877A4B"/>
    <w:rsid w:val="00880EAE"/>
    <w:rsid w:val="008816EF"/>
    <w:rsid w:val="008818F2"/>
    <w:rsid w:val="00881952"/>
    <w:rsid w:val="008841F1"/>
    <w:rsid w:val="00884E10"/>
    <w:rsid w:val="00885058"/>
    <w:rsid w:val="008850CB"/>
    <w:rsid w:val="00885805"/>
    <w:rsid w:val="0088657C"/>
    <w:rsid w:val="00886993"/>
    <w:rsid w:val="0088761D"/>
    <w:rsid w:val="0089067C"/>
    <w:rsid w:val="00890969"/>
    <w:rsid w:val="00892D3A"/>
    <w:rsid w:val="00893463"/>
    <w:rsid w:val="008936CA"/>
    <w:rsid w:val="008940BD"/>
    <w:rsid w:val="008943F0"/>
    <w:rsid w:val="00894A33"/>
    <w:rsid w:val="00894C47"/>
    <w:rsid w:val="0089536F"/>
    <w:rsid w:val="00896685"/>
    <w:rsid w:val="00896772"/>
    <w:rsid w:val="008972E7"/>
    <w:rsid w:val="00897B19"/>
    <w:rsid w:val="00897FE5"/>
    <w:rsid w:val="008A0154"/>
    <w:rsid w:val="008A01DF"/>
    <w:rsid w:val="008A054F"/>
    <w:rsid w:val="008A06A1"/>
    <w:rsid w:val="008A1F1D"/>
    <w:rsid w:val="008A2A6A"/>
    <w:rsid w:val="008A2E07"/>
    <w:rsid w:val="008A4122"/>
    <w:rsid w:val="008A4BA6"/>
    <w:rsid w:val="008A5EB7"/>
    <w:rsid w:val="008A7C16"/>
    <w:rsid w:val="008B0832"/>
    <w:rsid w:val="008B1A7A"/>
    <w:rsid w:val="008B28A9"/>
    <w:rsid w:val="008B29DA"/>
    <w:rsid w:val="008B3260"/>
    <w:rsid w:val="008B51B7"/>
    <w:rsid w:val="008B52FA"/>
    <w:rsid w:val="008B5B7A"/>
    <w:rsid w:val="008B6482"/>
    <w:rsid w:val="008B6FC1"/>
    <w:rsid w:val="008C0BC6"/>
    <w:rsid w:val="008C16D7"/>
    <w:rsid w:val="008C1ADD"/>
    <w:rsid w:val="008C1B94"/>
    <w:rsid w:val="008C1C08"/>
    <w:rsid w:val="008C2745"/>
    <w:rsid w:val="008C27E3"/>
    <w:rsid w:val="008C40DA"/>
    <w:rsid w:val="008C52D8"/>
    <w:rsid w:val="008C5585"/>
    <w:rsid w:val="008C6EB1"/>
    <w:rsid w:val="008C7A61"/>
    <w:rsid w:val="008C7AAB"/>
    <w:rsid w:val="008C7F2B"/>
    <w:rsid w:val="008D191F"/>
    <w:rsid w:val="008D302F"/>
    <w:rsid w:val="008D310C"/>
    <w:rsid w:val="008D35AA"/>
    <w:rsid w:val="008D38C2"/>
    <w:rsid w:val="008D398A"/>
    <w:rsid w:val="008D3B65"/>
    <w:rsid w:val="008D5401"/>
    <w:rsid w:val="008D58A0"/>
    <w:rsid w:val="008D5E56"/>
    <w:rsid w:val="008D5EF4"/>
    <w:rsid w:val="008D62F5"/>
    <w:rsid w:val="008D6ECE"/>
    <w:rsid w:val="008D71CD"/>
    <w:rsid w:val="008D7FFC"/>
    <w:rsid w:val="008E02B4"/>
    <w:rsid w:val="008E0BE8"/>
    <w:rsid w:val="008E1D3B"/>
    <w:rsid w:val="008E1DF5"/>
    <w:rsid w:val="008E2085"/>
    <w:rsid w:val="008E3965"/>
    <w:rsid w:val="008E4186"/>
    <w:rsid w:val="008E49FD"/>
    <w:rsid w:val="008E4CE0"/>
    <w:rsid w:val="008E527C"/>
    <w:rsid w:val="008E5A91"/>
    <w:rsid w:val="008E5C10"/>
    <w:rsid w:val="008E5EC8"/>
    <w:rsid w:val="008E5FF6"/>
    <w:rsid w:val="008E65BB"/>
    <w:rsid w:val="008F1253"/>
    <w:rsid w:val="008F1897"/>
    <w:rsid w:val="008F2807"/>
    <w:rsid w:val="008F2FA3"/>
    <w:rsid w:val="008F3DF2"/>
    <w:rsid w:val="008F50D7"/>
    <w:rsid w:val="008F5D67"/>
    <w:rsid w:val="008F64F5"/>
    <w:rsid w:val="008F732A"/>
    <w:rsid w:val="008F7C57"/>
    <w:rsid w:val="009008A6"/>
    <w:rsid w:val="00900E11"/>
    <w:rsid w:val="00900E5D"/>
    <w:rsid w:val="009019D0"/>
    <w:rsid w:val="00902513"/>
    <w:rsid w:val="00903B00"/>
    <w:rsid w:val="00904500"/>
    <w:rsid w:val="00904796"/>
    <w:rsid w:val="00904B54"/>
    <w:rsid w:val="00906675"/>
    <w:rsid w:val="00906B72"/>
    <w:rsid w:val="009070E3"/>
    <w:rsid w:val="009076CD"/>
    <w:rsid w:val="00910EF3"/>
    <w:rsid w:val="00912981"/>
    <w:rsid w:val="00912C7A"/>
    <w:rsid w:val="00912D39"/>
    <w:rsid w:val="00914833"/>
    <w:rsid w:val="009159D1"/>
    <w:rsid w:val="0091628E"/>
    <w:rsid w:val="0091645A"/>
    <w:rsid w:val="00916CBC"/>
    <w:rsid w:val="00917300"/>
    <w:rsid w:val="00917405"/>
    <w:rsid w:val="009205A8"/>
    <w:rsid w:val="009206BA"/>
    <w:rsid w:val="009207D4"/>
    <w:rsid w:val="009216A0"/>
    <w:rsid w:val="009220D3"/>
    <w:rsid w:val="0092252C"/>
    <w:rsid w:val="009227AB"/>
    <w:rsid w:val="0092287D"/>
    <w:rsid w:val="00922973"/>
    <w:rsid w:val="00922BA6"/>
    <w:rsid w:val="00922D5D"/>
    <w:rsid w:val="00923D0D"/>
    <w:rsid w:val="00924E24"/>
    <w:rsid w:val="0093081D"/>
    <w:rsid w:val="00930C6E"/>
    <w:rsid w:val="00930D79"/>
    <w:rsid w:val="009313FF"/>
    <w:rsid w:val="0093268B"/>
    <w:rsid w:val="00932D3E"/>
    <w:rsid w:val="00932E99"/>
    <w:rsid w:val="009336D8"/>
    <w:rsid w:val="0093413B"/>
    <w:rsid w:val="009358C2"/>
    <w:rsid w:val="00936751"/>
    <w:rsid w:val="00936ED4"/>
    <w:rsid w:val="00937DC0"/>
    <w:rsid w:val="00940B8C"/>
    <w:rsid w:val="00941027"/>
    <w:rsid w:val="00941160"/>
    <w:rsid w:val="009420ED"/>
    <w:rsid w:val="0094219E"/>
    <w:rsid w:val="009421A9"/>
    <w:rsid w:val="009426AE"/>
    <w:rsid w:val="0094341D"/>
    <w:rsid w:val="009444EC"/>
    <w:rsid w:val="0094561F"/>
    <w:rsid w:val="00947800"/>
    <w:rsid w:val="00947DDF"/>
    <w:rsid w:val="00950DE3"/>
    <w:rsid w:val="009518EA"/>
    <w:rsid w:val="009521FA"/>
    <w:rsid w:val="00952733"/>
    <w:rsid w:val="0095278B"/>
    <w:rsid w:val="00952969"/>
    <w:rsid w:val="00952AA7"/>
    <w:rsid w:val="00952F24"/>
    <w:rsid w:val="00952FD2"/>
    <w:rsid w:val="00953382"/>
    <w:rsid w:val="00953D5B"/>
    <w:rsid w:val="00953EDC"/>
    <w:rsid w:val="009540C3"/>
    <w:rsid w:val="0095436F"/>
    <w:rsid w:val="00955575"/>
    <w:rsid w:val="0095594A"/>
    <w:rsid w:val="00955A13"/>
    <w:rsid w:val="00955A23"/>
    <w:rsid w:val="00955AED"/>
    <w:rsid w:val="00956139"/>
    <w:rsid w:val="00956E81"/>
    <w:rsid w:val="00957613"/>
    <w:rsid w:val="00957769"/>
    <w:rsid w:val="009579C1"/>
    <w:rsid w:val="00960200"/>
    <w:rsid w:val="0096222D"/>
    <w:rsid w:val="00962FA4"/>
    <w:rsid w:val="00964395"/>
    <w:rsid w:val="00965060"/>
    <w:rsid w:val="0096545D"/>
    <w:rsid w:val="009655A4"/>
    <w:rsid w:val="00965C37"/>
    <w:rsid w:val="00966215"/>
    <w:rsid w:val="00966A0B"/>
    <w:rsid w:val="00966B69"/>
    <w:rsid w:val="009674BB"/>
    <w:rsid w:val="00967F1F"/>
    <w:rsid w:val="00970779"/>
    <w:rsid w:val="00970AC6"/>
    <w:rsid w:val="0097151B"/>
    <w:rsid w:val="009718A1"/>
    <w:rsid w:val="00972625"/>
    <w:rsid w:val="00974320"/>
    <w:rsid w:val="009746D2"/>
    <w:rsid w:val="00974B27"/>
    <w:rsid w:val="00975282"/>
    <w:rsid w:val="009753C0"/>
    <w:rsid w:val="00975764"/>
    <w:rsid w:val="009764B7"/>
    <w:rsid w:val="00976E33"/>
    <w:rsid w:val="009801F3"/>
    <w:rsid w:val="00980913"/>
    <w:rsid w:val="00981AF8"/>
    <w:rsid w:val="00981FF5"/>
    <w:rsid w:val="0098235D"/>
    <w:rsid w:val="00982422"/>
    <w:rsid w:val="00982F07"/>
    <w:rsid w:val="00983162"/>
    <w:rsid w:val="009835D7"/>
    <w:rsid w:val="009840D8"/>
    <w:rsid w:val="00985238"/>
    <w:rsid w:val="00986239"/>
    <w:rsid w:val="00986923"/>
    <w:rsid w:val="00987C26"/>
    <w:rsid w:val="00990772"/>
    <w:rsid w:val="00990B0F"/>
    <w:rsid w:val="00990D4D"/>
    <w:rsid w:val="009912CC"/>
    <w:rsid w:val="0099131E"/>
    <w:rsid w:val="0099133C"/>
    <w:rsid w:val="009914D8"/>
    <w:rsid w:val="00992A46"/>
    <w:rsid w:val="00992F0A"/>
    <w:rsid w:val="009947FC"/>
    <w:rsid w:val="00995354"/>
    <w:rsid w:val="009965E4"/>
    <w:rsid w:val="00997A09"/>
    <w:rsid w:val="00997A42"/>
    <w:rsid w:val="009A0F51"/>
    <w:rsid w:val="009A1053"/>
    <w:rsid w:val="009A13D1"/>
    <w:rsid w:val="009A1F94"/>
    <w:rsid w:val="009A1F96"/>
    <w:rsid w:val="009A481A"/>
    <w:rsid w:val="009A5955"/>
    <w:rsid w:val="009A5D62"/>
    <w:rsid w:val="009A5E8A"/>
    <w:rsid w:val="009A64D3"/>
    <w:rsid w:val="009A7E38"/>
    <w:rsid w:val="009B024D"/>
    <w:rsid w:val="009B048F"/>
    <w:rsid w:val="009B0BB1"/>
    <w:rsid w:val="009B18DB"/>
    <w:rsid w:val="009B18E4"/>
    <w:rsid w:val="009B19DC"/>
    <w:rsid w:val="009B2CAD"/>
    <w:rsid w:val="009B3DE7"/>
    <w:rsid w:val="009B4586"/>
    <w:rsid w:val="009B4F3B"/>
    <w:rsid w:val="009B5831"/>
    <w:rsid w:val="009B5EB3"/>
    <w:rsid w:val="009B6321"/>
    <w:rsid w:val="009B6387"/>
    <w:rsid w:val="009B6A25"/>
    <w:rsid w:val="009B6FE2"/>
    <w:rsid w:val="009B71C1"/>
    <w:rsid w:val="009B7B37"/>
    <w:rsid w:val="009B7E82"/>
    <w:rsid w:val="009C064A"/>
    <w:rsid w:val="009C0C04"/>
    <w:rsid w:val="009C204A"/>
    <w:rsid w:val="009C22A4"/>
    <w:rsid w:val="009C35B0"/>
    <w:rsid w:val="009C364E"/>
    <w:rsid w:val="009C4954"/>
    <w:rsid w:val="009C4F11"/>
    <w:rsid w:val="009C5DBC"/>
    <w:rsid w:val="009C669C"/>
    <w:rsid w:val="009C761C"/>
    <w:rsid w:val="009C7958"/>
    <w:rsid w:val="009D0140"/>
    <w:rsid w:val="009D018F"/>
    <w:rsid w:val="009D01FD"/>
    <w:rsid w:val="009D05E7"/>
    <w:rsid w:val="009D339F"/>
    <w:rsid w:val="009D359C"/>
    <w:rsid w:val="009D390A"/>
    <w:rsid w:val="009D39BF"/>
    <w:rsid w:val="009D3AA0"/>
    <w:rsid w:val="009D3C09"/>
    <w:rsid w:val="009D4C61"/>
    <w:rsid w:val="009D53AE"/>
    <w:rsid w:val="009D5873"/>
    <w:rsid w:val="009D5BEE"/>
    <w:rsid w:val="009D5CDB"/>
    <w:rsid w:val="009D5D17"/>
    <w:rsid w:val="009D647C"/>
    <w:rsid w:val="009D7282"/>
    <w:rsid w:val="009D750C"/>
    <w:rsid w:val="009D7773"/>
    <w:rsid w:val="009E15A8"/>
    <w:rsid w:val="009E22D2"/>
    <w:rsid w:val="009E2EA5"/>
    <w:rsid w:val="009E430A"/>
    <w:rsid w:val="009E4DE6"/>
    <w:rsid w:val="009E5920"/>
    <w:rsid w:val="009E6D75"/>
    <w:rsid w:val="009E72A1"/>
    <w:rsid w:val="009F0FC3"/>
    <w:rsid w:val="009F1921"/>
    <w:rsid w:val="009F25FD"/>
    <w:rsid w:val="009F265F"/>
    <w:rsid w:val="009F5019"/>
    <w:rsid w:val="009F50F8"/>
    <w:rsid w:val="009F5D7A"/>
    <w:rsid w:val="009F5DF6"/>
    <w:rsid w:val="009F6B78"/>
    <w:rsid w:val="009F6FBD"/>
    <w:rsid w:val="009F7081"/>
    <w:rsid w:val="00A00058"/>
    <w:rsid w:val="00A00307"/>
    <w:rsid w:val="00A01078"/>
    <w:rsid w:val="00A010F3"/>
    <w:rsid w:val="00A01413"/>
    <w:rsid w:val="00A01727"/>
    <w:rsid w:val="00A023CE"/>
    <w:rsid w:val="00A025FA"/>
    <w:rsid w:val="00A0332E"/>
    <w:rsid w:val="00A0400C"/>
    <w:rsid w:val="00A04EC9"/>
    <w:rsid w:val="00A0522E"/>
    <w:rsid w:val="00A05EDC"/>
    <w:rsid w:val="00A0779D"/>
    <w:rsid w:val="00A07BCD"/>
    <w:rsid w:val="00A07F4B"/>
    <w:rsid w:val="00A1010D"/>
    <w:rsid w:val="00A10808"/>
    <w:rsid w:val="00A111C4"/>
    <w:rsid w:val="00A11749"/>
    <w:rsid w:val="00A11B5B"/>
    <w:rsid w:val="00A12087"/>
    <w:rsid w:val="00A127C8"/>
    <w:rsid w:val="00A12F24"/>
    <w:rsid w:val="00A14265"/>
    <w:rsid w:val="00A15277"/>
    <w:rsid w:val="00A156FA"/>
    <w:rsid w:val="00A160CF"/>
    <w:rsid w:val="00A1654A"/>
    <w:rsid w:val="00A166F2"/>
    <w:rsid w:val="00A16854"/>
    <w:rsid w:val="00A172D1"/>
    <w:rsid w:val="00A174ED"/>
    <w:rsid w:val="00A2027B"/>
    <w:rsid w:val="00A22A3D"/>
    <w:rsid w:val="00A22B26"/>
    <w:rsid w:val="00A231FE"/>
    <w:rsid w:val="00A24754"/>
    <w:rsid w:val="00A25ABF"/>
    <w:rsid w:val="00A2742E"/>
    <w:rsid w:val="00A27BBC"/>
    <w:rsid w:val="00A30F7B"/>
    <w:rsid w:val="00A31D31"/>
    <w:rsid w:val="00A31D85"/>
    <w:rsid w:val="00A32594"/>
    <w:rsid w:val="00A3287A"/>
    <w:rsid w:val="00A32BA9"/>
    <w:rsid w:val="00A33645"/>
    <w:rsid w:val="00A33978"/>
    <w:rsid w:val="00A33CC5"/>
    <w:rsid w:val="00A34867"/>
    <w:rsid w:val="00A35D4A"/>
    <w:rsid w:val="00A3676A"/>
    <w:rsid w:val="00A367FF"/>
    <w:rsid w:val="00A36BA6"/>
    <w:rsid w:val="00A37FA1"/>
    <w:rsid w:val="00A41EBA"/>
    <w:rsid w:val="00A42544"/>
    <w:rsid w:val="00A43200"/>
    <w:rsid w:val="00A43694"/>
    <w:rsid w:val="00A4429C"/>
    <w:rsid w:val="00A44FC7"/>
    <w:rsid w:val="00A4524C"/>
    <w:rsid w:val="00A452F2"/>
    <w:rsid w:val="00A45B80"/>
    <w:rsid w:val="00A45FF4"/>
    <w:rsid w:val="00A474F5"/>
    <w:rsid w:val="00A5094C"/>
    <w:rsid w:val="00A515CB"/>
    <w:rsid w:val="00A51FAD"/>
    <w:rsid w:val="00A53195"/>
    <w:rsid w:val="00A53C2A"/>
    <w:rsid w:val="00A543A0"/>
    <w:rsid w:val="00A5444F"/>
    <w:rsid w:val="00A55859"/>
    <w:rsid w:val="00A55F4F"/>
    <w:rsid w:val="00A55F7D"/>
    <w:rsid w:val="00A57F45"/>
    <w:rsid w:val="00A6012B"/>
    <w:rsid w:val="00A603F5"/>
    <w:rsid w:val="00A6041B"/>
    <w:rsid w:val="00A614DF"/>
    <w:rsid w:val="00A61A55"/>
    <w:rsid w:val="00A625CF"/>
    <w:rsid w:val="00A63648"/>
    <w:rsid w:val="00A64801"/>
    <w:rsid w:val="00A64BEC"/>
    <w:rsid w:val="00A64C19"/>
    <w:rsid w:val="00A65494"/>
    <w:rsid w:val="00A65E15"/>
    <w:rsid w:val="00A66376"/>
    <w:rsid w:val="00A66778"/>
    <w:rsid w:val="00A66CAF"/>
    <w:rsid w:val="00A673DE"/>
    <w:rsid w:val="00A674BE"/>
    <w:rsid w:val="00A67D4F"/>
    <w:rsid w:val="00A70D5C"/>
    <w:rsid w:val="00A71E52"/>
    <w:rsid w:val="00A74AB2"/>
    <w:rsid w:val="00A75B8F"/>
    <w:rsid w:val="00A768C7"/>
    <w:rsid w:val="00A769A2"/>
    <w:rsid w:val="00A76DC0"/>
    <w:rsid w:val="00A77A1C"/>
    <w:rsid w:val="00A81B5B"/>
    <w:rsid w:val="00A82046"/>
    <w:rsid w:val="00A840F5"/>
    <w:rsid w:val="00A84782"/>
    <w:rsid w:val="00A84E07"/>
    <w:rsid w:val="00A84FAC"/>
    <w:rsid w:val="00A8559E"/>
    <w:rsid w:val="00A85842"/>
    <w:rsid w:val="00A86AED"/>
    <w:rsid w:val="00A87F38"/>
    <w:rsid w:val="00A90AE6"/>
    <w:rsid w:val="00A91A0A"/>
    <w:rsid w:val="00A91E5D"/>
    <w:rsid w:val="00A93248"/>
    <w:rsid w:val="00A93714"/>
    <w:rsid w:val="00A943F7"/>
    <w:rsid w:val="00A952C6"/>
    <w:rsid w:val="00A95B41"/>
    <w:rsid w:val="00A95BAF"/>
    <w:rsid w:val="00A95D23"/>
    <w:rsid w:val="00A96A8A"/>
    <w:rsid w:val="00AA0CCD"/>
    <w:rsid w:val="00AA1485"/>
    <w:rsid w:val="00AA1556"/>
    <w:rsid w:val="00AA18C4"/>
    <w:rsid w:val="00AA1AE3"/>
    <w:rsid w:val="00AA1F4B"/>
    <w:rsid w:val="00AA345A"/>
    <w:rsid w:val="00AA3760"/>
    <w:rsid w:val="00AA41C9"/>
    <w:rsid w:val="00AA42B8"/>
    <w:rsid w:val="00AA4730"/>
    <w:rsid w:val="00AA4771"/>
    <w:rsid w:val="00AA5061"/>
    <w:rsid w:val="00AA519C"/>
    <w:rsid w:val="00AA67F2"/>
    <w:rsid w:val="00AA6A0F"/>
    <w:rsid w:val="00AA6AAF"/>
    <w:rsid w:val="00AA7102"/>
    <w:rsid w:val="00AB057E"/>
    <w:rsid w:val="00AB05A9"/>
    <w:rsid w:val="00AB067A"/>
    <w:rsid w:val="00AB0774"/>
    <w:rsid w:val="00AB1BEC"/>
    <w:rsid w:val="00AB2067"/>
    <w:rsid w:val="00AB26D4"/>
    <w:rsid w:val="00AB2A87"/>
    <w:rsid w:val="00AB3B52"/>
    <w:rsid w:val="00AB430D"/>
    <w:rsid w:val="00AB4697"/>
    <w:rsid w:val="00AB4E53"/>
    <w:rsid w:val="00AB50C9"/>
    <w:rsid w:val="00AB51A2"/>
    <w:rsid w:val="00AB5352"/>
    <w:rsid w:val="00AB5B99"/>
    <w:rsid w:val="00AB5D70"/>
    <w:rsid w:val="00AB6CF2"/>
    <w:rsid w:val="00AC0746"/>
    <w:rsid w:val="00AC1EC3"/>
    <w:rsid w:val="00AC1F1D"/>
    <w:rsid w:val="00AC2A69"/>
    <w:rsid w:val="00AC38A5"/>
    <w:rsid w:val="00AC3BEE"/>
    <w:rsid w:val="00AC3C1A"/>
    <w:rsid w:val="00AC3F00"/>
    <w:rsid w:val="00AC40AD"/>
    <w:rsid w:val="00AC5D33"/>
    <w:rsid w:val="00AC71EA"/>
    <w:rsid w:val="00AD1F51"/>
    <w:rsid w:val="00AD34E1"/>
    <w:rsid w:val="00AD37A4"/>
    <w:rsid w:val="00AD3943"/>
    <w:rsid w:val="00AD422E"/>
    <w:rsid w:val="00AD4438"/>
    <w:rsid w:val="00AD4786"/>
    <w:rsid w:val="00AD4B9C"/>
    <w:rsid w:val="00AD7C42"/>
    <w:rsid w:val="00AE1F73"/>
    <w:rsid w:val="00AE27D3"/>
    <w:rsid w:val="00AE320A"/>
    <w:rsid w:val="00AE39DA"/>
    <w:rsid w:val="00AE420D"/>
    <w:rsid w:val="00AE428E"/>
    <w:rsid w:val="00AE44EF"/>
    <w:rsid w:val="00AE543F"/>
    <w:rsid w:val="00AE68C1"/>
    <w:rsid w:val="00AE6D36"/>
    <w:rsid w:val="00AE6DDA"/>
    <w:rsid w:val="00AE6F0B"/>
    <w:rsid w:val="00AE7297"/>
    <w:rsid w:val="00AE77CD"/>
    <w:rsid w:val="00AF0297"/>
    <w:rsid w:val="00AF05CF"/>
    <w:rsid w:val="00AF066C"/>
    <w:rsid w:val="00AF0A1F"/>
    <w:rsid w:val="00AF0AA3"/>
    <w:rsid w:val="00AF0F21"/>
    <w:rsid w:val="00AF1380"/>
    <w:rsid w:val="00AF15EE"/>
    <w:rsid w:val="00AF183B"/>
    <w:rsid w:val="00AF1DAB"/>
    <w:rsid w:val="00AF2B47"/>
    <w:rsid w:val="00AF2C4D"/>
    <w:rsid w:val="00AF3013"/>
    <w:rsid w:val="00AF30F2"/>
    <w:rsid w:val="00AF35B6"/>
    <w:rsid w:val="00AF40B9"/>
    <w:rsid w:val="00AF574B"/>
    <w:rsid w:val="00AF5EAF"/>
    <w:rsid w:val="00AF6178"/>
    <w:rsid w:val="00AF61D7"/>
    <w:rsid w:val="00AF622C"/>
    <w:rsid w:val="00AF626F"/>
    <w:rsid w:val="00AF65D2"/>
    <w:rsid w:val="00AF6E1F"/>
    <w:rsid w:val="00AF7F91"/>
    <w:rsid w:val="00B0055E"/>
    <w:rsid w:val="00B0192F"/>
    <w:rsid w:val="00B019EE"/>
    <w:rsid w:val="00B01EEF"/>
    <w:rsid w:val="00B02AA3"/>
    <w:rsid w:val="00B02F99"/>
    <w:rsid w:val="00B03537"/>
    <w:rsid w:val="00B03DAC"/>
    <w:rsid w:val="00B04A41"/>
    <w:rsid w:val="00B072F2"/>
    <w:rsid w:val="00B07F27"/>
    <w:rsid w:val="00B1137A"/>
    <w:rsid w:val="00B126F0"/>
    <w:rsid w:val="00B12FCA"/>
    <w:rsid w:val="00B137A3"/>
    <w:rsid w:val="00B13E5C"/>
    <w:rsid w:val="00B145A5"/>
    <w:rsid w:val="00B14620"/>
    <w:rsid w:val="00B14673"/>
    <w:rsid w:val="00B14B3C"/>
    <w:rsid w:val="00B157C3"/>
    <w:rsid w:val="00B1669F"/>
    <w:rsid w:val="00B17D48"/>
    <w:rsid w:val="00B20B9E"/>
    <w:rsid w:val="00B2100D"/>
    <w:rsid w:val="00B223A8"/>
    <w:rsid w:val="00B22690"/>
    <w:rsid w:val="00B226D7"/>
    <w:rsid w:val="00B22B6E"/>
    <w:rsid w:val="00B2404C"/>
    <w:rsid w:val="00B2427A"/>
    <w:rsid w:val="00B25BF2"/>
    <w:rsid w:val="00B26A7D"/>
    <w:rsid w:val="00B26DAC"/>
    <w:rsid w:val="00B26E41"/>
    <w:rsid w:val="00B27783"/>
    <w:rsid w:val="00B27D2B"/>
    <w:rsid w:val="00B27F5D"/>
    <w:rsid w:val="00B30457"/>
    <w:rsid w:val="00B30538"/>
    <w:rsid w:val="00B30923"/>
    <w:rsid w:val="00B30E55"/>
    <w:rsid w:val="00B31173"/>
    <w:rsid w:val="00B33A3F"/>
    <w:rsid w:val="00B33C4C"/>
    <w:rsid w:val="00B34545"/>
    <w:rsid w:val="00B34E91"/>
    <w:rsid w:val="00B34F13"/>
    <w:rsid w:val="00B35B0F"/>
    <w:rsid w:val="00B36817"/>
    <w:rsid w:val="00B36EF6"/>
    <w:rsid w:val="00B40D85"/>
    <w:rsid w:val="00B4194C"/>
    <w:rsid w:val="00B429A9"/>
    <w:rsid w:val="00B430B5"/>
    <w:rsid w:val="00B43288"/>
    <w:rsid w:val="00B4379E"/>
    <w:rsid w:val="00B4390F"/>
    <w:rsid w:val="00B44252"/>
    <w:rsid w:val="00B45C99"/>
    <w:rsid w:val="00B46B9F"/>
    <w:rsid w:val="00B472D0"/>
    <w:rsid w:val="00B47733"/>
    <w:rsid w:val="00B47AC7"/>
    <w:rsid w:val="00B47C2D"/>
    <w:rsid w:val="00B47D3A"/>
    <w:rsid w:val="00B5001E"/>
    <w:rsid w:val="00B5026C"/>
    <w:rsid w:val="00B50B0A"/>
    <w:rsid w:val="00B51900"/>
    <w:rsid w:val="00B5200A"/>
    <w:rsid w:val="00B52A58"/>
    <w:rsid w:val="00B534BE"/>
    <w:rsid w:val="00B53E25"/>
    <w:rsid w:val="00B55469"/>
    <w:rsid w:val="00B55FBC"/>
    <w:rsid w:val="00B5613E"/>
    <w:rsid w:val="00B5672D"/>
    <w:rsid w:val="00B56BF2"/>
    <w:rsid w:val="00B572B6"/>
    <w:rsid w:val="00B572B9"/>
    <w:rsid w:val="00B60C24"/>
    <w:rsid w:val="00B616D4"/>
    <w:rsid w:val="00B631A2"/>
    <w:rsid w:val="00B633AE"/>
    <w:rsid w:val="00B63CED"/>
    <w:rsid w:val="00B64810"/>
    <w:rsid w:val="00B64F73"/>
    <w:rsid w:val="00B652C0"/>
    <w:rsid w:val="00B67383"/>
    <w:rsid w:val="00B676E0"/>
    <w:rsid w:val="00B71A03"/>
    <w:rsid w:val="00B720BD"/>
    <w:rsid w:val="00B722CE"/>
    <w:rsid w:val="00B73228"/>
    <w:rsid w:val="00B75348"/>
    <w:rsid w:val="00B75B1C"/>
    <w:rsid w:val="00B76005"/>
    <w:rsid w:val="00B764CB"/>
    <w:rsid w:val="00B76920"/>
    <w:rsid w:val="00B76C3E"/>
    <w:rsid w:val="00B76E35"/>
    <w:rsid w:val="00B779EA"/>
    <w:rsid w:val="00B77CAB"/>
    <w:rsid w:val="00B80F0F"/>
    <w:rsid w:val="00B81A74"/>
    <w:rsid w:val="00B8285A"/>
    <w:rsid w:val="00B82AF6"/>
    <w:rsid w:val="00B84449"/>
    <w:rsid w:val="00B84BFF"/>
    <w:rsid w:val="00B84F72"/>
    <w:rsid w:val="00B85924"/>
    <w:rsid w:val="00B868F4"/>
    <w:rsid w:val="00B86B13"/>
    <w:rsid w:val="00B86FA9"/>
    <w:rsid w:val="00B87B8E"/>
    <w:rsid w:val="00B91947"/>
    <w:rsid w:val="00B92D7B"/>
    <w:rsid w:val="00B93D08"/>
    <w:rsid w:val="00B949A2"/>
    <w:rsid w:val="00B95944"/>
    <w:rsid w:val="00B95A8D"/>
    <w:rsid w:val="00B97BE8"/>
    <w:rsid w:val="00BA0046"/>
    <w:rsid w:val="00BA0051"/>
    <w:rsid w:val="00BA06BC"/>
    <w:rsid w:val="00BA0F7B"/>
    <w:rsid w:val="00BA1F7A"/>
    <w:rsid w:val="00BA1F95"/>
    <w:rsid w:val="00BA23B1"/>
    <w:rsid w:val="00BA2818"/>
    <w:rsid w:val="00BA3785"/>
    <w:rsid w:val="00BA494C"/>
    <w:rsid w:val="00BA5249"/>
    <w:rsid w:val="00BA56E2"/>
    <w:rsid w:val="00BA687E"/>
    <w:rsid w:val="00BA7382"/>
    <w:rsid w:val="00BA79AB"/>
    <w:rsid w:val="00BA7C52"/>
    <w:rsid w:val="00BB0443"/>
    <w:rsid w:val="00BB0E7C"/>
    <w:rsid w:val="00BB4FF2"/>
    <w:rsid w:val="00BB5823"/>
    <w:rsid w:val="00BB6DF1"/>
    <w:rsid w:val="00BC0749"/>
    <w:rsid w:val="00BC0931"/>
    <w:rsid w:val="00BC0DD3"/>
    <w:rsid w:val="00BC103E"/>
    <w:rsid w:val="00BC2AA6"/>
    <w:rsid w:val="00BC2E66"/>
    <w:rsid w:val="00BC2F21"/>
    <w:rsid w:val="00BC49FD"/>
    <w:rsid w:val="00BC4B81"/>
    <w:rsid w:val="00BC5269"/>
    <w:rsid w:val="00BC5EB9"/>
    <w:rsid w:val="00BC6EC4"/>
    <w:rsid w:val="00BC71DB"/>
    <w:rsid w:val="00BD029F"/>
    <w:rsid w:val="00BD0CAF"/>
    <w:rsid w:val="00BD1D29"/>
    <w:rsid w:val="00BD1E6E"/>
    <w:rsid w:val="00BD3C7E"/>
    <w:rsid w:val="00BD3D10"/>
    <w:rsid w:val="00BD4338"/>
    <w:rsid w:val="00BD59E6"/>
    <w:rsid w:val="00BD5E53"/>
    <w:rsid w:val="00BD6624"/>
    <w:rsid w:val="00BD70A0"/>
    <w:rsid w:val="00BD7D3E"/>
    <w:rsid w:val="00BD7F76"/>
    <w:rsid w:val="00BE03EC"/>
    <w:rsid w:val="00BE0757"/>
    <w:rsid w:val="00BE0920"/>
    <w:rsid w:val="00BE1765"/>
    <w:rsid w:val="00BE1CE9"/>
    <w:rsid w:val="00BE2DD1"/>
    <w:rsid w:val="00BE2F05"/>
    <w:rsid w:val="00BE3E6B"/>
    <w:rsid w:val="00BE4512"/>
    <w:rsid w:val="00BE485A"/>
    <w:rsid w:val="00BE4DAF"/>
    <w:rsid w:val="00BE51F0"/>
    <w:rsid w:val="00BE51F5"/>
    <w:rsid w:val="00BE5394"/>
    <w:rsid w:val="00BE569F"/>
    <w:rsid w:val="00BE5FDB"/>
    <w:rsid w:val="00BE73AF"/>
    <w:rsid w:val="00BE7BCE"/>
    <w:rsid w:val="00BE7DF8"/>
    <w:rsid w:val="00BF0954"/>
    <w:rsid w:val="00BF1A85"/>
    <w:rsid w:val="00BF21B5"/>
    <w:rsid w:val="00BF3967"/>
    <w:rsid w:val="00BF451C"/>
    <w:rsid w:val="00BF59C9"/>
    <w:rsid w:val="00BF6FC5"/>
    <w:rsid w:val="00BF769E"/>
    <w:rsid w:val="00BF79C2"/>
    <w:rsid w:val="00BF7BA4"/>
    <w:rsid w:val="00BF7F14"/>
    <w:rsid w:val="00C00AAE"/>
    <w:rsid w:val="00C0118F"/>
    <w:rsid w:val="00C01DCB"/>
    <w:rsid w:val="00C026BE"/>
    <w:rsid w:val="00C030B0"/>
    <w:rsid w:val="00C036A9"/>
    <w:rsid w:val="00C04716"/>
    <w:rsid w:val="00C047D8"/>
    <w:rsid w:val="00C05B43"/>
    <w:rsid w:val="00C10B1D"/>
    <w:rsid w:val="00C1130A"/>
    <w:rsid w:val="00C1141C"/>
    <w:rsid w:val="00C117F0"/>
    <w:rsid w:val="00C1209C"/>
    <w:rsid w:val="00C12609"/>
    <w:rsid w:val="00C129F3"/>
    <w:rsid w:val="00C13164"/>
    <w:rsid w:val="00C1340F"/>
    <w:rsid w:val="00C1357F"/>
    <w:rsid w:val="00C13F78"/>
    <w:rsid w:val="00C13FBA"/>
    <w:rsid w:val="00C145FA"/>
    <w:rsid w:val="00C1461A"/>
    <w:rsid w:val="00C1572C"/>
    <w:rsid w:val="00C16587"/>
    <w:rsid w:val="00C171A3"/>
    <w:rsid w:val="00C17D17"/>
    <w:rsid w:val="00C21311"/>
    <w:rsid w:val="00C215F6"/>
    <w:rsid w:val="00C22168"/>
    <w:rsid w:val="00C22342"/>
    <w:rsid w:val="00C23434"/>
    <w:rsid w:val="00C2389D"/>
    <w:rsid w:val="00C24185"/>
    <w:rsid w:val="00C2457E"/>
    <w:rsid w:val="00C24596"/>
    <w:rsid w:val="00C24B8A"/>
    <w:rsid w:val="00C24DD0"/>
    <w:rsid w:val="00C24E71"/>
    <w:rsid w:val="00C259F7"/>
    <w:rsid w:val="00C26C28"/>
    <w:rsid w:val="00C277BE"/>
    <w:rsid w:val="00C30559"/>
    <w:rsid w:val="00C31210"/>
    <w:rsid w:val="00C31B08"/>
    <w:rsid w:val="00C322A0"/>
    <w:rsid w:val="00C32509"/>
    <w:rsid w:val="00C33740"/>
    <w:rsid w:val="00C33A6F"/>
    <w:rsid w:val="00C347B3"/>
    <w:rsid w:val="00C35598"/>
    <w:rsid w:val="00C35EDC"/>
    <w:rsid w:val="00C36721"/>
    <w:rsid w:val="00C36982"/>
    <w:rsid w:val="00C37179"/>
    <w:rsid w:val="00C37BC4"/>
    <w:rsid w:val="00C40355"/>
    <w:rsid w:val="00C403A9"/>
    <w:rsid w:val="00C414F3"/>
    <w:rsid w:val="00C41B9F"/>
    <w:rsid w:val="00C422C6"/>
    <w:rsid w:val="00C4255F"/>
    <w:rsid w:val="00C4264C"/>
    <w:rsid w:val="00C43671"/>
    <w:rsid w:val="00C43E3E"/>
    <w:rsid w:val="00C44212"/>
    <w:rsid w:val="00C4665D"/>
    <w:rsid w:val="00C469B9"/>
    <w:rsid w:val="00C46ABE"/>
    <w:rsid w:val="00C46C80"/>
    <w:rsid w:val="00C512CE"/>
    <w:rsid w:val="00C51BFF"/>
    <w:rsid w:val="00C536BC"/>
    <w:rsid w:val="00C53A6C"/>
    <w:rsid w:val="00C542ED"/>
    <w:rsid w:val="00C564C1"/>
    <w:rsid w:val="00C57B6A"/>
    <w:rsid w:val="00C618ED"/>
    <w:rsid w:val="00C6302E"/>
    <w:rsid w:val="00C630A7"/>
    <w:rsid w:val="00C636A7"/>
    <w:rsid w:val="00C64030"/>
    <w:rsid w:val="00C648E4"/>
    <w:rsid w:val="00C659F0"/>
    <w:rsid w:val="00C65E88"/>
    <w:rsid w:val="00C66442"/>
    <w:rsid w:val="00C6713C"/>
    <w:rsid w:val="00C70242"/>
    <w:rsid w:val="00C70FB4"/>
    <w:rsid w:val="00C72487"/>
    <w:rsid w:val="00C73112"/>
    <w:rsid w:val="00C73EDF"/>
    <w:rsid w:val="00C75B8F"/>
    <w:rsid w:val="00C764D2"/>
    <w:rsid w:val="00C76FAB"/>
    <w:rsid w:val="00C76FF3"/>
    <w:rsid w:val="00C772E3"/>
    <w:rsid w:val="00C774FC"/>
    <w:rsid w:val="00C775D7"/>
    <w:rsid w:val="00C81A03"/>
    <w:rsid w:val="00C81B68"/>
    <w:rsid w:val="00C84AB1"/>
    <w:rsid w:val="00C854CA"/>
    <w:rsid w:val="00C85909"/>
    <w:rsid w:val="00C86A61"/>
    <w:rsid w:val="00C8776A"/>
    <w:rsid w:val="00C90E00"/>
    <w:rsid w:val="00C910B2"/>
    <w:rsid w:val="00C91FAC"/>
    <w:rsid w:val="00C92FE9"/>
    <w:rsid w:val="00C9345E"/>
    <w:rsid w:val="00C93A8B"/>
    <w:rsid w:val="00C93E04"/>
    <w:rsid w:val="00C945DB"/>
    <w:rsid w:val="00C94851"/>
    <w:rsid w:val="00C95022"/>
    <w:rsid w:val="00C95234"/>
    <w:rsid w:val="00C95322"/>
    <w:rsid w:val="00C96E13"/>
    <w:rsid w:val="00CA2374"/>
    <w:rsid w:val="00CA30E8"/>
    <w:rsid w:val="00CA346C"/>
    <w:rsid w:val="00CA35A5"/>
    <w:rsid w:val="00CA3EFA"/>
    <w:rsid w:val="00CA4757"/>
    <w:rsid w:val="00CA4A38"/>
    <w:rsid w:val="00CA4EA2"/>
    <w:rsid w:val="00CA5F88"/>
    <w:rsid w:val="00CA66C9"/>
    <w:rsid w:val="00CA7202"/>
    <w:rsid w:val="00CA7846"/>
    <w:rsid w:val="00CB0316"/>
    <w:rsid w:val="00CB05A5"/>
    <w:rsid w:val="00CB125E"/>
    <w:rsid w:val="00CB15D6"/>
    <w:rsid w:val="00CB1F29"/>
    <w:rsid w:val="00CB213F"/>
    <w:rsid w:val="00CB220D"/>
    <w:rsid w:val="00CB2549"/>
    <w:rsid w:val="00CB2953"/>
    <w:rsid w:val="00CB38EC"/>
    <w:rsid w:val="00CB3995"/>
    <w:rsid w:val="00CB39C4"/>
    <w:rsid w:val="00CB3F70"/>
    <w:rsid w:val="00CB5476"/>
    <w:rsid w:val="00CB5A78"/>
    <w:rsid w:val="00CB6678"/>
    <w:rsid w:val="00CB72CD"/>
    <w:rsid w:val="00CB73B2"/>
    <w:rsid w:val="00CB7B38"/>
    <w:rsid w:val="00CC01A2"/>
    <w:rsid w:val="00CC0912"/>
    <w:rsid w:val="00CC20FC"/>
    <w:rsid w:val="00CC22F0"/>
    <w:rsid w:val="00CC47B4"/>
    <w:rsid w:val="00CC5F00"/>
    <w:rsid w:val="00CC61B7"/>
    <w:rsid w:val="00CC6DB4"/>
    <w:rsid w:val="00CC6DE5"/>
    <w:rsid w:val="00CC6E78"/>
    <w:rsid w:val="00CC7745"/>
    <w:rsid w:val="00CC7A3D"/>
    <w:rsid w:val="00CC7D21"/>
    <w:rsid w:val="00CD0C2B"/>
    <w:rsid w:val="00CD0EF9"/>
    <w:rsid w:val="00CD128E"/>
    <w:rsid w:val="00CD22CF"/>
    <w:rsid w:val="00CD2B86"/>
    <w:rsid w:val="00CD2C99"/>
    <w:rsid w:val="00CD3868"/>
    <w:rsid w:val="00CD3FC6"/>
    <w:rsid w:val="00CD4CDE"/>
    <w:rsid w:val="00CD4EBD"/>
    <w:rsid w:val="00CD51AB"/>
    <w:rsid w:val="00CD64E0"/>
    <w:rsid w:val="00CE0816"/>
    <w:rsid w:val="00CE0D3B"/>
    <w:rsid w:val="00CE1921"/>
    <w:rsid w:val="00CE2D12"/>
    <w:rsid w:val="00CE4704"/>
    <w:rsid w:val="00CE4EF2"/>
    <w:rsid w:val="00CE5205"/>
    <w:rsid w:val="00CE55EC"/>
    <w:rsid w:val="00CE5904"/>
    <w:rsid w:val="00CE5B0A"/>
    <w:rsid w:val="00CE5E22"/>
    <w:rsid w:val="00CE680F"/>
    <w:rsid w:val="00CE6833"/>
    <w:rsid w:val="00CE7924"/>
    <w:rsid w:val="00CF0A73"/>
    <w:rsid w:val="00CF26C2"/>
    <w:rsid w:val="00CF36C7"/>
    <w:rsid w:val="00CF4990"/>
    <w:rsid w:val="00CF5B26"/>
    <w:rsid w:val="00CF5E9F"/>
    <w:rsid w:val="00CF6D50"/>
    <w:rsid w:val="00D009B1"/>
    <w:rsid w:val="00D012AF"/>
    <w:rsid w:val="00D022EB"/>
    <w:rsid w:val="00D02A24"/>
    <w:rsid w:val="00D03057"/>
    <w:rsid w:val="00D03B76"/>
    <w:rsid w:val="00D03EEC"/>
    <w:rsid w:val="00D04C29"/>
    <w:rsid w:val="00D04C64"/>
    <w:rsid w:val="00D0505C"/>
    <w:rsid w:val="00D05602"/>
    <w:rsid w:val="00D06457"/>
    <w:rsid w:val="00D104F5"/>
    <w:rsid w:val="00D10B57"/>
    <w:rsid w:val="00D11717"/>
    <w:rsid w:val="00D11964"/>
    <w:rsid w:val="00D11B9E"/>
    <w:rsid w:val="00D120A1"/>
    <w:rsid w:val="00D15832"/>
    <w:rsid w:val="00D165E6"/>
    <w:rsid w:val="00D17469"/>
    <w:rsid w:val="00D17DF1"/>
    <w:rsid w:val="00D20F04"/>
    <w:rsid w:val="00D216AF"/>
    <w:rsid w:val="00D219E5"/>
    <w:rsid w:val="00D21F2B"/>
    <w:rsid w:val="00D237A5"/>
    <w:rsid w:val="00D24657"/>
    <w:rsid w:val="00D24D0A"/>
    <w:rsid w:val="00D2568A"/>
    <w:rsid w:val="00D25735"/>
    <w:rsid w:val="00D263B1"/>
    <w:rsid w:val="00D278F1"/>
    <w:rsid w:val="00D27AF6"/>
    <w:rsid w:val="00D300BE"/>
    <w:rsid w:val="00D306F5"/>
    <w:rsid w:val="00D326C0"/>
    <w:rsid w:val="00D32EB3"/>
    <w:rsid w:val="00D332E5"/>
    <w:rsid w:val="00D3346F"/>
    <w:rsid w:val="00D33816"/>
    <w:rsid w:val="00D33BFD"/>
    <w:rsid w:val="00D35787"/>
    <w:rsid w:val="00D367F4"/>
    <w:rsid w:val="00D37298"/>
    <w:rsid w:val="00D37448"/>
    <w:rsid w:val="00D37675"/>
    <w:rsid w:val="00D40227"/>
    <w:rsid w:val="00D40459"/>
    <w:rsid w:val="00D40FFA"/>
    <w:rsid w:val="00D41769"/>
    <w:rsid w:val="00D41DC5"/>
    <w:rsid w:val="00D41E70"/>
    <w:rsid w:val="00D42535"/>
    <w:rsid w:val="00D42C70"/>
    <w:rsid w:val="00D439C5"/>
    <w:rsid w:val="00D44136"/>
    <w:rsid w:val="00D44530"/>
    <w:rsid w:val="00D455E6"/>
    <w:rsid w:val="00D46161"/>
    <w:rsid w:val="00D47E74"/>
    <w:rsid w:val="00D47FBE"/>
    <w:rsid w:val="00D503C7"/>
    <w:rsid w:val="00D51250"/>
    <w:rsid w:val="00D51772"/>
    <w:rsid w:val="00D52600"/>
    <w:rsid w:val="00D52CDE"/>
    <w:rsid w:val="00D53D71"/>
    <w:rsid w:val="00D5500C"/>
    <w:rsid w:val="00D55305"/>
    <w:rsid w:val="00D56571"/>
    <w:rsid w:val="00D5677F"/>
    <w:rsid w:val="00D56ADE"/>
    <w:rsid w:val="00D60F8A"/>
    <w:rsid w:val="00D6102E"/>
    <w:rsid w:val="00D6241A"/>
    <w:rsid w:val="00D62F9E"/>
    <w:rsid w:val="00D64528"/>
    <w:rsid w:val="00D64967"/>
    <w:rsid w:val="00D64F20"/>
    <w:rsid w:val="00D650CF"/>
    <w:rsid w:val="00D65273"/>
    <w:rsid w:val="00D65BE9"/>
    <w:rsid w:val="00D65E3B"/>
    <w:rsid w:val="00D66118"/>
    <w:rsid w:val="00D67264"/>
    <w:rsid w:val="00D67BC4"/>
    <w:rsid w:val="00D700CE"/>
    <w:rsid w:val="00D7252A"/>
    <w:rsid w:val="00D72E0C"/>
    <w:rsid w:val="00D738BF"/>
    <w:rsid w:val="00D73EBC"/>
    <w:rsid w:val="00D74670"/>
    <w:rsid w:val="00D75A30"/>
    <w:rsid w:val="00D76EE7"/>
    <w:rsid w:val="00D77176"/>
    <w:rsid w:val="00D80616"/>
    <w:rsid w:val="00D8085D"/>
    <w:rsid w:val="00D80F14"/>
    <w:rsid w:val="00D8128C"/>
    <w:rsid w:val="00D824D8"/>
    <w:rsid w:val="00D8266C"/>
    <w:rsid w:val="00D82923"/>
    <w:rsid w:val="00D82C9D"/>
    <w:rsid w:val="00D867A1"/>
    <w:rsid w:val="00D86806"/>
    <w:rsid w:val="00D8715D"/>
    <w:rsid w:val="00D90A96"/>
    <w:rsid w:val="00D90B9E"/>
    <w:rsid w:val="00D90BFE"/>
    <w:rsid w:val="00D91AA2"/>
    <w:rsid w:val="00D9202F"/>
    <w:rsid w:val="00D93042"/>
    <w:rsid w:val="00D935D4"/>
    <w:rsid w:val="00D94B1C"/>
    <w:rsid w:val="00D96564"/>
    <w:rsid w:val="00D967E5"/>
    <w:rsid w:val="00D96D37"/>
    <w:rsid w:val="00D976ED"/>
    <w:rsid w:val="00DA0921"/>
    <w:rsid w:val="00DA0FAB"/>
    <w:rsid w:val="00DA1A8F"/>
    <w:rsid w:val="00DA23A9"/>
    <w:rsid w:val="00DA28B5"/>
    <w:rsid w:val="00DA3DF3"/>
    <w:rsid w:val="00DA41F9"/>
    <w:rsid w:val="00DA5484"/>
    <w:rsid w:val="00DA63CB"/>
    <w:rsid w:val="00DA6438"/>
    <w:rsid w:val="00DA6D2C"/>
    <w:rsid w:val="00DB04BB"/>
    <w:rsid w:val="00DB28E6"/>
    <w:rsid w:val="00DB2E4B"/>
    <w:rsid w:val="00DB30D8"/>
    <w:rsid w:val="00DB3785"/>
    <w:rsid w:val="00DB46C0"/>
    <w:rsid w:val="00DB48E2"/>
    <w:rsid w:val="00DB6566"/>
    <w:rsid w:val="00DB6EA8"/>
    <w:rsid w:val="00DB6F61"/>
    <w:rsid w:val="00DB6FC4"/>
    <w:rsid w:val="00DB7AB7"/>
    <w:rsid w:val="00DC1EF6"/>
    <w:rsid w:val="00DC1FFE"/>
    <w:rsid w:val="00DC2895"/>
    <w:rsid w:val="00DC3B5F"/>
    <w:rsid w:val="00DC4738"/>
    <w:rsid w:val="00DC517C"/>
    <w:rsid w:val="00DC51FA"/>
    <w:rsid w:val="00DC5A4B"/>
    <w:rsid w:val="00DC62DB"/>
    <w:rsid w:val="00DC6735"/>
    <w:rsid w:val="00DD105D"/>
    <w:rsid w:val="00DD1ADB"/>
    <w:rsid w:val="00DD2610"/>
    <w:rsid w:val="00DD2EDE"/>
    <w:rsid w:val="00DD2F5C"/>
    <w:rsid w:val="00DD36A0"/>
    <w:rsid w:val="00DD47A0"/>
    <w:rsid w:val="00DD591D"/>
    <w:rsid w:val="00DD5AC9"/>
    <w:rsid w:val="00DD5BBD"/>
    <w:rsid w:val="00DD634D"/>
    <w:rsid w:val="00DD6C35"/>
    <w:rsid w:val="00DD7A80"/>
    <w:rsid w:val="00DD7FE4"/>
    <w:rsid w:val="00DE0DB6"/>
    <w:rsid w:val="00DE1638"/>
    <w:rsid w:val="00DE19F8"/>
    <w:rsid w:val="00DE26B9"/>
    <w:rsid w:val="00DE296D"/>
    <w:rsid w:val="00DE35AF"/>
    <w:rsid w:val="00DE3B16"/>
    <w:rsid w:val="00DE3BE6"/>
    <w:rsid w:val="00DE4243"/>
    <w:rsid w:val="00DE5356"/>
    <w:rsid w:val="00DE75C7"/>
    <w:rsid w:val="00DF03E4"/>
    <w:rsid w:val="00DF04CC"/>
    <w:rsid w:val="00DF0571"/>
    <w:rsid w:val="00DF0798"/>
    <w:rsid w:val="00DF0EEA"/>
    <w:rsid w:val="00DF149C"/>
    <w:rsid w:val="00DF15B4"/>
    <w:rsid w:val="00DF1E16"/>
    <w:rsid w:val="00DF4D36"/>
    <w:rsid w:val="00DF5BCB"/>
    <w:rsid w:val="00DF6600"/>
    <w:rsid w:val="00DF7364"/>
    <w:rsid w:val="00E020B5"/>
    <w:rsid w:val="00E0217D"/>
    <w:rsid w:val="00E02E0F"/>
    <w:rsid w:val="00E03710"/>
    <w:rsid w:val="00E039AB"/>
    <w:rsid w:val="00E03A7F"/>
    <w:rsid w:val="00E03F1B"/>
    <w:rsid w:val="00E03F2D"/>
    <w:rsid w:val="00E06509"/>
    <w:rsid w:val="00E066BC"/>
    <w:rsid w:val="00E07766"/>
    <w:rsid w:val="00E10907"/>
    <w:rsid w:val="00E11651"/>
    <w:rsid w:val="00E12FB2"/>
    <w:rsid w:val="00E1334F"/>
    <w:rsid w:val="00E151B1"/>
    <w:rsid w:val="00E158C2"/>
    <w:rsid w:val="00E179DF"/>
    <w:rsid w:val="00E20205"/>
    <w:rsid w:val="00E20241"/>
    <w:rsid w:val="00E20D4A"/>
    <w:rsid w:val="00E21BC7"/>
    <w:rsid w:val="00E22A96"/>
    <w:rsid w:val="00E23B73"/>
    <w:rsid w:val="00E2403C"/>
    <w:rsid w:val="00E245F2"/>
    <w:rsid w:val="00E25149"/>
    <w:rsid w:val="00E258C9"/>
    <w:rsid w:val="00E27BE6"/>
    <w:rsid w:val="00E27E77"/>
    <w:rsid w:val="00E30BE0"/>
    <w:rsid w:val="00E30C1F"/>
    <w:rsid w:val="00E32C78"/>
    <w:rsid w:val="00E32EC0"/>
    <w:rsid w:val="00E33B82"/>
    <w:rsid w:val="00E3478D"/>
    <w:rsid w:val="00E35D34"/>
    <w:rsid w:val="00E35ED1"/>
    <w:rsid w:val="00E3628E"/>
    <w:rsid w:val="00E367F3"/>
    <w:rsid w:val="00E36A17"/>
    <w:rsid w:val="00E36C8B"/>
    <w:rsid w:val="00E377F5"/>
    <w:rsid w:val="00E40577"/>
    <w:rsid w:val="00E408BF"/>
    <w:rsid w:val="00E41FB4"/>
    <w:rsid w:val="00E42326"/>
    <w:rsid w:val="00E42D9D"/>
    <w:rsid w:val="00E4356D"/>
    <w:rsid w:val="00E439FF"/>
    <w:rsid w:val="00E4481A"/>
    <w:rsid w:val="00E44B02"/>
    <w:rsid w:val="00E4526E"/>
    <w:rsid w:val="00E45709"/>
    <w:rsid w:val="00E4575E"/>
    <w:rsid w:val="00E45C63"/>
    <w:rsid w:val="00E45DC7"/>
    <w:rsid w:val="00E47BEB"/>
    <w:rsid w:val="00E507EF"/>
    <w:rsid w:val="00E50C4A"/>
    <w:rsid w:val="00E51EC7"/>
    <w:rsid w:val="00E5364E"/>
    <w:rsid w:val="00E53C76"/>
    <w:rsid w:val="00E54777"/>
    <w:rsid w:val="00E54A5B"/>
    <w:rsid w:val="00E552FE"/>
    <w:rsid w:val="00E57C49"/>
    <w:rsid w:val="00E57F79"/>
    <w:rsid w:val="00E60033"/>
    <w:rsid w:val="00E604E8"/>
    <w:rsid w:val="00E61C69"/>
    <w:rsid w:val="00E6274D"/>
    <w:rsid w:val="00E62807"/>
    <w:rsid w:val="00E62B93"/>
    <w:rsid w:val="00E65FAB"/>
    <w:rsid w:val="00E661E3"/>
    <w:rsid w:val="00E6646F"/>
    <w:rsid w:val="00E66812"/>
    <w:rsid w:val="00E66B9C"/>
    <w:rsid w:val="00E7073E"/>
    <w:rsid w:val="00E70CC7"/>
    <w:rsid w:val="00E7160F"/>
    <w:rsid w:val="00E71FB5"/>
    <w:rsid w:val="00E7310F"/>
    <w:rsid w:val="00E73A0E"/>
    <w:rsid w:val="00E7467C"/>
    <w:rsid w:val="00E74B29"/>
    <w:rsid w:val="00E75389"/>
    <w:rsid w:val="00E7583E"/>
    <w:rsid w:val="00E75BF0"/>
    <w:rsid w:val="00E7694D"/>
    <w:rsid w:val="00E76C7F"/>
    <w:rsid w:val="00E7761F"/>
    <w:rsid w:val="00E77BEA"/>
    <w:rsid w:val="00E80292"/>
    <w:rsid w:val="00E805BC"/>
    <w:rsid w:val="00E8065C"/>
    <w:rsid w:val="00E80760"/>
    <w:rsid w:val="00E80F57"/>
    <w:rsid w:val="00E81AFF"/>
    <w:rsid w:val="00E8247D"/>
    <w:rsid w:val="00E82623"/>
    <w:rsid w:val="00E82AA6"/>
    <w:rsid w:val="00E82E55"/>
    <w:rsid w:val="00E8462B"/>
    <w:rsid w:val="00E84B8B"/>
    <w:rsid w:val="00E85642"/>
    <w:rsid w:val="00E86587"/>
    <w:rsid w:val="00E8794C"/>
    <w:rsid w:val="00E87A47"/>
    <w:rsid w:val="00E905F3"/>
    <w:rsid w:val="00E9167F"/>
    <w:rsid w:val="00E92E8B"/>
    <w:rsid w:val="00E92EAA"/>
    <w:rsid w:val="00E93798"/>
    <w:rsid w:val="00E9570B"/>
    <w:rsid w:val="00E958E3"/>
    <w:rsid w:val="00E959CC"/>
    <w:rsid w:val="00E96373"/>
    <w:rsid w:val="00E96CAF"/>
    <w:rsid w:val="00E96D74"/>
    <w:rsid w:val="00E9721D"/>
    <w:rsid w:val="00E97B70"/>
    <w:rsid w:val="00E97E44"/>
    <w:rsid w:val="00EA036B"/>
    <w:rsid w:val="00EA170A"/>
    <w:rsid w:val="00EA1942"/>
    <w:rsid w:val="00EA20AC"/>
    <w:rsid w:val="00EA2636"/>
    <w:rsid w:val="00EA3422"/>
    <w:rsid w:val="00EA34FD"/>
    <w:rsid w:val="00EA3A3F"/>
    <w:rsid w:val="00EA655B"/>
    <w:rsid w:val="00EA77C3"/>
    <w:rsid w:val="00EA7940"/>
    <w:rsid w:val="00EB011F"/>
    <w:rsid w:val="00EB05DD"/>
    <w:rsid w:val="00EB0F01"/>
    <w:rsid w:val="00EB13EA"/>
    <w:rsid w:val="00EB195F"/>
    <w:rsid w:val="00EB1BFE"/>
    <w:rsid w:val="00EB2951"/>
    <w:rsid w:val="00EB2FD3"/>
    <w:rsid w:val="00EB378E"/>
    <w:rsid w:val="00EB5279"/>
    <w:rsid w:val="00EB54EA"/>
    <w:rsid w:val="00EB654C"/>
    <w:rsid w:val="00EB72EB"/>
    <w:rsid w:val="00EB7961"/>
    <w:rsid w:val="00EC0351"/>
    <w:rsid w:val="00EC048C"/>
    <w:rsid w:val="00EC15CB"/>
    <w:rsid w:val="00EC3139"/>
    <w:rsid w:val="00EC3FD2"/>
    <w:rsid w:val="00EC5790"/>
    <w:rsid w:val="00EC6703"/>
    <w:rsid w:val="00EC6801"/>
    <w:rsid w:val="00EC774F"/>
    <w:rsid w:val="00EC7D8A"/>
    <w:rsid w:val="00ED0330"/>
    <w:rsid w:val="00ED0D56"/>
    <w:rsid w:val="00ED10F5"/>
    <w:rsid w:val="00ED1B07"/>
    <w:rsid w:val="00ED4318"/>
    <w:rsid w:val="00ED470D"/>
    <w:rsid w:val="00ED5D8B"/>
    <w:rsid w:val="00ED5F37"/>
    <w:rsid w:val="00ED615B"/>
    <w:rsid w:val="00ED647C"/>
    <w:rsid w:val="00EE13F7"/>
    <w:rsid w:val="00EE1DB3"/>
    <w:rsid w:val="00EE2123"/>
    <w:rsid w:val="00EE28CE"/>
    <w:rsid w:val="00EE3684"/>
    <w:rsid w:val="00EE453E"/>
    <w:rsid w:val="00EE4647"/>
    <w:rsid w:val="00EE46D1"/>
    <w:rsid w:val="00EE4BE6"/>
    <w:rsid w:val="00EE5601"/>
    <w:rsid w:val="00EE5A5E"/>
    <w:rsid w:val="00EE5A9E"/>
    <w:rsid w:val="00EE5CF8"/>
    <w:rsid w:val="00EE6201"/>
    <w:rsid w:val="00EE6811"/>
    <w:rsid w:val="00EE6A4C"/>
    <w:rsid w:val="00EE6D1D"/>
    <w:rsid w:val="00EE6FF2"/>
    <w:rsid w:val="00EE745A"/>
    <w:rsid w:val="00EE76F3"/>
    <w:rsid w:val="00EF071E"/>
    <w:rsid w:val="00EF176E"/>
    <w:rsid w:val="00EF177F"/>
    <w:rsid w:val="00EF44BD"/>
    <w:rsid w:val="00EF45FB"/>
    <w:rsid w:val="00EF5AC5"/>
    <w:rsid w:val="00EF7497"/>
    <w:rsid w:val="00EF7D09"/>
    <w:rsid w:val="00F0028F"/>
    <w:rsid w:val="00F02D08"/>
    <w:rsid w:val="00F02D93"/>
    <w:rsid w:val="00F0318C"/>
    <w:rsid w:val="00F0340B"/>
    <w:rsid w:val="00F03713"/>
    <w:rsid w:val="00F03FFA"/>
    <w:rsid w:val="00F04570"/>
    <w:rsid w:val="00F048F2"/>
    <w:rsid w:val="00F05F26"/>
    <w:rsid w:val="00F06A85"/>
    <w:rsid w:val="00F06D92"/>
    <w:rsid w:val="00F06F26"/>
    <w:rsid w:val="00F07263"/>
    <w:rsid w:val="00F07569"/>
    <w:rsid w:val="00F07848"/>
    <w:rsid w:val="00F07E50"/>
    <w:rsid w:val="00F10453"/>
    <w:rsid w:val="00F1095F"/>
    <w:rsid w:val="00F11AB5"/>
    <w:rsid w:val="00F148E6"/>
    <w:rsid w:val="00F15D78"/>
    <w:rsid w:val="00F1658C"/>
    <w:rsid w:val="00F16CBA"/>
    <w:rsid w:val="00F1796A"/>
    <w:rsid w:val="00F17A20"/>
    <w:rsid w:val="00F2074F"/>
    <w:rsid w:val="00F226A2"/>
    <w:rsid w:val="00F22B37"/>
    <w:rsid w:val="00F22DE9"/>
    <w:rsid w:val="00F239AE"/>
    <w:rsid w:val="00F2450D"/>
    <w:rsid w:val="00F25FE5"/>
    <w:rsid w:val="00F25FEC"/>
    <w:rsid w:val="00F261BC"/>
    <w:rsid w:val="00F2621B"/>
    <w:rsid w:val="00F2657B"/>
    <w:rsid w:val="00F26877"/>
    <w:rsid w:val="00F26A6F"/>
    <w:rsid w:val="00F278F7"/>
    <w:rsid w:val="00F27F7A"/>
    <w:rsid w:val="00F317E2"/>
    <w:rsid w:val="00F317ED"/>
    <w:rsid w:val="00F32EAB"/>
    <w:rsid w:val="00F33800"/>
    <w:rsid w:val="00F33DD7"/>
    <w:rsid w:val="00F345CD"/>
    <w:rsid w:val="00F347E4"/>
    <w:rsid w:val="00F3511A"/>
    <w:rsid w:val="00F35181"/>
    <w:rsid w:val="00F351AA"/>
    <w:rsid w:val="00F35F2E"/>
    <w:rsid w:val="00F366E2"/>
    <w:rsid w:val="00F37946"/>
    <w:rsid w:val="00F37A5A"/>
    <w:rsid w:val="00F37EFD"/>
    <w:rsid w:val="00F401B1"/>
    <w:rsid w:val="00F416A5"/>
    <w:rsid w:val="00F436CB"/>
    <w:rsid w:val="00F43EAC"/>
    <w:rsid w:val="00F4552A"/>
    <w:rsid w:val="00F462D3"/>
    <w:rsid w:val="00F4652D"/>
    <w:rsid w:val="00F471B1"/>
    <w:rsid w:val="00F47325"/>
    <w:rsid w:val="00F47326"/>
    <w:rsid w:val="00F475FF"/>
    <w:rsid w:val="00F47676"/>
    <w:rsid w:val="00F47C1A"/>
    <w:rsid w:val="00F47EB1"/>
    <w:rsid w:val="00F5039E"/>
    <w:rsid w:val="00F50AED"/>
    <w:rsid w:val="00F51024"/>
    <w:rsid w:val="00F519ED"/>
    <w:rsid w:val="00F52090"/>
    <w:rsid w:val="00F538E1"/>
    <w:rsid w:val="00F53C8A"/>
    <w:rsid w:val="00F5431C"/>
    <w:rsid w:val="00F54545"/>
    <w:rsid w:val="00F5477D"/>
    <w:rsid w:val="00F54E09"/>
    <w:rsid w:val="00F562ED"/>
    <w:rsid w:val="00F57DFD"/>
    <w:rsid w:val="00F62740"/>
    <w:rsid w:val="00F6285D"/>
    <w:rsid w:val="00F62D1B"/>
    <w:rsid w:val="00F6341D"/>
    <w:rsid w:val="00F641FE"/>
    <w:rsid w:val="00F6441F"/>
    <w:rsid w:val="00F649B8"/>
    <w:rsid w:val="00F64BBC"/>
    <w:rsid w:val="00F652AF"/>
    <w:rsid w:val="00F70182"/>
    <w:rsid w:val="00F70CF8"/>
    <w:rsid w:val="00F71153"/>
    <w:rsid w:val="00F721FD"/>
    <w:rsid w:val="00F727F4"/>
    <w:rsid w:val="00F748EA"/>
    <w:rsid w:val="00F7577E"/>
    <w:rsid w:val="00F76561"/>
    <w:rsid w:val="00F76EE5"/>
    <w:rsid w:val="00F771FF"/>
    <w:rsid w:val="00F77F46"/>
    <w:rsid w:val="00F809AF"/>
    <w:rsid w:val="00F80A86"/>
    <w:rsid w:val="00F80C68"/>
    <w:rsid w:val="00F80DE0"/>
    <w:rsid w:val="00F8231C"/>
    <w:rsid w:val="00F824F8"/>
    <w:rsid w:val="00F833B1"/>
    <w:rsid w:val="00F83A90"/>
    <w:rsid w:val="00F83B1F"/>
    <w:rsid w:val="00F83D74"/>
    <w:rsid w:val="00F84781"/>
    <w:rsid w:val="00F84811"/>
    <w:rsid w:val="00F84B3A"/>
    <w:rsid w:val="00F8518C"/>
    <w:rsid w:val="00F85E6A"/>
    <w:rsid w:val="00F869F3"/>
    <w:rsid w:val="00F9054E"/>
    <w:rsid w:val="00F91CF9"/>
    <w:rsid w:val="00F9378D"/>
    <w:rsid w:val="00F93B70"/>
    <w:rsid w:val="00F93CC5"/>
    <w:rsid w:val="00F9407C"/>
    <w:rsid w:val="00F94F13"/>
    <w:rsid w:val="00F94FCC"/>
    <w:rsid w:val="00F96B54"/>
    <w:rsid w:val="00F97692"/>
    <w:rsid w:val="00FA0202"/>
    <w:rsid w:val="00FA06EE"/>
    <w:rsid w:val="00FA197F"/>
    <w:rsid w:val="00FA1CAD"/>
    <w:rsid w:val="00FA1ED6"/>
    <w:rsid w:val="00FA2103"/>
    <w:rsid w:val="00FA2B2B"/>
    <w:rsid w:val="00FA2BE6"/>
    <w:rsid w:val="00FA2C5D"/>
    <w:rsid w:val="00FA37CC"/>
    <w:rsid w:val="00FA41CD"/>
    <w:rsid w:val="00FA47EA"/>
    <w:rsid w:val="00FA53C7"/>
    <w:rsid w:val="00FA55CD"/>
    <w:rsid w:val="00FA619C"/>
    <w:rsid w:val="00FA6A2F"/>
    <w:rsid w:val="00FA7BA9"/>
    <w:rsid w:val="00FB0738"/>
    <w:rsid w:val="00FB1E8E"/>
    <w:rsid w:val="00FB275B"/>
    <w:rsid w:val="00FB34AA"/>
    <w:rsid w:val="00FB35E6"/>
    <w:rsid w:val="00FB3CDB"/>
    <w:rsid w:val="00FB4743"/>
    <w:rsid w:val="00FB4A2D"/>
    <w:rsid w:val="00FB566C"/>
    <w:rsid w:val="00FB56D7"/>
    <w:rsid w:val="00FB6920"/>
    <w:rsid w:val="00FB6D51"/>
    <w:rsid w:val="00FC05D6"/>
    <w:rsid w:val="00FC0A66"/>
    <w:rsid w:val="00FC1714"/>
    <w:rsid w:val="00FC2900"/>
    <w:rsid w:val="00FC2E72"/>
    <w:rsid w:val="00FC39E8"/>
    <w:rsid w:val="00FC4260"/>
    <w:rsid w:val="00FC489E"/>
    <w:rsid w:val="00FC575A"/>
    <w:rsid w:val="00FC74DB"/>
    <w:rsid w:val="00FC7B0E"/>
    <w:rsid w:val="00FD03B2"/>
    <w:rsid w:val="00FD093F"/>
    <w:rsid w:val="00FD2DE9"/>
    <w:rsid w:val="00FD4694"/>
    <w:rsid w:val="00FD46B4"/>
    <w:rsid w:val="00FD5348"/>
    <w:rsid w:val="00FD544C"/>
    <w:rsid w:val="00FD59F1"/>
    <w:rsid w:val="00FD5E29"/>
    <w:rsid w:val="00FE0AF3"/>
    <w:rsid w:val="00FE1047"/>
    <w:rsid w:val="00FE10E9"/>
    <w:rsid w:val="00FE1BBB"/>
    <w:rsid w:val="00FE25A1"/>
    <w:rsid w:val="00FE25B4"/>
    <w:rsid w:val="00FE2E1D"/>
    <w:rsid w:val="00FE421E"/>
    <w:rsid w:val="00FE4FDF"/>
    <w:rsid w:val="00FE553A"/>
    <w:rsid w:val="00FE564E"/>
    <w:rsid w:val="00FE6145"/>
    <w:rsid w:val="00FE61E7"/>
    <w:rsid w:val="00FE6518"/>
    <w:rsid w:val="00FE6F61"/>
    <w:rsid w:val="00FE7A63"/>
    <w:rsid w:val="00FF12CE"/>
    <w:rsid w:val="00FF16F7"/>
    <w:rsid w:val="00FF1A8F"/>
    <w:rsid w:val="00FF1EAB"/>
    <w:rsid w:val="00FF1FF2"/>
    <w:rsid w:val="00FF24E9"/>
    <w:rsid w:val="00FF2B8D"/>
    <w:rsid w:val="00FF43E6"/>
    <w:rsid w:val="00FF5931"/>
    <w:rsid w:val="00FF6404"/>
    <w:rsid w:val="00FF66A2"/>
    <w:rsid w:val="00FF6798"/>
    <w:rsid w:val="00FF6B54"/>
    <w:rsid w:val="00FF7F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229"/>
    <w:pPr>
      <w:spacing w:after="0" w:line="36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062229"/>
    <w:pPr>
      <w:keepNext/>
      <w:spacing w:before="240" w:after="60" w:line="240" w:lineRule="auto"/>
      <w:outlineLvl w:val="0"/>
    </w:pPr>
    <w:rPr>
      <w:rFonts w:ascii="Arial" w:eastAsia="Times New Roman" w:hAnsi="Arial"/>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2229"/>
    <w:rPr>
      <w:rFonts w:ascii="Arial" w:eastAsia="Times New Roman" w:hAnsi="Arial" w:cs="Times New Roman"/>
      <w:b/>
      <w:kern w:val="28"/>
      <w:sz w:val="28"/>
      <w:szCs w:val="20"/>
    </w:rPr>
  </w:style>
  <w:style w:type="table" w:styleId="TableGrid">
    <w:name w:val="Table Grid"/>
    <w:basedOn w:val="TableNormal"/>
    <w:rsid w:val="0006222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BBlockText">
    <w:name w:val="WB Block Text"/>
    <w:aliases w:val="BT"/>
    <w:basedOn w:val="Normal"/>
    <w:link w:val="WBBlockTextChar"/>
    <w:rsid w:val="00062229"/>
    <w:pPr>
      <w:spacing w:after="240" w:line="240" w:lineRule="auto"/>
    </w:pPr>
    <w:rPr>
      <w:rFonts w:eastAsia="Times New Roman"/>
    </w:rPr>
  </w:style>
  <w:style w:type="character" w:customStyle="1" w:styleId="WBBlockTextChar">
    <w:name w:val="WB Block Text Char"/>
    <w:aliases w:val="BT Char"/>
    <w:basedOn w:val="DefaultParagraphFont"/>
    <w:link w:val="WBBlockText"/>
    <w:rsid w:val="00062229"/>
    <w:rPr>
      <w:rFonts w:ascii="Times New Roman" w:eastAsia="Times New Roman" w:hAnsi="Times New Roman" w:cs="Times New Roman"/>
      <w:sz w:val="24"/>
      <w:szCs w:val="24"/>
    </w:rPr>
  </w:style>
  <w:style w:type="paragraph" w:styleId="ListParagraph">
    <w:name w:val="List Paragraph"/>
    <w:basedOn w:val="Normal"/>
    <w:uiPriority w:val="34"/>
    <w:qFormat/>
    <w:rsid w:val="00062229"/>
    <w:pPr>
      <w:spacing w:line="240" w:lineRule="auto"/>
      <w:ind w:left="720"/>
      <w:contextualSpacing/>
    </w:pPr>
    <w:rPr>
      <w:rFonts w:eastAsia="Times New Roman"/>
      <w:sz w:val="20"/>
      <w:szCs w:val="20"/>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1"/>
    <w:semiHidden/>
    <w:rsid w:val="00062229"/>
    <w:pPr>
      <w:spacing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062229"/>
    <w:rPr>
      <w:rFonts w:ascii="Times New Roman" w:eastAsia="Calibri" w:hAnsi="Times New Roman" w:cs="Times New Roman"/>
      <w:sz w:val="20"/>
      <w:szCs w:val="20"/>
    </w:rPr>
  </w:style>
  <w:style w:type="character" w:customStyle="1" w:styleId="FootnoteTextChar1">
    <w:name w:val="Footnote Text Char1"/>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semiHidden/>
    <w:locked/>
    <w:rsid w:val="00062229"/>
    <w:rPr>
      <w:rFonts w:ascii="Times New Roman" w:eastAsia="Times New Roman" w:hAnsi="Times New Roman" w:cs="Times New Roman"/>
      <w:sz w:val="20"/>
      <w:szCs w:val="20"/>
    </w:rPr>
  </w:style>
  <w:style w:type="character" w:styleId="Hyperlink">
    <w:name w:val="Hyperlink"/>
    <w:basedOn w:val="DefaultParagraphFont"/>
    <w:rsid w:val="00062229"/>
    <w:rPr>
      <w:color w:val="0000FF"/>
      <w:u w:val="single"/>
    </w:rPr>
  </w:style>
  <w:style w:type="paragraph" w:styleId="Header">
    <w:name w:val="header"/>
    <w:basedOn w:val="Normal"/>
    <w:link w:val="HeaderChar"/>
    <w:uiPriority w:val="99"/>
    <w:semiHidden/>
    <w:unhideWhenUsed/>
    <w:rsid w:val="00062229"/>
    <w:pPr>
      <w:tabs>
        <w:tab w:val="center" w:pos="4680"/>
        <w:tab w:val="right" w:pos="9360"/>
      </w:tabs>
    </w:pPr>
  </w:style>
  <w:style w:type="character" w:customStyle="1" w:styleId="HeaderChar">
    <w:name w:val="Header Char"/>
    <w:basedOn w:val="DefaultParagraphFont"/>
    <w:link w:val="Header"/>
    <w:uiPriority w:val="99"/>
    <w:semiHidden/>
    <w:rsid w:val="00062229"/>
    <w:rPr>
      <w:rFonts w:ascii="Times New Roman" w:eastAsia="Calibri" w:hAnsi="Times New Roman" w:cs="Times New Roman"/>
      <w:sz w:val="24"/>
      <w:szCs w:val="24"/>
    </w:rPr>
  </w:style>
  <w:style w:type="paragraph" w:styleId="Footer">
    <w:name w:val="footer"/>
    <w:basedOn w:val="Normal"/>
    <w:link w:val="FooterChar"/>
    <w:uiPriority w:val="99"/>
    <w:unhideWhenUsed/>
    <w:rsid w:val="00062229"/>
    <w:pPr>
      <w:tabs>
        <w:tab w:val="center" w:pos="4680"/>
        <w:tab w:val="right" w:pos="9360"/>
      </w:tabs>
    </w:pPr>
  </w:style>
  <w:style w:type="character" w:customStyle="1" w:styleId="FooterChar">
    <w:name w:val="Footer Char"/>
    <w:basedOn w:val="DefaultParagraphFont"/>
    <w:link w:val="Footer"/>
    <w:uiPriority w:val="99"/>
    <w:rsid w:val="00062229"/>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xlink?app=00075&amp;view=full&amp;searchtype=get&amp;search=117+Pa.+Commw.+36"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14168</Words>
  <Characters>80758</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kbeemer</dc:creator>
  <cp:keywords/>
  <dc:description/>
  <cp:lastModifiedBy>awallen</cp:lastModifiedBy>
  <cp:revision>2</cp:revision>
  <cp:lastPrinted>2010-06-16T18:35:00Z</cp:lastPrinted>
  <dcterms:created xsi:type="dcterms:W3CDTF">2010-06-16T18:37:00Z</dcterms:created>
  <dcterms:modified xsi:type="dcterms:W3CDTF">2010-06-16T18:37:00Z</dcterms:modified>
</cp:coreProperties>
</file>