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48C" w:rsidRPr="00B55FDC" w:rsidRDefault="0004448C" w:rsidP="0004448C">
      <w:pPr>
        <w:spacing w:line="240" w:lineRule="auto"/>
        <w:jc w:val="center"/>
        <w:rPr>
          <w:b/>
        </w:rPr>
      </w:pPr>
      <w:r w:rsidRPr="00B55FDC">
        <w:rPr>
          <w:b/>
        </w:rPr>
        <w:t>BEFORE THE</w:t>
      </w:r>
    </w:p>
    <w:p w:rsidR="0004448C" w:rsidRDefault="0004448C" w:rsidP="000A55A7">
      <w:pPr>
        <w:tabs>
          <w:tab w:val="center" w:pos="4680"/>
        </w:tabs>
        <w:suppressAutoHyphens/>
        <w:spacing w:line="240" w:lineRule="auto"/>
        <w:jc w:val="center"/>
        <w:rPr>
          <w:b/>
          <w:bCs/>
          <w:spacing w:val="-3"/>
        </w:rPr>
      </w:pPr>
      <w:smartTag w:uri="urn:schemas-microsoft-com:office:smarttags" w:element="State">
        <w:smartTag w:uri="urn:schemas-microsoft-com:office:smarttags" w:element="place">
          <w:r w:rsidRPr="00B55FDC">
            <w:rPr>
              <w:b/>
              <w:bCs/>
              <w:spacing w:val="-3"/>
            </w:rPr>
            <w:t>PENNSYLVANIA</w:t>
          </w:r>
        </w:smartTag>
      </w:smartTag>
      <w:r w:rsidRPr="00B55FDC">
        <w:rPr>
          <w:b/>
          <w:bCs/>
          <w:spacing w:val="-3"/>
        </w:rPr>
        <w:t xml:space="preserve"> PUBLIC UTILITY COMMISSION</w:t>
      </w:r>
    </w:p>
    <w:p w:rsidR="000A55A7" w:rsidRPr="00B55FDC" w:rsidRDefault="000A55A7" w:rsidP="000A55A7">
      <w:pPr>
        <w:tabs>
          <w:tab w:val="center" w:pos="4680"/>
        </w:tabs>
        <w:suppressAutoHyphens/>
        <w:spacing w:line="240" w:lineRule="auto"/>
        <w:rPr>
          <w:b/>
          <w:bCs/>
          <w:spacing w:val="-3"/>
        </w:rPr>
      </w:pPr>
      <w:r>
        <w:rPr>
          <w:b/>
          <w:bCs/>
          <w:spacing w:val="-3"/>
        </w:rPr>
        <w:t xml:space="preserve">                         </w:t>
      </w:r>
    </w:p>
    <w:p w:rsidR="0004448C" w:rsidRPr="00B55FDC" w:rsidRDefault="0004448C" w:rsidP="000A55A7">
      <w:pPr>
        <w:tabs>
          <w:tab w:val="left" w:pos="-720"/>
        </w:tabs>
        <w:suppressAutoHyphens/>
        <w:spacing w:line="240" w:lineRule="auto"/>
        <w:ind w:firstLine="1440"/>
        <w:rPr>
          <w:spacing w:val="-3"/>
        </w:rPr>
      </w:pPr>
    </w:p>
    <w:p w:rsidR="0004448C" w:rsidRPr="00B55FDC" w:rsidRDefault="0004448C" w:rsidP="000A55A7">
      <w:pPr>
        <w:tabs>
          <w:tab w:val="left" w:pos="-720"/>
        </w:tabs>
        <w:suppressAutoHyphens/>
        <w:spacing w:line="240" w:lineRule="auto"/>
        <w:ind w:firstLine="1440"/>
        <w:rPr>
          <w:spacing w:val="-3"/>
        </w:rPr>
      </w:pPr>
    </w:p>
    <w:tbl>
      <w:tblPr>
        <w:tblW w:w="0" w:type="auto"/>
        <w:tblLook w:val="01E0"/>
      </w:tblPr>
      <w:tblGrid>
        <w:gridCol w:w="4853"/>
        <w:gridCol w:w="1225"/>
        <w:gridCol w:w="3498"/>
      </w:tblGrid>
      <w:tr w:rsidR="0004448C" w:rsidRPr="0004448C" w:rsidTr="0004448C">
        <w:tc>
          <w:tcPr>
            <w:tcW w:w="4968" w:type="dxa"/>
          </w:tcPr>
          <w:p w:rsidR="0004448C" w:rsidRPr="0004448C" w:rsidRDefault="0004448C" w:rsidP="0004448C">
            <w:pPr>
              <w:spacing w:line="240" w:lineRule="auto"/>
              <w:rPr>
                <w:rFonts w:eastAsia="Times New Roman"/>
                <w:spacing w:val="-3"/>
              </w:rPr>
            </w:pPr>
            <w:r w:rsidRPr="0004448C">
              <w:rPr>
                <w:rFonts w:eastAsia="Times New Roman"/>
                <w:spacing w:val="-3"/>
              </w:rPr>
              <w:t>XO Communications Services, Inc.</w:t>
            </w:r>
          </w:p>
          <w:p w:rsidR="0004448C" w:rsidRPr="0004448C" w:rsidRDefault="0004448C" w:rsidP="0004448C">
            <w:pPr>
              <w:spacing w:line="240" w:lineRule="auto"/>
              <w:rPr>
                <w:rFonts w:eastAsia="Times New Roman"/>
                <w:spacing w:val="-3"/>
              </w:rPr>
            </w:pPr>
          </w:p>
          <w:p w:rsidR="0004448C" w:rsidRPr="0004448C" w:rsidRDefault="0004448C" w:rsidP="0004448C">
            <w:pPr>
              <w:spacing w:line="240" w:lineRule="auto"/>
              <w:rPr>
                <w:rFonts w:eastAsia="Times New Roman"/>
                <w:spacing w:val="-3"/>
              </w:rPr>
            </w:pPr>
            <w:r w:rsidRPr="0004448C">
              <w:rPr>
                <w:rFonts w:eastAsia="Times New Roman"/>
                <w:spacing w:val="-3"/>
              </w:rPr>
              <w:t xml:space="preserve">          v.</w:t>
            </w:r>
          </w:p>
          <w:p w:rsidR="0004448C" w:rsidRPr="0004448C" w:rsidRDefault="0004448C" w:rsidP="0004448C">
            <w:pPr>
              <w:spacing w:line="240" w:lineRule="auto"/>
              <w:rPr>
                <w:rFonts w:eastAsia="Times New Roman"/>
                <w:spacing w:val="-3"/>
              </w:rPr>
            </w:pPr>
          </w:p>
          <w:p w:rsidR="0004448C" w:rsidRPr="0004448C" w:rsidRDefault="0004448C" w:rsidP="0004448C">
            <w:pPr>
              <w:spacing w:line="240" w:lineRule="auto"/>
              <w:rPr>
                <w:rFonts w:eastAsia="Times New Roman"/>
                <w:spacing w:val="-3"/>
              </w:rPr>
            </w:pPr>
            <w:r w:rsidRPr="0004448C">
              <w:rPr>
                <w:rFonts w:eastAsia="Times New Roman"/>
                <w:spacing w:val="-3"/>
              </w:rPr>
              <w:t xml:space="preserve">Verizon Pennsylvania, Inc. </w:t>
            </w:r>
          </w:p>
        </w:tc>
        <w:tc>
          <w:tcPr>
            <w:tcW w:w="1260" w:type="dxa"/>
          </w:tcPr>
          <w:p w:rsidR="0004448C" w:rsidRPr="0004448C" w:rsidRDefault="0004448C" w:rsidP="0004448C">
            <w:pPr>
              <w:spacing w:line="240" w:lineRule="auto"/>
              <w:rPr>
                <w:rFonts w:eastAsia="Times New Roman"/>
                <w:spacing w:val="-3"/>
              </w:rPr>
            </w:pPr>
            <w:r w:rsidRPr="0004448C">
              <w:rPr>
                <w:rFonts w:eastAsia="Times New Roman"/>
                <w:spacing w:val="-3"/>
              </w:rPr>
              <w:t>:</w:t>
            </w:r>
          </w:p>
          <w:p w:rsidR="0004448C" w:rsidRPr="0004448C" w:rsidRDefault="0004448C" w:rsidP="0004448C">
            <w:pPr>
              <w:spacing w:line="240" w:lineRule="auto"/>
              <w:rPr>
                <w:rFonts w:eastAsia="Times New Roman"/>
                <w:spacing w:val="-3"/>
              </w:rPr>
            </w:pPr>
            <w:r w:rsidRPr="0004448C">
              <w:rPr>
                <w:rFonts w:eastAsia="Times New Roman"/>
                <w:spacing w:val="-3"/>
              </w:rPr>
              <w:t>:</w:t>
            </w:r>
          </w:p>
          <w:p w:rsidR="0004448C" w:rsidRPr="0004448C" w:rsidRDefault="0004448C" w:rsidP="0004448C">
            <w:pPr>
              <w:spacing w:line="240" w:lineRule="auto"/>
              <w:rPr>
                <w:rFonts w:eastAsia="Times New Roman"/>
                <w:spacing w:val="-3"/>
              </w:rPr>
            </w:pPr>
            <w:r w:rsidRPr="0004448C">
              <w:rPr>
                <w:rFonts w:eastAsia="Times New Roman"/>
                <w:spacing w:val="-3"/>
              </w:rPr>
              <w:t>:</w:t>
            </w:r>
          </w:p>
          <w:p w:rsidR="0004448C" w:rsidRPr="0004448C" w:rsidRDefault="0004448C" w:rsidP="0004448C">
            <w:pPr>
              <w:spacing w:line="240" w:lineRule="auto"/>
              <w:rPr>
                <w:rFonts w:eastAsia="Times New Roman"/>
                <w:spacing w:val="-3"/>
              </w:rPr>
            </w:pPr>
            <w:r w:rsidRPr="0004448C">
              <w:rPr>
                <w:rFonts w:eastAsia="Times New Roman"/>
                <w:spacing w:val="-3"/>
              </w:rPr>
              <w:t>:</w:t>
            </w:r>
          </w:p>
          <w:p w:rsidR="0004448C" w:rsidRPr="0004448C" w:rsidRDefault="0004448C" w:rsidP="0004448C">
            <w:pPr>
              <w:spacing w:line="240" w:lineRule="auto"/>
              <w:rPr>
                <w:rFonts w:eastAsia="Times New Roman"/>
                <w:spacing w:val="-3"/>
              </w:rPr>
            </w:pPr>
            <w:r w:rsidRPr="0004448C">
              <w:rPr>
                <w:rFonts w:eastAsia="Times New Roman"/>
                <w:spacing w:val="-3"/>
              </w:rPr>
              <w:t>:</w:t>
            </w:r>
          </w:p>
        </w:tc>
        <w:tc>
          <w:tcPr>
            <w:tcW w:w="3590" w:type="dxa"/>
          </w:tcPr>
          <w:p w:rsidR="000A55A7" w:rsidRDefault="000A55A7" w:rsidP="0004448C">
            <w:pPr>
              <w:spacing w:line="240" w:lineRule="auto"/>
              <w:rPr>
                <w:rFonts w:eastAsia="Times New Roman"/>
                <w:spacing w:val="-3"/>
              </w:rPr>
            </w:pPr>
          </w:p>
          <w:p w:rsidR="000A55A7" w:rsidRDefault="000A55A7" w:rsidP="0004448C">
            <w:pPr>
              <w:spacing w:line="240" w:lineRule="auto"/>
              <w:rPr>
                <w:rFonts w:eastAsia="Times New Roman"/>
                <w:spacing w:val="-3"/>
              </w:rPr>
            </w:pPr>
          </w:p>
          <w:p w:rsidR="0004448C" w:rsidRPr="0004448C" w:rsidRDefault="0004448C" w:rsidP="0004448C">
            <w:pPr>
              <w:spacing w:line="240" w:lineRule="auto"/>
              <w:rPr>
                <w:rFonts w:eastAsia="Times New Roman"/>
                <w:spacing w:val="-3"/>
              </w:rPr>
            </w:pPr>
            <w:r w:rsidRPr="0004448C">
              <w:rPr>
                <w:rFonts w:eastAsia="Times New Roman"/>
                <w:spacing w:val="-3"/>
              </w:rPr>
              <w:t>C-2008-2038195</w:t>
            </w:r>
          </w:p>
          <w:p w:rsidR="0004448C" w:rsidRPr="0004448C" w:rsidRDefault="0004448C" w:rsidP="0004448C">
            <w:pPr>
              <w:spacing w:line="240" w:lineRule="auto"/>
              <w:rPr>
                <w:rFonts w:eastAsia="Times New Roman"/>
                <w:spacing w:val="-3"/>
              </w:rPr>
            </w:pPr>
          </w:p>
        </w:tc>
      </w:tr>
    </w:tbl>
    <w:p w:rsidR="0004448C" w:rsidRPr="00B55FDC" w:rsidRDefault="0004448C" w:rsidP="000A55A7">
      <w:pPr>
        <w:spacing w:line="240" w:lineRule="auto"/>
        <w:rPr>
          <w:spacing w:val="-3"/>
        </w:rPr>
      </w:pPr>
    </w:p>
    <w:p w:rsidR="0004448C" w:rsidRDefault="0004448C" w:rsidP="000A55A7">
      <w:pPr>
        <w:tabs>
          <w:tab w:val="left" w:pos="-720"/>
          <w:tab w:val="left" w:pos="5040"/>
        </w:tabs>
        <w:suppressAutoHyphens/>
        <w:spacing w:line="240" w:lineRule="auto"/>
        <w:jc w:val="both"/>
        <w:rPr>
          <w:spacing w:val="-3"/>
        </w:rPr>
      </w:pPr>
    </w:p>
    <w:p w:rsidR="000A55A7" w:rsidRDefault="000A55A7" w:rsidP="000A55A7">
      <w:pPr>
        <w:tabs>
          <w:tab w:val="left" w:pos="-720"/>
          <w:tab w:val="left" w:pos="5040"/>
        </w:tabs>
        <w:suppressAutoHyphens/>
        <w:spacing w:line="240" w:lineRule="auto"/>
        <w:jc w:val="both"/>
        <w:rPr>
          <w:spacing w:val="-3"/>
        </w:rPr>
      </w:pPr>
    </w:p>
    <w:p w:rsidR="000A55A7" w:rsidRPr="00B55FDC" w:rsidRDefault="000A55A7" w:rsidP="000A55A7">
      <w:pPr>
        <w:tabs>
          <w:tab w:val="left" w:pos="-720"/>
          <w:tab w:val="left" w:pos="5040"/>
        </w:tabs>
        <w:suppressAutoHyphens/>
        <w:spacing w:line="240" w:lineRule="auto"/>
        <w:jc w:val="both"/>
        <w:rPr>
          <w:spacing w:val="-3"/>
        </w:rPr>
      </w:pPr>
    </w:p>
    <w:p w:rsidR="00956783" w:rsidRPr="00FA75FA" w:rsidRDefault="005A2292" w:rsidP="000A55A7">
      <w:pPr>
        <w:spacing w:line="240" w:lineRule="auto"/>
        <w:jc w:val="center"/>
      </w:pPr>
      <w:r>
        <w:rPr>
          <w:b/>
          <w:u w:val="single"/>
        </w:rPr>
        <w:t>RECOMMENDED DECISION</w:t>
      </w:r>
    </w:p>
    <w:p w:rsidR="000A55A7" w:rsidRPr="005A2292" w:rsidRDefault="000A55A7" w:rsidP="000A55A7">
      <w:pPr>
        <w:spacing w:line="240" w:lineRule="auto"/>
        <w:jc w:val="center"/>
      </w:pPr>
    </w:p>
    <w:p w:rsidR="0004448C" w:rsidRDefault="0004448C" w:rsidP="000A55A7">
      <w:pPr>
        <w:spacing w:line="240" w:lineRule="auto"/>
      </w:pPr>
    </w:p>
    <w:p w:rsidR="005A2292" w:rsidRPr="005A2292" w:rsidRDefault="005A2292" w:rsidP="005A2292">
      <w:pPr>
        <w:spacing w:line="240" w:lineRule="auto"/>
        <w:jc w:val="center"/>
      </w:pPr>
      <w:r w:rsidRPr="005A2292">
        <w:t>Before</w:t>
      </w:r>
    </w:p>
    <w:p w:rsidR="005A2292" w:rsidRPr="005A2292" w:rsidRDefault="005A2292" w:rsidP="005A2292">
      <w:pPr>
        <w:spacing w:line="240" w:lineRule="auto"/>
        <w:jc w:val="center"/>
      </w:pPr>
      <w:r w:rsidRPr="005A2292">
        <w:t>Louis G. Cocheres</w:t>
      </w:r>
    </w:p>
    <w:p w:rsidR="005A2292" w:rsidRDefault="005A2292" w:rsidP="000A55A7">
      <w:pPr>
        <w:spacing w:line="240" w:lineRule="auto"/>
        <w:jc w:val="center"/>
      </w:pPr>
      <w:r w:rsidRPr="005A2292">
        <w:t>Administrative Law Judge</w:t>
      </w:r>
    </w:p>
    <w:p w:rsidR="000A55A7" w:rsidRPr="005A2292" w:rsidRDefault="000A55A7" w:rsidP="000A55A7">
      <w:pPr>
        <w:spacing w:line="240" w:lineRule="auto"/>
        <w:jc w:val="center"/>
      </w:pPr>
    </w:p>
    <w:p w:rsidR="005A2292" w:rsidRDefault="005A2292" w:rsidP="000A55A7">
      <w:pPr>
        <w:spacing w:line="240" w:lineRule="auto"/>
      </w:pPr>
    </w:p>
    <w:p w:rsidR="005A2292" w:rsidRPr="005A2292" w:rsidRDefault="005A2292" w:rsidP="005A2292">
      <w:pPr>
        <w:jc w:val="center"/>
        <w:rPr>
          <w:u w:val="single"/>
        </w:rPr>
      </w:pPr>
      <w:r>
        <w:rPr>
          <w:u w:val="single"/>
        </w:rPr>
        <w:t>HISTORY OF THE PROCEEDING</w:t>
      </w:r>
    </w:p>
    <w:p w:rsidR="005A2292" w:rsidRDefault="005A2292"/>
    <w:p w:rsidR="005A2292" w:rsidRDefault="001A4B65">
      <w:r>
        <w:tab/>
      </w:r>
      <w:r>
        <w:tab/>
        <w:t xml:space="preserve">On April 18, 2008, XO Communications Services, Inc. (XO or complainant) filed its Complaint </w:t>
      </w:r>
      <w:r w:rsidR="00CF398F">
        <w:t xml:space="preserve">against </w:t>
      </w:r>
      <w:r>
        <w:t xml:space="preserve">Verizon Pennsylvania, Inc. (Verizon, VZ or respondent) and Verizon North, Inc. (collectively, respondents).  The Complaint alleged that the respondents were unlawfully imposing </w:t>
      </w:r>
      <w:r w:rsidR="009A7D28">
        <w:t>Dedicated Tandem Port charges for Meet P</w:t>
      </w:r>
      <w:r w:rsidR="00CF398F">
        <w:t>o</w:t>
      </w:r>
      <w:r w:rsidR="009A7D28">
        <w:t>int Billing (MPB) trunks.  The Complaint requested the Commission</w:t>
      </w:r>
      <w:r w:rsidR="003E6D04">
        <w:t>:  1)</w:t>
      </w:r>
      <w:r w:rsidR="009A7D28">
        <w:t xml:space="preserve"> find that</w:t>
      </w:r>
      <w:r w:rsidR="003E6D04">
        <w:t xml:space="preserve"> respondents were violating their tariffs and breaching their interconnection agreements (ICA), 2) bar respondents from collecting on outstanding invoices, 3) require refunds for all payments made, 4) prohibit similar charges in the future, and 5) provide any other appropriate relief.</w:t>
      </w:r>
    </w:p>
    <w:p w:rsidR="00E73232" w:rsidRDefault="00E73232"/>
    <w:p w:rsidR="00E73232" w:rsidRDefault="00E73232">
      <w:r>
        <w:tab/>
      </w:r>
      <w:r>
        <w:tab/>
      </w:r>
      <w:r w:rsidR="00865E05">
        <w:t xml:space="preserve">On May </w:t>
      </w:r>
      <w:r w:rsidR="00242D73">
        <w:t>19</w:t>
      </w:r>
      <w:r w:rsidR="00865E05">
        <w:t>, 2008,</w:t>
      </w:r>
      <w:r w:rsidR="00242D73">
        <w:t xml:space="preserve"> Verizon filed its </w:t>
      </w:r>
      <w:r w:rsidR="00865E05">
        <w:t>Answer and New Matter of Verizon Pennsylvania Inc. to the Complaint.</w:t>
      </w:r>
      <w:r w:rsidR="00B43A14">
        <w:t xml:space="preserve">  On June 16, 2008, XO filed its XO Communications Services</w:t>
      </w:r>
      <w:r w:rsidR="00242D73">
        <w:t xml:space="preserve">, Inc. </w:t>
      </w:r>
      <w:r w:rsidR="00B43A14">
        <w:t xml:space="preserve">Answer </w:t>
      </w:r>
      <w:r w:rsidR="00242D73">
        <w:t>to New Matter of Verizon Pennsylvania Inc.</w:t>
      </w:r>
      <w:r w:rsidR="004C2206">
        <w:t xml:space="preserve">  </w:t>
      </w:r>
    </w:p>
    <w:p w:rsidR="0006144C" w:rsidRDefault="0006144C"/>
    <w:p w:rsidR="0006144C" w:rsidRDefault="0006144C">
      <w:r>
        <w:lastRenderedPageBreak/>
        <w:tab/>
      </w:r>
      <w:r>
        <w:tab/>
        <w:t>An initial pre-hearing conference was held before me on September 4, 2008.</w:t>
      </w:r>
      <w:r w:rsidR="007620AB">
        <w:t xml:space="preserve">  At the conference</w:t>
      </w:r>
      <w:r w:rsidR="003231F4">
        <w:t>:  1)</w:t>
      </w:r>
      <w:r w:rsidR="007620AB">
        <w:t xml:space="preserve"> the parties agreed on a litigation schedule</w:t>
      </w:r>
      <w:r w:rsidR="003231F4">
        <w:t xml:space="preserve">, 2) Ms. Potkul, Esquire, was admitted Pro Hac Vice on behalf of XO, and 3) XO agreed to withdraw that portion of its Complaint against Verizon North.  </w:t>
      </w:r>
      <w:r w:rsidR="003231F4">
        <w:rPr>
          <w:i/>
        </w:rPr>
        <w:t>See</w:t>
      </w:r>
      <w:r w:rsidR="003231F4">
        <w:t>, Pre</w:t>
      </w:r>
      <w:r w:rsidR="00CF398F">
        <w:t>-h</w:t>
      </w:r>
      <w:r w:rsidR="003231F4">
        <w:t>earing Order, dated October 10, 2008.</w:t>
      </w:r>
      <w:r w:rsidR="000D14E9">
        <w:t xml:space="preserve">  By letter dated October 7, 2008, XO withdrew that portion of its Complaint against Verizon North.</w:t>
      </w:r>
    </w:p>
    <w:p w:rsidR="00876524" w:rsidRDefault="00876524"/>
    <w:p w:rsidR="00876524" w:rsidRDefault="00876524">
      <w:r>
        <w:tab/>
      </w:r>
      <w:r>
        <w:tab/>
        <w:t>A Protective Order was entered October 2, 2008.</w:t>
      </w:r>
      <w:r w:rsidR="008F0D15">
        <w:t xml:space="preserve">  </w:t>
      </w:r>
    </w:p>
    <w:p w:rsidR="008F0D15" w:rsidRDefault="008F0D15"/>
    <w:p w:rsidR="008F0D15" w:rsidRDefault="008F0D15">
      <w:r>
        <w:tab/>
      </w:r>
      <w:r>
        <w:tab/>
        <w:t>By letter dated January 13, 2009, XO moved for the admission of Mr. Malone, Esquire</w:t>
      </w:r>
      <w:r w:rsidR="00CC7B3F">
        <w:t>,</w:t>
      </w:r>
      <w:r w:rsidR="00977DD7">
        <w:t xml:space="preserve"> Pro Hac Vice</w:t>
      </w:r>
      <w:r>
        <w:t xml:space="preserve">.  On </w:t>
      </w:r>
      <w:r w:rsidR="0065096B">
        <w:t>January 23, 2009,</w:t>
      </w:r>
      <w:r w:rsidR="00977DD7">
        <w:t xml:space="preserve"> an Order was entered granting the motion.</w:t>
      </w:r>
    </w:p>
    <w:p w:rsidR="00977DD7" w:rsidRDefault="00977DD7"/>
    <w:p w:rsidR="00D216E5" w:rsidRDefault="00977DD7">
      <w:r>
        <w:tab/>
      </w:r>
      <w:r>
        <w:tab/>
      </w:r>
      <w:r w:rsidR="00CC7B3F">
        <w:t xml:space="preserve">Originally, hearings were scheduled for March 3 and 4, 2009.  However, due to inclement weather </w:t>
      </w:r>
      <w:r w:rsidR="00BB1EAF">
        <w:t xml:space="preserve">, </w:t>
      </w:r>
      <w:r w:rsidR="00CC7B3F">
        <w:t>the March 3 hearing was cancelled.  The March 4 hearing was held on schedule.</w:t>
      </w:r>
      <w:r w:rsidR="008A046D">
        <w:t xml:space="preserve">  XO presented</w:t>
      </w:r>
      <w:r w:rsidR="00B901A1">
        <w:t xml:space="preserve"> one witness, Mr. Case, who presented his direct and rebuttal testimony</w:t>
      </w:r>
      <w:r w:rsidR="00841AA9">
        <w:t xml:space="preserve"> which included several exhibits.  </w:t>
      </w:r>
      <w:r w:rsidR="00C30CCA">
        <w:t xml:space="preserve">XO St. No. 1 </w:t>
      </w:r>
      <w:r w:rsidR="00841AA9">
        <w:t>included Attachments A, B, C (</w:t>
      </w:r>
      <w:r w:rsidR="00CF398F">
        <w:t>PROPRIETARY</w:t>
      </w:r>
      <w:r w:rsidR="00841AA9">
        <w:t>) and D.</w:t>
      </w:r>
      <w:r w:rsidR="00CE4006">
        <w:t xml:space="preserve">  XO St. No. 2</w:t>
      </w:r>
      <w:r w:rsidR="007E6A1B">
        <w:t xml:space="preserve"> included Exhibit Nos. 1 through</w:t>
      </w:r>
      <w:r w:rsidR="00CE4006">
        <w:t xml:space="preserve"> 12.  Exhibit 13 was presented as a late</w:t>
      </w:r>
      <w:r w:rsidR="00CE4006">
        <w:noBreakHyphen/>
        <w:t xml:space="preserve">filed exhibit.  XO also introduced </w:t>
      </w:r>
      <w:r w:rsidR="00F40598">
        <w:t>C</w:t>
      </w:r>
      <w:r w:rsidR="00CE4006">
        <w:t>ross-</w:t>
      </w:r>
      <w:r w:rsidR="00F40598">
        <w:t>Examinations E</w:t>
      </w:r>
      <w:r w:rsidR="00CE4006">
        <w:t>xhibit</w:t>
      </w:r>
      <w:r w:rsidR="00F40598">
        <w:t xml:space="preserve"> Nos. 1 through 5 and 7 through 9</w:t>
      </w:r>
      <w:r w:rsidR="00CE4006">
        <w:t xml:space="preserve">.  </w:t>
      </w:r>
      <w:r w:rsidR="0029249E">
        <w:t xml:space="preserve">Verizon presented one witness, Mr. D’Amico, who presented his </w:t>
      </w:r>
      <w:r w:rsidR="000C16A5">
        <w:t>rebuttal</w:t>
      </w:r>
      <w:r w:rsidR="005A3A8B">
        <w:t xml:space="preserve"> testimony </w:t>
      </w:r>
      <w:r w:rsidR="0029249E">
        <w:t xml:space="preserve">VZ St. 1.0 </w:t>
      </w:r>
      <w:r w:rsidR="005A3A8B">
        <w:t>(</w:t>
      </w:r>
      <w:r w:rsidR="00CF398F">
        <w:t>PROPRIETARY</w:t>
      </w:r>
      <w:r w:rsidR="0029249E">
        <w:t xml:space="preserve">) and </w:t>
      </w:r>
      <w:r w:rsidR="000C16A5">
        <w:t>sur</w:t>
      </w:r>
      <w:r w:rsidR="0029249E">
        <w:t>rebuttal testimony (VZ St. 2).</w:t>
      </w:r>
      <w:r w:rsidR="000C16A5">
        <w:t xml:space="preserve">  VZ St. 1.0 (</w:t>
      </w:r>
      <w:r w:rsidR="00CF398F">
        <w:t>PROPRIETARY</w:t>
      </w:r>
      <w:r w:rsidR="000C16A5">
        <w:t>) included Exhibits Nos. 1 (</w:t>
      </w:r>
      <w:r w:rsidR="00CF398F">
        <w:t>PROPRIETARY</w:t>
      </w:r>
      <w:r w:rsidR="000C16A5">
        <w:t>), 2 and 3.</w:t>
      </w:r>
      <w:r w:rsidR="005E59D3">
        <w:t xml:space="preserve">  </w:t>
      </w:r>
    </w:p>
    <w:p w:rsidR="00D216E5" w:rsidRDefault="00D216E5"/>
    <w:p w:rsidR="0029249E" w:rsidRDefault="00D216E5">
      <w:r>
        <w:tab/>
      </w:r>
      <w:r>
        <w:tab/>
      </w:r>
      <w:r w:rsidR="007532CB">
        <w:t>The record in</w:t>
      </w:r>
      <w:r w:rsidR="005A3A8B">
        <w:t>cluded the transcript from the P</w:t>
      </w:r>
      <w:r w:rsidR="007532CB">
        <w:t>re-hearing conference numbered 1 through 28 and the March 4 transcript</w:t>
      </w:r>
      <w:r w:rsidR="008F2697">
        <w:t xml:space="preserve"> which began unfortunately with</w:t>
      </w:r>
      <w:r w:rsidR="007532CB">
        <w:t xml:space="preserve"> numbered </w:t>
      </w:r>
      <w:r w:rsidR="008F2697">
        <w:t>page</w:t>
      </w:r>
      <w:r w:rsidR="002D36E9">
        <w:t xml:space="preserve"> </w:t>
      </w:r>
      <w:r w:rsidR="007532CB">
        <w:t xml:space="preserve">1 </w:t>
      </w:r>
      <w:r w:rsidR="008F2697">
        <w:t>through page 12</w:t>
      </w:r>
      <w:r w:rsidR="004400B3">
        <w:t>4</w:t>
      </w:r>
      <w:r w:rsidR="008F2697">
        <w:t>.  In addition, the quality of March 4 transcript was so poor that, by letter dated April 3, 2009, the parties filed a Jointly Stipulated Proposed Corrections to Hearing Transcript</w:t>
      </w:r>
      <w:r>
        <w:t xml:space="preserve"> (Stipulation) which included 10 pages of corrections.  The Stipulation will be approved below.</w:t>
      </w:r>
    </w:p>
    <w:p w:rsidR="00A72E5C" w:rsidRDefault="00A72E5C"/>
    <w:p w:rsidR="00A72E5C" w:rsidRDefault="00A72E5C">
      <w:r>
        <w:tab/>
      </w:r>
      <w:r>
        <w:tab/>
        <w:t>On May 1, 2009, the parties filed their main briefs (M.B.).  On May 22, 2009, the parties filed their reply briefs (R.B.).</w:t>
      </w:r>
    </w:p>
    <w:p w:rsidR="006901B2" w:rsidRDefault="006901B2"/>
    <w:p w:rsidR="006901B2" w:rsidRDefault="006901B2">
      <w:r>
        <w:lastRenderedPageBreak/>
        <w:tab/>
      </w:r>
      <w:r>
        <w:tab/>
        <w:t>By Initial Decision</w:t>
      </w:r>
      <w:r w:rsidR="00B071FD">
        <w:t xml:space="preserve"> (I.D.)</w:t>
      </w:r>
      <w:r>
        <w:t>, dated May 12, 2009, Administrative Law Judge (ALJ) Weismandel</w:t>
      </w:r>
      <w:r w:rsidR="009E1436">
        <w:t xml:space="preserve"> decided </w:t>
      </w:r>
      <w:r w:rsidR="009E1436">
        <w:rPr>
          <w:i/>
        </w:rPr>
        <w:t xml:space="preserve">Choice </w:t>
      </w:r>
      <w:r w:rsidR="00BB0DFD">
        <w:rPr>
          <w:i/>
        </w:rPr>
        <w:t>One Communications</w:t>
      </w:r>
      <w:r w:rsidR="009E1436">
        <w:rPr>
          <w:i/>
        </w:rPr>
        <w:t xml:space="preserve"> of Pennsylvania, Inc., and CTC Communications Corporation v. Verizon Pennsylvania Inc. and Verizon North, Inc.</w:t>
      </w:r>
      <w:r w:rsidR="009E1436">
        <w:t xml:space="preserve"> at Docket Nos. C-2008-2029477 and C-2009-2029479 (Slip Op.)</w:t>
      </w:r>
      <w:r w:rsidR="000E35DF">
        <w:t xml:space="preserve"> (</w:t>
      </w:r>
      <w:r w:rsidR="000E35DF">
        <w:rPr>
          <w:i/>
        </w:rPr>
        <w:t>Choice One</w:t>
      </w:r>
      <w:r w:rsidR="000E35DF">
        <w:t>)</w:t>
      </w:r>
      <w:r w:rsidR="009E1436">
        <w:t>.  I note that late-filed XO Exh. 13</w:t>
      </w:r>
      <w:r w:rsidR="00CF398F">
        <w:t xml:space="preserve"> </w:t>
      </w:r>
      <w:r w:rsidR="009E1436">
        <w:t xml:space="preserve">was the transcript of the </w:t>
      </w:r>
      <w:r w:rsidR="000E35DF">
        <w:t>February 3, 2009</w:t>
      </w:r>
      <w:r w:rsidR="00FC4C42">
        <w:t>,</w:t>
      </w:r>
      <w:r w:rsidR="000E35DF">
        <w:t xml:space="preserve"> hearing held in the </w:t>
      </w:r>
      <w:r w:rsidR="000E35DF">
        <w:rPr>
          <w:i/>
        </w:rPr>
        <w:t>Choice One</w:t>
      </w:r>
      <w:r w:rsidR="000E35DF">
        <w:t xml:space="preserve"> case.  </w:t>
      </w:r>
      <w:r w:rsidR="00B071FD">
        <w:t xml:space="preserve">Exceptions and Reply Exceptions were filed in the </w:t>
      </w:r>
      <w:r w:rsidR="00B071FD">
        <w:rPr>
          <w:i/>
        </w:rPr>
        <w:t>Choice One</w:t>
      </w:r>
      <w:r w:rsidR="00B071FD">
        <w:t xml:space="preserve"> case.  By Opinion and Order</w:t>
      </w:r>
      <w:r w:rsidR="00CF398F">
        <w:t xml:space="preserve"> (O&amp;O)</w:t>
      </w:r>
      <w:r w:rsidR="00B071FD">
        <w:t>, entered January 29, 20</w:t>
      </w:r>
      <w:r w:rsidR="00C81076">
        <w:t>1</w:t>
      </w:r>
      <w:r w:rsidR="00B071FD">
        <w:t>0</w:t>
      </w:r>
      <w:r w:rsidR="00FC4C42">
        <w:t>,</w:t>
      </w:r>
      <w:r w:rsidR="00C81076">
        <w:t xml:space="preserve"> (Slip Op.)</w:t>
      </w:r>
      <w:r w:rsidR="00B071FD">
        <w:t>, this Commission reviewed the I.D. in its January</w:t>
      </w:r>
      <w:r w:rsidR="0052030F">
        <w:t> </w:t>
      </w:r>
      <w:r w:rsidR="00B071FD">
        <w:t>28, 20</w:t>
      </w:r>
      <w:r w:rsidR="00C81076">
        <w:t>1</w:t>
      </w:r>
      <w:r w:rsidR="00B071FD">
        <w:t>0</w:t>
      </w:r>
      <w:r w:rsidR="00FC4C42">
        <w:t>,</w:t>
      </w:r>
      <w:r w:rsidR="00B071FD">
        <w:t xml:space="preserve"> Public Meeting and affirmed it without changes</w:t>
      </w:r>
      <w:r w:rsidR="007D3D03">
        <w:t>.  The issues on the merits</w:t>
      </w:r>
      <w:r w:rsidR="00D909BB">
        <w:t xml:space="preserve"> in the </w:t>
      </w:r>
      <w:r w:rsidR="00D909BB">
        <w:rPr>
          <w:i/>
        </w:rPr>
        <w:t>Choice One</w:t>
      </w:r>
      <w:r w:rsidR="00D909BB">
        <w:t xml:space="preserve"> case</w:t>
      </w:r>
      <w:r w:rsidR="007D3D03">
        <w:t xml:space="preserve"> are identical to those in this case.  </w:t>
      </w:r>
    </w:p>
    <w:p w:rsidR="007D3D03" w:rsidRDefault="007D3D03"/>
    <w:p w:rsidR="007D3D03" w:rsidRPr="007D3D03" w:rsidRDefault="007D3D03" w:rsidP="007D3D03">
      <w:pPr>
        <w:jc w:val="center"/>
      </w:pPr>
      <w:r>
        <w:rPr>
          <w:u w:val="single"/>
        </w:rPr>
        <w:t>FINDINGS OF FACT</w:t>
      </w:r>
    </w:p>
    <w:p w:rsidR="007D3D03" w:rsidRDefault="007D3D03"/>
    <w:p w:rsidR="007D3D03" w:rsidRDefault="00566CCD">
      <w:r>
        <w:tab/>
      </w:r>
      <w:r>
        <w:tab/>
        <w:t xml:space="preserve">Because the </w:t>
      </w:r>
      <w:r>
        <w:rPr>
          <w:i/>
        </w:rPr>
        <w:t>Choice One</w:t>
      </w:r>
      <w:r>
        <w:t xml:space="preserve"> case contains identical legal issues and its transcript has been admitted into the record as XO Exh. No. 13, the findings of fact below will be nearly identical to those made by ALJ Weismandel.</w:t>
      </w:r>
    </w:p>
    <w:p w:rsidR="00566CCD" w:rsidRDefault="00566CCD"/>
    <w:p w:rsidR="00566CCD" w:rsidRDefault="00A42B1E" w:rsidP="00E3368A">
      <w:pPr>
        <w:numPr>
          <w:ilvl w:val="0"/>
          <w:numId w:val="1"/>
        </w:numPr>
        <w:ind w:left="0" w:firstLine="1440"/>
      </w:pPr>
      <w:r w:rsidRPr="00237787">
        <w:t xml:space="preserve">Verizon PA </w:t>
      </w:r>
      <w:r>
        <w:t>is an</w:t>
      </w:r>
      <w:r w:rsidRPr="00237787">
        <w:t xml:space="preserve"> i</w:t>
      </w:r>
      <w:r>
        <w:t>ncumbent local exchange carrier</w:t>
      </w:r>
      <w:r w:rsidRPr="00237787">
        <w:t xml:space="preserve"> (ILEC) in portions of Pennsylvania and provide</w:t>
      </w:r>
      <w:r>
        <w:t>s</w:t>
      </w:r>
      <w:r w:rsidRPr="00237787">
        <w:t xml:space="preserve"> (among other services) local telephone service to Pennsylvania residents and businesses in those areas.</w:t>
      </w:r>
    </w:p>
    <w:p w:rsidR="00A42B1E" w:rsidRDefault="00A42B1E" w:rsidP="008A76E3">
      <w:pPr>
        <w:ind w:firstLine="1440"/>
      </w:pPr>
    </w:p>
    <w:p w:rsidR="00A42B1E" w:rsidRDefault="00A42B1E" w:rsidP="008A76E3">
      <w:pPr>
        <w:numPr>
          <w:ilvl w:val="0"/>
          <w:numId w:val="1"/>
        </w:numPr>
        <w:ind w:left="0" w:firstLine="1440"/>
      </w:pPr>
      <w:r w:rsidRPr="00237787">
        <w:t>Verizon also operates access tandem switches, which connect telephone carrier networks for the mutual exchange of long distance traffic among interexchange carriers (IXCs), local exchange carriers (LECs) and wireless carriers (WCs).</w:t>
      </w:r>
    </w:p>
    <w:p w:rsidR="00D833BA" w:rsidRDefault="00D833BA" w:rsidP="008A76E3">
      <w:pPr>
        <w:ind w:firstLine="1440"/>
      </w:pPr>
    </w:p>
    <w:p w:rsidR="00D833BA" w:rsidRDefault="00D833BA" w:rsidP="008A76E3">
      <w:pPr>
        <w:numPr>
          <w:ilvl w:val="0"/>
          <w:numId w:val="1"/>
        </w:numPr>
        <w:ind w:left="0" w:firstLine="1440"/>
      </w:pPr>
      <w:r w:rsidRPr="00237787">
        <w:t>An access tandem switch allows long distance traffic to be routed from IXCs to other carriers’ local end users and from those end users to IXCs.</w:t>
      </w:r>
    </w:p>
    <w:p w:rsidR="00D833BA" w:rsidRDefault="00D833BA" w:rsidP="008A76E3">
      <w:pPr>
        <w:ind w:firstLine="1440"/>
      </w:pPr>
    </w:p>
    <w:p w:rsidR="00D833BA" w:rsidRDefault="00D833BA" w:rsidP="008A76E3">
      <w:pPr>
        <w:numPr>
          <w:ilvl w:val="0"/>
          <w:numId w:val="1"/>
        </w:numPr>
        <w:ind w:left="0" w:firstLine="1440"/>
      </w:pPr>
      <w:r w:rsidRPr="00237787">
        <w:t>Only telephone carrier networks directly connect to a tandem switch; end-user customers do not.</w:t>
      </w:r>
    </w:p>
    <w:p w:rsidR="00D833BA" w:rsidRDefault="00D833BA" w:rsidP="008A76E3">
      <w:pPr>
        <w:ind w:firstLine="1440"/>
      </w:pPr>
    </w:p>
    <w:p w:rsidR="00D833BA" w:rsidRDefault="00D14F9F" w:rsidP="008A76E3">
      <w:pPr>
        <w:numPr>
          <w:ilvl w:val="0"/>
          <w:numId w:val="1"/>
        </w:numPr>
        <w:ind w:left="0" w:firstLine="1440"/>
      </w:pPr>
      <w:r>
        <w:lastRenderedPageBreak/>
        <w:t>XO is a</w:t>
      </w:r>
      <w:r w:rsidR="00D833BA" w:rsidRPr="00237787">
        <w:t xml:space="preserve"> com</w:t>
      </w:r>
      <w:r>
        <w:t>petitive local exchange carrier</w:t>
      </w:r>
      <w:r w:rsidR="00D833BA" w:rsidRPr="00237787">
        <w:t xml:space="preserve"> (CLEC) also serving customers in areas of Pennsylvania.</w:t>
      </w:r>
    </w:p>
    <w:p w:rsidR="00D14F9F" w:rsidRDefault="00D14F9F" w:rsidP="008A76E3">
      <w:pPr>
        <w:ind w:firstLine="1440"/>
      </w:pPr>
    </w:p>
    <w:p w:rsidR="00D14F9F" w:rsidRDefault="00D14F9F" w:rsidP="008A76E3">
      <w:pPr>
        <w:numPr>
          <w:ilvl w:val="0"/>
          <w:numId w:val="1"/>
        </w:numPr>
        <w:ind w:left="0" w:firstLine="1440"/>
      </w:pPr>
      <w:r w:rsidRPr="00237787">
        <w:t xml:space="preserve">To allow its local customers to send and receive long distance calls, </w:t>
      </w:r>
      <w:r>
        <w:t>XO’s</w:t>
      </w:r>
      <w:r w:rsidRPr="00237787">
        <w:t xml:space="preserve"> network must be connected in some fashion to the networks of IXCs.</w:t>
      </w:r>
    </w:p>
    <w:p w:rsidR="00D14F9F" w:rsidRDefault="00D14F9F" w:rsidP="008A76E3">
      <w:pPr>
        <w:ind w:firstLine="1440"/>
      </w:pPr>
    </w:p>
    <w:p w:rsidR="00D14F9F" w:rsidRDefault="00D14F9F" w:rsidP="008A76E3">
      <w:pPr>
        <w:numPr>
          <w:ilvl w:val="0"/>
          <w:numId w:val="1"/>
        </w:numPr>
        <w:ind w:left="0" w:firstLine="1440"/>
      </w:pPr>
      <w:r w:rsidRPr="00237787">
        <w:t xml:space="preserve">While such traffic exchange could be accomplished by directly connecting </w:t>
      </w:r>
      <w:r>
        <w:t>X</w:t>
      </w:r>
      <w:r w:rsidRPr="00237787">
        <w:t>O</w:t>
      </w:r>
      <w:r>
        <w:t>’</w:t>
      </w:r>
      <w:r w:rsidRPr="00237787">
        <w:t xml:space="preserve">s network to each IXC, </w:t>
      </w:r>
      <w:r>
        <w:t>X</w:t>
      </w:r>
      <w:r w:rsidRPr="00237787">
        <w:t>O</w:t>
      </w:r>
      <w:r>
        <w:t xml:space="preserve"> </w:t>
      </w:r>
      <w:r w:rsidRPr="00237787">
        <w:t>instead exchanges traffic with IXCs through Verizon’s access tandems.</w:t>
      </w:r>
    </w:p>
    <w:p w:rsidR="00D14F9F" w:rsidRDefault="00D14F9F" w:rsidP="008A76E3">
      <w:pPr>
        <w:ind w:firstLine="1440"/>
      </w:pPr>
    </w:p>
    <w:p w:rsidR="00D14F9F" w:rsidRDefault="00826365" w:rsidP="008A76E3">
      <w:pPr>
        <w:numPr>
          <w:ilvl w:val="0"/>
          <w:numId w:val="1"/>
        </w:numPr>
        <w:ind w:left="0" w:firstLine="1440"/>
      </w:pPr>
      <w:r w:rsidRPr="00237787">
        <w:t xml:space="preserve">ATC Trunks are used by </w:t>
      </w:r>
      <w:r>
        <w:t>XO</w:t>
      </w:r>
      <w:r w:rsidRPr="00237787">
        <w:t xml:space="preserve"> to provide interstate and intrastate switched access services to IXCs in conjunction with Verizon. In this arrangement, Verizon provides transport from the IXC’s premises to the access tandem, and tandem switching, while </w:t>
      </w:r>
      <w:r>
        <w:t>X</w:t>
      </w:r>
      <w:r w:rsidRPr="00237787">
        <w:t>O provides transport from the access tandem to the local switch (or “end office”), and local switching.</w:t>
      </w:r>
    </w:p>
    <w:p w:rsidR="00826365" w:rsidRDefault="00826365" w:rsidP="008A76E3">
      <w:pPr>
        <w:ind w:firstLine="1440"/>
      </w:pPr>
    </w:p>
    <w:p w:rsidR="00826365" w:rsidRDefault="00826365" w:rsidP="008A76E3">
      <w:pPr>
        <w:numPr>
          <w:ilvl w:val="0"/>
          <w:numId w:val="1"/>
        </w:numPr>
        <w:ind w:left="0" w:firstLine="1440"/>
      </w:pPr>
      <w:r>
        <w:t>X</w:t>
      </w:r>
      <w:r w:rsidRPr="00237787">
        <w:t>O and Verizon have entered into interconnection agreements (ICAs) that govern various aspects of the relationship between them, including requirements of the federal Telecommunications Act for interconnection of networks and use of Verizon’s facilities.</w:t>
      </w:r>
    </w:p>
    <w:p w:rsidR="00826365" w:rsidRDefault="00826365" w:rsidP="008A76E3">
      <w:pPr>
        <w:ind w:firstLine="1440"/>
      </w:pPr>
    </w:p>
    <w:p w:rsidR="00E3368A" w:rsidRDefault="00E3368A" w:rsidP="008A76E3">
      <w:pPr>
        <w:numPr>
          <w:ilvl w:val="0"/>
          <w:numId w:val="1"/>
        </w:numPr>
        <w:ind w:left="0" w:firstLine="1440"/>
      </w:pPr>
      <w:r w:rsidRPr="00237787">
        <w:t xml:space="preserve">There </w:t>
      </w:r>
      <w:r w:rsidR="00C81076">
        <w:t>is a</w:t>
      </w:r>
      <w:r>
        <w:t>n</w:t>
      </w:r>
      <w:r w:rsidRPr="00237787">
        <w:t xml:space="preserve"> ICA</w:t>
      </w:r>
      <w:r>
        <w:t xml:space="preserve"> existing between XO and Verizon.</w:t>
      </w:r>
    </w:p>
    <w:p w:rsidR="00E3368A" w:rsidRDefault="00E3368A" w:rsidP="00E3368A">
      <w:pPr>
        <w:ind w:left="1440"/>
      </w:pPr>
    </w:p>
    <w:p w:rsidR="00E3368A" w:rsidRDefault="00C60668" w:rsidP="00E3368A">
      <w:pPr>
        <w:numPr>
          <w:ilvl w:val="0"/>
          <w:numId w:val="1"/>
        </w:numPr>
        <w:ind w:left="0" w:firstLine="1440"/>
      </w:pPr>
      <w:r>
        <w:t>The ICA</w:t>
      </w:r>
      <w:r w:rsidRPr="00237787">
        <w:t xml:space="preserve"> between Verizon and </w:t>
      </w:r>
      <w:r>
        <w:t>XO</w:t>
      </w:r>
      <w:r w:rsidRPr="00237787">
        <w:t>, among other things, allow</w:t>
      </w:r>
      <w:r w:rsidR="00C81076">
        <w:t xml:space="preserve">s </w:t>
      </w:r>
      <w:r>
        <w:t>X</w:t>
      </w:r>
      <w:r w:rsidRPr="00237787">
        <w:t>O to elect to subtend Verizon’s access tandem switch for the transmission and routing of long distance traffic.</w:t>
      </w:r>
    </w:p>
    <w:p w:rsidR="00C60668" w:rsidRDefault="00C60668" w:rsidP="00C60668">
      <w:pPr>
        <w:ind w:left="1440"/>
      </w:pPr>
    </w:p>
    <w:p w:rsidR="00C60668" w:rsidRDefault="008A76E3" w:rsidP="00E3368A">
      <w:pPr>
        <w:numPr>
          <w:ilvl w:val="0"/>
          <w:numId w:val="1"/>
        </w:numPr>
        <w:ind w:left="0" w:firstLine="1440"/>
      </w:pPr>
      <w:r w:rsidRPr="00237787">
        <w:t xml:space="preserve">By subtending Verizon’s tandem switch, </w:t>
      </w:r>
      <w:r>
        <w:t>X</w:t>
      </w:r>
      <w:r w:rsidRPr="00237787">
        <w:t>O can exchange traffic with any IXC that has its own direct connection to Verizon’s access tandem, instead of those parties directly connecting to each other.</w:t>
      </w:r>
    </w:p>
    <w:p w:rsidR="008A76E3" w:rsidRDefault="008A76E3" w:rsidP="008A76E3">
      <w:pPr>
        <w:ind w:left="1440"/>
      </w:pPr>
    </w:p>
    <w:p w:rsidR="008A76E3" w:rsidRDefault="008A76E3" w:rsidP="00E3368A">
      <w:pPr>
        <w:numPr>
          <w:ilvl w:val="0"/>
          <w:numId w:val="1"/>
        </w:numPr>
        <w:ind w:left="0" w:firstLine="1440"/>
      </w:pPr>
      <w:r w:rsidRPr="00237787">
        <w:lastRenderedPageBreak/>
        <w:t xml:space="preserve">Where </w:t>
      </w:r>
      <w:r>
        <w:t>X</w:t>
      </w:r>
      <w:r w:rsidRPr="00237787">
        <w:t xml:space="preserve">O elects to exchange traffic with IXCs by subtending a Verizon tandem instead of interconnecting directly with the IXCs, the interconnection agreements require </w:t>
      </w:r>
      <w:r>
        <w:t>X</w:t>
      </w:r>
      <w:r w:rsidRPr="00237787">
        <w:t xml:space="preserve">O to “establish Access Toll Connecting Trunks” (ATC Trunks) to provide a path for long distance traffic to flow between </w:t>
      </w:r>
      <w:r>
        <w:t>X</w:t>
      </w:r>
      <w:r w:rsidRPr="00237787">
        <w:t>O</w:t>
      </w:r>
      <w:r>
        <w:t>’</w:t>
      </w:r>
      <w:r w:rsidRPr="00237787">
        <w:t>s network and the Verizon tandem.</w:t>
      </w:r>
    </w:p>
    <w:p w:rsidR="008A76E3" w:rsidRDefault="008A76E3" w:rsidP="008A76E3">
      <w:pPr>
        <w:ind w:left="1440"/>
      </w:pPr>
    </w:p>
    <w:p w:rsidR="008A76E3" w:rsidRDefault="000B0554" w:rsidP="00E3368A">
      <w:pPr>
        <w:numPr>
          <w:ilvl w:val="0"/>
          <w:numId w:val="1"/>
        </w:numPr>
        <w:ind w:left="0" w:firstLine="1440"/>
      </w:pPr>
      <w:r>
        <w:t>Th</w:t>
      </w:r>
      <w:r w:rsidRPr="00237787">
        <w:t xml:space="preserve">e  ICA between Verizon and </w:t>
      </w:r>
      <w:r>
        <w:t>X</w:t>
      </w:r>
      <w:r w:rsidRPr="00237787">
        <w:t>O in Pennsylvania expressly require</w:t>
      </w:r>
      <w:r>
        <w:t>s</w:t>
      </w:r>
      <w:r w:rsidRPr="00237787">
        <w:t xml:space="preserve"> that </w:t>
      </w:r>
      <w:r w:rsidR="004A7F52">
        <w:t>XO</w:t>
      </w:r>
      <w:r w:rsidRPr="00237787">
        <w:t xml:space="preserve"> “shall establish” ATC Trunks “to enable” IXCs “to originate and terminate traffic to and from [</w:t>
      </w:r>
      <w:r>
        <w:t>XO’s</w:t>
      </w:r>
      <w:r w:rsidRPr="00237787">
        <w:t>] Customers.”  These ATC Trunks must “enable” IXCs “to originate and terminate traffic to and from [</w:t>
      </w:r>
      <w:r>
        <w:t>X</w:t>
      </w:r>
      <w:r w:rsidRPr="00237787">
        <w:t>O</w:t>
      </w:r>
      <w:r>
        <w:t>’s</w:t>
      </w:r>
      <w:r w:rsidRPr="00237787">
        <w:t>] Customers” and be “used solely for the transmission and routing of Exchange Access to allow [</w:t>
      </w:r>
      <w:r>
        <w:t>XO</w:t>
      </w:r>
      <w:r w:rsidRPr="00237787">
        <w:t>] Customers to connect to or be connected to the interexchange trunks of any Interexchange Carrier which is co</w:t>
      </w:r>
      <w:r>
        <w:t>nnected to a [Verizon] Tandem.”</w:t>
      </w:r>
      <w:r w:rsidRPr="00237787">
        <w:t xml:space="preserve">  The agreements further explain that the ATC Trunks must connect </w:t>
      </w:r>
      <w:r>
        <w:t>XO</w:t>
      </w:r>
      <w:r w:rsidR="004A7F52">
        <w:t xml:space="preserve">’s </w:t>
      </w:r>
      <w:r w:rsidRPr="00237787">
        <w:t>office to the Verizon tandem.</w:t>
      </w:r>
    </w:p>
    <w:p w:rsidR="000B0554" w:rsidRDefault="000B0554" w:rsidP="000B0554">
      <w:pPr>
        <w:ind w:left="1440"/>
      </w:pPr>
    </w:p>
    <w:p w:rsidR="000B0554" w:rsidRDefault="004A7F52" w:rsidP="00E3368A">
      <w:pPr>
        <w:numPr>
          <w:ilvl w:val="0"/>
          <w:numId w:val="1"/>
        </w:numPr>
        <w:ind w:left="0" w:firstLine="1440"/>
      </w:pPr>
      <w:r w:rsidRPr="00237787">
        <w:t xml:space="preserve">The ATC Trunks carry only long distance traffic destined to or coming from </w:t>
      </w:r>
      <w:r>
        <w:t>XO</w:t>
      </w:r>
      <w:r w:rsidRPr="00237787">
        <w:t>’</w:t>
      </w:r>
      <w:r>
        <w:t xml:space="preserve">s </w:t>
      </w:r>
      <w:r w:rsidRPr="00237787">
        <w:t>network to be exchanged with the IXCs.  They carry no local traffic.</w:t>
      </w:r>
    </w:p>
    <w:p w:rsidR="004A7F52" w:rsidRDefault="004A7F52" w:rsidP="004A7F52">
      <w:pPr>
        <w:ind w:left="1440"/>
      </w:pPr>
    </w:p>
    <w:p w:rsidR="004A7F52" w:rsidRDefault="00CB188E" w:rsidP="00E3368A">
      <w:pPr>
        <w:numPr>
          <w:ilvl w:val="0"/>
          <w:numId w:val="1"/>
        </w:numPr>
        <w:ind w:left="0" w:firstLine="1440"/>
      </w:pPr>
      <w:r w:rsidRPr="00237787">
        <w:t xml:space="preserve">The </w:t>
      </w:r>
      <w:r>
        <w:t>XO</w:t>
      </w:r>
      <w:r w:rsidRPr="00237787">
        <w:t>/Verizon ICA state</w:t>
      </w:r>
      <w:r>
        <w:t>s</w:t>
      </w:r>
      <w:r w:rsidRPr="00237787">
        <w:t xml:space="preserve"> that the ATC Trunks must be established “pursuant to applicable access Tariffs.”</w:t>
      </w:r>
    </w:p>
    <w:p w:rsidR="00CB188E" w:rsidRDefault="00CB188E" w:rsidP="00CB188E">
      <w:pPr>
        <w:ind w:left="1440"/>
      </w:pPr>
    </w:p>
    <w:p w:rsidR="00CB188E" w:rsidRDefault="00CB188E" w:rsidP="00E3368A">
      <w:pPr>
        <w:numPr>
          <w:ilvl w:val="0"/>
          <w:numId w:val="1"/>
        </w:numPr>
        <w:ind w:left="0" w:firstLine="1440"/>
      </w:pPr>
      <w:r w:rsidRPr="00237787">
        <w:t xml:space="preserve">The </w:t>
      </w:r>
      <w:r>
        <w:t>XO</w:t>
      </w:r>
      <w:r w:rsidRPr="00237787">
        <w:t>/Verizon ICA provides that [Verizon’s] rates and service for use by [</w:t>
      </w:r>
      <w:r>
        <w:t>XO</w:t>
      </w:r>
      <w:r w:rsidRPr="00237787">
        <w:t>] in the carriage of Toll Traffic shall be subject to [Verizon’s] tariffs for Exchange Access Service.”</w:t>
      </w:r>
    </w:p>
    <w:p w:rsidR="00CB188E" w:rsidRDefault="00CB188E" w:rsidP="00CB188E">
      <w:pPr>
        <w:ind w:left="1440"/>
      </w:pPr>
    </w:p>
    <w:p w:rsidR="00CB188E" w:rsidRDefault="0085438F" w:rsidP="00E3368A">
      <w:pPr>
        <w:numPr>
          <w:ilvl w:val="0"/>
          <w:numId w:val="1"/>
        </w:numPr>
        <w:ind w:left="0" w:firstLine="1440"/>
      </w:pPr>
      <w:r>
        <w:t>XO</w:t>
      </w:r>
      <w:r w:rsidRPr="00237787">
        <w:t xml:space="preserve"> may provision its ATC Trunks connecting its network to the tandem over its own facilities or may obtain dedicated transport for that purpose from Verizon.</w:t>
      </w:r>
    </w:p>
    <w:p w:rsidR="0085438F" w:rsidRDefault="0085438F" w:rsidP="0085438F">
      <w:pPr>
        <w:ind w:left="1440"/>
      </w:pPr>
    </w:p>
    <w:p w:rsidR="0085438F" w:rsidRDefault="00B9647B" w:rsidP="00E3368A">
      <w:pPr>
        <w:numPr>
          <w:ilvl w:val="0"/>
          <w:numId w:val="1"/>
        </w:numPr>
        <w:ind w:left="0" w:firstLine="1440"/>
      </w:pPr>
      <w:r w:rsidRPr="00237787">
        <w:t xml:space="preserve">For each of its ATC Trunk groups in Pennsylvania, </w:t>
      </w:r>
      <w:r>
        <w:t>XO</w:t>
      </w:r>
      <w:r w:rsidRPr="00237787">
        <w:t xml:space="preserve"> has self</w:t>
      </w:r>
      <w:r>
        <w:noBreakHyphen/>
      </w:r>
      <w:r w:rsidRPr="00237787">
        <w:t xml:space="preserve">provisioned the facility up to </w:t>
      </w:r>
      <w:r>
        <w:t>XO</w:t>
      </w:r>
      <w:r w:rsidRPr="00237787">
        <w:t>’</w:t>
      </w:r>
      <w:r>
        <w:t>s</w:t>
      </w:r>
      <w:r w:rsidRPr="00237787">
        <w:t xml:space="preserve"> collocation arrangement at the access tandem building and then leased the remainder of the trunk facility from the collocation to the access tandem from Verizon.</w:t>
      </w:r>
    </w:p>
    <w:p w:rsidR="00B9647B" w:rsidRDefault="002A1DC3" w:rsidP="00E3368A">
      <w:pPr>
        <w:numPr>
          <w:ilvl w:val="0"/>
          <w:numId w:val="1"/>
        </w:numPr>
        <w:ind w:left="0" w:firstLine="1440"/>
      </w:pPr>
      <w:r w:rsidRPr="00237787">
        <w:lastRenderedPageBreak/>
        <w:t>An ATC trunk does not connect directly to the access tandem switch.  It must connect to a switch port that connects the trunk to the tandem switch.</w:t>
      </w:r>
    </w:p>
    <w:p w:rsidR="002A1DC3" w:rsidRDefault="002A1DC3" w:rsidP="002A1DC3">
      <w:pPr>
        <w:ind w:left="1440"/>
      </w:pPr>
    </w:p>
    <w:p w:rsidR="002A1DC3" w:rsidRDefault="002A1DC3" w:rsidP="00E3368A">
      <w:pPr>
        <w:numPr>
          <w:ilvl w:val="0"/>
          <w:numId w:val="1"/>
        </w:numPr>
        <w:ind w:left="0" w:firstLine="1440"/>
      </w:pPr>
      <w:r w:rsidRPr="00237787">
        <w:t>The tandem consists of a switch matrix to establish a connection between an incoming trunk and all of the other trunks connected to the tandem, in order to be able to complete a call.</w:t>
      </w:r>
    </w:p>
    <w:p w:rsidR="002A1DC3" w:rsidRDefault="002A1DC3" w:rsidP="002A1DC3">
      <w:pPr>
        <w:ind w:left="1440"/>
      </w:pPr>
    </w:p>
    <w:p w:rsidR="002A1DC3" w:rsidRDefault="002A1DC3" w:rsidP="00E3368A">
      <w:pPr>
        <w:numPr>
          <w:ilvl w:val="0"/>
          <w:numId w:val="1"/>
        </w:numPr>
        <w:ind w:left="0" w:firstLine="1440"/>
      </w:pPr>
      <w:r w:rsidRPr="00237787">
        <w:t>Without the port, the trunk could not connect to the tandem and therefore would be useless because the traffic would not flow to or from the tandem.</w:t>
      </w:r>
    </w:p>
    <w:p w:rsidR="002A1DC3" w:rsidRDefault="002A1DC3" w:rsidP="002A1DC3">
      <w:pPr>
        <w:ind w:left="1440"/>
      </w:pPr>
    </w:p>
    <w:p w:rsidR="002A1DC3" w:rsidRDefault="002A1DC3" w:rsidP="00E3368A">
      <w:pPr>
        <w:numPr>
          <w:ilvl w:val="0"/>
          <w:numId w:val="1"/>
        </w:numPr>
        <w:ind w:left="0" w:firstLine="1440"/>
      </w:pPr>
      <w:r w:rsidRPr="00237787">
        <w:t xml:space="preserve">Verizon bills </w:t>
      </w:r>
      <w:r>
        <w:t>XO</w:t>
      </w:r>
      <w:r w:rsidRPr="00237787">
        <w:t xml:space="preserve"> the dedicated tandem trunk port rate set forth in its interstate or intrastate access tariffs for those ports.  For Verizon the charge is apportioned between the interstate and intrastate rates based on percentage interstate use as reported by </w:t>
      </w:r>
      <w:r>
        <w:t>XO</w:t>
      </w:r>
      <w:r w:rsidRPr="00237787">
        <w:t>.</w:t>
      </w:r>
    </w:p>
    <w:p w:rsidR="00130507" w:rsidRDefault="00130507" w:rsidP="00130507">
      <w:pPr>
        <w:ind w:left="1440"/>
      </w:pPr>
    </w:p>
    <w:p w:rsidR="00130507" w:rsidRDefault="00130507" w:rsidP="00E3368A">
      <w:pPr>
        <w:numPr>
          <w:ilvl w:val="0"/>
          <w:numId w:val="1"/>
        </w:numPr>
        <w:ind w:left="0" w:firstLine="1440"/>
      </w:pPr>
      <w:r w:rsidRPr="00237787">
        <w:t xml:space="preserve">Verizon bills </w:t>
      </w:r>
      <w:r>
        <w:t>XO</w:t>
      </w:r>
      <w:r w:rsidRPr="00237787">
        <w:t xml:space="preserve"> the dedicated tandem trunk port rate set forth in Verizon  Tariff Pa. P.U.C. No. 302 for intrastate traffic and Verizon Tariff F.C.C. No. 1, based on reported interstate jurisdictional use.</w:t>
      </w:r>
    </w:p>
    <w:p w:rsidR="00C01969" w:rsidRDefault="00C01969" w:rsidP="00C01969">
      <w:pPr>
        <w:ind w:left="1440"/>
      </w:pPr>
    </w:p>
    <w:p w:rsidR="00C01969" w:rsidRDefault="00C01969" w:rsidP="00E3368A">
      <w:pPr>
        <w:numPr>
          <w:ilvl w:val="0"/>
          <w:numId w:val="1"/>
        </w:numPr>
        <w:ind w:left="0" w:firstLine="1440"/>
      </w:pPr>
      <w:r w:rsidRPr="00237787">
        <w:t xml:space="preserve">The dispute in this case arose when Verizon notified </w:t>
      </w:r>
      <w:r>
        <w:t>XO</w:t>
      </w:r>
      <w:r w:rsidRPr="00237787">
        <w:t xml:space="preserve"> in 2007 that it would make an adjustment to its billing of “dedicated tandem trunk ports” associated with ATC Trunks.  Verizon’s notice stated that it had determined it had under-billed these charges previously, due to the erroneous application of a jurisdictional allocation factor, but that it would begin assessing them going forward and would impose a one-time charge to collect unbilled charges for the prior two years.</w:t>
      </w:r>
    </w:p>
    <w:p w:rsidR="00C01969" w:rsidRDefault="00C01969" w:rsidP="00C01969">
      <w:pPr>
        <w:ind w:left="1440"/>
      </w:pPr>
    </w:p>
    <w:p w:rsidR="00BC4DAF" w:rsidRDefault="00BC4DAF" w:rsidP="00E3368A">
      <w:pPr>
        <w:numPr>
          <w:ilvl w:val="0"/>
          <w:numId w:val="1"/>
        </w:numPr>
        <w:ind w:left="0" w:firstLine="1440"/>
      </w:pPr>
      <w:r>
        <w:t>XO</w:t>
      </w:r>
      <w:r w:rsidRPr="00237787">
        <w:t xml:space="preserve"> has ATC trunk groups in Pennsylvania</w:t>
      </w:r>
      <w:r w:rsidR="0052030F">
        <w:t>,</w:t>
      </w:r>
      <w:r w:rsidRPr="00237787">
        <w:t xml:space="preserve"> and the total disputed charges are approximately $</w:t>
      </w:r>
      <w:r w:rsidRPr="00C81076">
        <w:t>1,</w:t>
      </w:r>
      <w:r w:rsidR="00C81076" w:rsidRPr="00C81076">
        <w:t>284,107.64</w:t>
      </w:r>
      <w:r w:rsidRPr="00237787">
        <w:t xml:space="preserve"> as of </w:t>
      </w:r>
      <w:r w:rsidRPr="00C81076">
        <w:t>October</w:t>
      </w:r>
      <w:r w:rsidR="00C81076" w:rsidRPr="00C81076">
        <w:t xml:space="preserve"> </w:t>
      </w:r>
      <w:r w:rsidRPr="00C81076">
        <w:t>1</w:t>
      </w:r>
      <w:r w:rsidR="00C81076" w:rsidRPr="00C81076">
        <w:t>7</w:t>
      </w:r>
      <w:r w:rsidRPr="00C81076">
        <w:t>, 2008</w:t>
      </w:r>
      <w:r w:rsidR="005A204C">
        <w:t>,</w:t>
      </w:r>
      <w:r w:rsidRPr="00237787">
        <w:t xml:space="preserve"> (and have continued to accrue).</w:t>
      </w:r>
    </w:p>
    <w:p w:rsidR="000C0DC0" w:rsidRDefault="000C0DC0" w:rsidP="000C0DC0">
      <w:pPr>
        <w:ind w:left="1440"/>
      </w:pPr>
    </w:p>
    <w:p w:rsidR="000C0DC0" w:rsidRDefault="000C0DC0" w:rsidP="00E3368A">
      <w:pPr>
        <w:numPr>
          <w:ilvl w:val="0"/>
          <w:numId w:val="1"/>
        </w:numPr>
        <w:ind w:left="0" w:firstLine="1440"/>
      </w:pPr>
      <w:r w:rsidRPr="00237787">
        <w:t>The “dedicated tandem trunk port” is a rate</w:t>
      </w:r>
      <w:r w:rsidR="00403CDE">
        <w:t xml:space="preserve"> element specified in Verizon</w:t>
      </w:r>
      <w:r w:rsidRPr="00237787">
        <w:t>’s Tariff Pa. P.U.C. No. 3</w:t>
      </w:r>
      <w:r>
        <w:t>02, §§ 6.1.3(B)(3), 6.8.1(F)(5)</w:t>
      </w:r>
      <w:r w:rsidRPr="00237787">
        <w:t xml:space="preserve">.  </w:t>
      </w:r>
      <w:r>
        <w:t>T</w:t>
      </w:r>
      <w:r w:rsidRPr="00237787">
        <w:t>he</w:t>
      </w:r>
      <w:r>
        <w:t xml:space="preserve"> tariffed</w:t>
      </w:r>
      <w:r w:rsidRPr="00237787">
        <w:t xml:space="preserve"> rate element is $12.00 per voice grade trunk, and is assessed monthly.</w:t>
      </w:r>
    </w:p>
    <w:p w:rsidR="000C0DC0" w:rsidRDefault="00403CDE" w:rsidP="00E3368A">
      <w:pPr>
        <w:numPr>
          <w:ilvl w:val="0"/>
          <w:numId w:val="1"/>
        </w:numPr>
        <w:ind w:left="0" w:firstLine="1440"/>
      </w:pPr>
      <w:r w:rsidRPr="00237787">
        <w:lastRenderedPageBreak/>
        <w:t xml:space="preserve">The tariff provisions [Verizon’s Tariff Pa. P.U.C. No. 302, §§ 6.1.3(B)(3), 6.8.1(F)(5), were filed in compliance with Order Paragraph 3d of  the Commission’s Opinion and Order entered July 28, 2004, in </w:t>
      </w:r>
      <w:r w:rsidRPr="00237787">
        <w:rPr>
          <w:i/>
        </w:rPr>
        <w:t>AT&amp;T Communications of Pennsylvania, LLC v. Verizon North Inc. and Verizon Pennsylvania Inc.</w:t>
      </w:r>
      <w:r w:rsidRPr="00237787">
        <w:t>, Docket Numbers C-20027195, P-00930715, and P</w:t>
      </w:r>
      <w:r>
        <w:noBreakHyphen/>
      </w:r>
      <w:r w:rsidRPr="00237787">
        <w:t>00001854, which directed Verizon to align their intrastate switched access rate structures with the interstate structure.</w:t>
      </w:r>
    </w:p>
    <w:p w:rsidR="00222112" w:rsidRDefault="00222112" w:rsidP="00222112">
      <w:pPr>
        <w:ind w:left="1440"/>
      </w:pPr>
    </w:p>
    <w:p w:rsidR="00222112" w:rsidRDefault="00222112" w:rsidP="00E3368A">
      <w:pPr>
        <w:numPr>
          <w:ilvl w:val="0"/>
          <w:numId w:val="1"/>
        </w:numPr>
        <w:ind w:left="0" w:firstLine="1440"/>
      </w:pPr>
      <w:r w:rsidRPr="00237787">
        <w:t xml:space="preserve">Verizon’s dedicated tandem trunk port charges were introduced into the Verizon interstate tariffs in compliance with the FCC’s Access Reform Order, </w:t>
      </w:r>
      <w:r w:rsidRPr="00237787">
        <w:rPr>
          <w:i/>
        </w:rPr>
        <w:t>Access Charge Reform</w:t>
      </w:r>
      <w:r w:rsidRPr="00237787">
        <w:t xml:space="preserve">, CC </w:t>
      </w:r>
      <w:bookmarkStart w:id="0" w:name="_BA_Cite_92"/>
      <w:r w:rsidRPr="00237787">
        <w:t>Docket No. 96-262</w:t>
      </w:r>
      <w:bookmarkEnd w:id="0"/>
      <w:r w:rsidRPr="00237787">
        <w:t xml:space="preserve">, First Report and </w:t>
      </w:r>
      <w:bookmarkStart w:id="1" w:name="_BA_Cite_93"/>
      <w:r w:rsidRPr="00237787">
        <w:t>Order, 12 FCC Rcd 15982 (1997)</w:t>
      </w:r>
      <w:bookmarkEnd w:id="1"/>
      <w:r w:rsidRPr="00237787">
        <w:t>.</w:t>
      </w:r>
    </w:p>
    <w:p w:rsidR="00222112" w:rsidRDefault="00222112" w:rsidP="00222112">
      <w:pPr>
        <w:ind w:left="1440"/>
      </w:pPr>
    </w:p>
    <w:p w:rsidR="00222112" w:rsidRDefault="00222112" w:rsidP="00E3368A">
      <w:pPr>
        <w:numPr>
          <w:ilvl w:val="0"/>
          <w:numId w:val="1"/>
        </w:numPr>
        <w:ind w:left="0" w:firstLine="1440"/>
      </w:pPr>
      <w:r w:rsidRPr="00237787">
        <w:t>The FCC Access Reform Order required incumbent LECs to restructure their charges for switched access transport.  Among other things, the FCC required LECs to phase out the “residual interconnection charge” that had previously been part of the transport rate structure, and to establish a new “flat-rated charge to recover the costs of dedicated trunk ports on the serving wire center side of the tandem.”  12 FCC Rcd 15982 paras. 167, 174.</w:t>
      </w:r>
    </w:p>
    <w:p w:rsidR="00222112" w:rsidRDefault="00222112" w:rsidP="00222112">
      <w:pPr>
        <w:ind w:left="1440"/>
      </w:pPr>
    </w:p>
    <w:p w:rsidR="00222112" w:rsidRDefault="00222112" w:rsidP="00E3368A">
      <w:pPr>
        <w:numPr>
          <w:ilvl w:val="0"/>
          <w:numId w:val="1"/>
        </w:numPr>
        <w:ind w:left="0" w:firstLine="1440"/>
      </w:pPr>
      <w:r w:rsidRPr="00237787">
        <w:t>Every long-distance call that is routed through an access tandem switch must make use of two trunk ports: one for the connection between the IXC and the tandem switch, and one for the connection between the tandem switch and the end office (or local) switch.</w:t>
      </w:r>
    </w:p>
    <w:p w:rsidR="00222112" w:rsidRDefault="00222112" w:rsidP="00222112">
      <w:pPr>
        <w:ind w:left="1440"/>
      </w:pPr>
    </w:p>
    <w:p w:rsidR="00222112" w:rsidRDefault="002F423A" w:rsidP="00E3368A">
      <w:pPr>
        <w:numPr>
          <w:ilvl w:val="0"/>
          <w:numId w:val="1"/>
        </w:numPr>
        <w:ind w:left="0" w:firstLine="1440"/>
      </w:pPr>
      <w:r w:rsidRPr="00237787">
        <w:t>The FCC’s Access Reform Order consistently refers to the connection between the IXC and the tandem switch as the “serving wire center side” of the tandem, and the connection between the tandem switch and the end office (or local) switch as the “end office side” of the tandem.</w:t>
      </w:r>
    </w:p>
    <w:p w:rsidR="002F423A" w:rsidRDefault="002F423A" w:rsidP="002F423A">
      <w:pPr>
        <w:ind w:left="1440"/>
      </w:pPr>
    </w:p>
    <w:p w:rsidR="002F423A" w:rsidRDefault="002F423A" w:rsidP="00E3368A">
      <w:pPr>
        <w:numPr>
          <w:ilvl w:val="0"/>
          <w:numId w:val="1"/>
        </w:numPr>
        <w:ind w:left="0" w:firstLine="1440"/>
      </w:pPr>
      <w:r w:rsidRPr="00237787">
        <w:t>Under the transport rate structure adopted by the FCC in 1997, Verizon recovers the costs of dedicated trunk ports on the serving wire center side of the tandem through flat-rated monthly charges billed to the IXCs.</w:t>
      </w:r>
    </w:p>
    <w:p w:rsidR="002F423A" w:rsidRDefault="002F423A" w:rsidP="002F423A">
      <w:pPr>
        <w:ind w:left="1440"/>
      </w:pPr>
    </w:p>
    <w:p w:rsidR="002F423A" w:rsidRDefault="002F423A" w:rsidP="00E3368A">
      <w:pPr>
        <w:numPr>
          <w:ilvl w:val="0"/>
          <w:numId w:val="1"/>
        </w:numPr>
        <w:ind w:left="0" w:firstLine="1440"/>
      </w:pPr>
      <w:r w:rsidRPr="00237787">
        <w:lastRenderedPageBreak/>
        <w:t>For interexchange calls that originate or terminate at a Verizon end office, Verizon treats the trunk that connects the Verizon end office to the Verizon tandem as a common trunk that is not subject to a dedicated tandem trunk port charge.</w:t>
      </w:r>
    </w:p>
    <w:p w:rsidR="002F423A" w:rsidRDefault="002F423A" w:rsidP="002F423A">
      <w:pPr>
        <w:ind w:left="1440"/>
      </w:pPr>
    </w:p>
    <w:p w:rsidR="002F423A" w:rsidRDefault="002F423A" w:rsidP="00E3368A">
      <w:pPr>
        <w:numPr>
          <w:ilvl w:val="0"/>
          <w:numId w:val="1"/>
        </w:numPr>
        <w:ind w:left="0" w:firstLine="1440"/>
      </w:pPr>
      <w:r w:rsidRPr="00237787">
        <w:t>For interexchange calls that originate or terminate at the end office of an independent (non-Verizon) ILEC subtending a Verizon access tandem, Verizon treats the trunk that connects the independent ILEC end office to the Verizon tandem as a common trunk that is not subject to a dedicated tandem trunk port charge.</w:t>
      </w:r>
    </w:p>
    <w:p w:rsidR="002F423A" w:rsidRDefault="002F423A" w:rsidP="002F423A">
      <w:pPr>
        <w:ind w:left="1440"/>
      </w:pPr>
    </w:p>
    <w:p w:rsidR="002F423A" w:rsidRDefault="002F423A" w:rsidP="00E3368A">
      <w:pPr>
        <w:numPr>
          <w:ilvl w:val="0"/>
          <w:numId w:val="1"/>
        </w:numPr>
        <w:ind w:left="0" w:firstLine="1440"/>
      </w:pPr>
      <w:r w:rsidRPr="00237787">
        <w:t xml:space="preserve">For interexchange calls that originate or terminate at a </w:t>
      </w:r>
      <w:r w:rsidR="00BB0DFD">
        <w:t>XO</w:t>
      </w:r>
      <w:r w:rsidRPr="00237787">
        <w:t xml:space="preserve"> end office, Verizon treats the ATC Trunk as a dedicated trunk and has assessed dedicated tandem trunk port charges on such trunks.</w:t>
      </w:r>
    </w:p>
    <w:p w:rsidR="00BB0DFD" w:rsidRDefault="00BB0DFD" w:rsidP="00BB0DFD">
      <w:pPr>
        <w:ind w:left="1440"/>
      </w:pPr>
    </w:p>
    <w:p w:rsidR="00BB0DFD" w:rsidRDefault="00BB0DFD" w:rsidP="00E3368A">
      <w:pPr>
        <w:numPr>
          <w:ilvl w:val="0"/>
          <w:numId w:val="1"/>
        </w:numPr>
        <w:ind w:left="0" w:firstLine="1440"/>
      </w:pPr>
      <w:r w:rsidRPr="00237787">
        <w:t>Verizon’s tandem switching charge is billed as a uniform amount on all minutes of use regardless of whether the call originates or terminates at a Verizon end office, an independent ILEC end office, or a</w:t>
      </w:r>
      <w:r>
        <w:t>n</w:t>
      </w:r>
      <w:r w:rsidRPr="00237787">
        <w:t xml:space="preserve"> </w:t>
      </w:r>
      <w:r>
        <w:t>XO</w:t>
      </w:r>
      <w:r w:rsidRPr="00237787">
        <w:t xml:space="preserve"> end office.</w:t>
      </w:r>
    </w:p>
    <w:p w:rsidR="005A204C" w:rsidRDefault="005A204C" w:rsidP="005A204C">
      <w:pPr>
        <w:pStyle w:val="ListParagraph"/>
      </w:pPr>
    </w:p>
    <w:p w:rsidR="009210EA" w:rsidRPr="0066566D" w:rsidRDefault="009210EA" w:rsidP="009210EA">
      <w:pPr>
        <w:jc w:val="center"/>
      </w:pPr>
      <w:r>
        <w:rPr>
          <w:u w:val="single"/>
        </w:rPr>
        <w:t>DISCUSSION</w:t>
      </w:r>
    </w:p>
    <w:p w:rsidR="009210EA" w:rsidRDefault="009210EA" w:rsidP="009210EA"/>
    <w:p w:rsidR="009210EA" w:rsidRDefault="009210EA" w:rsidP="009210EA">
      <w:r>
        <w:tab/>
      </w:r>
      <w:r>
        <w:tab/>
        <w:t xml:space="preserve">As noted above this Commission reviewed ALJ Weismandel’s Initial Decision in the </w:t>
      </w:r>
      <w:r>
        <w:rPr>
          <w:i/>
        </w:rPr>
        <w:t>Choice One</w:t>
      </w:r>
      <w:r>
        <w:t xml:space="preserve"> case and affirmed it </w:t>
      </w:r>
      <w:r>
        <w:rPr>
          <w:i/>
        </w:rPr>
        <w:t>in toto</w:t>
      </w:r>
      <w:r>
        <w:t xml:space="preserve"> in its Opinion and Order, entered January 29, 2010, (Slip Op.).  I also emphasized above that the salient legal issues in this case are identical to those found in </w:t>
      </w:r>
      <w:r>
        <w:rPr>
          <w:i/>
        </w:rPr>
        <w:t>Choice One</w:t>
      </w:r>
      <w:r>
        <w:t xml:space="preserve">.  I, too, have reviewed both the I.D. and the O&amp;O.  I concluded that these cases are really exercises in semantics.  Understanding the parties’ positions was made more complicated by their use of the same words to describe different ideas, </w:t>
      </w:r>
      <w:r>
        <w:rPr>
          <w:i/>
        </w:rPr>
        <w:t>e.g.</w:t>
      </w:r>
      <w:r>
        <w:t xml:space="preserve"> customer, dedicated, serving.  Verizon viewed its position as imposing a charge on XO for a service Verizon believed that it render</w:t>
      </w:r>
      <w:r w:rsidR="00B24E25">
        <w:t>ed</w:t>
      </w:r>
      <w:r>
        <w:t xml:space="preserve"> to XO customers as end users.  XO viewed its position as Verizon’s failure to acknowledge that the service was being rendered to IXCs which were seeking to deliver toll traffic to OX end users.  Ultimately, XO, Choice One and CTC prevail because their interpretations were supported by the language in the statutes, regulations and orders of the Federal Communications Commission (FCC) and this Commission.  Given the impact of the </w:t>
      </w:r>
      <w:r>
        <w:lastRenderedPageBreak/>
        <w:t xml:space="preserve">Commission’s most </w:t>
      </w:r>
      <w:r w:rsidR="00B24E25">
        <w:t xml:space="preserve">recent </w:t>
      </w:r>
      <w:r>
        <w:t xml:space="preserve">decision in </w:t>
      </w:r>
      <w:r>
        <w:rPr>
          <w:i/>
        </w:rPr>
        <w:t>Choice One</w:t>
      </w:r>
      <w:r>
        <w:t>, I have determined that it is unnecessary to reiterate the legal discussion in the I.D.  I agree with it, but I find that it is more important to focus on the language in the Commission’s O&amp;O.  Accordingly, what follows are excerpts from the O&amp;O which are relevant to the legal questions at issue.  I hasten to add that any issue not discussed should be deemed denied.</w:t>
      </w:r>
    </w:p>
    <w:p w:rsidR="009210EA" w:rsidRDefault="009210EA" w:rsidP="009210EA"/>
    <w:p w:rsidR="009210EA" w:rsidRDefault="009210EA" w:rsidP="00330946">
      <w:r>
        <w:tab/>
      </w:r>
      <w:r>
        <w:tab/>
        <w:t>The Commission described the issues addressed in the I.D. as follows:</w:t>
      </w:r>
    </w:p>
    <w:p w:rsidR="009210EA" w:rsidRDefault="009210EA" w:rsidP="00330946">
      <w:pPr>
        <w:spacing w:line="240" w:lineRule="auto"/>
      </w:pPr>
    </w:p>
    <w:p w:rsidR="009210EA" w:rsidRPr="00AC5E81" w:rsidRDefault="009210EA" w:rsidP="00330946">
      <w:pPr>
        <w:spacing w:line="240" w:lineRule="auto"/>
        <w:ind w:left="1440" w:right="1440"/>
      </w:pPr>
      <w:r w:rsidRPr="00AC5E81">
        <w:tab/>
        <w:t>In his Initial Decision, the ALJ sustained One Communications’ Complaint and ordered Verizon to discontinue the imposition of ATC Trunk Port charges on One Communications upon the entry of a final order by the Commission in this proceeding.  The ALJ also directed Verizon, within sixty days of the entry of a final order, to: (1) reimburse One Communications for any and all, previously paid Access Toll Connecting Trunk Port charges; and (2) issue a credit to One Communications’ accounts for all of the assessed but unpaid ATC Trunk Port Charges.</w:t>
      </w:r>
    </w:p>
    <w:p w:rsidR="009210EA" w:rsidRPr="00AC5E81" w:rsidRDefault="009210EA" w:rsidP="00330946">
      <w:pPr>
        <w:spacing w:line="240" w:lineRule="auto"/>
        <w:ind w:left="1440" w:right="1440"/>
      </w:pPr>
    </w:p>
    <w:p w:rsidR="009210EA" w:rsidRPr="00AC5E81" w:rsidRDefault="009210EA" w:rsidP="009210EA">
      <w:pPr>
        <w:spacing w:line="240" w:lineRule="auto"/>
        <w:ind w:left="1440" w:right="1440"/>
        <w:jc w:val="center"/>
      </w:pPr>
      <w:r w:rsidRPr="00AC5E81">
        <w:t>* * *</w:t>
      </w:r>
    </w:p>
    <w:p w:rsidR="009210EA" w:rsidRPr="00AC5E81" w:rsidRDefault="009210EA" w:rsidP="009210EA">
      <w:pPr>
        <w:spacing w:line="240" w:lineRule="auto"/>
        <w:ind w:left="1440" w:right="1440"/>
      </w:pPr>
    </w:p>
    <w:p w:rsidR="00562394" w:rsidRDefault="009210EA" w:rsidP="00330946">
      <w:pPr>
        <w:spacing w:line="240" w:lineRule="auto"/>
        <w:ind w:left="1440" w:right="1440"/>
      </w:pPr>
      <w:r w:rsidRPr="00AC5E81">
        <w:tab/>
        <w:t xml:space="preserve">In support of his recommendation, the ALJ provided a detailed discussion of the federal rules and regulations under the federal Telecommunications Act, the FCC’s 1997 </w:t>
      </w:r>
      <w:r w:rsidRPr="00AC5E81">
        <w:rPr>
          <w:i/>
        </w:rPr>
        <w:t xml:space="preserve">Access Charge Reform </w:t>
      </w:r>
      <w:r w:rsidRPr="00AC5E81">
        <w:t>Order</w:t>
      </w:r>
      <w:r w:rsidR="009F0B03">
        <w:t xml:space="preserve"> </w:t>
      </w:r>
      <w:r w:rsidR="000605F0">
        <w:rPr>
          <w:rStyle w:val="FootnoteReference"/>
        </w:rPr>
        <w:footnoteReference w:customMarkFollows="1" w:id="1"/>
        <w:t>6</w:t>
      </w:r>
      <w:r w:rsidR="00141651" w:rsidRPr="00AC5E81">
        <w:t xml:space="preserve">in which the FCC directed LECs to structure their switched access service rates consistent with the cost causation principles, and the terms of Verizon’s own access tariffs.  </w:t>
      </w:r>
    </w:p>
    <w:p w:rsidR="00141651" w:rsidRPr="00AC5E81" w:rsidRDefault="00141651" w:rsidP="00330946">
      <w:pPr>
        <w:spacing w:line="240" w:lineRule="auto"/>
        <w:ind w:left="1440" w:right="1440"/>
      </w:pPr>
      <w:r w:rsidRPr="00AC5E81">
        <w:t>I.D. at 14-22.</w:t>
      </w:r>
    </w:p>
    <w:p w:rsidR="00141651" w:rsidRPr="00AC5E81" w:rsidRDefault="00141651" w:rsidP="00330946">
      <w:pPr>
        <w:spacing w:line="240" w:lineRule="auto"/>
        <w:ind w:left="1440" w:right="1440"/>
      </w:pPr>
    </w:p>
    <w:p w:rsidR="00141651" w:rsidRPr="00AC5E81" w:rsidRDefault="00141651" w:rsidP="00330946">
      <w:pPr>
        <w:spacing w:line="240" w:lineRule="auto"/>
        <w:ind w:left="1440" w:right="1440"/>
      </w:pPr>
      <w:r w:rsidRPr="00AC5E81">
        <w:tab/>
        <w:t>The primary issue in this proceeding involves Verizon’s application of the ATC Tandem Trunk Port charge, a $12.00 monthly switched access charge associated with ATC Trunks on One Communications network that subtend Verizon’s tandems</w:t>
      </w:r>
      <w:r>
        <w:t>.</w:t>
      </w:r>
      <w:r w:rsidR="004E322C">
        <w:rPr>
          <w:rStyle w:val="FootnoteReference"/>
        </w:rPr>
        <w:footnoteReference w:customMarkFollows="1" w:id="2"/>
        <w:t>7</w:t>
      </w:r>
      <w:r w:rsidRPr="008A59C0">
        <w:rPr>
          <w:b/>
        </w:rPr>
        <w:t xml:space="preserve"> </w:t>
      </w:r>
      <w:r w:rsidRPr="00AC5E81">
        <w:t xml:space="preserve"> The Parties have entered into Interconnection Agreements that govern various aspects of the relationship between them, including </w:t>
      </w:r>
      <w:r w:rsidRPr="00AC5E81">
        <w:lastRenderedPageBreak/>
        <w:t xml:space="preserve">requirements of the federal Telecommunications Act for interconnection of networks and use of Verizon facilities.  </w:t>
      </w:r>
    </w:p>
    <w:p w:rsidR="00141651" w:rsidRPr="00AC5E81" w:rsidRDefault="00141651" w:rsidP="00330946">
      <w:pPr>
        <w:spacing w:line="240" w:lineRule="auto"/>
        <w:ind w:left="1440" w:right="1440"/>
      </w:pPr>
    </w:p>
    <w:p w:rsidR="009210EA" w:rsidRPr="004C2436" w:rsidRDefault="00141651" w:rsidP="009210EA">
      <w:pPr>
        <w:spacing w:line="240" w:lineRule="auto"/>
        <w:ind w:left="1440" w:right="1440"/>
      </w:pPr>
      <w:r w:rsidRPr="00AC5E81">
        <w:tab/>
        <w:t xml:space="preserve">The ALJ noted that the Parties disagree as to whether Verizon is entitled to bill One Communications an ATC Tandem Trunk Port charge for connecting One Communications’ ATC trunks to the end office side of Verizon’s tandems.  The ALJ concluded that the ATC Tandem Trunk Port charge that Verizon has billed to One Communications is an element of Verizon’s switched access tariff.  The ALJ contended that because One Communications is not purchasing switched access service from Verizon, One Communications cannot be liable for the Dedicated Tandem Trunk Port charge, which appears only in the switched access section of Verizon’s tariffs.  I.D. at 19.  Furthermore, the ALJ concluded that the ILEC’s provision of dedicated facilities to CLECs for use as ATC trunks is an interconnection service, and not an access service and ILECs cannot unilaterally apply </w:t>
      </w:r>
      <w:r w:rsidRPr="00982AEC">
        <w:t>access charges to interconnection arrangements without</w:t>
      </w:r>
      <w:r>
        <w:t xml:space="preserve"> </w:t>
      </w:r>
      <w:r w:rsidRPr="00AC5E81">
        <w:t xml:space="preserve">violating Section </w:t>
      </w:r>
      <w:r w:rsidRPr="00E457D0">
        <w:t>251(c)(2) of TA-96.</w:t>
      </w:r>
      <w:r w:rsidR="000D3704" w:rsidRPr="00E457D0">
        <w:rPr>
          <w:rStyle w:val="FootnoteReference"/>
        </w:rPr>
        <w:footnoteReference w:customMarkFollows="1" w:id="3"/>
        <w:t>8</w:t>
      </w:r>
      <w:r w:rsidRPr="00E457D0">
        <w:t xml:space="preserve"> </w:t>
      </w:r>
      <w:r w:rsidRPr="00E457D0">
        <w:rPr>
          <w:i/>
        </w:rPr>
        <w:t>Id.</w:t>
      </w:r>
      <w:r w:rsidRPr="00E457D0">
        <w:t xml:space="preserve">  The ALJ opined that Verizon’s </w:t>
      </w:r>
      <w:r w:rsidRPr="00AC5E81">
        <w:t xml:space="preserve">argument that “dedicated” means that the ATC trunks only carry traffic to and from One Communications end users is wrong in light of the fact that the sole purpose of ATC trunks, obtained by interconnection between One Communications and Verizon, is to provide switched access service to IXCs.  Thus, all of the traffic that passes over the ATC trunks is all IXC traffic and the charges for the provisioning of this switched access service is placed on the IXCs in accordance with the FCC’s Access Reform Order.  Finally, the ALJ concludes that One Communications is not liable for Verizon’s Dedicated Tandem Trunk Port charge because Verizon’s tariffs’ own terms state that the dedicated tandem port element only applies to every activated Direct Trunked Transport trunk which terminates on the </w:t>
      </w:r>
      <w:r w:rsidRPr="00AC5E81">
        <w:rPr>
          <w:u w:val="single"/>
        </w:rPr>
        <w:t>serving wire center side</w:t>
      </w:r>
      <w:r w:rsidRPr="00AC5E81">
        <w:t xml:space="preserve"> of the access tandem</w:t>
      </w:r>
      <w:r w:rsidRPr="00D70D35">
        <w:rPr>
          <w:b/>
        </w:rPr>
        <w:t>.</w:t>
      </w:r>
      <w:r w:rsidR="00843660">
        <w:rPr>
          <w:rStyle w:val="FootnoteReference"/>
        </w:rPr>
        <w:footnoteReference w:customMarkFollows="1" w:id="4"/>
        <w:t>9.</w:t>
      </w:r>
      <w:r>
        <w:t>I</w:t>
      </w:r>
      <w:r w:rsidR="00330946">
        <w:t xml:space="preserve">.D. at 18.  </w:t>
      </w:r>
      <w:r w:rsidR="009210EA" w:rsidRPr="00AC5E81">
        <w:t xml:space="preserve">The ALJ concluded that the Dedicated Tandem Trunk Port charge at issue here is for the port that terminates a trunk connecting One Communications to Verizon on the </w:t>
      </w:r>
      <w:r w:rsidR="009210EA" w:rsidRPr="00AC5E81">
        <w:rPr>
          <w:u w:val="single"/>
        </w:rPr>
        <w:t>end office side</w:t>
      </w:r>
      <w:r w:rsidR="009210EA" w:rsidRPr="00AC5E81">
        <w:t xml:space="preserve"> of the access tandem and that Verizon is not entitled to bill that charge to One Communications because it is not provided for </w:t>
      </w:r>
      <w:r w:rsidR="009210EA" w:rsidRPr="002D201D">
        <w:t xml:space="preserve">in the filed terms of its tariffs.  </w:t>
      </w:r>
      <w:r w:rsidR="009210EA" w:rsidRPr="004C2436">
        <w:t>I.D. at 19-20.</w:t>
      </w:r>
      <w:r w:rsidR="009210EA" w:rsidRPr="004C2436">
        <w:tab/>
      </w:r>
      <w:r w:rsidR="009210EA" w:rsidRPr="004C2436">
        <w:tab/>
      </w:r>
      <w:r w:rsidR="009210EA" w:rsidRPr="004C2436">
        <w:tab/>
      </w:r>
      <w:r w:rsidR="009210EA" w:rsidRPr="004C2436">
        <w:tab/>
      </w:r>
      <w:r w:rsidR="009210EA" w:rsidRPr="004C2436">
        <w:tab/>
      </w:r>
      <w:r w:rsidR="009210EA" w:rsidRPr="004C2436">
        <w:tab/>
      </w:r>
      <w:r w:rsidR="009210EA" w:rsidRPr="004C2436">
        <w:tab/>
      </w:r>
      <w:r w:rsidR="009210EA" w:rsidRPr="004C2436">
        <w:tab/>
      </w:r>
    </w:p>
    <w:p w:rsidR="009210EA" w:rsidRPr="004C2436" w:rsidRDefault="009210EA" w:rsidP="009210EA">
      <w:pPr>
        <w:spacing w:line="240" w:lineRule="auto"/>
        <w:ind w:left="1440" w:right="1440"/>
        <w:jc w:val="center"/>
      </w:pPr>
      <w:r>
        <w:t>* * *</w:t>
      </w:r>
    </w:p>
    <w:p w:rsidR="009210EA" w:rsidRPr="004C2436" w:rsidRDefault="009210EA" w:rsidP="009210EA">
      <w:pPr>
        <w:spacing w:line="240" w:lineRule="auto"/>
        <w:ind w:left="1440" w:right="1440"/>
        <w:rPr>
          <w:u w:val="single"/>
        </w:rPr>
      </w:pPr>
      <w:r w:rsidRPr="00F2693D">
        <w:rPr>
          <w:szCs w:val="26"/>
        </w:rPr>
        <w:lastRenderedPageBreak/>
        <w:tab/>
        <w:t>As noted above, the ALJ had concluded that ATC Trunks are considered “interconnection facilities,” which are not switched access services and thus, are not subject to switched access tariffs.  He concluded that the language in the ICAs entered into between One Communications and Verizon do not contain any express agreement that One Communications must pay switched access charges in general, or dedicated tandem trunk port charges in particular, with respect to ATC Trunks.  ID at 24-25, Conclusions</w:t>
      </w:r>
      <w:r>
        <w:rPr>
          <w:szCs w:val="26"/>
        </w:rPr>
        <w:t xml:space="preserve"> </w:t>
      </w:r>
      <w:r w:rsidRPr="00E457D0">
        <w:rPr>
          <w:szCs w:val="26"/>
        </w:rPr>
        <w:t>of Law Nos. 13, 14 and 15.</w:t>
      </w:r>
      <w:r w:rsidR="00562394">
        <w:rPr>
          <w:szCs w:val="26"/>
        </w:rPr>
        <w:t xml:space="preserve">  </w:t>
      </w:r>
      <w:r w:rsidR="00E27796">
        <w:rPr>
          <w:szCs w:val="26"/>
        </w:rPr>
        <w:t>(Emphasis in the o</w:t>
      </w:r>
      <w:r w:rsidR="00562394">
        <w:rPr>
          <w:szCs w:val="26"/>
        </w:rPr>
        <w:t>riginal</w:t>
      </w:r>
      <w:r w:rsidR="00E27796">
        <w:rPr>
          <w:szCs w:val="26"/>
        </w:rPr>
        <w:t>.</w:t>
      </w:r>
      <w:r w:rsidR="00562394">
        <w:rPr>
          <w:szCs w:val="26"/>
        </w:rPr>
        <w:t>)</w:t>
      </w:r>
      <w:r w:rsidRPr="00E457D0">
        <w:rPr>
          <w:szCs w:val="26"/>
        </w:rPr>
        <w:tab/>
      </w:r>
      <w:r w:rsidRPr="00E457D0">
        <w:rPr>
          <w:szCs w:val="26"/>
        </w:rPr>
        <w:tab/>
      </w:r>
      <w:r w:rsidRPr="00E457D0">
        <w:rPr>
          <w:szCs w:val="26"/>
        </w:rPr>
        <w:tab/>
      </w:r>
      <w:r w:rsidRPr="00E457D0">
        <w:rPr>
          <w:szCs w:val="26"/>
        </w:rPr>
        <w:tab/>
      </w:r>
    </w:p>
    <w:p w:rsidR="009210EA" w:rsidRPr="002D201D" w:rsidRDefault="009210EA" w:rsidP="009210EA">
      <w:pPr>
        <w:spacing w:line="240" w:lineRule="auto"/>
        <w:ind w:left="1440" w:right="1440"/>
      </w:pPr>
    </w:p>
    <w:p w:rsidR="009210EA" w:rsidRDefault="009210EA" w:rsidP="009210EA">
      <w:r>
        <w:tab/>
      </w:r>
      <w:r>
        <w:tab/>
        <w:t>With respect to the ALJ’s conclusions that the ICAs did not require Choice One and CTC to pay the Dedicated Tandem Trunk Port rate, this Commission ruled as follows:</w:t>
      </w:r>
    </w:p>
    <w:p w:rsidR="009210EA" w:rsidRDefault="009210EA" w:rsidP="009210EA"/>
    <w:p w:rsidR="009210EA" w:rsidRPr="00B650E9" w:rsidRDefault="009210EA" w:rsidP="00E06CAE">
      <w:pPr>
        <w:spacing w:line="240" w:lineRule="auto"/>
        <w:ind w:left="1440" w:right="1440"/>
        <w:rPr>
          <w:spacing w:val="-3"/>
        </w:rPr>
      </w:pPr>
      <w:r w:rsidRPr="00B650E9">
        <w:t xml:space="preserve">[W]e are not persuaded by Verizon’s arguments that </w:t>
      </w:r>
      <w:r w:rsidRPr="00B650E9">
        <w:rPr>
          <w:spacing w:val="-3"/>
        </w:rPr>
        <w:t>the ALJ erred in interpreting language contained in the relevant ICA in reaching his conclusion that the ICAs do not require One Communications to pay the Dedicated Tandem Trunk Port rate from Verizon’s Access Charge Tariffs.  We are of the opinion that the ALJ correctly interpreted the language in the ICAs in conjunction with the terms of Verizon’s access charge tariffs and the FCC’s implementing decisions.  As such, we also agree with the arguments set forth by One Communications’ in its Reply Exceptions, as discussed above.</w:t>
      </w:r>
    </w:p>
    <w:p w:rsidR="009210EA" w:rsidRPr="00B650E9" w:rsidRDefault="009210EA" w:rsidP="009210EA">
      <w:pPr>
        <w:spacing w:line="240" w:lineRule="auto"/>
        <w:ind w:left="1440" w:right="1440" w:firstLine="720"/>
        <w:rPr>
          <w:spacing w:val="-3"/>
        </w:rPr>
      </w:pPr>
    </w:p>
    <w:p w:rsidR="009210EA" w:rsidRPr="00B650E9" w:rsidRDefault="009210EA" w:rsidP="009210EA">
      <w:pPr>
        <w:spacing w:line="240" w:lineRule="auto"/>
        <w:ind w:left="1440" w:right="1440" w:firstLine="720"/>
        <w:rPr>
          <w:spacing w:val="-3"/>
        </w:rPr>
      </w:pPr>
      <w:r w:rsidRPr="00B650E9">
        <w:rPr>
          <w:spacing w:val="-3"/>
        </w:rPr>
        <w:t>First, it is important to note that we are of the same opinion of the ALJ and One Communication that the trunks at issue here are clearly shared and not dedicated.  As such, Verizon’s argument that that the party that terminates the trunk must pay a dedicated tandem trunk port charge is not applicable to trunk ports on the end-office side of the tandem because Verizon’s intrastate access tariff applies only to those trunks terminating on the serving wire center side of the access tandem.</w:t>
      </w:r>
    </w:p>
    <w:p w:rsidR="009210EA" w:rsidRPr="00B650E9" w:rsidRDefault="009210EA" w:rsidP="009210EA">
      <w:pPr>
        <w:spacing w:line="240" w:lineRule="auto"/>
        <w:ind w:left="1440" w:right="1440" w:firstLine="720"/>
        <w:rPr>
          <w:spacing w:val="-3"/>
        </w:rPr>
      </w:pPr>
    </w:p>
    <w:p w:rsidR="009210EA" w:rsidRDefault="009210EA" w:rsidP="009210EA">
      <w:pPr>
        <w:spacing w:line="240" w:lineRule="auto"/>
        <w:ind w:left="1440" w:right="1440" w:firstLine="720"/>
        <w:rPr>
          <w:spacing w:val="-3"/>
        </w:rPr>
      </w:pPr>
      <w:r w:rsidRPr="00B650E9">
        <w:rPr>
          <w:spacing w:val="-3"/>
        </w:rPr>
        <w:t xml:space="preserve">In addition, we note that although it is undisputed that the ICAs make it One Communications’ responsibility to establish ATC Trunks to provide interstate and intrastate switched access services to IXCs in conjunction with Verizon, the ICAs never refer to tandem trunk ports or obligate One Communications to pay for them.  They do, however, establish that the meet-point between One Communications and Verizon will be on the end office side of the Verizon tandem.  That meet-point effectively separates the responsibility between One Communications and Verizon and makes the tandem, including its trunk ports, Verizon’s responsibility.  Choice One Comm. R.B. at 10.  As such, Verizon is also responsible for billing the IXCs, not One Communications, for charges </w:t>
      </w:r>
      <w:r w:rsidRPr="00B650E9">
        <w:rPr>
          <w:spacing w:val="-3"/>
        </w:rPr>
        <w:lastRenderedPageBreak/>
        <w:t xml:space="preserve">associated with the tandem switch and tandem trunk ports, both of which are included in the tandem switching charge pursuant to federal directives.  </w:t>
      </w:r>
      <w:r w:rsidRPr="00B650E9">
        <w:rPr>
          <w:i/>
          <w:spacing w:val="-3"/>
        </w:rPr>
        <w:t xml:space="preserve">See </w:t>
      </w:r>
      <w:r w:rsidRPr="00B650E9">
        <w:rPr>
          <w:spacing w:val="-3"/>
        </w:rPr>
        <w:t xml:space="preserve">Initial Decision at 14-19 where the ALJ </w:t>
      </w:r>
    </w:p>
    <w:p w:rsidR="009210EA" w:rsidRDefault="009210EA" w:rsidP="009210EA">
      <w:pPr>
        <w:spacing w:line="240" w:lineRule="auto"/>
        <w:ind w:left="1440" w:right="1440"/>
        <w:rPr>
          <w:spacing w:val="-3"/>
        </w:rPr>
      </w:pPr>
      <w:r w:rsidRPr="00B650E9">
        <w:rPr>
          <w:spacing w:val="-3"/>
        </w:rPr>
        <w:t>properly analyzed the FCC’s rules,</w:t>
      </w:r>
      <w:r w:rsidR="00DA6FC2">
        <w:rPr>
          <w:rStyle w:val="FootnoteReference"/>
          <w:spacing w:val="-3"/>
        </w:rPr>
        <w:footnoteReference w:customMarkFollows="1" w:id="5"/>
        <w:t>25</w:t>
      </w:r>
      <w:r w:rsidRPr="00B650E9">
        <w:rPr>
          <w:spacing w:val="-3"/>
        </w:rPr>
        <w:t xml:space="preserve">which extended “meet point billing” arrangements to CLECs, and which clarified that in those </w:t>
      </w:r>
      <w:r w:rsidRPr="00D71797">
        <w:rPr>
          <w:spacing w:val="-3"/>
        </w:rPr>
        <w:t>instances where the IXCs obtain access services from both LECs, the</w:t>
      </w:r>
      <w:r w:rsidRPr="007A11C0">
        <w:rPr>
          <w:spacing w:val="-3"/>
          <w:u w:val="single"/>
        </w:rPr>
        <w:t xml:space="preserve"> </w:t>
      </w:r>
    </w:p>
    <w:p w:rsidR="009210EA" w:rsidRDefault="009210EA" w:rsidP="009210EA">
      <w:pPr>
        <w:spacing w:line="240" w:lineRule="auto"/>
        <w:ind w:left="1440" w:right="1440"/>
        <w:rPr>
          <w:spacing w:val="-3"/>
        </w:rPr>
      </w:pPr>
      <w:r w:rsidRPr="00B650E9">
        <w:rPr>
          <w:spacing w:val="-3"/>
        </w:rPr>
        <w:t xml:space="preserve">LEC with the end office provides end office switching and related functions, while the LEC with the tandem provides tandem </w:t>
      </w:r>
      <w:r w:rsidRPr="007A11C0">
        <w:rPr>
          <w:spacing w:val="-3"/>
        </w:rPr>
        <w:t>switching.</w:t>
      </w:r>
    </w:p>
    <w:p w:rsidR="009210EA" w:rsidRPr="00B650E9" w:rsidRDefault="009210EA" w:rsidP="009210EA">
      <w:pPr>
        <w:spacing w:line="240" w:lineRule="auto"/>
        <w:ind w:left="1440" w:right="1440" w:firstLine="720"/>
        <w:rPr>
          <w:spacing w:val="-3"/>
        </w:rPr>
      </w:pPr>
    </w:p>
    <w:p w:rsidR="009210EA" w:rsidRPr="00B650E9" w:rsidRDefault="009210EA" w:rsidP="00E06CAE">
      <w:pPr>
        <w:spacing w:line="240" w:lineRule="auto"/>
        <w:ind w:left="1440" w:right="1440" w:firstLine="720"/>
        <w:rPr>
          <w:spacing w:val="-3"/>
        </w:rPr>
      </w:pPr>
      <w:r w:rsidRPr="00B650E9">
        <w:rPr>
          <w:spacing w:val="-3"/>
        </w:rPr>
        <w:t xml:space="preserve">We also disagree with Verizon’s claim that the ALJ’s ruling essentially permits One Communications to use the trunk ports for free and that it should be compensated a reasonable price for ports under Pennsylvania law.  First of all, nothing in the record established the fact that </w:t>
      </w:r>
      <w:r w:rsidRPr="00B650E9">
        <w:rPr>
          <w:color w:val="000000"/>
        </w:rPr>
        <w:t>One Communications has ordered or purchased such service.  As such One Communications cannot be liable for such a rate element that appears in Verizon’s switched access tariff.  In addition, a</w:t>
      </w:r>
      <w:r w:rsidRPr="00B650E9">
        <w:rPr>
          <w:spacing w:val="-3"/>
        </w:rPr>
        <w:t xml:space="preserve">s One Communications accurately described in its Reply Brief at 5-9, consistent with the FCC’s 1997 </w:t>
      </w:r>
      <w:r w:rsidRPr="00B650E9">
        <w:rPr>
          <w:i/>
          <w:spacing w:val="-3"/>
        </w:rPr>
        <w:t>Access Reform Order</w:t>
      </w:r>
      <w:r w:rsidRPr="00B650E9">
        <w:rPr>
          <w:spacing w:val="-3"/>
        </w:rPr>
        <w:t xml:space="preserve">, the trunk ports at the center of this dispute are part of the tandem switch, and because these ports are part of the tandem switch, Verizon previously had filed tariffs in compliance with the </w:t>
      </w:r>
      <w:r w:rsidRPr="00B650E9">
        <w:rPr>
          <w:i/>
          <w:spacing w:val="-3"/>
        </w:rPr>
        <w:t xml:space="preserve">Access Reform Order </w:t>
      </w:r>
      <w:r w:rsidRPr="00B650E9">
        <w:rPr>
          <w:spacing w:val="-3"/>
        </w:rPr>
        <w:t>to recover the costs of the shared trunk ports from IXCs through the tandem switching charge.  Additionally, the FCC’s rules and Verizon access tariffs, which were filed to comply with those rules, only permit dedicated tandem trunk port charges to be applied to the dedicated trunks on the serving wire center side of the tandem, and not to the shared trunks on the end-office side.  This, however, does not mean that Verizon is providing anything for free in light of the fact, as noted, the record shows that Verizon actually does bill the IXCs for the end-office side port costs through the usage-sensitive tandem switching charge.</w:t>
      </w:r>
    </w:p>
    <w:p w:rsidR="009210EA" w:rsidRPr="00B650E9" w:rsidRDefault="009210EA" w:rsidP="009210EA">
      <w:pPr>
        <w:spacing w:line="240" w:lineRule="auto"/>
        <w:ind w:left="1440" w:right="1440" w:firstLine="720"/>
        <w:rPr>
          <w:spacing w:val="-3"/>
        </w:rPr>
      </w:pPr>
    </w:p>
    <w:p w:rsidR="009210EA" w:rsidRPr="00FB1114" w:rsidRDefault="009210EA" w:rsidP="00E06CAE">
      <w:pPr>
        <w:spacing w:line="240" w:lineRule="auto"/>
        <w:ind w:left="1440" w:right="1440" w:firstLine="720"/>
        <w:rPr>
          <w:spacing w:val="-3"/>
          <w:u w:val="single"/>
        </w:rPr>
      </w:pPr>
      <w:r w:rsidRPr="00B650E9">
        <w:rPr>
          <w:spacing w:val="-3"/>
        </w:rPr>
        <w:t xml:space="preserve">As noted by the ALJ in his analysis of the federal rulings, the FCC’s cost causation principles reflected in the </w:t>
      </w:r>
      <w:r w:rsidRPr="00FB1114">
        <w:rPr>
          <w:i/>
          <w:spacing w:val="-3"/>
        </w:rPr>
        <w:t>Access Reform Order</w:t>
      </w:r>
      <w:r w:rsidRPr="00FB1114">
        <w:rPr>
          <w:spacing w:val="-3"/>
        </w:rPr>
        <w:t xml:space="preserve"> required that non-traffic sensitive costs</w:t>
      </w:r>
      <w:r w:rsidRPr="00B650E9">
        <w:rPr>
          <w:spacing w:val="-3"/>
          <w:u w:val="single"/>
        </w:rPr>
        <w:t xml:space="preserve"> </w:t>
      </w:r>
      <w:r w:rsidRPr="00B650E9">
        <w:rPr>
          <w:spacing w:val="-3"/>
        </w:rPr>
        <w:t xml:space="preserve">incurred to service particular switched access customers, consisting of individual IXCs, be charged a flat monthly charge whereas the cost of shared facilities used to serve multiple switched access customers be recovered through usage-based rates.  The rate structure assures that those who make </w:t>
      </w:r>
      <w:r w:rsidRPr="00B650E9">
        <w:rPr>
          <w:spacing w:val="-3"/>
        </w:rPr>
        <w:lastRenderedPageBreak/>
        <w:t>the most use of the shared facilities pay an appropriate portion of the cost of those facilities.</w:t>
      </w:r>
    </w:p>
    <w:p w:rsidR="009210EA" w:rsidRPr="00B650E9" w:rsidRDefault="009210EA" w:rsidP="009210EA">
      <w:pPr>
        <w:spacing w:line="240" w:lineRule="auto"/>
        <w:ind w:left="1440" w:right="1440" w:firstLine="720"/>
        <w:rPr>
          <w:spacing w:val="-3"/>
        </w:rPr>
      </w:pPr>
    </w:p>
    <w:p w:rsidR="009210EA" w:rsidRPr="00006AD6" w:rsidRDefault="009210EA" w:rsidP="00E06CAE">
      <w:pPr>
        <w:spacing w:line="240" w:lineRule="auto"/>
        <w:ind w:left="1440" w:right="1440" w:firstLine="720"/>
        <w:rPr>
          <w:spacing w:val="-3"/>
          <w:u w:val="single"/>
        </w:rPr>
      </w:pPr>
      <w:r w:rsidRPr="00B650E9">
        <w:rPr>
          <w:spacing w:val="-3"/>
        </w:rPr>
        <w:t>It is important to note that we are wary of Verizon’s recent activity to begin billing One Communications on the end-office side of the tandem for the ATC Tandem Trunk Port.  Based on the record before us, it appears that in 1997, when Bell Atlantic (now Verizon) filed its compliance tariff with the FCC, it was well aware of what the serving wire center side was and that the port charges at issue in this proceeding on the end office side of the tandem should not be charged separately to those CLECs who have installed ATC trunks on the end office side.  One Comm. R.Exc. at 9; One Comm. R.B. at 14-15.  In addition, nothing in the ICAs leads us to believe otherwise.  The record shows that, when Verizon computed the demand base for its new port charge, it first determined the quantity of Switched Access transmission path pairs, which equate to the total number of DS0 equivalent trunks ordered by and provided from an IXC’s POP to Bell Atlantic (Verizon) access tandems.  One Comm. Cross Ex. 7 at 45.  The fact that Verizon has been charging IXCs in this manner for such a long period of time and that Verizon has never attempted to charge One Communications until only recently, leads us to believe that neither Verizon nor One Communications ever intended that Verizon should charge for ATC Tandem Trunk Ports.</w:t>
      </w:r>
      <w:r w:rsidR="007875D3" w:rsidRPr="00232365">
        <w:rPr>
          <w:rStyle w:val="FootnoteReference"/>
          <w:spacing w:val="-3"/>
          <w:sz w:val="20"/>
          <w:szCs w:val="20"/>
        </w:rPr>
        <w:footnoteReference w:customMarkFollows="1" w:id="6"/>
        <w:t>26</w:t>
      </w:r>
      <w:r w:rsidR="007875D3">
        <w:rPr>
          <w:rStyle w:val="FootnoteReference"/>
          <w:spacing w:val="-3"/>
        </w:rPr>
        <w:t>.</w:t>
      </w:r>
      <w:r w:rsidRPr="00B650E9">
        <w:rPr>
          <w:spacing w:val="-3"/>
        </w:rPr>
        <w:t xml:space="preserve">The amount of time in which </w:t>
      </w:r>
      <w:r w:rsidRPr="00FB1114">
        <w:rPr>
          <w:spacing w:val="-3"/>
        </w:rPr>
        <w:t>Verizon has not been applying a separate ATC Tandem Trunk</w:t>
      </w:r>
      <w:r w:rsidRPr="00B650E9">
        <w:rPr>
          <w:spacing w:val="-3"/>
          <w:u w:val="single"/>
        </w:rPr>
        <w:t xml:space="preserve"> </w:t>
      </w:r>
      <w:r w:rsidRPr="00B650E9">
        <w:rPr>
          <w:spacing w:val="-3"/>
        </w:rPr>
        <w:t xml:space="preserve">Port charge to One Communications </w:t>
      </w:r>
      <w:r w:rsidRPr="00B650E9">
        <w:rPr>
          <w:color w:val="000000"/>
        </w:rPr>
        <w:t xml:space="preserve">strongly suggests that the parties intended that Verizon would not bill this charge to One Communications under the terms of the ICAs.  A court will not re-write a contract in the guise of interpreting it.  </w:t>
      </w:r>
      <w:r w:rsidRPr="00B650E9">
        <w:rPr>
          <w:i/>
          <w:color w:val="000000"/>
        </w:rPr>
        <w:t>Kilgore v. Comm., Department of Transportation, Bureau of Driver Licensing</w:t>
      </w:r>
      <w:r w:rsidRPr="00B650E9">
        <w:rPr>
          <w:color w:val="000000"/>
        </w:rPr>
        <w:t>, 832 A.2d 549 (Pa. Cmwlth. 2003), appeal denied 579 Pa. 696, 856 A.2d 836 (2004).</w:t>
      </w:r>
    </w:p>
    <w:p w:rsidR="009210EA" w:rsidRPr="00B650E9" w:rsidRDefault="009210EA" w:rsidP="009210EA">
      <w:pPr>
        <w:spacing w:line="240" w:lineRule="auto"/>
        <w:ind w:left="1440" w:right="1440" w:firstLine="720"/>
        <w:rPr>
          <w:spacing w:val="-3"/>
        </w:rPr>
      </w:pPr>
    </w:p>
    <w:p w:rsidR="009210EA" w:rsidRDefault="009210EA" w:rsidP="009210EA">
      <w:pPr>
        <w:spacing w:line="240" w:lineRule="auto"/>
        <w:ind w:left="1440" w:right="1440"/>
        <w:rPr>
          <w:spacing w:val="-3"/>
        </w:rPr>
      </w:pPr>
      <w:r w:rsidRPr="00B650E9">
        <w:rPr>
          <w:spacing w:val="-3"/>
        </w:rPr>
        <w:tab/>
        <w:t xml:space="preserve">In light of the above, we conclude that the ALJ appropriately determined that applicable law does not authorize or permit Verizon to impose dedicated tandem trunk port charges on One Communications in connection with the joint provision of switched </w:t>
      </w:r>
      <w:r w:rsidRPr="00D71797">
        <w:rPr>
          <w:spacing w:val="-3"/>
        </w:rPr>
        <w:t>access services.  Verizon’s first Exception is, therefore, denied.</w:t>
      </w:r>
    </w:p>
    <w:p w:rsidR="009210EA" w:rsidRPr="00B650E9" w:rsidRDefault="009210EA" w:rsidP="009210EA"/>
    <w:p w:rsidR="009210EA" w:rsidRDefault="009210EA" w:rsidP="009210EA">
      <w:r>
        <w:rPr>
          <w:i/>
        </w:rPr>
        <w:t>Id</w:t>
      </w:r>
      <w:r>
        <w:t>. Slip Op. at 18-21.  I agree with the Commission’s reasoning, find it equally applicable to this case and adopt it as my own.</w:t>
      </w:r>
    </w:p>
    <w:p w:rsidR="009210EA" w:rsidRDefault="009210EA" w:rsidP="009210EA"/>
    <w:p w:rsidR="009210EA" w:rsidRDefault="009210EA" w:rsidP="007875D3">
      <w:r>
        <w:lastRenderedPageBreak/>
        <w:tab/>
      </w:r>
      <w:r>
        <w:tab/>
        <w:t>With respect to the ALJ’s conclusions that ATC Trunks fall within the class of “interconnection facilities” pursuant to Section 251(c)(2) of the Act, this Commission ruled as follows:</w:t>
      </w:r>
    </w:p>
    <w:p w:rsidR="009210EA" w:rsidRDefault="009210EA" w:rsidP="007875D3"/>
    <w:p w:rsidR="009210EA" w:rsidRPr="00596376" w:rsidRDefault="009210EA" w:rsidP="009210EA">
      <w:pPr>
        <w:pStyle w:val="FootnoteText"/>
        <w:tabs>
          <w:tab w:val="left" w:pos="720"/>
          <w:tab w:val="left" w:pos="1440"/>
          <w:tab w:val="left" w:pos="2160"/>
          <w:tab w:val="left" w:pos="2880"/>
          <w:tab w:val="left" w:leader="dot" w:pos="8640"/>
        </w:tabs>
        <w:ind w:left="1440" w:right="1440"/>
        <w:rPr>
          <w:rFonts w:ascii="Times New Roman" w:hAnsi="Times New Roman"/>
          <w:sz w:val="24"/>
          <w:szCs w:val="24"/>
        </w:rPr>
      </w:pPr>
      <w:r w:rsidRPr="00596376">
        <w:rPr>
          <w:rFonts w:ascii="Times New Roman" w:hAnsi="Times New Roman"/>
          <w:sz w:val="24"/>
          <w:szCs w:val="24"/>
        </w:rPr>
        <w:tab/>
        <w:t xml:space="preserve">Upon our review of the record, it does not appear that Verizon is providing the end office Trunk Port for free.  We agree with the ALJ and One Communications claim in its Reply Exceptions that Verizon recovers the cost of the end office side trunk port from IXCs as required by the FCC’s </w:t>
      </w:r>
      <w:r w:rsidRPr="00596376">
        <w:rPr>
          <w:rFonts w:ascii="Times New Roman" w:hAnsi="Times New Roman"/>
          <w:i/>
          <w:sz w:val="24"/>
          <w:szCs w:val="24"/>
        </w:rPr>
        <w:t>Access Reform Order</w:t>
      </w:r>
      <w:r w:rsidRPr="00596376">
        <w:rPr>
          <w:rFonts w:ascii="Times New Roman" w:hAnsi="Times New Roman"/>
          <w:sz w:val="24"/>
          <w:szCs w:val="24"/>
        </w:rPr>
        <w:t xml:space="preserve">.  As the ALJ correctly found, the FCC has authorized LECs to recover the cost of the switch port connecting the dedicated trunk between the LEC tandem and the IXCs via a flat monthly charge to the specific IXC to which that port is dedicated.  On the other hand, LECs recover the other costs of the tandem access switch through per minute of use tandem switching charges paid by all IXCs that send or receive access traffic through that tandem access switch.  Verizon collects these minutes of use and dedicated charges from the IXCs through its tariffed access charges.  I.D. at 15.  Also, as noted in the Direct Testimony of Gary J. Ball, the FCC’s </w:t>
      </w:r>
      <w:r w:rsidRPr="00596376">
        <w:rPr>
          <w:rFonts w:ascii="Times New Roman" w:hAnsi="Times New Roman"/>
          <w:i/>
          <w:sz w:val="24"/>
          <w:szCs w:val="24"/>
        </w:rPr>
        <w:t xml:space="preserve">Access Reform Order </w:t>
      </w:r>
      <w:r w:rsidRPr="00596376">
        <w:rPr>
          <w:rFonts w:ascii="Times New Roman" w:hAnsi="Times New Roman"/>
          <w:sz w:val="24"/>
          <w:szCs w:val="24"/>
        </w:rPr>
        <w:t xml:space="preserve">requires LECs, such as Verizon, to recover all tandem switching costs, except for the serving wire center side trunk port, through their single tandem switching rate element.  More specifically, Paragraph 168 of the FCC’s </w:t>
      </w:r>
      <w:r w:rsidRPr="00596376">
        <w:rPr>
          <w:rFonts w:ascii="Times New Roman" w:hAnsi="Times New Roman"/>
          <w:i/>
          <w:sz w:val="24"/>
          <w:szCs w:val="24"/>
        </w:rPr>
        <w:t>Access Reform Order,</w:t>
      </w:r>
      <w:r w:rsidRPr="00596376">
        <w:rPr>
          <w:rFonts w:ascii="Times New Roman" w:hAnsi="Times New Roman"/>
          <w:sz w:val="24"/>
          <w:szCs w:val="24"/>
        </w:rPr>
        <w:t xml:space="preserve"> states that “incumbent LECs will be required to provide tandem-switched transport under a three-part rate structure as follows:  (1) a per-minute charge for transport of traffic over common transport facilities between the LEC end office and the tandem office; (2) a per-minute tandem switching charge; and (3) a flat-rated charge for transport of traffic over dedicated transport facilities between the serving wire center and the tandem switching office.”  As such, the FCC’s </w:t>
      </w:r>
      <w:r w:rsidRPr="00596376">
        <w:rPr>
          <w:rFonts w:ascii="Times New Roman" w:hAnsi="Times New Roman"/>
          <w:i/>
          <w:sz w:val="24"/>
          <w:szCs w:val="24"/>
        </w:rPr>
        <w:t xml:space="preserve">Access Reform Order </w:t>
      </w:r>
      <w:r w:rsidRPr="00596376">
        <w:rPr>
          <w:rFonts w:ascii="Times New Roman" w:hAnsi="Times New Roman"/>
          <w:sz w:val="24"/>
          <w:szCs w:val="24"/>
        </w:rPr>
        <w:t xml:space="preserve">required Verizon to establish a flat-rated charge for transport of traffic over dedicated transport facilities between the serving wire center and the tandem switching office.  It is important to note that, as explained by the ALJ in his Initial Decision on page 21, Verizon’s Commission-approved Access Charge Tariffs are consistent with this requirement: </w:t>
      </w:r>
    </w:p>
    <w:p w:rsidR="009210EA" w:rsidRPr="00596376" w:rsidRDefault="009210EA" w:rsidP="009210EA">
      <w:pPr>
        <w:pStyle w:val="FootnoteText"/>
        <w:tabs>
          <w:tab w:val="left" w:pos="720"/>
          <w:tab w:val="left" w:pos="1440"/>
          <w:tab w:val="left" w:pos="2160"/>
          <w:tab w:val="left" w:pos="2880"/>
          <w:tab w:val="left" w:leader="dot" w:pos="8640"/>
        </w:tabs>
        <w:ind w:left="1440" w:right="1440"/>
        <w:rPr>
          <w:rFonts w:ascii="Times New Roman" w:hAnsi="Times New Roman"/>
          <w:sz w:val="24"/>
          <w:szCs w:val="24"/>
        </w:rPr>
      </w:pPr>
    </w:p>
    <w:p w:rsidR="009210EA" w:rsidRPr="00596376" w:rsidRDefault="009210EA" w:rsidP="009210EA">
      <w:pPr>
        <w:pStyle w:val="FootnoteText"/>
        <w:tabs>
          <w:tab w:val="left" w:pos="720"/>
          <w:tab w:val="left" w:pos="1440"/>
          <w:tab w:val="left" w:pos="2160"/>
          <w:tab w:val="left" w:pos="2880"/>
          <w:tab w:val="left" w:leader="dot" w:pos="8640"/>
        </w:tabs>
        <w:ind w:left="2160" w:right="2160"/>
        <w:rPr>
          <w:rFonts w:ascii="Times New Roman" w:hAnsi="Times New Roman"/>
          <w:sz w:val="24"/>
          <w:szCs w:val="24"/>
        </w:rPr>
      </w:pPr>
      <w:r w:rsidRPr="00596376">
        <w:rPr>
          <w:rFonts w:ascii="Times New Roman" w:hAnsi="Times New Roman"/>
          <w:sz w:val="24"/>
          <w:szCs w:val="24"/>
        </w:rPr>
        <w:t xml:space="preserve">Further buttressing the conclusion that One Communications is not liable for Verizon’s Dedicated Tandem Trunk Port charge is the fact that Verizon’s tariffs[’] own terms, the dedicated tandem port element only applies to every activated Direct Trunked Transport trunk which terminates on </w:t>
      </w:r>
      <w:r w:rsidRPr="00596376">
        <w:rPr>
          <w:rFonts w:ascii="Times New Roman" w:hAnsi="Times New Roman"/>
          <w:sz w:val="24"/>
          <w:szCs w:val="24"/>
        </w:rPr>
        <w:lastRenderedPageBreak/>
        <w:t xml:space="preserve">the </w:t>
      </w:r>
      <w:r w:rsidRPr="00596376">
        <w:rPr>
          <w:rFonts w:ascii="Times New Roman" w:hAnsi="Times New Roman"/>
          <w:sz w:val="24"/>
          <w:szCs w:val="24"/>
          <w:u w:val="single"/>
        </w:rPr>
        <w:t>serving</w:t>
      </w:r>
      <w:r w:rsidRPr="00596376">
        <w:rPr>
          <w:rFonts w:ascii="Times New Roman" w:hAnsi="Times New Roman"/>
          <w:sz w:val="24"/>
          <w:szCs w:val="24"/>
        </w:rPr>
        <w:t xml:space="preserve"> </w:t>
      </w:r>
      <w:r w:rsidRPr="00596376">
        <w:rPr>
          <w:rFonts w:ascii="Times New Roman" w:hAnsi="Times New Roman"/>
          <w:sz w:val="24"/>
          <w:szCs w:val="24"/>
          <w:u w:val="single"/>
        </w:rPr>
        <w:t>wire</w:t>
      </w:r>
      <w:r w:rsidRPr="00596376">
        <w:rPr>
          <w:rFonts w:ascii="Times New Roman" w:hAnsi="Times New Roman"/>
          <w:sz w:val="24"/>
          <w:szCs w:val="24"/>
        </w:rPr>
        <w:t xml:space="preserve"> </w:t>
      </w:r>
      <w:r w:rsidRPr="00596376">
        <w:rPr>
          <w:rFonts w:ascii="Times New Roman" w:hAnsi="Times New Roman"/>
          <w:sz w:val="24"/>
          <w:szCs w:val="24"/>
          <w:u w:val="single"/>
        </w:rPr>
        <w:t>center</w:t>
      </w:r>
      <w:r w:rsidRPr="00596376">
        <w:rPr>
          <w:rFonts w:ascii="Times New Roman" w:hAnsi="Times New Roman"/>
          <w:sz w:val="24"/>
          <w:szCs w:val="24"/>
        </w:rPr>
        <w:t xml:space="preserve"> </w:t>
      </w:r>
      <w:r w:rsidRPr="00596376">
        <w:rPr>
          <w:rFonts w:ascii="Times New Roman" w:hAnsi="Times New Roman"/>
          <w:sz w:val="24"/>
          <w:szCs w:val="24"/>
          <w:u w:val="single"/>
        </w:rPr>
        <w:t>side</w:t>
      </w:r>
      <w:r w:rsidRPr="00596376">
        <w:rPr>
          <w:rFonts w:ascii="Times New Roman" w:hAnsi="Times New Roman"/>
          <w:sz w:val="24"/>
          <w:szCs w:val="24"/>
        </w:rPr>
        <w:t xml:space="preserve"> of the access tandem.  Verizon </w:t>
      </w:r>
      <w:r w:rsidR="00287FF5">
        <w:rPr>
          <w:rFonts w:ascii="Times New Roman" w:hAnsi="Times New Roman"/>
          <w:sz w:val="24"/>
          <w:szCs w:val="24"/>
        </w:rPr>
        <w:t xml:space="preserve">PA Tariff Pa. P.U.C. No. 302, </w:t>
      </w:r>
      <w:r w:rsidRPr="00596376">
        <w:rPr>
          <w:rFonts w:ascii="Times New Roman" w:hAnsi="Times New Roman"/>
          <w:sz w:val="24"/>
          <w:szCs w:val="24"/>
        </w:rPr>
        <w:t>§§6.1.3(B)(3), 6.8.1(F)(5); Verizon North Tariff Pa. P.U.C. No. 9, § 4.2.3(A)(1)</w:t>
      </w:r>
      <w:r w:rsidRPr="00596376">
        <w:rPr>
          <w:rFonts w:ascii="Times New Roman" w:hAnsi="Times New Roman"/>
          <w:sz w:val="24"/>
          <w:szCs w:val="24"/>
          <w:vertAlign w:val="superscript"/>
        </w:rPr>
        <w:t>3</w:t>
      </w:r>
      <w:r w:rsidRPr="00596376">
        <w:rPr>
          <w:rFonts w:ascii="Times New Roman" w:hAnsi="Times New Roman"/>
          <w:sz w:val="24"/>
          <w:szCs w:val="24"/>
        </w:rPr>
        <w:t xml:space="preserve">.  The port charge at issue here, however, is for the port that terminates a trunk connecting One Communications to Verizon on the </w:t>
      </w:r>
      <w:r w:rsidRPr="00596376">
        <w:rPr>
          <w:rFonts w:ascii="Times New Roman" w:hAnsi="Times New Roman"/>
          <w:sz w:val="24"/>
          <w:szCs w:val="24"/>
          <w:u w:val="single"/>
        </w:rPr>
        <w:t>end</w:t>
      </w:r>
      <w:r w:rsidRPr="00596376">
        <w:rPr>
          <w:rFonts w:ascii="Times New Roman" w:hAnsi="Times New Roman"/>
          <w:sz w:val="24"/>
          <w:szCs w:val="24"/>
        </w:rPr>
        <w:t xml:space="preserve"> </w:t>
      </w:r>
      <w:r w:rsidRPr="00596376">
        <w:rPr>
          <w:rFonts w:ascii="Times New Roman" w:hAnsi="Times New Roman"/>
          <w:sz w:val="24"/>
          <w:szCs w:val="24"/>
          <w:u w:val="single"/>
        </w:rPr>
        <w:t>office</w:t>
      </w:r>
      <w:r w:rsidRPr="00596376">
        <w:rPr>
          <w:rFonts w:ascii="Times New Roman" w:hAnsi="Times New Roman"/>
          <w:sz w:val="24"/>
          <w:szCs w:val="24"/>
        </w:rPr>
        <w:t xml:space="preserve"> </w:t>
      </w:r>
      <w:r w:rsidRPr="00596376">
        <w:rPr>
          <w:rFonts w:ascii="Times New Roman" w:hAnsi="Times New Roman"/>
          <w:sz w:val="24"/>
          <w:szCs w:val="24"/>
          <w:u w:val="single"/>
        </w:rPr>
        <w:t>side</w:t>
      </w:r>
      <w:r w:rsidRPr="00596376">
        <w:rPr>
          <w:rFonts w:ascii="Times New Roman" w:hAnsi="Times New Roman"/>
          <w:sz w:val="24"/>
          <w:szCs w:val="24"/>
        </w:rPr>
        <w:t xml:space="preserve"> of the access tandem.</w:t>
      </w:r>
    </w:p>
    <w:p w:rsidR="009210EA" w:rsidRPr="00596376" w:rsidRDefault="009210EA" w:rsidP="009210EA">
      <w:pPr>
        <w:pStyle w:val="FootnoteText"/>
        <w:tabs>
          <w:tab w:val="left" w:pos="720"/>
          <w:tab w:val="left" w:pos="1440"/>
          <w:tab w:val="left" w:pos="2160"/>
          <w:tab w:val="left" w:pos="2880"/>
          <w:tab w:val="left" w:leader="dot" w:pos="8640"/>
        </w:tabs>
        <w:ind w:left="2160" w:right="2160"/>
        <w:rPr>
          <w:rFonts w:ascii="Times New Roman" w:hAnsi="Times New Roman"/>
          <w:sz w:val="24"/>
          <w:szCs w:val="24"/>
        </w:rPr>
      </w:pPr>
      <w:r w:rsidRPr="00596376">
        <w:rPr>
          <w:rFonts w:ascii="Times New Roman" w:hAnsi="Times New Roman"/>
          <w:sz w:val="24"/>
          <w:szCs w:val="24"/>
        </w:rPr>
        <w:t>_______________________</w:t>
      </w:r>
    </w:p>
    <w:p w:rsidR="009210EA" w:rsidRPr="00596376" w:rsidRDefault="009210EA" w:rsidP="009210EA">
      <w:pPr>
        <w:pStyle w:val="FootnoteText"/>
        <w:tabs>
          <w:tab w:val="left" w:pos="720"/>
          <w:tab w:val="left" w:pos="1440"/>
          <w:tab w:val="left" w:pos="2160"/>
          <w:tab w:val="left" w:pos="2880"/>
          <w:tab w:val="left" w:leader="dot" w:pos="8640"/>
        </w:tabs>
        <w:ind w:left="2160" w:right="2160"/>
        <w:rPr>
          <w:rFonts w:ascii="Times New Roman" w:hAnsi="Times New Roman"/>
          <w:sz w:val="24"/>
          <w:szCs w:val="24"/>
        </w:rPr>
      </w:pPr>
      <w:r w:rsidRPr="00596376">
        <w:rPr>
          <w:rFonts w:ascii="Times New Roman" w:hAnsi="Times New Roman"/>
          <w:sz w:val="24"/>
          <w:szCs w:val="24"/>
          <w:vertAlign w:val="superscript"/>
        </w:rPr>
        <w:t>3</w:t>
      </w:r>
      <w:r w:rsidRPr="00596376">
        <w:rPr>
          <w:rFonts w:ascii="Times New Roman" w:hAnsi="Times New Roman"/>
          <w:sz w:val="24"/>
          <w:szCs w:val="24"/>
          <w:vertAlign w:val="superscript"/>
        </w:rPr>
        <w:tab/>
      </w:r>
      <w:r w:rsidRPr="00596376">
        <w:rPr>
          <w:rFonts w:ascii="Times New Roman" w:hAnsi="Times New Roman"/>
          <w:sz w:val="24"/>
          <w:szCs w:val="24"/>
        </w:rPr>
        <w:t>Verizon North’s tariff does not contain the words “serving wire center” in its description of the dedicated tandem trunk port charge.  However, as noted earlier, the Commission required both Verizon companies to bring their intrastate switched access rate structure into alignment with the interstate structure, and the FCC Access Reform Order expressly permits dedicated trunk port charges only for trunks terminating on the “serving wire center side” of an access tandem.  Therefore, Verizon North’s tariff must be construed as imposing such charges only to the extent authorized by the FCC.</w:t>
      </w:r>
    </w:p>
    <w:p w:rsidR="009210EA" w:rsidRPr="00596376" w:rsidRDefault="009210EA" w:rsidP="009210EA">
      <w:pPr>
        <w:pStyle w:val="FootnoteText"/>
        <w:tabs>
          <w:tab w:val="left" w:pos="720"/>
          <w:tab w:val="left" w:pos="1440"/>
          <w:tab w:val="left" w:pos="2160"/>
          <w:tab w:val="left" w:pos="2880"/>
          <w:tab w:val="left" w:leader="dot" w:pos="8640"/>
        </w:tabs>
        <w:ind w:left="1440" w:right="1440"/>
        <w:rPr>
          <w:rFonts w:ascii="Times New Roman" w:hAnsi="Times New Roman"/>
          <w:sz w:val="24"/>
          <w:szCs w:val="24"/>
        </w:rPr>
      </w:pPr>
    </w:p>
    <w:p w:rsidR="009210EA" w:rsidRDefault="009210EA" w:rsidP="009210EA">
      <w:pPr>
        <w:spacing w:line="240" w:lineRule="auto"/>
        <w:ind w:left="1440" w:right="1440"/>
      </w:pPr>
      <w:r>
        <w:tab/>
      </w:r>
      <w:r w:rsidRPr="00596376">
        <w:t xml:space="preserve">Finally, with regard to Verizon’s claim that the Commission’s July 21, 2006 Reconsideration Order in the </w:t>
      </w:r>
      <w:r w:rsidRPr="00596376">
        <w:rPr>
          <w:i/>
        </w:rPr>
        <w:t>Consolidated Arbitration Proceeding</w:t>
      </w:r>
      <w:r w:rsidRPr="00596376">
        <w:t xml:space="preserve"> determined that “after the CLEC chooses the technically feasible point to which it requests interconnection, any other transport required by the CLEC may be presumed to be for ‘non-interconnection’ purposes,” we note that our determination in this Opinion and Order is consistent with our language in the Reconsideration Order in light of the fact that we have already determined, as discussed above, that the monthly dedicated Trunk Port Charge is a non-interconnection element in that it is included in Verizon Access Charge tariffs and assessed to IXCs rather than to the CLECs.</w:t>
      </w:r>
    </w:p>
    <w:p w:rsidR="009210EA" w:rsidRPr="00596376" w:rsidRDefault="009210EA" w:rsidP="009210EA">
      <w:pPr>
        <w:spacing w:line="240" w:lineRule="auto"/>
        <w:ind w:left="1440" w:right="1440" w:firstLine="1440"/>
      </w:pPr>
    </w:p>
    <w:p w:rsidR="009210EA" w:rsidRPr="00596376" w:rsidRDefault="009210EA" w:rsidP="009210EA">
      <w:pPr>
        <w:spacing w:line="240" w:lineRule="auto"/>
        <w:ind w:left="1440" w:right="1440"/>
      </w:pPr>
      <w:r w:rsidRPr="00596376">
        <w:rPr>
          <w:spacing w:val="-3"/>
        </w:rPr>
        <w:tab/>
        <w:t>For the foregoing reasons, we do not find Verizon’s claims credible that One Communications is receiving ATC trunks for free.  As such, Verizon’s second Exception in this matter is rejected.</w:t>
      </w:r>
    </w:p>
    <w:p w:rsidR="009210EA" w:rsidRDefault="009210EA" w:rsidP="009210EA"/>
    <w:p w:rsidR="009210EA" w:rsidRDefault="009210EA" w:rsidP="009210EA">
      <w:r>
        <w:rPr>
          <w:i/>
        </w:rPr>
        <w:t>Id</w:t>
      </w:r>
      <w:r>
        <w:t xml:space="preserve">. Slip Op. at 25-27.  I agree with the Commission’s reasoning, </w:t>
      </w:r>
      <w:r w:rsidR="00232365">
        <w:t xml:space="preserve">and </w:t>
      </w:r>
      <w:r>
        <w:t>find it equally applicable to this case and adopt it as my own.</w:t>
      </w:r>
    </w:p>
    <w:p w:rsidR="00D71797" w:rsidRDefault="00D71797" w:rsidP="009210EA"/>
    <w:p w:rsidR="009210EA" w:rsidRDefault="009210EA" w:rsidP="009210EA">
      <w:r w:rsidRPr="00834539">
        <w:lastRenderedPageBreak/>
        <w:tab/>
      </w:r>
      <w:r w:rsidRPr="00834539">
        <w:tab/>
        <w:t>With respect to the ALJ’s conclusions that the FCC’s access rate restructure precludes Verizon from charging One Communications for a dedicated port from Verizon’s access charge tariffs., this Commission ruled as follows:</w:t>
      </w:r>
    </w:p>
    <w:p w:rsidR="009210EA" w:rsidRDefault="009210EA" w:rsidP="009210EA"/>
    <w:p w:rsidR="009210EA" w:rsidRPr="00834539" w:rsidRDefault="009210EA" w:rsidP="009210EA">
      <w:pPr>
        <w:spacing w:line="240" w:lineRule="auto"/>
        <w:ind w:left="1440" w:right="1440"/>
        <w:rPr>
          <w:bCs/>
        </w:rPr>
      </w:pPr>
      <w:r w:rsidRPr="00834539">
        <w:rPr>
          <w:spacing w:val="-3"/>
        </w:rPr>
        <w:tab/>
        <w:t xml:space="preserve">We are not persuaded by Verizon’s Exceptions and its interpretation of the FCC’s Regulations and </w:t>
      </w:r>
      <w:r w:rsidRPr="00834539">
        <w:rPr>
          <w:i/>
          <w:spacing w:val="-3"/>
        </w:rPr>
        <w:t>Access Reform Order</w:t>
      </w:r>
      <w:r w:rsidRPr="00834539">
        <w:rPr>
          <w:spacing w:val="-3"/>
        </w:rPr>
        <w:t xml:space="preserve"> when it argues: (1) </w:t>
      </w:r>
      <w:r w:rsidRPr="00834539">
        <w:t xml:space="preserve">that the </w:t>
      </w:r>
      <w:r w:rsidRPr="00834539">
        <w:rPr>
          <w:i/>
        </w:rPr>
        <w:t>dedicated</w:t>
      </w:r>
      <w:r w:rsidRPr="00834539">
        <w:t xml:space="preserve"> trunk port charge is not limited to IXCs; (2) </w:t>
      </w:r>
      <w:r w:rsidRPr="00834539">
        <w:rPr>
          <w:rFonts w:ascii="Times New (W1)" w:hAnsi="Times New (W1)"/>
        </w:rPr>
        <w:t xml:space="preserve">that the FCC does not limit the “serving wire center” side of the tandem only to facilities connecting IXC networks; and (3) that a CLEC’s switch is not an “end office.”  </w:t>
      </w:r>
      <w:r w:rsidRPr="00834539">
        <w:rPr>
          <w:spacing w:val="-3"/>
        </w:rPr>
        <w:t xml:space="preserve">We agree with One Communication’s arguments in its Reply Exceptions on this matter that Verizon has interpreted the FCC’s Regulations and </w:t>
      </w:r>
      <w:r w:rsidRPr="00834539">
        <w:rPr>
          <w:i/>
          <w:spacing w:val="-3"/>
        </w:rPr>
        <w:t>Access Reform Order</w:t>
      </w:r>
      <w:r w:rsidRPr="00834539">
        <w:rPr>
          <w:spacing w:val="-3"/>
        </w:rPr>
        <w:t xml:space="preserve"> out of context.</w:t>
      </w:r>
      <w:r w:rsidRPr="00834539">
        <w:rPr>
          <w:bCs/>
        </w:rPr>
        <w:t xml:space="preserve">  We are more inclined to accept the ALJ’s and One Communications interpretation that the fact that ATC trunks only carry IXC traffic is what makes them “dedicated.”  As such, we disagree with Verizon’s argument that “dedicated” means that the ATC trunks only carry traffic to and from One Communications’ end users.  Furthermore, the FCC has clearly required Verizon to recover the </w:t>
      </w:r>
      <w:r w:rsidRPr="00834539">
        <w:rPr>
          <w:bCs/>
          <w:i/>
        </w:rPr>
        <w:t>dedicated</w:t>
      </w:r>
      <w:r w:rsidRPr="00834539">
        <w:rPr>
          <w:bCs/>
        </w:rPr>
        <w:t xml:space="preserve"> trunk port costs via </w:t>
      </w:r>
      <w:r w:rsidRPr="00834539">
        <w:t xml:space="preserve">a flat-rated charge for transport of traffic over dedicated transport facilities between the serving wire center and the tandem switching office.”  In this regard we agree with the ALJ’s rationale discussed in detail on pages 13 through 23 </w:t>
      </w:r>
      <w:r w:rsidRPr="00834539">
        <w:rPr>
          <w:bCs/>
        </w:rPr>
        <w:t xml:space="preserve">that One Communications </w:t>
      </w:r>
      <w:r w:rsidRPr="00834539">
        <w:t>is not liable for any dedicated tandem trunk port charge</w:t>
      </w:r>
      <w:r w:rsidRPr="00834539">
        <w:rPr>
          <w:bCs/>
        </w:rPr>
        <w:t xml:space="preserve">.  </w:t>
      </w:r>
    </w:p>
    <w:p w:rsidR="009210EA" w:rsidRPr="00834539" w:rsidRDefault="009210EA" w:rsidP="009210EA">
      <w:pPr>
        <w:spacing w:line="240" w:lineRule="auto"/>
        <w:ind w:left="1440" w:right="1440"/>
        <w:rPr>
          <w:bCs/>
        </w:rPr>
      </w:pPr>
    </w:p>
    <w:p w:rsidR="009210EA" w:rsidRDefault="009210EA" w:rsidP="009210EA">
      <w:pPr>
        <w:spacing w:line="240" w:lineRule="auto"/>
        <w:ind w:left="1440" w:right="1440"/>
      </w:pPr>
      <w:r w:rsidRPr="00834539">
        <w:rPr>
          <w:bCs/>
        </w:rPr>
        <w:tab/>
      </w:r>
      <w:r w:rsidRPr="00834539">
        <w:rPr>
          <w:spacing w:val="-3"/>
        </w:rPr>
        <w:t xml:space="preserve">In light of our earlier conclusion that One Communication is not purchasing switched access services from Verizon we reject Verizon’s contention that One Communications must pay the ATC tandem ports charge in Verizon’s switched access charge tariffs.  Our reading of the federal law leads us to conclude that under the </w:t>
      </w:r>
      <w:r w:rsidRPr="00834539">
        <w:t xml:space="preserve">meet point billing arrangements, CLECs have the same rights, as independent LECs have to share trunks between a tandem and end office.  As such we </w:t>
      </w:r>
      <w:r w:rsidRPr="00834539">
        <w:rPr>
          <w:spacing w:val="-3"/>
        </w:rPr>
        <w:t>shall deny Verizon’s third Exception.</w:t>
      </w:r>
    </w:p>
    <w:p w:rsidR="009210EA" w:rsidRDefault="009210EA" w:rsidP="009210EA"/>
    <w:p w:rsidR="009210EA" w:rsidRDefault="009210EA" w:rsidP="009210EA">
      <w:r>
        <w:rPr>
          <w:i/>
        </w:rPr>
        <w:t>Id</w:t>
      </w:r>
      <w:r>
        <w:t>. Slip Op. at 29-30.  I agree with the Commission’s reasoning, find it equally applicable to this case and adopt it as my own.</w:t>
      </w:r>
    </w:p>
    <w:p w:rsidR="009210EA" w:rsidRDefault="009210EA" w:rsidP="009210EA"/>
    <w:p w:rsidR="00287FF5" w:rsidRDefault="009210EA" w:rsidP="009210EA">
      <w:r>
        <w:tab/>
      </w:r>
      <w:r>
        <w:tab/>
        <w:t xml:space="preserve">On April 18, 2008, XO Communications Services, Inc., filed its Complaint.  The Complaint alleged that the respondents were unlawfully imposing Dedicated Tandem Port charges for Meet Point Billing (MPB) trunks.  </w:t>
      </w:r>
    </w:p>
    <w:p w:rsidR="009210EA" w:rsidRDefault="009210EA" w:rsidP="009210EA">
      <w:r>
        <w:lastRenderedPageBreak/>
        <w:t>The Complaint requested the Commission:  1) find that respondents were violating their tariffs and breaching their interconnection agreements (ICA), 2) bar respondents from collecting on outstanding invoices, 3) require refunds for all payments made, 4) prohibit similar charges in the future, and 5) provide any other appropriate relief.</w:t>
      </w:r>
    </w:p>
    <w:p w:rsidR="009210EA" w:rsidRDefault="009210EA" w:rsidP="009210EA"/>
    <w:p w:rsidR="00287FF5" w:rsidRDefault="009210EA" w:rsidP="009210EA">
      <w:r>
        <w:tab/>
      </w:r>
      <w:r>
        <w:tab/>
        <w:t>Having reviewed the briefs and the Public Utility Code and the current ICA,</w:t>
      </w:r>
    </w:p>
    <w:p w:rsidR="009210EA" w:rsidRDefault="009210EA" w:rsidP="009210EA">
      <w:r>
        <w:t xml:space="preserve"> I have concluded that Verizon acted illegally by imposing Dedicated Tandem Port charges for Meet Point Billing (MPB) trunks on XO and any other CLEC which </w:t>
      </w:r>
      <w:r w:rsidRPr="00237787">
        <w:t>elect</w:t>
      </w:r>
      <w:r>
        <w:t>ed</w:t>
      </w:r>
      <w:r w:rsidRPr="00237787">
        <w:t xml:space="preserve"> to subtend Verizon’s access tandem switch for the transmission and routing of long distance traffic</w:t>
      </w:r>
      <w:r>
        <w:t>.  In accordance with Section 1312(a) of the Public Utility Code, I further find that XO (and any other similarly situated CLEC) is entitled to a refund with interest at the legal rate from the date each payment was made.  66 Pa. C.S. § 1312(a).</w:t>
      </w:r>
    </w:p>
    <w:p w:rsidR="009210EA" w:rsidRDefault="009210EA" w:rsidP="009210EA"/>
    <w:p w:rsidR="009210EA" w:rsidRPr="00E07CF6" w:rsidRDefault="009210EA" w:rsidP="009210EA">
      <w:r>
        <w:tab/>
      </w:r>
      <w:r>
        <w:tab/>
        <w:t xml:space="preserve">In 2008 this Commission issued two Opinions and Orders on the subject of intrastate switched access charges. The two cases were:  </w:t>
      </w:r>
      <w:r>
        <w:rPr>
          <w:i/>
        </w:rPr>
        <w:t>Verizon Pennsylvania Inc., Verizon North Inc., Bell Atlantic Communications, Inc. d/b/a Verizon Long Distance, Verizon Select Services, Inc., Verizon Global Networks, Inc., MCImetro Access Transmission Services, LLC d/b/a Verizon Access Transmission Services and MCI Communications Services, Inc. v. Penn Telecom, Inc</w:t>
      </w:r>
      <w:r>
        <w:t>., Opinion and Order, entered August 29, 2008 at Docket No. C-20066987 (Slip Op.) (</w:t>
      </w:r>
      <w:r>
        <w:rPr>
          <w:i/>
        </w:rPr>
        <w:t>PTI</w:t>
      </w:r>
      <w:r>
        <w:t xml:space="preserve">) and </w:t>
      </w:r>
      <w:r>
        <w:rPr>
          <w:i/>
        </w:rPr>
        <w:t>Verizon Pennsylvania Inc., Verizon North Inc., Bell Atlantic Communications, Inc. d/b/a Verizon Long Distance, Verizon Select Services, Inc., Verizon Global Networks, Inc., MCImetro Access Transmission Services, LLC d/b/a Verizon Access Transmission Services and MCI Communications Services, Inc. v. CTSI</w:t>
      </w:r>
      <w:r>
        <w:t>, Opinion and Order, entered August 29, 2008 at Docket No. C-20077332 (Slip Op.) (</w:t>
      </w:r>
      <w:r>
        <w:rPr>
          <w:i/>
        </w:rPr>
        <w:t>CTSI</w:t>
      </w:r>
      <w:r>
        <w:t xml:space="preserve">).  As part of the O&amp;Os, this Commission reviewed the appropriate format for refunding illegally collected intrastate switched access revenues.  The Commission mandated refunds pursuant to Section 1312(a).  </w:t>
      </w:r>
      <w:r>
        <w:rPr>
          <w:i/>
        </w:rPr>
        <w:t>Id</w:t>
      </w:r>
      <w:r>
        <w:t>.  66 Pa. C.S. § 1312(a).  Because the Dedicated Tandem Port charges for MPB are part of the Verizon tariff charges</w:t>
      </w:r>
      <w:r w:rsidR="00E06CAE">
        <w:t xml:space="preserve"> for</w:t>
      </w:r>
      <w:r>
        <w:t xml:space="preserve"> intrastate switched access, I find that the same format should be applied in this case.</w:t>
      </w:r>
    </w:p>
    <w:p w:rsidR="009210EA" w:rsidRDefault="009210EA" w:rsidP="009210EA"/>
    <w:p w:rsidR="009210EA" w:rsidRDefault="009210EA" w:rsidP="009210EA">
      <w:r>
        <w:lastRenderedPageBreak/>
        <w:tab/>
      </w:r>
      <w:r>
        <w:tab/>
        <w:t>Accordingly, I will recommend that, because the respondent failed to demonstrate the validity of its rates, Verizon is liable for a refund to XO and any other similarly situated CLEC.  Before defining the refund owing, I note that the statute specifies:</w:t>
      </w:r>
    </w:p>
    <w:p w:rsidR="009210EA" w:rsidRDefault="009210EA" w:rsidP="009210EA"/>
    <w:p w:rsidR="009210EA" w:rsidRPr="000649B8" w:rsidRDefault="009210EA" w:rsidP="009210EA">
      <w:pPr>
        <w:spacing w:line="240" w:lineRule="auto"/>
        <w:ind w:left="1440" w:right="1440"/>
      </w:pPr>
      <w:r>
        <w:t xml:space="preserve">  </w:t>
      </w:r>
      <w:r w:rsidRPr="000A7ECF">
        <w:rPr>
          <w:b/>
        </w:rPr>
        <w:t>(a)  General rule.—</w:t>
      </w:r>
      <w:r>
        <w:t xml:space="preserve">If, in any proceeding involving rates, the commission shall determine that any rate received by a public utility was unjust or unreasonable, . . .the commission shall have the power and authority to make an order requiring the public utility to refund the amount of any excess </w:t>
      </w:r>
      <w:r w:rsidRPr="00EC683F">
        <w:rPr>
          <w:u w:val="single"/>
        </w:rPr>
        <w:t>paid by any patron</w:t>
      </w:r>
      <w:r>
        <w:t xml:space="preserve">, in consequence of such unlawful collection, within four years prior to the date of the filing of the complaint, together with interest at the legal rate from the date of each such excessive payment. . . . </w:t>
      </w:r>
      <w:r w:rsidRPr="000649B8">
        <w:rPr>
          <w:u w:val="single"/>
        </w:rPr>
        <w:t>Any order of the commission awarding a refund shall be made for and on behalf</w:t>
      </w:r>
      <w:r>
        <w:rPr>
          <w:u w:val="single"/>
        </w:rPr>
        <w:t xml:space="preserve"> of all patrons subject to the same rate of the public utility</w:t>
      </w:r>
      <w:r>
        <w:t>.</w:t>
      </w:r>
    </w:p>
    <w:p w:rsidR="009210EA" w:rsidRDefault="009210EA" w:rsidP="009210EA"/>
    <w:p w:rsidR="009210EA" w:rsidRDefault="009210EA" w:rsidP="009210EA">
      <w:r>
        <w:rPr>
          <w:i/>
        </w:rPr>
        <w:t>Id</w:t>
      </w:r>
      <w:r>
        <w:t xml:space="preserve">.  (Bolding in the original.  Underlining added.)  My reading of the underlined portions of the statute led me to the conclusion that Verizon’s liability extends beyond XO in this case to all “patrons” including any other similarly situated CLEC which paid Verizon’s Dedicated Tandem Port charges for Meet Point Billing (MPB) trunks.  According to the record, the respondent issued initial invoices in August and September 2007 for these charges.  In addition,Verizon began in September 2007 back-billing XO for these services for a period two years prior to September 2007, </w:t>
      </w:r>
      <w:r>
        <w:rPr>
          <w:i/>
        </w:rPr>
        <w:t>i.e</w:t>
      </w:r>
      <w:r>
        <w:t xml:space="preserve">. 2005.  That year is less than four years prior to the filing of XO’s Complaint in April 2008.  As a result, the refund period shall begin with the any payments made by XO and any other similarly situated CLEC for back-billed service starting in 2005 and ending with any payments made up to the date of the Commission’s decision in this case.  In addition XO and any other similarly situated CLEC shall be entitled to interest at the legal rate from the date each payment was made.  66 Pa. C.S. § 1312(a).  </w:t>
      </w:r>
    </w:p>
    <w:p w:rsidR="009210EA" w:rsidRDefault="009210EA" w:rsidP="009210EA"/>
    <w:p w:rsidR="009210EA" w:rsidRPr="00237787" w:rsidRDefault="009210EA" w:rsidP="009210EA">
      <w:pPr>
        <w:tabs>
          <w:tab w:val="center" w:pos="4680"/>
        </w:tabs>
        <w:suppressAutoHyphens/>
        <w:jc w:val="center"/>
        <w:rPr>
          <w:spacing w:val="-3"/>
          <w:u w:val="single"/>
        </w:rPr>
      </w:pPr>
      <w:r w:rsidRPr="00237787">
        <w:rPr>
          <w:spacing w:val="-3"/>
          <w:u w:val="single"/>
        </w:rPr>
        <w:t>CONCLUSIONS OF LAW</w:t>
      </w:r>
    </w:p>
    <w:p w:rsidR="009210EA" w:rsidRDefault="009210EA" w:rsidP="009210EA">
      <w:pPr>
        <w:tabs>
          <w:tab w:val="center" w:pos="4680"/>
        </w:tabs>
        <w:suppressAutoHyphens/>
        <w:rPr>
          <w:spacing w:val="-3"/>
        </w:rPr>
      </w:pPr>
    </w:p>
    <w:p w:rsidR="009210EA" w:rsidRDefault="009210EA" w:rsidP="009210EA">
      <w:pPr>
        <w:numPr>
          <w:ilvl w:val="0"/>
          <w:numId w:val="3"/>
        </w:numPr>
        <w:tabs>
          <w:tab w:val="left" w:pos="0"/>
        </w:tabs>
        <w:suppressAutoHyphens/>
        <w:ind w:left="0" w:firstLine="1440"/>
        <w:rPr>
          <w:spacing w:val="-3"/>
        </w:rPr>
      </w:pPr>
      <w:r w:rsidRPr="00DB4A50">
        <w:rPr>
          <w:spacing w:val="-3"/>
        </w:rPr>
        <w:t>The Commission has jurisdiction over the parties to, and the subject matter of, this proceeding.</w:t>
      </w:r>
    </w:p>
    <w:p w:rsidR="009210EA" w:rsidRDefault="009210EA" w:rsidP="009210EA">
      <w:pPr>
        <w:tabs>
          <w:tab w:val="left" w:pos="0"/>
        </w:tabs>
        <w:suppressAutoHyphens/>
        <w:ind w:left="1440"/>
        <w:rPr>
          <w:spacing w:val="-3"/>
        </w:rPr>
      </w:pPr>
    </w:p>
    <w:p w:rsidR="009210EA" w:rsidRDefault="009210EA" w:rsidP="00F47D9B">
      <w:pPr>
        <w:numPr>
          <w:ilvl w:val="0"/>
          <w:numId w:val="3"/>
        </w:numPr>
        <w:suppressAutoHyphens/>
        <w:ind w:left="0" w:firstLine="1440"/>
        <w:rPr>
          <w:spacing w:val="-3"/>
        </w:rPr>
      </w:pPr>
      <w:r w:rsidRPr="00237787">
        <w:rPr>
          <w:spacing w:val="-3"/>
        </w:rPr>
        <w:lastRenderedPageBreak/>
        <w:t xml:space="preserve">Pursuant to 66 Pa.C.S. § 332(a), the burden of proof in this proceeding is upon </w:t>
      </w:r>
      <w:r>
        <w:rPr>
          <w:spacing w:val="-3"/>
        </w:rPr>
        <w:t>X</w:t>
      </w:r>
      <w:r w:rsidRPr="00237787">
        <w:rPr>
          <w:spacing w:val="-3"/>
        </w:rPr>
        <w:t>O.</w:t>
      </w:r>
    </w:p>
    <w:p w:rsidR="009210EA" w:rsidRDefault="009210EA" w:rsidP="00F47D9B">
      <w:pPr>
        <w:suppressAutoHyphens/>
        <w:ind w:left="1440"/>
        <w:rPr>
          <w:spacing w:val="-3"/>
        </w:rPr>
      </w:pPr>
    </w:p>
    <w:p w:rsidR="009210EA" w:rsidRDefault="009210EA" w:rsidP="00F47D9B">
      <w:pPr>
        <w:numPr>
          <w:ilvl w:val="0"/>
          <w:numId w:val="3"/>
        </w:numPr>
        <w:suppressAutoHyphens/>
        <w:ind w:left="0" w:firstLine="1440"/>
        <w:rPr>
          <w:spacing w:val="-3"/>
        </w:rPr>
      </w:pPr>
      <w:r w:rsidRPr="00237787">
        <w:rPr>
          <w:spacing w:val="-3"/>
        </w:rPr>
        <w:t xml:space="preserve">To establish a sufficient case and satisfy the burden of proof, </w:t>
      </w:r>
      <w:r>
        <w:rPr>
          <w:spacing w:val="-3"/>
        </w:rPr>
        <w:t>X</w:t>
      </w:r>
      <w:r w:rsidRPr="00237787">
        <w:rPr>
          <w:spacing w:val="-3"/>
        </w:rPr>
        <w:t>O must show that Verizon is responsible or accountable for the problem described in the Complaint.</w:t>
      </w:r>
    </w:p>
    <w:p w:rsidR="009210EA" w:rsidRDefault="009210EA" w:rsidP="009210EA">
      <w:pPr>
        <w:suppressAutoHyphens/>
        <w:ind w:left="1440"/>
        <w:rPr>
          <w:spacing w:val="-3"/>
        </w:rPr>
      </w:pPr>
    </w:p>
    <w:p w:rsidR="009210EA" w:rsidRDefault="009210EA" w:rsidP="009210EA">
      <w:pPr>
        <w:numPr>
          <w:ilvl w:val="0"/>
          <w:numId w:val="3"/>
        </w:numPr>
        <w:suppressAutoHyphens/>
        <w:ind w:left="0" w:firstLine="1440"/>
        <w:rPr>
          <w:spacing w:val="-3"/>
        </w:rPr>
      </w:pPr>
      <w:r>
        <w:t>A</w:t>
      </w:r>
      <w:r>
        <w:rPr>
          <w:spacing w:val="-3"/>
        </w:rPr>
        <w:t xml:space="preserve"> complainant must show that the named utility is responsible or accountable for the problem described in the Complaint in order to prevail.  </w:t>
      </w:r>
      <w:r>
        <w:rPr>
          <w:i/>
          <w:spacing w:val="-3"/>
        </w:rPr>
        <w:t xml:space="preserve">Patterson v. Bell Telephone Company of </w:t>
      </w:r>
      <w:smartTag w:uri="urn:schemas-microsoft-com:office:smarttags" w:element="State">
        <w:r>
          <w:rPr>
            <w:i/>
            <w:spacing w:val="-3"/>
          </w:rPr>
          <w:t>Pennsylvania</w:t>
        </w:r>
      </w:smartTag>
      <w:r>
        <w:rPr>
          <w:spacing w:val="-3"/>
        </w:rPr>
        <w:t xml:space="preserve">, 72 </w:t>
      </w:r>
      <w:smartTag w:uri="urn:schemas-microsoft-com:office:smarttags" w:element="State">
        <w:r>
          <w:rPr>
            <w:spacing w:val="-3"/>
          </w:rPr>
          <w:t>Pa.</w:t>
        </w:r>
      </w:smartTag>
      <w:r>
        <w:rPr>
          <w:spacing w:val="-3"/>
        </w:rPr>
        <w:t xml:space="preserve"> PUC 196 (1990); </w:t>
      </w:r>
      <w:r>
        <w:rPr>
          <w:i/>
          <w:spacing w:val="-3"/>
        </w:rPr>
        <w:t>Feinstein v. Philadelphia Suburban Water Company</w:t>
      </w:r>
      <w:r>
        <w:rPr>
          <w:spacing w:val="-3"/>
        </w:rPr>
        <w:t xml:space="preserve">, 50 </w:t>
      </w:r>
      <w:smartTag w:uri="urn:schemas-microsoft-com:office:smarttags" w:element="place">
        <w:smartTag w:uri="urn:schemas-microsoft-com:office:smarttags" w:element="State">
          <w:r>
            <w:rPr>
              <w:spacing w:val="-3"/>
            </w:rPr>
            <w:t>Pa.</w:t>
          </w:r>
        </w:smartTag>
      </w:smartTag>
      <w:r>
        <w:rPr>
          <w:spacing w:val="-3"/>
        </w:rPr>
        <w:t xml:space="preserve"> PUC 300 (1976).</w:t>
      </w:r>
    </w:p>
    <w:p w:rsidR="009210EA" w:rsidRDefault="009210EA" w:rsidP="009210EA">
      <w:pPr>
        <w:suppressAutoHyphens/>
        <w:ind w:left="1440"/>
        <w:rPr>
          <w:spacing w:val="-3"/>
        </w:rPr>
      </w:pPr>
    </w:p>
    <w:p w:rsidR="009210EA" w:rsidRDefault="009210EA" w:rsidP="009210EA">
      <w:pPr>
        <w:numPr>
          <w:ilvl w:val="0"/>
          <w:numId w:val="3"/>
        </w:numPr>
        <w:suppressAutoHyphens/>
        <w:ind w:left="0" w:firstLine="1440"/>
        <w:rPr>
          <w:spacing w:val="-3"/>
        </w:rPr>
      </w:pPr>
      <w:r w:rsidRPr="0054190A">
        <w:rPr>
          <w:spacing w:val="-3"/>
        </w:rPr>
        <w:t xml:space="preserve">The burden of proof must be carried by a preponderance of the evidence.  </w:t>
      </w:r>
      <w:r w:rsidRPr="0054190A">
        <w:rPr>
          <w:i/>
          <w:spacing w:val="-3"/>
        </w:rPr>
        <w:t>Samuel J. Lansberry, Inc. v. PA Public Utility Comm’n</w:t>
      </w:r>
      <w:r w:rsidRPr="0054190A">
        <w:rPr>
          <w:spacing w:val="-3"/>
        </w:rPr>
        <w:t xml:space="preserve">, 578 A.2d 600 (1990), </w:t>
      </w:r>
      <w:r w:rsidRPr="0054190A">
        <w:rPr>
          <w:i/>
          <w:spacing w:val="-3"/>
        </w:rPr>
        <w:t>alloc. den.</w:t>
      </w:r>
      <w:r w:rsidRPr="0054190A">
        <w:rPr>
          <w:spacing w:val="-3"/>
        </w:rPr>
        <w:t xml:space="preserve">, 602 A.2d 863 (1992).  That is, by presenting evidence more convincing, by even the smallest amount, than that presented by the other party.  </w:t>
      </w:r>
      <w:r w:rsidRPr="0054190A">
        <w:rPr>
          <w:i/>
          <w:spacing w:val="-3"/>
        </w:rPr>
        <w:t>Se-Ling Hosiery v. Mar</w:t>
      </w:r>
      <w:r w:rsidR="00B24E25">
        <w:rPr>
          <w:i/>
          <w:spacing w:val="-3"/>
        </w:rPr>
        <w:t>g</w:t>
      </w:r>
      <w:r w:rsidRPr="0054190A">
        <w:rPr>
          <w:i/>
          <w:spacing w:val="-3"/>
        </w:rPr>
        <w:t>ulies</w:t>
      </w:r>
      <w:r w:rsidRPr="0054190A">
        <w:rPr>
          <w:spacing w:val="-3"/>
        </w:rPr>
        <w:t>, 70 A.2d 854 (1950).</w:t>
      </w:r>
    </w:p>
    <w:p w:rsidR="009210EA" w:rsidRDefault="009210EA" w:rsidP="009210EA">
      <w:pPr>
        <w:suppressAutoHyphens/>
        <w:ind w:left="1440"/>
        <w:rPr>
          <w:spacing w:val="-3"/>
        </w:rPr>
      </w:pPr>
    </w:p>
    <w:p w:rsidR="009210EA" w:rsidRDefault="009210EA" w:rsidP="009210EA">
      <w:pPr>
        <w:numPr>
          <w:ilvl w:val="0"/>
          <w:numId w:val="3"/>
        </w:numPr>
        <w:suppressAutoHyphens/>
        <w:ind w:left="0" w:firstLine="1440"/>
        <w:rPr>
          <w:spacing w:val="-3"/>
        </w:rPr>
      </w:pPr>
      <w:r>
        <w:rPr>
          <w:spacing w:val="-3"/>
        </w:rPr>
        <w:t>A</w:t>
      </w:r>
      <w:r w:rsidRPr="00D14305">
        <w:rPr>
          <w:spacing w:val="-3"/>
        </w:rPr>
        <w:t xml:space="preserve">ny finding of fact necessary to support the Commission’s adjudication must be based upon substantial evidence.  </w:t>
      </w:r>
      <w:r w:rsidRPr="00EE3F06">
        <w:rPr>
          <w:i/>
          <w:spacing w:val="-3"/>
        </w:rPr>
        <w:t>Mill v. Comm’w., PA Public Utility Comm’n</w:t>
      </w:r>
      <w:r w:rsidRPr="00D14305">
        <w:rPr>
          <w:spacing w:val="-3"/>
        </w:rPr>
        <w:t xml:space="preserve">, 447 A.2d 1100 (1982); </w:t>
      </w:r>
      <w:r w:rsidRPr="00EE3F06">
        <w:rPr>
          <w:i/>
          <w:spacing w:val="-3"/>
        </w:rPr>
        <w:t>Edan Transportation Corp. v. PA Public Utility Comm’n</w:t>
      </w:r>
      <w:r w:rsidRPr="00D14305">
        <w:rPr>
          <w:spacing w:val="-3"/>
        </w:rPr>
        <w:t>, 623 A.2d 6 (1993), 2 Pa.</w:t>
      </w:r>
      <w:r>
        <w:rPr>
          <w:spacing w:val="-3"/>
        </w:rPr>
        <w:t xml:space="preserve"> </w:t>
      </w:r>
      <w:r w:rsidRPr="00D14305">
        <w:rPr>
          <w:spacing w:val="-3"/>
        </w:rPr>
        <w:t xml:space="preserve">C.S. §704.  More is required than a mere trace of evidence or a suspicion of the existence of a fact sought to be established.  </w:t>
      </w:r>
      <w:smartTag w:uri="urn:schemas-microsoft-com:office:smarttags" w:element="place">
        <w:smartTag w:uri="urn:schemas-microsoft-com:office:smarttags" w:element="City">
          <w:r w:rsidRPr="00EE3F06">
            <w:rPr>
              <w:i/>
              <w:spacing w:val="-3"/>
            </w:rPr>
            <w:t>Norfolk</w:t>
          </w:r>
        </w:smartTag>
      </w:smartTag>
      <w:r w:rsidRPr="00EE3F06">
        <w:rPr>
          <w:i/>
          <w:spacing w:val="-3"/>
        </w:rPr>
        <w:t xml:space="preserve"> and Western Ry. v. PA Public Utility Comm’n</w:t>
      </w:r>
      <w:r w:rsidRPr="00D14305">
        <w:rPr>
          <w:spacing w:val="-3"/>
        </w:rPr>
        <w:t xml:space="preserve">, 413 A.2d 1037 (1980); </w:t>
      </w:r>
      <w:r w:rsidRPr="00EE3F06">
        <w:rPr>
          <w:i/>
          <w:spacing w:val="-3"/>
        </w:rPr>
        <w:t>Erie Resistor Corp. v. Unemployment Compensation Bd. of Review</w:t>
      </w:r>
      <w:r w:rsidRPr="00D14305">
        <w:rPr>
          <w:spacing w:val="-3"/>
        </w:rPr>
        <w:t xml:space="preserve">, 166 A.2d 96 (1960); </w:t>
      </w:r>
      <w:r w:rsidRPr="00EE3F06">
        <w:rPr>
          <w:i/>
          <w:spacing w:val="-3"/>
        </w:rPr>
        <w:t xml:space="preserve">Murphy v. Commonwealth, Dep’t. of Public Welfare, </w:t>
      </w:r>
      <w:smartTag w:uri="urn:schemas-microsoft-com:office:smarttags" w:element="place">
        <w:smartTag w:uri="urn:schemas-microsoft-com:office:smarttags" w:element="PlaceName">
          <w:r w:rsidRPr="00EE3F06">
            <w:rPr>
              <w:i/>
              <w:spacing w:val="-3"/>
            </w:rPr>
            <w:t>White</w:t>
          </w:r>
        </w:smartTag>
        <w:r w:rsidRPr="00EE3F06">
          <w:rPr>
            <w:i/>
            <w:spacing w:val="-3"/>
          </w:rPr>
          <w:t xml:space="preserve"> </w:t>
        </w:r>
        <w:smartTag w:uri="urn:schemas-microsoft-com:office:smarttags" w:element="PlaceName">
          <w:r w:rsidRPr="00EE3F06">
            <w:rPr>
              <w:i/>
              <w:spacing w:val="-3"/>
            </w:rPr>
            <w:t>Haven</w:t>
          </w:r>
        </w:smartTag>
        <w:r w:rsidRPr="00EE3F06">
          <w:rPr>
            <w:i/>
            <w:spacing w:val="-3"/>
          </w:rPr>
          <w:t xml:space="preserve"> </w:t>
        </w:r>
        <w:smartTag w:uri="urn:schemas-microsoft-com:office:smarttags" w:element="PlaceType">
          <w:r w:rsidRPr="00EE3F06">
            <w:rPr>
              <w:i/>
              <w:spacing w:val="-3"/>
            </w:rPr>
            <w:t>Center</w:t>
          </w:r>
        </w:smartTag>
      </w:smartTag>
      <w:r w:rsidRPr="00D14305">
        <w:rPr>
          <w:spacing w:val="-3"/>
        </w:rPr>
        <w:t>, 480 A.2d 382 (1984).</w:t>
      </w:r>
    </w:p>
    <w:p w:rsidR="009210EA" w:rsidRDefault="009210EA" w:rsidP="009210EA">
      <w:pPr>
        <w:suppressAutoHyphens/>
        <w:ind w:left="1440"/>
        <w:rPr>
          <w:spacing w:val="-3"/>
        </w:rPr>
      </w:pPr>
    </w:p>
    <w:p w:rsidR="009210EA" w:rsidRDefault="009210EA" w:rsidP="009210EA">
      <w:pPr>
        <w:numPr>
          <w:ilvl w:val="0"/>
          <w:numId w:val="3"/>
        </w:numPr>
        <w:suppressAutoHyphens/>
        <w:ind w:left="0" w:firstLine="1440"/>
        <w:rPr>
          <w:spacing w:val="-3"/>
        </w:rPr>
      </w:pPr>
      <w:r>
        <w:rPr>
          <w:spacing w:val="-3"/>
        </w:rPr>
        <w:t>XO carried its burden of proof.</w:t>
      </w:r>
    </w:p>
    <w:p w:rsidR="009210EA" w:rsidRDefault="009210EA" w:rsidP="009210EA">
      <w:pPr>
        <w:suppressAutoHyphens/>
        <w:ind w:left="1440"/>
        <w:rPr>
          <w:spacing w:val="-3"/>
        </w:rPr>
      </w:pPr>
    </w:p>
    <w:p w:rsidR="009210EA" w:rsidRPr="002506C9" w:rsidRDefault="009210EA" w:rsidP="009210EA">
      <w:pPr>
        <w:numPr>
          <w:ilvl w:val="0"/>
          <w:numId w:val="3"/>
        </w:numPr>
        <w:suppressAutoHyphens/>
        <w:ind w:left="0" w:firstLine="1440"/>
        <w:rPr>
          <w:spacing w:val="-3"/>
        </w:rPr>
      </w:pPr>
      <w:r w:rsidRPr="00237787">
        <w:t xml:space="preserve">Where </w:t>
      </w:r>
      <w:r>
        <w:t>X</w:t>
      </w:r>
      <w:r w:rsidRPr="00237787">
        <w:t xml:space="preserve">O elects to subtend a Verizon access tandem switch to exchange traffic with IXCs, </w:t>
      </w:r>
      <w:r>
        <w:t>XO must establish a working</w:t>
      </w:r>
      <w:r w:rsidRPr="00237787">
        <w:t xml:space="preserve"> path for long distance traffic to flow from its network to the access tandem.  This path is referred to as an ATC Trunk.</w:t>
      </w:r>
    </w:p>
    <w:p w:rsidR="009210EA" w:rsidRPr="002506C9" w:rsidRDefault="009210EA" w:rsidP="009210EA">
      <w:pPr>
        <w:suppressAutoHyphens/>
        <w:ind w:left="1440"/>
        <w:rPr>
          <w:spacing w:val="-3"/>
        </w:rPr>
      </w:pPr>
    </w:p>
    <w:p w:rsidR="009210EA" w:rsidRPr="00F75CB8" w:rsidRDefault="009210EA" w:rsidP="009210EA">
      <w:pPr>
        <w:numPr>
          <w:ilvl w:val="0"/>
          <w:numId w:val="3"/>
        </w:numPr>
        <w:suppressAutoHyphens/>
        <w:ind w:left="0" w:firstLine="1440"/>
        <w:rPr>
          <w:spacing w:val="-3"/>
        </w:rPr>
      </w:pPr>
      <w:r>
        <w:lastRenderedPageBreak/>
        <w:t>XO</w:t>
      </w:r>
      <w:r w:rsidRPr="00237787">
        <w:t xml:space="preserve"> may lease facilities from Verizon in order to establish its ATC Trunk, or a portion of it.</w:t>
      </w:r>
    </w:p>
    <w:p w:rsidR="009210EA" w:rsidRPr="00F75CB8" w:rsidRDefault="009210EA" w:rsidP="009210EA">
      <w:pPr>
        <w:suppressAutoHyphens/>
        <w:ind w:left="1440"/>
        <w:rPr>
          <w:spacing w:val="-3"/>
        </w:rPr>
      </w:pPr>
    </w:p>
    <w:p w:rsidR="009210EA" w:rsidRPr="00F75CB8" w:rsidRDefault="009210EA" w:rsidP="009210EA">
      <w:pPr>
        <w:numPr>
          <w:ilvl w:val="0"/>
          <w:numId w:val="3"/>
        </w:numPr>
        <w:suppressAutoHyphens/>
        <w:ind w:left="0" w:firstLine="1440"/>
        <w:rPr>
          <w:spacing w:val="-3"/>
        </w:rPr>
      </w:pPr>
      <w:r w:rsidRPr="00237787">
        <w:t xml:space="preserve">If </w:t>
      </w:r>
      <w:r>
        <w:t>XO</w:t>
      </w:r>
      <w:r w:rsidRPr="00237787">
        <w:t xml:space="preserve"> leases Verizon facilities to establish all or part of its ATC Trunk, then it must pay Verizon for those facilities.</w:t>
      </w:r>
    </w:p>
    <w:p w:rsidR="009210EA" w:rsidRPr="00F75CB8" w:rsidRDefault="009210EA" w:rsidP="009210EA">
      <w:pPr>
        <w:suppressAutoHyphens/>
        <w:ind w:left="1440"/>
        <w:rPr>
          <w:spacing w:val="-3"/>
        </w:rPr>
      </w:pPr>
    </w:p>
    <w:p w:rsidR="009210EA" w:rsidRPr="00E663AB" w:rsidRDefault="009210EA" w:rsidP="009210EA">
      <w:pPr>
        <w:numPr>
          <w:ilvl w:val="0"/>
          <w:numId w:val="3"/>
        </w:numPr>
        <w:suppressAutoHyphens/>
        <w:ind w:left="0" w:firstLine="1440"/>
        <w:rPr>
          <w:spacing w:val="-3"/>
        </w:rPr>
      </w:pPr>
      <w:r>
        <w:t>XO</w:t>
      </w:r>
      <w:r w:rsidRPr="00237787">
        <w:t xml:space="preserve"> and Verizon are engaged in the joint provision of switched access services to IXCs.</w:t>
      </w:r>
    </w:p>
    <w:p w:rsidR="009210EA" w:rsidRPr="00E663AB" w:rsidRDefault="009210EA" w:rsidP="009210EA">
      <w:pPr>
        <w:suppressAutoHyphens/>
        <w:ind w:left="1440"/>
        <w:rPr>
          <w:spacing w:val="-3"/>
        </w:rPr>
      </w:pPr>
    </w:p>
    <w:p w:rsidR="009210EA" w:rsidRPr="00E663AB" w:rsidRDefault="009210EA" w:rsidP="009210EA">
      <w:pPr>
        <w:numPr>
          <w:ilvl w:val="0"/>
          <w:numId w:val="3"/>
        </w:numPr>
        <w:suppressAutoHyphens/>
        <w:ind w:left="0" w:firstLine="1440"/>
        <w:rPr>
          <w:spacing w:val="-3"/>
        </w:rPr>
      </w:pPr>
      <w:r w:rsidRPr="00237787">
        <w:t xml:space="preserve">Facilities established for the purpose of connecting a CLEC’s network to an ILEC’s network for the “transmission and routing of … exchange access” traffic are interconnection facilities under </w:t>
      </w:r>
      <w:bookmarkStart w:id="2" w:name="_BA_Cite_96"/>
      <w:r w:rsidRPr="00237787">
        <w:t>47 U.S.C. § 251(c)(2)</w:t>
      </w:r>
      <w:bookmarkEnd w:id="2"/>
      <w:r w:rsidRPr="00237787">
        <w:t>, and the rates, terms, and conditions for such access must be determined by an interconnection agreement reached pursuant to the provisions of 47 U.S.C. § 252.</w:t>
      </w:r>
    </w:p>
    <w:p w:rsidR="009210EA" w:rsidRPr="00E663AB" w:rsidRDefault="009210EA" w:rsidP="009210EA">
      <w:pPr>
        <w:suppressAutoHyphens/>
        <w:ind w:left="1440"/>
        <w:rPr>
          <w:spacing w:val="-3"/>
        </w:rPr>
      </w:pPr>
    </w:p>
    <w:p w:rsidR="009210EA" w:rsidRPr="00E663AB" w:rsidRDefault="009210EA" w:rsidP="009210EA">
      <w:pPr>
        <w:numPr>
          <w:ilvl w:val="0"/>
          <w:numId w:val="3"/>
        </w:numPr>
        <w:suppressAutoHyphens/>
        <w:ind w:left="0" w:firstLine="1440"/>
        <w:rPr>
          <w:spacing w:val="-3"/>
        </w:rPr>
      </w:pPr>
      <w:r w:rsidRPr="00237787">
        <w:t>ATC Trunks fall within the class of interconnection facilities.</w:t>
      </w:r>
    </w:p>
    <w:p w:rsidR="009210EA" w:rsidRPr="00E663AB" w:rsidRDefault="009210EA" w:rsidP="009210EA">
      <w:pPr>
        <w:suppressAutoHyphens/>
        <w:ind w:left="1440"/>
        <w:rPr>
          <w:spacing w:val="-3"/>
        </w:rPr>
      </w:pPr>
    </w:p>
    <w:p w:rsidR="009210EA" w:rsidRPr="00E479FE" w:rsidRDefault="009210EA" w:rsidP="009210EA">
      <w:pPr>
        <w:numPr>
          <w:ilvl w:val="0"/>
          <w:numId w:val="3"/>
        </w:numPr>
        <w:suppressAutoHyphens/>
        <w:ind w:left="0" w:firstLine="1440"/>
        <w:rPr>
          <w:spacing w:val="-3"/>
        </w:rPr>
      </w:pPr>
      <w:r w:rsidRPr="00237787">
        <w:t>Interconnection facilities are not switched access services and are not subject to switched access tariffs.</w:t>
      </w:r>
    </w:p>
    <w:p w:rsidR="009210EA" w:rsidRPr="00E479FE" w:rsidRDefault="009210EA" w:rsidP="009210EA">
      <w:pPr>
        <w:suppressAutoHyphens/>
        <w:ind w:left="1440"/>
        <w:rPr>
          <w:spacing w:val="-3"/>
        </w:rPr>
      </w:pPr>
    </w:p>
    <w:p w:rsidR="009210EA" w:rsidRPr="00E479FE" w:rsidRDefault="009210EA" w:rsidP="009210EA">
      <w:pPr>
        <w:numPr>
          <w:ilvl w:val="0"/>
          <w:numId w:val="3"/>
        </w:numPr>
        <w:suppressAutoHyphens/>
        <w:ind w:left="0" w:firstLine="1440"/>
        <w:rPr>
          <w:spacing w:val="-3"/>
        </w:rPr>
      </w:pPr>
      <w:r>
        <w:t>The ICA</w:t>
      </w:r>
      <w:r w:rsidRPr="00237787">
        <w:t xml:space="preserve"> entered into between </w:t>
      </w:r>
      <w:r>
        <w:t>XO</w:t>
      </w:r>
      <w:r w:rsidRPr="00237787">
        <w:t xml:space="preserve"> and Verizon do not contain any express agreement by </w:t>
      </w:r>
      <w:r>
        <w:t>XO</w:t>
      </w:r>
      <w:r w:rsidRPr="00237787">
        <w:t xml:space="preserve"> to pay switched access charges in general, or dedicated tandem trunk port charges in particular, with respect to ATC Trunks.</w:t>
      </w:r>
    </w:p>
    <w:p w:rsidR="009210EA" w:rsidRPr="00E479FE" w:rsidRDefault="009210EA" w:rsidP="009210EA">
      <w:pPr>
        <w:suppressAutoHyphens/>
        <w:ind w:left="1440"/>
        <w:rPr>
          <w:spacing w:val="-3"/>
        </w:rPr>
      </w:pPr>
    </w:p>
    <w:p w:rsidR="009210EA" w:rsidRPr="00C87938" w:rsidRDefault="009210EA" w:rsidP="009210EA">
      <w:pPr>
        <w:numPr>
          <w:ilvl w:val="0"/>
          <w:numId w:val="3"/>
        </w:numPr>
        <w:suppressAutoHyphens/>
        <w:ind w:left="0" w:firstLine="1440"/>
        <w:rPr>
          <w:spacing w:val="-3"/>
        </w:rPr>
      </w:pPr>
      <w:r w:rsidRPr="00237787">
        <w:t xml:space="preserve">The </w:t>
      </w:r>
      <w:r>
        <w:t>ICA</w:t>
      </w:r>
      <w:r w:rsidRPr="00237787">
        <w:t xml:space="preserve"> between </w:t>
      </w:r>
      <w:r>
        <w:t>XO</w:t>
      </w:r>
      <w:r w:rsidRPr="00237787">
        <w:t xml:space="preserve"> and Verizon do</w:t>
      </w:r>
      <w:r>
        <w:t>es</w:t>
      </w:r>
      <w:r w:rsidRPr="00237787">
        <w:t xml:space="preserve"> not refer to access tariffs at all in connection with the establishment of ATC Trunks.</w:t>
      </w:r>
    </w:p>
    <w:p w:rsidR="009210EA" w:rsidRPr="00C87938" w:rsidRDefault="009210EA" w:rsidP="009210EA">
      <w:pPr>
        <w:suppressAutoHyphens/>
        <w:ind w:left="1440"/>
        <w:rPr>
          <w:spacing w:val="-3"/>
        </w:rPr>
      </w:pPr>
    </w:p>
    <w:p w:rsidR="009210EA" w:rsidRDefault="009210EA" w:rsidP="00427E66">
      <w:pPr>
        <w:pStyle w:val="Findings"/>
        <w:numPr>
          <w:ilvl w:val="0"/>
          <w:numId w:val="3"/>
        </w:numPr>
        <w:tabs>
          <w:tab w:val="left" w:pos="1260"/>
        </w:tabs>
        <w:spacing w:line="360" w:lineRule="auto"/>
        <w:ind w:left="0" w:firstLine="1440"/>
        <w:jc w:val="left"/>
        <w:rPr>
          <w:szCs w:val="24"/>
        </w:rPr>
      </w:pPr>
      <w:r w:rsidRPr="00237787">
        <w:rPr>
          <w:szCs w:val="24"/>
        </w:rPr>
        <w:t xml:space="preserve">The ICA between </w:t>
      </w:r>
      <w:r>
        <w:rPr>
          <w:szCs w:val="24"/>
        </w:rPr>
        <w:t>XO</w:t>
      </w:r>
      <w:r w:rsidRPr="00237787">
        <w:rPr>
          <w:szCs w:val="24"/>
        </w:rPr>
        <w:t xml:space="preserve"> and Verizon contain</w:t>
      </w:r>
      <w:r>
        <w:rPr>
          <w:szCs w:val="24"/>
        </w:rPr>
        <w:t>s</w:t>
      </w:r>
      <w:r w:rsidRPr="00237787">
        <w:rPr>
          <w:szCs w:val="24"/>
        </w:rPr>
        <w:t xml:space="preserve"> the following language:</w:t>
      </w:r>
    </w:p>
    <w:p w:rsidR="009210EA" w:rsidRDefault="009210EA" w:rsidP="009210EA">
      <w:pPr>
        <w:pStyle w:val="Findings"/>
        <w:numPr>
          <w:ilvl w:val="0"/>
          <w:numId w:val="0"/>
        </w:numPr>
        <w:spacing w:line="240" w:lineRule="auto"/>
        <w:ind w:left="2160"/>
        <w:jc w:val="left"/>
        <w:rPr>
          <w:szCs w:val="24"/>
        </w:rPr>
      </w:pPr>
    </w:p>
    <w:p w:rsidR="009210EA" w:rsidRDefault="009210EA" w:rsidP="009210EA">
      <w:pPr>
        <w:pStyle w:val="Findings"/>
        <w:numPr>
          <w:ilvl w:val="0"/>
          <w:numId w:val="0"/>
        </w:numPr>
        <w:spacing w:line="240" w:lineRule="auto"/>
        <w:ind w:left="1440" w:right="1440"/>
        <w:jc w:val="left"/>
      </w:pPr>
      <w:r>
        <w:t>XO</w:t>
      </w:r>
      <w:r w:rsidRPr="00237787">
        <w:t xml:space="preserve"> shall establish Access Toll Connecting Trunks pursuant to applicable access Tariffs by which it will provide Switched Exchange Access Services to Interexchange Carriers to enable </w:t>
      </w:r>
      <w:r w:rsidRPr="00237787">
        <w:lastRenderedPageBreak/>
        <w:t xml:space="preserve">such Interexchange Carriers to originate and terminate traffic to and from </w:t>
      </w:r>
      <w:r>
        <w:t>XO</w:t>
      </w:r>
      <w:r w:rsidRPr="00237787">
        <w:t>’s Customers.</w:t>
      </w:r>
    </w:p>
    <w:p w:rsidR="009210EA" w:rsidRPr="00B41E61" w:rsidRDefault="009210EA" w:rsidP="009210EA">
      <w:pPr>
        <w:pStyle w:val="Findings"/>
        <w:numPr>
          <w:ilvl w:val="0"/>
          <w:numId w:val="0"/>
        </w:numPr>
        <w:spacing w:line="360" w:lineRule="auto"/>
        <w:ind w:left="2160"/>
        <w:jc w:val="left"/>
        <w:rPr>
          <w:szCs w:val="24"/>
        </w:rPr>
      </w:pPr>
    </w:p>
    <w:p w:rsidR="009210EA" w:rsidRPr="00DA6BE1" w:rsidRDefault="009210EA" w:rsidP="009210EA">
      <w:pPr>
        <w:numPr>
          <w:ilvl w:val="0"/>
          <w:numId w:val="3"/>
        </w:numPr>
        <w:suppressAutoHyphens/>
        <w:ind w:left="0" w:firstLine="1440"/>
        <w:rPr>
          <w:spacing w:val="-3"/>
        </w:rPr>
      </w:pPr>
      <w:r w:rsidRPr="00237787">
        <w:t xml:space="preserve">This provision in the </w:t>
      </w:r>
      <w:r>
        <w:t>ICA between XO and Verizon</w:t>
      </w:r>
      <w:r w:rsidRPr="00237787">
        <w:t xml:space="preserve"> does not expressly or implicitly require </w:t>
      </w:r>
      <w:r>
        <w:t>XO</w:t>
      </w:r>
      <w:r w:rsidRPr="00237787">
        <w:t xml:space="preserve"> to pay switched access charges for interconnection facilities.</w:t>
      </w:r>
    </w:p>
    <w:p w:rsidR="009210EA" w:rsidRPr="00DA6BE1" w:rsidRDefault="009210EA" w:rsidP="009210EA">
      <w:pPr>
        <w:suppressAutoHyphens/>
        <w:ind w:left="1440"/>
        <w:rPr>
          <w:spacing w:val="-3"/>
        </w:rPr>
      </w:pPr>
    </w:p>
    <w:p w:rsidR="009210EA" w:rsidRPr="0041343F" w:rsidRDefault="009210EA" w:rsidP="009210EA">
      <w:pPr>
        <w:numPr>
          <w:ilvl w:val="0"/>
          <w:numId w:val="3"/>
        </w:numPr>
        <w:suppressAutoHyphens/>
        <w:ind w:left="0" w:firstLine="1440"/>
        <w:rPr>
          <w:spacing w:val="-3"/>
        </w:rPr>
      </w:pPr>
      <w:r w:rsidRPr="00237787">
        <w:t xml:space="preserve">The language of the provision in the </w:t>
      </w:r>
      <w:r>
        <w:t>ICA between XO and Verizon</w:t>
      </w:r>
      <w:r w:rsidRPr="00237787">
        <w:t xml:space="preserve"> refers to </w:t>
      </w:r>
      <w:r>
        <w:t>XO</w:t>
      </w:r>
      <w:r w:rsidRPr="00237787">
        <w:t>’s own switched access tariffs, which contain the terms governing the provision of switched access service over the ATC Trunks to IXC access customers.</w:t>
      </w:r>
    </w:p>
    <w:p w:rsidR="009210EA" w:rsidRPr="0041343F" w:rsidRDefault="009210EA" w:rsidP="009210EA">
      <w:pPr>
        <w:suppressAutoHyphens/>
        <w:ind w:left="1440"/>
        <w:rPr>
          <w:spacing w:val="-3"/>
        </w:rPr>
      </w:pPr>
    </w:p>
    <w:p w:rsidR="009210EA" w:rsidRPr="0041343F" w:rsidRDefault="009210EA" w:rsidP="009210EA">
      <w:pPr>
        <w:numPr>
          <w:ilvl w:val="0"/>
          <w:numId w:val="3"/>
        </w:numPr>
        <w:suppressAutoHyphens/>
        <w:ind w:left="0" w:firstLine="1440"/>
        <w:rPr>
          <w:spacing w:val="-3"/>
        </w:rPr>
      </w:pPr>
      <w:r>
        <w:t>XO</w:t>
      </w:r>
      <w:r w:rsidRPr="00237787">
        <w:t xml:space="preserve"> is not purchasing switched access service from Verizon; it is purchasing a dedicated, point-to-point circuit that does not provide any access to end users.</w:t>
      </w:r>
    </w:p>
    <w:p w:rsidR="009210EA" w:rsidRPr="0041343F" w:rsidRDefault="009210EA" w:rsidP="009210EA">
      <w:pPr>
        <w:suppressAutoHyphens/>
        <w:ind w:left="1440"/>
        <w:rPr>
          <w:spacing w:val="-3"/>
        </w:rPr>
      </w:pPr>
    </w:p>
    <w:p w:rsidR="009210EA" w:rsidRPr="0021470C" w:rsidRDefault="009210EA" w:rsidP="009210EA">
      <w:pPr>
        <w:numPr>
          <w:ilvl w:val="0"/>
          <w:numId w:val="3"/>
        </w:numPr>
        <w:suppressAutoHyphens/>
        <w:ind w:left="0" w:firstLine="1440"/>
        <w:rPr>
          <w:spacing w:val="-3"/>
        </w:rPr>
      </w:pPr>
      <w:r>
        <w:t>XO</w:t>
      </w:r>
      <w:r w:rsidRPr="00237787">
        <w:t xml:space="preserve"> cannot use an ATC Trunk to originate calls from, or terminate calls to, Verizon end users, which is the essence of switched access service</w:t>
      </w:r>
      <w:r>
        <w:t>.</w:t>
      </w:r>
    </w:p>
    <w:p w:rsidR="009210EA" w:rsidRPr="0021470C" w:rsidRDefault="009210EA" w:rsidP="009210EA">
      <w:pPr>
        <w:suppressAutoHyphens/>
        <w:ind w:left="1440"/>
        <w:rPr>
          <w:spacing w:val="-3"/>
        </w:rPr>
      </w:pPr>
    </w:p>
    <w:p w:rsidR="009210EA" w:rsidRPr="0021470C" w:rsidRDefault="009210EA" w:rsidP="009210EA">
      <w:pPr>
        <w:numPr>
          <w:ilvl w:val="0"/>
          <w:numId w:val="3"/>
        </w:numPr>
        <w:suppressAutoHyphens/>
        <w:ind w:left="0" w:firstLine="1440"/>
        <w:rPr>
          <w:spacing w:val="-3"/>
        </w:rPr>
      </w:pPr>
      <w:r w:rsidRPr="00237787">
        <w:t>Even if some provision of Verizon’s access tariffs did apply, the switched access section of the tariffs (which contains the dedicated tandem trunk port charge) would not be applicable to the situation here.</w:t>
      </w:r>
    </w:p>
    <w:p w:rsidR="009210EA" w:rsidRPr="0021470C" w:rsidRDefault="009210EA" w:rsidP="002B7054">
      <w:pPr>
        <w:suppressAutoHyphens/>
        <w:rPr>
          <w:spacing w:val="-3"/>
        </w:rPr>
      </w:pPr>
    </w:p>
    <w:p w:rsidR="009210EA" w:rsidRPr="00653565" w:rsidRDefault="009210EA" w:rsidP="009210EA">
      <w:pPr>
        <w:numPr>
          <w:ilvl w:val="0"/>
          <w:numId w:val="3"/>
        </w:numPr>
        <w:suppressAutoHyphens/>
        <w:ind w:left="0" w:firstLine="1440"/>
        <w:rPr>
          <w:spacing w:val="-3"/>
        </w:rPr>
      </w:pPr>
      <w:r w:rsidRPr="00237787">
        <w:t>The Verizon access tariffs were filed in compliance with this Commission’s order to align the intrastate rate structure with the interstate rate structure.</w:t>
      </w:r>
    </w:p>
    <w:p w:rsidR="009210EA" w:rsidRPr="00653565" w:rsidRDefault="009210EA" w:rsidP="009210EA">
      <w:pPr>
        <w:suppressAutoHyphens/>
        <w:ind w:left="1440"/>
        <w:rPr>
          <w:spacing w:val="-3"/>
        </w:rPr>
      </w:pPr>
    </w:p>
    <w:p w:rsidR="009210EA" w:rsidRPr="00653565" w:rsidRDefault="009210EA" w:rsidP="009210EA">
      <w:pPr>
        <w:numPr>
          <w:ilvl w:val="0"/>
          <w:numId w:val="3"/>
        </w:numPr>
        <w:suppressAutoHyphens/>
        <w:ind w:left="0" w:firstLine="1440"/>
        <w:rPr>
          <w:spacing w:val="-3"/>
        </w:rPr>
      </w:pPr>
      <w:r w:rsidRPr="00237787">
        <w:t>The interstate rate structure was dictated by the FCC’s 1997 Access Reform Order, which calls for the dedicated tandem trunk port charge to be applied to trunks on the “serving wire center side” of the tandem.</w:t>
      </w:r>
    </w:p>
    <w:p w:rsidR="009210EA" w:rsidRPr="00653565" w:rsidRDefault="009210EA" w:rsidP="009210EA">
      <w:pPr>
        <w:suppressAutoHyphens/>
        <w:ind w:left="1440"/>
        <w:rPr>
          <w:spacing w:val="-3"/>
        </w:rPr>
      </w:pPr>
    </w:p>
    <w:p w:rsidR="009210EA" w:rsidRPr="00653565" w:rsidRDefault="009210EA" w:rsidP="009210EA">
      <w:pPr>
        <w:numPr>
          <w:ilvl w:val="0"/>
          <w:numId w:val="3"/>
        </w:numPr>
        <w:suppressAutoHyphens/>
        <w:ind w:left="0" w:firstLine="1440"/>
        <w:rPr>
          <w:spacing w:val="-3"/>
        </w:rPr>
      </w:pPr>
      <w:r w:rsidRPr="00237787">
        <w:t>In its 1997 Access Reform Order the FCC consistently used the term “serving wire center side” to designate the connection between the IXC’s premises and the access tandem, while it used the “end office side” to designate the connection between the access tandem and the end office switch.</w:t>
      </w:r>
    </w:p>
    <w:p w:rsidR="009210EA" w:rsidRPr="00653565" w:rsidRDefault="009210EA" w:rsidP="009210EA">
      <w:pPr>
        <w:suppressAutoHyphens/>
        <w:ind w:left="1440"/>
        <w:rPr>
          <w:spacing w:val="-3"/>
        </w:rPr>
      </w:pPr>
    </w:p>
    <w:p w:rsidR="009210EA" w:rsidRPr="004A29C9" w:rsidRDefault="009210EA" w:rsidP="009210EA">
      <w:pPr>
        <w:numPr>
          <w:ilvl w:val="0"/>
          <w:numId w:val="3"/>
        </w:numPr>
        <w:suppressAutoHyphens/>
        <w:ind w:left="0" w:firstLine="1440"/>
        <w:rPr>
          <w:spacing w:val="-3"/>
        </w:rPr>
      </w:pPr>
      <w:r w:rsidRPr="00237787">
        <w:lastRenderedPageBreak/>
        <w:t>ATC Trunks connect to the end office side of the access tandem, and therefore are not subject to dedicated tandem trunk port charges.</w:t>
      </w:r>
    </w:p>
    <w:p w:rsidR="009210EA" w:rsidRPr="004A29C9" w:rsidRDefault="009210EA" w:rsidP="009210EA">
      <w:pPr>
        <w:suppressAutoHyphens/>
        <w:ind w:left="1440"/>
        <w:rPr>
          <w:spacing w:val="-3"/>
        </w:rPr>
      </w:pPr>
    </w:p>
    <w:p w:rsidR="009210EA" w:rsidRPr="003E242B" w:rsidRDefault="009210EA" w:rsidP="009210EA">
      <w:pPr>
        <w:numPr>
          <w:ilvl w:val="0"/>
          <w:numId w:val="3"/>
        </w:numPr>
        <w:suppressAutoHyphens/>
        <w:ind w:left="0" w:firstLine="1440"/>
        <w:rPr>
          <w:spacing w:val="-3"/>
        </w:rPr>
      </w:pPr>
      <w:r>
        <w:t>Verizon vi</w:t>
      </w:r>
      <w:r w:rsidR="007C50E1">
        <w:t xml:space="preserve">olated the Public Utility Code </w:t>
      </w:r>
      <w:r>
        <w:t xml:space="preserve">by imposing Dedicated Tandem Port charges for Meet Point Billing (MPB) trunks on XO and any other CLEC which </w:t>
      </w:r>
      <w:r w:rsidRPr="00237787">
        <w:t>elect</w:t>
      </w:r>
      <w:r>
        <w:t>ed</w:t>
      </w:r>
      <w:r w:rsidRPr="00237787">
        <w:t xml:space="preserve"> to subtend Verizon’s access tandem switch for the transmission and routing of long distance traffic</w:t>
      </w:r>
      <w:r>
        <w:t xml:space="preserve"> by charging a rate not authorized by its tariff or its interconnection agreement.  </w:t>
      </w:r>
      <w:r w:rsidRPr="00972A2A">
        <w:rPr>
          <w:color w:val="000000"/>
        </w:rPr>
        <w:t xml:space="preserve">Accordingly, pursuant to 66 Pa. C.S. § 1312(a), </w:t>
      </w:r>
      <w:r>
        <w:rPr>
          <w:color w:val="000000"/>
        </w:rPr>
        <w:t>Verizon is</w:t>
      </w:r>
      <w:r w:rsidRPr="00972A2A">
        <w:rPr>
          <w:color w:val="000000"/>
        </w:rPr>
        <w:t xml:space="preserve"> required to refund the amount paid by </w:t>
      </w:r>
      <w:r>
        <w:rPr>
          <w:color w:val="000000"/>
        </w:rPr>
        <w:t>XO</w:t>
      </w:r>
      <w:r w:rsidRPr="00972A2A">
        <w:rPr>
          <w:color w:val="000000"/>
        </w:rPr>
        <w:t xml:space="preserve"> and all other patrons from</w:t>
      </w:r>
      <w:r>
        <w:rPr>
          <w:color w:val="000000"/>
        </w:rPr>
        <w:t xml:space="preserve"> the start of back-billing in 2005</w:t>
      </w:r>
      <w:r w:rsidRPr="00972A2A">
        <w:rPr>
          <w:color w:val="000000"/>
        </w:rPr>
        <w:t>, plus interest at the legal rate of 6% per annum</w:t>
      </w:r>
      <w:r w:rsidRPr="0005526F">
        <w:t xml:space="preserve"> </w:t>
      </w:r>
      <w:r w:rsidRPr="004641E6">
        <w:t>from the date of each such excessive payment</w:t>
      </w:r>
      <w:r w:rsidRPr="00972A2A">
        <w:rPr>
          <w:color w:val="000000"/>
        </w:rPr>
        <w:t xml:space="preserve">.  66 Pa. C.S. § 1312(a); </w:t>
      </w:r>
      <w:r>
        <w:t>41 P.S. § 202</w:t>
      </w:r>
      <w:r w:rsidRPr="007C50E1">
        <w:rPr>
          <w:color w:val="000000" w:themeColor="text1"/>
        </w:rPr>
        <w:t>;</w:t>
      </w:r>
      <w:r w:rsidRPr="007C50E1">
        <w:rPr>
          <w:i/>
          <w:color w:val="000000" w:themeColor="text1"/>
        </w:rPr>
        <w:t xml:space="preserve"> </w:t>
      </w:r>
      <w:hyperlink r:id="rId8" w:tgtFrame="x" w:tooltip="Clicking this link retrieves the full text document in another window" w:history="1">
        <w:r w:rsidRPr="007C50E1">
          <w:rPr>
            <w:rStyle w:val="Hyperlink"/>
            <w:rFonts w:ascii="Times New (W1)" w:hAnsi="Times New (W1)"/>
            <w:i/>
            <w:color w:val="000000" w:themeColor="text1"/>
          </w:rPr>
          <w:t>Duquesne Light Co. v. Pa. Public Util. Com</w:t>
        </w:r>
        <w:r w:rsidRPr="007C50E1">
          <w:rPr>
            <w:rStyle w:val="Hyperlink"/>
            <w:rFonts w:ascii="Times New (W1)" w:hAnsi="Times New (W1)"/>
            <w:color w:val="000000" w:themeColor="text1"/>
          </w:rPr>
          <w:t>,</w:t>
        </w:r>
        <w:r w:rsidRPr="007C50E1">
          <w:rPr>
            <w:rStyle w:val="Hyperlink"/>
            <w:rFonts w:ascii="Times New (W1)" w:hAnsi="Times New (W1)"/>
            <w:color w:val="000000" w:themeColor="text1"/>
            <w:u w:val="none"/>
          </w:rPr>
          <w:t xml:space="preserve"> 117 Pa. Commw. 28, 36 (Pa. Commw. Ct. 1988)</w:t>
        </w:r>
      </w:hyperlink>
      <w:r>
        <w:rPr>
          <w:rFonts w:ascii="Times New (W1)" w:hAnsi="Times New (W1)"/>
        </w:rPr>
        <w:t>, 543 A.2d 196 (1988)</w:t>
      </w:r>
      <w:r w:rsidRPr="00BD67E7">
        <w:t xml:space="preserve">. </w:t>
      </w:r>
      <w:r>
        <w:t xml:space="preserve"> </w:t>
      </w:r>
    </w:p>
    <w:p w:rsidR="009210EA" w:rsidRPr="003E242B" w:rsidRDefault="009210EA" w:rsidP="009210EA">
      <w:pPr>
        <w:suppressAutoHyphens/>
        <w:ind w:left="1440"/>
        <w:rPr>
          <w:spacing w:val="-3"/>
        </w:rPr>
      </w:pPr>
    </w:p>
    <w:p w:rsidR="009210EA" w:rsidRDefault="009210EA" w:rsidP="009210EA">
      <w:pPr>
        <w:numPr>
          <w:ilvl w:val="0"/>
          <w:numId w:val="3"/>
        </w:numPr>
        <w:suppressAutoHyphens/>
        <w:ind w:left="0" w:firstLine="1440"/>
        <w:rPr>
          <w:spacing w:val="-3"/>
        </w:rPr>
      </w:pPr>
      <w:r>
        <w:rPr>
          <w:spacing w:val="-3"/>
        </w:rPr>
        <w:t xml:space="preserve">The XO Communications Interconnection Agreement became effective on June 23, 1997, and was amended on December1, 1998, when XO’s predecessor, NEXTLINK Pennsylvania, Inc., adopted MCI Metro Access Transmission Services, Inc.’s Interconnection Agreement with Bell Atlantic-Pennsylvania, Inc., now Verizon.  The amended agreement is the same one at issue in the </w:t>
      </w:r>
      <w:r>
        <w:rPr>
          <w:i/>
          <w:spacing w:val="-3"/>
        </w:rPr>
        <w:t>Choice One</w:t>
      </w:r>
      <w:r>
        <w:rPr>
          <w:spacing w:val="-3"/>
        </w:rPr>
        <w:t xml:space="preserve"> case.</w:t>
      </w:r>
    </w:p>
    <w:p w:rsidR="009210EA" w:rsidRDefault="009210EA" w:rsidP="009210EA">
      <w:pPr>
        <w:suppressAutoHyphens/>
        <w:ind w:left="1440"/>
        <w:rPr>
          <w:spacing w:val="-3"/>
        </w:rPr>
      </w:pPr>
    </w:p>
    <w:p w:rsidR="009210EA" w:rsidRPr="009B798C" w:rsidRDefault="009210EA" w:rsidP="009210EA">
      <w:pPr>
        <w:numPr>
          <w:ilvl w:val="0"/>
          <w:numId w:val="3"/>
        </w:numPr>
        <w:suppressAutoHyphens/>
        <w:ind w:left="0" w:firstLine="1440"/>
        <w:rPr>
          <w:spacing w:val="-3"/>
        </w:rPr>
      </w:pPr>
      <w:r>
        <w:t>Section</w:t>
      </w:r>
      <w:r w:rsidRPr="009B798C">
        <w:rPr>
          <w:color w:val="000000"/>
        </w:rPr>
        <w:t xml:space="preserve"> 1312(a)</w:t>
      </w:r>
      <w:r>
        <w:rPr>
          <w:color w:val="000000"/>
        </w:rPr>
        <w:t xml:space="preserve"> reads as follows:</w:t>
      </w:r>
    </w:p>
    <w:p w:rsidR="009210EA" w:rsidRPr="00601385" w:rsidRDefault="009210EA" w:rsidP="009210EA">
      <w:pPr>
        <w:ind w:left="1440"/>
      </w:pPr>
    </w:p>
    <w:p w:rsidR="009210EA" w:rsidRDefault="009210EA" w:rsidP="009210EA">
      <w:pPr>
        <w:spacing w:line="240" w:lineRule="auto"/>
        <w:ind w:left="1440" w:right="1440"/>
      </w:pPr>
      <w:r w:rsidRPr="004641E6">
        <w:t xml:space="preserve">If, in any proceeding involving rates, the commission shall determine that any rate received by a public utility was unjust or unreasonable, or was in violation of any regulation or order of the commission, or was in excess of the applicable rate contained in an existing and effective tariff of such public utility, the commission shall have the power and authority to make an order requiring the public utility to refund the amount of any excess paid by any patron, in consequence of such unlawful collection, within four years prior to the date of the filing of the complaint, together with interest at the legal rate from the date of each such excessive payment. </w:t>
      </w:r>
      <w:r>
        <w:t xml:space="preserve"> </w:t>
      </w:r>
      <w:r w:rsidRPr="004641E6">
        <w:t xml:space="preserve">In making a determination under this section, the commission need not find that the rate complained of was extortionate or oppressive. </w:t>
      </w:r>
      <w:r>
        <w:t xml:space="preserve"> </w:t>
      </w:r>
      <w:r w:rsidRPr="004641E6">
        <w:t xml:space="preserve">Any order of the commission awarding a refund shall be made for and on behalf of </w:t>
      </w:r>
      <w:r w:rsidRPr="00CB3989">
        <w:rPr>
          <w:u w:val="single"/>
        </w:rPr>
        <w:t>all patrons</w:t>
      </w:r>
      <w:r w:rsidRPr="004641E6">
        <w:t xml:space="preserve"> subject to the same rate of the public utility. </w:t>
      </w:r>
      <w:r>
        <w:t xml:space="preserve"> </w:t>
      </w:r>
      <w:r w:rsidRPr="004641E6">
        <w:t xml:space="preserve">The commission shall state in </w:t>
      </w:r>
      <w:r w:rsidRPr="004641E6">
        <w:lastRenderedPageBreak/>
        <w:t>any refund order the exact amount to be paid, the reasonable time within which payment shall be made, and shall make findings upon pertinent questions of fact.</w:t>
      </w:r>
    </w:p>
    <w:p w:rsidR="009210EA" w:rsidRDefault="009210EA" w:rsidP="009210EA">
      <w:pPr>
        <w:spacing w:line="240" w:lineRule="auto"/>
        <w:ind w:left="1440" w:right="1440"/>
      </w:pPr>
    </w:p>
    <w:p w:rsidR="009210EA" w:rsidRPr="00BD4730" w:rsidRDefault="009210EA" w:rsidP="009210EA">
      <w:pPr>
        <w:spacing w:line="240" w:lineRule="auto"/>
        <w:ind w:left="1440" w:right="1440"/>
        <w:rPr>
          <w:color w:val="000000"/>
        </w:rPr>
      </w:pPr>
      <w:r>
        <w:rPr>
          <w:color w:val="000000"/>
        </w:rPr>
        <w:t>(Emphasis added.)</w:t>
      </w:r>
    </w:p>
    <w:p w:rsidR="009210EA" w:rsidRDefault="009210EA" w:rsidP="00635B20">
      <w:pPr>
        <w:rPr>
          <w:color w:val="000000"/>
        </w:rPr>
      </w:pPr>
    </w:p>
    <w:p w:rsidR="009210EA" w:rsidRDefault="009210EA" w:rsidP="00635B20">
      <w:pPr>
        <w:numPr>
          <w:ilvl w:val="0"/>
          <w:numId w:val="3"/>
        </w:numPr>
        <w:ind w:left="0" w:firstLine="1440"/>
      </w:pPr>
      <w:r>
        <w:t>Section 1312 of the Public Utility Code authorizes the Commission to order a public utility to issue refunds to all patrons in proceedings involving rates only if the Commission determines that the rate received by the public utility: (i) was unjust or unreasonable; (ii) was in violation of any order or regulation of the Commission; or (iii) was in excess of the applicable rate contained in an existing and effective tariff of the public utility.</w:t>
      </w:r>
    </w:p>
    <w:p w:rsidR="009210EA" w:rsidRDefault="009210EA" w:rsidP="00635B20">
      <w:pPr>
        <w:ind w:left="1440"/>
      </w:pPr>
    </w:p>
    <w:p w:rsidR="009210EA" w:rsidRDefault="009210EA" w:rsidP="00635B20">
      <w:pPr>
        <w:numPr>
          <w:ilvl w:val="0"/>
          <w:numId w:val="3"/>
        </w:numPr>
        <w:ind w:left="0" w:firstLine="1440"/>
      </w:pPr>
      <w:r>
        <w:t xml:space="preserve">Because Dedicated Tandem Port charges for MPB are part of the Verizon tariff for intrastate switched access, any refund must be assessed in accordance with Section 1312(a).  </w:t>
      </w:r>
      <w:r>
        <w:rPr>
          <w:i/>
        </w:rPr>
        <w:t>PTI</w:t>
      </w:r>
      <w:r>
        <w:t xml:space="preserve"> and </w:t>
      </w:r>
      <w:r>
        <w:rPr>
          <w:i/>
        </w:rPr>
        <w:t>CTSI</w:t>
      </w:r>
      <w:r>
        <w:t>.</w:t>
      </w:r>
    </w:p>
    <w:p w:rsidR="009210EA" w:rsidRDefault="009210EA" w:rsidP="00635B20">
      <w:pPr>
        <w:ind w:left="1440"/>
      </w:pPr>
    </w:p>
    <w:p w:rsidR="009210EA" w:rsidRPr="00490431" w:rsidRDefault="009210EA" w:rsidP="00635B20">
      <w:pPr>
        <w:numPr>
          <w:ilvl w:val="0"/>
          <w:numId w:val="3"/>
        </w:numPr>
        <w:suppressAutoHyphens/>
        <w:ind w:left="0" w:firstLine="1440"/>
        <w:rPr>
          <w:spacing w:val="-3"/>
        </w:rPr>
      </w:pPr>
      <w:r>
        <w:rPr>
          <w:color w:val="000000"/>
        </w:rPr>
        <w:t xml:space="preserve">Verizon must refund to XO a minimum of </w:t>
      </w:r>
      <w:r>
        <w:t xml:space="preserve">$1,284,107.64 </w:t>
      </w:r>
      <w:r w:rsidRPr="00972A2A">
        <w:rPr>
          <w:color w:val="000000"/>
        </w:rPr>
        <w:t>from</w:t>
      </w:r>
      <w:r>
        <w:rPr>
          <w:color w:val="000000"/>
        </w:rPr>
        <w:t xml:space="preserve"> the start of back-billing in 2005</w:t>
      </w:r>
      <w:r w:rsidRPr="00972A2A">
        <w:rPr>
          <w:color w:val="000000"/>
        </w:rPr>
        <w:t>, plus interest at the legal rate of 6% per annum</w:t>
      </w:r>
      <w:r w:rsidRPr="0005526F">
        <w:t xml:space="preserve"> </w:t>
      </w:r>
      <w:r w:rsidRPr="004641E6">
        <w:t>from the date of each such excessive payment</w:t>
      </w:r>
      <w:r>
        <w:rPr>
          <w:color w:val="000000"/>
        </w:rPr>
        <w:t xml:space="preserve"> including those which continued to accrue up to the Commission Order which halts Verizon’s illegal charges.</w:t>
      </w:r>
    </w:p>
    <w:p w:rsidR="009210EA" w:rsidRPr="00490431" w:rsidRDefault="009210EA" w:rsidP="00635B20">
      <w:pPr>
        <w:suppressAutoHyphens/>
        <w:ind w:left="1440"/>
        <w:rPr>
          <w:spacing w:val="-3"/>
        </w:rPr>
      </w:pPr>
    </w:p>
    <w:p w:rsidR="009210EA" w:rsidRPr="00A119DC" w:rsidRDefault="009210EA" w:rsidP="00635B20">
      <w:pPr>
        <w:numPr>
          <w:ilvl w:val="0"/>
          <w:numId w:val="3"/>
        </w:numPr>
        <w:suppressAutoHyphens/>
        <w:ind w:left="0" w:firstLine="1440"/>
        <w:rPr>
          <w:spacing w:val="-3"/>
        </w:rPr>
      </w:pPr>
      <w:r>
        <w:t xml:space="preserve">Verizon’s liability extends beyond the parties to this case to all “patrons” including all other similarly situated CLECs.  Any patron who paid the Verizon’s illegal rate for Dedicated Tandem Port charges for Meet Point Billing (MPB) trunks pursuant to the </w:t>
      </w:r>
      <w:r>
        <w:rPr>
          <w:spacing w:val="-3"/>
        </w:rPr>
        <w:t xml:space="preserve">MCI Metro Access Transmission Services, Inc.’s Interconnection Agreement with Bell Atlantic-Pennsylvania, Inc., </w:t>
      </w:r>
      <w:r>
        <w:t xml:space="preserve">is entitled to a refund </w:t>
      </w:r>
      <w:r w:rsidRPr="00972A2A">
        <w:rPr>
          <w:color w:val="000000"/>
        </w:rPr>
        <w:t>plus interest at the legal rate of 6% per annum</w:t>
      </w:r>
      <w:r w:rsidRPr="0005526F">
        <w:t xml:space="preserve"> </w:t>
      </w:r>
      <w:r w:rsidRPr="004641E6">
        <w:t>from the date of each such excessive payment</w:t>
      </w:r>
      <w:r>
        <w:rPr>
          <w:color w:val="000000"/>
        </w:rPr>
        <w:t xml:space="preserve"> including those which continued to accrue up to the Commission Order which halts Verizon’s illegal charges.</w:t>
      </w:r>
      <w:r>
        <w:t xml:space="preserve">  66 Pa. C.S. § 1312(c).</w:t>
      </w:r>
    </w:p>
    <w:p w:rsidR="009210EA" w:rsidRPr="00A119DC" w:rsidRDefault="009210EA" w:rsidP="00635B20">
      <w:pPr>
        <w:suppressAutoHyphens/>
        <w:ind w:left="1440"/>
        <w:rPr>
          <w:spacing w:val="-3"/>
        </w:rPr>
      </w:pPr>
    </w:p>
    <w:p w:rsidR="009210EA" w:rsidRPr="00A119DC" w:rsidRDefault="009210EA" w:rsidP="00635B20">
      <w:pPr>
        <w:numPr>
          <w:ilvl w:val="0"/>
          <w:numId w:val="3"/>
        </w:numPr>
        <w:suppressAutoHyphens/>
        <w:ind w:left="0" w:firstLine="1440"/>
        <w:rPr>
          <w:spacing w:val="-3"/>
        </w:rPr>
      </w:pPr>
      <w:r>
        <w:rPr>
          <w:color w:val="000000"/>
        </w:rPr>
        <w:t>Verizon</w:t>
      </w:r>
      <w:r w:rsidRPr="00A119DC">
        <w:rPr>
          <w:color w:val="000000"/>
        </w:rPr>
        <w:t xml:space="preserve"> </w:t>
      </w:r>
      <w:r>
        <w:t xml:space="preserve">shall cease and desist from further violations of the Public Utility Code, 66 Pa. C.S. § 101 </w:t>
      </w:r>
      <w:r w:rsidRPr="00A119DC">
        <w:rPr>
          <w:i/>
        </w:rPr>
        <w:t>et seq.</w:t>
      </w:r>
      <w:r>
        <w:t xml:space="preserve">, Commission regulations, 52 Pa. Code §§ 1.1 </w:t>
      </w:r>
      <w:r w:rsidRPr="00A119DC">
        <w:rPr>
          <w:i/>
        </w:rPr>
        <w:t>et seq.</w:t>
      </w:r>
      <w:r>
        <w:t>, and Commission Orders.</w:t>
      </w:r>
    </w:p>
    <w:p w:rsidR="009210EA" w:rsidRDefault="009210EA" w:rsidP="009210EA">
      <w:pPr>
        <w:ind w:left="1440"/>
      </w:pPr>
    </w:p>
    <w:p w:rsidR="009210EA" w:rsidRDefault="009210EA" w:rsidP="00635B20">
      <w:pPr>
        <w:jc w:val="center"/>
        <w:rPr>
          <w:u w:val="single"/>
        </w:rPr>
      </w:pPr>
      <w:r>
        <w:rPr>
          <w:u w:val="single"/>
        </w:rPr>
        <w:lastRenderedPageBreak/>
        <w:t>ORDER</w:t>
      </w:r>
    </w:p>
    <w:p w:rsidR="009210EA" w:rsidRPr="004126B4" w:rsidRDefault="009210EA" w:rsidP="00635B20">
      <w:pPr>
        <w:jc w:val="center"/>
      </w:pPr>
    </w:p>
    <w:p w:rsidR="009210EA" w:rsidRDefault="009210EA" w:rsidP="00635B20"/>
    <w:p w:rsidR="009210EA" w:rsidRDefault="009210EA" w:rsidP="00635B20">
      <w:r>
        <w:tab/>
      </w:r>
      <w:r>
        <w:tab/>
        <w:t>NOW THEREFORE,</w:t>
      </w:r>
    </w:p>
    <w:p w:rsidR="009210EA" w:rsidRDefault="009210EA" w:rsidP="00635B20"/>
    <w:p w:rsidR="009210EA" w:rsidRPr="003E242B" w:rsidRDefault="009210EA" w:rsidP="00635B20">
      <w:pPr>
        <w:rPr>
          <w:spacing w:val="-3"/>
        </w:rPr>
      </w:pPr>
      <w:r>
        <w:tab/>
      </w:r>
      <w:r>
        <w:tab/>
        <w:t>IT IS RECOMMENDED:</w:t>
      </w:r>
      <w:r>
        <w:tab/>
      </w:r>
    </w:p>
    <w:p w:rsidR="009210EA" w:rsidRPr="00E479FE" w:rsidRDefault="009210EA" w:rsidP="00635B20">
      <w:pPr>
        <w:suppressAutoHyphens/>
        <w:rPr>
          <w:spacing w:val="-3"/>
        </w:rPr>
      </w:pPr>
    </w:p>
    <w:p w:rsidR="009210EA" w:rsidRDefault="009210EA" w:rsidP="00635B20">
      <w:pPr>
        <w:numPr>
          <w:ilvl w:val="0"/>
          <w:numId w:val="4"/>
        </w:numPr>
        <w:ind w:left="0" w:firstLine="1440"/>
      </w:pPr>
      <w:r>
        <w:t xml:space="preserve">That the Complaint of </w:t>
      </w:r>
      <w:r>
        <w:rPr>
          <w:i/>
        </w:rPr>
        <w:t xml:space="preserve">XO Communications Services, Inc. versus </w:t>
      </w:r>
      <w:r w:rsidRPr="00887218">
        <w:rPr>
          <w:i/>
        </w:rPr>
        <w:t xml:space="preserve">Verizon Pennsylvania Inc. </w:t>
      </w:r>
      <w:r>
        <w:t>at Docket No. C-2008-2038195 is hereby sustained.</w:t>
      </w:r>
    </w:p>
    <w:p w:rsidR="009210EA" w:rsidRDefault="009210EA" w:rsidP="00635B20">
      <w:pPr>
        <w:ind w:left="1440"/>
      </w:pPr>
    </w:p>
    <w:p w:rsidR="009210EA" w:rsidRDefault="009210EA" w:rsidP="00635B20">
      <w:pPr>
        <w:numPr>
          <w:ilvl w:val="0"/>
          <w:numId w:val="4"/>
        </w:numPr>
        <w:ind w:left="0" w:firstLine="1440"/>
      </w:pPr>
      <w:r w:rsidRPr="00237787">
        <w:rPr>
          <w:spacing w:val="-3"/>
        </w:rPr>
        <w:t xml:space="preserve">That upon the entry of a final order by the Pennsylvania Public Utility Commission in the above-captioned case Verizon Pennsylvania Inc. </w:t>
      </w:r>
      <w:r>
        <w:rPr>
          <w:spacing w:val="-3"/>
        </w:rPr>
        <w:t>shall</w:t>
      </w:r>
      <w:r w:rsidRPr="00237787">
        <w:rPr>
          <w:spacing w:val="-3"/>
        </w:rPr>
        <w:t xml:space="preserve"> discontinue the imposition of Access Toll Connecting Trunk Port charges on</w:t>
      </w:r>
      <w:r>
        <w:t xml:space="preserve"> XO</w:t>
      </w:r>
      <w:r w:rsidRPr="004817A5">
        <w:t xml:space="preserve"> Communications Services, Inc.</w:t>
      </w:r>
      <w:r>
        <w:t xml:space="preserve"> and any other CLEC which </w:t>
      </w:r>
      <w:r w:rsidRPr="00237787">
        <w:t>elect</w:t>
      </w:r>
      <w:r>
        <w:t>ed</w:t>
      </w:r>
      <w:r w:rsidRPr="00237787">
        <w:t xml:space="preserve"> to subtend Verizon’s access tandem switch for the transmission and routing of long distance traffic</w:t>
      </w:r>
      <w:r>
        <w:t xml:space="preserve"> pursuant to the </w:t>
      </w:r>
      <w:r>
        <w:rPr>
          <w:spacing w:val="-3"/>
        </w:rPr>
        <w:t>MCI Metro Access Transmission Services, Inc.’s Interconnection Agreement with Bell Atlantic-Pennsylvania, Inc.</w:t>
      </w:r>
    </w:p>
    <w:p w:rsidR="009210EA" w:rsidRDefault="009210EA" w:rsidP="009210EA">
      <w:pPr>
        <w:ind w:left="1440"/>
      </w:pPr>
    </w:p>
    <w:p w:rsidR="009210EA" w:rsidRPr="004817A5" w:rsidRDefault="009210EA" w:rsidP="00635B20">
      <w:pPr>
        <w:numPr>
          <w:ilvl w:val="0"/>
          <w:numId w:val="4"/>
        </w:numPr>
        <w:ind w:left="0" w:firstLine="1440"/>
      </w:pPr>
      <w:r>
        <w:t xml:space="preserve">That </w:t>
      </w:r>
      <w:r w:rsidRPr="00BD5320">
        <w:t>Verizon Pennsylvania Inc.</w:t>
      </w:r>
      <w:r>
        <w:t>’s</w:t>
      </w:r>
      <w:r>
        <w:rPr>
          <w:color w:val="000000"/>
        </w:rPr>
        <w:t xml:space="preserve"> attempted application of </w:t>
      </w:r>
      <w:r w:rsidRPr="00237787">
        <w:rPr>
          <w:spacing w:val="-3"/>
        </w:rPr>
        <w:t>Access Toll Connecting Trunk Port charges on</w:t>
      </w:r>
      <w:r>
        <w:t xml:space="preserve"> XO</w:t>
      </w:r>
      <w:r w:rsidRPr="004817A5">
        <w:t xml:space="preserve"> Communications Services, Inc.</w:t>
      </w:r>
      <w:r>
        <w:t xml:space="preserve"> and any other similarly situated CLEC</w:t>
      </w:r>
      <w:r>
        <w:rPr>
          <w:color w:val="000000"/>
        </w:rPr>
        <w:t xml:space="preserve"> is illegal, unjust and unreasonable.</w:t>
      </w:r>
    </w:p>
    <w:p w:rsidR="009210EA" w:rsidRPr="004817A5" w:rsidRDefault="009210EA" w:rsidP="00635B20">
      <w:pPr>
        <w:ind w:left="1440"/>
      </w:pPr>
    </w:p>
    <w:p w:rsidR="009210EA" w:rsidRPr="00014FFB" w:rsidRDefault="009210EA" w:rsidP="00635B20">
      <w:pPr>
        <w:numPr>
          <w:ilvl w:val="0"/>
          <w:numId w:val="4"/>
        </w:numPr>
        <w:ind w:left="0" w:firstLine="1440"/>
      </w:pPr>
      <w:r>
        <w:t>That within thirty (30) days of the effective date of the Commission’s Order,</w:t>
      </w:r>
      <w:r w:rsidRPr="002F2E95">
        <w:t xml:space="preserve"> Verizon Pennsylvania Inc</w:t>
      </w:r>
      <w:r>
        <w:rPr>
          <w:i/>
        </w:rPr>
        <w:t>.,</w:t>
      </w:r>
      <w:r w:rsidRPr="002F2E95">
        <w:t xml:space="preserve"> </w:t>
      </w:r>
      <w:r>
        <w:t>shall issue refunds to XO</w:t>
      </w:r>
      <w:r w:rsidRPr="004817A5">
        <w:t xml:space="preserve"> Communications Services, Inc.</w:t>
      </w:r>
      <w:r>
        <w:t xml:space="preserve">  in </w:t>
      </w:r>
      <w:r>
        <w:rPr>
          <w:color w:val="000000"/>
        </w:rPr>
        <w:t xml:space="preserve">a minimum amount of </w:t>
      </w:r>
      <w:r>
        <w:t xml:space="preserve">$1,284,107.64 </w:t>
      </w:r>
      <w:r w:rsidRPr="00972A2A">
        <w:rPr>
          <w:color w:val="000000"/>
        </w:rPr>
        <w:t>from</w:t>
      </w:r>
      <w:r>
        <w:rPr>
          <w:color w:val="000000"/>
        </w:rPr>
        <w:t xml:space="preserve"> the start of back-billing in 2005</w:t>
      </w:r>
      <w:r w:rsidRPr="00972A2A">
        <w:rPr>
          <w:color w:val="000000"/>
        </w:rPr>
        <w:t>, plus interest at the legal rate of 6% per annum</w:t>
      </w:r>
      <w:r w:rsidRPr="0005526F">
        <w:t xml:space="preserve"> </w:t>
      </w:r>
      <w:r w:rsidRPr="004641E6">
        <w:t>from the date of each such excessive payment</w:t>
      </w:r>
      <w:r>
        <w:rPr>
          <w:color w:val="000000"/>
        </w:rPr>
        <w:t xml:space="preserve"> including those which continued to accrue up to the Commission Order which halts Verizon’s illegal charges.</w:t>
      </w:r>
    </w:p>
    <w:p w:rsidR="009210EA" w:rsidRPr="00014FFB" w:rsidRDefault="009210EA" w:rsidP="00635B20">
      <w:pPr>
        <w:ind w:left="1440"/>
      </w:pPr>
    </w:p>
    <w:p w:rsidR="009210EA" w:rsidRDefault="009210EA" w:rsidP="00635B20">
      <w:pPr>
        <w:numPr>
          <w:ilvl w:val="0"/>
          <w:numId w:val="4"/>
        </w:numPr>
        <w:ind w:left="0" w:firstLine="1440"/>
      </w:pPr>
      <w:r>
        <w:t>That within thirty (30) days of the effective date of the Commission’s Order, Verizon Pennsylvania Inc</w:t>
      </w:r>
      <w:r>
        <w:rPr>
          <w:i/>
        </w:rPr>
        <w:t>.,</w:t>
      </w:r>
      <w:r>
        <w:t xml:space="preserve"> shall issue refunds to all other patrons in accordance with the guidance in Paragraph 4 above plus interest at the legal rate of 6% per annum from the date of each such excessive payment.</w:t>
      </w:r>
    </w:p>
    <w:p w:rsidR="009210EA" w:rsidRDefault="009210EA" w:rsidP="00635B20">
      <w:pPr>
        <w:numPr>
          <w:ilvl w:val="0"/>
          <w:numId w:val="4"/>
        </w:numPr>
        <w:ind w:left="0" w:firstLine="1440"/>
      </w:pPr>
      <w:r>
        <w:lastRenderedPageBreak/>
        <w:t>That within sixty (60) days of the effective date of the Commission’s Order,</w:t>
      </w:r>
      <w:r w:rsidRPr="003A581C">
        <w:t xml:space="preserve"> Verizon Pennsylvania Inc., </w:t>
      </w:r>
      <w:r>
        <w:t>shall file with the Secretary a complete accounting of all amounts refunded and detailed with entries of the names and addresses of all patrons eligible for a refund, the date of payment, the amount of refund, the amount of interest paid and the reasons for any failure to make a refund.  The accounting shall include a certificate of service on all eligible patrons and a notice that, if the patrons disagree with the accounting, they shall have twenty (20) days</w:t>
      </w:r>
      <w:r w:rsidRPr="007D3261">
        <w:t xml:space="preserve"> </w:t>
      </w:r>
      <w:r>
        <w:t>from the date of receipt of notice to notify the Secretary of the Commission.</w:t>
      </w:r>
    </w:p>
    <w:p w:rsidR="00464E1D" w:rsidRDefault="00464E1D" w:rsidP="00464E1D"/>
    <w:p w:rsidR="009210EA" w:rsidRDefault="009210EA" w:rsidP="00635B20">
      <w:pPr>
        <w:numPr>
          <w:ilvl w:val="0"/>
          <w:numId w:val="4"/>
        </w:numPr>
        <w:ind w:left="0" w:firstLine="1440"/>
      </w:pPr>
      <w:r>
        <w:t xml:space="preserve">That </w:t>
      </w:r>
      <w:r w:rsidRPr="003A581C">
        <w:t>Verizon Pennsylvania Inc.</w:t>
      </w:r>
      <w:r>
        <w:t>,</w:t>
      </w:r>
      <w:r w:rsidRPr="00EC7F55">
        <w:t xml:space="preserve"> </w:t>
      </w:r>
      <w:r>
        <w:t xml:space="preserve">is enjoined from charging </w:t>
      </w:r>
      <w:r w:rsidRPr="00237787">
        <w:rPr>
          <w:spacing w:val="-3"/>
        </w:rPr>
        <w:t xml:space="preserve">Access Toll Connecting Trunk Port charges </w:t>
      </w:r>
      <w:r w:rsidR="00464E1D">
        <w:rPr>
          <w:spacing w:val="-3"/>
        </w:rPr>
        <w:t>to</w:t>
      </w:r>
      <w:r>
        <w:t xml:space="preserve"> XO</w:t>
      </w:r>
      <w:r w:rsidRPr="004817A5">
        <w:t xml:space="preserve"> Communications Services, Inc.</w:t>
      </w:r>
      <w:r>
        <w:t xml:space="preserve"> and any other CLEC which </w:t>
      </w:r>
      <w:r w:rsidRPr="00237787">
        <w:t>elect</w:t>
      </w:r>
      <w:r>
        <w:t>ed</w:t>
      </w:r>
      <w:r w:rsidRPr="00237787">
        <w:t xml:space="preserve"> to subtend Verizon’s access tandem switch for the transmission and routing of long distance traffic</w:t>
      </w:r>
      <w:r>
        <w:t>.</w:t>
      </w:r>
    </w:p>
    <w:p w:rsidR="009210EA" w:rsidRDefault="009210EA" w:rsidP="00635B20">
      <w:pPr>
        <w:ind w:left="1440"/>
      </w:pPr>
    </w:p>
    <w:p w:rsidR="009210EA" w:rsidRDefault="009210EA" w:rsidP="00635B20">
      <w:pPr>
        <w:numPr>
          <w:ilvl w:val="0"/>
          <w:numId w:val="4"/>
        </w:numPr>
        <w:ind w:left="0" w:firstLine="1440"/>
      </w:pPr>
      <w:r>
        <w:t xml:space="preserve">That </w:t>
      </w:r>
      <w:r w:rsidRPr="003A581C">
        <w:t>Verizon Pennsylvania Inc.,</w:t>
      </w:r>
      <w:r>
        <w:t xml:space="preserve"> shall cease and desist from further violations of the Public Utility Code, 66 Pa. C.S. §§ 101 </w:t>
      </w:r>
      <w:r>
        <w:rPr>
          <w:i/>
        </w:rPr>
        <w:t>et seq.</w:t>
      </w:r>
      <w:r>
        <w:t xml:space="preserve">, Commission regulations, 52 Pa. Code §§ 1.1 </w:t>
      </w:r>
      <w:r>
        <w:rPr>
          <w:i/>
        </w:rPr>
        <w:t>et seq.</w:t>
      </w:r>
      <w:r>
        <w:t>, and Commission Orders.</w:t>
      </w:r>
    </w:p>
    <w:p w:rsidR="00464E1D" w:rsidRDefault="00464E1D" w:rsidP="00464E1D"/>
    <w:p w:rsidR="009210EA" w:rsidRDefault="009210EA" w:rsidP="00635B20">
      <w:pPr>
        <w:numPr>
          <w:ilvl w:val="0"/>
          <w:numId w:val="4"/>
        </w:numPr>
        <w:ind w:left="0" w:firstLine="1440"/>
      </w:pPr>
      <w:r>
        <w:t>That within ninety (90) days</w:t>
      </w:r>
      <w:r w:rsidRPr="000213DC">
        <w:t xml:space="preserve"> </w:t>
      </w:r>
      <w:r>
        <w:t>of the effective date of the Commission’s Order, if there are no notices received from the patrons, as set forth in Paragraph 6 above, the Secretary shall mark the docket at No. C-</w:t>
      </w:r>
      <w:r w:rsidR="00464E1D">
        <w:t>2008-2038195</w:t>
      </w:r>
      <w:r>
        <w:t xml:space="preserve"> closed.  In the event notices are received in accordance with Paragraph 6 above, the Secretary shall refer them to the Law Bureau for whatever action is deemed appropriate, and the docket shall not be closed.</w:t>
      </w:r>
    </w:p>
    <w:p w:rsidR="009210EA" w:rsidRDefault="009210EA" w:rsidP="00635B20">
      <w:pPr>
        <w:ind w:left="1440"/>
      </w:pPr>
    </w:p>
    <w:p w:rsidR="009210EA" w:rsidRDefault="009210EA" w:rsidP="00635B20">
      <w:pPr>
        <w:numPr>
          <w:ilvl w:val="0"/>
          <w:numId w:val="4"/>
        </w:numPr>
        <w:ind w:left="0" w:firstLine="1440"/>
      </w:pPr>
      <w:r>
        <w:t>That all of the transcript corrections presented pursuant to the Jointly Stipulated Proposed Corrections to Hearing Transcript are hereby approved.</w:t>
      </w:r>
    </w:p>
    <w:p w:rsidR="009210EA" w:rsidRDefault="009210EA" w:rsidP="00635B20">
      <w:pPr>
        <w:tabs>
          <w:tab w:val="left" w:pos="-1440"/>
          <w:tab w:val="left" w:pos="-720"/>
        </w:tabs>
        <w:suppressAutoHyphens/>
        <w:rPr>
          <w:spacing w:val="-3"/>
        </w:rPr>
      </w:pPr>
    </w:p>
    <w:p w:rsidR="009210EA" w:rsidRDefault="009210EA" w:rsidP="00635B20"/>
    <w:p w:rsidR="009210EA" w:rsidRDefault="009210EA" w:rsidP="002E3E76">
      <w:pPr>
        <w:spacing w:line="240" w:lineRule="auto"/>
      </w:pPr>
      <w:r>
        <w:t>Dated:</w:t>
      </w:r>
      <w:r>
        <w:tab/>
      </w:r>
      <w:r w:rsidR="00635B20">
        <w:rPr>
          <w:u w:val="single"/>
        </w:rPr>
        <w:t xml:space="preserve">June </w:t>
      </w:r>
      <w:r w:rsidR="002E3E76">
        <w:rPr>
          <w:u w:val="single"/>
        </w:rPr>
        <w:t>15</w:t>
      </w:r>
      <w:r>
        <w:rPr>
          <w:u w:val="single"/>
        </w:rPr>
        <w:t>, 2010</w:t>
      </w:r>
      <w:r>
        <w:tab/>
      </w:r>
      <w:r>
        <w:tab/>
      </w:r>
      <w:r>
        <w:tab/>
      </w:r>
      <w:r>
        <w:tab/>
      </w:r>
      <w:r>
        <w:tab/>
      </w:r>
      <w:r>
        <w:rPr>
          <w:u w:val="single"/>
        </w:rPr>
        <w:tab/>
      </w:r>
      <w:r>
        <w:rPr>
          <w:u w:val="single"/>
        </w:rPr>
        <w:tab/>
      </w:r>
      <w:r>
        <w:rPr>
          <w:u w:val="single"/>
        </w:rPr>
        <w:tab/>
      </w:r>
      <w:r>
        <w:rPr>
          <w:u w:val="single"/>
        </w:rPr>
        <w:tab/>
      </w:r>
      <w:r>
        <w:rPr>
          <w:u w:val="single"/>
        </w:rPr>
        <w:tab/>
      </w:r>
    </w:p>
    <w:p w:rsidR="00635B20" w:rsidRDefault="009210EA" w:rsidP="002E3E76">
      <w:pPr>
        <w:spacing w:line="240" w:lineRule="auto"/>
      </w:pPr>
      <w:r>
        <w:tab/>
      </w:r>
      <w:r>
        <w:tab/>
      </w:r>
      <w:r>
        <w:tab/>
      </w:r>
      <w:r>
        <w:tab/>
      </w:r>
      <w:r>
        <w:tab/>
      </w:r>
      <w:r>
        <w:tab/>
      </w:r>
      <w:r>
        <w:tab/>
        <w:t>Louis G. Cocheres</w:t>
      </w:r>
    </w:p>
    <w:p w:rsidR="009210EA" w:rsidRPr="004953AC" w:rsidRDefault="009210EA" w:rsidP="002E3E76">
      <w:pPr>
        <w:spacing w:line="240" w:lineRule="auto"/>
        <w:ind w:left="4320" w:firstLine="720"/>
      </w:pPr>
      <w:r>
        <w:t>Administrative Law Judge</w:t>
      </w:r>
    </w:p>
    <w:p w:rsidR="009210EA" w:rsidRPr="00834539" w:rsidRDefault="009210EA" w:rsidP="00635B20">
      <w:pPr>
        <w:tabs>
          <w:tab w:val="left" w:pos="-1440"/>
          <w:tab w:val="left" w:pos="-720"/>
        </w:tabs>
        <w:suppressAutoHyphens/>
      </w:pPr>
    </w:p>
    <w:p w:rsidR="005A204C" w:rsidRPr="000E35DF" w:rsidRDefault="005A204C" w:rsidP="009210EA">
      <w:pPr>
        <w:ind w:left="1440"/>
      </w:pPr>
    </w:p>
    <w:sectPr w:rsidR="005A204C" w:rsidRPr="000E35DF" w:rsidSect="00FE2295">
      <w:headerReference w:type="default"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4AF" w:rsidRDefault="00A624AF" w:rsidP="0065096B">
      <w:pPr>
        <w:spacing w:line="240" w:lineRule="auto"/>
      </w:pPr>
      <w:r>
        <w:separator/>
      </w:r>
    </w:p>
  </w:endnote>
  <w:endnote w:type="continuationSeparator" w:id="0">
    <w:p w:rsidR="00A624AF" w:rsidRDefault="00A624AF" w:rsidP="006509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6B" w:rsidRPr="00FC4C42" w:rsidRDefault="004F151A">
    <w:pPr>
      <w:pStyle w:val="Footer"/>
      <w:jc w:val="center"/>
      <w:rPr>
        <w:sz w:val="20"/>
        <w:szCs w:val="20"/>
      </w:rPr>
    </w:pPr>
    <w:r w:rsidRPr="00FC4C42">
      <w:rPr>
        <w:sz w:val="20"/>
        <w:szCs w:val="20"/>
      </w:rPr>
      <w:fldChar w:fldCharType="begin"/>
    </w:r>
    <w:r w:rsidR="0065096B" w:rsidRPr="00FC4C42">
      <w:rPr>
        <w:sz w:val="20"/>
        <w:szCs w:val="20"/>
      </w:rPr>
      <w:instrText xml:space="preserve"> PAGE   \* MERGEFORMAT </w:instrText>
    </w:r>
    <w:r w:rsidRPr="00FC4C42">
      <w:rPr>
        <w:sz w:val="20"/>
        <w:szCs w:val="20"/>
      </w:rPr>
      <w:fldChar w:fldCharType="separate"/>
    </w:r>
    <w:r w:rsidR="00B24E25">
      <w:rPr>
        <w:noProof/>
        <w:sz w:val="20"/>
        <w:szCs w:val="20"/>
      </w:rPr>
      <w:t>18</w:t>
    </w:r>
    <w:r w:rsidRPr="00FC4C42">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4AF" w:rsidRDefault="00A624AF" w:rsidP="0065096B">
      <w:pPr>
        <w:spacing w:line="240" w:lineRule="auto"/>
      </w:pPr>
      <w:r>
        <w:separator/>
      </w:r>
    </w:p>
  </w:footnote>
  <w:footnote w:type="continuationSeparator" w:id="0">
    <w:p w:rsidR="00A624AF" w:rsidRDefault="00A624AF" w:rsidP="0065096B">
      <w:pPr>
        <w:spacing w:line="240" w:lineRule="auto"/>
      </w:pPr>
      <w:r>
        <w:continuationSeparator/>
      </w:r>
    </w:p>
  </w:footnote>
  <w:footnote w:id="1">
    <w:p w:rsidR="000605F0" w:rsidRPr="000605F0" w:rsidRDefault="000605F0" w:rsidP="000605F0">
      <w:pPr>
        <w:spacing w:line="240" w:lineRule="auto"/>
        <w:ind w:right="1440"/>
        <w:rPr>
          <w:sz w:val="20"/>
          <w:szCs w:val="20"/>
        </w:rPr>
      </w:pPr>
      <w:r w:rsidRPr="000605F0">
        <w:rPr>
          <w:rStyle w:val="FootnoteReference"/>
          <w:sz w:val="20"/>
          <w:szCs w:val="20"/>
        </w:rPr>
        <w:t>6</w:t>
      </w:r>
      <w:r w:rsidRPr="000605F0">
        <w:rPr>
          <w:sz w:val="20"/>
          <w:szCs w:val="20"/>
        </w:rPr>
        <w:t xml:space="preserve"> </w:t>
      </w:r>
      <w:r w:rsidRPr="000605F0">
        <w:rPr>
          <w:sz w:val="20"/>
          <w:szCs w:val="20"/>
          <w:vertAlign w:val="superscript"/>
        </w:rPr>
        <w:tab/>
      </w:r>
      <w:r w:rsidRPr="000605F0">
        <w:rPr>
          <w:i/>
          <w:sz w:val="20"/>
          <w:szCs w:val="20"/>
        </w:rPr>
        <w:t>Access Charge Reform</w:t>
      </w:r>
      <w:r w:rsidRPr="000605F0">
        <w:rPr>
          <w:sz w:val="20"/>
          <w:szCs w:val="20"/>
        </w:rPr>
        <w:t>, CC Docket No. 96-262, First Report and Order, 12 FCC Rcd 15982 (1997) (</w:t>
      </w:r>
      <w:r w:rsidRPr="000605F0">
        <w:rPr>
          <w:i/>
          <w:sz w:val="20"/>
          <w:szCs w:val="20"/>
        </w:rPr>
        <w:t>Access Charge Reform Order)</w:t>
      </w:r>
      <w:r w:rsidRPr="000605F0">
        <w:rPr>
          <w:sz w:val="20"/>
          <w:szCs w:val="20"/>
        </w:rPr>
        <w:t>.</w:t>
      </w:r>
    </w:p>
    <w:p w:rsidR="000605F0" w:rsidRDefault="000605F0">
      <w:pPr>
        <w:pStyle w:val="FootnoteText"/>
      </w:pPr>
    </w:p>
  </w:footnote>
  <w:footnote w:id="2">
    <w:p w:rsidR="004E322C" w:rsidRPr="002B434E" w:rsidRDefault="004E322C" w:rsidP="004E322C">
      <w:pPr>
        <w:spacing w:line="240" w:lineRule="auto"/>
        <w:ind w:right="1440"/>
        <w:rPr>
          <w:sz w:val="20"/>
          <w:szCs w:val="20"/>
        </w:rPr>
      </w:pPr>
      <w:r w:rsidRPr="005D52C6">
        <w:rPr>
          <w:rStyle w:val="FootnoteReference"/>
          <w:sz w:val="20"/>
          <w:szCs w:val="20"/>
        </w:rPr>
        <w:t>7</w:t>
      </w:r>
      <w:r w:rsidRPr="005D52C6">
        <w:rPr>
          <w:sz w:val="20"/>
          <w:szCs w:val="20"/>
        </w:rPr>
        <w:t xml:space="preserve"> </w:t>
      </w:r>
      <w:r w:rsidRPr="002B434E">
        <w:tab/>
      </w:r>
      <w:r w:rsidRPr="004E322C">
        <w:rPr>
          <w:sz w:val="20"/>
          <w:szCs w:val="20"/>
        </w:rPr>
        <w:t>End Office switches of CLECs and smaller ILECs in a given area generally subtend an access tandem serving that area in order to allow Interexchange Carriers (IXCs) to reach a large number of end-user customers through a single interconnection point.</w:t>
      </w:r>
    </w:p>
    <w:p w:rsidR="004E322C" w:rsidRDefault="004E322C">
      <w:pPr>
        <w:pStyle w:val="FootnoteText"/>
      </w:pPr>
    </w:p>
  </w:footnote>
  <w:footnote w:id="3">
    <w:p w:rsidR="000D3704" w:rsidRDefault="005D52C6">
      <w:pPr>
        <w:pStyle w:val="FootnoteText"/>
      </w:pPr>
      <w:r>
        <w:rPr>
          <w:rStyle w:val="FootnoteReference"/>
          <w:rFonts w:ascii="Times New Roman" w:hAnsi="Times New Roman" w:cs="Times New Roman"/>
        </w:rPr>
        <w:t>8.</w:t>
      </w:r>
      <w:r w:rsidR="000D3704" w:rsidRPr="002B434E">
        <w:rPr>
          <w:rFonts w:ascii="Times New Roman" w:hAnsi="Times New Roman" w:cs="Times New Roman"/>
        </w:rPr>
        <w:tab/>
        <w:t>Section 251(c)(2) states that ILECs have an obligation to provide “interconnection with the local exchange carrier’s network for the transmission and routing of telephone exchange service and exchange access” at cost-based rates.</w:t>
      </w:r>
    </w:p>
  </w:footnote>
  <w:footnote w:id="4">
    <w:p w:rsidR="00843660" w:rsidRPr="002B434E" w:rsidRDefault="00843660" w:rsidP="00652766">
      <w:pPr>
        <w:spacing w:line="240" w:lineRule="auto"/>
        <w:ind w:right="1440"/>
        <w:rPr>
          <w:sz w:val="20"/>
          <w:szCs w:val="20"/>
        </w:rPr>
      </w:pPr>
    </w:p>
    <w:p w:rsidR="00843660" w:rsidRPr="002B434E" w:rsidRDefault="00843660" w:rsidP="00843660">
      <w:pPr>
        <w:spacing w:line="240" w:lineRule="auto"/>
        <w:ind w:right="1440"/>
        <w:rPr>
          <w:sz w:val="20"/>
          <w:szCs w:val="20"/>
        </w:rPr>
      </w:pPr>
      <w:r w:rsidRPr="002B434E">
        <w:rPr>
          <w:rStyle w:val="FootnoteReference"/>
          <w:sz w:val="20"/>
          <w:szCs w:val="20"/>
        </w:rPr>
        <w:t>9</w:t>
      </w:r>
      <w:r w:rsidRPr="002B434E">
        <w:rPr>
          <w:sz w:val="20"/>
          <w:szCs w:val="20"/>
        </w:rPr>
        <w:t xml:space="preserve"> </w:t>
      </w:r>
      <w:r w:rsidRPr="002B434E">
        <w:rPr>
          <w:sz w:val="20"/>
          <w:szCs w:val="20"/>
          <w:vertAlign w:val="superscript"/>
        </w:rPr>
        <w:tab/>
      </w:r>
      <w:r w:rsidRPr="002B434E">
        <w:rPr>
          <w:sz w:val="20"/>
          <w:szCs w:val="20"/>
        </w:rPr>
        <w:t>Verizon PA Tariff Pa. P.U.C. No. 302, §§ 61.3(B)(3), 6.8.1(F)(5); Verizon North Tariff Pa. P.U.C. No. 9, § 4.2.3(A)(1).</w:t>
      </w:r>
    </w:p>
    <w:p w:rsidR="00843660" w:rsidRPr="002B434E" w:rsidRDefault="00843660">
      <w:pPr>
        <w:pStyle w:val="FootnoteText"/>
        <w:rPr>
          <w:rFonts w:ascii="Times New Roman" w:hAnsi="Times New Roman" w:cs="Times New Roman"/>
        </w:rPr>
      </w:pPr>
    </w:p>
  </w:footnote>
  <w:footnote w:id="5">
    <w:p w:rsidR="00DA6FC2" w:rsidRPr="002B434E" w:rsidRDefault="00DA6FC2" w:rsidP="00DA6FC2">
      <w:pPr>
        <w:spacing w:line="240" w:lineRule="auto"/>
        <w:ind w:right="1440"/>
        <w:rPr>
          <w:spacing w:val="-3"/>
          <w:sz w:val="20"/>
          <w:szCs w:val="20"/>
        </w:rPr>
      </w:pPr>
      <w:r>
        <w:rPr>
          <w:rStyle w:val="FootnoteReference"/>
        </w:rPr>
        <w:t>25</w:t>
      </w:r>
      <w:r>
        <w:t xml:space="preserve"> </w:t>
      </w:r>
      <w:r w:rsidRPr="002B434E">
        <w:rPr>
          <w:spacing w:val="-3"/>
          <w:sz w:val="20"/>
          <w:szCs w:val="20"/>
          <w:vertAlign w:val="superscript"/>
        </w:rPr>
        <w:tab/>
      </w:r>
      <w:r w:rsidRPr="002B434E">
        <w:rPr>
          <w:sz w:val="20"/>
          <w:szCs w:val="20"/>
        </w:rPr>
        <w:t xml:space="preserve">See </w:t>
      </w:r>
      <w:r w:rsidRPr="002B434E">
        <w:rPr>
          <w:spacing w:val="-3"/>
          <w:sz w:val="20"/>
          <w:szCs w:val="20"/>
        </w:rPr>
        <w:t xml:space="preserve">FCC’s </w:t>
      </w:r>
      <w:r w:rsidRPr="002B434E">
        <w:rPr>
          <w:i/>
          <w:spacing w:val="-3"/>
          <w:sz w:val="20"/>
          <w:szCs w:val="20"/>
        </w:rPr>
        <w:t xml:space="preserve">Access Billing Requirements for Joint Service Provision, </w:t>
      </w:r>
      <w:r w:rsidRPr="002B434E">
        <w:rPr>
          <w:spacing w:val="-3"/>
          <w:sz w:val="20"/>
          <w:szCs w:val="20"/>
        </w:rPr>
        <w:t xml:space="preserve">CC Docket No. 87-579, Phase II, DA 88-1544 (released Oct 4, 1988) (available at 1988 WL 488227 (F.C.C.)); </w:t>
      </w:r>
      <w:r w:rsidRPr="002B434E">
        <w:rPr>
          <w:i/>
          <w:spacing w:val="-3"/>
          <w:sz w:val="20"/>
          <w:szCs w:val="20"/>
        </w:rPr>
        <w:t>Access Charge Reform</w:t>
      </w:r>
      <w:r w:rsidRPr="002B434E">
        <w:rPr>
          <w:spacing w:val="-3"/>
          <w:sz w:val="20"/>
          <w:szCs w:val="20"/>
        </w:rPr>
        <w:t xml:space="preserve"> Order at CC Docket No. 96-262, 8</w:t>
      </w:r>
      <w:r w:rsidRPr="002B434E">
        <w:rPr>
          <w:spacing w:val="-3"/>
          <w:sz w:val="20"/>
          <w:szCs w:val="20"/>
          <w:vertAlign w:val="superscript"/>
        </w:rPr>
        <w:t>th</w:t>
      </w:r>
      <w:r w:rsidRPr="002B434E">
        <w:rPr>
          <w:spacing w:val="-3"/>
          <w:sz w:val="20"/>
          <w:szCs w:val="20"/>
        </w:rPr>
        <w:t xml:space="preserve"> Report and order and 5</w:t>
      </w:r>
      <w:r w:rsidRPr="002B434E">
        <w:rPr>
          <w:spacing w:val="-3"/>
          <w:sz w:val="20"/>
          <w:szCs w:val="20"/>
          <w:vertAlign w:val="superscript"/>
        </w:rPr>
        <w:t>th</w:t>
      </w:r>
      <w:r w:rsidRPr="002B434E">
        <w:rPr>
          <w:spacing w:val="-3"/>
          <w:sz w:val="20"/>
          <w:szCs w:val="20"/>
        </w:rPr>
        <w:t xml:space="preserve"> Order on reconsideration , 19 FCC Rcd 9108, ¶ 16, n.54 (2004).</w:t>
      </w:r>
    </w:p>
    <w:p w:rsidR="00DA6FC2" w:rsidRDefault="00DA6FC2">
      <w:pPr>
        <w:pStyle w:val="FootnoteText"/>
      </w:pPr>
    </w:p>
  </w:footnote>
  <w:footnote w:id="6">
    <w:p w:rsidR="007875D3" w:rsidRPr="00232365" w:rsidRDefault="007875D3">
      <w:pPr>
        <w:pStyle w:val="FootnoteText"/>
        <w:rPr>
          <w:rFonts w:ascii="Times New Roman" w:hAnsi="Times New Roman" w:cs="Times New Roman"/>
        </w:rPr>
      </w:pPr>
      <w:r w:rsidRPr="00232365">
        <w:rPr>
          <w:rStyle w:val="FootnoteReference"/>
          <w:rFonts w:ascii="Times New Roman" w:hAnsi="Times New Roman" w:cs="Times New Roman"/>
        </w:rPr>
        <w:t>26.</w:t>
      </w:r>
      <w:r w:rsidRPr="00232365">
        <w:rPr>
          <w:rFonts w:ascii="Times New Roman" w:hAnsi="Times New Roman" w:cs="Times New Roman"/>
          <w:spacing w:val="-3"/>
        </w:rPr>
        <w:tab/>
      </w:r>
      <w:r w:rsidRPr="00232365">
        <w:rPr>
          <w:rFonts w:ascii="Times New Roman" w:hAnsi="Times New Roman" w:cs="Times New Roman"/>
          <w:color w:val="000000"/>
        </w:rPr>
        <w:t xml:space="preserve">The paramount goal of contractual interpretation is to ascertain and give effect to the intent of the parties.  </w:t>
      </w:r>
      <w:r w:rsidRPr="00232365">
        <w:rPr>
          <w:rFonts w:ascii="Times New Roman" w:hAnsi="Times New Roman" w:cs="Times New Roman"/>
          <w:i/>
          <w:color w:val="000000"/>
        </w:rPr>
        <w:t>RegScan, Inc. v. ConWay Transportation Services, Inc.,</w:t>
      </w:r>
      <w:r w:rsidRPr="00232365">
        <w:rPr>
          <w:rFonts w:ascii="Times New Roman" w:hAnsi="Times New Roman" w:cs="Times New Roman"/>
          <w:color w:val="000000"/>
        </w:rPr>
        <w:t xml:space="preserve"> 875 A.2d 332 (Pa. Super. 2005).  It is well established in Pennsylvania that the parties’ past practice and custom may be used to discern the intent of the parties.  </w:t>
      </w:r>
      <w:r w:rsidRPr="00232365">
        <w:rPr>
          <w:rFonts w:ascii="Times New Roman" w:hAnsi="Times New Roman" w:cs="Times New Roman"/>
          <w:i/>
          <w:color w:val="000000"/>
        </w:rPr>
        <w:t>Birdsall-Friedman Company v. Globe and Rutgers Insurance Company</w:t>
      </w:r>
      <w:r w:rsidRPr="00232365">
        <w:rPr>
          <w:rFonts w:ascii="Times New Roman" w:hAnsi="Times New Roman" w:cs="Times New Roman"/>
          <w:color w:val="000000"/>
        </w:rPr>
        <w:t>, 190 A. 924, 326 Pa. 404 (1937).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C42" w:rsidRDefault="00FC4C42">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F3BBA"/>
    <w:multiLevelType w:val="hybridMultilevel"/>
    <w:tmpl w:val="409C15DC"/>
    <w:lvl w:ilvl="0" w:tplc="A4F4D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C5598"/>
    <w:multiLevelType w:val="hybridMultilevel"/>
    <w:tmpl w:val="3656EC4C"/>
    <w:lvl w:ilvl="0" w:tplc="195C1F54">
      <w:start w:val="1"/>
      <w:numFmt w:val="decimal"/>
      <w:lvlText w:val="%1."/>
      <w:lvlJc w:val="left"/>
      <w:pPr>
        <w:ind w:left="315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B5E456D"/>
    <w:multiLevelType w:val="hybridMultilevel"/>
    <w:tmpl w:val="94FE43E4"/>
    <w:lvl w:ilvl="0" w:tplc="3CCCC502">
      <w:start w:val="1"/>
      <w:numFmt w:val="decimal"/>
      <w:pStyle w:val="Findings"/>
      <w:lvlText w:val="%1."/>
      <w:lvlJc w:val="left"/>
      <w:pPr>
        <w:tabs>
          <w:tab w:val="num" w:pos="720"/>
        </w:tabs>
        <w:ind w:left="0" w:firstLine="720"/>
      </w:pPr>
      <w:rPr>
        <w:rFonts w:hint="default"/>
        <w:b w:val="0"/>
        <w:i w:val="0"/>
        <w:caps w:val="0"/>
        <w:strike w:val="0"/>
        <w:dstrike w:val="0"/>
        <w:shadow w:val="0"/>
        <w:emboss w:val="0"/>
        <w:imprint w:val="0"/>
        <w:vanish w:val="0"/>
        <w:vertAlign w:val="baseline"/>
      </w:rPr>
    </w:lvl>
    <w:lvl w:ilvl="1" w:tplc="56987738">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26952DD"/>
    <w:multiLevelType w:val="hybridMultilevel"/>
    <w:tmpl w:val="74765E52"/>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A37D88"/>
    <w:rsid w:val="000008C5"/>
    <w:rsid w:val="00000E76"/>
    <w:rsid w:val="00007C3A"/>
    <w:rsid w:val="000239E4"/>
    <w:rsid w:val="000326D6"/>
    <w:rsid w:val="00036434"/>
    <w:rsid w:val="00036439"/>
    <w:rsid w:val="0004448C"/>
    <w:rsid w:val="00050943"/>
    <w:rsid w:val="00052677"/>
    <w:rsid w:val="0005317F"/>
    <w:rsid w:val="000605F0"/>
    <w:rsid w:val="0006144C"/>
    <w:rsid w:val="00066E78"/>
    <w:rsid w:val="00072920"/>
    <w:rsid w:val="00073AB4"/>
    <w:rsid w:val="00084565"/>
    <w:rsid w:val="00093116"/>
    <w:rsid w:val="0009361B"/>
    <w:rsid w:val="000A55A7"/>
    <w:rsid w:val="000A5765"/>
    <w:rsid w:val="000B0554"/>
    <w:rsid w:val="000B0812"/>
    <w:rsid w:val="000B36CF"/>
    <w:rsid w:val="000C0DC0"/>
    <w:rsid w:val="000C16A5"/>
    <w:rsid w:val="000C2057"/>
    <w:rsid w:val="000C7939"/>
    <w:rsid w:val="000D14E9"/>
    <w:rsid w:val="000D3704"/>
    <w:rsid w:val="000E1B51"/>
    <w:rsid w:val="000E35DF"/>
    <w:rsid w:val="000E6685"/>
    <w:rsid w:val="000F30AA"/>
    <w:rsid w:val="000F3484"/>
    <w:rsid w:val="000F4A14"/>
    <w:rsid w:val="000F4B28"/>
    <w:rsid w:val="000F5284"/>
    <w:rsid w:val="000F52A6"/>
    <w:rsid w:val="000F5422"/>
    <w:rsid w:val="000F633A"/>
    <w:rsid w:val="001102E1"/>
    <w:rsid w:val="00110797"/>
    <w:rsid w:val="00117EB3"/>
    <w:rsid w:val="00130507"/>
    <w:rsid w:val="00137712"/>
    <w:rsid w:val="00137E77"/>
    <w:rsid w:val="00141651"/>
    <w:rsid w:val="00147BC6"/>
    <w:rsid w:val="00152BF6"/>
    <w:rsid w:val="00160E7E"/>
    <w:rsid w:val="00163C9E"/>
    <w:rsid w:val="00170D91"/>
    <w:rsid w:val="00173F72"/>
    <w:rsid w:val="0017723A"/>
    <w:rsid w:val="001775D6"/>
    <w:rsid w:val="001858E1"/>
    <w:rsid w:val="00186878"/>
    <w:rsid w:val="001871D2"/>
    <w:rsid w:val="00187C41"/>
    <w:rsid w:val="00197E1E"/>
    <w:rsid w:val="001A34DD"/>
    <w:rsid w:val="001A4B65"/>
    <w:rsid w:val="001A7974"/>
    <w:rsid w:val="001A7A1C"/>
    <w:rsid w:val="001C13FF"/>
    <w:rsid w:val="001C5A70"/>
    <w:rsid w:val="001C696D"/>
    <w:rsid w:val="001C718F"/>
    <w:rsid w:val="001D5B5F"/>
    <w:rsid w:val="001E50AF"/>
    <w:rsid w:val="001E7815"/>
    <w:rsid w:val="001F6C91"/>
    <w:rsid w:val="00211C82"/>
    <w:rsid w:val="002121FA"/>
    <w:rsid w:val="00213A66"/>
    <w:rsid w:val="002167E0"/>
    <w:rsid w:val="00220678"/>
    <w:rsid w:val="00220AF6"/>
    <w:rsid w:val="00221CB4"/>
    <w:rsid w:val="00222112"/>
    <w:rsid w:val="00222C10"/>
    <w:rsid w:val="00225FC7"/>
    <w:rsid w:val="00232365"/>
    <w:rsid w:val="00233CEE"/>
    <w:rsid w:val="00242D73"/>
    <w:rsid w:val="0025145D"/>
    <w:rsid w:val="00256605"/>
    <w:rsid w:val="00261741"/>
    <w:rsid w:val="00271E03"/>
    <w:rsid w:val="00274CB2"/>
    <w:rsid w:val="00285EC3"/>
    <w:rsid w:val="00286824"/>
    <w:rsid w:val="002878E4"/>
    <w:rsid w:val="00287FF5"/>
    <w:rsid w:val="0029249E"/>
    <w:rsid w:val="00294C8C"/>
    <w:rsid w:val="002A1DC3"/>
    <w:rsid w:val="002A4C21"/>
    <w:rsid w:val="002A60DB"/>
    <w:rsid w:val="002B434E"/>
    <w:rsid w:val="002B7054"/>
    <w:rsid w:val="002C2E5A"/>
    <w:rsid w:val="002C34D3"/>
    <w:rsid w:val="002C357A"/>
    <w:rsid w:val="002C76CD"/>
    <w:rsid w:val="002D36E9"/>
    <w:rsid w:val="002D6299"/>
    <w:rsid w:val="002E3E76"/>
    <w:rsid w:val="002E6927"/>
    <w:rsid w:val="002F2151"/>
    <w:rsid w:val="002F423A"/>
    <w:rsid w:val="0031120E"/>
    <w:rsid w:val="0032130F"/>
    <w:rsid w:val="0032181D"/>
    <w:rsid w:val="00321850"/>
    <w:rsid w:val="003231F4"/>
    <w:rsid w:val="00323B72"/>
    <w:rsid w:val="003301AF"/>
    <w:rsid w:val="00330946"/>
    <w:rsid w:val="00332ECB"/>
    <w:rsid w:val="00347BB3"/>
    <w:rsid w:val="00350D6F"/>
    <w:rsid w:val="00351B70"/>
    <w:rsid w:val="00354591"/>
    <w:rsid w:val="00356F1C"/>
    <w:rsid w:val="00360AC0"/>
    <w:rsid w:val="00365831"/>
    <w:rsid w:val="00365C1C"/>
    <w:rsid w:val="00375FA3"/>
    <w:rsid w:val="00384022"/>
    <w:rsid w:val="0039272F"/>
    <w:rsid w:val="003A603B"/>
    <w:rsid w:val="003A72A2"/>
    <w:rsid w:val="003B2481"/>
    <w:rsid w:val="003B4140"/>
    <w:rsid w:val="003D1BE7"/>
    <w:rsid w:val="003E6B3A"/>
    <w:rsid w:val="003E6D04"/>
    <w:rsid w:val="003F6BA7"/>
    <w:rsid w:val="00401866"/>
    <w:rsid w:val="00403CDE"/>
    <w:rsid w:val="00415583"/>
    <w:rsid w:val="00427E66"/>
    <w:rsid w:val="004325A6"/>
    <w:rsid w:val="00432E72"/>
    <w:rsid w:val="00436F0C"/>
    <w:rsid w:val="004400B3"/>
    <w:rsid w:val="00453043"/>
    <w:rsid w:val="004542E4"/>
    <w:rsid w:val="004557E2"/>
    <w:rsid w:val="00464E1D"/>
    <w:rsid w:val="00475D67"/>
    <w:rsid w:val="00476714"/>
    <w:rsid w:val="00477F13"/>
    <w:rsid w:val="00483C21"/>
    <w:rsid w:val="004922FB"/>
    <w:rsid w:val="004A1D3A"/>
    <w:rsid w:val="004A3DD0"/>
    <w:rsid w:val="004A7F52"/>
    <w:rsid w:val="004B6C67"/>
    <w:rsid w:val="004C2206"/>
    <w:rsid w:val="004D3F30"/>
    <w:rsid w:val="004E322C"/>
    <w:rsid w:val="004F151A"/>
    <w:rsid w:val="004F570C"/>
    <w:rsid w:val="004F7D79"/>
    <w:rsid w:val="00512583"/>
    <w:rsid w:val="00516C1C"/>
    <w:rsid w:val="0052030F"/>
    <w:rsid w:val="00531EBD"/>
    <w:rsid w:val="00533B05"/>
    <w:rsid w:val="00536D28"/>
    <w:rsid w:val="005430F7"/>
    <w:rsid w:val="00544F60"/>
    <w:rsid w:val="005451A4"/>
    <w:rsid w:val="005468F0"/>
    <w:rsid w:val="00551977"/>
    <w:rsid w:val="005536C5"/>
    <w:rsid w:val="00554AEA"/>
    <w:rsid w:val="00556795"/>
    <w:rsid w:val="00560048"/>
    <w:rsid w:val="00562394"/>
    <w:rsid w:val="00563AAC"/>
    <w:rsid w:val="00566CCD"/>
    <w:rsid w:val="00573F7C"/>
    <w:rsid w:val="0057763B"/>
    <w:rsid w:val="00581CF8"/>
    <w:rsid w:val="005919EF"/>
    <w:rsid w:val="00596FE3"/>
    <w:rsid w:val="005A204C"/>
    <w:rsid w:val="005A2292"/>
    <w:rsid w:val="005A3A8B"/>
    <w:rsid w:val="005A3C4B"/>
    <w:rsid w:val="005A6F1D"/>
    <w:rsid w:val="005B1F1D"/>
    <w:rsid w:val="005B5838"/>
    <w:rsid w:val="005B5CBA"/>
    <w:rsid w:val="005D0E35"/>
    <w:rsid w:val="005D1F18"/>
    <w:rsid w:val="005D27CD"/>
    <w:rsid w:val="005D2832"/>
    <w:rsid w:val="005D52C6"/>
    <w:rsid w:val="005D611B"/>
    <w:rsid w:val="005E0C15"/>
    <w:rsid w:val="005E159A"/>
    <w:rsid w:val="005E44FA"/>
    <w:rsid w:val="005E59D3"/>
    <w:rsid w:val="005E78F8"/>
    <w:rsid w:val="005F34F1"/>
    <w:rsid w:val="005F538F"/>
    <w:rsid w:val="005F5727"/>
    <w:rsid w:val="005F6848"/>
    <w:rsid w:val="005F78F7"/>
    <w:rsid w:val="006011D3"/>
    <w:rsid w:val="00602FF6"/>
    <w:rsid w:val="0060336C"/>
    <w:rsid w:val="00603385"/>
    <w:rsid w:val="006101C9"/>
    <w:rsid w:val="0061306A"/>
    <w:rsid w:val="00613605"/>
    <w:rsid w:val="00614E4B"/>
    <w:rsid w:val="0062157E"/>
    <w:rsid w:val="006245DA"/>
    <w:rsid w:val="00624BBA"/>
    <w:rsid w:val="00635B20"/>
    <w:rsid w:val="00643792"/>
    <w:rsid w:val="0065096B"/>
    <w:rsid w:val="00652766"/>
    <w:rsid w:val="00653A50"/>
    <w:rsid w:val="00653DF2"/>
    <w:rsid w:val="006571B0"/>
    <w:rsid w:val="00663C03"/>
    <w:rsid w:val="00670036"/>
    <w:rsid w:val="00672E66"/>
    <w:rsid w:val="00674F23"/>
    <w:rsid w:val="00687CC6"/>
    <w:rsid w:val="006901B2"/>
    <w:rsid w:val="0069454F"/>
    <w:rsid w:val="006A4C11"/>
    <w:rsid w:val="006A7AD3"/>
    <w:rsid w:val="006B58D4"/>
    <w:rsid w:val="006C0AA0"/>
    <w:rsid w:val="006C0D0B"/>
    <w:rsid w:val="006C0D97"/>
    <w:rsid w:val="006C1A07"/>
    <w:rsid w:val="006C2A2E"/>
    <w:rsid w:val="006C3EA4"/>
    <w:rsid w:val="006C5FFB"/>
    <w:rsid w:val="006C6863"/>
    <w:rsid w:val="006D2FFC"/>
    <w:rsid w:val="006D47E4"/>
    <w:rsid w:val="006E017B"/>
    <w:rsid w:val="006E3BF4"/>
    <w:rsid w:val="006E58F9"/>
    <w:rsid w:val="006F0008"/>
    <w:rsid w:val="006F37D5"/>
    <w:rsid w:val="006F7F1B"/>
    <w:rsid w:val="00700706"/>
    <w:rsid w:val="00701697"/>
    <w:rsid w:val="00704EE2"/>
    <w:rsid w:val="007074EC"/>
    <w:rsid w:val="00710D5B"/>
    <w:rsid w:val="00714F1D"/>
    <w:rsid w:val="00720DA0"/>
    <w:rsid w:val="007210AD"/>
    <w:rsid w:val="0072680F"/>
    <w:rsid w:val="0073322E"/>
    <w:rsid w:val="0073365C"/>
    <w:rsid w:val="00734CA2"/>
    <w:rsid w:val="00735654"/>
    <w:rsid w:val="007532CB"/>
    <w:rsid w:val="007620AB"/>
    <w:rsid w:val="007662F4"/>
    <w:rsid w:val="007714E2"/>
    <w:rsid w:val="007716EF"/>
    <w:rsid w:val="0077629B"/>
    <w:rsid w:val="007775FC"/>
    <w:rsid w:val="0078511E"/>
    <w:rsid w:val="007875D3"/>
    <w:rsid w:val="007A2926"/>
    <w:rsid w:val="007B4C06"/>
    <w:rsid w:val="007C48A5"/>
    <w:rsid w:val="007C50E1"/>
    <w:rsid w:val="007D1B16"/>
    <w:rsid w:val="007D3D03"/>
    <w:rsid w:val="007D63F1"/>
    <w:rsid w:val="007E6A1B"/>
    <w:rsid w:val="007F408A"/>
    <w:rsid w:val="007F6C62"/>
    <w:rsid w:val="00825EB9"/>
    <w:rsid w:val="00826365"/>
    <w:rsid w:val="00826EFD"/>
    <w:rsid w:val="00841AA9"/>
    <w:rsid w:val="00842893"/>
    <w:rsid w:val="00843660"/>
    <w:rsid w:val="0084761B"/>
    <w:rsid w:val="0085225F"/>
    <w:rsid w:val="0085438F"/>
    <w:rsid w:val="00857861"/>
    <w:rsid w:val="008608BD"/>
    <w:rsid w:val="0086095D"/>
    <w:rsid w:val="00862D86"/>
    <w:rsid w:val="00865E05"/>
    <w:rsid w:val="00871F78"/>
    <w:rsid w:val="00876524"/>
    <w:rsid w:val="00876683"/>
    <w:rsid w:val="00883A4A"/>
    <w:rsid w:val="00885B22"/>
    <w:rsid w:val="00893B47"/>
    <w:rsid w:val="008945AF"/>
    <w:rsid w:val="008A046D"/>
    <w:rsid w:val="008A0873"/>
    <w:rsid w:val="008A1AA5"/>
    <w:rsid w:val="008A24F7"/>
    <w:rsid w:val="008A5691"/>
    <w:rsid w:val="008A59C0"/>
    <w:rsid w:val="008A76E3"/>
    <w:rsid w:val="008C524E"/>
    <w:rsid w:val="008C629C"/>
    <w:rsid w:val="008D014E"/>
    <w:rsid w:val="008D414A"/>
    <w:rsid w:val="008E16BB"/>
    <w:rsid w:val="008E19CC"/>
    <w:rsid w:val="008F0D15"/>
    <w:rsid w:val="008F2697"/>
    <w:rsid w:val="008F2F8A"/>
    <w:rsid w:val="008F5583"/>
    <w:rsid w:val="009210EA"/>
    <w:rsid w:val="0092470C"/>
    <w:rsid w:val="0092524D"/>
    <w:rsid w:val="009259CF"/>
    <w:rsid w:val="00925BE8"/>
    <w:rsid w:val="00925E06"/>
    <w:rsid w:val="00926C51"/>
    <w:rsid w:val="009326E9"/>
    <w:rsid w:val="00942EF3"/>
    <w:rsid w:val="009467C4"/>
    <w:rsid w:val="0095398D"/>
    <w:rsid w:val="009557CA"/>
    <w:rsid w:val="00956783"/>
    <w:rsid w:val="00957B20"/>
    <w:rsid w:val="00961FF0"/>
    <w:rsid w:val="009622FE"/>
    <w:rsid w:val="00970FB6"/>
    <w:rsid w:val="009712D6"/>
    <w:rsid w:val="00973665"/>
    <w:rsid w:val="009763EC"/>
    <w:rsid w:val="00977DD7"/>
    <w:rsid w:val="00977FE7"/>
    <w:rsid w:val="00980416"/>
    <w:rsid w:val="00985159"/>
    <w:rsid w:val="00997282"/>
    <w:rsid w:val="009A1C25"/>
    <w:rsid w:val="009A5457"/>
    <w:rsid w:val="009A5856"/>
    <w:rsid w:val="009A7D28"/>
    <w:rsid w:val="009B1E3F"/>
    <w:rsid w:val="009C48A8"/>
    <w:rsid w:val="009C7E8A"/>
    <w:rsid w:val="009D339C"/>
    <w:rsid w:val="009D7961"/>
    <w:rsid w:val="009E1436"/>
    <w:rsid w:val="009F0B03"/>
    <w:rsid w:val="009F451D"/>
    <w:rsid w:val="00A00AF5"/>
    <w:rsid w:val="00A0480A"/>
    <w:rsid w:val="00A11730"/>
    <w:rsid w:val="00A1358E"/>
    <w:rsid w:val="00A3230A"/>
    <w:rsid w:val="00A37757"/>
    <w:rsid w:val="00A37D88"/>
    <w:rsid w:val="00A42B1E"/>
    <w:rsid w:val="00A46330"/>
    <w:rsid w:val="00A46C7B"/>
    <w:rsid w:val="00A624AF"/>
    <w:rsid w:val="00A63DBF"/>
    <w:rsid w:val="00A64567"/>
    <w:rsid w:val="00A655A4"/>
    <w:rsid w:val="00A656E5"/>
    <w:rsid w:val="00A65EC4"/>
    <w:rsid w:val="00A67135"/>
    <w:rsid w:val="00A72E5C"/>
    <w:rsid w:val="00A74C0D"/>
    <w:rsid w:val="00A8769F"/>
    <w:rsid w:val="00A91384"/>
    <w:rsid w:val="00AA29DC"/>
    <w:rsid w:val="00AA6511"/>
    <w:rsid w:val="00AA6998"/>
    <w:rsid w:val="00AA6AA9"/>
    <w:rsid w:val="00AA7DC6"/>
    <w:rsid w:val="00AB451F"/>
    <w:rsid w:val="00AB77BC"/>
    <w:rsid w:val="00AC2532"/>
    <w:rsid w:val="00AC3893"/>
    <w:rsid w:val="00AC7399"/>
    <w:rsid w:val="00AD0426"/>
    <w:rsid w:val="00AD100B"/>
    <w:rsid w:val="00AD254D"/>
    <w:rsid w:val="00AD2F83"/>
    <w:rsid w:val="00AD487C"/>
    <w:rsid w:val="00AE04B0"/>
    <w:rsid w:val="00AE5530"/>
    <w:rsid w:val="00AF49CC"/>
    <w:rsid w:val="00AF4CB1"/>
    <w:rsid w:val="00B02913"/>
    <w:rsid w:val="00B071FD"/>
    <w:rsid w:val="00B14595"/>
    <w:rsid w:val="00B179D5"/>
    <w:rsid w:val="00B20B5F"/>
    <w:rsid w:val="00B24E25"/>
    <w:rsid w:val="00B303A9"/>
    <w:rsid w:val="00B34F1B"/>
    <w:rsid w:val="00B40DE9"/>
    <w:rsid w:val="00B43A14"/>
    <w:rsid w:val="00B44632"/>
    <w:rsid w:val="00B54AE8"/>
    <w:rsid w:val="00B621C8"/>
    <w:rsid w:val="00B641BF"/>
    <w:rsid w:val="00B64DF4"/>
    <w:rsid w:val="00B66382"/>
    <w:rsid w:val="00B67FB4"/>
    <w:rsid w:val="00B756D5"/>
    <w:rsid w:val="00B7692F"/>
    <w:rsid w:val="00B802B5"/>
    <w:rsid w:val="00B81187"/>
    <w:rsid w:val="00B901A1"/>
    <w:rsid w:val="00B93704"/>
    <w:rsid w:val="00B9647B"/>
    <w:rsid w:val="00BA0832"/>
    <w:rsid w:val="00BA252B"/>
    <w:rsid w:val="00BB0DFD"/>
    <w:rsid w:val="00BB1A9D"/>
    <w:rsid w:val="00BB1D3E"/>
    <w:rsid w:val="00BB1EAF"/>
    <w:rsid w:val="00BC18DA"/>
    <w:rsid w:val="00BC3C72"/>
    <w:rsid w:val="00BC4DAF"/>
    <w:rsid w:val="00BC7AD8"/>
    <w:rsid w:val="00BD111D"/>
    <w:rsid w:val="00BD3401"/>
    <w:rsid w:val="00BD3548"/>
    <w:rsid w:val="00BD4E0C"/>
    <w:rsid w:val="00BF6F07"/>
    <w:rsid w:val="00C01969"/>
    <w:rsid w:val="00C03EBF"/>
    <w:rsid w:val="00C07199"/>
    <w:rsid w:val="00C30CCA"/>
    <w:rsid w:val="00C32D91"/>
    <w:rsid w:val="00C40971"/>
    <w:rsid w:val="00C416FA"/>
    <w:rsid w:val="00C41A62"/>
    <w:rsid w:val="00C4371D"/>
    <w:rsid w:val="00C45196"/>
    <w:rsid w:val="00C4725B"/>
    <w:rsid w:val="00C60668"/>
    <w:rsid w:val="00C669B1"/>
    <w:rsid w:val="00C719FE"/>
    <w:rsid w:val="00C71E1A"/>
    <w:rsid w:val="00C81076"/>
    <w:rsid w:val="00C8645F"/>
    <w:rsid w:val="00C90557"/>
    <w:rsid w:val="00C92A35"/>
    <w:rsid w:val="00C93D24"/>
    <w:rsid w:val="00CA0F4F"/>
    <w:rsid w:val="00CA2E89"/>
    <w:rsid w:val="00CA3BBE"/>
    <w:rsid w:val="00CA3CB0"/>
    <w:rsid w:val="00CA5A1F"/>
    <w:rsid w:val="00CA6E5D"/>
    <w:rsid w:val="00CB188E"/>
    <w:rsid w:val="00CB3448"/>
    <w:rsid w:val="00CC2B6B"/>
    <w:rsid w:val="00CC2C8C"/>
    <w:rsid w:val="00CC75E3"/>
    <w:rsid w:val="00CC7B3F"/>
    <w:rsid w:val="00CD055A"/>
    <w:rsid w:val="00CD4A36"/>
    <w:rsid w:val="00CE4006"/>
    <w:rsid w:val="00CF398F"/>
    <w:rsid w:val="00CF4772"/>
    <w:rsid w:val="00CF54D8"/>
    <w:rsid w:val="00CF6B64"/>
    <w:rsid w:val="00CF6B65"/>
    <w:rsid w:val="00CF77E8"/>
    <w:rsid w:val="00D00DE1"/>
    <w:rsid w:val="00D028B3"/>
    <w:rsid w:val="00D118DA"/>
    <w:rsid w:val="00D127F5"/>
    <w:rsid w:val="00D14F9F"/>
    <w:rsid w:val="00D15E15"/>
    <w:rsid w:val="00D163EF"/>
    <w:rsid w:val="00D216E5"/>
    <w:rsid w:val="00D3544B"/>
    <w:rsid w:val="00D430BE"/>
    <w:rsid w:val="00D465DC"/>
    <w:rsid w:val="00D519B6"/>
    <w:rsid w:val="00D53D03"/>
    <w:rsid w:val="00D5662A"/>
    <w:rsid w:val="00D66D79"/>
    <w:rsid w:val="00D70D35"/>
    <w:rsid w:val="00D71797"/>
    <w:rsid w:val="00D72B10"/>
    <w:rsid w:val="00D72C93"/>
    <w:rsid w:val="00D833BA"/>
    <w:rsid w:val="00D84D07"/>
    <w:rsid w:val="00D850CB"/>
    <w:rsid w:val="00D909BB"/>
    <w:rsid w:val="00D96607"/>
    <w:rsid w:val="00DA2E35"/>
    <w:rsid w:val="00DA6FC2"/>
    <w:rsid w:val="00DB287C"/>
    <w:rsid w:val="00DB3DEE"/>
    <w:rsid w:val="00DB5281"/>
    <w:rsid w:val="00DB5291"/>
    <w:rsid w:val="00DB67C3"/>
    <w:rsid w:val="00DF43CE"/>
    <w:rsid w:val="00DF6310"/>
    <w:rsid w:val="00DF6F7A"/>
    <w:rsid w:val="00E031B0"/>
    <w:rsid w:val="00E03E66"/>
    <w:rsid w:val="00E05E79"/>
    <w:rsid w:val="00E06CAE"/>
    <w:rsid w:val="00E13494"/>
    <w:rsid w:val="00E21EDE"/>
    <w:rsid w:val="00E271D0"/>
    <w:rsid w:val="00E27796"/>
    <w:rsid w:val="00E3148D"/>
    <w:rsid w:val="00E32841"/>
    <w:rsid w:val="00E33160"/>
    <w:rsid w:val="00E3368A"/>
    <w:rsid w:val="00E3567F"/>
    <w:rsid w:val="00E370B0"/>
    <w:rsid w:val="00E37B16"/>
    <w:rsid w:val="00E457D0"/>
    <w:rsid w:val="00E46D16"/>
    <w:rsid w:val="00E55116"/>
    <w:rsid w:val="00E564D3"/>
    <w:rsid w:val="00E61382"/>
    <w:rsid w:val="00E6423A"/>
    <w:rsid w:val="00E6477A"/>
    <w:rsid w:val="00E73232"/>
    <w:rsid w:val="00E810FC"/>
    <w:rsid w:val="00E82C3D"/>
    <w:rsid w:val="00EA0A69"/>
    <w:rsid w:val="00EA2381"/>
    <w:rsid w:val="00EA4482"/>
    <w:rsid w:val="00EA5F22"/>
    <w:rsid w:val="00EA6A79"/>
    <w:rsid w:val="00EA7215"/>
    <w:rsid w:val="00EA7397"/>
    <w:rsid w:val="00EB4E7D"/>
    <w:rsid w:val="00EB7B97"/>
    <w:rsid w:val="00EB7DC9"/>
    <w:rsid w:val="00EC0435"/>
    <w:rsid w:val="00EC06E0"/>
    <w:rsid w:val="00EC3D45"/>
    <w:rsid w:val="00EC69A7"/>
    <w:rsid w:val="00EE7D91"/>
    <w:rsid w:val="00F00D62"/>
    <w:rsid w:val="00F014F8"/>
    <w:rsid w:val="00F03C64"/>
    <w:rsid w:val="00F07332"/>
    <w:rsid w:val="00F13B45"/>
    <w:rsid w:val="00F249C7"/>
    <w:rsid w:val="00F36C07"/>
    <w:rsid w:val="00F37675"/>
    <w:rsid w:val="00F40598"/>
    <w:rsid w:val="00F41807"/>
    <w:rsid w:val="00F42D91"/>
    <w:rsid w:val="00F47D9B"/>
    <w:rsid w:val="00F6425A"/>
    <w:rsid w:val="00F74B74"/>
    <w:rsid w:val="00F769EC"/>
    <w:rsid w:val="00F822EA"/>
    <w:rsid w:val="00F957AE"/>
    <w:rsid w:val="00FA0490"/>
    <w:rsid w:val="00FA49B0"/>
    <w:rsid w:val="00FA64B0"/>
    <w:rsid w:val="00FA6712"/>
    <w:rsid w:val="00FA75FA"/>
    <w:rsid w:val="00FB5771"/>
    <w:rsid w:val="00FC4C42"/>
    <w:rsid w:val="00FC5AAB"/>
    <w:rsid w:val="00FE2295"/>
    <w:rsid w:val="00FF12D3"/>
    <w:rsid w:val="00FF2711"/>
    <w:rsid w:val="00FF2D2C"/>
    <w:rsid w:val="00FF69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783"/>
    <w:pPr>
      <w:spacing w:line="36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448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5096B"/>
    <w:pPr>
      <w:tabs>
        <w:tab w:val="center" w:pos="4680"/>
        <w:tab w:val="right" w:pos="9360"/>
      </w:tabs>
    </w:pPr>
  </w:style>
  <w:style w:type="character" w:customStyle="1" w:styleId="HeaderChar">
    <w:name w:val="Header Char"/>
    <w:basedOn w:val="DefaultParagraphFont"/>
    <w:link w:val="Header"/>
    <w:uiPriority w:val="99"/>
    <w:semiHidden/>
    <w:rsid w:val="0065096B"/>
    <w:rPr>
      <w:sz w:val="24"/>
      <w:szCs w:val="24"/>
    </w:rPr>
  </w:style>
  <w:style w:type="paragraph" w:styleId="Footer">
    <w:name w:val="footer"/>
    <w:basedOn w:val="Normal"/>
    <w:link w:val="FooterChar"/>
    <w:uiPriority w:val="99"/>
    <w:unhideWhenUsed/>
    <w:rsid w:val="0065096B"/>
    <w:pPr>
      <w:tabs>
        <w:tab w:val="center" w:pos="4680"/>
        <w:tab w:val="right" w:pos="9360"/>
      </w:tabs>
    </w:pPr>
  </w:style>
  <w:style w:type="character" w:customStyle="1" w:styleId="FooterChar">
    <w:name w:val="Footer Char"/>
    <w:basedOn w:val="DefaultParagraphFont"/>
    <w:link w:val="Footer"/>
    <w:uiPriority w:val="99"/>
    <w:rsid w:val="0065096B"/>
    <w:rPr>
      <w:sz w:val="24"/>
      <w:szCs w:val="24"/>
    </w:rPr>
  </w:style>
  <w:style w:type="paragraph" w:styleId="ListParagraph">
    <w:name w:val="List Paragraph"/>
    <w:basedOn w:val="Normal"/>
    <w:uiPriority w:val="34"/>
    <w:qFormat/>
    <w:rsid w:val="005A204C"/>
    <w:pPr>
      <w:ind w:left="720"/>
    </w:pPr>
  </w:style>
  <w:style w:type="paragraph" w:styleId="FootnoteText">
    <w:name w:val="footnote text"/>
    <w:aliases w:val="fn,ALTS FOOTNOTE,Footnote Text 2,Footnote text,FOOTNOTE,Footnote Text Char1 Char,Footnote Text Char Char Char,ALTS FOOTNOTE Char Char Char,fn Char Char Char,Footnote Text Char2 Char Char Char"/>
    <w:basedOn w:val="Normal"/>
    <w:link w:val="FootnoteTextChar"/>
    <w:semiHidden/>
    <w:rsid w:val="009210EA"/>
    <w:pPr>
      <w:autoSpaceDE w:val="0"/>
      <w:autoSpaceDN w:val="0"/>
      <w:spacing w:line="240" w:lineRule="auto"/>
    </w:pPr>
    <w:rPr>
      <w:rFonts w:ascii="CG Times (W1)" w:eastAsia="Times New Roman" w:hAnsi="CG Times (W1)" w:cs="CG Times (W1)"/>
      <w:sz w:val="20"/>
      <w:szCs w:val="20"/>
    </w:rPr>
  </w:style>
  <w:style w:type="character" w:customStyle="1" w:styleId="FootnoteTextChar">
    <w:name w:val="Footnote Text Char"/>
    <w:aliases w:val="fn Char,ALTS FOOTNOTE Char,Footnote Text 2 Char,Footnote text Char,FOOTNOTE Char,Footnote Text Char1 Char Char,Footnote Text Char Char Char Char,ALTS FOOTNOTE Char Char Char Char,fn Char Char Char Char"/>
    <w:basedOn w:val="DefaultParagraphFont"/>
    <w:link w:val="FootnoteText"/>
    <w:semiHidden/>
    <w:rsid w:val="009210EA"/>
    <w:rPr>
      <w:rFonts w:ascii="CG Times (W1)" w:eastAsia="Times New Roman" w:hAnsi="CG Times (W1)" w:cs="CG Times (W1)"/>
    </w:rPr>
  </w:style>
  <w:style w:type="paragraph" w:customStyle="1" w:styleId="Findings">
    <w:name w:val="Findings"/>
    <w:basedOn w:val="Normal"/>
    <w:rsid w:val="009210EA"/>
    <w:pPr>
      <w:numPr>
        <w:numId w:val="2"/>
      </w:numPr>
      <w:spacing w:line="560" w:lineRule="exact"/>
      <w:jc w:val="both"/>
    </w:pPr>
    <w:rPr>
      <w:rFonts w:eastAsia="Times New Roman"/>
      <w:szCs w:val="20"/>
    </w:rPr>
  </w:style>
  <w:style w:type="character" w:styleId="Hyperlink">
    <w:name w:val="Hyperlink"/>
    <w:basedOn w:val="DefaultParagraphFont"/>
    <w:rsid w:val="009210EA"/>
    <w:rPr>
      <w:color w:val="0000FF"/>
      <w:u w:val="single"/>
    </w:rPr>
  </w:style>
  <w:style w:type="paragraph" w:styleId="EndnoteText">
    <w:name w:val="endnote text"/>
    <w:basedOn w:val="Normal"/>
    <w:link w:val="EndnoteTextChar"/>
    <w:uiPriority w:val="99"/>
    <w:semiHidden/>
    <w:unhideWhenUsed/>
    <w:rsid w:val="0060336C"/>
    <w:rPr>
      <w:sz w:val="20"/>
      <w:szCs w:val="20"/>
    </w:rPr>
  </w:style>
  <w:style w:type="character" w:customStyle="1" w:styleId="EndnoteTextChar">
    <w:name w:val="Endnote Text Char"/>
    <w:basedOn w:val="DefaultParagraphFont"/>
    <w:link w:val="EndnoteText"/>
    <w:uiPriority w:val="99"/>
    <w:semiHidden/>
    <w:rsid w:val="0060336C"/>
  </w:style>
  <w:style w:type="character" w:styleId="EndnoteReference">
    <w:name w:val="endnote reference"/>
    <w:basedOn w:val="DefaultParagraphFont"/>
    <w:uiPriority w:val="99"/>
    <w:semiHidden/>
    <w:unhideWhenUsed/>
    <w:rsid w:val="0060336C"/>
    <w:rPr>
      <w:vertAlign w:val="superscript"/>
    </w:rPr>
  </w:style>
  <w:style w:type="character" w:styleId="FootnoteReference">
    <w:name w:val="footnote reference"/>
    <w:basedOn w:val="DefaultParagraphFont"/>
    <w:uiPriority w:val="99"/>
    <w:semiHidden/>
    <w:unhideWhenUsed/>
    <w:rsid w:val="0060336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xlink?app=00075&amp;view=full&amp;searchtype=get&amp;search=117+Pa.+Commw.+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52340-D2CC-4775-9DAC-E17A1834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7389</Words>
  <Characters>42121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49412</CharactersWithSpaces>
  <SharedDoc>false</SharedDoc>
  <HLinks>
    <vt:vector size="6" baseType="variant">
      <vt:variant>
        <vt:i4>8257599</vt:i4>
      </vt:variant>
      <vt:variant>
        <vt:i4>0</vt:i4>
      </vt:variant>
      <vt:variant>
        <vt:i4>0</vt:i4>
      </vt:variant>
      <vt:variant>
        <vt:i4>5</vt:i4>
      </vt:variant>
      <vt:variant>
        <vt:lpwstr>http://www.lexis.com/research/xlink?app=00075&amp;view=full&amp;searchtype=get&amp;search=117+Pa.+Commw.+36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lcocheres</dc:creator>
  <cp:keywords/>
  <dc:description/>
  <cp:lastModifiedBy>shoffner</cp:lastModifiedBy>
  <cp:revision>4</cp:revision>
  <cp:lastPrinted>2010-06-15T14:47:00Z</cp:lastPrinted>
  <dcterms:created xsi:type="dcterms:W3CDTF">2010-06-15T18:26:00Z</dcterms:created>
  <dcterms:modified xsi:type="dcterms:W3CDTF">2010-06-23T18:38:00Z</dcterms:modified>
</cp:coreProperties>
</file>