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700"/>
        <w:gridCol w:w="1530"/>
        <w:gridCol w:w="3600"/>
        <w:gridCol w:w="18"/>
      </w:tblGrid>
      <w:tr w:rsidR="0048436C">
        <w:trPr>
          <w:gridAfter w:val="1"/>
          <w:wAfter w:w="18" w:type="dxa"/>
        </w:trPr>
        <w:tc>
          <w:tcPr>
            <w:tcW w:w="2448" w:type="dxa"/>
          </w:tcPr>
          <w:p w:rsidR="0048436C" w:rsidRDefault="00B16602">
            <w:pPr>
              <w:rPr>
                <w:color w:val="auto"/>
                <w:sz w:val="26"/>
              </w:rPr>
            </w:pPr>
            <w:r>
              <w:rPr>
                <w:color w:val="auto"/>
                <w:sz w:val="26"/>
              </w:rPr>
              <w:t xml:space="preserve"> </w:t>
            </w:r>
            <w:r w:rsidR="0048436C">
              <w:rPr>
                <w:color w:val="auto"/>
                <w:sz w:val="26"/>
              </w:rPr>
              <w:t xml:space="preserve">  </w:t>
            </w:r>
          </w:p>
        </w:tc>
        <w:tc>
          <w:tcPr>
            <w:tcW w:w="4230" w:type="dxa"/>
            <w:gridSpan w:val="2"/>
          </w:tcPr>
          <w:p w:rsidR="0048436C" w:rsidRDefault="0048436C">
            <w:pPr>
              <w:jc w:val="center"/>
              <w:rPr>
                <w:b/>
                <w:color w:val="auto"/>
                <w:sz w:val="26"/>
              </w:rPr>
            </w:pPr>
            <w:smartTag w:uri="urn:schemas-microsoft-com:office:smarttags" w:element="place">
              <w:smartTag w:uri="urn:schemas-microsoft-com:office:smarttags" w:element="State">
                <w:r>
                  <w:rPr>
                    <w:b/>
                    <w:color w:val="auto"/>
                    <w:sz w:val="26"/>
                  </w:rPr>
                  <w:t>PENNSYLVANIA</w:t>
                </w:r>
              </w:smartTag>
            </w:smartTag>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smartTag w:uri="urn:schemas-microsoft-com:office:smarttags" w:element="place">
              <w:smartTag w:uri="urn:schemas-microsoft-com:office:smarttags" w:element="City">
                <w:r>
                  <w:rPr>
                    <w:b/>
                    <w:color w:val="auto"/>
                    <w:sz w:val="26"/>
                  </w:rPr>
                  <w:t>Harrisburg</w:t>
                </w:r>
              </w:smartTag>
              <w:r>
                <w:rPr>
                  <w:b/>
                  <w:color w:val="auto"/>
                  <w:sz w:val="26"/>
                </w:rPr>
                <w:t xml:space="preserve">, </w:t>
              </w:r>
              <w:smartTag w:uri="urn:schemas-microsoft-com:office:smarttags" w:element="State">
                <w:r>
                  <w:rPr>
                    <w:b/>
                    <w:color w:val="auto"/>
                    <w:sz w:val="26"/>
                  </w:rPr>
                  <w:t>PA</w:t>
                </w:r>
              </w:smartTag>
              <w:r>
                <w:rPr>
                  <w:b/>
                  <w:color w:val="auto"/>
                  <w:sz w:val="26"/>
                </w:rPr>
                <w:t xml:space="preserve">  </w:t>
              </w:r>
              <w:smartTag w:uri="urn:schemas-microsoft-com:office:smarttags" w:element="PostalCode">
                <w:r>
                  <w:rPr>
                    <w:b/>
                    <w:color w:val="auto"/>
                    <w:sz w:val="26"/>
                  </w:rPr>
                  <w:t>17105-3265</w:t>
                </w:r>
              </w:smartTag>
            </w:smartTag>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48436C" w:rsidP="00674EDF">
            <w:pPr>
              <w:jc w:val="center"/>
              <w:rPr>
                <w:color w:val="auto"/>
                <w:sz w:val="26"/>
              </w:rPr>
            </w:pPr>
            <w:r w:rsidRPr="00F9196A">
              <w:rPr>
                <w:color w:val="auto"/>
                <w:sz w:val="26"/>
              </w:rPr>
              <w:t xml:space="preserve">Public Meeting held </w:t>
            </w:r>
            <w:r w:rsidR="00674EDF">
              <w:rPr>
                <w:color w:val="auto"/>
                <w:sz w:val="26"/>
              </w:rPr>
              <w:t>May</w:t>
            </w:r>
            <w:r w:rsidR="005D6F43">
              <w:rPr>
                <w:color w:val="auto"/>
                <w:sz w:val="26"/>
              </w:rPr>
              <w:t xml:space="preserve"> </w:t>
            </w:r>
            <w:r w:rsidR="00674EDF">
              <w:rPr>
                <w:color w:val="auto"/>
                <w:sz w:val="26"/>
              </w:rPr>
              <w:t>20</w:t>
            </w:r>
            <w:r w:rsidR="009B34D3">
              <w:rPr>
                <w:color w:val="auto"/>
                <w:sz w:val="26"/>
              </w:rPr>
              <w:t>, 20</w:t>
            </w:r>
            <w:r w:rsidR="0052023E">
              <w:rPr>
                <w:color w:val="auto"/>
                <w:sz w:val="26"/>
              </w:rPr>
              <w:t>10</w:t>
            </w:r>
          </w:p>
        </w:tc>
      </w:tr>
      <w:tr w:rsidR="0048436C">
        <w:tc>
          <w:tcPr>
            <w:tcW w:w="5148" w:type="dxa"/>
            <w:gridSpan w:val="2"/>
          </w:tcPr>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296" w:type="dxa"/>
        <w:tblLayout w:type="fixed"/>
        <w:tblLook w:val="0000"/>
      </w:tblPr>
      <w:tblGrid>
        <w:gridCol w:w="6434"/>
        <w:gridCol w:w="3124"/>
        <w:gridCol w:w="487"/>
        <w:gridCol w:w="251"/>
      </w:tblGrid>
      <w:tr w:rsidR="0048436C" w:rsidTr="00B92A5A">
        <w:tc>
          <w:tcPr>
            <w:tcW w:w="9558" w:type="dxa"/>
            <w:gridSpan w:val="2"/>
          </w:tcPr>
          <w:p w:rsidR="0048436C" w:rsidRDefault="0048436C">
            <w:pPr>
              <w:rPr>
                <w:color w:val="auto"/>
                <w:sz w:val="26"/>
              </w:rPr>
            </w:pPr>
            <w:r>
              <w:rPr>
                <w:color w:val="auto"/>
                <w:sz w:val="26"/>
              </w:rPr>
              <w:t xml:space="preserve">      </w:t>
            </w:r>
            <w:r w:rsidR="005D6F43">
              <w:rPr>
                <w:color w:val="auto"/>
                <w:sz w:val="26"/>
              </w:rPr>
              <w:t>James H. Cawley, Chairman</w:t>
            </w:r>
          </w:p>
        </w:tc>
        <w:tc>
          <w:tcPr>
            <w:tcW w:w="738" w:type="dxa"/>
            <w:gridSpan w:val="2"/>
          </w:tcPr>
          <w:p w:rsidR="0048436C" w:rsidRDefault="0048436C">
            <w:pPr>
              <w:rPr>
                <w:color w:val="auto"/>
                <w:sz w:val="26"/>
              </w:rPr>
            </w:pPr>
          </w:p>
        </w:tc>
      </w:tr>
      <w:tr w:rsidR="0048436C" w:rsidTr="00B92A5A">
        <w:tc>
          <w:tcPr>
            <w:tcW w:w="9558" w:type="dxa"/>
            <w:gridSpan w:val="2"/>
          </w:tcPr>
          <w:p w:rsidR="0048436C" w:rsidRDefault="0048436C">
            <w:pPr>
              <w:rPr>
                <w:color w:val="auto"/>
                <w:sz w:val="26"/>
              </w:rPr>
            </w:pPr>
            <w:r>
              <w:rPr>
                <w:color w:val="auto"/>
                <w:sz w:val="26"/>
              </w:rPr>
              <w:t xml:space="preserve">      </w:t>
            </w:r>
            <w:r w:rsidR="00EF06C5">
              <w:rPr>
                <w:color w:val="auto"/>
                <w:sz w:val="26"/>
              </w:rPr>
              <w:t>Tyrone J. Christy, Vice Chairman</w:t>
            </w:r>
          </w:p>
        </w:tc>
        <w:tc>
          <w:tcPr>
            <w:tcW w:w="738" w:type="dxa"/>
            <w:gridSpan w:val="2"/>
          </w:tcPr>
          <w:p w:rsidR="0048436C" w:rsidRDefault="0048436C">
            <w:pPr>
              <w:rPr>
                <w:color w:val="auto"/>
                <w:sz w:val="26"/>
              </w:rPr>
            </w:pPr>
          </w:p>
        </w:tc>
      </w:tr>
      <w:tr w:rsidR="003816E9" w:rsidTr="00B92A5A">
        <w:tc>
          <w:tcPr>
            <w:tcW w:w="9558" w:type="dxa"/>
            <w:gridSpan w:val="2"/>
          </w:tcPr>
          <w:p w:rsidR="003816E9" w:rsidRDefault="003816E9" w:rsidP="000E6D97">
            <w:pPr>
              <w:rPr>
                <w:color w:val="auto"/>
                <w:sz w:val="26"/>
              </w:rPr>
            </w:pPr>
            <w:r>
              <w:rPr>
                <w:color w:val="auto"/>
                <w:sz w:val="26"/>
              </w:rPr>
              <w:t xml:space="preserve">      Wayne E. Gardner</w:t>
            </w:r>
          </w:p>
        </w:tc>
        <w:tc>
          <w:tcPr>
            <w:tcW w:w="738" w:type="dxa"/>
            <w:gridSpan w:val="2"/>
          </w:tcPr>
          <w:p w:rsidR="003816E9" w:rsidRDefault="003816E9">
            <w:pPr>
              <w:rPr>
                <w:color w:val="auto"/>
                <w:sz w:val="26"/>
              </w:rPr>
            </w:pPr>
          </w:p>
        </w:tc>
      </w:tr>
      <w:tr w:rsidR="003816E9" w:rsidTr="00B92A5A">
        <w:tc>
          <w:tcPr>
            <w:tcW w:w="9558" w:type="dxa"/>
            <w:gridSpan w:val="2"/>
          </w:tcPr>
          <w:p w:rsidR="003816E9" w:rsidRDefault="003816E9" w:rsidP="000E6D97">
            <w:pPr>
              <w:rPr>
                <w:color w:val="auto"/>
                <w:sz w:val="26"/>
              </w:rPr>
            </w:pPr>
            <w:r>
              <w:rPr>
                <w:color w:val="auto"/>
                <w:sz w:val="26"/>
              </w:rPr>
              <w:t xml:space="preserve">      Robert F. Powelson</w:t>
            </w:r>
          </w:p>
        </w:tc>
        <w:tc>
          <w:tcPr>
            <w:tcW w:w="738" w:type="dxa"/>
            <w:gridSpan w:val="2"/>
          </w:tcPr>
          <w:p w:rsidR="003816E9" w:rsidRDefault="003816E9">
            <w:pPr>
              <w:rPr>
                <w:color w:val="auto"/>
                <w:sz w:val="26"/>
              </w:rPr>
            </w:pPr>
          </w:p>
        </w:tc>
      </w:tr>
      <w:tr w:rsidR="003816E9" w:rsidTr="00B92A5A">
        <w:tc>
          <w:tcPr>
            <w:tcW w:w="9558" w:type="dxa"/>
            <w:gridSpan w:val="2"/>
          </w:tcPr>
          <w:p w:rsidR="003816E9" w:rsidRDefault="003816E9">
            <w:pPr>
              <w:rPr>
                <w:color w:val="auto"/>
                <w:sz w:val="26"/>
              </w:rPr>
            </w:pPr>
          </w:p>
        </w:tc>
        <w:tc>
          <w:tcPr>
            <w:tcW w:w="738" w:type="dxa"/>
            <w:gridSpan w:val="2"/>
          </w:tcPr>
          <w:p w:rsidR="003816E9" w:rsidRDefault="003816E9">
            <w:pPr>
              <w:rPr>
                <w:color w:val="auto"/>
                <w:sz w:val="26"/>
              </w:rPr>
            </w:pPr>
          </w:p>
        </w:tc>
      </w:tr>
      <w:tr w:rsidR="0048436C" w:rsidTr="00B92A5A">
        <w:trPr>
          <w:gridAfter w:val="1"/>
          <w:wAfter w:w="251" w:type="dxa"/>
          <w:trHeight w:val="1027"/>
        </w:trPr>
        <w:tc>
          <w:tcPr>
            <w:tcW w:w="6434" w:type="dxa"/>
          </w:tcPr>
          <w:p w:rsidR="0048436C" w:rsidRDefault="00686530" w:rsidP="004C734F">
            <w:pPr>
              <w:rPr>
                <w:color w:val="auto"/>
                <w:kern w:val="1"/>
                <w:sz w:val="26"/>
                <w:szCs w:val="26"/>
              </w:rPr>
            </w:pPr>
            <w:r>
              <w:rPr>
                <w:color w:val="auto"/>
                <w:kern w:val="1"/>
                <w:sz w:val="26"/>
                <w:szCs w:val="26"/>
              </w:rPr>
              <w:t>S</w:t>
            </w:r>
            <w:r w:rsidR="002341D0" w:rsidRPr="002341D0">
              <w:rPr>
                <w:color w:val="auto"/>
                <w:kern w:val="1"/>
                <w:sz w:val="26"/>
                <w:szCs w:val="26"/>
              </w:rPr>
              <w:t xml:space="preserve">ecurities certificate </w:t>
            </w:r>
            <w:r w:rsidR="002341D0">
              <w:rPr>
                <w:color w:val="auto"/>
                <w:kern w:val="1"/>
                <w:sz w:val="26"/>
                <w:szCs w:val="26"/>
              </w:rPr>
              <w:t xml:space="preserve">of </w:t>
            </w:r>
            <w:r>
              <w:rPr>
                <w:color w:val="auto"/>
                <w:kern w:val="1"/>
                <w:sz w:val="26"/>
                <w:szCs w:val="26"/>
              </w:rPr>
              <w:t>Duquesne Light Company</w:t>
            </w:r>
            <w:r w:rsidR="00BF6CAC">
              <w:rPr>
                <w:color w:val="auto"/>
                <w:sz w:val="26"/>
                <w:szCs w:val="26"/>
              </w:rPr>
              <w:t xml:space="preserve"> </w:t>
            </w:r>
            <w:r w:rsidR="00EC2DC4">
              <w:rPr>
                <w:color w:val="auto"/>
                <w:sz w:val="26"/>
                <w:szCs w:val="26"/>
              </w:rPr>
              <w:t>for</w:t>
            </w:r>
            <w:r w:rsidR="00450DD1">
              <w:rPr>
                <w:color w:val="auto"/>
                <w:sz w:val="26"/>
                <w:szCs w:val="26"/>
              </w:rPr>
              <w:t xml:space="preserve"> the issuance o</w:t>
            </w:r>
            <w:r w:rsidR="004026ED">
              <w:rPr>
                <w:color w:val="auto"/>
                <w:kern w:val="1"/>
                <w:sz w:val="26"/>
                <w:szCs w:val="26"/>
              </w:rPr>
              <w:t>f</w:t>
            </w:r>
            <w:r w:rsidR="00BF6CAC">
              <w:rPr>
                <w:color w:val="auto"/>
                <w:kern w:val="1"/>
                <w:sz w:val="26"/>
                <w:szCs w:val="26"/>
              </w:rPr>
              <w:t xml:space="preserve"> </w:t>
            </w:r>
            <w:r w:rsidR="003816E9">
              <w:rPr>
                <w:color w:val="auto"/>
                <w:kern w:val="1"/>
                <w:sz w:val="26"/>
                <w:szCs w:val="26"/>
              </w:rPr>
              <w:t>long-term debt</w:t>
            </w:r>
            <w:r w:rsidR="008070B0">
              <w:rPr>
                <w:color w:val="auto"/>
                <w:kern w:val="1"/>
                <w:sz w:val="26"/>
                <w:szCs w:val="26"/>
              </w:rPr>
              <w:t xml:space="preserve"> </w:t>
            </w:r>
            <w:r w:rsidR="00BF6CAC">
              <w:rPr>
                <w:color w:val="auto"/>
                <w:kern w:val="1"/>
                <w:sz w:val="26"/>
                <w:szCs w:val="26"/>
              </w:rPr>
              <w:t xml:space="preserve">in an </w:t>
            </w:r>
            <w:r w:rsidR="008070B0">
              <w:rPr>
                <w:color w:val="auto"/>
                <w:kern w:val="1"/>
                <w:sz w:val="26"/>
                <w:szCs w:val="26"/>
              </w:rPr>
              <w:t xml:space="preserve">aggregate </w:t>
            </w:r>
            <w:r w:rsidR="00EC2DC4">
              <w:rPr>
                <w:color w:val="auto"/>
                <w:kern w:val="1"/>
                <w:sz w:val="26"/>
                <w:szCs w:val="26"/>
              </w:rPr>
              <w:t xml:space="preserve">principal </w:t>
            </w:r>
            <w:r w:rsidR="00BF6CAC">
              <w:rPr>
                <w:color w:val="auto"/>
                <w:kern w:val="1"/>
                <w:sz w:val="26"/>
                <w:szCs w:val="26"/>
              </w:rPr>
              <w:t>amount</w:t>
            </w:r>
            <w:r w:rsidR="004C734F">
              <w:rPr>
                <w:color w:val="auto"/>
                <w:kern w:val="1"/>
                <w:sz w:val="26"/>
                <w:szCs w:val="26"/>
              </w:rPr>
              <w:t xml:space="preserve"> </w:t>
            </w:r>
            <w:r w:rsidR="00BF6CAC">
              <w:rPr>
                <w:color w:val="auto"/>
                <w:kern w:val="1"/>
                <w:sz w:val="26"/>
                <w:szCs w:val="26"/>
              </w:rPr>
              <w:t>not to exceed $</w:t>
            </w:r>
            <w:r>
              <w:rPr>
                <w:color w:val="auto"/>
                <w:kern w:val="1"/>
                <w:sz w:val="26"/>
                <w:szCs w:val="26"/>
              </w:rPr>
              <w:t>30</w:t>
            </w:r>
            <w:r w:rsidR="00EF06C5">
              <w:rPr>
                <w:color w:val="auto"/>
                <w:kern w:val="1"/>
                <w:sz w:val="26"/>
                <w:szCs w:val="26"/>
              </w:rPr>
              <w:t>0</w:t>
            </w:r>
            <w:r w:rsidR="00BF6CAC">
              <w:rPr>
                <w:color w:val="auto"/>
                <w:kern w:val="1"/>
                <w:sz w:val="26"/>
                <w:szCs w:val="26"/>
              </w:rPr>
              <w:t xml:space="preserve"> million</w:t>
            </w:r>
            <w:r w:rsidR="00D11DE7" w:rsidRPr="002341D0">
              <w:rPr>
                <w:color w:val="auto"/>
                <w:kern w:val="1"/>
                <w:sz w:val="26"/>
                <w:szCs w:val="26"/>
              </w:rPr>
              <w:t>.</w:t>
            </w:r>
          </w:p>
          <w:p w:rsidR="00B92A5A" w:rsidRDefault="00B92A5A" w:rsidP="004C734F">
            <w:pPr>
              <w:rPr>
                <w:color w:val="auto"/>
                <w:kern w:val="1"/>
                <w:sz w:val="26"/>
                <w:szCs w:val="26"/>
              </w:rPr>
            </w:pPr>
          </w:p>
          <w:p w:rsidR="00B92A5A" w:rsidRPr="002341D0" w:rsidRDefault="00B92A5A" w:rsidP="00DB4D3D">
            <w:pPr>
              <w:rPr>
                <w:color w:val="auto"/>
                <w:sz w:val="26"/>
                <w:szCs w:val="26"/>
              </w:rPr>
            </w:pPr>
            <w:r>
              <w:rPr>
                <w:color w:val="auto"/>
                <w:kern w:val="2"/>
                <w:sz w:val="26"/>
              </w:rPr>
              <w:t xml:space="preserve">Affiliated interest agreement concerning </w:t>
            </w:r>
            <w:r w:rsidR="002B407A">
              <w:rPr>
                <w:color w:val="auto"/>
                <w:kern w:val="2"/>
                <w:sz w:val="26"/>
              </w:rPr>
              <w:t xml:space="preserve">long-term </w:t>
            </w:r>
            <w:r w:rsidR="00DB4D3D">
              <w:rPr>
                <w:color w:val="auto"/>
                <w:kern w:val="2"/>
                <w:sz w:val="26"/>
              </w:rPr>
              <w:t>financ</w:t>
            </w:r>
            <w:r>
              <w:rPr>
                <w:color w:val="auto"/>
                <w:kern w:val="2"/>
                <w:sz w:val="26"/>
              </w:rPr>
              <w:t xml:space="preserve">ing transactions between Duquesne Light Company and </w:t>
            </w:r>
            <w:r w:rsidR="004478BA">
              <w:rPr>
                <w:color w:val="auto"/>
                <w:kern w:val="2"/>
                <w:sz w:val="26"/>
              </w:rPr>
              <w:t xml:space="preserve">its parent company, </w:t>
            </w:r>
            <w:r>
              <w:rPr>
                <w:color w:val="auto"/>
                <w:kern w:val="2"/>
                <w:sz w:val="26"/>
              </w:rPr>
              <w:t>Duquesne Light Holdings</w:t>
            </w:r>
            <w:r w:rsidR="004478BA">
              <w:rPr>
                <w:color w:val="auto"/>
                <w:kern w:val="2"/>
                <w:sz w:val="26"/>
              </w:rPr>
              <w:t>, Inc.</w:t>
            </w:r>
          </w:p>
        </w:tc>
        <w:tc>
          <w:tcPr>
            <w:tcW w:w="3611" w:type="dxa"/>
            <w:gridSpan w:val="2"/>
          </w:tcPr>
          <w:p w:rsidR="0048436C" w:rsidRPr="00374F1A" w:rsidRDefault="00B74650">
            <w:pPr>
              <w:rPr>
                <w:color w:val="auto"/>
                <w:sz w:val="26"/>
              </w:rPr>
            </w:pPr>
            <w:r>
              <w:rPr>
                <w:color w:val="auto"/>
                <w:sz w:val="26"/>
              </w:rPr>
              <w:t>Docket Number:</w:t>
            </w:r>
          </w:p>
          <w:p w:rsidR="008C16EB" w:rsidRDefault="008C16EB">
            <w:pPr>
              <w:rPr>
                <w:color w:val="auto"/>
                <w:kern w:val="1"/>
                <w:sz w:val="26"/>
                <w:szCs w:val="26"/>
              </w:rPr>
            </w:pPr>
          </w:p>
          <w:p w:rsidR="00724FF6" w:rsidRDefault="00724FF6" w:rsidP="00B523AF">
            <w:pPr>
              <w:rPr>
                <w:color w:val="auto"/>
                <w:kern w:val="1"/>
                <w:sz w:val="26"/>
                <w:szCs w:val="26"/>
              </w:rPr>
            </w:pPr>
            <w:r>
              <w:rPr>
                <w:color w:val="auto"/>
                <w:kern w:val="1"/>
                <w:sz w:val="26"/>
                <w:szCs w:val="26"/>
              </w:rPr>
              <w:t>S</w:t>
            </w:r>
            <w:r w:rsidR="00370A42">
              <w:rPr>
                <w:color w:val="auto"/>
                <w:kern w:val="1"/>
                <w:sz w:val="26"/>
                <w:szCs w:val="26"/>
              </w:rPr>
              <w:t>-</w:t>
            </w:r>
            <w:r w:rsidR="00D54AE2">
              <w:rPr>
                <w:color w:val="auto"/>
                <w:kern w:val="1"/>
                <w:sz w:val="26"/>
                <w:szCs w:val="26"/>
              </w:rPr>
              <w:t>20</w:t>
            </w:r>
            <w:r w:rsidR="00B523AF">
              <w:rPr>
                <w:color w:val="auto"/>
                <w:kern w:val="1"/>
                <w:sz w:val="26"/>
                <w:szCs w:val="26"/>
              </w:rPr>
              <w:t>10</w:t>
            </w:r>
            <w:r w:rsidR="00D54AE2">
              <w:rPr>
                <w:color w:val="auto"/>
                <w:kern w:val="1"/>
                <w:sz w:val="26"/>
                <w:szCs w:val="26"/>
              </w:rPr>
              <w:t>-</w:t>
            </w:r>
            <w:r w:rsidR="00475F5D">
              <w:rPr>
                <w:color w:val="auto"/>
                <w:kern w:val="1"/>
                <w:sz w:val="26"/>
                <w:szCs w:val="26"/>
              </w:rPr>
              <w:t>2</w:t>
            </w:r>
            <w:r w:rsidR="00B523AF">
              <w:rPr>
                <w:color w:val="auto"/>
                <w:kern w:val="1"/>
                <w:sz w:val="26"/>
                <w:szCs w:val="26"/>
              </w:rPr>
              <w:t>1</w:t>
            </w:r>
            <w:r w:rsidR="00686530">
              <w:rPr>
                <w:color w:val="auto"/>
                <w:kern w:val="1"/>
                <w:sz w:val="26"/>
                <w:szCs w:val="26"/>
              </w:rPr>
              <w:t>6</w:t>
            </w:r>
            <w:r w:rsidR="00B523AF">
              <w:rPr>
                <w:color w:val="auto"/>
                <w:kern w:val="1"/>
                <w:sz w:val="26"/>
                <w:szCs w:val="26"/>
              </w:rPr>
              <w:t>1163</w:t>
            </w:r>
          </w:p>
          <w:p w:rsidR="002B407A" w:rsidRDefault="002B407A" w:rsidP="00B523AF">
            <w:pPr>
              <w:rPr>
                <w:color w:val="auto"/>
                <w:kern w:val="1"/>
                <w:sz w:val="26"/>
                <w:szCs w:val="26"/>
              </w:rPr>
            </w:pPr>
          </w:p>
          <w:p w:rsidR="002B407A" w:rsidRDefault="002B407A" w:rsidP="00B523AF">
            <w:pPr>
              <w:rPr>
                <w:color w:val="auto"/>
                <w:kern w:val="1"/>
                <w:sz w:val="26"/>
                <w:szCs w:val="26"/>
              </w:rPr>
            </w:pPr>
            <w:r>
              <w:rPr>
                <w:color w:val="auto"/>
                <w:kern w:val="1"/>
                <w:sz w:val="26"/>
                <w:szCs w:val="26"/>
              </w:rPr>
              <w:t>G-2010-</w:t>
            </w:r>
            <w:r w:rsidR="00093589" w:rsidRPr="00093589">
              <w:rPr>
                <w:color w:val="auto"/>
                <w:kern w:val="1"/>
                <w:sz w:val="26"/>
                <w:szCs w:val="26"/>
              </w:rPr>
              <w:t>2162823</w:t>
            </w:r>
          </w:p>
          <w:p w:rsidR="002B407A" w:rsidRDefault="002B407A" w:rsidP="00B523AF">
            <w:pPr>
              <w:rPr>
                <w:color w:val="auto"/>
                <w:kern w:val="1"/>
                <w:sz w:val="26"/>
                <w:szCs w:val="26"/>
              </w:rPr>
            </w:pPr>
          </w:p>
          <w:p w:rsidR="002B407A" w:rsidRPr="00DE2A15" w:rsidRDefault="002B407A" w:rsidP="00B523AF">
            <w:pPr>
              <w:rPr>
                <w:color w:val="auto"/>
                <w:kern w:val="1"/>
                <w:sz w:val="26"/>
                <w:szCs w:val="26"/>
              </w:rPr>
            </w:pPr>
          </w:p>
        </w:tc>
      </w:tr>
    </w:tbl>
    <w:p w:rsidR="0048436C" w:rsidRDefault="0048436C">
      <w:pPr>
        <w:jc w:val="center"/>
        <w:rPr>
          <w:b/>
          <w:color w:val="auto"/>
          <w:sz w:val="26"/>
        </w:rPr>
      </w:pPr>
    </w:p>
    <w:p w:rsidR="009B34D3" w:rsidRDefault="009B34D3">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D65E62" w:rsidRDefault="004E3EE0" w:rsidP="00475F5D">
      <w:pPr>
        <w:spacing w:line="360" w:lineRule="auto"/>
        <w:ind w:firstLine="1440"/>
        <w:rPr>
          <w:color w:val="auto"/>
          <w:sz w:val="25"/>
          <w:szCs w:val="25"/>
        </w:rPr>
      </w:pPr>
      <w:r w:rsidRPr="004E3EE0">
        <w:rPr>
          <w:color w:val="auto"/>
          <w:sz w:val="26"/>
          <w:szCs w:val="26"/>
        </w:rPr>
        <w:t xml:space="preserve">On </w:t>
      </w:r>
      <w:r w:rsidR="00B523AF">
        <w:rPr>
          <w:color w:val="auto"/>
          <w:sz w:val="26"/>
          <w:szCs w:val="26"/>
        </w:rPr>
        <w:t>February</w:t>
      </w:r>
      <w:r w:rsidR="00C05CDA">
        <w:rPr>
          <w:color w:val="auto"/>
          <w:sz w:val="26"/>
          <w:szCs w:val="26"/>
        </w:rPr>
        <w:t xml:space="preserve"> </w:t>
      </w:r>
      <w:r w:rsidR="00D65E62">
        <w:rPr>
          <w:color w:val="auto"/>
          <w:sz w:val="26"/>
          <w:szCs w:val="26"/>
        </w:rPr>
        <w:t>2</w:t>
      </w:r>
      <w:r w:rsidR="00B523AF">
        <w:rPr>
          <w:color w:val="auto"/>
          <w:sz w:val="26"/>
          <w:szCs w:val="26"/>
        </w:rPr>
        <w:t>5</w:t>
      </w:r>
      <w:r w:rsidR="002341D0">
        <w:rPr>
          <w:color w:val="auto"/>
          <w:sz w:val="26"/>
          <w:szCs w:val="26"/>
        </w:rPr>
        <w:t>, 20</w:t>
      </w:r>
      <w:r w:rsidR="00B523AF">
        <w:rPr>
          <w:color w:val="auto"/>
          <w:sz w:val="26"/>
          <w:szCs w:val="26"/>
        </w:rPr>
        <w:t>1</w:t>
      </w:r>
      <w:r w:rsidR="002341D0">
        <w:rPr>
          <w:color w:val="auto"/>
          <w:sz w:val="26"/>
          <w:szCs w:val="26"/>
        </w:rPr>
        <w:t>0</w:t>
      </w:r>
      <w:r w:rsidRPr="004E3EE0">
        <w:rPr>
          <w:color w:val="auto"/>
          <w:sz w:val="26"/>
          <w:szCs w:val="26"/>
        </w:rPr>
        <w:t xml:space="preserve">, </w:t>
      </w:r>
      <w:r w:rsidR="00D65E62">
        <w:rPr>
          <w:color w:val="auto"/>
          <w:sz w:val="26"/>
          <w:szCs w:val="26"/>
        </w:rPr>
        <w:t>Duquesne Light Company</w:t>
      </w:r>
      <w:r w:rsidR="00991125">
        <w:rPr>
          <w:color w:val="auto"/>
          <w:sz w:val="26"/>
          <w:szCs w:val="26"/>
        </w:rPr>
        <w:t xml:space="preserve"> </w:t>
      </w:r>
      <w:r w:rsidR="002341D0">
        <w:rPr>
          <w:color w:val="auto"/>
          <w:sz w:val="26"/>
          <w:szCs w:val="26"/>
        </w:rPr>
        <w:t>(</w:t>
      </w:r>
      <w:r w:rsidR="00D65E62">
        <w:rPr>
          <w:color w:val="auto"/>
          <w:sz w:val="26"/>
          <w:szCs w:val="26"/>
        </w:rPr>
        <w:t xml:space="preserve">Duquesne </w:t>
      </w:r>
      <w:r w:rsidR="006B1484">
        <w:rPr>
          <w:color w:val="auto"/>
          <w:sz w:val="26"/>
          <w:szCs w:val="26"/>
        </w:rPr>
        <w:t xml:space="preserve">or </w:t>
      </w:r>
      <w:r w:rsidR="00E4303F">
        <w:rPr>
          <w:color w:val="auto"/>
          <w:sz w:val="26"/>
          <w:szCs w:val="26"/>
        </w:rPr>
        <w:t>Company</w:t>
      </w:r>
      <w:r w:rsidR="002341D0">
        <w:rPr>
          <w:color w:val="auto"/>
          <w:sz w:val="26"/>
          <w:szCs w:val="26"/>
        </w:rPr>
        <w:t xml:space="preserve">) </w:t>
      </w:r>
      <w:r w:rsidRPr="004E3EE0">
        <w:rPr>
          <w:color w:val="auto"/>
          <w:sz w:val="26"/>
          <w:szCs w:val="26"/>
        </w:rPr>
        <w:t>filed for registration pursuant to Chapter 19 of the Public Utility Code, 66 Pa. C.S. §§</w:t>
      </w:r>
      <w:r w:rsidR="006A3F4D">
        <w:rPr>
          <w:color w:val="auto"/>
          <w:sz w:val="26"/>
          <w:szCs w:val="26"/>
        </w:rPr>
        <w:t xml:space="preserve"> </w:t>
      </w:r>
      <w:r w:rsidRPr="004E3EE0">
        <w:rPr>
          <w:color w:val="auto"/>
          <w:sz w:val="26"/>
          <w:szCs w:val="26"/>
        </w:rPr>
        <w:t xml:space="preserve">1901, </w:t>
      </w:r>
      <w:r w:rsidRPr="004E3EE0">
        <w:rPr>
          <w:i/>
          <w:color w:val="auto"/>
          <w:sz w:val="26"/>
          <w:szCs w:val="26"/>
        </w:rPr>
        <w:t>et seq.,</w:t>
      </w:r>
      <w:r w:rsidRPr="004E3EE0">
        <w:rPr>
          <w:color w:val="auto"/>
          <w:sz w:val="26"/>
          <w:szCs w:val="26"/>
        </w:rPr>
        <w:t xml:space="preserve"> </w:t>
      </w:r>
      <w:r w:rsidR="000373DC" w:rsidRPr="002B0C2B">
        <w:rPr>
          <w:color w:val="auto"/>
          <w:sz w:val="26"/>
          <w:szCs w:val="26"/>
        </w:rPr>
        <w:t>the above-docketed securities certificate</w:t>
      </w:r>
      <w:r w:rsidR="0071004F">
        <w:rPr>
          <w:color w:val="auto"/>
          <w:sz w:val="26"/>
          <w:szCs w:val="26"/>
        </w:rPr>
        <w:t xml:space="preserve"> for the issuance of </w:t>
      </w:r>
      <w:r w:rsidR="00B523AF">
        <w:rPr>
          <w:color w:val="auto"/>
          <w:sz w:val="26"/>
          <w:szCs w:val="26"/>
        </w:rPr>
        <w:t>debt</w:t>
      </w:r>
      <w:r w:rsidR="0071004F">
        <w:rPr>
          <w:color w:val="auto"/>
          <w:sz w:val="26"/>
          <w:szCs w:val="26"/>
        </w:rPr>
        <w:t xml:space="preserve"> in an aggregate principal amount not to exceed $</w:t>
      </w:r>
      <w:r w:rsidR="00D65E62">
        <w:rPr>
          <w:color w:val="auto"/>
          <w:sz w:val="26"/>
          <w:szCs w:val="26"/>
        </w:rPr>
        <w:t>30</w:t>
      </w:r>
      <w:r w:rsidR="0071004F">
        <w:rPr>
          <w:color w:val="auto"/>
          <w:sz w:val="26"/>
          <w:szCs w:val="26"/>
        </w:rPr>
        <w:t>0 million</w:t>
      </w:r>
      <w:r w:rsidR="00B92416">
        <w:rPr>
          <w:color w:val="auto"/>
          <w:sz w:val="25"/>
          <w:szCs w:val="25"/>
        </w:rPr>
        <w:t xml:space="preserve">.  </w:t>
      </w:r>
      <w:r w:rsidR="00674EDF">
        <w:rPr>
          <w:color w:val="auto"/>
          <w:sz w:val="25"/>
          <w:szCs w:val="25"/>
        </w:rPr>
        <w:t xml:space="preserve">In a letter dated March 18, 2010, </w:t>
      </w:r>
      <w:r w:rsidR="00D0279F">
        <w:rPr>
          <w:color w:val="auto"/>
          <w:sz w:val="25"/>
          <w:szCs w:val="25"/>
        </w:rPr>
        <w:t>Duquesne voluntarily extended the consideration period to April 15, 2010</w:t>
      </w:r>
      <w:r w:rsidR="007E70BF">
        <w:rPr>
          <w:color w:val="auto"/>
          <w:sz w:val="25"/>
          <w:szCs w:val="25"/>
        </w:rPr>
        <w:t>, and then again in a letter dated April 14, 2010, Duquesne voluntarily extended the consideration period to May 20, 2010</w:t>
      </w:r>
      <w:r w:rsidR="00D0279F">
        <w:rPr>
          <w:color w:val="auto"/>
          <w:sz w:val="25"/>
          <w:szCs w:val="25"/>
        </w:rPr>
        <w:t>.</w:t>
      </w:r>
    </w:p>
    <w:p w:rsidR="005456FB" w:rsidRDefault="005456FB" w:rsidP="00475F5D">
      <w:pPr>
        <w:spacing w:line="360" w:lineRule="auto"/>
        <w:ind w:firstLine="1440"/>
        <w:rPr>
          <w:color w:val="auto"/>
          <w:sz w:val="26"/>
          <w:szCs w:val="26"/>
        </w:rPr>
      </w:pPr>
    </w:p>
    <w:p w:rsidR="00066D72" w:rsidRDefault="00066D72" w:rsidP="00AE332F">
      <w:pPr>
        <w:spacing w:line="360" w:lineRule="auto"/>
        <w:ind w:firstLine="1440"/>
        <w:rPr>
          <w:color w:val="auto"/>
          <w:sz w:val="26"/>
          <w:szCs w:val="26"/>
        </w:rPr>
      </w:pPr>
      <w:r>
        <w:rPr>
          <w:color w:val="auto"/>
          <w:sz w:val="26"/>
          <w:szCs w:val="26"/>
        </w:rPr>
        <w:t xml:space="preserve">Duquesne filed concurrently with the securities certificate, an application for approval </w:t>
      </w:r>
      <w:r w:rsidRPr="004E3EE0">
        <w:rPr>
          <w:color w:val="auto"/>
          <w:sz w:val="26"/>
          <w:szCs w:val="26"/>
        </w:rPr>
        <w:t xml:space="preserve">pursuant to Chapter </w:t>
      </w:r>
      <w:r>
        <w:rPr>
          <w:color w:val="auto"/>
          <w:sz w:val="26"/>
          <w:szCs w:val="26"/>
        </w:rPr>
        <w:t>2</w:t>
      </w:r>
      <w:r w:rsidRPr="004E3EE0">
        <w:rPr>
          <w:color w:val="auto"/>
          <w:sz w:val="26"/>
          <w:szCs w:val="26"/>
        </w:rPr>
        <w:t>1 of the Public Utility Code, 66 Pa. C.S. §§</w:t>
      </w:r>
      <w:r>
        <w:rPr>
          <w:color w:val="auto"/>
          <w:sz w:val="26"/>
          <w:szCs w:val="26"/>
        </w:rPr>
        <w:t xml:space="preserve"> 21</w:t>
      </w:r>
      <w:r w:rsidRPr="004E3EE0">
        <w:rPr>
          <w:color w:val="auto"/>
          <w:sz w:val="26"/>
          <w:szCs w:val="26"/>
        </w:rPr>
        <w:t xml:space="preserve">01, </w:t>
      </w:r>
      <w:r w:rsidRPr="004E3EE0">
        <w:rPr>
          <w:i/>
          <w:color w:val="auto"/>
          <w:sz w:val="26"/>
          <w:szCs w:val="26"/>
        </w:rPr>
        <w:t>et seq.,</w:t>
      </w:r>
      <w:r w:rsidRPr="004E3EE0">
        <w:rPr>
          <w:color w:val="auto"/>
          <w:sz w:val="26"/>
          <w:szCs w:val="26"/>
        </w:rPr>
        <w:t xml:space="preserve"> </w:t>
      </w:r>
      <w:r>
        <w:rPr>
          <w:color w:val="auto"/>
          <w:sz w:val="26"/>
          <w:szCs w:val="26"/>
        </w:rPr>
        <w:t xml:space="preserve">an affiliated interest agreement concerning long-term borrowings between Duquesne and its corporate parent </w:t>
      </w:r>
      <w:r w:rsidR="00656ADC" w:rsidRPr="00AE332F">
        <w:rPr>
          <w:color w:val="auto"/>
          <w:sz w:val="26"/>
          <w:szCs w:val="26"/>
        </w:rPr>
        <w:t>Duquesne Light Holdings, Inc.</w:t>
      </w:r>
      <w:r>
        <w:rPr>
          <w:color w:val="auto"/>
          <w:sz w:val="26"/>
          <w:szCs w:val="26"/>
        </w:rPr>
        <w:t xml:space="preserve"> (</w:t>
      </w:r>
      <w:r w:rsidR="00656ADC">
        <w:rPr>
          <w:color w:val="auto"/>
          <w:sz w:val="26"/>
          <w:szCs w:val="26"/>
        </w:rPr>
        <w:t>DLH</w:t>
      </w:r>
      <w:r>
        <w:rPr>
          <w:color w:val="auto"/>
          <w:sz w:val="26"/>
          <w:szCs w:val="26"/>
        </w:rPr>
        <w:t xml:space="preserve">). </w:t>
      </w:r>
      <w:r w:rsidR="00656ADC">
        <w:rPr>
          <w:color w:val="auto"/>
          <w:sz w:val="26"/>
          <w:szCs w:val="26"/>
        </w:rPr>
        <w:t xml:space="preserve"> </w:t>
      </w:r>
    </w:p>
    <w:p w:rsidR="00656ADC" w:rsidRDefault="00656ADC" w:rsidP="00AE332F">
      <w:pPr>
        <w:spacing w:line="360" w:lineRule="auto"/>
        <w:ind w:firstLine="1440"/>
        <w:rPr>
          <w:color w:val="auto"/>
          <w:sz w:val="26"/>
          <w:szCs w:val="26"/>
        </w:rPr>
      </w:pPr>
    </w:p>
    <w:p w:rsidR="00900E05" w:rsidRDefault="00AE332F" w:rsidP="00AE332F">
      <w:pPr>
        <w:spacing w:line="360" w:lineRule="auto"/>
        <w:ind w:firstLine="1440"/>
        <w:rPr>
          <w:color w:val="auto"/>
          <w:sz w:val="26"/>
          <w:szCs w:val="26"/>
        </w:rPr>
      </w:pPr>
      <w:r w:rsidRPr="00AE332F">
        <w:rPr>
          <w:color w:val="auto"/>
          <w:sz w:val="26"/>
          <w:szCs w:val="26"/>
        </w:rPr>
        <w:t>Duquesne</w:t>
      </w:r>
      <w:r w:rsidR="0041031E">
        <w:rPr>
          <w:color w:val="auto"/>
          <w:sz w:val="26"/>
          <w:szCs w:val="26"/>
        </w:rPr>
        <w:t>, utility code 110150,</w:t>
      </w:r>
      <w:r w:rsidR="0041031E" w:rsidRPr="00AE332F">
        <w:rPr>
          <w:color w:val="auto"/>
          <w:sz w:val="26"/>
          <w:szCs w:val="26"/>
        </w:rPr>
        <w:t xml:space="preserve"> </w:t>
      </w:r>
      <w:r w:rsidRPr="00AE332F">
        <w:rPr>
          <w:color w:val="auto"/>
          <w:sz w:val="26"/>
          <w:szCs w:val="26"/>
        </w:rPr>
        <w:t>is a jurisdictional utility</w:t>
      </w:r>
      <w:r w:rsidR="0041031E">
        <w:rPr>
          <w:color w:val="auto"/>
          <w:sz w:val="26"/>
          <w:szCs w:val="26"/>
        </w:rPr>
        <w:t xml:space="preserve"> which </w:t>
      </w:r>
      <w:r w:rsidRPr="00AE332F">
        <w:rPr>
          <w:color w:val="auto"/>
          <w:sz w:val="26"/>
          <w:szCs w:val="26"/>
        </w:rPr>
        <w:t>provid</w:t>
      </w:r>
      <w:r w:rsidR="0041031E">
        <w:rPr>
          <w:color w:val="auto"/>
          <w:sz w:val="26"/>
          <w:szCs w:val="26"/>
        </w:rPr>
        <w:t>es</w:t>
      </w:r>
      <w:r w:rsidRPr="00AE332F">
        <w:rPr>
          <w:color w:val="auto"/>
          <w:sz w:val="26"/>
          <w:szCs w:val="26"/>
        </w:rPr>
        <w:t xml:space="preserve"> electric distribution and transmission services to approximately 587,000 customers in the city of Pittsburgh and the surrounding communities in Allegheny and Butler counties.  Duquesne is a</w:t>
      </w:r>
      <w:r>
        <w:rPr>
          <w:color w:val="auto"/>
          <w:sz w:val="26"/>
          <w:szCs w:val="26"/>
        </w:rPr>
        <w:t xml:space="preserve"> w</w:t>
      </w:r>
      <w:r w:rsidRPr="00AE332F">
        <w:rPr>
          <w:color w:val="auto"/>
          <w:sz w:val="26"/>
          <w:szCs w:val="26"/>
        </w:rPr>
        <w:t>holly</w:t>
      </w:r>
      <w:r>
        <w:rPr>
          <w:color w:val="auto"/>
          <w:sz w:val="26"/>
          <w:szCs w:val="26"/>
        </w:rPr>
        <w:t xml:space="preserve"> </w:t>
      </w:r>
      <w:r w:rsidRPr="00AE332F">
        <w:rPr>
          <w:color w:val="auto"/>
          <w:sz w:val="26"/>
          <w:szCs w:val="26"/>
        </w:rPr>
        <w:t xml:space="preserve">owned subsidiary of DLH.  DLH is an energy services holding company formed to serve as the holding company for Duquesne and to engage in other unregulated energy and energy-related businesses.  </w:t>
      </w:r>
      <w:r w:rsidR="0009488D">
        <w:rPr>
          <w:color w:val="auto"/>
          <w:sz w:val="26"/>
          <w:szCs w:val="26"/>
        </w:rPr>
        <w:t xml:space="preserve">Duquesne divested all of its generation assets </w:t>
      </w:r>
      <w:r w:rsidR="005D4540">
        <w:rPr>
          <w:color w:val="auto"/>
          <w:sz w:val="26"/>
          <w:szCs w:val="26"/>
        </w:rPr>
        <w:t xml:space="preserve">in 2000 </w:t>
      </w:r>
      <w:r w:rsidR="0009488D">
        <w:rPr>
          <w:color w:val="auto"/>
          <w:sz w:val="26"/>
          <w:szCs w:val="26"/>
        </w:rPr>
        <w:t xml:space="preserve">and </w:t>
      </w:r>
      <w:r w:rsidR="00EA010E">
        <w:rPr>
          <w:color w:val="auto"/>
          <w:sz w:val="26"/>
          <w:szCs w:val="26"/>
        </w:rPr>
        <w:t xml:space="preserve">the Company and its affiliated companies, including </w:t>
      </w:r>
      <w:r w:rsidR="005D4540">
        <w:rPr>
          <w:color w:val="auto"/>
          <w:sz w:val="26"/>
          <w:szCs w:val="26"/>
        </w:rPr>
        <w:t>DLH</w:t>
      </w:r>
      <w:r w:rsidR="00EA010E">
        <w:rPr>
          <w:color w:val="auto"/>
          <w:sz w:val="26"/>
          <w:szCs w:val="26"/>
        </w:rPr>
        <w:t>,</w:t>
      </w:r>
      <w:r w:rsidR="005D4540">
        <w:rPr>
          <w:color w:val="auto"/>
          <w:sz w:val="26"/>
          <w:szCs w:val="26"/>
        </w:rPr>
        <w:t xml:space="preserve"> currently </w:t>
      </w:r>
      <w:r w:rsidR="0009488D">
        <w:rPr>
          <w:color w:val="auto"/>
          <w:sz w:val="26"/>
          <w:szCs w:val="26"/>
        </w:rPr>
        <w:t xml:space="preserve">own </w:t>
      </w:r>
      <w:r w:rsidR="005D4540">
        <w:rPr>
          <w:color w:val="auto"/>
          <w:sz w:val="26"/>
          <w:szCs w:val="26"/>
        </w:rPr>
        <w:t xml:space="preserve">no generation assets.  </w:t>
      </w:r>
      <w:r w:rsidR="004616A0">
        <w:rPr>
          <w:color w:val="auto"/>
          <w:sz w:val="26"/>
          <w:szCs w:val="26"/>
        </w:rPr>
        <w:t>Duquesne is a member of PJM Interconnection, LLC a regional transmission organization</w:t>
      </w:r>
      <w:r w:rsidR="0041031E">
        <w:rPr>
          <w:color w:val="auto"/>
          <w:sz w:val="26"/>
          <w:szCs w:val="26"/>
        </w:rPr>
        <w:t xml:space="preserve"> that serves 13 states and the District of Columbia</w:t>
      </w:r>
      <w:r w:rsidR="004616A0">
        <w:rPr>
          <w:color w:val="auto"/>
          <w:sz w:val="26"/>
          <w:szCs w:val="26"/>
        </w:rPr>
        <w:t>.</w:t>
      </w:r>
    </w:p>
    <w:p w:rsidR="00900E05" w:rsidRDefault="00900E05" w:rsidP="00AE332F">
      <w:pPr>
        <w:spacing w:line="360" w:lineRule="auto"/>
        <w:ind w:firstLine="1440"/>
        <w:rPr>
          <w:color w:val="auto"/>
          <w:sz w:val="26"/>
          <w:szCs w:val="26"/>
        </w:rPr>
      </w:pPr>
    </w:p>
    <w:p w:rsidR="00530815" w:rsidRPr="001B6789" w:rsidRDefault="001B6789" w:rsidP="00AE332F">
      <w:pPr>
        <w:spacing w:line="360" w:lineRule="auto"/>
        <w:ind w:firstLine="1440"/>
        <w:rPr>
          <w:color w:val="auto"/>
          <w:sz w:val="26"/>
          <w:szCs w:val="26"/>
        </w:rPr>
      </w:pPr>
      <w:r>
        <w:rPr>
          <w:color w:val="auto"/>
          <w:sz w:val="26"/>
          <w:szCs w:val="26"/>
        </w:rPr>
        <w:t>DLH is also the parent company of an</w:t>
      </w:r>
      <w:r w:rsidR="00AC4C75">
        <w:rPr>
          <w:color w:val="auto"/>
          <w:sz w:val="26"/>
          <w:szCs w:val="26"/>
        </w:rPr>
        <w:t>o</w:t>
      </w:r>
      <w:r>
        <w:rPr>
          <w:color w:val="auto"/>
          <w:sz w:val="26"/>
          <w:szCs w:val="26"/>
        </w:rPr>
        <w:t xml:space="preserve">ther jurisdictional utility, </w:t>
      </w:r>
      <w:r w:rsidRPr="001B6789">
        <w:rPr>
          <w:color w:val="auto"/>
          <w:sz w:val="26"/>
          <w:szCs w:val="26"/>
        </w:rPr>
        <w:t>DQE Communications Network Services LLC</w:t>
      </w:r>
      <w:r>
        <w:rPr>
          <w:color w:val="auto"/>
          <w:sz w:val="26"/>
          <w:szCs w:val="26"/>
        </w:rPr>
        <w:t xml:space="preserve">.  </w:t>
      </w:r>
      <w:r w:rsidRPr="001B6789">
        <w:rPr>
          <w:color w:val="auto"/>
          <w:sz w:val="26"/>
          <w:szCs w:val="26"/>
        </w:rPr>
        <w:t>DQE Communications Network Services LLC is certified throughout the Commonwealth to provide telecommunications services as a competitive access provider.</w:t>
      </w:r>
    </w:p>
    <w:p w:rsidR="0081446E" w:rsidRDefault="0081446E" w:rsidP="007C528E">
      <w:pPr>
        <w:spacing w:line="360" w:lineRule="auto"/>
        <w:ind w:firstLine="1440"/>
        <w:rPr>
          <w:color w:val="auto"/>
          <w:sz w:val="26"/>
          <w:szCs w:val="26"/>
        </w:rPr>
      </w:pPr>
    </w:p>
    <w:p w:rsidR="005456FB" w:rsidRDefault="00A80BAF" w:rsidP="007C528E">
      <w:pPr>
        <w:spacing w:line="360" w:lineRule="auto"/>
        <w:ind w:firstLine="1440"/>
        <w:rPr>
          <w:color w:val="auto"/>
          <w:sz w:val="26"/>
          <w:szCs w:val="26"/>
        </w:rPr>
      </w:pPr>
      <w:r>
        <w:rPr>
          <w:color w:val="auto"/>
          <w:sz w:val="26"/>
          <w:szCs w:val="26"/>
        </w:rPr>
        <w:t xml:space="preserve">In its </w:t>
      </w:r>
      <w:r w:rsidR="005E5308">
        <w:rPr>
          <w:color w:val="auto"/>
          <w:sz w:val="26"/>
          <w:szCs w:val="26"/>
        </w:rPr>
        <w:t>instant filing</w:t>
      </w:r>
      <w:r>
        <w:rPr>
          <w:color w:val="auto"/>
          <w:sz w:val="26"/>
          <w:szCs w:val="26"/>
        </w:rPr>
        <w:t xml:space="preserve">, Duquesne notes that on January 15, 2009, the Commission registered a securities certificate </w:t>
      </w:r>
      <w:r w:rsidR="00523660">
        <w:rPr>
          <w:color w:val="auto"/>
          <w:sz w:val="26"/>
          <w:szCs w:val="26"/>
        </w:rPr>
        <w:t>at Docket No. S</w:t>
      </w:r>
      <w:r w:rsidR="00523660">
        <w:rPr>
          <w:color w:val="auto"/>
          <w:sz w:val="26"/>
          <w:szCs w:val="26"/>
        </w:rPr>
        <w:noBreakHyphen/>
        <w:t>2008</w:t>
      </w:r>
      <w:r w:rsidR="00523660">
        <w:rPr>
          <w:color w:val="auto"/>
          <w:sz w:val="26"/>
          <w:szCs w:val="26"/>
        </w:rPr>
        <w:noBreakHyphen/>
        <w:t xml:space="preserve">2076790 </w:t>
      </w:r>
      <w:r w:rsidR="00F03CF7">
        <w:rPr>
          <w:color w:val="auto"/>
          <w:sz w:val="26"/>
          <w:szCs w:val="26"/>
        </w:rPr>
        <w:t xml:space="preserve">that </w:t>
      </w:r>
      <w:r w:rsidR="00D33EE5">
        <w:rPr>
          <w:color w:val="auto"/>
          <w:sz w:val="26"/>
          <w:szCs w:val="26"/>
        </w:rPr>
        <w:t>authoriz</w:t>
      </w:r>
      <w:r w:rsidR="00F03CF7">
        <w:rPr>
          <w:color w:val="auto"/>
          <w:sz w:val="26"/>
          <w:szCs w:val="26"/>
        </w:rPr>
        <w:t>ed</w:t>
      </w:r>
      <w:r w:rsidR="00D33EE5">
        <w:rPr>
          <w:color w:val="auto"/>
          <w:sz w:val="26"/>
          <w:szCs w:val="26"/>
        </w:rPr>
        <w:t xml:space="preserve"> the</w:t>
      </w:r>
      <w:r w:rsidR="00F03CF7">
        <w:rPr>
          <w:color w:val="auto"/>
          <w:sz w:val="26"/>
          <w:szCs w:val="26"/>
        </w:rPr>
        <w:t xml:space="preserve"> Company to</w:t>
      </w:r>
      <w:r w:rsidR="00D33EE5">
        <w:rPr>
          <w:color w:val="auto"/>
          <w:sz w:val="26"/>
          <w:szCs w:val="26"/>
        </w:rPr>
        <w:t xml:space="preserve"> issu</w:t>
      </w:r>
      <w:r w:rsidR="00F03CF7">
        <w:rPr>
          <w:color w:val="auto"/>
          <w:sz w:val="26"/>
          <w:szCs w:val="26"/>
        </w:rPr>
        <w:t>e</w:t>
      </w:r>
      <w:r w:rsidR="00D33EE5">
        <w:rPr>
          <w:color w:val="auto"/>
          <w:sz w:val="26"/>
          <w:szCs w:val="26"/>
        </w:rPr>
        <w:t xml:space="preserve"> </w:t>
      </w:r>
      <w:r w:rsidR="00F03CF7">
        <w:rPr>
          <w:color w:val="auto"/>
          <w:sz w:val="26"/>
          <w:szCs w:val="26"/>
        </w:rPr>
        <w:t xml:space="preserve">long-term </w:t>
      </w:r>
      <w:r w:rsidR="00D33EE5">
        <w:rPr>
          <w:color w:val="auto"/>
          <w:sz w:val="26"/>
          <w:szCs w:val="26"/>
        </w:rPr>
        <w:t>debt in the form of First Mortgage Bonds</w:t>
      </w:r>
      <w:r w:rsidR="00E4303F">
        <w:rPr>
          <w:color w:val="auto"/>
          <w:sz w:val="26"/>
          <w:szCs w:val="26"/>
        </w:rPr>
        <w:t xml:space="preserve"> </w:t>
      </w:r>
      <w:r w:rsidR="00573479">
        <w:rPr>
          <w:color w:val="auto"/>
          <w:sz w:val="26"/>
          <w:szCs w:val="26"/>
        </w:rPr>
        <w:t xml:space="preserve">(FMBs) </w:t>
      </w:r>
      <w:r w:rsidR="00E4303F">
        <w:rPr>
          <w:color w:val="auto"/>
          <w:sz w:val="26"/>
          <w:szCs w:val="26"/>
        </w:rPr>
        <w:t xml:space="preserve">and remarketed Pollution Control </w:t>
      </w:r>
      <w:r w:rsidR="001A6435">
        <w:rPr>
          <w:color w:val="auto"/>
          <w:sz w:val="26"/>
          <w:szCs w:val="26"/>
        </w:rPr>
        <w:t xml:space="preserve">Revenue </w:t>
      </w:r>
      <w:r w:rsidR="00E4303F">
        <w:rPr>
          <w:color w:val="auto"/>
          <w:sz w:val="26"/>
          <w:szCs w:val="26"/>
        </w:rPr>
        <w:t xml:space="preserve">Refunding Bonds </w:t>
      </w:r>
      <w:r w:rsidR="001A6435">
        <w:rPr>
          <w:color w:val="auto"/>
          <w:sz w:val="26"/>
          <w:szCs w:val="26"/>
        </w:rPr>
        <w:t xml:space="preserve">(PCRRBs) </w:t>
      </w:r>
      <w:r w:rsidR="00F03CF7">
        <w:rPr>
          <w:color w:val="auto"/>
          <w:sz w:val="26"/>
          <w:szCs w:val="26"/>
        </w:rPr>
        <w:t xml:space="preserve">in an aggregate principal amount not to exceed </w:t>
      </w:r>
      <w:r w:rsidR="00F62357">
        <w:rPr>
          <w:color w:val="auto"/>
          <w:sz w:val="26"/>
          <w:szCs w:val="26"/>
        </w:rPr>
        <w:t>$300 million.  The Commission granted authorization to issue this debt through December 31, 2012.</w:t>
      </w:r>
      <w:r w:rsidR="00175CF5">
        <w:rPr>
          <w:color w:val="auto"/>
          <w:sz w:val="26"/>
          <w:szCs w:val="26"/>
        </w:rPr>
        <w:t xml:space="preserve">  </w:t>
      </w:r>
      <w:r w:rsidR="00573479">
        <w:rPr>
          <w:color w:val="auto"/>
          <w:sz w:val="26"/>
          <w:szCs w:val="26"/>
        </w:rPr>
        <w:t xml:space="preserve">As of </w:t>
      </w:r>
      <w:r w:rsidR="005D34EA">
        <w:rPr>
          <w:color w:val="auto"/>
          <w:sz w:val="26"/>
          <w:szCs w:val="26"/>
        </w:rPr>
        <w:t>the</w:t>
      </w:r>
      <w:r w:rsidR="00573479">
        <w:rPr>
          <w:color w:val="auto"/>
          <w:sz w:val="26"/>
          <w:szCs w:val="26"/>
        </w:rPr>
        <w:t xml:space="preserve"> instant </w:t>
      </w:r>
      <w:r w:rsidR="005D34EA">
        <w:rPr>
          <w:color w:val="auto"/>
          <w:sz w:val="26"/>
          <w:szCs w:val="26"/>
        </w:rPr>
        <w:t xml:space="preserve">securities </w:t>
      </w:r>
      <w:r w:rsidR="00573479">
        <w:rPr>
          <w:color w:val="auto"/>
          <w:sz w:val="26"/>
          <w:szCs w:val="26"/>
        </w:rPr>
        <w:t>filing, Duquesne ha</w:t>
      </w:r>
      <w:r w:rsidR="00523660">
        <w:rPr>
          <w:color w:val="auto"/>
          <w:sz w:val="26"/>
          <w:szCs w:val="26"/>
        </w:rPr>
        <w:t>d</w:t>
      </w:r>
      <w:r w:rsidR="00573479">
        <w:rPr>
          <w:color w:val="auto"/>
          <w:sz w:val="26"/>
          <w:szCs w:val="26"/>
        </w:rPr>
        <w:t xml:space="preserve"> issued $100 million of privately placed FMBs.</w:t>
      </w:r>
    </w:p>
    <w:p w:rsidR="00573479" w:rsidRDefault="00573479" w:rsidP="007C528E">
      <w:pPr>
        <w:spacing w:line="360" w:lineRule="auto"/>
        <w:ind w:firstLine="1440"/>
        <w:rPr>
          <w:color w:val="auto"/>
          <w:sz w:val="26"/>
          <w:szCs w:val="26"/>
        </w:rPr>
      </w:pPr>
    </w:p>
    <w:p w:rsidR="001A6435" w:rsidRDefault="003B32F1" w:rsidP="007C528E">
      <w:pPr>
        <w:spacing w:line="360" w:lineRule="auto"/>
        <w:ind w:firstLine="1440"/>
        <w:rPr>
          <w:color w:val="auto"/>
          <w:sz w:val="26"/>
          <w:szCs w:val="26"/>
        </w:rPr>
      </w:pPr>
      <w:r>
        <w:rPr>
          <w:color w:val="auto"/>
          <w:sz w:val="26"/>
          <w:szCs w:val="26"/>
        </w:rPr>
        <w:t>Duquesne</w:t>
      </w:r>
      <w:r w:rsidR="007C528E">
        <w:rPr>
          <w:color w:val="auto"/>
          <w:sz w:val="26"/>
          <w:szCs w:val="26"/>
        </w:rPr>
        <w:t xml:space="preserve"> </w:t>
      </w:r>
      <w:r w:rsidR="007E0847">
        <w:rPr>
          <w:color w:val="auto"/>
          <w:sz w:val="26"/>
          <w:szCs w:val="26"/>
        </w:rPr>
        <w:t xml:space="preserve">is </w:t>
      </w:r>
      <w:r w:rsidR="00573479">
        <w:rPr>
          <w:color w:val="auto"/>
          <w:sz w:val="26"/>
          <w:szCs w:val="26"/>
        </w:rPr>
        <w:t xml:space="preserve">now </w:t>
      </w:r>
      <w:r w:rsidR="007E0847">
        <w:rPr>
          <w:color w:val="auto"/>
          <w:sz w:val="26"/>
          <w:szCs w:val="26"/>
        </w:rPr>
        <w:t xml:space="preserve">requesting a </w:t>
      </w:r>
      <w:r w:rsidR="00573479">
        <w:rPr>
          <w:color w:val="auto"/>
          <w:sz w:val="26"/>
          <w:szCs w:val="26"/>
        </w:rPr>
        <w:t xml:space="preserve">new </w:t>
      </w:r>
      <w:r w:rsidR="007E0847">
        <w:rPr>
          <w:color w:val="auto"/>
          <w:sz w:val="26"/>
          <w:szCs w:val="26"/>
        </w:rPr>
        <w:t xml:space="preserve">securities certificate that </w:t>
      </w:r>
      <w:r w:rsidR="00523660">
        <w:rPr>
          <w:color w:val="auto"/>
          <w:sz w:val="26"/>
          <w:szCs w:val="26"/>
        </w:rPr>
        <w:t xml:space="preserve">would </w:t>
      </w:r>
      <w:r w:rsidR="007E0847">
        <w:rPr>
          <w:color w:val="auto"/>
          <w:sz w:val="26"/>
          <w:szCs w:val="26"/>
        </w:rPr>
        <w:t>permit the</w:t>
      </w:r>
      <w:r w:rsidR="007C528E">
        <w:rPr>
          <w:color w:val="auto"/>
          <w:sz w:val="26"/>
          <w:szCs w:val="26"/>
        </w:rPr>
        <w:t xml:space="preserve"> </w:t>
      </w:r>
      <w:r w:rsidR="001A6435">
        <w:rPr>
          <w:color w:val="auto"/>
          <w:sz w:val="26"/>
          <w:szCs w:val="26"/>
        </w:rPr>
        <w:t xml:space="preserve">Company to </w:t>
      </w:r>
      <w:r w:rsidR="007C528E">
        <w:rPr>
          <w:color w:val="auto"/>
          <w:sz w:val="26"/>
          <w:szCs w:val="26"/>
        </w:rPr>
        <w:t>issu</w:t>
      </w:r>
      <w:r w:rsidR="007E0847">
        <w:rPr>
          <w:color w:val="auto"/>
          <w:sz w:val="26"/>
          <w:szCs w:val="26"/>
        </w:rPr>
        <w:t>e</w:t>
      </w:r>
      <w:r w:rsidR="001A6435">
        <w:rPr>
          <w:color w:val="auto"/>
          <w:sz w:val="26"/>
          <w:szCs w:val="26"/>
        </w:rPr>
        <w:t xml:space="preserve"> debt within the terms contained in its existing securities certificate and </w:t>
      </w:r>
      <w:r w:rsidR="00C70939">
        <w:rPr>
          <w:color w:val="auto"/>
          <w:sz w:val="26"/>
          <w:szCs w:val="26"/>
        </w:rPr>
        <w:t>would also</w:t>
      </w:r>
      <w:r w:rsidR="001A6435">
        <w:rPr>
          <w:color w:val="auto"/>
          <w:sz w:val="26"/>
          <w:szCs w:val="26"/>
        </w:rPr>
        <w:t xml:space="preserve"> </w:t>
      </w:r>
      <w:r w:rsidR="00C70939">
        <w:rPr>
          <w:color w:val="auto"/>
          <w:sz w:val="26"/>
          <w:szCs w:val="26"/>
        </w:rPr>
        <w:t xml:space="preserve">expand the terms to </w:t>
      </w:r>
      <w:r w:rsidR="008F238A">
        <w:rPr>
          <w:color w:val="auto"/>
          <w:sz w:val="26"/>
          <w:szCs w:val="26"/>
        </w:rPr>
        <w:t>include</w:t>
      </w:r>
      <w:r w:rsidR="001A6435">
        <w:rPr>
          <w:color w:val="auto"/>
          <w:sz w:val="26"/>
          <w:szCs w:val="26"/>
        </w:rPr>
        <w:t>:</w:t>
      </w:r>
    </w:p>
    <w:p w:rsidR="00375155" w:rsidRDefault="00375155" w:rsidP="007C528E">
      <w:pPr>
        <w:spacing w:line="360" w:lineRule="auto"/>
        <w:ind w:firstLine="1440"/>
        <w:rPr>
          <w:color w:val="auto"/>
          <w:sz w:val="26"/>
          <w:szCs w:val="26"/>
        </w:rPr>
      </w:pPr>
    </w:p>
    <w:p w:rsidR="003F6E8B" w:rsidRDefault="003F6E8B" w:rsidP="003F6E8B">
      <w:pPr>
        <w:pStyle w:val="ListParagraph"/>
        <w:numPr>
          <w:ilvl w:val="0"/>
          <w:numId w:val="14"/>
        </w:numPr>
        <w:spacing w:line="360" w:lineRule="auto"/>
        <w:rPr>
          <w:color w:val="auto"/>
          <w:sz w:val="26"/>
          <w:szCs w:val="26"/>
        </w:rPr>
      </w:pPr>
      <w:r>
        <w:rPr>
          <w:color w:val="auto"/>
          <w:sz w:val="26"/>
          <w:szCs w:val="26"/>
        </w:rPr>
        <w:lastRenderedPageBreak/>
        <w:t>Intercompany loans from time to time on a long-term and commercially reasonable basis to Duquesne from its parent, DLH;</w:t>
      </w:r>
    </w:p>
    <w:p w:rsidR="003F6E8B" w:rsidRDefault="003F6E8B" w:rsidP="003F6E8B">
      <w:pPr>
        <w:pStyle w:val="ListParagraph"/>
        <w:numPr>
          <w:ilvl w:val="0"/>
          <w:numId w:val="14"/>
        </w:numPr>
        <w:spacing w:line="360" w:lineRule="auto"/>
        <w:rPr>
          <w:color w:val="auto"/>
          <w:sz w:val="26"/>
          <w:szCs w:val="26"/>
        </w:rPr>
      </w:pPr>
      <w:r>
        <w:rPr>
          <w:color w:val="auto"/>
          <w:sz w:val="26"/>
          <w:szCs w:val="26"/>
        </w:rPr>
        <w:t>Recertifying the principal amount</w:t>
      </w:r>
      <w:r w:rsidR="003F6712">
        <w:rPr>
          <w:color w:val="auto"/>
          <w:sz w:val="26"/>
          <w:szCs w:val="26"/>
        </w:rPr>
        <w:t xml:space="preserve"> of new debt authorized to be $300 million because the actual available under the existing securities certificate is only $200 million</w:t>
      </w:r>
      <w:r w:rsidR="00375155">
        <w:rPr>
          <w:color w:val="auto"/>
          <w:sz w:val="26"/>
          <w:szCs w:val="26"/>
        </w:rPr>
        <w:t xml:space="preserve">; and </w:t>
      </w:r>
    </w:p>
    <w:p w:rsidR="00375155" w:rsidRDefault="00375155" w:rsidP="003F6E8B">
      <w:pPr>
        <w:pStyle w:val="ListParagraph"/>
        <w:numPr>
          <w:ilvl w:val="0"/>
          <w:numId w:val="14"/>
        </w:numPr>
        <w:spacing w:line="360" w:lineRule="auto"/>
        <w:rPr>
          <w:color w:val="auto"/>
          <w:sz w:val="26"/>
          <w:szCs w:val="26"/>
        </w:rPr>
      </w:pPr>
      <w:r>
        <w:rPr>
          <w:color w:val="auto"/>
          <w:sz w:val="26"/>
          <w:szCs w:val="26"/>
        </w:rPr>
        <w:t>Extend the term of authorization from December 31, 2012 to December 31, 2014.</w:t>
      </w:r>
    </w:p>
    <w:p w:rsidR="00375155" w:rsidRPr="00375155" w:rsidRDefault="00375155" w:rsidP="00375155">
      <w:pPr>
        <w:spacing w:line="360" w:lineRule="auto"/>
        <w:rPr>
          <w:color w:val="auto"/>
          <w:sz w:val="26"/>
          <w:szCs w:val="26"/>
        </w:rPr>
      </w:pPr>
    </w:p>
    <w:p w:rsidR="007D1561" w:rsidRDefault="006577B9" w:rsidP="007C528E">
      <w:pPr>
        <w:spacing w:line="360" w:lineRule="auto"/>
        <w:ind w:firstLine="1440"/>
        <w:rPr>
          <w:color w:val="auto"/>
          <w:sz w:val="26"/>
          <w:szCs w:val="26"/>
        </w:rPr>
      </w:pPr>
      <w:r>
        <w:rPr>
          <w:color w:val="auto"/>
          <w:sz w:val="26"/>
          <w:szCs w:val="26"/>
        </w:rPr>
        <w:t>Therefore, under the new securities certificate</w:t>
      </w:r>
      <w:r w:rsidR="00E31C0F">
        <w:rPr>
          <w:color w:val="auto"/>
          <w:sz w:val="26"/>
          <w:szCs w:val="26"/>
        </w:rPr>
        <w:t>,</w:t>
      </w:r>
      <w:r>
        <w:rPr>
          <w:color w:val="auto"/>
          <w:sz w:val="26"/>
          <w:szCs w:val="26"/>
        </w:rPr>
        <w:t xml:space="preserve"> Duquesne would be provided with the ability to issue long-term debt </w:t>
      </w:r>
      <w:r w:rsidR="007B3CE7">
        <w:rPr>
          <w:color w:val="auto"/>
          <w:sz w:val="26"/>
          <w:szCs w:val="26"/>
        </w:rPr>
        <w:t xml:space="preserve">in an aggregate principal amount of $300 million </w:t>
      </w:r>
      <w:r>
        <w:rPr>
          <w:color w:val="auto"/>
          <w:sz w:val="26"/>
          <w:szCs w:val="26"/>
        </w:rPr>
        <w:t>in the form of FMBs, PCRRBs, or to borrow from its parent, DLH</w:t>
      </w:r>
      <w:r w:rsidR="00C252C9">
        <w:rPr>
          <w:color w:val="auto"/>
          <w:sz w:val="26"/>
          <w:szCs w:val="26"/>
        </w:rPr>
        <w:t>,</w:t>
      </w:r>
      <w:r w:rsidR="007B3CE7">
        <w:rPr>
          <w:color w:val="auto"/>
          <w:sz w:val="26"/>
          <w:szCs w:val="26"/>
        </w:rPr>
        <w:t xml:space="preserve"> through December 31, 2014.  </w:t>
      </w:r>
      <w:r w:rsidR="00A52A05">
        <w:rPr>
          <w:color w:val="auto"/>
          <w:sz w:val="26"/>
          <w:szCs w:val="26"/>
        </w:rPr>
        <w:t>The new securities certificate registered in the instant filing would replace the existing securities certificate</w:t>
      </w:r>
      <w:r w:rsidR="006D234D">
        <w:rPr>
          <w:color w:val="auto"/>
          <w:sz w:val="26"/>
          <w:szCs w:val="26"/>
        </w:rPr>
        <w:t xml:space="preserve"> docketed at S</w:t>
      </w:r>
      <w:r w:rsidR="006D234D">
        <w:rPr>
          <w:color w:val="auto"/>
          <w:sz w:val="26"/>
          <w:szCs w:val="26"/>
        </w:rPr>
        <w:noBreakHyphen/>
        <w:t>2008</w:t>
      </w:r>
      <w:r w:rsidR="006D234D">
        <w:rPr>
          <w:color w:val="auto"/>
          <w:sz w:val="26"/>
          <w:szCs w:val="26"/>
        </w:rPr>
        <w:noBreakHyphen/>
        <w:t>2076790</w:t>
      </w:r>
      <w:r w:rsidR="00083F71">
        <w:rPr>
          <w:color w:val="auto"/>
          <w:sz w:val="26"/>
          <w:szCs w:val="26"/>
        </w:rPr>
        <w:t>.</w:t>
      </w:r>
      <w:r w:rsidR="005B6DBB">
        <w:rPr>
          <w:color w:val="auto"/>
          <w:sz w:val="26"/>
          <w:szCs w:val="26"/>
        </w:rPr>
        <w:t xml:space="preserve">  </w:t>
      </w:r>
      <w:r w:rsidR="005B6DBB" w:rsidRPr="005B6DBB">
        <w:rPr>
          <w:color w:val="auto"/>
          <w:sz w:val="26"/>
          <w:szCs w:val="26"/>
        </w:rPr>
        <w:t xml:space="preserve">Duquesne has no borrowing authority remaining under any securities certificate other than the </w:t>
      </w:r>
      <w:r w:rsidR="005B6DBB">
        <w:rPr>
          <w:color w:val="auto"/>
          <w:sz w:val="26"/>
          <w:szCs w:val="26"/>
        </w:rPr>
        <w:t>e</w:t>
      </w:r>
      <w:r w:rsidR="005B6DBB" w:rsidRPr="005B6DBB">
        <w:rPr>
          <w:color w:val="auto"/>
          <w:sz w:val="26"/>
          <w:szCs w:val="26"/>
        </w:rPr>
        <w:t xml:space="preserve">xisting </w:t>
      </w:r>
      <w:r w:rsidR="005B6DBB">
        <w:rPr>
          <w:color w:val="auto"/>
          <w:sz w:val="26"/>
          <w:szCs w:val="26"/>
        </w:rPr>
        <w:t>s</w:t>
      </w:r>
      <w:r w:rsidR="005B6DBB" w:rsidRPr="005B6DBB">
        <w:rPr>
          <w:color w:val="auto"/>
          <w:sz w:val="26"/>
          <w:szCs w:val="26"/>
        </w:rPr>
        <w:t xml:space="preserve">ecurities </w:t>
      </w:r>
      <w:r w:rsidR="005B6DBB">
        <w:rPr>
          <w:color w:val="auto"/>
          <w:sz w:val="26"/>
          <w:szCs w:val="26"/>
        </w:rPr>
        <w:t>c</w:t>
      </w:r>
      <w:r w:rsidR="005B6DBB" w:rsidRPr="005B6DBB">
        <w:rPr>
          <w:color w:val="auto"/>
          <w:sz w:val="26"/>
          <w:szCs w:val="26"/>
        </w:rPr>
        <w:t>ertificate.</w:t>
      </w:r>
    </w:p>
    <w:p w:rsidR="00C66843" w:rsidRDefault="00C66843" w:rsidP="007C528E">
      <w:pPr>
        <w:spacing w:line="360" w:lineRule="auto"/>
        <w:ind w:firstLine="1440"/>
        <w:rPr>
          <w:color w:val="auto"/>
          <w:sz w:val="26"/>
          <w:szCs w:val="26"/>
        </w:rPr>
      </w:pPr>
    </w:p>
    <w:p w:rsidR="003B5E7C" w:rsidRDefault="00827453" w:rsidP="007C528E">
      <w:pPr>
        <w:spacing w:line="360" w:lineRule="auto"/>
        <w:ind w:firstLine="1440"/>
        <w:rPr>
          <w:color w:val="auto"/>
          <w:sz w:val="26"/>
          <w:szCs w:val="26"/>
        </w:rPr>
      </w:pPr>
      <w:r>
        <w:rPr>
          <w:color w:val="auto"/>
          <w:sz w:val="26"/>
          <w:szCs w:val="26"/>
        </w:rPr>
        <w:t xml:space="preserve">Duquesne </w:t>
      </w:r>
      <w:r w:rsidR="006D234D">
        <w:rPr>
          <w:color w:val="auto"/>
          <w:sz w:val="26"/>
          <w:szCs w:val="26"/>
        </w:rPr>
        <w:t xml:space="preserve">further </w:t>
      </w:r>
      <w:r w:rsidR="000F7A54">
        <w:rPr>
          <w:color w:val="auto"/>
          <w:sz w:val="26"/>
          <w:szCs w:val="26"/>
        </w:rPr>
        <w:t>explain</w:t>
      </w:r>
      <w:r>
        <w:rPr>
          <w:color w:val="auto"/>
          <w:sz w:val="26"/>
          <w:szCs w:val="26"/>
        </w:rPr>
        <w:t xml:space="preserve">s that </w:t>
      </w:r>
      <w:r w:rsidR="003F3114">
        <w:rPr>
          <w:color w:val="auto"/>
          <w:sz w:val="26"/>
          <w:szCs w:val="26"/>
        </w:rPr>
        <w:t xml:space="preserve">individual </w:t>
      </w:r>
      <w:r w:rsidR="006D234D">
        <w:rPr>
          <w:color w:val="auto"/>
          <w:sz w:val="26"/>
          <w:szCs w:val="26"/>
        </w:rPr>
        <w:t>intercompany loan</w:t>
      </w:r>
      <w:r w:rsidR="00F537E4">
        <w:rPr>
          <w:color w:val="auto"/>
          <w:sz w:val="26"/>
          <w:szCs w:val="26"/>
        </w:rPr>
        <w:t xml:space="preserve">s from </w:t>
      </w:r>
      <w:r>
        <w:rPr>
          <w:color w:val="auto"/>
          <w:sz w:val="26"/>
          <w:szCs w:val="26"/>
        </w:rPr>
        <w:t>it</w:t>
      </w:r>
      <w:r w:rsidR="00F537E4">
        <w:rPr>
          <w:color w:val="auto"/>
          <w:sz w:val="26"/>
          <w:szCs w:val="26"/>
        </w:rPr>
        <w:t>s parent could be made at any point in time</w:t>
      </w:r>
      <w:r w:rsidR="00B120B6">
        <w:rPr>
          <w:color w:val="auto"/>
          <w:sz w:val="26"/>
          <w:szCs w:val="26"/>
        </w:rPr>
        <w:t>,</w:t>
      </w:r>
      <w:r w:rsidR="00F537E4">
        <w:rPr>
          <w:color w:val="auto"/>
          <w:sz w:val="26"/>
          <w:szCs w:val="26"/>
        </w:rPr>
        <w:t xml:space="preserve"> but would never exceed</w:t>
      </w:r>
      <w:r>
        <w:rPr>
          <w:color w:val="auto"/>
          <w:sz w:val="26"/>
          <w:szCs w:val="26"/>
        </w:rPr>
        <w:t xml:space="preserve"> $300 million </w:t>
      </w:r>
      <w:r w:rsidR="00B120B6">
        <w:rPr>
          <w:color w:val="auto"/>
          <w:sz w:val="26"/>
          <w:szCs w:val="26"/>
        </w:rPr>
        <w:t xml:space="preserve">in aggregate principal </w:t>
      </w:r>
      <w:r w:rsidR="00F70C19">
        <w:rPr>
          <w:color w:val="auto"/>
          <w:sz w:val="26"/>
          <w:szCs w:val="26"/>
        </w:rPr>
        <w:t>at any point in time</w:t>
      </w:r>
      <w:r w:rsidR="003F3114">
        <w:rPr>
          <w:color w:val="auto"/>
          <w:sz w:val="26"/>
          <w:szCs w:val="26"/>
        </w:rPr>
        <w:t xml:space="preserve">. These </w:t>
      </w:r>
      <w:r w:rsidR="00084F7F">
        <w:rPr>
          <w:color w:val="auto"/>
          <w:sz w:val="26"/>
          <w:szCs w:val="26"/>
        </w:rPr>
        <w:t>loan</w:t>
      </w:r>
      <w:r w:rsidR="003F3114">
        <w:rPr>
          <w:color w:val="auto"/>
          <w:sz w:val="26"/>
          <w:szCs w:val="26"/>
        </w:rPr>
        <w:t>s</w:t>
      </w:r>
      <w:r w:rsidR="00F70C19">
        <w:rPr>
          <w:color w:val="auto"/>
          <w:sz w:val="26"/>
          <w:szCs w:val="26"/>
        </w:rPr>
        <w:t xml:space="preserve"> would be </w:t>
      </w:r>
      <w:r w:rsidR="00084F7F">
        <w:rPr>
          <w:color w:val="auto"/>
          <w:sz w:val="26"/>
          <w:szCs w:val="26"/>
        </w:rPr>
        <w:t xml:space="preserve">for </w:t>
      </w:r>
      <w:r w:rsidR="00F70C19">
        <w:rPr>
          <w:color w:val="auto"/>
          <w:sz w:val="26"/>
          <w:szCs w:val="26"/>
        </w:rPr>
        <w:t>at least one year but no longer than 10 years</w:t>
      </w:r>
      <w:r>
        <w:rPr>
          <w:color w:val="auto"/>
          <w:sz w:val="26"/>
          <w:szCs w:val="26"/>
        </w:rPr>
        <w:t xml:space="preserve">.  </w:t>
      </w:r>
      <w:r w:rsidR="00F70C19">
        <w:rPr>
          <w:color w:val="auto"/>
          <w:sz w:val="26"/>
          <w:szCs w:val="26"/>
        </w:rPr>
        <w:t xml:space="preserve">Duquesne </w:t>
      </w:r>
      <w:r w:rsidR="00084F7F">
        <w:rPr>
          <w:color w:val="auto"/>
          <w:sz w:val="26"/>
          <w:szCs w:val="26"/>
        </w:rPr>
        <w:t>sta</w:t>
      </w:r>
      <w:r w:rsidR="00F70C19">
        <w:rPr>
          <w:color w:val="auto"/>
          <w:sz w:val="26"/>
          <w:szCs w:val="26"/>
        </w:rPr>
        <w:t xml:space="preserve">tes that borrowings </w:t>
      </w:r>
      <w:r w:rsidR="00F85C74">
        <w:rPr>
          <w:color w:val="auto"/>
          <w:sz w:val="26"/>
          <w:szCs w:val="26"/>
        </w:rPr>
        <w:t xml:space="preserve">from DLH </w:t>
      </w:r>
      <w:r w:rsidR="00F70C19">
        <w:rPr>
          <w:color w:val="auto"/>
          <w:sz w:val="26"/>
          <w:szCs w:val="26"/>
        </w:rPr>
        <w:t>would be made at commercially reasonable rates that would reflect</w:t>
      </w:r>
      <w:r w:rsidR="00D350EE">
        <w:rPr>
          <w:color w:val="auto"/>
          <w:sz w:val="26"/>
          <w:szCs w:val="26"/>
        </w:rPr>
        <w:t xml:space="preserve"> prevailing market conditions</w:t>
      </w:r>
      <w:r w:rsidR="00A07918">
        <w:rPr>
          <w:rStyle w:val="FootnoteReference"/>
          <w:color w:val="auto"/>
          <w:sz w:val="26"/>
          <w:szCs w:val="26"/>
        </w:rPr>
        <w:footnoteReference w:id="1"/>
      </w:r>
      <w:r w:rsidR="00D350EE">
        <w:rPr>
          <w:color w:val="auto"/>
          <w:sz w:val="26"/>
          <w:szCs w:val="26"/>
        </w:rPr>
        <w:t>.</w:t>
      </w:r>
      <w:r w:rsidR="00B120B6">
        <w:rPr>
          <w:color w:val="auto"/>
          <w:sz w:val="26"/>
          <w:szCs w:val="26"/>
        </w:rPr>
        <w:t xml:space="preserve">  </w:t>
      </w:r>
      <w:r w:rsidR="00E14BCE">
        <w:rPr>
          <w:color w:val="auto"/>
          <w:sz w:val="26"/>
          <w:szCs w:val="26"/>
        </w:rPr>
        <w:t xml:space="preserve">The Company also states that no preference or </w:t>
      </w:r>
      <w:r w:rsidR="00517C84">
        <w:rPr>
          <w:color w:val="auto"/>
          <w:sz w:val="26"/>
          <w:szCs w:val="26"/>
        </w:rPr>
        <w:t xml:space="preserve">undue </w:t>
      </w:r>
      <w:r w:rsidR="00E14BCE">
        <w:rPr>
          <w:color w:val="auto"/>
          <w:sz w:val="26"/>
          <w:szCs w:val="26"/>
        </w:rPr>
        <w:t xml:space="preserve">advantage </w:t>
      </w:r>
      <w:r w:rsidR="00517C84">
        <w:rPr>
          <w:color w:val="auto"/>
          <w:sz w:val="26"/>
          <w:szCs w:val="26"/>
        </w:rPr>
        <w:t>would be given to the parent or other corporate affiliate</w:t>
      </w:r>
      <w:r w:rsidR="00EE28BD">
        <w:rPr>
          <w:color w:val="auto"/>
          <w:sz w:val="26"/>
          <w:szCs w:val="26"/>
        </w:rPr>
        <w:t xml:space="preserve">, i.e., intercompany loans </w:t>
      </w:r>
      <w:r w:rsidR="00B32BD1">
        <w:rPr>
          <w:color w:val="auto"/>
          <w:sz w:val="26"/>
          <w:szCs w:val="26"/>
        </w:rPr>
        <w:t>will be made under terms that reflect market conditions with no discounts or premiums to the advantage of DLH because of its standing as the parent company</w:t>
      </w:r>
      <w:r w:rsidR="00517C84">
        <w:rPr>
          <w:color w:val="auto"/>
          <w:sz w:val="26"/>
          <w:szCs w:val="26"/>
        </w:rPr>
        <w:t xml:space="preserve">. </w:t>
      </w:r>
      <w:r w:rsidR="00B255F8">
        <w:rPr>
          <w:color w:val="auto"/>
          <w:sz w:val="26"/>
          <w:szCs w:val="26"/>
        </w:rPr>
        <w:t xml:space="preserve">  </w:t>
      </w:r>
      <w:r w:rsidR="00A07918">
        <w:rPr>
          <w:color w:val="auto"/>
          <w:sz w:val="26"/>
          <w:szCs w:val="26"/>
        </w:rPr>
        <w:t xml:space="preserve">A Promissory Note between Duquesne and DLH will be executed </w:t>
      </w:r>
      <w:r w:rsidR="0052023E">
        <w:rPr>
          <w:color w:val="auto"/>
          <w:sz w:val="26"/>
          <w:szCs w:val="26"/>
        </w:rPr>
        <w:t xml:space="preserve">as witness to these </w:t>
      </w:r>
      <w:r w:rsidR="00F85C74">
        <w:rPr>
          <w:color w:val="auto"/>
          <w:sz w:val="26"/>
          <w:szCs w:val="26"/>
        </w:rPr>
        <w:t>loan</w:t>
      </w:r>
      <w:r w:rsidR="0052023E">
        <w:rPr>
          <w:color w:val="auto"/>
          <w:sz w:val="26"/>
          <w:szCs w:val="26"/>
        </w:rPr>
        <w:t xml:space="preserve">s. </w:t>
      </w:r>
    </w:p>
    <w:p w:rsidR="00E533E1" w:rsidRDefault="00E533E1" w:rsidP="0084151E">
      <w:pPr>
        <w:spacing w:line="360" w:lineRule="auto"/>
        <w:ind w:firstLine="1440"/>
        <w:rPr>
          <w:color w:val="auto"/>
          <w:sz w:val="26"/>
          <w:szCs w:val="26"/>
        </w:rPr>
      </w:pPr>
    </w:p>
    <w:p w:rsidR="00F153D8" w:rsidRDefault="00CD1D98" w:rsidP="006F2682">
      <w:pPr>
        <w:spacing w:line="360" w:lineRule="auto"/>
        <w:ind w:firstLine="1440"/>
        <w:rPr>
          <w:color w:val="auto"/>
          <w:sz w:val="26"/>
          <w:szCs w:val="26"/>
        </w:rPr>
      </w:pPr>
      <w:r>
        <w:rPr>
          <w:color w:val="auto"/>
          <w:sz w:val="26"/>
          <w:szCs w:val="26"/>
        </w:rPr>
        <w:t xml:space="preserve">According to </w:t>
      </w:r>
      <w:r w:rsidR="001541EA" w:rsidRPr="001541EA">
        <w:rPr>
          <w:color w:val="auto"/>
          <w:sz w:val="26"/>
          <w:szCs w:val="26"/>
        </w:rPr>
        <w:t>Du</w:t>
      </w:r>
      <w:r w:rsidR="00592CA6">
        <w:rPr>
          <w:color w:val="auto"/>
          <w:sz w:val="26"/>
          <w:szCs w:val="26"/>
        </w:rPr>
        <w:t>quesne</w:t>
      </w:r>
      <w:r>
        <w:rPr>
          <w:color w:val="auto"/>
          <w:sz w:val="26"/>
          <w:szCs w:val="26"/>
        </w:rPr>
        <w:t xml:space="preserve">, proceeds from the debt issuances are needed </w:t>
      </w:r>
      <w:r w:rsidR="003E4A8D">
        <w:rPr>
          <w:color w:val="auto"/>
          <w:sz w:val="26"/>
          <w:szCs w:val="26"/>
        </w:rPr>
        <w:t>for</w:t>
      </w:r>
      <w:r w:rsidR="00C927A3">
        <w:rPr>
          <w:color w:val="auto"/>
          <w:sz w:val="26"/>
          <w:szCs w:val="26"/>
        </w:rPr>
        <w:t xml:space="preserve"> </w:t>
      </w:r>
      <w:r w:rsidR="003E4A8D">
        <w:rPr>
          <w:color w:val="auto"/>
          <w:sz w:val="26"/>
          <w:szCs w:val="26"/>
        </w:rPr>
        <w:t xml:space="preserve">construction, pension contributions required by federal law, levelizing the Company’s capital structure, and general corporate purposes.  </w:t>
      </w:r>
      <w:r w:rsidR="00536973">
        <w:rPr>
          <w:color w:val="auto"/>
          <w:sz w:val="26"/>
          <w:szCs w:val="26"/>
        </w:rPr>
        <w:t>Duquesne notes that as of September 30, 2009, its capital structure consisted of approximately 29% long-term debt and that further debt issuances would move the Company towards a more levelized</w:t>
      </w:r>
      <w:r w:rsidR="004468F6">
        <w:rPr>
          <w:color w:val="auto"/>
          <w:sz w:val="26"/>
          <w:szCs w:val="26"/>
        </w:rPr>
        <w:t xml:space="preserve">/optimal capital structure that benefits ratepayers by decreasing a proportional amount of equity capital, which </w:t>
      </w:r>
      <w:r w:rsidR="00F94CB5">
        <w:rPr>
          <w:color w:val="auto"/>
          <w:sz w:val="26"/>
          <w:szCs w:val="26"/>
        </w:rPr>
        <w:t xml:space="preserve">the Company notes </w:t>
      </w:r>
      <w:r w:rsidR="004468F6">
        <w:rPr>
          <w:color w:val="auto"/>
          <w:sz w:val="26"/>
          <w:szCs w:val="26"/>
        </w:rPr>
        <w:t xml:space="preserve">is typically the most expensive form of financing.  </w:t>
      </w:r>
      <w:r w:rsidR="004678C2">
        <w:rPr>
          <w:color w:val="auto"/>
          <w:sz w:val="26"/>
          <w:szCs w:val="26"/>
        </w:rPr>
        <w:t>Additionally, the Company is anticipating having to make significant pension contributions beginning next year in order to meet federal funding requirements under the Pension Protection Act of 2006.</w:t>
      </w:r>
      <w:r w:rsidR="00C252C9">
        <w:rPr>
          <w:color w:val="auto"/>
          <w:sz w:val="26"/>
          <w:szCs w:val="26"/>
        </w:rPr>
        <w:t xml:space="preserve">  </w:t>
      </w:r>
      <w:r w:rsidR="00013184">
        <w:rPr>
          <w:color w:val="auto"/>
          <w:sz w:val="26"/>
          <w:szCs w:val="26"/>
        </w:rPr>
        <w:t>From 2010</w:t>
      </w:r>
      <w:r w:rsidR="00013184" w:rsidRPr="00013184">
        <w:rPr>
          <w:color w:val="auto"/>
          <w:sz w:val="26"/>
          <w:szCs w:val="26"/>
        </w:rPr>
        <w:t xml:space="preserve"> </w:t>
      </w:r>
      <w:r w:rsidR="00013184">
        <w:rPr>
          <w:color w:val="auto"/>
          <w:sz w:val="26"/>
          <w:szCs w:val="26"/>
        </w:rPr>
        <w:t xml:space="preserve">through 2014, </w:t>
      </w:r>
      <w:r w:rsidR="002E1CA0">
        <w:rPr>
          <w:color w:val="auto"/>
          <w:sz w:val="26"/>
          <w:szCs w:val="26"/>
        </w:rPr>
        <w:t xml:space="preserve">Duquesne anticipates </w:t>
      </w:r>
      <w:r w:rsidR="00013184">
        <w:rPr>
          <w:color w:val="auto"/>
          <w:sz w:val="26"/>
          <w:szCs w:val="26"/>
        </w:rPr>
        <w:t xml:space="preserve">pension plan </w:t>
      </w:r>
      <w:r w:rsidR="008A3B2F">
        <w:rPr>
          <w:color w:val="auto"/>
          <w:sz w:val="26"/>
          <w:szCs w:val="26"/>
        </w:rPr>
        <w:t>fund</w:t>
      </w:r>
      <w:r w:rsidR="002E1CA0">
        <w:rPr>
          <w:color w:val="auto"/>
          <w:sz w:val="26"/>
          <w:szCs w:val="26"/>
        </w:rPr>
        <w:t xml:space="preserve">ing </w:t>
      </w:r>
      <w:r w:rsidR="00013184">
        <w:rPr>
          <w:color w:val="auto"/>
          <w:sz w:val="26"/>
          <w:szCs w:val="26"/>
        </w:rPr>
        <w:t xml:space="preserve">requirements </w:t>
      </w:r>
      <w:r w:rsidR="00D64D64">
        <w:rPr>
          <w:color w:val="auto"/>
          <w:sz w:val="26"/>
          <w:szCs w:val="26"/>
        </w:rPr>
        <w:t>to total</w:t>
      </w:r>
      <w:r w:rsidR="00013184">
        <w:rPr>
          <w:color w:val="auto"/>
          <w:sz w:val="26"/>
          <w:szCs w:val="26"/>
        </w:rPr>
        <w:t xml:space="preserve"> </w:t>
      </w:r>
      <w:r w:rsidR="002E1CA0">
        <w:rPr>
          <w:color w:val="auto"/>
          <w:sz w:val="26"/>
          <w:szCs w:val="26"/>
        </w:rPr>
        <w:t xml:space="preserve">approximately </w:t>
      </w:r>
      <w:r w:rsidR="008A3B2F">
        <w:rPr>
          <w:color w:val="auto"/>
          <w:sz w:val="26"/>
          <w:szCs w:val="26"/>
        </w:rPr>
        <w:t>$244 million</w:t>
      </w:r>
      <w:r w:rsidR="00D64D64">
        <w:rPr>
          <w:color w:val="auto"/>
          <w:sz w:val="26"/>
          <w:szCs w:val="26"/>
        </w:rPr>
        <w:t>.</w:t>
      </w:r>
      <w:r w:rsidR="008A3B2F">
        <w:rPr>
          <w:color w:val="auto"/>
          <w:sz w:val="26"/>
          <w:szCs w:val="26"/>
        </w:rPr>
        <w:t xml:space="preserve"> </w:t>
      </w:r>
      <w:r w:rsidR="00D64D64">
        <w:rPr>
          <w:color w:val="auto"/>
          <w:sz w:val="26"/>
          <w:szCs w:val="26"/>
        </w:rPr>
        <w:t xml:space="preserve"> C</w:t>
      </w:r>
      <w:r w:rsidR="008A3B2F">
        <w:rPr>
          <w:color w:val="auto"/>
          <w:sz w:val="26"/>
          <w:szCs w:val="26"/>
        </w:rPr>
        <w:t xml:space="preserve">apital expenditures </w:t>
      </w:r>
      <w:r w:rsidR="00D64D64">
        <w:rPr>
          <w:color w:val="auto"/>
          <w:sz w:val="26"/>
          <w:szCs w:val="26"/>
        </w:rPr>
        <w:t>are expected to</w:t>
      </w:r>
      <w:r w:rsidR="008A3B2F">
        <w:rPr>
          <w:color w:val="auto"/>
          <w:sz w:val="26"/>
          <w:szCs w:val="26"/>
        </w:rPr>
        <w:t xml:space="preserve"> average $194 million</w:t>
      </w:r>
      <w:r w:rsidR="00013184">
        <w:rPr>
          <w:color w:val="auto"/>
          <w:sz w:val="26"/>
          <w:szCs w:val="26"/>
        </w:rPr>
        <w:t xml:space="preserve"> per year</w:t>
      </w:r>
      <w:r w:rsidR="008A3B2F">
        <w:rPr>
          <w:color w:val="auto"/>
          <w:sz w:val="26"/>
          <w:szCs w:val="26"/>
        </w:rPr>
        <w:t>.</w:t>
      </w:r>
      <w:r w:rsidR="00C7567F">
        <w:rPr>
          <w:color w:val="auto"/>
          <w:sz w:val="26"/>
          <w:szCs w:val="26"/>
        </w:rPr>
        <w:t xml:space="preserve">  </w:t>
      </w:r>
    </w:p>
    <w:p w:rsidR="00027A59" w:rsidRDefault="00027A59" w:rsidP="006F2682">
      <w:pPr>
        <w:spacing w:line="360" w:lineRule="auto"/>
        <w:ind w:firstLine="1440"/>
        <w:rPr>
          <w:color w:val="auto"/>
          <w:sz w:val="26"/>
          <w:szCs w:val="26"/>
        </w:rPr>
      </w:pPr>
    </w:p>
    <w:p w:rsidR="00027A59" w:rsidRDefault="00027A59" w:rsidP="006F2682">
      <w:pPr>
        <w:spacing w:line="360" w:lineRule="auto"/>
        <w:ind w:firstLine="1440"/>
        <w:rPr>
          <w:color w:val="auto"/>
          <w:sz w:val="26"/>
          <w:szCs w:val="26"/>
        </w:rPr>
      </w:pPr>
      <w:r>
        <w:rPr>
          <w:color w:val="auto"/>
          <w:sz w:val="26"/>
          <w:szCs w:val="26"/>
        </w:rPr>
        <w:t xml:space="preserve">Duquesne has requested to borrowed funds for projected capital expenditures and to make future projected pension contributions.  The Commission will monitor </w:t>
      </w:r>
      <w:r w:rsidR="007A10BE">
        <w:rPr>
          <w:color w:val="auto"/>
          <w:sz w:val="26"/>
          <w:szCs w:val="26"/>
        </w:rPr>
        <w:t>Duquesne’s application of the use of these funds by requiring Duquesne to file an annual sources and uses of fund statement for the duration of the securities registration.</w:t>
      </w:r>
    </w:p>
    <w:p w:rsidR="001742EB" w:rsidRPr="0027648A" w:rsidRDefault="001742EB" w:rsidP="006F2682">
      <w:pPr>
        <w:spacing w:line="360" w:lineRule="auto"/>
        <w:ind w:firstLine="1440"/>
        <w:rPr>
          <w:color w:val="auto"/>
          <w:sz w:val="26"/>
          <w:szCs w:val="26"/>
        </w:rPr>
      </w:pPr>
    </w:p>
    <w:p w:rsidR="006258E2" w:rsidRDefault="006F2682" w:rsidP="006F2682">
      <w:pPr>
        <w:spacing w:line="360" w:lineRule="auto"/>
        <w:ind w:firstLine="1440"/>
        <w:rPr>
          <w:rFonts w:ascii="Times New (W1)" w:hAnsi="Times New (W1)"/>
          <w:color w:val="auto"/>
          <w:sz w:val="26"/>
          <w:szCs w:val="26"/>
        </w:rPr>
      </w:pPr>
      <w:r w:rsidRPr="00FD7168">
        <w:rPr>
          <w:color w:val="auto"/>
          <w:sz w:val="26"/>
          <w:szCs w:val="26"/>
        </w:rPr>
        <w:t xml:space="preserve">As of </w:t>
      </w:r>
      <w:r w:rsidR="00AA084F">
        <w:rPr>
          <w:color w:val="auto"/>
          <w:sz w:val="26"/>
          <w:szCs w:val="26"/>
        </w:rPr>
        <w:t>September</w:t>
      </w:r>
      <w:r w:rsidRPr="00FD7168">
        <w:rPr>
          <w:color w:val="auto"/>
          <w:sz w:val="26"/>
          <w:szCs w:val="26"/>
        </w:rPr>
        <w:t xml:space="preserve"> 3</w:t>
      </w:r>
      <w:r w:rsidR="00F821FD">
        <w:rPr>
          <w:color w:val="auto"/>
          <w:sz w:val="26"/>
          <w:szCs w:val="26"/>
        </w:rPr>
        <w:t>0</w:t>
      </w:r>
      <w:r w:rsidRPr="00FD7168">
        <w:rPr>
          <w:color w:val="auto"/>
          <w:sz w:val="26"/>
          <w:szCs w:val="26"/>
        </w:rPr>
        <w:t>, 200</w:t>
      </w:r>
      <w:r w:rsidR="00443EF0">
        <w:rPr>
          <w:color w:val="auto"/>
          <w:sz w:val="26"/>
          <w:szCs w:val="26"/>
        </w:rPr>
        <w:t>9</w:t>
      </w:r>
      <w:r w:rsidRPr="00FD7168">
        <w:rPr>
          <w:color w:val="auto"/>
          <w:sz w:val="26"/>
          <w:szCs w:val="26"/>
        </w:rPr>
        <w:t xml:space="preserve">, </w:t>
      </w:r>
      <w:r w:rsidR="00AA084F">
        <w:rPr>
          <w:color w:val="auto"/>
          <w:sz w:val="26"/>
          <w:szCs w:val="26"/>
        </w:rPr>
        <w:t>Duquesne</w:t>
      </w:r>
      <w:r w:rsidRPr="00FD7168">
        <w:rPr>
          <w:color w:val="auto"/>
          <w:sz w:val="26"/>
          <w:szCs w:val="26"/>
        </w:rPr>
        <w:t xml:space="preserve">’s </w:t>
      </w:r>
      <w:r w:rsidR="00910BAB">
        <w:rPr>
          <w:color w:val="auto"/>
          <w:sz w:val="26"/>
          <w:szCs w:val="26"/>
        </w:rPr>
        <w:t>capital structure consisted of 2</w:t>
      </w:r>
      <w:r w:rsidR="00443EF0">
        <w:rPr>
          <w:color w:val="auto"/>
          <w:sz w:val="26"/>
          <w:szCs w:val="26"/>
        </w:rPr>
        <w:t>9</w:t>
      </w:r>
      <w:r w:rsidR="00910BAB">
        <w:rPr>
          <w:color w:val="auto"/>
          <w:sz w:val="26"/>
          <w:szCs w:val="26"/>
        </w:rPr>
        <w:t xml:space="preserve">% long-term debt, </w:t>
      </w:r>
      <w:r w:rsidR="00443EF0">
        <w:rPr>
          <w:color w:val="auto"/>
          <w:sz w:val="26"/>
          <w:szCs w:val="26"/>
        </w:rPr>
        <w:t>6</w:t>
      </w:r>
      <w:r w:rsidR="00910BAB">
        <w:rPr>
          <w:color w:val="auto"/>
          <w:sz w:val="26"/>
          <w:szCs w:val="26"/>
        </w:rPr>
        <w:t xml:space="preserve">% </w:t>
      </w:r>
      <w:r w:rsidR="00AA084F">
        <w:rPr>
          <w:color w:val="auto"/>
          <w:sz w:val="26"/>
          <w:szCs w:val="26"/>
        </w:rPr>
        <w:t>preferred stock</w:t>
      </w:r>
      <w:r w:rsidR="00910BAB">
        <w:rPr>
          <w:color w:val="auto"/>
          <w:sz w:val="26"/>
          <w:szCs w:val="26"/>
        </w:rPr>
        <w:t xml:space="preserve"> and </w:t>
      </w:r>
      <w:r w:rsidR="00443EF0">
        <w:rPr>
          <w:color w:val="auto"/>
          <w:sz w:val="26"/>
          <w:szCs w:val="26"/>
        </w:rPr>
        <w:t>65</w:t>
      </w:r>
      <w:r w:rsidR="00910BAB">
        <w:rPr>
          <w:color w:val="auto"/>
          <w:sz w:val="26"/>
          <w:szCs w:val="26"/>
        </w:rPr>
        <w:t>%</w:t>
      </w:r>
      <w:r w:rsidR="00735A4C">
        <w:rPr>
          <w:color w:val="auto"/>
          <w:sz w:val="26"/>
          <w:szCs w:val="26"/>
        </w:rPr>
        <w:t xml:space="preserve"> equity.  </w:t>
      </w:r>
      <w:r w:rsidR="00AA084F">
        <w:rPr>
          <w:color w:val="auto"/>
          <w:sz w:val="26"/>
          <w:szCs w:val="26"/>
        </w:rPr>
        <w:t>Duquesne’s pro forma capital structure after the addition of</w:t>
      </w:r>
      <w:r w:rsidR="00066442">
        <w:rPr>
          <w:color w:val="auto"/>
          <w:sz w:val="26"/>
          <w:szCs w:val="26"/>
        </w:rPr>
        <w:t xml:space="preserve"> $</w:t>
      </w:r>
      <w:r w:rsidR="00AA084F">
        <w:rPr>
          <w:color w:val="auto"/>
          <w:sz w:val="26"/>
          <w:szCs w:val="26"/>
        </w:rPr>
        <w:t>30</w:t>
      </w:r>
      <w:r w:rsidR="003B5533">
        <w:rPr>
          <w:color w:val="auto"/>
          <w:sz w:val="26"/>
          <w:szCs w:val="26"/>
        </w:rPr>
        <w:t>0</w:t>
      </w:r>
      <w:r w:rsidR="00066442">
        <w:rPr>
          <w:color w:val="auto"/>
          <w:sz w:val="26"/>
          <w:szCs w:val="26"/>
        </w:rPr>
        <w:t xml:space="preserve"> million </w:t>
      </w:r>
      <w:r w:rsidR="00DC6DDA">
        <w:rPr>
          <w:color w:val="auto"/>
          <w:sz w:val="26"/>
          <w:szCs w:val="26"/>
        </w:rPr>
        <w:t xml:space="preserve">new </w:t>
      </w:r>
      <w:r w:rsidR="003B5533">
        <w:rPr>
          <w:color w:val="auto"/>
          <w:sz w:val="26"/>
          <w:szCs w:val="26"/>
        </w:rPr>
        <w:t xml:space="preserve">debt </w:t>
      </w:r>
      <w:r w:rsidR="00066442">
        <w:rPr>
          <w:color w:val="auto"/>
          <w:sz w:val="26"/>
          <w:szCs w:val="26"/>
        </w:rPr>
        <w:t>w</w:t>
      </w:r>
      <w:r w:rsidR="001742EB">
        <w:rPr>
          <w:color w:val="auto"/>
          <w:sz w:val="26"/>
          <w:szCs w:val="26"/>
        </w:rPr>
        <w:t>ould</w:t>
      </w:r>
      <w:r w:rsidR="00066442">
        <w:rPr>
          <w:color w:val="auto"/>
          <w:sz w:val="26"/>
          <w:szCs w:val="26"/>
        </w:rPr>
        <w:t xml:space="preserve"> </w:t>
      </w:r>
      <w:r w:rsidR="00FD7385">
        <w:rPr>
          <w:color w:val="auto"/>
          <w:sz w:val="26"/>
          <w:szCs w:val="26"/>
        </w:rPr>
        <w:t xml:space="preserve">consist of </w:t>
      </w:r>
      <w:r w:rsidR="00443EF0">
        <w:rPr>
          <w:color w:val="auto"/>
          <w:sz w:val="26"/>
          <w:szCs w:val="26"/>
        </w:rPr>
        <w:t>40% long-term debt, 5</w:t>
      </w:r>
      <w:r w:rsidR="00FD7385">
        <w:rPr>
          <w:color w:val="auto"/>
          <w:sz w:val="26"/>
          <w:szCs w:val="26"/>
        </w:rPr>
        <w:t>% preferred stock and 5</w:t>
      </w:r>
      <w:r w:rsidR="00443EF0">
        <w:rPr>
          <w:color w:val="auto"/>
          <w:sz w:val="26"/>
          <w:szCs w:val="26"/>
        </w:rPr>
        <w:t>5</w:t>
      </w:r>
      <w:r w:rsidR="00FD7385">
        <w:rPr>
          <w:color w:val="auto"/>
          <w:sz w:val="26"/>
          <w:szCs w:val="26"/>
        </w:rPr>
        <w:t>% equity.</w:t>
      </w:r>
      <w:r w:rsidR="006258E2">
        <w:rPr>
          <w:color w:val="auto"/>
          <w:sz w:val="26"/>
          <w:szCs w:val="26"/>
        </w:rPr>
        <w:t xml:space="preserve">  </w:t>
      </w:r>
      <w:r w:rsidR="00770DD3" w:rsidRPr="00770DD3">
        <w:rPr>
          <w:color w:val="auto"/>
          <w:sz w:val="26"/>
          <w:szCs w:val="26"/>
        </w:rPr>
        <w:t xml:space="preserve">The resulting capital structure </w:t>
      </w:r>
      <w:r w:rsidR="00CE2728">
        <w:rPr>
          <w:color w:val="auto"/>
          <w:sz w:val="26"/>
          <w:szCs w:val="26"/>
        </w:rPr>
        <w:t>is consistent with the terms and conditions in the Settlement Agreement</w:t>
      </w:r>
      <w:r w:rsidR="00A52D59" w:rsidRPr="00A52D59">
        <w:rPr>
          <w:color w:val="auto"/>
          <w:sz w:val="26"/>
          <w:szCs w:val="26"/>
        </w:rPr>
        <w:t xml:space="preserve"> </w:t>
      </w:r>
      <w:r w:rsidR="00A52D59">
        <w:rPr>
          <w:color w:val="auto"/>
          <w:sz w:val="26"/>
          <w:szCs w:val="26"/>
        </w:rPr>
        <w:t>approved by the Commission at A</w:t>
      </w:r>
      <w:r w:rsidR="00A52D59">
        <w:rPr>
          <w:color w:val="auto"/>
          <w:sz w:val="26"/>
          <w:szCs w:val="26"/>
        </w:rPr>
        <w:noBreakHyphen/>
        <w:t>110150F0035, Public Meeting of April 24, 2007</w:t>
      </w:r>
      <w:r w:rsidR="003808B6">
        <w:rPr>
          <w:color w:val="auto"/>
          <w:sz w:val="26"/>
          <w:szCs w:val="26"/>
        </w:rPr>
        <w:t>, which requires Duquesne to have a long-term debt ratio as a percent of total capital less than 60% and to hav</w:t>
      </w:r>
      <w:r w:rsidR="00A52D59">
        <w:rPr>
          <w:color w:val="auto"/>
          <w:sz w:val="26"/>
          <w:szCs w:val="26"/>
        </w:rPr>
        <w:t>e</w:t>
      </w:r>
      <w:r w:rsidR="003808B6">
        <w:rPr>
          <w:color w:val="auto"/>
          <w:sz w:val="26"/>
          <w:szCs w:val="26"/>
        </w:rPr>
        <w:t xml:space="preserve"> outstanding separately issued debt held by investors not affiliated with Duquesne or its affiliates</w:t>
      </w:r>
      <w:r w:rsidR="00B80D6C">
        <w:rPr>
          <w:color w:val="auto"/>
          <w:sz w:val="26"/>
          <w:szCs w:val="26"/>
        </w:rPr>
        <w:t xml:space="preserve">, </w:t>
      </w:r>
      <w:r w:rsidR="00B80D6C">
        <w:rPr>
          <w:color w:val="auto"/>
          <w:sz w:val="26"/>
          <w:szCs w:val="26"/>
        </w:rPr>
        <w:lastRenderedPageBreak/>
        <w:t>unless the Commission authorizes to the contrary</w:t>
      </w:r>
      <w:r w:rsidR="00CE2728">
        <w:rPr>
          <w:color w:val="auto"/>
          <w:sz w:val="26"/>
          <w:szCs w:val="26"/>
        </w:rPr>
        <w:t>.</w:t>
      </w:r>
      <w:r w:rsidR="00770DD3">
        <w:rPr>
          <w:color w:val="auto"/>
          <w:sz w:val="26"/>
          <w:szCs w:val="26"/>
        </w:rPr>
        <w:t xml:space="preserve">  </w:t>
      </w:r>
      <w:r w:rsidR="00283296">
        <w:rPr>
          <w:rFonts w:ascii="Times New (W1)" w:hAnsi="Times New (W1)"/>
          <w:color w:val="auto"/>
          <w:sz w:val="26"/>
          <w:szCs w:val="26"/>
        </w:rPr>
        <w:t>Duquesne</w:t>
      </w:r>
      <w:r w:rsidR="0071137D" w:rsidRPr="005A73D1">
        <w:rPr>
          <w:rFonts w:ascii="Times New (W1)" w:hAnsi="Times New (W1)"/>
          <w:color w:val="auto"/>
          <w:sz w:val="26"/>
          <w:szCs w:val="26"/>
        </w:rPr>
        <w:t>’s</w:t>
      </w:r>
      <w:r w:rsidRPr="005A73D1">
        <w:rPr>
          <w:rFonts w:ascii="Times New (W1)" w:hAnsi="Times New (W1)"/>
          <w:color w:val="auto"/>
          <w:sz w:val="26"/>
          <w:szCs w:val="26"/>
        </w:rPr>
        <w:t xml:space="preserve"> </w:t>
      </w:r>
      <w:r w:rsidR="00283296">
        <w:rPr>
          <w:rFonts w:ascii="Times New (W1)" w:hAnsi="Times New (W1)"/>
          <w:color w:val="auto"/>
          <w:sz w:val="26"/>
          <w:szCs w:val="26"/>
        </w:rPr>
        <w:t xml:space="preserve">and DLH’s </w:t>
      </w:r>
      <w:r w:rsidRPr="005A73D1">
        <w:rPr>
          <w:rFonts w:ascii="Times New (W1)" w:hAnsi="Times New (W1)"/>
          <w:color w:val="auto"/>
          <w:sz w:val="26"/>
          <w:szCs w:val="26"/>
        </w:rPr>
        <w:t xml:space="preserve">long-term debt is currently rated </w:t>
      </w:r>
      <w:r w:rsidR="00283296">
        <w:rPr>
          <w:rFonts w:ascii="Times New (W1)" w:hAnsi="Times New (W1)"/>
          <w:color w:val="auto"/>
          <w:sz w:val="26"/>
          <w:szCs w:val="26"/>
        </w:rPr>
        <w:t>BBB-</w:t>
      </w:r>
      <w:r w:rsidRPr="005A73D1">
        <w:rPr>
          <w:rFonts w:ascii="Times New (W1)" w:hAnsi="Times New (W1)"/>
          <w:color w:val="auto"/>
          <w:sz w:val="26"/>
          <w:szCs w:val="26"/>
        </w:rPr>
        <w:t xml:space="preserve"> (</w:t>
      </w:r>
      <w:r w:rsidR="00283296">
        <w:rPr>
          <w:rFonts w:ascii="Times New (W1)" w:hAnsi="Times New (W1)"/>
          <w:color w:val="auto"/>
          <w:sz w:val="26"/>
          <w:szCs w:val="26"/>
        </w:rPr>
        <w:t>Adequate</w:t>
      </w:r>
      <w:r w:rsidRPr="005A73D1">
        <w:rPr>
          <w:rFonts w:ascii="Times New (W1)" w:hAnsi="Times New (W1)"/>
          <w:color w:val="auto"/>
          <w:sz w:val="26"/>
          <w:szCs w:val="26"/>
        </w:rPr>
        <w:t xml:space="preserve">) by Standard and Poor’s. </w:t>
      </w:r>
      <w:r w:rsidR="007404D3">
        <w:rPr>
          <w:rFonts w:ascii="Times New (W1)" w:hAnsi="Times New (W1)"/>
          <w:color w:val="auto"/>
          <w:sz w:val="26"/>
          <w:szCs w:val="26"/>
        </w:rPr>
        <w:t xml:space="preserve"> </w:t>
      </w:r>
    </w:p>
    <w:p w:rsidR="006258E2" w:rsidRDefault="006258E2" w:rsidP="006F2682">
      <w:pPr>
        <w:spacing w:line="360" w:lineRule="auto"/>
        <w:ind w:firstLine="1440"/>
        <w:rPr>
          <w:rFonts w:ascii="Times New (W1)" w:hAnsi="Times New (W1)"/>
          <w:color w:val="auto"/>
          <w:sz w:val="26"/>
          <w:szCs w:val="26"/>
        </w:rPr>
      </w:pPr>
    </w:p>
    <w:p w:rsidR="0004490B" w:rsidRDefault="00B80D6C" w:rsidP="006F2682">
      <w:pPr>
        <w:spacing w:line="360" w:lineRule="auto"/>
        <w:ind w:firstLine="1440"/>
        <w:rPr>
          <w:color w:val="auto"/>
          <w:sz w:val="26"/>
          <w:szCs w:val="26"/>
        </w:rPr>
      </w:pPr>
      <w:r>
        <w:rPr>
          <w:color w:val="auto"/>
          <w:sz w:val="26"/>
          <w:szCs w:val="26"/>
        </w:rPr>
        <w:t xml:space="preserve">In the instant securities filing, </w:t>
      </w:r>
      <w:r w:rsidR="00CB6587">
        <w:rPr>
          <w:color w:val="auto"/>
          <w:sz w:val="26"/>
          <w:szCs w:val="26"/>
        </w:rPr>
        <w:t>Duquesne has requested authority to enter into long term borrowing agreement</w:t>
      </w:r>
      <w:r w:rsidR="007054F1">
        <w:rPr>
          <w:color w:val="auto"/>
          <w:sz w:val="26"/>
          <w:szCs w:val="26"/>
        </w:rPr>
        <w:t>s</w:t>
      </w:r>
      <w:r w:rsidR="00CB6587">
        <w:rPr>
          <w:color w:val="auto"/>
          <w:sz w:val="26"/>
          <w:szCs w:val="26"/>
        </w:rPr>
        <w:t xml:space="preserve"> with its parent, DLH.  Duquesne </w:t>
      </w:r>
      <w:r w:rsidR="0024735F">
        <w:rPr>
          <w:color w:val="auto"/>
          <w:sz w:val="26"/>
          <w:szCs w:val="26"/>
        </w:rPr>
        <w:t>states that</w:t>
      </w:r>
      <w:r w:rsidR="00CB6587">
        <w:rPr>
          <w:color w:val="auto"/>
          <w:sz w:val="26"/>
          <w:szCs w:val="26"/>
        </w:rPr>
        <w:t xml:space="preserve"> the additional flexibility </w:t>
      </w:r>
      <w:r w:rsidR="0024735F">
        <w:rPr>
          <w:color w:val="auto"/>
          <w:sz w:val="26"/>
          <w:szCs w:val="26"/>
        </w:rPr>
        <w:t>to borrow from its parent company will allow the company to save on underwriting and legal fees required when borrowing externally</w:t>
      </w:r>
      <w:r w:rsidR="007054F1">
        <w:rPr>
          <w:color w:val="auto"/>
          <w:sz w:val="26"/>
          <w:szCs w:val="26"/>
        </w:rPr>
        <w:t>,</w:t>
      </w:r>
      <w:r w:rsidR="00FE63F0">
        <w:rPr>
          <w:color w:val="auto"/>
          <w:sz w:val="26"/>
          <w:szCs w:val="26"/>
        </w:rPr>
        <w:t xml:space="preserve"> and</w:t>
      </w:r>
      <w:r w:rsidR="0024735F">
        <w:rPr>
          <w:color w:val="auto"/>
          <w:sz w:val="26"/>
          <w:szCs w:val="26"/>
        </w:rPr>
        <w:t xml:space="preserve"> </w:t>
      </w:r>
      <w:r w:rsidR="00FE63F0">
        <w:rPr>
          <w:color w:val="auto"/>
          <w:sz w:val="26"/>
          <w:szCs w:val="26"/>
        </w:rPr>
        <w:t>permit the Company to make prepayments of principal balances without penalty</w:t>
      </w:r>
      <w:r w:rsidR="007054F1">
        <w:rPr>
          <w:color w:val="auto"/>
          <w:sz w:val="26"/>
          <w:szCs w:val="26"/>
        </w:rPr>
        <w:t>;</w:t>
      </w:r>
      <w:r w:rsidR="00B00EA4" w:rsidRPr="00B00EA4">
        <w:rPr>
          <w:color w:val="auto"/>
          <w:sz w:val="26"/>
          <w:szCs w:val="26"/>
        </w:rPr>
        <w:t xml:space="preserve"> </w:t>
      </w:r>
      <w:r w:rsidR="00B00EA4">
        <w:rPr>
          <w:color w:val="auto"/>
          <w:sz w:val="26"/>
          <w:szCs w:val="26"/>
        </w:rPr>
        <w:t>normally</w:t>
      </w:r>
      <w:r w:rsidR="00CD4E66">
        <w:rPr>
          <w:color w:val="auto"/>
          <w:sz w:val="26"/>
          <w:szCs w:val="26"/>
        </w:rPr>
        <w:t xml:space="preserve"> a feature that would require a higher interest rate if borrowing externally.  </w:t>
      </w:r>
      <w:r w:rsidR="00333F11">
        <w:rPr>
          <w:color w:val="auto"/>
          <w:sz w:val="26"/>
          <w:szCs w:val="26"/>
        </w:rPr>
        <w:t xml:space="preserve">The Company also avers that ratepayers will be protected from </w:t>
      </w:r>
      <w:r w:rsidR="00CD4E66">
        <w:rPr>
          <w:color w:val="auto"/>
          <w:sz w:val="26"/>
          <w:szCs w:val="26"/>
        </w:rPr>
        <w:t>above market interest rates charged by DLH because D</w:t>
      </w:r>
      <w:r w:rsidR="007054F1">
        <w:rPr>
          <w:color w:val="auto"/>
          <w:sz w:val="26"/>
          <w:szCs w:val="26"/>
        </w:rPr>
        <w:t>LH</w:t>
      </w:r>
      <w:r w:rsidR="00CD4E66">
        <w:rPr>
          <w:color w:val="auto"/>
          <w:sz w:val="26"/>
          <w:szCs w:val="26"/>
        </w:rPr>
        <w:t xml:space="preserve"> </w:t>
      </w:r>
      <w:r w:rsidR="00B00EA4">
        <w:rPr>
          <w:color w:val="auto"/>
          <w:sz w:val="26"/>
          <w:szCs w:val="26"/>
        </w:rPr>
        <w:t xml:space="preserve">will base the interest rate charged </w:t>
      </w:r>
      <w:r w:rsidR="007054F1">
        <w:rPr>
          <w:color w:val="auto"/>
          <w:sz w:val="26"/>
          <w:szCs w:val="26"/>
        </w:rPr>
        <w:t>to</w:t>
      </w:r>
      <w:r w:rsidR="00B00EA4">
        <w:rPr>
          <w:color w:val="auto"/>
          <w:sz w:val="26"/>
          <w:szCs w:val="26"/>
        </w:rPr>
        <w:t xml:space="preserve"> D</w:t>
      </w:r>
      <w:r w:rsidR="007054F1">
        <w:rPr>
          <w:color w:val="auto"/>
          <w:sz w:val="26"/>
          <w:szCs w:val="26"/>
        </w:rPr>
        <w:t>uquesne</w:t>
      </w:r>
      <w:r w:rsidR="00B00EA4">
        <w:rPr>
          <w:color w:val="auto"/>
          <w:sz w:val="26"/>
          <w:szCs w:val="26"/>
        </w:rPr>
        <w:t xml:space="preserve"> on the average of the </w:t>
      </w:r>
      <w:r w:rsidR="0004490B">
        <w:rPr>
          <w:color w:val="auto"/>
          <w:sz w:val="26"/>
          <w:szCs w:val="26"/>
        </w:rPr>
        <w:t xml:space="preserve">two </w:t>
      </w:r>
      <w:r w:rsidR="00B00EA4">
        <w:rPr>
          <w:color w:val="auto"/>
          <w:sz w:val="26"/>
          <w:szCs w:val="26"/>
        </w:rPr>
        <w:t>lowe</w:t>
      </w:r>
      <w:r w:rsidR="0004490B">
        <w:rPr>
          <w:color w:val="auto"/>
          <w:sz w:val="26"/>
          <w:szCs w:val="26"/>
        </w:rPr>
        <w:t>st</w:t>
      </w:r>
      <w:r w:rsidR="00B00EA4">
        <w:rPr>
          <w:color w:val="auto"/>
          <w:sz w:val="26"/>
          <w:szCs w:val="26"/>
        </w:rPr>
        <w:t xml:space="preserve"> rates </w:t>
      </w:r>
      <w:r w:rsidR="0004490B">
        <w:rPr>
          <w:color w:val="auto"/>
          <w:sz w:val="26"/>
          <w:szCs w:val="26"/>
        </w:rPr>
        <w:t>requested from three independent investment banks.</w:t>
      </w:r>
    </w:p>
    <w:p w:rsidR="001E7AFB" w:rsidRDefault="001E7AFB" w:rsidP="006F2682">
      <w:pPr>
        <w:spacing w:line="360" w:lineRule="auto"/>
        <w:ind w:firstLine="1440"/>
        <w:rPr>
          <w:color w:val="auto"/>
          <w:sz w:val="26"/>
          <w:szCs w:val="26"/>
        </w:rPr>
      </w:pPr>
    </w:p>
    <w:p w:rsidR="0005469F" w:rsidRDefault="0005469F" w:rsidP="006F2682">
      <w:pPr>
        <w:spacing w:line="360" w:lineRule="auto"/>
        <w:ind w:firstLine="1440"/>
        <w:rPr>
          <w:color w:val="auto"/>
          <w:sz w:val="26"/>
          <w:szCs w:val="26"/>
        </w:rPr>
      </w:pPr>
      <w:r>
        <w:rPr>
          <w:color w:val="auto"/>
          <w:sz w:val="26"/>
          <w:szCs w:val="26"/>
        </w:rPr>
        <w:t>The Commission will register the instant securities certificate, but will do so with the following changes made to the authorization requested:</w:t>
      </w:r>
    </w:p>
    <w:p w:rsidR="00244550" w:rsidRDefault="0005469F" w:rsidP="0005469F">
      <w:pPr>
        <w:pStyle w:val="ListParagraph"/>
        <w:numPr>
          <w:ilvl w:val="0"/>
          <w:numId w:val="15"/>
        </w:numPr>
        <w:spacing w:line="360" w:lineRule="auto"/>
        <w:rPr>
          <w:color w:val="auto"/>
          <w:sz w:val="26"/>
          <w:szCs w:val="26"/>
        </w:rPr>
      </w:pPr>
      <w:r>
        <w:rPr>
          <w:color w:val="auto"/>
          <w:sz w:val="26"/>
          <w:szCs w:val="26"/>
        </w:rPr>
        <w:t xml:space="preserve">Based on current financial forecast for </w:t>
      </w:r>
      <w:r w:rsidR="005530CC">
        <w:rPr>
          <w:color w:val="auto"/>
          <w:sz w:val="26"/>
          <w:szCs w:val="26"/>
        </w:rPr>
        <w:t>similarly rated corporate bonds, the Commission will limit the maximum borrowing rate from which Duquesne may borrow from DLH to 7.5%;</w:t>
      </w:r>
    </w:p>
    <w:p w:rsidR="0005469F" w:rsidRDefault="00244550" w:rsidP="0005469F">
      <w:pPr>
        <w:pStyle w:val="ListParagraph"/>
        <w:numPr>
          <w:ilvl w:val="0"/>
          <w:numId w:val="15"/>
        </w:numPr>
        <w:spacing w:line="360" w:lineRule="auto"/>
        <w:rPr>
          <w:color w:val="auto"/>
          <w:sz w:val="26"/>
          <w:szCs w:val="26"/>
        </w:rPr>
      </w:pPr>
      <w:r>
        <w:rPr>
          <w:color w:val="auto"/>
          <w:sz w:val="26"/>
          <w:szCs w:val="26"/>
        </w:rPr>
        <w:t xml:space="preserve">Rather than using the average interest rate of the two lowest rates requested </w:t>
      </w:r>
      <w:r w:rsidR="00543B78">
        <w:rPr>
          <w:color w:val="auto"/>
          <w:sz w:val="26"/>
          <w:szCs w:val="26"/>
        </w:rPr>
        <w:t>from three independent investment banks, the interest rate charged on intercompany loans to Duquesne will use the lowest rate requested from</w:t>
      </w:r>
      <w:r w:rsidR="00640913">
        <w:rPr>
          <w:color w:val="auto"/>
          <w:sz w:val="26"/>
          <w:szCs w:val="26"/>
        </w:rPr>
        <w:t xml:space="preserve"> </w:t>
      </w:r>
      <w:r w:rsidR="00543B78">
        <w:rPr>
          <w:color w:val="auto"/>
          <w:sz w:val="26"/>
          <w:szCs w:val="26"/>
        </w:rPr>
        <w:t xml:space="preserve">three independent investment banks; </w:t>
      </w:r>
      <w:r w:rsidR="00640913">
        <w:rPr>
          <w:color w:val="auto"/>
          <w:sz w:val="26"/>
          <w:szCs w:val="26"/>
        </w:rPr>
        <w:t>and,</w:t>
      </w:r>
    </w:p>
    <w:p w:rsidR="005530CC" w:rsidRPr="0005469F" w:rsidRDefault="00640913" w:rsidP="0005469F">
      <w:pPr>
        <w:pStyle w:val="ListParagraph"/>
        <w:numPr>
          <w:ilvl w:val="0"/>
          <w:numId w:val="15"/>
        </w:numPr>
        <w:spacing w:line="360" w:lineRule="auto"/>
        <w:rPr>
          <w:color w:val="auto"/>
          <w:sz w:val="26"/>
          <w:szCs w:val="26"/>
        </w:rPr>
      </w:pPr>
      <w:r>
        <w:rPr>
          <w:color w:val="auto"/>
          <w:sz w:val="26"/>
          <w:szCs w:val="26"/>
        </w:rPr>
        <w:t>Due to uncertainties in forecasting capital needs into the future, the Commission will limit borrowing authorization under this securities certificate through December 31, 2013.</w:t>
      </w:r>
    </w:p>
    <w:p w:rsidR="0005469F" w:rsidRDefault="0005469F" w:rsidP="006F2682">
      <w:pPr>
        <w:spacing w:line="360" w:lineRule="auto"/>
        <w:ind w:firstLine="1440"/>
        <w:rPr>
          <w:color w:val="auto"/>
          <w:sz w:val="26"/>
          <w:szCs w:val="26"/>
        </w:rPr>
      </w:pPr>
    </w:p>
    <w:p w:rsidR="001E7AFB" w:rsidRDefault="00C00F09" w:rsidP="006F2682">
      <w:pPr>
        <w:spacing w:line="360" w:lineRule="auto"/>
        <w:ind w:firstLine="1440"/>
        <w:rPr>
          <w:color w:val="auto"/>
          <w:sz w:val="26"/>
          <w:szCs w:val="26"/>
        </w:rPr>
      </w:pPr>
      <w:r>
        <w:rPr>
          <w:color w:val="auto"/>
          <w:sz w:val="26"/>
          <w:szCs w:val="26"/>
        </w:rPr>
        <w:t>Additionally</w:t>
      </w:r>
      <w:r w:rsidR="001E7AFB">
        <w:rPr>
          <w:color w:val="auto"/>
          <w:sz w:val="26"/>
          <w:szCs w:val="26"/>
        </w:rPr>
        <w:t xml:space="preserve">, the Commission will caution Duquesne that recovery of any interest expense through rates will be subject to Commission review </w:t>
      </w:r>
      <w:r w:rsidR="0063597B">
        <w:rPr>
          <w:color w:val="auto"/>
          <w:sz w:val="26"/>
          <w:szCs w:val="26"/>
        </w:rPr>
        <w:t xml:space="preserve">in a rate proceeding </w:t>
      </w:r>
      <w:r w:rsidR="0063597B">
        <w:rPr>
          <w:color w:val="auto"/>
          <w:sz w:val="26"/>
          <w:szCs w:val="26"/>
        </w:rPr>
        <w:lastRenderedPageBreak/>
        <w:t xml:space="preserve">and </w:t>
      </w:r>
      <w:r w:rsidR="0005377B">
        <w:rPr>
          <w:color w:val="auto"/>
          <w:sz w:val="26"/>
          <w:szCs w:val="26"/>
        </w:rPr>
        <w:t xml:space="preserve">the Commission will not hesitate to protect ratepayers </w:t>
      </w:r>
      <w:r w:rsidR="0063597B">
        <w:rPr>
          <w:color w:val="auto"/>
          <w:sz w:val="26"/>
          <w:szCs w:val="26"/>
        </w:rPr>
        <w:t xml:space="preserve">should interest from intercompany loans appear </w:t>
      </w:r>
      <w:r w:rsidR="00EA5FF0">
        <w:rPr>
          <w:color w:val="auto"/>
          <w:sz w:val="26"/>
          <w:szCs w:val="26"/>
        </w:rPr>
        <w:t xml:space="preserve">to be above market or otherwise </w:t>
      </w:r>
      <w:r w:rsidR="0063597B">
        <w:rPr>
          <w:color w:val="auto"/>
          <w:sz w:val="26"/>
          <w:szCs w:val="26"/>
        </w:rPr>
        <w:t>excessive</w:t>
      </w:r>
      <w:r w:rsidR="0005377B">
        <w:rPr>
          <w:color w:val="auto"/>
          <w:sz w:val="26"/>
          <w:szCs w:val="26"/>
        </w:rPr>
        <w:t>.</w:t>
      </w:r>
    </w:p>
    <w:p w:rsidR="0061132A" w:rsidRDefault="0061132A" w:rsidP="006F2682">
      <w:pPr>
        <w:spacing w:line="360" w:lineRule="auto"/>
        <w:ind w:firstLine="1440"/>
        <w:rPr>
          <w:color w:val="auto"/>
          <w:sz w:val="26"/>
          <w:szCs w:val="26"/>
        </w:rPr>
      </w:pPr>
    </w:p>
    <w:p w:rsidR="006F2682" w:rsidRDefault="006F2682" w:rsidP="006F2682">
      <w:pPr>
        <w:spacing w:line="360" w:lineRule="auto"/>
        <w:ind w:firstLine="1440"/>
        <w:rPr>
          <w:color w:val="auto"/>
          <w:sz w:val="26"/>
          <w:szCs w:val="26"/>
        </w:rPr>
      </w:pPr>
      <w:r w:rsidRPr="005A25FE">
        <w:rPr>
          <w:color w:val="auto"/>
          <w:sz w:val="26"/>
          <w:szCs w:val="26"/>
        </w:rPr>
        <w:t xml:space="preserve">Compliance checks found that </w:t>
      </w:r>
      <w:r w:rsidR="00D53EBF">
        <w:rPr>
          <w:color w:val="auto"/>
          <w:sz w:val="26"/>
          <w:szCs w:val="26"/>
        </w:rPr>
        <w:t>Duquesne</w:t>
      </w:r>
      <w:r w:rsidRPr="005A25FE">
        <w:rPr>
          <w:color w:val="auto"/>
          <w:sz w:val="26"/>
          <w:szCs w:val="26"/>
        </w:rPr>
        <w:t xml:space="preserve"> is current with its </w:t>
      </w:r>
      <w:r w:rsidR="002D507E">
        <w:rPr>
          <w:color w:val="auto"/>
          <w:sz w:val="26"/>
          <w:szCs w:val="26"/>
        </w:rPr>
        <w:t>quarterly</w:t>
      </w:r>
      <w:r w:rsidR="00420941">
        <w:rPr>
          <w:color w:val="auto"/>
          <w:sz w:val="26"/>
          <w:szCs w:val="26"/>
        </w:rPr>
        <w:t>,</w:t>
      </w:r>
      <w:r w:rsidR="002D507E">
        <w:rPr>
          <w:color w:val="auto"/>
          <w:sz w:val="26"/>
          <w:szCs w:val="26"/>
        </w:rPr>
        <w:t xml:space="preserve"> a</w:t>
      </w:r>
      <w:r w:rsidRPr="005A25FE">
        <w:rPr>
          <w:color w:val="auto"/>
          <w:sz w:val="26"/>
          <w:szCs w:val="26"/>
        </w:rPr>
        <w:t>nnual</w:t>
      </w:r>
      <w:r w:rsidR="008C20A7">
        <w:rPr>
          <w:color w:val="auto"/>
          <w:sz w:val="26"/>
          <w:szCs w:val="26"/>
        </w:rPr>
        <w:t xml:space="preserve"> </w:t>
      </w:r>
      <w:r w:rsidR="00420941">
        <w:rPr>
          <w:color w:val="auto"/>
          <w:sz w:val="26"/>
          <w:szCs w:val="26"/>
        </w:rPr>
        <w:t xml:space="preserve">and </w:t>
      </w:r>
      <w:r w:rsidRPr="005A25FE">
        <w:rPr>
          <w:color w:val="auto"/>
          <w:sz w:val="26"/>
          <w:szCs w:val="26"/>
        </w:rPr>
        <w:t xml:space="preserve">Security Planning and Readiness </w:t>
      </w:r>
      <w:r w:rsidR="00F04B15">
        <w:rPr>
          <w:color w:val="auto"/>
          <w:sz w:val="26"/>
          <w:szCs w:val="26"/>
        </w:rPr>
        <w:t>r</w:t>
      </w:r>
      <w:r w:rsidRPr="005A25FE">
        <w:rPr>
          <w:color w:val="auto"/>
          <w:sz w:val="26"/>
          <w:szCs w:val="26"/>
        </w:rPr>
        <w:t>eports, and there are no outstanding Commission fines or assessments.</w:t>
      </w:r>
    </w:p>
    <w:p w:rsidR="0071137D" w:rsidRPr="005A25FE" w:rsidRDefault="0071137D" w:rsidP="006F2682">
      <w:pPr>
        <w:spacing w:line="360" w:lineRule="auto"/>
        <w:ind w:firstLine="1440"/>
        <w:rPr>
          <w:color w:val="auto"/>
          <w:sz w:val="26"/>
          <w:szCs w:val="26"/>
        </w:rPr>
      </w:pPr>
    </w:p>
    <w:p w:rsidR="00F43408" w:rsidRDefault="009B183D" w:rsidP="00F43408">
      <w:pPr>
        <w:spacing w:line="360" w:lineRule="auto"/>
        <w:ind w:firstLine="1440"/>
        <w:rPr>
          <w:b/>
          <w:color w:val="auto"/>
          <w:sz w:val="26"/>
          <w:szCs w:val="26"/>
        </w:rPr>
      </w:pPr>
      <w:r>
        <w:rPr>
          <w:color w:val="auto"/>
          <w:sz w:val="26"/>
          <w:szCs w:val="26"/>
        </w:rPr>
        <w:t>H</w:t>
      </w:r>
      <w:r w:rsidR="00024182" w:rsidRPr="004E3EE0">
        <w:rPr>
          <w:color w:val="auto"/>
          <w:sz w:val="26"/>
          <w:szCs w:val="26"/>
        </w:rPr>
        <w:t>av</w:t>
      </w:r>
      <w:r>
        <w:rPr>
          <w:color w:val="auto"/>
          <w:sz w:val="26"/>
          <w:szCs w:val="26"/>
        </w:rPr>
        <w:t>ing</w:t>
      </w:r>
      <w:r w:rsidR="00024182">
        <w:rPr>
          <w:color w:val="auto"/>
          <w:sz w:val="26"/>
          <w:szCs w:val="26"/>
        </w:rPr>
        <w:t xml:space="preserve"> examined </w:t>
      </w:r>
      <w:r w:rsidRPr="00217A65">
        <w:rPr>
          <w:color w:val="auto"/>
          <w:sz w:val="26"/>
          <w:szCs w:val="26"/>
        </w:rPr>
        <w:t xml:space="preserve">the instant application </w:t>
      </w:r>
      <w:r>
        <w:rPr>
          <w:color w:val="auto"/>
          <w:sz w:val="26"/>
          <w:szCs w:val="26"/>
        </w:rPr>
        <w:t xml:space="preserve">and </w:t>
      </w:r>
      <w:r w:rsidR="00024182">
        <w:rPr>
          <w:color w:val="auto"/>
          <w:sz w:val="26"/>
          <w:szCs w:val="26"/>
        </w:rPr>
        <w:t>securities c</w:t>
      </w:r>
      <w:r w:rsidR="00024182" w:rsidRPr="004E3EE0">
        <w:rPr>
          <w:color w:val="auto"/>
          <w:sz w:val="26"/>
          <w:szCs w:val="26"/>
        </w:rPr>
        <w:t>ertificate</w:t>
      </w:r>
      <w:r>
        <w:rPr>
          <w:color w:val="auto"/>
          <w:sz w:val="26"/>
          <w:szCs w:val="26"/>
        </w:rPr>
        <w:t>,</w:t>
      </w:r>
      <w:r w:rsidR="00024182">
        <w:rPr>
          <w:color w:val="auto"/>
          <w:sz w:val="26"/>
          <w:szCs w:val="26"/>
        </w:rPr>
        <w:t xml:space="preserve"> </w:t>
      </w:r>
      <w:r>
        <w:rPr>
          <w:color w:val="auto"/>
          <w:sz w:val="26"/>
          <w:szCs w:val="26"/>
        </w:rPr>
        <w:t>we</w:t>
      </w:r>
      <w:r w:rsidR="00024182" w:rsidRPr="004E3EE0">
        <w:rPr>
          <w:color w:val="auto"/>
          <w:sz w:val="26"/>
          <w:szCs w:val="26"/>
        </w:rPr>
        <w:t xml:space="preserve"> </w:t>
      </w:r>
      <w:r>
        <w:rPr>
          <w:color w:val="auto"/>
          <w:sz w:val="26"/>
          <w:szCs w:val="26"/>
        </w:rPr>
        <w:t>conclude</w:t>
      </w:r>
      <w:r w:rsidR="00024182" w:rsidRPr="004E3EE0">
        <w:rPr>
          <w:color w:val="auto"/>
          <w:sz w:val="26"/>
          <w:szCs w:val="26"/>
        </w:rPr>
        <w:t xml:space="preserve"> that the proposed </w:t>
      </w:r>
      <w:r w:rsidR="00024182">
        <w:rPr>
          <w:color w:val="auto"/>
          <w:sz w:val="26"/>
          <w:szCs w:val="26"/>
        </w:rPr>
        <w:t xml:space="preserve">issuance </w:t>
      </w:r>
      <w:r w:rsidR="00024182" w:rsidRPr="004E3EE0">
        <w:rPr>
          <w:color w:val="auto"/>
          <w:sz w:val="26"/>
          <w:szCs w:val="26"/>
        </w:rPr>
        <w:t>appears to be necessary or proper for the present and probable future capital needs of t</w:t>
      </w:r>
      <w:r w:rsidR="00024182">
        <w:rPr>
          <w:color w:val="auto"/>
          <w:sz w:val="26"/>
          <w:szCs w:val="26"/>
        </w:rPr>
        <w:t>he utility and as a result the securities c</w:t>
      </w:r>
      <w:r w:rsidR="00024182" w:rsidRPr="004E3EE0">
        <w:rPr>
          <w:color w:val="auto"/>
          <w:sz w:val="26"/>
          <w:szCs w:val="26"/>
        </w:rPr>
        <w:t>ertificate should be registered</w:t>
      </w:r>
      <w:r>
        <w:rPr>
          <w:color w:val="auto"/>
          <w:sz w:val="26"/>
          <w:szCs w:val="26"/>
        </w:rPr>
        <w:t xml:space="preserve">.  We also find that </w:t>
      </w:r>
      <w:r w:rsidRPr="00360228">
        <w:rPr>
          <w:color w:val="auto"/>
          <w:sz w:val="26"/>
          <w:szCs w:val="26"/>
        </w:rPr>
        <w:t xml:space="preserve">the </w:t>
      </w:r>
      <w:r>
        <w:rPr>
          <w:color w:val="auto"/>
          <w:sz w:val="26"/>
          <w:szCs w:val="26"/>
        </w:rPr>
        <w:t xml:space="preserve">instant affiliated interest agreement concerning the </w:t>
      </w:r>
      <w:r w:rsidR="00087F84">
        <w:rPr>
          <w:color w:val="auto"/>
          <w:sz w:val="26"/>
          <w:szCs w:val="26"/>
        </w:rPr>
        <w:t>borrowing</w:t>
      </w:r>
      <w:r>
        <w:rPr>
          <w:color w:val="auto"/>
          <w:sz w:val="26"/>
          <w:szCs w:val="26"/>
        </w:rPr>
        <w:t xml:space="preserve"> transactions between the affiliated interests</w:t>
      </w:r>
      <w:r w:rsidRPr="00360228">
        <w:rPr>
          <w:color w:val="auto"/>
          <w:sz w:val="26"/>
          <w:szCs w:val="26"/>
        </w:rPr>
        <w:t xml:space="preserve"> appears to be reasonable and consistent with the public interest under Section 2102(b) of the Public Utility </w:t>
      </w:r>
      <w:r>
        <w:rPr>
          <w:color w:val="auto"/>
          <w:sz w:val="26"/>
          <w:szCs w:val="26"/>
        </w:rPr>
        <w:t xml:space="preserve">Code; however, approval of the </w:t>
      </w:r>
      <w:r w:rsidR="00821BA8">
        <w:rPr>
          <w:color w:val="auto"/>
          <w:sz w:val="26"/>
          <w:szCs w:val="26"/>
        </w:rPr>
        <w:t>borrowing arrangement</w:t>
      </w:r>
      <w:r>
        <w:rPr>
          <w:color w:val="auto"/>
          <w:sz w:val="26"/>
          <w:szCs w:val="26"/>
        </w:rPr>
        <w:t xml:space="preserve"> </w:t>
      </w:r>
      <w:r w:rsidRPr="00360228">
        <w:rPr>
          <w:color w:val="auto"/>
          <w:sz w:val="26"/>
          <w:szCs w:val="26"/>
        </w:rPr>
        <w:t>does not preclude the Commission from investigating during any formal proceeding the reasonableness of any charges under this arrangement;</w:t>
      </w:r>
      <w:r w:rsidRPr="00F43408">
        <w:rPr>
          <w:color w:val="auto"/>
          <w:sz w:val="26"/>
          <w:szCs w:val="26"/>
        </w:rPr>
        <w:t xml:space="preserve"> </w:t>
      </w:r>
      <w:r w:rsidR="00F43408" w:rsidRPr="00F43408">
        <w:rPr>
          <w:b/>
          <w:color w:val="auto"/>
          <w:sz w:val="26"/>
          <w:szCs w:val="26"/>
        </w:rPr>
        <w:t>THEREFORE,</w:t>
      </w:r>
    </w:p>
    <w:p w:rsidR="00A10078" w:rsidRDefault="00A10078" w:rsidP="004E3EE0">
      <w:pPr>
        <w:rPr>
          <w:b/>
          <w:color w:val="auto"/>
          <w:sz w:val="26"/>
          <w:szCs w:val="26"/>
        </w:rPr>
      </w:pPr>
    </w:p>
    <w:p w:rsidR="004E3EE0" w:rsidRDefault="004E3EE0" w:rsidP="004E3EE0">
      <w:pPr>
        <w:rPr>
          <w:b/>
          <w:color w:val="auto"/>
          <w:sz w:val="26"/>
          <w:szCs w:val="26"/>
        </w:rPr>
      </w:pPr>
      <w:r w:rsidRPr="004E3EE0">
        <w:rPr>
          <w:b/>
          <w:color w:val="auto"/>
          <w:sz w:val="26"/>
          <w:szCs w:val="26"/>
        </w:rPr>
        <w:tab/>
      </w:r>
      <w:r w:rsidRPr="004E3EE0">
        <w:rPr>
          <w:b/>
          <w:color w:val="auto"/>
          <w:sz w:val="26"/>
          <w:szCs w:val="26"/>
        </w:rPr>
        <w:tab/>
        <w:t>IT IS ORDERED:</w:t>
      </w:r>
    </w:p>
    <w:p w:rsidR="00A305B5" w:rsidRDefault="00A305B5" w:rsidP="004E3EE0">
      <w:pPr>
        <w:rPr>
          <w:b/>
          <w:color w:val="auto"/>
          <w:sz w:val="26"/>
          <w:szCs w:val="26"/>
        </w:rPr>
      </w:pPr>
    </w:p>
    <w:p w:rsidR="00A305B5" w:rsidRDefault="00A305B5" w:rsidP="004E3EE0">
      <w:pPr>
        <w:rPr>
          <w:b/>
          <w:color w:val="auto"/>
          <w:sz w:val="26"/>
          <w:szCs w:val="26"/>
        </w:rPr>
      </w:pPr>
    </w:p>
    <w:p w:rsidR="004E3EE0" w:rsidRPr="002341D0" w:rsidRDefault="002341D0" w:rsidP="004E3EE0">
      <w:pPr>
        <w:spacing w:line="360" w:lineRule="auto"/>
        <w:rPr>
          <w:color w:val="auto"/>
          <w:sz w:val="26"/>
          <w:szCs w:val="26"/>
        </w:rPr>
      </w:pPr>
      <w:r>
        <w:rPr>
          <w:color w:val="auto"/>
          <w:sz w:val="26"/>
          <w:szCs w:val="26"/>
        </w:rPr>
        <w:tab/>
      </w:r>
      <w:r>
        <w:rPr>
          <w:color w:val="auto"/>
          <w:sz w:val="26"/>
          <w:szCs w:val="26"/>
        </w:rPr>
        <w:tab/>
      </w:r>
      <w:r w:rsidR="009918F9">
        <w:rPr>
          <w:color w:val="auto"/>
          <w:sz w:val="26"/>
          <w:szCs w:val="26"/>
        </w:rPr>
        <w:t xml:space="preserve">1.  </w:t>
      </w:r>
      <w:r w:rsidR="001E3C0A">
        <w:rPr>
          <w:color w:val="auto"/>
          <w:sz w:val="26"/>
          <w:szCs w:val="26"/>
        </w:rPr>
        <w:t xml:space="preserve">That the </w:t>
      </w:r>
      <w:r>
        <w:rPr>
          <w:color w:val="auto"/>
          <w:kern w:val="1"/>
          <w:sz w:val="26"/>
          <w:szCs w:val="26"/>
        </w:rPr>
        <w:t>s</w:t>
      </w:r>
      <w:r w:rsidRPr="002341D0">
        <w:rPr>
          <w:color w:val="auto"/>
          <w:kern w:val="1"/>
          <w:sz w:val="26"/>
          <w:szCs w:val="26"/>
        </w:rPr>
        <w:t xml:space="preserve">ecurities certificate </w:t>
      </w:r>
      <w:r>
        <w:rPr>
          <w:color w:val="auto"/>
          <w:kern w:val="1"/>
          <w:sz w:val="26"/>
          <w:szCs w:val="26"/>
        </w:rPr>
        <w:t xml:space="preserve">of </w:t>
      </w:r>
      <w:r w:rsidR="00240E96">
        <w:rPr>
          <w:color w:val="auto"/>
          <w:kern w:val="1"/>
          <w:sz w:val="26"/>
          <w:szCs w:val="26"/>
        </w:rPr>
        <w:t>Duquesne Light Company</w:t>
      </w:r>
      <w:r w:rsidR="001E002E">
        <w:rPr>
          <w:color w:val="auto"/>
          <w:sz w:val="26"/>
          <w:szCs w:val="26"/>
        </w:rPr>
        <w:t xml:space="preserve"> </w:t>
      </w:r>
      <w:r w:rsidR="00A56F4E" w:rsidRPr="00A56F4E">
        <w:rPr>
          <w:color w:val="auto"/>
          <w:kern w:val="1"/>
          <w:sz w:val="26"/>
          <w:szCs w:val="26"/>
        </w:rPr>
        <w:t xml:space="preserve">for the issuance of </w:t>
      </w:r>
      <w:r w:rsidR="00E7154D">
        <w:rPr>
          <w:color w:val="auto"/>
          <w:kern w:val="1"/>
          <w:sz w:val="26"/>
          <w:szCs w:val="26"/>
        </w:rPr>
        <w:t>debt</w:t>
      </w:r>
      <w:r w:rsidR="00A56F4E" w:rsidRPr="00A56F4E">
        <w:rPr>
          <w:color w:val="auto"/>
          <w:kern w:val="1"/>
          <w:sz w:val="26"/>
          <w:szCs w:val="26"/>
        </w:rPr>
        <w:t xml:space="preserve"> in an aggregate principal amount not to exceed $</w:t>
      </w:r>
      <w:r w:rsidR="00240E96">
        <w:rPr>
          <w:color w:val="auto"/>
          <w:kern w:val="1"/>
          <w:sz w:val="26"/>
          <w:szCs w:val="26"/>
        </w:rPr>
        <w:t>30</w:t>
      </w:r>
      <w:r w:rsidR="00E7154D">
        <w:rPr>
          <w:color w:val="auto"/>
          <w:kern w:val="1"/>
          <w:sz w:val="26"/>
          <w:szCs w:val="26"/>
        </w:rPr>
        <w:t>0</w:t>
      </w:r>
      <w:r w:rsidR="00A56F4E" w:rsidRPr="00A56F4E">
        <w:rPr>
          <w:color w:val="auto"/>
          <w:kern w:val="1"/>
          <w:sz w:val="26"/>
          <w:szCs w:val="26"/>
        </w:rPr>
        <w:t xml:space="preserve"> million</w:t>
      </w:r>
      <w:r w:rsidR="007F6156">
        <w:rPr>
          <w:color w:val="auto"/>
          <w:kern w:val="1"/>
          <w:sz w:val="26"/>
          <w:szCs w:val="26"/>
        </w:rPr>
        <w:t xml:space="preserve"> </w:t>
      </w:r>
      <w:r w:rsidRPr="002341D0">
        <w:rPr>
          <w:color w:val="auto"/>
          <w:sz w:val="26"/>
          <w:szCs w:val="26"/>
        </w:rPr>
        <w:t>is hereby registered</w:t>
      </w:r>
      <w:r w:rsidR="004E3EE0" w:rsidRPr="002341D0">
        <w:rPr>
          <w:color w:val="auto"/>
          <w:sz w:val="26"/>
          <w:szCs w:val="26"/>
        </w:rPr>
        <w:t>.</w:t>
      </w:r>
    </w:p>
    <w:p w:rsidR="004E3EE0" w:rsidRPr="004E3EE0" w:rsidRDefault="004E3EE0" w:rsidP="004E3EE0">
      <w:pPr>
        <w:spacing w:line="360" w:lineRule="auto"/>
        <w:rPr>
          <w:color w:val="auto"/>
          <w:sz w:val="26"/>
          <w:szCs w:val="26"/>
        </w:rPr>
      </w:pPr>
    </w:p>
    <w:p w:rsidR="00901BAA" w:rsidRDefault="004E3EE0" w:rsidP="009918F9">
      <w:pPr>
        <w:spacing w:line="360" w:lineRule="auto"/>
        <w:rPr>
          <w:color w:val="auto"/>
          <w:sz w:val="26"/>
          <w:szCs w:val="26"/>
        </w:rPr>
      </w:pPr>
      <w:r w:rsidRPr="004E3EE0">
        <w:rPr>
          <w:color w:val="auto"/>
          <w:sz w:val="26"/>
          <w:szCs w:val="26"/>
        </w:rPr>
        <w:tab/>
      </w:r>
      <w:r w:rsidRPr="004E3EE0">
        <w:rPr>
          <w:color w:val="auto"/>
          <w:sz w:val="26"/>
          <w:szCs w:val="26"/>
        </w:rPr>
        <w:tab/>
      </w:r>
      <w:r w:rsidR="00901BAA">
        <w:rPr>
          <w:color w:val="auto"/>
          <w:sz w:val="26"/>
          <w:szCs w:val="26"/>
        </w:rPr>
        <w:t>2</w:t>
      </w:r>
      <w:r w:rsidR="00901BAA" w:rsidRPr="009918F9">
        <w:rPr>
          <w:color w:val="auto"/>
          <w:sz w:val="26"/>
          <w:szCs w:val="26"/>
        </w:rPr>
        <w:t xml:space="preserve">.  That the Affiliated Interest Agreement </w:t>
      </w:r>
      <w:r w:rsidR="00901BAA">
        <w:rPr>
          <w:color w:val="auto"/>
          <w:sz w:val="26"/>
          <w:szCs w:val="26"/>
        </w:rPr>
        <w:t xml:space="preserve">between </w:t>
      </w:r>
      <w:r w:rsidR="00901BAA">
        <w:rPr>
          <w:color w:val="auto"/>
          <w:kern w:val="1"/>
          <w:sz w:val="26"/>
          <w:szCs w:val="26"/>
        </w:rPr>
        <w:t>Duquesne Light Company</w:t>
      </w:r>
      <w:r w:rsidR="00901BAA">
        <w:rPr>
          <w:color w:val="auto"/>
          <w:sz w:val="26"/>
          <w:szCs w:val="26"/>
        </w:rPr>
        <w:t xml:space="preserve"> </w:t>
      </w:r>
      <w:r w:rsidR="00901BAA" w:rsidRPr="009918F9">
        <w:rPr>
          <w:color w:val="auto"/>
          <w:sz w:val="26"/>
          <w:szCs w:val="26"/>
        </w:rPr>
        <w:t xml:space="preserve">and </w:t>
      </w:r>
      <w:r w:rsidR="00901BAA">
        <w:rPr>
          <w:color w:val="auto"/>
          <w:sz w:val="26"/>
          <w:szCs w:val="26"/>
        </w:rPr>
        <w:t xml:space="preserve">Duquesne Light Holdings, Inc. </w:t>
      </w:r>
      <w:r w:rsidR="00901BAA" w:rsidRPr="009918F9">
        <w:rPr>
          <w:color w:val="auto"/>
          <w:sz w:val="26"/>
          <w:szCs w:val="26"/>
        </w:rPr>
        <w:t>is</w:t>
      </w:r>
      <w:r w:rsidR="00901BAA">
        <w:rPr>
          <w:color w:val="auto"/>
          <w:sz w:val="26"/>
          <w:szCs w:val="26"/>
        </w:rPr>
        <w:t xml:space="preserve"> hereby approved</w:t>
      </w:r>
      <w:r w:rsidR="00901BAA" w:rsidRPr="009918F9">
        <w:rPr>
          <w:color w:val="auto"/>
          <w:sz w:val="26"/>
          <w:szCs w:val="26"/>
        </w:rPr>
        <w:t>.</w:t>
      </w:r>
    </w:p>
    <w:p w:rsidR="00901BAA" w:rsidRDefault="00901BAA" w:rsidP="009918F9">
      <w:pPr>
        <w:spacing w:line="360" w:lineRule="auto"/>
        <w:rPr>
          <w:color w:val="auto"/>
          <w:sz w:val="26"/>
          <w:szCs w:val="26"/>
        </w:rPr>
      </w:pPr>
    </w:p>
    <w:p w:rsidR="00AC0B38" w:rsidRDefault="00901BAA" w:rsidP="009918F9">
      <w:pPr>
        <w:spacing w:line="360" w:lineRule="auto"/>
        <w:rPr>
          <w:color w:val="auto"/>
          <w:sz w:val="26"/>
          <w:szCs w:val="26"/>
        </w:rPr>
      </w:pPr>
      <w:r>
        <w:rPr>
          <w:color w:val="auto"/>
          <w:sz w:val="26"/>
          <w:szCs w:val="26"/>
        </w:rPr>
        <w:tab/>
      </w:r>
      <w:r>
        <w:rPr>
          <w:color w:val="auto"/>
          <w:sz w:val="26"/>
          <w:szCs w:val="26"/>
        </w:rPr>
        <w:tab/>
        <w:t>3</w:t>
      </w:r>
      <w:r w:rsidR="00AC0B38">
        <w:rPr>
          <w:color w:val="auto"/>
          <w:sz w:val="26"/>
          <w:szCs w:val="26"/>
        </w:rPr>
        <w:t>.  That within 60 days of the issuance of the securities pursuant to the instant registration,</w:t>
      </w:r>
      <w:r w:rsidR="00B05DFD" w:rsidRPr="00B05DFD">
        <w:rPr>
          <w:color w:val="auto"/>
          <w:kern w:val="1"/>
          <w:sz w:val="26"/>
          <w:szCs w:val="26"/>
        </w:rPr>
        <w:t xml:space="preserve"> </w:t>
      </w:r>
      <w:r w:rsidR="00B05DFD">
        <w:rPr>
          <w:color w:val="auto"/>
          <w:kern w:val="1"/>
          <w:sz w:val="26"/>
          <w:szCs w:val="26"/>
        </w:rPr>
        <w:t>Duquesne Light Company</w:t>
      </w:r>
      <w:r w:rsidR="00AC0B38">
        <w:rPr>
          <w:color w:val="auto"/>
          <w:sz w:val="26"/>
          <w:szCs w:val="26"/>
        </w:rPr>
        <w:t xml:space="preserve"> </w:t>
      </w:r>
      <w:r w:rsidR="003E284E">
        <w:rPr>
          <w:color w:val="auto"/>
          <w:sz w:val="26"/>
          <w:szCs w:val="26"/>
        </w:rPr>
        <w:t xml:space="preserve">shall </w:t>
      </w:r>
      <w:r w:rsidR="005E5864">
        <w:rPr>
          <w:color w:val="auto"/>
          <w:sz w:val="26"/>
          <w:szCs w:val="26"/>
        </w:rPr>
        <w:t>file</w:t>
      </w:r>
      <w:r w:rsidR="00AC0B38">
        <w:rPr>
          <w:color w:val="auto"/>
          <w:sz w:val="26"/>
          <w:szCs w:val="26"/>
        </w:rPr>
        <w:t xml:space="preserve"> notice with the Commission of such issuance together with a summary of </w:t>
      </w:r>
      <w:r w:rsidR="00FF0DCA">
        <w:rPr>
          <w:color w:val="auto"/>
          <w:sz w:val="26"/>
          <w:szCs w:val="26"/>
        </w:rPr>
        <w:t xml:space="preserve">terms including </w:t>
      </w:r>
      <w:r w:rsidR="00AC0B38">
        <w:rPr>
          <w:color w:val="auto"/>
          <w:sz w:val="26"/>
          <w:szCs w:val="26"/>
        </w:rPr>
        <w:t xml:space="preserve">the interest rate, maturity and </w:t>
      </w:r>
      <w:r w:rsidR="00AC0B38">
        <w:rPr>
          <w:color w:val="auto"/>
          <w:sz w:val="26"/>
          <w:szCs w:val="26"/>
        </w:rPr>
        <w:lastRenderedPageBreak/>
        <w:t>call provisions of the securities issued.</w:t>
      </w:r>
      <w:r w:rsidR="00F84F65">
        <w:rPr>
          <w:color w:val="auto"/>
          <w:sz w:val="26"/>
          <w:szCs w:val="26"/>
        </w:rPr>
        <w:t xml:space="preserve">  Intercompany loans from Duquesne Light Holdings, Inc. should include </w:t>
      </w:r>
      <w:r w:rsidR="00C00F09">
        <w:rPr>
          <w:color w:val="auto"/>
          <w:sz w:val="26"/>
          <w:szCs w:val="26"/>
        </w:rPr>
        <w:t xml:space="preserve">a summary of terms (term sheet), </w:t>
      </w:r>
      <w:r w:rsidR="00F84F65">
        <w:rPr>
          <w:color w:val="auto"/>
          <w:sz w:val="26"/>
          <w:szCs w:val="26"/>
        </w:rPr>
        <w:t>a copy of the promissory note</w:t>
      </w:r>
      <w:r w:rsidR="00C00F09">
        <w:rPr>
          <w:color w:val="auto"/>
          <w:sz w:val="26"/>
          <w:szCs w:val="26"/>
        </w:rPr>
        <w:t>, and documentation which</w:t>
      </w:r>
      <w:r w:rsidR="001538C6">
        <w:rPr>
          <w:color w:val="auto"/>
          <w:sz w:val="26"/>
          <w:szCs w:val="26"/>
        </w:rPr>
        <w:t xml:space="preserve"> details the external borrowing rates and</w:t>
      </w:r>
      <w:r w:rsidR="00F84F65">
        <w:rPr>
          <w:color w:val="auto"/>
          <w:sz w:val="26"/>
          <w:szCs w:val="26"/>
        </w:rPr>
        <w:t xml:space="preserve"> </w:t>
      </w:r>
      <w:r w:rsidR="001538C6">
        <w:rPr>
          <w:color w:val="auto"/>
          <w:sz w:val="26"/>
          <w:szCs w:val="26"/>
        </w:rPr>
        <w:t xml:space="preserve">calculations </w:t>
      </w:r>
      <w:r w:rsidR="00F84F65">
        <w:rPr>
          <w:color w:val="auto"/>
          <w:sz w:val="26"/>
          <w:szCs w:val="26"/>
        </w:rPr>
        <w:t xml:space="preserve">used </w:t>
      </w:r>
      <w:r w:rsidR="006305DE">
        <w:rPr>
          <w:color w:val="auto"/>
          <w:sz w:val="26"/>
          <w:szCs w:val="26"/>
        </w:rPr>
        <w:t>to develop the interest rate on each loan.</w:t>
      </w:r>
    </w:p>
    <w:p w:rsidR="00FE5ECA" w:rsidRDefault="00FE5ECA" w:rsidP="009918F9">
      <w:pPr>
        <w:spacing w:line="360" w:lineRule="auto"/>
        <w:rPr>
          <w:color w:val="auto"/>
          <w:sz w:val="26"/>
          <w:szCs w:val="26"/>
        </w:rPr>
      </w:pPr>
    </w:p>
    <w:p w:rsidR="001538C6" w:rsidRDefault="00901BAA" w:rsidP="009918F9">
      <w:pPr>
        <w:spacing w:line="360" w:lineRule="auto"/>
        <w:rPr>
          <w:color w:val="auto"/>
          <w:sz w:val="26"/>
          <w:szCs w:val="26"/>
        </w:rPr>
      </w:pPr>
      <w:r>
        <w:rPr>
          <w:color w:val="auto"/>
          <w:sz w:val="26"/>
          <w:szCs w:val="26"/>
        </w:rPr>
        <w:tab/>
      </w:r>
      <w:r>
        <w:rPr>
          <w:color w:val="auto"/>
          <w:sz w:val="26"/>
          <w:szCs w:val="26"/>
        </w:rPr>
        <w:tab/>
        <w:t>4</w:t>
      </w:r>
      <w:r w:rsidR="00FE5ECA">
        <w:rPr>
          <w:color w:val="auto"/>
          <w:sz w:val="26"/>
          <w:szCs w:val="26"/>
        </w:rPr>
        <w:t xml:space="preserve">.  </w:t>
      </w:r>
      <w:r w:rsidR="009A2E05">
        <w:rPr>
          <w:color w:val="auto"/>
          <w:sz w:val="26"/>
          <w:szCs w:val="26"/>
        </w:rPr>
        <w:t>That t</w:t>
      </w:r>
      <w:r w:rsidR="00FE5ECA">
        <w:rPr>
          <w:color w:val="auto"/>
          <w:sz w:val="26"/>
          <w:szCs w:val="26"/>
        </w:rPr>
        <w:t>he interest rate charged on intercompany loans between Duquesne Light Holdings, Inc. and Duquesne Light Company shall be the lowest rate requested from three independent investment banks.</w:t>
      </w:r>
    </w:p>
    <w:p w:rsidR="00FE5ECA" w:rsidRDefault="00FE5ECA" w:rsidP="009918F9">
      <w:pPr>
        <w:spacing w:line="360" w:lineRule="auto"/>
        <w:rPr>
          <w:color w:val="auto"/>
          <w:sz w:val="26"/>
          <w:szCs w:val="26"/>
        </w:rPr>
      </w:pPr>
    </w:p>
    <w:p w:rsidR="001538C6" w:rsidRDefault="001538C6" w:rsidP="009918F9">
      <w:pPr>
        <w:spacing w:line="360" w:lineRule="auto"/>
        <w:rPr>
          <w:color w:val="auto"/>
          <w:sz w:val="26"/>
          <w:szCs w:val="26"/>
        </w:rPr>
      </w:pPr>
      <w:r>
        <w:rPr>
          <w:color w:val="auto"/>
          <w:sz w:val="26"/>
          <w:szCs w:val="26"/>
        </w:rPr>
        <w:tab/>
      </w:r>
      <w:r>
        <w:rPr>
          <w:color w:val="auto"/>
          <w:sz w:val="26"/>
          <w:szCs w:val="26"/>
        </w:rPr>
        <w:tab/>
      </w:r>
      <w:r w:rsidR="00901BAA">
        <w:rPr>
          <w:color w:val="auto"/>
          <w:sz w:val="26"/>
          <w:szCs w:val="26"/>
        </w:rPr>
        <w:t>5</w:t>
      </w:r>
      <w:r>
        <w:rPr>
          <w:color w:val="auto"/>
          <w:sz w:val="26"/>
          <w:szCs w:val="26"/>
        </w:rPr>
        <w:t>.  That the maximum rates on intercompany loans between Duquesne Light Holdings</w:t>
      </w:r>
      <w:r w:rsidR="006B4063">
        <w:rPr>
          <w:color w:val="auto"/>
          <w:sz w:val="26"/>
          <w:szCs w:val="26"/>
        </w:rPr>
        <w:t>, Inc. and Duquesne Light Company shall not exceed 7.5%.</w:t>
      </w:r>
    </w:p>
    <w:p w:rsidR="004F7E0F" w:rsidRDefault="004F7E0F" w:rsidP="009918F9">
      <w:pPr>
        <w:spacing w:line="360" w:lineRule="auto"/>
        <w:rPr>
          <w:color w:val="auto"/>
          <w:sz w:val="26"/>
          <w:szCs w:val="26"/>
        </w:rPr>
      </w:pPr>
    </w:p>
    <w:p w:rsidR="004F7E0F" w:rsidRDefault="004F7E0F" w:rsidP="009918F9">
      <w:pPr>
        <w:spacing w:line="360" w:lineRule="auto"/>
        <w:rPr>
          <w:color w:val="auto"/>
          <w:sz w:val="26"/>
          <w:szCs w:val="26"/>
        </w:rPr>
      </w:pPr>
      <w:r>
        <w:rPr>
          <w:color w:val="auto"/>
          <w:sz w:val="26"/>
          <w:szCs w:val="26"/>
        </w:rPr>
        <w:tab/>
      </w:r>
      <w:r>
        <w:rPr>
          <w:color w:val="auto"/>
          <w:sz w:val="26"/>
          <w:szCs w:val="26"/>
        </w:rPr>
        <w:tab/>
      </w:r>
      <w:r w:rsidR="00901BAA">
        <w:rPr>
          <w:color w:val="auto"/>
          <w:sz w:val="26"/>
          <w:szCs w:val="26"/>
        </w:rPr>
        <w:t>6</w:t>
      </w:r>
      <w:r>
        <w:rPr>
          <w:color w:val="auto"/>
          <w:sz w:val="26"/>
          <w:szCs w:val="26"/>
        </w:rPr>
        <w:t>.  That within 60 days of the remarketing of existing pollution control revenue refunding bonds,</w:t>
      </w:r>
      <w:r w:rsidRPr="00B05DFD">
        <w:rPr>
          <w:color w:val="auto"/>
          <w:kern w:val="1"/>
          <w:sz w:val="26"/>
          <w:szCs w:val="26"/>
        </w:rPr>
        <w:t xml:space="preserve"> </w:t>
      </w:r>
      <w:r>
        <w:rPr>
          <w:color w:val="auto"/>
          <w:kern w:val="1"/>
          <w:sz w:val="26"/>
          <w:szCs w:val="26"/>
        </w:rPr>
        <w:t>Duquesne Light Company</w:t>
      </w:r>
      <w:r>
        <w:rPr>
          <w:color w:val="auto"/>
          <w:sz w:val="26"/>
          <w:szCs w:val="26"/>
        </w:rPr>
        <w:t xml:space="preserve"> file notice with the Commission of such remarketed amounts.</w:t>
      </w:r>
    </w:p>
    <w:p w:rsidR="00FF0DCA" w:rsidRDefault="00FF0DCA" w:rsidP="009918F9">
      <w:pPr>
        <w:spacing w:line="360" w:lineRule="auto"/>
        <w:rPr>
          <w:color w:val="auto"/>
          <w:sz w:val="26"/>
          <w:szCs w:val="26"/>
        </w:rPr>
      </w:pPr>
    </w:p>
    <w:p w:rsidR="00574D24" w:rsidRDefault="00574D24" w:rsidP="009918F9">
      <w:pPr>
        <w:spacing w:line="360" w:lineRule="auto"/>
        <w:rPr>
          <w:color w:val="auto"/>
          <w:sz w:val="26"/>
          <w:szCs w:val="26"/>
        </w:rPr>
      </w:pPr>
      <w:r w:rsidRPr="004E3EE0">
        <w:rPr>
          <w:color w:val="auto"/>
          <w:sz w:val="26"/>
          <w:szCs w:val="26"/>
        </w:rPr>
        <w:tab/>
      </w:r>
      <w:r w:rsidRPr="004E3EE0">
        <w:rPr>
          <w:color w:val="auto"/>
          <w:sz w:val="26"/>
          <w:szCs w:val="26"/>
        </w:rPr>
        <w:tab/>
      </w:r>
      <w:r w:rsidR="00901BAA">
        <w:rPr>
          <w:color w:val="auto"/>
          <w:sz w:val="26"/>
          <w:szCs w:val="26"/>
        </w:rPr>
        <w:t>7</w:t>
      </w:r>
      <w:r>
        <w:rPr>
          <w:color w:val="auto"/>
          <w:sz w:val="26"/>
          <w:szCs w:val="26"/>
        </w:rPr>
        <w:t xml:space="preserve">.  That the sum of the principal amount of the debt securities issued </w:t>
      </w:r>
      <w:r w:rsidR="003B4FF1">
        <w:rPr>
          <w:color w:val="auto"/>
          <w:sz w:val="26"/>
          <w:szCs w:val="26"/>
        </w:rPr>
        <w:t>as First Mortgage Bonds</w:t>
      </w:r>
      <w:r w:rsidR="000829D1">
        <w:rPr>
          <w:color w:val="auto"/>
          <w:sz w:val="26"/>
          <w:szCs w:val="26"/>
        </w:rPr>
        <w:t>, intercompany loans from Duquesne Light Holdings, Inc.</w:t>
      </w:r>
      <w:r>
        <w:rPr>
          <w:color w:val="auto"/>
          <w:sz w:val="26"/>
          <w:szCs w:val="26"/>
        </w:rPr>
        <w:t xml:space="preserve"> and </w:t>
      </w:r>
      <w:r w:rsidR="00D21E48">
        <w:rPr>
          <w:color w:val="auto"/>
          <w:sz w:val="26"/>
          <w:szCs w:val="26"/>
        </w:rPr>
        <w:t xml:space="preserve">as </w:t>
      </w:r>
      <w:r w:rsidR="00D56270">
        <w:rPr>
          <w:color w:val="auto"/>
          <w:sz w:val="26"/>
          <w:szCs w:val="26"/>
        </w:rPr>
        <w:t>remarket</w:t>
      </w:r>
      <w:r w:rsidR="00D21E48">
        <w:rPr>
          <w:color w:val="auto"/>
          <w:sz w:val="26"/>
          <w:szCs w:val="26"/>
        </w:rPr>
        <w:t>ed</w:t>
      </w:r>
      <w:r w:rsidR="00D56270">
        <w:rPr>
          <w:color w:val="auto"/>
          <w:sz w:val="26"/>
          <w:szCs w:val="26"/>
        </w:rPr>
        <w:t xml:space="preserve"> existing pollution control revenue refunding bonds, </w:t>
      </w:r>
      <w:r w:rsidR="003F5664">
        <w:rPr>
          <w:color w:val="auto"/>
          <w:sz w:val="26"/>
          <w:szCs w:val="26"/>
        </w:rPr>
        <w:t xml:space="preserve">shall </w:t>
      </w:r>
      <w:r>
        <w:rPr>
          <w:color w:val="auto"/>
          <w:sz w:val="26"/>
          <w:szCs w:val="26"/>
        </w:rPr>
        <w:t>not exceed $300 million</w:t>
      </w:r>
      <w:r w:rsidR="003F5664">
        <w:rPr>
          <w:color w:val="auto"/>
          <w:sz w:val="26"/>
          <w:szCs w:val="26"/>
        </w:rPr>
        <w:t xml:space="preserve">. </w:t>
      </w:r>
      <w:r w:rsidR="009817B4">
        <w:rPr>
          <w:color w:val="auto"/>
          <w:sz w:val="26"/>
          <w:szCs w:val="26"/>
        </w:rPr>
        <w:t xml:space="preserve"> Duquesne Light Company </w:t>
      </w:r>
      <w:r w:rsidR="003F5664">
        <w:rPr>
          <w:color w:val="auto"/>
          <w:sz w:val="26"/>
          <w:szCs w:val="26"/>
        </w:rPr>
        <w:t>shall notify the Commission when</w:t>
      </w:r>
      <w:r w:rsidR="009817B4">
        <w:rPr>
          <w:color w:val="auto"/>
          <w:sz w:val="26"/>
          <w:szCs w:val="26"/>
        </w:rPr>
        <w:t xml:space="preserve"> total debt</w:t>
      </w:r>
      <w:r w:rsidR="003F5664">
        <w:rPr>
          <w:color w:val="auto"/>
          <w:sz w:val="26"/>
          <w:szCs w:val="26"/>
        </w:rPr>
        <w:t>, First Mortgage Bonds</w:t>
      </w:r>
      <w:r w:rsidR="000829D1">
        <w:rPr>
          <w:color w:val="auto"/>
          <w:sz w:val="26"/>
          <w:szCs w:val="26"/>
        </w:rPr>
        <w:t>, intercompany loans</w:t>
      </w:r>
      <w:r w:rsidR="003F5664">
        <w:rPr>
          <w:color w:val="auto"/>
          <w:sz w:val="26"/>
          <w:szCs w:val="26"/>
        </w:rPr>
        <w:t xml:space="preserve"> </w:t>
      </w:r>
      <w:r w:rsidR="000829D1">
        <w:rPr>
          <w:color w:val="auto"/>
          <w:sz w:val="26"/>
          <w:szCs w:val="26"/>
        </w:rPr>
        <w:t xml:space="preserve">from Duquesne Light Holdings, Inc. </w:t>
      </w:r>
      <w:r w:rsidR="003F5664">
        <w:rPr>
          <w:color w:val="auto"/>
          <w:sz w:val="26"/>
          <w:szCs w:val="26"/>
        </w:rPr>
        <w:t>plus remarketed existing pollution control revenue refunding bonds,</w:t>
      </w:r>
      <w:r w:rsidR="009817B4">
        <w:rPr>
          <w:color w:val="auto"/>
          <w:sz w:val="26"/>
          <w:szCs w:val="26"/>
        </w:rPr>
        <w:t xml:space="preserve"> </w:t>
      </w:r>
      <w:r w:rsidR="00105576">
        <w:rPr>
          <w:color w:val="auto"/>
          <w:sz w:val="26"/>
          <w:szCs w:val="26"/>
        </w:rPr>
        <w:t>total</w:t>
      </w:r>
      <w:r w:rsidR="009817B4">
        <w:rPr>
          <w:color w:val="auto"/>
          <w:sz w:val="26"/>
          <w:szCs w:val="26"/>
        </w:rPr>
        <w:t>s $300 million</w:t>
      </w:r>
      <w:r w:rsidR="00D56270">
        <w:rPr>
          <w:color w:val="auto"/>
          <w:sz w:val="26"/>
          <w:szCs w:val="26"/>
        </w:rPr>
        <w:t>.</w:t>
      </w:r>
    </w:p>
    <w:p w:rsidR="00E92AEA" w:rsidRDefault="00E92AEA" w:rsidP="009918F9">
      <w:pPr>
        <w:spacing w:line="360" w:lineRule="auto"/>
        <w:rPr>
          <w:color w:val="auto"/>
          <w:sz w:val="26"/>
          <w:szCs w:val="26"/>
        </w:rPr>
      </w:pPr>
    </w:p>
    <w:p w:rsidR="00E92AEA" w:rsidRDefault="00E92AEA" w:rsidP="009918F9">
      <w:pPr>
        <w:spacing w:line="360" w:lineRule="auto"/>
        <w:rPr>
          <w:color w:val="auto"/>
          <w:sz w:val="26"/>
          <w:szCs w:val="26"/>
        </w:rPr>
      </w:pPr>
      <w:r w:rsidRPr="004E3EE0">
        <w:rPr>
          <w:color w:val="auto"/>
          <w:sz w:val="26"/>
          <w:szCs w:val="26"/>
        </w:rPr>
        <w:tab/>
      </w:r>
      <w:r w:rsidRPr="004E3EE0">
        <w:rPr>
          <w:color w:val="auto"/>
          <w:sz w:val="26"/>
          <w:szCs w:val="26"/>
        </w:rPr>
        <w:tab/>
      </w:r>
      <w:r w:rsidR="00901BAA">
        <w:rPr>
          <w:color w:val="auto"/>
          <w:sz w:val="26"/>
          <w:szCs w:val="26"/>
        </w:rPr>
        <w:t>8</w:t>
      </w:r>
      <w:r>
        <w:rPr>
          <w:color w:val="auto"/>
          <w:sz w:val="26"/>
          <w:szCs w:val="26"/>
        </w:rPr>
        <w:t xml:space="preserve">.  That the period of time for the issuance of debt securities </w:t>
      </w:r>
      <w:r w:rsidR="002976B3">
        <w:rPr>
          <w:color w:val="auto"/>
          <w:sz w:val="26"/>
          <w:szCs w:val="26"/>
        </w:rPr>
        <w:t>is granted will end on December 31, 201</w:t>
      </w:r>
      <w:r w:rsidR="001538C6">
        <w:rPr>
          <w:color w:val="auto"/>
          <w:sz w:val="26"/>
          <w:szCs w:val="26"/>
        </w:rPr>
        <w:t>3</w:t>
      </w:r>
      <w:r w:rsidR="002976B3">
        <w:rPr>
          <w:color w:val="auto"/>
          <w:sz w:val="26"/>
          <w:szCs w:val="26"/>
        </w:rPr>
        <w:t>.</w:t>
      </w:r>
    </w:p>
    <w:p w:rsidR="000829D1" w:rsidRDefault="000829D1" w:rsidP="009918F9">
      <w:pPr>
        <w:spacing w:line="360" w:lineRule="auto"/>
        <w:rPr>
          <w:color w:val="auto"/>
          <w:sz w:val="26"/>
          <w:szCs w:val="26"/>
        </w:rPr>
      </w:pPr>
    </w:p>
    <w:p w:rsidR="00A7422C" w:rsidRDefault="00FE5ECA" w:rsidP="009918F9">
      <w:pPr>
        <w:spacing w:line="360" w:lineRule="auto"/>
        <w:rPr>
          <w:color w:val="auto"/>
          <w:sz w:val="26"/>
          <w:szCs w:val="26"/>
        </w:rPr>
      </w:pPr>
      <w:r>
        <w:rPr>
          <w:color w:val="auto"/>
          <w:sz w:val="26"/>
          <w:szCs w:val="26"/>
        </w:rPr>
        <w:tab/>
      </w:r>
      <w:r>
        <w:rPr>
          <w:color w:val="auto"/>
          <w:sz w:val="26"/>
          <w:szCs w:val="26"/>
        </w:rPr>
        <w:tab/>
      </w:r>
      <w:r w:rsidR="00901BAA">
        <w:rPr>
          <w:color w:val="auto"/>
          <w:sz w:val="26"/>
          <w:szCs w:val="26"/>
        </w:rPr>
        <w:t>9</w:t>
      </w:r>
      <w:r w:rsidR="00A7422C" w:rsidRPr="00A7422C">
        <w:rPr>
          <w:color w:val="auto"/>
          <w:sz w:val="26"/>
          <w:szCs w:val="26"/>
        </w:rPr>
        <w:t>.  That the authority granted by this Order replaces any authority remaining pursuant to</w:t>
      </w:r>
      <w:r w:rsidR="00A7422C">
        <w:rPr>
          <w:color w:val="auto"/>
          <w:sz w:val="26"/>
          <w:szCs w:val="26"/>
        </w:rPr>
        <w:t xml:space="preserve"> Duquesne Light</w:t>
      </w:r>
      <w:r w:rsidR="00A7422C" w:rsidRPr="00A7422C">
        <w:rPr>
          <w:color w:val="auto"/>
          <w:sz w:val="26"/>
          <w:szCs w:val="26"/>
        </w:rPr>
        <w:t xml:space="preserve"> Company’s securities certificate for the issuance </w:t>
      </w:r>
      <w:r w:rsidR="00A7422C" w:rsidRPr="00A7422C">
        <w:rPr>
          <w:color w:val="auto"/>
          <w:sz w:val="26"/>
          <w:szCs w:val="26"/>
        </w:rPr>
        <w:lastRenderedPageBreak/>
        <w:t xml:space="preserve">of </w:t>
      </w:r>
      <w:r w:rsidR="003E284E">
        <w:rPr>
          <w:color w:val="auto"/>
          <w:sz w:val="26"/>
          <w:szCs w:val="26"/>
        </w:rPr>
        <w:t>First Mortgage Bonds (FMBs) and remarketed Pollution Control Revenue Refunding Bonds d</w:t>
      </w:r>
      <w:r w:rsidR="00A7422C" w:rsidRPr="00A7422C">
        <w:rPr>
          <w:color w:val="auto"/>
          <w:sz w:val="26"/>
          <w:szCs w:val="26"/>
        </w:rPr>
        <w:t>ocketed at S-</w:t>
      </w:r>
      <w:r w:rsidR="003E284E">
        <w:rPr>
          <w:color w:val="auto"/>
          <w:sz w:val="26"/>
          <w:szCs w:val="26"/>
        </w:rPr>
        <w:t>2008-2076790</w:t>
      </w:r>
      <w:r w:rsidR="00A7422C" w:rsidRPr="00A7422C">
        <w:rPr>
          <w:color w:val="auto"/>
          <w:sz w:val="26"/>
          <w:szCs w:val="26"/>
        </w:rPr>
        <w:t>.</w:t>
      </w:r>
    </w:p>
    <w:p w:rsidR="00E315A7" w:rsidRDefault="00E315A7" w:rsidP="009918F9">
      <w:pPr>
        <w:spacing w:line="360" w:lineRule="auto"/>
        <w:rPr>
          <w:color w:val="auto"/>
          <w:sz w:val="26"/>
          <w:szCs w:val="26"/>
        </w:rPr>
      </w:pPr>
    </w:p>
    <w:p w:rsidR="009F6723" w:rsidRDefault="00901BAA" w:rsidP="009F6723">
      <w:pPr>
        <w:spacing w:line="360" w:lineRule="auto"/>
        <w:rPr>
          <w:color w:val="auto"/>
          <w:sz w:val="26"/>
          <w:szCs w:val="26"/>
        </w:rPr>
      </w:pPr>
      <w:r>
        <w:rPr>
          <w:color w:val="auto"/>
          <w:sz w:val="26"/>
          <w:szCs w:val="26"/>
        </w:rPr>
        <w:tab/>
      </w:r>
      <w:r>
        <w:rPr>
          <w:color w:val="auto"/>
          <w:sz w:val="26"/>
          <w:szCs w:val="26"/>
        </w:rPr>
        <w:tab/>
      </w:r>
      <w:r w:rsidR="009F6723">
        <w:rPr>
          <w:color w:val="auto"/>
          <w:sz w:val="26"/>
          <w:szCs w:val="26"/>
        </w:rPr>
        <w:t>10</w:t>
      </w:r>
      <w:r w:rsidR="009F6723" w:rsidRPr="009F6723">
        <w:rPr>
          <w:color w:val="auto"/>
          <w:sz w:val="26"/>
          <w:szCs w:val="26"/>
        </w:rPr>
        <w:t>.</w:t>
      </w:r>
      <w:r w:rsidR="009F6723">
        <w:rPr>
          <w:color w:val="auto"/>
          <w:sz w:val="26"/>
          <w:szCs w:val="26"/>
        </w:rPr>
        <w:t xml:space="preserve">  </w:t>
      </w:r>
      <w:r w:rsidR="009F6723" w:rsidRPr="009F6723">
        <w:rPr>
          <w:color w:val="auto"/>
          <w:sz w:val="26"/>
          <w:szCs w:val="26"/>
        </w:rPr>
        <w:t xml:space="preserve">That Duquesne Light Company shall file with the Commission and provide to the Bureau of Fixed Utility Services </w:t>
      </w:r>
      <w:r w:rsidR="009F6723">
        <w:rPr>
          <w:color w:val="auto"/>
          <w:sz w:val="26"/>
          <w:szCs w:val="26"/>
        </w:rPr>
        <w:t>an annual</w:t>
      </w:r>
      <w:r w:rsidR="009F6723" w:rsidRPr="009F6723">
        <w:rPr>
          <w:color w:val="auto"/>
          <w:sz w:val="26"/>
          <w:szCs w:val="26"/>
        </w:rPr>
        <w:t xml:space="preserve"> </w:t>
      </w:r>
      <w:r w:rsidR="009F6723">
        <w:rPr>
          <w:color w:val="auto"/>
          <w:sz w:val="26"/>
          <w:szCs w:val="26"/>
        </w:rPr>
        <w:t xml:space="preserve">sources and uses </w:t>
      </w:r>
      <w:r w:rsidR="009F6723" w:rsidRPr="009F6723">
        <w:rPr>
          <w:color w:val="auto"/>
          <w:sz w:val="26"/>
          <w:szCs w:val="26"/>
        </w:rPr>
        <w:t xml:space="preserve">financial </w:t>
      </w:r>
      <w:r w:rsidR="009F6723">
        <w:rPr>
          <w:color w:val="auto"/>
          <w:sz w:val="26"/>
          <w:szCs w:val="26"/>
        </w:rPr>
        <w:t>s</w:t>
      </w:r>
      <w:r w:rsidR="009F6723" w:rsidRPr="009F6723">
        <w:rPr>
          <w:color w:val="auto"/>
          <w:sz w:val="26"/>
          <w:szCs w:val="26"/>
        </w:rPr>
        <w:t>t</w:t>
      </w:r>
      <w:r w:rsidR="009F6723">
        <w:rPr>
          <w:color w:val="auto"/>
          <w:sz w:val="26"/>
          <w:szCs w:val="26"/>
        </w:rPr>
        <w:t>atement</w:t>
      </w:r>
      <w:r w:rsidR="0052654A">
        <w:rPr>
          <w:color w:val="auto"/>
          <w:sz w:val="26"/>
          <w:szCs w:val="26"/>
        </w:rPr>
        <w:t xml:space="preserve"> (See Appendix A)</w:t>
      </w:r>
      <w:r w:rsidR="009F6723" w:rsidRPr="009F6723">
        <w:rPr>
          <w:color w:val="auto"/>
          <w:sz w:val="26"/>
          <w:szCs w:val="26"/>
        </w:rPr>
        <w:t xml:space="preserve">.  </w:t>
      </w:r>
      <w:r w:rsidR="009F6723">
        <w:rPr>
          <w:color w:val="auto"/>
          <w:sz w:val="26"/>
          <w:szCs w:val="26"/>
        </w:rPr>
        <w:t>This statement</w:t>
      </w:r>
      <w:r w:rsidR="009F6723" w:rsidRPr="009F6723">
        <w:rPr>
          <w:color w:val="auto"/>
          <w:sz w:val="26"/>
          <w:szCs w:val="26"/>
        </w:rPr>
        <w:t xml:space="preserve"> will be due sixty days following the end of each </w:t>
      </w:r>
      <w:r w:rsidR="009F6723">
        <w:rPr>
          <w:color w:val="auto"/>
          <w:sz w:val="26"/>
          <w:szCs w:val="26"/>
        </w:rPr>
        <w:t>calendar year</w:t>
      </w:r>
      <w:r w:rsidR="009F6723" w:rsidRPr="009F6723">
        <w:rPr>
          <w:color w:val="auto"/>
          <w:sz w:val="26"/>
          <w:szCs w:val="26"/>
        </w:rPr>
        <w:t xml:space="preserve"> </w:t>
      </w:r>
      <w:r w:rsidR="00A81331" w:rsidRPr="00A81331">
        <w:rPr>
          <w:color w:val="auto"/>
          <w:sz w:val="26"/>
          <w:szCs w:val="26"/>
        </w:rPr>
        <w:t xml:space="preserve">of the instant securities certificate registration </w:t>
      </w:r>
      <w:r w:rsidR="009F6723" w:rsidRPr="009F6723">
        <w:rPr>
          <w:color w:val="auto"/>
          <w:sz w:val="26"/>
          <w:szCs w:val="26"/>
        </w:rPr>
        <w:t xml:space="preserve">beginning with the </w:t>
      </w:r>
      <w:r w:rsidR="00A7596B">
        <w:rPr>
          <w:color w:val="auto"/>
          <w:sz w:val="26"/>
          <w:szCs w:val="26"/>
        </w:rPr>
        <w:t>yea</w:t>
      </w:r>
      <w:r w:rsidR="009F6723" w:rsidRPr="009F6723">
        <w:rPr>
          <w:color w:val="auto"/>
          <w:sz w:val="26"/>
          <w:szCs w:val="26"/>
        </w:rPr>
        <w:t xml:space="preserve">r ended </w:t>
      </w:r>
      <w:r w:rsidR="00A7596B">
        <w:rPr>
          <w:color w:val="auto"/>
          <w:sz w:val="26"/>
          <w:szCs w:val="26"/>
        </w:rPr>
        <w:t>December</w:t>
      </w:r>
      <w:r w:rsidR="009F6723" w:rsidRPr="009F6723">
        <w:rPr>
          <w:color w:val="auto"/>
          <w:sz w:val="26"/>
          <w:szCs w:val="26"/>
        </w:rPr>
        <w:t xml:space="preserve"> 31, 20</w:t>
      </w:r>
      <w:r w:rsidR="00A7596B">
        <w:rPr>
          <w:color w:val="auto"/>
          <w:sz w:val="26"/>
          <w:szCs w:val="26"/>
        </w:rPr>
        <w:t>10</w:t>
      </w:r>
      <w:r w:rsidR="009F6723" w:rsidRPr="009F6723">
        <w:rPr>
          <w:color w:val="auto"/>
          <w:sz w:val="26"/>
          <w:szCs w:val="26"/>
        </w:rPr>
        <w:t>.</w:t>
      </w:r>
    </w:p>
    <w:p w:rsidR="009F6723" w:rsidRPr="009F6723" w:rsidRDefault="009F6723" w:rsidP="009F6723">
      <w:pPr>
        <w:spacing w:line="360" w:lineRule="auto"/>
        <w:rPr>
          <w:color w:val="auto"/>
          <w:sz w:val="26"/>
          <w:szCs w:val="26"/>
        </w:rPr>
      </w:pPr>
    </w:p>
    <w:p w:rsidR="00E315A7" w:rsidRDefault="009F6723" w:rsidP="00E315A7">
      <w:pPr>
        <w:spacing w:line="360" w:lineRule="auto"/>
        <w:rPr>
          <w:color w:val="auto"/>
          <w:sz w:val="26"/>
          <w:szCs w:val="26"/>
        </w:rPr>
      </w:pPr>
      <w:r>
        <w:rPr>
          <w:color w:val="auto"/>
          <w:sz w:val="26"/>
          <w:szCs w:val="26"/>
        </w:rPr>
        <w:tab/>
      </w:r>
      <w:r>
        <w:rPr>
          <w:color w:val="auto"/>
          <w:sz w:val="26"/>
          <w:szCs w:val="26"/>
        </w:rPr>
        <w:tab/>
      </w:r>
      <w:r w:rsidR="00901BAA">
        <w:rPr>
          <w:color w:val="auto"/>
          <w:sz w:val="26"/>
          <w:szCs w:val="26"/>
        </w:rPr>
        <w:t>1</w:t>
      </w:r>
      <w:r>
        <w:rPr>
          <w:color w:val="auto"/>
          <w:sz w:val="26"/>
          <w:szCs w:val="26"/>
        </w:rPr>
        <w:t>1</w:t>
      </w:r>
      <w:r w:rsidR="00E315A7" w:rsidRPr="00E315A7">
        <w:rPr>
          <w:color w:val="auto"/>
          <w:sz w:val="26"/>
          <w:szCs w:val="26"/>
        </w:rPr>
        <w:t xml:space="preserve">.  That consistent with section 1903(b) of the Public Utility Code, 66 Pa.C.S. 1903(b), the registration of the subject securities certificate does not represent Commission approval of the proposed projects for rate recovery pursuant to 66 Pa.C.S. §§ 1301-1328.   </w:t>
      </w:r>
    </w:p>
    <w:p w:rsidR="00643B0C" w:rsidRDefault="00643B0C" w:rsidP="009918F9">
      <w:pPr>
        <w:spacing w:line="360" w:lineRule="auto"/>
        <w:rPr>
          <w:color w:val="auto"/>
          <w:sz w:val="26"/>
          <w:szCs w:val="26"/>
        </w:rPr>
      </w:pPr>
    </w:p>
    <w:p w:rsidR="009B7F8C" w:rsidRPr="009918F9" w:rsidRDefault="009B7F8C" w:rsidP="009918F9">
      <w:pPr>
        <w:spacing w:line="360" w:lineRule="auto"/>
        <w:rPr>
          <w:color w:val="auto"/>
          <w:sz w:val="26"/>
          <w:szCs w:val="26"/>
        </w:rPr>
      </w:pPr>
      <w:r>
        <w:rPr>
          <w:color w:val="auto"/>
          <w:sz w:val="26"/>
          <w:szCs w:val="26"/>
        </w:rPr>
        <w:tab/>
      </w:r>
      <w:r>
        <w:rPr>
          <w:color w:val="auto"/>
          <w:sz w:val="26"/>
          <w:szCs w:val="26"/>
        </w:rPr>
        <w:tab/>
      </w:r>
      <w:r w:rsidR="00FE5ECA">
        <w:rPr>
          <w:color w:val="auto"/>
          <w:sz w:val="26"/>
          <w:szCs w:val="26"/>
        </w:rPr>
        <w:t>1</w:t>
      </w:r>
      <w:r w:rsidR="009F6723">
        <w:rPr>
          <w:color w:val="auto"/>
          <w:sz w:val="26"/>
          <w:szCs w:val="26"/>
        </w:rPr>
        <w:t>2</w:t>
      </w:r>
      <w:r>
        <w:rPr>
          <w:color w:val="auto"/>
          <w:sz w:val="26"/>
          <w:szCs w:val="26"/>
        </w:rPr>
        <w:t xml:space="preserve">.  </w:t>
      </w:r>
      <w:r w:rsidR="005D6894" w:rsidRPr="005D6894">
        <w:rPr>
          <w:color w:val="auto"/>
          <w:sz w:val="26"/>
          <w:szCs w:val="26"/>
        </w:rPr>
        <w:t xml:space="preserve">That upon </w:t>
      </w:r>
      <w:r w:rsidR="00AC0B38">
        <w:rPr>
          <w:color w:val="auto"/>
          <w:sz w:val="26"/>
          <w:szCs w:val="26"/>
        </w:rPr>
        <w:t xml:space="preserve">completion of all issuances pursuant to the Order and submission of the final filing under </w:t>
      </w:r>
      <w:r w:rsidR="005D6894">
        <w:rPr>
          <w:color w:val="auto"/>
          <w:sz w:val="26"/>
          <w:szCs w:val="26"/>
        </w:rPr>
        <w:t>Ordering Paragraph</w:t>
      </w:r>
      <w:r w:rsidR="00633693">
        <w:rPr>
          <w:color w:val="auto"/>
          <w:sz w:val="26"/>
          <w:szCs w:val="26"/>
        </w:rPr>
        <w:t>s</w:t>
      </w:r>
      <w:r w:rsidR="005D6894">
        <w:rPr>
          <w:color w:val="auto"/>
          <w:sz w:val="26"/>
          <w:szCs w:val="26"/>
        </w:rPr>
        <w:t xml:space="preserve"> </w:t>
      </w:r>
      <w:r w:rsidR="00901BAA">
        <w:rPr>
          <w:color w:val="auto"/>
          <w:sz w:val="26"/>
          <w:szCs w:val="26"/>
        </w:rPr>
        <w:t>3</w:t>
      </w:r>
      <w:r w:rsidR="005D6894" w:rsidRPr="005D6894">
        <w:rPr>
          <w:color w:val="auto"/>
          <w:sz w:val="26"/>
          <w:szCs w:val="26"/>
        </w:rPr>
        <w:t xml:space="preserve">, </w:t>
      </w:r>
      <w:r w:rsidR="00901BAA">
        <w:rPr>
          <w:color w:val="auto"/>
          <w:sz w:val="26"/>
          <w:szCs w:val="26"/>
        </w:rPr>
        <w:t>6</w:t>
      </w:r>
      <w:r w:rsidR="008B3160">
        <w:rPr>
          <w:color w:val="auto"/>
          <w:sz w:val="26"/>
          <w:szCs w:val="26"/>
        </w:rPr>
        <w:t xml:space="preserve">, and </w:t>
      </w:r>
      <w:r w:rsidR="00901BAA">
        <w:rPr>
          <w:color w:val="auto"/>
          <w:sz w:val="26"/>
          <w:szCs w:val="26"/>
        </w:rPr>
        <w:t>7</w:t>
      </w:r>
      <w:r w:rsidR="008B3160">
        <w:rPr>
          <w:color w:val="auto"/>
          <w:sz w:val="26"/>
          <w:szCs w:val="26"/>
        </w:rPr>
        <w:t xml:space="preserve">, </w:t>
      </w:r>
      <w:r w:rsidR="005D6894" w:rsidRPr="005D6894">
        <w:rPr>
          <w:color w:val="auto"/>
          <w:sz w:val="26"/>
          <w:szCs w:val="26"/>
        </w:rPr>
        <w:t>above, this case be marked closed.</w:t>
      </w:r>
    </w:p>
    <w:p w:rsidR="004E3EE0" w:rsidRPr="004E3EE0" w:rsidRDefault="004E3EE0" w:rsidP="004E3EE0">
      <w:pPr>
        <w:spacing w:line="360" w:lineRule="auto"/>
        <w:rPr>
          <w:color w:val="auto"/>
          <w:sz w:val="26"/>
          <w:szCs w:val="26"/>
        </w:rPr>
      </w:pPr>
      <w:r w:rsidRPr="004E3EE0">
        <w:rPr>
          <w:color w:val="auto"/>
          <w:sz w:val="26"/>
          <w:szCs w:val="26"/>
        </w:rPr>
        <w:tab/>
      </w:r>
    </w:p>
    <w:p w:rsidR="009B34D3" w:rsidRPr="009B34D3" w:rsidRDefault="002F432B" w:rsidP="009B34D3">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2466975</wp:posOffset>
            </wp:positionH>
            <wp:positionV relativeFrom="paragraph">
              <wp:posOffset>-1270</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B34D3" w:rsidRPr="009B34D3">
        <w:rPr>
          <w:color w:val="auto"/>
          <w:sz w:val="26"/>
          <w:szCs w:val="26"/>
        </w:rPr>
        <w:tab/>
      </w:r>
      <w:r w:rsidR="009B34D3" w:rsidRPr="009B34D3">
        <w:rPr>
          <w:b/>
          <w:color w:val="auto"/>
          <w:sz w:val="26"/>
          <w:szCs w:val="26"/>
        </w:rPr>
        <w:t>BY THE COMMISSION</w:t>
      </w:r>
      <w:r w:rsidR="00EF127F">
        <w:rPr>
          <w:b/>
          <w:color w:val="auto"/>
          <w:sz w:val="26"/>
          <w:szCs w:val="26"/>
        </w:rPr>
        <w:t>,</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ab/>
      </w:r>
      <w:r w:rsidR="008773F2">
        <w:rPr>
          <w:color w:val="auto"/>
          <w:sz w:val="26"/>
          <w:szCs w:val="26"/>
        </w:rPr>
        <w:t>Rosemarie Chiavetta</w:t>
      </w:r>
    </w:p>
    <w:p w:rsidR="009B34D3" w:rsidRDefault="00F10CB6" w:rsidP="009B34D3">
      <w:pPr>
        <w:tabs>
          <w:tab w:val="left" w:pos="4320"/>
        </w:tabs>
        <w:rPr>
          <w:color w:val="auto"/>
          <w:sz w:val="26"/>
          <w:szCs w:val="26"/>
        </w:rPr>
      </w:pPr>
      <w:r>
        <w:rPr>
          <w:color w:val="auto"/>
          <w:sz w:val="26"/>
          <w:szCs w:val="26"/>
        </w:rPr>
        <w:tab/>
        <w:t>Secretary</w:t>
      </w:r>
    </w:p>
    <w:p w:rsidR="00F10CB6" w:rsidRPr="009B34D3" w:rsidRDefault="00F10CB6"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(SEAL)</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spacing w:line="360" w:lineRule="auto"/>
        <w:rPr>
          <w:color w:val="auto"/>
          <w:sz w:val="26"/>
          <w:szCs w:val="26"/>
        </w:rPr>
      </w:pPr>
      <w:r w:rsidRPr="009B34D3">
        <w:rPr>
          <w:color w:val="auto"/>
          <w:sz w:val="26"/>
          <w:szCs w:val="26"/>
        </w:rPr>
        <w:t>ORDER ADO</w:t>
      </w:r>
      <w:r w:rsidR="006534F0">
        <w:rPr>
          <w:color w:val="auto"/>
          <w:sz w:val="26"/>
          <w:szCs w:val="26"/>
        </w:rPr>
        <w:t xml:space="preserve">PTED:  </w:t>
      </w:r>
      <w:r w:rsidR="008773F2">
        <w:rPr>
          <w:color w:val="auto"/>
          <w:sz w:val="26"/>
          <w:szCs w:val="26"/>
        </w:rPr>
        <w:t>May 20</w:t>
      </w:r>
      <w:r w:rsidR="002341D0">
        <w:rPr>
          <w:color w:val="auto"/>
          <w:sz w:val="26"/>
          <w:szCs w:val="26"/>
        </w:rPr>
        <w:t>, 20</w:t>
      </w:r>
      <w:r w:rsidR="0052023E">
        <w:rPr>
          <w:color w:val="auto"/>
          <w:sz w:val="26"/>
          <w:szCs w:val="26"/>
        </w:rPr>
        <w:t>1</w:t>
      </w:r>
      <w:r w:rsidR="002341D0">
        <w:rPr>
          <w:color w:val="auto"/>
          <w:sz w:val="26"/>
          <w:szCs w:val="26"/>
        </w:rPr>
        <w:t>0</w:t>
      </w:r>
    </w:p>
    <w:p w:rsidR="009B34D3" w:rsidRDefault="009B34D3" w:rsidP="009B34D3">
      <w:pPr>
        <w:pStyle w:val="BodyText"/>
        <w:tabs>
          <w:tab w:val="left" w:pos="4320"/>
        </w:tabs>
        <w:spacing w:line="360" w:lineRule="auto"/>
        <w:rPr>
          <w:color w:val="auto"/>
          <w:szCs w:val="26"/>
        </w:rPr>
      </w:pPr>
      <w:r w:rsidRPr="009B34D3">
        <w:rPr>
          <w:color w:val="auto"/>
          <w:szCs w:val="26"/>
        </w:rPr>
        <w:t xml:space="preserve">ORDER ENTERED: </w:t>
      </w:r>
      <w:r w:rsidR="002F432B">
        <w:rPr>
          <w:color w:val="auto"/>
          <w:szCs w:val="26"/>
        </w:rPr>
        <w:t>May 20, 2010</w:t>
      </w:r>
      <w:r w:rsidRPr="009B34D3">
        <w:rPr>
          <w:color w:val="auto"/>
          <w:szCs w:val="26"/>
        </w:rPr>
        <w:t xml:space="preserve"> </w:t>
      </w:r>
      <w:r w:rsidR="00306AE3">
        <w:rPr>
          <w:color w:val="auto"/>
          <w:szCs w:val="26"/>
        </w:rPr>
        <w:t xml:space="preserve">                        </w:t>
      </w:r>
    </w:p>
    <w:p w:rsidR="00306AE3" w:rsidRDefault="00306AE3" w:rsidP="009B34D3">
      <w:pPr>
        <w:pStyle w:val="BodyText"/>
        <w:tabs>
          <w:tab w:val="left" w:pos="4320"/>
        </w:tabs>
        <w:spacing w:line="360" w:lineRule="auto"/>
        <w:rPr>
          <w:color w:val="auto"/>
          <w:szCs w:val="26"/>
        </w:rPr>
      </w:pPr>
    </w:p>
    <w:p w:rsidR="00306AE3" w:rsidRDefault="00306AE3" w:rsidP="009B34D3">
      <w:pPr>
        <w:pStyle w:val="BodyText"/>
        <w:tabs>
          <w:tab w:val="left" w:pos="4320"/>
        </w:tabs>
        <w:spacing w:line="360" w:lineRule="auto"/>
        <w:rPr>
          <w:color w:val="auto"/>
          <w:szCs w:val="26"/>
        </w:rPr>
      </w:pPr>
    </w:p>
    <w:p w:rsidR="00306AE3" w:rsidRDefault="00306AE3">
      <w:pPr>
        <w:rPr>
          <w:color w:val="auto"/>
          <w:sz w:val="26"/>
          <w:szCs w:val="26"/>
        </w:rPr>
      </w:pPr>
      <w:r>
        <w:rPr>
          <w:color w:val="auto"/>
          <w:szCs w:val="26"/>
        </w:rPr>
        <w:br w:type="page"/>
      </w:r>
    </w:p>
    <w:p w:rsidR="00306AE3" w:rsidRPr="00A92C8F" w:rsidRDefault="00306AE3" w:rsidP="00306AE3">
      <w:pPr>
        <w:tabs>
          <w:tab w:val="left" w:pos="4320"/>
        </w:tabs>
        <w:spacing w:line="360" w:lineRule="auto"/>
        <w:jc w:val="right"/>
        <w:rPr>
          <w:color w:val="auto"/>
          <w:sz w:val="26"/>
        </w:rPr>
      </w:pPr>
      <w:r>
        <w:rPr>
          <w:color w:val="auto"/>
          <w:sz w:val="26"/>
          <w:u w:val="single"/>
        </w:rPr>
        <w:lastRenderedPageBreak/>
        <w:t>Appendix A</w:t>
      </w:r>
    </w:p>
    <w:tbl>
      <w:tblPr>
        <w:tblW w:w="7100" w:type="dxa"/>
        <w:tblInd w:w="93" w:type="dxa"/>
        <w:tblLook w:val="04A0"/>
      </w:tblPr>
      <w:tblGrid>
        <w:gridCol w:w="1000"/>
        <w:gridCol w:w="4600"/>
        <w:gridCol w:w="420"/>
        <w:gridCol w:w="1080"/>
      </w:tblGrid>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Duquesne Light Company</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Sources and Application of Funds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($millions)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Actual</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i/>
                <w:iCs/>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i/>
                <w:iCs/>
                <w:color w:val="auto"/>
                <w:sz w:val="20"/>
              </w:rPr>
            </w:pPr>
          </w:p>
        </w:tc>
        <w:tc>
          <w:tcPr>
            <w:tcW w:w="1080" w:type="dxa"/>
            <w:tcBorders>
              <w:top w:val="nil"/>
              <w:left w:val="nil"/>
              <w:bottom w:val="single" w:sz="4" w:space="0" w:color="auto"/>
              <w:right w:val="nil"/>
            </w:tcBorders>
            <w:shd w:val="clear" w:color="auto" w:fill="auto"/>
            <w:noWrap/>
            <w:vAlign w:val="bottom"/>
            <w:hideMark/>
          </w:tcPr>
          <w:p w:rsidR="00023785" w:rsidRPr="00023785" w:rsidRDefault="00023785" w:rsidP="00023785">
            <w:pPr>
              <w:jc w:val="center"/>
              <w:rPr>
                <w:rFonts w:ascii="Helv" w:hAnsi="Helv"/>
                <w:color w:val="auto"/>
                <w:sz w:val="20"/>
              </w:rPr>
            </w:pPr>
            <w:r w:rsidRPr="00023785">
              <w:rPr>
                <w:rFonts w:ascii="Helv" w:hAnsi="Helv"/>
                <w:color w:val="auto"/>
                <w:sz w:val="20"/>
              </w:rPr>
              <w:t>2010</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5600" w:type="dxa"/>
            <w:gridSpan w:val="2"/>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Application of Funds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Capital Expenditures *</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Pension Contributions **</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Long-Term Debt Redemptions/Maturities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Preferred Stock Redemptions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2E588B" w:rsidRDefault="002E588B" w:rsidP="00023785">
            <w:pPr>
              <w:rPr>
                <w:rFonts w:ascii="Helv" w:hAnsi="Helv"/>
                <w:color w:val="auto"/>
                <w:sz w:val="20"/>
              </w:rPr>
            </w:pPr>
            <w:r>
              <w:rPr>
                <w:rFonts w:ascii="Helv" w:hAnsi="Helv"/>
                <w:color w:val="auto"/>
                <w:sz w:val="20"/>
              </w:rPr>
              <w:t xml:space="preserve">Short-Term Debt </w:t>
            </w:r>
            <w:r w:rsidR="00737842">
              <w:rPr>
                <w:rFonts w:ascii="Helv" w:hAnsi="Helv"/>
                <w:color w:val="auto"/>
                <w:sz w:val="20"/>
              </w:rPr>
              <w:t>Refinancing</w:t>
            </w:r>
          </w:p>
          <w:p w:rsidR="00023785" w:rsidRPr="00023785" w:rsidRDefault="00023785" w:rsidP="00023785">
            <w:pPr>
              <w:rPr>
                <w:rFonts w:ascii="Helv" w:hAnsi="Helv"/>
                <w:color w:val="auto"/>
                <w:sz w:val="20"/>
              </w:rPr>
            </w:pPr>
            <w:r w:rsidRPr="00023785">
              <w:rPr>
                <w:rFonts w:ascii="Helv" w:hAnsi="Helv"/>
                <w:color w:val="auto"/>
                <w:sz w:val="20"/>
              </w:rPr>
              <w:t>Dividends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Working Capital Requirements/Other ***</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single" w:sz="4" w:space="0" w:color="auto"/>
              <w:right w:val="nil"/>
            </w:tcBorders>
            <w:shd w:val="clear" w:color="auto" w:fill="auto"/>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 </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5600" w:type="dxa"/>
            <w:gridSpan w:val="2"/>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Total Applications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single" w:sz="4" w:space="0" w:color="auto"/>
              <w:right w:val="nil"/>
            </w:tcBorders>
            <w:shd w:val="clear" w:color="000000" w:fill="D8D8D8"/>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0</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5600" w:type="dxa"/>
            <w:gridSpan w:val="2"/>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Sources of Funds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Net Income</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Add: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Depreciation</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Deferred Taxes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Other Changes in Working Capital</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single" w:sz="4" w:space="0" w:color="auto"/>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 </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Internally Generated Funds, Net</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0</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Long-term Debt - Affiliated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Long-term Debt - Non-Affiliated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Short-Term Debt - Affiliated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Short-Term Debt - Non-Affiliated</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Other Sources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single" w:sz="4" w:space="0" w:color="auto"/>
              <w:right w:val="nil"/>
            </w:tcBorders>
            <w:shd w:val="clear" w:color="auto" w:fill="auto"/>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 </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255"/>
        </w:trPr>
        <w:tc>
          <w:tcPr>
            <w:tcW w:w="5600" w:type="dxa"/>
            <w:gridSpan w:val="2"/>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r w:rsidRPr="00023785">
              <w:rPr>
                <w:rFonts w:ascii="Helv" w:hAnsi="Helv"/>
                <w:color w:val="auto"/>
                <w:sz w:val="20"/>
              </w:rPr>
              <w:t>Total Sources</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single" w:sz="4" w:space="0" w:color="auto"/>
              <w:right w:val="nil"/>
            </w:tcBorders>
            <w:shd w:val="clear" w:color="000000" w:fill="D8D8D8"/>
            <w:noWrap/>
            <w:vAlign w:val="bottom"/>
            <w:hideMark/>
          </w:tcPr>
          <w:p w:rsidR="00023785" w:rsidRPr="00023785" w:rsidRDefault="00023785" w:rsidP="00023785">
            <w:pPr>
              <w:jc w:val="right"/>
              <w:rPr>
                <w:rFonts w:ascii="Helv" w:hAnsi="Helv"/>
                <w:color w:val="auto"/>
                <w:sz w:val="20"/>
              </w:rPr>
            </w:pPr>
            <w:r w:rsidRPr="00023785">
              <w:rPr>
                <w:rFonts w:ascii="Helv" w:hAnsi="Helv"/>
                <w:color w:val="auto"/>
                <w:sz w:val="20"/>
              </w:rPr>
              <w:t>0</w:t>
            </w: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25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u w:val="single"/>
              </w:rPr>
            </w:pPr>
          </w:p>
        </w:tc>
        <w:tc>
          <w:tcPr>
            <w:tcW w:w="46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510"/>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 Include details of five largest construction projects which make up this number.</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jc w:val="right"/>
              <w:rPr>
                <w:rFonts w:ascii="Helv" w:hAnsi="Helv"/>
                <w:color w:val="auto"/>
                <w:sz w:val="20"/>
              </w:rPr>
            </w:pPr>
          </w:p>
        </w:tc>
      </w:tr>
      <w:tr w:rsidR="00023785" w:rsidRPr="00023785" w:rsidTr="00023785">
        <w:trPr>
          <w:trHeight w:val="675"/>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vAlign w:val="center"/>
            <w:hideMark/>
          </w:tcPr>
          <w:p w:rsidR="00023785" w:rsidRPr="00023785" w:rsidRDefault="00023785" w:rsidP="00023785">
            <w:pPr>
              <w:rPr>
                <w:rFonts w:ascii="Helv" w:hAnsi="Helv"/>
                <w:color w:val="auto"/>
                <w:sz w:val="20"/>
              </w:rPr>
            </w:pPr>
            <w:r w:rsidRPr="00023785">
              <w:rPr>
                <w:rFonts w:ascii="Helv" w:hAnsi="Helv"/>
                <w:color w:val="auto"/>
                <w:sz w:val="20"/>
              </w:rPr>
              <w:t xml:space="preserve"> ** Please list funding requirements for other post retirement benefits (FAS 106) separately.</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r w:rsidR="00023785" w:rsidRPr="00023785" w:rsidTr="00023785">
        <w:trPr>
          <w:trHeight w:val="1020"/>
        </w:trPr>
        <w:tc>
          <w:tcPr>
            <w:tcW w:w="100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4600" w:type="dxa"/>
            <w:tcBorders>
              <w:top w:val="nil"/>
              <w:left w:val="nil"/>
              <w:bottom w:val="nil"/>
              <w:right w:val="nil"/>
            </w:tcBorders>
            <w:shd w:val="clear" w:color="auto" w:fill="auto"/>
            <w:vAlign w:val="bottom"/>
            <w:hideMark/>
          </w:tcPr>
          <w:p w:rsidR="00023785" w:rsidRPr="00023785" w:rsidRDefault="00023785" w:rsidP="00023785">
            <w:pPr>
              <w:rPr>
                <w:rFonts w:ascii="Helv" w:hAnsi="Helv"/>
                <w:color w:val="auto"/>
                <w:sz w:val="20"/>
              </w:rPr>
            </w:pPr>
            <w:r w:rsidRPr="00023785">
              <w:rPr>
                <w:rFonts w:ascii="Helv" w:hAnsi="Helv"/>
                <w:color w:val="auto"/>
                <w:sz w:val="20"/>
              </w:rPr>
              <w:t xml:space="preserve"> *** If Working Capital Requirements/Other exceed 20% of the total applications of funds, please provide a detailed explanation of this number.</w:t>
            </w:r>
          </w:p>
        </w:tc>
        <w:tc>
          <w:tcPr>
            <w:tcW w:w="42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c>
          <w:tcPr>
            <w:tcW w:w="1080" w:type="dxa"/>
            <w:tcBorders>
              <w:top w:val="nil"/>
              <w:left w:val="nil"/>
              <w:bottom w:val="nil"/>
              <w:right w:val="nil"/>
            </w:tcBorders>
            <w:shd w:val="clear" w:color="auto" w:fill="auto"/>
            <w:noWrap/>
            <w:vAlign w:val="bottom"/>
            <w:hideMark/>
          </w:tcPr>
          <w:p w:rsidR="00023785" w:rsidRPr="00023785" w:rsidRDefault="00023785" w:rsidP="00023785">
            <w:pPr>
              <w:rPr>
                <w:rFonts w:ascii="Helv" w:hAnsi="Helv"/>
                <w:color w:val="auto"/>
                <w:sz w:val="20"/>
              </w:rPr>
            </w:pPr>
          </w:p>
        </w:tc>
      </w:tr>
    </w:tbl>
    <w:p w:rsidR="00306AE3" w:rsidRDefault="00306AE3" w:rsidP="009B34D3">
      <w:pPr>
        <w:pStyle w:val="BodyText"/>
        <w:tabs>
          <w:tab w:val="left" w:pos="4320"/>
        </w:tabs>
        <w:spacing w:line="360" w:lineRule="auto"/>
        <w:rPr>
          <w:color w:val="auto"/>
          <w:szCs w:val="26"/>
        </w:rPr>
      </w:pPr>
    </w:p>
    <w:sectPr w:rsidR="00306AE3" w:rsidSect="00D10843">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42C" w:rsidRDefault="0047442C">
      <w:r>
        <w:separator/>
      </w:r>
    </w:p>
  </w:endnote>
  <w:endnote w:type="continuationSeparator" w:id="0">
    <w:p w:rsidR="0047442C" w:rsidRDefault="00474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28" w:rsidRPr="004028BA" w:rsidRDefault="009D219C" w:rsidP="005E0153">
    <w:pPr>
      <w:pStyle w:val="Footer"/>
      <w:framePr w:wrap="around" w:vAnchor="text" w:hAnchor="margin" w:xAlign="center" w:y="1"/>
      <w:rPr>
        <w:rStyle w:val="PageNumber"/>
        <w:color w:val="auto"/>
      </w:rPr>
    </w:pPr>
    <w:r w:rsidRPr="004028BA">
      <w:rPr>
        <w:rStyle w:val="PageNumber"/>
        <w:color w:val="auto"/>
      </w:rPr>
      <w:fldChar w:fldCharType="begin"/>
    </w:r>
    <w:r w:rsidR="00CE2728" w:rsidRPr="004028BA">
      <w:rPr>
        <w:rStyle w:val="PageNumber"/>
        <w:color w:val="auto"/>
      </w:rPr>
      <w:instrText xml:space="preserve"> PAGE </w:instrText>
    </w:r>
    <w:r w:rsidRPr="004028BA">
      <w:rPr>
        <w:rStyle w:val="PageNumber"/>
        <w:color w:val="auto"/>
      </w:rPr>
      <w:fldChar w:fldCharType="separate"/>
    </w:r>
    <w:r w:rsidR="002F432B">
      <w:rPr>
        <w:rStyle w:val="PageNumber"/>
        <w:noProof/>
        <w:color w:val="auto"/>
      </w:rPr>
      <w:t>8</w:t>
    </w:r>
    <w:r w:rsidRPr="004028BA">
      <w:rPr>
        <w:rStyle w:val="PageNumber"/>
        <w:color w:val="auto"/>
      </w:rPr>
      <w:fldChar w:fldCharType="end"/>
    </w:r>
  </w:p>
  <w:p w:rsidR="00CE2728" w:rsidRPr="004028BA" w:rsidRDefault="00CE2728" w:rsidP="009E2448">
    <w:pPr>
      <w:pStyle w:val="Footer"/>
      <w:jc w:val="cen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42C" w:rsidRDefault="0047442C">
      <w:r>
        <w:separator/>
      </w:r>
    </w:p>
  </w:footnote>
  <w:footnote w:type="continuationSeparator" w:id="0">
    <w:p w:rsidR="0047442C" w:rsidRDefault="0047442C">
      <w:r>
        <w:continuationSeparator/>
      </w:r>
    </w:p>
  </w:footnote>
  <w:footnote w:id="1">
    <w:p w:rsidR="00A07918" w:rsidRPr="00A07918" w:rsidRDefault="00A07918" w:rsidP="00A07918">
      <w:pPr>
        <w:pStyle w:val="FootnoteText"/>
        <w:rPr>
          <w:color w:val="auto"/>
        </w:rPr>
      </w:pPr>
      <w:r w:rsidRPr="00A07918">
        <w:rPr>
          <w:rStyle w:val="FootnoteReference"/>
          <w:color w:val="auto"/>
        </w:rPr>
        <w:footnoteRef/>
      </w:r>
      <w:r w:rsidRPr="00A07918">
        <w:rPr>
          <w:color w:val="auto"/>
        </w:rPr>
        <w:t xml:space="preserve"> A </w:t>
      </w:r>
      <w:r w:rsidRPr="00A07918">
        <w:rPr>
          <w:rFonts w:ascii="Times New (W1)" w:hAnsi="Times New (W1)"/>
          <w:color w:val="auto"/>
        </w:rPr>
        <w:t>Term</w:t>
      </w:r>
      <w:r w:rsidRPr="00A07918">
        <w:rPr>
          <w:color w:val="auto"/>
        </w:rPr>
        <w:t xml:space="preserve"> Sheet provided by the Company —Exhibit B of the filing— shows that the interest rate to be charged will be the average rate for a similarly structured external borrowing as provided by independent investment banks, not to exceed a maximum of 8.5%.  Further, Duquesne will request indicative rates for a similarly structured external borrowing from at least three independent investment banks and select the lowest two in order to develop the average rate as described in the previous sentence.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4F7CAB"/>
    <w:multiLevelType w:val="hybridMultilevel"/>
    <w:tmpl w:val="4C60597E"/>
    <w:lvl w:ilvl="0" w:tplc="B442D03C">
      <w:start w:val="4"/>
      <w:numFmt w:val="decimal"/>
      <w:lvlText w:val="%1."/>
      <w:lvlJc w:val="left"/>
      <w:pPr>
        <w:tabs>
          <w:tab w:val="num" w:pos="2490"/>
        </w:tabs>
        <w:ind w:left="2490" w:hanging="10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nsid w:val="2ADC7780"/>
    <w:multiLevelType w:val="hybridMultilevel"/>
    <w:tmpl w:val="949A53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766472"/>
    <w:multiLevelType w:val="hybridMultilevel"/>
    <w:tmpl w:val="B57CCA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1">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2">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4">
    <w:nsid w:val="7BF94AFB"/>
    <w:multiLevelType w:val="singleLevel"/>
    <w:tmpl w:val="AB2055EA"/>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11"/>
  </w:num>
  <w:num w:numId="4">
    <w:abstractNumId w:val="14"/>
  </w:num>
  <w:num w:numId="5">
    <w:abstractNumId w:val="5"/>
  </w:num>
  <w:num w:numId="6">
    <w:abstractNumId w:val="0"/>
  </w:num>
  <w:num w:numId="7">
    <w:abstractNumId w:val="10"/>
  </w:num>
  <w:num w:numId="8">
    <w:abstractNumId w:val="9"/>
  </w:num>
  <w:num w:numId="9">
    <w:abstractNumId w:val="8"/>
  </w:num>
  <w:num w:numId="10">
    <w:abstractNumId w:val="3"/>
  </w:num>
  <w:num w:numId="11">
    <w:abstractNumId w:val="12"/>
  </w:num>
  <w:num w:numId="12">
    <w:abstractNumId w:val="2"/>
  </w:num>
  <w:num w:numId="13">
    <w:abstractNumId w:val="4"/>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8436C"/>
    <w:rsid w:val="000016D0"/>
    <w:rsid w:val="00001B7B"/>
    <w:rsid w:val="0000419B"/>
    <w:rsid w:val="00004814"/>
    <w:rsid w:val="00004DFB"/>
    <w:rsid w:val="000069A2"/>
    <w:rsid w:val="00013184"/>
    <w:rsid w:val="000139E6"/>
    <w:rsid w:val="00013A8C"/>
    <w:rsid w:val="00013AAE"/>
    <w:rsid w:val="00015065"/>
    <w:rsid w:val="00015159"/>
    <w:rsid w:val="000175DD"/>
    <w:rsid w:val="0001799C"/>
    <w:rsid w:val="000219CB"/>
    <w:rsid w:val="00022D5A"/>
    <w:rsid w:val="00023785"/>
    <w:rsid w:val="00024182"/>
    <w:rsid w:val="000245DB"/>
    <w:rsid w:val="0002559F"/>
    <w:rsid w:val="00025D49"/>
    <w:rsid w:val="00027A59"/>
    <w:rsid w:val="00031064"/>
    <w:rsid w:val="000315BE"/>
    <w:rsid w:val="000327B6"/>
    <w:rsid w:val="00034E6B"/>
    <w:rsid w:val="00035D4F"/>
    <w:rsid w:val="00036DEA"/>
    <w:rsid w:val="0003716D"/>
    <w:rsid w:val="000373DC"/>
    <w:rsid w:val="00040741"/>
    <w:rsid w:val="000443A0"/>
    <w:rsid w:val="0004490B"/>
    <w:rsid w:val="000456E2"/>
    <w:rsid w:val="0004601B"/>
    <w:rsid w:val="0005377B"/>
    <w:rsid w:val="0005469F"/>
    <w:rsid w:val="00055529"/>
    <w:rsid w:val="00057A04"/>
    <w:rsid w:val="00057C37"/>
    <w:rsid w:val="00060A7A"/>
    <w:rsid w:val="00060AC4"/>
    <w:rsid w:val="00061FF2"/>
    <w:rsid w:val="00062420"/>
    <w:rsid w:val="000644B2"/>
    <w:rsid w:val="0006476A"/>
    <w:rsid w:val="00066442"/>
    <w:rsid w:val="00066D72"/>
    <w:rsid w:val="00070129"/>
    <w:rsid w:val="0007028B"/>
    <w:rsid w:val="000721C2"/>
    <w:rsid w:val="000773FF"/>
    <w:rsid w:val="000829D1"/>
    <w:rsid w:val="00083F71"/>
    <w:rsid w:val="00084F7F"/>
    <w:rsid w:val="00087F84"/>
    <w:rsid w:val="00092134"/>
    <w:rsid w:val="00093589"/>
    <w:rsid w:val="0009488D"/>
    <w:rsid w:val="0009545F"/>
    <w:rsid w:val="00096AB6"/>
    <w:rsid w:val="000A2E71"/>
    <w:rsid w:val="000A324E"/>
    <w:rsid w:val="000A51D3"/>
    <w:rsid w:val="000B4853"/>
    <w:rsid w:val="000B643C"/>
    <w:rsid w:val="000C049C"/>
    <w:rsid w:val="000C0570"/>
    <w:rsid w:val="000C2571"/>
    <w:rsid w:val="000C2BF9"/>
    <w:rsid w:val="000C4EE6"/>
    <w:rsid w:val="000C7A03"/>
    <w:rsid w:val="000D0088"/>
    <w:rsid w:val="000D0CA6"/>
    <w:rsid w:val="000D3B77"/>
    <w:rsid w:val="000E1B96"/>
    <w:rsid w:val="000E69BE"/>
    <w:rsid w:val="000E7965"/>
    <w:rsid w:val="000F392A"/>
    <w:rsid w:val="000F5C83"/>
    <w:rsid w:val="000F7A54"/>
    <w:rsid w:val="00102D74"/>
    <w:rsid w:val="00105576"/>
    <w:rsid w:val="00107A73"/>
    <w:rsid w:val="00107DC9"/>
    <w:rsid w:val="00110EF3"/>
    <w:rsid w:val="0011123D"/>
    <w:rsid w:val="0011132D"/>
    <w:rsid w:val="00113EF6"/>
    <w:rsid w:val="00124797"/>
    <w:rsid w:val="00124985"/>
    <w:rsid w:val="00124B5B"/>
    <w:rsid w:val="001309D8"/>
    <w:rsid w:val="001310C3"/>
    <w:rsid w:val="00131D42"/>
    <w:rsid w:val="001322ED"/>
    <w:rsid w:val="001330AD"/>
    <w:rsid w:val="00135218"/>
    <w:rsid w:val="00136B4D"/>
    <w:rsid w:val="001375F6"/>
    <w:rsid w:val="0014120C"/>
    <w:rsid w:val="00143B41"/>
    <w:rsid w:val="00144139"/>
    <w:rsid w:val="001475EA"/>
    <w:rsid w:val="001538C6"/>
    <w:rsid w:val="001541EA"/>
    <w:rsid w:val="00155612"/>
    <w:rsid w:val="001641F8"/>
    <w:rsid w:val="00173990"/>
    <w:rsid w:val="00173B81"/>
    <w:rsid w:val="001742EB"/>
    <w:rsid w:val="00175CF5"/>
    <w:rsid w:val="00186966"/>
    <w:rsid w:val="001877A5"/>
    <w:rsid w:val="00190A8B"/>
    <w:rsid w:val="00193A87"/>
    <w:rsid w:val="00195472"/>
    <w:rsid w:val="00196654"/>
    <w:rsid w:val="001A08EF"/>
    <w:rsid w:val="001A6435"/>
    <w:rsid w:val="001A694C"/>
    <w:rsid w:val="001B3D64"/>
    <w:rsid w:val="001B6750"/>
    <w:rsid w:val="001B6789"/>
    <w:rsid w:val="001B69B9"/>
    <w:rsid w:val="001B6C85"/>
    <w:rsid w:val="001C1B4A"/>
    <w:rsid w:val="001C5B9E"/>
    <w:rsid w:val="001C679B"/>
    <w:rsid w:val="001D22AE"/>
    <w:rsid w:val="001D414D"/>
    <w:rsid w:val="001D4ADE"/>
    <w:rsid w:val="001E002E"/>
    <w:rsid w:val="001E3C0A"/>
    <w:rsid w:val="001E4FFE"/>
    <w:rsid w:val="001E6454"/>
    <w:rsid w:val="001E67F5"/>
    <w:rsid w:val="001E7AFB"/>
    <w:rsid w:val="001E7B06"/>
    <w:rsid w:val="001F21EC"/>
    <w:rsid w:val="001F5118"/>
    <w:rsid w:val="0020336A"/>
    <w:rsid w:val="00205048"/>
    <w:rsid w:val="00205339"/>
    <w:rsid w:val="00210964"/>
    <w:rsid w:val="00210B81"/>
    <w:rsid w:val="00217A65"/>
    <w:rsid w:val="00221F4C"/>
    <w:rsid w:val="00222582"/>
    <w:rsid w:val="00224DD9"/>
    <w:rsid w:val="0022639A"/>
    <w:rsid w:val="0023203E"/>
    <w:rsid w:val="00232049"/>
    <w:rsid w:val="00232BED"/>
    <w:rsid w:val="00232E38"/>
    <w:rsid w:val="002336B9"/>
    <w:rsid w:val="00233713"/>
    <w:rsid w:val="002341D0"/>
    <w:rsid w:val="002355E6"/>
    <w:rsid w:val="002402BB"/>
    <w:rsid w:val="00240E96"/>
    <w:rsid w:val="0024297A"/>
    <w:rsid w:val="00244550"/>
    <w:rsid w:val="00244D97"/>
    <w:rsid w:val="002450FB"/>
    <w:rsid w:val="0024735F"/>
    <w:rsid w:val="0025078A"/>
    <w:rsid w:val="00257014"/>
    <w:rsid w:val="00257DC3"/>
    <w:rsid w:val="00260F6C"/>
    <w:rsid w:val="0026270B"/>
    <w:rsid w:val="0026552F"/>
    <w:rsid w:val="00265DED"/>
    <w:rsid w:val="00266894"/>
    <w:rsid w:val="002708F7"/>
    <w:rsid w:val="002759F4"/>
    <w:rsid w:val="0027648A"/>
    <w:rsid w:val="0028028D"/>
    <w:rsid w:val="002821D4"/>
    <w:rsid w:val="00283296"/>
    <w:rsid w:val="0028329D"/>
    <w:rsid w:val="002840D7"/>
    <w:rsid w:val="0028515F"/>
    <w:rsid w:val="0028540F"/>
    <w:rsid w:val="00286D25"/>
    <w:rsid w:val="0028720E"/>
    <w:rsid w:val="0029059F"/>
    <w:rsid w:val="0029385B"/>
    <w:rsid w:val="002938B9"/>
    <w:rsid w:val="002951D1"/>
    <w:rsid w:val="00296B5D"/>
    <w:rsid w:val="002976B3"/>
    <w:rsid w:val="002A0B2A"/>
    <w:rsid w:val="002A1BFE"/>
    <w:rsid w:val="002A4283"/>
    <w:rsid w:val="002B0592"/>
    <w:rsid w:val="002B0C2B"/>
    <w:rsid w:val="002B0CF7"/>
    <w:rsid w:val="002B2FCD"/>
    <w:rsid w:val="002B379C"/>
    <w:rsid w:val="002B407A"/>
    <w:rsid w:val="002B53D9"/>
    <w:rsid w:val="002B6F2D"/>
    <w:rsid w:val="002B75DD"/>
    <w:rsid w:val="002C2B76"/>
    <w:rsid w:val="002C5CC7"/>
    <w:rsid w:val="002D507E"/>
    <w:rsid w:val="002D565E"/>
    <w:rsid w:val="002E0158"/>
    <w:rsid w:val="002E032A"/>
    <w:rsid w:val="002E0666"/>
    <w:rsid w:val="002E1CA0"/>
    <w:rsid w:val="002E3510"/>
    <w:rsid w:val="002E5041"/>
    <w:rsid w:val="002E588B"/>
    <w:rsid w:val="002E639B"/>
    <w:rsid w:val="002F0E5F"/>
    <w:rsid w:val="002F30A8"/>
    <w:rsid w:val="002F3F4F"/>
    <w:rsid w:val="002F432B"/>
    <w:rsid w:val="00302483"/>
    <w:rsid w:val="00304690"/>
    <w:rsid w:val="00306AE3"/>
    <w:rsid w:val="00306E89"/>
    <w:rsid w:val="0030788C"/>
    <w:rsid w:val="00312FAE"/>
    <w:rsid w:val="003169EE"/>
    <w:rsid w:val="003234C3"/>
    <w:rsid w:val="00324120"/>
    <w:rsid w:val="003245CB"/>
    <w:rsid w:val="00332C00"/>
    <w:rsid w:val="00333F11"/>
    <w:rsid w:val="00334BFC"/>
    <w:rsid w:val="00335220"/>
    <w:rsid w:val="003354CA"/>
    <w:rsid w:val="00337ED3"/>
    <w:rsid w:val="0034264B"/>
    <w:rsid w:val="00342771"/>
    <w:rsid w:val="00345837"/>
    <w:rsid w:val="00345ECE"/>
    <w:rsid w:val="00352B47"/>
    <w:rsid w:val="00353F01"/>
    <w:rsid w:val="003555C7"/>
    <w:rsid w:val="003556D4"/>
    <w:rsid w:val="00355C71"/>
    <w:rsid w:val="00357ED0"/>
    <w:rsid w:val="00360228"/>
    <w:rsid w:val="003619BE"/>
    <w:rsid w:val="003636C4"/>
    <w:rsid w:val="0036404D"/>
    <w:rsid w:val="00370A42"/>
    <w:rsid w:val="00371FB7"/>
    <w:rsid w:val="00373A48"/>
    <w:rsid w:val="00374F1A"/>
    <w:rsid w:val="00375155"/>
    <w:rsid w:val="00375979"/>
    <w:rsid w:val="00375F13"/>
    <w:rsid w:val="00376302"/>
    <w:rsid w:val="003808B6"/>
    <w:rsid w:val="0038099D"/>
    <w:rsid w:val="003816E9"/>
    <w:rsid w:val="003819DA"/>
    <w:rsid w:val="00383B68"/>
    <w:rsid w:val="00385EEB"/>
    <w:rsid w:val="003868F8"/>
    <w:rsid w:val="00386D2D"/>
    <w:rsid w:val="00387B8C"/>
    <w:rsid w:val="00393559"/>
    <w:rsid w:val="00394864"/>
    <w:rsid w:val="00394F02"/>
    <w:rsid w:val="003952F2"/>
    <w:rsid w:val="003A1D33"/>
    <w:rsid w:val="003A4DC4"/>
    <w:rsid w:val="003B0819"/>
    <w:rsid w:val="003B32F1"/>
    <w:rsid w:val="003B3410"/>
    <w:rsid w:val="003B4FF1"/>
    <w:rsid w:val="003B5228"/>
    <w:rsid w:val="003B5533"/>
    <w:rsid w:val="003B5E7C"/>
    <w:rsid w:val="003B6D5E"/>
    <w:rsid w:val="003C08BA"/>
    <w:rsid w:val="003C4A1F"/>
    <w:rsid w:val="003C5327"/>
    <w:rsid w:val="003D1B66"/>
    <w:rsid w:val="003D49B4"/>
    <w:rsid w:val="003D49F3"/>
    <w:rsid w:val="003D4D84"/>
    <w:rsid w:val="003D62FA"/>
    <w:rsid w:val="003D7D00"/>
    <w:rsid w:val="003E284E"/>
    <w:rsid w:val="003E4213"/>
    <w:rsid w:val="003E4A8D"/>
    <w:rsid w:val="003F01C6"/>
    <w:rsid w:val="003F0535"/>
    <w:rsid w:val="003F11A8"/>
    <w:rsid w:val="003F1523"/>
    <w:rsid w:val="003F187C"/>
    <w:rsid w:val="003F23E4"/>
    <w:rsid w:val="003F2F26"/>
    <w:rsid w:val="003F3114"/>
    <w:rsid w:val="003F4E49"/>
    <w:rsid w:val="003F5664"/>
    <w:rsid w:val="003F5C91"/>
    <w:rsid w:val="003F6712"/>
    <w:rsid w:val="003F6E8B"/>
    <w:rsid w:val="004026ED"/>
    <w:rsid w:val="004028BA"/>
    <w:rsid w:val="004038F4"/>
    <w:rsid w:val="004043DB"/>
    <w:rsid w:val="004059F8"/>
    <w:rsid w:val="0041031E"/>
    <w:rsid w:val="004115DB"/>
    <w:rsid w:val="00411C05"/>
    <w:rsid w:val="00412369"/>
    <w:rsid w:val="00412891"/>
    <w:rsid w:val="00412DC1"/>
    <w:rsid w:val="004168AF"/>
    <w:rsid w:val="00416994"/>
    <w:rsid w:val="00420941"/>
    <w:rsid w:val="00421281"/>
    <w:rsid w:val="00422495"/>
    <w:rsid w:val="0042276C"/>
    <w:rsid w:val="00422CA6"/>
    <w:rsid w:val="00426142"/>
    <w:rsid w:val="00430DE6"/>
    <w:rsid w:val="004332BF"/>
    <w:rsid w:val="00435531"/>
    <w:rsid w:val="00436F29"/>
    <w:rsid w:val="00437897"/>
    <w:rsid w:val="00440481"/>
    <w:rsid w:val="00442186"/>
    <w:rsid w:val="004434A6"/>
    <w:rsid w:val="00443EF0"/>
    <w:rsid w:val="004468F6"/>
    <w:rsid w:val="00446F8F"/>
    <w:rsid w:val="004478BA"/>
    <w:rsid w:val="00447FC6"/>
    <w:rsid w:val="00450DD1"/>
    <w:rsid w:val="00451865"/>
    <w:rsid w:val="00452514"/>
    <w:rsid w:val="00452E34"/>
    <w:rsid w:val="00453637"/>
    <w:rsid w:val="00454FD8"/>
    <w:rsid w:val="0045519B"/>
    <w:rsid w:val="004567C2"/>
    <w:rsid w:val="004604A6"/>
    <w:rsid w:val="00461483"/>
    <w:rsid w:val="004616A0"/>
    <w:rsid w:val="00462107"/>
    <w:rsid w:val="00462878"/>
    <w:rsid w:val="004644FD"/>
    <w:rsid w:val="00464AAC"/>
    <w:rsid w:val="00464FFE"/>
    <w:rsid w:val="004651E1"/>
    <w:rsid w:val="004674ED"/>
    <w:rsid w:val="004678C2"/>
    <w:rsid w:val="00467CA4"/>
    <w:rsid w:val="00470080"/>
    <w:rsid w:val="004740F8"/>
    <w:rsid w:val="0047442C"/>
    <w:rsid w:val="004748E6"/>
    <w:rsid w:val="00475F5D"/>
    <w:rsid w:val="004803BB"/>
    <w:rsid w:val="00480761"/>
    <w:rsid w:val="0048436C"/>
    <w:rsid w:val="00486977"/>
    <w:rsid w:val="00487577"/>
    <w:rsid w:val="00487979"/>
    <w:rsid w:val="00490E23"/>
    <w:rsid w:val="00491787"/>
    <w:rsid w:val="00492251"/>
    <w:rsid w:val="00495702"/>
    <w:rsid w:val="004A31A6"/>
    <w:rsid w:val="004A5436"/>
    <w:rsid w:val="004B1BB6"/>
    <w:rsid w:val="004B2F73"/>
    <w:rsid w:val="004B608E"/>
    <w:rsid w:val="004B79F1"/>
    <w:rsid w:val="004C07C9"/>
    <w:rsid w:val="004C3288"/>
    <w:rsid w:val="004C3749"/>
    <w:rsid w:val="004C4E26"/>
    <w:rsid w:val="004C734F"/>
    <w:rsid w:val="004D0A1A"/>
    <w:rsid w:val="004D1E94"/>
    <w:rsid w:val="004D21CE"/>
    <w:rsid w:val="004D33B1"/>
    <w:rsid w:val="004E0B0D"/>
    <w:rsid w:val="004E3EE0"/>
    <w:rsid w:val="004E3F6A"/>
    <w:rsid w:val="004F0CDE"/>
    <w:rsid w:val="004F387C"/>
    <w:rsid w:val="004F5680"/>
    <w:rsid w:val="004F7E0F"/>
    <w:rsid w:val="005005A3"/>
    <w:rsid w:val="00503C1C"/>
    <w:rsid w:val="0050537E"/>
    <w:rsid w:val="005126DA"/>
    <w:rsid w:val="0051398F"/>
    <w:rsid w:val="00513D93"/>
    <w:rsid w:val="005176EF"/>
    <w:rsid w:val="005177FA"/>
    <w:rsid w:val="00517C84"/>
    <w:rsid w:val="00517FB5"/>
    <w:rsid w:val="0052023E"/>
    <w:rsid w:val="00523660"/>
    <w:rsid w:val="005236AD"/>
    <w:rsid w:val="00524971"/>
    <w:rsid w:val="0052589D"/>
    <w:rsid w:val="0052654A"/>
    <w:rsid w:val="00530815"/>
    <w:rsid w:val="00534061"/>
    <w:rsid w:val="00535691"/>
    <w:rsid w:val="00536973"/>
    <w:rsid w:val="005410AE"/>
    <w:rsid w:val="00542236"/>
    <w:rsid w:val="00543B78"/>
    <w:rsid w:val="005456FB"/>
    <w:rsid w:val="005477AB"/>
    <w:rsid w:val="00551550"/>
    <w:rsid w:val="00552072"/>
    <w:rsid w:val="005527CB"/>
    <w:rsid w:val="00552EEC"/>
    <w:rsid w:val="005530CC"/>
    <w:rsid w:val="00557C4D"/>
    <w:rsid w:val="00557FDF"/>
    <w:rsid w:val="00561B62"/>
    <w:rsid w:val="00562BC1"/>
    <w:rsid w:val="005630C8"/>
    <w:rsid w:val="0056320A"/>
    <w:rsid w:val="0056514D"/>
    <w:rsid w:val="00570B8E"/>
    <w:rsid w:val="00573479"/>
    <w:rsid w:val="00573BAD"/>
    <w:rsid w:val="0057421E"/>
    <w:rsid w:val="00574D24"/>
    <w:rsid w:val="00577FAF"/>
    <w:rsid w:val="00581F0E"/>
    <w:rsid w:val="005929F3"/>
    <w:rsid w:val="00592CA6"/>
    <w:rsid w:val="005A0509"/>
    <w:rsid w:val="005A1F59"/>
    <w:rsid w:val="005A24B3"/>
    <w:rsid w:val="005A25FE"/>
    <w:rsid w:val="005A6B11"/>
    <w:rsid w:val="005A73D1"/>
    <w:rsid w:val="005B5AD6"/>
    <w:rsid w:val="005B64B8"/>
    <w:rsid w:val="005B6DBB"/>
    <w:rsid w:val="005B74ED"/>
    <w:rsid w:val="005C33B7"/>
    <w:rsid w:val="005C43B3"/>
    <w:rsid w:val="005C5B21"/>
    <w:rsid w:val="005D3446"/>
    <w:rsid w:val="005D34EA"/>
    <w:rsid w:val="005D4540"/>
    <w:rsid w:val="005D46D4"/>
    <w:rsid w:val="005D5A61"/>
    <w:rsid w:val="005D6342"/>
    <w:rsid w:val="005D6894"/>
    <w:rsid w:val="005D6F43"/>
    <w:rsid w:val="005E0153"/>
    <w:rsid w:val="005E0CFE"/>
    <w:rsid w:val="005E4304"/>
    <w:rsid w:val="005E5308"/>
    <w:rsid w:val="005E5864"/>
    <w:rsid w:val="005F31FF"/>
    <w:rsid w:val="005F7110"/>
    <w:rsid w:val="006061E1"/>
    <w:rsid w:val="00607846"/>
    <w:rsid w:val="0061041A"/>
    <w:rsid w:val="0061132A"/>
    <w:rsid w:val="00611842"/>
    <w:rsid w:val="006122A9"/>
    <w:rsid w:val="00614D2C"/>
    <w:rsid w:val="00617789"/>
    <w:rsid w:val="0062127B"/>
    <w:rsid w:val="006241CA"/>
    <w:rsid w:val="006258E2"/>
    <w:rsid w:val="006305DE"/>
    <w:rsid w:val="00633693"/>
    <w:rsid w:val="00633FD7"/>
    <w:rsid w:val="0063597B"/>
    <w:rsid w:val="00640913"/>
    <w:rsid w:val="006413EC"/>
    <w:rsid w:val="00641B3F"/>
    <w:rsid w:val="00643B0C"/>
    <w:rsid w:val="006441F9"/>
    <w:rsid w:val="00646319"/>
    <w:rsid w:val="006503B5"/>
    <w:rsid w:val="006534F0"/>
    <w:rsid w:val="0065699D"/>
    <w:rsid w:val="00656ADC"/>
    <w:rsid w:val="006577B9"/>
    <w:rsid w:val="00663861"/>
    <w:rsid w:val="00666899"/>
    <w:rsid w:val="0066728B"/>
    <w:rsid w:val="00670E76"/>
    <w:rsid w:val="0067176A"/>
    <w:rsid w:val="0067328E"/>
    <w:rsid w:val="00673EAB"/>
    <w:rsid w:val="00674EDF"/>
    <w:rsid w:val="0067590C"/>
    <w:rsid w:val="00683829"/>
    <w:rsid w:val="006859EA"/>
    <w:rsid w:val="00686530"/>
    <w:rsid w:val="00690B66"/>
    <w:rsid w:val="00690DAF"/>
    <w:rsid w:val="00691C19"/>
    <w:rsid w:val="00694CBD"/>
    <w:rsid w:val="00695273"/>
    <w:rsid w:val="00695AED"/>
    <w:rsid w:val="00697332"/>
    <w:rsid w:val="006A015F"/>
    <w:rsid w:val="006A3F4D"/>
    <w:rsid w:val="006A40C5"/>
    <w:rsid w:val="006B019B"/>
    <w:rsid w:val="006B1484"/>
    <w:rsid w:val="006B19F7"/>
    <w:rsid w:val="006B2D68"/>
    <w:rsid w:val="006B4063"/>
    <w:rsid w:val="006B5D4C"/>
    <w:rsid w:val="006C2062"/>
    <w:rsid w:val="006C307F"/>
    <w:rsid w:val="006C30A6"/>
    <w:rsid w:val="006C38A9"/>
    <w:rsid w:val="006C3EE2"/>
    <w:rsid w:val="006C7F16"/>
    <w:rsid w:val="006D06F0"/>
    <w:rsid w:val="006D234D"/>
    <w:rsid w:val="006D5CF7"/>
    <w:rsid w:val="006D6C36"/>
    <w:rsid w:val="006E67C2"/>
    <w:rsid w:val="006F0AE8"/>
    <w:rsid w:val="006F2682"/>
    <w:rsid w:val="006F2C52"/>
    <w:rsid w:val="006F52AD"/>
    <w:rsid w:val="006F65D0"/>
    <w:rsid w:val="00700002"/>
    <w:rsid w:val="00701BAF"/>
    <w:rsid w:val="00701E5F"/>
    <w:rsid w:val="00703AA1"/>
    <w:rsid w:val="007054F1"/>
    <w:rsid w:val="00706E4E"/>
    <w:rsid w:val="00707B67"/>
    <w:rsid w:val="0071004F"/>
    <w:rsid w:val="007102CE"/>
    <w:rsid w:val="0071137D"/>
    <w:rsid w:val="00712E88"/>
    <w:rsid w:val="0071559C"/>
    <w:rsid w:val="00716E33"/>
    <w:rsid w:val="00723B7F"/>
    <w:rsid w:val="007245A1"/>
    <w:rsid w:val="00724FF6"/>
    <w:rsid w:val="00727868"/>
    <w:rsid w:val="00731574"/>
    <w:rsid w:val="00731FB7"/>
    <w:rsid w:val="0073399F"/>
    <w:rsid w:val="00733C4B"/>
    <w:rsid w:val="00735A4C"/>
    <w:rsid w:val="0073688F"/>
    <w:rsid w:val="00737842"/>
    <w:rsid w:val="007402A4"/>
    <w:rsid w:val="007404D3"/>
    <w:rsid w:val="00743E58"/>
    <w:rsid w:val="00750228"/>
    <w:rsid w:val="00751AC3"/>
    <w:rsid w:val="00753620"/>
    <w:rsid w:val="007536C9"/>
    <w:rsid w:val="007611A5"/>
    <w:rsid w:val="00762E3E"/>
    <w:rsid w:val="00763E1A"/>
    <w:rsid w:val="00770DD3"/>
    <w:rsid w:val="00772FBB"/>
    <w:rsid w:val="00774132"/>
    <w:rsid w:val="00774DAD"/>
    <w:rsid w:val="00776E52"/>
    <w:rsid w:val="00777824"/>
    <w:rsid w:val="00784742"/>
    <w:rsid w:val="007900AC"/>
    <w:rsid w:val="00790AE0"/>
    <w:rsid w:val="007A10BE"/>
    <w:rsid w:val="007A7051"/>
    <w:rsid w:val="007B0CEC"/>
    <w:rsid w:val="007B20A4"/>
    <w:rsid w:val="007B3CE7"/>
    <w:rsid w:val="007B4A2B"/>
    <w:rsid w:val="007B4C87"/>
    <w:rsid w:val="007B56A3"/>
    <w:rsid w:val="007B6AC7"/>
    <w:rsid w:val="007B780A"/>
    <w:rsid w:val="007C045A"/>
    <w:rsid w:val="007C27E6"/>
    <w:rsid w:val="007C40A0"/>
    <w:rsid w:val="007C513D"/>
    <w:rsid w:val="007C528E"/>
    <w:rsid w:val="007C5FD7"/>
    <w:rsid w:val="007C7717"/>
    <w:rsid w:val="007D1561"/>
    <w:rsid w:val="007E0847"/>
    <w:rsid w:val="007E2279"/>
    <w:rsid w:val="007E4767"/>
    <w:rsid w:val="007E6598"/>
    <w:rsid w:val="007E70BF"/>
    <w:rsid w:val="007F1F31"/>
    <w:rsid w:val="007F2F10"/>
    <w:rsid w:val="007F4ADB"/>
    <w:rsid w:val="007F6156"/>
    <w:rsid w:val="007F7B66"/>
    <w:rsid w:val="00805EEC"/>
    <w:rsid w:val="008070B0"/>
    <w:rsid w:val="008109B8"/>
    <w:rsid w:val="0081446E"/>
    <w:rsid w:val="00821BA8"/>
    <w:rsid w:val="00823A5A"/>
    <w:rsid w:val="00826BC4"/>
    <w:rsid w:val="00827453"/>
    <w:rsid w:val="00830F65"/>
    <w:rsid w:val="0083177D"/>
    <w:rsid w:val="00835B9E"/>
    <w:rsid w:val="008373E1"/>
    <w:rsid w:val="0084151E"/>
    <w:rsid w:val="008422FC"/>
    <w:rsid w:val="00844382"/>
    <w:rsid w:val="008520C7"/>
    <w:rsid w:val="00855180"/>
    <w:rsid w:val="0085781B"/>
    <w:rsid w:val="00860A0B"/>
    <w:rsid w:val="00861FFB"/>
    <w:rsid w:val="00862191"/>
    <w:rsid w:val="00862D3D"/>
    <w:rsid w:val="00863AAE"/>
    <w:rsid w:val="00866BCC"/>
    <w:rsid w:val="00871EE1"/>
    <w:rsid w:val="00872338"/>
    <w:rsid w:val="008773F2"/>
    <w:rsid w:val="00884F04"/>
    <w:rsid w:val="00885EEA"/>
    <w:rsid w:val="00887B58"/>
    <w:rsid w:val="00887DE7"/>
    <w:rsid w:val="00891F1F"/>
    <w:rsid w:val="00892832"/>
    <w:rsid w:val="00893954"/>
    <w:rsid w:val="00893A03"/>
    <w:rsid w:val="00893BA9"/>
    <w:rsid w:val="00895A09"/>
    <w:rsid w:val="008A0398"/>
    <w:rsid w:val="008A3B2F"/>
    <w:rsid w:val="008A4AFA"/>
    <w:rsid w:val="008A7A26"/>
    <w:rsid w:val="008B15FF"/>
    <w:rsid w:val="008B1A35"/>
    <w:rsid w:val="008B3160"/>
    <w:rsid w:val="008B3BA0"/>
    <w:rsid w:val="008B5BF7"/>
    <w:rsid w:val="008C16EB"/>
    <w:rsid w:val="008C1FB0"/>
    <w:rsid w:val="008C20A7"/>
    <w:rsid w:val="008C34CD"/>
    <w:rsid w:val="008C39D0"/>
    <w:rsid w:val="008C40F8"/>
    <w:rsid w:val="008C465B"/>
    <w:rsid w:val="008C4D8E"/>
    <w:rsid w:val="008D5199"/>
    <w:rsid w:val="008D6502"/>
    <w:rsid w:val="008D7DC7"/>
    <w:rsid w:val="008E2B7D"/>
    <w:rsid w:val="008E57A7"/>
    <w:rsid w:val="008E611F"/>
    <w:rsid w:val="008E76AE"/>
    <w:rsid w:val="008F0768"/>
    <w:rsid w:val="008F238A"/>
    <w:rsid w:val="008F2838"/>
    <w:rsid w:val="008F33AF"/>
    <w:rsid w:val="008F7E37"/>
    <w:rsid w:val="00900E05"/>
    <w:rsid w:val="00901402"/>
    <w:rsid w:val="00901BAA"/>
    <w:rsid w:val="0090462D"/>
    <w:rsid w:val="00910BAB"/>
    <w:rsid w:val="00911F28"/>
    <w:rsid w:val="00912E63"/>
    <w:rsid w:val="00913AFA"/>
    <w:rsid w:val="00917111"/>
    <w:rsid w:val="00917328"/>
    <w:rsid w:val="009211D9"/>
    <w:rsid w:val="00923CD1"/>
    <w:rsid w:val="0092619D"/>
    <w:rsid w:val="00927700"/>
    <w:rsid w:val="00930BD5"/>
    <w:rsid w:val="0093280E"/>
    <w:rsid w:val="00934ADE"/>
    <w:rsid w:val="0095015E"/>
    <w:rsid w:val="009502F6"/>
    <w:rsid w:val="0095120D"/>
    <w:rsid w:val="009546E3"/>
    <w:rsid w:val="009551F5"/>
    <w:rsid w:val="00956304"/>
    <w:rsid w:val="0095709B"/>
    <w:rsid w:val="0096307F"/>
    <w:rsid w:val="009648C8"/>
    <w:rsid w:val="00966503"/>
    <w:rsid w:val="00977B72"/>
    <w:rsid w:val="009817B4"/>
    <w:rsid w:val="0098277B"/>
    <w:rsid w:val="00985C2C"/>
    <w:rsid w:val="00987106"/>
    <w:rsid w:val="0099063C"/>
    <w:rsid w:val="00991125"/>
    <w:rsid w:val="009918F9"/>
    <w:rsid w:val="009A0351"/>
    <w:rsid w:val="009A2E05"/>
    <w:rsid w:val="009A3687"/>
    <w:rsid w:val="009A6169"/>
    <w:rsid w:val="009A62F1"/>
    <w:rsid w:val="009B000F"/>
    <w:rsid w:val="009B183D"/>
    <w:rsid w:val="009B2EBF"/>
    <w:rsid w:val="009B34D3"/>
    <w:rsid w:val="009B5F76"/>
    <w:rsid w:val="009B76CE"/>
    <w:rsid w:val="009B7F8C"/>
    <w:rsid w:val="009C5437"/>
    <w:rsid w:val="009C5490"/>
    <w:rsid w:val="009C58AE"/>
    <w:rsid w:val="009C7AA2"/>
    <w:rsid w:val="009D0144"/>
    <w:rsid w:val="009D02D5"/>
    <w:rsid w:val="009D2082"/>
    <w:rsid w:val="009D219C"/>
    <w:rsid w:val="009D3133"/>
    <w:rsid w:val="009D4659"/>
    <w:rsid w:val="009D4783"/>
    <w:rsid w:val="009D5402"/>
    <w:rsid w:val="009E2317"/>
    <w:rsid w:val="009E2448"/>
    <w:rsid w:val="009E373E"/>
    <w:rsid w:val="009E462D"/>
    <w:rsid w:val="009E4704"/>
    <w:rsid w:val="009E63A0"/>
    <w:rsid w:val="009E75DF"/>
    <w:rsid w:val="009F0B3F"/>
    <w:rsid w:val="009F1ECE"/>
    <w:rsid w:val="009F44B7"/>
    <w:rsid w:val="009F61C6"/>
    <w:rsid w:val="009F6723"/>
    <w:rsid w:val="009F6ECD"/>
    <w:rsid w:val="00A00984"/>
    <w:rsid w:val="00A009A0"/>
    <w:rsid w:val="00A02E2E"/>
    <w:rsid w:val="00A0477D"/>
    <w:rsid w:val="00A0745B"/>
    <w:rsid w:val="00A07918"/>
    <w:rsid w:val="00A10078"/>
    <w:rsid w:val="00A10BDD"/>
    <w:rsid w:val="00A10F25"/>
    <w:rsid w:val="00A1158A"/>
    <w:rsid w:val="00A11E82"/>
    <w:rsid w:val="00A12583"/>
    <w:rsid w:val="00A1403E"/>
    <w:rsid w:val="00A14E5B"/>
    <w:rsid w:val="00A25EB0"/>
    <w:rsid w:val="00A305B5"/>
    <w:rsid w:val="00A3450B"/>
    <w:rsid w:val="00A360D1"/>
    <w:rsid w:val="00A3648A"/>
    <w:rsid w:val="00A45404"/>
    <w:rsid w:val="00A45578"/>
    <w:rsid w:val="00A46605"/>
    <w:rsid w:val="00A50D68"/>
    <w:rsid w:val="00A52A05"/>
    <w:rsid w:val="00A52D59"/>
    <w:rsid w:val="00A53B1E"/>
    <w:rsid w:val="00A56B06"/>
    <w:rsid w:val="00A56F4E"/>
    <w:rsid w:val="00A571A1"/>
    <w:rsid w:val="00A578FF"/>
    <w:rsid w:val="00A62874"/>
    <w:rsid w:val="00A63AA9"/>
    <w:rsid w:val="00A64948"/>
    <w:rsid w:val="00A6649D"/>
    <w:rsid w:val="00A66914"/>
    <w:rsid w:val="00A71564"/>
    <w:rsid w:val="00A7412E"/>
    <w:rsid w:val="00A7422C"/>
    <w:rsid w:val="00A75114"/>
    <w:rsid w:val="00A7596B"/>
    <w:rsid w:val="00A80BAF"/>
    <w:rsid w:val="00A80F94"/>
    <w:rsid w:val="00A81331"/>
    <w:rsid w:val="00A81ACE"/>
    <w:rsid w:val="00A82176"/>
    <w:rsid w:val="00A84474"/>
    <w:rsid w:val="00A90A08"/>
    <w:rsid w:val="00A9263A"/>
    <w:rsid w:val="00A9376A"/>
    <w:rsid w:val="00A93F04"/>
    <w:rsid w:val="00A96745"/>
    <w:rsid w:val="00A96CC6"/>
    <w:rsid w:val="00AA084F"/>
    <w:rsid w:val="00AA0B1B"/>
    <w:rsid w:val="00AA1081"/>
    <w:rsid w:val="00AA113E"/>
    <w:rsid w:val="00AA1EC1"/>
    <w:rsid w:val="00AB0376"/>
    <w:rsid w:val="00AB164D"/>
    <w:rsid w:val="00AB4B35"/>
    <w:rsid w:val="00AB5001"/>
    <w:rsid w:val="00AB5C53"/>
    <w:rsid w:val="00AB6219"/>
    <w:rsid w:val="00AC0B38"/>
    <w:rsid w:val="00AC1042"/>
    <w:rsid w:val="00AC2E8C"/>
    <w:rsid w:val="00AC4713"/>
    <w:rsid w:val="00AC4C75"/>
    <w:rsid w:val="00AC6469"/>
    <w:rsid w:val="00AD341E"/>
    <w:rsid w:val="00AD6528"/>
    <w:rsid w:val="00AD6BC8"/>
    <w:rsid w:val="00AE18F0"/>
    <w:rsid w:val="00AE332F"/>
    <w:rsid w:val="00AE426F"/>
    <w:rsid w:val="00AF08F0"/>
    <w:rsid w:val="00AF45B1"/>
    <w:rsid w:val="00B00EA4"/>
    <w:rsid w:val="00B00F65"/>
    <w:rsid w:val="00B0238E"/>
    <w:rsid w:val="00B02FF5"/>
    <w:rsid w:val="00B05DFD"/>
    <w:rsid w:val="00B11CEB"/>
    <w:rsid w:val="00B120B6"/>
    <w:rsid w:val="00B1322E"/>
    <w:rsid w:val="00B14D6C"/>
    <w:rsid w:val="00B156BE"/>
    <w:rsid w:val="00B16602"/>
    <w:rsid w:val="00B2090B"/>
    <w:rsid w:val="00B22DD9"/>
    <w:rsid w:val="00B23F6F"/>
    <w:rsid w:val="00B255F8"/>
    <w:rsid w:val="00B32BD1"/>
    <w:rsid w:val="00B33F86"/>
    <w:rsid w:val="00B35AA5"/>
    <w:rsid w:val="00B36253"/>
    <w:rsid w:val="00B37AC8"/>
    <w:rsid w:val="00B415D4"/>
    <w:rsid w:val="00B44183"/>
    <w:rsid w:val="00B4429F"/>
    <w:rsid w:val="00B505DE"/>
    <w:rsid w:val="00B523AF"/>
    <w:rsid w:val="00B53E42"/>
    <w:rsid w:val="00B56E58"/>
    <w:rsid w:val="00B573D0"/>
    <w:rsid w:val="00B6147A"/>
    <w:rsid w:val="00B65CFD"/>
    <w:rsid w:val="00B729BF"/>
    <w:rsid w:val="00B74650"/>
    <w:rsid w:val="00B75DDD"/>
    <w:rsid w:val="00B761DF"/>
    <w:rsid w:val="00B76EFD"/>
    <w:rsid w:val="00B77E25"/>
    <w:rsid w:val="00B8008F"/>
    <w:rsid w:val="00B8093B"/>
    <w:rsid w:val="00B80D6C"/>
    <w:rsid w:val="00B82DC2"/>
    <w:rsid w:val="00B92416"/>
    <w:rsid w:val="00B92A5A"/>
    <w:rsid w:val="00BA540A"/>
    <w:rsid w:val="00BA5BD0"/>
    <w:rsid w:val="00BA771A"/>
    <w:rsid w:val="00BB1961"/>
    <w:rsid w:val="00BB2631"/>
    <w:rsid w:val="00BB57C2"/>
    <w:rsid w:val="00BB5D88"/>
    <w:rsid w:val="00BB7A85"/>
    <w:rsid w:val="00BC1ED2"/>
    <w:rsid w:val="00BC3C39"/>
    <w:rsid w:val="00BC7543"/>
    <w:rsid w:val="00BC7DA1"/>
    <w:rsid w:val="00BD39DA"/>
    <w:rsid w:val="00BE23A0"/>
    <w:rsid w:val="00BF1303"/>
    <w:rsid w:val="00BF4863"/>
    <w:rsid w:val="00BF6CAC"/>
    <w:rsid w:val="00C00F09"/>
    <w:rsid w:val="00C03366"/>
    <w:rsid w:val="00C05A6A"/>
    <w:rsid w:val="00C05CDA"/>
    <w:rsid w:val="00C06D2F"/>
    <w:rsid w:val="00C1254D"/>
    <w:rsid w:val="00C1312A"/>
    <w:rsid w:val="00C14B2B"/>
    <w:rsid w:val="00C1782D"/>
    <w:rsid w:val="00C1786C"/>
    <w:rsid w:val="00C178CA"/>
    <w:rsid w:val="00C21EC8"/>
    <w:rsid w:val="00C252C9"/>
    <w:rsid w:val="00C31559"/>
    <w:rsid w:val="00C35571"/>
    <w:rsid w:val="00C35C7D"/>
    <w:rsid w:val="00C4101E"/>
    <w:rsid w:val="00C42986"/>
    <w:rsid w:val="00C50F2E"/>
    <w:rsid w:val="00C524CB"/>
    <w:rsid w:val="00C54283"/>
    <w:rsid w:val="00C628AD"/>
    <w:rsid w:val="00C66843"/>
    <w:rsid w:val="00C70939"/>
    <w:rsid w:val="00C70CD5"/>
    <w:rsid w:val="00C733EE"/>
    <w:rsid w:val="00C7429B"/>
    <w:rsid w:val="00C750A9"/>
    <w:rsid w:val="00C7567F"/>
    <w:rsid w:val="00C75761"/>
    <w:rsid w:val="00C810DD"/>
    <w:rsid w:val="00C81509"/>
    <w:rsid w:val="00C86623"/>
    <w:rsid w:val="00C909D4"/>
    <w:rsid w:val="00C918C9"/>
    <w:rsid w:val="00C92713"/>
    <w:rsid w:val="00C927A3"/>
    <w:rsid w:val="00C94FCC"/>
    <w:rsid w:val="00CA0900"/>
    <w:rsid w:val="00CA270D"/>
    <w:rsid w:val="00CA4C4D"/>
    <w:rsid w:val="00CA5DC3"/>
    <w:rsid w:val="00CA71E1"/>
    <w:rsid w:val="00CA7309"/>
    <w:rsid w:val="00CB17FD"/>
    <w:rsid w:val="00CB320E"/>
    <w:rsid w:val="00CB3F00"/>
    <w:rsid w:val="00CB6587"/>
    <w:rsid w:val="00CC21CA"/>
    <w:rsid w:val="00CC2929"/>
    <w:rsid w:val="00CD079B"/>
    <w:rsid w:val="00CD1D98"/>
    <w:rsid w:val="00CD394C"/>
    <w:rsid w:val="00CD4E66"/>
    <w:rsid w:val="00CE2728"/>
    <w:rsid w:val="00CE3B88"/>
    <w:rsid w:val="00CF0D55"/>
    <w:rsid w:val="00CF3F9A"/>
    <w:rsid w:val="00CF5CDF"/>
    <w:rsid w:val="00CF5D1D"/>
    <w:rsid w:val="00D00760"/>
    <w:rsid w:val="00D01605"/>
    <w:rsid w:val="00D02223"/>
    <w:rsid w:val="00D022C7"/>
    <w:rsid w:val="00D0279F"/>
    <w:rsid w:val="00D06C7C"/>
    <w:rsid w:val="00D102C0"/>
    <w:rsid w:val="00D10843"/>
    <w:rsid w:val="00D11DE7"/>
    <w:rsid w:val="00D12070"/>
    <w:rsid w:val="00D12F11"/>
    <w:rsid w:val="00D14C66"/>
    <w:rsid w:val="00D1683E"/>
    <w:rsid w:val="00D20E65"/>
    <w:rsid w:val="00D21E48"/>
    <w:rsid w:val="00D234BF"/>
    <w:rsid w:val="00D234D4"/>
    <w:rsid w:val="00D27CAF"/>
    <w:rsid w:val="00D30F89"/>
    <w:rsid w:val="00D33857"/>
    <w:rsid w:val="00D33A11"/>
    <w:rsid w:val="00D33EE5"/>
    <w:rsid w:val="00D349C7"/>
    <w:rsid w:val="00D350EE"/>
    <w:rsid w:val="00D3582A"/>
    <w:rsid w:val="00D364F8"/>
    <w:rsid w:val="00D3789E"/>
    <w:rsid w:val="00D423AA"/>
    <w:rsid w:val="00D42BA7"/>
    <w:rsid w:val="00D44001"/>
    <w:rsid w:val="00D45F57"/>
    <w:rsid w:val="00D51026"/>
    <w:rsid w:val="00D53DEE"/>
    <w:rsid w:val="00D53EBF"/>
    <w:rsid w:val="00D54A61"/>
    <w:rsid w:val="00D54AE2"/>
    <w:rsid w:val="00D54F44"/>
    <w:rsid w:val="00D55BB5"/>
    <w:rsid w:val="00D56270"/>
    <w:rsid w:val="00D64D64"/>
    <w:rsid w:val="00D65C98"/>
    <w:rsid w:val="00D65E62"/>
    <w:rsid w:val="00D668E2"/>
    <w:rsid w:val="00D70984"/>
    <w:rsid w:val="00D70D1F"/>
    <w:rsid w:val="00D74A9D"/>
    <w:rsid w:val="00D77199"/>
    <w:rsid w:val="00D874F1"/>
    <w:rsid w:val="00D90C43"/>
    <w:rsid w:val="00D916D4"/>
    <w:rsid w:val="00D95531"/>
    <w:rsid w:val="00D956F8"/>
    <w:rsid w:val="00D97169"/>
    <w:rsid w:val="00DA5957"/>
    <w:rsid w:val="00DA5C91"/>
    <w:rsid w:val="00DB0D6E"/>
    <w:rsid w:val="00DB4A87"/>
    <w:rsid w:val="00DB4D3D"/>
    <w:rsid w:val="00DB7A92"/>
    <w:rsid w:val="00DC062B"/>
    <w:rsid w:val="00DC322C"/>
    <w:rsid w:val="00DC652F"/>
    <w:rsid w:val="00DC6DDA"/>
    <w:rsid w:val="00DC71F1"/>
    <w:rsid w:val="00DD154C"/>
    <w:rsid w:val="00DD289C"/>
    <w:rsid w:val="00DD2FA6"/>
    <w:rsid w:val="00DD4C67"/>
    <w:rsid w:val="00DD64B1"/>
    <w:rsid w:val="00DE001D"/>
    <w:rsid w:val="00DE0A3F"/>
    <w:rsid w:val="00DE0AE1"/>
    <w:rsid w:val="00DE0C6D"/>
    <w:rsid w:val="00DE26B0"/>
    <w:rsid w:val="00DE2A15"/>
    <w:rsid w:val="00DE3092"/>
    <w:rsid w:val="00DE7188"/>
    <w:rsid w:val="00DE7496"/>
    <w:rsid w:val="00DF2A76"/>
    <w:rsid w:val="00DF309E"/>
    <w:rsid w:val="00DF381A"/>
    <w:rsid w:val="00DF5C9D"/>
    <w:rsid w:val="00DF7E86"/>
    <w:rsid w:val="00E0165C"/>
    <w:rsid w:val="00E02F46"/>
    <w:rsid w:val="00E12554"/>
    <w:rsid w:val="00E133EC"/>
    <w:rsid w:val="00E13B18"/>
    <w:rsid w:val="00E14192"/>
    <w:rsid w:val="00E14BCE"/>
    <w:rsid w:val="00E15C7E"/>
    <w:rsid w:val="00E20B1F"/>
    <w:rsid w:val="00E2447F"/>
    <w:rsid w:val="00E254E6"/>
    <w:rsid w:val="00E259AD"/>
    <w:rsid w:val="00E26FF3"/>
    <w:rsid w:val="00E3035E"/>
    <w:rsid w:val="00E315A7"/>
    <w:rsid w:val="00E31C0F"/>
    <w:rsid w:val="00E31E08"/>
    <w:rsid w:val="00E3534E"/>
    <w:rsid w:val="00E4303F"/>
    <w:rsid w:val="00E45004"/>
    <w:rsid w:val="00E4563B"/>
    <w:rsid w:val="00E47B1D"/>
    <w:rsid w:val="00E533E1"/>
    <w:rsid w:val="00E5571F"/>
    <w:rsid w:val="00E5690D"/>
    <w:rsid w:val="00E574E1"/>
    <w:rsid w:val="00E60B42"/>
    <w:rsid w:val="00E6400E"/>
    <w:rsid w:val="00E65122"/>
    <w:rsid w:val="00E66C38"/>
    <w:rsid w:val="00E7154D"/>
    <w:rsid w:val="00E71E6D"/>
    <w:rsid w:val="00E7372C"/>
    <w:rsid w:val="00E7545C"/>
    <w:rsid w:val="00E76AB4"/>
    <w:rsid w:val="00E846A2"/>
    <w:rsid w:val="00E84A76"/>
    <w:rsid w:val="00E85B74"/>
    <w:rsid w:val="00E861F8"/>
    <w:rsid w:val="00E8767E"/>
    <w:rsid w:val="00E91625"/>
    <w:rsid w:val="00E92AEA"/>
    <w:rsid w:val="00EA010E"/>
    <w:rsid w:val="00EA24D8"/>
    <w:rsid w:val="00EA3D51"/>
    <w:rsid w:val="00EA3F3C"/>
    <w:rsid w:val="00EA4A35"/>
    <w:rsid w:val="00EA5FF0"/>
    <w:rsid w:val="00EA7B6C"/>
    <w:rsid w:val="00EB092A"/>
    <w:rsid w:val="00EB1303"/>
    <w:rsid w:val="00EB5F45"/>
    <w:rsid w:val="00EB600B"/>
    <w:rsid w:val="00EC01EC"/>
    <w:rsid w:val="00EC2DC4"/>
    <w:rsid w:val="00EC6AE3"/>
    <w:rsid w:val="00EC7A43"/>
    <w:rsid w:val="00ED6297"/>
    <w:rsid w:val="00ED7B05"/>
    <w:rsid w:val="00EE0788"/>
    <w:rsid w:val="00EE287A"/>
    <w:rsid w:val="00EE28BD"/>
    <w:rsid w:val="00EF06C5"/>
    <w:rsid w:val="00EF127F"/>
    <w:rsid w:val="00EF5E75"/>
    <w:rsid w:val="00EF613F"/>
    <w:rsid w:val="00F004A1"/>
    <w:rsid w:val="00F01FC5"/>
    <w:rsid w:val="00F03CF7"/>
    <w:rsid w:val="00F047ED"/>
    <w:rsid w:val="00F0493B"/>
    <w:rsid w:val="00F04B15"/>
    <w:rsid w:val="00F05CA1"/>
    <w:rsid w:val="00F0663F"/>
    <w:rsid w:val="00F10CB6"/>
    <w:rsid w:val="00F13BFB"/>
    <w:rsid w:val="00F153D8"/>
    <w:rsid w:val="00F20055"/>
    <w:rsid w:val="00F20816"/>
    <w:rsid w:val="00F21DCE"/>
    <w:rsid w:val="00F24A67"/>
    <w:rsid w:val="00F25091"/>
    <w:rsid w:val="00F4232D"/>
    <w:rsid w:val="00F43408"/>
    <w:rsid w:val="00F44DD6"/>
    <w:rsid w:val="00F456D6"/>
    <w:rsid w:val="00F4635B"/>
    <w:rsid w:val="00F46813"/>
    <w:rsid w:val="00F46820"/>
    <w:rsid w:val="00F474EE"/>
    <w:rsid w:val="00F537E4"/>
    <w:rsid w:val="00F57A9C"/>
    <w:rsid w:val="00F57ADD"/>
    <w:rsid w:val="00F62357"/>
    <w:rsid w:val="00F6254C"/>
    <w:rsid w:val="00F631C4"/>
    <w:rsid w:val="00F64ACA"/>
    <w:rsid w:val="00F67BA6"/>
    <w:rsid w:val="00F70C19"/>
    <w:rsid w:val="00F821FD"/>
    <w:rsid w:val="00F82E4E"/>
    <w:rsid w:val="00F83214"/>
    <w:rsid w:val="00F84529"/>
    <w:rsid w:val="00F84F65"/>
    <w:rsid w:val="00F85C74"/>
    <w:rsid w:val="00F903F9"/>
    <w:rsid w:val="00F9196A"/>
    <w:rsid w:val="00F92464"/>
    <w:rsid w:val="00F94245"/>
    <w:rsid w:val="00F94883"/>
    <w:rsid w:val="00F94CB5"/>
    <w:rsid w:val="00F95460"/>
    <w:rsid w:val="00F95E1A"/>
    <w:rsid w:val="00FA169F"/>
    <w:rsid w:val="00FA3157"/>
    <w:rsid w:val="00FA5FC8"/>
    <w:rsid w:val="00FB1CE3"/>
    <w:rsid w:val="00FB4723"/>
    <w:rsid w:val="00FB6ED5"/>
    <w:rsid w:val="00FC0679"/>
    <w:rsid w:val="00FC1F01"/>
    <w:rsid w:val="00FC22A3"/>
    <w:rsid w:val="00FC38D5"/>
    <w:rsid w:val="00FC54EC"/>
    <w:rsid w:val="00FC6641"/>
    <w:rsid w:val="00FD0BF6"/>
    <w:rsid w:val="00FD7168"/>
    <w:rsid w:val="00FD7385"/>
    <w:rsid w:val="00FE37E4"/>
    <w:rsid w:val="00FE5ECA"/>
    <w:rsid w:val="00FE63F0"/>
    <w:rsid w:val="00FE6D6C"/>
    <w:rsid w:val="00FF0DCA"/>
    <w:rsid w:val="00FF1CD9"/>
    <w:rsid w:val="00FF5B1B"/>
    <w:rsid w:val="00FF638C"/>
    <w:rsid w:val="00FF72A2"/>
    <w:rsid w:val="00FF7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webSettings.xml><?xml version="1.0" encoding="utf-8"?>
<w:webSettings xmlns:r="http://schemas.openxmlformats.org/officeDocument/2006/relationships" xmlns:w="http://schemas.openxmlformats.org/wordprocessingml/2006/main">
  <w:divs>
    <w:div w:id="472719248">
      <w:bodyDiv w:val="1"/>
      <w:marLeft w:val="0"/>
      <w:marRight w:val="0"/>
      <w:marTop w:val="0"/>
      <w:marBottom w:val="0"/>
      <w:divBdr>
        <w:top w:val="none" w:sz="0" w:space="0" w:color="auto"/>
        <w:left w:val="none" w:sz="0" w:space="0" w:color="auto"/>
        <w:bottom w:val="none" w:sz="0" w:space="0" w:color="auto"/>
        <w:right w:val="none" w:sz="0" w:space="0" w:color="auto"/>
      </w:divBdr>
    </w:div>
    <w:div w:id="12126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5DFB6-56CD-4FC4-8121-F5F0A367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9</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14147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SEARFOORCE</dc:creator>
  <cp:keywords/>
  <dc:description/>
  <cp:lastModifiedBy>Administrator</cp:lastModifiedBy>
  <cp:revision>15</cp:revision>
  <cp:lastPrinted>2010-05-20T14:57:00Z</cp:lastPrinted>
  <dcterms:created xsi:type="dcterms:W3CDTF">2010-04-19T12:22:00Z</dcterms:created>
  <dcterms:modified xsi:type="dcterms:W3CDTF">2010-05-20T14:57:00Z</dcterms:modified>
</cp:coreProperties>
</file>