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C3" w:rsidRPr="00DE562E" w:rsidRDefault="000F1894" w:rsidP="00A354EE">
      <w:pPr>
        <w:jc w:val="center"/>
        <w:outlineLvl w:val="0"/>
        <w:rPr>
          <w:b/>
          <w:sz w:val="24"/>
          <w:szCs w:val="24"/>
        </w:rPr>
      </w:pPr>
      <w:r w:rsidRPr="00DE562E">
        <w:rPr>
          <w:b/>
          <w:sz w:val="24"/>
          <w:szCs w:val="24"/>
        </w:rPr>
        <w:t>BEFORE THE</w:t>
      </w:r>
    </w:p>
    <w:p w:rsidR="0088763C" w:rsidRPr="001027AA" w:rsidRDefault="000F1894" w:rsidP="00A354EE">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A354EE">
      <w:pPr>
        <w:jc w:val="center"/>
        <w:rPr>
          <w:sz w:val="24"/>
          <w:szCs w:val="24"/>
        </w:rPr>
      </w:pPr>
    </w:p>
    <w:p w:rsidR="000F1894" w:rsidRDefault="000F1894" w:rsidP="00A354EE">
      <w:pPr>
        <w:jc w:val="center"/>
        <w:rPr>
          <w:sz w:val="24"/>
          <w:szCs w:val="24"/>
        </w:rPr>
      </w:pPr>
    </w:p>
    <w:p w:rsidR="000F1894" w:rsidRPr="006C3226" w:rsidRDefault="000F1894" w:rsidP="00A354EE">
      <w:pPr>
        <w:jc w:val="center"/>
        <w:rPr>
          <w:sz w:val="24"/>
          <w:szCs w:val="24"/>
        </w:rPr>
      </w:pPr>
    </w:p>
    <w:p w:rsidR="00452F75" w:rsidRDefault="009B4411" w:rsidP="00452F75">
      <w:pPr>
        <w:tabs>
          <w:tab w:val="left" w:pos="-720"/>
          <w:tab w:val="left" w:pos="5040"/>
        </w:tabs>
        <w:suppressAutoHyphens/>
        <w:rPr>
          <w:b/>
          <w:bCs/>
          <w:spacing w:val="-3"/>
          <w:sz w:val="24"/>
          <w:szCs w:val="24"/>
        </w:rPr>
      </w:pPr>
      <w:r>
        <w:rPr>
          <w:bCs/>
          <w:spacing w:val="-3"/>
          <w:sz w:val="24"/>
          <w:szCs w:val="24"/>
        </w:rPr>
        <w:t>Jeffrey Kintner</w:t>
      </w:r>
      <w:r w:rsidR="005E3007">
        <w:rPr>
          <w:b/>
          <w:bCs/>
          <w:spacing w:val="-3"/>
          <w:sz w:val="24"/>
          <w:szCs w:val="24"/>
        </w:rPr>
        <w:tab/>
      </w:r>
      <w:r w:rsidR="00452F75" w:rsidRPr="008775E5">
        <w:rPr>
          <w:bCs/>
          <w:spacing w:val="-3"/>
          <w:sz w:val="24"/>
          <w:szCs w:val="24"/>
        </w:rPr>
        <w:t>:</w:t>
      </w:r>
      <w:r w:rsidR="008775E5">
        <w:rPr>
          <w:bCs/>
          <w:spacing w:val="-3"/>
          <w:sz w:val="24"/>
          <w:szCs w:val="24"/>
        </w:rPr>
        <w:tab/>
      </w:r>
      <w:r w:rsidR="008775E5">
        <w:rPr>
          <w:spacing w:val="-3"/>
          <w:sz w:val="24"/>
          <w:szCs w:val="24"/>
        </w:rPr>
        <w:t>C-2009-2108545 and</w:t>
      </w:r>
    </w:p>
    <w:p w:rsidR="00CE43B4" w:rsidRPr="00CE43B4" w:rsidRDefault="005E3007" w:rsidP="00A354EE">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00452F75">
        <w:rPr>
          <w:b/>
          <w:bCs/>
          <w:spacing w:val="-3"/>
          <w:sz w:val="24"/>
          <w:szCs w:val="24"/>
        </w:rPr>
        <w:tab/>
      </w:r>
      <w:r w:rsidR="00452F75">
        <w:rPr>
          <w:b/>
          <w:bCs/>
          <w:spacing w:val="-3"/>
          <w:sz w:val="24"/>
          <w:szCs w:val="24"/>
        </w:rPr>
        <w:tab/>
      </w:r>
      <w:r>
        <w:rPr>
          <w:b/>
          <w:bCs/>
          <w:spacing w:val="-3"/>
          <w:sz w:val="24"/>
          <w:szCs w:val="24"/>
        </w:rPr>
        <w:tab/>
      </w:r>
      <w:r w:rsidRPr="00223E7E">
        <w:rPr>
          <w:bCs/>
          <w:spacing w:val="-3"/>
          <w:sz w:val="24"/>
          <w:szCs w:val="24"/>
        </w:rPr>
        <w:t>:</w:t>
      </w:r>
      <w:r w:rsidR="008775E5">
        <w:rPr>
          <w:bCs/>
          <w:spacing w:val="-3"/>
          <w:sz w:val="24"/>
          <w:szCs w:val="24"/>
        </w:rPr>
        <w:tab/>
      </w:r>
      <w:r w:rsidR="008718DB">
        <w:rPr>
          <w:spacing w:val="-3"/>
          <w:sz w:val="24"/>
          <w:szCs w:val="24"/>
        </w:rPr>
        <w:t>C-2009-2108412 (Consolidated)</w:t>
      </w:r>
    </w:p>
    <w:p w:rsidR="00CE43B4" w:rsidRPr="00CE43B4" w:rsidRDefault="00CE43B4" w:rsidP="00A354EE">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9B4411">
        <w:rPr>
          <w:spacing w:val="-3"/>
          <w:sz w:val="24"/>
          <w:szCs w:val="24"/>
        </w:rPr>
        <w:tab/>
      </w:r>
    </w:p>
    <w:p w:rsidR="00CE43B4" w:rsidRPr="00CE43B4" w:rsidRDefault="00CE43B4" w:rsidP="00A354EE">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9B4411">
        <w:rPr>
          <w:spacing w:val="-3"/>
          <w:sz w:val="24"/>
          <w:szCs w:val="24"/>
        </w:rPr>
        <w:tab/>
      </w:r>
    </w:p>
    <w:p w:rsidR="00CE43B4" w:rsidRDefault="009B4411" w:rsidP="00A354EE">
      <w:pPr>
        <w:tabs>
          <w:tab w:val="left" w:pos="-720"/>
        </w:tabs>
        <w:suppressAutoHyphens/>
        <w:rPr>
          <w:spacing w:val="-3"/>
          <w:sz w:val="24"/>
          <w:szCs w:val="24"/>
        </w:rPr>
      </w:pPr>
      <w:r>
        <w:rPr>
          <w:spacing w:val="-3"/>
          <w:sz w:val="24"/>
          <w:szCs w:val="24"/>
        </w:rPr>
        <w:t>Eaton Sewer and Water Company, Inc.</w:t>
      </w:r>
      <w:r w:rsidR="005E3007">
        <w:rPr>
          <w:spacing w:val="-3"/>
          <w:sz w:val="24"/>
          <w:szCs w:val="24"/>
        </w:rPr>
        <w:tab/>
      </w:r>
      <w:r w:rsidR="00CE43B4" w:rsidRPr="00CE43B4">
        <w:rPr>
          <w:spacing w:val="-3"/>
          <w:sz w:val="24"/>
          <w:szCs w:val="24"/>
        </w:rPr>
        <w:tab/>
        <w:t>:</w:t>
      </w:r>
    </w:p>
    <w:p w:rsidR="005E3007" w:rsidRDefault="005E3007" w:rsidP="00A354EE">
      <w:pPr>
        <w:tabs>
          <w:tab w:val="left" w:pos="-720"/>
        </w:tabs>
        <w:suppressAutoHyphens/>
        <w:rPr>
          <w:spacing w:val="-3"/>
          <w:sz w:val="24"/>
          <w:szCs w:val="24"/>
        </w:rPr>
      </w:pPr>
    </w:p>
    <w:p w:rsidR="005E3007" w:rsidRDefault="005E3007" w:rsidP="00A354EE">
      <w:pPr>
        <w:tabs>
          <w:tab w:val="left" w:pos="-720"/>
        </w:tabs>
        <w:suppressAutoHyphens/>
        <w:rPr>
          <w:spacing w:val="-3"/>
          <w:sz w:val="24"/>
          <w:szCs w:val="24"/>
        </w:rPr>
      </w:pPr>
    </w:p>
    <w:p w:rsidR="005E3007" w:rsidRPr="00CE43B4" w:rsidRDefault="005E3007" w:rsidP="00A354EE">
      <w:pPr>
        <w:tabs>
          <w:tab w:val="left" w:pos="-720"/>
        </w:tabs>
        <w:suppressAutoHyphens/>
        <w:rPr>
          <w:spacing w:val="-3"/>
          <w:sz w:val="24"/>
          <w:szCs w:val="24"/>
        </w:rPr>
      </w:pPr>
    </w:p>
    <w:p w:rsidR="00782A08" w:rsidRPr="007965B0" w:rsidRDefault="00C419F9" w:rsidP="00A354EE">
      <w:pPr>
        <w:jc w:val="center"/>
        <w:outlineLvl w:val="0"/>
        <w:rPr>
          <w:caps/>
          <w:sz w:val="24"/>
          <w:szCs w:val="24"/>
        </w:rPr>
      </w:pPr>
      <w:r w:rsidRPr="007965B0">
        <w:rPr>
          <w:b/>
          <w:caps/>
          <w:sz w:val="24"/>
          <w:szCs w:val="24"/>
          <w:u w:val="single"/>
        </w:rPr>
        <w:t>Initial Decision</w:t>
      </w:r>
    </w:p>
    <w:p w:rsidR="000F1894" w:rsidRPr="00E514FA" w:rsidRDefault="000F1894" w:rsidP="00A354EE">
      <w:pPr>
        <w:jc w:val="center"/>
        <w:rPr>
          <w:b/>
          <w:sz w:val="24"/>
          <w:szCs w:val="24"/>
        </w:rPr>
      </w:pPr>
    </w:p>
    <w:p w:rsidR="006A21C2" w:rsidRPr="006A21C2" w:rsidRDefault="006A21C2" w:rsidP="00A354EE">
      <w:pPr>
        <w:jc w:val="center"/>
        <w:rPr>
          <w:sz w:val="24"/>
          <w:szCs w:val="24"/>
        </w:rPr>
      </w:pPr>
    </w:p>
    <w:p w:rsidR="000F1894" w:rsidRPr="00DE562E" w:rsidRDefault="000F1894" w:rsidP="00A354EE">
      <w:pPr>
        <w:jc w:val="center"/>
        <w:outlineLvl w:val="0"/>
        <w:rPr>
          <w:sz w:val="24"/>
          <w:szCs w:val="24"/>
        </w:rPr>
      </w:pPr>
      <w:r w:rsidRPr="00DE562E">
        <w:rPr>
          <w:sz w:val="24"/>
          <w:szCs w:val="24"/>
        </w:rPr>
        <w:t>Before</w:t>
      </w:r>
    </w:p>
    <w:p w:rsidR="000F1894" w:rsidRPr="00DE562E" w:rsidRDefault="001F7F73" w:rsidP="00A354EE">
      <w:pPr>
        <w:jc w:val="center"/>
        <w:rPr>
          <w:sz w:val="24"/>
          <w:szCs w:val="24"/>
        </w:rPr>
      </w:pPr>
      <w:r>
        <w:rPr>
          <w:sz w:val="24"/>
          <w:szCs w:val="24"/>
        </w:rPr>
        <w:t>Ember S. Jandebeur</w:t>
      </w:r>
    </w:p>
    <w:p w:rsidR="000F1894" w:rsidRDefault="000F1894" w:rsidP="00A354EE">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A354EE">
      <w:pPr>
        <w:jc w:val="center"/>
        <w:rPr>
          <w:b/>
          <w:sz w:val="24"/>
          <w:szCs w:val="24"/>
        </w:rPr>
      </w:pPr>
    </w:p>
    <w:p w:rsidR="000F1894" w:rsidRPr="006A21C2" w:rsidRDefault="000F1894" w:rsidP="00A354EE">
      <w:pPr>
        <w:jc w:val="center"/>
        <w:rPr>
          <w:b/>
          <w:sz w:val="24"/>
          <w:szCs w:val="24"/>
        </w:rPr>
      </w:pPr>
    </w:p>
    <w:p w:rsidR="000967DB" w:rsidRDefault="000967DB" w:rsidP="00A354EE">
      <w:pPr>
        <w:jc w:val="center"/>
        <w:rPr>
          <w:sz w:val="24"/>
          <w:szCs w:val="24"/>
          <w:u w:val="single"/>
        </w:rPr>
      </w:pPr>
      <w:r>
        <w:rPr>
          <w:sz w:val="24"/>
          <w:szCs w:val="24"/>
          <w:u w:val="single"/>
        </w:rPr>
        <w:t>HISTORY OF THE PROCEEDINGS</w:t>
      </w:r>
    </w:p>
    <w:p w:rsidR="007965B0" w:rsidRDefault="007965B0" w:rsidP="00A354EE">
      <w:pPr>
        <w:tabs>
          <w:tab w:val="left" w:pos="-1440"/>
          <w:tab w:val="left" w:pos="-720"/>
        </w:tabs>
        <w:suppressAutoHyphens/>
        <w:ind w:firstLine="1440"/>
        <w:rPr>
          <w:sz w:val="24"/>
          <w:szCs w:val="24"/>
        </w:rPr>
      </w:pPr>
    </w:p>
    <w:p w:rsidR="007965B0" w:rsidRDefault="007965B0" w:rsidP="00A354EE">
      <w:pPr>
        <w:tabs>
          <w:tab w:val="left" w:pos="-1440"/>
          <w:tab w:val="left" w:pos="-720"/>
        </w:tabs>
        <w:suppressAutoHyphens/>
        <w:ind w:firstLine="1440"/>
        <w:rPr>
          <w:sz w:val="24"/>
          <w:szCs w:val="24"/>
        </w:rPr>
      </w:pPr>
    </w:p>
    <w:p w:rsidR="007965B0" w:rsidRPr="007965B0" w:rsidRDefault="007965B0" w:rsidP="0032205A">
      <w:pPr>
        <w:tabs>
          <w:tab w:val="left" w:pos="-1440"/>
          <w:tab w:val="left" w:pos="-720"/>
        </w:tabs>
        <w:suppressAutoHyphens/>
        <w:spacing w:line="360" w:lineRule="auto"/>
        <w:ind w:firstLine="1440"/>
        <w:rPr>
          <w:sz w:val="24"/>
          <w:szCs w:val="24"/>
        </w:rPr>
      </w:pPr>
      <w:r w:rsidRPr="007965B0">
        <w:rPr>
          <w:sz w:val="24"/>
          <w:szCs w:val="24"/>
        </w:rPr>
        <w:t xml:space="preserve">On </w:t>
      </w:r>
      <w:r w:rsidR="00AF5387">
        <w:rPr>
          <w:sz w:val="24"/>
          <w:szCs w:val="24"/>
        </w:rPr>
        <w:t xml:space="preserve">May 18, 2009, </w:t>
      </w:r>
      <w:r w:rsidR="009B4411">
        <w:rPr>
          <w:sz w:val="24"/>
          <w:szCs w:val="24"/>
        </w:rPr>
        <w:t>Jeffrey Kintner</w:t>
      </w:r>
      <w:r w:rsidRPr="007965B0">
        <w:rPr>
          <w:sz w:val="24"/>
          <w:szCs w:val="24"/>
        </w:rPr>
        <w:t xml:space="preserve">, (Complainant) filed a Formal Complaint with the Pennsylvania Public Utility Commission against </w:t>
      </w:r>
      <w:r w:rsidR="0032205A">
        <w:rPr>
          <w:sz w:val="24"/>
          <w:szCs w:val="24"/>
        </w:rPr>
        <w:t>Eaton Sewer and Water Company, Inc.</w:t>
      </w:r>
      <w:r w:rsidRPr="007965B0">
        <w:rPr>
          <w:sz w:val="24"/>
          <w:szCs w:val="24"/>
        </w:rPr>
        <w:t xml:space="preserve"> (Respondent) alleging </w:t>
      </w:r>
      <w:r w:rsidR="005C097C">
        <w:rPr>
          <w:sz w:val="24"/>
          <w:szCs w:val="24"/>
        </w:rPr>
        <w:t>that he was being charged an “inaccurate and unfair” rate for his water service.</w:t>
      </w:r>
      <w:r w:rsidRPr="007965B0">
        <w:rPr>
          <w:sz w:val="24"/>
          <w:szCs w:val="24"/>
        </w:rPr>
        <w:t xml:space="preserve">  This case is an appeal from a prior informal Bureau of Consumer Services (BCS) </w:t>
      </w:r>
      <w:r w:rsidR="00091625">
        <w:rPr>
          <w:sz w:val="24"/>
          <w:szCs w:val="24"/>
        </w:rPr>
        <w:t xml:space="preserve">oral </w:t>
      </w:r>
      <w:r w:rsidRPr="007965B0">
        <w:rPr>
          <w:sz w:val="24"/>
          <w:szCs w:val="24"/>
        </w:rPr>
        <w:t>decision</w:t>
      </w:r>
      <w:r w:rsidR="00223E7E">
        <w:rPr>
          <w:sz w:val="24"/>
          <w:szCs w:val="24"/>
        </w:rPr>
        <w:t xml:space="preserve"> at Case No. </w:t>
      </w:r>
      <w:r w:rsidR="00091625">
        <w:rPr>
          <w:sz w:val="24"/>
          <w:szCs w:val="24"/>
        </w:rPr>
        <w:t>2517382.  On</w:t>
      </w:r>
      <w:r w:rsidR="0032205A">
        <w:rPr>
          <w:sz w:val="24"/>
          <w:szCs w:val="24"/>
        </w:rPr>
        <w:t xml:space="preserve"> </w:t>
      </w:r>
      <w:r w:rsidR="00091625">
        <w:rPr>
          <w:sz w:val="24"/>
          <w:szCs w:val="24"/>
        </w:rPr>
        <w:t>June 10, 2009</w:t>
      </w:r>
      <w:r w:rsidRPr="007965B0">
        <w:rPr>
          <w:sz w:val="24"/>
          <w:szCs w:val="24"/>
        </w:rPr>
        <w:t xml:space="preserve">, </w:t>
      </w:r>
      <w:r w:rsidR="0032205A">
        <w:rPr>
          <w:sz w:val="24"/>
          <w:szCs w:val="24"/>
        </w:rPr>
        <w:t xml:space="preserve">the </w:t>
      </w:r>
      <w:r w:rsidRPr="007965B0">
        <w:rPr>
          <w:sz w:val="24"/>
          <w:szCs w:val="24"/>
        </w:rPr>
        <w:t xml:space="preserve">Respondent filed </w:t>
      </w:r>
      <w:r w:rsidR="00091625">
        <w:rPr>
          <w:sz w:val="24"/>
          <w:szCs w:val="24"/>
        </w:rPr>
        <w:t>Preliminary Objections alleging insufficiency of the Formal Complaint.</w:t>
      </w:r>
      <w:r w:rsidRPr="007965B0">
        <w:rPr>
          <w:sz w:val="24"/>
          <w:szCs w:val="24"/>
        </w:rPr>
        <w:t xml:space="preserve"> </w:t>
      </w:r>
      <w:r w:rsidR="004F712C">
        <w:rPr>
          <w:sz w:val="24"/>
          <w:szCs w:val="24"/>
        </w:rPr>
        <w:t xml:space="preserve"> </w:t>
      </w:r>
      <w:r w:rsidR="00091625">
        <w:rPr>
          <w:spacing w:val="-3"/>
          <w:sz w:val="24"/>
          <w:szCs w:val="24"/>
        </w:rPr>
        <w:t>On September 28, 2009</w:t>
      </w:r>
      <w:r w:rsidR="003421EB">
        <w:rPr>
          <w:spacing w:val="-3"/>
          <w:sz w:val="24"/>
          <w:szCs w:val="24"/>
        </w:rPr>
        <w:t xml:space="preserve">, by Order, </w:t>
      </w:r>
      <w:r w:rsidR="00091625">
        <w:rPr>
          <w:spacing w:val="-3"/>
          <w:sz w:val="24"/>
          <w:szCs w:val="24"/>
        </w:rPr>
        <w:t>the preliminary objections were denied</w:t>
      </w:r>
      <w:r w:rsidR="0032205A">
        <w:rPr>
          <w:spacing w:val="-3"/>
          <w:sz w:val="24"/>
          <w:szCs w:val="24"/>
        </w:rPr>
        <w:t xml:space="preserve">, the two Docket numbers were consolidated, </w:t>
      </w:r>
      <w:r w:rsidR="00091625">
        <w:rPr>
          <w:spacing w:val="-3"/>
          <w:sz w:val="24"/>
          <w:szCs w:val="24"/>
        </w:rPr>
        <w:t>and the matter was scheduled for hearing.</w:t>
      </w:r>
    </w:p>
    <w:p w:rsidR="007965B0" w:rsidRPr="007965B0" w:rsidRDefault="007965B0" w:rsidP="00A354EE">
      <w:pPr>
        <w:tabs>
          <w:tab w:val="left" w:pos="2160"/>
        </w:tabs>
        <w:spacing w:line="360" w:lineRule="auto"/>
        <w:ind w:firstLine="1440"/>
        <w:rPr>
          <w:sz w:val="24"/>
          <w:szCs w:val="24"/>
        </w:rPr>
      </w:pPr>
    </w:p>
    <w:p w:rsidR="007965B0" w:rsidRPr="007965B0" w:rsidRDefault="007965B0" w:rsidP="00A354EE">
      <w:pPr>
        <w:tabs>
          <w:tab w:val="left" w:pos="2160"/>
        </w:tabs>
        <w:spacing w:line="360" w:lineRule="auto"/>
        <w:ind w:firstLine="1440"/>
        <w:rPr>
          <w:sz w:val="24"/>
          <w:szCs w:val="24"/>
        </w:rPr>
      </w:pPr>
      <w:r w:rsidRPr="007965B0">
        <w:rPr>
          <w:sz w:val="24"/>
          <w:szCs w:val="24"/>
        </w:rPr>
        <w:t xml:space="preserve">By Hearing Notice dated </w:t>
      </w:r>
      <w:r w:rsidR="00E40F74">
        <w:rPr>
          <w:sz w:val="24"/>
          <w:szCs w:val="24"/>
        </w:rPr>
        <w:t>February 23, 2010</w:t>
      </w:r>
      <w:r w:rsidRPr="007965B0">
        <w:rPr>
          <w:sz w:val="24"/>
          <w:szCs w:val="24"/>
        </w:rPr>
        <w:t xml:space="preserve">, the parties were notified that an Initial Hearing in this case was scheduled for the morning of </w:t>
      </w:r>
      <w:r w:rsidR="00E40F74">
        <w:rPr>
          <w:sz w:val="24"/>
          <w:szCs w:val="24"/>
        </w:rPr>
        <w:t>March 3, 2010</w:t>
      </w:r>
      <w:r w:rsidRPr="007965B0">
        <w:rPr>
          <w:sz w:val="24"/>
          <w:szCs w:val="24"/>
        </w:rPr>
        <w:t xml:space="preserve">.  A Prehearing Order was issued on </w:t>
      </w:r>
      <w:r w:rsidR="00E40F74">
        <w:rPr>
          <w:sz w:val="24"/>
          <w:szCs w:val="24"/>
        </w:rPr>
        <w:t>December 22, 2009</w:t>
      </w:r>
      <w:r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CE43B4" w:rsidRPr="00E40F74" w:rsidRDefault="007965B0" w:rsidP="00A354EE">
      <w:pPr>
        <w:spacing w:line="360" w:lineRule="auto"/>
        <w:ind w:firstLine="1440"/>
        <w:rPr>
          <w:sz w:val="24"/>
          <w:szCs w:val="24"/>
        </w:rPr>
      </w:pPr>
      <w:r w:rsidRPr="007965B0">
        <w:rPr>
          <w:sz w:val="24"/>
          <w:szCs w:val="24"/>
        </w:rPr>
        <w:lastRenderedPageBreak/>
        <w:t xml:space="preserve">The hearing convened as scheduled.  </w:t>
      </w:r>
      <w:r w:rsidR="00E40F74">
        <w:rPr>
          <w:sz w:val="24"/>
          <w:szCs w:val="24"/>
        </w:rPr>
        <w:t xml:space="preserve">The Complainant appeared </w:t>
      </w:r>
      <w:r w:rsidR="00E40F74" w:rsidRPr="00E40F74">
        <w:rPr>
          <w:i/>
          <w:sz w:val="24"/>
          <w:szCs w:val="24"/>
        </w:rPr>
        <w:t>pro se</w:t>
      </w:r>
      <w:r w:rsidR="00E40F74">
        <w:rPr>
          <w:i/>
          <w:sz w:val="24"/>
          <w:szCs w:val="24"/>
        </w:rPr>
        <w:t>.</w:t>
      </w:r>
      <w:r w:rsidR="00E40F74">
        <w:rPr>
          <w:sz w:val="24"/>
          <w:szCs w:val="24"/>
        </w:rPr>
        <w:t xml:space="preserve">  The Respondent was represented by counsel.</w:t>
      </w:r>
      <w:r w:rsidR="004F712C">
        <w:rPr>
          <w:sz w:val="24"/>
          <w:szCs w:val="24"/>
        </w:rPr>
        <w:t xml:space="preserve"> </w:t>
      </w:r>
      <w:r w:rsidR="00E40F74">
        <w:rPr>
          <w:sz w:val="24"/>
          <w:szCs w:val="24"/>
        </w:rPr>
        <w:t xml:space="preserve"> The Complainant testified on his own behalf and provided no documents.  The Respondent presented the testimony of one witness and submitted the relevant page from their tariff.  The single </w:t>
      </w:r>
      <w:r w:rsidR="00B70745">
        <w:rPr>
          <w:sz w:val="24"/>
          <w:szCs w:val="24"/>
        </w:rPr>
        <w:t>page</w:t>
      </w:r>
      <w:r w:rsidR="00E40F74">
        <w:rPr>
          <w:sz w:val="24"/>
          <w:szCs w:val="24"/>
        </w:rPr>
        <w:t xml:space="preserve"> from the tariff was admit</w:t>
      </w:r>
      <w:r w:rsidR="00430C95">
        <w:rPr>
          <w:sz w:val="24"/>
          <w:szCs w:val="24"/>
        </w:rPr>
        <w:t>ted into evidence.  The written transcript of the hearing was produced and comprised 60 typewritten pages.  The record closed on April 3, 2010.</w:t>
      </w:r>
    </w:p>
    <w:p w:rsidR="00223E7E" w:rsidRDefault="00223E7E" w:rsidP="00A354EE">
      <w:pPr>
        <w:spacing w:line="360" w:lineRule="auto"/>
        <w:ind w:firstLine="1440"/>
        <w:rPr>
          <w:sz w:val="24"/>
          <w:szCs w:val="24"/>
        </w:rPr>
      </w:pPr>
    </w:p>
    <w:p w:rsidR="00C419F9" w:rsidRDefault="00C419F9" w:rsidP="00A354EE">
      <w:pPr>
        <w:spacing w:line="360" w:lineRule="auto"/>
        <w:jc w:val="center"/>
        <w:rPr>
          <w:sz w:val="24"/>
          <w:szCs w:val="24"/>
          <w:u w:val="single"/>
        </w:rPr>
      </w:pPr>
      <w:r>
        <w:rPr>
          <w:sz w:val="24"/>
          <w:szCs w:val="24"/>
          <w:u w:val="single"/>
        </w:rPr>
        <w:t>FINDINGS OF FACT</w:t>
      </w:r>
    </w:p>
    <w:p w:rsidR="00C419F9" w:rsidRDefault="00C419F9" w:rsidP="00A354EE">
      <w:pPr>
        <w:spacing w:line="360" w:lineRule="auto"/>
        <w:jc w:val="center"/>
        <w:rPr>
          <w:sz w:val="24"/>
          <w:szCs w:val="24"/>
          <w:u w:val="single"/>
        </w:rPr>
      </w:pPr>
    </w:p>
    <w:p w:rsidR="00C419F9" w:rsidRDefault="00430C95" w:rsidP="00A354EE">
      <w:pPr>
        <w:numPr>
          <w:ilvl w:val="0"/>
          <w:numId w:val="18"/>
        </w:numPr>
        <w:tabs>
          <w:tab w:val="left" w:pos="2160"/>
        </w:tabs>
        <w:spacing w:line="360" w:lineRule="auto"/>
        <w:ind w:left="0" w:firstLine="1440"/>
        <w:rPr>
          <w:sz w:val="24"/>
          <w:szCs w:val="24"/>
        </w:rPr>
      </w:pPr>
      <w:r>
        <w:rPr>
          <w:sz w:val="24"/>
          <w:szCs w:val="24"/>
        </w:rPr>
        <w:t>Jeffrey Kintner owns Nosta</w:t>
      </w:r>
      <w:r w:rsidR="00B70745">
        <w:rPr>
          <w:sz w:val="24"/>
          <w:szCs w:val="24"/>
        </w:rPr>
        <w:t>l</w:t>
      </w:r>
      <w:r>
        <w:rPr>
          <w:sz w:val="24"/>
          <w:szCs w:val="24"/>
        </w:rPr>
        <w:t>gia Car Wash, a sole proprietorship enterprise.  NT 5.</w:t>
      </w:r>
    </w:p>
    <w:p w:rsidR="00430C95" w:rsidRDefault="00430C95" w:rsidP="00A354EE">
      <w:pPr>
        <w:spacing w:line="360" w:lineRule="auto"/>
        <w:ind w:left="1440"/>
        <w:rPr>
          <w:sz w:val="24"/>
          <w:szCs w:val="24"/>
        </w:rPr>
      </w:pPr>
    </w:p>
    <w:p w:rsidR="00430C95" w:rsidRDefault="00B70745" w:rsidP="00A354EE">
      <w:pPr>
        <w:numPr>
          <w:ilvl w:val="0"/>
          <w:numId w:val="18"/>
        </w:numPr>
        <w:tabs>
          <w:tab w:val="left" w:pos="2160"/>
        </w:tabs>
        <w:spacing w:line="360" w:lineRule="auto"/>
        <w:ind w:left="0" w:firstLine="1440"/>
        <w:rPr>
          <w:sz w:val="24"/>
          <w:szCs w:val="24"/>
        </w:rPr>
      </w:pPr>
      <w:r>
        <w:rPr>
          <w:sz w:val="24"/>
          <w:szCs w:val="24"/>
        </w:rPr>
        <w:t>Jeffrey Kintner receives water services at Nostalgia Car Wash from the Respondent</w:t>
      </w:r>
      <w:r w:rsidR="009B5608">
        <w:rPr>
          <w:sz w:val="24"/>
          <w:szCs w:val="24"/>
        </w:rPr>
        <w:t>; the</w:t>
      </w:r>
      <w:r>
        <w:rPr>
          <w:sz w:val="24"/>
          <w:szCs w:val="24"/>
        </w:rPr>
        <w:t xml:space="preserve"> bills </w:t>
      </w:r>
      <w:r w:rsidR="009B5608">
        <w:rPr>
          <w:sz w:val="24"/>
          <w:szCs w:val="24"/>
        </w:rPr>
        <w:t xml:space="preserve">for such services </w:t>
      </w:r>
      <w:r>
        <w:rPr>
          <w:sz w:val="24"/>
          <w:szCs w:val="24"/>
        </w:rPr>
        <w:t xml:space="preserve">are mailed to </w:t>
      </w:r>
      <w:r w:rsidR="009B5608">
        <w:rPr>
          <w:sz w:val="24"/>
          <w:szCs w:val="24"/>
        </w:rPr>
        <w:t>Kintner’s home at 27 Vosburg Road, Tunkhannock, Pennsylvania 18657.</w:t>
      </w:r>
    </w:p>
    <w:p w:rsidR="009B5608" w:rsidRDefault="009B5608" w:rsidP="00A354EE">
      <w:pPr>
        <w:pStyle w:val="ListParagraph"/>
        <w:spacing w:line="360" w:lineRule="auto"/>
        <w:rPr>
          <w:sz w:val="24"/>
          <w:szCs w:val="24"/>
        </w:rPr>
      </w:pPr>
    </w:p>
    <w:p w:rsidR="009B5608" w:rsidRDefault="009B5608" w:rsidP="00A354EE">
      <w:pPr>
        <w:numPr>
          <w:ilvl w:val="0"/>
          <w:numId w:val="18"/>
        </w:numPr>
        <w:tabs>
          <w:tab w:val="left" w:pos="2160"/>
        </w:tabs>
        <w:spacing w:line="360" w:lineRule="auto"/>
        <w:ind w:left="0" w:firstLine="1440"/>
        <w:rPr>
          <w:sz w:val="24"/>
          <w:szCs w:val="24"/>
        </w:rPr>
      </w:pPr>
      <w:r>
        <w:rPr>
          <w:sz w:val="24"/>
          <w:szCs w:val="24"/>
        </w:rPr>
        <w:t xml:space="preserve">Nostalgia Car Wash loses a lot of water through evaporation and water leaving on vehicles instead of returning to the sewer system </w:t>
      </w:r>
      <w:r w:rsidR="008A0A78">
        <w:rPr>
          <w:sz w:val="24"/>
          <w:szCs w:val="24"/>
        </w:rPr>
        <w:t>through</w:t>
      </w:r>
      <w:r>
        <w:rPr>
          <w:sz w:val="24"/>
          <w:szCs w:val="24"/>
        </w:rPr>
        <w:t xml:space="preserve"> the drains.  NT 9.</w:t>
      </w:r>
    </w:p>
    <w:p w:rsidR="009B5608" w:rsidRDefault="009B5608" w:rsidP="00A354EE">
      <w:pPr>
        <w:pStyle w:val="ListParagraph"/>
        <w:spacing w:line="360" w:lineRule="auto"/>
        <w:rPr>
          <w:sz w:val="24"/>
          <w:szCs w:val="24"/>
        </w:rPr>
      </w:pPr>
    </w:p>
    <w:p w:rsidR="009B5608" w:rsidRDefault="008A0A78" w:rsidP="00A354EE">
      <w:pPr>
        <w:numPr>
          <w:ilvl w:val="0"/>
          <w:numId w:val="18"/>
        </w:numPr>
        <w:tabs>
          <w:tab w:val="left" w:pos="2160"/>
        </w:tabs>
        <w:spacing w:line="360" w:lineRule="auto"/>
        <w:ind w:left="0" w:firstLine="1440"/>
        <w:rPr>
          <w:sz w:val="24"/>
          <w:szCs w:val="24"/>
        </w:rPr>
      </w:pPr>
      <w:r>
        <w:rPr>
          <w:sz w:val="24"/>
          <w:szCs w:val="24"/>
        </w:rPr>
        <w:t>Jeffrey Kintner attempts to reclaim as much water from the washing processes by reusing waste water for certain applications.  NT 10.</w:t>
      </w:r>
    </w:p>
    <w:p w:rsidR="001B37B8" w:rsidRDefault="001B37B8" w:rsidP="00A354EE">
      <w:pPr>
        <w:pStyle w:val="ListParagraph"/>
        <w:spacing w:line="360" w:lineRule="auto"/>
        <w:rPr>
          <w:sz w:val="24"/>
          <w:szCs w:val="24"/>
        </w:rPr>
      </w:pPr>
    </w:p>
    <w:p w:rsidR="001B37B8" w:rsidRDefault="001B37B8" w:rsidP="00A354EE">
      <w:pPr>
        <w:numPr>
          <w:ilvl w:val="0"/>
          <w:numId w:val="18"/>
        </w:numPr>
        <w:tabs>
          <w:tab w:val="left" w:pos="2160"/>
        </w:tabs>
        <w:spacing w:line="360" w:lineRule="auto"/>
        <w:ind w:left="0" w:firstLine="1440"/>
        <w:rPr>
          <w:sz w:val="24"/>
          <w:szCs w:val="24"/>
        </w:rPr>
      </w:pPr>
      <w:r>
        <w:rPr>
          <w:sz w:val="24"/>
          <w:szCs w:val="24"/>
        </w:rPr>
        <w:t>Nostalgia Car Wash is billed on the amount of metered water he receives from the Respondent and his sewer bill is based upon the same.  NT 10.</w:t>
      </w:r>
    </w:p>
    <w:p w:rsidR="008A0A78" w:rsidRDefault="008A0A78" w:rsidP="00A354EE">
      <w:pPr>
        <w:pStyle w:val="ListParagraph"/>
        <w:spacing w:line="360" w:lineRule="auto"/>
        <w:rPr>
          <w:sz w:val="24"/>
          <w:szCs w:val="24"/>
        </w:rPr>
      </w:pPr>
    </w:p>
    <w:p w:rsidR="008A0A78" w:rsidRDefault="001B37B8" w:rsidP="00A354EE">
      <w:pPr>
        <w:numPr>
          <w:ilvl w:val="0"/>
          <w:numId w:val="18"/>
        </w:numPr>
        <w:tabs>
          <w:tab w:val="left" w:pos="2160"/>
        </w:tabs>
        <w:spacing w:line="360" w:lineRule="auto"/>
        <w:ind w:left="0" w:firstLine="1440"/>
        <w:rPr>
          <w:sz w:val="24"/>
          <w:szCs w:val="24"/>
        </w:rPr>
      </w:pPr>
      <w:r>
        <w:rPr>
          <w:sz w:val="24"/>
          <w:szCs w:val="24"/>
        </w:rPr>
        <w:t>Jeffrey Kintner would like to install a flow meter on the sewage side of his system to meter the water going into the Respondent’s sewage system.  NT 13.</w:t>
      </w:r>
    </w:p>
    <w:p w:rsidR="001B37B8" w:rsidRDefault="001B37B8" w:rsidP="00A354EE">
      <w:pPr>
        <w:pStyle w:val="ListParagraph"/>
        <w:spacing w:line="360" w:lineRule="auto"/>
        <w:rPr>
          <w:sz w:val="24"/>
          <w:szCs w:val="24"/>
        </w:rPr>
      </w:pPr>
    </w:p>
    <w:p w:rsidR="001B37B8" w:rsidRPr="000A6648" w:rsidRDefault="001B37B8" w:rsidP="000A6648">
      <w:pPr>
        <w:numPr>
          <w:ilvl w:val="0"/>
          <w:numId w:val="18"/>
        </w:numPr>
        <w:tabs>
          <w:tab w:val="left" w:pos="2160"/>
        </w:tabs>
        <w:spacing w:line="360" w:lineRule="auto"/>
        <w:ind w:left="0" w:firstLine="1440"/>
        <w:rPr>
          <w:sz w:val="24"/>
          <w:szCs w:val="24"/>
        </w:rPr>
      </w:pPr>
      <w:r>
        <w:rPr>
          <w:sz w:val="24"/>
          <w:szCs w:val="24"/>
        </w:rPr>
        <w:t xml:space="preserve">Rather than pay for sewage based upon </w:t>
      </w:r>
      <w:r w:rsidR="00444400">
        <w:rPr>
          <w:sz w:val="24"/>
          <w:szCs w:val="24"/>
        </w:rPr>
        <w:t xml:space="preserve">the metered water </w:t>
      </w:r>
      <w:r w:rsidR="00827F3B">
        <w:rPr>
          <w:sz w:val="24"/>
          <w:szCs w:val="24"/>
        </w:rPr>
        <w:t xml:space="preserve">he </w:t>
      </w:r>
      <w:r w:rsidR="00444400">
        <w:rPr>
          <w:sz w:val="24"/>
          <w:szCs w:val="24"/>
        </w:rPr>
        <w:t>receive</w:t>
      </w:r>
      <w:r w:rsidR="00827F3B">
        <w:rPr>
          <w:sz w:val="24"/>
          <w:szCs w:val="24"/>
        </w:rPr>
        <w:t>s</w:t>
      </w:r>
      <w:r w:rsidR="008775E5">
        <w:rPr>
          <w:sz w:val="24"/>
          <w:szCs w:val="24"/>
        </w:rPr>
        <w:t xml:space="preserve">, </w:t>
      </w:r>
      <w:r w:rsidR="000A6648" w:rsidRPr="000A6648">
        <w:rPr>
          <w:sz w:val="24"/>
          <w:szCs w:val="24"/>
        </w:rPr>
        <w:t>Mr</w:t>
      </w:r>
      <w:r w:rsidR="00444400" w:rsidRPr="000A6648">
        <w:rPr>
          <w:sz w:val="24"/>
          <w:szCs w:val="24"/>
        </w:rPr>
        <w:t>.</w:t>
      </w:r>
      <w:r w:rsidR="008775E5">
        <w:rPr>
          <w:sz w:val="24"/>
          <w:szCs w:val="24"/>
        </w:rPr>
        <w:t> </w:t>
      </w:r>
      <w:r w:rsidRPr="000A6648">
        <w:rPr>
          <w:sz w:val="24"/>
          <w:szCs w:val="24"/>
        </w:rPr>
        <w:t>Kintner would like to pay for se</w:t>
      </w:r>
      <w:r w:rsidR="00444400" w:rsidRPr="000A6648">
        <w:rPr>
          <w:sz w:val="24"/>
          <w:szCs w:val="24"/>
        </w:rPr>
        <w:t>w</w:t>
      </w:r>
      <w:r w:rsidRPr="000A6648">
        <w:rPr>
          <w:sz w:val="24"/>
          <w:szCs w:val="24"/>
        </w:rPr>
        <w:t xml:space="preserve">age services based upon metered waste water </w:t>
      </w:r>
      <w:r w:rsidRPr="000A6648">
        <w:rPr>
          <w:sz w:val="24"/>
          <w:szCs w:val="24"/>
          <w:u w:val="single"/>
        </w:rPr>
        <w:t>going out</w:t>
      </w:r>
      <w:r w:rsidR="00444400" w:rsidRPr="000A6648">
        <w:rPr>
          <w:sz w:val="24"/>
          <w:szCs w:val="24"/>
        </w:rPr>
        <w:t xml:space="preserve">; </w:t>
      </w:r>
      <w:r w:rsidR="00444400" w:rsidRPr="000A6648">
        <w:rPr>
          <w:sz w:val="24"/>
          <w:szCs w:val="24"/>
        </w:rPr>
        <w:lastRenderedPageBreak/>
        <w:t xml:space="preserve">that </w:t>
      </w:r>
      <w:r w:rsidR="00827F3B" w:rsidRPr="000A6648">
        <w:rPr>
          <w:sz w:val="24"/>
          <w:szCs w:val="24"/>
        </w:rPr>
        <w:t>metered amount</w:t>
      </w:r>
      <w:r w:rsidR="00444400" w:rsidRPr="000A6648">
        <w:rPr>
          <w:sz w:val="24"/>
          <w:szCs w:val="24"/>
        </w:rPr>
        <w:t xml:space="preserve"> would be less than the water received due to lost water through applications, evaporation</w:t>
      </w:r>
      <w:r w:rsidR="00827F3B" w:rsidRPr="000A6648">
        <w:rPr>
          <w:sz w:val="24"/>
          <w:szCs w:val="24"/>
        </w:rPr>
        <w:t xml:space="preserve">, </w:t>
      </w:r>
      <w:r w:rsidR="00444400" w:rsidRPr="000A6648">
        <w:rPr>
          <w:sz w:val="24"/>
          <w:szCs w:val="24"/>
        </w:rPr>
        <w:t xml:space="preserve">and water leaving on vehicles. </w:t>
      </w:r>
    </w:p>
    <w:p w:rsidR="004F712C" w:rsidRDefault="004F712C" w:rsidP="00A354EE">
      <w:pPr>
        <w:spacing w:line="360" w:lineRule="auto"/>
        <w:rPr>
          <w:sz w:val="24"/>
          <w:szCs w:val="24"/>
        </w:rPr>
      </w:pPr>
    </w:p>
    <w:p w:rsidR="00444400" w:rsidRDefault="00C872F1" w:rsidP="00A354EE">
      <w:pPr>
        <w:numPr>
          <w:ilvl w:val="0"/>
          <w:numId w:val="18"/>
        </w:numPr>
        <w:tabs>
          <w:tab w:val="left" w:pos="2160"/>
        </w:tabs>
        <w:spacing w:line="360" w:lineRule="auto"/>
        <w:ind w:left="0" w:firstLine="1440"/>
        <w:rPr>
          <w:sz w:val="24"/>
          <w:szCs w:val="24"/>
        </w:rPr>
      </w:pPr>
      <w:r>
        <w:rPr>
          <w:sz w:val="24"/>
          <w:szCs w:val="24"/>
        </w:rPr>
        <w:t xml:space="preserve">The Respondent charges “for all waste water service … [as] </w:t>
      </w:r>
      <w:r w:rsidR="00DB0EEB">
        <w:rPr>
          <w:sz w:val="24"/>
          <w:szCs w:val="24"/>
        </w:rPr>
        <w:t>measured by metered water usage,</w:t>
      </w:r>
      <w:r>
        <w:rPr>
          <w:sz w:val="24"/>
          <w:szCs w:val="24"/>
        </w:rPr>
        <w:t>”</w:t>
      </w:r>
      <w:r w:rsidR="00DB0EEB">
        <w:rPr>
          <w:sz w:val="24"/>
          <w:szCs w:val="24"/>
        </w:rPr>
        <w:t xml:space="preserve"> plus a service charge. </w:t>
      </w:r>
      <w:r>
        <w:rPr>
          <w:sz w:val="24"/>
          <w:szCs w:val="24"/>
        </w:rPr>
        <w:t xml:space="preserve"> </w:t>
      </w:r>
      <w:r w:rsidR="00DB0EEB">
        <w:rPr>
          <w:sz w:val="24"/>
          <w:szCs w:val="24"/>
        </w:rPr>
        <w:t>Respondent’s Exh. 1, Tariff</w:t>
      </w:r>
      <w:r w:rsidR="00444A02">
        <w:rPr>
          <w:sz w:val="24"/>
          <w:szCs w:val="24"/>
        </w:rPr>
        <w:t xml:space="preserve"> -</w:t>
      </w:r>
      <w:r w:rsidR="00DB0EEB">
        <w:rPr>
          <w:sz w:val="24"/>
          <w:szCs w:val="24"/>
        </w:rPr>
        <w:t xml:space="preserve"> First Revised Page 3.</w:t>
      </w:r>
      <w:r>
        <w:rPr>
          <w:sz w:val="24"/>
          <w:szCs w:val="24"/>
        </w:rPr>
        <w:t xml:space="preserve"> </w:t>
      </w:r>
      <w:r w:rsidR="005411CC">
        <w:rPr>
          <w:sz w:val="24"/>
          <w:szCs w:val="24"/>
        </w:rPr>
        <w:t xml:space="preserve"> </w:t>
      </w:r>
    </w:p>
    <w:p w:rsidR="00DB0EEB" w:rsidRDefault="00DB0EEB" w:rsidP="00A354EE">
      <w:pPr>
        <w:spacing w:line="360" w:lineRule="auto"/>
        <w:ind w:left="1440"/>
        <w:rPr>
          <w:sz w:val="24"/>
          <w:szCs w:val="24"/>
        </w:rPr>
      </w:pPr>
    </w:p>
    <w:p w:rsidR="00C419F9" w:rsidRDefault="00C419F9" w:rsidP="00A354EE">
      <w:pPr>
        <w:spacing w:line="360" w:lineRule="auto"/>
        <w:jc w:val="center"/>
        <w:rPr>
          <w:sz w:val="24"/>
          <w:szCs w:val="24"/>
          <w:u w:val="single"/>
        </w:rPr>
      </w:pPr>
      <w:r>
        <w:rPr>
          <w:sz w:val="24"/>
          <w:szCs w:val="24"/>
          <w:u w:val="single"/>
        </w:rPr>
        <w:t>DISCUSSION</w:t>
      </w:r>
    </w:p>
    <w:p w:rsidR="00C419F9" w:rsidRDefault="00C419F9" w:rsidP="00A354EE">
      <w:pPr>
        <w:spacing w:line="360" w:lineRule="auto"/>
        <w:jc w:val="center"/>
        <w:rPr>
          <w:sz w:val="24"/>
          <w:szCs w:val="24"/>
          <w:u w:val="single"/>
        </w:rPr>
      </w:pPr>
    </w:p>
    <w:p w:rsidR="00B0541E" w:rsidRDefault="00B0541E" w:rsidP="00A354EE">
      <w:pPr>
        <w:spacing w:line="360" w:lineRule="auto"/>
        <w:rPr>
          <w:sz w:val="24"/>
          <w:szCs w:val="24"/>
        </w:rPr>
      </w:pPr>
      <w:r w:rsidRPr="003325A0">
        <w:rPr>
          <w:sz w:val="24"/>
          <w:szCs w:val="24"/>
          <w:u w:val="single"/>
        </w:rPr>
        <w:t>Burden of Proof</w:t>
      </w:r>
      <w:r>
        <w:rPr>
          <w:sz w:val="24"/>
          <w:szCs w:val="24"/>
        </w:rPr>
        <w:t>:</w:t>
      </w:r>
    </w:p>
    <w:p w:rsidR="00B0541E" w:rsidRDefault="00B0541E" w:rsidP="00A354EE">
      <w:pPr>
        <w:spacing w:line="360" w:lineRule="auto"/>
        <w:rPr>
          <w:sz w:val="24"/>
          <w:szCs w:val="24"/>
        </w:rPr>
      </w:pPr>
    </w:p>
    <w:p w:rsidR="00B0541E" w:rsidRPr="000B72BC" w:rsidRDefault="00B0541E" w:rsidP="00A354EE">
      <w:pPr>
        <w:spacing w:line="360" w:lineRule="auto"/>
        <w:ind w:firstLine="1440"/>
        <w:rPr>
          <w:spacing w:val="-3"/>
          <w:sz w:val="24"/>
          <w:szCs w:val="24"/>
        </w:rPr>
      </w:pPr>
      <w:r>
        <w:rPr>
          <w:sz w:val="24"/>
          <w:szCs w:val="24"/>
        </w:rPr>
        <w:t xml:space="preserve">The </w:t>
      </w:r>
      <w:r w:rsidRPr="000B72BC">
        <w:rPr>
          <w:sz w:val="24"/>
          <w:szCs w:val="24"/>
        </w:rPr>
        <w:t xml:space="preserve">Complainant has the burden of proving </w:t>
      </w:r>
      <w:r w:rsidR="00430C95">
        <w:rPr>
          <w:sz w:val="24"/>
          <w:szCs w:val="24"/>
        </w:rPr>
        <w:t>his</w:t>
      </w:r>
      <w:r w:rsidRPr="000B72BC">
        <w:rPr>
          <w:sz w:val="24"/>
          <w:szCs w:val="24"/>
        </w:rPr>
        <w:t xml:space="preserve"> case.  66 Pa. C.S. §</w:t>
      </w:r>
      <w:r>
        <w:rPr>
          <w:sz w:val="24"/>
          <w:szCs w:val="24"/>
        </w:rPr>
        <w:t xml:space="preserve"> </w:t>
      </w:r>
      <w:r w:rsidRPr="000B72BC">
        <w:rPr>
          <w:sz w:val="24"/>
          <w:szCs w:val="24"/>
        </w:rPr>
        <w:t xml:space="preserve">332 (a).  </w:t>
      </w:r>
      <w:r w:rsidRPr="000B72BC">
        <w:rPr>
          <w:spacing w:val="-3"/>
          <w:sz w:val="24"/>
          <w:szCs w:val="24"/>
        </w:rPr>
        <w:t xml:space="preserve">This must be shown by a preponderance of the evidence.  </w:t>
      </w:r>
      <w:r w:rsidRPr="000B72BC">
        <w:rPr>
          <w:i/>
          <w:spacing w:val="-3"/>
          <w:sz w:val="24"/>
          <w:szCs w:val="24"/>
        </w:rPr>
        <w:t>Samuel J. Lansberry, Inc. v. Pa. Pub</w:t>
      </w:r>
      <w:r w:rsidR="00223E7E">
        <w:rPr>
          <w:i/>
          <w:spacing w:val="-3"/>
          <w:sz w:val="24"/>
          <w:szCs w:val="24"/>
        </w:rPr>
        <w:t>.</w:t>
      </w:r>
      <w:r w:rsidRPr="000B72BC">
        <w:rPr>
          <w:i/>
          <w:spacing w:val="-3"/>
          <w:sz w:val="24"/>
          <w:szCs w:val="24"/>
        </w:rPr>
        <w:t>Uti</w:t>
      </w:r>
      <w:r w:rsidR="00223E7E">
        <w:rPr>
          <w:i/>
          <w:spacing w:val="-3"/>
          <w:sz w:val="24"/>
          <w:szCs w:val="24"/>
        </w:rPr>
        <w:t>l.</w:t>
      </w:r>
      <w:r w:rsidRPr="000B72BC">
        <w:rPr>
          <w:i/>
          <w:spacing w:val="-3"/>
          <w:sz w:val="24"/>
          <w:szCs w:val="24"/>
        </w:rPr>
        <w:t xml:space="preserve"> Comm’n</w:t>
      </w:r>
      <w:r w:rsidRPr="000B72BC">
        <w:rPr>
          <w:spacing w:val="-3"/>
          <w:sz w:val="24"/>
          <w:szCs w:val="24"/>
        </w:rPr>
        <w:t xml:space="preserve">, 578 A.2d 600 (1990), </w:t>
      </w:r>
      <w:r w:rsidRPr="000B72BC">
        <w:rPr>
          <w:i/>
          <w:spacing w:val="-3"/>
          <w:sz w:val="24"/>
          <w:szCs w:val="24"/>
        </w:rPr>
        <w:t>alloc. den.</w:t>
      </w:r>
      <w:r w:rsidRPr="000B72BC">
        <w:rPr>
          <w:spacing w:val="-3"/>
          <w:sz w:val="24"/>
          <w:szCs w:val="24"/>
        </w:rPr>
        <w:t xml:space="preserve">, 602 A.2d 863 (1992).  That is, </w:t>
      </w:r>
      <w:r w:rsidR="00430C95">
        <w:rPr>
          <w:spacing w:val="-3"/>
          <w:sz w:val="24"/>
          <w:szCs w:val="24"/>
        </w:rPr>
        <w:t xml:space="preserve">the Complainant must </w:t>
      </w:r>
      <w:r w:rsidRPr="000B72BC">
        <w:rPr>
          <w:spacing w:val="-3"/>
          <w:sz w:val="24"/>
          <w:szCs w:val="24"/>
        </w:rPr>
        <w:t xml:space="preserve">present evidence more convincing, by even the smallest amount, than that presented by the other party.  </w:t>
      </w:r>
      <w:r w:rsidR="00223E7E">
        <w:rPr>
          <w:i/>
          <w:spacing w:val="-3"/>
          <w:sz w:val="24"/>
          <w:szCs w:val="24"/>
        </w:rPr>
        <w:t>Se-Ling Hosiery v. Marg</w:t>
      </w:r>
      <w:r w:rsidRPr="000B72BC">
        <w:rPr>
          <w:i/>
          <w:spacing w:val="-3"/>
          <w:sz w:val="24"/>
          <w:szCs w:val="24"/>
        </w:rPr>
        <w:t>ulies</w:t>
      </w:r>
      <w:r w:rsidRPr="000B72BC">
        <w:rPr>
          <w:spacing w:val="-3"/>
          <w:sz w:val="24"/>
          <w:szCs w:val="24"/>
        </w:rPr>
        <w:t xml:space="preserve">, 70 A.2d 854 (1950).  </w:t>
      </w:r>
    </w:p>
    <w:p w:rsidR="00B0541E" w:rsidRPr="000B72BC" w:rsidRDefault="00B0541E" w:rsidP="00A354EE">
      <w:pPr>
        <w:spacing w:line="360" w:lineRule="auto"/>
        <w:ind w:firstLine="1440"/>
        <w:rPr>
          <w:spacing w:val="-3"/>
          <w:sz w:val="24"/>
          <w:szCs w:val="24"/>
        </w:rPr>
      </w:pPr>
    </w:p>
    <w:p w:rsidR="00B0541E" w:rsidRPr="000B72BC" w:rsidRDefault="00B0541E" w:rsidP="00A354EE">
      <w:pPr>
        <w:spacing w:line="360" w:lineRule="auto"/>
        <w:ind w:firstLine="1440"/>
        <w:rPr>
          <w:spacing w:val="-3"/>
          <w:sz w:val="24"/>
          <w:szCs w:val="24"/>
        </w:rPr>
      </w:pPr>
      <w:r w:rsidRPr="000B72BC">
        <w:rPr>
          <w:spacing w:val="-3"/>
          <w:sz w:val="24"/>
          <w:szCs w:val="24"/>
        </w:rPr>
        <w:t xml:space="preserve">Additionally, any finding of fact necessary to support the Commission’s adjudication must be based upon substantial evidence.  </w:t>
      </w:r>
      <w:r w:rsidRPr="000B72BC">
        <w:rPr>
          <w:i/>
          <w:spacing w:val="-3"/>
          <w:sz w:val="24"/>
          <w:szCs w:val="24"/>
        </w:rPr>
        <w:t>Mill v. Pa. Publ. Util. Comm’n</w:t>
      </w:r>
      <w:r w:rsidRPr="000B72BC">
        <w:rPr>
          <w:spacing w:val="-3"/>
          <w:sz w:val="24"/>
          <w:szCs w:val="24"/>
        </w:rPr>
        <w:t xml:space="preserve">, 447 A.2d 1100 (1982); </w:t>
      </w:r>
      <w:r w:rsidR="003E594B">
        <w:rPr>
          <w:i/>
          <w:spacing w:val="-3"/>
          <w:sz w:val="24"/>
          <w:szCs w:val="24"/>
        </w:rPr>
        <w:t>Edan Transportation Corp.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 §</w:t>
      </w:r>
      <w:r w:rsidR="008775E5">
        <w:rPr>
          <w:spacing w:val="-3"/>
          <w:sz w:val="24"/>
          <w:szCs w:val="24"/>
        </w:rPr>
        <w:t> </w:t>
      </w:r>
      <w:r w:rsidRPr="000B72BC">
        <w:rPr>
          <w:spacing w:val="-3"/>
          <w:sz w:val="24"/>
          <w:szCs w:val="24"/>
        </w:rPr>
        <w:t xml:space="preserve">704.  More is required than a mere trace of evidence or a suspicion of the existence of a fact sought to be established.  </w:t>
      </w:r>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Pr="000B72BC">
        <w:rPr>
          <w:i/>
          <w:spacing w:val="-3"/>
          <w:sz w:val="24"/>
          <w:szCs w:val="24"/>
        </w:rPr>
        <w:t xml:space="preserve">Murphy v. Commonwealth, Dep’t. of Public Welfare, </w:t>
      </w:r>
      <w:smartTag w:uri="urn:schemas-microsoft-com:office:smarttags" w:element="place">
        <w:smartTag w:uri="urn:schemas-microsoft-com:office:smarttags" w:element="PlaceName">
          <w:r w:rsidRPr="000B72BC">
            <w:rPr>
              <w:i/>
              <w:spacing w:val="-3"/>
              <w:sz w:val="24"/>
              <w:szCs w:val="24"/>
            </w:rPr>
            <w:t>White</w:t>
          </w:r>
        </w:smartTag>
        <w:r w:rsidRPr="000B72BC">
          <w:rPr>
            <w:i/>
            <w:spacing w:val="-3"/>
            <w:sz w:val="24"/>
            <w:szCs w:val="24"/>
          </w:rPr>
          <w:t xml:space="preserve"> </w:t>
        </w:r>
        <w:smartTag w:uri="urn:schemas-microsoft-com:office:smarttags" w:element="PlaceName">
          <w:r w:rsidRPr="000B72BC">
            <w:rPr>
              <w:i/>
              <w:spacing w:val="-3"/>
              <w:sz w:val="24"/>
              <w:szCs w:val="24"/>
            </w:rPr>
            <w:t>Haven</w:t>
          </w:r>
        </w:smartTag>
        <w:r w:rsidRPr="000B72BC">
          <w:rPr>
            <w:i/>
            <w:spacing w:val="-3"/>
            <w:sz w:val="24"/>
            <w:szCs w:val="24"/>
          </w:rPr>
          <w:t xml:space="preserve"> </w:t>
        </w:r>
        <w:smartTag w:uri="urn:schemas-microsoft-com:office:smarttags" w:element="PlaceType">
          <w:r w:rsidRPr="000B72BC">
            <w:rPr>
              <w:i/>
              <w:spacing w:val="-3"/>
              <w:sz w:val="24"/>
              <w:szCs w:val="24"/>
            </w:rPr>
            <w:t>Center</w:t>
          </w:r>
        </w:smartTag>
      </w:smartTag>
      <w:r w:rsidRPr="000B72BC">
        <w:rPr>
          <w:spacing w:val="-3"/>
          <w:sz w:val="24"/>
          <w:szCs w:val="24"/>
        </w:rPr>
        <w:t>, 480 A.2d 382 (1984).</w:t>
      </w:r>
    </w:p>
    <w:p w:rsidR="00B0541E" w:rsidRPr="000B72BC" w:rsidRDefault="00B0541E" w:rsidP="00A354EE">
      <w:pPr>
        <w:spacing w:line="360" w:lineRule="auto"/>
        <w:ind w:firstLine="1440"/>
        <w:rPr>
          <w:spacing w:val="-3"/>
          <w:sz w:val="24"/>
          <w:szCs w:val="24"/>
        </w:rPr>
      </w:pPr>
    </w:p>
    <w:p w:rsidR="00B0541E" w:rsidRPr="007F4E6D" w:rsidRDefault="00B0541E" w:rsidP="00A354EE">
      <w:pPr>
        <w:spacing w:line="360" w:lineRule="auto"/>
        <w:rPr>
          <w:sz w:val="24"/>
          <w:szCs w:val="24"/>
        </w:rPr>
      </w:pPr>
      <w:r w:rsidRPr="000B72BC">
        <w:rPr>
          <w:sz w:val="24"/>
          <w:szCs w:val="24"/>
        </w:rPr>
        <w:tab/>
      </w:r>
      <w:r w:rsidRPr="000B72BC">
        <w:rPr>
          <w:sz w:val="24"/>
          <w:szCs w:val="24"/>
        </w:rPr>
        <w:tab/>
        <w:t>The offense must be a violation of the Public Utility Code, the Commission’s regulations, or an outstanding order of the Commission.  66 Pa. C.S. §</w:t>
      </w:r>
      <w:r>
        <w:rPr>
          <w:sz w:val="24"/>
          <w:szCs w:val="24"/>
        </w:rPr>
        <w:t xml:space="preserve"> </w:t>
      </w:r>
      <w:r w:rsidRPr="000B72BC">
        <w:rPr>
          <w:sz w:val="24"/>
          <w:szCs w:val="24"/>
        </w:rPr>
        <w:t>701.</w:t>
      </w:r>
      <w:r w:rsidR="00AF5387">
        <w:rPr>
          <w:sz w:val="24"/>
          <w:szCs w:val="24"/>
        </w:rPr>
        <w:t xml:space="preserve">  </w:t>
      </w:r>
      <w:r w:rsidR="00AF5387" w:rsidRPr="007F4E6D">
        <w:rPr>
          <w:sz w:val="24"/>
          <w:szCs w:val="24"/>
        </w:rPr>
        <w:t xml:space="preserve">“A complainant seeking to evoke the effects of an existing tariff provision carrier a very heavy burden to prove that the facts and circumstances have changed so drastically as to render the application of the tariff provision unreasonable.”  </w:t>
      </w:r>
      <w:r w:rsidR="00AF5387" w:rsidRPr="007F4E6D">
        <w:rPr>
          <w:i/>
          <w:sz w:val="24"/>
          <w:szCs w:val="24"/>
        </w:rPr>
        <w:t>Russell Kanomicz v.PPL</w:t>
      </w:r>
      <w:r w:rsidR="00AF5387" w:rsidRPr="007F4E6D">
        <w:rPr>
          <w:sz w:val="24"/>
          <w:szCs w:val="24"/>
        </w:rPr>
        <w:t>, 2005 PA PUC Lexis 42</w:t>
      </w:r>
      <w:r w:rsidR="001B2621" w:rsidRPr="007F4E6D">
        <w:rPr>
          <w:sz w:val="24"/>
          <w:szCs w:val="24"/>
        </w:rPr>
        <w:t>;</w:t>
      </w:r>
      <w:r w:rsidR="00AF5387" w:rsidRPr="007F4E6D">
        <w:rPr>
          <w:sz w:val="24"/>
          <w:szCs w:val="24"/>
        </w:rPr>
        <w:t xml:space="preserve"> </w:t>
      </w:r>
      <w:r w:rsidR="00AF5387" w:rsidRPr="007F4E6D">
        <w:rPr>
          <w:i/>
          <w:sz w:val="24"/>
          <w:szCs w:val="24"/>
        </w:rPr>
        <w:t>Br</w:t>
      </w:r>
      <w:r w:rsidR="007F4E6D" w:rsidRPr="007F4E6D">
        <w:rPr>
          <w:i/>
          <w:sz w:val="24"/>
          <w:szCs w:val="24"/>
        </w:rPr>
        <w:t>o</w:t>
      </w:r>
      <w:r w:rsidR="00AF5387" w:rsidRPr="007F4E6D">
        <w:rPr>
          <w:i/>
          <w:sz w:val="24"/>
          <w:szCs w:val="24"/>
        </w:rPr>
        <w:t>ckway Glass Co. v. PA PUC</w:t>
      </w:r>
      <w:r w:rsidR="007F4E6D" w:rsidRPr="007F4E6D">
        <w:rPr>
          <w:sz w:val="24"/>
          <w:szCs w:val="24"/>
        </w:rPr>
        <w:t>, 437 A. 2d 1067 (1981)</w:t>
      </w:r>
      <w:r w:rsidR="00AF5387" w:rsidRPr="007F4E6D">
        <w:rPr>
          <w:sz w:val="24"/>
          <w:szCs w:val="24"/>
        </w:rPr>
        <w:t>.</w:t>
      </w:r>
    </w:p>
    <w:p w:rsidR="00E04B12" w:rsidRDefault="00E04B12" w:rsidP="00A354EE">
      <w:pPr>
        <w:spacing w:line="360" w:lineRule="auto"/>
        <w:rPr>
          <w:sz w:val="24"/>
          <w:szCs w:val="24"/>
        </w:rPr>
      </w:pPr>
    </w:p>
    <w:p w:rsidR="000A6648" w:rsidRDefault="00E04B12" w:rsidP="00A354EE">
      <w:pPr>
        <w:spacing w:line="360" w:lineRule="auto"/>
        <w:ind w:firstLine="1440"/>
        <w:rPr>
          <w:sz w:val="24"/>
          <w:szCs w:val="24"/>
        </w:rPr>
      </w:pPr>
      <w:r>
        <w:rPr>
          <w:sz w:val="24"/>
          <w:szCs w:val="24"/>
        </w:rPr>
        <w:lastRenderedPageBreak/>
        <w:t xml:space="preserve">The Complainant’s issue is straightforward; he would like to be allowed to pay for his sewage based upon the amount of his sewage </w:t>
      </w:r>
      <w:r w:rsidRPr="00940F93">
        <w:rPr>
          <w:i/>
          <w:sz w:val="24"/>
          <w:szCs w:val="24"/>
        </w:rPr>
        <w:t>discharge</w:t>
      </w:r>
      <w:r>
        <w:rPr>
          <w:sz w:val="24"/>
          <w:szCs w:val="24"/>
        </w:rPr>
        <w:t xml:space="preserve">, not the amount of water he uses. </w:t>
      </w:r>
      <w:r w:rsidR="0027737F">
        <w:rPr>
          <w:sz w:val="24"/>
          <w:szCs w:val="24"/>
        </w:rPr>
        <w:t xml:space="preserve"> </w:t>
      </w:r>
      <w:r w:rsidR="00940F93">
        <w:rPr>
          <w:sz w:val="24"/>
          <w:szCs w:val="24"/>
        </w:rPr>
        <w:t>The Complainant owns and operates a car wash.  He contends that a measurable portion of the water he rec</w:t>
      </w:r>
      <w:r w:rsidR="00300618">
        <w:rPr>
          <w:sz w:val="24"/>
          <w:szCs w:val="24"/>
        </w:rPr>
        <w:t xml:space="preserve">eives is lost due to processes and water leaving the facility on wet vehicles.  </w:t>
      </w:r>
    </w:p>
    <w:p w:rsidR="00300618" w:rsidRDefault="00300618" w:rsidP="000A6648">
      <w:pPr>
        <w:spacing w:line="360" w:lineRule="auto"/>
        <w:rPr>
          <w:sz w:val="24"/>
          <w:szCs w:val="24"/>
        </w:rPr>
      </w:pPr>
      <w:r>
        <w:rPr>
          <w:sz w:val="24"/>
          <w:szCs w:val="24"/>
        </w:rPr>
        <w:t>For these reasons, the Complainant contends that he should only pay for the sewage that is actually discharged, not based upon his water bill.</w:t>
      </w:r>
    </w:p>
    <w:p w:rsidR="00300618" w:rsidRDefault="00300618" w:rsidP="00A354EE">
      <w:pPr>
        <w:spacing w:line="360" w:lineRule="auto"/>
        <w:ind w:firstLine="1440"/>
        <w:rPr>
          <w:sz w:val="24"/>
          <w:szCs w:val="24"/>
        </w:rPr>
      </w:pPr>
    </w:p>
    <w:p w:rsidR="0027737F" w:rsidRPr="004056EE" w:rsidRDefault="00300618" w:rsidP="00A354EE">
      <w:pPr>
        <w:spacing w:line="360" w:lineRule="auto"/>
        <w:ind w:firstLine="1440"/>
        <w:rPr>
          <w:sz w:val="24"/>
          <w:szCs w:val="24"/>
        </w:rPr>
      </w:pPr>
      <w:r>
        <w:rPr>
          <w:sz w:val="24"/>
          <w:szCs w:val="24"/>
        </w:rPr>
        <w:t>However, t</w:t>
      </w:r>
      <w:r w:rsidR="0027737F">
        <w:rPr>
          <w:sz w:val="24"/>
          <w:szCs w:val="24"/>
        </w:rPr>
        <w:t xml:space="preserve">he Respondent </w:t>
      </w:r>
      <w:r>
        <w:rPr>
          <w:sz w:val="24"/>
          <w:szCs w:val="24"/>
        </w:rPr>
        <w:t>must</w:t>
      </w:r>
      <w:r w:rsidR="0027737F">
        <w:rPr>
          <w:sz w:val="24"/>
          <w:szCs w:val="24"/>
        </w:rPr>
        <w:t xml:space="preserve"> charge its customers as defined in their PUC approved tariff.  </w:t>
      </w:r>
      <w:r w:rsidR="0027737F" w:rsidRPr="004056EE">
        <w:rPr>
          <w:sz w:val="24"/>
          <w:szCs w:val="24"/>
        </w:rPr>
        <w:t xml:space="preserve">The Public Utility Code (the Code) requires that “every rate made, demanded or received by any public utility . . . shall be just and reasonable and in conformity with regulations and orders of the Commission.”  66 </w:t>
      </w:r>
      <w:smartTag w:uri="urn:schemas-microsoft-com:office:smarttags" w:element="place">
        <w:smartTag w:uri="urn:schemas-microsoft-com:office:smarttags" w:element="State">
          <w:r w:rsidR="0027737F" w:rsidRPr="004056EE">
            <w:rPr>
              <w:sz w:val="24"/>
              <w:szCs w:val="24"/>
            </w:rPr>
            <w:t>Pa.</w:t>
          </w:r>
        </w:smartTag>
      </w:smartTag>
      <w:r w:rsidR="0027737F" w:rsidRPr="004056EE">
        <w:rPr>
          <w:sz w:val="24"/>
          <w:szCs w:val="24"/>
        </w:rPr>
        <w:t xml:space="preserve"> C.S. §</w:t>
      </w:r>
      <w:r w:rsidR="0027737F">
        <w:rPr>
          <w:sz w:val="24"/>
          <w:szCs w:val="24"/>
        </w:rPr>
        <w:t xml:space="preserve"> </w:t>
      </w:r>
      <w:r w:rsidR="0027737F" w:rsidRPr="004056EE">
        <w:rPr>
          <w:sz w:val="24"/>
          <w:szCs w:val="24"/>
        </w:rPr>
        <w:t xml:space="preserve">1301.  The Code further mandates that no utility shall demand or receive a rate that is greater or less than that specified in its tariffs.  66 </w:t>
      </w:r>
      <w:smartTag w:uri="urn:schemas-microsoft-com:office:smarttags" w:element="place">
        <w:smartTag w:uri="urn:schemas-microsoft-com:office:smarttags" w:element="State">
          <w:r w:rsidR="0027737F" w:rsidRPr="004056EE">
            <w:rPr>
              <w:sz w:val="24"/>
              <w:szCs w:val="24"/>
            </w:rPr>
            <w:t>Pa.</w:t>
          </w:r>
        </w:smartTag>
      </w:smartTag>
      <w:r w:rsidR="0027737F" w:rsidRPr="004056EE">
        <w:rPr>
          <w:sz w:val="24"/>
          <w:szCs w:val="24"/>
        </w:rPr>
        <w:t xml:space="preserve"> C.S. §</w:t>
      </w:r>
      <w:r w:rsidR="00452F75">
        <w:rPr>
          <w:sz w:val="24"/>
          <w:szCs w:val="24"/>
        </w:rPr>
        <w:t> </w:t>
      </w:r>
      <w:r w:rsidR="0027737F" w:rsidRPr="004056EE">
        <w:rPr>
          <w:sz w:val="24"/>
          <w:szCs w:val="24"/>
        </w:rPr>
        <w:t xml:space="preserve">1303.  A utility cannot unreasonably discriminate for or against a particular customer by establishing a special rate for them.  66 </w:t>
      </w:r>
      <w:smartTag w:uri="urn:schemas-microsoft-com:office:smarttags" w:element="place">
        <w:smartTag w:uri="urn:schemas-microsoft-com:office:smarttags" w:element="State">
          <w:r w:rsidR="0027737F" w:rsidRPr="004056EE">
            <w:rPr>
              <w:sz w:val="24"/>
              <w:szCs w:val="24"/>
            </w:rPr>
            <w:t>Pa.</w:t>
          </w:r>
        </w:smartTag>
      </w:smartTag>
      <w:r w:rsidR="0027737F" w:rsidRPr="004056EE">
        <w:rPr>
          <w:sz w:val="24"/>
          <w:szCs w:val="24"/>
        </w:rPr>
        <w:t xml:space="preserve"> C.S. §</w:t>
      </w:r>
      <w:r w:rsidR="0027737F">
        <w:rPr>
          <w:sz w:val="24"/>
          <w:szCs w:val="24"/>
        </w:rPr>
        <w:t xml:space="preserve"> </w:t>
      </w:r>
      <w:r w:rsidR="0027737F" w:rsidRPr="004056EE">
        <w:rPr>
          <w:sz w:val="24"/>
          <w:szCs w:val="24"/>
        </w:rPr>
        <w:t xml:space="preserve">1304.  In summation, Respondent can only charge the rates specified in its tariff on file with the Commission.  </w:t>
      </w:r>
    </w:p>
    <w:p w:rsidR="0027737F" w:rsidRPr="004056EE" w:rsidRDefault="0027737F" w:rsidP="00A354EE">
      <w:pPr>
        <w:spacing w:line="360" w:lineRule="auto"/>
        <w:rPr>
          <w:sz w:val="24"/>
          <w:szCs w:val="24"/>
        </w:rPr>
      </w:pPr>
    </w:p>
    <w:p w:rsidR="0027737F" w:rsidRPr="004056EE" w:rsidRDefault="0027737F" w:rsidP="00A354EE">
      <w:pPr>
        <w:tabs>
          <w:tab w:val="left" w:pos="-1440"/>
          <w:tab w:val="left" w:pos="-720"/>
        </w:tabs>
        <w:suppressAutoHyphens/>
        <w:spacing w:line="360" w:lineRule="auto"/>
        <w:ind w:firstLine="1440"/>
        <w:rPr>
          <w:sz w:val="24"/>
          <w:szCs w:val="24"/>
        </w:rPr>
      </w:pPr>
      <w:r w:rsidRPr="004056EE">
        <w:rPr>
          <w:sz w:val="24"/>
          <w:szCs w:val="24"/>
        </w:rPr>
        <w:t xml:space="preserve">The provisions of a Commission approved tariff have the force of law and are binding on both the utility and its customer.  </w:t>
      </w:r>
      <w:r w:rsidRPr="00327F97">
        <w:rPr>
          <w:i/>
          <w:sz w:val="24"/>
          <w:szCs w:val="24"/>
        </w:rPr>
        <w:t xml:space="preserve">Stiteler v. Bell Telephone Co. of </w:t>
      </w:r>
      <w:smartTag w:uri="urn:schemas-microsoft-com:office:smarttags" w:element="State">
        <w:r w:rsidRPr="00327F97">
          <w:rPr>
            <w:i/>
            <w:sz w:val="24"/>
            <w:szCs w:val="24"/>
          </w:rPr>
          <w:t>Pennsylvania</w:t>
        </w:r>
      </w:smartTag>
      <w:r w:rsidRPr="00327F97">
        <w:rPr>
          <w:i/>
          <w:sz w:val="24"/>
          <w:szCs w:val="24"/>
        </w:rPr>
        <w:t>,</w:t>
      </w:r>
      <w:r w:rsidRPr="004056EE">
        <w:rPr>
          <w:sz w:val="24"/>
          <w:szCs w:val="24"/>
        </w:rPr>
        <w:t xml:space="preserve"> 379 A.2d 339</w:t>
      </w:r>
      <w:r>
        <w:rPr>
          <w:sz w:val="24"/>
          <w:szCs w:val="24"/>
        </w:rPr>
        <w:t xml:space="preserve"> </w:t>
      </w:r>
      <w:r w:rsidRPr="004056EE">
        <w:rPr>
          <w:sz w:val="24"/>
          <w:szCs w:val="24"/>
        </w:rPr>
        <w:t>(</w:t>
      </w:r>
      <w:smartTag w:uri="urn:schemas-microsoft-com:office:smarttags" w:element="State">
        <w:r w:rsidRPr="004056EE">
          <w:rPr>
            <w:sz w:val="24"/>
            <w:szCs w:val="24"/>
          </w:rPr>
          <w:t>Pa.</w:t>
        </w:r>
      </w:smartTag>
      <w:r w:rsidRPr="004056EE">
        <w:rPr>
          <w:sz w:val="24"/>
          <w:szCs w:val="24"/>
        </w:rPr>
        <w:t xml:space="preserve"> Commw. 1977), </w:t>
      </w:r>
      <w:r w:rsidRPr="00327F97">
        <w:rPr>
          <w:i/>
          <w:sz w:val="24"/>
          <w:szCs w:val="24"/>
        </w:rPr>
        <w:t>Brockway Glass Co. v. PA Public Utility Comm’n</w:t>
      </w:r>
      <w:r w:rsidRPr="004056EE">
        <w:rPr>
          <w:sz w:val="24"/>
          <w:szCs w:val="24"/>
        </w:rPr>
        <w:t>, 437 A.2d 1067</w:t>
      </w:r>
      <w:r>
        <w:rPr>
          <w:sz w:val="24"/>
          <w:szCs w:val="24"/>
        </w:rPr>
        <w:t xml:space="preserve"> </w:t>
      </w:r>
      <w:r w:rsidRPr="004056EE">
        <w:rPr>
          <w:sz w:val="24"/>
          <w:szCs w:val="24"/>
        </w:rPr>
        <w:t>(</w:t>
      </w:r>
      <w:smartTag w:uri="urn:schemas-microsoft-com:office:smarttags" w:element="State">
        <w:smartTag w:uri="urn:schemas-microsoft-com:office:smarttags" w:element="place">
          <w:r w:rsidRPr="004056EE">
            <w:rPr>
              <w:sz w:val="24"/>
              <w:szCs w:val="24"/>
            </w:rPr>
            <w:t>Pa.</w:t>
          </w:r>
        </w:smartTag>
      </w:smartTag>
      <w:r w:rsidRPr="004056EE">
        <w:rPr>
          <w:sz w:val="24"/>
          <w:szCs w:val="24"/>
        </w:rPr>
        <w:t xml:space="preserve"> Commw. 1981).  Tariff provisions approved by the Commission are </w:t>
      </w:r>
      <w:r w:rsidRPr="004056EE">
        <w:rPr>
          <w:i/>
          <w:sz w:val="24"/>
          <w:szCs w:val="24"/>
        </w:rPr>
        <w:t>prima facie</w:t>
      </w:r>
      <w:r w:rsidRPr="004056EE">
        <w:rPr>
          <w:sz w:val="24"/>
          <w:szCs w:val="24"/>
          <w:u w:val="words"/>
        </w:rPr>
        <w:t xml:space="preserve"> </w:t>
      </w:r>
      <w:r w:rsidRPr="004056EE">
        <w:rPr>
          <w:sz w:val="24"/>
          <w:szCs w:val="24"/>
        </w:rPr>
        <w:t xml:space="preserve">reasonable.  </w:t>
      </w:r>
      <w:r w:rsidRPr="00327F97">
        <w:rPr>
          <w:i/>
          <w:sz w:val="24"/>
          <w:szCs w:val="24"/>
        </w:rPr>
        <w:t>Lynch v. PA Public Utility Comm’n</w:t>
      </w:r>
      <w:r w:rsidRPr="004056EE">
        <w:rPr>
          <w:sz w:val="24"/>
          <w:szCs w:val="24"/>
        </w:rPr>
        <w:t>, 594 A.2d 816</w:t>
      </w:r>
      <w:r>
        <w:rPr>
          <w:sz w:val="24"/>
          <w:szCs w:val="24"/>
        </w:rPr>
        <w:t xml:space="preserve"> </w:t>
      </w:r>
      <w:r w:rsidRPr="004056EE">
        <w:rPr>
          <w:sz w:val="24"/>
          <w:szCs w:val="24"/>
        </w:rPr>
        <w:t xml:space="preserve">(Pa. Commw. 1991), </w:t>
      </w:r>
      <w:r w:rsidRPr="00327F97">
        <w:rPr>
          <w:i/>
          <w:sz w:val="24"/>
          <w:szCs w:val="24"/>
        </w:rPr>
        <w:t>alloc. den</w:t>
      </w:r>
      <w:r w:rsidRPr="004056EE">
        <w:rPr>
          <w:sz w:val="24"/>
          <w:szCs w:val="24"/>
        </w:rPr>
        <w:t>. 605 A.2d 335</w:t>
      </w:r>
      <w:r>
        <w:rPr>
          <w:sz w:val="24"/>
          <w:szCs w:val="24"/>
        </w:rPr>
        <w:t xml:space="preserve"> </w:t>
      </w:r>
      <w:r w:rsidRPr="004056EE">
        <w:rPr>
          <w:sz w:val="24"/>
          <w:szCs w:val="24"/>
        </w:rPr>
        <w:t>(</w:t>
      </w:r>
      <w:smartTag w:uri="urn:schemas-microsoft-com:office:smarttags" w:element="State">
        <w:smartTag w:uri="urn:schemas-microsoft-com:office:smarttags" w:element="place">
          <w:r w:rsidRPr="004056EE">
            <w:rPr>
              <w:sz w:val="24"/>
              <w:szCs w:val="24"/>
            </w:rPr>
            <w:t>Pa.</w:t>
          </w:r>
        </w:smartTag>
      </w:smartTag>
      <w:r w:rsidRPr="004056EE">
        <w:rPr>
          <w:sz w:val="24"/>
          <w:szCs w:val="24"/>
        </w:rPr>
        <w:t xml:space="preserve"> 1992).  </w:t>
      </w:r>
    </w:p>
    <w:p w:rsidR="00E04B12" w:rsidRDefault="00E04B12" w:rsidP="00A354EE">
      <w:pPr>
        <w:spacing w:line="360" w:lineRule="auto"/>
        <w:ind w:firstLine="1440"/>
        <w:rPr>
          <w:sz w:val="24"/>
          <w:szCs w:val="24"/>
        </w:rPr>
      </w:pPr>
    </w:p>
    <w:p w:rsidR="00E87284" w:rsidRDefault="00E87284" w:rsidP="00A354EE">
      <w:pPr>
        <w:spacing w:line="360" w:lineRule="auto"/>
        <w:ind w:firstLine="1440"/>
        <w:rPr>
          <w:sz w:val="24"/>
          <w:szCs w:val="24"/>
        </w:rPr>
      </w:pPr>
      <w:r>
        <w:rPr>
          <w:sz w:val="24"/>
          <w:szCs w:val="24"/>
        </w:rPr>
        <w:t xml:space="preserve">The Respondent’s tariff states that “[t]he rate </w:t>
      </w:r>
      <w:r w:rsidR="006B3080">
        <w:rPr>
          <w:sz w:val="24"/>
          <w:szCs w:val="24"/>
        </w:rPr>
        <w:t>for</w:t>
      </w:r>
      <w:r>
        <w:rPr>
          <w:sz w:val="24"/>
          <w:szCs w:val="24"/>
        </w:rPr>
        <w:t xml:space="preserve"> all wastewater service shall be measured by metered water usage and charged at the rate of twenty-one dollars and </w:t>
      </w:r>
      <w:r w:rsidR="006B3080">
        <w:rPr>
          <w:sz w:val="24"/>
          <w:szCs w:val="24"/>
        </w:rPr>
        <w:t>thirty</w:t>
      </w:r>
      <w:r>
        <w:rPr>
          <w:sz w:val="24"/>
          <w:szCs w:val="24"/>
        </w:rPr>
        <w:t>-seven cents ($21.37) per one thousand (1,000) gallons for the first fifty thousand (50,000) gallons and eleven dollars and fifty-nine cents ($11.59) thereafter.”  (Tariff at First Revised Page 3).</w:t>
      </w:r>
      <w:r w:rsidR="002F2938">
        <w:rPr>
          <w:sz w:val="24"/>
          <w:szCs w:val="24"/>
        </w:rPr>
        <w:t xml:space="preserve">  This rate is binding on both the Respondent and the Complainant.  </w:t>
      </w:r>
      <w:r w:rsidR="00300618">
        <w:rPr>
          <w:sz w:val="24"/>
          <w:szCs w:val="24"/>
        </w:rPr>
        <w:t xml:space="preserve">The Complainant’s request for relief cannot be accommodated as it would be against the </w:t>
      </w:r>
      <w:r w:rsidR="00E307E2">
        <w:rPr>
          <w:sz w:val="24"/>
          <w:szCs w:val="24"/>
        </w:rPr>
        <w:t xml:space="preserve">Respondent’s approved </w:t>
      </w:r>
      <w:r w:rsidR="00300618">
        <w:rPr>
          <w:sz w:val="24"/>
          <w:szCs w:val="24"/>
        </w:rPr>
        <w:t>tariff and thus illegal.  Furthermore, t</w:t>
      </w:r>
      <w:r w:rsidR="002F2938">
        <w:rPr>
          <w:sz w:val="24"/>
          <w:szCs w:val="24"/>
        </w:rPr>
        <w:t xml:space="preserve">here is no provision that allows the Respondent to treat the Complainant </w:t>
      </w:r>
      <w:r w:rsidR="002F2938">
        <w:rPr>
          <w:sz w:val="24"/>
          <w:szCs w:val="24"/>
        </w:rPr>
        <w:lastRenderedPageBreak/>
        <w:t xml:space="preserve">different than another </w:t>
      </w:r>
      <w:r w:rsidR="00300618">
        <w:rPr>
          <w:sz w:val="24"/>
          <w:szCs w:val="24"/>
        </w:rPr>
        <w:t>customer;</w:t>
      </w:r>
      <w:r w:rsidR="002F2938">
        <w:rPr>
          <w:sz w:val="24"/>
          <w:szCs w:val="24"/>
        </w:rPr>
        <w:t xml:space="preserve"> therefore, th</w:t>
      </w:r>
      <w:r w:rsidR="00107C51">
        <w:rPr>
          <w:sz w:val="24"/>
          <w:szCs w:val="24"/>
        </w:rPr>
        <w:t>ese consolidated</w:t>
      </w:r>
      <w:r w:rsidR="002F2938">
        <w:rPr>
          <w:sz w:val="24"/>
          <w:szCs w:val="24"/>
        </w:rPr>
        <w:t xml:space="preserve"> Formal Complaint</w:t>
      </w:r>
      <w:r w:rsidR="00107C51">
        <w:rPr>
          <w:sz w:val="24"/>
          <w:szCs w:val="24"/>
        </w:rPr>
        <w:t>s</w:t>
      </w:r>
      <w:r w:rsidR="002F2938">
        <w:rPr>
          <w:sz w:val="24"/>
          <w:szCs w:val="24"/>
        </w:rPr>
        <w:t xml:space="preserve"> must be dismissed.</w:t>
      </w:r>
    </w:p>
    <w:p w:rsidR="00A354EE" w:rsidRDefault="00A354EE" w:rsidP="00A354EE">
      <w:pPr>
        <w:spacing w:line="360" w:lineRule="auto"/>
        <w:rPr>
          <w:sz w:val="24"/>
          <w:szCs w:val="24"/>
        </w:rPr>
      </w:pPr>
    </w:p>
    <w:p w:rsidR="00C419F9" w:rsidRDefault="00FC4DD1" w:rsidP="00A354EE">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A354EE">
      <w:pPr>
        <w:spacing w:line="360" w:lineRule="auto"/>
        <w:jc w:val="center"/>
        <w:rPr>
          <w:sz w:val="24"/>
          <w:szCs w:val="24"/>
          <w:u w:val="single"/>
        </w:rPr>
      </w:pPr>
    </w:p>
    <w:p w:rsidR="00382B1A" w:rsidRPr="007934E4" w:rsidRDefault="00382B1A" w:rsidP="00A354EE">
      <w:pPr>
        <w:tabs>
          <w:tab w:val="left" w:pos="2160"/>
        </w:tabs>
        <w:spacing w:line="360" w:lineRule="auto"/>
        <w:ind w:firstLine="1440"/>
        <w:rPr>
          <w:sz w:val="24"/>
          <w:szCs w:val="24"/>
        </w:rPr>
      </w:pPr>
      <w:r w:rsidRPr="007934E4">
        <w:rPr>
          <w:sz w:val="24"/>
          <w:szCs w:val="24"/>
        </w:rPr>
        <w:t>1.</w:t>
      </w:r>
      <w:r w:rsidRPr="007934E4">
        <w:rPr>
          <w:sz w:val="24"/>
          <w:szCs w:val="24"/>
        </w:rPr>
        <w:tab/>
        <w:t>The Commission has jurisdiction over the subject matter and parties to this Complaint.  66 Pa. C.S. §</w:t>
      </w:r>
      <w:r>
        <w:rPr>
          <w:sz w:val="24"/>
          <w:szCs w:val="24"/>
        </w:rPr>
        <w:t xml:space="preserve"> </w:t>
      </w:r>
      <w:r w:rsidRPr="007934E4">
        <w:rPr>
          <w:sz w:val="24"/>
          <w:szCs w:val="24"/>
        </w:rPr>
        <w:t>701.</w:t>
      </w:r>
    </w:p>
    <w:p w:rsidR="00382B1A" w:rsidRPr="007934E4" w:rsidRDefault="00382B1A" w:rsidP="00A354EE">
      <w:pPr>
        <w:tabs>
          <w:tab w:val="left" w:pos="2160"/>
        </w:tabs>
        <w:spacing w:line="360" w:lineRule="auto"/>
        <w:ind w:firstLine="1440"/>
        <w:rPr>
          <w:sz w:val="24"/>
          <w:szCs w:val="24"/>
        </w:rPr>
      </w:pPr>
    </w:p>
    <w:p w:rsidR="00382B1A" w:rsidRDefault="00382B1A" w:rsidP="00A354EE">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C1140C">
        <w:rPr>
          <w:sz w:val="24"/>
          <w:szCs w:val="24"/>
        </w:rPr>
        <w:t>Complainant</w:t>
      </w:r>
      <w:r w:rsidRPr="007934E4">
        <w:rPr>
          <w:sz w:val="24"/>
          <w:szCs w:val="24"/>
        </w:rPr>
        <w:t xml:space="preserve"> </w:t>
      </w:r>
      <w:r w:rsidR="002F2938">
        <w:rPr>
          <w:sz w:val="24"/>
          <w:szCs w:val="24"/>
        </w:rPr>
        <w:t>Jeffrey Kintner</w:t>
      </w:r>
      <w:r w:rsidRPr="007934E4">
        <w:rPr>
          <w:sz w:val="24"/>
          <w:szCs w:val="24"/>
        </w:rPr>
        <w:t>, bears the burden of proof.  66 Pa. C.S. §</w:t>
      </w:r>
      <w:r>
        <w:rPr>
          <w:sz w:val="24"/>
          <w:szCs w:val="24"/>
        </w:rPr>
        <w:t xml:space="preserve"> </w:t>
      </w:r>
      <w:r w:rsidRPr="007934E4">
        <w:rPr>
          <w:sz w:val="24"/>
          <w:szCs w:val="24"/>
        </w:rPr>
        <w:t>332(a).</w:t>
      </w:r>
    </w:p>
    <w:p w:rsidR="002F2938" w:rsidRDefault="002F2938" w:rsidP="00A354EE">
      <w:pPr>
        <w:tabs>
          <w:tab w:val="left" w:pos="2160"/>
        </w:tabs>
        <w:spacing w:line="360" w:lineRule="auto"/>
        <w:ind w:firstLine="1440"/>
        <w:rPr>
          <w:sz w:val="24"/>
          <w:szCs w:val="24"/>
        </w:rPr>
      </w:pPr>
    </w:p>
    <w:p w:rsidR="002F2938" w:rsidRDefault="002F2938" w:rsidP="00A354EE">
      <w:pPr>
        <w:tabs>
          <w:tab w:val="left" w:pos="2160"/>
        </w:tabs>
        <w:spacing w:line="360" w:lineRule="auto"/>
        <w:ind w:firstLine="1440"/>
        <w:rPr>
          <w:sz w:val="24"/>
          <w:szCs w:val="24"/>
        </w:rPr>
      </w:pPr>
      <w:r>
        <w:rPr>
          <w:sz w:val="24"/>
          <w:szCs w:val="24"/>
        </w:rPr>
        <w:t>3.</w:t>
      </w:r>
      <w:r>
        <w:rPr>
          <w:sz w:val="24"/>
          <w:szCs w:val="24"/>
        </w:rPr>
        <w:tab/>
        <w:t xml:space="preserve">The Respondent’s tariff is binding on both the Respondent and the Complainant.  </w:t>
      </w:r>
      <w:r w:rsidRPr="00327F97">
        <w:rPr>
          <w:i/>
          <w:sz w:val="24"/>
          <w:szCs w:val="24"/>
        </w:rPr>
        <w:t xml:space="preserve">Stiteler v. Bell Telephone Co. of </w:t>
      </w:r>
      <w:smartTag w:uri="urn:schemas-microsoft-com:office:smarttags" w:element="State">
        <w:r w:rsidRPr="00327F97">
          <w:rPr>
            <w:i/>
            <w:sz w:val="24"/>
            <w:szCs w:val="24"/>
          </w:rPr>
          <w:t>Pennsylvania</w:t>
        </w:r>
      </w:smartTag>
      <w:r w:rsidRPr="00327F97">
        <w:rPr>
          <w:i/>
          <w:sz w:val="24"/>
          <w:szCs w:val="24"/>
        </w:rPr>
        <w:t>,</w:t>
      </w:r>
      <w:r w:rsidRPr="004056EE">
        <w:rPr>
          <w:sz w:val="24"/>
          <w:szCs w:val="24"/>
        </w:rPr>
        <w:t xml:space="preserve"> 379 A.2d 339</w:t>
      </w:r>
      <w:r>
        <w:rPr>
          <w:sz w:val="24"/>
          <w:szCs w:val="24"/>
        </w:rPr>
        <w:t xml:space="preserve"> </w:t>
      </w:r>
      <w:r w:rsidRPr="004056EE">
        <w:rPr>
          <w:sz w:val="24"/>
          <w:szCs w:val="24"/>
        </w:rPr>
        <w:t>(</w:t>
      </w:r>
      <w:smartTag w:uri="urn:schemas-microsoft-com:office:smarttags" w:element="State">
        <w:r w:rsidRPr="004056EE">
          <w:rPr>
            <w:sz w:val="24"/>
            <w:szCs w:val="24"/>
          </w:rPr>
          <w:t>Pa.</w:t>
        </w:r>
      </w:smartTag>
      <w:r w:rsidRPr="004056EE">
        <w:rPr>
          <w:sz w:val="24"/>
          <w:szCs w:val="24"/>
        </w:rPr>
        <w:t xml:space="preserve"> Commw. 1977), </w:t>
      </w:r>
      <w:r w:rsidRPr="00327F97">
        <w:rPr>
          <w:i/>
          <w:sz w:val="24"/>
          <w:szCs w:val="24"/>
        </w:rPr>
        <w:t>Brockway Glass Co. v. PA Public Utility Comm’n</w:t>
      </w:r>
      <w:r w:rsidRPr="004056EE">
        <w:rPr>
          <w:sz w:val="24"/>
          <w:szCs w:val="24"/>
        </w:rPr>
        <w:t>, 437 A.2d 1067</w:t>
      </w:r>
      <w:r>
        <w:rPr>
          <w:sz w:val="24"/>
          <w:szCs w:val="24"/>
        </w:rPr>
        <w:t xml:space="preserve"> </w:t>
      </w:r>
      <w:r w:rsidRPr="004056EE">
        <w:rPr>
          <w:sz w:val="24"/>
          <w:szCs w:val="24"/>
        </w:rPr>
        <w:t>(</w:t>
      </w:r>
      <w:smartTag w:uri="urn:schemas-microsoft-com:office:smarttags" w:element="State">
        <w:smartTag w:uri="urn:schemas-microsoft-com:office:smarttags" w:element="place">
          <w:r w:rsidRPr="004056EE">
            <w:rPr>
              <w:sz w:val="24"/>
              <w:szCs w:val="24"/>
            </w:rPr>
            <w:t>Pa.</w:t>
          </w:r>
        </w:smartTag>
      </w:smartTag>
      <w:r w:rsidRPr="004056EE">
        <w:rPr>
          <w:sz w:val="24"/>
          <w:szCs w:val="24"/>
        </w:rPr>
        <w:t xml:space="preserve"> Commw. 1981).</w:t>
      </w:r>
    </w:p>
    <w:p w:rsidR="002F2938" w:rsidRDefault="002F2938" w:rsidP="00A354EE">
      <w:pPr>
        <w:tabs>
          <w:tab w:val="left" w:pos="2160"/>
        </w:tabs>
        <w:spacing w:line="360" w:lineRule="auto"/>
        <w:ind w:firstLine="1440"/>
        <w:rPr>
          <w:sz w:val="24"/>
          <w:szCs w:val="24"/>
        </w:rPr>
      </w:pPr>
    </w:p>
    <w:p w:rsidR="00940F93" w:rsidRDefault="002F2938" w:rsidP="00A354EE">
      <w:pPr>
        <w:tabs>
          <w:tab w:val="left" w:pos="2160"/>
        </w:tabs>
        <w:spacing w:line="360" w:lineRule="auto"/>
        <w:ind w:firstLine="1440"/>
        <w:rPr>
          <w:sz w:val="24"/>
          <w:szCs w:val="24"/>
        </w:rPr>
      </w:pPr>
      <w:r>
        <w:rPr>
          <w:sz w:val="24"/>
          <w:szCs w:val="24"/>
        </w:rPr>
        <w:t>4.</w:t>
      </w:r>
      <w:r>
        <w:rPr>
          <w:sz w:val="24"/>
          <w:szCs w:val="24"/>
        </w:rPr>
        <w:tab/>
      </w:r>
      <w:r w:rsidR="00940F93">
        <w:rPr>
          <w:sz w:val="24"/>
          <w:szCs w:val="24"/>
        </w:rPr>
        <w:t>The rate Respondent is charging the Complainant for sewage service is the correct rate under the Respondent’s tariff.</w:t>
      </w:r>
    </w:p>
    <w:p w:rsidR="00940F93" w:rsidRDefault="00940F93" w:rsidP="00A354EE">
      <w:pPr>
        <w:tabs>
          <w:tab w:val="left" w:pos="2160"/>
        </w:tabs>
        <w:spacing w:line="360" w:lineRule="auto"/>
        <w:ind w:firstLine="1440"/>
        <w:rPr>
          <w:sz w:val="24"/>
          <w:szCs w:val="24"/>
        </w:rPr>
      </w:pPr>
    </w:p>
    <w:p w:rsidR="002F2938" w:rsidRDefault="00940F93" w:rsidP="00A354EE">
      <w:pPr>
        <w:tabs>
          <w:tab w:val="left" w:pos="2160"/>
        </w:tabs>
        <w:spacing w:line="360" w:lineRule="auto"/>
        <w:ind w:firstLine="1440"/>
        <w:rPr>
          <w:sz w:val="24"/>
          <w:szCs w:val="24"/>
        </w:rPr>
      </w:pPr>
      <w:r>
        <w:rPr>
          <w:sz w:val="24"/>
          <w:szCs w:val="24"/>
        </w:rPr>
        <w:t>5.</w:t>
      </w:r>
      <w:r>
        <w:rPr>
          <w:sz w:val="24"/>
          <w:szCs w:val="24"/>
        </w:rPr>
        <w:tab/>
      </w:r>
      <w:r w:rsidR="002F2938">
        <w:rPr>
          <w:sz w:val="24"/>
          <w:szCs w:val="24"/>
        </w:rPr>
        <w:t>The Complainant failed to meet his burden of proof.</w:t>
      </w:r>
    </w:p>
    <w:p w:rsidR="00C419F9" w:rsidRDefault="00C419F9" w:rsidP="00A354EE">
      <w:pPr>
        <w:spacing w:line="360" w:lineRule="auto"/>
        <w:rPr>
          <w:sz w:val="24"/>
          <w:szCs w:val="24"/>
          <w:u w:val="single"/>
        </w:rPr>
      </w:pPr>
    </w:p>
    <w:p w:rsidR="009649FC" w:rsidRDefault="009649FC" w:rsidP="00A354EE">
      <w:pPr>
        <w:spacing w:line="360" w:lineRule="auto"/>
        <w:jc w:val="center"/>
        <w:rPr>
          <w:sz w:val="24"/>
          <w:szCs w:val="24"/>
          <w:u w:val="single"/>
        </w:rPr>
      </w:pPr>
      <w:r w:rsidRPr="009649FC">
        <w:rPr>
          <w:sz w:val="24"/>
          <w:szCs w:val="24"/>
          <w:u w:val="single"/>
        </w:rPr>
        <w:t>ORDER</w:t>
      </w:r>
    </w:p>
    <w:p w:rsidR="006C1047" w:rsidRDefault="006C1047" w:rsidP="00A354EE">
      <w:pPr>
        <w:spacing w:line="360" w:lineRule="auto"/>
        <w:jc w:val="center"/>
        <w:rPr>
          <w:sz w:val="24"/>
          <w:szCs w:val="24"/>
          <w:u w:val="single"/>
        </w:rPr>
      </w:pPr>
    </w:p>
    <w:p w:rsidR="009649FC" w:rsidRPr="009649FC" w:rsidRDefault="009649FC" w:rsidP="00A354EE">
      <w:pPr>
        <w:spacing w:line="360" w:lineRule="auto"/>
        <w:jc w:val="center"/>
        <w:rPr>
          <w:sz w:val="24"/>
          <w:szCs w:val="24"/>
          <w:u w:val="single"/>
        </w:rPr>
      </w:pPr>
    </w:p>
    <w:p w:rsidR="00DE562E" w:rsidRDefault="00DE562E" w:rsidP="00A354EE">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A354EE">
      <w:pPr>
        <w:spacing w:line="360" w:lineRule="auto"/>
        <w:rPr>
          <w:b/>
          <w:sz w:val="24"/>
          <w:szCs w:val="24"/>
        </w:rPr>
      </w:pPr>
    </w:p>
    <w:p w:rsidR="00DE562E" w:rsidRDefault="00DE562E" w:rsidP="00A354EE">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FE6157" w:rsidRDefault="00FE6157" w:rsidP="00A354EE">
      <w:pPr>
        <w:spacing w:line="360" w:lineRule="auto"/>
        <w:ind w:firstLine="1440"/>
        <w:rPr>
          <w:b/>
          <w:sz w:val="24"/>
          <w:szCs w:val="24"/>
        </w:rPr>
      </w:pPr>
    </w:p>
    <w:p w:rsidR="002D554B" w:rsidRDefault="002F2938" w:rsidP="00A354EE">
      <w:pPr>
        <w:numPr>
          <w:ilvl w:val="0"/>
          <w:numId w:val="15"/>
        </w:numPr>
        <w:tabs>
          <w:tab w:val="clear" w:pos="2160"/>
        </w:tabs>
        <w:spacing w:line="360" w:lineRule="auto"/>
        <w:ind w:left="0" w:firstLine="1440"/>
        <w:rPr>
          <w:sz w:val="24"/>
          <w:szCs w:val="24"/>
        </w:rPr>
      </w:pPr>
      <w:r>
        <w:rPr>
          <w:sz w:val="24"/>
          <w:szCs w:val="24"/>
        </w:rPr>
        <w:t xml:space="preserve">That the </w:t>
      </w:r>
      <w:r w:rsidR="00107C51">
        <w:rPr>
          <w:sz w:val="24"/>
          <w:szCs w:val="24"/>
        </w:rPr>
        <w:t xml:space="preserve">consolidated </w:t>
      </w:r>
      <w:r>
        <w:rPr>
          <w:sz w:val="24"/>
          <w:szCs w:val="24"/>
        </w:rPr>
        <w:t>Formal Complaint</w:t>
      </w:r>
      <w:r w:rsidR="00107C51">
        <w:rPr>
          <w:sz w:val="24"/>
          <w:szCs w:val="24"/>
        </w:rPr>
        <w:t>s</w:t>
      </w:r>
      <w:r>
        <w:rPr>
          <w:sz w:val="24"/>
          <w:szCs w:val="24"/>
        </w:rPr>
        <w:t xml:space="preserve"> of Jeffrey Kintner at Docket Nos. C-2009-2108412 and C-2009-2108545 </w:t>
      </w:r>
      <w:r w:rsidR="00107C51">
        <w:rPr>
          <w:sz w:val="24"/>
          <w:szCs w:val="24"/>
        </w:rPr>
        <w:t>are</w:t>
      </w:r>
      <w:r>
        <w:rPr>
          <w:sz w:val="24"/>
          <w:szCs w:val="24"/>
        </w:rPr>
        <w:t xml:space="preserve"> dismissed.</w:t>
      </w:r>
    </w:p>
    <w:p w:rsidR="00A354EE" w:rsidRDefault="00A354EE" w:rsidP="00A354EE">
      <w:pPr>
        <w:spacing w:line="360" w:lineRule="auto"/>
        <w:ind w:left="1440"/>
        <w:rPr>
          <w:sz w:val="24"/>
          <w:szCs w:val="24"/>
        </w:rPr>
      </w:pPr>
    </w:p>
    <w:p w:rsidR="00A354EE" w:rsidRDefault="00A354EE" w:rsidP="00A354EE">
      <w:pPr>
        <w:spacing w:line="360" w:lineRule="auto"/>
        <w:ind w:left="2160"/>
        <w:rPr>
          <w:sz w:val="24"/>
          <w:szCs w:val="24"/>
        </w:rPr>
      </w:pPr>
    </w:p>
    <w:p w:rsidR="00A354EE" w:rsidRDefault="002F2938" w:rsidP="00A354EE">
      <w:pPr>
        <w:numPr>
          <w:ilvl w:val="0"/>
          <w:numId w:val="15"/>
        </w:numPr>
        <w:tabs>
          <w:tab w:val="clear" w:pos="2160"/>
        </w:tabs>
        <w:spacing w:line="360" w:lineRule="auto"/>
        <w:ind w:left="0" w:firstLine="1440"/>
        <w:rPr>
          <w:sz w:val="24"/>
          <w:szCs w:val="24"/>
        </w:rPr>
      </w:pPr>
      <w:r>
        <w:rPr>
          <w:sz w:val="24"/>
          <w:szCs w:val="24"/>
        </w:rPr>
        <w:lastRenderedPageBreak/>
        <w:t xml:space="preserve">That the </w:t>
      </w:r>
      <w:r w:rsidR="00940F93">
        <w:rPr>
          <w:sz w:val="24"/>
          <w:szCs w:val="24"/>
        </w:rPr>
        <w:t>Secretary’s</w:t>
      </w:r>
      <w:r>
        <w:rPr>
          <w:sz w:val="24"/>
          <w:szCs w:val="24"/>
        </w:rPr>
        <w:t xml:space="preserve"> Bureau mark Docket Nos.</w:t>
      </w:r>
      <w:r w:rsidRPr="002F2938">
        <w:rPr>
          <w:sz w:val="24"/>
          <w:szCs w:val="24"/>
        </w:rPr>
        <w:t xml:space="preserve"> </w:t>
      </w:r>
      <w:r>
        <w:rPr>
          <w:sz w:val="24"/>
          <w:szCs w:val="24"/>
        </w:rPr>
        <w:t xml:space="preserve">C-2009-2108412 and </w:t>
      </w:r>
    </w:p>
    <w:p w:rsidR="002F2938" w:rsidRDefault="002F2938" w:rsidP="00A354EE">
      <w:pPr>
        <w:spacing w:line="360" w:lineRule="auto"/>
        <w:rPr>
          <w:sz w:val="24"/>
          <w:szCs w:val="24"/>
        </w:rPr>
      </w:pPr>
      <w:r>
        <w:rPr>
          <w:sz w:val="24"/>
          <w:szCs w:val="24"/>
        </w:rPr>
        <w:t>C-2009-2108545 closed.</w:t>
      </w:r>
    </w:p>
    <w:p w:rsidR="00CE68C6" w:rsidRDefault="00CE68C6" w:rsidP="00A354EE">
      <w:pPr>
        <w:spacing w:line="360" w:lineRule="auto"/>
        <w:rPr>
          <w:sz w:val="24"/>
          <w:szCs w:val="24"/>
        </w:rPr>
      </w:pPr>
    </w:p>
    <w:p w:rsidR="00BB3104" w:rsidRDefault="00BB3104" w:rsidP="00A354EE">
      <w:pPr>
        <w:spacing w:line="360" w:lineRule="auto"/>
        <w:rPr>
          <w:sz w:val="24"/>
          <w:szCs w:val="24"/>
        </w:rPr>
      </w:pPr>
    </w:p>
    <w:p w:rsidR="001F7F73" w:rsidRDefault="00DE562E" w:rsidP="00A354EE">
      <w:pPr>
        <w:jc w:val="both"/>
        <w:rPr>
          <w:sz w:val="24"/>
          <w:szCs w:val="24"/>
        </w:rPr>
      </w:pPr>
      <w:r w:rsidRPr="00DE562E">
        <w:rPr>
          <w:sz w:val="24"/>
          <w:szCs w:val="24"/>
        </w:rPr>
        <w:t>Date:</w:t>
      </w:r>
      <w:r w:rsidRPr="00DE562E">
        <w:rPr>
          <w:sz w:val="24"/>
          <w:szCs w:val="24"/>
        </w:rPr>
        <w:tab/>
      </w:r>
      <w:r w:rsidR="002F2938">
        <w:rPr>
          <w:sz w:val="24"/>
          <w:szCs w:val="24"/>
          <w:u w:val="single"/>
        </w:rPr>
        <w:t>June 17, 2010</w:t>
      </w:r>
      <w:r w:rsidR="002F2938">
        <w:rPr>
          <w:sz w:val="24"/>
          <w:szCs w:val="24"/>
          <w:u w:val="single"/>
        </w:rPr>
        <w:tab/>
      </w:r>
      <w:r w:rsidR="001F7F73">
        <w:rPr>
          <w:sz w:val="24"/>
          <w:szCs w:val="24"/>
        </w:rPr>
        <w:tab/>
      </w:r>
      <w:r w:rsidR="001F7F73">
        <w:rPr>
          <w:sz w:val="24"/>
          <w:szCs w:val="24"/>
        </w:rPr>
        <w:tab/>
      </w:r>
      <w:r w:rsidR="001F7F73">
        <w:rPr>
          <w:sz w:val="24"/>
          <w:szCs w:val="24"/>
        </w:rPr>
        <w:tab/>
      </w:r>
      <w:r w:rsidR="001F7F73">
        <w:rPr>
          <w:sz w:val="24"/>
          <w:szCs w:val="24"/>
        </w:rPr>
        <w:tab/>
        <w:t>_________________________________</w:t>
      </w:r>
    </w:p>
    <w:p w:rsidR="00DE562E" w:rsidRPr="00DE562E" w:rsidRDefault="001F7F73" w:rsidP="00A354E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p>
    <w:p w:rsidR="006034D3" w:rsidRDefault="00DE562E" w:rsidP="00A354EE">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p w:rsidR="00597E79" w:rsidRDefault="00597E79" w:rsidP="00597E79">
      <w:pPr>
        <w:tabs>
          <w:tab w:val="center" w:pos="4752"/>
        </w:tabs>
        <w:suppressAutoHyphens/>
        <w:rPr>
          <w:b/>
          <w:kern w:val="1"/>
        </w:rPr>
      </w:pPr>
      <w:r>
        <w:rPr>
          <w:sz w:val="24"/>
          <w:szCs w:val="24"/>
        </w:rPr>
        <w:br w:type="page"/>
      </w:r>
      <w:smartTag w:uri="urn:schemas-microsoft-com:office:smarttags" w:element="State">
        <w:smartTag w:uri="urn:schemas-microsoft-com:office:smarttags" w:element="place">
          <w:smartTag w:uri="urn:schemas-microsoft-com:office:smarttags" w:element="PostalCode">
            <w:r>
              <w:rPr>
                <w:b/>
                <w:kern w:val="1"/>
              </w:rPr>
              <w:lastRenderedPageBreak/>
              <w:t>PENNSYLVANIA</w:t>
            </w:r>
          </w:smartTag>
        </w:smartTag>
      </w:smartTag>
      <w:r>
        <w:rPr>
          <w:b/>
          <w:kern w:val="1"/>
        </w:rPr>
        <w:t xml:space="preserve"> PUBLIC UTILITY COMMISSION</w:t>
      </w:r>
    </w:p>
    <w:p w:rsidR="00597E79" w:rsidRDefault="00597E79" w:rsidP="00597E79">
      <w:pPr>
        <w:tabs>
          <w:tab w:val="center" w:pos="4752"/>
        </w:tabs>
        <w:suppressAutoHyphens/>
        <w:rPr>
          <w:kern w:val="1"/>
        </w:rPr>
      </w:pPr>
      <w:r>
        <w:rPr>
          <w:b/>
          <w:kern w:val="1"/>
        </w:rPr>
        <w:tab/>
        <w:t>Uniform Cover and Calendar Sheet</w:t>
      </w:r>
    </w:p>
    <w:tbl>
      <w:tblPr>
        <w:tblW w:w="0" w:type="auto"/>
        <w:jc w:val="center"/>
        <w:tblBorders>
          <w:top w:val="double" w:sz="4" w:space="0" w:color="auto"/>
          <w:bottom w:val="single" w:sz="4" w:space="0" w:color="auto"/>
          <w:insideH w:val="single" w:sz="6" w:space="0" w:color="auto"/>
          <w:insideV w:val="single" w:sz="6" w:space="0" w:color="auto"/>
        </w:tblBorders>
        <w:tblLayout w:type="fixed"/>
        <w:tblCellMar>
          <w:left w:w="120" w:type="dxa"/>
          <w:right w:w="120" w:type="dxa"/>
        </w:tblCellMar>
        <w:tblLook w:val="0000"/>
      </w:tblPr>
      <w:tblGrid>
        <w:gridCol w:w="5110"/>
        <w:gridCol w:w="4394"/>
      </w:tblGrid>
      <w:tr w:rsidR="00597E79" w:rsidTr="00681D11">
        <w:trPr>
          <w:jc w:val="center"/>
        </w:trPr>
        <w:tc>
          <w:tcPr>
            <w:tcW w:w="5110" w:type="dxa"/>
          </w:tcPr>
          <w:p w:rsidR="00597E79" w:rsidRDefault="00597E79" w:rsidP="00681D11">
            <w:pPr>
              <w:tabs>
                <w:tab w:val="left" w:pos="-1440"/>
                <w:tab w:val="left" w:pos="-720"/>
                <w:tab w:val="left" w:pos="0"/>
                <w:tab w:val="left" w:pos="432"/>
                <w:tab w:val="left" w:pos="576"/>
                <w:tab w:val="left" w:pos="1440"/>
                <w:tab w:val="left" w:pos="2086"/>
                <w:tab w:val="left" w:pos="2880"/>
              </w:tabs>
              <w:suppressAutoHyphens/>
              <w:spacing w:before="90"/>
              <w:rPr>
                <w:kern w:val="1"/>
              </w:rPr>
            </w:pPr>
            <w:r>
              <w:rPr>
                <w:b/>
                <w:kern w:val="1"/>
              </w:rPr>
              <w:t>1.</w:t>
            </w:r>
            <w:r>
              <w:rPr>
                <w:b/>
                <w:kern w:val="1"/>
              </w:rPr>
              <w:tab/>
            </w:r>
            <w:r w:rsidRPr="007963D9">
              <w:rPr>
                <w:b/>
                <w:kern w:val="1"/>
                <w:u w:val="single"/>
              </w:rPr>
              <w:t>REPORT DATE</w:t>
            </w:r>
            <w:r>
              <w:rPr>
                <w:b/>
                <w:kern w:val="1"/>
              </w:rPr>
              <w:t>:</w:t>
            </w:r>
          </w:p>
          <w:p w:rsidR="00597E79" w:rsidRDefault="00597E79" w:rsidP="00681D11">
            <w:pPr>
              <w:tabs>
                <w:tab w:val="left" w:pos="-1440"/>
                <w:tab w:val="left" w:pos="-720"/>
                <w:tab w:val="left" w:pos="0"/>
                <w:tab w:val="left" w:pos="432"/>
                <w:tab w:val="left" w:pos="576"/>
                <w:tab w:val="left" w:pos="1440"/>
                <w:tab w:val="left" w:pos="2086"/>
                <w:tab w:val="left" w:pos="2880"/>
              </w:tabs>
              <w:suppressAutoHyphens/>
              <w:spacing w:after="54"/>
              <w:rPr>
                <w:kern w:val="1"/>
              </w:rPr>
            </w:pPr>
            <w:r>
              <w:rPr>
                <w:kern w:val="1"/>
              </w:rPr>
              <w:tab/>
              <w:t>+</w:t>
            </w:r>
          </w:p>
        </w:tc>
        <w:tc>
          <w:tcPr>
            <w:tcW w:w="4394" w:type="dxa"/>
            <w:vMerge w:val="restart"/>
          </w:tcPr>
          <w:p w:rsidR="00597E79" w:rsidRDefault="00597E79" w:rsidP="00681D11">
            <w:pPr>
              <w:tabs>
                <w:tab w:val="left" w:pos="-1440"/>
                <w:tab w:val="left" w:pos="-720"/>
                <w:tab w:val="left" w:pos="0"/>
                <w:tab w:val="left" w:pos="432"/>
                <w:tab w:val="left" w:pos="576"/>
                <w:tab w:val="left" w:pos="1440"/>
                <w:tab w:val="left" w:pos="2086"/>
                <w:tab w:val="left" w:pos="2880"/>
              </w:tabs>
              <w:suppressAutoHyphens/>
              <w:spacing w:before="90"/>
              <w:rPr>
                <w:kern w:val="1"/>
                <w:u w:val="single"/>
              </w:rPr>
            </w:pPr>
            <w:r>
              <w:rPr>
                <w:b/>
                <w:kern w:val="1"/>
              </w:rPr>
              <w:t>2.</w:t>
            </w:r>
            <w:r>
              <w:rPr>
                <w:b/>
                <w:kern w:val="1"/>
              </w:rPr>
              <w:tab/>
            </w:r>
            <w:r>
              <w:rPr>
                <w:b/>
                <w:kern w:val="1"/>
                <w:u w:val="single"/>
              </w:rPr>
              <w:t>BUREAU AGENDA NO.</w:t>
            </w:r>
          </w:p>
          <w:p w:rsidR="00597E79" w:rsidRDefault="00597E79" w:rsidP="00681D11">
            <w:pPr>
              <w:tabs>
                <w:tab w:val="left" w:pos="-1440"/>
                <w:tab w:val="left" w:pos="-720"/>
                <w:tab w:val="left" w:pos="0"/>
                <w:tab w:val="left" w:pos="432"/>
                <w:tab w:val="left" w:pos="576"/>
                <w:tab w:val="left" w:pos="1440"/>
                <w:tab w:val="left" w:pos="2086"/>
                <w:tab w:val="left" w:pos="2880"/>
              </w:tabs>
              <w:suppressAutoHyphens/>
              <w:rPr>
                <w:kern w:val="1"/>
              </w:rPr>
            </w:pPr>
            <w:r>
              <w:rPr>
                <w:kern w:val="1"/>
              </w:rPr>
              <w:tab/>
            </w:r>
          </w:p>
        </w:tc>
      </w:tr>
      <w:tr w:rsidR="00597E79" w:rsidTr="00681D11">
        <w:trPr>
          <w:trHeight w:val="444"/>
          <w:jc w:val="center"/>
        </w:trPr>
        <w:tc>
          <w:tcPr>
            <w:tcW w:w="5110" w:type="dxa"/>
          </w:tcPr>
          <w:p w:rsidR="00597E79" w:rsidRDefault="00597E79" w:rsidP="00681D11">
            <w:pPr>
              <w:tabs>
                <w:tab w:val="left" w:pos="-1440"/>
                <w:tab w:val="left" w:pos="-720"/>
                <w:tab w:val="left" w:pos="0"/>
                <w:tab w:val="left" w:pos="432"/>
                <w:tab w:val="left" w:pos="576"/>
                <w:tab w:val="left" w:pos="1440"/>
                <w:tab w:val="left" w:pos="2086"/>
                <w:tab w:val="left" w:pos="2880"/>
              </w:tabs>
              <w:suppressAutoHyphens/>
              <w:spacing w:before="90"/>
              <w:rPr>
                <w:b/>
                <w:kern w:val="1"/>
              </w:rPr>
            </w:pPr>
            <w:r>
              <w:rPr>
                <w:b/>
                <w:kern w:val="1"/>
              </w:rPr>
              <w:t>3.</w:t>
            </w:r>
            <w:r>
              <w:rPr>
                <w:b/>
                <w:kern w:val="1"/>
              </w:rPr>
              <w:tab/>
            </w:r>
            <w:r w:rsidRPr="007963D9">
              <w:rPr>
                <w:b/>
                <w:kern w:val="1"/>
                <w:u w:val="single"/>
              </w:rPr>
              <w:t>BUREAU</w:t>
            </w:r>
            <w:r>
              <w:rPr>
                <w:b/>
                <w:kern w:val="1"/>
              </w:rPr>
              <w:t xml:space="preserve">:  </w:t>
            </w:r>
          </w:p>
          <w:p w:rsidR="00597E79" w:rsidRDefault="00597E79" w:rsidP="00681D11">
            <w:pPr>
              <w:tabs>
                <w:tab w:val="left" w:pos="-1440"/>
                <w:tab w:val="left" w:pos="-720"/>
                <w:tab w:val="left" w:pos="0"/>
                <w:tab w:val="left" w:pos="432"/>
                <w:tab w:val="left" w:pos="576"/>
                <w:tab w:val="left" w:pos="1440"/>
                <w:tab w:val="left" w:pos="2086"/>
                <w:tab w:val="left" w:pos="2880"/>
              </w:tabs>
              <w:suppressAutoHyphens/>
              <w:spacing w:before="90"/>
              <w:ind w:firstLine="420"/>
              <w:rPr>
                <w:kern w:val="1"/>
              </w:rPr>
            </w:pPr>
            <w:r>
              <w:rPr>
                <w:b/>
                <w:kern w:val="1"/>
              </w:rPr>
              <w:t>Office of Administrative Law Judge</w:t>
            </w:r>
          </w:p>
        </w:tc>
        <w:tc>
          <w:tcPr>
            <w:tcW w:w="4394" w:type="dxa"/>
            <w:vMerge/>
          </w:tcPr>
          <w:p w:rsidR="00597E79" w:rsidRDefault="00597E79" w:rsidP="00681D11">
            <w:pPr>
              <w:tabs>
                <w:tab w:val="left" w:pos="-1440"/>
                <w:tab w:val="left" w:pos="-720"/>
                <w:tab w:val="left" w:pos="0"/>
                <w:tab w:val="left" w:pos="432"/>
                <w:tab w:val="left" w:pos="576"/>
                <w:tab w:val="left" w:pos="1440"/>
                <w:tab w:val="left" w:pos="2086"/>
                <w:tab w:val="left" w:pos="2880"/>
              </w:tabs>
              <w:suppressAutoHyphens/>
              <w:spacing w:before="90" w:after="54"/>
              <w:rPr>
                <w:kern w:val="1"/>
              </w:rPr>
            </w:pPr>
          </w:p>
        </w:tc>
      </w:tr>
      <w:tr w:rsidR="00597E79" w:rsidTr="00681D11">
        <w:trPr>
          <w:jc w:val="center"/>
        </w:trPr>
        <w:tc>
          <w:tcPr>
            <w:tcW w:w="5110" w:type="dxa"/>
          </w:tcPr>
          <w:p w:rsidR="00597E79" w:rsidRDefault="00597E79" w:rsidP="00681D11">
            <w:pPr>
              <w:tabs>
                <w:tab w:val="left" w:pos="-1440"/>
                <w:tab w:val="left" w:pos="-720"/>
                <w:tab w:val="left" w:pos="0"/>
                <w:tab w:val="left" w:pos="432"/>
                <w:tab w:val="left" w:pos="576"/>
                <w:tab w:val="left" w:pos="1440"/>
                <w:tab w:val="left" w:pos="2086"/>
                <w:tab w:val="left" w:pos="2880"/>
              </w:tabs>
              <w:suppressAutoHyphens/>
              <w:spacing w:after="54"/>
              <w:rPr>
                <w:kern w:val="1"/>
              </w:rPr>
            </w:pPr>
            <w:r>
              <w:rPr>
                <w:b/>
                <w:kern w:val="1"/>
              </w:rPr>
              <w:t>4.</w:t>
            </w:r>
            <w:r>
              <w:rPr>
                <w:b/>
                <w:kern w:val="1"/>
              </w:rPr>
              <w:tab/>
            </w:r>
            <w:r w:rsidRPr="007963D9">
              <w:rPr>
                <w:b/>
                <w:kern w:val="1"/>
                <w:u w:val="single"/>
              </w:rPr>
              <w:t>SECTION(S)</w:t>
            </w:r>
            <w:r>
              <w:rPr>
                <w:b/>
                <w:kern w:val="1"/>
              </w:rPr>
              <w:t>:</w:t>
            </w:r>
            <w:r>
              <w:rPr>
                <w:kern w:val="1"/>
              </w:rPr>
              <w:t xml:space="preserve"> </w:t>
            </w:r>
          </w:p>
          <w:p w:rsidR="00597E79" w:rsidRDefault="00597E79" w:rsidP="00681D11">
            <w:pPr>
              <w:tabs>
                <w:tab w:val="left" w:pos="-1440"/>
                <w:tab w:val="left" w:pos="-720"/>
                <w:tab w:val="left" w:pos="0"/>
                <w:tab w:val="left" w:pos="432"/>
                <w:tab w:val="left" w:pos="576"/>
                <w:tab w:val="left" w:pos="1440"/>
                <w:tab w:val="left" w:pos="2086"/>
                <w:tab w:val="left" w:pos="2880"/>
              </w:tabs>
              <w:suppressAutoHyphens/>
              <w:spacing w:after="54"/>
              <w:rPr>
                <w:kern w:val="1"/>
              </w:rPr>
            </w:pPr>
          </w:p>
        </w:tc>
        <w:tc>
          <w:tcPr>
            <w:tcW w:w="4394" w:type="dxa"/>
            <w:vMerge w:val="restart"/>
          </w:tcPr>
          <w:p w:rsidR="00597E79" w:rsidRDefault="00597E79" w:rsidP="00681D11">
            <w:pPr>
              <w:tabs>
                <w:tab w:val="left" w:pos="-1440"/>
                <w:tab w:val="left" w:pos="-720"/>
                <w:tab w:val="left" w:pos="0"/>
                <w:tab w:val="left" w:pos="432"/>
                <w:tab w:val="left" w:pos="576"/>
                <w:tab w:val="left" w:pos="1440"/>
                <w:tab w:val="left" w:pos="2086"/>
                <w:tab w:val="left" w:pos="2880"/>
              </w:tabs>
              <w:suppressAutoHyphens/>
              <w:rPr>
                <w:kern w:val="1"/>
              </w:rPr>
            </w:pPr>
            <w:r>
              <w:rPr>
                <w:b/>
                <w:kern w:val="1"/>
              </w:rPr>
              <w:t>5.</w:t>
            </w:r>
            <w:r>
              <w:rPr>
                <w:b/>
                <w:kern w:val="1"/>
              </w:rPr>
              <w:tab/>
            </w:r>
            <w:r>
              <w:rPr>
                <w:b/>
                <w:kern w:val="1"/>
                <w:u w:val="single"/>
              </w:rPr>
              <w:t>PUBLIC MEETING DATE:</w:t>
            </w:r>
            <w:r>
              <w:rPr>
                <w:kern w:val="1"/>
              </w:rPr>
              <w:tab/>
            </w:r>
          </w:p>
          <w:p w:rsidR="00597E79" w:rsidRDefault="00597E79" w:rsidP="00681D11">
            <w:pPr>
              <w:tabs>
                <w:tab w:val="left" w:pos="-1440"/>
                <w:tab w:val="left" w:pos="-720"/>
                <w:tab w:val="left" w:pos="440"/>
                <w:tab w:val="left" w:pos="576"/>
                <w:tab w:val="left" w:pos="1440"/>
                <w:tab w:val="left" w:pos="2086"/>
                <w:tab w:val="left" w:pos="2880"/>
              </w:tabs>
              <w:suppressAutoHyphens/>
              <w:spacing w:before="90" w:after="54"/>
              <w:ind w:firstLine="440"/>
              <w:rPr>
                <w:kern w:val="1"/>
              </w:rPr>
            </w:pPr>
          </w:p>
        </w:tc>
      </w:tr>
      <w:tr w:rsidR="00597E79" w:rsidTr="00681D11">
        <w:trPr>
          <w:trHeight w:val="675"/>
          <w:jc w:val="center"/>
        </w:trPr>
        <w:tc>
          <w:tcPr>
            <w:tcW w:w="5110" w:type="dxa"/>
          </w:tcPr>
          <w:p w:rsidR="00597E79" w:rsidRDefault="00597E79" w:rsidP="00681D11">
            <w:pPr>
              <w:tabs>
                <w:tab w:val="left" w:pos="-1440"/>
                <w:tab w:val="left" w:pos="-720"/>
                <w:tab w:val="left" w:pos="0"/>
                <w:tab w:val="left" w:pos="432"/>
                <w:tab w:val="left" w:pos="576"/>
                <w:tab w:val="left" w:pos="1440"/>
                <w:tab w:val="left" w:pos="2086"/>
                <w:tab w:val="left" w:pos="2880"/>
              </w:tabs>
              <w:suppressAutoHyphens/>
              <w:spacing w:after="54"/>
              <w:rPr>
                <w:kern w:val="1"/>
              </w:rPr>
            </w:pPr>
            <w:r>
              <w:rPr>
                <w:b/>
                <w:kern w:val="1"/>
              </w:rPr>
              <w:t>6.</w:t>
            </w:r>
            <w:r>
              <w:rPr>
                <w:b/>
                <w:kern w:val="1"/>
              </w:rPr>
              <w:tab/>
            </w:r>
            <w:r w:rsidRPr="007963D9">
              <w:rPr>
                <w:b/>
                <w:kern w:val="1"/>
                <w:u w:val="single"/>
              </w:rPr>
              <w:t>APPROVED BY</w:t>
            </w:r>
            <w:r>
              <w:rPr>
                <w:b/>
                <w:kern w:val="1"/>
              </w:rPr>
              <w:t>:</w:t>
            </w:r>
          </w:p>
          <w:p w:rsidR="00597E79" w:rsidRDefault="00597E79" w:rsidP="00681D11">
            <w:pPr>
              <w:tabs>
                <w:tab w:val="left" w:pos="-1440"/>
                <w:tab w:val="left" w:pos="-720"/>
                <w:tab w:val="left" w:pos="0"/>
                <w:tab w:val="left" w:pos="432"/>
                <w:tab w:val="left" w:pos="576"/>
                <w:tab w:val="left" w:pos="1440"/>
                <w:tab w:val="left" w:pos="2086"/>
                <w:tab w:val="left" w:pos="2880"/>
              </w:tabs>
              <w:suppressAutoHyphens/>
              <w:spacing w:after="54"/>
              <w:rPr>
                <w:kern w:val="1"/>
              </w:rPr>
            </w:pPr>
            <w:r>
              <w:rPr>
                <w:b/>
                <w:kern w:val="1"/>
              </w:rPr>
              <w:tab/>
              <w:t xml:space="preserve">Chief ALJ </w:t>
            </w:r>
          </w:p>
        </w:tc>
        <w:tc>
          <w:tcPr>
            <w:tcW w:w="4394" w:type="dxa"/>
            <w:vMerge/>
          </w:tcPr>
          <w:p w:rsidR="00597E79" w:rsidRDefault="00597E79" w:rsidP="00681D11">
            <w:pPr>
              <w:tabs>
                <w:tab w:val="left" w:pos="-1440"/>
                <w:tab w:val="left" w:pos="-720"/>
                <w:tab w:val="left" w:pos="440"/>
                <w:tab w:val="left" w:pos="576"/>
                <w:tab w:val="left" w:pos="1440"/>
                <w:tab w:val="left" w:pos="2086"/>
                <w:tab w:val="left" w:pos="2880"/>
              </w:tabs>
              <w:suppressAutoHyphens/>
              <w:spacing w:before="90" w:after="54"/>
              <w:ind w:firstLine="440"/>
              <w:rPr>
                <w:kern w:val="1"/>
              </w:rPr>
            </w:pPr>
          </w:p>
        </w:tc>
      </w:tr>
      <w:tr w:rsidR="00597E79" w:rsidTr="00681D11">
        <w:trPr>
          <w:jc w:val="center"/>
        </w:trPr>
        <w:tc>
          <w:tcPr>
            <w:tcW w:w="5110" w:type="dxa"/>
          </w:tcPr>
          <w:p w:rsidR="00597E79" w:rsidRDefault="00597E79" w:rsidP="00681D11">
            <w:pPr>
              <w:tabs>
                <w:tab w:val="left" w:pos="-1440"/>
                <w:tab w:val="left" w:pos="-720"/>
                <w:tab w:val="left" w:pos="0"/>
                <w:tab w:val="left" w:pos="432"/>
                <w:tab w:val="left" w:pos="576"/>
                <w:tab w:val="left" w:pos="1440"/>
                <w:tab w:val="left" w:pos="2086"/>
                <w:tab w:val="left" w:pos="2880"/>
              </w:tabs>
              <w:suppressAutoHyphens/>
              <w:spacing w:before="90"/>
              <w:rPr>
                <w:b/>
                <w:kern w:val="1"/>
              </w:rPr>
            </w:pPr>
            <w:r>
              <w:rPr>
                <w:b/>
                <w:kern w:val="1"/>
              </w:rPr>
              <w:t>7.</w:t>
            </w:r>
            <w:r>
              <w:rPr>
                <w:b/>
                <w:kern w:val="1"/>
              </w:rPr>
              <w:tab/>
            </w:r>
            <w:r w:rsidRPr="00CC3139">
              <w:rPr>
                <w:b/>
                <w:kern w:val="1"/>
                <w:u w:val="single"/>
              </w:rPr>
              <w:t>PERSONS IN CHARGE</w:t>
            </w:r>
            <w:r>
              <w:rPr>
                <w:b/>
                <w:kern w:val="1"/>
              </w:rPr>
              <w:t>:</w:t>
            </w:r>
          </w:p>
          <w:p w:rsidR="00597E79" w:rsidRDefault="00597E79" w:rsidP="00681D11">
            <w:pPr>
              <w:tabs>
                <w:tab w:val="left" w:pos="-1440"/>
                <w:tab w:val="left" w:pos="-720"/>
                <w:tab w:val="left" w:pos="0"/>
                <w:tab w:val="left" w:pos="432"/>
                <w:tab w:val="left" w:pos="576"/>
                <w:tab w:val="left" w:pos="1440"/>
                <w:tab w:val="left" w:pos="2086"/>
                <w:tab w:val="left" w:pos="2880"/>
              </w:tabs>
              <w:suppressAutoHyphens/>
              <w:spacing w:before="90"/>
              <w:rPr>
                <w:kern w:val="1"/>
              </w:rPr>
            </w:pPr>
            <w:r>
              <w:rPr>
                <w:kern w:val="1"/>
              </w:rPr>
              <w:tab/>
            </w:r>
          </w:p>
        </w:tc>
        <w:tc>
          <w:tcPr>
            <w:tcW w:w="4394" w:type="dxa"/>
            <w:vMerge w:val="restart"/>
          </w:tcPr>
          <w:p w:rsidR="00597E79" w:rsidRDefault="00597E79" w:rsidP="00681D11">
            <w:pPr>
              <w:tabs>
                <w:tab w:val="left" w:pos="-1440"/>
                <w:tab w:val="left" w:pos="-720"/>
                <w:tab w:val="left" w:pos="0"/>
                <w:tab w:val="left" w:pos="432"/>
                <w:tab w:val="left" w:pos="576"/>
                <w:tab w:val="left" w:pos="1440"/>
                <w:tab w:val="left" w:pos="2086"/>
                <w:tab w:val="left" w:pos="2880"/>
              </w:tabs>
              <w:suppressAutoHyphens/>
              <w:spacing w:before="90" w:after="54"/>
              <w:rPr>
                <w:szCs w:val="24"/>
              </w:rPr>
            </w:pPr>
            <w:r w:rsidRPr="00425EAA">
              <w:rPr>
                <w:b/>
                <w:szCs w:val="24"/>
              </w:rPr>
              <w:t xml:space="preserve">9.  </w:t>
            </w:r>
            <w:r w:rsidRPr="00425EAA">
              <w:rPr>
                <w:b/>
                <w:szCs w:val="24"/>
                <w:u w:val="single"/>
              </w:rPr>
              <w:t>EFFECTIVE DATE OF FILING</w:t>
            </w:r>
          </w:p>
          <w:p w:rsidR="00597E79" w:rsidRPr="00425EAA" w:rsidRDefault="00597E79" w:rsidP="00681D11">
            <w:pPr>
              <w:tabs>
                <w:tab w:val="left" w:pos="-1440"/>
                <w:tab w:val="left" w:pos="-720"/>
                <w:tab w:val="left" w:pos="0"/>
                <w:tab w:val="left" w:pos="432"/>
                <w:tab w:val="left" w:pos="576"/>
                <w:tab w:val="left" w:pos="1440"/>
                <w:tab w:val="left" w:pos="2086"/>
                <w:tab w:val="left" w:pos="2880"/>
              </w:tabs>
              <w:suppressAutoHyphens/>
              <w:spacing w:before="90" w:after="54"/>
              <w:ind w:firstLine="440"/>
              <w:rPr>
                <w:kern w:val="1"/>
                <w:szCs w:val="24"/>
              </w:rPr>
            </w:pPr>
            <w:r>
              <w:rPr>
                <w:szCs w:val="24"/>
              </w:rPr>
              <w:t>+</w:t>
            </w:r>
          </w:p>
        </w:tc>
      </w:tr>
      <w:tr w:rsidR="00597E79" w:rsidTr="00681D11">
        <w:trPr>
          <w:jc w:val="center"/>
        </w:trPr>
        <w:tc>
          <w:tcPr>
            <w:tcW w:w="5110" w:type="dxa"/>
          </w:tcPr>
          <w:p w:rsidR="00597E79" w:rsidRDefault="00597E79" w:rsidP="00681D11">
            <w:pPr>
              <w:pStyle w:val="EndnoteText"/>
              <w:tabs>
                <w:tab w:val="left" w:pos="-1440"/>
                <w:tab w:val="left" w:pos="-720"/>
                <w:tab w:val="left" w:pos="0"/>
                <w:tab w:val="left" w:pos="432"/>
                <w:tab w:val="left" w:pos="576"/>
                <w:tab w:val="left" w:pos="1440"/>
                <w:tab w:val="left" w:pos="2086"/>
                <w:tab w:val="left" w:pos="2880"/>
              </w:tabs>
              <w:suppressAutoHyphens/>
              <w:spacing w:after="54"/>
              <w:rPr>
                <w:rFonts w:ascii="Times New Roman" w:hAnsi="Times New Roman"/>
                <w:kern w:val="1"/>
              </w:rPr>
            </w:pPr>
            <w:r>
              <w:rPr>
                <w:rFonts w:ascii="Times New Roman" w:hAnsi="Times New Roman"/>
                <w:b/>
                <w:kern w:val="1"/>
              </w:rPr>
              <w:t>8.</w:t>
            </w:r>
            <w:r>
              <w:rPr>
                <w:rFonts w:ascii="Times New Roman" w:hAnsi="Times New Roman"/>
                <w:b/>
                <w:kern w:val="1"/>
              </w:rPr>
              <w:tab/>
            </w:r>
            <w:r w:rsidRPr="000563AE">
              <w:rPr>
                <w:rFonts w:ascii="Times New Roman" w:hAnsi="Times New Roman"/>
                <w:b/>
                <w:kern w:val="1"/>
                <w:u w:val="single"/>
              </w:rPr>
              <w:t>DOCKET NO</w:t>
            </w:r>
            <w:r>
              <w:rPr>
                <w:rFonts w:ascii="Times New Roman" w:hAnsi="Times New Roman"/>
                <w:b/>
                <w:kern w:val="1"/>
              </w:rPr>
              <w:t>.:</w:t>
            </w:r>
            <w:r>
              <w:rPr>
                <w:rFonts w:ascii="Times New Roman" w:hAnsi="Times New Roman"/>
                <w:kern w:val="1"/>
              </w:rPr>
              <w:tab/>
            </w:r>
          </w:p>
          <w:p w:rsidR="00597E79" w:rsidRDefault="00597E79" w:rsidP="00681D11">
            <w:pPr>
              <w:pStyle w:val="EndnoteText"/>
              <w:tabs>
                <w:tab w:val="left" w:pos="-1440"/>
                <w:tab w:val="left" w:pos="-720"/>
                <w:tab w:val="left" w:pos="0"/>
                <w:tab w:val="left" w:pos="432"/>
                <w:tab w:val="left" w:pos="576"/>
                <w:tab w:val="left" w:pos="1440"/>
                <w:tab w:val="left" w:pos="2086"/>
                <w:tab w:val="left" w:pos="2880"/>
              </w:tabs>
              <w:suppressAutoHyphens/>
              <w:spacing w:after="54"/>
              <w:ind w:firstLine="420"/>
              <w:rPr>
                <w:rFonts w:ascii="Times New Roman" w:hAnsi="Times New Roman"/>
                <w:kern w:val="1"/>
              </w:rPr>
            </w:pPr>
            <w:r>
              <w:rPr>
                <w:rFonts w:ascii="Times New Roman" w:hAnsi="Times New Roman"/>
                <w:kern w:val="1"/>
              </w:rPr>
              <w:t>C-2009-2108545</w:t>
            </w:r>
            <w:r>
              <w:rPr>
                <w:rFonts w:ascii="Times New Roman" w:hAnsi="Times New Roman"/>
                <w:kern w:val="1"/>
              </w:rPr>
              <w:tab/>
            </w:r>
            <w:r>
              <w:rPr>
                <w:rFonts w:ascii="Times New Roman" w:hAnsi="Times New Roman"/>
                <w:kern w:val="1"/>
              </w:rPr>
              <w:tab/>
            </w:r>
          </w:p>
        </w:tc>
        <w:tc>
          <w:tcPr>
            <w:tcW w:w="4394" w:type="dxa"/>
            <w:vMerge/>
          </w:tcPr>
          <w:p w:rsidR="00597E79" w:rsidRDefault="00597E79" w:rsidP="00681D11">
            <w:pPr>
              <w:tabs>
                <w:tab w:val="left" w:pos="-1440"/>
                <w:tab w:val="left" w:pos="-720"/>
                <w:tab w:val="left" w:pos="0"/>
                <w:tab w:val="left" w:pos="432"/>
                <w:tab w:val="left" w:pos="576"/>
                <w:tab w:val="left" w:pos="1440"/>
                <w:tab w:val="left" w:pos="2086"/>
                <w:tab w:val="left" w:pos="2880"/>
              </w:tabs>
              <w:suppressAutoHyphens/>
              <w:spacing w:before="90" w:after="54"/>
              <w:rPr>
                <w:kern w:val="1"/>
              </w:rPr>
            </w:pPr>
          </w:p>
        </w:tc>
      </w:tr>
      <w:tr w:rsidR="00597E79" w:rsidTr="00681D11">
        <w:trPr>
          <w:jc w:val="center"/>
        </w:trPr>
        <w:tc>
          <w:tcPr>
            <w:tcW w:w="9504" w:type="dxa"/>
            <w:gridSpan w:val="2"/>
          </w:tcPr>
          <w:p w:rsidR="00597E79" w:rsidRPr="006C3226" w:rsidRDefault="00597E79" w:rsidP="00817214">
            <w:pPr>
              <w:rPr>
                <w:sz w:val="24"/>
                <w:szCs w:val="24"/>
              </w:rPr>
            </w:pPr>
            <w:r>
              <w:rPr>
                <w:b/>
                <w:kern w:val="1"/>
              </w:rPr>
              <w:t>9.</w:t>
            </w:r>
            <w:r>
              <w:rPr>
                <w:b/>
                <w:kern w:val="1"/>
              </w:rPr>
              <w:tab/>
            </w:r>
            <w:r w:rsidRPr="00817214">
              <w:rPr>
                <w:kern w:val="1"/>
              </w:rPr>
              <w:t>(a)</w:t>
            </w:r>
            <w:r>
              <w:rPr>
                <w:b/>
                <w:kern w:val="1"/>
              </w:rPr>
              <w:t xml:space="preserve"> </w:t>
            </w:r>
          </w:p>
          <w:p w:rsidR="00597E79" w:rsidRPr="00CE43B4" w:rsidRDefault="00597E79" w:rsidP="00597E79">
            <w:pPr>
              <w:tabs>
                <w:tab w:val="left" w:pos="-720"/>
              </w:tabs>
              <w:suppressAutoHyphens/>
              <w:rPr>
                <w:spacing w:val="-3"/>
                <w:sz w:val="24"/>
                <w:szCs w:val="24"/>
              </w:rPr>
            </w:pPr>
            <w:r>
              <w:rPr>
                <w:bCs/>
                <w:spacing w:val="-3"/>
                <w:sz w:val="24"/>
                <w:szCs w:val="24"/>
              </w:rPr>
              <w:t>Jeffrey Kintner</w:t>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223E7E">
              <w:rPr>
                <w:bCs/>
                <w:spacing w:val="-3"/>
                <w:sz w:val="24"/>
                <w:szCs w:val="24"/>
              </w:rPr>
              <w:t>:</w:t>
            </w:r>
            <w:r>
              <w:rPr>
                <w:b/>
                <w:bCs/>
                <w:spacing w:val="-3"/>
                <w:sz w:val="24"/>
                <w:szCs w:val="24"/>
              </w:rPr>
              <w:tab/>
            </w:r>
          </w:p>
          <w:p w:rsidR="00597E79" w:rsidRPr="00CE43B4" w:rsidRDefault="00597E79" w:rsidP="00597E79">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Pr>
                <w:spacing w:val="-3"/>
                <w:sz w:val="24"/>
                <w:szCs w:val="24"/>
              </w:rPr>
              <w:tab/>
              <w:t>C-2009-2108545 and</w:t>
            </w:r>
          </w:p>
          <w:p w:rsidR="00597E79" w:rsidRPr="00CE43B4" w:rsidRDefault="00597E79" w:rsidP="00597E79">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Pr>
                <w:spacing w:val="-3"/>
                <w:sz w:val="24"/>
                <w:szCs w:val="24"/>
              </w:rPr>
              <w:tab/>
              <w:t>C-2009-2108412 (Consolidated)</w:t>
            </w:r>
          </w:p>
          <w:p w:rsidR="00597E79" w:rsidRDefault="00597E79" w:rsidP="00597E79">
            <w:pPr>
              <w:tabs>
                <w:tab w:val="left" w:pos="-720"/>
              </w:tabs>
              <w:suppressAutoHyphens/>
              <w:rPr>
                <w:spacing w:val="-3"/>
                <w:sz w:val="24"/>
                <w:szCs w:val="24"/>
              </w:rPr>
            </w:pPr>
            <w:r>
              <w:rPr>
                <w:spacing w:val="-3"/>
                <w:sz w:val="24"/>
                <w:szCs w:val="24"/>
              </w:rPr>
              <w:t>Eaton Sewer and Water Company, Inc.</w:t>
            </w:r>
            <w:r>
              <w:rPr>
                <w:spacing w:val="-3"/>
                <w:sz w:val="24"/>
                <w:szCs w:val="24"/>
              </w:rPr>
              <w:tab/>
            </w:r>
            <w:r w:rsidRPr="00CE43B4">
              <w:rPr>
                <w:spacing w:val="-3"/>
                <w:sz w:val="24"/>
                <w:szCs w:val="24"/>
              </w:rPr>
              <w:tab/>
              <w:t>:</w:t>
            </w:r>
          </w:p>
          <w:p w:rsidR="00597E79" w:rsidRDefault="00597E79" w:rsidP="00681D11">
            <w:pPr>
              <w:tabs>
                <w:tab w:val="left" w:pos="-1440"/>
                <w:tab w:val="left" w:pos="-720"/>
                <w:tab w:val="left" w:pos="0"/>
                <w:tab w:val="left" w:pos="432"/>
                <w:tab w:val="left" w:pos="576"/>
                <w:tab w:val="left" w:pos="1440"/>
                <w:tab w:val="left" w:pos="2086"/>
                <w:tab w:val="left" w:pos="2880"/>
              </w:tabs>
              <w:suppressAutoHyphens/>
              <w:spacing w:before="90"/>
              <w:rPr>
                <w:kern w:val="1"/>
              </w:rPr>
            </w:pPr>
          </w:p>
          <w:p w:rsidR="00817214" w:rsidRDefault="00597E79" w:rsidP="00817214">
            <w:pPr>
              <w:pStyle w:val="BodyText"/>
              <w:ind w:left="720" w:hanging="720"/>
              <w:rPr>
                <w:sz w:val="24"/>
                <w:szCs w:val="24"/>
              </w:rPr>
            </w:pPr>
            <w:r>
              <w:rPr>
                <w:b/>
                <w:kern w:val="1"/>
              </w:rPr>
              <w:tab/>
            </w:r>
            <w:r w:rsidRPr="00817214">
              <w:rPr>
                <w:b/>
                <w:kern w:val="1"/>
                <w:sz w:val="24"/>
                <w:szCs w:val="24"/>
              </w:rPr>
              <w:t>(b)</w:t>
            </w:r>
            <w:r>
              <w:rPr>
                <w:b/>
                <w:kern w:val="1"/>
              </w:rPr>
              <w:t xml:space="preserve"> </w:t>
            </w:r>
            <w:r w:rsidR="00817214">
              <w:rPr>
                <w:sz w:val="24"/>
                <w:szCs w:val="24"/>
              </w:rPr>
              <w:t>Complaint filed a formal complaint alleging that the rate he paid was unreasonable and asked that the Commission order Eaton to charge him based on discharge, not usage.  Answer filed and the company alleged it must charge in accordance with its tariff.  The ALJ issued an ID denying Complainant’s request and agreeing that Eaton must charge in accordance with its tariff.</w:t>
            </w:r>
          </w:p>
          <w:p w:rsidR="00597E79" w:rsidRDefault="00597E79" w:rsidP="00681D11">
            <w:pPr>
              <w:tabs>
                <w:tab w:val="left" w:pos="-1440"/>
                <w:tab w:val="left" w:pos="-720"/>
                <w:tab w:val="left" w:pos="0"/>
                <w:tab w:val="left" w:pos="432"/>
                <w:tab w:val="left" w:pos="576"/>
                <w:tab w:val="left" w:pos="1440"/>
                <w:tab w:val="left" w:pos="2086"/>
                <w:tab w:val="left" w:pos="2880"/>
              </w:tabs>
              <w:suppressAutoHyphens/>
              <w:rPr>
                <w:kern w:val="1"/>
              </w:rPr>
            </w:pPr>
          </w:p>
          <w:p w:rsidR="00597E79" w:rsidRDefault="00597E79" w:rsidP="001E28DD">
            <w:pPr>
              <w:tabs>
                <w:tab w:val="left" w:pos="-1440"/>
                <w:tab w:val="left" w:pos="-720"/>
                <w:tab w:val="left" w:pos="0"/>
                <w:tab w:val="left" w:pos="432"/>
                <w:tab w:val="left" w:pos="576"/>
                <w:tab w:val="left" w:pos="1440"/>
                <w:tab w:val="left" w:pos="2086"/>
                <w:tab w:val="left" w:pos="2880"/>
              </w:tabs>
              <w:suppressAutoHyphens/>
              <w:rPr>
                <w:kern w:val="1"/>
              </w:rPr>
            </w:pPr>
            <w:r>
              <w:rPr>
                <w:b/>
                <w:kern w:val="1"/>
              </w:rPr>
              <w:tab/>
              <w:t xml:space="preserve">(c) </w:t>
            </w:r>
            <w:r w:rsidR="001E28DD">
              <w:rPr>
                <w:b/>
                <w:kern w:val="1"/>
              </w:rPr>
              <w:t>ALJ Jandebeur issued an ID on June 17, 2010 denying and dismissing the formal complaint.</w:t>
            </w:r>
          </w:p>
        </w:tc>
      </w:tr>
    </w:tbl>
    <w:p w:rsidR="00597E79" w:rsidRDefault="00597E79" w:rsidP="00597E79">
      <w:pPr>
        <w:suppressAutoHyphens/>
        <w:rPr>
          <w:kern w:val="1"/>
        </w:rPr>
      </w:pPr>
    </w:p>
    <w:p w:rsidR="00597E79" w:rsidRDefault="00597E79" w:rsidP="00597E79">
      <w:pPr>
        <w:tabs>
          <w:tab w:val="left" w:pos="540"/>
        </w:tabs>
        <w:suppressAutoHyphens/>
        <w:ind w:left="540" w:hanging="450"/>
        <w:jc w:val="both"/>
        <w:rPr>
          <w:kern w:val="1"/>
        </w:rPr>
      </w:pPr>
    </w:p>
    <w:p w:rsidR="002B19D4" w:rsidRPr="001027AA" w:rsidRDefault="002B19D4" w:rsidP="00A354EE">
      <w:pPr>
        <w:tabs>
          <w:tab w:val="center" w:pos="4752"/>
        </w:tabs>
        <w:suppressAutoHyphens/>
        <w:rPr>
          <w:sz w:val="24"/>
          <w:szCs w:val="24"/>
        </w:rPr>
      </w:pPr>
    </w:p>
    <w:sectPr w:rsidR="002B19D4" w:rsidRPr="001027AA" w:rsidSect="005F452A">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33B" w:rsidRDefault="00EF433B">
      <w:r>
        <w:separator/>
      </w:r>
    </w:p>
  </w:endnote>
  <w:endnote w:type="continuationSeparator" w:id="0">
    <w:p w:rsidR="00EF433B" w:rsidRDefault="00EF4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Default="000416AB"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Pr="0028114B" w:rsidRDefault="000416AB"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8775E5">
      <w:rPr>
        <w:rStyle w:val="PageNumber"/>
        <w:noProof/>
        <w:sz w:val="20"/>
        <w:szCs w:val="20"/>
      </w:rPr>
      <w:t>2</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33B" w:rsidRDefault="00EF433B">
      <w:r>
        <w:separator/>
      </w:r>
    </w:p>
  </w:footnote>
  <w:footnote w:type="continuationSeparator" w:id="0">
    <w:p w:rsidR="00EF433B" w:rsidRDefault="00EF43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4"/>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17"/>
  </w:num>
  <w:num w:numId="13">
    <w:abstractNumId w:val="1"/>
  </w:num>
  <w:num w:numId="14">
    <w:abstractNumId w:val="5"/>
  </w:num>
  <w:num w:numId="15">
    <w:abstractNumId w:val="15"/>
  </w:num>
  <w:num w:numId="16">
    <w:abstractNumId w:val="16"/>
  </w:num>
  <w:num w:numId="17">
    <w:abstractNumId w:val="7"/>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8F6AC3"/>
    <w:rsid w:val="00020AB1"/>
    <w:rsid w:val="00022997"/>
    <w:rsid w:val="00022D67"/>
    <w:rsid w:val="0002512E"/>
    <w:rsid w:val="000319FA"/>
    <w:rsid w:val="00034A86"/>
    <w:rsid w:val="00035C05"/>
    <w:rsid w:val="00035E78"/>
    <w:rsid w:val="000376EF"/>
    <w:rsid w:val="000416AB"/>
    <w:rsid w:val="00042626"/>
    <w:rsid w:val="00055A89"/>
    <w:rsid w:val="00064F92"/>
    <w:rsid w:val="0006610A"/>
    <w:rsid w:val="0007126E"/>
    <w:rsid w:val="000728A4"/>
    <w:rsid w:val="00075A22"/>
    <w:rsid w:val="00082976"/>
    <w:rsid w:val="00091625"/>
    <w:rsid w:val="00091672"/>
    <w:rsid w:val="00091CE2"/>
    <w:rsid w:val="000964AC"/>
    <w:rsid w:val="000967DB"/>
    <w:rsid w:val="000A001F"/>
    <w:rsid w:val="000A1CB9"/>
    <w:rsid w:val="000A20A3"/>
    <w:rsid w:val="000A6648"/>
    <w:rsid w:val="000C6F32"/>
    <w:rsid w:val="000E0BD8"/>
    <w:rsid w:val="000E277A"/>
    <w:rsid w:val="000E2934"/>
    <w:rsid w:val="000E6B17"/>
    <w:rsid w:val="000F0833"/>
    <w:rsid w:val="000F1894"/>
    <w:rsid w:val="000F1F62"/>
    <w:rsid w:val="000F2F0A"/>
    <w:rsid w:val="001027AA"/>
    <w:rsid w:val="00107C51"/>
    <w:rsid w:val="00110C23"/>
    <w:rsid w:val="001122A9"/>
    <w:rsid w:val="001155B6"/>
    <w:rsid w:val="00116136"/>
    <w:rsid w:val="00125871"/>
    <w:rsid w:val="00126207"/>
    <w:rsid w:val="001312A6"/>
    <w:rsid w:val="00134E8D"/>
    <w:rsid w:val="00141DF5"/>
    <w:rsid w:val="00143C49"/>
    <w:rsid w:val="00147DEE"/>
    <w:rsid w:val="00152C6B"/>
    <w:rsid w:val="0015646C"/>
    <w:rsid w:val="001620CA"/>
    <w:rsid w:val="00176F82"/>
    <w:rsid w:val="0018160C"/>
    <w:rsid w:val="00187B87"/>
    <w:rsid w:val="001930DE"/>
    <w:rsid w:val="00193B6C"/>
    <w:rsid w:val="001A4CC0"/>
    <w:rsid w:val="001A721E"/>
    <w:rsid w:val="001B123C"/>
    <w:rsid w:val="001B2621"/>
    <w:rsid w:val="001B3235"/>
    <w:rsid w:val="001B37B8"/>
    <w:rsid w:val="001C20B7"/>
    <w:rsid w:val="001C715B"/>
    <w:rsid w:val="001D3206"/>
    <w:rsid w:val="001D6FCF"/>
    <w:rsid w:val="001E28DD"/>
    <w:rsid w:val="001E4FAC"/>
    <w:rsid w:val="001F0787"/>
    <w:rsid w:val="001F08B4"/>
    <w:rsid w:val="001F2116"/>
    <w:rsid w:val="001F6FC1"/>
    <w:rsid w:val="001F7F73"/>
    <w:rsid w:val="0020095D"/>
    <w:rsid w:val="00223E7E"/>
    <w:rsid w:val="00234619"/>
    <w:rsid w:val="0023520D"/>
    <w:rsid w:val="00235C44"/>
    <w:rsid w:val="00236FF7"/>
    <w:rsid w:val="002416AB"/>
    <w:rsid w:val="0024496F"/>
    <w:rsid w:val="00244D86"/>
    <w:rsid w:val="0025370D"/>
    <w:rsid w:val="00260D19"/>
    <w:rsid w:val="002732DC"/>
    <w:rsid w:val="0027737F"/>
    <w:rsid w:val="0028114B"/>
    <w:rsid w:val="00290918"/>
    <w:rsid w:val="002919C6"/>
    <w:rsid w:val="00293557"/>
    <w:rsid w:val="002959E3"/>
    <w:rsid w:val="002A7C1C"/>
    <w:rsid w:val="002B19D4"/>
    <w:rsid w:val="002B3489"/>
    <w:rsid w:val="002B4EAE"/>
    <w:rsid w:val="002C3FDE"/>
    <w:rsid w:val="002D13C5"/>
    <w:rsid w:val="002D554B"/>
    <w:rsid w:val="002F2938"/>
    <w:rsid w:val="002F66F9"/>
    <w:rsid w:val="002F6BC1"/>
    <w:rsid w:val="00300618"/>
    <w:rsid w:val="00300A0A"/>
    <w:rsid w:val="00300CB7"/>
    <w:rsid w:val="00300F91"/>
    <w:rsid w:val="0030207C"/>
    <w:rsid w:val="003129F7"/>
    <w:rsid w:val="00317B5C"/>
    <w:rsid w:val="0032205A"/>
    <w:rsid w:val="00323AAE"/>
    <w:rsid w:val="0032468F"/>
    <w:rsid w:val="00324F3E"/>
    <w:rsid w:val="0033043C"/>
    <w:rsid w:val="0033647C"/>
    <w:rsid w:val="00337C53"/>
    <w:rsid w:val="00340AB8"/>
    <w:rsid w:val="003421EB"/>
    <w:rsid w:val="0034312D"/>
    <w:rsid w:val="00346E30"/>
    <w:rsid w:val="003539D2"/>
    <w:rsid w:val="0035737A"/>
    <w:rsid w:val="003657A8"/>
    <w:rsid w:val="00380AD7"/>
    <w:rsid w:val="00382B1A"/>
    <w:rsid w:val="00386CDC"/>
    <w:rsid w:val="00392382"/>
    <w:rsid w:val="00394493"/>
    <w:rsid w:val="003959AC"/>
    <w:rsid w:val="00395E03"/>
    <w:rsid w:val="00396DE1"/>
    <w:rsid w:val="003A167D"/>
    <w:rsid w:val="003B715B"/>
    <w:rsid w:val="003C050F"/>
    <w:rsid w:val="003C0716"/>
    <w:rsid w:val="003D139F"/>
    <w:rsid w:val="003D15FA"/>
    <w:rsid w:val="003D7EC6"/>
    <w:rsid w:val="003E292B"/>
    <w:rsid w:val="003E594B"/>
    <w:rsid w:val="003F5796"/>
    <w:rsid w:val="003F69BF"/>
    <w:rsid w:val="00402359"/>
    <w:rsid w:val="004064A8"/>
    <w:rsid w:val="0042160A"/>
    <w:rsid w:val="00422E29"/>
    <w:rsid w:val="00424A76"/>
    <w:rsid w:val="00427E73"/>
    <w:rsid w:val="00430C95"/>
    <w:rsid w:val="004312BE"/>
    <w:rsid w:val="00442854"/>
    <w:rsid w:val="00444400"/>
    <w:rsid w:val="00444A02"/>
    <w:rsid w:val="00452F75"/>
    <w:rsid w:val="0046339D"/>
    <w:rsid w:val="00476C8A"/>
    <w:rsid w:val="00486535"/>
    <w:rsid w:val="00486CA9"/>
    <w:rsid w:val="00490174"/>
    <w:rsid w:val="004917C1"/>
    <w:rsid w:val="00491C99"/>
    <w:rsid w:val="00495450"/>
    <w:rsid w:val="004A1805"/>
    <w:rsid w:val="004A5AD6"/>
    <w:rsid w:val="004C3EFA"/>
    <w:rsid w:val="004D1B54"/>
    <w:rsid w:val="004D3108"/>
    <w:rsid w:val="004D3DD7"/>
    <w:rsid w:val="004D46FD"/>
    <w:rsid w:val="004E20CB"/>
    <w:rsid w:val="004E2912"/>
    <w:rsid w:val="004E533F"/>
    <w:rsid w:val="004F2D3D"/>
    <w:rsid w:val="004F712C"/>
    <w:rsid w:val="004F7FB0"/>
    <w:rsid w:val="005032B5"/>
    <w:rsid w:val="00515937"/>
    <w:rsid w:val="00517AD1"/>
    <w:rsid w:val="00523780"/>
    <w:rsid w:val="00530D1B"/>
    <w:rsid w:val="00531226"/>
    <w:rsid w:val="00531409"/>
    <w:rsid w:val="00535DF7"/>
    <w:rsid w:val="005411CC"/>
    <w:rsid w:val="00542107"/>
    <w:rsid w:val="00553EEB"/>
    <w:rsid w:val="00564C41"/>
    <w:rsid w:val="00582896"/>
    <w:rsid w:val="00584798"/>
    <w:rsid w:val="0059070D"/>
    <w:rsid w:val="00592C86"/>
    <w:rsid w:val="00597E79"/>
    <w:rsid w:val="005A33D0"/>
    <w:rsid w:val="005B250B"/>
    <w:rsid w:val="005B6749"/>
    <w:rsid w:val="005B7834"/>
    <w:rsid w:val="005C097C"/>
    <w:rsid w:val="005C28EC"/>
    <w:rsid w:val="005D19C4"/>
    <w:rsid w:val="005D2DEE"/>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41596"/>
    <w:rsid w:val="0064329B"/>
    <w:rsid w:val="00644E60"/>
    <w:rsid w:val="00645B55"/>
    <w:rsid w:val="00652C21"/>
    <w:rsid w:val="0066237B"/>
    <w:rsid w:val="006656FC"/>
    <w:rsid w:val="00675607"/>
    <w:rsid w:val="00675986"/>
    <w:rsid w:val="00681D11"/>
    <w:rsid w:val="00695694"/>
    <w:rsid w:val="006A21C2"/>
    <w:rsid w:val="006A3B47"/>
    <w:rsid w:val="006A7A0A"/>
    <w:rsid w:val="006B3080"/>
    <w:rsid w:val="006C1047"/>
    <w:rsid w:val="006C3226"/>
    <w:rsid w:val="006D4BB7"/>
    <w:rsid w:val="006D75BD"/>
    <w:rsid w:val="006E17D1"/>
    <w:rsid w:val="006E4407"/>
    <w:rsid w:val="006F44F9"/>
    <w:rsid w:val="007114E7"/>
    <w:rsid w:val="0071588F"/>
    <w:rsid w:val="0073239A"/>
    <w:rsid w:val="0073727C"/>
    <w:rsid w:val="00744AF3"/>
    <w:rsid w:val="00747E56"/>
    <w:rsid w:val="00751672"/>
    <w:rsid w:val="0075510C"/>
    <w:rsid w:val="00775593"/>
    <w:rsid w:val="00782A08"/>
    <w:rsid w:val="00786153"/>
    <w:rsid w:val="00792C70"/>
    <w:rsid w:val="007965B0"/>
    <w:rsid w:val="007A49B5"/>
    <w:rsid w:val="007B1672"/>
    <w:rsid w:val="007B1D2D"/>
    <w:rsid w:val="007B46F9"/>
    <w:rsid w:val="007B6CFE"/>
    <w:rsid w:val="007C74E3"/>
    <w:rsid w:val="007D3E3E"/>
    <w:rsid w:val="007D6063"/>
    <w:rsid w:val="007E09E5"/>
    <w:rsid w:val="007E31DB"/>
    <w:rsid w:val="007E7871"/>
    <w:rsid w:val="007F4E6D"/>
    <w:rsid w:val="00803141"/>
    <w:rsid w:val="0081070B"/>
    <w:rsid w:val="008142EB"/>
    <w:rsid w:val="0081669B"/>
    <w:rsid w:val="0081696C"/>
    <w:rsid w:val="00817214"/>
    <w:rsid w:val="008228F3"/>
    <w:rsid w:val="00823F91"/>
    <w:rsid w:val="00824683"/>
    <w:rsid w:val="00827F3B"/>
    <w:rsid w:val="008354C5"/>
    <w:rsid w:val="0083691D"/>
    <w:rsid w:val="00840FD3"/>
    <w:rsid w:val="00841779"/>
    <w:rsid w:val="008506A0"/>
    <w:rsid w:val="00851A4F"/>
    <w:rsid w:val="00866264"/>
    <w:rsid w:val="008663C0"/>
    <w:rsid w:val="008718DB"/>
    <w:rsid w:val="008746E1"/>
    <w:rsid w:val="008775E5"/>
    <w:rsid w:val="008803F7"/>
    <w:rsid w:val="00881C76"/>
    <w:rsid w:val="0088763C"/>
    <w:rsid w:val="00893B0E"/>
    <w:rsid w:val="00894839"/>
    <w:rsid w:val="0089761B"/>
    <w:rsid w:val="008A0A78"/>
    <w:rsid w:val="008A60E2"/>
    <w:rsid w:val="008B1A8B"/>
    <w:rsid w:val="008B282A"/>
    <w:rsid w:val="008B2B8B"/>
    <w:rsid w:val="008D6D09"/>
    <w:rsid w:val="008D761F"/>
    <w:rsid w:val="008E5A53"/>
    <w:rsid w:val="008F013A"/>
    <w:rsid w:val="008F22F9"/>
    <w:rsid w:val="008F554F"/>
    <w:rsid w:val="008F6AC3"/>
    <w:rsid w:val="009077E3"/>
    <w:rsid w:val="00910EF2"/>
    <w:rsid w:val="00913B17"/>
    <w:rsid w:val="009166DD"/>
    <w:rsid w:val="0091672D"/>
    <w:rsid w:val="009342E4"/>
    <w:rsid w:val="00940F93"/>
    <w:rsid w:val="009445E9"/>
    <w:rsid w:val="009634B4"/>
    <w:rsid w:val="009643E3"/>
    <w:rsid w:val="009649FC"/>
    <w:rsid w:val="00965F82"/>
    <w:rsid w:val="0098237A"/>
    <w:rsid w:val="00982B8E"/>
    <w:rsid w:val="009830C8"/>
    <w:rsid w:val="00983B9A"/>
    <w:rsid w:val="00986AEC"/>
    <w:rsid w:val="009877CF"/>
    <w:rsid w:val="00987B98"/>
    <w:rsid w:val="00995E0A"/>
    <w:rsid w:val="009B1C06"/>
    <w:rsid w:val="009B4411"/>
    <w:rsid w:val="009B5608"/>
    <w:rsid w:val="009C22D0"/>
    <w:rsid w:val="009D5A08"/>
    <w:rsid w:val="009E69A1"/>
    <w:rsid w:val="009F24FB"/>
    <w:rsid w:val="009F4939"/>
    <w:rsid w:val="009F7BD8"/>
    <w:rsid w:val="00A022C7"/>
    <w:rsid w:val="00A02D20"/>
    <w:rsid w:val="00A0627A"/>
    <w:rsid w:val="00A22653"/>
    <w:rsid w:val="00A23BC5"/>
    <w:rsid w:val="00A24F45"/>
    <w:rsid w:val="00A345AE"/>
    <w:rsid w:val="00A354EE"/>
    <w:rsid w:val="00A409B8"/>
    <w:rsid w:val="00A4383B"/>
    <w:rsid w:val="00A475EE"/>
    <w:rsid w:val="00A47DF2"/>
    <w:rsid w:val="00A523A9"/>
    <w:rsid w:val="00A52E9C"/>
    <w:rsid w:val="00A67786"/>
    <w:rsid w:val="00A67C1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5387"/>
    <w:rsid w:val="00AF7EAE"/>
    <w:rsid w:val="00B03092"/>
    <w:rsid w:val="00B0541E"/>
    <w:rsid w:val="00B13849"/>
    <w:rsid w:val="00B23067"/>
    <w:rsid w:val="00B2590D"/>
    <w:rsid w:val="00B32E66"/>
    <w:rsid w:val="00B34848"/>
    <w:rsid w:val="00B40E21"/>
    <w:rsid w:val="00B45676"/>
    <w:rsid w:val="00B45F71"/>
    <w:rsid w:val="00B5018B"/>
    <w:rsid w:val="00B625D9"/>
    <w:rsid w:val="00B665D7"/>
    <w:rsid w:val="00B70745"/>
    <w:rsid w:val="00B70860"/>
    <w:rsid w:val="00B71D02"/>
    <w:rsid w:val="00B922CF"/>
    <w:rsid w:val="00BA47D2"/>
    <w:rsid w:val="00BA61F7"/>
    <w:rsid w:val="00BB3104"/>
    <w:rsid w:val="00BB352A"/>
    <w:rsid w:val="00BC2D8F"/>
    <w:rsid w:val="00BC2DE6"/>
    <w:rsid w:val="00BC7240"/>
    <w:rsid w:val="00BD42F1"/>
    <w:rsid w:val="00BE1D82"/>
    <w:rsid w:val="00BE6352"/>
    <w:rsid w:val="00BF5F04"/>
    <w:rsid w:val="00C052E4"/>
    <w:rsid w:val="00C1140C"/>
    <w:rsid w:val="00C1195C"/>
    <w:rsid w:val="00C136F0"/>
    <w:rsid w:val="00C150A5"/>
    <w:rsid w:val="00C21F78"/>
    <w:rsid w:val="00C224B0"/>
    <w:rsid w:val="00C25C02"/>
    <w:rsid w:val="00C27A38"/>
    <w:rsid w:val="00C322C5"/>
    <w:rsid w:val="00C34D87"/>
    <w:rsid w:val="00C37F96"/>
    <w:rsid w:val="00C419F9"/>
    <w:rsid w:val="00C426F5"/>
    <w:rsid w:val="00C45D4C"/>
    <w:rsid w:val="00C546D2"/>
    <w:rsid w:val="00C61510"/>
    <w:rsid w:val="00C61561"/>
    <w:rsid w:val="00C6634A"/>
    <w:rsid w:val="00C7068E"/>
    <w:rsid w:val="00C769EE"/>
    <w:rsid w:val="00C82287"/>
    <w:rsid w:val="00C86201"/>
    <w:rsid w:val="00C872F1"/>
    <w:rsid w:val="00C908AD"/>
    <w:rsid w:val="00C920E5"/>
    <w:rsid w:val="00C94BB9"/>
    <w:rsid w:val="00CA1E0E"/>
    <w:rsid w:val="00CA5BA3"/>
    <w:rsid w:val="00CA6547"/>
    <w:rsid w:val="00CB0D2B"/>
    <w:rsid w:val="00CB4F5E"/>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5F74"/>
    <w:rsid w:val="00D4029A"/>
    <w:rsid w:val="00D416A5"/>
    <w:rsid w:val="00D50C56"/>
    <w:rsid w:val="00D5488B"/>
    <w:rsid w:val="00D55074"/>
    <w:rsid w:val="00D55AA4"/>
    <w:rsid w:val="00D6261D"/>
    <w:rsid w:val="00D6598A"/>
    <w:rsid w:val="00D65F4B"/>
    <w:rsid w:val="00D71653"/>
    <w:rsid w:val="00D72436"/>
    <w:rsid w:val="00D8063C"/>
    <w:rsid w:val="00D926F9"/>
    <w:rsid w:val="00D93182"/>
    <w:rsid w:val="00D961B5"/>
    <w:rsid w:val="00DA7FD6"/>
    <w:rsid w:val="00DB0EEB"/>
    <w:rsid w:val="00DB7EE0"/>
    <w:rsid w:val="00DD3E7F"/>
    <w:rsid w:val="00DE0ECC"/>
    <w:rsid w:val="00DE2348"/>
    <w:rsid w:val="00DE3943"/>
    <w:rsid w:val="00DE562E"/>
    <w:rsid w:val="00DE77F8"/>
    <w:rsid w:val="00DF0138"/>
    <w:rsid w:val="00DF294A"/>
    <w:rsid w:val="00E00EAF"/>
    <w:rsid w:val="00E0236A"/>
    <w:rsid w:val="00E04B12"/>
    <w:rsid w:val="00E11739"/>
    <w:rsid w:val="00E12F72"/>
    <w:rsid w:val="00E15A2D"/>
    <w:rsid w:val="00E15B2B"/>
    <w:rsid w:val="00E267A5"/>
    <w:rsid w:val="00E307E2"/>
    <w:rsid w:val="00E35AC9"/>
    <w:rsid w:val="00E40F74"/>
    <w:rsid w:val="00E413A9"/>
    <w:rsid w:val="00E5003A"/>
    <w:rsid w:val="00E514FA"/>
    <w:rsid w:val="00E56529"/>
    <w:rsid w:val="00E6135C"/>
    <w:rsid w:val="00E67591"/>
    <w:rsid w:val="00E67A2A"/>
    <w:rsid w:val="00E728B0"/>
    <w:rsid w:val="00E75758"/>
    <w:rsid w:val="00E75BC0"/>
    <w:rsid w:val="00E85ECC"/>
    <w:rsid w:val="00E87284"/>
    <w:rsid w:val="00E9292D"/>
    <w:rsid w:val="00EA2B0E"/>
    <w:rsid w:val="00EA56F6"/>
    <w:rsid w:val="00EA77CE"/>
    <w:rsid w:val="00EB1DAB"/>
    <w:rsid w:val="00EC15BD"/>
    <w:rsid w:val="00EC38D5"/>
    <w:rsid w:val="00EC477B"/>
    <w:rsid w:val="00ED0F47"/>
    <w:rsid w:val="00EE34BE"/>
    <w:rsid w:val="00EF433B"/>
    <w:rsid w:val="00EF6C7F"/>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49A4"/>
    <w:rsid w:val="00F85050"/>
    <w:rsid w:val="00F86303"/>
    <w:rsid w:val="00F95BD7"/>
    <w:rsid w:val="00FA1741"/>
    <w:rsid w:val="00FA6242"/>
    <w:rsid w:val="00FA643C"/>
    <w:rsid w:val="00FA7894"/>
    <w:rsid w:val="00FC4DCA"/>
    <w:rsid w:val="00FC4DD1"/>
    <w:rsid w:val="00FD1DCC"/>
    <w:rsid w:val="00FD2E3D"/>
    <w:rsid w:val="00FE5CAF"/>
    <w:rsid w:val="00FE6157"/>
    <w:rsid w:val="00FE74BE"/>
    <w:rsid w:val="00FF0B73"/>
    <w:rsid w:val="00FF1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9B5608"/>
    <w:pPr>
      <w:ind w:left="720"/>
    </w:pPr>
  </w:style>
</w:styles>
</file>

<file path=word/webSettings.xml><?xml version="1.0" encoding="utf-8"?>
<w:webSettings xmlns:r="http://schemas.openxmlformats.org/officeDocument/2006/relationships" xmlns:w="http://schemas.openxmlformats.org/wordprocessingml/2006/main">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JANDEBEUR</dc:creator>
  <cp:keywords/>
  <dc:description/>
  <cp:lastModifiedBy>shoffner</cp:lastModifiedBy>
  <cp:revision>4</cp:revision>
  <cp:lastPrinted>2010-07-12T19:51:00Z</cp:lastPrinted>
  <dcterms:created xsi:type="dcterms:W3CDTF">2010-07-12T19:57:00Z</dcterms:created>
  <dcterms:modified xsi:type="dcterms:W3CDTF">2010-07-14T15:11:00Z</dcterms:modified>
</cp:coreProperties>
</file>