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EA" w:rsidRDefault="001362EA" w:rsidP="001362EA">
      <w:pPr>
        <w:jc w:val="center"/>
        <w:rPr>
          <w:b/>
        </w:rPr>
      </w:pPr>
      <w:r>
        <w:rPr>
          <w:b/>
        </w:rPr>
        <w:t>BEFORE THE</w:t>
      </w:r>
    </w:p>
    <w:p w:rsidR="001362EA" w:rsidRDefault="001362EA" w:rsidP="001362EA">
      <w:pPr>
        <w:jc w:val="center"/>
      </w:pPr>
      <w:r>
        <w:rPr>
          <w:b/>
        </w:rPr>
        <w:t>PENNSYLVANIA PUBLIC UTILITY COMMISSION</w:t>
      </w:r>
    </w:p>
    <w:p w:rsidR="001362EA" w:rsidRDefault="001362EA" w:rsidP="001362EA"/>
    <w:p w:rsidR="001362EA" w:rsidRDefault="001362EA" w:rsidP="001362EA"/>
    <w:p w:rsidR="001362EA" w:rsidRDefault="001362EA" w:rsidP="001362EA"/>
    <w:p w:rsidR="001362EA" w:rsidRDefault="001A7948" w:rsidP="001362EA">
      <w:r>
        <w:t>Louise Cullen</w:t>
      </w:r>
      <w:r w:rsidR="001362EA">
        <w:tab/>
      </w:r>
      <w:r w:rsidR="001362EA">
        <w:tab/>
      </w:r>
      <w:r w:rsidR="001362EA">
        <w:tab/>
      </w:r>
      <w:r w:rsidR="001362EA">
        <w:tab/>
      </w:r>
      <w:r>
        <w:tab/>
      </w:r>
      <w:r w:rsidR="001362EA">
        <w:tab/>
        <w:t>:</w:t>
      </w:r>
    </w:p>
    <w:p w:rsidR="001362EA" w:rsidRDefault="001362EA" w:rsidP="001362EA">
      <w:r>
        <w:tab/>
      </w:r>
      <w:r>
        <w:tab/>
      </w:r>
      <w:r>
        <w:tab/>
      </w:r>
      <w:r>
        <w:tab/>
      </w:r>
      <w:r>
        <w:tab/>
      </w:r>
      <w:r>
        <w:tab/>
      </w:r>
      <w:r>
        <w:tab/>
        <w:t>:</w:t>
      </w:r>
    </w:p>
    <w:p w:rsidR="001362EA" w:rsidRDefault="001362EA" w:rsidP="001362EA">
      <w:r>
        <w:tab/>
        <w:t>v.</w:t>
      </w:r>
      <w:r>
        <w:tab/>
      </w:r>
      <w:r>
        <w:tab/>
      </w:r>
      <w:r>
        <w:tab/>
      </w:r>
      <w:r>
        <w:tab/>
      </w:r>
      <w:r w:rsidR="004128E7">
        <w:tab/>
      </w:r>
      <w:r>
        <w:tab/>
        <w:t>:</w:t>
      </w:r>
      <w:r>
        <w:tab/>
      </w:r>
      <w:r w:rsidR="004128E7">
        <w:tab/>
      </w:r>
      <w:r w:rsidR="001A7948">
        <w:t>F-2009-2148022</w:t>
      </w:r>
    </w:p>
    <w:p w:rsidR="001362EA" w:rsidRDefault="001362EA" w:rsidP="001362EA">
      <w:r>
        <w:tab/>
      </w:r>
      <w:r>
        <w:tab/>
      </w:r>
      <w:r>
        <w:tab/>
      </w:r>
      <w:r>
        <w:tab/>
      </w:r>
      <w:r>
        <w:tab/>
      </w:r>
      <w:r>
        <w:tab/>
      </w:r>
      <w:r>
        <w:tab/>
        <w:t>:</w:t>
      </w:r>
    </w:p>
    <w:p w:rsidR="001362EA" w:rsidRDefault="001A7948" w:rsidP="001362EA">
      <w:r>
        <w:t>Duquesne Light Company</w:t>
      </w:r>
      <w:r w:rsidR="001362EA">
        <w:tab/>
      </w:r>
      <w:r w:rsidR="001362EA">
        <w:tab/>
      </w:r>
      <w:r w:rsidR="001362EA">
        <w:tab/>
      </w:r>
      <w:r w:rsidR="001362EA">
        <w:tab/>
        <w:t>:</w:t>
      </w:r>
    </w:p>
    <w:p w:rsidR="001362EA" w:rsidRDefault="001362EA" w:rsidP="001362EA"/>
    <w:p w:rsidR="001362EA" w:rsidRDefault="001362EA" w:rsidP="001362EA"/>
    <w:p w:rsidR="001362EA" w:rsidRDefault="001362EA" w:rsidP="001362EA"/>
    <w:p w:rsidR="001362EA" w:rsidRDefault="001362EA" w:rsidP="001362EA">
      <w:pPr>
        <w:jc w:val="center"/>
      </w:pPr>
      <w:r>
        <w:rPr>
          <w:b/>
          <w:u w:val="single"/>
        </w:rPr>
        <w:t>INITIAL DECISION</w:t>
      </w:r>
    </w:p>
    <w:p w:rsidR="001362EA" w:rsidRDefault="001362EA" w:rsidP="001362EA">
      <w:pPr>
        <w:jc w:val="center"/>
      </w:pPr>
    </w:p>
    <w:p w:rsidR="004128E7" w:rsidRDefault="004128E7" w:rsidP="00D17677">
      <w:pPr>
        <w:jc w:val="center"/>
      </w:pPr>
    </w:p>
    <w:p w:rsidR="00927ED9" w:rsidRDefault="00D17677" w:rsidP="00D17677">
      <w:pPr>
        <w:jc w:val="center"/>
      </w:pPr>
      <w:r>
        <w:t>Before</w:t>
      </w:r>
    </w:p>
    <w:p w:rsidR="00D17677" w:rsidRDefault="00D17677" w:rsidP="00D17677">
      <w:pPr>
        <w:jc w:val="center"/>
      </w:pPr>
      <w:r>
        <w:t>Mary D. Long</w:t>
      </w:r>
    </w:p>
    <w:p w:rsidR="00D17677" w:rsidRDefault="00D17677" w:rsidP="00D17677">
      <w:pPr>
        <w:jc w:val="center"/>
      </w:pPr>
      <w:r>
        <w:t>Administrative Law Judge</w:t>
      </w:r>
    </w:p>
    <w:p w:rsidR="00D17677" w:rsidRDefault="00D17677"/>
    <w:p w:rsidR="004128E7" w:rsidRDefault="004128E7"/>
    <w:p w:rsidR="00D17677" w:rsidRDefault="00D17677" w:rsidP="004128E7">
      <w:pPr>
        <w:spacing w:line="360" w:lineRule="auto"/>
        <w:ind w:firstLine="1440"/>
      </w:pPr>
      <w:r>
        <w:t>This Initial Decision dismisses the complaint filed by Louise Cullen</w:t>
      </w:r>
      <w:r w:rsidR="009119C6">
        <w:t xml:space="preserve"> (Ms. Cullen)</w:t>
      </w:r>
      <w:r>
        <w:t>, against Duquesne Light Company</w:t>
      </w:r>
      <w:r w:rsidR="009119C6">
        <w:t xml:space="preserve"> (Duquesne Light)</w:t>
      </w:r>
      <w:r>
        <w:t>, at Docket No. F-2009-2148022, for the failure to satisfy the burden of proof.</w:t>
      </w:r>
    </w:p>
    <w:p w:rsidR="00CA3044" w:rsidRDefault="00CA3044" w:rsidP="004128E7">
      <w:pPr>
        <w:spacing w:line="360" w:lineRule="auto"/>
      </w:pPr>
    </w:p>
    <w:p w:rsidR="00CA3044" w:rsidRPr="00F21ACA" w:rsidRDefault="00CA3044" w:rsidP="004128E7">
      <w:pPr>
        <w:spacing w:line="360" w:lineRule="auto"/>
        <w:jc w:val="center"/>
        <w:rPr>
          <w:u w:val="single"/>
        </w:rPr>
      </w:pPr>
      <w:r w:rsidRPr="00F21ACA">
        <w:rPr>
          <w:u w:val="single"/>
        </w:rPr>
        <w:t>HISTORY OF THE PROCEEDING</w:t>
      </w:r>
    </w:p>
    <w:p w:rsidR="004128E7" w:rsidRDefault="004128E7" w:rsidP="004128E7">
      <w:pPr>
        <w:spacing w:line="360" w:lineRule="auto"/>
      </w:pPr>
    </w:p>
    <w:p w:rsidR="0059715B" w:rsidRDefault="00CA3044" w:rsidP="004128E7">
      <w:pPr>
        <w:spacing w:line="360" w:lineRule="auto"/>
        <w:ind w:firstLine="1440"/>
      </w:pPr>
      <w:r>
        <w:t>In her complaint, filed on December 14, 2009, Ms. Cullen alleged that Duquesne Light was refusing to provide her with electric service</w:t>
      </w:r>
      <w:r w:rsidR="008035E5">
        <w:t xml:space="preserve"> at a rental property that she owns </w:t>
      </w:r>
      <w:r w:rsidR="00E25285">
        <w:t xml:space="preserve">because she </w:t>
      </w:r>
      <w:r w:rsidR="008035E5">
        <w:t>did not want</w:t>
      </w:r>
      <w:r w:rsidR="00E25285">
        <w:t xml:space="preserve"> to provide Duquesne with her social security number</w:t>
      </w:r>
      <w:r w:rsidR="008035E5">
        <w:t xml:space="preserve"> or complete an application for service</w:t>
      </w:r>
      <w:r w:rsidR="00E25285">
        <w:t>. Duquesne’s answer</w:t>
      </w:r>
      <w:r w:rsidR="00FA02E4">
        <w:t xml:space="preserve"> was filed on January 15, 2010. By Hearing Notice</w:t>
      </w:r>
      <w:r w:rsidR="0059715B">
        <w:t xml:space="preserve"> dated March 17, 2010, the Commission informed the parties that the hearing in this case would be held on April 20, 2010, and I issued a Prehearing Order on March 23, 2010. </w:t>
      </w:r>
    </w:p>
    <w:p w:rsidR="0059715B" w:rsidRDefault="0059715B" w:rsidP="004128E7">
      <w:pPr>
        <w:spacing w:line="360" w:lineRule="auto"/>
      </w:pPr>
    </w:p>
    <w:p w:rsidR="0059715B" w:rsidRDefault="0059715B" w:rsidP="004128E7">
      <w:pPr>
        <w:spacing w:line="360" w:lineRule="auto"/>
        <w:ind w:firstLine="1440"/>
      </w:pPr>
      <w:r>
        <w:t>The hearing was held on April 20, 2010. Ms. Cullen appeared on her own behalf, and testified in support of her complaint. She submitted 13 exhibits which were admitted into the reco</w:t>
      </w:r>
      <w:r w:rsidR="002C7D49">
        <w:t>rd without objection. Duquesne Light, represented by Krysia Kubiak, Esq., presented the testimony of one witness and submitted four exhibits, which were admitted into the record.</w:t>
      </w:r>
      <w:r w:rsidR="00057DA9">
        <w:t xml:space="preserve"> The </w:t>
      </w:r>
      <w:r w:rsidR="00057DA9">
        <w:lastRenderedPageBreak/>
        <w:t xml:space="preserve">record, consisting of the </w:t>
      </w:r>
      <w:r w:rsidR="00A94F56">
        <w:t>41</w:t>
      </w:r>
      <w:r w:rsidR="00394BD7">
        <w:t>-</w:t>
      </w:r>
      <w:r w:rsidR="00057DA9">
        <w:t xml:space="preserve">page transcript of the hearing and the 17 exhibits, was closed by Order </w:t>
      </w:r>
      <w:r w:rsidR="00EC0509">
        <w:t xml:space="preserve">dated June 8, 2010. </w:t>
      </w:r>
      <w:r w:rsidR="00057DA9">
        <w:t>Briefs have not been filed in this case. After full consideration of all these materials, I make the following:</w:t>
      </w:r>
    </w:p>
    <w:p w:rsidR="004128E7" w:rsidRDefault="004128E7" w:rsidP="004128E7">
      <w:pPr>
        <w:spacing w:line="360" w:lineRule="auto"/>
        <w:jc w:val="center"/>
        <w:rPr>
          <w:b/>
        </w:rPr>
      </w:pPr>
    </w:p>
    <w:p w:rsidR="00057DA9" w:rsidRDefault="00C13B04" w:rsidP="004128E7">
      <w:pPr>
        <w:spacing w:line="360" w:lineRule="auto"/>
        <w:jc w:val="center"/>
        <w:rPr>
          <w:u w:val="single"/>
        </w:rPr>
      </w:pPr>
      <w:r w:rsidRPr="00F21ACA">
        <w:rPr>
          <w:u w:val="single"/>
        </w:rPr>
        <w:t>FINDINGS OF FACT</w:t>
      </w:r>
    </w:p>
    <w:p w:rsidR="00F21ACA" w:rsidRPr="00F21ACA" w:rsidRDefault="00F21ACA" w:rsidP="004128E7">
      <w:pPr>
        <w:spacing w:line="360" w:lineRule="auto"/>
        <w:jc w:val="center"/>
        <w:rPr>
          <w:u w:val="single"/>
        </w:rPr>
      </w:pPr>
    </w:p>
    <w:p w:rsidR="00C13B04" w:rsidRDefault="00B43FFC" w:rsidP="00F21ACA">
      <w:pPr>
        <w:pStyle w:val="ListParagraph"/>
        <w:ind w:left="0" w:firstLine="1440"/>
      </w:pPr>
      <w:r>
        <w:t>The Complainant, Louise Cullen</w:t>
      </w:r>
      <w:r w:rsidR="00EB7404">
        <w:t>,</w:t>
      </w:r>
      <w:r>
        <w:t xml:space="preserve"> resides at 525 Roseland Avenue, Pittsburgh Pennsylvania 15214. (</w:t>
      </w:r>
      <w:r w:rsidR="003E4532">
        <w:t>Tr. 12</w:t>
      </w:r>
      <w:r>
        <w:t>)</w:t>
      </w:r>
    </w:p>
    <w:p w:rsidR="004128E7" w:rsidRDefault="004128E7" w:rsidP="00F21ACA">
      <w:pPr>
        <w:pStyle w:val="ListParagraph"/>
        <w:numPr>
          <w:ilvl w:val="0"/>
          <w:numId w:val="0"/>
        </w:numPr>
        <w:ind w:firstLine="1440"/>
      </w:pPr>
    </w:p>
    <w:p w:rsidR="00B43FFC" w:rsidRDefault="00B43FFC" w:rsidP="00F21ACA">
      <w:pPr>
        <w:pStyle w:val="ListParagraph"/>
        <w:ind w:left="0" w:firstLine="1440"/>
      </w:pPr>
      <w:r>
        <w:t>The Respondent is Duquesne Light Company.</w:t>
      </w:r>
    </w:p>
    <w:p w:rsidR="004128E7" w:rsidRDefault="004128E7" w:rsidP="00F21ACA">
      <w:pPr>
        <w:pStyle w:val="ListParagraph"/>
        <w:numPr>
          <w:ilvl w:val="0"/>
          <w:numId w:val="0"/>
        </w:numPr>
        <w:ind w:firstLine="1440"/>
      </w:pPr>
    </w:p>
    <w:p w:rsidR="00B43FFC" w:rsidRDefault="00B43FFC" w:rsidP="00F21ACA">
      <w:pPr>
        <w:pStyle w:val="ListParagraph"/>
        <w:ind w:left="0" w:firstLine="1440"/>
      </w:pPr>
      <w:r>
        <w:t xml:space="preserve">In her Complaint, Ms. Cullen </w:t>
      </w:r>
      <w:r w:rsidRPr="007B32F3">
        <w:t>states</w:t>
      </w:r>
      <w:r>
        <w:t xml:space="preserve"> that Duquesne Light refuses to provide electric service to her property at 1766 Perrysville Avenue, Pittsburgh, Pennsylvania 15212.</w:t>
      </w:r>
    </w:p>
    <w:p w:rsidR="004128E7" w:rsidRDefault="004128E7" w:rsidP="00F21ACA">
      <w:pPr>
        <w:pStyle w:val="ListParagraph"/>
        <w:numPr>
          <w:ilvl w:val="0"/>
          <w:numId w:val="0"/>
        </w:numPr>
        <w:ind w:firstLine="1440"/>
      </w:pPr>
    </w:p>
    <w:p w:rsidR="009735F1" w:rsidRDefault="009735F1" w:rsidP="00F21ACA">
      <w:pPr>
        <w:pStyle w:val="ListParagraph"/>
        <w:ind w:left="0" w:firstLine="1440"/>
      </w:pPr>
      <w:r>
        <w:t xml:space="preserve">Ms. Cullen </w:t>
      </w:r>
      <w:r w:rsidR="0036255A">
        <w:t>testified that she owns several properties to which Duquesne Light provides electric service. (Tr. 8; Ex</w:t>
      </w:r>
      <w:r w:rsidR="00EC3354">
        <w:t>s</w:t>
      </w:r>
      <w:r w:rsidR="0036255A">
        <w:t>. C-1</w:t>
      </w:r>
      <w:r w:rsidR="00EB7404">
        <w:t>,</w:t>
      </w:r>
      <w:r w:rsidR="00B86614">
        <w:t xml:space="preserve"> C-4, C-5,</w:t>
      </w:r>
      <w:r w:rsidR="00EB7404">
        <w:t xml:space="preserve"> </w:t>
      </w:r>
      <w:r w:rsidR="00B86614">
        <w:t>C-6, C-7, C-10, C-12</w:t>
      </w:r>
      <w:r w:rsidR="0036255A">
        <w:rPr>
          <w:rStyle w:val="FootnoteReference"/>
        </w:rPr>
        <w:footnoteReference w:id="1"/>
      </w:r>
      <w:r w:rsidR="0036255A">
        <w:t>)</w:t>
      </w:r>
    </w:p>
    <w:p w:rsidR="004128E7" w:rsidRDefault="004128E7" w:rsidP="00F21ACA">
      <w:pPr>
        <w:pStyle w:val="ListParagraph"/>
        <w:numPr>
          <w:ilvl w:val="0"/>
          <w:numId w:val="0"/>
        </w:numPr>
        <w:ind w:firstLine="1440"/>
      </w:pPr>
    </w:p>
    <w:p w:rsidR="00EC3354" w:rsidRDefault="00EC3354" w:rsidP="00F21ACA">
      <w:pPr>
        <w:pStyle w:val="ListParagraph"/>
        <w:ind w:left="0" w:firstLine="1440"/>
      </w:pPr>
      <w:r>
        <w:t xml:space="preserve">Ms. Cullen also claimed that several properties </w:t>
      </w:r>
      <w:r w:rsidR="008035E5">
        <w:t>are</w:t>
      </w:r>
      <w:r>
        <w:t xml:space="preserve"> owned by her, although the names on the account were not hers. Some of the accounts had her husband’s name on them and one other was in the name of her deceased mother. (Tr. 12-13; Exs. C-1, C-8, C-9, C-11</w:t>
      </w:r>
      <w:r w:rsidR="00213019">
        <w:t>)</w:t>
      </w:r>
    </w:p>
    <w:p w:rsidR="004128E7" w:rsidRDefault="004128E7" w:rsidP="00F21ACA">
      <w:pPr>
        <w:pStyle w:val="ListParagraph"/>
        <w:numPr>
          <w:ilvl w:val="0"/>
          <w:numId w:val="0"/>
        </w:numPr>
        <w:ind w:firstLine="1440"/>
      </w:pPr>
    </w:p>
    <w:p w:rsidR="009735F1" w:rsidRDefault="009735F1" w:rsidP="00F21ACA">
      <w:pPr>
        <w:pStyle w:val="ListParagraph"/>
        <w:ind w:left="0" w:firstLine="1440"/>
      </w:pPr>
      <w:r>
        <w:t>In August 2008 Duquesne Light provided service to Ms. Cullen at 1766 Perrysville Avenue.</w:t>
      </w:r>
      <w:r w:rsidR="0036255A">
        <w:t xml:space="preserve"> After she paid the August 2008 bill in full, a tenant moved into the property. Once a tenant moves into one of her properties, </w:t>
      </w:r>
      <w:r w:rsidR="008035E5">
        <w:t>Ms. Cullen</w:t>
      </w:r>
      <w:r w:rsidR="0036255A">
        <w:t xml:space="preserve"> requires the tenant to put the electric service into the tenant’</w:t>
      </w:r>
      <w:r w:rsidR="000216FE">
        <w:t>s name. When a tenant moves out, she switches the account back to her name. (Tr. 9-10)</w:t>
      </w:r>
    </w:p>
    <w:p w:rsidR="004128E7" w:rsidRDefault="004128E7" w:rsidP="00F21ACA">
      <w:pPr>
        <w:pStyle w:val="ListParagraph"/>
        <w:numPr>
          <w:ilvl w:val="0"/>
          <w:numId w:val="0"/>
        </w:numPr>
        <w:ind w:firstLine="1440"/>
      </w:pPr>
    </w:p>
    <w:p w:rsidR="003E4532" w:rsidRDefault="003E4532" w:rsidP="00F21ACA">
      <w:pPr>
        <w:pStyle w:val="ListParagraph"/>
        <w:ind w:left="0" w:firstLine="1440"/>
      </w:pPr>
      <w:r>
        <w:lastRenderedPageBreak/>
        <w:t>In the past, Ms. Cullen testified that she has not had a problem putting an electric account back in her name once a tenant vacates a property. (Tr. 10, 11)</w:t>
      </w:r>
    </w:p>
    <w:p w:rsidR="00011EF4" w:rsidRDefault="00011EF4" w:rsidP="00011EF4">
      <w:pPr>
        <w:pStyle w:val="ListParagraph"/>
        <w:numPr>
          <w:ilvl w:val="0"/>
          <w:numId w:val="0"/>
        </w:numPr>
        <w:ind w:left="1440"/>
      </w:pPr>
    </w:p>
    <w:p w:rsidR="00B576AD" w:rsidRDefault="00B576AD" w:rsidP="00F21ACA">
      <w:pPr>
        <w:pStyle w:val="ListParagraph"/>
        <w:ind w:left="0" w:firstLine="1440"/>
      </w:pPr>
      <w:r>
        <w:t>The Duquesne Light account records for many of the properties identified by Ms. Cullen as properties owned by her were associated with a social security number that she testified was not her social security number. (Tr. 16)</w:t>
      </w:r>
    </w:p>
    <w:p w:rsidR="004128E7" w:rsidRDefault="004128E7" w:rsidP="00F21ACA">
      <w:pPr>
        <w:pStyle w:val="ListParagraph"/>
        <w:numPr>
          <w:ilvl w:val="0"/>
          <w:numId w:val="0"/>
        </w:numPr>
        <w:ind w:firstLine="1440"/>
      </w:pPr>
    </w:p>
    <w:p w:rsidR="00B576AD" w:rsidRDefault="00E5760A" w:rsidP="00F21ACA">
      <w:pPr>
        <w:pStyle w:val="ListParagraph"/>
        <w:ind w:left="0" w:firstLine="1440"/>
      </w:pPr>
      <w:r>
        <w:t>Ms. Cullen did not want to give Duquesne Light her social security number and she refused to fill out an application. (Tr. 17-18)</w:t>
      </w:r>
    </w:p>
    <w:p w:rsidR="004128E7" w:rsidRDefault="004128E7" w:rsidP="00F21ACA">
      <w:pPr>
        <w:pStyle w:val="ListParagraph"/>
        <w:numPr>
          <w:ilvl w:val="0"/>
          <w:numId w:val="0"/>
        </w:numPr>
        <w:ind w:firstLine="1440"/>
      </w:pPr>
    </w:p>
    <w:p w:rsidR="00E5760A" w:rsidRDefault="00E5760A" w:rsidP="00F21ACA">
      <w:pPr>
        <w:pStyle w:val="ListParagraph"/>
        <w:ind w:left="0" w:firstLine="1440"/>
      </w:pPr>
      <w:r>
        <w:t>The owner of the property at 1766 Perrysville Avenue is listed on county records as “Deborah Pullen.” (Tr. 18</w:t>
      </w:r>
      <w:r w:rsidR="00011EF4">
        <w:t>)</w:t>
      </w:r>
    </w:p>
    <w:p w:rsidR="004128E7" w:rsidRDefault="004128E7" w:rsidP="00F21ACA">
      <w:pPr>
        <w:pStyle w:val="ListParagraph"/>
        <w:numPr>
          <w:ilvl w:val="0"/>
          <w:numId w:val="0"/>
        </w:numPr>
        <w:ind w:firstLine="1440"/>
      </w:pPr>
    </w:p>
    <w:p w:rsidR="00E5760A" w:rsidRDefault="00E5760A" w:rsidP="00F21ACA">
      <w:pPr>
        <w:pStyle w:val="ListParagraph"/>
        <w:ind w:left="0" w:firstLine="1440"/>
      </w:pPr>
      <w:r>
        <w:t xml:space="preserve">Ms. Cullen testified that Deborah Pullen </w:t>
      </w:r>
      <w:r w:rsidR="008035E5">
        <w:t xml:space="preserve">is </w:t>
      </w:r>
      <w:r>
        <w:t>her maiden name. (Tr. 18)</w:t>
      </w:r>
    </w:p>
    <w:p w:rsidR="004128E7" w:rsidRDefault="004128E7" w:rsidP="00F21ACA">
      <w:pPr>
        <w:pStyle w:val="ListParagraph"/>
        <w:numPr>
          <w:ilvl w:val="0"/>
          <w:numId w:val="0"/>
        </w:numPr>
        <w:ind w:firstLine="1440"/>
      </w:pPr>
    </w:p>
    <w:p w:rsidR="008F3737" w:rsidRDefault="008F3737" w:rsidP="00F21ACA">
      <w:pPr>
        <w:pStyle w:val="ListParagraph"/>
        <w:ind w:left="0" w:firstLine="1440"/>
      </w:pPr>
      <w:r>
        <w:t>Joseph Becker is a regulatory consumer relations specialist for Duquesne Light. His employment responsibilities include responding to PUC complaints received by customers. (Tr. 20)</w:t>
      </w:r>
    </w:p>
    <w:p w:rsidR="004128E7" w:rsidRDefault="004128E7" w:rsidP="00F21ACA">
      <w:pPr>
        <w:pStyle w:val="ListParagraph"/>
        <w:numPr>
          <w:ilvl w:val="0"/>
          <w:numId w:val="0"/>
        </w:numPr>
        <w:ind w:firstLine="1440"/>
      </w:pPr>
    </w:p>
    <w:p w:rsidR="008F3737" w:rsidRDefault="008F3737" w:rsidP="00F21ACA">
      <w:pPr>
        <w:pStyle w:val="ListParagraph"/>
        <w:ind w:left="0" w:firstLine="1440"/>
      </w:pPr>
      <w:r>
        <w:t xml:space="preserve">Customer service records indicate that </w:t>
      </w:r>
      <w:r w:rsidR="009E4D0B">
        <w:t xml:space="preserve">a Louise </w:t>
      </w:r>
      <w:r>
        <w:t>Cullen contacted Duquesne Light on October 15, 2009 to request service for 1766 Perrysville Avenue. She refused to provide her social security number</w:t>
      </w:r>
      <w:r w:rsidR="005D38EB">
        <w:t xml:space="preserve"> as positive identification. (Tr. 23; </w:t>
      </w:r>
      <w:r w:rsidR="00910801">
        <w:t>Resp</w:t>
      </w:r>
      <w:r w:rsidR="005D38EB">
        <w:t>. Ex. 1)</w:t>
      </w:r>
    </w:p>
    <w:p w:rsidR="004128E7" w:rsidRDefault="004128E7" w:rsidP="00F21ACA">
      <w:pPr>
        <w:pStyle w:val="ListParagraph"/>
        <w:numPr>
          <w:ilvl w:val="0"/>
          <w:numId w:val="0"/>
        </w:numPr>
        <w:ind w:firstLine="1440"/>
      </w:pPr>
    </w:p>
    <w:p w:rsidR="00F85D1C" w:rsidRDefault="00F85D1C" w:rsidP="00F21ACA">
      <w:pPr>
        <w:pStyle w:val="ListParagraph"/>
        <w:ind w:left="0" w:firstLine="1440"/>
      </w:pPr>
      <w:r>
        <w:t xml:space="preserve">If a customer does not want to provide a social security number, they can complete a request for information, provide proof that they own or lease the property and pay a security deposit. </w:t>
      </w:r>
      <w:r w:rsidR="00AF1D0E">
        <w:t xml:space="preserve">The customer can then be given a password which is used by Duquesne Light to verify the customer’s identity. </w:t>
      </w:r>
      <w:r>
        <w:t>(Tr. 23</w:t>
      </w:r>
      <w:r w:rsidR="00AF1D0E">
        <w:t>, 28</w:t>
      </w:r>
      <w:r>
        <w:t>)</w:t>
      </w:r>
    </w:p>
    <w:p w:rsidR="004128E7" w:rsidRDefault="004128E7" w:rsidP="00F21ACA">
      <w:pPr>
        <w:pStyle w:val="ListParagraph"/>
        <w:numPr>
          <w:ilvl w:val="0"/>
          <w:numId w:val="0"/>
        </w:numPr>
        <w:ind w:firstLine="1440"/>
      </w:pPr>
    </w:p>
    <w:p w:rsidR="00DB2E8B" w:rsidRDefault="00DB2E8B" w:rsidP="00F21ACA">
      <w:pPr>
        <w:pStyle w:val="ListParagraph"/>
        <w:ind w:left="0" w:firstLine="1440"/>
      </w:pPr>
      <w:r>
        <w:t xml:space="preserve">The security deposit can be waived if a customer can provide written documentation confirming two years of good utility service. (Tr. 29; </w:t>
      </w:r>
      <w:r w:rsidR="00910801">
        <w:t>Resp</w:t>
      </w:r>
      <w:r>
        <w:t>. Ex. 3)</w:t>
      </w:r>
    </w:p>
    <w:p w:rsidR="004128E7" w:rsidRDefault="004128E7" w:rsidP="00F21ACA">
      <w:pPr>
        <w:pStyle w:val="ListParagraph"/>
        <w:numPr>
          <w:ilvl w:val="0"/>
          <w:numId w:val="0"/>
        </w:numPr>
        <w:ind w:firstLine="1440"/>
      </w:pPr>
    </w:p>
    <w:p w:rsidR="009E4D0B" w:rsidRDefault="009E4D0B" w:rsidP="00F21ACA">
      <w:pPr>
        <w:pStyle w:val="ListParagraph"/>
        <w:ind w:left="0" w:firstLine="1440"/>
      </w:pPr>
      <w:r>
        <w:lastRenderedPageBreak/>
        <w:t>Duquesne Light’s customer record search provided multiple accounts in the name of “Louise Cullen.” However, Duquesne Light could not verify that any of the Louise Cullens at any of the addresses were the same Louise Cullen who called to request service at 1766 Perrysville Avenue.</w:t>
      </w:r>
      <w:r w:rsidR="00FB5F7E">
        <w:t xml:space="preserve"> (Tr. 26-27)</w:t>
      </w:r>
    </w:p>
    <w:p w:rsidR="00BD1050" w:rsidRDefault="00BD1050" w:rsidP="00F21ACA">
      <w:pPr>
        <w:pStyle w:val="ListParagraph"/>
        <w:numPr>
          <w:ilvl w:val="0"/>
          <w:numId w:val="0"/>
        </w:numPr>
        <w:ind w:firstLine="1440"/>
      </w:pPr>
    </w:p>
    <w:p w:rsidR="00AF1D0E" w:rsidRDefault="00AF1D0E" w:rsidP="00F21ACA">
      <w:pPr>
        <w:pStyle w:val="ListParagraph"/>
        <w:ind w:left="0" w:firstLine="1440"/>
      </w:pPr>
      <w:r>
        <w:t>A further search of Duq</w:t>
      </w:r>
      <w:r w:rsidR="003D19D1">
        <w:t>u</w:t>
      </w:r>
      <w:r>
        <w:t>esne Light’s records revealed that none of the accounts located with the name of Louise Cullen had pass</w:t>
      </w:r>
      <w:r w:rsidR="009119C6">
        <w:t>word</w:t>
      </w:r>
      <w:r>
        <w:t xml:space="preserve">s associated with them. </w:t>
      </w:r>
      <w:r w:rsidR="00DB2E8B">
        <w:t>(Tr. 28)</w:t>
      </w:r>
    </w:p>
    <w:p w:rsidR="00BD1050" w:rsidRDefault="00BD1050" w:rsidP="00F21ACA">
      <w:pPr>
        <w:pStyle w:val="ListParagraph"/>
        <w:numPr>
          <w:ilvl w:val="0"/>
          <w:numId w:val="0"/>
        </w:numPr>
        <w:ind w:firstLine="1440"/>
      </w:pPr>
    </w:p>
    <w:p w:rsidR="00DB2E8B" w:rsidRDefault="005A645B" w:rsidP="00F21ACA">
      <w:pPr>
        <w:pStyle w:val="ListParagraph"/>
        <w:ind w:left="0" w:firstLine="1440"/>
      </w:pPr>
      <w:r>
        <w:t>Ms. Cullen never returned a completed application to Duquesne Light. (Tr. 29)</w:t>
      </w:r>
    </w:p>
    <w:p w:rsidR="00BD1050" w:rsidRDefault="00BD1050" w:rsidP="00F21ACA">
      <w:pPr>
        <w:pStyle w:val="ListParagraph"/>
        <w:numPr>
          <w:ilvl w:val="0"/>
          <w:numId w:val="0"/>
        </w:numPr>
        <w:ind w:firstLine="1440"/>
      </w:pPr>
    </w:p>
    <w:p w:rsidR="000306F1" w:rsidRDefault="000306F1" w:rsidP="00F21ACA">
      <w:pPr>
        <w:pStyle w:val="ListParagraph"/>
        <w:ind w:left="0" w:firstLine="1440"/>
      </w:pPr>
      <w:r>
        <w:t>If a customer can not verify their identity, Duquesne Light will not provide any information about an account. (Tr. 31)</w:t>
      </w:r>
    </w:p>
    <w:p w:rsidR="00BD1050" w:rsidRDefault="00BD1050" w:rsidP="00F21ACA">
      <w:pPr>
        <w:pStyle w:val="ListParagraph"/>
        <w:numPr>
          <w:ilvl w:val="0"/>
          <w:numId w:val="0"/>
        </w:numPr>
        <w:ind w:left="720"/>
      </w:pPr>
    </w:p>
    <w:p w:rsidR="00082817" w:rsidRPr="00F21ACA" w:rsidRDefault="00F10347" w:rsidP="004128E7">
      <w:pPr>
        <w:spacing w:line="360" w:lineRule="auto"/>
        <w:jc w:val="center"/>
        <w:rPr>
          <w:u w:val="single"/>
        </w:rPr>
      </w:pPr>
      <w:r w:rsidRPr="00F21ACA">
        <w:rPr>
          <w:u w:val="single"/>
        </w:rPr>
        <w:t>DISCUSSION</w:t>
      </w:r>
    </w:p>
    <w:p w:rsidR="00C81B96" w:rsidRDefault="00C81B96" w:rsidP="004128E7">
      <w:pPr>
        <w:spacing w:line="360" w:lineRule="auto"/>
        <w:jc w:val="center"/>
        <w:rPr>
          <w:b/>
        </w:rPr>
      </w:pPr>
    </w:p>
    <w:p w:rsidR="00DA72E2" w:rsidRPr="00F81039" w:rsidRDefault="00DA72E2" w:rsidP="004128E7">
      <w:pPr>
        <w:spacing w:line="360" w:lineRule="auto"/>
        <w:ind w:firstLine="1440"/>
      </w:pPr>
      <w:r w:rsidRPr="00F81039">
        <w:t xml:space="preserve">Section 701 of the Public Utility </w:t>
      </w:r>
      <w:r w:rsidR="00276412">
        <w:t>C</w:t>
      </w:r>
      <w:r w:rsidRPr="00F81039">
        <w:t>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Pr>
          <w:rStyle w:val="FootnoteReference"/>
        </w:rPr>
        <w:footnoteReference w:id="2"/>
      </w:r>
      <w:r w:rsidRPr="00F81039">
        <w:t xml:space="preserve">  </w:t>
      </w:r>
      <w:r>
        <w:t>A person</w:t>
      </w:r>
      <w:r w:rsidRPr="00F81039">
        <w:t xml:space="preserve"> seeking affirmative relief from the Commi</w:t>
      </w:r>
      <w:r>
        <w:t>ssion has the burden of proof.</w:t>
      </w:r>
      <w:r>
        <w:rPr>
          <w:rStyle w:val="FootnoteReference"/>
        </w:rPr>
        <w:footnoteReference w:id="3"/>
      </w:r>
    </w:p>
    <w:p w:rsidR="00DA72E2" w:rsidRPr="00F81039" w:rsidRDefault="00DA72E2" w:rsidP="004128E7">
      <w:pPr>
        <w:spacing w:line="360" w:lineRule="auto"/>
        <w:ind w:firstLine="1440"/>
      </w:pPr>
    </w:p>
    <w:p w:rsidR="00DA72E2" w:rsidRDefault="00DA72E2" w:rsidP="004128E7">
      <w:pPr>
        <w:spacing w:line="360" w:lineRule="auto"/>
        <w:ind w:firstLine="1440"/>
      </w:pPr>
      <w:r w:rsidRPr="00F81039">
        <w:t>In alleging</w:t>
      </w:r>
      <w:r>
        <w:t xml:space="preserve"> a service and billing dispute</w:t>
      </w:r>
      <w:r w:rsidRPr="00F81039">
        <w:t>, and requesting</w:t>
      </w:r>
      <w:r>
        <w:t xml:space="preserve"> that Duquesne be required to provide her with electric service</w:t>
      </w:r>
      <w:r w:rsidRPr="00F81039">
        <w:t>, it is clear that</w:t>
      </w:r>
      <w:r>
        <w:t xml:space="preserve"> Ms. Cullen </w:t>
      </w:r>
      <w:r w:rsidRPr="00F81039">
        <w:t>is the party seeking affirmative relief from the Commission and</w:t>
      </w:r>
      <w:r w:rsidR="00EB7404">
        <w:t>,</w:t>
      </w:r>
      <w:r w:rsidRPr="00F81039">
        <w:t xml:space="preserve"> therefore,</w:t>
      </w:r>
      <w:r>
        <w:t xml:space="preserve"> she</w:t>
      </w:r>
      <w:r w:rsidRPr="00F81039">
        <w:t xml:space="preserve"> has the burden of proof.  This means that </w:t>
      </w:r>
      <w:r>
        <w:t>s</w:t>
      </w:r>
      <w:r w:rsidRPr="00F81039">
        <w:t>he has the duty to establish a fact by a preponderance of the evidence, and must show that the utility is responsible or accountable for the problem described in the complaint.</w:t>
      </w:r>
      <w:r>
        <w:rPr>
          <w:rStyle w:val="FootnoteReference"/>
        </w:rPr>
        <w:footnoteReference w:id="4"/>
      </w:r>
      <w:r w:rsidRPr="00F81039">
        <w:t xml:space="preserve">  </w:t>
      </w:r>
    </w:p>
    <w:p w:rsidR="00DA72E2" w:rsidRPr="00F81039" w:rsidRDefault="00DA72E2" w:rsidP="004128E7">
      <w:pPr>
        <w:spacing w:line="360" w:lineRule="auto"/>
        <w:ind w:firstLine="1440"/>
      </w:pPr>
    </w:p>
    <w:p w:rsidR="00DA72E2" w:rsidRDefault="008035E5" w:rsidP="004128E7">
      <w:pPr>
        <w:spacing w:line="360" w:lineRule="auto"/>
        <w:ind w:firstLine="1440"/>
      </w:pPr>
      <w:r>
        <w:t>Upon the presentation by a c</w:t>
      </w:r>
      <w:r w:rsidR="00DA72E2" w:rsidRPr="00F81039">
        <w:t>omplainant</w:t>
      </w:r>
      <w:r>
        <w:t xml:space="preserve"> </w:t>
      </w:r>
      <w:r w:rsidR="00DA72E2" w:rsidRPr="00F81039">
        <w:t xml:space="preserve">of evidence sufficient to initially satisfy the burden of proof, the burden of going forward with the evidence, sometimes called the burden of persuasion, to rebut the evidence of the customer shifts to the </w:t>
      </w:r>
      <w:r w:rsidR="00276412">
        <w:t>r</w:t>
      </w:r>
      <w:r w:rsidR="00DA72E2" w:rsidRPr="00F81039">
        <w:t>espondent. If</w:t>
      </w:r>
      <w:r>
        <w:t xml:space="preserve"> the evidence presented by the r</w:t>
      </w:r>
      <w:r w:rsidR="00DA72E2" w:rsidRPr="00F81039">
        <w:t>espondent is of co-equal value or “weight</w:t>
      </w:r>
      <w:r>
        <w:t>,”</w:t>
      </w:r>
      <w:r w:rsidR="00DA72E2" w:rsidRPr="00F81039">
        <w:t xml:space="preserve"> the burden of proo</w:t>
      </w:r>
      <w:r>
        <w:t>f has not been satisfied. The c</w:t>
      </w:r>
      <w:r w:rsidR="00DA72E2" w:rsidRPr="00F81039">
        <w:t>omplainant now has to provide some additional</w:t>
      </w:r>
      <w:r>
        <w:t xml:space="preserve"> evidence to rebut that of the r</w:t>
      </w:r>
      <w:r w:rsidR="00DA72E2" w:rsidRPr="00F81039">
        <w:t>espondent.</w:t>
      </w:r>
      <w:r w:rsidR="00027216">
        <w:rPr>
          <w:rStyle w:val="FootnoteReference"/>
        </w:rPr>
        <w:footnoteReference w:id="5"/>
      </w:r>
      <w:r w:rsidR="00DA72E2" w:rsidRPr="00F81039">
        <w:t xml:space="preserve"> For example, if one driver claims that an accident occurred on a dry road on a sunny day, and the other driver claims that the road was wet and it was raining at the time of the accident, neither driver has satisfied the burden of proof. Additional evidence concerning the condition of the road and weather must now be provided by one or the other.</w:t>
      </w:r>
      <w:r w:rsidR="00027216">
        <w:t xml:space="preserve"> </w:t>
      </w:r>
      <w:r w:rsidR="00DA72E2" w:rsidRPr="00F81039">
        <w:t>While the burden of persuasion may shift back and forth during a proceeding, the burden of proof never shifts. The burden of proof always remains on the party seeking affirmative relief from the Commission</w:t>
      </w:r>
      <w:r w:rsidR="00027216">
        <w:t>.</w:t>
      </w:r>
      <w:r w:rsidR="00027216">
        <w:rPr>
          <w:rStyle w:val="FootnoteReference"/>
        </w:rPr>
        <w:footnoteReference w:id="6"/>
      </w:r>
    </w:p>
    <w:p w:rsidR="004F5AA9" w:rsidRDefault="004F5AA9" w:rsidP="004128E7">
      <w:pPr>
        <w:spacing w:line="360" w:lineRule="auto"/>
        <w:ind w:firstLine="1440"/>
      </w:pPr>
    </w:p>
    <w:p w:rsidR="0076507E" w:rsidRDefault="006241FA" w:rsidP="004128E7">
      <w:pPr>
        <w:spacing w:line="360" w:lineRule="auto"/>
        <w:ind w:firstLine="1440"/>
      </w:pPr>
      <w:r>
        <w:t>Ms. Cullen contends that Duquesne Light should provide her with service at 1766 Perrysville Avenue. Moreover, she wants Duquesne to provide her with service at that address without providing her social security number</w:t>
      </w:r>
      <w:r w:rsidR="00EE5F95">
        <w:t>. She also contends that she has an extensive service record with Duquesne Light which should establish her creditworthiness. Duquesne counters that without some way to verify Ms. Cullen’s identity,</w:t>
      </w:r>
      <w:r w:rsidR="00945358">
        <w:t xml:space="preserve"> either by provision of her social security number or by completion of an application with alternate identification</w:t>
      </w:r>
      <w:r w:rsidR="004B6F42">
        <w:t>,</w:t>
      </w:r>
      <w:r w:rsidR="00945358">
        <w:t xml:space="preserve"> </w:t>
      </w:r>
      <w:r w:rsidR="00EE5F95">
        <w:t>it can</w:t>
      </w:r>
      <w:r w:rsidR="00EB7404">
        <w:t xml:space="preserve"> </w:t>
      </w:r>
      <w:r w:rsidR="00EE5F95">
        <w:t xml:space="preserve">not provide service. </w:t>
      </w:r>
    </w:p>
    <w:p w:rsidR="00C81B96" w:rsidRDefault="00C81B96" w:rsidP="004128E7">
      <w:pPr>
        <w:spacing w:line="360" w:lineRule="auto"/>
        <w:ind w:firstLine="1440"/>
      </w:pPr>
    </w:p>
    <w:p w:rsidR="00427968" w:rsidRDefault="00427968" w:rsidP="004128E7">
      <w:pPr>
        <w:spacing w:line="360" w:lineRule="auto"/>
        <w:ind w:firstLine="1440"/>
      </w:pPr>
      <w:r>
        <w:t xml:space="preserve">Ms. </w:t>
      </w:r>
      <w:r w:rsidR="008F611D">
        <w:t>Cullen testified that she owns several properties to which Duquesne Light provides electric service.</w:t>
      </w:r>
      <w:r w:rsidR="008F611D">
        <w:rPr>
          <w:rStyle w:val="FootnoteReference"/>
        </w:rPr>
        <w:footnoteReference w:id="7"/>
      </w:r>
      <w:r w:rsidR="008F611D">
        <w:t xml:space="preserve"> Ms. Cullen also claimed that several properties were owned by her, although the names on the account</w:t>
      </w:r>
      <w:r w:rsidR="009119C6">
        <w:t>s</w:t>
      </w:r>
      <w:r w:rsidR="008F611D">
        <w:t xml:space="preserve"> were not hers. Some of the accounts had her husband’s name on them and one other was in the name of her deceased mother.</w:t>
      </w:r>
      <w:r w:rsidR="008F611D">
        <w:rPr>
          <w:rStyle w:val="FootnoteReference"/>
        </w:rPr>
        <w:footnoteReference w:id="8"/>
      </w:r>
      <w:r w:rsidR="008F611D">
        <w:t xml:space="preserve"> </w:t>
      </w:r>
      <w:r w:rsidR="00BD47A3">
        <w:t xml:space="preserve">The owner of the property at </w:t>
      </w:r>
      <w:r w:rsidR="00BD47A3">
        <w:lastRenderedPageBreak/>
        <w:t>1766 Perrysville Avenue is listed on county property records as “Deborah Pullen.”</w:t>
      </w:r>
      <w:r w:rsidR="00BD47A3">
        <w:rPr>
          <w:rStyle w:val="FootnoteReference"/>
        </w:rPr>
        <w:footnoteReference w:id="9"/>
      </w:r>
      <w:r w:rsidR="00BD47A3">
        <w:t xml:space="preserve"> Ms. Cullen testified that Deborah Pullen was her maiden name.</w:t>
      </w:r>
      <w:r w:rsidR="00BD47A3" w:rsidRPr="00BD47A3">
        <w:rPr>
          <w:rStyle w:val="FootnoteReference"/>
        </w:rPr>
        <w:t xml:space="preserve"> </w:t>
      </w:r>
      <w:r w:rsidR="00BD47A3">
        <w:rPr>
          <w:rStyle w:val="FootnoteReference"/>
        </w:rPr>
        <w:footnoteReference w:id="10"/>
      </w:r>
      <w:r w:rsidR="00BD47A3">
        <w:t xml:space="preserve">  </w:t>
      </w:r>
    </w:p>
    <w:p w:rsidR="00427968" w:rsidRDefault="00427968" w:rsidP="004128E7">
      <w:pPr>
        <w:spacing w:line="360" w:lineRule="auto"/>
        <w:ind w:firstLine="1440"/>
      </w:pPr>
    </w:p>
    <w:p w:rsidR="00427968" w:rsidRDefault="008F611D" w:rsidP="00C81B96">
      <w:pPr>
        <w:spacing w:line="360" w:lineRule="auto"/>
        <w:ind w:left="90" w:firstLine="1350"/>
      </w:pPr>
      <w:r>
        <w:t>In August 2008 Duquesne Light provided service to Ms. Cullen at 1766 Perrysville Avenue. After she paid the August 2008 bill in full, a tenant moved into the property. Once a tenant moves into one of her properties, she requires the tenant to put the electric service into the tenant’s name. When a tenant moves out, she switches the account back to her name.</w:t>
      </w:r>
      <w:r>
        <w:rPr>
          <w:rStyle w:val="FootnoteReference"/>
        </w:rPr>
        <w:footnoteReference w:id="11"/>
      </w:r>
      <w:r>
        <w:t xml:space="preserve"> In the past, Ms. Cullen testified that she has not had a problem putting an electric account back in her name once a tenant vacates a property.</w:t>
      </w:r>
      <w:r>
        <w:rPr>
          <w:rStyle w:val="FootnoteReference"/>
        </w:rPr>
        <w:footnoteReference w:id="12"/>
      </w:r>
      <w:r>
        <w:t xml:space="preserve"> </w:t>
      </w:r>
    </w:p>
    <w:p w:rsidR="00427968" w:rsidRDefault="00427968" w:rsidP="004128E7">
      <w:pPr>
        <w:spacing w:line="360" w:lineRule="auto"/>
        <w:ind w:left="90" w:firstLine="630"/>
      </w:pPr>
    </w:p>
    <w:p w:rsidR="008F611D" w:rsidRDefault="008F611D" w:rsidP="00C81B96">
      <w:pPr>
        <w:spacing w:line="360" w:lineRule="auto"/>
        <w:ind w:left="90" w:firstLine="1350"/>
      </w:pPr>
      <w:r>
        <w:t>The Duquesne Light account records for many of the properties identified by Ms.</w:t>
      </w:r>
      <w:r w:rsidR="00B54CA7">
        <w:t> </w:t>
      </w:r>
      <w:r>
        <w:t>Cullen as properties owned by her were associated with a social security number that she testified was not her social security number.</w:t>
      </w:r>
      <w:r>
        <w:rPr>
          <w:rStyle w:val="FootnoteReference"/>
        </w:rPr>
        <w:footnoteReference w:id="13"/>
      </w:r>
      <w:r>
        <w:t xml:space="preserve"> Ms. Cullen did not want to give Duquesne Light her social security number and she refused to fill out an application.</w:t>
      </w:r>
      <w:r>
        <w:rPr>
          <w:rStyle w:val="FootnoteReference"/>
        </w:rPr>
        <w:footnoteReference w:id="14"/>
      </w:r>
    </w:p>
    <w:p w:rsidR="00BD47A3" w:rsidRDefault="00BD47A3" w:rsidP="004128E7">
      <w:pPr>
        <w:spacing w:line="360" w:lineRule="auto"/>
        <w:ind w:left="90" w:firstLine="630"/>
      </w:pPr>
    </w:p>
    <w:p w:rsidR="00BD47A3" w:rsidRDefault="00BD47A3" w:rsidP="004128E7">
      <w:pPr>
        <w:spacing w:line="360" w:lineRule="auto"/>
        <w:ind w:left="90" w:firstLine="630"/>
      </w:pPr>
      <w:r>
        <w:tab/>
        <w:t>Mr. Becker testified that someone identifying themselves as Louise Cullen contacted Duquesne Light on October 15, 2009, to request service for 1766 Perrysville Avenue.</w:t>
      </w:r>
      <w:r w:rsidR="00A932B5">
        <w:rPr>
          <w:rStyle w:val="FootnoteReference"/>
        </w:rPr>
        <w:footnoteReference w:id="15"/>
      </w:r>
      <w:r>
        <w:t xml:space="preserve"> The caller refused to provide her social security number as positive identification</w:t>
      </w:r>
      <w:r w:rsidR="00A932B5">
        <w:t xml:space="preserve"> and the account did not have a password associated with it.</w:t>
      </w:r>
      <w:r w:rsidR="00A932B5">
        <w:rPr>
          <w:rStyle w:val="FootnoteReference"/>
        </w:rPr>
        <w:footnoteReference w:id="16"/>
      </w:r>
      <w:r w:rsidR="00A932B5">
        <w:t xml:space="preserve"> Accordingly, Duquesne Light could not verify the identity of the caller. </w:t>
      </w:r>
      <w:r w:rsidR="00041C5B">
        <w:t>If customer service can not verify the identity of the caller, Duquesne Light will not provide any information about an account.</w:t>
      </w:r>
      <w:r w:rsidR="00041C5B">
        <w:rPr>
          <w:rStyle w:val="FootnoteReference"/>
        </w:rPr>
        <w:footnoteReference w:id="17"/>
      </w:r>
      <w:r w:rsidR="00041C5B">
        <w:t xml:space="preserve"> </w:t>
      </w:r>
      <w:r w:rsidR="00A932B5">
        <w:t xml:space="preserve">It is company procedure </w:t>
      </w:r>
      <w:r w:rsidR="00A932B5">
        <w:lastRenderedPageBreak/>
        <w:t>that if a customer does not want to provide a social security number, she can complete a request for information, provide proof that they own or lease the property and pay a security deposit. The security deposit will be waived if the customer can provide written proof confirming two years of good utility service.</w:t>
      </w:r>
      <w:r w:rsidR="00A932B5">
        <w:rPr>
          <w:rStyle w:val="FootnoteReference"/>
        </w:rPr>
        <w:footnoteReference w:id="18"/>
      </w:r>
    </w:p>
    <w:p w:rsidR="00E10FC4" w:rsidRDefault="00E10FC4" w:rsidP="004128E7">
      <w:pPr>
        <w:spacing w:line="360" w:lineRule="auto"/>
        <w:ind w:left="90" w:firstLine="630"/>
      </w:pPr>
    </w:p>
    <w:p w:rsidR="00E10FC4" w:rsidRPr="0082401B" w:rsidRDefault="00E10FC4" w:rsidP="004128E7">
      <w:pPr>
        <w:spacing w:line="360" w:lineRule="auto"/>
        <w:ind w:firstLine="1440"/>
      </w:pPr>
      <w:r>
        <w:t xml:space="preserve">In similar circumstances, the Commission held that it was not unreasonable for a utility to require a customer to provide proof of identity as a prerequisite for service. In </w:t>
      </w:r>
      <w:r>
        <w:rPr>
          <w:i/>
        </w:rPr>
        <w:t>Rezzetano v. Duquesne Light Company</w:t>
      </w:r>
      <w:r>
        <w:t>,</w:t>
      </w:r>
      <w:r>
        <w:rPr>
          <w:rStyle w:val="FootnoteReference"/>
        </w:rPr>
        <w:footnoteReference w:id="19"/>
      </w:r>
      <w:r>
        <w:t xml:space="preserve"> Mr. Rezzetano, like Ms. Cullen</w:t>
      </w:r>
      <w:r w:rsidR="00613DF5">
        <w:t>,</w:t>
      </w:r>
      <w:r>
        <w:t xml:space="preserve"> complained that Duquesne Light refused to provide him service for a property that he owned and was in the process of preparing to re-rent. Duquesne Light’s records revealed that there were a number of unpaid accounts, some of which may have been Mr. Rezzetano, and some of which may have belonged to someone else. Further, the utility records for some properties involved other spellings of </w:t>
      </w:r>
      <w:r w:rsidR="00613DF5">
        <w:t>the</w:t>
      </w:r>
      <w:r>
        <w:t xml:space="preserve"> Rezzetano name. Accordingly, Commission held that it was not unreasonable for Duquesne Light to refuse service until it could verify Mr. Rezzetano’s identity by requiring him to provide photo identification and complete an application for service.</w:t>
      </w:r>
    </w:p>
    <w:p w:rsidR="008F611D" w:rsidRDefault="008F611D" w:rsidP="004128E7">
      <w:pPr>
        <w:spacing w:line="360" w:lineRule="auto"/>
        <w:ind w:firstLine="1440"/>
      </w:pPr>
    </w:p>
    <w:p w:rsidR="00511987" w:rsidRDefault="0076507E" w:rsidP="004128E7">
      <w:pPr>
        <w:spacing w:line="360" w:lineRule="auto"/>
        <w:ind w:firstLine="1440"/>
      </w:pPr>
      <w:r>
        <w:t xml:space="preserve">I find that there is nothing unreasonable about Duquesne Light’s procedures for opening </w:t>
      </w:r>
      <w:r w:rsidR="00613DF5">
        <w:t xml:space="preserve">an </w:t>
      </w:r>
      <w:r>
        <w:t xml:space="preserve">account </w:t>
      </w:r>
      <w:r w:rsidR="00613DF5">
        <w:t xml:space="preserve">for electric </w:t>
      </w:r>
      <w:r>
        <w:t xml:space="preserve">service which are put in place to protect individuals from identity theft </w:t>
      </w:r>
      <w:r w:rsidR="00736013">
        <w:t>—</w:t>
      </w:r>
      <w:r>
        <w:t xml:space="preserve"> the very reason Ms. Cullen prefers not to provide her social security number.</w:t>
      </w:r>
      <w:r w:rsidR="000F7959">
        <w:rPr>
          <w:rStyle w:val="FootnoteReference"/>
        </w:rPr>
        <w:footnoteReference w:id="20"/>
      </w:r>
      <w:r>
        <w:t xml:space="preserve"> </w:t>
      </w:r>
      <w:r w:rsidR="00511987">
        <w:t xml:space="preserve"> Duquesne’s witness testified tha</w:t>
      </w:r>
      <w:r w:rsidR="00FF5580">
        <w:t>t</w:t>
      </w:r>
      <w:r w:rsidR="00511987">
        <w:t xml:space="preserve"> if a customer does not want to provide a social security number, they can complete a request for information, provide proof that they own or lease the property and pay a security deposit. The customer can then be given a password which is used by Duquesne Light to verify the customer’s identity.</w:t>
      </w:r>
      <w:r w:rsidR="00511987">
        <w:rPr>
          <w:rStyle w:val="FootnoteReference"/>
        </w:rPr>
        <w:footnoteReference w:id="21"/>
      </w:r>
    </w:p>
    <w:p w:rsidR="00FF5580" w:rsidRDefault="00FF5580" w:rsidP="004128E7">
      <w:pPr>
        <w:spacing w:line="360" w:lineRule="auto"/>
      </w:pPr>
    </w:p>
    <w:p w:rsidR="0076507E" w:rsidRDefault="0076507E" w:rsidP="004128E7">
      <w:pPr>
        <w:spacing w:line="360" w:lineRule="auto"/>
        <w:ind w:firstLine="1440"/>
      </w:pPr>
      <w:r>
        <w:t>Although Ms. Cullen provided numerous receipts and account statements, many of these account statements were</w:t>
      </w:r>
      <w:r w:rsidR="004A58CD">
        <w:t xml:space="preserve"> for numerous properties and</w:t>
      </w:r>
      <w:r>
        <w:t xml:space="preserve"> in names other than hers, </w:t>
      </w:r>
      <w:r>
        <w:lastRenderedPageBreak/>
        <w:t>including her h</w:t>
      </w:r>
      <w:r w:rsidR="006C376D">
        <w:t xml:space="preserve">usband and her deceased mother. Without her social security number or other form of identification, neither Duquesne Light nor I could cross reference any of these accounts with the others. </w:t>
      </w:r>
      <w:r w:rsidR="004A58CD">
        <w:t xml:space="preserve">There is no identifier on these accounts which verify that Ms. Cullen is indeed the ratepayer. Duquesne Light’s search of its records revealed several accounts under the name of  Louise Cullen. </w:t>
      </w:r>
      <w:r w:rsidR="00ED0A43">
        <w:t>Some of the accounts were associated with a social security number that Ms.</w:t>
      </w:r>
      <w:r w:rsidR="00736013">
        <w:t> </w:t>
      </w:r>
      <w:r w:rsidR="00ED0A43">
        <w:t xml:space="preserve">Cullen denied was hers. </w:t>
      </w:r>
      <w:r w:rsidR="00F460CF">
        <w:t>Accordingly, it is also not possible to verify that Ms. Cullen is indeed a customer in good standing.</w:t>
      </w:r>
    </w:p>
    <w:p w:rsidR="00C81B96" w:rsidRDefault="00C81B96" w:rsidP="004128E7">
      <w:pPr>
        <w:spacing w:line="360" w:lineRule="auto"/>
        <w:ind w:firstLine="1440"/>
      </w:pPr>
    </w:p>
    <w:p w:rsidR="00E965BD" w:rsidRPr="00621846" w:rsidRDefault="00E965BD" w:rsidP="004128E7">
      <w:pPr>
        <w:spacing w:line="360" w:lineRule="auto"/>
        <w:jc w:val="center"/>
        <w:rPr>
          <w:u w:val="single"/>
        </w:rPr>
      </w:pPr>
      <w:r w:rsidRPr="00621846">
        <w:rPr>
          <w:u w:val="single"/>
        </w:rPr>
        <w:t>CONCLUSIONS OF LAW</w:t>
      </w:r>
    </w:p>
    <w:p w:rsidR="00C81B96" w:rsidRPr="00E965BD" w:rsidRDefault="00C81B96" w:rsidP="004128E7">
      <w:pPr>
        <w:spacing w:line="360" w:lineRule="auto"/>
        <w:jc w:val="center"/>
        <w:rPr>
          <w:b/>
        </w:rPr>
      </w:pPr>
    </w:p>
    <w:p w:rsidR="00E965BD" w:rsidRDefault="00E965BD" w:rsidP="00C81B96">
      <w:pPr>
        <w:spacing w:line="360" w:lineRule="auto"/>
        <w:ind w:firstLine="1440"/>
      </w:pPr>
      <w:r>
        <w:t>1.</w:t>
      </w:r>
      <w:r>
        <w:tab/>
        <w:t>The parties to and subject matter of this billing and service complaint proceeding are properly before the Commission.</w:t>
      </w:r>
    </w:p>
    <w:p w:rsidR="00E965BD" w:rsidRDefault="00E965BD" w:rsidP="004128E7">
      <w:pPr>
        <w:spacing w:line="360" w:lineRule="auto"/>
      </w:pPr>
    </w:p>
    <w:p w:rsidR="00E965BD" w:rsidRDefault="00E965BD" w:rsidP="004128E7">
      <w:pPr>
        <w:spacing w:line="360" w:lineRule="auto"/>
      </w:pPr>
      <w:r>
        <w:tab/>
      </w:r>
      <w:r>
        <w:tab/>
        <w:t>2.</w:t>
      </w:r>
      <w:r>
        <w:tab/>
        <w:t>Ms. Cullen, the party requesting affirmative relief from the Commission, has the burden of proof.</w:t>
      </w:r>
    </w:p>
    <w:p w:rsidR="00432575" w:rsidRDefault="00432575" w:rsidP="004128E7">
      <w:pPr>
        <w:spacing w:line="360" w:lineRule="auto"/>
      </w:pPr>
    </w:p>
    <w:p w:rsidR="00432575" w:rsidRDefault="00432575" w:rsidP="004128E7">
      <w:pPr>
        <w:spacing w:line="360" w:lineRule="auto"/>
      </w:pPr>
      <w:r>
        <w:tab/>
      </w:r>
      <w:r>
        <w:tab/>
        <w:t>3.</w:t>
      </w:r>
      <w:r>
        <w:tab/>
        <w:t>Ms. Cullen failed to sustain her burden of proving that Duquesne Light unreasonably refused to provide service without requiring Ms. Cullen to verify her identity by either providing her social security number or by presenting photo identification and completing an application for service.</w:t>
      </w:r>
    </w:p>
    <w:p w:rsidR="00432575" w:rsidRDefault="00432575" w:rsidP="004128E7">
      <w:pPr>
        <w:spacing w:line="360" w:lineRule="auto"/>
      </w:pPr>
    </w:p>
    <w:p w:rsidR="00621846" w:rsidRDefault="00621846">
      <w:pPr>
        <w:spacing w:after="200" w:line="276" w:lineRule="auto"/>
        <w:rPr>
          <w:b/>
        </w:rPr>
      </w:pPr>
      <w:r>
        <w:rPr>
          <w:b/>
        </w:rPr>
        <w:br w:type="page"/>
      </w:r>
    </w:p>
    <w:p w:rsidR="00432575" w:rsidRPr="00621846" w:rsidRDefault="00432575" w:rsidP="004128E7">
      <w:pPr>
        <w:pStyle w:val="BodyText"/>
        <w:spacing w:line="360" w:lineRule="auto"/>
        <w:jc w:val="center"/>
        <w:rPr>
          <w:szCs w:val="24"/>
          <w:u w:val="single"/>
        </w:rPr>
      </w:pPr>
      <w:r w:rsidRPr="00621846">
        <w:rPr>
          <w:szCs w:val="24"/>
          <w:u w:val="single"/>
        </w:rPr>
        <w:lastRenderedPageBreak/>
        <w:t>ORDER</w:t>
      </w:r>
    </w:p>
    <w:p w:rsidR="00432575" w:rsidRDefault="00432575" w:rsidP="004128E7">
      <w:pPr>
        <w:pStyle w:val="BodyText"/>
        <w:spacing w:line="360" w:lineRule="auto"/>
        <w:jc w:val="left"/>
        <w:rPr>
          <w:szCs w:val="24"/>
        </w:rPr>
      </w:pPr>
    </w:p>
    <w:p w:rsidR="00432575" w:rsidRPr="0002002C" w:rsidRDefault="00432575" w:rsidP="004128E7">
      <w:pPr>
        <w:pStyle w:val="BodyText"/>
        <w:spacing w:line="360" w:lineRule="auto"/>
        <w:jc w:val="left"/>
        <w:rPr>
          <w:szCs w:val="24"/>
        </w:rPr>
      </w:pPr>
    </w:p>
    <w:p w:rsidR="00432575" w:rsidRPr="0002002C" w:rsidRDefault="00432575" w:rsidP="004128E7">
      <w:pPr>
        <w:pStyle w:val="BodyText"/>
        <w:spacing w:line="360" w:lineRule="auto"/>
        <w:jc w:val="left"/>
        <w:rPr>
          <w:szCs w:val="24"/>
        </w:rPr>
      </w:pPr>
      <w:r w:rsidRPr="0002002C">
        <w:rPr>
          <w:szCs w:val="24"/>
        </w:rPr>
        <w:tab/>
      </w:r>
      <w:r w:rsidRPr="0002002C">
        <w:rPr>
          <w:szCs w:val="24"/>
        </w:rPr>
        <w:tab/>
        <w:t>THEREFORE,</w:t>
      </w:r>
    </w:p>
    <w:p w:rsidR="00432575" w:rsidRPr="0002002C" w:rsidRDefault="00432575" w:rsidP="004128E7">
      <w:pPr>
        <w:pStyle w:val="BodyText"/>
        <w:spacing w:line="360" w:lineRule="auto"/>
        <w:jc w:val="left"/>
        <w:rPr>
          <w:szCs w:val="24"/>
        </w:rPr>
      </w:pPr>
    </w:p>
    <w:p w:rsidR="00432575" w:rsidRPr="0002002C" w:rsidRDefault="00432575" w:rsidP="004128E7">
      <w:pPr>
        <w:pStyle w:val="BodyText"/>
        <w:spacing w:line="360" w:lineRule="auto"/>
        <w:jc w:val="left"/>
        <w:rPr>
          <w:szCs w:val="24"/>
        </w:rPr>
      </w:pPr>
      <w:r w:rsidRPr="0002002C">
        <w:rPr>
          <w:szCs w:val="24"/>
        </w:rPr>
        <w:tab/>
      </w:r>
      <w:r w:rsidRPr="0002002C">
        <w:rPr>
          <w:szCs w:val="24"/>
        </w:rPr>
        <w:tab/>
        <w:t>IT IS ORDERED:</w:t>
      </w:r>
    </w:p>
    <w:p w:rsidR="00432575" w:rsidRPr="0002002C" w:rsidRDefault="00432575" w:rsidP="004128E7">
      <w:pPr>
        <w:pStyle w:val="BodyText"/>
        <w:spacing w:line="360" w:lineRule="auto"/>
        <w:jc w:val="left"/>
        <w:rPr>
          <w:szCs w:val="24"/>
        </w:rPr>
      </w:pPr>
    </w:p>
    <w:p w:rsidR="00432575" w:rsidRPr="00301FCD" w:rsidRDefault="00432575" w:rsidP="004128E7">
      <w:pPr>
        <w:pStyle w:val="BodyText"/>
        <w:spacing w:line="360" w:lineRule="auto"/>
        <w:jc w:val="left"/>
        <w:rPr>
          <w:szCs w:val="24"/>
        </w:rPr>
      </w:pPr>
      <w:r>
        <w:rPr>
          <w:szCs w:val="24"/>
        </w:rPr>
        <w:tab/>
      </w:r>
      <w:r>
        <w:rPr>
          <w:szCs w:val="24"/>
        </w:rPr>
        <w:tab/>
        <w:t xml:space="preserve">That the complaint of Louise Cullen </w:t>
      </w:r>
      <w:r w:rsidR="00AB78C6">
        <w:rPr>
          <w:szCs w:val="24"/>
        </w:rPr>
        <w:t>v. Duquesne Light Company, Docket No. F</w:t>
      </w:r>
      <w:r w:rsidR="00F21ACA">
        <w:rPr>
          <w:szCs w:val="24"/>
        </w:rPr>
        <w:noBreakHyphen/>
      </w:r>
      <w:r w:rsidR="00AB78C6">
        <w:rPr>
          <w:szCs w:val="24"/>
        </w:rPr>
        <w:t>2009-2148022</w:t>
      </w:r>
      <w:r>
        <w:rPr>
          <w:szCs w:val="24"/>
        </w:rPr>
        <w:t xml:space="preserve"> is hereby dismissed.</w:t>
      </w:r>
    </w:p>
    <w:p w:rsidR="00432575" w:rsidRDefault="00432575" w:rsidP="00432575">
      <w:pPr>
        <w:pStyle w:val="BodyText"/>
        <w:spacing w:line="360" w:lineRule="auto"/>
        <w:jc w:val="left"/>
        <w:rPr>
          <w:szCs w:val="24"/>
        </w:rPr>
      </w:pPr>
    </w:p>
    <w:p w:rsidR="00432575" w:rsidRDefault="00432575" w:rsidP="00432575">
      <w:pPr>
        <w:pStyle w:val="BodyText"/>
        <w:spacing w:line="360" w:lineRule="auto"/>
        <w:jc w:val="left"/>
        <w:rPr>
          <w:szCs w:val="24"/>
        </w:rPr>
      </w:pPr>
    </w:p>
    <w:p w:rsidR="00432575" w:rsidRPr="0002002C" w:rsidRDefault="00432575" w:rsidP="00432575">
      <w:pPr>
        <w:pStyle w:val="BodyText"/>
        <w:spacing w:line="240" w:lineRule="auto"/>
        <w:jc w:val="left"/>
        <w:rPr>
          <w:szCs w:val="24"/>
        </w:rPr>
      </w:pPr>
      <w:r w:rsidRPr="0002002C">
        <w:rPr>
          <w:szCs w:val="24"/>
        </w:rPr>
        <w:t xml:space="preserve">Date:  </w:t>
      </w:r>
      <w:r w:rsidRPr="0002002C">
        <w:rPr>
          <w:szCs w:val="24"/>
        </w:rPr>
        <w:tab/>
      </w:r>
      <w:r w:rsidR="00F21ACA" w:rsidRPr="00F21ACA">
        <w:rPr>
          <w:szCs w:val="24"/>
          <w:u w:val="single"/>
        </w:rPr>
        <w:t>July 13, 2010</w:t>
      </w:r>
      <w:r>
        <w:rPr>
          <w:szCs w:val="24"/>
        </w:rPr>
        <w:tab/>
      </w:r>
      <w:r>
        <w:rPr>
          <w:szCs w:val="24"/>
        </w:rPr>
        <w:tab/>
      </w:r>
      <w:r>
        <w:rPr>
          <w:szCs w:val="24"/>
        </w:rPr>
        <w:tab/>
      </w:r>
      <w:r w:rsidRPr="0002002C">
        <w:rPr>
          <w:szCs w:val="24"/>
        </w:rPr>
        <w:tab/>
      </w:r>
      <w:r w:rsidRPr="0002002C">
        <w:rPr>
          <w:szCs w:val="24"/>
        </w:rPr>
        <w:tab/>
      </w:r>
      <w:r w:rsidRPr="0002002C">
        <w:rPr>
          <w:szCs w:val="24"/>
          <w:u w:val="single"/>
        </w:rPr>
        <w:tab/>
      </w:r>
      <w:r w:rsidRPr="0002002C">
        <w:rPr>
          <w:szCs w:val="24"/>
          <w:u w:val="single"/>
        </w:rPr>
        <w:tab/>
      </w:r>
      <w:r w:rsidRPr="0002002C">
        <w:rPr>
          <w:szCs w:val="24"/>
          <w:u w:val="single"/>
        </w:rPr>
        <w:tab/>
      </w:r>
      <w:r w:rsidRPr="0002002C">
        <w:rPr>
          <w:szCs w:val="24"/>
          <w:u w:val="single"/>
        </w:rPr>
        <w:tab/>
      </w:r>
      <w:r w:rsidRPr="0002002C">
        <w:rPr>
          <w:szCs w:val="24"/>
          <w:u w:val="single"/>
        </w:rPr>
        <w:tab/>
      </w:r>
      <w:r w:rsidRPr="0002002C">
        <w:rPr>
          <w:szCs w:val="24"/>
          <w:u w:val="single"/>
        </w:rPr>
        <w:tab/>
      </w:r>
    </w:p>
    <w:p w:rsidR="00432575" w:rsidRPr="0002002C" w:rsidRDefault="00432575" w:rsidP="00432575">
      <w:pPr>
        <w:pStyle w:val="BodyText"/>
        <w:spacing w:line="240" w:lineRule="auto"/>
        <w:jc w:val="left"/>
        <w:rPr>
          <w:szCs w:val="24"/>
        </w:rPr>
      </w:pP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sidRPr="0002002C">
        <w:rPr>
          <w:szCs w:val="24"/>
        </w:rPr>
        <w:tab/>
      </w:r>
      <w:r>
        <w:rPr>
          <w:szCs w:val="24"/>
        </w:rPr>
        <w:t>Mary D. Long</w:t>
      </w:r>
    </w:p>
    <w:p w:rsidR="00432575" w:rsidRDefault="00432575" w:rsidP="00432575">
      <w:r w:rsidRPr="0002002C">
        <w:tab/>
      </w:r>
      <w:r w:rsidRPr="0002002C">
        <w:tab/>
      </w:r>
      <w:r w:rsidRPr="0002002C">
        <w:tab/>
      </w:r>
      <w:r w:rsidRPr="0002002C">
        <w:tab/>
      </w:r>
      <w:r w:rsidRPr="0002002C">
        <w:tab/>
      </w:r>
      <w:r w:rsidRPr="0002002C">
        <w:tab/>
      </w:r>
      <w:r w:rsidRPr="0002002C">
        <w:tab/>
      </w:r>
      <w:r>
        <w:t>Administrative Law Judge</w:t>
      </w:r>
    </w:p>
    <w:p w:rsidR="00432575" w:rsidRDefault="00432575" w:rsidP="00E965BD">
      <w:pPr>
        <w:spacing w:line="360" w:lineRule="auto"/>
      </w:pPr>
    </w:p>
    <w:p w:rsidR="00432575" w:rsidRDefault="00432575" w:rsidP="00E965BD">
      <w:pPr>
        <w:spacing w:line="360" w:lineRule="auto"/>
      </w:pPr>
    </w:p>
    <w:p w:rsidR="00E965BD" w:rsidRDefault="00E965BD" w:rsidP="00E965BD">
      <w:pPr>
        <w:spacing w:line="360" w:lineRule="auto"/>
      </w:pPr>
    </w:p>
    <w:p w:rsidR="00E965BD" w:rsidRDefault="00E965BD" w:rsidP="00E965BD">
      <w:pPr>
        <w:spacing w:line="360" w:lineRule="auto"/>
      </w:pPr>
    </w:p>
    <w:p w:rsidR="00E965BD" w:rsidRDefault="00E965BD" w:rsidP="00427968">
      <w:pPr>
        <w:spacing w:line="480" w:lineRule="auto"/>
        <w:ind w:firstLine="1440"/>
      </w:pPr>
    </w:p>
    <w:p w:rsidR="00392D1A" w:rsidRDefault="00392D1A" w:rsidP="00427968">
      <w:pPr>
        <w:spacing w:line="480" w:lineRule="auto"/>
        <w:ind w:firstLine="1440"/>
      </w:pPr>
    </w:p>
    <w:p w:rsidR="00F10347" w:rsidRDefault="00F10347" w:rsidP="00427968">
      <w:pPr>
        <w:spacing w:line="480" w:lineRule="auto"/>
      </w:pPr>
    </w:p>
    <w:p w:rsidR="00F02DBA" w:rsidRDefault="00F02DBA" w:rsidP="00F02DBA">
      <w:pPr>
        <w:spacing w:line="480" w:lineRule="auto"/>
        <w:sectPr w:rsidR="00F02DBA" w:rsidSect="00DB2E8B">
          <w:footerReference w:type="default" r:id="rId8"/>
          <w:pgSz w:w="12240" w:h="15840"/>
          <w:pgMar w:top="1440" w:right="1440" w:bottom="1440" w:left="1440" w:header="720" w:footer="720" w:gutter="0"/>
          <w:cols w:space="720"/>
          <w:titlePg/>
          <w:docGrid w:linePitch="360"/>
        </w:sectPr>
      </w:pPr>
    </w:p>
    <w:p w:rsidR="00F02DBA" w:rsidRDefault="00F02DBA" w:rsidP="00F02DBA">
      <w:r>
        <w:lastRenderedPageBreak/>
        <w:t xml:space="preserve">(a) </w:t>
      </w:r>
      <w:r>
        <w:tab/>
        <w:t>Louise Cullen v. Duquesne Light Company</w:t>
      </w:r>
    </w:p>
    <w:p w:rsidR="00F02DBA" w:rsidRDefault="00F02DBA" w:rsidP="00F02DBA"/>
    <w:p w:rsidR="00F02DBA" w:rsidRDefault="00F02DBA" w:rsidP="004B6F42">
      <w:pPr>
        <w:ind w:left="720" w:hanging="720"/>
      </w:pPr>
      <w:r>
        <w:t xml:space="preserve">(b) </w:t>
      </w:r>
      <w:r>
        <w:tab/>
        <w:t>In her complaint, filed on December 14, 2009, Ms. Cullen alleged that Duquesne Light was refusing to provide her with electric service at a rental property that she owns because she did not want to provide Duquesne with her social security number or complete an application for service. Duquesne’s answer was filed on January 15, 2010. By Hearing Notice dated March 17, 2010, the Commission informed the parties that the hearing in this case would be held on April 20, 2010, and I issued a Prehearing Order on March 23, 2010. The hearing was held on April 20, 2010. Ms. Cullen appeared on her own behalf, and testified in support of her complaint.</w:t>
      </w:r>
      <w:r w:rsidR="00910801">
        <w:t xml:space="preserve">  No briefs were filed.  The record closed by order dated June 8, 2010.</w:t>
      </w:r>
    </w:p>
    <w:p w:rsidR="00F02DBA" w:rsidRDefault="00F02DBA" w:rsidP="00F02DBA"/>
    <w:p w:rsidR="00F02DBA" w:rsidRDefault="00F02DBA" w:rsidP="00F02DBA">
      <w:r>
        <w:t xml:space="preserve">(c) </w:t>
      </w:r>
      <w:r>
        <w:tab/>
        <w:t>Complaint dismissed for failure to sustain burden of proof.</w:t>
      </w:r>
    </w:p>
    <w:p w:rsidR="00F10347" w:rsidRPr="00F10347" w:rsidRDefault="00F10347" w:rsidP="00F02DBA">
      <w:pPr>
        <w:spacing w:line="480" w:lineRule="auto"/>
      </w:pPr>
    </w:p>
    <w:sectPr w:rsidR="00F10347" w:rsidRPr="00F10347" w:rsidSect="00DB2E8B">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572" w:rsidRDefault="007B0572" w:rsidP="0036255A">
      <w:r>
        <w:separator/>
      </w:r>
    </w:p>
  </w:endnote>
  <w:endnote w:type="continuationSeparator" w:id="0">
    <w:p w:rsidR="007B0572" w:rsidRDefault="007B0572" w:rsidP="00362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52141"/>
      <w:docPartObj>
        <w:docPartGallery w:val="Page Numbers (Bottom of Page)"/>
        <w:docPartUnique/>
      </w:docPartObj>
    </w:sdtPr>
    <w:sdtContent>
      <w:p w:rsidR="00A932B5" w:rsidRDefault="00497ED3">
        <w:pPr>
          <w:pStyle w:val="Footer"/>
          <w:jc w:val="center"/>
        </w:pPr>
        <w:fldSimple w:instr=" PAGE   \* MERGEFORMAT ">
          <w:r w:rsidR="00E474C9">
            <w:rPr>
              <w:noProof/>
            </w:rPr>
            <w:t>9</w:t>
          </w:r>
        </w:fldSimple>
      </w:p>
    </w:sdtContent>
  </w:sdt>
  <w:p w:rsidR="00A932B5" w:rsidRDefault="00A93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572" w:rsidRDefault="007B0572" w:rsidP="0036255A">
      <w:r>
        <w:separator/>
      </w:r>
    </w:p>
  </w:footnote>
  <w:footnote w:type="continuationSeparator" w:id="0">
    <w:p w:rsidR="007B0572" w:rsidRDefault="007B0572" w:rsidP="0036255A">
      <w:r>
        <w:continuationSeparator/>
      </w:r>
    </w:p>
  </w:footnote>
  <w:footnote w:id="1">
    <w:p w:rsidR="00A932B5" w:rsidRPr="0043294A" w:rsidRDefault="00A932B5" w:rsidP="00621846">
      <w:pPr>
        <w:pStyle w:val="FootnoteText"/>
      </w:pPr>
      <w:r>
        <w:rPr>
          <w:rStyle w:val="FootnoteReference"/>
        </w:rPr>
        <w:footnoteRef/>
      </w:r>
      <w:r>
        <w:t xml:space="preserve"> </w:t>
      </w:r>
      <w:r w:rsidR="002F7C15">
        <w:tab/>
      </w:r>
      <w:r w:rsidRPr="0043294A">
        <w:t xml:space="preserve">Ms. Cullen’s exhibits are designated as “Ex. C-__.” Duquesne Light’s exhibits </w:t>
      </w:r>
      <w:r w:rsidR="009119C6">
        <w:t>a</w:t>
      </w:r>
      <w:r w:rsidRPr="0043294A">
        <w:t>re identified as “</w:t>
      </w:r>
      <w:r w:rsidR="00910801">
        <w:t>Resp</w:t>
      </w:r>
      <w:r w:rsidRPr="0043294A">
        <w:t>. Ex. - __.”</w:t>
      </w:r>
    </w:p>
  </w:footnote>
  <w:footnote w:id="2">
    <w:p w:rsidR="00A932B5" w:rsidRPr="00C81B96" w:rsidRDefault="00A932B5" w:rsidP="00621846">
      <w:pPr>
        <w:pStyle w:val="FootnoteText"/>
      </w:pPr>
      <w:r w:rsidRPr="00C81B96">
        <w:rPr>
          <w:rStyle w:val="FootnoteReference"/>
        </w:rPr>
        <w:footnoteRef/>
      </w:r>
      <w:r w:rsidRPr="00C81B96">
        <w:t xml:space="preserve"> </w:t>
      </w:r>
      <w:r w:rsidR="00C81B96">
        <w:tab/>
      </w:r>
      <w:r w:rsidRPr="00C81B96">
        <w:t>66 Pa. C.S. §701.</w:t>
      </w:r>
    </w:p>
    <w:p w:rsidR="00C81B96" w:rsidRPr="00C81B96" w:rsidRDefault="00C81B96" w:rsidP="00621846">
      <w:pPr>
        <w:pStyle w:val="FootnoteText"/>
      </w:pPr>
    </w:p>
  </w:footnote>
  <w:footnote w:id="3">
    <w:p w:rsidR="00A932B5" w:rsidRPr="00C81B96" w:rsidRDefault="00A932B5" w:rsidP="00621846">
      <w:pPr>
        <w:pStyle w:val="FootnoteText"/>
      </w:pPr>
      <w:r w:rsidRPr="00C81B96">
        <w:rPr>
          <w:rStyle w:val="FootnoteReference"/>
        </w:rPr>
        <w:footnoteRef/>
      </w:r>
      <w:r w:rsidRPr="00C81B96">
        <w:t xml:space="preserve"> </w:t>
      </w:r>
      <w:r w:rsidR="00C81B96">
        <w:tab/>
      </w:r>
      <w:r w:rsidRPr="00C81B96">
        <w:t>66 Pa. C.S. §332(a).</w:t>
      </w:r>
    </w:p>
    <w:p w:rsidR="00C81B96" w:rsidRPr="00C81B96" w:rsidRDefault="00C81B96" w:rsidP="00621846">
      <w:pPr>
        <w:pStyle w:val="FootnoteText"/>
      </w:pPr>
    </w:p>
  </w:footnote>
  <w:footnote w:id="4">
    <w:p w:rsidR="00A932B5" w:rsidRPr="00C81B96" w:rsidRDefault="00A932B5" w:rsidP="00621846">
      <w:pPr>
        <w:pStyle w:val="FootnoteText"/>
      </w:pPr>
      <w:r w:rsidRPr="00C81B96">
        <w:rPr>
          <w:rStyle w:val="FootnoteReference"/>
        </w:rPr>
        <w:footnoteRef/>
      </w:r>
      <w:r w:rsidRPr="00C81B96">
        <w:t xml:space="preserve"> </w:t>
      </w:r>
      <w:r w:rsidR="00C81B96">
        <w:tab/>
      </w:r>
      <w:r w:rsidRPr="00276412">
        <w:rPr>
          <w:i/>
        </w:rPr>
        <w:t>Se-Ling Hosiery, Inc. v. Margulies</w:t>
      </w:r>
      <w:r w:rsidRPr="00C81B96">
        <w:t xml:space="preserve">, 364 Pa. 45, 70 A.2d 854 (1950); </w:t>
      </w:r>
      <w:r w:rsidRPr="00276412">
        <w:rPr>
          <w:i/>
        </w:rPr>
        <w:t>Feinstein v. Philadelphia Suburban Water Company</w:t>
      </w:r>
      <w:r w:rsidRPr="00C81B96">
        <w:t>, 50 PA PUC 300 (1976).</w:t>
      </w:r>
    </w:p>
  </w:footnote>
  <w:footnote w:id="5">
    <w:p w:rsidR="00A932B5" w:rsidRDefault="00A932B5" w:rsidP="00621846">
      <w:pPr>
        <w:pStyle w:val="FootnoteText"/>
      </w:pPr>
      <w:r w:rsidRPr="00C81B96">
        <w:rPr>
          <w:rStyle w:val="FootnoteReference"/>
        </w:rPr>
        <w:footnoteRef/>
      </w:r>
      <w:r w:rsidRPr="00C81B96">
        <w:t xml:space="preserve"> </w:t>
      </w:r>
      <w:r w:rsidR="00C81B96" w:rsidRPr="00C81B96">
        <w:tab/>
      </w:r>
      <w:r w:rsidRPr="00C81B96">
        <w:rPr>
          <w:i/>
        </w:rPr>
        <w:t>Morrissey v. PA Dept. of Highways</w:t>
      </w:r>
      <w:r w:rsidRPr="00C81B96">
        <w:t>, 424 Pa. 87, 225 A.2d 895 (1967)</w:t>
      </w:r>
      <w:r w:rsidR="009119C6">
        <w:t>;</w:t>
      </w:r>
      <w:r w:rsidRPr="00C81B96">
        <w:t xml:space="preserve"> and </w:t>
      </w:r>
      <w:r w:rsidRPr="00C81B96">
        <w:rPr>
          <w:i/>
        </w:rPr>
        <w:t>Burleson v. Pa. P.U.C.</w:t>
      </w:r>
      <w:r w:rsidR="00472C68">
        <w:rPr>
          <w:i/>
        </w:rPr>
        <w:t>,</w:t>
      </w:r>
      <w:r w:rsidRPr="00C81B96">
        <w:t xml:space="preserve"> 66 Pa. Commonwealth Ct. 282, 443 A.2d 1373 (1982), </w:t>
      </w:r>
      <w:r w:rsidRPr="00C81B96">
        <w:rPr>
          <w:u w:val="single"/>
        </w:rPr>
        <w:t>aff’d.</w:t>
      </w:r>
      <w:r w:rsidRPr="00C81B96">
        <w:t xml:space="preserve"> 501 Pa. 443, 461 A.2d 1234.  </w:t>
      </w:r>
    </w:p>
    <w:p w:rsidR="00C81B96" w:rsidRPr="00C81B96" w:rsidRDefault="00C81B96" w:rsidP="00621846">
      <w:pPr>
        <w:pStyle w:val="FootnoteText"/>
      </w:pPr>
    </w:p>
  </w:footnote>
  <w:footnote w:id="6">
    <w:p w:rsidR="00A932B5" w:rsidRDefault="00A932B5" w:rsidP="00621846">
      <w:pPr>
        <w:pStyle w:val="FootnoteText"/>
      </w:pPr>
      <w:r w:rsidRPr="00C81B96">
        <w:rPr>
          <w:rStyle w:val="FootnoteReference"/>
        </w:rPr>
        <w:footnoteRef/>
      </w:r>
      <w:r w:rsidRPr="00C81B96">
        <w:t xml:space="preserve"> </w:t>
      </w:r>
      <w:r w:rsidR="00C81B96" w:rsidRPr="00C81B96">
        <w:tab/>
      </w:r>
      <w:r w:rsidRPr="00276412">
        <w:rPr>
          <w:i/>
        </w:rPr>
        <w:t>Milkie v. PA PUC</w:t>
      </w:r>
      <w:r w:rsidRPr="00C81B96">
        <w:t xml:space="preserve">, 768 A.2d 1217 (Pa. Cmwlth. 2001); </w:t>
      </w:r>
      <w:r w:rsidRPr="00276412">
        <w:rPr>
          <w:i/>
        </w:rPr>
        <w:t>Waldron v. Philadelphia Electric Company</w:t>
      </w:r>
      <w:r w:rsidRPr="00C81B96">
        <w:t>, 54 PA PUC 98 (1980)</w:t>
      </w:r>
      <w:r w:rsidR="009119C6">
        <w:t>;</w:t>
      </w:r>
      <w:r w:rsidRPr="00C81B96">
        <w:t xml:space="preserve"> and </w:t>
      </w:r>
      <w:r w:rsidRPr="00276412">
        <w:rPr>
          <w:i/>
        </w:rPr>
        <w:t>Replogle v. Philadelphia Electric Company</w:t>
      </w:r>
      <w:r w:rsidRPr="00C81B96">
        <w:t>, 54 PA PUC 528 (1980).</w:t>
      </w:r>
    </w:p>
    <w:p w:rsidR="00C81B96" w:rsidRPr="00C81B96" w:rsidRDefault="00C81B96" w:rsidP="00621846">
      <w:pPr>
        <w:pStyle w:val="FootnoteText"/>
      </w:pPr>
    </w:p>
  </w:footnote>
  <w:footnote w:id="7">
    <w:p w:rsidR="00A932B5" w:rsidRDefault="00A932B5" w:rsidP="00621846">
      <w:pPr>
        <w:pStyle w:val="FootnoteText"/>
      </w:pPr>
      <w:r w:rsidRPr="00C81B96">
        <w:rPr>
          <w:rStyle w:val="FootnoteReference"/>
        </w:rPr>
        <w:footnoteRef/>
      </w:r>
      <w:r w:rsidRPr="00C81B96">
        <w:t xml:space="preserve"> </w:t>
      </w:r>
      <w:r w:rsidR="00C81B96" w:rsidRPr="00C81B96">
        <w:tab/>
      </w:r>
      <w:r w:rsidRPr="00C81B96">
        <w:t>Tr. 8; Exs. C-1</w:t>
      </w:r>
      <w:r w:rsidR="00472C68">
        <w:t>,</w:t>
      </w:r>
      <w:r w:rsidRPr="00C81B96">
        <w:t xml:space="preserve"> C-4, C-5,</w:t>
      </w:r>
      <w:r w:rsidR="00276412">
        <w:t xml:space="preserve"> </w:t>
      </w:r>
      <w:r w:rsidRPr="00C81B96">
        <w:t>C-6, C-7, C-10, C-12.</w:t>
      </w:r>
    </w:p>
    <w:p w:rsidR="00C81B96" w:rsidRPr="00C81B96" w:rsidRDefault="00C81B96" w:rsidP="00621846">
      <w:pPr>
        <w:pStyle w:val="FootnoteText"/>
      </w:pPr>
    </w:p>
  </w:footnote>
  <w:footnote w:id="8">
    <w:p w:rsidR="00A932B5" w:rsidRDefault="00A932B5" w:rsidP="00621846">
      <w:pPr>
        <w:pStyle w:val="FootnoteText"/>
      </w:pPr>
      <w:r w:rsidRPr="00C81B96">
        <w:rPr>
          <w:rStyle w:val="FootnoteReference"/>
        </w:rPr>
        <w:footnoteRef/>
      </w:r>
      <w:r w:rsidRPr="00C81B96">
        <w:t xml:space="preserve"> </w:t>
      </w:r>
      <w:r w:rsidR="00C81B96" w:rsidRPr="00C81B96">
        <w:tab/>
      </w:r>
      <w:r w:rsidRPr="00C81B96">
        <w:t>Tr. 12-13; Exs. C-1, C-8, C-9, C-11.</w:t>
      </w:r>
    </w:p>
    <w:p w:rsidR="00011EF4" w:rsidRPr="00C81B96" w:rsidRDefault="00011EF4" w:rsidP="00621846">
      <w:pPr>
        <w:pStyle w:val="FootnoteText"/>
      </w:pPr>
    </w:p>
  </w:footnote>
  <w:footnote w:id="9">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00910801">
        <w:t>Resp</w:t>
      </w:r>
      <w:r w:rsidRPr="00C81B96">
        <w:t>. Ex. 4.</w:t>
      </w:r>
    </w:p>
    <w:p w:rsidR="00C81B96" w:rsidRPr="00C81B96" w:rsidRDefault="00C81B96" w:rsidP="00621846">
      <w:pPr>
        <w:pStyle w:val="FootnoteText"/>
      </w:pPr>
    </w:p>
  </w:footnote>
  <w:footnote w:id="10">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Tr. 18.</w:t>
      </w:r>
    </w:p>
    <w:p w:rsidR="00C81B96" w:rsidRPr="00C81B96" w:rsidRDefault="00C81B96" w:rsidP="00621846">
      <w:pPr>
        <w:pStyle w:val="FootnoteText"/>
      </w:pPr>
    </w:p>
  </w:footnote>
  <w:footnote w:id="11">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Tr. 9-10.</w:t>
      </w:r>
    </w:p>
    <w:p w:rsidR="00C81B96" w:rsidRPr="00C81B96" w:rsidRDefault="00C81B96" w:rsidP="00621846">
      <w:pPr>
        <w:pStyle w:val="FootnoteText"/>
      </w:pPr>
    </w:p>
  </w:footnote>
  <w:footnote w:id="12">
    <w:p w:rsidR="00C81B96" w:rsidRDefault="00A932B5" w:rsidP="00011EF4">
      <w:pPr>
        <w:pStyle w:val="ListParagraph"/>
        <w:numPr>
          <w:ilvl w:val="0"/>
          <w:numId w:val="0"/>
        </w:numPr>
        <w:spacing w:line="240" w:lineRule="auto"/>
        <w:ind w:left="720"/>
        <w:rPr>
          <w:sz w:val="20"/>
          <w:szCs w:val="20"/>
        </w:rPr>
      </w:pPr>
      <w:r w:rsidRPr="00C81B96">
        <w:rPr>
          <w:rStyle w:val="FootnoteReference"/>
          <w:sz w:val="20"/>
          <w:szCs w:val="20"/>
        </w:rPr>
        <w:footnoteRef/>
      </w:r>
      <w:r w:rsidRPr="00C81B96">
        <w:t xml:space="preserve"> </w:t>
      </w:r>
      <w:r w:rsidR="00C81B96" w:rsidRPr="00C81B96">
        <w:tab/>
      </w:r>
      <w:r w:rsidRPr="00011EF4">
        <w:rPr>
          <w:sz w:val="20"/>
          <w:szCs w:val="20"/>
        </w:rPr>
        <w:t>Tr. 10</w:t>
      </w:r>
      <w:r w:rsidR="009119C6">
        <w:rPr>
          <w:sz w:val="20"/>
          <w:szCs w:val="20"/>
        </w:rPr>
        <w:t>-</w:t>
      </w:r>
      <w:r w:rsidRPr="00011EF4">
        <w:rPr>
          <w:sz w:val="20"/>
          <w:szCs w:val="20"/>
        </w:rPr>
        <w:t>11.</w:t>
      </w:r>
    </w:p>
    <w:p w:rsidR="00011EF4" w:rsidRPr="00011EF4" w:rsidRDefault="00011EF4" w:rsidP="00011EF4">
      <w:pPr>
        <w:pStyle w:val="ListParagraph"/>
        <w:numPr>
          <w:ilvl w:val="0"/>
          <w:numId w:val="0"/>
        </w:numPr>
        <w:spacing w:line="240" w:lineRule="auto"/>
        <w:ind w:left="720"/>
        <w:rPr>
          <w:sz w:val="20"/>
          <w:szCs w:val="20"/>
        </w:rPr>
      </w:pPr>
    </w:p>
  </w:footnote>
  <w:footnote w:id="13">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Tr. 16.</w:t>
      </w:r>
    </w:p>
    <w:p w:rsidR="00C81B96" w:rsidRPr="00C81B96" w:rsidRDefault="00C81B96" w:rsidP="00621846">
      <w:pPr>
        <w:pStyle w:val="FootnoteText"/>
      </w:pPr>
    </w:p>
  </w:footnote>
  <w:footnote w:id="14">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Tr. 17-18.</w:t>
      </w:r>
    </w:p>
    <w:p w:rsidR="00C81B96" w:rsidRPr="00C81B96" w:rsidRDefault="00C81B96" w:rsidP="00621846">
      <w:pPr>
        <w:pStyle w:val="FootnoteText"/>
      </w:pPr>
    </w:p>
  </w:footnote>
  <w:footnote w:id="15">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 xml:space="preserve">Tr. 23; </w:t>
      </w:r>
      <w:r w:rsidR="00910801">
        <w:t>Resp</w:t>
      </w:r>
      <w:r w:rsidRPr="00C81B96">
        <w:t>. Ex. 1.</w:t>
      </w:r>
    </w:p>
    <w:p w:rsidR="00C81B96" w:rsidRPr="00C81B96" w:rsidRDefault="00C81B96" w:rsidP="00621846">
      <w:pPr>
        <w:pStyle w:val="FootnoteText"/>
      </w:pPr>
    </w:p>
  </w:footnote>
  <w:footnote w:id="16">
    <w:p w:rsidR="00A932B5" w:rsidRPr="00C81B96" w:rsidRDefault="00A932B5" w:rsidP="00621846">
      <w:pPr>
        <w:pStyle w:val="FootnoteText"/>
      </w:pPr>
      <w:r w:rsidRPr="00C81B96">
        <w:rPr>
          <w:rStyle w:val="FootnoteReference"/>
        </w:rPr>
        <w:footnoteRef/>
      </w:r>
      <w:r w:rsidRPr="00C81B96">
        <w:t xml:space="preserve"> </w:t>
      </w:r>
      <w:r w:rsidR="00C81B96" w:rsidRPr="00C81B96">
        <w:tab/>
      </w:r>
      <w:r w:rsidRPr="00C81B96">
        <w:t>Tr. 23</w:t>
      </w:r>
      <w:r w:rsidR="00041C5B" w:rsidRPr="00C81B96">
        <w:t>, 28</w:t>
      </w:r>
      <w:r w:rsidRPr="00C81B96">
        <w:t xml:space="preserve">; </w:t>
      </w:r>
      <w:r w:rsidR="00910801">
        <w:t>Resp</w:t>
      </w:r>
      <w:r w:rsidRPr="00C81B96">
        <w:t>. Ex. 1</w:t>
      </w:r>
      <w:r w:rsidR="00C81B96" w:rsidRPr="00C81B96">
        <w:t>.</w:t>
      </w:r>
    </w:p>
    <w:p w:rsidR="00C81B96" w:rsidRPr="00C81B96" w:rsidRDefault="00C81B96" w:rsidP="00621846">
      <w:pPr>
        <w:pStyle w:val="FootnoteText"/>
      </w:pPr>
    </w:p>
  </w:footnote>
  <w:footnote w:id="17">
    <w:p w:rsidR="00621846" w:rsidRPr="00621846" w:rsidRDefault="00041C5B" w:rsidP="00621846">
      <w:pPr>
        <w:pStyle w:val="FootnoteText"/>
      </w:pPr>
      <w:r w:rsidRPr="00621846">
        <w:rPr>
          <w:rStyle w:val="FootnoteReference"/>
        </w:rPr>
        <w:footnoteRef/>
      </w:r>
      <w:r w:rsidRPr="00621846">
        <w:t xml:space="preserve"> </w:t>
      </w:r>
      <w:r w:rsidR="00C81B96" w:rsidRPr="00621846">
        <w:tab/>
      </w:r>
      <w:r w:rsidRPr="00621846">
        <w:t>Tr. 31.</w:t>
      </w:r>
    </w:p>
  </w:footnote>
  <w:footnote w:id="18">
    <w:p w:rsidR="00A932B5" w:rsidRDefault="00A932B5" w:rsidP="00621846">
      <w:pPr>
        <w:pStyle w:val="FootnoteText"/>
      </w:pPr>
      <w:r w:rsidRPr="00C81B96">
        <w:rPr>
          <w:rStyle w:val="FootnoteReference"/>
        </w:rPr>
        <w:footnoteRef/>
      </w:r>
      <w:r w:rsidRPr="00C81B96">
        <w:t xml:space="preserve"> </w:t>
      </w:r>
      <w:r w:rsidR="00C81B96">
        <w:tab/>
      </w:r>
      <w:r w:rsidRPr="00C81B96">
        <w:t xml:space="preserve">Tr. 29; </w:t>
      </w:r>
      <w:r w:rsidR="00910801">
        <w:t>Resp</w:t>
      </w:r>
      <w:r w:rsidRPr="00C81B96">
        <w:t>. Ex. 3.</w:t>
      </w:r>
    </w:p>
    <w:p w:rsidR="00C81B96" w:rsidRPr="00C81B96" w:rsidRDefault="00C81B96" w:rsidP="00621846">
      <w:pPr>
        <w:pStyle w:val="FootnoteText"/>
      </w:pPr>
    </w:p>
  </w:footnote>
  <w:footnote w:id="19">
    <w:p w:rsidR="00A932B5" w:rsidRDefault="00A932B5" w:rsidP="00621846">
      <w:pPr>
        <w:pStyle w:val="FootnoteText"/>
      </w:pPr>
      <w:r w:rsidRPr="00C81B96">
        <w:rPr>
          <w:rStyle w:val="FootnoteReference"/>
        </w:rPr>
        <w:footnoteRef/>
      </w:r>
      <w:r w:rsidRPr="00C81B96">
        <w:t xml:space="preserve"> </w:t>
      </w:r>
      <w:r w:rsidR="00C81B96">
        <w:tab/>
      </w:r>
      <w:r w:rsidRPr="00C81B96">
        <w:t>Docket No. C-20054997 (Final Order entered December 18, 2006).</w:t>
      </w:r>
    </w:p>
    <w:p w:rsidR="00C81B96" w:rsidRPr="00C81B96" w:rsidRDefault="00C81B96" w:rsidP="00621846">
      <w:pPr>
        <w:pStyle w:val="FootnoteText"/>
      </w:pPr>
    </w:p>
  </w:footnote>
  <w:footnote w:id="20">
    <w:p w:rsidR="000F7959" w:rsidRDefault="000F7959" w:rsidP="00621846">
      <w:pPr>
        <w:pStyle w:val="FootnoteText"/>
      </w:pPr>
      <w:r w:rsidRPr="00C81B96">
        <w:rPr>
          <w:rStyle w:val="FootnoteReference"/>
        </w:rPr>
        <w:footnoteRef/>
      </w:r>
      <w:r w:rsidRPr="00C81B96">
        <w:t xml:space="preserve"> </w:t>
      </w:r>
      <w:r w:rsidR="00C81B96">
        <w:tab/>
      </w:r>
      <w:r w:rsidRPr="00C81B96">
        <w:t>In her closing argument, counsel for Duquesne Light noted that the company is required to provide these procedures by federal mandate known as “Red Flag Procedures.” Tr. 39.</w:t>
      </w:r>
    </w:p>
    <w:p w:rsidR="00C81B96" w:rsidRPr="00C81B96" w:rsidRDefault="00C81B96" w:rsidP="00621846">
      <w:pPr>
        <w:pStyle w:val="FootnoteText"/>
      </w:pPr>
    </w:p>
  </w:footnote>
  <w:footnote w:id="21">
    <w:p w:rsidR="00A932B5" w:rsidRPr="00C81B96" w:rsidRDefault="00A932B5" w:rsidP="00621846">
      <w:pPr>
        <w:pStyle w:val="FootnoteText"/>
      </w:pPr>
      <w:r w:rsidRPr="00C81B96">
        <w:rPr>
          <w:rStyle w:val="FootnoteReference"/>
        </w:rPr>
        <w:footnoteRef/>
      </w:r>
      <w:r w:rsidRPr="00C81B96">
        <w:t xml:space="preserve"> </w:t>
      </w:r>
      <w:r w:rsidR="00C81B96">
        <w:tab/>
      </w:r>
      <w:r w:rsidRPr="00C81B96">
        <w:t>Tr. 23, 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B0B37"/>
    <w:multiLevelType w:val="multilevel"/>
    <w:tmpl w:val="228A8ED0"/>
    <w:styleLink w:val="Style1"/>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C954FF"/>
    <w:multiLevelType w:val="multilevel"/>
    <w:tmpl w:val="228A8ED0"/>
    <w:numStyleLink w:val="Style1"/>
  </w:abstractNum>
  <w:abstractNum w:abstractNumId="3">
    <w:nsid w:val="7F676860"/>
    <w:multiLevelType w:val="hybridMultilevel"/>
    <w:tmpl w:val="A8566E4E"/>
    <w:lvl w:ilvl="0" w:tplc="38AEBEB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640DF"/>
    <w:rsid w:val="00011EF4"/>
    <w:rsid w:val="000121EE"/>
    <w:rsid w:val="000216FE"/>
    <w:rsid w:val="00027216"/>
    <w:rsid w:val="000306F1"/>
    <w:rsid w:val="00035D3D"/>
    <w:rsid w:val="00041C5B"/>
    <w:rsid w:val="00057DA9"/>
    <w:rsid w:val="00082817"/>
    <w:rsid w:val="000C50DA"/>
    <w:rsid w:val="000F7959"/>
    <w:rsid w:val="001362EA"/>
    <w:rsid w:val="00141C82"/>
    <w:rsid w:val="001A7948"/>
    <w:rsid w:val="001C2459"/>
    <w:rsid w:val="0021043A"/>
    <w:rsid w:val="00213019"/>
    <w:rsid w:val="002135DF"/>
    <w:rsid w:val="00276412"/>
    <w:rsid w:val="002C7D49"/>
    <w:rsid w:val="002F7C15"/>
    <w:rsid w:val="00314961"/>
    <w:rsid w:val="0036255A"/>
    <w:rsid w:val="00392D1A"/>
    <w:rsid w:val="00394BD7"/>
    <w:rsid w:val="003D19D1"/>
    <w:rsid w:val="003E4532"/>
    <w:rsid w:val="004128E7"/>
    <w:rsid w:val="00427968"/>
    <w:rsid w:val="00432575"/>
    <w:rsid w:val="0043294A"/>
    <w:rsid w:val="00436C83"/>
    <w:rsid w:val="00446E61"/>
    <w:rsid w:val="00472C68"/>
    <w:rsid w:val="00497ED3"/>
    <w:rsid w:val="004A58CD"/>
    <w:rsid w:val="004B6F42"/>
    <w:rsid w:val="004F5AA9"/>
    <w:rsid w:val="00511987"/>
    <w:rsid w:val="00560D36"/>
    <w:rsid w:val="00580FF3"/>
    <w:rsid w:val="0059715B"/>
    <w:rsid w:val="005A645B"/>
    <w:rsid w:val="005B36D7"/>
    <w:rsid w:val="005D38EB"/>
    <w:rsid w:val="00613DF5"/>
    <w:rsid w:val="00621846"/>
    <w:rsid w:val="006241FA"/>
    <w:rsid w:val="006405B4"/>
    <w:rsid w:val="00667509"/>
    <w:rsid w:val="006B4CDE"/>
    <w:rsid w:val="006C376D"/>
    <w:rsid w:val="006C4167"/>
    <w:rsid w:val="006F1198"/>
    <w:rsid w:val="00736013"/>
    <w:rsid w:val="007430B1"/>
    <w:rsid w:val="0076507E"/>
    <w:rsid w:val="007B0572"/>
    <w:rsid w:val="007B32F3"/>
    <w:rsid w:val="008035E5"/>
    <w:rsid w:val="0082401B"/>
    <w:rsid w:val="008A5805"/>
    <w:rsid w:val="008B0173"/>
    <w:rsid w:val="008D618C"/>
    <w:rsid w:val="008E03C3"/>
    <w:rsid w:val="008F3737"/>
    <w:rsid w:val="008F611D"/>
    <w:rsid w:val="00910801"/>
    <w:rsid w:val="009119C6"/>
    <w:rsid w:val="00927ED9"/>
    <w:rsid w:val="00945358"/>
    <w:rsid w:val="009735F1"/>
    <w:rsid w:val="009B38D3"/>
    <w:rsid w:val="009E4D0B"/>
    <w:rsid w:val="00A260EE"/>
    <w:rsid w:val="00A31493"/>
    <w:rsid w:val="00A575D7"/>
    <w:rsid w:val="00A932B5"/>
    <w:rsid w:val="00A94F56"/>
    <w:rsid w:val="00AB78C6"/>
    <w:rsid w:val="00AD24E5"/>
    <w:rsid w:val="00AF1D0E"/>
    <w:rsid w:val="00AF28D6"/>
    <w:rsid w:val="00AF5FE3"/>
    <w:rsid w:val="00B14258"/>
    <w:rsid w:val="00B43FFC"/>
    <w:rsid w:val="00B54CA7"/>
    <w:rsid w:val="00B576AD"/>
    <w:rsid w:val="00B76EDB"/>
    <w:rsid w:val="00B86614"/>
    <w:rsid w:val="00B92CF7"/>
    <w:rsid w:val="00B97C2D"/>
    <w:rsid w:val="00BD1050"/>
    <w:rsid w:val="00BD47A3"/>
    <w:rsid w:val="00BE4434"/>
    <w:rsid w:val="00BE68E0"/>
    <w:rsid w:val="00C04EF9"/>
    <w:rsid w:val="00C13B04"/>
    <w:rsid w:val="00C25D53"/>
    <w:rsid w:val="00C5798B"/>
    <w:rsid w:val="00C57E45"/>
    <w:rsid w:val="00C81B96"/>
    <w:rsid w:val="00CA3044"/>
    <w:rsid w:val="00CB438D"/>
    <w:rsid w:val="00D17677"/>
    <w:rsid w:val="00D454F5"/>
    <w:rsid w:val="00D47A03"/>
    <w:rsid w:val="00D6201F"/>
    <w:rsid w:val="00D640DF"/>
    <w:rsid w:val="00D70051"/>
    <w:rsid w:val="00DA72E2"/>
    <w:rsid w:val="00DB2E8B"/>
    <w:rsid w:val="00DE4860"/>
    <w:rsid w:val="00DE5416"/>
    <w:rsid w:val="00E10FC4"/>
    <w:rsid w:val="00E23AC9"/>
    <w:rsid w:val="00E25285"/>
    <w:rsid w:val="00E474C9"/>
    <w:rsid w:val="00E5760A"/>
    <w:rsid w:val="00E90C6F"/>
    <w:rsid w:val="00E965BD"/>
    <w:rsid w:val="00EB7404"/>
    <w:rsid w:val="00EC0509"/>
    <w:rsid w:val="00EC3354"/>
    <w:rsid w:val="00ED0A43"/>
    <w:rsid w:val="00ED5D60"/>
    <w:rsid w:val="00EE5F95"/>
    <w:rsid w:val="00F02DBA"/>
    <w:rsid w:val="00F10347"/>
    <w:rsid w:val="00F21ACA"/>
    <w:rsid w:val="00F2263F"/>
    <w:rsid w:val="00F42904"/>
    <w:rsid w:val="00F460CF"/>
    <w:rsid w:val="00F47EB4"/>
    <w:rsid w:val="00F85D1C"/>
    <w:rsid w:val="00FA02E4"/>
    <w:rsid w:val="00FB5F7E"/>
    <w:rsid w:val="00FC2500"/>
    <w:rsid w:val="00FF5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qFormat/>
    <w:rsid w:val="00621846"/>
    <w:pPr>
      <w:ind w:firstLine="720"/>
    </w:pPr>
    <w:rPr>
      <w:sz w:val="20"/>
      <w:szCs w:val="20"/>
    </w:rPr>
  </w:style>
  <w:style w:type="character" w:customStyle="1" w:styleId="FootnoteTextChar">
    <w:name w:val="Footnote Text Char"/>
    <w:basedOn w:val="DefaultParagraphFont"/>
    <w:link w:val="FootnoteText"/>
    <w:uiPriority w:val="99"/>
    <w:rsid w:val="00621846"/>
    <w:rPr>
      <w:rFonts w:ascii="Times New Roman" w:eastAsia="Times New Roman" w:hAnsi="Times New Roman" w:cs="Times New Roman"/>
      <w:sz w:val="20"/>
      <w:szCs w:val="20"/>
    </w:rPr>
  </w:style>
  <w:style w:type="paragraph" w:styleId="ListParagraph">
    <w:name w:val="List Paragraph"/>
    <w:basedOn w:val="Normal"/>
    <w:autoRedefine/>
    <w:uiPriority w:val="34"/>
    <w:qFormat/>
    <w:rsid w:val="00F21ACA"/>
    <w:pPr>
      <w:numPr>
        <w:numId w:val="4"/>
      </w:numPr>
      <w:spacing w:line="360" w:lineRule="auto"/>
      <w:contextualSpacing/>
    </w:pPr>
  </w:style>
  <w:style w:type="numbering" w:customStyle="1" w:styleId="Style1">
    <w:name w:val="Style1"/>
    <w:uiPriority w:val="99"/>
    <w:rsid w:val="00C13B04"/>
    <w:pPr>
      <w:numPr>
        <w:numId w:val="2"/>
      </w:numPr>
    </w:pPr>
  </w:style>
  <w:style w:type="paragraph" w:styleId="Header">
    <w:name w:val="header"/>
    <w:basedOn w:val="Normal"/>
    <w:link w:val="HeaderChar"/>
    <w:uiPriority w:val="99"/>
    <w:semiHidden/>
    <w:unhideWhenUsed/>
    <w:rsid w:val="00DB2E8B"/>
    <w:pPr>
      <w:tabs>
        <w:tab w:val="center" w:pos="4680"/>
        <w:tab w:val="right" w:pos="9360"/>
      </w:tabs>
    </w:pPr>
  </w:style>
  <w:style w:type="character" w:customStyle="1" w:styleId="HeaderChar">
    <w:name w:val="Header Char"/>
    <w:basedOn w:val="DefaultParagraphFont"/>
    <w:link w:val="Header"/>
    <w:uiPriority w:val="99"/>
    <w:semiHidden/>
    <w:rsid w:val="00DB2E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E8B"/>
    <w:pPr>
      <w:tabs>
        <w:tab w:val="center" w:pos="4680"/>
        <w:tab w:val="right" w:pos="9360"/>
      </w:tabs>
    </w:pPr>
  </w:style>
  <w:style w:type="character" w:customStyle="1" w:styleId="FooterChar">
    <w:name w:val="Footer Char"/>
    <w:basedOn w:val="DefaultParagraphFont"/>
    <w:link w:val="Footer"/>
    <w:uiPriority w:val="99"/>
    <w:rsid w:val="00DB2E8B"/>
    <w:rPr>
      <w:rFonts w:ascii="Times New Roman" w:eastAsia="Times New Roman" w:hAnsi="Times New Roman" w:cs="Times New Roman"/>
      <w:sz w:val="24"/>
      <w:szCs w:val="24"/>
    </w:rPr>
  </w:style>
  <w:style w:type="paragraph" w:styleId="BodyText">
    <w:name w:val="Body Text"/>
    <w:basedOn w:val="Normal"/>
    <w:link w:val="BodyTextChar"/>
    <w:rsid w:val="00432575"/>
    <w:pPr>
      <w:tabs>
        <w:tab w:val="left" w:pos="-1440"/>
        <w:tab w:val="left" w:pos="-720"/>
        <w:tab w:val="left" w:pos="0"/>
        <w:tab w:val="left" w:pos="720"/>
        <w:tab w:val="left" w:pos="1440"/>
      </w:tabs>
      <w:spacing w:line="480" w:lineRule="auto"/>
      <w:jc w:val="both"/>
    </w:pPr>
    <w:rPr>
      <w:szCs w:val="20"/>
    </w:rPr>
  </w:style>
  <w:style w:type="character" w:customStyle="1" w:styleId="BodyTextChar">
    <w:name w:val="Body Text Char"/>
    <w:basedOn w:val="DefaultParagraphFont"/>
    <w:link w:val="BodyText"/>
    <w:rsid w:val="0043257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795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0FA8-7A3B-4249-B64E-0CEED5B9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bfaccenda</cp:lastModifiedBy>
  <cp:revision>2</cp:revision>
  <cp:lastPrinted>2010-07-14T11:43:00Z</cp:lastPrinted>
  <dcterms:created xsi:type="dcterms:W3CDTF">2010-07-14T11:53:00Z</dcterms:created>
  <dcterms:modified xsi:type="dcterms:W3CDTF">2010-07-14T11:53:00Z</dcterms:modified>
</cp:coreProperties>
</file>