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70E" w:rsidRPr="0017065A" w:rsidRDefault="0065570E" w:rsidP="00D97DA3">
      <w:pPr>
        <w:pStyle w:val="Title"/>
        <w:ind w:firstLine="0"/>
      </w:pPr>
      <w:r w:rsidRPr="0017065A">
        <w:t>PENNSYLVANIA</w:t>
      </w:r>
    </w:p>
    <w:p w:rsidR="0065570E" w:rsidRPr="0017065A" w:rsidRDefault="0065570E" w:rsidP="00D97DA3">
      <w:pPr>
        <w:widowControl/>
        <w:ind w:firstLine="0"/>
        <w:jc w:val="center"/>
        <w:rPr>
          <w:b/>
        </w:rPr>
      </w:pPr>
      <w:r w:rsidRPr="0017065A">
        <w:rPr>
          <w:b/>
        </w:rPr>
        <w:t>PUBLIC UTILITY COMMISSION</w:t>
      </w:r>
      <w:r w:rsidRPr="0017065A">
        <w:t xml:space="preserve"> </w:t>
      </w:r>
    </w:p>
    <w:p w:rsidR="0065570E" w:rsidRPr="0017065A" w:rsidRDefault="0065570E" w:rsidP="00D97DA3">
      <w:pPr>
        <w:widowControl/>
        <w:ind w:firstLine="0"/>
        <w:jc w:val="center"/>
      </w:pPr>
      <w:r w:rsidRPr="0017065A">
        <w:rPr>
          <w:b/>
        </w:rPr>
        <w:t>Harrisburg, PA 17105-3265</w:t>
      </w:r>
    </w:p>
    <w:p w:rsidR="0065570E" w:rsidRPr="0017065A" w:rsidRDefault="0065570E" w:rsidP="0065570E">
      <w:pPr>
        <w:widowControl/>
        <w:jc w:val="center"/>
      </w:pPr>
    </w:p>
    <w:p w:rsidR="0065570E" w:rsidRPr="0017065A" w:rsidRDefault="0065570E" w:rsidP="0065570E">
      <w:pPr>
        <w:pStyle w:val="Heading5"/>
      </w:pPr>
      <w:r w:rsidRPr="0017065A">
        <w:t xml:space="preserve">Public Meeting held </w:t>
      </w:r>
      <w:r w:rsidR="005D3725">
        <w:t xml:space="preserve">July </w:t>
      </w:r>
      <w:r w:rsidR="007158B7">
        <w:t>29</w:t>
      </w:r>
      <w:r w:rsidR="008F22EA">
        <w:t>, 2010</w:t>
      </w:r>
    </w:p>
    <w:p w:rsidR="0065570E" w:rsidRPr="0017065A" w:rsidRDefault="0065570E" w:rsidP="00CA4898">
      <w:pPr>
        <w:widowControl/>
        <w:spacing w:line="240" w:lineRule="auto"/>
        <w:ind w:firstLine="0"/>
      </w:pPr>
    </w:p>
    <w:p w:rsidR="0065570E" w:rsidRPr="0017065A" w:rsidRDefault="0065570E" w:rsidP="00CA4898">
      <w:pPr>
        <w:widowControl/>
        <w:spacing w:line="240" w:lineRule="auto"/>
        <w:ind w:firstLine="0"/>
      </w:pPr>
      <w:r w:rsidRPr="0017065A">
        <w:t>Commissioners Present:</w:t>
      </w:r>
    </w:p>
    <w:p w:rsidR="0065570E" w:rsidRPr="0017065A" w:rsidRDefault="0065570E" w:rsidP="00CA4898">
      <w:pPr>
        <w:widowControl/>
        <w:tabs>
          <w:tab w:val="left" w:pos="-720"/>
        </w:tabs>
        <w:suppressAutoHyphens/>
        <w:spacing w:line="240" w:lineRule="auto"/>
        <w:ind w:firstLine="0"/>
      </w:pPr>
    </w:p>
    <w:p w:rsidR="0065570E" w:rsidRPr="0017065A" w:rsidRDefault="0065570E" w:rsidP="00CA4898">
      <w:pPr>
        <w:widowControl/>
        <w:tabs>
          <w:tab w:val="left" w:pos="-720"/>
        </w:tabs>
        <w:suppressAutoHyphens/>
        <w:spacing w:line="240" w:lineRule="auto"/>
        <w:ind w:firstLine="0"/>
      </w:pPr>
    </w:p>
    <w:p w:rsidR="0065570E" w:rsidRPr="0017065A" w:rsidRDefault="0065570E" w:rsidP="00CA4898">
      <w:pPr>
        <w:widowControl/>
        <w:tabs>
          <w:tab w:val="left" w:pos="-720"/>
        </w:tabs>
        <w:suppressAutoHyphens/>
        <w:spacing w:line="240" w:lineRule="auto"/>
        <w:ind w:firstLine="0"/>
        <w:rPr>
          <w:szCs w:val="26"/>
        </w:rPr>
      </w:pPr>
      <w:r w:rsidRPr="0017065A">
        <w:rPr>
          <w:szCs w:val="26"/>
        </w:rPr>
        <w:tab/>
        <w:t>James H. Cawley, Chairman</w:t>
      </w:r>
    </w:p>
    <w:p w:rsidR="0065570E" w:rsidRPr="0017065A" w:rsidRDefault="0065570E" w:rsidP="00CA4898">
      <w:pPr>
        <w:widowControl/>
        <w:tabs>
          <w:tab w:val="left" w:pos="-720"/>
        </w:tabs>
        <w:suppressAutoHyphens/>
        <w:spacing w:line="240" w:lineRule="auto"/>
        <w:ind w:firstLine="0"/>
        <w:rPr>
          <w:szCs w:val="26"/>
        </w:rPr>
      </w:pPr>
      <w:r w:rsidRPr="0017065A">
        <w:rPr>
          <w:szCs w:val="26"/>
        </w:rPr>
        <w:tab/>
        <w:t>Tyrone J. Christy, Vice Chairman</w:t>
      </w:r>
    </w:p>
    <w:p w:rsidR="005D3725" w:rsidRDefault="0065570E" w:rsidP="00CA4898">
      <w:pPr>
        <w:widowControl/>
        <w:tabs>
          <w:tab w:val="left" w:pos="-720"/>
        </w:tabs>
        <w:suppressAutoHyphens/>
        <w:spacing w:line="240" w:lineRule="auto"/>
        <w:ind w:firstLine="0"/>
        <w:rPr>
          <w:szCs w:val="26"/>
        </w:rPr>
      </w:pPr>
      <w:r w:rsidRPr="0017065A">
        <w:rPr>
          <w:szCs w:val="26"/>
        </w:rPr>
        <w:tab/>
      </w:r>
      <w:r w:rsidR="005D3725">
        <w:rPr>
          <w:szCs w:val="26"/>
        </w:rPr>
        <w:t xml:space="preserve">John F. Coleman, Jr. </w:t>
      </w:r>
    </w:p>
    <w:p w:rsidR="0065570E" w:rsidRPr="0017065A" w:rsidRDefault="005D3725" w:rsidP="00CA4898">
      <w:pPr>
        <w:widowControl/>
        <w:tabs>
          <w:tab w:val="left" w:pos="-720"/>
        </w:tabs>
        <w:suppressAutoHyphens/>
        <w:spacing w:line="240" w:lineRule="auto"/>
        <w:ind w:firstLine="0"/>
        <w:rPr>
          <w:szCs w:val="26"/>
        </w:rPr>
      </w:pPr>
      <w:r>
        <w:rPr>
          <w:szCs w:val="26"/>
        </w:rPr>
        <w:tab/>
      </w:r>
      <w:r w:rsidR="0065570E" w:rsidRPr="0017065A">
        <w:rPr>
          <w:szCs w:val="26"/>
        </w:rPr>
        <w:t>Wayne E. Gardner</w:t>
      </w:r>
    </w:p>
    <w:p w:rsidR="0065570E" w:rsidRPr="0017065A" w:rsidRDefault="00077F84" w:rsidP="00CA4898">
      <w:pPr>
        <w:widowControl/>
        <w:tabs>
          <w:tab w:val="left" w:pos="-720"/>
        </w:tabs>
        <w:suppressAutoHyphens/>
        <w:spacing w:line="240" w:lineRule="auto"/>
        <w:ind w:firstLine="0"/>
        <w:rPr>
          <w:szCs w:val="26"/>
        </w:rPr>
      </w:pPr>
      <w:r>
        <w:rPr>
          <w:szCs w:val="26"/>
        </w:rPr>
        <w:tab/>
      </w:r>
      <w:r w:rsidR="0065570E" w:rsidRPr="0017065A">
        <w:rPr>
          <w:szCs w:val="26"/>
        </w:rPr>
        <w:t>Robert F. Powelson</w:t>
      </w:r>
    </w:p>
    <w:p w:rsidR="0065570E" w:rsidRPr="0017065A" w:rsidRDefault="0065570E" w:rsidP="00CA4898">
      <w:pPr>
        <w:widowControl/>
        <w:tabs>
          <w:tab w:val="left" w:pos="-720"/>
        </w:tabs>
        <w:suppressAutoHyphens/>
        <w:spacing w:line="240" w:lineRule="auto"/>
        <w:ind w:firstLine="0"/>
        <w:rPr>
          <w:szCs w:val="26"/>
        </w:rPr>
      </w:pPr>
    </w:p>
    <w:p w:rsidR="0065570E" w:rsidRDefault="0065570E" w:rsidP="00CA4898">
      <w:pPr>
        <w:widowControl/>
        <w:spacing w:line="240" w:lineRule="auto"/>
        <w:ind w:firstLine="0"/>
      </w:pPr>
    </w:p>
    <w:p w:rsidR="008F22EA" w:rsidRPr="0017065A" w:rsidRDefault="008F22EA" w:rsidP="00CA4898">
      <w:pPr>
        <w:widowControl/>
        <w:spacing w:line="240" w:lineRule="auto"/>
        <w:ind w:firstLine="0"/>
      </w:pPr>
    </w:p>
    <w:tbl>
      <w:tblPr>
        <w:tblW w:w="0" w:type="auto"/>
        <w:tblLook w:val="01E0"/>
      </w:tblPr>
      <w:tblGrid>
        <w:gridCol w:w="5568"/>
        <w:gridCol w:w="4008"/>
      </w:tblGrid>
      <w:tr w:rsidR="0065570E" w:rsidRPr="0017065A" w:rsidTr="008725EA">
        <w:tc>
          <w:tcPr>
            <w:tcW w:w="5568" w:type="dxa"/>
          </w:tcPr>
          <w:p w:rsidR="0002455F" w:rsidRDefault="005D3725" w:rsidP="00CA4898">
            <w:pPr>
              <w:widowControl/>
              <w:spacing w:line="240" w:lineRule="auto"/>
              <w:ind w:firstLine="0"/>
              <w:rPr>
                <w:szCs w:val="26"/>
              </w:rPr>
            </w:pPr>
            <w:r>
              <w:rPr>
                <w:szCs w:val="26"/>
              </w:rPr>
              <w:t>Bozena Dziadas</w:t>
            </w:r>
          </w:p>
          <w:p w:rsidR="008F22EA" w:rsidRDefault="008F22EA" w:rsidP="00CA4898">
            <w:pPr>
              <w:widowControl/>
              <w:spacing w:line="240" w:lineRule="auto"/>
              <w:ind w:firstLine="0"/>
              <w:rPr>
                <w:szCs w:val="26"/>
              </w:rPr>
            </w:pPr>
          </w:p>
          <w:p w:rsidR="0002455F" w:rsidRDefault="002C401F" w:rsidP="00CA4898">
            <w:pPr>
              <w:widowControl/>
              <w:spacing w:line="240" w:lineRule="auto"/>
              <w:ind w:firstLine="0"/>
              <w:rPr>
                <w:szCs w:val="26"/>
              </w:rPr>
            </w:pPr>
            <w:r>
              <w:rPr>
                <w:szCs w:val="26"/>
              </w:rPr>
              <w:t xml:space="preserve">           </w:t>
            </w:r>
            <w:r w:rsidR="0002455F">
              <w:rPr>
                <w:szCs w:val="26"/>
              </w:rPr>
              <w:t xml:space="preserve">v. </w:t>
            </w:r>
          </w:p>
          <w:p w:rsidR="0002455F" w:rsidRDefault="0002455F" w:rsidP="00CA4898">
            <w:pPr>
              <w:widowControl/>
              <w:spacing w:line="240" w:lineRule="auto"/>
              <w:ind w:firstLine="0"/>
              <w:rPr>
                <w:szCs w:val="26"/>
              </w:rPr>
            </w:pPr>
          </w:p>
          <w:p w:rsidR="0002455F" w:rsidRPr="0017065A" w:rsidRDefault="005D3725" w:rsidP="00CA4898">
            <w:pPr>
              <w:widowControl/>
              <w:spacing w:line="240" w:lineRule="auto"/>
              <w:ind w:firstLine="0"/>
              <w:rPr>
                <w:szCs w:val="26"/>
              </w:rPr>
            </w:pPr>
            <w:r>
              <w:rPr>
                <w:szCs w:val="26"/>
              </w:rPr>
              <w:t>PPL Electric Utilities Corporation</w:t>
            </w:r>
            <w:r w:rsidR="0002455F">
              <w:rPr>
                <w:szCs w:val="26"/>
              </w:rPr>
              <w:t xml:space="preserve"> </w:t>
            </w:r>
          </w:p>
        </w:tc>
        <w:tc>
          <w:tcPr>
            <w:tcW w:w="4008" w:type="dxa"/>
          </w:tcPr>
          <w:p w:rsidR="0065570E" w:rsidRPr="0017065A" w:rsidRDefault="005D3725" w:rsidP="00CA4898">
            <w:pPr>
              <w:widowControl/>
              <w:spacing w:line="240" w:lineRule="auto"/>
              <w:ind w:firstLine="0"/>
              <w:jc w:val="right"/>
              <w:rPr>
                <w:szCs w:val="26"/>
              </w:rPr>
            </w:pPr>
            <w:r>
              <w:rPr>
                <w:szCs w:val="26"/>
              </w:rPr>
              <w:t>F</w:t>
            </w:r>
            <w:r w:rsidR="0065570E">
              <w:rPr>
                <w:szCs w:val="26"/>
              </w:rPr>
              <w:t>-200</w:t>
            </w:r>
            <w:r w:rsidR="0002455F">
              <w:rPr>
                <w:szCs w:val="26"/>
              </w:rPr>
              <w:t>9</w:t>
            </w:r>
            <w:r w:rsidR="0065570E">
              <w:rPr>
                <w:szCs w:val="26"/>
              </w:rPr>
              <w:t>-2</w:t>
            </w:r>
            <w:r w:rsidR="008F22EA">
              <w:rPr>
                <w:szCs w:val="26"/>
              </w:rPr>
              <w:t>109</w:t>
            </w:r>
            <w:r>
              <w:rPr>
                <w:szCs w:val="26"/>
              </w:rPr>
              <w:t>584</w:t>
            </w:r>
          </w:p>
        </w:tc>
      </w:tr>
    </w:tbl>
    <w:p w:rsidR="0065570E" w:rsidRPr="0017065A" w:rsidRDefault="0065570E" w:rsidP="00CA4898">
      <w:pPr>
        <w:widowControl/>
        <w:spacing w:line="240" w:lineRule="auto"/>
        <w:ind w:firstLine="0"/>
      </w:pPr>
    </w:p>
    <w:p w:rsidR="0065570E" w:rsidRPr="0017065A" w:rsidRDefault="0065570E" w:rsidP="00CA4898">
      <w:pPr>
        <w:widowControl/>
        <w:spacing w:line="240" w:lineRule="auto"/>
        <w:ind w:firstLine="0"/>
      </w:pPr>
    </w:p>
    <w:p w:rsidR="0065570E" w:rsidRPr="0017065A" w:rsidRDefault="0065570E" w:rsidP="00CA4898">
      <w:pPr>
        <w:widowControl/>
        <w:spacing w:line="240" w:lineRule="auto"/>
        <w:ind w:firstLine="0"/>
        <w:jc w:val="center"/>
        <w:rPr>
          <w:b/>
        </w:rPr>
      </w:pPr>
      <w:r w:rsidRPr="0017065A">
        <w:rPr>
          <w:b/>
        </w:rPr>
        <w:t>OPINION AND ORDER</w:t>
      </w:r>
    </w:p>
    <w:p w:rsidR="0065570E" w:rsidRPr="0017065A" w:rsidRDefault="0065570E" w:rsidP="00CA4898">
      <w:pPr>
        <w:widowControl/>
        <w:spacing w:line="240" w:lineRule="auto"/>
        <w:ind w:firstLine="0"/>
        <w:jc w:val="center"/>
        <w:rPr>
          <w:b/>
        </w:rPr>
      </w:pPr>
    </w:p>
    <w:p w:rsidR="0065570E" w:rsidRPr="0017065A" w:rsidRDefault="0065570E" w:rsidP="00CA4898">
      <w:pPr>
        <w:widowControl/>
        <w:spacing w:line="240" w:lineRule="auto"/>
        <w:ind w:firstLine="0"/>
        <w:rPr>
          <w:b/>
        </w:rPr>
      </w:pPr>
      <w:r w:rsidRPr="0017065A">
        <w:rPr>
          <w:b/>
        </w:rPr>
        <w:t>BY THE COMMISSION:</w:t>
      </w:r>
    </w:p>
    <w:p w:rsidR="0065570E" w:rsidRPr="0017065A" w:rsidRDefault="0065570E" w:rsidP="00CA4898">
      <w:pPr>
        <w:widowControl/>
        <w:spacing w:line="240" w:lineRule="auto"/>
        <w:ind w:firstLine="0"/>
        <w:rPr>
          <w:b/>
        </w:rPr>
      </w:pPr>
    </w:p>
    <w:p w:rsidR="0065570E" w:rsidRDefault="0065570E" w:rsidP="00452673">
      <w:pPr>
        <w:widowControl/>
        <w:rPr>
          <w:szCs w:val="26"/>
        </w:rPr>
      </w:pPr>
      <w:r w:rsidRPr="0017065A">
        <w:rPr>
          <w:szCs w:val="26"/>
        </w:rPr>
        <w:t xml:space="preserve">Before the Commission for consideration </w:t>
      </w:r>
      <w:r w:rsidR="008F22EA">
        <w:rPr>
          <w:szCs w:val="26"/>
        </w:rPr>
        <w:t xml:space="preserve">and disposition are the Exceptions filed by </w:t>
      </w:r>
      <w:r w:rsidR="0014483E">
        <w:rPr>
          <w:szCs w:val="26"/>
        </w:rPr>
        <w:t xml:space="preserve">Bozena Dziadas </w:t>
      </w:r>
      <w:r w:rsidR="008F22EA">
        <w:rPr>
          <w:szCs w:val="26"/>
        </w:rPr>
        <w:t xml:space="preserve">(Complainant) on </w:t>
      </w:r>
      <w:r w:rsidR="0026308D">
        <w:rPr>
          <w:szCs w:val="26"/>
        </w:rPr>
        <w:t xml:space="preserve">May </w:t>
      </w:r>
      <w:r w:rsidR="0014483E">
        <w:rPr>
          <w:szCs w:val="26"/>
        </w:rPr>
        <w:t>8</w:t>
      </w:r>
      <w:r w:rsidR="0026308D">
        <w:rPr>
          <w:szCs w:val="26"/>
        </w:rPr>
        <w:t>, 2010</w:t>
      </w:r>
      <w:r w:rsidR="008F22EA">
        <w:rPr>
          <w:szCs w:val="26"/>
        </w:rPr>
        <w:t xml:space="preserve">, to the Initial Decision </w:t>
      </w:r>
      <w:r w:rsidR="0002455F">
        <w:rPr>
          <w:szCs w:val="26"/>
        </w:rPr>
        <w:t xml:space="preserve">(ID) of Administrative Law Judge </w:t>
      </w:r>
      <w:r w:rsidR="005D3725">
        <w:rPr>
          <w:szCs w:val="26"/>
        </w:rPr>
        <w:t>Susan D. Colwell</w:t>
      </w:r>
      <w:r w:rsidR="008F22EA">
        <w:rPr>
          <w:szCs w:val="26"/>
        </w:rPr>
        <w:t xml:space="preserve"> (ALJ</w:t>
      </w:r>
      <w:r w:rsidR="00C42746">
        <w:rPr>
          <w:szCs w:val="26"/>
        </w:rPr>
        <w:t xml:space="preserve"> or ALJ Colwell</w:t>
      </w:r>
      <w:r w:rsidR="008F22EA">
        <w:rPr>
          <w:szCs w:val="26"/>
        </w:rPr>
        <w:t xml:space="preserve">) </w:t>
      </w:r>
      <w:r w:rsidR="0002455F">
        <w:rPr>
          <w:szCs w:val="26"/>
        </w:rPr>
        <w:t xml:space="preserve">issued on </w:t>
      </w:r>
      <w:r w:rsidR="005D3725">
        <w:rPr>
          <w:szCs w:val="26"/>
        </w:rPr>
        <w:t>April 20</w:t>
      </w:r>
      <w:r w:rsidR="008F22EA">
        <w:rPr>
          <w:szCs w:val="26"/>
        </w:rPr>
        <w:t>, 2010</w:t>
      </w:r>
      <w:r w:rsidR="0002455F">
        <w:rPr>
          <w:szCs w:val="26"/>
        </w:rPr>
        <w:t xml:space="preserve">. </w:t>
      </w:r>
      <w:r w:rsidR="0014483E">
        <w:rPr>
          <w:szCs w:val="26"/>
        </w:rPr>
        <w:t xml:space="preserve"> Reply Exceptions were filed by PPL Electric Utilities Corporation (PPL or Company) on May 24, 2010.</w:t>
      </w:r>
    </w:p>
    <w:p w:rsidR="00B152EF" w:rsidRDefault="00B152EF">
      <w:pPr>
        <w:widowControl/>
        <w:spacing w:after="200" w:line="276" w:lineRule="auto"/>
        <w:ind w:firstLine="0"/>
        <w:rPr>
          <w:b/>
          <w:szCs w:val="26"/>
        </w:rPr>
      </w:pPr>
      <w:r>
        <w:rPr>
          <w:b/>
          <w:szCs w:val="26"/>
        </w:rPr>
        <w:br w:type="page"/>
      </w:r>
    </w:p>
    <w:p w:rsidR="0065570E" w:rsidRPr="008F0E44" w:rsidRDefault="0065570E" w:rsidP="00C42746">
      <w:pPr>
        <w:keepNext/>
        <w:widowControl/>
        <w:ind w:firstLine="0"/>
        <w:jc w:val="center"/>
        <w:rPr>
          <w:b/>
          <w:szCs w:val="26"/>
        </w:rPr>
      </w:pPr>
      <w:r w:rsidRPr="008F0E44">
        <w:rPr>
          <w:b/>
          <w:szCs w:val="26"/>
        </w:rPr>
        <w:lastRenderedPageBreak/>
        <w:t>History of the Proceeding</w:t>
      </w:r>
    </w:p>
    <w:p w:rsidR="005926AE" w:rsidRDefault="005926AE" w:rsidP="00051D09">
      <w:pPr>
        <w:keepNext/>
      </w:pPr>
    </w:p>
    <w:p w:rsidR="00BD49E2" w:rsidRPr="00BD49E2" w:rsidRDefault="00BD49E2" w:rsidP="00BD49E2">
      <w:pPr>
        <w:rPr>
          <w:szCs w:val="26"/>
        </w:rPr>
      </w:pPr>
      <w:r w:rsidRPr="00BD49E2">
        <w:rPr>
          <w:szCs w:val="26"/>
        </w:rPr>
        <w:t xml:space="preserve">On May 20, 2009, </w:t>
      </w:r>
      <w:r>
        <w:rPr>
          <w:szCs w:val="26"/>
        </w:rPr>
        <w:t xml:space="preserve">Mrs. </w:t>
      </w:r>
      <w:r w:rsidRPr="00BD49E2">
        <w:rPr>
          <w:szCs w:val="26"/>
        </w:rPr>
        <w:t xml:space="preserve">Dziadas filed a </w:t>
      </w:r>
      <w:r w:rsidR="000122AA">
        <w:rPr>
          <w:szCs w:val="26"/>
        </w:rPr>
        <w:t>F</w:t>
      </w:r>
      <w:r w:rsidRPr="00BD49E2">
        <w:rPr>
          <w:szCs w:val="26"/>
        </w:rPr>
        <w:t xml:space="preserve">ormal Complaint </w:t>
      </w:r>
      <w:r w:rsidR="000122AA">
        <w:rPr>
          <w:szCs w:val="26"/>
        </w:rPr>
        <w:t xml:space="preserve">(Complaint) </w:t>
      </w:r>
      <w:r w:rsidRPr="00BD49E2">
        <w:rPr>
          <w:szCs w:val="26"/>
        </w:rPr>
        <w:t xml:space="preserve">with the Commission against PPL alleging that her household is using less electricity than </w:t>
      </w:r>
      <w:r w:rsidR="00B152EF">
        <w:rPr>
          <w:szCs w:val="26"/>
        </w:rPr>
        <w:t>her</w:t>
      </w:r>
      <w:r w:rsidRPr="00BD49E2">
        <w:rPr>
          <w:szCs w:val="26"/>
        </w:rPr>
        <w:t xml:space="preserve"> meter and the graphs of </w:t>
      </w:r>
      <w:r w:rsidR="00B152EF">
        <w:rPr>
          <w:szCs w:val="26"/>
        </w:rPr>
        <w:t xml:space="preserve">her </w:t>
      </w:r>
      <w:r w:rsidRPr="00BD49E2">
        <w:rPr>
          <w:szCs w:val="26"/>
        </w:rPr>
        <w:t>hourly energy use on the PPL website indicate.  She asks that the Commission direct PPL to charge her only for energy used by her household.</w:t>
      </w:r>
      <w:r w:rsidR="00B152EF">
        <w:rPr>
          <w:szCs w:val="26"/>
        </w:rPr>
        <w:t xml:space="preserve">  Complaint at 5. </w:t>
      </w:r>
    </w:p>
    <w:p w:rsidR="00BB1673" w:rsidRDefault="00BB1673" w:rsidP="00270590">
      <w:pPr>
        <w:pStyle w:val="ParaTab1"/>
        <w:spacing w:line="360" w:lineRule="auto"/>
        <w:ind w:left="90" w:firstLine="1350"/>
        <w:rPr>
          <w:sz w:val="26"/>
          <w:szCs w:val="26"/>
        </w:rPr>
      </w:pPr>
    </w:p>
    <w:p w:rsidR="001E22AF" w:rsidRPr="009C623D" w:rsidRDefault="001E22AF" w:rsidP="001E22AF">
      <w:r w:rsidRPr="009C623D">
        <w:t xml:space="preserve">On June 17, 2009, PPL filed </w:t>
      </w:r>
      <w:r>
        <w:t>an</w:t>
      </w:r>
      <w:r w:rsidRPr="009C623D">
        <w:t xml:space="preserve"> Answer </w:t>
      </w:r>
      <w:r>
        <w:t xml:space="preserve">to the Complaint </w:t>
      </w:r>
      <w:r w:rsidR="00B152EF">
        <w:t xml:space="preserve">(Answer) </w:t>
      </w:r>
      <w:r w:rsidRPr="009C623D">
        <w:t>denying the material allegations of the Complaint and averring that a meter test resulted in a reading that the meter was 99.86% accurate in recording electricity.</w:t>
      </w:r>
      <w:r w:rsidR="00B152EF">
        <w:t xml:space="preserve">  Answer at 1.</w:t>
      </w:r>
    </w:p>
    <w:p w:rsidR="001E22AF" w:rsidRDefault="001E22AF" w:rsidP="00270590">
      <w:pPr>
        <w:pStyle w:val="ParaTab1"/>
        <w:spacing w:line="360" w:lineRule="auto"/>
        <w:ind w:left="90" w:firstLine="1350"/>
        <w:rPr>
          <w:sz w:val="26"/>
          <w:szCs w:val="26"/>
        </w:rPr>
      </w:pPr>
    </w:p>
    <w:p w:rsidR="000D706D" w:rsidRDefault="000D706D" w:rsidP="000D706D">
      <w:pPr>
        <w:pStyle w:val="ParaTab1"/>
        <w:spacing w:line="360" w:lineRule="auto"/>
        <w:ind w:left="90" w:firstLine="1350"/>
        <w:rPr>
          <w:color w:val="76923C" w:themeColor="accent3" w:themeShade="BF"/>
          <w:sz w:val="26"/>
          <w:szCs w:val="26"/>
        </w:rPr>
      </w:pPr>
      <w:r w:rsidRPr="00EE7776">
        <w:rPr>
          <w:sz w:val="26"/>
          <w:szCs w:val="26"/>
        </w:rPr>
        <w:t>A</w:t>
      </w:r>
      <w:r w:rsidR="005541FA" w:rsidRPr="00EE7776">
        <w:rPr>
          <w:sz w:val="26"/>
          <w:szCs w:val="26"/>
        </w:rPr>
        <w:t xml:space="preserve"> telephonic hearing was held on </w:t>
      </w:r>
      <w:r w:rsidR="00B542F2">
        <w:rPr>
          <w:sz w:val="26"/>
          <w:szCs w:val="26"/>
        </w:rPr>
        <w:t>September 28,</w:t>
      </w:r>
      <w:r w:rsidR="005541FA" w:rsidRPr="00EE7776">
        <w:rPr>
          <w:sz w:val="26"/>
          <w:szCs w:val="26"/>
        </w:rPr>
        <w:t xml:space="preserve"> 2009</w:t>
      </w:r>
      <w:r w:rsidR="00B152EF">
        <w:rPr>
          <w:sz w:val="26"/>
          <w:szCs w:val="26"/>
        </w:rPr>
        <w:t>,</w:t>
      </w:r>
      <w:r w:rsidR="00B542F2">
        <w:rPr>
          <w:sz w:val="26"/>
          <w:szCs w:val="26"/>
        </w:rPr>
        <w:t xml:space="preserve"> before </w:t>
      </w:r>
      <w:r w:rsidR="00C463D0">
        <w:rPr>
          <w:sz w:val="26"/>
          <w:szCs w:val="26"/>
        </w:rPr>
        <w:t>Administrative Law Judge</w:t>
      </w:r>
      <w:r w:rsidR="00B542F2">
        <w:rPr>
          <w:sz w:val="26"/>
          <w:szCs w:val="26"/>
        </w:rPr>
        <w:t xml:space="preserve"> Louis Cocheres</w:t>
      </w:r>
      <w:r w:rsidR="00C463D0">
        <w:rPr>
          <w:sz w:val="26"/>
          <w:szCs w:val="26"/>
        </w:rPr>
        <w:t xml:space="preserve"> (ALJ Cocheres)</w:t>
      </w:r>
      <w:r w:rsidR="005541FA" w:rsidRPr="00EE7776">
        <w:rPr>
          <w:sz w:val="26"/>
          <w:szCs w:val="26"/>
        </w:rPr>
        <w:t xml:space="preserve">.  The Complainant appeared </w:t>
      </w:r>
      <w:r w:rsidR="005541FA" w:rsidRPr="00EE7776">
        <w:rPr>
          <w:i/>
          <w:sz w:val="26"/>
          <w:szCs w:val="26"/>
        </w:rPr>
        <w:t>pro se</w:t>
      </w:r>
      <w:r w:rsidR="005541FA" w:rsidRPr="00EE7776">
        <w:rPr>
          <w:sz w:val="26"/>
          <w:szCs w:val="26"/>
        </w:rPr>
        <w:t xml:space="preserve"> and testified on h</w:t>
      </w:r>
      <w:r w:rsidR="00B542F2">
        <w:rPr>
          <w:sz w:val="26"/>
          <w:szCs w:val="26"/>
        </w:rPr>
        <w:t>er</w:t>
      </w:r>
      <w:r w:rsidR="005541FA" w:rsidRPr="00EE7776">
        <w:rPr>
          <w:sz w:val="26"/>
          <w:szCs w:val="26"/>
        </w:rPr>
        <w:t xml:space="preserve"> own behalf.  </w:t>
      </w:r>
      <w:r w:rsidR="00C42746">
        <w:rPr>
          <w:sz w:val="26"/>
          <w:szCs w:val="26"/>
        </w:rPr>
        <w:t xml:space="preserve">PPL </w:t>
      </w:r>
      <w:r w:rsidR="00B363F5" w:rsidRPr="00EE7776">
        <w:rPr>
          <w:sz w:val="26"/>
          <w:szCs w:val="26"/>
        </w:rPr>
        <w:t xml:space="preserve">was represented by counsel, presented the testimony of two witnesses and submitted </w:t>
      </w:r>
      <w:r w:rsidR="00C42746">
        <w:rPr>
          <w:sz w:val="26"/>
          <w:szCs w:val="26"/>
        </w:rPr>
        <w:t>six</w:t>
      </w:r>
      <w:r w:rsidR="00B363F5" w:rsidRPr="00EE7776">
        <w:rPr>
          <w:sz w:val="26"/>
          <w:szCs w:val="26"/>
        </w:rPr>
        <w:t xml:space="preserve"> exhibits.  </w:t>
      </w:r>
      <w:r w:rsidR="00A12EFE" w:rsidRPr="00EE7776">
        <w:rPr>
          <w:sz w:val="26"/>
          <w:szCs w:val="26"/>
        </w:rPr>
        <w:t xml:space="preserve">The hearing resulted in a transcript of </w:t>
      </w:r>
      <w:r w:rsidR="00C463D0">
        <w:rPr>
          <w:sz w:val="26"/>
          <w:szCs w:val="26"/>
        </w:rPr>
        <w:t>ninety-two</w:t>
      </w:r>
      <w:r w:rsidR="00A12EFE" w:rsidRPr="00EE7776">
        <w:rPr>
          <w:sz w:val="26"/>
          <w:szCs w:val="26"/>
        </w:rPr>
        <w:t xml:space="preserve"> pages.</w:t>
      </w:r>
      <w:r w:rsidR="00A12EFE" w:rsidRPr="0050287A">
        <w:rPr>
          <w:color w:val="76923C" w:themeColor="accent3" w:themeShade="BF"/>
          <w:sz w:val="26"/>
          <w:szCs w:val="26"/>
        </w:rPr>
        <w:t xml:space="preserve">  </w:t>
      </w:r>
    </w:p>
    <w:p w:rsidR="00C463D0" w:rsidRDefault="00C463D0" w:rsidP="000D706D">
      <w:pPr>
        <w:pStyle w:val="ParaTab1"/>
        <w:spacing w:line="360" w:lineRule="auto"/>
        <w:ind w:left="90" w:firstLine="1350"/>
        <w:rPr>
          <w:color w:val="76923C" w:themeColor="accent3" w:themeShade="BF"/>
          <w:sz w:val="26"/>
          <w:szCs w:val="26"/>
        </w:rPr>
      </w:pPr>
    </w:p>
    <w:p w:rsidR="00C463D0" w:rsidRPr="00C463D0" w:rsidRDefault="00C463D0" w:rsidP="000D706D">
      <w:pPr>
        <w:pStyle w:val="ParaTab1"/>
        <w:spacing w:line="360" w:lineRule="auto"/>
        <w:ind w:left="90" w:firstLine="1350"/>
        <w:rPr>
          <w:sz w:val="26"/>
          <w:szCs w:val="26"/>
        </w:rPr>
      </w:pPr>
      <w:r w:rsidRPr="00C463D0">
        <w:rPr>
          <w:sz w:val="26"/>
          <w:szCs w:val="26"/>
        </w:rPr>
        <w:t xml:space="preserve">On April 6, 2010, the case was transferred from ALJ Cocheres to ALJ Colwell for the preparation of the Initial Decision.  </w:t>
      </w:r>
    </w:p>
    <w:p w:rsidR="00D328A3" w:rsidRPr="0050287A" w:rsidRDefault="00D328A3" w:rsidP="000D706D">
      <w:pPr>
        <w:pStyle w:val="ParaTab1"/>
        <w:spacing w:line="360" w:lineRule="auto"/>
        <w:ind w:left="90" w:firstLine="1350"/>
        <w:rPr>
          <w:color w:val="76923C" w:themeColor="accent3" w:themeShade="BF"/>
          <w:sz w:val="26"/>
          <w:szCs w:val="26"/>
        </w:rPr>
      </w:pPr>
    </w:p>
    <w:p w:rsidR="00CE021A" w:rsidRPr="00CE021A" w:rsidRDefault="00EB1AD7" w:rsidP="00D02B31">
      <w:pPr>
        <w:pStyle w:val="ParaTab1"/>
        <w:spacing w:line="360" w:lineRule="auto"/>
        <w:ind w:left="90" w:firstLine="1350"/>
        <w:rPr>
          <w:sz w:val="26"/>
          <w:szCs w:val="26"/>
        </w:rPr>
      </w:pPr>
      <w:r w:rsidRPr="0009384E">
        <w:rPr>
          <w:sz w:val="26"/>
          <w:szCs w:val="26"/>
        </w:rPr>
        <w:t xml:space="preserve">By Initial Decision issued </w:t>
      </w:r>
      <w:r w:rsidR="00CA4898">
        <w:rPr>
          <w:sz w:val="26"/>
          <w:szCs w:val="26"/>
        </w:rPr>
        <w:t xml:space="preserve">April 20, 2010, </w:t>
      </w:r>
      <w:r w:rsidRPr="0009384E">
        <w:rPr>
          <w:sz w:val="26"/>
          <w:szCs w:val="26"/>
        </w:rPr>
        <w:t xml:space="preserve">the ALJ </w:t>
      </w:r>
      <w:r w:rsidR="00883D89" w:rsidRPr="0009384E">
        <w:rPr>
          <w:sz w:val="26"/>
          <w:szCs w:val="26"/>
        </w:rPr>
        <w:t xml:space="preserve">dismissed </w:t>
      </w:r>
      <w:r w:rsidRPr="0009384E">
        <w:rPr>
          <w:sz w:val="26"/>
          <w:szCs w:val="26"/>
        </w:rPr>
        <w:t>the Complaint</w:t>
      </w:r>
      <w:r w:rsidR="00A862D0">
        <w:rPr>
          <w:sz w:val="26"/>
          <w:szCs w:val="26"/>
        </w:rPr>
        <w:t xml:space="preserve"> because the Complainant had not met her burden of proof that she </w:t>
      </w:r>
      <w:r w:rsidR="00D02B31">
        <w:rPr>
          <w:sz w:val="26"/>
          <w:szCs w:val="26"/>
        </w:rPr>
        <w:t>improperly</w:t>
      </w:r>
      <w:r w:rsidR="00A862D0">
        <w:rPr>
          <w:sz w:val="26"/>
          <w:szCs w:val="26"/>
        </w:rPr>
        <w:t xml:space="preserve"> </w:t>
      </w:r>
      <w:r w:rsidR="000122AA">
        <w:rPr>
          <w:sz w:val="26"/>
          <w:szCs w:val="26"/>
        </w:rPr>
        <w:t xml:space="preserve">was </w:t>
      </w:r>
      <w:r w:rsidR="00A862D0">
        <w:rPr>
          <w:sz w:val="26"/>
          <w:szCs w:val="26"/>
        </w:rPr>
        <w:t>billed for electric servi</w:t>
      </w:r>
      <w:r w:rsidR="00D02B31">
        <w:rPr>
          <w:sz w:val="26"/>
          <w:szCs w:val="26"/>
        </w:rPr>
        <w:t>c</w:t>
      </w:r>
      <w:r w:rsidR="00A862D0">
        <w:rPr>
          <w:sz w:val="26"/>
          <w:szCs w:val="26"/>
        </w:rPr>
        <w:t>e</w:t>
      </w:r>
      <w:r w:rsidR="00C009CC">
        <w:rPr>
          <w:sz w:val="26"/>
          <w:szCs w:val="26"/>
        </w:rPr>
        <w:t xml:space="preserve">.  The ALJ also concluded that there was no evidence that </w:t>
      </w:r>
      <w:r w:rsidR="00D02B31">
        <w:rPr>
          <w:sz w:val="26"/>
          <w:szCs w:val="26"/>
        </w:rPr>
        <w:t xml:space="preserve">PPL had provided inadequate service or that PPL had violated the Public Utility Code, the Commission’s </w:t>
      </w:r>
      <w:r w:rsidR="00130E42">
        <w:rPr>
          <w:sz w:val="26"/>
          <w:szCs w:val="26"/>
        </w:rPr>
        <w:t>R</w:t>
      </w:r>
      <w:r w:rsidR="00D02B31">
        <w:rPr>
          <w:sz w:val="26"/>
          <w:szCs w:val="26"/>
        </w:rPr>
        <w:t>egulations or any outstanding order of the Commission</w:t>
      </w:r>
      <w:r w:rsidR="00C57822" w:rsidRPr="0009384E">
        <w:rPr>
          <w:sz w:val="26"/>
          <w:szCs w:val="26"/>
        </w:rPr>
        <w:t xml:space="preserve">.  </w:t>
      </w:r>
      <w:r w:rsidR="00D02B31">
        <w:rPr>
          <w:sz w:val="26"/>
          <w:szCs w:val="26"/>
        </w:rPr>
        <w:t>I</w:t>
      </w:r>
      <w:r w:rsidR="00B152EF">
        <w:rPr>
          <w:sz w:val="26"/>
          <w:szCs w:val="26"/>
        </w:rPr>
        <w:t>.</w:t>
      </w:r>
      <w:r w:rsidR="00D02B31">
        <w:rPr>
          <w:sz w:val="26"/>
          <w:szCs w:val="26"/>
        </w:rPr>
        <w:t>D</w:t>
      </w:r>
      <w:r w:rsidR="00B152EF">
        <w:rPr>
          <w:sz w:val="26"/>
          <w:szCs w:val="26"/>
        </w:rPr>
        <w:t>.</w:t>
      </w:r>
      <w:r w:rsidR="00D02B31">
        <w:rPr>
          <w:sz w:val="26"/>
          <w:szCs w:val="26"/>
        </w:rPr>
        <w:t xml:space="preserve"> at 11. </w:t>
      </w:r>
    </w:p>
    <w:p w:rsidR="00D02B31" w:rsidRDefault="002A0723" w:rsidP="00D02B31">
      <w:pPr>
        <w:pStyle w:val="ParaTab1"/>
        <w:spacing w:line="360" w:lineRule="auto"/>
        <w:ind w:left="90" w:firstLine="1350"/>
        <w:rPr>
          <w:sz w:val="26"/>
          <w:szCs w:val="26"/>
        </w:rPr>
      </w:pPr>
      <w:r w:rsidRPr="00CE021A">
        <w:rPr>
          <w:sz w:val="26"/>
          <w:szCs w:val="26"/>
        </w:rPr>
        <w:t xml:space="preserve"> </w:t>
      </w:r>
    </w:p>
    <w:p w:rsidR="006371ED" w:rsidRPr="00D02B31" w:rsidRDefault="00EB6BD6" w:rsidP="00C43EE6">
      <w:pPr>
        <w:keepNext/>
        <w:ind w:firstLine="0"/>
        <w:jc w:val="center"/>
        <w:rPr>
          <w:b/>
        </w:rPr>
      </w:pPr>
      <w:r w:rsidRPr="00D02B31">
        <w:rPr>
          <w:b/>
        </w:rPr>
        <w:lastRenderedPageBreak/>
        <w:t>Discussion</w:t>
      </w:r>
    </w:p>
    <w:p w:rsidR="00581CCD" w:rsidRPr="003D49CB" w:rsidRDefault="00581CCD" w:rsidP="00C43EE6">
      <w:pPr>
        <w:keepNext/>
        <w:widowControl/>
        <w:jc w:val="center"/>
        <w:rPr>
          <w:b/>
          <w:szCs w:val="26"/>
          <w:u w:val="single"/>
        </w:rPr>
      </w:pPr>
    </w:p>
    <w:p w:rsidR="00581CCD" w:rsidRPr="003D49CB" w:rsidRDefault="00581CCD" w:rsidP="00C43EE6">
      <w:pPr>
        <w:keepNext/>
        <w:widowControl/>
        <w:suppressAutoHyphens/>
        <w:rPr>
          <w:rFonts w:cs="Times New Roman"/>
          <w:spacing w:val="-3"/>
          <w:szCs w:val="26"/>
          <w:u w:val="single"/>
        </w:rPr>
      </w:pPr>
      <w:r w:rsidRPr="003D49CB">
        <w:rPr>
          <w:szCs w:val="26"/>
        </w:rPr>
        <w:t>As the proponent of a rule or order, the Complainant in this proceeding bears the burden of proof pursuant to Section</w:t>
      </w:r>
      <w:r>
        <w:rPr>
          <w:szCs w:val="26"/>
        </w:rPr>
        <w:t xml:space="preserve"> </w:t>
      </w:r>
      <w:r w:rsidRPr="003D49CB">
        <w:rPr>
          <w:szCs w:val="26"/>
        </w:rPr>
        <w:t xml:space="preserve">332(a) of the Public Utility Code.  66 Pa. C.S. § 332(a).  </w:t>
      </w:r>
      <w:r w:rsidRPr="003D49CB">
        <w:rPr>
          <w:rFonts w:cs="Times New Roman"/>
          <w:szCs w:val="26"/>
        </w:rPr>
        <w:t xml:space="preserve">To satisfy this burden, the Complainant must demonstrate that the Respondent was responsible for the problems alleged in her Complaint through a violation of the Public Utility Code or a Regulation or Order of the Commission.  This must be shown by a preponderance of the evidence.  66 Pa. C.S. §701; </w:t>
      </w:r>
      <w:r w:rsidRPr="003D49CB">
        <w:rPr>
          <w:rFonts w:cs="Times New Roman"/>
          <w:i/>
          <w:szCs w:val="26"/>
        </w:rPr>
        <w:t>Patterson v. Bell Telephone Company of Pennsylvania,</w:t>
      </w:r>
      <w:r w:rsidRPr="003D49CB">
        <w:rPr>
          <w:rFonts w:cs="Times New Roman"/>
          <w:szCs w:val="26"/>
        </w:rPr>
        <w:t xml:space="preserve"> 72 PA PUC 196 (1990).  Preponderance of the evidence means that the party with the burden of proof has presented evidence that is more convincing than that presented by the other party.  </w:t>
      </w:r>
      <w:r w:rsidRPr="003D49CB">
        <w:rPr>
          <w:rFonts w:cs="Times New Roman"/>
          <w:i/>
          <w:szCs w:val="26"/>
        </w:rPr>
        <w:t>Samuel J. Lansberry, Inc. v. Pa. PUC</w:t>
      </w:r>
      <w:r w:rsidRPr="003D49CB">
        <w:rPr>
          <w:rFonts w:cs="Times New Roman"/>
          <w:szCs w:val="26"/>
        </w:rPr>
        <w:t>,</w:t>
      </w:r>
      <w:r w:rsidRPr="003D49CB">
        <w:rPr>
          <w:rFonts w:cs="Times New Roman"/>
          <w:i/>
          <w:szCs w:val="26"/>
        </w:rPr>
        <w:t xml:space="preserve"> </w:t>
      </w:r>
      <w:r w:rsidRPr="003D49CB">
        <w:rPr>
          <w:rFonts w:cs="Times New Roman"/>
          <w:szCs w:val="26"/>
        </w:rPr>
        <w:t>578 A.2d 600, 602</w:t>
      </w:r>
      <w:r>
        <w:rPr>
          <w:rFonts w:cs="Times New Roman"/>
          <w:szCs w:val="26"/>
        </w:rPr>
        <w:t>(Pa. Cmwlth1990)</w:t>
      </w:r>
      <w:r w:rsidRPr="003D49CB">
        <w:rPr>
          <w:rFonts w:cs="Times New Roman"/>
          <w:szCs w:val="26"/>
        </w:rPr>
        <w:t xml:space="preserve">, </w:t>
      </w:r>
      <w:r w:rsidRPr="003D49CB">
        <w:rPr>
          <w:rFonts w:cs="Times New Roman"/>
          <w:i/>
          <w:szCs w:val="26"/>
        </w:rPr>
        <w:t>alloc. den</w:t>
      </w:r>
      <w:r>
        <w:rPr>
          <w:rFonts w:cs="Times New Roman"/>
          <w:i/>
          <w:szCs w:val="26"/>
        </w:rPr>
        <w:t>ied</w:t>
      </w:r>
      <w:r w:rsidRPr="003D49CB">
        <w:rPr>
          <w:rFonts w:cs="Times New Roman"/>
          <w:szCs w:val="26"/>
        </w:rPr>
        <w:t xml:space="preserve">. </w:t>
      </w:r>
      <w:r>
        <w:rPr>
          <w:rFonts w:cs="Times New Roman"/>
          <w:szCs w:val="26"/>
        </w:rPr>
        <w:t>529 Pa. 654,</w:t>
      </w:r>
      <w:r w:rsidRPr="003D49CB">
        <w:rPr>
          <w:rFonts w:cs="Times New Roman"/>
          <w:szCs w:val="26"/>
        </w:rPr>
        <w:t xml:space="preserve">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3D49CB">
        <w:rPr>
          <w:rFonts w:cs="Times New Roman"/>
          <w:i/>
          <w:szCs w:val="26"/>
        </w:rPr>
        <w:t>Norfolk and Western Railway v. Pa. P.U.C</w:t>
      </w:r>
      <w:r w:rsidRPr="003D49CB">
        <w:rPr>
          <w:rFonts w:cs="Times New Roman"/>
          <w:szCs w:val="26"/>
        </w:rPr>
        <w:t>., 489 Pa. 109, 413 A.2d 1037 (1980).</w:t>
      </w:r>
    </w:p>
    <w:p w:rsidR="00581CCD" w:rsidRPr="003D49CB" w:rsidRDefault="00581CCD" w:rsidP="00581CCD">
      <w:pPr>
        <w:widowControl/>
      </w:pPr>
      <w:r w:rsidRPr="003D49CB">
        <w:rPr>
          <w:szCs w:val="26"/>
        </w:rPr>
        <w:tab/>
      </w:r>
      <w:r w:rsidRPr="003D49CB">
        <w:rPr>
          <w:szCs w:val="26"/>
        </w:rPr>
        <w:tab/>
      </w:r>
    </w:p>
    <w:p w:rsidR="00581CCD" w:rsidRPr="003D49CB" w:rsidRDefault="00581CCD" w:rsidP="00581CCD">
      <w:pPr>
        <w:widowControl/>
        <w:rPr>
          <w:szCs w:val="26"/>
        </w:rPr>
      </w:pPr>
      <w:r w:rsidRPr="003D49CB">
        <w:rPr>
          <w:szCs w:val="26"/>
        </w:rPr>
        <w:t xml:space="preserve">Upon the presentation by the Complainant of evidence sufficient to initially satisfy the burden of proof, the burden of going forward with the evidence to rebut the evidence of the Complainant shifts to </w:t>
      </w:r>
      <w:r w:rsidR="00B152EF">
        <w:rPr>
          <w:szCs w:val="26"/>
        </w:rPr>
        <w:t>PPL</w:t>
      </w:r>
      <w:r w:rsidRPr="003D49CB">
        <w:rPr>
          <w:szCs w:val="26"/>
        </w:rPr>
        <w:t xml:space="preserve">.  If the evidence presented by </w:t>
      </w:r>
      <w:r w:rsidR="00B152EF">
        <w:rPr>
          <w:szCs w:val="26"/>
        </w:rPr>
        <w:t>PPL</w:t>
      </w:r>
      <w:r w:rsidRPr="003D49CB">
        <w:rPr>
          <w:szCs w:val="26"/>
        </w:rPr>
        <w:t xml:space="preserve"> is of co-equal weight, the Complainant has not satisfied her burden of proof.  The Complainant now has to provide some additional evidence to rebut that of </w:t>
      </w:r>
      <w:r w:rsidR="00B152EF">
        <w:rPr>
          <w:szCs w:val="26"/>
        </w:rPr>
        <w:t>PPL</w:t>
      </w:r>
      <w:r>
        <w:rPr>
          <w:szCs w:val="26"/>
        </w:rPr>
        <w:t>.</w:t>
      </w:r>
      <w:r w:rsidRPr="003D49CB">
        <w:rPr>
          <w:szCs w:val="26"/>
        </w:rPr>
        <w:t xml:space="preserve"> </w:t>
      </w:r>
      <w:hyperlink r:id="rId8" w:history="1">
        <w:r w:rsidRPr="003D49CB">
          <w:rPr>
            <w:rStyle w:val="Hyperlink"/>
            <w:i/>
            <w:iCs/>
            <w:color w:val="auto"/>
            <w:szCs w:val="26"/>
            <w:u w:val="none"/>
          </w:rPr>
          <w:t>Burleson v. Pa. PUC</w:t>
        </w:r>
        <w:r w:rsidRPr="003D49CB">
          <w:rPr>
            <w:rStyle w:val="Hyperlink"/>
            <w:iCs/>
            <w:color w:val="auto"/>
            <w:szCs w:val="26"/>
            <w:u w:val="none"/>
          </w:rPr>
          <w:t>, 443 A.2d 1373 (Pa. Cmwlth. 1982), aff’d, 501 Pa. 433, 461 A.2d 1234 (1983).</w:t>
        </w:r>
      </w:hyperlink>
    </w:p>
    <w:p w:rsidR="00581CCD" w:rsidRPr="003D49CB" w:rsidRDefault="00581CCD" w:rsidP="00581CCD">
      <w:pPr>
        <w:widowControl/>
      </w:pPr>
    </w:p>
    <w:p w:rsidR="00581CCD" w:rsidRPr="003D49CB" w:rsidRDefault="00581CCD" w:rsidP="00581CCD">
      <w:pPr>
        <w:widowControl/>
      </w:pPr>
      <w:r w:rsidRPr="003D49CB">
        <w:t xml:space="preserve">While the burden of persuasion may </w:t>
      </w:r>
      <w:r w:rsidRPr="003D49CB">
        <w:rPr>
          <w:rStyle w:val="term1"/>
          <w:b w:val="0"/>
          <w:bCs w:val="0"/>
        </w:rPr>
        <w:t>shift</w:t>
      </w:r>
      <w:r w:rsidRPr="003D49CB">
        <w:t xml:space="preserve"> back and forth during a proceeding, the </w:t>
      </w:r>
      <w:r w:rsidRPr="003D49CB">
        <w:rPr>
          <w:rStyle w:val="term1"/>
          <w:b w:val="0"/>
          <w:bCs w:val="0"/>
        </w:rPr>
        <w:t>burden of proof</w:t>
      </w:r>
      <w:r w:rsidRPr="003D49CB">
        <w:t xml:space="preserve"> never </w:t>
      </w:r>
      <w:r w:rsidRPr="003D49CB">
        <w:rPr>
          <w:rStyle w:val="term1"/>
          <w:b w:val="0"/>
          <w:bCs w:val="0"/>
        </w:rPr>
        <w:t>shifts.  The burden of proof</w:t>
      </w:r>
      <w:r w:rsidRPr="003D49CB">
        <w:t xml:space="preserve"> always remains on the </w:t>
      </w:r>
      <w:r w:rsidRPr="003D49CB">
        <w:lastRenderedPageBreak/>
        <w:t xml:space="preserve">party seeking affirmative relief from the Commission.  </w:t>
      </w:r>
      <w:r w:rsidRPr="003D49CB">
        <w:rPr>
          <w:i/>
        </w:rPr>
        <w:t xml:space="preserve">Milkie v. Pa. PUC, </w:t>
      </w:r>
      <w:r w:rsidRPr="003D49CB">
        <w:t>768 A.2d 1217 (Pa. Cmwlth. 2001).</w:t>
      </w:r>
    </w:p>
    <w:p w:rsidR="00581CCD" w:rsidRDefault="00581CCD" w:rsidP="00581CCD">
      <w:pPr>
        <w:widowControl/>
        <w:tabs>
          <w:tab w:val="left" w:pos="4005"/>
        </w:tabs>
        <w:rPr>
          <w:color w:val="00B050"/>
        </w:rPr>
      </w:pPr>
      <w:r>
        <w:rPr>
          <w:color w:val="00B050"/>
        </w:rPr>
        <w:tab/>
      </w:r>
    </w:p>
    <w:p w:rsidR="00A9189D" w:rsidRDefault="00576999" w:rsidP="00581CCD">
      <w:pPr>
        <w:widowControl/>
        <w:rPr>
          <w:szCs w:val="26"/>
        </w:rPr>
      </w:pPr>
      <w:r>
        <w:rPr>
          <w:szCs w:val="26"/>
        </w:rPr>
        <w:t>Generally</w:t>
      </w:r>
      <w:r w:rsidR="00130E42">
        <w:rPr>
          <w:szCs w:val="26"/>
        </w:rPr>
        <w:t>,</w:t>
      </w:r>
      <w:r>
        <w:rPr>
          <w:szCs w:val="26"/>
        </w:rPr>
        <w:t xml:space="preserve"> in a </w:t>
      </w:r>
      <w:r w:rsidR="00581CCD" w:rsidRPr="003D49CB">
        <w:rPr>
          <w:szCs w:val="26"/>
        </w:rPr>
        <w:t xml:space="preserve">billing dispute </w:t>
      </w:r>
      <w:r>
        <w:rPr>
          <w:szCs w:val="26"/>
        </w:rPr>
        <w:t xml:space="preserve">before the Commission, </w:t>
      </w:r>
      <w:r w:rsidR="00581CCD" w:rsidRPr="003D49CB">
        <w:rPr>
          <w:szCs w:val="26"/>
        </w:rPr>
        <w:t>the Complainant h</w:t>
      </w:r>
      <w:r w:rsidR="00581CCD">
        <w:rPr>
          <w:szCs w:val="26"/>
        </w:rPr>
        <w:t>as</w:t>
      </w:r>
      <w:r w:rsidR="00581CCD" w:rsidRPr="003D49CB">
        <w:rPr>
          <w:szCs w:val="26"/>
        </w:rPr>
        <w:t xml:space="preserve"> the burden of proving by a preponderance of the evidence that: (1) there were no prior consumption abnormalities; (2) there has been no change in occupancy; and (3) the customers do not have the capacity to use the amount billed.  </w:t>
      </w:r>
      <w:r w:rsidR="00581CCD" w:rsidRPr="003D49CB">
        <w:rPr>
          <w:i/>
          <w:szCs w:val="26"/>
        </w:rPr>
        <w:t xml:space="preserve">Waldron v. Philadelphia Electric Company, </w:t>
      </w:r>
      <w:r w:rsidR="00581CCD" w:rsidRPr="003D49CB">
        <w:rPr>
          <w:szCs w:val="26"/>
        </w:rPr>
        <w:t xml:space="preserve">54 Pa. P.U.C. 98 (1980), </w:t>
      </w:r>
      <w:r w:rsidR="00581CCD" w:rsidRPr="003D49CB">
        <w:rPr>
          <w:i/>
          <w:szCs w:val="26"/>
        </w:rPr>
        <w:t>Branham v. Philadelphia Electric Co</w:t>
      </w:r>
      <w:r w:rsidR="00581CCD" w:rsidRPr="003D49CB">
        <w:rPr>
          <w:szCs w:val="26"/>
        </w:rPr>
        <w:t xml:space="preserve">. 54 Pa. P.U.C. 120 (1980), and </w:t>
      </w:r>
      <w:r w:rsidR="00581CCD" w:rsidRPr="003D49CB">
        <w:rPr>
          <w:i/>
          <w:szCs w:val="26"/>
        </w:rPr>
        <w:t>Replogle v. Pennsylvania Electric Company</w:t>
      </w:r>
      <w:r w:rsidR="00581CCD" w:rsidRPr="003D49CB">
        <w:rPr>
          <w:szCs w:val="26"/>
        </w:rPr>
        <w:t>, 54 Pa. P.U.C. 528 (1980).  If the utility fails to rebut this evidence, the Complainant’</w:t>
      </w:r>
      <w:r w:rsidR="00581CCD">
        <w:rPr>
          <w:szCs w:val="26"/>
        </w:rPr>
        <w:t>s</w:t>
      </w:r>
      <w:r w:rsidR="00581CCD" w:rsidRPr="003D49CB">
        <w:rPr>
          <w:szCs w:val="26"/>
        </w:rPr>
        <w:t xml:space="preserve"> </w:t>
      </w:r>
      <w:r w:rsidR="00581CCD" w:rsidRPr="003D49CB">
        <w:rPr>
          <w:i/>
          <w:szCs w:val="26"/>
        </w:rPr>
        <w:t>prima facie</w:t>
      </w:r>
      <w:r w:rsidR="00581CCD" w:rsidRPr="003D49CB">
        <w:rPr>
          <w:szCs w:val="26"/>
        </w:rPr>
        <w:t xml:space="preserve"> case, </w:t>
      </w:r>
      <w:r w:rsidR="00581CCD">
        <w:rPr>
          <w:szCs w:val="26"/>
        </w:rPr>
        <w:t xml:space="preserve">then </w:t>
      </w:r>
      <w:r w:rsidR="00581CCD" w:rsidRPr="003D49CB">
        <w:rPr>
          <w:szCs w:val="26"/>
        </w:rPr>
        <w:t>the Complainant would prevail.</w:t>
      </w:r>
      <w:r>
        <w:rPr>
          <w:szCs w:val="26"/>
        </w:rPr>
        <w:t xml:space="preserve">  </w:t>
      </w:r>
    </w:p>
    <w:p w:rsidR="00FD3B83" w:rsidRDefault="00FD3B83" w:rsidP="00581CCD">
      <w:pPr>
        <w:widowControl/>
        <w:rPr>
          <w:szCs w:val="26"/>
        </w:rPr>
      </w:pPr>
    </w:p>
    <w:p w:rsidR="00581CCD" w:rsidRDefault="00581CCD" w:rsidP="00581CCD">
      <w:pPr>
        <w:widowControl/>
        <w:rPr>
          <w:szCs w:val="26"/>
        </w:rPr>
      </w:pPr>
      <w:r w:rsidRPr="003D49CB">
        <w:rPr>
          <w:szCs w:val="26"/>
        </w:rPr>
        <w:t xml:space="preserve">Also, in </w:t>
      </w:r>
      <w:r w:rsidRPr="003D49CB">
        <w:rPr>
          <w:i/>
          <w:szCs w:val="26"/>
        </w:rPr>
        <w:t>Replogle</w:t>
      </w:r>
      <w:r w:rsidRPr="003D49CB">
        <w:rPr>
          <w:szCs w:val="26"/>
        </w:rPr>
        <w:t xml:space="preserve">, </w:t>
      </w:r>
      <w:r w:rsidRPr="003D49CB">
        <w:rPr>
          <w:i/>
          <w:szCs w:val="26"/>
        </w:rPr>
        <w:t>supra</w:t>
      </w:r>
      <w:r w:rsidRPr="003D49CB">
        <w:rPr>
          <w:szCs w:val="26"/>
        </w:rPr>
        <w:t xml:space="preserve">, the Commission has further stated that although the results of the meter test are important, standing alone, they may be insufficient rebuttal testimony.  However, if in addition to the meter test results, the utility places into the record testimony </w:t>
      </w:r>
      <w:r w:rsidR="00130E42">
        <w:rPr>
          <w:szCs w:val="26"/>
        </w:rPr>
        <w:t>that</w:t>
      </w:r>
      <w:r w:rsidRPr="003D49CB">
        <w:rPr>
          <w:szCs w:val="26"/>
        </w:rPr>
        <w:t xml:space="preserve"> rebut</w:t>
      </w:r>
      <w:r w:rsidR="00130E42">
        <w:rPr>
          <w:szCs w:val="26"/>
        </w:rPr>
        <w:t>s</w:t>
      </w:r>
      <w:r w:rsidRPr="003D49CB">
        <w:rPr>
          <w:szCs w:val="26"/>
        </w:rPr>
        <w:t xml:space="preserve"> the Complainant’s </w:t>
      </w:r>
      <w:r w:rsidRPr="003D49CB">
        <w:rPr>
          <w:i/>
          <w:szCs w:val="26"/>
        </w:rPr>
        <w:t>prima facie</w:t>
      </w:r>
      <w:r w:rsidRPr="003D49CB">
        <w:rPr>
          <w:szCs w:val="26"/>
        </w:rPr>
        <w:t xml:space="preserve"> case, such as an inventory or analysis of the appliances in the home or an attempt by the Respondent to ascertain the cause of the high bill, the burden of going forward shifts to the Complainant to prove that the meter in question is defective.  If the Complainant </w:t>
      </w:r>
      <w:r>
        <w:rPr>
          <w:szCs w:val="26"/>
        </w:rPr>
        <w:t>is</w:t>
      </w:r>
      <w:r w:rsidRPr="003D49CB">
        <w:rPr>
          <w:szCs w:val="26"/>
        </w:rPr>
        <w:t xml:space="preserve"> unable to marshal direct proof that the meter has malfunctioned, </w:t>
      </w:r>
      <w:r w:rsidR="00130E42">
        <w:rPr>
          <w:szCs w:val="26"/>
        </w:rPr>
        <w:t>she</w:t>
      </w:r>
      <w:r w:rsidRPr="003D49CB">
        <w:rPr>
          <w:szCs w:val="26"/>
        </w:rPr>
        <w:t xml:space="preserve"> can prove </w:t>
      </w:r>
      <w:r w:rsidR="00130E42">
        <w:rPr>
          <w:szCs w:val="26"/>
        </w:rPr>
        <w:t>her</w:t>
      </w:r>
      <w:r w:rsidRPr="003D49CB">
        <w:rPr>
          <w:szCs w:val="26"/>
        </w:rPr>
        <w:t xml:space="preserve"> case by circumstantial evidence that the metered use has exceeded the actual use.  </w:t>
      </w:r>
      <w:r w:rsidRPr="003D49CB">
        <w:rPr>
          <w:i/>
          <w:szCs w:val="26"/>
        </w:rPr>
        <w:t>Milkie</w:t>
      </w:r>
      <w:r w:rsidRPr="003D49CB">
        <w:rPr>
          <w:szCs w:val="26"/>
        </w:rPr>
        <w:t xml:space="preserve">, </w:t>
      </w:r>
      <w:r w:rsidRPr="003D49CB">
        <w:rPr>
          <w:i/>
          <w:szCs w:val="26"/>
        </w:rPr>
        <w:t>supra</w:t>
      </w:r>
      <w:r w:rsidRPr="003D49CB">
        <w:rPr>
          <w:szCs w:val="26"/>
        </w:rPr>
        <w:t>.</w:t>
      </w:r>
    </w:p>
    <w:p w:rsidR="00581CCD" w:rsidRDefault="00581CCD" w:rsidP="00581CCD">
      <w:pPr>
        <w:widowControl/>
        <w:rPr>
          <w:szCs w:val="26"/>
        </w:rPr>
      </w:pPr>
    </w:p>
    <w:p w:rsidR="00581CCD" w:rsidRDefault="00581CCD" w:rsidP="00581CCD">
      <w:pPr>
        <w:widowControl/>
        <w:rPr>
          <w:szCs w:val="26"/>
        </w:rPr>
      </w:pPr>
      <w:r w:rsidRPr="00183AB4">
        <w:rPr>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83AB4">
        <w:rPr>
          <w:i/>
          <w:szCs w:val="26"/>
        </w:rPr>
        <w:t>Consolidated Rail Corporation v. Pennsylvania Public Utility Commission</w:t>
      </w:r>
      <w:r w:rsidRPr="00183AB4">
        <w:rPr>
          <w:szCs w:val="26"/>
        </w:rPr>
        <w:t xml:space="preserve">, 625 A.2d 741 (Pa. Cmwlth. 1993); </w:t>
      </w:r>
      <w:r w:rsidRPr="00183AB4">
        <w:rPr>
          <w:i/>
          <w:szCs w:val="26"/>
        </w:rPr>
        <w:t>see also</w:t>
      </w:r>
      <w:r w:rsidRPr="00183AB4">
        <w:rPr>
          <w:szCs w:val="26"/>
        </w:rPr>
        <w:t xml:space="preserve">, </w:t>
      </w:r>
      <w:r w:rsidRPr="00183AB4">
        <w:rPr>
          <w:i/>
          <w:szCs w:val="26"/>
        </w:rPr>
        <w:t>generally</w:t>
      </w:r>
      <w:r w:rsidRPr="00183AB4">
        <w:rPr>
          <w:szCs w:val="26"/>
        </w:rPr>
        <w:t xml:space="preserve">, </w:t>
      </w:r>
      <w:r w:rsidRPr="00183AB4">
        <w:rPr>
          <w:i/>
          <w:szCs w:val="26"/>
        </w:rPr>
        <w:t>University of Pennsylvania v. Pa. PUC</w:t>
      </w:r>
      <w:r w:rsidRPr="00183AB4">
        <w:rPr>
          <w:szCs w:val="26"/>
        </w:rPr>
        <w:t>, 485 A.2d 1217 (Pa. Cmwlth. 1984).</w:t>
      </w:r>
    </w:p>
    <w:p w:rsidR="00581CCD" w:rsidRDefault="00581CCD" w:rsidP="00581CCD">
      <w:pPr>
        <w:widowControl/>
        <w:rPr>
          <w:szCs w:val="26"/>
        </w:rPr>
      </w:pPr>
    </w:p>
    <w:p w:rsidR="00581CCD" w:rsidRDefault="00581CCD" w:rsidP="00581CCD">
      <w:pPr>
        <w:widowControl/>
        <w:rPr>
          <w:color w:val="000000"/>
          <w:szCs w:val="26"/>
        </w:rPr>
      </w:pPr>
      <w:r w:rsidRPr="009E2DEF">
        <w:rPr>
          <w:color w:val="000000"/>
          <w:szCs w:val="26"/>
        </w:rPr>
        <w:t xml:space="preserve">We note at the outset that the Exceptions of the Complainant are not in strict compliance with Section 5.533(b) of our Rules of Administrative Practice and Procedure, 52 </w:t>
      </w:r>
      <w:smartTag w:uri="urn:schemas-microsoft-com:office:smarttags" w:element="place">
        <w:smartTag w:uri="urn:schemas-microsoft-com:office:smarttags" w:element="State">
          <w:r w:rsidRPr="009E2DEF">
            <w:rPr>
              <w:color w:val="000000"/>
              <w:szCs w:val="26"/>
            </w:rPr>
            <w:t>Pa.</w:t>
          </w:r>
        </w:smartTag>
      </w:smartTag>
      <w:r w:rsidRPr="009E2DEF">
        <w:rPr>
          <w:color w:val="000000"/>
          <w:szCs w:val="26"/>
        </w:rPr>
        <w:t xml:space="preserve"> Code § 5.533(b), which provides that: </w:t>
      </w:r>
    </w:p>
    <w:p w:rsidR="00581CCD" w:rsidRDefault="00581CCD" w:rsidP="00581CCD">
      <w:pPr>
        <w:widowControl/>
        <w:rPr>
          <w:color w:val="000000"/>
          <w:szCs w:val="26"/>
        </w:rPr>
      </w:pPr>
      <w:r w:rsidRPr="009E2DEF">
        <w:rPr>
          <w:color w:val="000000"/>
          <w:szCs w:val="26"/>
        </w:rPr>
        <w:t xml:space="preserve"> </w:t>
      </w:r>
    </w:p>
    <w:p w:rsidR="00581CCD" w:rsidRDefault="00581CCD" w:rsidP="00077F84">
      <w:pPr>
        <w:widowControl/>
        <w:spacing w:line="240" w:lineRule="auto"/>
        <w:ind w:left="1440" w:right="1440" w:firstLine="0"/>
        <w:rPr>
          <w:color w:val="000000"/>
          <w:szCs w:val="26"/>
        </w:rPr>
      </w:pPr>
      <w:r w:rsidRPr="009E2DEF">
        <w:rPr>
          <w:color w:val="000000"/>
          <w:szCs w:val="26"/>
        </w:rPr>
        <w:t xml:space="preserve">(b) An exception shall be stated in specific, numbered paragraphs, identify the finding of fact or conclusion of law to which exception is taken and cite relevant pages of the decision. Supporting reasons for the exception shall follow a </w:t>
      </w:r>
      <w:r>
        <w:rPr>
          <w:color w:val="000000"/>
          <w:szCs w:val="26"/>
        </w:rPr>
        <w:t>specific exception.</w:t>
      </w:r>
    </w:p>
    <w:p w:rsidR="00581CCD" w:rsidRPr="009E2DEF" w:rsidRDefault="00581CCD" w:rsidP="00581CCD">
      <w:pPr>
        <w:widowControl/>
        <w:ind w:left="1440" w:right="1440"/>
        <w:rPr>
          <w:color w:val="000000"/>
          <w:szCs w:val="26"/>
        </w:rPr>
      </w:pPr>
    </w:p>
    <w:p w:rsidR="00581CCD" w:rsidRDefault="00581CCD" w:rsidP="00581CCD">
      <w:pPr>
        <w:widowControl/>
        <w:rPr>
          <w:color w:val="000000"/>
          <w:szCs w:val="26"/>
        </w:rPr>
      </w:pPr>
      <w:r w:rsidRPr="009E2DEF">
        <w:rPr>
          <w:color w:val="000000"/>
          <w:szCs w:val="26"/>
        </w:rPr>
        <w:t xml:space="preserve">We recognize, however, that the Complainant is appearing </w:t>
      </w:r>
      <w:r w:rsidRPr="00A71158">
        <w:rPr>
          <w:i/>
          <w:color w:val="000000"/>
          <w:szCs w:val="26"/>
        </w:rPr>
        <w:t>pro se</w:t>
      </w:r>
      <w:r w:rsidRPr="009E2DEF">
        <w:rPr>
          <w:color w:val="000000"/>
          <w:szCs w:val="26"/>
        </w:rPr>
        <w:t xml:space="preserve"> in this proceeding. </w:t>
      </w:r>
      <w:r>
        <w:rPr>
          <w:color w:val="000000"/>
          <w:szCs w:val="26"/>
        </w:rPr>
        <w:t xml:space="preserve"> </w:t>
      </w:r>
      <w:r w:rsidRPr="009E2DEF">
        <w:rPr>
          <w:color w:val="000000"/>
          <w:szCs w:val="26"/>
        </w:rPr>
        <w:t xml:space="preserve">Traditionally, we have been hesitant to rule unfavorably against </w:t>
      </w:r>
      <w:r w:rsidRPr="00A71158">
        <w:rPr>
          <w:bCs/>
          <w:i/>
          <w:color w:val="000000"/>
          <w:szCs w:val="26"/>
        </w:rPr>
        <w:t>pro se</w:t>
      </w:r>
      <w:r w:rsidRPr="009E2DEF">
        <w:rPr>
          <w:bCs/>
          <w:color w:val="000000"/>
          <w:szCs w:val="26"/>
        </w:rPr>
        <w:t xml:space="preserve"> litigants</w:t>
      </w:r>
      <w:r w:rsidRPr="009E2DEF">
        <w:rPr>
          <w:color w:val="000000"/>
          <w:szCs w:val="26"/>
        </w:rPr>
        <w:t xml:space="preserve"> based on technical grounds. See, </w:t>
      </w:r>
      <w:r w:rsidRPr="007346E4">
        <w:rPr>
          <w:i/>
          <w:color w:val="000000"/>
          <w:szCs w:val="26"/>
        </w:rPr>
        <w:t>e.g.</w:t>
      </w:r>
      <w:r w:rsidRPr="009E2DEF">
        <w:rPr>
          <w:color w:val="000000"/>
          <w:szCs w:val="26"/>
        </w:rPr>
        <w:t xml:space="preserve">, </w:t>
      </w:r>
      <w:r w:rsidRPr="00A71158">
        <w:rPr>
          <w:i/>
          <w:color w:val="000000"/>
          <w:szCs w:val="26"/>
        </w:rPr>
        <w:t>Destefano v. Peoples Natural Gas Company</w:t>
      </w:r>
      <w:r w:rsidRPr="009E2DEF">
        <w:rPr>
          <w:color w:val="000000"/>
          <w:szCs w:val="26"/>
        </w:rPr>
        <w:t xml:space="preserve">, 56 Pa. P.U.C. 489 (1982); </w:t>
      </w:r>
      <w:r w:rsidRPr="00A71158">
        <w:rPr>
          <w:i/>
          <w:color w:val="000000"/>
          <w:szCs w:val="26"/>
        </w:rPr>
        <w:t xml:space="preserve">Halpern v. The Bell Telephone Company of </w:t>
      </w:r>
      <w:smartTag w:uri="urn:schemas-microsoft-com:office:smarttags" w:element="State">
        <w:smartTag w:uri="urn:schemas-microsoft-com:office:smarttags" w:element="place">
          <w:r w:rsidRPr="00A71158">
            <w:rPr>
              <w:i/>
              <w:color w:val="000000"/>
              <w:szCs w:val="26"/>
            </w:rPr>
            <w:t>Pennsylvania</w:t>
          </w:r>
        </w:smartTag>
      </w:smartTag>
      <w:r w:rsidRPr="009E2DEF">
        <w:rPr>
          <w:color w:val="000000"/>
          <w:szCs w:val="26"/>
        </w:rPr>
        <w:t xml:space="preserve">, Docket No. C-00923950 (October 19, 1992); </w:t>
      </w:r>
      <w:r w:rsidRPr="00A71158">
        <w:rPr>
          <w:i/>
          <w:color w:val="000000"/>
          <w:szCs w:val="26"/>
        </w:rPr>
        <w:t xml:space="preserve">William Schlinder v. The Bell Telephone Company of </w:t>
      </w:r>
      <w:smartTag w:uri="urn:schemas-microsoft-com:office:smarttags" w:element="State">
        <w:smartTag w:uri="urn:schemas-microsoft-com:office:smarttags" w:element="place">
          <w:r w:rsidRPr="00A71158">
            <w:rPr>
              <w:i/>
              <w:color w:val="000000"/>
              <w:szCs w:val="26"/>
            </w:rPr>
            <w:t>Pennsylvania</w:t>
          </w:r>
        </w:smartTag>
      </w:smartTag>
      <w:r w:rsidRPr="009E2DEF">
        <w:rPr>
          <w:color w:val="000000"/>
          <w:szCs w:val="26"/>
        </w:rPr>
        <w:t xml:space="preserve">, Docket No. F-00161252 (March 26, 1993).  In our view, it is in the public interest that all litigants, particularly </w:t>
      </w:r>
      <w:r w:rsidRPr="00A71158">
        <w:rPr>
          <w:bCs/>
          <w:i/>
          <w:color w:val="000000"/>
          <w:szCs w:val="26"/>
        </w:rPr>
        <w:t>pro se</w:t>
      </w:r>
      <w:r w:rsidRPr="009E2DEF">
        <w:rPr>
          <w:bCs/>
          <w:color w:val="000000"/>
          <w:szCs w:val="26"/>
        </w:rPr>
        <w:t xml:space="preserve"> litigants</w:t>
      </w:r>
      <w:r w:rsidRPr="009E2DEF">
        <w:rPr>
          <w:b/>
          <w:bCs/>
          <w:color w:val="000000"/>
          <w:szCs w:val="26"/>
        </w:rPr>
        <w:t>,</w:t>
      </w:r>
      <w:r w:rsidRPr="009E2DEF">
        <w:rPr>
          <w:color w:val="000000"/>
          <w:szCs w:val="26"/>
        </w:rPr>
        <w:t xml:space="preserve"> be afforded a meaningful opportunity to be heard. </w:t>
      </w:r>
      <w:r>
        <w:rPr>
          <w:color w:val="000000"/>
          <w:szCs w:val="26"/>
        </w:rPr>
        <w:t xml:space="preserve"> </w:t>
      </w:r>
      <w:r w:rsidRPr="009E2DEF">
        <w:rPr>
          <w:color w:val="000000"/>
          <w:szCs w:val="26"/>
        </w:rPr>
        <w:t>We will, therefore, consider the merits of the Complainant's Exceptions.</w:t>
      </w:r>
    </w:p>
    <w:p w:rsidR="00581CCD" w:rsidRPr="0027577F" w:rsidRDefault="00581CCD" w:rsidP="00581CCD">
      <w:pPr>
        <w:widowControl/>
        <w:rPr>
          <w:color w:val="00B050"/>
          <w:szCs w:val="26"/>
        </w:rPr>
      </w:pPr>
    </w:p>
    <w:p w:rsidR="00581CCD" w:rsidRDefault="00581CCD" w:rsidP="00581CCD">
      <w:pPr>
        <w:widowControl/>
        <w:rPr>
          <w:szCs w:val="26"/>
        </w:rPr>
      </w:pPr>
      <w:r w:rsidRPr="00BD4628">
        <w:rPr>
          <w:szCs w:val="26"/>
        </w:rPr>
        <w:t>In h</w:t>
      </w:r>
      <w:r>
        <w:rPr>
          <w:szCs w:val="26"/>
        </w:rPr>
        <w:t>er</w:t>
      </w:r>
      <w:r w:rsidRPr="00BD4628">
        <w:rPr>
          <w:szCs w:val="26"/>
        </w:rPr>
        <w:t xml:space="preserve"> Initial Decision, the ALJ made </w:t>
      </w:r>
      <w:r w:rsidR="00077F84">
        <w:rPr>
          <w:szCs w:val="26"/>
        </w:rPr>
        <w:t>thirty-two</w:t>
      </w:r>
      <w:r w:rsidRPr="00BD4628">
        <w:rPr>
          <w:szCs w:val="26"/>
        </w:rPr>
        <w:t xml:space="preserve"> Findings of Fact and reached </w:t>
      </w:r>
      <w:r w:rsidR="00077F84">
        <w:rPr>
          <w:szCs w:val="26"/>
        </w:rPr>
        <w:t>five</w:t>
      </w:r>
      <w:r w:rsidRPr="00BD4628">
        <w:rPr>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2941F4" w:rsidRDefault="002941F4" w:rsidP="00581CCD">
      <w:pPr>
        <w:widowControl/>
        <w:rPr>
          <w:szCs w:val="26"/>
        </w:rPr>
      </w:pPr>
    </w:p>
    <w:p w:rsidR="002941F4" w:rsidRPr="00BD4628" w:rsidRDefault="002941F4" w:rsidP="00581CCD">
      <w:pPr>
        <w:widowControl/>
        <w:rPr>
          <w:szCs w:val="26"/>
        </w:rPr>
      </w:pPr>
      <w:r>
        <w:rPr>
          <w:szCs w:val="26"/>
        </w:rPr>
        <w:t>In the first Finding of Fact, the ALJ indicated that Mrs. Dziadas’ address is “145 Glade Drive, Long Pon</w:t>
      </w:r>
      <w:r w:rsidR="00E70C12">
        <w:rPr>
          <w:szCs w:val="26"/>
        </w:rPr>
        <w:t>d</w:t>
      </w:r>
      <w:r>
        <w:rPr>
          <w:szCs w:val="26"/>
        </w:rPr>
        <w:t xml:space="preserve">, PA 18334.”  In her Exceptions, Mrs. Dziadas </w:t>
      </w:r>
      <w:r w:rsidR="00E70C12">
        <w:rPr>
          <w:szCs w:val="26"/>
        </w:rPr>
        <w:t xml:space="preserve">states the ALJ stated the wrong address.  The Complainant reports that her house address is 5729 Clover Road and her mailing address is 195 Glade Drive.  Dziadas Exc. at 2. </w:t>
      </w:r>
      <w:r w:rsidR="004C54D0">
        <w:rPr>
          <w:szCs w:val="26"/>
        </w:rPr>
        <w:t xml:space="preserve">We note </w:t>
      </w:r>
      <w:r w:rsidR="004C54D0">
        <w:rPr>
          <w:szCs w:val="26"/>
        </w:rPr>
        <w:lastRenderedPageBreak/>
        <w:t xml:space="preserve">that the correct residence address and mailing address are presented on PPL’s Exhibits and that the correct mailing address is on all service lists and documents in this proceeding.  </w:t>
      </w:r>
      <w:r w:rsidR="00B43939">
        <w:rPr>
          <w:szCs w:val="26"/>
        </w:rPr>
        <w:t xml:space="preserve">PPL </w:t>
      </w:r>
      <w:r w:rsidR="009D3CE2">
        <w:rPr>
          <w:szCs w:val="26"/>
        </w:rPr>
        <w:t xml:space="preserve">Exhibits </w:t>
      </w:r>
      <w:r w:rsidR="00B43939">
        <w:rPr>
          <w:szCs w:val="26"/>
        </w:rPr>
        <w:t>3 and 4</w:t>
      </w:r>
      <w:r w:rsidR="009D3CE2">
        <w:rPr>
          <w:szCs w:val="26"/>
        </w:rPr>
        <w:t xml:space="preserve">.  </w:t>
      </w:r>
      <w:r w:rsidR="00130E42">
        <w:rPr>
          <w:szCs w:val="26"/>
        </w:rPr>
        <w:t xml:space="preserve">We will grant the Exception.  However, </w:t>
      </w:r>
      <w:r w:rsidR="0012183C">
        <w:rPr>
          <w:szCs w:val="26"/>
        </w:rPr>
        <w:t xml:space="preserve">we </w:t>
      </w:r>
      <w:r w:rsidR="00130E42">
        <w:rPr>
          <w:szCs w:val="26"/>
        </w:rPr>
        <w:t xml:space="preserve">note that </w:t>
      </w:r>
      <w:r w:rsidR="009D3CE2">
        <w:rPr>
          <w:szCs w:val="26"/>
        </w:rPr>
        <w:t xml:space="preserve">this Exception is merely pointing out a </w:t>
      </w:r>
      <w:r w:rsidR="003C2D97">
        <w:rPr>
          <w:szCs w:val="26"/>
        </w:rPr>
        <w:t>non</w:t>
      </w:r>
      <w:r w:rsidR="00130E42">
        <w:rPr>
          <w:szCs w:val="26"/>
        </w:rPr>
        <w:t>-</w:t>
      </w:r>
      <w:r w:rsidR="003C2D97">
        <w:rPr>
          <w:szCs w:val="26"/>
        </w:rPr>
        <w:t xml:space="preserve">material </w:t>
      </w:r>
      <w:r w:rsidR="009D3CE2">
        <w:rPr>
          <w:szCs w:val="26"/>
        </w:rPr>
        <w:t xml:space="preserve">typographical error in the Initial Decision </w:t>
      </w:r>
      <w:r w:rsidR="00130E42">
        <w:rPr>
          <w:szCs w:val="26"/>
        </w:rPr>
        <w:t>that will have no effe</w:t>
      </w:r>
      <w:r w:rsidR="0012183C">
        <w:rPr>
          <w:szCs w:val="26"/>
        </w:rPr>
        <w:t>ct on the merits of this case.</w:t>
      </w:r>
    </w:p>
    <w:p w:rsidR="00DD2A93" w:rsidRDefault="00DD2A93" w:rsidP="00C5031C">
      <w:pPr>
        <w:pStyle w:val="NormalWeb"/>
        <w:spacing w:before="0" w:beforeAutospacing="0" w:after="0" w:afterAutospacing="0"/>
        <w:rPr>
          <w:sz w:val="26"/>
          <w:szCs w:val="26"/>
        </w:rPr>
      </w:pPr>
    </w:p>
    <w:p w:rsidR="00A83C55" w:rsidRDefault="00BE38FE" w:rsidP="00C5031C">
      <w:pPr>
        <w:pStyle w:val="NormalWeb"/>
        <w:spacing w:before="0" w:beforeAutospacing="0" w:after="0" w:afterAutospacing="0"/>
        <w:rPr>
          <w:sz w:val="26"/>
          <w:szCs w:val="26"/>
        </w:rPr>
      </w:pPr>
      <w:r>
        <w:rPr>
          <w:sz w:val="26"/>
          <w:szCs w:val="26"/>
        </w:rPr>
        <w:t xml:space="preserve">In her Exceptions, </w:t>
      </w:r>
      <w:r w:rsidR="00A83C55">
        <w:rPr>
          <w:sz w:val="26"/>
          <w:szCs w:val="26"/>
        </w:rPr>
        <w:t xml:space="preserve">Mrs. Dziadas stated that she requested a Polish </w:t>
      </w:r>
      <w:r w:rsidR="006D1DD1">
        <w:rPr>
          <w:sz w:val="26"/>
          <w:szCs w:val="26"/>
        </w:rPr>
        <w:t xml:space="preserve">interpreter, but that ALJ Cocheres started the hearing without an interpreter.  Dziadas Exc. at 2.  </w:t>
      </w:r>
    </w:p>
    <w:p w:rsidR="00E23908" w:rsidRDefault="00E23908" w:rsidP="00C5031C">
      <w:pPr>
        <w:pStyle w:val="NormalWeb"/>
        <w:spacing w:before="0" w:beforeAutospacing="0" w:after="0" w:afterAutospacing="0"/>
        <w:rPr>
          <w:sz w:val="26"/>
          <w:szCs w:val="26"/>
        </w:rPr>
      </w:pPr>
    </w:p>
    <w:p w:rsidR="00E23908" w:rsidRDefault="00E23908" w:rsidP="00C5031C">
      <w:pPr>
        <w:pStyle w:val="NormalWeb"/>
        <w:spacing w:before="0" w:beforeAutospacing="0" w:after="0" w:afterAutospacing="0"/>
        <w:rPr>
          <w:sz w:val="26"/>
          <w:szCs w:val="26"/>
        </w:rPr>
      </w:pPr>
      <w:r>
        <w:rPr>
          <w:sz w:val="26"/>
          <w:szCs w:val="26"/>
        </w:rPr>
        <w:t>In its Reply Exceptions, PPL</w:t>
      </w:r>
      <w:r w:rsidR="006D337B">
        <w:rPr>
          <w:sz w:val="26"/>
          <w:szCs w:val="26"/>
        </w:rPr>
        <w:t xml:space="preserve"> </w:t>
      </w:r>
      <w:r>
        <w:rPr>
          <w:sz w:val="26"/>
          <w:szCs w:val="26"/>
        </w:rPr>
        <w:t xml:space="preserve">avers that the Complainant </w:t>
      </w:r>
      <w:r w:rsidR="0011297E">
        <w:rPr>
          <w:sz w:val="26"/>
          <w:szCs w:val="26"/>
        </w:rPr>
        <w:t>actively participated in the hearing, and at no times indicated any difficulty understanding the testimony.  PPL submits that</w:t>
      </w:r>
      <w:r w:rsidR="00015C6E">
        <w:rPr>
          <w:sz w:val="26"/>
          <w:szCs w:val="26"/>
        </w:rPr>
        <w:t>,</w:t>
      </w:r>
      <w:r w:rsidR="0011297E">
        <w:rPr>
          <w:sz w:val="26"/>
          <w:szCs w:val="26"/>
        </w:rPr>
        <w:t xml:space="preserve"> when the </w:t>
      </w:r>
      <w:r w:rsidR="006D337B">
        <w:rPr>
          <w:sz w:val="26"/>
          <w:szCs w:val="26"/>
        </w:rPr>
        <w:t xml:space="preserve">interpreter arrived, the Complainant continued her participation, </w:t>
      </w:r>
      <w:r w:rsidR="004813E6">
        <w:rPr>
          <w:sz w:val="26"/>
          <w:szCs w:val="26"/>
        </w:rPr>
        <w:t>answering</w:t>
      </w:r>
      <w:r w:rsidR="006D337B">
        <w:rPr>
          <w:sz w:val="26"/>
          <w:szCs w:val="26"/>
        </w:rPr>
        <w:t xml:space="preserve"> questions and asking questions in English.  PPL argues that in her Exceptions, the Complainant does not allege that the absence of the interpreter impacted her testimony.  PPL R. Exc. at 2-3.  </w:t>
      </w:r>
    </w:p>
    <w:p w:rsidR="009170AC" w:rsidRDefault="009170AC" w:rsidP="00C5031C">
      <w:pPr>
        <w:pStyle w:val="NormalWeb"/>
        <w:spacing w:before="0" w:beforeAutospacing="0" w:after="0" w:afterAutospacing="0"/>
        <w:rPr>
          <w:sz w:val="26"/>
          <w:szCs w:val="26"/>
        </w:rPr>
      </w:pPr>
    </w:p>
    <w:p w:rsidR="009170AC" w:rsidRDefault="00015C6E" w:rsidP="00C5031C">
      <w:pPr>
        <w:pStyle w:val="NormalWeb"/>
        <w:spacing w:before="0" w:beforeAutospacing="0" w:after="0" w:afterAutospacing="0"/>
        <w:rPr>
          <w:sz w:val="26"/>
          <w:szCs w:val="26"/>
        </w:rPr>
      </w:pPr>
      <w:r>
        <w:rPr>
          <w:sz w:val="26"/>
          <w:szCs w:val="26"/>
        </w:rPr>
        <w:t xml:space="preserve">After </w:t>
      </w:r>
      <w:r w:rsidR="009170AC">
        <w:rPr>
          <w:sz w:val="26"/>
          <w:szCs w:val="26"/>
        </w:rPr>
        <w:t>review</w:t>
      </w:r>
      <w:r>
        <w:rPr>
          <w:sz w:val="26"/>
          <w:szCs w:val="26"/>
        </w:rPr>
        <w:t>ing</w:t>
      </w:r>
      <w:r w:rsidR="009170AC">
        <w:rPr>
          <w:sz w:val="26"/>
          <w:szCs w:val="26"/>
        </w:rPr>
        <w:t xml:space="preserve"> the entire transcript of the hearing</w:t>
      </w:r>
      <w:r>
        <w:rPr>
          <w:sz w:val="26"/>
          <w:szCs w:val="26"/>
        </w:rPr>
        <w:t xml:space="preserve">, we observe that </w:t>
      </w:r>
      <w:r w:rsidR="003E11BA">
        <w:rPr>
          <w:sz w:val="26"/>
          <w:szCs w:val="26"/>
        </w:rPr>
        <w:t>the Complainant never indicated that she was having any difficulty participating in the hearing, even after being asked by ALJ Cocheres</w:t>
      </w:r>
      <w:r w:rsidR="002F72C2">
        <w:rPr>
          <w:sz w:val="26"/>
          <w:szCs w:val="26"/>
        </w:rPr>
        <w:t xml:space="preserve"> if she was comfortable going forward with the hearing </w:t>
      </w:r>
      <w:r w:rsidR="00D42D88">
        <w:rPr>
          <w:sz w:val="26"/>
          <w:szCs w:val="26"/>
        </w:rPr>
        <w:t xml:space="preserve">and </w:t>
      </w:r>
      <w:r w:rsidR="002F72C2">
        <w:rPr>
          <w:sz w:val="26"/>
          <w:szCs w:val="26"/>
        </w:rPr>
        <w:t>speaking in English.</w:t>
      </w:r>
      <w:r w:rsidR="003E11BA">
        <w:rPr>
          <w:sz w:val="26"/>
          <w:szCs w:val="26"/>
        </w:rPr>
        <w:t xml:space="preserve"> </w:t>
      </w:r>
      <w:r w:rsidR="00C779BB">
        <w:rPr>
          <w:sz w:val="26"/>
          <w:szCs w:val="26"/>
        </w:rPr>
        <w:t xml:space="preserve"> </w:t>
      </w:r>
      <w:r w:rsidR="00D42D88">
        <w:rPr>
          <w:sz w:val="26"/>
          <w:szCs w:val="26"/>
        </w:rPr>
        <w:t>Tr. at 9</w:t>
      </w:r>
      <w:r>
        <w:rPr>
          <w:sz w:val="26"/>
          <w:szCs w:val="26"/>
        </w:rPr>
        <w:t>,</w:t>
      </w:r>
      <w:r w:rsidR="00D42D88">
        <w:rPr>
          <w:sz w:val="26"/>
          <w:szCs w:val="26"/>
        </w:rPr>
        <w:t xml:space="preserve"> 21.  </w:t>
      </w:r>
      <w:r w:rsidR="00145088">
        <w:rPr>
          <w:sz w:val="26"/>
          <w:szCs w:val="26"/>
        </w:rPr>
        <w:t>In addition, it appear</w:t>
      </w:r>
      <w:r>
        <w:rPr>
          <w:sz w:val="26"/>
          <w:szCs w:val="26"/>
        </w:rPr>
        <w:t>s</w:t>
      </w:r>
      <w:r w:rsidR="00145088">
        <w:rPr>
          <w:sz w:val="26"/>
          <w:szCs w:val="26"/>
        </w:rPr>
        <w:t xml:space="preserve"> that the Complainant had </w:t>
      </w:r>
      <w:r>
        <w:rPr>
          <w:sz w:val="26"/>
          <w:szCs w:val="26"/>
        </w:rPr>
        <w:t>no</w:t>
      </w:r>
      <w:r w:rsidR="00145088">
        <w:rPr>
          <w:sz w:val="26"/>
          <w:szCs w:val="26"/>
        </w:rPr>
        <w:t xml:space="preserve"> difficulty participating in the hearing</w:t>
      </w:r>
      <w:r w:rsidR="00D42D88">
        <w:rPr>
          <w:sz w:val="26"/>
          <w:szCs w:val="26"/>
        </w:rPr>
        <w:t xml:space="preserve"> at any time</w:t>
      </w:r>
      <w:r w:rsidR="00145088">
        <w:rPr>
          <w:sz w:val="26"/>
          <w:szCs w:val="26"/>
        </w:rPr>
        <w:t xml:space="preserve">.  </w:t>
      </w:r>
      <w:r w:rsidR="00787B9F">
        <w:rPr>
          <w:sz w:val="26"/>
          <w:szCs w:val="26"/>
        </w:rPr>
        <w:t>We also not</w:t>
      </w:r>
      <w:r w:rsidR="007158B7">
        <w:rPr>
          <w:sz w:val="26"/>
          <w:szCs w:val="26"/>
        </w:rPr>
        <w:t>e</w:t>
      </w:r>
      <w:r w:rsidR="00787B9F">
        <w:rPr>
          <w:sz w:val="26"/>
          <w:szCs w:val="26"/>
        </w:rPr>
        <w:t xml:space="preserve"> that the interpreter was available for most of the hearing. Tr. at 20-21. </w:t>
      </w:r>
      <w:r w:rsidR="007158B7">
        <w:rPr>
          <w:sz w:val="26"/>
          <w:szCs w:val="26"/>
        </w:rPr>
        <w:t xml:space="preserve"> </w:t>
      </w:r>
      <w:r w:rsidR="00145088">
        <w:rPr>
          <w:sz w:val="26"/>
          <w:szCs w:val="26"/>
        </w:rPr>
        <w:t xml:space="preserve">Accordingly, this Exception is denied. </w:t>
      </w:r>
    </w:p>
    <w:p w:rsidR="00D42D88" w:rsidRDefault="00D42D88" w:rsidP="00C5031C">
      <w:pPr>
        <w:pStyle w:val="NormalWeb"/>
        <w:spacing w:before="0" w:beforeAutospacing="0" w:after="0" w:afterAutospacing="0"/>
        <w:rPr>
          <w:sz w:val="26"/>
          <w:szCs w:val="26"/>
        </w:rPr>
      </w:pPr>
    </w:p>
    <w:p w:rsidR="00D42D88" w:rsidRDefault="00407D76" w:rsidP="00C5031C">
      <w:pPr>
        <w:pStyle w:val="NormalWeb"/>
        <w:spacing w:before="0" w:beforeAutospacing="0" w:after="0" w:afterAutospacing="0"/>
        <w:rPr>
          <w:sz w:val="26"/>
          <w:szCs w:val="26"/>
        </w:rPr>
      </w:pPr>
      <w:r>
        <w:rPr>
          <w:sz w:val="26"/>
          <w:szCs w:val="26"/>
        </w:rPr>
        <w:t xml:space="preserve">In her Exceptions, Mrs. </w:t>
      </w:r>
      <w:bookmarkStart w:id="0" w:name="OLE_LINK1"/>
      <w:bookmarkStart w:id="1" w:name="OLE_LINK2"/>
      <w:r>
        <w:rPr>
          <w:sz w:val="26"/>
          <w:szCs w:val="26"/>
        </w:rPr>
        <w:t>Dziadas</w:t>
      </w:r>
      <w:bookmarkEnd w:id="0"/>
      <w:bookmarkEnd w:id="1"/>
      <w:r>
        <w:rPr>
          <w:sz w:val="26"/>
          <w:szCs w:val="26"/>
        </w:rPr>
        <w:t xml:space="preserve"> stated that after PPL staff visited her house in January 2009, she received a letter from PPL incorrectly indicating that she had a thermostat on her basement wall.  Dziadas Exc. at 2. </w:t>
      </w:r>
      <w:r w:rsidR="00012919">
        <w:rPr>
          <w:sz w:val="26"/>
          <w:szCs w:val="26"/>
        </w:rPr>
        <w:t xml:space="preserve"> The Complainant raised this matter </w:t>
      </w:r>
      <w:r w:rsidR="00012919">
        <w:rPr>
          <w:sz w:val="26"/>
          <w:szCs w:val="26"/>
        </w:rPr>
        <w:lastRenderedPageBreak/>
        <w:t xml:space="preserve">on cross-examination of PPL witness Kevin George </w:t>
      </w:r>
      <w:r w:rsidR="00787B9F">
        <w:rPr>
          <w:sz w:val="26"/>
          <w:szCs w:val="26"/>
        </w:rPr>
        <w:t xml:space="preserve">who had </w:t>
      </w:r>
      <w:r w:rsidR="00CC41A3">
        <w:rPr>
          <w:sz w:val="26"/>
          <w:szCs w:val="26"/>
        </w:rPr>
        <w:t xml:space="preserve">conducted an </w:t>
      </w:r>
      <w:r w:rsidR="00012919">
        <w:rPr>
          <w:sz w:val="26"/>
          <w:szCs w:val="26"/>
        </w:rPr>
        <w:t>inspect</w:t>
      </w:r>
      <w:r w:rsidR="00CC41A3">
        <w:rPr>
          <w:sz w:val="26"/>
          <w:szCs w:val="26"/>
        </w:rPr>
        <w:t>ion of</w:t>
      </w:r>
      <w:r w:rsidR="00012919">
        <w:rPr>
          <w:sz w:val="26"/>
          <w:szCs w:val="26"/>
        </w:rPr>
        <w:t xml:space="preserve"> Ms. Dziadas’ residence. </w:t>
      </w:r>
      <w:r w:rsidR="00CF666F">
        <w:rPr>
          <w:sz w:val="26"/>
          <w:szCs w:val="26"/>
        </w:rPr>
        <w:t xml:space="preserve"> Mr. George </w:t>
      </w:r>
      <w:r w:rsidR="00CC41A3">
        <w:rPr>
          <w:sz w:val="26"/>
          <w:szCs w:val="26"/>
        </w:rPr>
        <w:t>testified</w:t>
      </w:r>
      <w:r w:rsidR="00CF666F">
        <w:rPr>
          <w:sz w:val="26"/>
          <w:szCs w:val="26"/>
        </w:rPr>
        <w:t xml:space="preserve"> that </w:t>
      </w:r>
      <w:r w:rsidR="00865329">
        <w:rPr>
          <w:sz w:val="26"/>
          <w:szCs w:val="26"/>
        </w:rPr>
        <w:t xml:space="preserve">there was a thermometer in her basement, not a thermostat.  He stated that the thermostat that controls the electric heating system was upstairs in the home. Tr. at 72-73. </w:t>
      </w:r>
      <w:r w:rsidR="00B152EF">
        <w:rPr>
          <w:sz w:val="26"/>
          <w:szCs w:val="26"/>
        </w:rPr>
        <w:t xml:space="preserve"> </w:t>
      </w:r>
      <w:r w:rsidR="00865329">
        <w:rPr>
          <w:sz w:val="26"/>
          <w:szCs w:val="26"/>
        </w:rPr>
        <w:t>Since this matter was clarified during the hearing</w:t>
      </w:r>
      <w:r w:rsidR="000A0E99">
        <w:rPr>
          <w:sz w:val="26"/>
          <w:szCs w:val="26"/>
        </w:rPr>
        <w:t xml:space="preserve"> and ha</w:t>
      </w:r>
      <w:r w:rsidR="00662E49">
        <w:rPr>
          <w:sz w:val="26"/>
          <w:szCs w:val="26"/>
        </w:rPr>
        <w:t>d</w:t>
      </w:r>
      <w:r w:rsidR="000A0E99">
        <w:rPr>
          <w:sz w:val="26"/>
          <w:szCs w:val="26"/>
        </w:rPr>
        <w:t xml:space="preserve"> no impact on the </w:t>
      </w:r>
      <w:r w:rsidR="00662E49">
        <w:rPr>
          <w:sz w:val="26"/>
          <w:szCs w:val="26"/>
        </w:rPr>
        <w:t xml:space="preserve">calculation of </w:t>
      </w:r>
      <w:r w:rsidR="000A0E99">
        <w:rPr>
          <w:sz w:val="26"/>
          <w:szCs w:val="26"/>
        </w:rPr>
        <w:t xml:space="preserve">Complainant’s estimated potential to consume electricity, this </w:t>
      </w:r>
      <w:r w:rsidR="00662E49">
        <w:rPr>
          <w:sz w:val="26"/>
          <w:szCs w:val="26"/>
        </w:rPr>
        <w:t>E</w:t>
      </w:r>
      <w:r w:rsidR="000A0E99">
        <w:rPr>
          <w:sz w:val="26"/>
          <w:szCs w:val="26"/>
        </w:rPr>
        <w:t xml:space="preserve">xception is denied. </w:t>
      </w:r>
    </w:p>
    <w:p w:rsidR="00ED3B26" w:rsidRDefault="00ED3B26" w:rsidP="00C5031C">
      <w:pPr>
        <w:pStyle w:val="NormalWeb"/>
        <w:spacing w:before="0" w:beforeAutospacing="0" w:after="0" w:afterAutospacing="0"/>
        <w:rPr>
          <w:sz w:val="26"/>
          <w:szCs w:val="26"/>
        </w:rPr>
      </w:pPr>
    </w:p>
    <w:p w:rsidR="00A751E6" w:rsidRDefault="00ED3B26" w:rsidP="00CD6D45">
      <w:pPr>
        <w:pStyle w:val="NormalWeb"/>
        <w:spacing w:before="0" w:beforeAutospacing="0" w:after="0" w:afterAutospacing="0"/>
        <w:rPr>
          <w:sz w:val="26"/>
          <w:szCs w:val="26"/>
        </w:rPr>
      </w:pPr>
      <w:r>
        <w:rPr>
          <w:sz w:val="26"/>
          <w:szCs w:val="26"/>
        </w:rPr>
        <w:t xml:space="preserve">Ms. Dziadas </w:t>
      </w:r>
      <w:r w:rsidR="00931034">
        <w:rPr>
          <w:sz w:val="26"/>
          <w:szCs w:val="26"/>
        </w:rPr>
        <w:t xml:space="preserve">alleges </w:t>
      </w:r>
      <w:r>
        <w:rPr>
          <w:sz w:val="26"/>
          <w:szCs w:val="26"/>
        </w:rPr>
        <w:t>in her Exceptions that her electric consumption displayed on PPL’s website does not accurately reflect the electric consumption patterns in her home.</w:t>
      </w:r>
      <w:r w:rsidR="00CD6D45">
        <w:rPr>
          <w:sz w:val="26"/>
          <w:szCs w:val="26"/>
        </w:rPr>
        <w:t xml:space="preserve">  </w:t>
      </w:r>
      <w:r w:rsidR="00686707">
        <w:rPr>
          <w:sz w:val="26"/>
          <w:szCs w:val="26"/>
        </w:rPr>
        <w:t xml:space="preserve">The Complainant states that she turned her power </w:t>
      </w:r>
      <w:r w:rsidR="00D909CE">
        <w:rPr>
          <w:sz w:val="26"/>
          <w:szCs w:val="26"/>
        </w:rPr>
        <w:t>completely off between 11:30 am and 11:53 am on December 28, 2008</w:t>
      </w:r>
      <w:r w:rsidR="00B152EF">
        <w:rPr>
          <w:sz w:val="26"/>
          <w:szCs w:val="26"/>
        </w:rPr>
        <w:t>,</w:t>
      </w:r>
      <w:r w:rsidR="00D909CE">
        <w:rPr>
          <w:sz w:val="26"/>
          <w:szCs w:val="26"/>
        </w:rPr>
        <w:t xml:space="preserve"> and that she did not turn her heat on until 10:30 pm that day.  Ms. Dziadas avers that her account information on the PPL website did not show </w:t>
      </w:r>
      <w:r w:rsidR="00A751E6">
        <w:rPr>
          <w:sz w:val="26"/>
          <w:szCs w:val="26"/>
        </w:rPr>
        <w:t xml:space="preserve">a decline in her electric consumption for that day. </w:t>
      </w:r>
      <w:r w:rsidR="00D909CE">
        <w:rPr>
          <w:sz w:val="26"/>
          <w:szCs w:val="26"/>
        </w:rPr>
        <w:t xml:space="preserve"> </w:t>
      </w:r>
      <w:r w:rsidR="00CD6D45">
        <w:rPr>
          <w:sz w:val="26"/>
          <w:szCs w:val="26"/>
        </w:rPr>
        <w:t>Dziadas Exc</w:t>
      </w:r>
      <w:r w:rsidR="006D74F2">
        <w:rPr>
          <w:sz w:val="26"/>
          <w:szCs w:val="26"/>
        </w:rPr>
        <w:t>.</w:t>
      </w:r>
      <w:r w:rsidR="00CD6D45">
        <w:rPr>
          <w:sz w:val="26"/>
          <w:szCs w:val="26"/>
        </w:rPr>
        <w:t xml:space="preserve"> at 2</w:t>
      </w:r>
      <w:r w:rsidR="006D74F2">
        <w:rPr>
          <w:sz w:val="26"/>
          <w:szCs w:val="26"/>
        </w:rPr>
        <w:t>-3</w:t>
      </w:r>
      <w:r w:rsidR="00CD6D45">
        <w:rPr>
          <w:sz w:val="26"/>
          <w:szCs w:val="26"/>
        </w:rPr>
        <w:t xml:space="preserve">.  </w:t>
      </w:r>
    </w:p>
    <w:p w:rsidR="00A751E6" w:rsidRDefault="00A751E6" w:rsidP="00CD6D45">
      <w:pPr>
        <w:pStyle w:val="NormalWeb"/>
        <w:spacing w:before="0" w:beforeAutospacing="0" w:after="0" w:afterAutospacing="0"/>
        <w:rPr>
          <w:sz w:val="26"/>
          <w:szCs w:val="26"/>
        </w:rPr>
      </w:pPr>
    </w:p>
    <w:p w:rsidR="00A751E6" w:rsidRDefault="00CD6D45" w:rsidP="00CD6D45">
      <w:pPr>
        <w:pStyle w:val="NormalWeb"/>
        <w:spacing w:before="0" w:beforeAutospacing="0" w:after="0" w:afterAutospacing="0"/>
        <w:rPr>
          <w:sz w:val="26"/>
          <w:szCs w:val="26"/>
        </w:rPr>
      </w:pPr>
      <w:r>
        <w:rPr>
          <w:sz w:val="26"/>
          <w:szCs w:val="26"/>
        </w:rPr>
        <w:t>PPL</w:t>
      </w:r>
      <w:r w:rsidR="00A751E6">
        <w:rPr>
          <w:sz w:val="26"/>
          <w:szCs w:val="26"/>
        </w:rPr>
        <w:t xml:space="preserve"> </w:t>
      </w:r>
      <w:r>
        <w:rPr>
          <w:sz w:val="26"/>
          <w:szCs w:val="26"/>
        </w:rPr>
        <w:t xml:space="preserve">witness Carole Burnett </w:t>
      </w:r>
      <w:r w:rsidR="00015C6E">
        <w:rPr>
          <w:sz w:val="26"/>
          <w:szCs w:val="26"/>
        </w:rPr>
        <w:t xml:space="preserve">explained </w:t>
      </w:r>
      <w:r w:rsidR="00EA2EF9">
        <w:rPr>
          <w:sz w:val="26"/>
          <w:szCs w:val="26"/>
        </w:rPr>
        <w:t>why the billing information presented on PPL’s website d</w:t>
      </w:r>
      <w:r w:rsidR="00015C6E">
        <w:rPr>
          <w:sz w:val="26"/>
          <w:szCs w:val="26"/>
        </w:rPr>
        <w:t>id</w:t>
      </w:r>
      <w:r w:rsidR="00EA2EF9">
        <w:rPr>
          <w:sz w:val="26"/>
          <w:szCs w:val="26"/>
        </w:rPr>
        <w:t xml:space="preserve"> not match the Complainant’s current </w:t>
      </w:r>
      <w:r w:rsidR="00686707">
        <w:rPr>
          <w:sz w:val="26"/>
          <w:szCs w:val="26"/>
        </w:rPr>
        <w:t xml:space="preserve">hourly and daily </w:t>
      </w:r>
      <w:r w:rsidR="00EA2EF9">
        <w:rPr>
          <w:sz w:val="26"/>
          <w:szCs w:val="26"/>
        </w:rPr>
        <w:t xml:space="preserve">electric consumption.  Ms. Burnett </w:t>
      </w:r>
      <w:r>
        <w:rPr>
          <w:sz w:val="26"/>
          <w:szCs w:val="26"/>
        </w:rPr>
        <w:t xml:space="preserve">testified that there is a two-day lag from when the daily consumption is recorded on the Complainant’s meter to when it is posted on the PPL web page.  </w:t>
      </w:r>
      <w:r w:rsidR="006D74F2">
        <w:rPr>
          <w:sz w:val="26"/>
          <w:szCs w:val="26"/>
        </w:rPr>
        <w:t xml:space="preserve">Ms. Burnett also explained that </w:t>
      </w:r>
      <w:r w:rsidR="00A751E6">
        <w:rPr>
          <w:sz w:val="26"/>
          <w:szCs w:val="26"/>
        </w:rPr>
        <w:t xml:space="preserve">the website does not provide readings that are less than one-hour intervals. </w:t>
      </w:r>
      <w:r w:rsidR="006D74F2">
        <w:rPr>
          <w:sz w:val="26"/>
          <w:szCs w:val="26"/>
        </w:rPr>
        <w:t xml:space="preserve"> </w:t>
      </w:r>
      <w:r>
        <w:rPr>
          <w:sz w:val="26"/>
          <w:szCs w:val="26"/>
        </w:rPr>
        <w:t>I.D. at 7.</w:t>
      </w:r>
      <w:r w:rsidR="006D74F2">
        <w:rPr>
          <w:sz w:val="26"/>
          <w:szCs w:val="26"/>
        </w:rPr>
        <w:t xml:space="preserve"> </w:t>
      </w:r>
      <w:r>
        <w:rPr>
          <w:sz w:val="26"/>
          <w:szCs w:val="26"/>
        </w:rPr>
        <w:t xml:space="preserve"> </w:t>
      </w:r>
      <w:r w:rsidR="00A751E6">
        <w:rPr>
          <w:sz w:val="26"/>
          <w:szCs w:val="26"/>
        </w:rPr>
        <w:t xml:space="preserve">Tr. at 34-34. </w:t>
      </w:r>
    </w:p>
    <w:p w:rsidR="00A751E6" w:rsidRDefault="00A751E6" w:rsidP="00CD6D45">
      <w:pPr>
        <w:pStyle w:val="NormalWeb"/>
        <w:spacing w:before="0" w:beforeAutospacing="0" w:after="0" w:afterAutospacing="0"/>
        <w:rPr>
          <w:sz w:val="26"/>
          <w:szCs w:val="26"/>
        </w:rPr>
      </w:pPr>
    </w:p>
    <w:p w:rsidR="00CD6D45" w:rsidRDefault="00931034" w:rsidP="00CD6D45">
      <w:pPr>
        <w:pStyle w:val="NormalWeb"/>
        <w:spacing w:before="0" w:beforeAutospacing="0" w:after="0" w:afterAutospacing="0"/>
        <w:rPr>
          <w:sz w:val="26"/>
          <w:szCs w:val="26"/>
        </w:rPr>
      </w:pPr>
      <w:r>
        <w:rPr>
          <w:sz w:val="26"/>
          <w:szCs w:val="26"/>
        </w:rPr>
        <w:t>Since the Complainant has not presented any new arguments to refute the explanation provided by PPL’s witness, th</w:t>
      </w:r>
      <w:r w:rsidR="006D74F2">
        <w:rPr>
          <w:sz w:val="26"/>
          <w:szCs w:val="26"/>
        </w:rPr>
        <w:t xml:space="preserve">e </w:t>
      </w:r>
      <w:r>
        <w:rPr>
          <w:sz w:val="26"/>
          <w:szCs w:val="26"/>
        </w:rPr>
        <w:t xml:space="preserve">Exception </w:t>
      </w:r>
      <w:r w:rsidR="006D74F2">
        <w:rPr>
          <w:sz w:val="26"/>
          <w:szCs w:val="26"/>
        </w:rPr>
        <w:t xml:space="preserve">regarding the accuracy of the Complainant’s electric consumption presented on PPL’s website </w:t>
      </w:r>
      <w:r w:rsidR="00F62AC5">
        <w:rPr>
          <w:sz w:val="26"/>
          <w:szCs w:val="26"/>
        </w:rPr>
        <w:t>is denied.</w:t>
      </w:r>
    </w:p>
    <w:p w:rsidR="001F63BA" w:rsidRDefault="001F63BA" w:rsidP="00C5031C">
      <w:pPr>
        <w:pStyle w:val="NormalWeb"/>
        <w:spacing w:before="0" w:beforeAutospacing="0" w:after="0" w:afterAutospacing="0"/>
        <w:rPr>
          <w:sz w:val="26"/>
          <w:szCs w:val="26"/>
        </w:rPr>
      </w:pPr>
    </w:p>
    <w:p w:rsidR="003E514C" w:rsidRDefault="003E514C" w:rsidP="003E514C">
      <w:pPr>
        <w:pStyle w:val="NormalWeb"/>
        <w:spacing w:before="0" w:beforeAutospacing="0" w:after="0" w:afterAutospacing="0"/>
        <w:rPr>
          <w:sz w:val="26"/>
          <w:szCs w:val="26"/>
        </w:rPr>
      </w:pPr>
      <w:r>
        <w:rPr>
          <w:sz w:val="26"/>
          <w:szCs w:val="26"/>
        </w:rPr>
        <w:t xml:space="preserve">In her Initial Decision, the ALJ presented four years of </w:t>
      </w:r>
      <w:r w:rsidR="00B152EF">
        <w:rPr>
          <w:sz w:val="26"/>
          <w:szCs w:val="26"/>
        </w:rPr>
        <w:t xml:space="preserve">the Complainant’s </w:t>
      </w:r>
      <w:r>
        <w:rPr>
          <w:sz w:val="26"/>
          <w:szCs w:val="26"/>
        </w:rPr>
        <w:t xml:space="preserve">monthly consumption data and corresponding heating and cooling degree day data that was </w:t>
      </w:r>
      <w:r w:rsidR="00AB4733">
        <w:rPr>
          <w:sz w:val="26"/>
          <w:szCs w:val="26"/>
        </w:rPr>
        <w:t xml:space="preserve">derived from </w:t>
      </w:r>
      <w:r>
        <w:rPr>
          <w:sz w:val="26"/>
          <w:szCs w:val="26"/>
        </w:rPr>
        <w:t>PPL Exhibit 1.</w:t>
      </w:r>
      <w:r w:rsidR="00AB19A8">
        <w:rPr>
          <w:sz w:val="26"/>
          <w:szCs w:val="26"/>
        </w:rPr>
        <w:t xml:space="preserve"> </w:t>
      </w:r>
      <w:r>
        <w:rPr>
          <w:sz w:val="26"/>
          <w:szCs w:val="26"/>
        </w:rPr>
        <w:t xml:space="preserve"> The ALJ found that the four years of data indicates </w:t>
      </w:r>
      <w:r>
        <w:rPr>
          <w:sz w:val="26"/>
          <w:szCs w:val="26"/>
        </w:rPr>
        <w:lastRenderedPageBreak/>
        <w:t xml:space="preserve">some fluctuation in consumption, but the fluctuation can be explained by comparing the degree data for the same monthly billing cycle in different years.  The ALJ concluded that there is not enough inconsistency in </w:t>
      </w:r>
      <w:r w:rsidR="00127160">
        <w:rPr>
          <w:sz w:val="26"/>
          <w:szCs w:val="26"/>
        </w:rPr>
        <w:t xml:space="preserve">the </w:t>
      </w:r>
      <w:r>
        <w:rPr>
          <w:sz w:val="26"/>
          <w:szCs w:val="26"/>
        </w:rPr>
        <w:t xml:space="preserve">four years of data to support a finding of inaccurate billing.  I.D. at 8-10. </w:t>
      </w:r>
    </w:p>
    <w:p w:rsidR="003E514C" w:rsidRDefault="003E514C" w:rsidP="003E514C">
      <w:pPr>
        <w:pStyle w:val="NormalWeb"/>
        <w:spacing w:before="0" w:beforeAutospacing="0" w:after="0" w:afterAutospacing="0"/>
        <w:rPr>
          <w:sz w:val="26"/>
          <w:szCs w:val="26"/>
        </w:rPr>
      </w:pPr>
    </w:p>
    <w:p w:rsidR="00157CBC" w:rsidRDefault="00AC6F9F" w:rsidP="00AC6F9F">
      <w:pPr>
        <w:pStyle w:val="NormalWeb"/>
        <w:spacing w:before="0" w:beforeAutospacing="0" w:after="0" w:afterAutospacing="0"/>
        <w:rPr>
          <w:sz w:val="26"/>
          <w:szCs w:val="26"/>
        </w:rPr>
      </w:pPr>
      <w:r>
        <w:rPr>
          <w:sz w:val="26"/>
          <w:szCs w:val="26"/>
        </w:rPr>
        <w:t>In her Exceptions, Ms. Dziadas reiterates the allegations raised in her Complaint that she is being improperly billed by PPL. She stated that she had four guests in her home between July 15, 2008 and August 11, 2008</w:t>
      </w:r>
      <w:r w:rsidR="008B1018">
        <w:rPr>
          <w:sz w:val="26"/>
          <w:szCs w:val="26"/>
        </w:rPr>
        <w:t>,</w:t>
      </w:r>
      <w:r>
        <w:rPr>
          <w:sz w:val="26"/>
          <w:szCs w:val="26"/>
        </w:rPr>
        <w:t xml:space="preserve"> and a comparison of her billed consumption between 2008 and 2009 does not reflect the expected increase in consumption </w:t>
      </w:r>
      <w:r w:rsidR="0084385E">
        <w:rPr>
          <w:sz w:val="26"/>
          <w:szCs w:val="26"/>
        </w:rPr>
        <w:t xml:space="preserve">during portions of July and August 2008 </w:t>
      </w:r>
      <w:r>
        <w:rPr>
          <w:sz w:val="26"/>
          <w:szCs w:val="26"/>
        </w:rPr>
        <w:t xml:space="preserve">when there were more occupants in the home.  </w:t>
      </w:r>
      <w:r w:rsidR="008B1018">
        <w:rPr>
          <w:sz w:val="26"/>
          <w:szCs w:val="26"/>
        </w:rPr>
        <w:t>Dziadas Exc. at 3.</w:t>
      </w:r>
    </w:p>
    <w:p w:rsidR="00DB5146" w:rsidRDefault="00DB5146" w:rsidP="00AC6F9F">
      <w:pPr>
        <w:pStyle w:val="NormalWeb"/>
        <w:spacing w:before="0" w:beforeAutospacing="0" w:after="0" w:afterAutospacing="0"/>
        <w:rPr>
          <w:sz w:val="26"/>
          <w:szCs w:val="26"/>
        </w:rPr>
      </w:pPr>
    </w:p>
    <w:p w:rsidR="00DB5146" w:rsidRDefault="0024024E" w:rsidP="00AC6F9F">
      <w:pPr>
        <w:pStyle w:val="NormalWeb"/>
        <w:spacing w:before="0" w:beforeAutospacing="0" w:after="0" w:afterAutospacing="0"/>
        <w:rPr>
          <w:sz w:val="26"/>
          <w:szCs w:val="26"/>
        </w:rPr>
      </w:pPr>
      <w:r>
        <w:rPr>
          <w:sz w:val="26"/>
          <w:szCs w:val="26"/>
        </w:rPr>
        <w:t xml:space="preserve">Comparing the </w:t>
      </w:r>
      <w:r w:rsidR="00DB0F17">
        <w:rPr>
          <w:sz w:val="26"/>
          <w:szCs w:val="26"/>
        </w:rPr>
        <w:t xml:space="preserve">Complainant’s </w:t>
      </w:r>
      <w:r>
        <w:rPr>
          <w:sz w:val="26"/>
          <w:szCs w:val="26"/>
        </w:rPr>
        <w:t xml:space="preserve">consumption levels </w:t>
      </w:r>
      <w:r w:rsidR="008B1018">
        <w:rPr>
          <w:sz w:val="26"/>
          <w:szCs w:val="26"/>
        </w:rPr>
        <w:t xml:space="preserve">for </w:t>
      </w:r>
      <w:r>
        <w:rPr>
          <w:sz w:val="26"/>
          <w:szCs w:val="26"/>
        </w:rPr>
        <w:t xml:space="preserve">the months of July and August 2008 to July and August 2009 indicates </w:t>
      </w:r>
      <w:r w:rsidR="004647CF">
        <w:rPr>
          <w:sz w:val="26"/>
          <w:szCs w:val="26"/>
        </w:rPr>
        <w:t xml:space="preserve">little deviation in Mrs. Dziadas’ </w:t>
      </w:r>
      <w:r w:rsidR="00CA4C66">
        <w:rPr>
          <w:sz w:val="26"/>
          <w:szCs w:val="26"/>
        </w:rPr>
        <w:t xml:space="preserve">monthly </w:t>
      </w:r>
      <w:r w:rsidR="004647CF">
        <w:rPr>
          <w:sz w:val="26"/>
          <w:szCs w:val="26"/>
        </w:rPr>
        <w:t xml:space="preserve">billed consumption levels.  For the </w:t>
      </w:r>
      <w:r w:rsidR="00D273BC">
        <w:rPr>
          <w:sz w:val="26"/>
          <w:szCs w:val="26"/>
        </w:rPr>
        <w:t>thirty-two</w:t>
      </w:r>
      <w:r w:rsidR="004647CF">
        <w:rPr>
          <w:sz w:val="26"/>
          <w:szCs w:val="26"/>
        </w:rPr>
        <w:t xml:space="preserve"> days ending July 21, 2008, the Complainant’s meter </w:t>
      </w:r>
      <w:r w:rsidR="00DF2425">
        <w:rPr>
          <w:sz w:val="26"/>
          <w:szCs w:val="26"/>
        </w:rPr>
        <w:t xml:space="preserve">registered an average of 54.19 </w:t>
      </w:r>
      <w:r w:rsidR="00A549CE">
        <w:rPr>
          <w:sz w:val="26"/>
          <w:szCs w:val="26"/>
        </w:rPr>
        <w:t>KWH</w:t>
      </w:r>
      <w:r w:rsidR="00DF2425">
        <w:rPr>
          <w:sz w:val="26"/>
          <w:szCs w:val="26"/>
        </w:rPr>
        <w:t xml:space="preserve">/day compared to an average of 56.32 </w:t>
      </w:r>
      <w:r w:rsidR="00A549CE">
        <w:rPr>
          <w:sz w:val="26"/>
          <w:szCs w:val="26"/>
        </w:rPr>
        <w:t>KWH</w:t>
      </w:r>
      <w:r w:rsidR="00DF2425">
        <w:rPr>
          <w:sz w:val="26"/>
          <w:szCs w:val="26"/>
        </w:rPr>
        <w:t xml:space="preserve">/day for the </w:t>
      </w:r>
      <w:r w:rsidR="00D273BC">
        <w:rPr>
          <w:sz w:val="26"/>
          <w:szCs w:val="26"/>
        </w:rPr>
        <w:t>thirty</w:t>
      </w:r>
      <w:r w:rsidR="00DF2425">
        <w:rPr>
          <w:sz w:val="26"/>
          <w:szCs w:val="26"/>
        </w:rPr>
        <w:t xml:space="preserve"> days ending July 22, 2009.  Similarly, for the </w:t>
      </w:r>
      <w:r w:rsidR="00D273BC">
        <w:rPr>
          <w:sz w:val="26"/>
          <w:szCs w:val="26"/>
        </w:rPr>
        <w:t>twenty-nine</w:t>
      </w:r>
      <w:r w:rsidR="00DF2425">
        <w:rPr>
          <w:sz w:val="26"/>
          <w:szCs w:val="26"/>
        </w:rPr>
        <w:t xml:space="preserve"> days ending on August 19, 2008, </w:t>
      </w:r>
      <w:r w:rsidR="000B262A">
        <w:rPr>
          <w:sz w:val="26"/>
          <w:szCs w:val="26"/>
        </w:rPr>
        <w:t xml:space="preserve">the Complainant’s billed consumption was an average of 56.03 </w:t>
      </w:r>
      <w:r w:rsidR="00A549CE">
        <w:rPr>
          <w:sz w:val="26"/>
          <w:szCs w:val="26"/>
        </w:rPr>
        <w:t>KWH</w:t>
      </w:r>
      <w:r w:rsidR="000B262A">
        <w:rPr>
          <w:sz w:val="26"/>
          <w:szCs w:val="26"/>
        </w:rPr>
        <w:t xml:space="preserve">/day compared to the 57.07 </w:t>
      </w:r>
      <w:r w:rsidR="00A549CE">
        <w:rPr>
          <w:sz w:val="26"/>
          <w:szCs w:val="26"/>
        </w:rPr>
        <w:t>KWH</w:t>
      </w:r>
      <w:r w:rsidR="000B262A">
        <w:rPr>
          <w:sz w:val="26"/>
          <w:szCs w:val="26"/>
        </w:rPr>
        <w:t xml:space="preserve">/day for the </w:t>
      </w:r>
      <w:r w:rsidR="00D273BC">
        <w:rPr>
          <w:sz w:val="26"/>
          <w:szCs w:val="26"/>
        </w:rPr>
        <w:t>thirty</w:t>
      </w:r>
      <w:r w:rsidR="007F63FC">
        <w:rPr>
          <w:sz w:val="26"/>
          <w:szCs w:val="26"/>
        </w:rPr>
        <w:t xml:space="preserve"> </w:t>
      </w:r>
      <w:r w:rsidR="00DF2425">
        <w:rPr>
          <w:sz w:val="26"/>
          <w:szCs w:val="26"/>
        </w:rPr>
        <w:t xml:space="preserve">days </w:t>
      </w:r>
      <w:r w:rsidR="007F63FC">
        <w:rPr>
          <w:sz w:val="26"/>
          <w:szCs w:val="26"/>
        </w:rPr>
        <w:t xml:space="preserve">ending August 21, 2009.  </w:t>
      </w:r>
      <w:r w:rsidR="00CA4C66">
        <w:rPr>
          <w:sz w:val="26"/>
          <w:szCs w:val="26"/>
        </w:rPr>
        <w:t>I.D. at 9</w:t>
      </w:r>
      <w:r w:rsidR="00A9347B">
        <w:rPr>
          <w:sz w:val="26"/>
          <w:szCs w:val="26"/>
        </w:rPr>
        <w:t xml:space="preserve">.  PPL Exhibit 1. </w:t>
      </w:r>
      <w:r w:rsidR="0097482F">
        <w:rPr>
          <w:sz w:val="26"/>
          <w:szCs w:val="26"/>
        </w:rPr>
        <w:t xml:space="preserve"> </w:t>
      </w:r>
      <w:r w:rsidR="007F63FC">
        <w:rPr>
          <w:sz w:val="26"/>
          <w:szCs w:val="26"/>
        </w:rPr>
        <w:t xml:space="preserve">While </w:t>
      </w:r>
      <w:r w:rsidR="00BA7137">
        <w:rPr>
          <w:sz w:val="26"/>
          <w:szCs w:val="26"/>
        </w:rPr>
        <w:t xml:space="preserve">having four additional occupants in the home </w:t>
      </w:r>
      <w:r w:rsidR="00462699">
        <w:rPr>
          <w:sz w:val="26"/>
          <w:szCs w:val="26"/>
        </w:rPr>
        <w:t xml:space="preserve">would </w:t>
      </w:r>
      <w:r w:rsidR="007A2A63">
        <w:rPr>
          <w:sz w:val="26"/>
          <w:szCs w:val="26"/>
        </w:rPr>
        <w:t xml:space="preserve">likely </w:t>
      </w:r>
      <w:r w:rsidR="00462699">
        <w:rPr>
          <w:sz w:val="26"/>
          <w:szCs w:val="26"/>
        </w:rPr>
        <w:t xml:space="preserve">be </w:t>
      </w:r>
      <w:r w:rsidR="00127160">
        <w:rPr>
          <w:sz w:val="26"/>
          <w:szCs w:val="26"/>
        </w:rPr>
        <w:t xml:space="preserve">a </w:t>
      </w:r>
      <w:r w:rsidR="00462699">
        <w:rPr>
          <w:sz w:val="26"/>
          <w:szCs w:val="26"/>
        </w:rPr>
        <w:t xml:space="preserve">factor in the amount of electricity consumed, there may have been other factors that </w:t>
      </w:r>
      <w:r w:rsidR="00127160">
        <w:rPr>
          <w:sz w:val="26"/>
          <w:szCs w:val="26"/>
        </w:rPr>
        <w:t xml:space="preserve">could have </w:t>
      </w:r>
      <w:r w:rsidR="007A2A63">
        <w:rPr>
          <w:sz w:val="26"/>
          <w:szCs w:val="26"/>
        </w:rPr>
        <w:t xml:space="preserve">affected the level of consumption </w:t>
      </w:r>
      <w:r w:rsidR="00462699">
        <w:rPr>
          <w:sz w:val="26"/>
          <w:szCs w:val="26"/>
        </w:rPr>
        <w:t>during those</w:t>
      </w:r>
      <w:r w:rsidR="007A2A63">
        <w:rPr>
          <w:sz w:val="26"/>
          <w:szCs w:val="26"/>
        </w:rPr>
        <w:t xml:space="preserve"> four billing cycles. </w:t>
      </w:r>
      <w:r w:rsidR="00AB4733">
        <w:rPr>
          <w:sz w:val="26"/>
          <w:szCs w:val="26"/>
        </w:rPr>
        <w:t xml:space="preserve"> We concur with the ALJ that there is </w:t>
      </w:r>
      <w:r w:rsidR="0047048E">
        <w:rPr>
          <w:sz w:val="26"/>
          <w:szCs w:val="26"/>
        </w:rPr>
        <w:t xml:space="preserve">not enough inconsistency in the Complainant’s billing history to support a finding of inaccurate billing.  </w:t>
      </w:r>
      <w:r w:rsidR="00804956">
        <w:rPr>
          <w:sz w:val="26"/>
          <w:szCs w:val="26"/>
        </w:rPr>
        <w:t xml:space="preserve">Therefore, </w:t>
      </w:r>
      <w:r w:rsidR="00127160">
        <w:rPr>
          <w:sz w:val="26"/>
          <w:szCs w:val="26"/>
        </w:rPr>
        <w:t xml:space="preserve">we shall deny this </w:t>
      </w:r>
      <w:r w:rsidR="00804956">
        <w:rPr>
          <w:sz w:val="26"/>
          <w:szCs w:val="26"/>
        </w:rPr>
        <w:t>Exception</w:t>
      </w:r>
      <w:r w:rsidR="00127160">
        <w:rPr>
          <w:sz w:val="26"/>
          <w:szCs w:val="26"/>
        </w:rPr>
        <w:t>.</w:t>
      </w:r>
      <w:r w:rsidR="00804956">
        <w:rPr>
          <w:sz w:val="26"/>
          <w:szCs w:val="26"/>
        </w:rPr>
        <w:t xml:space="preserve"> </w:t>
      </w:r>
    </w:p>
    <w:p w:rsidR="00127160" w:rsidRDefault="00127160" w:rsidP="00AC6F9F">
      <w:pPr>
        <w:pStyle w:val="NormalWeb"/>
        <w:spacing w:before="0" w:beforeAutospacing="0" w:after="0" w:afterAutospacing="0"/>
        <w:rPr>
          <w:sz w:val="26"/>
          <w:szCs w:val="26"/>
        </w:rPr>
      </w:pPr>
    </w:p>
    <w:p w:rsidR="00127160" w:rsidRPr="005543BE" w:rsidRDefault="00127160" w:rsidP="00127160">
      <w:pPr>
        <w:pStyle w:val="NormalWeb"/>
        <w:spacing w:before="0" w:beforeAutospacing="0" w:after="0" w:afterAutospacing="0"/>
        <w:rPr>
          <w:sz w:val="26"/>
          <w:szCs w:val="26"/>
        </w:rPr>
      </w:pPr>
      <w:r w:rsidRPr="005543BE">
        <w:rPr>
          <w:sz w:val="26"/>
          <w:szCs w:val="26"/>
        </w:rPr>
        <w:t xml:space="preserve">Mrs. Dziadas excepts to the ALJ’s Findings of Fact Nos. 21 and 23 – 26 that address the potential use of the Complainant’s space heaters and water heater.  Mrs. </w:t>
      </w:r>
      <w:r w:rsidRPr="005543BE">
        <w:rPr>
          <w:sz w:val="26"/>
          <w:szCs w:val="26"/>
        </w:rPr>
        <w:lastRenderedPageBreak/>
        <w:t>Dziadas argues that she does not need to know how much she could use, but how much she actually used.  Dziadas</w:t>
      </w:r>
      <w:r>
        <w:rPr>
          <w:sz w:val="26"/>
          <w:szCs w:val="26"/>
        </w:rPr>
        <w:t xml:space="preserve"> </w:t>
      </w:r>
      <w:r w:rsidRPr="005543BE">
        <w:rPr>
          <w:sz w:val="26"/>
          <w:szCs w:val="26"/>
        </w:rPr>
        <w:t xml:space="preserve">Exc. at 2.  </w:t>
      </w:r>
    </w:p>
    <w:p w:rsidR="00127160" w:rsidRDefault="00127160" w:rsidP="00AC6F9F">
      <w:pPr>
        <w:pStyle w:val="NormalWeb"/>
        <w:spacing w:before="0" w:beforeAutospacing="0" w:after="0" w:afterAutospacing="0"/>
        <w:rPr>
          <w:sz w:val="26"/>
          <w:szCs w:val="26"/>
        </w:rPr>
      </w:pPr>
    </w:p>
    <w:p w:rsidR="00DB5146" w:rsidRDefault="0097482F" w:rsidP="00AC6F9F">
      <w:pPr>
        <w:pStyle w:val="NormalWeb"/>
        <w:spacing w:before="0" w:beforeAutospacing="0" w:after="0" w:afterAutospacing="0"/>
        <w:rPr>
          <w:sz w:val="26"/>
          <w:szCs w:val="26"/>
        </w:rPr>
      </w:pPr>
      <w:r w:rsidRPr="00F334E6">
        <w:rPr>
          <w:sz w:val="26"/>
          <w:szCs w:val="26"/>
        </w:rPr>
        <w:t>On January 6, 2009, PPL</w:t>
      </w:r>
      <w:r w:rsidR="00F334E6">
        <w:rPr>
          <w:sz w:val="26"/>
          <w:szCs w:val="26"/>
        </w:rPr>
        <w:t xml:space="preserve">’s customer service representative Kevin George visited the Complainant’s home and took an inventory of the electric consuming devices.  </w:t>
      </w:r>
      <w:r w:rsidR="000208CB">
        <w:rPr>
          <w:sz w:val="26"/>
          <w:szCs w:val="26"/>
        </w:rPr>
        <w:t xml:space="preserve">A worksheet containing the results of the inventory was submitted into the records as PPL Exhibit 3.  </w:t>
      </w:r>
      <w:r w:rsidR="00914004">
        <w:rPr>
          <w:sz w:val="26"/>
          <w:szCs w:val="26"/>
        </w:rPr>
        <w:t>In her Initial Decision, the ALJ noted some of the devices</w:t>
      </w:r>
      <w:r w:rsidR="00127160">
        <w:rPr>
          <w:sz w:val="26"/>
          <w:szCs w:val="26"/>
        </w:rPr>
        <w:t>,</w:t>
      </w:r>
      <w:r w:rsidR="00914004">
        <w:rPr>
          <w:sz w:val="26"/>
          <w:szCs w:val="26"/>
        </w:rPr>
        <w:t xml:space="preserve"> such as a 4,000 watt space heater in an uninsu</w:t>
      </w:r>
      <w:r w:rsidR="00077434">
        <w:rPr>
          <w:sz w:val="26"/>
          <w:szCs w:val="26"/>
        </w:rPr>
        <w:t>l</w:t>
      </w:r>
      <w:r w:rsidR="00914004">
        <w:rPr>
          <w:sz w:val="26"/>
          <w:szCs w:val="26"/>
        </w:rPr>
        <w:t>ated basement that was running at the time of Mr. George’s visit.  The ALJ also noted two 1,500 watt space heaters that were plugged in, two additional elect</w:t>
      </w:r>
      <w:r w:rsidR="004D1B64">
        <w:rPr>
          <w:sz w:val="26"/>
          <w:szCs w:val="26"/>
        </w:rPr>
        <w:t>r</w:t>
      </w:r>
      <w:r w:rsidR="00914004">
        <w:rPr>
          <w:sz w:val="26"/>
          <w:szCs w:val="26"/>
        </w:rPr>
        <w:t>ic space heaters that were not plugged in</w:t>
      </w:r>
      <w:r w:rsidR="004D1B64">
        <w:rPr>
          <w:sz w:val="26"/>
          <w:szCs w:val="26"/>
        </w:rPr>
        <w:t>,</w:t>
      </w:r>
      <w:r w:rsidR="00914004">
        <w:rPr>
          <w:sz w:val="26"/>
          <w:szCs w:val="26"/>
        </w:rPr>
        <w:t xml:space="preserve"> </w:t>
      </w:r>
      <w:r w:rsidR="00077434">
        <w:rPr>
          <w:sz w:val="26"/>
          <w:szCs w:val="26"/>
        </w:rPr>
        <w:t xml:space="preserve">and the </w:t>
      </w:r>
      <w:r w:rsidR="0005273A">
        <w:rPr>
          <w:sz w:val="26"/>
          <w:szCs w:val="26"/>
        </w:rPr>
        <w:t xml:space="preserve">fact that the </w:t>
      </w:r>
      <w:r w:rsidR="00077434">
        <w:rPr>
          <w:sz w:val="26"/>
          <w:szCs w:val="26"/>
        </w:rPr>
        <w:t xml:space="preserve">thermostat for the electric heat pump was </w:t>
      </w:r>
      <w:r w:rsidR="004D1B64">
        <w:rPr>
          <w:sz w:val="26"/>
          <w:szCs w:val="26"/>
        </w:rPr>
        <w:t xml:space="preserve">set in “emergency mode.” </w:t>
      </w:r>
      <w:r w:rsidR="00F16CA3">
        <w:rPr>
          <w:sz w:val="26"/>
          <w:szCs w:val="26"/>
        </w:rPr>
        <w:t xml:space="preserve"> Findings of Fact 18-26, I.D. at 3-4. </w:t>
      </w:r>
      <w:r w:rsidR="00454610">
        <w:rPr>
          <w:sz w:val="26"/>
          <w:szCs w:val="26"/>
        </w:rPr>
        <w:t xml:space="preserve"> The ALJ found that PPL’s high bill investigation</w:t>
      </w:r>
      <w:r w:rsidR="004137CD">
        <w:rPr>
          <w:sz w:val="26"/>
          <w:szCs w:val="26"/>
        </w:rPr>
        <w:t xml:space="preserve">, </w:t>
      </w:r>
      <w:r w:rsidR="00D273BC">
        <w:rPr>
          <w:sz w:val="26"/>
          <w:szCs w:val="26"/>
        </w:rPr>
        <w:t>which determined</w:t>
      </w:r>
      <w:r w:rsidR="00454610">
        <w:rPr>
          <w:sz w:val="26"/>
          <w:szCs w:val="26"/>
        </w:rPr>
        <w:t xml:space="preserve"> that the Complainant’s potential monthly use was over 6,000 </w:t>
      </w:r>
      <w:r w:rsidR="00A549CE">
        <w:rPr>
          <w:sz w:val="26"/>
          <w:szCs w:val="26"/>
        </w:rPr>
        <w:t>KWH</w:t>
      </w:r>
      <w:r w:rsidR="00454610">
        <w:rPr>
          <w:sz w:val="26"/>
          <w:szCs w:val="26"/>
        </w:rPr>
        <w:t xml:space="preserve"> per billing cycle</w:t>
      </w:r>
      <w:r w:rsidR="004137CD">
        <w:rPr>
          <w:sz w:val="26"/>
          <w:szCs w:val="26"/>
        </w:rPr>
        <w:t>, to be credible.</w:t>
      </w:r>
      <w:r w:rsidR="00E13D3A" w:rsidRPr="00E13D3A">
        <w:rPr>
          <w:rStyle w:val="FootnoteReference"/>
          <w:sz w:val="26"/>
          <w:szCs w:val="26"/>
        </w:rPr>
        <w:t xml:space="preserve"> </w:t>
      </w:r>
      <w:r w:rsidR="00E13D3A">
        <w:rPr>
          <w:rStyle w:val="FootnoteReference"/>
          <w:sz w:val="26"/>
          <w:szCs w:val="26"/>
        </w:rPr>
        <w:footnoteReference w:id="1"/>
      </w:r>
      <w:r w:rsidR="00E13D3A">
        <w:rPr>
          <w:sz w:val="26"/>
          <w:szCs w:val="26"/>
        </w:rPr>
        <w:t xml:space="preserve"> </w:t>
      </w:r>
      <w:r w:rsidR="00FF4938">
        <w:rPr>
          <w:sz w:val="26"/>
          <w:szCs w:val="26"/>
        </w:rPr>
        <w:t xml:space="preserve"> I.D</w:t>
      </w:r>
      <w:r w:rsidR="006612D2">
        <w:rPr>
          <w:sz w:val="26"/>
          <w:szCs w:val="26"/>
        </w:rPr>
        <w:t>.</w:t>
      </w:r>
      <w:r w:rsidR="00FF4938">
        <w:rPr>
          <w:sz w:val="26"/>
          <w:szCs w:val="26"/>
        </w:rPr>
        <w:t xml:space="preserve"> at 10. </w:t>
      </w:r>
      <w:r w:rsidR="004137CD">
        <w:rPr>
          <w:sz w:val="26"/>
          <w:szCs w:val="26"/>
        </w:rPr>
        <w:t xml:space="preserve"> </w:t>
      </w:r>
      <w:r w:rsidR="00FF4938">
        <w:rPr>
          <w:sz w:val="26"/>
          <w:szCs w:val="26"/>
        </w:rPr>
        <w:t xml:space="preserve">We note </w:t>
      </w:r>
      <w:r w:rsidR="00454610">
        <w:rPr>
          <w:sz w:val="26"/>
          <w:szCs w:val="26"/>
        </w:rPr>
        <w:t xml:space="preserve">that the Complainant’s highest metered consumption was 5,843 </w:t>
      </w:r>
      <w:r w:rsidR="00A549CE">
        <w:rPr>
          <w:sz w:val="26"/>
          <w:szCs w:val="26"/>
        </w:rPr>
        <w:t>KWH</w:t>
      </w:r>
      <w:r w:rsidR="00454610">
        <w:rPr>
          <w:sz w:val="26"/>
          <w:szCs w:val="26"/>
        </w:rPr>
        <w:t xml:space="preserve"> in January 2009 </w:t>
      </w:r>
      <w:r w:rsidR="006612D2">
        <w:rPr>
          <w:sz w:val="26"/>
          <w:szCs w:val="26"/>
        </w:rPr>
        <w:t xml:space="preserve">for </w:t>
      </w:r>
      <w:r w:rsidR="00454610">
        <w:rPr>
          <w:sz w:val="26"/>
          <w:szCs w:val="26"/>
        </w:rPr>
        <w:t xml:space="preserve">34 days usage.  </w:t>
      </w:r>
      <w:r w:rsidR="006612D2">
        <w:rPr>
          <w:sz w:val="26"/>
          <w:szCs w:val="26"/>
        </w:rPr>
        <w:t xml:space="preserve">January 2009 had the </w:t>
      </w:r>
      <w:r w:rsidR="00E13D3A">
        <w:rPr>
          <w:sz w:val="26"/>
          <w:szCs w:val="26"/>
        </w:rPr>
        <w:t xml:space="preserve">greatest number of heating degree days of any monthly billing cycle during the four-year billing history presented on the record. </w:t>
      </w:r>
      <w:r w:rsidR="006612D2">
        <w:rPr>
          <w:sz w:val="26"/>
          <w:szCs w:val="26"/>
        </w:rPr>
        <w:t xml:space="preserve"> </w:t>
      </w:r>
      <w:r w:rsidR="00454610">
        <w:rPr>
          <w:sz w:val="26"/>
          <w:szCs w:val="26"/>
        </w:rPr>
        <w:t xml:space="preserve">I.D. at </w:t>
      </w:r>
      <w:r w:rsidR="00E13D3A">
        <w:rPr>
          <w:sz w:val="26"/>
          <w:szCs w:val="26"/>
        </w:rPr>
        <w:t>9</w:t>
      </w:r>
      <w:r w:rsidR="00454610">
        <w:rPr>
          <w:sz w:val="26"/>
          <w:szCs w:val="26"/>
        </w:rPr>
        <w:t xml:space="preserve">. </w:t>
      </w:r>
    </w:p>
    <w:p w:rsidR="002352A2" w:rsidRDefault="002352A2" w:rsidP="00C5031C">
      <w:pPr>
        <w:pStyle w:val="NormalWeb"/>
        <w:spacing w:before="0" w:beforeAutospacing="0" w:after="0" w:afterAutospacing="0"/>
        <w:rPr>
          <w:color w:val="632423" w:themeColor="accent2" w:themeShade="80"/>
          <w:sz w:val="26"/>
          <w:szCs w:val="26"/>
        </w:rPr>
      </w:pPr>
    </w:p>
    <w:p w:rsidR="00B031B1" w:rsidRDefault="001C7308" w:rsidP="008B45BC">
      <w:pPr>
        <w:widowControl/>
        <w:rPr>
          <w:szCs w:val="26"/>
        </w:rPr>
      </w:pPr>
      <w:r>
        <w:rPr>
          <w:szCs w:val="26"/>
        </w:rPr>
        <w:t xml:space="preserve">As discussed </w:t>
      </w:r>
      <w:r w:rsidRPr="001C7308">
        <w:rPr>
          <w:i/>
          <w:szCs w:val="26"/>
        </w:rPr>
        <w:t>supra</w:t>
      </w:r>
      <w:r>
        <w:rPr>
          <w:szCs w:val="26"/>
        </w:rPr>
        <w:t xml:space="preserve">, </w:t>
      </w:r>
      <w:r w:rsidR="00537116">
        <w:rPr>
          <w:szCs w:val="26"/>
        </w:rPr>
        <w:t xml:space="preserve">applying the standards established in </w:t>
      </w:r>
      <w:r w:rsidR="00537116" w:rsidRPr="00537116">
        <w:rPr>
          <w:i/>
          <w:szCs w:val="26"/>
        </w:rPr>
        <w:t>Waldron</w:t>
      </w:r>
      <w:r w:rsidR="00537116">
        <w:rPr>
          <w:szCs w:val="26"/>
        </w:rPr>
        <w:t xml:space="preserve">, </w:t>
      </w:r>
      <w:r w:rsidR="00537116" w:rsidRPr="00537116">
        <w:rPr>
          <w:i/>
          <w:szCs w:val="26"/>
        </w:rPr>
        <w:t>Branham</w:t>
      </w:r>
      <w:r w:rsidR="00537116">
        <w:rPr>
          <w:szCs w:val="26"/>
        </w:rPr>
        <w:t xml:space="preserve">, and </w:t>
      </w:r>
      <w:r w:rsidR="00537116" w:rsidRPr="001B420B">
        <w:rPr>
          <w:i/>
          <w:szCs w:val="26"/>
        </w:rPr>
        <w:t>Reploge</w:t>
      </w:r>
      <w:r w:rsidR="00537116" w:rsidRPr="00537116">
        <w:rPr>
          <w:szCs w:val="26"/>
        </w:rPr>
        <w:t>;</w:t>
      </w:r>
      <w:r w:rsidRPr="00537116">
        <w:rPr>
          <w:szCs w:val="26"/>
        </w:rPr>
        <w:t xml:space="preserve"> </w:t>
      </w:r>
      <w:r w:rsidRPr="003D49CB">
        <w:rPr>
          <w:szCs w:val="26"/>
        </w:rPr>
        <w:t>the Complainant h</w:t>
      </w:r>
      <w:r>
        <w:rPr>
          <w:szCs w:val="26"/>
        </w:rPr>
        <w:t>as</w:t>
      </w:r>
      <w:r w:rsidRPr="003D49CB">
        <w:rPr>
          <w:szCs w:val="26"/>
        </w:rPr>
        <w:t xml:space="preserve"> the burden of proving by a preponderance of the evidence that: (1) there were no prior consumption abnormalities; (2) there has been no change in occupancy; and (3) the customers do not have the capacity to use the amount billed.  </w:t>
      </w:r>
      <w:r w:rsidR="006A7706">
        <w:rPr>
          <w:szCs w:val="26"/>
        </w:rPr>
        <w:t>Since the Complainant’s four-year billing history shows relatively consistent consumption patterns</w:t>
      </w:r>
      <w:r w:rsidR="00560BA2">
        <w:rPr>
          <w:szCs w:val="26"/>
        </w:rPr>
        <w:t>,</w:t>
      </w:r>
      <w:r w:rsidR="008B45BC">
        <w:rPr>
          <w:szCs w:val="26"/>
        </w:rPr>
        <w:t xml:space="preserve"> </w:t>
      </w:r>
      <w:r w:rsidR="00AF3A61">
        <w:rPr>
          <w:szCs w:val="26"/>
        </w:rPr>
        <w:t xml:space="preserve">we find </w:t>
      </w:r>
      <w:r w:rsidR="008B45BC">
        <w:rPr>
          <w:szCs w:val="26"/>
        </w:rPr>
        <w:t xml:space="preserve">Mrs. Dziadas’ primary burden is </w:t>
      </w:r>
      <w:r w:rsidR="006A7706">
        <w:rPr>
          <w:szCs w:val="26"/>
        </w:rPr>
        <w:t xml:space="preserve">to </w:t>
      </w:r>
      <w:r w:rsidR="008B45BC">
        <w:rPr>
          <w:szCs w:val="26"/>
        </w:rPr>
        <w:t xml:space="preserve">satisfy the </w:t>
      </w:r>
      <w:r w:rsidR="00F92901">
        <w:rPr>
          <w:szCs w:val="26"/>
        </w:rPr>
        <w:lastRenderedPageBreak/>
        <w:t>third criteria –</w:t>
      </w:r>
      <w:r w:rsidR="008B45BC">
        <w:rPr>
          <w:szCs w:val="26"/>
        </w:rPr>
        <w:t xml:space="preserve"> that her household did not </w:t>
      </w:r>
      <w:r w:rsidR="008B45BC" w:rsidRPr="003D49CB">
        <w:rPr>
          <w:szCs w:val="26"/>
        </w:rPr>
        <w:t>have the capacity to use the amount billed</w:t>
      </w:r>
      <w:r w:rsidR="008B45BC">
        <w:rPr>
          <w:szCs w:val="26"/>
        </w:rPr>
        <w:t xml:space="preserve">.  </w:t>
      </w:r>
      <w:r w:rsidR="00AF3A61">
        <w:rPr>
          <w:szCs w:val="26"/>
        </w:rPr>
        <w:t>Since the</w:t>
      </w:r>
      <w:r w:rsidR="00E24365">
        <w:rPr>
          <w:szCs w:val="26"/>
        </w:rPr>
        <w:t xml:space="preserve"> Complainant did not present any evidence </w:t>
      </w:r>
      <w:r w:rsidR="0035566C">
        <w:rPr>
          <w:szCs w:val="26"/>
        </w:rPr>
        <w:t xml:space="preserve">to demonstrate </w:t>
      </w:r>
      <w:r w:rsidR="00E24365">
        <w:rPr>
          <w:szCs w:val="26"/>
        </w:rPr>
        <w:t xml:space="preserve">that she did not have potential to use the amount </w:t>
      </w:r>
      <w:r w:rsidR="006701A4">
        <w:rPr>
          <w:szCs w:val="26"/>
        </w:rPr>
        <w:t xml:space="preserve">of </w:t>
      </w:r>
      <w:r w:rsidR="00A92B9D">
        <w:rPr>
          <w:szCs w:val="26"/>
        </w:rPr>
        <w:t xml:space="preserve">electricity that was </w:t>
      </w:r>
      <w:r w:rsidR="00E24365">
        <w:rPr>
          <w:szCs w:val="26"/>
        </w:rPr>
        <w:t>billed or that PPL’s estimates of her potential use were incorrect</w:t>
      </w:r>
      <w:r w:rsidR="001B420B">
        <w:rPr>
          <w:szCs w:val="26"/>
        </w:rPr>
        <w:t>, the Complainant did not meet her initial burden of pro</w:t>
      </w:r>
      <w:r w:rsidR="006701A4">
        <w:rPr>
          <w:szCs w:val="26"/>
        </w:rPr>
        <w:t>ving</w:t>
      </w:r>
      <w:r w:rsidR="001B420B">
        <w:rPr>
          <w:szCs w:val="26"/>
        </w:rPr>
        <w:t xml:space="preserve"> that she</w:t>
      </w:r>
      <w:r w:rsidR="00F92901">
        <w:rPr>
          <w:szCs w:val="26"/>
        </w:rPr>
        <w:t xml:space="preserve"> was incorrectly billed by PPL.</w:t>
      </w:r>
    </w:p>
    <w:p w:rsidR="00020AAC" w:rsidRDefault="00020AAC" w:rsidP="008B45BC">
      <w:pPr>
        <w:widowControl/>
        <w:rPr>
          <w:szCs w:val="26"/>
        </w:rPr>
      </w:pPr>
    </w:p>
    <w:p w:rsidR="00B031B1" w:rsidRDefault="00B031B1" w:rsidP="008B45BC">
      <w:pPr>
        <w:widowControl/>
        <w:rPr>
          <w:szCs w:val="26"/>
        </w:rPr>
      </w:pPr>
      <w:r>
        <w:rPr>
          <w:szCs w:val="26"/>
        </w:rPr>
        <w:t xml:space="preserve">While the Complainant has not met her </w:t>
      </w:r>
      <w:r w:rsidR="00A06F1C">
        <w:rPr>
          <w:szCs w:val="26"/>
        </w:rPr>
        <w:t xml:space="preserve">initial </w:t>
      </w:r>
      <w:r>
        <w:rPr>
          <w:szCs w:val="26"/>
        </w:rPr>
        <w:t xml:space="preserve">burden </w:t>
      </w:r>
      <w:r w:rsidR="00A06F1C">
        <w:rPr>
          <w:szCs w:val="26"/>
        </w:rPr>
        <w:t xml:space="preserve">of proof that she was overbilled, </w:t>
      </w:r>
      <w:r w:rsidR="00020AAC">
        <w:rPr>
          <w:szCs w:val="26"/>
        </w:rPr>
        <w:t>we</w:t>
      </w:r>
      <w:r w:rsidR="0069269E">
        <w:rPr>
          <w:szCs w:val="26"/>
        </w:rPr>
        <w:t xml:space="preserve"> stated in </w:t>
      </w:r>
      <w:r w:rsidR="0069269E" w:rsidRPr="0069269E">
        <w:rPr>
          <w:i/>
          <w:szCs w:val="26"/>
        </w:rPr>
        <w:t>Replogle</w:t>
      </w:r>
      <w:r w:rsidR="0069269E">
        <w:rPr>
          <w:szCs w:val="26"/>
        </w:rPr>
        <w:t xml:space="preserve">, if </w:t>
      </w:r>
      <w:r w:rsidR="00020AAC" w:rsidRPr="003D49CB">
        <w:rPr>
          <w:szCs w:val="26"/>
        </w:rPr>
        <w:t xml:space="preserve">the utility places into the record testimony to rebut the Complainant’s </w:t>
      </w:r>
      <w:r w:rsidR="00020AAC" w:rsidRPr="003D49CB">
        <w:rPr>
          <w:i/>
          <w:szCs w:val="26"/>
        </w:rPr>
        <w:t>prima facie</w:t>
      </w:r>
      <w:r w:rsidR="00020AAC" w:rsidRPr="003D49CB">
        <w:rPr>
          <w:szCs w:val="26"/>
        </w:rPr>
        <w:t xml:space="preserve"> case, such as an inventory or analysis of the appliances in the home, or an attempt by the Respondent to ascertain the cause of the high bill, the burden of going forward shifts to the Complainant to prove that the meter in question is defective. </w:t>
      </w:r>
      <w:r w:rsidR="0069269E">
        <w:rPr>
          <w:szCs w:val="26"/>
        </w:rPr>
        <w:t xml:space="preserve"> </w:t>
      </w:r>
      <w:r w:rsidR="0072435E">
        <w:rPr>
          <w:szCs w:val="26"/>
        </w:rPr>
        <w:t xml:space="preserve">Consequently, we find that the results of PPL’s high bill investigation of the </w:t>
      </w:r>
      <w:r w:rsidR="00367E73">
        <w:rPr>
          <w:szCs w:val="26"/>
        </w:rPr>
        <w:t xml:space="preserve">Complainant’s </w:t>
      </w:r>
      <w:r w:rsidR="0072435E">
        <w:rPr>
          <w:szCs w:val="26"/>
        </w:rPr>
        <w:t xml:space="preserve">residence </w:t>
      </w:r>
      <w:r w:rsidR="00784E03">
        <w:rPr>
          <w:szCs w:val="26"/>
        </w:rPr>
        <w:t xml:space="preserve">are relevant in this proceeding and the ALJ appropriately included this information in her </w:t>
      </w:r>
      <w:r w:rsidR="0072435E">
        <w:rPr>
          <w:szCs w:val="26"/>
        </w:rPr>
        <w:t xml:space="preserve">in her Findings of </w:t>
      </w:r>
      <w:r w:rsidR="00367E73">
        <w:rPr>
          <w:szCs w:val="26"/>
        </w:rPr>
        <w:t>F</w:t>
      </w:r>
      <w:r w:rsidR="0072435E">
        <w:rPr>
          <w:szCs w:val="26"/>
        </w:rPr>
        <w:t>act</w:t>
      </w:r>
      <w:r w:rsidR="00784E03">
        <w:rPr>
          <w:szCs w:val="26"/>
        </w:rPr>
        <w:t xml:space="preserve">.  </w:t>
      </w:r>
      <w:r w:rsidR="006701A4">
        <w:rPr>
          <w:szCs w:val="26"/>
        </w:rPr>
        <w:t xml:space="preserve">Accordingly, </w:t>
      </w:r>
      <w:r w:rsidR="00367E73">
        <w:rPr>
          <w:szCs w:val="26"/>
        </w:rPr>
        <w:t xml:space="preserve">Mrs. Dziadas’ Exceptions regarding </w:t>
      </w:r>
      <w:r w:rsidR="00A2260B">
        <w:rPr>
          <w:szCs w:val="26"/>
        </w:rPr>
        <w:t xml:space="preserve">the relevance of </w:t>
      </w:r>
      <w:r w:rsidR="00367E73">
        <w:rPr>
          <w:szCs w:val="26"/>
        </w:rPr>
        <w:t xml:space="preserve">her potential use of electricity are denied. </w:t>
      </w:r>
    </w:p>
    <w:p w:rsidR="00DA7918" w:rsidRDefault="00DA7918" w:rsidP="005543BE">
      <w:pPr>
        <w:pStyle w:val="NormalWeb"/>
        <w:spacing w:before="0" w:beforeAutospacing="0" w:after="0" w:afterAutospacing="0"/>
        <w:rPr>
          <w:sz w:val="26"/>
          <w:szCs w:val="26"/>
        </w:rPr>
      </w:pPr>
    </w:p>
    <w:p w:rsidR="00B8247B" w:rsidRPr="0091688D" w:rsidRDefault="00A57B2D" w:rsidP="00E23908">
      <w:pPr>
        <w:keepNext/>
        <w:ind w:firstLine="0"/>
        <w:jc w:val="center"/>
        <w:rPr>
          <w:b/>
          <w:szCs w:val="26"/>
        </w:rPr>
      </w:pPr>
      <w:r w:rsidRPr="0091688D">
        <w:rPr>
          <w:b/>
          <w:szCs w:val="26"/>
        </w:rPr>
        <w:t>Conclusion</w:t>
      </w:r>
    </w:p>
    <w:p w:rsidR="00A57B2D" w:rsidRPr="005D39DC" w:rsidRDefault="00A57B2D" w:rsidP="000D75B3">
      <w:pPr>
        <w:keepNext/>
        <w:jc w:val="center"/>
        <w:rPr>
          <w:b/>
          <w:szCs w:val="26"/>
          <w:u w:val="single"/>
        </w:rPr>
      </w:pPr>
    </w:p>
    <w:p w:rsidR="00A57B2D" w:rsidRPr="005D39DC" w:rsidRDefault="00213FBE" w:rsidP="00AB19A8">
      <w:pPr>
        <w:widowControl/>
        <w:suppressAutoHyphens/>
        <w:rPr>
          <w:rFonts w:cs="Times New Roman"/>
          <w:spacing w:val="-3"/>
          <w:szCs w:val="26"/>
        </w:rPr>
      </w:pPr>
      <w:r w:rsidRPr="005D39DC">
        <w:rPr>
          <w:rFonts w:cs="Times New Roman"/>
          <w:spacing w:val="-3"/>
          <w:szCs w:val="26"/>
        </w:rPr>
        <w:t xml:space="preserve">Upon review and consideration of the record of this proceeding, and in light of the foregoing discussion, we shall </w:t>
      </w:r>
      <w:r w:rsidR="003439E1" w:rsidRPr="005D39DC">
        <w:rPr>
          <w:rFonts w:cs="Times New Roman"/>
          <w:spacing w:val="-3"/>
          <w:szCs w:val="26"/>
        </w:rPr>
        <w:t xml:space="preserve">deny the Exceptions of </w:t>
      </w:r>
      <w:r w:rsidR="008626BD">
        <w:rPr>
          <w:szCs w:val="26"/>
        </w:rPr>
        <w:t xml:space="preserve">Mrs. Dziadas </w:t>
      </w:r>
      <w:r w:rsidR="003439E1" w:rsidRPr="005D39DC">
        <w:rPr>
          <w:rFonts w:cs="Times New Roman"/>
          <w:spacing w:val="-3"/>
          <w:szCs w:val="26"/>
        </w:rPr>
        <w:t xml:space="preserve">and </w:t>
      </w:r>
      <w:r w:rsidRPr="005D39DC">
        <w:rPr>
          <w:rFonts w:cs="Times New Roman"/>
          <w:spacing w:val="-3"/>
          <w:szCs w:val="26"/>
        </w:rPr>
        <w:t>adopt the ALJ’s Initial Decision</w:t>
      </w:r>
      <w:r w:rsidR="006A3048" w:rsidRPr="005D39DC">
        <w:rPr>
          <w:rFonts w:cs="Times New Roman"/>
          <w:spacing w:val="-3"/>
          <w:szCs w:val="26"/>
        </w:rPr>
        <w:t>;</w:t>
      </w:r>
      <w:r w:rsidRPr="005D39DC">
        <w:rPr>
          <w:rFonts w:cs="Times New Roman"/>
          <w:spacing w:val="-3"/>
          <w:szCs w:val="26"/>
        </w:rPr>
        <w:t xml:space="preserve"> </w:t>
      </w:r>
      <w:r w:rsidR="00A57B2D" w:rsidRPr="005D39DC">
        <w:rPr>
          <w:rFonts w:cs="Times New Roman"/>
          <w:b/>
          <w:spacing w:val="-3"/>
          <w:szCs w:val="26"/>
        </w:rPr>
        <w:t>THEREFORE,</w:t>
      </w:r>
      <w:r w:rsidR="00A57B2D" w:rsidRPr="005D39DC">
        <w:rPr>
          <w:rFonts w:cs="Times New Roman"/>
          <w:spacing w:val="-3"/>
          <w:szCs w:val="26"/>
        </w:rPr>
        <w:t xml:space="preserve"> </w:t>
      </w:r>
    </w:p>
    <w:p w:rsidR="00A57B2D" w:rsidRPr="005D39DC" w:rsidRDefault="00A57B2D" w:rsidP="00AB19A8">
      <w:pPr>
        <w:widowControl/>
        <w:suppressAutoHyphens/>
        <w:rPr>
          <w:rFonts w:cs="Times New Roman"/>
          <w:spacing w:val="-3"/>
          <w:szCs w:val="26"/>
        </w:rPr>
      </w:pPr>
    </w:p>
    <w:p w:rsidR="00A57B2D" w:rsidRPr="005D39DC" w:rsidRDefault="00A57B2D" w:rsidP="00AB19A8">
      <w:pPr>
        <w:keepNext/>
        <w:widowControl/>
        <w:suppressAutoHyphens/>
        <w:ind w:left="1080" w:firstLine="360"/>
        <w:rPr>
          <w:rFonts w:cs="Times New Roman"/>
          <w:spacing w:val="-3"/>
          <w:szCs w:val="26"/>
        </w:rPr>
      </w:pPr>
      <w:r w:rsidRPr="005D39DC">
        <w:rPr>
          <w:rFonts w:cs="Times New Roman"/>
          <w:b/>
          <w:spacing w:val="-3"/>
          <w:szCs w:val="26"/>
        </w:rPr>
        <w:t>IT IS ORDERED</w:t>
      </w:r>
      <w:r w:rsidRPr="005D39DC">
        <w:rPr>
          <w:rFonts w:cs="Times New Roman"/>
          <w:spacing w:val="-3"/>
          <w:szCs w:val="26"/>
        </w:rPr>
        <w:t>:</w:t>
      </w:r>
    </w:p>
    <w:p w:rsidR="00A57B2D" w:rsidRPr="005D39DC" w:rsidRDefault="00A57B2D" w:rsidP="00AB19A8">
      <w:pPr>
        <w:keepNext/>
        <w:widowControl/>
        <w:suppressAutoHyphens/>
        <w:ind w:left="360"/>
        <w:rPr>
          <w:rFonts w:cs="Times New Roman"/>
          <w:spacing w:val="-3"/>
          <w:szCs w:val="26"/>
        </w:rPr>
      </w:pPr>
    </w:p>
    <w:p w:rsidR="00300858" w:rsidRPr="00C927BE" w:rsidRDefault="00300858" w:rsidP="00AB19A8">
      <w:pPr>
        <w:pStyle w:val="ListParagraph"/>
        <w:keepNext/>
        <w:widowControl/>
        <w:numPr>
          <w:ilvl w:val="0"/>
          <w:numId w:val="6"/>
        </w:numPr>
        <w:spacing w:line="240" w:lineRule="auto"/>
        <w:ind w:left="0" w:firstLine="1440"/>
        <w:rPr>
          <w:rFonts w:cs="Times New Roman"/>
          <w:spacing w:val="-3"/>
          <w:szCs w:val="26"/>
        </w:rPr>
      </w:pPr>
      <w:r w:rsidRPr="00C927BE">
        <w:rPr>
          <w:rFonts w:cs="Times New Roman"/>
          <w:spacing w:val="-3"/>
          <w:szCs w:val="26"/>
        </w:rPr>
        <w:t xml:space="preserve">That the Exceptions of </w:t>
      </w:r>
      <w:r w:rsidR="0035566C" w:rsidRPr="00C927BE">
        <w:rPr>
          <w:szCs w:val="26"/>
        </w:rPr>
        <w:t xml:space="preserve">Bozena Dziadas </w:t>
      </w:r>
      <w:r w:rsidRPr="00C927BE">
        <w:rPr>
          <w:rFonts w:cs="Times New Roman"/>
          <w:spacing w:val="-3"/>
          <w:szCs w:val="26"/>
        </w:rPr>
        <w:t xml:space="preserve">to the Initial </w:t>
      </w:r>
      <w:r w:rsidR="0091688D" w:rsidRPr="00C927BE">
        <w:rPr>
          <w:rFonts w:cs="Times New Roman"/>
          <w:spacing w:val="-3"/>
          <w:szCs w:val="26"/>
        </w:rPr>
        <w:t>D</w:t>
      </w:r>
      <w:r w:rsidRPr="00C927BE">
        <w:rPr>
          <w:rFonts w:cs="Times New Roman"/>
          <w:spacing w:val="-3"/>
          <w:szCs w:val="26"/>
        </w:rPr>
        <w:t xml:space="preserve">ecision of Administrative </w:t>
      </w:r>
      <w:r w:rsidR="005D39DC" w:rsidRPr="00C927BE">
        <w:rPr>
          <w:rFonts w:cs="Times New Roman"/>
          <w:spacing w:val="-3"/>
          <w:szCs w:val="26"/>
        </w:rPr>
        <w:t>L</w:t>
      </w:r>
      <w:r w:rsidRPr="00C927BE">
        <w:rPr>
          <w:rFonts w:cs="Times New Roman"/>
          <w:spacing w:val="-3"/>
          <w:szCs w:val="26"/>
        </w:rPr>
        <w:t xml:space="preserve">aw Judge </w:t>
      </w:r>
      <w:r w:rsidR="0037100B" w:rsidRPr="00C927BE">
        <w:rPr>
          <w:rFonts w:cs="Times New Roman"/>
          <w:spacing w:val="-3"/>
          <w:szCs w:val="26"/>
        </w:rPr>
        <w:t xml:space="preserve">Susan D. Colwell </w:t>
      </w:r>
      <w:r w:rsidR="005D39DC" w:rsidRPr="00C927BE">
        <w:rPr>
          <w:rFonts w:cs="Times New Roman"/>
          <w:spacing w:val="-3"/>
          <w:szCs w:val="26"/>
        </w:rPr>
        <w:t>are denied.</w:t>
      </w:r>
    </w:p>
    <w:p w:rsidR="00300858" w:rsidRPr="005D39DC" w:rsidRDefault="00300858" w:rsidP="00C927BE">
      <w:pPr>
        <w:widowControl/>
        <w:tabs>
          <w:tab w:val="left" w:pos="-1440"/>
          <w:tab w:val="left" w:pos="-720"/>
        </w:tabs>
        <w:suppressAutoHyphens/>
        <w:rPr>
          <w:rFonts w:cs="Times New Roman"/>
          <w:spacing w:val="-3"/>
          <w:szCs w:val="26"/>
        </w:rPr>
      </w:pPr>
    </w:p>
    <w:p w:rsidR="005D39DC" w:rsidRPr="00C927BE" w:rsidRDefault="005D39DC" w:rsidP="00C927BE">
      <w:pPr>
        <w:pStyle w:val="ListParagraph"/>
        <w:widowControl/>
        <w:numPr>
          <w:ilvl w:val="0"/>
          <w:numId w:val="6"/>
        </w:numPr>
        <w:tabs>
          <w:tab w:val="left" w:pos="-1440"/>
          <w:tab w:val="left" w:pos="-720"/>
        </w:tabs>
        <w:suppressAutoHyphens/>
        <w:ind w:left="0" w:firstLine="1440"/>
        <w:rPr>
          <w:rFonts w:cs="Times New Roman"/>
          <w:spacing w:val="-3"/>
          <w:szCs w:val="26"/>
        </w:rPr>
      </w:pPr>
      <w:r w:rsidRPr="00C927BE">
        <w:rPr>
          <w:rFonts w:cs="Times New Roman"/>
          <w:spacing w:val="-3"/>
          <w:szCs w:val="26"/>
        </w:rPr>
        <w:t xml:space="preserve">That the Initial Decision of Administrative Law Judge </w:t>
      </w:r>
      <w:r w:rsidR="0037100B" w:rsidRPr="00C927BE">
        <w:rPr>
          <w:rFonts w:cs="Times New Roman"/>
          <w:spacing w:val="-3"/>
          <w:szCs w:val="26"/>
        </w:rPr>
        <w:t>Susan D. Colwell is</w:t>
      </w:r>
      <w:r w:rsidRPr="00C927BE">
        <w:rPr>
          <w:rFonts w:cs="Times New Roman"/>
          <w:spacing w:val="-3"/>
          <w:szCs w:val="26"/>
        </w:rPr>
        <w:t xml:space="preserve"> adopted.</w:t>
      </w:r>
    </w:p>
    <w:p w:rsidR="005D39DC" w:rsidRDefault="005D39DC" w:rsidP="00C927BE">
      <w:pPr>
        <w:widowControl/>
        <w:tabs>
          <w:tab w:val="left" w:pos="-1440"/>
          <w:tab w:val="left" w:pos="-720"/>
        </w:tabs>
        <w:suppressAutoHyphens/>
        <w:rPr>
          <w:rFonts w:cs="Times New Roman"/>
          <w:spacing w:val="-3"/>
          <w:szCs w:val="26"/>
        </w:rPr>
      </w:pPr>
    </w:p>
    <w:p w:rsidR="00845F77" w:rsidRPr="00C927BE" w:rsidRDefault="008755E6" w:rsidP="00C927BE">
      <w:pPr>
        <w:pStyle w:val="ListParagraph"/>
        <w:widowControl/>
        <w:numPr>
          <w:ilvl w:val="0"/>
          <w:numId w:val="6"/>
        </w:numPr>
        <w:tabs>
          <w:tab w:val="left" w:pos="-1440"/>
          <w:tab w:val="left" w:pos="-720"/>
        </w:tabs>
        <w:suppressAutoHyphens/>
        <w:ind w:left="0" w:firstLine="1440"/>
        <w:rPr>
          <w:rFonts w:cs="Times New Roman"/>
          <w:spacing w:val="-3"/>
          <w:szCs w:val="26"/>
        </w:rPr>
      </w:pPr>
      <w:r w:rsidRPr="00C927BE">
        <w:rPr>
          <w:rFonts w:cs="Times New Roman"/>
          <w:spacing w:val="-3"/>
          <w:szCs w:val="26"/>
        </w:rPr>
        <w:t xml:space="preserve">That the Complaint of </w:t>
      </w:r>
      <w:r w:rsidR="0037100B" w:rsidRPr="00C927BE">
        <w:rPr>
          <w:szCs w:val="26"/>
        </w:rPr>
        <w:t xml:space="preserve">Bozena Dziadas </w:t>
      </w:r>
      <w:r w:rsidRPr="00C927BE">
        <w:rPr>
          <w:rFonts w:cs="Times New Roman"/>
          <w:spacing w:val="-3"/>
          <w:szCs w:val="26"/>
        </w:rPr>
        <w:t xml:space="preserve">against </w:t>
      </w:r>
      <w:r w:rsidR="0037100B" w:rsidRPr="00C927BE">
        <w:rPr>
          <w:rFonts w:cs="Times New Roman"/>
          <w:spacing w:val="-3"/>
          <w:szCs w:val="26"/>
        </w:rPr>
        <w:t xml:space="preserve">PPL Electric Utilities Corporation </w:t>
      </w:r>
      <w:r w:rsidRPr="00C927BE">
        <w:rPr>
          <w:rFonts w:cs="Times New Roman"/>
          <w:spacing w:val="-3"/>
          <w:szCs w:val="26"/>
        </w:rPr>
        <w:t xml:space="preserve">is </w:t>
      </w:r>
      <w:r w:rsidR="00555341" w:rsidRPr="00C927BE">
        <w:rPr>
          <w:rFonts w:cs="Times New Roman"/>
          <w:spacing w:val="-3"/>
          <w:szCs w:val="26"/>
        </w:rPr>
        <w:t>d</w:t>
      </w:r>
      <w:r w:rsidR="005D39DC" w:rsidRPr="00C927BE">
        <w:rPr>
          <w:rFonts w:cs="Times New Roman"/>
          <w:spacing w:val="-3"/>
          <w:szCs w:val="26"/>
        </w:rPr>
        <w:t>ismissed.</w:t>
      </w:r>
    </w:p>
    <w:p w:rsidR="00FE113F" w:rsidRPr="005D39DC" w:rsidRDefault="00FE113F" w:rsidP="00C927BE">
      <w:pPr>
        <w:widowControl/>
        <w:tabs>
          <w:tab w:val="left" w:pos="-1440"/>
          <w:tab w:val="left" w:pos="-720"/>
        </w:tabs>
        <w:suppressAutoHyphens/>
        <w:rPr>
          <w:rFonts w:cs="Times New Roman"/>
          <w:spacing w:val="-3"/>
          <w:szCs w:val="26"/>
        </w:rPr>
      </w:pPr>
    </w:p>
    <w:p w:rsidR="00A57B2D" w:rsidRPr="00C927BE" w:rsidRDefault="00A57B2D" w:rsidP="00C927BE">
      <w:pPr>
        <w:pStyle w:val="ListParagraph"/>
        <w:widowControl/>
        <w:numPr>
          <w:ilvl w:val="0"/>
          <w:numId w:val="6"/>
        </w:numPr>
        <w:tabs>
          <w:tab w:val="left" w:pos="-1440"/>
          <w:tab w:val="left" w:pos="-720"/>
        </w:tabs>
        <w:suppressAutoHyphens/>
        <w:ind w:left="0" w:firstLine="1440"/>
        <w:rPr>
          <w:rFonts w:cs="Times New Roman"/>
          <w:spacing w:val="-3"/>
          <w:szCs w:val="26"/>
        </w:rPr>
      </w:pPr>
      <w:r w:rsidRPr="00C927BE">
        <w:rPr>
          <w:rFonts w:cs="Times New Roman"/>
          <w:spacing w:val="-3"/>
          <w:szCs w:val="26"/>
        </w:rPr>
        <w:t xml:space="preserve">That </w:t>
      </w:r>
      <w:r w:rsidR="005D39DC" w:rsidRPr="00C927BE">
        <w:rPr>
          <w:rFonts w:cs="Times New Roman"/>
          <w:spacing w:val="-3"/>
          <w:szCs w:val="26"/>
        </w:rPr>
        <w:t>the record at this docket be marked closed.</w:t>
      </w:r>
    </w:p>
    <w:p w:rsidR="00A57B2D" w:rsidRPr="005D39DC" w:rsidRDefault="00A57B2D" w:rsidP="00A57B2D">
      <w:pPr>
        <w:widowControl/>
        <w:suppressAutoHyphens/>
        <w:rPr>
          <w:rFonts w:cs="Times New Roman"/>
          <w:spacing w:val="-3"/>
          <w:szCs w:val="26"/>
        </w:rPr>
      </w:pPr>
    </w:p>
    <w:p w:rsidR="00A57B2D" w:rsidRPr="005D39DC" w:rsidRDefault="00994347" w:rsidP="00994347">
      <w:pPr>
        <w:widowControl/>
        <w:suppressAutoHyphens/>
        <w:rPr>
          <w:rFonts w:cs="Times New Roman"/>
          <w:b/>
          <w:spacing w:val="-3"/>
          <w:szCs w:val="26"/>
        </w:rPr>
      </w:pPr>
      <w:r>
        <w:rPr>
          <w:rFonts w:cs="Times New Roman"/>
          <w:b/>
          <w:noProof/>
          <w:spacing w:val="-3"/>
          <w:szCs w:val="26"/>
          <w:lang w:bidi="ar-SA"/>
        </w:rPr>
        <w:drawing>
          <wp:anchor distT="0" distB="0" distL="114300" distR="114300" simplePos="0" relativeHeight="251658240" behindDoc="1" locked="0" layoutInCell="1" allowOverlap="1">
            <wp:simplePos x="0" y="0"/>
            <wp:positionH relativeFrom="column">
              <wp:posOffset>2276475</wp:posOffset>
            </wp:positionH>
            <wp:positionV relativeFrom="paragraph">
              <wp:posOffset>139065</wp:posOffset>
            </wp:positionV>
            <wp:extent cx="2200275" cy="838200"/>
            <wp:effectExtent l="1905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Pr>
          <w:rFonts w:cs="Times New Roman"/>
          <w:b/>
          <w:spacing w:val="-3"/>
          <w:szCs w:val="26"/>
        </w:rPr>
        <w:t xml:space="preserve">                                           </w:t>
      </w:r>
      <w:r w:rsidR="00770B9B" w:rsidRPr="005D39DC">
        <w:rPr>
          <w:rFonts w:cs="Times New Roman"/>
          <w:b/>
          <w:spacing w:val="-3"/>
          <w:szCs w:val="26"/>
        </w:rPr>
        <w:t>BY</w:t>
      </w:r>
      <w:r w:rsidR="00A57B2D" w:rsidRPr="005D39DC">
        <w:rPr>
          <w:rFonts w:cs="Times New Roman"/>
          <w:b/>
          <w:spacing w:val="-3"/>
          <w:szCs w:val="26"/>
        </w:rPr>
        <w:t xml:space="preserve"> THE COMMISSION,</w:t>
      </w:r>
    </w:p>
    <w:p w:rsidR="00A57B2D" w:rsidRPr="005D39DC" w:rsidRDefault="00A57B2D" w:rsidP="00770B9B">
      <w:pPr>
        <w:widowControl/>
        <w:suppressAutoHyphens/>
        <w:ind w:left="5040"/>
        <w:rPr>
          <w:rFonts w:cs="Times New Roman"/>
          <w:spacing w:val="-3"/>
          <w:szCs w:val="26"/>
        </w:rPr>
      </w:pPr>
    </w:p>
    <w:p w:rsidR="00A57B2D" w:rsidRPr="005D39DC" w:rsidRDefault="00A57B2D" w:rsidP="00770B9B">
      <w:pPr>
        <w:widowControl/>
        <w:suppressAutoHyphens/>
        <w:ind w:left="5040"/>
        <w:rPr>
          <w:rFonts w:cs="Times New Roman"/>
          <w:spacing w:val="-3"/>
          <w:szCs w:val="26"/>
        </w:rPr>
      </w:pPr>
    </w:p>
    <w:p w:rsidR="00770B9B" w:rsidRPr="005D39DC" w:rsidRDefault="00994347" w:rsidP="00994347">
      <w:pPr>
        <w:widowControl/>
        <w:suppressAutoHyphens/>
        <w:rPr>
          <w:rFonts w:cs="Times New Roman"/>
          <w:spacing w:val="-3"/>
          <w:szCs w:val="26"/>
        </w:rPr>
      </w:pPr>
      <w:r>
        <w:rPr>
          <w:rFonts w:cs="Times New Roman"/>
          <w:spacing w:val="-3"/>
          <w:szCs w:val="26"/>
        </w:rPr>
        <w:t xml:space="preserve">                                           </w:t>
      </w:r>
      <w:r w:rsidR="00770B9B" w:rsidRPr="005D39DC">
        <w:rPr>
          <w:rFonts w:cs="Times New Roman"/>
          <w:spacing w:val="-3"/>
          <w:szCs w:val="26"/>
        </w:rPr>
        <w:t xml:space="preserve">Rosemary </w:t>
      </w:r>
      <w:r w:rsidR="003439E1" w:rsidRPr="005D39DC">
        <w:rPr>
          <w:rFonts w:cs="Times New Roman"/>
          <w:sz w:val="24"/>
          <w:szCs w:val="24"/>
        </w:rPr>
        <w:t>Chiavetta</w:t>
      </w:r>
    </w:p>
    <w:p w:rsidR="00A57B2D" w:rsidRPr="005D39DC" w:rsidRDefault="00994347" w:rsidP="00994347">
      <w:pPr>
        <w:widowControl/>
        <w:suppressAutoHyphens/>
        <w:rPr>
          <w:rFonts w:cs="Times New Roman"/>
          <w:spacing w:val="-3"/>
          <w:szCs w:val="26"/>
        </w:rPr>
      </w:pPr>
      <w:r>
        <w:rPr>
          <w:rFonts w:cs="Times New Roman"/>
          <w:spacing w:val="-3"/>
          <w:szCs w:val="26"/>
        </w:rPr>
        <w:t xml:space="preserve">                                            </w:t>
      </w:r>
      <w:r w:rsidR="00A57B2D" w:rsidRPr="005D39DC">
        <w:rPr>
          <w:rFonts w:cs="Times New Roman"/>
          <w:spacing w:val="-3"/>
          <w:szCs w:val="26"/>
        </w:rPr>
        <w:t>Secretary</w:t>
      </w:r>
    </w:p>
    <w:p w:rsidR="00A57B2D" w:rsidRPr="005D39DC" w:rsidRDefault="00A57B2D" w:rsidP="00A57B2D">
      <w:pPr>
        <w:widowControl/>
        <w:suppressAutoHyphens/>
        <w:rPr>
          <w:rFonts w:cs="Times New Roman"/>
          <w:spacing w:val="-3"/>
          <w:szCs w:val="26"/>
        </w:rPr>
      </w:pPr>
    </w:p>
    <w:p w:rsidR="00A57B2D" w:rsidRPr="005D39DC" w:rsidRDefault="00A57B2D" w:rsidP="006701A4">
      <w:pPr>
        <w:widowControl/>
        <w:suppressAutoHyphens/>
        <w:ind w:firstLine="0"/>
        <w:rPr>
          <w:rFonts w:cs="Times New Roman"/>
          <w:spacing w:val="-3"/>
          <w:szCs w:val="26"/>
        </w:rPr>
      </w:pPr>
      <w:r w:rsidRPr="005D39DC">
        <w:rPr>
          <w:rFonts w:cs="Times New Roman"/>
          <w:spacing w:val="-3"/>
          <w:szCs w:val="26"/>
        </w:rPr>
        <w:t>SEAL</w:t>
      </w:r>
    </w:p>
    <w:p w:rsidR="00A57B2D" w:rsidRPr="005D39DC" w:rsidRDefault="00A57B2D" w:rsidP="006701A4">
      <w:pPr>
        <w:widowControl/>
        <w:suppressAutoHyphens/>
        <w:ind w:firstLine="0"/>
        <w:rPr>
          <w:rFonts w:cs="Times New Roman"/>
          <w:spacing w:val="-3"/>
          <w:szCs w:val="26"/>
        </w:rPr>
      </w:pPr>
      <w:r w:rsidRPr="005D39DC">
        <w:rPr>
          <w:rFonts w:cs="Times New Roman"/>
          <w:spacing w:val="-3"/>
          <w:szCs w:val="26"/>
        </w:rPr>
        <w:t xml:space="preserve">ORDER ADOPTED: </w:t>
      </w:r>
      <w:r w:rsidR="00AB19A8">
        <w:rPr>
          <w:rFonts w:cs="Times New Roman"/>
          <w:spacing w:val="-3"/>
          <w:szCs w:val="26"/>
        </w:rPr>
        <w:t>July 29</w:t>
      </w:r>
      <w:r w:rsidR="0046640B" w:rsidRPr="005D39DC">
        <w:rPr>
          <w:rFonts w:cs="Times New Roman"/>
          <w:spacing w:val="-3"/>
          <w:szCs w:val="26"/>
        </w:rPr>
        <w:t>, 20</w:t>
      </w:r>
      <w:r w:rsidR="003439E1" w:rsidRPr="005D39DC">
        <w:rPr>
          <w:rFonts w:cs="Times New Roman"/>
          <w:spacing w:val="-3"/>
          <w:szCs w:val="26"/>
        </w:rPr>
        <w:t>10</w:t>
      </w:r>
    </w:p>
    <w:p w:rsidR="00A57B2D" w:rsidRPr="005D39DC" w:rsidRDefault="00A57B2D" w:rsidP="006701A4">
      <w:pPr>
        <w:widowControl/>
        <w:suppressAutoHyphens/>
        <w:ind w:firstLine="0"/>
        <w:rPr>
          <w:b/>
          <w:szCs w:val="26"/>
          <w:u w:val="single"/>
        </w:rPr>
      </w:pPr>
      <w:r w:rsidRPr="005D39DC">
        <w:rPr>
          <w:rFonts w:cs="Times New Roman"/>
          <w:spacing w:val="-3"/>
          <w:szCs w:val="26"/>
        </w:rPr>
        <w:t xml:space="preserve">ORDER ENTERED:  </w:t>
      </w:r>
      <w:r w:rsidR="00994347">
        <w:rPr>
          <w:rFonts w:cs="Times New Roman"/>
          <w:spacing w:val="-3"/>
          <w:szCs w:val="26"/>
        </w:rPr>
        <w:t>August 3, 2010</w:t>
      </w:r>
    </w:p>
    <w:sectPr w:rsidR="00A57B2D" w:rsidRPr="005D39DC" w:rsidSect="00CC506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23" w:rsidRDefault="00472823" w:rsidP="00F05504">
      <w:r>
        <w:separator/>
      </w:r>
    </w:p>
  </w:endnote>
  <w:endnote w:type="continuationSeparator" w:id="0">
    <w:p w:rsidR="00472823" w:rsidRDefault="00472823" w:rsidP="00F05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2438"/>
      <w:docPartObj>
        <w:docPartGallery w:val="Page Numbers (Bottom of Page)"/>
        <w:docPartUnique/>
      </w:docPartObj>
    </w:sdtPr>
    <w:sdtContent>
      <w:p w:rsidR="002810DE" w:rsidRDefault="00361C8E" w:rsidP="00077F84">
        <w:pPr>
          <w:pStyle w:val="Footer"/>
          <w:ind w:firstLine="0"/>
          <w:jc w:val="center"/>
        </w:pPr>
        <w:r w:rsidRPr="00CC506E">
          <w:rPr>
            <w:szCs w:val="26"/>
          </w:rPr>
          <w:fldChar w:fldCharType="begin"/>
        </w:r>
        <w:r w:rsidR="002810DE" w:rsidRPr="00CC506E">
          <w:rPr>
            <w:szCs w:val="26"/>
          </w:rPr>
          <w:instrText xml:space="preserve"> PAGE   \* MERGEFORMAT </w:instrText>
        </w:r>
        <w:r w:rsidRPr="00CC506E">
          <w:rPr>
            <w:szCs w:val="26"/>
          </w:rPr>
          <w:fldChar w:fldCharType="separate"/>
        </w:r>
        <w:r w:rsidR="00994347">
          <w:rPr>
            <w:noProof/>
            <w:szCs w:val="26"/>
          </w:rPr>
          <w:t>11</w:t>
        </w:r>
        <w:r w:rsidRPr="00CC506E">
          <w:rPr>
            <w:szCs w:val="26"/>
          </w:rPr>
          <w:fldChar w:fldCharType="end"/>
        </w:r>
      </w:p>
    </w:sdtContent>
  </w:sdt>
  <w:p w:rsidR="002810DE" w:rsidRDefault="00281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23" w:rsidRDefault="00472823" w:rsidP="00F05504">
      <w:r>
        <w:separator/>
      </w:r>
    </w:p>
  </w:footnote>
  <w:footnote w:type="continuationSeparator" w:id="0">
    <w:p w:rsidR="00472823" w:rsidRDefault="00472823" w:rsidP="00F05504">
      <w:r>
        <w:continuationSeparator/>
      </w:r>
    </w:p>
  </w:footnote>
  <w:footnote w:id="1">
    <w:p w:rsidR="00E13D3A" w:rsidRDefault="00E13D3A" w:rsidP="00E13D3A">
      <w:pPr>
        <w:pStyle w:val="FootnoteText"/>
        <w:spacing w:line="240" w:lineRule="auto"/>
        <w:ind w:firstLine="720"/>
      </w:pPr>
      <w:r>
        <w:rPr>
          <w:rStyle w:val="FootnoteReference"/>
        </w:rPr>
        <w:footnoteRef/>
      </w:r>
      <w:r>
        <w:t xml:space="preserve"> </w:t>
      </w:r>
      <w:r>
        <w:tab/>
        <w:t>The ALJ noted that the Complainant’s potential monthly consumption could be as high as 9,000 KWH per month if the space heaters and heat pump set on emergency mode were used concurrently.  I.D. at 10.  However, PPL witness George stated that it was not likely that a customer would use both a heat pump and three separa</w:t>
      </w:r>
      <w:r w:rsidR="00F92901">
        <w:t>te space heaters.  Tr. at 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E38E8"/>
    <w:multiLevelType w:val="hybridMultilevel"/>
    <w:tmpl w:val="BF1E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20C53"/>
    <w:multiLevelType w:val="hybridMultilevel"/>
    <w:tmpl w:val="F3A6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A7417F"/>
    <w:multiLevelType w:val="hybridMultilevel"/>
    <w:tmpl w:val="D2188082"/>
    <w:lvl w:ilvl="0" w:tplc="F3825CEA">
      <w:start w:val="3"/>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9460954"/>
    <w:multiLevelType w:val="hybridMultilevel"/>
    <w:tmpl w:val="40EC20E6"/>
    <w:lvl w:ilvl="0" w:tplc="1AF47AA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BA9212A"/>
    <w:multiLevelType w:val="hybridMultilevel"/>
    <w:tmpl w:val="1F68346C"/>
    <w:lvl w:ilvl="0" w:tplc="0409000F">
      <w:start w:val="1"/>
      <w:numFmt w:val="decimal"/>
      <w:lvlText w:val="%1."/>
      <w:lvlJc w:val="lef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FD5296F"/>
    <w:multiLevelType w:val="hybridMultilevel"/>
    <w:tmpl w:val="63040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81922"/>
  </w:hdrShapeDefaults>
  <w:footnotePr>
    <w:footnote w:id="-1"/>
    <w:footnote w:id="0"/>
  </w:footnotePr>
  <w:endnotePr>
    <w:endnote w:id="-1"/>
    <w:endnote w:id="0"/>
  </w:endnotePr>
  <w:compat/>
  <w:rsids>
    <w:rsidRoot w:val="0065570E"/>
    <w:rsid w:val="00004913"/>
    <w:rsid w:val="00004CB8"/>
    <w:rsid w:val="00005B75"/>
    <w:rsid w:val="00007413"/>
    <w:rsid w:val="000122AA"/>
    <w:rsid w:val="00012919"/>
    <w:rsid w:val="00015C6E"/>
    <w:rsid w:val="00017065"/>
    <w:rsid w:val="000171D5"/>
    <w:rsid w:val="000208CB"/>
    <w:rsid w:val="00020AAC"/>
    <w:rsid w:val="00023AA7"/>
    <w:rsid w:val="0002455F"/>
    <w:rsid w:val="0002581F"/>
    <w:rsid w:val="0002742E"/>
    <w:rsid w:val="000319BC"/>
    <w:rsid w:val="00032951"/>
    <w:rsid w:val="0003681F"/>
    <w:rsid w:val="00037D23"/>
    <w:rsid w:val="00041A97"/>
    <w:rsid w:val="00042033"/>
    <w:rsid w:val="00042B94"/>
    <w:rsid w:val="0004368E"/>
    <w:rsid w:val="0005165D"/>
    <w:rsid w:val="00051AE7"/>
    <w:rsid w:val="00051D09"/>
    <w:rsid w:val="00052478"/>
    <w:rsid w:val="0005273A"/>
    <w:rsid w:val="00053B4E"/>
    <w:rsid w:val="00054307"/>
    <w:rsid w:val="000546D8"/>
    <w:rsid w:val="00054B1C"/>
    <w:rsid w:val="00063BB2"/>
    <w:rsid w:val="00063DA1"/>
    <w:rsid w:val="0006443B"/>
    <w:rsid w:val="00066079"/>
    <w:rsid w:val="00066145"/>
    <w:rsid w:val="00066548"/>
    <w:rsid w:val="000675C1"/>
    <w:rsid w:val="00071085"/>
    <w:rsid w:val="00074344"/>
    <w:rsid w:val="00076D45"/>
    <w:rsid w:val="00077039"/>
    <w:rsid w:val="00077434"/>
    <w:rsid w:val="00077F84"/>
    <w:rsid w:val="0008258A"/>
    <w:rsid w:val="000825F6"/>
    <w:rsid w:val="00082C0F"/>
    <w:rsid w:val="00092EC4"/>
    <w:rsid w:val="0009384E"/>
    <w:rsid w:val="00093EE8"/>
    <w:rsid w:val="00096BBE"/>
    <w:rsid w:val="00096BF3"/>
    <w:rsid w:val="0009717B"/>
    <w:rsid w:val="00097334"/>
    <w:rsid w:val="000A0C2D"/>
    <w:rsid w:val="000A0D1D"/>
    <w:rsid w:val="000A0E99"/>
    <w:rsid w:val="000A33CB"/>
    <w:rsid w:val="000A4304"/>
    <w:rsid w:val="000A5423"/>
    <w:rsid w:val="000B1D84"/>
    <w:rsid w:val="000B2470"/>
    <w:rsid w:val="000B262A"/>
    <w:rsid w:val="000B31AC"/>
    <w:rsid w:val="000C04D1"/>
    <w:rsid w:val="000C13C7"/>
    <w:rsid w:val="000C52DC"/>
    <w:rsid w:val="000C6D8D"/>
    <w:rsid w:val="000D20BF"/>
    <w:rsid w:val="000D2499"/>
    <w:rsid w:val="000D57D6"/>
    <w:rsid w:val="000D706D"/>
    <w:rsid w:val="000D75B3"/>
    <w:rsid w:val="000E446F"/>
    <w:rsid w:val="000E50E9"/>
    <w:rsid w:val="000E7406"/>
    <w:rsid w:val="000F077F"/>
    <w:rsid w:val="000F0A46"/>
    <w:rsid w:val="000F1C9C"/>
    <w:rsid w:val="000F2843"/>
    <w:rsid w:val="000F5F96"/>
    <w:rsid w:val="0010012B"/>
    <w:rsid w:val="001006FE"/>
    <w:rsid w:val="001035DC"/>
    <w:rsid w:val="00105C56"/>
    <w:rsid w:val="00110969"/>
    <w:rsid w:val="00110BB4"/>
    <w:rsid w:val="0011297E"/>
    <w:rsid w:val="00113E0D"/>
    <w:rsid w:val="001149AD"/>
    <w:rsid w:val="00115DB5"/>
    <w:rsid w:val="0012183C"/>
    <w:rsid w:val="0012187C"/>
    <w:rsid w:val="00122BFE"/>
    <w:rsid w:val="00122E39"/>
    <w:rsid w:val="00124F68"/>
    <w:rsid w:val="00127160"/>
    <w:rsid w:val="001272BF"/>
    <w:rsid w:val="00130238"/>
    <w:rsid w:val="00130E42"/>
    <w:rsid w:val="0013184D"/>
    <w:rsid w:val="001332E8"/>
    <w:rsid w:val="00134A13"/>
    <w:rsid w:val="00142B8C"/>
    <w:rsid w:val="0014483E"/>
    <w:rsid w:val="00145088"/>
    <w:rsid w:val="001507C8"/>
    <w:rsid w:val="001508A6"/>
    <w:rsid w:val="001529AC"/>
    <w:rsid w:val="00152BD0"/>
    <w:rsid w:val="001537AF"/>
    <w:rsid w:val="00157CBC"/>
    <w:rsid w:val="00160478"/>
    <w:rsid w:val="00160740"/>
    <w:rsid w:val="00160B73"/>
    <w:rsid w:val="00160C79"/>
    <w:rsid w:val="00161455"/>
    <w:rsid w:val="0016761D"/>
    <w:rsid w:val="001700EA"/>
    <w:rsid w:val="0017022D"/>
    <w:rsid w:val="00172364"/>
    <w:rsid w:val="00177F08"/>
    <w:rsid w:val="00177F8C"/>
    <w:rsid w:val="00180323"/>
    <w:rsid w:val="00180720"/>
    <w:rsid w:val="00180802"/>
    <w:rsid w:val="00181938"/>
    <w:rsid w:val="00181B4A"/>
    <w:rsid w:val="00182994"/>
    <w:rsid w:val="00185FD6"/>
    <w:rsid w:val="00187C02"/>
    <w:rsid w:val="00190317"/>
    <w:rsid w:val="00191BCA"/>
    <w:rsid w:val="00194D12"/>
    <w:rsid w:val="001A0D74"/>
    <w:rsid w:val="001A13FD"/>
    <w:rsid w:val="001A2DD8"/>
    <w:rsid w:val="001A3599"/>
    <w:rsid w:val="001A4B65"/>
    <w:rsid w:val="001B190A"/>
    <w:rsid w:val="001B22F2"/>
    <w:rsid w:val="001B261F"/>
    <w:rsid w:val="001B3743"/>
    <w:rsid w:val="001B420B"/>
    <w:rsid w:val="001B4BCE"/>
    <w:rsid w:val="001B4C89"/>
    <w:rsid w:val="001B5B54"/>
    <w:rsid w:val="001B70FF"/>
    <w:rsid w:val="001C5A5B"/>
    <w:rsid w:val="001C7308"/>
    <w:rsid w:val="001D0484"/>
    <w:rsid w:val="001D0927"/>
    <w:rsid w:val="001D213B"/>
    <w:rsid w:val="001D446B"/>
    <w:rsid w:val="001D4A79"/>
    <w:rsid w:val="001D7042"/>
    <w:rsid w:val="001E22AF"/>
    <w:rsid w:val="001E5C8C"/>
    <w:rsid w:val="001E7446"/>
    <w:rsid w:val="001E76AA"/>
    <w:rsid w:val="001F05CE"/>
    <w:rsid w:val="001F1E6C"/>
    <w:rsid w:val="001F5CD5"/>
    <w:rsid w:val="001F6130"/>
    <w:rsid w:val="001F63BA"/>
    <w:rsid w:val="00201772"/>
    <w:rsid w:val="00213FBE"/>
    <w:rsid w:val="0021622F"/>
    <w:rsid w:val="00216B69"/>
    <w:rsid w:val="00220F6F"/>
    <w:rsid w:val="002222DD"/>
    <w:rsid w:val="00222F56"/>
    <w:rsid w:val="00227BDE"/>
    <w:rsid w:val="002312E3"/>
    <w:rsid w:val="002352A2"/>
    <w:rsid w:val="0023639A"/>
    <w:rsid w:val="002370EE"/>
    <w:rsid w:val="00237BAE"/>
    <w:rsid w:val="0024024E"/>
    <w:rsid w:val="002454F5"/>
    <w:rsid w:val="00245D29"/>
    <w:rsid w:val="00245E07"/>
    <w:rsid w:val="00251FE8"/>
    <w:rsid w:val="00252BD4"/>
    <w:rsid w:val="00254F41"/>
    <w:rsid w:val="00255566"/>
    <w:rsid w:val="002567D4"/>
    <w:rsid w:val="0025709C"/>
    <w:rsid w:val="00260F03"/>
    <w:rsid w:val="00262F59"/>
    <w:rsid w:val="0026308D"/>
    <w:rsid w:val="00263462"/>
    <w:rsid w:val="00264A7E"/>
    <w:rsid w:val="00270590"/>
    <w:rsid w:val="00270CE0"/>
    <w:rsid w:val="00272C47"/>
    <w:rsid w:val="002760E9"/>
    <w:rsid w:val="0027781B"/>
    <w:rsid w:val="002810DE"/>
    <w:rsid w:val="00283C80"/>
    <w:rsid w:val="00285501"/>
    <w:rsid w:val="00287EF1"/>
    <w:rsid w:val="002941F4"/>
    <w:rsid w:val="00296A62"/>
    <w:rsid w:val="002A0723"/>
    <w:rsid w:val="002A2A28"/>
    <w:rsid w:val="002A30AC"/>
    <w:rsid w:val="002A3C31"/>
    <w:rsid w:val="002A77A7"/>
    <w:rsid w:val="002B1330"/>
    <w:rsid w:val="002B181E"/>
    <w:rsid w:val="002C2652"/>
    <w:rsid w:val="002C3821"/>
    <w:rsid w:val="002C3D03"/>
    <w:rsid w:val="002C401F"/>
    <w:rsid w:val="002C7CB4"/>
    <w:rsid w:val="002D6BA4"/>
    <w:rsid w:val="002E00AC"/>
    <w:rsid w:val="002E1155"/>
    <w:rsid w:val="002E1B7A"/>
    <w:rsid w:val="002E5348"/>
    <w:rsid w:val="002E627B"/>
    <w:rsid w:val="002F2E00"/>
    <w:rsid w:val="002F30B8"/>
    <w:rsid w:val="002F49F2"/>
    <w:rsid w:val="002F72C2"/>
    <w:rsid w:val="003005A9"/>
    <w:rsid w:val="00300858"/>
    <w:rsid w:val="0030391C"/>
    <w:rsid w:val="00304714"/>
    <w:rsid w:val="00310C48"/>
    <w:rsid w:val="00314B6F"/>
    <w:rsid w:val="00314D00"/>
    <w:rsid w:val="003172D1"/>
    <w:rsid w:val="00321D52"/>
    <w:rsid w:val="00325696"/>
    <w:rsid w:val="0033768C"/>
    <w:rsid w:val="00337C47"/>
    <w:rsid w:val="003401FC"/>
    <w:rsid w:val="00342C93"/>
    <w:rsid w:val="0034343F"/>
    <w:rsid w:val="003439E1"/>
    <w:rsid w:val="00344539"/>
    <w:rsid w:val="00351C73"/>
    <w:rsid w:val="00355526"/>
    <w:rsid w:val="0035566C"/>
    <w:rsid w:val="00361C8E"/>
    <w:rsid w:val="00365DC5"/>
    <w:rsid w:val="00366639"/>
    <w:rsid w:val="00367E73"/>
    <w:rsid w:val="0037100B"/>
    <w:rsid w:val="0037163D"/>
    <w:rsid w:val="00373437"/>
    <w:rsid w:val="0037776C"/>
    <w:rsid w:val="00377E02"/>
    <w:rsid w:val="00380671"/>
    <w:rsid w:val="00380B5D"/>
    <w:rsid w:val="00382F38"/>
    <w:rsid w:val="00390170"/>
    <w:rsid w:val="0039071F"/>
    <w:rsid w:val="00392F70"/>
    <w:rsid w:val="0039527B"/>
    <w:rsid w:val="00396140"/>
    <w:rsid w:val="00396B65"/>
    <w:rsid w:val="003A358F"/>
    <w:rsid w:val="003A5069"/>
    <w:rsid w:val="003A5793"/>
    <w:rsid w:val="003A641B"/>
    <w:rsid w:val="003A7E56"/>
    <w:rsid w:val="003B065C"/>
    <w:rsid w:val="003B08FC"/>
    <w:rsid w:val="003B7172"/>
    <w:rsid w:val="003C2D97"/>
    <w:rsid w:val="003C36F5"/>
    <w:rsid w:val="003C4BC6"/>
    <w:rsid w:val="003C691B"/>
    <w:rsid w:val="003C7C53"/>
    <w:rsid w:val="003E11BA"/>
    <w:rsid w:val="003E2241"/>
    <w:rsid w:val="003E3134"/>
    <w:rsid w:val="003E514C"/>
    <w:rsid w:val="003E5C5A"/>
    <w:rsid w:val="003F1CC7"/>
    <w:rsid w:val="003F35EE"/>
    <w:rsid w:val="003F6CC3"/>
    <w:rsid w:val="003F6D27"/>
    <w:rsid w:val="003F719E"/>
    <w:rsid w:val="003F7C76"/>
    <w:rsid w:val="00401493"/>
    <w:rsid w:val="00402BC9"/>
    <w:rsid w:val="00404CA8"/>
    <w:rsid w:val="00406397"/>
    <w:rsid w:val="00407D76"/>
    <w:rsid w:val="004107CD"/>
    <w:rsid w:val="00411146"/>
    <w:rsid w:val="004137CD"/>
    <w:rsid w:val="004141B8"/>
    <w:rsid w:val="00416B04"/>
    <w:rsid w:val="00420344"/>
    <w:rsid w:val="00420CA6"/>
    <w:rsid w:val="00421552"/>
    <w:rsid w:val="00423270"/>
    <w:rsid w:val="00426308"/>
    <w:rsid w:val="00426B39"/>
    <w:rsid w:val="004278DF"/>
    <w:rsid w:val="00431DC5"/>
    <w:rsid w:val="004327BC"/>
    <w:rsid w:val="0043388F"/>
    <w:rsid w:val="00434A8B"/>
    <w:rsid w:val="00434ABE"/>
    <w:rsid w:val="00434EA3"/>
    <w:rsid w:val="00440D39"/>
    <w:rsid w:val="00440D6C"/>
    <w:rsid w:val="00440FC5"/>
    <w:rsid w:val="00442D92"/>
    <w:rsid w:val="004436CB"/>
    <w:rsid w:val="0044404A"/>
    <w:rsid w:val="00447D7C"/>
    <w:rsid w:val="004510BE"/>
    <w:rsid w:val="00452673"/>
    <w:rsid w:val="0045384B"/>
    <w:rsid w:val="00454598"/>
    <w:rsid w:val="00454610"/>
    <w:rsid w:val="00455746"/>
    <w:rsid w:val="00457CAE"/>
    <w:rsid w:val="00462699"/>
    <w:rsid w:val="00463555"/>
    <w:rsid w:val="004647CF"/>
    <w:rsid w:val="0046640B"/>
    <w:rsid w:val="0047048E"/>
    <w:rsid w:val="0047064B"/>
    <w:rsid w:val="00470DE8"/>
    <w:rsid w:val="00471A02"/>
    <w:rsid w:val="004722DA"/>
    <w:rsid w:val="00472823"/>
    <w:rsid w:val="00473471"/>
    <w:rsid w:val="00474C00"/>
    <w:rsid w:val="00481142"/>
    <w:rsid w:val="004813E6"/>
    <w:rsid w:val="0048271C"/>
    <w:rsid w:val="00482BFD"/>
    <w:rsid w:val="00485F35"/>
    <w:rsid w:val="00496639"/>
    <w:rsid w:val="00497278"/>
    <w:rsid w:val="004976F6"/>
    <w:rsid w:val="004A0620"/>
    <w:rsid w:val="004A0DA8"/>
    <w:rsid w:val="004A1D2F"/>
    <w:rsid w:val="004A33A7"/>
    <w:rsid w:val="004A645A"/>
    <w:rsid w:val="004B0F42"/>
    <w:rsid w:val="004B1FA7"/>
    <w:rsid w:val="004B20AD"/>
    <w:rsid w:val="004C32FF"/>
    <w:rsid w:val="004C54D0"/>
    <w:rsid w:val="004C60E9"/>
    <w:rsid w:val="004D16C2"/>
    <w:rsid w:val="004D1B64"/>
    <w:rsid w:val="004D290F"/>
    <w:rsid w:val="004D3766"/>
    <w:rsid w:val="004D5459"/>
    <w:rsid w:val="004E0480"/>
    <w:rsid w:val="004E1BE7"/>
    <w:rsid w:val="004E34AA"/>
    <w:rsid w:val="004E4320"/>
    <w:rsid w:val="004E5A51"/>
    <w:rsid w:val="004E6E1C"/>
    <w:rsid w:val="004F0A00"/>
    <w:rsid w:val="004F6465"/>
    <w:rsid w:val="004F6A46"/>
    <w:rsid w:val="004F791A"/>
    <w:rsid w:val="004F7B4A"/>
    <w:rsid w:val="0050063C"/>
    <w:rsid w:val="00500F78"/>
    <w:rsid w:val="0050287A"/>
    <w:rsid w:val="00503BCE"/>
    <w:rsid w:val="00507D2A"/>
    <w:rsid w:val="00507EB8"/>
    <w:rsid w:val="005112E0"/>
    <w:rsid w:val="00513AD3"/>
    <w:rsid w:val="005158D5"/>
    <w:rsid w:val="005172D7"/>
    <w:rsid w:val="00520F60"/>
    <w:rsid w:val="00522AC1"/>
    <w:rsid w:val="00523274"/>
    <w:rsid w:val="005269F4"/>
    <w:rsid w:val="00526AB2"/>
    <w:rsid w:val="00530D31"/>
    <w:rsid w:val="00531176"/>
    <w:rsid w:val="00531379"/>
    <w:rsid w:val="00532611"/>
    <w:rsid w:val="0053466A"/>
    <w:rsid w:val="005346EF"/>
    <w:rsid w:val="00534797"/>
    <w:rsid w:val="00537116"/>
    <w:rsid w:val="00537ABE"/>
    <w:rsid w:val="00537FFA"/>
    <w:rsid w:val="005437D2"/>
    <w:rsid w:val="00544661"/>
    <w:rsid w:val="005465A6"/>
    <w:rsid w:val="00547B17"/>
    <w:rsid w:val="005504A9"/>
    <w:rsid w:val="005509B2"/>
    <w:rsid w:val="005541FA"/>
    <w:rsid w:val="005543BE"/>
    <w:rsid w:val="00555341"/>
    <w:rsid w:val="005575B2"/>
    <w:rsid w:val="00560BA2"/>
    <w:rsid w:val="005613C4"/>
    <w:rsid w:val="00567970"/>
    <w:rsid w:val="00576999"/>
    <w:rsid w:val="005771C0"/>
    <w:rsid w:val="005773EA"/>
    <w:rsid w:val="005805B6"/>
    <w:rsid w:val="00581CCD"/>
    <w:rsid w:val="00583B3E"/>
    <w:rsid w:val="00590615"/>
    <w:rsid w:val="00591C2A"/>
    <w:rsid w:val="005926AE"/>
    <w:rsid w:val="00592A27"/>
    <w:rsid w:val="00594703"/>
    <w:rsid w:val="00595D61"/>
    <w:rsid w:val="005A1F3E"/>
    <w:rsid w:val="005A2C40"/>
    <w:rsid w:val="005A3F10"/>
    <w:rsid w:val="005A637B"/>
    <w:rsid w:val="005B18F1"/>
    <w:rsid w:val="005B1C02"/>
    <w:rsid w:val="005B2C7C"/>
    <w:rsid w:val="005B34E7"/>
    <w:rsid w:val="005B3E26"/>
    <w:rsid w:val="005B3F1A"/>
    <w:rsid w:val="005C1345"/>
    <w:rsid w:val="005C1DCD"/>
    <w:rsid w:val="005C2C3A"/>
    <w:rsid w:val="005D0AA9"/>
    <w:rsid w:val="005D129D"/>
    <w:rsid w:val="005D1BC4"/>
    <w:rsid w:val="005D3057"/>
    <w:rsid w:val="005D3725"/>
    <w:rsid w:val="005D39DC"/>
    <w:rsid w:val="005D7F1D"/>
    <w:rsid w:val="005E0A3F"/>
    <w:rsid w:val="005E0F4B"/>
    <w:rsid w:val="005E44CA"/>
    <w:rsid w:val="005E4F5D"/>
    <w:rsid w:val="005F0BC3"/>
    <w:rsid w:val="005F2995"/>
    <w:rsid w:val="005F3C23"/>
    <w:rsid w:val="005F4899"/>
    <w:rsid w:val="005F63D8"/>
    <w:rsid w:val="006007E7"/>
    <w:rsid w:val="00606268"/>
    <w:rsid w:val="0061071B"/>
    <w:rsid w:val="00611CAD"/>
    <w:rsid w:val="00613AD3"/>
    <w:rsid w:val="006146A1"/>
    <w:rsid w:val="00617208"/>
    <w:rsid w:val="0062187D"/>
    <w:rsid w:val="00621A9E"/>
    <w:rsid w:val="006224E3"/>
    <w:rsid w:val="0062354F"/>
    <w:rsid w:val="00624D18"/>
    <w:rsid w:val="0062573F"/>
    <w:rsid w:val="0062642D"/>
    <w:rsid w:val="006300EA"/>
    <w:rsid w:val="00630304"/>
    <w:rsid w:val="00633ABA"/>
    <w:rsid w:val="00634760"/>
    <w:rsid w:val="0063489B"/>
    <w:rsid w:val="00635345"/>
    <w:rsid w:val="006371ED"/>
    <w:rsid w:val="00646719"/>
    <w:rsid w:val="00646F6B"/>
    <w:rsid w:val="00647B06"/>
    <w:rsid w:val="00650754"/>
    <w:rsid w:val="00652AAA"/>
    <w:rsid w:val="00652E49"/>
    <w:rsid w:val="00654526"/>
    <w:rsid w:val="00654BCE"/>
    <w:rsid w:val="00654D3F"/>
    <w:rsid w:val="0065570E"/>
    <w:rsid w:val="006612D2"/>
    <w:rsid w:val="00662E49"/>
    <w:rsid w:val="006658B3"/>
    <w:rsid w:val="006677B7"/>
    <w:rsid w:val="006701A4"/>
    <w:rsid w:val="00670D82"/>
    <w:rsid w:val="006721BE"/>
    <w:rsid w:val="00675319"/>
    <w:rsid w:val="00677510"/>
    <w:rsid w:val="00684087"/>
    <w:rsid w:val="00686707"/>
    <w:rsid w:val="0069190A"/>
    <w:rsid w:val="0069269E"/>
    <w:rsid w:val="006934C7"/>
    <w:rsid w:val="006A1894"/>
    <w:rsid w:val="006A3048"/>
    <w:rsid w:val="006A46A9"/>
    <w:rsid w:val="006A5B5D"/>
    <w:rsid w:val="006A65CD"/>
    <w:rsid w:val="006A68A5"/>
    <w:rsid w:val="006A6DB3"/>
    <w:rsid w:val="006A7706"/>
    <w:rsid w:val="006A7CCF"/>
    <w:rsid w:val="006B1E7C"/>
    <w:rsid w:val="006B245E"/>
    <w:rsid w:val="006B2823"/>
    <w:rsid w:val="006B3721"/>
    <w:rsid w:val="006B6E64"/>
    <w:rsid w:val="006B71F7"/>
    <w:rsid w:val="006C0438"/>
    <w:rsid w:val="006C3708"/>
    <w:rsid w:val="006C75AE"/>
    <w:rsid w:val="006D1711"/>
    <w:rsid w:val="006D1DD1"/>
    <w:rsid w:val="006D21E4"/>
    <w:rsid w:val="006D2A49"/>
    <w:rsid w:val="006D337B"/>
    <w:rsid w:val="006D74F2"/>
    <w:rsid w:val="006D7982"/>
    <w:rsid w:val="006E38E1"/>
    <w:rsid w:val="006E3AB0"/>
    <w:rsid w:val="006E65C0"/>
    <w:rsid w:val="006E7F38"/>
    <w:rsid w:val="006F0E75"/>
    <w:rsid w:val="006F2B4E"/>
    <w:rsid w:val="006F3AD9"/>
    <w:rsid w:val="006F4458"/>
    <w:rsid w:val="006F6AF1"/>
    <w:rsid w:val="006F6CA4"/>
    <w:rsid w:val="006F772A"/>
    <w:rsid w:val="00701333"/>
    <w:rsid w:val="0070402F"/>
    <w:rsid w:val="007043B2"/>
    <w:rsid w:val="007078EC"/>
    <w:rsid w:val="00710667"/>
    <w:rsid w:val="007112A0"/>
    <w:rsid w:val="00712B96"/>
    <w:rsid w:val="007158B7"/>
    <w:rsid w:val="00715FA0"/>
    <w:rsid w:val="00723081"/>
    <w:rsid w:val="00723E6D"/>
    <w:rsid w:val="0072435E"/>
    <w:rsid w:val="00731768"/>
    <w:rsid w:val="00733AB1"/>
    <w:rsid w:val="007348D0"/>
    <w:rsid w:val="00736FBD"/>
    <w:rsid w:val="0075397E"/>
    <w:rsid w:val="00754853"/>
    <w:rsid w:val="00756221"/>
    <w:rsid w:val="007641AD"/>
    <w:rsid w:val="00766F7D"/>
    <w:rsid w:val="007674F2"/>
    <w:rsid w:val="00770027"/>
    <w:rsid w:val="00770B9B"/>
    <w:rsid w:val="00770BA4"/>
    <w:rsid w:val="007715F5"/>
    <w:rsid w:val="007767EB"/>
    <w:rsid w:val="00776D2B"/>
    <w:rsid w:val="00777655"/>
    <w:rsid w:val="0077791C"/>
    <w:rsid w:val="00777E6B"/>
    <w:rsid w:val="00780716"/>
    <w:rsid w:val="007818D5"/>
    <w:rsid w:val="00782C83"/>
    <w:rsid w:val="00784143"/>
    <w:rsid w:val="00784E03"/>
    <w:rsid w:val="0078543B"/>
    <w:rsid w:val="007856AC"/>
    <w:rsid w:val="007859AD"/>
    <w:rsid w:val="00787B9F"/>
    <w:rsid w:val="00790CB8"/>
    <w:rsid w:val="007934D1"/>
    <w:rsid w:val="007939F1"/>
    <w:rsid w:val="00795CE5"/>
    <w:rsid w:val="007963E4"/>
    <w:rsid w:val="007A13A6"/>
    <w:rsid w:val="007A2A63"/>
    <w:rsid w:val="007A313A"/>
    <w:rsid w:val="007A5404"/>
    <w:rsid w:val="007A696B"/>
    <w:rsid w:val="007A7F1B"/>
    <w:rsid w:val="007B147B"/>
    <w:rsid w:val="007B4239"/>
    <w:rsid w:val="007B6CD5"/>
    <w:rsid w:val="007B7883"/>
    <w:rsid w:val="007C30D9"/>
    <w:rsid w:val="007C32A7"/>
    <w:rsid w:val="007C395F"/>
    <w:rsid w:val="007C4701"/>
    <w:rsid w:val="007C59AA"/>
    <w:rsid w:val="007C5FEC"/>
    <w:rsid w:val="007C6C47"/>
    <w:rsid w:val="007D0DCD"/>
    <w:rsid w:val="007D128D"/>
    <w:rsid w:val="007D2359"/>
    <w:rsid w:val="007D3B16"/>
    <w:rsid w:val="007D4BA6"/>
    <w:rsid w:val="007D5709"/>
    <w:rsid w:val="007E03E9"/>
    <w:rsid w:val="007F099C"/>
    <w:rsid w:val="007F31F6"/>
    <w:rsid w:val="007F4435"/>
    <w:rsid w:val="007F63FC"/>
    <w:rsid w:val="007F786B"/>
    <w:rsid w:val="007F7DE1"/>
    <w:rsid w:val="00800904"/>
    <w:rsid w:val="00802772"/>
    <w:rsid w:val="008032ED"/>
    <w:rsid w:val="008033A4"/>
    <w:rsid w:val="00804956"/>
    <w:rsid w:val="008049C0"/>
    <w:rsid w:val="00805354"/>
    <w:rsid w:val="00805D42"/>
    <w:rsid w:val="008060EC"/>
    <w:rsid w:val="00806B92"/>
    <w:rsid w:val="008129C6"/>
    <w:rsid w:val="008219D2"/>
    <w:rsid w:val="0082295E"/>
    <w:rsid w:val="0082359E"/>
    <w:rsid w:val="008344F5"/>
    <w:rsid w:val="0084385E"/>
    <w:rsid w:val="008447D6"/>
    <w:rsid w:val="00845F77"/>
    <w:rsid w:val="00846FB0"/>
    <w:rsid w:val="00850C6D"/>
    <w:rsid w:val="008512DE"/>
    <w:rsid w:val="00851BDE"/>
    <w:rsid w:val="00852FCF"/>
    <w:rsid w:val="00853AE9"/>
    <w:rsid w:val="00854689"/>
    <w:rsid w:val="00855BC2"/>
    <w:rsid w:val="00856801"/>
    <w:rsid w:val="008573F4"/>
    <w:rsid w:val="008621D3"/>
    <w:rsid w:val="008626BD"/>
    <w:rsid w:val="00862AD3"/>
    <w:rsid w:val="00865329"/>
    <w:rsid w:val="00867734"/>
    <w:rsid w:val="00870DBB"/>
    <w:rsid w:val="0087124E"/>
    <w:rsid w:val="008725EA"/>
    <w:rsid w:val="0087478B"/>
    <w:rsid w:val="008753EF"/>
    <w:rsid w:val="008755E6"/>
    <w:rsid w:val="008825FC"/>
    <w:rsid w:val="00883D89"/>
    <w:rsid w:val="0088413E"/>
    <w:rsid w:val="008863FD"/>
    <w:rsid w:val="00890A89"/>
    <w:rsid w:val="00892257"/>
    <w:rsid w:val="00892D31"/>
    <w:rsid w:val="00893C68"/>
    <w:rsid w:val="00896900"/>
    <w:rsid w:val="00896D21"/>
    <w:rsid w:val="008970AC"/>
    <w:rsid w:val="008A0F2C"/>
    <w:rsid w:val="008A2C87"/>
    <w:rsid w:val="008A5B14"/>
    <w:rsid w:val="008A5BB2"/>
    <w:rsid w:val="008B1018"/>
    <w:rsid w:val="008B2B0D"/>
    <w:rsid w:val="008B39A4"/>
    <w:rsid w:val="008B45BC"/>
    <w:rsid w:val="008B6376"/>
    <w:rsid w:val="008C41A9"/>
    <w:rsid w:val="008C4F6B"/>
    <w:rsid w:val="008C50E2"/>
    <w:rsid w:val="008C60EB"/>
    <w:rsid w:val="008C7F66"/>
    <w:rsid w:val="008D2EFA"/>
    <w:rsid w:val="008D36EF"/>
    <w:rsid w:val="008E442E"/>
    <w:rsid w:val="008F07EB"/>
    <w:rsid w:val="008F0E44"/>
    <w:rsid w:val="008F2007"/>
    <w:rsid w:val="008F22EA"/>
    <w:rsid w:val="008F279C"/>
    <w:rsid w:val="008F55A7"/>
    <w:rsid w:val="008F6C27"/>
    <w:rsid w:val="0090055A"/>
    <w:rsid w:val="009015AF"/>
    <w:rsid w:val="009100AF"/>
    <w:rsid w:val="009107D0"/>
    <w:rsid w:val="00912B6D"/>
    <w:rsid w:val="00914004"/>
    <w:rsid w:val="0091688D"/>
    <w:rsid w:val="009170AC"/>
    <w:rsid w:val="009234E0"/>
    <w:rsid w:val="0093022C"/>
    <w:rsid w:val="009303A1"/>
    <w:rsid w:val="00931034"/>
    <w:rsid w:val="00931842"/>
    <w:rsid w:val="00940C3F"/>
    <w:rsid w:val="00942274"/>
    <w:rsid w:val="00943B28"/>
    <w:rsid w:val="00947F5A"/>
    <w:rsid w:val="00950903"/>
    <w:rsid w:val="00952051"/>
    <w:rsid w:val="009534A5"/>
    <w:rsid w:val="009550E1"/>
    <w:rsid w:val="0095517B"/>
    <w:rsid w:val="00955C91"/>
    <w:rsid w:val="00955F50"/>
    <w:rsid w:val="00956A7F"/>
    <w:rsid w:val="00957558"/>
    <w:rsid w:val="00967504"/>
    <w:rsid w:val="0097482F"/>
    <w:rsid w:val="0097674B"/>
    <w:rsid w:val="00981ED5"/>
    <w:rsid w:val="0098615E"/>
    <w:rsid w:val="00990552"/>
    <w:rsid w:val="009936E6"/>
    <w:rsid w:val="00994347"/>
    <w:rsid w:val="00996446"/>
    <w:rsid w:val="00996E7A"/>
    <w:rsid w:val="009A045A"/>
    <w:rsid w:val="009B1679"/>
    <w:rsid w:val="009B4361"/>
    <w:rsid w:val="009B751D"/>
    <w:rsid w:val="009C1D06"/>
    <w:rsid w:val="009C224C"/>
    <w:rsid w:val="009C7076"/>
    <w:rsid w:val="009D3CE2"/>
    <w:rsid w:val="009D42AA"/>
    <w:rsid w:val="009D4656"/>
    <w:rsid w:val="009D4E21"/>
    <w:rsid w:val="009D681A"/>
    <w:rsid w:val="009E122F"/>
    <w:rsid w:val="009E2740"/>
    <w:rsid w:val="009E5CF0"/>
    <w:rsid w:val="009E5FB2"/>
    <w:rsid w:val="009E7998"/>
    <w:rsid w:val="009F0D4A"/>
    <w:rsid w:val="009F3D76"/>
    <w:rsid w:val="009F4ABA"/>
    <w:rsid w:val="009F50EC"/>
    <w:rsid w:val="009F63D6"/>
    <w:rsid w:val="00A0005E"/>
    <w:rsid w:val="00A03017"/>
    <w:rsid w:val="00A03382"/>
    <w:rsid w:val="00A03DB8"/>
    <w:rsid w:val="00A0540A"/>
    <w:rsid w:val="00A06135"/>
    <w:rsid w:val="00A06644"/>
    <w:rsid w:val="00A06F1C"/>
    <w:rsid w:val="00A0740C"/>
    <w:rsid w:val="00A07AB3"/>
    <w:rsid w:val="00A12EFE"/>
    <w:rsid w:val="00A179DB"/>
    <w:rsid w:val="00A220C3"/>
    <w:rsid w:val="00A2260B"/>
    <w:rsid w:val="00A23804"/>
    <w:rsid w:val="00A24905"/>
    <w:rsid w:val="00A251ED"/>
    <w:rsid w:val="00A32B4E"/>
    <w:rsid w:val="00A34543"/>
    <w:rsid w:val="00A413CB"/>
    <w:rsid w:val="00A426E5"/>
    <w:rsid w:val="00A430FE"/>
    <w:rsid w:val="00A45C59"/>
    <w:rsid w:val="00A46F2E"/>
    <w:rsid w:val="00A46FDF"/>
    <w:rsid w:val="00A50FCA"/>
    <w:rsid w:val="00A51DFE"/>
    <w:rsid w:val="00A549CE"/>
    <w:rsid w:val="00A57B2D"/>
    <w:rsid w:val="00A60A88"/>
    <w:rsid w:val="00A60CE1"/>
    <w:rsid w:val="00A6214B"/>
    <w:rsid w:val="00A62384"/>
    <w:rsid w:val="00A6489F"/>
    <w:rsid w:val="00A64A87"/>
    <w:rsid w:val="00A70FD2"/>
    <w:rsid w:val="00A71B0D"/>
    <w:rsid w:val="00A751E6"/>
    <w:rsid w:val="00A766F1"/>
    <w:rsid w:val="00A81B2C"/>
    <w:rsid w:val="00A825DB"/>
    <w:rsid w:val="00A83C55"/>
    <w:rsid w:val="00A862D0"/>
    <w:rsid w:val="00A86F65"/>
    <w:rsid w:val="00A900BC"/>
    <w:rsid w:val="00A9136D"/>
    <w:rsid w:val="00A9189D"/>
    <w:rsid w:val="00A92B9D"/>
    <w:rsid w:val="00A9347B"/>
    <w:rsid w:val="00A9530F"/>
    <w:rsid w:val="00A96435"/>
    <w:rsid w:val="00A97FCF"/>
    <w:rsid w:val="00AA3047"/>
    <w:rsid w:val="00AA347B"/>
    <w:rsid w:val="00AB19A8"/>
    <w:rsid w:val="00AB4733"/>
    <w:rsid w:val="00AB6738"/>
    <w:rsid w:val="00AC0E3D"/>
    <w:rsid w:val="00AC13DA"/>
    <w:rsid w:val="00AC5506"/>
    <w:rsid w:val="00AC6F9F"/>
    <w:rsid w:val="00AD03C9"/>
    <w:rsid w:val="00AD1630"/>
    <w:rsid w:val="00AD225D"/>
    <w:rsid w:val="00AD6300"/>
    <w:rsid w:val="00AE074D"/>
    <w:rsid w:val="00AE36B6"/>
    <w:rsid w:val="00AE51DE"/>
    <w:rsid w:val="00AE557E"/>
    <w:rsid w:val="00AE6BBB"/>
    <w:rsid w:val="00AF1FD8"/>
    <w:rsid w:val="00AF2CB4"/>
    <w:rsid w:val="00AF33AF"/>
    <w:rsid w:val="00AF3A61"/>
    <w:rsid w:val="00AF5961"/>
    <w:rsid w:val="00AF75E7"/>
    <w:rsid w:val="00B031B1"/>
    <w:rsid w:val="00B05046"/>
    <w:rsid w:val="00B05E87"/>
    <w:rsid w:val="00B152EF"/>
    <w:rsid w:val="00B173F5"/>
    <w:rsid w:val="00B22420"/>
    <w:rsid w:val="00B248F5"/>
    <w:rsid w:val="00B363F5"/>
    <w:rsid w:val="00B42DBB"/>
    <w:rsid w:val="00B43939"/>
    <w:rsid w:val="00B4453C"/>
    <w:rsid w:val="00B4672E"/>
    <w:rsid w:val="00B5222F"/>
    <w:rsid w:val="00B52EC2"/>
    <w:rsid w:val="00B53FEE"/>
    <w:rsid w:val="00B542F2"/>
    <w:rsid w:val="00B604DE"/>
    <w:rsid w:val="00B61F87"/>
    <w:rsid w:val="00B62007"/>
    <w:rsid w:val="00B63609"/>
    <w:rsid w:val="00B64313"/>
    <w:rsid w:val="00B652C7"/>
    <w:rsid w:val="00B668AE"/>
    <w:rsid w:val="00B71F15"/>
    <w:rsid w:val="00B75418"/>
    <w:rsid w:val="00B8247B"/>
    <w:rsid w:val="00B83651"/>
    <w:rsid w:val="00B8451D"/>
    <w:rsid w:val="00B84877"/>
    <w:rsid w:val="00B925E6"/>
    <w:rsid w:val="00B94A27"/>
    <w:rsid w:val="00B960DE"/>
    <w:rsid w:val="00BA17C1"/>
    <w:rsid w:val="00BA3C78"/>
    <w:rsid w:val="00BA7137"/>
    <w:rsid w:val="00BA7DB2"/>
    <w:rsid w:val="00BA7E35"/>
    <w:rsid w:val="00BA7F67"/>
    <w:rsid w:val="00BB06D1"/>
    <w:rsid w:val="00BB0761"/>
    <w:rsid w:val="00BB1673"/>
    <w:rsid w:val="00BB2B6E"/>
    <w:rsid w:val="00BB65DE"/>
    <w:rsid w:val="00BC073F"/>
    <w:rsid w:val="00BC121D"/>
    <w:rsid w:val="00BC3F85"/>
    <w:rsid w:val="00BC6164"/>
    <w:rsid w:val="00BC7802"/>
    <w:rsid w:val="00BD49E2"/>
    <w:rsid w:val="00BD53C1"/>
    <w:rsid w:val="00BD739F"/>
    <w:rsid w:val="00BD7930"/>
    <w:rsid w:val="00BE38FE"/>
    <w:rsid w:val="00BE6D6A"/>
    <w:rsid w:val="00BE7990"/>
    <w:rsid w:val="00BF4D27"/>
    <w:rsid w:val="00BF5562"/>
    <w:rsid w:val="00BF591E"/>
    <w:rsid w:val="00C009CC"/>
    <w:rsid w:val="00C02574"/>
    <w:rsid w:val="00C10044"/>
    <w:rsid w:val="00C129D2"/>
    <w:rsid w:val="00C16F84"/>
    <w:rsid w:val="00C22920"/>
    <w:rsid w:val="00C232A1"/>
    <w:rsid w:val="00C232D2"/>
    <w:rsid w:val="00C350ED"/>
    <w:rsid w:val="00C37017"/>
    <w:rsid w:val="00C4149F"/>
    <w:rsid w:val="00C42746"/>
    <w:rsid w:val="00C43EE6"/>
    <w:rsid w:val="00C455E7"/>
    <w:rsid w:val="00C463D0"/>
    <w:rsid w:val="00C5031C"/>
    <w:rsid w:val="00C52073"/>
    <w:rsid w:val="00C566BF"/>
    <w:rsid w:val="00C57822"/>
    <w:rsid w:val="00C6150D"/>
    <w:rsid w:val="00C65EE6"/>
    <w:rsid w:val="00C671D7"/>
    <w:rsid w:val="00C717D1"/>
    <w:rsid w:val="00C7332E"/>
    <w:rsid w:val="00C779BB"/>
    <w:rsid w:val="00C82C5F"/>
    <w:rsid w:val="00C927BE"/>
    <w:rsid w:val="00C9784A"/>
    <w:rsid w:val="00C97ABE"/>
    <w:rsid w:val="00CA0837"/>
    <w:rsid w:val="00CA1689"/>
    <w:rsid w:val="00CA2DA1"/>
    <w:rsid w:val="00CA3B9D"/>
    <w:rsid w:val="00CA4898"/>
    <w:rsid w:val="00CA4C66"/>
    <w:rsid w:val="00CA7DFA"/>
    <w:rsid w:val="00CB7045"/>
    <w:rsid w:val="00CC0D9D"/>
    <w:rsid w:val="00CC3B44"/>
    <w:rsid w:val="00CC41A0"/>
    <w:rsid w:val="00CC41A3"/>
    <w:rsid w:val="00CC506E"/>
    <w:rsid w:val="00CC61B3"/>
    <w:rsid w:val="00CC7BA2"/>
    <w:rsid w:val="00CD2B32"/>
    <w:rsid w:val="00CD3677"/>
    <w:rsid w:val="00CD50F2"/>
    <w:rsid w:val="00CD6B42"/>
    <w:rsid w:val="00CD6D45"/>
    <w:rsid w:val="00CE021A"/>
    <w:rsid w:val="00CE24DE"/>
    <w:rsid w:val="00CE2E9F"/>
    <w:rsid w:val="00CE4D1E"/>
    <w:rsid w:val="00CE64C6"/>
    <w:rsid w:val="00CF0D45"/>
    <w:rsid w:val="00CF1F83"/>
    <w:rsid w:val="00CF35A7"/>
    <w:rsid w:val="00CF3A65"/>
    <w:rsid w:val="00CF4223"/>
    <w:rsid w:val="00CF4580"/>
    <w:rsid w:val="00CF666F"/>
    <w:rsid w:val="00CF7316"/>
    <w:rsid w:val="00D01929"/>
    <w:rsid w:val="00D02B31"/>
    <w:rsid w:val="00D06802"/>
    <w:rsid w:val="00D10B13"/>
    <w:rsid w:val="00D118F4"/>
    <w:rsid w:val="00D13CFD"/>
    <w:rsid w:val="00D1405C"/>
    <w:rsid w:val="00D163C7"/>
    <w:rsid w:val="00D16AD1"/>
    <w:rsid w:val="00D20BE8"/>
    <w:rsid w:val="00D2581C"/>
    <w:rsid w:val="00D273BC"/>
    <w:rsid w:val="00D328A3"/>
    <w:rsid w:val="00D37D84"/>
    <w:rsid w:val="00D42D88"/>
    <w:rsid w:val="00D46418"/>
    <w:rsid w:val="00D52795"/>
    <w:rsid w:val="00D5470B"/>
    <w:rsid w:val="00D55047"/>
    <w:rsid w:val="00D62520"/>
    <w:rsid w:val="00D66364"/>
    <w:rsid w:val="00D67DD4"/>
    <w:rsid w:val="00D70057"/>
    <w:rsid w:val="00D7086A"/>
    <w:rsid w:val="00D70B62"/>
    <w:rsid w:val="00D7536B"/>
    <w:rsid w:val="00D75C70"/>
    <w:rsid w:val="00D80D23"/>
    <w:rsid w:val="00D80EC8"/>
    <w:rsid w:val="00D8182B"/>
    <w:rsid w:val="00D84021"/>
    <w:rsid w:val="00D8796B"/>
    <w:rsid w:val="00D905F7"/>
    <w:rsid w:val="00D909CE"/>
    <w:rsid w:val="00D914EA"/>
    <w:rsid w:val="00D93EC1"/>
    <w:rsid w:val="00D94229"/>
    <w:rsid w:val="00D97710"/>
    <w:rsid w:val="00D97DA3"/>
    <w:rsid w:val="00DA05D2"/>
    <w:rsid w:val="00DA0968"/>
    <w:rsid w:val="00DA31CB"/>
    <w:rsid w:val="00DA42B9"/>
    <w:rsid w:val="00DA7918"/>
    <w:rsid w:val="00DB0F17"/>
    <w:rsid w:val="00DB258B"/>
    <w:rsid w:val="00DB4E08"/>
    <w:rsid w:val="00DB5146"/>
    <w:rsid w:val="00DB6763"/>
    <w:rsid w:val="00DB6DFE"/>
    <w:rsid w:val="00DC0FD1"/>
    <w:rsid w:val="00DC42BF"/>
    <w:rsid w:val="00DC5522"/>
    <w:rsid w:val="00DD11EE"/>
    <w:rsid w:val="00DD16D5"/>
    <w:rsid w:val="00DD2A93"/>
    <w:rsid w:val="00DD75F5"/>
    <w:rsid w:val="00DD7F08"/>
    <w:rsid w:val="00DE07AE"/>
    <w:rsid w:val="00DE2E23"/>
    <w:rsid w:val="00DE4652"/>
    <w:rsid w:val="00DE5D03"/>
    <w:rsid w:val="00DE5FB6"/>
    <w:rsid w:val="00DE73B5"/>
    <w:rsid w:val="00DF2425"/>
    <w:rsid w:val="00DF7303"/>
    <w:rsid w:val="00E03D06"/>
    <w:rsid w:val="00E04735"/>
    <w:rsid w:val="00E0486F"/>
    <w:rsid w:val="00E07BCA"/>
    <w:rsid w:val="00E13D3A"/>
    <w:rsid w:val="00E23908"/>
    <w:rsid w:val="00E24365"/>
    <w:rsid w:val="00E2666B"/>
    <w:rsid w:val="00E26F57"/>
    <w:rsid w:val="00E2771F"/>
    <w:rsid w:val="00E319FC"/>
    <w:rsid w:val="00E32F90"/>
    <w:rsid w:val="00E33B39"/>
    <w:rsid w:val="00E33C8F"/>
    <w:rsid w:val="00E37E22"/>
    <w:rsid w:val="00E404FA"/>
    <w:rsid w:val="00E4453E"/>
    <w:rsid w:val="00E47043"/>
    <w:rsid w:val="00E52718"/>
    <w:rsid w:val="00E5404C"/>
    <w:rsid w:val="00E542EF"/>
    <w:rsid w:val="00E56C6C"/>
    <w:rsid w:val="00E57859"/>
    <w:rsid w:val="00E626EC"/>
    <w:rsid w:val="00E6323D"/>
    <w:rsid w:val="00E63DC3"/>
    <w:rsid w:val="00E70A9B"/>
    <w:rsid w:val="00E70C12"/>
    <w:rsid w:val="00E7480B"/>
    <w:rsid w:val="00E75592"/>
    <w:rsid w:val="00E77438"/>
    <w:rsid w:val="00E806E5"/>
    <w:rsid w:val="00E826F7"/>
    <w:rsid w:val="00E82AAA"/>
    <w:rsid w:val="00E83652"/>
    <w:rsid w:val="00E83F11"/>
    <w:rsid w:val="00E84071"/>
    <w:rsid w:val="00E85543"/>
    <w:rsid w:val="00E86416"/>
    <w:rsid w:val="00E86F26"/>
    <w:rsid w:val="00E87814"/>
    <w:rsid w:val="00E916AB"/>
    <w:rsid w:val="00E91C25"/>
    <w:rsid w:val="00E91C41"/>
    <w:rsid w:val="00E9386B"/>
    <w:rsid w:val="00E9389E"/>
    <w:rsid w:val="00E9590B"/>
    <w:rsid w:val="00EA2BBD"/>
    <w:rsid w:val="00EA2EF9"/>
    <w:rsid w:val="00EA4967"/>
    <w:rsid w:val="00EB1AD7"/>
    <w:rsid w:val="00EB4456"/>
    <w:rsid w:val="00EB6BD6"/>
    <w:rsid w:val="00EB6CE2"/>
    <w:rsid w:val="00EB78C5"/>
    <w:rsid w:val="00EC07C0"/>
    <w:rsid w:val="00EC1510"/>
    <w:rsid w:val="00EC1A1B"/>
    <w:rsid w:val="00EC2454"/>
    <w:rsid w:val="00EC3A64"/>
    <w:rsid w:val="00ED3B26"/>
    <w:rsid w:val="00ED5FC1"/>
    <w:rsid w:val="00ED69A8"/>
    <w:rsid w:val="00EE17F2"/>
    <w:rsid w:val="00EE645C"/>
    <w:rsid w:val="00EE7776"/>
    <w:rsid w:val="00EF3A0F"/>
    <w:rsid w:val="00EF47EB"/>
    <w:rsid w:val="00EF7C55"/>
    <w:rsid w:val="00F01678"/>
    <w:rsid w:val="00F05504"/>
    <w:rsid w:val="00F05A89"/>
    <w:rsid w:val="00F05EB4"/>
    <w:rsid w:val="00F06568"/>
    <w:rsid w:val="00F07C85"/>
    <w:rsid w:val="00F103B8"/>
    <w:rsid w:val="00F16CA3"/>
    <w:rsid w:val="00F2031A"/>
    <w:rsid w:val="00F20857"/>
    <w:rsid w:val="00F241E5"/>
    <w:rsid w:val="00F24BFE"/>
    <w:rsid w:val="00F2649C"/>
    <w:rsid w:val="00F26769"/>
    <w:rsid w:val="00F27A5C"/>
    <w:rsid w:val="00F308EE"/>
    <w:rsid w:val="00F31AAB"/>
    <w:rsid w:val="00F31C7E"/>
    <w:rsid w:val="00F32E20"/>
    <w:rsid w:val="00F334E6"/>
    <w:rsid w:val="00F40273"/>
    <w:rsid w:val="00F43736"/>
    <w:rsid w:val="00F44E8B"/>
    <w:rsid w:val="00F451BD"/>
    <w:rsid w:val="00F52273"/>
    <w:rsid w:val="00F52A48"/>
    <w:rsid w:val="00F55B86"/>
    <w:rsid w:val="00F60EAE"/>
    <w:rsid w:val="00F62AC5"/>
    <w:rsid w:val="00F65889"/>
    <w:rsid w:val="00F6791C"/>
    <w:rsid w:val="00F70BDF"/>
    <w:rsid w:val="00F70E84"/>
    <w:rsid w:val="00F71D35"/>
    <w:rsid w:val="00F75868"/>
    <w:rsid w:val="00F759F8"/>
    <w:rsid w:val="00F7758E"/>
    <w:rsid w:val="00F83CB9"/>
    <w:rsid w:val="00F85958"/>
    <w:rsid w:val="00F92901"/>
    <w:rsid w:val="00F94F30"/>
    <w:rsid w:val="00F95117"/>
    <w:rsid w:val="00F96B1A"/>
    <w:rsid w:val="00FA1F0B"/>
    <w:rsid w:val="00FA3FE3"/>
    <w:rsid w:val="00FA7953"/>
    <w:rsid w:val="00FB0B7B"/>
    <w:rsid w:val="00FB0C79"/>
    <w:rsid w:val="00FB2EA4"/>
    <w:rsid w:val="00FB5889"/>
    <w:rsid w:val="00FB61D9"/>
    <w:rsid w:val="00FB7766"/>
    <w:rsid w:val="00FB7D1F"/>
    <w:rsid w:val="00FB7F72"/>
    <w:rsid w:val="00FC168B"/>
    <w:rsid w:val="00FC20A4"/>
    <w:rsid w:val="00FC2A89"/>
    <w:rsid w:val="00FC36FB"/>
    <w:rsid w:val="00FD3B83"/>
    <w:rsid w:val="00FD4090"/>
    <w:rsid w:val="00FD51FC"/>
    <w:rsid w:val="00FD5C94"/>
    <w:rsid w:val="00FD7D70"/>
    <w:rsid w:val="00FE0A44"/>
    <w:rsid w:val="00FE113F"/>
    <w:rsid w:val="00FE1699"/>
    <w:rsid w:val="00FE642B"/>
    <w:rsid w:val="00FF47FF"/>
    <w:rsid w:val="00FF4938"/>
    <w:rsid w:val="00FF7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AF"/>
    <w:pPr>
      <w:widowControl w:val="0"/>
      <w:spacing w:after="0" w:line="360" w:lineRule="auto"/>
      <w:ind w:firstLine="1440"/>
    </w:pPr>
    <w:rPr>
      <w:rFonts w:ascii="Times New Roman" w:eastAsia="Times New Roman" w:hAnsi="Times New Roman" w:cs="Mangal"/>
      <w:sz w:val="26"/>
      <w:szCs w:val="20"/>
      <w:lang w:bidi="hi-IN"/>
    </w:rPr>
  </w:style>
  <w:style w:type="paragraph" w:styleId="Heading1">
    <w:name w:val="heading 1"/>
    <w:basedOn w:val="Normal"/>
    <w:next w:val="Normal"/>
    <w:link w:val="Heading1Char"/>
    <w:uiPriority w:val="9"/>
    <w:qFormat/>
    <w:rsid w:val="00020AAC"/>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Heading5">
    <w:name w:val="heading 5"/>
    <w:basedOn w:val="Normal"/>
    <w:next w:val="Normal"/>
    <w:link w:val="Heading5Char"/>
    <w:qFormat/>
    <w:rsid w:val="0065570E"/>
    <w:pPr>
      <w:keepNext/>
      <w:widowControl/>
      <w:jc w:val="right"/>
      <w:outlineLvl w:val="4"/>
    </w:pPr>
    <w:rPr>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5570E"/>
    <w:rPr>
      <w:rFonts w:ascii="Times New Roman" w:eastAsia="Times New Roman" w:hAnsi="Times New Roman" w:cs="Mangal"/>
      <w:sz w:val="26"/>
      <w:szCs w:val="26"/>
      <w:lang w:bidi="hi-IN"/>
    </w:rPr>
  </w:style>
  <w:style w:type="paragraph" w:styleId="Title">
    <w:name w:val="Title"/>
    <w:basedOn w:val="Normal"/>
    <w:link w:val="TitleChar"/>
    <w:qFormat/>
    <w:rsid w:val="0065570E"/>
    <w:pPr>
      <w:widowControl/>
      <w:jc w:val="center"/>
    </w:pPr>
    <w:rPr>
      <w:b/>
      <w:bCs/>
      <w:szCs w:val="26"/>
    </w:rPr>
  </w:style>
  <w:style w:type="character" w:customStyle="1" w:styleId="TitleChar">
    <w:name w:val="Title Char"/>
    <w:basedOn w:val="DefaultParagraphFont"/>
    <w:link w:val="Title"/>
    <w:rsid w:val="0065570E"/>
    <w:rPr>
      <w:rFonts w:ascii="Times New Roman" w:eastAsia="Times New Roman" w:hAnsi="Times New Roman" w:cs="Mangal"/>
      <w:b/>
      <w:bCs/>
      <w:sz w:val="26"/>
      <w:szCs w:val="26"/>
      <w:lang w:bidi="hi-IN"/>
    </w:rPr>
  </w:style>
  <w:style w:type="paragraph" w:styleId="EndnoteText">
    <w:name w:val="endnote text"/>
    <w:basedOn w:val="Normal"/>
    <w:link w:val="EndnoteTextChar"/>
    <w:uiPriority w:val="99"/>
    <w:semiHidden/>
    <w:unhideWhenUsed/>
    <w:rsid w:val="00F05504"/>
    <w:rPr>
      <w:szCs w:val="18"/>
    </w:rPr>
  </w:style>
  <w:style w:type="character" w:customStyle="1" w:styleId="EndnoteTextChar">
    <w:name w:val="Endnote Text Char"/>
    <w:basedOn w:val="DefaultParagraphFont"/>
    <w:link w:val="EndnoteText"/>
    <w:uiPriority w:val="99"/>
    <w:semiHidden/>
    <w:rsid w:val="00F05504"/>
    <w:rPr>
      <w:rFonts w:ascii="Times New Roman" w:eastAsia="Times New Roman" w:hAnsi="Times New Roman" w:cs="Mangal"/>
      <w:sz w:val="20"/>
      <w:szCs w:val="18"/>
      <w:lang w:bidi="hi-IN"/>
    </w:rPr>
  </w:style>
  <w:style w:type="character" w:styleId="EndnoteReference">
    <w:name w:val="endnote reference"/>
    <w:basedOn w:val="DefaultParagraphFont"/>
    <w:uiPriority w:val="99"/>
    <w:semiHidden/>
    <w:unhideWhenUsed/>
    <w:rsid w:val="00F05504"/>
    <w:rPr>
      <w:vertAlign w:val="superscript"/>
    </w:rPr>
  </w:style>
  <w:style w:type="paragraph" w:styleId="FootnoteText">
    <w:name w:val="footnote text"/>
    <w:basedOn w:val="Normal"/>
    <w:link w:val="FootnoteTextChar"/>
    <w:semiHidden/>
    <w:unhideWhenUsed/>
    <w:rsid w:val="00F05504"/>
    <w:rPr>
      <w:szCs w:val="18"/>
    </w:rPr>
  </w:style>
  <w:style w:type="character" w:customStyle="1" w:styleId="FootnoteTextChar">
    <w:name w:val="Footnote Text Char"/>
    <w:basedOn w:val="DefaultParagraphFont"/>
    <w:link w:val="FootnoteText"/>
    <w:uiPriority w:val="99"/>
    <w:semiHidden/>
    <w:rsid w:val="00F05504"/>
    <w:rPr>
      <w:rFonts w:ascii="Times New Roman" w:eastAsia="Times New Roman" w:hAnsi="Times New Roman" w:cs="Mangal"/>
      <w:sz w:val="20"/>
      <w:szCs w:val="18"/>
      <w:lang w:bidi="hi-IN"/>
    </w:rPr>
  </w:style>
  <w:style w:type="character" w:styleId="FootnoteReference">
    <w:name w:val="footnote reference"/>
    <w:basedOn w:val="DefaultParagraphFont"/>
    <w:semiHidden/>
    <w:unhideWhenUsed/>
    <w:rsid w:val="00F05504"/>
    <w:rPr>
      <w:vertAlign w:val="superscript"/>
    </w:rPr>
  </w:style>
  <w:style w:type="character" w:styleId="Hyperlink">
    <w:name w:val="Hyperlink"/>
    <w:basedOn w:val="DefaultParagraphFont"/>
    <w:rsid w:val="00B8247B"/>
    <w:rPr>
      <w:color w:val="0000FF"/>
      <w:u w:val="single"/>
    </w:rPr>
  </w:style>
  <w:style w:type="character" w:customStyle="1" w:styleId="term1">
    <w:name w:val="term1"/>
    <w:basedOn w:val="DefaultParagraphFont"/>
    <w:rsid w:val="00B8247B"/>
    <w:rPr>
      <w:b/>
      <w:bCs/>
    </w:rPr>
  </w:style>
  <w:style w:type="paragraph" w:styleId="Header">
    <w:name w:val="header"/>
    <w:basedOn w:val="Normal"/>
    <w:link w:val="HeaderChar"/>
    <w:uiPriority w:val="99"/>
    <w:semiHidden/>
    <w:unhideWhenUsed/>
    <w:rsid w:val="00CC506E"/>
    <w:pPr>
      <w:tabs>
        <w:tab w:val="center" w:pos="4680"/>
        <w:tab w:val="right" w:pos="9360"/>
      </w:tabs>
    </w:pPr>
    <w:rPr>
      <w:szCs w:val="18"/>
    </w:rPr>
  </w:style>
  <w:style w:type="character" w:customStyle="1" w:styleId="HeaderChar">
    <w:name w:val="Header Char"/>
    <w:basedOn w:val="DefaultParagraphFont"/>
    <w:link w:val="Header"/>
    <w:uiPriority w:val="99"/>
    <w:semiHidden/>
    <w:rsid w:val="00CC506E"/>
    <w:rPr>
      <w:rFonts w:ascii="Times New Roman" w:eastAsia="Times New Roman" w:hAnsi="Times New Roman" w:cs="Mangal"/>
      <w:sz w:val="20"/>
      <w:szCs w:val="18"/>
      <w:lang w:bidi="hi-IN"/>
    </w:rPr>
  </w:style>
  <w:style w:type="paragraph" w:styleId="Footer">
    <w:name w:val="footer"/>
    <w:basedOn w:val="Normal"/>
    <w:link w:val="FooterChar"/>
    <w:uiPriority w:val="99"/>
    <w:unhideWhenUsed/>
    <w:rsid w:val="00CC506E"/>
    <w:pPr>
      <w:tabs>
        <w:tab w:val="center" w:pos="4680"/>
        <w:tab w:val="right" w:pos="9360"/>
      </w:tabs>
    </w:pPr>
    <w:rPr>
      <w:szCs w:val="18"/>
    </w:rPr>
  </w:style>
  <w:style w:type="character" w:customStyle="1" w:styleId="FooterChar">
    <w:name w:val="Footer Char"/>
    <w:basedOn w:val="DefaultParagraphFont"/>
    <w:link w:val="Footer"/>
    <w:uiPriority w:val="99"/>
    <w:rsid w:val="00CC506E"/>
    <w:rPr>
      <w:rFonts w:ascii="Times New Roman" w:eastAsia="Times New Roman" w:hAnsi="Times New Roman" w:cs="Mangal"/>
      <w:sz w:val="20"/>
      <w:szCs w:val="18"/>
      <w:lang w:bidi="hi-IN"/>
    </w:rPr>
  </w:style>
  <w:style w:type="paragraph" w:styleId="BodyText">
    <w:name w:val="Body Text"/>
    <w:basedOn w:val="Normal"/>
    <w:link w:val="BodyTextChar"/>
    <w:rsid w:val="0027781B"/>
    <w:pPr>
      <w:widowControl/>
      <w:overflowPunct w:val="0"/>
      <w:autoSpaceDE w:val="0"/>
      <w:autoSpaceDN w:val="0"/>
      <w:adjustRightInd w:val="0"/>
      <w:spacing w:after="120"/>
      <w:textAlignment w:val="baseline"/>
    </w:pPr>
    <w:rPr>
      <w:rFonts w:cs="Times New Roman"/>
      <w:lang w:bidi="ar-SA"/>
    </w:rPr>
  </w:style>
  <w:style w:type="character" w:customStyle="1" w:styleId="BodyTextChar">
    <w:name w:val="Body Text Char"/>
    <w:basedOn w:val="DefaultParagraphFont"/>
    <w:link w:val="BodyText"/>
    <w:rsid w:val="0027781B"/>
    <w:rPr>
      <w:rFonts w:ascii="Times New Roman" w:eastAsia="Times New Roman" w:hAnsi="Times New Roman" w:cs="Times New Roman"/>
      <w:sz w:val="26"/>
      <w:szCs w:val="20"/>
    </w:rPr>
  </w:style>
  <w:style w:type="paragraph" w:styleId="ListParagraph">
    <w:name w:val="List Paragraph"/>
    <w:basedOn w:val="Normal"/>
    <w:uiPriority w:val="34"/>
    <w:qFormat/>
    <w:rsid w:val="00A57B2D"/>
    <w:pPr>
      <w:ind w:left="720"/>
    </w:pPr>
    <w:rPr>
      <w:szCs w:val="18"/>
    </w:rPr>
  </w:style>
  <w:style w:type="paragraph" w:customStyle="1" w:styleId="ParaTab1">
    <w:name w:val="ParaTab 1"/>
    <w:rsid w:val="0035552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rmalWeb">
    <w:name w:val="Normal (Web)"/>
    <w:basedOn w:val="Normal"/>
    <w:rsid w:val="004A0DA8"/>
    <w:pPr>
      <w:widowControl/>
      <w:spacing w:before="100" w:beforeAutospacing="1" w:after="100" w:afterAutospacing="1"/>
    </w:pPr>
    <w:rPr>
      <w:rFonts w:cs="Times New Roman"/>
      <w:sz w:val="24"/>
      <w:szCs w:val="24"/>
      <w:lang w:bidi="ar-SA"/>
    </w:rPr>
  </w:style>
  <w:style w:type="character" w:customStyle="1" w:styleId="Heading1Char">
    <w:name w:val="Heading 1 Char"/>
    <w:basedOn w:val="DefaultParagraphFont"/>
    <w:link w:val="Heading1"/>
    <w:uiPriority w:val="9"/>
    <w:rsid w:val="00020AAC"/>
    <w:rPr>
      <w:rFonts w:asciiTheme="majorHAnsi" w:eastAsiaTheme="majorEastAsia" w:hAnsiTheme="majorHAnsi" w:cs="Mangal"/>
      <w:b/>
      <w:bCs/>
      <w:color w:val="365F91" w:themeColor="accent1" w:themeShade="BF"/>
      <w:sz w:val="28"/>
      <w:szCs w:val="25"/>
      <w:lang w:bidi="hi-IN"/>
    </w:rPr>
  </w:style>
  <w:style w:type="paragraph" w:styleId="TOCHeading">
    <w:name w:val="TOC Heading"/>
    <w:basedOn w:val="Heading1"/>
    <w:next w:val="Normal"/>
    <w:uiPriority w:val="39"/>
    <w:semiHidden/>
    <w:unhideWhenUsed/>
    <w:qFormat/>
    <w:rsid w:val="00020AAC"/>
    <w:pPr>
      <w:widowControl/>
      <w:spacing w:line="276" w:lineRule="auto"/>
      <w:ind w:firstLine="0"/>
      <w:outlineLvl w:val="9"/>
    </w:pPr>
    <w:rPr>
      <w:rFonts w:cstheme="majorBidi"/>
      <w:szCs w:val="28"/>
      <w:lang w:bidi="ar-SA"/>
    </w:rPr>
  </w:style>
  <w:style w:type="paragraph" w:styleId="BalloonText">
    <w:name w:val="Balloon Text"/>
    <w:basedOn w:val="Normal"/>
    <w:link w:val="BalloonTextChar"/>
    <w:uiPriority w:val="99"/>
    <w:semiHidden/>
    <w:unhideWhenUsed/>
    <w:rsid w:val="00994347"/>
    <w:pPr>
      <w:spacing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94347"/>
    <w:rPr>
      <w:rFonts w:ascii="Tahoma" w:eastAsia="Times New Roman"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93A8-D408-4EF6-B04F-C1E98F5A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kvillwock</dc:creator>
  <cp:keywords/>
  <dc:description/>
  <cp:lastModifiedBy>Administrator</cp:lastModifiedBy>
  <cp:revision>3</cp:revision>
  <cp:lastPrinted>2010-08-03T16:38:00Z</cp:lastPrinted>
  <dcterms:created xsi:type="dcterms:W3CDTF">2010-07-14T20:21:00Z</dcterms:created>
  <dcterms:modified xsi:type="dcterms:W3CDTF">2010-08-03T16:38:00Z</dcterms:modified>
</cp:coreProperties>
</file>