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0788E">
        <w:rPr>
          <w:rFonts w:ascii="Arial" w:hAnsi="Arial" w:cs="Arial"/>
          <w:b/>
          <w:spacing w:val="-3"/>
          <w:szCs w:val="24"/>
        </w:rPr>
        <w:t>AUGUST 9,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0788E">
        <w:rPr>
          <w:rFonts w:ascii="Arial" w:hAnsi="Arial" w:cs="Arial"/>
          <w:spacing w:val="-3"/>
          <w:szCs w:val="24"/>
        </w:rPr>
        <w:t>C-2010-2192454</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0788E">
        <w:rPr>
          <w:rFonts w:ascii="Arial" w:hAnsi="Arial" w:cs="Arial"/>
          <w:spacing w:val="-3"/>
          <w:szCs w:val="24"/>
        </w:rPr>
        <w:t>Lynette Duke Smith</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B0788E">
        <w:rPr>
          <w:rFonts w:ascii="Arial" w:hAnsi="Arial" w:cs="Arial"/>
          <w:spacing w:val="-3"/>
          <w:szCs w:val="24"/>
        </w:rPr>
        <w:t>August 9,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B0788E"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0788E">
        <w:rPr>
          <w:rFonts w:ascii="Arial" w:hAnsi="Arial" w:cs="Arial"/>
          <w:b/>
          <w:spacing w:val="-3"/>
          <w:szCs w:val="24"/>
        </w:rPr>
        <w:t>AUGUST 9,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B0788E">
            <w:pPr>
              <w:tabs>
                <w:tab w:val="left" w:pos="-720"/>
              </w:tabs>
              <w:suppressAutoHyphens/>
              <w:spacing w:before="90"/>
              <w:rPr>
                <w:rFonts w:ascii="Arial" w:hAnsi="Arial" w:cs="Arial"/>
                <w:spacing w:val="-3"/>
                <w:szCs w:val="24"/>
              </w:rPr>
            </w:pPr>
            <w:r>
              <w:rPr>
                <w:rFonts w:ascii="Arial" w:hAnsi="Arial" w:cs="Arial"/>
                <w:b/>
                <w:spacing w:val="-3"/>
                <w:szCs w:val="24"/>
              </w:rPr>
              <w:t>LYNETTE DUKE SMITH</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B0788E">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0788E">
              <w:rPr>
                <w:rFonts w:ascii="Arial" w:hAnsi="Arial" w:cs="Arial"/>
                <w:b/>
                <w:spacing w:val="-3"/>
                <w:szCs w:val="24"/>
              </w:rPr>
              <w:t>C-2010-2192454</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0788E"/>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6018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2010-08-06T19:32:00Z</cp:lastPrinted>
  <dcterms:created xsi:type="dcterms:W3CDTF">2010-08-06T19:32:00Z</dcterms:created>
  <dcterms:modified xsi:type="dcterms:W3CDTF">2010-08-06T19:32:00Z</dcterms:modified>
</cp:coreProperties>
</file>