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922" w:rsidRPr="002502D3" w:rsidRDefault="00881922" w:rsidP="00A76F8A">
      <w:pPr>
        <w:pStyle w:val="Title"/>
        <w:rPr>
          <w:szCs w:val="24"/>
        </w:rPr>
      </w:pPr>
      <w:r w:rsidRPr="002502D3">
        <w:rPr>
          <w:szCs w:val="24"/>
        </w:rPr>
        <w:t>BEFORE THE</w:t>
      </w:r>
    </w:p>
    <w:p w:rsidR="00881922" w:rsidRPr="002502D3" w:rsidRDefault="00881922" w:rsidP="00A76F8A">
      <w:pPr>
        <w:pStyle w:val="Subtitle"/>
        <w:rPr>
          <w:sz w:val="24"/>
          <w:szCs w:val="24"/>
        </w:rPr>
      </w:pPr>
      <w:smartTag w:uri="urn:schemas-microsoft-com:office:smarttags" w:element="State">
        <w:smartTag w:uri="urn:schemas-microsoft-com:office:smarttags" w:element="place">
          <w:r w:rsidRPr="002502D3">
            <w:rPr>
              <w:sz w:val="24"/>
              <w:szCs w:val="24"/>
            </w:rPr>
            <w:t>PENNSYLVANIA</w:t>
          </w:r>
        </w:smartTag>
      </w:smartTag>
      <w:r w:rsidRPr="002502D3">
        <w:rPr>
          <w:sz w:val="24"/>
          <w:szCs w:val="24"/>
        </w:rPr>
        <w:t xml:space="preserve"> PUBLIC UTILITY COMMISSION</w:t>
      </w:r>
    </w:p>
    <w:p w:rsidR="00881922" w:rsidRDefault="00881922" w:rsidP="00A76F8A">
      <w:pPr>
        <w:tabs>
          <w:tab w:val="left" w:pos="720"/>
        </w:tabs>
        <w:rPr>
          <w:kern w:val="26"/>
        </w:rPr>
      </w:pPr>
    </w:p>
    <w:p w:rsidR="00C10B90" w:rsidRDefault="00C10B90" w:rsidP="00A76F8A">
      <w:pPr>
        <w:tabs>
          <w:tab w:val="left" w:pos="720"/>
        </w:tabs>
        <w:rPr>
          <w:kern w:val="26"/>
        </w:rPr>
      </w:pPr>
    </w:p>
    <w:p w:rsidR="00C10B90" w:rsidRPr="008B4F08" w:rsidRDefault="00166EEB" w:rsidP="00A76F8A">
      <w:pPr>
        <w:tabs>
          <w:tab w:val="left" w:pos="720"/>
        </w:tabs>
        <w:rPr>
          <w:kern w:val="26"/>
          <w:sz w:val="26"/>
        </w:rPr>
      </w:pPr>
      <w:r>
        <w:rPr>
          <w:kern w:val="26"/>
        </w:rPr>
        <w:tab/>
      </w:r>
      <w:r w:rsidR="00C10B90">
        <w:rPr>
          <w:kern w:val="26"/>
        </w:rPr>
        <w:tab/>
      </w:r>
      <w:r w:rsidR="00C10B90">
        <w:rPr>
          <w:kern w:val="26"/>
        </w:rPr>
        <w:tab/>
      </w:r>
      <w:r w:rsidR="00C10B90">
        <w:rPr>
          <w:kern w:val="26"/>
        </w:rPr>
        <w:tab/>
      </w:r>
      <w:r w:rsidR="00C10B90">
        <w:rPr>
          <w:kern w:val="26"/>
        </w:rPr>
        <w:tab/>
      </w:r>
      <w:r w:rsidR="00C10B90">
        <w:rPr>
          <w:kern w:val="26"/>
        </w:rPr>
        <w:tab/>
      </w:r>
      <w:r w:rsidR="00C10B90">
        <w:rPr>
          <w:kern w:val="26"/>
        </w:rPr>
        <w:tab/>
      </w:r>
      <w:r w:rsidR="00CB7B9D">
        <w:rPr>
          <w:kern w:val="26"/>
          <w:sz w:val="26"/>
        </w:rPr>
        <w:t>Public Meeting held June 16, 2010</w:t>
      </w:r>
    </w:p>
    <w:p w:rsidR="00C10B90" w:rsidRPr="008B4F08" w:rsidRDefault="00C10B90" w:rsidP="00A76F8A">
      <w:pPr>
        <w:tabs>
          <w:tab w:val="left" w:pos="720"/>
        </w:tabs>
        <w:rPr>
          <w:kern w:val="26"/>
          <w:sz w:val="26"/>
        </w:rPr>
      </w:pPr>
    </w:p>
    <w:p w:rsidR="00C10B90" w:rsidRPr="008B4F08" w:rsidRDefault="00C10B90" w:rsidP="00A76F8A">
      <w:pPr>
        <w:tabs>
          <w:tab w:val="left" w:pos="720"/>
        </w:tabs>
        <w:rPr>
          <w:kern w:val="26"/>
          <w:sz w:val="26"/>
        </w:rPr>
      </w:pPr>
    </w:p>
    <w:p w:rsidR="00C10B90" w:rsidRPr="008B4F08" w:rsidRDefault="00AB60A6" w:rsidP="00A76F8A">
      <w:pPr>
        <w:tabs>
          <w:tab w:val="left" w:pos="720"/>
        </w:tabs>
        <w:rPr>
          <w:kern w:val="26"/>
          <w:sz w:val="26"/>
        </w:rPr>
      </w:pPr>
      <w:r w:rsidRPr="008B4F08">
        <w:rPr>
          <w:kern w:val="26"/>
          <w:sz w:val="26"/>
        </w:rPr>
        <w:t>Commissioners Present:</w:t>
      </w:r>
    </w:p>
    <w:p w:rsidR="00AB60A6" w:rsidRPr="008B4F08" w:rsidRDefault="00AB60A6" w:rsidP="00A76F8A">
      <w:pPr>
        <w:tabs>
          <w:tab w:val="left" w:pos="720"/>
        </w:tabs>
        <w:rPr>
          <w:kern w:val="26"/>
          <w:sz w:val="26"/>
        </w:rPr>
      </w:pPr>
    </w:p>
    <w:p w:rsidR="00AB60A6" w:rsidRPr="008B4F08" w:rsidRDefault="000A0D48" w:rsidP="00A76F8A">
      <w:pPr>
        <w:tabs>
          <w:tab w:val="left" w:pos="720"/>
        </w:tabs>
        <w:rPr>
          <w:kern w:val="26"/>
          <w:sz w:val="26"/>
        </w:rPr>
      </w:pPr>
      <w:r>
        <w:rPr>
          <w:kern w:val="26"/>
          <w:sz w:val="26"/>
        </w:rPr>
        <w:t>James H. Cawley</w:t>
      </w:r>
      <w:r w:rsidR="00AB60A6" w:rsidRPr="008B4F08">
        <w:rPr>
          <w:kern w:val="26"/>
          <w:sz w:val="26"/>
        </w:rPr>
        <w:t>, Chairman</w:t>
      </w:r>
    </w:p>
    <w:p w:rsidR="00AB60A6" w:rsidRPr="008B4F08" w:rsidRDefault="000A0D48" w:rsidP="00A76F8A">
      <w:pPr>
        <w:tabs>
          <w:tab w:val="left" w:pos="720"/>
        </w:tabs>
        <w:rPr>
          <w:kern w:val="26"/>
          <w:sz w:val="26"/>
        </w:rPr>
      </w:pPr>
      <w:r>
        <w:rPr>
          <w:kern w:val="26"/>
          <w:sz w:val="26"/>
        </w:rPr>
        <w:t>Tyrone J. Christy</w:t>
      </w:r>
      <w:r w:rsidR="00AB60A6" w:rsidRPr="008B4F08">
        <w:rPr>
          <w:kern w:val="26"/>
          <w:sz w:val="26"/>
        </w:rPr>
        <w:t>, Vice Chairman</w:t>
      </w:r>
    </w:p>
    <w:p w:rsidR="00AB60A6" w:rsidRPr="008B4F08" w:rsidRDefault="000A0D48" w:rsidP="00A76F8A">
      <w:pPr>
        <w:tabs>
          <w:tab w:val="left" w:pos="720"/>
        </w:tabs>
        <w:rPr>
          <w:kern w:val="26"/>
          <w:sz w:val="26"/>
        </w:rPr>
      </w:pPr>
      <w:r>
        <w:rPr>
          <w:kern w:val="26"/>
          <w:sz w:val="26"/>
        </w:rPr>
        <w:t>Wayne E. Gardner</w:t>
      </w:r>
    </w:p>
    <w:p w:rsidR="00AB60A6" w:rsidRDefault="00CB7B9D" w:rsidP="00A76F8A">
      <w:pPr>
        <w:tabs>
          <w:tab w:val="left" w:pos="720"/>
        </w:tabs>
        <w:rPr>
          <w:kern w:val="26"/>
          <w:sz w:val="26"/>
        </w:rPr>
      </w:pPr>
      <w:r>
        <w:rPr>
          <w:kern w:val="26"/>
          <w:sz w:val="26"/>
        </w:rPr>
        <w:t>Robert F. Powelson</w:t>
      </w:r>
    </w:p>
    <w:p w:rsidR="00CB7B9D" w:rsidRPr="008B4F08" w:rsidRDefault="00CB7B9D" w:rsidP="00A76F8A">
      <w:pPr>
        <w:tabs>
          <w:tab w:val="left" w:pos="720"/>
        </w:tabs>
        <w:rPr>
          <w:kern w:val="26"/>
          <w:sz w:val="26"/>
        </w:rPr>
      </w:pPr>
    </w:p>
    <w:p w:rsidR="00AB60A6" w:rsidRPr="008B4F08" w:rsidRDefault="00AB60A6" w:rsidP="00A76F8A">
      <w:pPr>
        <w:tabs>
          <w:tab w:val="left" w:pos="720"/>
        </w:tabs>
        <w:rPr>
          <w:kern w:val="26"/>
          <w:sz w:val="26"/>
        </w:rPr>
      </w:pPr>
    </w:p>
    <w:p w:rsidR="00FC1B8B" w:rsidRPr="00DF24E6" w:rsidRDefault="00FC1B8B" w:rsidP="00A76F8A">
      <w:pPr>
        <w:tabs>
          <w:tab w:val="center" w:pos="4680"/>
        </w:tabs>
        <w:suppressAutoHyphens/>
        <w:rPr>
          <w:spacing w:val="-3"/>
          <w:sz w:val="26"/>
          <w:szCs w:val="26"/>
        </w:rPr>
      </w:pPr>
      <w:r w:rsidRPr="00DF24E6">
        <w:rPr>
          <w:spacing w:val="-3"/>
          <w:sz w:val="26"/>
          <w:szCs w:val="26"/>
        </w:rPr>
        <w:t>Pennsylvania Public Utility Commission,</w:t>
      </w:r>
      <w:r w:rsidR="00F03977">
        <w:rPr>
          <w:spacing w:val="-3"/>
          <w:sz w:val="26"/>
          <w:szCs w:val="26"/>
        </w:rPr>
        <w:t xml:space="preserve"> et</w:t>
      </w:r>
      <w:r w:rsidR="00DA5D81">
        <w:rPr>
          <w:spacing w:val="-3"/>
          <w:sz w:val="26"/>
          <w:szCs w:val="26"/>
        </w:rPr>
        <w:t xml:space="preserve"> </w:t>
      </w:r>
      <w:r w:rsidRPr="00DF24E6">
        <w:rPr>
          <w:spacing w:val="-3"/>
          <w:sz w:val="26"/>
          <w:szCs w:val="26"/>
        </w:rPr>
        <w:t xml:space="preserve">al. </w:t>
      </w:r>
      <w:r w:rsidR="00DF24E6">
        <w:rPr>
          <w:spacing w:val="-3"/>
          <w:sz w:val="26"/>
          <w:szCs w:val="26"/>
        </w:rPr>
        <w:tab/>
      </w:r>
      <w:r w:rsidRPr="00DF24E6">
        <w:rPr>
          <w:spacing w:val="-3"/>
          <w:sz w:val="26"/>
          <w:szCs w:val="26"/>
        </w:rPr>
        <w:tab/>
      </w:r>
      <w:r w:rsidRPr="00DF24E6">
        <w:rPr>
          <w:spacing w:val="-3"/>
          <w:sz w:val="26"/>
          <w:szCs w:val="26"/>
        </w:rPr>
        <w:tab/>
        <w:t xml:space="preserve">R-2009-2132019 </w:t>
      </w:r>
    </w:p>
    <w:p w:rsidR="00FC1B8B" w:rsidRPr="00DF24E6" w:rsidRDefault="00FC1B8B" w:rsidP="00A76F8A">
      <w:pPr>
        <w:tabs>
          <w:tab w:val="left" w:pos="-720"/>
        </w:tabs>
        <w:suppressAutoHyphens/>
        <w:rPr>
          <w:spacing w:val="-3"/>
          <w:sz w:val="26"/>
          <w:szCs w:val="26"/>
        </w:rPr>
      </w:pPr>
      <w:r w:rsidRPr="00DF24E6">
        <w:rPr>
          <w:spacing w:val="-3"/>
          <w:sz w:val="26"/>
          <w:szCs w:val="26"/>
        </w:rPr>
        <w:tab/>
      </w:r>
      <w:r w:rsidRPr="00DF24E6">
        <w:rPr>
          <w:spacing w:val="-3"/>
          <w:sz w:val="26"/>
          <w:szCs w:val="26"/>
        </w:rPr>
        <w:tab/>
      </w:r>
      <w:r w:rsidRPr="00DF24E6">
        <w:rPr>
          <w:spacing w:val="-3"/>
          <w:sz w:val="26"/>
          <w:szCs w:val="26"/>
        </w:rPr>
        <w:tab/>
      </w:r>
      <w:r w:rsidRPr="00DF24E6">
        <w:rPr>
          <w:spacing w:val="-3"/>
          <w:sz w:val="26"/>
          <w:szCs w:val="26"/>
        </w:rPr>
        <w:tab/>
      </w:r>
      <w:r w:rsidRPr="00DF24E6">
        <w:rPr>
          <w:spacing w:val="-3"/>
          <w:sz w:val="26"/>
          <w:szCs w:val="26"/>
        </w:rPr>
        <w:tab/>
      </w:r>
      <w:r w:rsidRPr="00DF24E6">
        <w:rPr>
          <w:spacing w:val="-3"/>
          <w:sz w:val="26"/>
          <w:szCs w:val="26"/>
        </w:rPr>
        <w:tab/>
      </w:r>
      <w:r w:rsidR="00917AAA" w:rsidRPr="00DF24E6">
        <w:rPr>
          <w:spacing w:val="-3"/>
          <w:sz w:val="26"/>
          <w:szCs w:val="26"/>
        </w:rPr>
        <w:fldChar w:fldCharType="begin"/>
      </w:r>
      <w:r w:rsidRPr="00DF24E6">
        <w:rPr>
          <w:spacing w:val="-3"/>
          <w:sz w:val="26"/>
          <w:szCs w:val="26"/>
        </w:rPr>
        <w:instrText>fillin "Complainant's Name" \d ""</w:instrText>
      </w:r>
      <w:r w:rsidR="00917AAA" w:rsidRPr="00DF24E6">
        <w:rPr>
          <w:spacing w:val="-3"/>
          <w:sz w:val="26"/>
          <w:szCs w:val="26"/>
        </w:rPr>
        <w:fldChar w:fldCharType="end"/>
      </w:r>
      <w:r w:rsidR="00DA5D81">
        <w:rPr>
          <w:spacing w:val="-3"/>
          <w:sz w:val="26"/>
          <w:szCs w:val="26"/>
        </w:rPr>
        <w:tab/>
      </w:r>
      <w:r w:rsidRPr="00DF24E6">
        <w:rPr>
          <w:spacing w:val="-3"/>
          <w:sz w:val="26"/>
          <w:szCs w:val="26"/>
        </w:rPr>
        <w:tab/>
      </w:r>
      <w:r w:rsidRPr="00DF24E6">
        <w:rPr>
          <w:spacing w:val="-3"/>
          <w:sz w:val="26"/>
          <w:szCs w:val="26"/>
        </w:rPr>
        <w:tab/>
        <w:t>C-2009-2143650</w:t>
      </w:r>
    </w:p>
    <w:p w:rsidR="00FC1B8B" w:rsidRPr="00DF24E6" w:rsidRDefault="00DA5D81" w:rsidP="00A76F8A">
      <w:pPr>
        <w:tabs>
          <w:tab w:val="left" w:pos="-720"/>
          <w:tab w:val="left" w:pos="720"/>
        </w:tabs>
        <w:suppressAutoHyphens/>
        <w:rPr>
          <w:spacing w:val="-3"/>
          <w:sz w:val="26"/>
          <w:szCs w:val="26"/>
        </w:rPr>
      </w:pPr>
      <w:r>
        <w:rPr>
          <w:spacing w:val="-3"/>
          <w:sz w:val="26"/>
          <w:szCs w:val="26"/>
        </w:rPr>
        <w:tab/>
        <w:t>v.</w:t>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C-2009-2143666</w:t>
      </w:r>
    </w:p>
    <w:p w:rsidR="00FC1B8B" w:rsidRPr="00DF24E6" w:rsidRDefault="00DA5D81" w:rsidP="00A76F8A">
      <w:pPr>
        <w:tabs>
          <w:tab w:val="left" w:pos="-720"/>
        </w:tabs>
        <w:suppressAutoHyphens/>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sidR="00FC1B8B" w:rsidRPr="00DF24E6">
        <w:rPr>
          <w:spacing w:val="-3"/>
          <w:sz w:val="26"/>
          <w:szCs w:val="26"/>
        </w:rPr>
        <w:tab/>
        <w:t>C-2009-2144650</w:t>
      </w:r>
    </w:p>
    <w:p w:rsidR="00FC1B8B" w:rsidRPr="00DF24E6" w:rsidRDefault="00DA5D81" w:rsidP="00A76F8A">
      <w:pPr>
        <w:tabs>
          <w:tab w:val="left" w:pos="-720"/>
        </w:tabs>
        <w:suppressAutoHyphens/>
        <w:rPr>
          <w:spacing w:val="-3"/>
          <w:sz w:val="26"/>
          <w:szCs w:val="26"/>
        </w:rPr>
      </w:pPr>
      <w:r>
        <w:rPr>
          <w:spacing w:val="-3"/>
          <w:sz w:val="26"/>
          <w:szCs w:val="26"/>
        </w:rPr>
        <w:t>Aqua Pennsylvania, Inc.</w:t>
      </w:r>
      <w:r>
        <w:rPr>
          <w:spacing w:val="-3"/>
          <w:sz w:val="26"/>
          <w:szCs w:val="26"/>
        </w:rPr>
        <w:tab/>
      </w:r>
      <w:r>
        <w:rPr>
          <w:spacing w:val="-3"/>
          <w:sz w:val="26"/>
          <w:szCs w:val="26"/>
        </w:rPr>
        <w:tab/>
      </w: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C-2009-2144761</w:t>
      </w:r>
    </w:p>
    <w:p w:rsidR="00FC1B8B" w:rsidRPr="00DF24E6" w:rsidRDefault="00FA0D9B" w:rsidP="00A76F8A">
      <w:pPr>
        <w:tabs>
          <w:tab w:val="left" w:pos="-720"/>
        </w:tabs>
        <w:suppressAutoHyphens/>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C-2009-2145028</w:t>
      </w:r>
    </w:p>
    <w:p w:rsidR="00FC1B8B" w:rsidRPr="00DF24E6" w:rsidRDefault="00FC1B8B" w:rsidP="00A76F8A">
      <w:pPr>
        <w:tabs>
          <w:tab w:val="left" w:pos="-720"/>
        </w:tabs>
        <w:suppressAutoHyphens/>
        <w:rPr>
          <w:spacing w:val="-3"/>
          <w:sz w:val="26"/>
          <w:szCs w:val="26"/>
        </w:rPr>
      </w:pPr>
      <w:r w:rsidRPr="00DF24E6">
        <w:rPr>
          <w:spacing w:val="-3"/>
          <w:sz w:val="26"/>
          <w:szCs w:val="26"/>
        </w:rPr>
        <w:tab/>
      </w:r>
      <w:r w:rsidRPr="00DF24E6">
        <w:rPr>
          <w:spacing w:val="-3"/>
          <w:sz w:val="26"/>
          <w:szCs w:val="26"/>
        </w:rPr>
        <w:tab/>
      </w:r>
      <w:r w:rsidRPr="00DF24E6">
        <w:rPr>
          <w:spacing w:val="-3"/>
          <w:sz w:val="26"/>
          <w:szCs w:val="26"/>
        </w:rPr>
        <w:tab/>
      </w:r>
      <w:r w:rsidRPr="00DF24E6">
        <w:rPr>
          <w:spacing w:val="-3"/>
          <w:sz w:val="26"/>
          <w:szCs w:val="26"/>
        </w:rPr>
        <w:tab/>
      </w:r>
      <w:r w:rsidRPr="00DF24E6">
        <w:rPr>
          <w:spacing w:val="-3"/>
          <w:sz w:val="26"/>
          <w:szCs w:val="26"/>
        </w:rPr>
        <w:tab/>
      </w:r>
      <w:r w:rsidRPr="00DF24E6">
        <w:rPr>
          <w:spacing w:val="-3"/>
          <w:sz w:val="26"/>
          <w:szCs w:val="26"/>
        </w:rPr>
        <w:tab/>
      </w:r>
      <w:r w:rsidRPr="00DF24E6">
        <w:rPr>
          <w:spacing w:val="-3"/>
          <w:sz w:val="26"/>
          <w:szCs w:val="26"/>
        </w:rPr>
        <w:tab/>
      </w:r>
      <w:r w:rsidRPr="00DF24E6">
        <w:rPr>
          <w:spacing w:val="-3"/>
          <w:sz w:val="26"/>
          <w:szCs w:val="26"/>
        </w:rPr>
        <w:tab/>
      </w:r>
      <w:r w:rsidRPr="00DF24E6">
        <w:rPr>
          <w:spacing w:val="-3"/>
          <w:sz w:val="26"/>
          <w:szCs w:val="26"/>
        </w:rPr>
        <w:tab/>
        <w:t>C-2009-2145047</w:t>
      </w:r>
    </w:p>
    <w:p w:rsidR="00FC1B8B" w:rsidRPr="00DF24E6" w:rsidRDefault="00FA0D9B" w:rsidP="00A76F8A">
      <w:pPr>
        <w:tabs>
          <w:tab w:val="left" w:pos="-720"/>
        </w:tabs>
        <w:suppressAutoHyphens/>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sidR="00FC1B8B" w:rsidRPr="00DF24E6">
        <w:rPr>
          <w:spacing w:val="-3"/>
          <w:sz w:val="26"/>
          <w:szCs w:val="26"/>
        </w:rPr>
        <w:tab/>
        <w:t>C-2009-2145066</w:t>
      </w:r>
    </w:p>
    <w:p w:rsidR="00FC1B8B" w:rsidRPr="00DF24E6" w:rsidRDefault="00FA0D9B"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C-2009-2145909</w:t>
      </w:r>
    </w:p>
    <w:p w:rsidR="00FC1B8B" w:rsidRPr="00DF24E6" w:rsidRDefault="00FA0D9B" w:rsidP="00A76F8A">
      <w:pPr>
        <w:tabs>
          <w:tab w:val="left" w:pos="-720"/>
        </w:tabs>
        <w:suppressAutoHyphens/>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C-2009-2146020</w:t>
      </w:r>
    </w:p>
    <w:p w:rsidR="00FC1B8B" w:rsidRPr="00DF24E6" w:rsidRDefault="00FA0D9B" w:rsidP="00A76F8A">
      <w:pPr>
        <w:tabs>
          <w:tab w:val="left" w:pos="-720"/>
        </w:tabs>
        <w:suppressAutoHyphens/>
        <w:ind w:firstLine="4290"/>
        <w:rPr>
          <w:spacing w:val="-3"/>
          <w:sz w:val="26"/>
          <w:szCs w:val="26"/>
        </w:rPr>
      </w:pP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C-2009-2146026</w:t>
      </w:r>
    </w:p>
    <w:p w:rsidR="00FC1B8B" w:rsidRPr="00DF24E6" w:rsidRDefault="00FA0D9B" w:rsidP="00A76F8A">
      <w:pPr>
        <w:tabs>
          <w:tab w:val="left" w:pos="-720"/>
        </w:tabs>
        <w:suppressAutoHyphens/>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C-2009-2146031</w:t>
      </w:r>
    </w:p>
    <w:p w:rsidR="00FC1B8B" w:rsidRPr="00DF24E6" w:rsidRDefault="00FC07DF" w:rsidP="00A76F8A">
      <w:pPr>
        <w:tabs>
          <w:tab w:val="left" w:pos="-720"/>
        </w:tabs>
        <w:suppressAutoHyphens/>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C-2009-2146243</w:t>
      </w:r>
    </w:p>
    <w:p w:rsidR="00FC1B8B" w:rsidRPr="00DF24E6" w:rsidRDefault="00FC07DF" w:rsidP="00A76F8A">
      <w:pPr>
        <w:tabs>
          <w:tab w:val="left" w:pos="-720"/>
        </w:tabs>
        <w:suppressAutoHyphens/>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C-2009-2146228</w:t>
      </w:r>
    </w:p>
    <w:p w:rsidR="00FC1B8B" w:rsidRPr="00DF24E6" w:rsidRDefault="00FC07DF" w:rsidP="00A76F8A">
      <w:pPr>
        <w:tabs>
          <w:tab w:val="left" w:pos="-720"/>
        </w:tabs>
        <w:suppressAutoHyphens/>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C-2009-2147601</w:t>
      </w:r>
    </w:p>
    <w:p w:rsidR="00FC1B8B" w:rsidRPr="00DF24E6" w:rsidRDefault="00FC07DF" w:rsidP="00A76F8A">
      <w:pPr>
        <w:tabs>
          <w:tab w:val="left" w:pos="-720"/>
        </w:tabs>
        <w:suppressAutoHyphens/>
        <w:ind w:firstLine="4290"/>
        <w:rPr>
          <w:spacing w:val="-3"/>
          <w:sz w:val="26"/>
          <w:szCs w:val="26"/>
        </w:rPr>
      </w:pP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C-2009-2148524</w:t>
      </w:r>
    </w:p>
    <w:p w:rsidR="00FC1B8B" w:rsidRPr="00DF24E6" w:rsidRDefault="00FC07DF" w:rsidP="00A76F8A">
      <w:pPr>
        <w:tabs>
          <w:tab w:val="left" w:pos="-720"/>
        </w:tabs>
        <w:suppressAutoHyphens/>
        <w:ind w:firstLine="4290"/>
        <w:rPr>
          <w:spacing w:val="-3"/>
          <w:sz w:val="26"/>
          <w:szCs w:val="26"/>
        </w:rPr>
      </w:pP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C-2009-2148289</w:t>
      </w:r>
    </w:p>
    <w:p w:rsidR="00FC1B8B" w:rsidRPr="00DF24E6" w:rsidRDefault="00FC07DF" w:rsidP="00A76F8A">
      <w:pPr>
        <w:tabs>
          <w:tab w:val="left" w:pos="-720"/>
        </w:tabs>
        <w:suppressAutoHyphens/>
        <w:ind w:firstLine="4290"/>
        <w:rPr>
          <w:spacing w:val="-3"/>
          <w:sz w:val="26"/>
          <w:szCs w:val="26"/>
        </w:rPr>
      </w:pP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C-2009-2148691</w:t>
      </w:r>
    </w:p>
    <w:p w:rsidR="00FC1B8B" w:rsidRPr="00DF24E6" w:rsidRDefault="00FC07DF" w:rsidP="00A76F8A">
      <w:pPr>
        <w:tabs>
          <w:tab w:val="left" w:pos="-720"/>
        </w:tabs>
        <w:suppressAutoHyphens/>
        <w:ind w:firstLine="4290"/>
        <w:rPr>
          <w:spacing w:val="-3"/>
          <w:sz w:val="26"/>
          <w:szCs w:val="26"/>
        </w:rPr>
      </w:pP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C-2009-2149813</w:t>
      </w:r>
    </w:p>
    <w:p w:rsidR="00FC1B8B" w:rsidRPr="00DF24E6" w:rsidRDefault="00FC07DF"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C-2009-2150065</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sidR="00FC1B8B" w:rsidRPr="00DF24E6">
        <w:rPr>
          <w:spacing w:val="-3"/>
          <w:sz w:val="26"/>
          <w:szCs w:val="26"/>
        </w:rPr>
        <w:tab/>
      </w:r>
      <w:r w:rsidR="00FC1B8B" w:rsidRPr="00DF24E6">
        <w:rPr>
          <w:spacing w:val="-3"/>
          <w:sz w:val="26"/>
          <w:szCs w:val="26"/>
        </w:rPr>
        <w:tab/>
        <w:t>C-2009-2150185</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C-2009-2150206</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C-2009-2150218</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C-2010-2150646</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C-2010-2150570</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C-2010-2150858</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C-2010-2151877</w:t>
      </w:r>
    </w:p>
    <w:p w:rsidR="00B53EC2" w:rsidRDefault="00EC3DEC" w:rsidP="00A76F8A">
      <w:pPr>
        <w:tabs>
          <w:tab w:val="left" w:pos="-720"/>
        </w:tabs>
        <w:suppressAutoHyphens/>
        <w:ind w:firstLine="4290"/>
        <w:rPr>
          <w:spacing w:val="-3"/>
          <w:sz w:val="26"/>
          <w:szCs w:val="26"/>
        </w:rPr>
        <w:sectPr w:rsidR="00B53EC2" w:rsidSect="008252E9">
          <w:footerReference w:type="even" r:id="rId8"/>
          <w:footerReference w:type="default" r:id="rId9"/>
          <w:footerReference w:type="first" r:id="rId10"/>
          <w:pgSz w:w="12240" w:h="15840"/>
          <w:pgMar w:top="1440" w:right="1440" w:bottom="1440" w:left="1440" w:header="720" w:footer="720" w:gutter="0"/>
          <w:pgNumType w:fmt="lowerLetter" w:start="1"/>
          <w:cols w:space="720"/>
          <w:titlePg/>
          <w:docGrid w:linePitch="360"/>
        </w:sect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C-2010-2151954</w:t>
      </w:r>
    </w:p>
    <w:p w:rsidR="00FC1B8B" w:rsidRPr="00DF24E6" w:rsidRDefault="00EC3DEC" w:rsidP="00A76F8A">
      <w:pPr>
        <w:tabs>
          <w:tab w:val="left" w:pos="-720"/>
        </w:tabs>
        <w:suppressAutoHyphens/>
        <w:ind w:firstLine="4290"/>
        <w:rPr>
          <w:spacing w:val="-3"/>
          <w:sz w:val="26"/>
          <w:szCs w:val="26"/>
        </w:rPr>
      </w:pPr>
      <w:r>
        <w:rPr>
          <w:spacing w:val="-3"/>
          <w:sz w:val="26"/>
          <w:szCs w:val="26"/>
        </w:rPr>
        <w:lastRenderedPageBreak/>
        <w:tab/>
      </w:r>
      <w:r>
        <w:rPr>
          <w:spacing w:val="-3"/>
          <w:sz w:val="26"/>
          <w:szCs w:val="26"/>
        </w:rPr>
        <w:tab/>
      </w:r>
      <w:r>
        <w:rPr>
          <w:spacing w:val="-3"/>
          <w:sz w:val="26"/>
          <w:szCs w:val="26"/>
        </w:rPr>
        <w:tab/>
      </w:r>
      <w:r w:rsidR="00FC1B8B" w:rsidRPr="00DF24E6">
        <w:rPr>
          <w:spacing w:val="-3"/>
          <w:sz w:val="26"/>
          <w:szCs w:val="26"/>
        </w:rPr>
        <w:tab/>
        <w:t>C-2010-2152051</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C-2010-2152328</w:t>
      </w:r>
    </w:p>
    <w:p w:rsidR="00FC1B8B" w:rsidRPr="00DF24E6" w:rsidRDefault="00FC1B8B" w:rsidP="00A76F8A">
      <w:pPr>
        <w:tabs>
          <w:tab w:val="left" w:pos="-720"/>
        </w:tabs>
        <w:suppressAutoHyphens/>
        <w:ind w:firstLine="4290"/>
        <w:rPr>
          <w:spacing w:val="-3"/>
          <w:sz w:val="26"/>
          <w:szCs w:val="26"/>
        </w:rPr>
      </w:pPr>
      <w:r w:rsidRPr="00DF24E6">
        <w:rPr>
          <w:spacing w:val="-3"/>
          <w:sz w:val="26"/>
          <w:szCs w:val="26"/>
        </w:rPr>
        <w:tab/>
      </w:r>
      <w:r w:rsidR="00EC3DEC">
        <w:rPr>
          <w:spacing w:val="-3"/>
          <w:sz w:val="26"/>
          <w:szCs w:val="26"/>
        </w:rPr>
        <w:tab/>
      </w:r>
      <w:r w:rsidR="00EC3DEC">
        <w:rPr>
          <w:spacing w:val="-3"/>
          <w:sz w:val="26"/>
          <w:szCs w:val="26"/>
        </w:rPr>
        <w:tab/>
      </w:r>
      <w:r w:rsidRPr="00DF24E6">
        <w:rPr>
          <w:spacing w:val="-3"/>
          <w:sz w:val="26"/>
          <w:szCs w:val="26"/>
        </w:rPr>
        <w:tab/>
        <w:t>C-2010-2152596</w:t>
      </w:r>
      <w:r w:rsidRPr="00DF24E6">
        <w:rPr>
          <w:spacing w:val="-3"/>
          <w:sz w:val="26"/>
          <w:szCs w:val="26"/>
        </w:rPr>
        <w:tab/>
      </w:r>
      <w:r w:rsidRPr="00DF24E6">
        <w:rPr>
          <w:spacing w:val="-3"/>
          <w:sz w:val="26"/>
          <w:szCs w:val="26"/>
        </w:rPr>
        <w:tab/>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C-2010-2153365</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C-2010-2153419</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C-2010-2154289</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C-2010-2154319</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C-2010-2155875</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C-2010-2155913</w:t>
      </w:r>
    </w:p>
    <w:p w:rsidR="00FC1B8B" w:rsidRPr="00DF24E6" w:rsidRDefault="00EC3DEC" w:rsidP="00A76F8A">
      <w:pPr>
        <w:tabs>
          <w:tab w:val="left" w:pos="-720"/>
        </w:tabs>
        <w:suppressAutoHyphens/>
        <w:ind w:firstLine="4290"/>
        <w:rPr>
          <w:spacing w:val="-3"/>
          <w:sz w:val="26"/>
          <w:szCs w:val="26"/>
        </w:rPr>
      </w:pPr>
      <w:r>
        <w:rPr>
          <w:spacing w:val="-3"/>
          <w:sz w:val="26"/>
          <w:szCs w:val="26"/>
        </w:rPr>
        <w:tab/>
      </w:r>
      <w:r>
        <w:rPr>
          <w:spacing w:val="-3"/>
          <w:sz w:val="26"/>
          <w:szCs w:val="26"/>
        </w:rPr>
        <w:tab/>
      </w:r>
      <w:r>
        <w:rPr>
          <w:spacing w:val="-3"/>
          <w:sz w:val="26"/>
          <w:szCs w:val="26"/>
        </w:rPr>
        <w:tab/>
      </w:r>
      <w:r w:rsidR="00FC1B8B" w:rsidRPr="00DF24E6">
        <w:rPr>
          <w:spacing w:val="-3"/>
          <w:sz w:val="26"/>
          <w:szCs w:val="26"/>
        </w:rPr>
        <w:tab/>
        <w:t>C-2010-2167238</w:t>
      </w:r>
    </w:p>
    <w:p w:rsidR="00AB60A6" w:rsidRDefault="00AB60A6" w:rsidP="00A76F8A">
      <w:pPr>
        <w:tabs>
          <w:tab w:val="left" w:pos="720"/>
        </w:tabs>
        <w:rPr>
          <w:kern w:val="26"/>
          <w:sz w:val="26"/>
        </w:rPr>
      </w:pPr>
    </w:p>
    <w:p w:rsidR="008252E9" w:rsidRDefault="008252E9" w:rsidP="00A76F8A">
      <w:pPr>
        <w:tabs>
          <w:tab w:val="left" w:pos="720"/>
        </w:tabs>
        <w:rPr>
          <w:kern w:val="26"/>
          <w:sz w:val="26"/>
        </w:rPr>
        <w:sectPr w:rsidR="008252E9" w:rsidSect="008252E9">
          <w:pgSz w:w="12240" w:h="15840"/>
          <w:pgMar w:top="1440" w:right="1440" w:bottom="1440" w:left="1440" w:header="720" w:footer="720" w:gutter="0"/>
          <w:pgNumType w:fmt="lowerLetter" w:start="1"/>
          <w:cols w:space="720"/>
          <w:titlePg/>
          <w:docGrid w:linePitch="360"/>
        </w:sectPr>
      </w:pPr>
    </w:p>
    <w:p w:rsidR="00867ED9" w:rsidRPr="009C3B6D" w:rsidRDefault="00867ED9" w:rsidP="00A76F8A">
      <w:pPr>
        <w:jc w:val="center"/>
        <w:rPr>
          <w:b/>
        </w:rPr>
      </w:pPr>
      <w:r w:rsidRPr="009C3B6D">
        <w:rPr>
          <w:b/>
        </w:rPr>
        <w:lastRenderedPageBreak/>
        <w:t>TABLE OF CONTENTS</w:t>
      </w:r>
    </w:p>
    <w:p w:rsidR="00867ED9" w:rsidRPr="00457F68" w:rsidRDefault="00867ED9" w:rsidP="00A76F8A">
      <w:pPr>
        <w:jc w:val="center"/>
      </w:pPr>
    </w:p>
    <w:p w:rsidR="00627145" w:rsidRDefault="00917AAA">
      <w:pPr>
        <w:pStyle w:val="TOC1"/>
        <w:rPr>
          <w:rFonts w:asciiTheme="minorHAnsi" w:eastAsiaTheme="minorEastAsia" w:hAnsiTheme="minorHAnsi" w:cstheme="minorBidi"/>
          <w:sz w:val="22"/>
          <w:szCs w:val="22"/>
        </w:rPr>
      </w:pPr>
      <w:r>
        <w:fldChar w:fldCharType="begin"/>
      </w:r>
      <w:r w:rsidR="009C3B6D">
        <w:instrText xml:space="preserve"> TOC \o "1-5" \h \z \u </w:instrText>
      </w:r>
      <w:r>
        <w:fldChar w:fldCharType="separate"/>
      </w:r>
      <w:hyperlink w:anchor="_Toc264354739" w:history="1">
        <w:r w:rsidR="00627145" w:rsidRPr="00777EB5">
          <w:rPr>
            <w:rStyle w:val="Hyperlink"/>
          </w:rPr>
          <w:t>I.</w:t>
        </w:r>
        <w:r w:rsidR="00627145">
          <w:rPr>
            <w:rFonts w:asciiTheme="minorHAnsi" w:eastAsiaTheme="minorEastAsia" w:hAnsiTheme="minorHAnsi" w:cstheme="minorBidi"/>
            <w:sz w:val="22"/>
            <w:szCs w:val="22"/>
          </w:rPr>
          <w:tab/>
        </w:r>
        <w:r w:rsidR="00627145" w:rsidRPr="00777EB5">
          <w:rPr>
            <w:rStyle w:val="Hyperlink"/>
          </w:rPr>
          <w:t xml:space="preserve"> History of the Proceeding</w:t>
        </w:r>
        <w:r w:rsidR="00627145">
          <w:rPr>
            <w:webHidden/>
          </w:rPr>
          <w:tab/>
        </w:r>
        <w:r>
          <w:rPr>
            <w:webHidden/>
          </w:rPr>
          <w:fldChar w:fldCharType="begin"/>
        </w:r>
        <w:r w:rsidR="00627145">
          <w:rPr>
            <w:webHidden/>
          </w:rPr>
          <w:instrText xml:space="preserve"> PAGEREF _Toc264354739 \h </w:instrText>
        </w:r>
        <w:r>
          <w:rPr>
            <w:webHidden/>
          </w:rPr>
        </w:r>
        <w:r>
          <w:rPr>
            <w:webHidden/>
          </w:rPr>
          <w:fldChar w:fldCharType="separate"/>
        </w:r>
        <w:r w:rsidR="005D6A4B">
          <w:rPr>
            <w:webHidden/>
          </w:rPr>
          <w:t>1</w:t>
        </w:r>
        <w:r>
          <w:rPr>
            <w:webHidden/>
          </w:rPr>
          <w:fldChar w:fldCharType="end"/>
        </w:r>
      </w:hyperlink>
    </w:p>
    <w:p w:rsidR="00627145" w:rsidRDefault="00917AAA">
      <w:pPr>
        <w:pStyle w:val="TOC1"/>
        <w:rPr>
          <w:rFonts w:asciiTheme="minorHAnsi" w:eastAsiaTheme="minorEastAsia" w:hAnsiTheme="minorHAnsi" w:cstheme="minorBidi"/>
          <w:sz w:val="22"/>
          <w:szCs w:val="22"/>
        </w:rPr>
      </w:pPr>
      <w:hyperlink w:anchor="_Toc264354740" w:history="1">
        <w:r w:rsidR="00627145" w:rsidRPr="00777EB5">
          <w:rPr>
            <w:rStyle w:val="Hyperlink"/>
          </w:rPr>
          <w:t>II.</w:t>
        </w:r>
        <w:r w:rsidR="00627145">
          <w:rPr>
            <w:rFonts w:asciiTheme="minorHAnsi" w:eastAsiaTheme="minorEastAsia" w:hAnsiTheme="minorHAnsi" w:cstheme="minorBidi"/>
            <w:sz w:val="22"/>
            <w:szCs w:val="22"/>
          </w:rPr>
          <w:tab/>
        </w:r>
        <w:r w:rsidR="00627145" w:rsidRPr="00777EB5">
          <w:rPr>
            <w:rStyle w:val="Hyperlink"/>
          </w:rPr>
          <w:t>Description of the Company</w:t>
        </w:r>
        <w:r w:rsidR="00627145">
          <w:rPr>
            <w:webHidden/>
          </w:rPr>
          <w:tab/>
        </w:r>
        <w:r>
          <w:rPr>
            <w:webHidden/>
          </w:rPr>
          <w:fldChar w:fldCharType="begin"/>
        </w:r>
        <w:r w:rsidR="00627145">
          <w:rPr>
            <w:webHidden/>
          </w:rPr>
          <w:instrText xml:space="preserve"> PAGEREF _Toc264354740 \h </w:instrText>
        </w:r>
        <w:r>
          <w:rPr>
            <w:webHidden/>
          </w:rPr>
        </w:r>
        <w:r>
          <w:rPr>
            <w:webHidden/>
          </w:rPr>
          <w:fldChar w:fldCharType="separate"/>
        </w:r>
        <w:r w:rsidR="005D6A4B">
          <w:rPr>
            <w:webHidden/>
          </w:rPr>
          <w:t>6</w:t>
        </w:r>
        <w:r>
          <w:rPr>
            <w:webHidden/>
          </w:rPr>
          <w:fldChar w:fldCharType="end"/>
        </w:r>
      </w:hyperlink>
    </w:p>
    <w:p w:rsidR="00627145" w:rsidRDefault="00917AAA">
      <w:pPr>
        <w:pStyle w:val="TOC1"/>
        <w:rPr>
          <w:rFonts w:asciiTheme="minorHAnsi" w:eastAsiaTheme="minorEastAsia" w:hAnsiTheme="minorHAnsi" w:cstheme="minorBidi"/>
          <w:sz w:val="22"/>
          <w:szCs w:val="22"/>
        </w:rPr>
      </w:pPr>
      <w:hyperlink w:anchor="_Toc264354741" w:history="1">
        <w:r w:rsidR="00627145" w:rsidRPr="00777EB5">
          <w:rPr>
            <w:rStyle w:val="Hyperlink"/>
          </w:rPr>
          <w:t>III.</w:t>
        </w:r>
        <w:r w:rsidR="00627145">
          <w:rPr>
            <w:rFonts w:asciiTheme="minorHAnsi" w:eastAsiaTheme="minorEastAsia" w:hAnsiTheme="minorHAnsi" w:cstheme="minorBidi"/>
            <w:sz w:val="22"/>
            <w:szCs w:val="22"/>
          </w:rPr>
          <w:tab/>
        </w:r>
        <w:r w:rsidR="00627145" w:rsidRPr="00777EB5">
          <w:rPr>
            <w:rStyle w:val="Hyperlink"/>
          </w:rPr>
          <w:t>Discussion</w:t>
        </w:r>
        <w:r w:rsidR="00627145">
          <w:rPr>
            <w:webHidden/>
          </w:rPr>
          <w:tab/>
        </w:r>
        <w:r>
          <w:rPr>
            <w:webHidden/>
          </w:rPr>
          <w:fldChar w:fldCharType="begin"/>
        </w:r>
        <w:r w:rsidR="00627145">
          <w:rPr>
            <w:webHidden/>
          </w:rPr>
          <w:instrText xml:space="preserve"> PAGEREF _Toc264354741 \h </w:instrText>
        </w:r>
        <w:r>
          <w:rPr>
            <w:webHidden/>
          </w:rPr>
        </w:r>
        <w:r>
          <w:rPr>
            <w:webHidden/>
          </w:rPr>
          <w:fldChar w:fldCharType="separate"/>
        </w:r>
        <w:r w:rsidR="005D6A4B">
          <w:rPr>
            <w:webHidden/>
          </w:rPr>
          <w:t>6</w:t>
        </w:r>
        <w:r>
          <w:rPr>
            <w:webHidden/>
          </w:rPr>
          <w:fldChar w:fldCharType="end"/>
        </w:r>
      </w:hyperlink>
    </w:p>
    <w:p w:rsidR="00627145" w:rsidRDefault="00917AAA">
      <w:pPr>
        <w:pStyle w:val="TOC2"/>
        <w:rPr>
          <w:rFonts w:asciiTheme="minorHAnsi" w:eastAsiaTheme="minorEastAsia" w:hAnsiTheme="minorHAnsi" w:cstheme="minorBidi"/>
          <w:noProof/>
          <w:sz w:val="22"/>
          <w:szCs w:val="22"/>
        </w:rPr>
      </w:pPr>
      <w:hyperlink w:anchor="_Toc264354742" w:history="1">
        <w:r w:rsidR="00627145" w:rsidRPr="00777EB5">
          <w:rPr>
            <w:rStyle w:val="Hyperlink"/>
            <w:noProof/>
          </w:rPr>
          <w:t>A.</w:t>
        </w:r>
        <w:r w:rsidR="00627145">
          <w:rPr>
            <w:rFonts w:asciiTheme="minorHAnsi" w:eastAsiaTheme="minorEastAsia" w:hAnsiTheme="minorHAnsi" w:cstheme="minorBidi"/>
            <w:noProof/>
            <w:sz w:val="22"/>
            <w:szCs w:val="22"/>
          </w:rPr>
          <w:tab/>
        </w:r>
        <w:r w:rsidR="00627145" w:rsidRPr="00777EB5">
          <w:rPr>
            <w:rStyle w:val="Hyperlink"/>
            <w:noProof/>
          </w:rPr>
          <w:t>Public Input Hearings</w:t>
        </w:r>
        <w:r w:rsidR="00627145">
          <w:rPr>
            <w:noProof/>
            <w:webHidden/>
          </w:rPr>
          <w:tab/>
        </w:r>
        <w:r>
          <w:rPr>
            <w:noProof/>
            <w:webHidden/>
          </w:rPr>
          <w:fldChar w:fldCharType="begin"/>
        </w:r>
        <w:r w:rsidR="00627145">
          <w:rPr>
            <w:noProof/>
            <w:webHidden/>
          </w:rPr>
          <w:instrText xml:space="preserve"> PAGEREF _Toc264354742 \h </w:instrText>
        </w:r>
        <w:r>
          <w:rPr>
            <w:noProof/>
            <w:webHidden/>
          </w:rPr>
        </w:r>
        <w:r>
          <w:rPr>
            <w:noProof/>
            <w:webHidden/>
          </w:rPr>
          <w:fldChar w:fldCharType="separate"/>
        </w:r>
        <w:r w:rsidR="005D6A4B">
          <w:rPr>
            <w:noProof/>
            <w:webHidden/>
          </w:rPr>
          <w:t>6</w:t>
        </w:r>
        <w:r>
          <w:rPr>
            <w:noProof/>
            <w:webHidden/>
          </w:rPr>
          <w:fldChar w:fldCharType="end"/>
        </w:r>
      </w:hyperlink>
    </w:p>
    <w:p w:rsidR="00627145" w:rsidRDefault="00917AAA">
      <w:pPr>
        <w:pStyle w:val="TOC2"/>
        <w:rPr>
          <w:rFonts w:asciiTheme="minorHAnsi" w:eastAsiaTheme="minorEastAsia" w:hAnsiTheme="minorHAnsi" w:cstheme="minorBidi"/>
          <w:noProof/>
          <w:sz w:val="22"/>
          <w:szCs w:val="22"/>
        </w:rPr>
      </w:pPr>
      <w:hyperlink w:anchor="_Toc264354743" w:history="1">
        <w:r w:rsidR="00627145" w:rsidRPr="00777EB5">
          <w:rPr>
            <w:rStyle w:val="Hyperlink"/>
            <w:noProof/>
          </w:rPr>
          <w:t>B.</w:t>
        </w:r>
        <w:r w:rsidR="00627145">
          <w:rPr>
            <w:rFonts w:asciiTheme="minorHAnsi" w:eastAsiaTheme="minorEastAsia" w:hAnsiTheme="minorHAnsi" w:cstheme="minorBidi"/>
            <w:noProof/>
            <w:sz w:val="22"/>
            <w:szCs w:val="22"/>
          </w:rPr>
          <w:tab/>
        </w:r>
        <w:r w:rsidR="00627145" w:rsidRPr="00777EB5">
          <w:rPr>
            <w:rStyle w:val="Hyperlink"/>
            <w:noProof/>
          </w:rPr>
          <w:t>Terms and Conditions of the Joint Settlement</w:t>
        </w:r>
        <w:r w:rsidR="00627145">
          <w:rPr>
            <w:noProof/>
            <w:webHidden/>
          </w:rPr>
          <w:tab/>
        </w:r>
        <w:r>
          <w:rPr>
            <w:noProof/>
            <w:webHidden/>
          </w:rPr>
          <w:fldChar w:fldCharType="begin"/>
        </w:r>
        <w:r w:rsidR="00627145">
          <w:rPr>
            <w:noProof/>
            <w:webHidden/>
          </w:rPr>
          <w:instrText xml:space="preserve"> PAGEREF _Toc264354743 \h </w:instrText>
        </w:r>
        <w:r>
          <w:rPr>
            <w:noProof/>
            <w:webHidden/>
          </w:rPr>
        </w:r>
        <w:r>
          <w:rPr>
            <w:noProof/>
            <w:webHidden/>
          </w:rPr>
          <w:fldChar w:fldCharType="separate"/>
        </w:r>
        <w:r w:rsidR="005D6A4B">
          <w:rPr>
            <w:noProof/>
            <w:webHidden/>
          </w:rPr>
          <w:t>7</w:t>
        </w:r>
        <w:r>
          <w:rPr>
            <w:noProof/>
            <w:webHidden/>
          </w:rPr>
          <w:fldChar w:fldCharType="end"/>
        </w:r>
      </w:hyperlink>
    </w:p>
    <w:p w:rsidR="00627145" w:rsidRDefault="00917AAA">
      <w:pPr>
        <w:pStyle w:val="TOC2"/>
        <w:rPr>
          <w:rFonts w:asciiTheme="minorHAnsi" w:eastAsiaTheme="minorEastAsia" w:hAnsiTheme="minorHAnsi" w:cstheme="minorBidi"/>
          <w:noProof/>
          <w:sz w:val="22"/>
          <w:szCs w:val="22"/>
        </w:rPr>
      </w:pPr>
      <w:hyperlink w:anchor="_Toc264354744" w:history="1">
        <w:r w:rsidR="00627145" w:rsidRPr="00777EB5">
          <w:rPr>
            <w:rStyle w:val="Hyperlink"/>
            <w:noProof/>
          </w:rPr>
          <w:t>C.</w:t>
        </w:r>
        <w:r w:rsidR="00627145">
          <w:rPr>
            <w:rFonts w:asciiTheme="minorHAnsi" w:eastAsiaTheme="minorEastAsia" w:hAnsiTheme="minorHAnsi" w:cstheme="minorBidi"/>
            <w:noProof/>
            <w:sz w:val="22"/>
            <w:szCs w:val="22"/>
          </w:rPr>
          <w:tab/>
        </w:r>
        <w:r w:rsidR="00627145" w:rsidRPr="00777EB5">
          <w:rPr>
            <w:rStyle w:val="Hyperlink"/>
            <w:noProof/>
          </w:rPr>
          <w:t>Applicable Law</w:t>
        </w:r>
        <w:r w:rsidR="00627145">
          <w:rPr>
            <w:noProof/>
            <w:webHidden/>
          </w:rPr>
          <w:tab/>
        </w:r>
        <w:r>
          <w:rPr>
            <w:noProof/>
            <w:webHidden/>
          </w:rPr>
          <w:fldChar w:fldCharType="begin"/>
        </w:r>
        <w:r w:rsidR="00627145">
          <w:rPr>
            <w:noProof/>
            <w:webHidden/>
          </w:rPr>
          <w:instrText xml:space="preserve"> PAGEREF _Toc264354744 \h </w:instrText>
        </w:r>
        <w:r>
          <w:rPr>
            <w:noProof/>
            <w:webHidden/>
          </w:rPr>
        </w:r>
        <w:r>
          <w:rPr>
            <w:noProof/>
            <w:webHidden/>
          </w:rPr>
          <w:fldChar w:fldCharType="separate"/>
        </w:r>
        <w:r w:rsidR="005D6A4B">
          <w:rPr>
            <w:noProof/>
            <w:webHidden/>
          </w:rPr>
          <w:t>17</w:t>
        </w:r>
        <w:r>
          <w:rPr>
            <w:noProof/>
            <w:webHidden/>
          </w:rPr>
          <w:fldChar w:fldCharType="end"/>
        </w:r>
      </w:hyperlink>
    </w:p>
    <w:p w:rsidR="00627145" w:rsidRDefault="00917AAA">
      <w:pPr>
        <w:pStyle w:val="TOC2"/>
        <w:rPr>
          <w:rFonts w:asciiTheme="minorHAnsi" w:eastAsiaTheme="minorEastAsia" w:hAnsiTheme="minorHAnsi" w:cstheme="minorBidi"/>
          <w:noProof/>
          <w:sz w:val="22"/>
          <w:szCs w:val="22"/>
        </w:rPr>
      </w:pPr>
      <w:hyperlink w:anchor="_Toc264354745" w:history="1">
        <w:r w:rsidR="00627145" w:rsidRPr="00777EB5">
          <w:rPr>
            <w:rStyle w:val="Hyperlink"/>
            <w:noProof/>
          </w:rPr>
          <w:t>D.</w:t>
        </w:r>
        <w:r w:rsidR="00627145">
          <w:rPr>
            <w:rFonts w:asciiTheme="minorHAnsi" w:eastAsiaTheme="minorEastAsia" w:hAnsiTheme="minorHAnsi" w:cstheme="minorBidi"/>
            <w:noProof/>
            <w:sz w:val="22"/>
            <w:szCs w:val="22"/>
          </w:rPr>
          <w:tab/>
        </w:r>
        <w:r w:rsidR="00627145" w:rsidRPr="00777EB5">
          <w:rPr>
            <w:rStyle w:val="Hyperlink"/>
            <w:noProof/>
          </w:rPr>
          <w:t>Issues Presented – Specific</w:t>
        </w:r>
        <w:r w:rsidR="00627145">
          <w:rPr>
            <w:noProof/>
            <w:webHidden/>
          </w:rPr>
          <w:tab/>
        </w:r>
        <w:r>
          <w:rPr>
            <w:noProof/>
            <w:webHidden/>
          </w:rPr>
          <w:fldChar w:fldCharType="begin"/>
        </w:r>
        <w:r w:rsidR="00627145">
          <w:rPr>
            <w:noProof/>
            <w:webHidden/>
          </w:rPr>
          <w:instrText xml:space="preserve"> PAGEREF _Toc264354745 \h </w:instrText>
        </w:r>
        <w:r>
          <w:rPr>
            <w:noProof/>
            <w:webHidden/>
          </w:rPr>
        </w:r>
        <w:r>
          <w:rPr>
            <w:noProof/>
            <w:webHidden/>
          </w:rPr>
          <w:fldChar w:fldCharType="separate"/>
        </w:r>
        <w:r w:rsidR="005D6A4B">
          <w:rPr>
            <w:noProof/>
            <w:webHidden/>
          </w:rPr>
          <w:t>19</w:t>
        </w:r>
        <w:r>
          <w:rPr>
            <w:noProof/>
            <w:webHidden/>
          </w:rPr>
          <w:fldChar w:fldCharType="end"/>
        </w:r>
      </w:hyperlink>
    </w:p>
    <w:p w:rsidR="00627145" w:rsidRDefault="00917AAA">
      <w:pPr>
        <w:pStyle w:val="TOC3"/>
        <w:rPr>
          <w:rFonts w:asciiTheme="minorHAnsi" w:eastAsiaTheme="minorEastAsia" w:hAnsiTheme="minorHAnsi" w:cstheme="minorBidi"/>
          <w:noProof/>
          <w:sz w:val="22"/>
          <w:szCs w:val="22"/>
        </w:rPr>
      </w:pPr>
      <w:hyperlink w:anchor="_Toc264354746" w:history="1">
        <w:r w:rsidR="00627145" w:rsidRPr="00777EB5">
          <w:rPr>
            <w:rStyle w:val="Hyperlink"/>
            <w:noProof/>
          </w:rPr>
          <w:t>1.</w:t>
        </w:r>
        <w:r w:rsidR="00627145">
          <w:rPr>
            <w:rFonts w:asciiTheme="minorHAnsi" w:eastAsiaTheme="minorEastAsia" w:hAnsiTheme="minorHAnsi" w:cstheme="minorBidi"/>
            <w:noProof/>
            <w:sz w:val="22"/>
            <w:szCs w:val="22"/>
          </w:rPr>
          <w:tab/>
        </w:r>
        <w:r w:rsidR="00627145" w:rsidRPr="00777EB5">
          <w:rPr>
            <w:rStyle w:val="Hyperlink"/>
            <w:noProof/>
          </w:rPr>
          <w:t>Current Financial Climate</w:t>
        </w:r>
        <w:r w:rsidR="00627145">
          <w:rPr>
            <w:noProof/>
            <w:webHidden/>
          </w:rPr>
          <w:tab/>
        </w:r>
        <w:r>
          <w:rPr>
            <w:noProof/>
            <w:webHidden/>
          </w:rPr>
          <w:fldChar w:fldCharType="begin"/>
        </w:r>
        <w:r w:rsidR="00627145">
          <w:rPr>
            <w:noProof/>
            <w:webHidden/>
          </w:rPr>
          <w:instrText xml:space="preserve"> PAGEREF _Toc264354746 \h </w:instrText>
        </w:r>
        <w:r>
          <w:rPr>
            <w:noProof/>
            <w:webHidden/>
          </w:rPr>
        </w:r>
        <w:r>
          <w:rPr>
            <w:noProof/>
            <w:webHidden/>
          </w:rPr>
          <w:fldChar w:fldCharType="separate"/>
        </w:r>
        <w:r w:rsidR="005D6A4B">
          <w:rPr>
            <w:noProof/>
            <w:webHidden/>
          </w:rPr>
          <w:t>20</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47" w:history="1">
        <w:r w:rsidR="00627145" w:rsidRPr="00777EB5">
          <w:rPr>
            <w:rStyle w:val="Hyperlink"/>
            <w:noProof/>
          </w:rPr>
          <w:t>a.</w:t>
        </w:r>
        <w:r w:rsidR="00627145">
          <w:rPr>
            <w:rFonts w:asciiTheme="minorHAnsi" w:eastAsiaTheme="minorEastAsia" w:hAnsiTheme="minorHAnsi" w:cstheme="minorBidi"/>
            <w:noProof/>
            <w:sz w:val="22"/>
            <w:szCs w:val="22"/>
          </w:rPr>
          <w:tab/>
        </w:r>
        <w:r w:rsidR="00627145" w:rsidRPr="00777EB5">
          <w:rPr>
            <w:rStyle w:val="Hyperlink"/>
            <w:noProof/>
          </w:rPr>
          <w:t>Positions of the Parties</w:t>
        </w:r>
        <w:r w:rsidR="00627145">
          <w:rPr>
            <w:noProof/>
            <w:webHidden/>
          </w:rPr>
          <w:tab/>
        </w:r>
        <w:r>
          <w:rPr>
            <w:noProof/>
            <w:webHidden/>
          </w:rPr>
          <w:fldChar w:fldCharType="begin"/>
        </w:r>
        <w:r w:rsidR="00627145">
          <w:rPr>
            <w:noProof/>
            <w:webHidden/>
          </w:rPr>
          <w:instrText xml:space="preserve"> PAGEREF _Toc264354747 \h </w:instrText>
        </w:r>
        <w:r>
          <w:rPr>
            <w:noProof/>
            <w:webHidden/>
          </w:rPr>
        </w:r>
        <w:r>
          <w:rPr>
            <w:noProof/>
            <w:webHidden/>
          </w:rPr>
          <w:fldChar w:fldCharType="separate"/>
        </w:r>
        <w:r w:rsidR="005D6A4B">
          <w:rPr>
            <w:noProof/>
            <w:webHidden/>
          </w:rPr>
          <w:t>20</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48" w:history="1">
        <w:r w:rsidR="00627145" w:rsidRPr="00777EB5">
          <w:rPr>
            <w:rStyle w:val="Hyperlink"/>
            <w:noProof/>
          </w:rPr>
          <w:t>b.</w:t>
        </w:r>
        <w:r w:rsidR="00627145">
          <w:rPr>
            <w:rFonts w:asciiTheme="minorHAnsi" w:eastAsiaTheme="minorEastAsia" w:hAnsiTheme="minorHAnsi" w:cstheme="minorBidi"/>
            <w:noProof/>
            <w:sz w:val="22"/>
            <w:szCs w:val="22"/>
          </w:rPr>
          <w:tab/>
        </w:r>
        <w:r w:rsidR="00627145" w:rsidRPr="00777EB5">
          <w:rPr>
            <w:rStyle w:val="Hyperlink"/>
            <w:noProof/>
          </w:rPr>
          <w:t>ALJ’s Recommendation</w:t>
        </w:r>
        <w:r w:rsidR="00627145">
          <w:rPr>
            <w:noProof/>
            <w:webHidden/>
          </w:rPr>
          <w:tab/>
        </w:r>
        <w:r>
          <w:rPr>
            <w:noProof/>
            <w:webHidden/>
          </w:rPr>
          <w:fldChar w:fldCharType="begin"/>
        </w:r>
        <w:r w:rsidR="00627145">
          <w:rPr>
            <w:noProof/>
            <w:webHidden/>
          </w:rPr>
          <w:instrText xml:space="preserve"> PAGEREF _Toc264354748 \h </w:instrText>
        </w:r>
        <w:r>
          <w:rPr>
            <w:noProof/>
            <w:webHidden/>
          </w:rPr>
        </w:r>
        <w:r>
          <w:rPr>
            <w:noProof/>
            <w:webHidden/>
          </w:rPr>
          <w:fldChar w:fldCharType="separate"/>
        </w:r>
        <w:r w:rsidR="005D6A4B">
          <w:rPr>
            <w:noProof/>
            <w:webHidden/>
          </w:rPr>
          <w:t>20</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49" w:history="1">
        <w:r w:rsidR="00627145" w:rsidRPr="00777EB5">
          <w:rPr>
            <w:rStyle w:val="Hyperlink"/>
            <w:noProof/>
          </w:rPr>
          <w:t>c.</w:t>
        </w:r>
        <w:r w:rsidR="00627145">
          <w:rPr>
            <w:rFonts w:asciiTheme="minorHAnsi" w:eastAsiaTheme="minorEastAsia" w:hAnsiTheme="minorHAnsi" w:cstheme="minorBidi"/>
            <w:noProof/>
            <w:sz w:val="22"/>
            <w:szCs w:val="22"/>
          </w:rPr>
          <w:tab/>
        </w:r>
        <w:r w:rsidR="00627145" w:rsidRPr="00777EB5">
          <w:rPr>
            <w:rStyle w:val="Hyperlink"/>
            <w:noProof/>
          </w:rPr>
          <w:t>Disposition</w:t>
        </w:r>
        <w:r w:rsidR="00627145">
          <w:rPr>
            <w:noProof/>
            <w:webHidden/>
          </w:rPr>
          <w:tab/>
        </w:r>
        <w:r>
          <w:rPr>
            <w:noProof/>
            <w:webHidden/>
          </w:rPr>
          <w:fldChar w:fldCharType="begin"/>
        </w:r>
        <w:r w:rsidR="00627145">
          <w:rPr>
            <w:noProof/>
            <w:webHidden/>
          </w:rPr>
          <w:instrText xml:space="preserve"> PAGEREF _Toc264354749 \h </w:instrText>
        </w:r>
        <w:r>
          <w:rPr>
            <w:noProof/>
            <w:webHidden/>
          </w:rPr>
        </w:r>
        <w:r>
          <w:rPr>
            <w:noProof/>
            <w:webHidden/>
          </w:rPr>
          <w:fldChar w:fldCharType="separate"/>
        </w:r>
        <w:r w:rsidR="005D6A4B">
          <w:rPr>
            <w:noProof/>
            <w:webHidden/>
          </w:rPr>
          <w:t>21</w:t>
        </w:r>
        <w:r>
          <w:rPr>
            <w:noProof/>
            <w:webHidden/>
          </w:rPr>
          <w:fldChar w:fldCharType="end"/>
        </w:r>
      </w:hyperlink>
    </w:p>
    <w:p w:rsidR="00627145" w:rsidRDefault="00917AAA">
      <w:pPr>
        <w:pStyle w:val="TOC3"/>
        <w:rPr>
          <w:rFonts w:asciiTheme="minorHAnsi" w:eastAsiaTheme="minorEastAsia" w:hAnsiTheme="minorHAnsi" w:cstheme="minorBidi"/>
          <w:noProof/>
          <w:sz w:val="22"/>
          <w:szCs w:val="22"/>
        </w:rPr>
      </w:pPr>
      <w:hyperlink w:anchor="_Toc264354750" w:history="1">
        <w:r w:rsidR="00627145" w:rsidRPr="00777EB5">
          <w:rPr>
            <w:rStyle w:val="Hyperlink"/>
            <w:noProof/>
          </w:rPr>
          <w:t>2.</w:t>
        </w:r>
        <w:r w:rsidR="00627145">
          <w:rPr>
            <w:rFonts w:asciiTheme="minorHAnsi" w:eastAsiaTheme="minorEastAsia" w:hAnsiTheme="minorHAnsi" w:cstheme="minorBidi"/>
            <w:noProof/>
            <w:sz w:val="22"/>
            <w:szCs w:val="22"/>
          </w:rPr>
          <w:tab/>
        </w:r>
        <w:r w:rsidR="00627145" w:rsidRPr="00777EB5">
          <w:rPr>
            <w:rStyle w:val="Hyperlink"/>
            <w:noProof/>
          </w:rPr>
          <w:t>Pay and Remuneration to Executives and Others is Unsupported</w:t>
        </w:r>
        <w:r w:rsidR="00627145">
          <w:rPr>
            <w:noProof/>
            <w:webHidden/>
          </w:rPr>
          <w:tab/>
        </w:r>
        <w:r>
          <w:rPr>
            <w:noProof/>
            <w:webHidden/>
          </w:rPr>
          <w:fldChar w:fldCharType="begin"/>
        </w:r>
        <w:r w:rsidR="00627145">
          <w:rPr>
            <w:noProof/>
            <w:webHidden/>
          </w:rPr>
          <w:instrText xml:space="preserve"> PAGEREF _Toc264354750 \h </w:instrText>
        </w:r>
        <w:r>
          <w:rPr>
            <w:noProof/>
            <w:webHidden/>
          </w:rPr>
        </w:r>
        <w:r>
          <w:rPr>
            <w:noProof/>
            <w:webHidden/>
          </w:rPr>
          <w:fldChar w:fldCharType="separate"/>
        </w:r>
        <w:r w:rsidR="005D6A4B">
          <w:rPr>
            <w:noProof/>
            <w:webHidden/>
          </w:rPr>
          <w:t>21</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51" w:history="1">
        <w:r w:rsidR="00627145" w:rsidRPr="00777EB5">
          <w:rPr>
            <w:rStyle w:val="Hyperlink"/>
            <w:noProof/>
          </w:rPr>
          <w:t>a.</w:t>
        </w:r>
        <w:r w:rsidR="00627145">
          <w:rPr>
            <w:rFonts w:asciiTheme="minorHAnsi" w:eastAsiaTheme="minorEastAsia" w:hAnsiTheme="minorHAnsi" w:cstheme="minorBidi"/>
            <w:noProof/>
            <w:sz w:val="22"/>
            <w:szCs w:val="22"/>
          </w:rPr>
          <w:tab/>
        </w:r>
        <w:r w:rsidR="00627145" w:rsidRPr="00777EB5">
          <w:rPr>
            <w:rStyle w:val="Hyperlink"/>
            <w:noProof/>
          </w:rPr>
          <w:t>Positions of the Parties</w:t>
        </w:r>
        <w:r w:rsidR="00627145">
          <w:rPr>
            <w:noProof/>
            <w:webHidden/>
          </w:rPr>
          <w:tab/>
        </w:r>
        <w:r>
          <w:rPr>
            <w:noProof/>
            <w:webHidden/>
          </w:rPr>
          <w:fldChar w:fldCharType="begin"/>
        </w:r>
        <w:r w:rsidR="00627145">
          <w:rPr>
            <w:noProof/>
            <w:webHidden/>
          </w:rPr>
          <w:instrText xml:space="preserve"> PAGEREF _Toc264354751 \h </w:instrText>
        </w:r>
        <w:r>
          <w:rPr>
            <w:noProof/>
            <w:webHidden/>
          </w:rPr>
        </w:r>
        <w:r>
          <w:rPr>
            <w:noProof/>
            <w:webHidden/>
          </w:rPr>
          <w:fldChar w:fldCharType="separate"/>
        </w:r>
        <w:r w:rsidR="005D6A4B">
          <w:rPr>
            <w:noProof/>
            <w:webHidden/>
          </w:rPr>
          <w:t>21</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52" w:history="1">
        <w:r w:rsidR="00627145" w:rsidRPr="00777EB5">
          <w:rPr>
            <w:rStyle w:val="Hyperlink"/>
            <w:noProof/>
          </w:rPr>
          <w:t>b.</w:t>
        </w:r>
        <w:r w:rsidR="00627145">
          <w:rPr>
            <w:rFonts w:asciiTheme="minorHAnsi" w:eastAsiaTheme="minorEastAsia" w:hAnsiTheme="minorHAnsi" w:cstheme="minorBidi"/>
            <w:noProof/>
            <w:sz w:val="22"/>
            <w:szCs w:val="22"/>
          </w:rPr>
          <w:tab/>
        </w:r>
        <w:r w:rsidR="00627145" w:rsidRPr="00777EB5">
          <w:rPr>
            <w:rStyle w:val="Hyperlink"/>
            <w:noProof/>
          </w:rPr>
          <w:t>ALJ’s Recommendation</w:t>
        </w:r>
        <w:r w:rsidR="00627145">
          <w:rPr>
            <w:noProof/>
            <w:webHidden/>
          </w:rPr>
          <w:tab/>
        </w:r>
        <w:r>
          <w:rPr>
            <w:noProof/>
            <w:webHidden/>
          </w:rPr>
          <w:fldChar w:fldCharType="begin"/>
        </w:r>
        <w:r w:rsidR="00627145">
          <w:rPr>
            <w:noProof/>
            <w:webHidden/>
          </w:rPr>
          <w:instrText xml:space="preserve"> PAGEREF _Toc264354752 \h </w:instrText>
        </w:r>
        <w:r>
          <w:rPr>
            <w:noProof/>
            <w:webHidden/>
          </w:rPr>
        </w:r>
        <w:r>
          <w:rPr>
            <w:noProof/>
            <w:webHidden/>
          </w:rPr>
          <w:fldChar w:fldCharType="separate"/>
        </w:r>
        <w:r w:rsidR="005D6A4B">
          <w:rPr>
            <w:noProof/>
            <w:webHidden/>
          </w:rPr>
          <w:t>22</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53" w:history="1">
        <w:r w:rsidR="00627145" w:rsidRPr="00777EB5">
          <w:rPr>
            <w:rStyle w:val="Hyperlink"/>
            <w:noProof/>
          </w:rPr>
          <w:t>c.</w:t>
        </w:r>
        <w:r w:rsidR="00627145">
          <w:rPr>
            <w:rFonts w:asciiTheme="minorHAnsi" w:eastAsiaTheme="minorEastAsia" w:hAnsiTheme="minorHAnsi" w:cstheme="minorBidi"/>
            <w:noProof/>
            <w:sz w:val="22"/>
            <w:szCs w:val="22"/>
          </w:rPr>
          <w:tab/>
        </w:r>
        <w:r w:rsidR="00627145" w:rsidRPr="00777EB5">
          <w:rPr>
            <w:rStyle w:val="Hyperlink"/>
            <w:noProof/>
          </w:rPr>
          <w:t>Disposition</w:t>
        </w:r>
        <w:r w:rsidR="00627145">
          <w:rPr>
            <w:noProof/>
            <w:webHidden/>
          </w:rPr>
          <w:tab/>
        </w:r>
        <w:r>
          <w:rPr>
            <w:noProof/>
            <w:webHidden/>
          </w:rPr>
          <w:fldChar w:fldCharType="begin"/>
        </w:r>
        <w:r w:rsidR="00627145">
          <w:rPr>
            <w:noProof/>
            <w:webHidden/>
          </w:rPr>
          <w:instrText xml:space="preserve"> PAGEREF _Toc264354753 \h </w:instrText>
        </w:r>
        <w:r>
          <w:rPr>
            <w:noProof/>
            <w:webHidden/>
          </w:rPr>
        </w:r>
        <w:r>
          <w:rPr>
            <w:noProof/>
            <w:webHidden/>
          </w:rPr>
          <w:fldChar w:fldCharType="separate"/>
        </w:r>
        <w:r w:rsidR="005D6A4B">
          <w:rPr>
            <w:noProof/>
            <w:webHidden/>
          </w:rPr>
          <w:t>23</w:t>
        </w:r>
        <w:r>
          <w:rPr>
            <w:noProof/>
            <w:webHidden/>
          </w:rPr>
          <w:fldChar w:fldCharType="end"/>
        </w:r>
      </w:hyperlink>
    </w:p>
    <w:p w:rsidR="00627145" w:rsidRDefault="00917AAA">
      <w:pPr>
        <w:pStyle w:val="TOC3"/>
        <w:rPr>
          <w:rFonts w:asciiTheme="minorHAnsi" w:eastAsiaTheme="minorEastAsia" w:hAnsiTheme="minorHAnsi" w:cstheme="minorBidi"/>
          <w:noProof/>
          <w:sz w:val="22"/>
          <w:szCs w:val="22"/>
        </w:rPr>
      </w:pPr>
      <w:hyperlink w:anchor="_Toc264354754" w:history="1">
        <w:r w:rsidR="00627145" w:rsidRPr="00777EB5">
          <w:rPr>
            <w:rStyle w:val="Hyperlink"/>
            <w:noProof/>
          </w:rPr>
          <w:t>3.</w:t>
        </w:r>
        <w:r w:rsidR="00627145">
          <w:rPr>
            <w:rFonts w:asciiTheme="minorHAnsi" w:eastAsiaTheme="minorEastAsia" w:hAnsiTheme="minorHAnsi" w:cstheme="minorBidi"/>
            <w:noProof/>
            <w:sz w:val="22"/>
            <w:szCs w:val="22"/>
          </w:rPr>
          <w:tab/>
        </w:r>
        <w:r w:rsidR="00627145" w:rsidRPr="00777EB5">
          <w:rPr>
            <w:rStyle w:val="Hyperlink"/>
            <w:noProof/>
          </w:rPr>
          <w:t>Failure to Propose Appropriate Revenue Requirement</w:t>
        </w:r>
        <w:r w:rsidR="00627145">
          <w:rPr>
            <w:noProof/>
            <w:webHidden/>
          </w:rPr>
          <w:tab/>
        </w:r>
        <w:r>
          <w:rPr>
            <w:noProof/>
            <w:webHidden/>
          </w:rPr>
          <w:fldChar w:fldCharType="begin"/>
        </w:r>
        <w:r w:rsidR="00627145">
          <w:rPr>
            <w:noProof/>
            <w:webHidden/>
          </w:rPr>
          <w:instrText xml:space="preserve"> PAGEREF _Toc264354754 \h </w:instrText>
        </w:r>
        <w:r>
          <w:rPr>
            <w:noProof/>
            <w:webHidden/>
          </w:rPr>
        </w:r>
        <w:r>
          <w:rPr>
            <w:noProof/>
            <w:webHidden/>
          </w:rPr>
          <w:fldChar w:fldCharType="separate"/>
        </w:r>
        <w:r w:rsidR="005D6A4B">
          <w:rPr>
            <w:noProof/>
            <w:webHidden/>
          </w:rPr>
          <w:t>23</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55" w:history="1">
        <w:r w:rsidR="00627145" w:rsidRPr="00777EB5">
          <w:rPr>
            <w:rStyle w:val="Hyperlink"/>
            <w:noProof/>
          </w:rPr>
          <w:t>a.</w:t>
        </w:r>
        <w:r w:rsidR="00627145">
          <w:rPr>
            <w:rFonts w:asciiTheme="minorHAnsi" w:eastAsiaTheme="minorEastAsia" w:hAnsiTheme="minorHAnsi" w:cstheme="minorBidi"/>
            <w:noProof/>
            <w:sz w:val="22"/>
            <w:szCs w:val="22"/>
          </w:rPr>
          <w:tab/>
        </w:r>
        <w:r w:rsidR="00627145" w:rsidRPr="00777EB5">
          <w:rPr>
            <w:rStyle w:val="Hyperlink"/>
            <w:noProof/>
          </w:rPr>
          <w:t>Positions of the Parties</w:t>
        </w:r>
        <w:r w:rsidR="00627145">
          <w:rPr>
            <w:noProof/>
            <w:webHidden/>
          </w:rPr>
          <w:tab/>
        </w:r>
        <w:r>
          <w:rPr>
            <w:noProof/>
            <w:webHidden/>
          </w:rPr>
          <w:fldChar w:fldCharType="begin"/>
        </w:r>
        <w:r w:rsidR="00627145">
          <w:rPr>
            <w:noProof/>
            <w:webHidden/>
          </w:rPr>
          <w:instrText xml:space="preserve"> PAGEREF _Toc264354755 \h </w:instrText>
        </w:r>
        <w:r>
          <w:rPr>
            <w:noProof/>
            <w:webHidden/>
          </w:rPr>
        </w:r>
        <w:r>
          <w:rPr>
            <w:noProof/>
            <w:webHidden/>
          </w:rPr>
          <w:fldChar w:fldCharType="separate"/>
        </w:r>
        <w:r w:rsidR="005D6A4B">
          <w:rPr>
            <w:noProof/>
            <w:webHidden/>
          </w:rPr>
          <w:t>23</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56" w:history="1">
        <w:r w:rsidR="00627145" w:rsidRPr="00777EB5">
          <w:rPr>
            <w:rStyle w:val="Hyperlink"/>
            <w:noProof/>
          </w:rPr>
          <w:t>b.</w:t>
        </w:r>
        <w:r w:rsidR="00627145">
          <w:rPr>
            <w:rFonts w:asciiTheme="minorHAnsi" w:eastAsiaTheme="minorEastAsia" w:hAnsiTheme="minorHAnsi" w:cstheme="minorBidi"/>
            <w:noProof/>
            <w:sz w:val="22"/>
            <w:szCs w:val="22"/>
          </w:rPr>
          <w:tab/>
        </w:r>
        <w:r w:rsidR="00627145" w:rsidRPr="00777EB5">
          <w:rPr>
            <w:rStyle w:val="Hyperlink"/>
            <w:noProof/>
          </w:rPr>
          <w:t>ALJ’s Recommendation</w:t>
        </w:r>
        <w:r w:rsidR="00627145">
          <w:rPr>
            <w:noProof/>
            <w:webHidden/>
          </w:rPr>
          <w:tab/>
        </w:r>
        <w:r>
          <w:rPr>
            <w:noProof/>
            <w:webHidden/>
          </w:rPr>
          <w:fldChar w:fldCharType="begin"/>
        </w:r>
        <w:r w:rsidR="00627145">
          <w:rPr>
            <w:noProof/>
            <w:webHidden/>
          </w:rPr>
          <w:instrText xml:space="preserve"> PAGEREF _Toc264354756 \h </w:instrText>
        </w:r>
        <w:r>
          <w:rPr>
            <w:noProof/>
            <w:webHidden/>
          </w:rPr>
        </w:r>
        <w:r>
          <w:rPr>
            <w:noProof/>
            <w:webHidden/>
          </w:rPr>
          <w:fldChar w:fldCharType="separate"/>
        </w:r>
        <w:r w:rsidR="005D6A4B">
          <w:rPr>
            <w:noProof/>
            <w:webHidden/>
          </w:rPr>
          <w:t>25</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57" w:history="1">
        <w:r w:rsidR="00627145" w:rsidRPr="00777EB5">
          <w:rPr>
            <w:rStyle w:val="Hyperlink"/>
            <w:noProof/>
          </w:rPr>
          <w:t>c.</w:t>
        </w:r>
        <w:r w:rsidR="00627145">
          <w:rPr>
            <w:rFonts w:asciiTheme="minorHAnsi" w:eastAsiaTheme="minorEastAsia" w:hAnsiTheme="minorHAnsi" w:cstheme="minorBidi"/>
            <w:noProof/>
            <w:sz w:val="22"/>
            <w:szCs w:val="22"/>
          </w:rPr>
          <w:tab/>
        </w:r>
        <w:r w:rsidR="00627145" w:rsidRPr="00777EB5">
          <w:rPr>
            <w:rStyle w:val="Hyperlink"/>
            <w:noProof/>
          </w:rPr>
          <w:t>Exceptions and Replies</w:t>
        </w:r>
        <w:r w:rsidR="00627145">
          <w:rPr>
            <w:noProof/>
            <w:webHidden/>
          </w:rPr>
          <w:tab/>
        </w:r>
        <w:r>
          <w:rPr>
            <w:noProof/>
            <w:webHidden/>
          </w:rPr>
          <w:fldChar w:fldCharType="begin"/>
        </w:r>
        <w:r w:rsidR="00627145">
          <w:rPr>
            <w:noProof/>
            <w:webHidden/>
          </w:rPr>
          <w:instrText xml:space="preserve"> PAGEREF _Toc264354757 \h </w:instrText>
        </w:r>
        <w:r>
          <w:rPr>
            <w:noProof/>
            <w:webHidden/>
          </w:rPr>
        </w:r>
        <w:r>
          <w:rPr>
            <w:noProof/>
            <w:webHidden/>
          </w:rPr>
          <w:fldChar w:fldCharType="separate"/>
        </w:r>
        <w:r w:rsidR="005D6A4B">
          <w:rPr>
            <w:noProof/>
            <w:webHidden/>
          </w:rPr>
          <w:t>26</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58" w:history="1">
        <w:r w:rsidR="00627145" w:rsidRPr="00777EB5">
          <w:rPr>
            <w:rStyle w:val="Hyperlink"/>
            <w:noProof/>
          </w:rPr>
          <w:t>d.</w:t>
        </w:r>
        <w:r w:rsidR="00627145">
          <w:rPr>
            <w:rFonts w:asciiTheme="minorHAnsi" w:eastAsiaTheme="minorEastAsia" w:hAnsiTheme="minorHAnsi" w:cstheme="minorBidi"/>
            <w:noProof/>
            <w:sz w:val="22"/>
            <w:szCs w:val="22"/>
          </w:rPr>
          <w:tab/>
        </w:r>
        <w:r w:rsidR="00627145" w:rsidRPr="00777EB5">
          <w:rPr>
            <w:rStyle w:val="Hyperlink"/>
            <w:noProof/>
          </w:rPr>
          <w:t>Disposition</w:t>
        </w:r>
        <w:r w:rsidR="00627145">
          <w:rPr>
            <w:noProof/>
            <w:webHidden/>
          </w:rPr>
          <w:tab/>
        </w:r>
        <w:r>
          <w:rPr>
            <w:noProof/>
            <w:webHidden/>
          </w:rPr>
          <w:fldChar w:fldCharType="begin"/>
        </w:r>
        <w:r w:rsidR="00627145">
          <w:rPr>
            <w:noProof/>
            <w:webHidden/>
          </w:rPr>
          <w:instrText xml:space="preserve"> PAGEREF _Toc264354758 \h </w:instrText>
        </w:r>
        <w:r>
          <w:rPr>
            <w:noProof/>
            <w:webHidden/>
          </w:rPr>
        </w:r>
        <w:r>
          <w:rPr>
            <w:noProof/>
            <w:webHidden/>
          </w:rPr>
          <w:fldChar w:fldCharType="separate"/>
        </w:r>
        <w:r w:rsidR="005D6A4B">
          <w:rPr>
            <w:noProof/>
            <w:webHidden/>
          </w:rPr>
          <w:t>27</w:t>
        </w:r>
        <w:r>
          <w:rPr>
            <w:noProof/>
            <w:webHidden/>
          </w:rPr>
          <w:fldChar w:fldCharType="end"/>
        </w:r>
      </w:hyperlink>
    </w:p>
    <w:p w:rsidR="00627145" w:rsidRDefault="00917AAA">
      <w:pPr>
        <w:pStyle w:val="TOC3"/>
        <w:rPr>
          <w:rFonts w:asciiTheme="minorHAnsi" w:eastAsiaTheme="minorEastAsia" w:hAnsiTheme="minorHAnsi" w:cstheme="minorBidi"/>
          <w:noProof/>
          <w:sz w:val="22"/>
          <w:szCs w:val="22"/>
        </w:rPr>
      </w:pPr>
      <w:hyperlink w:anchor="_Toc264354759" w:history="1">
        <w:r w:rsidR="00627145" w:rsidRPr="00777EB5">
          <w:rPr>
            <w:rStyle w:val="Hyperlink"/>
            <w:noProof/>
          </w:rPr>
          <w:t>4.</w:t>
        </w:r>
        <w:r w:rsidR="00627145">
          <w:rPr>
            <w:rFonts w:asciiTheme="minorHAnsi" w:eastAsiaTheme="minorEastAsia" w:hAnsiTheme="minorHAnsi" w:cstheme="minorBidi"/>
            <w:noProof/>
            <w:sz w:val="22"/>
            <w:szCs w:val="22"/>
          </w:rPr>
          <w:tab/>
        </w:r>
        <w:r w:rsidR="00627145" w:rsidRPr="00777EB5">
          <w:rPr>
            <w:rStyle w:val="Hyperlink"/>
            <w:noProof/>
          </w:rPr>
          <w:t>Inappropriate Depreciation Expense</w:t>
        </w:r>
        <w:r w:rsidR="00627145">
          <w:rPr>
            <w:noProof/>
            <w:webHidden/>
          </w:rPr>
          <w:tab/>
        </w:r>
        <w:r>
          <w:rPr>
            <w:noProof/>
            <w:webHidden/>
          </w:rPr>
          <w:fldChar w:fldCharType="begin"/>
        </w:r>
        <w:r w:rsidR="00627145">
          <w:rPr>
            <w:noProof/>
            <w:webHidden/>
          </w:rPr>
          <w:instrText xml:space="preserve"> PAGEREF _Toc264354759 \h </w:instrText>
        </w:r>
        <w:r>
          <w:rPr>
            <w:noProof/>
            <w:webHidden/>
          </w:rPr>
        </w:r>
        <w:r>
          <w:rPr>
            <w:noProof/>
            <w:webHidden/>
          </w:rPr>
          <w:fldChar w:fldCharType="separate"/>
        </w:r>
        <w:r w:rsidR="005D6A4B">
          <w:rPr>
            <w:noProof/>
            <w:webHidden/>
          </w:rPr>
          <w:t>28</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60" w:history="1">
        <w:r w:rsidR="00627145" w:rsidRPr="00777EB5">
          <w:rPr>
            <w:rStyle w:val="Hyperlink"/>
            <w:noProof/>
          </w:rPr>
          <w:t>a.</w:t>
        </w:r>
        <w:r w:rsidR="00627145">
          <w:rPr>
            <w:rFonts w:asciiTheme="minorHAnsi" w:eastAsiaTheme="minorEastAsia" w:hAnsiTheme="minorHAnsi" w:cstheme="minorBidi"/>
            <w:noProof/>
            <w:sz w:val="22"/>
            <w:szCs w:val="22"/>
          </w:rPr>
          <w:tab/>
        </w:r>
        <w:r w:rsidR="00627145" w:rsidRPr="00777EB5">
          <w:rPr>
            <w:rStyle w:val="Hyperlink"/>
            <w:noProof/>
          </w:rPr>
          <w:t>Positions of the Parties</w:t>
        </w:r>
        <w:r w:rsidR="00627145">
          <w:rPr>
            <w:noProof/>
            <w:webHidden/>
          </w:rPr>
          <w:tab/>
        </w:r>
        <w:r>
          <w:rPr>
            <w:noProof/>
            <w:webHidden/>
          </w:rPr>
          <w:fldChar w:fldCharType="begin"/>
        </w:r>
        <w:r w:rsidR="00627145">
          <w:rPr>
            <w:noProof/>
            <w:webHidden/>
          </w:rPr>
          <w:instrText xml:space="preserve"> PAGEREF _Toc264354760 \h </w:instrText>
        </w:r>
        <w:r>
          <w:rPr>
            <w:noProof/>
            <w:webHidden/>
          </w:rPr>
        </w:r>
        <w:r>
          <w:rPr>
            <w:noProof/>
            <w:webHidden/>
          </w:rPr>
          <w:fldChar w:fldCharType="separate"/>
        </w:r>
        <w:r w:rsidR="005D6A4B">
          <w:rPr>
            <w:noProof/>
            <w:webHidden/>
          </w:rPr>
          <w:t>28</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61" w:history="1">
        <w:r w:rsidR="00627145" w:rsidRPr="00777EB5">
          <w:rPr>
            <w:rStyle w:val="Hyperlink"/>
            <w:noProof/>
          </w:rPr>
          <w:t>b.</w:t>
        </w:r>
        <w:r w:rsidR="00627145">
          <w:rPr>
            <w:rFonts w:asciiTheme="minorHAnsi" w:eastAsiaTheme="minorEastAsia" w:hAnsiTheme="minorHAnsi" w:cstheme="minorBidi"/>
            <w:noProof/>
            <w:sz w:val="22"/>
            <w:szCs w:val="22"/>
          </w:rPr>
          <w:tab/>
        </w:r>
        <w:r w:rsidR="00627145" w:rsidRPr="00777EB5">
          <w:rPr>
            <w:rStyle w:val="Hyperlink"/>
            <w:noProof/>
          </w:rPr>
          <w:t>ALJ’s Recommendation</w:t>
        </w:r>
        <w:r w:rsidR="00627145">
          <w:rPr>
            <w:noProof/>
            <w:webHidden/>
          </w:rPr>
          <w:tab/>
        </w:r>
        <w:r>
          <w:rPr>
            <w:noProof/>
            <w:webHidden/>
          </w:rPr>
          <w:fldChar w:fldCharType="begin"/>
        </w:r>
        <w:r w:rsidR="00627145">
          <w:rPr>
            <w:noProof/>
            <w:webHidden/>
          </w:rPr>
          <w:instrText xml:space="preserve"> PAGEREF _Toc264354761 \h </w:instrText>
        </w:r>
        <w:r>
          <w:rPr>
            <w:noProof/>
            <w:webHidden/>
          </w:rPr>
        </w:r>
        <w:r>
          <w:rPr>
            <w:noProof/>
            <w:webHidden/>
          </w:rPr>
          <w:fldChar w:fldCharType="separate"/>
        </w:r>
        <w:r w:rsidR="005D6A4B">
          <w:rPr>
            <w:noProof/>
            <w:webHidden/>
          </w:rPr>
          <w:t>29</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62" w:history="1">
        <w:r w:rsidR="00627145" w:rsidRPr="00777EB5">
          <w:rPr>
            <w:rStyle w:val="Hyperlink"/>
            <w:noProof/>
          </w:rPr>
          <w:t>c.</w:t>
        </w:r>
        <w:r w:rsidR="00627145">
          <w:rPr>
            <w:rFonts w:asciiTheme="minorHAnsi" w:eastAsiaTheme="minorEastAsia" w:hAnsiTheme="minorHAnsi" w:cstheme="minorBidi"/>
            <w:noProof/>
            <w:sz w:val="22"/>
            <w:szCs w:val="22"/>
          </w:rPr>
          <w:tab/>
        </w:r>
        <w:r w:rsidR="00627145" w:rsidRPr="00777EB5">
          <w:rPr>
            <w:rStyle w:val="Hyperlink"/>
            <w:noProof/>
          </w:rPr>
          <w:t>Disposition</w:t>
        </w:r>
        <w:r w:rsidR="00627145">
          <w:rPr>
            <w:noProof/>
            <w:webHidden/>
          </w:rPr>
          <w:tab/>
        </w:r>
        <w:r>
          <w:rPr>
            <w:noProof/>
            <w:webHidden/>
          </w:rPr>
          <w:fldChar w:fldCharType="begin"/>
        </w:r>
        <w:r w:rsidR="00627145">
          <w:rPr>
            <w:noProof/>
            <w:webHidden/>
          </w:rPr>
          <w:instrText xml:space="preserve"> PAGEREF _Toc264354762 \h </w:instrText>
        </w:r>
        <w:r>
          <w:rPr>
            <w:noProof/>
            <w:webHidden/>
          </w:rPr>
        </w:r>
        <w:r>
          <w:rPr>
            <w:noProof/>
            <w:webHidden/>
          </w:rPr>
          <w:fldChar w:fldCharType="separate"/>
        </w:r>
        <w:r w:rsidR="005D6A4B">
          <w:rPr>
            <w:noProof/>
            <w:webHidden/>
          </w:rPr>
          <w:t>30</w:t>
        </w:r>
        <w:r>
          <w:rPr>
            <w:noProof/>
            <w:webHidden/>
          </w:rPr>
          <w:fldChar w:fldCharType="end"/>
        </w:r>
      </w:hyperlink>
    </w:p>
    <w:p w:rsidR="00627145" w:rsidRDefault="00917AAA">
      <w:pPr>
        <w:pStyle w:val="TOC3"/>
        <w:rPr>
          <w:rFonts w:asciiTheme="minorHAnsi" w:eastAsiaTheme="minorEastAsia" w:hAnsiTheme="minorHAnsi" w:cstheme="minorBidi"/>
          <w:noProof/>
          <w:sz w:val="22"/>
          <w:szCs w:val="22"/>
        </w:rPr>
      </w:pPr>
      <w:hyperlink w:anchor="_Toc264354763" w:history="1">
        <w:r w:rsidR="00627145" w:rsidRPr="00777EB5">
          <w:rPr>
            <w:rStyle w:val="Hyperlink"/>
            <w:noProof/>
          </w:rPr>
          <w:t>5.</w:t>
        </w:r>
        <w:r w:rsidR="00627145">
          <w:rPr>
            <w:rFonts w:asciiTheme="minorHAnsi" w:eastAsiaTheme="minorEastAsia" w:hAnsiTheme="minorHAnsi" w:cstheme="minorBidi"/>
            <w:noProof/>
            <w:sz w:val="22"/>
            <w:szCs w:val="22"/>
          </w:rPr>
          <w:tab/>
        </w:r>
        <w:r w:rsidR="00627145" w:rsidRPr="00777EB5">
          <w:rPr>
            <w:rStyle w:val="Hyperlink"/>
            <w:noProof/>
          </w:rPr>
          <w:t>Plant Investment in Public Fire Protection</w:t>
        </w:r>
        <w:r w:rsidR="00627145">
          <w:rPr>
            <w:noProof/>
            <w:webHidden/>
          </w:rPr>
          <w:tab/>
        </w:r>
        <w:r>
          <w:rPr>
            <w:noProof/>
            <w:webHidden/>
          </w:rPr>
          <w:fldChar w:fldCharType="begin"/>
        </w:r>
        <w:r w:rsidR="00627145">
          <w:rPr>
            <w:noProof/>
            <w:webHidden/>
          </w:rPr>
          <w:instrText xml:space="preserve"> PAGEREF _Toc264354763 \h </w:instrText>
        </w:r>
        <w:r>
          <w:rPr>
            <w:noProof/>
            <w:webHidden/>
          </w:rPr>
        </w:r>
        <w:r>
          <w:rPr>
            <w:noProof/>
            <w:webHidden/>
          </w:rPr>
          <w:fldChar w:fldCharType="separate"/>
        </w:r>
        <w:r w:rsidR="005D6A4B">
          <w:rPr>
            <w:noProof/>
            <w:webHidden/>
          </w:rPr>
          <w:t>30</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64" w:history="1">
        <w:r w:rsidR="00627145" w:rsidRPr="00777EB5">
          <w:rPr>
            <w:rStyle w:val="Hyperlink"/>
            <w:noProof/>
          </w:rPr>
          <w:t>a.</w:t>
        </w:r>
        <w:r w:rsidR="00627145">
          <w:rPr>
            <w:rFonts w:asciiTheme="minorHAnsi" w:eastAsiaTheme="minorEastAsia" w:hAnsiTheme="minorHAnsi" w:cstheme="minorBidi"/>
            <w:noProof/>
            <w:sz w:val="22"/>
            <w:szCs w:val="22"/>
          </w:rPr>
          <w:tab/>
        </w:r>
        <w:r w:rsidR="00627145" w:rsidRPr="00777EB5">
          <w:rPr>
            <w:rStyle w:val="Hyperlink"/>
            <w:noProof/>
          </w:rPr>
          <w:t>Positions of the Parties</w:t>
        </w:r>
        <w:r w:rsidR="00627145">
          <w:rPr>
            <w:noProof/>
            <w:webHidden/>
          </w:rPr>
          <w:tab/>
        </w:r>
        <w:r>
          <w:rPr>
            <w:noProof/>
            <w:webHidden/>
          </w:rPr>
          <w:fldChar w:fldCharType="begin"/>
        </w:r>
        <w:r w:rsidR="00627145">
          <w:rPr>
            <w:noProof/>
            <w:webHidden/>
          </w:rPr>
          <w:instrText xml:space="preserve"> PAGEREF _Toc264354764 \h </w:instrText>
        </w:r>
        <w:r>
          <w:rPr>
            <w:noProof/>
            <w:webHidden/>
          </w:rPr>
        </w:r>
        <w:r>
          <w:rPr>
            <w:noProof/>
            <w:webHidden/>
          </w:rPr>
          <w:fldChar w:fldCharType="separate"/>
        </w:r>
        <w:r w:rsidR="005D6A4B">
          <w:rPr>
            <w:noProof/>
            <w:webHidden/>
          </w:rPr>
          <w:t>30</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65" w:history="1">
        <w:r w:rsidR="00627145" w:rsidRPr="00777EB5">
          <w:rPr>
            <w:rStyle w:val="Hyperlink"/>
            <w:noProof/>
          </w:rPr>
          <w:t>b.</w:t>
        </w:r>
        <w:r w:rsidR="00627145">
          <w:rPr>
            <w:rFonts w:asciiTheme="minorHAnsi" w:eastAsiaTheme="minorEastAsia" w:hAnsiTheme="minorHAnsi" w:cstheme="minorBidi"/>
            <w:noProof/>
            <w:sz w:val="22"/>
            <w:szCs w:val="22"/>
          </w:rPr>
          <w:tab/>
        </w:r>
        <w:r w:rsidR="00627145" w:rsidRPr="00777EB5">
          <w:rPr>
            <w:rStyle w:val="Hyperlink"/>
            <w:noProof/>
          </w:rPr>
          <w:t>ALJ’s Recommendation</w:t>
        </w:r>
        <w:r w:rsidR="00627145">
          <w:rPr>
            <w:noProof/>
            <w:webHidden/>
          </w:rPr>
          <w:tab/>
        </w:r>
        <w:r>
          <w:rPr>
            <w:noProof/>
            <w:webHidden/>
          </w:rPr>
          <w:fldChar w:fldCharType="begin"/>
        </w:r>
        <w:r w:rsidR="00627145">
          <w:rPr>
            <w:noProof/>
            <w:webHidden/>
          </w:rPr>
          <w:instrText xml:space="preserve"> PAGEREF _Toc264354765 \h </w:instrText>
        </w:r>
        <w:r>
          <w:rPr>
            <w:noProof/>
            <w:webHidden/>
          </w:rPr>
        </w:r>
        <w:r>
          <w:rPr>
            <w:noProof/>
            <w:webHidden/>
          </w:rPr>
          <w:fldChar w:fldCharType="separate"/>
        </w:r>
        <w:r w:rsidR="005D6A4B">
          <w:rPr>
            <w:noProof/>
            <w:webHidden/>
          </w:rPr>
          <w:t>32</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66" w:history="1">
        <w:r w:rsidR="00627145" w:rsidRPr="00777EB5">
          <w:rPr>
            <w:rStyle w:val="Hyperlink"/>
            <w:noProof/>
          </w:rPr>
          <w:t>c.</w:t>
        </w:r>
        <w:r w:rsidR="00627145">
          <w:rPr>
            <w:rFonts w:asciiTheme="minorHAnsi" w:eastAsiaTheme="minorEastAsia" w:hAnsiTheme="minorHAnsi" w:cstheme="minorBidi"/>
            <w:noProof/>
            <w:sz w:val="22"/>
            <w:szCs w:val="22"/>
          </w:rPr>
          <w:tab/>
        </w:r>
        <w:r w:rsidR="00627145" w:rsidRPr="00777EB5">
          <w:rPr>
            <w:rStyle w:val="Hyperlink"/>
            <w:noProof/>
          </w:rPr>
          <w:t>Disposition</w:t>
        </w:r>
        <w:r w:rsidR="00627145">
          <w:rPr>
            <w:noProof/>
            <w:webHidden/>
          </w:rPr>
          <w:tab/>
        </w:r>
        <w:r>
          <w:rPr>
            <w:noProof/>
            <w:webHidden/>
          </w:rPr>
          <w:fldChar w:fldCharType="begin"/>
        </w:r>
        <w:r w:rsidR="00627145">
          <w:rPr>
            <w:noProof/>
            <w:webHidden/>
          </w:rPr>
          <w:instrText xml:space="preserve"> PAGEREF _Toc264354766 \h </w:instrText>
        </w:r>
        <w:r>
          <w:rPr>
            <w:noProof/>
            <w:webHidden/>
          </w:rPr>
        </w:r>
        <w:r>
          <w:rPr>
            <w:noProof/>
            <w:webHidden/>
          </w:rPr>
          <w:fldChar w:fldCharType="separate"/>
        </w:r>
        <w:r w:rsidR="005D6A4B">
          <w:rPr>
            <w:noProof/>
            <w:webHidden/>
          </w:rPr>
          <w:t>32</w:t>
        </w:r>
        <w:r>
          <w:rPr>
            <w:noProof/>
            <w:webHidden/>
          </w:rPr>
          <w:fldChar w:fldCharType="end"/>
        </w:r>
      </w:hyperlink>
    </w:p>
    <w:p w:rsidR="00627145" w:rsidRDefault="00917AAA">
      <w:pPr>
        <w:pStyle w:val="TOC3"/>
        <w:rPr>
          <w:rFonts w:asciiTheme="minorHAnsi" w:eastAsiaTheme="minorEastAsia" w:hAnsiTheme="minorHAnsi" w:cstheme="minorBidi"/>
          <w:noProof/>
          <w:sz w:val="22"/>
          <w:szCs w:val="22"/>
        </w:rPr>
      </w:pPr>
      <w:hyperlink w:anchor="_Toc264354767" w:history="1">
        <w:r w:rsidR="00627145" w:rsidRPr="00777EB5">
          <w:rPr>
            <w:rStyle w:val="Hyperlink"/>
            <w:noProof/>
          </w:rPr>
          <w:t>6.</w:t>
        </w:r>
        <w:r w:rsidR="00627145">
          <w:rPr>
            <w:rFonts w:asciiTheme="minorHAnsi" w:eastAsiaTheme="minorEastAsia" w:hAnsiTheme="minorHAnsi" w:cstheme="minorBidi"/>
            <w:noProof/>
            <w:sz w:val="22"/>
            <w:szCs w:val="22"/>
          </w:rPr>
          <w:tab/>
        </w:r>
        <w:r w:rsidR="00627145" w:rsidRPr="00777EB5">
          <w:rPr>
            <w:rStyle w:val="Hyperlink"/>
            <w:noProof/>
          </w:rPr>
          <w:t>DSIC Proceeds without approval by the Commission</w:t>
        </w:r>
        <w:r w:rsidR="00627145">
          <w:rPr>
            <w:noProof/>
            <w:webHidden/>
          </w:rPr>
          <w:tab/>
        </w:r>
        <w:r>
          <w:rPr>
            <w:noProof/>
            <w:webHidden/>
          </w:rPr>
          <w:fldChar w:fldCharType="begin"/>
        </w:r>
        <w:r w:rsidR="00627145">
          <w:rPr>
            <w:noProof/>
            <w:webHidden/>
          </w:rPr>
          <w:instrText xml:space="preserve"> PAGEREF _Toc264354767 \h </w:instrText>
        </w:r>
        <w:r>
          <w:rPr>
            <w:noProof/>
            <w:webHidden/>
          </w:rPr>
        </w:r>
        <w:r>
          <w:rPr>
            <w:noProof/>
            <w:webHidden/>
          </w:rPr>
          <w:fldChar w:fldCharType="separate"/>
        </w:r>
        <w:r w:rsidR="005D6A4B">
          <w:rPr>
            <w:noProof/>
            <w:webHidden/>
          </w:rPr>
          <w:t>33</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68" w:history="1">
        <w:r w:rsidR="00627145" w:rsidRPr="00777EB5">
          <w:rPr>
            <w:rStyle w:val="Hyperlink"/>
            <w:noProof/>
          </w:rPr>
          <w:t>a.</w:t>
        </w:r>
        <w:r w:rsidR="00627145">
          <w:rPr>
            <w:rFonts w:asciiTheme="minorHAnsi" w:eastAsiaTheme="minorEastAsia" w:hAnsiTheme="minorHAnsi" w:cstheme="minorBidi"/>
            <w:noProof/>
            <w:sz w:val="22"/>
            <w:szCs w:val="22"/>
          </w:rPr>
          <w:tab/>
        </w:r>
        <w:r w:rsidR="00627145" w:rsidRPr="00777EB5">
          <w:rPr>
            <w:rStyle w:val="Hyperlink"/>
            <w:noProof/>
          </w:rPr>
          <w:t>Positions of the Parties</w:t>
        </w:r>
        <w:r w:rsidR="00627145">
          <w:rPr>
            <w:noProof/>
            <w:webHidden/>
          </w:rPr>
          <w:tab/>
        </w:r>
        <w:r>
          <w:rPr>
            <w:noProof/>
            <w:webHidden/>
          </w:rPr>
          <w:fldChar w:fldCharType="begin"/>
        </w:r>
        <w:r w:rsidR="00627145">
          <w:rPr>
            <w:noProof/>
            <w:webHidden/>
          </w:rPr>
          <w:instrText xml:space="preserve"> PAGEREF _Toc264354768 \h </w:instrText>
        </w:r>
        <w:r>
          <w:rPr>
            <w:noProof/>
            <w:webHidden/>
          </w:rPr>
        </w:r>
        <w:r>
          <w:rPr>
            <w:noProof/>
            <w:webHidden/>
          </w:rPr>
          <w:fldChar w:fldCharType="separate"/>
        </w:r>
        <w:r w:rsidR="005D6A4B">
          <w:rPr>
            <w:noProof/>
            <w:webHidden/>
          </w:rPr>
          <w:t>33</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69" w:history="1">
        <w:r w:rsidR="00627145" w:rsidRPr="00777EB5">
          <w:rPr>
            <w:rStyle w:val="Hyperlink"/>
            <w:noProof/>
          </w:rPr>
          <w:t>b.</w:t>
        </w:r>
        <w:r w:rsidR="00627145">
          <w:rPr>
            <w:rFonts w:asciiTheme="minorHAnsi" w:eastAsiaTheme="minorEastAsia" w:hAnsiTheme="minorHAnsi" w:cstheme="minorBidi"/>
            <w:noProof/>
            <w:sz w:val="22"/>
            <w:szCs w:val="22"/>
          </w:rPr>
          <w:tab/>
        </w:r>
        <w:r w:rsidR="00627145" w:rsidRPr="00777EB5">
          <w:rPr>
            <w:rStyle w:val="Hyperlink"/>
            <w:noProof/>
          </w:rPr>
          <w:t>ALJ’s Recommendation</w:t>
        </w:r>
        <w:r w:rsidR="00627145">
          <w:rPr>
            <w:noProof/>
            <w:webHidden/>
          </w:rPr>
          <w:tab/>
        </w:r>
        <w:r>
          <w:rPr>
            <w:noProof/>
            <w:webHidden/>
          </w:rPr>
          <w:fldChar w:fldCharType="begin"/>
        </w:r>
        <w:r w:rsidR="00627145">
          <w:rPr>
            <w:noProof/>
            <w:webHidden/>
          </w:rPr>
          <w:instrText xml:space="preserve"> PAGEREF _Toc264354769 \h </w:instrText>
        </w:r>
        <w:r>
          <w:rPr>
            <w:noProof/>
            <w:webHidden/>
          </w:rPr>
        </w:r>
        <w:r>
          <w:rPr>
            <w:noProof/>
            <w:webHidden/>
          </w:rPr>
          <w:fldChar w:fldCharType="separate"/>
        </w:r>
        <w:r w:rsidR="005D6A4B">
          <w:rPr>
            <w:noProof/>
            <w:webHidden/>
          </w:rPr>
          <w:t>33</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70" w:history="1">
        <w:r w:rsidR="00627145" w:rsidRPr="00777EB5">
          <w:rPr>
            <w:rStyle w:val="Hyperlink"/>
            <w:noProof/>
          </w:rPr>
          <w:t>c.</w:t>
        </w:r>
        <w:r w:rsidR="00627145">
          <w:rPr>
            <w:rFonts w:asciiTheme="minorHAnsi" w:eastAsiaTheme="minorEastAsia" w:hAnsiTheme="minorHAnsi" w:cstheme="minorBidi"/>
            <w:noProof/>
            <w:sz w:val="22"/>
            <w:szCs w:val="22"/>
          </w:rPr>
          <w:tab/>
        </w:r>
        <w:r w:rsidR="00627145" w:rsidRPr="00777EB5">
          <w:rPr>
            <w:rStyle w:val="Hyperlink"/>
            <w:noProof/>
          </w:rPr>
          <w:t>Disposition</w:t>
        </w:r>
        <w:r w:rsidR="00627145">
          <w:rPr>
            <w:noProof/>
            <w:webHidden/>
          </w:rPr>
          <w:tab/>
        </w:r>
        <w:r>
          <w:rPr>
            <w:noProof/>
            <w:webHidden/>
          </w:rPr>
          <w:fldChar w:fldCharType="begin"/>
        </w:r>
        <w:r w:rsidR="00627145">
          <w:rPr>
            <w:noProof/>
            <w:webHidden/>
          </w:rPr>
          <w:instrText xml:space="preserve"> PAGEREF _Toc264354770 \h </w:instrText>
        </w:r>
        <w:r>
          <w:rPr>
            <w:noProof/>
            <w:webHidden/>
          </w:rPr>
        </w:r>
        <w:r>
          <w:rPr>
            <w:noProof/>
            <w:webHidden/>
          </w:rPr>
          <w:fldChar w:fldCharType="separate"/>
        </w:r>
        <w:r w:rsidR="005D6A4B">
          <w:rPr>
            <w:noProof/>
            <w:webHidden/>
          </w:rPr>
          <w:t>34</w:t>
        </w:r>
        <w:r>
          <w:rPr>
            <w:noProof/>
            <w:webHidden/>
          </w:rPr>
          <w:fldChar w:fldCharType="end"/>
        </w:r>
      </w:hyperlink>
    </w:p>
    <w:p w:rsidR="00627145" w:rsidRDefault="00917AAA">
      <w:pPr>
        <w:pStyle w:val="TOC3"/>
        <w:rPr>
          <w:rFonts w:asciiTheme="minorHAnsi" w:eastAsiaTheme="minorEastAsia" w:hAnsiTheme="minorHAnsi" w:cstheme="minorBidi"/>
          <w:noProof/>
          <w:sz w:val="22"/>
          <w:szCs w:val="22"/>
        </w:rPr>
      </w:pPr>
      <w:hyperlink w:anchor="_Toc264354771" w:history="1">
        <w:r w:rsidR="00627145" w:rsidRPr="00777EB5">
          <w:rPr>
            <w:rStyle w:val="Hyperlink"/>
            <w:noProof/>
          </w:rPr>
          <w:t>7.</w:t>
        </w:r>
        <w:r w:rsidR="00627145">
          <w:rPr>
            <w:rFonts w:asciiTheme="minorHAnsi" w:eastAsiaTheme="minorEastAsia" w:hAnsiTheme="minorHAnsi" w:cstheme="minorBidi"/>
            <w:noProof/>
            <w:sz w:val="22"/>
            <w:szCs w:val="22"/>
          </w:rPr>
          <w:tab/>
        </w:r>
        <w:r w:rsidR="00627145" w:rsidRPr="00777EB5">
          <w:rPr>
            <w:rStyle w:val="Hyperlink"/>
            <w:noProof/>
          </w:rPr>
          <w:t>Requested Trial by Jury</w:t>
        </w:r>
        <w:r w:rsidR="00627145">
          <w:rPr>
            <w:noProof/>
            <w:webHidden/>
          </w:rPr>
          <w:tab/>
        </w:r>
        <w:r>
          <w:rPr>
            <w:noProof/>
            <w:webHidden/>
          </w:rPr>
          <w:fldChar w:fldCharType="begin"/>
        </w:r>
        <w:r w:rsidR="00627145">
          <w:rPr>
            <w:noProof/>
            <w:webHidden/>
          </w:rPr>
          <w:instrText xml:space="preserve"> PAGEREF _Toc264354771 \h </w:instrText>
        </w:r>
        <w:r>
          <w:rPr>
            <w:noProof/>
            <w:webHidden/>
          </w:rPr>
        </w:r>
        <w:r>
          <w:rPr>
            <w:noProof/>
            <w:webHidden/>
          </w:rPr>
          <w:fldChar w:fldCharType="separate"/>
        </w:r>
        <w:r w:rsidR="005D6A4B">
          <w:rPr>
            <w:noProof/>
            <w:webHidden/>
          </w:rPr>
          <w:t>34</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72" w:history="1">
        <w:r w:rsidR="00627145" w:rsidRPr="00777EB5">
          <w:rPr>
            <w:rStyle w:val="Hyperlink"/>
            <w:noProof/>
          </w:rPr>
          <w:t>a.</w:t>
        </w:r>
        <w:r w:rsidR="00627145">
          <w:rPr>
            <w:rFonts w:asciiTheme="minorHAnsi" w:eastAsiaTheme="minorEastAsia" w:hAnsiTheme="minorHAnsi" w:cstheme="minorBidi"/>
            <w:noProof/>
            <w:sz w:val="22"/>
            <w:szCs w:val="22"/>
          </w:rPr>
          <w:tab/>
        </w:r>
        <w:r w:rsidR="00627145" w:rsidRPr="00777EB5">
          <w:rPr>
            <w:rStyle w:val="Hyperlink"/>
            <w:noProof/>
          </w:rPr>
          <w:t>Positions of the Parties</w:t>
        </w:r>
        <w:r w:rsidR="00627145">
          <w:rPr>
            <w:noProof/>
            <w:webHidden/>
          </w:rPr>
          <w:tab/>
        </w:r>
        <w:r>
          <w:rPr>
            <w:noProof/>
            <w:webHidden/>
          </w:rPr>
          <w:fldChar w:fldCharType="begin"/>
        </w:r>
        <w:r w:rsidR="00627145">
          <w:rPr>
            <w:noProof/>
            <w:webHidden/>
          </w:rPr>
          <w:instrText xml:space="preserve"> PAGEREF _Toc264354772 \h </w:instrText>
        </w:r>
        <w:r>
          <w:rPr>
            <w:noProof/>
            <w:webHidden/>
          </w:rPr>
        </w:r>
        <w:r>
          <w:rPr>
            <w:noProof/>
            <w:webHidden/>
          </w:rPr>
          <w:fldChar w:fldCharType="separate"/>
        </w:r>
        <w:r w:rsidR="005D6A4B">
          <w:rPr>
            <w:noProof/>
            <w:webHidden/>
          </w:rPr>
          <w:t>34</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73" w:history="1">
        <w:r w:rsidR="00627145" w:rsidRPr="00777EB5">
          <w:rPr>
            <w:rStyle w:val="Hyperlink"/>
            <w:noProof/>
          </w:rPr>
          <w:t>b.</w:t>
        </w:r>
        <w:r w:rsidR="00627145">
          <w:rPr>
            <w:rFonts w:asciiTheme="minorHAnsi" w:eastAsiaTheme="minorEastAsia" w:hAnsiTheme="minorHAnsi" w:cstheme="minorBidi"/>
            <w:noProof/>
            <w:sz w:val="22"/>
            <w:szCs w:val="22"/>
          </w:rPr>
          <w:tab/>
        </w:r>
        <w:r w:rsidR="00627145" w:rsidRPr="00777EB5">
          <w:rPr>
            <w:rStyle w:val="Hyperlink"/>
            <w:noProof/>
          </w:rPr>
          <w:t>ALJ’s Recommendation</w:t>
        </w:r>
        <w:r w:rsidR="00627145">
          <w:rPr>
            <w:noProof/>
            <w:webHidden/>
          </w:rPr>
          <w:tab/>
        </w:r>
        <w:r>
          <w:rPr>
            <w:noProof/>
            <w:webHidden/>
          </w:rPr>
          <w:fldChar w:fldCharType="begin"/>
        </w:r>
        <w:r w:rsidR="00627145">
          <w:rPr>
            <w:noProof/>
            <w:webHidden/>
          </w:rPr>
          <w:instrText xml:space="preserve"> PAGEREF _Toc264354773 \h </w:instrText>
        </w:r>
        <w:r>
          <w:rPr>
            <w:noProof/>
            <w:webHidden/>
          </w:rPr>
        </w:r>
        <w:r>
          <w:rPr>
            <w:noProof/>
            <w:webHidden/>
          </w:rPr>
          <w:fldChar w:fldCharType="separate"/>
        </w:r>
        <w:r w:rsidR="005D6A4B">
          <w:rPr>
            <w:noProof/>
            <w:webHidden/>
          </w:rPr>
          <w:t>35</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74" w:history="1">
        <w:r w:rsidR="00627145" w:rsidRPr="00777EB5">
          <w:rPr>
            <w:rStyle w:val="Hyperlink"/>
            <w:noProof/>
          </w:rPr>
          <w:t>c.</w:t>
        </w:r>
        <w:r w:rsidR="00627145">
          <w:rPr>
            <w:rFonts w:asciiTheme="minorHAnsi" w:eastAsiaTheme="minorEastAsia" w:hAnsiTheme="minorHAnsi" w:cstheme="minorBidi"/>
            <w:noProof/>
            <w:sz w:val="22"/>
            <w:szCs w:val="22"/>
          </w:rPr>
          <w:tab/>
        </w:r>
        <w:r w:rsidR="00627145" w:rsidRPr="00777EB5">
          <w:rPr>
            <w:rStyle w:val="Hyperlink"/>
            <w:noProof/>
          </w:rPr>
          <w:t>Disposition</w:t>
        </w:r>
        <w:r w:rsidR="00627145">
          <w:rPr>
            <w:noProof/>
            <w:webHidden/>
          </w:rPr>
          <w:tab/>
        </w:r>
        <w:r>
          <w:rPr>
            <w:noProof/>
            <w:webHidden/>
          </w:rPr>
          <w:fldChar w:fldCharType="begin"/>
        </w:r>
        <w:r w:rsidR="00627145">
          <w:rPr>
            <w:noProof/>
            <w:webHidden/>
          </w:rPr>
          <w:instrText xml:space="preserve"> PAGEREF _Toc264354774 \h </w:instrText>
        </w:r>
        <w:r>
          <w:rPr>
            <w:noProof/>
            <w:webHidden/>
          </w:rPr>
        </w:r>
        <w:r>
          <w:rPr>
            <w:noProof/>
            <w:webHidden/>
          </w:rPr>
          <w:fldChar w:fldCharType="separate"/>
        </w:r>
        <w:r w:rsidR="005D6A4B">
          <w:rPr>
            <w:noProof/>
            <w:webHidden/>
          </w:rPr>
          <w:t>35</w:t>
        </w:r>
        <w:r>
          <w:rPr>
            <w:noProof/>
            <w:webHidden/>
          </w:rPr>
          <w:fldChar w:fldCharType="end"/>
        </w:r>
      </w:hyperlink>
    </w:p>
    <w:p w:rsidR="00627145" w:rsidRDefault="00917AAA">
      <w:pPr>
        <w:pStyle w:val="TOC3"/>
        <w:rPr>
          <w:rFonts w:asciiTheme="minorHAnsi" w:eastAsiaTheme="minorEastAsia" w:hAnsiTheme="minorHAnsi" w:cstheme="minorBidi"/>
          <w:noProof/>
          <w:sz w:val="22"/>
          <w:szCs w:val="22"/>
        </w:rPr>
      </w:pPr>
      <w:hyperlink w:anchor="_Toc264354775" w:history="1">
        <w:r w:rsidR="00627145" w:rsidRPr="00777EB5">
          <w:rPr>
            <w:rStyle w:val="Hyperlink"/>
            <w:noProof/>
          </w:rPr>
          <w:t>8.</w:t>
        </w:r>
        <w:r w:rsidR="00627145">
          <w:rPr>
            <w:rFonts w:asciiTheme="minorHAnsi" w:eastAsiaTheme="minorEastAsia" w:hAnsiTheme="minorHAnsi" w:cstheme="minorBidi"/>
            <w:noProof/>
            <w:sz w:val="22"/>
            <w:szCs w:val="22"/>
          </w:rPr>
          <w:tab/>
        </w:r>
        <w:r w:rsidR="00627145" w:rsidRPr="00777EB5">
          <w:rPr>
            <w:rStyle w:val="Hyperlink"/>
            <w:noProof/>
          </w:rPr>
          <w:t>Impact of Joint Settlement Rate Increase and DSIC</w:t>
        </w:r>
        <w:r w:rsidR="00627145">
          <w:rPr>
            <w:noProof/>
            <w:webHidden/>
          </w:rPr>
          <w:tab/>
        </w:r>
        <w:r>
          <w:rPr>
            <w:noProof/>
            <w:webHidden/>
          </w:rPr>
          <w:fldChar w:fldCharType="begin"/>
        </w:r>
        <w:r w:rsidR="00627145">
          <w:rPr>
            <w:noProof/>
            <w:webHidden/>
          </w:rPr>
          <w:instrText xml:space="preserve"> PAGEREF _Toc264354775 \h </w:instrText>
        </w:r>
        <w:r>
          <w:rPr>
            <w:noProof/>
            <w:webHidden/>
          </w:rPr>
        </w:r>
        <w:r>
          <w:rPr>
            <w:noProof/>
            <w:webHidden/>
          </w:rPr>
          <w:fldChar w:fldCharType="separate"/>
        </w:r>
        <w:r w:rsidR="005D6A4B">
          <w:rPr>
            <w:noProof/>
            <w:webHidden/>
          </w:rPr>
          <w:t>36</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76" w:history="1">
        <w:r w:rsidR="00627145" w:rsidRPr="00777EB5">
          <w:rPr>
            <w:rStyle w:val="Hyperlink"/>
            <w:noProof/>
          </w:rPr>
          <w:t>a.</w:t>
        </w:r>
        <w:r w:rsidR="00627145">
          <w:rPr>
            <w:rFonts w:asciiTheme="minorHAnsi" w:eastAsiaTheme="minorEastAsia" w:hAnsiTheme="minorHAnsi" w:cstheme="minorBidi"/>
            <w:noProof/>
            <w:sz w:val="22"/>
            <w:szCs w:val="22"/>
          </w:rPr>
          <w:tab/>
        </w:r>
        <w:r w:rsidR="00627145" w:rsidRPr="00777EB5">
          <w:rPr>
            <w:rStyle w:val="Hyperlink"/>
            <w:noProof/>
          </w:rPr>
          <w:t>Positions of the Parties</w:t>
        </w:r>
        <w:r w:rsidR="00627145">
          <w:rPr>
            <w:noProof/>
            <w:webHidden/>
          </w:rPr>
          <w:tab/>
        </w:r>
        <w:r>
          <w:rPr>
            <w:noProof/>
            <w:webHidden/>
          </w:rPr>
          <w:fldChar w:fldCharType="begin"/>
        </w:r>
        <w:r w:rsidR="00627145">
          <w:rPr>
            <w:noProof/>
            <w:webHidden/>
          </w:rPr>
          <w:instrText xml:space="preserve"> PAGEREF _Toc264354776 \h </w:instrText>
        </w:r>
        <w:r>
          <w:rPr>
            <w:noProof/>
            <w:webHidden/>
          </w:rPr>
        </w:r>
        <w:r>
          <w:rPr>
            <w:noProof/>
            <w:webHidden/>
          </w:rPr>
          <w:fldChar w:fldCharType="separate"/>
        </w:r>
        <w:r w:rsidR="005D6A4B">
          <w:rPr>
            <w:noProof/>
            <w:webHidden/>
          </w:rPr>
          <w:t>36</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77" w:history="1">
        <w:r w:rsidR="00627145" w:rsidRPr="00777EB5">
          <w:rPr>
            <w:rStyle w:val="Hyperlink"/>
            <w:noProof/>
          </w:rPr>
          <w:t>b.</w:t>
        </w:r>
        <w:r w:rsidR="00627145">
          <w:rPr>
            <w:rFonts w:asciiTheme="minorHAnsi" w:eastAsiaTheme="minorEastAsia" w:hAnsiTheme="minorHAnsi" w:cstheme="minorBidi"/>
            <w:noProof/>
            <w:sz w:val="22"/>
            <w:szCs w:val="22"/>
          </w:rPr>
          <w:tab/>
        </w:r>
        <w:r w:rsidR="00627145" w:rsidRPr="00777EB5">
          <w:rPr>
            <w:rStyle w:val="Hyperlink"/>
            <w:noProof/>
          </w:rPr>
          <w:t>ALJ’s Recommendation</w:t>
        </w:r>
        <w:r w:rsidR="00627145">
          <w:rPr>
            <w:noProof/>
            <w:webHidden/>
          </w:rPr>
          <w:tab/>
        </w:r>
        <w:r>
          <w:rPr>
            <w:noProof/>
            <w:webHidden/>
          </w:rPr>
          <w:fldChar w:fldCharType="begin"/>
        </w:r>
        <w:r w:rsidR="00627145">
          <w:rPr>
            <w:noProof/>
            <w:webHidden/>
          </w:rPr>
          <w:instrText xml:space="preserve"> PAGEREF _Toc264354777 \h </w:instrText>
        </w:r>
        <w:r>
          <w:rPr>
            <w:noProof/>
            <w:webHidden/>
          </w:rPr>
        </w:r>
        <w:r>
          <w:rPr>
            <w:noProof/>
            <w:webHidden/>
          </w:rPr>
          <w:fldChar w:fldCharType="separate"/>
        </w:r>
        <w:r w:rsidR="005D6A4B">
          <w:rPr>
            <w:noProof/>
            <w:webHidden/>
          </w:rPr>
          <w:t>37</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78" w:history="1">
        <w:r w:rsidR="00627145" w:rsidRPr="00777EB5">
          <w:rPr>
            <w:rStyle w:val="Hyperlink"/>
            <w:noProof/>
          </w:rPr>
          <w:t>c.</w:t>
        </w:r>
        <w:r w:rsidR="00627145">
          <w:rPr>
            <w:rFonts w:asciiTheme="minorHAnsi" w:eastAsiaTheme="minorEastAsia" w:hAnsiTheme="minorHAnsi" w:cstheme="minorBidi"/>
            <w:noProof/>
            <w:sz w:val="22"/>
            <w:szCs w:val="22"/>
          </w:rPr>
          <w:tab/>
        </w:r>
        <w:r w:rsidR="00627145" w:rsidRPr="00777EB5">
          <w:rPr>
            <w:rStyle w:val="Hyperlink"/>
            <w:noProof/>
          </w:rPr>
          <w:t>Disposition</w:t>
        </w:r>
        <w:r w:rsidR="00627145">
          <w:rPr>
            <w:noProof/>
            <w:webHidden/>
          </w:rPr>
          <w:tab/>
        </w:r>
        <w:r>
          <w:rPr>
            <w:noProof/>
            <w:webHidden/>
          </w:rPr>
          <w:fldChar w:fldCharType="begin"/>
        </w:r>
        <w:r w:rsidR="00627145">
          <w:rPr>
            <w:noProof/>
            <w:webHidden/>
          </w:rPr>
          <w:instrText xml:space="preserve"> PAGEREF _Toc264354778 \h </w:instrText>
        </w:r>
        <w:r>
          <w:rPr>
            <w:noProof/>
            <w:webHidden/>
          </w:rPr>
        </w:r>
        <w:r>
          <w:rPr>
            <w:noProof/>
            <w:webHidden/>
          </w:rPr>
          <w:fldChar w:fldCharType="separate"/>
        </w:r>
        <w:r w:rsidR="005D6A4B">
          <w:rPr>
            <w:noProof/>
            <w:webHidden/>
          </w:rPr>
          <w:t>37</w:t>
        </w:r>
        <w:r>
          <w:rPr>
            <w:noProof/>
            <w:webHidden/>
          </w:rPr>
          <w:fldChar w:fldCharType="end"/>
        </w:r>
      </w:hyperlink>
    </w:p>
    <w:p w:rsidR="00627145" w:rsidRDefault="00917AAA">
      <w:pPr>
        <w:pStyle w:val="TOC3"/>
        <w:rPr>
          <w:rFonts w:asciiTheme="minorHAnsi" w:eastAsiaTheme="minorEastAsia" w:hAnsiTheme="minorHAnsi" w:cstheme="minorBidi"/>
          <w:noProof/>
          <w:sz w:val="22"/>
          <w:szCs w:val="22"/>
        </w:rPr>
      </w:pPr>
      <w:hyperlink w:anchor="_Toc264354779" w:history="1">
        <w:r w:rsidR="00627145" w:rsidRPr="00777EB5">
          <w:rPr>
            <w:rStyle w:val="Hyperlink"/>
            <w:noProof/>
          </w:rPr>
          <w:t>9.</w:t>
        </w:r>
        <w:r w:rsidR="00627145">
          <w:rPr>
            <w:rFonts w:asciiTheme="minorHAnsi" w:eastAsiaTheme="minorEastAsia" w:hAnsiTheme="minorHAnsi" w:cstheme="minorBidi"/>
            <w:noProof/>
            <w:sz w:val="22"/>
            <w:szCs w:val="22"/>
          </w:rPr>
          <w:tab/>
        </w:r>
        <w:r w:rsidR="00627145" w:rsidRPr="00777EB5">
          <w:rPr>
            <w:rStyle w:val="Hyperlink"/>
            <w:noProof/>
          </w:rPr>
          <w:t>Proposed Rate Increase Exceeds Inflation</w:t>
        </w:r>
        <w:r w:rsidR="00627145">
          <w:rPr>
            <w:noProof/>
            <w:webHidden/>
          </w:rPr>
          <w:tab/>
        </w:r>
        <w:r>
          <w:rPr>
            <w:noProof/>
            <w:webHidden/>
          </w:rPr>
          <w:fldChar w:fldCharType="begin"/>
        </w:r>
        <w:r w:rsidR="00627145">
          <w:rPr>
            <w:noProof/>
            <w:webHidden/>
          </w:rPr>
          <w:instrText xml:space="preserve"> PAGEREF _Toc264354779 \h </w:instrText>
        </w:r>
        <w:r>
          <w:rPr>
            <w:noProof/>
            <w:webHidden/>
          </w:rPr>
        </w:r>
        <w:r>
          <w:rPr>
            <w:noProof/>
            <w:webHidden/>
          </w:rPr>
          <w:fldChar w:fldCharType="separate"/>
        </w:r>
        <w:r w:rsidR="005D6A4B">
          <w:rPr>
            <w:noProof/>
            <w:webHidden/>
          </w:rPr>
          <w:t>38</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80" w:history="1">
        <w:r w:rsidR="00627145" w:rsidRPr="00777EB5">
          <w:rPr>
            <w:rStyle w:val="Hyperlink"/>
            <w:noProof/>
          </w:rPr>
          <w:t>a.</w:t>
        </w:r>
        <w:r w:rsidR="00627145">
          <w:rPr>
            <w:rFonts w:asciiTheme="minorHAnsi" w:eastAsiaTheme="minorEastAsia" w:hAnsiTheme="minorHAnsi" w:cstheme="minorBidi"/>
            <w:noProof/>
            <w:sz w:val="22"/>
            <w:szCs w:val="22"/>
          </w:rPr>
          <w:tab/>
        </w:r>
        <w:r w:rsidR="00627145" w:rsidRPr="00777EB5">
          <w:rPr>
            <w:rStyle w:val="Hyperlink"/>
            <w:noProof/>
          </w:rPr>
          <w:t>Positions of the Parties</w:t>
        </w:r>
        <w:r w:rsidR="00627145">
          <w:rPr>
            <w:noProof/>
            <w:webHidden/>
          </w:rPr>
          <w:tab/>
        </w:r>
        <w:r>
          <w:rPr>
            <w:noProof/>
            <w:webHidden/>
          </w:rPr>
          <w:fldChar w:fldCharType="begin"/>
        </w:r>
        <w:r w:rsidR="00627145">
          <w:rPr>
            <w:noProof/>
            <w:webHidden/>
          </w:rPr>
          <w:instrText xml:space="preserve"> PAGEREF _Toc264354780 \h </w:instrText>
        </w:r>
        <w:r>
          <w:rPr>
            <w:noProof/>
            <w:webHidden/>
          </w:rPr>
        </w:r>
        <w:r>
          <w:rPr>
            <w:noProof/>
            <w:webHidden/>
          </w:rPr>
          <w:fldChar w:fldCharType="separate"/>
        </w:r>
        <w:r w:rsidR="005D6A4B">
          <w:rPr>
            <w:noProof/>
            <w:webHidden/>
          </w:rPr>
          <w:t>38</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81" w:history="1">
        <w:r w:rsidR="00627145" w:rsidRPr="00777EB5">
          <w:rPr>
            <w:rStyle w:val="Hyperlink"/>
            <w:noProof/>
          </w:rPr>
          <w:t>b.</w:t>
        </w:r>
        <w:r w:rsidR="00627145">
          <w:rPr>
            <w:rFonts w:asciiTheme="minorHAnsi" w:eastAsiaTheme="minorEastAsia" w:hAnsiTheme="minorHAnsi" w:cstheme="minorBidi"/>
            <w:noProof/>
            <w:sz w:val="22"/>
            <w:szCs w:val="22"/>
          </w:rPr>
          <w:tab/>
        </w:r>
        <w:r w:rsidR="00627145" w:rsidRPr="00777EB5">
          <w:rPr>
            <w:rStyle w:val="Hyperlink"/>
            <w:noProof/>
          </w:rPr>
          <w:t>ALJ’s Recommendation</w:t>
        </w:r>
        <w:r w:rsidR="00627145">
          <w:rPr>
            <w:noProof/>
            <w:webHidden/>
          </w:rPr>
          <w:tab/>
        </w:r>
        <w:r>
          <w:rPr>
            <w:noProof/>
            <w:webHidden/>
          </w:rPr>
          <w:fldChar w:fldCharType="begin"/>
        </w:r>
        <w:r w:rsidR="00627145">
          <w:rPr>
            <w:noProof/>
            <w:webHidden/>
          </w:rPr>
          <w:instrText xml:space="preserve"> PAGEREF _Toc264354781 \h </w:instrText>
        </w:r>
        <w:r>
          <w:rPr>
            <w:noProof/>
            <w:webHidden/>
          </w:rPr>
        </w:r>
        <w:r>
          <w:rPr>
            <w:noProof/>
            <w:webHidden/>
          </w:rPr>
          <w:fldChar w:fldCharType="separate"/>
        </w:r>
        <w:r w:rsidR="005D6A4B">
          <w:rPr>
            <w:noProof/>
            <w:webHidden/>
          </w:rPr>
          <w:t>38</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82" w:history="1">
        <w:r w:rsidR="00627145" w:rsidRPr="00777EB5">
          <w:rPr>
            <w:rStyle w:val="Hyperlink"/>
            <w:noProof/>
          </w:rPr>
          <w:t>c.</w:t>
        </w:r>
        <w:r w:rsidR="00627145">
          <w:rPr>
            <w:rFonts w:asciiTheme="minorHAnsi" w:eastAsiaTheme="minorEastAsia" w:hAnsiTheme="minorHAnsi" w:cstheme="minorBidi"/>
            <w:noProof/>
            <w:sz w:val="22"/>
            <w:szCs w:val="22"/>
          </w:rPr>
          <w:tab/>
        </w:r>
        <w:r w:rsidR="00627145" w:rsidRPr="00777EB5">
          <w:rPr>
            <w:rStyle w:val="Hyperlink"/>
            <w:noProof/>
          </w:rPr>
          <w:t>Exceptions and Replies</w:t>
        </w:r>
        <w:r w:rsidR="00627145">
          <w:rPr>
            <w:noProof/>
            <w:webHidden/>
          </w:rPr>
          <w:tab/>
        </w:r>
        <w:r>
          <w:rPr>
            <w:noProof/>
            <w:webHidden/>
          </w:rPr>
          <w:fldChar w:fldCharType="begin"/>
        </w:r>
        <w:r w:rsidR="00627145">
          <w:rPr>
            <w:noProof/>
            <w:webHidden/>
          </w:rPr>
          <w:instrText xml:space="preserve"> PAGEREF _Toc264354782 \h </w:instrText>
        </w:r>
        <w:r>
          <w:rPr>
            <w:noProof/>
            <w:webHidden/>
          </w:rPr>
        </w:r>
        <w:r>
          <w:rPr>
            <w:noProof/>
            <w:webHidden/>
          </w:rPr>
          <w:fldChar w:fldCharType="separate"/>
        </w:r>
        <w:r w:rsidR="005D6A4B">
          <w:rPr>
            <w:noProof/>
            <w:webHidden/>
          </w:rPr>
          <w:t>39</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83" w:history="1">
        <w:r w:rsidR="00627145" w:rsidRPr="00777EB5">
          <w:rPr>
            <w:rStyle w:val="Hyperlink"/>
            <w:noProof/>
          </w:rPr>
          <w:t>d.</w:t>
        </w:r>
        <w:r w:rsidR="00627145">
          <w:rPr>
            <w:rFonts w:asciiTheme="minorHAnsi" w:eastAsiaTheme="minorEastAsia" w:hAnsiTheme="minorHAnsi" w:cstheme="minorBidi"/>
            <w:noProof/>
            <w:sz w:val="22"/>
            <w:szCs w:val="22"/>
          </w:rPr>
          <w:tab/>
        </w:r>
        <w:r w:rsidR="00627145" w:rsidRPr="00777EB5">
          <w:rPr>
            <w:rStyle w:val="Hyperlink"/>
            <w:noProof/>
          </w:rPr>
          <w:t>Disposition</w:t>
        </w:r>
        <w:r w:rsidR="00627145">
          <w:rPr>
            <w:noProof/>
            <w:webHidden/>
          </w:rPr>
          <w:tab/>
        </w:r>
        <w:r>
          <w:rPr>
            <w:noProof/>
            <w:webHidden/>
          </w:rPr>
          <w:fldChar w:fldCharType="begin"/>
        </w:r>
        <w:r w:rsidR="00627145">
          <w:rPr>
            <w:noProof/>
            <w:webHidden/>
          </w:rPr>
          <w:instrText xml:space="preserve"> PAGEREF _Toc264354783 \h </w:instrText>
        </w:r>
        <w:r>
          <w:rPr>
            <w:noProof/>
            <w:webHidden/>
          </w:rPr>
        </w:r>
        <w:r>
          <w:rPr>
            <w:noProof/>
            <w:webHidden/>
          </w:rPr>
          <w:fldChar w:fldCharType="separate"/>
        </w:r>
        <w:r w:rsidR="005D6A4B">
          <w:rPr>
            <w:noProof/>
            <w:webHidden/>
          </w:rPr>
          <w:t>39</w:t>
        </w:r>
        <w:r>
          <w:rPr>
            <w:noProof/>
            <w:webHidden/>
          </w:rPr>
          <w:fldChar w:fldCharType="end"/>
        </w:r>
      </w:hyperlink>
    </w:p>
    <w:p w:rsidR="00627145" w:rsidRDefault="00917AAA">
      <w:pPr>
        <w:pStyle w:val="TOC3"/>
        <w:rPr>
          <w:rFonts w:asciiTheme="minorHAnsi" w:eastAsiaTheme="minorEastAsia" w:hAnsiTheme="minorHAnsi" w:cstheme="minorBidi"/>
          <w:noProof/>
          <w:sz w:val="22"/>
          <w:szCs w:val="22"/>
        </w:rPr>
      </w:pPr>
      <w:hyperlink w:anchor="_Toc264354784" w:history="1">
        <w:r w:rsidR="00627145" w:rsidRPr="00777EB5">
          <w:rPr>
            <w:rStyle w:val="Hyperlink"/>
            <w:noProof/>
          </w:rPr>
          <w:t>10.</w:t>
        </w:r>
        <w:r w:rsidR="00627145">
          <w:rPr>
            <w:rFonts w:asciiTheme="minorHAnsi" w:eastAsiaTheme="minorEastAsia" w:hAnsiTheme="minorHAnsi" w:cstheme="minorBidi"/>
            <w:noProof/>
            <w:sz w:val="22"/>
            <w:szCs w:val="22"/>
          </w:rPr>
          <w:tab/>
        </w:r>
        <w:r w:rsidR="00627145" w:rsidRPr="00777EB5">
          <w:rPr>
            <w:rStyle w:val="Hyperlink"/>
            <w:noProof/>
          </w:rPr>
          <w:t>Violation of Fourteenth Amendment Rights</w:t>
        </w:r>
        <w:r w:rsidR="00627145">
          <w:rPr>
            <w:noProof/>
            <w:webHidden/>
          </w:rPr>
          <w:tab/>
        </w:r>
        <w:r>
          <w:rPr>
            <w:noProof/>
            <w:webHidden/>
          </w:rPr>
          <w:fldChar w:fldCharType="begin"/>
        </w:r>
        <w:r w:rsidR="00627145">
          <w:rPr>
            <w:noProof/>
            <w:webHidden/>
          </w:rPr>
          <w:instrText xml:space="preserve"> PAGEREF _Toc264354784 \h </w:instrText>
        </w:r>
        <w:r>
          <w:rPr>
            <w:noProof/>
            <w:webHidden/>
          </w:rPr>
        </w:r>
        <w:r>
          <w:rPr>
            <w:noProof/>
            <w:webHidden/>
          </w:rPr>
          <w:fldChar w:fldCharType="separate"/>
        </w:r>
        <w:r w:rsidR="005D6A4B">
          <w:rPr>
            <w:noProof/>
            <w:webHidden/>
          </w:rPr>
          <w:t>40</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85" w:history="1">
        <w:r w:rsidR="00627145" w:rsidRPr="00777EB5">
          <w:rPr>
            <w:rStyle w:val="Hyperlink"/>
            <w:noProof/>
          </w:rPr>
          <w:t>a.</w:t>
        </w:r>
        <w:r w:rsidR="00627145">
          <w:rPr>
            <w:rFonts w:asciiTheme="minorHAnsi" w:eastAsiaTheme="minorEastAsia" w:hAnsiTheme="minorHAnsi" w:cstheme="minorBidi"/>
            <w:noProof/>
            <w:sz w:val="22"/>
            <w:szCs w:val="22"/>
          </w:rPr>
          <w:tab/>
        </w:r>
        <w:r w:rsidR="00627145" w:rsidRPr="00777EB5">
          <w:rPr>
            <w:rStyle w:val="Hyperlink"/>
            <w:noProof/>
          </w:rPr>
          <w:t>Positions of the Parties</w:t>
        </w:r>
        <w:r w:rsidR="00627145">
          <w:rPr>
            <w:noProof/>
            <w:webHidden/>
          </w:rPr>
          <w:tab/>
        </w:r>
        <w:r>
          <w:rPr>
            <w:noProof/>
            <w:webHidden/>
          </w:rPr>
          <w:fldChar w:fldCharType="begin"/>
        </w:r>
        <w:r w:rsidR="00627145">
          <w:rPr>
            <w:noProof/>
            <w:webHidden/>
          </w:rPr>
          <w:instrText xml:space="preserve"> PAGEREF _Toc264354785 \h </w:instrText>
        </w:r>
        <w:r>
          <w:rPr>
            <w:noProof/>
            <w:webHidden/>
          </w:rPr>
        </w:r>
        <w:r>
          <w:rPr>
            <w:noProof/>
            <w:webHidden/>
          </w:rPr>
          <w:fldChar w:fldCharType="separate"/>
        </w:r>
        <w:r w:rsidR="005D6A4B">
          <w:rPr>
            <w:noProof/>
            <w:webHidden/>
          </w:rPr>
          <w:t>40</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86" w:history="1">
        <w:r w:rsidR="00627145" w:rsidRPr="00777EB5">
          <w:rPr>
            <w:rStyle w:val="Hyperlink"/>
            <w:noProof/>
          </w:rPr>
          <w:t>b.</w:t>
        </w:r>
        <w:r w:rsidR="00627145">
          <w:rPr>
            <w:rFonts w:asciiTheme="minorHAnsi" w:eastAsiaTheme="minorEastAsia" w:hAnsiTheme="minorHAnsi" w:cstheme="minorBidi"/>
            <w:noProof/>
            <w:sz w:val="22"/>
            <w:szCs w:val="22"/>
          </w:rPr>
          <w:tab/>
        </w:r>
        <w:r w:rsidR="00627145" w:rsidRPr="00777EB5">
          <w:rPr>
            <w:rStyle w:val="Hyperlink"/>
            <w:noProof/>
          </w:rPr>
          <w:t>ALJ’s Recommendation</w:t>
        </w:r>
        <w:r w:rsidR="00627145">
          <w:rPr>
            <w:noProof/>
            <w:webHidden/>
          </w:rPr>
          <w:tab/>
        </w:r>
        <w:r>
          <w:rPr>
            <w:noProof/>
            <w:webHidden/>
          </w:rPr>
          <w:fldChar w:fldCharType="begin"/>
        </w:r>
        <w:r w:rsidR="00627145">
          <w:rPr>
            <w:noProof/>
            <w:webHidden/>
          </w:rPr>
          <w:instrText xml:space="preserve"> PAGEREF _Toc264354786 \h </w:instrText>
        </w:r>
        <w:r>
          <w:rPr>
            <w:noProof/>
            <w:webHidden/>
          </w:rPr>
        </w:r>
        <w:r>
          <w:rPr>
            <w:noProof/>
            <w:webHidden/>
          </w:rPr>
          <w:fldChar w:fldCharType="separate"/>
        </w:r>
        <w:r w:rsidR="005D6A4B">
          <w:rPr>
            <w:noProof/>
            <w:webHidden/>
          </w:rPr>
          <w:t>40</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87" w:history="1">
        <w:r w:rsidR="00627145" w:rsidRPr="00777EB5">
          <w:rPr>
            <w:rStyle w:val="Hyperlink"/>
            <w:noProof/>
          </w:rPr>
          <w:t>c.</w:t>
        </w:r>
        <w:r w:rsidR="00627145">
          <w:rPr>
            <w:rFonts w:asciiTheme="minorHAnsi" w:eastAsiaTheme="minorEastAsia" w:hAnsiTheme="minorHAnsi" w:cstheme="minorBidi"/>
            <w:noProof/>
            <w:sz w:val="22"/>
            <w:szCs w:val="22"/>
          </w:rPr>
          <w:tab/>
        </w:r>
        <w:r w:rsidR="00627145" w:rsidRPr="00777EB5">
          <w:rPr>
            <w:rStyle w:val="Hyperlink"/>
            <w:noProof/>
          </w:rPr>
          <w:t>Disposition</w:t>
        </w:r>
        <w:r w:rsidR="00627145">
          <w:rPr>
            <w:noProof/>
            <w:webHidden/>
          </w:rPr>
          <w:tab/>
        </w:r>
        <w:r>
          <w:rPr>
            <w:noProof/>
            <w:webHidden/>
          </w:rPr>
          <w:fldChar w:fldCharType="begin"/>
        </w:r>
        <w:r w:rsidR="00627145">
          <w:rPr>
            <w:noProof/>
            <w:webHidden/>
          </w:rPr>
          <w:instrText xml:space="preserve"> PAGEREF _Toc264354787 \h </w:instrText>
        </w:r>
        <w:r>
          <w:rPr>
            <w:noProof/>
            <w:webHidden/>
          </w:rPr>
        </w:r>
        <w:r>
          <w:rPr>
            <w:noProof/>
            <w:webHidden/>
          </w:rPr>
          <w:fldChar w:fldCharType="separate"/>
        </w:r>
        <w:r w:rsidR="005D6A4B">
          <w:rPr>
            <w:noProof/>
            <w:webHidden/>
          </w:rPr>
          <w:t>41</w:t>
        </w:r>
        <w:r>
          <w:rPr>
            <w:noProof/>
            <w:webHidden/>
          </w:rPr>
          <w:fldChar w:fldCharType="end"/>
        </w:r>
      </w:hyperlink>
    </w:p>
    <w:p w:rsidR="00627145" w:rsidRDefault="00917AAA">
      <w:pPr>
        <w:pStyle w:val="TOC3"/>
        <w:rPr>
          <w:rFonts w:asciiTheme="minorHAnsi" w:eastAsiaTheme="minorEastAsia" w:hAnsiTheme="minorHAnsi" w:cstheme="minorBidi"/>
          <w:noProof/>
          <w:sz w:val="22"/>
          <w:szCs w:val="22"/>
        </w:rPr>
      </w:pPr>
      <w:hyperlink w:anchor="_Toc264354788" w:history="1">
        <w:r w:rsidR="00627145" w:rsidRPr="00777EB5">
          <w:rPr>
            <w:rStyle w:val="Hyperlink"/>
            <w:noProof/>
          </w:rPr>
          <w:t>11.</w:t>
        </w:r>
        <w:r w:rsidR="00627145">
          <w:rPr>
            <w:rFonts w:asciiTheme="minorHAnsi" w:eastAsiaTheme="minorEastAsia" w:hAnsiTheme="minorHAnsi" w:cstheme="minorBidi"/>
            <w:noProof/>
            <w:sz w:val="22"/>
            <w:szCs w:val="22"/>
          </w:rPr>
          <w:tab/>
        </w:r>
        <w:r w:rsidR="00627145" w:rsidRPr="00777EB5">
          <w:rPr>
            <w:rStyle w:val="Hyperlink"/>
            <w:noProof/>
          </w:rPr>
          <w:t>Mr. Linden’s Suggestions for Joint Settlement</w:t>
        </w:r>
        <w:r w:rsidR="00627145">
          <w:rPr>
            <w:noProof/>
            <w:webHidden/>
          </w:rPr>
          <w:tab/>
        </w:r>
        <w:r>
          <w:rPr>
            <w:noProof/>
            <w:webHidden/>
          </w:rPr>
          <w:fldChar w:fldCharType="begin"/>
        </w:r>
        <w:r w:rsidR="00627145">
          <w:rPr>
            <w:noProof/>
            <w:webHidden/>
          </w:rPr>
          <w:instrText xml:space="preserve"> PAGEREF _Toc264354788 \h </w:instrText>
        </w:r>
        <w:r>
          <w:rPr>
            <w:noProof/>
            <w:webHidden/>
          </w:rPr>
        </w:r>
        <w:r>
          <w:rPr>
            <w:noProof/>
            <w:webHidden/>
          </w:rPr>
          <w:fldChar w:fldCharType="separate"/>
        </w:r>
        <w:r w:rsidR="005D6A4B">
          <w:rPr>
            <w:noProof/>
            <w:webHidden/>
          </w:rPr>
          <w:t>41</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89" w:history="1">
        <w:r w:rsidR="00627145" w:rsidRPr="00777EB5">
          <w:rPr>
            <w:rStyle w:val="Hyperlink"/>
            <w:noProof/>
          </w:rPr>
          <w:t>a.</w:t>
        </w:r>
        <w:r w:rsidR="00627145">
          <w:rPr>
            <w:rFonts w:asciiTheme="minorHAnsi" w:eastAsiaTheme="minorEastAsia" w:hAnsiTheme="minorHAnsi" w:cstheme="minorBidi"/>
            <w:noProof/>
            <w:sz w:val="22"/>
            <w:szCs w:val="22"/>
          </w:rPr>
          <w:tab/>
        </w:r>
        <w:r w:rsidR="00627145" w:rsidRPr="00777EB5">
          <w:rPr>
            <w:rStyle w:val="Hyperlink"/>
            <w:noProof/>
          </w:rPr>
          <w:t>Positions of the Parties</w:t>
        </w:r>
        <w:r w:rsidR="00627145">
          <w:rPr>
            <w:noProof/>
            <w:webHidden/>
          </w:rPr>
          <w:tab/>
        </w:r>
        <w:r>
          <w:rPr>
            <w:noProof/>
            <w:webHidden/>
          </w:rPr>
          <w:fldChar w:fldCharType="begin"/>
        </w:r>
        <w:r w:rsidR="00627145">
          <w:rPr>
            <w:noProof/>
            <w:webHidden/>
          </w:rPr>
          <w:instrText xml:space="preserve"> PAGEREF _Toc264354789 \h </w:instrText>
        </w:r>
        <w:r>
          <w:rPr>
            <w:noProof/>
            <w:webHidden/>
          </w:rPr>
        </w:r>
        <w:r>
          <w:rPr>
            <w:noProof/>
            <w:webHidden/>
          </w:rPr>
          <w:fldChar w:fldCharType="separate"/>
        </w:r>
        <w:r w:rsidR="005D6A4B">
          <w:rPr>
            <w:noProof/>
            <w:webHidden/>
          </w:rPr>
          <w:t>41</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90" w:history="1">
        <w:r w:rsidR="00627145" w:rsidRPr="00777EB5">
          <w:rPr>
            <w:rStyle w:val="Hyperlink"/>
            <w:noProof/>
          </w:rPr>
          <w:t>b.</w:t>
        </w:r>
        <w:r w:rsidR="00627145">
          <w:rPr>
            <w:rFonts w:asciiTheme="minorHAnsi" w:eastAsiaTheme="minorEastAsia" w:hAnsiTheme="minorHAnsi" w:cstheme="minorBidi"/>
            <w:noProof/>
            <w:sz w:val="22"/>
            <w:szCs w:val="22"/>
          </w:rPr>
          <w:tab/>
        </w:r>
        <w:r w:rsidR="00627145" w:rsidRPr="00777EB5">
          <w:rPr>
            <w:rStyle w:val="Hyperlink"/>
            <w:noProof/>
          </w:rPr>
          <w:t>ALJ’s Recommendation</w:t>
        </w:r>
        <w:r w:rsidR="00627145">
          <w:rPr>
            <w:noProof/>
            <w:webHidden/>
          </w:rPr>
          <w:tab/>
        </w:r>
        <w:r>
          <w:rPr>
            <w:noProof/>
            <w:webHidden/>
          </w:rPr>
          <w:fldChar w:fldCharType="begin"/>
        </w:r>
        <w:r w:rsidR="00627145">
          <w:rPr>
            <w:noProof/>
            <w:webHidden/>
          </w:rPr>
          <w:instrText xml:space="preserve"> PAGEREF _Toc264354790 \h </w:instrText>
        </w:r>
        <w:r>
          <w:rPr>
            <w:noProof/>
            <w:webHidden/>
          </w:rPr>
        </w:r>
        <w:r>
          <w:rPr>
            <w:noProof/>
            <w:webHidden/>
          </w:rPr>
          <w:fldChar w:fldCharType="separate"/>
        </w:r>
        <w:r w:rsidR="005D6A4B">
          <w:rPr>
            <w:noProof/>
            <w:webHidden/>
          </w:rPr>
          <w:t>42</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91" w:history="1">
        <w:r w:rsidR="00627145" w:rsidRPr="00777EB5">
          <w:rPr>
            <w:rStyle w:val="Hyperlink"/>
            <w:noProof/>
          </w:rPr>
          <w:t>c.</w:t>
        </w:r>
        <w:r w:rsidR="00627145">
          <w:rPr>
            <w:rFonts w:asciiTheme="minorHAnsi" w:eastAsiaTheme="minorEastAsia" w:hAnsiTheme="minorHAnsi" w:cstheme="minorBidi"/>
            <w:noProof/>
            <w:sz w:val="22"/>
            <w:szCs w:val="22"/>
          </w:rPr>
          <w:tab/>
        </w:r>
        <w:r w:rsidR="00627145" w:rsidRPr="00777EB5">
          <w:rPr>
            <w:rStyle w:val="Hyperlink"/>
            <w:noProof/>
          </w:rPr>
          <w:t>Exceptions and Replies</w:t>
        </w:r>
        <w:r w:rsidR="00627145">
          <w:rPr>
            <w:noProof/>
            <w:webHidden/>
          </w:rPr>
          <w:tab/>
        </w:r>
        <w:r>
          <w:rPr>
            <w:noProof/>
            <w:webHidden/>
          </w:rPr>
          <w:fldChar w:fldCharType="begin"/>
        </w:r>
        <w:r w:rsidR="00627145">
          <w:rPr>
            <w:noProof/>
            <w:webHidden/>
          </w:rPr>
          <w:instrText xml:space="preserve"> PAGEREF _Toc264354791 \h </w:instrText>
        </w:r>
        <w:r>
          <w:rPr>
            <w:noProof/>
            <w:webHidden/>
          </w:rPr>
        </w:r>
        <w:r>
          <w:rPr>
            <w:noProof/>
            <w:webHidden/>
          </w:rPr>
          <w:fldChar w:fldCharType="separate"/>
        </w:r>
        <w:r w:rsidR="005D6A4B">
          <w:rPr>
            <w:noProof/>
            <w:webHidden/>
          </w:rPr>
          <w:t>43</w:t>
        </w:r>
        <w:r>
          <w:rPr>
            <w:noProof/>
            <w:webHidden/>
          </w:rPr>
          <w:fldChar w:fldCharType="end"/>
        </w:r>
      </w:hyperlink>
    </w:p>
    <w:p w:rsidR="00627145" w:rsidRDefault="00917AAA">
      <w:pPr>
        <w:pStyle w:val="TOC4"/>
        <w:rPr>
          <w:rFonts w:asciiTheme="minorHAnsi" w:eastAsiaTheme="minorEastAsia" w:hAnsiTheme="minorHAnsi" w:cstheme="minorBidi"/>
          <w:noProof/>
          <w:sz w:val="22"/>
          <w:szCs w:val="22"/>
        </w:rPr>
      </w:pPr>
      <w:hyperlink w:anchor="_Toc264354792" w:history="1">
        <w:r w:rsidR="00627145" w:rsidRPr="00777EB5">
          <w:rPr>
            <w:rStyle w:val="Hyperlink"/>
            <w:noProof/>
          </w:rPr>
          <w:t>d.</w:t>
        </w:r>
        <w:r w:rsidR="00627145">
          <w:rPr>
            <w:rFonts w:asciiTheme="minorHAnsi" w:eastAsiaTheme="minorEastAsia" w:hAnsiTheme="minorHAnsi" w:cstheme="minorBidi"/>
            <w:noProof/>
            <w:sz w:val="22"/>
            <w:szCs w:val="22"/>
          </w:rPr>
          <w:tab/>
        </w:r>
        <w:r w:rsidR="00627145" w:rsidRPr="00777EB5">
          <w:rPr>
            <w:rStyle w:val="Hyperlink"/>
            <w:noProof/>
          </w:rPr>
          <w:t>Disposition</w:t>
        </w:r>
        <w:r w:rsidR="00627145">
          <w:rPr>
            <w:noProof/>
            <w:webHidden/>
          </w:rPr>
          <w:tab/>
        </w:r>
        <w:r>
          <w:rPr>
            <w:noProof/>
            <w:webHidden/>
          </w:rPr>
          <w:fldChar w:fldCharType="begin"/>
        </w:r>
        <w:r w:rsidR="00627145">
          <w:rPr>
            <w:noProof/>
            <w:webHidden/>
          </w:rPr>
          <w:instrText xml:space="preserve"> PAGEREF _Toc264354792 \h </w:instrText>
        </w:r>
        <w:r>
          <w:rPr>
            <w:noProof/>
            <w:webHidden/>
          </w:rPr>
        </w:r>
        <w:r>
          <w:rPr>
            <w:noProof/>
            <w:webHidden/>
          </w:rPr>
          <w:fldChar w:fldCharType="separate"/>
        </w:r>
        <w:r w:rsidR="005D6A4B">
          <w:rPr>
            <w:noProof/>
            <w:webHidden/>
          </w:rPr>
          <w:t>44</w:t>
        </w:r>
        <w:r>
          <w:rPr>
            <w:noProof/>
            <w:webHidden/>
          </w:rPr>
          <w:fldChar w:fldCharType="end"/>
        </w:r>
      </w:hyperlink>
    </w:p>
    <w:p w:rsidR="00627145" w:rsidRDefault="00917AAA">
      <w:pPr>
        <w:pStyle w:val="TOC3"/>
        <w:rPr>
          <w:rFonts w:asciiTheme="minorHAnsi" w:eastAsiaTheme="minorEastAsia" w:hAnsiTheme="minorHAnsi" w:cstheme="minorBidi"/>
          <w:noProof/>
          <w:sz w:val="22"/>
          <w:szCs w:val="22"/>
        </w:rPr>
      </w:pPr>
      <w:hyperlink w:anchor="_Toc264354793" w:history="1">
        <w:r w:rsidR="00627145" w:rsidRPr="00777EB5">
          <w:rPr>
            <w:rStyle w:val="Hyperlink"/>
            <w:noProof/>
          </w:rPr>
          <w:t>12.</w:t>
        </w:r>
        <w:r w:rsidR="00627145">
          <w:rPr>
            <w:rFonts w:asciiTheme="minorHAnsi" w:eastAsiaTheme="minorEastAsia" w:hAnsiTheme="minorHAnsi" w:cstheme="minorBidi"/>
            <w:noProof/>
            <w:sz w:val="22"/>
            <w:szCs w:val="22"/>
          </w:rPr>
          <w:tab/>
        </w:r>
        <w:r w:rsidR="00627145" w:rsidRPr="00777EB5">
          <w:rPr>
            <w:rStyle w:val="Hyperlink"/>
            <w:noProof/>
          </w:rPr>
          <w:t>Additional Rationale to Adopt Joint Settlement</w:t>
        </w:r>
        <w:r w:rsidR="00627145">
          <w:rPr>
            <w:noProof/>
            <w:webHidden/>
          </w:rPr>
          <w:tab/>
        </w:r>
        <w:r>
          <w:rPr>
            <w:noProof/>
            <w:webHidden/>
          </w:rPr>
          <w:fldChar w:fldCharType="begin"/>
        </w:r>
        <w:r w:rsidR="00627145">
          <w:rPr>
            <w:noProof/>
            <w:webHidden/>
          </w:rPr>
          <w:instrText xml:space="preserve"> PAGEREF _Toc264354793 \h </w:instrText>
        </w:r>
        <w:r>
          <w:rPr>
            <w:noProof/>
            <w:webHidden/>
          </w:rPr>
        </w:r>
        <w:r>
          <w:rPr>
            <w:noProof/>
            <w:webHidden/>
          </w:rPr>
          <w:fldChar w:fldCharType="separate"/>
        </w:r>
        <w:r w:rsidR="005D6A4B">
          <w:rPr>
            <w:noProof/>
            <w:webHidden/>
          </w:rPr>
          <w:t>44</w:t>
        </w:r>
        <w:r>
          <w:rPr>
            <w:noProof/>
            <w:webHidden/>
          </w:rPr>
          <w:fldChar w:fldCharType="end"/>
        </w:r>
      </w:hyperlink>
    </w:p>
    <w:p w:rsidR="00627145" w:rsidRDefault="00917AAA">
      <w:pPr>
        <w:pStyle w:val="TOC1"/>
        <w:rPr>
          <w:rFonts w:asciiTheme="minorHAnsi" w:eastAsiaTheme="minorEastAsia" w:hAnsiTheme="minorHAnsi" w:cstheme="minorBidi"/>
          <w:sz w:val="22"/>
          <w:szCs w:val="22"/>
        </w:rPr>
      </w:pPr>
      <w:hyperlink w:anchor="_Toc264354794" w:history="1">
        <w:r w:rsidR="00627145" w:rsidRPr="00777EB5">
          <w:rPr>
            <w:rStyle w:val="Hyperlink"/>
          </w:rPr>
          <w:t>IV.</w:t>
        </w:r>
        <w:r w:rsidR="00627145">
          <w:rPr>
            <w:rFonts w:asciiTheme="minorHAnsi" w:eastAsiaTheme="minorEastAsia" w:hAnsiTheme="minorHAnsi" w:cstheme="minorBidi"/>
            <w:sz w:val="22"/>
            <w:szCs w:val="22"/>
          </w:rPr>
          <w:tab/>
        </w:r>
        <w:r w:rsidR="00627145" w:rsidRPr="00777EB5">
          <w:rPr>
            <w:rStyle w:val="Hyperlink"/>
          </w:rPr>
          <w:t>Conclusion</w:t>
        </w:r>
        <w:r w:rsidR="00627145">
          <w:rPr>
            <w:webHidden/>
          </w:rPr>
          <w:tab/>
        </w:r>
        <w:r>
          <w:rPr>
            <w:webHidden/>
          </w:rPr>
          <w:fldChar w:fldCharType="begin"/>
        </w:r>
        <w:r w:rsidR="00627145">
          <w:rPr>
            <w:webHidden/>
          </w:rPr>
          <w:instrText xml:space="preserve"> PAGEREF _Toc264354794 \h </w:instrText>
        </w:r>
        <w:r>
          <w:rPr>
            <w:webHidden/>
          </w:rPr>
        </w:r>
        <w:r>
          <w:rPr>
            <w:webHidden/>
          </w:rPr>
          <w:fldChar w:fldCharType="separate"/>
        </w:r>
        <w:r w:rsidR="005D6A4B">
          <w:rPr>
            <w:webHidden/>
          </w:rPr>
          <w:t>46</w:t>
        </w:r>
        <w:r>
          <w:rPr>
            <w:webHidden/>
          </w:rPr>
          <w:fldChar w:fldCharType="end"/>
        </w:r>
      </w:hyperlink>
    </w:p>
    <w:p w:rsidR="00867ED9" w:rsidRPr="00457F68" w:rsidRDefault="00917AAA" w:rsidP="00A76F8A">
      <w:pPr>
        <w:jc w:val="center"/>
      </w:pPr>
      <w:r>
        <w:fldChar w:fldCharType="end"/>
      </w:r>
    </w:p>
    <w:p w:rsidR="00A54625" w:rsidRDefault="00A54625" w:rsidP="00A76F8A">
      <w:pPr>
        <w:tabs>
          <w:tab w:val="left" w:pos="720"/>
          <w:tab w:val="left" w:pos="2160"/>
          <w:tab w:val="left" w:pos="8640"/>
        </w:tabs>
        <w:ind w:left="2880"/>
      </w:pPr>
    </w:p>
    <w:p w:rsidR="00867ED9" w:rsidRPr="00457F68" w:rsidRDefault="00867ED9" w:rsidP="00A76F8A">
      <w:r w:rsidRPr="00457F68">
        <w:tab/>
      </w:r>
      <w:r w:rsidRPr="00457F68">
        <w:tab/>
      </w:r>
      <w:r w:rsidRPr="00457F68">
        <w:tab/>
      </w:r>
    </w:p>
    <w:p w:rsidR="00F03977" w:rsidRDefault="00F03977" w:rsidP="00A76F8A">
      <w:pPr>
        <w:tabs>
          <w:tab w:val="left" w:pos="720"/>
          <w:tab w:val="left" w:pos="2880"/>
          <w:tab w:val="left" w:pos="9360"/>
        </w:tabs>
        <w:ind w:left="2880" w:hanging="720"/>
        <w:rPr>
          <w:spacing w:val="-3"/>
        </w:rPr>
        <w:sectPr w:rsidR="00F03977" w:rsidSect="006E3873">
          <w:pgSz w:w="12240" w:h="15840"/>
          <w:pgMar w:top="1440" w:right="1440" w:bottom="1440" w:left="1440" w:header="720" w:footer="720" w:gutter="0"/>
          <w:pgNumType w:start="1"/>
          <w:cols w:space="720"/>
          <w:docGrid w:linePitch="360"/>
        </w:sectPr>
      </w:pPr>
    </w:p>
    <w:p w:rsidR="00673294" w:rsidRDefault="00C10B90" w:rsidP="00A76F8A">
      <w:pPr>
        <w:jc w:val="center"/>
        <w:rPr>
          <w:b/>
          <w:sz w:val="26"/>
        </w:rPr>
      </w:pPr>
      <w:r w:rsidRPr="008B4F08">
        <w:rPr>
          <w:b/>
          <w:sz w:val="26"/>
        </w:rPr>
        <w:lastRenderedPageBreak/>
        <w:t>OPINION AND ORDER</w:t>
      </w:r>
    </w:p>
    <w:p w:rsidR="00673294" w:rsidRDefault="00673294" w:rsidP="00A76F8A">
      <w:pPr>
        <w:jc w:val="center"/>
        <w:rPr>
          <w:b/>
          <w:sz w:val="26"/>
        </w:rPr>
      </w:pPr>
    </w:p>
    <w:p w:rsidR="006E7A31" w:rsidRDefault="006E7A31" w:rsidP="00A76F8A">
      <w:pPr>
        <w:jc w:val="center"/>
        <w:rPr>
          <w:b/>
          <w:sz w:val="26"/>
        </w:rPr>
      </w:pPr>
    </w:p>
    <w:p w:rsidR="006E7A31" w:rsidRPr="00370227" w:rsidRDefault="006E7A31" w:rsidP="00A76F8A">
      <w:pPr>
        <w:jc w:val="center"/>
        <w:rPr>
          <w:b/>
          <w:sz w:val="26"/>
        </w:rPr>
      </w:pPr>
    </w:p>
    <w:p w:rsidR="002967FA" w:rsidRPr="006E7A31" w:rsidRDefault="00673294" w:rsidP="00A76F8A">
      <w:pPr>
        <w:rPr>
          <w:b/>
        </w:rPr>
      </w:pPr>
      <w:r w:rsidRPr="006E7A31">
        <w:rPr>
          <w:b/>
        </w:rPr>
        <w:t>BY THE COMMISSION:</w:t>
      </w:r>
    </w:p>
    <w:p w:rsidR="00673294" w:rsidRDefault="00673294" w:rsidP="00A76F8A"/>
    <w:p w:rsidR="00673294" w:rsidRDefault="00673294" w:rsidP="00A76F8A"/>
    <w:p w:rsidR="007529D4" w:rsidRDefault="002967FA" w:rsidP="00D63471">
      <w:pPr>
        <w:spacing w:line="360" w:lineRule="auto"/>
        <w:ind w:firstLine="1440"/>
        <w:rPr>
          <w:sz w:val="26"/>
        </w:rPr>
      </w:pPr>
      <w:r w:rsidRPr="00F57BE9">
        <w:rPr>
          <w:sz w:val="26"/>
        </w:rPr>
        <w:t>Before the Commission for cons</w:t>
      </w:r>
      <w:r w:rsidR="003A5058">
        <w:rPr>
          <w:sz w:val="26"/>
        </w:rPr>
        <w:t>ideration and disposition is the</w:t>
      </w:r>
      <w:r w:rsidRPr="00F57BE9">
        <w:rPr>
          <w:sz w:val="26"/>
        </w:rPr>
        <w:t xml:space="preserve"> Recommended</w:t>
      </w:r>
      <w:r w:rsidR="007529D4">
        <w:rPr>
          <w:sz w:val="26"/>
        </w:rPr>
        <w:t xml:space="preserve"> Decision of Administrative Law Judge (ALJ) </w:t>
      </w:r>
      <w:r w:rsidR="00DF24E6">
        <w:rPr>
          <w:sz w:val="26"/>
        </w:rPr>
        <w:t xml:space="preserve">Angela </w:t>
      </w:r>
      <w:r w:rsidR="002B372E">
        <w:rPr>
          <w:sz w:val="26"/>
        </w:rPr>
        <w:t xml:space="preserve">T. </w:t>
      </w:r>
      <w:r w:rsidR="00DF24E6">
        <w:rPr>
          <w:sz w:val="26"/>
        </w:rPr>
        <w:t>Jones,</w:t>
      </w:r>
      <w:r w:rsidR="002B372E">
        <w:rPr>
          <w:sz w:val="26"/>
        </w:rPr>
        <w:t xml:space="preserve"> issued on May 25, 2010</w:t>
      </w:r>
      <w:r w:rsidR="007529D4">
        <w:rPr>
          <w:sz w:val="26"/>
        </w:rPr>
        <w:t>, relative to the above-captioned g</w:t>
      </w:r>
      <w:r w:rsidR="00EA24BF">
        <w:rPr>
          <w:sz w:val="26"/>
        </w:rPr>
        <w:t>eneral rate increase proceeding</w:t>
      </w:r>
      <w:r w:rsidR="007529D4">
        <w:rPr>
          <w:sz w:val="26"/>
        </w:rPr>
        <w:t>, and the Exceptions and Replies filed with respect thereto.</w:t>
      </w:r>
    </w:p>
    <w:p w:rsidR="007529D4" w:rsidRDefault="007529D4" w:rsidP="00D63471">
      <w:pPr>
        <w:spacing w:line="360" w:lineRule="auto"/>
        <w:ind w:firstLine="1440"/>
        <w:rPr>
          <w:sz w:val="26"/>
        </w:rPr>
      </w:pPr>
    </w:p>
    <w:p w:rsidR="002B372E" w:rsidRDefault="00510A2D" w:rsidP="00D63471">
      <w:pPr>
        <w:spacing w:line="360" w:lineRule="auto"/>
        <w:ind w:firstLine="1440"/>
        <w:rPr>
          <w:sz w:val="26"/>
        </w:rPr>
      </w:pPr>
      <w:r>
        <w:rPr>
          <w:sz w:val="26"/>
        </w:rPr>
        <w:t>On June 4, 2010, Mr. Jerome Linden filed Exceptions to the ALJ’s Recommended Decision</w:t>
      </w:r>
      <w:r w:rsidR="000C179D">
        <w:rPr>
          <w:sz w:val="26"/>
        </w:rPr>
        <w:t xml:space="preserve"> (R.D.)</w:t>
      </w:r>
      <w:r>
        <w:rPr>
          <w:sz w:val="26"/>
        </w:rPr>
        <w:t>.</w:t>
      </w:r>
      <w:r w:rsidR="00D54134">
        <w:rPr>
          <w:sz w:val="26"/>
        </w:rPr>
        <w:t xml:space="preserve">  </w:t>
      </w:r>
      <w:r>
        <w:rPr>
          <w:sz w:val="26"/>
        </w:rPr>
        <w:t>Those Exceptions were filed by the Office of Consumer Advocate (OCA) at the request of and as a courtesy to Mr. Linden.</w:t>
      </w:r>
      <w:r w:rsidR="00747F0F">
        <w:rPr>
          <w:sz w:val="26"/>
        </w:rPr>
        <w:t xml:space="preserve">  On June 9, 2010, the following Parties each filed Reply Exceptions: </w:t>
      </w:r>
      <w:r w:rsidR="0090105C">
        <w:rPr>
          <w:sz w:val="26"/>
        </w:rPr>
        <w:t>Aqua Pennsylvania, Inc. (Aqua or</w:t>
      </w:r>
      <w:r w:rsidR="00747F0F">
        <w:rPr>
          <w:sz w:val="26"/>
        </w:rPr>
        <w:t xml:space="preserve"> Company) and the Office of Small Business Advocate (OSBA)</w:t>
      </w:r>
      <w:r w:rsidR="0090105C">
        <w:rPr>
          <w:sz w:val="26"/>
        </w:rPr>
        <w:t>.</w:t>
      </w:r>
      <w:r w:rsidR="006A5FF7">
        <w:rPr>
          <w:sz w:val="26"/>
        </w:rPr>
        <w:t xml:space="preserve">  The OCA and Aqua Large Users Group (Aqua LUG) filed Letters notifying the Commission that t</w:t>
      </w:r>
      <w:r w:rsidR="00D54134">
        <w:rPr>
          <w:sz w:val="26"/>
        </w:rPr>
        <w:t>hey would not be filing Reply E</w:t>
      </w:r>
      <w:r w:rsidR="006A5FF7">
        <w:rPr>
          <w:sz w:val="26"/>
        </w:rPr>
        <w:t>xceptions.</w:t>
      </w:r>
    </w:p>
    <w:p w:rsidR="00370227" w:rsidRDefault="00370227" w:rsidP="00A76F8A">
      <w:pPr>
        <w:spacing w:line="360" w:lineRule="auto"/>
      </w:pPr>
      <w:bookmarkStart w:id="0" w:name="_Toc193787122"/>
    </w:p>
    <w:p w:rsidR="00F7201E" w:rsidRPr="00F03977" w:rsidRDefault="0036384D" w:rsidP="00A76F8A">
      <w:pPr>
        <w:pStyle w:val="Heading1"/>
      </w:pPr>
      <w:bookmarkStart w:id="1" w:name="_Toc264354739"/>
      <w:r w:rsidRPr="00F03977">
        <w:t>I.</w:t>
      </w:r>
      <w:r w:rsidR="007176BC" w:rsidRPr="00F03977">
        <w:tab/>
      </w:r>
      <w:r w:rsidRPr="00F03977">
        <w:t xml:space="preserve"> </w:t>
      </w:r>
      <w:r w:rsidR="00881922" w:rsidRPr="00F03977">
        <w:t>H</w:t>
      </w:r>
      <w:bookmarkEnd w:id="0"/>
      <w:r w:rsidR="007176BC" w:rsidRPr="00F03977">
        <w:t>istory of the Proceeding</w:t>
      </w:r>
      <w:bookmarkEnd w:id="1"/>
    </w:p>
    <w:p w:rsidR="002967FA" w:rsidRDefault="002967FA" w:rsidP="00A76F8A"/>
    <w:p w:rsidR="00863D30" w:rsidRPr="00B65909" w:rsidRDefault="00863D30" w:rsidP="00D63471">
      <w:pPr>
        <w:spacing w:line="360" w:lineRule="auto"/>
        <w:ind w:firstLine="1440"/>
        <w:rPr>
          <w:sz w:val="26"/>
          <w:szCs w:val="26"/>
        </w:rPr>
      </w:pPr>
      <w:r w:rsidRPr="00B65909">
        <w:rPr>
          <w:sz w:val="26"/>
          <w:szCs w:val="26"/>
        </w:rPr>
        <w:t>On November 18, 2009, Aqua filed</w:t>
      </w:r>
      <w:r w:rsidR="00F03977" w:rsidRPr="00EC582B">
        <w:rPr>
          <w:sz w:val="20"/>
          <w:vertAlign w:val="superscript"/>
        </w:rPr>
        <w:footnoteReference w:id="1"/>
      </w:r>
      <w:r w:rsidRPr="00B65909">
        <w:rPr>
          <w:sz w:val="26"/>
          <w:szCs w:val="26"/>
        </w:rPr>
        <w:t xml:space="preserve"> with the Commission</w:t>
      </w:r>
      <w:r w:rsidR="00D361BB">
        <w:rPr>
          <w:sz w:val="26"/>
          <w:szCs w:val="26"/>
        </w:rPr>
        <w:t xml:space="preserve"> </w:t>
      </w:r>
      <w:r w:rsidR="0090105C">
        <w:rPr>
          <w:sz w:val="26"/>
          <w:szCs w:val="26"/>
        </w:rPr>
        <w:t>Supplement No. </w:t>
      </w:r>
      <w:r w:rsidRPr="00B65909">
        <w:rPr>
          <w:sz w:val="26"/>
          <w:szCs w:val="26"/>
        </w:rPr>
        <w:t>100 to Tariff Water –Pa. P.U.C. No. 1 to become effective January 18, 2010</w:t>
      </w:r>
      <w:r w:rsidR="00EA24BF">
        <w:rPr>
          <w:sz w:val="26"/>
          <w:szCs w:val="26"/>
        </w:rPr>
        <w:t>,</w:t>
      </w:r>
      <w:r w:rsidRPr="00E73E65">
        <w:rPr>
          <w:rStyle w:val="FootnoteReference"/>
          <w:sz w:val="20"/>
          <w:szCs w:val="26"/>
        </w:rPr>
        <w:footnoteReference w:id="2"/>
      </w:r>
      <w:r w:rsidR="00EA24BF">
        <w:rPr>
          <w:sz w:val="26"/>
          <w:szCs w:val="26"/>
        </w:rPr>
        <w:t xml:space="preserve"> reflecting an annual </w:t>
      </w:r>
      <w:r w:rsidRPr="00B65909">
        <w:rPr>
          <w:sz w:val="26"/>
          <w:szCs w:val="26"/>
        </w:rPr>
        <w:t xml:space="preserve">increase in revenues of $43.2 million or 11.8%.  The Company alleged the proposed increase is needed to help recover its investment of $500 million to improve water quality service and reliability for more than 400,000 customers throughout Pennsylvania since its last rate increase.  Aqua's capital investments include the </w:t>
      </w:r>
      <w:r w:rsidRPr="00B65909">
        <w:rPr>
          <w:sz w:val="26"/>
          <w:szCs w:val="26"/>
        </w:rPr>
        <w:lastRenderedPageBreak/>
        <w:t>replacement or rehabilitation of more than 250 miles of aging water mains, valves, service lines and other parts of its 5</w:t>
      </w:r>
      <w:r w:rsidR="00D54134">
        <w:rPr>
          <w:sz w:val="26"/>
          <w:szCs w:val="26"/>
        </w:rPr>
        <w:t>,</w:t>
      </w:r>
      <w:r w:rsidRPr="00B65909">
        <w:rPr>
          <w:sz w:val="26"/>
          <w:szCs w:val="26"/>
        </w:rPr>
        <w:t xml:space="preserve">100 mile distribution system. </w:t>
      </w:r>
    </w:p>
    <w:p w:rsidR="00863D30" w:rsidRPr="00B65909" w:rsidRDefault="00863D30" w:rsidP="00A76F8A">
      <w:pPr>
        <w:spacing w:line="360" w:lineRule="auto"/>
        <w:ind w:firstLine="1440"/>
        <w:rPr>
          <w:sz w:val="26"/>
          <w:szCs w:val="26"/>
        </w:rPr>
      </w:pPr>
    </w:p>
    <w:p w:rsidR="00863D30" w:rsidRPr="00B65909" w:rsidRDefault="00863D30" w:rsidP="00A76F8A">
      <w:pPr>
        <w:spacing w:line="360" w:lineRule="auto"/>
        <w:ind w:firstLine="1440"/>
        <w:rPr>
          <w:sz w:val="26"/>
          <w:szCs w:val="26"/>
        </w:rPr>
      </w:pPr>
      <w:r w:rsidRPr="00B65909">
        <w:rPr>
          <w:sz w:val="26"/>
          <w:szCs w:val="26"/>
        </w:rPr>
        <w:t>By Order entered January 14, 2010, the Commission instituted a formal investigation to determine whether</w:t>
      </w:r>
      <w:r w:rsidR="002C0847">
        <w:rPr>
          <w:sz w:val="26"/>
          <w:szCs w:val="26"/>
        </w:rPr>
        <w:t xml:space="preserve"> the proposed tariff filing and the </w:t>
      </w:r>
      <w:r w:rsidRPr="00B65909">
        <w:rPr>
          <w:sz w:val="26"/>
          <w:szCs w:val="26"/>
        </w:rPr>
        <w:t xml:space="preserve">proposed changes in rates, rules and regulations are unlawful, unjust, unreasonable and contrary to the public interest.  In addition, the investigation includes </w:t>
      </w:r>
      <w:r w:rsidR="00EA24BF">
        <w:rPr>
          <w:sz w:val="26"/>
          <w:szCs w:val="26"/>
        </w:rPr>
        <w:t xml:space="preserve">a </w:t>
      </w:r>
      <w:r w:rsidRPr="00B65909">
        <w:rPr>
          <w:sz w:val="26"/>
          <w:szCs w:val="26"/>
        </w:rPr>
        <w:t>consider</w:t>
      </w:r>
      <w:r w:rsidR="00EA24BF">
        <w:rPr>
          <w:sz w:val="26"/>
          <w:szCs w:val="26"/>
        </w:rPr>
        <w:t xml:space="preserve">ation of </w:t>
      </w:r>
      <w:r w:rsidRPr="00B65909">
        <w:rPr>
          <w:sz w:val="26"/>
          <w:szCs w:val="26"/>
        </w:rPr>
        <w:t>whether the Company’s existing rates, rules and regulations are reasonable.  Acc</w:t>
      </w:r>
      <w:r w:rsidR="00D54134">
        <w:rPr>
          <w:sz w:val="26"/>
          <w:szCs w:val="26"/>
        </w:rPr>
        <w:t>ordingly, pursuant to 66 Pa. C.</w:t>
      </w:r>
      <w:r w:rsidRPr="00B65909">
        <w:rPr>
          <w:sz w:val="26"/>
          <w:szCs w:val="26"/>
        </w:rPr>
        <w:t>S. § 1308(d</w:t>
      </w:r>
      <w:r w:rsidR="00B24E17">
        <w:rPr>
          <w:sz w:val="26"/>
          <w:szCs w:val="26"/>
        </w:rPr>
        <w:t xml:space="preserve">), the Commission suspended </w:t>
      </w:r>
      <w:r w:rsidRPr="00B65909">
        <w:rPr>
          <w:sz w:val="26"/>
          <w:szCs w:val="26"/>
        </w:rPr>
        <w:t xml:space="preserve">Tariff Supplement No. 100 until August 18, 2010, unless otherwise directed by Commission Order.   </w:t>
      </w:r>
    </w:p>
    <w:p w:rsidR="00863D30" w:rsidRPr="00B65909" w:rsidRDefault="00863D30" w:rsidP="00A76F8A">
      <w:pPr>
        <w:spacing w:line="360" w:lineRule="auto"/>
        <w:ind w:firstLine="1440"/>
        <w:rPr>
          <w:sz w:val="26"/>
          <w:szCs w:val="26"/>
        </w:rPr>
      </w:pPr>
    </w:p>
    <w:p w:rsidR="00863D30" w:rsidRPr="00B65909" w:rsidRDefault="00863D30" w:rsidP="00A76F8A">
      <w:pPr>
        <w:spacing w:line="360" w:lineRule="auto"/>
        <w:ind w:firstLine="1440"/>
        <w:rPr>
          <w:sz w:val="26"/>
          <w:szCs w:val="26"/>
        </w:rPr>
      </w:pPr>
      <w:r w:rsidRPr="00B65909">
        <w:rPr>
          <w:sz w:val="26"/>
          <w:szCs w:val="26"/>
        </w:rPr>
        <w:t>The case was assigned to the Office of Administrative Law Judge for prompt schedu</w:t>
      </w:r>
      <w:r w:rsidR="000E32BA">
        <w:rPr>
          <w:sz w:val="26"/>
          <w:szCs w:val="26"/>
        </w:rPr>
        <w:t>ling of hearings and for the issuance of</w:t>
      </w:r>
      <w:r w:rsidRPr="00B65909">
        <w:rPr>
          <w:sz w:val="26"/>
          <w:szCs w:val="26"/>
        </w:rPr>
        <w:t xml:space="preserve"> a Recommended Decision.</w:t>
      </w:r>
      <w:r w:rsidR="000E32BA">
        <w:rPr>
          <w:sz w:val="26"/>
          <w:szCs w:val="26"/>
        </w:rPr>
        <w:t xml:space="preserve">  There were thirty-seven F</w:t>
      </w:r>
      <w:r w:rsidR="00530931">
        <w:rPr>
          <w:sz w:val="26"/>
          <w:szCs w:val="26"/>
        </w:rPr>
        <w:t>ormal C</w:t>
      </w:r>
      <w:r w:rsidRPr="00B65909">
        <w:rPr>
          <w:sz w:val="26"/>
          <w:szCs w:val="26"/>
        </w:rPr>
        <w:t xml:space="preserve">omplaints filed against the proposed rate increase.  On November 23, 2009, counsel for </w:t>
      </w:r>
      <w:r w:rsidR="00510A2D">
        <w:rPr>
          <w:sz w:val="26"/>
          <w:szCs w:val="26"/>
        </w:rPr>
        <w:t xml:space="preserve">the </w:t>
      </w:r>
      <w:r w:rsidR="00530931">
        <w:rPr>
          <w:sz w:val="26"/>
          <w:szCs w:val="26"/>
        </w:rPr>
        <w:t>OCA</w:t>
      </w:r>
      <w:r w:rsidRPr="00B65909">
        <w:rPr>
          <w:sz w:val="26"/>
          <w:szCs w:val="26"/>
        </w:rPr>
        <w:t xml:space="preserve"> entered a notice of appearance and filed a </w:t>
      </w:r>
      <w:r w:rsidR="00530931">
        <w:rPr>
          <w:sz w:val="26"/>
          <w:szCs w:val="26"/>
        </w:rPr>
        <w:t>Formal C</w:t>
      </w:r>
      <w:r w:rsidRPr="00B65909">
        <w:rPr>
          <w:sz w:val="26"/>
          <w:szCs w:val="26"/>
        </w:rPr>
        <w:t>omplaint and public statement again</w:t>
      </w:r>
      <w:r w:rsidR="00530931">
        <w:rPr>
          <w:sz w:val="26"/>
          <w:szCs w:val="26"/>
        </w:rPr>
        <w:t xml:space="preserve">st the proposed rate increase.  </w:t>
      </w:r>
      <w:r w:rsidRPr="00B65909">
        <w:rPr>
          <w:sz w:val="26"/>
          <w:szCs w:val="26"/>
        </w:rPr>
        <w:t>On November 25, 2009</w:t>
      </w:r>
      <w:r w:rsidR="00EA24BF">
        <w:rPr>
          <w:sz w:val="26"/>
          <w:szCs w:val="26"/>
        </w:rPr>
        <w:t>,</w:t>
      </w:r>
      <w:r w:rsidRPr="00B65909">
        <w:rPr>
          <w:sz w:val="26"/>
          <w:szCs w:val="26"/>
        </w:rPr>
        <w:t xml:space="preserve"> counsel for Aqua entered their Notice of Appearance.  On December 8, 2009, the </w:t>
      </w:r>
      <w:r w:rsidR="00530931">
        <w:rPr>
          <w:sz w:val="26"/>
          <w:szCs w:val="26"/>
        </w:rPr>
        <w:t>OSBA</w:t>
      </w:r>
      <w:r w:rsidRPr="00B65909">
        <w:rPr>
          <w:sz w:val="26"/>
          <w:szCs w:val="26"/>
        </w:rPr>
        <w:t xml:space="preserve"> </w:t>
      </w:r>
      <w:r w:rsidR="00530931">
        <w:rPr>
          <w:sz w:val="26"/>
          <w:szCs w:val="26"/>
        </w:rPr>
        <w:t>filed a F</w:t>
      </w:r>
      <w:r w:rsidRPr="00B65909">
        <w:rPr>
          <w:sz w:val="26"/>
          <w:szCs w:val="26"/>
        </w:rPr>
        <w:t xml:space="preserve">ormal </w:t>
      </w:r>
      <w:r w:rsidR="00530931">
        <w:rPr>
          <w:sz w:val="26"/>
          <w:szCs w:val="26"/>
        </w:rPr>
        <w:t>C</w:t>
      </w:r>
      <w:r w:rsidRPr="00B65909">
        <w:rPr>
          <w:sz w:val="26"/>
          <w:szCs w:val="26"/>
        </w:rPr>
        <w:t>omplaint and its Notice of Appearance and a public statement opposing the proposed rate incr</w:t>
      </w:r>
      <w:r w:rsidR="00EA24BF">
        <w:rPr>
          <w:sz w:val="26"/>
          <w:szCs w:val="26"/>
        </w:rPr>
        <w:t xml:space="preserve">ease.  On January 14, 2010, </w:t>
      </w:r>
      <w:r w:rsidRPr="00B65909">
        <w:rPr>
          <w:sz w:val="26"/>
          <w:szCs w:val="26"/>
        </w:rPr>
        <w:t xml:space="preserve">counsel for the Office of Trial Staff </w:t>
      </w:r>
      <w:r w:rsidR="00530931">
        <w:rPr>
          <w:sz w:val="26"/>
          <w:szCs w:val="26"/>
        </w:rPr>
        <w:t>(OTS</w:t>
      </w:r>
      <w:r w:rsidRPr="00B65909">
        <w:rPr>
          <w:sz w:val="26"/>
          <w:szCs w:val="26"/>
        </w:rPr>
        <w:t xml:space="preserve">) filed their </w:t>
      </w:r>
      <w:r w:rsidR="00530931">
        <w:rPr>
          <w:sz w:val="26"/>
          <w:szCs w:val="26"/>
        </w:rPr>
        <w:t>n</w:t>
      </w:r>
      <w:r w:rsidRPr="00B65909">
        <w:rPr>
          <w:sz w:val="26"/>
          <w:szCs w:val="26"/>
        </w:rPr>
        <w:t xml:space="preserve">otice of </w:t>
      </w:r>
      <w:r w:rsidR="00530931">
        <w:rPr>
          <w:sz w:val="26"/>
          <w:szCs w:val="26"/>
        </w:rPr>
        <w:t>a</w:t>
      </w:r>
      <w:r w:rsidRPr="00B65909">
        <w:rPr>
          <w:sz w:val="26"/>
          <w:szCs w:val="26"/>
        </w:rPr>
        <w:t>ppearance.  Counsel f</w:t>
      </w:r>
      <w:r w:rsidR="006A5FF7">
        <w:rPr>
          <w:sz w:val="26"/>
          <w:szCs w:val="26"/>
        </w:rPr>
        <w:t>or Aqua LUG</w:t>
      </w:r>
      <w:r w:rsidRPr="00B65909">
        <w:rPr>
          <w:sz w:val="26"/>
          <w:szCs w:val="26"/>
        </w:rPr>
        <w:t xml:space="preserve"> </w:t>
      </w:r>
      <w:r w:rsidR="003D59AD">
        <w:rPr>
          <w:sz w:val="26"/>
          <w:szCs w:val="26"/>
        </w:rPr>
        <w:t>filed its F</w:t>
      </w:r>
      <w:r w:rsidRPr="00B65909">
        <w:rPr>
          <w:sz w:val="26"/>
          <w:szCs w:val="26"/>
        </w:rPr>
        <w:t xml:space="preserve">ormal </w:t>
      </w:r>
      <w:r w:rsidR="003D59AD">
        <w:rPr>
          <w:sz w:val="26"/>
          <w:szCs w:val="26"/>
        </w:rPr>
        <w:t>C</w:t>
      </w:r>
      <w:r w:rsidRPr="00B65909">
        <w:rPr>
          <w:sz w:val="26"/>
          <w:szCs w:val="26"/>
        </w:rPr>
        <w:t xml:space="preserve">omplaint on January 22, 2010.  The following </w:t>
      </w:r>
      <w:r w:rsidRPr="003D59AD">
        <w:rPr>
          <w:i/>
          <w:sz w:val="26"/>
          <w:szCs w:val="26"/>
        </w:rPr>
        <w:t>pro se</w:t>
      </w:r>
      <w:r w:rsidRPr="00B65909">
        <w:rPr>
          <w:sz w:val="26"/>
          <w:szCs w:val="26"/>
        </w:rPr>
        <w:t xml:space="preserve"> Complainants elected to be active participants: </w:t>
      </w:r>
    </w:p>
    <w:p w:rsidR="00863D30" w:rsidRPr="00B65909" w:rsidRDefault="00863D30" w:rsidP="00A76F8A">
      <w:pPr>
        <w:spacing w:line="360" w:lineRule="auto"/>
        <w:ind w:firstLine="1440"/>
        <w:rPr>
          <w:sz w:val="26"/>
          <w:szCs w:val="26"/>
        </w:rPr>
      </w:pPr>
    </w:p>
    <w:p w:rsidR="00863D30" w:rsidRPr="00B65909" w:rsidRDefault="00863D30" w:rsidP="00A76F8A">
      <w:pPr>
        <w:numPr>
          <w:ilvl w:val="0"/>
          <w:numId w:val="21"/>
        </w:numPr>
        <w:rPr>
          <w:sz w:val="26"/>
          <w:szCs w:val="26"/>
        </w:rPr>
      </w:pPr>
      <w:r w:rsidRPr="00B65909">
        <w:rPr>
          <w:sz w:val="26"/>
          <w:szCs w:val="26"/>
        </w:rPr>
        <w:t>Dr. Jonathan Briskin, Esq.</w:t>
      </w:r>
      <w:r w:rsidR="00944A80">
        <w:rPr>
          <w:sz w:val="26"/>
          <w:szCs w:val="26"/>
        </w:rPr>
        <w:t>,</w:t>
      </w:r>
      <w:r w:rsidRPr="00B65909">
        <w:rPr>
          <w:sz w:val="26"/>
          <w:szCs w:val="26"/>
        </w:rPr>
        <w:t xml:space="preserve"> at Docket No. C-2010-2155875;</w:t>
      </w:r>
      <w:r w:rsidRPr="00B65909">
        <w:rPr>
          <w:rStyle w:val="FootnoteReference"/>
          <w:sz w:val="26"/>
          <w:szCs w:val="26"/>
        </w:rPr>
        <w:footnoteReference w:id="3"/>
      </w:r>
    </w:p>
    <w:p w:rsidR="00863D30" w:rsidRPr="00B65909" w:rsidRDefault="00863D30" w:rsidP="00A76F8A">
      <w:pPr>
        <w:numPr>
          <w:ilvl w:val="0"/>
          <w:numId w:val="21"/>
        </w:numPr>
        <w:rPr>
          <w:sz w:val="26"/>
          <w:szCs w:val="26"/>
        </w:rPr>
      </w:pPr>
      <w:r w:rsidRPr="00B65909">
        <w:rPr>
          <w:sz w:val="26"/>
          <w:szCs w:val="26"/>
        </w:rPr>
        <w:t>Pastor William Burris at Docket No. C-2009-2146020;</w:t>
      </w:r>
    </w:p>
    <w:p w:rsidR="00863D30" w:rsidRPr="00B65909" w:rsidRDefault="00863D30" w:rsidP="00A76F8A">
      <w:pPr>
        <w:numPr>
          <w:ilvl w:val="0"/>
          <w:numId w:val="21"/>
        </w:numPr>
        <w:rPr>
          <w:sz w:val="26"/>
          <w:szCs w:val="26"/>
        </w:rPr>
      </w:pPr>
      <w:r w:rsidRPr="00B65909">
        <w:rPr>
          <w:sz w:val="26"/>
          <w:szCs w:val="26"/>
        </w:rPr>
        <w:t>Mrs. Zarrin Damavandi at Docket No. C-2009-2148691;</w:t>
      </w:r>
    </w:p>
    <w:p w:rsidR="00863D30" w:rsidRPr="00B65909" w:rsidRDefault="00863D30" w:rsidP="00A76F8A">
      <w:pPr>
        <w:numPr>
          <w:ilvl w:val="0"/>
          <w:numId w:val="21"/>
        </w:numPr>
        <w:rPr>
          <w:sz w:val="26"/>
          <w:szCs w:val="26"/>
        </w:rPr>
      </w:pPr>
      <w:r w:rsidRPr="00B65909">
        <w:rPr>
          <w:sz w:val="26"/>
          <w:szCs w:val="26"/>
        </w:rPr>
        <w:t>Mr. William Frazier at Docket No. C-2010-2151954;</w:t>
      </w:r>
    </w:p>
    <w:p w:rsidR="00863D30" w:rsidRPr="00B65909" w:rsidRDefault="00863D30" w:rsidP="00A76F8A">
      <w:pPr>
        <w:numPr>
          <w:ilvl w:val="0"/>
          <w:numId w:val="21"/>
        </w:numPr>
        <w:rPr>
          <w:sz w:val="26"/>
          <w:szCs w:val="26"/>
        </w:rPr>
      </w:pPr>
      <w:r w:rsidRPr="00B65909">
        <w:rPr>
          <w:sz w:val="26"/>
          <w:szCs w:val="26"/>
        </w:rPr>
        <w:lastRenderedPageBreak/>
        <w:t>Mr. Jerome Linden at Docket No. C-2010-2152328;</w:t>
      </w:r>
    </w:p>
    <w:p w:rsidR="00863D30" w:rsidRPr="00B65909" w:rsidRDefault="00863D30" w:rsidP="00A76F8A">
      <w:pPr>
        <w:numPr>
          <w:ilvl w:val="0"/>
          <w:numId w:val="21"/>
        </w:numPr>
        <w:rPr>
          <w:sz w:val="26"/>
          <w:szCs w:val="26"/>
        </w:rPr>
      </w:pPr>
      <w:r w:rsidRPr="00B65909">
        <w:rPr>
          <w:sz w:val="26"/>
          <w:szCs w:val="26"/>
        </w:rPr>
        <w:t>Mr. Joseph Monaghan at Docket No. C-2009-2144761; and</w:t>
      </w:r>
    </w:p>
    <w:p w:rsidR="00863D30" w:rsidRPr="00B65909" w:rsidRDefault="00863D30" w:rsidP="00A76F8A">
      <w:pPr>
        <w:numPr>
          <w:ilvl w:val="0"/>
          <w:numId w:val="21"/>
        </w:numPr>
        <w:rPr>
          <w:sz w:val="26"/>
          <w:szCs w:val="26"/>
        </w:rPr>
      </w:pPr>
      <w:r w:rsidRPr="00B65909">
        <w:rPr>
          <w:sz w:val="26"/>
          <w:szCs w:val="26"/>
        </w:rPr>
        <w:t>Mr. Emilio Rende at Docket No. C-2009-2146020.</w:t>
      </w:r>
      <w:r w:rsidRPr="00944A80">
        <w:rPr>
          <w:rStyle w:val="FootnoteReference"/>
          <w:sz w:val="20"/>
          <w:szCs w:val="26"/>
        </w:rPr>
        <w:footnoteReference w:id="4"/>
      </w:r>
    </w:p>
    <w:p w:rsidR="00863D30" w:rsidRPr="00B65909" w:rsidRDefault="00863D30" w:rsidP="00A76F8A">
      <w:pPr>
        <w:ind w:left="1440"/>
        <w:rPr>
          <w:sz w:val="26"/>
          <w:szCs w:val="26"/>
        </w:rPr>
      </w:pPr>
    </w:p>
    <w:p w:rsidR="00863D30" w:rsidRPr="00B65909" w:rsidRDefault="00863D30" w:rsidP="00A76F8A">
      <w:pPr>
        <w:ind w:left="1440"/>
        <w:rPr>
          <w:sz w:val="26"/>
          <w:szCs w:val="26"/>
        </w:rPr>
      </w:pPr>
    </w:p>
    <w:p w:rsidR="00863D30" w:rsidRPr="00B65909" w:rsidRDefault="00944A80" w:rsidP="00D63471">
      <w:pPr>
        <w:spacing w:line="360" w:lineRule="auto"/>
        <w:ind w:firstLine="1440"/>
        <w:rPr>
          <w:sz w:val="26"/>
          <w:szCs w:val="26"/>
        </w:rPr>
      </w:pPr>
      <w:r>
        <w:rPr>
          <w:sz w:val="26"/>
          <w:szCs w:val="26"/>
        </w:rPr>
        <w:t xml:space="preserve">ALJ Jones granted the </w:t>
      </w:r>
      <w:r w:rsidR="00863D30" w:rsidRPr="00B65909">
        <w:rPr>
          <w:sz w:val="26"/>
          <w:szCs w:val="26"/>
        </w:rPr>
        <w:t>Pet</w:t>
      </w:r>
      <w:r>
        <w:rPr>
          <w:sz w:val="26"/>
          <w:szCs w:val="26"/>
        </w:rPr>
        <w:t>ition to Intervene filed by counsel</w:t>
      </w:r>
      <w:r w:rsidR="00863D30" w:rsidRPr="00B65909">
        <w:rPr>
          <w:sz w:val="26"/>
          <w:szCs w:val="26"/>
        </w:rPr>
        <w:t xml:space="preserve"> on behalf of Masthope Property Owners</w:t>
      </w:r>
      <w:r>
        <w:rPr>
          <w:sz w:val="26"/>
          <w:szCs w:val="26"/>
        </w:rPr>
        <w:t xml:space="preserve"> Council (MPO</w:t>
      </w:r>
      <w:r w:rsidR="00863D30" w:rsidRPr="00B65909">
        <w:rPr>
          <w:sz w:val="26"/>
          <w:szCs w:val="26"/>
        </w:rPr>
        <w:t>)</w:t>
      </w:r>
      <w:r>
        <w:rPr>
          <w:sz w:val="26"/>
          <w:szCs w:val="26"/>
        </w:rPr>
        <w:t xml:space="preserve"> </w:t>
      </w:r>
      <w:r w:rsidR="00863D30" w:rsidRPr="00B65909">
        <w:rPr>
          <w:sz w:val="26"/>
          <w:szCs w:val="26"/>
        </w:rPr>
        <w:t xml:space="preserve">on February 1, 2010.  </w:t>
      </w:r>
    </w:p>
    <w:p w:rsidR="00863D30" w:rsidRPr="00B65909" w:rsidRDefault="00863D30" w:rsidP="00A76F8A">
      <w:pPr>
        <w:spacing w:line="360" w:lineRule="auto"/>
        <w:rPr>
          <w:sz w:val="26"/>
          <w:szCs w:val="26"/>
        </w:rPr>
      </w:pPr>
    </w:p>
    <w:p w:rsidR="00863D30" w:rsidRPr="00B65909" w:rsidRDefault="00863D30" w:rsidP="00A76F8A">
      <w:pPr>
        <w:tabs>
          <w:tab w:val="left" w:pos="-720"/>
        </w:tabs>
        <w:suppressAutoHyphens/>
        <w:spacing w:line="360" w:lineRule="auto"/>
        <w:ind w:firstLine="1440"/>
        <w:rPr>
          <w:sz w:val="26"/>
          <w:szCs w:val="26"/>
        </w:rPr>
      </w:pPr>
      <w:r w:rsidRPr="00B65909">
        <w:rPr>
          <w:sz w:val="26"/>
          <w:szCs w:val="26"/>
        </w:rPr>
        <w:t>A</w:t>
      </w:r>
      <w:r w:rsidR="006073D0">
        <w:rPr>
          <w:sz w:val="26"/>
          <w:szCs w:val="26"/>
        </w:rPr>
        <w:t xml:space="preserve"> Prehearing C</w:t>
      </w:r>
      <w:r w:rsidRPr="00B65909">
        <w:rPr>
          <w:sz w:val="26"/>
          <w:szCs w:val="26"/>
        </w:rPr>
        <w:t xml:space="preserve">onference was held in Philadelphia and Harrisburg, joined telephonically, on February 1, 2010.  Public </w:t>
      </w:r>
      <w:r w:rsidR="00EA24BF">
        <w:rPr>
          <w:sz w:val="26"/>
          <w:szCs w:val="26"/>
        </w:rPr>
        <w:t>I</w:t>
      </w:r>
      <w:r w:rsidRPr="00B65909">
        <w:rPr>
          <w:sz w:val="26"/>
          <w:szCs w:val="26"/>
        </w:rPr>
        <w:t>nput hearings were discussed and a schedule was set for hearin</w:t>
      </w:r>
      <w:r w:rsidR="00885524">
        <w:rPr>
          <w:sz w:val="26"/>
          <w:szCs w:val="26"/>
        </w:rPr>
        <w:t>gs and formal testimony by the P</w:t>
      </w:r>
      <w:r w:rsidRPr="00B65909">
        <w:rPr>
          <w:sz w:val="26"/>
          <w:szCs w:val="26"/>
        </w:rPr>
        <w:t xml:space="preserve">arties.  The schedule included five in-person </w:t>
      </w:r>
      <w:r w:rsidR="00EA24BF">
        <w:rPr>
          <w:sz w:val="26"/>
          <w:szCs w:val="26"/>
        </w:rPr>
        <w:t>P</w:t>
      </w:r>
      <w:r w:rsidRPr="00B65909">
        <w:rPr>
          <w:sz w:val="26"/>
          <w:szCs w:val="26"/>
        </w:rPr>
        <w:t xml:space="preserve">ublic </w:t>
      </w:r>
      <w:r w:rsidR="00EA24BF">
        <w:rPr>
          <w:sz w:val="26"/>
          <w:szCs w:val="26"/>
        </w:rPr>
        <w:t>I</w:t>
      </w:r>
      <w:r w:rsidRPr="00B65909">
        <w:rPr>
          <w:sz w:val="26"/>
          <w:szCs w:val="26"/>
        </w:rPr>
        <w:t xml:space="preserve">nput sessions and one telephonic session.  The </w:t>
      </w:r>
      <w:r w:rsidR="00885524">
        <w:rPr>
          <w:sz w:val="26"/>
          <w:szCs w:val="26"/>
        </w:rPr>
        <w:t xml:space="preserve">in-person </w:t>
      </w:r>
      <w:r w:rsidR="00EA24BF">
        <w:rPr>
          <w:sz w:val="26"/>
          <w:szCs w:val="26"/>
        </w:rPr>
        <w:t>P</w:t>
      </w:r>
      <w:r w:rsidRPr="00B65909">
        <w:rPr>
          <w:sz w:val="26"/>
          <w:szCs w:val="26"/>
        </w:rPr>
        <w:t xml:space="preserve">ublic </w:t>
      </w:r>
      <w:r w:rsidR="00EA24BF">
        <w:rPr>
          <w:sz w:val="26"/>
          <w:szCs w:val="26"/>
        </w:rPr>
        <w:t>I</w:t>
      </w:r>
      <w:r w:rsidRPr="00B65909">
        <w:rPr>
          <w:sz w:val="26"/>
          <w:szCs w:val="26"/>
        </w:rPr>
        <w:t>nput hearing</w:t>
      </w:r>
      <w:r w:rsidR="00885524">
        <w:rPr>
          <w:sz w:val="26"/>
          <w:szCs w:val="26"/>
        </w:rPr>
        <w:t>s</w:t>
      </w:r>
      <w:r w:rsidRPr="00B65909">
        <w:rPr>
          <w:sz w:val="26"/>
          <w:szCs w:val="26"/>
        </w:rPr>
        <w:t xml:space="preserve"> </w:t>
      </w:r>
      <w:r w:rsidR="00885524">
        <w:rPr>
          <w:sz w:val="26"/>
          <w:szCs w:val="26"/>
        </w:rPr>
        <w:t>were</w:t>
      </w:r>
      <w:r w:rsidRPr="00B65909">
        <w:rPr>
          <w:sz w:val="26"/>
          <w:szCs w:val="26"/>
        </w:rPr>
        <w:t xml:space="preserve"> held </w:t>
      </w:r>
      <w:r w:rsidR="00885524">
        <w:rPr>
          <w:sz w:val="26"/>
          <w:szCs w:val="26"/>
        </w:rPr>
        <w:t>on February 24, 2010,</w:t>
      </w:r>
      <w:r w:rsidRPr="00B65909">
        <w:rPr>
          <w:sz w:val="26"/>
          <w:szCs w:val="26"/>
        </w:rPr>
        <w:t xml:space="preserve"> in Honesdale, PA</w:t>
      </w:r>
      <w:r w:rsidR="00885524">
        <w:rPr>
          <w:sz w:val="26"/>
          <w:szCs w:val="26"/>
        </w:rPr>
        <w:t xml:space="preserve">, and in Shavertown, PA; on March 3, 2010, </w:t>
      </w:r>
      <w:r w:rsidR="007C20E7">
        <w:rPr>
          <w:sz w:val="26"/>
          <w:szCs w:val="26"/>
        </w:rPr>
        <w:t>in Radnor Township, PA and in Hatboro, PA; and on March 4, 2010, in West Chester, PA</w:t>
      </w:r>
      <w:r w:rsidR="00583F11">
        <w:rPr>
          <w:sz w:val="26"/>
          <w:szCs w:val="26"/>
        </w:rPr>
        <w:t xml:space="preserve">.  </w:t>
      </w:r>
      <w:r w:rsidRPr="00B65909">
        <w:rPr>
          <w:sz w:val="26"/>
          <w:szCs w:val="26"/>
        </w:rPr>
        <w:t xml:space="preserve">The telephonic </w:t>
      </w:r>
      <w:r w:rsidR="00EA24BF">
        <w:rPr>
          <w:sz w:val="26"/>
          <w:szCs w:val="26"/>
        </w:rPr>
        <w:t>P</w:t>
      </w:r>
      <w:r w:rsidRPr="00B65909">
        <w:rPr>
          <w:sz w:val="26"/>
          <w:szCs w:val="26"/>
        </w:rPr>
        <w:t xml:space="preserve">ublic </w:t>
      </w:r>
      <w:r w:rsidR="00EA24BF">
        <w:rPr>
          <w:sz w:val="26"/>
          <w:szCs w:val="26"/>
        </w:rPr>
        <w:t>I</w:t>
      </w:r>
      <w:r w:rsidRPr="00B65909">
        <w:rPr>
          <w:sz w:val="26"/>
          <w:szCs w:val="26"/>
        </w:rPr>
        <w:t xml:space="preserve">nput session was </w:t>
      </w:r>
      <w:r w:rsidR="00583F11">
        <w:rPr>
          <w:sz w:val="26"/>
          <w:szCs w:val="26"/>
        </w:rPr>
        <w:t xml:space="preserve">held on </w:t>
      </w:r>
      <w:r w:rsidRPr="00B65909">
        <w:rPr>
          <w:sz w:val="26"/>
          <w:szCs w:val="26"/>
        </w:rPr>
        <w:t xml:space="preserve">March 8, 2010.  Below is a section devoted to summarizing the testimony heard at the </w:t>
      </w:r>
      <w:r w:rsidR="00EA24BF">
        <w:rPr>
          <w:sz w:val="26"/>
          <w:szCs w:val="26"/>
        </w:rPr>
        <w:t>P</w:t>
      </w:r>
      <w:r w:rsidRPr="00B65909">
        <w:rPr>
          <w:sz w:val="26"/>
          <w:szCs w:val="26"/>
        </w:rPr>
        <w:t xml:space="preserve">ublic </w:t>
      </w:r>
      <w:r w:rsidR="00EA24BF">
        <w:rPr>
          <w:sz w:val="26"/>
          <w:szCs w:val="26"/>
        </w:rPr>
        <w:t>I</w:t>
      </w:r>
      <w:r w:rsidRPr="00B65909">
        <w:rPr>
          <w:sz w:val="26"/>
          <w:szCs w:val="26"/>
        </w:rPr>
        <w:t>nput sessions.</w:t>
      </w:r>
    </w:p>
    <w:p w:rsidR="00863D30" w:rsidRPr="00B65909" w:rsidRDefault="00863D30" w:rsidP="00A76F8A">
      <w:pPr>
        <w:tabs>
          <w:tab w:val="left" w:pos="-720"/>
        </w:tabs>
        <w:suppressAutoHyphens/>
        <w:spacing w:line="360" w:lineRule="auto"/>
        <w:ind w:firstLine="1440"/>
        <w:rPr>
          <w:sz w:val="26"/>
          <w:szCs w:val="26"/>
        </w:rPr>
      </w:pPr>
    </w:p>
    <w:p w:rsidR="00863D30" w:rsidRPr="00B65909" w:rsidRDefault="00863D30" w:rsidP="00A76F8A">
      <w:pPr>
        <w:tabs>
          <w:tab w:val="left" w:pos="-720"/>
        </w:tabs>
        <w:suppressAutoHyphens/>
        <w:spacing w:line="360" w:lineRule="auto"/>
        <w:ind w:firstLine="1440"/>
        <w:rPr>
          <w:rStyle w:val="PageNumber"/>
          <w:sz w:val="26"/>
          <w:szCs w:val="26"/>
        </w:rPr>
      </w:pPr>
      <w:r w:rsidRPr="00B65909">
        <w:rPr>
          <w:spacing w:val="-3"/>
          <w:sz w:val="26"/>
          <w:szCs w:val="26"/>
        </w:rPr>
        <w:t xml:space="preserve">On February 23, 2010, Aqua filed a Petition for Protective Order to limit disclosure of confidential information </w:t>
      </w:r>
      <w:r w:rsidR="00583F11">
        <w:rPr>
          <w:spacing w:val="-3"/>
          <w:sz w:val="26"/>
          <w:szCs w:val="26"/>
        </w:rPr>
        <w:t>in this proceeding.  No active P</w:t>
      </w:r>
      <w:r w:rsidRPr="00B65909">
        <w:rPr>
          <w:spacing w:val="-3"/>
          <w:sz w:val="26"/>
          <w:szCs w:val="26"/>
        </w:rPr>
        <w:t xml:space="preserve">arty objected to the </w:t>
      </w:r>
      <w:r w:rsidR="00583F11">
        <w:rPr>
          <w:spacing w:val="-3"/>
          <w:sz w:val="26"/>
          <w:szCs w:val="26"/>
        </w:rPr>
        <w:t>Petition and it was granted by ALJ Jones b</w:t>
      </w:r>
      <w:r w:rsidRPr="00B65909">
        <w:rPr>
          <w:spacing w:val="-3"/>
          <w:sz w:val="26"/>
          <w:szCs w:val="26"/>
        </w:rPr>
        <w:t>y Order dated March 16, 2010</w:t>
      </w:r>
      <w:r w:rsidR="00583F11">
        <w:rPr>
          <w:spacing w:val="-3"/>
          <w:sz w:val="26"/>
          <w:szCs w:val="26"/>
        </w:rPr>
        <w:t>.</w:t>
      </w:r>
      <w:r w:rsidRPr="00B65909">
        <w:rPr>
          <w:rStyle w:val="PageNumber"/>
          <w:sz w:val="26"/>
          <w:szCs w:val="26"/>
        </w:rPr>
        <w:t xml:space="preserve">  </w:t>
      </w:r>
    </w:p>
    <w:p w:rsidR="00863D30" w:rsidRPr="00B65909" w:rsidRDefault="00863D30" w:rsidP="00A76F8A">
      <w:pPr>
        <w:tabs>
          <w:tab w:val="left" w:pos="-720"/>
        </w:tabs>
        <w:suppressAutoHyphens/>
        <w:spacing w:line="360" w:lineRule="auto"/>
        <w:ind w:firstLine="1440"/>
        <w:rPr>
          <w:rStyle w:val="PageNumber"/>
          <w:sz w:val="26"/>
          <w:szCs w:val="26"/>
        </w:rPr>
      </w:pPr>
    </w:p>
    <w:p w:rsidR="00863D30" w:rsidRPr="00B65909" w:rsidRDefault="001B008F" w:rsidP="00A76F8A">
      <w:pPr>
        <w:tabs>
          <w:tab w:val="left" w:pos="-720"/>
        </w:tabs>
        <w:suppressAutoHyphens/>
        <w:spacing w:line="360" w:lineRule="auto"/>
        <w:ind w:firstLine="1440"/>
        <w:rPr>
          <w:rStyle w:val="PageNumber"/>
          <w:sz w:val="26"/>
          <w:szCs w:val="26"/>
        </w:rPr>
      </w:pPr>
      <w:r>
        <w:rPr>
          <w:rStyle w:val="PageNumber"/>
          <w:sz w:val="26"/>
          <w:szCs w:val="26"/>
        </w:rPr>
        <w:t>The P</w:t>
      </w:r>
      <w:r w:rsidR="00863D30" w:rsidRPr="00B65909">
        <w:rPr>
          <w:rStyle w:val="PageNumber"/>
          <w:sz w:val="26"/>
          <w:szCs w:val="26"/>
        </w:rPr>
        <w:t xml:space="preserve">arties submitted direct and rebuttal testimony in accordance with the procedural schedule.  </w:t>
      </w:r>
      <w:r>
        <w:rPr>
          <w:rStyle w:val="PageNumber"/>
          <w:sz w:val="26"/>
          <w:szCs w:val="26"/>
        </w:rPr>
        <w:t>The</w:t>
      </w:r>
      <w:r w:rsidR="00863D30" w:rsidRPr="00B65909">
        <w:rPr>
          <w:rStyle w:val="PageNumber"/>
          <w:sz w:val="26"/>
          <w:szCs w:val="26"/>
        </w:rPr>
        <w:t xml:space="preserve"> OCA </w:t>
      </w:r>
      <w:r>
        <w:rPr>
          <w:rStyle w:val="PageNumber"/>
          <w:sz w:val="26"/>
          <w:szCs w:val="26"/>
        </w:rPr>
        <w:t xml:space="preserve">requested that it be permitted </w:t>
      </w:r>
      <w:r w:rsidR="00EA24BF">
        <w:rPr>
          <w:rStyle w:val="PageNumber"/>
          <w:sz w:val="26"/>
          <w:szCs w:val="26"/>
        </w:rPr>
        <w:t xml:space="preserve">to extend the due date </w:t>
      </w:r>
      <w:r w:rsidR="00863D30" w:rsidRPr="00B65909">
        <w:rPr>
          <w:rStyle w:val="PageNumber"/>
          <w:sz w:val="26"/>
          <w:szCs w:val="26"/>
        </w:rPr>
        <w:t>f</w:t>
      </w:r>
      <w:r w:rsidR="00EA24BF">
        <w:rPr>
          <w:rStyle w:val="PageNumber"/>
          <w:sz w:val="26"/>
          <w:szCs w:val="26"/>
        </w:rPr>
        <w:t>or</w:t>
      </w:r>
      <w:r w:rsidR="00863D30" w:rsidRPr="00B65909">
        <w:rPr>
          <w:rStyle w:val="PageNumber"/>
          <w:sz w:val="26"/>
          <w:szCs w:val="26"/>
        </w:rPr>
        <w:t xml:space="preserve"> surrebuttal testimony.  No active </w:t>
      </w:r>
      <w:r>
        <w:rPr>
          <w:rStyle w:val="PageNumber"/>
          <w:sz w:val="26"/>
          <w:szCs w:val="26"/>
        </w:rPr>
        <w:t>Party opposed the request and ALJ Jones granted it b</w:t>
      </w:r>
      <w:r w:rsidR="00863D30" w:rsidRPr="00B65909">
        <w:rPr>
          <w:rStyle w:val="PageNumber"/>
          <w:sz w:val="26"/>
          <w:szCs w:val="26"/>
        </w:rPr>
        <w:t>y Order dated March 3</w:t>
      </w:r>
      <w:r>
        <w:rPr>
          <w:rStyle w:val="PageNumber"/>
          <w:sz w:val="26"/>
          <w:szCs w:val="26"/>
        </w:rPr>
        <w:t>1, 2010</w:t>
      </w:r>
      <w:r w:rsidR="00863D30" w:rsidRPr="00B65909">
        <w:rPr>
          <w:rStyle w:val="PageNumber"/>
          <w:sz w:val="26"/>
          <w:szCs w:val="26"/>
        </w:rPr>
        <w:t xml:space="preserve">.  </w:t>
      </w:r>
    </w:p>
    <w:p w:rsidR="00863D30" w:rsidRPr="00B65909" w:rsidRDefault="00863D30" w:rsidP="00A76F8A">
      <w:pPr>
        <w:tabs>
          <w:tab w:val="left" w:pos="-720"/>
        </w:tabs>
        <w:suppressAutoHyphens/>
        <w:spacing w:line="360" w:lineRule="auto"/>
        <w:ind w:firstLine="1440"/>
        <w:rPr>
          <w:rStyle w:val="PageNumber"/>
          <w:sz w:val="26"/>
          <w:szCs w:val="26"/>
        </w:rPr>
      </w:pPr>
    </w:p>
    <w:p w:rsidR="00863D30" w:rsidRPr="00B65909" w:rsidRDefault="00863D30" w:rsidP="00A76F8A">
      <w:pPr>
        <w:tabs>
          <w:tab w:val="left" w:pos="-720"/>
        </w:tabs>
        <w:suppressAutoHyphens/>
        <w:spacing w:line="360" w:lineRule="auto"/>
        <w:ind w:firstLine="1440"/>
        <w:rPr>
          <w:rStyle w:val="PageNumber"/>
          <w:sz w:val="26"/>
          <w:szCs w:val="26"/>
        </w:rPr>
      </w:pPr>
      <w:r w:rsidRPr="00B65909">
        <w:rPr>
          <w:rStyle w:val="PageNumber"/>
          <w:sz w:val="26"/>
          <w:szCs w:val="26"/>
        </w:rPr>
        <w:lastRenderedPageBreak/>
        <w:t>By electro</w:t>
      </w:r>
      <w:r w:rsidR="000970DC">
        <w:rPr>
          <w:rStyle w:val="PageNumber"/>
          <w:sz w:val="26"/>
          <w:szCs w:val="26"/>
        </w:rPr>
        <w:t xml:space="preserve">nic mail dated March 31, 2010, </w:t>
      </w:r>
      <w:r w:rsidRPr="00B65909">
        <w:rPr>
          <w:rStyle w:val="PageNumber"/>
          <w:sz w:val="26"/>
          <w:szCs w:val="26"/>
        </w:rPr>
        <w:t xml:space="preserve">ALJ </w:t>
      </w:r>
      <w:r w:rsidR="000970DC">
        <w:rPr>
          <w:rStyle w:val="PageNumber"/>
          <w:sz w:val="26"/>
          <w:szCs w:val="26"/>
        </w:rPr>
        <w:t xml:space="preserve">Jones was informed </w:t>
      </w:r>
      <w:r w:rsidRPr="00B65909">
        <w:rPr>
          <w:rStyle w:val="PageNumber"/>
          <w:sz w:val="26"/>
          <w:szCs w:val="26"/>
        </w:rPr>
        <w:t>of a non-un</w:t>
      </w:r>
      <w:r w:rsidR="00EA24BF">
        <w:rPr>
          <w:rStyle w:val="PageNumber"/>
          <w:sz w:val="26"/>
          <w:szCs w:val="26"/>
        </w:rPr>
        <w:t>animous S</w:t>
      </w:r>
      <w:r w:rsidR="001B008F">
        <w:rPr>
          <w:rStyle w:val="PageNumber"/>
          <w:sz w:val="26"/>
          <w:szCs w:val="26"/>
        </w:rPr>
        <w:t>ettlement between all P</w:t>
      </w:r>
      <w:r w:rsidRPr="00B65909">
        <w:rPr>
          <w:rStyle w:val="PageNumber"/>
          <w:sz w:val="26"/>
          <w:szCs w:val="26"/>
        </w:rPr>
        <w:t>arties represented by counsel</w:t>
      </w:r>
      <w:r w:rsidR="001B008F">
        <w:rPr>
          <w:rStyle w:val="PageNumber"/>
          <w:sz w:val="26"/>
          <w:szCs w:val="26"/>
        </w:rPr>
        <w:t>,</w:t>
      </w:r>
      <w:r w:rsidRPr="00B65909">
        <w:rPr>
          <w:rStyle w:val="PageNumber"/>
          <w:sz w:val="26"/>
          <w:szCs w:val="26"/>
        </w:rPr>
        <w:t xml:space="preserve"> excluding Dr. Briskin.  As a consequence, the evidentiary hearings </w:t>
      </w:r>
      <w:r w:rsidR="00FC067E">
        <w:rPr>
          <w:rStyle w:val="PageNumber"/>
          <w:sz w:val="26"/>
          <w:szCs w:val="26"/>
        </w:rPr>
        <w:t xml:space="preserve">were </w:t>
      </w:r>
      <w:r w:rsidRPr="00B65909">
        <w:rPr>
          <w:rStyle w:val="PageNumber"/>
          <w:sz w:val="26"/>
          <w:szCs w:val="26"/>
        </w:rPr>
        <w:t>convened for one day on April 8, 2010, and were abbreviated to</w:t>
      </w:r>
      <w:r w:rsidR="001B008F">
        <w:rPr>
          <w:rStyle w:val="PageNumber"/>
          <w:sz w:val="26"/>
          <w:szCs w:val="26"/>
        </w:rPr>
        <w:t xml:space="preserve"> allow cross examination by Dr. </w:t>
      </w:r>
      <w:r w:rsidRPr="00B65909">
        <w:rPr>
          <w:rStyle w:val="PageNumber"/>
          <w:sz w:val="26"/>
          <w:szCs w:val="26"/>
        </w:rPr>
        <w:t>Briskin and testimony b</w:t>
      </w:r>
      <w:r w:rsidR="001B008F">
        <w:rPr>
          <w:rStyle w:val="PageNumber"/>
          <w:sz w:val="26"/>
          <w:szCs w:val="26"/>
        </w:rPr>
        <w:t>y Pastor Burris.  The settling P</w:t>
      </w:r>
      <w:r w:rsidRPr="00B65909">
        <w:rPr>
          <w:rStyle w:val="PageNumber"/>
          <w:sz w:val="26"/>
          <w:szCs w:val="26"/>
        </w:rPr>
        <w:t>arties stipulated to pre-filed testimonies that were admitted into</w:t>
      </w:r>
      <w:r w:rsidR="000970DC">
        <w:rPr>
          <w:rStyle w:val="PageNumber"/>
          <w:sz w:val="26"/>
          <w:szCs w:val="26"/>
        </w:rPr>
        <w:t xml:space="preserve"> the record without objection.  </w:t>
      </w:r>
      <w:r w:rsidRPr="00B65909">
        <w:rPr>
          <w:rStyle w:val="PageNumber"/>
          <w:sz w:val="26"/>
          <w:szCs w:val="26"/>
        </w:rPr>
        <w:t xml:space="preserve">The following active </w:t>
      </w:r>
      <w:r w:rsidR="001B008F">
        <w:rPr>
          <w:rStyle w:val="PageNumber"/>
          <w:sz w:val="26"/>
          <w:szCs w:val="26"/>
        </w:rPr>
        <w:t>P</w:t>
      </w:r>
      <w:r w:rsidRPr="00B65909">
        <w:rPr>
          <w:rStyle w:val="PageNumber"/>
          <w:sz w:val="26"/>
          <w:szCs w:val="26"/>
        </w:rPr>
        <w:t xml:space="preserve">arties were signatories to a Petition for Joint Settlement </w:t>
      </w:r>
      <w:r w:rsidR="001B008F">
        <w:rPr>
          <w:rStyle w:val="PageNumber"/>
          <w:sz w:val="26"/>
          <w:szCs w:val="26"/>
        </w:rPr>
        <w:t>(Joint Settlement</w:t>
      </w:r>
      <w:r w:rsidRPr="00B65909">
        <w:rPr>
          <w:rStyle w:val="PageNumber"/>
          <w:sz w:val="26"/>
          <w:szCs w:val="26"/>
        </w:rPr>
        <w:t>) submitte</w:t>
      </w:r>
      <w:r w:rsidR="00E80AF3">
        <w:rPr>
          <w:rStyle w:val="PageNumber"/>
          <w:sz w:val="26"/>
          <w:szCs w:val="26"/>
        </w:rPr>
        <w:t>d on April 20, 2010:  (1) Aqua; (2) Aqua LUG; (3) MPO;</w:t>
      </w:r>
      <w:r w:rsidRPr="00B65909">
        <w:rPr>
          <w:rStyle w:val="PageNumber"/>
          <w:sz w:val="26"/>
          <w:szCs w:val="26"/>
        </w:rPr>
        <w:t xml:space="preserve"> (4) </w:t>
      </w:r>
      <w:r w:rsidR="00E80AF3">
        <w:rPr>
          <w:rStyle w:val="PageNumber"/>
          <w:sz w:val="26"/>
          <w:szCs w:val="26"/>
        </w:rPr>
        <w:t xml:space="preserve">the OCA; </w:t>
      </w:r>
      <w:r w:rsidRPr="00B65909">
        <w:rPr>
          <w:rStyle w:val="PageNumber"/>
          <w:sz w:val="26"/>
          <w:szCs w:val="26"/>
        </w:rPr>
        <w:t>(5)</w:t>
      </w:r>
      <w:r w:rsidR="00E80AF3">
        <w:rPr>
          <w:rStyle w:val="PageNumber"/>
          <w:sz w:val="26"/>
          <w:szCs w:val="26"/>
        </w:rPr>
        <w:t xml:space="preserve"> the OSBA; and (6) the </w:t>
      </w:r>
      <w:r w:rsidR="00FC067E">
        <w:rPr>
          <w:rStyle w:val="PageNumber"/>
          <w:sz w:val="26"/>
          <w:szCs w:val="26"/>
        </w:rPr>
        <w:t>OTS (</w:t>
      </w:r>
      <w:r w:rsidRPr="00B65909">
        <w:rPr>
          <w:rStyle w:val="PageNumber"/>
          <w:sz w:val="26"/>
          <w:szCs w:val="26"/>
        </w:rPr>
        <w:t>collectively Joint Parties</w:t>
      </w:r>
      <w:r w:rsidR="00FC067E">
        <w:rPr>
          <w:rStyle w:val="PageNumber"/>
          <w:sz w:val="26"/>
          <w:szCs w:val="26"/>
        </w:rPr>
        <w:t>)</w:t>
      </w:r>
      <w:r w:rsidRPr="00B65909">
        <w:rPr>
          <w:rStyle w:val="PageNumber"/>
          <w:sz w:val="26"/>
          <w:szCs w:val="26"/>
        </w:rPr>
        <w:t>.</w:t>
      </w:r>
      <w:r w:rsidRPr="00E80AF3">
        <w:rPr>
          <w:rStyle w:val="FootnoteReference"/>
          <w:sz w:val="20"/>
          <w:szCs w:val="26"/>
        </w:rPr>
        <w:footnoteReference w:id="5"/>
      </w:r>
      <w:r w:rsidRPr="00E80AF3">
        <w:rPr>
          <w:rStyle w:val="PageNumber"/>
          <w:sz w:val="20"/>
          <w:szCs w:val="26"/>
        </w:rPr>
        <w:t xml:space="preserve"> </w:t>
      </w:r>
      <w:r w:rsidRPr="00B65909">
        <w:rPr>
          <w:rStyle w:val="PageNumber"/>
          <w:sz w:val="26"/>
          <w:szCs w:val="26"/>
        </w:rPr>
        <w:t xml:space="preserve"> </w:t>
      </w:r>
    </w:p>
    <w:p w:rsidR="00863D30" w:rsidRPr="00B65909" w:rsidRDefault="00863D30" w:rsidP="00A76F8A">
      <w:pPr>
        <w:tabs>
          <w:tab w:val="left" w:pos="-720"/>
        </w:tabs>
        <w:suppressAutoHyphens/>
        <w:spacing w:line="360" w:lineRule="auto"/>
        <w:ind w:firstLine="1440"/>
        <w:rPr>
          <w:rStyle w:val="PageNumber"/>
          <w:sz w:val="26"/>
          <w:szCs w:val="26"/>
        </w:rPr>
      </w:pPr>
    </w:p>
    <w:p w:rsidR="00863D30" w:rsidRPr="00B65909" w:rsidRDefault="00863D30" w:rsidP="00A76F8A">
      <w:pPr>
        <w:tabs>
          <w:tab w:val="left" w:pos="-720"/>
        </w:tabs>
        <w:suppressAutoHyphens/>
        <w:spacing w:line="360" w:lineRule="auto"/>
        <w:ind w:firstLine="1440"/>
        <w:rPr>
          <w:rStyle w:val="PageNumber"/>
          <w:sz w:val="26"/>
          <w:szCs w:val="26"/>
        </w:rPr>
      </w:pPr>
      <w:r w:rsidRPr="00B65909">
        <w:rPr>
          <w:rStyle w:val="PageNumber"/>
          <w:sz w:val="26"/>
          <w:szCs w:val="26"/>
        </w:rPr>
        <w:t>Access to the non-unanimous, proposed Joint Settlement was provided thro</w:t>
      </w:r>
      <w:r w:rsidR="000970DC">
        <w:rPr>
          <w:rStyle w:val="PageNumber"/>
          <w:sz w:val="26"/>
          <w:szCs w:val="26"/>
        </w:rPr>
        <w:t>ugh an Internet website to all Parties to</w:t>
      </w:r>
      <w:r w:rsidRPr="00B65909">
        <w:rPr>
          <w:rStyle w:val="PageNumber"/>
          <w:sz w:val="26"/>
          <w:szCs w:val="26"/>
        </w:rPr>
        <w:t xml:space="preserve"> this proceeding.  A letter</w:t>
      </w:r>
      <w:r w:rsidR="009A71B3">
        <w:rPr>
          <w:rStyle w:val="PageNumber"/>
          <w:sz w:val="26"/>
          <w:szCs w:val="26"/>
        </w:rPr>
        <w:t xml:space="preserve"> was sent to the non-signatory P</w:t>
      </w:r>
      <w:r w:rsidRPr="00B65909">
        <w:rPr>
          <w:rStyle w:val="PageNumber"/>
          <w:sz w:val="26"/>
          <w:szCs w:val="26"/>
        </w:rPr>
        <w:t>arties ask</w:t>
      </w:r>
      <w:r w:rsidR="005D261D">
        <w:rPr>
          <w:rStyle w:val="PageNumber"/>
          <w:sz w:val="26"/>
          <w:szCs w:val="26"/>
        </w:rPr>
        <w:t>ing them to sign to accept the S</w:t>
      </w:r>
      <w:r w:rsidRPr="00B65909">
        <w:rPr>
          <w:rStyle w:val="PageNumber"/>
          <w:sz w:val="26"/>
          <w:szCs w:val="26"/>
        </w:rPr>
        <w:t>ettlement, ind</w:t>
      </w:r>
      <w:r w:rsidR="005D261D">
        <w:rPr>
          <w:rStyle w:val="PageNumber"/>
          <w:sz w:val="26"/>
          <w:szCs w:val="26"/>
        </w:rPr>
        <w:t>icate whether they opposed the S</w:t>
      </w:r>
      <w:r w:rsidRPr="00B65909">
        <w:rPr>
          <w:rStyle w:val="PageNumber"/>
          <w:sz w:val="26"/>
          <w:szCs w:val="26"/>
        </w:rPr>
        <w:t>ettlement or indicate whethe</w:t>
      </w:r>
      <w:r w:rsidR="005D261D">
        <w:rPr>
          <w:rStyle w:val="PageNumber"/>
          <w:sz w:val="26"/>
          <w:szCs w:val="26"/>
        </w:rPr>
        <w:t>r they chose not to oppose the S</w:t>
      </w:r>
      <w:r w:rsidRPr="00B65909">
        <w:rPr>
          <w:rStyle w:val="PageNumber"/>
          <w:sz w:val="26"/>
          <w:szCs w:val="26"/>
        </w:rPr>
        <w:t>ettlement.  T</w:t>
      </w:r>
      <w:r w:rsidR="005D261D">
        <w:rPr>
          <w:rStyle w:val="PageNumber"/>
          <w:sz w:val="26"/>
          <w:szCs w:val="26"/>
        </w:rPr>
        <w:t>he letter also stated that the P</w:t>
      </w:r>
      <w:r w:rsidRPr="00B65909">
        <w:rPr>
          <w:rStyle w:val="PageNumber"/>
          <w:sz w:val="26"/>
          <w:szCs w:val="26"/>
        </w:rPr>
        <w:t>arty could choose to</w:t>
      </w:r>
      <w:r w:rsidR="005D261D">
        <w:rPr>
          <w:rStyle w:val="PageNumber"/>
          <w:sz w:val="26"/>
          <w:szCs w:val="26"/>
        </w:rPr>
        <w:t xml:space="preserve"> do nothing.  The following Parties chose to support the S</w:t>
      </w:r>
      <w:r w:rsidRPr="00B65909">
        <w:rPr>
          <w:rStyle w:val="PageNumber"/>
          <w:sz w:val="26"/>
          <w:szCs w:val="26"/>
        </w:rPr>
        <w:t>ettlement:</w:t>
      </w:r>
    </w:p>
    <w:p w:rsidR="00863D30" w:rsidRPr="00B65909" w:rsidRDefault="00863D30" w:rsidP="00A76F8A">
      <w:pPr>
        <w:tabs>
          <w:tab w:val="left" w:pos="-720"/>
        </w:tabs>
        <w:suppressAutoHyphens/>
        <w:spacing w:line="360" w:lineRule="auto"/>
        <w:ind w:firstLine="1440"/>
        <w:rPr>
          <w:rStyle w:val="PageNumber"/>
          <w:sz w:val="26"/>
          <w:szCs w:val="26"/>
        </w:rPr>
      </w:pPr>
    </w:p>
    <w:p w:rsidR="00863D30" w:rsidRPr="00B65909" w:rsidRDefault="00863D30" w:rsidP="00A76F8A">
      <w:pPr>
        <w:numPr>
          <w:ilvl w:val="0"/>
          <w:numId w:val="22"/>
        </w:numPr>
        <w:tabs>
          <w:tab w:val="left" w:pos="-720"/>
        </w:tabs>
        <w:suppressAutoHyphens/>
        <w:rPr>
          <w:rStyle w:val="PageNumber"/>
          <w:spacing w:val="-3"/>
          <w:sz w:val="26"/>
          <w:szCs w:val="26"/>
        </w:rPr>
      </w:pPr>
      <w:r w:rsidRPr="00B65909">
        <w:rPr>
          <w:rStyle w:val="PageNumber"/>
          <w:sz w:val="26"/>
          <w:szCs w:val="26"/>
        </w:rPr>
        <w:t>Borough of Athens at Docket No. C-2010-2154289;</w:t>
      </w:r>
    </w:p>
    <w:p w:rsidR="00863D30" w:rsidRPr="00B65909" w:rsidRDefault="00863D30" w:rsidP="00A76F8A">
      <w:pPr>
        <w:numPr>
          <w:ilvl w:val="0"/>
          <w:numId w:val="22"/>
        </w:numPr>
        <w:tabs>
          <w:tab w:val="left" w:pos="-720"/>
        </w:tabs>
        <w:suppressAutoHyphens/>
        <w:rPr>
          <w:rStyle w:val="PageNumber"/>
          <w:spacing w:val="-3"/>
          <w:sz w:val="26"/>
          <w:szCs w:val="26"/>
        </w:rPr>
      </w:pPr>
      <w:r w:rsidRPr="00B65909">
        <w:rPr>
          <w:rStyle w:val="PageNumber"/>
          <w:sz w:val="26"/>
          <w:szCs w:val="26"/>
        </w:rPr>
        <w:t xml:space="preserve">Borough of Sayre at Docket No. C-2010-2153365; </w:t>
      </w:r>
    </w:p>
    <w:p w:rsidR="00863D30" w:rsidRPr="00B65909" w:rsidRDefault="00863D30" w:rsidP="00A76F8A">
      <w:pPr>
        <w:numPr>
          <w:ilvl w:val="0"/>
          <w:numId w:val="22"/>
        </w:numPr>
        <w:tabs>
          <w:tab w:val="left" w:pos="-720"/>
        </w:tabs>
        <w:suppressAutoHyphens/>
        <w:rPr>
          <w:rStyle w:val="PageNumber"/>
          <w:spacing w:val="-3"/>
          <w:sz w:val="26"/>
          <w:szCs w:val="26"/>
        </w:rPr>
      </w:pPr>
      <w:r w:rsidRPr="00B65909">
        <w:rPr>
          <w:rStyle w:val="PageNumber"/>
          <w:sz w:val="26"/>
          <w:szCs w:val="26"/>
        </w:rPr>
        <w:t>Borough of South Waverly at Docket No. C-2010-2153419; and</w:t>
      </w:r>
    </w:p>
    <w:p w:rsidR="00863D30" w:rsidRPr="00B65909" w:rsidRDefault="00863D30" w:rsidP="00A76F8A">
      <w:pPr>
        <w:numPr>
          <w:ilvl w:val="0"/>
          <w:numId w:val="22"/>
        </w:numPr>
        <w:tabs>
          <w:tab w:val="left" w:pos="-720"/>
        </w:tabs>
        <w:suppressAutoHyphens/>
        <w:rPr>
          <w:rStyle w:val="PageNumber"/>
          <w:spacing w:val="-3"/>
          <w:sz w:val="26"/>
          <w:szCs w:val="26"/>
        </w:rPr>
      </w:pPr>
      <w:r w:rsidRPr="00B65909">
        <w:rPr>
          <w:rStyle w:val="PageNumber"/>
          <w:sz w:val="26"/>
          <w:szCs w:val="26"/>
        </w:rPr>
        <w:t>B. D. Pollard at Docket No. C-2009-2150218.</w:t>
      </w:r>
    </w:p>
    <w:p w:rsidR="00863D30" w:rsidRPr="00B65909" w:rsidRDefault="00863D30" w:rsidP="00A76F8A">
      <w:pPr>
        <w:tabs>
          <w:tab w:val="left" w:pos="-720"/>
        </w:tabs>
        <w:suppressAutoHyphens/>
        <w:ind w:left="1440"/>
        <w:rPr>
          <w:rStyle w:val="PageNumber"/>
          <w:spacing w:val="-3"/>
          <w:sz w:val="26"/>
          <w:szCs w:val="26"/>
        </w:rPr>
      </w:pPr>
    </w:p>
    <w:p w:rsidR="00863D30" w:rsidRPr="00B65909" w:rsidRDefault="00863D30" w:rsidP="00A76F8A">
      <w:pPr>
        <w:tabs>
          <w:tab w:val="left" w:pos="-720"/>
        </w:tabs>
        <w:suppressAutoHyphens/>
        <w:ind w:left="1440"/>
        <w:rPr>
          <w:rStyle w:val="PageNumber"/>
          <w:spacing w:val="-3"/>
          <w:sz w:val="26"/>
          <w:szCs w:val="26"/>
        </w:rPr>
      </w:pPr>
    </w:p>
    <w:p w:rsidR="00863D30" w:rsidRPr="00B65909" w:rsidRDefault="00805EE5" w:rsidP="00A76F8A">
      <w:pPr>
        <w:tabs>
          <w:tab w:val="left" w:pos="-720"/>
        </w:tabs>
        <w:suppressAutoHyphens/>
        <w:spacing w:line="360" w:lineRule="auto"/>
        <w:rPr>
          <w:rStyle w:val="PageNumber"/>
          <w:sz w:val="26"/>
          <w:szCs w:val="26"/>
        </w:rPr>
      </w:pPr>
      <w:r>
        <w:rPr>
          <w:rStyle w:val="PageNumber"/>
          <w:sz w:val="26"/>
          <w:szCs w:val="26"/>
        </w:rPr>
        <w:t>The following P</w:t>
      </w:r>
      <w:r w:rsidR="005D261D">
        <w:rPr>
          <w:rStyle w:val="PageNumber"/>
          <w:sz w:val="26"/>
          <w:szCs w:val="26"/>
        </w:rPr>
        <w:t>arties chose to not oppose the S</w:t>
      </w:r>
      <w:r w:rsidR="00863D30" w:rsidRPr="00B65909">
        <w:rPr>
          <w:rStyle w:val="PageNumber"/>
          <w:sz w:val="26"/>
          <w:szCs w:val="26"/>
        </w:rPr>
        <w:t>ettlement:</w:t>
      </w:r>
    </w:p>
    <w:p w:rsidR="00863D30" w:rsidRPr="00B65909" w:rsidRDefault="00863D30" w:rsidP="00A76F8A">
      <w:pPr>
        <w:tabs>
          <w:tab w:val="left" w:pos="-720"/>
        </w:tabs>
        <w:suppressAutoHyphens/>
        <w:spacing w:line="360" w:lineRule="auto"/>
        <w:rPr>
          <w:rStyle w:val="PageNumber"/>
          <w:sz w:val="26"/>
          <w:szCs w:val="26"/>
        </w:rPr>
      </w:pPr>
    </w:p>
    <w:p w:rsidR="00863D30" w:rsidRPr="00B65909" w:rsidRDefault="00863D30" w:rsidP="00A76F8A">
      <w:pPr>
        <w:numPr>
          <w:ilvl w:val="0"/>
          <w:numId w:val="24"/>
        </w:numPr>
        <w:tabs>
          <w:tab w:val="left" w:pos="-720"/>
        </w:tabs>
        <w:suppressAutoHyphens/>
        <w:rPr>
          <w:rStyle w:val="PageNumber"/>
          <w:spacing w:val="-3"/>
          <w:sz w:val="26"/>
          <w:szCs w:val="26"/>
        </w:rPr>
      </w:pPr>
      <w:r w:rsidRPr="00B65909">
        <w:rPr>
          <w:rStyle w:val="PageNumber"/>
          <w:sz w:val="26"/>
          <w:szCs w:val="26"/>
        </w:rPr>
        <w:t>Mark Green at Docket No. C-2010-2152051;</w:t>
      </w:r>
    </w:p>
    <w:p w:rsidR="00863D30" w:rsidRPr="00B65909" w:rsidRDefault="00863D30" w:rsidP="00A76F8A">
      <w:pPr>
        <w:numPr>
          <w:ilvl w:val="0"/>
          <w:numId w:val="24"/>
        </w:numPr>
        <w:tabs>
          <w:tab w:val="left" w:pos="-720"/>
        </w:tabs>
        <w:suppressAutoHyphens/>
        <w:rPr>
          <w:rStyle w:val="PageNumber"/>
          <w:spacing w:val="-3"/>
          <w:sz w:val="26"/>
          <w:szCs w:val="26"/>
        </w:rPr>
      </w:pPr>
      <w:r w:rsidRPr="00B65909">
        <w:rPr>
          <w:rStyle w:val="PageNumber"/>
          <w:sz w:val="26"/>
          <w:szCs w:val="26"/>
        </w:rPr>
        <w:t>David Holmes at Docket No. C-2009-2145066; and</w:t>
      </w:r>
    </w:p>
    <w:p w:rsidR="00863D30" w:rsidRPr="00B65909" w:rsidRDefault="00863D30" w:rsidP="00A76F8A">
      <w:pPr>
        <w:numPr>
          <w:ilvl w:val="0"/>
          <w:numId w:val="24"/>
        </w:numPr>
        <w:tabs>
          <w:tab w:val="left" w:pos="-720"/>
        </w:tabs>
        <w:suppressAutoHyphens/>
        <w:rPr>
          <w:rStyle w:val="PageNumber"/>
          <w:spacing w:val="-3"/>
          <w:sz w:val="26"/>
          <w:szCs w:val="26"/>
        </w:rPr>
      </w:pPr>
      <w:r w:rsidRPr="00B65909">
        <w:rPr>
          <w:rStyle w:val="PageNumber"/>
          <w:sz w:val="26"/>
          <w:szCs w:val="26"/>
        </w:rPr>
        <w:t>Emilio Rende at Docket No. C-2009-2146020.</w:t>
      </w:r>
    </w:p>
    <w:p w:rsidR="00863D30" w:rsidRPr="00B65909" w:rsidRDefault="00863D30" w:rsidP="00A76F8A">
      <w:pPr>
        <w:tabs>
          <w:tab w:val="left" w:pos="-720"/>
        </w:tabs>
        <w:suppressAutoHyphens/>
        <w:ind w:left="1440"/>
        <w:rPr>
          <w:rStyle w:val="PageNumber"/>
          <w:spacing w:val="-3"/>
          <w:sz w:val="26"/>
          <w:szCs w:val="26"/>
        </w:rPr>
      </w:pPr>
    </w:p>
    <w:p w:rsidR="00863D30" w:rsidRPr="00B65909" w:rsidRDefault="00863D30" w:rsidP="00A76F8A">
      <w:pPr>
        <w:tabs>
          <w:tab w:val="left" w:pos="-720"/>
        </w:tabs>
        <w:suppressAutoHyphens/>
        <w:ind w:left="1440"/>
        <w:rPr>
          <w:rStyle w:val="PageNumber"/>
          <w:spacing w:val="-3"/>
          <w:sz w:val="26"/>
          <w:szCs w:val="26"/>
        </w:rPr>
      </w:pPr>
    </w:p>
    <w:p w:rsidR="00863D30" w:rsidRPr="00B65909" w:rsidRDefault="00863D30" w:rsidP="00A76F8A">
      <w:pPr>
        <w:tabs>
          <w:tab w:val="left" w:pos="-720"/>
        </w:tabs>
        <w:suppressAutoHyphens/>
        <w:spacing w:line="360" w:lineRule="auto"/>
        <w:rPr>
          <w:rStyle w:val="PageNumber"/>
          <w:sz w:val="26"/>
          <w:szCs w:val="26"/>
        </w:rPr>
      </w:pPr>
      <w:r w:rsidRPr="00B65909">
        <w:rPr>
          <w:rStyle w:val="PageNumber"/>
          <w:sz w:val="26"/>
          <w:szCs w:val="26"/>
        </w:rPr>
        <w:lastRenderedPageBreak/>
        <w:t>The followi</w:t>
      </w:r>
      <w:r w:rsidR="005D261D">
        <w:rPr>
          <w:rStyle w:val="PageNumber"/>
          <w:sz w:val="26"/>
          <w:szCs w:val="26"/>
        </w:rPr>
        <w:t>ng Parties chose to oppose the S</w:t>
      </w:r>
      <w:r w:rsidRPr="00B65909">
        <w:rPr>
          <w:rStyle w:val="PageNumber"/>
          <w:sz w:val="26"/>
          <w:szCs w:val="26"/>
        </w:rPr>
        <w:t>ettlement:</w:t>
      </w:r>
    </w:p>
    <w:p w:rsidR="00863D30" w:rsidRPr="00B65909" w:rsidRDefault="00863D30" w:rsidP="00A76F8A">
      <w:pPr>
        <w:tabs>
          <w:tab w:val="left" w:pos="-720"/>
        </w:tabs>
        <w:suppressAutoHyphens/>
        <w:spacing w:line="360" w:lineRule="auto"/>
        <w:rPr>
          <w:rStyle w:val="PageNumber"/>
          <w:sz w:val="26"/>
          <w:szCs w:val="26"/>
        </w:rPr>
      </w:pPr>
    </w:p>
    <w:p w:rsidR="00863D30" w:rsidRPr="00B65909" w:rsidRDefault="00863D30" w:rsidP="00A76F8A">
      <w:pPr>
        <w:numPr>
          <w:ilvl w:val="0"/>
          <w:numId w:val="23"/>
        </w:numPr>
        <w:tabs>
          <w:tab w:val="left" w:pos="-720"/>
        </w:tabs>
        <w:suppressAutoHyphens/>
        <w:rPr>
          <w:rStyle w:val="PageNumber"/>
          <w:spacing w:val="-3"/>
          <w:sz w:val="26"/>
          <w:szCs w:val="26"/>
        </w:rPr>
      </w:pPr>
      <w:r w:rsidRPr="00B65909">
        <w:rPr>
          <w:rStyle w:val="PageNumber"/>
          <w:spacing w:val="-3"/>
          <w:sz w:val="26"/>
          <w:szCs w:val="26"/>
        </w:rPr>
        <w:t>Dr. Jonathan Briskin, Esq. at Docket No. C-2010-2155875;</w:t>
      </w:r>
    </w:p>
    <w:p w:rsidR="00863D30" w:rsidRPr="00B65909" w:rsidRDefault="00863D30" w:rsidP="00A76F8A">
      <w:pPr>
        <w:numPr>
          <w:ilvl w:val="0"/>
          <w:numId w:val="23"/>
        </w:numPr>
        <w:tabs>
          <w:tab w:val="left" w:pos="-720"/>
        </w:tabs>
        <w:suppressAutoHyphens/>
        <w:rPr>
          <w:rStyle w:val="PageNumber"/>
          <w:spacing w:val="-3"/>
          <w:sz w:val="26"/>
          <w:szCs w:val="26"/>
        </w:rPr>
      </w:pPr>
      <w:r w:rsidRPr="00B65909">
        <w:rPr>
          <w:rStyle w:val="PageNumber"/>
          <w:sz w:val="26"/>
          <w:szCs w:val="26"/>
        </w:rPr>
        <w:t xml:space="preserve">Pastor William Burris at Docket No. </w:t>
      </w:r>
      <w:r w:rsidRPr="00B65909">
        <w:rPr>
          <w:sz w:val="26"/>
          <w:szCs w:val="26"/>
        </w:rPr>
        <w:t>C-2009-2146020;</w:t>
      </w:r>
      <w:r w:rsidRPr="00B65909">
        <w:rPr>
          <w:rStyle w:val="FootnoteReference"/>
          <w:sz w:val="26"/>
          <w:szCs w:val="26"/>
        </w:rPr>
        <w:footnoteReference w:id="6"/>
      </w:r>
    </w:p>
    <w:p w:rsidR="00863D30" w:rsidRPr="00B65909" w:rsidRDefault="00863D30" w:rsidP="00A76F8A">
      <w:pPr>
        <w:numPr>
          <w:ilvl w:val="0"/>
          <w:numId w:val="23"/>
        </w:numPr>
        <w:tabs>
          <w:tab w:val="left" w:pos="-720"/>
        </w:tabs>
        <w:suppressAutoHyphens/>
        <w:rPr>
          <w:rStyle w:val="PageNumber"/>
          <w:spacing w:val="-3"/>
          <w:sz w:val="26"/>
          <w:szCs w:val="26"/>
        </w:rPr>
      </w:pPr>
      <w:r w:rsidRPr="00B65909">
        <w:rPr>
          <w:rStyle w:val="PageNumber"/>
          <w:sz w:val="26"/>
          <w:szCs w:val="26"/>
        </w:rPr>
        <w:t>William Frazier at Docket No. C-2010-2151954;</w:t>
      </w:r>
      <w:r w:rsidRPr="00B65909">
        <w:rPr>
          <w:rStyle w:val="FootnoteReference"/>
          <w:sz w:val="26"/>
          <w:szCs w:val="26"/>
        </w:rPr>
        <w:footnoteReference w:id="7"/>
      </w:r>
    </w:p>
    <w:p w:rsidR="00863D30" w:rsidRPr="00B65909" w:rsidRDefault="00863D30" w:rsidP="00A76F8A">
      <w:pPr>
        <w:numPr>
          <w:ilvl w:val="0"/>
          <w:numId w:val="23"/>
        </w:numPr>
        <w:tabs>
          <w:tab w:val="left" w:pos="-720"/>
        </w:tabs>
        <w:suppressAutoHyphens/>
        <w:rPr>
          <w:rStyle w:val="PageNumber"/>
          <w:spacing w:val="-3"/>
          <w:sz w:val="26"/>
          <w:szCs w:val="26"/>
        </w:rPr>
      </w:pPr>
      <w:r w:rsidRPr="00B65909">
        <w:rPr>
          <w:rStyle w:val="PageNumber"/>
          <w:sz w:val="26"/>
          <w:szCs w:val="26"/>
        </w:rPr>
        <w:t>Paul Kalna at Docket No. C-2010-2152596;</w:t>
      </w:r>
    </w:p>
    <w:p w:rsidR="00863D30" w:rsidRPr="00B65909" w:rsidRDefault="00863D30" w:rsidP="00A76F8A">
      <w:pPr>
        <w:numPr>
          <w:ilvl w:val="0"/>
          <w:numId w:val="23"/>
        </w:numPr>
        <w:tabs>
          <w:tab w:val="left" w:pos="-720"/>
        </w:tabs>
        <w:suppressAutoHyphens/>
        <w:rPr>
          <w:rStyle w:val="PageNumber"/>
          <w:spacing w:val="-3"/>
          <w:sz w:val="26"/>
          <w:szCs w:val="26"/>
        </w:rPr>
      </w:pPr>
      <w:r w:rsidRPr="00B65909">
        <w:rPr>
          <w:rStyle w:val="PageNumber"/>
          <w:sz w:val="26"/>
          <w:szCs w:val="26"/>
        </w:rPr>
        <w:t>Mr. Jerome Linden at Docket No. C-2010-2152328;</w:t>
      </w:r>
    </w:p>
    <w:p w:rsidR="00863D30" w:rsidRPr="00B65909" w:rsidRDefault="00863D30" w:rsidP="00A76F8A">
      <w:pPr>
        <w:numPr>
          <w:ilvl w:val="0"/>
          <w:numId w:val="23"/>
        </w:numPr>
        <w:tabs>
          <w:tab w:val="left" w:pos="-720"/>
        </w:tabs>
        <w:suppressAutoHyphens/>
        <w:rPr>
          <w:rStyle w:val="PageNumber"/>
          <w:spacing w:val="-3"/>
          <w:sz w:val="26"/>
          <w:szCs w:val="26"/>
        </w:rPr>
      </w:pPr>
      <w:r w:rsidRPr="00B65909">
        <w:rPr>
          <w:rStyle w:val="PageNumber"/>
          <w:sz w:val="26"/>
          <w:szCs w:val="26"/>
        </w:rPr>
        <w:t>Dale Sattar at Docket No. C-2010-2150570;</w:t>
      </w:r>
    </w:p>
    <w:p w:rsidR="00863D30" w:rsidRPr="00B65909" w:rsidRDefault="00863D30" w:rsidP="00A76F8A">
      <w:pPr>
        <w:numPr>
          <w:ilvl w:val="0"/>
          <w:numId w:val="23"/>
        </w:numPr>
        <w:tabs>
          <w:tab w:val="left" w:pos="-720"/>
        </w:tabs>
        <w:suppressAutoHyphens/>
        <w:rPr>
          <w:rStyle w:val="PageNumber"/>
          <w:spacing w:val="-3"/>
          <w:sz w:val="26"/>
          <w:szCs w:val="26"/>
        </w:rPr>
      </w:pPr>
      <w:r w:rsidRPr="00B65909">
        <w:rPr>
          <w:rStyle w:val="PageNumber"/>
          <w:sz w:val="26"/>
          <w:szCs w:val="26"/>
        </w:rPr>
        <w:t>Kevin Tracey at Docket No. C-2009-2150206; and</w:t>
      </w:r>
    </w:p>
    <w:p w:rsidR="00863D30" w:rsidRPr="00B65909" w:rsidRDefault="00863D30" w:rsidP="00A76F8A">
      <w:pPr>
        <w:numPr>
          <w:ilvl w:val="0"/>
          <w:numId w:val="23"/>
        </w:numPr>
        <w:tabs>
          <w:tab w:val="left" w:pos="-720"/>
        </w:tabs>
        <w:suppressAutoHyphens/>
        <w:rPr>
          <w:rStyle w:val="PageNumber"/>
          <w:spacing w:val="-3"/>
          <w:sz w:val="26"/>
          <w:szCs w:val="26"/>
        </w:rPr>
      </w:pPr>
      <w:r w:rsidRPr="00B65909">
        <w:rPr>
          <w:rStyle w:val="PageNumber"/>
          <w:sz w:val="26"/>
          <w:szCs w:val="26"/>
        </w:rPr>
        <w:t>Ronald Ziebig at Docket No. C-2009-2148289.</w:t>
      </w:r>
    </w:p>
    <w:p w:rsidR="00863D30" w:rsidRPr="00B65909" w:rsidRDefault="00863D30" w:rsidP="00A76F8A">
      <w:pPr>
        <w:tabs>
          <w:tab w:val="left" w:pos="-720"/>
        </w:tabs>
        <w:suppressAutoHyphens/>
        <w:rPr>
          <w:rStyle w:val="PageNumber"/>
          <w:sz w:val="26"/>
          <w:szCs w:val="26"/>
        </w:rPr>
      </w:pPr>
    </w:p>
    <w:p w:rsidR="00863D30" w:rsidRPr="00B65909" w:rsidRDefault="00863D30" w:rsidP="00A76F8A">
      <w:pPr>
        <w:tabs>
          <w:tab w:val="left" w:pos="-720"/>
        </w:tabs>
        <w:suppressAutoHyphens/>
        <w:rPr>
          <w:rStyle w:val="PageNumber"/>
          <w:sz w:val="26"/>
          <w:szCs w:val="26"/>
        </w:rPr>
      </w:pPr>
    </w:p>
    <w:p w:rsidR="00863D30" w:rsidRPr="00B65909" w:rsidRDefault="00863D30" w:rsidP="00A76F8A">
      <w:pPr>
        <w:tabs>
          <w:tab w:val="left" w:pos="-720"/>
        </w:tabs>
        <w:suppressAutoHyphens/>
        <w:spacing w:line="360" w:lineRule="auto"/>
        <w:ind w:firstLine="1440"/>
        <w:rPr>
          <w:spacing w:val="-3"/>
          <w:sz w:val="26"/>
          <w:szCs w:val="26"/>
        </w:rPr>
      </w:pPr>
      <w:r w:rsidRPr="00B65909">
        <w:rPr>
          <w:rStyle w:val="PageNumber"/>
          <w:sz w:val="26"/>
          <w:szCs w:val="26"/>
        </w:rPr>
        <w:t>In compliance with the procedural sche</w:t>
      </w:r>
      <w:r w:rsidR="005D261D">
        <w:rPr>
          <w:rStyle w:val="PageNumber"/>
          <w:sz w:val="26"/>
          <w:szCs w:val="26"/>
        </w:rPr>
        <w:t>dule</w:t>
      </w:r>
      <w:r w:rsidR="000C5B46">
        <w:rPr>
          <w:rStyle w:val="PageNumber"/>
          <w:sz w:val="26"/>
          <w:szCs w:val="26"/>
        </w:rPr>
        <w:t>,</w:t>
      </w:r>
      <w:r w:rsidR="005D261D">
        <w:rPr>
          <w:rStyle w:val="PageNumber"/>
          <w:sz w:val="26"/>
          <w:szCs w:val="26"/>
        </w:rPr>
        <w:t xml:space="preserve"> Aqua, Dr. Briskin, and Mr. </w:t>
      </w:r>
      <w:r w:rsidRPr="00B65909">
        <w:rPr>
          <w:rStyle w:val="PageNumber"/>
          <w:sz w:val="26"/>
          <w:szCs w:val="26"/>
        </w:rPr>
        <w:t xml:space="preserve">Linden filed Main Briefs on or before April 29, 2010.  Reply Briefs were filed by Aqua, Dr. Briskin, Mrs. Damavandi, </w:t>
      </w:r>
      <w:r w:rsidR="005D261D">
        <w:rPr>
          <w:rStyle w:val="PageNumber"/>
          <w:sz w:val="26"/>
          <w:szCs w:val="26"/>
        </w:rPr>
        <w:t xml:space="preserve">and the OSBA on May 10, 2010.  </w:t>
      </w:r>
      <w:r w:rsidRPr="00B65909">
        <w:rPr>
          <w:rStyle w:val="PageNumber"/>
          <w:sz w:val="26"/>
          <w:szCs w:val="26"/>
        </w:rPr>
        <w:t xml:space="preserve">The record closed on May 10, 2010.  </w:t>
      </w:r>
    </w:p>
    <w:p w:rsidR="00602B92" w:rsidRDefault="00602B92" w:rsidP="00A76F8A">
      <w:pPr>
        <w:spacing w:line="360" w:lineRule="auto"/>
        <w:rPr>
          <w:sz w:val="26"/>
        </w:rPr>
      </w:pPr>
    </w:p>
    <w:p w:rsidR="005A093F" w:rsidRDefault="005A093F" w:rsidP="00031C58">
      <w:pPr>
        <w:suppressAutoHyphens/>
        <w:spacing w:line="360" w:lineRule="auto"/>
        <w:ind w:firstLine="1440"/>
        <w:rPr>
          <w:sz w:val="26"/>
        </w:rPr>
      </w:pPr>
      <w:r w:rsidRPr="005A093F">
        <w:rPr>
          <w:sz w:val="26"/>
        </w:rPr>
        <w:t xml:space="preserve">ALJ </w:t>
      </w:r>
      <w:r w:rsidR="009D04ED">
        <w:rPr>
          <w:sz w:val="26"/>
        </w:rPr>
        <w:t>Jones</w:t>
      </w:r>
      <w:r w:rsidRPr="005A093F">
        <w:rPr>
          <w:sz w:val="26"/>
        </w:rPr>
        <w:t>’s Rec</w:t>
      </w:r>
      <w:r>
        <w:rPr>
          <w:sz w:val="26"/>
        </w:rPr>
        <w:t>ommend</w:t>
      </w:r>
      <w:r w:rsidR="00A3050B">
        <w:rPr>
          <w:sz w:val="26"/>
        </w:rPr>
        <w:t>ed D</w:t>
      </w:r>
      <w:r w:rsidR="009D04ED">
        <w:rPr>
          <w:sz w:val="26"/>
        </w:rPr>
        <w:t>ecision was issued on May 25, 2010</w:t>
      </w:r>
      <w:r w:rsidR="00731AB3">
        <w:rPr>
          <w:sz w:val="26"/>
        </w:rPr>
        <w:t xml:space="preserve">.  In her Recommended Decision, the ALJ found, </w:t>
      </w:r>
      <w:r w:rsidR="00731AB3" w:rsidRPr="00F64813">
        <w:rPr>
          <w:i/>
          <w:sz w:val="26"/>
        </w:rPr>
        <w:t>inter alia</w:t>
      </w:r>
      <w:r w:rsidR="00731AB3">
        <w:rPr>
          <w:sz w:val="26"/>
        </w:rPr>
        <w:t>,</w:t>
      </w:r>
      <w:r w:rsidR="00905182">
        <w:rPr>
          <w:sz w:val="26"/>
        </w:rPr>
        <w:t xml:space="preserve"> that the Joint </w:t>
      </w:r>
      <w:r w:rsidR="00A3050B">
        <w:rPr>
          <w:sz w:val="26"/>
        </w:rPr>
        <w:t>Set</w:t>
      </w:r>
      <w:r w:rsidR="000C5B46">
        <w:rPr>
          <w:sz w:val="26"/>
        </w:rPr>
        <w:t>tlement submitted by the Joint Parties</w:t>
      </w:r>
      <w:r w:rsidR="007A55D4">
        <w:rPr>
          <w:sz w:val="26"/>
        </w:rPr>
        <w:t xml:space="preserve"> </w:t>
      </w:r>
      <w:r w:rsidR="003A4EE2">
        <w:rPr>
          <w:sz w:val="26"/>
        </w:rPr>
        <w:t xml:space="preserve">is just and reasonable and </w:t>
      </w:r>
      <w:r w:rsidR="00E411D5">
        <w:rPr>
          <w:sz w:val="26"/>
        </w:rPr>
        <w:t>should be approved.  The ALJ further found that</w:t>
      </w:r>
      <w:r w:rsidR="006301D9">
        <w:rPr>
          <w:sz w:val="26"/>
        </w:rPr>
        <w:t>, upon the Commission’s appr</w:t>
      </w:r>
      <w:r w:rsidR="00A3050B">
        <w:rPr>
          <w:sz w:val="26"/>
        </w:rPr>
        <w:t>oval of the Settlement, the Company</w:t>
      </w:r>
      <w:r w:rsidR="006301D9">
        <w:rPr>
          <w:sz w:val="26"/>
        </w:rPr>
        <w:t xml:space="preserve"> will </w:t>
      </w:r>
      <w:r w:rsidR="00760FA1">
        <w:rPr>
          <w:sz w:val="26"/>
        </w:rPr>
        <w:t>receive a stipulated inc</w:t>
      </w:r>
      <w:r w:rsidR="00DA2B4A">
        <w:rPr>
          <w:sz w:val="26"/>
        </w:rPr>
        <w:t>rease in annual revenues of $23.6 million</w:t>
      </w:r>
      <w:r w:rsidR="00760FA1">
        <w:rPr>
          <w:sz w:val="26"/>
        </w:rPr>
        <w:t>,</w:t>
      </w:r>
      <w:r w:rsidR="00DA2B4A">
        <w:rPr>
          <w:sz w:val="26"/>
        </w:rPr>
        <w:t xml:space="preserve"> </w:t>
      </w:r>
      <w:r w:rsidR="00760FA1">
        <w:rPr>
          <w:sz w:val="26"/>
        </w:rPr>
        <w:t xml:space="preserve">in lieu of the Company’s </w:t>
      </w:r>
      <w:r w:rsidR="00344ECF">
        <w:rPr>
          <w:sz w:val="26"/>
        </w:rPr>
        <w:t>original base ra</w:t>
      </w:r>
      <w:r w:rsidR="00DA2B4A">
        <w:rPr>
          <w:sz w:val="26"/>
        </w:rPr>
        <w:t>te increase request for $43.2 million</w:t>
      </w:r>
      <w:r w:rsidR="005569B5">
        <w:rPr>
          <w:sz w:val="26"/>
        </w:rPr>
        <w:t>.</w:t>
      </w:r>
      <w:r w:rsidR="009A64C7">
        <w:rPr>
          <w:sz w:val="26"/>
        </w:rPr>
        <w:t xml:space="preserve">  </w:t>
      </w:r>
      <w:r w:rsidR="002132B6">
        <w:rPr>
          <w:sz w:val="26"/>
        </w:rPr>
        <w:t xml:space="preserve">R.D. </w:t>
      </w:r>
      <w:r w:rsidR="009A64C7">
        <w:rPr>
          <w:sz w:val="26"/>
        </w:rPr>
        <w:t>at 48</w:t>
      </w:r>
      <w:r w:rsidR="002132B6">
        <w:rPr>
          <w:sz w:val="26"/>
        </w:rPr>
        <w:t>.</w:t>
      </w:r>
      <w:r w:rsidR="00FF11F7">
        <w:rPr>
          <w:sz w:val="26"/>
        </w:rPr>
        <w:t xml:space="preserve">  </w:t>
      </w:r>
    </w:p>
    <w:p w:rsidR="00D20E7A" w:rsidRDefault="00D20E7A" w:rsidP="00A76F8A">
      <w:pPr>
        <w:suppressAutoHyphens/>
        <w:spacing w:line="360" w:lineRule="auto"/>
        <w:rPr>
          <w:sz w:val="26"/>
        </w:rPr>
      </w:pPr>
    </w:p>
    <w:p w:rsidR="00D20E7A" w:rsidRPr="005A093F" w:rsidRDefault="00D20E7A" w:rsidP="00031C58">
      <w:pPr>
        <w:suppressAutoHyphens/>
        <w:spacing w:line="360" w:lineRule="auto"/>
        <w:ind w:firstLine="1440"/>
        <w:rPr>
          <w:sz w:val="26"/>
        </w:rPr>
      </w:pPr>
      <w:r>
        <w:rPr>
          <w:sz w:val="26"/>
        </w:rPr>
        <w:t>Exceptions and Reply Exceptions to the Recommended Decis</w:t>
      </w:r>
      <w:r w:rsidR="00A21D32">
        <w:rPr>
          <w:sz w:val="26"/>
        </w:rPr>
        <w:t>ion were filed as above noted.  As duly noted in our determinations herein, we are adopting the ALJ’s Recommended Decision</w:t>
      </w:r>
      <w:r w:rsidR="000C5B46">
        <w:rPr>
          <w:sz w:val="26"/>
        </w:rPr>
        <w:t>, consistent with this Opinion and Order,</w:t>
      </w:r>
      <w:r w:rsidR="00A21D32">
        <w:rPr>
          <w:sz w:val="26"/>
        </w:rPr>
        <w:t xml:space="preserve"> and, hence, </w:t>
      </w:r>
      <w:r w:rsidR="000C5B46">
        <w:rPr>
          <w:sz w:val="26"/>
        </w:rPr>
        <w:t>approving</w:t>
      </w:r>
      <w:r w:rsidR="00A21D32">
        <w:rPr>
          <w:sz w:val="26"/>
        </w:rPr>
        <w:t xml:space="preserve"> the Joint Settlement agreement.</w:t>
      </w:r>
    </w:p>
    <w:p w:rsidR="00783674" w:rsidRDefault="00783674" w:rsidP="00A76F8A">
      <w:bookmarkStart w:id="2" w:name="_Toc193787123"/>
    </w:p>
    <w:p w:rsidR="006E7A59" w:rsidRDefault="006E7A59" w:rsidP="00A76F8A"/>
    <w:p w:rsidR="00881922" w:rsidRPr="000B25A3" w:rsidRDefault="00881922" w:rsidP="00A76F8A">
      <w:pPr>
        <w:pStyle w:val="Heading1"/>
      </w:pPr>
      <w:bookmarkStart w:id="3" w:name="_Toc264354740"/>
      <w:r w:rsidRPr="000B25A3">
        <w:t>II.</w:t>
      </w:r>
      <w:r w:rsidR="007A1896" w:rsidRPr="000B25A3">
        <w:tab/>
      </w:r>
      <w:r w:rsidRPr="000511F3">
        <w:t>D</w:t>
      </w:r>
      <w:bookmarkEnd w:id="2"/>
      <w:r w:rsidR="00EC582B">
        <w:t>escription of the Company</w:t>
      </w:r>
      <w:bookmarkEnd w:id="3"/>
    </w:p>
    <w:p w:rsidR="00D7381A" w:rsidRDefault="00D7381A" w:rsidP="00A76F8A"/>
    <w:p w:rsidR="008765A7" w:rsidRPr="00DE246E" w:rsidRDefault="00EC582B" w:rsidP="00A76F8A">
      <w:pPr>
        <w:pStyle w:val="BodyText"/>
        <w:widowControl/>
        <w:spacing w:line="360" w:lineRule="auto"/>
        <w:ind w:firstLine="1440"/>
        <w:jc w:val="left"/>
        <w:rPr>
          <w:rFonts w:ascii="Times New Roman" w:hAnsi="Times New Roman"/>
          <w:sz w:val="26"/>
          <w:szCs w:val="26"/>
        </w:rPr>
      </w:pPr>
      <w:r w:rsidRPr="00DE246E">
        <w:rPr>
          <w:rFonts w:ascii="Times New Roman" w:hAnsi="Times New Roman"/>
          <w:sz w:val="26"/>
          <w:szCs w:val="26"/>
        </w:rPr>
        <w:t xml:space="preserve">Aqua </w:t>
      </w:r>
      <w:r w:rsidR="008765A7" w:rsidRPr="00DE246E">
        <w:rPr>
          <w:rFonts w:ascii="Times New Roman" w:hAnsi="Times New Roman"/>
          <w:sz w:val="26"/>
          <w:szCs w:val="26"/>
        </w:rPr>
        <w:t>is a regulated Pennsylvania public utility and is a wholly-owned subsidiary of Aqua America, Inc. (AA).</w:t>
      </w:r>
      <w:r w:rsidR="008765A7" w:rsidRPr="00DE246E">
        <w:rPr>
          <w:rStyle w:val="FootnoteReference"/>
          <w:rFonts w:ascii="Times New Roman" w:hAnsi="Times New Roman"/>
          <w:sz w:val="26"/>
          <w:szCs w:val="26"/>
        </w:rPr>
        <w:footnoteReference w:id="8"/>
      </w:r>
      <w:r w:rsidRPr="00DE246E">
        <w:rPr>
          <w:rFonts w:ascii="Times New Roman" w:hAnsi="Times New Roman"/>
          <w:sz w:val="26"/>
          <w:szCs w:val="26"/>
        </w:rPr>
        <w:t xml:space="preserve">  </w:t>
      </w:r>
      <w:r w:rsidR="008765A7" w:rsidRPr="00DE246E">
        <w:rPr>
          <w:rFonts w:ascii="Times New Roman" w:hAnsi="Times New Roman"/>
          <w:sz w:val="26"/>
          <w:szCs w:val="26"/>
        </w:rPr>
        <w:t>The Company furnishes water service to approximately 408,923 customers in a service t</w:t>
      </w:r>
      <w:r w:rsidRPr="00DE246E">
        <w:rPr>
          <w:rFonts w:ascii="Times New Roman" w:hAnsi="Times New Roman"/>
          <w:sz w:val="26"/>
          <w:szCs w:val="26"/>
        </w:rPr>
        <w:t>erritory covering portions of twenty-two</w:t>
      </w:r>
      <w:r w:rsidR="008765A7" w:rsidRPr="00DE246E">
        <w:rPr>
          <w:rFonts w:ascii="Times New Roman" w:hAnsi="Times New Roman"/>
          <w:sz w:val="26"/>
          <w:szCs w:val="26"/>
        </w:rPr>
        <w:t xml:space="preserve"> counties across the Commonwealth.  Its principal executive offices are located in Bryn Mawr, Pennsylvania.  Aqua M.B. at 1.</w:t>
      </w:r>
    </w:p>
    <w:p w:rsidR="008765A7" w:rsidRPr="00DE246E" w:rsidRDefault="008765A7" w:rsidP="00A76F8A">
      <w:pPr>
        <w:rPr>
          <w:sz w:val="26"/>
          <w:szCs w:val="26"/>
        </w:rPr>
      </w:pPr>
    </w:p>
    <w:p w:rsidR="008765A7" w:rsidRDefault="00EC582B" w:rsidP="00A76F8A">
      <w:pPr>
        <w:pStyle w:val="Heading1"/>
      </w:pPr>
      <w:bookmarkStart w:id="4" w:name="_Toc264354741"/>
      <w:r>
        <w:t>I</w:t>
      </w:r>
      <w:r w:rsidRPr="000B25A3">
        <w:t>II.</w:t>
      </w:r>
      <w:r w:rsidRPr="000B25A3">
        <w:tab/>
      </w:r>
      <w:r w:rsidRPr="000511F3">
        <w:t>Discussion</w:t>
      </w:r>
      <w:bookmarkEnd w:id="4"/>
    </w:p>
    <w:p w:rsidR="008765A7" w:rsidRDefault="008765A7" w:rsidP="00A76F8A"/>
    <w:p w:rsidR="00881922" w:rsidRPr="00F03977" w:rsidRDefault="00AF38DC" w:rsidP="00A76F8A">
      <w:pPr>
        <w:pStyle w:val="Heading2"/>
        <w:widowControl/>
      </w:pPr>
      <w:bookmarkStart w:id="5" w:name="_Toc193787124"/>
      <w:bookmarkStart w:id="6" w:name="_Toc264354742"/>
      <w:r w:rsidRPr="00F03977">
        <w:t>A.</w:t>
      </w:r>
      <w:r w:rsidRPr="00F03977">
        <w:tab/>
      </w:r>
      <w:r w:rsidR="00783674" w:rsidRPr="00F03977">
        <w:t>Public Input Hearings</w:t>
      </w:r>
      <w:bookmarkEnd w:id="5"/>
      <w:bookmarkEnd w:id="6"/>
    </w:p>
    <w:p w:rsidR="00166EEB" w:rsidRDefault="00166EEB" w:rsidP="00A76F8A">
      <w:pPr>
        <w:spacing w:line="360" w:lineRule="auto"/>
        <w:rPr>
          <w:sz w:val="26"/>
        </w:rPr>
      </w:pPr>
    </w:p>
    <w:p w:rsidR="007D48A8" w:rsidRDefault="006305AB" w:rsidP="00A76F8A">
      <w:pPr>
        <w:suppressAutoHyphens/>
        <w:spacing w:line="360" w:lineRule="auto"/>
        <w:rPr>
          <w:sz w:val="26"/>
        </w:rPr>
      </w:pPr>
      <w:r w:rsidRPr="0088571D">
        <w:rPr>
          <w:sz w:val="26"/>
        </w:rPr>
        <w:tab/>
      </w:r>
      <w:r w:rsidRPr="0088571D">
        <w:rPr>
          <w:sz w:val="26"/>
        </w:rPr>
        <w:tab/>
      </w:r>
      <w:r w:rsidR="007D48A8">
        <w:rPr>
          <w:sz w:val="26"/>
        </w:rPr>
        <w:t xml:space="preserve">The dates and locations of the public input hearings have been described above.  </w:t>
      </w:r>
      <w:r w:rsidR="00A26586">
        <w:rPr>
          <w:sz w:val="26"/>
        </w:rPr>
        <w:t>A sampling of the testimony will be provided.</w:t>
      </w:r>
      <w:r w:rsidR="000C5B46" w:rsidRPr="00D239C4">
        <w:rPr>
          <w:rStyle w:val="FootnoteReference"/>
          <w:sz w:val="20"/>
          <w:szCs w:val="20"/>
        </w:rPr>
        <w:footnoteReference w:id="9"/>
      </w:r>
      <w:r w:rsidR="00A26586">
        <w:rPr>
          <w:sz w:val="26"/>
        </w:rPr>
        <w:t xml:space="preserve">  </w:t>
      </w:r>
    </w:p>
    <w:p w:rsidR="007D48A8" w:rsidRDefault="007D48A8" w:rsidP="00A76F8A">
      <w:pPr>
        <w:suppressAutoHyphens/>
        <w:spacing w:line="360" w:lineRule="auto"/>
        <w:rPr>
          <w:sz w:val="26"/>
        </w:rPr>
      </w:pPr>
    </w:p>
    <w:p w:rsidR="00F539D8" w:rsidRDefault="00A07C2F" w:rsidP="00A76F8A">
      <w:pPr>
        <w:tabs>
          <w:tab w:val="left" w:pos="-720"/>
        </w:tabs>
        <w:suppressAutoHyphens/>
        <w:spacing w:line="360" w:lineRule="auto"/>
        <w:rPr>
          <w:spacing w:val="-3"/>
          <w:sz w:val="26"/>
        </w:rPr>
      </w:pPr>
      <w:r>
        <w:rPr>
          <w:spacing w:val="-3"/>
        </w:rPr>
        <w:tab/>
      </w:r>
      <w:r>
        <w:rPr>
          <w:spacing w:val="-3"/>
        </w:rPr>
        <w:tab/>
      </w:r>
      <w:r w:rsidR="000440E3" w:rsidRPr="000440E3">
        <w:rPr>
          <w:spacing w:val="-3"/>
          <w:sz w:val="26"/>
          <w:szCs w:val="26"/>
        </w:rPr>
        <w:t>Some te</w:t>
      </w:r>
      <w:r w:rsidR="000440E3">
        <w:rPr>
          <w:spacing w:val="-3"/>
          <w:sz w:val="26"/>
          <w:szCs w:val="26"/>
        </w:rPr>
        <w:t xml:space="preserve">stimony </w:t>
      </w:r>
      <w:r w:rsidR="006E7A59" w:rsidRPr="00A07C2F">
        <w:rPr>
          <w:spacing w:val="-3"/>
          <w:sz w:val="26"/>
        </w:rPr>
        <w:t>concerned the quality of the water.  Fo</w:t>
      </w:r>
      <w:r w:rsidR="000440E3">
        <w:rPr>
          <w:spacing w:val="-3"/>
          <w:sz w:val="26"/>
        </w:rPr>
        <w:t>r example, Mr. Wendell Kay, a</w:t>
      </w:r>
      <w:r w:rsidR="006E7A59" w:rsidRPr="00A07C2F">
        <w:rPr>
          <w:spacing w:val="-3"/>
          <w:sz w:val="26"/>
        </w:rPr>
        <w:t xml:space="preserve"> Commissioner of Wayne County, testified that there is</w:t>
      </w:r>
      <w:r w:rsidR="00F539D8">
        <w:rPr>
          <w:spacing w:val="-3"/>
          <w:sz w:val="26"/>
        </w:rPr>
        <w:t>,</w:t>
      </w:r>
      <w:r w:rsidR="006E7A59" w:rsidRPr="00A07C2F">
        <w:rPr>
          <w:spacing w:val="-3"/>
          <w:sz w:val="26"/>
        </w:rPr>
        <w:t xml:space="preserve"> specifically over the summer months</w:t>
      </w:r>
      <w:r w:rsidR="00F539D8">
        <w:rPr>
          <w:spacing w:val="-3"/>
          <w:sz w:val="26"/>
        </w:rPr>
        <w:t>,</w:t>
      </w:r>
      <w:r w:rsidR="006E7A59" w:rsidRPr="00A07C2F">
        <w:rPr>
          <w:spacing w:val="-3"/>
          <w:sz w:val="26"/>
        </w:rPr>
        <w:t xml:space="preserve"> a sulfurous and chlorine odor present in the water.  </w:t>
      </w:r>
      <w:r w:rsidR="000440E3">
        <w:rPr>
          <w:spacing w:val="-3"/>
          <w:sz w:val="26"/>
        </w:rPr>
        <w:t xml:space="preserve">Other witnesses complained of poor water pressure.  </w:t>
      </w:r>
    </w:p>
    <w:p w:rsidR="00F539D8" w:rsidRDefault="00F539D8" w:rsidP="00A76F8A">
      <w:pPr>
        <w:tabs>
          <w:tab w:val="left" w:pos="-720"/>
        </w:tabs>
        <w:suppressAutoHyphens/>
        <w:spacing w:line="360" w:lineRule="auto"/>
        <w:rPr>
          <w:spacing w:val="-3"/>
          <w:sz w:val="26"/>
        </w:rPr>
      </w:pPr>
    </w:p>
    <w:p w:rsidR="00705392" w:rsidRPr="00705392" w:rsidRDefault="000440E3" w:rsidP="00A76F8A">
      <w:pPr>
        <w:tabs>
          <w:tab w:val="left" w:pos="-720"/>
        </w:tabs>
        <w:suppressAutoHyphens/>
        <w:spacing w:line="360" w:lineRule="auto"/>
        <w:ind w:firstLine="1440"/>
        <w:rPr>
          <w:spacing w:val="-3"/>
          <w:sz w:val="26"/>
          <w:szCs w:val="26"/>
        </w:rPr>
      </w:pPr>
      <w:r>
        <w:rPr>
          <w:spacing w:val="-3"/>
          <w:sz w:val="26"/>
        </w:rPr>
        <w:t>In addition, some witnesses challenged the rate increase in view of the</w:t>
      </w:r>
      <w:r w:rsidR="006E7A59" w:rsidRPr="00A07C2F">
        <w:rPr>
          <w:spacing w:val="-3"/>
          <w:sz w:val="26"/>
        </w:rPr>
        <w:t xml:space="preserve"> poor economic conditions </w:t>
      </w:r>
      <w:r w:rsidR="00F331D6">
        <w:rPr>
          <w:spacing w:val="-3"/>
          <w:sz w:val="26"/>
        </w:rPr>
        <w:t>in the Commonwealth at this time</w:t>
      </w:r>
      <w:r w:rsidR="006E7A59" w:rsidRPr="00A07C2F">
        <w:rPr>
          <w:spacing w:val="-3"/>
          <w:sz w:val="26"/>
        </w:rPr>
        <w:t xml:space="preserve">.  Tr. </w:t>
      </w:r>
      <w:r w:rsidR="00705392">
        <w:rPr>
          <w:spacing w:val="-3"/>
          <w:sz w:val="26"/>
        </w:rPr>
        <w:t xml:space="preserve">at </w:t>
      </w:r>
      <w:r w:rsidR="006E7A59" w:rsidRPr="00A07C2F">
        <w:rPr>
          <w:spacing w:val="-3"/>
          <w:sz w:val="26"/>
        </w:rPr>
        <w:t xml:space="preserve">63-65.  </w:t>
      </w:r>
      <w:r w:rsidR="00705392" w:rsidRPr="00705392">
        <w:rPr>
          <w:spacing w:val="-3"/>
          <w:sz w:val="26"/>
          <w:szCs w:val="26"/>
        </w:rPr>
        <w:t xml:space="preserve">Other people testified that Aqua has come for (1) a rate increase in 2007; (2) another increase, the </w:t>
      </w:r>
      <w:r w:rsidR="00AA5293" w:rsidRPr="00705392">
        <w:rPr>
          <w:spacing w:val="-3"/>
          <w:sz w:val="26"/>
          <w:szCs w:val="26"/>
        </w:rPr>
        <w:t xml:space="preserve">Distribution System Improvement Charge </w:t>
      </w:r>
      <w:r w:rsidR="00705392" w:rsidRPr="00705392">
        <w:rPr>
          <w:spacing w:val="-3"/>
          <w:sz w:val="26"/>
          <w:szCs w:val="26"/>
        </w:rPr>
        <w:t>(</w:t>
      </w:r>
      <w:r w:rsidR="00AA5293">
        <w:rPr>
          <w:spacing w:val="-3"/>
          <w:sz w:val="26"/>
          <w:szCs w:val="26"/>
        </w:rPr>
        <w:t>DSIC</w:t>
      </w:r>
      <w:r w:rsidR="00705392" w:rsidRPr="00705392">
        <w:rPr>
          <w:spacing w:val="-3"/>
          <w:sz w:val="26"/>
          <w:szCs w:val="26"/>
        </w:rPr>
        <w:t>) in 2008; and now (3) this instant pro</w:t>
      </w:r>
      <w:r w:rsidR="00B6739D">
        <w:rPr>
          <w:spacing w:val="-3"/>
          <w:sz w:val="26"/>
          <w:szCs w:val="26"/>
        </w:rPr>
        <w:t xml:space="preserve">posed rate increase in 2009.  Several witnesses, however, </w:t>
      </w:r>
      <w:r w:rsidR="00B6739D" w:rsidRPr="001E0106">
        <w:rPr>
          <w:spacing w:val="-3"/>
          <w:sz w:val="26"/>
          <w:szCs w:val="26"/>
        </w:rPr>
        <w:t xml:space="preserve">asserted that Aqua was to be applauded for </w:t>
      </w:r>
      <w:r w:rsidR="00B6739D" w:rsidRPr="001E0106">
        <w:rPr>
          <w:spacing w:val="-3"/>
          <w:sz w:val="26"/>
          <w:szCs w:val="26"/>
        </w:rPr>
        <w:lastRenderedPageBreak/>
        <w:t xml:space="preserve">its efforts in improving the </w:t>
      </w:r>
      <w:r w:rsidR="00B6739D">
        <w:rPr>
          <w:spacing w:val="-3"/>
          <w:sz w:val="26"/>
          <w:szCs w:val="26"/>
        </w:rPr>
        <w:t>infrastructure and its interest</w:t>
      </w:r>
      <w:r w:rsidR="00B6739D" w:rsidRPr="001E0106">
        <w:rPr>
          <w:spacing w:val="-3"/>
          <w:sz w:val="26"/>
          <w:szCs w:val="26"/>
        </w:rPr>
        <w:t xml:space="preserve"> in protecting the natural environment.</w:t>
      </w:r>
    </w:p>
    <w:p w:rsidR="00705392" w:rsidRPr="00705392" w:rsidRDefault="00705392" w:rsidP="00A76F8A">
      <w:pPr>
        <w:tabs>
          <w:tab w:val="left" w:pos="-720"/>
        </w:tabs>
        <w:suppressAutoHyphens/>
        <w:spacing w:line="360" w:lineRule="auto"/>
        <w:ind w:firstLine="1440"/>
        <w:rPr>
          <w:spacing w:val="-3"/>
          <w:sz w:val="26"/>
          <w:szCs w:val="26"/>
        </w:rPr>
      </w:pPr>
    </w:p>
    <w:p w:rsidR="00705392" w:rsidRPr="00705392" w:rsidRDefault="00705392" w:rsidP="00A76F8A">
      <w:pPr>
        <w:tabs>
          <w:tab w:val="left" w:pos="-720"/>
        </w:tabs>
        <w:suppressAutoHyphens/>
        <w:spacing w:line="360" w:lineRule="auto"/>
        <w:ind w:firstLine="1440"/>
        <w:rPr>
          <w:spacing w:val="-3"/>
          <w:sz w:val="26"/>
          <w:szCs w:val="26"/>
        </w:rPr>
      </w:pPr>
      <w:r w:rsidRPr="00705392">
        <w:rPr>
          <w:spacing w:val="-3"/>
          <w:sz w:val="26"/>
          <w:szCs w:val="26"/>
        </w:rPr>
        <w:t>Ms. Sara Karlowicz, State Representative Phyllis Mundy’s aide, read a statement from the state representati</w:t>
      </w:r>
      <w:r w:rsidR="001923C5">
        <w:rPr>
          <w:spacing w:val="-3"/>
          <w:sz w:val="26"/>
          <w:szCs w:val="26"/>
        </w:rPr>
        <w:t xml:space="preserve">ve into the record.  Rep. Mundy </w:t>
      </w:r>
      <w:r w:rsidRPr="00705392">
        <w:rPr>
          <w:spacing w:val="-3"/>
          <w:sz w:val="26"/>
          <w:szCs w:val="26"/>
        </w:rPr>
        <w:t xml:space="preserve">not only opposed the proposed rate increase but also the proposed tariffs that would automatically adjust customer rates to reflect changes in purchased water costs and purchased electricity costs.  These proposed new tariffs she likens to the DSIC and </w:t>
      </w:r>
      <w:r w:rsidR="00494B70">
        <w:rPr>
          <w:spacing w:val="-3"/>
          <w:sz w:val="26"/>
          <w:szCs w:val="26"/>
        </w:rPr>
        <w:t>she also avers</w:t>
      </w:r>
      <w:r w:rsidRPr="00705392">
        <w:rPr>
          <w:spacing w:val="-3"/>
          <w:sz w:val="26"/>
          <w:szCs w:val="26"/>
        </w:rPr>
        <w:t xml:space="preserve"> that the tariffs do not take into account reduced operatin</w:t>
      </w:r>
      <w:r w:rsidR="00494B70">
        <w:rPr>
          <w:spacing w:val="-3"/>
          <w:sz w:val="26"/>
          <w:szCs w:val="26"/>
        </w:rPr>
        <w:t xml:space="preserve">g costs or other cost savings.  </w:t>
      </w:r>
      <w:r w:rsidRPr="00705392">
        <w:rPr>
          <w:spacing w:val="-3"/>
          <w:sz w:val="26"/>
          <w:szCs w:val="26"/>
        </w:rPr>
        <w:t xml:space="preserve">She contends that the proposed increases in rates are not just or reasonable particularly in these difficult financial times.  Tr. </w:t>
      </w:r>
      <w:r w:rsidR="00494B70">
        <w:rPr>
          <w:spacing w:val="-3"/>
          <w:sz w:val="26"/>
          <w:szCs w:val="26"/>
        </w:rPr>
        <w:t xml:space="preserve">at </w:t>
      </w:r>
      <w:r w:rsidRPr="00705392">
        <w:rPr>
          <w:spacing w:val="-3"/>
          <w:sz w:val="26"/>
          <w:szCs w:val="26"/>
        </w:rPr>
        <w:t>220-23.</w:t>
      </w:r>
    </w:p>
    <w:p w:rsidR="003074F1" w:rsidRDefault="003074F1" w:rsidP="00A76F8A">
      <w:pPr>
        <w:suppressAutoHyphens/>
        <w:spacing w:line="360" w:lineRule="auto"/>
        <w:rPr>
          <w:sz w:val="26"/>
        </w:rPr>
      </w:pPr>
    </w:p>
    <w:p w:rsidR="00166EEB" w:rsidRPr="00992BA4" w:rsidRDefault="00C164EE" w:rsidP="00A76F8A">
      <w:pPr>
        <w:pStyle w:val="Heading2"/>
        <w:widowControl/>
        <w:rPr>
          <w:i/>
        </w:rPr>
      </w:pPr>
      <w:bookmarkStart w:id="7" w:name="_Toc264354743"/>
      <w:r>
        <w:t>B</w:t>
      </w:r>
      <w:r w:rsidRPr="00132651">
        <w:t>.</w:t>
      </w:r>
      <w:r w:rsidRPr="00132651">
        <w:tab/>
      </w:r>
      <w:r w:rsidR="00992BA4" w:rsidRPr="00992BA4">
        <w:t xml:space="preserve">Terms </w:t>
      </w:r>
      <w:r w:rsidR="001C3217">
        <w:t xml:space="preserve">and Conditions </w:t>
      </w:r>
      <w:r w:rsidR="00992BA4" w:rsidRPr="00992BA4">
        <w:t xml:space="preserve">of </w:t>
      </w:r>
      <w:r>
        <w:t>the Joint Settlement</w:t>
      </w:r>
      <w:bookmarkEnd w:id="7"/>
    </w:p>
    <w:p w:rsidR="00166EEB" w:rsidRDefault="00166EEB" w:rsidP="00A76F8A"/>
    <w:p w:rsidR="00087A5F" w:rsidRDefault="00087A5F" w:rsidP="00A76F8A"/>
    <w:p w:rsidR="009A35D8" w:rsidRPr="00853801" w:rsidRDefault="00C164EE" w:rsidP="0085502C">
      <w:pPr>
        <w:spacing w:line="360" w:lineRule="auto"/>
        <w:ind w:firstLine="1440"/>
        <w:rPr>
          <w:sz w:val="26"/>
        </w:rPr>
      </w:pPr>
      <w:r>
        <w:rPr>
          <w:sz w:val="26"/>
        </w:rPr>
        <w:t>T</w:t>
      </w:r>
      <w:r w:rsidR="009A35D8" w:rsidRPr="00853801">
        <w:rPr>
          <w:sz w:val="26"/>
        </w:rPr>
        <w:t>he J</w:t>
      </w:r>
      <w:r w:rsidR="00087A5F">
        <w:rPr>
          <w:sz w:val="26"/>
        </w:rPr>
        <w:t>oint Parties agree to the following pertinent te</w:t>
      </w:r>
      <w:r w:rsidR="00F539D8">
        <w:rPr>
          <w:sz w:val="26"/>
        </w:rPr>
        <w:t>rms and conditions for the S</w:t>
      </w:r>
      <w:r w:rsidR="00087A5F">
        <w:rPr>
          <w:sz w:val="26"/>
        </w:rPr>
        <w:t>ettlement regarding Aqua’s proposed rate increase:</w:t>
      </w:r>
      <w:r w:rsidR="009A35D8" w:rsidRPr="00853801">
        <w:rPr>
          <w:sz w:val="26"/>
        </w:rPr>
        <w:t xml:space="preserve">  </w:t>
      </w:r>
    </w:p>
    <w:p w:rsidR="009A35D8" w:rsidRPr="00853801" w:rsidRDefault="009A35D8" w:rsidP="00A76F8A">
      <w:pPr>
        <w:autoSpaceDE w:val="0"/>
        <w:autoSpaceDN w:val="0"/>
        <w:adjustRightInd w:val="0"/>
        <w:spacing w:line="360" w:lineRule="auto"/>
        <w:rPr>
          <w:sz w:val="26"/>
        </w:rPr>
      </w:pPr>
    </w:p>
    <w:p w:rsidR="00012DBC" w:rsidRPr="00695790" w:rsidRDefault="00012DBC" w:rsidP="00A76F8A">
      <w:pPr>
        <w:numPr>
          <w:ilvl w:val="3"/>
          <w:numId w:val="25"/>
        </w:numPr>
        <w:tabs>
          <w:tab w:val="clear" w:pos="2880"/>
          <w:tab w:val="num" w:pos="-390"/>
        </w:tabs>
        <w:ind w:left="1440" w:right="1440" w:firstLine="0"/>
        <w:rPr>
          <w:sz w:val="26"/>
          <w:szCs w:val="26"/>
        </w:rPr>
      </w:pPr>
      <w:r w:rsidRPr="00695790">
        <w:rPr>
          <w:sz w:val="26"/>
          <w:szCs w:val="26"/>
        </w:rPr>
        <w:t>That Aqua be permitted to implement the water rates as proposed in the tariff supplement</w:t>
      </w:r>
      <w:r w:rsidR="00A54508">
        <w:rPr>
          <w:sz w:val="26"/>
          <w:szCs w:val="26"/>
        </w:rPr>
        <w:t>,</w:t>
      </w:r>
      <w:r w:rsidRPr="00695790">
        <w:rPr>
          <w:sz w:val="26"/>
          <w:szCs w:val="26"/>
        </w:rPr>
        <w:t xml:space="preserve"> attached as Appendix A</w:t>
      </w:r>
      <w:r w:rsidR="001C3217">
        <w:rPr>
          <w:sz w:val="26"/>
          <w:szCs w:val="26"/>
        </w:rPr>
        <w:t xml:space="preserve"> </w:t>
      </w:r>
      <w:r w:rsidRPr="00695790">
        <w:rPr>
          <w:sz w:val="26"/>
          <w:szCs w:val="26"/>
        </w:rPr>
        <w:t xml:space="preserve">to the settlement to become effective for service on one day’s notice, following the entry of a Commission Order approving the Joint Settlement.  The tariff supplement produces additional annual operating revenue of $23.6 million with total annual water revenue of approximately $389.06 million.  A proof of revenue is attached to the Joint Settlement Petition as Appendix B.  </w:t>
      </w:r>
    </w:p>
    <w:p w:rsidR="00012DBC" w:rsidRPr="00695790" w:rsidRDefault="00012DBC" w:rsidP="00A76F8A">
      <w:pPr>
        <w:spacing w:line="360" w:lineRule="auto"/>
        <w:ind w:left="1440" w:right="1440"/>
        <w:rPr>
          <w:sz w:val="26"/>
          <w:szCs w:val="26"/>
        </w:rPr>
      </w:pPr>
    </w:p>
    <w:p w:rsidR="00012DBC" w:rsidRPr="00695790" w:rsidRDefault="00012DBC" w:rsidP="00A76F8A">
      <w:pPr>
        <w:numPr>
          <w:ilvl w:val="0"/>
          <w:numId w:val="25"/>
        </w:numPr>
        <w:tabs>
          <w:tab w:val="clear" w:pos="3600"/>
        </w:tabs>
        <w:ind w:left="1426" w:right="1440" w:firstLine="14"/>
        <w:rPr>
          <w:sz w:val="26"/>
          <w:szCs w:val="26"/>
        </w:rPr>
      </w:pPr>
      <w:r w:rsidRPr="00695790">
        <w:rPr>
          <w:sz w:val="26"/>
          <w:szCs w:val="26"/>
        </w:rPr>
        <w:t xml:space="preserve">That Aqua will forego another water rate increase under Section 1308(d) of the Public Utility Code prior to November 18, 2011.  However, if a legislative body or administrative agency, including the Commission, orders or enacts fundamental changes in policy or statutes which directly and substantially affect the Company’s rates, the Joint </w:t>
      </w:r>
      <w:r w:rsidRPr="00695790">
        <w:rPr>
          <w:sz w:val="26"/>
          <w:szCs w:val="26"/>
        </w:rPr>
        <w:lastRenderedPageBreak/>
        <w:t>Settlement shall not prohibit the Company from filing tariff supplements to the extent necessary.  The Joint Parties agreed that if Aqua files a general base rate water case on or after November 18, 2011 but before January 1, 2012, Aqua will be permitted to use historic test year data for the twelve month period ending June 30, 2011.</w:t>
      </w:r>
    </w:p>
    <w:p w:rsidR="00012DBC" w:rsidRPr="00695790" w:rsidRDefault="00012DBC" w:rsidP="00A76F8A">
      <w:pPr>
        <w:spacing w:line="360" w:lineRule="auto"/>
        <w:ind w:left="1440" w:right="1440"/>
        <w:rPr>
          <w:sz w:val="26"/>
          <w:szCs w:val="26"/>
        </w:rPr>
      </w:pPr>
    </w:p>
    <w:p w:rsidR="00012DBC" w:rsidRPr="00695790" w:rsidRDefault="00012DBC" w:rsidP="00A76F8A">
      <w:pPr>
        <w:numPr>
          <w:ilvl w:val="0"/>
          <w:numId w:val="25"/>
        </w:numPr>
        <w:tabs>
          <w:tab w:val="clear" w:pos="3600"/>
          <w:tab w:val="num" w:pos="-260"/>
        </w:tabs>
        <w:ind w:left="1440" w:right="1440" w:firstLine="14"/>
        <w:rPr>
          <w:sz w:val="26"/>
          <w:szCs w:val="26"/>
        </w:rPr>
      </w:pPr>
      <w:r w:rsidRPr="00695790">
        <w:rPr>
          <w:sz w:val="26"/>
          <w:szCs w:val="26"/>
        </w:rPr>
        <w:t>That the rates set forth in Appendix A to the Joint Settlement Petition reflect the Joint Parties’ agreement regarding rate structure, rate design and the distribution of increase in revenues as follows:</w:t>
      </w:r>
    </w:p>
    <w:p w:rsidR="00012DBC" w:rsidRPr="00695790" w:rsidRDefault="00012DBC" w:rsidP="00A76F8A">
      <w:pPr>
        <w:spacing w:line="360" w:lineRule="auto"/>
        <w:ind w:left="1450" w:right="1440"/>
        <w:rPr>
          <w:sz w:val="26"/>
          <w:szCs w:val="26"/>
        </w:rPr>
      </w:pPr>
    </w:p>
    <w:p w:rsidR="00012DBC" w:rsidRDefault="00012DBC" w:rsidP="00A76F8A">
      <w:pPr>
        <w:numPr>
          <w:ilvl w:val="4"/>
          <w:numId w:val="25"/>
        </w:numPr>
        <w:tabs>
          <w:tab w:val="clear" w:pos="3600"/>
          <w:tab w:val="num" w:pos="2470"/>
        </w:tabs>
        <w:spacing w:line="360" w:lineRule="auto"/>
        <w:ind w:left="2470" w:right="1440" w:hanging="260"/>
        <w:rPr>
          <w:sz w:val="26"/>
          <w:szCs w:val="26"/>
        </w:rPr>
      </w:pPr>
      <w:r w:rsidRPr="00695790">
        <w:rPr>
          <w:sz w:val="26"/>
          <w:szCs w:val="26"/>
        </w:rPr>
        <w:t xml:space="preserve">Main Division </w:t>
      </w:r>
    </w:p>
    <w:p w:rsidR="00A54508" w:rsidRDefault="00A54508" w:rsidP="00A76F8A">
      <w:pPr>
        <w:spacing w:line="360" w:lineRule="auto"/>
        <w:ind w:left="2470" w:right="1440"/>
        <w:rPr>
          <w:sz w:val="26"/>
          <w:szCs w:val="26"/>
        </w:rPr>
      </w:pP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0"/>
        <w:gridCol w:w="2652"/>
        <w:gridCol w:w="1799"/>
      </w:tblGrid>
      <w:tr w:rsidR="00012DBC" w:rsidRPr="00695790" w:rsidTr="00A54508">
        <w:tc>
          <w:tcPr>
            <w:tcW w:w="7041" w:type="dxa"/>
            <w:gridSpan w:val="3"/>
          </w:tcPr>
          <w:p w:rsidR="00012DBC" w:rsidRPr="00695790" w:rsidRDefault="00012DBC" w:rsidP="00A76F8A">
            <w:pPr>
              <w:ind w:right="1440"/>
              <w:jc w:val="center"/>
              <w:rPr>
                <w:sz w:val="26"/>
                <w:szCs w:val="26"/>
              </w:rPr>
            </w:pPr>
            <w:r w:rsidRPr="00695790">
              <w:rPr>
                <w:sz w:val="26"/>
                <w:szCs w:val="26"/>
              </w:rPr>
              <w:t xml:space="preserve">               Customer Charge</w:t>
            </w:r>
          </w:p>
        </w:tc>
      </w:tr>
      <w:tr w:rsidR="00012DBC" w:rsidRPr="00695790" w:rsidTr="00A54508">
        <w:tc>
          <w:tcPr>
            <w:tcW w:w="2590" w:type="dxa"/>
          </w:tcPr>
          <w:p w:rsidR="00012DBC" w:rsidRPr="00695790" w:rsidRDefault="00012DBC" w:rsidP="00A76F8A">
            <w:pPr>
              <w:ind w:right="1440"/>
              <w:rPr>
                <w:sz w:val="26"/>
                <w:szCs w:val="26"/>
              </w:rPr>
            </w:pPr>
            <w:r w:rsidRPr="00695790">
              <w:rPr>
                <w:sz w:val="26"/>
                <w:szCs w:val="26"/>
              </w:rPr>
              <w:t>5/8” meter</w:t>
            </w:r>
          </w:p>
        </w:tc>
        <w:tc>
          <w:tcPr>
            <w:tcW w:w="2652" w:type="dxa"/>
          </w:tcPr>
          <w:p w:rsidR="00012DBC" w:rsidRPr="00695790" w:rsidRDefault="00012DBC" w:rsidP="00A76F8A">
            <w:pPr>
              <w:ind w:right="165"/>
              <w:rPr>
                <w:sz w:val="26"/>
                <w:szCs w:val="26"/>
              </w:rPr>
            </w:pPr>
            <w:r w:rsidRPr="00695790">
              <w:rPr>
                <w:sz w:val="26"/>
                <w:szCs w:val="26"/>
              </w:rPr>
              <w:t>Up to 1” meter</w:t>
            </w:r>
          </w:p>
        </w:tc>
        <w:tc>
          <w:tcPr>
            <w:tcW w:w="1799" w:type="dxa"/>
          </w:tcPr>
          <w:p w:rsidR="00012DBC" w:rsidRPr="00695790" w:rsidRDefault="00012DBC" w:rsidP="00A76F8A">
            <w:pPr>
              <w:tabs>
                <w:tab w:val="left" w:pos="1071"/>
              </w:tabs>
              <w:ind w:right="126"/>
              <w:rPr>
                <w:sz w:val="26"/>
                <w:szCs w:val="26"/>
              </w:rPr>
            </w:pPr>
            <w:r w:rsidRPr="00695790">
              <w:rPr>
                <w:sz w:val="26"/>
                <w:szCs w:val="26"/>
              </w:rPr>
              <w:t xml:space="preserve">1.5” &amp; greater </w:t>
            </w:r>
          </w:p>
        </w:tc>
      </w:tr>
      <w:tr w:rsidR="00012DBC" w:rsidRPr="00695790" w:rsidTr="00A54508">
        <w:tc>
          <w:tcPr>
            <w:tcW w:w="2590" w:type="dxa"/>
          </w:tcPr>
          <w:p w:rsidR="00012DBC" w:rsidRPr="00695790" w:rsidRDefault="00012DBC" w:rsidP="00A76F8A">
            <w:pPr>
              <w:ind w:right="217"/>
              <w:rPr>
                <w:sz w:val="26"/>
                <w:szCs w:val="26"/>
              </w:rPr>
            </w:pPr>
            <w:r w:rsidRPr="00695790">
              <w:rPr>
                <w:sz w:val="26"/>
                <w:szCs w:val="26"/>
              </w:rPr>
              <w:t>$15.00 (Increased 14.1%)</w:t>
            </w:r>
          </w:p>
        </w:tc>
        <w:tc>
          <w:tcPr>
            <w:tcW w:w="2652" w:type="dxa"/>
          </w:tcPr>
          <w:p w:rsidR="00012DBC" w:rsidRPr="00695790" w:rsidRDefault="00012DBC" w:rsidP="00A76F8A">
            <w:pPr>
              <w:ind w:right="1440"/>
              <w:rPr>
                <w:sz w:val="26"/>
                <w:szCs w:val="26"/>
              </w:rPr>
            </w:pPr>
            <w:r w:rsidRPr="00695790">
              <w:rPr>
                <w:sz w:val="26"/>
                <w:szCs w:val="26"/>
              </w:rPr>
              <w:t>Increased by 14.1%</w:t>
            </w:r>
          </w:p>
        </w:tc>
        <w:tc>
          <w:tcPr>
            <w:tcW w:w="1799" w:type="dxa"/>
          </w:tcPr>
          <w:p w:rsidR="00012DBC" w:rsidRPr="00695790" w:rsidRDefault="00012DBC" w:rsidP="00A76F8A">
            <w:pPr>
              <w:ind w:right="119"/>
              <w:rPr>
                <w:sz w:val="26"/>
                <w:szCs w:val="26"/>
              </w:rPr>
            </w:pPr>
            <w:r w:rsidRPr="00695790">
              <w:rPr>
                <w:sz w:val="26"/>
                <w:szCs w:val="26"/>
              </w:rPr>
              <w:t>Increased by 7.5%</w:t>
            </w:r>
          </w:p>
        </w:tc>
      </w:tr>
    </w:tbl>
    <w:p w:rsidR="00012DBC" w:rsidRPr="00695790" w:rsidRDefault="00012DBC" w:rsidP="00A76F8A">
      <w:pPr>
        <w:spacing w:line="360" w:lineRule="auto"/>
        <w:ind w:right="1440"/>
        <w:rPr>
          <w:sz w:val="26"/>
          <w:szCs w:val="26"/>
        </w:rPr>
      </w:pPr>
    </w:p>
    <w:p w:rsidR="00012DBC" w:rsidRPr="00695790" w:rsidRDefault="00012DBC" w:rsidP="00A76F8A">
      <w:pPr>
        <w:ind w:left="1426" w:right="1440"/>
        <w:rPr>
          <w:sz w:val="26"/>
          <w:szCs w:val="26"/>
        </w:rPr>
      </w:pPr>
      <w:r w:rsidRPr="00695790">
        <w:rPr>
          <w:sz w:val="26"/>
          <w:szCs w:val="26"/>
        </w:rPr>
        <w:t>The fourth block for the public class is $0.5382 per hundred gallons.</w:t>
      </w:r>
    </w:p>
    <w:p w:rsidR="00012DBC" w:rsidRPr="00695790" w:rsidRDefault="00012DBC" w:rsidP="00A76F8A">
      <w:pPr>
        <w:spacing w:line="360" w:lineRule="auto"/>
        <w:ind w:left="1430" w:right="1440"/>
        <w:rPr>
          <w:sz w:val="26"/>
          <w:szCs w:val="26"/>
        </w:rPr>
      </w:pPr>
    </w:p>
    <w:p w:rsidR="00012DBC" w:rsidRDefault="00012DBC" w:rsidP="00A76F8A">
      <w:pPr>
        <w:numPr>
          <w:ilvl w:val="4"/>
          <w:numId w:val="25"/>
        </w:numPr>
        <w:tabs>
          <w:tab w:val="clear" w:pos="3600"/>
          <w:tab w:val="num" w:pos="2470"/>
        </w:tabs>
        <w:spacing w:line="360" w:lineRule="auto"/>
        <w:ind w:left="2600" w:right="1440" w:hanging="390"/>
        <w:rPr>
          <w:sz w:val="26"/>
          <w:szCs w:val="26"/>
        </w:rPr>
      </w:pPr>
      <w:r w:rsidRPr="00695790">
        <w:rPr>
          <w:sz w:val="26"/>
          <w:szCs w:val="26"/>
        </w:rPr>
        <w:t>Applewood and Marienville</w:t>
      </w:r>
    </w:p>
    <w:p w:rsidR="00A54508" w:rsidRPr="00695790" w:rsidRDefault="00A54508" w:rsidP="00A76F8A">
      <w:pPr>
        <w:spacing w:line="360" w:lineRule="auto"/>
        <w:ind w:left="2600" w:right="1440"/>
        <w:rPr>
          <w:sz w:val="26"/>
          <w:szCs w:val="26"/>
        </w:rPr>
      </w:pP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0"/>
        <w:gridCol w:w="2652"/>
        <w:gridCol w:w="1799"/>
      </w:tblGrid>
      <w:tr w:rsidR="00012DBC" w:rsidRPr="00695790" w:rsidTr="00695790">
        <w:tc>
          <w:tcPr>
            <w:tcW w:w="6177" w:type="dxa"/>
            <w:gridSpan w:val="3"/>
          </w:tcPr>
          <w:p w:rsidR="00012DBC" w:rsidRPr="00695790" w:rsidRDefault="00012DBC" w:rsidP="00A76F8A">
            <w:pPr>
              <w:ind w:right="1440"/>
              <w:jc w:val="center"/>
              <w:rPr>
                <w:sz w:val="26"/>
                <w:szCs w:val="26"/>
              </w:rPr>
            </w:pPr>
            <w:r w:rsidRPr="00695790">
              <w:rPr>
                <w:sz w:val="26"/>
                <w:szCs w:val="26"/>
              </w:rPr>
              <w:t xml:space="preserve">               Customer Charge/month</w:t>
            </w:r>
          </w:p>
        </w:tc>
      </w:tr>
      <w:tr w:rsidR="00012DBC" w:rsidRPr="00695790" w:rsidTr="00695790">
        <w:tc>
          <w:tcPr>
            <w:tcW w:w="2590" w:type="dxa"/>
          </w:tcPr>
          <w:p w:rsidR="00012DBC" w:rsidRPr="00695790" w:rsidRDefault="00012DBC" w:rsidP="00A76F8A">
            <w:pPr>
              <w:ind w:right="164"/>
              <w:rPr>
                <w:sz w:val="26"/>
                <w:szCs w:val="26"/>
              </w:rPr>
            </w:pPr>
            <w:r w:rsidRPr="00695790">
              <w:rPr>
                <w:sz w:val="26"/>
                <w:szCs w:val="26"/>
              </w:rPr>
              <w:t>5/8” meter</w:t>
            </w:r>
          </w:p>
        </w:tc>
        <w:tc>
          <w:tcPr>
            <w:tcW w:w="1788" w:type="dxa"/>
          </w:tcPr>
          <w:p w:rsidR="00012DBC" w:rsidRPr="00695790" w:rsidRDefault="00012DBC" w:rsidP="00A76F8A">
            <w:pPr>
              <w:ind w:right="165"/>
              <w:rPr>
                <w:sz w:val="26"/>
                <w:szCs w:val="26"/>
              </w:rPr>
            </w:pPr>
            <w:r w:rsidRPr="00695790">
              <w:rPr>
                <w:sz w:val="26"/>
                <w:szCs w:val="26"/>
              </w:rPr>
              <w:t>Up to 1” meter</w:t>
            </w:r>
          </w:p>
        </w:tc>
        <w:tc>
          <w:tcPr>
            <w:tcW w:w="1799" w:type="dxa"/>
          </w:tcPr>
          <w:p w:rsidR="00012DBC" w:rsidRPr="00695790" w:rsidRDefault="00012DBC" w:rsidP="00A76F8A">
            <w:pPr>
              <w:tabs>
                <w:tab w:val="left" w:pos="1071"/>
              </w:tabs>
              <w:ind w:right="126"/>
              <w:rPr>
                <w:sz w:val="26"/>
                <w:szCs w:val="26"/>
              </w:rPr>
            </w:pPr>
            <w:r w:rsidRPr="00695790">
              <w:rPr>
                <w:sz w:val="26"/>
                <w:szCs w:val="26"/>
              </w:rPr>
              <w:t xml:space="preserve">1.5” &amp; greater </w:t>
            </w:r>
          </w:p>
        </w:tc>
      </w:tr>
      <w:tr w:rsidR="00012DBC" w:rsidRPr="00695790" w:rsidTr="00695790">
        <w:tc>
          <w:tcPr>
            <w:tcW w:w="2590" w:type="dxa"/>
          </w:tcPr>
          <w:p w:rsidR="00012DBC" w:rsidRPr="00695790" w:rsidRDefault="00012DBC" w:rsidP="00A76F8A">
            <w:pPr>
              <w:ind w:right="217"/>
              <w:rPr>
                <w:sz w:val="26"/>
                <w:szCs w:val="26"/>
              </w:rPr>
            </w:pPr>
            <w:r w:rsidRPr="00695790">
              <w:rPr>
                <w:sz w:val="26"/>
                <w:szCs w:val="26"/>
              </w:rPr>
              <w:t>$15.00 (Increased 14.1%)</w:t>
            </w:r>
          </w:p>
        </w:tc>
        <w:tc>
          <w:tcPr>
            <w:tcW w:w="1788" w:type="dxa"/>
          </w:tcPr>
          <w:p w:rsidR="00012DBC" w:rsidRPr="00695790" w:rsidRDefault="00012DBC" w:rsidP="00A76F8A">
            <w:pPr>
              <w:ind w:right="1440"/>
              <w:rPr>
                <w:sz w:val="26"/>
                <w:szCs w:val="26"/>
              </w:rPr>
            </w:pPr>
            <w:r w:rsidRPr="00695790">
              <w:rPr>
                <w:sz w:val="26"/>
                <w:szCs w:val="26"/>
              </w:rPr>
              <w:t>Increased by 14.1%</w:t>
            </w:r>
          </w:p>
        </w:tc>
        <w:tc>
          <w:tcPr>
            <w:tcW w:w="1799" w:type="dxa"/>
          </w:tcPr>
          <w:p w:rsidR="00012DBC" w:rsidRPr="00695790" w:rsidRDefault="00012DBC" w:rsidP="00A76F8A">
            <w:pPr>
              <w:ind w:right="119"/>
              <w:rPr>
                <w:sz w:val="26"/>
                <w:szCs w:val="26"/>
              </w:rPr>
            </w:pPr>
            <w:r w:rsidRPr="00695790">
              <w:rPr>
                <w:sz w:val="26"/>
                <w:szCs w:val="26"/>
              </w:rPr>
              <w:t>Increased by 7.5%</w:t>
            </w:r>
          </w:p>
        </w:tc>
      </w:tr>
    </w:tbl>
    <w:p w:rsidR="00012DBC" w:rsidRPr="00695790" w:rsidRDefault="00012DBC" w:rsidP="00A76F8A">
      <w:pPr>
        <w:spacing w:line="360" w:lineRule="auto"/>
        <w:ind w:left="1430" w:right="1440"/>
        <w:rPr>
          <w:sz w:val="26"/>
          <w:szCs w:val="26"/>
        </w:rPr>
      </w:pPr>
    </w:p>
    <w:p w:rsidR="00012DBC" w:rsidRPr="00695790" w:rsidRDefault="00012DBC" w:rsidP="00A76F8A">
      <w:pPr>
        <w:ind w:left="1426" w:right="1440"/>
        <w:rPr>
          <w:sz w:val="26"/>
          <w:szCs w:val="26"/>
        </w:rPr>
      </w:pPr>
      <w:r w:rsidRPr="00695790">
        <w:rPr>
          <w:sz w:val="26"/>
          <w:szCs w:val="26"/>
        </w:rPr>
        <w:t>Residential class usage rate is $0.700 per hundred gallons for all usage.  Commercial and Industrial class usage rates are $0.810 per hundred gallons for the first block with the settlement rates for the Main Division used for the remaining blocks.</w:t>
      </w:r>
    </w:p>
    <w:p w:rsidR="00012DBC" w:rsidRPr="00695790" w:rsidRDefault="00012DBC" w:rsidP="00A76F8A">
      <w:pPr>
        <w:spacing w:line="360" w:lineRule="auto"/>
        <w:ind w:left="1430" w:right="1440"/>
        <w:rPr>
          <w:sz w:val="26"/>
          <w:szCs w:val="26"/>
        </w:rPr>
      </w:pPr>
    </w:p>
    <w:p w:rsidR="00012DBC" w:rsidRPr="00695790" w:rsidRDefault="00012DBC" w:rsidP="00A76F8A">
      <w:pPr>
        <w:numPr>
          <w:ilvl w:val="4"/>
          <w:numId w:val="25"/>
        </w:numPr>
        <w:tabs>
          <w:tab w:val="left" w:pos="2470"/>
        </w:tabs>
        <w:spacing w:line="360" w:lineRule="auto"/>
        <w:ind w:right="1440" w:hanging="1520"/>
        <w:rPr>
          <w:sz w:val="26"/>
          <w:szCs w:val="26"/>
        </w:rPr>
      </w:pPr>
      <w:r w:rsidRPr="00695790">
        <w:rPr>
          <w:sz w:val="26"/>
          <w:szCs w:val="26"/>
        </w:rPr>
        <w:t>Clarendon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6"/>
        <w:gridCol w:w="2371"/>
        <w:gridCol w:w="2448"/>
        <w:gridCol w:w="2371"/>
      </w:tblGrid>
      <w:tr w:rsidR="00012DBC" w:rsidRPr="00695790" w:rsidTr="00695790">
        <w:tc>
          <w:tcPr>
            <w:tcW w:w="8588" w:type="dxa"/>
            <w:gridSpan w:val="4"/>
            <w:tcBorders>
              <w:bottom w:val="nil"/>
            </w:tcBorders>
          </w:tcPr>
          <w:p w:rsidR="00012DBC" w:rsidRPr="00695790" w:rsidRDefault="00012DBC" w:rsidP="00A76F8A">
            <w:pPr>
              <w:ind w:right="1440"/>
              <w:jc w:val="center"/>
              <w:rPr>
                <w:sz w:val="26"/>
                <w:szCs w:val="26"/>
              </w:rPr>
            </w:pPr>
            <w:r w:rsidRPr="00695790">
              <w:rPr>
                <w:sz w:val="26"/>
                <w:szCs w:val="26"/>
              </w:rPr>
              <w:t xml:space="preserve">         Customer Charge/month</w:t>
            </w:r>
          </w:p>
        </w:tc>
      </w:tr>
      <w:tr w:rsidR="00012DBC" w:rsidRPr="00695790" w:rsidTr="00695790">
        <w:tc>
          <w:tcPr>
            <w:tcW w:w="2396" w:type="dxa"/>
            <w:tcBorders>
              <w:top w:val="single" w:sz="4" w:space="0" w:color="auto"/>
            </w:tcBorders>
          </w:tcPr>
          <w:p w:rsidR="00012DBC" w:rsidRPr="00695790" w:rsidRDefault="00012DBC" w:rsidP="00A76F8A">
            <w:pPr>
              <w:ind w:right="120"/>
              <w:rPr>
                <w:sz w:val="26"/>
                <w:szCs w:val="26"/>
              </w:rPr>
            </w:pPr>
            <w:r w:rsidRPr="00695790">
              <w:rPr>
                <w:sz w:val="26"/>
                <w:szCs w:val="26"/>
              </w:rPr>
              <w:t>5/8” meter</w:t>
            </w:r>
          </w:p>
        </w:tc>
        <w:tc>
          <w:tcPr>
            <w:tcW w:w="1340" w:type="dxa"/>
          </w:tcPr>
          <w:p w:rsidR="00012DBC" w:rsidRPr="00695790" w:rsidRDefault="00012DBC" w:rsidP="00A76F8A">
            <w:pPr>
              <w:ind w:right="175"/>
              <w:rPr>
                <w:sz w:val="26"/>
                <w:szCs w:val="26"/>
              </w:rPr>
            </w:pPr>
            <w:r w:rsidRPr="00695790">
              <w:rPr>
                <w:sz w:val="26"/>
                <w:szCs w:val="26"/>
              </w:rPr>
              <w:t>¾” meter</w:t>
            </w:r>
          </w:p>
        </w:tc>
        <w:tc>
          <w:tcPr>
            <w:tcW w:w="2649" w:type="dxa"/>
          </w:tcPr>
          <w:p w:rsidR="00012DBC" w:rsidRPr="00695790" w:rsidRDefault="00012DBC" w:rsidP="00A76F8A">
            <w:pPr>
              <w:tabs>
                <w:tab w:val="left" w:pos="1504"/>
              </w:tabs>
              <w:ind w:right="834"/>
              <w:rPr>
                <w:sz w:val="26"/>
                <w:szCs w:val="26"/>
              </w:rPr>
            </w:pPr>
            <w:r w:rsidRPr="00695790">
              <w:rPr>
                <w:sz w:val="26"/>
                <w:szCs w:val="26"/>
              </w:rPr>
              <w:t>1”/1.5”/2” meters</w:t>
            </w:r>
          </w:p>
        </w:tc>
        <w:tc>
          <w:tcPr>
            <w:tcW w:w="2203" w:type="dxa"/>
          </w:tcPr>
          <w:p w:rsidR="00012DBC" w:rsidRPr="00695790" w:rsidRDefault="00012DBC" w:rsidP="00A76F8A">
            <w:pPr>
              <w:tabs>
                <w:tab w:val="left" w:pos="660"/>
                <w:tab w:val="left" w:pos="1290"/>
              </w:tabs>
              <w:ind w:right="810"/>
              <w:rPr>
                <w:sz w:val="26"/>
                <w:szCs w:val="26"/>
              </w:rPr>
            </w:pPr>
            <w:r w:rsidRPr="00695790">
              <w:rPr>
                <w:sz w:val="26"/>
                <w:szCs w:val="26"/>
              </w:rPr>
              <w:t>3” meter</w:t>
            </w:r>
          </w:p>
        </w:tc>
      </w:tr>
      <w:tr w:rsidR="00012DBC" w:rsidRPr="00695790" w:rsidTr="00695790">
        <w:tc>
          <w:tcPr>
            <w:tcW w:w="2396" w:type="dxa"/>
          </w:tcPr>
          <w:p w:rsidR="00012DBC" w:rsidRPr="00695790" w:rsidRDefault="00012DBC" w:rsidP="00A76F8A">
            <w:pPr>
              <w:ind w:right="1440"/>
              <w:rPr>
                <w:sz w:val="26"/>
                <w:szCs w:val="26"/>
              </w:rPr>
            </w:pPr>
            <w:r w:rsidRPr="00695790">
              <w:rPr>
                <w:sz w:val="26"/>
                <w:szCs w:val="26"/>
              </w:rPr>
              <w:t>$15.00</w:t>
            </w:r>
          </w:p>
        </w:tc>
        <w:tc>
          <w:tcPr>
            <w:tcW w:w="1340" w:type="dxa"/>
          </w:tcPr>
          <w:p w:rsidR="00012DBC" w:rsidRPr="00695790" w:rsidRDefault="00012DBC" w:rsidP="00A76F8A">
            <w:pPr>
              <w:ind w:right="1440"/>
              <w:rPr>
                <w:sz w:val="26"/>
                <w:szCs w:val="26"/>
              </w:rPr>
            </w:pPr>
            <w:r w:rsidRPr="00695790">
              <w:rPr>
                <w:sz w:val="26"/>
                <w:szCs w:val="26"/>
              </w:rPr>
              <w:t>$20.00</w:t>
            </w:r>
          </w:p>
        </w:tc>
        <w:tc>
          <w:tcPr>
            <w:tcW w:w="2649" w:type="dxa"/>
          </w:tcPr>
          <w:p w:rsidR="00012DBC" w:rsidRPr="00695790" w:rsidRDefault="00012DBC" w:rsidP="00A76F8A">
            <w:pPr>
              <w:ind w:right="45"/>
              <w:rPr>
                <w:sz w:val="26"/>
                <w:szCs w:val="26"/>
              </w:rPr>
            </w:pPr>
            <w:r w:rsidRPr="00695790">
              <w:rPr>
                <w:sz w:val="26"/>
                <w:szCs w:val="26"/>
              </w:rPr>
              <w:t>$25.00</w:t>
            </w:r>
          </w:p>
        </w:tc>
        <w:tc>
          <w:tcPr>
            <w:tcW w:w="2203" w:type="dxa"/>
          </w:tcPr>
          <w:p w:rsidR="00012DBC" w:rsidRPr="00695790" w:rsidRDefault="00012DBC" w:rsidP="00A76F8A">
            <w:pPr>
              <w:ind w:right="1440"/>
              <w:rPr>
                <w:sz w:val="26"/>
                <w:szCs w:val="26"/>
              </w:rPr>
            </w:pPr>
            <w:r w:rsidRPr="00695790">
              <w:rPr>
                <w:sz w:val="26"/>
                <w:szCs w:val="26"/>
              </w:rPr>
              <w:t>$40.00</w:t>
            </w:r>
          </w:p>
        </w:tc>
      </w:tr>
    </w:tbl>
    <w:p w:rsidR="00012DBC" w:rsidRDefault="00012DBC" w:rsidP="00A76F8A">
      <w:pPr>
        <w:ind w:left="3240" w:right="1440"/>
        <w:rPr>
          <w:sz w:val="26"/>
          <w:szCs w:val="26"/>
        </w:rPr>
      </w:pPr>
    </w:p>
    <w:p w:rsidR="00A54508" w:rsidRPr="00695790" w:rsidRDefault="00A54508" w:rsidP="00A76F8A">
      <w:pPr>
        <w:ind w:left="3240" w:right="1440"/>
        <w:rPr>
          <w:sz w:val="26"/>
          <w:szCs w:val="26"/>
        </w:rPr>
      </w:pPr>
    </w:p>
    <w:p w:rsidR="00012DBC" w:rsidRPr="00695790" w:rsidRDefault="00012DBC" w:rsidP="00A76F8A">
      <w:pPr>
        <w:ind w:left="1426" w:right="1440"/>
        <w:rPr>
          <w:sz w:val="26"/>
          <w:szCs w:val="26"/>
        </w:rPr>
      </w:pPr>
      <w:r w:rsidRPr="00695790">
        <w:rPr>
          <w:sz w:val="26"/>
          <w:szCs w:val="26"/>
        </w:rPr>
        <w:t>The Residential, Commercial and Industrial class usage rates are $0.5345 per hundred gallons for all usage.</w:t>
      </w:r>
    </w:p>
    <w:p w:rsidR="00012DBC" w:rsidRPr="00695790" w:rsidRDefault="00012DBC" w:rsidP="00A76F8A">
      <w:pPr>
        <w:spacing w:line="360" w:lineRule="auto"/>
        <w:ind w:left="1430" w:right="1440"/>
        <w:rPr>
          <w:sz w:val="26"/>
          <w:szCs w:val="26"/>
        </w:rPr>
      </w:pPr>
    </w:p>
    <w:p w:rsidR="00012DBC" w:rsidRPr="00695790" w:rsidRDefault="00012DBC" w:rsidP="00A76F8A">
      <w:pPr>
        <w:numPr>
          <w:ilvl w:val="4"/>
          <w:numId w:val="25"/>
        </w:numPr>
        <w:tabs>
          <w:tab w:val="clear" w:pos="3600"/>
          <w:tab w:val="num" w:pos="2470"/>
        </w:tabs>
        <w:spacing w:line="360" w:lineRule="auto"/>
        <w:ind w:right="1440" w:hanging="1520"/>
        <w:rPr>
          <w:sz w:val="26"/>
          <w:szCs w:val="26"/>
        </w:rPr>
      </w:pPr>
      <w:r w:rsidRPr="00695790">
        <w:rPr>
          <w:sz w:val="26"/>
          <w:szCs w:val="26"/>
        </w:rPr>
        <w:t>Emlenton</w:t>
      </w:r>
    </w:p>
    <w:p w:rsidR="00012DBC" w:rsidRPr="00695790" w:rsidRDefault="00012DBC" w:rsidP="00A76F8A">
      <w:pPr>
        <w:spacing w:line="360" w:lineRule="auto"/>
        <w:ind w:left="1430" w:right="1440"/>
        <w:rPr>
          <w:sz w:val="26"/>
          <w:szCs w:val="26"/>
        </w:rPr>
      </w:pPr>
      <w:r w:rsidRPr="00695790">
        <w:rPr>
          <w:sz w:val="26"/>
          <w:szCs w:val="26"/>
        </w:rPr>
        <w:t xml:space="preserve">Same rates as apply for Applewood and Marienville. </w:t>
      </w:r>
    </w:p>
    <w:p w:rsidR="00012DBC" w:rsidRPr="00695790" w:rsidRDefault="00012DBC" w:rsidP="00A76F8A">
      <w:pPr>
        <w:spacing w:line="360" w:lineRule="auto"/>
        <w:ind w:left="1430" w:right="1440"/>
        <w:rPr>
          <w:sz w:val="26"/>
          <w:szCs w:val="26"/>
        </w:rPr>
      </w:pPr>
    </w:p>
    <w:p w:rsidR="00012DBC" w:rsidRPr="00695790" w:rsidRDefault="00012DBC" w:rsidP="00A76F8A">
      <w:pPr>
        <w:numPr>
          <w:ilvl w:val="4"/>
          <w:numId w:val="25"/>
        </w:numPr>
        <w:tabs>
          <w:tab w:val="clear" w:pos="3600"/>
          <w:tab w:val="num" w:pos="2470"/>
        </w:tabs>
        <w:spacing w:line="360" w:lineRule="auto"/>
        <w:ind w:right="1440" w:hanging="1520"/>
        <w:rPr>
          <w:sz w:val="26"/>
          <w:szCs w:val="26"/>
        </w:rPr>
      </w:pPr>
      <w:r w:rsidRPr="00695790">
        <w:rPr>
          <w:sz w:val="26"/>
          <w:szCs w:val="26"/>
        </w:rPr>
        <w:t>Garbush</w:t>
      </w:r>
    </w:p>
    <w:p w:rsidR="00012DBC" w:rsidRDefault="00012DBC" w:rsidP="00A76F8A">
      <w:pPr>
        <w:spacing w:line="360" w:lineRule="auto"/>
        <w:ind w:left="1430" w:right="1440"/>
        <w:rPr>
          <w:sz w:val="26"/>
          <w:szCs w:val="26"/>
        </w:rPr>
      </w:pPr>
      <w:r w:rsidRPr="00695790">
        <w:rPr>
          <w:sz w:val="26"/>
          <w:szCs w:val="26"/>
        </w:rPr>
        <w:t>Same rates as apply for Main Division</w:t>
      </w:r>
      <w:r w:rsidR="001C3217">
        <w:rPr>
          <w:sz w:val="26"/>
          <w:szCs w:val="26"/>
        </w:rPr>
        <w:t>.</w:t>
      </w:r>
    </w:p>
    <w:p w:rsidR="001C3217" w:rsidRPr="00695790" w:rsidRDefault="001C3217" w:rsidP="00A76F8A">
      <w:pPr>
        <w:spacing w:line="360" w:lineRule="auto"/>
        <w:ind w:left="1430" w:right="1440"/>
        <w:rPr>
          <w:sz w:val="26"/>
          <w:szCs w:val="26"/>
        </w:rPr>
      </w:pPr>
    </w:p>
    <w:p w:rsidR="00012DBC" w:rsidRPr="00695790" w:rsidRDefault="00012DBC" w:rsidP="00A76F8A">
      <w:pPr>
        <w:numPr>
          <w:ilvl w:val="4"/>
          <w:numId w:val="25"/>
        </w:numPr>
        <w:tabs>
          <w:tab w:val="clear" w:pos="3600"/>
          <w:tab w:val="num" w:pos="2470"/>
        </w:tabs>
        <w:spacing w:line="360" w:lineRule="auto"/>
        <w:ind w:right="1440" w:hanging="1520"/>
        <w:rPr>
          <w:sz w:val="26"/>
          <w:szCs w:val="26"/>
        </w:rPr>
      </w:pPr>
      <w:r w:rsidRPr="00695790">
        <w:rPr>
          <w:sz w:val="26"/>
          <w:szCs w:val="26"/>
        </w:rPr>
        <w:t>Honesdale</w:t>
      </w:r>
    </w:p>
    <w:p w:rsidR="003D0A23" w:rsidRDefault="00012DBC" w:rsidP="00A76F8A">
      <w:pPr>
        <w:ind w:left="1426" w:right="1440"/>
        <w:rPr>
          <w:sz w:val="26"/>
          <w:szCs w:val="26"/>
        </w:rPr>
      </w:pPr>
      <w:r w:rsidRPr="00695790">
        <w:rPr>
          <w:sz w:val="26"/>
          <w:szCs w:val="26"/>
        </w:rPr>
        <w:t>For the Residential class, 5/8” meters minimum charge of $60.00 per quarter and a water allowance of 3,000 gallons per quarter.  All other usage rates for the Residential class are:</w:t>
      </w:r>
    </w:p>
    <w:p w:rsidR="003D0A23" w:rsidRDefault="003D0A23" w:rsidP="00A76F8A">
      <w:pPr>
        <w:rPr>
          <w:sz w:val="26"/>
          <w:szCs w:val="2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032"/>
      </w:tblGrid>
      <w:tr w:rsidR="00012DBC" w:rsidRPr="00695790" w:rsidTr="00695790">
        <w:tc>
          <w:tcPr>
            <w:tcW w:w="4788" w:type="dxa"/>
          </w:tcPr>
          <w:p w:rsidR="00012DBC" w:rsidRPr="00695790" w:rsidRDefault="00012DBC" w:rsidP="00A76F8A">
            <w:pPr>
              <w:ind w:right="1440"/>
              <w:rPr>
                <w:sz w:val="26"/>
                <w:szCs w:val="26"/>
              </w:rPr>
            </w:pPr>
            <w:r w:rsidRPr="00695790">
              <w:rPr>
                <w:sz w:val="26"/>
                <w:szCs w:val="26"/>
              </w:rPr>
              <w:t>Usage/quarter</w:t>
            </w:r>
          </w:p>
        </w:tc>
        <w:tc>
          <w:tcPr>
            <w:tcW w:w="4032" w:type="dxa"/>
          </w:tcPr>
          <w:p w:rsidR="00012DBC" w:rsidRPr="00695790" w:rsidRDefault="00012DBC" w:rsidP="00A76F8A">
            <w:pPr>
              <w:ind w:right="1440"/>
              <w:rPr>
                <w:sz w:val="26"/>
                <w:szCs w:val="26"/>
              </w:rPr>
            </w:pPr>
            <w:r w:rsidRPr="00695790">
              <w:rPr>
                <w:sz w:val="26"/>
                <w:szCs w:val="26"/>
              </w:rPr>
              <w:t>Rate</w:t>
            </w:r>
          </w:p>
        </w:tc>
      </w:tr>
      <w:tr w:rsidR="00012DBC" w:rsidRPr="00695790" w:rsidTr="00695790">
        <w:tc>
          <w:tcPr>
            <w:tcW w:w="4788" w:type="dxa"/>
          </w:tcPr>
          <w:p w:rsidR="00012DBC" w:rsidRPr="00695790" w:rsidRDefault="00012DBC" w:rsidP="00A76F8A">
            <w:pPr>
              <w:ind w:right="282"/>
              <w:rPr>
                <w:sz w:val="26"/>
                <w:szCs w:val="26"/>
              </w:rPr>
            </w:pPr>
            <w:r w:rsidRPr="00695790">
              <w:rPr>
                <w:sz w:val="26"/>
                <w:szCs w:val="26"/>
              </w:rPr>
              <w:t>More than 3,000 up to 30,000 gallons</w:t>
            </w:r>
          </w:p>
        </w:tc>
        <w:tc>
          <w:tcPr>
            <w:tcW w:w="4032" w:type="dxa"/>
          </w:tcPr>
          <w:p w:rsidR="00012DBC" w:rsidRPr="00695790" w:rsidRDefault="00012DBC" w:rsidP="00A76F8A">
            <w:pPr>
              <w:ind w:right="1440"/>
              <w:rPr>
                <w:sz w:val="26"/>
                <w:szCs w:val="26"/>
              </w:rPr>
            </w:pPr>
            <w:r w:rsidRPr="00695790">
              <w:rPr>
                <w:sz w:val="26"/>
                <w:szCs w:val="26"/>
              </w:rPr>
              <w:t>$0.5500 per 100 gallons</w:t>
            </w:r>
          </w:p>
        </w:tc>
      </w:tr>
      <w:tr w:rsidR="00012DBC" w:rsidRPr="00695790" w:rsidTr="00695790">
        <w:tc>
          <w:tcPr>
            <w:tcW w:w="4788" w:type="dxa"/>
          </w:tcPr>
          <w:p w:rsidR="00012DBC" w:rsidRPr="00695790" w:rsidRDefault="00012DBC" w:rsidP="00A76F8A">
            <w:pPr>
              <w:ind w:right="1440"/>
              <w:rPr>
                <w:sz w:val="26"/>
                <w:szCs w:val="26"/>
              </w:rPr>
            </w:pPr>
            <w:r w:rsidRPr="00695790">
              <w:rPr>
                <w:sz w:val="26"/>
                <w:szCs w:val="26"/>
              </w:rPr>
              <w:t>Next 70,000 gallons</w:t>
            </w:r>
          </w:p>
        </w:tc>
        <w:tc>
          <w:tcPr>
            <w:tcW w:w="4032" w:type="dxa"/>
          </w:tcPr>
          <w:p w:rsidR="00012DBC" w:rsidRPr="00695790" w:rsidRDefault="00012DBC" w:rsidP="00A76F8A">
            <w:pPr>
              <w:ind w:right="1440"/>
              <w:rPr>
                <w:sz w:val="26"/>
                <w:szCs w:val="26"/>
              </w:rPr>
            </w:pPr>
            <w:r w:rsidRPr="00695790">
              <w:rPr>
                <w:sz w:val="26"/>
                <w:szCs w:val="26"/>
              </w:rPr>
              <w:t>$0.4500 per 100 gallons</w:t>
            </w:r>
          </w:p>
        </w:tc>
      </w:tr>
      <w:tr w:rsidR="00012DBC" w:rsidRPr="00695790" w:rsidTr="00695790">
        <w:tc>
          <w:tcPr>
            <w:tcW w:w="4788" w:type="dxa"/>
          </w:tcPr>
          <w:p w:rsidR="00012DBC" w:rsidRPr="00695790" w:rsidRDefault="00012DBC" w:rsidP="00A76F8A">
            <w:pPr>
              <w:ind w:right="1440"/>
              <w:rPr>
                <w:b/>
                <w:sz w:val="26"/>
                <w:szCs w:val="26"/>
              </w:rPr>
            </w:pPr>
            <w:r w:rsidRPr="00695790">
              <w:rPr>
                <w:sz w:val="26"/>
                <w:szCs w:val="26"/>
              </w:rPr>
              <w:t xml:space="preserve">All usage over </w:t>
            </w:r>
            <w:r w:rsidRPr="00695790">
              <w:rPr>
                <w:b/>
                <w:sz w:val="26"/>
                <w:szCs w:val="26"/>
              </w:rPr>
              <w:t xml:space="preserve">100,000 </w:t>
            </w:r>
            <w:r w:rsidRPr="00695790">
              <w:rPr>
                <w:sz w:val="26"/>
                <w:szCs w:val="26"/>
              </w:rPr>
              <w:t>gallons</w:t>
            </w:r>
            <w:r w:rsidRPr="00AB23A6">
              <w:rPr>
                <w:rStyle w:val="FootnoteReference"/>
                <w:sz w:val="20"/>
                <w:szCs w:val="26"/>
              </w:rPr>
              <w:footnoteReference w:id="10"/>
            </w:r>
          </w:p>
        </w:tc>
        <w:tc>
          <w:tcPr>
            <w:tcW w:w="4032" w:type="dxa"/>
          </w:tcPr>
          <w:p w:rsidR="00012DBC" w:rsidRPr="00695790" w:rsidRDefault="00012DBC" w:rsidP="00A76F8A">
            <w:pPr>
              <w:ind w:right="1440"/>
              <w:rPr>
                <w:sz w:val="26"/>
                <w:szCs w:val="26"/>
              </w:rPr>
            </w:pPr>
            <w:r w:rsidRPr="00695790">
              <w:rPr>
                <w:sz w:val="26"/>
                <w:szCs w:val="26"/>
              </w:rPr>
              <w:t>$0.3000 per 100 gallons</w:t>
            </w:r>
          </w:p>
        </w:tc>
      </w:tr>
    </w:tbl>
    <w:p w:rsidR="00012DBC" w:rsidRDefault="00012DBC" w:rsidP="00A76F8A">
      <w:pPr>
        <w:spacing w:line="360" w:lineRule="auto"/>
        <w:ind w:left="1430" w:right="1440"/>
        <w:rPr>
          <w:sz w:val="26"/>
          <w:szCs w:val="26"/>
        </w:rPr>
      </w:pPr>
    </w:p>
    <w:p w:rsidR="00E855F5" w:rsidRPr="00695790" w:rsidRDefault="00E855F5" w:rsidP="00A76F8A">
      <w:pPr>
        <w:spacing w:line="360" w:lineRule="auto"/>
        <w:ind w:left="1430" w:right="1440"/>
        <w:rPr>
          <w:sz w:val="26"/>
          <w:szCs w:val="26"/>
        </w:rPr>
      </w:pPr>
    </w:p>
    <w:p w:rsidR="00012DBC" w:rsidRPr="00695790" w:rsidRDefault="00012DBC" w:rsidP="00A76F8A">
      <w:pPr>
        <w:ind w:left="1426" w:right="1440"/>
        <w:rPr>
          <w:sz w:val="26"/>
          <w:szCs w:val="26"/>
        </w:rPr>
      </w:pPr>
      <w:r w:rsidRPr="00695790">
        <w:rPr>
          <w:sz w:val="26"/>
          <w:szCs w:val="26"/>
        </w:rPr>
        <w:lastRenderedPageBreak/>
        <w:t>For all other meter sizes and other classes the rates will be as proposed in Appendices A and B of the Joint Settlement Petition.</w:t>
      </w:r>
    </w:p>
    <w:p w:rsidR="00012DBC" w:rsidRPr="00695790" w:rsidRDefault="00012DBC" w:rsidP="00A76F8A">
      <w:pPr>
        <w:spacing w:line="360" w:lineRule="auto"/>
        <w:ind w:left="1430" w:right="1440"/>
        <w:rPr>
          <w:sz w:val="26"/>
          <w:szCs w:val="26"/>
        </w:rPr>
      </w:pPr>
    </w:p>
    <w:p w:rsidR="00012DBC" w:rsidRDefault="00012DBC" w:rsidP="00A76F8A">
      <w:pPr>
        <w:numPr>
          <w:ilvl w:val="4"/>
          <w:numId w:val="25"/>
        </w:numPr>
        <w:tabs>
          <w:tab w:val="clear" w:pos="3600"/>
          <w:tab w:val="num" w:pos="2470"/>
        </w:tabs>
        <w:spacing w:line="360" w:lineRule="auto"/>
        <w:ind w:right="1440" w:hanging="1520"/>
        <w:rPr>
          <w:sz w:val="26"/>
          <w:szCs w:val="26"/>
        </w:rPr>
      </w:pPr>
      <w:r w:rsidRPr="00695790">
        <w:rPr>
          <w:sz w:val="26"/>
          <w:szCs w:val="26"/>
        </w:rPr>
        <w:t>Kratzerville</w:t>
      </w:r>
    </w:p>
    <w:p w:rsidR="00E855F5" w:rsidRPr="00695790" w:rsidRDefault="00E855F5" w:rsidP="00A76F8A">
      <w:pPr>
        <w:spacing w:line="360" w:lineRule="auto"/>
        <w:ind w:left="3600" w:right="1440"/>
        <w:rPr>
          <w:sz w:val="26"/>
          <w:szCs w:val="26"/>
        </w:rPr>
      </w:pPr>
    </w:p>
    <w:p w:rsidR="00012DBC" w:rsidRPr="00695790" w:rsidRDefault="00012DBC" w:rsidP="00A76F8A">
      <w:pPr>
        <w:ind w:left="1426" w:right="1440"/>
        <w:rPr>
          <w:sz w:val="26"/>
          <w:szCs w:val="26"/>
        </w:rPr>
      </w:pPr>
      <w:r w:rsidRPr="00695790">
        <w:rPr>
          <w:sz w:val="26"/>
          <w:szCs w:val="26"/>
        </w:rPr>
        <w:t xml:space="preserve">Customer charge for 5/8” meters is $15.00 per month.  The usage charge for the Residential and Commercial classes is </w:t>
      </w:r>
      <w:r w:rsidR="00784F17">
        <w:rPr>
          <w:sz w:val="26"/>
          <w:szCs w:val="26"/>
        </w:rPr>
        <w:t>[$]</w:t>
      </w:r>
      <w:r w:rsidRPr="00695790">
        <w:rPr>
          <w:sz w:val="26"/>
          <w:szCs w:val="26"/>
        </w:rPr>
        <w:t xml:space="preserve">0.5345 per 100 gallons. </w:t>
      </w:r>
    </w:p>
    <w:p w:rsidR="00012DBC" w:rsidRPr="00695790" w:rsidRDefault="00012DBC" w:rsidP="00A76F8A">
      <w:pPr>
        <w:spacing w:line="360" w:lineRule="auto"/>
        <w:ind w:left="1430" w:right="1440"/>
        <w:rPr>
          <w:sz w:val="26"/>
          <w:szCs w:val="26"/>
        </w:rPr>
      </w:pPr>
    </w:p>
    <w:p w:rsidR="00012DBC" w:rsidRDefault="00012DBC" w:rsidP="00A76F8A">
      <w:pPr>
        <w:numPr>
          <w:ilvl w:val="4"/>
          <w:numId w:val="25"/>
        </w:numPr>
        <w:tabs>
          <w:tab w:val="clear" w:pos="3600"/>
          <w:tab w:val="num" w:pos="2470"/>
        </w:tabs>
        <w:spacing w:line="360" w:lineRule="auto"/>
        <w:ind w:right="1440" w:hanging="1520"/>
        <w:rPr>
          <w:sz w:val="26"/>
          <w:szCs w:val="26"/>
        </w:rPr>
      </w:pPr>
      <w:r w:rsidRPr="00695790">
        <w:rPr>
          <w:sz w:val="26"/>
          <w:szCs w:val="26"/>
        </w:rPr>
        <w:t>Stanton and Wapwallopen</w:t>
      </w:r>
    </w:p>
    <w:p w:rsidR="00784F17" w:rsidRDefault="00784F17" w:rsidP="00A76F8A">
      <w:pPr>
        <w:spacing w:line="360" w:lineRule="auto"/>
        <w:ind w:left="1430" w:right="1440"/>
        <w:rPr>
          <w:sz w:val="26"/>
          <w:szCs w:val="26"/>
        </w:rPr>
      </w:pPr>
    </w:p>
    <w:p w:rsidR="00012DBC" w:rsidRPr="00695790" w:rsidRDefault="00012DBC" w:rsidP="00A76F8A">
      <w:pPr>
        <w:spacing w:line="360" w:lineRule="auto"/>
        <w:ind w:left="1430" w:right="1440"/>
        <w:rPr>
          <w:sz w:val="26"/>
          <w:szCs w:val="26"/>
        </w:rPr>
      </w:pPr>
      <w:r w:rsidRPr="00695790">
        <w:rPr>
          <w:sz w:val="26"/>
          <w:szCs w:val="26"/>
        </w:rPr>
        <w:t>Same rates as apply for Main Division.</w:t>
      </w:r>
    </w:p>
    <w:p w:rsidR="00012DBC" w:rsidRPr="00695790" w:rsidRDefault="00012DBC" w:rsidP="00A76F8A">
      <w:pPr>
        <w:spacing w:line="360" w:lineRule="auto"/>
        <w:ind w:left="1430" w:right="1440"/>
        <w:rPr>
          <w:sz w:val="26"/>
          <w:szCs w:val="26"/>
        </w:rPr>
      </w:pPr>
    </w:p>
    <w:p w:rsidR="00012DBC" w:rsidRDefault="00012DBC" w:rsidP="00A76F8A">
      <w:pPr>
        <w:numPr>
          <w:ilvl w:val="4"/>
          <w:numId w:val="25"/>
        </w:numPr>
        <w:tabs>
          <w:tab w:val="clear" w:pos="3600"/>
          <w:tab w:val="num" w:pos="2470"/>
        </w:tabs>
        <w:spacing w:line="360" w:lineRule="auto"/>
        <w:ind w:right="1440" w:hanging="1520"/>
        <w:rPr>
          <w:sz w:val="26"/>
          <w:szCs w:val="26"/>
        </w:rPr>
      </w:pPr>
      <w:r w:rsidRPr="00695790">
        <w:rPr>
          <w:sz w:val="26"/>
          <w:szCs w:val="26"/>
        </w:rPr>
        <w:t>Bensalem</w:t>
      </w:r>
    </w:p>
    <w:p w:rsidR="00784F17" w:rsidRDefault="00784F17" w:rsidP="00A76F8A">
      <w:pPr>
        <w:ind w:left="1426" w:right="1440"/>
        <w:rPr>
          <w:sz w:val="26"/>
          <w:szCs w:val="26"/>
        </w:rPr>
      </w:pPr>
    </w:p>
    <w:p w:rsidR="003D0A23" w:rsidRDefault="00012DBC" w:rsidP="00A76F8A">
      <w:pPr>
        <w:ind w:left="1426" w:right="1440"/>
        <w:rPr>
          <w:sz w:val="26"/>
          <w:szCs w:val="26"/>
        </w:rPr>
      </w:pPr>
      <w:r w:rsidRPr="00695790">
        <w:rPr>
          <w:sz w:val="26"/>
          <w:szCs w:val="26"/>
        </w:rPr>
        <w:t>Same customer charges as apply for Main Division.  The Residential class usage rate is $0.710 per 100 gallons for all usage.  The first and second blocks of the Commercial and Industrial usage above 3,333 gallons per month are the same as the corresponding blocks for the Main Division in the Joint Settlement Petition.</w:t>
      </w:r>
    </w:p>
    <w:p w:rsidR="003D0A23" w:rsidRDefault="003D0A23" w:rsidP="00A76F8A">
      <w:pPr>
        <w:rPr>
          <w:sz w:val="26"/>
          <w:szCs w:val="26"/>
        </w:rPr>
      </w:pPr>
    </w:p>
    <w:p w:rsidR="00012DBC" w:rsidRDefault="00012DBC" w:rsidP="00A76F8A">
      <w:pPr>
        <w:numPr>
          <w:ilvl w:val="4"/>
          <w:numId w:val="25"/>
        </w:numPr>
        <w:tabs>
          <w:tab w:val="clear" w:pos="3600"/>
          <w:tab w:val="num" w:pos="2470"/>
        </w:tabs>
        <w:spacing w:line="360" w:lineRule="auto"/>
        <w:ind w:right="1440" w:hanging="1520"/>
        <w:rPr>
          <w:sz w:val="26"/>
          <w:szCs w:val="26"/>
        </w:rPr>
      </w:pPr>
      <w:r w:rsidRPr="00695790">
        <w:rPr>
          <w:sz w:val="26"/>
          <w:szCs w:val="26"/>
        </w:rPr>
        <w:t>Chalfont</w:t>
      </w:r>
    </w:p>
    <w:p w:rsidR="00AB23A6" w:rsidRPr="00695790" w:rsidRDefault="00AB23A6" w:rsidP="00A76F8A">
      <w:pPr>
        <w:spacing w:line="360" w:lineRule="auto"/>
        <w:ind w:left="3600" w:right="1440"/>
        <w:rPr>
          <w:sz w:val="26"/>
          <w:szCs w:val="26"/>
        </w:rPr>
      </w:pPr>
    </w:p>
    <w:p w:rsidR="00012DBC" w:rsidRPr="00695790" w:rsidRDefault="00012DBC" w:rsidP="00A76F8A">
      <w:pPr>
        <w:ind w:left="1426" w:right="1440"/>
        <w:rPr>
          <w:sz w:val="26"/>
          <w:szCs w:val="26"/>
        </w:rPr>
      </w:pPr>
      <w:r w:rsidRPr="00695790">
        <w:rPr>
          <w:sz w:val="26"/>
          <w:szCs w:val="26"/>
        </w:rPr>
        <w:t>Rates are increased by 7.5% which reflects the roll-in of the Distribut</w:t>
      </w:r>
      <w:r w:rsidR="00AB23A6">
        <w:rPr>
          <w:sz w:val="26"/>
          <w:szCs w:val="26"/>
        </w:rPr>
        <w:t>ion System Improvement Charge (DISC</w:t>
      </w:r>
      <w:r w:rsidRPr="00695790">
        <w:rPr>
          <w:sz w:val="26"/>
          <w:szCs w:val="26"/>
        </w:rPr>
        <w:t>) of Aqua.  In subsequent water base rate filings Aqua will propose rates designed to move Chalfont rates to existing Main Division rates over the next two base rate cases.</w:t>
      </w:r>
    </w:p>
    <w:p w:rsidR="00012DBC" w:rsidRPr="00695790" w:rsidRDefault="00012DBC" w:rsidP="00A76F8A">
      <w:pPr>
        <w:spacing w:line="360" w:lineRule="auto"/>
        <w:ind w:left="1430" w:right="1440"/>
        <w:rPr>
          <w:sz w:val="26"/>
          <w:szCs w:val="26"/>
        </w:rPr>
      </w:pPr>
    </w:p>
    <w:p w:rsidR="00012DBC" w:rsidRDefault="00AB23A6" w:rsidP="00A76F8A">
      <w:pPr>
        <w:numPr>
          <w:ilvl w:val="4"/>
          <w:numId w:val="25"/>
        </w:numPr>
        <w:tabs>
          <w:tab w:val="left" w:pos="2470"/>
        </w:tabs>
        <w:spacing w:line="360" w:lineRule="auto"/>
        <w:ind w:right="1440" w:hanging="1520"/>
        <w:rPr>
          <w:sz w:val="26"/>
          <w:szCs w:val="26"/>
        </w:rPr>
      </w:pPr>
      <w:r>
        <w:rPr>
          <w:sz w:val="26"/>
          <w:szCs w:val="26"/>
        </w:rPr>
        <w:t>White Haven</w:t>
      </w:r>
    </w:p>
    <w:p w:rsidR="00AB23A6" w:rsidRPr="00695790" w:rsidRDefault="00AB23A6" w:rsidP="00A76F8A">
      <w:pPr>
        <w:tabs>
          <w:tab w:val="left" w:pos="2470"/>
        </w:tabs>
        <w:spacing w:line="360" w:lineRule="auto"/>
        <w:ind w:left="3600" w:right="1440"/>
        <w:rPr>
          <w:sz w:val="26"/>
          <w:szCs w:val="26"/>
        </w:rPr>
      </w:pPr>
    </w:p>
    <w:p w:rsidR="00012DBC" w:rsidRPr="00695790" w:rsidRDefault="00012DBC" w:rsidP="00A76F8A">
      <w:pPr>
        <w:ind w:left="1426" w:right="1440"/>
        <w:rPr>
          <w:sz w:val="26"/>
          <w:szCs w:val="26"/>
        </w:rPr>
      </w:pPr>
      <w:r w:rsidRPr="00695790">
        <w:rPr>
          <w:sz w:val="26"/>
          <w:szCs w:val="26"/>
        </w:rPr>
        <w:t xml:space="preserve">Rates are increased by 7.5% which reflects the roll-in of the DISC of Aqua.  In subsequent water base rate filings Aqua will propose rates designed to move a White Haven </w:t>
      </w:r>
      <w:r w:rsidRPr="00695790">
        <w:rPr>
          <w:sz w:val="26"/>
          <w:szCs w:val="26"/>
        </w:rPr>
        <w:lastRenderedPageBreak/>
        <w:t>residential customer with average consumption to pay approximately the same amount as a customer with the same consumption in the Main Division.</w:t>
      </w:r>
    </w:p>
    <w:p w:rsidR="00012DBC" w:rsidRPr="00695790" w:rsidRDefault="00012DBC" w:rsidP="00A76F8A">
      <w:pPr>
        <w:spacing w:line="360" w:lineRule="auto"/>
        <w:ind w:left="1430" w:right="1440"/>
        <w:rPr>
          <w:sz w:val="26"/>
          <w:szCs w:val="26"/>
        </w:rPr>
      </w:pPr>
    </w:p>
    <w:p w:rsidR="00012DBC" w:rsidRDefault="00012DBC" w:rsidP="00A76F8A">
      <w:pPr>
        <w:numPr>
          <w:ilvl w:val="4"/>
          <w:numId w:val="25"/>
        </w:numPr>
        <w:tabs>
          <w:tab w:val="left" w:pos="2470"/>
        </w:tabs>
        <w:spacing w:line="360" w:lineRule="auto"/>
        <w:ind w:right="1440" w:hanging="1520"/>
        <w:rPr>
          <w:sz w:val="26"/>
          <w:szCs w:val="26"/>
        </w:rPr>
      </w:pPr>
      <w:r w:rsidRPr="00695790">
        <w:rPr>
          <w:sz w:val="26"/>
          <w:szCs w:val="26"/>
        </w:rPr>
        <w:t>Country Club Gardens</w:t>
      </w:r>
    </w:p>
    <w:p w:rsidR="00D86115" w:rsidRPr="00695790" w:rsidRDefault="00D86115" w:rsidP="00A76F8A">
      <w:pPr>
        <w:tabs>
          <w:tab w:val="left" w:pos="2470"/>
        </w:tabs>
        <w:spacing w:line="360" w:lineRule="auto"/>
        <w:ind w:left="3600" w:right="1440"/>
        <w:rPr>
          <w:sz w:val="26"/>
          <w:szCs w:val="26"/>
        </w:rPr>
      </w:pPr>
    </w:p>
    <w:p w:rsidR="00012DBC" w:rsidRPr="00695790" w:rsidRDefault="00012DBC" w:rsidP="00A76F8A">
      <w:pPr>
        <w:tabs>
          <w:tab w:val="left" w:pos="2470"/>
        </w:tabs>
        <w:ind w:left="1426" w:right="1440"/>
        <w:rPr>
          <w:sz w:val="26"/>
          <w:szCs w:val="26"/>
        </w:rPr>
      </w:pPr>
      <w:r w:rsidRPr="00695790">
        <w:rPr>
          <w:sz w:val="26"/>
          <w:szCs w:val="26"/>
        </w:rPr>
        <w:t>The customer charges for 5/8”, ¾” and 1” meters are $12.00 per month.  Residential class usage rate is $0.325 per 100 gallons for the first 2,000 gallons per month and $0.4031 per 100 gallons for all usage over 2,000 gallons per month.  The Commercial class usage rate is $0.500 per 100 for all usage.</w:t>
      </w:r>
    </w:p>
    <w:p w:rsidR="00012DBC" w:rsidRPr="00695790" w:rsidRDefault="00012DBC" w:rsidP="00A76F8A">
      <w:pPr>
        <w:tabs>
          <w:tab w:val="left" w:pos="2470"/>
        </w:tabs>
        <w:spacing w:line="360" w:lineRule="auto"/>
        <w:ind w:left="1430" w:right="1440"/>
        <w:rPr>
          <w:sz w:val="26"/>
          <w:szCs w:val="26"/>
        </w:rPr>
      </w:pPr>
    </w:p>
    <w:p w:rsidR="00012DBC" w:rsidRDefault="00012DBC" w:rsidP="00A76F8A">
      <w:pPr>
        <w:numPr>
          <w:ilvl w:val="4"/>
          <w:numId w:val="25"/>
        </w:numPr>
        <w:tabs>
          <w:tab w:val="left" w:pos="2470"/>
        </w:tabs>
        <w:spacing w:line="360" w:lineRule="auto"/>
        <w:ind w:right="1440" w:hanging="1520"/>
        <w:rPr>
          <w:sz w:val="26"/>
          <w:szCs w:val="26"/>
        </w:rPr>
      </w:pPr>
      <w:r w:rsidRPr="00695790">
        <w:rPr>
          <w:sz w:val="26"/>
          <w:szCs w:val="26"/>
        </w:rPr>
        <w:t>Shenango</w:t>
      </w:r>
    </w:p>
    <w:p w:rsidR="00D86115" w:rsidRPr="00695790" w:rsidRDefault="00D86115" w:rsidP="00A76F8A">
      <w:pPr>
        <w:tabs>
          <w:tab w:val="left" w:pos="2470"/>
        </w:tabs>
        <w:spacing w:line="360" w:lineRule="auto"/>
        <w:ind w:left="3600" w:right="1440"/>
        <w:rPr>
          <w:sz w:val="26"/>
          <w:szCs w:val="26"/>
        </w:rPr>
      </w:pPr>
    </w:p>
    <w:p w:rsidR="00012DBC" w:rsidRPr="00695790" w:rsidRDefault="00012DBC" w:rsidP="00A76F8A">
      <w:pPr>
        <w:tabs>
          <w:tab w:val="left" w:pos="2470"/>
        </w:tabs>
        <w:ind w:left="1426" w:right="1440"/>
        <w:rPr>
          <w:sz w:val="26"/>
          <w:szCs w:val="26"/>
        </w:rPr>
      </w:pPr>
      <w:r w:rsidRPr="00695790">
        <w:rPr>
          <w:sz w:val="26"/>
          <w:szCs w:val="26"/>
        </w:rPr>
        <w:t>The first block of the Sales to Other Utilities class usage rate is set equal to the first block of the Commercial class usage rate for the Main Division of the Joint Settlement Petition.  The second block of the Sales to Other Utilities class usage rate is increased by the same percentage as the increase in the first block.</w:t>
      </w:r>
    </w:p>
    <w:p w:rsidR="00012DBC" w:rsidRPr="00695790" w:rsidRDefault="00012DBC" w:rsidP="00A76F8A">
      <w:pPr>
        <w:tabs>
          <w:tab w:val="left" w:pos="2470"/>
        </w:tabs>
        <w:spacing w:line="360" w:lineRule="auto"/>
        <w:ind w:left="1430" w:right="1440"/>
        <w:rPr>
          <w:sz w:val="26"/>
          <w:szCs w:val="26"/>
        </w:rPr>
      </w:pPr>
    </w:p>
    <w:p w:rsidR="003D0A23" w:rsidRDefault="003D0A23" w:rsidP="00A76F8A">
      <w:pPr>
        <w:rPr>
          <w:sz w:val="26"/>
          <w:szCs w:val="26"/>
        </w:rPr>
      </w:pPr>
    </w:p>
    <w:p w:rsidR="00012DBC" w:rsidRDefault="00012DBC" w:rsidP="00A76F8A">
      <w:pPr>
        <w:numPr>
          <w:ilvl w:val="4"/>
          <w:numId w:val="25"/>
        </w:numPr>
        <w:tabs>
          <w:tab w:val="left" w:pos="2470"/>
        </w:tabs>
        <w:spacing w:line="360" w:lineRule="auto"/>
        <w:ind w:right="1440" w:hanging="1520"/>
        <w:rPr>
          <w:sz w:val="26"/>
          <w:szCs w:val="26"/>
        </w:rPr>
      </w:pPr>
      <w:r w:rsidRPr="00695790">
        <w:rPr>
          <w:sz w:val="26"/>
          <w:szCs w:val="26"/>
        </w:rPr>
        <w:t>Midway Manor, Rivercrest and NUI-3</w:t>
      </w:r>
    </w:p>
    <w:p w:rsidR="000C632B" w:rsidRPr="00695790" w:rsidRDefault="000C632B" w:rsidP="00A76F8A">
      <w:pPr>
        <w:tabs>
          <w:tab w:val="left" w:pos="2470"/>
        </w:tabs>
        <w:spacing w:line="360" w:lineRule="auto"/>
        <w:ind w:left="3600" w:right="1440"/>
        <w:rPr>
          <w:sz w:val="26"/>
          <w:szCs w:val="26"/>
        </w:rPr>
      </w:pPr>
    </w:p>
    <w:p w:rsidR="00012DBC" w:rsidRPr="00695790" w:rsidRDefault="00012DBC" w:rsidP="00A76F8A">
      <w:pPr>
        <w:tabs>
          <w:tab w:val="left" w:pos="2470"/>
        </w:tabs>
        <w:spacing w:line="360" w:lineRule="auto"/>
        <w:ind w:left="1430" w:right="1440"/>
        <w:rPr>
          <w:sz w:val="26"/>
          <w:szCs w:val="26"/>
        </w:rPr>
      </w:pPr>
      <w:r w:rsidRPr="00695790">
        <w:rPr>
          <w:sz w:val="26"/>
          <w:szCs w:val="26"/>
        </w:rPr>
        <w:t>Same rates as apply for Main Division.</w:t>
      </w:r>
    </w:p>
    <w:p w:rsidR="00012DBC" w:rsidRPr="00695790" w:rsidRDefault="00012DBC" w:rsidP="00A76F8A">
      <w:pPr>
        <w:tabs>
          <w:tab w:val="left" w:pos="2470"/>
        </w:tabs>
        <w:spacing w:line="360" w:lineRule="auto"/>
        <w:ind w:left="1430" w:right="1440"/>
        <w:rPr>
          <w:sz w:val="26"/>
          <w:szCs w:val="26"/>
        </w:rPr>
      </w:pPr>
    </w:p>
    <w:p w:rsidR="00012DBC" w:rsidRDefault="00012DBC" w:rsidP="00A76F8A">
      <w:pPr>
        <w:numPr>
          <w:ilvl w:val="4"/>
          <w:numId w:val="25"/>
        </w:numPr>
        <w:tabs>
          <w:tab w:val="clear" w:pos="3600"/>
          <w:tab w:val="num" w:pos="2470"/>
        </w:tabs>
        <w:ind w:left="2463" w:right="1440" w:hanging="389"/>
        <w:rPr>
          <w:sz w:val="26"/>
          <w:szCs w:val="26"/>
        </w:rPr>
      </w:pPr>
      <w:r w:rsidRPr="00695790">
        <w:rPr>
          <w:sz w:val="26"/>
          <w:szCs w:val="26"/>
        </w:rPr>
        <w:t>Seasonal Customers – Western, Fawn Lake and Woodledge Village Divisions</w:t>
      </w:r>
    </w:p>
    <w:p w:rsidR="000C632B" w:rsidRPr="00695790" w:rsidRDefault="000C632B" w:rsidP="00A76F8A">
      <w:pPr>
        <w:spacing w:line="360" w:lineRule="auto"/>
        <w:ind w:left="2470" w:right="1440"/>
        <w:rPr>
          <w:sz w:val="26"/>
          <w:szCs w:val="26"/>
        </w:rPr>
      </w:pPr>
    </w:p>
    <w:p w:rsidR="00012DBC" w:rsidRPr="00695790" w:rsidRDefault="00012DBC" w:rsidP="00A76F8A">
      <w:pPr>
        <w:tabs>
          <w:tab w:val="left" w:pos="2470"/>
        </w:tabs>
        <w:ind w:left="1426" w:right="1440"/>
        <w:rPr>
          <w:sz w:val="26"/>
          <w:szCs w:val="26"/>
        </w:rPr>
      </w:pPr>
      <w:r w:rsidRPr="00695790">
        <w:rPr>
          <w:sz w:val="26"/>
          <w:szCs w:val="26"/>
        </w:rPr>
        <w:t xml:space="preserve">The customer charges for 5/8”, ¾” and 1” meters are $25.00 per month.  The first block usage charge, which applies to usage up to 4,000 gallons per month, is such that a residential customer using 4,000 gallons per month will pay a total bill (customer charge and usage charge) equal to the total bill (customer charge and usage charge) paid by </w:t>
      </w:r>
      <w:r w:rsidR="00571906">
        <w:rPr>
          <w:sz w:val="26"/>
          <w:szCs w:val="26"/>
        </w:rPr>
        <w:t xml:space="preserve">a </w:t>
      </w:r>
      <w:r w:rsidRPr="00695790">
        <w:rPr>
          <w:sz w:val="26"/>
          <w:szCs w:val="26"/>
        </w:rPr>
        <w:t xml:space="preserve">Main Division residential customer using the same 4,000 gallons per month.  All usage over 4,000 gallons per month is priced at the second </w:t>
      </w:r>
      <w:r w:rsidRPr="00695790">
        <w:rPr>
          <w:sz w:val="26"/>
          <w:szCs w:val="26"/>
        </w:rPr>
        <w:lastRenderedPageBreak/>
        <w:t>block rate, which is the same as the Main Division second block residential rate in the Joint Settlement Petition.</w:t>
      </w:r>
    </w:p>
    <w:p w:rsidR="00012DBC" w:rsidRPr="00695790" w:rsidRDefault="00012DBC" w:rsidP="00A76F8A">
      <w:pPr>
        <w:tabs>
          <w:tab w:val="left" w:pos="2470"/>
        </w:tabs>
        <w:spacing w:line="360" w:lineRule="auto"/>
        <w:ind w:left="1430" w:right="1440"/>
        <w:rPr>
          <w:sz w:val="26"/>
          <w:szCs w:val="26"/>
        </w:rPr>
      </w:pPr>
    </w:p>
    <w:p w:rsidR="00012DBC" w:rsidRDefault="00012DBC" w:rsidP="00A76F8A">
      <w:pPr>
        <w:numPr>
          <w:ilvl w:val="4"/>
          <w:numId w:val="25"/>
        </w:numPr>
        <w:tabs>
          <w:tab w:val="clear" w:pos="3600"/>
          <w:tab w:val="num" w:pos="2470"/>
        </w:tabs>
        <w:ind w:left="2463" w:right="1440" w:hanging="389"/>
        <w:rPr>
          <w:sz w:val="26"/>
          <w:szCs w:val="26"/>
        </w:rPr>
      </w:pPr>
      <w:r w:rsidRPr="00695790">
        <w:rPr>
          <w:sz w:val="26"/>
          <w:szCs w:val="26"/>
        </w:rPr>
        <w:t>Quasi-Seasonal Customers – Eagle Rock, Oakland Beach, Lakeside, CS Water and Pinecrest</w:t>
      </w:r>
    </w:p>
    <w:p w:rsidR="00C56AF2" w:rsidRPr="00695790" w:rsidRDefault="00C56AF2" w:rsidP="00A76F8A">
      <w:pPr>
        <w:spacing w:line="360" w:lineRule="auto"/>
        <w:ind w:left="2470" w:right="1440"/>
        <w:rPr>
          <w:sz w:val="26"/>
          <w:szCs w:val="26"/>
        </w:rPr>
      </w:pPr>
    </w:p>
    <w:p w:rsidR="00012DBC" w:rsidRDefault="00012DBC" w:rsidP="00A76F8A">
      <w:pPr>
        <w:tabs>
          <w:tab w:val="left" w:pos="2470"/>
        </w:tabs>
        <w:ind w:left="2074" w:right="1440"/>
        <w:rPr>
          <w:sz w:val="26"/>
          <w:szCs w:val="26"/>
        </w:rPr>
      </w:pPr>
      <w:r w:rsidRPr="00695790">
        <w:rPr>
          <w:sz w:val="26"/>
          <w:szCs w:val="26"/>
        </w:rPr>
        <w:t>(1)</w:t>
      </w:r>
      <w:r w:rsidRPr="00695790">
        <w:rPr>
          <w:sz w:val="26"/>
          <w:szCs w:val="26"/>
        </w:rPr>
        <w:tab/>
        <w:t>Eagle Rock – The customer charges for 5/8” and ¾” meters are $25.00 per month.  The usage charges are the same as set in the Joint Settlement Petition for Seasonal Customers.</w:t>
      </w:r>
    </w:p>
    <w:p w:rsidR="00C56AF2" w:rsidRPr="00695790" w:rsidRDefault="00C56AF2" w:rsidP="00A76F8A">
      <w:pPr>
        <w:tabs>
          <w:tab w:val="left" w:pos="2470"/>
        </w:tabs>
        <w:spacing w:line="360" w:lineRule="auto"/>
        <w:ind w:left="2080" w:right="1440"/>
        <w:rPr>
          <w:sz w:val="26"/>
          <w:szCs w:val="26"/>
        </w:rPr>
      </w:pPr>
    </w:p>
    <w:p w:rsidR="00012DBC" w:rsidRDefault="00012DBC" w:rsidP="00A76F8A">
      <w:pPr>
        <w:tabs>
          <w:tab w:val="left" w:pos="2470"/>
        </w:tabs>
        <w:ind w:left="2074" w:right="1440"/>
        <w:rPr>
          <w:sz w:val="26"/>
          <w:szCs w:val="26"/>
        </w:rPr>
      </w:pPr>
      <w:r w:rsidRPr="00695790">
        <w:rPr>
          <w:sz w:val="26"/>
          <w:szCs w:val="26"/>
        </w:rPr>
        <w:t>(2)</w:t>
      </w:r>
      <w:r w:rsidRPr="00695790">
        <w:rPr>
          <w:sz w:val="26"/>
          <w:szCs w:val="26"/>
        </w:rPr>
        <w:tab/>
        <w:t>Oakland Beach and Lakeside – The charges and usage rates are those proposed by Aqua in its initial filing.</w:t>
      </w:r>
    </w:p>
    <w:p w:rsidR="00C56AF2" w:rsidRPr="00695790" w:rsidRDefault="00C56AF2" w:rsidP="00A76F8A">
      <w:pPr>
        <w:tabs>
          <w:tab w:val="left" w:pos="2470"/>
        </w:tabs>
        <w:spacing w:line="360" w:lineRule="auto"/>
        <w:ind w:left="2080" w:right="1440"/>
        <w:rPr>
          <w:sz w:val="26"/>
          <w:szCs w:val="26"/>
        </w:rPr>
      </w:pPr>
    </w:p>
    <w:p w:rsidR="00012DBC" w:rsidRDefault="00012DBC" w:rsidP="00A76F8A">
      <w:pPr>
        <w:tabs>
          <w:tab w:val="left" w:pos="2470"/>
        </w:tabs>
        <w:ind w:left="2074" w:right="1440"/>
        <w:rPr>
          <w:sz w:val="26"/>
          <w:szCs w:val="26"/>
        </w:rPr>
      </w:pPr>
      <w:r w:rsidRPr="00695790">
        <w:rPr>
          <w:sz w:val="26"/>
          <w:szCs w:val="26"/>
        </w:rPr>
        <w:t>(3)</w:t>
      </w:r>
      <w:r w:rsidRPr="00695790">
        <w:rPr>
          <w:sz w:val="26"/>
          <w:szCs w:val="26"/>
        </w:rPr>
        <w:tab/>
        <w:t>CS Water – The minimum charges for 5/8” and ¾” meters are $25.00 per month and the associated water allowance is 2,000 gallons per month.  Usage above the allowance will be priced as follows:</w:t>
      </w:r>
    </w:p>
    <w:p w:rsidR="00C56AF2" w:rsidRPr="00695790" w:rsidRDefault="00C56AF2" w:rsidP="00A76F8A">
      <w:pPr>
        <w:tabs>
          <w:tab w:val="left" w:pos="2470"/>
        </w:tabs>
        <w:spacing w:line="360" w:lineRule="auto"/>
        <w:ind w:left="2080" w:right="1440"/>
        <w:rPr>
          <w:sz w:val="26"/>
          <w:szCs w:val="26"/>
        </w:rPr>
      </w:pPr>
    </w:p>
    <w:p w:rsidR="00012DBC" w:rsidRDefault="00012DBC" w:rsidP="00A76F8A">
      <w:pPr>
        <w:tabs>
          <w:tab w:val="left" w:pos="2470"/>
        </w:tabs>
        <w:ind w:left="2160" w:right="2160"/>
        <w:rPr>
          <w:sz w:val="26"/>
          <w:szCs w:val="26"/>
        </w:rPr>
      </w:pPr>
      <w:r w:rsidRPr="00695790">
        <w:rPr>
          <w:sz w:val="26"/>
          <w:szCs w:val="26"/>
        </w:rPr>
        <w:tab/>
        <w:t xml:space="preserve">(i) up to 6,000 gallons per month, at the first </w:t>
      </w:r>
      <w:r w:rsidR="00EF2318">
        <w:rPr>
          <w:sz w:val="26"/>
          <w:szCs w:val="26"/>
        </w:rPr>
        <w:t xml:space="preserve">           </w:t>
      </w:r>
      <w:r w:rsidRPr="00695790">
        <w:rPr>
          <w:sz w:val="26"/>
          <w:szCs w:val="26"/>
        </w:rPr>
        <w:t>block rate of $0.400 per 100 gallons; and</w:t>
      </w:r>
    </w:p>
    <w:p w:rsidR="00C56AF2" w:rsidRPr="00695790" w:rsidRDefault="00C56AF2" w:rsidP="00A76F8A">
      <w:pPr>
        <w:tabs>
          <w:tab w:val="left" w:pos="2470"/>
        </w:tabs>
        <w:spacing w:line="360" w:lineRule="auto"/>
        <w:ind w:left="2160" w:right="2160"/>
        <w:rPr>
          <w:sz w:val="26"/>
          <w:szCs w:val="26"/>
        </w:rPr>
      </w:pPr>
    </w:p>
    <w:p w:rsidR="00012DBC" w:rsidRDefault="00012DBC" w:rsidP="00A76F8A">
      <w:pPr>
        <w:tabs>
          <w:tab w:val="left" w:pos="2470"/>
        </w:tabs>
        <w:ind w:left="2160" w:right="2160"/>
        <w:rPr>
          <w:sz w:val="26"/>
          <w:szCs w:val="26"/>
        </w:rPr>
      </w:pPr>
      <w:r w:rsidRPr="00695790">
        <w:rPr>
          <w:sz w:val="26"/>
          <w:szCs w:val="26"/>
        </w:rPr>
        <w:tab/>
        <w:t>(ii) all usage over 6,000 gallons per month, at the second block rate of $0.700 per 100 gallons.</w:t>
      </w:r>
    </w:p>
    <w:p w:rsidR="00C56AF2" w:rsidRPr="00695790" w:rsidRDefault="00C56AF2" w:rsidP="00A76F8A">
      <w:pPr>
        <w:tabs>
          <w:tab w:val="left" w:pos="2470"/>
        </w:tabs>
        <w:spacing w:line="360" w:lineRule="auto"/>
        <w:ind w:left="2160" w:right="2160"/>
        <w:rPr>
          <w:sz w:val="26"/>
          <w:szCs w:val="26"/>
        </w:rPr>
      </w:pPr>
    </w:p>
    <w:p w:rsidR="00012DBC" w:rsidRPr="00695790" w:rsidRDefault="00012DBC" w:rsidP="00A76F8A">
      <w:pPr>
        <w:tabs>
          <w:tab w:val="left" w:pos="2470"/>
        </w:tabs>
        <w:ind w:left="2160" w:right="1440"/>
        <w:rPr>
          <w:sz w:val="26"/>
          <w:szCs w:val="26"/>
        </w:rPr>
      </w:pPr>
      <w:r w:rsidRPr="00695790">
        <w:rPr>
          <w:sz w:val="26"/>
          <w:szCs w:val="26"/>
        </w:rPr>
        <w:t>(4)  Pinecrest – The customer charges for 5/8” and ¾” meters are $25.00 per month.  The usage charge is $0.550 per 100 gallons and applies to all usage.</w:t>
      </w:r>
    </w:p>
    <w:p w:rsidR="00012DBC" w:rsidRPr="00695790" w:rsidRDefault="00012DBC" w:rsidP="00A76F8A">
      <w:pPr>
        <w:tabs>
          <w:tab w:val="left" w:pos="2470"/>
        </w:tabs>
        <w:spacing w:line="360" w:lineRule="auto"/>
        <w:ind w:left="2160" w:right="1440"/>
        <w:rPr>
          <w:sz w:val="26"/>
          <w:szCs w:val="26"/>
        </w:rPr>
      </w:pPr>
    </w:p>
    <w:p w:rsidR="00012DBC" w:rsidRDefault="00012DBC" w:rsidP="00A76F8A">
      <w:pPr>
        <w:numPr>
          <w:ilvl w:val="4"/>
          <w:numId w:val="25"/>
        </w:numPr>
        <w:tabs>
          <w:tab w:val="left" w:pos="2470"/>
        </w:tabs>
        <w:spacing w:line="360" w:lineRule="auto"/>
        <w:ind w:right="1440" w:hanging="1520"/>
        <w:rPr>
          <w:sz w:val="26"/>
          <w:szCs w:val="26"/>
        </w:rPr>
      </w:pPr>
      <w:r w:rsidRPr="00695790">
        <w:rPr>
          <w:sz w:val="26"/>
          <w:szCs w:val="26"/>
        </w:rPr>
        <w:t>Public Fire Service</w:t>
      </w:r>
    </w:p>
    <w:p w:rsidR="00C56AF2" w:rsidRPr="00695790" w:rsidRDefault="00C56AF2" w:rsidP="00A76F8A">
      <w:pPr>
        <w:tabs>
          <w:tab w:val="left" w:pos="2470"/>
        </w:tabs>
        <w:spacing w:line="360" w:lineRule="auto"/>
        <w:ind w:left="3600" w:right="1440"/>
        <w:rPr>
          <w:sz w:val="26"/>
          <w:szCs w:val="26"/>
        </w:rPr>
      </w:pPr>
    </w:p>
    <w:p w:rsidR="00012DBC" w:rsidRDefault="00571906" w:rsidP="00A76F8A">
      <w:pPr>
        <w:tabs>
          <w:tab w:val="left" w:pos="2470"/>
        </w:tabs>
        <w:ind w:left="1080" w:right="1440"/>
        <w:rPr>
          <w:sz w:val="26"/>
          <w:szCs w:val="26"/>
        </w:rPr>
      </w:pPr>
      <w:r>
        <w:rPr>
          <w:sz w:val="26"/>
          <w:szCs w:val="26"/>
        </w:rPr>
        <w:t xml:space="preserve">(1)   </w:t>
      </w:r>
      <w:r w:rsidR="00012DBC" w:rsidRPr="00695790">
        <w:rPr>
          <w:sz w:val="26"/>
          <w:szCs w:val="26"/>
        </w:rPr>
        <w:t>The rate in the Main Division is $25.25 per hydrant per  month.</w:t>
      </w:r>
    </w:p>
    <w:p w:rsidR="00571906" w:rsidRDefault="00571906" w:rsidP="00A76F8A">
      <w:pPr>
        <w:tabs>
          <w:tab w:val="left" w:pos="2470"/>
        </w:tabs>
        <w:ind w:left="1080" w:right="1440"/>
        <w:rPr>
          <w:sz w:val="26"/>
          <w:szCs w:val="26"/>
        </w:rPr>
      </w:pPr>
    </w:p>
    <w:p w:rsidR="00012DBC" w:rsidRDefault="00571906" w:rsidP="00A76F8A">
      <w:pPr>
        <w:tabs>
          <w:tab w:val="left" w:pos="2470"/>
        </w:tabs>
        <w:ind w:left="1080" w:right="1440"/>
        <w:rPr>
          <w:sz w:val="26"/>
          <w:szCs w:val="26"/>
        </w:rPr>
      </w:pPr>
      <w:r>
        <w:rPr>
          <w:sz w:val="26"/>
          <w:szCs w:val="26"/>
        </w:rPr>
        <w:t xml:space="preserve">(2)   </w:t>
      </w:r>
      <w:r w:rsidR="00012DBC" w:rsidRPr="00695790">
        <w:rPr>
          <w:sz w:val="26"/>
          <w:szCs w:val="26"/>
        </w:rPr>
        <w:t>The rate is $19.00 per month for the following divisions:</w:t>
      </w:r>
    </w:p>
    <w:p w:rsidR="00C56AF2" w:rsidRPr="00695790" w:rsidRDefault="00C56AF2" w:rsidP="00A76F8A">
      <w:pPr>
        <w:tabs>
          <w:tab w:val="left" w:pos="2470"/>
        </w:tabs>
        <w:spacing w:line="360" w:lineRule="auto"/>
        <w:ind w:left="1440" w:right="1440"/>
        <w:rPr>
          <w:sz w:val="26"/>
          <w:szCs w:val="26"/>
        </w:rPr>
      </w:pPr>
    </w:p>
    <w:p w:rsidR="00012DBC" w:rsidRPr="00695790" w:rsidRDefault="00012DBC" w:rsidP="00A76F8A">
      <w:pPr>
        <w:numPr>
          <w:ilvl w:val="0"/>
          <w:numId w:val="26"/>
        </w:numPr>
        <w:tabs>
          <w:tab w:val="left" w:pos="2470"/>
        </w:tabs>
        <w:ind w:right="1440"/>
        <w:rPr>
          <w:sz w:val="26"/>
          <w:szCs w:val="26"/>
        </w:rPr>
      </w:pPr>
      <w:r w:rsidRPr="00695790">
        <w:rPr>
          <w:sz w:val="26"/>
          <w:szCs w:val="26"/>
        </w:rPr>
        <w:lastRenderedPageBreak/>
        <w:t>LaReserve,</w:t>
      </w:r>
    </w:p>
    <w:p w:rsidR="00012DBC" w:rsidRPr="00695790" w:rsidRDefault="00012DBC" w:rsidP="00A76F8A">
      <w:pPr>
        <w:numPr>
          <w:ilvl w:val="0"/>
          <w:numId w:val="26"/>
        </w:numPr>
        <w:tabs>
          <w:tab w:val="left" w:pos="2470"/>
        </w:tabs>
        <w:ind w:right="1440"/>
        <w:rPr>
          <w:sz w:val="26"/>
          <w:szCs w:val="26"/>
        </w:rPr>
      </w:pPr>
      <w:r w:rsidRPr="00695790">
        <w:rPr>
          <w:sz w:val="26"/>
          <w:szCs w:val="26"/>
        </w:rPr>
        <w:t>Uwchlan,</w:t>
      </w:r>
    </w:p>
    <w:p w:rsidR="00012DBC" w:rsidRPr="00695790" w:rsidRDefault="00012DBC" w:rsidP="00A76F8A">
      <w:pPr>
        <w:numPr>
          <w:ilvl w:val="0"/>
          <w:numId w:val="26"/>
        </w:numPr>
        <w:tabs>
          <w:tab w:val="left" w:pos="2470"/>
        </w:tabs>
        <w:ind w:right="1440"/>
        <w:rPr>
          <w:sz w:val="26"/>
          <w:szCs w:val="26"/>
        </w:rPr>
      </w:pPr>
      <w:r w:rsidRPr="00695790">
        <w:rPr>
          <w:sz w:val="26"/>
          <w:szCs w:val="26"/>
        </w:rPr>
        <w:t>West Whiteland,</w:t>
      </w:r>
    </w:p>
    <w:p w:rsidR="00012DBC" w:rsidRPr="00695790" w:rsidRDefault="00012DBC" w:rsidP="00A76F8A">
      <w:pPr>
        <w:numPr>
          <w:ilvl w:val="0"/>
          <w:numId w:val="26"/>
        </w:numPr>
        <w:tabs>
          <w:tab w:val="left" w:pos="2470"/>
        </w:tabs>
        <w:ind w:right="1440"/>
        <w:rPr>
          <w:sz w:val="26"/>
          <w:szCs w:val="26"/>
        </w:rPr>
      </w:pPr>
      <w:r w:rsidRPr="00695790">
        <w:rPr>
          <w:sz w:val="26"/>
          <w:szCs w:val="26"/>
        </w:rPr>
        <w:t>Susquehanna,</w:t>
      </w:r>
    </w:p>
    <w:p w:rsidR="00012DBC" w:rsidRPr="00695790" w:rsidRDefault="00012DBC" w:rsidP="00A76F8A">
      <w:pPr>
        <w:numPr>
          <w:ilvl w:val="0"/>
          <w:numId w:val="26"/>
        </w:numPr>
        <w:tabs>
          <w:tab w:val="left" w:pos="2470"/>
        </w:tabs>
        <w:ind w:right="1440"/>
        <w:rPr>
          <w:sz w:val="26"/>
          <w:szCs w:val="26"/>
        </w:rPr>
      </w:pPr>
      <w:r w:rsidRPr="00695790">
        <w:rPr>
          <w:sz w:val="26"/>
          <w:szCs w:val="26"/>
        </w:rPr>
        <w:t>Shenango,</w:t>
      </w:r>
    </w:p>
    <w:p w:rsidR="00012DBC" w:rsidRPr="00695790" w:rsidRDefault="00012DBC" w:rsidP="00A76F8A">
      <w:pPr>
        <w:numPr>
          <w:ilvl w:val="0"/>
          <w:numId w:val="26"/>
        </w:numPr>
        <w:tabs>
          <w:tab w:val="left" w:pos="2470"/>
        </w:tabs>
        <w:ind w:right="1440"/>
        <w:rPr>
          <w:sz w:val="26"/>
          <w:szCs w:val="26"/>
        </w:rPr>
      </w:pPr>
      <w:r w:rsidRPr="00695790">
        <w:rPr>
          <w:sz w:val="26"/>
          <w:szCs w:val="26"/>
        </w:rPr>
        <w:t>Monroe Manor,</w:t>
      </w:r>
    </w:p>
    <w:p w:rsidR="00012DBC" w:rsidRPr="00695790" w:rsidRDefault="00012DBC" w:rsidP="00A76F8A">
      <w:pPr>
        <w:numPr>
          <w:ilvl w:val="0"/>
          <w:numId w:val="26"/>
        </w:numPr>
        <w:tabs>
          <w:tab w:val="left" w:pos="2470"/>
        </w:tabs>
        <w:ind w:right="1440"/>
        <w:rPr>
          <w:sz w:val="26"/>
          <w:szCs w:val="26"/>
        </w:rPr>
      </w:pPr>
      <w:r w:rsidRPr="00695790">
        <w:rPr>
          <w:sz w:val="26"/>
          <w:szCs w:val="26"/>
        </w:rPr>
        <w:t>White Haven,</w:t>
      </w:r>
    </w:p>
    <w:p w:rsidR="00012DBC" w:rsidRPr="00695790" w:rsidRDefault="00012DBC" w:rsidP="00A76F8A">
      <w:pPr>
        <w:numPr>
          <w:ilvl w:val="0"/>
          <w:numId w:val="26"/>
        </w:numPr>
        <w:tabs>
          <w:tab w:val="left" w:pos="2470"/>
        </w:tabs>
        <w:ind w:right="1440"/>
        <w:rPr>
          <w:sz w:val="26"/>
          <w:szCs w:val="26"/>
        </w:rPr>
      </w:pPr>
      <w:r w:rsidRPr="00695790">
        <w:rPr>
          <w:sz w:val="26"/>
          <w:szCs w:val="26"/>
        </w:rPr>
        <w:t>Waymart,</w:t>
      </w:r>
    </w:p>
    <w:p w:rsidR="00012DBC" w:rsidRPr="00695790" w:rsidRDefault="00012DBC" w:rsidP="00A76F8A">
      <w:pPr>
        <w:numPr>
          <w:ilvl w:val="0"/>
          <w:numId w:val="26"/>
        </w:numPr>
        <w:tabs>
          <w:tab w:val="left" w:pos="2470"/>
        </w:tabs>
        <w:ind w:right="1440"/>
        <w:rPr>
          <w:sz w:val="26"/>
          <w:szCs w:val="26"/>
        </w:rPr>
      </w:pPr>
      <w:r w:rsidRPr="00695790">
        <w:rPr>
          <w:sz w:val="26"/>
          <w:szCs w:val="26"/>
        </w:rPr>
        <w:t>Rolling Green,</w:t>
      </w:r>
    </w:p>
    <w:p w:rsidR="00012DBC" w:rsidRPr="00695790" w:rsidRDefault="00012DBC" w:rsidP="00A76F8A">
      <w:pPr>
        <w:numPr>
          <w:ilvl w:val="0"/>
          <w:numId w:val="26"/>
        </w:numPr>
        <w:tabs>
          <w:tab w:val="left" w:pos="2470"/>
        </w:tabs>
        <w:ind w:right="1440"/>
        <w:rPr>
          <w:sz w:val="26"/>
          <w:szCs w:val="26"/>
        </w:rPr>
      </w:pPr>
      <w:r w:rsidRPr="00695790">
        <w:rPr>
          <w:sz w:val="26"/>
          <w:szCs w:val="26"/>
        </w:rPr>
        <w:t>Oakland Beach,</w:t>
      </w:r>
    </w:p>
    <w:p w:rsidR="00012DBC" w:rsidRPr="00695790" w:rsidRDefault="00012DBC" w:rsidP="00A76F8A">
      <w:pPr>
        <w:numPr>
          <w:ilvl w:val="0"/>
          <w:numId w:val="26"/>
        </w:numPr>
        <w:tabs>
          <w:tab w:val="left" w:pos="2470"/>
        </w:tabs>
        <w:ind w:right="1440"/>
        <w:rPr>
          <w:sz w:val="26"/>
          <w:szCs w:val="26"/>
        </w:rPr>
      </w:pPr>
      <w:r w:rsidRPr="00695790">
        <w:rPr>
          <w:sz w:val="26"/>
          <w:szCs w:val="26"/>
        </w:rPr>
        <w:t>Hawley, and</w:t>
      </w:r>
    </w:p>
    <w:p w:rsidR="00012DBC" w:rsidRPr="00695790" w:rsidRDefault="00571906" w:rsidP="00A76F8A">
      <w:pPr>
        <w:numPr>
          <w:ilvl w:val="0"/>
          <w:numId w:val="26"/>
        </w:numPr>
        <w:tabs>
          <w:tab w:val="left" w:pos="2470"/>
        </w:tabs>
        <w:ind w:right="1440"/>
        <w:rPr>
          <w:sz w:val="26"/>
          <w:szCs w:val="26"/>
        </w:rPr>
      </w:pPr>
      <w:r>
        <w:rPr>
          <w:sz w:val="26"/>
          <w:szCs w:val="26"/>
        </w:rPr>
        <w:t>Eagle Rock</w:t>
      </w:r>
      <w:r w:rsidR="00012DBC" w:rsidRPr="00695790">
        <w:rPr>
          <w:sz w:val="26"/>
          <w:szCs w:val="26"/>
        </w:rPr>
        <w:t>.</w:t>
      </w:r>
    </w:p>
    <w:p w:rsidR="00012DBC" w:rsidRPr="00695790" w:rsidRDefault="00012DBC" w:rsidP="00A76F8A">
      <w:pPr>
        <w:tabs>
          <w:tab w:val="left" w:pos="2470"/>
        </w:tabs>
        <w:ind w:left="2470" w:right="1440"/>
        <w:rPr>
          <w:sz w:val="26"/>
          <w:szCs w:val="26"/>
        </w:rPr>
      </w:pPr>
    </w:p>
    <w:p w:rsidR="00012DBC" w:rsidRPr="00695790" w:rsidRDefault="00571906" w:rsidP="00A76F8A">
      <w:pPr>
        <w:tabs>
          <w:tab w:val="left" w:pos="2470"/>
        </w:tabs>
        <w:ind w:left="1440" w:right="1440"/>
        <w:rPr>
          <w:sz w:val="26"/>
          <w:szCs w:val="26"/>
        </w:rPr>
      </w:pPr>
      <w:r>
        <w:rPr>
          <w:sz w:val="26"/>
          <w:szCs w:val="26"/>
        </w:rPr>
        <w:t xml:space="preserve">(3)   </w:t>
      </w:r>
      <w:r w:rsidR="00012DBC" w:rsidRPr="00695790">
        <w:rPr>
          <w:sz w:val="26"/>
          <w:szCs w:val="26"/>
        </w:rPr>
        <w:t>The rate is increased by 35% in the following divisions:</w:t>
      </w:r>
    </w:p>
    <w:p w:rsidR="00012DBC" w:rsidRPr="00695790" w:rsidRDefault="00012DBC" w:rsidP="00A76F8A">
      <w:pPr>
        <w:tabs>
          <w:tab w:val="left" w:pos="2470"/>
        </w:tabs>
        <w:ind w:left="2520" w:right="1440"/>
        <w:rPr>
          <w:sz w:val="26"/>
          <w:szCs w:val="26"/>
        </w:rPr>
      </w:pPr>
    </w:p>
    <w:p w:rsidR="00012DBC" w:rsidRPr="00695790" w:rsidRDefault="00E26707" w:rsidP="00A76F8A">
      <w:pPr>
        <w:tabs>
          <w:tab w:val="left" w:pos="2470"/>
        </w:tabs>
        <w:ind w:left="2520" w:right="1440"/>
        <w:rPr>
          <w:sz w:val="26"/>
          <w:szCs w:val="26"/>
        </w:rPr>
      </w:pPr>
      <w:r>
        <w:rPr>
          <w:sz w:val="26"/>
          <w:szCs w:val="26"/>
        </w:rPr>
        <w:t xml:space="preserve">(i)     </w:t>
      </w:r>
      <w:r w:rsidR="00012DBC" w:rsidRPr="00695790">
        <w:rPr>
          <w:sz w:val="26"/>
          <w:szCs w:val="26"/>
        </w:rPr>
        <w:t>Honesdale,</w:t>
      </w:r>
    </w:p>
    <w:p w:rsidR="00012DBC" w:rsidRPr="00695790" w:rsidRDefault="00E26707" w:rsidP="00A76F8A">
      <w:pPr>
        <w:tabs>
          <w:tab w:val="left" w:pos="2470"/>
        </w:tabs>
        <w:ind w:right="1440"/>
        <w:rPr>
          <w:sz w:val="26"/>
          <w:szCs w:val="26"/>
        </w:rPr>
      </w:pPr>
      <w:r>
        <w:rPr>
          <w:sz w:val="26"/>
          <w:szCs w:val="26"/>
        </w:rPr>
        <w:tab/>
        <w:t xml:space="preserve">(ii)     </w:t>
      </w:r>
      <w:r w:rsidR="00012DBC" w:rsidRPr="00695790">
        <w:rPr>
          <w:sz w:val="26"/>
          <w:szCs w:val="26"/>
        </w:rPr>
        <w:t>Fawn Lake,</w:t>
      </w:r>
    </w:p>
    <w:p w:rsidR="00012DBC" w:rsidRPr="00695790" w:rsidRDefault="00E26707" w:rsidP="00A76F8A">
      <w:pPr>
        <w:tabs>
          <w:tab w:val="left" w:pos="2470"/>
        </w:tabs>
        <w:ind w:right="1440"/>
        <w:rPr>
          <w:sz w:val="26"/>
          <w:szCs w:val="26"/>
        </w:rPr>
      </w:pPr>
      <w:r>
        <w:rPr>
          <w:sz w:val="26"/>
          <w:szCs w:val="26"/>
        </w:rPr>
        <w:tab/>
        <w:t xml:space="preserve">(iii)    </w:t>
      </w:r>
      <w:r w:rsidR="00012DBC" w:rsidRPr="00695790">
        <w:rPr>
          <w:sz w:val="26"/>
          <w:szCs w:val="26"/>
        </w:rPr>
        <w:t>Bristol,</w:t>
      </w:r>
    </w:p>
    <w:p w:rsidR="00012DBC" w:rsidRPr="00695790" w:rsidRDefault="00E26707" w:rsidP="00A76F8A">
      <w:pPr>
        <w:tabs>
          <w:tab w:val="left" w:pos="2470"/>
        </w:tabs>
        <w:ind w:right="1440"/>
        <w:rPr>
          <w:sz w:val="26"/>
          <w:szCs w:val="26"/>
        </w:rPr>
      </w:pPr>
      <w:r>
        <w:rPr>
          <w:sz w:val="26"/>
          <w:szCs w:val="26"/>
        </w:rPr>
        <w:tab/>
        <w:t xml:space="preserve">(iv)    </w:t>
      </w:r>
      <w:r w:rsidR="00012DBC" w:rsidRPr="00695790">
        <w:rPr>
          <w:sz w:val="26"/>
          <w:szCs w:val="26"/>
        </w:rPr>
        <w:t>Kratzerville,</w:t>
      </w:r>
    </w:p>
    <w:p w:rsidR="00012DBC" w:rsidRPr="00695790" w:rsidRDefault="00E26707" w:rsidP="00A76F8A">
      <w:pPr>
        <w:tabs>
          <w:tab w:val="left" w:pos="2470"/>
        </w:tabs>
        <w:ind w:right="1440"/>
        <w:rPr>
          <w:sz w:val="26"/>
          <w:szCs w:val="26"/>
        </w:rPr>
      </w:pPr>
      <w:r>
        <w:rPr>
          <w:sz w:val="26"/>
          <w:szCs w:val="26"/>
        </w:rPr>
        <w:tab/>
        <w:t xml:space="preserve">(v)     </w:t>
      </w:r>
      <w:r w:rsidR="00012DBC" w:rsidRPr="00695790">
        <w:rPr>
          <w:sz w:val="26"/>
          <w:szCs w:val="26"/>
        </w:rPr>
        <w:t>Chalfont, and</w:t>
      </w:r>
    </w:p>
    <w:p w:rsidR="00012DBC" w:rsidRPr="00695790" w:rsidRDefault="00E26707" w:rsidP="00A76F8A">
      <w:pPr>
        <w:tabs>
          <w:tab w:val="left" w:pos="2470"/>
        </w:tabs>
        <w:ind w:right="1440"/>
        <w:rPr>
          <w:sz w:val="26"/>
          <w:szCs w:val="26"/>
        </w:rPr>
      </w:pPr>
      <w:r>
        <w:rPr>
          <w:sz w:val="26"/>
          <w:szCs w:val="26"/>
        </w:rPr>
        <w:tab/>
        <w:t xml:space="preserve">(vi)    </w:t>
      </w:r>
      <w:r w:rsidR="00012DBC" w:rsidRPr="00695790">
        <w:rPr>
          <w:sz w:val="26"/>
          <w:szCs w:val="26"/>
        </w:rPr>
        <w:t>Bensalem.</w:t>
      </w:r>
    </w:p>
    <w:p w:rsidR="00012DBC" w:rsidRPr="00695790" w:rsidRDefault="00012DBC" w:rsidP="00A76F8A">
      <w:pPr>
        <w:tabs>
          <w:tab w:val="left" w:pos="2470"/>
        </w:tabs>
        <w:ind w:left="2470" w:right="1440"/>
        <w:rPr>
          <w:sz w:val="26"/>
          <w:szCs w:val="26"/>
        </w:rPr>
      </w:pPr>
    </w:p>
    <w:p w:rsidR="003D0A23" w:rsidRDefault="003D0A23" w:rsidP="00A76F8A">
      <w:pPr>
        <w:rPr>
          <w:sz w:val="26"/>
          <w:szCs w:val="26"/>
        </w:rPr>
      </w:pPr>
    </w:p>
    <w:p w:rsidR="00012DBC" w:rsidRDefault="00012DBC" w:rsidP="00A76F8A">
      <w:pPr>
        <w:numPr>
          <w:ilvl w:val="4"/>
          <w:numId w:val="25"/>
        </w:numPr>
        <w:tabs>
          <w:tab w:val="left" w:pos="2470"/>
        </w:tabs>
        <w:spacing w:line="360" w:lineRule="auto"/>
        <w:ind w:right="1440" w:hanging="1520"/>
        <w:rPr>
          <w:sz w:val="26"/>
          <w:szCs w:val="26"/>
        </w:rPr>
      </w:pPr>
      <w:r w:rsidRPr="00695790">
        <w:rPr>
          <w:sz w:val="26"/>
          <w:szCs w:val="26"/>
        </w:rPr>
        <w:t>Private Fire Service</w:t>
      </w:r>
    </w:p>
    <w:p w:rsidR="002071C3" w:rsidRPr="00695790" w:rsidRDefault="002071C3" w:rsidP="00A76F8A">
      <w:pPr>
        <w:tabs>
          <w:tab w:val="left" w:pos="2470"/>
        </w:tabs>
        <w:spacing w:line="360" w:lineRule="auto"/>
        <w:ind w:left="3600" w:right="1440"/>
        <w:rPr>
          <w:sz w:val="26"/>
          <w:szCs w:val="26"/>
        </w:rPr>
      </w:pPr>
    </w:p>
    <w:p w:rsidR="00012DBC" w:rsidRPr="00695790" w:rsidRDefault="00012DBC" w:rsidP="00A76F8A">
      <w:pPr>
        <w:tabs>
          <w:tab w:val="left" w:pos="1430"/>
        </w:tabs>
        <w:ind w:left="1426" w:right="1440"/>
        <w:rPr>
          <w:sz w:val="26"/>
          <w:szCs w:val="26"/>
        </w:rPr>
      </w:pPr>
      <w:r w:rsidRPr="00695790">
        <w:rPr>
          <w:sz w:val="26"/>
          <w:szCs w:val="26"/>
        </w:rPr>
        <w:t>Main Division Private Fire Service base rates are not being increased.  The existing DSIC is not being rolled-in to the existing base rates.  The Private Fire Service rates in Bensalem and Honesdale are as proposed by the Company in its initial filing.</w:t>
      </w:r>
    </w:p>
    <w:p w:rsidR="00012DBC" w:rsidRPr="00695790" w:rsidRDefault="00012DBC" w:rsidP="00A76F8A">
      <w:pPr>
        <w:tabs>
          <w:tab w:val="left" w:pos="1430"/>
        </w:tabs>
        <w:spacing w:line="360" w:lineRule="auto"/>
        <w:ind w:left="1430" w:right="1440"/>
        <w:rPr>
          <w:sz w:val="26"/>
          <w:szCs w:val="26"/>
        </w:rPr>
      </w:pPr>
    </w:p>
    <w:p w:rsidR="00012DBC" w:rsidRDefault="00012DBC" w:rsidP="00A76F8A">
      <w:pPr>
        <w:numPr>
          <w:ilvl w:val="4"/>
          <w:numId w:val="25"/>
        </w:numPr>
        <w:tabs>
          <w:tab w:val="left" w:pos="2470"/>
        </w:tabs>
        <w:spacing w:line="360" w:lineRule="auto"/>
        <w:ind w:right="1440" w:hanging="1520"/>
        <w:rPr>
          <w:sz w:val="26"/>
          <w:szCs w:val="26"/>
        </w:rPr>
      </w:pPr>
      <w:r w:rsidRPr="00695790">
        <w:rPr>
          <w:sz w:val="26"/>
          <w:szCs w:val="26"/>
        </w:rPr>
        <w:t>Competitive Rate Rider Contract Customers</w:t>
      </w:r>
    </w:p>
    <w:p w:rsidR="00D73B6D" w:rsidRPr="00695790" w:rsidRDefault="00D73B6D" w:rsidP="00A76F8A">
      <w:pPr>
        <w:tabs>
          <w:tab w:val="left" w:pos="2470"/>
        </w:tabs>
        <w:spacing w:line="360" w:lineRule="auto"/>
        <w:ind w:left="3600" w:right="1440"/>
        <w:rPr>
          <w:sz w:val="26"/>
          <w:szCs w:val="26"/>
        </w:rPr>
      </w:pPr>
    </w:p>
    <w:p w:rsidR="00012DBC" w:rsidRPr="00695790" w:rsidRDefault="00012DBC" w:rsidP="00A76F8A">
      <w:pPr>
        <w:tabs>
          <w:tab w:val="left" w:pos="2470"/>
        </w:tabs>
        <w:ind w:left="1426" w:right="1440"/>
        <w:rPr>
          <w:sz w:val="26"/>
          <w:szCs w:val="26"/>
        </w:rPr>
      </w:pPr>
      <w:r w:rsidRPr="00695790">
        <w:rPr>
          <w:sz w:val="26"/>
          <w:szCs w:val="26"/>
        </w:rPr>
        <w:t>Boeing Helicopter is to be billed at the Main Division Industrial  class rates and not a previously contracted</w:t>
      </w:r>
      <w:r w:rsidR="0060711B">
        <w:rPr>
          <w:sz w:val="26"/>
          <w:szCs w:val="26"/>
        </w:rPr>
        <w:t xml:space="preserve"> rate</w:t>
      </w:r>
      <w:r w:rsidRPr="00695790">
        <w:rPr>
          <w:sz w:val="26"/>
          <w:szCs w:val="26"/>
        </w:rPr>
        <w:t xml:space="preserve"> under </w:t>
      </w:r>
      <w:r w:rsidR="00D73B6D">
        <w:rPr>
          <w:sz w:val="26"/>
          <w:szCs w:val="26"/>
        </w:rPr>
        <w:t>Aqua’s Competitive Rate Rider (CRR</w:t>
      </w:r>
      <w:r w:rsidRPr="00695790">
        <w:rPr>
          <w:sz w:val="26"/>
          <w:szCs w:val="26"/>
        </w:rPr>
        <w:t xml:space="preserve">).  Regarding Montenay Resources, a customer furnished service under Aqua’s CRR, the Company will obtain a competitive alternative supply analysis and provide the analysis in its next water base rate case.  Aqua will obtain competitive alternative </w:t>
      </w:r>
      <w:r w:rsidRPr="00695790">
        <w:rPr>
          <w:sz w:val="26"/>
          <w:szCs w:val="26"/>
        </w:rPr>
        <w:lastRenderedPageBreak/>
        <w:t>supply analyses from Montenay Resources at least once every five years thereafter.</w:t>
      </w:r>
    </w:p>
    <w:p w:rsidR="00012DBC" w:rsidRPr="00695790" w:rsidRDefault="00012DBC" w:rsidP="00A76F8A">
      <w:pPr>
        <w:tabs>
          <w:tab w:val="left" w:pos="2470"/>
        </w:tabs>
        <w:spacing w:line="360" w:lineRule="auto"/>
        <w:ind w:left="1430" w:right="1440"/>
        <w:rPr>
          <w:sz w:val="26"/>
          <w:szCs w:val="26"/>
        </w:rPr>
      </w:pPr>
    </w:p>
    <w:p w:rsidR="00012DBC" w:rsidRDefault="00012DBC" w:rsidP="00A76F8A">
      <w:pPr>
        <w:numPr>
          <w:ilvl w:val="4"/>
          <w:numId w:val="25"/>
        </w:numPr>
        <w:tabs>
          <w:tab w:val="left" w:pos="2470"/>
        </w:tabs>
        <w:spacing w:line="360" w:lineRule="auto"/>
        <w:ind w:right="1440" w:hanging="1520"/>
        <w:rPr>
          <w:sz w:val="26"/>
          <w:szCs w:val="26"/>
        </w:rPr>
      </w:pPr>
      <w:r w:rsidRPr="00695790">
        <w:rPr>
          <w:sz w:val="26"/>
          <w:szCs w:val="26"/>
        </w:rPr>
        <w:t>Allocation of Revenues</w:t>
      </w:r>
    </w:p>
    <w:p w:rsidR="00D73B6D" w:rsidRPr="00695790" w:rsidRDefault="00D73B6D" w:rsidP="00A76F8A">
      <w:pPr>
        <w:tabs>
          <w:tab w:val="left" w:pos="2470"/>
        </w:tabs>
        <w:spacing w:line="360" w:lineRule="auto"/>
        <w:ind w:left="3600" w:right="1440"/>
        <w:rPr>
          <w:sz w:val="26"/>
          <w:szCs w:val="26"/>
        </w:rPr>
      </w:pPr>
    </w:p>
    <w:p w:rsidR="00012DBC" w:rsidRPr="00695790" w:rsidRDefault="00012DBC" w:rsidP="00A76F8A">
      <w:pPr>
        <w:tabs>
          <w:tab w:val="left" w:pos="2470"/>
        </w:tabs>
        <w:ind w:left="1426" w:right="1440"/>
        <w:rPr>
          <w:sz w:val="26"/>
          <w:szCs w:val="26"/>
        </w:rPr>
      </w:pPr>
      <w:r w:rsidRPr="00695790">
        <w:rPr>
          <w:sz w:val="26"/>
          <w:szCs w:val="26"/>
        </w:rPr>
        <w:t>The percentage increases to each customer class under the Joint Settlement Petition and a comparison of the class cost of service to class revenues under the Joint Settlement Petition for each customer class are shown in Appendix B.</w:t>
      </w:r>
    </w:p>
    <w:p w:rsidR="00012DBC" w:rsidRDefault="00012DBC" w:rsidP="00A76F8A">
      <w:pPr>
        <w:tabs>
          <w:tab w:val="left" w:pos="2470"/>
        </w:tabs>
        <w:spacing w:line="360" w:lineRule="auto"/>
        <w:ind w:left="1430" w:right="1440"/>
        <w:rPr>
          <w:sz w:val="26"/>
          <w:szCs w:val="26"/>
        </w:rPr>
      </w:pPr>
      <w:r w:rsidRPr="00695790">
        <w:rPr>
          <w:sz w:val="26"/>
          <w:szCs w:val="26"/>
        </w:rPr>
        <w:t xml:space="preserve"> </w:t>
      </w:r>
    </w:p>
    <w:p w:rsidR="00012DBC" w:rsidRDefault="00012DBC" w:rsidP="00A76F8A">
      <w:pPr>
        <w:ind w:left="1440" w:right="1440"/>
        <w:rPr>
          <w:sz w:val="26"/>
          <w:szCs w:val="26"/>
        </w:rPr>
      </w:pPr>
      <w:r w:rsidRPr="00695790">
        <w:rPr>
          <w:sz w:val="26"/>
          <w:szCs w:val="26"/>
        </w:rPr>
        <w:t>4.</w:t>
      </w:r>
      <w:r w:rsidRPr="00695790">
        <w:rPr>
          <w:sz w:val="26"/>
          <w:szCs w:val="26"/>
        </w:rPr>
        <w:tab/>
        <w:t>Aqua will amortize the following acquisition adjustment</w:t>
      </w:r>
      <w:r w:rsidR="0060711B">
        <w:rPr>
          <w:sz w:val="26"/>
          <w:szCs w:val="26"/>
        </w:rPr>
        <w:t>s</w:t>
      </w:r>
      <w:r w:rsidRPr="00695790">
        <w:rPr>
          <w:sz w:val="26"/>
          <w:szCs w:val="26"/>
        </w:rPr>
        <w:t xml:space="preserve"> in the manner shown below:</w:t>
      </w:r>
    </w:p>
    <w:p w:rsidR="0060711B" w:rsidRPr="00695790" w:rsidRDefault="0060711B" w:rsidP="00A76F8A">
      <w:pPr>
        <w:ind w:left="1440" w:right="1440"/>
        <w:rPr>
          <w:sz w:val="26"/>
          <w:szCs w:val="26"/>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4"/>
        <w:gridCol w:w="1501"/>
        <w:gridCol w:w="1373"/>
        <w:gridCol w:w="1961"/>
        <w:gridCol w:w="1668"/>
        <w:gridCol w:w="1843"/>
      </w:tblGrid>
      <w:tr w:rsidR="00012DBC" w:rsidRPr="00695790" w:rsidTr="00695790">
        <w:tc>
          <w:tcPr>
            <w:tcW w:w="1620" w:type="dxa"/>
          </w:tcPr>
          <w:p w:rsidR="00012DBC" w:rsidRPr="00695790" w:rsidRDefault="00012DBC" w:rsidP="00A76F8A">
            <w:pPr>
              <w:pStyle w:val="BodyText"/>
              <w:keepNext/>
              <w:keepLines/>
              <w:widowControl/>
              <w:rPr>
                <w:rFonts w:ascii="Times New Roman" w:hAnsi="Times New Roman"/>
                <w:b/>
                <w:sz w:val="26"/>
                <w:szCs w:val="26"/>
              </w:rPr>
            </w:pPr>
            <w:r w:rsidRPr="00695790">
              <w:rPr>
                <w:rFonts w:ascii="Times New Roman" w:hAnsi="Times New Roman"/>
                <w:b/>
                <w:sz w:val="26"/>
                <w:szCs w:val="26"/>
              </w:rPr>
              <w:t>Acquisition</w:t>
            </w:r>
          </w:p>
        </w:tc>
        <w:tc>
          <w:tcPr>
            <w:tcW w:w="1440" w:type="dxa"/>
          </w:tcPr>
          <w:p w:rsidR="00012DBC" w:rsidRPr="00695790" w:rsidRDefault="00012DBC" w:rsidP="00A76F8A">
            <w:pPr>
              <w:pStyle w:val="BodyText"/>
              <w:keepNext/>
              <w:keepLines/>
              <w:widowControl/>
              <w:rPr>
                <w:rFonts w:ascii="Times New Roman" w:hAnsi="Times New Roman"/>
                <w:b/>
                <w:sz w:val="26"/>
                <w:szCs w:val="26"/>
              </w:rPr>
            </w:pPr>
            <w:r w:rsidRPr="00695790">
              <w:rPr>
                <w:rFonts w:ascii="Times New Roman" w:hAnsi="Times New Roman"/>
                <w:b/>
                <w:sz w:val="26"/>
                <w:szCs w:val="26"/>
              </w:rPr>
              <w:t xml:space="preserve">Adjustment </w:t>
            </w:r>
          </w:p>
        </w:tc>
        <w:tc>
          <w:tcPr>
            <w:tcW w:w="1260" w:type="dxa"/>
          </w:tcPr>
          <w:p w:rsidR="00012DBC" w:rsidRPr="00695790" w:rsidRDefault="00012DBC" w:rsidP="00A76F8A">
            <w:pPr>
              <w:pStyle w:val="BodyText"/>
              <w:keepNext/>
              <w:keepLines/>
              <w:widowControl/>
              <w:rPr>
                <w:rFonts w:ascii="Times New Roman" w:hAnsi="Times New Roman"/>
                <w:b/>
                <w:sz w:val="26"/>
                <w:szCs w:val="26"/>
              </w:rPr>
            </w:pPr>
            <w:r w:rsidRPr="00695790">
              <w:rPr>
                <w:rFonts w:ascii="Times New Roman" w:hAnsi="Times New Roman"/>
                <w:b/>
                <w:sz w:val="26"/>
                <w:szCs w:val="26"/>
              </w:rPr>
              <w:t>Amount Amortized</w:t>
            </w:r>
          </w:p>
        </w:tc>
        <w:tc>
          <w:tcPr>
            <w:tcW w:w="2160" w:type="dxa"/>
          </w:tcPr>
          <w:p w:rsidR="00012DBC" w:rsidRPr="00695790" w:rsidRDefault="00012DBC" w:rsidP="00A76F8A">
            <w:pPr>
              <w:pStyle w:val="BodyText"/>
              <w:keepNext/>
              <w:keepLines/>
              <w:widowControl/>
              <w:rPr>
                <w:rFonts w:ascii="Times New Roman" w:hAnsi="Times New Roman"/>
                <w:b/>
                <w:sz w:val="26"/>
                <w:szCs w:val="26"/>
              </w:rPr>
            </w:pPr>
            <w:r w:rsidRPr="00695790">
              <w:rPr>
                <w:rFonts w:ascii="Times New Roman" w:hAnsi="Times New Roman"/>
                <w:b/>
                <w:sz w:val="26"/>
                <w:szCs w:val="26"/>
              </w:rPr>
              <w:t>Amortization Period</w:t>
            </w:r>
          </w:p>
        </w:tc>
        <w:tc>
          <w:tcPr>
            <w:tcW w:w="1440" w:type="dxa"/>
          </w:tcPr>
          <w:p w:rsidR="00012DBC" w:rsidRPr="00695790" w:rsidRDefault="00012DBC" w:rsidP="00A76F8A">
            <w:pPr>
              <w:pStyle w:val="BodyText"/>
              <w:keepNext/>
              <w:keepLines/>
              <w:widowControl/>
              <w:rPr>
                <w:rFonts w:ascii="Times New Roman" w:hAnsi="Times New Roman"/>
                <w:b/>
                <w:sz w:val="26"/>
                <w:szCs w:val="26"/>
              </w:rPr>
            </w:pPr>
            <w:r w:rsidRPr="00695790">
              <w:rPr>
                <w:rFonts w:ascii="Times New Roman" w:hAnsi="Times New Roman"/>
                <w:b/>
                <w:sz w:val="26"/>
                <w:szCs w:val="26"/>
              </w:rPr>
              <w:t>Annual Amortization</w:t>
            </w:r>
          </w:p>
        </w:tc>
        <w:tc>
          <w:tcPr>
            <w:tcW w:w="1980" w:type="dxa"/>
          </w:tcPr>
          <w:p w:rsidR="00012DBC" w:rsidRPr="00695790" w:rsidRDefault="00012DBC" w:rsidP="00A76F8A">
            <w:pPr>
              <w:pStyle w:val="BodyText"/>
              <w:keepNext/>
              <w:keepLines/>
              <w:widowControl/>
              <w:rPr>
                <w:rFonts w:ascii="Times New Roman" w:hAnsi="Times New Roman"/>
                <w:b/>
                <w:sz w:val="26"/>
                <w:szCs w:val="26"/>
              </w:rPr>
            </w:pPr>
            <w:r w:rsidRPr="00695790">
              <w:rPr>
                <w:rFonts w:ascii="Times New Roman" w:hAnsi="Times New Roman"/>
                <w:b/>
                <w:sz w:val="26"/>
                <w:szCs w:val="26"/>
              </w:rPr>
              <w:t>Effect On Revenue Requirement</w:t>
            </w:r>
          </w:p>
        </w:tc>
      </w:tr>
      <w:tr w:rsidR="00012DBC" w:rsidRPr="00695790" w:rsidTr="00695790">
        <w:tc>
          <w:tcPr>
            <w:tcW w:w="162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Sleepy Hollow</w:t>
            </w:r>
          </w:p>
        </w:tc>
        <w:tc>
          <w:tcPr>
            <w:tcW w:w="144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Negative</w:t>
            </w:r>
          </w:p>
        </w:tc>
        <w:tc>
          <w:tcPr>
            <w:tcW w:w="126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$99,921</w:t>
            </w:r>
          </w:p>
        </w:tc>
        <w:tc>
          <w:tcPr>
            <w:tcW w:w="216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Through June 30, 2030</w:t>
            </w:r>
          </w:p>
        </w:tc>
        <w:tc>
          <w:tcPr>
            <w:tcW w:w="144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$4,996</w:t>
            </w:r>
          </w:p>
        </w:tc>
        <w:tc>
          <w:tcPr>
            <w:tcW w:w="198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Reduction</w:t>
            </w:r>
          </w:p>
        </w:tc>
      </w:tr>
      <w:tr w:rsidR="00012DBC" w:rsidRPr="00695790" w:rsidTr="00695790">
        <w:tc>
          <w:tcPr>
            <w:tcW w:w="162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Washington Park</w:t>
            </w:r>
          </w:p>
        </w:tc>
        <w:tc>
          <w:tcPr>
            <w:tcW w:w="144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Negative</w:t>
            </w:r>
          </w:p>
        </w:tc>
        <w:tc>
          <w:tcPr>
            <w:tcW w:w="126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$11,493</w:t>
            </w:r>
          </w:p>
        </w:tc>
        <w:tc>
          <w:tcPr>
            <w:tcW w:w="216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Through June 30, 2030</w:t>
            </w:r>
          </w:p>
        </w:tc>
        <w:tc>
          <w:tcPr>
            <w:tcW w:w="144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$575</w:t>
            </w:r>
          </w:p>
        </w:tc>
        <w:tc>
          <w:tcPr>
            <w:tcW w:w="198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Reduction</w:t>
            </w:r>
          </w:p>
        </w:tc>
      </w:tr>
      <w:tr w:rsidR="00012DBC" w:rsidRPr="00695790" w:rsidTr="00695790">
        <w:tc>
          <w:tcPr>
            <w:tcW w:w="162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Cove Village</w:t>
            </w:r>
          </w:p>
        </w:tc>
        <w:tc>
          <w:tcPr>
            <w:tcW w:w="144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Negative</w:t>
            </w:r>
          </w:p>
        </w:tc>
        <w:tc>
          <w:tcPr>
            <w:tcW w:w="126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$154,358</w:t>
            </w:r>
          </w:p>
        </w:tc>
        <w:tc>
          <w:tcPr>
            <w:tcW w:w="216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Through June 30, 2030</w:t>
            </w:r>
          </w:p>
        </w:tc>
        <w:tc>
          <w:tcPr>
            <w:tcW w:w="144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$7,718</w:t>
            </w:r>
          </w:p>
        </w:tc>
        <w:tc>
          <w:tcPr>
            <w:tcW w:w="198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Reduction</w:t>
            </w:r>
          </w:p>
        </w:tc>
      </w:tr>
      <w:tr w:rsidR="00012DBC" w:rsidRPr="00695790" w:rsidTr="00695790">
        <w:tc>
          <w:tcPr>
            <w:tcW w:w="162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Clarendon</w:t>
            </w:r>
          </w:p>
        </w:tc>
        <w:tc>
          <w:tcPr>
            <w:tcW w:w="144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Positive</w:t>
            </w:r>
          </w:p>
        </w:tc>
        <w:tc>
          <w:tcPr>
            <w:tcW w:w="126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$201,107</w:t>
            </w:r>
          </w:p>
        </w:tc>
        <w:tc>
          <w:tcPr>
            <w:tcW w:w="216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Through June 30, 2030</w:t>
            </w:r>
          </w:p>
        </w:tc>
        <w:tc>
          <w:tcPr>
            <w:tcW w:w="144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$10,055</w:t>
            </w:r>
          </w:p>
        </w:tc>
        <w:tc>
          <w:tcPr>
            <w:tcW w:w="198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Increase</w:t>
            </w:r>
          </w:p>
        </w:tc>
      </w:tr>
      <w:tr w:rsidR="00012DBC" w:rsidRPr="00695790" w:rsidTr="00695790">
        <w:tc>
          <w:tcPr>
            <w:tcW w:w="162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Kratzerville</w:t>
            </w:r>
          </w:p>
        </w:tc>
        <w:tc>
          <w:tcPr>
            <w:tcW w:w="144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Positive</w:t>
            </w:r>
          </w:p>
        </w:tc>
        <w:tc>
          <w:tcPr>
            <w:tcW w:w="126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$56,599</w:t>
            </w:r>
          </w:p>
        </w:tc>
        <w:tc>
          <w:tcPr>
            <w:tcW w:w="216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Through June 30, 2030</w:t>
            </w:r>
          </w:p>
        </w:tc>
        <w:tc>
          <w:tcPr>
            <w:tcW w:w="144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$2,830</w:t>
            </w:r>
          </w:p>
        </w:tc>
        <w:tc>
          <w:tcPr>
            <w:tcW w:w="198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Increase</w:t>
            </w:r>
          </w:p>
        </w:tc>
      </w:tr>
      <w:tr w:rsidR="00012DBC" w:rsidRPr="00695790" w:rsidTr="00695790">
        <w:tc>
          <w:tcPr>
            <w:tcW w:w="162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Honesdale</w:t>
            </w:r>
          </w:p>
        </w:tc>
        <w:tc>
          <w:tcPr>
            <w:tcW w:w="144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Positive</w:t>
            </w:r>
          </w:p>
        </w:tc>
        <w:tc>
          <w:tcPr>
            <w:tcW w:w="126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$1,521,927</w:t>
            </w:r>
          </w:p>
        </w:tc>
        <w:tc>
          <w:tcPr>
            <w:tcW w:w="216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Through June 30, 2030</w:t>
            </w:r>
          </w:p>
        </w:tc>
        <w:tc>
          <w:tcPr>
            <w:tcW w:w="144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$76,096</w:t>
            </w:r>
          </w:p>
        </w:tc>
        <w:tc>
          <w:tcPr>
            <w:tcW w:w="1980" w:type="dxa"/>
          </w:tcPr>
          <w:p w:rsidR="00012DBC" w:rsidRPr="00695790" w:rsidRDefault="00012DBC" w:rsidP="00A76F8A">
            <w:pPr>
              <w:pStyle w:val="BodyText"/>
              <w:keepNext/>
              <w:keepLines/>
              <w:widowControl/>
              <w:rPr>
                <w:rFonts w:ascii="Times New Roman" w:hAnsi="Times New Roman"/>
                <w:sz w:val="26"/>
                <w:szCs w:val="26"/>
              </w:rPr>
            </w:pPr>
            <w:r w:rsidRPr="00695790">
              <w:rPr>
                <w:rFonts w:ascii="Times New Roman" w:hAnsi="Times New Roman"/>
                <w:sz w:val="26"/>
                <w:szCs w:val="26"/>
              </w:rPr>
              <w:t>Increase</w:t>
            </w:r>
          </w:p>
        </w:tc>
      </w:tr>
    </w:tbl>
    <w:p w:rsidR="00012DBC" w:rsidRDefault="00012DBC" w:rsidP="00A76F8A">
      <w:pPr>
        <w:spacing w:line="360" w:lineRule="auto"/>
        <w:ind w:left="1440" w:right="1440"/>
        <w:rPr>
          <w:b/>
          <w:sz w:val="26"/>
          <w:szCs w:val="26"/>
        </w:rPr>
      </w:pPr>
    </w:p>
    <w:p w:rsidR="00012DBC" w:rsidRDefault="00012DBC" w:rsidP="00A76F8A">
      <w:pPr>
        <w:spacing w:line="360" w:lineRule="auto"/>
        <w:ind w:left="1440" w:right="1440"/>
        <w:rPr>
          <w:sz w:val="26"/>
          <w:szCs w:val="26"/>
        </w:rPr>
      </w:pPr>
      <w:r w:rsidRPr="00695790">
        <w:rPr>
          <w:sz w:val="26"/>
          <w:szCs w:val="26"/>
        </w:rPr>
        <w:t>5.</w:t>
      </w:r>
      <w:r w:rsidRPr="00695790">
        <w:rPr>
          <w:sz w:val="26"/>
          <w:szCs w:val="26"/>
        </w:rPr>
        <w:tab/>
        <w:t>Quality of Service</w:t>
      </w:r>
    </w:p>
    <w:p w:rsidR="00D007EA" w:rsidRPr="00695790" w:rsidRDefault="00D007EA" w:rsidP="00A76F8A">
      <w:pPr>
        <w:spacing w:line="360" w:lineRule="auto"/>
        <w:ind w:left="1440" w:right="1440"/>
        <w:rPr>
          <w:sz w:val="26"/>
          <w:szCs w:val="26"/>
        </w:rPr>
      </w:pPr>
    </w:p>
    <w:p w:rsidR="00012DBC" w:rsidRDefault="00012DBC" w:rsidP="00A76F8A">
      <w:pPr>
        <w:spacing w:line="360" w:lineRule="auto"/>
        <w:ind w:left="1440" w:right="1440"/>
        <w:rPr>
          <w:sz w:val="26"/>
          <w:szCs w:val="26"/>
        </w:rPr>
      </w:pPr>
      <w:r w:rsidRPr="00695790">
        <w:rPr>
          <w:sz w:val="26"/>
          <w:szCs w:val="26"/>
        </w:rPr>
        <w:tab/>
        <w:t>a.</w:t>
      </w:r>
      <w:r w:rsidRPr="00695790">
        <w:rPr>
          <w:sz w:val="26"/>
          <w:szCs w:val="26"/>
        </w:rPr>
        <w:tab/>
        <w:t>Honesdale</w:t>
      </w:r>
    </w:p>
    <w:p w:rsidR="006D4A0B" w:rsidRDefault="006D4A0B" w:rsidP="00A76F8A">
      <w:pPr>
        <w:ind w:left="1440" w:right="1440"/>
        <w:rPr>
          <w:sz w:val="26"/>
          <w:szCs w:val="26"/>
        </w:rPr>
      </w:pPr>
    </w:p>
    <w:p w:rsidR="00012DBC" w:rsidRPr="00695790" w:rsidRDefault="00012DBC" w:rsidP="00A76F8A">
      <w:pPr>
        <w:ind w:left="1440" w:right="1440"/>
        <w:rPr>
          <w:sz w:val="26"/>
          <w:szCs w:val="26"/>
        </w:rPr>
      </w:pPr>
      <w:r w:rsidRPr="00695790">
        <w:rPr>
          <w:sz w:val="26"/>
          <w:szCs w:val="26"/>
        </w:rPr>
        <w:t>Aqua will submit semi-annual reports on the status of its construction projects, water quality complaints and Company responses to those complaints.  Aqua will provide treatment f</w:t>
      </w:r>
      <w:r w:rsidR="00C04869">
        <w:rPr>
          <w:sz w:val="26"/>
          <w:szCs w:val="26"/>
        </w:rPr>
        <w:t xml:space="preserve">or arsenic at the Quarry Well.  </w:t>
      </w:r>
      <w:r w:rsidRPr="00695790">
        <w:rPr>
          <w:sz w:val="26"/>
          <w:szCs w:val="26"/>
        </w:rPr>
        <w:t xml:space="preserve">Aqua will provide treatment for manganese and hydrogen sulfide at the Weidner Well.  Aqua will notify customers in advance when scheduled, </w:t>
      </w:r>
      <w:r w:rsidRPr="00695790">
        <w:rPr>
          <w:sz w:val="26"/>
          <w:szCs w:val="26"/>
        </w:rPr>
        <w:lastRenderedPageBreak/>
        <w:t xml:space="preserve">major construction activities occur and will fully comply with the Pennsylvania Dept. </w:t>
      </w:r>
      <w:r w:rsidR="006F5B67">
        <w:rPr>
          <w:sz w:val="26"/>
          <w:szCs w:val="26"/>
        </w:rPr>
        <w:t>of Environmental Protection’s (DEP</w:t>
      </w:r>
      <w:r w:rsidRPr="00695790">
        <w:rPr>
          <w:sz w:val="26"/>
          <w:szCs w:val="26"/>
        </w:rPr>
        <w:t>) notification procedures regarding the loss of positive pressure, as set forth in DEP Document No. 383-2129-004.</w:t>
      </w:r>
    </w:p>
    <w:p w:rsidR="00012DBC" w:rsidRPr="00695790" w:rsidRDefault="00012DBC" w:rsidP="00A76F8A">
      <w:pPr>
        <w:spacing w:line="360" w:lineRule="auto"/>
        <w:ind w:left="1440" w:right="1440"/>
        <w:rPr>
          <w:sz w:val="26"/>
          <w:szCs w:val="26"/>
        </w:rPr>
      </w:pPr>
    </w:p>
    <w:p w:rsidR="00012DBC" w:rsidRDefault="00012DBC" w:rsidP="00A76F8A">
      <w:pPr>
        <w:spacing w:line="360" w:lineRule="auto"/>
        <w:ind w:left="1440" w:right="1440"/>
        <w:rPr>
          <w:sz w:val="26"/>
          <w:szCs w:val="26"/>
        </w:rPr>
      </w:pPr>
      <w:r w:rsidRPr="00695790">
        <w:rPr>
          <w:sz w:val="26"/>
          <w:szCs w:val="26"/>
        </w:rPr>
        <w:tab/>
        <w:t>b.</w:t>
      </w:r>
      <w:r w:rsidRPr="00695790">
        <w:rPr>
          <w:sz w:val="26"/>
          <w:szCs w:val="26"/>
        </w:rPr>
        <w:tab/>
        <w:t xml:space="preserve">Michael Ciocco </w:t>
      </w:r>
    </w:p>
    <w:p w:rsidR="006F5B67" w:rsidRPr="00695790" w:rsidRDefault="006F5B67" w:rsidP="00A76F8A">
      <w:pPr>
        <w:spacing w:line="360" w:lineRule="auto"/>
        <w:ind w:left="1440" w:right="1440"/>
        <w:rPr>
          <w:sz w:val="26"/>
          <w:szCs w:val="26"/>
        </w:rPr>
      </w:pPr>
    </w:p>
    <w:p w:rsidR="00012DBC" w:rsidRPr="00695790" w:rsidRDefault="00012DBC" w:rsidP="00A76F8A">
      <w:pPr>
        <w:ind w:left="1440" w:right="1440"/>
        <w:rPr>
          <w:sz w:val="26"/>
          <w:szCs w:val="26"/>
        </w:rPr>
      </w:pPr>
      <w:r w:rsidRPr="00695790">
        <w:rPr>
          <w:sz w:val="26"/>
          <w:szCs w:val="26"/>
        </w:rPr>
        <w:t>Aqua will evaluate the feasibility of creating a separate booster zone to increase pressure to the residential area in which</w:t>
      </w:r>
      <w:r w:rsidR="00FA618E">
        <w:rPr>
          <w:sz w:val="26"/>
          <w:szCs w:val="26"/>
        </w:rPr>
        <w:t xml:space="preserve"> Mr. Ciocco currently resides.  </w:t>
      </w:r>
      <w:r w:rsidRPr="00695790">
        <w:rPr>
          <w:sz w:val="26"/>
          <w:szCs w:val="26"/>
        </w:rPr>
        <w:t>Aqua will provide the results of its analysis to Mr. Ciocco and to the Joint Parties within 120 days of the Commission’s approval of the Joint Settlement.  Aqua will confirm that all public fire hydrants in Mr. Ciocco’s current neighborhood flow at least 500 gallons per minute</w:t>
      </w:r>
      <w:r w:rsidR="00FA618E">
        <w:rPr>
          <w:sz w:val="26"/>
          <w:szCs w:val="26"/>
        </w:rPr>
        <w:t>,</w:t>
      </w:r>
      <w:r w:rsidRPr="00695790">
        <w:rPr>
          <w:sz w:val="26"/>
          <w:szCs w:val="26"/>
        </w:rPr>
        <w:t xml:space="preserve"> with residual pressure of 20 pounds per square inch.</w:t>
      </w:r>
    </w:p>
    <w:p w:rsidR="00012DBC" w:rsidRPr="00695790" w:rsidRDefault="00012DBC" w:rsidP="00A76F8A">
      <w:pPr>
        <w:spacing w:line="360" w:lineRule="auto"/>
        <w:ind w:left="1440" w:right="1440"/>
        <w:rPr>
          <w:sz w:val="26"/>
          <w:szCs w:val="26"/>
        </w:rPr>
      </w:pPr>
    </w:p>
    <w:p w:rsidR="00012DBC" w:rsidRDefault="00012DBC" w:rsidP="00A76F8A">
      <w:pPr>
        <w:numPr>
          <w:ilvl w:val="1"/>
          <w:numId w:val="26"/>
        </w:numPr>
        <w:tabs>
          <w:tab w:val="clear" w:pos="3910"/>
          <w:tab w:val="num" w:pos="2860"/>
        </w:tabs>
        <w:spacing w:line="360" w:lineRule="auto"/>
        <w:ind w:right="1440" w:hanging="1700"/>
        <w:rPr>
          <w:sz w:val="26"/>
          <w:szCs w:val="26"/>
        </w:rPr>
      </w:pPr>
      <w:r w:rsidRPr="00695790">
        <w:rPr>
          <w:sz w:val="26"/>
          <w:szCs w:val="26"/>
        </w:rPr>
        <w:t>Deerfield Knoll</w:t>
      </w:r>
    </w:p>
    <w:p w:rsidR="006F5B67" w:rsidRPr="00695790" w:rsidRDefault="006F5B67" w:rsidP="00A76F8A">
      <w:pPr>
        <w:spacing w:line="360" w:lineRule="auto"/>
        <w:ind w:left="3910" w:right="1440"/>
        <w:rPr>
          <w:sz w:val="26"/>
          <w:szCs w:val="26"/>
        </w:rPr>
      </w:pPr>
    </w:p>
    <w:p w:rsidR="00012DBC" w:rsidRDefault="00012DBC" w:rsidP="00A76F8A">
      <w:pPr>
        <w:ind w:left="1426" w:right="1440"/>
        <w:rPr>
          <w:sz w:val="26"/>
          <w:szCs w:val="26"/>
        </w:rPr>
      </w:pPr>
      <w:r w:rsidRPr="00695790">
        <w:rPr>
          <w:sz w:val="26"/>
          <w:szCs w:val="26"/>
        </w:rPr>
        <w:t>Aqua will evaluate the feasibility of replacing the existing 2” main that feeds the upper elevations in Deerfield Knoll.  Aqua will report the results of this analysis to the Deerfield Knoll community and the Joint Parties within 120 days of Commission approval of the Joint Settlement Petition.</w:t>
      </w:r>
    </w:p>
    <w:p w:rsidR="003D0A23" w:rsidRDefault="003D0A23" w:rsidP="00A76F8A">
      <w:pPr>
        <w:ind w:left="1426" w:right="1440"/>
        <w:rPr>
          <w:sz w:val="26"/>
          <w:szCs w:val="26"/>
        </w:rPr>
      </w:pPr>
    </w:p>
    <w:p w:rsidR="00012DBC" w:rsidRDefault="00012DBC" w:rsidP="00A76F8A">
      <w:pPr>
        <w:numPr>
          <w:ilvl w:val="1"/>
          <w:numId w:val="26"/>
        </w:numPr>
        <w:tabs>
          <w:tab w:val="clear" w:pos="3910"/>
          <w:tab w:val="num" w:pos="2860"/>
        </w:tabs>
        <w:spacing w:line="360" w:lineRule="auto"/>
        <w:ind w:left="3902" w:right="1440" w:hanging="1699"/>
        <w:rPr>
          <w:sz w:val="26"/>
          <w:szCs w:val="26"/>
        </w:rPr>
      </w:pPr>
      <w:r w:rsidRPr="00695790">
        <w:rPr>
          <w:sz w:val="26"/>
          <w:szCs w:val="26"/>
        </w:rPr>
        <w:t>Saddle Ridge</w:t>
      </w:r>
    </w:p>
    <w:p w:rsidR="006F5B67" w:rsidRPr="00695790" w:rsidRDefault="006F5B67" w:rsidP="00A76F8A">
      <w:pPr>
        <w:spacing w:line="360" w:lineRule="auto"/>
        <w:ind w:left="3910" w:right="1440"/>
        <w:rPr>
          <w:sz w:val="26"/>
          <w:szCs w:val="26"/>
        </w:rPr>
      </w:pPr>
    </w:p>
    <w:p w:rsidR="00B974CB" w:rsidRDefault="00012DBC" w:rsidP="00A76F8A">
      <w:pPr>
        <w:ind w:left="1426" w:right="1440"/>
        <w:rPr>
          <w:sz w:val="26"/>
          <w:szCs w:val="26"/>
        </w:rPr>
      </w:pPr>
      <w:r w:rsidRPr="00695790">
        <w:rPr>
          <w:sz w:val="26"/>
          <w:szCs w:val="26"/>
        </w:rPr>
        <w:t>Aqua will evaluate the feasibility of installing fire hydrants within the Saddle Ridge development and will report the results of its analysis to the Saddle Ridge community and the Joint Parties within 120 days of Commission approval of the Joint Settlement Petition.</w:t>
      </w:r>
    </w:p>
    <w:p w:rsidR="00B974CB" w:rsidRDefault="00B974CB" w:rsidP="00A76F8A">
      <w:pPr>
        <w:ind w:left="1426" w:right="1440"/>
        <w:rPr>
          <w:sz w:val="26"/>
          <w:szCs w:val="26"/>
        </w:rPr>
      </w:pPr>
    </w:p>
    <w:p w:rsidR="00012DBC" w:rsidRDefault="005F67B6" w:rsidP="00A76F8A">
      <w:pPr>
        <w:ind w:left="2146" w:right="1440" w:firstLine="14"/>
        <w:rPr>
          <w:sz w:val="26"/>
          <w:szCs w:val="26"/>
        </w:rPr>
      </w:pPr>
      <w:r>
        <w:rPr>
          <w:sz w:val="26"/>
          <w:szCs w:val="26"/>
        </w:rPr>
        <w:t>e.</w:t>
      </w:r>
      <w:r>
        <w:rPr>
          <w:sz w:val="26"/>
          <w:szCs w:val="26"/>
        </w:rPr>
        <w:tab/>
      </w:r>
      <w:r w:rsidR="00012DBC" w:rsidRPr="00695790">
        <w:rPr>
          <w:sz w:val="26"/>
          <w:szCs w:val="26"/>
        </w:rPr>
        <w:t>Conneaut Lake</w:t>
      </w:r>
    </w:p>
    <w:p w:rsidR="005F67B6" w:rsidRPr="00695790" w:rsidRDefault="005F67B6" w:rsidP="00A76F8A">
      <w:pPr>
        <w:ind w:left="2146" w:right="1440" w:firstLine="14"/>
        <w:rPr>
          <w:sz w:val="26"/>
          <w:szCs w:val="26"/>
        </w:rPr>
      </w:pPr>
    </w:p>
    <w:p w:rsidR="00012DBC" w:rsidRPr="00695790" w:rsidRDefault="00012DBC" w:rsidP="00A76F8A">
      <w:pPr>
        <w:ind w:left="1440" w:right="1440"/>
        <w:rPr>
          <w:sz w:val="26"/>
          <w:szCs w:val="26"/>
        </w:rPr>
      </w:pPr>
      <w:r w:rsidRPr="00695790">
        <w:rPr>
          <w:sz w:val="26"/>
          <w:szCs w:val="26"/>
        </w:rPr>
        <w:t xml:space="preserve">Aqua will submit semi-annual reports on the status of its construction projects, water quality complaints and Company responses to those complaints.  Aqua will install sequestering equipment at the Oakland Beach Well and notify customers in </w:t>
      </w:r>
      <w:r w:rsidRPr="00695790">
        <w:rPr>
          <w:sz w:val="26"/>
          <w:szCs w:val="26"/>
        </w:rPr>
        <w:lastRenderedPageBreak/>
        <w:t>advance when scheduled, major construction activities occur.  Aqua will fully comply with DEP notification procedures regarding the loss of positive pressure, as set forth in DEP Document No. 383-2129-004.</w:t>
      </w:r>
    </w:p>
    <w:p w:rsidR="00012DBC" w:rsidRPr="00695790" w:rsidRDefault="00012DBC" w:rsidP="00A76F8A">
      <w:pPr>
        <w:spacing w:line="360" w:lineRule="auto"/>
        <w:ind w:left="1440" w:right="1440"/>
        <w:rPr>
          <w:sz w:val="26"/>
          <w:szCs w:val="26"/>
        </w:rPr>
      </w:pPr>
    </w:p>
    <w:p w:rsidR="00012DBC" w:rsidRPr="00695790" w:rsidRDefault="00012DBC" w:rsidP="00A76F8A">
      <w:pPr>
        <w:numPr>
          <w:ilvl w:val="1"/>
          <w:numId w:val="26"/>
        </w:numPr>
        <w:tabs>
          <w:tab w:val="clear" w:pos="3910"/>
          <w:tab w:val="num" w:pos="2860"/>
        </w:tabs>
        <w:spacing w:line="360" w:lineRule="auto"/>
        <w:ind w:right="1440" w:hanging="1700"/>
        <w:rPr>
          <w:sz w:val="26"/>
          <w:szCs w:val="26"/>
        </w:rPr>
      </w:pPr>
      <w:r w:rsidRPr="00695790">
        <w:rPr>
          <w:sz w:val="26"/>
          <w:szCs w:val="26"/>
        </w:rPr>
        <w:t>Oneida</w:t>
      </w:r>
    </w:p>
    <w:p w:rsidR="005F67B6" w:rsidRDefault="005F67B6" w:rsidP="00A76F8A">
      <w:pPr>
        <w:spacing w:line="360" w:lineRule="auto"/>
        <w:ind w:left="1440" w:right="1440"/>
        <w:rPr>
          <w:sz w:val="26"/>
          <w:szCs w:val="26"/>
        </w:rPr>
      </w:pPr>
    </w:p>
    <w:p w:rsidR="00012DBC" w:rsidRDefault="00012DBC" w:rsidP="00A76F8A">
      <w:pPr>
        <w:ind w:left="1440" w:right="1440"/>
        <w:rPr>
          <w:sz w:val="26"/>
          <w:szCs w:val="26"/>
        </w:rPr>
      </w:pPr>
      <w:r w:rsidRPr="00695790">
        <w:rPr>
          <w:sz w:val="26"/>
          <w:szCs w:val="26"/>
        </w:rPr>
        <w:t>Aqua will submit semi-annual reports o</w:t>
      </w:r>
      <w:r w:rsidR="004F3B1E">
        <w:rPr>
          <w:sz w:val="26"/>
          <w:szCs w:val="26"/>
        </w:rPr>
        <w:t>n the status of its construction</w:t>
      </w:r>
      <w:r w:rsidRPr="00695790">
        <w:rPr>
          <w:sz w:val="26"/>
          <w:szCs w:val="26"/>
        </w:rPr>
        <w:t xml:space="preserve"> projects, water quality complaints and Company responses to those complaints.  Aqua will notify customers in advance when scheduled, major construction activities occur and will fully comply with the DEP notification procedures regarding the loss of positive pressure, as set forth in DEP Document No. 383-2129-004.</w:t>
      </w:r>
    </w:p>
    <w:p w:rsidR="004F3B1E" w:rsidRPr="00695790" w:rsidRDefault="004F3B1E" w:rsidP="00A76F8A">
      <w:pPr>
        <w:ind w:left="1440" w:right="1440"/>
        <w:rPr>
          <w:sz w:val="26"/>
          <w:szCs w:val="26"/>
        </w:rPr>
      </w:pPr>
    </w:p>
    <w:p w:rsidR="00012DBC" w:rsidRPr="00695790" w:rsidRDefault="00012DBC" w:rsidP="00A76F8A">
      <w:pPr>
        <w:ind w:left="1426" w:right="1440"/>
        <w:rPr>
          <w:sz w:val="26"/>
          <w:szCs w:val="26"/>
        </w:rPr>
      </w:pPr>
      <w:r w:rsidRPr="00695790">
        <w:rPr>
          <w:sz w:val="26"/>
          <w:szCs w:val="26"/>
        </w:rPr>
        <w:t xml:space="preserve">6. </w:t>
      </w:r>
      <w:r w:rsidRPr="00695790">
        <w:rPr>
          <w:sz w:val="26"/>
          <w:szCs w:val="26"/>
        </w:rPr>
        <w:tab/>
        <w:t>Aqua withdraws its proposed Energy Cost Adjustment and Purchased Water Adjustment, and the Joint Parties agree that the withdrawal is without prejudice to Aqua’s right to propose such adjustments in the future.</w:t>
      </w:r>
    </w:p>
    <w:p w:rsidR="00086CD0" w:rsidRPr="00695790" w:rsidRDefault="00086CD0" w:rsidP="00A76F8A">
      <w:pPr>
        <w:spacing w:line="360" w:lineRule="auto"/>
        <w:ind w:left="3420" w:right="1440"/>
        <w:rPr>
          <w:sz w:val="26"/>
          <w:szCs w:val="26"/>
        </w:rPr>
      </w:pPr>
    </w:p>
    <w:p w:rsidR="00012DBC" w:rsidRPr="00695790" w:rsidRDefault="00012DBC" w:rsidP="00A76F8A">
      <w:pPr>
        <w:ind w:left="1426" w:right="1440"/>
        <w:rPr>
          <w:sz w:val="26"/>
          <w:szCs w:val="26"/>
        </w:rPr>
      </w:pPr>
      <w:r w:rsidRPr="00695790">
        <w:rPr>
          <w:sz w:val="26"/>
          <w:szCs w:val="26"/>
        </w:rPr>
        <w:t>7.</w:t>
      </w:r>
      <w:r w:rsidRPr="00695790">
        <w:rPr>
          <w:sz w:val="26"/>
          <w:szCs w:val="26"/>
        </w:rPr>
        <w:tab/>
        <w:t>Aqua will eva</w:t>
      </w:r>
      <w:r w:rsidR="004F3B1E">
        <w:rPr>
          <w:sz w:val="26"/>
          <w:szCs w:val="26"/>
        </w:rPr>
        <w:t>luate decreasing the usage excee</w:t>
      </w:r>
      <w:r w:rsidRPr="00695790">
        <w:rPr>
          <w:sz w:val="26"/>
          <w:szCs w:val="26"/>
        </w:rPr>
        <w:t>dance that triggers a notification on customers’ bills and will develop an Internet website to be linked to the bill message focused on conservation and possible causes of high usage.</w:t>
      </w:r>
    </w:p>
    <w:p w:rsidR="00012DBC" w:rsidRDefault="00012DBC" w:rsidP="00A76F8A">
      <w:pPr>
        <w:spacing w:line="360" w:lineRule="auto"/>
        <w:ind w:left="1430" w:right="1440"/>
        <w:rPr>
          <w:sz w:val="26"/>
          <w:szCs w:val="26"/>
        </w:rPr>
      </w:pPr>
    </w:p>
    <w:p w:rsidR="00012DBC" w:rsidRPr="00695790" w:rsidRDefault="00012DBC" w:rsidP="00A76F8A">
      <w:pPr>
        <w:numPr>
          <w:ilvl w:val="0"/>
          <w:numId w:val="21"/>
        </w:numPr>
        <w:ind w:left="1426" w:right="1440" w:firstLine="0"/>
        <w:rPr>
          <w:sz w:val="26"/>
          <w:szCs w:val="26"/>
        </w:rPr>
      </w:pPr>
      <w:r w:rsidRPr="00695790">
        <w:rPr>
          <w:sz w:val="26"/>
          <w:szCs w:val="26"/>
        </w:rPr>
        <w:t>Aqua will match the current Helping Hand contribution donated directly by customers up to a total of $50,0</w:t>
      </w:r>
      <w:r w:rsidR="00ED1104">
        <w:rPr>
          <w:sz w:val="26"/>
          <w:szCs w:val="26"/>
        </w:rPr>
        <w:t xml:space="preserve">00.00 over the next two years.  </w:t>
      </w:r>
      <w:r w:rsidRPr="00695790">
        <w:rPr>
          <w:sz w:val="26"/>
          <w:szCs w:val="26"/>
        </w:rPr>
        <w:t>Aqua will continue to promote awareness of the program to customers and local agencies for each county within the Company’s service territory.</w:t>
      </w:r>
    </w:p>
    <w:p w:rsidR="009A35D8" w:rsidRPr="00853801" w:rsidRDefault="009A35D8" w:rsidP="00A76F8A">
      <w:pPr>
        <w:autoSpaceDE w:val="0"/>
        <w:autoSpaceDN w:val="0"/>
        <w:adjustRightInd w:val="0"/>
        <w:ind w:left="1440" w:right="1440"/>
        <w:rPr>
          <w:sz w:val="26"/>
        </w:rPr>
      </w:pPr>
      <w:r w:rsidRPr="00853801">
        <w:rPr>
          <w:sz w:val="26"/>
        </w:rPr>
        <w:tab/>
      </w:r>
    </w:p>
    <w:p w:rsidR="009A35D8" w:rsidRDefault="00086CD0" w:rsidP="00A76F8A">
      <w:pPr>
        <w:rPr>
          <w:sz w:val="26"/>
        </w:rPr>
      </w:pPr>
      <w:r>
        <w:rPr>
          <w:sz w:val="26"/>
        </w:rPr>
        <w:t>R.D. at 12-21.</w:t>
      </w:r>
    </w:p>
    <w:p w:rsidR="00557646" w:rsidRDefault="00557646" w:rsidP="00A76F8A">
      <w:pPr>
        <w:autoSpaceDE w:val="0"/>
        <w:autoSpaceDN w:val="0"/>
        <w:adjustRightInd w:val="0"/>
        <w:spacing w:line="360" w:lineRule="auto"/>
        <w:rPr>
          <w:b/>
          <w:sz w:val="26"/>
        </w:rPr>
      </w:pPr>
    </w:p>
    <w:p w:rsidR="00531C51" w:rsidRPr="00336065" w:rsidRDefault="00531C51" w:rsidP="0085502C">
      <w:pPr>
        <w:spacing w:line="360" w:lineRule="auto"/>
        <w:ind w:firstLine="1440"/>
        <w:rPr>
          <w:sz w:val="26"/>
          <w:szCs w:val="26"/>
        </w:rPr>
      </w:pPr>
      <w:r w:rsidRPr="00336065">
        <w:rPr>
          <w:sz w:val="26"/>
          <w:szCs w:val="26"/>
        </w:rPr>
        <w:t>The Joint Settlement is proposed by the Joint Parties to settle the instant case and is made without any admission against, or prejudice to, any position which any joint party might adopt during subsequent litigation, including further litigation of this proceeding.  It is understood, however, that the amortizations of acquisitions</w:t>
      </w:r>
      <w:r w:rsidR="00082954">
        <w:rPr>
          <w:sz w:val="26"/>
          <w:szCs w:val="26"/>
        </w:rPr>
        <w:t xml:space="preserve"> adjustments </w:t>
      </w:r>
      <w:r w:rsidR="00082954">
        <w:rPr>
          <w:sz w:val="26"/>
          <w:szCs w:val="26"/>
        </w:rPr>
        <w:lastRenderedPageBreak/>
        <w:t xml:space="preserve">in paragraph 4, </w:t>
      </w:r>
      <w:r w:rsidR="00082954" w:rsidRPr="00082954">
        <w:rPr>
          <w:i/>
          <w:sz w:val="26"/>
          <w:szCs w:val="26"/>
        </w:rPr>
        <w:t>supra</w:t>
      </w:r>
      <w:r w:rsidRPr="00336065">
        <w:rPr>
          <w:sz w:val="26"/>
          <w:szCs w:val="26"/>
        </w:rPr>
        <w:t>, shall be binding upon the Joint Parties in future proceedings</w:t>
      </w:r>
      <w:r w:rsidR="00B1768D">
        <w:rPr>
          <w:sz w:val="26"/>
          <w:szCs w:val="26"/>
        </w:rPr>
        <w:t>,</w:t>
      </w:r>
      <w:r w:rsidRPr="00336065">
        <w:rPr>
          <w:sz w:val="26"/>
          <w:szCs w:val="26"/>
        </w:rPr>
        <w:t xml:space="preserve"> should the Joint Settlement be approved.  The Joint Settlement is conditioned upon the Commission’s approval of the</w:t>
      </w:r>
      <w:r w:rsidR="00305300">
        <w:rPr>
          <w:sz w:val="26"/>
          <w:szCs w:val="26"/>
        </w:rPr>
        <w:t xml:space="preserve"> terms and conditions contained t</w:t>
      </w:r>
      <w:r w:rsidRPr="00336065">
        <w:rPr>
          <w:sz w:val="26"/>
          <w:szCs w:val="26"/>
        </w:rPr>
        <w:t xml:space="preserve">herein without modification.  If the Commission should disapprove the Joint Settlement or modify the terms and conditions </w:t>
      </w:r>
      <w:r w:rsidR="00305300">
        <w:rPr>
          <w:sz w:val="26"/>
          <w:szCs w:val="26"/>
        </w:rPr>
        <w:t>t</w:t>
      </w:r>
      <w:r w:rsidRPr="00336065">
        <w:rPr>
          <w:sz w:val="26"/>
          <w:szCs w:val="26"/>
        </w:rPr>
        <w:t>herein, the Joint Settlement may be withdrawn upon written notice to</w:t>
      </w:r>
      <w:r w:rsidR="00B1768D">
        <w:rPr>
          <w:sz w:val="26"/>
          <w:szCs w:val="26"/>
        </w:rPr>
        <w:t xml:space="preserve"> the Commission and all active P</w:t>
      </w:r>
      <w:r w:rsidRPr="00336065">
        <w:rPr>
          <w:sz w:val="26"/>
          <w:szCs w:val="26"/>
        </w:rPr>
        <w:t xml:space="preserve">arties within three business days following entry of the Commission’s Order by any of the Joint Parties and, in such event, shall be of no force and effect.  In the event that the Commission </w:t>
      </w:r>
      <w:r w:rsidR="00B1768D">
        <w:rPr>
          <w:sz w:val="26"/>
          <w:szCs w:val="26"/>
        </w:rPr>
        <w:t>should disapprove</w:t>
      </w:r>
      <w:r w:rsidRPr="00336065">
        <w:rPr>
          <w:sz w:val="26"/>
          <w:szCs w:val="26"/>
        </w:rPr>
        <w:t xml:space="preserve"> the Joint Settlement or</w:t>
      </w:r>
      <w:r w:rsidR="00B1768D">
        <w:rPr>
          <w:sz w:val="26"/>
          <w:szCs w:val="26"/>
        </w:rPr>
        <w:t xml:space="preserve"> that</w:t>
      </w:r>
      <w:r w:rsidRPr="00336065">
        <w:rPr>
          <w:sz w:val="26"/>
          <w:szCs w:val="26"/>
        </w:rPr>
        <w:t xml:space="preserve"> </w:t>
      </w:r>
      <w:r w:rsidR="00076EFE">
        <w:rPr>
          <w:sz w:val="26"/>
          <w:szCs w:val="26"/>
        </w:rPr>
        <w:t>the Company or any other J</w:t>
      </w:r>
      <w:r w:rsidR="00B1768D">
        <w:rPr>
          <w:sz w:val="26"/>
          <w:szCs w:val="26"/>
        </w:rPr>
        <w:t>oint P</w:t>
      </w:r>
      <w:r w:rsidRPr="00336065">
        <w:rPr>
          <w:sz w:val="26"/>
          <w:szCs w:val="26"/>
        </w:rPr>
        <w:t xml:space="preserve">arty </w:t>
      </w:r>
      <w:r w:rsidR="00B1768D">
        <w:rPr>
          <w:sz w:val="26"/>
          <w:szCs w:val="26"/>
        </w:rPr>
        <w:t>should elect</w:t>
      </w:r>
      <w:r w:rsidRPr="00336065">
        <w:rPr>
          <w:sz w:val="26"/>
          <w:szCs w:val="26"/>
        </w:rPr>
        <w:t xml:space="preserve"> to withdraw</w:t>
      </w:r>
      <w:r w:rsidR="00B1768D">
        <w:rPr>
          <w:sz w:val="26"/>
          <w:szCs w:val="26"/>
        </w:rPr>
        <w:t>,</w:t>
      </w:r>
      <w:r w:rsidRPr="00336065">
        <w:rPr>
          <w:sz w:val="26"/>
          <w:szCs w:val="26"/>
        </w:rPr>
        <w:t xml:space="preserve"> as provided above, the Joint Parties reserve their respective rights to fully litigate this case, including but not limited to presentation of witnesses, cross-examination and legal argument through submission of Briefs, Exceptions and Replies to Exceptions.</w:t>
      </w:r>
    </w:p>
    <w:p w:rsidR="00363B8C" w:rsidRDefault="00363B8C" w:rsidP="00A76F8A">
      <w:pPr>
        <w:rPr>
          <w:sz w:val="26"/>
        </w:rPr>
      </w:pPr>
    </w:p>
    <w:p w:rsidR="002A1DAE" w:rsidRPr="000D1D4E" w:rsidRDefault="00C1246C" w:rsidP="00A76F8A">
      <w:pPr>
        <w:pStyle w:val="Heading2"/>
        <w:widowControl/>
        <w:rPr>
          <w:i/>
        </w:rPr>
      </w:pPr>
      <w:bookmarkStart w:id="8" w:name="_Toc264354744"/>
      <w:r>
        <w:t>C</w:t>
      </w:r>
      <w:r w:rsidR="002A1DAE" w:rsidRPr="000D1D4E">
        <w:t>.</w:t>
      </w:r>
      <w:r w:rsidR="002A1DAE" w:rsidRPr="000D1D4E">
        <w:tab/>
      </w:r>
      <w:r w:rsidR="002A1DAE">
        <w:t>Applicable Law</w:t>
      </w:r>
      <w:bookmarkEnd w:id="8"/>
    </w:p>
    <w:p w:rsidR="00363B8C" w:rsidRDefault="00363B8C" w:rsidP="00A76F8A">
      <w:pPr>
        <w:rPr>
          <w:sz w:val="26"/>
        </w:rPr>
      </w:pPr>
    </w:p>
    <w:p w:rsidR="001F43DE" w:rsidRPr="00374306" w:rsidRDefault="001F43DE" w:rsidP="00A76F8A">
      <w:pPr>
        <w:spacing w:line="360" w:lineRule="auto"/>
        <w:ind w:firstLine="1440"/>
        <w:rPr>
          <w:sz w:val="26"/>
          <w:szCs w:val="26"/>
        </w:rPr>
      </w:pPr>
      <w:r w:rsidRPr="00374306">
        <w:rPr>
          <w:sz w:val="26"/>
          <w:szCs w:val="26"/>
        </w:rPr>
        <w:t>The purpose of this investigation is to establish rates for Aqua customers which are “just and reasonable” pursuant to Section 1301 of the Public Utility Code</w:t>
      </w:r>
      <w:r w:rsidR="007305E4">
        <w:rPr>
          <w:sz w:val="26"/>
          <w:szCs w:val="26"/>
        </w:rPr>
        <w:t xml:space="preserve"> (Code)</w:t>
      </w:r>
      <w:r w:rsidRPr="00374306">
        <w:rPr>
          <w:sz w:val="26"/>
          <w:szCs w:val="26"/>
        </w:rPr>
        <w:t xml:space="preserve">, </w:t>
      </w:r>
      <w:r w:rsidR="00374306">
        <w:rPr>
          <w:sz w:val="26"/>
          <w:szCs w:val="26"/>
        </w:rPr>
        <w:t>66 </w:t>
      </w:r>
      <w:r w:rsidRPr="00374306">
        <w:rPr>
          <w:sz w:val="26"/>
          <w:szCs w:val="26"/>
        </w:rPr>
        <w:t>Pa.</w:t>
      </w:r>
      <w:r w:rsidR="007305E4">
        <w:rPr>
          <w:sz w:val="26"/>
          <w:szCs w:val="26"/>
        </w:rPr>
        <w:t xml:space="preserve"> </w:t>
      </w:r>
      <w:r w:rsidRPr="00374306">
        <w:rPr>
          <w:sz w:val="26"/>
          <w:szCs w:val="26"/>
        </w:rPr>
        <w:t>C.S. § 1301.</w:t>
      </w:r>
      <w:r w:rsidR="007305E4">
        <w:rPr>
          <w:sz w:val="26"/>
          <w:szCs w:val="26"/>
        </w:rPr>
        <w:t xml:space="preserve">  A public</w:t>
      </w:r>
      <w:r w:rsidRPr="00374306">
        <w:rPr>
          <w:sz w:val="26"/>
          <w:szCs w:val="26"/>
        </w:rPr>
        <w:t xml:space="preserve"> utility seeking a general rate increase is entitled to an opportunity to earn a fair rate of return on the value of the property dedicated to public service.  </w:t>
      </w:r>
      <w:r w:rsidRPr="00374306">
        <w:rPr>
          <w:i/>
          <w:sz w:val="26"/>
          <w:szCs w:val="26"/>
        </w:rPr>
        <w:t>Pennsylvania Gas and Water Co. v. Pennsylvania Pub. Util. Comm’n</w:t>
      </w:r>
      <w:r w:rsidRPr="00374306">
        <w:rPr>
          <w:sz w:val="26"/>
          <w:szCs w:val="26"/>
        </w:rPr>
        <w:t xml:space="preserve">, 341 A.2d 239 (Pa. Cmwlth. 1975).  In determining what constitutes a fair rate of return, the Commission is guided by the criteria set forth in </w:t>
      </w:r>
      <w:r w:rsidRPr="00374306">
        <w:rPr>
          <w:i/>
          <w:sz w:val="26"/>
          <w:szCs w:val="26"/>
        </w:rPr>
        <w:t>Bluefield Water Works and Improvement Co. v. Public Service Comm’n of West Virginia,</w:t>
      </w:r>
      <w:r w:rsidRPr="00374306">
        <w:rPr>
          <w:sz w:val="26"/>
          <w:szCs w:val="26"/>
        </w:rPr>
        <w:t xml:space="preserve"> 262 U.S. 679 (1923) and </w:t>
      </w:r>
      <w:r w:rsidRPr="00374306">
        <w:rPr>
          <w:i/>
          <w:sz w:val="26"/>
          <w:szCs w:val="26"/>
        </w:rPr>
        <w:t>Federal Power Comm’n v. Hope Natural Gas Co.</w:t>
      </w:r>
      <w:r w:rsidRPr="00374306">
        <w:rPr>
          <w:sz w:val="26"/>
          <w:szCs w:val="26"/>
        </w:rPr>
        <w:t xml:space="preserve">, 320 U.S. 591 (1944).  In </w:t>
      </w:r>
      <w:r w:rsidRPr="00374306">
        <w:rPr>
          <w:i/>
          <w:sz w:val="26"/>
          <w:szCs w:val="26"/>
        </w:rPr>
        <w:t>Bluefield</w:t>
      </w:r>
      <w:r w:rsidRPr="00374306">
        <w:rPr>
          <w:sz w:val="26"/>
          <w:szCs w:val="26"/>
        </w:rPr>
        <w:t xml:space="preserve"> the United States Supreme Court stated:</w:t>
      </w:r>
    </w:p>
    <w:p w:rsidR="001F43DE" w:rsidRPr="00374306" w:rsidRDefault="001F43DE" w:rsidP="00A76F8A">
      <w:pPr>
        <w:spacing w:line="360" w:lineRule="auto"/>
        <w:rPr>
          <w:sz w:val="26"/>
          <w:szCs w:val="26"/>
        </w:rPr>
      </w:pPr>
    </w:p>
    <w:p w:rsidR="001F43DE" w:rsidRPr="00374306" w:rsidRDefault="001F43DE" w:rsidP="00A76F8A">
      <w:pPr>
        <w:ind w:left="1440" w:right="1440"/>
        <w:rPr>
          <w:sz w:val="26"/>
          <w:szCs w:val="26"/>
        </w:rPr>
      </w:pPr>
      <w:r w:rsidRPr="00374306">
        <w:rPr>
          <w:sz w:val="26"/>
          <w:szCs w:val="26"/>
        </w:rPr>
        <w:t xml:space="preserve">A public utility is entitled to such rates as will permit it to earn a return on the value of the property which it employs for the convenience of the public equal to that generally being made at the same time and in the same general part of the </w:t>
      </w:r>
      <w:r w:rsidRPr="00374306">
        <w:rPr>
          <w:sz w:val="26"/>
          <w:szCs w:val="26"/>
        </w:rPr>
        <w:lastRenderedPageBreak/>
        <w:t>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rsidR="001F43DE" w:rsidRPr="00374306" w:rsidRDefault="001F43DE" w:rsidP="00A76F8A">
      <w:pPr>
        <w:ind w:left="1440" w:right="1440"/>
        <w:rPr>
          <w:sz w:val="26"/>
          <w:szCs w:val="26"/>
        </w:rPr>
      </w:pPr>
    </w:p>
    <w:p w:rsidR="001F43DE" w:rsidRPr="00374306" w:rsidRDefault="001F43DE" w:rsidP="00A76F8A">
      <w:pPr>
        <w:pStyle w:val="BodyText"/>
        <w:widowControl/>
        <w:spacing w:line="360" w:lineRule="auto"/>
        <w:rPr>
          <w:rFonts w:ascii="Times New Roman" w:hAnsi="Times New Roman"/>
          <w:sz w:val="26"/>
          <w:szCs w:val="26"/>
        </w:rPr>
      </w:pPr>
      <w:r w:rsidRPr="00374306">
        <w:rPr>
          <w:rFonts w:ascii="Times New Roman" w:hAnsi="Times New Roman"/>
          <w:i/>
          <w:sz w:val="26"/>
          <w:szCs w:val="26"/>
        </w:rPr>
        <w:t>Bluefield</w:t>
      </w:r>
      <w:r w:rsidR="005F19BC">
        <w:rPr>
          <w:rFonts w:ascii="Times New Roman" w:hAnsi="Times New Roman"/>
          <w:i/>
          <w:sz w:val="26"/>
          <w:szCs w:val="26"/>
        </w:rPr>
        <w:t xml:space="preserve">, </w:t>
      </w:r>
      <w:r w:rsidR="005F19BC">
        <w:rPr>
          <w:rFonts w:ascii="Times New Roman" w:hAnsi="Times New Roman"/>
          <w:sz w:val="26"/>
          <w:szCs w:val="26"/>
        </w:rPr>
        <w:t>262 U.S. at 692-3</w:t>
      </w:r>
      <w:r w:rsidRPr="00374306">
        <w:rPr>
          <w:rFonts w:ascii="Times New Roman" w:hAnsi="Times New Roman"/>
          <w:sz w:val="26"/>
          <w:szCs w:val="26"/>
        </w:rPr>
        <w:t>.</w:t>
      </w:r>
    </w:p>
    <w:p w:rsidR="001F43DE" w:rsidRPr="00374306" w:rsidRDefault="001F43DE" w:rsidP="00A76F8A">
      <w:pPr>
        <w:suppressAutoHyphens/>
        <w:spacing w:line="360" w:lineRule="auto"/>
        <w:ind w:firstLine="1440"/>
        <w:rPr>
          <w:spacing w:val="-3"/>
          <w:sz w:val="26"/>
          <w:szCs w:val="26"/>
        </w:rPr>
      </w:pPr>
    </w:p>
    <w:p w:rsidR="001F43DE" w:rsidRPr="00374306" w:rsidRDefault="001F43DE" w:rsidP="005128B9">
      <w:pPr>
        <w:suppressAutoHyphens/>
        <w:spacing w:line="360" w:lineRule="auto"/>
        <w:ind w:firstLine="1440"/>
        <w:rPr>
          <w:sz w:val="26"/>
          <w:szCs w:val="26"/>
        </w:rPr>
      </w:pPr>
      <w:r w:rsidRPr="00374306">
        <w:rPr>
          <w:sz w:val="26"/>
          <w:szCs w:val="26"/>
        </w:rPr>
        <w:t>Commission policy promotes settlements, 52 Pa.</w:t>
      </w:r>
      <w:r w:rsidR="002E5C7F">
        <w:rPr>
          <w:sz w:val="26"/>
          <w:szCs w:val="26"/>
        </w:rPr>
        <w:t xml:space="preserve"> </w:t>
      </w:r>
      <w:r w:rsidRPr="00374306">
        <w:rPr>
          <w:sz w:val="26"/>
          <w:szCs w:val="26"/>
        </w:rPr>
        <w:t>Code § 5.231.  Settlements lessen the time and expense the parties must expend litigating a case and at the same time conserve administrative hearing resources.  The Commission has indicated that settlement results are often preferable to those achieved at the conclusion of a fully litigated proceeding.  52 Pa.</w:t>
      </w:r>
      <w:r w:rsidR="002E5C7F">
        <w:rPr>
          <w:sz w:val="26"/>
          <w:szCs w:val="26"/>
        </w:rPr>
        <w:t xml:space="preserve"> </w:t>
      </w:r>
      <w:r w:rsidRPr="00374306">
        <w:rPr>
          <w:sz w:val="26"/>
          <w:szCs w:val="26"/>
        </w:rPr>
        <w:t>Code § 69.401.  Rate cases are expensive to litigate and the cost of such litigation at a reasonable level is an operating expense recovered in the rates approved by the Commission.  This means that a settlement, which allows the parties to avoid the 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yields significant expense savings for the company’s customers.  That is one reason why settlements are encouraged by long-standing Commission policy.</w:t>
      </w:r>
    </w:p>
    <w:p w:rsidR="001F43DE" w:rsidRPr="00374306" w:rsidRDefault="001F43DE" w:rsidP="00A76F8A">
      <w:pPr>
        <w:spacing w:line="360" w:lineRule="auto"/>
        <w:ind w:firstLine="1440"/>
        <w:rPr>
          <w:sz w:val="26"/>
          <w:szCs w:val="26"/>
        </w:rPr>
      </w:pPr>
    </w:p>
    <w:p w:rsidR="001F43DE" w:rsidRPr="00374306" w:rsidRDefault="001F43DE" w:rsidP="00A76F8A">
      <w:pPr>
        <w:spacing w:line="360" w:lineRule="auto"/>
        <w:rPr>
          <w:sz w:val="26"/>
          <w:szCs w:val="26"/>
        </w:rPr>
      </w:pPr>
      <w:r w:rsidRPr="00374306">
        <w:rPr>
          <w:sz w:val="26"/>
          <w:szCs w:val="26"/>
        </w:rPr>
        <w:tab/>
      </w:r>
      <w:r w:rsidRPr="00374306">
        <w:rPr>
          <w:sz w:val="26"/>
          <w:szCs w:val="26"/>
        </w:rPr>
        <w:tab/>
        <w:t xml:space="preserve">In order to accept a settlement, the Commission must determine that the proposed terms and conditions are in the public interest.  </w:t>
      </w:r>
      <w:r w:rsidRPr="00374306">
        <w:rPr>
          <w:i/>
          <w:sz w:val="26"/>
          <w:szCs w:val="26"/>
        </w:rPr>
        <w:t>Pa. Pub. Util. Comm’n v. York Water Co.</w:t>
      </w:r>
      <w:r w:rsidRPr="00374306">
        <w:rPr>
          <w:sz w:val="26"/>
          <w:szCs w:val="26"/>
        </w:rPr>
        <w:t>, Doc</w:t>
      </w:r>
      <w:r w:rsidR="009C11D6">
        <w:rPr>
          <w:sz w:val="26"/>
          <w:szCs w:val="26"/>
        </w:rPr>
        <w:t>ket No. R-00049165 (</w:t>
      </w:r>
      <w:r w:rsidRPr="00374306">
        <w:rPr>
          <w:sz w:val="26"/>
          <w:szCs w:val="26"/>
        </w:rPr>
        <w:t xml:space="preserve">Opinion and Order entered October 4, 2004); </w:t>
      </w:r>
      <w:r w:rsidRPr="00374306">
        <w:rPr>
          <w:i/>
          <w:sz w:val="26"/>
          <w:szCs w:val="26"/>
        </w:rPr>
        <w:t>Pa. Pub. Util. Comm’n v. C. S. Water and Sewer Assoc.</w:t>
      </w:r>
      <w:r w:rsidRPr="00374306">
        <w:rPr>
          <w:sz w:val="26"/>
          <w:szCs w:val="26"/>
        </w:rPr>
        <w:t>, 74 Pa. P.U.C. 767 (1991).</w:t>
      </w:r>
    </w:p>
    <w:p w:rsidR="001F43DE" w:rsidRPr="00374306" w:rsidRDefault="001F43DE" w:rsidP="00A76F8A">
      <w:pPr>
        <w:spacing w:line="360" w:lineRule="auto"/>
        <w:rPr>
          <w:sz w:val="26"/>
          <w:szCs w:val="26"/>
        </w:rPr>
      </w:pPr>
    </w:p>
    <w:p w:rsidR="001F43DE" w:rsidRDefault="001103D2" w:rsidP="00A76F8A">
      <w:pPr>
        <w:spacing w:line="360" w:lineRule="auto"/>
        <w:ind w:firstLine="1440"/>
        <w:rPr>
          <w:sz w:val="26"/>
          <w:szCs w:val="26"/>
        </w:rPr>
      </w:pPr>
      <w:r>
        <w:rPr>
          <w:sz w:val="26"/>
          <w:szCs w:val="26"/>
        </w:rPr>
        <w:t>Section 315(a) of the Code</w:t>
      </w:r>
      <w:r w:rsidR="00374306">
        <w:rPr>
          <w:sz w:val="26"/>
          <w:szCs w:val="26"/>
        </w:rPr>
        <w:t xml:space="preserve"> reads as follows:</w:t>
      </w:r>
    </w:p>
    <w:p w:rsidR="00374306" w:rsidRPr="00374306" w:rsidRDefault="00374306" w:rsidP="00A76F8A">
      <w:pPr>
        <w:spacing w:line="360" w:lineRule="auto"/>
        <w:ind w:firstLine="1440"/>
        <w:rPr>
          <w:sz w:val="26"/>
          <w:szCs w:val="26"/>
        </w:rPr>
      </w:pPr>
    </w:p>
    <w:p w:rsidR="001F43DE" w:rsidRPr="00374306" w:rsidRDefault="001F43DE" w:rsidP="00A76F8A">
      <w:pPr>
        <w:spacing w:line="360" w:lineRule="auto"/>
        <w:ind w:left="1440"/>
        <w:rPr>
          <w:b/>
          <w:sz w:val="26"/>
          <w:szCs w:val="26"/>
        </w:rPr>
      </w:pPr>
      <w:r w:rsidRPr="00374306">
        <w:rPr>
          <w:b/>
          <w:sz w:val="26"/>
          <w:szCs w:val="26"/>
        </w:rPr>
        <w:t>§ 315.  Burden of proof</w:t>
      </w:r>
    </w:p>
    <w:p w:rsidR="001F43DE" w:rsidRPr="00374306" w:rsidRDefault="001F43DE" w:rsidP="00A76F8A">
      <w:pPr>
        <w:numPr>
          <w:ilvl w:val="0"/>
          <w:numId w:val="29"/>
        </w:numPr>
        <w:ind w:right="1440" w:firstLine="360"/>
        <w:rPr>
          <w:sz w:val="26"/>
          <w:szCs w:val="26"/>
        </w:rPr>
      </w:pPr>
      <w:r w:rsidRPr="00374306">
        <w:rPr>
          <w:b/>
          <w:sz w:val="26"/>
          <w:szCs w:val="26"/>
        </w:rPr>
        <w:t xml:space="preserve"> Reasonableness of rates.—</w:t>
      </w:r>
      <w:r w:rsidRPr="00374306">
        <w:rPr>
          <w:sz w:val="26"/>
          <w:szCs w:val="26"/>
        </w:rPr>
        <w:t>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  The commission shall give to the hearing and decision of any such proceeding preference over all other proceedings, and decide the same as speedily as possible.</w:t>
      </w:r>
    </w:p>
    <w:p w:rsidR="001F43DE" w:rsidRPr="00374306" w:rsidRDefault="001F43DE" w:rsidP="00A76F8A">
      <w:pPr>
        <w:ind w:right="1440"/>
        <w:rPr>
          <w:sz w:val="26"/>
          <w:szCs w:val="26"/>
        </w:rPr>
      </w:pPr>
    </w:p>
    <w:p w:rsidR="001F43DE" w:rsidRPr="00374306" w:rsidRDefault="001F43DE" w:rsidP="00A76F8A">
      <w:pPr>
        <w:ind w:right="1440"/>
        <w:rPr>
          <w:sz w:val="26"/>
          <w:szCs w:val="26"/>
        </w:rPr>
      </w:pPr>
    </w:p>
    <w:p w:rsidR="001F43DE" w:rsidRPr="00374306" w:rsidRDefault="001F43DE" w:rsidP="00A76F8A">
      <w:pPr>
        <w:tabs>
          <w:tab w:val="left" w:pos="9360"/>
        </w:tabs>
        <w:spacing w:line="360" w:lineRule="auto"/>
        <w:rPr>
          <w:sz w:val="26"/>
          <w:szCs w:val="26"/>
        </w:rPr>
      </w:pPr>
      <w:r w:rsidRPr="00374306">
        <w:rPr>
          <w:sz w:val="26"/>
          <w:szCs w:val="26"/>
        </w:rPr>
        <w:t>66 Pa.</w:t>
      </w:r>
      <w:r w:rsidR="001103D2">
        <w:rPr>
          <w:sz w:val="26"/>
          <w:szCs w:val="26"/>
        </w:rPr>
        <w:t xml:space="preserve"> </w:t>
      </w:r>
      <w:r w:rsidRPr="00374306">
        <w:rPr>
          <w:sz w:val="26"/>
          <w:szCs w:val="26"/>
        </w:rPr>
        <w:t>C.S. § 315(a).  Consequently in this proceeding, Aqua has the burden to prove that the rate increase it has proposed through the Joint Settlement is just</w:t>
      </w:r>
      <w:r w:rsidR="00374306">
        <w:rPr>
          <w:sz w:val="26"/>
          <w:szCs w:val="26"/>
        </w:rPr>
        <w:t xml:space="preserve"> and reasonable.  T</w:t>
      </w:r>
      <w:r w:rsidRPr="00374306">
        <w:rPr>
          <w:sz w:val="26"/>
          <w:szCs w:val="26"/>
        </w:rPr>
        <w:t xml:space="preserve">he Joint Parties have reached an accord on the issues and claims that arose in this proceeding and submitted a Joint Settlement Petition for Commission review.  In reviewing the </w:t>
      </w:r>
      <w:r w:rsidR="00374306">
        <w:rPr>
          <w:sz w:val="26"/>
          <w:szCs w:val="26"/>
        </w:rPr>
        <w:t>S</w:t>
      </w:r>
      <w:r w:rsidRPr="00374306">
        <w:rPr>
          <w:sz w:val="26"/>
          <w:szCs w:val="26"/>
        </w:rPr>
        <w:t xml:space="preserve">ettlement, the question which </w:t>
      </w:r>
      <w:r w:rsidR="00374306">
        <w:rPr>
          <w:sz w:val="26"/>
          <w:szCs w:val="26"/>
        </w:rPr>
        <w:t>must be answered is whether it</w:t>
      </w:r>
      <w:r w:rsidRPr="00374306">
        <w:rPr>
          <w:sz w:val="26"/>
          <w:szCs w:val="26"/>
        </w:rPr>
        <w:t xml:space="preserve"> is in the public interest.  The Joint Parties have the burden to prove that the Joint Settlement is in the public interest. </w:t>
      </w:r>
    </w:p>
    <w:p w:rsidR="00363B8C" w:rsidRDefault="00363B8C" w:rsidP="00A76F8A">
      <w:pPr>
        <w:rPr>
          <w:sz w:val="26"/>
        </w:rPr>
      </w:pPr>
    </w:p>
    <w:p w:rsidR="00AF2479" w:rsidRDefault="001103D2" w:rsidP="00A76F8A">
      <w:pPr>
        <w:pStyle w:val="Heading2"/>
        <w:widowControl/>
        <w:rPr>
          <w:i/>
        </w:rPr>
      </w:pPr>
      <w:bookmarkStart w:id="9" w:name="_Toc264354745"/>
      <w:r>
        <w:t>D</w:t>
      </w:r>
      <w:r w:rsidR="00AF2479" w:rsidRPr="000D1D4E">
        <w:t>.</w:t>
      </w:r>
      <w:r w:rsidR="00AF2479" w:rsidRPr="000D1D4E">
        <w:tab/>
      </w:r>
      <w:r w:rsidR="00AF2479">
        <w:t>Issues Presented</w:t>
      </w:r>
      <w:r w:rsidR="00AF2479" w:rsidRPr="000D1D4E">
        <w:t xml:space="preserve"> </w:t>
      </w:r>
      <w:r w:rsidR="00AF2479">
        <w:t>– Specific</w:t>
      </w:r>
      <w:bookmarkEnd w:id="9"/>
    </w:p>
    <w:p w:rsidR="00AF2479" w:rsidRDefault="00AF2479" w:rsidP="00A76F8A"/>
    <w:p w:rsidR="00FA6A03" w:rsidRDefault="00FA6A03" w:rsidP="00A76F8A">
      <w:pPr>
        <w:spacing w:line="360" w:lineRule="auto"/>
        <w:ind w:firstLine="1440"/>
        <w:rPr>
          <w:sz w:val="26"/>
          <w:szCs w:val="26"/>
        </w:rPr>
      </w:pPr>
      <w:r>
        <w:rPr>
          <w:sz w:val="26"/>
          <w:szCs w:val="26"/>
        </w:rPr>
        <w:t xml:space="preserve">As noted above, Mr. Jerome Linden filed Exceptions to the Recommended Decision and several Parties filed Reply Exceptions thereto.  </w:t>
      </w:r>
      <w:r w:rsidRPr="00607897">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1" w:history="1">
        <w:r w:rsidRPr="00607897">
          <w:rPr>
            <w:rStyle w:val="Emphasis"/>
            <w:color w:val="000000"/>
            <w:sz w:val="26"/>
            <w:szCs w:val="26"/>
          </w:rPr>
          <w:t>Consolidated Rail Corporation v. Pa. PUC</w:t>
        </w:r>
        <w:r w:rsidRPr="00FA6A03">
          <w:rPr>
            <w:rStyle w:val="Hyperlink"/>
            <w:rFonts w:eastAsiaTheme="majorEastAsia"/>
            <w:color w:val="000000"/>
            <w:sz w:val="26"/>
            <w:szCs w:val="26"/>
            <w:u w:val="none"/>
          </w:rPr>
          <w:t>, 625 A.2d 741 (Pa. Cmwlth. 1993);</w:t>
        </w:r>
      </w:hyperlink>
      <w:r w:rsidRPr="00607897">
        <w:rPr>
          <w:color w:val="000000"/>
          <w:sz w:val="26"/>
          <w:szCs w:val="26"/>
        </w:rPr>
        <w:t xml:space="preserve"> </w:t>
      </w:r>
      <w:r w:rsidRPr="00607897">
        <w:rPr>
          <w:rStyle w:val="Emphasis"/>
          <w:color w:val="000000"/>
          <w:sz w:val="26"/>
          <w:szCs w:val="26"/>
        </w:rPr>
        <w:t xml:space="preserve">see also, generally, </w:t>
      </w:r>
      <w:hyperlink r:id="rId12" w:history="1">
        <w:r w:rsidRPr="00607897">
          <w:rPr>
            <w:rStyle w:val="Emphasis"/>
            <w:color w:val="000000"/>
            <w:sz w:val="26"/>
            <w:szCs w:val="26"/>
          </w:rPr>
          <w:t>University of Pennsylvania</w:t>
        </w:r>
        <w:r>
          <w:rPr>
            <w:rStyle w:val="Emphasis"/>
            <w:color w:val="000000"/>
            <w:sz w:val="26"/>
            <w:szCs w:val="26"/>
          </w:rPr>
          <w:t xml:space="preserve"> </w:t>
        </w:r>
        <w:r w:rsidRPr="00607897">
          <w:rPr>
            <w:rStyle w:val="Emphasis"/>
            <w:color w:val="000000"/>
            <w:sz w:val="26"/>
            <w:szCs w:val="26"/>
          </w:rPr>
          <w:t>v. Pa. PUC</w:t>
        </w:r>
        <w:r w:rsidRPr="00FA6A03">
          <w:rPr>
            <w:rStyle w:val="Hyperlink"/>
            <w:rFonts w:eastAsiaTheme="majorEastAsia"/>
            <w:color w:val="000000"/>
            <w:sz w:val="26"/>
            <w:szCs w:val="26"/>
            <w:u w:val="none"/>
          </w:rPr>
          <w:t>, 485 A.2d 1217 (Pa. Cmwlth. 1984).</w:t>
        </w:r>
      </w:hyperlink>
    </w:p>
    <w:p w:rsidR="00FA6A03" w:rsidRDefault="00FA6A03" w:rsidP="00A76F8A"/>
    <w:p w:rsidR="00FA6A03" w:rsidRDefault="00FA6A03" w:rsidP="00A76F8A"/>
    <w:p w:rsidR="00AF2479" w:rsidRPr="00AB6CB2" w:rsidRDefault="00E864F6" w:rsidP="00A76F8A">
      <w:pPr>
        <w:pStyle w:val="Heading3"/>
      </w:pPr>
      <w:bookmarkStart w:id="10" w:name="_Toc264354746"/>
      <w:r w:rsidRPr="00AB6CB2">
        <w:lastRenderedPageBreak/>
        <w:t>1.</w:t>
      </w:r>
      <w:r w:rsidRPr="00AB6CB2">
        <w:tab/>
      </w:r>
      <w:r w:rsidR="001A0946" w:rsidRPr="00AB6CB2">
        <w:t>Current Financial Climate</w:t>
      </w:r>
      <w:bookmarkEnd w:id="10"/>
    </w:p>
    <w:p w:rsidR="00363B8C" w:rsidRDefault="00363B8C" w:rsidP="00A76F8A">
      <w:pPr>
        <w:rPr>
          <w:sz w:val="26"/>
        </w:rPr>
      </w:pPr>
    </w:p>
    <w:p w:rsidR="00AF2479" w:rsidRDefault="00AF2479" w:rsidP="00A76F8A">
      <w:pPr>
        <w:ind w:left="2160" w:hanging="720"/>
        <w:rPr>
          <w:b/>
          <w:sz w:val="26"/>
        </w:rPr>
      </w:pPr>
    </w:p>
    <w:p w:rsidR="003E23C5" w:rsidRPr="00CF205C" w:rsidRDefault="00AF2479" w:rsidP="00A76F8A">
      <w:pPr>
        <w:pStyle w:val="Heading4"/>
      </w:pPr>
      <w:bookmarkStart w:id="11" w:name="_Toc264354747"/>
      <w:r w:rsidRPr="00CF205C">
        <w:t>a</w:t>
      </w:r>
      <w:r w:rsidR="00E0379A" w:rsidRPr="00CF205C">
        <w:t>.</w:t>
      </w:r>
      <w:r w:rsidR="00E0379A" w:rsidRPr="00CF205C">
        <w:tab/>
      </w:r>
      <w:r w:rsidR="003E23C5" w:rsidRPr="00CF205C">
        <w:t>Positions of the Parties</w:t>
      </w:r>
      <w:bookmarkEnd w:id="11"/>
    </w:p>
    <w:p w:rsidR="00864E21" w:rsidRPr="003E23C5" w:rsidRDefault="00864E21" w:rsidP="00A76F8A">
      <w:pPr>
        <w:ind w:left="2160" w:hanging="720"/>
        <w:rPr>
          <w:b/>
          <w:sz w:val="26"/>
        </w:rPr>
      </w:pPr>
    </w:p>
    <w:p w:rsidR="003E23C5" w:rsidRPr="003B2621" w:rsidRDefault="003E23C5" w:rsidP="00A76F8A">
      <w:pPr>
        <w:ind w:left="720"/>
        <w:rPr>
          <w:sz w:val="26"/>
        </w:rPr>
      </w:pPr>
    </w:p>
    <w:p w:rsidR="00864E21" w:rsidRPr="00864E21" w:rsidRDefault="00864E21" w:rsidP="00A76F8A">
      <w:pPr>
        <w:tabs>
          <w:tab w:val="left" w:pos="720"/>
          <w:tab w:val="left" w:pos="9450"/>
        </w:tabs>
        <w:spacing w:line="360" w:lineRule="auto"/>
        <w:ind w:firstLine="1440"/>
        <w:rPr>
          <w:sz w:val="26"/>
          <w:szCs w:val="26"/>
        </w:rPr>
      </w:pPr>
      <w:r w:rsidRPr="00864E21">
        <w:rPr>
          <w:sz w:val="26"/>
          <w:szCs w:val="26"/>
        </w:rPr>
        <w:t>Many citizens</w:t>
      </w:r>
      <w:r w:rsidR="005F2840">
        <w:rPr>
          <w:sz w:val="26"/>
          <w:szCs w:val="26"/>
        </w:rPr>
        <w:t xml:space="preserve"> in the Public I</w:t>
      </w:r>
      <w:r w:rsidRPr="00864E21">
        <w:rPr>
          <w:sz w:val="26"/>
          <w:szCs w:val="26"/>
        </w:rPr>
        <w:t>nput hearings contend</w:t>
      </w:r>
      <w:r>
        <w:rPr>
          <w:sz w:val="26"/>
          <w:szCs w:val="26"/>
        </w:rPr>
        <w:t>ed</w:t>
      </w:r>
      <w:r w:rsidRPr="00864E21">
        <w:rPr>
          <w:sz w:val="26"/>
          <w:szCs w:val="26"/>
        </w:rPr>
        <w:t xml:space="preserve"> that the curr</w:t>
      </w:r>
      <w:r>
        <w:rPr>
          <w:sz w:val="26"/>
          <w:szCs w:val="26"/>
        </w:rPr>
        <w:t>ent economic situation, with</w:t>
      </w:r>
      <w:r w:rsidRPr="00864E21">
        <w:rPr>
          <w:sz w:val="26"/>
          <w:szCs w:val="26"/>
        </w:rPr>
        <w:t xml:space="preserve"> unemployment </w:t>
      </w:r>
      <w:r>
        <w:rPr>
          <w:sz w:val="26"/>
          <w:szCs w:val="26"/>
        </w:rPr>
        <w:t xml:space="preserve">at </w:t>
      </w:r>
      <w:r w:rsidRPr="00864E21">
        <w:rPr>
          <w:sz w:val="26"/>
          <w:szCs w:val="26"/>
        </w:rPr>
        <w:t>approximately 9% in t</w:t>
      </w:r>
      <w:r>
        <w:rPr>
          <w:sz w:val="26"/>
          <w:szCs w:val="26"/>
        </w:rPr>
        <w:t xml:space="preserve">he Commonwealth, </w:t>
      </w:r>
      <w:r w:rsidRPr="00864E21">
        <w:rPr>
          <w:sz w:val="26"/>
          <w:szCs w:val="26"/>
        </w:rPr>
        <w:t xml:space="preserve">is reason to prohibit the proposed rate increase.  Tr. </w:t>
      </w:r>
      <w:r w:rsidR="00C6231B">
        <w:rPr>
          <w:sz w:val="26"/>
          <w:szCs w:val="26"/>
        </w:rPr>
        <w:t xml:space="preserve">at </w:t>
      </w:r>
      <w:r w:rsidRPr="00864E21">
        <w:rPr>
          <w:sz w:val="26"/>
          <w:szCs w:val="26"/>
        </w:rPr>
        <w:t>63-65, 113-15, 220-23, 479, Damavandi M.B. at 4.  Dr. Briskin contended that Aqua’s expert, Mr. Paul Moul, failed to consider the impact of his recommendations on the c</w:t>
      </w:r>
      <w:r w:rsidR="00C6231B">
        <w:rPr>
          <w:sz w:val="26"/>
          <w:szCs w:val="26"/>
        </w:rPr>
        <w:t>ustomer base.  In addition, Dr. </w:t>
      </w:r>
      <w:r w:rsidRPr="00864E21">
        <w:rPr>
          <w:sz w:val="26"/>
          <w:szCs w:val="26"/>
        </w:rPr>
        <w:t xml:space="preserve">Briskin argued that no consideration was given to various income levels of residential customers, or customer classes and corresponding usage in cost and expense allocations.  Briskin M.B. at 6.  Mrs. Damavandi added that Aqua customers do not enjoy the benefits of competition for lower rates.  Mrs. Damavandi </w:t>
      </w:r>
      <w:r w:rsidR="00C6231B">
        <w:rPr>
          <w:sz w:val="26"/>
          <w:szCs w:val="26"/>
        </w:rPr>
        <w:t xml:space="preserve">also </w:t>
      </w:r>
      <w:r w:rsidRPr="00864E21">
        <w:rPr>
          <w:sz w:val="26"/>
          <w:szCs w:val="26"/>
        </w:rPr>
        <w:t>stated that Aqua has had several rate increases over the past six years and may well request another rate increase on or sh</w:t>
      </w:r>
      <w:r w:rsidR="00C6231B">
        <w:rPr>
          <w:sz w:val="26"/>
          <w:szCs w:val="26"/>
        </w:rPr>
        <w:t xml:space="preserve">ortly after November 18, 2011.  </w:t>
      </w:r>
      <w:r w:rsidRPr="00864E21">
        <w:rPr>
          <w:sz w:val="26"/>
          <w:szCs w:val="26"/>
        </w:rPr>
        <w:t xml:space="preserve">The cumulative effect of these rate increases is “outrageous” or unsustainable and the current proposed rate increase should not be approved.  Damavandi M.B. at 5.         </w:t>
      </w:r>
    </w:p>
    <w:p w:rsidR="00864E21" w:rsidRPr="00864E21" w:rsidRDefault="00864E21" w:rsidP="00A76F8A">
      <w:pPr>
        <w:tabs>
          <w:tab w:val="left" w:pos="720"/>
          <w:tab w:val="left" w:pos="9450"/>
        </w:tabs>
        <w:spacing w:line="360" w:lineRule="auto"/>
        <w:ind w:firstLine="1440"/>
        <w:rPr>
          <w:sz w:val="26"/>
          <w:szCs w:val="26"/>
        </w:rPr>
      </w:pPr>
    </w:p>
    <w:p w:rsidR="00864E21" w:rsidRPr="00864E21" w:rsidRDefault="00864E21" w:rsidP="00A76F8A">
      <w:pPr>
        <w:tabs>
          <w:tab w:val="left" w:pos="720"/>
          <w:tab w:val="left" w:pos="9450"/>
        </w:tabs>
        <w:spacing w:line="360" w:lineRule="auto"/>
        <w:ind w:firstLine="1440"/>
        <w:rPr>
          <w:sz w:val="26"/>
          <w:szCs w:val="26"/>
        </w:rPr>
      </w:pPr>
      <w:r w:rsidRPr="00864E21">
        <w:rPr>
          <w:sz w:val="26"/>
          <w:szCs w:val="26"/>
        </w:rPr>
        <w:t>The Joint Parties did not specifically address this issue.  However, the proposed Joint Settlement provides for an increase in operating revenues of $23.6 million or 6.46%.  Noting that Aqua’s last increase in base rate occurred in July 2008, the settlement rate is approximately 3.23% on an annual basis over the period since the Company’s las</w:t>
      </w:r>
      <w:r w:rsidR="00C6231B">
        <w:rPr>
          <w:sz w:val="26"/>
          <w:szCs w:val="26"/>
        </w:rPr>
        <w:t xml:space="preserve">t base rate increase.  Aqua St. in Support at 1, ¶ 1.  The </w:t>
      </w:r>
      <w:r w:rsidRPr="00864E21">
        <w:rPr>
          <w:sz w:val="26"/>
          <w:szCs w:val="26"/>
        </w:rPr>
        <w:t>OCA stated</w:t>
      </w:r>
      <w:r w:rsidR="00C6231B">
        <w:rPr>
          <w:sz w:val="26"/>
          <w:szCs w:val="26"/>
        </w:rPr>
        <w:t xml:space="preserve"> that the Joint Settlement represents</w:t>
      </w:r>
      <w:r w:rsidRPr="00864E21">
        <w:rPr>
          <w:sz w:val="26"/>
          <w:szCs w:val="26"/>
        </w:rPr>
        <w:t xml:space="preserve"> an approximate 45.4% reduction in Aqua’s initially requested $43.2 million rate increase and </w:t>
      </w:r>
      <w:r w:rsidR="00C6231B">
        <w:rPr>
          <w:sz w:val="26"/>
          <w:szCs w:val="26"/>
        </w:rPr>
        <w:t xml:space="preserve">also </w:t>
      </w:r>
      <w:r w:rsidRPr="00864E21">
        <w:rPr>
          <w:sz w:val="26"/>
          <w:szCs w:val="26"/>
        </w:rPr>
        <w:t>represents an amount within the range likely o</w:t>
      </w:r>
      <w:r w:rsidR="00C6231B">
        <w:rPr>
          <w:sz w:val="26"/>
          <w:szCs w:val="26"/>
        </w:rPr>
        <w:t>f litigation outcomes.  OCA St</w:t>
      </w:r>
      <w:r w:rsidRPr="00864E21">
        <w:rPr>
          <w:sz w:val="26"/>
          <w:szCs w:val="26"/>
        </w:rPr>
        <w:t>. in Support at 2.</w:t>
      </w:r>
    </w:p>
    <w:p w:rsidR="0093366A" w:rsidRDefault="0093366A" w:rsidP="00A76F8A">
      <w:pPr>
        <w:spacing w:line="360" w:lineRule="auto"/>
        <w:rPr>
          <w:sz w:val="26"/>
        </w:rPr>
      </w:pPr>
    </w:p>
    <w:p w:rsidR="0044148D" w:rsidRPr="003E23C5" w:rsidRDefault="00C6231B" w:rsidP="00A76F8A">
      <w:pPr>
        <w:pStyle w:val="Heading4"/>
      </w:pPr>
      <w:bookmarkStart w:id="12" w:name="_Toc264354748"/>
      <w:r>
        <w:t>b.</w:t>
      </w:r>
      <w:r>
        <w:tab/>
        <w:t>A</w:t>
      </w:r>
      <w:r w:rsidR="0044148D">
        <w:t>LJ’s Recommendation</w:t>
      </w:r>
      <w:bookmarkEnd w:id="12"/>
    </w:p>
    <w:p w:rsidR="003E0FBA" w:rsidRDefault="003E0FBA" w:rsidP="00A76F8A">
      <w:pPr>
        <w:rPr>
          <w:sz w:val="26"/>
        </w:rPr>
      </w:pPr>
    </w:p>
    <w:p w:rsidR="00664B4B" w:rsidRPr="003B2621" w:rsidRDefault="00664B4B" w:rsidP="00A76F8A">
      <w:pPr>
        <w:rPr>
          <w:sz w:val="26"/>
        </w:rPr>
      </w:pPr>
    </w:p>
    <w:p w:rsidR="00765298" w:rsidRPr="00765298" w:rsidRDefault="000E2907" w:rsidP="00A76F8A">
      <w:pPr>
        <w:spacing w:line="360" w:lineRule="auto"/>
        <w:ind w:firstLine="720"/>
        <w:rPr>
          <w:sz w:val="26"/>
          <w:szCs w:val="26"/>
        </w:rPr>
      </w:pPr>
      <w:r>
        <w:rPr>
          <w:sz w:val="26"/>
        </w:rPr>
        <w:t xml:space="preserve">          </w:t>
      </w:r>
      <w:r w:rsidR="003E0FBA">
        <w:rPr>
          <w:sz w:val="26"/>
        </w:rPr>
        <w:t>The ALJ stated that</w:t>
      </w:r>
      <w:r w:rsidR="00765298">
        <w:rPr>
          <w:sz w:val="26"/>
        </w:rPr>
        <w:t xml:space="preserve"> she found</w:t>
      </w:r>
      <w:r w:rsidR="00765298">
        <w:rPr>
          <w:sz w:val="26"/>
          <w:szCs w:val="26"/>
        </w:rPr>
        <w:t xml:space="preserve"> this</w:t>
      </w:r>
      <w:r w:rsidR="00765298" w:rsidRPr="00765298">
        <w:rPr>
          <w:sz w:val="26"/>
          <w:szCs w:val="26"/>
        </w:rPr>
        <w:t xml:space="preserve"> argument emotionally compelling but not legally sustainable.  </w:t>
      </w:r>
      <w:r w:rsidR="00765298">
        <w:rPr>
          <w:sz w:val="26"/>
          <w:szCs w:val="26"/>
        </w:rPr>
        <w:t>Also, she stated that the argument did</w:t>
      </w:r>
      <w:r w:rsidR="00765298" w:rsidRPr="00765298">
        <w:rPr>
          <w:sz w:val="26"/>
          <w:szCs w:val="26"/>
        </w:rPr>
        <w:t xml:space="preserve"> not address reasons the increase is unjustified; rather it suggests reasons why an increase cannot be maintained by some</w:t>
      </w:r>
      <w:r w:rsidR="00765298">
        <w:rPr>
          <w:sz w:val="26"/>
          <w:szCs w:val="26"/>
        </w:rPr>
        <w:t xml:space="preserve"> ratepayers.  The argument failed</w:t>
      </w:r>
      <w:r w:rsidR="00765298" w:rsidRPr="00765298">
        <w:rPr>
          <w:sz w:val="26"/>
          <w:szCs w:val="26"/>
        </w:rPr>
        <w:t xml:space="preserve"> to show that Aqua’s cost to distribut</w:t>
      </w:r>
      <w:r w:rsidR="00765298">
        <w:rPr>
          <w:sz w:val="26"/>
          <w:szCs w:val="26"/>
        </w:rPr>
        <w:t>e and deliver water service has</w:t>
      </w:r>
      <w:r w:rsidR="00765298" w:rsidRPr="00765298">
        <w:rPr>
          <w:sz w:val="26"/>
          <w:szCs w:val="26"/>
        </w:rPr>
        <w:t xml:space="preserve"> not increased through various expenses </w:t>
      </w:r>
      <w:r w:rsidR="004773CD">
        <w:rPr>
          <w:sz w:val="26"/>
          <w:szCs w:val="26"/>
        </w:rPr>
        <w:t xml:space="preserve">made by the Company, </w:t>
      </w:r>
      <w:r w:rsidR="00765298" w:rsidRPr="00765298">
        <w:rPr>
          <w:sz w:val="26"/>
          <w:szCs w:val="26"/>
        </w:rPr>
        <w:t xml:space="preserve">such as improvement to infrastructure.  Furthermore, </w:t>
      </w:r>
      <w:r w:rsidR="004773CD">
        <w:rPr>
          <w:sz w:val="26"/>
          <w:szCs w:val="26"/>
        </w:rPr>
        <w:t xml:space="preserve">she stated that </w:t>
      </w:r>
      <w:r w:rsidR="00765298" w:rsidRPr="00765298">
        <w:rPr>
          <w:sz w:val="26"/>
          <w:szCs w:val="26"/>
        </w:rPr>
        <w:t>the action taken to reduce the proposed increase</w:t>
      </w:r>
      <w:r w:rsidR="004773CD">
        <w:rPr>
          <w:sz w:val="26"/>
          <w:szCs w:val="26"/>
        </w:rPr>
        <w:t>,</w:t>
      </w:r>
      <w:r w:rsidR="00765298" w:rsidRPr="00765298">
        <w:rPr>
          <w:sz w:val="26"/>
          <w:szCs w:val="26"/>
        </w:rPr>
        <w:t xml:space="preserve"> through the Joint Settlement</w:t>
      </w:r>
      <w:r w:rsidR="004773CD">
        <w:rPr>
          <w:sz w:val="26"/>
          <w:szCs w:val="26"/>
        </w:rPr>
        <w:t>,</w:t>
      </w:r>
      <w:r w:rsidR="00765298" w:rsidRPr="00765298">
        <w:rPr>
          <w:sz w:val="26"/>
          <w:szCs w:val="26"/>
        </w:rPr>
        <w:t xml:space="preserve"> reasonably accounts for the </w:t>
      </w:r>
      <w:r w:rsidR="004773CD">
        <w:rPr>
          <w:sz w:val="26"/>
          <w:szCs w:val="26"/>
        </w:rPr>
        <w:t xml:space="preserve">current </w:t>
      </w:r>
      <w:r w:rsidR="00765298" w:rsidRPr="00765298">
        <w:rPr>
          <w:sz w:val="26"/>
          <w:szCs w:val="26"/>
        </w:rPr>
        <w:t>difficult financial envir</w:t>
      </w:r>
      <w:r w:rsidR="004773CD">
        <w:rPr>
          <w:sz w:val="26"/>
          <w:szCs w:val="26"/>
        </w:rPr>
        <w:t>onment.  Thus, she concluded that this argument is not meritorious</w:t>
      </w:r>
      <w:r w:rsidR="00765298" w:rsidRPr="00765298">
        <w:rPr>
          <w:sz w:val="26"/>
          <w:szCs w:val="26"/>
        </w:rPr>
        <w:t>.</w:t>
      </w:r>
      <w:r w:rsidR="00765298">
        <w:rPr>
          <w:sz w:val="26"/>
          <w:szCs w:val="26"/>
        </w:rPr>
        <w:t xml:space="preserve">  R.D. at 28.</w:t>
      </w:r>
    </w:p>
    <w:p w:rsidR="003B2621" w:rsidRDefault="00BA7EFA" w:rsidP="00A76F8A">
      <w:pPr>
        <w:spacing w:line="360" w:lineRule="auto"/>
        <w:ind w:firstLine="1440"/>
      </w:pPr>
      <w:r>
        <w:rPr>
          <w:sz w:val="26"/>
        </w:rPr>
        <w:t xml:space="preserve"> </w:t>
      </w:r>
      <w:r w:rsidR="003B2621">
        <w:t xml:space="preserve">  </w:t>
      </w:r>
    </w:p>
    <w:p w:rsidR="00AE45FC" w:rsidRPr="0044148D" w:rsidRDefault="00C6231B" w:rsidP="00A76F8A">
      <w:pPr>
        <w:pStyle w:val="Heading4"/>
      </w:pPr>
      <w:bookmarkStart w:id="13" w:name="_Toc264354749"/>
      <w:r>
        <w:t>c</w:t>
      </w:r>
      <w:r w:rsidR="00E04F24">
        <w:t>.</w:t>
      </w:r>
      <w:r w:rsidR="00E04F24">
        <w:tab/>
        <w:t>Disposition</w:t>
      </w:r>
      <w:bookmarkEnd w:id="13"/>
    </w:p>
    <w:p w:rsidR="00B676B1" w:rsidRDefault="00881922" w:rsidP="00A76F8A">
      <w:pPr>
        <w:suppressAutoHyphens/>
        <w:spacing w:line="360" w:lineRule="auto"/>
        <w:rPr>
          <w:sz w:val="26"/>
        </w:rPr>
      </w:pPr>
      <w:r w:rsidRPr="00132651">
        <w:rPr>
          <w:sz w:val="26"/>
        </w:rPr>
        <w:tab/>
      </w:r>
      <w:r w:rsidRPr="00132651">
        <w:rPr>
          <w:sz w:val="26"/>
        </w:rPr>
        <w:tab/>
      </w:r>
    </w:p>
    <w:p w:rsidR="00C351F2" w:rsidRDefault="00BB2059" w:rsidP="00A76F8A">
      <w:pPr>
        <w:suppressAutoHyphens/>
        <w:spacing w:line="360" w:lineRule="auto"/>
        <w:rPr>
          <w:sz w:val="26"/>
        </w:rPr>
      </w:pPr>
      <w:r>
        <w:rPr>
          <w:sz w:val="26"/>
        </w:rPr>
        <w:tab/>
      </w:r>
      <w:r>
        <w:rPr>
          <w:sz w:val="26"/>
        </w:rPr>
        <w:tab/>
        <w:t xml:space="preserve">No Party filed Exceptions on this issue.  Since no </w:t>
      </w:r>
      <w:r w:rsidR="00780878">
        <w:rPr>
          <w:sz w:val="26"/>
        </w:rPr>
        <w:t>Exceptions were filed, and finding the ALJ’s recommendation to be otherwise reasonable, the ALJ’s recommendation is adopted.</w:t>
      </w:r>
    </w:p>
    <w:p w:rsidR="00780878" w:rsidRDefault="00780878" w:rsidP="00A76F8A"/>
    <w:p w:rsidR="00955C5D" w:rsidRDefault="00955C5D" w:rsidP="00A76F8A"/>
    <w:p w:rsidR="00A13C9E" w:rsidRPr="00AF2479" w:rsidRDefault="00A13C9E" w:rsidP="00A76F8A">
      <w:pPr>
        <w:pStyle w:val="Heading3"/>
      </w:pPr>
      <w:bookmarkStart w:id="14" w:name="_Toc264354750"/>
      <w:r>
        <w:t>2.</w:t>
      </w:r>
      <w:r>
        <w:tab/>
      </w:r>
      <w:r w:rsidR="00F05E2B">
        <w:t xml:space="preserve">Pay </w:t>
      </w:r>
      <w:r w:rsidR="006000F1">
        <w:t xml:space="preserve">and Remuneration to Executives and Others </w:t>
      </w:r>
      <w:r w:rsidR="00324B81">
        <w:t>is Unsupported</w:t>
      </w:r>
      <w:bookmarkEnd w:id="14"/>
    </w:p>
    <w:p w:rsidR="00B676B1" w:rsidRDefault="00B676B1" w:rsidP="00A76F8A">
      <w:pPr>
        <w:suppressAutoHyphens/>
        <w:spacing w:line="360" w:lineRule="auto"/>
        <w:rPr>
          <w:sz w:val="26"/>
        </w:rPr>
      </w:pPr>
    </w:p>
    <w:p w:rsidR="004D6F49" w:rsidRDefault="004D6F49" w:rsidP="00A76F8A">
      <w:pPr>
        <w:pStyle w:val="Heading4"/>
      </w:pPr>
      <w:bookmarkStart w:id="15" w:name="_Toc264354751"/>
      <w:r>
        <w:t>a.</w:t>
      </w:r>
      <w:r>
        <w:tab/>
      </w:r>
      <w:r w:rsidRPr="003E23C5">
        <w:t>Positions of the Parties</w:t>
      </w:r>
      <w:bookmarkEnd w:id="15"/>
    </w:p>
    <w:p w:rsidR="000E2907" w:rsidRDefault="000E2907" w:rsidP="00A76F8A">
      <w:pPr>
        <w:suppressAutoHyphens/>
        <w:spacing w:line="360" w:lineRule="auto"/>
        <w:rPr>
          <w:sz w:val="26"/>
        </w:rPr>
      </w:pPr>
    </w:p>
    <w:p w:rsidR="00974751" w:rsidRPr="006000F1" w:rsidRDefault="006000F1" w:rsidP="00A76F8A">
      <w:pPr>
        <w:tabs>
          <w:tab w:val="left" w:pos="0"/>
          <w:tab w:val="left" w:pos="720"/>
          <w:tab w:val="left" w:pos="9450"/>
        </w:tabs>
        <w:spacing w:line="360" w:lineRule="auto"/>
        <w:ind w:firstLine="1440"/>
        <w:rPr>
          <w:sz w:val="26"/>
          <w:szCs w:val="26"/>
        </w:rPr>
      </w:pPr>
      <w:r>
        <w:rPr>
          <w:sz w:val="26"/>
        </w:rPr>
        <w:t>Dr. Briskin contended</w:t>
      </w:r>
      <w:r w:rsidR="00974751" w:rsidRPr="006000F1">
        <w:rPr>
          <w:sz w:val="26"/>
        </w:rPr>
        <w:t xml:space="preserve"> that the executive pay, other remuneration and benefits to directors and shareholder dividends represent millions of dollars from Aqua revenues that have not been clearly disclosed in this proce</w:t>
      </w:r>
      <w:r w:rsidR="00EF3EAC">
        <w:rPr>
          <w:sz w:val="26"/>
        </w:rPr>
        <w:t>eding.  Briskin M.B. at 7.  Dr. Briskin suggested that</w:t>
      </w:r>
      <w:r w:rsidR="00974751" w:rsidRPr="006000F1">
        <w:rPr>
          <w:sz w:val="26"/>
        </w:rPr>
        <w:t xml:space="preserve"> these facts are relevant </w:t>
      </w:r>
      <w:r w:rsidR="00EF3EAC">
        <w:rPr>
          <w:sz w:val="26"/>
        </w:rPr>
        <w:t>and affect the issue of</w:t>
      </w:r>
      <w:r w:rsidR="00974751" w:rsidRPr="006000F1">
        <w:rPr>
          <w:sz w:val="26"/>
        </w:rPr>
        <w:t xml:space="preserve"> whether it is reasonable to raise base water rates.  Briskin M.B. at 10.</w:t>
      </w:r>
      <w:r w:rsidR="00474227">
        <w:rPr>
          <w:sz w:val="26"/>
        </w:rPr>
        <w:t xml:space="preserve">  Dr. Briskin also </w:t>
      </w:r>
      <w:r w:rsidR="00EF3EAC">
        <w:rPr>
          <w:sz w:val="26"/>
        </w:rPr>
        <w:t>asserted</w:t>
      </w:r>
      <w:r w:rsidR="00974751" w:rsidRPr="006000F1">
        <w:rPr>
          <w:sz w:val="26"/>
        </w:rPr>
        <w:t xml:space="preserve"> that Aqua</w:t>
      </w:r>
      <w:r w:rsidR="00474227">
        <w:rPr>
          <w:sz w:val="26"/>
        </w:rPr>
        <w:t xml:space="preserve"> failed to include the</w:t>
      </w:r>
      <w:r w:rsidR="00974751" w:rsidRPr="006000F1">
        <w:rPr>
          <w:sz w:val="26"/>
        </w:rPr>
        <w:t xml:space="preserve"> relevant cost records and accounts of</w:t>
      </w:r>
      <w:r w:rsidR="00474227">
        <w:rPr>
          <w:sz w:val="26"/>
        </w:rPr>
        <w:t xml:space="preserve"> its affiliated interests.  Thus, according to Dr. Briskin, the sum of </w:t>
      </w:r>
      <w:r w:rsidR="00974751" w:rsidRPr="006000F1">
        <w:rPr>
          <w:sz w:val="26"/>
        </w:rPr>
        <w:t>$7,658,109 paid to Aqua Services Inc.</w:t>
      </w:r>
      <w:r w:rsidR="00474227">
        <w:rPr>
          <w:sz w:val="26"/>
        </w:rPr>
        <w:t>,</w:t>
      </w:r>
      <w:r w:rsidR="00974751" w:rsidRPr="006000F1">
        <w:rPr>
          <w:sz w:val="26"/>
        </w:rPr>
        <w:t xml:space="preserve"> and dividends of approximately $20 </w:t>
      </w:r>
      <w:r w:rsidR="001D2F64">
        <w:rPr>
          <w:sz w:val="26"/>
        </w:rPr>
        <w:t>to $30 million per year to AA</w:t>
      </w:r>
      <w:r w:rsidR="00955C5D">
        <w:rPr>
          <w:sz w:val="26"/>
        </w:rPr>
        <w:t xml:space="preserve"> are in violation of the </w:t>
      </w:r>
      <w:r w:rsidR="00974751" w:rsidRPr="006000F1">
        <w:rPr>
          <w:sz w:val="26"/>
        </w:rPr>
        <w:t xml:space="preserve">Code at </w:t>
      </w:r>
      <w:r w:rsidR="00474227">
        <w:rPr>
          <w:sz w:val="26"/>
          <w:szCs w:val="26"/>
        </w:rPr>
        <w:t>66 Pa.</w:t>
      </w:r>
      <w:r w:rsidR="00955C5D">
        <w:rPr>
          <w:sz w:val="26"/>
          <w:szCs w:val="26"/>
        </w:rPr>
        <w:t xml:space="preserve"> </w:t>
      </w:r>
      <w:r w:rsidR="00474227">
        <w:rPr>
          <w:sz w:val="26"/>
          <w:szCs w:val="26"/>
        </w:rPr>
        <w:t xml:space="preserve">C.S. § 2106 and </w:t>
      </w:r>
      <w:r w:rsidR="00974751" w:rsidRPr="006000F1">
        <w:rPr>
          <w:sz w:val="26"/>
          <w:szCs w:val="26"/>
        </w:rPr>
        <w:t xml:space="preserve">should be removed </w:t>
      </w:r>
      <w:r w:rsidR="00955C5D">
        <w:rPr>
          <w:sz w:val="26"/>
          <w:szCs w:val="26"/>
        </w:rPr>
        <w:t>as an expense.  Briskin M.B. at </w:t>
      </w:r>
      <w:r w:rsidR="00974751" w:rsidRPr="006000F1">
        <w:rPr>
          <w:sz w:val="26"/>
          <w:szCs w:val="26"/>
        </w:rPr>
        <w:t xml:space="preserve">9.  </w:t>
      </w:r>
    </w:p>
    <w:p w:rsidR="00974751" w:rsidRPr="006000F1" w:rsidRDefault="00974751" w:rsidP="00A76F8A">
      <w:pPr>
        <w:tabs>
          <w:tab w:val="left" w:pos="0"/>
          <w:tab w:val="left" w:pos="720"/>
          <w:tab w:val="left" w:pos="9450"/>
        </w:tabs>
        <w:spacing w:line="360" w:lineRule="auto"/>
        <w:ind w:firstLine="1440"/>
        <w:rPr>
          <w:sz w:val="26"/>
          <w:szCs w:val="26"/>
        </w:rPr>
      </w:pPr>
    </w:p>
    <w:p w:rsidR="000E2907" w:rsidRPr="006000F1" w:rsidRDefault="00EF3EAC" w:rsidP="00A76F8A">
      <w:pPr>
        <w:suppressAutoHyphens/>
        <w:spacing w:line="360" w:lineRule="auto"/>
        <w:ind w:firstLine="720"/>
        <w:rPr>
          <w:sz w:val="26"/>
          <w:szCs w:val="26"/>
        </w:rPr>
      </w:pPr>
      <w:r>
        <w:rPr>
          <w:sz w:val="26"/>
          <w:szCs w:val="26"/>
        </w:rPr>
        <w:t xml:space="preserve">          In response, Aqua contended</w:t>
      </w:r>
      <w:r w:rsidR="00974751" w:rsidRPr="006000F1">
        <w:rPr>
          <w:sz w:val="26"/>
          <w:szCs w:val="26"/>
        </w:rPr>
        <w:t xml:space="preserve"> that extensive data </w:t>
      </w:r>
      <w:r w:rsidR="00872624">
        <w:rPr>
          <w:sz w:val="26"/>
          <w:szCs w:val="26"/>
        </w:rPr>
        <w:t xml:space="preserve">on these items </w:t>
      </w:r>
      <w:r w:rsidR="00974751" w:rsidRPr="006000F1">
        <w:rPr>
          <w:sz w:val="26"/>
          <w:szCs w:val="26"/>
        </w:rPr>
        <w:t>was contained in its initia</w:t>
      </w:r>
      <w:r w:rsidR="00872624">
        <w:rPr>
          <w:sz w:val="26"/>
          <w:szCs w:val="26"/>
        </w:rPr>
        <w:t>l filing, direct testimony and E</w:t>
      </w:r>
      <w:r w:rsidR="00974751" w:rsidRPr="006000F1">
        <w:rPr>
          <w:sz w:val="26"/>
          <w:szCs w:val="26"/>
        </w:rPr>
        <w:t>xhibits.  Specifically,</w:t>
      </w:r>
      <w:r w:rsidR="00872624">
        <w:rPr>
          <w:sz w:val="26"/>
          <w:szCs w:val="26"/>
        </w:rPr>
        <w:t xml:space="preserve"> Aqua indicated that </w:t>
      </w:r>
      <w:r w:rsidR="00974751" w:rsidRPr="006000F1">
        <w:rPr>
          <w:sz w:val="26"/>
          <w:szCs w:val="26"/>
        </w:rPr>
        <w:t>affiliated service</w:t>
      </w:r>
      <w:r w:rsidR="00872624">
        <w:rPr>
          <w:sz w:val="26"/>
          <w:szCs w:val="26"/>
        </w:rPr>
        <w:t xml:space="preserve"> fees are discussed in Aqua St</w:t>
      </w:r>
      <w:r w:rsidR="00974751" w:rsidRPr="006000F1">
        <w:rPr>
          <w:sz w:val="26"/>
          <w:szCs w:val="26"/>
        </w:rPr>
        <w:t xml:space="preserve">. 3, attachment 1, executive compensation </w:t>
      </w:r>
      <w:r w:rsidR="00955C5D">
        <w:rPr>
          <w:sz w:val="26"/>
          <w:szCs w:val="26"/>
        </w:rPr>
        <w:t xml:space="preserve">is discussed </w:t>
      </w:r>
      <w:r w:rsidR="00974751" w:rsidRPr="006000F1">
        <w:rPr>
          <w:sz w:val="26"/>
          <w:szCs w:val="26"/>
        </w:rPr>
        <w:t xml:space="preserve">in Aqua Exh. 2-A; OE 5; OE 22 and dividend payments </w:t>
      </w:r>
      <w:r w:rsidR="00955C5D">
        <w:rPr>
          <w:sz w:val="26"/>
          <w:szCs w:val="26"/>
        </w:rPr>
        <w:t xml:space="preserve">are </w:t>
      </w:r>
      <w:r w:rsidR="00974751" w:rsidRPr="006000F1">
        <w:rPr>
          <w:sz w:val="26"/>
          <w:szCs w:val="26"/>
        </w:rPr>
        <w:t>fou</w:t>
      </w:r>
      <w:r w:rsidR="00872624">
        <w:rPr>
          <w:sz w:val="26"/>
          <w:szCs w:val="26"/>
        </w:rPr>
        <w:t>nd at RR 24.  Aqua also suggested</w:t>
      </w:r>
      <w:r w:rsidR="00974751" w:rsidRPr="006000F1">
        <w:rPr>
          <w:sz w:val="26"/>
          <w:szCs w:val="26"/>
        </w:rPr>
        <w:t xml:space="preserve"> that extensive information was shared through discovery requests concerning executive compensation and affiliate charges.  See Aqua R.B. at 4</w:t>
      </w:r>
      <w:r w:rsidR="00872624">
        <w:rPr>
          <w:sz w:val="26"/>
          <w:szCs w:val="26"/>
        </w:rPr>
        <w:t>,</w:t>
      </w:r>
      <w:r w:rsidR="00974751" w:rsidRPr="006000F1">
        <w:rPr>
          <w:sz w:val="26"/>
          <w:szCs w:val="26"/>
        </w:rPr>
        <w:t xml:space="preserve"> note 3.</w:t>
      </w:r>
    </w:p>
    <w:p w:rsidR="000E2907" w:rsidRDefault="000E2907" w:rsidP="00A76F8A">
      <w:pPr>
        <w:suppressAutoHyphens/>
        <w:spacing w:line="360" w:lineRule="auto"/>
        <w:rPr>
          <w:sz w:val="26"/>
        </w:rPr>
      </w:pPr>
    </w:p>
    <w:p w:rsidR="006F7E36" w:rsidRPr="003E23C5" w:rsidRDefault="006F7E36" w:rsidP="00A76F8A">
      <w:pPr>
        <w:pStyle w:val="Heading4"/>
      </w:pPr>
      <w:bookmarkStart w:id="16" w:name="_Toc264354752"/>
      <w:r>
        <w:t>b.</w:t>
      </w:r>
      <w:r>
        <w:tab/>
        <w:t>ALJ’s Recommendation</w:t>
      </w:r>
      <w:bookmarkEnd w:id="16"/>
    </w:p>
    <w:p w:rsidR="000E2907" w:rsidRDefault="000E2907" w:rsidP="00A76F8A">
      <w:pPr>
        <w:suppressAutoHyphens/>
        <w:spacing w:line="360" w:lineRule="auto"/>
        <w:rPr>
          <w:sz w:val="26"/>
        </w:rPr>
      </w:pPr>
    </w:p>
    <w:p w:rsidR="00C60558" w:rsidRPr="00DA503F" w:rsidRDefault="00DA503F" w:rsidP="00A76F8A">
      <w:pPr>
        <w:tabs>
          <w:tab w:val="left" w:pos="0"/>
          <w:tab w:val="left" w:pos="720"/>
          <w:tab w:val="left" w:pos="9450"/>
        </w:tabs>
        <w:spacing w:line="360" w:lineRule="auto"/>
        <w:ind w:firstLine="1440"/>
        <w:rPr>
          <w:sz w:val="26"/>
          <w:szCs w:val="26"/>
        </w:rPr>
      </w:pPr>
      <w:r>
        <w:rPr>
          <w:sz w:val="26"/>
          <w:szCs w:val="26"/>
        </w:rPr>
        <w:t>ALJ Jones state that she found</w:t>
      </w:r>
      <w:r w:rsidR="00C60558" w:rsidRPr="00DA503F">
        <w:rPr>
          <w:sz w:val="26"/>
          <w:szCs w:val="26"/>
        </w:rPr>
        <w:t xml:space="preserve"> the argument of Dr. Briskin unconvincing.  </w:t>
      </w:r>
      <w:r>
        <w:rPr>
          <w:sz w:val="26"/>
          <w:szCs w:val="26"/>
        </w:rPr>
        <w:t>She continued that Dr. Briskin may be unfamiliar</w:t>
      </w:r>
      <w:r w:rsidR="00C60558" w:rsidRPr="00DA503F">
        <w:rPr>
          <w:sz w:val="26"/>
          <w:szCs w:val="26"/>
        </w:rPr>
        <w:t xml:space="preserve"> with the filing requirements </w:t>
      </w:r>
      <w:r>
        <w:rPr>
          <w:sz w:val="26"/>
          <w:szCs w:val="26"/>
        </w:rPr>
        <w:t>in a rate case, or he may</w:t>
      </w:r>
      <w:r w:rsidR="00C60558" w:rsidRPr="00DA503F">
        <w:rPr>
          <w:sz w:val="26"/>
          <w:szCs w:val="26"/>
        </w:rPr>
        <w:t xml:space="preserve"> simply </w:t>
      </w:r>
      <w:r>
        <w:rPr>
          <w:sz w:val="26"/>
          <w:szCs w:val="26"/>
        </w:rPr>
        <w:t xml:space="preserve">have </w:t>
      </w:r>
      <w:r w:rsidR="00C60558" w:rsidRPr="00DA503F">
        <w:rPr>
          <w:sz w:val="26"/>
          <w:szCs w:val="26"/>
        </w:rPr>
        <w:t>failed to examine the filing by</w:t>
      </w:r>
      <w:r>
        <w:rPr>
          <w:sz w:val="26"/>
          <w:szCs w:val="26"/>
        </w:rPr>
        <w:t xml:space="preserve"> Aqua in its entirety</w:t>
      </w:r>
      <w:r w:rsidR="00C60558" w:rsidRPr="00DA503F">
        <w:rPr>
          <w:sz w:val="26"/>
          <w:szCs w:val="26"/>
        </w:rPr>
        <w:t xml:space="preserve">.  </w:t>
      </w:r>
      <w:r>
        <w:rPr>
          <w:sz w:val="26"/>
          <w:szCs w:val="26"/>
        </w:rPr>
        <w:t xml:space="preserve">In any case, the ALJ pointed to the </w:t>
      </w:r>
      <w:r w:rsidR="00C60558" w:rsidRPr="00DA503F">
        <w:rPr>
          <w:sz w:val="26"/>
          <w:szCs w:val="26"/>
        </w:rPr>
        <w:t>Commission</w:t>
      </w:r>
      <w:r>
        <w:rPr>
          <w:sz w:val="26"/>
          <w:szCs w:val="26"/>
        </w:rPr>
        <w:t>’s</w:t>
      </w:r>
      <w:r w:rsidR="00714790">
        <w:rPr>
          <w:sz w:val="26"/>
          <w:szCs w:val="26"/>
        </w:rPr>
        <w:t xml:space="preserve"> R</w:t>
      </w:r>
      <w:r w:rsidR="00C60558" w:rsidRPr="00DA503F">
        <w:rPr>
          <w:sz w:val="26"/>
          <w:szCs w:val="26"/>
        </w:rPr>
        <w:t>egulations at 52 Pa.</w:t>
      </w:r>
      <w:r w:rsidR="00714790">
        <w:rPr>
          <w:sz w:val="26"/>
          <w:szCs w:val="26"/>
        </w:rPr>
        <w:t xml:space="preserve"> </w:t>
      </w:r>
      <w:r w:rsidR="00C60558" w:rsidRPr="00DA503F">
        <w:rPr>
          <w:sz w:val="26"/>
          <w:szCs w:val="26"/>
        </w:rPr>
        <w:t>Code §</w:t>
      </w:r>
      <w:r>
        <w:rPr>
          <w:sz w:val="26"/>
          <w:szCs w:val="26"/>
        </w:rPr>
        <w:t xml:space="preserve"> 53.53 (a) and (c), which read as follows:</w:t>
      </w:r>
      <w:r w:rsidR="00C60558" w:rsidRPr="00DA503F">
        <w:rPr>
          <w:sz w:val="26"/>
          <w:szCs w:val="26"/>
        </w:rPr>
        <w:t xml:space="preserve">  </w:t>
      </w:r>
    </w:p>
    <w:p w:rsidR="00C60558" w:rsidRPr="00CF205C" w:rsidRDefault="00C60558" w:rsidP="00A76F8A">
      <w:pPr>
        <w:ind w:left="1440" w:right="1440"/>
        <w:rPr>
          <w:b/>
        </w:rPr>
      </w:pPr>
      <w:r w:rsidRPr="00CF205C">
        <w:rPr>
          <w:b/>
        </w:rPr>
        <w:t>§ 53.53. Information to be furnished with proposed general rate increase filings in excess of $1 million.</w:t>
      </w:r>
    </w:p>
    <w:p w:rsidR="00C60558" w:rsidRPr="00DA503F" w:rsidRDefault="00C60558" w:rsidP="00A76F8A">
      <w:pPr>
        <w:pStyle w:val="NormalWeb"/>
        <w:ind w:left="1440" w:right="1440"/>
        <w:rPr>
          <w:sz w:val="26"/>
          <w:szCs w:val="26"/>
        </w:rPr>
      </w:pPr>
      <w:r w:rsidRPr="00DA503F">
        <w:rPr>
          <w:sz w:val="26"/>
          <w:szCs w:val="26"/>
        </w:rPr>
        <w:t> (a)  When a public utility, other than a canal, turnpike, tunnel, bridge or wharf company, files a tariff or tariff supplement seeking a general rate increase within the meaning of 66 Pa.</w:t>
      </w:r>
      <w:r w:rsidR="00714790">
        <w:rPr>
          <w:sz w:val="26"/>
          <w:szCs w:val="26"/>
        </w:rPr>
        <w:t xml:space="preserve"> </w:t>
      </w:r>
      <w:r w:rsidRPr="00DA503F">
        <w:rPr>
          <w:sz w:val="26"/>
          <w:szCs w:val="26"/>
        </w:rPr>
        <w:t xml:space="preserve">C.S. §  1308(d) (relating to voluntary changes in rates), and the general rate increase exceeds $1 million in gross annual revenues, in addition to the data required by other provisions of this chapter, the tariff or tariff supplement shall be accompanied by responses to the data requests contained in the following exhibits which apply to the utility types indicated. </w:t>
      </w:r>
    </w:p>
    <w:p w:rsidR="00C60558" w:rsidRPr="00DA503F" w:rsidRDefault="00C60558" w:rsidP="00A76F8A">
      <w:pPr>
        <w:pStyle w:val="NormalWeb"/>
        <w:ind w:left="1440" w:right="1440"/>
        <w:rPr>
          <w:sz w:val="26"/>
          <w:szCs w:val="26"/>
        </w:rPr>
      </w:pPr>
      <w:r w:rsidRPr="00DA503F">
        <w:rPr>
          <w:sz w:val="26"/>
          <w:szCs w:val="26"/>
        </w:rPr>
        <w:t xml:space="preserve">   (1)  Exhibit A—Utilities except communications, electric, water and wastewater utilities. </w:t>
      </w:r>
    </w:p>
    <w:p w:rsidR="00C60558" w:rsidRPr="00DA503F" w:rsidRDefault="00C60558" w:rsidP="00A76F8A">
      <w:pPr>
        <w:pStyle w:val="NormalWeb"/>
        <w:ind w:left="1440" w:right="1440"/>
        <w:rPr>
          <w:sz w:val="26"/>
          <w:szCs w:val="26"/>
        </w:rPr>
      </w:pPr>
      <w:r w:rsidRPr="00DA503F">
        <w:rPr>
          <w:sz w:val="26"/>
          <w:szCs w:val="26"/>
        </w:rPr>
        <w:t xml:space="preserve">   (2)  Exhibit B—Communications utilities. </w:t>
      </w:r>
    </w:p>
    <w:p w:rsidR="00C60558" w:rsidRPr="00DA503F" w:rsidRDefault="00C60558" w:rsidP="00A76F8A">
      <w:pPr>
        <w:pStyle w:val="NormalWeb"/>
        <w:ind w:left="1440" w:right="1440"/>
        <w:rPr>
          <w:sz w:val="26"/>
          <w:szCs w:val="26"/>
        </w:rPr>
      </w:pPr>
      <w:r w:rsidRPr="00DA503F">
        <w:rPr>
          <w:sz w:val="26"/>
          <w:szCs w:val="26"/>
        </w:rPr>
        <w:t xml:space="preserve">   (3)  Exhibit C—Electric utilities. </w:t>
      </w:r>
    </w:p>
    <w:p w:rsidR="00C60558" w:rsidRPr="00DA503F" w:rsidRDefault="00C60558" w:rsidP="00A76F8A">
      <w:pPr>
        <w:pStyle w:val="NormalWeb"/>
        <w:ind w:left="1440" w:right="1440"/>
        <w:rPr>
          <w:sz w:val="26"/>
          <w:szCs w:val="26"/>
        </w:rPr>
      </w:pPr>
      <w:r w:rsidRPr="00DA503F">
        <w:rPr>
          <w:sz w:val="26"/>
          <w:szCs w:val="26"/>
        </w:rPr>
        <w:lastRenderedPageBreak/>
        <w:t xml:space="preserve">   (4)  Exhibit D—Water and wastewater utilities. </w:t>
      </w:r>
    </w:p>
    <w:p w:rsidR="00C60558" w:rsidRPr="00DA503F" w:rsidRDefault="00C60558" w:rsidP="00A76F8A">
      <w:pPr>
        <w:pStyle w:val="NormalWeb"/>
        <w:tabs>
          <w:tab w:val="left" w:pos="3600"/>
          <w:tab w:val="left" w:pos="5760"/>
        </w:tabs>
        <w:ind w:left="1440" w:right="1440"/>
        <w:jc w:val="center"/>
        <w:rPr>
          <w:sz w:val="26"/>
          <w:szCs w:val="26"/>
        </w:rPr>
      </w:pPr>
      <w:r w:rsidRPr="00DA503F">
        <w:rPr>
          <w:sz w:val="26"/>
          <w:szCs w:val="26"/>
        </w:rPr>
        <w:t xml:space="preserve">*             </w:t>
      </w:r>
      <w:r w:rsidRPr="00DA503F">
        <w:rPr>
          <w:sz w:val="26"/>
          <w:szCs w:val="26"/>
        </w:rPr>
        <w:tab/>
        <w:t>*</w:t>
      </w:r>
      <w:r w:rsidRPr="00DA503F">
        <w:rPr>
          <w:sz w:val="26"/>
          <w:szCs w:val="26"/>
        </w:rPr>
        <w:tab/>
        <w:t>*</w:t>
      </w:r>
    </w:p>
    <w:p w:rsidR="00C60558" w:rsidRPr="00DA503F" w:rsidRDefault="00C60558" w:rsidP="00A76F8A">
      <w:pPr>
        <w:pStyle w:val="NormalWeb"/>
        <w:ind w:left="1440" w:right="1440"/>
        <w:rPr>
          <w:sz w:val="26"/>
          <w:szCs w:val="26"/>
        </w:rPr>
      </w:pPr>
      <w:r w:rsidRPr="00DA503F">
        <w:rPr>
          <w:sz w:val="26"/>
          <w:szCs w:val="26"/>
        </w:rPr>
        <w:t xml:space="preserve"> (c)  Initial utility direct testimony of a witness who shall testify in support of the utility’s position shall be provided as part of the filing materials. The testimony of the filing utility shall include a complete explanation and justification of claims which depart from the unadjusted test year results of operations, including the methodology and rationale. The testimony shall be accompanied by supporting worksheets, if necessary, and shall refer to supporting exhibits to which the testimony relates. The explanation and documentation of the proposed adjustments shall enable a reasonably informed party to determine how the amount was calculated and to understand why the amount is being claimed. </w:t>
      </w:r>
    </w:p>
    <w:p w:rsidR="00C60558" w:rsidRPr="00DA503F" w:rsidRDefault="00C60558" w:rsidP="00A76F8A">
      <w:pPr>
        <w:tabs>
          <w:tab w:val="left" w:pos="0"/>
          <w:tab w:val="left" w:pos="720"/>
          <w:tab w:val="left" w:pos="9450"/>
        </w:tabs>
        <w:spacing w:line="360" w:lineRule="auto"/>
        <w:ind w:firstLine="1440"/>
        <w:rPr>
          <w:sz w:val="26"/>
          <w:szCs w:val="26"/>
        </w:rPr>
      </w:pPr>
    </w:p>
    <w:p w:rsidR="00C60558" w:rsidRPr="00DA503F" w:rsidRDefault="00C60558" w:rsidP="00A76F8A">
      <w:pPr>
        <w:tabs>
          <w:tab w:val="left" w:pos="0"/>
          <w:tab w:val="left" w:pos="720"/>
          <w:tab w:val="left" w:pos="9450"/>
        </w:tabs>
        <w:spacing w:line="360" w:lineRule="auto"/>
        <w:rPr>
          <w:sz w:val="26"/>
          <w:szCs w:val="26"/>
        </w:rPr>
      </w:pPr>
      <w:r w:rsidRPr="00DA503F">
        <w:rPr>
          <w:sz w:val="26"/>
          <w:szCs w:val="26"/>
        </w:rPr>
        <w:t>See</w:t>
      </w:r>
      <w:r w:rsidR="001D2F64">
        <w:rPr>
          <w:sz w:val="26"/>
          <w:szCs w:val="26"/>
        </w:rPr>
        <w:t>,</w:t>
      </w:r>
      <w:r w:rsidRPr="00DA503F">
        <w:rPr>
          <w:sz w:val="26"/>
          <w:szCs w:val="26"/>
        </w:rPr>
        <w:t xml:space="preserve"> specifically, requirements contained in Exhibit D, III. Operating Expense 5 and 6 (salary, wage and fringe benefit increases; and analysis by functional accounts of charges </w:t>
      </w:r>
      <w:r w:rsidR="00DA503F">
        <w:rPr>
          <w:sz w:val="26"/>
          <w:szCs w:val="26"/>
        </w:rPr>
        <w:t xml:space="preserve">by affiliates, respectively).  ALJ Jones concluded that Aqua filed in compliance with Commission regulations and, accordingly, </w:t>
      </w:r>
      <w:r w:rsidRPr="00DA503F">
        <w:rPr>
          <w:sz w:val="26"/>
          <w:szCs w:val="26"/>
        </w:rPr>
        <w:t xml:space="preserve">Dr. Briskin’s contentions </w:t>
      </w:r>
      <w:r w:rsidR="00DA503F">
        <w:rPr>
          <w:sz w:val="26"/>
          <w:szCs w:val="26"/>
        </w:rPr>
        <w:t xml:space="preserve">on this point </w:t>
      </w:r>
      <w:r w:rsidRPr="00DA503F">
        <w:rPr>
          <w:sz w:val="26"/>
          <w:szCs w:val="26"/>
        </w:rPr>
        <w:t>are mistaken.</w:t>
      </w:r>
      <w:r w:rsidR="00DA503F">
        <w:rPr>
          <w:sz w:val="26"/>
          <w:szCs w:val="26"/>
        </w:rPr>
        <w:t xml:space="preserve">  R.D. </w:t>
      </w:r>
      <w:r w:rsidR="00DA503F" w:rsidRPr="00DA503F">
        <w:rPr>
          <w:sz w:val="26"/>
          <w:szCs w:val="26"/>
        </w:rPr>
        <w:t>at 29-30.</w:t>
      </w:r>
    </w:p>
    <w:p w:rsidR="000E2907" w:rsidRDefault="000E2907" w:rsidP="00A76F8A">
      <w:pPr>
        <w:suppressAutoHyphens/>
        <w:spacing w:line="360" w:lineRule="auto"/>
        <w:rPr>
          <w:sz w:val="26"/>
        </w:rPr>
      </w:pPr>
    </w:p>
    <w:p w:rsidR="00AE45FC" w:rsidRPr="003E23C5" w:rsidRDefault="00C60558" w:rsidP="00A76F8A">
      <w:pPr>
        <w:pStyle w:val="Heading4"/>
      </w:pPr>
      <w:bookmarkStart w:id="17" w:name="_Toc264354753"/>
      <w:r>
        <w:t>c</w:t>
      </w:r>
      <w:r w:rsidR="00575BF6">
        <w:t>.</w:t>
      </w:r>
      <w:r w:rsidR="00575BF6">
        <w:tab/>
      </w:r>
      <w:r w:rsidR="00E82142">
        <w:t>Disposition</w:t>
      </w:r>
      <w:bookmarkEnd w:id="17"/>
    </w:p>
    <w:p w:rsidR="00DA503F" w:rsidRDefault="00DA503F" w:rsidP="00A76F8A">
      <w:pPr>
        <w:rPr>
          <w:b/>
          <w:sz w:val="26"/>
        </w:rPr>
      </w:pPr>
    </w:p>
    <w:p w:rsidR="00780878" w:rsidRPr="00780878" w:rsidRDefault="00780878" w:rsidP="00A76F8A">
      <w:pPr>
        <w:spacing w:line="360" w:lineRule="auto"/>
        <w:rPr>
          <w:sz w:val="26"/>
        </w:rPr>
      </w:pPr>
      <w:r>
        <w:rPr>
          <w:b/>
          <w:sz w:val="26"/>
        </w:rPr>
        <w:tab/>
      </w:r>
      <w:r>
        <w:rPr>
          <w:b/>
          <w:sz w:val="26"/>
        </w:rPr>
        <w:tab/>
      </w:r>
      <w:r w:rsidRPr="00780878">
        <w:rPr>
          <w:sz w:val="26"/>
        </w:rPr>
        <w:t>No</w:t>
      </w:r>
      <w:r w:rsidR="00970525">
        <w:rPr>
          <w:sz w:val="26"/>
        </w:rPr>
        <w:t xml:space="preserve"> Party excepts to the ALJ’s recommendation on this issue.  As such, and</w:t>
      </w:r>
      <w:r w:rsidR="00B2450F">
        <w:rPr>
          <w:sz w:val="26"/>
        </w:rPr>
        <w:t xml:space="preserve"> finding the ALJ’s recommendation to be otherwise reasonable, it is adopted.</w:t>
      </w:r>
    </w:p>
    <w:p w:rsidR="0043160B" w:rsidRDefault="0043160B" w:rsidP="00A76F8A">
      <w:pPr>
        <w:suppressAutoHyphens/>
        <w:spacing w:line="360" w:lineRule="auto"/>
        <w:rPr>
          <w:sz w:val="26"/>
        </w:rPr>
      </w:pPr>
    </w:p>
    <w:p w:rsidR="0028337A" w:rsidRPr="003B2621" w:rsidRDefault="0028337A" w:rsidP="00A76F8A">
      <w:pPr>
        <w:pStyle w:val="Heading3"/>
      </w:pPr>
      <w:bookmarkStart w:id="18" w:name="_Toc264354754"/>
      <w:r>
        <w:t>3</w:t>
      </w:r>
      <w:r w:rsidRPr="003B2621">
        <w:t>.</w:t>
      </w:r>
      <w:r w:rsidRPr="003B2621">
        <w:tab/>
      </w:r>
      <w:r w:rsidR="003F4F12">
        <w:t xml:space="preserve">Failure to Propose Appropriate </w:t>
      </w:r>
      <w:r w:rsidR="00C60558">
        <w:t>Revenue Requirement</w:t>
      </w:r>
      <w:bookmarkEnd w:id="18"/>
    </w:p>
    <w:p w:rsidR="004932BB" w:rsidRDefault="004932BB" w:rsidP="00A76F8A">
      <w:pPr>
        <w:suppressAutoHyphens/>
        <w:spacing w:line="360" w:lineRule="auto"/>
        <w:rPr>
          <w:sz w:val="26"/>
        </w:rPr>
      </w:pPr>
    </w:p>
    <w:p w:rsidR="00FF5914" w:rsidRPr="003E23C5" w:rsidRDefault="00FF5914" w:rsidP="00A76F8A">
      <w:pPr>
        <w:pStyle w:val="Heading4"/>
      </w:pPr>
      <w:bookmarkStart w:id="19" w:name="_Toc264354755"/>
      <w:r>
        <w:t>a.</w:t>
      </w:r>
      <w:r>
        <w:tab/>
      </w:r>
      <w:r w:rsidRPr="003E23C5">
        <w:t>Positions of the Parties</w:t>
      </w:r>
      <w:bookmarkEnd w:id="19"/>
    </w:p>
    <w:p w:rsidR="004932BB" w:rsidRDefault="004932BB" w:rsidP="00A76F8A">
      <w:pPr>
        <w:suppressAutoHyphens/>
        <w:spacing w:line="360" w:lineRule="auto"/>
        <w:rPr>
          <w:sz w:val="26"/>
        </w:rPr>
      </w:pPr>
    </w:p>
    <w:p w:rsidR="00CB7D89" w:rsidRPr="00BD3648" w:rsidRDefault="00BD3648" w:rsidP="00A76F8A">
      <w:pPr>
        <w:pStyle w:val="NormalWeb"/>
        <w:tabs>
          <w:tab w:val="left" w:pos="2160"/>
          <w:tab w:val="left" w:pos="2520"/>
        </w:tabs>
        <w:spacing w:before="0" w:beforeAutospacing="0" w:after="0" w:afterAutospacing="0" w:line="360" w:lineRule="auto"/>
        <w:ind w:firstLine="1440"/>
        <w:rPr>
          <w:sz w:val="26"/>
          <w:szCs w:val="26"/>
        </w:rPr>
      </w:pPr>
      <w:r>
        <w:rPr>
          <w:sz w:val="26"/>
          <w:szCs w:val="26"/>
        </w:rPr>
        <w:t>Dr. Briskin asserted that,</w:t>
      </w:r>
      <w:r w:rsidR="00CB7D89" w:rsidRPr="00BD3648">
        <w:rPr>
          <w:sz w:val="26"/>
          <w:szCs w:val="26"/>
        </w:rPr>
        <w:t xml:space="preserve"> based on the</w:t>
      </w:r>
      <w:r w:rsidR="00F721C6">
        <w:rPr>
          <w:sz w:val="26"/>
          <w:szCs w:val="26"/>
        </w:rPr>
        <w:t xml:space="preserve"> testimony of Aqua’s witness Moul, </w:t>
      </w:r>
      <w:r w:rsidR="00CB7D89" w:rsidRPr="00BD3648">
        <w:rPr>
          <w:sz w:val="26"/>
          <w:szCs w:val="26"/>
        </w:rPr>
        <w:t xml:space="preserve">the rate of return should not exceed 4.75 to 5%, which is the rate payable on the $74.685 million raised by </w:t>
      </w:r>
      <w:r w:rsidR="006D75DD">
        <w:rPr>
          <w:sz w:val="26"/>
          <w:szCs w:val="26"/>
        </w:rPr>
        <w:t>a tax exempt bond</w:t>
      </w:r>
      <w:r w:rsidR="00CB7D89" w:rsidRPr="00BD3648">
        <w:rPr>
          <w:sz w:val="26"/>
          <w:szCs w:val="26"/>
        </w:rPr>
        <w:t xml:space="preserve"> issue on November 15, 2009</w:t>
      </w:r>
      <w:r w:rsidR="00F721C6">
        <w:rPr>
          <w:sz w:val="26"/>
          <w:szCs w:val="26"/>
        </w:rPr>
        <w:t>,</w:t>
      </w:r>
      <w:r w:rsidR="00CB7D89" w:rsidRPr="00BD3648">
        <w:rPr>
          <w:sz w:val="26"/>
          <w:szCs w:val="26"/>
        </w:rPr>
        <w:t xml:space="preserve"> by Aqua</w:t>
      </w:r>
      <w:r w:rsidR="00F721C6">
        <w:rPr>
          <w:sz w:val="26"/>
          <w:szCs w:val="26"/>
        </w:rPr>
        <w:t xml:space="preserve">.  Briskin </w:t>
      </w:r>
      <w:r w:rsidR="00F721C6">
        <w:rPr>
          <w:sz w:val="26"/>
          <w:szCs w:val="26"/>
        </w:rPr>
        <w:lastRenderedPageBreak/>
        <w:t>M.B. at 7-8.  Dr. Briskin implied</w:t>
      </w:r>
      <w:r w:rsidR="00CB7D89" w:rsidRPr="00BD3648">
        <w:rPr>
          <w:sz w:val="26"/>
          <w:szCs w:val="26"/>
        </w:rPr>
        <w:t xml:space="preserve"> that any rate of return that exce</w:t>
      </w:r>
      <w:r w:rsidR="00F721C6">
        <w:rPr>
          <w:sz w:val="26"/>
          <w:szCs w:val="26"/>
        </w:rPr>
        <w:t>eds this range is unreasonable.  He</w:t>
      </w:r>
      <w:r w:rsidR="00CB7D89" w:rsidRPr="00BD3648">
        <w:rPr>
          <w:sz w:val="26"/>
          <w:szCs w:val="26"/>
        </w:rPr>
        <w:t xml:space="preserve"> also criticized Mr. Moul’s objectivity and whether his recommendations account for the perspective of the customer.  Briskin M.B. at 8.  </w:t>
      </w:r>
    </w:p>
    <w:p w:rsidR="00CB7D89" w:rsidRPr="00BD3648" w:rsidRDefault="00CB7D89" w:rsidP="00A76F8A">
      <w:pPr>
        <w:spacing w:line="360" w:lineRule="auto"/>
        <w:ind w:firstLine="1440"/>
        <w:rPr>
          <w:sz w:val="26"/>
          <w:szCs w:val="26"/>
        </w:rPr>
      </w:pPr>
    </w:p>
    <w:p w:rsidR="00CB7D89" w:rsidRPr="00BD3648" w:rsidRDefault="00CB7D89" w:rsidP="00A76F8A">
      <w:pPr>
        <w:spacing w:line="360" w:lineRule="auto"/>
        <w:ind w:firstLine="1440"/>
        <w:rPr>
          <w:sz w:val="26"/>
          <w:szCs w:val="26"/>
        </w:rPr>
      </w:pPr>
      <w:r w:rsidRPr="00BD3648">
        <w:rPr>
          <w:sz w:val="26"/>
          <w:szCs w:val="26"/>
        </w:rPr>
        <w:t>Mr</w:t>
      </w:r>
      <w:r w:rsidR="00B2450F">
        <w:rPr>
          <w:sz w:val="26"/>
          <w:szCs w:val="26"/>
        </w:rPr>
        <w:t>. Linden acknowledged</w:t>
      </w:r>
      <w:r w:rsidRPr="00BD3648">
        <w:rPr>
          <w:sz w:val="26"/>
          <w:szCs w:val="26"/>
        </w:rPr>
        <w:t xml:space="preserve"> that there is no explicit rate of return in the Joint Settle</w:t>
      </w:r>
      <w:r w:rsidR="00F721C6">
        <w:rPr>
          <w:sz w:val="26"/>
          <w:szCs w:val="26"/>
        </w:rPr>
        <w:t>ment.  However, he noted</w:t>
      </w:r>
      <w:r w:rsidRPr="00BD3648">
        <w:rPr>
          <w:sz w:val="26"/>
          <w:szCs w:val="26"/>
        </w:rPr>
        <w:t xml:space="preserve"> that the proposed increase in revenue is about half of what was requested and</w:t>
      </w:r>
      <w:r w:rsidR="00F721C6">
        <w:rPr>
          <w:sz w:val="26"/>
          <w:szCs w:val="26"/>
        </w:rPr>
        <w:t>,</w:t>
      </w:r>
      <w:r w:rsidRPr="00BD3648">
        <w:rPr>
          <w:sz w:val="26"/>
          <w:szCs w:val="26"/>
        </w:rPr>
        <w:t xml:space="preserve"> therefore</w:t>
      </w:r>
      <w:r w:rsidR="00F721C6">
        <w:rPr>
          <w:sz w:val="26"/>
          <w:szCs w:val="26"/>
        </w:rPr>
        <w:t>, estimates</w:t>
      </w:r>
      <w:r w:rsidRPr="00BD3648">
        <w:rPr>
          <w:sz w:val="26"/>
          <w:szCs w:val="26"/>
        </w:rPr>
        <w:t xml:space="preserve"> that the return on equity to the Company in th</w:t>
      </w:r>
      <w:r w:rsidR="00F721C6">
        <w:rPr>
          <w:sz w:val="26"/>
          <w:szCs w:val="26"/>
        </w:rPr>
        <w:t>e Joint Settlement equates to</w:t>
      </w:r>
      <w:r w:rsidRPr="00BD3648">
        <w:rPr>
          <w:sz w:val="26"/>
          <w:szCs w:val="26"/>
        </w:rPr>
        <w:t xml:space="preserve"> about 10.5</w:t>
      </w:r>
      <w:r w:rsidR="00F721C6">
        <w:rPr>
          <w:sz w:val="26"/>
          <w:szCs w:val="26"/>
        </w:rPr>
        <w:t>%.  Mr. Linden asserted that a</w:t>
      </w:r>
      <w:r w:rsidRPr="00BD3648">
        <w:rPr>
          <w:sz w:val="26"/>
          <w:szCs w:val="26"/>
        </w:rPr>
        <w:t xml:space="preserve"> ROE of 10.5% would over-compensate shareholders. </w:t>
      </w:r>
      <w:r w:rsidR="00F721C6">
        <w:rPr>
          <w:sz w:val="26"/>
          <w:szCs w:val="26"/>
        </w:rPr>
        <w:t xml:space="preserve"> Linden M.B. at 1-3.  He</w:t>
      </w:r>
      <w:r w:rsidR="00511121">
        <w:rPr>
          <w:sz w:val="26"/>
          <w:szCs w:val="26"/>
        </w:rPr>
        <w:t xml:space="preserve"> also asserted</w:t>
      </w:r>
      <w:r w:rsidRPr="00BD3648">
        <w:rPr>
          <w:sz w:val="26"/>
          <w:szCs w:val="26"/>
        </w:rPr>
        <w:t xml:space="preserve"> that Aqua has no need to raise capital because its present rate </w:t>
      </w:r>
      <w:r w:rsidR="006D75DD">
        <w:rPr>
          <w:sz w:val="26"/>
          <w:szCs w:val="26"/>
        </w:rPr>
        <w:t>of equity return is comparable</w:t>
      </w:r>
      <w:r w:rsidR="00511121">
        <w:rPr>
          <w:sz w:val="26"/>
          <w:szCs w:val="26"/>
        </w:rPr>
        <w:t xml:space="preserve"> to</w:t>
      </w:r>
      <w:r w:rsidRPr="00BD3648">
        <w:rPr>
          <w:sz w:val="26"/>
          <w:szCs w:val="26"/>
        </w:rPr>
        <w:t xml:space="preserve"> </w:t>
      </w:r>
      <w:r w:rsidR="00511121">
        <w:rPr>
          <w:sz w:val="26"/>
          <w:szCs w:val="26"/>
        </w:rPr>
        <w:t xml:space="preserve">that </w:t>
      </w:r>
      <w:r w:rsidRPr="00BD3648">
        <w:rPr>
          <w:sz w:val="26"/>
          <w:szCs w:val="26"/>
        </w:rPr>
        <w:t>of York Water Company when that company issued common equity in Sept</w:t>
      </w:r>
      <w:r w:rsidR="00511121">
        <w:rPr>
          <w:sz w:val="26"/>
          <w:szCs w:val="26"/>
        </w:rPr>
        <w:t>ember 2009.  Linden M.B. at 2.  Finally, he asserted</w:t>
      </w:r>
      <w:r w:rsidRPr="00BD3648">
        <w:rPr>
          <w:sz w:val="26"/>
          <w:szCs w:val="26"/>
        </w:rPr>
        <w:t xml:space="preserve"> that York Water Company is directly comparable to Aqua as a regulated entity by the Commission. </w:t>
      </w:r>
    </w:p>
    <w:p w:rsidR="00CB7D89" w:rsidRPr="00BD3648" w:rsidRDefault="00CB7D89" w:rsidP="00A76F8A">
      <w:pPr>
        <w:tabs>
          <w:tab w:val="left" w:pos="-1440"/>
          <w:tab w:val="left" w:pos="-720"/>
        </w:tabs>
        <w:suppressAutoHyphens/>
        <w:spacing w:line="360" w:lineRule="auto"/>
        <w:rPr>
          <w:spacing w:val="-3"/>
          <w:sz w:val="26"/>
          <w:szCs w:val="26"/>
        </w:rPr>
      </w:pPr>
    </w:p>
    <w:p w:rsidR="00CB7D89" w:rsidRPr="00BD3648" w:rsidRDefault="00511121" w:rsidP="00A76F8A">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Aqua responded with the following points</w:t>
      </w:r>
      <w:r w:rsidR="00CB7D89" w:rsidRPr="00BD3648">
        <w:rPr>
          <w:spacing w:val="-3"/>
          <w:sz w:val="26"/>
          <w:szCs w:val="26"/>
        </w:rPr>
        <w:t>:</w:t>
      </w:r>
    </w:p>
    <w:p w:rsidR="00CB7D89" w:rsidRPr="00BD3648" w:rsidRDefault="00CB7D89" w:rsidP="00A76F8A">
      <w:pPr>
        <w:tabs>
          <w:tab w:val="left" w:pos="-1440"/>
          <w:tab w:val="left" w:pos="-720"/>
        </w:tabs>
        <w:suppressAutoHyphens/>
        <w:spacing w:line="360" w:lineRule="auto"/>
        <w:rPr>
          <w:spacing w:val="-3"/>
          <w:sz w:val="26"/>
          <w:szCs w:val="26"/>
        </w:rPr>
      </w:pPr>
    </w:p>
    <w:p w:rsidR="00511121" w:rsidRDefault="00CB7D89" w:rsidP="00A76F8A">
      <w:pPr>
        <w:numPr>
          <w:ilvl w:val="0"/>
          <w:numId w:val="30"/>
        </w:numPr>
        <w:tabs>
          <w:tab w:val="left" w:pos="-1440"/>
          <w:tab w:val="left" w:pos="-720"/>
        </w:tabs>
        <w:suppressAutoHyphens/>
        <w:ind w:left="1440" w:right="1350" w:firstLine="0"/>
        <w:rPr>
          <w:spacing w:val="-3"/>
          <w:sz w:val="26"/>
          <w:szCs w:val="26"/>
        </w:rPr>
      </w:pPr>
      <w:r w:rsidRPr="00BD3648">
        <w:rPr>
          <w:spacing w:val="-3"/>
          <w:sz w:val="26"/>
          <w:szCs w:val="26"/>
        </w:rPr>
        <w:t>The Company has been financed through several issuances of debt and infusions of equity over the years;</w:t>
      </w:r>
    </w:p>
    <w:p w:rsidR="00CB7D89" w:rsidRPr="00BD3648" w:rsidRDefault="00CB7D89" w:rsidP="00A76F8A">
      <w:pPr>
        <w:tabs>
          <w:tab w:val="left" w:pos="-1440"/>
          <w:tab w:val="left" w:pos="-720"/>
        </w:tabs>
        <w:suppressAutoHyphens/>
        <w:ind w:left="1440" w:right="1350"/>
        <w:rPr>
          <w:spacing w:val="-3"/>
          <w:sz w:val="26"/>
          <w:szCs w:val="26"/>
        </w:rPr>
      </w:pPr>
      <w:r w:rsidRPr="00BD3648">
        <w:rPr>
          <w:spacing w:val="-3"/>
          <w:sz w:val="26"/>
          <w:szCs w:val="26"/>
        </w:rPr>
        <w:t xml:space="preserve">  </w:t>
      </w:r>
    </w:p>
    <w:p w:rsidR="00511121" w:rsidRDefault="00CB7D89" w:rsidP="00A76F8A">
      <w:pPr>
        <w:numPr>
          <w:ilvl w:val="0"/>
          <w:numId w:val="30"/>
        </w:numPr>
        <w:tabs>
          <w:tab w:val="left" w:pos="-1440"/>
          <w:tab w:val="left" w:pos="-720"/>
        </w:tabs>
        <w:suppressAutoHyphens/>
        <w:ind w:left="1440" w:right="1350" w:firstLine="0"/>
        <w:rPr>
          <w:spacing w:val="-3"/>
          <w:sz w:val="26"/>
          <w:szCs w:val="26"/>
        </w:rPr>
      </w:pPr>
      <w:r w:rsidRPr="00BD3648">
        <w:rPr>
          <w:spacing w:val="-3"/>
          <w:sz w:val="26"/>
          <w:szCs w:val="26"/>
        </w:rPr>
        <w:t>The Company’s rate base approximates $1.63 billion; not $74.685 million as referenced by Dr. Briskin;</w:t>
      </w:r>
    </w:p>
    <w:p w:rsidR="00CB7D89" w:rsidRPr="00BD3648" w:rsidRDefault="00CB7D89" w:rsidP="00A76F8A">
      <w:pPr>
        <w:tabs>
          <w:tab w:val="left" w:pos="-1440"/>
          <w:tab w:val="left" w:pos="-720"/>
        </w:tabs>
        <w:suppressAutoHyphens/>
        <w:ind w:left="1440" w:right="1350"/>
        <w:rPr>
          <w:spacing w:val="-3"/>
          <w:sz w:val="26"/>
          <w:szCs w:val="26"/>
        </w:rPr>
      </w:pPr>
      <w:r w:rsidRPr="00BD3648">
        <w:rPr>
          <w:spacing w:val="-3"/>
          <w:sz w:val="26"/>
          <w:szCs w:val="26"/>
        </w:rPr>
        <w:t xml:space="preserve">  </w:t>
      </w:r>
    </w:p>
    <w:p w:rsidR="00511121" w:rsidRDefault="00CB7D89" w:rsidP="00A76F8A">
      <w:pPr>
        <w:numPr>
          <w:ilvl w:val="0"/>
          <w:numId w:val="30"/>
        </w:numPr>
        <w:tabs>
          <w:tab w:val="left" w:pos="-1440"/>
          <w:tab w:val="left" w:pos="-720"/>
        </w:tabs>
        <w:suppressAutoHyphens/>
        <w:ind w:left="1440" w:right="1350" w:firstLine="0"/>
        <w:rPr>
          <w:spacing w:val="-3"/>
          <w:sz w:val="26"/>
          <w:szCs w:val="26"/>
        </w:rPr>
      </w:pPr>
      <w:r w:rsidRPr="00BD3648">
        <w:rPr>
          <w:spacing w:val="-3"/>
          <w:sz w:val="26"/>
          <w:szCs w:val="26"/>
        </w:rPr>
        <w:t>There is no record support that the Company has available to it unlimited quantities of tax exempt debt; and</w:t>
      </w:r>
    </w:p>
    <w:p w:rsidR="00CB7D89" w:rsidRPr="00BD3648" w:rsidRDefault="00CB7D89" w:rsidP="00A76F8A">
      <w:pPr>
        <w:tabs>
          <w:tab w:val="left" w:pos="-1440"/>
          <w:tab w:val="left" w:pos="-720"/>
        </w:tabs>
        <w:suppressAutoHyphens/>
        <w:ind w:left="1440" w:right="1350"/>
        <w:rPr>
          <w:spacing w:val="-3"/>
          <w:sz w:val="26"/>
          <w:szCs w:val="26"/>
        </w:rPr>
      </w:pPr>
      <w:r w:rsidRPr="00BD3648">
        <w:rPr>
          <w:spacing w:val="-3"/>
          <w:sz w:val="26"/>
          <w:szCs w:val="26"/>
        </w:rPr>
        <w:t xml:space="preserve"> </w:t>
      </w:r>
    </w:p>
    <w:p w:rsidR="00CB7D89" w:rsidRPr="00BD3648" w:rsidRDefault="00CB7D89" w:rsidP="00A76F8A">
      <w:pPr>
        <w:numPr>
          <w:ilvl w:val="0"/>
          <w:numId w:val="30"/>
        </w:numPr>
        <w:tabs>
          <w:tab w:val="left" w:pos="-1440"/>
          <w:tab w:val="left" w:pos="-720"/>
        </w:tabs>
        <w:suppressAutoHyphens/>
        <w:ind w:left="1440" w:right="1350" w:firstLine="0"/>
        <w:rPr>
          <w:spacing w:val="-3"/>
          <w:sz w:val="26"/>
          <w:szCs w:val="26"/>
        </w:rPr>
      </w:pPr>
      <w:r w:rsidRPr="00BD3648">
        <w:rPr>
          <w:spacing w:val="-3"/>
          <w:sz w:val="26"/>
          <w:szCs w:val="26"/>
        </w:rPr>
        <w:t xml:space="preserve">It is suspected that the Commission would not approve the Company maintaining a capital structure composed entirely of debt.  </w:t>
      </w:r>
    </w:p>
    <w:p w:rsidR="00CB7D89" w:rsidRPr="00BD3648" w:rsidRDefault="00CB7D89" w:rsidP="00A76F8A">
      <w:pPr>
        <w:tabs>
          <w:tab w:val="left" w:pos="-1440"/>
          <w:tab w:val="left" w:pos="-720"/>
        </w:tabs>
        <w:suppressAutoHyphens/>
        <w:ind w:left="1440" w:right="1350"/>
        <w:rPr>
          <w:spacing w:val="-3"/>
          <w:sz w:val="26"/>
          <w:szCs w:val="26"/>
        </w:rPr>
      </w:pPr>
    </w:p>
    <w:p w:rsidR="00CB7D89" w:rsidRPr="00BD3648" w:rsidRDefault="00CB7D89" w:rsidP="00A76F8A">
      <w:pPr>
        <w:tabs>
          <w:tab w:val="left" w:pos="-1440"/>
          <w:tab w:val="left" w:pos="-720"/>
        </w:tabs>
        <w:suppressAutoHyphens/>
        <w:ind w:left="1440" w:right="1350"/>
        <w:rPr>
          <w:spacing w:val="-3"/>
          <w:sz w:val="26"/>
          <w:szCs w:val="26"/>
        </w:rPr>
      </w:pPr>
    </w:p>
    <w:p w:rsidR="00CB7D89" w:rsidRPr="00BD3648" w:rsidRDefault="00CB7D89" w:rsidP="00A76F8A">
      <w:pPr>
        <w:tabs>
          <w:tab w:val="left" w:pos="-1440"/>
          <w:tab w:val="left" w:pos="-720"/>
        </w:tabs>
        <w:suppressAutoHyphens/>
        <w:spacing w:line="360" w:lineRule="auto"/>
        <w:rPr>
          <w:spacing w:val="-3"/>
          <w:sz w:val="26"/>
          <w:szCs w:val="26"/>
        </w:rPr>
      </w:pPr>
      <w:r w:rsidRPr="00BD3648">
        <w:rPr>
          <w:spacing w:val="-3"/>
          <w:sz w:val="26"/>
          <w:szCs w:val="26"/>
        </w:rPr>
        <w:t xml:space="preserve">Aqua </w:t>
      </w:r>
      <w:r w:rsidR="00511121">
        <w:rPr>
          <w:spacing w:val="-3"/>
          <w:sz w:val="26"/>
          <w:szCs w:val="26"/>
        </w:rPr>
        <w:t>R.B. at 2.  Aqua further defended</w:t>
      </w:r>
      <w:r w:rsidRPr="00BD3648">
        <w:rPr>
          <w:spacing w:val="-3"/>
          <w:sz w:val="26"/>
          <w:szCs w:val="26"/>
        </w:rPr>
        <w:t xml:space="preserve"> its witne</w:t>
      </w:r>
      <w:r w:rsidR="00511121">
        <w:rPr>
          <w:spacing w:val="-3"/>
          <w:sz w:val="26"/>
          <w:szCs w:val="26"/>
        </w:rPr>
        <w:t xml:space="preserve">ss </w:t>
      </w:r>
      <w:r w:rsidRPr="00BD3648">
        <w:rPr>
          <w:spacing w:val="-3"/>
          <w:sz w:val="26"/>
          <w:szCs w:val="26"/>
        </w:rPr>
        <w:t xml:space="preserve">Moul, by stating that his recommendations have been reviewed by </w:t>
      </w:r>
      <w:r w:rsidR="00511121">
        <w:rPr>
          <w:spacing w:val="-3"/>
          <w:sz w:val="26"/>
          <w:szCs w:val="26"/>
        </w:rPr>
        <w:t xml:space="preserve">the OTS, a </w:t>
      </w:r>
      <w:r w:rsidRPr="00BD3648">
        <w:rPr>
          <w:spacing w:val="-3"/>
          <w:sz w:val="26"/>
          <w:szCs w:val="26"/>
        </w:rPr>
        <w:t xml:space="preserve">review </w:t>
      </w:r>
      <w:r w:rsidR="009A2A81">
        <w:rPr>
          <w:spacing w:val="-3"/>
          <w:sz w:val="26"/>
          <w:szCs w:val="26"/>
        </w:rPr>
        <w:t>which recognized</w:t>
      </w:r>
      <w:r w:rsidRPr="00BD3648">
        <w:rPr>
          <w:spacing w:val="-3"/>
          <w:sz w:val="26"/>
          <w:szCs w:val="26"/>
        </w:rPr>
        <w:t xml:space="preserve"> the </w:t>
      </w:r>
      <w:r w:rsidRPr="00BD3648">
        <w:rPr>
          <w:spacing w:val="-3"/>
          <w:sz w:val="26"/>
          <w:szCs w:val="26"/>
        </w:rPr>
        <w:lastRenderedPageBreak/>
        <w:t>persp</w:t>
      </w:r>
      <w:r w:rsidR="00511121">
        <w:rPr>
          <w:spacing w:val="-3"/>
          <w:sz w:val="26"/>
          <w:szCs w:val="26"/>
        </w:rPr>
        <w:t xml:space="preserve">ective of all customer classes, </w:t>
      </w:r>
      <w:r w:rsidRPr="00BD3648">
        <w:rPr>
          <w:spacing w:val="-3"/>
          <w:sz w:val="26"/>
          <w:szCs w:val="26"/>
        </w:rPr>
        <w:t xml:space="preserve">and </w:t>
      </w:r>
      <w:r w:rsidR="00511121">
        <w:rPr>
          <w:spacing w:val="-3"/>
          <w:sz w:val="26"/>
          <w:szCs w:val="26"/>
        </w:rPr>
        <w:t xml:space="preserve">by the OCA, </w:t>
      </w:r>
      <w:r w:rsidR="009A2A81">
        <w:rPr>
          <w:spacing w:val="-3"/>
          <w:sz w:val="26"/>
          <w:szCs w:val="26"/>
        </w:rPr>
        <w:t xml:space="preserve">a </w:t>
      </w:r>
      <w:r w:rsidRPr="00BD3648">
        <w:rPr>
          <w:spacing w:val="-3"/>
          <w:sz w:val="26"/>
          <w:szCs w:val="26"/>
        </w:rPr>
        <w:t xml:space="preserve">review </w:t>
      </w:r>
      <w:r w:rsidR="009A2A81">
        <w:rPr>
          <w:spacing w:val="-3"/>
          <w:sz w:val="26"/>
          <w:szCs w:val="26"/>
        </w:rPr>
        <w:t>which recognized</w:t>
      </w:r>
      <w:r w:rsidRPr="00BD3648">
        <w:rPr>
          <w:spacing w:val="-3"/>
          <w:sz w:val="26"/>
          <w:szCs w:val="26"/>
        </w:rPr>
        <w:t xml:space="preserve"> the perspective o</w:t>
      </w:r>
      <w:r w:rsidR="009A2A81">
        <w:rPr>
          <w:spacing w:val="-3"/>
          <w:sz w:val="26"/>
          <w:szCs w:val="26"/>
        </w:rPr>
        <w:t>f the residential customers</w:t>
      </w:r>
      <w:r w:rsidRPr="00BD3648">
        <w:rPr>
          <w:spacing w:val="-3"/>
          <w:sz w:val="26"/>
          <w:szCs w:val="26"/>
        </w:rPr>
        <w:t xml:space="preserve">.  Aqua R.B. at 2-3.  </w:t>
      </w:r>
    </w:p>
    <w:p w:rsidR="00CB7D89" w:rsidRPr="00BD3648" w:rsidRDefault="00CB7D89" w:rsidP="00A76F8A">
      <w:pPr>
        <w:tabs>
          <w:tab w:val="left" w:pos="-1440"/>
          <w:tab w:val="left" w:pos="-720"/>
        </w:tabs>
        <w:suppressAutoHyphens/>
        <w:spacing w:line="360" w:lineRule="auto"/>
        <w:rPr>
          <w:spacing w:val="-3"/>
          <w:sz w:val="26"/>
          <w:szCs w:val="26"/>
        </w:rPr>
      </w:pPr>
    </w:p>
    <w:p w:rsidR="00CB7D89" w:rsidRPr="00BD3648" w:rsidRDefault="00CB7D89" w:rsidP="00A76F8A">
      <w:pPr>
        <w:tabs>
          <w:tab w:val="left" w:pos="-1440"/>
          <w:tab w:val="left" w:pos="-720"/>
        </w:tabs>
        <w:suppressAutoHyphens/>
        <w:spacing w:line="360" w:lineRule="auto"/>
        <w:rPr>
          <w:spacing w:val="-3"/>
          <w:sz w:val="26"/>
          <w:szCs w:val="26"/>
        </w:rPr>
      </w:pPr>
      <w:r w:rsidRPr="00BD3648">
        <w:rPr>
          <w:spacing w:val="-3"/>
          <w:sz w:val="26"/>
          <w:szCs w:val="26"/>
        </w:rPr>
        <w:tab/>
      </w:r>
      <w:r w:rsidRPr="00BD3648">
        <w:rPr>
          <w:spacing w:val="-3"/>
          <w:sz w:val="26"/>
          <w:szCs w:val="26"/>
        </w:rPr>
        <w:tab/>
        <w:t xml:space="preserve">Aqua </w:t>
      </w:r>
      <w:r w:rsidR="009A2A81">
        <w:rPr>
          <w:spacing w:val="-3"/>
          <w:sz w:val="26"/>
          <w:szCs w:val="26"/>
        </w:rPr>
        <w:t>also noted</w:t>
      </w:r>
      <w:r w:rsidRPr="00BD3648">
        <w:rPr>
          <w:spacing w:val="-3"/>
          <w:sz w:val="26"/>
          <w:szCs w:val="26"/>
        </w:rPr>
        <w:t xml:space="preserve"> that the Joint Settlement is a “black box” without an</w:t>
      </w:r>
      <w:r w:rsidR="00791C77">
        <w:rPr>
          <w:spacing w:val="-3"/>
          <w:sz w:val="26"/>
          <w:szCs w:val="26"/>
        </w:rPr>
        <w:t xml:space="preserve">y specified </w:t>
      </w:r>
      <w:r w:rsidRPr="00BD3648">
        <w:rPr>
          <w:spacing w:val="-3"/>
          <w:sz w:val="26"/>
          <w:szCs w:val="26"/>
        </w:rPr>
        <w:t xml:space="preserve">equity return rate.  Moreover, the asserted 10.5% attributed to the equity </w:t>
      </w:r>
      <w:r w:rsidR="00791C77">
        <w:rPr>
          <w:spacing w:val="-3"/>
          <w:sz w:val="26"/>
          <w:szCs w:val="26"/>
        </w:rPr>
        <w:t>return rate in the instant case</w:t>
      </w:r>
      <w:r w:rsidRPr="00BD3648">
        <w:rPr>
          <w:spacing w:val="-3"/>
          <w:sz w:val="26"/>
          <w:szCs w:val="26"/>
        </w:rPr>
        <w:t xml:space="preserve"> is below that approved by the Commission in the Company’s last water base rate case.  Aqua R.B. at 7, </w:t>
      </w:r>
      <w:r w:rsidRPr="00BD3648">
        <w:rPr>
          <w:i/>
          <w:spacing w:val="-3"/>
          <w:sz w:val="26"/>
          <w:szCs w:val="26"/>
        </w:rPr>
        <w:t>citing</w:t>
      </w:r>
      <w:r w:rsidRPr="00BD3648">
        <w:rPr>
          <w:spacing w:val="-3"/>
          <w:sz w:val="26"/>
          <w:szCs w:val="26"/>
        </w:rPr>
        <w:t xml:space="preserve">, </w:t>
      </w:r>
      <w:r w:rsidRPr="00BD3648">
        <w:rPr>
          <w:i/>
          <w:spacing w:val="-3"/>
          <w:sz w:val="26"/>
          <w:szCs w:val="26"/>
        </w:rPr>
        <w:t>Pa</w:t>
      </w:r>
      <w:r w:rsidR="00791C77">
        <w:rPr>
          <w:i/>
          <w:spacing w:val="-3"/>
          <w:sz w:val="26"/>
          <w:szCs w:val="26"/>
        </w:rPr>
        <w:t>.</w:t>
      </w:r>
      <w:r w:rsidRPr="00BD3648">
        <w:rPr>
          <w:i/>
          <w:spacing w:val="-3"/>
          <w:sz w:val="26"/>
          <w:szCs w:val="26"/>
        </w:rPr>
        <w:t xml:space="preserve"> P.U.C. v. Aqua Pennsylvania, Inc.</w:t>
      </w:r>
      <w:r w:rsidRPr="00BD3648">
        <w:rPr>
          <w:spacing w:val="-3"/>
          <w:sz w:val="26"/>
          <w:szCs w:val="26"/>
        </w:rPr>
        <w:t xml:space="preserve">, </w:t>
      </w:r>
      <w:r w:rsidR="009A2A81">
        <w:rPr>
          <w:spacing w:val="-3"/>
          <w:sz w:val="26"/>
          <w:szCs w:val="26"/>
        </w:rPr>
        <w:t>Docket No. R-00072711 (</w:t>
      </w:r>
      <w:r w:rsidRPr="00BD3648">
        <w:rPr>
          <w:spacing w:val="-3"/>
          <w:sz w:val="26"/>
          <w:szCs w:val="26"/>
        </w:rPr>
        <w:t>Opinion and Order entered July 31, 2008</w:t>
      </w:r>
      <w:r w:rsidR="009A2A81">
        <w:rPr>
          <w:spacing w:val="-3"/>
          <w:sz w:val="26"/>
          <w:szCs w:val="26"/>
        </w:rPr>
        <w:t>)</w:t>
      </w:r>
      <w:r w:rsidR="00BE3C33">
        <w:rPr>
          <w:spacing w:val="-3"/>
          <w:sz w:val="26"/>
          <w:szCs w:val="26"/>
        </w:rPr>
        <w:t xml:space="preserve"> (</w:t>
      </w:r>
      <w:r w:rsidR="00BE3C33">
        <w:rPr>
          <w:i/>
          <w:spacing w:val="-3"/>
          <w:sz w:val="26"/>
          <w:szCs w:val="26"/>
        </w:rPr>
        <w:t>Aqua’s 2008</w:t>
      </w:r>
      <w:r w:rsidR="00774C93">
        <w:rPr>
          <w:i/>
          <w:spacing w:val="-3"/>
          <w:sz w:val="26"/>
          <w:szCs w:val="26"/>
        </w:rPr>
        <w:t xml:space="preserve"> </w:t>
      </w:r>
      <w:r w:rsidR="00BE3C33">
        <w:rPr>
          <w:i/>
          <w:spacing w:val="-3"/>
          <w:sz w:val="26"/>
          <w:szCs w:val="26"/>
        </w:rPr>
        <w:t>Rate Order)</w:t>
      </w:r>
      <w:r w:rsidR="009A2A81">
        <w:rPr>
          <w:spacing w:val="-3"/>
          <w:sz w:val="26"/>
          <w:szCs w:val="26"/>
        </w:rPr>
        <w:t>.  Aqua also pointed</w:t>
      </w:r>
      <w:r w:rsidRPr="00BD3648">
        <w:rPr>
          <w:spacing w:val="-3"/>
          <w:sz w:val="26"/>
          <w:szCs w:val="26"/>
        </w:rPr>
        <w:t xml:space="preserve"> out that the analysis </w:t>
      </w:r>
      <w:r w:rsidR="009A2A81">
        <w:rPr>
          <w:spacing w:val="-3"/>
          <w:sz w:val="26"/>
          <w:szCs w:val="26"/>
        </w:rPr>
        <w:t>that Mr. Linden attempted</w:t>
      </w:r>
      <w:r w:rsidRPr="00BD3648">
        <w:rPr>
          <w:spacing w:val="-3"/>
          <w:sz w:val="26"/>
          <w:szCs w:val="26"/>
        </w:rPr>
        <w:t xml:space="preserve"> to make in direct comparison with York </w:t>
      </w:r>
      <w:r w:rsidR="009A2A81">
        <w:rPr>
          <w:spacing w:val="-3"/>
          <w:sz w:val="26"/>
          <w:szCs w:val="26"/>
        </w:rPr>
        <w:t xml:space="preserve">Water Company </w:t>
      </w:r>
      <w:r w:rsidRPr="00BD3648">
        <w:rPr>
          <w:spacing w:val="-3"/>
          <w:sz w:val="26"/>
          <w:szCs w:val="26"/>
        </w:rPr>
        <w:t xml:space="preserve">are </w:t>
      </w:r>
      <w:r w:rsidR="009A2A81">
        <w:rPr>
          <w:spacing w:val="-3"/>
          <w:sz w:val="26"/>
          <w:szCs w:val="26"/>
        </w:rPr>
        <w:t>for</w:t>
      </w:r>
      <w:r w:rsidRPr="00BD3648">
        <w:rPr>
          <w:spacing w:val="-3"/>
          <w:sz w:val="26"/>
          <w:szCs w:val="26"/>
        </w:rPr>
        <w:t xml:space="preserve"> different periods; that is</w:t>
      </w:r>
      <w:r w:rsidR="009A2A81">
        <w:rPr>
          <w:spacing w:val="-3"/>
          <w:sz w:val="26"/>
          <w:szCs w:val="26"/>
        </w:rPr>
        <w:t>, the twelve</w:t>
      </w:r>
      <w:r w:rsidRPr="00BD3648">
        <w:rPr>
          <w:spacing w:val="-3"/>
          <w:sz w:val="26"/>
          <w:szCs w:val="26"/>
        </w:rPr>
        <w:t xml:space="preserve"> months ending in June</w:t>
      </w:r>
      <w:r w:rsidR="009A2A81">
        <w:rPr>
          <w:spacing w:val="-3"/>
          <w:sz w:val="26"/>
          <w:szCs w:val="26"/>
        </w:rPr>
        <w:t>,</w:t>
      </w:r>
      <w:r w:rsidRPr="00BD3648">
        <w:rPr>
          <w:spacing w:val="-3"/>
          <w:sz w:val="26"/>
          <w:szCs w:val="26"/>
        </w:rPr>
        <w:t xml:space="preserve"> 2009</w:t>
      </w:r>
      <w:r w:rsidR="009A2A81">
        <w:rPr>
          <w:spacing w:val="-3"/>
          <w:sz w:val="26"/>
          <w:szCs w:val="26"/>
        </w:rPr>
        <w:t>,</w:t>
      </w:r>
      <w:r w:rsidRPr="00BD3648">
        <w:rPr>
          <w:spacing w:val="-3"/>
          <w:sz w:val="26"/>
          <w:szCs w:val="26"/>
        </w:rPr>
        <w:t xml:space="preserve"> for York </w:t>
      </w:r>
      <w:r w:rsidR="009A2A81">
        <w:rPr>
          <w:spacing w:val="-3"/>
          <w:sz w:val="26"/>
          <w:szCs w:val="26"/>
        </w:rPr>
        <w:t xml:space="preserve">Water Company </w:t>
      </w:r>
      <w:r w:rsidRPr="00BD3648">
        <w:rPr>
          <w:spacing w:val="-3"/>
          <w:sz w:val="26"/>
          <w:szCs w:val="26"/>
        </w:rPr>
        <w:t xml:space="preserve">and </w:t>
      </w:r>
      <w:r w:rsidR="009A2A81">
        <w:rPr>
          <w:spacing w:val="-3"/>
          <w:sz w:val="26"/>
          <w:szCs w:val="26"/>
        </w:rPr>
        <w:t>the twelve</w:t>
      </w:r>
      <w:r w:rsidRPr="00BD3648">
        <w:rPr>
          <w:spacing w:val="-3"/>
          <w:sz w:val="26"/>
          <w:szCs w:val="26"/>
        </w:rPr>
        <w:t xml:space="preserve"> months ending in June</w:t>
      </w:r>
      <w:r w:rsidR="009A2A81">
        <w:rPr>
          <w:spacing w:val="-3"/>
          <w:sz w:val="26"/>
          <w:szCs w:val="26"/>
        </w:rPr>
        <w:t>,</w:t>
      </w:r>
      <w:r w:rsidRPr="00BD3648">
        <w:rPr>
          <w:spacing w:val="-3"/>
          <w:sz w:val="26"/>
          <w:szCs w:val="26"/>
        </w:rPr>
        <w:t xml:space="preserve"> 2010</w:t>
      </w:r>
      <w:r w:rsidR="009A2A81">
        <w:rPr>
          <w:spacing w:val="-3"/>
          <w:sz w:val="26"/>
          <w:szCs w:val="26"/>
        </w:rPr>
        <w:t xml:space="preserve">, for Aqua.  </w:t>
      </w:r>
      <w:r w:rsidRPr="00BD3648">
        <w:rPr>
          <w:spacing w:val="-3"/>
          <w:sz w:val="26"/>
          <w:szCs w:val="26"/>
        </w:rPr>
        <w:t>Aqua R.B. at 6.</w:t>
      </w:r>
    </w:p>
    <w:p w:rsidR="00CB7D89" w:rsidRPr="00BD3648" w:rsidRDefault="00CB7D89" w:rsidP="00A76F8A">
      <w:pPr>
        <w:tabs>
          <w:tab w:val="left" w:pos="-1440"/>
          <w:tab w:val="left" w:pos="-720"/>
        </w:tabs>
        <w:suppressAutoHyphens/>
        <w:spacing w:line="360" w:lineRule="auto"/>
        <w:rPr>
          <w:spacing w:val="-3"/>
          <w:sz w:val="26"/>
          <w:szCs w:val="26"/>
        </w:rPr>
      </w:pPr>
    </w:p>
    <w:p w:rsidR="00CB7D89" w:rsidRPr="00BD3648" w:rsidRDefault="00CB7D89" w:rsidP="00A76F8A">
      <w:pPr>
        <w:tabs>
          <w:tab w:val="left" w:pos="-1440"/>
          <w:tab w:val="left" w:pos="-720"/>
        </w:tabs>
        <w:suppressAutoHyphens/>
        <w:spacing w:line="360" w:lineRule="auto"/>
        <w:rPr>
          <w:spacing w:val="-3"/>
          <w:sz w:val="26"/>
          <w:szCs w:val="26"/>
        </w:rPr>
      </w:pPr>
      <w:r w:rsidRPr="00BD3648">
        <w:rPr>
          <w:spacing w:val="-3"/>
          <w:sz w:val="26"/>
          <w:szCs w:val="26"/>
        </w:rPr>
        <w:tab/>
      </w:r>
      <w:r w:rsidRPr="00BD3648">
        <w:rPr>
          <w:spacing w:val="-3"/>
          <w:sz w:val="26"/>
          <w:szCs w:val="26"/>
        </w:rPr>
        <w:tab/>
      </w:r>
      <w:r w:rsidR="00FC5EBB">
        <w:rPr>
          <w:spacing w:val="-3"/>
          <w:sz w:val="26"/>
          <w:szCs w:val="26"/>
        </w:rPr>
        <w:t>The OSBA stated that its witness Kalcic</w:t>
      </w:r>
      <w:r w:rsidRPr="00BD3648">
        <w:rPr>
          <w:spacing w:val="-3"/>
          <w:sz w:val="26"/>
          <w:szCs w:val="26"/>
        </w:rPr>
        <w:t xml:space="preserve"> testified that the C</w:t>
      </w:r>
      <w:r w:rsidR="00FC5EBB">
        <w:rPr>
          <w:spacing w:val="-3"/>
          <w:sz w:val="26"/>
          <w:szCs w:val="26"/>
        </w:rPr>
        <w:t xml:space="preserve">ommission awarded Aqua an 11.0% </w:t>
      </w:r>
      <w:r w:rsidRPr="00BD3648">
        <w:rPr>
          <w:spacing w:val="-3"/>
          <w:sz w:val="26"/>
          <w:szCs w:val="26"/>
        </w:rPr>
        <w:t>rate of return in Aqua’s previous rate case</w:t>
      </w:r>
      <w:r w:rsidR="00FC5EBB">
        <w:rPr>
          <w:spacing w:val="-3"/>
          <w:sz w:val="26"/>
          <w:szCs w:val="26"/>
        </w:rPr>
        <w:t xml:space="preserve">, which </w:t>
      </w:r>
      <w:r w:rsidRPr="00BD3648">
        <w:rPr>
          <w:spacing w:val="-3"/>
          <w:sz w:val="26"/>
          <w:szCs w:val="26"/>
        </w:rPr>
        <w:t>co</w:t>
      </w:r>
      <w:r w:rsidR="00FC5EBB">
        <w:rPr>
          <w:spacing w:val="-3"/>
          <w:sz w:val="26"/>
          <w:szCs w:val="26"/>
        </w:rPr>
        <w:t xml:space="preserve">ncluded in July 2008.  OSBA St. 1 at 13.  The </w:t>
      </w:r>
      <w:r w:rsidRPr="00BD3648">
        <w:rPr>
          <w:spacing w:val="-3"/>
          <w:sz w:val="26"/>
          <w:szCs w:val="26"/>
        </w:rPr>
        <w:t xml:space="preserve">OSBA reasoned that because the Joint Settlement provides Aqua a lower rate of return than previously </w:t>
      </w:r>
      <w:r w:rsidR="001D2F64">
        <w:rPr>
          <w:spacing w:val="-3"/>
          <w:sz w:val="26"/>
          <w:szCs w:val="26"/>
        </w:rPr>
        <w:t>awarded by the Commission, the S</w:t>
      </w:r>
      <w:r w:rsidRPr="00BD3648">
        <w:rPr>
          <w:spacing w:val="-3"/>
          <w:sz w:val="26"/>
          <w:szCs w:val="26"/>
        </w:rPr>
        <w:t>ettlement is in the public interest.  OSBA R.B. at 5-6.</w:t>
      </w:r>
    </w:p>
    <w:p w:rsidR="00BB34BB" w:rsidRPr="00D17AC8" w:rsidRDefault="00BB34BB" w:rsidP="00A76F8A">
      <w:pPr>
        <w:spacing w:line="360" w:lineRule="auto"/>
        <w:rPr>
          <w:sz w:val="26"/>
        </w:rPr>
      </w:pPr>
    </w:p>
    <w:p w:rsidR="00FE1EB2" w:rsidRPr="003E23C5" w:rsidRDefault="00FE1EB2" w:rsidP="00A76F8A">
      <w:pPr>
        <w:pStyle w:val="Heading4"/>
      </w:pPr>
      <w:bookmarkStart w:id="20" w:name="_Toc264354756"/>
      <w:bookmarkStart w:id="21" w:name="_Toc193787133"/>
      <w:r>
        <w:t>b.</w:t>
      </w:r>
      <w:r>
        <w:tab/>
        <w:t>ALJ’s Recommendation</w:t>
      </w:r>
      <w:bookmarkEnd w:id="20"/>
    </w:p>
    <w:p w:rsidR="0092007B" w:rsidRDefault="0092007B" w:rsidP="00A76F8A">
      <w:pPr>
        <w:pStyle w:val="Heading2"/>
        <w:widowControl/>
      </w:pPr>
    </w:p>
    <w:p w:rsidR="00184EA7" w:rsidRPr="007B0E8C" w:rsidRDefault="00184EA7" w:rsidP="00A76F8A">
      <w:pPr>
        <w:tabs>
          <w:tab w:val="left" w:pos="-1440"/>
          <w:tab w:val="left" w:pos="-720"/>
        </w:tabs>
        <w:suppressAutoHyphens/>
        <w:spacing w:line="360" w:lineRule="auto"/>
        <w:rPr>
          <w:spacing w:val="-3"/>
          <w:sz w:val="26"/>
          <w:szCs w:val="26"/>
        </w:rPr>
      </w:pPr>
      <w:r w:rsidRPr="007B0E8C">
        <w:rPr>
          <w:spacing w:val="-3"/>
          <w:sz w:val="26"/>
          <w:szCs w:val="26"/>
        </w:rPr>
        <w:tab/>
      </w:r>
      <w:r w:rsidRPr="007B0E8C">
        <w:rPr>
          <w:spacing w:val="-3"/>
          <w:sz w:val="26"/>
          <w:szCs w:val="26"/>
        </w:rPr>
        <w:tab/>
      </w:r>
      <w:r w:rsidR="007B0E8C">
        <w:rPr>
          <w:spacing w:val="-3"/>
          <w:sz w:val="26"/>
          <w:szCs w:val="26"/>
        </w:rPr>
        <w:t>ALJ Jones stated that she failed</w:t>
      </w:r>
      <w:r w:rsidRPr="007B0E8C">
        <w:rPr>
          <w:spacing w:val="-3"/>
          <w:sz w:val="26"/>
          <w:szCs w:val="26"/>
        </w:rPr>
        <w:t xml:space="preserve"> to find any justification to limit the rate of return to </w:t>
      </w:r>
      <w:r w:rsidR="00791C77">
        <w:rPr>
          <w:spacing w:val="-3"/>
          <w:sz w:val="26"/>
          <w:szCs w:val="26"/>
        </w:rPr>
        <w:t xml:space="preserve">the rate payable on </w:t>
      </w:r>
      <w:r w:rsidR="001D2F64">
        <w:rPr>
          <w:spacing w:val="-3"/>
          <w:sz w:val="26"/>
          <w:szCs w:val="26"/>
        </w:rPr>
        <w:t xml:space="preserve">approximately </w:t>
      </w:r>
      <w:r w:rsidRPr="007B0E8C">
        <w:rPr>
          <w:spacing w:val="-3"/>
          <w:sz w:val="26"/>
          <w:szCs w:val="26"/>
        </w:rPr>
        <w:t xml:space="preserve">$74 million </w:t>
      </w:r>
      <w:r w:rsidR="00791C77">
        <w:rPr>
          <w:spacing w:val="-3"/>
          <w:sz w:val="26"/>
          <w:szCs w:val="26"/>
        </w:rPr>
        <w:t>in</w:t>
      </w:r>
      <w:r w:rsidRPr="007B0E8C">
        <w:rPr>
          <w:spacing w:val="-3"/>
          <w:sz w:val="26"/>
          <w:szCs w:val="26"/>
        </w:rPr>
        <w:t xml:space="preserve"> tax exempt bonds </w:t>
      </w:r>
      <w:r w:rsidR="00791C77">
        <w:rPr>
          <w:spacing w:val="-3"/>
          <w:sz w:val="26"/>
          <w:szCs w:val="26"/>
        </w:rPr>
        <w:t xml:space="preserve">issued </w:t>
      </w:r>
      <w:r w:rsidRPr="007B0E8C">
        <w:rPr>
          <w:spacing w:val="-3"/>
          <w:sz w:val="26"/>
          <w:szCs w:val="26"/>
        </w:rPr>
        <w:t>by the Compa</w:t>
      </w:r>
      <w:r w:rsidR="007B0E8C">
        <w:rPr>
          <w:spacing w:val="-3"/>
          <w:sz w:val="26"/>
          <w:szCs w:val="26"/>
        </w:rPr>
        <w:t>ny in November 2009.  Also, she noted that Dr. Briskin did not provide</w:t>
      </w:r>
      <w:r w:rsidRPr="007B0E8C">
        <w:rPr>
          <w:spacing w:val="-3"/>
          <w:sz w:val="26"/>
          <w:szCs w:val="26"/>
        </w:rPr>
        <w:t xml:space="preserve"> any information as to</w:t>
      </w:r>
      <w:r w:rsidR="007B0E8C">
        <w:rPr>
          <w:spacing w:val="-3"/>
          <w:sz w:val="26"/>
          <w:szCs w:val="26"/>
        </w:rPr>
        <w:t xml:space="preserve"> why</w:t>
      </w:r>
      <w:r w:rsidRPr="007B0E8C">
        <w:rPr>
          <w:spacing w:val="-3"/>
          <w:sz w:val="26"/>
          <w:szCs w:val="26"/>
        </w:rPr>
        <w:t xml:space="preserve"> the Company should maintain a capital structure composed entirely of</w:t>
      </w:r>
      <w:r w:rsidR="005E1314">
        <w:rPr>
          <w:spacing w:val="-3"/>
          <w:sz w:val="26"/>
          <w:szCs w:val="26"/>
        </w:rPr>
        <w:t xml:space="preserve"> debt, or any </w:t>
      </w:r>
      <w:r w:rsidRPr="007B0E8C">
        <w:rPr>
          <w:spacing w:val="-3"/>
          <w:sz w:val="26"/>
          <w:szCs w:val="26"/>
        </w:rPr>
        <w:t xml:space="preserve">evidence that the Company is ready and able to do so.  Moreover, </w:t>
      </w:r>
      <w:r w:rsidR="005E1314">
        <w:rPr>
          <w:spacing w:val="-3"/>
          <w:sz w:val="26"/>
          <w:szCs w:val="26"/>
        </w:rPr>
        <w:t xml:space="preserve">his </w:t>
      </w:r>
      <w:r w:rsidRPr="007B0E8C">
        <w:rPr>
          <w:spacing w:val="-3"/>
          <w:sz w:val="26"/>
          <w:szCs w:val="26"/>
        </w:rPr>
        <w:t>attempt to discredit the</w:t>
      </w:r>
      <w:r w:rsidR="005E1314">
        <w:rPr>
          <w:spacing w:val="-3"/>
          <w:sz w:val="26"/>
          <w:szCs w:val="26"/>
        </w:rPr>
        <w:t xml:space="preserve"> Company witness is not meritorious</w:t>
      </w:r>
      <w:r w:rsidRPr="007B0E8C">
        <w:rPr>
          <w:spacing w:val="-3"/>
          <w:sz w:val="26"/>
          <w:szCs w:val="26"/>
        </w:rPr>
        <w:t xml:space="preserve">.   </w:t>
      </w:r>
    </w:p>
    <w:p w:rsidR="00184EA7" w:rsidRPr="007B0E8C" w:rsidRDefault="00184EA7" w:rsidP="00A76F8A">
      <w:pPr>
        <w:tabs>
          <w:tab w:val="left" w:pos="-1440"/>
          <w:tab w:val="left" w:pos="-720"/>
        </w:tabs>
        <w:suppressAutoHyphens/>
        <w:spacing w:line="360" w:lineRule="auto"/>
        <w:rPr>
          <w:spacing w:val="-3"/>
          <w:sz w:val="26"/>
          <w:szCs w:val="26"/>
        </w:rPr>
      </w:pPr>
    </w:p>
    <w:p w:rsidR="00184EA7" w:rsidRDefault="00184EA7" w:rsidP="00A76F8A">
      <w:pPr>
        <w:tabs>
          <w:tab w:val="left" w:pos="-1440"/>
          <w:tab w:val="left" w:pos="-720"/>
        </w:tabs>
        <w:suppressAutoHyphens/>
        <w:spacing w:line="360" w:lineRule="auto"/>
        <w:rPr>
          <w:spacing w:val="-3"/>
          <w:sz w:val="26"/>
          <w:szCs w:val="26"/>
        </w:rPr>
      </w:pPr>
      <w:r w:rsidRPr="007B0E8C">
        <w:rPr>
          <w:spacing w:val="-3"/>
          <w:sz w:val="26"/>
          <w:szCs w:val="26"/>
        </w:rPr>
        <w:lastRenderedPageBreak/>
        <w:tab/>
      </w:r>
      <w:r w:rsidRPr="007B0E8C">
        <w:rPr>
          <w:spacing w:val="-3"/>
          <w:sz w:val="26"/>
          <w:szCs w:val="26"/>
        </w:rPr>
        <w:tab/>
        <w:t xml:space="preserve">The </w:t>
      </w:r>
      <w:r w:rsidR="005E1314">
        <w:rPr>
          <w:spacing w:val="-3"/>
          <w:sz w:val="26"/>
          <w:szCs w:val="26"/>
        </w:rPr>
        <w:t xml:space="preserve">ALJ continued that the </w:t>
      </w:r>
      <w:r w:rsidRPr="007B0E8C">
        <w:rPr>
          <w:spacing w:val="-3"/>
          <w:sz w:val="26"/>
          <w:szCs w:val="26"/>
        </w:rPr>
        <w:t>argument regarding the level of the return on equity proposed through the Joint Settlement of approximately 10.5% is more persuasive.</w:t>
      </w:r>
      <w:r w:rsidR="005E1314">
        <w:rPr>
          <w:spacing w:val="-3"/>
          <w:sz w:val="26"/>
          <w:szCs w:val="26"/>
        </w:rPr>
        <w:t xml:space="preserve">  </w:t>
      </w:r>
      <w:r w:rsidR="009227B8">
        <w:rPr>
          <w:spacing w:val="-3"/>
          <w:sz w:val="26"/>
          <w:szCs w:val="26"/>
        </w:rPr>
        <w:t>Nevertheless, s</w:t>
      </w:r>
      <w:r w:rsidR="005E1314">
        <w:rPr>
          <w:spacing w:val="-3"/>
          <w:sz w:val="26"/>
          <w:szCs w:val="26"/>
        </w:rPr>
        <w:t>he noted that</w:t>
      </w:r>
      <w:r w:rsidRPr="007B0E8C">
        <w:rPr>
          <w:spacing w:val="-3"/>
          <w:sz w:val="26"/>
          <w:szCs w:val="26"/>
        </w:rPr>
        <w:t xml:space="preserve"> the Commi</w:t>
      </w:r>
      <w:r w:rsidR="009227B8">
        <w:rPr>
          <w:spacing w:val="-3"/>
          <w:sz w:val="26"/>
          <w:szCs w:val="26"/>
        </w:rPr>
        <w:t xml:space="preserve">ssion </w:t>
      </w:r>
      <w:r w:rsidRPr="007B0E8C">
        <w:rPr>
          <w:spacing w:val="-3"/>
          <w:sz w:val="26"/>
          <w:szCs w:val="26"/>
        </w:rPr>
        <w:t xml:space="preserve">approved a rate of return </w:t>
      </w:r>
      <w:r w:rsidR="009227B8">
        <w:rPr>
          <w:spacing w:val="-3"/>
          <w:sz w:val="26"/>
          <w:szCs w:val="26"/>
        </w:rPr>
        <w:t>of</w:t>
      </w:r>
      <w:r w:rsidRPr="007B0E8C">
        <w:rPr>
          <w:spacing w:val="-3"/>
          <w:sz w:val="26"/>
          <w:szCs w:val="26"/>
        </w:rPr>
        <w:t xml:space="preserve"> 11.0%</w:t>
      </w:r>
      <w:r w:rsidR="00BE3C33">
        <w:rPr>
          <w:spacing w:val="-3"/>
          <w:sz w:val="26"/>
          <w:szCs w:val="26"/>
        </w:rPr>
        <w:t xml:space="preserve"> in</w:t>
      </w:r>
      <w:r w:rsidR="00BE3C33" w:rsidRPr="00BE3C33">
        <w:rPr>
          <w:i/>
          <w:spacing w:val="-3"/>
          <w:sz w:val="26"/>
          <w:szCs w:val="26"/>
        </w:rPr>
        <w:t xml:space="preserve"> </w:t>
      </w:r>
      <w:r w:rsidR="00BE3C33">
        <w:rPr>
          <w:i/>
          <w:spacing w:val="-3"/>
          <w:sz w:val="26"/>
          <w:szCs w:val="26"/>
        </w:rPr>
        <w:t>Aqua’s 2008</w:t>
      </w:r>
      <w:r w:rsidR="00774C93">
        <w:rPr>
          <w:i/>
          <w:spacing w:val="-3"/>
          <w:sz w:val="26"/>
          <w:szCs w:val="26"/>
        </w:rPr>
        <w:t xml:space="preserve"> </w:t>
      </w:r>
      <w:r w:rsidR="00BE3C33">
        <w:rPr>
          <w:i/>
          <w:spacing w:val="-3"/>
          <w:sz w:val="26"/>
          <w:szCs w:val="26"/>
        </w:rPr>
        <w:t>Rate Order</w:t>
      </w:r>
      <w:r w:rsidR="000B6CC2">
        <w:rPr>
          <w:spacing w:val="-3"/>
          <w:sz w:val="26"/>
          <w:szCs w:val="26"/>
        </w:rPr>
        <w:t>.  Accordingly, t</w:t>
      </w:r>
      <w:r w:rsidRPr="007B0E8C">
        <w:rPr>
          <w:spacing w:val="-3"/>
          <w:sz w:val="26"/>
          <w:szCs w:val="26"/>
        </w:rPr>
        <w:t>he rate of return</w:t>
      </w:r>
      <w:r w:rsidR="000B6CC2">
        <w:rPr>
          <w:spacing w:val="-3"/>
          <w:sz w:val="26"/>
          <w:szCs w:val="26"/>
        </w:rPr>
        <w:t>, if approved in this proceeding, would be</w:t>
      </w:r>
      <w:r w:rsidRPr="007B0E8C">
        <w:rPr>
          <w:spacing w:val="-3"/>
          <w:sz w:val="26"/>
          <w:szCs w:val="26"/>
        </w:rPr>
        <w:t xml:space="preserve"> 50 basis points less</w:t>
      </w:r>
      <w:r w:rsidR="009227B8">
        <w:rPr>
          <w:spacing w:val="-3"/>
          <w:sz w:val="26"/>
          <w:szCs w:val="26"/>
        </w:rPr>
        <w:t>.  The ALJ concluded that</w:t>
      </w:r>
      <w:r w:rsidRPr="007B0E8C">
        <w:rPr>
          <w:spacing w:val="-3"/>
          <w:sz w:val="26"/>
          <w:szCs w:val="26"/>
        </w:rPr>
        <w:t xml:space="preserve"> Mr. Linden</w:t>
      </w:r>
      <w:r w:rsidR="00A357B9">
        <w:rPr>
          <w:spacing w:val="-3"/>
          <w:sz w:val="26"/>
          <w:szCs w:val="26"/>
        </w:rPr>
        <w:t>’s argument</w:t>
      </w:r>
      <w:r w:rsidRPr="007B0E8C">
        <w:rPr>
          <w:spacing w:val="-3"/>
          <w:sz w:val="26"/>
          <w:szCs w:val="26"/>
        </w:rPr>
        <w:t xml:space="preserve"> </w:t>
      </w:r>
      <w:r w:rsidR="009227B8">
        <w:rPr>
          <w:spacing w:val="-3"/>
          <w:sz w:val="26"/>
          <w:szCs w:val="26"/>
        </w:rPr>
        <w:t>wa</w:t>
      </w:r>
      <w:r w:rsidRPr="007B0E8C">
        <w:rPr>
          <w:spacing w:val="-3"/>
          <w:sz w:val="26"/>
          <w:szCs w:val="26"/>
        </w:rPr>
        <w:t xml:space="preserve">s refuted by the sound reasoning presented by </w:t>
      </w:r>
      <w:r w:rsidR="00A357B9">
        <w:rPr>
          <w:spacing w:val="-3"/>
          <w:sz w:val="26"/>
          <w:szCs w:val="26"/>
        </w:rPr>
        <w:t xml:space="preserve">the </w:t>
      </w:r>
      <w:r w:rsidR="00EF712F">
        <w:rPr>
          <w:spacing w:val="-3"/>
          <w:sz w:val="26"/>
          <w:szCs w:val="26"/>
        </w:rPr>
        <w:t>OSBA.  R.D. at 32.</w:t>
      </w:r>
    </w:p>
    <w:p w:rsidR="00A357B9" w:rsidRPr="007B0E8C" w:rsidRDefault="00A357B9" w:rsidP="00A76F8A">
      <w:pPr>
        <w:tabs>
          <w:tab w:val="left" w:pos="-1440"/>
          <w:tab w:val="left" w:pos="-720"/>
        </w:tabs>
        <w:suppressAutoHyphens/>
        <w:spacing w:line="360" w:lineRule="auto"/>
        <w:rPr>
          <w:spacing w:val="-3"/>
          <w:sz w:val="26"/>
          <w:szCs w:val="26"/>
        </w:rPr>
      </w:pPr>
    </w:p>
    <w:p w:rsidR="00184EA7" w:rsidRPr="007B0E8C" w:rsidRDefault="005E1314" w:rsidP="00A76F8A">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The ALJ concluded</w:t>
      </w:r>
      <w:r w:rsidR="00A357B9">
        <w:rPr>
          <w:spacing w:val="-3"/>
          <w:sz w:val="26"/>
          <w:szCs w:val="26"/>
        </w:rPr>
        <w:t xml:space="preserve"> that the arguments regarding revenue requirement posited </w:t>
      </w:r>
      <w:r w:rsidR="00184EA7" w:rsidRPr="007B0E8C">
        <w:rPr>
          <w:spacing w:val="-3"/>
          <w:sz w:val="26"/>
          <w:szCs w:val="26"/>
        </w:rPr>
        <w:t>a</w:t>
      </w:r>
      <w:r w:rsidR="00A357B9">
        <w:rPr>
          <w:spacing w:val="-3"/>
          <w:sz w:val="26"/>
          <w:szCs w:val="26"/>
        </w:rPr>
        <w:t>gainst the Joint Settlement by Dr. Briskin and Mr. Linden have been</w:t>
      </w:r>
      <w:r w:rsidR="00184EA7" w:rsidRPr="007B0E8C">
        <w:rPr>
          <w:spacing w:val="-3"/>
          <w:sz w:val="26"/>
          <w:szCs w:val="26"/>
        </w:rPr>
        <w:t xml:space="preserve"> adequately rebu</w:t>
      </w:r>
      <w:r w:rsidR="00A357B9">
        <w:rPr>
          <w:spacing w:val="-3"/>
          <w:sz w:val="26"/>
          <w:szCs w:val="26"/>
        </w:rPr>
        <w:t xml:space="preserve">tted.  </w:t>
      </w:r>
      <w:r w:rsidR="007B0E8C">
        <w:rPr>
          <w:spacing w:val="-3"/>
          <w:sz w:val="26"/>
          <w:szCs w:val="26"/>
        </w:rPr>
        <w:t>R.D. at 32</w:t>
      </w:r>
      <w:r w:rsidR="00EF712F">
        <w:rPr>
          <w:spacing w:val="-3"/>
          <w:sz w:val="26"/>
          <w:szCs w:val="26"/>
        </w:rPr>
        <w:t>.</w:t>
      </w:r>
    </w:p>
    <w:p w:rsidR="0043160B" w:rsidRDefault="0043160B" w:rsidP="00A76F8A"/>
    <w:p w:rsidR="008A6CA6" w:rsidRDefault="00E82142" w:rsidP="00A76F8A">
      <w:pPr>
        <w:pStyle w:val="Heading4"/>
      </w:pPr>
      <w:bookmarkStart w:id="22" w:name="_Toc264354757"/>
      <w:bookmarkEnd w:id="21"/>
      <w:r>
        <w:t>c.</w:t>
      </w:r>
      <w:r>
        <w:tab/>
      </w:r>
      <w:r w:rsidR="00EF712F">
        <w:t>Exceptions and Replies</w:t>
      </w:r>
      <w:bookmarkEnd w:id="22"/>
    </w:p>
    <w:p w:rsidR="00EF712F" w:rsidRDefault="00EF712F" w:rsidP="00A76F8A">
      <w:pPr>
        <w:spacing w:line="360" w:lineRule="auto"/>
        <w:rPr>
          <w:b/>
          <w:sz w:val="26"/>
          <w:szCs w:val="26"/>
        </w:rPr>
      </w:pPr>
    </w:p>
    <w:p w:rsidR="001765A9" w:rsidRDefault="001765A9" w:rsidP="00A76F8A">
      <w:pPr>
        <w:spacing w:line="360" w:lineRule="auto"/>
        <w:ind w:firstLine="1440"/>
        <w:rPr>
          <w:sz w:val="26"/>
          <w:szCs w:val="26"/>
        </w:rPr>
      </w:pPr>
      <w:r w:rsidRPr="00607897">
        <w:rPr>
          <w:sz w:val="26"/>
          <w:szCs w:val="26"/>
        </w:rPr>
        <w:t xml:space="preserve">In his </w:t>
      </w:r>
      <w:r>
        <w:rPr>
          <w:sz w:val="26"/>
          <w:szCs w:val="26"/>
        </w:rPr>
        <w:t>Exceptions, Mr. Linden argues that Aqua has not demonstrated that the return on present rates is inadequate to attract the capital needed to finance future plant improvements.  Mr. Linden states “that the Recommended Decision is devoid of any analysis of Aqua’s claim that it cannot come close to raising capital at the indicated rate of return.”  Mr. Linden submits that it is not clear if the ALJ relied on Aqua’s criticism of his comparison to York Water Company.  Mr. Linden avers that even if his comparison with York Water Company is rejected, the burden of proof is still on Aqua that a rate in</w:t>
      </w:r>
      <w:r w:rsidR="00DE6079">
        <w:rPr>
          <w:sz w:val="26"/>
          <w:szCs w:val="26"/>
        </w:rPr>
        <w:t>crease is needed, not upon the C</w:t>
      </w:r>
      <w:r>
        <w:rPr>
          <w:sz w:val="26"/>
          <w:szCs w:val="26"/>
        </w:rPr>
        <w:t xml:space="preserve">omplainants to prove that it is not.  Linden Exc. at 4. </w:t>
      </w:r>
    </w:p>
    <w:p w:rsidR="001765A9" w:rsidRDefault="001765A9" w:rsidP="00A76F8A">
      <w:pPr>
        <w:spacing w:line="360" w:lineRule="auto"/>
        <w:ind w:firstLine="1440"/>
        <w:rPr>
          <w:sz w:val="26"/>
          <w:szCs w:val="26"/>
        </w:rPr>
      </w:pPr>
    </w:p>
    <w:p w:rsidR="001765A9" w:rsidRDefault="001765A9" w:rsidP="00A76F8A">
      <w:pPr>
        <w:spacing w:line="360" w:lineRule="auto"/>
        <w:ind w:firstLine="1440"/>
        <w:rPr>
          <w:sz w:val="26"/>
          <w:szCs w:val="26"/>
        </w:rPr>
      </w:pPr>
      <w:r>
        <w:rPr>
          <w:sz w:val="26"/>
          <w:szCs w:val="26"/>
        </w:rPr>
        <w:t xml:space="preserve">Mr. Linden states that the ALJ erred by not addressing his position that the 10.5% return on equity that would result from the proposed Settlement unfairly overcompensates shareholders.  He points out that in his Main Brief, </w:t>
      </w:r>
      <w:r w:rsidR="00DE6079">
        <w:rPr>
          <w:sz w:val="26"/>
          <w:szCs w:val="26"/>
        </w:rPr>
        <w:t xml:space="preserve">he noted that </w:t>
      </w:r>
      <w:r>
        <w:rPr>
          <w:sz w:val="26"/>
          <w:szCs w:val="26"/>
        </w:rPr>
        <w:t>A</w:t>
      </w:r>
      <w:r w:rsidR="001D2F64">
        <w:rPr>
          <w:sz w:val="26"/>
          <w:szCs w:val="26"/>
        </w:rPr>
        <w:t>A</w:t>
      </w:r>
      <w:r>
        <w:rPr>
          <w:sz w:val="26"/>
          <w:szCs w:val="26"/>
        </w:rPr>
        <w:t xml:space="preserve"> shareholders have realized stock appre</w:t>
      </w:r>
      <w:r w:rsidR="000A6E49">
        <w:rPr>
          <w:sz w:val="26"/>
          <w:szCs w:val="26"/>
        </w:rPr>
        <w:t>ciation returns well in excess o</w:t>
      </w:r>
      <w:r>
        <w:rPr>
          <w:sz w:val="26"/>
          <w:szCs w:val="26"/>
        </w:rPr>
        <w:t xml:space="preserve">f the S&amp;P 500.  Mr. Linden argues that dismissing his argument solely by saying the return is less than the 11% granted in the last case is “wholly inadequate.”  </w:t>
      </w:r>
      <w:r w:rsidRPr="00607897">
        <w:rPr>
          <w:i/>
          <w:sz w:val="26"/>
          <w:szCs w:val="26"/>
        </w:rPr>
        <w:t>Id</w:t>
      </w:r>
      <w:r>
        <w:rPr>
          <w:sz w:val="26"/>
          <w:szCs w:val="26"/>
        </w:rPr>
        <w:t>. at 5.</w:t>
      </w:r>
    </w:p>
    <w:p w:rsidR="001765A9" w:rsidRDefault="001765A9" w:rsidP="00A76F8A">
      <w:pPr>
        <w:spacing w:line="360" w:lineRule="auto"/>
        <w:ind w:firstLine="1440"/>
        <w:rPr>
          <w:sz w:val="26"/>
          <w:szCs w:val="26"/>
        </w:rPr>
      </w:pPr>
    </w:p>
    <w:p w:rsidR="001765A9" w:rsidRDefault="001765A9" w:rsidP="00A76F8A">
      <w:pPr>
        <w:spacing w:line="360" w:lineRule="auto"/>
        <w:ind w:firstLine="1440"/>
        <w:rPr>
          <w:sz w:val="26"/>
          <w:szCs w:val="26"/>
        </w:rPr>
      </w:pPr>
      <w:r>
        <w:rPr>
          <w:sz w:val="26"/>
          <w:szCs w:val="26"/>
        </w:rPr>
        <w:t xml:space="preserve">Mr. Linden also avers that the Recommended Decision does not adequately address his argument that Aqua ratepayers are subsidizing other AA subsidiaries in other states.  Mr. Linden points to his Main Brief where he notes that Aqua is providing only 54% of AA’s revenues while Aqua provides 80% of its net income.  </w:t>
      </w:r>
      <w:r w:rsidRPr="00607897">
        <w:rPr>
          <w:i/>
          <w:sz w:val="26"/>
          <w:szCs w:val="26"/>
        </w:rPr>
        <w:t>Id</w:t>
      </w:r>
      <w:r>
        <w:rPr>
          <w:sz w:val="26"/>
          <w:szCs w:val="26"/>
        </w:rPr>
        <w:t xml:space="preserve">. at 6.  </w:t>
      </w:r>
    </w:p>
    <w:p w:rsidR="001765A9" w:rsidRDefault="001765A9" w:rsidP="00A76F8A">
      <w:pPr>
        <w:spacing w:line="360" w:lineRule="auto"/>
        <w:ind w:firstLine="1440"/>
        <w:rPr>
          <w:sz w:val="26"/>
          <w:szCs w:val="26"/>
        </w:rPr>
      </w:pPr>
    </w:p>
    <w:p w:rsidR="001765A9" w:rsidRDefault="001765A9" w:rsidP="00A76F8A">
      <w:pPr>
        <w:spacing w:line="360" w:lineRule="auto"/>
        <w:ind w:firstLine="1440"/>
        <w:rPr>
          <w:sz w:val="26"/>
          <w:szCs w:val="26"/>
        </w:rPr>
      </w:pPr>
      <w:r>
        <w:rPr>
          <w:sz w:val="26"/>
          <w:szCs w:val="26"/>
        </w:rPr>
        <w:t xml:space="preserve">In response to Mr. Linden’s Exceptions, Aqua avers that it has demonstrated its need for rate relief and points to pages 5-12 of its Main Brief.  Aqua also submits that there is no basis for Mr. Linden’s arguments based on his 10.5% equity cost rate estimate.  Aqua states that the signatory parties have agreed to a “black box” settlement under which individual revenue requirement components are not quantified or stipulated.  In addition, there is no evidence that Aqua achieved “anything close” to Mr. Linden’s 10.5% return during the period in question.  Aqua R.Exc. At 3-4. </w:t>
      </w:r>
    </w:p>
    <w:p w:rsidR="001765A9" w:rsidRDefault="001765A9" w:rsidP="00A76F8A">
      <w:pPr>
        <w:spacing w:line="360" w:lineRule="auto"/>
        <w:ind w:firstLine="1440"/>
        <w:rPr>
          <w:sz w:val="26"/>
          <w:szCs w:val="26"/>
        </w:rPr>
      </w:pPr>
    </w:p>
    <w:p w:rsidR="00EF712F" w:rsidRDefault="00FE6934" w:rsidP="00A76F8A">
      <w:pPr>
        <w:spacing w:line="360" w:lineRule="auto"/>
        <w:ind w:firstLine="720"/>
        <w:rPr>
          <w:b/>
          <w:sz w:val="26"/>
          <w:szCs w:val="26"/>
        </w:rPr>
      </w:pPr>
      <w:r>
        <w:rPr>
          <w:sz w:val="26"/>
          <w:szCs w:val="26"/>
        </w:rPr>
        <w:t xml:space="preserve">          </w:t>
      </w:r>
      <w:r w:rsidR="001765A9">
        <w:rPr>
          <w:sz w:val="26"/>
          <w:szCs w:val="26"/>
        </w:rPr>
        <w:t xml:space="preserve">Aqua also argues that Mr. Linden’s comparison of Aqua’s contribution of revenue and income to AA does not prove that Aqua is subsidizing other AA affiliates.  Aqua states that if Mr. Linden’s comparison has any probative value, it indicates that AA’s affiliates “were badly in need of rate relief,” not that Aqua was earning too much.  </w:t>
      </w:r>
      <w:r w:rsidR="001765A9" w:rsidRPr="00607897">
        <w:rPr>
          <w:i/>
          <w:sz w:val="26"/>
          <w:szCs w:val="26"/>
        </w:rPr>
        <w:t>Id</w:t>
      </w:r>
      <w:r w:rsidR="001765A9">
        <w:rPr>
          <w:sz w:val="26"/>
          <w:szCs w:val="26"/>
        </w:rPr>
        <w:t>. at 4.</w:t>
      </w:r>
    </w:p>
    <w:p w:rsidR="00EF712F" w:rsidRDefault="00EF712F" w:rsidP="00A76F8A">
      <w:pPr>
        <w:spacing w:line="360" w:lineRule="auto"/>
        <w:rPr>
          <w:b/>
          <w:sz w:val="26"/>
          <w:szCs w:val="26"/>
        </w:rPr>
      </w:pPr>
    </w:p>
    <w:p w:rsidR="00EF712F" w:rsidRDefault="001765A9" w:rsidP="00A76F8A">
      <w:pPr>
        <w:pStyle w:val="Heading4"/>
      </w:pPr>
      <w:bookmarkStart w:id="23" w:name="_Toc264354758"/>
      <w:r>
        <w:t>d.</w:t>
      </w:r>
      <w:r>
        <w:tab/>
        <w:t>Disposition</w:t>
      </w:r>
      <w:bookmarkEnd w:id="23"/>
    </w:p>
    <w:p w:rsidR="00EF712F" w:rsidRDefault="00EF712F" w:rsidP="00A76F8A">
      <w:pPr>
        <w:spacing w:line="360" w:lineRule="auto"/>
        <w:rPr>
          <w:b/>
          <w:sz w:val="26"/>
          <w:szCs w:val="26"/>
        </w:rPr>
      </w:pPr>
    </w:p>
    <w:p w:rsidR="00970525" w:rsidRDefault="00EF6964" w:rsidP="00A76F8A">
      <w:pPr>
        <w:spacing w:line="360" w:lineRule="auto"/>
        <w:ind w:firstLine="1440"/>
        <w:rPr>
          <w:sz w:val="26"/>
          <w:szCs w:val="26"/>
        </w:rPr>
      </w:pPr>
      <w:r w:rsidRPr="00607897">
        <w:rPr>
          <w:sz w:val="26"/>
          <w:szCs w:val="26"/>
        </w:rPr>
        <w:t xml:space="preserve">In </w:t>
      </w:r>
      <w:r>
        <w:rPr>
          <w:sz w:val="26"/>
          <w:szCs w:val="26"/>
        </w:rPr>
        <w:t xml:space="preserve">considering the proposed Joint Settlement, we are determining, </w:t>
      </w:r>
      <w:r w:rsidRPr="00607897">
        <w:rPr>
          <w:i/>
          <w:sz w:val="26"/>
          <w:szCs w:val="26"/>
        </w:rPr>
        <w:t>inter alia</w:t>
      </w:r>
      <w:r>
        <w:rPr>
          <w:sz w:val="26"/>
          <w:szCs w:val="26"/>
        </w:rPr>
        <w:t>, whether an increase of $26.3 million in annual operating revenue is in the public interest without making a determination of any speci</w:t>
      </w:r>
      <w:r w:rsidR="00F12B2D">
        <w:rPr>
          <w:sz w:val="26"/>
          <w:szCs w:val="26"/>
        </w:rPr>
        <w:t>fic components that may have le</w:t>
      </w:r>
      <w:r>
        <w:rPr>
          <w:sz w:val="26"/>
          <w:szCs w:val="26"/>
        </w:rPr>
        <w:t xml:space="preserve">d to the calculation of the specific revenue requirement.  Consequently, we are unable to make any determination regarding the rate of return on equity that Aqua may ultimately realize from the rates adopted under the proposed Settlement.  Accordingly, we cannot adopt the ALJ’s finding that an estimated 10.5% rate of return that may be the result of </w:t>
      </w:r>
      <w:r>
        <w:rPr>
          <w:sz w:val="26"/>
          <w:szCs w:val="26"/>
        </w:rPr>
        <w:lastRenderedPageBreak/>
        <w:t xml:space="preserve">the proposed Joint Settlement is preferable to the </w:t>
      </w:r>
      <w:r w:rsidRPr="00607897">
        <w:rPr>
          <w:i/>
          <w:sz w:val="26"/>
          <w:szCs w:val="26"/>
        </w:rPr>
        <w:t>pro forma</w:t>
      </w:r>
      <w:r>
        <w:rPr>
          <w:sz w:val="26"/>
          <w:szCs w:val="26"/>
        </w:rPr>
        <w:t xml:space="preserve"> rate of re</w:t>
      </w:r>
      <w:r w:rsidR="00F12B2D">
        <w:rPr>
          <w:sz w:val="26"/>
          <w:szCs w:val="26"/>
        </w:rPr>
        <w:t>turn granted in Aqua’s prior rat</w:t>
      </w:r>
      <w:r>
        <w:rPr>
          <w:sz w:val="26"/>
          <w:szCs w:val="26"/>
        </w:rPr>
        <w:t xml:space="preserve">e proceeding.  </w:t>
      </w:r>
    </w:p>
    <w:p w:rsidR="00970525" w:rsidRDefault="00970525" w:rsidP="00A76F8A">
      <w:pPr>
        <w:spacing w:line="360" w:lineRule="auto"/>
        <w:ind w:firstLine="1440"/>
        <w:rPr>
          <w:sz w:val="26"/>
          <w:szCs w:val="26"/>
        </w:rPr>
      </w:pPr>
    </w:p>
    <w:p w:rsidR="00EF6964" w:rsidRDefault="00EF6964" w:rsidP="00A76F8A">
      <w:pPr>
        <w:spacing w:line="360" w:lineRule="auto"/>
        <w:ind w:firstLine="1440"/>
        <w:rPr>
          <w:b/>
          <w:sz w:val="26"/>
          <w:szCs w:val="26"/>
        </w:rPr>
      </w:pPr>
      <w:r>
        <w:rPr>
          <w:sz w:val="26"/>
          <w:szCs w:val="26"/>
        </w:rPr>
        <w:t xml:space="preserve">Similarly, there is no basis to address Mr. Linden’s positions that the rate of return that may result from this Settlement will provide an excessive return.  Therefore, we deny Mr. Linden’s Exceptions and </w:t>
      </w:r>
      <w:r w:rsidR="00EE749B">
        <w:rPr>
          <w:sz w:val="26"/>
          <w:szCs w:val="26"/>
        </w:rPr>
        <w:t xml:space="preserve">reject </w:t>
      </w:r>
      <w:r>
        <w:rPr>
          <w:sz w:val="26"/>
          <w:szCs w:val="26"/>
        </w:rPr>
        <w:t xml:space="preserve">the ALJ’s findings that are based on an estimated rate of return that may result from the proposed Joint Settlement.  </w:t>
      </w:r>
    </w:p>
    <w:p w:rsidR="000534F1" w:rsidRDefault="000534F1" w:rsidP="00A76F8A">
      <w:pPr>
        <w:pStyle w:val="Heading3"/>
      </w:pPr>
    </w:p>
    <w:p w:rsidR="00D96CA2" w:rsidRPr="003B2621" w:rsidRDefault="006903E8" w:rsidP="00A76F8A">
      <w:pPr>
        <w:pStyle w:val="Heading3"/>
      </w:pPr>
      <w:bookmarkStart w:id="24" w:name="_Toc264354759"/>
      <w:r>
        <w:t>4</w:t>
      </w:r>
      <w:r w:rsidR="00D96CA2" w:rsidRPr="003B2621">
        <w:t>.</w:t>
      </w:r>
      <w:r w:rsidR="00D96CA2" w:rsidRPr="003B2621">
        <w:tab/>
      </w:r>
      <w:r w:rsidR="00E9714C">
        <w:t>Inappropriate Depreciation Expense</w:t>
      </w:r>
      <w:bookmarkEnd w:id="24"/>
    </w:p>
    <w:p w:rsidR="00F97103" w:rsidRDefault="00F97103" w:rsidP="00A76F8A">
      <w:pPr>
        <w:spacing w:line="360" w:lineRule="auto"/>
        <w:rPr>
          <w:sz w:val="26"/>
          <w:szCs w:val="26"/>
        </w:rPr>
      </w:pPr>
    </w:p>
    <w:p w:rsidR="00377B78" w:rsidRDefault="00CF205C" w:rsidP="00A76F8A">
      <w:pPr>
        <w:pStyle w:val="Heading4"/>
      </w:pPr>
      <w:bookmarkStart w:id="25" w:name="_Toc264354760"/>
      <w:r>
        <w:t>a.</w:t>
      </w:r>
      <w:r>
        <w:tab/>
      </w:r>
      <w:r w:rsidR="006903E8" w:rsidRPr="003E23C5">
        <w:t>Positions of the Parties</w:t>
      </w:r>
      <w:bookmarkEnd w:id="25"/>
    </w:p>
    <w:p w:rsidR="00377B78" w:rsidRDefault="00377B78" w:rsidP="00A76F8A"/>
    <w:p w:rsidR="0024624F" w:rsidRPr="00113B83" w:rsidRDefault="000F1FD8" w:rsidP="00A76F8A">
      <w:pPr>
        <w:tabs>
          <w:tab w:val="left" w:pos="-1440"/>
          <w:tab w:val="left" w:pos="-720"/>
        </w:tabs>
        <w:suppressAutoHyphens/>
        <w:spacing w:line="360" w:lineRule="auto"/>
        <w:ind w:firstLine="1430"/>
        <w:rPr>
          <w:spacing w:val="-3"/>
          <w:sz w:val="26"/>
          <w:szCs w:val="26"/>
        </w:rPr>
      </w:pPr>
      <w:r>
        <w:rPr>
          <w:spacing w:val="-3"/>
          <w:sz w:val="26"/>
          <w:szCs w:val="26"/>
        </w:rPr>
        <w:t>Dr. Briskin asserted</w:t>
      </w:r>
      <w:r w:rsidR="0024624F" w:rsidRPr="00113B83">
        <w:rPr>
          <w:spacing w:val="-3"/>
          <w:sz w:val="26"/>
          <w:szCs w:val="26"/>
        </w:rPr>
        <w:t xml:space="preserve"> that the depreciation expense claim by Aqua of $52,774,920</w:t>
      </w:r>
      <w:r w:rsidR="00067EAD">
        <w:rPr>
          <w:spacing w:val="-3"/>
          <w:sz w:val="26"/>
          <w:szCs w:val="26"/>
        </w:rPr>
        <w:t>,</w:t>
      </w:r>
      <w:r w:rsidR="0024624F" w:rsidRPr="00113B83">
        <w:rPr>
          <w:spacing w:val="-3"/>
          <w:sz w:val="26"/>
          <w:szCs w:val="26"/>
        </w:rPr>
        <w:t xml:space="preserve"> is </w:t>
      </w:r>
      <w:r w:rsidR="00067EAD">
        <w:rPr>
          <w:spacing w:val="-3"/>
          <w:sz w:val="26"/>
          <w:szCs w:val="26"/>
        </w:rPr>
        <w:t xml:space="preserve">initially </w:t>
      </w:r>
      <w:r w:rsidR="0024624F" w:rsidRPr="00113B83">
        <w:rPr>
          <w:spacing w:val="-3"/>
          <w:sz w:val="26"/>
          <w:szCs w:val="26"/>
        </w:rPr>
        <w:t>paid by the ratepayers for the cost of the capital expenditure and then claimed a second time for depreciation of that same capital expenditure for purposes</w:t>
      </w:r>
      <w:r w:rsidR="00067EAD">
        <w:rPr>
          <w:spacing w:val="-3"/>
          <w:sz w:val="26"/>
          <w:szCs w:val="26"/>
        </w:rPr>
        <w:t xml:space="preserve"> of a requested rate increase.  </w:t>
      </w:r>
      <w:r w:rsidR="0024624F" w:rsidRPr="00113B83">
        <w:rPr>
          <w:spacing w:val="-3"/>
          <w:sz w:val="26"/>
          <w:szCs w:val="26"/>
        </w:rPr>
        <w:t>Brisk</w:t>
      </w:r>
      <w:r w:rsidR="00067EAD">
        <w:rPr>
          <w:spacing w:val="-3"/>
          <w:sz w:val="26"/>
          <w:szCs w:val="26"/>
        </w:rPr>
        <w:t>in M.B. at 9.  He furthermore contended</w:t>
      </w:r>
      <w:r w:rsidR="0024624F" w:rsidRPr="00113B83">
        <w:rPr>
          <w:spacing w:val="-3"/>
          <w:sz w:val="26"/>
          <w:szCs w:val="26"/>
        </w:rPr>
        <w:t xml:space="preserve"> th</w:t>
      </w:r>
      <w:r w:rsidR="00067EAD">
        <w:rPr>
          <w:spacing w:val="-3"/>
          <w:sz w:val="26"/>
          <w:szCs w:val="26"/>
        </w:rPr>
        <w:t xml:space="preserve">at an amortization average of thirty-six years is an unreasonably short period and </w:t>
      </w:r>
      <w:r w:rsidR="0024624F" w:rsidRPr="00113B83">
        <w:rPr>
          <w:spacing w:val="-3"/>
          <w:sz w:val="26"/>
          <w:szCs w:val="26"/>
        </w:rPr>
        <w:t>that the record is deficient in comply</w:t>
      </w:r>
      <w:r w:rsidR="00067EAD">
        <w:rPr>
          <w:spacing w:val="-3"/>
          <w:sz w:val="26"/>
          <w:szCs w:val="26"/>
        </w:rPr>
        <w:t xml:space="preserve">ing with the requirements of 66 </w:t>
      </w:r>
      <w:r w:rsidR="00965439">
        <w:rPr>
          <w:spacing w:val="-3"/>
          <w:sz w:val="26"/>
          <w:szCs w:val="26"/>
        </w:rPr>
        <w:t>Pa.</w:t>
      </w:r>
      <w:r w:rsidR="00883634">
        <w:rPr>
          <w:spacing w:val="-3"/>
          <w:sz w:val="26"/>
          <w:szCs w:val="26"/>
        </w:rPr>
        <w:t xml:space="preserve"> </w:t>
      </w:r>
      <w:r w:rsidR="00965439">
        <w:rPr>
          <w:spacing w:val="-3"/>
          <w:sz w:val="26"/>
          <w:szCs w:val="26"/>
        </w:rPr>
        <w:t>C.S. § 1703, by its use of an</w:t>
      </w:r>
      <w:r w:rsidR="00996984">
        <w:rPr>
          <w:spacing w:val="-3"/>
          <w:sz w:val="26"/>
          <w:szCs w:val="26"/>
        </w:rPr>
        <w:t xml:space="preserve"> accounting technique which is appropriate for business planning and taxation purposes, but not appropriate for ratemaking purposes</w:t>
      </w:r>
      <w:r w:rsidR="00965439">
        <w:rPr>
          <w:spacing w:val="-3"/>
          <w:sz w:val="26"/>
          <w:szCs w:val="26"/>
        </w:rPr>
        <w:t>.  Briskin M.B. at 9.  Finally, he contended</w:t>
      </w:r>
      <w:r w:rsidR="0024624F" w:rsidRPr="00113B83">
        <w:rPr>
          <w:spacing w:val="-3"/>
          <w:sz w:val="26"/>
          <w:szCs w:val="26"/>
        </w:rPr>
        <w:t xml:space="preserve"> that the entire depreciation expense claim should be denied as unjust and unreasonable “double dipping.”  Briskin M.B. 8-9.  </w:t>
      </w:r>
    </w:p>
    <w:p w:rsidR="0024624F" w:rsidRPr="00113B83" w:rsidRDefault="0024624F" w:rsidP="00A76F8A">
      <w:pPr>
        <w:tabs>
          <w:tab w:val="left" w:pos="-1440"/>
          <w:tab w:val="left" w:pos="-720"/>
        </w:tabs>
        <w:suppressAutoHyphens/>
        <w:spacing w:line="360" w:lineRule="auto"/>
        <w:ind w:firstLine="1430"/>
        <w:rPr>
          <w:spacing w:val="-3"/>
          <w:sz w:val="26"/>
          <w:szCs w:val="26"/>
        </w:rPr>
      </w:pPr>
    </w:p>
    <w:p w:rsidR="0024624F" w:rsidRPr="00113B83" w:rsidRDefault="00965439" w:rsidP="00A76F8A">
      <w:pPr>
        <w:tabs>
          <w:tab w:val="left" w:pos="-1440"/>
          <w:tab w:val="left" w:pos="-720"/>
        </w:tabs>
        <w:suppressAutoHyphens/>
        <w:spacing w:line="360" w:lineRule="auto"/>
        <w:ind w:firstLine="1430"/>
        <w:rPr>
          <w:spacing w:val="-3"/>
          <w:sz w:val="26"/>
          <w:szCs w:val="26"/>
        </w:rPr>
      </w:pPr>
      <w:r>
        <w:rPr>
          <w:spacing w:val="-3"/>
          <w:sz w:val="26"/>
          <w:szCs w:val="26"/>
        </w:rPr>
        <w:t>Aqua responded</w:t>
      </w:r>
      <w:r w:rsidR="0024624F" w:rsidRPr="00113B83">
        <w:rPr>
          <w:spacing w:val="-3"/>
          <w:sz w:val="26"/>
          <w:szCs w:val="26"/>
        </w:rPr>
        <w:t xml:space="preserve"> that its investment to construct or replace plant and equipment is not expensed but is added to rate base.  </w:t>
      </w:r>
      <w:r>
        <w:rPr>
          <w:spacing w:val="-3"/>
          <w:sz w:val="26"/>
          <w:szCs w:val="26"/>
        </w:rPr>
        <w:t>Aqua noted that b</w:t>
      </w:r>
      <w:r w:rsidR="0024624F" w:rsidRPr="00113B83">
        <w:rPr>
          <w:spacing w:val="-3"/>
          <w:sz w:val="26"/>
          <w:szCs w:val="26"/>
        </w:rPr>
        <w:t>asic ratemaking principles entitle utilities a return on</w:t>
      </w:r>
      <w:r>
        <w:rPr>
          <w:spacing w:val="-3"/>
          <w:sz w:val="26"/>
          <w:szCs w:val="26"/>
        </w:rPr>
        <w:t>,</w:t>
      </w:r>
      <w:r w:rsidR="0024624F" w:rsidRPr="00113B83">
        <w:rPr>
          <w:spacing w:val="-3"/>
          <w:sz w:val="26"/>
          <w:szCs w:val="26"/>
        </w:rPr>
        <w:t xml:space="preserve"> and a return of</w:t>
      </w:r>
      <w:r>
        <w:rPr>
          <w:spacing w:val="-3"/>
          <w:sz w:val="26"/>
          <w:szCs w:val="26"/>
        </w:rPr>
        <w:t>,</w:t>
      </w:r>
      <w:r w:rsidR="0024624F" w:rsidRPr="00113B83">
        <w:rPr>
          <w:spacing w:val="-3"/>
          <w:sz w:val="26"/>
          <w:szCs w:val="26"/>
        </w:rPr>
        <w:t xml:space="preserve"> any utility investment.  Aqua R.B. at 3.  As Mr. Moul testified, the return of investment occurs over the life of the plant or equipment through annual depreciation accruals.</w:t>
      </w:r>
      <w:r>
        <w:rPr>
          <w:spacing w:val="-3"/>
          <w:sz w:val="26"/>
          <w:szCs w:val="26"/>
        </w:rPr>
        <w:t xml:space="preserve">  </w:t>
      </w:r>
      <w:r w:rsidR="00280166">
        <w:rPr>
          <w:spacing w:val="-3"/>
          <w:sz w:val="26"/>
          <w:szCs w:val="26"/>
        </w:rPr>
        <w:t>Aqua also stated</w:t>
      </w:r>
      <w:r w:rsidR="0024624F" w:rsidRPr="00113B83">
        <w:rPr>
          <w:spacing w:val="-3"/>
          <w:sz w:val="26"/>
          <w:szCs w:val="26"/>
        </w:rPr>
        <w:t xml:space="preserve"> that </w:t>
      </w:r>
      <w:r w:rsidR="00280166">
        <w:rPr>
          <w:spacing w:val="-3"/>
          <w:sz w:val="26"/>
          <w:szCs w:val="26"/>
        </w:rPr>
        <w:t>its</w:t>
      </w:r>
      <w:r w:rsidR="0024624F" w:rsidRPr="00113B83">
        <w:rPr>
          <w:spacing w:val="-3"/>
          <w:sz w:val="26"/>
          <w:szCs w:val="26"/>
        </w:rPr>
        <w:t xml:space="preserve"> depreciation expense claim is based on straight-line book depreciation, not accelerated tax depreciation</w:t>
      </w:r>
      <w:r w:rsidR="00280166">
        <w:rPr>
          <w:spacing w:val="-3"/>
          <w:sz w:val="26"/>
          <w:szCs w:val="26"/>
        </w:rPr>
        <w:t>,</w:t>
      </w:r>
      <w:r w:rsidR="0024624F" w:rsidRPr="00113B83">
        <w:rPr>
          <w:spacing w:val="-3"/>
          <w:sz w:val="26"/>
          <w:szCs w:val="26"/>
        </w:rPr>
        <w:t xml:space="preserve"> contrary to the allegation by Dr. Briskin.  Aqua R.B. a</w:t>
      </w:r>
      <w:r w:rsidR="00280166">
        <w:rPr>
          <w:spacing w:val="-3"/>
          <w:sz w:val="26"/>
          <w:szCs w:val="26"/>
        </w:rPr>
        <w:t>t 4, citing Aqua St</w:t>
      </w:r>
      <w:r w:rsidR="0024624F" w:rsidRPr="00113B83">
        <w:rPr>
          <w:spacing w:val="-3"/>
          <w:sz w:val="26"/>
          <w:szCs w:val="26"/>
        </w:rPr>
        <w:t xml:space="preserve">. 6; Aqua Exh. 6-A, </w:t>
      </w:r>
      <w:r w:rsidR="0024624F" w:rsidRPr="00113B83">
        <w:rPr>
          <w:spacing w:val="-3"/>
          <w:sz w:val="26"/>
          <w:szCs w:val="26"/>
        </w:rPr>
        <w:lastRenderedPageBreak/>
        <w:t>Parts I and II.  Moreover, the depreciation lives adopted by Mr. Spanos, the witness that testified to the method of depreciation, are the results of a detailed service life study.  Aqua R.B. at 4.  Finally, Aqua as</w:t>
      </w:r>
      <w:r w:rsidR="00280166">
        <w:rPr>
          <w:spacing w:val="-3"/>
          <w:sz w:val="26"/>
          <w:szCs w:val="26"/>
        </w:rPr>
        <w:t>serted that Dr. Briskin made</w:t>
      </w:r>
      <w:r w:rsidR="0024624F" w:rsidRPr="00113B83">
        <w:rPr>
          <w:spacing w:val="-3"/>
          <w:sz w:val="26"/>
          <w:szCs w:val="26"/>
        </w:rPr>
        <w:t xml:space="preserve"> the </w:t>
      </w:r>
      <w:r w:rsidR="00280166">
        <w:rPr>
          <w:spacing w:val="-3"/>
          <w:sz w:val="26"/>
          <w:szCs w:val="26"/>
        </w:rPr>
        <w:t xml:space="preserve">bald </w:t>
      </w:r>
      <w:r w:rsidR="0024624F" w:rsidRPr="00113B83">
        <w:rPr>
          <w:spacing w:val="-3"/>
          <w:sz w:val="26"/>
          <w:szCs w:val="26"/>
        </w:rPr>
        <w:t>statement that the depreciation lives used by Aqua are low</w:t>
      </w:r>
      <w:r w:rsidR="00280166">
        <w:rPr>
          <w:spacing w:val="-3"/>
          <w:sz w:val="26"/>
          <w:szCs w:val="26"/>
        </w:rPr>
        <w:t>, but that he provided no</w:t>
      </w:r>
      <w:r w:rsidR="0024624F" w:rsidRPr="00113B83">
        <w:rPr>
          <w:spacing w:val="-3"/>
          <w:sz w:val="26"/>
          <w:szCs w:val="26"/>
        </w:rPr>
        <w:t xml:space="preserve"> explanation or support</w:t>
      </w:r>
      <w:r w:rsidR="00280166">
        <w:rPr>
          <w:spacing w:val="-3"/>
          <w:sz w:val="26"/>
          <w:szCs w:val="26"/>
        </w:rPr>
        <w:t xml:space="preserve"> for that statement.</w:t>
      </w:r>
    </w:p>
    <w:p w:rsidR="00FC0EE4" w:rsidRDefault="00FC0EE4" w:rsidP="00A76F8A">
      <w:pPr>
        <w:spacing w:line="360" w:lineRule="auto"/>
        <w:rPr>
          <w:b/>
          <w:sz w:val="26"/>
          <w:szCs w:val="26"/>
        </w:rPr>
      </w:pPr>
    </w:p>
    <w:p w:rsidR="00F97103" w:rsidRDefault="00F97103" w:rsidP="00A76F8A">
      <w:pPr>
        <w:pStyle w:val="Heading4"/>
      </w:pPr>
      <w:bookmarkStart w:id="26" w:name="_Toc264354761"/>
      <w:r w:rsidRPr="00F97103">
        <w:t>b.</w:t>
      </w:r>
      <w:r w:rsidRPr="00F97103">
        <w:tab/>
        <w:t>ALJ’s Recommendation</w:t>
      </w:r>
      <w:bookmarkEnd w:id="26"/>
    </w:p>
    <w:p w:rsidR="00F97103" w:rsidRPr="00F97103" w:rsidRDefault="00F97103" w:rsidP="00A76F8A">
      <w:pPr>
        <w:spacing w:line="360" w:lineRule="auto"/>
        <w:rPr>
          <w:b/>
          <w:sz w:val="26"/>
          <w:szCs w:val="26"/>
        </w:rPr>
      </w:pPr>
    </w:p>
    <w:p w:rsidR="00280166" w:rsidRPr="00856911" w:rsidRDefault="00D954BB" w:rsidP="00A76F8A">
      <w:pPr>
        <w:tabs>
          <w:tab w:val="left" w:pos="-1440"/>
          <w:tab w:val="left" w:pos="-720"/>
        </w:tabs>
        <w:suppressAutoHyphens/>
        <w:spacing w:line="360" w:lineRule="auto"/>
        <w:ind w:firstLine="1430"/>
        <w:rPr>
          <w:sz w:val="26"/>
          <w:szCs w:val="26"/>
        </w:rPr>
      </w:pPr>
      <w:r>
        <w:rPr>
          <w:sz w:val="26"/>
          <w:szCs w:val="26"/>
        </w:rPr>
        <w:t xml:space="preserve">ALJ Jones noted that </w:t>
      </w:r>
      <w:r w:rsidR="00280166" w:rsidRPr="00856911">
        <w:rPr>
          <w:sz w:val="26"/>
          <w:szCs w:val="26"/>
        </w:rPr>
        <w:t xml:space="preserve">Section 1703 </w:t>
      </w:r>
      <w:r>
        <w:rPr>
          <w:sz w:val="26"/>
          <w:szCs w:val="26"/>
        </w:rPr>
        <w:t>of the Code reads as follows:</w:t>
      </w:r>
    </w:p>
    <w:p w:rsidR="00280166" w:rsidRPr="00856911" w:rsidRDefault="00280166" w:rsidP="00A76F8A">
      <w:pPr>
        <w:tabs>
          <w:tab w:val="left" w:pos="-1440"/>
          <w:tab w:val="left" w:pos="-720"/>
        </w:tabs>
        <w:suppressAutoHyphens/>
        <w:spacing w:line="360" w:lineRule="auto"/>
        <w:ind w:firstLine="1430"/>
        <w:rPr>
          <w:sz w:val="26"/>
          <w:szCs w:val="26"/>
        </w:rPr>
      </w:pPr>
    </w:p>
    <w:p w:rsidR="00280166" w:rsidRPr="00856911" w:rsidRDefault="00280166" w:rsidP="00A76F8A">
      <w:pPr>
        <w:tabs>
          <w:tab w:val="left" w:pos="-1440"/>
          <w:tab w:val="left" w:pos="-720"/>
        </w:tabs>
        <w:suppressAutoHyphens/>
        <w:ind w:left="1430" w:right="1340"/>
        <w:rPr>
          <w:sz w:val="26"/>
          <w:szCs w:val="26"/>
        </w:rPr>
      </w:pPr>
      <w:r w:rsidRPr="00856911">
        <w:rPr>
          <w:sz w:val="26"/>
          <w:szCs w:val="26"/>
        </w:rPr>
        <w:t xml:space="preserve">§ </w:t>
      </w:r>
      <w:r w:rsidRPr="00856911">
        <w:rPr>
          <w:rStyle w:val="term1"/>
          <w:sz w:val="26"/>
          <w:szCs w:val="26"/>
        </w:rPr>
        <w:t>1703.</w:t>
      </w:r>
      <w:r w:rsidRPr="00856911">
        <w:rPr>
          <w:sz w:val="26"/>
          <w:szCs w:val="26"/>
        </w:rPr>
        <w:t xml:space="preserve">  </w:t>
      </w:r>
      <w:r w:rsidRPr="00856911">
        <w:rPr>
          <w:b/>
          <w:sz w:val="26"/>
          <w:szCs w:val="26"/>
        </w:rPr>
        <w:t>Depreciation accounts; reports</w:t>
      </w:r>
      <w:r w:rsidRPr="00856911">
        <w:rPr>
          <w:sz w:val="26"/>
          <w:szCs w:val="26"/>
        </w:rPr>
        <w:br/>
      </w:r>
    </w:p>
    <w:p w:rsidR="00280166" w:rsidRPr="00856911" w:rsidRDefault="00280166" w:rsidP="00A76F8A">
      <w:pPr>
        <w:tabs>
          <w:tab w:val="left" w:pos="-1440"/>
          <w:tab w:val="left" w:pos="-720"/>
        </w:tabs>
        <w:suppressAutoHyphens/>
        <w:ind w:left="1430" w:right="1340"/>
        <w:rPr>
          <w:sz w:val="26"/>
          <w:szCs w:val="26"/>
        </w:rPr>
      </w:pPr>
      <w:r w:rsidRPr="00856911">
        <w:rPr>
          <w:sz w:val="26"/>
          <w:szCs w:val="26"/>
        </w:rPr>
        <w:t>   (a) ACCOUNTS.-- Every public utility shall carry on its books or records of account, proper and reasonable sums representing the annual depreciation on its property used or useful in the public service, which sums shall be based upon the average estimated life of each of the several units or class of depreciable property. The commission, by appropriate order, after hearing, shall, except where found to be inappropriate, establish for each class of public utilities, the units of depreciable property, the loss upon the retirement of which shall be charged to the depreciation reserve.</w:t>
      </w:r>
      <w:r w:rsidRPr="00856911">
        <w:rPr>
          <w:sz w:val="26"/>
          <w:szCs w:val="26"/>
        </w:rPr>
        <w:br/>
        <w:t> </w:t>
      </w:r>
    </w:p>
    <w:p w:rsidR="00280166" w:rsidRPr="00856911" w:rsidRDefault="00280166" w:rsidP="00A76F8A">
      <w:pPr>
        <w:tabs>
          <w:tab w:val="left" w:pos="-1440"/>
          <w:tab w:val="left" w:pos="-720"/>
        </w:tabs>
        <w:suppressAutoHyphens/>
        <w:ind w:left="1430" w:right="1340"/>
        <w:rPr>
          <w:sz w:val="26"/>
          <w:szCs w:val="26"/>
        </w:rPr>
      </w:pPr>
      <w:r w:rsidRPr="00856911">
        <w:rPr>
          <w:sz w:val="26"/>
          <w:szCs w:val="26"/>
        </w:rPr>
        <w:t>   (b) STATEMENTS.-- Every public utility shall file with the commission, at such times and in such form as the commission may prescribe, statements setting forth the details supporting its computation of annual depreciation, as recorded on the books or records of accounts of the public utility. If the commission, upon review of such statements, is of the opinion that the amount of annual depreciation so recorded by any public utility is not reasonable and proper, it may, after hearing, require that provision be made for annual depreciation in such sums as may be found by it to be reasonable and proper. In making its findings, the commission shall give consideration to the experience of the public utility, and the predecessors of the public utility in accumulating depreciation reserves, the retirements actually made, and such other factors as may be deemed relevant.</w:t>
      </w:r>
      <w:r w:rsidRPr="00856911">
        <w:rPr>
          <w:sz w:val="26"/>
          <w:szCs w:val="26"/>
        </w:rPr>
        <w:br/>
      </w:r>
      <w:r w:rsidRPr="00856911">
        <w:rPr>
          <w:sz w:val="26"/>
          <w:szCs w:val="26"/>
        </w:rPr>
        <w:lastRenderedPageBreak/>
        <w:t> </w:t>
      </w:r>
      <w:r w:rsidRPr="00856911">
        <w:rPr>
          <w:sz w:val="26"/>
          <w:szCs w:val="26"/>
        </w:rPr>
        <w:br/>
        <w:t>   (c) USE OF ESTIMATES.-- The commission shall not be bound in rate proceedings to accept, as just and reasonable for rate-making purposes, estimates of annual depreciation established under the provisions of this section, but in such rate proceedings it shall give consideration to statements submitted under this section, in addition to such other factors as may be relevant.</w:t>
      </w:r>
    </w:p>
    <w:p w:rsidR="00280166" w:rsidRPr="00856911" w:rsidRDefault="00280166" w:rsidP="00A76F8A">
      <w:pPr>
        <w:tabs>
          <w:tab w:val="left" w:pos="-1440"/>
          <w:tab w:val="left" w:pos="-720"/>
        </w:tabs>
        <w:suppressAutoHyphens/>
        <w:ind w:left="1430" w:right="1340"/>
        <w:rPr>
          <w:sz w:val="26"/>
          <w:szCs w:val="26"/>
        </w:rPr>
      </w:pPr>
    </w:p>
    <w:p w:rsidR="00280166" w:rsidRPr="00856911" w:rsidRDefault="00280166" w:rsidP="00A76F8A">
      <w:pPr>
        <w:tabs>
          <w:tab w:val="left" w:pos="-1440"/>
          <w:tab w:val="left" w:pos="-720"/>
        </w:tabs>
        <w:suppressAutoHyphens/>
        <w:ind w:left="1430" w:right="1340"/>
        <w:rPr>
          <w:sz w:val="26"/>
          <w:szCs w:val="26"/>
        </w:rPr>
      </w:pPr>
    </w:p>
    <w:p w:rsidR="00D22D51" w:rsidRDefault="00D22D51" w:rsidP="00A76F8A">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883634">
        <w:rPr>
          <w:spacing w:val="-3"/>
          <w:sz w:val="26"/>
          <w:szCs w:val="26"/>
        </w:rPr>
        <w:t xml:space="preserve">The </w:t>
      </w:r>
      <w:r>
        <w:rPr>
          <w:spacing w:val="-3"/>
          <w:sz w:val="26"/>
          <w:szCs w:val="26"/>
        </w:rPr>
        <w:t>ALJ stated that she failed</w:t>
      </w:r>
      <w:r w:rsidR="00280166" w:rsidRPr="00856911">
        <w:rPr>
          <w:spacing w:val="-3"/>
          <w:sz w:val="26"/>
          <w:szCs w:val="26"/>
        </w:rPr>
        <w:t xml:space="preserve"> to find any evidence that Aqua did not comply with</w:t>
      </w:r>
      <w:r>
        <w:rPr>
          <w:spacing w:val="-3"/>
          <w:sz w:val="26"/>
          <w:szCs w:val="26"/>
        </w:rPr>
        <w:t xml:space="preserve"> the above referenced statute.  The ALJ further noted that Section </w:t>
      </w:r>
      <w:r w:rsidR="00280166" w:rsidRPr="00856911">
        <w:rPr>
          <w:spacing w:val="-3"/>
          <w:sz w:val="26"/>
          <w:szCs w:val="26"/>
        </w:rPr>
        <w:t xml:space="preserve">1703(c) </w:t>
      </w:r>
      <w:r>
        <w:rPr>
          <w:spacing w:val="-3"/>
          <w:sz w:val="26"/>
          <w:szCs w:val="26"/>
        </w:rPr>
        <w:t xml:space="preserve">explicitly </w:t>
      </w:r>
      <w:r w:rsidR="00280166" w:rsidRPr="00856911">
        <w:rPr>
          <w:spacing w:val="-3"/>
          <w:sz w:val="26"/>
          <w:szCs w:val="26"/>
        </w:rPr>
        <w:t xml:space="preserve">permits other factors to be considered in addition to statements of estimates of annual depreciation.  Aqua </w:t>
      </w:r>
      <w:r>
        <w:rPr>
          <w:spacing w:val="-3"/>
          <w:sz w:val="26"/>
          <w:szCs w:val="26"/>
        </w:rPr>
        <w:t>used straight-line depreciation,</w:t>
      </w:r>
      <w:r w:rsidR="00280166" w:rsidRPr="00856911">
        <w:rPr>
          <w:spacing w:val="-3"/>
          <w:sz w:val="26"/>
          <w:szCs w:val="26"/>
        </w:rPr>
        <w:t xml:space="preserve"> not accelerated tax depreciation.  </w:t>
      </w:r>
    </w:p>
    <w:p w:rsidR="00D22D51" w:rsidRDefault="00D22D51" w:rsidP="00A76F8A">
      <w:pPr>
        <w:tabs>
          <w:tab w:val="left" w:pos="-1440"/>
          <w:tab w:val="left" w:pos="-720"/>
        </w:tabs>
        <w:suppressAutoHyphens/>
        <w:spacing w:line="360" w:lineRule="auto"/>
        <w:rPr>
          <w:spacing w:val="-3"/>
          <w:sz w:val="26"/>
          <w:szCs w:val="26"/>
        </w:rPr>
      </w:pPr>
    </w:p>
    <w:p w:rsidR="00280166" w:rsidRPr="00856911" w:rsidRDefault="00D22D51" w:rsidP="00A76F8A">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Finally, the ALJ stated that she </w:t>
      </w:r>
      <w:r w:rsidR="00280166" w:rsidRPr="00856911">
        <w:rPr>
          <w:spacing w:val="-3"/>
          <w:sz w:val="26"/>
          <w:szCs w:val="26"/>
        </w:rPr>
        <w:t>agree</w:t>
      </w:r>
      <w:r>
        <w:rPr>
          <w:spacing w:val="-3"/>
          <w:sz w:val="26"/>
          <w:szCs w:val="26"/>
        </w:rPr>
        <w:t>d</w:t>
      </w:r>
      <w:r w:rsidR="00280166" w:rsidRPr="00856911">
        <w:rPr>
          <w:spacing w:val="-3"/>
          <w:sz w:val="26"/>
          <w:szCs w:val="26"/>
        </w:rPr>
        <w:t xml:space="preserve"> with Aqua that Dr. Briskin’s statement that the Company used an accounting technique designed for business planning and taxation purposes is </w:t>
      </w:r>
      <w:r w:rsidR="00996984">
        <w:rPr>
          <w:spacing w:val="-3"/>
          <w:sz w:val="26"/>
          <w:szCs w:val="26"/>
        </w:rPr>
        <w:t>mistaken.  No evidence or support was offered for the assertion that thirty-six years</w:t>
      </w:r>
      <w:r w:rsidR="00280166" w:rsidRPr="00856911">
        <w:rPr>
          <w:spacing w:val="-3"/>
          <w:sz w:val="26"/>
          <w:szCs w:val="26"/>
        </w:rPr>
        <w:t xml:space="preserve"> is an unreasonably low amortization average</w:t>
      </w:r>
      <w:r w:rsidR="00996984">
        <w:rPr>
          <w:spacing w:val="-3"/>
          <w:sz w:val="26"/>
          <w:szCs w:val="26"/>
        </w:rPr>
        <w:t xml:space="preserve"> and Dr. Briskin </w:t>
      </w:r>
      <w:r w:rsidR="00280166" w:rsidRPr="00856911">
        <w:rPr>
          <w:spacing w:val="-3"/>
          <w:sz w:val="26"/>
          <w:szCs w:val="26"/>
        </w:rPr>
        <w:t>has not qualified himself as an exp</w:t>
      </w:r>
      <w:r w:rsidR="00996984">
        <w:rPr>
          <w:spacing w:val="-3"/>
          <w:sz w:val="26"/>
          <w:szCs w:val="26"/>
        </w:rPr>
        <w:t>ert in this field</w:t>
      </w:r>
      <w:r w:rsidR="00C66EC5">
        <w:rPr>
          <w:spacing w:val="-3"/>
          <w:sz w:val="26"/>
          <w:szCs w:val="26"/>
        </w:rPr>
        <w:t xml:space="preserve">.  </w:t>
      </w:r>
      <w:r w:rsidR="00280166" w:rsidRPr="00856911">
        <w:rPr>
          <w:spacing w:val="-3"/>
          <w:sz w:val="26"/>
          <w:szCs w:val="26"/>
        </w:rPr>
        <w:t>I</w:t>
      </w:r>
      <w:r w:rsidR="00C66EC5">
        <w:rPr>
          <w:spacing w:val="-3"/>
          <w:sz w:val="26"/>
          <w:szCs w:val="26"/>
        </w:rPr>
        <w:t xml:space="preserve">n short, the ALJ found that </w:t>
      </w:r>
      <w:r w:rsidR="00280166" w:rsidRPr="00856911">
        <w:rPr>
          <w:spacing w:val="-3"/>
          <w:sz w:val="26"/>
          <w:szCs w:val="26"/>
        </w:rPr>
        <w:t xml:space="preserve">Dr. Briskin’s </w:t>
      </w:r>
      <w:r w:rsidR="00C66EC5">
        <w:rPr>
          <w:spacing w:val="-3"/>
          <w:sz w:val="26"/>
          <w:szCs w:val="26"/>
        </w:rPr>
        <w:t>assertions on this issue were not meritorious.  R.D. at 34.</w:t>
      </w:r>
    </w:p>
    <w:p w:rsidR="00A46586" w:rsidRDefault="00A46586" w:rsidP="00A76F8A">
      <w:pPr>
        <w:spacing w:line="360" w:lineRule="auto"/>
        <w:rPr>
          <w:b/>
          <w:sz w:val="26"/>
          <w:szCs w:val="26"/>
        </w:rPr>
      </w:pPr>
    </w:p>
    <w:p w:rsidR="00F97103" w:rsidRPr="002B770F" w:rsidRDefault="002B770F" w:rsidP="00A76F8A">
      <w:pPr>
        <w:pStyle w:val="Heading4"/>
      </w:pPr>
      <w:bookmarkStart w:id="27" w:name="_Toc264354762"/>
      <w:r w:rsidRPr="002B770F">
        <w:t>c.</w:t>
      </w:r>
      <w:r w:rsidRPr="002B770F">
        <w:tab/>
      </w:r>
      <w:r w:rsidR="00896829">
        <w:t>Disposition</w:t>
      </w:r>
      <w:bookmarkEnd w:id="27"/>
    </w:p>
    <w:p w:rsidR="006A5F68" w:rsidRDefault="006A5F68" w:rsidP="00A76F8A">
      <w:pPr>
        <w:spacing w:line="360" w:lineRule="auto"/>
        <w:rPr>
          <w:b/>
          <w:sz w:val="26"/>
          <w:szCs w:val="26"/>
        </w:rPr>
      </w:pPr>
    </w:p>
    <w:p w:rsidR="00664D64" w:rsidRDefault="00970525" w:rsidP="00A76F8A">
      <w:pPr>
        <w:spacing w:line="360" w:lineRule="auto"/>
        <w:rPr>
          <w:sz w:val="26"/>
          <w:szCs w:val="26"/>
        </w:rPr>
      </w:pPr>
      <w:r>
        <w:rPr>
          <w:b/>
          <w:sz w:val="26"/>
          <w:szCs w:val="26"/>
        </w:rPr>
        <w:tab/>
      </w:r>
      <w:r>
        <w:rPr>
          <w:b/>
          <w:sz w:val="26"/>
          <w:szCs w:val="26"/>
        </w:rPr>
        <w:tab/>
      </w:r>
      <w:r w:rsidRPr="00970525">
        <w:rPr>
          <w:sz w:val="26"/>
          <w:szCs w:val="26"/>
        </w:rPr>
        <w:t>No Party</w:t>
      </w:r>
      <w:r>
        <w:rPr>
          <w:sz w:val="26"/>
          <w:szCs w:val="26"/>
        </w:rPr>
        <w:t xml:space="preserve"> excepts to the ALJ’s recommendation on this issue.</w:t>
      </w:r>
      <w:r w:rsidR="000534F1">
        <w:rPr>
          <w:sz w:val="26"/>
          <w:szCs w:val="26"/>
        </w:rPr>
        <w:t xml:space="preserve">  As such, and finding that recommendation to be otherwise reasonable, it is adopted.</w:t>
      </w:r>
    </w:p>
    <w:p w:rsidR="00CF205C" w:rsidRPr="00970525" w:rsidRDefault="00CF205C" w:rsidP="00A76F8A">
      <w:pPr>
        <w:spacing w:line="360" w:lineRule="auto"/>
        <w:rPr>
          <w:sz w:val="26"/>
          <w:szCs w:val="26"/>
        </w:rPr>
      </w:pPr>
    </w:p>
    <w:p w:rsidR="00C66EC5" w:rsidRPr="003B2621" w:rsidRDefault="00C66EC5" w:rsidP="00A76F8A">
      <w:pPr>
        <w:pStyle w:val="Heading3"/>
      </w:pPr>
      <w:bookmarkStart w:id="28" w:name="_Toc264354763"/>
      <w:r>
        <w:t>5</w:t>
      </w:r>
      <w:r w:rsidRPr="003B2621">
        <w:t>.</w:t>
      </w:r>
      <w:r>
        <w:tab/>
        <w:t>Plant Investment in Public Fire Protection</w:t>
      </w:r>
      <w:bookmarkEnd w:id="28"/>
      <w:r w:rsidRPr="003B2621">
        <w:tab/>
      </w:r>
    </w:p>
    <w:p w:rsidR="0092671C" w:rsidRDefault="0092671C" w:rsidP="00A76F8A">
      <w:pPr>
        <w:spacing w:line="360" w:lineRule="auto"/>
        <w:rPr>
          <w:sz w:val="26"/>
          <w:szCs w:val="26"/>
        </w:rPr>
      </w:pPr>
    </w:p>
    <w:p w:rsidR="00C66EC5" w:rsidRDefault="0096672A" w:rsidP="00A76F8A">
      <w:pPr>
        <w:pStyle w:val="Heading4"/>
      </w:pPr>
      <w:bookmarkStart w:id="29" w:name="_Toc264354764"/>
      <w:r>
        <w:t>a.</w:t>
      </w:r>
      <w:r>
        <w:tab/>
      </w:r>
      <w:r w:rsidR="00C66EC5" w:rsidRPr="003E23C5">
        <w:t>Positions of the Parties</w:t>
      </w:r>
      <w:bookmarkEnd w:id="29"/>
    </w:p>
    <w:p w:rsidR="00E9714C" w:rsidRDefault="00E9714C" w:rsidP="00A76F8A">
      <w:pPr>
        <w:spacing w:line="360" w:lineRule="auto"/>
        <w:rPr>
          <w:sz w:val="26"/>
          <w:szCs w:val="26"/>
        </w:rPr>
      </w:pPr>
    </w:p>
    <w:p w:rsidR="00424827" w:rsidRPr="00D709F8" w:rsidRDefault="00D709F8" w:rsidP="00A76F8A">
      <w:pPr>
        <w:tabs>
          <w:tab w:val="left" w:pos="-1440"/>
          <w:tab w:val="left" w:pos="-720"/>
        </w:tabs>
        <w:suppressAutoHyphens/>
        <w:spacing w:line="360" w:lineRule="auto"/>
        <w:rPr>
          <w:spacing w:val="-3"/>
          <w:sz w:val="26"/>
        </w:rPr>
      </w:pPr>
      <w:r>
        <w:rPr>
          <w:spacing w:val="-3"/>
          <w:sz w:val="26"/>
        </w:rPr>
        <w:tab/>
      </w:r>
      <w:r>
        <w:rPr>
          <w:spacing w:val="-3"/>
          <w:sz w:val="26"/>
        </w:rPr>
        <w:tab/>
        <w:t xml:space="preserve">In support of his position, </w:t>
      </w:r>
      <w:r w:rsidRPr="00D709F8">
        <w:rPr>
          <w:spacing w:val="-3"/>
          <w:sz w:val="26"/>
        </w:rPr>
        <w:t>Dr. Briskin cited</w:t>
      </w:r>
      <w:r w:rsidR="00695310" w:rsidRPr="00D709F8">
        <w:rPr>
          <w:spacing w:val="-3"/>
          <w:sz w:val="26"/>
        </w:rPr>
        <w:t xml:space="preserve"> Section 1328 of the </w:t>
      </w:r>
      <w:r w:rsidRPr="00D709F8">
        <w:rPr>
          <w:spacing w:val="-3"/>
          <w:sz w:val="26"/>
        </w:rPr>
        <w:t>Code, which reads as follows:</w:t>
      </w:r>
    </w:p>
    <w:p w:rsidR="00D709F8" w:rsidRPr="00D709F8" w:rsidRDefault="00695310" w:rsidP="00A76F8A">
      <w:pPr>
        <w:pageBreakBefore/>
        <w:tabs>
          <w:tab w:val="left" w:pos="-1440"/>
          <w:tab w:val="left" w:pos="-720"/>
        </w:tabs>
        <w:suppressAutoHyphens/>
        <w:ind w:left="1440" w:right="1440"/>
        <w:rPr>
          <w:sz w:val="26"/>
        </w:rPr>
      </w:pPr>
      <w:r w:rsidRPr="00D709F8">
        <w:rPr>
          <w:sz w:val="26"/>
        </w:rPr>
        <w:lastRenderedPageBreak/>
        <w:t xml:space="preserve">§ </w:t>
      </w:r>
      <w:r w:rsidRPr="00D709F8">
        <w:rPr>
          <w:rStyle w:val="term1"/>
          <w:sz w:val="26"/>
        </w:rPr>
        <w:t>1328.</w:t>
      </w:r>
      <w:r w:rsidRPr="00D709F8">
        <w:rPr>
          <w:sz w:val="26"/>
        </w:rPr>
        <w:t xml:space="preserve">  </w:t>
      </w:r>
      <w:r w:rsidRPr="00D709F8">
        <w:rPr>
          <w:b/>
          <w:sz w:val="26"/>
        </w:rPr>
        <w:t>Determination of public fire hydrant rates</w:t>
      </w:r>
      <w:r w:rsidRPr="00D709F8">
        <w:rPr>
          <w:sz w:val="26"/>
        </w:rPr>
        <w:br/>
      </w:r>
      <w:r w:rsidRPr="00D709F8">
        <w:rPr>
          <w:sz w:val="26"/>
        </w:rPr>
        <w:br/>
        <w:t>   (a) GENERAL RULE.-- A public utility that furnishes water to or for the public shall be allowed to recover in rates the full cost of service related to public fire hydrants.</w:t>
      </w:r>
    </w:p>
    <w:p w:rsidR="00695310" w:rsidRPr="00D709F8" w:rsidRDefault="00695310" w:rsidP="00A76F8A">
      <w:pPr>
        <w:tabs>
          <w:tab w:val="left" w:pos="-1440"/>
          <w:tab w:val="left" w:pos="-720"/>
        </w:tabs>
        <w:suppressAutoHyphens/>
        <w:ind w:left="1440" w:right="1440"/>
        <w:rPr>
          <w:sz w:val="26"/>
        </w:rPr>
      </w:pPr>
      <w:r w:rsidRPr="00D709F8">
        <w:rPr>
          <w:sz w:val="26"/>
        </w:rPr>
        <w:br/>
        <w:t>   (b) CHARGE TO MUNICIPALITIES AND OTHER CUSTOMERS OF THE PUBLIC UTILITY.--</w:t>
      </w:r>
    </w:p>
    <w:p w:rsidR="00695310" w:rsidRPr="00D709F8" w:rsidRDefault="00695310" w:rsidP="00A76F8A">
      <w:pPr>
        <w:tabs>
          <w:tab w:val="left" w:pos="-1440"/>
          <w:tab w:val="left" w:pos="-720"/>
        </w:tabs>
        <w:suppressAutoHyphens/>
        <w:ind w:left="1728" w:right="1728"/>
        <w:rPr>
          <w:sz w:val="26"/>
        </w:rPr>
      </w:pPr>
      <w:r w:rsidRPr="00D709F8">
        <w:rPr>
          <w:sz w:val="26"/>
        </w:rPr>
        <w:br/>
        <w:t>   (1) In determining the rates to be charged for public fire hydrants by a public utility that furnishes water to or for the public, the commission shall as part of a utility's general rate proceeding provide for the recovery of the costs of public fire hydrants in such a manner that the municipalities in which those public fire hydrants are located are not charged for more than 25% of the cost of service for those public fire hydrants, as such cost of service is reasonably determined by the commission.</w:t>
      </w:r>
      <w:r w:rsidRPr="00D709F8">
        <w:rPr>
          <w:sz w:val="26"/>
        </w:rPr>
        <w:br/>
        <w:t> </w:t>
      </w:r>
      <w:r w:rsidRPr="00D709F8">
        <w:rPr>
          <w:sz w:val="26"/>
        </w:rPr>
        <w:br/>
        <w:t xml:space="preserve">   (2) The commission shall also as part of the utility's general rate proceeding provide for the recovery of the remaining cost of service for those public fire hydrants not recovered from the municipalities under paragraph (1) by assessing all customers of the public utility the remaining cost of service to the public fire hydrants. The remaining cost of service for those public fire hydrants shall be </w:t>
      </w:r>
      <w:r w:rsidR="005F0413">
        <w:rPr>
          <w:sz w:val="26"/>
        </w:rPr>
        <w:t>included in the public utility’s</w:t>
      </w:r>
      <w:r w:rsidRPr="00D709F8">
        <w:rPr>
          <w:sz w:val="26"/>
        </w:rPr>
        <w:t xml:space="preserve"> fixed or service charge or minimum bill.</w:t>
      </w:r>
    </w:p>
    <w:p w:rsidR="00695310" w:rsidRPr="00D709F8" w:rsidRDefault="00695310" w:rsidP="00A76F8A">
      <w:pPr>
        <w:tabs>
          <w:tab w:val="left" w:pos="-1440"/>
          <w:tab w:val="left" w:pos="-720"/>
        </w:tabs>
        <w:suppressAutoHyphens/>
        <w:ind w:left="1728" w:right="1728"/>
        <w:rPr>
          <w:sz w:val="26"/>
        </w:rPr>
      </w:pPr>
    </w:p>
    <w:p w:rsidR="00695310" w:rsidRPr="00D709F8" w:rsidRDefault="00695310" w:rsidP="00A76F8A">
      <w:pPr>
        <w:tabs>
          <w:tab w:val="left" w:pos="-1440"/>
          <w:tab w:val="left" w:pos="-720"/>
        </w:tabs>
        <w:suppressAutoHyphens/>
        <w:ind w:left="1440" w:right="1440"/>
        <w:rPr>
          <w:sz w:val="26"/>
        </w:rPr>
      </w:pPr>
      <w:r w:rsidRPr="00D709F8">
        <w:rPr>
          <w:sz w:val="26"/>
        </w:rPr>
        <w:t>   (c) EFFECT ON CURRENT RATES.-- The legal rates charged to municipalities for public fire hydrants in effect on the effective date of this section shall remain frozen and shall not be changed until the present rates for those public fire hydrants are determined to be below the 25% ceiling established under subsection (b). The remaining cost of service for those public fire hydrants not recovered from the municipality shall be recovered from all customers of the public</w:t>
      </w:r>
      <w:r w:rsidR="005F0413">
        <w:rPr>
          <w:sz w:val="26"/>
        </w:rPr>
        <w:t xml:space="preserve"> utility in the public utility’s</w:t>
      </w:r>
      <w:r w:rsidRPr="00D709F8">
        <w:rPr>
          <w:sz w:val="26"/>
        </w:rPr>
        <w:t xml:space="preserve"> fixed or service charge or minimum bill.</w:t>
      </w:r>
      <w:r w:rsidRPr="00D709F8">
        <w:rPr>
          <w:sz w:val="26"/>
        </w:rPr>
        <w:br/>
        <w:t> </w:t>
      </w:r>
      <w:r w:rsidRPr="00D709F8">
        <w:rPr>
          <w:sz w:val="26"/>
        </w:rPr>
        <w:br/>
        <w:t xml:space="preserve">   (d) DEFINITION.-- As used in this section, the term "public fire hydrant" means a fire hydrant that is charged, at </w:t>
      </w:r>
      <w:r w:rsidRPr="00D709F8">
        <w:rPr>
          <w:sz w:val="26"/>
        </w:rPr>
        <w:lastRenderedPageBreak/>
        <w:t>least in part, to a municipality such as a city, borough, town or township.</w:t>
      </w:r>
    </w:p>
    <w:p w:rsidR="00695310" w:rsidRPr="00D709F8" w:rsidRDefault="00695310" w:rsidP="00A76F8A">
      <w:pPr>
        <w:tabs>
          <w:tab w:val="left" w:pos="-1440"/>
          <w:tab w:val="left" w:pos="-720"/>
        </w:tabs>
        <w:suppressAutoHyphens/>
        <w:ind w:left="1430" w:right="1340"/>
        <w:rPr>
          <w:sz w:val="26"/>
        </w:rPr>
      </w:pPr>
    </w:p>
    <w:p w:rsidR="00695310" w:rsidRPr="00D709F8" w:rsidRDefault="00695310" w:rsidP="00A76F8A">
      <w:pPr>
        <w:tabs>
          <w:tab w:val="left" w:pos="-1440"/>
          <w:tab w:val="left" w:pos="-720"/>
        </w:tabs>
        <w:suppressAutoHyphens/>
        <w:ind w:left="1430" w:right="1340"/>
        <w:rPr>
          <w:sz w:val="26"/>
        </w:rPr>
      </w:pPr>
    </w:p>
    <w:p w:rsidR="00695310" w:rsidRPr="00D709F8" w:rsidRDefault="00D709F8" w:rsidP="00A76F8A">
      <w:pPr>
        <w:tabs>
          <w:tab w:val="left" w:pos="-1440"/>
          <w:tab w:val="left" w:pos="-720"/>
        </w:tabs>
        <w:suppressAutoHyphens/>
        <w:spacing w:line="360" w:lineRule="auto"/>
        <w:ind w:right="40"/>
        <w:rPr>
          <w:sz w:val="26"/>
        </w:rPr>
      </w:pPr>
      <w:r>
        <w:rPr>
          <w:sz w:val="26"/>
        </w:rPr>
        <w:tab/>
      </w:r>
      <w:r>
        <w:rPr>
          <w:sz w:val="26"/>
        </w:rPr>
        <w:tab/>
      </w:r>
      <w:r w:rsidR="00D762A6">
        <w:rPr>
          <w:sz w:val="26"/>
        </w:rPr>
        <w:t>Dr. Briskin argued that S</w:t>
      </w:r>
      <w:r w:rsidR="00695310" w:rsidRPr="00D709F8">
        <w:rPr>
          <w:sz w:val="26"/>
        </w:rPr>
        <w:t>ub</w:t>
      </w:r>
      <w:r w:rsidR="00D762A6">
        <w:rPr>
          <w:sz w:val="26"/>
        </w:rPr>
        <w:t xml:space="preserve">section (a) of the statute delineates </w:t>
      </w:r>
      <w:r w:rsidR="00AA5293">
        <w:rPr>
          <w:sz w:val="26"/>
        </w:rPr>
        <w:t xml:space="preserve">that permissible </w:t>
      </w:r>
      <w:r w:rsidR="00695310" w:rsidRPr="00D709F8">
        <w:rPr>
          <w:sz w:val="26"/>
        </w:rPr>
        <w:t xml:space="preserve">rate recovery </w:t>
      </w:r>
      <w:r w:rsidR="00AA5293">
        <w:rPr>
          <w:sz w:val="26"/>
        </w:rPr>
        <w:t xml:space="preserve">is </w:t>
      </w:r>
      <w:r w:rsidR="00695310" w:rsidRPr="00D709F8">
        <w:rPr>
          <w:sz w:val="26"/>
        </w:rPr>
        <w:t xml:space="preserve">of the </w:t>
      </w:r>
      <w:r w:rsidR="00AA5293">
        <w:rPr>
          <w:sz w:val="26"/>
        </w:rPr>
        <w:t>“</w:t>
      </w:r>
      <w:r w:rsidR="00695310" w:rsidRPr="00D709F8">
        <w:rPr>
          <w:sz w:val="26"/>
        </w:rPr>
        <w:t>cost of service</w:t>
      </w:r>
      <w:r w:rsidR="00AA5293">
        <w:rPr>
          <w:sz w:val="26"/>
        </w:rPr>
        <w:t>”</w:t>
      </w:r>
      <w:r w:rsidR="00695310" w:rsidRPr="00D709F8">
        <w:rPr>
          <w:sz w:val="26"/>
        </w:rPr>
        <w:t xml:space="preserve"> not the </w:t>
      </w:r>
      <w:r w:rsidR="00AA5293">
        <w:rPr>
          <w:sz w:val="26"/>
        </w:rPr>
        <w:t>“</w:t>
      </w:r>
      <w:r w:rsidR="00695310" w:rsidRPr="00D709F8">
        <w:rPr>
          <w:sz w:val="26"/>
        </w:rPr>
        <w:t>cost of construction.</w:t>
      </w:r>
      <w:r w:rsidR="00AA5293">
        <w:rPr>
          <w:sz w:val="26"/>
        </w:rPr>
        <w:t>”</w:t>
      </w:r>
      <w:r w:rsidR="00695310" w:rsidRPr="00D709F8">
        <w:rPr>
          <w:sz w:val="26"/>
        </w:rPr>
        <w:t xml:space="preserve"> </w:t>
      </w:r>
      <w:r w:rsidR="00D762A6">
        <w:rPr>
          <w:sz w:val="26"/>
        </w:rPr>
        <w:t xml:space="preserve"> Briskin M.B. at 9.  He also asserted</w:t>
      </w:r>
      <w:r w:rsidR="00695310" w:rsidRPr="00D709F8">
        <w:rPr>
          <w:sz w:val="26"/>
        </w:rPr>
        <w:t xml:space="preserve"> that the recovery of construction costs is not permitted by Commission statute and</w:t>
      </w:r>
      <w:r w:rsidR="00D762A6">
        <w:rPr>
          <w:sz w:val="26"/>
        </w:rPr>
        <w:t>,</w:t>
      </w:r>
      <w:r w:rsidR="00695310" w:rsidRPr="00D709F8">
        <w:rPr>
          <w:sz w:val="26"/>
        </w:rPr>
        <w:t xml:space="preserve"> therefore</w:t>
      </w:r>
      <w:r w:rsidR="00D762A6">
        <w:rPr>
          <w:sz w:val="26"/>
        </w:rPr>
        <w:t>,</w:t>
      </w:r>
      <w:r w:rsidR="00695310" w:rsidRPr="00D709F8">
        <w:rPr>
          <w:sz w:val="26"/>
        </w:rPr>
        <w:t xml:space="preserve"> said expense should be eliminated.</w:t>
      </w:r>
      <w:r w:rsidR="00D762A6">
        <w:rPr>
          <w:sz w:val="26"/>
        </w:rPr>
        <w:t xml:space="preserve">  </w:t>
      </w:r>
      <w:r w:rsidR="00695310" w:rsidRPr="00D709F8">
        <w:rPr>
          <w:sz w:val="26"/>
        </w:rPr>
        <w:t>Dr.</w:t>
      </w:r>
      <w:r w:rsidR="00D762A6">
        <w:rPr>
          <w:sz w:val="26"/>
        </w:rPr>
        <w:t xml:space="preserve"> Briskin concluded</w:t>
      </w:r>
      <w:r w:rsidR="00695310" w:rsidRPr="00D709F8">
        <w:rPr>
          <w:sz w:val="26"/>
        </w:rPr>
        <w:t xml:space="preserve"> that</w:t>
      </w:r>
      <w:r w:rsidR="00D92155">
        <w:rPr>
          <w:sz w:val="26"/>
        </w:rPr>
        <w:t>,</w:t>
      </w:r>
      <w:r w:rsidR="00695310" w:rsidRPr="00D709F8">
        <w:rPr>
          <w:sz w:val="26"/>
        </w:rPr>
        <w:t xml:space="preserve"> because of these </w:t>
      </w:r>
      <w:r w:rsidR="00D762A6">
        <w:rPr>
          <w:sz w:val="26"/>
        </w:rPr>
        <w:t>failings in the record, Aqua did</w:t>
      </w:r>
      <w:r w:rsidR="00695310" w:rsidRPr="00D709F8">
        <w:rPr>
          <w:sz w:val="26"/>
        </w:rPr>
        <w:t xml:space="preserve"> not me</w:t>
      </w:r>
      <w:r w:rsidR="00D762A6">
        <w:rPr>
          <w:sz w:val="26"/>
        </w:rPr>
        <w:t>e</w:t>
      </w:r>
      <w:r w:rsidR="00695310" w:rsidRPr="00D709F8">
        <w:rPr>
          <w:sz w:val="26"/>
        </w:rPr>
        <w:t xml:space="preserve">t its burden </w:t>
      </w:r>
      <w:r w:rsidR="00D92155">
        <w:rPr>
          <w:sz w:val="26"/>
        </w:rPr>
        <w:t xml:space="preserve">of proving </w:t>
      </w:r>
      <w:r w:rsidR="00695310" w:rsidRPr="00D709F8">
        <w:rPr>
          <w:sz w:val="26"/>
        </w:rPr>
        <w:t>that its assessment met</w:t>
      </w:r>
      <w:r w:rsidR="00D762A6">
        <w:rPr>
          <w:sz w:val="26"/>
        </w:rPr>
        <w:t xml:space="preserve">hod is just and reasonable.  </w:t>
      </w:r>
      <w:r w:rsidR="00695310" w:rsidRPr="00D709F8">
        <w:rPr>
          <w:sz w:val="26"/>
        </w:rPr>
        <w:t>Briskin M.B. at 10.</w:t>
      </w:r>
    </w:p>
    <w:p w:rsidR="00695310" w:rsidRPr="00D709F8" w:rsidRDefault="00695310" w:rsidP="00A76F8A">
      <w:pPr>
        <w:tabs>
          <w:tab w:val="left" w:pos="-1440"/>
          <w:tab w:val="left" w:pos="-720"/>
        </w:tabs>
        <w:suppressAutoHyphens/>
        <w:spacing w:line="360" w:lineRule="auto"/>
        <w:ind w:right="40"/>
        <w:rPr>
          <w:sz w:val="26"/>
        </w:rPr>
      </w:pPr>
    </w:p>
    <w:p w:rsidR="00695310" w:rsidRPr="00D709F8" w:rsidRDefault="00695310" w:rsidP="00A76F8A">
      <w:pPr>
        <w:tabs>
          <w:tab w:val="left" w:pos="-1440"/>
          <w:tab w:val="left" w:pos="-720"/>
        </w:tabs>
        <w:suppressAutoHyphens/>
        <w:spacing w:line="360" w:lineRule="auto"/>
        <w:ind w:right="40"/>
        <w:rPr>
          <w:sz w:val="26"/>
        </w:rPr>
      </w:pPr>
      <w:r w:rsidRPr="00D709F8">
        <w:rPr>
          <w:sz w:val="26"/>
        </w:rPr>
        <w:tab/>
      </w:r>
      <w:r w:rsidRPr="00D709F8">
        <w:rPr>
          <w:sz w:val="26"/>
        </w:rPr>
        <w:tab/>
      </w:r>
      <w:r w:rsidR="00D762A6">
        <w:rPr>
          <w:sz w:val="26"/>
        </w:rPr>
        <w:t>In response, Aqua merely stated</w:t>
      </w:r>
      <w:r w:rsidRPr="00D709F8">
        <w:rPr>
          <w:sz w:val="26"/>
        </w:rPr>
        <w:t xml:space="preserve"> that cost of construction for investment property that is used and useful for utility service is considered part of </w:t>
      </w:r>
      <w:r w:rsidR="00AA5293">
        <w:rPr>
          <w:sz w:val="26"/>
        </w:rPr>
        <w:t xml:space="preserve">the </w:t>
      </w:r>
      <w:r w:rsidRPr="00D709F8">
        <w:rPr>
          <w:sz w:val="26"/>
        </w:rPr>
        <w:t>cost of service.  Aqua R.B. at 5.  Aqua contends that</w:t>
      </w:r>
      <w:r w:rsidR="00D92155">
        <w:rPr>
          <w:sz w:val="26"/>
        </w:rPr>
        <w:t xml:space="preserve"> it is permitted to recoup the</w:t>
      </w:r>
      <w:r w:rsidRPr="00D709F8">
        <w:rPr>
          <w:sz w:val="26"/>
        </w:rPr>
        <w:t xml:space="preserve"> costs of construction at issue. </w:t>
      </w:r>
    </w:p>
    <w:p w:rsidR="00E9714C" w:rsidRDefault="00E9714C" w:rsidP="00A76F8A">
      <w:pPr>
        <w:spacing w:line="360" w:lineRule="auto"/>
        <w:rPr>
          <w:sz w:val="26"/>
          <w:szCs w:val="26"/>
        </w:rPr>
      </w:pPr>
    </w:p>
    <w:p w:rsidR="00D762A6" w:rsidRDefault="00D762A6" w:rsidP="00A76F8A">
      <w:pPr>
        <w:pStyle w:val="Heading4"/>
      </w:pPr>
      <w:bookmarkStart w:id="30" w:name="_Toc264354765"/>
      <w:r w:rsidRPr="00F97103">
        <w:t>b.</w:t>
      </w:r>
      <w:r w:rsidRPr="00F97103">
        <w:tab/>
        <w:t>ALJ’s Recommendation</w:t>
      </w:r>
      <w:bookmarkEnd w:id="30"/>
    </w:p>
    <w:p w:rsidR="002A541C" w:rsidRDefault="002A541C" w:rsidP="00A76F8A">
      <w:pPr>
        <w:tabs>
          <w:tab w:val="left" w:pos="-1440"/>
          <w:tab w:val="left" w:pos="-720"/>
        </w:tabs>
        <w:suppressAutoHyphens/>
        <w:spacing w:line="360" w:lineRule="auto"/>
        <w:ind w:right="40"/>
        <w:rPr>
          <w:spacing w:val="-3"/>
        </w:rPr>
      </w:pPr>
    </w:p>
    <w:p w:rsidR="002A541C" w:rsidRPr="002A541C" w:rsidRDefault="002A541C" w:rsidP="00A76F8A">
      <w:pPr>
        <w:tabs>
          <w:tab w:val="left" w:pos="-1440"/>
          <w:tab w:val="left" w:pos="-720"/>
        </w:tabs>
        <w:suppressAutoHyphens/>
        <w:spacing w:line="360" w:lineRule="auto"/>
        <w:ind w:right="40"/>
        <w:rPr>
          <w:spacing w:val="-3"/>
          <w:sz w:val="26"/>
        </w:rPr>
      </w:pPr>
      <w:r>
        <w:rPr>
          <w:spacing w:val="-3"/>
        </w:rPr>
        <w:tab/>
      </w:r>
      <w:r>
        <w:rPr>
          <w:spacing w:val="-3"/>
        </w:rPr>
        <w:tab/>
      </w:r>
      <w:r w:rsidRPr="002A541C">
        <w:rPr>
          <w:spacing w:val="-3"/>
          <w:sz w:val="26"/>
        </w:rPr>
        <w:t xml:space="preserve">ALJ Jones </w:t>
      </w:r>
      <w:r>
        <w:rPr>
          <w:spacing w:val="-3"/>
          <w:sz w:val="26"/>
        </w:rPr>
        <w:t xml:space="preserve">stated that </w:t>
      </w:r>
      <w:r w:rsidRPr="002A541C">
        <w:rPr>
          <w:spacing w:val="-3"/>
          <w:sz w:val="26"/>
        </w:rPr>
        <w:t xml:space="preserve">Aqua is correct in noting that </w:t>
      </w:r>
      <w:r w:rsidR="00AA5293">
        <w:rPr>
          <w:spacing w:val="-3"/>
          <w:sz w:val="26"/>
        </w:rPr>
        <w:t xml:space="preserve">the </w:t>
      </w:r>
      <w:r w:rsidRPr="002A541C">
        <w:rPr>
          <w:spacing w:val="-3"/>
          <w:sz w:val="26"/>
        </w:rPr>
        <w:t xml:space="preserve">cost of construction is encompassed in cost of service related to fire hydrants.  </w:t>
      </w:r>
      <w:r>
        <w:rPr>
          <w:spacing w:val="-3"/>
          <w:sz w:val="26"/>
        </w:rPr>
        <w:t>Pursuant to Section 1102(a)(3) of the Code, c</w:t>
      </w:r>
      <w:r w:rsidRPr="002A541C">
        <w:rPr>
          <w:spacing w:val="-3"/>
          <w:sz w:val="26"/>
        </w:rPr>
        <w:t xml:space="preserve">osts for equipment </w:t>
      </w:r>
      <w:r>
        <w:rPr>
          <w:spacing w:val="-3"/>
          <w:sz w:val="26"/>
        </w:rPr>
        <w:t>“</w:t>
      </w:r>
      <w:r w:rsidRPr="002A541C">
        <w:rPr>
          <w:spacing w:val="-3"/>
          <w:sz w:val="26"/>
        </w:rPr>
        <w:t>used and useful</w:t>
      </w:r>
      <w:r>
        <w:rPr>
          <w:spacing w:val="-3"/>
          <w:sz w:val="26"/>
        </w:rPr>
        <w:t>”</w:t>
      </w:r>
      <w:r w:rsidRPr="002A541C">
        <w:rPr>
          <w:spacing w:val="-3"/>
          <w:sz w:val="26"/>
        </w:rPr>
        <w:t xml:space="preserve"> for the service provided by the utility are cons</w:t>
      </w:r>
      <w:r>
        <w:rPr>
          <w:spacing w:val="-3"/>
          <w:sz w:val="26"/>
        </w:rPr>
        <w:t xml:space="preserve">idered in the cost of service.  </w:t>
      </w:r>
      <w:r w:rsidR="00332822">
        <w:rPr>
          <w:spacing w:val="-3"/>
          <w:sz w:val="26"/>
        </w:rPr>
        <w:t>The ALJ noted that “used and useful</w:t>
      </w:r>
      <w:r w:rsidRPr="002A541C">
        <w:rPr>
          <w:spacing w:val="-3"/>
          <w:sz w:val="26"/>
        </w:rPr>
        <w:t xml:space="preserve">” </w:t>
      </w:r>
      <w:r w:rsidR="00332822">
        <w:rPr>
          <w:spacing w:val="-3"/>
          <w:sz w:val="26"/>
        </w:rPr>
        <w:t xml:space="preserve">is a term of art </w:t>
      </w:r>
      <w:r w:rsidR="00AA5293">
        <w:rPr>
          <w:spacing w:val="-3"/>
          <w:sz w:val="26"/>
        </w:rPr>
        <w:t xml:space="preserve">indicative of </w:t>
      </w:r>
      <w:r w:rsidR="00332822">
        <w:rPr>
          <w:spacing w:val="-3"/>
          <w:sz w:val="26"/>
        </w:rPr>
        <w:t>whether the cost is considered worthy to be reimbursed because of the devotion of the pertinent asset to service of the public</w:t>
      </w:r>
      <w:r w:rsidRPr="002A541C">
        <w:rPr>
          <w:spacing w:val="-3"/>
          <w:sz w:val="26"/>
        </w:rPr>
        <w:t>.</w:t>
      </w:r>
      <w:r w:rsidR="005E4243">
        <w:rPr>
          <w:spacing w:val="-3"/>
          <w:sz w:val="26"/>
        </w:rPr>
        <w:t xml:space="preserve">  R.D. at 35-36.</w:t>
      </w:r>
      <w:r w:rsidRPr="002A541C">
        <w:rPr>
          <w:spacing w:val="-3"/>
          <w:sz w:val="26"/>
        </w:rPr>
        <w:t xml:space="preserve">  </w:t>
      </w:r>
    </w:p>
    <w:p w:rsidR="002A541C" w:rsidRPr="002A541C" w:rsidRDefault="002A541C" w:rsidP="00A76F8A">
      <w:pPr>
        <w:tabs>
          <w:tab w:val="left" w:pos="-1440"/>
          <w:tab w:val="left" w:pos="-720"/>
        </w:tabs>
        <w:suppressAutoHyphens/>
        <w:spacing w:line="360" w:lineRule="auto"/>
        <w:ind w:right="40"/>
        <w:rPr>
          <w:spacing w:val="-3"/>
          <w:sz w:val="26"/>
        </w:rPr>
      </w:pPr>
    </w:p>
    <w:p w:rsidR="005E4243" w:rsidRPr="002B770F" w:rsidRDefault="005E4243" w:rsidP="00A76F8A">
      <w:pPr>
        <w:pStyle w:val="Heading4"/>
      </w:pPr>
      <w:bookmarkStart w:id="31" w:name="_Toc264354766"/>
      <w:r w:rsidRPr="002B770F">
        <w:t>c.</w:t>
      </w:r>
      <w:r w:rsidRPr="002B770F">
        <w:tab/>
      </w:r>
      <w:r w:rsidR="00896829">
        <w:t>Disposition</w:t>
      </w:r>
      <w:bookmarkEnd w:id="31"/>
    </w:p>
    <w:p w:rsidR="005E4243" w:rsidRDefault="005E4243" w:rsidP="00A76F8A">
      <w:pPr>
        <w:spacing w:line="360" w:lineRule="auto"/>
        <w:rPr>
          <w:b/>
          <w:sz w:val="26"/>
          <w:szCs w:val="26"/>
        </w:rPr>
      </w:pPr>
    </w:p>
    <w:p w:rsidR="005E4243" w:rsidRPr="00EA00F9" w:rsidRDefault="00EA00F9" w:rsidP="00A76F8A">
      <w:pPr>
        <w:spacing w:line="360" w:lineRule="auto"/>
        <w:rPr>
          <w:sz w:val="26"/>
          <w:szCs w:val="26"/>
        </w:rPr>
      </w:pPr>
      <w:r>
        <w:rPr>
          <w:b/>
          <w:sz w:val="26"/>
          <w:szCs w:val="26"/>
        </w:rPr>
        <w:tab/>
      </w:r>
      <w:r>
        <w:rPr>
          <w:b/>
          <w:sz w:val="26"/>
          <w:szCs w:val="26"/>
        </w:rPr>
        <w:tab/>
      </w:r>
      <w:r w:rsidRPr="00EA00F9">
        <w:rPr>
          <w:sz w:val="26"/>
          <w:szCs w:val="26"/>
        </w:rPr>
        <w:t>No Party</w:t>
      </w:r>
      <w:r w:rsidR="00AE53A3">
        <w:rPr>
          <w:sz w:val="26"/>
          <w:szCs w:val="26"/>
        </w:rPr>
        <w:t xml:space="preserve"> excepts to the ALJ’s recommendation on this issue.  As such, and finding that recommendation to be otherwise reasonable, it is adopted.</w:t>
      </w:r>
    </w:p>
    <w:p w:rsidR="00AE53A3" w:rsidRDefault="00AE53A3" w:rsidP="00A76F8A">
      <w:pPr>
        <w:pStyle w:val="Heading3"/>
      </w:pPr>
    </w:p>
    <w:p w:rsidR="00C27AF9" w:rsidRPr="003B2621" w:rsidRDefault="00424827" w:rsidP="00424827">
      <w:pPr>
        <w:pStyle w:val="Heading3"/>
      </w:pPr>
      <w:r>
        <w:lastRenderedPageBreak/>
        <w:br/>
      </w:r>
      <w:r>
        <w:tab/>
      </w:r>
      <w:bookmarkStart w:id="32" w:name="_Toc264354767"/>
      <w:r w:rsidR="00C27AF9">
        <w:t>6</w:t>
      </w:r>
      <w:r w:rsidR="00C27AF9" w:rsidRPr="003B2621">
        <w:t>.</w:t>
      </w:r>
      <w:r w:rsidR="00C27AF9">
        <w:tab/>
      </w:r>
      <w:r w:rsidR="009A1CD7">
        <w:t>D</w:t>
      </w:r>
      <w:r w:rsidR="00515BF6">
        <w:t>SIC</w:t>
      </w:r>
      <w:r w:rsidR="009A1CD7">
        <w:t xml:space="preserve"> Proceeds without approval by the Commission</w:t>
      </w:r>
      <w:bookmarkEnd w:id="32"/>
      <w:r w:rsidR="00C27AF9" w:rsidRPr="003B2621">
        <w:tab/>
      </w:r>
    </w:p>
    <w:p w:rsidR="00E9714C" w:rsidRDefault="00E9714C" w:rsidP="00A76F8A">
      <w:pPr>
        <w:spacing w:line="360" w:lineRule="auto"/>
        <w:rPr>
          <w:sz w:val="26"/>
          <w:szCs w:val="26"/>
        </w:rPr>
      </w:pPr>
    </w:p>
    <w:p w:rsidR="009A1CD7" w:rsidRDefault="0096672A" w:rsidP="00A76F8A">
      <w:pPr>
        <w:pStyle w:val="Heading4"/>
      </w:pPr>
      <w:bookmarkStart w:id="33" w:name="_Toc264354768"/>
      <w:r>
        <w:t>a.</w:t>
      </w:r>
      <w:r>
        <w:tab/>
      </w:r>
      <w:r w:rsidR="009A1CD7" w:rsidRPr="003E23C5">
        <w:t>Positions of the Parties</w:t>
      </w:r>
      <w:bookmarkEnd w:id="33"/>
    </w:p>
    <w:p w:rsidR="00E9714C" w:rsidRDefault="00E9714C" w:rsidP="00A76F8A">
      <w:pPr>
        <w:spacing w:line="360" w:lineRule="auto"/>
        <w:rPr>
          <w:sz w:val="26"/>
          <w:szCs w:val="26"/>
        </w:rPr>
      </w:pPr>
    </w:p>
    <w:p w:rsidR="00D6783E" w:rsidRPr="00B00C2A" w:rsidRDefault="00BC3C03" w:rsidP="00A76F8A">
      <w:pPr>
        <w:tabs>
          <w:tab w:val="left" w:pos="-1440"/>
          <w:tab w:val="left" w:pos="-720"/>
        </w:tabs>
        <w:suppressAutoHyphens/>
        <w:spacing w:line="360" w:lineRule="auto"/>
        <w:ind w:firstLine="1440"/>
        <w:rPr>
          <w:spacing w:val="-3"/>
          <w:sz w:val="26"/>
        </w:rPr>
      </w:pPr>
      <w:r>
        <w:rPr>
          <w:spacing w:val="-3"/>
          <w:sz w:val="26"/>
        </w:rPr>
        <w:t>Dr. Briskin asserted that</w:t>
      </w:r>
      <w:r w:rsidR="002D64C5">
        <w:rPr>
          <w:spacing w:val="-3"/>
          <w:sz w:val="26"/>
        </w:rPr>
        <w:t xml:space="preserve"> the record evidence fails</w:t>
      </w:r>
      <w:r w:rsidR="00D6783E" w:rsidRPr="00B00C2A">
        <w:rPr>
          <w:spacing w:val="-3"/>
          <w:sz w:val="26"/>
        </w:rPr>
        <w:t xml:space="preserve"> to show a comprehensive plan</w:t>
      </w:r>
      <w:r w:rsidR="004E4051">
        <w:rPr>
          <w:spacing w:val="-3"/>
          <w:sz w:val="26"/>
        </w:rPr>
        <w:t xml:space="preserve">, approved by the Commission, </w:t>
      </w:r>
      <w:r w:rsidR="00D6783E" w:rsidRPr="00B00C2A">
        <w:rPr>
          <w:spacing w:val="-3"/>
          <w:sz w:val="26"/>
        </w:rPr>
        <w:t xml:space="preserve">for </w:t>
      </w:r>
      <w:r w:rsidR="004E4051">
        <w:rPr>
          <w:spacing w:val="-3"/>
          <w:sz w:val="26"/>
        </w:rPr>
        <w:t xml:space="preserve">the sum of </w:t>
      </w:r>
      <w:r w:rsidR="00D6783E" w:rsidRPr="00B00C2A">
        <w:rPr>
          <w:spacing w:val="-3"/>
          <w:sz w:val="26"/>
        </w:rPr>
        <w:t>$500 million spent by Aqua</w:t>
      </w:r>
      <w:r w:rsidR="004E4051">
        <w:rPr>
          <w:spacing w:val="-3"/>
          <w:sz w:val="26"/>
        </w:rPr>
        <w:t>.  That sum</w:t>
      </w:r>
      <w:r w:rsidR="00D6783E" w:rsidRPr="00B00C2A">
        <w:rPr>
          <w:spacing w:val="-3"/>
          <w:sz w:val="26"/>
        </w:rPr>
        <w:t xml:space="preserve"> increased the Company’s physical assets by</w:t>
      </w:r>
      <w:r w:rsidR="004E4051">
        <w:rPr>
          <w:spacing w:val="-3"/>
          <w:sz w:val="26"/>
        </w:rPr>
        <w:t xml:space="preserve"> 24.8% in less than two years.  </w:t>
      </w:r>
      <w:r w:rsidR="00D6783E" w:rsidRPr="00B00C2A">
        <w:rPr>
          <w:spacing w:val="-3"/>
          <w:sz w:val="26"/>
        </w:rPr>
        <w:t>Briskin</w:t>
      </w:r>
      <w:r w:rsidR="004E4051">
        <w:rPr>
          <w:spacing w:val="-3"/>
          <w:sz w:val="26"/>
        </w:rPr>
        <w:t xml:space="preserve"> R.B. at 4.  Dr. Briskin implied</w:t>
      </w:r>
      <w:r w:rsidR="00D6783E" w:rsidRPr="00B00C2A">
        <w:rPr>
          <w:spacing w:val="-3"/>
          <w:sz w:val="26"/>
        </w:rPr>
        <w:t xml:space="preserve"> that a comprehensive plan of spending the DSIC proceeds is required by Section 1307(g) of the Code.  </w:t>
      </w:r>
      <w:r w:rsidR="00561511">
        <w:rPr>
          <w:spacing w:val="-3"/>
          <w:sz w:val="26"/>
        </w:rPr>
        <w:t>He also stated</w:t>
      </w:r>
      <w:r w:rsidR="00D6783E" w:rsidRPr="00B00C2A">
        <w:rPr>
          <w:spacing w:val="-3"/>
          <w:sz w:val="26"/>
        </w:rPr>
        <w:t xml:space="preserve"> that the “DSIC reimbursement should be </w:t>
      </w:r>
      <w:r w:rsidR="00561511">
        <w:rPr>
          <w:spacing w:val="-3"/>
          <w:sz w:val="26"/>
        </w:rPr>
        <w:t xml:space="preserve">applied toward customer refunds” and he concluded that, </w:t>
      </w:r>
      <w:r w:rsidR="00D6783E" w:rsidRPr="00B00C2A">
        <w:rPr>
          <w:spacing w:val="-3"/>
          <w:sz w:val="26"/>
        </w:rPr>
        <w:t>because there is no record evidence of spending th</w:t>
      </w:r>
      <w:r w:rsidR="00006D35">
        <w:rPr>
          <w:spacing w:val="-3"/>
          <w:sz w:val="26"/>
        </w:rPr>
        <w:t xml:space="preserve">e DSIC proceeds, the violation </w:t>
      </w:r>
      <w:r w:rsidR="00D6783E" w:rsidRPr="00B00C2A">
        <w:rPr>
          <w:spacing w:val="-3"/>
          <w:sz w:val="26"/>
        </w:rPr>
        <w:t>o</w:t>
      </w:r>
      <w:r w:rsidR="00006D35">
        <w:rPr>
          <w:spacing w:val="-3"/>
          <w:sz w:val="26"/>
        </w:rPr>
        <w:t>f</w:t>
      </w:r>
      <w:r w:rsidR="00D6783E" w:rsidRPr="00B00C2A">
        <w:rPr>
          <w:spacing w:val="-3"/>
          <w:sz w:val="26"/>
        </w:rPr>
        <w:t xml:space="preserve"> the statute is evident.</w:t>
      </w:r>
      <w:r w:rsidR="00561511">
        <w:rPr>
          <w:spacing w:val="-3"/>
          <w:sz w:val="26"/>
        </w:rPr>
        <w:t xml:space="preserve">  Diskin R.B. at 4.</w:t>
      </w:r>
    </w:p>
    <w:p w:rsidR="00D6783E" w:rsidRPr="00B00C2A" w:rsidRDefault="00D6783E" w:rsidP="00A76F8A">
      <w:pPr>
        <w:tabs>
          <w:tab w:val="left" w:pos="-1440"/>
          <w:tab w:val="left" w:pos="-720"/>
        </w:tabs>
        <w:suppressAutoHyphens/>
        <w:spacing w:line="360" w:lineRule="auto"/>
        <w:ind w:right="40" w:firstLine="1440"/>
        <w:rPr>
          <w:spacing w:val="-3"/>
          <w:sz w:val="26"/>
        </w:rPr>
      </w:pPr>
    </w:p>
    <w:p w:rsidR="00D6783E" w:rsidRPr="00B00C2A" w:rsidRDefault="00D6783E" w:rsidP="00A76F8A">
      <w:pPr>
        <w:tabs>
          <w:tab w:val="left" w:pos="-1440"/>
          <w:tab w:val="left" w:pos="-720"/>
        </w:tabs>
        <w:suppressAutoHyphens/>
        <w:spacing w:line="360" w:lineRule="auto"/>
        <w:ind w:firstLine="1440"/>
        <w:rPr>
          <w:spacing w:val="-3"/>
          <w:sz w:val="26"/>
        </w:rPr>
      </w:pPr>
      <w:r w:rsidRPr="00B00C2A">
        <w:rPr>
          <w:spacing w:val="-3"/>
          <w:sz w:val="26"/>
        </w:rPr>
        <w:t xml:space="preserve">This issue was </w:t>
      </w:r>
      <w:r w:rsidR="00561511">
        <w:rPr>
          <w:spacing w:val="-3"/>
          <w:sz w:val="26"/>
        </w:rPr>
        <w:t xml:space="preserve">first </w:t>
      </w:r>
      <w:r w:rsidRPr="00B00C2A">
        <w:rPr>
          <w:spacing w:val="-3"/>
          <w:sz w:val="26"/>
        </w:rPr>
        <w:t xml:space="preserve">raised in the Reply Brief claiming to be in </w:t>
      </w:r>
      <w:r w:rsidR="00561511">
        <w:rPr>
          <w:spacing w:val="-3"/>
          <w:sz w:val="26"/>
        </w:rPr>
        <w:t>response to Aqua’s Main Brief.  However, t</w:t>
      </w:r>
      <w:r w:rsidRPr="00B00C2A">
        <w:rPr>
          <w:spacing w:val="-3"/>
          <w:sz w:val="26"/>
        </w:rPr>
        <w:t xml:space="preserve">he Joint Parties </w:t>
      </w:r>
      <w:r w:rsidR="00561511">
        <w:rPr>
          <w:spacing w:val="-3"/>
          <w:sz w:val="26"/>
        </w:rPr>
        <w:t>could not respond to this argument because it was raised for the first time</w:t>
      </w:r>
      <w:r w:rsidR="003410EE">
        <w:rPr>
          <w:spacing w:val="-3"/>
          <w:sz w:val="26"/>
        </w:rPr>
        <w:t xml:space="preserve"> </w:t>
      </w:r>
      <w:r w:rsidRPr="00B00C2A">
        <w:rPr>
          <w:spacing w:val="-3"/>
          <w:sz w:val="26"/>
        </w:rPr>
        <w:t xml:space="preserve">in </w:t>
      </w:r>
      <w:r w:rsidR="003410EE">
        <w:rPr>
          <w:spacing w:val="-3"/>
          <w:sz w:val="26"/>
        </w:rPr>
        <w:t xml:space="preserve">Dr. Briskin’s </w:t>
      </w:r>
      <w:r w:rsidRPr="00B00C2A">
        <w:rPr>
          <w:spacing w:val="-3"/>
          <w:sz w:val="26"/>
        </w:rPr>
        <w:t xml:space="preserve">Reply Brief.  </w:t>
      </w:r>
    </w:p>
    <w:p w:rsidR="00E9714C" w:rsidRDefault="00E9714C" w:rsidP="00A76F8A">
      <w:pPr>
        <w:spacing w:line="360" w:lineRule="auto"/>
        <w:rPr>
          <w:sz w:val="26"/>
          <w:szCs w:val="26"/>
        </w:rPr>
      </w:pPr>
    </w:p>
    <w:p w:rsidR="0022669B" w:rsidRDefault="0096672A" w:rsidP="00A76F8A">
      <w:pPr>
        <w:pStyle w:val="Heading4"/>
      </w:pPr>
      <w:bookmarkStart w:id="34" w:name="_Toc264354769"/>
      <w:r>
        <w:t>b</w:t>
      </w:r>
      <w:r w:rsidR="0022669B" w:rsidRPr="00F97103">
        <w:t>.</w:t>
      </w:r>
      <w:r w:rsidR="0022669B" w:rsidRPr="00F97103">
        <w:tab/>
        <w:t>ALJ’s Recommendation</w:t>
      </w:r>
      <w:bookmarkEnd w:id="34"/>
    </w:p>
    <w:p w:rsidR="00681302" w:rsidRDefault="00681302" w:rsidP="00A76F8A">
      <w:pPr>
        <w:tabs>
          <w:tab w:val="left" w:pos="-1440"/>
          <w:tab w:val="left" w:pos="-720"/>
        </w:tabs>
        <w:suppressAutoHyphens/>
        <w:spacing w:line="360" w:lineRule="auto"/>
        <w:ind w:firstLine="1440"/>
        <w:rPr>
          <w:spacing w:val="-3"/>
        </w:rPr>
      </w:pPr>
    </w:p>
    <w:p w:rsidR="006B2670" w:rsidRDefault="00681302" w:rsidP="00A76F8A">
      <w:pPr>
        <w:tabs>
          <w:tab w:val="left" w:pos="-1440"/>
          <w:tab w:val="left" w:pos="-720"/>
        </w:tabs>
        <w:suppressAutoHyphens/>
        <w:spacing w:line="360" w:lineRule="auto"/>
        <w:ind w:firstLine="1440"/>
        <w:rPr>
          <w:spacing w:val="-3"/>
          <w:sz w:val="26"/>
          <w:szCs w:val="26"/>
        </w:rPr>
      </w:pPr>
      <w:r>
        <w:rPr>
          <w:spacing w:val="-3"/>
          <w:sz w:val="26"/>
          <w:szCs w:val="26"/>
        </w:rPr>
        <w:t>ALJ Jones noted initially that Dr. Briskin was</w:t>
      </w:r>
      <w:r w:rsidRPr="00681302">
        <w:rPr>
          <w:spacing w:val="-3"/>
          <w:sz w:val="26"/>
          <w:szCs w:val="26"/>
        </w:rPr>
        <w:t xml:space="preserve"> procedurally out-of-order in raising an issue for the first time in </w:t>
      </w:r>
      <w:r w:rsidR="00D260B6">
        <w:rPr>
          <w:spacing w:val="-3"/>
          <w:sz w:val="26"/>
          <w:szCs w:val="26"/>
        </w:rPr>
        <w:t xml:space="preserve">a </w:t>
      </w:r>
      <w:r w:rsidRPr="00681302">
        <w:rPr>
          <w:spacing w:val="-3"/>
          <w:sz w:val="26"/>
          <w:szCs w:val="26"/>
        </w:rPr>
        <w:t>Reply B</w:t>
      </w:r>
      <w:r>
        <w:rPr>
          <w:spacing w:val="-3"/>
          <w:sz w:val="26"/>
          <w:szCs w:val="26"/>
        </w:rPr>
        <w:t>rief.  She furthermore observed that there was no reason why this issue could not have been raised in Dr. Briskin’s</w:t>
      </w:r>
      <w:r w:rsidRPr="00681302">
        <w:rPr>
          <w:spacing w:val="-3"/>
          <w:sz w:val="26"/>
          <w:szCs w:val="26"/>
        </w:rPr>
        <w:t xml:space="preserve"> Main Brief</w:t>
      </w:r>
      <w:r w:rsidR="006B2670">
        <w:rPr>
          <w:spacing w:val="-3"/>
          <w:sz w:val="26"/>
          <w:szCs w:val="26"/>
        </w:rPr>
        <w:t>, thus</w:t>
      </w:r>
      <w:r w:rsidRPr="00681302">
        <w:rPr>
          <w:spacing w:val="-3"/>
          <w:sz w:val="26"/>
          <w:szCs w:val="26"/>
        </w:rPr>
        <w:t xml:space="preserve"> allow</w:t>
      </w:r>
      <w:r w:rsidR="006B2670">
        <w:rPr>
          <w:spacing w:val="-3"/>
          <w:sz w:val="26"/>
          <w:szCs w:val="26"/>
        </w:rPr>
        <w:t>ing</w:t>
      </w:r>
      <w:r w:rsidRPr="00681302">
        <w:rPr>
          <w:spacing w:val="-3"/>
          <w:sz w:val="26"/>
          <w:szCs w:val="26"/>
        </w:rPr>
        <w:t xml:space="preserve"> due process for the</w:t>
      </w:r>
      <w:r w:rsidR="006B2670">
        <w:rPr>
          <w:spacing w:val="-3"/>
          <w:sz w:val="26"/>
          <w:szCs w:val="26"/>
        </w:rPr>
        <w:t xml:space="preserve"> Company and any other Party to this proceeding</w:t>
      </w:r>
      <w:r w:rsidRPr="00681302">
        <w:rPr>
          <w:spacing w:val="-3"/>
          <w:sz w:val="26"/>
          <w:szCs w:val="26"/>
        </w:rPr>
        <w:t xml:space="preserve"> to respond.  </w:t>
      </w:r>
      <w:r w:rsidR="006B2670">
        <w:rPr>
          <w:spacing w:val="-3"/>
          <w:sz w:val="26"/>
          <w:szCs w:val="26"/>
        </w:rPr>
        <w:t>The ALJ concluded that, due to</w:t>
      </w:r>
      <w:r w:rsidRPr="00681302">
        <w:rPr>
          <w:spacing w:val="-3"/>
          <w:sz w:val="26"/>
          <w:szCs w:val="26"/>
        </w:rPr>
        <w:t xml:space="preserve"> this procedural transgression, the m</w:t>
      </w:r>
      <w:r w:rsidR="006B2670">
        <w:rPr>
          <w:spacing w:val="-3"/>
          <w:sz w:val="26"/>
          <w:szCs w:val="26"/>
        </w:rPr>
        <w:t>atter should not be addressed.  R.D. at 37.</w:t>
      </w:r>
    </w:p>
    <w:p w:rsidR="006B2670" w:rsidRDefault="006B2670" w:rsidP="00A76F8A">
      <w:pPr>
        <w:tabs>
          <w:tab w:val="left" w:pos="-1440"/>
          <w:tab w:val="left" w:pos="-720"/>
        </w:tabs>
        <w:suppressAutoHyphens/>
        <w:spacing w:line="360" w:lineRule="auto"/>
        <w:ind w:firstLine="1440"/>
        <w:rPr>
          <w:spacing w:val="-3"/>
          <w:sz w:val="26"/>
          <w:szCs w:val="26"/>
        </w:rPr>
      </w:pPr>
    </w:p>
    <w:p w:rsidR="00681302" w:rsidRPr="003322F9" w:rsidRDefault="006B2670" w:rsidP="00A76F8A">
      <w:pPr>
        <w:tabs>
          <w:tab w:val="left" w:pos="-1440"/>
          <w:tab w:val="left" w:pos="-720"/>
        </w:tabs>
        <w:suppressAutoHyphens/>
        <w:spacing w:line="360" w:lineRule="auto"/>
        <w:ind w:firstLine="1440"/>
        <w:rPr>
          <w:spacing w:val="-3"/>
          <w:sz w:val="26"/>
        </w:rPr>
      </w:pPr>
      <w:r>
        <w:rPr>
          <w:spacing w:val="-3"/>
          <w:sz w:val="26"/>
          <w:szCs w:val="26"/>
        </w:rPr>
        <w:t xml:space="preserve">ALJ Jones did, however, in an abundance of caution, outline the counter-arguments to Dr. Briskin’s assertions on this issue.  </w:t>
      </w:r>
      <w:r w:rsidR="00D260B6">
        <w:rPr>
          <w:spacing w:val="-3"/>
          <w:sz w:val="26"/>
          <w:szCs w:val="26"/>
        </w:rPr>
        <w:t xml:space="preserve">R.D. at </w:t>
      </w:r>
      <w:r>
        <w:rPr>
          <w:spacing w:val="-3"/>
          <w:sz w:val="26"/>
          <w:szCs w:val="26"/>
        </w:rPr>
        <w:t>37-</w:t>
      </w:r>
      <w:r w:rsidR="003322F9">
        <w:rPr>
          <w:spacing w:val="-3"/>
          <w:sz w:val="26"/>
          <w:szCs w:val="26"/>
        </w:rPr>
        <w:t>38.</w:t>
      </w:r>
      <w:r w:rsidR="00206F85">
        <w:rPr>
          <w:spacing w:val="-3"/>
          <w:sz w:val="26"/>
          <w:szCs w:val="26"/>
        </w:rPr>
        <w:t xml:space="preserve">  She concluded that </w:t>
      </w:r>
      <w:r w:rsidR="00681302" w:rsidRPr="003322F9">
        <w:rPr>
          <w:spacing w:val="-3"/>
          <w:sz w:val="26"/>
        </w:rPr>
        <w:t>there is a Commission approv</w:t>
      </w:r>
      <w:r w:rsidR="00206F85">
        <w:rPr>
          <w:spacing w:val="-3"/>
          <w:sz w:val="26"/>
        </w:rPr>
        <w:t>ed plan for the DSIC proceeds and that</w:t>
      </w:r>
      <w:r w:rsidR="00681302" w:rsidRPr="003322F9">
        <w:rPr>
          <w:spacing w:val="-3"/>
          <w:sz w:val="26"/>
        </w:rPr>
        <w:t xml:space="preserve"> there </w:t>
      </w:r>
      <w:r w:rsidR="00206F85">
        <w:rPr>
          <w:spacing w:val="-3"/>
          <w:sz w:val="26"/>
        </w:rPr>
        <w:t xml:space="preserve">was no evidence </w:t>
      </w:r>
      <w:r w:rsidR="00206F85">
        <w:rPr>
          <w:spacing w:val="-3"/>
          <w:sz w:val="26"/>
        </w:rPr>
        <w:lastRenderedPageBreak/>
        <w:t>presented by Dr. Briskin that that plan wa</w:t>
      </w:r>
      <w:r w:rsidR="00681302" w:rsidRPr="003322F9">
        <w:rPr>
          <w:spacing w:val="-3"/>
          <w:sz w:val="26"/>
        </w:rPr>
        <w:t xml:space="preserve">s not being followed.  To the contrary, </w:t>
      </w:r>
      <w:r w:rsidR="00206F85">
        <w:rPr>
          <w:spacing w:val="-3"/>
          <w:sz w:val="26"/>
        </w:rPr>
        <w:t xml:space="preserve">opined the ALJ, </w:t>
      </w:r>
      <w:r w:rsidR="00681302" w:rsidRPr="003322F9">
        <w:rPr>
          <w:spacing w:val="-3"/>
          <w:sz w:val="26"/>
        </w:rPr>
        <w:t>the Company has provided evidence that t</w:t>
      </w:r>
      <w:r w:rsidR="00206F85">
        <w:rPr>
          <w:spacing w:val="-3"/>
          <w:sz w:val="26"/>
        </w:rPr>
        <w:t xml:space="preserve">he plan is being followed and the </w:t>
      </w:r>
      <w:r w:rsidR="00681302" w:rsidRPr="003322F9">
        <w:rPr>
          <w:spacing w:val="-3"/>
          <w:sz w:val="26"/>
        </w:rPr>
        <w:t>allegation that Aqua has violated Sectio</w:t>
      </w:r>
      <w:r w:rsidR="00206F85">
        <w:rPr>
          <w:spacing w:val="-3"/>
          <w:sz w:val="26"/>
        </w:rPr>
        <w:t xml:space="preserve">n 1307(g) of the </w:t>
      </w:r>
      <w:r w:rsidR="00681302" w:rsidRPr="003322F9">
        <w:rPr>
          <w:spacing w:val="-3"/>
          <w:sz w:val="26"/>
        </w:rPr>
        <w:t xml:space="preserve">Code is </w:t>
      </w:r>
      <w:r w:rsidR="00206F85">
        <w:rPr>
          <w:spacing w:val="-3"/>
          <w:sz w:val="26"/>
        </w:rPr>
        <w:t>not supported.  R.D. at 38.</w:t>
      </w:r>
    </w:p>
    <w:p w:rsidR="00E9714C" w:rsidRDefault="00E9714C" w:rsidP="00A76F8A">
      <w:pPr>
        <w:spacing w:line="360" w:lineRule="auto"/>
        <w:rPr>
          <w:sz w:val="26"/>
          <w:szCs w:val="26"/>
        </w:rPr>
      </w:pPr>
    </w:p>
    <w:p w:rsidR="008E6BBC" w:rsidRPr="002B770F" w:rsidRDefault="0096672A" w:rsidP="00A76F8A">
      <w:pPr>
        <w:pStyle w:val="Heading4"/>
      </w:pPr>
      <w:bookmarkStart w:id="35" w:name="_Toc264354770"/>
      <w:r>
        <w:t>c</w:t>
      </w:r>
      <w:r w:rsidR="008E6BBC" w:rsidRPr="002B770F">
        <w:t>.</w:t>
      </w:r>
      <w:r w:rsidR="008E6BBC" w:rsidRPr="002B770F">
        <w:tab/>
      </w:r>
      <w:r w:rsidR="00896829">
        <w:t>Disposition</w:t>
      </w:r>
      <w:bookmarkEnd w:id="35"/>
    </w:p>
    <w:p w:rsidR="008E6BBC" w:rsidRDefault="008E6BBC" w:rsidP="00A76F8A">
      <w:pPr>
        <w:spacing w:line="360" w:lineRule="auto"/>
        <w:rPr>
          <w:b/>
          <w:sz w:val="26"/>
          <w:szCs w:val="26"/>
        </w:rPr>
      </w:pPr>
    </w:p>
    <w:p w:rsidR="008E6BBC" w:rsidRPr="00095821" w:rsidRDefault="00AE53A3" w:rsidP="00A76F8A">
      <w:pPr>
        <w:spacing w:line="360" w:lineRule="auto"/>
        <w:rPr>
          <w:sz w:val="26"/>
          <w:szCs w:val="26"/>
        </w:rPr>
      </w:pPr>
      <w:r>
        <w:rPr>
          <w:b/>
          <w:sz w:val="26"/>
          <w:szCs w:val="26"/>
        </w:rPr>
        <w:tab/>
      </w:r>
      <w:r>
        <w:rPr>
          <w:b/>
          <w:sz w:val="26"/>
          <w:szCs w:val="26"/>
        </w:rPr>
        <w:tab/>
      </w:r>
      <w:r w:rsidRPr="00095821">
        <w:rPr>
          <w:sz w:val="26"/>
          <w:szCs w:val="26"/>
        </w:rPr>
        <w:t>No</w:t>
      </w:r>
      <w:r w:rsidR="00095821" w:rsidRPr="00095821">
        <w:rPr>
          <w:sz w:val="26"/>
          <w:szCs w:val="26"/>
        </w:rPr>
        <w:t xml:space="preserve"> Party</w:t>
      </w:r>
      <w:r w:rsidR="00095821">
        <w:rPr>
          <w:sz w:val="26"/>
          <w:szCs w:val="26"/>
        </w:rPr>
        <w:t xml:space="preserve"> excepts to the ALJ’s recommendation on this issue.  As such, and finding that recommendation to be otherwise reasonable, it is adopted.</w:t>
      </w:r>
    </w:p>
    <w:p w:rsidR="00E9714C" w:rsidRDefault="00E9714C" w:rsidP="00A76F8A">
      <w:pPr>
        <w:spacing w:line="360" w:lineRule="auto"/>
        <w:rPr>
          <w:sz w:val="26"/>
          <w:szCs w:val="26"/>
        </w:rPr>
      </w:pPr>
    </w:p>
    <w:p w:rsidR="00BF0BCC" w:rsidRPr="0096672A" w:rsidRDefault="00BF0BCC" w:rsidP="00A76F8A">
      <w:pPr>
        <w:pStyle w:val="Heading3"/>
      </w:pPr>
      <w:bookmarkStart w:id="36" w:name="_Toc264354771"/>
      <w:r w:rsidRPr="0096672A">
        <w:t>7.</w:t>
      </w:r>
      <w:r w:rsidRPr="0096672A">
        <w:tab/>
        <w:t>Requested Trial by Jury</w:t>
      </w:r>
      <w:bookmarkEnd w:id="36"/>
      <w:r w:rsidRPr="0096672A">
        <w:tab/>
      </w:r>
    </w:p>
    <w:p w:rsidR="00E9714C" w:rsidRDefault="00E9714C" w:rsidP="00A76F8A">
      <w:pPr>
        <w:spacing w:line="360" w:lineRule="auto"/>
        <w:rPr>
          <w:sz w:val="26"/>
          <w:szCs w:val="26"/>
        </w:rPr>
      </w:pPr>
    </w:p>
    <w:p w:rsidR="00BF0BCC" w:rsidRDefault="0096672A" w:rsidP="00A76F8A">
      <w:pPr>
        <w:pStyle w:val="Heading4"/>
      </w:pPr>
      <w:bookmarkStart w:id="37" w:name="_Toc264354772"/>
      <w:r>
        <w:t>a.</w:t>
      </w:r>
      <w:r>
        <w:tab/>
      </w:r>
      <w:r w:rsidR="00BF0BCC" w:rsidRPr="003E23C5">
        <w:t>Positions of the Parties</w:t>
      </w:r>
      <w:bookmarkEnd w:id="37"/>
    </w:p>
    <w:p w:rsidR="00E9714C" w:rsidRDefault="00E9714C" w:rsidP="00A76F8A">
      <w:pPr>
        <w:spacing w:line="360" w:lineRule="auto"/>
        <w:rPr>
          <w:sz w:val="26"/>
          <w:szCs w:val="26"/>
        </w:rPr>
      </w:pPr>
    </w:p>
    <w:p w:rsidR="00B015E6" w:rsidRPr="00D510B6" w:rsidRDefault="00B015E6" w:rsidP="00A76F8A">
      <w:pPr>
        <w:tabs>
          <w:tab w:val="left" w:pos="-1440"/>
          <w:tab w:val="left" w:pos="-720"/>
        </w:tabs>
        <w:suppressAutoHyphens/>
        <w:spacing w:line="360" w:lineRule="auto"/>
        <w:ind w:firstLine="1440"/>
        <w:rPr>
          <w:spacing w:val="-3"/>
          <w:sz w:val="26"/>
        </w:rPr>
      </w:pPr>
      <w:r w:rsidRPr="00D510B6">
        <w:rPr>
          <w:spacing w:val="-3"/>
          <w:sz w:val="26"/>
        </w:rPr>
        <w:t>Dr. Briskin requested a trial by jury</w:t>
      </w:r>
      <w:r w:rsidR="00575290">
        <w:rPr>
          <w:spacing w:val="-3"/>
          <w:sz w:val="26"/>
        </w:rPr>
        <w:t>, which, he asserted would be</w:t>
      </w:r>
      <w:r w:rsidR="00D260B6">
        <w:rPr>
          <w:spacing w:val="-3"/>
          <w:sz w:val="26"/>
        </w:rPr>
        <w:t xml:space="preserve"> in compliance with</w:t>
      </w:r>
      <w:r w:rsidRPr="00D510B6">
        <w:rPr>
          <w:spacing w:val="-3"/>
          <w:sz w:val="26"/>
        </w:rPr>
        <w:t xml:space="preserve"> 66 Pa.</w:t>
      </w:r>
      <w:r w:rsidR="00D260B6">
        <w:rPr>
          <w:spacing w:val="-3"/>
          <w:sz w:val="26"/>
        </w:rPr>
        <w:t xml:space="preserve"> </w:t>
      </w:r>
      <w:r w:rsidRPr="00D510B6">
        <w:rPr>
          <w:spacing w:val="-3"/>
          <w:sz w:val="26"/>
        </w:rPr>
        <w:t xml:space="preserve">C.S. § 901.  He first made the request known in his Main Brief filed on April 29, 2010.  Briskin M.B. at 3, 11.  Dr. Briskin stated there are factual issues in dispute in this proceeding to which a jury trial should address.  Briskin R.B. at 4-5. </w:t>
      </w:r>
    </w:p>
    <w:p w:rsidR="00B015E6" w:rsidRPr="00D510B6" w:rsidRDefault="00B015E6" w:rsidP="00A76F8A">
      <w:pPr>
        <w:tabs>
          <w:tab w:val="left" w:pos="-1440"/>
          <w:tab w:val="left" w:pos="-720"/>
        </w:tabs>
        <w:suppressAutoHyphens/>
        <w:spacing w:line="360" w:lineRule="auto"/>
        <w:ind w:firstLine="1440"/>
        <w:rPr>
          <w:sz w:val="26"/>
        </w:rPr>
      </w:pPr>
    </w:p>
    <w:p w:rsidR="00B015E6" w:rsidRDefault="00B015E6" w:rsidP="00A76F8A">
      <w:pPr>
        <w:tabs>
          <w:tab w:val="left" w:pos="-1440"/>
          <w:tab w:val="left" w:pos="-720"/>
        </w:tabs>
        <w:suppressAutoHyphens/>
        <w:spacing w:line="360" w:lineRule="auto"/>
        <w:ind w:firstLine="1440"/>
        <w:rPr>
          <w:sz w:val="26"/>
        </w:rPr>
      </w:pPr>
      <w:r w:rsidRPr="00D510B6">
        <w:rPr>
          <w:sz w:val="26"/>
        </w:rPr>
        <w:t xml:space="preserve">Section 901 of </w:t>
      </w:r>
      <w:r w:rsidR="00D260B6">
        <w:rPr>
          <w:sz w:val="26"/>
        </w:rPr>
        <w:t xml:space="preserve">the </w:t>
      </w:r>
      <w:r w:rsidR="00575290">
        <w:rPr>
          <w:sz w:val="26"/>
        </w:rPr>
        <w:t>Code reads as follows:</w:t>
      </w:r>
    </w:p>
    <w:p w:rsidR="00575290" w:rsidRPr="00D510B6" w:rsidRDefault="00575290" w:rsidP="00A76F8A">
      <w:pPr>
        <w:tabs>
          <w:tab w:val="left" w:pos="-1440"/>
          <w:tab w:val="left" w:pos="-720"/>
        </w:tabs>
        <w:suppressAutoHyphens/>
        <w:spacing w:line="360" w:lineRule="auto"/>
        <w:ind w:firstLine="1440"/>
        <w:rPr>
          <w:sz w:val="26"/>
        </w:rPr>
      </w:pPr>
    </w:p>
    <w:p w:rsidR="00B015E6" w:rsidRPr="00D510B6" w:rsidRDefault="00B015E6" w:rsidP="00A76F8A">
      <w:pPr>
        <w:tabs>
          <w:tab w:val="left" w:pos="-1440"/>
          <w:tab w:val="left" w:pos="-720"/>
        </w:tabs>
        <w:suppressAutoHyphens/>
        <w:ind w:left="1440" w:right="1350"/>
        <w:rPr>
          <w:sz w:val="26"/>
        </w:rPr>
      </w:pPr>
      <w:r w:rsidRPr="00D510B6">
        <w:rPr>
          <w:b/>
          <w:sz w:val="26"/>
        </w:rPr>
        <w:t xml:space="preserve">§ </w:t>
      </w:r>
      <w:r w:rsidRPr="00D510B6">
        <w:rPr>
          <w:rStyle w:val="term1"/>
          <w:sz w:val="26"/>
        </w:rPr>
        <w:t>901.</w:t>
      </w:r>
      <w:r w:rsidRPr="00D510B6">
        <w:rPr>
          <w:b/>
          <w:sz w:val="26"/>
        </w:rPr>
        <w:t>  Right to trial by jury</w:t>
      </w:r>
      <w:r w:rsidRPr="00D510B6">
        <w:rPr>
          <w:sz w:val="26"/>
        </w:rPr>
        <w:br/>
      </w:r>
    </w:p>
    <w:p w:rsidR="00B015E6" w:rsidRPr="00D510B6" w:rsidRDefault="00B015E6" w:rsidP="00A76F8A">
      <w:pPr>
        <w:tabs>
          <w:tab w:val="left" w:pos="-1440"/>
          <w:tab w:val="left" w:pos="-720"/>
        </w:tabs>
        <w:suppressAutoHyphens/>
        <w:ind w:left="1440" w:right="1440"/>
        <w:rPr>
          <w:sz w:val="26"/>
        </w:rPr>
      </w:pPr>
      <w:r w:rsidRPr="00D510B6">
        <w:rPr>
          <w:sz w:val="26"/>
        </w:rPr>
        <w:t>Nothing in this part shall be construed to deprive any party, upon any judicial review of the proceedings and orders of the commission, of the right to trial by jury of any issue of fact raised thereby or therein, where such right is secured either by the Constitution of Pennsylvania or the Constitution of the United States, but in every such case such right of trial by jury shall remain inviolate. When any judicial review is sought, such right shall be deemed to be waived upon all issues, unless expressly reserved in such manner as shall be prescribed by the court.</w:t>
      </w:r>
    </w:p>
    <w:p w:rsidR="00B015E6" w:rsidRPr="00D510B6" w:rsidRDefault="00B015E6" w:rsidP="00424827">
      <w:pPr>
        <w:tabs>
          <w:tab w:val="left" w:pos="-1440"/>
          <w:tab w:val="left" w:pos="-720"/>
        </w:tabs>
        <w:suppressAutoHyphens/>
        <w:spacing w:line="360" w:lineRule="auto"/>
        <w:ind w:left="1440" w:right="1354"/>
        <w:rPr>
          <w:sz w:val="26"/>
        </w:rPr>
      </w:pPr>
    </w:p>
    <w:p w:rsidR="00B015E6" w:rsidRPr="00D510B6" w:rsidRDefault="00B015E6" w:rsidP="00A76F8A">
      <w:pPr>
        <w:tabs>
          <w:tab w:val="left" w:pos="-1440"/>
          <w:tab w:val="left" w:pos="-720"/>
        </w:tabs>
        <w:suppressAutoHyphens/>
        <w:ind w:right="1350"/>
        <w:rPr>
          <w:sz w:val="26"/>
        </w:rPr>
      </w:pPr>
      <w:r w:rsidRPr="00D510B6">
        <w:rPr>
          <w:sz w:val="26"/>
        </w:rPr>
        <w:t>66 Pa.</w:t>
      </w:r>
      <w:r w:rsidR="00D260B6">
        <w:rPr>
          <w:sz w:val="26"/>
        </w:rPr>
        <w:t xml:space="preserve"> </w:t>
      </w:r>
      <w:r w:rsidRPr="00D510B6">
        <w:rPr>
          <w:sz w:val="26"/>
        </w:rPr>
        <w:t>C.S. § 901.</w:t>
      </w:r>
    </w:p>
    <w:p w:rsidR="00B015E6" w:rsidRPr="00D510B6" w:rsidRDefault="00B015E6" w:rsidP="00424827">
      <w:pPr>
        <w:tabs>
          <w:tab w:val="left" w:pos="-1440"/>
          <w:tab w:val="left" w:pos="-720"/>
        </w:tabs>
        <w:suppressAutoHyphens/>
        <w:spacing w:line="360" w:lineRule="auto"/>
        <w:ind w:right="1354"/>
        <w:rPr>
          <w:spacing w:val="-3"/>
          <w:sz w:val="26"/>
        </w:rPr>
      </w:pPr>
    </w:p>
    <w:p w:rsidR="00B015E6" w:rsidRPr="00D510B6" w:rsidRDefault="00575290" w:rsidP="00A76F8A">
      <w:pPr>
        <w:tabs>
          <w:tab w:val="left" w:pos="-1440"/>
          <w:tab w:val="left" w:pos="-720"/>
        </w:tabs>
        <w:suppressAutoHyphens/>
        <w:spacing w:line="360" w:lineRule="auto"/>
        <w:ind w:firstLine="1440"/>
        <w:rPr>
          <w:spacing w:val="-3"/>
          <w:sz w:val="26"/>
        </w:rPr>
      </w:pPr>
      <w:r>
        <w:rPr>
          <w:spacing w:val="-3"/>
          <w:sz w:val="26"/>
        </w:rPr>
        <w:t>In response, Aqua asserted that</w:t>
      </w:r>
      <w:r w:rsidR="00B015E6" w:rsidRPr="00D510B6">
        <w:rPr>
          <w:spacing w:val="-3"/>
          <w:sz w:val="26"/>
        </w:rPr>
        <w:t xml:space="preserve"> “section 901…preserves the right to a trial by jury ‘where such right is secured either by the Constitution of Pennsylvania or the Constitution of the United States</w:t>
      </w:r>
      <w:r>
        <w:rPr>
          <w:spacing w:val="-3"/>
          <w:sz w:val="26"/>
        </w:rPr>
        <w:t>’. ”  Aqua R.B. at 5.  Aqua argued</w:t>
      </w:r>
      <w:r w:rsidR="00B015E6" w:rsidRPr="00D510B6">
        <w:rPr>
          <w:spacing w:val="-3"/>
          <w:sz w:val="26"/>
        </w:rPr>
        <w:t xml:space="preserve"> that the U.S. Constitution does not provide for jury </w:t>
      </w:r>
      <w:r w:rsidR="00F16F95">
        <w:rPr>
          <w:spacing w:val="-3"/>
          <w:sz w:val="26"/>
        </w:rPr>
        <w:t>trials in matters before the Commission, and that</w:t>
      </w:r>
      <w:r w:rsidR="00B015E6" w:rsidRPr="00D510B6">
        <w:rPr>
          <w:spacing w:val="-3"/>
          <w:sz w:val="26"/>
        </w:rPr>
        <w:t xml:space="preserve"> neither does the Pennsylvania Constitution</w:t>
      </w:r>
      <w:r w:rsidR="00F16F95">
        <w:rPr>
          <w:spacing w:val="-3"/>
          <w:sz w:val="26"/>
        </w:rPr>
        <w:t>,</w:t>
      </w:r>
      <w:r w:rsidR="00B015E6" w:rsidRPr="00D510B6">
        <w:rPr>
          <w:spacing w:val="-3"/>
          <w:sz w:val="26"/>
        </w:rPr>
        <w:t xml:space="preserve"> which was adopted prior to the </w:t>
      </w:r>
      <w:r w:rsidR="00341F8F">
        <w:rPr>
          <w:spacing w:val="-3"/>
          <w:sz w:val="26"/>
        </w:rPr>
        <w:t>legislation which created the</w:t>
      </w:r>
      <w:r w:rsidR="00814BD6">
        <w:rPr>
          <w:spacing w:val="-3"/>
          <w:sz w:val="26"/>
        </w:rPr>
        <w:t xml:space="preserve"> Public Utility S</w:t>
      </w:r>
      <w:r w:rsidR="00B015E6" w:rsidRPr="00D510B6">
        <w:rPr>
          <w:spacing w:val="-3"/>
          <w:sz w:val="26"/>
        </w:rPr>
        <w:t>ervice</w:t>
      </w:r>
      <w:r w:rsidR="00814BD6">
        <w:rPr>
          <w:spacing w:val="-3"/>
          <w:sz w:val="26"/>
        </w:rPr>
        <w:t xml:space="preserve"> A</w:t>
      </w:r>
      <w:r w:rsidR="0075026D">
        <w:rPr>
          <w:spacing w:val="-3"/>
          <w:sz w:val="26"/>
        </w:rPr>
        <w:t>gency.  The Public Utility S</w:t>
      </w:r>
      <w:r w:rsidR="00B015E6" w:rsidRPr="00D510B6">
        <w:rPr>
          <w:spacing w:val="-3"/>
          <w:sz w:val="26"/>
        </w:rPr>
        <w:t xml:space="preserve">ervice </w:t>
      </w:r>
      <w:r w:rsidR="0075026D">
        <w:rPr>
          <w:spacing w:val="-3"/>
          <w:sz w:val="26"/>
        </w:rPr>
        <w:t>A</w:t>
      </w:r>
      <w:r w:rsidR="00341F8F">
        <w:rPr>
          <w:spacing w:val="-3"/>
          <w:sz w:val="26"/>
        </w:rPr>
        <w:t>gency wa</w:t>
      </w:r>
      <w:r w:rsidR="00B015E6" w:rsidRPr="00D510B6">
        <w:rPr>
          <w:spacing w:val="-3"/>
          <w:sz w:val="26"/>
        </w:rPr>
        <w:t>s the predec</w:t>
      </w:r>
      <w:r w:rsidR="00341F8F">
        <w:rPr>
          <w:spacing w:val="-3"/>
          <w:sz w:val="26"/>
        </w:rPr>
        <w:t>essor agency of the Public Utility Commission.</w:t>
      </w:r>
    </w:p>
    <w:p w:rsidR="006D4385" w:rsidRDefault="006D4385" w:rsidP="00A76F8A">
      <w:pPr>
        <w:spacing w:line="360" w:lineRule="auto"/>
        <w:rPr>
          <w:sz w:val="26"/>
          <w:szCs w:val="26"/>
        </w:rPr>
      </w:pPr>
    </w:p>
    <w:p w:rsidR="00112F7D" w:rsidRDefault="00112F7D" w:rsidP="00A76F8A">
      <w:pPr>
        <w:pStyle w:val="Heading4"/>
      </w:pPr>
      <w:bookmarkStart w:id="38" w:name="_Toc264354773"/>
      <w:r w:rsidRPr="00F97103">
        <w:t>b.</w:t>
      </w:r>
      <w:r w:rsidRPr="00F97103">
        <w:tab/>
        <w:t>ALJ’s Recommendation</w:t>
      </w:r>
      <w:bookmarkEnd w:id="38"/>
    </w:p>
    <w:p w:rsidR="006D4385" w:rsidRDefault="006D4385" w:rsidP="00A76F8A">
      <w:pPr>
        <w:spacing w:line="360" w:lineRule="auto"/>
        <w:rPr>
          <w:sz w:val="26"/>
          <w:szCs w:val="26"/>
        </w:rPr>
      </w:pPr>
    </w:p>
    <w:p w:rsidR="001F7E1B" w:rsidRDefault="0062340E" w:rsidP="00A76F8A">
      <w:pPr>
        <w:pStyle w:val="ListParagraph"/>
        <w:spacing w:line="360" w:lineRule="auto"/>
        <w:ind w:left="0" w:firstLine="1440"/>
        <w:rPr>
          <w:spacing w:val="-3"/>
          <w:sz w:val="26"/>
          <w:szCs w:val="26"/>
        </w:rPr>
      </w:pPr>
      <w:r>
        <w:rPr>
          <w:spacing w:val="-3"/>
          <w:sz w:val="26"/>
          <w:szCs w:val="26"/>
        </w:rPr>
        <w:t>ALJ Jones states that Aqua’s</w:t>
      </w:r>
      <w:r w:rsidR="00C14F79" w:rsidRPr="0062340E">
        <w:rPr>
          <w:spacing w:val="-3"/>
          <w:sz w:val="26"/>
          <w:szCs w:val="26"/>
        </w:rPr>
        <w:t xml:space="preserve"> response </w:t>
      </w:r>
      <w:r>
        <w:rPr>
          <w:spacing w:val="-3"/>
          <w:sz w:val="26"/>
          <w:szCs w:val="26"/>
        </w:rPr>
        <w:t>on this issue</w:t>
      </w:r>
      <w:r w:rsidR="00C14F79" w:rsidRPr="0062340E">
        <w:rPr>
          <w:spacing w:val="-3"/>
          <w:sz w:val="26"/>
          <w:szCs w:val="26"/>
        </w:rPr>
        <w:t xml:space="preserve"> is accurate and correct.  </w:t>
      </w:r>
      <w:r>
        <w:rPr>
          <w:spacing w:val="-3"/>
          <w:sz w:val="26"/>
          <w:szCs w:val="26"/>
        </w:rPr>
        <w:t xml:space="preserve">She furthermore noted that </w:t>
      </w:r>
      <w:r w:rsidR="00C14F79" w:rsidRPr="0062340E">
        <w:rPr>
          <w:spacing w:val="-3"/>
          <w:sz w:val="26"/>
          <w:szCs w:val="26"/>
        </w:rPr>
        <w:t>Dr. Briskin has had his evidentiary hearing</w:t>
      </w:r>
      <w:r>
        <w:rPr>
          <w:spacing w:val="-3"/>
          <w:sz w:val="26"/>
          <w:szCs w:val="26"/>
        </w:rPr>
        <w:t>, and that the</w:t>
      </w:r>
      <w:r w:rsidR="00C14F79" w:rsidRPr="0062340E">
        <w:rPr>
          <w:spacing w:val="-3"/>
          <w:sz w:val="26"/>
          <w:szCs w:val="26"/>
        </w:rPr>
        <w:t xml:space="preserve"> factual </w:t>
      </w:r>
      <w:r>
        <w:rPr>
          <w:spacing w:val="-3"/>
          <w:sz w:val="26"/>
          <w:szCs w:val="26"/>
        </w:rPr>
        <w:t>issues raised th</w:t>
      </w:r>
      <w:r w:rsidR="00814BD6">
        <w:rPr>
          <w:spacing w:val="-3"/>
          <w:sz w:val="26"/>
          <w:szCs w:val="26"/>
        </w:rPr>
        <w:t>erein were determined by her</w:t>
      </w:r>
      <w:r>
        <w:rPr>
          <w:spacing w:val="-3"/>
          <w:sz w:val="26"/>
          <w:szCs w:val="26"/>
        </w:rPr>
        <w:t>.  She also noted that, i</w:t>
      </w:r>
      <w:r w:rsidR="00C14F79" w:rsidRPr="0062340E">
        <w:rPr>
          <w:spacing w:val="-3"/>
          <w:sz w:val="26"/>
          <w:szCs w:val="26"/>
        </w:rPr>
        <w:t>f Dr. Briskin felt compelled to request factual determinations that were in dispute from the pre-filed testim</w:t>
      </w:r>
      <w:r>
        <w:rPr>
          <w:spacing w:val="-3"/>
          <w:sz w:val="26"/>
          <w:szCs w:val="26"/>
        </w:rPr>
        <w:t>ony that he reviewed</w:t>
      </w:r>
      <w:r w:rsidR="00C14F79" w:rsidRPr="0062340E">
        <w:rPr>
          <w:spacing w:val="-3"/>
          <w:sz w:val="26"/>
          <w:szCs w:val="26"/>
        </w:rPr>
        <w:t>, he should have made his request known prior to the evidentiary hearing.  The request made</w:t>
      </w:r>
      <w:r w:rsidR="001F7E1B">
        <w:rPr>
          <w:spacing w:val="-3"/>
          <w:sz w:val="26"/>
          <w:szCs w:val="26"/>
        </w:rPr>
        <w:t xml:space="preserve"> at this stage of the proceeding</w:t>
      </w:r>
      <w:r w:rsidR="00C14F79" w:rsidRPr="0062340E">
        <w:rPr>
          <w:spacing w:val="-3"/>
          <w:sz w:val="26"/>
          <w:szCs w:val="26"/>
        </w:rPr>
        <w:t xml:space="preserve"> is untimely.  </w:t>
      </w:r>
    </w:p>
    <w:p w:rsidR="001F7E1B" w:rsidRDefault="001F7E1B" w:rsidP="00A76F8A">
      <w:pPr>
        <w:pStyle w:val="ListParagraph"/>
        <w:spacing w:line="360" w:lineRule="auto"/>
        <w:ind w:left="0" w:firstLine="1440"/>
        <w:rPr>
          <w:spacing w:val="-3"/>
          <w:sz w:val="26"/>
          <w:szCs w:val="26"/>
        </w:rPr>
      </w:pPr>
    </w:p>
    <w:p w:rsidR="00C14F79" w:rsidRPr="0062340E" w:rsidRDefault="00C14F79" w:rsidP="00A76F8A">
      <w:pPr>
        <w:pStyle w:val="ListParagraph"/>
        <w:spacing w:line="360" w:lineRule="auto"/>
        <w:ind w:left="0" w:firstLine="1440"/>
        <w:rPr>
          <w:spacing w:val="-3"/>
          <w:sz w:val="26"/>
          <w:szCs w:val="26"/>
        </w:rPr>
      </w:pPr>
      <w:r w:rsidRPr="0062340E">
        <w:rPr>
          <w:spacing w:val="-3"/>
          <w:sz w:val="26"/>
          <w:szCs w:val="26"/>
        </w:rPr>
        <w:t xml:space="preserve">Succinctly put, </w:t>
      </w:r>
      <w:r w:rsidR="001F7E1B">
        <w:rPr>
          <w:spacing w:val="-3"/>
          <w:sz w:val="26"/>
          <w:szCs w:val="26"/>
        </w:rPr>
        <w:t xml:space="preserve">the ALJ concluded that </w:t>
      </w:r>
      <w:r w:rsidRPr="0062340E">
        <w:rPr>
          <w:spacing w:val="-3"/>
          <w:sz w:val="26"/>
          <w:szCs w:val="26"/>
        </w:rPr>
        <w:t xml:space="preserve">the request for a trial by jury is inappropriate to this proceeding and is denied.  </w:t>
      </w:r>
      <w:r w:rsidRPr="001F7E1B">
        <w:rPr>
          <w:i/>
          <w:spacing w:val="-3"/>
          <w:sz w:val="26"/>
          <w:szCs w:val="26"/>
        </w:rPr>
        <w:t>See</w:t>
      </w:r>
      <w:r w:rsidRPr="0062340E">
        <w:rPr>
          <w:spacing w:val="-3"/>
          <w:sz w:val="26"/>
          <w:szCs w:val="26"/>
        </w:rPr>
        <w:t xml:space="preserve">, </w:t>
      </w:r>
      <w:r w:rsidRPr="0062340E">
        <w:rPr>
          <w:i/>
          <w:spacing w:val="-3"/>
          <w:sz w:val="26"/>
          <w:szCs w:val="26"/>
        </w:rPr>
        <w:t xml:space="preserve">Elizabeth Twp. v. Municipal Authority of City of McKeesport, </w:t>
      </w:r>
      <w:r w:rsidRPr="0062340E">
        <w:rPr>
          <w:spacing w:val="-3"/>
          <w:sz w:val="26"/>
          <w:szCs w:val="26"/>
        </w:rPr>
        <w:t>447 A.2d</w:t>
      </w:r>
      <w:r w:rsidR="005F6944">
        <w:rPr>
          <w:spacing w:val="-3"/>
          <w:sz w:val="26"/>
          <w:szCs w:val="26"/>
        </w:rPr>
        <w:t xml:space="preserve"> 245 (Pa. Super.</w:t>
      </w:r>
      <w:r w:rsidRPr="0062340E">
        <w:rPr>
          <w:spacing w:val="-3"/>
          <w:sz w:val="26"/>
          <w:szCs w:val="26"/>
        </w:rPr>
        <w:t xml:space="preserve"> 1982) (right to jury trail unavailable where seeking review of ratemaking discretion of administrative agency); </w:t>
      </w:r>
      <w:r w:rsidRPr="0062340E">
        <w:rPr>
          <w:i/>
          <w:spacing w:val="-3"/>
          <w:sz w:val="26"/>
          <w:szCs w:val="26"/>
        </w:rPr>
        <w:t>W.J. Dillner Transfer Co. v. Pa.P.U.C.,</w:t>
      </w:r>
      <w:r w:rsidRPr="0062340E">
        <w:rPr>
          <w:spacing w:val="-3"/>
          <w:sz w:val="26"/>
          <w:szCs w:val="26"/>
        </w:rPr>
        <w:t xml:space="preserve"> </w:t>
      </w:r>
      <w:r w:rsidR="00EC4B6E">
        <w:rPr>
          <w:spacing w:val="-3"/>
          <w:sz w:val="26"/>
          <w:szCs w:val="26"/>
        </w:rPr>
        <w:t xml:space="preserve">155 A.2d 429 </w:t>
      </w:r>
      <w:r w:rsidRPr="0062340E">
        <w:rPr>
          <w:spacing w:val="-3"/>
          <w:sz w:val="26"/>
          <w:szCs w:val="26"/>
        </w:rPr>
        <w:t>(</w:t>
      </w:r>
      <w:r w:rsidR="00EC4B6E">
        <w:rPr>
          <w:spacing w:val="-3"/>
          <w:sz w:val="26"/>
          <w:szCs w:val="26"/>
        </w:rPr>
        <w:t xml:space="preserve">Pa. </w:t>
      </w:r>
      <w:r w:rsidRPr="0062340E">
        <w:rPr>
          <w:spacing w:val="-3"/>
          <w:sz w:val="26"/>
          <w:szCs w:val="26"/>
        </w:rPr>
        <w:t>Super.1959) (only matters entitled to a jury before enactment of agency statute).</w:t>
      </w:r>
      <w:r w:rsidR="00D7036D">
        <w:rPr>
          <w:spacing w:val="-3"/>
          <w:sz w:val="26"/>
          <w:szCs w:val="26"/>
        </w:rPr>
        <w:t xml:space="preserve">  R.D. at 39-40.</w:t>
      </w:r>
    </w:p>
    <w:p w:rsidR="00E9714C" w:rsidRDefault="00E9714C" w:rsidP="00A76F8A">
      <w:pPr>
        <w:spacing w:line="360" w:lineRule="auto"/>
        <w:rPr>
          <w:sz w:val="26"/>
          <w:szCs w:val="26"/>
        </w:rPr>
      </w:pPr>
    </w:p>
    <w:p w:rsidR="00EC4B6E" w:rsidRPr="002B770F" w:rsidRDefault="00EC4B6E" w:rsidP="00A76F8A">
      <w:pPr>
        <w:pStyle w:val="Heading4"/>
      </w:pPr>
      <w:bookmarkStart w:id="39" w:name="_Toc264354774"/>
      <w:r w:rsidRPr="002B770F">
        <w:t>c.</w:t>
      </w:r>
      <w:r w:rsidRPr="002B770F">
        <w:tab/>
      </w:r>
      <w:r w:rsidR="00896829">
        <w:t>Disposition</w:t>
      </w:r>
      <w:bookmarkEnd w:id="39"/>
    </w:p>
    <w:p w:rsidR="00EC4B6E" w:rsidRDefault="00EC4B6E" w:rsidP="00A76F8A">
      <w:pPr>
        <w:spacing w:line="360" w:lineRule="auto"/>
        <w:rPr>
          <w:b/>
          <w:sz w:val="26"/>
          <w:szCs w:val="26"/>
        </w:rPr>
      </w:pPr>
    </w:p>
    <w:p w:rsidR="00EC4B6E" w:rsidRPr="00095821" w:rsidRDefault="00095821" w:rsidP="00A76F8A">
      <w:pPr>
        <w:spacing w:line="360" w:lineRule="auto"/>
        <w:rPr>
          <w:sz w:val="26"/>
          <w:szCs w:val="26"/>
        </w:rPr>
      </w:pPr>
      <w:r>
        <w:rPr>
          <w:b/>
          <w:sz w:val="26"/>
          <w:szCs w:val="26"/>
        </w:rPr>
        <w:tab/>
      </w:r>
      <w:r>
        <w:rPr>
          <w:b/>
          <w:sz w:val="26"/>
          <w:szCs w:val="26"/>
        </w:rPr>
        <w:tab/>
      </w:r>
      <w:r w:rsidRPr="00095821">
        <w:rPr>
          <w:sz w:val="26"/>
          <w:szCs w:val="26"/>
        </w:rPr>
        <w:t>No Party excepts to the ALJ’s recommendation on this issue.</w:t>
      </w:r>
      <w:r w:rsidR="00221412">
        <w:rPr>
          <w:sz w:val="26"/>
          <w:szCs w:val="26"/>
        </w:rPr>
        <w:t xml:space="preserve">  As such, and finding that recommendation to be otherwise reasonable, it is adopted.</w:t>
      </w:r>
      <w:r w:rsidRPr="00095821">
        <w:rPr>
          <w:sz w:val="26"/>
          <w:szCs w:val="26"/>
        </w:rPr>
        <w:t xml:space="preserve"> </w:t>
      </w:r>
    </w:p>
    <w:p w:rsidR="00EC4B6E" w:rsidRDefault="00EC4B6E" w:rsidP="00A76F8A">
      <w:pPr>
        <w:spacing w:line="360" w:lineRule="auto"/>
        <w:rPr>
          <w:sz w:val="26"/>
          <w:szCs w:val="26"/>
        </w:rPr>
      </w:pPr>
    </w:p>
    <w:p w:rsidR="005767A4" w:rsidRPr="003B2621" w:rsidRDefault="005767A4" w:rsidP="00A76F8A">
      <w:pPr>
        <w:pStyle w:val="Heading3"/>
      </w:pPr>
      <w:bookmarkStart w:id="40" w:name="_Toc264354775"/>
      <w:r>
        <w:t>8</w:t>
      </w:r>
      <w:r w:rsidRPr="003B2621">
        <w:t>.</w:t>
      </w:r>
      <w:r>
        <w:tab/>
      </w:r>
      <w:r w:rsidR="004D4A16">
        <w:t>Impact of Joint Settlement Rate Increase and DSIC</w:t>
      </w:r>
      <w:bookmarkEnd w:id="40"/>
      <w:r w:rsidRPr="003B2621">
        <w:tab/>
      </w:r>
    </w:p>
    <w:p w:rsidR="00EC4B6E" w:rsidRDefault="00EC4B6E" w:rsidP="00A76F8A">
      <w:pPr>
        <w:spacing w:line="360" w:lineRule="auto"/>
        <w:rPr>
          <w:sz w:val="26"/>
          <w:szCs w:val="26"/>
        </w:rPr>
      </w:pPr>
    </w:p>
    <w:p w:rsidR="00EC2A07" w:rsidRDefault="00AB6CB2" w:rsidP="00A76F8A">
      <w:pPr>
        <w:pStyle w:val="Heading4"/>
      </w:pPr>
      <w:bookmarkStart w:id="41" w:name="_Toc264354776"/>
      <w:r>
        <w:t>a.</w:t>
      </w:r>
      <w:r>
        <w:tab/>
      </w:r>
      <w:r w:rsidR="00EC2A07" w:rsidRPr="003E23C5">
        <w:t>Positions of the Parties</w:t>
      </w:r>
      <w:bookmarkEnd w:id="41"/>
    </w:p>
    <w:p w:rsidR="00B877BB" w:rsidRDefault="00B877BB" w:rsidP="00A76F8A">
      <w:pPr>
        <w:ind w:left="2160"/>
        <w:rPr>
          <w:b/>
          <w:sz w:val="26"/>
        </w:rPr>
      </w:pPr>
    </w:p>
    <w:p w:rsidR="00F478EC" w:rsidRPr="00E61D68" w:rsidRDefault="00E61D68" w:rsidP="00A76F8A">
      <w:pPr>
        <w:tabs>
          <w:tab w:val="left" w:pos="-1440"/>
          <w:tab w:val="left" w:pos="-720"/>
        </w:tabs>
        <w:suppressAutoHyphens/>
        <w:spacing w:line="360" w:lineRule="auto"/>
        <w:ind w:firstLine="1440"/>
        <w:rPr>
          <w:spacing w:val="-3"/>
          <w:sz w:val="26"/>
        </w:rPr>
      </w:pPr>
      <w:r>
        <w:rPr>
          <w:spacing w:val="-3"/>
          <w:sz w:val="26"/>
        </w:rPr>
        <w:t>Mr. Linden asserted</w:t>
      </w:r>
      <w:r w:rsidR="00F478EC" w:rsidRPr="00E61D68">
        <w:rPr>
          <w:spacing w:val="-3"/>
          <w:sz w:val="26"/>
        </w:rPr>
        <w:t xml:space="preserve"> that the increase in the DSIC</w:t>
      </w:r>
      <w:r>
        <w:rPr>
          <w:spacing w:val="-3"/>
          <w:sz w:val="26"/>
        </w:rPr>
        <w:t>,</w:t>
      </w:r>
      <w:r w:rsidR="00F478EC" w:rsidRPr="00E61D68">
        <w:rPr>
          <w:spacing w:val="-3"/>
          <w:sz w:val="26"/>
        </w:rPr>
        <w:t xml:space="preserve"> from 5% to 7.5%</w:t>
      </w:r>
      <w:r>
        <w:rPr>
          <w:spacing w:val="-3"/>
          <w:sz w:val="26"/>
        </w:rPr>
        <w:t>,</w:t>
      </w:r>
      <w:r w:rsidR="00F478EC" w:rsidRPr="00E61D68">
        <w:rPr>
          <w:spacing w:val="-3"/>
          <w:sz w:val="26"/>
        </w:rPr>
        <w:t xml:space="preserve"> in 2009 and the increase in rates from the last base rat</w:t>
      </w:r>
      <w:r w:rsidR="0075026D">
        <w:rPr>
          <w:spacing w:val="-3"/>
          <w:sz w:val="26"/>
        </w:rPr>
        <w:t xml:space="preserve">e case in 2008 equates to a </w:t>
      </w:r>
      <w:r w:rsidR="000B5360">
        <w:rPr>
          <w:spacing w:val="-3"/>
          <w:sz w:val="26"/>
        </w:rPr>
        <w:t xml:space="preserve">total </w:t>
      </w:r>
      <w:r w:rsidR="00F478EC" w:rsidRPr="00E61D68">
        <w:rPr>
          <w:spacing w:val="-3"/>
          <w:sz w:val="26"/>
        </w:rPr>
        <w:t>increase</w:t>
      </w:r>
      <w:r w:rsidR="000B5360">
        <w:rPr>
          <w:spacing w:val="-3"/>
          <w:sz w:val="26"/>
        </w:rPr>
        <w:t xml:space="preserve"> in</w:t>
      </w:r>
      <w:r w:rsidR="00F478EC" w:rsidRPr="00E61D68">
        <w:rPr>
          <w:spacing w:val="-3"/>
          <w:sz w:val="26"/>
        </w:rPr>
        <w:t xml:space="preserve"> rev</w:t>
      </w:r>
      <w:r>
        <w:rPr>
          <w:spacing w:val="-3"/>
          <w:sz w:val="26"/>
        </w:rPr>
        <w:t xml:space="preserve">enue in excess of $25 million.  </w:t>
      </w:r>
      <w:r w:rsidR="00F478EC" w:rsidRPr="00E61D68">
        <w:rPr>
          <w:spacing w:val="-3"/>
          <w:sz w:val="26"/>
        </w:rPr>
        <w:t>Linden</w:t>
      </w:r>
      <w:r>
        <w:rPr>
          <w:spacing w:val="-3"/>
          <w:sz w:val="26"/>
        </w:rPr>
        <w:t xml:space="preserve"> M.B. at 4.  Mr. Linden contended</w:t>
      </w:r>
      <w:r w:rsidR="00F478EC" w:rsidRPr="00E61D68">
        <w:rPr>
          <w:spacing w:val="-3"/>
          <w:sz w:val="26"/>
        </w:rPr>
        <w:t xml:space="preserve"> that the Joint Settlement would allow the DSIC to reset and</w:t>
      </w:r>
      <w:r>
        <w:rPr>
          <w:spacing w:val="-3"/>
          <w:sz w:val="26"/>
        </w:rPr>
        <w:t>,</w:t>
      </w:r>
      <w:r w:rsidR="00F478EC" w:rsidRPr="00E61D68">
        <w:rPr>
          <w:spacing w:val="-3"/>
          <w:sz w:val="26"/>
        </w:rPr>
        <w:t xml:space="preserve"> in effect</w:t>
      </w:r>
      <w:r>
        <w:rPr>
          <w:spacing w:val="-3"/>
          <w:sz w:val="26"/>
        </w:rPr>
        <w:t>,</w:t>
      </w:r>
      <w:r w:rsidR="00F478EC" w:rsidRPr="00E61D68">
        <w:rPr>
          <w:spacing w:val="-3"/>
          <w:sz w:val="26"/>
        </w:rPr>
        <w:t xml:space="preserve"> authorize an increase in excess of $48 million</w:t>
      </w:r>
      <w:r>
        <w:rPr>
          <w:spacing w:val="-3"/>
          <w:sz w:val="26"/>
        </w:rPr>
        <w:t>,</w:t>
      </w:r>
      <w:r w:rsidR="00F478EC" w:rsidRPr="00E61D68">
        <w:rPr>
          <w:spacing w:val="-3"/>
          <w:sz w:val="26"/>
        </w:rPr>
        <w:t xml:space="preserve"> or approximately 14%.  Mr. Linden arrived at these figures by comparing the proposed tariff for the Joint Settlement with the current</w:t>
      </w:r>
      <w:r w:rsidR="00006D35">
        <w:rPr>
          <w:spacing w:val="-3"/>
          <w:sz w:val="26"/>
        </w:rPr>
        <w:t>ly effective</w:t>
      </w:r>
      <w:r w:rsidR="00F478EC" w:rsidRPr="00E61D68">
        <w:rPr>
          <w:spacing w:val="-3"/>
          <w:sz w:val="26"/>
        </w:rPr>
        <w:t xml:space="preserve"> tariff</w:t>
      </w:r>
      <w:r>
        <w:rPr>
          <w:spacing w:val="-3"/>
          <w:sz w:val="26"/>
        </w:rPr>
        <w:t>.  Mr. Linden also stated</w:t>
      </w:r>
      <w:r w:rsidR="00F478EC" w:rsidRPr="00E61D68">
        <w:rPr>
          <w:spacing w:val="-3"/>
          <w:sz w:val="26"/>
        </w:rPr>
        <w:t xml:space="preserve"> that the Joint Settlement </w:t>
      </w:r>
      <w:r>
        <w:rPr>
          <w:spacing w:val="-3"/>
          <w:sz w:val="26"/>
        </w:rPr>
        <w:t>would permit</w:t>
      </w:r>
      <w:r w:rsidR="00F478EC" w:rsidRPr="00E61D68">
        <w:rPr>
          <w:spacing w:val="-3"/>
          <w:sz w:val="26"/>
        </w:rPr>
        <w:t xml:space="preserve"> another 7.5% increase through the DSIC going forward.</w:t>
      </w:r>
      <w:r>
        <w:rPr>
          <w:spacing w:val="-3"/>
          <w:sz w:val="26"/>
        </w:rPr>
        <w:t xml:space="preserve">  He requested</w:t>
      </w:r>
      <w:r w:rsidR="00F478EC" w:rsidRPr="00E61D68">
        <w:rPr>
          <w:spacing w:val="-3"/>
          <w:sz w:val="26"/>
        </w:rPr>
        <w:t xml:space="preserve"> that the significant rate impacts of the DSIC be considered in evaluating the fairness of the proposed Joint </w:t>
      </w:r>
      <w:r>
        <w:rPr>
          <w:spacing w:val="-3"/>
          <w:sz w:val="26"/>
        </w:rPr>
        <w:t>Settlement.  He also averred that th</w:t>
      </w:r>
      <w:r w:rsidR="00006D35">
        <w:rPr>
          <w:spacing w:val="-3"/>
          <w:sz w:val="26"/>
        </w:rPr>
        <w:t>e</w:t>
      </w:r>
      <w:r w:rsidR="00F478EC" w:rsidRPr="00E61D68">
        <w:rPr>
          <w:spacing w:val="-3"/>
          <w:sz w:val="26"/>
        </w:rPr>
        <w:t xml:space="preserve"> impact should be described in plain language in public documents and press releases.</w:t>
      </w:r>
      <w:r>
        <w:rPr>
          <w:spacing w:val="-3"/>
          <w:sz w:val="26"/>
        </w:rPr>
        <w:t xml:space="preserve">  Linden M.B.</w:t>
      </w:r>
      <w:r w:rsidR="000B5360">
        <w:rPr>
          <w:spacing w:val="-3"/>
          <w:sz w:val="26"/>
        </w:rPr>
        <w:t> </w:t>
      </w:r>
      <w:r w:rsidR="00F478EC" w:rsidRPr="00E61D68">
        <w:rPr>
          <w:spacing w:val="-3"/>
          <w:sz w:val="26"/>
        </w:rPr>
        <w:t xml:space="preserve">at 5. </w:t>
      </w:r>
    </w:p>
    <w:p w:rsidR="00F478EC" w:rsidRPr="00E61D68" w:rsidRDefault="00F478EC" w:rsidP="00A76F8A">
      <w:pPr>
        <w:tabs>
          <w:tab w:val="left" w:pos="-1440"/>
          <w:tab w:val="left" w:pos="-720"/>
        </w:tabs>
        <w:suppressAutoHyphens/>
        <w:spacing w:line="360" w:lineRule="auto"/>
        <w:ind w:firstLine="1440"/>
        <w:rPr>
          <w:spacing w:val="-3"/>
          <w:sz w:val="26"/>
        </w:rPr>
      </w:pPr>
    </w:p>
    <w:p w:rsidR="00F478EC" w:rsidRPr="00E61D68" w:rsidRDefault="00E61D68" w:rsidP="00A76F8A">
      <w:pPr>
        <w:tabs>
          <w:tab w:val="left" w:pos="-1440"/>
          <w:tab w:val="left" w:pos="-720"/>
        </w:tabs>
        <w:suppressAutoHyphens/>
        <w:spacing w:line="360" w:lineRule="auto"/>
        <w:ind w:firstLine="1440"/>
        <w:rPr>
          <w:i/>
          <w:spacing w:val="-3"/>
          <w:sz w:val="26"/>
        </w:rPr>
      </w:pPr>
      <w:r>
        <w:rPr>
          <w:spacing w:val="-3"/>
          <w:sz w:val="26"/>
        </w:rPr>
        <w:t>In response, Aqua stated</w:t>
      </w:r>
      <w:r w:rsidR="00F478EC" w:rsidRPr="00E61D68">
        <w:rPr>
          <w:spacing w:val="-3"/>
          <w:sz w:val="26"/>
        </w:rPr>
        <w:t xml:space="preserve"> that the DSIC’s impact is “fully understood and presumably taken into account by the OTS, the OCA, the OSBA, and other parties that traditionally participate in [Aqua’s] base rate proceedings.</w:t>
      </w:r>
      <w:r w:rsidR="004C7CE7">
        <w:rPr>
          <w:spacing w:val="-3"/>
          <w:sz w:val="26"/>
        </w:rPr>
        <w:t xml:space="preserve">”  </w:t>
      </w:r>
      <w:r w:rsidR="00F478EC" w:rsidRPr="00E61D68">
        <w:rPr>
          <w:spacing w:val="-3"/>
          <w:sz w:val="26"/>
        </w:rPr>
        <w:t>Aqua</w:t>
      </w:r>
      <w:r w:rsidR="004C7CE7">
        <w:rPr>
          <w:spacing w:val="-3"/>
          <w:sz w:val="26"/>
        </w:rPr>
        <w:t xml:space="preserve"> R.B. at 7.  Aqua further stated</w:t>
      </w:r>
      <w:r w:rsidR="00F478EC" w:rsidRPr="00E61D68">
        <w:rPr>
          <w:spacing w:val="-3"/>
          <w:sz w:val="26"/>
        </w:rPr>
        <w:t xml:space="preserve"> that the DSIC has been in place as a surcharge for fourteen years. </w:t>
      </w:r>
    </w:p>
    <w:p w:rsidR="00F478EC" w:rsidRPr="00E61D68" w:rsidRDefault="00F478EC" w:rsidP="00A76F8A">
      <w:pPr>
        <w:tabs>
          <w:tab w:val="left" w:pos="-1440"/>
          <w:tab w:val="left" w:pos="-720"/>
        </w:tabs>
        <w:suppressAutoHyphens/>
        <w:spacing w:line="360" w:lineRule="auto"/>
        <w:ind w:firstLine="1440"/>
        <w:rPr>
          <w:i/>
          <w:spacing w:val="-3"/>
          <w:sz w:val="26"/>
        </w:rPr>
      </w:pPr>
    </w:p>
    <w:p w:rsidR="00F478EC" w:rsidRPr="00444390" w:rsidRDefault="004C7CE7" w:rsidP="00A76F8A">
      <w:pPr>
        <w:tabs>
          <w:tab w:val="left" w:pos="-1440"/>
          <w:tab w:val="left" w:pos="-720"/>
        </w:tabs>
        <w:suppressAutoHyphens/>
        <w:spacing w:line="360" w:lineRule="auto"/>
        <w:ind w:firstLine="1440"/>
        <w:rPr>
          <w:spacing w:val="-3"/>
        </w:rPr>
      </w:pPr>
      <w:r>
        <w:rPr>
          <w:spacing w:val="-3"/>
          <w:sz w:val="26"/>
        </w:rPr>
        <w:t>The OCA stated</w:t>
      </w:r>
      <w:r w:rsidR="00F478EC" w:rsidRPr="00E61D68">
        <w:rPr>
          <w:spacing w:val="-3"/>
          <w:sz w:val="26"/>
        </w:rPr>
        <w:t xml:space="preserve"> that the i</w:t>
      </w:r>
      <w:r w:rsidR="00BE6586">
        <w:rPr>
          <w:spacing w:val="-3"/>
          <w:sz w:val="26"/>
        </w:rPr>
        <w:t xml:space="preserve">mpact of the DSIC of up to 7.5% </w:t>
      </w:r>
      <w:r w:rsidR="00F478EC" w:rsidRPr="00E61D68">
        <w:rPr>
          <w:spacing w:val="-3"/>
          <w:sz w:val="26"/>
        </w:rPr>
        <w:t>“will likely double the effect A</w:t>
      </w:r>
      <w:r>
        <w:rPr>
          <w:spacing w:val="-3"/>
          <w:sz w:val="26"/>
        </w:rPr>
        <w:t xml:space="preserve">qua ratepayers will experience . . . </w:t>
      </w:r>
      <w:r w:rsidR="00F478EC" w:rsidRPr="00E61D68">
        <w:rPr>
          <w:spacing w:val="-3"/>
          <w:sz w:val="26"/>
        </w:rPr>
        <w:t>regardless of how much or how little wate</w:t>
      </w:r>
      <w:r>
        <w:rPr>
          <w:spacing w:val="-3"/>
          <w:sz w:val="26"/>
        </w:rPr>
        <w:t>r a customer may use.”  OCA St</w:t>
      </w:r>
      <w:r w:rsidR="00F478EC" w:rsidRPr="00E61D68">
        <w:rPr>
          <w:spacing w:val="-3"/>
          <w:sz w:val="26"/>
        </w:rPr>
        <w:t>. in Support, Joi</w:t>
      </w:r>
      <w:r>
        <w:rPr>
          <w:spacing w:val="-3"/>
          <w:sz w:val="26"/>
        </w:rPr>
        <w:t xml:space="preserve">nt Settlement Appendix E at 3.  </w:t>
      </w:r>
      <w:r w:rsidR="00F478EC" w:rsidRPr="00E61D68">
        <w:rPr>
          <w:spacing w:val="-3"/>
          <w:sz w:val="26"/>
        </w:rPr>
        <w:t xml:space="preserve">However, </w:t>
      </w:r>
      <w:r>
        <w:rPr>
          <w:spacing w:val="-3"/>
          <w:sz w:val="26"/>
        </w:rPr>
        <w:t xml:space="preserve">noted the OCA, </w:t>
      </w:r>
      <w:r w:rsidR="00F478EC" w:rsidRPr="00E61D68">
        <w:rPr>
          <w:spacing w:val="-3"/>
          <w:sz w:val="26"/>
        </w:rPr>
        <w:t>the DSIC rate is capped at 7.5%.  The cumulative effect of the cap and the stay-out provision</w:t>
      </w:r>
      <w:r w:rsidR="00BE6586">
        <w:rPr>
          <w:spacing w:val="-3"/>
          <w:sz w:val="26"/>
        </w:rPr>
        <w:t>, which is that Aqua</w:t>
      </w:r>
      <w:r w:rsidR="00F478EC" w:rsidRPr="00E61D68">
        <w:rPr>
          <w:spacing w:val="-3"/>
          <w:sz w:val="26"/>
        </w:rPr>
        <w:t xml:space="preserve"> refrain from filing a water base rate</w:t>
      </w:r>
      <w:r w:rsidR="00990751">
        <w:rPr>
          <w:spacing w:val="-3"/>
          <w:sz w:val="26"/>
        </w:rPr>
        <w:t xml:space="preserve"> case prior to </w:t>
      </w:r>
      <w:r w:rsidR="00990751">
        <w:rPr>
          <w:spacing w:val="-3"/>
          <w:sz w:val="26"/>
        </w:rPr>
        <w:lastRenderedPageBreak/>
        <w:t>November 18, 2011</w:t>
      </w:r>
      <w:r w:rsidR="00F478EC" w:rsidRPr="00E61D68">
        <w:rPr>
          <w:spacing w:val="-3"/>
          <w:sz w:val="26"/>
        </w:rPr>
        <w:t>,</w:t>
      </w:r>
      <w:r w:rsidR="00F478EC" w:rsidRPr="004C7CE7">
        <w:rPr>
          <w:rStyle w:val="FootnoteReference"/>
          <w:spacing w:val="-3"/>
          <w:sz w:val="20"/>
          <w:szCs w:val="20"/>
        </w:rPr>
        <w:footnoteReference w:id="11"/>
      </w:r>
      <w:r w:rsidR="00F478EC" w:rsidRPr="004C7CE7">
        <w:rPr>
          <w:spacing w:val="-3"/>
          <w:sz w:val="20"/>
          <w:szCs w:val="20"/>
        </w:rPr>
        <w:t xml:space="preserve"> </w:t>
      </w:r>
      <w:r w:rsidR="00F478EC" w:rsidRPr="00E61D68">
        <w:rPr>
          <w:spacing w:val="-3"/>
          <w:sz w:val="26"/>
        </w:rPr>
        <w:t xml:space="preserve">will cause the rates to stabilize at a minimum through November 11, 2011 or approximately 18 months.  The OCA attributes value to this rate limitation.  </w:t>
      </w:r>
      <w:r w:rsidR="00F478EC">
        <w:rPr>
          <w:spacing w:val="-3"/>
        </w:rPr>
        <w:t xml:space="preserve"> </w:t>
      </w:r>
    </w:p>
    <w:p w:rsidR="00EC4B6E" w:rsidRDefault="00EC4B6E" w:rsidP="00A76F8A">
      <w:pPr>
        <w:spacing w:line="360" w:lineRule="auto"/>
        <w:rPr>
          <w:sz w:val="26"/>
          <w:szCs w:val="26"/>
        </w:rPr>
      </w:pPr>
    </w:p>
    <w:p w:rsidR="00990751" w:rsidRDefault="00990751" w:rsidP="00A76F8A">
      <w:pPr>
        <w:pStyle w:val="Heading4"/>
      </w:pPr>
      <w:bookmarkStart w:id="42" w:name="_Toc264354777"/>
      <w:r w:rsidRPr="00F97103">
        <w:t>b.</w:t>
      </w:r>
      <w:r w:rsidRPr="00F97103">
        <w:tab/>
        <w:t>ALJ’s Recommendation</w:t>
      </w:r>
      <w:bookmarkEnd w:id="42"/>
    </w:p>
    <w:p w:rsidR="00EC4B6E" w:rsidRDefault="00EC4B6E" w:rsidP="00A76F8A">
      <w:pPr>
        <w:spacing w:line="360" w:lineRule="auto"/>
        <w:rPr>
          <w:sz w:val="26"/>
          <w:szCs w:val="26"/>
        </w:rPr>
      </w:pPr>
    </w:p>
    <w:p w:rsidR="00C76672" w:rsidRPr="00561586" w:rsidRDefault="00561586" w:rsidP="00A76F8A">
      <w:pPr>
        <w:tabs>
          <w:tab w:val="left" w:pos="-1440"/>
          <w:tab w:val="left" w:pos="-720"/>
        </w:tabs>
        <w:suppressAutoHyphens/>
        <w:spacing w:line="360" w:lineRule="auto"/>
        <w:ind w:firstLine="1440"/>
        <w:rPr>
          <w:spacing w:val="-3"/>
          <w:sz w:val="26"/>
          <w:szCs w:val="26"/>
        </w:rPr>
      </w:pPr>
      <w:r>
        <w:rPr>
          <w:spacing w:val="-3"/>
          <w:sz w:val="26"/>
          <w:szCs w:val="26"/>
        </w:rPr>
        <w:t>ALJ Jones noted initially that</w:t>
      </w:r>
      <w:r w:rsidR="00C76672" w:rsidRPr="00561586">
        <w:rPr>
          <w:spacing w:val="-3"/>
          <w:sz w:val="26"/>
          <w:szCs w:val="26"/>
        </w:rPr>
        <w:t xml:space="preserve"> Mr. Linden’s </w:t>
      </w:r>
      <w:r>
        <w:rPr>
          <w:spacing w:val="-3"/>
          <w:sz w:val="26"/>
          <w:szCs w:val="26"/>
        </w:rPr>
        <w:t>argument was confusing because he presented</w:t>
      </w:r>
      <w:r w:rsidR="00C76672" w:rsidRPr="00561586">
        <w:rPr>
          <w:spacing w:val="-3"/>
          <w:sz w:val="26"/>
          <w:szCs w:val="26"/>
        </w:rPr>
        <w:t xml:space="preserve"> elements from previous cases in making a point of whether an action is r</w:t>
      </w:r>
      <w:r>
        <w:rPr>
          <w:spacing w:val="-3"/>
          <w:sz w:val="26"/>
          <w:szCs w:val="26"/>
        </w:rPr>
        <w:t xml:space="preserve">easonable in the instant case.  </w:t>
      </w:r>
      <w:r w:rsidR="00C76672" w:rsidRPr="00561586">
        <w:rPr>
          <w:spacing w:val="-3"/>
          <w:sz w:val="26"/>
          <w:szCs w:val="26"/>
        </w:rPr>
        <w:t>Second</w:t>
      </w:r>
      <w:r>
        <w:rPr>
          <w:spacing w:val="-3"/>
          <w:sz w:val="26"/>
          <w:szCs w:val="26"/>
        </w:rPr>
        <w:t>ly, she noted, the figure he asserted</w:t>
      </w:r>
      <w:r w:rsidR="00C76672" w:rsidRPr="00561586">
        <w:rPr>
          <w:spacing w:val="-3"/>
          <w:sz w:val="26"/>
          <w:szCs w:val="26"/>
        </w:rPr>
        <w:t xml:space="preserve"> of $48 million seems to be the compound effect of the approved action by the Commission in 2009 of the increase in the DSIC cap</w:t>
      </w:r>
      <w:r w:rsidR="00D7036D">
        <w:rPr>
          <w:spacing w:val="-3"/>
          <w:sz w:val="26"/>
          <w:szCs w:val="26"/>
        </w:rPr>
        <w:t>,</w:t>
      </w:r>
      <w:r w:rsidR="00C76672" w:rsidRPr="00561586">
        <w:rPr>
          <w:spacing w:val="-3"/>
          <w:sz w:val="26"/>
          <w:szCs w:val="26"/>
        </w:rPr>
        <w:t xml:space="preserve"> at roughly $25 million</w:t>
      </w:r>
      <w:r w:rsidR="00D7036D">
        <w:rPr>
          <w:spacing w:val="-3"/>
          <w:sz w:val="26"/>
          <w:szCs w:val="26"/>
        </w:rPr>
        <w:t>,</w:t>
      </w:r>
      <w:r w:rsidR="00C76672" w:rsidRPr="00561586">
        <w:rPr>
          <w:spacing w:val="-3"/>
          <w:sz w:val="26"/>
          <w:szCs w:val="26"/>
        </w:rPr>
        <w:t xml:space="preserve"> plus the increase asserted by the Joint Settlement in rates of $23.6 million.  </w:t>
      </w:r>
    </w:p>
    <w:p w:rsidR="00C76672" w:rsidRPr="00561586" w:rsidRDefault="00C76672" w:rsidP="00A76F8A">
      <w:pPr>
        <w:tabs>
          <w:tab w:val="left" w:pos="-1440"/>
          <w:tab w:val="left" w:pos="-720"/>
        </w:tabs>
        <w:suppressAutoHyphens/>
        <w:spacing w:line="360" w:lineRule="auto"/>
        <w:ind w:firstLine="1440"/>
        <w:rPr>
          <w:spacing w:val="-3"/>
          <w:sz w:val="26"/>
          <w:szCs w:val="26"/>
        </w:rPr>
      </w:pPr>
    </w:p>
    <w:p w:rsidR="00C76672" w:rsidRPr="00561586" w:rsidRDefault="00C76672" w:rsidP="00A76F8A">
      <w:pPr>
        <w:tabs>
          <w:tab w:val="left" w:pos="-1440"/>
          <w:tab w:val="left" w:pos="-720"/>
        </w:tabs>
        <w:suppressAutoHyphens/>
        <w:spacing w:line="360" w:lineRule="auto"/>
        <w:ind w:firstLine="1440"/>
        <w:rPr>
          <w:spacing w:val="-3"/>
          <w:sz w:val="26"/>
          <w:szCs w:val="26"/>
        </w:rPr>
      </w:pPr>
      <w:r w:rsidRPr="00561586">
        <w:rPr>
          <w:spacing w:val="-3"/>
          <w:sz w:val="26"/>
          <w:szCs w:val="26"/>
        </w:rPr>
        <w:t xml:space="preserve">The </w:t>
      </w:r>
      <w:r w:rsidR="00D7036D">
        <w:rPr>
          <w:spacing w:val="-3"/>
          <w:sz w:val="26"/>
          <w:szCs w:val="26"/>
        </w:rPr>
        <w:t xml:space="preserve">ALJ asserted that </w:t>
      </w:r>
      <w:r w:rsidR="0031675E">
        <w:rPr>
          <w:spacing w:val="-3"/>
          <w:sz w:val="26"/>
          <w:szCs w:val="26"/>
        </w:rPr>
        <w:t xml:space="preserve">the </w:t>
      </w:r>
      <w:r w:rsidRPr="00561586">
        <w:rPr>
          <w:spacing w:val="-3"/>
          <w:sz w:val="26"/>
          <w:szCs w:val="26"/>
        </w:rPr>
        <w:t xml:space="preserve">rationale </w:t>
      </w:r>
      <w:r w:rsidR="00D7036D">
        <w:rPr>
          <w:spacing w:val="-3"/>
          <w:sz w:val="26"/>
          <w:szCs w:val="26"/>
        </w:rPr>
        <w:t>which prompted the creation of</w:t>
      </w:r>
      <w:r w:rsidRPr="00561586">
        <w:rPr>
          <w:spacing w:val="-3"/>
          <w:sz w:val="26"/>
          <w:szCs w:val="26"/>
        </w:rPr>
        <w:t xml:space="preserve"> the </w:t>
      </w:r>
      <w:r w:rsidR="00D7036D">
        <w:rPr>
          <w:spacing w:val="-3"/>
          <w:sz w:val="26"/>
          <w:szCs w:val="26"/>
        </w:rPr>
        <w:t>DSIC is still valid</w:t>
      </w:r>
      <w:r w:rsidRPr="00561586">
        <w:rPr>
          <w:spacing w:val="-3"/>
          <w:sz w:val="26"/>
          <w:szCs w:val="26"/>
        </w:rPr>
        <w:t xml:space="preserve">.  </w:t>
      </w:r>
      <w:r w:rsidR="00D7036D">
        <w:rPr>
          <w:spacing w:val="-3"/>
          <w:sz w:val="26"/>
          <w:szCs w:val="26"/>
        </w:rPr>
        <w:t>Section 1307(g) of the Code</w:t>
      </w:r>
      <w:r w:rsidRPr="00561586">
        <w:rPr>
          <w:spacing w:val="-3"/>
          <w:sz w:val="26"/>
          <w:szCs w:val="26"/>
        </w:rPr>
        <w:t xml:space="preserve"> expressly authorized </w:t>
      </w:r>
      <w:r w:rsidR="00D7036D">
        <w:rPr>
          <w:spacing w:val="-3"/>
          <w:sz w:val="26"/>
          <w:szCs w:val="26"/>
        </w:rPr>
        <w:t>a DSIC for water utilities.  66 </w:t>
      </w:r>
      <w:r w:rsidR="007B5CD8">
        <w:rPr>
          <w:spacing w:val="-3"/>
          <w:sz w:val="26"/>
          <w:szCs w:val="26"/>
        </w:rPr>
        <w:t>Pa.</w:t>
      </w:r>
      <w:r w:rsidR="0031675E">
        <w:rPr>
          <w:spacing w:val="-3"/>
          <w:sz w:val="26"/>
          <w:szCs w:val="26"/>
        </w:rPr>
        <w:t xml:space="preserve"> </w:t>
      </w:r>
      <w:r w:rsidR="007B5CD8">
        <w:rPr>
          <w:spacing w:val="-3"/>
          <w:sz w:val="26"/>
          <w:szCs w:val="26"/>
        </w:rPr>
        <w:t xml:space="preserve">C.S. § 1307(g).  At </w:t>
      </w:r>
      <w:r w:rsidR="007B5CD8" w:rsidRPr="00561586">
        <w:rPr>
          <w:i/>
          <w:spacing w:val="-3"/>
          <w:sz w:val="26"/>
          <w:szCs w:val="26"/>
        </w:rPr>
        <w:t>Aqua DSIC</w:t>
      </w:r>
      <w:r w:rsidR="007B5CD8" w:rsidRPr="00561586">
        <w:rPr>
          <w:spacing w:val="-3"/>
          <w:sz w:val="26"/>
          <w:szCs w:val="26"/>
        </w:rPr>
        <w:t>, Dock</w:t>
      </w:r>
      <w:r w:rsidR="007B5CD8">
        <w:rPr>
          <w:spacing w:val="-3"/>
          <w:sz w:val="26"/>
          <w:szCs w:val="26"/>
        </w:rPr>
        <w:t>et No. R-2008-2079310 (Order entered July 31, 2009) the</w:t>
      </w:r>
      <w:r w:rsidRPr="00561586">
        <w:rPr>
          <w:spacing w:val="-3"/>
          <w:sz w:val="26"/>
          <w:szCs w:val="26"/>
        </w:rPr>
        <w:t xml:space="preserve"> Commission approved the rate cap for the DSIC charge.  Furthermore, the OCA recognized the cumulative impact of the rate increase and the DSIC</w:t>
      </w:r>
      <w:r w:rsidR="007B5CD8">
        <w:rPr>
          <w:spacing w:val="-3"/>
          <w:sz w:val="26"/>
          <w:szCs w:val="26"/>
        </w:rPr>
        <w:t>,</w:t>
      </w:r>
      <w:r w:rsidRPr="00561586">
        <w:rPr>
          <w:spacing w:val="-3"/>
          <w:sz w:val="26"/>
          <w:szCs w:val="26"/>
        </w:rPr>
        <w:t xml:space="preserve"> yet maintained that the negotiated rate limitation in the Joint Settlement made the overall effect </w:t>
      </w:r>
      <w:r w:rsidR="007B5CD8">
        <w:rPr>
          <w:spacing w:val="-3"/>
          <w:sz w:val="26"/>
          <w:szCs w:val="26"/>
        </w:rPr>
        <w:t>valuable and reasonable.  The ALJ concluded</w:t>
      </w:r>
      <w:r w:rsidRPr="00561586">
        <w:rPr>
          <w:spacing w:val="-3"/>
          <w:sz w:val="26"/>
          <w:szCs w:val="26"/>
        </w:rPr>
        <w:t xml:space="preserve"> that the argu</w:t>
      </w:r>
      <w:r w:rsidR="006207D3">
        <w:rPr>
          <w:spacing w:val="-3"/>
          <w:sz w:val="26"/>
          <w:szCs w:val="26"/>
        </w:rPr>
        <w:t>ment presented by the OCA on this issue is entitled to more weight than</w:t>
      </w:r>
      <w:r w:rsidRPr="00561586">
        <w:rPr>
          <w:spacing w:val="-3"/>
          <w:sz w:val="26"/>
          <w:szCs w:val="26"/>
        </w:rPr>
        <w:t xml:space="preserve"> </w:t>
      </w:r>
      <w:r w:rsidR="007B5CD8">
        <w:rPr>
          <w:spacing w:val="-3"/>
          <w:sz w:val="26"/>
          <w:szCs w:val="26"/>
        </w:rPr>
        <w:t xml:space="preserve">Mr. Linden’s </w:t>
      </w:r>
      <w:r w:rsidRPr="00561586">
        <w:rPr>
          <w:spacing w:val="-3"/>
          <w:sz w:val="26"/>
          <w:szCs w:val="26"/>
        </w:rPr>
        <w:t>allegation that the cumulative effect of the proposed Joint Settlement rate increase and the DSIC is unreasonable.</w:t>
      </w:r>
      <w:r w:rsidR="00D7036D">
        <w:rPr>
          <w:spacing w:val="-3"/>
          <w:sz w:val="26"/>
          <w:szCs w:val="26"/>
        </w:rPr>
        <w:t xml:space="preserve">  R.D. at 41.</w:t>
      </w:r>
    </w:p>
    <w:p w:rsidR="00EC4B6E" w:rsidRDefault="00EC4B6E" w:rsidP="00A76F8A">
      <w:pPr>
        <w:spacing w:line="360" w:lineRule="auto"/>
        <w:rPr>
          <w:sz w:val="26"/>
          <w:szCs w:val="26"/>
        </w:rPr>
      </w:pPr>
    </w:p>
    <w:p w:rsidR="008E7680" w:rsidRPr="002B770F" w:rsidRDefault="008E7680" w:rsidP="00A76F8A">
      <w:pPr>
        <w:pStyle w:val="Heading4"/>
      </w:pPr>
      <w:bookmarkStart w:id="43" w:name="_Toc264354778"/>
      <w:r w:rsidRPr="002B770F">
        <w:t>c.</w:t>
      </w:r>
      <w:r w:rsidRPr="002B770F">
        <w:tab/>
      </w:r>
      <w:r w:rsidR="007B53B6">
        <w:t>Disposition</w:t>
      </w:r>
      <w:bookmarkEnd w:id="43"/>
    </w:p>
    <w:p w:rsidR="008E7680" w:rsidRDefault="008E7680" w:rsidP="00A76F8A">
      <w:pPr>
        <w:spacing w:line="360" w:lineRule="auto"/>
        <w:rPr>
          <w:b/>
          <w:sz w:val="26"/>
          <w:szCs w:val="26"/>
        </w:rPr>
      </w:pPr>
    </w:p>
    <w:p w:rsidR="008E7680" w:rsidRPr="00221412" w:rsidRDefault="00221412" w:rsidP="00A76F8A">
      <w:pPr>
        <w:spacing w:line="360" w:lineRule="auto"/>
        <w:rPr>
          <w:sz w:val="26"/>
          <w:szCs w:val="26"/>
        </w:rPr>
      </w:pPr>
      <w:r>
        <w:rPr>
          <w:b/>
          <w:sz w:val="26"/>
          <w:szCs w:val="26"/>
        </w:rPr>
        <w:tab/>
      </w:r>
      <w:r>
        <w:rPr>
          <w:b/>
          <w:sz w:val="26"/>
          <w:szCs w:val="26"/>
        </w:rPr>
        <w:tab/>
      </w:r>
      <w:r w:rsidRPr="00221412">
        <w:rPr>
          <w:sz w:val="26"/>
          <w:szCs w:val="26"/>
        </w:rPr>
        <w:t>No Party excepts to the ALJ’s recommendation on this issue.  As such, and finding that recommendation to be otherwise reasonable, it is adopted.</w:t>
      </w:r>
    </w:p>
    <w:p w:rsidR="00A60709" w:rsidRDefault="00424827" w:rsidP="00A76F8A">
      <w:pPr>
        <w:spacing w:line="360" w:lineRule="auto"/>
        <w:rPr>
          <w:sz w:val="26"/>
          <w:szCs w:val="26"/>
        </w:rPr>
      </w:pPr>
      <w:r>
        <w:rPr>
          <w:sz w:val="26"/>
          <w:szCs w:val="26"/>
        </w:rPr>
        <w:br/>
      </w:r>
    </w:p>
    <w:p w:rsidR="00A60709" w:rsidRPr="003B2621" w:rsidRDefault="00A60709" w:rsidP="00A76F8A">
      <w:pPr>
        <w:pStyle w:val="Heading3"/>
      </w:pPr>
      <w:bookmarkStart w:id="44" w:name="_Toc264354779"/>
      <w:r>
        <w:lastRenderedPageBreak/>
        <w:t>9</w:t>
      </w:r>
      <w:r w:rsidRPr="003B2621">
        <w:t>.</w:t>
      </w:r>
      <w:r>
        <w:tab/>
        <w:t>Proposed Rate Increase Exceeds Inflation</w:t>
      </w:r>
      <w:bookmarkEnd w:id="44"/>
      <w:r w:rsidRPr="003B2621">
        <w:tab/>
      </w:r>
    </w:p>
    <w:p w:rsidR="00EC4B6E" w:rsidRDefault="00EC4B6E" w:rsidP="00A76F8A">
      <w:pPr>
        <w:spacing w:line="360" w:lineRule="auto"/>
        <w:rPr>
          <w:sz w:val="26"/>
          <w:szCs w:val="26"/>
        </w:rPr>
      </w:pPr>
    </w:p>
    <w:p w:rsidR="00A60709" w:rsidRDefault="00AB6CB2" w:rsidP="00A76F8A">
      <w:pPr>
        <w:pStyle w:val="Heading4"/>
      </w:pPr>
      <w:bookmarkStart w:id="45" w:name="_Toc264354780"/>
      <w:r>
        <w:t>a.</w:t>
      </w:r>
      <w:r>
        <w:tab/>
      </w:r>
      <w:r w:rsidR="00A60709" w:rsidRPr="003E23C5">
        <w:t>Positions of the Parties</w:t>
      </w:r>
      <w:bookmarkEnd w:id="45"/>
    </w:p>
    <w:p w:rsidR="00EC4B6E" w:rsidRDefault="00EC4B6E" w:rsidP="00A76F8A">
      <w:pPr>
        <w:spacing w:line="360" w:lineRule="auto"/>
        <w:rPr>
          <w:sz w:val="26"/>
          <w:szCs w:val="26"/>
        </w:rPr>
      </w:pPr>
    </w:p>
    <w:p w:rsidR="007C2B22" w:rsidRPr="007C2B22" w:rsidRDefault="00D20F44" w:rsidP="00A76F8A">
      <w:pPr>
        <w:tabs>
          <w:tab w:val="left" w:pos="-1440"/>
          <w:tab w:val="left" w:pos="-720"/>
        </w:tabs>
        <w:suppressAutoHyphens/>
        <w:spacing w:line="360" w:lineRule="auto"/>
        <w:ind w:firstLine="1440"/>
        <w:rPr>
          <w:spacing w:val="-3"/>
          <w:sz w:val="26"/>
          <w:szCs w:val="26"/>
        </w:rPr>
      </w:pPr>
      <w:r>
        <w:rPr>
          <w:spacing w:val="-3"/>
          <w:sz w:val="26"/>
          <w:szCs w:val="26"/>
        </w:rPr>
        <w:t>Mr. Linden argued</w:t>
      </w:r>
      <w:r w:rsidR="007C2B22" w:rsidRPr="007C2B22">
        <w:rPr>
          <w:spacing w:val="-3"/>
          <w:sz w:val="26"/>
          <w:szCs w:val="26"/>
        </w:rPr>
        <w:t xml:space="preserve"> that the Joint Settlement </w:t>
      </w:r>
      <w:r>
        <w:rPr>
          <w:spacing w:val="-3"/>
          <w:sz w:val="26"/>
          <w:szCs w:val="26"/>
        </w:rPr>
        <w:t xml:space="preserve">, </w:t>
      </w:r>
      <w:r w:rsidR="007C2B22" w:rsidRPr="007C2B22">
        <w:rPr>
          <w:spacing w:val="-3"/>
          <w:sz w:val="26"/>
          <w:szCs w:val="26"/>
        </w:rPr>
        <w:t>if approved</w:t>
      </w:r>
      <w:r>
        <w:rPr>
          <w:spacing w:val="-3"/>
          <w:sz w:val="26"/>
          <w:szCs w:val="26"/>
        </w:rPr>
        <w:t>,</w:t>
      </w:r>
      <w:r w:rsidR="007C2B22" w:rsidRPr="007C2B22">
        <w:rPr>
          <w:spacing w:val="-3"/>
          <w:sz w:val="26"/>
          <w:szCs w:val="26"/>
        </w:rPr>
        <w:t xml:space="preserve"> compounded with the increases through the DSIC</w:t>
      </w:r>
      <w:r w:rsidR="00C219DA">
        <w:rPr>
          <w:spacing w:val="-3"/>
          <w:sz w:val="26"/>
          <w:szCs w:val="26"/>
        </w:rPr>
        <w:t>,</w:t>
      </w:r>
      <w:r w:rsidR="007C2B22" w:rsidRPr="007C2B22">
        <w:rPr>
          <w:spacing w:val="-3"/>
          <w:sz w:val="26"/>
          <w:szCs w:val="26"/>
        </w:rPr>
        <w:t xml:space="preserve"> would result in an increase of approximately 14% wh</w:t>
      </w:r>
      <w:r w:rsidR="00CF7AA9">
        <w:rPr>
          <w:spacing w:val="-3"/>
          <w:sz w:val="26"/>
          <w:szCs w:val="26"/>
        </w:rPr>
        <w:t>en inflation is close to zero.  Mr. Linden asserted</w:t>
      </w:r>
      <w:r w:rsidR="007C2B22" w:rsidRPr="007C2B22">
        <w:rPr>
          <w:spacing w:val="-3"/>
          <w:sz w:val="26"/>
          <w:szCs w:val="26"/>
        </w:rPr>
        <w:t xml:space="preserve"> that this increase continues a “trend over the last ten years we</w:t>
      </w:r>
      <w:r w:rsidR="00CF7AA9">
        <w:rPr>
          <w:spacing w:val="-3"/>
          <w:sz w:val="26"/>
          <w:szCs w:val="26"/>
        </w:rPr>
        <w:t>ll over the [inflation rate].”  Linden M.B. at 5.  He furthermore contended</w:t>
      </w:r>
      <w:r w:rsidR="007C2B22" w:rsidRPr="007C2B22">
        <w:rPr>
          <w:spacing w:val="-3"/>
          <w:sz w:val="26"/>
          <w:szCs w:val="26"/>
        </w:rPr>
        <w:t xml:space="preserve"> that rates have almost doubled o</w:t>
      </w:r>
      <w:r w:rsidR="00B32252">
        <w:rPr>
          <w:spacing w:val="-3"/>
          <w:sz w:val="26"/>
          <w:szCs w:val="26"/>
        </w:rPr>
        <w:t>ver the last ten years</w:t>
      </w:r>
      <w:r w:rsidR="00EB3083">
        <w:rPr>
          <w:spacing w:val="-3"/>
          <w:sz w:val="26"/>
          <w:szCs w:val="26"/>
        </w:rPr>
        <w:t>,</w:t>
      </w:r>
      <w:r w:rsidR="00B32252">
        <w:rPr>
          <w:spacing w:val="-3"/>
          <w:sz w:val="26"/>
          <w:szCs w:val="26"/>
        </w:rPr>
        <w:t xml:space="preserve"> and </w:t>
      </w:r>
      <w:r w:rsidR="00EB3083">
        <w:rPr>
          <w:spacing w:val="-3"/>
          <w:sz w:val="26"/>
          <w:szCs w:val="26"/>
        </w:rPr>
        <w:t xml:space="preserve">that </w:t>
      </w:r>
      <w:r w:rsidR="00B32252">
        <w:rPr>
          <w:spacing w:val="-3"/>
          <w:sz w:val="26"/>
          <w:szCs w:val="26"/>
        </w:rPr>
        <w:t>this</w:t>
      </w:r>
      <w:r w:rsidR="007C2B22" w:rsidRPr="007C2B22">
        <w:rPr>
          <w:spacing w:val="-3"/>
          <w:sz w:val="26"/>
          <w:szCs w:val="26"/>
        </w:rPr>
        <w:t xml:space="preserve"> series of incr</w:t>
      </w:r>
      <w:r w:rsidR="00C219DA">
        <w:rPr>
          <w:spacing w:val="-3"/>
          <w:sz w:val="26"/>
          <w:szCs w:val="26"/>
        </w:rPr>
        <w:t>eases in excess of inflation is</w:t>
      </w:r>
      <w:r w:rsidR="007C2B22" w:rsidRPr="007C2B22">
        <w:rPr>
          <w:spacing w:val="-3"/>
          <w:sz w:val="26"/>
          <w:szCs w:val="26"/>
        </w:rPr>
        <w:t xml:space="preserve"> unreasonable</w:t>
      </w:r>
      <w:r w:rsidR="00EB3083">
        <w:rPr>
          <w:spacing w:val="-3"/>
          <w:sz w:val="26"/>
          <w:szCs w:val="26"/>
        </w:rPr>
        <w:t xml:space="preserve">.  Any </w:t>
      </w:r>
      <w:r w:rsidR="007C2B22" w:rsidRPr="007C2B22">
        <w:rPr>
          <w:spacing w:val="-3"/>
          <w:sz w:val="26"/>
          <w:szCs w:val="26"/>
        </w:rPr>
        <w:t>Commission decision</w:t>
      </w:r>
      <w:r w:rsidR="00EB3083">
        <w:rPr>
          <w:spacing w:val="-3"/>
          <w:sz w:val="26"/>
          <w:szCs w:val="26"/>
        </w:rPr>
        <w:t>, according to Mr. Linden,</w:t>
      </w:r>
      <w:r w:rsidR="007C2B22" w:rsidRPr="007C2B22">
        <w:rPr>
          <w:spacing w:val="-3"/>
          <w:sz w:val="26"/>
          <w:szCs w:val="26"/>
        </w:rPr>
        <w:t xml:space="preserve"> should address the long term trend of rates </w:t>
      </w:r>
      <w:r w:rsidR="00CF7AA9">
        <w:rPr>
          <w:spacing w:val="-3"/>
          <w:sz w:val="26"/>
          <w:szCs w:val="26"/>
        </w:rPr>
        <w:t xml:space="preserve">in the past and in </w:t>
      </w:r>
      <w:r w:rsidR="00B32252">
        <w:rPr>
          <w:spacing w:val="-3"/>
          <w:sz w:val="26"/>
          <w:szCs w:val="26"/>
        </w:rPr>
        <w:t xml:space="preserve">the future.  </w:t>
      </w:r>
      <w:r w:rsidR="00CF7AA9">
        <w:rPr>
          <w:spacing w:val="-3"/>
          <w:sz w:val="26"/>
          <w:szCs w:val="26"/>
        </w:rPr>
        <w:t>Mr. Linden also opined</w:t>
      </w:r>
      <w:r w:rsidR="007C2B22" w:rsidRPr="007C2B22">
        <w:rPr>
          <w:spacing w:val="-3"/>
          <w:sz w:val="26"/>
          <w:szCs w:val="26"/>
        </w:rPr>
        <w:t xml:space="preserve"> t</w:t>
      </w:r>
      <w:r w:rsidR="00B32252">
        <w:rPr>
          <w:spacing w:val="-3"/>
          <w:sz w:val="26"/>
          <w:szCs w:val="26"/>
        </w:rPr>
        <w:t xml:space="preserve">hat the method used by Aqua to </w:t>
      </w:r>
      <w:r w:rsidR="00EB3083">
        <w:rPr>
          <w:spacing w:val="-3"/>
          <w:sz w:val="26"/>
          <w:szCs w:val="26"/>
        </w:rPr>
        <w:t xml:space="preserve">fund </w:t>
      </w:r>
      <w:r w:rsidR="007C2B22" w:rsidRPr="007C2B22">
        <w:rPr>
          <w:spacing w:val="-3"/>
          <w:sz w:val="26"/>
          <w:szCs w:val="26"/>
        </w:rPr>
        <w:t>any capital expenditures with equity, magnified by an income tax effect, is simply too expensive when compar</w:t>
      </w:r>
      <w:r w:rsidR="00B32252">
        <w:rPr>
          <w:spacing w:val="-3"/>
          <w:sz w:val="26"/>
          <w:szCs w:val="26"/>
        </w:rPr>
        <w:t>ed with government issued debt.</w:t>
      </w:r>
      <w:r w:rsidR="007C2B22" w:rsidRPr="007C2B22">
        <w:rPr>
          <w:spacing w:val="-3"/>
          <w:sz w:val="26"/>
          <w:szCs w:val="26"/>
        </w:rPr>
        <w:t xml:space="preserve">   </w:t>
      </w:r>
    </w:p>
    <w:p w:rsidR="007C2B22" w:rsidRPr="007C2B22" w:rsidRDefault="007C2B22" w:rsidP="00A76F8A">
      <w:pPr>
        <w:tabs>
          <w:tab w:val="left" w:pos="-1440"/>
          <w:tab w:val="left" w:pos="-720"/>
        </w:tabs>
        <w:suppressAutoHyphens/>
        <w:spacing w:line="360" w:lineRule="auto"/>
        <w:ind w:firstLine="1440"/>
        <w:rPr>
          <w:spacing w:val="-3"/>
          <w:sz w:val="26"/>
          <w:szCs w:val="26"/>
        </w:rPr>
      </w:pPr>
    </w:p>
    <w:p w:rsidR="007C2B22" w:rsidRPr="007C2B22" w:rsidRDefault="009C63E6" w:rsidP="00A76F8A">
      <w:pPr>
        <w:tabs>
          <w:tab w:val="left" w:pos="-1440"/>
          <w:tab w:val="left" w:pos="-720"/>
        </w:tabs>
        <w:suppressAutoHyphens/>
        <w:spacing w:line="360" w:lineRule="auto"/>
        <w:ind w:firstLine="1440"/>
        <w:rPr>
          <w:spacing w:val="-3"/>
          <w:sz w:val="26"/>
          <w:szCs w:val="26"/>
        </w:rPr>
      </w:pPr>
      <w:r>
        <w:rPr>
          <w:spacing w:val="-3"/>
          <w:sz w:val="26"/>
          <w:szCs w:val="26"/>
        </w:rPr>
        <w:t xml:space="preserve">Aqua responded that </w:t>
      </w:r>
      <w:r w:rsidR="007C2B22" w:rsidRPr="007C2B22">
        <w:rPr>
          <w:spacing w:val="-3"/>
          <w:sz w:val="26"/>
          <w:szCs w:val="26"/>
        </w:rPr>
        <w:t>the cost of providing water service frequently bears little relation to the rate of inflation because of the capital-in</w:t>
      </w:r>
      <w:r>
        <w:rPr>
          <w:spacing w:val="-3"/>
          <w:sz w:val="26"/>
          <w:szCs w:val="26"/>
        </w:rPr>
        <w:t xml:space="preserve">tensive nature of the business.  </w:t>
      </w:r>
      <w:r w:rsidR="007C2B22" w:rsidRPr="007C2B22">
        <w:rPr>
          <w:spacing w:val="-3"/>
          <w:sz w:val="26"/>
          <w:szCs w:val="26"/>
        </w:rPr>
        <w:t>Aqua R.B. a</w:t>
      </w:r>
      <w:r w:rsidR="000C0C32">
        <w:rPr>
          <w:spacing w:val="-3"/>
          <w:sz w:val="26"/>
          <w:szCs w:val="26"/>
        </w:rPr>
        <w:t xml:space="preserve">t 7-8.  Aqua further contended that </w:t>
      </w:r>
      <w:r w:rsidR="007C2B22" w:rsidRPr="007C2B22">
        <w:rPr>
          <w:spacing w:val="-3"/>
          <w:sz w:val="26"/>
          <w:szCs w:val="26"/>
        </w:rPr>
        <w:t>water companies must install new plant and equipment and replace aging infrast</w:t>
      </w:r>
      <w:r w:rsidR="001247E1">
        <w:rPr>
          <w:spacing w:val="-3"/>
          <w:sz w:val="26"/>
          <w:szCs w:val="26"/>
        </w:rPr>
        <w:t>ruct</w:t>
      </w:r>
      <w:r w:rsidR="00EB3083">
        <w:rPr>
          <w:spacing w:val="-3"/>
          <w:sz w:val="26"/>
          <w:szCs w:val="26"/>
        </w:rPr>
        <w:t xml:space="preserve">ure on an as-needed basis, </w:t>
      </w:r>
      <w:r w:rsidR="007C2B22" w:rsidRPr="007C2B22">
        <w:rPr>
          <w:spacing w:val="-3"/>
          <w:sz w:val="26"/>
          <w:szCs w:val="26"/>
        </w:rPr>
        <w:t>without regard to where they may stand in the economic cycle</w:t>
      </w:r>
      <w:r w:rsidR="000C0C32">
        <w:rPr>
          <w:spacing w:val="-3"/>
          <w:sz w:val="26"/>
          <w:szCs w:val="26"/>
        </w:rPr>
        <w:t>.</w:t>
      </w:r>
      <w:r w:rsidR="001247E1">
        <w:rPr>
          <w:spacing w:val="-3"/>
          <w:sz w:val="26"/>
          <w:szCs w:val="26"/>
        </w:rPr>
        <w:t xml:space="preserve">  </w:t>
      </w:r>
      <w:r w:rsidR="000C0C32">
        <w:rPr>
          <w:spacing w:val="-3"/>
          <w:sz w:val="26"/>
          <w:szCs w:val="26"/>
        </w:rPr>
        <w:t>Aqua also stated that the Company</w:t>
      </w:r>
      <w:r w:rsidR="007C2B22" w:rsidRPr="007C2B22">
        <w:rPr>
          <w:spacing w:val="-3"/>
          <w:sz w:val="26"/>
          <w:szCs w:val="26"/>
        </w:rPr>
        <w:t xml:space="preserve"> finances plant additions with a mix of debt and equity, not just equity alone.</w:t>
      </w:r>
    </w:p>
    <w:p w:rsidR="00EC4B6E" w:rsidRDefault="00EC4B6E" w:rsidP="00A76F8A">
      <w:pPr>
        <w:spacing w:line="360" w:lineRule="auto"/>
        <w:rPr>
          <w:sz w:val="26"/>
          <w:szCs w:val="26"/>
        </w:rPr>
      </w:pPr>
    </w:p>
    <w:p w:rsidR="001247E1" w:rsidRDefault="00AB6CB2" w:rsidP="00A76F8A">
      <w:pPr>
        <w:pStyle w:val="Heading4"/>
      </w:pPr>
      <w:bookmarkStart w:id="46" w:name="_Toc264354781"/>
      <w:r>
        <w:t>b.</w:t>
      </w:r>
      <w:r>
        <w:tab/>
      </w:r>
      <w:r w:rsidR="001247E1">
        <w:t>ALJ’s Recommendation</w:t>
      </w:r>
      <w:bookmarkEnd w:id="46"/>
    </w:p>
    <w:p w:rsidR="00EC4B6E" w:rsidRDefault="00EC4B6E" w:rsidP="00A76F8A">
      <w:pPr>
        <w:spacing w:line="360" w:lineRule="auto"/>
        <w:rPr>
          <w:sz w:val="26"/>
          <w:szCs w:val="26"/>
        </w:rPr>
      </w:pPr>
    </w:p>
    <w:p w:rsidR="005E095A" w:rsidRPr="005E095A" w:rsidRDefault="005E095A" w:rsidP="00A76F8A">
      <w:pPr>
        <w:tabs>
          <w:tab w:val="left" w:pos="-1440"/>
          <w:tab w:val="left" w:pos="-720"/>
        </w:tabs>
        <w:suppressAutoHyphens/>
        <w:spacing w:line="360" w:lineRule="auto"/>
        <w:ind w:firstLine="1440"/>
        <w:rPr>
          <w:spacing w:val="-3"/>
          <w:sz w:val="26"/>
          <w:szCs w:val="26"/>
        </w:rPr>
      </w:pPr>
      <w:r>
        <w:rPr>
          <w:spacing w:val="-3"/>
          <w:sz w:val="26"/>
          <w:szCs w:val="26"/>
        </w:rPr>
        <w:t>The ALJ noted that i</w:t>
      </w:r>
      <w:r w:rsidRPr="005E095A">
        <w:rPr>
          <w:spacing w:val="-3"/>
          <w:sz w:val="26"/>
          <w:szCs w:val="26"/>
        </w:rPr>
        <w:t>t is u</w:t>
      </w:r>
      <w:r>
        <w:rPr>
          <w:spacing w:val="-3"/>
          <w:sz w:val="26"/>
          <w:szCs w:val="26"/>
        </w:rPr>
        <w:t>nderstandable that Mr. Linden would be</w:t>
      </w:r>
      <w:r w:rsidRPr="005E095A">
        <w:rPr>
          <w:spacing w:val="-3"/>
          <w:sz w:val="26"/>
          <w:szCs w:val="26"/>
        </w:rPr>
        <w:t xml:space="preserve"> frustrated with a history of increases over a period of ten years.  However, </w:t>
      </w:r>
      <w:r>
        <w:rPr>
          <w:spacing w:val="-3"/>
          <w:sz w:val="26"/>
          <w:szCs w:val="26"/>
        </w:rPr>
        <w:t xml:space="preserve">she also noted that </w:t>
      </w:r>
      <w:r w:rsidRPr="005E095A">
        <w:rPr>
          <w:spacing w:val="-3"/>
          <w:sz w:val="26"/>
          <w:szCs w:val="26"/>
        </w:rPr>
        <w:t>past increases have been approved by the Commission and</w:t>
      </w:r>
      <w:r>
        <w:rPr>
          <w:spacing w:val="-3"/>
          <w:sz w:val="26"/>
          <w:szCs w:val="26"/>
        </w:rPr>
        <w:t>,</w:t>
      </w:r>
      <w:r w:rsidRPr="005E095A">
        <w:rPr>
          <w:spacing w:val="-3"/>
          <w:sz w:val="26"/>
          <w:szCs w:val="26"/>
        </w:rPr>
        <w:t xml:space="preserve"> thus, f</w:t>
      </w:r>
      <w:r>
        <w:rPr>
          <w:spacing w:val="-3"/>
          <w:sz w:val="26"/>
          <w:szCs w:val="26"/>
        </w:rPr>
        <w:t xml:space="preserve">ound reasonable.  </w:t>
      </w:r>
    </w:p>
    <w:p w:rsidR="005E095A" w:rsidRPr="005E095A" w:rsidRDefault="005E095A" w:rsidP="00A76F8A">
      <w:pPr>
        <w:tabs>
          <w:tab w:val="left" w:pos="-1440"/>
          <w:tab w:val="left" w:pos="-720"/>
        </w:tabs>
        <w:suppressAutoHyphens/>
        <w:spacing w:line="360" w:lineRule="auto"/>
        <w:ind w:firstLine="1440"/>
        <w:rPr>
          <w:spacing w:val="-3"/>
          <w:sz w:val="26"/>
          <w:szCs w:val="26"/>
        </w:rPr>
      </w:pPr>
    </w:p>
    <w:p w:rsidR="005E095A" w:rsidRPr="005E095A" w:rsidRDefault="005E095A" w:rsidP="00A76F8A">
      <w:pPr>
        <w:tabs>
          <w:tab w:val="left" w:pos="-1440"/>
          <w:tab w:val="left" w:pos="-720"/>
        </w:tabs>
        <w:suppressAutoHyphens/>
        <w:spacing w:line="360" w:lineRule="auto"/>
        <w:ind w:firstLine="1440"/>
        <w:rPr>
          <w:spacing w:val="-3"/>
          <w:sz w:val="26"/>
          <w:szCs w:val="26"/>
        </w:rPr>
      </w:pPr>
      <w:r>
        <w:rPr>
          <w:spacing w:val="-3"/>
          <w:sz w:val="26"/>
          <w:szCs w:val="26"/>
        </w:rPr>
        <w:t xml:space="preserve">The ALJ further noted that </w:t>
      </w:r>
      <w:r w:rsidRPr="005E095A">
        <w:rPr>
          <w:spacing w:val="-3"/>
          <w:sz w:val="26"/>
          <w:szCs w:val="26"/>
        </w:rPr>
        <w:t xml:space="preserve">Aqua is accurate in stating that there is no nexus between the need to install or replace plant and equipment and the rate of inflation.  The </w:t>
      </w:r>
      <w:r w:rsidRPr="005E095A">
        <w:rPr>
          <w:spacing w:val="-3"/>
          <w:sz w:val="26"/>
          <w:szCs w:val="26"/>
        </w:rPr>
        <w:lastRenderedPageBreak/>
        <w:t>record evi</w:t>
      </w:r>
      <w:r w:rsidR="00984DF0">
        <w:rPr>
          <w:spacing w:val="-3"/>
          <w:sz w:val="26"/>
          <w:szCs w:val="26"/>
        </w:rPr>
        <w:t>dence also demonstrates</w:t>
      </w:r>
      <w:r w:rsidRPr="005E095A">
        <w:rPr>
          <w:spacing w:val="-3"/>
          <w:sz w:val="26"/>
          <w:szCs w:val="26"/>
        </w:rPr>
        <w:t xml:space="preserve"> that </w:t>
      </w:r>
      <w:r w:rsidR="00984DF0">
        <w:rPr>
          <w:spacing w:val="-3"/>
          <w:sz w:val="26"/>
          <w:szCs w:val="26"/>
        </w:rPr>
        <w:t>Aqua</w:t>
      </w:r>
      <w:r w:rsidRPr="005E095A">
        <w:rPr>
          <w:spacing w:val="-3"/>
          <w:sz w:val="26"/>
          <w:szCs w:val="26"/>
        </w:rPr>
        <w:t xml:space="preserve"> finances plant and equipment through</w:t>
      </w:r>
      <w:r w:rsidR="00984DF0">
        <w:rPr>
          <w:spacing w:val="-3"/>
          <w:sz w:val="26"/>
          <w:szCs w:val="26"/>
        </w:rPr>
        <w:t xml:space="preserve"> a mixture of debt and equity</w:t>
      </w:r>
      <w:r w:rsidR="00980317">
        <w:rPr>
          <w:spacing w:val="-3"/>
          <w:sz w:val="26"/>
          <w:szCs w:val="26"/>
        </w:rPr>
        <w:t xml:space="preserve">.  </w:t>
      </w:r>
      <w:r w:rsidR="00984DF0">
        <w:rPr>
          <w:spacing w:val="-3"/>
          <w:sz w:val="26"/>
          <w:szCs w:val="26"/>
        </w:rPr>
        <w:t xml:space="preserve">Accordingly, </w:t>
      </w:r>
      <w:r w:rsidR="00980317">
        <w:rPr>
          <w:spacing w:val="-3"/>
          <w:sz w:val="26"/>
          <w:szCs w:val="26"/>
        </w:rPr>
        <w:t xml:space="preserve">the ALJ concluded that </w:t>
      </w:r>
      <w:r w:rsidRPr="005E095A">
        <w:rPr>
          <w:spacing w:val="-3"/>
          <w:sz w:val="26"/>
          <w:szCs w:val="26"/>
        </w:rPr>
        <w:t>Mr. Linden’s assertion of financing thr</w:t>
      </w:r>
      <w:r w:rsidR="00980317">
        <w:rPr>
          <w:spacing w:val="-3"/>
          <w:sz w:val="26"/>
          <w:szCs w:val="26"/>
        </w:rPr>
        <w:t>ough equity alone is mistaken and that Mr. Linden’s argument was not</w:t>
      </w:r>
      <w:r w:rsidRPr="005E095A">
        <w:rPr>
          <w:spacing w:val="-3"/>
          <w:sz w:val="26"/>
          <w:szCs w:val="26"/>
        </w:rPr>
        <w:t xml:space="preserve"> merit</w:t>
      </w:r>
      <w:r w:rsidR="00980317">
        <w:rPr>
          <w:spacing w:val="-3"/>
          <w:sz w:val="26"/>
          <w:szCs w:val="26"/>
        </w:rPr>
        <w:t>orious</w:t>
      </w:r>
      <w:r w:rsidRPr="005E095A">
        <w:rPr>
          <w:spacing w:val="-3"/>
          <w:sz w:val="26"/>
          <w:szCs w:val="26"/>
        </w:rPr>
        <w:t>.</w:t>
      </w:r>
      <w:r w:rsidR="00980317">
        <w:rPr>
          <w:spacing w:val="-3"/>
          <w:sz w:val="26"/>
          <w:szCs w:val="26"/>
        </w:rPr>
        <w:t xml:space="preserve">  </w:t>
      </w:r>
      <w:r>
        <w:rPr>
          <w:spacing w:val="-3"/>
          <w:sz w:val="26"/>
          <w:szCs w:val="26"/>
        </w:rPr>
        <w:t>R.D. at 42</w:t>
      </w:r>
    </w:p>
    <w:p w:rsidR="00EC4B6E" w:rsidRDefault="00EC4B6E" w:rsidP="00A76F8A">
      <w:pPr>
        <w:spacing w:line="360" w:lineRule="auto"/>
        <w:rPr>
          <w:sz w:val="26"/>
          <w:szCs w:val="26"/>
        </w:rPr>
      </w:pPr>
    </w:p>
    <w:p w:rsidR="00980317" w:rsidRDefault="00AB6CB2" w:rsidP="00A76F8A">
      <w:pPr>
        <w:pStyle w:val="Heading4"/>
      </w:pPr>
      <w:bookmarkStart w:id="47" w:name="_Toc264354782"/>
      <w:r>
        <w:t>c.</w:t>
      </w:r>
      <w:r>
        <w:tab/>
      </w:r>
      <w:r w:rsidR="00AB0FD2">
        <w:t>Exceptions and Replies</w:t>
      </w:r>
      <w:bookmarkEnd w:id="47"/>
    </w:p>
    <w:p w:rsidR="00EC4B6E" w:rsidRDefault="00EC4B6E" w:rsidP="00A76F8A">
      <w:pPr>
        <w:spacing w:line="360" w:lineRule="auto"/>
        <w:rPr>
          <w:sz w:val="26"/>
          <w:szCs w:val="26"/>
        </w:rPr>
      </w:pPr>
    </w:p>
    <w:p w:rsidR="00965C4E" w:rsidRPr="00AF1494" w:rsidRDefault="00965C4E" w:rsidP="00A76F8A">
      <w:pPr>
        <w:keepNext/>
        <w:spacing w:line="360" w:lineRule="auto"/>
        <w:ind w:firstLine="1440"/>
        <w:rPr>
          <w:sz w:val="26"/>
          <w:szCs w:val="26"/>
        </w:rPr>
      </w:pPr>
      <w:r w:rsidRPr="00AF1494">
        <w:rPr>
          <w:sz w:val="26"/>
          <w:szCs w:val="26"/>
        </w:rPr>
        <w:t>In his Exceptions, Mr. Linden states that the ALJ dismissed his argument regarding the comparison of Aqua’s rate increases to the rate of inflation based on Aqua’s misreading of his Main Brief.  Mr. Linden avers that Aqua and the ALJ contend that he believes that Aqua funds capital improvements only with equity.  Mr. Linden submits that he is aware that Aqua utilizes a mixture of debt and equity financing and he renews his request that the Commission commence a study of alternative capital funding mechanisms for Aqua</w:t>
      </w:r>
      <w:r w:rsidR="007527E0">
        <w:rPr>
          <w:sz w:val="26"/>
          <w:szCs w:val="26"/>
        </w:rPr>
        <w:t>, such as Pennvest.  Linden Exc.</w:t>
      </w:r>
      <w:r w:rsidRPr="00AF1494">
        <w:rPr>
          <w:sz w:val="26"/>
          <w:szCs w:val="26"/>
        </w:rPr>
        <w:t xml:space="preserve"> at 8.</w:t>
      </w:r>
    </w:p>
    <w:p w:rsidR="00965C4E" w:rsidRPr="0013788F" w:rsidRDefault="00965C4E" w:rsidP="00A76F8A">
      <w:pPr>
        <w:spacing w:line="360" w:lineRule="auto"/>
        <w:ind w:firstLine="1440"/>
        <w:rPr>
          <w:sz w:val="26"/>
          <w:szCs w:val="26"/>
        </w:rPr>
      </w:pPr>
    </w:p>
    <w:p w:rsidR="00965C4E" w:rsidRPr="00AF1494" w:rsidRDefault="00965C4E" w:rsidP="00A76F8A">
      <w:pPr>
        <w:spacing w:line="360" w:lineRule="auto"/>
        <w:ind w:firstLine="1440"/>
        <w:rPr>
          <w:sz w:val="26"/>
          <w:szCs w:val="26"/>
        </w:rPr>
      </w:pPr>
      <w:r w:rsidRPr="00AF1494">
        <w:rPr>
          <w:sz w:val="26"/>
          <w:szCs w:val="26"/>
        </w:rPr>
        <w:t>In response to Mr. Linden’s Exceptions, Aqua avers that experts for both the OTS and the OCA carefully reviewed Aqua’s claimed capital structure and found it</w:t>
      </w:r>
      <w:r w:rsidR="007527E0">
        <w:rPr>
          <w:sz w:val="26"/>
          <w:szCs w:val="26"/>
        </w:rPr>
        <w:t xml:space="preserve"> to</w:t>
      </w:r>
      <w:r w:rsidRPr="00AF1494">
        <w:rPr>
          <w:sz w:val="26"/>
          <w:szCs w:val="26"/>
        </w:rPr>
        <w:t xml:space="preserve"> be reasonable.  In addition, Aqua points out that the Commission periodically conducts management audits of Aqua, and “to the best of [Aqua’s] recollection,” the manner in which Aqua raises and deploys capital has never been criticized.  Aqua R.</w:t>
      </w:r>
      <w:r w:rsidR="007527E0">
        <w:rPr>
          <w:sz w:val="26"/>
          <w:szCs w:val="26"/>
        </w:rPr>
        <w:t xml:space="preserve"> </w:t>
      </w:r>
      <w:r w:rsidRPr="00AF1494">
        <w:rPr>
          <w:sz w:val="26"/>
          <w:szCs w:val="26"/>
        </w:rPr>
        <w:t xml:space="preserve">Exc. at 5. </w:t>
      </w:r>
    </w:p>
    <w:p w:rsidR="00EC4B6E" w:rsidRDefault="00EC4B6E" w:rsidP="00A76F8A">
      <w:pPr>
        <w:spacing w:line="360" w:lineRule="auto"/>
        <w:rPr>
          <w:sz w:val="26"/>
          <w:szCs w:val="26"/>
        </w:rPr>
      </w:pPr>
    </w:p>
    <w:p w:rsidR="00A27ED9" w:rsidRPr="000715F4" w:rsidRDefault="000715F4" w:rsidP="00A76F8A">
      <w:pPr>
        <w:pStyle w:val="Heading4"/>
      </w:pPr>
      <w:bookmarkStart w:id="48" w:name="_Toc264354783"/>
      <w:r w:rsidRPr="000715F4">
        <w:t>d.</w:t>
      </w:r>
      <w:r w:rsidRPr="000715F4">
        <w:tab/>
        <w:t>Disposition</w:t>
      </w:r>
      <w:bookmarkEnd w:id="48"/>
    </w:p>
    <w:p w:rsidR="00A27ED9" w:rsidRDefault="00A27ED9" w:rsidP="00A76F8A">
      <w:pPr>
        <w:spacing w:line="360" w:lineRule="auto"/>
        <w:rPr>
          <w:sz w:val="26"/>
          <w:szCs w:val="26"/>
        </w:rPr>
      </w:pPr>
    </w:p>
    <w:p w:rsidR="00DA6E11" w:rsidRPr="00370712" w:rsidRDefault="00DA6E11" w:rsidP="0013788F">
      <w:pPr>
        <w:spacing w:line="360" w:lineRule="auto"/>
        <w:ind w:firstLine="1440"/>
        <w:rPr>
          <w:sz w:val="26"/>
        </w:rPr>
      </w:pPr>
      <w:r w:rsidRPr="00370712">
        <w:rPr>
          <w:sz w:val="26"/>
        </w:rPr>
        <w:t xml:space="preserve">We concur with Aqua that the ratemaking process provides all </w:t>
      </w:r>
      <w:r w:rsidR="006B0B89" w:rsidRPr="00370712">
        <w:rPr>
          <w:sz w:val="26"/>
        </w:rPr>
        <w:t>P</w:t>
      </w:r>
      <w:r w:rsidRPr="00370712">
        <w:rPr>
          <w:sz w:val="26"/>
        </w:rPr>
        <w:t xml:space="preserve">arties with a full opportunity to scrutinize and address Aqua’s capital structure.  By reaching a </w:t>
      </w:r>
      <w:r w:rsidR="006B0B89" w:rsidRPr="00370712">
        <w:rPr>
          <w:sz w:val="26"/>
        </w:rPr>
        <w:t>proposed Joint Settlement, the P</w:t>
      </w:r>
      <w:r w:rsidRPr="00370712">
        <w:rPr>
          <w:sz w:val="26"/>
        </w:rPr>
        <w:t>arties have concluded that recommending a specific annual revenue requirement was preferable for ratepayers than seeking specific adjustments to Aqua’s proposed rate filing, including adjustments to Aqua’s cost of capital.  We believe that</w:t>
      </w:r>
      <w:r w:rsidR="006B0B89" w:rsidRPr="00370712">
        <w:rPr>
          <w:sz w:val="26"/>
        </w:rPr>
        <w:t>,</w:t>
      </w:r>
      <w:r w:rsidRPr="00370712">
        <w:rPr>
          <w:sz w:val="26"/>
        </w:rPr>
        <w:t xml:space="preserve"> in lieu of commissioning a study, it would be more cost </w:t>
      </w:r>
      <w:r w:rsidRPr="00370712">
        <w:rPr>
          <w:sz w:val="26"/>
        </w:rPr>
        <w:lastRenderedPageBreak/>
        <w:t>effective for ratepayers to work with the</w:t>
      </w:r>
      <w:r w:rsidR="00C41A0E">
        <w:rPr>
          <w:sz w:val="26"/>
        </w:rPr>
        <w:t xml:space="preserve"> respective statutory advocates</w:t>
      </w:r>
      <w:r w:rsidRPr="00370712">
        <w:rPr>
          <w:sz w:val="26"/>
        </w:rPr>
        <w:t xml:space="preserve">, such as the OCA and the OSBA, that are already committing considerable resources for independent experts to review utility rate filings.  Accordingly, Mr. Linden’s Exceptions are denied. </w:t>
      </w:r>
    </w:p>
    <w:p w:rsidR="006B0B89" w:rsidRDefault="006B0B89" w:rsidP="00A76F8A">
      <w:pPr>
        <w:pStyle w:val="Heading3"/>
      </w:pPr>
    </w:p>
    <w:p w:rsidR="00C46BE6" w:rsidRPr="003B2621" w:rsidRDefault="00C46BE6" w:rsidP="00A76F8A">
      <w:pPr>
        <w:pStyle w:val="Heading3"/>
      </w:pPr>
      <w:bookmarkStart w:id="49" w:name="_Toc264354784"/>
      <w:r>
        <w:t>10</w:t>
      </w:r>
      <w:r w:rsidRPr="003B2621">
        <w:t>.</w:t>
      </w:r>
      <w:r>
        <w:tab/>
      </w:r>
      <w:r w:rsidR="00AB6CB2">
        <w:t>Violation of Fourteenth</w:t>
      </w:r>
      <w:r w:rsidR="00BC26EC">
        <w:t xml:space="preserve"> Amendment Rights</w:t>
      </w:r>
      <w:bookmarkEnd w:id="49"/>
      <w:r w:rsidRPr="003B2621">
        <w:tab/>
      </w:r>
    </w:p>
    <w:p w:rsidR="00EC4B6E" w:rsidRDefault="00EC4B6E" w:rsidP="00A76F8A">
      <w:pPr>
        <w:spacing w:line="360" w:lineRule="auto"/>
        <w:rPr>
          <w:sz w:val="26"/>
          <w:szCs w:val="26"/>
        </w:rPr>
      </w:pPr>
    </w:p>
    <w:p w:rsidR="003331AD" w:rsidRDefault="00AB6CB2" w:rsidP="00A76F8A">
      <w:pPr>
        <w:pStyle w:val="Heading4"/>
      </w:pPr>
      <w:bookmarkStart w:id="50" w:name="_Toc264354785"/>
      <w:r>
        <w:t>a.</w:t>
      </w:r>
      <w:r>
        <w:tab/>
      </w:r>
      <w:r w:rsidR="003331AD" w:rsidRPr="003E23C5">
        <w:t>Positions of the Parties</w:t>
      </w:r>
      <w:bookmarkEnd w:id="50"/>
    </w:p>
    <w:p w:rsidR="003331AD" w:rsidRDefault="003331AD" w:rsidP="00A76F8A">
      <w:pPr>
        <w:spacing w:line="360" w:lineRule="auto"/>
        <w:rPr>
          <w:sz w:val="26"/>
          <w:szCs w:val="26"/>
        </w:rPr>
      </w:pPr>
    </w:p>
    <w:p w:rsidR="00E04F24" w:rsidRPr="00E04F24" w:rsidRDefault="00E04F24" w:rsidP="00A76F8A">
      <w:pPr>
        <w:pStyle w:val="ListParagraph"/>
        <w:spacing w:line="360" w:lineRule="auto"/>
        <w:ind w:left="0" w:firstLine="1440"/>
        <w:rPr>
          <w:spacing w:val="-3"/>
          <w:sz w:val="26"/>
          <w:szCs w:val="26"/>
        </w:rPr>
      </w:pPr>
      <w:r w:rsidRPr="00E04F24">
        <w:rPr>
          <w:spacing w:val="-3"/>
          <w:sz w:val="26"/>
          <w:szCs w:val="26"/>
        </w:rPr>
        <w:t>Mrs. D</w:t>
      </w:r>
      <w:r>
        <w:rPr>
          <w:spacing w:val="-3"/>
          <w:sz w:val="26"/>
          <w:szCs w:val="26"/>
        </w:rPr>
        <w:t>amavandi argued that</w:t>
      </w:r>
      <w:r w:rsidR="00C41A0E">
        <w:rPr>
          <w:spacing w:val="-3"/>
          <w:sz w:val="26"/>
          <w:szCs w:val="26"/>
        </w:rPr>
        <w:t xml:space="preserve"> </w:t>
      </w:r>
      <w:r w:rsidR="00307409">
        <w:rPr>
          <w:spacing w:val="-3"/>
          <w:sz w:val="26"/>
          <w:szCs w:val="26"/>
        </w:rPr>
        <w:t xml:space="preserve">the need for </w:t>
      </w:r>
      <w:r w:rsidRPr="00E04F24">
        <w:rPr>
          <w:spacing w:val="-3"/>
          <w:sz w:val="26"/>
          <w:szCs w:val="26"/>
        </w:rPr>
        <w:t>major improvements</w:t>
      </w:r>
      <w:r w:rsidR="00307409">
        <w:rPr>
          <w:spacing w:val="-3"/>
          <w:sz w:val="26"/>
          <w:szCs w:val="26"/>
        </w:rPr>
        <w:t xml:space="preserve"> to the system</w:t>
      </w:r>
      <w:r>
        <w:rPr>
          <w:spacing w:val="-3"/>
          <w:sz w:val="26"/>
          <w:szCs w:val="26"/>
        </w:rPr>
        <w:t>,</w:t>
      </w:r>
      <w:r w:rsidRPr="00E04F24">
        <w:rPr>
          <w:spacing w:val="-3"/>
          <w:sz w:val="26"/>
          <w:szCs w:val="26"/>
        </w:rPr>
        <w:t xml:space="preserve"> </w:t>
      </w:r>
      <w:r w:rsidR="00307409">
        <w:rPr>
          <w:spacing w:val="-3"/>
          <w:sz w:val="26"/>
          <w:szCs w:val="26"/>
        </w:rPr>
        <w:t>which was asserted</w:t>
      </w:r>
      <w:r w:rsidR="004E2280">
        <w:rPr>
          <w:spacing w:val="-3"/>
          <w:sz w:val="26"/>
          <w:szCs w:val="26"/>
        </w:rPr>
        <w:t xml:space="preserve"> by Aqua as a rationale for </w:t>
      </w:r>
      <w:r w:rsidR="00307409">
        <w:rPr>
          <w:spacing w:val="-3"/>
          <w:sz w:val="26"/>
          <w:szCs w:val="26"/>
        </w:rPr>
        <w:t>higher rates</w:t>
      </w:r>
      <w:r w:rsidR="004E2280">
        <w:rPr>
          <w:spacing w:val="-3"/>
          <w:sz w:val="26"/>
          <w:szCs w:val="26"/>
        </w:rPr>
        <w:t>,</w:t>
      </w:r>
      <w:r w:rsidR="00307409">
        <w:rPr>
          <w:spacing w:val="-3"/>
          <w:sz w:val="26"/>
          <w:szCs w:val="26"/>
        </w:rPr>
        <w:t xml:space="preserve"> is not present in Delaware County, where she resides.  Accordingly, she argued that</w:t>
      </w:r>
      <w:r w:rsidRPr="00E04F24">
        <w:rPr>
          <w:spacing w:val="-3"/>
          <w:sz w:val="26"/>
          <w:szCs w:val="26"/>
        </w:rPr>
        <w:t xml:space="preserve"> to force residents</w:t>
      </w:r>
      <w:r w:rsidR="00307409">
        <w:rPr>
          <w:spacing w:val="-3"/>
          <w:sz w:val="26"/>
          <w:szCs w:val="26"/>
        </w:rPr>
        <w:t xml:space="preserve"> where improvements are not needed</w:t>
      </w:r>
      <w:r w:rsidRPr="00E04F24">
        <w:rPr>
          <w:spacing w:val="-3"/>
          <w:sz w:val="26"/>
          <w:szCs w:val="26"/>
        </w:rPr>
        <w:t xml:space="preserve"> to pay for the expenditures where</w:t>
      </w:r>
      <w:r w:rsidR="00006D35">
        <w:rPr>
          <w:spacing w:val="-3"/>
          <w:sz w:val="26"/>
          <w:szCs w:val="26"/>
        </w:rPr>
        <w:t xml:space="preserve"> </w:t>
      </w:r>
      <w:r w:rsidR="00307409">
        <w:rPr>
          <w:spacing w:val="-3"/>
          <w:sz w:val="26"/>
          <w:szCs w:val="26"/>
        </w:rPr>
        <w:t>major improvements are needed,</w:t>
      </w:r>
      <w:r w:rsidRPr="00E04F24">
        <w:rPr>
          <w:spacing w:val="-3"/>
          <w:sz w:val="26"/>
          <w:szCs w:val="26"/>
        </w:rPr>
        <w:t xml:space="preserve"> is a taking and</w:t>
      </w:r>
      <w:r w:rsidR="00307409">
        <w:rPr>
          <w:spacing w:val="-3"/>
          <w:sz w:val="26"/>
          <w:szCs w:val="26"/>
        </w:rPr>
        <w:t>,</w:t>
      </w:r>
      <w:r w:rsidRPr="00E04F24">
        <w:rPr>
          <w:spacing w:val="-3"/>
          <w:sz w:val="26"/>
          <w:szCs w:val="26"/>
        </w:rPr>
        <w:t xml:space="preserve"> thus</w:t>
      </w:r>
      <w:r w:rsidR="00307409">
        <w:rPr>
          <w:spacing w:val="-3"/>
          <w:sz w:val="26"/>
          <w:szCs w:val="26"/>
        </w:rPr>
        <w:t>,</w:t>
      </w:r>
      <w:r w:rsidRPr="00E04F24">
        <w:rPr>
          <w:spacing w:val="-3"/>
          <w:sz w:val="26"/>
          <w:szCs w:val="26"/>
        </w:rPr>
        <w:t xml:space="preserve"> a violation of the 14</w:t>
      </w:r>
      <w:r w:rsidRPr="00E04F24">
        <w:rPr>
          <w:spacing w:val="-3"/>
          <w:sz w:val="26"/>
          <w:szCs w:val="26"/>
          <w:vertAlign w:val="superscript"/>
        </w:rPr>
        <w:t>th</w:t>
      </w:r>
      <w:r w:rsidRPr="00E04F24">
        <w:rPr>
          <w:spacing w:val="-3"/>
          <w:sz w:val="26"/>
          <w:szCs w:val="26"/>
        </w:rPr>
        <w:t xml:space="preserve"> Amend</w:t>
      </w:r>
      <w:r w:rsidR="00307409">
        <w:rPr>
          <w:spacing w:val="-3"/>
          <w:sz w:val="26"/>
          <w:szCs w:val="26"/>
        </w:rPr>
        <w:t>ment of the U.S. Constitution.  Mrs. Damavandi further contended</w:t>
      </w:r>
      <w:r w:rsidRPr="00E04F24">
        <w:rPr>
          <w:spacing w:val="-3"/>
          <w:sz w:val="26"/>
          <w:szCs w:val="26"/>
        </w:rPr>
        <w:t xml:space="preserve"> that the 14</w:t>
      </w:r>
      <w:r w:rsidRPr="00E04F24">
        <w:rPr>
          <w:spacing w:val="-3"/>
          <w:sz w:val="26"/>
          <w:szCs w:val="26"/>
          <w:vertAlign w:val="superscript"/>
        </w:rPr>
        <w:t>th</w:t>
      </w:r>
      <w:r w:rsidRPr="00E04F24">
        <w:rPr>
          <w:spacing w:val="-3"/>
          <w:sz w:val="26"/>
          <w:szCs w:val="26"/>
        </w:rPr>
        <w:t xml:space="preserve"> Amendment also prohibits the public, which </w:t>
      </w:r>
      <w:r w:rsidR="003331AD">
        <w:rPr>
          <w:spacing w:val="-3"/>
          <w:sz w:val="26"/>
          <w:szCs w:val="26"/>
        </w:rPr>
        <w:t>does not have the option of selecting a different</w:t>
      </w:r>
      <w:r w:rsidR="004E2280">
        <w:rPr>
          <w:spacing w:val="-3"/>
          <w:sz w:val="26"/>
          <w:szCs w:val="26"/>
        </w:rPr>
        <w:t xml:space="preserve"> water provider, from</w:t>
      </w:r>
      <w:r w:rsidRPr="00E04F24">
        <w:rPr>
          <w:spacing w:val="-3"/>
          <w:sz w:val="26"/>
          <w:szCs w:val="26"/>
        </w:rPr>
        <w:t xml:space="preserve"> bear</w:t>
      </w:r>
      <w:r w:rsidR="004E2280">
        <w:rPr>
          <w:spacing w:val="-3"/>
          <w:sz w:val="26"/>
          <w:szCs w:val="26"/>
        </w:rPr>
        <w:t>ing</w:t>
      </w:r>
      <w:r w:rsidRPr="00E04F24">
        <w:rPr>
          <w:spacing w:val="-3"/>
          <w:sz w:val="26"/>
          <w:szCs w:val="26"/>
        </w:rPr>
        <w:t xml:space="preserve"> the costs of this public</w:t>
      </w:r>
      <w:r w:rsidR="00006D35">
        <w:rPr>
          <w:spacing w:val="-3"/>
          <w:sz w:val="26"/>
          <w:szCs w:val="26"/>
        </w:rPr>
        <w:t>ly</w:t>
      </w:r>
      <w:r w:rsidRPr="00E04F24">
        <w:rPr>
          <w:spacing w:val="-3"/>
          <w:sz w:val="26"/>
          <w:szCs w:val="26"/>
        </w:rPr>
        <w:t xml:space="preserve"> traded corporation.  </w:t>
      </w:r>
    </w:p>
    <w:p w:rsidR="003331AD" w:rsidRDefault="003331AD" w:rsidP="00A76F8A">
      <w:pPr>
        <w:pStyle w:val="ListParagraph"/>
        <w:spacing w:line="360" w:lineRule="auto"/>
        <w:ind w:left="0" w:firstLine="1440"/>
        <w:rPr>
          <w:spacing w:val="-3"/>
          <w:sz w:val="26"/>
          <w:szCs w:val="26"/>
        </w:rPr>
      </w:pPr>
    </w:p>
    <w:p w:rsidR="003331AD" w:rsidRDefault="003331AD" w:rsidP="00A76F8A">
      <w:pPr>
        <w:pStyle w:val="Heading4"/>
      </w:pPr>
      <w:bookmarkStart w:id="51" w:name="_Toc264354786"/>
      <w:r>
        <w:t>b.</w:t>
      </w:r>
      <w:r>
        <w:tab/>
        <w:t>ALJ’s Recommendation</w:t>
      </w:r>
      <w:bookmarkEnd w:id="51"/>
    </w:p>
    <w:p w:rsidR="00BC26EC" w:rsidRDefault="00BC26EC" w:rsidP="00A76F8A">
      <w:pPr>
        <w:spacing w:line="360" w:lineRule="auto"/>
        <w:rPr>
          <w:sz w:val="26"/>
          <w:szCs w:val="26"/>
        </w:rPr>
      </w:pPr>
    </w:p>
    <w:p w:rsidR="003331AD" w:rsidRDefault="003331AD" w:rsidP="00A76F8A">
      <w:pPr>
        <w:pStyle w:val="ListParagraph"/>
        <w:spacing w:line="360" w:lineRule="auto"/>
        <w:ind w:left="0" w:firstLine="1440"/>
        <w:rPr>
          <w:spacing w:val="-3"/>
          <w:sz w:val="26"/>
          <w:szCs w:val="26"/>
        </w:rPr>
      </w:pPr>
      <w:r>
        <w:rPr>
          <w:spacing w:val="-3"/>
          <w:sz w:val="26"/>
          <w:szCs w:val="26"/>
        </w:rPr>
        <w:t>ALJ Jones noted initially that this</w:t>
      </w:r>
      <w:r w:rsidRPr="00E04F24">
        <w:rPr>
          <w:spacing w:val="-3"/>
          <w:sz w:val="26"/>
          <w:szCs w:val="26"/>
        </w:rPr>
        <w:t xml:space="preserve"> issue was first raised by Mrs. Damavandi in her Reply B</w:t>
      </w:r>
      <w:r w:rsidR="00F21B60">
        <w:rPr>
          <w:spacing w:val="-3"/>
          <w:sz w:val="26"/>
          <w:szCs w:val="26"/>
        </w:rPr>
        <w:t>rief.  The issue</w:t>
      </w:r>
      <w:r w:rsidRPr="00E04F24">
        <w:rPr>
          <w:spacing w:val="-3"/>
          <w:sz w:val="26"/>
          <w:szCs w:val="26"/>
        </w:rPr>
        <w:t xml:space="preserve"> </w:t>
      </w:r>
      <w:r w:rsidR="00F21B60">
        <w:rPr>
          <w:spacing w:val="-3"/>
          <w:sz w:val="26"/>
          <w:szCs w:val="26"/>
        </w:rPr>
        <w:t>was not announced in the Formal Complaint filed by Mrs. </w:t>
      </w:r>
      <w:r w:rsidRPr="00E04F24">
        <w:rPr>
          <w:spacing w:val="-3"/>
          <w:sz w:val="26"/>
          <w:szCs w:val="26"/>
        </w:rPr>
        <w:t>Damavandi</w:t>
      </w:r>
      <w:r w:rsidR="00F21B60">
        <w:rPr>
          <w:spacing w:val="-3"/>
          <w:sz w:val="26"/>
          <w:szCs w:val="26"/>
        </w:rPr>
        <w:t>,</w:t>
      </w:r>
      <w:r w:rsidRPr="00E04F24">
        <w:rPr>
          <w:spacing w:val="-3"/>
          <w:sz w:val="26"/>
          <w:szCs w:val="26"/>
        </w:rPr>
        <w:t xml:space="preserve"> at Docket No. C-2009-2148691</w:t>
      </w:r>
      <w:r w:rsidR="00F21B60">
        <w:rPr>
          <w:spacing w:val="-3"/>
          <w:sz w:val="26"/>
          <w:szCs w:val="26"/>
        </w:rPr>
        <w:t>, and she d</w:t>
      </w:r>
      <w:r w:rsidRPr="00E04F24">
        <w:rPr>
          <w:spacing w:val="-3"/>
          <w:sz w:val="26"/>
          <w:szCs w:val="26"/>
        </w:rPr>
        <w:t xml:space="preserve">id </w:t>
      </w:r>
      <w:r w:rsidR="00F21B60">
        <w:rPr>
          <w:spacing w:val="-3"/>
          <w:sz w:val="26"/>
          <w:szCs w:val="26"/>
        </w:rPr>
        <w:t>not</w:t>
      </w:r>
      <w:r w:rsidRPr="00E04F24">
        <w:rPr>
          <w:spacing w:val="-3"/>
          <w:sz w:val="26"/>
          <w:szCs w:val="26"/>
        </w:rPr>
        <w:t xml:space="preserve"> submit any test</w:t>
      </w:r>
      <w:r w:rsidR="00F21B60">
        <w:rPr>
          <w:spacing w:val="-3"/>
          <w:sz w:val="26"/>
          <w:szCs w:val="26"/>
        </w:rPr>
        <w:t>imony regarding this issue.  Since the</w:t>
      </w:r>
      <w:r w:rsidRPr="00E04F24">
        <w:rPr>
          <w:spacing w:val="-3"/>
          <w:sz w:val="26"/>
          <w:szCs w:val="26"/>
        </w:rPr>
        <w:t xml:space="preserve"> Joint Parties </w:t>
      </w:r>
      <w:r w:rsidR="00F21B60">
        <w:rPr>
          <w:spacing w:val="-3"/>
          <w:sz w:val="26"/>
          <w:szCs w:val="26"/>
        </w:rPr>
        <w:t>could not a</w:t>
      </w:r>
      <w:r w:rsidRPr="00E04F24">
        <w:rPr>
          <w:spacing w:val="-3"/>
          <w:sz w:val="26"/>
          <w:szCs w:val="26"/>
        </w:rPr>
        <w:t xml:space="preserve">nticipate this </w:t>
      </w:r>
      <w:r w:rsidR="00F21B60">
        <w:rPr>
          <w:spacing w:val="-3"/>
          <w:sz w:val="26"/>
          <w:szCs w:val="26"/>
        </w:rPr>
        <w:t>argument, they</w:t>
      </w:r>
      <w:r w:rsidRPr="00E04F24">
        <w:rPr>
          <w:spacing w:val="-3"/>
          <w:sz w:val="26"/>
          <w:szCs w:val="26"/>
        </w:rPr>
        <w:t xml:space="preserve"> could not respond to the assertion.</w:t>
      </w:r>
    </w:p>
    <w:p w:rsidR="00BC26EC" w:rsidRDefault="00BC26EC" w:rsidP="00A76F8A">
      <w:pPr>
        <w:spacing w:line="360" w:lineRule="auto"/>
        <w:rPr>
          <w:sz w:val="26"/>
          <w:szCs w:val="26"/>
        </w:rPr>
      </w:pPr>
    </w:p>
    <w:p w:rsidR="00CC076C" w:rsidRPr="00353061" w:rsidRDefault="00353061" w:rsidP="00A76F8A">
      <w:pPr>
        <w:tabs>
          <w:tab w:val="left" w:pos="-1440"/>
          <w:tab w:val="left" w:pos="-720"/>
        </w:tabs>
        <w:suppressAutoHyphens/>
        <w:spacing w:line="360" w:lineRule="auto"/>
        <w:ind w:firstLine="1440"/>
        <w:rPr>
          <w:spacing w:val="-3"/>
          <w:sz w:val="26"/>
        </w:rPr>
      </w:pPr>
      <w:r>
        <w:rPr>
          <w:spacing w:val="-3"/>
          <w:sz w:val="26"/>
        </w:rPr>
        <w:t>The ALJ noted that, m</w:t>
      </w:r>
      <w:r w:rsidR="00CC076C" w:rsidRPr="00353061">
        <w:rPr>
          <w:spacing w:val="-3"/>
          <w:sz w:val="26"/>
        </w:rPr>
        <w:t xml:space="preserve">uch like Dr. Briskin above, regarding DSIC proceeds, Mrs. Damavandi is procedurally out-of-order in raising an issue for the first time in </w:t>
      </w:r>
      <w:r w:rsidR="004E2280">
        <w:rPr>
          <w:spacing w:val="-3"/>
          <w:sz w:val="26"/>
        </w:rPr>
        <w:t xml:space="preserve">a </w:t>
      </w:r>
      <w:r w:rsidR="00CC076C" w:rsidRPr="00353061">
        <w:rPr>
          <w:spacing w:val="-3"/>
          <w:sz w:val="26"/>
        </w:rPr>
        <w:t xml:space="preserve">Reply Brief.  </w:t>
      </w:r>
      <w:r>
        <w:rPr>
          <w:spacing w:val="-3"/>
          <w:sz w:val="26"/>
        </w:rPr>
        <w:t>She noted that t</w:t>
      </w:r>
      <w:r w:rsidR="00CC076C" w:rsidRPr="00353061">
        <w:rPr>
          <w:spacing w:val="-3"/>
          <w:sz w:val="26"/>
        </w:rPr>
        <w:t>here is no</w:t>
      </w:r>
      <w:r>
        <w:rPr>
          <w:spacing w:val="-3"/>
          <w:sz w:val="26"/>
        </w:rPr>
        <w:t xml:space="preserve"> reason why the issue could not have been raised </w:t>
      </w:r>
      <w:r w:rsidR="00CC076C" w:rsidRPr="00353061">
        <w:rPr>
          <w:spacing w:val="-3"/>
          <w:sz w:val="26"/>
        </w:rPr>
        <w:t>in a Main Brief</w:t>
      </w:r>
      <w:r>
        <w:rPr>
          <w:spacing w:val="-3"/>
          <w:sz w:val="26"/>
        </w:rPr>
        <w:t xml:space="preserve">, thus affording the </w:t>
      </w:r>
      <w:r w:rsidR="00CC076C" w:rsidRPr="00353061">
        <w:rPr>
          <w:spacing w:val="-3"/>
          <w:sz w:val="26"/>
        </w:rPr>
        <w:t xml:space="preserve">Joint Parties </w:t>
      </w:r>
      <w:r>
        <w:rPr>
          <w:spacing w:val="-3"/>
          <w:sz w:val="26"/>
        </w:rPr>
        <w:t>an opportunity to</w:t>
      </w:r>
      <w:r w:rsidR="00CC076C" w:rsidRPr="00353061">
        <w:rPr>
          <w:spacing w:val="-3"/>
          <w:sz w:val="26"/>
        </w:rPr>
        <w:t xml:space="preserve"> respond</w:t>
      </w:r>
      <w:r>
        <w:rPr>
          <w:spacing w:val="-3"/>
          <w:sz w:val="26"/>
        </w:rPr>
        <w:t xml:space="preserve"> to the issue</w:t>
      </w:r>
      <w:r w:rsidR="00CC076C" w:rsidRPr="00353061">
        <w:rPr>
          <w:spacing w:val="-3"/>
          <w:sz w:val="26"/>
        </w:rPr>
        <w:t xml:space="preserve">.  </w:t>
      </w:r>
      <w:r>
        <w:rPr>
          <w:spacing w:val="-3"/>
          <w:sz w:val="26"/>
        </w:rPr>
        <w:t>F</w:t>
      </w:r>
      <w:r w:rsidR="00CC076C" w:rsidRPr="00353061">
        <w:rPr>
          <w:spacing w:val="-3"/>
          <w:sz w:val="26"/>
        </w:rPr>
        <w:t>or this procedural transgression</w:t>
      </w:r>
      <w:r>
        <w:rPr>
          <w:spacing w:val="-3"/>
          <w:sz w:val="26"/>
        </w:rPr>
        <w:t xml:space="preserve"> alone</w:t>
      </w:r>
      <w:r w:rsidR="00CC076C" w:rsidRPr="00353061">
        <w:rPr>
          <w:spacing w:val="-3"/>
          <w:sz w:val="26"/>
        </w:rPr>
        <w:t>, the m</w:t>
      </w:r>
      <w:r w:rsidR="007D113C">
        <w:rPr>
          <w:spacing w:val="-3"/>
          <w:sz w:val="26"/>
        </w:rPr>
        <w:t>atter should not be addressed.  Additionally,</w:t>
      </w:r>
      <w:r w:rsidR="00CC076C" w:rsidRPr="00353061">
        <w:rPr>
          <w:spacing w:val="-3"/>
          <w:sz w:val="26"/>
        </w:rPr>
        <w:t xml:space="preserve"> </w:t>
      </w:r>
      <w:r w:rsidR="007D113C">
        <w:rPr>
          <w:spacing w:val="-3"/>
          <w:sz w:val="26"/>
        </w:rPr>
        <w:t xml:space="preserve">the ALJ </w:t>
      </w:r>
      <w:r w:rsidR="007D113C">
        <w:rPr>
          <w:spacing w:val="-3"/>
          <w:sz w:val="26"/>
        </w:rPr>
        <w:lastRenderedPageBreak/>
        <w:t xml:space="preserve">noted that </w:t>
      </w:r>
      <w:r w:rsidR="00CC076C" w:rsidRPr="00353061">
        <w:rPr>
          <w:spacing w:val="-3"/>
          <w:sz w:val="26"/>
        </w:rPr>
        <w:t xml:space="preserve">the Commission is not the proper forum to ascertain whether constitutional rights have </w:t>
      </w:r>
      <w:r w:rsidR="007D113C">
        <w:rPr>
          <w:spacing w:val="-3"/>
          <w:sz w:val="26"/>
        </w:rPr>
        <w:t xml:space="preserve">been violated.  </w:t>
      </w:r>
      <w:r>
        <w:rPr>
          <w:spacing w:val="-3"/>
          <w:sz w:val="26"/>
        </w:rPr>
        <w:t>R.D. at 43</w:t>
      </w:r>
    </w:p>
    <w:p w:rsidR="00CC076C" w:rsidRDefault="00CC076C" w:rsidP="00A76F8A">
      <w:pPr>
        <w:spacing w:line="360" w:lineRule="auto"/>
        <w:rPr>
          <w:sz w:val="26"/>
          <w:szCs w:val="26"/>
        </w:rPr>
      </w:pPr>
    </w:p>
    <w:p w:rsidR="00A454CD" w:rsidRDefault="00A454CD" w:rsidP="00A76F8A">
      <w:pPr>
        <w:pStyle w:val="Heading4"/>
      </w:pPr>
      <w:bookmarkStart w:id="52" w:name="_Toc264354787"/>
      <w:r>
        <w:t>c.</w:t>
      </w:r>
      <w:r>
        <w:tab/>
        <w:t>Disposition</w:t>
      </w:r>
      <w:bookmarkEnd w:id="52"/>
    </w:p>
    <w:p w:rsidR="0013788F" w:rsidRDefault="0013788F" w:rsidP="00A76F8A">
      <w:pPr>
        <w:spacing w:line="360" w:lineRule="auto"/>
        <w:rPr>
          <w:sz w:val="26"/>
          <w:szCs w:val="26"/>
        </w:rPr>
      </w:pPr>
    </w:p>
    <w:p w:rsidR="000715F4" w:rsidRDefault="00532EBB" w:rsidP="0013788F">
      <w:pPr>
        <w:spacing w:line="360" w:lineRule="auto"/>
        <w:ind w:firstLine="1440"/>
        <w:rPr>
          <w:sz w:val="26"/>
          <w:szCs w:val="26"/>
        </w:rPr>
      </w:pPr>
      <w:r>
        <w:rPr>
          <w:sz w:val="26"/>
          <w:szCs w:val="26"/>
        </w:rPr>
        <w:t>No Party excepts to the ALJ’s recommendation on this issue.  As such, and finding that recommendation to be otherwise reasonable, it is adopted.</w:t>
      </w:r>
    </w:p>
    <w:p w:rsidR="00AB6CB2" w:rsidRDefault="00AB6CB2" w:rsidP="00A76F8A">
      <w:pPr>
        <w:spacing w:line="360" w:lineRule="auto"/>
        <w:rPr>
          <w:sz w:val="26"/>
          <w:szCs w:val="26"/>
        </w:rPr>
      </w:pPr>
    </w:p>
    <w:p w:rsidR="003E117A" w:rsidRPr="003B2621" w:rsidRDefault="003E117A" w:rsidP="00A76F8A">
      <w:pPr>
        <w:pStyle w:val="Heading3"/>
      </w:pPr>
      <w:bookmarkStart w:id="53" w:name="_Toc264354788"/>
      <w:r>
        <w:t>11</w:t>
      </w:r>
      <w:r w:rsidRPr="003B2621">
        <w:t>.</w:t>
      </w:r>
      <w:r>
        <w:tab/>
        <w:t>Mr. Linden’s Suggestions for Joint Settlement</w:t>
      </w:r>
      <w:bookmarkEnd w:id="53"/>
      <w:r w:rsidRPr="003B2621">
        <w:tab/>
      </w:r>
    </w:p>
    <w:p w:rsidR="00EC4B6E" w:rsidRDefault="00EC4B6E" w:rsidP="00A76F8A">
      <w:pPr>
        <w:spacing w:line="360" w:lineRule="auto"/>
        <w:rPr>
          <w:sz w:val="26"/>
          <w:szCs w:val="26"/>
        </w:rPr>
      </w:pPr>
    </w:p>
    <w:p w:rsidR="00D777D4" w:rsidRDefault="00AB6CB2" w:rsidP="00A76F8A">
      <w:pPr>
        <w:pStyle w:val="Heading4"/>
      </w:pPr>
      <w:bookmarkStart w:id="54" w:name="_Toc264354789"/>
      <w:r>
        <w:t>a.</w:t>
      </w:r>
      <w:r>
        <w:tab/>
      </w:r>
      <w:r w:rsidR="00D777D4" w:rsidRPr="003E23C5">
        <w:t>Positions of the Parties</w:t>
      </w:r>
      <w:bookmarkEnd w:id="54"/>
    </w:p>
    <w:p w:rsidR="00D777D4" w:rsidRDefault="00D777D4" w:rsidP="00A76F8A">
      <w:pPr>
        <w:spacing w:line="360" w:lineRule="auto"/>
        <w:rPr>
          <w:sz w:val="26"/>
          <w:szCs w:val="26"/>
        </w:rPr>
      </w:pPr>
    </w:p>
    <w:p w:rsidR="00ED389D" w:rsidRPr="00D777D4" w:rsidRDefault="00D777D4" w:rsidP="00A76F8A">
      <w:pPr>
        <w:tabs>
          <w:tab w:val="left" w:pos="-1440"/>
          <w:tab w:val="left" w:pos="-720"/>
        </w:tabs>
        <w:suppressAutoHyphens/>
        <w:spacing w:line="360" w:lineRule="auto"/>
        <w:ind w:left="1440"/>
        <w:rPr>
          <w:spacing w:val="-3"/>
          <w:sz w:val="26"/>
          <w:szCs w:val="26"/>
        </w:rPr>
      </w:pPr>
      <w:r>
        <w:rPr>
          <w:spacing w:val="-3"/>
          <w:sz w:val="26"/>
          <w:szCs w:val="26"/>
        </w:rPr>
        <w:t xml:space="preserve">Mr. Linden had four </w:t>
      </w:r>
      <w:r w:rsidR="00ED389D" w:rsidRPr="00D777D4">
        <w:rPr>
          <w:spacing w:val="-3"/>
          <w:sz w:val="26"/>
          <w:szCs w:val="26"/>
        </w:rPr>
        <w:t>suggestions to amend the Joint Settlement</w:t>
      </w:r>
      <w:r>
        <w:rPr>
          <w:spacing w:val="-3"/>
          <w:sz w:val="26"/>
          <w:szCs w:val="26"/>
        </w:rPr>
        <w:t>, as follows</w:t>
      </w:r>
      <w:r w:rsidR="00ED389D" w:rsidRPr="00D777D4">
        <w:rPr>
          <w:spacing w:val="-3"/>
          <w:sz w:val="26"/>
          <w:szCs w:val="26"/>
        </w:rPr>
        <w:t>:</w:t>
      </w:r>
    </w:p>
    <w:p w:rsidR="00ED389D" w:rsidRPr="00D777D4" w:rsidRDefault="00ED389D" w:rsidP="00A76F8A">
      <w:pPr>
        <w:tabs>
          <w:tab w:val="left" w:pos="-1440"/>
          <w:tab w:val="left" w:pos="-720"/>
        </w:tabs>
        <w:suppressAutoHyphens/>
        <w:spacing w:line="360" w:lineRule="auto"/>
        <w:ind w:left="1440"/>
        <w:rPr>
          <w:spacing w:val="-3"/>
          <w:sz w:val="26"/>
          <w:szCs w:val="26"/>
        </w:rPr>
      </w:pPr>
    </w:p>
    <w:p w:rsidR="00ED389D" w:rsidRPr="00D777D4" w:rsidRDefault="00ED389D" w:rsidP="00A76F8A">
      <w:pPr>
        <w:numPr>
          <w:ilvl w:val="0"/>
          <w:numId w:val="40"/>
        </w:numPr>
        <w:tabs>
          <w:tab w:val="left" w:pos="-1440"/>
          <w:tab w:val="left" w:pos="-720"/>
        </w:tabs>
        <w:suppressAutoHyphens/>
        <w:ind w:right="1350"/>
        <w:rPr>
          <w:spacing w:val="-3"/>
          <w:sz w:val="26"/>
          <w:szCs w:val="26"/>
        </w:rPr>
      </w:pPr>
      <w:r w:rsidRPr="00D777D4">
        <w:rPr>
          <w:spacing w:val="-3"/>
          <w:sz w:val="26"/>
          <w:szCs w:val="26"/>
        </w:rPr>
        <w:t>Implement an Aqua Pennsylvania Consumer Advisory Committee organized by the OCA with a PUC Commissioner as a liaison to the committee;</w:t>
      </w:r>
    </w:p>
    <w:p w:rsidR="00D777D4" w:rsidRPr="00D777D4" w:rsidRDefault="00D777D4" w:rsidP="00A76F8A">
      <w:pPr>
        <w:tabs>
          <w:tab w:val="left" w:pos="-1440"/>
          <w:tab w:val="left" w:pos="-720"/>
        </w:tabs>
        <w:suppressAutoHyphens/>
        <w:ind w:left="1800" w:right="1350"/>
        <w:rPr>
          <w:spacing w:val="-3"/>
          <w:sz w:val="26"/>
          <w:szCs w:val="26"/>
        </w:rPr>
      </w:pPr>
    </w:p>
    <w:p w:rsidR="00ED389D" w:rsidRPr="00D777D4" w:rsidRDefault="0081084A" w:rsidP="00A76F8A">
      <w:pPr>
        <w:numPr>
          <w:ilvl w:val="0"/>
          <w:numId w:val="40"/>
        </w:numPr>
        <w:tabs>
          <w:tab w:val="left" w:pos="-1440"/>
          <w:tab w:val="left" w:pos="-720"/>
        </w:tabs>
        <w:suppressAutoHyphens/>
        <w:ind w:right="1350"/>
        <w:rPr>
          <w:spacing w:val="-3"/>
          <w:sz w:val="26"/>
          <w:szCs w:val="26"/>
        </w:rPr>
      </w:pPr>
      <w:r>
        <w:rPr>
          <w:spacing w:val="-3"/>
          <w:sz w:val="26"/>
          <w:szCs w:val="26"/>
        </w:rPr>
        <w:t>Direct Aqua to develop five, ten and twenty-five</w:t>
      </w:r>
      <w:r w:rsidR="00ED389D" w:rsidRPr="00D777D4">
        <w:rPr>
          <w:spacing w:val="-3"/>
          <w:sz w:val="26"/>
          <w:szCs w:val="26"/>
        </w:rPr>
        <w:t xml:space="preserve"> year projections of revenues, expenditures and associated rate and capital requirement;</w:t>
      </w:r>
    </w:p>
    <w:p w:rsidR="00D777D4" w:rsidRPr="00D777D4" w:rsidRDefault="00D777D4" w:rsidP="00A76F8A">
      <w:pPr>
        <w:tabs>
          <w:tab w:val="left" w:pos="-1440"/>
          <w:tab w:val="left" w:pos="-720"/>
        </w:tabs>
        <w:suppressAutoHyphens/>
        <w:ind w:left="1800" w:right="1350"/>
        <w:rPr>
          <w:spacing w:val="-3"/>
          <w:sz w:val="26"/>
          <w:szCs w:val="26"/>
        </w:rPr>
      </w:pPr>
    </w:p>
    <w:p w:rsidR="00ED389D" w:rsidRPr="00D777D4" w:rsidRDefault="00ED389D" w:rsidP="00A76F8A">
      <w:pPr>
        <w:numPr>
          <w:ilvl w:val="0"/>
          <w:numId w:val="40"/>
        </w:numPr>
        <w:tabs>
          <w:tab w:val="left" w:pos="-1440"/>
          <w:tab w:val="left" w:pos="-720"/>
        </w:tabs>
        <w:suppressAutoHyphens/>
        <w:ind w:right="1350"/>
        <w:rPr>
          <w:spacing w:val="-3"/>
          <w:sz w:val="26"/>
          <w:szCs w:val="26"/>
        </w:rPr>
      </w:pPr>
      <w:r w:rsidRPr="00D777D4">
        <w:rPr>
          <w:spacing w:val="-3"/>
          <w:sz w:val="26"/>
          <w:szCs w:val="26"/>
        </w:rPr>
        <w:t>Require all public notices of rate increases by Aqua to include information regarding the DSIC, that is</w:t>
      </w:r>
      <w:r w:rsidR="0081084A">
        <w:rPr>
          <w:spacing w:val="-3"/>
          <w:sz w:val="26"/>
          <w:szCs w:val="26"/>
        </w:rPr>
        <w:t>,</w:t>
      </w:r>
      <w:r w:rsidRPr="00D777D4">
        <w:rPr>
          <w:spacing w:val="-3"/>
          <w:sz w:val="26"/>
          <w:szCs w:val="26"/>
        </w:rPr>
        <w:t xml:space="preserve"> if reset, rolled-in or otherwise treated with the proposed increase; and</w:t>
      </w:r>
    </w:p>
    <w:p w:rsidR="00D777D4" w:rsidRPr="00D777D4" w:rsidRDefault="00D777D4" w:rsidP="00A76F8A">
      <w:pPr>
        <w:tabs>
          <w:tab w:val="left" w:pos="-1440"/>
          <w:tab w:val="left" w:pos="-720"/>
        </w:tabs>
        <w:suppressAutoHyphens/>
        <w:ind w:left="1800" w:right="1350"/>
        <w:rPr>
          <w:spacing w:val="-3"/>
          <w:sz w:val="26"/>
          <w:szCs w:val="26"/>
        </w:rPr>
      </w:pPr>
    </w:p>
    <w:p w:rsidR="00ED389D" w:rsidRPr="00D777D4" w:rsidRDefault="00ED389D" w:rsidP="00A76F8A">
      <w:pPr>
        <w:numPr>
          <w:ilvl w:val="0"/>
          <w:numId w:val="40"/>
        </w:numPr>
        <w:tabs>
          <w:tab w:val="left" w:pos="-1440"/>
          <w:tab w:val="left" w:pos="-720"/>
        </w:tabs>
        <w:suppressAutoHyphens/>
        <w:ind w:right="1350"/>
        <w:rPr>
          <w:spacing w:val="-3"/>
          <w:sz w:val="26"/>
          <w:szCs w:val="26"/>
        </w:rPr>
      </w:pPr>
      <w:r w:rsidRPr="00D777D4">
        <w:rPr>
          <w:spacing w:val="-3"/>
          <w:sz w:val="26"/>
          <w:szCs w:val="26"/>
        </w:rPr>
        <w:t>Require all Aqua customers to be informed of p</w:t>
      </w:r>
      <w:r w:rsidR="0081084A">
        <w:rPr>
          <w:spacing w:val="-3"/>
          <w:sz w:val="26"/>
          <w:szCs w:val="26"/>
        </w:rPr>
        <w:t>ublic input hearings at least fourteen</w:t>
      </w:r>
      <w:r w:rsidR="002B0CC2">
        <w:rPr>
          <w:spacing w:val="-3"/>
          <w:sz w:val="26"/>
          <w:szCs w:val="26"/>
        </w:rPr>
        <w:t xml:space="preserve"> days prior to their</w:t>
      </w:r>
      <w:r w:rsidRPr="00D777D4">
        <w:rPr>
          <w:spacing w:val="-3"/>
          <w:sz w:val="26"/>
          <w:szCs w:val="26"/>
        </w:rPr>
        <w:t xml:space="preserve"> commencement. </w:t>
      </w:r>
    </w:p>
    <w:p w:rsidR="00ED389D" w:rsidRPr="00D777D4" w:rsidRDefault="00ED389D" w:rsidP="00A76F8A">
      <w:pPr>
        <w:tabs>
          <w:tab w:val="left" w:pos="-1440"/>
          <w:tab w:val="left" w:pos="-720"/>
        </w:tabs>
        <w:suppressAutoHyphens/>
        <w:ind w:left="1440" w:right="40"/>
        <w:rPr>
          <w:spacing w:val="-3"/>
          <w:sz w:val="26"/>
          <w:szCs w:val="26"/>
        </w:rPr>
      </w:pPr>
    </w:p>
    <w:p w:rsidR="00ED389D" w:rsidRPr="00D777D4" w:rsidRDefault="00ED389D" w:rsidP="00A76F8A">
      <w:pPr>
        <w:tabs>
          <w:tab w:val="left" w:pos="-1440"/>
          <w:tab w:val="left" w:pos="-720"/>
        </w:tabs>
        <w:suppressAutoHyphens/>
        <w:ind w:left="1440" w:right="40"/>
        <w:rPr>
          <w:spacing w:val="-3"/>
          <w:sz w:val="26"/>
          <w:szCs w:val="26"/>
        </w:rPr>
      </w:pPr>
    </w:p>
    <w:p w:rsidR="00ED389D" w:rsidRPr="00D777D4" w:rsidRDefault="00ED389D" w:rsidP="00A76F8A">
      <w:pPr>
        <w:tabs>
          <w:tab w:val="left" w:pos="-1440"/>
          <w:tab w:val="left" w:pos="-720"/>
        </w:tabs>
        <w:suppressAutoHyphens/>
        <w:ind w:right="40"/>
        <w:rPr>
          <w:spacing w:val="-3"/>
          <w:sz w:val="26"/>
          <w:szCs w:val="26"/>
        </w:rPr>
      </w:pPr>
      <w:r w:rsidRPr="00D777D4">
        <w:rPr>
          <w:spacing w:val="-3"/>
          <w:sz w:val="26"/>
          <w:szCs w:val="26"/>
        </w:rPr>
        <w:t xml:space="preserve">Linden M.B. at 8.  </w:t>
      </w:r>
    </w:p>
    <w:p w:rsidR="00ED389D" w:rsidRPr="00D777D4" w:rsidRDefault="00ED389D" w:rsidP="00A76F8A">
      <w:pPr>
        <w:tabs>
          <w:tab w:val="left" w:pos="-1440"/>
          <w:tab w:val="left" w:pos="-720"/>
        </w:tabs>
        <w:suppressAutoHyphens/>
        <w:ind w:right="40"/>
        <w:rPr>
          <w:spacing w:val="-3"/>
          <w:sz w:val="26"/>
          <w:szCs w:val="26"/>
        </w:rPr>
      </w:pPr>
    </w:p>
    <w:p w:rsidR="00ED389D" w:rsidRPr="00D777D4" w:rsidRDefault="00ED389D" w:rsidP="00A76F8A">
      <w:pPr>
        <w:tabs>
          <w:tab w:val="left" w:pos="-1440"/>
          <w:tab w:val="left" w:pos="-720"/>
        </w:tabs>
        <w:suppressAutoHyphens/>
        <w:ind w:right="40"/>
        <w:rPr>
          <w:spacing w:val="-3"/>
          <w:sz w:val="26"/>
          <w:szCs w:val="26"/>
        </w:rPr>
      </w:pPr>
    </w:p>
    <w:p w:rsidR="0074122D" w:rsidRDefault="0081084A" w:rsidP="0013788F">
      <w:pPr>
        <w:spacing w:line="360" w:lineRule="auto"/>
        <w:ind w:firstLine="1440"/>
        <w:rPr>
          <w:spacing w:val="-3"/>
          <w:sz w:val="26"/>
          <w:szCs w:val="26"/>
        </w:rPr>
      </w:pPr>
      <w:r>
        <w:rPr>
          <w:spacing w:val="-3"/>
          <w:sz w:val="26"/>
          <w:szCs w:val="26"/>
        </w:rPr>
        <w:t>The OSBA, the only P</w:t>
      </w:r>
      <w:r w:rsidR="00ED389D" w:rsidRPr="00D777D4">
        <w:rPr>
          <w:spacing w:val="-3"/>
          <w:sz w:val="26"/>
          <w:szCs w:val="26"/>
        </w:rPr>
        <w:t xml:space="preserve">arty to respond to </w:t>
      </w:r>
      <w:r w:rsidR="007E429B">
        <w:rPr>
          <w:spacing w:val="-3"/>
          <w:sz w:val="26"/>
          <w:szCs w:val="26"/>
        </w:rPr>
        <w:t>Mr. Linden’s suggestions, stated</w:t>
      </w:r>
      <w:r w:rsidR="00ED389D" w:rsidRPr="00D777D4">
        <w:rPr>
          <w:spacing w:val="-3"/>
          <w:sz w:val="26"/>
          <w:szCs w:val="26"/>
        </w:rPr>
        <w:t xml:space="preserve"> generally that it opposed any modifications to the Joint Settlement because any modif</w:t>
      </w:r>
      <w:r w:rsidR="007E429B">
        <w:rPr>
          <w:spacing w:val="-3"/>
          <w:sz w:val="26"/>
          <w:szCs w:val="26"/>
        </w:rPr>
        <w:t>ication could lead to Aqua or another Party withdrawing the offer</w:t>
      </w:r>
      <w:r w:rsidR="00ED389D" w:rsidRPr="00D777D4">
        <w:rPr>
          <w:spacing w:val="-3"/>
          <w:sz w:val="26"/>
          <w:szCs w:val="26"/>
        </w:rPr>
        <w:t xml:space="preserve"> of Joint Settlement</w:t>
      </w:r>
      <w:r w:rsidR="007E429B">
        <w:rPr>
          <w:spacing w:val="-3"/>
          <w:sz w:val="26"/>
          <w:szCs w:val="26"/>
        </w:rPr>
        <w:t xml:space="preserve">.  OSBA </w:t>
      </w:r>
      <w:r w:rsidR="007E429B">
        <w:rPr>
          <w:spacing w:val="-3"/>
          <w:sz w:val="26"/>
          <w:szCs w:val="26"/>
        </w:rPr>
        <w:lastRenderedPageBreak/>
        <w:t>R.B. </w:t>
      </w:r>
      <w:r w:rsidR="00ED389D" w:rsidRPr="00D777D4">
        <w:rPr>
          <w:spacing w:val="-3"/>
          <w:sz w:val="26"/>
          <w:szCs w:val="26"/>
        </w:rPr>
        <w:t>at 14.  Mo</w:t>
      </w:r>
      <w:r w:rsidR="007E429B">
        <w:rPr>
          <w:spacing w:val="-3"/>
          <w:sz w:val="26"/>
          <w:szCs w:val="26"/>
        </w:rPr>
        <w:t>re specifically, the OSBA also averred</w:t>
      </w:r>
      <w:r w:rsidR="00ED389D" w:rsidRPr="00D777D4">
        <w:rPr>
          <w:spacing w:val="-3"/>
          <w:sz w:val="26"/>
          <w:szCs w:val="26"/>
        </w:rPr>
        <w:t xml:space="preserve"> that the suggestion to form an Aqua Consumer Advisory Commi</w:t>
      </w:r>
      <w:r w:rsidR="002B0CC2">
        <w:rPr>
          <w:spacing w:val="-3"/>
          <w:sz w:val="26"/>
          <w:szCs w:val="26"/>
        </w:rPr>
        <w:t>ttee is logistically difficult</w:t>
      </w:r>
      <w:r w:rsidR="00ED389D" w:rsidRPr="00D777D4">
        <w:rPr>
          <w:spacing w:val="-3"/>
          <w:sz w:val="26"/>
          <w:szCs w:val="26"/>
        </w:rPr>
        <w:t xml:space="preserve"> because</w:t>
      </w:r>
      <w:r w:rsidR="007E429B">
        <w:rPr>
          <w:spacing w:val="-3"/>
          <w:sz w:val="26"/>
          <w:szCs w:val="26"/>
        </w:rPr>
        <w:t xml:space="preserve"> the service territory covers twenty-two</w:t>
      </w:r>
      <w:r w:rsidR="00ED389D" w:rsidRPr="00D777D4">
        <w:rPr>
          <w:spacing w:val="-3"/>
          <w:sz w:val="26"/>
          <w:szCs w:val="26"/>
        </w:rPr>
        <w:t xml:space="preserve"> counties and in</w:t>
      </w:r>
      <w:r w:rsidR="007E429B">
        <w:rPr>
          <w:spacing w:val="-3"/>
          <w:sz w:val="26"/>
          <w:szCs w:val="26"/>
        </w:rPr>
        <w:t>cludes in</w:t>
      </w:r>
      <w:r w:rsidR="00ED389D" w:rsidRPr="00D777D4">
        <w:rPr>
          <w:spacing w:val="-3"/>
          <w:sz w:val="26"/>
          <w:szCs w:val="26"/>
        </w:rPr>
        <w:t xml:space="preserve"> excess of 400,000 customers</w:t>
      </w:r>
      <w:r w:rsidR="007E429B">
        <w:rPr>
          <w:spacing w:val="-3"/>
          <w:sz w:val="26"/>
          <w:szCs w:val="26"/>
        </w:rPr>
        <w:t>,</w:t>
      </w:r>
      <w:r w:rsidR="00ED389D" w:rsidRPr="00D777D4">
        <w:rPr>
          <w:spacing w:val="-3"/>
          <w:sz w:val="26"/>
          <w:szCs w:val="26"/>
        </w:rPr>
        <w:t xml:space="preserve"> with diverse rates and service quality issues.</w:t>
      </w:r>
      <w:r w:rsidR="00532EBB">
        <w:rPr>
          <w:spacing w:val="-3"/>
          <w:sz w:val="26"/>
          <w:szCs w:val="26"/>
        </w:rPr>
        <w:t xml:space="preserve">  </w:t>
      </w:r>
      <w:r w:rsidR="007E429B">
        <w:rPr>
          <w:spacing w:val="-3"/>
          <w:sz w:val="26"/>
          <w:szCs w:val="26"/>
        </w:rPr>
        <w:t xml:space="preserve">Accordingly, </w:t>
      </w:r>
      <w:r w:rsidR="0074122D">
        <w:rPr>
          <w:spacing w:val="-3"/>
          <w:sz w:val="26"/>
          <w:szCs w:val="26"/>
        </w:rPr>
        <w:t xml:space="preserve">argued the OSBA, </w:t>
      </w:r>
      <w:r w:rsidR="007E429B">
        <w:rPr>
          <w:spacing w:val="-3"/>
          <w:sz w:val="26"/>
          <w:szCs w:val="26"/>
        </w:rPr>
        <w:t>i</w:t>
      </w:r>
      <w:r w:rsidR="00ED389D" w:rsidRPr="00D777D4">
        <w:rPr>
          <w:spacing w:val="-3"/>
          <w:sz w:val="26"/>
          <w:szCs w:val="26"/>
        </w:rPr>
        <w:t>t would be difficult for the committee to represent the interests of all Aqua customers.</w:t>
      </w:r>
      <w:r w:rsidR="009122F0">
        <w:rPr>
          <w:spacing w:val="-3"/>
          <w:sz w:val="26"/>
          <w:szCs w:val="26"/>
        </w:rPr>
        <w:t xml:space="preserve">  OSBA R.B. at 14.</w:t>
      </w:r>
      <w:r w:rsidR="007E429B">
        <w:rPr>
          <w:spacing w:val="-3"/>
          <w:sz w:val="26"/>
          <w:szCs w:val="26"/>
        </w:rPr>
        <w:t xml:space="preserve">  </w:t>
      </w:r>
    </w:p>
    <w:p w:rsidR="0074122D" w:rsidRDefault="0074122D" w:rsidP="00A76F8A">
      <w:pPr>
        <w:spacing w:line="360" w:lineRule="auto"/>
        <w:rPr>
          <w:spacing w:val="-3"/>
          <w:sz w:val="26"/>
          <w:szCs w:val="26"/>
        </w:rPr>
      </w:pPr>
    </w:p>
    <w:p w:rsidR="00EC4B6E" w:rsidRDefault="00ED389D" w:rsidP="0013788F">
      <w:pPr>
        <w:spacing w:line="360" w:lineRule="auto"/>
        <w:ind w:firstLine="1440"/>
        <w:rPr>
          <w:sz w:val="26"/>
          <w:szCs w:val="26"/>
        </w:rPr>
      </w:pPr>
      <w:r w:rsidRPr="00D777D4">
        <w:rPr>
          <w:spacing w:val="-3"/>
          <w:sz w:val="26"/>
          <w:szCs w:val="26"/>
        </w:rPr>
        <w:t xml:space="preserve">The OSBA </w:t>
      </w:r>
      <w:r w:rsidR="009122F0">
        <w:rPr>
          <w:spacing w:val="-3"/>
          <w:sz w:val="26"/>
          <w:szCs w:val="26"/>
        </w:rPr>
        <w:t>also objected</w:t>
      </w:r>
      <w:r w:rsidRPr="00D777D4">
        <w:rPr>
          <w:spacing w:val="-3"/>
          <w:sz w:val="26"/>
          <w:szCs w:val="26"/>
        </w:rPr>
        <w:t xml:space="preserve"> to the</w:t>
      </w:r>
      <w:r w:rsidR="001E6934">
        <w:rPr>
          <w:spacing w:val="-3"/>
          <w:sz w:val="26"/>
          <w:szCs w:val="26"/>
        </w:rPr>
        <w:t xml:space="preserve"> suggestion that the OCA </w:t>
      </w:r>
      <w:r w:rsidR="0074122D">
        <w:rPr>
          <w:spacing w:val="-3"/>
          <w:sz w:val="26"/>
          <w:szCs w:val="26"/>
        </w:rPr>
        <w:t xml:space="preserve">should </w:t>
      </w:r>
      <w:r w:rsidR="001E6934">
        <w:rPr>
          <w:spacing w:val="-3"/>
          <w:sz w:val="26"/>
          <w:szCs w:val="26"/>
        </w:rPr>
        <w:t>organize and select</w:t>
      </w:r>
      <w:r w:rsidRPr="00D777D4">
        <w:rPr>
          <w:spacing w:val="-3"/>
          <w:sz w:val="26"/>
          <w:szCs w:val="26"/>
        </w:rPr>
        <w:t xml:space="preserve"> members of the classes of customers and representativ</w:t>
      </w:r>
      <w:r w:rsidR="001E6934">
        <w:rPr>
          <w:spacing w:val="-3"/>
          <w:sz w:val="26"/>
          <w:szCs w:val="26"/>
        </w:rPr>
        <w:t>es of geographic locations, because the</w:t>
      </w:r>
      <w:r w:rsidRPr="00D777D4">
        <w:rPr>
          <w:spacing w:val="-3"/>
          <w:sz w:val="26"/>
          <w:szCs w:val="26"/>
        </w:rPr>
        <w:t xml:space="preserve"> OCA does not represent the interests of non-residential customers.</w:t>
      </w:r>
      <w:r w:rsidR="001E6934">
        <w:rPr>
          <w:spacing w:val="-3"/>
          <w:sz w:val="26"/>
          <w:szCs w:val="26"/>
        </w:rPr>
        <w:t xml:space="preserve">  </w:t>
      </w:r>
      <w:r w:rsidR="0074122D">
        <w:rPr>
          <w:spacing w:val="-3"/>
          <w:sz w:val="26"/>
          <w:szCs w:val="26"/>
        </w:rPr>
        <w:t>Additionally, the OSBA contended</w:t>
      </w:r>
      <w:r w:rsidRPr="00D777D4">
        <w:rPr>
          <w:spacing w:val="-3"/>
          <w:sz w:val="26"/>
          <w:szCs w:val="26"/>
        </w:rPr>
        <w:t xml:space="preserve"> that it is unclear </w:t>
      </w:r>
      <w:r w:rsidR="0074122D">
        <w:rPr>
          <w:spacing w:val="-3"/>
          <w:sz w:val="26"/>
          <w:szCs w:val="26"/>
        </w:rPr>
        <w:t xml:space="preserve">from the suggestion on </w:t>
      </w:r>
      <w:r w:rsidRPr="00D777D4">
        <w:rPr>
          <w:spacing w:val="-3"/>
          <w:sz w:val="26"/>
          <w:szCs w:val="26"/>
        </w:rPr>
        <w:t>what issues or subject matter the committee would advise Aqua.</w:t>
      </w:r>
      <w:r w:rsidR="009122F0">
        <w:rPr>
          <w:spacing w:val="-3"/>
          <w:sz w:val="26"/>
          <w:szCs w:val="26"/>
        </w:rPr>
        <w:t xml:space="preserve">  </w:t>
      </w:r>
      <w:r w:rsidR="009122F0" w:rsidRPr="009122F0">
        <w:rPr>
          <w:i/>
          <w:spacing w:val="-3"/>
          <w:sz w:val="26"/>
          <w:szCs w:val="26"/>
        </w:rPr>
        <w:t>Id.</w:t>
      </w:r>
      <w:r w:rsidR="009122F0">
        <w:rPr>
          <w:spacing w:val="-3"/>
          <w:sz w:val="26"/>
          <w:szCs w:val="26"/>
        </w:rPr>
        <w:t xml:space="preserve"> at 14-15.</w:t>
      </w:r>
      <w:r w:rsidRPr="00D777D4">
        <w:rPr>
          <w:spacing w:val="-3"/>
          <w:sz w:val="26"/>
          <w:szCs w:val="26"/>
        </w:rPr>
        <w:t xml:space="preserve">  </w:t>
      </w:r>
    </w:p>
    <w:p w:rsidR="00EC4B6E" w:rsidRDefault="00EC4B6E" w:rsidP="00A76F8A">
      <w:pPr>
        <w:spacing w:line="360" w:lineRule="auto"/>
        <w:rPr>
          <w:sz w:val="26"/>
          <w:szCs w:val="26"/>
        </w:rPr>
      </w:pPr>
    </w:p>
    <w:p w:rsidR="0081084A" w:rsidRDefault="0081084A" w:rsidP="00A76F8A">
      <w:pPr>
        <w:pStyle w:val="Heading4"/>
      </w:pPr>
      <w:bookmarkStart w:id="55" w:name="_Toc264354790"/>
      <w:r>
        <w:t>b.</w:t>
      </w:r>
      <w:r>
        <w:tab/>
        <w:t>ALJ’s Recommendation</w:t>
      </w:r>
      <w:bookmarkEnd w:id="55"/>
    </w:p>
    <w:p w:rsidR="00D47DB4" w:rsidRDefault="00D47DB4" w:rsidP="00A76F8A">
      <w:pPr>
        <w:spacing w:line="360" w:lineRule="auto"/>
        <w:rPr>
          <w:sz w:val="26"/>
          <w:szCs w:val="26"/>
        </w:rPr>
      </w:pPr>
    </w:p>
    <w:p w:rsidR="00AF19AF" w:rsidRDefault="00D47DB4" w:rsidP="00A76F8A">
      <w:pPr>
        <w:tabs>
          <w:tab w:val="left" w:pos="-1440"/>
          <w:tab w:val="left" w:pos="-720"/>
        </w:tabs>
        <w:suppressAutoHyphens/>
        <w:spacing w:line="360" w:lineRule="auto"/>
        <w:ind w:firstLine="1440"/>
        <w:rPr>
          <w:spacing w:val="-3"/>
          <w:sz w:val="26"/>
          <w:szCs w:val="26"/>
        </w:rPr>
      </w:pPr>
      <w:r>
        <w:rPr>
          <w:spacing w:val="-3"/>
          <w:sz w:val="26"/>
          <w:szCs w:val="26"/>
        </w:rPr>
        <w:t>The ALJ agreed with the OSBA that</w:t>
      </w:r>
      <w:r w:rsidR="00C937AB" w:rsidRPr="00D47DB4">
        <w:rPr>
          <w:spacing w:val="-3"/>
          <w:sz w:val="26"/>
          <w:szCs w:val="26"/>
        </w:rPr>
        <w:t xml:space="preserve"> the implementation of the suggestions provided by Mr. Lin</w:t>
      </w:r>
      <w:r w:rsidR="002B0CC2">
        <w:rPr>
          <w:spacing w:val="-3"/>
          <w:sz w:val="26"/>
          <w:szCs w:val="26"/>
        </w:rPr>
        <w:t>den are logistically difficult</w:t>
      </w:r>
      <w:r>
        <w:rPr>
          <w:spacing w:val="-3"/>
          <w:sz w:val="26"/>
          <w:szCs w:val="26"/>
        </w:rPr>
        <w:t>,</w:t>
      </w:r>
      <w:r w:rsidR="00C937AB" w:rsidRPr="00D47DB4">
        <w:rPr>
          <w:spacing w:val="-3"/>
          <w:sz w:val="26"/>
          <w:szCs w:val="26"/>
        </w:rPr>
        <w:t xml:space="preserve"> and may </w:t>
      </w:r>
      <w:r>
        <w:rPr>
          <w:spacing w:val="-3"/>
          <w:sz w:val="26"/>
          <w:szCs w:val="26"/>
        </w:rPr>
        <w:t xml:space="preserve">additionally </w:t>
      </w:r>
      <w:r w:rsidR="00C937AB" w:rsidRPr="00D47DB4">
        <w:rPr>
          <w:spacing w:val="-3"/>
          <w:sz w:val="26"/>
          <w:szCs w:val="26"/>
        </w:rPr>
        <w:t xml:space="preserve">cause the dismantling of the proposed Joint Settlement.  </w:t>
      </w:r>
      <w:r w:rsidR="00702E5D">
        <w:rPr>
          <w:spacing w:val="-3"/>
          <w:sz w:val="26"/>
          <w:szCs w:val="26"/>
        </w:rPr>
        <w:t>She further noted that t</w:t>
      </w:r>
      <w:r w:rsidR="00C937AB" w:rsidRPr="00D47DB4">
        <w:rPr>
          <w:spacing w:val="-3"/>
          <w:sz w:val="26"/>
          <w:szCs w:val="26"/>
        </w:rPr>
        <w:t xml:space="preserve">he problems </w:t>
      </w:r>
      <w:r w:rsidR="0082757A">
        <w:rPr>
          <w:spacing w:val="-3"/>
          <w:sz w:val="26"/>
          <w:szCs w:val="26"/>
        </w:rPr>
        <w:t xml:space="preserve">pointed to by the OSBA </w:t>
      </w:r>
      <w:r w:rsidR="00C937AB" w:rsidRPr="00D47DB4">
        <w:rPr>
          <w:spacing w:val="-3"/>
          <w:sz w:val="26"/>
          <w:szCs w:val="26"/>
        </w:rPr>
        <w:t>with</w:t>
      </w:r>
      <w:r w:rsidR="0044102F">
        <w:rPr>
          <w:spacing w:val="-3"/>
          <w:sz w:val="26"/>
          <w:szCs w:val="26"/>
        </w:rPr>
        <w:t xml:space="preserve"> regard to</w:t>
      </w:r>
      <w:r w:rsidR="00C937AB" w:rsidRPr="00D47DB4">
        <w:rPr>
          <w:spacing w:val="-3"/>
          <w:sz w:val="26"/>
          <w:szCs w:val="26"/>
        </w:rPr>
        <w:t xml:space="preserve"> the Consumer Advisory</w:t>
      </w:r>
      <w:r w:rsidR="0082757A">
        <w:rPr>
          <w:spacing w:val="-3"/>
          <w:sz w:val="26"/>
          <w:szCs w:val="26"/>
        </w:rPr>
        <w:t xml:space="preserve"> Committee </w:t>
      </w:r>
      <w:r w:rsidR="00C937AB" w:rsidRPr="00D47DB4">
        <w:rPr>
          <w:spacing w:val="-3"/>
          <w:sz w:val="26"/>
          <w:szCs w:val="26"/>
        </w:rPr>
        <w:t>are realistic</w:t>
      </w:r>
      <w:r w:rsidR="00845781">
        <w:rPr>
          <w:spacing w:val="-3"/>
          <w:sz w:val="26"/>
          <w:szCs w:val="26"/>
        </w:rPr>
        <w:t>.  Regarding the notice of the Public I</w:t>
      </w:r>
      <w:r w:rsidR="00C937AB" w:rsidRPr="00D47DB4">
        <w:rPr>
          <w:spacing w:val="-3"/>
          <w:sz w:val="26"/>
          <w:szCs w:val="26"/>
        </w:rPr>
        <w:t>nput hearings</w:t>
      </w:r>
      <w:r w:rsidR="0044102F">
        <w:rPr>
          <w:spacing w:val="-3"/>
          <w:sz w:val="26"/>
          <w:szCs w:val="26"/>
        </w:rPr>
        <w:t>, noted the ALJ,</w:t>
      </w:r>
      <w:r w:rsidR="00C937AB" w:rsidRPr="00D47DB4">
        <w:rPr>
          <w:spacing w:val="-3"/>
          <w:sz w:val="26"/>
          <w:szCs w:val="26"/>
        </w:rPr>
        <w:t xml:space="preserve"> the time frame for a rate base case is mandated by statute.  To work in the required time frame for the resolution of the rate proceeding and obtain the input of specific locations, quantity of hearing</w:t>
      </w:r>
      <w:r w:rsidR="00AF19AF">
        <w:rPr>
          <w:spacing w:val="-3"/>
          <w:sz w:val="26"/>
          <w:szCs w:val="26"/>
        </w:rPr>
        <w:t>s and accommodations</w:t>
      </w:r>
      <w:r w:rsidR="00C937AB" w:rsidRPr="00D47DB4">
        <w:rPr>
          <w:spacing w:val="-3"/>
          <w:sz w:val="26"/>
          <w:szCs w:val="26"/>
        </w:rPr>
        <w:t xml:space="preserve"> requires efficiency and flexibility.  Instituting rigid time frames for notice when several sources are needed to gather the information together o</w:t>
      </w:r>
      <w:r w:rsidR="00AF19AF">
        <w:rPr>
          <w:spacing w:val="-3"/>
          <w:sz w:val="26"/>
          <w:szCs w:val="26"/>
        </w:rPr>
        <w:t>n a case-by-case basis could prove</w:t>
      </w:r>
      <w:r w:rsidR="00C937AB" w:rsidRPr="00D47DB4">
        <w:rPr>
          <w:spacing w:val="-3"/>
          <w:sz w:val="26"/>
          <w:szCs w:val="26"/>
        </w:rPr>
        <w:t xml:space="preserve"> to be difficult and costly.  </w:t>
      </w:r>
    </w:p>
    <w:p w:rsidR="00AF19AF" w:rsidRDefault="00AF19AF" w:rsidP="00A76F8A">
      <w:pPr>
        <w:tabs>
          <w:tab w:val="left" w:pos="-1440"/>
          <w:tab w:val="left" w:pos="-720"/>
        </w:tabs>
        <w:suppressAutoHyphens/>
        <w:spacing w:line="360" w:lineRule="auto"/>
        <w:ind w:firstLine="1440"/>
        <w:rPr>
          <w:spacing w:val="-3"/>
          <w:sz w:val="26"/>
          <w:szCs w:val="26"/>
        </w:rPr>
      </w:pPr>
    </w:p>
    <w:p w:rsidR="00C937AB" w:rsidRPr="00D47DB4" w:rsidRDefault="00C937AB" w:rsidP="00A76F8A">
      <w:pPr>
        <w:tabs>
          <w:tab w:val="left" w:pos="-1440"/>
          <w:tab w:val="left" w:pos="-720"/>
        </w:tabs>
        <w:suppressAutoHyphens/>
        <w:spacing w:line="360" w:lineRule="auto"/>
        <w:ind w:firstLine="1440"/>
        <w:rPr>
          <w:spacing w:val="-3"/>
          <w:sz w:val="26"/>
          <w:szCs w:val="26"/>
        </w:rPr>
      </w:pPr>
      <w:r w:rsidRPr="00D47DB4">
        <w:rPr>
          <w:spacing w:val="-3"/>
          <w:sz w:val="26"/>
          <w:szCs w:val="26"/>
        </w:rPr>
        <w:t xml:space="preserve">However, </w:t>
      </w:r>
      <w:r w:rsidR="00AF19AF">
        <w:rPr>
          <w:spacing w:val="-3"/>
          <w:sz w:val="26"/>
          <w:szCs w:val="26"/>
        </w:rPr>
        <w:t xml:space="preserve">continued the ALJ, </w:t>
      </w:r>
      <w:r w:rsidRPr="00D47DB4">
        <w:rPr>
          <w:spacing w:val="-3"/>
          <w:sz w:val="26"/>
          <w:szCs w:val="26"/>
        </w:rPr>
        <w:t>it is understood that for the public to effectively participate, informative and effective notice is essential.  Regarding the request for projections to be made by Aqua for revenues, expenditures, rate and capit</w:t>
      </w:r>
      <w:r w:rsidR="00AF19AF">
        <w:rPr>
          <w:spacing w:val="-3"/>
          <w:sz w:val="26"/>
          <w:szCs w:val="26"/>
        </w:rPr>
        <w:t>al requirements to be made for five, ten and twenty-five years, the ALJ noted that</w:t>
      </w:r>
      <w:r w:rsidRPr="00D47DB4">
        <w:rPr>
          <w:spacing w:val="-3"/>
          <w:sz w:val="26"/>
          <w:szCs w:val="26"/>
        </w:rPr>
        <w:t xml:space="preserve"> projections outside of five </w:t>
      </w:r>
      <w:r w:rsidRPr="00D47DB4">
        <w:rPr>
          <w:spacing w:val="-3"/>
          <w:sz w:val="26"/>
          <w:szCs w:val="26"/>
        </w:rPr>
        <w:lastRenderedPageBreak/>
        <w:t>years become less concrete and objective.  A</w:t>
      </w:r>
      <w:r w:rsidR="00AF19AF">
        <w:rPr>
          <w:spacing w:val="-3"/>
          <w:sz w:val="26"/>
          <w:szCs w:val="26"/>
        </w:rPr>
        <w:t>ccordingly, this requirement could well become</w:t>
      </w:r>
      <w:r w:rsidRPr="00D47DB4">
        <w:rPr>
          <w:spacing w:val="-3"/>
          <w:sz w:val="26"/>
          <w:szCs w:val="26"/>
        </w:rPr>
        <w:t xml:space="preserve"> a mere exercise when meaningful </w:t>
      </w:r>
      <w:r w:rsidR="00AF19AF">
        <w:rPr>
          <w:spacing w:val="-3"/>
          <w:sz w:val="26"/>
          <w:szCs w:val="26"/>
        </w:rPr>
        <w:t>time, money and resources could be better</w:t>
      </w:r>
      <w:r w:rsidRPr="00D47DB4">
        <w:rPr>
          <w:spacing w:val="-3"/>
          <w:sz w:val="26"/>
          <w:szCs w:val="26"/>
        </w:rPr>
        <w:t xml:space="preserve"> spent elsewhere.  </w:t>
      </w:r>
    </w:p>
    <w:p w:rsidR="00C937AB" w:rsidRPr="00D47DB4" w:rsidRDefault="00C937AB" w:rsidP="00A76F8A">
      <w:pPr>
        <w:tabs>
          <w:tab w:val="left" w:pos="-1440"/>
          <w:tab w:val="left" w:pos="-720"/>
        </w:tabs>
        <w:suppressAutoHyphens/>
        <w:spacing w:line="360" w:lineRule="auto"/>
        <w:ind w:right="40" w:firstLine="1440"/>
        <w:rPr>
          <w:spacing w:val="-3"/>
          <w:sz w:val="26"/>
          <w:szCs w:val="26"/>
        </w:rPr>
      </w:pPr>
    </w:p>
    <w:p w:rsidR="00C937AB" w:rsidRPr="00D47DB4" w:rsidRDefault="002B0CC2" w:rsidP="00A76F8A">
      <w:pPr>
        <w:tabs>
          <w:tab w:val="left" w:pos="-1440"/>
          <w:tab w:val="left" w:pos="-720"/>
        </w:tabs>
        <w:suppressAutoHyphens/>
        <w:spacing w:line="360" w:lineRule="auto"/>
        <w:ind w:firstLine="1440"/>
        <w:rPr>
          <w:spacing w:val="-3"/>
          <w:sz w:val="26"/>
          <w:szCs w:val="26"/>
        </w:rPr>
      </w:pPr>
      <w:r>
        <w:rPr>
          <w:spacing w:val="-3"/>
          <w:sz w:val="26"/>
          <w:szCs w:val="26"/>
        </w:rPr>
        <w:t xml:space="preserve">The ALJ </w:t>
      </w:r>
      <w:r w:rsidR="00AF19AF">
        <w:rPr>
          <w:spacing w:val="-3"/>
          <w:sz w:val="26"/>
          <w:szCs w:val="26"/>
        </w:rPr>
        <w:t xml:space="preserve">looked </w:t>
      </w:r>
      <w:r>
        <w:rPr>
          <w:spacing w:val="-3"/>
          <w:sz w:val="26"/>
          <w:szCs w:val="26"/>
        </w:rPr>
        <w:t xml:space="preserve">more </w:t>
      </w:r>
      <w:r w:rsidR="00AF19AF">
        <w:rPr>
          <w:spacing w:val="-3"/>
          <w:sz w:val="26"/>
          <w:szCs w:val="26"/>
        </w:rPr>
        <w:t>favorably on the suggestion that the Company be required to provide</w:t>
      </w:r>
      <w:r w:rsidR="00C937AB" w:rsidRPr="00D47DB4">
        <w:rPr>
          <w:spacing w:val="-3"/>
          <w:sz w:val="26"/>
          <w:szCs w:val="26"/>
        </w:rPr>
        <w:t xml:space="preserve"> more substantive information about the DSIC and the effect </w:t>
      </w:r>
      <w:r w:rsidR="00FB06E6">
        <w:rPr>
          <w:spacing w:val="-3"/>
          <w:sz w:val="26"/>
          <w:szCs w:val="26"/>
        </w:rPr>
        <w:t xml:space="preserve">that </w:t>
      </w:r>
      <w:r w:rsidR="00C937AB" w:rsidRPr="00D47DB4">
        <w:rPr>
          <w:spacing w:val="-3"/>
          <w:sz w:val="26"/>
          <w:szCs w:val="26"/>
        </w:rPr>
        <w:t>the r</w:t>
      </w:r>
      <w:r w:rsidR="00FB06E6">
        <w:rPr>
          <w:spacing w:val="-3"/>
          <w:sz w:val="26"/>
          <w:szCs w:val="26"/>
        </w:rPr>
        <w:t>ate increase may have on</w:t>
      </w:r>
      <w:r>
        <w:rPr>
          <w:spacing w:val="-3"/>
          <w:sz w:val="26"/>
          <w:szCs w:val="26"/>
        </w:rPr>
        <w:t xml:space="preserve"> it.  Nevertheless</w:t>
      </w:r>
      <w:r w:rsidR="00FB06E6">
        <w:rPr>
          <w:spacing w:val="-3"/>
          <w:sz w:val="26"/>
          <w:szCs w:val="26"/>
        </w:rPr>
        <w:t>, she stated that she was</w:t>
      </w:r>
      <w:r w:rsidR="00C937AB" w:rsidRPr="00D47DB4">
        <w:rPr>
          <w:spacing w:val="-3"/>
          <w:sz w:val="26"/>
          <w:szCs w:val="26"/>
        </w:rPr>
        <w:t xml:space="preserve"> reluctant to recommend that such information be included in the public notice</w:t>
      </w:r>
      <w:r w:rsidR="00FB06E6">
        <w:rPr>
          <w:spacing w:val="-3"/>
          <w:sz w:val="26"/>
          <w:szCs w:val="26"/>
        </w:rPr>
        <w:t>,</w:t>
      </w:r>
      <w:r w:rsidR="00C937AB" w:rsidRPr="00D47DB4">
        <w:rPr>
          <w:spacing w:val="-3"/>
          <w:sz w:val="26"/>
          <w:szCs w:val="26"/>
        </w:rPr>
        <w:t xml:space="preserve"> because there was no testimony on the record that Aqua is not providing that information in the materials that it </w:t>
      </w:r>
      <w:r w:rsidR="00FB06E6">
        <w:rPr>
          <w:spacing w:val="-3"/>
          <w:sz w:val="26"/>
          <w:szCs w:val="26"/>
        </w:rPr>
        <w:t xml:space="preserve">already </w:t>
      </w:r>
      <w:r w:rsidR="00C937AB" w:rsidRPr="00D47DB4">
        <w:rPr>
          <w:spacing w:val="-3"/>
          <w:sz w:val="26"/>
          <w:szCs w:val="26"/>
        </w:rPr>
        <w:t>provides through its website and at its headq</w:t>
      </w:r>
      <w:r w:rsidR="00FB06E6">
        <w:rPr>
          <w:spacing w:val="-3"/>
          <w:sz w:val="26"/>
          <w:szCs w:val="26"/>
        </w:rPr>
        <w:t xml:space="preserve">uarters, both of which are </w:t>
      </w:r>
      <w:r w:rsidR="00C937AB" w:rsidRPr="00D47DB4">
        <w:rPr>
          <w:spacing w:val="-3"/>
          <w:sz w:val="26"/>
          <w:szCs w:val="26"/>
        </w:rPr>
        <w:t>available to the public.  Furthermore,</w:t>
      </w:r>
      <w:r w:rsidR="00FB06E6">
        <w:rPr>
          <w:spacing w:val="-3"/>
          <w:sz w:val="26"/>
          <w:szCs w:val="26"/>
        </w:rPr>
        <w:t xml:space="preserve"> as previously noted </w:t>
      </w:r>
      <w:r>
        <w:rPr>
          <w:spacing w:val="-3"/>
          <w:sz w:val="26"/>
          <w:szCs w:val="26"/>
        </w:rPr>
        <w:t xml:space="preserve">by </w:t>
      </w:r>
      <w:r w:rsidR="00FB06E6">
        <w:rPr>
          <w:spacing w:val="-3"/>
          <w:sz w:val="26"/>
          <w:szCs w:val="26"/>
        </w:rPr>
        <w:t>the OTS,</w:t>
      </w:r>
      <w:r w:rsidR="00C937AB" w:rsidRPr="00D47DB4">
        <w:rPr>
          <w:spacing w:val="-3"/>
          <w:sz w:val="26"/>
          <w:szCs w:val="26"/>
        </w:rPr>
        <w:t xml:space="preserve"> the very nature of a settlement requires comprom</w:t>
      </w:r>
      <w:r w:rsidR="00FB06E6">
        <w:rPr>
          <w:spacing w:val="-3"/>
          <w:sz w:val="26"/>
          <w:szCs w:val="26"/>
        </w:rPr>
        <w:t>ise on the part of all parties.  OTS St</w:t>
      </w:r>
      <w:r w:rsidR="00C937AB" w:rsidRPr="00D47DB4">
        <w:rPr>
          <w:spacing w:val="-3"/>
          <w:sz w:val="26"/>
          <w:szCs w:val="26"/>
        </w:rPr>
        <w:t>. in Support, Joi</w:t>
      </w:r>
      <w:r w:rsidR="00D11FB2">
        <w:rPr>
          <w:spacing w:val="-3"/>
          <w:sz w:val="26"/>
          <w:szCs w:val="26"/>
        </w:rPr>
        <w:t>nt Settlement Appendix D at 9.  The Commission should strive to avoid an outcome where, once it has</w:t>
      </w:r>
      <w:r w:rsidR="00C937AB" w:rsidRPr="00D47DB4">
        <w:rPr>
          <w:spacing w:val="-3"/>
          <w:sz w:val="26"/>
          <w:szCs w:val="26"/>
        </w:rPr>
        <w:t xml:space="preserve"> direct</w:t>
      </w:r>
      <w:r w:rsidR="00D11FB2">
        <w:rPr>
          <w:spacing w:val="-3"/>
          <w:sz w:val="26"/>
          <w:szCs w:val="26"/>
        </w:rPr>
        <w:t>ed</w:t>
      </w:r>
      <w:r w:rsidR="00C937AB" w:rsidRPr="00D47DB4">
        <w:rPr>
          <w:spacing w:val="-3"/>
          <w:sz w:val="26"/>
          <w:szCs w:val="26"/>
        </w:rPr>
        <w:t xml:space="preserve"> that this substantive information be included in the no</w:t>
      </w:r>
      <w:r w:rsidR="00D11FB2">
        <w:rPr>
          <w:spacing w:val="-3"/>
          <w:sz w:val="26"/>
          <w:szCs w:val="26"/>
        </w:rPr>
        <w:t xml:space="preserve">tice to the public, </w:t>
      </w:r>
      <w:r w:rsidR="00A24B00">
        <w:rPr>
          <w:spacing w:val="-3"/>
          <w:sz w:val="26"/>
          <w:szCs w:val="26"/>
        </w:rPr>
        <w:t>a joint s</w:t>
      </w:r>
      <w:r w:rsidR="00C937AB" w:rsidRPr="00D47DB4">
        <w:rPr>
          <w:spacing w:val="-3"/>
          <w:sz w:val="26"/>
          <w:szCs w:val="26"/>
        </w:rPr>
        <w:t xml:space="preserve">ettlement </w:t>
      </w:r>
      <w:r w:rsidR="00A24B00">
        <w:rPr>
          <w:spacing w:val="-3"/>
          <w:sz w:val="26"/>
          <w:szCs w:val="26"/>
        </w:rPr>
        <w:t xml:space="preserve">would </w:t>
      </w:r>
      <w:r w:rsidR="00C937AB" w:rsidRPr="00D47DB4">
        <w:rPr>
          <w:spacing w:val="-3"/>
          <w:sz w:val="26"/>
          <w:szCs w:val="26"/>
        </w:rPr>
        <w:t>dissolve</w:t>
      </w:r>
      <w:r w:rsidR="0013788F">
        <w:rPr>
          <w:spacing w:val="-3"/>
          <w:sz w:val="26"/>
          <w:szCs w:val="26"/>
        </w:rPr>
        <w:t xml:space="preserve"> as a consequence.  </w:t>
      </w:r>
      <w:r w:rsidR="00D11FB2">
        <w:rPr>
          <w:spacing w:val="-3"/>
          <w:sz w:val="26"/>
          <w:szCs w:val="26"/>
        </w:rPr>
        <w:t>R.D. at 44-45.</w:t>
      </w:r>
    </w:p>
    <w:p w:rsidR="007D113C" w:rsidRDefault="007D113C" w:rsidP="00A76F8A">
      <w:pPr>
        <w:spacing w:line="360" w:lineRule="auto"/>
        <w:rPr>
          <w:sz w:val="26"/>
          <w:szCs w:val="26"/>
        </w:rPr>
      </w:pPr>
    </w:p>
    <w:p w:rsidR="001A336E" w:rsidRDefault="004F345F" w:rsidP="00A76F8A">
      <w:pPr>
        <w:pStyle w:val="Heading4"/>
      </w:pPr>
      <w:bookmarkStart w:id="56" w:name="_Toc264354791"/>
      <w:r>
        <w:t>c.</w:t>
      </w:r>
      <w:r>
        <w:tab/>
        <w:t>Exceptions and Replies</w:t>
      </w:r>
      <w:bookmarkEnd w:id="56"/>
    </w:p>
    <w:p w:rsidR="001A336E" w:rsidRDefault="001A336E" w:rsidP="00A76F8A">
      <w:pPr>
        <w:spacing w:line="360" w:lineRule="auto"/>
        <w:rPr>
          <w:sz w:val="26"/>
          <w:szCs w:val="26"/>
        </w:rPr>
      </w:pPr>
    </w:p>
    <w:p w:rsidR="00614706" w:rsidRDefault="00614706" w:rsidP="00A76F8A">
      <w:pPr>
        <w:keepNext/>
        <w:tabs>
          <w:tab w:val="left" w:pos="-1440"/>
          <w:tab w:val="left" w:pos="-720"/>
        </w:tabs>
        <w:suppressAutoHyphens/>
        <w:spacing w:line="360" w:lineRule="auto"/>
        <w:ind w:firstLine="1440"/>
        <w:rPr>
          <w:spacing w:val="-3"/>
          <w:sz w:val="26"/>
          <w:szCs w:val="26"/>
        </w:rPr>
      </w:pPr>
      <w:r w:rsidRPr="00607897">
        <w:rPr>
          <w:spacing w:val="-3"/>
          <w:sz w:val="26"/>
          <w:szCs w:val="26"/>
        </w:rPr>
        <w:t>In the Conclusion of his Exceptions</w:t>
      </w:r>
      <w:r>
        <w:rPr>
          <w:spacing w:val="-3"/>
          <w:sz w:val="26"/>
          <w:szCs w:val="26"/>
        </w:rPr>
        <w:t>, Mr. Linden renewed his request that the Commission give consideration to forming a Consumer Advisory Committee.  He states that concerns raised by the OSBA and the ALJ regarding the Committee can be easily resolved with some minor changes a</w:t>
      </w:r>
      <w:r w:rsidR="00A61936">
        <w:rPr>
          <w:spacing w:val="-3"/>
          <w:sz w:val="26"/>
          <w:szCs w:val="26"/>
        </w:rPr>
        <w:t xml:space="preserve">nd further explanation.  Linden </w:t>
      </w:r>
      <w:r>
        <w:rPr>
          <w:spacing w:val="-3"/>
          <w:sz w:val="26"/>
          <w:szCs w:val="26"/>
        </w:rPr>
        <w:t>Exc. at 9.</w:t>
      </w:r>
    </w:p>
    <w:p w:rsidR="00614706" w:rsidRDefault="00614706" w:rsidP="00A76F8A">
      <w:pPr>
        <w:tabs>
          <w:tab w:val="left" w:pos="-1440"/>
          <w:tab w:val="left" w:pos="-720"/>
        </w:tabs>
        <w:suppressAutoHyphens/>
        <w:spacing w:line="360" w:lineRule="auto"/>
        <w:ind w:firstLine="1440"/>
        <w:rPr>
          <w:spacing w:val="-3"/>
          <w:sz w:val="26"/>
          <w:szCs w:val="26"/>
        </w:rPr>
      </w:pPr>
    </w:p>
    <w:p w:rsidR="00614706" w:rsidRPr="00607E90" w:rsidRDefault="00614706" w:rsidP="00A76F8A">
      <w:pPr>
        <w:tabs>
          <w:tab w:val="left" w:pos="-1440"/>
          <w:tab w:val="left" w:pos="-720"/>
        </w:tabs>
        <w:suppressAutoHyphens/>
        <w:spacing w:line="360" w:lineRule="auto"/>
        <w:ind w:firstLine="1440"/>
        <w:rPr>
          <w:spacing w:val="-3"/>
          <w:sz w:val="26"/>
          <w:szCs w:val="26"/>
        </w:rPr>
      </w:pPr>
      <w:r>
        <w:rPr>
          <w:spacing w:val="-3"/>
          <w:sz w:val="26"/>
          <w:szCs w:val="26"/>
        </w:rPr>
        <w:t>For the reasons presented in</w:t>
      </w:r>
      <w:r w:rsidR="00845781">
        <w:rPr>
          <w:spacing w:val="-3"/>
          <w:sz w:val="26"/>
          <w:szCs w:val="26"/>
        </w:rPr>
        <w:t xml:space="preserve"> its Reply Brief </w:t>
      </w:r>
      <w:r w:rsidR="002B0CC2">
        <w:rPr>
          <w:spacing w:val="-3"/>
          <w:sz w:val="26"/>
          <w:szCs w:val="26"/>
        </w:rPr>
        <w:t>and discussed</w:t>
      </w:r>
      <w:r>
        <w:rPr>
          <w:spacing w:val="-3"/>
          <w:sz w:val="26"/>
          <w:szCs w:val="26"/>
        </w:rPr>
        <w:t xml:space="preserve"> </w:t>
      </w:r>
      <w:r w:rsidRPr="00607897">
        <w:rPr>
          <w:i/>
          <w:spacing w:val="-3"/>
          <w:sz w:val="26"/>
          <w:szCs w:val="26"/>
        </w:rPr>
        <w:t>supra</w:t>
      </w:r>
      <w:r>
        <w:rPr>
          <w:spacing w:val="-3"/>
          <w:sz w:val="26"/>
          <w:szCs w:val="26"/>
        </w:rPr>
        <w:t>, the OSBA states that the ALJ’s recomme</w:t>
      </w:r>
      <w:r w:rsidR="008E7DFF">
        <w:rPr>
          <w:spacing w:val="-3"/>
          <w:sz w:val="26"/>
          <w:szCs w:val="26"/>
        </w:rPr>
        <w:t>ndation was correct and argues</w:t>
      </w:r>
      <w:r>
        <w:rPr>
          <w:spacing w:val="-3"/>
          <w:sz w:val="26"/>
          <w:szCs w:val="26"/>
        </w:rPr>
        <w:t xml:space="preserve"> that Mr. Linden’s request for an Committee Advisory </w:t>
      </w:r>
      <w:r w:rsidR="008E7DFF">
        <w:rPr>
          <w:spacing w:val="-3"/>
          <w:sz w:val="26"/>
          <w:szCs w:val="26"/>
        </w:rPr>
        <w:t xml:space="preserve">should </w:t>
      </w:r>
      <w:r>
        <w:rPr>
          <w:spacing w:val="-3"/>
          <w:sz w:val="26"/>
          <w:szCs w:val="26"/>
        </w:rPr>
        <w:t>be denied.  OSBA R. Exc. at 6.</w:t>
      </w:r>
    </w:p>
    <w:p w:rsidR="001A336E" w:rsidRDefault="001A336E" w:rsidP="00A76F8A">
      <w:pPr>
        <w:spacing w:line="360" w:lineRule="auto"/>
        <w:rPr>
          <w:sz w:val="26"/>
          <w:szCs w:val="26"/>
        </w:rPr>
      </w:pPr>
    </w:p>
    <w:p w:rsidR="009E13A8" w:rsidRDefault="009E13A8">
      <w:pPr>
        <w:rPr>
          <w:b/>
          <w:sz w:val="26"/>
        </w:rPr>
      </w:pPr>
      <w:r>
        <w:br w:type="page"/>
      </w:r>
    </w:p>
    <w:p w:rsidR="004F345F" w:rsidRPr="00A61936" w:rsidRDefault="00A61936" w:rsidP="00A76F8A">
      <w:pPr>
        <w:pStyle w:val="Heading4"/>
      </w:pPr>
      <w:bookmarkStart w:id="57" w:name="_Toc264354792"/>
      <w:r w:rsidRPr="00A61936">
        <w:lastRenderedPageBreak/>
        <w:t>d.</w:t>
      </w:r>
      <w:r w:rsidRPr="00A61936">
        <w:tab/>
        <w:t>Disposition</w:t>
      </w:r>
      <w:bookmarkEnd w:id="57"/>
    </w:p>
    <w:p w:rsidR="004F345F" w:rsidRDefault="004F345F" w:rsidP="00A76F8A">
      <w:pPr>
        <w:spacing w:line="360" w:lineRule="auto"/>
        <w:rPr>
          <w:sz w:val="26"/>
          <w:szCs w:val="26"/>
        </w:rPr>
      </w:pPr>
    </w:p>
    <w:p w:rsidR="00B7715E" w:rsidRPr="008E7DFF" w:rsidRDefault="00B7715E" w:rsidP="009E13A8">
      <w:pPr>
        <w:spacing w:line="360" w:lineRule="auto"/>
        <w:ind w:firstLine="1440"/>
        <w:rPr>
          <w:sz w:val="26"/>
          <w:szCs w:val="26"/>
        </w:rPr>
      </w:pPr>
      <w:r w:rsidRPr="008E7DFF">
        <w:rPr>
          <w:sz w:val="26"/>
          <w:szCs w:val="26"/>
        </w:rPr>
        <w:t xml:space="preserve">For the reasons presented by the OSBA, </w:t>
      </w:r>
      <w:r w:rsidRPr="008E7DFF">
        <w:rPr>
          <w:i/>
          <w:sz w:val="26"/>
          <w:szCs w:val="26"/>
        </w:rPr>
        <w:t>supra,</w:t>
      </w:r>
      <w:r w:rsidRPr="008E7DFF">
        <w:rPr>
          <w:sz w:val="26"/>
          <w:szCs w:val="26"/>
        </w:rPr>
        <w:t xml:space="preserve"> we find that the creation of a Consumer Advisory Committee would not be an effective means to address water service concerns for Aqua’s customers, particularly for a company with such a diverse service area.  A number of water quality issues have </w:t>
      </w:r>
      <w:r w:rsidR="005677D2">
        <w:rPr>
          <w:sz w:val="26"/>
          <w:szCs w:val="26"/>
        </w:rPr>
        <w:t xml:space="preserve">been </w:t>
      </w:r>
      <w:r w:rsidRPr="008E7DFF">
        <w:rPr>
          <w:sz w:val="26"/>
          <w:szCs w:val="26"/>
        </w:rPr>
        <w:t xml:space="preserve">addressed in the proposed Joint Settlement.  Moreover, we </w:t>
      </w:r>
      <w:r w:rsidR="00845781">
        <w:rPr>
          <w:sz w:val="26"/>
          <w:szCs w:val="26"/>
        </w:rPr>
        <w:t>are</w:t>
      </w:r>
      <w:r w:rsidRPr="008E7DFF">
        <w:rPr>
          <w:sz w:val="26"/>
          <w:szCs w:val="26"/>
        </w:rPr>
        <w:t xml:space="preserve"> not convinced that the current avenues for</w:t>
      </w:r>
      <w:r w:rsidR="00E625D8" w:rsidRPr="008E7DFF">
        <w:rPr>
          <w:sz w:val="26"/>
          <w:szCs w:val="26"/>
        </w:rPr>
        <w:t xml:space="preserve"> addressing service complaints,</w:t>
      </w:r>
      <w:r w:rsidRPr="008E7DFF">
        <w:rPr>
          <w:sz w:val="26"/>
          <w:szCs w:val="26"/>
        </w:rPr>
        <w:t xml:space="preserve"> such as interaction with the Company and, if necessary, i</w:t>
      </w:r>
      <w:r w:rsidR="00E625D8" w:rsidRPr="008E7DFF">
        <w:rPr>
          <w:sz w:val="26"/>
          <w:szCs w:val="26"/>
        </w:rPr>
        <w:t>nteraction with the Commission’s</w:t>
      </w:r>
      <w:r w:rsidRPr="008E7DFF">
        <w:rPr>
          <w:sz w:val="26"/>
          <w:szCs w:val="26"/>
        </w:rPr>
        <w:t xml:space="preserve"> Bureau of Consumer Services, the OCA, the OSBA and the DEP</w:t>
      </w:r>
      <w:r w:rsidR="005677D2">
        <w:rPr>
          <w:sz w:val="26"/>
          <w:szCs w:val="26"/>
        </w:rPr>
        <w:t>,</w:t>
      </w:r>
      <w:r w:rsidRPr="008E7DFF">
        <w:rPr>
          <w:sz w:val="26"/>
          <w:szCs w:val="26"/>
        </w:rPr>
        <w:t xml:space="preserve"> are </w:t>
      </w:r>
      <w:r w:rsidR="00845781">
        <w:rPr>
          <w:sz w:val="26"/>
          <w:szCs w:val="26"/>
        </w:rPr>
        <w:t>not</w:t>
      </w:r>
      <w:r w:rsidRPr="008E7DFF">
        <w:rPr>
          <w:sz w:val="26"/>
          <w:szCs w:val="26"/>
        </w:rPr>
        <w:t xml:space="preserve"> adequate</w:t>
      </w:r>
      <w:r w:rsidR="00845781">
        <w:rPr>
          <w:sz w:val="26"/>
          <w:szCs w:val="26"/>
        </w:rPr>
        <w:t xml:space="preserve"> vehicles to</w:t>
      </w:r>
      <w:r w:rsidRPr="008E7DFF">
        <w:rPr>
          <w:sz w:val="26"/>
          <w:szCs w:val="26"/>
        </w:rPr>
        <w:t xml:space="preserve"> address water service issues.  Accordingly, Mr. Linden’s Exception is denied. </w:t>
      </w:r>
    </w:p>
    <w:p w:rsidR="004F345F" w:rsidRDefault="004F345F" w:rsidP="00A76F8A">
      <w:pPr>
        <w:spacing w:line="360" w:lineRule="auto"/>
        <w:rPr>
          <w:sz w:val="26"/>
          <w:szCs w:val="26"/>
        </w:rPr>
      </w:pPr>
    </w:p>
    <w:p w:rsidR="000E625B" w:rsidRPr="003B2621" w:rsidRDefault="000E625B" w:rsidP="00A76F8A">
      <w:pPr>
        <w:pStyle w:val="Heading3"/>
      </w:pPr>
      <w:bookmarkStart w:id="58" w:name="_Toc264354793"/>
      <w:r>
        <w:t>12</w:t>
      </w:r>
      <w:r w:rsidRPr="003B2621">
        <w:t>.</w:t>
      </w:r>
      <w:r>
        <w:tab/>
        <w:t>Additional Rationale to Adopt Joint Settlement</w:t>
      </w:r>
      <w:bookmarkEnd w:id="58"/>
      <w:r w:rsidRPr="003B2621">
        <w:tab/>
      </w:r>
    </w:p>
    <w:p w:rsidR="001A336E" w:rsidRDefault="001A336E" w:rsidP="00A76F8A">
      <w:pPr>
        <w:spacing w:line="360" w:lineRule="auto"/>
        <w:rPr>
          <w:sz w:val="26"/>
          <w:szCs w:val="26"/>
        </w:rPr>
      </w:pPr>
    </w:p>
    <w:p w:rsidR="000E625B" w:rsidRPr="00505EDB" w:rsidRDefault="00505EDB" w:rsidP="00A76F8A">
      <w:pPr>
        <w:tabs>
          <w:tab w:val="left" w:pos="-1440"/>
          <w:tab w:val="left" w:pos="-720"/>
        </w:tabs>
        <w:suppressAutoHyphens/>
        <w:spacing w:line="360" w:lineRule="auto"/>
        <w:ind w:firstLine="1440"/>
        <w:rPr>
          <w:spacing w:val="-3"/>
          <w:sz w:val="26"/>
        </w:rPr>
      </w:pPr>
      <w:r>
        <w:rPr>
          <w:spacing w:val="-3"/>
          <w:sz w:val="26"/>
        </w:rPr>
        <w:t>Aqua stated</w:t>
      </w:r>
      <w:r w:rsidR="000E625B" w:rsidRPr="00505EDB">
        <w:rPr>
          <w:spacing w:val="-3"/>
          <w:sz w:val="26"/>
        </w:rPr>
        <w:t xml:space="preserve"> that its forecasted earnings</w:t>
      </w:r>
      <w:r>
        <w:rPr>
          <w:spacing w:val="-3"/>
          <w:sz w:val="26"/>
        </w:rPr>
        <w:t>, over the twelve</w:t>
      </w:r>
      <w:r w:rsidR="000E625B" w:rsidRPr="00505EDB">
        <w:rPr>
          <w:spacing w:val="-3"/>
          <w:sz w:val="26"/>
        </w:rPr>
        <w:t>-month period ending June 30, 2010</w:t>
      </w:r>
      <w:r>
        <w:rPr>
          <w:spacing w:val="-3"/>
          <w:sz w:val="26"/>
        </w:rPr>
        <w:t>,</w:t>
      </w:r>
      <w:r w:rsidR="000E625B" w:rsidRPr="00505EDB">
        <w:rPr>
          <w:spacing w:val="-3"/>
          <w:sz w:val="26"/>
        </w:rPr>
        <w:t xml:space="preserve"> produc</w:t>
      </w:r>
      <w:r>
        <w:rPr>
          <w:spacing w:val="-3"/>
          <w:sz w:val="26"/>
        </w:rPr>
        <w:t>ed an overall return of 7.47%.  Aqua averred that t</w:t>
      </w:r>
      <w:r w:rsidR="000E625B" w:rsidRPr="00505EDB">
        <w:rPr>
          <w:spacing w:val="-3"/>
          <w:sz w:val="26"/>
        </w:rPr>
        <w:t>he additional revenues provided through the settlement rates will give the Company a reasonable opportunity to earn a fair rate of return and attract additional capital with which to finance futur</w:t>
      </w:r>
      <w:r>
        <w:rPr>
          <w:spacing w:val="-3"/>
          <w:sz w:val="26"/>
        </w:rPr>
        <w:t>e plant improvements.  Aqua St</w:t>
      </w:r>
      <w:r w:rsidR="000E625B" w:rsidRPr="00505EDB">
        <w:rPr>
          <w:spacing w:val="-3"/>
          <w:sz w:val="26"/>
        </w:rPr>
        <w:t>. in Support, Joint Settlement Appendix C at 2.  Aqua</w:t>
      </w:r>
      <w:r>
        <w:rPr>
          <w:spacing w:val="-3"/>
          <w:sz w:val="26"/>
        </w:rPr>
        <w:t xml:space="preserve"> also asserted</w:t>
      </w:r>
      <w:r w:rsidR="000E625B" w:rsidRPr="00505EDB">
        <w:rPr>
          <w:spacing w:val="-3"/>
          <w:sz w:val="26"/>
        </w:rPr>
        <w:t xml:space="preserve"> that the rate design and rate structure distribute fairly, reasonably and equitably the revenue increase among various customer classes and rate divisions</w:t>
      </w:r>
      <w:r w:rsidR="00F04F8C">
        <w:rPr>
          <w:spacing w:val="-3"/>
          <w:sz w:val="26"/>
        </w:rPr>
        <w:t>,</w:t>
      </w:r>
      <w:r w:rsidR="000E625B" w:rsidRPr="00505EDB">
        <w:rPr>
          <w:spacing w:val="-3"/>
          <w:sz w:val="26"/>
        </w:rPr>
        <w:t xml:space="preserve"> and </w:t>
      </w:r>
      <w:r w:rsidR="00F04F8C">
        <w:rPr>
          <w:spacing w:val="-3"/>
          <w:sz w:val="26"/>
        </w:rPr>
        <w:t xml:space="preserve">that it </w:t>
      </w:r>
      <w:r w:rsidR="000E625B" w:rsidRPr="00505EDB">
        <w:rPr>
          <w:spacing w:val="-3"/>
          <w:sz w:val="26"/>
        </w:rPr>
        <w:t xml:space="preserve">also incorporates gradualism </w:t>
      </w:r>
      <w:r w:rsidR="00F04F8C">
        <w:rPr>
          <w:spacing w:val="-3"/>
          <w:sz w:val="26"/>
        </w:rPr>
        <w:t xml:space="preserve">in order </w:t>
      </w:r>
      <w:r w:rsidR="000E625B" w:rsidRPr="00505EDB">
        <w:rPr>
          <w:spacing w:val="-3"/>
          <w:sz w:val="26"/>
        </w:rPr>
        <w:t xml:space="preserve">to </w:t>
      </w:r>
      <w:r w:rsidR="00C8281F">
        <w:rPr>
          <w:spacing w:val="-3"/>
          <w:sz w:val="26"/>
        </w:rPr>
        <w:t xml:space="preserve">make </w:t>
      </w:r>
      <w:r w:rsidR="000E625B" w:rsidRPr="00505EDB">
        <w:rPr>
          <w:spacing w:val="-3"/>
          <w:sz w:val="26"/>
        </w:rPr>
        <w:t>the customer charges and volumetric rates more uniform across all the divisions of the Company.</w:t>
      </w:r>
      <w:r w:rsidR="00F04F8C">
        <w:rPr>
          <w:spacing w:val="-3"/>
          <w:sz w:val="26"/>
        </w:rPr>
        <w:t xml:space="preserve">  Additionally, </w:t>
      </w:r>
      <w:r w:rsidR="000E625B" w:rsidRPr="00505EDB">
        <w:rPr>
          <w:spacing w:val="-3"/>
          <w:sz w:val="26"/>
        </w:rPr>
        <w:t xml:space="preserve">Aqua has committed to </w:t>
      </w:r>
      <w:r w:rsidR="00C8281F">
        <w:rPr>
          <w:spacing w:val="-3"/>
          <w:sz w:val="26"/>
        </w:rPr>
        <w:t xml:space="preserve">contribute </w:t>
      </w:r>
      <w:r w:rsidR="000E625B" w:rsidRPr="00505EDB">
        <w:rPr>
          <w:spacing w:val="-3"/>
          <w:sz w:val="26"/>
        </w:rPr>
        <w:t>up to $50,000 towards its Helping Hand program for payment troubled customers.</w:t>
      </w:r>
      <w:r w:rsidR="00F04F8C">
        <w:rPr>
          <w:spacing w:val="-3"/>
          <w:sz w:val="26"/>
        </w:rPr>
        <w:t xml:space="preserve">  In the past, t</w:t>
      </w:r>
      <w:r w:rsidR="000E625B" w:rsidRPr="00505EDB">
        <w:rPr>
          <w:spacing w:val="-3"/>
          <w:sz w:val="26"/>
        </w:rPr>
        <w:t>he program has been supported solely by the charitable contributions of the Company’s customers.</w:t>
      </w:r>
    </w:p>
    <w:p w:rsidR="000E625B" w:rsidRPr="00505EDB" w:rsidRDefault="000E625B" w:rsidP="00A76F8A">
      <w:pPr>
        <w:tabs>
          <w:tab w:val="left" w:pos="-1440"/>
          <w:tab w:val="left" w:pos="-720"/>
        </w:tabs>
        <w:suppressAutoHyphens/>
        <w:spacing w:line="360" w:lineRule="auto"/>
        <w:ind w:firstLine="1440"/>
        <w:rPr>
          <w:spacing w:val="-3"/>
          <w:sz w:val="26"/>
        </w:rPr>
      </w:pPr>
    </w:p>
    <w:p w:rsidR="000E625B" w:rsidRPr="00505EDB" w:rsidRDefault="00F04F8C" w:rsidP="00A76F8A">
      <w:pPr>
        <w:tabs>
          <w:tab w:val="left" w:pos="-1440"/>
          <w:tab w:val="left" w:pos="-720"/>
        </w:tabs>
        <w:suppressAutoHyphens/>
        <w:spacing w:line="360" w:lineRule="auto"/>
        <w:ind w:firstLine="1440"/>
        <w:rPr>
          <w:spacing w:val="-3"/>
          <w:sz w:val="26"/>
        </w:rPr>
      </w:pPr>
      <w:r>
        <w:rPr>
          <w:spacing w:val="-3"/>
          <w:sz w:val="26"/>
        </w:rPr>
        <w:t>The OTS noted</w:t>
      </w:r>
      <w:r w:rsidR="000E625B" w:rsidRPr="00505EDB">
        <w:rPr>
          <w:spacing w:val="-3"/>
          <w:sz w:val="26"/>
        </w:rPr>
        <w:t xml:space="preserve"> that the Company has withdrawn the Energy Cost Adjustment and the Purchased Water</w:t>
      </w:r>
      <w:r>
        <w:rPr>
          <w:spacing w:val="-3"/>
          <w:sz w:val="26"/>
        </w:rPr>
        <w:t xml:space="preserve"> Adjustment.  The </w:t>
      </w:r>
      <w:r w:rsidR="00BA3D93">
        <w:rPr>
          <w:spacing w:val="-3"/>
          <w:sz w:val="26"/>
        </w:rPr>
        <w:t xml:space="preserve">OTS </w:t>
      </w:r>
      <w:r>
        <w:rPr>
          <w:spacing w:val="-3"/>
          <w:sz w:val="26"/>
        </w:rPr>
        <w:t>asserted</w:t>
      </w:r>
      <w:r w:rsidR="000E625B" w:rsidRPr="00505EDB">
        <w:rPr>
          <w:spacing w:val="-3"/>
          <w:sz w:val="26"/>
        </w:rPr>
        <w:t xml:space="preserve"> that these charge</w:t>
      </w:r>
      <w:r w:rsidR="00C1408A">
        <w:rPr>
          <w:spacing w:val="-3"/>
          <w:sz w:val="26"/>
        </w:rPr>
        <w:t>s</w:t>
      </w:r>
      <w:r w:rsidR="000E625B" w:rsidRPr="00505EDB">
        <w:rPr>
          <w:spacing w:val="-3"/>
          <w:sz w:val="26"/>
        </w:rPr>
        <w:t xml:space="preserve"> constituted </w:t>
      </w:r>
      <w:r w:rsidR="000E625B" w:rsidRPr="00505EDB">
        <w:rPr>
          <w:spacing w:val="-3"/>
          <w:sz w:val="26"/>
        </w:rPr>
        <w:lastRenderedPageBreak/>
        <w:t>single tariff charges and</w:t>
      </w:r>
      <w:r>
        <w:rPr>
          <w:spacing w:val="-3"/>
          <w:sz w:val="26"/>
        </w:rPr>
        <w:t>,</w:t>
      </w:r>
      <w:r w:rsidR="000E625B" w:rsidRPr="00505EDB">
        <w:rPr>
          <w:spacing w:val="-3"/>
          <w:sz w:val="26"/>
        </w:rPr>
        <w:t xml:space="preserve"> thus</w:t>
      </w:r>
      <w:r>
        <w:rPr>
          <w:spacing w:val="-3"/>
          <w:sz w:val="26"/>
        </w:rPr>
        <w:t>,</w:t>
      </w:r>
      <w:r w:rsidR="000E625B" w:rsidRPr="00505EDB">
        <w:rPr>
          <w:spacing w:val="-3"/>
          <w:sz w:val="26"/>
        </w:rPr>
        <w:t xml:space="preserve"> </w:t>
      </w:r>
      <w:r w:rsidR="00BA3D93">
        <w:rPr>
          <w:spacing w:val="-3"/>
          <w:sz w:val="26"/>
        </w:rPr>
        <w:t xml:space="preserve">it </w:t>
      </w:r>
      <w:r w:rsidR="000E625B" w:rsidRPr="00505EDB">
        <w:rPr>
          <w:spacing w:val="-3"/>
          <w:sz w:val="26"/>
        </w:rPr>
        <w:t xml:space="preserve">would advocate against </w:t>
      </w:r>
      <w:r w:rsidR="00C1408A">
        <w:rPr>
          <w:spacing w:val="-3"/>
          <w:sz w:val="26"/>
        </w:rPr>
        <w:t>the Commission adopting tho</w:t>
      </w:r>
      <w:r w:rsidR="000E625B" w:rsidRPr="00505EDB">
        <w:rPr>
          <w:spacing w:val="-3"/>
          <w:sz w:val="26"/>
        </w:rPr>
        <w:t>se adjustment</w:t>
      </w:r>
      <w:r w:rsidR="00BA3D93">
        <w:rPr>
          <w:spacing w:val="-3"/>
          <w:sz w:val="26"/>
        </w:rPr>
        <w:t xml:space="preserve">s as </w:t>
      </w:r>
      <w:r w:rsidR="00C1408A">
        <w:rPr>
          <w:spacing w:val="-3"/>
          <w:sz w:val="26"/>
        </w:rPr>
        <w:t xml:space="preserve">to do so would constitute </w:t>
      </w:r>
      <w:r w:rsidR="00BA3D93">
        <w:rPr>
          <w:spacing w:val="-3"/>
          <w:sz w:val="26"/>
        </w:rPr>
        <w:t>single issue ratemaking.  The OTS averred that the adjustments</w:t>
      </w:r>
      <w:r w:rsidR="000E625B" w:rsidRPr="00505EDB">
        <w:rPr>
          <w:spacing w:val="-3"/>
          <w:sz w:val="26"/>
        </w:rPr>
        <w:t xml:space="preserve"> should be recovered through base rates </w:t>
      </w:r>
      <w:r w:rsidR="00C1408A">
        <w:rPr>
          <w:spacing w:val="-3"/>
          <w:sz w:val="26"/>
        </w:rPr>
        <w:t>rather than a separate charge.  Finally, the OTS opined</w:t>
      </w:r>
      <w:r w:rsidR="000E625B" w:rsidRPr="00505EDB">
        <w:rPr>
          <w:spacing w:val="-3"/>
          <w:sz w:val="26"/>
        </w:rPr>
        <w:t xml:space="preserve"> that the settlement resulted in a favorable outcome</w:t>
      </w:r>
      <w:r w:rsidR="002C5E37">
        <w:rPr>
          <w:spacing w:val="-3"/>
          <w:sz w:val="26"/>
        </w:rPr>
        <w:t>,</w:t>
      </w:r>
      <w:r w:rsidR="000E625B" w:rsidRPr="00505EDB">
        <w:rPr>
          <w:spacing w:val="-3"/>
          <w:sz w:val="26"/>
        </w:rPr>
        <w:t xml:space="preserve"> without </w:t>
      </w:r>
      <w:r w:rsidR="002C5E37">
        <w:rPr>
          <w:spacing w:val="-3"/>
          <w:sz w:val="26"/>
        </w:rPr>
        <w:t>the need to expend time, resources and costs on litigation.  OTS St</w:t>
      </w:r>
      <w:r w:rsidR="000E625B" w:rsidRPr="00505EDB">
        <w:rPr>
          <w:spacing w:val="-3"/>
          <w:sz w:val="26"/>
        </w:rPr>
        <w:t>. in Support, Joi</w:t>
      </w:r>
      <w:r w:rsidR="009E13A8">
        <w:rPr>
          <w:spacing w:val="-3"/>
          <w:sz w:val="26"/>
        </w:rPr>
        <w:t>nt Settlement Appendix D at 9.</w:t>
      </w:r>
    </w:p>
    <w:p w:rsidR="000E625B" w:rsidRPr="00505EDB" w:rsidRDefault="000E625B" w:rsidP="00A76F8A">
      <w:pPr>
        <w:tabs>
          <w:tab w:val="left" w:pos="-1440"/>
          <w:tab w:val="left" w:pos="-720"/>
        </w:tabs>
        <w:suppressAutoHyphens/>
        <w:spacing w:line="360" w:lineRule="auto"/>
        <w:ind w:firstLine="1440"/>
        <w:rPr>
          <w:spacing w:val="-3"/>
          <w:sz w:val="26"/>
        </w:rPr>
      </w:pPr>
    </w:p>
    <w:p w:rsidR="000E625B" w:rsidRPr="00505EDB" w:rsidRDefault="002C5E37" w:rsidP="00A76F8A">
      <w:pPr>
        <w:tabs>
          <w:tab w:val="left" w:pos="-1440"/>
          <w:tab w:val="left" w:pos="-720"/>
        </w:tabs>
        <w:suppressAutoHyphens/>
        <w:spacing w:line="360" w:lineRule="auto"/>
        <w:ind w:firstLine="1440"/>
        <w:rPr>
          <w:spacing w:val="-3"/>
          <w:sz w:val="26"/>
        </w:rPr>
      </w:pPr>
      <w:r>
        <w:rPr>
          <w:spacing w:val="-3"/>
          <w:sz w:val="26"/>
        </w:rPr>
        <w:t>The OCA asserted</w:t>
      </w:r>
      <w:r w:rsidR="000E625B" w:rsidRPr="00505EDB">
        <w:rPr>
          <w:spacing w:val="-3"/>
          <w:sz w:val="26"/>
        </w:rPr>
        <w:t xml:space="preserve"> that the outcome regarding revenues through the Joint Settlement is within the range of revenues </w:t>
      </w:r>
      <w:r w:rsidR="006B6AB9">
        <w:rPr>
          <w:spacing w:val="-3"/>
          <w:sz w:val="26"/>
        </w:rPr>
        <w:t xml:space="preserve">that would be achieved </w:t>
      </w:r>
      <w:r w:rsidR="000E625B" w:rsidRPr="00505EDB">
        <w:rPr>
          <w:spacing w:val="-3"/>
          <w:sz w:val="26"/>
        </w:rPr>
        <w:t xml:space="preserve">if the dispute were </w:t>
      </w:r>
      <w:r>
        <w:rPr>
          <w:spacing w:val="-3"/>
          <w:sz w:val="26"/>
        </w:rPr>
        <w:t xml:space="preserve">to be fully litigated, </w:t>
      </w:r>
      <w:r w:rsidRPr="002C5E37">
        <w:rPr>
          <w:i/>
          <w:spacing w:val="-3"/>
          <w:sz w:val="26"/>
        </w:rPr>
        <w:t>i.e</w:t>
      </w:r>
      <w:r>
        <w:rPr>
          <w:spacing w:val="-3"/>
          <w:sz w:val="26"/>
        </w:rPr>
        <w:t xml:space="preserve">, </w:t>
      </w:r>
      <w:r w:rsidR="000E625B" w:rsidRPr="00505EDB">
        <w:rPr>
          <w:spacing w:val="-3"/>
          <w:sz w:val="26"/>
        </w:rPr>
        <w:t xml:space="preserve">an increase </w:t>
      </w:r>
      <w:r w:rsidR="00295734">
        <w:rPr>
          <w:spacing w:val="-3"/>
          <w:sz w:val="26"/>
        </w:rPr>
        <w:t>of approximately 6.5%.  OCA St</w:t>
      </w:r>
      <w:r w:rsidR="000E625B" w:rsidRPr="00505EDB">
        <w:rPr>
          <w:spacing w:val="-3"/>
          <w:sz w:val="26"/>
        </w:rPr>
        <w:t>. in Support,</w:t>
      </w:r>
      <w:r w:rsidR="00295734">
        <w:rPr>
          <w:spacing w:val="-3"/>
          <w:sz w:val="26"/>
        </w:rPr>
        <w:t xml:space="preserve"> Appendix E at 2.  The OCA noted</w:t>
      </w:r>
      <w:r w:rsidR="000E625B" w:rsidRPr="00505EDB">
        <w:rPr>
          <w:spacing w:val="-3"/>
          <w:sz w:val="26"/>
        </w:rPr>
        <w:t xml:space="preserve"> that the provision that Aqua will forego filing a rate base case prior to November 18, 2011</w:t>
      </w:r>
      <w:r w:rsidR="00295734">
        <w:rPr>
          <w:spacing w:val="-3"/>
          <w:sz w:val="26"/>
        </w:rPr>
        <w:t>,</w:t>
      </w:r>
      <w:r w:rsidR="000E625B" w:rsidRPr="00505EDB">
        <w:rPr>
          <w:spacing w:val="-3"/>
          <w:sz w:val="26"/>
        </w:rPr>
        <w:t xml:space="preserve"> provides rate s</w:t>
      </w:r>
      <w:r w:rsidR="00295734">
        <w:rPr>
          <w:spacing w:val="-3"/>
          <w:sz w:val="26"/>
        </w:rPr>
        <w:t>tability for ratepayers for about twenty-four months</w:t>
      </w:r>
      <w:r w:rsidR="000E625B" w:rsidRPr="00505EDB">
        <w:rPr>
          <w:spacing w:val="-3"/>
          <w:sz w:val="26"/>
        </w:rPr>
        <w:t>.</w:t>
      </w:r>
      <w:r w:rsidR="00295734">
        <w:rPr>
          <w:spacing w:val="-3"/>
          <w:sz w:val="26"/>
        </w:rPr>
        <w:t xml:space="preserve">  The OCA confirmed</w:t>
      </w:r>
      <w:r w:rsidR="000E625B" w:rsidRPr="00505EDB">
        <w:rPr>
          <w:spacing w:val="-3"/>
          <w:sz w:val="26"/>
        </w:rPr>
        <w:t xml:space="preserve"> that the Joint Settlement does not remove the DSIC</w:t>
      </w:r>
      <w:r w:rsidR="00295734">
        <w:rPr>
          <w:spacing w:val="-3"/>
          <w:sz w:val="26"/>
        </w:rPr>
        <w:t>,</w:t>
      </w:r>
      <w:r w:rsidR="000E625B" w:rsidRPr="00505EDB">
        <w:rPr>
          <w:spacing w:val="-3"/>
          <w:sz w:val="26"/>
        </w:rPr>
        <w:t xml:space="preserve"> but </w:t>
      </w:r>
      <w:r w:rsidR="00295734">
        <w:rPr>
          <w:spacing w:val="-3"/>
          <w:sz w:val="26"/>
        </w:rPr>
        <w:t xml:space="preserve">that </w:t>
      </w:r>
      <w:r w:rsidR="00A53C35">
        <w:rPr>
          <w:spacing w:val="-3"/>
          <w:sz w:val="26"/>
        </w:rPr>
        <w:t xml:space="preserve">the DSIC cap </w:t>
      </w:r>
      <w:r w:rsidR="000E625B" w:rsidRPr="00505EDB">
        <w:rPr>
          <w:spacing w:val="-3"/>
          <w:sz w:val="26"/>
        </w:rPr>
        <w:t>at 7.5% remains in effect and</w:t>
      </w:r>
      <w:r w:rsidR="00A53C35">
        <w:rPr>
          <w:spacing w:val="-3"/>
          <w:sz w:val="26"/>
        </w:rPr>
        <w:t>,</w:t>
      </w:r>
      <w:r w:rsidR="000E625B" w:rsidRPr="00505EDB">
        <w:rPr>
          <w:spacing w:val="-3"/>
          <w:sz w:val="26"/>
        </w:rPr>
        <w:t xml:space="preserve"> thus, the OCA expects that the D</w:t>
      </w:r>
      <w:r w:rsidR="00A53C35">
        <w:rPr>
          <w:spacing w:val="-3"/>
          <w:sz w:val="26"/>
        </w:rPr>
        <w:t>SIC will be capped during the twenty-four</w:t>
      </w:r>
      <w:r w:rsidR="000E625B" w:rsidRPr="00505EDB">
        <w:rPr>
          <w:spacing w:val="-3"/>
          <w:sz w:val="26"/>
        </w:rPr>
        <w:t xml:space="preserve"> months o</w:t>
      </w:r>
      <w:r w:rsidR="00A53C35">
        <w:rPr>
          <w:spacing w:val="-3"/>
          <w:sz w:val="26"/>
        </w:rPr>
        <w:t>f rate stability.  The OCA opined that</w:t>
      </w:r>
      <w:r w:rsidR="000E625B" w:rsidRPr="00505EDB">
        <w:rPr>
          <w:spacing w:val="-3"/>
          <w:sz w:val="26"/>
        </w:rPr>
        <w:t xml:space="preserve"> this circumstance </w:t>
      </w:r>
      <w:r w:rsidR="00A53C35">
        <w:rPr>
          <w:spacing w:val="-3"/>
          <w:sz w:val="26"/>
        </w:rPr>
        <w:t xml:space="preserve">is </w:t>
      </w:r>
      <w:r w:rsidR="000E625B" w:rsidRPr="00505EDB">
        <w:rPr>
          <w:spacing w:val="-3"/>
          <w:sz w:val="26"/>
        </w:rPr>
        <w:t>valuable to Aqua customers.</w:t>
      </w:r>
    </w:p>
    <w:p w:rsidR="000E625B" w:rsidRPr="00505EDB" w:rsidRDefault="000E625B" w:rsidP="00A76F8A">
      <w:pPr>
        <w:tabs>
          <w:tab w:val="left" w:pos="-1440"/>
          <w:tab w:val="left" w:pos="-720"/>
        </w:tabs>
        <w:suppressAutoHyphens/>
        <w:spacing w:line="360" w:lineRule="auto"/>
        <w:ind w:firstLine="1440"/>
        <w:rPr>
          <w:spacing w:val="-3"/>
          <w:sz w:val="26"/>
        </w:rPr>
      </w:pPr>
    </w:p>
    <w:p w:rsidR="000E625B" w:rsidRPr="00505EDB" w:rsidRDefault="008265FB" w:rsidP="00A76F8A">
      <w:pPr>
        <w:tabs>
          <w:tab w:val="left" w:pos="-1440"/>
          <w:tab w:val="left" w:pos="-720"/>
        </w:tabs>
        <w:suppressAutoHyphens/>
        <w:spacing w:line="360" w:lineRule="auto"/>
        <w:ind w:firstLine="1440"/>
        <w:rPr>
          <w:spacing w:val="-3"/>
          <w:sz w:val="26"/>
        </w:rPr>
      </w:pPr>
      <w:r>
        <w:rPr>
          <w:spacing w:val="-3"/>
          <w:sz w:val="26"/>
        </w:rPr>
        <w:t xml:space="preserve">The OCA was in favor of the </w:t>
      </w:r>
      <w:r w:rsidR="000E625B" w:rsidRPr="00505EDB">
        <w:rPr>
          <w:spacing w:val="-3"/>
          <w:sz w:val="26"/>
        </w:rPr>
        <w:t>expense adjustments and accounting treatment of six acquired small water systems</w:t>
      </w:r>
      <w:r>
        <w:rPr>
          <w:spacing w:val="-3"/>
          <w:sz w:val="26"/>
        </w:rPr>
        <w:t>,</w:t>
      </w:r>
      <w:r w:rsidR="000E625B" w:rsidRPr="00505EDB">
        <w:rPr>
          <w:spacing w:val="-3"/>
          <w:sz w:val="26"/>
        </w:rPr>
        <w:t xml:space="preserve"> which were adopted through the Joint Settlement.  T</w:t>
      </w:r>
      <w:r>
        <w:rPr>
          <w:spacing w:val="-3"/>
          <w:sz w:val="26"/>
        </w:rPr>
        <w:t>he OCA noted that this</w:t>
      </w:r>
      <w:r w:rsidR="000E625B" w:rsidRPr="00505EDB">
        <w:rPr>
          <w:spacing w:val="-3"/>
          <w:sz w:val="26"/>
        </w:rPr>
        <w:t xml:space="preserve"> result was achi</w:t>
      </w:r>
      <w:r w:rsidR="00C8281F">
        <w:rPr>
          <w:spacing w:val="-3"/>
          <w:sz w:val="26"/>
        </w:rPr>
        <w:t>eved without expending the cost</w:t>
      </w:r>
      <w:r w:rsidR="000E625B" w:rsidRPr="00505EDB">
        <w:rPr>
          <w:spacing w:val="-3"/>
          <w:sz w:val="26"/>
        </w:rPr>
        <w:t>, time, labor and uncertainty of a fully litigated dispute.</w:t>
      </w:r>
      <w:r>
        <w:rPr>
          <w:spacing w:val="-3"/>
          <w:sz w:val="26"/>
        </w:rPr>
        <w:t xml:space="preserve">  </w:t>
      </w:r>
      <w:r w:rsidR="000E625B" w:rsidRPr="00505EDB">
        <w:rPr>
          <w:spacing w:val="-3"/>
          <w:sz w:val="26"/>
        </w:rPr>
        <w:t xml:space="preserve">The </w:t>
      </w:r>
      <w:r>
        <w:rPr>
          <w:spacing w:val="-3"/>
          <w:sz w:val="26"/>
        </w:rPr>
        <w:t>OCA noted that the</w:t>
      </w:r>
      <w:r w:rsidR="002C4824">
        <w:rPr>
          <w:spacing w:val="-3"/>
          <w:sz w:val="26"/>
        </w:rPr>
        <w:t xml:space="preserve"> </w:t>
      </w:r>
      <w:r w:rsidR="000E625B" w:rsidRPr="00505EDB">
        <w:rPr>
          <w:spacing w:val="-3"/>
          <w:sz w:val="26"/>
        </w:rPr>
        <w:t xml:space="preserve">previous </w:t>
      </w:r>
      <w:r>
        <w:rPr>
          <w:spacing w:val="-3"/>
          <w:sz w:val="26"/>
        </w:rPr>
        <w:t>Aqua base rate case,</w:t>
      </w:r>
      <w:r w:rsidR="000E625B" w:rsidRPr="00505EDB">
        <w:rPr>
          <w:spacing w:val="-3"/>
          <w:sz w:val="26"/>
        </w:rPr>
        <w:t xml:space="preserve"> in 2008</w:t>
      </w:r>
      <w:r>
        <w:rPr>
          <w:spacing w:val="-3"/>
          <w:sz w:val="26"/>
        </w:rPr>
        <w:t>,</w:t>
      </w:r>
      <w:r w:rsidR="000E625B" w:rsidRPr="00505EDB">
        <w:rPr>
          <w:spacing w:val="-3"/>
          <w:sz w:val="26"/>
        </w:rPr>
        <w:t xml:space="preserve"> resulted in 11% common equity and the Commission approved about 82% of </w:t>
      </w:r>
      <w:r w:rsidR="002C4824">
        <w:rPr>
          <w:spacing w:val="-3"/>
          <w:sz w:val="26"/>
        </w:rPr>
        <w:t xml:space="preserve">the Company’s requested claim.  </w:t>
      </w:r>
      <w:r w:rsidR="000E625B" w:rsidRPr="00505EDB">
        <w:rPr>
          <w:spacing w:val="-3"/>
          <w:sz w:val="26"/>
        </w:rPr>
        <w:t>The instant Joint Settlement result produces a significant reduction of the Company’s reque</w:t>
      </w:r>
      <w:r w:rsidR="002C4824">
        <w:rPr>
          <w:spacing w:val="-3"/>
          <w:sz w:val="26"/>
        </w:rPr>
        <w:t xml:space="preserve">sted overall revenue increase, </w:t>
      </w:r>
      <w:r w:rsidR="000E625B" w:rsidRPr="00505EDB">
        <w:rPr>
          <w:spacing w:val="-3"/>
          <w:sz w:val="26"/>
        </w:rPr>
        <w:t>that is</w:t>
      </w:r>
      <w:r w:rsidR="002C4824">
        <w:rPr>
          <w:spacing w:val="-3"/>
          <w:sz w:val="26"/>
        </w:rPr>
        <w:t>,</w:t>
      </w:r>
      <w:r w:rsidR="000E625B" w:rsidRPr="00505EDB">
        <w:rPr>
          <w:spacing w:val="-3"/>
          <w:sz w:val="26"/>
        </w:rPr>
        <w:t xml:space="preserve"> an increase of about 6.5%</w:t>
      </w:r>
      <w:r w:rsidR="00C8281F">
        <w:rPr>
          <w:spacing w:val="-3"/>
          <w:sz w:val="26"/>
        </w:rPr>
        <w:t>, an</w:t>
      </w:r>
      <w:r w:rsidR="002C4824">
        <w:rPr>
          <w:spacing w:val="-3"/>
          <w:sz w:val="26"/>
        </w:rPr>
        <w:t>d</w:t>
      </w:r>
      <w:r w:rsidR="000E625B" w:rsidRPr="00505EDB">
        <w:rPr>
          <w:spacing w:val="-3"/>
          <w:sz w:val="26"/>
        </w:rPr>
        <w:t xml:space="preserve"> is more than an 18% reduction to the Company’s original request.</w:t>
      </w:r>
      <w:r w:rsidR="002C4824">
        <w:rPr>
          <w:spacing w:val="-3"/>
          <w:sz w:val="26"/>
        </w:rPr>
        <w:t xml:space="preserve">  </w:t>
      </w:r>
      <w:r w:rsidR="000E625B" w:rsidRPr="00505EDB">
        <w:rPr>
          <w:spacing w:val="-3"/>
          <w:sz w:val="26"/>
        </w:rPr>
        <w:t xml:space="preserve">Lastly, </w:t>
      </w:r>
      <w:r w:rsidR="002C4824">
        <w:rPr>
          <w:spacing w:val="-3"/>
          <w:sz w:val="26"/>
        </w:rPr>
        <w:t xml:space="preserve">noted the OCA, </w:t>
      </w:r>
      <w:r w:rsidR="000E625B" w:rsidRPr="00505EDB">
        <w:rPr>
          <w:spacing w:val="-3"/>
          <w:sz w:val="26"/>
        </w:rPr>
        <w:t>the Joint Settlement addresses quality of service issues</w:t>
      </w:r>
      <w:r w:rsidR="002C4824">
        <w:rPr>
          <w:spacing w:val="-3"/>
          <w:sz w:val="26"/>
        </w:rPr>
        <w:t>,</w:t>
      </w:r>
      <w:r w:rsidR="000E625B" w:rsidRPr="00505EDB">
        <w:rPr>
          <w:spacing w:val="-3"/>
          <w:sz w:val="26"/>
        </w:rPr>
        <w:t xml:space="preserve"> aired during </w:t>
      </w:r>
      <w:r w:rsidR="002C4824">
        <w:rPr>
          <w:spacing w:val="-3"/>
          <w:sz w:val="26"/>
        </w:rPr>
        <w:t xml:space="preserve">the </w:t>
      </w:r>
      <w:r w:rsidR="006B6AB9">
        <w:rPr>
          <w:spacing w:val="-3"/>
          <w:sz w:val="26"/>
        </w:rPr>
        <w:t>various Public I</w:t>
      </w:r>
      <w:r w:rsidR="000E625B" w:rsidRPr="00505EDB">
        <w:rPr>
          <w:spacing w:val="-3"/>
          <w:sz w:val="26"/>
        </w:rPr>
        <w:t>nput sessions</w:t>
      </w:r>
      <w:r w:rsidR="002C4824">
        <w:rPr>
          <w:spacing w:val="-3"/>
          <w:sz w:val="26"/>
        </w:rPr>
        <w:t>,</w:t>
      </w:r>
      <w:r w:rsidR="000E625B" w:rsidRPr="00505EDB">
        <w:rPr>
          <w:spacing w:val="-3"/>
          <w:sz w:val="26"/>
        </w:rPr>
        <w:t xml:space="preserve"> and requires the Company to communicate with its customers through reporting and notice procedures. </w:t>
      </w:r>
    </w:p>
    <w:p w:rsidR="000E625B" w:rsidRPr="00505EDB" w:rsidRDefault="000E625B" w:rsidP="00A76F8A">
      <w:pPr>
        <w:tabs>
          <w:tab w:val="left" w:pos="-1440"/>
          <w:tab w:val="left" w:pos="-720"/>
        </w:tabs>
        <w:suppressAutoHyphens/>
        <w:spacing w:line="360" w:lineRule="auto"/>
        <w:ind w:firstLine="1440"/>
        <w:rPr>
          <w:spacing w:val="-3"/>
          <w:sz w:val="26"/>
        </w:rPr>
      </w:pPr>
    </w:p>
    <w:p w:rsidR="000E625B" w:rsidRPr="00505EDB" w:rsidRDefault="002C4824" w:rsidP="00A76F8A">
      <w:pPr>
        <w:tabs>
          <w:tab w:val="left" w:pos="-1440"/>
          <w:tab w:val="left" w:pos="-720"/>
        </w:tabs>
        <w:suppressAutoHyphens/>
        <w:spacing w:line="360" w:lineRule="auto"/>
        <w:ind w:firstLine="1440"/>
        <w:rPr>
          <w:spacing w:val="-3"/>
          <w:sz w:val="26"/>
        </w:rPr>
      </w:pPr>
      <w:r>
        <w:rPr>
          <w:spacing w:val="-3"/>
          <w:sz w:val="26"/>
        </w:rPr>
        <w:lastRenderedPageBreak/>
        <w:t>The OSBA noted</w:t>
      </w:r>
      <w:r w:rsidR="000E625B" w:rsidRPr="00505EDB">
        <w:rPr>
          <w:spacing w:val="-3"/>
          <w:sz w:val="26"/>
        </w:rPr>
        <w:t xml:space="preserve"> that it was concerned about the Company’s proposed revenue allocation</w:t>
      </w:r>
      <w:r>
        <w:rPr>
          <w:spacing w:val="-3"/>
          <w:sz w:val="26"/>
        </w:rPr>
        <w:t>, which provided</w:t>
      </w:r>
      <w:r w:rsidR="000E625B" w:rsidRPr="00505EDB">
        <w:rPr>
          <w:spacing w:val="-3"/>
          <w:sz w:val="26"/>
        </w:rPr>
        <w:t xml:space="preserve"> an increased subsidy by the Public Authority class</w:t>
      </w:r>
      <w:r>
        <w:rPr>
          <w:spacing w:val="-3"/>
          <w:sz w:val="26"/>
        </w:rPr>
        <w:t>.  The testimony revealed the P</w:t>
      </w:r>
      <w:r w:rsidR="000E625B" w:rsidRPr="00505EDB">
        <w:rPr>
          <w:spacing w:val="-3"/>
          <w:sz w:val="26"/>
        </w:rPr>
        <w:t>arties’ di</w:t>
      </w:r>
      <w:r>
        <w:rPr>
          <w:spacing w:val="-3"/>
          <w:sz w:val="26"/>
        </w:rPr>
        <w:t xml:space="preserve">ffering views of this concern.  </w:t>
      </w:r>
      <w:r w:rsidR="000E625B" w:rsidRPr="00505EDB">
        <w:rPr>
          <w:spacing w:val="-3"/>
          <w:sz w:val="26"/>
        </w:rPr>
        <w:t>Consequently, the OSBA advocated a first dollar relief to the Public Authority class</w:t>
      </w:r>
      <w:r w:rsidR="00A26F4A">
        <w:rPr>
          <w:spacing w:val="-3"/>
          <w:sz w:val="26"/>
        </w:rPr>
        <w:t>, in order</w:t>
      </w:r>
      <w:r w:rsidR="000E625B" w:rsidRPr="00505EDB">
        <w:rPr>
          <w:spacing w:val="-3"/>
          <w:sz w:val="26"/>
        </w:rPr>
        <w:t xml:space="preserve"> to set the class rates close</w:t>
      </w:r>
      <w:r w:rsidR="00A26F4A">
        <w:rPr>
          <w:spacing w:val="-3"/>
          <w:sz w:val="26"/>
        </w:rPr>
        <w:t>r to cost of service.  OSBA St. 1 at 5-6.</w:t>
      </w:r>
      <w:r w:rsidR="008509C9">
        <w:rPr>
          <w:spacing w:val="-3"/>
          <w:sz w:val="26"/>
        </w:rPr>
        <w:t xml:space="preserve">  </w:t>
      </w:r>
      <w:r w:rsidR="00A26F4A">
        <w:rPr>
          <w:spacing w:val="-3"/>
          <w:sz w:val="26"/>
        </w:rPr>
        <w:t>The OSBA noted that t</w:t>
      </w:r>
      <w:r w:rsidR="000E625B" w:rsidRPr="00505EDB">
        <w:rPr>
          <w:spacing w:val="-3"/>
          <w:sz w:val="26"/>
        </w:rPr>
        <w:t xml:space="preserve">he Joint Settlement </w:t>
      </w:r>
      <w:r w:rsidR="00A26F4A">
        <w:rPr>
          <w:spacing w:val="-3"/>
          <w:sz w:val="26"/>
        </w:rPr>
        <w:t>provides for a</w:t>
      </w:r>
      <w:r w:rsidR="000E625B" w:rsidRPr="00505EDB">
        <w:rPr>
          <w:spacing w:val="-3"/>
          <w:sz w:val="26"/>
        </w:rPr>
        <w:t xml:space="preserve"> first dollar relief for the Public Authority class</w:t>
      </w:r>
      <w:r w:rsidR="00A26F4A">
        <w:rPr>
          <w:spacing w:val="-3"/>
          <w:sz w:val="26"/>
        </w:rPr>
        <w:t>,</w:t>
      </w:r>
      <w:r w:rsidR="000E625B" w:rsidRPr="00505EDB">
        <w:rPr>
          <w:spacing w:val="-3"/>
          <w:sz w:val="26"/>
        </w:rPr>
        <w:t xml:space="preserve"> without expending the labor, cost, time and uncertainty of</w:t>
      </w:r>
      <w:r w:rsidR="00A26F4A">
        <w:rPr>
          <w:spacing w:val="-3"/>
          <w:sz w:val="26"/>
        </w:rPr>
        <w:t xml:space="preserve"> a fully litigated proceeding.  OSBA St</w:t>
      </w:r>
      <w:r w:rsidR="000E625B" w:rsidRPr="00505EDB">
        <w:rPr>
          <w:spacing w:val="-3"/>
          <w:sz w:val="26"/>
        </w:rPr>
        <w:t>. in Support, Joint Settlement Append</w:t>
      </w:r>
      <w:r w:rsidR="008509C9">
        <w:rPr>
          <w:spacing w:val="-3"/>
          <w:sz w:val="26"/>
        </w:rPr>
        <w:t xml:space="preserve">ix F at 7.  </w:t>
      </w:r>
      <w:r w:rsidR="00A26F4A">
        <w:rPr>
          <w:spacing w:val="-3"/>
          <w:sz w:val="26"/>
        </w:rPr>
        <w:t>The OSBA also noted</w:t>
      </w:r>
      <w:r w:rsidR="000E625B" w:rsidRPr="00505EDB">
        <w:rPr>
          <w:spacing w:val="-3"/>
          <w:sz w:val="26"/>
        </w:rPr>
        <w:t xml:space="preserve"> that </w:t>
      </w:r>
      <w:r w:rsidR="00A26F4A">
        <w:rPr>
          <w:spacing w:val="-3"/>
          <w:sz w:val="26"/>
        </w:rPr>
        <w:t xml:space="preserve">the </w:t>
      </w:r>
      <w:r w:rsidR="000E625B" w:rsidRPr="00505EDB">
        <w:rPr>
          <w:spacing w:val="-3"/>
          <w:sz w:val="26"/>
        </w:rPr>
        <w:t>OCA disputed the Company</w:t>
      </w:r>
      <w:r w:rsidR="00A26F4A">
        <w:rPr>
          <w:spacing w:val="-3"/>
          <w:sz w:val="26"/>
        </w:rPr>
        <w:t>’s</w:t>
      </w:r>
      <w:r w:rsidR="000E625B" w:rsidRPr="00505EDB">
        <w:rPr>
          <w:spacing w:val="-3"/>
          <w:sz w:val="26"/>
        </w:rPr>
        <w:t xml:space="preserve"> proposal to not roll-in the current 7.5% DSIC into the Private Fire base rates.  </w:t>
      </w:r>
      <w:r w:rsidR="00A26F4A">
        <w:rPr>
          <w:spacing w:val="-3"/>
          <w:sz w:val="26"/>
        </w:rPr>
        <w:t xml:space="preserve">The </w:t>
      </w:r>
      <w:r w:rsidR="000E625B" w:rsidRPr="00505EDB">
        <w:rPr>
          <w:spacing w:val="-3"/>
          <w:sz w:val="26"/>
        </w:rPr>
        <w:t>OSBA supported the Company’s proposal because the rates for this class were substantially above</w:t>
      </w:r>
      <w:r w:rsidR="00A26F4A">
        <w:rPr>
          <w:spacing w:val="-3"/>
          <w:sz w:val="26"/>
        </w:rPr>
        <w:t xml:space="preserve"> the cost of service.  OSBA St</w:t>
      </w:r>
      <w:r w:rsidR="000E625B" w:rsidRPr="00505EDB">
        <w:rPr>
          <w:spacing w:val="-3"/>
          <w:sz w:val="26"/>
        </w:rPr>
        <w:t>. 2 at 2-3.  The Joint Settlement adopted the Company’s proposal</w:t>
      </w:r>
      <w:r w:rsidR="00CC272A">
        <w:rPr>
          <w:spacing w:val="-3"/>
          <w:sz w:val="26"/>
        </w:rPr>
        <w:t>, which was</w:t>
      </w:r>
      <w:r w:rsidR="000E625B" w:rsidRPr="00505EDB">
        <w:rPr>
          <w:spacing w:val="-3"/>
          <w:sz w:val="26"/>
        </w:rPr>
        <w:t xml:space="preserve"> supported by </w:t>
      </w:r>
      <w:r w:rsidR="00CC272A">
        <w:rPr>
          <w:spacing w:val="-3"/>
          <w:sz w:val="26"/>
        </w:rPr>
        <w:t xml:space="preserve">the </w:t>
      </w:r>
      <w:r w:rsidR="000E625B" w:rsidRPr="00505EDB">
        <w:rPr>
          <w:spacing w:val="-3"/>
          <w:sz w:val="26"/>
        </w:rPr>
        <w:t>OSBA</w:t>
      </w:r>
      <w:r w:rsidR="00CC272A">
        <w:rPr>
          <w:spacing w:val="-3"/>
          <w:sz w:val="26"/>
        </w:rPr>
        <w:t xml:space="preserve">, </w:t>
      </w:r>
      <w:r w:rsidR="000E625B" w:rsidRPr="00505EDB">
        <w:rPr>
          <w:spacing w:val="-3"/>
          <w:sz w:val="26"/>
        </w:rPr>
        <w:t>which moves the Private Fire rate close</w:t>
      </w:r>
      <w:r w:rsidR="00CC272A">
        <w:rPr>
          <w:spacing w:val="-3"/>
          <w:sz w:val="26"/>
        </w:rPr>
        <w:t>r to cost of service.  OSBA St</w:t>
      </w:r>
      <w:r w:rsidR="000E625B" w:rsidRPr="00505EDB">
        <w:rPr>
          <w:spacing w:val="-3"/>
          <w:sz w:val="26"/>
        </w:rPr>
        <w:t>. in Support, Joint Settlement Appendix F at 10.</w:t>
      </w:r>
    </w:p>
    <w:p w:rsidR="000E625B" w:rsidRPr="00505EDB" w:rsidRDefault="000E625B" w:rsidP="00A76F8A">
      <w:pPr>
        <w:tabs>
          <w:tab w:val="left" w:pos="-1440"/>
          <w:tab w:val="left" w:pos="-720"/>
        </w:tabs>
        <w:suppressAutoHyphens/>
        <w:spacing w:line="360" w:lineRule="auto"/>
        <w:ind w:firstLine="1440"/>
        <w:rPr>
          <w:spacing w:val="-3"/>
          <w:sz w:val="26"/>
        </w:rPr>
      </w:pPr>
    </w:p>
    <w:p w:rsidR="000E625B" w:rsidRPr="00505EDB" w:rsidRDefault="000E625B" w:rsidP="00A76F8A">
      <w:pPr>
        <w:tabs>
          <w:tab w:val="left" w:pos="-1440"/>
          <w:tab w:val="left" w:pos="-720"/>
        </w:tabs>
        <w:suppressAutoHyphens/>
        <w:spacing w:line="360" w:lineRule="auto"/>
        <w:ind w:firstLine="1440"/>
        <w:rPr>
          <w:spacing w:val="-3"/>
          <w:sz w:val="26"/>
        </w:rPr>
      </w:pPr>
      <w:r w:rsidRPr="00505EDB">
        <w:rPr>
          <w:spacing w:val="-3"/>
          <w:sz w:val="26"/>
        </w:rPr>
        <w:t>MPO was concerned about the rate design for the CS Water Division customers.</w:t>
      </w:r>
      <w:r w:rsidRPr="00CC272A">
        <w:rPr>
          <w:rStyle w:val="FootnoteReference"/>
          <w:spacing w:val="-3"/>
          <w:sz w:val="20"/>
        </w:rPr>
        <w:footnoteReference w:id="12"/>
      </w:r>
      <w:r w:rsidR="00CC272A">
        <w:rPr>
          <w:spacing w:val="-3"/>
          <w:sz w:val="26"/>
        </w:rPr>
        <w:t xml:space="preserve">  MPO noted that t</w:t>
      </w:r>
      <w:r w:rsidRPr="00505EDB">
        <w:rPr>
          <w:spacing w:val="-3"/>
          <w:sz w:val="26"/>
        </w:rPr>
        <w:t>he Joint Settlement adopted a decrease in the customer charge and expanded the volumetric block to the level MPO advocated at 6,000</w:t>
      </w:r>
      <w:r w:rsidRPr="00505EDB">
        <w:rPr>
          <w:b/>
          <w:spacing w:val="-3"/>
          <w:sz w:val="26"/>
        </w:rPr>
        <w:t xml:space="preserve"> </w:t>
      </w:r>
      <w:r w:rsidRPr="00505EDB">
        <w:rPr>
          <w:spacing w:val="-3"/>
          <w:sz w:val="26"/>
        </w:rPr>
        <w:t>gallons from 4,000 gallons.  The concerns of MPO were addressed</w:t>
      </w:r>
      <w:r w:rsidR="00CC272A">
        <w:rPr>
          <w:spacing w:val="-3"/>
          <w:sz w:val="26"/>
        </w:rPr>
        <w:t>,</w:t>
      </w:r>
      <w:r w:rsidRPr="00505EDB">
        <w:rPr>
          <w:spacing w:val="-3"/>
          <w:sz w:val="26"/>
        </w:rPr>
        <w:t xml:space="preserve"> and resolved on an amicable basis</w:t>
      </w:r>
      <w:r w:rsidR="00CC272A">
        <w:rPr>
          <w:spacing w:val="-3"/>
          <w:sz w:val="26"/>
        </w:rPr>
        <w:t>,</w:t>
      </w:r>
      <w:r w:rsidRPr="00505EDB">
        <w:rPr>
          <w:spacing w:val="-3"/>
          <w:sz w:val="26"/>
        </w:rPr>
        <w:t xml:space="preserve"> </w:t>
      </w:r>
      <w:r w:rsidR="00CC272A">
        <w:rPr>
          <w:spacing w:val="-3"/>
          <w:sz w:val="26"/>
        </w:rPr>
        <w:t xml:space="preserve">thus </w:t>
      </w:r>
      <w:r w:rsidRPr="00505EDB">
        <w:rPr>
          <w:spacing w:val="-3"/>
          <w:sz w:val="26"/>
        </w:rPr>
        <w:t xml:space="preserve">conserving the resources of the </w:t>
      </w:r>
      <w:r w:rsidR="00CC272A">
        <w:rPr>
          <w:spacing w:val="-3"/>
          <w:sz w:val="26"/>
        </w:rPr>
        <w:t>P</w:t>
      </w:r>
      <w:r w:rsidRPr="00505EDB">
        <w:rPr>
          <w:spacing w:val="-3"/>
          <w:sz w:val="26"/>
        </w:rPr>
        <w:t xml:space="preserve">arties and </w:t>
      </w:r>
      <w:r w:rsidR="00CC272A">
        <w:rPr>
          <w:spacing w:val="-3"/>
          <w:sz w:val="26"/>
        </w:rPr>
        <w:t>the Commission.  Masthope St</w:t>
      </w:r>
      <w:r w:rsidRPr="00505EDB">
        <w:rPr>
          <w:spacing w:val="-3"/>
          <w:sz w:val="26"/>
        </w:rPr>
        <w:t>. in Support, Joint</w:t>
      </w:r>
      <w:r w:rsidR="00CC272A">
        <w:rPr>
          <w:spacing w:val="-3"/>
          <w:sz w:val="26"/>
        </w:rPr>
        <w:t xml:space="preserve"> Settlement Appendix H at 2-3; </w:t>
      </w:r>
      <w:r w:rsidRPr="00505EDB">
        <w:rPr>
          <w:spacing w:val="-3"/>
          <w:sz w:val="26"/>
        </w:rPr>
        <w:t>R.D. at 45-47.</w:t>
      </w:r>
    </w:p>
    <w:p w:rsidR="008E27F3" w:rsidRDefault="008E27F3" w:rsidP="00A76F8A">
      <w:pPr>
        <w:spacing w:line="360" w:lineRule="auto"/>
        <w:rPr>
          <w:sz w:val="26"/>
          <w:szCs w:val="26"/>
        </w:rPr>
      </w:pPr>
    </w:p>
    <w:p w:rsidR="0092671C" w:rsidRDefault="0092671C" w:rsidP="00A76F8A">
      <w:pPr>
        <w:pStyle w:val="Heading1"/>
      </w:pPr>
      <w:bookmarkStart w:id="59" w:name="_Toc264354794"/>
      <w:r>
        <w:t>IV</w:t>
      </w:r>
      <w:r w:rsidRPr="000B25A3">
        <w:t>.</w:t>
      </w:r>
      <w:r w:rsidRPr="000B25A3">
        <w:tab/>
      </w:r>
      <w:r>
        <w:t>Conclusion</w:t>
      </w:r>
      <w:bookmarkEnd w:id="59"/>
    </w:p>
    <w:p w:rsidR="009E13A8" w:rsidRDefault="009E13A8" w:rsidP="00A76F8A">
      <w:pPr>
        <w:tabs>
          <w:tab w:val="left" w:pos="-720"/>
        </w:tabs>
        <w:suppressAutoHyphens/>
        <w:spacing w:line="360" w:lineRule="auto"/>
        <w:rPr>
          <w:sz w:val="26"/>
          <w:szCs w:val="26"/>
        </w:rPr>
      </w:pPr>
    </w:p>
    <w:p w:rsidR="00FB1092" w:rsidRDefault="00FB1092" w:rsidP="009E13A8">
      <w:pPr>
        <w:tabs>
          <w:tab w:val="left" w:pos="-720"/>
        </w:tabs>
        <w:suppressAutoHyphens/>
        <w:spacing w:line="360" w:lineRule="auto"/>
        <w:ind w:firstLine="1440"/>
        <w:rPr>
          <w:spacing w:val="-3"/>
          <w:sz w:val="26"/>
        </w:rPr>
      </w:pPr>
      <w:r>
        <w:rPr>
          <w:spacing w:val="-3"/>
          <w:sz w:val="26"/>
        </w:rPr>
        <w:t>We have reviewed the record</w:t>
      </w:r>
      <w:r w:rsidR="00AA06B5">
        <w:rPr>
          <w:spacing w:val="-3"/>
          <w:sz w:val="26"/>
        </w:rPr>
        <w:t xml:space="preserve"> as developed in this proceeding, including the ALJ’s</w:t>
      </w:r>
      <w:r w:rsidR="00063ED2">
        <w:rPr>
          <w:spacing w:val="-3"/>
          <w:sz w:val="26"/>
        </w:rPr>
        <w:t xml:space="preserve"> Recommended Decision and the Exceptions and Reply Exc</w:t>
      </w:r>
      <w:r w:rsidR="00AD71D4">
        <w:rPr>
          <w:spacing w:val="-3"/>
          <w:sz w:val="26"/>
        </w:rPr>
        <w:t>eptions filed thereto.  The Company</w:t>
      </w:r>
      <w:r w:rsidR="00063ED2">
        <w:rPr>
          <w:spacing w:val="-3"/>
          <w:sz w:val="26"/>
        </w:rPr>
        <w:t xml:space="preserve"> requested</w:t>
      </w:r>
      <w:r w:rsidR="00634ABA">
        <w:rPr>
          <w:spacing w:val="-3"/>
          <w:sz w:val="26"/>
        </w:rPr>
        <w:t xml:space="preserve"> an over</w:t>
      </w:r>
      <w:r w:rsidR="00AD71D4">
        <w:rPr>
          <w:spacing w:val="-3"/>
          <w:sz w:val="26"/>
        </w:rPr>
        <w:t>all revenue increase of $</w:t>
      </w:r>
      <w:r w:rsidR="00BA5D9B">
        <w:rPr>
          <w:spacing w:val="-3"/>
          <w:sz w:val="26"/>
        </w:rPr>
        <w:t>43.2 million, or 11.8</w:t>
      </w:r>
      <w:r w:rsidR="00634ABA">
        <w:rPr>
          <w:spacing w:val="-3"/>
          <w:sz w:val="26"/>
        </w:rPr>
        <w:t xml:space="preserve">%.  </w:t>
      </w:r>
      <w:r w:rsidR="00063ED2">
        <w:rPr>
          <w:spacing w:val="-3"/>
          <w:sz w:val="26"/>
        </w:rPr>
        <w:t xml:space="preserve">The ALJ </w:t>
      </w:r>
      <w:r w:rsidR="00063ED2">
        <w:rPr>
          <w:spacing w:val="-3"/>
          <w:sz w:val="26"/>
        </w:rPr>
        <w:lastRenderedPageBreak/>
        <w:t xml:space="preserve">recommended </w:t>
      </w:r>
      <w:r w:rsidR="00634ABA">
        <w:rPr>
          <w:spacing w:val="-3"/>
          <w:sz w:val="26"/>
        </w:rPr>
        <w:t>that the Commission adopt the Joint Settlement herein, submitted by</w:t>
      </w:r>
      <w:r w:rsidR="00467998">
        <w:rPr>
          <w:spacing w:val="-3"/>
          <w:sz w:val="26"/>
        </w:rPr>
        <w:t xml:space="preserve"> the Company</w:t>
      </w:r>
      <w:r w:rsidR="00FD3CEA">
        <w:rPr>
          <w:spacing w:val="-3"/>
          <w:sz w:val="26"/>
        </w:rPr>
        <w:t xml:space="preserve">, Aqua LUG, MPO, </w:t>
      </w:r>
      <w:r w:rsidR="00467998">
        <w:rPr>
          <w:spacing w:val="-3"/>
          <w:sz w:val="26"/>
        </w:rPr>
        <w:t>the OCA</w:t>
      </w:r>
      <w:r w:rsidR="00FD3CEA">
        <w:rPr>
          <w:spacing w:val="-3"/>
          <w:sz w:val="26"/>
        </w:rPr>
        <w:t>, the OSBA and the OTS.  R.D. at 48</w:t>
      </w:r>
      <w:r w:rsidR="006D0FED">
        <w:rPr>
          <w:spacing w:val="-3"/>
          <w:sz w:val="26"/>
        </w:rPr>
        <w:t xml:space="preserve">.  Adoption of the Joint </w:t>
      </w:r>
      <w:r w:rsidR="00FD3CEA">
        <w:rPr>
          <w:spacing w:val="-3"/>
          <w:sz w:val="26"/>
        </w:rPr>
        <w:t>Settlement</w:t>
      </w:r>
      <w:r w:rsidR="006D0FED">
        <w:rPr>
          <w:spacing w:val="-3"/>
          <w:sz w:val="26"/>
        </w:rPr>
        <w:t xml:space="preserve"> </w:t>
      </w:r>
      <w:r w:rsidR="00634ABA">
        <w:rPr>
          <w:spacing w:val="-3"/>
          <w:sz w:val="26"/>
        </w:rPr>
        <w:t xml:space="preserve">would result </w:t>
      </w:r>
      <w:r w:rsidR="00F56330">
        <w:rPr>
          <w:spacing w:val="-3"/>
          <w:sz w:val="26"/>
        </w:rPr>
        <w:t>in the Company receiving a stipulated inc</w:t>
      </w:r>
      <w:r w:rsidR="00FD3CEA">
        <w:rPr>
          <w:spacing w:val="-3"/>
          <w:sz w:val="26"/>
        </w:rPr>
        <w:t>rease in annual revenues of $23.6 million</w:t>
      </w:r>
      <w:r w:rsidR="00F56330">
        <w:rPr>
          <w:spacing w:val="-3"/>
          <w:sz w:val="26"/>
        </w:rPr>
        <w:t xml:space="preserve">, without specific identification of adjustments.  </w:t>
      </w:r>
      <w:r w:rsidR="00063ED2">
        <w:rPr>
          <w:spacing w:val="-3"/>
          <w:sz w:val="26"/>
        </w:rPr>
        <w:t>The ALJ further recom</w:t>
      </w:r>
      <w:r w:rsidR="00EB6268">
        <w:rPr>
          <w:spacing w:val="-3"/>
          <w:sz w:val="26"/>
        </w:rPr>
        <w:t>m</w:t>
      </w:r>
      <w:r w:rsidR="00F56330">
        <w:rPr>
          <w:spacing w:val="-3"/>
          <w:sz w:val="26"/>
        </w:rPr>
        <w:t>ended that the Company</w:t>
      </w:r>
      <w:r w:rsidR="00EB6268">
        <w:rPr>
          <w:spacing w:val="-3"/>
          <w:sz w:val="26"/>
        </w:rPr>
        <w:t xml:space="preserve"> be authorized</w:t>
      </w:r>
      <w:r w:rsidR="00063ED2">
        <w:rPr>
          <w:spacing w:val="-3"/>
          <w:sz w:val="26"/>
        </w:rPr>
        <w:t xml:space="preserve"> to</w:t>
      </w:r>
      <w:r w:rsidR="00EB6268">
        <w:rPr>
          <w:spacing w:val="-3"/>
          <w:sz w:val="26"/>
        </w:rPr>
        <w:t xml:space="preserve"> file a tariff </w:t>
      </w:r>
      <w:r w:rsidR="00AC22B6">
        <w:rPr>
          <w:spacing w:val="-3"/>
          <w:sz w:val="26"/>
        </w:rPr>
        <w:t>or tariff supplement in substantially the same form as that attached as Appendix “A” to the Joint Settlement Petition of the Rate Investigation</w:t>
      </w:r>
      <w:r w:rsidR="005335C7">
        <w:rPr>
          <w:spacing w:val="-3"/>
          <w:sz w:val="26"/>
        </w:rPr>
        <w:t xml:space="preserve"> to become effective for service on one day’s notice, following the entry of the instan</w:t>
      </w:r>
      <w:r w:rsidR="00AC22B6">
        <w:rPr>
          <w:spacing w:val="-3"/>
          <w:sz w:val="26"/>
        </w:rPr>
        <w:t>t Opinion and Order.  R.D. at 48.</w:t>
      </w:r>
    </w:p>
    <w:p w:rsidR="00FB1092" w:rsidRDefault="00FB1092" w:rsidP="00A76F8A">
      <w:pPr>
        <w:tabs>
          <w:tab w:val="left" w:pos="-720"/>
        </w:tabs>
        <w:suppressAutoHyphens/>
        <w:spacing w:line="360" w:lineRule="auto"/>
        <w:rPr>
          <w:spacing w:val="-3"/>
          <w:sz w:val="26"/>
        </w:rPr>
      </w:pPr>
    </w:p>
    <w:p w:rsidR="00FB1092" w:rsidRDefault="00502A8F" w:rsidP="009E13A8">
      <w:pPr>
        <w:tabs>
          <w:tab w:val="left" w:pos="-720"/>
        </w:tabs>
        <w:suppressAutoHyphens/>
        <w:spacing w:line="360" w:lineRule="auto"/>
        <w:ind w:firstLine="1440"/>
        <w:rPr>
          <w:spacing w:val="-3"/>
          <w:sz w:val="26"/>
        </w:rPr>
      </w:pPr>
      <w:r>
        <w:rPr>
          <w:spacing w:val="-3"/>
          <w:sz w:val="26"/>
        </w:rPr>
        <w:t xml:space="preserve">Based on our review, evaluation and analysis </w:t>
      </w:r>
      <w:r w:rsidR="0012534C">
        <w:rPr>
          <w:spacing w:val="-3"/>
          <w:sz w:val="26"/>
        </w:rPr>
        <w:t xml:space="preserve">of the record evidence, we shall </w:t>
      </w:r>
      <w:r>
        <w:rPr>
          <w:spacing w:val="-3"/>
          <w:sz w:val="26"/>
        </w:rPr>
        <w:t>ad</w:t>
      </w:r>
      <w:r w:rsidR="0012534C">
        <w:rPr>
          <w:spacing w:val="-3"/>
          <w:sz w:val="26"/>
        </w:rPr>
        <w:t>opt</w:t>
      </w:r>
      <w:r w:rsidR="002C05A4">
        <w:rPr>
          <w:spacing w:val="-3"/>
          <w:sz w:val="26"/>
        </w:rPr>
        <w:t xml:space="preserve"> the ALJ’s recommendations, </w:t>
      </w:r>
      <w:r w:rsidR="00952572">
        <w:rPr>
          <w:spacing w:val="-3"/>
          <w:sz w:val="26"/>
        </w:rPr>
        <w:t xml:space="preserve">to the extent </w:t>
      </w:r>
      <w:r w:rsidR="002C05A4">
        <w:rPr>
          <w:spacing w:val="-3"/>
          <w:sz w:val="26"/>
        </w:rPr>
        <w:t xml:space="preserve">consistent with this Opinion and Order.  </w:t>
      </w:r>
      <w:r>
        <w:rPr>
          <w:spacing w:val="-3"/>
          <w:sz w:val="26"/>
        </w:rPr>
        <w:t>The resulting al</w:t>
      </w:r>
      <w:r w:rsidR="00C711AB">
        <w:rPr>
          <w:spacing w:val="-3"/>
          <w:sz w:val="26"/>
        </w:rPr>
        <w:t>lowable revenue increase is $</w:t>
      </w:r>
      <w:r w:rsidR="00696FFA">
        <w:rPr>
          <w:spacing w:val="-3"/>
          <w:sz w:val="26"/>
        </w:rPr>
        <w:t>23.6 million</w:t>
      </w:r>
      <w:r w:rsidR="002C05A4">
        <w:rPr>
          <w:spacing w:val="-3"/>
          <w:sz w:val="26"/>
        </w:rPr>
        <w:t xml:space="preserve"> or a 6.46 </w:t>
      </w:r>
      <w:r w:rsidR="00696FFA">
        <w:rPr>
          <w:spacing w:val="-3"/>
          <w:sz w:val="26"/>
        </w:rPr>
        <w:t xml:space="preserve">% </w:t>
      </w:r>
      <w:r w:rsidR="00C711AB">
        <w:rPr>
          <w:spacing w:val="-3"/>
          <w:sz w:val="26"/>
        </w:rPr>
        <w:t xml:space="preserve">increase.  </w:t>
      </w:r>
      <w:r w:rsidR="005335C7">
        <w:rPr>
          <w:spacing w:val="-3"/>
          <w:sz w:val="26"/>
        </w:rPr>
        <w:t>As su</w:t>
      </w:r>
      <w:r w:rsidR="00DA080A">
        <w:rPr>
          <w:spacing w:val="-3"/>
          <w:sz w:val="26"/>
        </w:rPr>
        <w:t xml:space="preserve">ch, the </w:t>
      </w:r>
      <w:r w:rsidR="00B76352">
        <w:rPr>
          <w:spacing w:val="-3"/>
          <w:sz w:val="26"/>
        </w:rPr>
        <w:t xml:space="preserve">Exceptions </w:t>
      </w:r>
      <w:r w:rsidR="00DA080A">
        <w:rPr>
          <w:spacing w:val="-3"/>
          <w:sz w:val="26"/>
        </w:rPr>
        <w:t>of</w:t>
      </w:r>
      <w:r w:rsidR="00B32252">
        <w:rPr>
          <w:spacing w:val="-3"/>
          <w:sz w:val="26"/>
        </w:rPr>
        <w:t xml:space="preserve"> Jerome Linden </w:t>
      </w:r>
      <w:r w:rsidR="00B76352">
        <w:rPr>
          <w:spacing w:val="-3"/>
          <w:sz w:val="26"/>
        </w:rPr>
        <w:t xml:space="preserve">will be denied; </w:t>
      </w:r>
      <w:r w:rsidR="00B76352" w:rsidRPr="00B76352">
        <w:rPr>
          <w:b/>
          <w:spacing w:val="-3"/>
          <w:sz w:val="26"/>
        </w:rPr>
        <w:t>THEREFORE</w:t>
      </w:r>
      <w:r w:rsidR="00B76352">
        <w:rPr>
          <w:b/>
          <w:spacing w:val="-3"/>
          <w:sz w:val="26"/>
        </w:rPr>
        <w:t>;</w:t>
      </w:r>
    </w:p>
    <w:p w:rsidR="001D7A76" w:rsidRDefault="001D7A76" w:rsidP="00A76F8A">
      <w:pPr>
        <w:tabs>
          <w:tab w:val="left" w:pos="-720"/>
        </w:tabs>
        <w:suppressAutoHyphens/>
        <w:spacing w:line="360" w:lineRule="auto"/>
        <w:jc w:val="both"/>
        <w:rPr>
          <w:spacing w:val="-3"/>
          <w:sz w:val="26"/>
        </w:rPr>
      </w:pPr>
    </w:p>
    <w:p w:rsidR="00881922" w:rsidRPr="00217166" w:rsidRDefault="00217166" w:rsidP="009E13A8">
      <w:pPr>
        <w:pStyle w:val="BodyText3"/>
        <w:tabs>
          <w:tab w:val="left" w:pos="-720"/>
        </w:tabs>
        <w:ind w:firstLine="1440"/>
        <w:rPr>
          <w:b/>
          <w:spacing w:val="-3"/>
          <w:sz w:val="26"/>
          <w:szCs w:val="24"/>
        </w:rPr>
      </w:pPr>
      <w:r w:rsidRPr="00217166">
        <w:rPr>
          <w:b/>
          <w:sz w:val="26"/>
          <w:szCs w:val="24"/>
        </w:rPr>
        <w:t>IT IS ORDERED</w:t>
      </w:r>
      <w:r w:rsidR="00881922" w:rsidRPr="00217166">
        <w:rPr>
          <w:b/>
          <w:sz w:val="26"/>
          <w:szCs w:val="24"/>
        </w:rPr>
        <w:t>:</w:t>
      </w:r>
    </w:p>
    <w:p w:rsidR="00881922" w:rsidRPr="00FB1092" w:rsidRDefault="00881922" w:rsidP="00A76F8A">
      <w:pPr>
        <w:tabs>
          <w:tab w:val="left" w:pos="-720"/>
        </w:tabs>
        <w:suppressAutoHyphens/>
        <w:spacing w:line="360" w:lineRule="auto"/>
        <w:rPr>
          <w:spacing w:val="-3"/>
          <w:sz w:val="26"/>
        </w:rPr>
      </w:pPr>
    </w:p>
    <w:p w:rsidR="00FF3636" w:rsidRDefault="00217166" w:rsidP="009E13A8">
      <w:pPr>
        <w:spacing w:line="360" w:lineRule="auto"/>
        <w:ind w:firstLine="1440"/>
        <w:rPr>
          <w:spacing w:val="-3"/>
          <w:sz w:val="26"/>
        </w:rPr>
      </w:pPr>
      <w:r>
        <w:rPr>
          <w:spacing w:val="-3"/>
          <w:sz w:val="26"/>
        </w:rPr>
        <w:t>1.</w:t>
      </w:r>
      <w:r>
        <w:rPr>
          <w:spacing w:val="-3"/>
          <w:sz w:val="26"/>
        </w:rPr>
        <w:tab/>
        <w:t>That the Exceptions filed by</w:t>
      </w:r>
      <w:r w:rsidR="000D2009">
        <w:rPr>
          <w:spacing w:val="-3"/>
          <w:sz w:val="26"/>
        </w:rPr>
        <w:t xml:space="preserve"> Jerome Linden </w:t>
      </w:r>
      <w:r w:rsidR="00744F5A">
        <w:rPr>
          <w:spacing w:val="-3"/>
          <w:sz w:val="26"/>
        </w:rPr>
        <w:t>o</w:t>
      </w:r>
      <w:r>
        <w:rPr>
          <w:spacing w:val="-3"/>
          <w:sz w:val="26"/>
        </w:rPr>
        <w:t xml:space="preserve">n </w:t>
      </w:r>
      <w:r w:rsidR="000D2009">
        <w:rPr>
          <w:spacing w:val="-3"/>
          <w:sz w:val="26"/>
        </w:rPr>
        <w:t>June 4</w:t>
      </w:r>
      <w:r w:rsidR="00157288">
        <w:rPr>
          <w:spacing w:val="-3"/>
          <w:sz w:val="26"/>
        </w:rPr>
        <w:t>, 2010</w:t>
      </w:r>
      <w:r w:rsidR="002B442F">
        <w:rPr>
          <w:spacing w:val="-3"/>
          <w:sz w:val="26"/>
        </w:rPr>
        <w:t>, to the Recommended Decision of Administrative La</w:t>
      </w:r>
      <w:r w:rsidR="00696FFA">
        <w:rPr>
          <w:spacing w:val="-3"/>
          <w:sz w:val="26"/>
        </w:rPr>
        <w:t xml:space="preserve">w Judge Angela </w:t>
      </w:r>
      <w:r w:rsidR="00157288">
        <w:rPr>
          <w:spacing w:val="-3"/>
          <w:sz w:val="26"/>
        </w:rPr>
        <w:t>T. Jones</w:t>
      </w:r>
      <w:r w:rsidR="002B442F">
        <w:rPr>
          <w:spacing w:val="-3"/>
          <w:sz w:val="26"/>
        </w:rPr>
        <w:t xml:space="preserve"> are denied.</w:t>
      </w:r>
    </w:p>
    <w:p w:rsidR="00217166" w:rsidRDefault="00881922" w:rsidP="00A76F8A">
      <w:pPr>
        <w:spacing w:line="360" w:lineRule="auto"/>
        <w:rPr>
          <w:spacing w:val="-3"/>
          <w:sz w:val="26"/>
        </w:rPr>
      </w:pPr>
      <w:r w:rsidRPr="00FB1092">
        <w:rPr>
          <w:spacing w:val="-3"/>
          <w:sz w:val="26"/>
        </w:rPr>
        <w:tab/>
      </w:r>
      <w:r w:rsidRPr="00FB1092">
        <w:rPr>
          <w:spacing w:val="-3"/>
          <w:sz w:val="26"/>
        </w:rPr>
        <w:tab/>
      </w:r>
    </w:p>
    <w:p w:rsidR="00217166" w:rsidRDefault="00B650BF" w:rsidP="009E13A8">
      <w:pPr>
        <w:spacing w:line="360" w:lineRule="auto"/>
        <w:ind w:firstLine="1440"/>
        <w:rPr>
          <w:spacing w:val="-3"/>
          <w:sz w:val="26"/>
        </w:rPr>
      </w:pPr>
      <w:r>
        <w:rPr>
          <w:spacing w:val="-3"/>
          <w:sz w:val="26"/>
        </w:rPr>
        <w:t>2</w:t>
      </w:r>
      <w:r w:rsidR="00FF3636">
        <w:rPr>
          <w:spacing w:val="-3"/>
          <w:sz w:val="26"/>
        </w:rPr>
        <w:t>.</w:t>
      </w:r>
      <w:r w:rsidR="00FF3636">
        <w:rPr>
          <w:spacing w:val="-3"/>
          <w:sz w:val="26"/>
        </w:rPr>
        <w:tab/>
        <w:t>That the Recommended Decision of Admi</w:t>
      </w:r>
      <w:r w:rsidR="002C05A4">
        <w:rPr>
          <w:spacing w:val="-3"/>
          <w:sz w:val="26"/>
        </w:rPr>
        <w:t>nistrative Law Judge Angela T. Jones</w:t>
      </w:r>
      <w:r w:rsidR="0023306C">
        <w:rPr>
          <w:spacing w:val="-3"/>
          <w:sz w:val="26"/>
        </w:rPr>
        <w:t>,</w:t>
      </w:r>
      <w:r w:rsidR="00157288">
        <w:rPr>
          <w:spacing w:val="-3"/>
          <w:sz w:val="26"/>
        </w:rPr>
        <w:t xml:space="preserve"> issued on May 25, 2010</w:t>
      </w:r>
      <w:r w:rsidR="00FF3636">
        <w:rPr>
          <w:spacing w:val="-3"/>
          <w:sz w:val="26"/>
        </w:rPr>
        <w:t>, is adopted</w:t>
      </w:r>
      <w:r w:rsidR="002C05A4">
        <w:rPr>
          <w:spacing w:val="-3"/>
          <w:sz w:val="26"/>
        </w:rPr>
        <w:t xml:space="preserve">, </w:t>
      </w:r>
      <w:r w:rsidR="00952572">
        <w:rPr>
          <w:spacing w:val="-3"/>
          <w:sz w:val="26"/>
        </w:rPr>
        <w:t xml:space="preserve">to the extent </w:t>
      </w:r>
      <w:r w:rsidR="002C05A4">
        <w:rPr>
          <w:spacing w:val="-3"/>
          <w:sz w:val="26"/>
        </w:rPr>
        <w:t>consistent with this Opinion and Order</w:t>
      </w:r>
      <w:r w:rsidR="00FF3636">
        <w:rPr>
          <w:spacing w:val="-3"/>
          <w:sz w:val="26"/>
        </w:rPr>
        <w:t>.</w:t>
      </w:r>
      <w:r w:rsidR="00A41279">
        <w:rPr>
          <w:spacing w:val="-3"/>
          <w:sz w:val="26"/>
        </w:rPr>
        <w:t xml:space="preserve">  </w:t>
      </w:r>
    </w:p>
    <w:p w:rsidR="00217166" w:rsidRDefault="00217166" w:rsidP="00A76F8A">
      <w:pPr>
        <w:spacing w:line="360" w:lineRule="auto"/>
        <w:rPr>
          <w:spacing w:val="-3"/>
          <w:sz w:val="26"/>
        </w:rPr>
      </w:pPr>
    </w:p>
    <w:p w:rsidR="009C2E09" w:rsidRPr="009C2E09" w:rsidRDefault="00B650BF" w:rsidP="00A76F8A">
      <w:pPr>
        <w:spacing w:line="360" w:lineRule="auto"/>
        <w:ind w:firstLine="1440"/>
        <w:rPr>
          <w:spacing w:val="-3"/>
          <w:sz w:val="26"/>
        </w:rPr>
      </w:pPr>
      <w:r>
        <w:rPr>
          <w:spacing w:val="-3"/>
          <w:sz w:val="26"/>
        </w:rPr>
        <w:t>3</w:t>
      </w:r>
      <w:r w:rsidR="00856085" w:rsidRPr="00217425">
        <w:rPr>
          <w:spacing w:val="-3"/>
          <w:sz w:val="26"/>
        </w:rPr>
        <w:t>.</w:t>
      </w:r>
      <w:r w:rsidR="009C2E09">
        <w:rPr>
          <w:spacing w:val="-3"/>
          <w:sz w:val="26"/>
        </w:rPr>
        <w:tab/>
      </w:r>
      <w:r w:rsidR="009C2E09" w:rsidRPr="009C2E09">
        <w:rPr>
          <w:sz w:val="26"/>
        </w:rPr>
        <w:t>That Aqua Pennsylvania, Inc.</w:t>
      </w:r>
      <w:r w:rsidR="009C2E09">
        <w:rPr>
          <w:sz w:val="26"/>
        </w:rPr>
        <w:t>,</w:t>
      </w:r>
      <w:r w:rsidR="009C2E09" w:rsidRPr="009C2E09">
        <w:rPr>
          <w:sz w:val="26"/>
        </w:rPr>
        <w:t xml:space="preserve"> shall not place into effect the rates, rules, and regulations contained in Supplement No. 100 t</w:t>
      </w:r>
      <w:r w:rsidR="009C2E09">
        <w:rPr>
          <w:sz w:val="26"/>
        </w:rPr>
        <w:t>o Tariff Water - Pa. P.U.C. No. </w:t>
      </w:r>
      <w:r w:rsidR="009C2E09" w:rsidRPr="009C2E09">
        <w:rPr>
          <w:sz w:val="26"/>
        </w:rPr>
        <w:t>1 concerning its purchase water cost recovery base rate as filed on November 18, 2009, the same having been found to be unjust, unreasonable, and therefore, unlawful.</w:t>
      </w:r>
    </w:p>
    <w:p w:rsidR="009C2E09" w:rsidRDefault="009C2E09" w:rsidP="00A76F8A">
      <w:pPr>
        <w:spacing w:line="360" w:lineRule="auto"/>
        <w:rPr>
          <w:spacing w:val="-3"/>
          <w:sz w:val="26"/>
        </w:rPr>
      </w:pPr>
    </w:p>
    <w:p w:rsidR="009E3951" w:rsidRPr="009E3951" w:rsidRDefault="00B650BF" w:rsidP="00E716EB">
      <w:pPr>
        <w:spacing w:line="360" w:lineRule="auto"/>
        <w:ind w:firstLine="1440"/>
        <w:rPr>
          <w:spacing w:val="-3"/>
          <w:sz w:val="26"/>
        </w:rPr>
      </w:pPr>
      <w:r>
        <w:rPr>
          <w:spacing w:val="-3"/>
          <w:sz w:val="26"/>
        </w:rPr>
        <w:lastRenderedPageBreak/>
        <w:t>4</w:t>
      </w:r>
      <w:r w:rsidR="009C2E09">
        <w:rPr>
          <w:spacing w:val="-3"/>
          <w:sz w:val="26"/>
        </w:rPr>
        <w:t>.</w:t>
      </w:r>
      <w:r w:rsidR="009C2E09">
        <w:rPr>
          <w:spacing w:val="-3"/>
          <w:sz w:val="26"/>
        </w:rPr>
        <w:tab/>
      </w:r>
      <w:r w:rsidR="009E3951" w:rsidRPr="009E3951">
        <w:rPr>
          <w:sz w:val="26"/>
        </w:rPr>
        <w:t>That the rates, terms and conditions contained in the Joint Settlement Petition filed by Aqua Pennsylvania, Inc., Aqua Large Users Group, Masthope Property Owners Council, the Office of Consumer Advocate, the Office of Small Business Advocate and the Office of Trial Staff be approved and adopted consistent with the discussion contained herein.</w:t>
      </w:r>
    </w:p>
    <w:p w:rsidR="00856085" w:rsidRPr="00217425" w:rsidRDefault="00856085" w:rsidP="00A76F8A">
      <w:pPr>
        <w:spacing w:line="360" w:lineRule="auto"/>
        <w:rPr>
          <w:spacing w:val="-3"/>
          <w:sz w:val="26"/>
        </w:rPr>
      </w:pPr>
    </w:p>
    <w:p w:rsidR="00856085" w:rsidRDefault="00B650BF" w:rsidP="00E716EB">
      <w:pPr>
        <w:autoSpaceDE w:val="0"/>
        <w:autoSpaceDN w:val="0"/>
        <w:adjustRightInd w:val="0"/>
        <w:spacing w:line="360" w:lineRule="auto"/>
        <w:ind w:firstLine="1440"/>
        <w:rPr>
          <w:sz w:val="26"/>
        </w:rPr>
      </w:pPr>
      <w:r>
        <w:rPr>
          <w:spacing w:val="-3"/>
          <w:sz w:val="26"/>
        </w:rPr>
        <w:t>5</w:t>
      </w:r>
      <w:r w:rsidR="00856085" w:rsidRPr="00217425">
        <w:rPr>
          <w:spacing w:val="-3"/>
          <w:sz w:val="26"/>
        </w:rPr>
        <w:t>.</w:t>
      </w:r>
      <w:r w:rsidR="00856085" w:rsidRPr="00217425">
        <w:rPr>
          <w:spacing w:val="-3"/>
          <w:sz w:val="26"/>
        </w:rPr>
        <w:tab/>
        <w:t>That</w:t>
      </w:r>
      <w:r w:rsidR="00856085" w:rsidRPr="00217425">
        <w:rPr>
          <w:sz w:val="26"/>
        </w:rPr>
        <w:t xml:space="preserve"> </w:t>
      </w:r>
      <w:r w:rsidR="00D6095C">
        <w:rPr>
          <w:sz w:val="26"/>
        </w:rPr>
        <w:t>Aqua Pennsylvania, Inc.</w:t>
      </w:r>
      <w:r w:rsidR="009E3951">
        <w:rPr>
          <w:sz w:val="26"/>
        </w:rPr>
        <w:t xml:space="preserve"> will</w:t>
      </w:r>
      <w:r w:rsidR="00856085" w:rsidRPr="00217425">
        <w:rPr>
          <w:sz w:val="26"/>
        </w:rPr>
        <w:t xml:space="preserve"> be permitted to </w:t>
      </w:r>
      <w:r w:rsidR="00D6095C">
        <w:rPr>
          <w:sz w:val="26"/>
        </w:rPr>
        <w:t>charge the rates for water service set forth in the proposed Tariff Supplement</w:t>
      </w:r>
      <w:r w:rsidR="0006079C">
        <w:rPr>
          <w:sz w:val="26"/>
        </w:rPr>
        <w:t xml:space="preserve"> No. 104 to Tariff Water – Pa. P.U.C. No. 1 which is attached to the Joint Settlement Petition as Appendix “A.”</w:t>
      </w:r>
      <w:r w:rsidR="00D6095C">
        <w:rPr>
          <w:sz w:val="26"/>
        </w:rPr>
        <w:t xml:space="preserve">     </w:t>
      </w:r>
    </w:p>
    <w:p w:rsidR="0006079C" w:rsidRPr="00217425" w:rsidRDefault="0006079C" w:rsidP="00A76F8A">
      <w:pPr>
        <w:autoSpaceDE w:val="0"/>
        <w:autoSpaceDN w:val="0"/>
        <w:adjustRightInd w:val="0"/>
        <w:spacing w:line="360" w:lineRule="auto"/>
        <w:rPr>
          <w:sz w:val="26"/>
        </w:rPr>
      </w:pPr>
    </w:p>
    <w:p w:rsidR="00BE7960" w:rsidRDefault="00B650BF" w:rsidP="00E716EB">
      <w:pPr>
        <w:pStyle w:val="BodyText2"/>
        <w:spacing w:line="360" w:lineRule="auto"/>
        <w:ind w:firstLine="1440"/>
        <w:rPr>
          <w:sz w:val="26"/>
        </w:rPr>
      </w:pPr>
      <w:r>
        <w:rPr>
          <w:spacing w:val="-3"/>
          <w:sz w:val="26"/>
        </w:rPr>
        <w:t>6</w:t>
      </w:r>
      <w:r w:rsidR="00856085" w:rsidRPr="00217425">
        <w:rPr>
          <w:spacing w:val="-3"/>
          <w:sz w:val="26"/>
        </w:rPr>
        <w:t>.</w:t>
      </w:r>
      <w:r w:rsidR="00856085" w:rsidRPr="00217425">
        <w:rPr>
          <w:spacing w:val="-3"/>
          <w:sz w:val="26"/>
        </w:rPr>
        <w:tab/>
      </w:r>
      <w:r w:rsidR="0006079C" w:rsidRPr="0006079C">
        <w:rPr>
          <w:spacing w:val="-3"/>
          <w:sz w:val="26"/>
        </w:rPr>
        <w:t xml:space="preserve">That Aqua Pennsylvania, Inc. file a tariff or tariff supplement in substantially the same form as that attached as Appendix “A” to the Joint </w:t>
      </w:r>
      <w:r w:rsidR="0006079C" w:rsidRPr="0006079C">
        <w:rPr>
          <w:sz w:val="26"/>
        </w:rPr>
        <w:t>Settlement</w:t>
      </w:r>
      <w:r w:rsidR="0006079C" w:rsidRPr="0006079C">
        <w:rPr>
          <w:spacing w:val="-3"/>
          <w:sz w:val="26"/>
        </w:rPr>
        <w:t xml:space="preserve"> Petition of the </w:t>
      </w:r>
      <w:r w:rsidR="00BE7960">
        <w:rPr>
          <w:spacing w:val="-3"/>
          <w:sz w:val="26"/>
        </w:rPr>
        <w:t xml:space="preserve">Rate Investigation </w:t>
      </w:r>
      <w:r w:rsidR="0006079C" w:rsidRPr="0006079C">
        <w:rPr>
          <w:spacing w:val="-3"/>
          <w:sz w:val="26"/>
        </w:rPr>
        <w:t xml:space="preserve">reflecting the rates, rules, and regulations </w:t>
      </w:r>
      <w:r w:rsidR="00BE7960" w:rsidRPr="00217425">
        <w:rPr>
          <w:sz w:val="26"/>
        </w:rPr>
        <w:t>to become effective for service on one day’s notice, fo</w:t>
      </w:r>
      <w:r w:rsidR="00BE7960">
        <w:rPr>
          <w:sz w:val="26"/>
        </w:rPr>
        <w:t>llowing the entry of the instant Opinion and Order</w:t>
      </w:r>
      <w:r w:rsidR="00BE7960" w:rsidRPr="00217425">
        <w:rPr>
          <w:sz w:val="26"/>
        </w:rPr>
        <w:t>.</w:t>
      </w:r>
    </w:p>
    <w:p w:rsidR="00BE7960" w:rsidRDefault="00BE7960" w:rsidP="00A76F8A">
      <w:pPr>
        <w:autoSpaceDE w:val="0"/>
        <w:autoSpaceDN w:val="0"/>
        <w:adjustRightInd w:val="0"/>
        <w:spacing w:line="360" w:lineRule="auto"/>
        <w:rPr>
          <w:sz w:val="26"/>
        </w:rPr>
      </w:pPr>
    </w:p>
    <w:p w:rsidR="00BE7960" w:rsidRPr="00BE7960" w:rsidRDefault="00B650BF" w:rsidP="00E716EB">
      <w:pPr>
        <w:autoSpaceDE w:val="0"/>
        <w:autoSpaceDN w:val="0"/>
        <w:adjustRightInd w:val="0"/>
        <w:spacing w:line="360" w:lineRule="auto"/>
        <w:ind w:firstLine="1440"/>
        <w:rPr>
          <w:sz w:val="26"/>
        </w:rPr>
      </w:pPr>
      <w:r>
        <w:rPr>
          <w:sz w:val="26"/>
        </w:rPr>
        <w:t>7</w:t>
      </w:r>
      <w:r w:rsidR="00856085" w:rsidRPr="00217425">
        <w:rPr>
          <w:sz w:val="26"/>
        </w:rPr>
        <w:t>.</w:t>
      </w:r>
      <w:r w:rsidR="00856085" w:rsidRPr="00217425">
        <w:rPr>
          <w:sz w:val="26"/>
        </w:rPr>
        <w:tab/>
      </w:r>
      <w:r w:rsidR="00BE7960" w:rsidRPr="00BE7960">
        <w:rPr>
          <w:sz w:val="26"/>
        </w:rPr>
        <w:t>That upon acceptance of the appropriate compliance filing</w:t>
      </w:r>
      <w:r w:rsidR="00BE7960">
        <w:rPr>
          <w:sz w:val="26"/>
        </w:rPr>
        <w:t>, the I</w:t>
      </w:r>
      <w:r w:rsidR="00BE7960" w:rsidRPr="00BE7960">
        <w:rPr>
          <w:sz w:val="26"/>
        </w:rPr>
        <w:t>nvestigation at Docket No. R-2009-2132019 should be marked closed.</w:t>
      </w:r>
    </w:p>
    <w:p w:rsidR="00BE7960" w:rsidRDefault="00BE7960" w:rsidP="00A76F8A">
      <w:pPr>
        <w:autoSpaceDE w:val="0"/>
        <w:autoSpaceDN w:val="0"/>
        <w:adjustRightInd w:val="0"/>
        <w:spacing w:line="360" w:lineRule="auto"/>
        <w:rPr>
          <w:sz w:val="26"/>
        </w:rPr>
      </w:pPr>
    </w:p>
    <w:p w:rsidR="00C20720" w:rsidRDefault="00B650BF" w:rsidP="00E716EB">
      <w:pPr>
        <w:autoSpaceDE w:val="0"/>
        <w:autoSpaceDN w:val="0"/>
        <w:adjustRightInd w:val="0"/>
        <w:spacing w:line="360" w:lineRule="auto"/>
        <w:ind w:firstLine="1440"/>
        <w:rPr>
          <w:sz w:val="26"/>
        </w:rPr>
      </w:pPr>
      <w:r>
        <w:rPr>
          <w:sz w:val="26"/>
        </w:rPr>
        <w:t>8</w:t>
      </w:r>
      <w:r w:rsidR="00C20720">
        <w:rPr>
          <w:sz w:val="26"/>
        </w:rPr>
        <w:t>.</w:t>
      </w:r>
      <w:r w:rsidR="00C20720">
        <w:rPr>
          <w:sz w:val="26"/>
        </w:rPr>
        <w:tab/>
        <w:t>Tha</w:t>
      </w:r>
      <w:r w:rsidR="00717101">
        <w:rPr>
          <w:sz w:val="26"/>
        </w:rPr>
        <w:t>t Aqua Pennsylvania, Inc., shall</w:t>
      </w:r>
      <w:r w:rsidR="00C20720">
        <w:rPr>
          <w:sz w:val="26"/>
        </w:rPr>
        <w:t xml:space="preserve"> not file another base rate case, under Section 1308 of the Public Utility Code, prior to November 18, 2011.</w:t>
      </w:r>
    </w:p>
    <w:p w:rsidR="00C20720" w:rsidRDefault="00C20720" w:rsidP="00A76F8A">
      <w:pPr>
        <w:autoSpaceDE w:val="0"/>
        <w:autoSpaceDN w:val="0"/>
        <w:adjustRightInd w:val="0"/>
        <w:spacing w:line="360" w:lineRule="auto"/>
        <w:rPr>
          <w:sz w:val="26"/>
        </w:rPr>
      </w:pPr>
    </w:p>
    <w:p w:rsidR="00C1160D" w:rsidRDefault="00B650BF" w:rsidP="00E716EB">
      <w:pPr>
        <w:autoSpaceDE w:val="0"/>
        <w:autoSpaceDN w:val="0"/>
        <w:adjustRightInd w:val="0"/>
        <w:spacing w:line="360" w:lineRule="auto"/>
        <w:ind w:firstLine="1440"/>
        <w:rPr>
          <w:sz w:val="26"/>
        </w:rPr>
      </w:pPr>
      <w:r>
        <w:rPr>
          <w:sz w:val="26"/>
        </w:rPr>
        <w:t>9</w:t>
      </w:r>
      <w:r w:rsidR="00C1160D">
        <w:rPr>
          <w:sz w:val="26"/>
        </w:rPr>
        <w:t>.</w:t>
      </w:r>
      <w:r w:rsidR="00C1160D">
        <w:rPr>
          <w:sz w:val="26"/>
        </w:rPr>
        <w:tab/>
        <w:t>That the F</w:t>
      </w:r>
      <w:r w:rsidR="00C1160D" w:rsidRPr="00C1160D">
        <w:rPr>
          <w:sz w:val="26"/>
        </w:rPr>
        <w:t>ormal Complaint filed at Docket No. C-2009-</w:t>
      </w:r>
      <w:r w:rsidR="00C1160D" w:rsidRPr="00C1160D">
        <w:rPr>
          <w:spacing w:val="-3"/>
          <w:sz w:val="26"/>
        </w:rPr>
        <w:t>2143666</w:t>
      </w:r>
      <w:r w:rsidR="00C1160D" w:rsidRPr="00C1160D">
        <w:rPr>
          <w:sz w:val="26"/>
        </w:rPr>
        <w:t xml:space="preserve"> by the Office of Consumer Advocate is dismissed.</w:t>
      </w:r>
    </w:p>
    <w:p w:rsidR="00C1160D" w:rsidRDefault="00C1160D" w:rsidP="00A76F8A">
      <w:pPr>
        <w:autoSpaceDE w:val="0"/>
        <w:autoSpaceDN w:val="0"/>
        <w:adjustRightInd w:val="0"/>
        <w:spacing w:line="360" w:lineRule="auto"/>
        <w:rPr>
          <w:sz w:val="26"/>
        </w:rPr>
      </w:pPr>
    </w:p>
    <w:p w:rsidR="00C1160D" w:rsidRDefault="00C1160D" w:rsidP="00E716EB">
      <w:pPr>
        <w:autoSpaceDE w:val="0"/>
        <w:autoSpaceDN w:val="0"/>
        <w:adjustRightInd w:val="0"/>
        <w:spacing w:line="360" w:lineRule="auto"/>
        <w:ind w:firstLine="1440"/>
        <w:rPr>
          <w:sz w:val="26"/>
        </w:rPr>
      </w:pPr>
      <w:r>
        <w:rPr>
          <w:sz w:val="26"/>
        </w:rPr>
        <w:t>1</w:t>
      </w:r>
      <w:r w:rsidR="00B650BF">
        <w:rPr>
          <w:sz w:val="26"/>
        </w:rPr>
        <w:t>0</w:t>
      </w:r>
      <w:r>
        <w:rPr>
          <w:sz w:val="26"/>
        </w:rPr>
        <w:t>.</w:t>
      </w:r>
      <w:r>
        <w:rPr>
          <w:sz w:val="26"/>
        </w:rPr>
        <w:tab/>
        <w:t>That the F</w:t>
      </w:r>
      <w:r w:rsidRPr="00C1160D">
        <w:rPr>
          <w:sz w:val="26"/>
        </w:rPr>
        <w:t>ormal Complaint filed by Mr. Joseph A. Monaghan at Docket No. C-2009-2144761 is dismissed.</w:t>
      </w:r>
    </w:p>
    <w:p w:rsidR="00380D61" w:rsidRDefault="00380D61" w:rsidP="00A76F8A">
      <w:pPr>
        <w:autoSpaceDE w:val="0"/>
        <w:autoSpaceDN w:val="0"/>
        <w:adjustRightInd w:val="0"/>
        <w:spacing w:line="360" w:lineRule="auto"/>
        <w:rPr>
          <w:sz w:val="26"/>
        </w:rPr>
      </w:pPr>
    </w:p>
    <w:p w:rsidR="00C1160D" w:rsidRDefault="00B650BF" w:rsidP="00A97939">
      <w:pPr>
        <w:autoSpaceDE w:val="0"/>
        <w:autoSpaceDN w:val="0"/>
        <w:adjustRightInd w:val="0"/>
        <w:spacing w:line="360" w:lineRule="auto"/>
        <w:ind w:firstLine="1440"/>
        <w:rPr>
          <w:sz w:val="26"/>
        </w:rPr>
      </w:pPr>
      <w:r>
        <w:rPr>
          <w:sz w:val="26"/>
        </w:rPr>
        <w:lastRenderedPageBreak/>
        <w:t>11</w:t>
      </w:r>
      <w:r w:rsidR="00380D61">
        <w:rPr>
          <w:sz w:val="26"/>
        </w:rPr>
        <w:t>.</w:t>
      </w:r>
      <w:r w:rsidR="00380D61">
        <w:rPr>
          <w:sz w:val="26"/>
        </w:rPr>
        <w:tab/>
        <w:t>That the F</w:t>
      </w:r>
      <w:r w:rsidR="00C1160D" w:rsidRPr="00C1160D">
        <w:rPr>
          <w:sz w:val="26"/>
        </w:rPr>
        <w:t>ormal Complaint filed by M</w:t>
      </w:r>
      <w:r w:rsidR="00380D61">
        <w:rPr>
          <w:sz w:val="26"/>
        </w:rPr>
        <w:t>r. Emilio Rende at Docket No. </w:t>
      </w:r>
      <w:r w:rsidR="00C1160D" w:rsidRPr="00C1160D">
        <w:rPr>
          <w:sz w:val="26"/>
        </w:rPr>
        <w:t>C</w:t>
      </w:r>
      <w:r w:rsidR="00C1160D" w:rsidRPr="00C1160D">
        <w:rPr>
          <w:sz w:val="26"/>
        </w:rPr>
        <w:noBreakHyphen/>
        <w:t>2009-2146020 is dismissed.</w:t>
      </w:r>
    </w:p>
    <w:p w:rsidR="00C109ED" w:rsidRDefault="00C109ED"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12</w:t>
      </w:r>
      <w:r w:rsidR="00C109ED">
        <w:rPr>
          <w:sz w:val="26"/>
        </w:rPr>
        <w:t>.</w:t>
      </w:r>
      <w:r w:rsidR="00C109ED">
        <w:rPr>
          <w:sz w:val="26"/>
        </w:rPr>
        <w:tab/>
        <w:t>That the F</w:t>
      </w:r>
      <w:r w:rsidR="00C1160D" w:rsidRPr="00C1160D">
        <w:rPr>
          <w:sz w:val="26"/>
        </w:rPr>
        <w:t>ormal Complaint filed by Pastor William Burris at Docket No. C-2009-2146243 is dismissed.</w:t>
      </w:r>
    </w:p>
    <w:p w:rsidR="00C109ED" w:rsidRDefault="00C109ED"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13</w:t>
      </w:r>
      <w:r w:rsidR="00AC0728">
        <w:rPr>
          <w:sz w:val="26"/>
        </w:rPr>
        <w:t>.</w:t>
      </w:r>
      <w:r w:rsidR="00AC0728">
        <w:rPr>
          <w:sz w:val="26"/>
        </w:rPr>
        <w:tab/>
        <w:t>That the F</w:t>
      </w:r>
      <w:r w:rsidR="00C1160D" w:rsidRPr="00C1160D">
        <w:rPr>
          <w:sz w:val="26"/>
        </w:rPr>
        <w:t>ormal Complaint filed by Mrs. Zarrin Damavandi at Docket No. C-2009-2148691 is dismissed.</w:t>
      </w:r>
    </w:p>
    <w:p w:rsidR="00AC0728" w:rsidRDefault="00AC0728"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14</w:t>
      </w:r>
      <w:r w:rsidR="006067AD">
        <w:rPr>
          <w:sz w:val="26"/>
        </w:rPr>
        <w:t>.</w:t>
      </w:r>
      <w:r w:rsidR="006067AD">
        <w:rPr>
          <w:sz w:val="26"/>
        </w:rPr>
        <w:tab/>
        <w:t>That the F</w:t>
      </w:r>
      <w:r w:rsidR="00C1160D" w:rsidRPr="00C1160D">
        <w:rPr>
          <w:sz w:val="26"/>
        </w:rPr>
        <w:t>ormal Complaint filed by Mr. William Frazier at Docket No. C</w:t>
      </w:r>
      <w:r w:rsidR="00C1160D" w:rsidRPr="00C1160D">
        <w:rPr>
          <w:sz w:val="26"/>
        </w:rPr>
        <w:noBreakHyphen/>
        <w:t>2010-2151954 is dismissed.</w:t>
      </w:r>
    </w:p>
    <w:p w:rsidR="006067AD" w:rsidRDefault="006067AD"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15</w:t>
      </w:r>
      <w:r w:rsidR="006067AD">
        <w:rPr>
          <w:sz w:val="26"/>
        </w:rPr>
        <w:t>.</w:t>
      </w:r>
      <w:r w:rsidR="006067AD">
        <w:rPr>
          <w:sz w:val="26"/>
        </w:rPr>
        <w:tab/>
        <w:t>That the F</w:t>
      </w:r>
      <w:r w:rsidR="00C1160D" w:rsidRPr="00C1160D">
        <w:rPr>
          <w:sz w:val="26"/>
        </w:rPr>
        <w:t>ormal Complaint filed by Mr. Jerome Linden at Docket No. C</w:t>
      </w:r>
      <w:r w:rsidR="00C1160D" w:rsidRPr="00C1160D">
        <w:rPr>
          <w:sz w:val="26"/>
        </w:rPr>
        <w:noBreakHyphen/>
        <w:t>2010-2152328 is dismissed.</w:t>
      </w:r>
    </w:p>
    <w:p w:rsidR="006067AD" w:rsidRDefault="006067AD"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16</w:t>
      </w:r>
      <w:r w:rsidR="006067AD">
        <w:rPr>
          <w:sz w:val="26"/>
        </w:rPr>
        <w:t>.</w:t>
      </w:r>
      <w:r w:rsidR="006067AD">
        <w:rPr>
          <w:sz w:val="26"/>
        </w:rPr>
        <w:tab/>
        <w:t>That the F</w:t>
      </w:r>
      <w:r w:rsidR="00C1160D" w:rsidRPr="00C1160D">
        <w:rPr>
          <w:sz w:val="26"/>
        </w:rPr>
        <w:t>ormal Complaint filed by Dr. Jonathan Briskin, Esquire</w:t>
      </w:r>
      <w:r w:rsidR="006067AD">
        <w:rPr>
          <w:sz w:val="26"/>
        </w:rPr>
        <w:t>,</w:t>
      </w:r>
      <w:r w:rsidR="00C1160D" w:rsidRPr="00C1160D">
        <w:rPr>
          <w:sz w:val="26"/>
        </w:rPr>
        <w:t xml:space="preserve"> at Docket No. C-2010-2155875 is dismissed.</w:t>
      </w:r>
    </w:p>
    <w:p w:rsidR="00A97939" w:rsidRDefault="00A97939"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17</w:t>
      </w:r>
      <w:r w:rsidR="006067AD">
        <w:rPr>
          <w:sz w:val="26"/>
        </w:rPr>
        <w:t>.</w:t>
      </w:r>
      <w:r w:rsidR="006067AD">
        <w:rPr>
          <w:sz w:val="26"/>
        </w:rPr>
        <w:tab/>
        <w:t>That the F</w:t>
      </w:r>
      <w:r w:rsidR="00C1160D" w:rsidRPr="00C1160D">
        <w:rPr>
          <w:sz w:val="26"/>
        </w:rPr>
        <w:t>ormal Complaint filed by Aqua Large Users Gr</w:t>
      </w:r>
      <w:r w:rsidR="002C0D01">
        <w:rPr>
          <w:sz w:val="26"/>
        </w:rPr>
        <w:t>oup at Docket No. C-2010-2155913</w:t>
      </w:r>
      <w:r w:rsidR="00C1160D" w:rsidRPr="00C1160D">
        <w:rPr>
          <w:sz w:val="26"/>
        </w:rPr>
        <w:t xml:space="preserve"> is dismissed.</w:t>
      </w:r>
    </w:p>
    <w:p w:rsidR="006067AD" w:rsidRDefault="006067AD"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18</w:t>
      </w:r>
      <w:r w:rsidR="006067AD">
        <w:rPr>
          <w:sz w:val="26"/>
        </w:rPr>
        <w:t>.</w:t>
      </w:r>
      <w:r w:rsidR="006067AD">
        <w:rPr>
          <w:sz w:val="26"/>
        </w:rPr>
        <w:tab/>
        <w:t>That the F</w:t>
      </w:r>
      <w:r w:rsidR="00C1160D" w:rsidRPr="00C1160D">
        <w:rPr>
          <w:sz w:val="26"/>
        </w:rPr>
        <w:t>ormal Complaint filed by the Borough of Athens at Docket No. C-2010-2154289 is dismissed.</w:t>
      </w:r>
    </w:p>
    <w:p w:rsidR="006067AD" w:rsidRDefault="006067AD"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19</w:t>
      </w:r>
      <w:r w:rsidR="006067AD">
        <w:rPr>
          <w:sz w:val="26"/>
        </w:rPr>
        <w:t>.</w:t>
      </w:r>
      <w:r w:rsidR="006067AD">
        <w:rPr>
          <w:sz w:val="26"/>
        </w:rPr>
        <w:tab/>
      </w:r>
      <w:r w:rsidR="00C1160D" w:rsidRPr="00C1160D">
        <w:rPr>
          <w:sz w:val="26"/>
        </w:rPr>
        <w:t xml:space="preserve">That the </w:t>
      </w:r>
      <w:r w:rsidR="002C0D01">
        <w:rPr>
          <w:sz w:val="26"/>
        </w:rPr>
        <w:t>F</w:t>
      </w:r>
      <w:r w:rsidR="00C1160D" w:rsidRPr="00C1160D">
        <w:rPr>
          <w:sz w:val="26"/>
        </w:rPr>
        <w:t>ormal Complaint filed by the Borough of Sayre at Docket No. C</w:t>
      </w:r>
      <w:r w:rsidR="00C1160D" w:rsidRPr="00C1160D">
        <w:rPr>
          <w:sz w:val="26"/>
        </w:rPr>
        <w:noBreakHyphen/>
        <w:t>2010-2153365 is dismissed.</w:t>
      </w:r>
    </w:p>
    <w:p w:rsidR="006067AD" w:rsidRDefault="006067AD"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20</w:t>
      </w:r>
      <w:r w:rsidR="006067AD">
        <w:rPr>
          <w:sz w:val="26"/>
        </w:rPr>
        <w:t>.</w:t>
      </w:r>
      <w:r w:rsidR="006067AD">
        <w:rPr>
          <w:sz w:val="26"/>
        </w:rPr>
        <w:tab/>
      </w:r>
      <w:r w:rsidR="002C0D01">
        <w:rPr>
          <w:sz w:val="26"/>
        </w:rPr>
        <w:t xml:space="preserve">That the </w:t>
      </w:r>
      <w:r w:rsidR="000E6009">
        <w:rPr>
          <w:sz w:val="26"/>
        </w:rPr>
        <w:t>F</w:t>
      </w:r>
      <w:r w:rsidR="00C1160D" w:rsidRPr="00C1160D">
        <w:rPr>
          <w:sz w:val="26"/>
        </w:rPr>
        <w:t>ormal Complaint filed by the Borough of South Waverly at Docket No. C-2010-2153419 is dismissed.</w:t>
      </w:r>
    </w:p>
    <w:p w:rsidR="006067AD" w:rsidRDefault="006067AD"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21</w:t>
      </w:r>
      <w:r w:rsidR="008F5040">
        <w:rPr>
          <w:sz w:val="26"/>
        </w:rPr>
        <w:t>.</w:t>
      </w:r>
      <w:r w:rsidR="008F5040">
        <w:rPr>
          <w:sz w:val="26"/>
        </w:rPr>
        <w:tab/>
        <w:t>That the F</w:t>
      </w:r>
      <w:r w:rsidR="00C1160D" w:rsidRPr="00C1160D">
        <w:rPr>
          <w:sz w:val="26"/>
        </w:rPr>
        <w:t>ormal Complaint filed by Mr. Marvin E. Buck at Docket No. C</w:t>
      </w:r>
      <w:r w:rsidR="00C1160D" w:rsidRPr="00C1160D">
        <w:rPr>
          <w:sz w:val="26"/>
        </w:rPr>
        <w:noBreakHyphen/>
        <w:t>2009-2150185 is dismissed.</w:t>
      </w:r>
    </w:p>
    <w:p w:rsidR="008F5040" w:rsidRDefault="008F5040"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22</w:t>
      </w:r>
      <w:r w:rsidR="008F5040">
        <w:rPr>
          <w:sz w:val="26"/>
        </w:rPr>
        <w:t>.</w:t>
      </w:r>
      <w:r w:rsidR="008F5040">
        <w:rPr>
          <w:sz w:val="26"/>
        </w:rPr>
        <w:tab/>
        <w:t>That the F</w:t>
      </w:r>
      <w:r w:rsidR="00C1160D" w:rsidRPr="00C1160D">
        <w:rPr>
          <w:sz w:val="26"/>
        </w:rPr>
        <w:t>ormal Complaint filed by Mr. David M. Conboy at Docket No. C-2009-2144650 is dismissed.</w:t>
      </w:r>
    </w:p>
    <w:p w:rsidR="008F5040" w:rsidRDefault="008F5040"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23</w:t>
      </w:r>
      <w:r w:rsidR="008F5040">
        <w:rPr>
          <w:sz w:val="26"/>
        </w:rPr>
        <w:t>.</w:t>
      </w:r>
      <w:r w:rsidR="008F5040">
        <w:rPr>
          <w:sz w:val="26"/>
        </w:rPr>
        <w:tab/>
        <w:t>That the F</w:t>
      </w:r>
      <w:r w:rsidR="00C1160D" w:rsidRPr="00C1160D">
        <w:rPr>
          <w:sz w:val="26"/>
        </w:rPr>
        <w:t>ormal Complaint filed b</w:t>
      </w:r>
      <w:r w:rsidR="008F5040">
        <w:rPr>
          <w:sz w:val="26"/>
        </w:rPr>
        <w:t>y Mr. Peter Crane at Docket No. </w:t>
      </w:r>
      <w:r w:rsidR="00C1160D" w:rsidRPr="00C1160D">
        <w:rPr>
          <w:sz w:val="26"/>
        </w:rPr>
        <w:t>C</w:t>
      </w:r>
      <w:r w:rsidR="00C1160D" w:rsidRPr="00C1160D">
        <w:rPr>
          <w:sz w:val="26"/>
        </w:rPr>
        <w:noBreakHyphen/>
        <w:t>2009-2146026 is dismissed.</w:t>
      </w:r>
    </w:p>
    <w:p w:rsidR="008F5040" w:rsidRDefault="008F5040"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24</w:t>
      </w:r>
      <w:r w:rsidR="008F5040">
        <w:rPr>
          <w:sz w:val="26"/>
        </w:rPr>
        <w:t>.</w:t>
      </w:r>
      <w:r w:rsidR="008F5040">
        <w:rPr>
          <w:sz w:val="26"/>
        </w:rPr>
        <w:tab/>
        <w:t>That the F</w:t>
      </w:r>
      <w:r w:rsidR="00C1160D" w:rsidRPr="00C1160D">
        <w:rPr>
          <w:sz w:val="26"/>
        </w:rPr>
        <w:t>ormal Complaint filed by Mr. Michael &amp; Mrs. Kathleen Ego at Docket No. C-2009-2146031 is dismissed.</w:t>
      </w:r>
    </w:p>
    <w:p w:rsidR="008F5040" w:rsidRDefault="008F5040"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25</w:t>
      </w:r>
      <w:r w:rsidR="008F5040">
        <w:rPr>
          <w:sz w:val="26"/>
        </w:rPr>
        <w:t>.</w:t>
      </w:r>
      <w:r w:rsidR="008F5040">
        <w:rPr>
          <w:sz w:val="26"/>
        </w:rPr>
        <w:tab/>
        <w:t>That the F</w:t>
      </w:r>
      <w:r w:rsidR="00C1160D" w:rsidRPr="00C1160D">
        <w:rPr>
          <w:sz w:val="26"/>
        </w:rPr>
        <w:t>ormal Complaint filed by Mr. Robert C. Geick at Docket No. C</w:t>
      </w:r>
      <w:r w:rsidR="00C1160D" w:rsidRPr="00C1160D">
        <w:rPr>
          <w:sz w:val="26"/>
        </w:rPr>
        <w:noBreakHyphen/>
        <w:t>2009-2145047 is dismissed.</w:t>
      </w:r>
    </w:p>
    <w:p w:rsidR="008F5040" w:rsidRDefault="008F5040"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26</w:t>
      </w:r>
      <w:r w:rsidR="008F5040">
        <w:rPr>
          <w:sz w:val="26"/>
        </w:rPr>
        <w:t>.</w:t>
      </w:r>
      <w:r w:rsidR="008F5040">
        <w:rPr>
          <w:sz w:val="26"/>
        </w:rPr>
        <w:tab/>
        <w:t>That the F</w:t>
      </w:r>
      <w:r w:rsidR="00C1160D" w:rsidRPr="00C1160D">
        <w:rPr>
          <w:sz w:val="26"/>
        </w:rPr>
        <w:t xml:space="preserve">ormal Complaint filed </w:t>
      </w:r>
      <w:r w:rsidR="008F5040">
        <w:rPr>
          <w:sz w:val="26"/>
        </w:rPr>
        <w:t>by Mr. Mark Green at Docket No. </w:t>
      </w:r>
      <w:r w:rsidR="00C1160D" w:rsidRPr="00C1160D">
        <w:rPr>
          <w:sz w:val="26"/>
        </w:rPr>
        <w:t>C</w:t>
      </w:r>
      <w:r w:rsidR="00C1160D" w:rsidRPr="00C1160D">
        <w:rPr>
          <w:sz w:val="26"/>
        </w:rPr>
        <w:noBreakHyphen/>
        <w:t>2010-2152051 is dismissed.</w:t>
      </w:r>
    </w:p>
    <w:p w:rsidR="008F5040" w:rsidRDefault="008F5040"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27</w:t>
      </w:r>
      <w:r w:rsidR="005F5590">
        <w:rPr>
          <w:sz w:val="26"/>
        </w:rPr>
        <w:t>.</w:t>
      </w:r>
      <w:r w:rsidR="005F5590">
        <w:rPr>
          <w:sz w:val="26"/>
        </w:rPr>
        <w:tab/>
        <w:t>That the F</w:t>
      </w:r>
      <w:r w:rsidR="00C1160D" w:rsidRPr="00C1160D">
        <w:rPr>
          <w:sz w:val="26"/>
        </w:rPr>
        <w:t>ormal Complaint filed by Mr. Kenneth Grenseman at Docket No. C-2009-2149813 is dismissed.</w:t>
      </w:r>
    </w:p>
    <w:p w:rsidR="00234C5F" w:rsidRDefault="00234C5F"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28</w:t>
      </w:r>
      <w:r w:rsidR="00234C5F">
        <w:rPr>
          <w:sz w:val="26"/>
        </w:rPr>
        <w:t>.</w:t>
      </w:r>
      <w:r w:rsidR="00234C5F">
        <w:rPr>
          <w:sz w:val="26"/>
        </w:rPr>
        <w:tab/>
      </w:r>
      <w:r w:rsidR="00C1160D" w:rsidRPr="00C1160D">
        <w:rPr>
          <w:sz w:val="26"/>
        </w:rPr>
        <w:t>T</w:t>
      </w:r>
      <w:r w:rsidR="00234C5F">
        <w:rPr>
          <w:sz w:val="26"/>
        </w:rPr>
        <w:t>hat the F</w:t>
      </w:r>
      <w:r w:rsidR="00C1160D" w:rsidRPr="00C1160D">
        <w:rPr>
          <w:sz w:val="26"/>
        </w:rPr>
        <w:t>ormal Complaint filed by Ms. Patricia A. Grill at Docket No. C</w:t>
      </w:r>
      <w:r w:rsidR="00C1160D" w:rsidRPr="00C1160D">
        <w:rPr>
          <w:sz w:val="26"/>
        </w:rPr>
        <w:noBreakHyphen/>
        <w:t>2009-2143650 is dismissed.</w:t>
      </w:r>
    </w:p>
    <w:p w:rsidR="00234C5F" w:rsidRDefault="00234C5F"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29</w:t>
      </w:r>
      <w:r w:rsidR="00234C5F">
        <w:rPr>
          <w:sz w:val="26"/>
        </w:rPr>
        <w:t>.</w:t>
      </w:r>
      <w:r w:rsidR="00234C5F">
        <w:rPr>
          <w:sz w:val="26"/>
        </w:rPr>
        <w:tab/>
        <w:t>That the F</w:t>
      </w:r>
      <w:r w:rsidR="00C1160D" w:rsidRPr="00C1160D">
        <w:rPr>
          <w:sz w:val="26"/>
        </w:rPr>
        <w:t>ormal Complaint filed by Mr. David G. Holmes at Docket No. C-2009-2145066 is dismissed.</w:t>
      </w:r>
    </w:p>
    <w:p w:rsidR="00234C5F" w:rsidRDefault="00234C5F"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lastRenderedPageBreak/>
        <w:t>30</w:t>
      </w:r>
      <w:r w:rsidR="00234C5F">
        <w:rPr>
          <w:sz w:val="26"/>
        </w:rPr>
        <w:t>.</w:t>
      </w:r>
      <w:r w:rsidR="00234C5F">
        <w:rPr>
          <w:sz w:val="26"/>
        </w:rPr>
        <w:tab/>
        <w:t>That the F</w:t>
      </w:r>
      <w:r w:rsidR="00C1160D" w:rsidRPr="00C1160D">
        <w:rPr>
          <w:sz w:val="26"/>
        </w:rPr>
        <w:t>ormal Complaint filed by Mr. Iftekhar Hussan at Docket No. C</w:t>
      </w:r>
      <w:r w:rsidR="00C1160D" w:rsidRPr="00C1160D">
        <w:rPr>
          <w:sz w:val="26"/>
        </w:rPr>
        <w:noBreakHyphen/>
        <w:t>2009-2145028 is dismissed.</w:t>
      </w:r>
    </w:p>
    <w:p w:rsidR="00234C5F" w:rsidRDefault="00234C5F"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31</w:t>
      </w:r>
      <w:r w:rsidR="00234C5F">
        <w:rPr>
          <w:sz w:val="26"/>
        </w:rPr>
        <w:t>.</w:t>
      </w:r>
      <w:r w:rsidR="00234C5F">
        <w:rPr>
          <w:sz w:val="26"/>
        </w:rPr>
        <w:tab/>
        <w:t>That the F</w:t>
      </w:r>
      <w:r w:rsidR="00C1160D" w:rsidRPr="00C1160D">
        <w:rPr>
          <w:sz w:val="26"/>
        </w:rPr>
        <w:t>ormal Complaint filed by Ms. Barbara Johnson at Docket No. C</w:t>
      </w:r>
      <w:r w:rsidR="00C1160D" w:rsidRPr="00C1160D">
        <w:rPr>
          <w:sz w:val="26"/>
        </w:rPr>
        <w:noBreakHyphen/>
        <w:t>2009-2145909 is dismissed.</w:t>
      </w:r>
    </w:p>
    <w:p w:rsidR="00234C5F" w:rsidRDefault="00234C5F"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32</w:t>
      </w:r>
      <w:r w:rsidR="00234C5F">
        <w:rPr>
          <w:sz w:val="26"/>
        </w:rPr>
        <w:t>.</w:t>
      </w:r>
      <w:r w:rsidR="00234C5F">
        <w:rPr>
          <w:sz w:val="26"/>
        </w:rPr>
        <w:tab/>
        <w:t>That the F</w:t>
      </w:r>
      <w:r w:rsidR="00C1160D" w:rsidRPr="00C1160D">
        <w:rPr>
          <w:sz w:val="26"/>
        </w:rPr>
        <w:t xml:space="preserve">ormal Complaint filed </w:t>
      </w:r>
      <w:r w:rsidR="004216E7">
        <w:rPr>
          <w:sz w:val="26"/>
        </w:rPr>
        <w:t>by Mr. Paul Kalna at Docket No. </w:t>
      </w:r>
      <w:r w:rsidR="00C1160D" w:rsidRPr="00C1160D">
        <w:rPr>
          <w:sz w:val="26"/>
        </w:rPr>
        <w:t>C-2010-2152596 is dismissed.</w:t>
      </w:r>
    </w:p>
    <w:p w:rsidR="00234C5F" w:rsidRDefault="00234C5F"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33</w:t>
      </w:r>
      <w:r w:rsidR="001455B9">
        <w:rPr>
          <w:sz w:val="26"/>
        </w:rPr>
        <w:t>.</w:t>
      </w:r>
      <w:r w:rsidR="001455B9">
        <w:rPr>
          <w:sz w:val="26"/>
        </w:rPr>
        <w:tab/>
        <w:t>That the F</w:t>
      </w:r>
      <w:r w:rsidR="00C1160D" w:rsidRPr="00C1160D">
        <w:rPr>
          <w:sz w:val="26"/>
        </w:rPr>
        <w:t>ormal Complaint filed by Ms. Laura M. Komara at Docket No. C-2010-2154319 is dismissed.</w:t>
      </w:r>
    </w:p>
    <w:p w:rsidR="001455B9" w:rsidRDefault="001455B9"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34</w:t>
      </w:r>
      <w:r w:rsidR="001455B9">
        <w:rPr>
          <w:sz w:val="26"/>
        </w:rPr>
        <w:t>.</w:t>
      </w:r>
      <w:r w:rsidR="001455B9">
        <w:rPr>
          <w:sz w:val="26"/>
        </w:rPr>
        <w:tab/>
        <w:t>That the F</w:t>
      </w:r>
      <w:r w:rsidR="00C1160D" w:rsidRPr="00C1160D">
        <w:rPr>
          <w:sz w:val="26"/>
        </w:rPr>
        <w:t>ormal Complaint filed by Mr. Scott Taylor Mead at Docket No. C-2010-2150646 is dismissed.</w:t>
      </w:r>
    </w:p>
    <w:p w:rsidR="001455B9" w:rsidRDefault="001455B9"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35</w:t>
      </w:r>
      <w:r w:rsidR="001455B9">
        <w:rPr>
          <w:sz w:val="26"/>
        </w:rPr>
        <w:t>.</w:t>
      </w:r>
      <w:r w:rsidR="001455B9">
        <w:rPr>
          <w:sz w:val="26"/>
        </w:rPr>
        <w:tab/>
        <w:t>That the F</w:t>
      </w:r>
      <w:r w:rsidR="00C1160D" w:rsidRPr="00C1160D">
        <w:rPr>
          <w:sz w:val="26"/>
        </w:rPr>
        <w:t>ormal Complaint filed by Nem-Pak, LLC</w:t>
      </w:r>
      <w:r w:rsidR="00D039B3">
        <w:rPr>
          <w:sz w:val="26"/>
        </w:rPr>
        <w:t>,</w:t>
      </w:r>
      <w:r w:rsidR="004216E7">
        <w:rPr>
          <w:sz w:val="26"/>
        </w:rPr>
        <w:t xml:space="preserve"> at Docket No. </w:t>
      </w:r>
      <w:r w:rsidR="00C1160D" w:rsidRPr="00C1160D">
        <w:rPr>
          <w:sz w:val="26"/>
        </w:rPr>
        <w:t>C-2009-2150065 is dismissed.</w:t>
      </w:r>
    </w:p>
    <w:p w:rsidR="00D039B3" w:rsidRDefault="00D039B3"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36</w:t>
      </w:r>
      <w:r w:rsidR="00D039B3">
        <w:rPr>
          <w:sz w:val="26"/>
        </w:rPr>
        <w:t>.</w:t>
      </w:r>
      <w:r w:rsidR="00D039B3">
        <w:rPr>
          <w:sz w:val="26"/>
        </w:rPr>
        <w:tab/>
        <w:t>That the F</w:t>
      </w:r>
      <w:r w:rsidR="00C1160D" w:rsidRPr="00C1160D">
        <w:rPr>
          <w:sz w:val="26"/>
        </w:rPr>
        <w:t>ormal Complaint filed b</w:t>
      </w:r>
      <w:r w:rsidR="004216E7">
        <w:rPr>
          <w:sz w:val="26"/>
        </w:rPr>
        <w:t>y Ms. Clara Perry at Docket No. </w:t>
      </w:r>
      <w:r w:rsidR="00C1160D" w:rsidRPr="00C1160D">
        <w:rPr>
          <w:sz w:val="26"/>
        </w:rPr>
        <w:t>C</w:t>
      </w:r>
      <w:r w:rsidR="00C1160D" w:rsidRPr="00C1160D">
        <w:rPr>
          <w:sz w:val="26"/>
        </w:rPr>
        <w:noBreakHyphen/>
        <w:t>2010-2150858 is dismissed.</w:t>
      </w:r>
    </w:p>
    <w:p w:rsidR="00D039B3" w:rsidRDefault="00D039B3"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37</w:t>
      </w:r>
      <w:r w:rsidR="00D039B3">
        <w:rPr>
          <w:sz w:val="26"/>
        </w:rPr>
        <w:t>.</w:t>
      </w:r>
      <w:r w:rsidR="00D039B3">
        <w:rPr>
          <w:sz w:val="26"/>
        </w:rPr>
        <w:tab/>
        <w:t>That the F</w:t>
      </w:r>
      <w:r w:rsidR="00C1160D" w:rsidRPr="00C1160D">
        <w:rPr>
          <w:sz w:val="26"/>
        </w:rPr>
        <w:t>ormal Complaint filed b</w:t>
      </w:r>
      <w:r w:rsidR="004216E7">
        <w:rPr>
          <w:sz w:val="26"/>
        </w:rPr>
        <w:t>y B. D. Pollard at Docket No. </w:t>
      </w:r>
      <w:r w:rsidR="00D039B3">
        <w:rPr>
          <w:sz w:val="26"/>
        </w:rPr>
        <w:t>C</w:t>
      </w:r>
      <w:r w:rsidR="00D039B3">
        <w:rPr>
          <w:sz w:val="26"/>
        </w:rPr>
        <w:noBreakHyphen/>
      </w:r>
      <w:r w:rsidR="00C1160D" w:rsidRPr="00C1160D">
        <w:rPr>
          <w:sz w:val="26"/>
        </w:rPr>
        <w:t>2009-2150218 is dismissed.</w:t>
      </w:r>
    </w:p>
    <w:p w:rsidR="004216E7" w:rsidRDefault="004216E7"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38</w:t>
      </w:r>
      <w:r w:rsidR="004216E7">
        <w:rPr>
          <w:sz w:val="26"/>
        </w:rPr>
        <w:t>.</w:t>
      </w:r>
      <w:r w:rsidR="004216E7">
        <w:rPr>
          <w:sz w:val="26"/>
        </w:rPr>
        <w:tab/>
        <w:t>That the F</w:t>
      </w:r>
      <w:r w:rsidR="00C1160D" w:rsidRPr="00C1160D">
        <w:rPr>
          <w:sz w:val="26"/>
        </w:rPr>
        <w:t>ormal Complaint filed by Mr. Kenneth W. Reeves at Docket No. C-2009-2148524 is dismissed.</w:t>
      </w:r>
    </w:p>
    <w:p w:rsidR="004216E7" w:rsidRDefault="004216E7"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39</w:t>
      </w:r>
      <w:r w:rsidR="004216E7">
        <w:rPr>
          <w:sz w:val="26"/>
        </w:rPr>
        <w:t>.</w:t>
      </w:r>
      <w:r w:rsidR="004216E7">
        <w:rPr>
          <w:sz w:val="26"/>
        </w:rPr>
        <w:tab/>
        <w:t>That the F</w:t>
      </w:r>
      <w:r w:rsidR="00C1160D" w:rsidRPr="00C1160D">
        <w:rPr>
          <w:sz w:val="26"/>
        </w:rPr>
        <w:t>ormal Complaint filed by Mr. Dale Satt</w:t>
      </w:r>
      <w:r w:rsidR="004216E7">
        <w:rPr>
          <w:sz w:val="26"/>
        </w:rPr>
        <w:t>ar at Docket No. </w:t>
      </w:r>
      <w:r w:rsidR="00C1160D" w:rsidRPr="00C1160D">
        <w:rPr>
          <w:sz w:val="26"/>
        </w:rPr>
        <w:t>C-2010-2150570 is dismissed.</w:t>
      </w:r>
    </w:p>
    <w:p w:rsidR="00431C3F" w:rsidRDefault="00431C3F"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40</w:t>
      </w:r>
      <w:r w:rsidR="00431C3F">
        <w:rPr>
          <w:sz w:val="26"/>
        </w:rPr>
        <w:t>.</w:t>
      </w:r>
      <w:r w:rsidR="00431C3F">
        <w:rPr>
          <w:sz w:val="26"/>
        </w:rPr>
        <w:tab/>
      </w:r>
      <w:r w:rsidR="000E6009">
        <w:rPr>
          <w:sz w:val="26"/>
        </w:rPr>
        <w:t>That the F</w:t>
      </w:r>
      <w:r w:rsidR="00C1160D" w:rsidRPr="00C1160D">
        <w:rPr>
          <w:sz w:val="26"/>
        </w:rPr>
        <w:t>ormal Complaint filed by Ms. Catherine Schwab at Docket No. C-2010-2151877 is dismissed.</w:t>
      </w:r>
    </w:p>
    <w:p w:rsidR="00431C3F" w:rsidRDefault="00431C3F" w:rsidP="00A97939">
      <w:pPr>
        <w:autoSpaceDE w:val="0"/>
        <w:autoSpaceDN w:val="0"/>
        <w:adjustRightInd w:val="0"/>
        <w:spacing w:line="360" w:lineRule="auto"/>
        <w:ind w:firstLine="1440"/>
        <w:rPr>
          <w:sz w:val="26"/>
        </w:rPr>
      </w:pPr>
    </w:p>
    <w:p w:rsidR="00C1160D" w:rsidRDefault="00B650BF" w:rsidP="00A97939">
      <w:pPr>
        <w:autoSpaceDE w:val="0"/>
        <w:autoSpaceDN w:val="0"/>
        <w:adjustRightInd w:val="0"/>
        <w:spacing w:line="360" w:lineRule="auto"/>
        <w:ind w:firstLine="1440"/>
        <w:rPr>
          <w:sz w:val="26"/>
        </w:rPr>
      </w:pPr>
      <w:r>
        <w:rPr>
          <w:sz w:val="26"/>
        </w:rPr>
        <w:t>41</w:t>
      </w:r>
      <w:r w:rsidR="00431C3F">
        <w:rPr>
          <w:sz w:val="26"/>
        </w:rPr>
        <w:t>.</w:t>
      </w:r>
      <w:r w:rsidR="00431C3F">
        <w:rPr>
          <w:sz w:val="26"/>
        </w:rPr>
        <w:tab/>
        <w:t>That the F</w:t>
      </w:r>
      <w:r w:rsidR="00C1160D" w:rsidRPr="00C1160D">
        <w:rPr>
          <w:sz w:val="26"/>
        </w:rPr>
        <w:t>ormal Complaint filed by Mr. Robert Solkoff at Docket No. C</w:t>
      </w:r>
      <w:r w:rsidR="00C1160D" w:rsidRPr="00C1160D">
        <w:rPr>
          <w:sz w:val="26"/>
        </w:rPr>
        <w:noBreakHyphen/>
        <w:t>2009-2147601 is dismissed.</w:t>
      </w:r>
    </w:p>
    <w:p w:rsidR="00431C3F" w:rsidRDefault="00431C3F" w:rsidP="00A97939">
      <w:pPr>
        <w:autoSpaceDE w:val="0"/>
        <w:autoSpaceDN w:val="0"/>
        <w:adjustRightInd w:val="0"/>
        <w:spacing w:line="360" w:lineRule="auto"/>
        <w:ind w:firstLine="1440"/>
        <w:rPr>
          <w:sz w:val="26"/>
        </w:rPr>
      </w:pPr>
    </w:p>
    <w:p w:rsidR="00C1160D" w:rsidRDefault="001C58B8" w:rsidP="00A97939">
      <w:pPr>
        <w:autoSpaceDE w:val="0"/>
        <w:autoSpaceDN w:val="0"/>
        <w:adjustRightInd w:val="0"/>
        <w:spacing w:line="360" w:lineRule="auto"/>
        <w:ind w:firstLine="1440"/>
        <w:rPr>
          <w:sz w:val="26"/>
        </w:rPr>
      </w:pPr>
      <w:r>
        <w:rPr>
          <w:sz w:val="26"/>
        </w:rPr>
        <w:t>42</w:t>
      </w:r>
      <w:r w:rsidR="00431C3F">
        <w:rPr>
          <w:sz w:val="26"/>
        </w:rPr>
        <w:t>.</w:t>
      </w:r>
      <w:r w:rsidR="00431C3F">
        <w:rPr>
          <w:sz w:val="26"/>
        </w:rPr>
        <w:tab/>
        <w:t>That the F</w:t>
      </w:r>
      <w:r w:rsidR="00C1160D" w:rsidRPr="00C1160D">
        <w:rPr>
          <w:sz w:val="26"/>
        </w:rPr>
        <w:t>ormal Complaint filed by Mr. Kevin J. Tracey at Docket No. C</w:t>
      </w:r>
      <w:r w:rsidR="00C1160D" w:rsidRPr="00C1160D">
        <w:rPr>
          <w:sz w:val="26"/>
        </w:rPr>
        <w:noBreakHyphen/>
        <w:t>2009-2150206 is dismissed.</w:t>
      </w:r>
    </w:p>
    <w:p w:rsidR="00431C3F" w:rsidRDefault="00431C3F" w:rsidP="00A97939">
      <w:pPr>
        <w:autoSpaceDE w:val="0"/>
        <w:autoSpaceDN w:val="0"/>
        <w:adjustRightInd w:val="0"/>
        <w:spacing w:line="360" w:lineRule="auto"/>
        <w:ind w:firstLine="1440"/>
        <w:rPr>
          <w:sz w:val="26"/>
        </w:rPr>
      </w:pPr>
    </w:p>
    <w:p w:rsidR="00C1160D" w:rsidRDefault="001C58B8" w:rsidP="00A97939">
      <w:pPr>
        <w:autoSpaceDE w:val="0"/>
        <w:autoSpaceDN w:val="0"/>
        <w:adjustRightInd w:val="0"/>
        <w:spacing w:line="360" w:lineRule="auto"/>
        <w:ind w:firstLine="1440"/>
        <w:rPr>
          <w:sz w:val="26"/>
        </w:rPr>
      </w:pPr>
      <w:r>
        <w:rPr>
          <w:sz w:val="26"/>
        </w:rPr>
        <w:t>43</w:t>
      </w:r>
      <w:r w:rsidR="00431C3F">
        <w:rPr>
          <w:sz w:val="26"/>
        </w:rPr>
        <w:t>.</w:t>
      </w:r>
      <w:r w:rsidR="00431C3F">
        <w:rPr>
          <w:sz w:val="26"/>
        </w:rPr>
        <w:tab/>
        <w:t>That the F</w:t>
      </w:r>
      <w:r w:rsidR="00C1160D" w:rsidRPr="00C1160D">
        <w:rPr>
          <w:sz w:val="26"/>
        </w:rPr>
        <w:t>ormal Complaint filed by Mr. Ronald Zie</w:t>
      </w:r>
      <w:r w:rsidR="00614E89">
        <w:rPr>
          <w:sz w:val="26"/>
        </w:rPr>
        <w:t>big at Docket No. C</w:t>
      </w:r>
      <w:r w:rsidR="00614E89">
        <w:rPr>
          <w:sz w:val="26"/>
        </w:rPr>
        <w:noBreakHyphen/>
        <w:t>2009-2148289</w:t>
      </w:r>
      <w:r w:rsidR="00C1160D" w:rsidRPr="00C1160D">
        <w:rPr>
          <w:sz w:val="26"/>
        </w:rPr>
        <w:t xml:space="preserve"> is dismissed.</w:t>
      </w:r>
    </w:p>
    <w:p w:rsidR="00FA2E73" w:rsidRDefault="00FA2E73" w:rsidP="00A97939">
      <w:pPr>
        <w:autoSpaceDE w:val="0"/>
        <w:autoSpaceDN w:val="0"/>
        <w:adjustRightInd w:val="0"/>
        <w:spacing w:line="360" w:lineRule="auto"/>
        <w:ind w:firstLine="1440"/>
        <w:rPr>
          <w:sz w:val="26"/>
        </w:rPr>
      </w:pPr>
    </w:p>
    <w:p w:rsidR="00FA2E73" w:rsidRDefault="00A97939" w:rsidP="00A97939">
      <w:pPr>
        <w:autoSpaceDE w:val="0"/>
        <w:autoSpaceDN w:val="0"/>
        <w:adjustRightInd w:val="0"/>
        <w:spacing w:line="360" w:lineRule="auto"/>
        <w:ind w:firstLine="1440"/>
        <w:rPr>
          <w:sz w:val="26"/>
        </w:rPr>
      </w:pPr>
      <w:r>
        <w:rPr>
          <w:sz w:val="26"/>
        </w:rPr>
        <w:t>4</w:t>
      </w:r>
      <w:r w:rsidR="00FA2E73">
        <w:rPr>
          <w:sz w:val="26"/>
        </w:rPr>
        <w:t>4.</w:t>
      </w:r>
      <w:r w:rsidR="00FA2E73">
        <w:rPr>
          <w:sz w:val="26"/>
        </w:rPr>
        <w:tab/>
        <w:t>That the F</w:t>
      </w:r>
      <w:r w:rsidR="00FA2E73" w:rsidRPr="00C1160D">
        <w:rPr>
          <w:sz w:val="26"/>
        </w:rPr>
        <w:t xml:space="preserve">ormal Complaint filed by Mr. </w:t>
      </w:r>
      <w:r w:rsidR="00FA2E73">
        <w:rPr>
          <w:sz w:val="26"/>
        </w:rPr>
        <w:t>William G. Fellin at Docket No. C</w:t>
      </w:r>
      <w:r w:rsidR="00FA2E73">
        <w:rPr>
          <w:sz w:val="26"/>
        </w:rPr>
        <w:noBreakHyphen/>
        <w:t>2010-2167238</w:t>
      </w:r>
      <w:r w:rsidR="00FA2E73" w:rsidRPr="00C1160D">
        <w:rPr>
          <w:sz w:val="26"/>
        </w:rPr>
        <w:t xml:space="preserve"> is dismissed.</w:t>
      </w:r>
    </w:p>
    <w:p w:rsidR="00FA2E73" w:rsidRDefault="00FA2E73" w:rsidP="00A97939">
      <w:pPr>
        <w:autoSpaceDE w:val="0"/>
        <w:autoSpaceDN w:val="0"/>
        <w:adjustRightInd w:val="0"/>
        <w:spacing w:line="360" w:lineRule="auto"/>
        <w:ind w:firstLine="1440"/>
        <w:rPr>
          <w:sz w:val="26"/>
        </w:rPr>
      </w:pPr>
    </w:p>
    <w:p w:rsidR="00FA2E73" w:rsidRDefault="00FA2E73" w:rsidP="00A97939">
      <w:pPr>
        <w:autoSpaceDE w:val="0"/>
        <w:autoSpaceDN w:val="0"/>
        <w:adjustRightInd w:val="0"/>
        <w:spacing w:line="360" w:lineRule="auto"/>
        <w:ind w:firstLine="1440"/>
        <w:rPr>
          <w:sz w:val="26"/>
        </w:rPr>
      </w:pPr>
      <w:r>
        <w:rPr>
          <w:sz w:val="26"/>
        </w:rPr>
        <w:t>45.</w:t>
      </w:r>
      <w:r>
        <w:rPr>
          <w:sz w:val="26"/>
        </w:rPr>
        <w:tab/>
        <w:t>That the</w:t>
      </w:r>
      <w:r w:rsidRPr="00FA2E73">
        <w:rPr>
          <w:sz w:val="26"/>
        </w:rPr>
        <w:t xml:space="preserve"> </w:t>
      </w:r>
      <w:r>
        <w:rPr>
          <w:sz w:val="26"/>
        </w:rPr>
        <w:t>F</w:t>
      </w:r>
      <w:r w:rsidRPr="00C1160D">
        <w:rPr>
          <w:sz w:val="26"/>
        </w:rPr>
        <w:t xml:space="preserve">ormal Complaint filed by </w:t>
      </w:r>
      <w:r>
        <w:rPr>
          <w:sz w:val="26"/>
        </w:rPr>
        <w:t>the Office of Small Business Advocate at Docket No. C</w:t>
      </w:r>
      <w:r>
        <w:rPr>
          <w:sz w:val="26"/>
        </w:rPr>
        <w:noBreakHyphen/>
        <w:t>2009-2146228</w:t>
      </w:r>
      <w:r w:rsidRPr="00C1160D">
        <w:rPr>
          <w:sz w:val="26"/>
        </w:rPr>
        <w:t xml:space="preserve"> is dismissed.</w:t>
      </w:r>
    </w:p>
    <w:p w:rsidR="00431C3F" w:rsidRDefault="00431C3F" w:rsidP="00A97939">
      <w:pPr>
        <w:autoSpaceDE w:val="0"/>
        <w:autoSpaceDN w:val="0"/>
        <w:adjustRightInd w:val="0"/>
        <w:spacing w:line="360" w:lineRule="auto"/>
        <w:ind w:firstLine="1440"/>
        <w:rPr>
          <w:sz w:val="26"/>
        </w:rPr>
      </w:pPr>
    </w:p>
    <w:p w:rsidR="00C1160D" w:rsidRDefault="00FA2E73" w:rsidP="00A97939">
      <w:pPr>
        <w:autoSpaceDE w:val="0"/>
        <w:autoSpaceDN w:val="0"/>
        <w:adjustRightInd w:val="0"/>
        <w:spacing w:line="360" w:lineRule="auto"/>
        <w:ind w:firstLine="1440"/>
        <w:rPr>
          <w:sz w:val="26"/>
        </w:rPr>
      </w:pPr>
      <w:r>
        <w:rPr>
          <w:sz w:val="26"/>
        </w:rPr>
        <w:t>46</w:t>
      </w:r>
      <w:r w:rsidR="00431C3F">
        <w:rPr>
          <w:sz w:val="26"/>
        </w:rPr>
        <w:t>.</w:t>
      </w:r>
      <w:r w:rsidR="00431C3F">
        <w:rPr>
          <w:sz w:val="26"/>
        </w:rPr>
        <w:tab/>
      </w:r>
      <w:r w:rsidR="00C1160D" w:rsidRPr="00C1160D">
        <w:rPr>
          <w:sz w:val="26"/>
        </w:rPr>
        <w:t xml:space="preserve">That the Secretary’s Bureau mark </w:t>
      </w:r>
      <w:r w:rsidR="00431C3F">
        <w:rPr>
          <w:sz w:val="26"/>
        </w:rPr>
        <w:t>the following dockets closed: R</w:t>
      </w:r>
      <w:r w:rsidR="00431C3F">
        <w:rPr>
          <w:sz w:val="26"/>
        </w:rPr>
        <w:noBreakHyphen/>
      </w:r>
      <w:r w:rsidR="00C1160D" w:rsidRPr="00C1160D">
        <w:rPr>
          <w:sz w:val="26"/>
        </w:rPr>
        <w:t>2009-2132019; C-2009-2143650; C-2009-</w:t>
      </w:r>
      <w:r w:rsidR="00614E89">
        <w:rPr>
          <w:sz w:val="26"/>
        </w:rPr>
        <w:t>2143666; C-2009-2144650; C</w:t>
      </w:r>
      <w:r w:rsidR="00614E89">
        <w:rPr>
          <w:sz w:val="26"/>
        </w:rPr>
        <w:noBreakHyphen/>
        <w:t>2009</w:t>
      </w:r>
      <w:r w:rsidR="00614E89">
        <w:rPr>
          <w:sz w:val="26"/>
        </w:rPr>
        <w:noBreakHyphen/>
      </w:r>
      <w:r w:rsidR="00C1160D" w:rsidRPr="00C1160D">
        <w:rPr>
          <w:sz w:val="26"/>
        </w:rPr>
        <w:t>2144761; C-2009-2145028; C-2009-</w:t>
      </w:r>
      <w:r w:rsidR="00614E89">
        <w:rPr>
          <w:sz w:val="26"/>
        </w:rPr>
        <w:t>2145047; C-2009-2145066; C</w:t>
      </w:r>
      <w:r w:rsidR="00614E89">
        <w:rPr>
          <w:sz w:val="26"/>
        </w:rPr>
        <w:noBreakHyphen/>
        <w:t>2009</w:t>
      </w:r>
      <w:r w:rsidR="00614E89">
        <w:rPr>
          <w:sz w:val="26"/>
        </w:rPr>
        <w:noBreakHyphen/>
      </w:r>
      <w:r w:rsidR="00C1160D" w:rsidRPr="00C1160D">
        <w:rPr>
          <w:sz w:val="26"/>
        </w:rPr>
        <w:t>2145909; C-2009-2146020; C-2009-</w:t>
      </w:r>
      <w:r w:rsidR="00614E89">
        <w:rPr>
          <w:sz w:val="26"/>
        </w:rPr>
        <w:t>2146026; C-2009-2146031; C</w:t>
      </w:r>
      <w:r w:rsidR="00614E89">
        <w:rPr>
          <w:sz w:val="26"/>
        </w:rPr>
        <w:noBreakHyphen/>
        <w:t>2009</w:t>
      </w:r>
      <w:r w:rsidR="00614E89">
        <w:rPr>
          <w:sz w:val="26"/>
        </w:rPr>
        <w:noBreakHyphen/>
      </w:r>
      <w:r w:rsidR="00C1160D" w:rsidRPr="00C1160D">
        <w:rPr>
          <w:sz w:val="26"/>
        </w:rPr>
        <w:t>2146243; C-2009-2146228; C-2009-</w:t>
      </w:r>
      <w:r w:rsidR="00614E89">
        <w:rPr>
          <w:sz w:val="26"/>
        </w:rPr>
        <w:t>2147601; C-2009-2148524; C</w:t>
      </w:r>
      <w:r w:rsidR="00614E89">
        <w:rPr>
          <w:sz w:val="26"/>
        </w:rPr>
        <w:noBreakHyphen/>
        <w:t>2009</w:t>
      </w:r>
      <w:r w:rsidR="00614E89">
        <w:rPr>
          <w:sz w:val="26"/>
        </w:rPr>
        <w:noBreakHyphen/>
      </w:r>
      <w:r w:rsidR="00205047">
        <w:rPr>
          <w:sz w:val="26"/>
        </w:rPr>
        <w:t>2148289; C-2009-21486</w:t>
      </w:r>
      <w:r w:rsidR="00C1160D" w:rsidRPr="00C1160D">
        <w:rPr>
          <w:sz w:val="26"/>
        </w:rPr>
        <w:t>91; C-2009-</w:t>
      </w:r>
      <w:r w:rsidR="00195F86">
        <w:rPr>
          <w:sz w:val="26"/>
        </w:rPr>
        <w:t>2149813; C-2009-2150065; C</w:t>
      </w:r>
      <w:r w:rsidR="00195F86">
        <w:rPr>
          <w:sz w:val="26"/>
        </w:rPr>
        <w:noBreakHyphen/>
        <w:t>2009</w:t>
      </w:r>
      <w:r w:rsidR="00195F86">
        <w:rPr>
          <w:sz w:val="26"/>
        </w:rPr>
        <w:noBreakHyphen/>
      </w:r>
      <w:r w:rsidR="00C1160D" w:rsidRPr="00C1160D">
        <w:rPr>
          <w:sz w:val="26"/>
        </w:rPr>
        <w:t>2150185; C-2009-2150206; C-2009-2150218; C-</w:t>
      </w:r>
      <w:r w:rsidR="00195F86">
        <w:rPr>
          <w:sz w:val="26"/>
        </w:rPr>
        <w:t>2010-2150646; C</w:t>
      </w:r>
      <w:r w:rsidR="00195F86">
        <w:rPr>
          <w:sz w:val="26"/>
        </w:rPr>
        <w:noBreakHyphen/>
        <w:t>2010</w:t>
      </w:r>
      <w:r w:rsidR="00195F86">
        <w:rPr>
          <w:sz w:val="26"/>
        </w:rPr>
        <w:noBreakHyphen/>
      </w:r>
      <w:r w:rsidR="00614E89">
        <w:rPr>
          <w:sz w:val="26"/>
        </w:rPr>
        <w:t>2150570; C</w:t>
      </w:r>
      <w:r w:rsidR="00614E89">
        <w:rPr>
          <w:sz w:val="26"/>
        </w:rPr>
        <w:noBreakHyphen/>
      </w:r>
      <w:r w:rsidR="00205047">
        <w:rPr>
          <w:sz w:val="26"/>
        </w:rPr>
        <w:t>2010-2150858; C-2010-2151</w:t>
      </w:r>
      <w:r w:rsidR="00C1160D" w:rsidRPr="00C1160D">
        <w:rPr>
          <w:sz w:val="26"/>
        </w:rPr>
        <w:t>877; C-2010-</w:t>
      </w:r>
      <w:r w:rsidR="00195F86">
        <w:rPr>
          <w:sz w:val="26"/>
        </w:rPr>
        <w:t>2151954; C</w:t>
      </w:r>
      <w:r w:rsidR="00195F86">
        <w:rPr>
          <w:sz w:val="26"/>
        </w:rPr>
        <w:noBreakHyphen/>
        <w:t>2010</w:t>
      </w:r>
      <w:r w:rsidR="00195F86">
        <w:rPr>
          <w:sz w:val="26"/>
        </w:rPr>
        <w:noBreakHyphen/>
      </w:r>
      <w:r w:rsidR="00614E89">
        <w:rPr>
          <w:sz w:val="26"/>
        </w:rPr>
        <w:t>2152051; C</w:t>
      </w:r>
      <w:r w:rsidR="00614E89">
        <w:rPr>
          <w:sz w:val="26"/>
        </w:rPr>
        <w:noBreakHyphen/>
        <w:t>2010</w:t>
      </w:r>
      <w:r w:rsidR="00614E89">
        <w:rPr>
          <w:sz w:val="26"/>
        </w:rPr>
        <w:noBreakHyphen/>
      </w:r>
      <w:r w:rsidR="00C1160D" w:rsidRPr="00C1160D">
        <w:rPr>
          <w:sz w:val="26"/>
        </w:rPr>
        <w:t>2152328; C-2010-2152596; C-2010-</w:t>
      </w:r>
      <w:r w:rsidR="00195F86">
        <w:rPr>
          <w:sz w:val="26"/>
        </w:rPr>
        <w:t xml:space="preserve">2153365; </w:t>
      </w:r>
      <w:r w:rsidR="00195F86">
        <w:rPr>
          <w:sz w:val="26"/>
        </w:rPr>
        <w:lastRenderedPageBreak/>
        <w:t>C</w:t>
      </w:r>
      <w:r w:rsidR="00195F86">
        <w:rPr>
          <w:sz w:val="26"/>
        </w:rPr>
        <w:noBreakHyphen/>
        <w:t>2010</w:t>
      </w:r>
      <w:r w:rsidR="00195F86">
        <w:rPr>
          <w:sz w:val="26"/>
        </w:rPr>
        <w:noBreakHyphen/>
      </w:r>
      <w:r w:rsidR="00614E89">
        <w:rPr>
          <w:sz w:val="26"/>
        </w:rPr>
        <w:t>2153419; C</w:t>
      </w:r>
      <w:r w:rsidR="00614E89">
        <w:rPr>
          <w:sz w:val="26"/>
        </w:rPr>
        <w:noBreakHyphen/>
        <w:t>2010</w:t>
      </w:r>
      <w:r w:rsidR="00614E89">
        <w:rPr>
          <w:sz w:val="26"/>
        </w:rPr>
        <w:noBreakHyphen/>
      </w:r>
      <w:r w:rsidR="00C1160D" w:rsidRPr="00C1160D">
        <w:rPr>
          <w:sz w:val="26"/>
        </w:rPr>
        <w:t>2154289; C-2010-</w:t>
      </w:r>
      <w:r w:rsidR="00195F86">
        <w:rPr>
          <w:sz w:val="26"/>
        </w:rPr>
        <w:t>2154319; C-2010-2155875; C</w:t>
      </w:r>
      <w:r w:rsidR="00195F86">
        <w:rPr>
          <w:sz w:val="26"/>
        </w:rPr>
        <w:noBreakHyphen/>
        <w:t>2010</w:t>
      </w:r>
      <w:r w:rsidR="00195F86">
        <w:rPr>
          <w:sz w:val="26"/>
        </w:rPr>
        <w:noBreakHyphen/>
      </w:r>
      <w:r w:rsidR="00C1160D" w:rsidRPr="00C1160D">
        <w:rPr>
          <w:sz w:val="26"/>
        </w:rPr>
        <w:t>2155913</w:t>
      </w:r>
      <w:r w:rsidR="00614E89">
        <w:rPr>
          <w:sz w:val="26"/>
        </w:rPr>
        <w:t>; and C</w:t>
      </w:r>
      <w:r w:rsidR="00614E89">
        <w:rPr>
          <w:sz w:val="26"/>
        </w:rPr>
        <w:noBreakHyphen/>
        <w:t>2010</w:t>
      </w:r>
      <w:r w:rsidR="00614E89">
        <w:rPr>
          <w:sz w:val="26"/>
        </w:rPr>
        <w:noBreakHyphen/>
      </w:r>
      <w:r w:rsidR="00C1160D" w:rsidRPr="00C1160D">
        <w:rPr>
          <w:sz w:val="26"/>
        </w:rPr>
        <w:t>2167238.</w:t>
      </w:r>
    </w:p>
    <w:p w:rsidR="00856085" w:rsidRDefault="00856085" w:rsidP="00A76F8A">
      <w:pPr>
        <w:spacing w:line="360" w:lineRule="auto"/>
        <w:rPr>
          <w:spacing w:val="-3"/>
          <w:sz w:val="26"/>
        </w:rPr>
      </w:pPr>
    </w:p>
    <w:p w:rsidR="00C96AE3" w:rsidRDefault="005D6A4B" w:rsidP="00EF517A">
      <w:pPr>
        <w:pStyle w:val="BodyText2"/>
        <w:spacing w:line="240" w:lineRule="auto"/>
        <w:ind w:firstLine="5040"/>
        <w:rPr>
          <w:b/>
          <w:sz w:val="26"/>
        </w:rPr>
      </w:pPr>
      <w:r>
        <w:rPr>
          <w:b/>
          <w:noProof/>
          <w:sz w:val="26"/>
        </w:rPr>
        <w:drawing>
          <wp:anchor distT="0" distB="0" distL="114300" distR="114300" simplePos="0" relativeHeight="251659264" behindDoc="1" locked="0" layoutInCell="1" allowOverlap="1">
            <wp:simplePos x="0" y="0"/>
            <wp:positionH relativeFrom="column">
              <wp:posOffset>2838450</wp:posOffset>
            </wp:positionH>
            <wp:positionV relativeFrom="paragraph">
              <wp:posOffset>69850</wp:posOffset>
            </wp:positionV>
            <wp:extent cx="2216150" cy="838200"/>
            <wp:effectExtent l="1905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16150" cy="838200"/>
                    </a:xfrm>
                    <a:prstGeom prst="rect">
                      <a:avLst/>
                    </a:prstGeom>
                    <a:noFill/>
                    <a:ln w="9525">
                      <a:noFill/>
                      <a:miter lim="800000"/>
                      <a:headEnd/>
                      <a:tailEnd/>
                    </a:ln>
                  </pic:spPr>
                </pic:pic>
              </a:graphicData>
            </a:graphic>
          </wp:anchor>
        </w:drawing>
      </w:r>
      <w:r w:rsidR="005C6226" w:rsidRPr="005C6226">
        <w:rPr>
          <w:b/>
          <w:sz w:val="26"/>
        </w:rPr>
        <w:t>BY THE COMMISSION,</w:t>
      </w:r>
    </w:p>
    <w:p w:rsidR="005C6226" w:rsidRDefault="005C6226" w:rsidP="00A76F8A">
      <w:pPr>
        <w:pStyle w:val="BodyText2"/>
        <w:spacing w:line="240" w:lineRule="auto"/>
        <w:rPr>
          <w:b/>
          <w:sz w:val="26"/>
        </w:rPr>
      </w:pPr>
    </w:p>
    <w:p w:rsidR="005C6226" w:rsidRDefault="005C6226" w:rsidP="00A76F8A">
      <w:pPr>
        <w:pStyle w:val="BodyText2"/>
        <w:spacing w:line="240" w:lineRule="auto"/>
        <w:rPr>
          <w:b/>
          <w:sz w:val="26"/>
        </w:rPr>
      </w:pPr>
    </w:p>
    <w:p w:rsidR="00EF517A" w:rsidRDefault="00EF517A" w:rsidP="00D3520D">
      <w:pPr>
        <w:pStyle w:val="BodyText2"/>
        <w:spacing w:after="0" w:line="240" w:lineRule="auto"/>
        <w:ind w:firstLine="5040"/>
        <w:rPr>
          <w:sz w:val="26"/>
        </w:rPr>
      </w:pPr>
      <w:r>
        <w:rPr>
          <w:sz w:val="26"/>
        </w:rPr>
        <w:t>Rosemary Chiavetta</w:t>
      </w:r>
    </w:p>
    <w:p w:rsidR="005C6226" w:rsidRDefault="005C6226" w:rsidP="00D3520D">
      <w:pPr>
        <w:pStyle w:val="BodyText2"/>
        <w:spacing w:after="0" w:line="240" w:lineRule="auto"/>
        <w:ind w:firstLine="5040"/>
        <w:rPr>
          <w:sz w:val="26"/>
        </w:rPr>
      </w:pPr>
      <w:r>
        <w:rPr>
          <w:sz w:val="26"/>
        </w:rPr>
        <w:t>Secretary</w:t>
      </w:r>
    </w:p>
    <w:p w:rsidR="005C6226" w:rsidRDefault="005C6226" w:rsidP="00A76F8A">
      <w:pPr>
        <w:pStyle w:val="BodyText2"/>
        <w:spacing w:line="240" w:lineRule="auto"/>
        <w:rPr>
          <w:sz w:val="26"/>
        </w:rPr>
      </w:pPr>
      <w:r>
        <w:rPr>
          <w:sz w:val="26"/>
        </w:rPr>
        <w:t>(SEAL)</w:t>
      </w:r>
      <w:r>
        <w:rPr>
          <w:sz w:val="26"/>
        </w:rPr>
        <w:tab/>
      </w:r>
    </w:p>
    <w:p w:rsidR="005C6226" w:rsidRDefault="00DE471F" w:rsidP="00A76F8A">
      <w:pPr>
        <w:pStyle w:val="BodyText2"/>
        <w:spacing w:line="240" w:lineRule="auto"/>
        <w:rPr>
          <w:sz w:val="26"/>
        </w:rPr>
      </w:pPr>
      <w:r>
        <w:rPr>
          <w:sz w:val="26"/>
        </w:rPr>
        <w:t xml:space="preserve">ORDER ADOPTED:  </w:t>
      </w:r>
      <w:r w:rsidR="00096524">
        <w:rPr>
          <w:sz w:val="26"/>
        </w:rPr>
        <w:t>June 16, 2010</w:t>
      </w:r>
    </w:p>
    <w:p w:rsidR="005C6226" w:rsidRPr="005D6A4B" w:rsidRDefault="005C6226" w:rsidP="00A76F8A">
      <w:pPr>
        <w:pStyle w:val="BodyText2"/>
        <w:spacing w:line="240" w:lineRule="auto"/>
        <w:rPr>
          <w:b/>
          <w:sz w:val="26"/>
        </w:rPr>
      </w:pPr>
      <w:r>
        <w:rPr>
          <w:sz w:val="26"/>
        </w:rPr>
        <w:t xml:space="preserve">ORDER ENTERED:  </w:t>
      </w:r>
      <w:r w:rsidR="005D6A4B">
        <w:rPr>
          <w:b/>
          <w:sz w:val="26"/>
        </w:rPr>
        <w:t>June 16, 2010</w:t>
      </w:r>
    </w:p>
    <w:sectPr w:rsidR="005C6226" w:rsidRPr="005D6A4B" w:rsidSect="00B53EC2">
      <w:footerReference w:type="defaul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267" w:rsidRDefault="00C66267">
      <w:r>
        <w:separator/>
      </w:r>
    </w:p>
  </w:endnote>
  <w:endnote w:type="continuationSeparator" w:id="0">
    <w:p w:rsidR="00C66267" w:rsidRDefault="00C662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8F" w:rsidRDefault="00917AAA" w:rsidP="006E3873">
    <w:pPr>
      <w:pStyle w:val="Footer"/>
      <w:framePr w:wrap="around" w:vAnchor="text" w:hAnchor="margin" w:xAlign="center" w:y="1"/>
      <w:rPr>
        <w:rStyle w:val="PageNumber"/>
      </w:rPr>
    </w:pPr>
    <w:r>
      <w:rPr>
        <w:rStyle w:val="PageNumber"/>
      </w:rPr>
      <w:fldChar w:fldCharType="begin"/>
    </w:r>
    <w:r w:rsidR="0013788F">
      <w:rPr>
        <w:rStyle w:val="PageNumber"/>
      </w:rPr>
      <w:instrText xml:space="preserve">PAGE  </w:instrText>
    </w:r>
    <w:r>
      <w:rPr>
        <w:rStyle w:val="PageNumber"/>
      </w:rPr>
      <w:fldChar w:fldCharType="end"/>
    </w:r>
  </w:p>
  <w:p w:rsidR="0013788F" w:rsidRDefault="0013788F" w:rsidP="00BE22A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8F" w:rsidRDefault="00917AAA" w:rsidP="006E3873">
    <w:pPr>
      <w:pStyle w:val="Footer"/>
      <w:framePr w:wrap="around" w:vAnchor="text" w:hAnchor="margin" w:xAlign="center" w:y="1"/>
      <w:rPr>
        <w:rStyle w:val="PageNumber"/>
      </w:rPr>
    </w:pPr>
    <w:r>
      <w:rPr>
        <w:rStyle w:val="PageNumber"/>
      </w:rPr>
      <w:fldChar w:fldCharType="begin"/>
    </w:r>
    <w:r w:rsidR="0013788F">
      <w:rPr>
        <w:rStyle w:val="PageNumber"/>
      </w:rPr>
      <w:instrText xml:space="preserve"> PAGE  \* roman </w:instrText>
    </w:r>
    <w:r>
      <w:rPr>
        <w:rStyle w:val="PageNumber"/>
      </w:rPr>
      <w:fldChar w:fldCharType="separate"/>
    </w:r>
    <w:r w:rsidR="005D6A4B">
      <w:rPr>
        <w:rStyle w:val="PageNumber"/>
        <w:noProof/>
      </w:rPr>
      <w:t>ii</w:t>
    </w:r>
    <w:r>
      <w:rPr>
        <w:rStyle w:val="PageNumber"/>
      </w:rPr>
      <w:fldChar w:fldCharType="end"/>
    </w:r>
  </w:p>
  <w:p w:rsidR="0013788F" w:rsidRDefault="0013788F" w:rsidP="000672C6">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8F" w:rsidRDefault="0013788F" w:rsidP="00E515F8">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8F" w:rsidRDefault="00917AAA" w:rsidP="006E3873">
    <w:pPr>
      <w:pStyle w:val="Footer"/>
      <w:framePr w:wrap="around" w:vAnchor="text" w:hAnchor="margin" w:xAlign="center" w:y="1"/>
      <w:rPr>
        <w:rStyle w:val="PageNumber"/>
      </w:rPr>
    </w:pPr>
    <w:r>
      <w:rPr>
        <w:rStyle w:val="PageNumber"/>
      </w:rPr>
      <w:fldChar w:fldCharType="begin"/>
    </w:r>
    <w:r w:rsidR="0013788F">
      <w:rPr>
        <w:rStyle w:val="PageNumber"/>
      </w:rPr>
      <w:instrText xml:space="preserve"> PAGE  \* Arabic </w:instrText>
    </w:r>
    <w:r>
      <w:rPr>
        <w:rStyle w:val="PageNumber"/>
      </w:rPr>
      <w:fldChar w:fldCharType="separate"/>
    </w:r>
    <w:r w:rsidR="005D6A4B">
      <w:rPr>
        <w:rStyle w:val="PageNumber"/>
        <w:noProof/>
      </w:rPr>
      <w:t>53</w:t>
    </w:r>
    <w:r>
      <w:rPr>
        <w:rStyle w:val="PageNumber"/>
      </w:rPr>
      <w:fldChar w:fldCharType="end"/>
    </w:r>
  </w:p>
  <w:p w:rsidR="0013788F" w:rsidRDefault="0013788F" w:rsidP="000672C6">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8F" w:rsidRDefault="0013788F" w:rsidP="00E515F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267" w:rsidRDefault="00C66267">
      <w:r>
        <w:separator/>
      </w:r>
    </w:p>
  </w:footnote>
  <w:footnote w:type="continuationSeparator" w:id="0">
    <w:p w:rsidR="00C66267" w:rsidRDefault="00C66267">
      <w:r>
        <w:continuationSeparator/>
      </w:r>
    </w:p>
  </w:footnote>
  <w:footnote w:id="1">
    <w:p w:rsidR="0013788F" w:rsidRDefault="0013788F" w:rsidP="00F03977">
      <w:pPr>
        <w:pStyle w:val="FootnoteText"/>
        <w:ind w:firstLine="720"/>
      </w:pPr>
      <w:r>
        <w:rPr>
          <w:rStyle w:val="FootnoteReference"/>
        </w:rPr>
        <w:footnoteRef/>
      </w:r>
      <w:r>
        <w:t xml:space="preserve">  </w:t>
      </w:r>
      <w:r>
        <w:tab/>
      </w:r>
      <w:r w:rsidRPr="007176BC">
        <w:rPr>
          <w:sz w:val="26"/>
        </w:rPr>
        <w:t xml:space="preserve">For a full and complete history, please refer to </w:t>
      </w:r>
      <w:r>
        <w:rPr>
          <w:sz w:val="26"/>
        </w:rPr>
        <w:t>the Recommended Decision at 1</w:t>
      </w:r>
      <w:r>
        <w:rPr>
          <w:sz w:val="26"/>
        </w:rPr>
        <w:noBreakHyphen/>
        <w:t>4</w:t>
      </w:r>
      <w:r w:rsidRPr="007176BC">
        <w:rPr>
          <w:sz w:val="26"/>
        </w:rPr>
        <w:t>.</w:t>
      </w:r>
      <w:r>
        <w:t xml:space="preserve"> </w:t>
      </w:r>
    </w:p>
  </w:footnote>
  <w:footnote w:id="2">
    <w:p w:rsidR="0013788F" w:rsidRPr="00E73E65" w:rsidRDefault="0013788F" w:rsidP="00863D30">
      <w:pPr>
        <w:pStyle w:val="FootnoteText"/>
        <w:rPr>
          <w:sz w:val="26"/>
        </w:rPr>
      </w:pPr>
      <w:r>
        <w:tab/>
      </w:r>
      <w:r>
        <w:rPr>
          <w:rStyle w:val="FootnoteReference"/>
        </w:rPr>
        <w:footnoteRef/>
      </w:r>
      <w:r>
        <w:t xml:space="preserve">  </w:t>
      </w:r>
      <w:r>
        <w:tab/>
      </w:r>
      <w:r w:rsidRPr="00E73E65">
        <w:rPr>
          <w:sz w:val="26"/>
        </w:rPr>
        <w:t>On December 21, 2009, Aqua filed proposed tariff pages to replace previously filed tariff pages.</w:t>
      </w:r>
    </w:p>
  </w:footnote>
  <w:footnote w:id="3">
    <w:p w:rsidR="0013788F" w:rsidRPr="000901BD" w:rsidRDefault="0013788F" w:rsidP="00863D30">
      <w:pPr>
        <w:pStyle w:val="FootnoteText"/>
        <w:rPr>
          <w:sz w:val="26"/>
        </w:rPr>
      </w:pPr>
      <w:r>
        <w:tab/>
      </w:r>
      <w:r>
        <w:rPr>
          <w:rStyle w:val="FootnoteReference"/>
        </w:rPr>
        <w:footnoteRef/>
      </w:r>
      <w:r>
        <w:t xml:space="preserve">  </w:t>
      </w:r>
      <w:r>
        <w:tab/>
      </w:r>
      <w:r w:rsidRPr="000901BD">
        <w:rPr>
          <w:rStyle w:val="PageNumber"/>
          <w:sz w:val="26"/>
        </w:rPr>
        <w:t xml:space="preserve">By letter dated March 5, 2010, Dr. Briskin acknowledged </w:t>
      </w:r>
      <w:r>
        <w:rPr>
          <w:rStyle w:val="PageNumber"/>
          <w:sz w:val="26"/>
        </w:rPr>
        <w:t xml:space="preserve">that </w:t>
      </w:r>
      <w:r w:rsidRPr="000901BD">
        <w:rPr>
          <w:rStyle w:val="PageNumber"/>
          <w:sz w:val="26"/>
        </w:rPr>
        <w:t xml:space="preserve">he is an attorney and </w:t>
      </w:r>
      <w:r>
        <w:rPr>
          <w:rStyle w:val="PageNumber"/>
          <w:sz w:val="26"/>
        </w:rPr>
        <w:t xml:space="preserve">a </w:t>
      </w:r>
      <w:r w:rsidRPr="000901BD">
        <w:rPr>
          <w:rStyle w:val="PageNumber"/>
          <w:sz w:val="26"/>
        </w:rPr>
        <w:t>member in good standing of the bar of the Commonwealth of Pennsylvania.</w:t>
      </w:r>
    </w:p>
  </w:footnote>
  <w:footnote w:id="4">
    <w:p w:rsidR="0013788F" w:rsidRPr="001B008F" w:rsidRDefault="0013788F" w:rsidP="00863D30">
      <w:pPr>
        <w:pStyle w:val="FootnoteText"/>
        <w:rPr>
          <w:sz w:val="26"/>
        </w:rPr>
      </w:pPr>
      <w:r>
        <w:tab/>
      </w:r>
      <w:r>
        <w:rPr>
          <w:rStyle w:val="FootnoteReference"/>
        </w:rPr>
        <w:footnoteRef/>
      </w:r>
      <w:r>
        <w:t xml:space="preserve">  </w:t>
      </w:r>
      <w:r>
        <w:tab/>
      </w:r>
      <w:r w:rsidRPr="001B008F">
        <w:rPr>
          <w:sz w:val="26"/>
        </w:rPr>
        <w:t>Mr.</w:t>
      </w:r>
      <w:r>
        <w:rPr>
          <w:sz w:val="26"/>
        </w:rPr>
        <w:t xml:space="preserve"> Rende decided to testify at a Public I</w:t>
      </w:r>
      <w:r w:rsidRPr="001B008F">
        <w:rPr>
          <w:sz w:val="26"/>
        </w:rPr>
        <w:t xml:space="preserve">nput session knowledgeable that the consequence was to change his status to an inactive participant. </w:t>
      </w:r>
    </w:p>
  </w:footnote>
  <w:footnote w:id="5">
    <w:p w:rsidR="0013788F" w:rsidRPr="00E80AF3" w:rsidRDefault="0013788F" w:rsidP="00863D30">
      <w:pPr>
        <w:pStyle w:val="FootnoteText"/>
        <w:rPr>
          <w:sz w:val="26"/>
        </w:rPr>
      </w:pPr>
      <w:r>
        <w:tab/>
      </w:r>
      <w:r>
        <w:rPr>
          <w:rStyle w:val="FootnoteReference"/>
        </w:rPr>
        <w:footnoteRef/>
      </w:r>
      <w:r>
        <w:t xml:space="preserve">  </w:t>
      </w:r>
      <w:r>
        <w:tab/>
      </w:r>
      <w:r w:rsidRPr="00E80AF3">
        <w:rPr>
          <w:sz w:val="26"/>
        </w:rPr>
        <w:t xml:space="preserve">Although the Joint Settlement was submitted on April 20, 2010, </w:t>
      </w:r>
      <w:r>
        <w:rPr>
          <w:sz w:val="26"/>
        </w:rPr>
        <w:t xml:space="preserve">it was not filed until May 5, 2010, </w:t>
      </w:r>
      <w:r w:rsidRPr="00E80AF3">
        <w:rPr>
          <w:sz w:val="26"/>
        </w:rPr>
        <w:t>due to an oversight.</w:t>
      </w:r>
    </w:p>
  </w:footnote>
  <w:footnote w:id="6">
    <w:p w:rsidR="0013788F" w:rsidRDefault="0013788F" w:rsidP="00863D30">
      <w:pPr>
        <w:pStyle w:val="FootnoteText"/>
      </w:pPr>
      <w:r>
        <w:tab/>
      </w:r>
      <w:r>
        <w:rPr>
          <w:rStyle w:val="FootnoteReference"/>
        </w:rPr>
        <w:footnoteRef/>
      </w:r>
      <w:r>
        <w:t xml:space="preserve">  </w:t>
      </w:r>
      <w:r>
        <w:tab/>
      </w:r>
      <w:r w:rsidRPr="009D04ED">
        <w:rPr>
          <w:rStyle w:val="PageNumber"/>
          <w:sz w:val="26"/>
        </w:rPr>
        <w:t xml:space="preserve">Pastor Burris is an active </w:t>
      </w:r>
      <w:r>
        <w:rPr>
          <w:rStyle w:val="PageNumber"/>
          <w:sz w:val="26"/>
        </w:rPr>
        <w:t>P</w:t>
      </w:r>
      <w:r w:rsidRPr="009D04ED">
        <w:rPr>
          <w:rStyle w:val="PageNumber"/>
          <w:sz w:val="26"/>
        </w:rPr>
        <w:t>arty and filed a letter in opposition in lieu of a Brief to both the rate increase and the proposed Joint Settlement.</w:t>
      </w:r>
    </w:p>
  </w:footnote>
  <w:footnote w:id="7">
    <w:p w:rsidR="0013788F" w:rsidRDefault="0013788F" w:rsidP="00863D30">
      <w:pPr>
        <w:pStyle w:val="FootnoteText"/>
      </w:pPr>
      <w:r>
        <w:tab/>
      </w:r>
      <w:r>
        <w:rPr>
          <w:rStyle w:val="FootnoteReference"/>
        </w:rPr>
        <w:footnoteRef/>
      </w:r>
      <w:r>
        <w:t xml:space="preserve">  </w:t>
      </w:r>
      <w:r>
        <w:tab/>
      </w:r>
      <w:r>
        <w:rPr>
          <w:sz w:val="26"/>
        </w:rPr>
        <w:t>Mr. Frazier is an active P</w:t>
      </w:r>
      <w:r w:rsidRPr="009D04ED">
        <w:rPr>
          <w:sz w:val="26"/>
        </w:rPr>
        <w:t xml:space="preserve">arty to this proceeding and filed a </w:t>
      </w:r>
      <w:r w:rsidRPr="009D04ED">
        <w:rPr>
          <w:rStyle w:val="PageNumber"/>
          <w:sz w:val="26"/>
        </w:rPr>
        <w:t>letter in opposition in lieu of a Brief</w:t>
      </w:r>
      <w:r w:rsidRPr="009D04ED">
        <w:rPr>
          <w:sz w:val="26"/>
        </w:rPr>
        <w:t>.</w:t>
      </w:r>
    </w:p>
  </w:footnote>
  <w:footnote w:id="8">
    <w:p w:rsidR="0013788F" w:rsidRPr="004340A6" w:rsidRDefault="0013788F" w:rsidP="008765A7">
      <w:pPr>
        <w:pStyle w:val="FootnoteText"/>
        <w:rPr>
          <w:sz w:val="26"/>
        </w:rPr>
      </w:pPr>
      <w:r>
        <w:tab/>
      </w:r>
      <w:r>
        <w:rPr>
          <w:rStyle w:val="FootnoteReference"/>
        </w:rPr>
        <w:footnoteRef/>
      </w:r>
      <w:r>
        <w:t xml:space="preserve">  </w:t>
      </w:r>
      <w:r>
        <w:tab/>
      </w:r>
      <w:r w:rsidRPr="004340A6">
        <w:rPr>
          <w:sz w:val="26"/>
        </w:rPr>
        <w:t>Prior to January 16, 2004, Aqua was known as the Pennsylvania Suburban Water C</w:t>
      </w:r>
      <w:r>
        <w:rPr>
          <w:sz w:val="26"/>
        </w:rPr>
        <w:t xml:space="preserve">ompany (PSW) </w:t>
      </w:r>
      <w:r w:rsidRPr="004340A6">
        <w:rPr>
          <w:sz w:val="26"/>
        </w:rPr>
        <w:t xml:space="preserve">and, before that, </w:t>
      </w:r>
      <w:r>
        <w:rPr>
          <w:sz w:val="26"/>
        </w:rPr>
        <w:t xml:space="preserve">as </w:t>
      </w:r>
      <w:r w:rsidRPr="004340A6">
        <w:rPr>
          <w:sz w:val="26"/>
        </w:rPr>
        <w:t>the Philadelphia Suburban Water Com</w:t>
      </w:r>
      <w:r>
        <w:rPr>
          <w:sz w:val="26"/>
        </w:rPr>
        <w:t>pany</w:t>
      </w:r>
      <w:r w:rsidRPr="004340A6">
        <w:rPr>
          <w:sz w:val="26"/>
        </w:rPr>
        <w:t>.</w:t>
      </w:r>
    </w:p>
  </w:footnote>
  <w:footnote w:id="9">
    <w:p w:rsidR="0013788F" w:rsidRPr="000C5B46" w:rsidRDefault="0013788F" w:rsidP="000C5B46">
      <w:pPr>
        <w:pStyle w:val="FootnoteText"/>
        <w:ind w:firstLine="720"/>
        <w:rPr>
          <w:sz w:val="26"/>
          <w:szCs w:val="26"/>
        </w:rPr>
      </w:pPr>
      <w:r>
        <w:rPr>
          <w:rStyle w:val="FootnoteReference"/>
        </w:rPr>
        <w:footnoteRef/>
      </w:r>
      <w:r>
        <w:t xml:space="preserve">  </w:t>
      </w:r>
      <w:r>
        <w:tab/>
      </w:r>
      <w:r w:rsidRPr="000C5B46">
        <w:rPr>
          <w:sz w:val="26"/>
          <w:szCs w:val="26"/>
        </w:rPr>
        <w:t xml:space="preserve">For a more detailed discussion of the public input hearings, see pages 5-11 of the Recommended Decision. </w:t>
      </w:r>
    </w:p>
  </w:footnote>
  <w:footnote w:id="10">
    <w:p w:rsidR="0013788F" w:rsidRDefault="0013788F" w:rsidP="00012DBC">
      <w:pPr>
        <w:pStyle w:val="FootnoteText"/>
      </w:pPr>
      <w:r>
        <w:tab/>
      </w:r>
      <w:r>
        <w:rPr>
          <w:rStyle w:val="FootnoteReference"/>
        </w:rPr>
        <w:footnoteRef/>
      </w:r>
      <w:r>
        <w:t xml:space="preserve">  </w:t>
      </w:r>
      <w:r>
        <w:tab/>
      </w:r>
      <w:r w:rsidRPr="00AB23A6">
        <w:rPr>
          <w:sz w:val="26"/>
          <w:szCs w:val="26"/>
        </w:rPr>
        <w:t>The Joint Settlement Petition read 70,</w:t>
      </w:r>
      <w:r>
        <w:rPr>
          <w:sz w:val="26"/>
          <w:szCs w:val="26"/>
        </w:rPr>
        <w:t xml:space="preserve">000 gallons, but ALJ Jones </w:t>
      </w:r>
      <w:r w:rsidRPr="00AB23A6">
        <w:rPr>
          <w:sz w:val="26"/>
          <w:szCs w:val="26"/>
        </w:rPr>
        <w:t>interpreted that figure as a typographical error and</w:t>
      </w:r>
      <w:r>
        <w:rPr>
          <w:sz w:val="26"/>
          <w:szCs w:val="26"/>
        </w:rPr>
        <w:t>,</w:t>
      </w:r>
      <w:r w:rsidRPr="00AB23A6">
        <w:rPr>
          <w:sz w:val="26"/>
          <w:szCs w:val="26"/>
        </w:rPr>
        <w:t xml:space="preserve"> therefore</w:t>
      </w:r>
      <w:r>
        <w:rPr>
          <w:sz w:val="26"/>
          <w:szCs w:val="26"/>
        </w:rPr>
        <w:t>,</w:t>
      </w:r>
      <w:r w:rsidRPr="00AB23A6">
        <w:rPr>
          <w:sz w:val="26"/>
          <w:szCs w:val="26"/>
        </w:rPr>
        <w:t xml:space="preserve"> not a substantive change to a settlement term.</w:t>
      </w:r>
    </w:p>
  </w:footnote>
  <w:footnote w:id="11">
    <w:p w:rsidR="0013788F" w:rsidRPr="00047C5C" w:rsidRDefault="0013788F" w:rsidP="00F478EC">
      <w:pPr>
        <w:pStyle w:val="FootnoteText"/>
        <w:rPr>
          <w:sz w:val="26"/>
          <w:szCs w:val="26"/>
        </w:rPr>
      </w:pPr>
      <w:r>
        <w:tab/>
      </w:r>
      <w:r>
        <w:rPr>
          <w:rStyle w:val="FootnoteReference"/>
        </w:rPr>
        <w:footnoteRef/>
      </w:r>
      <w:r>
        <w:t xml:space="preserve">   </w:t>
      </w:r>
      <w:r>
        <w:tab/>
      </w:r>
      <w:r w:rsidRPr="00047C5C">
        <w:rPr>
          <w:sz w:val="26"/>
          <w:szCs w:val="26"/>
        </w:rPr>
        <w:t>Joint Settlement at 5, ¶</w:t>
      </w:r>
      <w:r>
        <w:rPr>
          <w:sz w:val="26"/>
          <w:szCs w:val="26"/>
        </w:rPr>
        <w:t xml:space="preserve"> </w:t>
      </w:r>
      <w:r w:rsidRPr="00047C5C">
        <w:rPr>
          <w:sz w:val="26"/>
          <w:szCs w:val="26"/>
        </w:rPr>
        <w:t>8.c.</w:t>
      </w:r>
    </w:p>
  </w:footnote>
  <w:footnote w:id="12">
    <w:p w:rsidR="0013788F" w:rsidRDefault="0013788F" w:rsidP="000E625B">
      <w:pPr>
        <w:pStyle w:val="FootnoteText"/>
      </w:pPr>
      <w:r>
        <w:tab/>
      </w:r>
      <w:r>
        <w:rPr>
          <w:rStyle w:val="FootnoteReference"/>
        </w:rPr>
        <w:footnoteRef/>
      </w:r>
      <w:r>
        <w:t xml:space="preserve">  </w:t>
      </w:r>
      <w:r>
        <w:tab/>
      </w:r>
      <w:r w:rsidRPr="000E625B">
        <w:rPr>
          <w:sz w:val="26"/>
        </w:rPr>
        <w:t>CS Water Division is Aqua’s rate area 91 in Pike County.  The area is made up of about 18.5% year-round residents, 15-20% seasonal residents and 50% va</w:t>
      </w:r>
      <w:r>
        <w:rPr>
          <w:sz w:val="26"/>
        </w:rPr>
        <w:t>cation residents.  Masthope St</w:t>
      </w:r>
      <w:r w:rsidRPr="000E625B">
        <w:rPr>
          <w:sz w:val="26"/>
        </w:rPr>
        <w:t>. 1 at 1, 3.</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CA0196"/>
    <w:lvl w:ilvl="0">
      <w:start w:val="1"/>
      <w:numFmt w:val="decimal"/>
      <w:lvlText w:val="%1."/>
      <w:lvlJc w:val="left"/>
      <w:pPr>
        <w:tabs>
          <w:tab w:val="num" w:pos="1800"/>
        </w:tabs>
        <w:ind w:left="1800" w:hanging="360"/>
      </w:pPr>
    </w:lvl>
  </w:abstractNum>
  <w:abstractNum w:abstractNumId="1">
    <w:nsid w:val="FFFFFF7D"/>
    <w:multiLevelType w:val="singleLevel"/>
    <w:tmpl w:val="36BADB10"/>
    <w:lvl w:ilvl="0">
      <w:start w:val="1"/>
      <w:numFmt w:val="decimal"/>
      <w:lvlText w:val="%1."/>
      <w:lvlJc w:val="left"/>
      <w:pPr>
        <w:tabs>
          <w:tab w:val="num" w:pos="1440"/>
        </w:tabs>
        <w:ind w:left="1440" w:hanging="360"/>
      </w:pPr>
    </w:lvl>
  </w:abstractNum>
  <w:abstractNum w:abstractNumId="2">
    <w:nsid w:val="FFFFFF7E"/>
    <w:multiLevelType w:val="singleLevel"/>
    <w:tmpl w:val="BE869468"/>
    <w:lvl w:ilvl="0">
      <w:start w:val="1"/>
      <w:numFmt w:val="decimal"/>
      <w:lvlText w:val="%1."/>
      <w:lvlJc w:val="left"/>
      <w:pPr>
        <w:tabs>
          <w:tab w:val="num" w:pos="1080"/>
        </w:tabs>
        <w:ind w:left="1080" w:hanging="360"/>
      </w:pPr>
    </w:lvl>
  </w:abstractNum>
  <w:abstractNum w:abstractNumId="3">
    <w:nsid w:val="FFFFFF7F"/>
    <w:multiLevelType w:val="singleLevel"/>
    <w:tmpl w:val="0A3AB168"/>
    <w:lvl w:ilvl="0">
      <w:start w:val="1"/>
      <w:numFmt w:val="decimal"/>
      <w:lvlText w:val="%1."/>
      <w:lvlJc w:val="left"/>
      <w:pPr>
        <w:tabs>
          <w:tab w:val="num" w:pos="720"/>
        </w:tabs>
        <w:ind w:left="720" w:hanging="360"/>
      </w:pPr>
    </w:lvl>
  </w:abstractNum>
  <w:abstractNum w:abstractNumId="4">
    <w:nsid w:val="FFFFFF80"/>
    <w:multiLevelType w:val="singleLevel"/>
    <w:tmpl w:val="7B9463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F22C2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5843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6B2EFD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D895E6"/>
    <w:lvl w:ilvl="0">
      <w:start w:val="1"/>
      <w:numFmt w:val="decimal"/>
      <w:lvlText w:val="%1."/>
      <w:lvlJc w:val="left"/>
      <w:pPr>
        <w:tabs>
          <w:tab w:val="num" w:pos="360"/>
        </w:tabs>
        <w:ind w:left="360" w:hanging="360"/>
      </w:pPr>
    </w:lvl>
  </w:abstractNum>
  <w:abstractNum w:abstractNumId="9">
    <w:nsid w:val="FFFFFF89"/>
    <w:multiLevelType w:val="singleLevel"/>
    <w:tmpl w:val="9B0A597C"/>
    <w:lvl w:ilvl="0">
      <w:start w:val="1"/>
      <w:numFmt w:val="bullet"/>
      <w:lvlText w:val=""/>
      <w:lvlJc w:val="left"/>
      <w:pPr>
        <w:tabs>
          <w:tab w:val="num" w:pos="360"/>
        </w:tabs>
        <w:ind w:left="360" w:hanging="360"/>
      </w:pPr>
      <w:rPr>
        <w:rFonts w:ascii="Symbol" w:hAnsi="Symbol" w:hint="default"/>
      </w:rPr>
    </w:lvl>
  </w:abstractNum>
  <w:abstractNum w:abstractNumId="10">
    <w:nsid w:val="04A27AA3"/>
    <w:multiLevelType w:val="hybridMultilevel"/>
    <w:tmpl w:val="3F88BA78"/>
    <w:lvl w:ilvl="0" w:tplc="6CF459C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4C656D0"/>
    <w:multiLevelType w:val="hybridMultilevel"/>
    <w:tmpl w:val="9A509660"/>
    <w:lvl w:ilvl="0" w:tplc="45380932">
      <w:start w:val="1"/>
      <w:numFmt w:val="lowerRoman"/>
      <w:lvlText w:val="(%1)"/>
      <w:lvlJc w:val="left"/>
      <w:pPr>
        <w:tabs>
          <w:tab w:val="num" w:pos="3190"/>
        </w:tabs>
        <w:ind w:left="3190" w:hanging="720"/>
      </w:pPr>
      <w:rPr>
        <w:rFonts w:hint="default"/>
      </w:rPr>
    </w:lvl>
    <w:lvl w:ilvl="1" w:tplc="46D49A14">
      <w:start w:val="3"/>
      <w:numFmt w:val="lowerLetter"/>
      <w:lvlText w:val="%2."/>
      <w:lvlJc w:val="left"/>
      <w:pPr>
        <w:tabs>
          <w:tab w:val="num" w:pos="3910"/>
        </w:tabs>
        <w:ind w:left="3910" w:hanging="720"/>
      </w:pPr>
      <w:rPr>
        <w:rFonts w:hint="default"/>
      </w:rPr>
    </w:lvl>
    <w:lvl w:ilvl="2" w:tplc="0409001B" w:tentative="1">
      <w:start w:val="1"/>
      <w:numFmt w:val="lowerRoman"/>
      <w:lvlText w:val="%3."/>
      <w:lvlJc w:val="right"/>
      <w:pPr>
        <w:tabs>
          <w:tab w:val="num" w:pos="4270"/>
        </w:tabs>
        <w:ind w:left="4270" w:hanging="180"/>
      </w:pPr>
    </w:lvl>
    <w:lvl w:ilvl="3" w:tplc="0409000F" w:tentative="1">
      <w:start w:val="1"/>
      <w:numFmt w:val="decimal"/>
      <w:lvlText w:val="%4."/>
      <w:lvlJc w:val="left"/>
      <w:pPr>
        <w:tabs>
          <w:tab w:val="num" w:pos="4990"/>
        </w:tabs>
        <w:ind w:left="4990" w:hanging="360"/>
      </w:pPr>
    </w:lvl>
    <w:lvl w:ilvl="4" w:tplc="04090019" w:tentative="1">
      <w:start w:val="1"/>
      <w:numFmt w:val="lowerLetter"/>
      <w:lvlText w:val="%5."/>
      <w:lvlJc w:val="left"/>
      <w:pPr>
        <w:tabs>
          <w:tab w:val="num" w:pos="5710"/>
        </w:tabs>
        <w:ind w:left="5710" w:hanging="360"/>
      </w:pPr>
    </w:lvl>
    <w:lvl w:ilvl="5" w:tplc="0409001B" w:tentative="1">
      <w:start w:val="1"/>
      <w:numFmt w:val="lowerRoman"/>
      <w:lvlText w:val="%6."/>
      <w:lvlJc w:val="right"/>
      <w:pPr>
        <w:tabs>
          <w:tab w:val="num" w:pos="6430"/>
        </w:tabs>
        <w:ind w:left="6430" w:hanging="180"/>
      </w:pPr>
    </w:lvl>
    <w:lvl w:ilvl="6" w:tplc="0409000F" w:tentative="1">
      <w:start w:val="1"/>
      <w:numFmt w:val="decimal"/>
      <w:lvlText w:val="%7."/>
      <w:lvlJc w:val="left"/>
      <w:pPr>
        <w:tabs>
          <w:tab w:val="num" w:pos="7150"/>
        </w:tabs>
        <w:ind w:left="7150" w:hanging="360"/>
      </w:pPr>
    </w:lvl>
    <w:lvl w:ilvl="7" w:tplc="04090019" w:tentative="1">
      <w:start w:val="1"/>
      <w:numFmt w:val="lowerLetter"/>
      <w:lvlText w:val="%8."/>
      <w:lvlJc w:val="left"/>
      <w:pPr>
        <w:tabs>
          <w:tab w:val="num" w:pos="7870"/>
        </w:tabs>
        <w:ind w:left="7870" w:hanging="360"/>
      </w:pPr>
    </w:lvl>
    <w:lvl w:ilvl="8" w:tplc="0409001B" w:tentative="1">
      <w:start w:val="1"/>
      <w:numFmt w:val="lowerRoman"/>
      <w:lvlText w:val="%9."/>
      <w:lvlJc w:val="right"/>
      <w:pPr>
        <w:tabs>
          <w:tab w:val="num" w:pos="8590"/>
        </w:tabs>
        <w:ind w:left="8590" w:hanging="180"/>
      </w:pPr>
    </w:lvl>
  </w:abstractNum>
  <w:abstractNum w:abstractNumId="12">
    <w:nsid w:val="080E316A"/>
    <w:multiLevelType w:val="hybridMultilevel"/>
    <w:tmpl w:val="04AA29F2"/>
    <w:lvl w:ilvl="0" w:tplc="5E74DF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166C6B"/>
    <w:multiLevelType w:val="hybridMultilevel"/>
    <w:tmpl w:val="3F88BA78"/>
    <w:lvl w:ilvl="0" w:tplc="6CF459C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09DE294A"/>
    <w:multiLevelType w:val="hybridMultilevel"/>
    <w:tmpl w:val="4A88CD64"/>
    <w:lvl w:ilvl="0" w:tplc="2558F756">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1ABC5C5E"/>
    <w:multiLevelType w:val="hybridMultilevel"/>
    <w:tmpl w:val="9252F7C2"/>
    <w:lvl w:ilvl="0" w:tplc="13144244">
      <w:start w:val="1"/>
      <w:numFmt w:val="decimal"/>
      <w:lvlText w:val="%1."/>
      <w:lvlJc w:val="left"/>
      <w:pPr>
        <w:tabs>
          <w:tab w:val="num" w:pos="3600"/>
        </w:tabs>
        <w:ind w:left="3600" w:hanging="2160"/>
      </w:pPr>
      <w:rPr>
        <w:rFonts w:hint="default"/>
      </w:rPr>
    </w:lvl>
    <w:lvl w:ilvl="1" w:tplc="B922F93A">
      <w:start w:val="1"/>
      <w:numFmt w:val="upperLetter"/>
      <w:lvlText w:val="%2."/>
      <w:lvlJc w:val="left"/>
      <w:pPr>
        <w:tabs>
          <w:tab w:val="num" w:pos="1800"/>
        </w:tabs>
        <w:ind w:left="1800" w:hanging="720"/>
      </w:pPr>
      <w:rPr>
        <w:rFonts w:hint="default"/>
        <w:u w:val="none"/>
      </w:rPr>
    </w:lvl>
    <w:lvl w:ilvl="2" w:tplc="0409000F">
      <w:start w:val="1"/>
      <w:numFmt w:val="decimal"/>
      <w:lvlText w:val="%3."/>
      <w:lvlJc w:val="left"/>
      <w:pPr>
        <w:tabs>
          <w:tab w:val="num" w:pos="2430"/>
        </w:tabs>
        <w:ind w:left="2430" w:hanging="360"/>
      </w:pPr>
      <w:rPr>
        <w:rFonts w:hint="default"/>
      </w:rPr>
    </w:lvl>
    <w:lvl w:ilvl="3" w:tplc="60B451E4">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C010D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C4C4ACB"/>
    <w:multiLevelType w:val="hybridMultilevel"/>
    <w:tmpl w:val="3F88BA78"/>
    <w:lvl w:ilvl="0" w:tplc="6CF459C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1CE365D9"/>
    <w:multiLevelType w:val="hybridMultilevel"/>
    <w:tmpl w:val="3F88BA78"/>
    <w:lvl w:ilvl="0" w:tplc="6CF459C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1E334A0C"/>
    <w:multiLevelType w:val="hybridMultilevel"/>
    <w:tmpl w:val="254E8AE4"/>
    <w:lvl w:ilvl="0" w:tplc="709810C2">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1E706E81"/>
    <w:multiLevelType w:val="hybridMultilevel"/>
    <w:tmpl w:val="3F88BA78"/>
    <w:lvl w:ilvl="0" w:tplc="6CF459C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256D0891"/>
    <w:multiLevelType w:val="hybridMultilevel"/>
    <w:tmpl w:val="42786A4C"/>
    <w:lvl w:ilvl="0" w:tplc="8156222A">
      <w:start w:val="1"/>
      <w:numFmt w:val="decimal"/>
      <w:lvlText w:val="(%1)"/>
      <w:lvlJc w:val="left"/>
      <w:pPr>
        <w:ind w:left="750" w:hanging="390"/>
      </w:pPr>
      <w:rPr>
        <w:rFonts w:hint="default"/>
      </w:rPr>
    </w:lvl>
    <w:lvl w:ilvl="1" w:tplc="04090019">
      <w:start w:val="1"/>
      <w:numFmt w:val="lowerLetter"/>
      <w:lvlText w:val="%2."/>
      <w:lvlJc w:val="left"/>
      <w:pPr>
        <w:ind w:left="1440" w:hanging="360"/>
      </w:pPr>
    </w:lvl>
    <w:lvl w:ilvl="2" w:tplc="8152C0BC">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3C790B"/>
    <w:multiLevelType w:val="hybridMultilevel"/>
    <w:tmpl w:val="C4E07996"/>
    <w:lvl w:ilvl="0" w:tplc="09E04B7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46DC21E9"/>
    <w:multiLevelType w:val="hybridMultilevel"/>
    <w:tmpl w:val="AF447598"/>
    <w:lvl w:ilvl="0" w:tplc="409049A8">
      <w:start w:val="1"/>
      <w:numFmt w:val="decimal"/>
      <w:lvlText w:val="%1."/>
      <w:lvlJc w:val="left"/>
      <w:pPr>
        <w:ind w:left="1800" w:hanging="360"/>
      </w:pPr>
      <w:rPr>
        <w:rFonts w:hint="default"/>
      </w:rPr>
    </w:lvl>
    <w:lvl w:ilvl="1" w:tplc="22A8D8A0">
      <w:start w:val="1"/>
      <w:numFmt w:val="decimal"/>
      <w:lvlText w:val="(%2)"/>
      <w:lvlJc w:val="left"/>
      <w:pPr>
        <w:tabs>
          <w:tab w:val="num" w:pos="2520"/>
        </w:tabs>
        <w:ind w:left="2520" w:hanging="360"/>
      </w:pPr>
      <w:rPr>
        <w:rFonts w:hint="default"/>
      </w:rPr>
    </w:lvl>
    <w:lvl w:ilvl="2" w:tplc="0409001B">
      <w:start w:val="1"/>
      <w:numFmt w:val="lowerRoman"/>
      <w:lvlText w:val="%3."/>
      <w:lvlJc w:val="right"/>
      <w:pPr>
        <w:ind w:left="3240" w:hanging="180"/>
      </w:pPr>
    </w:lvl>
    <w:lvl w:ilvl="3" w:tplc="A6E8A814">
      <w:start w:val="1"/>
      <w:numFmt w:val="lowerRoman"/>
      <w:lvlText w:val="(%4)"/>
      <w:lvlJc w:val="left"/>
      <w:pPr>
        <w:tabs>
          <w:tab w:val="num" w:pos="4320"/>
        </w:tabs>
        <w:ind w:left="4320" w:hanging="720"/>
      </w:pPr>
      <w:rPr>
        <w:rFonts w:hint="default"/>
      </w:rPr>
    </w:lvl>
    <w:lvl w:ilvl="4" w:tplc="A9189DAC">
      <w:start w:val="1"/>
      <w:numFmt w:val="lowerLetter"/>
      <w:lvlText w:val="(%5)"/>
      <w:lvlJc w:val="left"/>
      <w:pPr>
        <w:ind w:left="2610" w:hanging="72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7A2651A"/>
    <w:multiLevelType w:val="hybridMultilevel"/>
    <w:tmpl w:val="3F88BA78"/>
    <w:lvl w:ilvl="0" w:tplc="6CF459C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492A2427"/>
    <w:multiLevelType w:val="hybridMultilevel"/>
    <w:tmpl w:val="D16A45D8"/>
    <w:lvl w:ilvl="0" w:tplc="F46C986C">
      <w:start w:val="1"/>
      <w:numFmt w:val="lowerLetter"/>
      <w:lvlText w:val="%1."/>
      <w:lvlJc w:val="left"/>
      <w:pPr>
        <w:tabs>
          <w:tab w:val="num" w:pos="2880"/>
        </w:tabs>
        <w:ind w:left="288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504D6171"/>
    <w:multiLevelType w:val="hybridMultilevel"/>
    <w:tmpl w:val="3F88BA78"/>
    <w:lvl w:ilvl="0" w:tplc="6CF459C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51045CA2"/>
    <w:multiLevelType w:val="hybridMultilevel"/>
    <w:tmpl w:val="5D700C08"/>
    <w:lvl w:ilvl="0" w:tplc="16C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4E63138"/>
    <w:multiLevelType w:val="hybridMultilevel"/>
    <w:tmpl w:val="3F88BA78"/>
    <w:lvl w:ilvl="0" w:tplc="6CF459C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989139F"/>
    <w:multiLevelType w:val="hybridMultilevel"/>
    <w:tmpl w:val="DBCA5338"/>
    <w:lvl w:ilvl="0" w:tplc="409049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7952E5"/>
    <w:multiLevelType w:val="hybridMultilevel"/>
    <w:tmpl w:val="C5D4EBD2"/>
    <w:lvl w:ilvl="0" w:tplc="5B702E6E">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294A7A"/>
    <w:multiLevelType w:val="hybridMultilevel"/>
    <w:tmpl w:val="E35CECCC"/>
    <w:lvl w:ilvl="0" w:tplc="1B1A1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1461AD"/>
    <w:multiLevelType w:val="hybridMultilevel"/>
    <w:tmpl w:val="C960F5DA"/>
    <w:lvl w:ilvl="0" w:tplc="16842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6544439"/>
    <w:multiLevelType w:val="hybridMultilevel"/>
    <w:tmpl w:val="4816C0FA"/>
    <w:lvl w:ilvl="0" w:tplc="0142A46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67C43A4"/>
    <w:multiLevelType w:val="hybridMultilevel"/>
    <w:tmpl w:val="0C1CCFDE"/>
    <w:lvl w:ilvl="0" w:tplc="7A34B20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F56A67"/>
    <w:multiLevelType w:val="hybridMultilevel"/>
    <w:tmpl w:val="80969108"/>
    <w:lvl w:ilvl="0" w:tplc="8F4A6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BD91734"/>
    <w:multiLevelType w:val="hybridMultilevel"/>
    <w:tmpl w:val="5616E8BC"/>
    <w:lvl w:ilvl="0" w:tplc="BA32BFE6">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7C6D2F8A"/>
    <w:multiLevelType w:val="hybridMultilevel"/>
    <w:tmpl w:val="9F2858E2"/>
    <w:lvl w:ilvl="0" w:tplc="20FE1E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676D3E"/>
    <w:multiLevelType w:val="hybridMultilevel"/>
    <w:tmpl w:val="E26CF208"/>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0"/>
  </w:num>
  <w:num w:numId="13">
    <w:abstractNumId w:val="36"/>
  </w:num>
  <w:num w:numId="14">
    <w:abstractNumId w:val="27"/>
  </w:num>
  <w:num w:numId="15">
    <w:abstractNumId w:val="20"/>
  </w:num>
  <w:num w:numId="16">
    <w:abstractNumId w:val="24"/>
  </w:num>
  <w:num w:numId="17">
    <w:abstractNumId w:val="35"/>
  </w:num>
  <w:num w:numId="18">
    <w:abstractNumId w:val="14"/>
  </w:num>
  <w:num w:numId="19">
    <w:abstractNumId w:val="38"/>
  </w:num>
  <w:num w:numId="20">
    <w:abstractNumId w:val="19"/>
  </w:num>
  <w:num w:numId="21">
    <w:abstractNumId w:val="29"/>
  </w:num>
  <w:num w:numId="22">
    <w:abstractNumId w:val="37"/>
  </w:num>
  <w:num w:numId="23">
    <w:abstractNumId w:val="31"/>
  </w:num>
  <w:num w:numId="24">
    <w:abstractNumId w:val="32"/>
  </w:num>
  <w:num w:numId="25">
    <w:abstractNumId w:val="15"/>
  </w:num>
  <w:num w:numId="26">
    <w:abstractNumId w:val="11"/>
  </w:num>
  <w:num w:numId="27">
    <w:abstractNumId w:val="22"/>
  </w:num>
  <w:num w:numId="28">
    <w:abstractNumId w:val="34"/>
  </w:num>
  <w:num w:numId="29">
    <w:abstractNumId w:val="23"/>
  </w:num>
  <w:num w:numId="30">
    <w:abstractNumId w:val="33"/>
  </w:num>
  <w:num w:numId="31">
    <w:abstractNumId w:val="25"/>
  </w:num>
  <w:num w:numId="32">
    <w:abstractNumId w:val="16"/>
  </w:num>
  <w:num w:numId="33">
    <w:abstractNumId w:val="28"/>
  </w:num>
  <w:num w:numId="34">
    <w:abstractNumId w:val="17"/>
  </w:num>
  <w:num w:numId="35">
    <w:abstractNumId w:val="26"/>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8"/>
  </w:num>
  <w:num w:numId="39">
    <w:abstractNumId w:val="13"/>
  </w:num>
  <w:num w:numId="40">
    <w:abstractNumId w:val="12"/>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51ADE"/>
    <w:rsid w:val="00000DFA"/>
    <w:rsid w:val="000012CB"/>
    <w:rsid w:val="000062A0"/>
    <w:rsid w:val="00006520"/>
    <w:rsid w:val="00006D35"/>
    <w:rsid w:val="000076B8"/>
    <w:rsid w:val="0001162E"/>
    <w:rsid w:val="000121F3"/>
    <w:rsid w:val="000124D3"/>
    <w:rsid w:val="00012DBC"/>
    <w:rsid w:val="00016137"/>
    <w:rsid w:val="00017760"/>
    <w:rsid w:val="00020673"/>
    <w:rsid w:val="00024A81"/>
    <w:rsid w:val="000263D2"/>
    <w:rsid w:val="00026B9D"/>
    <w:rsid w:val="00031C58"/>
    <w:rsid w:val="00031E36"/>
    <w:rsid w:val="00032C95"/>
    <w:rsid w:val="00033666"/>
    <w:rsid w:val="00035834"/>
    <w:rsid w:val="0003585F"/>
    <w:rsid w:val="00041553"/>
    <w:rsid w:val="000433B8"/>
    <w:rsid w:val="000440E3"/>
    <w:rsid w:val="000461A2"/>
    <w:rsid w:val="00047C5C"/>
    <w:rsid w:val="0005072B"/>
    <w:rsid w:val="000511F3"/>
    <w:rsid w:val="00051202"/>
    <w:rsid w:val="0005273F"/>
    <w:rsid w:val="000534F1"/>
    <w:rsid w:val="000537F4"/>
    <w:rsid w:val="000539E1"/>
    <w:rsid w:val="0005442A"/>
    <w:rsid w:val="0006079C"/>
    <w:rsid w:val="0006157A"/>
    <w:rsid w:val="00063ED2"/>
    <w:rsid w:val="000646C7"/>
    <w:rsid w:val="000662D4"/>
    <w:rsid w:val="000672C6"/>
    <w:rsid w:val="00067EAD"/>
    <w:rsid w:val="000708AB"/>
    <w:rsid w:val="00070C5D"/>
    <w:rsid w:val="000715F4"/>
    <w:rsid w:val="000727C5"/>
    <w:rsid w:val="000736FC"/>
    <w:rsid w:val="00074487"/>
    <w:rsid w:val="00076ACB"/>
    <w:rsid w:val="00076EFE"/>
    <w:rsid w:val="000815EF"/>
    <w:rsid w:val="00082954"/>
    <w:rsid w:val="00082A85"/>
    <w:rsid w:val="00083BC5"/>
    <w:rsid w:val="000850A3"/>
    <w:rsid w:val="00086CD0"/>
    <w:rsid w:val="00087A5F"/>
    <w:rsid w:val="00087C11"/>
    <w:rsid w:val="000901BD"/>
    <w:rsid w:val="00091C6C"/>
    <w:rsid w:val="00092343"/>
    <w:rsid w:val="00093245"/>
    <w:rsid w:val="00094A95"/>
    <w:rsid w:val="00095820"/>
    <w:rsid w:val="00095821"/>
    <w:rsid w:val="00096524"/>
    <w:rsid w:val="000970DC"/>
    <w:rsid w:val="000976EE"/>
    <w:rsid w:val="00097ECC"/>
    <w:rsid w:val="000A0BEE"/>
    <w:rsid w:val="000A0D48"/>
    <w:rsid w:val="000A0DB3"/>
    <w:rsid w:val="000A2CD5"/>
    <w:rsid w:val="000A6144"/>
    <w:rsid w:val="000A6C4C"/>
    <w:rsid w:val="000A6E49"/>
    <w:rsid w:val="000B018E"/>
    <w:rsid w:val="000B106A"/>
    <w:rsid w:val="000B21E9"/>
    <w:rsid w:val="000B25A3"/>
    <w:rsid w:val="000B489A"/>
    <w:rsid w:val="000B5360"/>
    <w:rsid w:val="000B57F5"/>
    <w:rsid w:val="000B679A"/>
    <w:rsid w:val="000B6858"/>
    <w:rsid w:val="000B6CC2"/>
    <w:rsid w:val="000C0C32"/>
    <w:rsid w:val="000C1307"/>
    <w:rsid w:val="000C179D"/>
    <w:rsid w:val="000C4D04"/>
    <w:rsid w:val="000C5B46"/>
    <w:rsid w:val="000C632B"/>
    <w:rsid w:val="000C6933"/>
    <w:rsid w:val="000C6D1F"/>
    <w:rsid w:val="000C7D8D"/>
    <w:rsid w:val="000D1D4E"/>
    <w:rsid w:val="000D2009"/>
    <w:rsid w:val="000D2DCA"/>
    <w:rsid w:val="000D4454"/>
    <w:rsid w:val="000D5510"/>
    <w:rsid w:val="000E06C0"/>
    <w:rsid w:val="000E2907"/>
    <w:rsid w:val="000E32BA"/>
    <w:rsid w:val="000E474A"/>
    <w:rsid w:val="000E5C23"/>
    <w:rsid w:val="000E6009"/>
    <w:rsid w:val="000E625B"/>
    <w:rsid w:val="000E64DE"/>
    <w:rsid w:val="000F1FD8"/>
    <w:rsid w:val="000F2318"/>
    <w:rsid w:val="000F7EF7"/>
    <w:rsid w:val="000F7FCA"/>
    <w:rsid w:val="00100D85"/>
    <w:rsid w:val="00102763"/>
    <w:rsid w:val="00102C95"/>
    <w:rsid w:val="001068A0"/>
    <w:rsid w:val="00106F1B"/>
    <w:rsid w:val="0010791D"/>
    <w:rsid w:val="001103D2"/>
    <w:rsid w:val="00110901"/>
    <w:rsid w:val="00112F7D"/>
    <w:rsid w:val="00113B83"/>
    <w:rsid w:val="00114389"/>
    <w:rsid w:val="00114900"/>
    <w:rsid w:val="00116173"/>
    <w:rsid w:val="00121475"/>
    <w:rsid w:val="001247E1"/>
    <w:rsid w:val="001251A4"/>
    <w:rsid w:val="0012534C"/>
    <w:rsid w:val="0012654C"/>
    <w:rsid w:val="00126DBF"/>
    <w:rsid w:val="00127111"/>
    <w:rsid w:val="00127247"/>
    <w:rsid w:val="00132651"/>
    <w:rsid w:val="001336CF"/>
    <w:rsid w:val="0013725E"/>
    <w:rsid w:val="0013788F"/>
    <w:rsid w:val="00137FF0"/>
    <w:rsid w:val="00140398"/>
    <w:rsid w:val="00141967"/>
    <w:rsid w:val="001422F3"/>
    <w:rsid w:val="001455B9"/>
    <w:rsid w:val="00152416"/>
    <w:rsid w:val="00154AFF"/>
    <w:rsid w:val="00155904"/>
    <w:rsid w:val="001570A5"/>
    <w:rsid w:val="00157288"/>
    <w:rsid w:val="00157D16"/>
    <w:rsid w:val="001616DE"/>
    <w:rsid w:val="00166EEB"/>
    <w:rsid w:val="00170ACC"/>
    <w:rsid w:val="00171238"/>
    <w:rsid w:val="001728D3"/>
    <w:rsid w:val="00173339"/>
    <w:rsid w:val="00174E86"/>
    <w:rsid w:val="001765A9"/>
    <w:rsid w:val="001777FB"/>
    <w:rsid w:val="00181421"/>
    <w:rsid w:val="001841D1"/>
    <w:rsid w:val="00184EA7"/>
    <w:rsid w:val="00186E23"/>
    <w:rsid w:val="00190A94"/>
    <w:rsid w:val="00191998"/>
    <w:rsid w:val="001923C5"/>
    <w:rsid w:val="001928E6"/>
    <w:rsid w:val="00193267"/>
    <w:rsid w:val="0019392D"/>
    <w:rsid w:val="00193D14"/>
    <w:rsid w:val="00195F86"/>
    <w:rsid w:val="00197A07"/>
    <w:rsid w:val="001A04BD"/>
    <w:rsid w:val="001A0946"/>
    <w:rsid w:val="001A2F25"/>
    <w:rsid w:val="001A336E"/>
    <w:rsid w:val="001A3564"/>
    <w:rsid w:val="001A4BE6"/>
    <w:rsid w:val="001B008F"/>
    <w:rsid w:val="001B0BDE"/>
    <w:rsid w:val="001B1597"/>
    <w:rsid w:val="001B3F6F"/>
    <w:rsid w:val="001B5307"/>
    <w:rsid w:val="001B604A"/>
    <w:rsid w:val="001C12FD"/>
    <w:rsid w:val="001C1826"/>
    <w:rsid w:val="001C3217"/>
    <w:rsid w:val="001C58B8"/>
    <w:rsid w:val="001C5AE8"/>
    <w:rsid w:val="001D0B88"/>
    <w:rsid w:val="001D2F64"/>
    <w:rsid w:val="001D74CF"/>
    <w:rsid w:val="001D7A76"/>
    <w:rsid w:val="001E0106"/>
    <w:rsid w:val="001E03F0"/>
    <w:rsid w:val="001E14A1"/>
    <w:rsid w:val="001E2095"/>
    <w:rsid w:val="001E478B"/>
    <w:rsid w:val="001E6934"/>
    <w:rsid w:val="001F368A"/>
    <w:rsid w:val="001F43DE"/>
    <w:rsid w:val="001F597C"/>
    <w:rsid w:val="001F7E1B"/>
    <w:rsid w:val="002006C9"/>
    <w:rsid w:val="00200EE7"/>
    <w:rsid w:val="00201AF0"/>
    <w:rsid w:val="00203BF1"/>
    <w:rsid w:val="00205047"/>
    <w:rsid w:val="00206F85"/>
    <w:rsid w:val="002071C3"/>
    <w:rsid w:val="00211326"/>
    <w:rsid w:val="00211519"/>
    <w:rsid w:val="00212060"/>
    <w:rsid w:val="002132B6"/>
    <w:rsid w:val="002169A5"/>
    <w:rsid w:val="00217166"/>
    <w:rsid w:val="00217425"/>
    <w:rsid w:val="00217D40"/>
    <w:rsid w:val="00221412"/>
    <w:rsid w:val="00222D7C"/>
    <w:rsid w:val="00224D68"/>
    <w:rsid w:val="00225073"/>
    <w:rsid w:val="0022669B"/>
    <w:rsid w:val="00227369"/>
    <w:rsid w:val="00227624"/>
    <w:rsid w:val="0022768E"/>
    <w:rsid w:val="0023249E"/>
    <w:rsid w:val="0023306C"/>
    <w:rsid w:val="00233761"/>
    <w:rsid w:val="00234C5F"/>
    <w:rsid w:val="00236EDB"/>
    <w:rsid w:val="00237431"/>
    <w:rsid w:val="0023799D"/>
    <w:rsid w:val="00240819"/>
    <w:rsid w:val="00240949"/>
    <w:rsid w:val="00240C60"/>
    <w:rsid w:val="00240D06"/>
    <w:rsid w:val="00241E05"/>
    <w:rsid w:val="00242C19"/>
    <w:rsid w:val="0024624F"/>
    <w:rsid w:val="002502D3"/>
    <w:rsid w:val="00251E8E"/>
    <w:rsid w:val="00253268"/>
    <w:rsid w:val="00256BDC"/>
    <w:rsid w:val="00257DD1"/>
    <w:rsid w:val="00261FBE"/>
    <w:rsid w:val="00262583"/>
    <w:rsid w:val="00262E2B"/>
    <w:rsid w:val="0026521F"/>
    <w:rsid w:val="0027081E"/>
    <w:rsid w:val="0027632C"/>
    <w:rsid w:val="00280166"/>
    <w:rsid w:val="00281B39"/>
    <w:rsid w:val="002826D4"/>
    <w:rsid w:val="0028337A"/>
    <w:rsid w:val="00283763"/>
    <w:rsid w:val="00285FC2"/>
    <w:rsid w:val="002864F6"/>
    <w:rsid w:val="002914B3"/>
    <w:rsid w:val="00291CB9"/>
    <w:rsid w:val="00295734"/>
    <w:rsid w:val="002967FA"/>
    <w:rsid w:val="00297EF0"/>
    <w:rsid w:val="002A0629"/>
    <w:rsid w:val="002A1DAE"/>
    <w:rsid w:val="002A32F9"/>
    <w:rsid w:val="002A4CDE"/>
    <w:rsid w:val="002A5081"/>
    <w:rsid w:val="002A541C"/>
    <w:rsid w:val="002A6B05"/>
    <w:rsid w:val="002B0CC2"/>
    <w:rsid w:val="002B0EEE"/>
    <w:rsid w:val="002B2AA3"/>
    <w:rsid w:val="002B372E"/>
    <w:rsid w:val="002B442F"/>
    <w:rsid w:val="002B65DF"/>
    <w:rsid w:val="002B770F"/>
    <w:rsid w:val="002C05A4"/>
    <w:rsid w:val="002C05E9"/>
    <w:rsid w:val="002C0847"/>
    <w:rsid w:val="002C0D01"/>
    <w:rsid w:val="002C3D9B"/>
    <w:rsid w:val="002C4824"/>
    <w:rsid w:val="002C48A4"/>
    <w:rsid w:val="002C4921"/>
    <w:rsid w:val="002C5E37"/>
    <w:rsid w:val="002C7968"/>
    <w:rsid w:val="002D0356"/>
    <w:rsid w:val="002D12C1"/>
    <w:rsid w:val="002D5833"/>
    <w:rsid w:val="002D64C5"/>
    <w:rsid w:val="002D6B0A"/>
    <w:rsid w:val="002D71AF"/>
    <w:rsid w:val="002E1615"/>
    <w:rsid w:val="002E3051"/>
    <w:rsid w:val="002E3A81"/>
    <w:rsid w:val="002E45E3"/>
    <w:rsid w:val="002E50D4"/>
    <w:rsid w:val="002E5906"/>
    <w:rsid w:val="002E5C7F"/>
    <w:rsid w:val="002E7E84"/>
    <w:rsid w:val="002E7F0C"/>
    <w:rsid w:val="002F0B05"/>
    <w:rsid w:val="002F0E64"/>
    <w:rsid w:val="002F1890"/>
    <w:rsid w:val="002F27E4"/>
    <w:rsid w:val="002F5255"/>
    <w:rsid w:val="002F742B"/>
    <w:rsid w:val="00302ECC"/>
    <w:rsid w:val="00305300"/>
    <w:rsid w:val="00307409"/>
    <w:rsid w:val="003074F1"/>
    <w:rsid w:val="00312890"/>
    <w:rsid w:val="00313DA0"/>
    <w:rsid w:val="00316757"/>
    <w:rsid w:val="0031675E"/>
    <w:rsid w:val="0031787E"/>
    <w:rsid w:val="0032353C"/>
    <w:rsid w:val="00324352"/>
    <w:rsid w:val="00324B81"/>
    <w:rsid w:val="003322F9"/>
    <w:rsid w:val="0033267A"/>
    <w:rsid w:val="00332822"/>
    <w:rsid w:val="003331AD"/>
    <w:rsid w:val="00334117"/>
    <w:rsid w:val="00335BF1"/>
    <w:rsid w:val="00336065"/>
    <w:rsid w:val="003410EE"/>
    <w:rsid w:val="00341F8F"/>
    <w:rsid w:val="00342958"/>
    <w:rsid w:val="00344ECF"/>
    <w:rsid w:val="00345173"/>
    <w:rsid w:val="00350B80"/>
    <w:rsid w:val="00352FC6"/>
    <w:rsid w:val="00353061"/>
    <w:rsid w:val="00353369"/>
    <w:rsid w:val="00356D0B"/>
    <w:rsid w:val="00357441"/>
    <w:rsid w:val="003579C3"/>
    <w:rsid w:val="00360235"/>
    <w:rsid w:val="003607EE"/>
    <w:rsid w:val="0036085B"/>
    <w:rsid w:val="00361A4C"/>
    <w:rsid w:val="00363348"/>
    <w:rsid w:val="0036384D"/>
    <w:rsid w:val="00363B8C"/>
    <w:rsid w:val="0036426D"/>
    <w:rsid w:val="0036620F"/>
    <w:rsid w:val="0036645A"/>
    <w:rsid w:val="00370227"/>
    <w:rsid w:val="00370712"/>
    <w:rsid w:val="00370745"/>
    <w:rsid w:val="0037172E"/>
    <w:rsid w:val="00374306"/>
    <w:rsid w:val="00377B78"/>
    <w:rsid w:val="00377D0E"/>
    <w:rsid w:val="00380D61"/>
    <w:rsid w:val="0038403C"/>
    <w:rsid w:val="00385A99"/>
    <w:rsid w:val="00386C4A"/>
    <w:rsid w:val="003879F9"/>
    <w:rsid w:val="00390A91"/>
    <w:rsid w:val="00392239"/>
    <w:rsid w:val="0039621D"/>
    <w:rsid w:val="003A22CB"/>
    <w:rsid w:val="003A4EE2"/>
    <w:rsid w:val="003A5058"/>
    <w:rsid w:val="003B2523"/>
    <w:rsid w:val="003B2621"/>
    <w:rsid w:val="003B3DC1"/>
    <w:rsid w:val="003B749F"/>
    <w:rsid w:val="003C1639"/>
    <w:rsid w:val="003C45A8"/>
    <w:rsid w:val="003C5B07"/>
    <w:rsid w:val="003C5E10"/>
    <w:rsid w:val="003C77B3"/>
    <w:rsid w:val="003D0A23"/>
    <w:rsid w:val="003D13DB"/>
    <w:rsid w:val="003D3CE8"/>
    <w:rsid w:val="003D53D1"/>
    <w:rsid w:val="003D55DC"/>
    <w:rsid w:val="003D59AD"/>
    <w:rsid w:val="003D6BB5"/>
    <w:rsid w:val="003E0FBA"/>
    <w:rsid w:val="003E117A"/>
    <w:rsid w:val="003E172D"/>
    <w:rsid w:val="003E23C5"/>
    <w:rsid w:val="003F06C0"/>
    <w:rsid w:val="003F0E75"/>
    <w:rsid w:val="003F4F12"/>
    <w:rsid w:val="003F587E"/>
    <w:rsid w:val="003F717D"/>
    <w:rsid w:val="004036D8"/>
    <w:rsid w:val="004064F7"/>
    <w:rsid w:val="004067DD"/>
    <w:rsid w:val="004078E9"/>
    <w:rsid w:val="0041017B"/>
    <w:rsid w:val="00410489"/>
    <w:rsid w:val="00415954"/>
    <w:rsid w:val="004216E7"/>
    <w:rsid w:val="00421776"/>
    <w:rsid w:val="0042254C"/>
    <w:rsid w:val="00422DF7"/>
    <w:rsid w:val="00424827"/>
    <w:rsid w:val="00424F00"/>
    <w:rsid w:val="00427027"/>
    <w:rsid w:val="004273DE"/>
    <w:rsid w:val="00427EC6"/>
    <w:rsid w:val="00430EB9"/>
    <w:rsid w:val="0043160B"/>
    <w:rsid w:val="00431A86"/>
    <w:rsid w:val="00431C3F"/>
    <w:rsid w:val="004340A6"/>
    <w:rsid w:val="004343C4"/>
    <w:rsid w:val="00436A5A"/>
    <w:rsid w:val="00437ED2"/>
    <w:rsid w:val="0044102F"/>
    <w:rsid w:val="0044148D"/>
    <w:rsid w:val="00442134"/>
    <w:rsid w:val="00445240"/>
    <w:rsid w:val="004459F5"/>
    <w:rsid w:val="00446D18"/>
    <w:rsid w:val="0045261C"/>
    <w:rsid w:val="00453B04"/>
    <w:rsid w:val="0045545E"/>
    <w:rsid w:val="00456262"/>
    <w:rsid w:val="00457F68"/>
    <w:rsid w:val="00467095"/>
    <w:rsid w:val="00467998"/>
    <w:rsid w:val="00474227"/>
    <w:rsid w:val="00474ED8"/>
    <w:rsid w:val="0047720D"/>
    <w:rsid w:val="004773CD"/>
    <w:rsid w:val="0047749C"/>
    <w:rsid w:val="004833CF"/>
    <w:rsid w:val="0048722E"/>
    <w:rsid w:val="00492020"/>
    <w:rsid w:val="004932BB"/>
    <w:rsid w:val="00493D80"/>
    <w:rsid w:val="0049430A"/>
    <w:rsid w:val="00494B70"/>
    <w:rsid w:val="00496B0E"/>
    <w:rsid w:val="00497649"/>
    <w:rsid w:val="004A1B49"/>
    <w:rsid w:val="004A5962"/>
    <w:rsid w:val="004B2990"/>
    <w:rsid w:val="004B47B2"/>
    <w:rsid w:val="004B5D84"/>
    <w:rsid w:val="004B74D2"/>
    <w:rsid w:val="004B7A48"/>
    <w:rsid w:val="004C05C1"/>
    <w:rsid w:val="004C1069"/>
    <w:rsid w:val="004C2109"/>
    <w:rsid w:val="004C27FF"/>
    <w:rsid w:val="004C50CA"/>
    <w:rsid w:val="004C5404"/>
    <w:rsid w:val="004C58DD"/>
    <w:rsid w:val="004C7CE7"/>
    <w:rsid w:val="004D3338"/>
    <w:rsid w:val="004D4A16"/>
    <w:rsid w:val="004D6F49"/>
    <w:rsid w:val="004E1442"/>
    <w:rsid w:val="004E2280"/>
    <w:rsid w:val="004E2877"/>
    <w:rsid w:val="004E4051"/>
    <w:rsid w:val="004E4F54"/>
    <w:rsid w:val="004E6B24"/>
    <w:rsid w:val="004F05BA"/>
    <w:rsid w:val="004F1495"/>
    <w:rsid w:val="004F176E"/>
    <w:rsid w:val="004F345F"/>
    <w:rsid w:val="004F3B1E"/>
    <w:rsid w:val="004F3E09"/>
    <w:rsid w:val="004F4D44"/>
    <w:rsid w:val="004F4E14"/>
    <w:rsid w:val="00502A8F"/>
    <w:rsid w:val="00505303"/>
    <w:rsid w:val="00505EDB"/>
    <w:rsid w:val="00505EFA"/>
    <w:rsid w:val="00507CF6"/>
    <w:rsid w:val="00510A2D"/>
    <w:rsid w:val="00511121"/>
    <w:rsid w:val="005128B9"/>
    <w:rsid w:val="005140F6"/>
    <w:rsid w:val="005142B7"/>
    <w:rsid w:val="00514679"/>
    <w:rsid w:val="00515BF6"/>
    <w:rsid w:val="005162F3"/>
    <w:rsid w:val="00520C22"/>
    <w:rsid w:val="00522F53"/>
    <w:rsid w:val="00522F99"/>
    <w:rsid w:val="00525F6E"/>
    <w:rsid w:val="00527176"/>
    <w:rsid w:val="00527D88"/>
    <w:rsid w:val="00530931"/>
    <w:rsid w:val="00530C45"/>
    <w:rsid w:val="005318CA"/>
    <w:rsid w:val="00531BA2"/>
    <w:rsid w:val="00531C51"/>
    <w:rsid w:val="00532CF6"/>
    <w:rsid w:val="00532EBB"/>
    <w:rsid w:val="005335C7"/>
    <w:rsid w:val="00541C13"/>
    <w:rsid w:val="005422D1"/>
    <w:rsid w:val="005422D5"/>
    <w:rsid w:val="005431B1"/>
    <w:rsid w:val="005500BD"/>
    <w:rsid w:val="005504E9"/>
    <w:rsid w:val="00551CCE"/>
    <w:rsid w:val="005569B5"/>
    <w:rsid w:val="00557646"/>
    <w:rsid w:val="0055783C"/>
    <w:rsid w:val="00561511"/>
    <w:rsid w:val="00561586"/>
    <w:rsid w:val="005630A2"/>
    <w:rsid w:val="00566650"/>
    <w:rsid w:val="00566C30"/>
    <w:rsid w:val="005677D2"/>
    <w:rsid w:val="00571906"/>
    <w:rsid w:val="005721AF"/>
    <w:rsid w:val="00572D3B"/>
    <w:rsid w:val="005730CE"/>
    <w:rsid w:val="005731AF"/>
    <w:rsid w:val="00574B4F"/>
    <w:rsid w:val="00575290"/>
    <w:rsid w:val="00575AE2"/>
    <w:rsid w:val="00575BF6"/>
    <w:rsid w:val="00575F5F"/>
    <w:rsid w:val="00576150"/>
    <w:rsid w:val="005767A4"/>
    <w:rsid w:val="00576D53"/>
    <w:rsid w:val="005777B2"/>
    <w:rsid w:val="005806C5"/>
    <w:rsid w:val="00581852"/>
    <w:rsid w:val="0058251F"/>
    <w:rsid w:val="00583F11"/>
    <w:rsid w:val="00586A45"/>
    <w:rsid w:val="005872F3"/>
    <w:rsid w:val="005877E8"/>
    <w:rsid w:val="005879F9"/>
    <w:rsid w:val="00590102"/>
    <w:rsid w:val="00592A8A"/>
    <w:rsid w:val="00592F7A"/>
    <w:rsid w:val="0059449B"/>
    <w:rsid w:val="00594AE2"/>
    <w:rsid w:val="00595275"/>
    <w:rsid w:val="0059576D"/>
    <w:rsid w:val="00596B21"/>
    <w:rsid w:val="005A0206"/>
    <w:rsid w:val="005A093F"/>
    <w:rsid w:val="005A163A"/>
    <w:rsid w:val="005A20E1"/>
    <w:rsid w:val="005A2372"/>
    <w:rsid w:val="005A3241"/>
    <w:rsid w:val="005A79CB"/>
    <w:rsid w:val="005B1CCD"/>
    <w:rsid w:val="005B2A3F"/>
    <w:rsid w:val="005B6CF1"/>
    <w:rsid w:val="005B761C"/>
    <w:rsid w:val="005C232A"/>
    <w:rsid w:val="005C24E2"/>
    <w:rsid w:val="005C4E24"/>
    <w:rsid w:val="005C6226"/>
    <w:rsid w:val="005C623B"/>
    <w:rsid w:val="005C6E7C"/>
    <w:rsid w:val="005D03FC"/>
    <w:rsid w:val="005D0FF8"/>
    <w:rsid w:val="005D2307"/>
    <w:rsid w:val="005D261D"/>
    <w:rsid w:val="005D540C"/>
    <w:rsid w:val="005D6113"/>
    <w:rsid w:val="005D62C2"/>
    <w:rsid w:val="005D6A4B"/>
    <w:rsid w:val="005E095A"/>
    <w:rsid w:val="005E1314"/>
    <w:rsid w:val="005E3278"/>
    <w:rsid w:val="005E3DB9"/>
    <w:rsid w:val="005E4243"/>
    <w:rsid w:val="005F0413"/>
    <w:rsid w:val="005F0738"/>
    <w:rsid w:val="005F1233"/>
    <w:rsid w:val="005F1487"/>
    <w:rsid w:val="005F19BC"/>
    <w:rsid w:val="005F2840"/>
    <w:rsid w:val="005F28AD"/>
    <w:rsid w:val="005F28CA"/>
    <w:rsid w:val="005F3DFA"/>
    <w:rsid w:val="005F4A68"/>
    <w:rsid w:val="005F4B2F"/>
    <w:rsid w:val="005F5437"/>
    <w:rsid w:val="005F5590"/>
    <w:rsid w:val="005F67B6"/>
    <w:rsid w:val="005F6944"/>
    <w:rsid w:val="006000F1"/>
    <w:rsid w:val="006010DD"/>
    <w:rsid w:val="00602B92"/>
    <w:rsid w:val="0060535E"/>
    <w:rsid w:val="006061A0"/>
    <w:rsid w:val="006067AD"/>
    <w:rsid w:val="0060711B"/>
    <w:rsid w:val="006073D0"/>
    <w:rsid w:val="006075FE"/>
    <w:rsid w:val="006105C5"/>
    <w:rsid w:val="006115B3"/>
    <w:rsid w:val="00612DF7"/>
    <w:rsid w:val="00614706"/>
    <w:rsid w:val="00614E89"/>
    <w:rsid w:val="006151CF"/>
    <w:rsid w:val="006207D3"/>
    <w:rsid w:val="00620A20"/>
    <w:rsid w:val="00621E5B"/>
    <w:rsid w:val="0062261F"/>
    <w:rsid w:val="0062340E"/>
    <w:rsid w:val="00623CC6"/>
    <w:rsid w:val="00624907"/>
    <w:rsid w:val="00627145"/>
    <w:rsid w:val="006301D9"/>
    <w:rsid w:val="006305AB"/>
    <w:rsid w:val="0063068D"/>
    <w:rsid w:val="00630B50"/>
    <w:rsid w:val="0063256F"/>
    <w:rsid w:val="00634ABA"/>
    <w:rsid w:val="00634ABE"/>
    <w:rsid w:val="00636B73"/>
    <w:rsid w:val="00640D2E"/>
    <w:rsid w:val="006426B0"/>
    <w:rsid w:val="00642DA8"/>
    <w:rsid w:val="00646770"/>
    <w:rsid w:val="00652998"/>
    <w:rsid w:val="00654DBE"/>
    <w:rsid w:val="00656539"/>
    <w:rsid w:val="006572B1"/>
    <w:rsid w:val="00657B40"/>
    <w:rsid w:val="00661008"/>
    <w:rsid w:val="00661516"/>
    <w:rsid w:val="006640FA"/>
    <w:rsid w:val="00664B4B"/>
    <w:rsid w:val="00664D64"/>
    <w:rsid w:val="00670261"/>
    <w:rsid w:val="0067028B"/>
    <w:rsid w:val="00673294"/>
    <w:rsid w:val="00673CEC"/>
    <w:rsid w:val="00681302"/>
    <w:rsid w:val="00682DBC"/>
    <w:rsid w:val="00683B66"/>
    <w:rsid w:val="00684517"/>
    <w:rsid w:val="006903E8"/>
    <w:rsid w:val="00695310"/>
    <w:rsid w:val="00695790"/>
    <w:rsid w:val="0069659D"/>
    <w:rsid w:val="006967A9"/>
    <w:rsid w:val="00696FFA"/>
    <w:rsid w:val="00697B20"/>
    <w:rsid w:val="006A00B9"/>
    <w:rsid w:val="006A1CE9"/>
    <w:rsid w:val="006A381C"/>
    <w:rsid w:val="006A5F26"/>
    <w:rsid w:val="006A5F68"/>
    <w:rsid w:val="006A5FF7"/>
    <w:rsid w:val="006A7EB8"/>
    <w:rsid w:val="006B04F3"/>
    <w:rsid w:val="006B0B35"/>
    <w:rsid w:val="006B0B89"/>
    <w:rsid w:val="006B20E4"/>
    <w:rsid w:val="006B2670"/>
    <w:rsid w:val="006B273B"/>
    <w:rsid w:val="006B31E5"/>
    <w:rsid w:val="006B3941"/>
    <w:rsid w:val="006B3F87"/>
    <w:rsid w:val="006B4B95"/>
    <w:rsid w:val="006B6AB9"/>
    <w:rsid w:val="006B6EB8"/>
    <w:rsid w:val="006C00C4"/>
    <w:rsid w:val="006C0588"/>
    <w:rsid w:val="006C0855"/>
    <w:rsid w:val="006C1764"/>
    <w:rsid w:val="006C1D88"/>
    <w:rsid w:val="006C3352"/>
    <w:rsid w:val="006C4EDB"/>
    <w:rsid w:val="006C55F8"/>
    <w:rsid w:val="006C5EC5"/>
    <w:rsid w:val="006D0FED"/>
    <w:rsid w:val="006D2275"/>
    <w:rsid w:val="006D2A09"/>
    <w:rsid w:val="006D4385"/>
    <w:rsid w:val="006D4A0B"/>
    <w:rsid w:val="006D674B"/>
    <w:rsid w:val="006D6D7E"/>
    <w:rsid w:val="006D75DD"/>
    <w:rsid w:val="006E3873"/>
    <w:rsid w:val="006E4B17"/>
    <w:rsid w:val="006E4ED3"/>
    <w:rsid w:val="006E7A31"/>
    <w:rsid w:val="006E7A59"/>
    <w:rsid w:val="006F3F55"/>
    <w:rsid w:val="006F55CD"/>
    <w:rsid w:val="006F5967"/>
    <w:rsid w:val="006F5B67"/>
    <w:rsid w:val="006F6A75"/>
    <w:rsid w:val="006F7E36"/>
    <w:rsid w:val="0070128E"/>
    <w:rsid w:val="00702D5A"/>
    <w:rsid w:val="00702E5D"/>
    <w:rsid w:val="00703BE3"/>
    <w:rsid w:val="007042DC"/>
    <w:rsid w:val="00705392"/>
    <w:rsid w:val="00705530"/>
    <w:rsid w:val="00705AD4"/>
    <w:rsid w:val="0071407A"/>
    <w:rsid w:val="00714790"/>
    <w:rsid w:val="007160B3"/>
    <w:rsid w:val="00716864"/>
    <w:rsid w:val="00717101"/>
    <w:rsid w:val="007176BC"/>
    <w:rsid w:val="007238AD"/>
    <w:rsid w:val="007243DC"/>
    <w:rsid w:val="00726391"/>
    <w:rsid w:val="00727672"/>
    <w:rsid w:val="007305E4"/>
    <w:rsid w:val="00730B1D"/>
    <w:rsid w:val="00731AB3"/>
    <w:rsid w:val="00732131"/>
    <w:rsid w:val="0073325A"/>
    <w:rsid w:val="0074122D"/>
    <w:rsid w:val="00742331"/>
    <w:rsid w:val="00743C92"/>
    <w:rsid w:val="00744CBA"/>
    <w:rsid w:val="00744F5A"/>
    <w:rsid w:val="007471FB"/>
    <w:rsid w:val="00747F0F"/>
    <w:rsid w:val="0075026D"/>
    <w:rsid w:val="007527E0"/>
    <w:rsid w:val="007529D0"/>
    <w:rsid w:val="007529D4"/>
    <w:rsid w:val="007530A9"/>
    <w:rsid w:val="0075560E"/>
    <w:rsid w:val="007603EC"/>
    <w:rsid w:val="00760DFE"/>
    <w:rsid w:val="00760FA1"/>
    <w:rsid w:val="00765298"/>
    <w:rsid w:val="00765747"/>
    <w:rsid w:val="00770497"/>
    <w:rsid w:val="007717A0"/>
    <w:rsid w:val="00774C93"/>
    <w:rsid w:val="0077702A"/>
    <w:rsid w:val="00777531"/>
    <w:rsid w:val="00777C28"/>
    <w:rsid w:val="00780878"/>
    <w:rsid w:val="00783674"/>
    <w:rsid w:val="00784F17"/>
    <w:rsid w:val="007850B1"/>
    <w:rsid w:val="00786949"/>
    <w:rsid w:val="0079097A"/>
    <w:rsid w:val="0079098C"/>
    <w:rsid w:val="007914F1"/>
    <w:rsid w:val="00791C77"/>
    <w:rsid w:val="00792EEF"/>
    <w:rsid w:val="00794DCE"/>
    <w:rsid w:val="007A02EB"/>
    <w:rsid w:val="007A1896"/>
    <w:rsid w:val="007A2129"/>
    <w:rsid w:val="007A3B63"/>
    <w:rsid w:val="007A4C75"/>
    <w:rsid w:val="007A55D4"/>
    <w:rsid w:val="007A667C"/>
    <w:rsid w:val="007B0842"/>
    <w:rsid w:val="007B09B1"/>
    <w:rsid w:val="007B0E8C"/>
    <w:rsid w:val="007B4953"/>
    <w:rsid w:val="007B4A3F"/>
    <w:rsid w:val="007B4B93"/>
    <w:rsid w:val="007B53B6"/>
    <w:rsid w:val="007B53EE"/>
    <w:rsid w:val="007B5CD8"/>
    <w:rsid w:val="007B7061"/>
    <w:rsid w:val="007B7EB1"/>
    <w:rsid w:val="007C20E7"/>
    <w:rsid w:val="007C2B22"/>
    <w:rsid w:val="007C30A4"/>
    <w:rsid w:val="007C6690"/>
    <w:rsid w:val="007C773C"/>
    <w:rsid w:val="007D0C7C"/>
    <w:rsid w:val="007D113C"/>
    <w:rsid w:val="007D48A8"/>
    <w:rsid w:val="007D61FC"/>
    <w:rsid w:val="007D7A89"/>
    <w:rsid w:val="007E2EEE"/>
    <w:rsid w:val="007E429B"/>
    <w:rsid w:val="007E446D"/>
    <w:rsid w:val="007E5064"/>
    <w:rsid w:val="007F0A03"/>
    <w:rsid w:val="007F0DED"/>
    <w:rsid w:val="007F2311"/>
    <w:rsid w:val="007F40B8"/>
    <w:rsid w:val="007F4EE5"/>
    <w:rsid w:val="007F51BD"/>
    <w:rsid w:val="007F58A5"/>
    <w:rsid w:val="007F6733"/>
    <w:rsid w:val="007F7605"/>
    <w:rsid w:val="007F7A03"/>
    <w:rsid w:val="008020FF"/>
    <w:rsid w:val="00805EE5"/>
    <w:rsid w:val="00806EF3"/>
    <w:rsid w:val="00807D1C"/>
    <w:rsid w:val="0081084A"/>
    <w:rsid w:val="008123FE"/>
    <w:rsid w:val="00812F11"/>
    <w:rsid w:val="0081358F"/>
    <w:rsid w:val="0081488F"/>
    <w:rsid w:val="00814BD6"/>
    <w:rsid w:val="00814ED1"/>
    <w:rsid w:val="008169FC"/>
    <w:rsid w:val="00816C5D"/>
    <w:rsid w:val="00817137"/>
    <w:rsid w:val="008225C9"/>
    <w:rsid w:val="00823E69"/>
    <w:rsid w:val="008252E9"/>
    <w:rsid w:val="008265FB"/>
    <w:rsid w:val="0082757A"/>
    <w:rsid w:val="00827A76"/>
    <w:rsid w:val="00832AE5"/>
    <w:rsid w:val="00835DCE"/>
    <w:rsid w:val="00841767"/>
    <w:rsid w:val="00842ECF"/>
    <w:rsid w:val="00843DC0"/>
    <w:rsid w:val="00843EDC"/>
    <w:rsid w:val="00845012"/>
    <w:rsid w:val="00845388"/>
    <w:rsid w:val="00845781"/>
    <w:rsid w:val="0084696D"/>
    <w:rsid w:val="0084761D"/>
    <w:rsid w:val="008509C9"/>
    <w:rsid w:val="00850A33"/>
    <w:rsid w:val="00850EA8"/>
    <w:rsid w:val="00851EA9"/>
    <w:rsid w:val="00851FAC"/>
    <w:rsid w:val="00853801"/>
    <w:rsid w:val="0085502C"/>
    <w:rsid w:val="00856085"/>
    <w:rsid w:val="00856710"/>
    <w:rsid w:val="0085682F"/>
    <w:rsid w:val="00856911"/>
    <w:rsid w:val="008575F8"/>
    <w:rsid w:val="00860026"/>
    <w:rsid w:val="00860C3D"/>
    <w:rsid w:val="00863D30"/>
    <w:rsid w:val="00864279"/>
    <w:rsid w:val="00864E21"/>
    <w:rsid w:val="00865764"/>
    <w:rsid w:val="008657D8"/>
    <w:rsid w:val="00867788"/>
    <w:rsid w:val="00867ED9"/>
    <w:rsid w:val="0087100B"/>
    <w:rsid w:val="00872595"/>
    <w:rsid w:val="00872624"/>
    <w:rsid w:val="00873CF4"/>
    <w:rsid w:val="008765A7"/>
    <w:rsid w:val="00877905"/>
    <w:rsid w:val="00881922"/>
    <w:rsid w:val="00882263"/>
    <w:rsid w:val="008835DA"/>
    <w:rsid w:val="00883634"/>
    <w:rsid w:val="00884621"/>
    <w:rsid w:val="00884C00"/>
    <w:rsid w:val="00885524"/>
    <w:rsid w:val="0088571D"/>
    <w:rsid w:val="00885BE8"/>
    <w:rsid w:val="00886A9D"/>
    <w:rsid w:val="00886A9F"/>
    <w:rsid w:val="0089152D"/>
    <w:rsid w:val="00892EBD"/>
    <w:rsid w:val="00894D6C"/>
    <w:rsid w:val="00896357"/>
    <w:rsid w:val="0089664D"/>
    <w:rsid w:val="008966CB"/>
    <w:rsid w:val="00896829"/>
    <w:rsid w:val="008A2AEF"/>
    <w:rsid w:val="008A2FEB"/>
    <w:rsid w:val="008A439B"/>
    <w:rsid w:val="008A6CA6"/>
    <w:rsid w:val="008A75C7"/>
    <w:rsid w:val="008B2C27"/>
    <w:rsid w:val="008B32E0"/>
    <w:rsid w:val="008B354D"/>
    <w:rsid w:val="008B39A8"/>
    <w:rsid w:val="008B4F08"/>
    <w:rsid w:val="008B7C54"/>
    <w:rsid w:val="008C5967"/>
    <w:rsid w:val="008C7151"/>
    <w:rsid w:val="008D4258"/>
    <w:rsid w:val="008D466C"/>
    <w:rsid w:val="008D481E"/>
    <w:rsid w:val="008E27F3"/>
    <w:rsid w:val="008E3C38"/>
    <w:rsid w:val="008E57DD"/>
    <w:rsid w:val="008E5E8B"/>
    <w:rsid w:val="008E6560"/>
    <w:rsid w:val="008E6BBC"/>
    <w:rsid w:val="008E7680"/>
    <w:rsid w:val="008E7DFF"/>
    <w:rsid w:val="008F0BAD"/>
    <w:rsid w:val="008F1BD9"/>
    <w:rsid w:val="008F49ED"/>
    <w:rsid w:val="008F5040"/>
    <w:rsid w:val="0090105C"/>
    <w:rsid w:val="00902D98"/>
    <w:rsid w:val="00904C9D"/>
    <w:rsid w:val="00905182"/>
    <w:rsid w:val="00906BA1"/>
    <w:rsid w:val="0090705C"/>
    <w:rsid w:val="009120C8"/>
    <w:rsid w:val="009122F0"/>
    <w:rsid w:val="00913D86"/>
    <w:rsid w:val="00917AAA"/>
    <w:rsid w:val="0092007B"/>
    <w:rsid w:val="009227B8"/>
    <w:rsid w:val="00924BC6"/>
    <w:rsid w:val="0092671C"/>
    <w:rsid w:val="00926D84"/>
    <w:rsid w:val="0093325E"/>
    <w:rsid w:val="0093366A"/>
    <w:rsid w:val="009339F3"/>
    <w:rsid w:val="00936437"/>
    <w:rsid w:val="0094047F"/>
    <w:rsid w:val="00941ECA"/>
    <w:rsid w:val="00943D62"/>
    <w:rsid w:val="00944A80"/>
    <w:rsid w:val="00945BE9"/>
    <w:rsid w:val="00945C98"/>
    <w:rsid w:val="00946506"/>
    <w:rsid w:val="00950478"/>
    <w:rsid w:val="00951946"/>
    <w:rsid w:val="00952572"/>
    <w:rsid w:val="0095332D"/>
    <w:rsid w:val="00954A98"/>
    <w:rsid w:val="00955545"/>
    <w:rsid w:val="00955C5D"/>
    <w:rsid w:val="009603E8"/>
    <w:rsid w:val="00962103"/>
    <w:rsid w:val="009638E4"/>
    <w:rsid w:val="00963D43"/>
    <w:rsid w:val="00965439"/>
    <w:rsid w:val="009658C1"/>
    <w:rsid w:val="00965C4E"/>
    <w:rsid w:val="00965EA5"/>
    <w:rsid w:val="0096672A"/>
    <w:rsid w:val="00970525"/>
    <w:rsid w:val="00970B3F"/>
    <w:rsid w:val="00971914"/>
    <w:rsid w:val="00971E89"/>
    <w:rsid w:val="00974751"/>
    <w:rsid w:val="00976929"/>
    <w:rsid w:val="00980317"/>
    <w:rsid w:val="00984DF0"/>
    <w:rsid w:val="00984F0E"/>
    <w:rsid w:val="00990751"/>
    <w:rsid w:val="00990902"/>
    <w:rsid w:val="00992BA4"/>
    <w:rsid w:val="0099328A"/>
    <w:rsid w:val="00993BA3"/>
    <w:rsid w:val="0099496D"/>
    <w:rsid w:val="00996984"/>
    <w:rsid w:val="009979E4"/>
    <w:rsid w:val="009A1CD7"/>
    <w:rsid w:val="009A2A81"/>
    <w:rsid w:val="009A35D8"/>
    <w:rsid w:val="009A3A96"/>
    <w:rsid w:val="009A3C89"/>
    <w:rsid w:val="009A4A80"/>
    <w:rsid w:val="009A5AD8"/>
    <w:rsid w:val="009A64C7"/>
    <w:rsid w:val="009A71B3"/>
    <w:rsid w:val="009A788A"/>
    <w:rsid w:val="009B03A3"/>
    <w:rsid w:val="009B2E49"/>
    <w:rsid w:val="009B35F0"/>
    <w:rsid w:val="009B4922"/>
    <w:rsid w:val="009B4D22"/>
    <w:rsid w:val="009B77DA"/>
    <w:rsid w:val="009C11D6"/>
    <w:rsid w:val="009C240B"/>
    <w:rsid w:val="009C2E09"/>
    <w:rsid w:val="009C3B6D"/>
    <w:rsid w:val="009C43E6"/>
    <w:rsid w:val="009C4439"/>
    <w:rsid w:val="009C63E6"/>
    <w:rsid w:val="009C6F0A"/>
    <w:rsid w:val="009D0260"/>
    <w:rsid w:val="009D0397"/>
    <w:rsid w:val="009D04ED"/>
    <w:rsid w:val="009D0EB1"/>
    <w:rsid w:val="009D2660"/>
    <w:rsid w:val="009D3B7A"/>
    <w:rsid w:val="009D4F56"/>
    <w:rsid w:val="009D5ECE"/>
    <w:rsid w:val="009D7337"/>
    <w:rsid w:val="009E13A8"/>
    <w:rsid w:val="009E3951"/>
    <w:rsid w:val="009E3CA3"/>
    <w:rsid w:val="009E7369"/>
    <w:rsid w:val="009F0C87"/>
    <w:rsid w:val="009F10A9"/>
    <w:rsid w:val="009F3AFA"/>
    <w:rsid w:val="009F5D71"/>
    <w:rsid w:val="00A03459"/>
    <w:rsid w:val="00A04C8F"/>
    <w:rsid w:val="00A06AB8"/>
    <w:rsid w:val="00A07C2F"/>
    <w:rsid w:val="00A10FE1"/>
    <w:rsid w:val="00A11F0F"/>
    <w:rsid w:val="00A13C9E"/>
    <w:rsid w:val="00A14236"/>
    <w:rsid w:val="00A150C3"/>
    <w:rsid w:val="00A21D32"/>
    <w:rsid w:val="00A24B00"/>
    <w:rsid w:val="00A24C7B"/>
    <w:rsid w:val="00A2595A"/>
    <w:rsid w:val="00A26360"/>
    <w:rsid w:val="00A2643E"/>
    <w:rsid w:val="00A26586"/>
    <w:rsid w:val="00A26F4A"/>
    <w:rsid w:val="00A27ED9"/>
    <w:rsid w:val="00A3050B"/>
    <w:rsid w:val="00A32D5F"/>
    <w:rsid w:val="00A357B9"/>
    <w:rsid w:val="00A41279"/>
    <w:rsid w:val="00A41E44"/>
    <w:rsid w:val="00A42B0F"/>
    <w:rsid w:val="00A454CD"/>
    <w:rsid w:val="00A46586"/>
    <w:rsid w:val="00A47F18"/>
    <w:rsid w:val="00A50025"/>
    <w:rsid w:val="00A512EB"/>
    <w:rsid w:val="00A53C35"/>
    <w:rsid w:val="00A54508"/>
    <w:rsid w:val="00A54625"/>
    <w:rsid w:val="00A60709"/>
    <w:rsid w:val="00A61807"/>
    <w:rsid w:val="00A61819"/>
    <w:rsid w:val="00A61936"/>
    <w:rsid w:val="00A65891"/>
    <w:rsid w:val="00A66950"/>
    <w:rsid w:val="00A66FA0"/>
    <w:rsid w:val="00A72DE0"/>
    <w:rsid w:val="00A7483F"/>
    <w:rsid w:val="00A76F8A"/>
    <w:rsid w:val="00A8283C"/>
    <w:rsid w:val="00A8347B"/>
    <w:rsid w:val="00A87175"/>
    <w:rsid w:val="00A93190"/>
    <w:rsid w:val="00A950E0"/>
    <w:rsid w:val="00A9532F"/>
    <w:rsid w:val="00A9619F"/>
    <w:rsid w:val="00A97939"/>
    <w:rsid w:val="00A97E58"/>
    <w:rsid w:val="00AA06B5"/>
    <w:rsid w:val="00AA1CB1"/>
    <w:rsid w:val="00AA4624"/>
    <w:rsid w:val="00AA474F"/>
    <w:rsid w:val="00AA5293"/>
    <w:rsid w:val="00AA6A6F"/>
    <w:rsid w:val="00AA6D84"/>
    <w:rsid w:val="00AB0A8E"/>
    <w:rsid w:val="00AB0D84"/>
    <w:rsid w:val="00AB0FD2"/>
    <w:rsid w:val="00AB23A6"/>
    <w:rsid w:val="00AB24FD"/>
    <w:rsid w:val="00AB2B62"/>
    <w:rsid w:val="00AB3DDB"/>
    <w:rsid w:val="00AB45D3"/>
    <w:rsid w:val="00AB4C4C"/>
    <w:rsid w:val="00AB4F57"/>
    <w:rsid w:val="00AB60A6"/>
    <w:rsid w:val="00AB6CB2"/>
    <w:rsid w:val="00AB70F3"/>
    <w:rsid w:val="00AB77BF"/>
    <w:rsid w:val="00AC0728"/>
    <w:rsid w:val="00AC0A1F"/>
    <w:rsid w:val="00AC22B6"/>
    <w:rsid w:val="00AC3D5A"/>
    <w:rsid w:val="00AC42EF"/>
    <w:rsid w:val="00AC4EBF"/>
    <w:rsid w:val="00AC59FC"/>
    <w:rsid w:val="00AC66D2"/>
    <w:rsid w:val="00AD01B3"/>
    <w:rsid w:val="00AD2492"/>
    <w:rsid w:val="00AD3B33"/>
    <w:rsid w:val="00AD3BFC"/>
    <w:rsid w:val="00AD5B45"/>
    <w:rsid w:val="00AD71D4"/>
    <w:rsid w:val="00AD752C"/>
    <w:rsid w:val="00AE117E"/>
    <w:rsid w:val="00AE203F"/>
    <w:rsid w:val="00AE45FC"/>
    <w:rsid w:val="00AE53A3"/>
    <w:rsid w:val="00AE790B"/>
    <w:rsid w:val="00AF1494"/>
    <w:rsid w:val="00AF19AF"/>
    <w:rsid w:val="00AF2479"/>
    <w:rsid w:val="00AF2B0B"/>
    <w:rsid w:val="00AF38DC"/>
    <w:rsid w:val="00AF4662"/>
    <w:rsid w:val="00AF63C3"/>
    <w:rsid w:val="00AF6BCF"/>
    <w:rsid w:val="00B00C2A"/>
    <w:rsid w:val="00B015E6"/>
    <w:rsid w:val="00B0201A"/>
    <w:rsid w:val="00B0582D"/>
    <w:rsid w:val="00B13295"/>
    <w:rsid w:val="00B13D3F"/>
    <w:rsid w:val="00B17375"/>
    <w:rsid w:val="00B1768D"/>
    <w:rsid w:val="00B2450F"/>
    <w:rsid w:val="00B24533"/>
    <w:rsid w:val="00B24E17"/>
    <w:rsid w:val="00B251F8"/>
    <w:rsid w:val="00B27B9F"/>
    <w:rsid w:val="00B27C5D"/>
    <w:rsid w:val="00B3112A"/>
    <w:rsid w:val="00B32252"/>
    <w:rsid w:val="00B339AE"/>
    <w:rsid w:val="00B36107"/>
    <w:rsid w:val="00B37EA5"/>
    <w:rsid w:val="00B40055"/>
    <w:rsid w:val="00B41947"/>
    <w:rsid w:val="00B4206C"/>
    <w:rsid w:val="00B4289B"/>
    <w:rsid w:val="00B45F80"/>
    <w:rsid w:val="00B47C68"/>
    <w:rsid w:val="00B51825"/>
    <w:rsid w:val="00B51C11"/>
    <w:rsid w:val="00B53EC2"/>
    <w:rsid w:val="00B54B48"/>
    <w:rsid w:val="00B54B6D"/>
    <w:rsid w:val="00B561E9"/>
    <w:rsid w:val="00B563B8"/>
    <w:rsid w:val="00B56DF5"/>
    <w:rsid w:val="00B650B1"/>
    <w:rsid w:val="00B650BF"/>
    <w:rsid w:val="00B65909"/>
    <w:rsid w:val="00B6739D"/>
    <w:rsid w:val="00B676B1"/>
    <w:rsid w:val="00B71980"/>
    <w:rsid w:val="00B71D76"/>
    <w:rsid w:val="00B72229"/>
    <w:rsid w:val="00B73A9C"/>
    <w:rsid w:val="00B75DC8"/>
    <w:rsid w:val="00B762D1"/>
    <w:rsid w:val="00B76352"/>
    <w:rsid w:val="00B768E9"/>
    <w:rsid w:val="00B7715E"/>
    <w:rsid w:val="00B809F4"/>
    <w:rsid w:val="00B8167A"/>
    <w:rsid w:val="00B83AA8"/>
    <w:rsid w:val="00B877BB"/>
    <w:rsid w:val="00B9016C"/>
    <w:rsid w:val="00B91C20"/>
    <w:rsid w:val="00B95359"/>
    <w:rsid w:val="00B967E3"/>
    <w:rsid w:val="00B974CB"/>
    <w:rsid w:val="00B9791B"/>
    <w:rsid w:val="00BA1437"/>
    <w:rsid w:val="00BA17A4"/>
    <w:rsid w:val="00BA352D"/>
    <w:rsid w:val="00BA3D62"/>
    <w:rsid w:val="00BA3D93"/>
    <w:rsid w:val="00BA47DD"/>
    <w:rsid w:val="00BA483B"/>
    <w:rsid w:val="00BA5D9B"/>
    <w:rsid w:val="00BA776D"/>
    <w:rsid w:val="00BA7EFA"/>
    <w:rsid w:val="00BB2059"/>
    <w:rsid w:val="00BB3161"/>
    <w:rsid w:val="00BB34BB"/>
    <w:rsid w:val="00BB6794"/>
    <w:rsid w:val="00BC101E"/>
    <w:rsid w:val="00BC26EC"/>
    <w:rsid w:val="00BC3C03"/>
    <w:rsid w:val="00BC60FF"/>
    <w:rsid w:val="00BC7CFB"/>
    <w:rsid w:val="00BD0F49"/>
    <w:rsid w:val="00BD1073"/>
    <w:rsid w:val="00BD3648"/>
    <w:rsid w:val="00BD5EBB"/>
    <w:rsid w:val="00BE0495"/>
    <w:rsid w:val="00BE054F"/>
    <w:rsid w:val="00BE22AA"/>
    <w:rsid w:val="00BE3C33"/>
    <w:rsid w:val="00BE5552"/>
    <w:rsid w:val="00BE63FD"/>
    <w:rsid w:val="00BE6586"/>
    <w:rsid w:val="00BE691B"/>
    <w:rsid w:val="00BE6A6C"/>
    <w:rsid w:val="00BE7960"/>
    <w:rsid w:val="00BF0068"/>
    <w:rsid w:val="00BF0BCC"/>
    <w:rsid w:val="00BF0F77"/>
    <w:rsid w:val="00BF1E84"/>
    <w:rsid w:val="00BF5939"/>
    <w:rsid w:val="00BF5A78"/>
    <w:rsid w:val="00BF5B1B"/>
    <w:rsid w:val="00BF5BD6"/>
    <w:rsid w:val="00C04869"/>
    <w:rsid w:val="00C05D08"/>
    <w:rsid w:val="00C05FD1"/>
    <w:rsid w:val="00C07C36"/>
    <w:rsid w:val="00C07E4D"/>
    <w:rsid w:val="00C1028B"/>
    <w:rsid w:val="00C109ED"/>
    <w:rsid w:val="00C10B90"/>
    <w:rsid w:val="00C1160D"/>
    <w:rsid w:val="00C12264"/>
    <w:rsid w:val="00C1246C"/>
    <w:rsid w:val="00C12C23"/>
    <w:rsid w:val="00C13A8B"/>
    <w:rsid w:val="00C1408A"/>
    <w:rsid w:val="00C14F79"/>
    <w:rsid w:val="00C164EE"/>
    <w:rsid w:val="00C16916"/>
    <w:rsid w:val="00C17D8E"/>
    <w:rsid w:val="00C20720"/>
    <w:rsid w:val="00C219DA"/>
    <w:rsid w:val="00C23C68"/>
    <w:rsid w:val="00C23F01"/>
    <w:rsid w:val="00C24714"/>
    <w:rsid w:val="00C251FE"/>
    <w:rsid w:val="00C263B9"/>
    <w:rsid w:val="00C27AF9"/>
    <w:rsid w:val="00C27C2C"/>
    <w:rsid w:val="00C32151"/>
    <w:rsid w:val="00C351F2"/>
    <w:rsid w:val="00C35692"/>
    <w:rsid w:val="00C37DF4"/>
    <w:rsid w:val="00C419E1"/>
    <w:rsid w:val="00C41A0E"/>
    <w:rsid w:val="00C44996"/>
    <w:rsid w:val="00C45FE5"/>
    <w:rsid w:val="00C46BE6"/>
    <w:rsid w:val="00C51ADE"/>
    <w:rsid w:val="00C54044"/>
    <w:rsid w:val="00C5497E"/>
    <w:rsid w:val="00C553E4"/>
    <w:rsid w:val="00C56AF2"/>
    <w:rsid w:val="00C56CFD"/>
    <w:rsid w:val="00C60558"/>
    <w:rsid w:val="00C6231B"/>
    <w:rsid w:val="00C63FC3"/>
    <w:rsid w:val="00C66267"/>
    <w:rsid w:val="00C66EC5"/>
    <w:rsid w:val="00C6741D"/>
    <w:rsid w:val="00C70011"/>
    <w:rsid w:val="00C711AB"/>
    <w:rsid w:val="00C71D04"/>
    <w:rsid w:val="00C7218F"/>
    <w:rsid w:val="00C73875"/>
    <w:rsid w:val="00C7464A"/>
    <w:rsid w:val="00C75D79"/>
    <w:rsid w:val="00C76672"/>
    <w:rsid w:val="00C76846"/>
    <w:rsid w:val="00C77397"/>
    <w:rsid w:val="00C77D7F"/>
    <w:rsid w:val="00C8281F"/>
    <w:rsid w:val="00C84CA0"/>
    <w:rsid w:val="00C85F36"/>
    <w:rsid w:val="00C86BEB"/>
    <w:rsid w:val="00C92804"/>
    <w:rsid w:val="00C93732"/>
    <w:rsid w:val="00C937AB"/>
    <w:rsid w:val="00C94736"/>
    <w:rsid w:val="00C94D94"/>
    <w:rsid w:val="00C95F7F"/>
    <w:rsid w:val="00C96AE3"/>
    <w:rsid w:val="00CA0D1B"/>
    <w:rsid w:val="00CA3FD5"/>
    <w:rsid w:val="00CA6257"/>
    <w:rsid w:val="00CB0717"/>
    <w:rsid w:val="00CB1314"/>
    <w:rsid w:val="00CB2D48"/>
    <w:rsid w:val="00CB4BDB"/>
    <w:rsid w:val="00CB7B9D"/>
    <w:rsid w:val="00CB7D89"/>
    <w:rsid w:val="00CC046E"/>
    <w:rsid w:val="00CC076C"/>
    <w:rsid w:val="00CC272A"/>
    <w:rsid w:val="00CC2CC3"/>
    <w:rsid w:val="00CD0E67"/>
    <w:rsid w:val="00CD3451"/>
    <w:rsid w:val="00CD79B3"/>
    <w:rsid w:val="00CE0C16"/>
    <w:rsid w:val="00CE18FC"/>
    <w:rsid w:val="00CE4013"/>
    <w:rsid w:val="00CE438C"/>
    <w:rsid w:val="00CE440B"/>
    <w:rsid w:val="00CE489D"/>
    <w:rsid w:val="00CE5775"/>
    <w:rsid w:val="00CE7462"/>
    <w:rsid w:val="00CF0A67"/>
    <w:rsid w:val="00CF191C"/>
    <w:rsid w:val="00CF19CA"/>
    <w:rsid w:val="00CF205C"/>
    <w:rsid w:val="00CF2EE2"/>
    <w:rsid w:val="00CF7AA9"/>
    <w:rsid w:val="00CF7EF0"/>
    <w:rsid w:val="00D007EA"/>
    <w:rsid w:val="00D01935"/>
    <w:rsid w:val="00D02699"/>
    <w:rsid w:val="00D029A0"/>
    <w:rsid w:val="00D02F00"/>
    <w:rsid w:val="00D039B3"/>
    <w:rsid w:val="00D101C7"/>
    <w:rsid w:val="00D110E6"/>
    <w:rsid w:val="00D11FB2"/>
    <w:rsid w:val="00D150D5"/>
    <w:rsid w:val="00D15A47"/>
    <w:rsid w:val="00D1695E"/>
    <w:rsid w:val="00D17AC8"/>
    <w:rsid w:val="00D20D9C"/>
    <w:rsid w:val="00D20E7A"/>
    <w:rsid w:val="00D20F44"/>
    <w:rsid w:val="00D22049"/>
    <w:rsid w:val="00D22D51"/>
    <w:rsid w:val="00D239C4"/>
    <w:rsid w:val="00D25C41"/>
    <w:rsid w:val="00D260B6"/>
    <w:rsid w:val="00D26BED"/>
    <w:rsid w:val="00D3020B"/>
    <w:rsid w:val="00D3520D"/>
    <w:rsid w:val="00D3535C"/>
    <w:rsid w:val="00D35ABF"/>
    <w:rsid w:val="00D361BB"/>
    <w:rsid w:val="00D41B4B"/>
    <w:rsid w:val="00D46CDB"/>
    <w:rsid w:val="00D47DB4"/>
    <w:rsid w:val="00D50D51"/>
    <w:rsid w:val="00D510B6"/>
    <w:rsid w:val="00D53FBB"/>
    <w:rsid w:val="00D54134"/>
    <w:rsid w:val="00D57E91"/>
    <w:rsid w:val="00D6095C"/>
    <w:rsid w:val="00D62DBF"/>
    <w:rsid w:val="00D63471"/>
    <w:rsid w:val="00D65C16"/>
    <w:rsid w:val="00D6771B"/>
    <w:rsid w:val="00D6783E"/>
    <w:rsid w:val="00D7036D"/>
    <w:rsid w:val="00D709F8"/>
    <w:rsid w:val="00D70B10"/>
    <w:rsid w:val="00D73728"/>
    <w:rsid w:val="00D7381A"/>
    <w:rsid w:val="00D73B6D"/>
    <w:rsid w:val="00D73C54"/>
    <w:rsid w:val="00D750DF"/>
    <w:rsid w:val="00D756A8"/>
    <w:rsid w:val="00D762A6"/>
    <w:rsid w:val="00D76529"/>
    <w:rsid w:val="00D77106"/>
    <w:rsid w:val="00D777D4"/>
    <w:rsid w:val="00D77F6F"/>
    <w:rsid w:val="00D81B72"/>
    <w:rsid w:val="00D831B5"/>
    <w:rsid w:val="00D84DB9"/>
    <w:rsid w:val="00D86115"/>
    <w:rsid w:val="00D91196"/>
    <w:rsid w:val="00D92155"/>
    <w:rsid w:val="00D954BB"/>
    <w:rsid w:val="00D9558B"/>
    <w:rsid w:val="00D96B1C"/>
    <w:rsid w:val="00D96CA2"/>
    <w:rsid w:val="00DA080A"/>
    <w:rsid w:val="00DA0A18"/>
    <w:rsid w:val="00DA2B4A"/>
    <w:rsid w:val="00DA343C"/>
    <w:rsid w:val="00DA3862"/>
    <w:rsid w:val="00DA503F"/>
    <w:rsid w:val="00DA5D81"/>
    <w:rsid w:val="00DA6396"/>
    <w:rsid w:val="00DA6E11"/>
    <w:rsid w:val="00DA6E13"/>
    <w:rsid w:val="00DB134A"/>
    <w:rsid w:val="00DB2043"/>
    <w:rsid w:val="00DB7540"/>
    <w:rsid w:val="00DC017A"/>
    <w:rsid w:val="00DC0662"/>
    <w:rsid w:val="00DC1195"/>
    <w:rsid w:val="00DC1584"/>
    <w:rsid w:val="00DC5159"/>
    <w:rsid w:val="00DD4B76"/>
    <w:rsid w:val="00DE1C39"/>
    <w:rsid w:val="00DE246E"/>
    <w:rsid w:val="00DE33E2"/>
    <w:rsid w:val="00DE43CD"/>
    <w:rsid w:val="00DE471F"/>
    <w:rsid w:val="00DE6079"/>
    <w:rsid w:val="00DE762B"/>
    <w:rsid w:val="00DE7E81"/>
    <w:rsid w:val="00DF24E6"/>
    <w:rsid w:val="00DF4671"/>
    <w:rsid w:val="00DF4A27"/>
    <w:rsid w:val="00DF61DC"/>
    <w:rsid w:val="00DF6BE7"/>
    <w:rsid w:val="00E0379A"/>
    <w:rsid w:val="00E04F24"/>
    <w:rsid w:val="00E05510"/>
    <w:rsid w:val="00E067CE"/>
    <w:rsid w:val="00E125A5"/>
    <w:rsid w:val="00E12A55"/>
    <w:rsid w:val="00E1338E"/>
    <w:rsid w:val="00E1642C"/>
    <w:rsid w:val="00E169D2"/>
    <w:rsid w:val="00E22060"/>
    <w:rsid w:val="00E247B1"/>
    <w:rsid w:val="00E2502D"/>
    <w:rsid w:val="00E26707"/>
    <w:rsid w:val="00E31E74"/>
    <w:rsid w:val="00E333A8"/>
    <w:rsid w:val="00E34E51"/>
    <w:rsid w:val="00E36237"/>
    <w:rsid w:val="00E372A2"/>
    <w:rsid w:val="00E411D5"/>
    <w:rsid w:val="00E439C5"/>
    <w:rsid w:val="00E45E45"/>
    <w:rsid w:val="00E4658E"/>
    <w:rsid w:val="00E47914"/>
    <w:rsid w:val="00E515F8"/>
    <w:rsid w:val="00E56DA1"/>
    <w:rsid w:val="00E602BD"/>
    <w:rsid w:val="00E615F5"/>
    <w:rsid w:val="00E61D68"/>
    <w:rsid w:val="00E625D8"/>
    <w:rsid w:val="00E6487B"/>
    <w:rsid w:val="00E672B9"/>
    <w:rsid w:val="00E67D41"/>
    <w:rsid w:val="00E716EB"/>
    <w:rsid w:val="00E71F53"/>
    <w:rsid w:val="00E72235"/>
    <w:rsid w:val="00E72A90"/>
    <w:rsid w:val="00E73E65"/>
    <w:rsid w:val="00E76F0B"/>
    <w:rsid w:val="00E80AF3"/>
    <w:rsid w:val="00E82142"/>
    <w:rsid w:val="00E8464D"/>
    <w:rsid w:val="00E855F5"/>
    <w:rsid w:val="00E85D1E"/>
    <w:rsid w:val="00E864F6"/>
    <w:rsid w:val="00E87CC9"/>
    <w:rsid w:val="00E9714C"/>
    <w:rsid w:val="00EA00F1"/>
    <w:rsid w:val="00EA00F9"/>
    <w:rsid w:val="00EA0B58"/>
    <w:rsid w:val="00EA24BF"/>
    <w:rsid w:val="00EA434A"/>
    <w:rsid w:val="00EA5565"/>
    <w:rsid w:val="00EB0075"/>
    <w:rsid w:val="00EB2FCA"/>
    <w:rsid w:val="00EB3083"/>
    <w:rsid w:val="00EB5631"/>
    <w:rsid w:val="00EB5B27"/>
    <w:rsid w:val="00EB6268"/>
    <w:rsid w:val="00EB69B7"/>
    <w:rsid w:val="00EB73FE"/>
    <w:rsid w:val="00EB7948"/>
    <w:rsid w:val="00EC2A07"/>
    <w:rsid w:val="00EC3A14"/>
    <w:rsid w:val="00EC3DEC"/>
    <w:rsid w:val="00EC4B6E"/>
    <w:rsid w:val="00EC582B"/>
    <w:rsid w:val="00EC63C4"/>
    <w:rsid w:val="00EC66F3"/>
    <w:rsid w:val="00EC7E35"/>
    <w:rsid w:val="00ED0F2F"/>
    <w:rsid w:val="00ED1104"/>
    <w:rsid w:val="00ED1F86"/>
    <w:rsid w:val="00ED3311"/>
    <w:rsid w:val="00ED389D"/>
    <w:rsid w:val="00ED43F7"/>
    <w:rsid w:val="00ED5883"/>
    <w:rsid w:val="00ED6FE4"/>
    <w:rsid w:val="00EE0197"/>
    <w:rsid w:val="00EE057A"/>
    <w:rsid w:val="00EE1A33"/>
    <w:rsid w:val="00EE35D9"/>
    <w:rsid w:val="00EE590C"/>
    <w:rsid w:val="00EE749B"/>
    <w:rsid w:val="00EE785C"/>
    <w:rsid w:val="00EE7A71"/>
    <w:rsid w:val="00EF1225"/>
    <w:rsid w:val="00EF1AFF"/>
    <w:rsid w:val="00EF2318"/>
    <w:rsid w:val="00EF2B9C"/>
    <w:rsid w:val="00EF3A18"/>
    <w:rsid w:val="00EF3EAC"/>
    <w:rsid w:val="00EF41FE"/>
    <w:rsid w:val="00EF517A"/>
    <w:rsid w:val="00EF6964"/>
    <w:rsid w:val="00EF712F"/>
    <w:rsid w:val="00EF71BD"/>
    <w:rsid w:val="00F00E9F"/>
    <w:rsid w:val="00F0212E"/>
    <w:rsid w:val="00F02FB9"/>
    <w:rsid w:val="00F03977"/>
    <w:rsid w:val="00F04F8C"/>
    <w:rsid w:val="00F056E8"/>
    <w:rsid w:val="00F05E2B"/>
    <w:rsid w:val="00F11C72"/>
    <w:rsid w:val="00F12B2D"/>
    <w:rsid w:val="00F130D2"/>
    <w:rsid w:val="00F142C5"/>
    <w:rsid w:val="00F16F95"/>
    <w:rsid w:val="00F21B60"/>
    <w:rsid w:val="00F23D6C"/>
    <w:rsid w:val="00F249BA"/>
    <w:rsid w:val="00F24E1B"/>
    <w:rsid w:val="00F26C6A"/>
    <w:rsid w:val="00F30990"/>
    <w:rsid w:val="00F331D6"/>
    <w:rsid w:val="00F364DB"/>
    <w:rsid w:val="00F37126"/>
    <w:rsid w:val="00F37F12"/>
    <w:rsid w:val="00F40508"/>
    <w:rsid w:val="00F41073"/>
    <w:rsid w:val="00F412F6"/>
    <w:rsid w:val="00F415E8"/>
    <w:rsid w:val="00F42397"/>
    <w:rsid w:val="00F43F03"/>
    <w:rsid w:val="00F478EC"/>
    <w:rsid w:val="00F51C73"/>
    <w:rsid w:val="00F539D8"/>
    <w:rsid w:val="00F53A27"/>
    <w:rsid w:val="00F53BF2"/>
    <w:rsid w:val="00F55E4A"/>
    <w:rsid w:val="00F56330"/>
    <w:rsid w:val="00F56EC5"/>
    <w:rsid w:val="00F57BE9"/>
    <w:rsid w:val="00F60D42"/>
    <w:rsid w:val="00F60FE2"/>
    <w:rsid w:val="00F61656"/>
    <w:rsid w:val="00F61688"/>
    <w:rsid w:val="00F64813"/>
    <w:rsid w:val="00F65B38"/>
    <w:rsid w:val="00F7201E"/>
    <w:rsid w:val="00F721C6"/>
    <w:rsid w:val="00F743A4"/>
    <w:rsid w:val="00F831DD"/>
    <w:rsid w:val="00F85263"/>
    <w:rsid w:val="00F90A12"/>
    <w:rsid w:val="00F91A6B"/>
    <w:rsid w:val="00F92779"/>
    <w:rsid w:val="00F92AFE"/>
    <w:rsid w:val="00F932C3"/>
    <w:rsid w:val="00F95FED"/>
    <w:rsid w:val="00F97103"/>
    <w:rsid w:val="00F971CC"/>
    <w:rsid w:val="00F9759D"/>
    <w:rsid w:val="00FA0D9B"/>
    <w:rsid w:val="00FA2E73"/>
    <w:rsid w:val="00FA30C1"/>
    <w:rsid w:val="00FA5D6C"/>
    <w:rsid w:val="00FA603E"/>
    <w:rsid w:val="00FA618E"/>
    <w:rsid w:val="00FA62D2"/>
    <w:rsid w:val="00FA6A03"/>
    <w:rsid w:val="00FB06E6"/>
    <w:rsid w:val="00FB1092"/>
    <w:rsid w:val="00FB1CAB"/>
    <w:rsid w:val="00FB224D"/>
    <w:rsid w:val="00FB3094"/>
    <w:rsid w:val="00FB3C77"/>
    <w:rsid w:val="00FB6618"/>
    <w:rsid w:val="00FC067E"/>
    <w:rsid w:val="00FC07DF"/>
    <w:rsid w:val="00FC0AA2"/>
    <w:rsid w:val="00FC0EE4"/>
    <w:rsid w:val="00FC1846"/>
    <w:rsid w:val="00FC1B8B"/>
    <w:rsid w:val="00FC30EC"/>
    <w:rsid w:val="00FC5EBB"/>
    <w:rsid w:val="00FC695B"/>
    <w:rsid w:val="00FD18B8"/>
    <w:rsid w:val="00FD3528"/>
    <w:rsid w:val="00FD3CEA"/>
    <w:rsid w:val="00FD4A3E"/>
    <w:rsid w:val="00FD6F35"/>
    <w:rsid w:val="00FE1419"/>
    <w:rsid w:val="00FE1EB2"/>
    <w:rsid w:val="00FE3AE2"/>
    <w:rsid w:val="00FE4021"/>
    <w:rsid w:val="00FE489B"/>
    <w:rsid w:val="00FE4B79"/>
    <w:rsid w:val="00FE54E6"/>
    <w:rsid w:val="00FE6128"/>
    <w:rsid w:val="00FE6934"/>
    <w:rsid w:val="00FE6D41"/>
    <w:rsid w:val="00FF11C8"/>
    <w:rsid w:val="00FF11F7"/>
    <w:rsid w:val="00FF1855"/>
    <w:rsid w:val="00FF262A"/>
    <w:rsid w:val="00FF27CB"/>
    <w:rsid w:val="00FF3636"/>
    <w:rsid w:val="00FF3FC6"/>
    <w:rsid w:val="00FF539A"/>
    <w:rsid w:val="00FF58F5"/>
    <w:rsid w:val="00FF5914"/>
    <w:rsid w:val="00FF5BB8"/>
    <w:rsid w:val="00FF63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372"/>
    <w:rPr>
      <w:sz w:val="24"/>
      <w:szCs w:val="24"/>
    </w:rPr>
  </w:style>
  <w:style w:type="paragraph" w:styleId="Heading1">
    <w:name w:val="heading 1"/>
    <w:basedOn w:val="Normal"/>
    <w:next w:val="Normal"/>
    <w:qFormat/>
    <w:rsid w:val="00F03977"/>
    <w:pPr>
      <w:spacing w:line="360" w:lineRule="auto"/>
      <w:jc w:val="center"/>
      <w:outlineLvl w:val="0"/>
    </w:pPr>
    <w:rPr>
      <w:b/>
      <w:sz w:val="26"/>
    </w:rPr>
  </w:style>
  <w:style w:type="paragraph" w:styleId="Heading2">
    <w:name w:val="heading 2"/>
    <w:basedOn w:val="Normal"/>
    <w:next w:val="Normal"/>
    <w:qFormat/>
    <w:rsid w:val="00F03977"/>
    <w:pPr>
      <w:widowControl w:val="0"/>
      <w:spacing w:before="240" w:after="60"/>
      <w:outlineLvl w:val="1"/>
    </w:pPr>
    <w:rPr>
      <w:b/>
      <w:bCs/>
      <w:iCs/>
      <w:sz w:val="26"/>
    </w:rPr>
  </w:style>
  <w:style w:type="paragraph" w:styleId="Heading3">
    <w:name w:val="heading 3"/>
    <w:basedOn w:val="Normal"/>
    <w:next w:val="Normal"/>
    <w:qFormat/>
    <w:rsid w:val="00AB6CB2"/>
    <w:pPr>
      <w:ind w:firstLine="720"/>
      <w:outlineLvl w:val="2"/>
    </w:pPr>
    <w:rPr>
      <w:b/>
      <w:sz w:val="26"/>
      <w:szCs w:val="26"/>
    </w:rPr>
  </w:style>
  <w:style w:type="paragraph" w:styleId="Heading4">
    <w:name w:val="heading 4"/>
    <w:basedOn w:val="Normal"/>
    <w:next w:val="Normal"/>
    <w:qFormat/>
    <w:rsid w:val="00CF205C"/>
    <w:pPr>
      <w:ind w:left="2160" w:hanging="720"/>
      <w:outlineLvl w:val="3"/>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A2372"/>
    <w:pPr>
      <w:widowControl w:val="0"/>
      <w:tabs>
        <w:tab w:val="left" w:pos="-720"/>
      </w:tabs>
      <w:suppressAutoHyphens/>
      <w:jc w:val="both"/>
    </w:pPr>
    <w:rPr>
      <w:rFonts w:ascii="Courier" w:hAnsi="Courier"/>
      <w:snapToGrid w:val="0"/>
      <w:spacing w:val="-3"/>
      <w:szCs w:val="20"/>
    </w:rPr>
  </w:style>
  <w:style w:type="paragraph" w:customStyle="1" w:styleId="WBBlockText">
    <w:name w:val="WB Block Text"/>
    <w:aliases w:val="BT"/>
    <w:basedOn w:val="Normal"/>
    <w:rsid w:val="005A2372"/>
    <w:pPr>
      <w:spacing w:after="240"/>
    </w:pPr>
  </w:style>
  <w:style w:type="paragraph" w:styleId="FootnoteText">
    <w:name w:val="footnote text"/>
    <w:basedOn w:val="Normal"/>
    <w:link w:val="FootnoteTextChar"/>
    <w:semiHidden/>
    <w:rsid w:val="005A2372"/>
    <w:rPr>
      <w:sz w:val="20"/>
      <w:szCs w:val="20"/>
    </w:rPr>
  </w:style>
  <w:style w:type="character" w:styleId="FootnoteReference">
    <w:name w:val="footnote reference"/>
    <w:basedOn w:val="DefaultParagraphFont"/>
    <w:semiHidden/>
    <w:rsid w:val="005A2372"/>
    <w:rPr>
      <w:vertAlign w:val="superscript"/>
    </w:rPr>
  </w:style>
  <w:style w:type="character" w:styleId="Hyperlink">
    <w:name w:val="Hyperlink"/>
    <w:basedOn w:val="DefaultParagraphFont"/>
    <w:uiPriority w:val="99"/>
    <w:rsid w:val="005A2372"/>
    <w:rPr>
      <w:color w:val="0000FF"/>
      <w:u w:val="single"/>
    </w:rPr>
  </w:style>
  <w:style w:type="paragraph" w:styleId="Footer">
    <w:name w:val="footer"/>
    <w:basedOn w:val="Normal"/>
    <w:rsid w:val="005A2372"/>
    <w:pPr>
      <w:tabs>
        <w:tab w:val="center" w:pos="4320"/>
        <w:tab w:val="right" w:pos="8640"/>
      </w:tabs>
    </w:pPr>
    <w:rPr>
      <w:szCs w:val="20"/>
    </w:rPr>
  </w:style>
  <w:style w:type="character" w:styleId="PageNumber">
    <w:name w:val="page number"/>
    <w:basedOn w:val="DefaultParagraphFont"/>
    <w:rsid w:val="005A2372"/>
  </w:style>
  <w:style w:type="paragraph" w:styleId="Title">
    <w:name w:val="Title"/>
    <w:basedOn w:val="Normal"/>
    <w:qFormat/>
    <w:rsid w:val="005A2372"/>
    <w:pPr>
      <w:jc w:val="center"/>
    </w:pPr>
    <w:rPr>
      <w:b/>
      <w:szCs w:val="20"/>
    </w:rPr>
  </w:style>
  <w:style w:type="paragraph" w:styleId="BodyText2">
    <w:name w:val="Body Text 2"/>
    <w:basedOn w:val="Normal"/>
    <w:rsid w:val="005A2372"/>
    <w:pPr>
      <w:spacing w:after="120" w:line="480" w:lineRule="auto"/>
    </w:pPr>
  </w:style>
  <w:style w:type="paragraph" w:styleId="BodyText3">
    <w:name w:val="Body Text 3"/>
    <w:basedOn w:val="Normal"/>
    <w:rsid w:val="005A2372"/>
    <w:pPr>
      <w:spacing w:after="120"/>
    </w:pPr>
    <w:rPr>
      <w:sz w:val="16"/>
      <w:szCs w:val="16"/>
    </w:rPr>
  </w:style>
  <w:style w:type="paragraph" w:styleId="CommentText">
    <w:name w:val="annotation text"/>
    <w:basedOn w:val="Normal"/>
    <w:semiHidden/>
    <w:rsid w:val="005A2372"/>
    <w:rPr>
      <w:sz w:val="20"/>
      <w:szCs w:val="20"/>
    </w:rPr>
  </w:style>
  <w:style w:type="character" w:styleId="CommentReference">
    <w:name w:val="annotation reference"/>
    <w:basedOn w:val="DefaultParagraphFont"/>
    <w:semiHidden/>
    <w:rsid w:val="005A2372"/>
    <w:rPr>
      <w:sz w:val="16"/>
      <w:szCs w:val="16"/>
    </w:rPr>
  </w:style>
  <w:style w:type="paragraph" w:styleId="BalloonText">
    <w:name w:val="Balloon Text"/>
    <w:basedOn w:val="Normal"/>
    <w:semiHidden/>
    <w:rsid w:val="005A2372"/>
    <w:rPr>
      <w:rFonts w:ascii="Tahoma" w:hAnsi="Tahoma" w:cs="Tahoma"/>
      <w:sz w:val="16"/>
      <w:szCs w:val="16"/>
    </w:rPr>
  </w:style>
  <w:style w:type="paragraph" w:styleId="BlockText">
    <w:name w:val="Block Text"/>
    <w:basedOn w:val="Normal"/>
    <w:rsid w:val="005A2372"/>
    <w:pPr>
      <w:ind w:left="288" w:right="288"/>
      <w:jc w:val="both"/>
    </w:pPr>
  </w:style>
  <w:style w:type="character" w:styleId="FollowedHyperlink">
    <w:name w:val="FollowedHyperlink"/>
    <w:basedOn w:val="DefaultParagraphFont"/>
    <w:rsid w:val="005A2372"/>
    <w:rPr>
      <w:color w:val="800080"/>
      <w:u w:val="single"/>
    </w:rPr>
  </w:style>
  <w:style w:type="paragraph" w:styleId="NormalWeb">
    <w:name w:val="Normal (Web)"/>
    <w:basedOn w:val="Normal"/>
    <w:uiPriority w:val="99"/>
    <w:rsid w:val="005A2372"/>
    <w:pPr>
      <w:spacing w:before="100" w:beforeAutospacing="1" w:after="100" w:afterAutospacing="1"/>
    </w:pPr>
  </w:style>
  <w:style w:type="paragraph" w:styleId="Subtitle">
    <w:name w:val="Subtitle"/>
    <w:basedOn w:val="Normal"/>
    <w:qFormat/>
    <w:rsid w:val="005A2372"/>
    <w:pPr>
      <w:jc w:val="center"/>
    </w:pPr>
    <w:rPr>
      <w:b/>
      <w:sz w:val="26"/>
      <w:szCs w:val="20"/>
    </w:rPr>
  </w:style>
  <w:style w:type="paragraph" w:styleId="TOC1">
    <w:name w:val="toc 1"/>
    <w:basedOn w:val="Normal"/>
    <w:next w:val="Normal"/>
    <w:autoRedefine/>
    <w:uiPriority w:val="39"/>
    <w:rsid w:val="009C3B6D"/>
    <w:pPr>
      <w:tabs>
        <w:tab w:val="left" w:pos="540"/>
        <w:tab w:val="right" w:leader="dot" w:pos="9360"/>
      </w:tabs>
    </w:pPr>
    <w:rPr>
      <w:noProof/>
    </w:rPr>
  </w:style>
  <w:style w:type="paragraph" w:styleId="TOC2">
    <w:name w:val="toc 2"/>
    <w:basedOn w:val="Normal"/>
    <w:next w:val="Normal"/>
    <w:autoRedefine/>
    <w:uiPriority w:val="39"/>
    <w:rsid w:val="009C3B6D"/>
    <w:pPr>
      <w:tabs>
        <w:tab w:val="left" w:pos="1080"/>
        <w:tab w:val="right" w:leader="dot" w:pos="9350"/>
      </w:tabs>
      <w:ind w:left="540"/>
    </w:pPr>
  </w:style>
  <w:style w:type="paragraph" w:styleId="TOC3">
    <w:name w:val="toc 3"/>
    <w:basedOn w:val="Normal"/>
    <w:next w:val="Normal"/>
    <w:autoRedefine/>
    <w:uiPriority w:val="39"/>
    <w:rsid w:val="009C3B6D"/>
    <w:pPr>
      <w:tabs>
        <w:tab w:val="left" w:pos="1620"/>
        <w:tab w:val="right" w:leader="dot" w:pos="9350"/>
      </w:tabs>
      <w:ind w:left="720" w:firstLine="360"/>
    </w:pPr>
  </w:style>
  <w:style w:type="paragraph" w:styleId="TOC4">
    <w:name w:val="toc 4"/>
    <w:basedOn w:val="Normal"/>
    <w:next w:val="Normal"/>
    <w:autoRedefine/>
    <w:uiPriority w:val="39"/>
    <w:rsid w:val="009C3B6D"/>
    <w:pPr>
      <w:tabs>
        <w:tab w:val="left" w:pos="1800"/>
        <w:tab w:val="right" w:leader="dot" w:pos="9350"/>
      </w:tabs>
      <w:ind w:left="1350"/>
    </w:pPr>
  </w:style>
  <w:style w:type="paragraph" w:styleId="Header">
    <w:name w:val="header"/>
    <w:basedOn w:val="Normal"/>
    <w:rsid w:val="00497649"/>
    <w:pPr>
      <w:tabs>
        <w:tab w:val="center" w:pos="4320"/>
        <w:tab w:val="right" w:pos="8640"/>
      </w:tabs>
    </w:pPr>
  </w:style>
  <w:style w:type="paragraph" w:styleId="DocumentMap">
    <w:name w:val="Document Map"/>
    <w:basedOn w:val="Normal"/>
    <w:semiHidden/>
    <w:rsid w:val="00A32D5F"/>
    <w:pPr>
      <w:shd w:val="clear" w:color="auto" w:fill="000080"/>
    </w:pPr>
    <w:rPr>
      <w:rFonts w:ascii="Tahoma" w:hAnsi="Tahoma" w:cs="Tahoma"/>
      <w:sz w:val="20"/>
      <w:szCs w:val="20"/>
    </w:rPr>
  </w:style>
  <w:style w:type="character" w:customStyle="1" w:styleId="FootnoteTextChar">
    <w:name w:val="Footnote Text Char"/>
    <w:basedOn w:val="DefaultParagraphFont"/>
    <w:link w:val="FootnoteText"/>
    <w:semiHidden/>
    <w:rsid w:val="00863D30"/>
  </w:style>
  <w:style w:type="paragraph" w:styleId="ListParagraph">
    <w:name w:val="List Paragraph"/>
    <w:basedOn w:val="Normal"/>
    <w:uiPriority w:val="34"/>
    <w:qFormat/>
    <w:rsid w:val="00363B8C"/>
    <w:pPr>
      <w:ind w:left="720"/>
    </w:pPr>
  </w:style>
  <w:style w:type="paragraph" w:customStyle="1" w:styleId="TxBrp3">
    <w:name w:val="TxBr_p3"/>
    <w:basedOn w:val="Normal"/>
    <w:rsid w:val="001F43DE"/>
    <w:pPr>
      <w:widowControl w:val="0"/>
      <w:tabs>
        <w:tab w:val="left" w:pos="793"/>
      </w:tabs>
      <w:autoSpaceDE w:val="0"/>
      <w:autoSpaceDN w:val="0"/>
      <w:adjustRightInd w:val="0"/>
      <w:spacing w:line="555" w:lineRule="atLeast"/>
      <w:ind w:firstLine="793"/>
    </w:pPr>
  </w:style>
  <w:style w:type="character" w:customStyle="1" w:styleId="term1">
    <w:name w:val="term1"/>
    <w:basedOn w:val="DefaultParagraphFont"/>
    <w:rsid w:val="00280166"/>
    <w:rPr>
      <w:b/>
      <w:bCs/>
    </w:rPr>
  </w:style>
  <w:style w:type="character" w:styleId="Emphasis">
    <w:name w:val="Emphasis"/>
    <w:basedOn w:val="DefaultParagraphFont"/>
    <w:qFormat/>
    <w:rsid w:val="00FA6A03"/>
    <w:rPr>
      <w:i/>
      <w:iCs/>
    </w:rPr>
  </w:style>
</w:styles>
</file>

<file path=word/webSettings.xml><?xml version="1.0" encoding="utf-8"?>
<w:webSettings xmlns:r="http://schemas.openxmlformats.org/officeDocument/2006/relationships" xmlns:w="http://schemas.openxmlformats.org/wordprocessingml/2006/main">
  <w:divs>
    <w:div w:id="401215467">
      <w:bodyDiv w:val="1"/>
      <w:marLeft w:val="0"/>
      <w:marRight w:val="0"/>
      <w:marTop w:val="0"/>
      <w:marBottom w:val="0"/>
      <w:divBdr>
        <w:top w:val="none" w:sz="0" w:space="0" w:color="auto"/>
        <w:left w:val="none" w:sz="0" w:space="0" w:color="auto"/>
        <w:bottom w:val="none" w:sz="0" w:space="0" w:color="auto"/>
        <w:right w:val="none" w:sz="0" w:space="0" w:color="auto"/>
      </w:divBdr>
    </w:div>
    <w:div w:id="558058964">
      <w:bodyDiv w:val="1"/>
      <w:marLeft w:val="0"/>
      <w:marRight w:val="0"/>
      <w:marTop w:val="0"/>
      <w:marBottom w:val="0"/>
      <w:divBdr>
        <w:top w:val="none" w:sz="0" w:space="0" w:color="auto"/>
        <w:left w:val="none" w:sz="0" w:space="0" w:color="auto"/>
        <w:bottom w:val="none" w:sz="0" w:space="0" w:color="auto"/>
        <w:right w:val="none" w:sz="0" w:space="0" w:color="auto"/>
      </w:divBdr>
    </w:div>
    <w:div w:id="783305771">
      <w:bodyDiv w:val="1"/>
      <w:marLeft w:val="0"/>
      <w:marRight w:val="0"/>
      <w:marTop w:val="0"/>
      <w:marBottom w:val="0"/>
      <w:divBdr>
        <w:top w:val="none" w:sz="0" w:space="0" w:color="auto"/>
        <w:left w:val="none" w:sz="0" w:space="0" w:color="auto"/>
        <w:bottom w:val="none" w:sz="0" w:space="0" w:color="auto"/>
        <w:right w:val="none" w:sz="0" w:space="0" w:color="auto"/>
      </w:divBdr>
      <w:divsChild>
        <w:div w:id="618922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58627">
      <w:bodyDiv w:val="1"/>
      <w:marLeft w:val="0"/>
      <w:marRight w:val="0"/>
      <w:marTop w:val="0"/>
      <w:marBottom w:val="0"/>
      <w:divBdr>
        <w:top w:val="none" w:sz="0" w:space="0" w:color="auto"/>
        <w:left w:val="none" w:sz="0" w:space="0" w:color="auto"/>
        <w:bottom w:val="none" w:sz="0" w:space="0" w:color="auto"/>
        <w:right w:val="none" w:sz="0" w:space="0" w:color="auto"/>
      </w:divBdr>
    </w:div>
    <w:div w:id="1074473848">
      <w:bodyDiv w:val="1"/>
      <w:marLeft w:val="0"/>
      <w:marRight w:val="0"/>
      <w:marTop w:val="0"/>
      <w:marBottom w:val="0"/>
      <w:divBdr>
        <w:top w:val="none" w:sz="0" w:space="0" w:color="auto"/>
        <w:left w:val="none" w:sz="0" w:space="0" w:color="auto"/>
        <w:bottom w:val="none" w:sz="0" w:space="0" w:color="auto"/>
        <w:right w:val="none" w:sz="0" w:space="0" w:color="auto"/>
      </w:divBdr>
    </w:div>
    <w:div w:id="1260482967">
      <w:bodyDiv w:val="1"/>
      <w:marLeft w:val="0"/>
      <w:marRight w:val="0"/>
      <w:marTop w:val="0"/>
      <w:marBottom w:val="0"/>
      <w:divBdr>
        <w:top w:val="none" w:sz="0" w:space="0" w:color="auto"/>
        <w:left w:val="none" w:sz="0" w:space="0" w:color="auto"/>
        <w:bottom w:val="none" w:sz="0" w:space="0" w:color="auto"/>
        <w:right w:val="none" w:sz="0" w:space="0" w:color="auto"/>
      </w:divBdr>
    </w:div>
    <w:div w:id="1264458808">
      <w:bodyDiv w:val="1"/>
      <w:marLeft w:val="0"/>
      <w:marRight w:val="0"/>
      <w:marTop w:val="0"/>
      <w:marBottom w:val="0"/>
      <w:divBdr>
        <w:top w:val="none" w:sz="0" w:space="0" w:color="auto"/>
        <w:left w:val="none" w:sz="0" w:space="0" w:color="auto"/>
        <w:bottom w:val="none" w:sz="0" w:space="0" w:color="auto"/>
        <w:right w:val="none" w:sz="0" w:space="0" w:color="auto"/>
      </w:divBdr>
    </w:div>
    <w:div w:id="1520119672">
      <w:bodyDiv w:val="1"/>
      <w:marLeft w:val="0"/>
      <w:marRight w:val="0"/>
      <w:marTop w:val="0"/>
      <w:marBottom w:val="0"/>
      <w:divBdr>
        <w:top w:val="none" w:sz="0" w:space="0" w:color="auto"/>
        <w:left w:val="none" w:sz="0" w:space="0" w:color="auto"/>
        <w:bottom w:val="none" w:sz="0" w:space="0" w:color="auto"/>
        <w:right w:val="none" w:sz="0" w:space="0" w:color="auto"/>
      </w:divBdr>
    </w:div>
    <w:div w:id="1520122572">
      <w:bodyDiv w:val="1"/>
      <w:marLeft w:val="0"/>
      <w:marRight w:val="0"/>
      <w:marTop w:val="0"/>
      <w:marBottom w:val="0"/>
      <w:divBdr>
        <w:top w:val="none" w:sz="0" w:space="0" w:color="auto"/>
        <w:left w:val="none" w:sz="0" w:space="0" w:color="auto"/>
        <w:bottom w:val="none" w:sz="0" w:space="0" w:color="auto"/>
        <w:right w:val="none" w:sz="0" w:space="0" w:color="auto"/>
      </w:divBdr>
    </w:div>
    <w:div w:id="1731228386">
      <w:bodyDiv w:val="1"/>
      <w:marLeft w:val="0"/>
      <w:marRight w:val="0"/>
      <w:marTop w:val="0"/>
      <w:marBottom w:val="0"/>
      <w:divBdr>
        <w:top w:val="none" w:sz="0" w:space="0" w:color="auto"/>
        <w:left w:val="none" w:sz="0" w:space="0" w:color="auto"/>
        <w:bottom w:val="none" w:sz="0" w:space="0" w:color="auto"/>
        <w:right w:val="none" w:sz="0" w:space="0" w:color="auto"/>
      </w:divBdr>
    </w:div>
    <w:div w:id="1785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7E0A4-5500-4133-81F4-EA071B90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13509</Words>
  <Characters>77006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January 22, 23, 24-(T, W, Th) Public Utility Commission v City of Bethlehem, R-00072492, Prehearing Order drafted, dated 9/21/07; Mediation/ Prehearing Conference Notice dated 9/21/07 Mediation to begin at 11 a</vt:lpstr>
    </vt:vector>
  </TitlesOfParts>
  <Company>PA Public Utility Commission</Company>
  <LinksUpToDate>false</LinksUpToDate>
  <CharactersWithSpaces>90335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22, 23, 24-(T, W, Th) Public Utility Commission v City of Bethlehem, R-00072492, Prehearing Order drafted, dated 9/21/07; Mediation/ Prehearing Conference Notice dated 9/21/07 Mediation to begin at 11 a</dc:title>
  <dc:subject/>
  <dc:creator>MIS</dc:creator>
  <cp:keywords/>
  <dc:description/>
  <cp:lastModifiedBy>joyce marie farner</cp:lastModifiedBy>
  <cp:revision>4</cp:revision>
  <cp:lastPrinted>2010-06-16T16:15:00Z</cp:lastPrinted>
  <dcterms:created xsi:type="dcterms:W3CDTF">2010-06-15T12:33:00Z</dcterms:created>
  <dcterms:modified xsi:type="dcterms:W3CDTF">2010-06-16T16:15:00Z</dcterms:modified>
</cp:coreProperties>
</file>