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856"/>
      </w:tblGrid>
      <w:tr w:rsidR="000638F1" w:rsidRPr="000646FF" w:rsidTr="009A5DFB">
        <w:trPr>
          <w:cantSplit/>
        </w:trPr>
        <w:tc>
          <w:tcPr>
            <w:tcW w:w="8856" w:type="dxa"/>
          </w:tcPr>
          <w:p w:rsidR="000638F1" w:rsidRPr="000646FF" w:rsidRDefault="000638F1" w:rsidP="009A5DFB">
            <w:pPr>
              <w:pStyle w:val="Heading2"/>
              <w:rPr>
                <w:rFonts w:ascii="Times New Roman" w:hAnsi="Times New Roman"/>
                <w:szCs w:val="24"/>
              </w:rPr>
            </w:pPr>
            <w:r w:rsidRPr="000646FF">
              <w:rPr>
                <w:rFonts w:ascii="Times New Roman" w:hAnsi="Times New Roman"/>
                <w:szCs w:val="24"/>
              </w:rPr>
              <w:t>PENNSYLVANIA PUBLIC UTILITY COMMISSION</w:t>
            </w:r>
          </w:p>
          <w:p w:rsidR="000638F1" w:rsidRPr="000646FF" w:rsidRDefault="000638F1" w:rsidP="009A5DFB">
            <w:pPr>
              <w:jc w:val="center"/>
              <w:rPr>
                <w:b/>
                <w:sz w:val="24"/>
                <w:szCs w:val="24"/>
              </w:rPr>
            </w:pPr>
            <w:r w:rsidRPr="000646FF">
              <w:rPr>
                <w:b/>
                <w:sz w:val="24"/>
                <w:szCs w:val="24"/>
              </w:rPr>
              <w:t>HARRISBURG, PENNSYLVANIA  17120</w:t>
            </w:r>
          </w:p>
          <w:p w:rsidR="000638F1" w:rsidRDefault="000638F1" w:rsidP="009A5DFB">
            <w:pPr>
              <w:jc w:val="center"/>
              <w:rPr>
                <w:b/>
                <w:sz w:val="24"/>
                <w:szCs w:val="24"/>
              </w:rPr>
            </w:pPr>
          </w:p>
          <w:p w:rsidR="000646FF" w:rsidRPr="000646FF" w:rsidRDefault="000646FF" w:rsidP="009A5DF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638F1" w:rsidRPr="000646FF" w:rsidRDefault="000638F1" w:rsidP="000638F1">
      <w:pPr>
        <w:rPr>
          <w:b/>
          <w:sz w:val="24"/>
          <w:szCs w:val="24"/>
        </w:rPr>
        <w:sectPr w:rsidR="000638F1" w:rsidRPr="000646FF" w:rsidSect="009A5DFB">
          <w:footerReference w:type="even" r:id="rId8"/>
          <w:footerReference w:type="default" r:id="rId9"/>
          <w:footnotePr>
            <w:numFmt w:val="chicago"/>
          </w:footnotePr>
          <w:pgSz w:w="12240" w:h="15840"/>
          <w:pgMar w:top="1440" w:right="1440" w:bottom="1440" w:left="1440" w:header="720" w:footer="720" w:gutter="0"/>
          <w:cols w:space="720"/>
          <w:titlePg/>
        </w:sectPr>
      </w:pPr>
    </w:p>
    <w:tbl>
      <w:tblPr>
        <w:tblW w:w="0" w:type="auto"/>
        <w:tblLayout w:type="fixed"/>
        <w:tblLook w:val="0000"/>
      </w:tblPr>
      <w:tblGrid>
        <w:gridCol w:w="3978"/>
        <w:gridCol w:w="450"/>
        <w:gridCol w:w="4428"/>
      </w:tblGrid>
      <w:tr w:rsidR="000638F1" w:rsidRPr="000646FF" w:rsidTr="008C284A">
        <w:trPr>
          <w:cantSplit/>
          <w:trHeight w:val="1152"/>
        </w:trPr>
        <w:tc>
          <w:tcPr>
            <w:tcW w:w="3978" w:type="dxa"/>
          </w:tcPr>
          <w:p w:rsidR="000638F1" w:rsidRPr="000646FF" w:rsidRDefault="00DA77A0" w:rsidP="00DA77A0">
            <w:pPr>
              <w:rPr>
                <w:b/>
                <w:sz w:val="24"/>
                <w:szCs w:val="24"/>
              </w:rPr>
            </w:pPr>
            <w:r w:rsidRPr="000646FF">
              <w:rPr>
                <w:b/>
                <w:sz w:val="24"/>
                <w:szCs w:val="24"/>
              </w:rPr>
              <w:lastRenderedPageBreak/>
              <w:t>Petition of PPL Electric Utilities Corporation for a Declaratory Order Regarding  Pilot to Expand Website and Interactive Voice Response C</w:t>
            </w:r>
            <w:r w:rsidR="0005141D" w:rsidRPr="000646FF">
              <w:rPr>
                <w:b/>
                <w:sz w:val="24"/>
                <w:szCs w:val="24"/>
              </w:rPr>
              <w:t>apabilities to all</w:t>
            </w:r>
            <w:r w:rsidRPr="000646FF">
              <w:rPr>
                <w:b/>
                <w:sz w:val="24"/>
                <w:szCs w:val="24"/>
              </w:rPr>
              <w:t xml:space="preserve">ow Customers the Option of Setting Up Payment Agreements or, in the Alternative, a Two-Year Waiver of 52 Pa. Code Section </w:t>
            </w:r>
            <w:r w:rsidR="00D702DC" w:rsidRPr="000646FF">
              <w:rPr>
                <w:b/>
                <w:sz w:val="24"/>
                <w:szCs w:val="24"/>
              </w:rPr>
              <w:t>56.97(a)</w:t>
            </w:r>
          </w:p>
        </w:tc>
        <w:tc>
          <w:tcPr>
            <w:tcW w:w="450" w:type="dxa"/>
          </w:tcPr>
          <w:p w:rsidR="000638F1" w:rsidRPr="000646FF" w:rsidRDefault="000638F1" w:rsidP="009A5DFB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</w:tcPr>
          <w:p w:rsidR="000638F1" w:rsidRPr="000646FF" w:rsidRDefault="000638F1" w:rsidP="009A5DFB">
            <w:pPr>
              <w:rPr>
                <w:b/>
                <w:sz w:val="24"/>
                <w:szCs w:val="24"/>
              </w:rPr>
            </w:pPr>
          </w:p>
          <w:p w:rsidR="000638F1" w:rsidRPr="000646FF" w:rsidRDefault="000638F1" w:rsidP="009A5DFB">
            <w:pPr>
              <w:rPr>
                <w:b/>
                <w:sz w:val="24"/>
                <w:szCs w:val="24"/>
              </w:rPr>
            </w:pPr>
            <w:r w:rsidRPr="000646FF">
              <w:rPr>
                <w:b/>
                <w:sz w:val="24"/>
                <w:szCs w:val="24"/>
              </w:rPr>
              <w:t xml:space="preserve">Public Meeting </w:t>
            </w:r>
            <w:r w:rsidR="00D702DC" w:rsidRPr="000646FF">
              <w:rPr>
                <w:b/>
                <w:sz w:val="24"/>
                <w:szCs w:val="24"/>
              </w:rPr>
              <w:t>August 18</w:t>
            </w:r>
            <w:r w:rsidRPr="000646FF">
              <w:rPr>
                <w:b/>
                <w:sz w:val="24"/>
                <w:szCs w:val="24"/>
              </w:rPr>
              <w:t>, 2010</w:t>
            </w:r>
          </w:p>
          <w:p w:rsidR="000638F1" w:rsidRPr="000646FF" w:rsidRDefault="00D702DC" w:rsidP="009A5DFB">
            <w:pPr>
              <w:rPr>
                <w:b/>
                <w:sz w:val="24"/>
                <w:szCs w:val="24"/>
              </w:rPr>
            </w:pPr>
            <w:r w:rsidRPr="000646FF">
              <w:rPr>
                <w:b/>
                <w:sz w:val="24"/>
                <w:szCs w:val="24"/>
              </w:rPr>
              <w:t>2168786-LAW</w:t>
            </w:r>
          </w:p>
          <w:p w:rsidR="000638F1" w:rsidRPr="000646FF" w:rsidRDefault="000638F1" w:rsidP="009A5DFB">
            <w:pPr>
              <w:rPr>
                <w:b/>
                <w:sz w:val="24"/>
                <w:szCs w:val="24"/>
              </w:rPr>
            </w:pPr>
            <w:r w:rsidRPr="000646FF">
              <w:rPr>
                <w:b/>
                <w:sz w:val="24"/>
                <w:szCs w:val="24"/>
              </w:rPr>
              <w:t xml:space="preserve">Docket No. </w:t>
            </w:r>
            <w:r w:rsidR="00D702DC" w:rsidRPr="000646FF">
              <w:rPr>
                <w:b/>
                <w:sz w:val="24"/>
                <w:szCs w:val="24"/>
              </w:rPr>
              <w:t>P-2010-2168786</w:t>
            </w:r>
          </w:p>
          <w:p w:rsidR="000638F1" w:rsidRPr="000646FF" w:rsidRDefault="000638F1" w:rsidP="009A5DFB">
            <w:pPr>
              <w:rPr>
                <w:b/>
                <w:sz w:val="24"/>
                <w:szCs w:val="24"/>
              </w:rPr>
            </w:pPr>
          </w:p>
          <w:p w:rsidR="000638F1" w:rsidRPr="000646FF" w:rsidRDefault="000638F1" w:rsidP="009A5DFB">
            <w:pPr>
              <w:rPr>
                <w:b/>
                <w:sz w:val="24"/>
                <w:szCs w:val="24"/>
              </w:rPr>
            </w:pPr>
          </w:p>
        </w:tc>
      </w:tr>
    </w:tbl>
    <w:p w:rsidR="000646FF" w:rsidRDefault="000646FF" w:rsidP="000638F1">
      <w:pPr>
        <w:jc w:val="center"/>
        <w:rPr>
          <w:b/>
          <w:sz w:val="24"/>
          <w:szCs w:val="24"/>
        </w:rPr>
      </w:pPr>
    </w:p>
    <w:p w:rsidR="000638F1" w:rsidRPr="000646FF" w:rsidRDefault="00571C90" w:rsidP="000638F1">
      <w:pPr>
        <w:jc w:val="center"/>
        <w:rPr>
          <w:sz w:val="24"/>
          <w:szCs w:val="24"/>
        </w:rPr>
      </w:pPr>
      <w:r w:rsidRPr="000646FF">
        <w:rPr>
          <w:b/>
          <w:sz w:val="24"/>
          <w:szCs w:val="24"/>
        </w:rPr>
        <w:t xml:space="preserve">JOINT </w:t>
      </w:r>
      <w:r w:rsidR="000638F1" w:rsidRPr="000646FF">
        <w:rPr>
          <w:b/>
          <w:sz w:val="24"/>
          <w:szCs w:val="24"/>
        </w:rPr>
        <w:t>MOTION OF</w:t>
      </w:r>
    </w:p>
    <w:p w:rsidR="00571C90" w:rsidRPr="000646FF" w:rsidRDefault="000638F1" w:rsidP="000638F1">
      <w:pPr>
        <w:jc w:val="center"/>
        <w:rPr>
          <w:b/>
          <w:sz w:val="24"/>
          <w:szCs w:val="24"/>
          <w:u w:val="single"/>
        </w:rPr>
      </w:pPr>
      <w:r w:rsidRPr="000646FF">
        <w:rPr>
          <w:b/>
          <w:sz w:val="24"/>
          <w:szCs w:val="24"/>
          <w:u w:val="single"/>
        </w:rPr>
        <w:t xml:space="preserve">COMMISSIONER </w:t>
      </w:r>
      <w:r w:rsidR="00571C90" w:rsidRPr="000646FF">
        <w:rPr>
          <w:b/>
          <w:sz w:val="24"/>
          <w:szCs w:val="24"/>
          <w:u w:val="single"/>
        </w:rPr>
        <w:t xml:space="preserve">WAYNE GARDNER AND </w:t>
      </w:r>
    </w:p>
    <w:p w:rsidR="000638F1" w:rsidRPr="000646FF" w:rsidRDefault="00571C90" w:rsidP="000638F1">
      <w:pPr>
        <w:jc w:val="center"/>
        <w:rPr>
          <w:b/>
          <w:sz w:val="24"/>
          <w:szCs w:val="24"/>
          <w:u w:val="single"/>
        </w:rPr>
      </w:pPr>
      <w:r w:rsidRPr="000646FF">
        <w:rPr>
          <w:b/>
          <w:sz w:val="24"/>
          <w:szCs w:val="24"/>
          <w:u w:val="single"/>
        </w:rPr>
        <w:t xml:space="preserve">COMMISSIONER </w:t>
      </w:r>
      <w:r w:rsidR="000638F1" w:rsidRPr="000646FF">
        <w:rPr>
          <w:b/>
          <w:sz w:val="24"/>
          <w:szCs w:val="24"/>
          <w:u w:val="single"/>
        </w:rPr>
        <w:t>ROBERT F. POWELSON</w:t>
      </w:r>
    </w:p>
    <w:p w:rsidR="000638F1" w:rsidRPr="000646FF" w:rsidRDefault="000638F1" w:rsidP="000638F1">
      <w:pPr>
        <w:rPr>
          <w:sz w:val="24"/>
          <w:szCs w:val="24"/>
        </w:rPr>
      </w:pPr>
    </w:p>
    <w:p w:rsidR="000646FF" w:rsidRDefault="000646FF" w:rsidP="00D702DC">
      <w:pPr>
        <w:ind w:firstLine="720"/>
        <w:rPr>
          <w:sz w:val="24"/>
          <w:szCs w:val="24"/>
        </w:rPr>
      </w:pPr>
    </w:p>
    <w:p w:rsidR="0005141D" w:rsidRPr="000646FF" w:rsidRDefault="00465EF0" w:rsidP="00D702DC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>Before us today for disposition</w:t>
      </w:r>
      <w:r w:rsidR="00052D9E" w:rsidRPr="000646FF">
        <w:rPr>
          <w:sz w:val="24"/>
          <w:szCs w:val="24"/>
        </w:rPr>
        <w:t xml:space="preserve"> is the Petition of PPL Electric Utilities</w:t>
      </w:r>
      <w:r w:rsidR="00CF2B8A" w:rsidRPr="000646FF">
        <w:rPr>
          <w:sz w:val="24"/>
          <w:szCs w:val="24"/>
        </w:rPr>
        <w:t xml:space="preserve"> </w:t>
      </w:r>
      <w:r w:rsidR="00052D9E" w:rsidRPr="000646FF">
        <w:rPr>
          <w:sz w:val="24"/>
          <w:szCs w:val="24"/>
        </w:rPr>
        <w:t>(PPL).  Ultimately, PPL seeks to implement a pilot program which would expand</w:t>
      </w:r>
      <w:r w:rsidR="0005141D" w:rsidRPr="000646FF">
        <w:rPr>
          <w:sz w:val="24"/>
          <w:szCs w:val="24"/>
        </w:rPr>
        <w:t xml:space="preserve"> its website and </w:t>
      </w:r>
      <w:r w:rsidR="00052D9E" w:rsidRPr="000646FF">
        <w:rPr>
          <w:sz w:val="24"/>
          <w:szCs w:val="24"/>
        </w:rPr>
        <w:t xml:space="preserve">Interactive Voice Response (IVR) capabilities to allow customers the option, in certain circumstances, </w:t>
      </w:r>
      <w:r w:rsidR="0005141D" w:rsidRPr="000646FF">
        <w:rPr>
          <w:sz w:val="24"/>
          <w:szCs w:val="24"/>
        </w:rPr>
        <w:t xml:space="preserve">to establish payment arrangements </w:t>
      </w:r>
      <w:r w:rsidR="001F05FA" w:rsidRPr="000646FF">
        <w:rPr>
          <w:sz w:val="24"/>
          <w:szCs w:val="24"/>
        </w:rPr>
        <w:t>either online or through an automated system to avoid termination.</w:t>
      </w:r>
    </w:p>
    <w:p w:rsidR="0005141D" w:rsidRPr="000646FF" w:rsidRDefault="0005141D" w:rsidP="00D702DC">
      <w:pPr>
        <w:ind w:firstLine="720"/>
        <w:rPr>
          <w:sz w:val="24"/>
          <w:szCs w:val="24"/>
        </w:rPr>
      </w:pPr>
    </w:p>
    <w:p w:rsidR="00D702DC" w:rsidRPr="000646FF" w:rsidRDefault="0005141D" w:rsidP="00D702DC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>In order to implement these features, PPL seeks either a declaratory</w:t>
      </w:r>
      <w:r w:rsidR="00327882" w:rsidRPr="000646FF">
        <w:rPr>
          <w:sz w:val="24"/>
          <w:szCs w:val="24"/>
        </w:rPr>
        <w:t xml:space="preserve"> ruling that </w:t>
      </w:r>
      <w:r w:rsidR="001F05FA" w:rsidRPr="000646FF">
        <w:rPr>
          <w:sz w:val="24"/>
          <w:szCs w:val="24"/>
        </w:rPr>
        <w:t xml:space="preserve">its pilot complies with </w:t>
      </w:r>
      <w:r w:rsidR="00327882" w:rsidRPr="000646FF">
        <w:rPr>
          <w:sz w:val="24"/>
          <w:szCs w:val="24"/>
        </w:rPr>
        <w:t>Section 56.97(a) of our Regulations</w:t>
      </w:r>
      <w:r w:rsidR="00327882" w:rsidRPr="000646FF">
        <w:rPr>
          <w:rStyle w:val="FootnoteReference"/>
          <w:sz w:val="24"/>
          <w:szCs w:val="24"/>
        </w:rPr>
        <w:footnoteReference w:id="1"/>
      </w:r>
      <w:r w:rsidR="00327882" w:rsidRPr="000646FF">
        <w:rPr>
          <w:sz w:val="24"/>
          <w:szCs w:val="24"/>
        </w:rPr>
        <w:t xml:space="preserve"> </w:t>
      </w:r>
      <w:r w:rsidR="001F05FA" w:rsidRPr="000646FF">
        <w:rPr>
          <w:sz w:val="24"/>
          <w:szCs w:val="24"/>
        </w:rPr>
        <w:t xml:space="preserve">or, in the alternative, </w:t>
      </w:r>
      <w:r w:rsidR="00327882" w:rsidRPr="000646FF">
        <w:rPr>
          <w:sz w:val="24"/>
          <w:szCs w:val="24"/>
        </w:rPr>
        <w:t>a t</w:t>
      </w:r>
      <w:r w:rsidR="00CF2B8A" w:rsidRPr="000646FF">
        <w:rPr>
          <w:sz w:val="24"/>
          <w:szCs w:val="24"/>
        </w:rPr>
        <w:t>wo-year waiver of Section 56.97(a)</w:t>
      </w:r>
      <w:r w:rsidR="00327882" w:rsidRPr="000646FF">
        <w:rPr>
          <w:sz w:val="24"/>
          <w:szCs w:val="24"/>
        </w:rPr>
        <w:t xml:space="preserve">.  </w:t>
      </w:r>
      <w:r w:rsidR="00864E16" w:rsidRPr="000646FF">
        <w:rPr>
          <w:sz w:val="24"/>
          <w:szCs w:val="24"/>
        </w:rPr>
        <w:t>T</w:t>
      </w:r>
      <w:r w:rsidR="00327882" w:rsidRPr="000646FF">
        <w:rPr>
          <w:sz w:val="24"/>
          <w:szCs w:val="24"/>
        </w:rPr>
        <w:t xml:space="preserve">he Office of Consumer Advocate (OCA) </w:t>
      </w:r>
      <w:r w:rsidR="00864E16" w:rsidRPr="000646FF">
        <w:rPr>
          <w:sz w:val="24"/>
          <w:szCs w:val="24"/>
        </w:rPr>
        <w:t xml:space="preserve">filed a Notice of Intervention and Answer opposing PPL’s Petition.  In addition, </w:t>
      </w:r>
      <w:r w:rsidR="00327882" w:rsidRPr="000646FF">
        <w:rPr>
          <w:sz w:val="24"/>
          <w:szCs w:val="24"/>
        </w:rPr>
        <w:t>the Public Utility Law Project (PULP), on behalf of Maryellen Nentwig</w:t>
      </w:r>
      <w:r w:rsidR="00864E16" w:rsidRPr="000646FF">
        <w:rPr>
          <w:sz w:val="24"/>
          <w:szCs w:val="24"/>
        </w:rPr>
        <w:t>, fi</w:t>
      </w:r>
      <w:r w:rsidR="002D0816" w:rsidRPr="000646FF">
        <w:rPr>
          <w:sz w:val="24"/>
          <w:szCs w:val="24"/>
        </w:rPr>
        <w:t>led a Petition to Intervene as well as an Answer opposing PPL’s Petition.</w:t>
      </w:r>
      <w:r w:rsidR="00A153B9" w:rsidRPr="000646FF">
        <w:rPr>
          <w:rStyle w:val="FootnoteReference"/>
          <w:sz w:val="24"/>
          <w:szCs w:val="24"/>
        </w:rPr>
        <w:footnoteReference w:id="2"/>
      </w:r>
      <w:r w:rsidR="002D0816" w:rsidRPr="000646FF">
        <w:rPr>
          <w:sz w:val="24"/>
          <w:szCs w:val="24"/>
        </w:rPr>
        <w:t xml:space="preserve">  </w:t>
      </w:r>
    </w:p>
    <w:p w:rsidR="008757A4" w:rsidRPr="000646FF" w:rsidRDefault="008757A4" w:rsidP="00D702DC">
      <w:pPr>
        <w:ind w:firstLine="720"/>
        <w:rPr>
          <w:sz w:val="24"/>
          <w:szCs w:val="24"/>
        </w:rPr>
      </w:pPr>
    </w:p>
    <w:p w:rsidR="008757A4" w:rsidRPr="000646FF" w:rsidRDefault="008757A4" w:rsidP="00D702DC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 xml:space="preserve">In essence, PPL seeks to provide customers </w:t>
      </w:r>
      <w:r w:rsidR="00016417" w:rsidRPr="000646FF">
        <w:rPr>
          <w:sz w:val="24"/>
          <w:szCs w:val="24"/>
        </w:rPr>
        <w:t>with</w:t>
      </w:r>
      <w:r w:rsidRPr="000646FF">
        <w:rPr>
          <w:sz w:val="24"/>
          <w:szCs w:val="24"/>
        </w:rPr>
        <w:t xml:space="preserve"> two </w:t>
      </w:r>
      <w:r w:rsidR="004F2539" w:rsidRPr="000646FF">
        <w:rPr>
          <w:sz w:val="24"/>
          <w:szCs w:val="24"/>
        </w:rPr>
        <w:t xml:space="preserve">additional </w:t>
      </w:r>
      <w:r w:rsidRPr="000646FF">
        <w:rPr>
          <w:sz w:val="24"/>
          <w:szCs w:val="24"/>
        </w:rPr>
        <w:t>alternatives to set up payment arrangements.  PPL does not propose to reduce its current compl</w:t>
      </w:r>
      <w:r w:rsidR="00E11F1E" w:rsidRPr="000646FF">
        <w:rPr>
          <w:sz w:val="24"/>
          <w:szCs w:val="24"/>
        </w:rPr>
        <w:t>e</w:t>
      </w:r>
      <w:r w:rsidRPr="000646FF">
        <w:rPr>
          <w:sz w:val="24"/>
          <w:szCs w:val="24"/>
        </w:rPr>
        <w:t xml:space="preserve">ment of </w:t>
      </w:r>
      <w:r w:rsidR="00016417" w:rsidRPr="000646FF">
        <w:rPr>
          <w:sz w:val="24"/>
          <w:szCs w:val="24"/>
        </w:rPr>
        <w:t>customer service representatives (</w:t>
      </w:r>
      <w:r w:rsidRPr="000646FF">
        <w:rPr>
          <w:sz w:val="24"/>
          <w:szCs w:val="24"/>
        </w:rPr>
        <w:t>CSRs</w:t>
      </w:r>
      <w:r w:rsidR="00016417" w:rsidRPr="000646FF">
        <w:rPr>
          <w:sz w:val="24"/>
          <w:szCs w:val="24"/>
        </w:rPr>
        <w:t>)</w:t>
      </w:r>
      <w:r w:rsidR="008F2171" w:rsidRPr="000646FF">
        <w:rPr>
          <w:sz w:val="24"/>
          <w:szCs w:val="24"/>
        </w:rPr>
        <w:t xml:space="preserve"> or restrict customers’ ability to speak with a CSR in any way.</w:t>
      </w:r>
      <w:r w:rsidR="00B5289C" w:rsidRPr="000646FF">
        <w:rPr>
          <w:sz w:val="24"/>
          <w:szCs w:val="24"/>
        </w:rPr>
        <w:t xml:space="preserve">  In fact, PPL points out that through either system, the website or the IVR, customers will always have the option to speak with a CSR and </w:t>
      </w:r>
      <w:r w:rsidR="00E11F1E" w:rsidRPr="000646FF">
        <w:rPr>
          <w:sz w:val="24"/>
          <w:szCs w:val="24"/>
        </w:rPr>
        <w:t xml:space="preserve">will </w:t>
      </w:r>
      <w:r w:rsidR="00B5289C" w:rsidRPr="000646FF">
        <w:rPr>
          <w:sz w:val="24"/>
          <w:szCs w:val="24"/>
        </w:rPr>
        <w:t>receive reminders to that effect.</w:t>
      </w:r>
    </w:p>
    <w:p w:rsidR="008F2171" w:rsidRPr="000646FF" w:rsidRDefault="008F2171" w:rsidP="00D702DC">
      <w:pPr>
        <w:ind w:firstLine="720"/>
        <w:rPr>
          <w:sz w:val="24"/>
          <w:szCs w:val="24"/>
        </w:rPr>
      </w:pPr>
    </w:p>
    <w:p w:rsidR="008F2171" w:rsidRPr="000646FF" w:rsidRDefault="008F2171" w:rsidP="00D702DC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 xml:space="preserve">While </w:t>
      </w:r>
      <w:r w:rsidR="00571C90" w:rsidRPr="000646FF">
        <w:rPr>
          <w:sz w:val="24"/>
          <w:szCs w:val="24"/>
        </w:rPr>
        <w:t>we</w:t>
      </w:r>
      <w:r w:rsidRPr="000646FF">
        <w:rPr>
          <w:sz w:val="24"/>
          <w:szCs w:val="24"/>
        </w:rPr>
        <w:t xml:space="preserve"> do not believe that a declaratory ruli</w:t>
      </w:r>
      <w:r w:rsidR="00262CD8" w:rsidRPr="000646FF">
        <w:rPr>
          <w:sz w:val="24"/>
          <w:szCs w:val="24"/>
        </w:rPr>
        <w:t xml:space="preserve">ng that PPL’s proposed program complies with </w:t>
      </w:r>
      <w:r w:rsidR="00452E41" w:rsidRPr="000646FF">
        <w:rPr>
          <w:sz w:val="24"/>
          <w:szCs w:val="24"/>
        </w:rPr>
        <w:t>Section 56.97(a)</w:t>
      </w:r>
      <w:r w:rsidR="009C3CDA" w:rsidRPr="000646FF">
        <w:rPr>
          <w:sz w:val="24"/>
          <w:szCs w:val="24"/>
        </w:rPr>
        <w:t xml:space="preserve"> is appropriate</w:t>
      </w:r>
      <w:r w:rsidR="00452E41" w:rsidRPr="000646FF">
        <w:rPr>
          <w:sz w:val="24"/>
          <w:szCs w:val="24"/>
        </w:rPr>
        <w:t xml:space="preserve">, </w:t>
      </w:r>
      <w:r w:rsidR="005D0EB7" w:rsidRPr="000646FF">
        <w:rPr>
          <w:sz w:val="24"/>
          <w:szCs w:val="24"/>
        </w:rPr>
        <w:t>we</w:t>
      </w:r>
      <w:r w:rsidR="00452E41" w:rsidRPr="000646FF">
        <w:rPr>
          <w:sz w:val="24"/>
          <w:szCs w:val="24"/>
        </w:rPr>
        <w:t xml:space="preserve"> do believe that granting PPL’s requested two-year </w:t>
      </w:r>
      <w:r w:rsidR="00452E41" w:rsidRPr="000646FF">
        <w:rPr>
          <w:sz w:val="24"/>
          <w:szCs w:val="24"/>
        </w:rPr>
        <w:lastRenderedPageBreak/>
        <w:t xml:space="preserve">waiver of this Section is in the </w:t>
      </w:r>
      <w:r w:rsidR="008D3A3A" w:rsidRPr="000646FF">
        <w:rPr>
          <w:sz w:val="24"/>
          <w:szCs w:val="24"/>
        </w:rPr>
        <w:t xml:space="preserve">public interest.  As cited by PPL in its Petition, </w:t>
      </w:r>
      <w:r w:rsidR="00E11F1E" w:rsidRPr="000646FF">
        <w:rPr>
          <w:sz w:val="24"/>
          <w:szCs w:val="24"/>
        </w:rPr>
        <w:t xml:space="preserve">this </w:t>
      </w:r>
      <w:r w:rsidR="008D3A3A" w:rsidRPr="000646FF">
        <w:rPr>
          <w:sz w:val="24"/>
          <w:szCs w:val="24"/>
        </w:rPr>
        <w:t xml:space="preserve">Commission </w:t>
      </w:r>
      <w:r w:rsidR="00F47668" w:rsidRPr="000646FF">
        <w:rPr>
          <w:sz w:val="24"/>
          <w:szCs w:val="24"/>
        </w:rPr>
        <w:t>has</w:t>
      </w:r>
      <w:r w:rsidR="008D3A3A" w:rsidRPr="000646FF">
        <w:rPr>
          <w:sz w:val="24"/>
          <w:szCs w:val="24"/>
        </w:rPr>
        <w:t xml:space="preserve"> waive</w:t>
      </w:r>
      <w:r w:rsidR="00F47668" w:rsidRPr="000646FF">
        <w:rPr>
          <w:sz w:val="24"/>
          <w:szCs w:val="24"/>
        </w:rPr>
        <w:t>d</w:t>
      </w:r>
      <w:r w:rsidR="008D3A3A" w:rsidRPr="000646FF">
        <w:rPr>
          <w:sz w:val="24"/>
          <w:szCs w:val="24"/>
        </w:rPr>
        <w:t xml:space="preserve"> its regulations when it is in the public interest to do so.</w:t>
      </w:r>
      <w:r w:rsidR="008D3A3A" w:rsidRPr="000646FF">
        <w:rPr>
          <w:rStyle w:val="FootnoteReference"/>
          <w:sz w:val="24"/>
          <w:szCs w:val="24"/>
        </w:rPr>
        <w:footnoteReference w:id="3"/>
      </w:r>
    </w:p>
    <w:p w:rsidR="00F30CFB" w:rsidRPr="000646FF" w:rsidRDefault="00F30CFB" w:rsidP="00D702DC">
      <w:pPr>
        <w:ind w:firstLine="720"/>
        <w:rPr>
          <w:sz w:val="24"/>
          <w:szCs w:val="24"/>
        </w:rPr>
      </w:pPr>
    </w:p>
    <w:p w:rsidR="009C3CDA" w:rsidRPr="000646FF" w:rsidRDefault="009C3CDA" w:rsidP="00D702DC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 xml:space="preserve">As noted above, both the OCA and Ms. </w:t>
      </w:r>
      <w:r w:rsidR="00796BA1" w:rsidRPr="000646FF">
        <w:rPr>
          <w:sz w:val="24"/>
          <w:szCs w:val="24"/>
        </w:rPr>
        <w:t xml:space="preserve">Nentwig, through PULP, opposed PPL’s Petition.  </w:t>
      </w:r>
      <w:r w:rsidR="00CF2B8A" w:rsidRPr="000646FF">
        <w:rPr>
          <w:sz w:val="24"/>
          <w:szCs w:val="24"/>
        </w:rPr>
        <w:t>W</w:t>
      </w:r>
      <w:r w:rsidR="005D0EB7" w:rsidRPr="000646FF">
        <w:rPr>
          <w:sz w:val="24"/>
          <w:szCs w:val="24"/>
        </w:rPr>
        <w:t>e</w:t>
      </w:r>
      <w:r w:rsidR="00796BA1" w:rsidRPr="000646FF">
        <w:rPr>
          <w:sz w:val="24"/>
          <w:szCs w:val="24"/>
        </w:rPr>
        <w:t xml:space="preserve"> do not, however, find the positions of either the OCA or</w:t>
      </w:r>
      <w:r w:rsidR="00EE676A" w:rsidRPr="000646FF">
        <w:rPr>
          <w:sz w:val="24"/>
          <w:szCs w:val="24"/>
        </w:rPr>
        <w:t xml:space="preserve"> PULP to be persuasive.  Both </w:t>
      </w:r>
      <w:r w:rsidR="00E11F1E" w:rsidRPr="000646FF">
        <w:rPr>
          <w:sz w:val="24"/>
          <w:szCs w:val="24"/>
        </w:rPr>
        <w:t xml:space="preserve">Parties </w:t>
      </w:r>
      <w:r w:rsidR="000667FF" w:rsidRPr="000646FF">
        <w:rPr>
          <w:sz w:val="24"/>
          <w:szCs w:val="24"/>
        </w:rPr>
        <w:t>fear</w:t>
      </w:r>
      <w:r w:rsidR="00EE676A" w:rsidRPr="000646FF">
        <w:rPr>
          <w:sz w:val="24"/>
          <w:szCs w:val="24"/>
        </w:rPr>
        <w:t xml:space="preserve"> that personal contact </w:t>
      </w:r>
      <w:r w:rsidR="00F47668" w:rsidRPr="000646FF">
        <w:rPr>
          <w:sz w:val="24"/>
          <w:szCs w:val="24"/>
        </w:rPr>
        <w:t>will be replaced by an automated system.  However, as mentioned above, this program will not replace personal contact</w:t>
      </w:r>
      <w:r w:rsidR="003F41FE" w:rsidRPr="000646FF">
        <w:rPr>
          <w:sz w:val="24"/>
          <w:szCs w:val="24"/>
        </w:rPr>
        <w:t>,</w:t>
      </w:r>
      <w:r w:rsidR="00F47668" w:rsidRPr="000646FF">
        <w:rPr>
          <w:sz w:val="24"/>
          <w:szCs w:val="24"/>
        </w:rPr>
        <w:t xml:space="preserve"> but </w:t>
      </w:r>
      <w:r w:rsidR="003F41FE" w:rsidRPr="000646FF">
        <w:rPr>
          <w:sz w:val="24"/>
          <w:szCs w:val="24"/>
        </w:rPr>
        <w:t>rather is</w:t>
      </w:r>
      <w:r w:rsidR="00F47668" w:rsidRPr="000646FF">
        <w:rPr>
          <w:sz w:val="24"/>
          <w:szCs w:val="24"/>
        </w:rPr>
        <w:t xml:space="preserve"> an alternative for customers to choose to employ.</w:t>
      </w:r>
    </w:p>
    <w:p w:rsidR="00AF459A" w:rsidRPr="000646FF" w:rsidRDefault="00AF459A" w:rsidP="00D702DC">
      <w:pPr>
        <w:ind w:firstLine="720"/>
        <w:rPr>
          <w:sz w:val="24"/>
          <w:szCs w:val="24"/>
        </w:rPr>
      </w:pPr>
    </w:p>
    <w:p w:rsidR="00571C90" w:rsidRPr="000646FF" w:rsidRDefault="00F47668" w:rsidP="003B089B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 xml:space="preserve">Regulatory agencies often have trouble keeping </w:t>
      </w:r>
      <w:r w:rsidR="003F41FE" w:rsidRPr="000646FF">
        <w:rPr>
          <w:sz w:val="24"/>
          <w:szCs w:val="24"/>
        </w:rPr>
        <w:t>pace</w:t>
      </w:r>
      <w:r w:rsidRPr="000646FF">
        <w:rPr>
          <w:sz w:val="24"/>
          <w:szCs w:val="24"/>
        </w:rPr>
        <w:t xml:space="preserve"> with the innovations of the markets that we regulate.  Here, PPL is taking a step to improve customer service</w:t>
      </w:r>
      <w:r w:rsidR="00E11F1E" w:rsidRPr="000646FF">
        <w:rPr>
          <w:sz w:val="24"/>
          <w:szCs w:val="24"/>
        </w:rPr>
        <w:t xml:space="preserve"> and</w:t>
      </w:r>
      <w:r w:rsidRPr="000646FF">
        <w:rPr>
          <w:sz w:val="24"/>
          <w:szCs w:val="24"/>
        </w:rPr>
        <w:t xml:space="preserve"> </w:t>
      </w:r>
      <w:r w:rsidR="005D0EB7" w:rsidRPr="000646FF">
        <w:rPr>
          <w:sz w:val="24"/>
          <w:szCs w:val="24"/>
        </w:rPr>
        <w:t>take advantage of</w:t>
      </w:r>
      <w:r w:rsidRPr="000646FF">
        <w:rPr>
          <w:sz w:val="24"/>
          <w:szCs w:val="24"/>
        </w:rPr>
        <w:t xml:space="preserve"> advances in technology.  </w:t>
      </w:r>
      <w:r w:rsidR="00571C90" w:rsidRPr="000646FF">
        <w:rPr>
          <w:sz w:val="24"/>
          <w:szCs w:val="24"/>
        </w:rPr>
        <w:t xml:space="preserve">It is in the best interest of customers that we reward this forward thinking and further study </w:t>
      </w:r>
      <w:r w:rsidR="003F41FE" w:rsidRPr="000646FF">
        <w:rPr>
          <w:sz w:val="24"/>
          <w:szCs w:val="24"/>
        </w:rPr>
        <w:t>the benefits of</w:t>
      </w:r>
      <w:r w:rsidR="005D0EB7" w:rsidRPr="000646FF">
        <w:rPr>
          <w:sz w:val="24"/>
          <w:szCs w:val="24"/>
        </w:rPr>
        <w:t xml:space="preserve"> modernizing </w:t>
      </w:r>
      <w:r w:rsidR="00B73983" w:rsidRPr="000646FF">
        <w:rPr>
          <w:sz w:val="24"/>
          <w:szCs w:val="24"/>
        </w:rPr>
        <w:t xml:space="preserve">the ways that utilities interact with </w:t>
      </w:r>
      <w:r w:rsidR="003F41FE" w:rsidRPr="000646FF">
        <w:rPr>
          <w:sz w:val="24"/>
          <w:szCs w:val="24"/>
        </w:rPr>
        <w:t xml:space="preserve">their </w:t>
      </w:r>
      <w:r w:rsidR="00B73983" w:rsidRPr="000646FF">
        <w:rPr>
          <w:sz w:val="24"/>
          <w:szCs w:val="24"/>
        </w:rPr>
        <w:t>customers</w:t>
      </w:r>
      <w:r w:rsidR="00E4691D" w:rsidRPr="000646FF">
        <w:rPr>
          <w:sz w:val="24"/>
          <w:szCs w:val="24"/>
        </w:rPr>
        <w:t>.</w:t>
      </w:r>
    </w:p>
    <w:p w:rsidR="00571C90" w:rsidRPr="000646FF" w:rsidRDefault="00571C90" w:rsidP="003B089B">
      <w:pPr>
        <w:ind w:firstLine="720"/>
        <w:rPr>
          <w:sz w:val="24"/>
          <w:szCs w:val="24"/>
        </w:rPr>
      </w:pPr>
    </w:p>
    <w:p w:rsidR="003F41FE" w:rsidRPr="000646FF" w:rsidRDefault="00AF459A" w:rsidP="003B089B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 xml:space="preserve">That is not to say that we are abdicating </w:t>
      </w:r>
      <w:r w:rsidR="003B089B" w:rsidRPr="000646FF">
        <w:rPr>
          <w:sz w:val="24"/>
          <w:szCs w:val="24"/>
        </w:rPr>
        <w:t xml:space="preserve">our responsibility to oversee PPL’s </w:t>
      </w:r>
      <w:r w:rsidR="00B73983" w:rsidRPr="000646FF">
        <w:rPr>
          <w:sz w:val="24"/>
          <w:szCs w:val="24"/>
        </w:rPr>
        <w:t>communications</w:t>
      </w:r>
      <w:r w:rsidR="003B089B" w:rsidRPr="000646FF">
        <w:rPr>
          <w:sz w:val="24"/>
          <w:szCs w:val="24"/>
        </w:rPr>
        <w:t xml:space="preserve"> with its customers.  </w:t>
      </w:r>
      <w:r w:rsidR="00F46C98" w:rsidRPr="000646FF">
        <w:rPr>
          <w:sz w:val="24"/>
          <w:szCs w:val="24"/>
        </w:rPr>
        <w:t xml:space="preserve">Accordingly, </w:t>
      </w:r>
      <w:r w:rsidR="003B089B" w:rsidRPr="000646FF">
        <w:rPr>
          <w:sz w:val="24"/>
          <w:szCs w:val="24"/>
        </w:rPr>
        <w:t xml:space="preserve">PPL is directed to develop both its scripts for the IVR system and language for its website with the Commission’s Bureau </w:t>
      </w:r>
      <w:r w:rsidR="00C160CD" w:rsidRPr="000646FF">
        <w:rPr>
          <w:sz w:val="24"/>
          <w:szCs w:val="24"/>
        </w:rPr>
        <w:t xml:space="preserve">of Consumer Services as well as track </w:t>
      </w:r>
      <w:r w:rsidR="00F47668" w:rsidRPr="000646FF">
        <w:rPr>
          <w:sz w:val="24"/>
          <w:szCs w:val="24"/>
        </w:rPr>
        <w:t>the</w:t>
      </w:r>
      <w:r w:rsidR="00C160CD" w:rsidRPr="000646FF">
        <w:rPr>
          <w:sz w:val="24"/>
          <w:szCs w:val="24"/>
        </w:rPr>
        <w:t xml:space="preserve"> </w:t>
      </w:r>
      <w:r w:rsidR="003B089B" w:rsidRPr="000646FF">
        <w:rPr>
          <w:sz w:val="24"/>
          <w:szCs w:val="24"/>
        </w:rPr>
        <w:t xml:space="preserve">costs </w:t>
      </w:r>
      <w:r w:rsidR="00411BFE" w:rsidRPr="000646FF">
        <w:rPr>
          <w:sz w:val="24"/>
          <w:szCs w:val="24"/>
        </w:rPr>
        <w:t>associated with implementing the program</w:t>
      </w:r>
      <w:r w:rsidR="00C160CD" w:rsidRPr="000646FF">
        <w:rPr>
          <w:sz w:val="24"/>
          <w:szCs w:val="24"/>
        </w:rPr>
        <w:t xml:space="preserve">.  </w:t>
      </w:r>
    </w:p>
    <w:p w:rsidR="003F41FE" w:rsidRPr="000646FF" w:rsidRDefault="003F41FE" w:rsidP="003B089B">
      <w:pPr>
        <w:ind w:firstLine="720"/>
        <w:rPr>
          <w:sz w:val="24"/>
          <w:szCs w:val="24"/>
        </w:rPr>
      </w:pPr>
    </w:p>
    <w:p w:rsidR="00AB0A70" w:rsidRPr="000646FF" w:rsidRDefault="00C160CD" w:rsidP="003B089B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>Further, PPL is directed to prepare a</w:t>
      </w:r>
      <w:r w:rsidR="009A5DFB" w:rsidRPr="000646FF">
        <w:rPr>
          <w:sz w:val="24"/>
          <w:szCs w:val="24"/>
        </w:rPr>
        <w:t xml:space="preserve"> comprehensive report </w:t>
      </w:r>
      <w:r w:rsidR="00D50332" w:rsidRPr="000646FF">
        <w:rPr>
          <w:sz w:val="24"/>
          <w:szCs w:val="24"/>
        </w:rPr>
        <w:t>related to</w:t>
      </w:r>
      <w:r w:rsidR="00F30CFB" w:rsidRPr="000646FF">
        <w:rPr>
          <w:sz w:val="24"/>
          <w:szCs w:val="24"/>
        </w:rPr>
        <w:t xml:space="preserve"> the IVR system and website interface to be filed with the Commission no later than 60 days after the end of the first year </w:t>
      </w:r>
      <w:r w:rsidR="00A70039" w:rsidRPr="000646FF">
        <w:rPr>
          <w:sz w:val="24"/>
          <w:szCs w:val="24"/>
        </w:rPr>
        <w:t>of the program’s implementation</w:t>
      </w:r>
      <w:r w:rsidR="00411BFE" w:rsidRPr="000646FF">
        <w:rPr>
          <w:sz w:val="24"/>
          <w:szCs w:val="24"/>
        </w:rPr>
        <w:t xml:space="preserve">.  This report </w:t>
      </w:r>
      <w:r w:rsidR="003F41FE" w:rsidRPr="000646FF">
        <w:rPr>
          <w:sz w:val="24"/>
          <w:szCs w:val="24"/>
        </w:rPr>
        <w:t>should</w:t>
      </w:r>
      <w:r w:rsidR="00411BFE" w:rsidRPr="000646FF">
        <w:rPr>
          <w:sz w:val="24"/>
          <w:szCs w:val="24"/>
        </w:rPr>
        <w:t xml:space="preserve"> evaluate the overall effectiveness of the program and include</w:t>
      </w:r>
      <w:r w:rsidR="00F46C98" w:rsidRPr="000646FF">
        <w:rPr>
          <w:sz w:val="24"/>
          <w:szCs w:val="24"/>
        </w:rPr>
        <w:t xml:space="preserve"> such</w:t>
      </w:r>
      <w:r w:rsidR="00411BFE" w:rsidRPr="000646FF">
        <w:rPr>
          <w:sz w:val="24"/>
          <w:szCs w:val="24"/>
        </w:rPr>
        <w:t xml:space="preserve"> information </w:t>
      </w:r>
      <w:r w:rsidR="00720413" w:rsidRPr="000646FF">
        <w:rPr>
          <w:sz w:val="24"/>
          <w:szCs w:val="24"/>
        </w:rPr>
        <w:t>as</w:t>
      </w:r>
      <w:r w:rsidR="00411BFE" w:rsidRPr="000646FF">
        <w:rPr>
          <w:sz w:val="24"/>
          <w:szCs w:val="24"/>
        </w:rPr>
        <w:t xml:space="preserve"> </w:t>
      </w:r>
      <w:r w:rsidR="00A71A1C" w:rsidRPr="000646FF">
        <w:rPr>
          <w:sz w:val="24"/>
          <w:szCs w:val="24"/>
        </w:rPr>
        <w:t>any</w:t>
      </w:r>
      <w:r w:rsidR="00411BFE" w:rsidRPr="000646FF">
        <w:rPr>
          <w:sz w:val="24"/>
          <w:szCs w:val="24"/>
        </w:rPr>
        <w:t xml:space="preserve"> problems encountered with implementation</w:t>
      </w:r>
      <w:r w:rsidR="007B0D68" w:rsidRPr="000646FF">
        <w:rPr>
          <w:sz w:val="24"/>
          <w:szCs w:val="24"/>
        </w:rPr>
        <w:t xml:space="preserve"> and program availability</w:t>
      </w:r>
      <w:r w:rsidR="00411BFE" w:rsidRPr="000646FF">
        <w:rPr>
          <w:sz w:val="24"/>
          <w:szCs w:val="24"/>
        </w:rPr>
        <w:t xml:space="preserve">, </w:t>
      </w:r>
      <w:r w:rsidR="00720413" w:rsidRPr="000646FF">
        <w:rPr>
          <w:sz w:val="24"/>
          <w:szCs w:val="24"/>
        </w:rPr>
        <w:t xml:space="preserve">the </w:t>
      </w:r>
      <w:r w:rsidR="005C7A7D" w:rsidRPr="000646FF">
        <w:rPr>
          <w:sz w:val="24"/>
          <w:szCs w:val="24"/>
        </w:rPr>
        <w:t xml:space="preserve">frequency of and </w:t>
      </w:r>
      <w:r w:rsidR="00F46C98" w:rsidRPr="000646FF">
        <w:rPr>
          <w:sz w:val="24"/>
          <w:szCs w:val="24"/>
        </w:rPr>
        <w:t xml:space="preserve">percentage of customer usage, </w:t>
      </w:r>
      <w:r w:rsidR="00720413" w:rsidRPr="000646FF">
        <w:rPr>
          <w:sz w:val="24"/>
          <w:szCs w:val="24"/>
        </w:rPr>
        <w:t xml:space="preserve">the </w:t>
      </w:r>
      <w:r w:rsidR="00F46C98" w:rsidRPr="000646FF">
        <w:rPr>
          <w:sz w:val="24"/>
          <w:szCs w:val="24"/>
        </w:rPr>
        <w:t xml:space="preserve">number of </w:t>
      </w:r>
      <w:r w:rsidR="00720413" w:rsidRPr="000646FF">
        <w:rPr>
          <w:sz w:val="24"/>
          <w:szCs w:val="24"/>
        </w:rPr>
        <w:t>complaints stemming</w:t>
      </w:r>
      <w:r w:rsidR="007B0D68" w:rsidRPr="000646FF">
        <w:rPr>
          <w:sz w:val="24"/>
          <w:szCs w:val="24"/>
        </w:rPr>
        <w:t xml:space="preserve"> from use of the program, and </w:t>
      </w:r>
      <w:r w:rsidR="00720413" w:rsidRPr="000646FF">
        <w:rPr>
          <w:sz w:val="24"/>
          <w:szCs w:val="24"/>
        </w:rPr>
        <w:t xml:space="preserve">the </w:t>
      </w:r>
      <w:r w:rsidR="007B0D68" w:rsidRPr="000646FF">
        <w:rPr>
          <w:sz w:val="24"/>
          <w:szCs w:val="24"/>
        </w:rPr>
        <w:t xml:space="preserve">number of service terminations </w:t>
      </w:r>
      <w:r w:rsidR="00A91718" w:rsidRPr="000646FF">
        <w:rPr>
          <w:sz w:val="24"/>
          <w:szCs w:val="24"/>
        </w:rPr>
        <w:t>prevented</w:t>
      </w:r>
      <w:r w:rsidR="007B0D68" w:rsidRPr="000646FF">
        <w:rPr>
          <w:sz w:val="24"/>
          <w:szCs w:val="24"/>
        </w:rPr>
        <w:t xml:space="preserve"> from use of the program.  The company should</w:t>
      </w:r>
      <w:r w:rsidR="00720413" w:rsidRPr="000646FF">
        <w:rPr>
          <w:sz w:val="24"/>
          <w:szCs w:val="24"/>
        </w:rPr>
        <w:t xml:space="preserve"> also</w:t>
      </w:r>
      <w:r w:rsidR="007B0D68" w:rsidRPr="000646FF">
        <w:rPr>
          <w:sz w:val="24"/>
          <w:szCs w:val="24"/>
        </w:rPr>
        <w:t xml:space="preserve"> include any information </w:t>
      </w:r>
      <w:r w:rsidR="00720413" w:rsidRPr="000646FF">
        <w:rPr>
          <w:sz w:val="24"/>
          <w:szCs w:val="24"/>
        </w:rPr>
        <w:t xml:space="preserve">and data </w:t>
      </w:r>
      <w:r w:rsidR="004F2539" w:rsidRPr="000646FF">
        <w:rPr>
          <w:sz w:val="24"/>
          <w:szCs w:val="24"/>
        </w:rPr>
        <w:t>that</w:t>
      </w:r>
      <w:r w:rsidR="007B0D68" w:rsidRPr="000646FF">
        <w:rPr>
          <w:sz w:val="24"/>
          <w:szCs w:val="24"/>
        </w:rPr>
        <w:t xml:space="preserve"> it believes will </w:t>
      </w:r>
      <w:r w:rsidR="00F30CFB" w:rsidRPr="000646FF">
        <w:rPr>
          <w:sz w:val="24"/>
          <w:szCs w:val="24"/>
        </w:rPr>
        <w:t>allow the Commission to fully evaluate the program</w:t>
      </w:r>
      <w:r w:rsidR="00AB0A70" w:rsidRPr="000646FF">
        <w:rPr>
          <w:sz w:val="24"/>
          <w:szCs w:val="24"/>
        </w:rPr>
        <w:t>’s</w:t>
      </w:r>
      <w:r w:rsidR="00F30CFB" w:rsidRPr="000646FF">
        <w:rPr>
          <w:sz w:val="24"/>
          <w:szCs w:val="24"/>
        </w:rPr>
        <w:t xml:space="preserve"> effectiveness.  </w:t>
      </w:r>
    </w:p>
    <w:p w:rsidR="00AB0A70" w:rsidRPr="000646FF" w:rsidRDefault="00AB0A70" w:rsidP="003B089B">
      <w:pPr>
        <w:ind w:firstLine="720"/>
        <w:rPr>
          <w:sz w:val="24"/>
          <w:szCs w:val="24"/>
        </w:rPr>
      </w:pPr>
    </w:p>
    <w:p w:rsidR="00177A5B" w:rsidRPr="000646FF" w:rsidRDefault="00720413" w:rsidP="003B089B">
      <w:pPr>
        <w:ind w:firstLine="720"/>
        <w:rPr>
          <w:sz w:val="24"/>
          <w:szCs w:val="24"/>
        </w:rPr>
      </w:pPr>
      <w:r w:rsidRPr="000646FF">
        <w:rPr>
          <w:sz w:val="24"/>
          <w:szCs w:val="24"/>
        </w:rPr>
        <w:t xml:space="preserve">Additionally, </w:t>
      </w:r>
      <w:r w:rsidR="00AB0A70" w:rsidRPr="000646FF">
        <w:rPr>
          <w:sz w:val="24"/>
          <w:szCs w:val="24"/>
        </w:rPr>
        <w:t xml:space="preserve">we will require </w:t>
      </w:r>
      <w:r w:rsidR="00A71A1C" w:rsidRPr="000646FF">
        <w:rPr>
          <w:sz w:val="24"/>
          <w:szCs w:val="24"/>
        </w:rPr>
        <w:t xml:space="preserve">that </w:t>
      </w:r>
      <w:r w:rsidR="00AB0A70" w:rsidRPr="000646FF">
        <w:rPr>
          <w:sz w:val="24"/>
          <w:szCs w:val="24"/>
        </w:rPr>
        <w:t xml:space="preserve">the company provide quarterly statistical </w:t>
      </w:r>
      <w:r w:rsidR="00F122C1" w:rsidRPr="000646FF">
        <w:rPr>
          <w:sz w:val="24"/>
          <w:szCs w:val="24"/>
        </w:rPr>
        <w:t>reports detailing customer usage</w:t>
      </w:r>
      <w:r w:rsidR="00AB0A70" w:rsidRPr="000646FF">
        <w:rPr>
          <w:sz w:val="24"/>
          <w:szCs w:val="24"/>
        </w:rPr>
        <w:t xml:space="preserve"> o</w:t>
      </w:r>
      <w:r w:rsidR="00F122C1" w:rsidRPr="000646FF">
        <w:rPr>
          <w:sz w:val="24"/>
          <w:szCs w:val="24"/>
        </w:rPr>
        <w:t>f</w:t>
      </w:r>
      <w:r w:rsidR="00AB0A70" w:rsidRPr="000646FF">
        <w:rPr>
          <w:sz w:val="24"/>
          <w:szCs w:val="24"/>
        </w:rPr>
        <w:t xml:space="preserve"> the program and inform the Commission immediately of any problems that arise</w:t>
      </w:r>
      <w:r w:rsidR="009D3469" w:rsidRPr="000646FF">
        <w:rPr>
          <w:sz w:val="24"/>
          <w:szCs w:val="24"/>
        </w:rPr>
        <w:t>.</w:t>
      </w:r>
    </w:p>
    <w:p w:rsidR="000638F1" w:rsidRPr="000646FF" w:rsidRDefault="000638F1" w:rsidP="000638F1">
      <w:pPr>
        <w:ind w:firstLine="720"/>
        <w:rPr>
          <w:sz w:val="24"/>
          <w:szCs w:val="24"/>
        </w:rPr>
      </w:pPr>
    </w:p>
    <w:p w:rsidR="00330907" w:rsidRPr="000646FF" w:rsidRDefault="00330907" w:rsidP="000638F1">
      <w:pPr>
        <w:ind w:firstLine="720"/>
        <w:rPr>
          <w:b/>
          <w:sz w:val="24"/>
          <w:szCs w:val="24"/>
        </w:rPr>
      </w:pPr>
      <w:r w:rsidRPr="000646FF">
        <w:rPr>
          <w:b/>
          <w:sz w:val="24"/>
          <w:szCs w:val="24"/>
        </w:rPr>
        <w:t xml:space="preserve">Therefore, </w:t>
      </w:r>
      <w:r w:rsidR="009D549C" w:rsidRPr="000646FF">
        <w:rPr>
          <w:b/>
          <w:sz w:val="24"/>
          <w:szCs w:val="24"/>
        </w:rPr>
        <w:t>we</w:t>
      </w:r>
      <w:r w:rsidRPr="000646FF">
        <w:rPr>
          <w:b/>
          <w:sz w:val="24"/>
          <w:szCs w:val="24"/>
        </w:rPr>
        <w:t xml:space="preserve"> move that</w:t>
      </w:r>
    </w:p>
    <w:p w:rsidR="00330907" w:rsidRPr="000646FF" w:rsidRDefault="00330907" w:rsidP="000638F1">
      <w:pPr>
        <w:ind w:firstLine="720"/>
        <w:rPr>
          <w:sz w:val="24"/>
          <w:szCs w:val="24"/>
        </w:rPr>
      </w:pPr>
    </w:p>
    <w:p w:rsidR="00330907" w:rsidRPr="000646FF" w:rsidRDefault="00D97680" w:rsidP="008C284A">
      <w:pPr>
        <w:pStyle w:val="ListParagraph"/>
        <w:numPr>
          <w:ilvl w:val="0"/>
          <w:numId w:val="1"/>
        </w:numPr>
        <w:ind w:left="1350" w:hanging="540"/>
        <w:rPr>
          <w:sz w:val="24"/>
          <w:szCs w:val="24"/>
        </w:rPr>
      </w:pPr>
      <w:r w:rsidRPr="000646FF">
        <w:rPr>
          <w:sz w:val="24"/>
          <w:szCs w:val="24"/>
        </w:rPr>
        <w:t>T</w:t>
      </w:r>
      <w:r w:rsidR="00F30CFB" w:rsidRPr="000646FF">
        <w:rPr>
          <w:sz w:val="24"/>
          <w:szCs w:val="24"/>
        </w:rPr>
        <w:t>he Petition to Intervene of Maryellen Nentwig is granted</w:t>
      </w:r>
      <w:r w:rsidR="000646FF" w:rsidRPr="000646FF">
        <w:rPr>
          <w:sz w:val="24"/>
          <w:szCs w:val="24"/>
        </w:rPr>
        <w:t xml:space="preserve"> and 52 Pa. Code Section 1.36 is waived as it pertains to Ms. Nentwig’s and the Office of Consumer Advocate’s Answers</w:t>
      </w:r>
      <w:r w:rsidR="00F30CFB" w:rsidRPr="000646FF">
        <w:rPr>
          <w:sz w:val="24"/>
          <w:szCs w:val="24"/>
        </w:rPr>
        <w:t xml:space="preserve">; </w:t>
      </w:r>
      <w:r w:rsidR="004F7003" w:rsidRPr="000646FF">
        <w:rPr>
          <w:sz w:val="24"/>
          <w:szCs w:val="24"/>
        </w:rPr>
        <w:t xml:space="preserve"> </w:t>
      </w:r>
    </w:p>
    <w:p w:rsidR="004F7003" w:rsidRPr="000646FF" w:rsidRDefault="004F7003" w:rsidP="004F7003">
      <w:pPr>
        <w:pStyle w:val="ListParagraph"/>
        <w:ind w:left="1800"/>
        <w:rPr>
          <w:sz w:val="24"/>
          <w:szCs w:val="24"/>
        </w:rPr>
      </w:pPr>
    </w:p>
    <w:p w:rsidR="004F7003" w:rsidRPr="000646FF" w:rsidRDefault="00265070" w:rsidP="008C284A">
      <w:pPr>
        <w:pStyle w:val="ListParagraph"/>
        <w:numPr>
          <w:ilvl w:val="0"/>
          <w:numId w:val="1"/>
        </w:numPr>
        <w:ind w:left="1350" w:hanging="540"/>
        <w:rPr>
          <w:sz w:val="24"/>
          <w:szCs w:val="24"/>
        </w:rPr>
      </w:pPr>
      <w:r w:rsidRPr="000646FF">
        <w:rPr>
          <w:sz w:val="24"/>
          <w:szCs w:val="24"/>
        </w:rPr>
        <w:t>PPL’s Petition for a two-year waiver of 52 Pa. Code Section 56.97(a) is granted for the limited purpose of implementing the program outlined in PPL’s instant Petition;</w:t>
      </w:r>
    </w:p>
    <w:p w:rsidR="00265070" w:rsidRPr="000646FF" w:rsidRDefault="00265070" w:rsidP="00265070">
      <w:pPr>
        <w:pStyle w:val="ListParagraph"/>
        <w:rPr>
          <w:sz w:val="24"/>
          <w:szCs w:val="24"/>
        </w:rPr>
      </w:pPr>
    </w:p>
    <w:p w:rsidR="00265070" w:rsidRPr="000646FF" w:rsidRDefault="00265070" w:rsidP="008C284A">
      <w:pPr>
        <w:pStyle w:val="ListParagraph"/>
        <w:numPr>
          <w:ilvl w:val="0"/>
          <w:numId w:val="1"/>
        </w:numPr>
        <w:ind w:left="1350" w:hanging="540"/>
        <w:rPr>
          <w:sz w:val="24"/>
          <w:szCs w:val="24"/>
        </w:rPr>
      </w:pPr>
      <w:r w:rsidRPr="000646FF">
        <w:rPr>
          <w:sz w:val="24"/>
          <w:szCs w:val="24"/>
        </w:rPr>
        <w:t>PPL work with the Bureau of Consumer Services when developing the scripts to be used in the Interactive Voice Response system and text to be used for the website;</w:t>
      </w:r>
    </w:p>
    <w:p w:rsidR="00D97680" w:rsidRPr="000646FF" w:rsidRDefault="00D97680" w:rsidP="00D97680">
      <w:pPr>
        <w:pStyle w:val="ListParagraph"/>
        <w:rPr>
          <w:sz w:val="24"/>
          <w:szCs w:val="24"/>
        </w:rPr>
      </w:pPr>
    </w:p>
    <w:p w:rsidR="00D97680" w:rsidRPr="000646FF" w:rsidRDefault="00D97680" w:rsidP="008C284A">
      <w:pPr>
        <w:pStyle w:val="ListParagraph"/>
        <w:numPr>
          <w:ilvl w:val="0"/>
          <w:numId w:val="1"/>
        </w:numPr>
        <w:ind w:left="1350" w:hanging="540"/>
        <w:rPr>
          <w:sz w:val="24"/>
          <w:szCs w:val="24"/>
        </w:rPr>
      </w:pPr>
      <w:r w:rsidRPr="000646FF">
        <w:rPr>
          <w:sz w:val="24"/>
          <w:szCs w:val="24"/>
        </w:rPr>
        <w:lastRenderedPageBreak/>
        <w:t xml:space="preserve">PPL track the costs of </w:t>
      </w:r>
      <w:r w:rsidR="00262CD8" w:rsidRPr="000646FF">
        <w:rPr>
          <w:sz w:val="24"/>
          <w:szCs w:val="24"/>
        </w:rPr>
        <w:t>associated with the implementation of the proposed program</w:t>
      </w:r>
      <w:r w:rsidRPr="000646FF">
        <w:rPr>
          <w:sz w:val="24"/>
          <w:szCs w:val="24"/>
        </w:rPr>
        <w:t>;</w:t>
      </w:r>
    </w:p>
    <w:p w:rsidR="009D3469" w:rsidRPr="000646FF" w:rsidRDefault="009D3469" w:rsidP="009D3469">
      <w:pPr>
        <w:pStyle w:val="ListParagraph"/>
        <w:ind w:left="1350"/>
        <w:rPr>
          <w:sz w:val="24"/>
          <w:szCs w:val="24"/>
        </w:rPr>
      </w:pPr>
    </w:p>
    <w:p w:rsidR="009D3469" w:rsidRPr="000646FF" w:rsidRDefault="009D3469" w:rsidP="008C284A">
      <w:pPr>
        <w:pStyle w:val="ListParagraph"/>
        <w:numPr>
          <w:ilvl w:val="0"/>
          <w:numId w:val="1"/>
        </w:numPr>
        <w:ind w:left="1350" w:hanging="540"/>
        <w:rPr>
          <w:sz w:val="24"/>
          <w:szCs w:val="24"/>
        </w:rPr>
      </w:pPr>
      <w:r w:rsidRPr="000646FF">
        <w:rPr>
          <w:sz w:val="24"/>
          <w:szCs w:val="24"/>
        </w:rPr>
        <w:t xml:space="preserve">PPL file </w:t>
      </w:r>
      <w:r w:rsidR="00F122C1" w:rsidRPr="000646FF">
        <w:rPr>
          <w:sz w:val="24"/>
          <w:szCs w:val="24"/>
        </w:rPr>
        <w:t>quarterly statistical update</w:t>
      </w:r>
      <w:r w:rsidR="009D549C" w:rsidRPr="000646FF">
        <w:rPr>
          <w:sz w:val="24"/>
          <w:szCs w:val="24"/>
        </w:rPr>
        <w:t>s</w:t>
      </w:r>
      <w:r w:rsidR="00F122C1" w:rsidRPr="000646FF">
        <w:rPr>
          <w:sz w:val="24"/>
          <w:szCs w:val="24"/>
        </w:rPr>
        <w:t xml:space="preserve"> with the Commission</w:t>
      </w:r>
      <w:r w:rsidR="009D549C" w:rsidRPr="000646FF">
        <w:rPr>
          <w:sz w:val="24"/>
          <w:szCs w:val="24"/>
        </w:rPr>
        <w:t xml:space="preserve"> and </w:t>
      </w:r>
      <w:r w:rsidR="004F2539" w:rsidRPr="000646FF">
        <w:rPr>
          <w:sz w:val="24"/>
          <w:szCs w:val="24"/>
        </w:rPr>
        <w:t xml:space="preserve">immediately </w:t>
      </w:r>
      <w:r w:rsidR="009D549C" w:rsidRPr="000646FF">
        <w:rPr>
          <w:sz w:val="24"/>
          <w:szCs w:val="24"/>
        </w:rPr>
        <w:t>inform the Commission of any problems that arise with the program</w:t>
      </w:r>
      <w:r w:rsidR="0092154A" w:rsidRPr="000646FF">
        <w:rPr>
          <w:sz w:val="24"/>
          <w:szCs w:val="24"/>
        </w:rPr>
        <w:t>;</w:t>
      </w:r>
    </w:p>
    <w:p w:rsidR="00D97680" w:rsidRPr="000646FF" w:rsidRDefault="00D97680" w:rsidP="00D97680">
      <w:pPr>
        <w:pStyle w:val="ListParagraph"/>
        <w:rPr>
          <w:sz w:val="24"/>
          <w:szCs w:val="24"/>
        </w:rPr>
      </w:pPr>
    </w:p>
    <w:p w:rsidR="00D97680" w:rsidRPr="000646FF" w:rsidRDefault="00D97680" w:rsidP="008C284A">
      <w:pPr>
        <w:pStyle w:val="ListParagraph"/>
        <w:numPr>
          <w:ilvl w:val="0"/>
          <w:numId w:val="1"/>
        </w:numPr>
        <w:ind w:left="1350" w:hanging="540"/>
        <w:rPr>
          <w:sz w:val="24"/>
          <w:szCs w:val="24"/>
        </w:rPr>
      </w:pPr>
      <w:r w:rsidRPr="000646FF">
        <w:rPr>
          <w:sz w:val="24"/>
          <w:szCs w:val="24"/>
        </w:rPr>
        <w:t>PPL file a comprehensive report on the Interactive Voice Response system and website interface with the Commission no later than 60 days after the end of the programs’ first year</w:t>
      </w:r>
      <w:r w:rsidR="00A91718" w:rsidRPr="000646FF">
        <w:rPr>
          <w:sz w:val="24"/>
          <w:szCs w:val="24"/>
        </w:rPr>
        <w:t>;</w:t>
      </w:r>
    </w:p>
    <w:p w:rsidR="004F7003" w:rsidRPr="000646FF" w:rsidRDefault="004F7003" w:rsidP="004F7003">
      <w:pPr>
        <w:pStyle w:val="ListParagraph"/>
        <w:rPr>
          <w:sz w:val="24"/>
          <w:szCs w:val="24"/>
        </w:rPr>
      </w:pPr>
    </w:p>
    <w:p w:rsidR="004F7003" w:rsidRPr="000646FF" w:rsidRDefault="004F7003" w:rsidP="008C284A">
      <w:pPr>
        <w:pStyle w:val="ListParagraph"/>
        <w:numPr>
          <w:ilvl w:val="0"/>
          <w:numId w:val="1"/>
        </w:numPr>
        <w:ind w:left="1350" w:hanging="540"/>
        <w:rPr>
          <w:sz w:val="24"/>
          <w:szCs w:val="24"/>
        </w:rPr>
      </w:pPr>
      <w:r w:rsidRPr="000646FF">
        <w:rPr>
          <w:sz w:val="24"/>
          <w:szCs w:val="24"/>
        </w:rPr>
        <w:t>The Office of Special Assistants prepare an Opinion and Order consistent with this Motion</w:t>
      </w:r>
      <w:r w:rsidR="00A91718" w:rsidRPr="000646FF">
        <w:rPr>
          <w:sz w:val="24"/>
          <w:szCs w:val="24"/>
        </w:rPr>
        <w:t>.</w:t>
      </w:r>
    </w:p>
    <w:p w:rsidR="00A71A1C" w:rsidRPr="000646FF" w:rsidRDefault="00A71A1C" w:rsidP="000638F1">
      <w:pPr>
        <w:rPr>
          <w:sz w:val="24"/>
          <w:szCs w:val="24"/>
        </w:rPr>
      </w:pPr>
    </w:p>
    <w:p w:rsidR="000646FF" w:rsidRPr="000646FF" w:rsidRDefault="000646FF" w:rsidP="000638F1">
      <w:pPr>
        <w:rPr>
          <w:sz w:val="24"/>
          <w:szCs w:val="24"/>
        </w:rPr>
      </w:pPr>
    </w:p>
    <w:p w:rsidR="000638F1" w:rsidRPr="000646FF" w:rsidRDefault="00B73983" w:rsidP="000638F1">
      <w:pPr>
        <w:rPr>
          <w:b/>
          <w:sz w:val="24"/>
          <w:szCs w:val="24"/>
        </w:rPr>
      </w:pPr>
      <w:r w:rsidRPr="000646FF">
        <w:rPr>
          <w:b/>
          <w:sz w:val="24"/>
          <w:szCs w:val="24"/>
        </w:rPr>
        <w:t>___________________________</w:t>
      </w:r>
      <w:r w:rsidR="000638F1" w:rsidRPr="000646FF">
        <w:rPr>
          <w:b/>
          <w:sz w:val="24"/>
          <w:szCs w:val="24"/>
        </w:rPr>
        <w:tab/>
      </w:r>
      <w:r w:rsidR="008C284A" w:rsidRPr="000646FF">
        <w:rPr>
          <w:b/>
          <w:sz w:val="24"/>
          <w:szCs w:val="24"/>
        </w:rPr>
        <w:tab/>
      </w:r>
      <w:r w:rsidR="008C284A" w:rsidRPr="000646FF">
        <w:rPr>
          <w:b/>
          <w:sz w:val="24"/>
          <w:szCs w:val="24"/>
        </w:rPr>
        <w:tab/>
      </w:r>
      <w:r w:rsidR="000638F1" w:rsidRPr="000646FF">
        <w:rPr>
          <w:b/>
          <w:sz w:val="24"/>
          <w:szCs w:val="24"/>
        </w:rPr>
        <w:t>_________________________</w:t>
      </w:r>
      <w:r w:rsidRPr="000646FF">
        <w:rPr>
          <w:b/>
          <w:sz w:val="24"/>
          <w:szCs w:val="24"/>
        </w:rPr>
        <w:t>________</w:t>
      </w:r>
    </w:p>
    <w:p w:rsidR="000638F1" w:rsidRPr="000646FF" w:rsidRDefault="00B73983" w:rsidP="000638F1">
      <w:pPr>
        <w:rPr>
          <w:b/>
          <w:sz w:val="24"/>
          <w:szCs w:val="24"/>
        </w:rPr>
      </w:pPr>
      <w:r w:rsidRPr="000646FF">
        <w:rPr>
          <w:b/>
          <w:sz w:val="24"/>
          <w:szCs w:val="24"/>
        </w:rPr>
        <w:t>WAYNE E. GARNDER</w:t>
      </w:r>
      <w:r w:rsidR="000638F1" w:rsidRPr="000646FF">
        <w:rPr>
          <w:b/>
          <w:sz w:val="24"/>
          <w:szCs w:val="24"/>
        </w:rPr>
        <w:tab/>
      </w:r>
      <w:r w:rsidR="000638F1" w:rsidRPr="000646FF">
        <w:rPr>
          <w:b/>
          <w:sz w:val="24"/>
          <w:szCs w:val="24"/>
        </w:rPr>
        <w:tab/>
      </w:r>
      <w:r w:rsidR="000638F1" w:rsidRPr="000646FF">
        <w:rPr>
          <w:b/>
          <w:sz w:val="24"/>
          <w:szCs w:val="24"/>
        </w:rPr>
        <w:tab/>
      </w:r>
      <w:r w:rsidR="008C284A" w:rsidRPr="000646FF">
        <w:rPr>
          <w:b/>
          <w:sz w:val="24"/>
          <w:szCs w:val="24"/>
        </w:rPr>
        <w:tab/>
      </w:r>
      <w:r w:rsidR="000638F1" w:rsidRPr="000646FF">
        <w:rPr>
          <w:b/>
          <w:sz w:val="24"/>
          <w:szCs w:val="24"/>
        </w:rPr>
        <w:t>ROBERT F. POWELSON</w:t>
      </w:r>
    </w:p>
    <w:p w:rsidR="00B90614" w:rsidRPr="000646FF" w:rsidRDefault="00B73983">
      <w:pPr>
        <w:rPr>
          <w:b/>
          <w:sz w:val="24"/>
          <w:szCs w:val="24"/>
        </w:rPr>
      </w:pPr>
      <w:r w:rsidRPr="000646FF">
        <w:rPr>
          <w:b/>
          <w:sz w:val="24"/>
          <w:szCs w:val="24"/>
        </w:rPr>
        <w:t>COMMISSIONER</w:t>
      </w:r>
      <w:r w:rsidR="000638F1" w:rsidRPr="000646FF">
        <w:rPr>
          <w:b/>
          <w:sz w:val="24"/>
          <w:szCs w:val="24"/>
        </w:rPr>
        <w:tab/>
      </w:r>
      <w:r w:rsidR="000638F1" w:rsidRPr="000646FF">
        <w:rPr>
          <w:b/>
          <w:sz w:val="24"/>
          <w:szCs w:val="24"/>
        </w:rPr>
        <w:tab/>
      </w:r>
      <w:r w:rsidR="000638F1" w:rsidRPr="000646FF">
        <w:rPr>
          <w:b/>
          <w:sz w:val="24"/>
          <w:szCs w:val="24"/>
        </w:rPr>
        <w:tab/>
      </w:r>
      <w:r w:rsidR="000638F1" w:rsidRPr="000646FF">
        <w:rPr>
          <w:b/>
          <w:sz w:val="24"/>
          <w:szCs w:val="24"/>
        </w:rPr>
        <w:tab/>
      </w:r>
      <w:r w:rsidR="008C284A" w:rsidRPr="000646FF">
        <w:rPr>
          <w:b/>
          <w:sz w:val="24"/>
          <w:szCs w:val="24"/>
        </w:rPr>
        <w:tab/>
      </w:r>
      <w:r w:rsidR="000638F1" w:rsidRPr="000646FF">
        <w:rPr>
          <w:b/>
          <w:sz w:val="24"/>
          <w:szCs w:val="24"/>
        </w:rPr>
        <w:t>COMMISSIONER</w:t>
      </w:r>
    </w:p>
    <w:p w:rsidR="00A71A1C" w:rsidRDefault="00A71A1C">
      <w:pPr>
        <w:rPr>
          <w:b/>
          <w:sz w:val="24"/>
          <w:szCs w:val="24"/>
        </w:rPr>
      </w:pPr>
    </w:p>
    <w:p w:rsidR="000646FF" w:rsidRPr="000646FF" w:rsidRDefault="000646FF">
      <w:pPr>
        <w:rPr>
          <w:b/>
          <w:sz w:val="24"/>
          <w:szCs w:val="24"/>
        </w:rPr>
      </w:pPr>
    </w:p>
    <w:p w:rsidR="00A71A1C" w:rsidRPr="000646FF" w:rsidRDefault="00A71A1C">
      <w:pPr>
        <w:rPr>
          <w:sz w:val="24"/>
          <w:szCs w:val="24"/>
        </w:rPr>
      </w:pPr>
      <w:r w:rsidRPr="000646FF">
        <w:rPr>
          <w:b/>
          <w:sz w:val="24"/>
          <w:szCs w:val="24"/>
        </w:rPr>
        <w:t>DATE:  AUGUST 18, 2010</w:t>
      </w:r>
    </w:p>
    <w:sectPr w:rsidR="00A71A1C" w:rsidRPr="000646FF" w:rsidSect="009A5DFB">
      <w:type w:val="continuous"/>
      <w:pgSz w:w="12240" w:h="15840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940" w:rsidRDefault="00336940" w:rsidP="00ED2975">
      <w:r>
        <w:separator/>
      </w:r>
    </w:p>
  </w:endnote>
  <w:endnote w:type="continuationSeparator" w:id="0">
    <w:p w:rsidR="00336940" w:rsidRDefault="00336940" w:rsidP="00ED2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FB" w:rsidRDefault="00086D86" w:rsidP="009A5D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5D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5DFB">
      <w:rPr>
        <w:rStyle w:val="PageNumber"/>
        <w:noProof/>
      </w:rPr>
      <w:t>2</w:t>
    </w:r>
    <w:r>
      <w:rPr>
        <w:rStyle w:val="PageNumber"/>
      </w:rPr>
      <w:fldChar w:fldCharType="end"/>
    </w:r>
  </w:p>
  <w:p w:rsidR="009A5DFB" w:rsidRDefault="009A5D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DFB" w:rsidRDefault="00086D86" w:rsidP="009A5D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A5DF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0181">
      <w:rPr>
        <w:rStyle w:val="PageNumber"/>
        <w:noProof/>
      </w:rPr>
      <w:t>3</w:t>
    </w:r>
    <w:r>
      <w:rPr>
        <w:rStyle w:val="PageNumber"/>
      </w:rPr>
      <w:fldChar w:fldCharType="end"/>
    </w:r>
  </w:p>
  <w:p w:rsidR="009A5DFB" w:rsidRDefault="009A5D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940" w:rsidRDefault="00336940" w:rsidP="00ED2975">
      <w:r>
        <w:separator/>
      </w:r>
    </w:p>
  </w:footnote>
  <w:footnote w:type="continuationSeparator" w:id="0">
    <w:p w:rsidR="00336940" w:rsidRDefault="00336940" w:rsidP="00ED2975">
      <w:r>
        <w:continuationSeparator/>
      </w:r>
    </w:p>
  </w:footnote>
  <w:footnote w:id="1">
    <w:p w:rsidR="009A5DFB" w:rsidRPr="002D0816" w:rsidRDefault="009A5DFB">
      <w:pPr>
        <w:pStyle w:val="FootnoteText"/>
        <w:rPr>
          <w:rFonts w:ascii="Times New Roman" w:hAnsi="Times New Roman" w:cs="Times New Roman"/>
        </w:rPr>
      </w:pPr>
      <w:r w:rsidRPr="002D0816">
        <w:rPr>
          <w:rStyle w:val="FootnoteReference"/>
          <w:rFonts w:ascii="Times New Roman" w:hAnsi="Times New Roman" w:cs="Times New Roman"/>
        </w:rPr>
        <w:footnoteRef/>
      </w:r>
      <w:r w:rsidRPr="002D0816">
        <w:rPr>
          <w:rFonts w:ascii="Times New Roman" w:hAnsi="Times New Roman" w:cs="Times New Roman"/>
        </w:rPr>
        <w:t xml:space="preserve"> 52 Pa. Code § 56.97(a).  </w:t>
      </w:r>
    </w:p>
  </w:footnote>
  <w:footnote w:id="2">
    <w:p w:rsidR="00A153B9" w:rsidRPr="009C3CDA" w:rsidRDefault="00A153B9" w:rsidP="00A153B9">
      <w:pPr>
        <w:pStyle w:val="FootnoteText"/>
        <w:rPr>
          <w:rFonts w:ascii="Times New Roman" w:hAnsi="Times New Roman" w:cs="Times New Roman"/>
        </w:rPr>
      </w:pPr>
      <w:r w:rsidRPr="002D0816">
        <w:rPr>
          <w:rStyle w:val="FootnoteReference"/>
          <w:rFonts w:ascii="Times New Roman" w:hAnsi="Times New Roman" w:cs="Times New Roman"/>
        </w:rPr>
        <w:footnoteRef/>
      </w:r>
      <w:r w:rsidRPr="002D0816">
        <w:rPr>
          <w:rFonts w:ascii="Times New Roman" w:hAnsi="Times New Roman" w:cs="Times New Roman"/>
        </w:rPr>
        <w:t xml:space="preserve"> </w:t>
      </w:r>
      <w:r w:rsidR="00CF2B8A">
        <w:rPr>
          <w:rFonts w:ascii="Times New Roman" w:hAnsi="Times New Roman" w:cs="Times New Roman"/>
        </w:rPr>
        <w:t>We</w:t>
      </w:r>
      <w:r w:rsidRPr="002D0816">
        <w:rPr>
          <w:rFonts w:ascii="Times New Roman" w:hAnsi="Times New Roman" w:cs="Times New Roman"/>
        </w:rPr>
        <w:t xml:space="preserve"> note that</w:t>
      </w:r>
      <w:r>
        <w:rPr>
          <w:rFonts w:ascii="Times New Roman" w:hAnsi="Times New Roman" w:cs="Times New Roman"/>
        </w:rPr>
        <w:t xml:space="preserve"> </w:t>
      </w:r>
      <w:r w:rsidRPr="002D0816">
        <w:rPr>
          <w:rFonts w:ascii="Times New Roman" w:hAnsi="Times New Roman" w:cs="Times New Roman"/>
        </w:rPr>
        <w:t>PULP, on behalf of Ms. Nentwig, failed to file a verification with both Ms. Nentwig’s Petition to Intervene and Answer to PPL’s Petition</w:t>
      </w:r>
      <w:r w:rsidR="00525F86">
        <w:rPr>
          <w:rFonts w:ascii="Times New Roman" w:hAnsi="Times New Roman" w:cs="Times New Roman"/>
        </w:rPr>
        <w:t xml:space="preserve">.  Also, </w:t>
      </w:r>
      <w:r w:rsidRPr="002D0816">
        <w:rPr>
          <w:rFonts w:ascii="Times New Roman" w:hAnsi="Times New Roman" w:cs="Times New Roman"/>
        </w:rPr>
        <w:t>the OCA failed to file</w:t>
      </w:r>
      <w:r w:rsidR="00525F86">
        <w:rPr>
          <w:rFonts w:ascii="Times New Roman" w:hAnsi="Times New Roman" w:cs="Times New Roman"/>
        </w:rPr>
        <w:t xml:space="preserve"> a verification with its Answer.  </w:t>
      </w:r>
      <w:r w:rsidR="00C25192">
        <w:rPr>
          <w:rFonts w:ascii="Times New Roman" w:hAnsi="Times New Roman" w:cs="Times New Roman"/>
        </w:rPr>
        <w:t xml:space="preserve">Verifications are required by </w:t>
      </w:r>
      <w:r w:rsidRPr="009C3CDA">
        <w:rPr>
          <w:rFonts w:ascii="Times New Roman" w:hAnsi="Times New Roman" w:cs="Times New Roman"/>
        </w:rPr>
        <w:t xml:space="preserve">Section 1.36 of the Commission’s Regulations, 52 Pa. Code § 1.36.  </w:t>
      </w:r>
      <w:r w:rsidR="00C25192">
        <w:rPr>
          <w:rFonts w:ascii="Times New Roman" w:hAnsi="Times New Roman" w:cs="Times New Roman"/>
        </w:rPr>
        <w:t xml:space="preserve">As a procedural matter, </w:t>
      </w:r>
      <w:r w:rsidR="00CF2B8A">
        <w:rPr>
          <w:rFonts w:ascii="Times New Roman" w:hAnsi="Times New Roman" w:cs="Times New Roman"/>
        </w:rPr>
        <w:t>we</w:t>
      </w:r>
      <w:r w:rsidRPr="009C3CDA">
        <w:rPr>
          <w:rFonts w:ascii="Times New Roman" w:hAnsi="Times New Roman" w:cs="Times New Roman"/>
        </w:rPr>
        <w:t xml:space="preserve"> move that the Commission grant Ms. Nentwig’s Petition to Intervene and </w:t>
      </w:r>
      <w:r>
        <w:rPr>
          <w:rFonts w:ascii="Times New Roman" w:hAnsi="Times New Roman" w:cs="Times New Roman"/>
        </w:rPr>
        <w:t>a</w:t>
      </w:r>
      <w:r w:rsidRPr="009C3CDA">
        <w:rPr>
          <w:rFonts w:ascii="Times New Roman" w:hAnsi="Times New Roman" w:cs="Times New Roman"/>
        </w:rPr>
        <w:t>ccept</w:t>
      </w:r>
      <w:r w:rsidR="00525F86">
        <w:rPr>
          <w:rFonts w:ascii="Times New Roman" w:hAnsi="Times New Roman" w:cs="Times New Roman"/>
        </w:rPr>
        <w:t xml:space="preserve"> both her and the OCA’s Answers</w:t>
      </w:r>
      <w:r w:rsidR="00C25192">
        <w:rPr>
          <w:rFonts w:ascii="Times New Roman" w:hAnsi="Times New Roman" w:cs="Times New Roman"/>
        </w:rPr>
        <w:t>.</w:t>
      </w:r>
    </w:p>
  </w:footnote>
  <w:footnote w:id="3">
    <w:p w:rsidR="009A5DFB" w:rsidRPr="008D3A3A" w:rsidRDefault="009A5DFB">
      <w:pPr>
        <w:pStyle w:val="FootnoteText"/>
        <w:rPr>
          <w:i/>
        </w:rPr>
      </w:pPr>
      <w:r w:rsidRPr="009C3CDA">
        <w:rPr>
          <w:rStyle w:val="FootnoteReference"/>
          <w:rFonts w:ascii="Times New Roman" w:hAnsi="Times New Roman" w:cs="Times New Roman"/>
        </w:rPr>
        <w:footnoteRef/>
      </w:r>
      <w:r w:rsidRPr="009C3CDA">
        <w:rPr>
          <w:rFonts w:ascii="Times New Roman" w:hAnsi="Times New Roman" w:cs="Times New Roman"/>
        </w:rPr>
        <w:t xml:space="preserve"> </w:t>
      </w:r>
      <w:r w:rsidRPr="009C3CDA">
        <w:rPr>
          <w:rFonts w:ascii="Times New Roman" w:hAnsi="Times New Roman" w:cs="Times New Roman"/>
          <w:i/>
        </w:rPr>
        <w:t xml:space="preserve">See </w:t>
      </w:r>
      <w:r w:rsidRPr="00D97680">
        <w:rPr>
          <w:rFonts w:ascii="Times New Roman" w:hAnsi="Times New Roman" w:cs="Times New Roman"/>
          <w:i/>
        </w:rPr>
        <w:t>Petition of Direct Energy Services, LLC for Emergency Order Approving a Retail Aggregation Bidding Program for Customers of Pike County Light &amp; Power Company</w:t>
      </w:r>
      <w:r w:rsidRPr="009C3CDA">
        <w:rPr>
          <w:rFonts w:ascii="Times New Roman" w:hAnsi="Times New Roman" w:cs="Times New Roman"/>
        </w:rPr>
        <w:t>, Docket No. P-00062205 (Order entered April 20, 2006)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934A1"/>
    <w:multiLevelType w:val="hybridMultilevel"/>
    <w:tmpl w:val="DD7684AC"/>
    <w:lvl w:ilvl="0" w:tplc="67DCFE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0638F1"/>
    <w:rsid w:val="00016417"/>
    <w:rsid w:val="00026752"/>
    <w:rsid w:val="0005141D"/>
    <w:rsid w:val="00052D9E"/>
    <w:rsid w:val="000638F1"/>
    <w:rsid w:val="000646FF"/>
    <w:rsid w:val="000667FF"/>
    <w:rsid w:val="00086D86"/>
    <w:rsid w:val="000F158D"/>
    <w:rsid w:val="00127CE9"/>
    <w:rsid w:val="00177A5B"/>
    <w:rsid w:val="001A2A0E"/>
    <w:rsid w:val="001C7F6F"/>
    <w:rsid w:val="001E049D"/>
    <w:rsid w:val="001F05FA"/>
    <w:rsid w:val="00202E00"/>
    <w:rsid w:val="00205F9A"/>
    <w:rsid w:val="00226214"/>
    <w:rsid w:val="00235906"/>
    <w:rsid w:val="0026224A"/>
    <w:rsid w:val="00262CD8"/>
    <w:rsid w:val="00265070"/>
    <w:rsid w:val="00290781"/>
    <w:rsid w:val="002A2FEE"/>
    <w:rsid w:val="002D0816"/>
    <w:rsid w:val="002E49BE"/>
    <w:rsid w:val="00327882"/>
    <w:rsid w:val="00330907"/>
    <w:rsid w:val="00336940"/>
    <w:rsid w:val="003436E9"/>
    <w:rsid w:val="003B089B"/>
    <w:rsid w:val="003F41FE"/>
    <w:rsid w:val="00411BFE"/>
    <w:rsid w:val="00420181"/>
    <w:rsid w:val="00436D88"/>
    <w:rsid w:val="00452E41"/>
    <w:rsid w:val="004617D6"/>
    <w:rsid w:val="00465EF0"/>
    <w:rsid w:val="004A4522"/>
    <w:rsid w:val="004C6CFB"/>
    <w:rsid w:val="004F2539"/>
    <w:rsid w:val="004F7003"/>
    <w:rsid w:val="00525F86"/>
    <w:rsid w:val="00562CBE"/>
    <w:rsid w:val="00571C90"/>
    <w:rsid w:val="005917EC"/>
    <w:rsid w:val="00593974"/>
    <w:rsid w:val="005C7A7D"/>
    <w:rsid w:val="005D0EB7"/>
    <w:rsid w:val="005F13FE"/>
    <w:rsid w:val="006704EE"/>
    <w:rsid w:val="00680EB6"/>
    <w:rsid w:val="006F6CE2"/>
    <w:rsid w:val="00720413"/>
    <w:rsid w:val="007306F8"/>
    <w:rsid w:val="0074052A"/>
    <w:rsid w:val="00747106"/>
    <w:rsid w:val="0075541B"/>
    <w:rsid w:val="0075557C"/>
    <w:rsid w:val="00796BA1"/>
    <w:rsid w:val="007A7BD5"/>
    <w:rsid w:val="007B0D68"/>
    <w:rsid w:val="008134C7"/>
    <w:rsid w:val="00861B16"/>
    <w:rsid w:val="00864E16"/>
    <w:rsid w:val="0087244B"/>
    <w:rsid w:val="008757A4"/>
    <w:rsid w:val="00885003"/>
    <w:rsid w:val="008A0565"/>
    <w:rsid w:val="008A4ACE"/>
    <w:rsid w:val="008A79CF"/>
    <w:rsid w:val="008C26D7"/>
    <w:rsid w:val="008C284A"/>
    <w:rsid w:val="008D3A3A"/>
    <w:rsid w:val="008D4D3B"/>
    <w:rsid w:val="008F2171"/>
    <w:rsid w:val="008F6768"/>
    <w:rsid w:val="00902339"/>
    <w:rsid w:val="0092154A"/>
    <w:rsid w:val="009654E8"/>
    <w:rsid w:val="00985C70"/>
    <w:rsid w:val="009917AB"/>
    <w:rsid w:val="009A5DFB"/>
    <w:rsid w:val="009C13BB"/>
    <w:rsid w:val="009C3CDA"/>
    <w:rsid w:val="009D3469"/>
    <w:rsid w:val="009D549C"/>
    <w:rsid w:val="00A058AA"/>
    <w:rsid w:val="00A153B9"/>
    <w:rsid w:val="00A16FC8"/>
    <w:rsid w:val="00A26AD2"/>
    <w:rsid w:val="00A34462"/>
    <w:rsid w:val="00A55EA4"/>
    <w:rsid w:val="00A70039"/>
    <w:rsid w:val="00A71A1C"/>
    <w:rsid w:val="00A91718"/>
    <w:rsid w:val="00AB0A70"/>
    <w:rsid w:val="00AB3F62"/>
    <w:rsid w:val="00AF459A"/>
    <w:rsid w:val="00B5289C"/>
    <w:rsid w:val="00B66CEE"/>
    <w:rsid w:val="00B70807"/>
    <w:rsid w:val="00B73983"/>
    <w:rsid w:val="00B90614"/>
    <w:rsid w:val="00BD295B"/>
    <w:rsid w:val="00C11FED"/>
    <w:rsid w:val="00C160CD"/>
    <w:rsid w:val="00C25192"/>
    <w:rsid w:val="00C95933"/>
    <w:rsid w:val="00CA4D90"/>
    <w:rsid w:val="00CC2D9F"/>
    <w:rsid w:val="00CE7CD7"/>
    <w:rsid w:val="00CF2B8A"/>
    <w:rsid w:val="00CF5A1F"/>
    <w:rsid w:val="00D064F8"/>
    <w:rsid w:val="00D50332"/>
    <w:rsid w:val="00D65DB0"/>
    <w:rsid w:val="00D702DC"/>
    <w:rsid w:val="00D770AE"/>
    <w:rsid w:val="00D97680"/>
    <w:rsid w:val="00DA77A0"/>
    <w:rsid w:val="00DE4028"/>
    <w:rsid w:val="00E11F1E"/>
    <w:rsid w:val="00E33B74"/>
    <w:rsid w:val="00E4691D"/>
    <w:rsid w:val="00EB4133"/>
    <w:rsid w:val="00ED2975"/>
    <w:rsid w:val="00EE676A"/>
    <w:rsid w:val="00F1229F"/>
    <w:rsid w:val="00F122C1"/>
    <w:rsid w:val="00F221F6"/>
    <w:rsid w:val="00F30CFB"/>
    <w:rsid w:val="00F46C98"/>
    <w:rsid w:val="00F47668"/>
    <w:rsid w:val="00F6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638F1"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638F1"/>
    <w:rPr>
      <w:rFonts w:ascii="Arial" w:eastAsia="Times New Roman" w:hAnsi="Arial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0638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38F1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638F1"/>
  </w:style>
  <w:style w:type="paragraph" w:styleId="FootnoteText">
    <w:name w:val="footnote text"/>
    <w:basedOn w:val="Normal"/>
    <w:link w:val="FootnoteTextChar"/>
    <w:uiPriority w:val="99"/>
    <w:semiHidden/>
    <w:unhideWhenUsed/>
    <w:rsid w:val="00465EF0"/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5E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EF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30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2A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A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0D6D-FAFF-46DF-A4FB-62E8B17AB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rmalinak</dc:creator>
  <cp:keywords/>
  <dc:description/>
  <cp:lastModifiedBy>rmalinak</cp:lastModifiedBy>
  <cp:revision>2</cp:revision>
  <cp:lastPrinted>2010-08-17T19:46:00Z</cp:lastPrinted>
  <dcterms:created xsi:type="dcterms:W3CDTF">2010-08-19T13:23:00Z</dcterms:created>
  <dcterms:modified xsi:type="dcterms:W3CDTF">2010-08-19T13:23:00Z</dcterms:modified>
</cp:coreProperties>
</file>