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C22F30">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4F32B3" w:rsidRDefault="004F32B3">
            <w:pPr>
              <w:jc w:val="right"/>
              <w:rPr>
                <w:sz w:val="16"/>
                <w:szCs w:val="16"/>
              </w:rPr>
            </w:pPr>
          </w:p>
          <w:p w:rsidR="003569E8" w:rsidRPr="00170283" w:rsidRDefault="003569E8" w:rsidP="00695E35">
            <w:pPr>
              <w:jc w:val="right"/>
              <w:rPr>
                <w:rFonts w:ascii="Arial" w:hAnsi="Arial"/>
                <w:sz w:val="16"/>
                <w:szCs w:val="16"/>
              </w:rPr>
            </w:pPr>
          </w:p>
        </w:tc>
      </w:tr>
    </w:tbl>
    <w:p w:rsidR="00C74A51" w:rsidRDefault="00C74A51">
      <w:pPr>
        <w:rPr>
          <w:sz w:val="24"/>
        </w:rPr>
        <w:sectPr w:rsidR="00C74A51" w:rsidSect="00BF6F03">
          <w:footerReference w:type="even" r:id="rId8"/>
          <w:footerReference w:type="default" r:id="rId9"/>
          <w:pgSz w:w="12240" w:h="15840"/>
          <w:pgMar w:top="504" w:right="1440" w:bottom="1440" w:left="1440" w:header="720" w:footer="720" w:gutter="0"/>
          <w:cols w:space="720"/>
          <w:titlePg/>
        </w:sectPr>
      </w:pPr>
    </w:p>
    <w:p w:rsidR="00695E35" w:rsidRPr="00E872DE" w:rsidRDefault="003C56E2" w:rsidP="00E872DE">
      <w:pPr>
        <w:rPr>
          <w:b/>
          <w:sz w:val="22"/>
          <w:szCs w:val="22"/>
        </w:rPr>
      </w:pPr>
      <w:r w:rsidRPr="003C56E2">
        <w:rPr>
          <w:b/>
          <w:sz w:val="26"/>
          <w:szCs w:val="26"/>
        </w:rPr>
        <w:lastRenderedPageBreak/>
        <w:tab/>
      </w:r>
      <w:r>
        <w:rPr>
          <w:b/>
          <w:sz w:val="26"/>
          <w:szCs w:val="26"/>
        </w:rPr>
        <w:tab/>
      </w:r>
      <w:r>
        <w:rPr>
          <w:b/>
          <w:sz w:val="26"/>
          <w:szCs w:val="26"/>
        </w:rPr>
        <w:tab/>
      </w:r>
      <w:r>
        <w:rPr>
          <w:b/>
          <w:sz w:val="26"/>
          <w:szCs w:val="26"/>
        </w:rPr>
        <w:tab/>
      </w:r>
      <w:r>
        <w:rPr>
          <w:b/>
          <w:sz w:val="26"/>
          <w:szCs w:val="26"/>
        </w:rPr>
        <w:tab/>
      </w:r>
      <w:r w:rsidR="00E71ACE">
        <w:rPr>
          <w:b/>
          <w:sz w:val="22"/>
          <w:szCs w:val="22"/>
        </w:rPr>
        <w:t>August 20, 2010</w:t>
      </w:r>
    </w:p>
    <w:p w:rsidR="00695E35" w:rsidRPr="00E872DE" w:rsidRDefault="00695E35" w:rsidP="00695E35">
      <w:pPr>
        <w:jc w:val="center"/>
        <w:rPr>
          <w:b/>
          <w:sz w:val="22"/>
          <w:szCs w:val="22"/>
        </w:rPr>
      </w:pPr>
    </w:p>
    <w:p w:rsidR="005F26A1" w:rsidRPr="00E872DE" w:rsidRDefault="005F26A1" w:rsidP="00695E35">
      <w:pPr>
        <w:jc w:val="center"/>
        <w:rPr>
          <w:b/>
          <w:sz w:val="22"/>
          <w:szCs w:val="22"/>
        </w:rPr>
      </w:pPr>
    </w:p>
    <w:p w:rsidR="00CE2F96" w:rsidRPr="00E872DE" w:rsidRDefault="00CE2F96" w:rsidP="00695E35">
      <w:pPr>
        <w:jc w:val="center"/>
        <w:rPr>
          <w:b/>
          <w:sz w:val="22"/>
          <w:szCs w:val="22"/>
        </w:rPr>
      </w:pPr>
    </w:p>
    <w:p w:rsidR="00695E35" w:rsidRPr="00E872DE" w:rsidRDefault="00695E35" w:rsidP="00221BD0">
      <w:pPr>
        <w:jc w:val="right"/>
        <w:rPr>
          <w:sz w:val="22"/>
          <w:szCs w:val="22"/>
        </w:rPr>
      </w:pPr>
    </w:p>
    <w:p w:rsidR="009F637F" w:rsidRPr="006E18F6" w:rsidRDefault="009F637F" w:rsidP="009F637F">
      <w:pPr>
        <w:rPr>
          <w:sz w:val="26"/>
          <w:szCs w:val="26"/>
        </w:rPr>
      </w:pPr>
      <w:r w:rsidRPr="006E18F6">
        <w:rPr>
          <w:sz w:val="26"/>
          <w:szCs w:val="26"/>
        </w:rPr>
        <w:t>To:</w:t>
      </w:r>
      <w:r w:rsidRPr="006E18F6">
        <w:rPr>
          <w:sz w:val="26"/>
          <w:szCs w:val="26"/>
        </w:rPr>
        <w:tab/>
      </w:r>
      <w:r w:rsidR="006E2533">
        <w:rPr>
          <w:sz w:val="26"/>
          <w:szCs w:val="26"/>
        </w:rPr>
        <w:tab/>
      </w:r>
      <w:r w:rsidRPr="006E18F6">
        <w:rPr>
          <w:sz w:val="26"/>
          <w:szCs w:val="26"/>
        </w:rPr>
        <w:t>All Jurisdictional Electric Distribution Companies</w:t>
      </w:r>
    </w:p>
    <w:p w:rsidR="009F637F" w:rsidRPr="006E18F6" w:rsidRDefault="009F637F" w:rsidP="009F637F">
      <w:pPr>
        <w:rPr>
          <w:sz w:val="26"/>
          <w:szCs w:val="26"/>
        </w:rPr>
      </w:pPr>
      <w:r w:rsidRPr="006E18F6">
        <w:rPr>
          <w:sz w:val="26"/>
          <w:szCs w:val="26"/>
        </w:rPr>
        <w:tab/>
      </w:r>
      <w:r w:rsidR="006E2533">
        <w:rPr>
          <w:sz w:val="26"/>
          <w:szCs w:val="26"/>
        </w:rPr>
        <w:tab/>
      </w:r>
      <w:r w:rsidRPr="006E18F6">
        <w:rPr>
          <w:sz w:val="26"/>
          <w:szCs w:val="26"/>
        </w:rPr>
        <w:t>All Licensed Electric Generation Suppliers</w:t>
      </w:r>
    </w:p>
    <w:p w:rsidR="009F637F" w:rsidRPr="006E18F6" w:rsidRDefault="009F637F" w:rsidP="009F637F">
      <w:pPr>
        <w:rPr>
          <w:sz w:val="26"/>
          <w:szCs w:val="26"/>
        </w:rPr>
      </w:pPr>
    </w:p>
    <w:p w:rsidR="00695E35" w:rsidRDefault="00695E35" w:rsidP="00EB5668">
      <w:pPr>
        <w:rPr>
          <w:sz w:val="26"/>
          <w:szCs w:val="26"/>
        </w:rPr>
      </w:pPr>
      <w:r w:rsidRPr="006E18F6">
        <w:rPr>
          <w:sz w:val="26"/>
          <w:szCs w:val="26"/>
        </w:rPr>
        <w:t xml:space="preserve">Re: </w:t>
      </w:r>
      <w:r w:rsidR="005F26A1" w:rsidRPr="006E18F6">
        <w:rPr>
          <w:sz w:val="26"/>
          <w:szCs w:val="26"/>
        </w:rPr>
        <w:t xml:space="preserve"> </w:t>
      </w:r>
      <w:r w:rsidR="006E2533">
        <w:rPr>
          <w:sz w:val="26"/>
          <w:szCs w:val="26"/>
        </w:rPr>
        <w:tab/>
      </w:r>
      <w:r w:rsidR="006E2533">
        <w:rPr>
          <w:sz w:val="26"/>
          <w:szCs w:val="26"/>
        </w:rPr>
        <w:tab/>
      </w:r>
      <w:r w:rsidR="009F637F" w:rsidRPr="006E18F6">
        <w:rPr>
          <w:sz w:val="26"/>
          <w:szCs w:val="26"/>
        </w:rPr>
        <w:t>Electric Generation Supplier Access to Restricted Customer Account</w:t>
      </w:r>
      <w:r w:rsidR="00EB5668" w:rsidRPr="006E18F6">
        <w:rPr>
          <w:sz w:val="26"/>
          <w:szCs w:val="26"/>
        </w:rPr>
        <w:t>s</w:t>
      </w:r>
    </w:p>
    <w:p w:rsidR="006B5192" w:rsidRDefault="006B5192" w:rsidP="00EB5668">
      <w:pPr>
        <w:rPr>
          <w:sz w:val="26"/>
          <w:szCs w:val="26"/>
        </w:rPr>
      </w:pPr>
    </w:p>
    <w:p w:rsidR="006B5192" w:rsidRPr="006E18F6" w:rsidRDefault="006B5192" w:rsidP="00EB5668">
      <w:pPr>
        <w:rPr>
          <w:sz w:val="26"/>
          <w:szCs w:val="26"/>
        </w:rPr>
      </w:pPr>
      <w:r>
        <w:rPr>
          <w:sz w:val="26"/>
          <w:szCs w:val="26"/>
        </w:rPr>
        <w:t>Docket No.:</w:t>
      </w:r>
      <w:r>
        <w:rPr>
          <w:sz w:val="26"/>
          <w:szCs w:val="26"/>
        </w:rPr>
        <w:tab/>
        <w:t>M-200</w:t>
      </w:r>
      <w:r w:rsidR="006E2533">
        <w:rPr>
          <w:sz w:val="26"/>
          <w:szCs w:val="26"/>
        </w:rPr>
        <w:t>9-2082042</w:t>
      </w:r>
    </w:p>
    <w:p w:rsidR="00695E35" w:rsidRPr="006E18F6" w:rsidRDefault="00695E35" w:rsidP="00695E35">
      <w:pPr>
        <w:ind w:left="1152" w:right="3600" w:hanging="432"/>
        <w:rPr>
          <w:sz w:val="26"/>
          <w:szCs w:val="26"/>
        </w:rPr>
      </w:pPr>
    </w:p>
    <w:p w:rsidR="007B4ECA" w:rsidRPr="006E18F6" w:rsidRDefault="007B4ECA" w:rsidP="00CE2F96">
      <w:pPr>
        <w:ind w:firstLine="1440"/>
        <w:rPr>
          <w:b/>
          <w:sz w:val="26"/>
          <w:szCs w:val="26"/>
        </w:rPr>
      </w:pPr>
    </w:p>
    <w:p w:rsidR="00C22F30" w:rsidRDefault="00E42588" w:rsidP="00E42588">
      <w:pPr>
        <w:rPr>
          <w:sz w:val="26"/>
          <w:szCs w:val="26"/>
        </w:rPr>
      </w:pPr>
      <w:r>
        <w:rPr>
          <w:sz w:val="26"/>
          <w:szCs w:val="26"/>
        </w:rPr>
        <w:tab/>
        <w:t xml:space="preserve">The Commission, through the Office of Competitive Market Oversight, has become aware of questions as to whether the treatment of licensed Electric Generation Supplier (EGS) access to restricted customer accounts announced in </w:t>
      </w:r>
      <w:r w:rsidRPr="006E18F6">
        <w:rPr>
          <w:i/>
          <w:sz w:val="26"/>
          <w:szCs w:val="26"/>
        </w:rPr>
        <w:t>PPL Electric Utilities Corporation Retail Markets</w:t>
      </w:r>
      <w:r w:rsidRPr="006E18F6">
        <w:rPr>
          <w:sz w:val="26"/>
          <w:szCs w:val="26"/>
        </w:rPr>
        <w:t>, Docket No. M-2009-2104271</w:t>
      </w:r>
      <w:r>
        <w:rPr>
          <w:sz w:val="26"/>
          <w:szCs w:val="26"/>
        </w:rPr>
        <w:t>, Order entered August 11, 2009</w:t>
      </w:r>
      <w:r w:rsidRPr="006E18F6">
        <w:rPr>
          <w:sz w:val="26"/>
          <w:szCs w:val="26"/>
        </w:rPr>
        <w:t xml:space="preserve"> (</w:t>
      </w:r>
      <w:r w:rsidRPr="006E18F6">
        <w:rPr>
          <w:i/>
          <w:sz w:val="26"/>
          <w:szCs w:val="26"/>
        </w:rPr>
        <w:t>PPL Order</w:t>
      </w:r>
      <w:r w:rsidRPr="006E18F6">
        <w:rPr>
          <w:sz w:val="26"/>
          <w:szCs w:val="26"/>
        </w:rPr>
        <w:t>)</w:t>
      </w:r>
      <w:r>
        <w:rPr>
          <w:sz w:val="26"/>
          <w:szCs w:val="26"/>
        </w:rPr>
        <w:t xml:space="preserve">, and </w:t>
      </w:r>
      <w:r w:rsidRPr="00F84C96">
        <w:rPr>
          <w:i/>
          <w:sz w:val="26"/>
          <w:szCs w:val="26"/>
        </w:rPr>
        <w:t>Petition of PECO Energy Company for Approval of Smart Meter Technology Procurement and Installation Plan</w:t>
      </w:r>
      <w:r>
        <w:rPr>
          <w:sz w:val="26"/>
          <w:szCs w:val="26"/>
        </w:rPr>
        <w:t>, Docket No. M-2009-2123944, Order entered June 3, 2010 (</w:t>
      </w:r>
      <w:r w:rsidRPr="00F84C96">
        <w:rPr>
          <w:i/>
          <w:sz w:val="26"/>
          <w:szCs w:val="26"/>
        </w:rPr>
        <w:t>PECO Order</w:t>
      </w:r>
      <w:r>
        <w:rPr>
          <w:sz w:val="26"/>
          <w:szCs w:val="26"/>
        </w:rPr>
        <w:t xml:space="preserve">), apply to all jurisdictional Electric Distribution Companies (EDCs).  We are issuing this Secretarial Letter to resolve those questions.  </w:t>
      </w:r>
    </w:p>
    <w:p w:rsidR="00C22F30" w:rsidRDefault="00C22F30" w:rsidP="00E42588">
      <w:pPr>
        <w:rPr>
          <w:sz w:val="26"/>
          <w:szCs w:val="26"/>
        </w:rPr>
      </w:pPr>
    </w:p>
    <w:p w:rsidR="00E42588" w:rsidRDefault="00E42588" w:rsidP="00C22F30">
      <w:pPr>
        <w:ind w:firstLine="720"/>
        <w:rPr>
          <w:sz w:val="26"/>
          <w:szCs w:val="26"/>
        </w:rPr>
      </w:pPr>
      <w:r>
        <w:rPr>
          <w:sz w:val="26"/>
          <w:szCs w:val="26"/>
        </w:rPr>
        <w:t>Our treatment of this issue in those two proceedings rests on our interpretation of our regulation at 52 Pa. Code § 54.8</w:t>
      </w:r>
      <w:r w:rsidR="00EA585B">
        <w:rPr>
          <w:sz w:val="26"/>
          <w:szCs w:val="26"/>
        </w:rPr>
        <w:t xml:space="preserve"> (relating to privacy of customer information)</w:t>
      </w:r>
      <w:r>
        <w:rPr>
          <w:sz w:val="26"/>
          <w:szCs w:val="26"/>
        </w:rPr>
        <w:t xml:space="preserve"> and its operation in the context of EDC/EGS </w:t>
      </w:r>
      <w:r w:rsidR="00E4420C">
        <w:rPr>
          <w:sz w:val="26"/>
          <w:szCs w:val="26"/>
        </w:rPr>
        <w:t>customer information exchange</w:t>
      </w:r>
      <w:r>
        <w:rPr>
          <w:sz w:val="26"/>
          <w:szCs w:val="26"/>
        </w:rPr>
        <w:t xml:space="preserve"> protocols.  As</w:t>
      </w:r>
      <w:r w:rsidR="00EA585B">
        <w:rPr>
          <w:sz w:val="26"/>
          <w:szCs w:val="26"/>
        </w:rPr>
        <w:t xml:space="preserve"> such, it is our intent that this</w:t>
      </w:r>
      <w:r>
        <w:rPr>
          <w:sz w:val="26"/>
          <w:szCs w:val="26"/>
        </w:rPr>
        <w:t xml:space="preserve"> regulatory interpretation appl</w:t>
      </w:r>
      <w:r w:rsidR="00EA585B">
        <w:rPr>
          <w:sz w:val="26"/>
          <w:szCs w:val="26"/>
        </w:rPr>
        <w:t>ies</w:t>
      </w:r>
      <w:r>
        <w:rPr>
          <w:sz w:val="26"/>
          <w:szCs w:val="26"/>
        </w:rPr>
        <w:t xml:space="preserve"> to all jurisdictional EDCs and licensed EGSs.</w:t>
      </w:r>
    </w:p>
    <w:p w:rsidR="004344B0" w:rsidRDefault="004344B0" w:rsidP="00046DED">
      <w:pPr>
        <w:rPr>
          <w:b/>
          <w:sz w:val="26"/>
          <w:szCs w:val="26"/>
        </w:rPr>
      </w:pPr>
    </w:p>
    <w:p w:rsidR="006E18F6" w:rsidRDefault="007B4ECA" w:rsidP="00046DED">
      <w:pPr>
        <w:rPr>
          <w:sz w:val="26"/>
          <w:szCs w:val="26"/>
        </w:rPr>
      </w:pPr>
      <w:r w:rsidRPr="006E18F6">
        <w:rPr>
          <w:b/>
          <w:sz w:val="26"/>
          <w:szCs w:val="26"/>
        </w:rPr>
        <w:tab/>
      </w:r>
      <w:r w:rsidR="00EA585B">
        <w:rPr>
          <w:sz w:val="26"/>
          <w:szCs w:val="26"/>
        </w:rPr>
        <w:t xml:space="preserve">In the </w:t>
      </w:r>
      <w:r w:rsidR="00EA585B" w:rsidRPr="00EA585B">
        <w:rPr>
          <w:i/>
          <w:sz w:val="26"/>
          <w:szCs w:val="26"/>
        </w:rPr>
        <w:t>PPL Order</w:t>
      </w:r>
      <w:r w:rsidR="00EA585B">
        <w:rPr>
          <w:sz w:val="26"/>
          <w:szCs w:val="26"/>
        </w:rPr>
        <w:t>, w</w:t>
      </w:r>
      <w:r w:rsidR="00CB3BF2">
        <w:rPr>
          <w:sz w:val="26"/>
          <w:szCs w:val="26"/>
        </w:rPr>
        <w:t>e stated that Section 54.8 was intended to operate as follows:</w:t>
      </w:r>
    </w:p>
    <w:p w:rsidR="006E18F6" w:rsidRPr="006E18F6" w:rsidRDefault="006E18F6" w:rsidP="00046DED">
      <w:pPr>
        <w:ind w:left="1440" w:right="1440" w:firstLine="720"/>
        <w:rPr>
          <w:sz w:val="26"/>
          <w:szCs w:val="26"/>
        </w:rPr>
      </w:pPr>
    </w:p>
    <w:p w:rsidR="006E18F6" w:rsidRDefault="006E18F6" w:rsidP="00046DED">
      <w:pPr>
        <w:ind w:left="1440" w:right="1440"/>
        <w:rPr>
          <w:sz w:val="26"/>
          <w:szCs w:val="26"/>
        </w:rPr>
      </w:pPr>
      <w:r w:rsidRPr="006E18F6">
        <w:rPr>
          <w:sz w:val="26"/>
          <w:szCs w:val="26"/>
        </w:rPr>
        <w:t>These regulations clearly indicate that they are applicable to both the</w:t>
      </w:r>
      <w:r w:rsidR="00907278">
        <w:rPr>
          <w:sz w:val="26"/>
          <w:szCs w:val="26"/>
        </w:rPr>
        <w:t xml:space="preserve"> EDC </w:t>
      </w:r>
      <w:r w:rsidRPr="006E18F6">
        <w:rPr>
          <w:sz w:val="26"/>
          <w:szCs w:val="26"/>
        </w:rPr>
        <w:t>and EGS.  Additionally, it is stated that a customer may restrict either the telephone number or the historical information and that customers shall be permitted to restrict information by so advising the EDC orally, electronically or by returning a signed form.  Should a customer give such permission to an EGS to receive historical data by any of these means, it is incumbent upon the EDC to respond to the EGS 867 HU request for this information.</w:t>
      </w:r>
    </w:p>
    <w:p w:rsidR="00CB3BF2" w:rsidRDefault="00CB3BF2" w:rsidP="00046DED">
      <w:pPr>
        <w:rPr>
          <w:sz w:val="26"/>
          <w:szCs w:val="26"/>
        </w:rPr>
      </w:pPr>
    </w:p>
    <w:p w:rsidR="00CB3BF2" w:rsidRDefault="00CB3BF2" w:rsidP="00046DED">
      <w:pPr>
        <w:rPr>
          <w:sz w:val="26"/>
          <w:szCs w:val="26"/>
        </w:rPr>
      </w:pPr>
      <w:r w:rsidRPr="00EA585B">
        <w:rPr>
          <w:i/>
          <w:sz w:val="26"/>
          <w:szCs w:val="26"/>
        </w:rPr>
        <w:t>PPL Order</w:t>
      </w:r>
      <w:r>
        <w:rPr>
          <w:sz w:val="26"/>
          <w:szCs w:val="26"/>
        </w:rPr>
        <w:t xml:space="preserve"> at 11.</w:t>
      </w:r>
    </w:p>
    <w:p w:rsidR="00046DED" w:rsidRDefault="00046DED" w:rsidP="00046DED">
      <w:pPr>
        <w:rPr>
          <w:sz w:val="26"/>
          <w:szCs w:val="26"/>
        </w:rPr>
      </w:pPr>
    </w:p>
    <w:p w:rsidR="00046DED" w:rsidRDefault="00046DED" w:rsidP="00046DED">
      <w:pPr>
        <w:rPr>
          <w:sz w:val="26"/>
          <w:szCs w:val="26"/>
        </w:rPr>
      </w:pPr>
      <w:r>
        <w:rPr>
          <w:sz w:val="26"/>
          <w:szCs w:val="26"/>
        </w:rPr>
        <w:lastRenderedPageBreak/>
        <w:tab/>
        <w:t>We again address</w:t>
      </w:r>
      <w:r w:rsidR="00EA585B">
        <w:rPr>
          <w:sz w:val="26"/>
          <w:szCs w:val="26"/>
        </w:rPr>
        <w:t>ed</w:t>
      </w:r>
      <w:r>
        <w:rPr>
          <w:sz w:val="26"/>
          <w:szCs w:val="26"/>
        </w:rPr>
        <w:t xml:space="preserve"> EGS access to restricted customer accounts in </w:t>
      </w:r>
      <w:r w:rsidR="00F84C96">
        <w:rPr>
          <w:sz w:val="26"/>
          <w:szCs w:val="26"/>
        </w:rPr>
        <w:t xml:space="preserve">the </w:t>
      </w:r>
      <w:r w:rsidR="00F84C96" w:rsidRPr="00F84C96">
        <w:rPr>
          <w:i/>
          <w:sz w:val="26"/>
          <w:szCs w:val="26"/>
        </w:rPr>
        <w:t>PECO Order</w:t>
      </w:r>
      <w:r w:rsidR="006933E2">
        <w:rPr>
          <w:sz w:val="26"/>
          <w:szCs w:val="26"/>
        </w:rPr>
        <w:t xml:space="preserve">.  There, </w:t>
      </w:r>
      <w:r w:rsidR="00F84C96">
        <w:rPr>
          <w:sz w:val="26"/>
          <w:szCs w:val="26"/>
        </w:rPr>
        <w:t xml:space="preserve">we discussed our treatment of this issue in the </w:t>
      </w:r>
      <w:r w:rsidR="00F84C96" w:rsidRPr="002134D6">
        <w:rPr>
          <w:i/>
          <w:sz w:val="26"/>
          <w:szCs w:val="26"/>
        </w:rPr>
        <w:t>PPL Order</w:t>
      </w:r>
      <w:r w:rsidR="00F84C96">
        <w:rPr>
          <w:sz w:val="26"/>
          <w:szCs w:val="26"/>
        </w:rPr>
        <w:t xml:space="preserve"> with approval.  We stated, “Consistent with our findings regarding the authorization to release historic usage data for PPL, an EGS will not be required to provide documentation to PECO that the EGS has received authorization of a customer to provide historical usage data to the EGS.”  </w:t>
      </w:r>
      <w:r w:rsidR="00F84C96" w:rsidRPr="006933E2">
        <w:rPr>
          <w:i/>
          <w:sz w:val="26"/>
          <w:szCs w:val="26"/>
        </w:rPr>
        <w:t>PECO Order</w:t>
      </w:r>
      <w:r w:rsidR="00F84C96">
        <w:rPr>
          <w:sz w:val="26"/>
          <w:szCs w:val="26"/>
        </w:rPr>
        <w:t xml:space="preserve"> at 13.</w:t>
      </w:r>
      <w:r w:rsidR="002257A9">
        <w:rPr>
          <w:sz w:val="26"/>
          <w:szCs w:val="26"/>
        </w:rPr>
        <w:t xml:space="preserve">  We reiterated that EGSs are subject to audit by the Commission and the EDC to ensure that the EGS seeking restricted account information did have customer authorization to initiate the request.</w:t>
      </w:r>
    </w:p>
    <w:p w:rsidR="002257A9" w:rsidRDefault="002257A9" w:rsidP="00046DED">
      <w:pPr>
        <w:rPr>
          <w:sz w:val="26"/>
          <w:szCs w:val="26"/>
        </w:rPr>
      </w:pPr>
    </w:p>
    <w:p w:rsidR="00D400BB" w:rsidRDefault="002134D6" w:rsidP="00046DED">
      <w:pPr>
        <w:rPr>
          <w:sz w:val="26"/>
          <w:szCs w:val="26"/>
        </w:rPr>
      </w:pPr>
      <w:r>
        <w:rPr>
          <w:sz w:val="26"/>
          <w:szCs w:val="26"/>
        </w:rPr>
        <w:tab/>
        <w:t>Based upon the foregoing, an EGS</w:t>
      </w:r>
      <w:r w:rsidR="004069FA">
        <w:rPr>
          <w:sz w:val="26"/>
          <w:szCs w:val="26"/>
        </w:rPr>
        <w:t xml:space="preserve"> </w:t>
      </w:r>
      <w:r>
        <w:rPr>
          <w:sz w:val="26"/>
          <w:szCs w:val="26"/>
        </w:rPr>
        <w:t xml:space="preserve">will not be required to provide </w:t>
      </w:r>
      <w:r w:rsidR="00D12552">
        <w:rPr>
          <w:sz w:val="26"/>
          <w:szCs w:val="26"/>
        </w:rPr>
        <w:t xml:space="preserve">prior </w:t>
      </w:r>
      <w:r>
        <w:rPr>
          <w:sz w:val="26"/>
          <w:szCs w:val="26"/>
        </w:rPr>
        <w:t xml:space="preserve">documentation to EDCs </w:t>
      </w:r>
      <w:r w:rsidR="004069FA">
        <w:rPr>
          <w:sz w:val="26"/>
          <w:szCs w:val="26"/>
        </w:rPr>
        <w:t>of a customer’s authorization</w:t>
      </w:r>
      <w:r>
        <w:rPr>
          <w:sz w:val="26"/>
          <w:szCs w:val="26"/>
        </w:rPr>
        <w:t xml:space="preserve"> to provide his</w:t>
      </w:r>
      <w:r w:rsidR="00C22F30">
        <w:rPr>
          <w:sz w:val="26"/>
          <w:szCs w:val="26"/>
        </w:rPr>
        <w:t>torical usage data to the EGS</w:t>
      </w:r>
      <w:r w:rsidR="004069FA">
        <w:rPr>
          <w:sz w:val="26"/>
          <w:szCs w:val="26"/>
        </w:rPr>
        <w:t xml:space="preserve"> </w:t>
      </w:r>
      <w:r w:rsidR="00C22F30">
        <w:rPr>
          <w:sz w:val="26"/>
          <w:szCs w:val="26"/>
        </w:rPr>
        <w:t xml:space="preserve">in connection with either electronic or manual transactions.  </w:t>
      </w:r>
      <w:r w:rsidR="00297497">
        <w:rPr>
          <w:sz w:val="26"/>
          <w:szCs w:val="26"/>
        </w:rPr>
        <w:t>The authorization</w:t>
      </w:r>
      <w:r w:rsidR="00BC115B">
        <w:rPr>
          <w:sz w:val="26"/>
          <w:szCs w:val="26"/>
        </w:rPr>
        <w:t xml:space="preserve"> </w:t>
      </w:r>
      <w:r w:rsidR="002824F6">
        <w:rPr>
          <w:sz w:val="26"/>
          <w:szCs w:val="26"/>
        </w:rPr>
        <w:t>process</w:t>
      </w:r>
      <w:r w:rsidR="00297497">
        <w:rPr>
          <w:sz w:val="26"/>
          <w:szCs w:val="26"/>
        </w:rPr>
        <w:t xml:space="preserve"> used by EGSs should </w:t>
      </w:r>
      <w:r w:rsidR="002824F6">
        <w:rPr>
          <w:sz w:val="26"/>
          <w:szCs w:val="26"/>
        </w:rPr>
        <w:t>convey to consumers</w:t>
      </w:r>
      <w:r w:rsidR="00297497">
        <w:rPr>
          <w:sz w:val="26"/>
          <w:szCs w:val="26"/>
        </w:rPr>
        <w:t xml:space="preserve"> that </w:t>
      </w:r>
      <w:r w:rsidR="00D12552">
        <w:rPr>
          <w:sz w:val="26"/>
          <w:szCs w:val="26"/>
        </w:rPr>
        <w:t xml:space="preserve">EDCs </w:t>
      </w:r>
      <w:r w:rsidR="004069FA">
        <w:rPr>
          <w:sz w:val="26"/>
          <w:szCs w:val="26"/>
        </w:rPr>
        <w:t>will</w:t>
      </w:r>
      <w:r w:rsidR="00D12552">
        <w:rPr>
          <w:sz w:val="26"/>
          <w:szCs w:val="26"/>
        </w:rPr>
        <w:t xml:space="preserve"> release </w:t>
      </w:r>
      <w:r w:rsidR="00297497">
        <w:rPr>
          <w:sz w:val="26"/>
          <w:szCs w:val="26"/>
        </w:rPr>
        <w:t xml:space="preserve">the information </w:t>
      </w:r>
      <w:r w:rsidR="00470A8D">
        <w:rPr>
          <w:sz w:val="26"/>
          <w:szCs w:val="26"/>
        </w:rPr>
        <w:t xml:space="preserve">only </w:t>
      </w:r>
      <w:r w:rsidR="00BC115B">
        <w:rPr>
          <w:sz w:val="26"/>
          <w:szCs w:val="26"/>
        </w:rPr>
        <w:t>to the EGS to whom the authorization was given</w:t>
      </w:r>
      <w:r w:rsidR="00470A8D">
        <w:rPr>
          <w:sz w:val="26"/>
          <w:szCs w:val="26"/>
        </w:rPr>
        <w:t>;</w:t>
      </w:r>
      <w:r w:rsidR="00297497">
        <w:rPr>
          <w:sz w:val="26"/>
          <w:szCs w:val="26"/>
        </w:rPr>
        <w:t xml:space="preserve"> </w:t>
      </w:r>
      <w:r w:rsidR="00901F9B">
        <w:rPr>
          <w:sz w:val="26"/>
          <w:szCs w:val="26"/>
        </w:rPr>
        <w:t>and that the EGS will not release the</w:t>
      </w:r>
      <w:r w:rsidR="00470A8D">
        <w:rPr>
          <w:sz w:val="26"/>
          <w:szCs w:val="26"/>
        </w:rPr>
        <w:t xml:space="preserve"> information to others, </w:t>
      </w:r>
      <w:r w:rsidR="00297497">
        <w:rPr>
          <w:sz w:val="26"/>
          <w:szCs w:val="26"/>
        </w:rPr>
        <w:t xml:space="preserve">unless the EGS is a </w:t>
      </w:r>
      <w:r w:rsidR="00BC115B">
        <w:rPr>
          <w:sz w:val="26"/>
          <w:szCs w:val="26"/>
        </w:rPr>
        <w:t xml:space="preserve">licensed </w:t>
      </w:r>
      <w:r w:rsidR="00297497">
        <w:rPr>
          <w:sz w:val="26"/>
          <w:szCs w:val="26"/>
        </w:rPr>
        <w:t xml:space="preserve">broker who is obtaining this information </w:t>
      </w:r>
      <w:r w:rsidR="00BC115B">
        <w:rPr>
          <w:sz w:val="26"/>
          <w:szCs w:val="26"/>
        </w:rPr>
        <w:t>for purposes of sharing</w:t>
      </w:r>
      <w:r w:rsidR="00297497">
        <w:rPr>
          <w:sz w:val="26"/>
          <w:szCs w:val="26"/>
        </w:rPr>
        <w:t xml:space="preserve"> it with </w:t>
      </w:r>
      <w:r w:rsidR="00387AAB">
        <w:rPr>
          <w:sz w:val="26"/>
          <w:szCs w:val="26"/>
        </w:rPr>
        <w:t xml:space="preserve">other </w:t>
      </w:r>
      <w:r w:rsidR="00297497">
        <w:rPr>
          <w:sz w:val="26"/>
          <w:szCs w:val="26"/>
        </w:rPr>
        <w:t xml:space="preserve">licensed EGSs and makes that intent clear in </w:t>
      </w:r>
      <w:r w:rsidR="002824F6">
        <w:rPr>
          <w:sz w:val="26"/>
          <w:szCs w:val="26"/>
        </w:rPr>
        <w:t>communications with the consumers</w:t>
      </w:r>
      <w:r w:rsidR="00297497">
        <w:rPr>
          <w:sz w:val="26"/>
          <w:szCs w:val="26"/>
        </w:rPr>
        <w:t xml:space="preserve">.  </w:t>
      </w:r>
      <w:r>
        <w:rPr>
          <w:sz w:val="26"/>
          <w:szCs w:val="26"/>
        </w:rPr>
        <w:t xml:space="preserve">It is incumbent upon the EGS to retain </w:t>
      </w:r>
      <w:r w:rsidR="002824F6">
        <w:rPr>
          <w:sz w:val="26"/>
          <w:szCs w:val="26"/>
        </w:rPr>
        <w:t xml:space="preserve">records of </w:t>
      </w:r>
      <w:r>
        <w:rPr>
          <w:sz w:val="26"/>
          <w:szCs w:val="26"/>
        </w:rPr>
        <w:t xml:space="preserve">the requisite authorization </w:t>
      </w:r>
      <w:r w:rsidR="00297497">
        <w:rPr>
          <w:sz w:val="26"/>
          <w:szCs w:val="26"/>
        </w:rPr>
        <w:t xml:space="preserve">for a minimum of two years </w:t>
      </w:r>
      <w:r>
        <w:rPr>
          <w:sz w:val="26"/>
          <w:szCs w:val="26"/>
        </w:rPr>
        <w:t>to produce for a Commission or EDC audit.</w:t>
      </w:r>
    </w:p>
    <w:p w:rsidR="002134D6" w:rsidRDefault="002134D6" w:rsidP="00046DED">
      <w:pPr>
        <w:rPr>
          <w:sz w:val="26"/>
          <w:szCs w:val="26"/>
        </w:rPr>
      </w:pPr>
    </w:p>
    <w:p w:rsidR="00D400BB" w:rsidRDefault="00D400BB" w:rsidP="00046DED">
      <w:pPr>
        <w:rPr>
          <w:sz w:val="26"/>
          <w:szCs w:val="26"/>
        </w:rPr>
      </w:pPr>
      <w:r>
        <w:rPr>
          <w:sz w:val="26"/>
          <w:szCs w:val="26"/>
        </w:rPr>
        <w:tab/>
        <w:t xml:space="preserve">Any questions about this Secretarial Letter should be directed to the Office of Competitive Market Oversight by email at </w:t>
      </w:r>
      <w:hyperlink r:id="rId10" w:history="1">
        <w:r w:rsidRPr="00AD4FAB">
          <w:rPr>
            <w:rStyle w:val="Hyperlink"/>
            <w:sz w:val="26"/>
            <w:szCs w:val="26"/>
          </w:rPr>
          <w:t>ra-OCMO@state.pa.us</w:t>
        </w:r>
      </w:hyperlink>
      <w:r>
        <w:rPr>
          <w:sz w:val="26"/>
          <w:szCs w:val="26"/>
        </w:rPr>
        <w:t xml:space="preserve"> or by calling the Director of Operations at 717-783-5331.</w:t>
      </w:r>
    </w:p>
    <w:p w:rsidR="006E18F6" w:rsidRPr="00E872DE" w:rsidRDefault="006E18F6" w:rsidP="006E18F6">
      <w:pPr>
        <w:ind w:left="1440" w:right="1440"/>
        <w:rPr>
          <w:sz w:val="22"/>
          <w:szCs w:val="22"/>
        </w:rPr>
      </w:pPr>
    </w:p>
    <w:p w:rsidR="00A54DBC" w:rsidRPr="00E872DE" w:rsidRDefault="00A54DBC" w:rsidP="00CE2F96">
      <w:pPr>
        <w:ind w:firstLine="1440"/>
        <w:rPr>
          <w:sz w:val="22"/>
          <w:szCs w:val="22"/>
        </w:rPr>
      </w:pPr>
    </w:p>
    <w:p w:rsidR="00C85628" w:rsidRPr="00E872DE" w:rsidRDefault="00C85628" w:rsidP="00CE2F96">
      <w:pPr>
        <w:ind w:firstLine="1440"/>
        <w:rPr>
          <w:sz w:val="22"/>
          <w:szCs w:val="22"/>
        </w:rPr>
      </w:pPr>
    </w:p>
    <w:p w:rsidR="00EB5668" w:rsidRPr="002134D6" w:rsidRDefault="00E71ACE" w:rsidP="00C85628">
      <w:pPr>
        <w:ind w:left="5040"/>
        <w:rPr>
          <w:sz w:val="26"/>
          <w:szCs w:val="22"/>
        </w:rPr>
      </w:pPr>
      <w:r>
        <w:rPr>
          <w:noProof/>
          <w:sz w:val="26"/>
          <w:szCs w:val="22"/>
        </w:rPr>
        <w:drawing>
          <wp:anchor distT="0" distB="0" distL="114300" distR="114300" simplePos="0" relativeHeight="251659264" behindDoc="1" locked="0" layoutInCell="1" allowOverlap="1">
            <wp:simplePos x="0" y="0"/>
            <wp:positionH relativeFrom="column">
              <wp:posOffset>2771775</wp:posOffset>
            </wp:positionH>
            <wp:positionV relativeFrom="paragraph">
              <wp:posOffset>133350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54DBC" w:rsidRPr="002134D6">
        <w:rPr>
          <w:sz w:val="26"/>
          <w:szCs w:val="22"/>
        </w:rPr>
        <w:t>Sincerely,</w:t>
      </w:r>
    </w:p>
    <w:p w:rsidR="00EB5668" w:rsidRPr="002134D6" w:rsidRDefault="00EB5668" w:rsidP="00C85628">
      <w:pPr>
        <w:ind w:left="5040"/>
        <w:rPr>
          <w:sz w:val="26"/>
          <w:szCs w:val="22"/>
        </w:rPr>
      </w:pPr>
    </w:p>
    <w:p w:rsidR="00A54DBC" w:rsidRDefault="00A54DBC" w:rsidP="00C85628">
      <w:pPr>
        <w:ind w:left="5040"/>
        <w:rPr>
          <w:sz w:val="26"/>
          <w:szCs w:val="22"/>
        </w:rPr>
      </w:pPr>
    </w:p>
    <w:p w:rsidR="00E4420C" w:rsidRDefault="00E4420C" w:rsidP="00C85628">
      <w:pPr>
        <w:ind w:left="5040"/>
        <w:rPr>
          <w:sz w:val="26"/>
          <w:szCs w:val="22"/>
        </w:rPr>
      </w:pPr>
    </w:p>
    <w:p w:rsidR="00E4420C" w:rsidRPr="002134D6" w:rsidRDefault="00E4420C" w:rsidP="00C85628">
      <w:pPr>
        <w:ind w:left="5040"/>
        <w:rPr>
          <w:sz w:val="26"/>
          <w:szCs w:val="22"/>
        </w:rPr>
      </w:pPr>
    </w:p>
    <w:p w:rsidR="00A54DBC" w:rsidRPr="002134D6" w:rsidRDefault="00A54DBC" w:rsidP="00C85628">
      <w:pPr>
        <w:ind w:left="5040"/>
        <w:rPr>
          <w:sz w:val="26"/>
          <w:szCs w:val="22"/>
        </w:rPr>
      </w:pPr>
      <w:r w:rsidRPr="002134D6">
        <w:rPr>
          <w:sz w:val="26"/>
          <w:szCs w:val="22"/>
        </w:rPr>
        <w:t>Rosemary Chiavetta</w:t>
      </w:r>
    </w:p>
    <w:p w:rsidR="00A54DBC" w:rsidRDefault="00A54DBC" w:rsidP="00C85628">
      <w:pPr>
        <w:ind w:left="5040"/>
        <w:rPr>
          <w:sz w:val="26"/>
          <w:szCs w:val="22"/>
        </w:rPr>
      </w:pPr>
      <w:r w:rsidRPr="002134D6">
        <w:rPr>
          <w:sz w:val="26"/>
          <w:szCs w:val="22"/>
        </w:rPr>
        <w:t>Secretary</w:t>
      </w:r>
    </w:p>
    <w:p w:rsidR="00457A20" w:rsidRDefault="00457A20" w:rsidP="00C85628">
      <w:pPr>
        <w:ind w:left="5040"/>
        <w:rPr>
          <w:sz w:val="26"/>
          <w:szCs w:val="22"/>
        </w:rPr>
      </w:pPr>
    </w:p>
    <w:p w:rsidR="00457A20" w:rsidRDefault="00457A20" w:rsidP="00457A20">
      <w:pPr>
        <w:rPr>
          <w:sz w:val="26"/>
          <w:szCs w:val="22"/>
        </w:rPr>
      </w:pPr>
    </w:p>
    <w:p w:rsidR="00457A20" w:rsidRDefault="00E4420C" w:rsidP="00457A20">
      <w:pPr>
        <w:rPr>
          <w:sz w:val="26"/>
          <w:szCs w:val="22"/>
        </w:rPr>
      </w:pPr>
      <w:r>
        <w:rPr>
          <w:sz w:val="26"/>
          <w:szCs w:val="22"/>
        </w:rPr>
        <w:t>c</w:t>
      </w:r>
      <w:r w:rsidR="00457A20">
        <w:rPr>
          <w:sz w:val="26"/>
          <w:szCs w:val="22"/>
        </w:rPr>
        <w:t xml:space="preserve">c:  </w:t>
      </w:r>
      <w:r w:rsidR="00457A20">
        <w:rPr>
          <w:sz w:val="26"/>
          <w:szCs w:val="22"/>
        </w:rPr>
        <w:tab/>
        <w:t>Office of Competitive Market Oversight</w:t>
      </w:r>
    </w:p>
    <w:p w:rsidR="00457A20" w:rsidRDefault="00457A20" w:rsidP="00457A20">
      <w:pPr>
        <w:rPr>
          <w:sz w:val="26"/>
          <w:szCs w:val="22"/>
        </w:rPr>
      </w:pPr>
      <w:r>
        <w:rPr>
          <w:sz w:val="26"/>
          <w:szCs w:val="22"/>
        </w:rPr>
        <w:tab/>
        <w:t>Office of Consumer Advocate</w:t>
      </w:r>
    </w:p>
    <w:p w:rsidR="00457A20" w:rsidRPr="002134D6" w:rsidRDefault="00457A20" w:rsidP="00457A20">
      <w:pPr>
        <w:rPr>
          <w:sz w:val="26"/>
          <w:szCs w:val="22"/>
        </w:rPr>
      </w:pPr>
      <w:r>
        <w:rPr>
          <w:sz w:val="26"/>
          <w:szCs w:val="22"/>
        </w:rPr>
        <w:tab/>
        <w:t>Office of Small Business Advocate</w:t>
      </w:r>
    </w:p>
    <w:p w:rsidR="00DE1634" w:rsidRPr="002134D6" w:rsidRDefault="00DE1634" w:rsidP="00DE1634">
      <w:pPr>
        <w:rPr>
          <w:sz w:val="26"/>
          <w:szCs w:val="22"/>
        </w:rPr>
      </w:pPr>
    </w:p>
    <w:sectPr w:rsidR="00DE1634" w:rsidRPr="002134D6" w:rsidSect="004F5AAA">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FAE" w:rsidRDefault="00CB4FAE">
      <w:r>
        <w:separator/>
      </w:r>
    </w:p>
  </w:endnote>
  <w:endnote w:type="continuationSeparator" w:id="0">
    <w:p w:rsidR="00CB4FAE" w:rsidRDefault="00CB4F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774C54" w:rsidP="009E40EC">
    <w:pPr>
      <w:pStyle w:val="Footer"/>
      <w:framePr w:wrap="around" w:vAnchor="text" w:hAnchor="margin" w:xAlign="center" w:y="1"/>
      <w:rPr>
        <w:rStyle w:val="PageNumber"/>
      </w:rPr>
    </w:pPr>
    <w:r>
      <w:rPr>
        <w:rStyle w:val="PageNumber"/>
      </w:rPr>
      <w:fldChar w:fldCharType="begin"/>
    </w:r>
    <w:r w:rsidR="006B5192">
      <w:rPr>
        <w:rStyle w:val="PageNumber"/>
      </w:rPr>
      <w:instrText xml:space="preserve">PAGE  </w:instrText>
    </w:r>
    <w:r>
      <w:rPr>
        <w:rStyle w:val="PageNumber"/>
      </w:rPr>
      <w:fldChar w:fldCharType="end"/>
    </w:r>
  </w:p>
  <w:p w:rsidR="006B5192" w:rsidRDefault="006B5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774C54" w:rsidP="009E40EC">
    <w:pPr>
      <w:pStyle w:val="Footer"/>
      <w:framePr w:wrap="around" w:vAnchor="text" w:hAnchor="margin" w:xAlign="center" w:y="1"/>
      <w:rPr>
        <w:rStyle w:val="PageNumber"/>
      </w:rPr>
    </w:pPr>
    <w:r>
      <w:rPr>
        <w:rStyle w:val="PageNumber"/>
      </w:rPr>
      <w:fldChar w:fldCharType="begin"/>
    </w:r>
    <w:r w:rsidR="006B5192">
      <w:rPr>
        <w:rStyle w:val="PageNumber"/>
      </w:rPr>
      <w:instrText xml:space="preserve">PAGE  </w:instrText>
    </w:r>
    <w:r>
      <w:rPr>
        <w:rStyle w:val="PageNumber"/>
      </w:rPr>
      <w:fldChar w:fldCharType="end"/>
    </w:r>
  </w:p>
  <w:p w:rsidR="006B5192" w:rsidRDefault="006B51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774C54">
    <w:pPr>
      <w:pStyle w:val="Footer"/>
      <w:framePr w:wrap="around" w:vAnchor="text" w:hAnchor="margin" w:xAlign="center" w:y="1"/>
      <w:rPr>
        <w:rStyle w:val="PageNumber"/>
      </w:rPr>
    </w:pPr>
    <w:r>
      <w:rPr>
        <w:rStyle w:val="PageNumber"/>
      </w:rPr>
      <w:fldChar w:fldCharType="begin"/>
    </w:r>
    <w:r w:rsidR="006B5192">
      <w:rPr>
        <w:rStyle w:val="PageNumber"/>
      </w:rPr>
      <w:instrText xml:space="preserve">PAGE  </w:instrText>
    </w:r>
    <w:r>
      <w:rPr>
        <w:rStyle w:val="PageNumber"/>
      </w:rPr>
      <w:fldChar w:fldCharType="separate"/>
    </w:r>
    <w:r w:rsidR="006B5192">
      <w:rPr>
        <w:rStyle w:val="PageNumber"/>
        <w:noProof/>
      </w:rPr>
      <w:t>2</w:t>
    </w:r>
    <w:r>
      <w:rPr>
        <w:rStyle w:val="PageNumber"/>
      </w:rPr>
      <w:fldChar w:fldCharType="end"/>
    </w:r>
  </w:p>
  <w:p w:rsidR="006B5192" w:rsidRDefault="006B519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774C54">
    <w:pPr>
      <w:pStyle w:val="Footer"/>
      <w:jc w:val="center"/>
    </w:pPr>
    <w:fldSimple w:instr=" PAGE   \* MERGEFORMAT ">
      <w:r w:rsidR="00E71ACE">
        <w:rPr>
          <w:noProof/>
        </w:rPr>
        <w:t>2</w:t>
      </w:r>
    </w:fldSimple>
  </w:p>
  <w:p w:rsidR="006B5192" w:rsidRDefault="006B5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FAE" w:rsidRDefault="00CB4FAE">
      <w:r>
        <w:separator/>
      </w:r>
    </w:p>
  </w:footnote>
  <w:footnote w:type="continuationSeparator" w:id="0">
    <w:p w:rsidR="00CB4FAE" w:rsidRDefault="00CB4F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E9073F"/>
    <w:multiLevelType w:val="hybridMultilevel"/>
    <w:tmpl w:val="DF58D786"/>
    <w:lvl w:ilvl="0" w:tplc="FEE095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4A51"/>
    <w:rsid w:val="000227B9"/>
    <w:rsid w:val="00027267"/>
    <w:rsid w:val="00034796"/>
    <w:rsid w:val="00046DED"/>
    <w:rsid w:val="00047304"/>
    <w:rsid w:val="00067B3B"/>
    <w:rsid w:val="00072F1D"/>
    <w:rsid w:val="00076B03"/>
    <w:rsid w:val="00085554"/>
    <w:rsid w:val="000948BA"/>
    <w:rsid w:val="000A4462"/>
    <w:rsid w:val="000E4C77"/>
    <w:rsid w:val="000E4F52"/>
    <w:rsid w:val="001209F1"/>
    <w:rsid w:val="0012404A"/>
    <w:rsid w:val="00124DD5"/>
    <w:rsid w:val="00170283"/>
    <w:rsid w:val="001A0F43"/>
    <w:rsid w:val="001A70DA"/>
    <w:rsid w:val="001D5DBB"/>
    <w:rsid w:val="001E1BF3"/>
    <w:rsid w:val="001F2EDC"/>
    <w:rsid w:val="00202276"/>
    <w:rsid w:val="002134D6"/>
    <w:rsid w:val="00221BD0"/>
    <w:rsid w:val="002229C3"/>
    <w:rsid w:val="002257A9"/>
    <w:rsid w:val="0025446A"/>
    <w:rsid w:val="00280E91"/>
    <w:rsid w:val="002824F6"/>
    <w:rsid w:val="00292374"/>
    <w:rsid w:val="0029471C"/>
    <w:rsid w:val="00295A33"/>
    <w:rsid w:val="00297497"/>
    <w:rsid w:val="002A52A0"/>
    <w:rsid w:val="002F0138"/>
    <w:rsid w:val="0031429F"/>
    <w:rsid w:val="00345522"/>
    <w:rsid w:val="003516A6"/>
    <w:rsid w:val="00353111"/>
    <w:rsid w:val="003569E8"/>
    <w:rsid w:val="0036151A"/>
    <w:rsid w:val="003643D8"/>
    <w:rsid w:val="00387AAB"/>
    <w:rsid w:val="003B26C3"/>
    <w:rsid w:val="003C102A"/>
    <w:rsid w:val="003C1323"/>
    <w:rsid w:val="003C56E2"/>
    <w:rsid w:val="003E4B39"/>
    <w:rsid w:val="004069FA"/>
    <w:rsid w:val="0041614A"/>
    <w:rsid w:val="004344B0"/>
    <w:rsid w:val="00457A20"/>
    <w:rsid w:val="00470A8D"/>
    <w:rsid w:val="004A1767"/>
    <w:rsid w:val="004D2698"/>
    <w:rsid w:val="004F32B3"/>
    <w:rsid w:val="004F5AAA"/>
    <w:rsid w:val="00507C2D"/>
    <w:rsid w:val="00513DCA"/>
    <w:rsid w:val="0051639C"/>
    <w:rsid w:val="00516EA7"/>
    <w:rsid w:val="00523D82"/>
    <w:rsid w:val="00526ADA"/>
    <w:rsid w:val="00556387"/>
    <w:rsid w:val="00584C01"/>
    <w:rsid w:val="00595E1B"/>
    <w:rsid w:val="005A0955"/>
    <w:rsid w:val="005B3262"/>
    <w:rsid w:val="005C122D"/>
    <w:rsid w:val="005D37A4"/>
    <w:rsid w:val="005E25C5"/>
    <w:rsid w:val="005F26A1"/>
    <w:rsid w:val="005F3D24"/>
    <w:rsid w:val="006370AE"/>
    <w:rsid w:val="006755C0"/>
    <w:rsid w:val="006933E2"/>
    <w:rsid w:val="00695E35"/>
    <w:rsid w:val="006B5192"/>
    <w:rsid w:val="006C5C47"/>
    <w:rsid w:val="006D6779"/>
    <w:rsid w:val="006E18F6"/>
    <w:rsid w:val="006E1A84"/>
    <w:rsid w:val="006E2533"/>
    <w:rsid w:val="006F455C"/>
    <w:rsid w:val="00700501"/>
    <w:rsid w:val="00701ED5"/>
    <w:rsid w:val="007370AB"/>
    <w:rsid w:val="007509EC"/>
    <w:rsid w:val="00755103"/>
    <w:rsid w:val="007617B1"/>
    <w:rsid w:val="0077210F"/>
    <w:rsid w:val="00772716"/>
    <w:rsid w:val="00774C54"/>
    <w:rsid w:val="007A08F9"/>
    <w:rsid w:val="007A16AE"/>
    <w:rsid w:val="007B4ECA"/>
    <w:rsid w:val="007E64B5"/>
    <w:rsid w:val="007F0775"/>
    <w:rsid w:val="00895C5F"/>
    <w:rsid w:val="008F595E"/>
    <w:rsid w:val="008F78AA"/>
    <w:rsid w:val="00901F9B"/>
    <w:rsid w:val="00907278"/>
    <w:rsid w:val="00930003"/>
    <w:rsid w:val="00933733"/>
    <w:rsid w:val="00984274"/>
    <w:rsid w:val="0099767B"/>
    <w:rsid w:val="009A1144"/>
    <w:rsid w:val="009A3296"/>
    <w:rsid w:val="009B23D8"/>
    <w:rsid w:val="009B2E39"/>
    <w:rsid w:val="009E40EC"/>
    <w:rsid w:val="009E65F6"/>
    <w:rsid w:val="009E7E5D"/>
    <w:rsid w:val="009F5F66"/>
    <w:rsid w:val="009F637F"/>
    <w:rsid w:val="00A54DBC"/>
    <w:rsid w:val="00A66D1F"/>
    <w:rsid w:val="00A84699"/>
    <w:rsid w:val="00A955FA"/>
    <w:rsid w:val="00AB36A9"/>
    <w:rsid w:val="00B00393"/>
    <w:rsid w:val="00B54FCF"/>
    <w:rsid w:val="00B97014"/>
    <w:rsid w:val="00BA0A84"/>
    <w:rsid w:val="00BB52D7"/>
    <w:rsid w:val="00BC115B"/>
    <w:rsid w:val="00BC3A3C"/>
    <w:rsid w:val="00BC5968"/>
    <w:rsid w:val="00BC7ABE"/>
    <w:rsid w:val="00BD3A5C"/>
    <w:rsid w:val="00BD752E"/>
    <w:rsid w:val="00BE4A72"/>
    <w:rsid w:val="00BE5119"/>
    <w:rsid w:val="00BF6F03"/>
    <w:rsid w:val="00C22F30"/>
    <w:rsid w:val="00C74A51"/>
    <w:rsid w:val="00C77F29"/>
    <w:rsid w:val="00C85628"/>
    <w:rsid w:val="00C90506"/>
    <w:rsid w:val="00C96CF9"/>
    <w:rsid w:val="00CB3BF2"/>
    <w:rsid w:val="00CB4FAE"/>
    <w:rsid w:val="00CB5738"/>
    <w:rsid w:val="00CE2264"/>
    <w:rsid w:val="00CE2A65"/>
    <w:rsid w:val="00CE2F96"/>
    <w:rsid w:val="00CF047C"/>
    <w:rsid w:val="00D12552"/>
    <w:rsid w:val="00D1602A"/>
    <w:rsid w:val="00D400BB"/>
    <w:rsid w:val="00D42783"/>
    <w:rsid w:val="00D47F47"/>
    <w:rsid w:val="00DC35C5"/>
    <w:rsid w:val="00DD1A19"/>
    <w:rsid w:val="00DD42EC"/>
    <w:rsid w:val="00DD7880"/>
    <w:rsid w:val="00DE1634"/>
    <w:rsid w:val="00DE3C6A"/>
    <w:rsid w:val="00E349DA"/>
    <w:rsid w:val="00E42588"/>
    <w:rsid w:val="00E4420C"/>
    <w:rsid w:val="00E71ACE"/>
    <w:rsid w:val="00E872DE"/>
    <w:rsid w:val="00EA585B"/>
    <w:rsid w:val="00EB5668"/>
    <w:rsid w:val="00EC71DD"/>
    <w:rsid w:val="00F06A54"/>
    <w:rsid w:val="00F11A81"/>
    <w:rsid w:val="00F7094C"/>
    <w:rsid w:val="00F84C96"/>
    <w:rsid w:val="00F90527"/>
    <w:rsid w:val="00FA0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6EA7"/>
  </w:style>
  <w:style w:type="paragraph" w:styleId="Heading1">
    <w:name w:val="heading 1"/>
    <w:basedOn w:val="Normal"/>
    <w:next w:val="Normal"/>
    <w:qFormat/>
    <w:rsid w:val="00516EA7"/>
    <w:pPr>
      <w:keepNext/>
      <w:outlineLvl w:val="0"/>
    </w:pPr>
    <w:rPr>
      <w:sz w:val="24"/>
    </w:rPr>
  </w:style>
  <w:style w:type="paragraph" w:styleId="Heading4">
    <w:name w:val="heading 4"/>
    <w:basedOn w:val="Normal"/>
    <w:next w:val="Normal"/>
    <w:link w:val="Heading4Char"/>
    <w:semiHidden/>
    <w:unhideWhenUsed/>
    <w:qFormat/>
    <w:rsid w:val="006E18F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16EA7"/>
    <w:pPr>
      <w:ind w:left="360"/>
    </w:pPr>
    <w:rPr>
      <w:sz w:val="24"/>
    </w:rPr>
  </w:style>
  <w:style w:type="paragraph" w:styleId="Header">
    <w:name w:val="header"/>
    <w:basedOn w:val="Normal"/>
    <w:rsid w:val="00516EA7"/>
    <w:pPr>
      <w:tabs>
        <w:tab w:val="center" w:pos="4320"/>
        <w:tab w:val="right" w:pos="8640"/>
      </w:tabs>
    </w:pPr>
  </w:style>
  <w:style w:type="paragraph" w:styleId="Footer">
    <w:name w:val="footer"/>
    <w:basedOn w:val="Normal"/>
    <w:link w:val="FooterChar"/>
    <w:uiPriority w:val="99"/>
    <w:rsid w:val="00516EA7"/>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customStyle="1" w:styleId="Heading4Char">
    <w:name w:val="Heading 4 Char"/>
    <w:basedOn w:val="DefaultParagraphFont"/>
    <w:link w:val="Heading4"/>
    <w:semiHidden/>
    <w:rsid w:val="006E18F6"/>
    <w:rPr>
      <w:rFonts w:ascii="Calibri" w:hAnsi="Calibri"/>
      <w:b/>
      <w:bCs/>
      <w:sz w:val="28"/>
      <w:szCs w:val="28"/>
    </w:rPr>
  </w:style>
  <w:style w:type="paragraph" w:styleId="ListParagraph">
    <w:name w:val="List Paragraph"/>
    <w:basedOn w:val="Normal"/>
    <w:uiPriority w:val="34"/>
    <w:qFormat/>
    <w:rsid w:val="006E18F6"/>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400BB"/>
    <w:rPr>
      <w:color w:val="0000FF"/>
      <w:u w:val="single"/>
    </w:rPr>
  </w:style>
  <w:style w:type="character" w:customStyle="1" w:styleId="FooterChar">
    <w:name w:val="Footer Char"/>
    <w:basedOn w:val="DefaultParagraphFont"/>
    <w:link w:val="Footer"/>
    <w:uiPriority w:val="99"/>
    <w:rsid w:val="006933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OCMO@state.pa.u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4</cp:revision>
  <cp:lastPrinted>2010-08-20T12:02:00Z</cp:lastPrinted>
  <dcterms:created xsi:type="dcterms:W3CDTF">2010-08-18T13:02:00Z</dcterms:created>
  <dcterms:modified xsi:type="dcterms:W3CDTF">2010-08-20T12:02:00Z</dcterms:modified>
</cp:coreProperties>
</file>