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2" w:rsidRDefault="00367908" w:rsidP="00EF624A">
      <w:pPr>
        <w:keepNext/>
        <w:spacing w:line="240" w:lineRule="auto"/>
        <w:ind w:firstLine="0"/>
        <w:jc w:val="center"/>
        <w:rPr>
          <w:b/>
        </w:rPr>
      </w:pPr>
      <w:r w:rsidRPr="001B271C">
        <w:rPr>
          <w:b/>
        </w:rPr>
        <w:t>PENNSYLVANIA</w:t>
      </w:r>
    </w:p>
    <w:p w:rsidR="00367908" w:rsidRPr="001B271C" w:rsidRDefault="00367908" w:rsidP="00EF624A">
      <w:pPr>
        <w:keepNext/>
        <w:spacing w:line="240" w:lineRule="auto"/>
        <w:ind w:firstLine="0"/>
        <w:jc w:val="center"/>
        <w:rPr>
          <w:b/>
        </w:rPr>
      </w:pPr>
      <w:r w:rsidRPr="001B271C">
        <w:rPr>
          <w:b/>
        </w:rPr>
        <w:t>PUBLIC UTILITY COMMISSION</w:t>
      </w:r>
    </w:p>
    <w:p w:rsidR="00367908" w:rsidRPr="001B271C" w:rsidRDefault="00367908" w:rsidP="00EF624A">
      <w:pPr>
        <w:keepNext/>
        <w:spacing w:line="240" w:lineRule="auto"/>
        <w:ind w:firstLine="0"/>
        <w:jc w:val="center"/>
        <w:rPr>
          <w:b/>
        </w:rPr>
      </w:pPr>
      <w:smartTag w:uri="urn:schemas-microsoft-com:office:smarttags" w:element="place">
        <w:smartTag w:uri="urn:schemas-microsoft-com:office:smarttags" w:element="City">
          <w:r w:rsidRPr="001B271C">
            <w:rPr>
              <w:b/>
            </w:rPr>
            <w:t>Harrisburg</w:t>
          </w:r>
        </w:smartTag>
        <w:r w:rsidRPr="001B271C">
          <w:rPr>
            <w:b/>
          </w:rPr>
          <w:t xml:space="preserve">, </w:t>
        </w:r>
        <w:smartTag w:uri="urn:schemas-microsoft-com:office:smarttags" w:element="State">
          <w:r w:rsidRPr="001B271C">
            <w:rPr>
              <w:b/>
            </w:rPr>
            <w:t>PA</w:t>
          </w:r>
        </w:smartTag>
        <w:r w:rsidRPr="001B271C">
          <w:rPr>
            <w:b/>
          </w:rPr>
          <w:t xml:space="preserve"> </w:t>
        </w:r>
        <w:smartTag w:uri="urn:schemas-microsoft-com:office:smarttags" w:element="PostalCode">
          <w:r w:rsidRPr="001B271C">
            <w:rPr>
              <w:b/>
            </w:rPr>
            <w:t>17105-3265</w:t>
          </w:r>
        </w:smartTag>
      </w:smartTag>
    </w:p>
    <w:p w:rsidR="00367908" w:rsidRDefault="00367908" w:rsidP="00EF624A">
      <w:pPr>
        <w:keepNext/>
        <w:jc w:val="center"/>
      </w:pPr>
    </w:p>
    <w:p w:rsidR="00367908" w:rsidRPr="001B271C" w:rsidRDefault="00367908" w:rsidP="00EF624A">
      <w:pPr>
        <w:keepNext/>
        <w:spacing w:line="240" w:lineRule="auto"/>
        <w:ind w:firstLine="0"/>
      </w:pPr>
      <w:r w:rsidRPr="001B271C">
        <w:tab/>
      </w:r>
      <w:r w:rsidRPr="001B271C">
        <w:tab/>
      </w:r>
      <w:r w:rsidRPr="001B271C">
        <w:tab/>
      </w:r>
      <w:r w:rsidRPr="001B271C">
        <w:tab/>
      </w:r>
      <w:r w:rsidRPr="001B271C">
        <w:tab/>
      </w:r>
      <w:r w:rsidRPr="001B271C">
        <w:tab/>
      </w:r>
      <w:r w:rsidR="002B6580">
        <w:tab/>
      </w:r>
      <w:r w:rsidRPr="001B271C">
        <w:t>Public Meeting held</w:t>
      </w:r>
      <w:r w:rsidR="00CB1995">
        <w:t xml:space="preserve"> </w:t>
      </w:r>
      <w:r w:rsidR="00C434CD">
        <w:t>August 18</w:t>
      </w:r>
      <w:r w:rsidR="00CB1995">
        <w:t>, 2010</w:t>
      </w:r>
    </w:p>
    <w:p w:rsidR="00367908" w:rsidRPr="001B271C" w:rsidRDefault="00367908" w:rsidP="00EF624A">
      <w:pPr>
        <w:keepNext/>
        <w:spacing w:line="240" w:lineRule="auto"/>
        <w:ind w:firstLine="0"/>
        <w:jc w:val="center"/>
      </w:pPr>
    </w:p>
    <w:p w:rsidR="00367908" w:rsidRPr="001B271C" w:rsidRDefault="00367908" w:rsidP="00EF624A">
      <w:pPr>
        <w:keepNext/>
        <w:spacing w:line="240" w:lineRule="auto"/>
        <w:ind w:firstLine="0"/>
      </w:pPr>
      <w:r w:rsidRPr="001B271C">
        <w:t>Commissioners Present:</w:t>
      </w:r>
    </w:p>
    <w:p w:rsidR="00367908" w:rsidRPr="001B271C" w:rsidRDefault="00367908" w:rsidP="00EF624A">
      <w:pPr>
        <w:keepNext/>
        <w:spacing w:line="240" w:lineRule="auto"/>
        <w:ind w:firstLine="0"/>
      </w:pPr>
    </w:p>
    <w:p w:rsidR="00367908" w:rsidRPr="001B271C" w:rsidRDefault="00367908" w:rsidP="00EF624A">
      <w:pPr>
        <w:keepNext/>
        <w:spacing w:line="240" w:lineRule="auto"/>
        <w:ind w:firstLine="0"/>
      </w:pPr>
      <w:r w:rsidRPr="001B271C">
        <w:tab/>
        <w:t>James H. Cawley, Chairman</w:t>
      </w:r>
    </w:p>
    <w:p w:rsidR="00367908" w:rsidRDefault="00367908" w:rsidP="00EF624A">
      <w:pPr>
        <w:keepNext/>
        <w:spacing w:line="240" w:lineRule="auto"/>
        <w:ind w:firstLine="0"/>
      </w:pPr>
      <w:r w:rsidRPr="001B271C">
        <w:tab/>
        <w:t>Tyrone J. Christy, Vice Chairman</w:t>
      </w:r>
    </w:p>
    <w:p w:rsidR="00474179" w:rsidRDefault="00474179" w:rsidP="00EF624A">
      <w:pPr>
        <w:keepNext/>
        <w:spacing w:line="240" w:lineRule="auto"/>
        <w:ind w:firstLine="0"/>
      </w:pPr>
      <w:r>
        <w:tab/>
        <w:t>John F. Coleman, Jr.</w:t>
      </w:r>
    </w:p>
    <w:p w:rsidR="00367908" w:rsidRDefault="00692CEA" w:rsidP="00EF624A">
      <w:pPr>
        <w:keepNext/>
        <w:spacing w:line="240" w:lineRule="auto"/>
        <w:ind w:firstLine="0"/>
      </w:pPr>
      <w:r>
        <w:tab/>
      </w:r>
      <w:r w:rsidR="00367908" w:rsidRPr="001B271C">
        <w:t>Wayne E. Gardner</w:t>
      </w:r>
    </w:p>
    <w:p w:rsidR="00B91B77" w:rsidRPr="001B271C" w:rsidRDefault="00B91B77" w:rsidP="00EF624A">
      <w:pPr>
        <w:keepNext/>
        <w:spacing w:line="240" w:lineRule="auto"/>
        <w:ind w:firstLine="0"/>
      </w:pPr>
      <w:r>
        <w:tab/>
      </w:r>
      <w:r w:rsidRPr="001B271C">
        <w:t>Robert F. Powelson</w:t>
      </w:r>
    </w:p>
    <w:p w:rsidR="00367908" w:rsidRPr="001B271C" w:rsidRDefault="006E3FF9" w:rsidP="00EF624A">
      <w:pPr>
        <w:keepNext/>
        <w:spacing w:line="240" w:lineRule="auto"/>
        <w:ind w:firstLine="0"/>
      </w:pPr>
      <w:r>
        <w:tab/>
      </w:r>
    </w:p>
    <w:p w:rsidR="002A2312" w:rsidRDefault="002A2312" w:rsidP="00EF624A">
      <w:pPr>
        <w:keepNext/>
        <w:spacing w:line="240" w:lineRule="auto"/>
        <w:ind w:firstLine="0"/>
      </w:pPr>
    </w:p>
    <w:p w:rsidR="00EF0657" w:rsidRDefault="00EF0657" w:rsidP="00EF624A">
      <w:pPr>
        <w:keepNext/>
        <w:tabs>
          <w:tab w:val="left" w:pos="7200"/>
        </w:tabs>
        <w:spacing w:line="240" w:lineRule="auto"/>
        <w:ind w:firstLine="0"/>
      </w:pPr>
      <w:r>
        <w:t>John Norbeck, Director, Bureau of State Parks,</w:t>
      </w:r>
      <w:r w:rsidRPr="00EF0657">
        <w:t xml:space="preserve"> </w:t>
      </w:r>
      <w:r>
        <w:tab/>
        <w:t>C-2008-2051267</w:t>
      </w:r>
    </w:p>
    <w:p w:rsidR="00EF0657" w:rsidRDefault="00EF0657" w:rsidP="00EF624A">
      <w:pPr>
        <w:keepNext/>
        <w:tabs>
          <w:tab w:val="left" w:pos="7200"/>
        </w:tabs>
        <w:spacing w:line="240" w:lineRule="auto"/>
        <w:ind w:firstLine="0"/>
      </w:pPr>
      <w:r>
        <w:t xml:space="preserve">Pennsylvania Department of Conservation and </w:t>
      </w:r>
    </w:p>
    <w:p w:rsidR="002A2312" w:rsidRDefault="00EF0657" w:rsidP="00EF624A">
      <w:pPr>
        <w:keepNext/>
        <w:tabs>
          <w:tab w:val="left" w:pos="7200"/>
        </w:tabs>
        <w:spacing w:line="240" w:lineRule="auto"/>
        <w:ind w:firstLine="0"/>
      </w:pPr>
      <w:r>
        <w:t xml:space="preserve">Natural Resources </w:t>
      </w:r>
      <w:r w:rsidR="007C53EE">
        <w:tab/>
      </w:r>
    </w:p>
    <w:p w:rsidR="007E2044" w:rsidRDefault="007E2044" w:rsidP="00EF624A">
      <w:pPr>
        <w:keepNext/>
        <w:tabs>
          <w:tab w:val="left" w:pos="7200"/>
        </w:tabs>
        <w:spacing w:line="240" w:lineRule="auto"/>
        <w:ind w:firstLine="1152"/>
      </w:pPr>
    </w:p>
    <w:p w:rsidR="00AA68C1" w:rsidRDefault="00AA68C1" w:rsidP="00EF624A">
      <w:pPr>
        <w:keepNext/>
        <w:tabs>
          <w:tab w:val="left" w:pos="7200"/>
        </w:tabs>
        <w:spacing w:line="240" w:lineRule="auto"/>
        <w:ind w:firstLine="1152"/>
      </w:pPr>
      <w:r>
        <w:t>v.</w:t>
      </w:r>
      <w:r>
        <w:tab/>
      </w:r>
    </w:p>
    <w:p w:rsidR="00AA68C1" w:rsidRDefault="00AA68C1" w:rsidP="00EF624A">
      <w:pPr>
        <w:keepNext/>
        <w:tabs>
          <w:tab w:val="left" w:pos="7200"/>
        </w:tabs>
        <w:spacing w:line="240" w:lineRule="auto"/>
        <w:ind w:firstLine="0"/>
      </w:pPr>
      <w:r>
        <w:tab/>
      </w:r>
    </w:p>
    <w:p w:rsidR="00AA68C1" w:rsidRDefault="00EF0657" w:rsidP="00EF624A">
      <w:pPr>
        <w:keepNext/>
        <w:tabs>
          <w:tab w:val="left" w:pos="7200"/>
        </w:tabs>
        <w:spacing w:line="240" w:lineRule="auto"/>
        <w:ind w:firstLine="0"/>
      </w:pPr>
      <w:r>
        <w:t>PECO Energy Company</w:t>
      </w:r>
      <w:r w:rsidR="00AA68C1">
        <w:tab/>
      </w:r>
    </w:p>
    <w:p w:rsidR="007C53EE" w:rsidRDefault="007C53EE" w:rsidP="00EF624A">
      <w:pPr>
        <w:keepNext/>
        <w:tabs>
          <w:tab w:val="left" w:pos="2160"/>
          <w:tab w:val="left" w:pos="7200"/>
        </w:tabs>
        <w:spacing w:line="240" w:lineRule="auto"/>
        <w:ind w:firstLine="0"/>
      </w:pPr>
    </w:p>
    <w:p w:rsidR="001F0993" w:rsidRDefault="001F0993" w:rsidP="00EF624A">
      <w:pPr>
        <w:keepNext/>
        <w:spacing w:line="240" w:lineRule="auto"/>
        <w:ind w:firstLine="0"/>
        <w:rPr>
          <w:b/>
        </w:rPr>
      </w:pPr>
    </w:p>
    <w:p w:rsidR="00B52CA4" w:rsidRPr="001B271C" w:rsidRDefault="001B271C" w:rsidP="00EF624A">
      <w:pPr>
        <w:keepNext/>
        <w:ind w:firstLine="0"/>
        <w:jc w:val="center"/>
        <w:rPr>
          <w:b/>
        </w:rPr>
      </w:pPr>
      <w:r>
        <w:rPr>
          <w:b/>
        </w:rPr>
        <w:t xml:space="preserve">OPINION AND </w:t>
      </w:r>
      <w:r w:rsidR="00B52CA4" w:rsidRPr="001B271C">
        <w:rPr>
          <w:b/>
        </w:rPr>
        <w:t>ORDER</w:t>
      </w:r>
    </w:p>
    <w:p w:rsidR="00367908" w:rsidRPr="001B271C" w:rsidRDefault="00367908" w:rsidP="00EF624A">
      <w:pPr>
        <w:keepNext/>
      </w:pPr>
    </w:p>
    <w:p w:rsidR="00DE13B9" w:rsidRDefault="00B52CA4" w:rsidP="00EF624A">
      <w:pPr>
        <w:keepNext/>
        <w:ind w:firstLine="0"/>
        <w:rPr>
          <w:b/>
        </w:rPr>
      </w:pPr>
      <w:r w:rsidRPr="001B271C">
        <w:rPr>
          <w:b/>
        </w:rPr>
        <w:t>BY THE COMMISSION:</w:t>
      </w:r>
    </w:p>
    <w:p w:rsidR="004F29E5" w:rsidRPr="001B271C" w:rsidRDefault="004F29E5" w:rsidP="00EF624A">
      <w:pPr>
        <w:keepNext/>
      </w:pPr>
    </w:p>
    <w:p w:rsidR="000D530A" w:rsidRDefault="0068749C" w:rsidP="00EF624A">
      <w:pPr>
        <w:keepNext/>
        <w:tabs>
          <w:tab w:val="left" w:pos="7200"/>
        </w:tabs>
      </w:pPr>
      <w:r>
        <w:t xml:space="preserve">Before the Pennsylvania Public Utility Commission </w:t>
      </w:r>
      <w:r w:rsidR="00482751">
        <w:t xml:space="preserve">(Commission) </w:t>
      </w:r>
      <w:r>
        <w:t xml:space="preserve">for consideration </w:t>
      </w:r>
      <w:r w:rsidR="00482751">
        <w:t xml:space="preserve">are the Exceptions filed </w:t>
      </w:r>
      <w:r w:rsidR="009A08CE">
        <w:t>on behalf of</w:t>
      </w:r>
      <w:r w:rsidR="009A08CE" w:rsidRPr="009A08CE">
        <w:t xml:space="preserve"> </w:t>
      </w:r>
      <w:r w:rsidR="009A08CE">
        <w:t xml:space="preserve">John Norbeck, Director, Bureau of State Parks, Pennsylvania Department of Conservation Natural Resources </w:t>
      </w:r>
      <w:r w:rsidR="0043084D">
        <w:t>(Complainant or DCNR</w:t>
      </w:r>
      <w:r w:rsidR="00F93AB9">
        <w:rPr>
          <w:rStyle w:val="FootnoteReference"/>
        </w:rPr>
        <w:footnoteReference w:id="1"/>
      </w:r>
      <w:r w:rsidR="0043084D">
        <w:t xml:space="preserve">) </w:t>
      </w:r>
      <w:r w:rsidR="00522589">
        <w:t xml:space="preserve">on May 12, 2010, </w:t>
      </w:r>
      <w:r w:rsidR="00482751">
        <w:t xml:space="preserve">to </w:t>
      </w:r>
      <w:r>
        <w:t xml:space="preserve">the </w:t>
      </w:r>
      <w:r w:rsidR="0043084D">
        <w:t xml:space="preserve">Initial Decision </w:t>
      </w:r>
      <w:r w:rsidR="00921B94">
        <w:t>(</w:t>
      </w:r>
      <w:r w:rsidR="0043084D">
        <w:t>I</w:t>
      </w:r>
      <w:r w:rsidR="00921B94">
        <w:t>.D.)</w:t>
      </w:r>
      <w:r w:rsidR="00AF416E">
        <w:t xml:space="preserve"> of Administrative Law Judge </w:t>
      </w:r>
      <w:r w:rsidR="0043084D">
        <w:t xml:space="preserve">Cynthia Williams Fordham </w:t>
      </w:r>
      <w:r w:rsidR="00784365">
        <w:t>(ALJ or ALJ Fordham)</w:t>
      </w:r>
      <w:r w:rsidR="003A0890">
        <w:t xml:space="preserve">, issued on </w:t>
      </w:r>
      <w:r w:rsidR="00784365">
        <w:t>April 22</w:t>
      </w:r>
      <w:r w:rsidR="003A0890">
        <w:t>, 2010</w:t>
      </w:r>
      <w:r w:rsidR="00784365">
        <w:t xml:space="preserve">. </w:t>
      </w:r>
      <w:r w:rsidR="00274416">
        <w:t xml:space="preserve"> </w:t>
      </w:r>
      <w:r w:rsidR="00433F88">
        <w:t xml:space="preserve">Reply </w:t>
      </w:r>
      <w:r w:rsidR="00433F88">
        <w:lastRenderedPageBreak/>
        <w:t xml:space="preserve">Exceptions </w:t>
      </w:r>
      <w:r w:rsidR="000D530A">
        <w:t xml:space="preserve">were </w:t>
      </w:r>
      <w:r w:rsidR="00433F88">
        <w:t>filed by P</w:t>
      </w:r>
      <w:r w:rsidR="00784365">
        <w:t>ECO En</w:t>
      </w:r>
      <w:r w:rsidR="004C7C0B">
        <w:t>e</w:t>
      </w:r>
      <w:r w:rsidR="00784365">
        <w:t xml:space="preserve">rgy Company (Respondent </w:t>
      </w:r>
      <w:r w:rsidR="004C7C0B">
        <w:t>o</w:t>
      </w:r>
      <w:r w:rsidR="00784365">
        <w:t>r PECO</w:t>
      </w:r>
      <w:r w:rsidR="004C7C0B">
        <w:t>)</w:t>
      </w:r>
      <w:r w:rsidR="00784365">
        <w:t xml:space="preserve"> </w:t>
      </w:r>
      <w:r w:rsidR="00433F88">
        <w:t xml:space="preserve">on </w:t>
      </w:r>
      <w:r w:rsidR="004C7C0B">
        <w:t>May 21</w:t>
      </w:r>
      <w:r w:rsidR="00433F88">
        <w:t xml:space="preserve">, 2010. </w:t>
      </w:r>
    </w:p>
    <w:p w:rsidR="000D530A" w:rsidRDefault="000D530A" w:rsidP="00EF624A">
      <w:pPr>
        <w:keepNext/>
      </w:pPr>
    </w:p>
    <w:p w:rsidR="00CE1749" w:rsidRDefault="004C7C0B" w:rsidP="00EF624A">
      <w:pPr>
        <w:keepNext/>
        <w:ind w:firstLine="0"/>
        <w:jc w:val="center"/>
        <w:rPr>
          <w:b/>
        </w:rPr>
      </w:pPr>
      <w:r w:rsidRPr="004C7C0B">
        <w:rPr>
          <w:b/>
        </w:rPr>
        <w:t>Background</w:t>
      </w:r>
    </w:p>
    <w:p w:rsidR="004C7C0B" w:rsidRDefault="004C7C0B" w:rsidP="00EF624A">
      <w:pPr>
        <w:keepNext/>
        <w:ind w:firstLine="0"/>
        <w:jc w:val="center"/>
        <w:rPr>
          <w:b/>
        </w:rPr>
      </w:pPr>
    </w:p>
    <w:p w:rsidR="004C7C0B" w:rsidRDefault="00711D61" w:rsidP="00EF624A">
      <w:pPr>
        <w:keepNext/>
      </w:pPr>
      <w:r>
        <w:t xml:space="preserve">In 1966 the </w:t>
      </w:r>
      <w:r w:rsidR="00743E07">
        <w:t xml:space="preserve">Commonwealth of Pennsylvania acquired the land </w:t>
      </w:r>
      <w:r w:rsidR="00281A55">
        <w:t xml:space="preserve">in Delaware County </w:t>
      </w:r>
      <w:r w:rsidR="00743E07">
        <w:t>on which Ridley Creek State Park</w:t>
      </w:r>
      <w:r w:rsidR="00281A55">
        <w:t xml:space="preserve"> (Park) was built.  The Park </w:t>
      </w:r>
      <w:r w:rsidR="0087142C">
        <w:t xml:space="preserve">was completed in 1972.  </w:t>
      </w:r>
      <w:r w:rsidR="002D10A7">
        <w:t xml:space="preserve">Prior to 1972, electric service was provided by an aerial line within the Park.  </w:t>
      </w:r>
      <w:r w:rsidR="0087142C">
        <w:t xml:space="preserve">PECO offered to provide </w:t>
      </w:r>
      <w:r w:rsidR="00BD2088">
        <w:t xml:space="preserve">electric service through </w:t>
      </w:r>
      <w:r w:rsidR="003B14A0">
        <w:t xml:space="preserve">the Park using </w:t>
      </w:r>
      <w:r w:rsidR="00BD2088">
        <w:t xml:space="preserve">aerial facilities, but the Bureau of Parks </w:t>
      </w:r>
      <w:r w:rsidR="00D94757">
        <w:t xml:space="preserve">requested </w:t>
      </w:r>
      <w:r w:rsidR="00BD2088">
        <w:t xml:space="preserve">underground service for aesthetic reasons.  </w:t>
      </w:r>
      <w:r w:rsidR="003B14A0">
        <w:t xml:space="preserve">After PECO refused to install an underground cable, the Bureau of Parks hired a contractor to install an underground cable. </w:t>
      </w:r>
      <w:r w:rsidR="00BB5C36">
        <w:t xml:space="preserve"> The underground cable is a 5,000 volt </w:t>
      </w:r>
      <w:r w:rsidR="00022FC9">
        <w:t xml:space="preserve">(4,160 volt) </w:t>
      </w:r>
      <w:r w:rsidR="00BB5C36">
        <w:t xml:space="preserve">primary cable that provides service </w:t>
      </w:r>
      <w:r w:rsidR="00115BD7">
        <w:t xml:space="preserve">to several structures within the Park. </w:t>
      </w:r>
      <w:r w:rsidR="00022FC9">
        <w:t xml:space="preserve"> The underground cable runs from the Park boundary </w:t>
      </w:r>
      <w:r w:rsidR="0036169B">
        <w:t>on Grady</w:t>
      </w:r>
      <w:r w:rsidR="00AB5A28">
        <w:t xml:space="preserve">ville Road </w:t>
      </w:r>
      <w:r w:rsidR="00022FC9">
        <w:t xml:space="preserve">to transformers and meters </w:t>
      </w:r>
      <w:r w:rsidR="00577E59">
        <w:t xml:space="preserve">within the Park that are </w:t>
      </w:r>
      <w:r w:rsidR="00022FC9">
        <w:t xml:space="preserve">owned </w:t>
      </w:r>
      <w:r w:rsidR="00577E59">
        <w:t xml:space="preserve">and maintained by PECO.  The </w:t>
      </w:r>
      <w:r w:rsidR="00D04C3D">
        <w:t>underground</w:t>
      </w:r>
      <w:r w:rsidR="00577E59">
        <w:t xml:space="preserve"> cable provides service to four accounts; two </w:t>
      </w:r>
      <w:r w:rsidR="00D04C3D">
        <w:t xml:space="preserve">general service commercial </w:t>
      </w:r>
      <w:r w:rsidR="00577E59">
        <w:t xml:space="preserve">accounts </w:t>
      </w:r>
      <w:r w:rsidR="00D04C3D">
        <w:t xml:space="preserve">that serve </w:t>
      </w:r>
      <w:r w:rsidR="00AB5A28">
        <w:t>DCNR</w:t>
      </w:r>
      <w:r w:rsidR="00D04C3D">
        <w:t xml:space="preserve"> facilities, one </w:t>
      </w:r>
      <w:r w:rsidR="006C5B97">
        <w:t xml:space="preserve">residential account </w:t>
      </w:r>
      <w:r w:rsidR="00D04C3D">
        <w:t>t</w:t>
      </w:r>
      <w:r w:rsidR="006C5B97">
        <w:t>hat</w:t>
      </w:r>
      <w:r w:rsidR="00D04C3D">
        <w:t xml:space="preserve"> serves a </w:t>
      </w:r>
      <w:r w:rsidR="0082058C">
        <w:t xml:space="preserve">residence </w:t>
      </w:r>
      <w:r w:rsidR="006C5B97">
        <w:t xml:space="preserve">leased </w:t>
      </w:r>
      <w:r w:rsidR="00077179">
        <w:t xml:space="preserve">from </w:t>
      </w:r>
      <w:r w:rsidR="0082058C">
        <w:t xml:space="preserve">DCNR and a commercial general service </w:t>
      </w:r>
      <w:r w:rsidR="00077179">
        <w:t xml:space="preserve">account for the </w:t>
      </w:r>
      <w:r w:rsidR="006C5B97">
        <w:t>equestrian</w:t>
      </w:r>
      <w:r w:rsidR="00077179">
        <w:t xml:space="preserve"> concession </w:t>
      </w:r>
      <w:r w:rsidR="00200CAF">
        <w:t>leased from DCNR</w:t>
      </w:r>
      <w:r w:rsidR="00077179">
        <w:t xml:space="preserve">.  The residence and the concession </w:t>
      </w:r>
      <w:r w:rsidR="00D94757">
        <w:t xml:space="preserve">are responsible for </w:t>
      </w:r>
      <w:r w:rsidR="00077179">
        <w:t xml:space="preserve">their own accounts with PECO. </w:t>
      </w:r>
      <w:r w:rsidR="00200CAF">
        <w:t xml:space="preserve">  </w:t>
      </w:r>
      <w:bookmarkStart w:id="0" w:name="OLE_LINK1"/>
      <w:bookmarkStart w:id="1" w:name="OLE_LINK2"/>
      <w:r w:rsidR="00777935">
        <w:t>Findings of Fact Nos. 15, 19, 21-</w:t>
      </w:r>
      <w:r w:rsidR="00075A77">
        <w:t>26, 38-44; I.D. at 10-1</w:t>
      </w:r>
      <w:bookmarkEnd w:id="0"/>
      <w:bookmarkEnd w:id="1"/>
      <w:r w:rsidR="00075A77">
        <w:t>4.  DCNR M.B. at iv</w:t>
      </w:r>
      <w:r w:rsidR="00ED26D4">
        <w:t>-v.</w:t>
      </w:r>
    </w:p>
    <w:p w:rsidR="00ED26D4" w:rsidRDefault="00ED26D4" w:rsidP="00EF624A">
      <w:pPr>
        <w:keepNext/>
      </w:pPr>
    </w:p>
    <w:p w:rsidR="00200CAF" w:rsidRDefault="0084345A" w:rsidP="00EF624A">
      <w:pPr>
        <w:keepNext/>
      </w:pPr>
      <w:r>
        <w:t xml:space="preserve">On August 3, 2007, there was an electric service outage at the Park and </w:t>
      </w:r>
      <w:r w:rsidR="00F46459">
        <w:t xml:space="preserve">at </w:t>
      </w:r>
      <w:r>
        <w:t xml:space="preserve">other PECO customers in the vicinity located outside </w:t>
      </w:r>
      <w:r w:rsidR="00D40CE0">
        <w:t xml:space="preserve">of </w:t>
      </w:r>
      <w:r>
        <w:t xml:space="preserve">the Park.  The Park Ranger contacted PECO prior to 8:00 a.m.  Sometime before 4:00 p.m., service to the other PECO customers </w:t>
      </w:r>
      <w:r w:rsidR="00D40CE0">
        <w:t xml:space="preserve">outside </w:t>
      </w:r>
      <w:r>
        <w:t xml:space="preserve">of the </w:t>
      </w:r>
      <w:r w:rsidR="00D40CE0">
        <w:t>P</w:t>
      </w:r>
      <w:r>
        <w:t xml:space="preserve">ark </w:t>
      </w:r>
      <w:r w:rsidR="00F46459">
        <w:t xml:space="preserve">had been restored, but not the four accounts within the Park.  </w:t>
      </w:r>
      <w:r w:rsidR="009D0103">
        <w:t xml:space="preserve">The PECO service crew notified DCNR staff that they located a break in the underground cable and DCNR staff gave PECO permission to repair the cable.  Subsequently, PECO determined there were other breaks in the cable.  Because </w:t>
      </w:r>
      <w:r w:rsidR="00D70A10">
        <w:t xml:space="preserve">the </w:t>
      </w:r>
      <w:r w:rsidR="009D0103">
        <w:lastRenderedPageBreak/>
        <w:t xml:space="preserve">PECO </w:t>
      </w:r>
      <w:r w:rsidR="00D70A10">
        <w:t xml:space="preserve">service crew </w:t>
      </w:r>
      <w:r w:rsidR="009D0103">
        <w:t xml:space="preserve">was unable to complete the </w:t>
      </w:r>
      <w:r w:rsidR="00D70A10">
        <w:t xml:space="preserve">repairs before the end of their shift at 11:00 p.m., the PECO crew advised the DCNR staff to call an electrician.  </w:t>
      </w:r>
      <w:r w:rsidR="00F00126">
        <w:t>Findings of Fact Nos. 55, 56, 65-68; I.D. at 16-17.</w:t>
      </w:r>
    </w:p>
    <w:p w:rsidR="00F86021" w:rsidRDefault="00F86021" w:rsidP="00EF624A">
      <w:pPr>
        <w:keepNext/>
      </w:pPr>
    </w:p>
    <w:p w:rsidR="00F00126" w:rsidRDefault="00E25EF2" w:rsidP="00EF624A">
      <w:pPr>
        <w:keepNext/>
      </w:pPr>
      <w:r>
        <w:t>On August 4, 2007, the electrician that had initially installed the cable in 1972</w:t>
      </w:r>
      <w:r w:rsidR="00AB5A28">
        <w:t>,</w:t>
      </w:r>
      <w:r>
        <w:t xml:space="preserve"> confirmed that there were multiple breaks in the cable. </w:t>
      </w:r>
      <w:r w:rsidR="003A00E6">
        <w:t xml:space="preserve"> Also, on August 4, 2007, a PECO foreman gave DCNR staff document</w:t>
      </w:r>
      <w:r w:rsidR="0008280C">
        <w:t xml:space="preserve">ation indicating </w:t>
      </w:r>
      <w:r w:rsidR="003A00E6">
        <w:t>that</w:t>
      </w:r>
      <w:r w:rsidR="0008280C">
        <w:t xml:space="preserve"> </w:t>
      </w:r>
      <w:r w:rsidR="003A00E6">
        <w:t xml:space="preserve">PECO did not own the cable.  </w:t>
      </w:r>
      <w:r w:rsidR="0008280C">
        <w:t xml:space="preserve">DCNR </w:t>
      </w:r>
      <w:r w:rsidR="00B7254D">
        <w:t xml:space="preserve">later </w:t>
      </w:r>
      <w:r w:rsidR="0008280C">
        <w:t xml:space="preserve">had the electrician replace the entire cable.  </w:t>
      </w:r>
      <w:r w:rsidR="00B7254D">
        <w:t>Findings of Fact Nos.</w:t>
      </w:r>
      <w:r w:rsidR="00384A44">
        <w:t xml:space="preserve"> </w:t>
      </w:r>
      <w:r w:rsidR="00B7254D">
        <w:t>71</w:t>
      </w:r>
      <w:r w:rsidR="00384A44">
        <w:noBreakHyphen/>
      </w:r>
      <w:r w:rsidR="00B7254D">
        <w:t>–73; I.D. at 17.</w:t>
      </w:r>
      <w:r w:rsidR="00451633">
        <w:t xml:space="preserve">  DCNR paid the electrician $107,000 to repair the cable and paid to have a generator installed for interim use so that the Park could function.  </w:t>
      </w:r>
      <w:r w:rsidR="00F86021">
        <w:t xml:space="preserve">DCNR Formal </w:t>
      </w:r>
      <w:r w:rsidR="00451633">
        <w:t xml:space="preserve">Complaint </w:t>
      </w:r>
      <w:r w:rsidR="00F86021">
        <w:t xml:space="preserve">(Complaint ) </w:t>
      </w:r>
      <w:r w:rsidR="00451633">
        <w:t xml:space="preserve">at 2. </w:t>
      </w:r>
    </w:p>
    <w:p w:rsidR="00B7254D" w:rsidRDefault="00B7254D" w:rsidP="00EF624A">
      <w:pPr>
        <w:keepNext/>
      </w:pPr>
    </w:p>
    <w:p w:rsidR="00B7254D" w:rsidRDefault="00B7254D" w:rsidP="00EF624A">
      <w:pPr>
        <w:keepNext/>
        <w:spacing w:line="240" w:lineRule="auto"/>
        <w:ind w:firstLine="0"/>
        <w:jc w:val="center"/>
        <w:rPr>
          <w:b/>
        </w:rPr>
      </w:pPr>
      <w:r w:rsidRPr="00B7254D">
        <w:rPr>
          <w:b/>
        </w:rPr>
        <w:t>History of the Proceeding</w:t>
      </w:r>
    </w:p>
    <w:p w:rsidR="00451633" w:rsidRDefault="00451633" w:rsidP="00EF624A">
      <w:pPr>
        <w:keepNext/>
        <w:ind w:firstLine="0"/>
        <w:jc w:val="center"/>
        <w:rPr>
          <w:b/>
        </w:rPr>
      </w:pPr>
    </w:p>
    <w:p w:rsidR="00451633" w:rsidRDefault="00451633" w:rsidP="00EF624A">
      <w:pPr>
        <w:keepNext/>
      </w:pPr>
      <w:r>
        <w:t xml:space="preserve">On </w:t>
      </w:r>
      <w:r w:rsidR="00C05C61">
        <w:t xml:space="preserve">July 11, 2008, DCNR filed a </w:t>
      </w:r>
      <w:r w:rsidR="00EF6378">
        <w:t xml:space="preserve">Complaint </w:t>
      </w:r>
      <w:r w:rsidR="00C05C61">
        <w:t>against PECO</w:t>
      </w:r>
      <w:r w:rsidR="004D7CCB">
        <w:t xml:space="preserve">.  In the Complaint, </w:t>
      </w:r>
      <w:r w:rsidR="00521C1E">
        <w:t xml:space="preserve">DCNR </w:t>
      </w:r>
      <w:r w:rsidR="004D7CCB">
        <w:t xml:space="preserve">argued, </w:t>
      </w:r>
      <w:r w:rsidR="004D7CCB" w:rsidRPr="004D7CCB">
        <w:rPr>
          <w:i/>
        </w:rPr>
        <w:t>inter alia</w:t>
      </w:r>
      <w:r w:rsidR="004D7CCB">
        <w:t>, that under PECO’s tariff and the Commission</w:t>
      </w:r>
      <w:r w:rsidR="00384A44">
        <w:t>’s</w:t>
      </w:r>
      <w:r w:rsidR="004D7CCB">
        <w:t xml:space="preserve"> </w:t>
      </w:r>
      <w:r w:rsidR="00384A44">
        <w:t>R</w:t>
      </w:r>
      <w:r w:rsidR="004D7CCB">
        <w:t>egulations</w:t>
      </w:r>
      <w:r w:rsidR="00521C1E">
        <w:t>,</w:t>
      </w:r>
      <w:r w:rsidR="004D7CCB">
        <w:t xml:space="preserve"> </w:t>
      </w:r>
      <w:r w:rsidR="00521C1E">
        <w:t>the underground cable is used for general distribution to multiple customers</w:t>
      </w:r>
      <w:r w:rsidR="00D863BA">
        <w:t xml:space="preserve"> and</w:t>
      </w:r>
      <w:r w:rsidR="00384A44">
        <w:t>,</w:t>
      </w:r>
      <w:r w:rsidR="00D863BA">
        <w:t xml:space="preserve"> therefore</w:t>
      </w:r>
      <w:r w:rsidR="00384A44">
        <w:t>,</w:t>
      </w:r>
      <w:r w:rsidR="00D863BA">
        <w:t xml:space="preserve"> is part of PECO’s distribution system.  Complaint at 5-10.  DCNR requested </w:t>
      </w:r>
      <w:r w:rsidR="00E6487C">
        <w:t xml:space="preserve">that the Commission find, </w:t>
      </w:r>
      <w:r w:rsidR="00E6487C" w:rsidRPr="00E6487C">
        <w:rPr>
          <w:i/>
        </w:rPr>
        <w:t>inter alia</w:t>
      </w:r>
      <w:r w:rsidR="00E6487C">
        <w:t xml:space="preserve">:  1) that PECO has always owned the underground cable; </w:t>
      </w:r>
      <w:r w:rsidR="00583326">
        <w:t xml:space="preserve"> 2) that PECO</w:t>
      </w:r>
      <w:r w:rsidR="000437E6">
        <w:t>’s</w:t>
      </w:r>
      <w:r w:rsidR="00583326">
        <w:t xml:space="preserve"> refusal to acknowledge responsibility for maintaining and repairing the cable is in violation of the Public Utility Code, the Commission’s </w:t>
      </w:r>
      <w:r w:rsidR="0021567A">
        <w:t>R</w:t>
      </w:r>
      <w:r w:rsidR="00384A44">
        <w:t>egulations and PECO’s tariff;</w:t>
      </w:r>
      <w:r w:rsidR="00583326">
        <w:t xml:space="preserve"> 3</w:t>
      </w:r>
      <w:r w:rsidR="00E6487C">
        <w:t>)</w:t>
      </w:r>
      <w:r w:rsidR="008E2DD0">
        <w:t xml:space="preserve"> that PECO’s actions on August 3, 2007, to determine the location of breaks in the cable exacerbated damage to the cable; </w:t>
      </w:r>
      <w:r w:rsidR="003448ED">
        <w:t xml:space="preserve">and </w:t>
      </w:r>
      <w:r w:rsidR="0021567A">
        <w:t>4</w:t>
      </w:r>
      <w:r w:rsidR="008E2DD0">
        <w:t>)</w:t>
      </w:r>
      <w:r w:rsidR="00384A44">
        <w:t> </w:t>
      </w:r>
      <w:r w:rsidR="00EF6378">
        <w:t xml:space="preserve">that PECO is liable for the cost of replacing the underground cable and </w:t>
      </w:r>
      <w:r w:rsidR="000437E6">
        <w:t xml:space="preserve">the </w:t>
      </w:r>
      <w:r w:rsidR="00EF6378">
        <w:t xml:space="preserve">cost </w:t>
      </w:r>
      <w:r w:rsidR="000437E6">
        <w:t xml:space="preserve">of </w:t>
      </w:r>
      <w:r w:rsidR="003448ED">
        <w:t>the generator.</w:t>
      </w:r>
      <w:r w:rsidR="00EF6378">
        <w:t xml:space="preserve"> </w:t>
      </w:r>
      <w:r w:rsidR="008E2DD0">
        <w:t xml:space="preserve"> </w:t>
      </w:r>
      <w:r w:rsidR="003448ED">
        <w:t>DCNR aver</w:t>
      </w:r>
      <w:r w:rsidR="00384A44">
        <w:t>red</w:t>
      </w:r>
      <w:r w:rsidR="003448ED">
        <w:t xml:space="preserve"> that if the Commission finds that PECO does not own the underground cable, </w:t>
      </w:r>
      <w:r w:rsidR="0015249E">
        <w:t xml:space="preserve">DCNR requested that </w:t>
      </w:r>
      <w:r w:rsidR="003448ED">
        <w:t xml:space="preserve">the Commission </w:t>
      </w:r>
      <w:r w:rsidR="0015249E">
        <w:t xml:space="preserve">find that PECO has been trespassing in its use of the cable to serve metered customers since 1972.  </w:t>
      </w:r>
      <w:r w:rsidR="0015249E" w:rsidRPr="0021567A">
        <w:rPr>
          <w:i/>
        </w:rPr>
        <w:t>Id</w:t>
      </w:r>
      <w:r w:rsidR="0015249E">
        <w:t xml:space="preserve">. at </w:t>
      </w:r>
      <w:r w:rsidR="0021567A">
        <w:t>10-11.</w:t>
      </w:r>
    </w:p>
    <w:p w:rsidR="004C3DE1" w:rsidRDefault="004C3DE1" w:rsidP="00EF624A">
      <w:pPr>
        <w:keepNext/>
      </w:pPr>
    </w:p>
    <w:p w:rsidR="00864565" w:rsidRDefault="000437E6" w:rsidP="00EF624A">
      <w:pPr>
        <w:keepNext/>
      </w:pPr>
      <w:r>
        <w:lastRenderedPageBreak/>
        <w:t xml:space="preserve">DCNR also stated in its </w:t>
      </w:r>
      <w:r w:rsidR="00864565">
        <w:t xml:space="preserve">Complaint that “PECO has indicated that it may cease serving by way of underground cable four metered customers and require them to install customers’ extensions from </w:t>
      </w:r>
      <w:r w:rsidR="0036169B">
        <w:t>their meters to the pole on Gra</w:t>
      </w:r>
      <w:r w:rsidR="00864565">
        <w:t xml:space="preserve">dyville Road.” </w:t>
      </w:r>
      <w:r w:rsidR="004A4103" w:rsidRPr="00864565">
        <w:rPr>
          <w:i/>
        </w:rPr>
        <w:t>Id</w:t>
      </w:r>
      <w:r w:rsidR="004A4103">
        <w:t>. at</w:t>
      </w:r>
      <w:r w:rsidR="00087F0F">
        <w:t> </w:t>
      </w:r>
      <w:r w:rsidR="004A4103">
        <w:t xml:space="preserve">10.  </w:t>
      </w:r>
      <w:r w:rsidR="00864565">
        <w:t xml:space="preserve">DCNR requested that PECO’s indication that it may require its four customers to provide their own service lines is a violation of PECO’s legal duty as a utility to provide service.  </w:t>
      </w:r>
      <w:r w:rsidR="00864565" w:rsidRPr="004A4103">
        <w:rPr>
          <w:i/>
        </w:rPr>
        <w:t>Id.</w:t>
      </w:r>
      <w:r w:rsidR="00864565">
        <w:t xml:space="preserve"> at 11. </w:t>
      </w:r>
    </w:p>
    <w:p w:rsidR="00864565" w:rsidRDefault="00864565" w:rsidP="00EF624A">
      <w:pPr>
        <w:keepNext/>
      </w:pPr>
    </w:p>
    <w:p w:rsidR="004A4103" w:rsidRDefault="00A5589E" w:rsidP="00EF624A">
      <w:pPr>
        <w:keepNext/>
      </w:pPr>
      <w:r>
        <w:t xml:space="preserve">On August 7, 2008, PECO filed an Answer and </w:t>
      </w:r>
      <w:r w:rsidR="007E2085">
        <w:t>N</w:t>
      </w:r>
      <w:r>
        <w:t xml:space="preserve">ew Matter </w:t>
      </w:r>
      <w:r w:rsidR="007E2085">
        <w:t xml:space="preserve">(Answer) </w:t>
      </w:r>
      <w:r>
        <w:t>and a Pr</w:t>
      </w:r>
      <w:r w:rsidR="007E2085">
        <w:t>e</w:t>
      </w:r>
      <w:r>
        <w:t>liminary Objection</w:t>
      </w:r>
      <w:r w:rsidR="00087F0F">
        <w:t>.</w:t>
      </w:r>
      <w:r w:rsidR="00480C13">
        <w:rPr>
          <w:rStyle w:val="FootnoteReference"/>
        </w:rPr>
        <w:footnoteReference w:id="2"/>
      </w:r>
      <w:r w:rsidR="007E2085">
        <w:t xml:space="preserve">  </w:t>
      </w:r>
      <w:r w:rsidR="002C23E9">
        <w:t xml:space="preserve">In its Answer, PECO argued, </w:t>
      </w:r>
      <w:r w:rsidR="002C23E9" w:rsidRPr="002C23E9">
        <w:rPr>
          <w:i/>
        </w:rPr>
        <w:t>inter alia</w:t>
      </w:r>
      <w:r w:rsidR="002C23E9" w:rsidRPr="002C23E9">
        <w:t>,</w:t>
      </w:r>
      <w:r w:rsidR="002C23E9">
        <w:t xml:space="preserve"> that its facilities end </w:t>
      </w:r>
      <w:r w:rsidR="00087F0F">
        <w:t>eighteen</w:t>
      </w:r>
      <w:r w:rsidR="00FA3016">
        <w:t xml:space="preserve"> inches </w:t>
      </w:r>
      <w:r w:rsidR="002C23E9">
        <w:t>inside the Park’s property line</w:t>
      </w:r>
      <w:r w:rsidR="0096475F">
        <w:t xml:space="preserve"> and that each of the four customers utilizes a customer-owned buried cable as its method of connecting to the public utility system. </w:t>
      </w:r>
      <w:r w:rsidR="002C23E9">
        <w:t xml:space="preserve"> </w:t>
      </w:r>
      <w:r w:rsidR="007E0015">
        <w:t>PECO averred that the cable is owned by the Park and</w:t>
      </w:r>
      <w:r w:rsidR="00087F0F">
        <w:t>,</w:t>
      </w:r>
      <w:r w:rsidR="007E0015">
        <w:t xml:space="preserve"> therefore</w:t>
      </w:r>
      <w:r w:rsidR="00087F0F">
        <w:t>,</w:t>
      </w:r>
      <w:r w:rsidR="007E0015">
        <w:t xml:space="preserve"> </w:t>
      </w:r>
      <w:r w:rsidR="00087F0F">
        <w:t xml:space="preserve">it </w:t>
      </w:r>
      <w:r w:rsidR="007E0015">
        <w:t xml:space="preserve">does not have responsibility for its maintenance. </w:t>
      </w:r>
      <w:r w:rsidR="002C23E9">
        <w:t xml:space="preserve"> </w:t>
      </w:r>
      <w:r w:rsidR="004A4103">
        <w:t xml:space="preserve">In its Answer and Preliminary Objection, PECO also argued that the Commission does not have the authority to award damages or adjudicate matters of trespass.  Answer at 17-19.  Preliminary Objection at 1-4.  </w:t>
      </w:r>
      <w:r w:rsidR="00877CBA">
        <w:t xml:space="preserve">PECO submitted that DCNR’s request </w:t>
      </w:r>
      <w:r w:rsidR="00C73489">
        <w:t xml:space="preserve">for a finding regarding </w:t>
      </w:r>
      <w:r w:rsidR="00B111B8">
        <w:t xml:space="preserve">PECO’s statement that </w:t>
      </w:r>
      <w:r w:rsidR="00C73489">
        <w:t xml:space="preserve">separate service lines </w:t>
      </w:r>
      <w:r w:rsidR="00B111B8">
        <w:t xml:space="preserve">may be required </w:t>
      </w:r>
      <w:r w:rsidR="00C73489">
        <w:t xml:space="preserve">for each customer at the Park </w:t>
      </w:r>
      <w:r w:rsidR="007A44EB">
        <w:t xml:space="preserve">is a hypothetical question that is not ripe for determination.  Answer at 19-20.  Preliminary Objection at 4-6. </w:t>
      </w:r>
    </w:p>
    <w:p w:rsidR="004A4103" w:rsidRDefault="004A4103" w:rsidP="00EF624A">
      <w:pPr>
        <w:keepNext/>
      </w:pPr>
    </w:p>
    <w:p w:rsidR="007133C6" w:rsidRDefault="001C191A" w:rsidP="00EF624A">
      <w:pPr>
        <w:keepNext/>
      </w:pPr>
      <w:r>
        <w:t xml:space="preserve">Following discovery and a </w:t>
      </w:r>
      <w:r w:rsidR="00E620C1">
        <w:t>p</w:t>
      </w:r>
      <w:r>
        <w:t xml:space="preserve">re-hearing </w:t>
      </w:r>
      <w:r w:rsidR="00E620C1">
        <w:t>c</w:t>
      </w:r>
      <w:r>
        <w:t>onference before ALJ Guy M. Koster, an evidentiary hearing was held before ALJ Ford</w:t>
      </w:r>
      <w:r w:rsidR="00C071C4">
        <w:t>h</w:t>
      </w:r>
      <w:r>
        <w:t xml:space="preserve">am on October 14, 2009 in Philadelphia.  </w:t>
      </w:r>
      <w:r w:rsidR="00760BFA">
        <w:t xml:space="preserve">DCNR was represented by Counsel and presented the testimony of two witnesses.  </w:t>
      </w:r>
      <w:r w:rsidR="0054103D">
        <w:t xml:space="preserve">DCNR </w:t>
      </w:r>
      <w:r w:rsidR="001E7CBA">
        <w:t>submitted prefiled testimony of twelve witness</w:t>
      </w:r>
      <w:r w:rsidR="00472C39">
        <w:t>es</w:t>
      </w:r>
      <w:r w:rsidR="000F13C7">
        <w:t xml:space="preserve"> and placed </w:t>
      </w:r>
      <w:r w:rsidR="000437E6">
        <w:t>17</w:t>
      </w:r>
      <w:r w:rsidR="000F13C7">
        <w:t xml:space="preserve"> exhibits and </w:t>
      </w:r>
      <w:r w:rsidR="000437E6">
        <w:t>18</w:t>
      </w:r>
      <w:r w:rsidR="000F13C7">
        <w:t xml:space="preserve"> cross exhibits into the record.  </w:t>
      </w:r>
      <w:r w:rsidR="00877DF3">
        <w:t xml:space="preserve">PECO was represented by counsel and presented the testimony of one witness.  In addition to </w:t>
      </w:r>
      <w:r w:rsidR="00FA2CFA">
        <w:t xml:space="preserve">the prefiled testimony of PECO’s </w:t>
      </w:r>
      <w:r w:rsidR="00FA2CFA">
        <w:lastRenderedPageBreak/>
        <w:t xml:space="preserve">witness, PECO </w:t>
      </w:r>
      <w:r w:rsidR="007B1049">
        <w:t xml:space="preserve">placed four cross exhibits and one redirect exhibit on the record. The hearing resulted in a transcript of 196 pages. </w:t>
      </w:r>
      <w:r w:rsidR="00877DF3">
        <w:t xml:space="preserve"> </w:t>
      </w:r>
    </w:p>
    <w:p w:rsidR="007133C6" w:rsidRDefault="007133C6" w:rsidP="00EF624A">
      <w:pPr>
        <w:keepNext/>
      </w:pPr>
    </w:p>
    <w:p w:rsidR="006C5B97" w:rsidRDefault="007133C6" w:rsidP="00EF624A">
      <w:pPr>
        <w:keepNext/>
      </w:pPr>
      <w:r>
        <w:t>Main Briefs were filed by PECO on December 3, 2009</w:t>
      </w:r>
      <w:r w:rsidR="00282BC1">
        <w:t>,</w:t>
      </w:r>
      <w:r>
        <w:t xml:space="preserve"> and DCNR on December 4, 2009.  Both Parties filed Reply Briefs on December 22, 2009.</w:t>
      </w:r>
    </w:p>
    <w:p w:rsidR="007133C6" w:rsidRDefault="007133C6" w:rsidP="00EF624A">
      <w:pPr>
        <w:keepNext/>
      </w:pPr>
    </w:p>
    <w:p w:rsidR="00F97670" w:rsidRDefault="007133C6" w:rsidP="00EF624A">
      <w:pPr>
        <w:keepNext/>
      </w:pPr>
      <w:r>
        <w:t xml:space="preserve">By Initial Decision issued </w:t>
      </w:r>
      <w:r w:rsidR="007A1C0F">
        <w:t xml:space="preserve">on April 22, 2010, the ALJ recommended that the Complaint be dismissed because DCNR failed to sustain its burden of proof.  </w:t>
      </w:r>
      <w:r w:rsidR="006516F2">
        <w:t xml:space="preserve">The ALJ found, </w:t>
      </w:r>
      <w:r w:rsidR="006516F2" w:rsidRPr="006516F2">
        <w:rPr>
          <w:i/>
        </w:rPr>
        <w:t>inter alia</w:t>
      </w:r>
      <w:r w:rsidR="006516F2">
        <w:t xml:space="preserve">, that DCNR owned the underground cable and PECO was not responsible for maintaining or repairing the cable.  The ALJ also found that DCNR failed to present evidence that PECO damaged the cable.  I.D. at 31. </w:t>
      </w:r>
    </w:p>
    <w:p w:rsidR="00F97670" w:rsidRDefault="00F97670" w:rsidP="00EF624A">
      <w:pPr>
        <w:keepNext/>
      </w:pPr>
    </w:p>
    <w:p w:rsidR="007133C6" w:rsidRDefault="00F97670" w:rsidP="00EF624A">
      <w:pPr>
        <w:keepNext/>
      </w:pPr>
      <w:r>
        <w:t xml:space="preserve">DCNR filed Exceptions to the Initial Decision on May 12, 2010.  PECO filed Reply Exceptions on May 24, 2010. </w:t>
      </w:r>
    </w:p>
    <w:p w:rsidR="00510D50" w:rsidRDefault="00510D50" w:rsidP="00EF624A">
      <w:pPr>
        <w:keepNext/>
      </w:pPr>
    </w:p>
    <w:p w:rsidR="00510D50" w:rsidRDefault="00510D50" w:rsidP="00EF624A">
      <w:pPr>
        <w:keepNext/>
        <w:ind w:firstLine="0"/>
        <w:jc w:val="center"/>
        <w:rPr>
          <w:b/>
        </w:rPr>
      </w:pPr>
      <w:r w:rsidRPr="00510D50">
        <w:rPr>
          <w:b/>
        </w:rPr>
        <w:t>Discussion</w:t>
      </w:r>
    </w:p>
    <w:p w:rsidR="00510D50" w:rsidRDefault="00510D50" w:rsidP="00EF624A">
      <w:pPr>
        <w:keepNext/>
        <w:ind w:firstLine="0"/>
        <w:jc w:val="center"/>
        <w:rPr>
          <w:b/>
        </w:rPr>
      </w:pPr>
    </w:p>
    <w:p w:rsidR="000A19D2" w:rsidRPr="003D49CB" w:rsidRDefault="000A19D2" w:rsidP="00EF624A">
      <w:pPr>
        <w:keepNext/>
        <w:suppressAutoHyphens/>
        <w:rPr>
          <w:spacing w:val="-3"/>
          <w:szCs w:val="26"/>
          <w:u w:val="single"/>
        </w:rPr>
      </w:pPr>
      <w:r w:rsidRPr="003D49CB">
        <w:rPr>
          <w:szCs w:val="26"/>
        </w:rPr>
        <w:t>As the proponent of a rule or order, the Complainant in this proceeding bears the burden of proof pursuant to Section</w:t>
      </w:r>
      <w:r>
        <w:rPr>
          <w:szCs w:val="26"/>
        </w:rPr>
        <w:t xml:space="preserve"> </w:t>
      </w:r>
      <w:r w:rsidRPr="003D49CB">
        <w:rPr>
          <w:szCs w:val="26"/>
        </w:rPr>
        <w:t xml:space="preserve">332(a) of the Public Utility Code.  66 Pa. C.S. § 332(a).  To satisfy this burden, the Complainant must demonstrate that the Respondent was responsible for the </w:t>
      </w:r>
      <w:r w:rsidR="000437E6">
        <w:rPr>
          <w:szCs w:val="26"/>
        </w:rPr>
        <w:t xml:space="preserve">issues </w:t>
      </w:r>
      <w:r w:rsidRPr="003D49CB">
        <w:rPr>
          <w:szCs w:val="26"/>
        </w:rPr>
        <w:t xml:space="preserve">alleged in </w:t>
      </w:r>
      <w:r w:rsidR="000437E6">
        <w:rPr>
          <w:szCs w:val="26"/>
        </w:rPr>
        <w:t>the</w:t>
      </w:r>
      <w:r w:rsidRPr="003D49CB">
        <w:rPr>
          <w:szCs w:val="26"/>
        </w:rPr>
        <w:t xml:space="preserve"> Complaint through a violation of the Public Utility Code or a Regulation or Order of the Commission.  This must be shown by a preponderance of the evidence.  66 Pa. C.S. §701; </w:t>
      </w:r>
      <w:r w:rsidRPr="003D49CB">
        <w:rPr>
          <w:i/>
          <w:szCs w:val="26"/>
        </w:rPr>
        <w:t>Patterson v. Bell Telephone Company of Pennsylvania,</w:t>
      </w:r>
      <w:r w:rsidRPr="003D49CB">
        <w:rPr>
          <w:szCs w:val="26"/>
        </w:rPr>
        <w:t xml:space="preserve"> 72 PA PUC 196 (1990).  Preponderance of the evidence means that the party with the burden of proof has presented evidence that is more convincing than that presented by the other party.  </w:t>
      </w:r>
      <w:r w:rsidRPr="003D49CB">
        <w:rPr>
          <w:i/>
          <w:szCs w:val="26"/>
        </w:rPr>
        <w:t>Samuel J. Lansberry, Inc. v. Pa. PUC</w:t>
      </w:r>
      <w:r w:rsidRPr="003D49CB">
        <w:rPr>
          <w:szCs w:val="26"/>
        </w:rPr>
        <w:t>,</w:t>
      </w:r>
      <w:r w:rsidRPr="003D49CB">
        <w:rPr>
          <w:i/>
          <w:szCs w:val="26"/>
        </w:rPr>
        <w:t xml:space="preserve"> </w:t>
      </w:r>
      <w:r w:rsidRPr="003D49CB">
        <w:rPr>
          <w:szCs w:val="26"/>
        </w:rPr>
        <w:t>578 A.2d 600, 602</w:t>
      </w:r>
      <w:r>
        <w:rPr>
          <w:szCs w:val="26"/>
        </w:rPr>
        <w:t>(Pa. Cmwlth1990)</w:t>
      </w:r>
      <w:r w:rsidRPr="003D49CB">
        <w:rPr>
          <w:szCs w:val="26"/>
        </w:rPr>
        <w:t xml:space="preserve">, </w:t>
      </w:r>
      <w:r w:rsidRPr="003D49CB">
        <w:rPr>
          <w:i/>
          <w:szCs w:val="26"/>
        </w:rPr>
        <w:t>alloc. den</w:t>
      </w:r>
      <w:r>
        <w:rPr>
          <w:i/>
          <w:szCs w:val="26"/>
        </w:rPr>
        <w:t>ied</w:t>
      </w:r>
      <w:r w:rsidRPr="003D49CB">
        <w:rPr>
          <w:szCs w:val="26"/>
        </w:rPr>
        <w:t xml:space="preserve">. </w:t>
      </w:r>
      <w:r>
        <w:rPr>
          <w:szCs w:val="26"/>
        </w:rPr>
        <w:t>529 Pa. 654,</w:t>
      </w:r>
      <w:r w:rsidRPr="003D49CB">
        <w:rPr>
          <w:szCs w:val="26"/>
        </w:rPr>
        <w:t xml:space="preserve">602 A.2d 863 (1992).  In addition, the Commission’s findings of fact must be supported by “substantial evidence,” </w:t>
      </w:r>
      <w:r w:rsidRPr="003D49CB">
        <w:rPr>
          <w:szCs w:val="26"/>
        </w:rPr>
        <w:lastRenderedPageBreak/>
        <w:t xml:space="preserve">which consists of evidence that a reasonable mind might accept as adequate to support a conclusion.  A mere “trace of evidence or a suspicion of the existence of a fact” is insufficient.  </w:t>
      </w:r>
      <w:r w:rsidRPr="003D49CB">
        <w:rPr>
          <w:i/>
          <w:szCs w:val="26"/>
        </w:rPr>
        <w:t>Norfolk and Western Railway v. Pa. P.U.C</w:t>
      </w:r>
      <w:r w:rsidRPr="003D49CB">
        <w:rPr>
          <w:szCs w:val="26"/>
        </w:rPr>
        <w:t>., 489 Pa. 109, 413 A.2d 1037 (1980).</w:t>
      </w:r>
    </w:p>
    <w:p w:rsidR="000A19D2" w:rsidRPr="003D49CB" w:rsidRDefault="000A19D2" w:rsidP="00EF624A">
      <w:pPr>
        <w:keepNext/>
      </w:pPr>
    </w:p>
    <w:p w:rsidR="000A19D2" w:rsidRPr="002B3141" w:rsidRDefault="000A19D2" w:rsidP="00EF624A">
      <w:pPr>
        <w:keepNext/>
        <w:rPr>
          <w:szCs w:val="26"/>
        </w:rPr>
      </w:pPr>
      <w:r w:rsidRPr="003D49CB">
        <w:rPr>
          <w:szCs w:val="26"/>
        </w:rPr>
        <w:t xml:space="preserve">Upon the presentation by the Complainant of evidence sufficient to initially satisfy the burden of proof, the burden of going forward with the evidence to rebut the evidence of the Complainant shifts to </w:t>
      </w:r>
      <w:r>
        <w:rPr>
          <w:szCs w:val="26"/>
        </w:rPr>
        <w:t>PECO.</w:t>
      </w:r>
      <w:r w:rsidRPr="003D49CB">
        <w:rPr>
          <w:szCs w:val="26"/>
        </w:rPr>
        <w:t xml:space="preserve">  If the evidence presented by </w:t>
      </w:r>
      <w:r>
        <w:rPr>
          <w:szCs w:val="26"/>
        </w:rPr>
        <w:t>PECO</w:t>
      </w:r>
      <w:r w:rsidRPr="003D49CB">
        <w:rPr>
          <w:szCs w:val="26"/>
        </w:rPr>
        <w:t xml:space="preserve"> is of co-equal weight, the Complainant has not satisfied </w:t>
      </w:r>
      <w:r>
        <w:rPr>
          <w:szCs w:val="26"/>
        </w:rPr>
        <w:t>its</w:t>
      </w:r>
      <w:r w:rsidRPr="003D49CB">
        <w:rPr>
          <w:szCs w:val="26"/>
        </w:rPr>
        <w:t xml:space="preserve"> burden of proof.  The Complainant now has to provide some additional evidence to rebut that of </w:t>
      </w:r>
      <w:r>
        <w:rPr>
          <w:szCs w:val="26"/>
        </w:rPr>
        <w:t>PECO.</w:t>
      </w:r>
      <w:r w:rsidRPr="003D49CB">
        <w:rPr>
          <w:szCs w:val="26"/>
        </w:rPr>
        <w:t xml:space="preserve"> </w:t>
      </w:r>
      <w:hyperlink r:id="rId8" w:history="1">
        <w:r w:rsidRPr="002B3141">
          <w:rPr>
            <w:rStyle w:val="Hyperlink"/>
            <w:rFonts w:eastAsiaTheme="majorEastAsia"/>
            <w:i/>
            <w:iCs/>
            <w:color w:val="auto"/>
            <w:szCs w:val="26"/>
            <w:u w:val="none"/>
          </w:rPr>
          <w:t>Burleson v. Pa. PUC</w:t>
        </w:r>
        <w:r w:rsidRPr="002B3141">
          <w:rPr>
            <w:rStyle w:val="Hyperlink"/>
            <w:rFonts w:eastAsiaTheme="majorEastAsia"/>
            <w:iCs/>
            <w:color w:val="auto"/>
            <w:szCs w:val="26"/>
            <w:u w:val="none"/>
          </w:rPr>
          <w:t>, 443 A.2d 1373 (Pa. Cmwlth. 1982), aff’d, 501 Pa. 433, 461 A.2d 1234 (1983).</w:t>
        </w:r>
      </w:hyperlink>
    </w:p>
    <w:p w:rsidR="000A19D2" w:rsidRPr="003D49CB" w:rsidRDefault="000A19D2" w:rsidP="00EF624A">
      <w:pPr>
        <w:keepNext/>
      </w:pPr>
    </w:p>
    <w:p w:rsidR="000A19D2" w:rsidRPr="003D49CB" w:rsidRDefault="000A19D2" w:rsidP="00EF624A">
      <w:pPr>
        <w:keepNext/>
      </w:pPr>
      <w:r w:rsidRPr="003D49CB">
        <w:t xml:space="preserve">While the burden of persuasion may </w:t>
      </w:r>
      <w:r w:rsidRPr="000A19D2">
        <w:rPr>
          <w:rStyle w:val="term1"/>
          <w:b w:val="0"/>
        </w:rPr>
        <w:t>shift</w:t>
      </w:r>
      <w:r w:rsidRPr="000A19D2">
        <w:rPr>
          <w:b/>
        </w:rPr>
        <w:t xml:space="preserve"> </w:t>
      </w:r>
      <w:r w:rsidRPr="003D49CB">
        <w:t xml:space="preserve">back and forth during a proceeding, the </w:t>
      </w:r>
      <w:r w:rsidRPr="000A19D2">
        <w:rPr>
          <w:rStyle w:val="term1"/>
          <w:b w:val="0"/>
        </w:rPr>
        <w:t>burden of proof</w:t>
      </w:r>
      <w:r w:rsidRPr="000A19D2">
        <w:rPr>
          <w:b/>
        </w:rPr>
        <w:t xml:space="preserve"> </w:t>
      </w:r>
      <w:r w:rsidRPr="006C3AF0">
        <w:t>never</w:t>
      </w:r>
      <w:r w:rsidRPr="000A19D2">
        <w:rPr>
          <w:b/>
        </w:rPr>
        <w:t xml:space="preserve"> </w:t>
      </w:r>
      <w:r w:rsidRPr="000A19D2">
        <w:rPr>
          <w:rStyle w:val="term1"/>
          <w:b w:val="0"/>
        </w:rPr>
        <w:t>shifts.  The burden of proof</w:t>
      </w:r>
      <w:r w:rsidRPr="003D49CB">
        <w:t xml:space="preserve"> always remains on the party seeking affirmative relief from the Commission.  </w:t>
      </w:r>
      <w:r w:rsidRPr="003D49CB">
        <w:rPr>
          <w:i/>
        </w:rPr>
        <w:t xml:space="preserve">Milkie v. Pa. PUC, </w:t>
      </w:r>
      <w:r w:rsidRPr="003D49CB">
        <w:t>768 A.2d 1217 (Pa. Cmwlth. 2001).</w:t>
      </w:r>
    </w:p>
    <w:p w:rsidR="00510D50" w:rsidRPr="00510D50" w:rsidRDefault="00510D50" w:rsidP="00EF624A">
      <w:pPr>
        <w:keepNext/>
        <w:ind w:firstLine="0"/>
        <w:jc w:val="center"/>
        <w:rPr>
          <w:b/>
        </w:rPr>
      </w:pPr>
    </w:p>
    <w:p w:rsidR="000A19D2" w:rsidRDefault="000A19D2" w:rsidP="00EF624A">
      <w:pPr>
        <w:keepNext/>
        <w:rPr>
          <w:szCs w:val="26"/>
        </w:rPr>
      </w:pPr>
      <w:r w:rsidRPr="00183AB4">
        <w:rPr>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83AB4">
        <w:rPr>
          <w:i/>
          <w:szCs w:val="26"/>
        </w:rPr>
        <w:t>Consolidated Rail Corporation v. Pennsylvania Public Utility Commission</w:t>
      </w:r>
      <w:r w:rsidRPr="00183AB4">
        <w:rPr>
          <w:szCs w:val="26"/>
        </w:rPr>
        <w:t xml:space="preserve">, 625 A.2d 741 (Pa. Cmwlth. 1993); </w:t>
      </w:r>
      <w:r w:rsidRPr="00183AB4">
        <w:rPr>
          <w:i/>
          <w:szCs w:val="26"/>
        </w:rPr>
        <w:t>see also</w:t>
      </w:r>
      <w:r w:rsidRPr="00183AB4">
        <w:rPr>
          <w:szCs w:val="26"/>
        </w:rPr>
        <w:t xml:space="preserve">, </w:t>
      </w:r>
      <w:r w:rsidRPr="00183AB4">
        <w:rPr>
          <w:i/>
          <w:szCs w:val="26"/>
        </w:rPr>
        <w:t>generally</w:t>
      </w:r>
      <w:r w:rsidRPr="00183AB4">
        <w:rPr>
          <w:szCs w:val="26"/>
        </w:rPr>
        <w:t xml:space="preserve">, </w:t>
      </w:r>
      <w:r w:rsidRPr="00183AB4">
        <w:rPr>
          <w:i/>
          <w:szCs w:val="26"/>
        </w:rPr>
        <w:t>University of Pennsylvania v. Pa. PUC</w:t>
      </w:r>
      <w:r w:rsidRPr="00183AB4">
        <w:rPr>
          <w:szCs w:val="26"/>
        </w:rPr>
        <w:t>, 485 A.2d 1217 (Pa. Cmwlth. 1984).</w:t>
      </w:r>
    </w:p>
    <w:p w:rsidR="007133C6" w:rsidRDefault="007133C6" w:rsidP="00EF624A">
      <w:pPr>
        <w:keepNext/>
      </w:pPr>
    </w:p>
    <w:p w:rsidR="006C3AF0" w:rsidRDefault="006C3AF0" w:rsidP="00EF624A">
      <w:pPr>
        <w:keepNext/>
        <w:rPr>
          <w:szCs w:val="26"/>
        </w:rPr>
      </w:pPr>
      <w:r w:rsidRPr="00BD4628">
        <w:rPr>
          <w:szCs w:val="26"/>
        </w:rPr>
        <w:t>In h</w:t>
      </w:r>
      <w:r>
        <w:rPr>
          <w:szCs w:val="26"/>
        </w:rPr>
        <w:t>er</w:t>
      </w:r>
      <w:r w:rsidRPr="00BD4628">
        <w:rPr>
          <w:szCs w:val="26"/>
        </w:rPr>
        <w:t xml:space="preserve"> Initial Decision, the ALJ made </w:t>
      </w:r>
      <w:r w:rsidR="00282BC1">
        <w:rPr>
          <w:szCs w:val="26"/>
        </w:rPr>
        <w:t>eighty-nine</w:t>
      </w:r>
      <w:r w:rsidRPr="00BD4628">
        <w:rPr>
          <w:szCs w:val="26"/>
        </w:rPr>
        <w:t xml:space="preserve"> Findings of Fact and reached </w:t>
      </w:r>
      <w:r>
        <w:rPr>
          <w:szCs w:val="26"/>
        </w:rPr>
        <w:t>four</w:t>
      </w:r>
      <w:r w:rsidRPr="00BD4628">
        <w:rPr>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82593A" w:rsidRDefault="0082593A" w:rsidP="00EF624A">
      <w:pPr>
        <w:keepNext/>
        <w:rPr>
          <w:szCs w:val="26"/>
        </w:rPr>
      </w:pPr>
    </w:p>
    <w:p w:rsidR="0082593A" w:rsidRPr="0082593A" w:rsidRDefault="004637C8" w:rsidP="00EF624A">
      <w:pPr>
        <w:keepNext/>
      </w:pPr>
      <w:r>
        <w:t>After reviewing the record evidence, the ALJ concluded that DCNR hired a contractor to install the underground cable in 1972.  The ALJ found</w:t>
      </w:r>
      <w:r w:rsidR="00A36490">
        <w:t xml:space="preserve">, </w:t>
      </w:r>
      <w:r w:rsidR="00A36490" w:rsidRPr="00A36490">
        <w:rPr>
          <w:i/>
        </w:rPr>
        <w:t>inter alia</w:t>
      </w:r>
      <w:r w:rsidR="00A36490">
        <w:t xml:space="preserve">, </w:t>
      </w:r>
      <w:r>
        <w:t xml:space="preserve">that </w:t>
      </w:r>
      <w:r w:rsidR="00282BC1">
        <w:t>based on the Commission’s R</w:t>
      </w:r>
      <w:r w:rsidR="008A03F9">
        <w:t xml:space="preserve">egulations, PECO’s tariff and its design practices, DCNR owns the facilities that are </w:t>
      </w:r>
      <w:r w:rsidR="00282BC1">
        <w:t>eighteen</w:t>
      </w:r>
      <w:r w:rsidR="008A03F9">
        <w:t xml:space="preserve"> inches </w:t>
      </w:r>
      <w:r w:rsidR="00C071C4">
        <w:t>inside</w:t>
      </w:r>
      <w:r w:rsidR="008A03F9">
        <w:t xml:space="preserve"> the Park’s property line and PECO was not responsible for maintaining </w:t>
      </w:r>
      <w:r w:rsidR="00E57A88">
        <w:t>or repairing the facilities</w:t>
      </w:r>
      <w:r w:rsidR="00B74882">
        <w:t>.</w:t>
      </w:r>
      <w:r w:rsidR="00E57A88">
        <w:t xml:space="preserve">  I.D. at 31.</w:t>
      </w:r>
      <w:r w:rsidR="008A03F9">
        <w:t xml:space="preserve"> </w:t>
      </w:r>
    </w:p>
    <w:p w:rsidR="007133C6" w:rsidRDefault="007133C6" w:rsidP="00EF624A">
      <w:pPr>
        <w:keepNext/>
      </w:pPr>
    </w:p>
    <w:p w:rsidR="00DD75DC" w:rsidRDefault="00DD75DC" w:rsidP="00EF624A">
      <w:pPr>
        <w:keepNext/>
        <w:ind w:firstLine="0"/>
        <w:rPr>
          <w:b/>
          <w:szCs w:val="26"/>
        </w:rPr>
      </w:pPr>
      <w:r w:rsidRPr="0082593A">
        <w:rPr>
          <w:b/>
          <w:szCs w:val="26"/>
        </w:rPr>
        <w:t>Point of Delivery</w:t>
      </w:r>
    </w:p>
    <w:p w:rsidR="00DD75DC" w:rsidRDefault="00DD75DC" w:rsidP="00EF624A">
      <w:pPr>
        <w:keepNext/>
      </w:pPr>
    </w:p>
    <w:p w:rsidR="00B01C5B" w:rsidRDefault="007302C0" w:rsidP="00EF624A">
      <w:pPr>
        <w:keepNext/>
      </w:pPr>
      <w:r w:rsidRPr="0082593A">
        <w:t>In its Exceptions</w:t>
      </w:r>
      <w:r>
        <w:t>, DCNR states that “</w:t>
      </w:r>
      <w:r w:rsidR="001F1C39">
        <w:t>[t]</w:t>
      </w:r>
      <w:r>
        <w:t xml:space="preserve">he outcome of this case turns on the determination of the point at which PECO’s supply line ends and the service lines for the customers within the Park, including DCNR, begin.” </w:t>
      </w:r>
      <w:r w:rsidRPr="0082593A">
        <w:t xml:space="preserve"> </w:t>
      </w:r>
      <w:r>
        <w:t xml:space="preserve">DCNR Exc. at 3.  </w:t>
      </w:r>
      <w:r w:rsidR="00B74882">
        <w:t>In h</w:t>
      </w:r>
      <w:r w:rsidR="00A36490">
        <w:t>er</w:t>
      </w:r>
      <w:r w:rsidR="00B74882">
        <w:t xml:space="preserve"> Findings of Fact</w:t>
      </w:r>
      <w:r w:rsidR="00310DD1">
        <w:t xml:space="preserve"> </w:t>
      </w:r>
      <w:r w:rsidR="00A36490">
        <w:t>N</w:t>
      </w:r>
      <w:r w:rsidR="00310DD1">
        <w:t>o. 82</w:t>
      </w:r>
      <w:r w:rsidR="00B74882">
        <w:t>, the ALJ states</w:t>
      </w:r>
      <w:r w:rsidR="00310DD1">
        <w:t>:</w:t>
      </w:r>
      <w:r w:rsidR="00B74882">
        <w:t xml:space="preserve"> </w:t>
      </w:r>
    </w:p>
    <w:p w:rsidR="002D3B52" w:rsidRDefault="002D3B52" w:rsidP="00EF624A">
      <w:pPr>
        <w:keepNext/>
      </w:pPr>
    </w:p>
    <w:p w:rsidR="00310DD1" w:rsidRPr="006A0CD7" w:rsidRDefault="00310DD1" w:rsidP="00EF624A">
      <w:pPr>
        <w:keepNext/>
        <w:spacing w:line="240" w:lineRule="auto"/>
        <w:ind w:left="1440" w:right="1440" w:firstLine="720"/>
        <w:rPr>
          <w:szCs w:val="26"/>
        </w:rPr>
      </w:pPr>
      <w:r w:rsidRPr="006A0CD7">
        <w:rPr>
          <w:szCs w:val="26"/>
        </w:rPr>
        <w:t>82.</w:t>
      </w:r>
      <w:r w:rsidRPr="006A0CD7">
        <w:rPr>
          <w:szCs w:val="26"/>
        </w:rPr>
        <w:tab/>
        <w:t>PECO’s Tariff defines the point at which the supply line and the customer installation connect as being the “point of delivery”:  “The single point at which the service supply lines of the Company terminate and the customer’s facilities for receiving service begin.”  Since the service in this case is underground cable, the point of delivery is 18 inches across the property line of the Park</w:t>
      </w:r>
      <w:r w:rsidR="00E23365">
        <w:rPr>
          <w:szCs w:val="26"/>
        </w:rPr>
        <w:t>.</w:t>
      </w:r>
      <w:r w:rsidRPr="006A0CD7">
        <w:rPr>
          <w:szCs w:val="26"/>
        </w:rPr>
        <w:t xml:space="preserve"> (PECO Statement No. 1 at 10 – Neumann; PECO Cross Ex. 2).</w:t>
      </w:r>
    </w:p>
    <w:p w:rsidR="00310DD1" w:rsidRDefault="00310DD1" w:rsidP="00EF624A">
      <w:pPr>
        <w:keepNext/>
        <w:spacing w:line="240" w:lineRule="auto"/>
        <w:ind w:firstLine="0"/>
      </w:pPr>
      <w:r>
        <w:t xml:space="preserve">I.D. at 19. </w:t>
      </w:r>
    </w:p>
    <w:p w:rsidR="00310DD1" w:rsidRDefault="00310DD1" w:rsidP="00EF624A">
      <w:pPr>
        <w:keepNext/>
        <w:spacing w:line="240" w:lineRule="auto"/>
        <w:ind w:firstLine="0"/>
      </w:pPr>
    </w:p>
    <w:p w:rsidR="00310DD1" w:rsidRDefault="00E26FAE" w:rsidP="00EF624A">
      <w:pPr>
        <w:keepNext/>
      </w:pPr>
      <w:r w:rsidRPr="00E26FAE">
        <w:t xml:space="preserve">DCNR </w:t>
      </w:r>
      <w:r w:rsidR="00E652F9">
        <w:t>avers</w:t>
      </w:r>
      <w:r w:rsidRPr="00E26FAE">
        <w:t xml:space="preserve"> </w:t>
      </w:r>
      <w:r>
        <w:t xml:space="preserve">that the ALJ relied on Section 6.1 of PECO’s tariff to conclude that the point of delivery in this case is the underground cable located </w:t>
      </w:r>
      <w:r w:rsidR="001F1C39">
        <w:t>eighteen</w:t>
      </w:r>
      <w:r>
        <w:t xml:space="preserve"> inches inside the Park boundary</w:t>
      </w:r>
      <w:r w:rsidR="00A36490">
        <w:t>.</w:t>
      </w:r>
      <w:r w:rsidR="00633FC0">
        <w:t xml:space="preserve">  DCNR Exc. at 3.  </w:t>
      </w:r>
      <w:r w:rsidR="00B57C01">
        <w:t>W</w:t>
      </w:r>
      <w:r w:rsidR="00E652F9">
        <w:t>hen the underground cable was installed</w:t>
      </w:r>
      <w:r w:rsidR="00B57C01">
        <w:t xml:space="preserve"> in 1972</w:t>
      </w:r>
      <w:r w:rsidR="00E652F9">
        <w:t xml:space="preserve">, PECO’s tariff Rule 6.1 stated: </w:t>
      </w:r>
    </w:p>
    <w:p w:rsidR="005018A8" w:rsidRDefault="005018A8" w:rsidP="00EF624A">
      <w:pPr>
        <w:keepNext/>
      </w:pPr>
    </w:p>
    <w:p w:rsidR="00310DD1" w:rsidRPr="00E26FAE" w:rsidRDefault="0054529C" w:rsidP="00EF624A">
      <w:pPr>
        <w:keepNext/>
        <w:spacing w:line="240" w:lineRule="auto"/>
        <w:ind w:left="1440" w:right="1440" w:firstLine="0"/>
      </w:pPr>
      <w:r>
        <w:t xml:space="preserve">6.1 Company’s Service-Supply Lines.  Where the Company has supply facilities </w:t>
      </w:r>
      <w:r w:rsidR="00520030">
        <w:t>of adequate capacity on the highway or in other trunk line location adjacent to the premises to be served, it will provide, own and maintain standard service-</w:t>
      </w:r>
      <w:r w:rsidR="00520030">
        <w:lastRenderedPageBreak/>
        <w:t xml:space="preserve">supply lines for new </w:t>
      </w:r>
      <w:r w:rsidR="0064693A">
        <w:t>a new connection</w:t>
      </w:r>
      <w:r w:rsidR="00520030">
        <w:t xml:space="preserve"> or a change in connection or for </w:t>
      </w:r>
      <w:r w:rsidR="0064693A">
        <w:t xml:space="preserve">a change in contract as follows: (a) a single span of open wire construction to the first suitable support of the Customer, nominally 100 feet inside the property line of the Customer.  The Customer’s support </w:t>
      </w:r>
      <w:r w:rsidR="00C071C4">
        <w:t>s</w:t>
      </w:r>
      <w:r w:rsidR="0064693A">
        <w:t xml:space="preserve">hall be so located that the service span will be free of obstruction, and adequately supported as required by the size and weight of the </w:t>
      </w:r>
      <w:r w:rsidR="00FD75F5">
        <w:t xml:space="preserve">conductors; (b) overhead or underground cable construction to a point approximately 18 inches inside the property line of the Customer.  In new residential subdivisions of five or more lots, or to new apartment buildings containing at least five apartments, underground cable construction will be extended to a meter location or connection box located at the building </w:t>
      </w:r>
      <w:r w:rsidR="00B57C01">
        <w:t>or buildings, as designed by the Company and in accordance with Rule 7.3.</w:t>
      </w:r>
    </w:p>
    <w:p w:rsidR="00310DD1" w:rsidRPr="00E26FAE" w:rsidRDefault="00B57C01" w:rsidP="00EF624A">
      <w:pPr>
        <w:keepNext/>
        <w:spacing w:before="120"/>
        <w:ind w:firstLine="0"/>
      </w:pPr>
      <w:r>
        <w:t xml:space="preserve">PECO St. </w:t>
      </w:r>
      <w:r w:rsidR="00980416">
        <w:t xml:space="preserve">No. 1 at 8. </w:t>
      </w:r>
    </w:p>
    <w:p w:rsidR="00310DD1" w:rsidRDefault="00310DD1" w:rsidP="00EF624A">
      <w:pPr>
        <w:keepNext/>
      </w:pPr>
    </w:p>
    <w:p w:rsidR="00357AEE" w:rsidRPr="0012639E" w:rsidRDefault="00357AEE" w:rsidP="00EF624A">
      <w:pPr>
        <w:keepNext/>
      </w:pPr>
      <w:r w:rsidRPr="0012639E">
        <w:t xml:space="preserve">PECO’s current tariff Rule 6.1 has essentially the same elements and provides in pertinent part: </w:t>
      </w:r>
    </w:p>
    <w:p w:rsidR="00357AEE" w:rsidRDefault="00357AEE" w:rsidP="00EF624A">
      <w:pPr>
        <w:keepNext/>
        <w:rPr>
          <w:color w:val="00B050"/>
        </w:rPr>
      </w:pPr>
    </w:p>
    <w:p w:rsidR="00357AEE" w:rsidRPr="00357AEE" w:rsidRDefault="00357AEE" w:rsidP="00EF624A">
      <w:pPr>
        <w:pStyle w:val="BodyTextIndent2"/>
        <w:keepNext/>
        <w:spacing w:line="240" w:lineRule="auto"/>
        <w:ind w:left="1440" w:right="1440"/>
        <w:rPr>
          <w:szCs w:val="26"/>
        </w:rPr>
      </w:pPr>
      <w:r w:rsidRPr="00357AEE">
        <w:rPr>
          <w:b/>
          <w:szCs w:val="26"/>
        </w:rPr>
        <w:t>6.1 COMPANY’S SERVICE LINES</w:t>
      </w:r>
      <w:r w:rsidRPr="00357AEE">
        <w:rPr>
          <w:szCs w:val="26"/>
        </w:rPr>
        <w:t xml:space="preserve">.  Where the Company has distribution facilities of adequate capacity on the highway or in other trunk line location adjacent to the premises to be served, it will provide, own and maintain standard service-supply lines as follows: (a) </w:t>
      </w:r>
      <w:r w:rsidRPr="00E23365">
        <w:rPr>
          <w:szCs w:val="26"/>
        </w:rPr>
        <w:t>UNDERGROUND</w:t>
      </w:r>
      <w:r w:rsidRPr="0075430C">
        <w:rPr>
          <w:szCs w:val="26"/>
        </w:rPr>
        <w:t xml:space="preserve">.  </w:t>
      </w:r>
      <w:r w:rsidRPr="00357AEE">
        <w:rPr>
          <w:szCs w:val="26"/>
        </w:rPr>
        <w:t xml:space="preserve">Underground cable construction to a point approximately 18 inches inside the property line of the customer [with exceptions not relevant here] (b) AERIAL. A single span of aerial open wire or cable construction to the first suitable support of the customer, nominally 100 feet inside the property line of the customer.  </w:t>
      </w:r>
    </w:p>
    <w:p w:rsidR="00357AEE" w:rsidRDefault="00357AEE" w:rsidP="00EF624A">
      <w:pPr>
        <w:keepNext/>
        <w:ind w:firstLine="0"/>
        <w:rPr>
          <w:szCs w:val="26"/>
        </w:rPr>
      </w:pPr>
      <w:r w:rsidRPr="0012639E">
        <w:rPr>
          <w:szCs w:val="26"/>
        </w:rPr>
        <w:t>PECO Statement No. 1 at 8</w:t>
      </w:r>
      <w:r w:rsidR="00E23365">
        <w:rPr>
          <w:szCs w:val="26"/>
        </w:rPr>
        <w:t>.</w:t>
      </w:r>
      <w:r w:rsidRPr="0012639E">
        <w:rPr>
          <w:szCs w:val="26"/>
        </w:rPr>
        <w:t xml:space="preserve"> </w:t>
      </w:r>
    </w:p>
    <w:p w:rsidR="00E22E41" w:rsidRDefault="00E22E41" w:rsidP="00EF624A">
      <w:pPr>
        <w:keepNext/>
        <w:ind w:firstLine="0"/>
        <w:rPr>
          <w:szCs w:val="26"/>
        </w:rPr>
      </w:pPr>
    </w:p>
    <w:p w:rsidR="008141E0" w:rsidRDefault="00E22E41" w:rsidP="00EF624A">
      <w:pPr>
        <w:keepNext/>
        <w:rPr>
          <w:szCs w:val="26"/>
        </w:rPr>
      </w:pPr>
      <w:r>
        <w:t>PECO’s witness Neumann noted that the definition of service line in PECO’s tariff was drawn from the Commission’s Regulations at 52 Pa. Code §57.1</w:t>
      </w:r>
      <w:r w:rsidR="008141E0">
        <w:t xml:space="preserve">.  </w:t>
      </w:r>
      <w:r w:rsidR="008141E0" w:rsidRPr="0012639E">
        <w:rPr>
          <w:szCs w:val="26"/>
        </w:rPr>
        <w:t xml:space="preserve">PECO Statement No. 1 at </w:t>
      </w:r>
      <w:r w:rsidR="008141E0">
        <w:rPr>
          <w:szCs w:val="26"/>
        </w:rPr>
        <w:t xml:space="preserve">9. </w:t>
      </w:r>
      <w:r w:rsidR="008141E0" w:rsidRPr="0012639E">
        <w:rPr>
          <w:szCs w:val="26"/>
        </w:rPr>
        <w:t xml:space="preserve"> </w:t>
      </w:r>
      <w:r w:rsidR="008141E0">
        <w:rPr>
          <w:szCs w:val="26"/>
        </w:rPr>
        <w:t>The Commission’s Regulations define service line as:</w:t>
      </w:r>
    </w:p>
    <w:p w:rsidR="008141E0" w:rsidRDefault="008141E0" w:rsidP="00EF624A">
      <w:pPr>
        <w:keepNext/>
        <w:spacing w:after="120" w:line="240" w:lineRule="auto"/>
        <w:ind w:left="1440" w:right="1440" w:firstLine="360"/>
        <w:rPr>
          <w:szCs w:val="26"/>
        </w:rPr>
      </w:pPr>
      <w:r w:rsidRPr="008141E0">
        <w:rPr>
          <w:i/>
          <w:szCs w:val="26"/>
        </w:rPr>
        <w:lastRenderedPageBreak/>
        <w:t>Service line</w:t>
      </w:r>
      <w:r>
        <w:rPr>
          <w:szCs w:val="26"/>
        </w:rPr>
        <w:t xml:space="preserve"> – The wires or cables and appurtenances which connect the electric supply line of the public utility with the customer’s </w:t>
      </w:r>
      <w:r w:rsidR="00FB7D64">
        <w:rPr>
          <w:szCs w:val="26"/>
        </w:rPr>
        <w:t>installation which comply with either of the following:</w:t>
      </w:r>
    </w:p>
    <w:p w:rsidR="009B7AF6" w:rsidRDefault="00FB7D64" w:rsidP="00EF624A">
      <w:pPr>
        <w:keepNext/>
        <w:spacing w:after="120" w:line="240" w:lineRule="auto"/>
        <w:ind w:left="1728" w:right="1440" w:firstLine="360"/>
        <w:rPr>
          <w:szCs w:val="26"/>
        </w:rPr>
      </w:pPr>
      <w:r>
        <w:rPr>
          <w:szCs w:val="26"/>
        </w:rPr>
        <w:t xml:space="preserve">(i) </w:t>
      </w:r>
      <w:r w:rsidR="009B7AF6">
        <w:rPr>
          <w:szCs w:val="26"/>
        </w:rPr>
        <w:t>If overhead-open-wire or cable construction, the span, normally 100 feet, extending to a suitable support provided by the customer.</w:t>
      </w:r>
    </w:p>
    <w:p w:rsidR="00FB7D64" w:rsidRDefault="009B7AF6" w:rsidP="00EF624A">
      <w:pPr>
        <w:keepNext/>
        <w:spacing w:after="120" w:line="240" w:lineRule="auto"/>
        <w:ind w:left="1728" w:right="1440" w:firstLine="360"/>
        <w:rPr>
          <w:szCs w:val="26"/>
        </w:rPr>
      </w:pPr>
      <w:r>
        <w:rPr>
          <w:szCs w:val="26"/>
        </w:rPr>
        <w:t xml:space="preserve">(ii) </w:t>
      </w:r>
      <w:r w:rsidR="00961C26">
        <w:rPr>
          <w:szCs w:val="26"/>
        </w:rPr>
        <w:t>If the electric supply is of underground construction, the underground facilities extending to but not exceeding 18 inches inside the property line of the customer.</w:t>
      </w:r>
      <w:r>
        <w:rPr>
          <w:szCs w:val="26"/>
        </w:rPr>
        <w:t xml:space="preserve"> </w:t>
      </w:r>
    </w:p>
    <w:p w:rsidR="00E22E41" w:rsidRDefault="00961C26" w:rsidP="00EF624A">
      <w:pPr>
        <w:keepNext/>
        <w:ind w:firstLine="0"/>
      </w:pPr>
      <w:r>
        <w:t xml:space="preserve">52 Pa. Code </w:t>
      </w:r>
      <w:r w:rsidR="00393BE0">
        <w:t>§57.1.</w:t>
      </w:r>
    </w:p>
    <w:p w:rsidR="0012639E" w:rsidRDefault="0012639E" w:rsidP="00EF624A">
      <w:pPr>
        <w:keepNext/>
        <w:ind w:firstLine="0"/>
        <w:rPr>
          <w:szCs w:val="26"/>
        </w:rPr>
      </w:pPr>
    </w:p>
    <w:p w:rsidR="00357AEE" w:rsidRDefault="0012639E" w:rsidP="00EF624A">
      <w:pPr>
        <w:keepNext/>
        <w:rPr>
          <w:szCs w:val="26"/>
        </w:rPr>
      </w:pPr>
      <w:r w:rsidRPr="00EB61F4">
        <w:t xml:space="preserve">In its Exceptions, DCNR </w:t>
      </w:r>
      <w:r w:rsidR="00D83561" w:rsidRPr="00EB61F4">
        <w:t xml:space="preserve">argues that the Park boundary at Gradyville Road is not the property line for </w:t>
      </w:r>
      <w:r w:rsidR="00A36490">
        <w:t xml:space="preserve">the </w:t>
      </w:r>
      <w:r w:rsidR="00D83561" w:rsidRPr="00EB61F4">
        <w:t>four separate</w:t>
      </w:r>
      <w:r w:rsidR="00D83561">
        <w:rPr>
          <w:szCs w:val="26"/>
        </w:rPr>
        <w:t xml:space="preserve"> customers within the Park being served by PECO.  </w:t>
      </w:r>
      <w:r w:rsidR="00EB61F4">
        <w:rPr>
          <w:szCs w:val="26"/>
        </w:rPr>
        <w:t xml:space="preserve">DCNR submits that the definitions of the terms “customer” and “property line” in PECO’s tariff are key to analyzing the point of delivery, but are not considered in the Initial Decision. </w:t>
      </w:r>
      <w:r w:rsidR="00F7167C">
        <w:rPr>
          <w:szCs w:val="26"/>
        </w:rPr>
        <w:t xml:space="preserve"> DCNR states that “customer” is defined as “any person, partnership, or corporation, lawfully receiving service at a single meter location from the Company.”  </w:t>
      </w:r>
      <w:r w:rsidR="00FB4804">
        <w:rPr>
          <w:szCs w:val="26"/>
        </w:rPr>
        <w:t xml:space="preserve">DCNR also states that PECO’s tariff defines “property line” as the “division line between land held for private use, and land in which the public or company has the right to use, or, the division line between </w:t>
      </w:r>
      <w:r w:rsidR="00D72130">
        <w:rPr>
          <w:szCs w:val="26"/>
        </w:rPr>
        <w:t>separately</w:t>
      </w:r>
      <w:r w:rsidR="00FB4804">
        <w:rPr>
          <w:szCs w:val="26"/>
        </w:rPr>
        <w:t xml:space="preserve"> owned or occupied land</w:t>
      </w:r>
      <w:r w:rsidR="00D72130">
        <w:rPr>
          <w:szCs w:val="26"/>
        </w:rPr>
        <w:t>.”  DCNR argues that the four customers each separately occupy land within the Park and under Rule 6.1 of PECO’s tariff</w:t>
      </w:r>
      <w:r w:rsidR="00E23365">
        <w:rPr>
          <w:szCs w:val="26"/>
        </w:rPr>
        <w:t xml:space="preserve">.  Therefore, </w:t>
      </w:r>
      <w:r w:rsidR="00D72130">
        <w:rPr>
          <w:szCs w:val="26"/>
        </w:rPr>
        <w:t xml:space="preserve">the appropriate point of delivery is 18 inches inside the division lines </w:t>
      </w:r>
      <w:r w:rsidR="0012731D">
        <w:rPr>
          <w:szCs w:val="26"/>
        </w:rPr>
        <w:t xml:space="preserve">between the separately occupied land of each customer, not the Park boundary. </w:t>
      </w:r>
      <w:r w:rsidR="00FB4804">
        <w:rPr>
          <w:szCs w:val="26"/>
        </w:rPr>
        <w:t xml:space="preserve"> </w:t>
      </w:r>
      <w:r w:rsidR="0012731D">
        <w:rPr>
          <w:szCs w:val="26"/>
        </w:rPr>
        <w:t xml:space="preserve">DCNR Exc. at </w:t>
      </w:r>
      <w:r w:rsidR="0002026A">
        <w:rPr>
          <w:szCs w:val="26"/>
        </w:rPr>
        <w:t>3-</w:t>
      </w:r>
      <w:r w:rsidR="0012731D">
        <w:rPr>
          <w:szCs w:val="26"/>
        </w:rPr>
        <w:t xml:space="preserve">4. </w:t>
      </w:r>
    </w:p>
    <w:p w:rsidR="00DB7589" w:rsidRDefault="00DB7589" w:rsidP="00EF624A">
      <w:pPr>
        <w:keepNext/>
        <w:rPr>
          <w:szCs w:val="26"/>
        </w:rPr>
      </w:pPr>
    </w:p>
    <w:p w:rsidR="00357AEE" w:rsidRPr="001732C9" w:rsidRDefault="001732C9" w:rsidP="00EF624A">
      <w:pPr>
        <w:keepNext/>
      </w:pPr>
      <w:r w:rsidRPr="001732C9">
        <w:t>In his direct testimony, PECO witness Neuman</w:t>
      </w:r>
      <w:r w:rsidR="007F128E">
        <w:t>n</w:t>
      </w:r>
      <w:r w:rsidRPr="001732C9">
        <w:t xml:space="preserve"> stated that </w:t>
      </w:r>
      <w:r w:rsidR="00E133F8">
        <w:t>DCNR h</w:t>
      </w:r>
      <w:r w:rsidRPr="001732C9">
        <w:t xml:space="preserve">ad </w:t>
      </w:r>
      <w:r w:rsidR="00E133F8">
        <w:t xml:space="preserve">an </w:t>
      </w:r>
      <w:r w:rsidRPr="001732C9">
        <w:t xml:space="preserve">opportunity in 1972 to obtain utility service to the edge of the individual property lines </w:t>
      </w:r>
      <w:r w:rsidR="00E23365">
        <w:t xml:space="preserve">within the Park </w:t>
      </w:r>
      <w:r w:rsidRPr="001732C9">
        <w:t xml:space="preserve">and that service would have been aerial. </w:t>
      </w:r>
      <w:r>
        <w:t xml:space="preserve"> </w:t>
      </w:r>
      <w:r w:rsidR="004A794E">
        <w:t xml:space="preserve">PECO St. No. 1 at 27.  </w:t>
      </w:r>
      <w:r w:rsidR="00D33E3F">
        <w:t xml:space="preserve">DCNR </w:t>
      </w:r>
      <w:r w:rsidR="00D33E3F">
        <w:lastRenderedPageBreak/>
        <w:t xml:space="preserve">witness Forrey testified that </w:t>
      </w:r>
      <w:r w:rsidR="00BC15F8">
        <w:t xml:space="preserve">PECO refused to install an underground cable </w:t>
      </w:r>
      <w:r w:rsidR="002A37FA">
        <w:t>within the Park</w:t>
      </w:r>
      <w:r w:rsidR="000852A5">
        <w:t>,</w:t>
      </w:r>
      <w:r w:rsidR="002A37FA">
        <w:t xml:space="preserve"> </w:t>
      </w:r>
      <w:r w:rsidR="00BC15F8">
        <w:t xml:space="preserve">so </w:t>
      </w:r>
      <w:r w:rsidR="00141A41">
        <w:t>DCNR</w:t>
      </w:r>
      <w:r w:rsidR="00BC15F8">
        <w:t xml:space="preserve"> got a contractor to install the cable.  </w:t>
      </w:r>
      <w:r w:rsidR="00AD77C2">
        <w:t xml:space="preserve">DCNR St. No. 1 at 2.  </w:t>
      </w:r>
    </w:p>
    <w:p w:rsidR="00357AEE" w:rsidRPr="001732C9" w:rsidRDefault="00357AEE" w:rsidP="00EF624A">
      <w:pPr>
        <w:keepNext/>
      </w:pPr>
    </w:p>
    <w:p w:rsidR="00696BD0" w:rsidRDefault="0059772B" w:rsidP="00EF624A">
      <w:pPr>
        <w:keepNext/>
      </w:pPr>
      <w:r>
        <w:t>Both the Commission’s R</w:t>
      </w:r>
      <w:r w:rsidR="00451336">
        <w:t>egulations and P</w:t>
      </w:r>
      <w:r w:rsidR="001B7897">
        <w:t>E</w:t>
      </w:r>
      <w:r w:rsidR="00451336">
        <w:t xml:space="preserve">CO’s tariff provide for </w:t>
      </w:r>
      <w:r w:rsidR="0014592E">
        <w:t xml:space="preserve">either 100 feet of overhead line or </w:t>
      </w:r>
      <w:r>
        <w:t>eighteen</w:t>
      </w:r>
      <w:r w:rsidR="00451336">
        <w:t xml:space="preserve"> inches of underground cable inside the </w:t>
      </w:r>
      <w:r w:rsidR="007F128E">
        <w:t xml:space="preserve">property line of the customer. </w:t>
      </w:r>
      <w:r w:rsidR="00214622">
        <w:t xml:space="preserve"> </w:t>
      </w:r>
      <w:r w:rsidR="00515808">
        <w:t xml:space="preserve">If PECO would have </w:t>
      </w:r>
      <w:r w:rsidR="00BA0FE6">
        <w:t xml:space="preserve">been permitted by DCNR to </w:t>
      </w:r>
      <w:r w:rsidR="00515808">
        <w:t xml:space="preserve">create points of </w:t>
      </w:r>
      <w:r w:rsidR="005162D1">
        <w:t>delivery</w:t>
      </w:r>
      <w:r w:rsidR="00515808">
        <w:t xml:space="preserve"> within the Park</w:t>
      </w:r>
      <w:r w:rsidR="00B5292F">
        <w:t xml:space="preserve">, </w:t>
      </w:r>
      <w:r w:rsidR="005A6551">
        <w:t>PECO</w:t>
      </w:r>
      <w:r w:rsidR="00B5292F">
        <w:t xml:space="preserve"> would have run an aerial supply line into the Park.  </w:t>
      </w:r>
      <w:r w:rsidR="009131A7">
        <w:t xml:space="preserve">From that supply line, each of the four metered customers within the Park would have been entitled to service lines </w:t>
      </w:r>
      <w:r w:rsidR="00DB05BC">
        <w:t xml:space="preserve">that were either </w:t>
      </w:r>
      <w:r w:rsidR="00990C79">
        <w:t>100 feet of overhead line or up</w:t>
      </w:r>
      <w:r w:rsidR="005A6551">
        <w:t xml:space="preserve"> to </w:t>
      </w:r>
      <w:r>
        <w:t>eighteen</w:t>
      </w:r>
      <w:r w:rsidR="005A6551">
        <w:t xml:space="preserve"> inches of underground </w:t>
      </w:r>
      <w:r w:rsidR="006B00F5">
        <w:t>cable.</w:t>
      </w:r>
      <w:r w:rsidR="00990C79">
        <w:t xml:space="preserve"> </w:t>
      </w:r>
      <w:r w:rsidR="00515808">
        <w:t xml:space="preserve"> </w:t>
      </w:r>
      <w:r w:rsidR="00DB05BC">
        <w:t xml:space="preserve">However, </w:t>
      </w:r>
      <w:r w:rsidR="00990C79">
        <w:t>DCNR determined that the entire Park needed to be served by an underground line.</w:t>
      </w:r>
      <w:r w:rsidR="0075430C">
        <w:t xml:space="preserve"> </w:t>
      </w:r>
      <w:r w:rsidR="00990C79">
        <w:t xml:space="preserve"> </w:t>
      </w:r>
      <w:r w:rsidR="0014592E">
        <w:t xml:space="preserve">Therefore, </w:t>
      </w:r>
      <w:r w:rsidR="00254078">
        <w:t xml:space="preserve">we find that </w:t>
      </w:r>
      <w:r w:rsidR="0014592E">
        <w:t xml:space="preserve">in 1972, </w:t>
      </w:r>
      <w:r w:rsidR="00E133F8">
        <w:t xml:space="preserve">DCNR </w:t>
      </w:r>
      <w:r w:rsidR="001E2913">
        <w:t xml:space="preserve">determined that the point of </w:t>
      </w:r>
      <w:r w:rsidR="005162D1">
        <w:t xml:space="preserve">delivery </w:t>
      </w:r>
      <w:r w:rsidR="00520941">
        <w:t xml:space="preserve">would be </w:t>
      </w:r>
      <w:r>
        <w:t>eighteen</w:t>
      </w:r>
      <w:r w:rsidR="00DB05BC">
        <w:t xml:space="preserve"> inches inside </w:t>
      </w:r>
      <w:r w:rsidR="00520941">
        <w:t xml:space="preserve">the Park boundary at Gradyville Road when it elected to construct </w:t>
      </w:r>
      <w:r w:rsidR="00DB7589">
        <w:t xml:space="preserve">its own </w:t>
      </w:r>
      <w:r w:rsidR="00520941">
        <w:t xml:space="preserve">underground cable in lieu of receiving </w:t>
      </w:r>
      <w:r w:rsidR="00DB7589">
        <w:t>aerial service within the Park</w:t>
      </w:r>
      <w:r w:rsidR="0014592E">
        <w:t>.</w:t>
      </w:r>
      <w:r w:rsidR="00B41A7A">
        <w:t xml:space="preserve">  Accordingly, DCNR’s Exceptions related to the point of </w:t>
      </w:r>
      <w:r w:rsidR="005162D1">
        <w:t>delivery</w:t>
      </w:r>
      <w:r w:rsidR="00B41A7A">
        <w:t xml:space="preserve"> are denied. </w:t>
      </w:r>
    </w:p>
    <w:p w:rsidR="00357AEE" w:rsidRDefault="00357AEE" w:rsidP="00EF624A">
      <w:pPr>
        <w:keepNext/>
        <w:rPr>
          <w:color w:val="00B050"/>
        </w:rPr>
      </w:pPr>
    </w:p>
    <w:p w:rsidR="00B41A7A" w:rsidRDefault="00B41A7A" w:rsidP="00EF624A">
      <w:pPr>
        <w:keepNext/>
        <w:ind w:firstLine="0"/>
        <w:rPr>
          <w:b/>
        </w:rPr>
      </w:pPr>
      <w:r w:rsidRPr="00B41A7A">
        <w:rPr>
          <w:b/>
        </w:rPr>
        <w:t>Ownership of the Underground Cable</w:t>
      </w:r>
      <w:r w:rsidR="0029765D">
        <w:rPr>
          <w:b/>
        </w:rPr>
        <w:t xml:space="preserve">  </w:t>
      </w:r>
    </w:p>
    <w:p w:rsidR="00932911" w:rsidRDefault="00932911" w:rsidP="00EF624A">
      <w:pPr>
        <w:keepNext/>
        <w:spacing w:line="240" w:lineRule="auto"/>
        <w:ind w:firstLine="0"/>
        <w:rPr>
          <w:b/>
        </w:rPr>
      </w:pPr>
    </w:p>
    <w:p w:rsidR="00F605C1" w:rsidRDefault="00A01196" w:rsidP="00EF624A">
      <w:pPr>
        <w:keepNext/>
      </w:pPr>
      <w:r w:rsidRPr="00A01196">
        <w:t xml:space="preserve">In its Exceptions, </w:t>
      </w:r>
      <w:r>
        <w:t>DCNR contends that the underground cable in the Park is a “line extension” to PECO’s energy supply line</w:t>
      </w:r>
      <w:r w:rsidR="007D4D3E">
        <w:t>,</w:t>
      </w:r>
      <w:r>
        <w:t xml:space="preserve"> and therefore, </w:t>
      </w:r>
      <w:r w:rsidR="007B030D">
        <w:t>owned by PECO.</w:t>
      </w:r>
      <w:r w:rsidR="006239F6">
        <w:t xml:space="preserve">  In support of its argument, DCNR points to the </w:t>
      </w:r>
      <w:r w:rsidR="00F605C1">
        <w:t xml:space="preserve">following </w:t>
      </w:r>
      <w:r w:rsidR="006239F6">
        <w:t xml:space="preserve">definitions of “line extension,” “electric supply line” and “customer” in </w:t>
      </w:r>
      <w:r w:rsidR="00506C7B">
        <w:t xml:space="preserve">the Commission’s </w:t>
      </w:r>
      <w:r w:rsidR="006239F6">
        <w:t>Regulations at 52 Pa. Code §</w:t>
      </w:r>
      <w:r w:rsidR="00506C7B">
        <w:t> </w:t>
      </w:r>
      <w:r w:rsidR="00F605C1">
        <w:t>57.1.</w:t>
      </w:r>
    </w:p>
    <w:p w:rsidR="00F605C1" w:rsidRDefault="00F605C1" w:rsidP="00EF624A">
      <w:pPr>
        <w:keepNext/>
      </w:pPr>
    </w:p>
    <w:p w:rsidR="00B41A7A" w:rsidRDefault="00F605C1" w:rsidP="00EF624A">
      <w:pPr>
        <w:keepNext/>
        <w:spacing w:line="240" w:lineRule="auto"/>
        <w:ind w:left="1440" w:right="1440" w:firstLine="360"/>
      </w:pPr>
      <w:r w:rsidRPr="00932911">
        <w:rPr>
          <w:i/>
        </w:rPr>
        <w:t>Line extension</w:t>
      </w:r>
      <w:r>
        <w:t xml:space="preserve"> </w:t>
      </w:r>
      <w:r w:rsidR="00320BD5">
        <w:t>–</w:t>
      </w:r>
      <w:r>
        <w:t xml:space="preserve"> </w:t>
      </w:r>
      <w:r w:rsidR="00320BD5">
        <w:t xml:space="preserve">An addition to the public utility electric supply line necessary to serve the premises of a customer which addition is so located that it cannot be supplied by means </w:t>
      </w:r>
      <w:r w:rsidR="001756C2">
        <w:t xml:space="preserve">of a service line from the existing electric supply line. </w:t>
      </w:r>
    </w:p>
    <w:p w:rsidR="001756C2" w:rsidRDefault="001756C2" w:rsidP="00EF624A">
      <w:pPr>
        <w:keepNext/>
        <w:spacing w:line="240" w:lineRule="auto"/>
        <w:ind w:left="1440" w:right="1440" w:firstLine="360"/>
      </w:pPr>
    </w:p>
    <w:p w:rsidR="001756C2" w:rsidRDefault="001756C2" w:rsidP="00EF624A">
      <w:pPr>
        <w:keepNext/>
        <w:spacing w:line="240" w:lineRule="auto"/>
        <w:ind w:left="1440" w:right="1440" w:firstLine="360"/>
      </w:pPr>
      <w:r w:rsidRPr="00932911">
        <w:rPr>
          <w:i/>
        </w:rPr>
        <w:t>Electric supply line</w:t>
      </w:r>
      <w:r>
        <w:t xml:space="preserve"> – The wires or cables, with the necessary supporting or containing structures and </w:t>
      </w:r>
      <w:r>
        <w:lastRenderedPageBreak/>
        <w:t xml:space="preserve">appurtenances, used in connection with an overhead or underground system of a public utility, providing electric power, located on a public highway or utility right of way and used to transmit or distribute electric energy. </w:t>
      </w:r>
    </w:p>
    <w:p w:rsidR="00932911" w:rsidRDefault="00932911" w:rsidP="00EF624A">
      <w:pPr>
        <w:keepNext/>
        <w:spacing w:line="240" w:lineRule="auto"/>
        <w:ind w:left="1440" w:right="1440" w:firstLine="360"/>
      </w:pPr>
    </w:p>
    <w:p w:rsidR="00932911" w:rsidRDefault="00932911" w:rsidP="00EF624A">
      <w:pPr>
        <w:keepNext/>
        <w:spacing w:line="240" w:lineRule="auto"/>
        <w:ind w:left="1440" w:right="1440" w:firstLine="360"/>
      </w:pPr>
      <w:r w:rsidRPr="00932911">
        <w:rPr>
          <w:i/>
        </w:rPr>
        <w:t xml:space="preserve">Customer </w:t>
      </w:r>
      <w:r>
        <w:t xml:space="preserve">– A party supplied with electric service by a public utility. </w:t>
      </w:r>
    </w:p>
    <w:p w:rsidR="007D4D3E" w:rsidRDefault="007D4D3E" w:rsidP="00EF624A">
      <w:pPr>
        <w:keepNext/>
        <w:spacing w:line="240" w:lineRule="auto"/>
        <w:ind w:left="1440" w:right="1440" w:firstLine="360"/>
      </w:pPr>
    </w:p>
    <w:p w:rsidR="007D4D3E" w:rsidRPr="00A01196" w:rsidRDefault="007D4D3E" w:rsidP="00EF624A">
      <w:pPr>
        <w:keepNext/>
        <w:spacing w:line="240" w:lineRule="auto"/>
        <w:ind w:right="1440" w:firstLine="0"/>
      </w:pPr>
      <w:r>
        <w:t>52 Pa. Code § 57.1</w:t>
      </w:r>
    </w:p>
    <w:p w:rsidR="00BA0FE6" w:rsidRDefault="00BA0FE6" w:rsidP="00EF624A">
      <w:pPr>
        <w:keepNext/>
        <w:rPr>
          <w:color w:val="00B050"/>
        </w:rPr>
      </w:pPr>
    </w:p>
    <w:p w:rsidR="008F690C" w:rsidRDefault="008F690C" w:rsidP="00EF624A">
      <w:pPr>
        <w:keepNext/>
      </w:pPr>
      <w:r w:rsidRPr="008F690C">
        <w:t xml:space="preserve">DCNR argues that </w:t>
      </w:r>
      <w:r>
        <w:t xml:space="preserve">the </w:t>
      </w:r>
      <w:r w:rsidR="00BF6A1F">
        <w:t xml:space="preserve">function of the </w:t>
      </w:r>
      <w:r>
        <w:t>underground cable in question</w:t>
      </w:r>
      <w:r w:rsidR="00BF6A1F">
        <w:t xml:space="preserve"> is exactly that of a line extension as defined in the Commission’s </w:t>
      </w:r>
      <w:r w:rsidR="00506C7B">
        <w:t>R</w:t>
      </w:r>
      <w:r w:rsidR="00BF6A1F">
        <w:t xml:space="preserve">egulations. </w:t>
      </w:r>
      <w:r>
        <w:t xml:space="preserve"> </w:t>
      </w:r>
      <w:r w:rsidR="00291405">
        <w:t xml:space="preserve">DCNR points out that the underground cable connects to PECO’s overhead supply line at a pole along Gradyville Road.  </w:t>
      </w:r>
      <w:r w:rsidR="00BF6A1F">
        <w:t xml:space="preserve">DCNR avers that the </w:t>
      </w:r>
      <w:r w:rsidR="00291405">
        <w:t xml:space="preserve">supply line was necessary because the premises of the customers that needed to be </w:t>
      </w:r>
      <w:r w:rsidR="00797E22">
        <w:t xml:space="preserve">served were not along Gradyville Road and the customer service lines could </w:t>
      </w:r>
      <w:r w:rsidR="00D94A37">
        <w:t xml:space="preserve">not </w:t>
      </w:r>
      <w:r w:rsidR="00797E22">
        <w:t xml:space="preserve">connect to the existing supply line along Gradyville Road. </w:t>
      </w:r>
      <w:r w:rsidR="00291405">
        <w:t xml:space="preserve"> </w:t>
      </w:r>
      <w:r w:rsidR="00430DFE">
        <w:t xml:space="preserve">DCNR submits that PECO has an easement that allows it to extend its electric supply line by radiating an extension from poles along Gradyville Road to serve buildings on Park property. </w:t>
      </w:r>
      <w:r w:rsidR="004859B9">
        <w:t xml:space="preserve"> DCNR Exc. at 10-11. </w:t>
      </w:r>
    </w:p>
    <w:p w:rsidR="004859B9" w:rsidRDefault="004859B9" w:rsidP="00EF624A">
      <w:pPr>
        <w:keepNext/>
      </w:pPr>
    </w:p>
    <w:p w:rsidR="008F690C" w:rsidRDefault="004859B9" w:rsidP="00EF624A">
      <w:pPr>
        <w:keepNext/>
      </w:pPr>
      <w:r>
        <w:t xml:space="preserve">DCNR </w:t>
      </w:r>
      <w:r w:rsidR="007D4D3E">
        <w:t xml:space="preserve">also </w:t>
      </w:r>
      <w:r w:rsidR="003D4E85">
        <w:t>avers</w:t>
      </w:r>
      <w:r>
        <w:t xml:space="preserve"> </w:t>
      </w:r>
      <w:r w:rsidR="003C6962">
        <w:t xml:space="preserve">the fact </w:t>
      </w:r>
      <w:r>
        <w:t xml:space="preserve">that it constructed the line </w:t>
      </w:r>
      <w:r w:rsidR="003D4E85">
        <w:t>extension</w:t>
      </w:r>
      <w:r>
        <w:t xml:space="preserve"> in 1972 rather than disputing PECO’s </w:t>
      </w:r>
      <w:r w:rsidR="003D4E85">
        <w:t>refusal</w:t>
      </w:r>
      <w:r>
        <w:t xml:space="preserve"> to do so and delaying completion of park improvements</w:t>
      </w:r>
      <w:r w:rsidR="003C6962">
        <w:t xml:space="preserve"> does not mean the underground cable was no longer a supply line extension under the Commission </w:t>
      </w:r>
      <w:r w:rsidR="001B7897">
        <w:t>r</w:t>
      </w:r>
      <w:r w:rsidR="003C6962">
        <w:t xml:space="preserve">egulations.  DCNR argues that there is nothing in </w:t>
      </w:r>
      <w:r w:rsidR="00506C7B">
        <w:t>the Commission’s R</w:t>
      </w:r>
      <w:r w:rsidR="00E04B2F">
        <w:t>egulations that allow</w:t>
      </w:r>
      <w:r w:rsidR="00275E51">
        <w:t>s</w:t>
      </w:r>
      <w:r w:rsidR="00E04B2F">
        <w:t xml:space="preserve"> PECO to transfer ownership of a supply line extension by refusing to construct it and forcing the customer to do so.  DCNR also argues that PECO’s tariff and Commission’s </w:t>
      </w:r>
      <w:r w:rsidR="00275E51">
        <w:t>R</w:t>
      </w:r>
      <w:r w:rsidR="00E04B2F">
        <w:t xml:space="preserve">egulations </w:t>
      </w:r>
      <w:r w:rsidR="00580578">
        <w:t xml:space="preserve">at 52 Pa. Pa. Code § 57.19 </w:t>
      </w:r>
      <w:r w:rsidR="00E04B2F">
        <w:t xml:space="preserve">include provisions that allow PECO to pass the cost of construction of a line extension to its </w:t>
      </w:r>
      <w:r w:rsidR="00580578">
        <w:t>customers</w:t>
      </w:r>
      <w:r w:rsidR="00275E51">
        <w:t>;</w:t>
      </w:r>
      <w:r w:rsidR="00E04B2F">
        <w:t xml:space="preserve"> however</w:t>
      </w:r>
      <w:r w:rsidR="00580578">
        <w:t xml:space="preserve">, doing so does not transfer ownership of the </w:t>
      </w:r>
      <w:r w:rsidR="00275E51">
        <w:t>line extension to the customer.</w:t>
      </w:r>
    </w:p>
    <w:p w:rsidR="001D7C5C" w:rsidRDefault="001D7C5C" w:rsidP="00EF624A">
      <w:pPr>
        <w:keepNext/>
      </w:pPr>
    </w:p>
    <w:p w:rsidR="006D2193" w:rsidRDefault="006D2193" w:rsidP="00EF624A">
      <w:pPr>
        <w:keepNext/>
      </w:pPr>
      <w:r>
        <w:lastRenderedPageBreak/>
        <w:t xml:space="preserve">We do not concur with DCNR that </w:t>
      </w:r>
      <w:r w:rsidR="00F505C3">
        <w:t xml:space="preserve">the function of the underground cable in question is exactly that of a </w:t>
      </w:r>
      <w:r w:rsidR="00D94A37">
        <w:t>“</w:t>
      </w:r>
      <w:r w:rsidR="00F505C3">
        <w:t>line extension</w:t>
      </w:r>
      <w:r w:rsidR="00D94A37">
        <w:t>”</w:t>
      </w:r>
      <w:r w:rsidR="00F505C3">
        <w:t xml:space="preserve"> as defined in the Commission’s regulations.  </w:t>
      </w:r>
      <w:r w:rsidR="006C4563">
        <w:t xml:space="preserve">The definition of a line extension is “[a]n addition to the public utility electric supply line </w:t>
      </w:r>
      <w:r w:rsidR="006C4563" w:rsidRPr="006C4563">
        <w:rPr>
          <w:i/>
        </w:rPr>
        <w:t>necessary</w:t>
      </w:r>
      <w:r w:rsidR="006C4563">
        <w:t xml:space="preserve"> to serve the premises of a customer which addition is so located that it cannot be supplied by means of a service line from the existing electric supply line.”  </w:t>
      </w:r>
      <w:r w:rsidR="00AD4344">
        <w:t xml:space="preserve">52 Pa. Code § 57.1.  </w:t>
      </w:r>
      <w:r w:rsidR="000819DE">
        <w:t xml:space="preserve">The underground cable was not </w:t>
      </w:r>
      <w:r w:rsidR="000819DE" w:rsidRPr="000819DE">
        <w:rPr>
          <w:i/>
        </w:rPr>
        <w:t>necessary</w:t>
      </w:r>
      <w:r w:rsidR="000819DE">
        <w:t xml:space="preserve"> to serve the four metered customers in the Park.  </w:t>
      </w:r>
      <w:r w:rsidR="00CA4772">
        <w:t>Had DCNR requested that PECO install an aerial supply line in</w:t>
      </w:r>
      <w:r w:rsidR="002A4F88">
        <w:t>to</w:t>
      </w:r>
      <w:r w:rsidR="00CA4772">
        <w:t xml:space="preserve"> the Park, the underground cable would not have been necessary. </w:t>
      </w:r>
    </w:p>
    <w:p w:rsidR="006C4563" w:rsidRDefault="006C4563" w:rsidP="00EF624A">
      <w:pPr>
        <w:keepNext/>
      </w:pPr>
    </w:p>
    <w:p w:rsidR="00CA4772" w:rsidRDefault="00CA4772" w:rsidP="00EF624A">
      <w:pPr>
        <w:keepNext/>
      </w:pPr>
      <w:r>
        <w:t>As indicated by the ALJ’s Findings of Facts 7 – 14, there was considerable amount of evidence placed on the record regarding easements available to PECO to install supply lines to serve customers within the Park.  I.D. at 8 – 9.  However, since DCNR elected to receive service through its own underground cable instead of an aerial supply line provided by PECO, PECO did not need to utilize any of the</w:t>
      </w:r>
      <w:r w:rsidR="00AA6790">
        <w:t>se</w:t>
      </w:r>
      <w:r>
        <w:t xml:space="preserve"> easements.  While the availability of these easements may demonstrate that PECO had the capability to install an aerial supply line to serve customers in the Park, these easements are not relevant to the issues related to the ownership and maintenance of the underground cable.  The availability of these easements </w:t>
      </w:r>
      <w:r w:rsidR="00193832" w:rsidRPr="00347BF5">
        <w:rPr>
          <w:i/>
        </w:rPr>
        <w:t>alone</w:t>
      </w:r>
      <w:r w:rsidR="00193832">
        <w:t xml:space="preserve"> </w:t>
      </w:r>
      <w:r>
        <w:t xml:space="preserve">does not obligate PECO to install, own or maintain a supply line </w:t>
      </w:r>
      <w:r w:rsidR="00320E13">
        <w:t>in the Park.</w:t>
      </w:r>
    </w:p>
    <w:p w:rsidR="00CA4772" w:rsidRDefault="00CA4772" w:rsidP="00EF624A">
      <w:pPr>
        <w:keepNext/>
      </w:pPr>
    </w:p>
    <w:p w:rsidR="006C4563" w:rsidRDefault="001008BE" w:rsidP="00EF624A">
      <w:pPr>
        <w:keepNext/>
      </w:pPr>
      <w:r>
        <w:t xml:space="preserve">We </w:t>
      </w:r>
      <w:r w:rsidR="00347BF5">
        <w:t xml:space="preserve">also </w:t>
      </w:r>
      <w:r>
        <w:t xml:space="preserve">do not concur with DCNR </w:t>
      </w:r>
      <w:r w:rsidR="00F56E77">
        <w:t>t</w:t>
      </w:r>
      <w:r>
        <w:t xml:space="preserve">hat </w:t>
      </w:r>
      <w:r w:rsidR="00F56E77">
        <w:t>its</w:t>
      </w:r>
      <w:r>
        <w:t xml:space="preserve"> construction of the underground cable is akin to customer contributions for line extensions governed by 52 Pa. Code §</w:t>
      </w:r>
      <w:r w:rsidR="000D1CAF">
        <w:t> </w:t>
      </w:r>
      <w:r>
        <w:t>57.19</w:t>
      </w:r>
      <w:r w:rsidR="00F56E77" w:rsidRPr="00F56E77">
        <w:t xml:space="preserve"> </w:t>
      </w:r>
      <w:r w:rsidR="00F56E77">
        <w:t xml:space="preserve">and that PECO has transferred ownership </w:t>
      </w:r>
      <w:r w:rsidR="000D1CAF">
        <w:t>of</w:t>
      </w:r>
      <w:r w:rsidR="00C071C4">
        <w:t xml:space="preserve">  </w:t>
      </w:r>
      <w:r w:rsidR="00F56E77">
        <w:t>the supply line to DCNR by refusing to build</w:t>
      </w:r>
      <w:r w:rsidR="00347BF5">
        <w:t xml:space="preserve">, repair or replace </w:t>
      </w:r>
      <w:r w:rsidR="00F56E77">
        <w:t>an underground lin</w:t>
      </w:r>
      <w:r w:rsidR="009E252A">
        <w:t>e</w:t>
      </w:r>
      <w:r w:rsidR="00F56E77">
        <w:t>.</w:t>
      </w:r>
      <w:r>
        <w:t xml:space="preserve">  </w:t>
      </w:r>
      <w:r w:rsidR="000449D3">
        <w:t xml:space="preserve">Section 57.19 </w:t>
      </w:r>
      <w:r w:rsidR="00D012F4">
        <w:t xml:space="preserve">applies to line extensions </w:t>
      </w:r>
      <w:r w:rsidR="00025865" w:rsidRPr="00057C0F">
        <w:rPr>
          <w:i/>
        </w:rPr>
        <w:t>undertaken by utilities</w:t>
      </w:r>
      <w:r w:rsidR="00025865">
        <w:t xml:space="preserve"> </w:t>
      </w:r>
      <w:r w:rsidR="00D012F4">
        <w:t xml:space="preserve">where the </w:t>
      </w:r>
      <w:r w:rsidR="008C3429">
        <w:t xml:space="preserve">customer may incur a portion of the costs based on revenue guarantees by </w:t>
      </w:r>
      <w:r w:rsidR="00A1594C">
        <w:t xml:space="preserve">the </w:t>
      </w:r>
      <w:r w:rsidR="008C3429">
        <w:t xml:space="preserve">customers to be served by the line extension.  </w:t>
      </w:r>
      <w:r w:rsidR="0052718D">
        <w:t xml:space="preserve">52 Pa. Pa. Code </w:t>
      </w:r>
      <w:r w:rsidR="00A1594C">
        <w:t>§</w:t>
      </w:r>
      <w:r w:rsidR="0052718D">
        <w:t> </w:t>
      </w:r>
      <w:r w:rsidR="00A1594C">
        <w:t xml:space="preserve">57.19.  </w:t>
      </w:r>
      <w:r w:rsidR="00057C0F">
        <w:t xml:space="preserve">As discussed </w:t>
      </w:r>
      <w:r w:rsidR="00057C0F" w:rsidRPr="00057C0F">
        <w:rPr>
          <w:i/>
        </w:rPr>
        <w:t>supra</w:t>
      </w:r>
      <w:r w:rsidR="00057C0F">
        <w:t>, t</w:t>
      </w:r>
      <w:r w:rsidR="006C4563">
        <w:t xml:space="preserve">he underground line was not </w:t>
      </w:r>
      <w:r w:rsidR="006C4563" w:rsidRPr="00057C0F">
        <w:rPr>
          <w:i/>
        </w:rPr>
        <w:t>undertaken by PECO</w:t>
      </w:r>
      <w:r w:rsidR="006C4563">
        <w:t xml:space="preserve"> </w:t>
      </w:r>
      <w:r w:rsidR="00057C0F">
        <w:t xml:space="preserve">because an underground cable of that nature was beyond the service requirements </w:t>
      </w:r>
      <w:r w:rsidR="00057C0F">
        <w:lastRenderedPageBreak/>
        <w:t>of PECO’s tariff</w:t>
      </w:r>
      <w:r w:rsidR="00347BF5">
        <w:t xml:space="preserve"> and the Commission’s Regulations</w:t>
      </w:r>
      <w:r w:rsidR="00F56E77">
        <w:t xml:space="preserve">.  Moreover, </w:t>
      </w:r>
      <w:r w:rsidR="004A1AB4">
        <w:t xml:space="preserve">there is no evidence on the record that PECO agreed to </w:t>
      </w:r>
      <w:r w:rsidR="00B06B5A">
        <w:t xml:space="preserve">take financial responsibility or ownership of the cable. </w:t>
      </w:r>
    </w:p>
    <w:p w:rsidR="00B06B5A" w:rsidRDefault="00B06B5A" w:rsidP="00EF624A">
      <w:pPr>
        <w:keepNext/>
      </w:pPr>
    </w:p>
    <w:p w:rsidR="004423BC" w:rsidRDefault="00555B4C" w:rsidP="00EF624A">
      <w:pPr>
        <w:keepNext/>
      </w:pPr>
      <w:r>
        <w:t xml:space="preserve">Based on the foregoing discussion, we deny DCNR’s Exceptions related to the ownership of the underground cable. </w:t>
      </w:r>
    </w:p>
    <w:p w:rsidR="00555B4C" w:rsidRDefault="00555B4C" w:rsidP="00EF624A">
      <w:pPr>
        <w:keepNext/>
      </w:pPr>
    </w:p>
    <w:p w:rsidR="00935EF2" w:rsidRDefault="00935EF2" w:rsidP="00EF624A">
      <w:pPr>
        <w:keepNext/>
        <w:ind w:firstLine="0"/>
        <w:rPr>
          <w:b/>
        </w:rPr>
      </w:pPr>
      <w:r w:rsidRPr="00935EF2">
        <w:rPr>
          <w:b/>
        </w:rPr>
        <w:t>Reasonable Service</w:t>
      </w:r>
      <w:r w:rsidR="004423BC">
        <w:rPr>
          <w:b/>
        </w:rPr>
        <w:t xml:space="preserve"> </w:t>
      </w:r>
    </w:p>
    <w:p w:rsidR="00333C5B" w:rsidRDefault="00333C5B" w:rsidP="00EF624A">
      <w:pPr>
        <w:keepNext/>
        <w:ind w:firstLine="0"/>
        <w:rPr>
          <w:b/>
        </w:rPr>
      </w:pPr>
    </w:p>
    <w:p w:rsidR="00935EF2" w:rsidRDefault="00503715" w:rsidP="00EF624A">
      <w:pPr>
        <w:keepNext/>
      </w:pPr>
      <w:r>
        <w:t xml:space="preserve">In its Exception, the DCNR argues that the ALJ failed to </w:t>
      </w:r>
      <w:r w:rsidR="002C1DF1">
        <w:t>reach</w:t>
      </w:r>
      <w:r>
        <w:t xml:space="preserve"> conclusion</w:t>
      </w:r>
      <w:r w:rsidR="002C1DF1">
        <w:t>s</w:t>
      </w:r>
      <w:r>
        <w:t xml:space="preserve"> of law </w:t>
      </w:r>
      <w:r w:rsidR="002C1DF1">
        <w:t xml:space="preserve">that PECO </w:t>
      </w:r>
      <w:r w:rsidR="00823A75">
        <w:t xml:space="preserve">did not meet its requirements under 66 Pa. C.S. §§ 1303 and 1501.  </w:t>
      </w:r>
      <w:r w:rsidR="00AF2DFC">
        <w:t xml:space="preserve">DCNR submits that PECO failed to make the necessary repairs to the underground </w:t>
      </w:r>
      <w:r w:rsidR="00C70121">
        <w:t>cable</w:t>
      </w:r>
      <w:r w:rsidR="00AF2DFC">
        <w:t xml:space="preserve"> in the Park as required by 66 Pa. C.S. § 1501.  </w:t>
      </w:r>
      <w:r w:rsidR="00C70121">
        <w:t xml:space="preserve">DCNR avers that PECO’s refusal to make </w:t>
      </w:r>
      <w:r w:rsidR="00AF2DFC">
        <w:t>these repairs</w:t>
      </w:r>
      <w:r w:rsidR="00C70121">
        <w:t xml:space="preserve"> resulted in a cost to one of its customers, DCNR.</w:t>
      </w:r>
      <w:r w:rsidR="002E4139">
        <w:t xml:space="preserve">  DCNR states that </w:t>
      </w:r>
      <w:r w:rsidR="00C70121">
        <w:t>66</w:t>
      </w:r>
      <w:r w:rsidR="002E4139">
        <w:t> </w:t>
      </w:r>
      <w:r w:rsidR="00C70121">
        <w:t>Pa.</w:t>
      </w:r>
      <w:r w:rsidR="002E4139">
        <w:t> </w:t>
      </w:r>
      <w:r w:rsidR="00C70121">
        <w:t xml:space="preserve">C.S. §§ 1303 prohibits a public utility </w:t>
      </w:r>
      <w:r w:rsidR="001A0B02">
        <w:t xml:space="preserve">from imposing a cost on a customer other than as specified in its tariff.  DCNR Exc. at 2-3. </w:t>
      </w:r>
    </w:p>
    <w:p w:rsidR="00B633ED" w:rsidRDefault="00B633ED" w:rsidP="00EF624A">
      <w:pPr>
        <w:keepNext/>
      </w:pPr>
    </w:p>
    <w:p w:rsidR="002E3706" w:rsidRDefault="00B633ED" w:rsidP="00EF624A">
      <w:pPr>
        <w:keepNext/>
      </w:pPr>
      <w:r>
        <w:t xml:space="preserve">Section 1501 of the Public Utility Code provides in pertinent part that “[s]uch service and facilities shall be in conformity </w:t>
      </w:r>
      <w:r w:rsidR="00BA324B">
        <w:t xml:space="preserve">with the regulations and orders of the commission.” </w:t>
      </w:r>
      <w:r>
        <w:t xml:space="preserve"> </w:t>
      </w:r>
      <w:r w:rsidR="00555B4C">
        <w:t xml:space="preserve">66 Pa. C.S. § 1501.  </w:t>
      </w:r>
      <w:r w:rsidR="00F5370F">
        <w:t xml:space="preserve">As discussed </w:t>
      </w:r>
      <w:r w:rsidR="00F5370F" w:rsidRPr="00F5370F">
        <w:rPr>
          <w:i/>
        </w:rPr>
        <w:t>supra</w:t>
      </w:r>
      <w:r w:rsidR="00F5370F">
        <w:t xml:space="preserve">, consistent with our regulations and </w:t>
      </w:r>
      <w:r w:rsidR="002F6C85">
        <w:t>PECO</w:t>
      </w:r>
      <w:r w:rsidR="00F5370F">
        <w:t>’s commission-approved tariff, PECO does not own the underground cable</w:t>
      </w:r>
      <w:r w:rsidR="00305C9C">
        <w:t xml:space="preserve">, and consequently, has no responsibility to maintain the cable.  Accordingly, DCNR’s Exceptions regarding </w:t>
      </w:r>
      <w:r w:rsidR="003F344F">
        <w:t xml:space="preserve">the </w:t>
      </w:r>
      <w:r w:rsidR="00BD249E">
        <w:t xml:space="preserve">PECO’s responsibility to maintain the cable or costs associated with </w:t>
      </w:r>
      <w:r w:rsidR="003F344F">
        <w:t>maint</w:t>
      </w:r>
      <w:r w:rsidR="00BD249E">
        <w:t xml:space="preserve">aining the cable are denied. </w:t>
      </w:r>
      <w:r w:rsidR="003F344F">
        <w:t xml:space="preserve"> </w:t>
      </w:r>
    </w:p>
    <w:p w:rsidR="00A1594C" w:rsidRDefault="00A1594C" w:rsidP="00EF624A"/>
    <w:p w:rsidR="007F32DD" w:rsidRDefault="0017738E" w:rsidP="00EF624A">
      <w:pPr>
        <w:keepNext/>
        <w:keepLines/>
        <w:ind w:firstLine="0"/>
        <w:rPr>
          <w:b/>
        </w:rPr>
      </w:pPr>
      <w:r>
        <w:rPr>
          <w:b/>
        </w:rPr>
        <w:lastRenderedPageBreak/>
        <w:t xml:space="preserve">Costs and </w:t>
      </w:r>
      <w:r w:rsidR="004423BC" w:rsidRPr="004423BC">
        <w:rPr>
          <w:b/>
        </w:rPr>
        <w:t>Benefits to PECO’s Ratepayers</w:t>
      </w:r>
    </w:p>
    <w:p w:rsidR="003F344F" w:rsidRDefault="003F344F" w:rsidP="00EF624A">
      <w:pPr>
        <w:keepNext/>
        <w:ind w:firstLine="0"/>
        <w:rPr>
          <w:b/>
        </w:rPr>
      </w:pPr>
    </w:p>
    <w:p w:rsidR="003F344F" w:rsidRPr="004F0BBD" w:rsidRDefault="003F344F" w:rsidP="00EF624A">
      <w:pPr>
        <w:keepNext/>
      </w:pPr>
      <w:r w:rsidRPr="004F0BBD">
        <w:t>The ALJ’s third Conclusions of Law states:</w:t>
      </w:r>
    </w:p>
    <w:p w:rsidR="003F344F" w:rsidRPr="004F0BBD" w:rsidRDefault="003F344F" w:rsidP="00EF624A">
      <w:pPr>
        <w:keepNext/>
        <w:spacing w:line="240" w:lineRule="auto"/>
      </w:pPr>
    </w:p>
    <w:p w:rsidR="003F344F" w:rsidRPr="004F0BBD" w:rsidRDefault="003F344F" w:rsidP="00EF624A">
      <w:pPr>
        <w:pStyle w:val="BodyText"/>
        <w:keepNext/>
        <w:spacing w:line="240" w:lineRule="auto"/>
        <w:ind w:left="1440" w:right="1440" w:firstLine="720"/>
      </w:pPr>
      <w:r w:rsidRPr="004F0BBD">
        <w:t>3.</w:t>
      </w:r>
      <w:r w:rsidRPr="004F0BBD">
        <w:tab/>
        <w:t xml:space="preserve">An approved tariff is binding on the public utility and its customers.  </w:t>
      </w:r>
      <w:r w:rsidRPr="004F0BBD">
        <w:rPr>
          <w:i/>
        </w:rPr>
        <w:t>Kossman v. Pa Public Utility Commission,</w:t>
      </w:r>
      <w:r w:rsidRPr="004F0BBD">
        <w:t xml:space="preserve"> 694 A. 2d 1147 (Pa. Cmwlth. 1997), </w:t>
      </w:r>
      <w:r w:rsidRPr="004F0BBD">
        <w:rPr>
          <w:i/>
        </w:rPr>
        <w:t>Brockway Glass</w:t>
      </w:r>
      <w:r w:rsidRPr="004F0BBD">
        <w:rPr>
          <w:u w:val="single"/>
        </w:rPr>
        <w:t xml:space="preserve"> </w:t>
      </w:r>
      <w:r w:rsidRPr="004F0BBD">
        <w:rPr>
          <w:i/>
        </w:rPr>
        <w:t>Company v. Pa Public Utility Commission</w:t>
      </w:r>
      <w:r w:rsidRPr="004F0BBD">
        <w:t xml:space="preserve">, 63 Pa. Cmwlth. 238, 437 A. 2d 1067 (1981). </w:t>
      </w:r>
    </w:p>
    <w:p w:rsidR="003F344F" w:rsidRDefault="003F344F" w:rsidP="00EF624A">
      <w:pPr>
        <w:keepNext/>
        <w:ind w:firstLine="0"/>
        <w:rPr>
          <w:b/>
        </w:rPr>
      </w:pPr>
    </w:p>
    <w:p w:rsidR="004423BC" w:rsidRPr="0041376C" w:rsidRDefault="0041376C" w:rsidP="00EF624A">
      <w:pPr>
        <w:keepNext/>
      </w:pPr>
      <w:r w:rsidRPr="0041376C">
        <w:t xml:space="preserve">In its Exceptions, DCNR </w:t>
      </w:r>
      <w:r>
        <w:t xml:space="preserve">stated that in </w:t>
      </w:r>
      <w:r w:rsidRPr="0041376C">
        <w:rPr>
          <w:i/>
        </w:rPr>
        <w:t>Kossman</w:t>
      </w:r>
      <w:r>
        <w:t>, the court observed that supply line costs become part of the utility’s rate base paid for by all of the utility’s customers because the customers receive benefits from these lines</w:t>
      </w:r>
      <w:r w:rsidR="009A3B90">
        <w:t xml:space="preserve">.  DCNR noted that in </w:t>
      </w:r>
      <w:r w:rsidR="009A3B90" w:rsidRPr="009A3B90">
        <w:rPr>
          <w:i/>
        </w:rPr>
        <w:t>Kossman,</w:t>
      </w:r>
      <w:r w:rsidR="009A3B90">
        <w:t xml:space="preserve"> the court did not believe that the lines serving a developer’s commercial shopping centers should be paid by all of a utility’s customers.  </w:t>
      </w:r>
      <w:r w:rsidR="005E0148">
        <w:t xml:space="preserve">DCNR </w:t>
      </w:r>
      <w:r w:rsidR="00C153EE">
        <w:t xml:space="preserve">avers </w:t>
      </w:r>
      <w:r w:rsidR="005E0148">
        <w:t xml:space="preserve">that unlike the developer in </w:t>
      </w:r>
      <w:r w:rsidR="005E0148" w:rsidRPr="003F344F">
        <w:rPr>
          <w:i/>
        </w:rPr>
        <w:t>Ko</w:t>
      </w:r>
      <w:r w:rsidR="003F344F" w:rsidRPr="003F344F">
        <w:rPr>
          <w:i/>
        </w:rPr>
        <w:t>s</w:t>
      </w:r>
      <w:r w:rsidR="005E0148" w:rsidRPr="003F344F">
        <w:rPr>
          <w:i/>
        </w:rPr>
        <w:t>sman</w:t>
      </w:r>
      <w:r w:rsidR="005E0148">
        <w:t xml:space="preserve">, DCNR is a state agency managing a park for the benefit of the public.  DCNR submits that the public policy implications present in </w:t>
      </w:r>
      <w:r w:rsidR="005E0148" w:rsidRPr="00937F06">
        <w:rPr>
          <w:i/>
        </w:rPr>
        <w:t>Kossman</w:t>
      </w:r>
      <w:r w:rsidR="005E0148">
        <w:t xml:space="preserve"> are not present here.  DCNR argues that that </w:t>
      </w:r>
      <w:r w:rsidR="00BE58E2">
        <w:t xml:space="preserve">cost of the supply line extension serving the customers within the </w:t>
      </w:r>
      <w:r w:rsidR="00A66B6A">
        <w:t>P</w:t>
      </w:r>
      <w:r w:rsidR="00BE58E2">
        <w:t xml:space="preserve">ark should be paid by all of PECO’s customers because they live near to the </w:t>
      </w:r>
      <w:r w:rsidR="003F344F">
        <w:t>P</w:t>
      </w:r>
      <w:r w:rsidR="00BE58E2">
        <w:t xml:space="preserve">ark and can enjoy the benefits that the </w:t>
      </w:r>
      <w:r w:rsidR="003F344F">
        <w:t>P</w:t>
      </w:r>
      <w:r w:rsidR="00BE58E2">
        <w:t xml:space="preserve">ark has to offer.  </w:t>
      </w:r>
      <w:r w:rsidR="00C071C4">
        <w:t xml:space="preserve">DCNR </w:t>
      </w:r>
      <w:r w:rsidR="009305E1">
        <w:t xml:space="preserve">also argues that to conclude otherwise requires that taxpayers of the entire Commonwealth pay the costs of the line rather than the citizens most likely to receive the benefits of this public resource.  DCNR Exc. at 7 – 8. </w:t>
      </w:r>
    </w:p>
    <w:p w:rsidR="004423BC" w:rsidRDefault="004423BC" w:rsidP="00EF624A">
      <w:pPr>
        <w:keepNext/>
        <w:ind w:firstLine="0"/>
      </w:pPr>
    </w:p>
    <w:p w:rsidR="00822D1D" w:rsidRPr="00822D1D" w:rsidRDefault="00CA4595" w:rsidP="00EF624A">
      <w:pPr>
        <w:keepNext/>
        <w:rPr>
          <w:color w:val="000000" w:themeColor="text1"/>
        </w:rPr>
      </w:pPr>
      <w:r>
        <w:t xml:space="preserve">As discussed, </w:t>
      </w:r>
      <w:r w:rsidRPr="00CA4595">
        <w:rPr>
          <w:i/>
        </w:rPr>
        <w:t>supra,</w:t>
      </w:r>
      <w:r>
        <w:t xml:space="preserve"> had DCNR requested that PECO provide supply and service lines within the Park consistent with PECO’s tariff, the costs of providing </w:t>
      </w:r>
      <w:r w:rsidR="00250678">
        <w:t xml:space="preserve">electric </w:t>
      </w:r>
      <w:r w:rsidR="00A66B6A">
        <w:t>supply lines with the Park</w:t>
      </w:r>
      <w:r w:rsidR="00937F06">
        <w:t xml:space="preserve">, and </w:t>
      </w:r>
      <w:r w:rsidR="00A66B6A">
        <w:t xml:space="preserve">the </w:t>
      </w:r>
      <w:r w:rsidR="00937F06">
        <w:t>subsequent maintenance costs</w:t>
      </w:r>
      <w:r w:rsidR="0022270C">
        <w:t xml:space="preserve">, </w:t>
      </w:r>
      <w:r w:rsidR="00250678">
        <w:t xml:space="preserve">would have </w:t>
      </w:r>
      <w:r w:rsidR="0022270C">
        <w:t xml:space="preserve">been </w:t>
      </w:r>
      <w:r w:rsidR="00822D1D">
        <w:t xml:space="preserve">incurred by </w:t>
      </w:r>
      <w:r w:rsidR="00250678">
        <w:t>PECO</w:t>
      </w:r>
      <w:r w:rsidR="00822D1D">
        <w:t xml:space="preserve">. </w:t>
      </w:r>
      <w:r w:rsidR="00250678">
        <w:t xml:space="preserve"> </w:t>
      </w:r>
      <w:r>
        <w:t xml:space="preserve"> </w:t>
      </w:r>
      <w:r w:rsidR="00306605">
        <w:t xml:space="preserve">However, since </w:t>
      </w:r>
      <w:r w:rsidR="00250678">
        <w:t xml:space="preserve">DCNR </w:t>
      </w:r>
      <w:r w:rsidR="00306605">
        <w:t xml:space="preserve">determined that it required more costly underground </w:t>
      </w:r>
      <w:r w:rsidR="00A66B6A">
        <w:t xml:space="preserve">facilities </w:t>
      </w:r>
      <w:r w:rsidR="00822D1D">
        <w:t xml:space="preserve">beyond the provisions of PECO’s tariff, DCNR elected to </w:t>
      </w:r>
      <w:r w:rsidR="004F0BBD">
        <w:t xml:space="preserve">utilize funds available to </w:t>
      </w:r>
      <w:r w:rsidR="00937F06">
        <w:t xml:space="preserve">the Commonwealth to </w:t>
      </w:r>
      <w:r w:rsidR="00A66B6A">
        <w:t xml:space="preserve">pay </w:t>
      </w:r>
      <w:r w:rsidR="00822D1D">
        <w:t xml:space="preserve">the costs of the installation of the </w:t>
      </w:r>
      <w:r w:rsidR="00822D1D">
        <w:lastRenderedPageBreak/>
        <w:t xml:space="preserve">underground cable.  </w:t>
      </w:r>
      <w:r w:rsidR="00822D1D" w:rsidRPr="00822D1D">
        <w:rPr>
          <w:color w:val="000000" w:themeColor="text1"/>
        </w:rPr>
        <w:t xml:space="preserve">We are not inclined to expose PECO’s ratepayers to the costs of </w:t>
      </w:r>
      <w:r w:rsidR="0017738E">
        <w:rPr>
          <w:color w:val="000000" w:themeColor="text1"/>
        </w:rPr>
        <w:t xml:space="preserve">installing, </w:t>
      </w:r>
      <w:r w:rsidR="00822D1D" w:rsidRPr="00822D1D">
        <w:rPr>
          <w:color w:val="000000" w:themeColor="text1"/>
        </w:rPr>
        <w:t xml:space="preserve">maintaining or replacing customer-owned service lines that exceed the provisions of our regulations or commission-approved tariffs. </w:t>
      </w:r>
      <w:r w:rsidR="0017738E">
        <w:rPr>
          <w:color w:val="000000" w:themeColor="text1"/>
        </w:rPr>
        <w:t xml:space="preserve">  </w:t>
      </w:r>
      <w:r w:rsidR="00792559">
        <w:rPr>
          <w:color w:val="000000" w:themeColor="text1"/>
        </w:rPr>
        <w:t>Therefore,</w:t>
      </w:r>
      <w:r w:rsidR="0017738E">
        <w:rPr>
          <w:color w:val="000000" w:themeColor="text1"/>
        </w:rPr>
        <w:t xml:space="preserve"> DCNR’s Exceptions related to the recovery of costs </w:t>
      </w:r>
      <w:r w:rsidR="00A66B6A">
        <w:rPr>
          <w:color w:val="000000" w:themeColor="text1"/>
        </w:rPr>
        <w:t xml:space="preserve">from </w:t>
      </w:r>
      <w:r w:rsidR="0017738E">
        <w:rPr>
          <w:color w:val="000000" w:themeColor="text1"/>
        </w:rPr>
        <w:t>PECO</w:t>
      </w:r>
      <w:r w:rsidR="00A66B6A">
        <w:rPr>
          <w:color w:val="000000" w:themeColor="text1"/>
        </w:rPr>
        <w:t xml:space="preserve"> and its </w:t>
      </w:r>
      <w:r w:rsidR="0017738E">
        <w:rPr>
          <w:color w:val="000000" w:themeColor="text1"/>
        </w:rPr>
        <w:t xml:space="preserve">ratepayers are denied. </w:t>
      </w:r>
    </w:p>
    <w:p w:rsidR="00C153EE" w:rsidRDefault="00C153EE" w:rsidP="00EF624A">
      <w:pPr>
        <w:keepNext/>
      </w:pPr>
    </w:p>
    <w:p w:rsidR="00E62EE3" w:rsidRDefault="00E62EE3" w:rsidP="00EF624A">
      <w:pPr>
        <w:keepNext/>
        <w:ind w:firstLine="0"/>
        <w:jc w:val="center"/>
        <w:rPr>
          <w:b/>
        </w:rPr>
      </w:pPr>
      <w:r w:rsidRPr="00E62EE3">
        <w:rPr>
          <w:b/>
        </w:rPr>
        <w:t>Conclusion</w:t>
      </w:r>
    </w:p>
    <w:p w:rsidR="00E62EE3" w:rsidRPr="00E62EE3" w:rsidRDefault="00E62EE3" w:rsidP="00EF624A">
      <w:pPr>
        <w:keepNext/>
        <w:spacing w:line="240" w:lineRule="auto"/>
        <w:ind w:firstLine="0"/>
        <w:jc w:val="center"/>
        <w:rPr>
          <w:b/>
        </w:rPr>
      </w:pPr>
    </w:p>
    <w:p w:rsidR="00E62EE3" w:rsidRPr="000E6B20" w:rsidRDefault="00FB0E52" w:rsidP="00EF624A">
      <w:pPr>
        <w:keepNext/>
        <w:rPr>
          <w:b/>
        </w:rPr>
      </w:pPr>
      <w:r>
        <w:t xml:space="preserve">Based on the foregoing discussion, we find, </w:t>
      </w:r>
      <w:r w:rsidRPr="006516F2">
        <w:rPr>
          <w:i/>
        </w:rPr>
        <w:t>inter alia</w:t>
      </w:r>
      <w:r>
        <w:t>, that DCNR own</w:t>
      </w:r>
      <w:r w:rsidR="00792559">
        <w:t xml:space="preserve">ed </w:t>
      </w:r>
      <w:r>
        <w:t xml:space="preserve">the underground </w:t>
      </w:r>
      <w:r w:rsidR="00792559">
        <w:t xml:space="preserve">electric </w:t>
      </w:r>
      <w:r>
        <w:t>cable serving the four customers within the Park and PECO was not responsible for maintaining or repairing the cable.</w:t>
      </w:r>
      <w:r w:rsidR="00792559">
        <w:t xml:space="preserve">  Accordingly, we shall deny the Exceptions of DCNR and adopt the </w:t>
      </w:r>
      <w:r w:rsidR="000E6B20">
        <w:t>R</w:t>
      </w:r>
      <w:r w:rsidR="00792559">
        <w:t xml:space="preserve">ecommended Decision of ALJ Fordham; </w:t>
      </w:r>
      <w:r w:rsidR="000E6B20" w:rsidRPr="000E6B20">
        <w:t>T</w:t>
      </w:r>
      <w:r w:rsidR="00E62EE3" w:rsidRPr="000E6B20">
        <w:rPr>
          <w:b/>
        </w:rPr>
        <w:t>HEREFORE,</w:t>
      </w:r>
    </w:p>
    <w:p w:rsidR="00E62EE3" w:rsidRDefault="00E62EE3" w:rsidP="00EF624A">
      <w:pPr>
        <w:keepNext/>
        <w:ind w:firstLine="720"/>
        <w:rPr>
          <w:b/>
        </w:rPr>
      </w:pPr>
    </w:p>
    <w:p w:rsidR="00E62EE3" w:rsidRDefault="00E62EE3" w:rsidP="00EF624A">
      <w:pPr>
        <w:keepNext/>
        <w:ind w:firstLine="720"/>
        <w:rPr>
          <w:b/>
        </w:rPr>
      </w:pPr>
      <w:r>
        <w:rPr>
          <w:b/>
        </w:rPr>
        <w:tab/>
      </w:r>
      <w:r w:rsidRPr="001B271C">
        <w:rPr>
          <w:b/>
        </w:rPr>
        <w:t>IT IS ORDERED:</w:t>
      </w:r>
    </w:p>
    <w:p w:rsidR="00E62EE3" w:rsidRPr="00E7339C" w:rsidRDefault="00E62EE3" w:rsidP="00EF624A">
      <w:pPr>
        <w:keepNext/>
        <w:spacing w:line="240" w:lineRule="auto"/>
        <w:ind w:firstLine="720"/>
        <w:rPr>
          <w:szCs w:val="26"/>
        </w:rPr>
      </w:pPr>
    </w:p>
    <w:p w:rsidR="00E62EE3" w:rsidRPr="00107474" w:rsidRDefault="00E62EE3" w:rsidP="00EF624A">
      <w:pPr>
        <w:pStyle w:val="ListParagraph"/>
        <w:keepNext/>
        <w:numPr>
          <w:ilvl w:val="0"/>
          <w:numId w:val="6"/>
        </w:numPr>
        <w:ind w:left="0" w:firstLine="1440"/>
        <w:rPr>
          <w:szCs w:val="26"/>
        </w:rPr>
      </w:pPr>
      <w:r w:rsidRPr="00107474">
        <w:rPr>
          <w:szCs w:val="26"/>
        </w:rPr>
        <w:t xml:space="preserve">That the Exceptions filed </w:t>
      </w:r>
      <w:r w:rsidR="005B717A">
        <w:rPr>
          <w:szCs w:val="26"/>
        </w:rPr>
        <w:t xml:space="preserve">on behalf of John Norbeck, Director, Bureau of State Parks, Department of Conservation and Natural Resources </w:t>
      </w:r>
      <w:r w:rsidRPr="00107474">
        <w:rPr>
          <w:szCs w:val="26"/>
        </w:rPr>
        <w:t xml:space="preserve">on </w:t>
      </w:r>
      <w:r w:rsidR="005B717A">
        <w:rPr>
          <w:szCs w:val="26"/>
        </w:rPr>
        <w:t>May 12</w:t>
      </w:r>
      <w:r w:rsidRPr="00107474">
        <w:rPr>
          <w:szCs w:val="26"/>
        </w:rPr>
        <w:t>, 2010</w:t>
      </w:r>
      <w:r>
        <w:rPr>
          <w:szCs w:val="26"/>
        </w:rPr>
        <w:t>,</w:t>
      </w:r>
      <w:r w:rsidRPr="00107474">
        <w:rPr>
          <w:szCs w:val="26"/>
        </w:rPr>
        <w:t xml:space="preserve"> are denied. </w:t>
      </w:r>
    </w:p>
    <w:p w:rsidR="00E62EE3" w:rsidRDefault="00E62EE3" w:rsidP="00EF624A">
      <w:pPr>
        <w:keepNext/>
        <w:spacing w:line="240" w:lineRule="auto"/>
        <w:rPr>
          <w:szCs w:val="26"/>
        </w:rPr>
      </w:pPr>
    </w:p>
    <w:p w:rsidR="00E62EE3" w:rsidRPr="000E6B20" w:rsidRDefault="00E62EE3" w:rsidP="00EF624A">
      <w:pPr>
        <w:pStyle w:val="ListParagraph"/>
        <w:keepNext/>
        <w:numPr>
          <w:ilvl w:val="0"/>
          <w:numId w:val="6"/>
        </w:numPr>
        <w:ind w:left="0" w:firstLine="1440"/>
      </w:pPr>
      <w:r w:rsidRPr="005B717A">
        <w:rPr>
          <w:szCs w:val="26"/>
        </w:rPr>
        <w:t>That the Recommended Decision of Administrative Law Judge C</w:t>
      </w:r>
      <w:r w:rsidR="005B717A" w:rsidRPr="005B717A">
        <w:rPr>
          <w:szCs w:val="26"/>
        </w:rPr>
        <w:t xml:space="preserve">ynthia Williams Fordham is adopted. </w:t>
      </w:r>
    </w:p>
    <w:p w:rsidR="000E6B20" w:rsidRDefault="000E6B20" w:rsidP="00EF624A">
      <w:pPr>
        <w:keepNext/>
        <w:spacing w:line="240" w:lineRule="auto"/>
        <w:ind w:left="360" w:firstLine="0"/>
      </w:pPr>
    </w:p>
    <w:p w:rsidR="000E6B20" w:rsidRDefault="000E6B20" w:rsidP="00EF624A">
      <w:pPr>
        <w:pStyle w:val="ListParagraph"/>
        <w:keepNext/>
        <w:numPr>
          <w:ilvl w:val="0"/>
          <w:numId w:val="6"/>
        </w:numPr>
        <w:ind w:left="0" w:firstLine="1440"/>
        <w:rPr>
          <w:szCs w:val="26"/>
        </w:rPr>
      </w:pPr>
      <w:r>
        <w:t xml:space="preserve">The Complaint filed by </w:t>
      </w:r>
      <w:r>
        <w:rPr>
          <w:szCs w:val="26"/>
        </w:rPr>
        <w:t xml:space="preserve">John Norbeck, Director, Bureau of State Parks, Department of Conservation and Natural Resources </w:t>
      </w:r>
      <w:r w:rsidR="00826F16">
        <w:rPr>
          <w:szCs w:val="26"/>
        </w:rPr>
        <w:t xml:space="preserve">filed </w:t>
      </w:r>
      <w:r w:rsidRPr="00107474">
        <w:rPr>
          <w:szCs w:val="26"/>
        </w:rPr>
        <w:t xml:space="preserve">on </w:t>
      </w:r>
      <w:r>
        <w:rPr>
          <w:szCs w:val="26"/>
        </w:rPr>
        <w:t>Jul</w:t>
      </w:r>
      <w:r w:rsidR="00826F16">
        <w:rPr>
          <w:szCs w:val="26"/>
        </w:rPr>
        <w:t>y</w:t>
      </w:r>
      <w:r>
        <w:rPr>
          <w:szCs w:val="26"/>
        </w:rPr>
        <w:t xml:space="preserve"> 11, 2008</w:t>
      </w:r>
      <w:r w:rsidR="00826F16">
        <w:rPr>
          <w:szCs w:val="26"/>
        </w:rPr>
        <w:t>,</w:t>
      </w:r>
      <w:r>
        <w:rPr>
          <w:szCs w:val="26"/>
        </w:rPr>
        <w:t xml:space="preserve"> is dismissed.</w:t>
      </w:r>
    </w:p>
    <w:p w:rsidR="00826F16" w:rsidRDefault="00826F16" w:rsidP="00EF624A">
      <w:pPr>
        <w:keepNext/>
        <w:spacing w:line="240" w:lineRule="auto"/>
        <w:ind w:firstLine="0"/>
        <w:rPr>
          <w:szCs w:val="26"/>
        </w:rPr>
      </w:pPr>
      <w:r>
        <w:rPr>
          <w:szCs w:val="26"/>
        </w:rPr>
        <w:br w:type="page"/>
      </w:r>
    </w:p>
    <w:p w:rsidR="000E6B20" w:rsidRDefault="000E6B20" w:rsidP="00EF624A">
      <w:pPr>
        <w:keepNext/>
        <w:spacing w:line="240" w:lineRule="auto"/>
        <w:rPr>
          <w:szCs w:val="26"/>
        </w:rPr>
      </w:pPr>
    </w:p>
    <w:p w:rsidR="000E6B20" w:rsidRDefault="00D67E20" w:rsidP="00EF624A">
      <w:pPr>
        <w:pStyle w:val="ListParagraph"/>
        <w:keepNext/>
        <w:numPr>
          <w:ilvl w:val="0"/>
          <w:numId w:val="6"/>
        </w:numPr>
        <w:ind w:left="0" w:firstLine="1440"/>
        <w:rPr>
          <w:szCs w:val="26"/>
        </w:rPr>
      </w:pPr>
      <w:r w:rsidRPr="00D67E20">
        <w:rPr>
          <w:szCs w:val="26"/>
        </w:rPr>
        <w:t>That this docket be market closed.</w:t>
      </w:r>
    </w:p>
    <w:p w:rsidR="00D67E20" w:rsidRPr="00D67E20" w:rsidRDefault="00D67E20" w:rsidP="00EF624A">
      <w:pPr>
        <w:keepNext/>
        <w:ind w:left="1440" w:firstLine="0"/>
        <w:rPr>
          <w:szCs w:val="26"/>
        </w:rPr>
      </w:pPr>
    </w:p>
    <w:p w:rsidR="00D67E20" w:rsidRPr="00D67E20" w:rsidRDefault="00344533" w:rsidP="00EF624A">
      <w:pPr>
        <w:keepNext/>
        <w:tabs>
          <w:tab w:val="left" w:pos="5760"/>
        </w:tabs>
        <w:ind w:left="4680" w:firstLine="0"/>
        <w:rPr>
          <w:b/>
          <w:bCs/>
          <w:szCs w:val="26"/>
        </w:rPr>
      </w:pPr>
      <w:r>
        <w:rPr>
          <w:b/>
          <w:bCs/>
          <w:noProof/>
          <w:szCs w:val="26"/>
        </w:rPr>
        <w:drawing>
          <wp:anchor distT="0" distB="0" distL="114300" distR="114300" simplePos="0" relativeHeight="251659264" behindDoc="1" locked="0" layoutInCell="1" allowOverlap="1">
            <wp:simplePos x="0" y="0"/>
            <wp:positionH relativeFrom="column">
              <wp:posOffset>2581275</wp:posOffset>
            </wp:positionH>
            <wp:positionV relativeFrom="paragraph">
              <wp:posOffset>212090</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67E20" w:rsidRPr="00D67E20">
        <w:rPr>
          <w:b/>
          <w:bCs/>
          <w:szCs w:val="26"/>
        </w:rPr>
        <w:t>BY THE COMMISSION</w:t>
      </w:r>
    </w:p>
    <w:p w:rsidR="00D67E20" w:rsidRDefault="00D67E20" w:rsidP="00EF624A">
      <w:pPr>
        <w:keepNext/>
        <w:ind w:left="4680" w:firstLine="0"/>
        <w:rPr>
          <w:bCs/>
          <w:szCs w:val="26"/>
        </w:rPr>
      </w:pPr>
    </w:p>
    <w:p w:rsidR="0036169B" w:rsidRPr="00D67E20" w:rsidRDefault="0036169B" w:rsidP="00EF624A">
      <w:pPr>
        <w:keepNext/>
        <w:ind w:left="4680" w:firstLine="0"/>
        <w:rPr>
          <w:bCs/>
          <w:szCs w:val="26"/>
        </w:rPr>
      </w:pPr>
    </w:p>
    <w:p w:rsidR="00D67E20" w:rsidRPr="00D67E20" w:rsidRDefault="00D67E20" w:rsidP="00EF624A">
      <w:pPr>
        <w:keepNext/>
        <w:tabs>
          <w:tab w:val="left" w:pos="5760"/>
        </w:tabs>
        <w:spacing w:line="240" w:lineRule="auto"/>
        <w:ind w:left="4680" w:firstLine="0"/>
        <w:rPr>
          <w:bCs/>
          <w:szCs w:val="26"/>
        </w:rPr>
      </w:pPr>
      <w:r w:rsidRPr="00D67E20">
        <w:rPr>
          <w:bCs/>
          <w:szCs w:val="26"/>
        </w:rPr>
        <w:t>Rosemary Chiavetta</w:t>
      </w:r>
    </w:p>
    <w:p w:rsidR="00D67E20" w:rsidRDefault="00D67E20" w:rsidP="00EF624A">
      <w:pPr>
        <w:keepNext/>
        <w:tabs>
          <w:tab w:val="left" w:pos="5760"/>
        </w:tabs>
        <w:ind w:left="4680" w:firstLine="0"/>
        <w:rPr>
          <w:szCs w:val="26"/>
        </w:rPr>
      </w:pPr>
      <w:r w:rsidRPr="00D67E20">
        <w:rPr>
          <w:szCs w:val="26"/>
        </w:rPr>
        <w:t>Secretary</w:t>
      </w:r>
    </w:p>
    <w:p w:rsidR="00826F16" w:rsidRPr="00D67E20" w:rsidRDefault="00826F16" w:rsidP="00EF624A">
      <w:pPr>
        <w:keepNext/>
        <w:tabs>
          <w:tab w:val="left" w:pos="5760"/>
        </w:tabs>
        <w:ind w:left="4680" w:firstLine="0"/>
        <w:rPr>
          <w:szCs w:val="26"/>
        </w:rPr>
      </w:pPr>
    </w:p>
    <w:p w:rsidR="0036169B" w:rsidRDefault="0036169B" w:rsidP="00EF624A">
      <w:pPr>
        <w:keepNext/>
        <w:ind w:left="360" w:firstLine="0"/>
        <w:rPr>
          <w:szCs w:val="26"/>
        </w:rPr>
      </w:pPr>
    </w:p>
    <w:p w:rsidR="00D67E20" w:rsidRPr="00D67E20" w:rsidRDefault="00D67E20" w:rsidP="00206373">
      <w:pPr>
        <w:keepNext/>
        <w:ind w:firstLine="0"/>
        <w:rPr>
          <w:szCs w:val="26"/>
        </w:rPr>
      </w:pPr>
      <w:r w:rsidRPr="00D67E20">
        <w:rPr>
          <w:szCs w:val="26"/>
        </w:rPr>
        <w:t>(SEAL)</w:t>
      </w:r>
    </w:p>
    <w:p w:rsidR="00D67E20" w:rsidRPr="00D67E20" w:rsidRDefault="00D67E20" w:rsidP="00206373">
      <w:pPr>
        <w:keepNext/>
        <w:ind w:firstLine="0"/>
        <w:rPr>
          <w:szCs w:val="26"/>
        </w:rPr>
      </w:pPr>
      <w:r w:rsidRPr="00D67E20">
        <w:rPr>
          <w:szCs w:val="26"/>
        </w:rPr>
        <w:t xml:space="preserve">ORDER ADOPTED:  </w:t>
      </w:r>
      <w:r w:rsidR="00826F16">
        <w:rPr>
          <w:szCs w:val="26"/>
        </w:rPr>
        <w:t>August 18</w:t>
      </w:r>
      <w:r w:rsidRPr="00D67E20">
        <w:rPr>
          <w:szCs w:val="26"/>
        </w:rPr>
        <w:t>, 2010</w:t>
      </w:r>
    </w:p>
    <w:p w:rsidR="00D67E20" w:rsidRPr="00D67E20" w:rsidRDefault="00D67E20" w:rsidP="00206373">
      <w:pPr>
        <w:keepNext/>
        <w:ind w:firstLine="0"/>
        <w:rPr>
          <w:szCs w:val="26"/>
        </w:rPr>
      </w:pPr>
      <w:r w:rsidRPr="00D67E20">
        <w:rPr>
          <w:szCs w:val="26"/>
        </w:rPr>
        <w:t xml:space="preserve">ORDER ENTERED:  </w:t>
      </w:r>
      <w:r w:rsidR="00344533">
        <w:rPr>
          <w:szCs w:val="26"/>
        </w:rPr>
        <w:t>August 23, 2010</w:t>
      </w:r>
    </w:p>
    <w:sectPr w:rsidR="00D67E20" w:rsidRPr="00D67E20" w:rsidSect="00FD215D">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4E7" w:rsidRDefault="00C674E7">
      <w:r>
        <w:separator/>
      </w:r>
    </w:p>
  </w:endnote>
  <w:endnote w:type="continuationSeparator" w:id="0">
    <w:p w:rsidR="00C674E7" w:rsidRDefault="00C67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7A" w:rsidRDefault="009A1A52" w:rsidP="00DA4DF0">
    <w:pPr>
      <w:pStyle w:val="Footer"/>
      <w:framePr w:wrap="around" w:vAnchor="text" w:hAnchor="margin" w:xAlign="center" w:y="1"/>
      <w:rPr>
        <w:rStyle w:val="PageNumber"/>
      </w:rPr>
    </w:pPr>
    <w:r>
      <w:rPr>
        <w:rStyle w:val="PageNumber"/>
      </w:rPr>
      <w:fldChar w:fldCharType="begin"/>
    </w:r>
    <w:r w:rsidR="005B717A">
      <w:rPr>
        <w:rStyle w:val="PageNumber"/>
      </w:rPr>
      <w:instrText xml:space="preserve">PAGE  </w:instrText>
    </w:r>
    <w:r>
      <w:rPr>
        <w:rStyle w:val="PageNumber"/>
      </w:rPr>
      <w:fldChar w:fldCharType="end"/>
    </w:r>
  </w:p>
  <w:p w:rsidR="005B717A" w:rsidRDefault="005B7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88126"/>
      <w:docPartObj>
        <w:docPartGallery w:val="Page Numbers (Bottom of Page)"/>
        <w:docPartUnique/>
      </w:docPartObj>
    </w:sdtPr>
    <w:sdtContent>
      <w:p w:rsidR="005B717A" w:rsidRDefault="009A1A52" w:rsidP="007003B1">
        <w:pPr>
          <w:pStyle w:val="Footer"/>
          <w:ind w:firstLine="0"/>
          <w:jc w:val="center"/>
        </w:pPr>
        <w:fldSimple w:instr=" PAGE   \* MERGEFORMAT ">
          <w:r w:rsidR="00344533">
            <w:rPr>
              <w:noProof/>
            </w:rPr>
            <w:t>16</w:t>
          </w:r>
        </w:fldSimple>
      </w:p>
    </w:sdtContent>
  </w:sdt>
  <w:p w:rsidR="005B717A" w:rsidRDefault="005B717A" w:rsidP="007003B1">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4E7" w:rsidRDefault="00C674E7">
      <w:r>
        <w:separator/>
      </w:r>
    </w:p>
  </w:footnote>
  <w:footnote w:type="continuationSeparator" w:id="0">
    <w:p w:rsidR="00C674E7" w:rsidRDefault="00C674E7">
      <w:r>
        <w:continuationSeparator/>
      </w:r>
    </w:p>
  </w:footnote>
  <w:footnote w:id="1">
    <w:p w:rsidR="005B717A" w:rsidRPr="00F93AB9" w:rsidRDefault="005B717A" w:rsidP="00F93AB9">
      <w:pPr>
        <w:pStyle w:val="FootnoteText"/>
        <w:spacing w:line="240" w:lineRule="auto"/>
        <w:ind w:firstLine="720"/>
        <w:rPr>
          <w:sz w:val="26"/>
          <w:szCs w:val="26"/>
        </w:rPr>
      </w:pPr>
      <w:r w:rsidRPr="00F93AB9">
        <w:rPr>
          <w:rStyle w:val="FootnoteReference"/>
          <w:sz w:val="26"/>
          <w:szCs w:val="26"/>
        </w:rPr>
        <w:footnoteRef/>
      </w:r>
      <w:r>
        <w:rPr>
          <w:sz w:val="26"/>
          <w:szCs w:val="26"/>
        </w:rPr>
        <w:tab/>
      </w:r>
      <w:r w:rsidRPr="00F93AB9">
        <w:rPr>
          <w:sz w:val="26"/>
          <w:szCs w:val="26"/>
        </w:rPr>
        <w:t xml:space="preserve">DCNR will also be used to </w:t>
      </w:r>
      <w:r>
        <w:rPr>
          <w:sz w:val="26"/>
          <w:szCs w:val="26"/>
        </w:rPr>
        <w:t>denote</w:t>
      </w:r>
      <w:r w:rsidRPr="00F93AB9">
        <w:rPr>
          <w:sz w:val="26"/>
          <w:szCs w:val="26"/>
        </w:rPr>
        <w:t xml:space="preserve"> </w:t>
      </w:r>
      <w:r>
        <w:rPr>
          <w:sz w:val="26"/>
          <w:szCs w:val="26"/>
        </w:rPr>
        <w:t xml:space="preserve">one of </w:t>
      </w:r>
      <w:r w:rsidRPr="00F93AB9">
        <w:rPr>
          <w:sz w:val="26"/>
          <w:szCs w:val="26"/>
        </w:rPr>
        <w:t>its predecessor agencies, the Department of Forests and Waters</w:t>
      </w:r>
      <w:r>
        <w:rPr>
          <w:sz w:val="26"/>
          <w:szCs w:val="26"/>
        </w:rPr>
        <w:t>.</w:t>
      </w:r>
      <w:r w:rsidRPr="00F93AB9">
        <w:rPr>
          <w:sz w:val="26"/>
          <w:szCs w:val="26"/>
        </w:rPr>
        <w:t xml:space="preserve"> </w:t>
      </w:r>
    </w:p>
  </w:footnote>
  <w:footnote w:id="2">
    <w:p w:rsidR="005B717A" w:rsidRPr="00480C13" w:rsidRDefault="005B717A" w:rsidP="00B111B8">
      <w:pPr>
        <w:pStyle w:val="FootnoteText"/>
        <w:spacing w:line="240" w:lineRule="auto"/>
        <w:ind w:firstLine="720"/>
        <w:rPr>
          <w:sz w:val="26"/>
          <w:szCs w:val="26"/>
        </w:rPr>
      </w:pPr>
      <w:r w:rsidRPr="00480C13">
        <w:rPr>
          <w:rStyle w:val="FootnoteReference"/>
          <w:sz w:val="26"/>
          <w:szCs w:val="26"/>
        </w:rPr>
        <w:footnoteRef/>
      </w:r>
      <w:r>
        <w:rPr>
          <w:sz w:val="26"/>
          <w:szCs w:val="26"/>
        </w:rPr>
        <w:tab/>
      </w:r>
      <w:r w:rsidRPr="00480C13">
        <w:rPr>
          <w:sz w:val="26"/>
          <w:szCs w:val="26"/>
        </w:rPr>
        <w:t xml:space="preserve">On August 12, 2008,  PECO filed a corrected version of its Answer and </w:t>
      </w:r>
      <w:r>
        <w:rPr>
          <w:sz w:val="26"/>
          <w:szCs w:val="26"/>
        </w:rPr>
        <w:t>P</w:t>
      </w:r>
      <w:r w:rsidRPr="00480C13">
        <w:rPr>
          <w:sz w:val="26"/>
          <w:szCs w:val="26"/>
        </w:rPr>
        <w:t>reliminary Objection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C44A8A"/>
    <w:multiLevelType w:val="hybridMultilevel"/>
    <w:tmpl w:val="86560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9F3D05"/>
    <w:multiLevelType w:val="hybridMultilevel"/>
    <w:tmpl w:val="3C226134"/>
    <w:lvl w:ilvl="0" w:tplc="474204C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2E564A"/>
    <w:multiLevelType w:val="hybridMultilevel"/>
    <w:tmpl w:val="B7782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67908"/>
    <w:rsid w:val="00003CE6"/>
    <w:rsid w:val="00005350"/>
    <w:rsid w:val="00005FB6"/>
    <w:rsid w:val="0000715B"/>
    <w:rsid w:val="0001410B"/>
    <w:rsid w:val="000175B8"/>
    <w:rsid w:val="000178B4"/>
    <w:rsid w:val="00020017"/>
    <w:rsid w:val="0002026A"/>
    <w:rsid w:val="0002251C"/>
    <w:rsid w:val="00022FC9"/>
    <w:rsid w:val="00024A7D"/>
    <w:rsid w:val="00025865"/>
    <w:rsid w:val="000261EB"/>
    <w:rsid w:val="00026AA2"/>
    <w:rsid w:val="0003001F"/>
    <w:rsid w:val="00031E0B"/>
    <w:rsid w:val="00031E94"/>
    <w:rsid w:val="00032352"/>
    <w:rsid w:val="00042184"/>
    <w:rsid w:val="000437E6"/>
    <w:rsid w:val="0004398D"/>
    <w:rsid w:val="000449D3"/>
    <w:rsid w:val="00044C5C"/>
    <w:rsid w:val="00047743"/>
    <w:rsid w:val="0005273B"/>
    <w:rsid w:val="00053D4B"/>
    <w:rsid w:val="00054C90"/>
    <w:rsid w:val="00057C0F"/>
    <w:rsid w:val="000602EA"/>
    <w:rsid w:val="00062B69"/>
    <w:rsid w:val="0006330C"/>
    <w:rsid w:val="00070EEB"/>
    <w:rsid w:val="000717FE"/>
    <w:rsid w:val="00075A77"/>
    <w:rsid w:val="00077179"/>
    <w:rsid w:val="0008168C"/>
    <w:rsid w:val="000816BB"/>
    <w:rsid w:val="000819DE"/>
    <w:rsid w:val="0008280C"/>
    <w:rsid w:val="000852A5"/>
    <w:rsid w:val="00085D9A"/>
    <w:rsid w:val="000876F7"/>
    <w:rsid w:val="00087F0F"/>
    <w:rsid w:val="0009634B"/>
    <w:rsid w:val="00096358"/>
    <w:rsid w:val="000A19D2"/>
    <w:rsid w:val="000A2B96"/>
    <w:rsid w:val="000A487A"/>
    <w:rsid w:val="000A5E0E"/>
    <w:rsid w:val="000B1C9B"/>
    <w:rsid w:val="000B50A6"/>
    <w:rsid w:val="000B5EEB"/>
    <w:rsid w:val="000C04F4"/>
    <w:rsid w:val="000C4CD7"/>
    <w:rsid w:val="000C539B"/>
    <w:rsid w:val="000D1CAF"/>
    <w:rsid w:val="000D2588"/>
    <w:rsid w:val="000D3C93"/>
    <w:rsid w:val="000D4B47"/>
    <w:rsid w:val="000D4F3C"/>
    <w:rsid w:val="000D530A"/>
    <w:rsid w:val="000E01FB"/>
    <w:rsid w:val="000E1290"/>
    <w:rsid w:val="000E1FA4"/>
    <w:rsid w:val="000E6B20"/>
    <w:rsid w:val="000F13C7"/>
    <w:rsid w:val="000F1559"/>
    <w:rsid w:val="000F3F00"/>
    <w:rsid w:val="000F44C6"/>
    <w:rsid w:val="000F60CE"/>
    <w:rsid w:val="000F7BC1"/>
    <w:rsid w:val="001008BE"/>
    <w:rsid w:val="00100B13"/>
    <w:rsid w:val="00100F76"/>
    <w:rsid w:val="00103A80"/>
    <w:rsid w:val="001048E1"/>
    <w:rsid w:val="00107474"/>
    <w:rsid w:val="001078DE"/>
    <w:rsid w:val="00110D78"/>
    <w:rsid w:val="0011434E"/>
    <w:rsid w:val="001159B7"/>
    <w:rsid w:val="00115BD7"/>
    <w:rsid w:val="00123BB8"/>
    <w:rsid w:val="0012639E"/>
    <w:rsid w:val="0012731D"/>
    <w:rsid w:val="0013090D"/>
    <w:rsid w:val="0013115D"/>
    <w:rsid w:val="001313EC"/>
    <w:rsid w:val="0013226E"/>
    <w:rsid w:val="00132790"/>
    <w:rsid w:val="00135B9A"/>
    <w:rsid w:val="00136A1A"/>
    <w:rsid w:val="001370D3"/>
    <w:rsid w:val="00141A41"/>
    <w:rsid w:val="0014307B"/>
    <w:rsid w:val="00143622"/>
    <w:rsid w:val="0014592E"/>
    <w:rsid w:val="0015249E"/>
    <w:rsid w:val="00154881"/>
    <w:rsid w:val="00154EF1"/>
    <w:rsid w:val="00157162"/>
    <w:rsid w:val="001601D8"/>
    <w:rsid w:val="001606AB"/>
    <w:rsid w:val="00163E77"/>
    <w:rsid w:val="00165D18"/>
    <w:rsid w:val="00170561"/>
    <w:rsid w:val="001732C9"/>
    <w:rsid w:val="001756C2"/>
    <w:rsid w:val="0017738E"/>
    <w:rsid w:val="0018270B"/>
    <w:rsid w:val="0018579B"/>
    <w:rsid w:val="00185E48"/>
    <w:rsid w:val="00191AC0"/>
    <w:rsid w:val="00193133"/>
    <w:rsid w:val="00193832"/>
    <w:rsid w:val="001941F2"/>
    <w:rsid w:val="001A0B02"/>
    <w:rsid w:val="001A740B"/>
    <w:rsid w:val="001B271C"/>
    <w:rsid w:val="001B2A3C"/>
    <w:rsid w:val="001B3443"/>
    <w:rsid w:val="001B3B12"/>
    <w:rsid w:val="001B6633"/>
    <w:rsid w:val="001B7897"/>
    <w:rsid w:val="001C0809"/>
    <w:rsid w:val="001C191A"/>
    <w:rsid w:val="001C2292"/>
    <w:rsid w:val="001C36DD"/>
    <w:rsid w:val="001D7C5C"/>
    <w:rsid w:val="001E04A7"/>
    <w:rsid w:val="001E2913"/>
    <w:rsid w:val="001E629A"/>
    <w:rsid w:val="001E7CBA"/>
    <w:rsid w:val="001F0993"/>
    <w:rsid w:val="001F15B4"/>
    <w:rsid w:val="001F1C39"/>
    <w:rsid w:val="001F288C"/>
    <w:rsid w:val="001F5936"/>
    <w:rsid w:val="001F7A1A"/>
    <w:rsid w:val="00200CAF"/>
    <w:rsid w:val="00206373"/>
    <w:rsid w:val="0021177B"/>
    <w:rsid w:val="0021319C"/>
    <w:rsid w:val="00213737"/>
    <w:rsid w:val="00214622"/>
    <w:rsid w:val="0021567A"/>
    <w:rsid w:val="00221828"/>
    <w:rsid w:val="0022270C"/>
    <w:rsid w:val="00226BDF"/>
    <w:rsid w:val="00233825"/>
    <w:rsid w:val="00235E74"/>
    <w:rsid w:val="00236ABF"/>
    <w:rsid w:val="00236C4E"/>
    <w:rsid w:val="0024068A"/>
    <w:rsid w:val="0024201A"/>
    <w:rsid w:val="002448EC"/>
    <w:rsid w:val="00250678"/>
    <w:rsid w:val="00252886"/>
    <w:rsid w:val="00254078"/>
    <w:rsid w:val="002540EE"/>
    <w:rsid w:val="0025706C"/>
    <w:rsid w:val="00260804"/>
    <w:rsid w:val="002615DD"/>
    <w:rsid w:val="0026573E"/>
    <w:rsid w:val="0027085A"/>
    <w:rsid w:val="00274416"/>
    <w:rsid w:val="00275E51"/>
    <w:rsid w:val="0028007F"/>
    <w:rsid w:val="002800FD"/>
    <w:rsid w:val="00281A55"/>
    <w:rsid w:val="00282BC1"/>
    <w:rsid w:val="00291405"/>
    <w:rsid w:val="00291D8E"/>
    <w:rsid w:val="00295C4C"/>
    <w:rsid w:val="002963F8"/>
    <w:rsid w:val="0029765D"/>
    <w:rsid w:val="002A114B"/>
    <w:rsid w:val="002A2312"/>
    <w:rsid w:val="002A37FA"/>
    <w:rsid w:val="002A4612"/>
    <w:rsid w:val="002A4951"/>
    <w:rsid w:val="002A4F88"/>
    <w:rsid w:val="002B28DF"/>
    <w:rsid w:val="002B3141"/>
    <w:rsid w:val="002B5684"/>
    <w:rsid w:val="002B6580"/>
    <w:rsid w:val="002B746A"/>
    <w:rsid w:val="002C1DF1"/>
    <w:rsid w:val="002C23E9"/>
    <w:rsid w:val="002C29A8"/>
    <w:rsid w:val="002C4FD6"/>
    <w:rsid w:val="002C6E13"/>
    <w:rsid w:val="002D103A"/>
    <w:rsid w:val="002D10A7"/>
    <w:rsid w:val="002D3202"/>
    <w:rsid w:val="002D3B52"/>
    <w:rsid w:val="002D46D6"/>
    <w:rsid w:val="002D46D8"/>
    <w:rsid w:val="002D4E75"/>
    <w:rsid w:val="002E0430"/>
    <w:rsid w:val="002E22E1"/>
    <w:rsid w:val="002E24C3"/>
    <w:rsid w:val="002E3706"/>
    <w:rsid w:val="002E4139"/>
    <w:rsid w:val="002E50C4"/>
    <w:rsid w:val="002F34B9"/>
    <w:rsid w:val="002F4E30"/>
    <w:rsid w:val="002F6168"/>
    <w:rsid w:val="002F678C"/>
    <w:rsid w:val="002F6C85"/>
    <w:rsid w:val="002F70BC"/>
    <w:rsid w:val="002F79E9"/>
    <w:rsid w:val="0030034F"/>
    <w:rsid w:val="003011AF"/>
    <w:rsid w:val="003028D0"/>
    <w:rsid w:val="00304F03"/>
    <w:rsid w:val="00305C9C"/>
    <w:rsid w:val="00306605"/>
    <w:rsid w:val="003074B0"/>
    <w:rsid w:val="00310DD1"/>
    <w:rsid w:val="0031283F"/>
    <w:rsid w:val="0031632C"/>
    <w:rsid w:val="00317BD4"/>
    <w:rsid w:val="00320BD5"/>
    <w:rsid w:val="00320E13"/>
    <w:rsid w:val="00323BF7"/>
    <w:rsid w:val="00325540"/>
    <w:rsid w:val="00325829"/>
    <w:rsid w:val="00327360"/>
    <w:rsid w:val="00327F32"/>
    <w:rsid w:val="00333548"/>
    <w:rsid w:val="00333C5B"/>
    <w:rsid w:val="00341266"/>
    <w:rsid w:val="00344533"/>
    <w:rsid w:val="003448ED"/>
    <w:rsid w:val="00347BF5"/>
    <w:rsid w:val="00351D23"/>
    <w:rsid w:val="00353050"/>
    <w:rsid w:val="003547DD"/>
    <w:rsid w:val="00355DF4"/>
    <w:rsid w:val="0035625F"/>
    <w:rsid w:val="00357AEE"/>
    <w:rsid w:val="0036169B"/>
    <w:rsid w:val="00365D66"/>
    <w:rsid w:val="00366E47"/>
    <w:rsid w:val="00367908"/>
    <w:rsid w:val="003701DE"/>
    <w:rsid w:val="003800F7"/>
    <w:rsid w:val="0038230E"/>
    <w:rsid w:val="00382878"/>
    <w:rsid w:val="00383D4C"/>
    <w:rsid w:val="0038496C"/>
    <w:rsid w:val="00384A44"/>
    <w:rsid w:val="00391040"/>
    <w:rsid w:val="00391C2E"/>
    <w:rsid w:val="00393806"/>
    <w:rsid w:val="00393BE0"/>
    <w:rsid w:val="00396936"/>
    <w:rsid w:val="003A00E6"/>
    <w:rsid w:val="003A0890"/>
    <w:rsid w:val="003A17A9"/>
    <w:rsid w:val="003A316F"/>
    <w:rsid w:val="003A4A67"/>
    <w:rsid w:val="003A67DB"/>
    <w:rsid w:val="003B14A0"/>
    <w:rsid w:val="003B2072"/>
    <w:rsid w:val="003B35F2"/>
    <w:rsid w:val="003B4726"/>
    <w:rsid w:val="003B6C09"/>
    <w:rsid w:val="003B7739"/>
    <w:rsid w:val="003C2774"/>
    <w:rsid w:val="003C33BF"/>
    <w:rsid w:val="003C474C"/>
    <w:rsid w:val="003C530B"/>
    <w:rsid w:val="003C6962"/>
    <w:rsid w:val="003D44E2"/>
    <w:rsid w:val="003D4E85"/>
    <w:rsid w:val="003D6C39"/>
    <w:rsid w:val="003E23B8"/>
    <w:rsid w:val="003E3156"/>
    <w:rsid w:val="003E4628"/>
    <w:rsid w:val="003E7BC9"/>
    <w:rsid w:val="003F21FA"/>
    <w:rsid w:val="003F344F"/>
    <w:rsid w:val="004014E7"/>
    <w:rsid w:val="00402022"/>
    <w:rsid w:val="00406BF7"/>
    <w:rsid w:val="00411F42"/>
    <w:rsid w:val="0041376C"/>
    <w:rsid w:val="00415E9C"/>
    <w:rsid w:val="00416218"/>
    <w:rsid w:val="00416A88"/>
    <w:rsid w:val="0042002B"/>
    <w:rsid w:val="0042192F"/>
    <w:rsid w:val="00422232"/>
    <w:rsid w:val="004235E0"/>
    <w:rsid w:val="00425343"/>
    <w:rsid w:val="0043084D"/>
    <w:rsid w:val="00430DFE"/>
    <w:rsid w:val="00433F88"/>
    <w:rsid w:val="00434D82"/>
    <w:rsid w:val="00437EBD"/>
    <w:rsid w:val="00440DAA"/>
    <w:rsid w:val="004423BC"/>
    <w:rsid w:val="00442F45"/>
    <w:rsid w:val="004459EB"/>
    <w:rsid w:val="00445B32"/>
    <w:rsid w:val="00446AAE"/>
    <w:rsid w:val="00447C12"/>
    <w:rsid w:val="00451336"/>
    <w:rsid w:val="00451633"/>
    <w:rsid w:val="004524D3"/>
    <w:rsid w:val="0045616A"/>
    <w:rsid w:val="0046191C"/>
    <w:rsid w:val="004624C4"/>
    <w:rsid w:val="0046324A"/>
    <w:rsid w:val="004637C8"/>
    <w:rsid w:val="00464936"/>
    <w:rsid w:val="004675AB"/>
    <w:rsid w:val="00472268"/>
    <w:rsid w:val="00472C39"/>
    <w:rsid w:val="00474179"/>
    <w:rsid w:val="004746EF"/>
    <w:rsid w:val="00476B6F"/>
    <w:rsid w:val="00476F89"/>
    <w:rsid w:val="00477CD6"/>
    <w:rsid w:val="00480C13"/>
    <w:rsid w:val="00482751"/>
    <w:rsid w:val="00483FA1"/>
    <w:rsid w:val="004859B9"/>
    <w:rsid w:val="00487979"/>
    <w:rsid w:val="004918B8"/>
    <w:rsid w:val="00492A49"/>
    <w:rsid w:val="004960E2"/>
    <w:rsid w:val="00496CE5"/>
    <w:rsid w:val="00496DD3"/>
    <w:rsid w:val="00497358"/>
    <w:rsid w:val="004A110F"/>
    <w:rsid w:val="004A1AB4"/>
    <w:rsid w:val="004A4103"/>
    <w:rsid w:val="004A4C86"/>
    <w:rsid w:val="004A5F2D"/>
    <w:rsid w:val="004A632E"/>
    <w:rsid w:val="004A6A2C"/>
    <w:rsid w:val="004A74C6"/>
    <w:rsid w:val="004A794E"/>
    <w:rsid w:val="004A7BF5"/>
    <w:rsid w:val="004B3DFB"/>
    <w:rsid w:val="004B4EDA"/>
    <w:rsid w:val="004B5D15"/>
    <w:rsid w:val="004B63B0"/>
    <w:rsid w:val="004C11D9"/>
    <w:rsid w:val="004C3DE1"/>
    <w:rsid w:val="004C6851"/>
    <w:rsid w:val="004C7C0B"/>
    <w:rsid w:val="004D1FDF"/>
    <w:rsid w:val="004D3A70"/>
    <w:rsid w:val="004D3E91"/>
    <w:rsid w:val="004D7CCB"/>
    <w:rsid w:val="004E0980"/>
    <w:rsid w:val="004E0B56"/>
    <w:rsid w:val="004E34C6"/>
    <w:rsid w:val="004F0BBD"/>
    <w:rsid w:val="004F0EC6"/>
    <w:rsid w:val="004F29E5"/>
    <w:rsid w:val="004F4A18"/>
    <w:rsid w:val="004F69B5"/>
    <w:rsid w:val="00500819"/>
    <w:rsid w:val="00500D07"/>
    <w:rsid w:val="005018A8"/>
    <w:rsid w:val="00503715"/>
    <w:rsid w:val="00506552"/>
    <w:rsid w:val="00506920"/>
    <w:rsid w:val="00506C7B"/>
    <w:rsid w:val="00510D50"/>
    <w:rsid w:val="00512674"/>
    <w:rsid w:val="00513B9C"/>
    <w:rsid w:val="00514AD0"/>
    <w:rsid w:val="00515808"/>
    <w:rsid w:val="005162D1"/>
    <w:rsid w:val="00516F42"/>
    <w:rsid w:val="00517F9F"/>
    <w:rsid w:val="00520030"/>
    <w:rsid w:val="005208A3"/>
    <w:rsid w:val="00520941"/>
    <w:rsid w:val="00521C1E"/>
    <w:rsid w:val="00522046"/>
    <w:rsid w:val="00522589"/>
    <w:rsid w:val="005232CF"/>
    <w:rsid w:val="0052718D"/>
    <w:rsid w:val="00531F25"/>
    <w:rsid w:val="005365E2"/>
    <w:rsid w:val="005371EB"/>
    <w:rsid w:val="00540B2C"/>
    <w:rsid w:val="0054103D"/>
    <w:rsid w:val="00541EAF"/>
    <w:rsid w:val="0054529C"/>
    <w:rsid w:val="0054782C"/>
    <w:rsid w:val="0055037D"/>
    <w:rsid w:val="00551546"/>
    <w:rsid w:val="00555B4C"/>
    <w:rsid w:val="00560099"/>
    <w:rsid w:val="00560882"/>
    <w:rsid w:val="00561A1F"/>
    <w:rsid w:val="00561B56"/>
    <w:rsid w:val="00561E95"/>
    <w:rsid w:val="005631EA"/>
    <w:rsid w:val="00565A23"/>
    <w:rsid w:val="00567E6A"/>
    <w:rsid w:val="00573BC0"/>
    <w:rsid w:val="00577E59"/>
    <w:rsid w:val="0058032F"/>
    <w:rsid w:val="00580578"/>
    <w:rsid w:val="00581384"/>
    <w:rsid w:val="00583326"/>
    <w:rsid w:val="00584DED"/>
    <w:rsid w:val="00584FF0"/>
    <w:rsid w:val="005860FC"/>
    <w:rsid w:val="00586DE6"/>
    <w:rsid w:val="00590DF7"/>
    <w:rsid w:val="005912E6"/>
    <w:rsid w:val="00593177"/>
    <w:rsid w:val="0059772B"/>
    <w:rsid w:val="005A6551"/>
    <w:rsid w:val="005A72A7"/>
    <w:rsid w:val="005B1A11"/>
    <w:rsid w:val="005B2519"/>
    <w:rsid w:val="005B3BAA"/>
    <w:rsid w:val="005B3D01"/>
    <w:rsid w:val="005B4785"/>
    <w:rsid w:val="005B505F"/>
    <w:rsid w:val="005B6972"/>
    <w:rsid w:val="005B717A"/>
    <w:rsid w:val="005C0EE4"/>
    <w:rsid w:val="005C415B"/>
    <w:rsid w:val="005C6B1A"/>
    <w:rsid w:val="005C6F06"/>
    <w:rsid w:val="005D266F"/>
    <w:rsid w:val="005D444E"/>
    <w:rsid w:val="005E0148"/>
    <w:rsid w:val="005E1B1A"/>
    <w:rsid w:val="005E4500"/>
    <w:rsid w:val="005E481A"/>
    <w:rsid w:val="005E555C"/>
    <w:rsid w:val="005F232C"/>
    <w:rsid w:val="005F2B87"/>
    <w:rsid w:val="005F5232"/>
    <w:rsid w:val="005F59B1"/>
    <w:rsid w:val="005F6231"/>
    <w:rsid w:val="005F65EE"/>
    <w:rsid w:val="0060238B"/>
    <w:rsid w:val="00605E2E"/>
    <w:rsid w:val="00606D1D"/>
    <w:rsid w:val="0061015A"/>
    <w:rsid w:val="00610682"/>
    <w:rsid w:val="0061223F"/>
    <w:rsid w:val="00614AE7"/>
    <w:rsid w:val="006168EA"/>
    <w:rsid w:val="00622D50"/>
    <w:rsid w:val="006239F6"/>
    <w:rsid w:val="00626A14"/>
    <w:rsid w:val="0062751A"/>
    <w:rsid w:val="00633197"/>
    <w:rsid w:val="00633FC0"/>
    <w:rsid w:val="00634F96"/>
    <w:rsid w:val="006379FB"/>
    <w:rsid w:val="00642219"/>
    <w:rsid w:val="00644B53"/>
    <w:rsid w:val="0064693A"/>
    <w:rsid w:val="006500C7"/>
    <w:rsid w:val="00650155"/>
    <w:rsid w:val="006516F2"/>
    <w:rsid w:val="00652879"/>
    <w:rsid w:val="00652948"/>
    <w:rsid w:val="006801DB"/>
    <w:rsid w:val="006872DA"/>
    <w:rsid w:val="0068749C"/>
    <w:rsid w:val="0069080B"/>
    <w:rsid w:val="00692CEA"/>
    <w:rsid w:val="0069319D"/>
    <w:rsid w:val="00694337"/>
    <w:rsid w:val="00696BD0"/>
    <w:rsid w:val="006A0CD7"/>
    <w:rsid w:val="006A21B3"/>
    <w:rsid w:val="006A2B42"/>
    <w:rsid w:val="006A5E3F"/>
    <w:rsid w:val="006A6030"/>
    <w:rsid w:val="006B00F5"/>
    <w:rsid w:val="006B04E7"/>
    <w:rsid w:val="006B1FA4"/>
    <w:rsid w:val="006B324A"/>
    <w:rsid w:val="006C08DC"/>
    <w:rsid w:val="006C24B4"/>
    <w:rsid w:val="006C2D53"/>
    <w:rsid w:val="006C3AF0"/>
    <w:rsid w:val="006C4563"/>
    <w:rsid w:val="006C5039"/>
    <w:rsid w:val="006C5B97"/>
    <w:rsid w:val="006C681A"/>
    <w:rsid w:val="006C72B1"/>
    <w:rsid w:val="006D053B"/>
    <w:rsid w:val="006D07A7"/>
    <w:rsid w:val="006D2193"/>
    <w:rsid w:val="006D5171"/>
    <w:rsid w:val="006E0884"/>
    <w:rsid w:val="006E3FF9"/>
    <w:rsid w:val="006E50EA"/>
    <w:rsid w:val="006E6218"/>
    <w:rsid w:val="006E633B"/>
    <w:rsid w:val="006E7906"/>
    <w:rsid w:val="006F5605"/>
    <w:rsid w:val="006F6248"/>
    <w:rsid w:val="006F63E4"/>
    <w:rsid w:val="006F707E"/>
    <w:rsid w:val="007003B1"/>
    <w:rsid w:val="00700B05"/>
    <w:rsid w:val="007038A3"/>
    <w:rsid w:val="00705C9D"/>
    <w:rsid w:val="00711D61"/>
    <w:rsid w:val="007133C6"/>
    <w:rsid w:val="00715CFE"/>
    <w:rsid w:val="0072715C"/>
    <w:rsid w:val="007302C0"/>
    <w:rsid w:val="0073487A"/>
    <w:rsid w:val="00737417"/>
    <w:rsid w:val="00743E07"/>
    <w:rsid w:val="0075430C"/>
    <w:rsid w:val="00754B69"/>
    <w:rsid w:val="00757FD7"/>
    <w:rsid w:val="007600D4"/>
    <w:rsid w:val="00760BFA"/>
    <w:rsid w:val="00761F66"/>
    <w:rsid w:val="00762221"/>
    <w:rsid w:val="00763834"/>
    <w:rsid w:val="00763C5B"/>
    <w:rsid w:val="00767CD5"/>
    <w:rsid w:val="00771011"/>
    <w:rsid w:val="00775655"/>
    <w:rsid w:val="00776E0E"/>
    <w:rsid w:val="00777771"/>
    <w:rsid w:val="00777935"/>
    <w:rsid w:val="00781607"/>
    <w:rsid w:val="00784365"/>
    <w:rsid w:val="00792280"/>
    <w:rsid w:val="00792559"/>
    <w:rsid w:val="00795C74"/>
    <w:rsid w:val="00796576"/>
    <w:rsid w:val="007967BB"/>
    <w:rsid w:val="00797E22"/>
    <w:rsid w:val="007A1093"/>
    <w:rsid w:val="007A1C0F"/>
    <w:rsid w:val="007A29E0"/>
    <w:rsid w:val="007A44EB"/>
    <w:rsid w:val="007A5A70"/>
    <w:rsid w:val="007A6BEA"/>
    <w:rsid w:val="007B030D"/>
    <w:rsid w:val="007B1049"/>
    <w:rsid w:val="007B2B6C"/>
    <w:rsid w:val="007B6D3B"/>
    <w:rsid w:val="007B79AE"/>
    <w:rsid w:val="007B7FF4"/>
    <w:rsid w:val="007C194E"/>
    <w:rsid w:val="007C2E4B"/>
    <w:rsid w:val="007C53EE"/>
    <w:rsid w:val="007C648A"/>
    <w:rsid w:val="007D1B7C"/>
    <w:rsid w:val="007D1FE6"/>
    <w:rsid w:val="007D4D3E"/>
    <w:rsid w:val="007E0015"/>
    <w:rsid w:val="007E0167"/>
    <w:rsid w:val="007E1152"/>
    <w:rsid w:val="007E2044"/>
    <w:rsid w:val="007E2085"/>
    <w:rsid w:val="007E4BEB"/>
    <w:rsid w:val="007F128E"/>
    <w:rsid w:val="007F3108"/>
    <w:rsid w:val="007F32DD"/>
    <w:rsid w:val="007F57AC"/>
    <w:rsid w:val="007F6D13"/>
    <w:rsid w:val="00801054"/>
    <w:rsid w:val="00805728"/>
    <w:rsid w:val="00806CA1"/>
    <w:rsid w:val="0080741B"/>
    <w:rsid w:val="008141E0"/>
    <w:rsid w:val="00817133"/>
    <w:rsid w:val="0081736B"/>
    <w:rsid w:val="00817B8B"/>
    <w:rsid w:val="0082058C"/>
    <w:rsid w:val="00821B50"/>
    <w:rsid w:val="00822D1D"/>
    <w:rsid w:val="00823A75"/>
    <w:rsid w:val="00825582"/>
    <w:rsid w:val="0082593A"/>
    <w:rsid w:val="00826F16"/>
    <w:rsid w:val="00833496"/>
    <w:rsid w:val="00834617"/>
    <w:rsid w:val="00842624"/>
    <w:rsid w:val="0084317C"/>
    <w:rsid w:val="0084345A"/>
    <w:rsid w:val="00846AF3"/>
    <w:rsid w:val="00847404"/>
    <w:rsid w:val="00852739"/>
    <w:rsid w:val="00853F46"/>
    <w:rsid w:val="00853F51"/>
    <w:rsid w:val="008544EF"/>
    <w:rsid w:val="00860677"/>
    <w:rsid w:val="008621E8"/>
    <w:rsid w:val="008629BC"/>
    <w:rsid w:val="00863379"/>
    <w:rsid w:val="00864565"/>
    <w:rsid w:val="008646EE"/>
    <w:rsid w:val="0086568D"/>
    <w:rsid w:val="0086620C"/>
    <w:rsid w:val="00867117"/>
    <w:rsid w:val="00867B92"/>
    <w:rsid w:val="0087142C"/>
    <w:rsid w:val="008720E4"/>
    <w:rsid w:val="008738CA"/>
    <w:rsid w:val="008779DC"/>
    <w:rsid w:val="00877CBA"/>
    <w:rsid w:val="00877DE5"/>
    <w:rsid w:val="00877DF3"/>
    <w:rsid w:val="00881CE5"/>
    <w:rsid w:val="008908BD"/>
    <w:rsid w:val="00894A2B"/>
    <w:rsid w:val="008A03F9"/>
    <w:rsid w:val="008B18DA"/>
    <w:rsid w:val="008B64E4"/>
    <w:rsid w:val="008B6CB5"/>
    <w:rsid w:val="008C0A42"/>
    <w:rsid w:val="008C19FB"/>
    <w:rsid w:val="008C3429"/>
    <w:rsid w:val="008C7C3B"/>
    <w:rsid w:val="008D2CBC"/>
    <w:rsid w:val="008D3F8B"/>
    <w:rsid w:val="008D6221"/>
    <w:rsid w:val="008D6C94"/>
    <w:rsid w:val="008D754D"/>
    <w:rsid w:val="008E0A59"/>
    <w:rsid w:val="008E1E08"/>
    <w:rsid w:val="008E2004"/>
    <w:rsid w:val="008E27E2"/>
    <w:rsid w:val="008E2DD0"/>
    <w:rsid w:val="008F203D"/>
    <w:rsid w:val="008F355B"/>
    <w:rsid w:val="008F367C"/>
    <w:rsid w:val="008F3A59"/>
    <w:rsid w:val="008F690C"/>
    <w:rsid w:val="00902393"/>
    <w:rsid w:val="00902635"/>
    <w:rsid w:val="0090278C"/>
    <w:rsid w:val="0090368C"/>
    <w:rsid w:val="00907662"/>
    <w:rsid w:val="00907A3B"/>
    <w:rsid w:val="00910BDD"/>
    <w:rsid w:val="00912C0D"/>
    <w:rsid w:val="009131A7"/>
    <w:rsid w:val="009144B1"/>
    <w:rsid w:val="00921B94"/>
    <w:rsid w:val="00921DB7"/>
    <w:rsid w:val="009220D5"/>
    <w:rsid w:val="00925FDA"/>
    <w:rsid w:val="0092780A"/>
    <w:rsid w:val="009305E1"/>
    <w:rsid w:val="00932911"/>
    <w:rsid w:val="00935EF2"/>
    <w:rsid w:val="00936DD2"/>
    <w:rsid w:val="0093762C"/>
    <w:rsid w:val="00937F06"/>
    <w:rsid w:val="009400AC"/>
    <w:rsid w:val="00940DA2"/>
    <w:rsid w:val="0095229C"/>
    <w:rsid w:val="0095240D"/>
    <w:rsid w:val="0095242E"/>
    <w:rsid w:val="0095435A"/>
    <w:rsid w:val="00961C26"/>
    <w:rsid w:val="009625BE"/>
    <w:rsid w:val="0096475F"/>
    <w:rsid w:val="0096637D"/>
    <w:rsid w:val="00977920"/>
    <w:rsid w:val="00977B17"/>
    <w:rsid w:val="00980416"/>
    <w:rsid w:val="00980FD8"/>
    <w:rsid w:val="009824B0"/>
    <w:rsid w:val="00985CF5"/>
    <w:rsid w:val="009879E8"/>
    <w:rsid w:val="009906CC"/>
    <w:rsid w:val="00990C79"/>
    <w:rsid w:val="00992C18"/>
    <w:rsid w:val="0099362D"/>
    <w:rsid w:val="00994F4D"/>
    <w:rsid w:val="009975A3"/>
    <w:rsid w:val="009975E0"/>
    <w:rsid w:val="009A001A"/>
    <w:rsid w:val="009A08CE"/>
    <w:rsid w:val="009A1A52"/>
    <w:rsid w:val="009A282F"/>
    <w:rsid w:val="009A37DE"/>
    <w:rsid w:val="009A3B90"/>
    <w:rsid w:val="009A6424"/>
    <w:rsid w:val="009A6916"/>
    <w:rsid w:val="009B1785"/>
    <w:rsid w:val="009B3222"/>
    <w:rsid w:val="009B7AF6"/>
    <w:rsid w:val="009C1110"/>
    <w:rsid w:val="009C43E7"/>
    <w:rsid w:val="009C5A5C"/>
    <w:rsid w:val="009D0103"/>
    <w:rsid w:val="009D1E01"/>
    <w:rsid w:val="009D5250"/>
    <w:rsid w:val="009E252A"/>
    <w:rsid w:val="009F067B"/>
    <w:rsid w:val="009F0AB0"/>
    <w:rsid w:val="009F1046"/>
    <w:rsid w:val="009F2785"/>
    <w:rsid w:val="009F62C2"/>
    <w:rsid w:val="009F6F9C"/>
    <w:rsid w:val="00A01196"/>
    <w:rsid w:val="00A02B7F"/>
    <w:rsid w:val="00A03000"/>
    <w:rsid w:val="00A12182"/>
    <w:rsid w:val="00A14414"/>
    <w:rsid w:val="00A1453C"/>
    <w:rsid w:val="00A15632"/>
    <w:rsid w:val="00A1594C"/>
    <w:rsid w:val="00A15E63"/>
    <w:rsid w:val="00A3220A"/>
    <w:rsid w:val="00A34E21"/>
    <w:rsid w:val="00A355E7"/>
    <w:rsid w:val="00A36490"/>
    <w:rsid w:val="00A37206"/>
    <w:rsid w:val="00A37961"/>
    <w:rsid w:val="00A379CC"/>
    <w:rsid w:val="00A44490"/>
    <w:rsid w:val="00A5589E"/>
    <w:rsid w:val="00A57316"/>
    <w:rsid w:val="00A61D2F"/>
    <w:rsid w:val="00A62803"/>
    <w:rsid w:val="00A63C9F"/>
    <w:rsid w:val="00A66B6A"/>
    <w:rsid w:val="00A73FEF"/>
    <w:rsid w:val="00A74867"/>
    <w:rsid w:val="00A76B43"/>
    <w:rsid w:val="00A809F2"/>
    <w:rsid w:val="00A82768"/>
    <w:rsid w:val="00A846D8"/>
    <w:rsid w:val="00A8679B"/>
    <w:rsid w:val="00A9194E"/>
    <w:rsid w:val="00A91CC4"/>
    <w:rsid w:val="00A96516"/>
    <w:rsid w:val="00A9785C"/>
    <w:rsid w:val="00AA18B1"/>
    <w:rsid w:val="00AA3751"/>
    <w:rsid w:val="00AA6790"/>
    <w:rsid w:val="00AA68C1"/>
    <w:rsid w:val="00AA75D8"/>
    <w:rsid w:val="00AB04F3"/>
    <w:rsid w:val="00AB08B5"/>
    <w:rsid w:val="00AB17AF"/>
    <w:rsid w:val="00AB20FE"/>
    <w:rsid w:val="00AB227F"/>
    <w:rsid w:val="00AB5A28"/>
    <w:rsid w:val="00AC1729"/>
    <w:rsid w:val="00AC1E04"/>
    <w:rsid w:val="00AC55CF"/>
    <w:rsid w:val="00AC6F11"/>
    <w:rsid w:val="00AD3EA0"/>
    <w:rsid w:val="00AD4344"/>
    <w:rsid w:val="00AD5A4C"/>
    <w:rsid w:val="00AD65D2"/>
    <w:rsid w:val="00AD77C2"/>
    <w:rsid w:val="00AD7A20"/>
    <w:rsid w:val="00AE4B64"/>
    <w:rsid w:val="00AE60FD"/>
    <w:rsid w:val="00AF1188"/>
    <w:rsid w:val="00AF11FB"/>
    <w:rsid w:val="00AF2DFC"/>
    <w:rsid w:val="00AF416E"/>
    <w:rsid w:val="00B01AD0"/>
    <w:rsid w:val="00B01C5B"/>
    <w:rsid w:val="00B0362F"/>
    <w:rsid w:val="00B06B5A"/>
    <w:rsid w:val="00B110A7"/>
    <w:rsid w:val="00B111B8"/>
    <w:rsid w:val="00B11A98"/>
    <w:rsid w:val="00B14445"/>
    <w:rsid w:val="00B16BA1"/>
    <w:rsid w:val="00B17D74"/>
    <w:rsid w:val="00B235A7"/>
    <w:rsid w:val="00B2506A"/>
    <w:rsid w:val="00B271D3"/>
    <w:rsid w:val="00B3153D"/>
    <w:rsid w:val="00B41A7A"/>
    <w:rsid w:val="00B45663"/>
    <w:rsid w:val="00B45B49"/>
    <w:rsid w:val="00B47744"/>
    <w:rsid w:val="00B5036A"/>
    <w:rsid w:val="00B5292F"/>
    <w:rsid w:val="00B52CA4"/>
    <w:rsid w:val="00B561F5"/>
    <w:rsid w:val="00B57793"/>
    <w:rsid w:val="00B57C01"/>
    <w:rsid w:val="00B633ED"/>
    <w:rsid w:val="00B63730"/>
    <w:rsid w:val="00B70635"/>
    <w:rsid w:val="00B7254D"/>
    <w:rsid w:val="00B74882"/>
    <w:rsid w:val="00B81E5D"/>
    <w:rsid w:val="00B821BB"/>
    <w:rsid w:val="00B829D8"/>
    <w:rsid w:val="00B85D1F"/>
    <w:rsid w:val="00B8679B"/>
    <w:rsid w:val="00B87080"/>
    <w:rsid w:val="00B8763F"/>
    <w:rsid w:val="00B91B77"/>
    <w:rsid w:val="00B926ED"/>
    <w:rsid w:val="00B952C6"/>
    <w:rsid w:val="00BA06E8"/>
    <w:rsid w:val="00BA0FE6"/>
    <w:rsid w:val="00BA324B"/>
    <w:rsid w:val="00BA4044"/>
    <w:rsid w:val="00BA41C3"/>
    <w:rsid w:val="00BA49B4"/>
    <w:rsid w:val="00BB5C36"/>
    <w:rsid w:val="00BC15F8"/>
    <w:rsid w:val="00BC2F4C"/>
    <w:rsid w:val="00BC59AD"/>
    <w:rsid w:val="00BC6104"/>
    <w:rsid w:val="00BC6310"/>
    <w:rsid w:val="00BC642A"/>
    <w:rsid w:val="00BD2088"/>
    <w:rsid w:val="00BD249E"/>
    <w:rsid w:val="00BD54EE"/>
    <w:rsid w:val="00BD5940"/>
    <w:rsid w:val="00BD5C56"/>
    <w:rsid w:val="00BE0CA2"/>
    <w:rsid w:val="00BE10D1"/>
    <w:rsid w:val="00BE58E2"/>
    <w:rsid w:val="00BF02CE"/>
    <w:rsid w:val="00BF2183"/>
    <w:rsid w:val="00BF2633"/>
    <w:rsid w:val="00BF2F80"/>
    <w:rsid w:val="00BF31A2"/>
    <w:rsid w:val="00BF469F"/>
    <w:rsid w:val="00BF6A1F"/>
    <w:rsid w:val="00BF6C5C"/>
    <w:rsid w:val="00C013F1"/>
    <w:rsid w:val="00C01ED3"/>
    <w:rsid w:val="00C05C61"/>
    <w:rsid w:val="00C071C4"/>
    <w:rsid w:val="00C13B1A"/>
    <w:rsid w:val="00C153EE"/>
    <w:rsid w:val="00C22ECF"/>
    <w:rsid w:val="00C235B0"/>
    <w:rsid w:val="00C25B3B"/>
    <w:rsid w:val="00C30F9B"/>
    <w:rsid w:val="00C32191"/>
    <w:rsid w:val="00C331E5"/>
    <w:rsid w:val="00C34217"/>
    <w:rsid w:val="00C34EB5"/>
    <w:rsid w:val="00C4013F"/>
    <w:rsid w:val="00C42439"/>
    <w:rsid w:val="00C434CD"/>
    <w:rsid w:val="00C43E64"/>
    <w:rsid w:val="00C5329E"/>
    <w:rsid w:val="00C643B9"/>
    <w:rsid w:val="00C674E7"/>
    <w:rsid w:val="00C70121"/>
    <w:rsid w:val="00C720A5"/>
    <w:rsid w:val="00C73489"/>
    <w:rsid w:val="00C7512C"/>
    <w:rsid w:val="00C80706"/>
    <w:rsid w:val="00C82C69"/>
    <w:rsid w:val="00C87725"/>
    <w:rsid w:val="00C92428"/>
    <w:rsid w:val="00C92716"/>
    <w:rsid w:val="00C94E18"/>
    <w:rsid w:val="00CA1D42"/>
    <w:rsid w:val="00CA34E9"/>
    <w:rsid w:val="00CA4595"/>
    <w:rsid w:val="00CA4772"/>
    <w:rsid w:val="00CA56FB"/>
    <w:rsid w:val="00CA663D"/>
    <w:rsid w:val="00CA75A5"/>
    <w:rsid w:val="00CB1995"/>
    <w:rsid w:val="00CB2B2D"/>
    <w:rsid w:val="00CB2CB2"/>
    <w:rsid w:val="00CB2E81"/>
    <w:rsid w:val="00CB4822"/>
    <w:rsid w:val="00CB6C88"/>
    <w:rsid w:val="00CB6DE4"/>
    <w:rsid w:val="00CD1FE0"/>
    <w:rsid w:val="00CD39BE"/>
    <w:rsid w:val="00CD417B"/>
    <w:rsid w:val="00CE04C2"/>
    <w:rsid w:val="00CE1749"/>
    <w:rsid w:val="00CE219B"/>
    <w:rsid w:val="00CE3745"/>
    <w:rsid w:val="00CE6BE4"/>
    <w:rsid w:val="00CF1C64"/>
    <w:rsid w:val="00CF3308"/>
    <w:rsid w:val="00CF42EE"/>
    <w:rsid w:val="00D0090F"/>
    <w:rsid w:val="00D012F4"/>
    <w:rsid w:val="00D04C3D"/>
    <w:rsid w:val="00D0700F"/>
    <w:rsid w:val="00D07688"/>
    <w:rsid w:val="00D07F90"/>
    <w:rsid w:val="00D1627F"/>
    <w:rsid w:val="00D21394"/>
    <w:rsid w:val="00D22911"/>
    <w:rsid w:val="00D33E3F"/>
    <w:rsid w:val="00D357BD"/>
    <w:rsid w:val="00D37789"/>
    <w:rsid w:val="00D40CE0"/>
    <w:rsid w:val="00D41D5F"/>
    <w:rsid w:val="00D41F53"/>
    <w:rsid w:val="00D4671B"/>
    <w:rsid w:val="00D5157F"/>
    <w:rsid w:val="00D5483C"/>
    <w:rsid w:val="00D564A4"/>
    <w:rsid w:val="00D6271D"/>
    <w:rsid w:val="00D64E91"/>
    <w:rsid w:val="00D67E20"/>
    <w:rsid w:val="00D70A10"/>
    <w:rsid w:val="00D72130"/>
    <w:rsid w:val="00D727B3"/>
    <w:rsid w:val="00D76607"/>
    <w:rsid w:val="00D83561"/>
    <w:rsid w:val="00D8374E"/>
    <w:rsid w:val="00D842B7"/>
    <w:rsid w:val="00D85CA8"/>
    <w:rsid w:val="00D863BA"/>
    <w:rsid w:val="00D87CA5"/>
    <w:rsid w:val="00D94757"/>
    <w:rsid w:val="00D94A37"/>
    <w:rsid w:val="00D97052"/>
    <w:rsid w:val="00D97C6F"/>
    <w:rsid w:val="00DA189E"/>
    <w:rsid w:val="00DA205D"/>
    <w:rsid w:val="00DA4AA4"/>
    <w:rsid w:val="00DA4BC3"/>
    <w:rsid w:val="00DA4DF0"/>
    <w:rsid w:val="00DA5488"/>
    <w:rsid w:val="00DA71C4"/>
    <w:rsid w:val="00DB05BC"/>
    <w:rsid w:val="00DB4A8A"/>
    <w:rsid w:val="00DB5C24"/>
    <w:rsid w:val="00DB6DE7"/>
    <w:rsid w:val="00DB7589"/>
    <w:rsid w:val="00DD0955"/>
    <w:rsid w:val="00DD0987"/>
    <w:rsid w:val="00DD41C1"/>
    <w:rsid w:val="00DD4207"/>
    <w:rsid w:val="00DD5D72"/>
    <w:rsid w:val="00DD75DC"/>
    <w:rsid w:val="00DE13B9"/>
    <w:rsid w:val="00DE2159"/>
    <w:rsid w:val="00DE4199"/>
    <w:rsid w:val="00DF0C7C"/>
    <w:rsid w:val="00DF294F"/>
    <w:rsid w:val="00DF6D15"/>
    <w:rsid w:val="00DF7B22"/>
    <w:rsid w:val="00E031BC"/>
    <w:rsid w:val="00E0407D"/>
    <w:rsid w:val="00E042D6"/>
    <w:rsid w:val="00E04B2F"/>
    <w:rsid w:val="00E06E8C"/>
    <w:rsid w:val="00E133F8"/>
    <w:rsid w:val="00E17576"/>
    <w:rsid w:val="00E2138C"/>
    <w:rsid w:val="00E22E41"/>
    <w:rsid w:val="00E23365"/>
    <w:rsid w:val="00E25EF2"/>
    <w:rsid w:val="00E26AA0"/>
    <w:rsid w:val="00E26EA9"/>
    <w:rsid w:val="00E26FAE"/>
    <w:rsid w:val="00E31B5C"/>
    <w:rsid w:val="00E333F1"/>
    <w:rsid w:val="00E34C8B"/>
    <w:rsid w:val="00E36923"/>
    <w:rsid w:val="00E430F5"/>
    <w:rsid w:val="00E479C0"/>
    <w:rsid w:val="00E51BF1"/>
    <w:rsid w:val="00E5554C"/>
    <w:rsid w:val="00E57A88"/>
    <w:rsid w:val="00E57AE6"/>
    <w:rsid w:val="00E620C1"/>
    <w:rsid w:val="00E62560"/>
    <w:rsid w:val="00E62EE3"/>
    <w:rsid w:val="00E6487C"/>
    <w:rsid w:val="00E652F9"/>
    <w:rsid w:val="00E67B76"/>
    <w:rsid w:val="00E7339C"/>
    <w:rsid w:val="00E743A6"/>
    <w:rsid w:val="00E75575"/>
    <w:rsid w:val="00E7625D"/>
    <w:rsid w:val="00E763AD"/>
    <w:rsid w:val="00E770A5"/>
    <w:rsid w:val="00E805E4"/>
    <w:rsid w:val="00E8118D"/>
    <w:rsid w:val="00E867E4"/>
    <w:rsid w:val="00E942F1"/>
    <w:rsid w:val="00EB022F"/>
    <w:rsid w:val="00EB61F4"/>
    <w:rsid w:val="00EC229D"/>
    <w:rsid w:val="00EC7632"/>
    <w:rsid w:val="00ED26D4"/>
    <w:rsid w:val="00EE69EE"/>
    <w:rsid w:val="00EE7DE5"/>
    <w:rsid w:val="00EF0657"/>
    <w:rsid w:val="00EF0734"/>
    <w:rsid w:val="00EF34E8"/>
    <w:rsid w:val="00EF36C7"/>
    <w:rsid w:val="00EF3FFA"/>
    <w:rsid w:val="00EF487D"/>
    <w:rsid w:val="00EF5689"/>
    <w:rsid w:val="00EF624A"/>
    <w:rsid w:val="00EF6378"/>
    <w:rsid w:val="00EF6851"/>
    <w:rsid w:val="00F00126"/>
    <w:rsid w:val="00F016BF"/>
    <w:rsid w:val="00F04408"/>
    <w:rsid w:val="00F04EE2"/>
    <w:rsid w:val="00F07237"/>
    <w:rsid w:val="00F10A69"/>
    <w:rsid w:val="00F11F7D"/>
    <w:rsid w:val="00F1328F"/>
    <w:rsid w:val="00F1657E"/>
    <w:rsid w:val="00F20E30"/>
    <w:rsid w:val="00F23488"/>
    <w:rsid w:val="00F251D0"/>
    <w:rsid w:val="00F276A6"/>
    <w:rsid w:val="00F30EAA"/>
    <w:rsid w:val="00F3400A"/>
    <w:rsid w:val="00F41C01"/>
    <w:rsid w:val="00F46459"/>
    <w:rsid w:val="00F47CE7"/>
    <w:rsid w:val="00F505C3"/>
    <w:rsid w:val="00F53136"/>
    <w:rsid w:val="00F5370F"/>
    <w:rsid w:val="00F54EAB"/>
    <w:rsid w:val="00F56E77"/>
    <w:rsid w:val="00F57E0E"/>
    <w:rsid w:val="00F603BA"/>
    <w:rsid w:val="00F605C1"/>
    <w:rsid w:val="00F60E96"/>
    <w:rsid w:val="00F62674"/>
    <w:rsid w:val="00F62FBA"/>
    <w:rsid w:val="00F64DDD"/>
    <w:rsid w:val="00F65F03"/>
    <w:rsid w:val="00F7167C"/>
    <w:rsid w:val="00F73B07"/>
    <w:rsid w:val="00F77315"/>
    <w:rsid w:val="00F82EC2"/>
    <w:rsid w:val="00F85A64"/>
    <w:rsid w:val="00F86021"/>
    <w:rsid w:val="00F92970"/>
    <w:rsid w:val="00F9304F"/>
    <w:rsid w:val="00F93AB9"/>
    <w:rsid w:val="00F94CA2"/>
    <w:rsid w:val="00F94DC3"/>
    <w:rsid w:val="00F97670"/>
    <w:rsid w:val="00FA1249"/>
    <w:rsid w:val="00FA1519"/>
    <w:rsid w:val="00FA2CFA"/>
    <w:rsid w:val="00FA3016"/>
    <w:rsid w:val="00FB0E52"/>
    <w:rsid w:val="00FB0EB6"/>
    <w:rsid w:val="00FB4804"/>
    <w:rsid w:val="00FB520B"/>
    <w:rsid w:val="00FB5321"/>
    <w:rsid w:val="00FB5AFD"/>
    <w:rsid w:val="00FB7D64"/>
    <w:rsid w:val="00FC1019"/>
    <w:rsid w:val="00FC25EC"/>
    <w:rsid w:val="00FC3827"/>
    <w:rsid w:val="00FC4AAF"/>
    <w:rsid w:val="00FC5737"/>
    <w:rsid w:val="00FD044B"/>
    <w:rsid w:val="00FD215D"/>
    <w:rsid w:val="00FD343E"/>
    <w:rsid w:val="00FD4371"/>
    <w:rsid w:val="00FD75F5"/>
    <w:rsid w:val="00FE1A4B"/>
    <w:rsid w:val="00FE495D"/>
    <w:rsid w:val="00FE55BF"/>
    <w:rsid w:val="00FE76A4"/>
    <w:rsid w:val="00FF3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548"/>
    <w:pPr>
      <w:spacing w:line="360" w:lineRule="auto"/>
      <w:ind w:firstLine="1440"/>
    </w:pPr>
    <w:rPr>
      <w:sz w:val="26"/>
      <w:szCs w:val="24"/>
    </w:rPr>
  </w:style>
  <w:style w:type="paragraph" w:styleId="Heading1">
    <w:name w:val="heading 1"/>
    <w:basedOn w:val="Normal"/>
    <w:next w:val="Normal"/>
    <w:link w:val="Heading1Char"/>
    <w:qFormat/>
    <w:rsid w:val="00E867E4"/>
    <w:pPr>
      <w:keepNext/>
      <w:keepLines/>
      <w:spacing w:before="240"/>
      <w:ind w:firstLine="0"/>
      <w:outlineLvl w:val="0"/>
    </w:pPr>
    <w:rPr>
      <w:rFonts w:eastAsiaTheme="majorEastAsia" w:cstheme="majorBidi"/>
      <w:b/>
      <w:bCs/>
      <w:szCs w:val="28"/>
    </w:rPr>
  </w:style>
  <w:style w:type="paragraph" w:styleId="Heading2">
    <w:name w:val="heading 2"/>
    <w:basedOn w:val="Normal"/>
    <w:next w:val="Normal"/>
    <w:link w:val="Heading2Char"/>
    <w:semiHidden/>
    <w:unhideWhenUsed/>
    <w:qFormat/>
    <w:rsid w:val="00CF3308"/>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semiHidden/>
    <w:unhideWhenUsed/>
    <w:qFormat/>
    <w:rsid w:val="00CF33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link w:val="FooterChar"/>
    <w:uiPriority w:val="99"/>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E031BC"/>
    <w:rPr>
      <w:color w:val="0000FF"/>
      <w:u w:val="single"/>
    </w:rPr>
  </w:style>
  <w:style w:type="character" w:customStyle="1" w:styleId="FootnoteTextChar">
    <w:name w:val="Footnote Text Char"/>
    <w:basedOn w:val="DefaultParagraphFont"/>
    <w:link w:val="FootnoteText"/>
    <w:semiHidden/>
    <w:rsid w:val="0009634B"/>
  </w:style>
  <w:style w:type="character" w:customStyle="1" w:styleId="Heading1Char">
    <w:name w:val="Heading 1 Char"/>
    <w:basedOn w:val="DefaultParagraphFont"/>
    <w:link w:val="Heading1"/>
    <w:rsid w:val="00E867E4"/>
    <w:rPr>
      <w:rFonts w:eastAsiaTheme="majorEastAsia" w:cstheme="majorBidi"/>
      <w:b/>
      <w:bCs/>
      <w:sz w:val="26"/>
      <w:szCs w:val="28"/>
    </w:rPr>
  </w:style>
  <w:style w:type="paragraph" w:styleId="Header">
    <w:name w:val="header"/>
    <w:basedOn w:val="Normal"/>
    <w:link w:val="HeaderChar"/>
    <w:rsid w:val="007003B1"/>
    <w:pPr>
      <w:tabs>
        <w:tab w:val="center" w:pos="4680"/>
        <w:tab w:val="right" w:pos="9360"/>
      </w:tabs>
      <w:spacing w:line="240" w:lineRule="auto"/>
    </w:pPr>
  </w:style>
  <w:style w:type="character" w:customStyle="1" w:styleId="HeaderChar">
    <w:name w:val="Header Char"/>
    <w:basedOn w:val="DefaultParagraphFont"/>
    <w:link w:val="Header"/>
    <w:rsid w:val="007003B1"/>
    <w:rPr>
      <w:sz w:val="26"/>
      <w:szCs w:val="24"/>
    </w:rPr>
  </w:style>
  <w:style w:type="character" w:customStyle="1" w:styleId="FooterChar">
    <w:name w:val="Footer Char"/>
    <w:basedOn w:val="DefaultParagraphFont"/>
    <w:link w:val="Footer"/>
    <w:uiPriority w:val="99"/>
    <w:rsid w:val="007003B1"/>
    <w:rPr>
      <w:sz w:val="26"/>
      <w:szCs w:val="24"/>
    </w:rPr>
  </w:style>
  <w:style w:type="character" w:customStyle="1" w:styleId="Heading2Char">
    <w:name w:val="Heading 2 Char"/>
    <w:basedOn w:val="DefaultParagraphFont"/>
    <w:link w:val="Heading2"/>
    <w:semiHidden/>
    <w:rsid w:val="00CF330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CF3308"/>
    <w:rPr>
      <w:rFonts w:asciiTheme="majorHAnsi" w:eastAsiaTheme="majorEastAsia" w:hAnsiTheme="majorHAnsi" w:cstheme="majorBidi"/>
      <w:b/>
      <w:bCs/>
      <w:i/>
      <w:iCs/>
      <w:color w:val="4F81BD" w:themeColor="accent1"/>
      <w:sz w:val="26"/>
      <w:szCs w:val="24"/>
    </w:rPr>
  </w:style>
  <w:style w:type="paragraph" w:styleId="ListParagraph">
    <w:name w:val="List Paragraph"/>
    <w:basedOn w:val="Normal"/>
    <w:uiPriority w:val="34"/>
    <w:qFormat/>
    <w:rsid w:val="00107474"/>
    <w:pPr>
      <w:ind w:left="720"/>
      <w:contextualSpacing/>
    </w:pPr>
  </w:style>
  <w:style w:type="character" w:customStyle="1" w:styleId="term1">
    <w:name w:val="term1"/>
    <w:basedOn w:val="DefaultParagraphFont"/>
    <w:rsid w:val="000A19D2"/>
    <w:rPr>
      <w:b/>
      <w:bCs/>
    </w:rPr>
  </w:style>
  <w:style w:type="paragraph" w:styleId="BodyText">
    <w:name w:val="Body Text"/>
    <w:basedOn w:val="Normal"/>
    <w:link w:val="BodyTextChar"/>
    <w:rsid w:val="00A37961"/>
    <w:pPr>
      <w:spacing w:after="120"/>
    </w:pPr>
  </w:style>
  <w:style w:type="character" w:customStyle="1" w:styleId="BodyTextChar">
    <w:name w:val="Body Text Char"/>
    <w:basedOn w:val="DefaultParagraphFont"/>
    <w:link w:val="BodyText"/>
    <w:rsid w:val="00A37961"/>
    <w:rPr>
      <w:sz w:val="26"/>
      <w:szCs w:val="24"/>
    </w:rPr>
  </w:style>
  <w:style w:type="paragraph" w:styleId="BodyTextIndent2">
    <w:name w:val="Body Text Indent 2"/>
    <w:basedOn w:val="Normal"/>
    <w:link w:val="BodyTextIndent2Char"/>
    <w:unhideWhenUsed/>
    <w:rsid w:val="00357AEE"/>
    <w:pPr>
      <w:spacing w:after="120" w:line="480" w:lineRule="auto"/>
      <w:ind w:left="360" w:firstLine="0"/>
    </w:pPr>
    <w:rPr>
      <w:szCs w:val="20"/>
    </w:rPr>
  </w:style>
  <w:style w:type="character" w:customStyle="1" w:styleId="BodyTextIndent2Char">
    <w:name w:val="Body Text Indent 2 Char"/>
    <w:basedOn w:val="DefaultParagraphFont"/>
    <w:link w:val="BodyTextIndent2"/>
    <w:rsid w:val="00357AEE"/>
    <w:rPr>
      <w:sz w:val="26"/>
    </w:rPr>
  </w:style>
</w:styles>
</file>

<file path=word/webSettings.xml><?xml version="1.0" encoding="utf-8"?>
<w:webSettings xmlns:r="http://schemas.openxmlformats.org/officeDocument/2006/relationships" xmlns:w="http://schemas.openxmlformats.org/wordprocessingml/2006/main">
  <w:divs>
    <w:div w:id="351302355">
      <w:bodyDiv w:val="1"/>
      <w:marLeft w:val="0"/>
      <w:marRight w:val="0"/>
      <w:marTop w:val="0"/>
      <w:marBottom w:val="0"/>
      <w:divBdr>
        <w:top w:val="none" w:sz="0" w:space="0" w:color="auto"/>
        <w:left w:val="none" w:sz="0" w:space="0" w:color="auto"/>
        <w:bottom w:val="none" w:sz="0" w:space="0" w:color="auto"/>
        <w:right w:val="none" w:sz="0" w:space="0" w:color="auto"/>
      </w:divBdr>
    </w:div>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DA7F-887E-4F83-A7A4-8510494F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3910</Words>
  <Characters>22292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5</cp:revision>
  <cp:lastPrinted>2010-08-23T12:02:00Z</cp:lastPrinted>
  <dcterms:created xsi:type="dcterms:W3CDTF">2010-08-03T21:46:00Z</dcterms:created>
  <dcterms:modified xsi:type="dcterms:W3CDTF">2010-08-23T12:02:00Z</dcterms:modified>
</cp:coreProperties>
</file>