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DA9" w:rsidRDefault="002D1DA9">
      <w:pPr>
        <w:pStyle w:val="Subtitle"/>
        <w:rPr>
          <w:szCs w:val="26"/>
        </w:rPr>
      </w:pPr>
      <w:r>
        <w:rPr>
          <w:szCs w:val="26"/>
        </w:rPr>
        <w:t>PENNSYLVANIA</w:t>
      </w:r>
    </w:p>
    <w:p w:rsidR="002D1DA9" w:rsidRDefault="002D1DA9">
      <w:pPr>
        <w:pStyle w:val="Subtitle"/>
        <w:rPr>
          <w:szCs w:val="26"/>
        </w:rPr>
      </w:pPr>
      <w:r w:rsidRPr="00E55041">
        <w:rPr>
          <w:szCs w:val="26"/>
        </w:rPr>
        <w:t>PUBLIC UTILITY COMMISSION</w:t>
      </w:r>
    </w:p>
    <w:p w:rsidR="002D1DA9" w:rsidRDefault="002D1DA9">
      <w:pPr>
        <w:pStyle w:val="Subtitle"/>
        <w:rPr>
          <w:szCs w:val="26"/>
        </w:rPr>
      </w:pPr>
      <w:r>
        <w:rPr>
          <w:szCs w:val="26"/>
        </w:rPr>
        <w:t>Harrisburg, PA 17105-3265</w:t>
      </w:r>
    </w:p>
    <w:p w:rsidR="002D1DA9" w:rsidRDefault="002D1DA9" w:rsidP="00EA28E5">
      <w:pPr>
        <w:pStyle w:val="Subtitle"/>
        <w:jc w:val="left"/>
        <w:rPr>
          <w:b w:val="0"/>
          <w:szCs w:val="26"/>
        </w:rPr>
      </w:pPr>
    </w:p>
    <w:p w:rsidR="002D1DA9" w:rsidRPr="00BB7159" w:rsidRDefault="002D1DA9" w:rsidP="00BB7159">
      <w:pPr>
        <w:pStyle w:val="Subtitle"/>
        <w:jc w:val="right"/>
        <w:rPr>
          <w:b w:val="0"/>
          <w:szCs w:val="26"/>
        </w:rPr>
      </w:pPr>
      <w:r>
        <w:rPr>
          <w:b w:val="0"/>
          <w:szCs w:val="26"/>
        </w:rPr>
        <w:t xml:space="preserve">Public Meeting Held </w:t>
      </w:r>
      <w:r w:rsidR="00FA279E">
        <w:rPr>
          <w:b w:val="0"/>
          <w:szCs w:val="26"/>
        </w:rPr>
        <w:t>August 18</w:t>
      </w:r>
      <w:r>
        <w:rPr>
          <w:b w:val="0"/>
          <w:szCs w:val="26"/>
        </w:rPr>
        <w:t>, 2010</w:t>
      </w:r>
    </w:p>
    <w:p w:rsidR="002D1DA9" w:rsidRDefault="002D1DA9" w:rsidP="00CE0E7E">
      <w:pPr>
        <w:pStyle w:val="Subtitle"/>
        <w:jc w:val="left"/>
        <w:rPr>
          <w:b w:val="0"/>
          <w:szCs w:val="26"/>
        </w:rPr>
      </w:pPr>
      <w:r>
        <w:rPr>
          <w:b w:val="0"/>
          <w:szCs w:val="26"/>
        </w:rPr>
        <w:t>Commissioners Present:</w:t>
      </w:r>
    </w:p>
    <w:p w:rsidR="002D1DA9" w:rsidRDefault="002D1DA9" w:rsidP="00CE0E7E">
      <w:pPr>
        <w:pStyle w:val="Subtitle"/>
        <w:jc w:val="left"/>
        <w:rPr>
          <w:b w:val="0"/>
          <w:szCs w:val="26"/>
        </w:rPr>
      </w:pPr>
    </w:p>
    <w:p w:rsidR="002D1DA9" w:rsidRDefault="002D1DA9" w:rsidP="00CE0E7E">
      <w:pPr>
        <w:pStyle w:val="Subtitle"/>
        <w:jc w:val="left"/>
        <w:rPr>
          <w:b w:val="0"/>
          <w:szCs w:val="26"/>
        </w:rPr>
      </w:pPr>
      <w:r>
        <w:rPr>
          <w:b w:val="0"/>
          <w:szCs w:val="26"/>
        </w:rPr>
        <w:t>James H. Cawley, Chairman</w:t>
      </w:r>
    </w:p>
    <w:p w:rsidR="002D1DA9" w:rsidRDefault="002D1DA9" w:rsidP="00CE0E7E">
      <w:pPr>
        <w:pStyle w:val="Subtitle"/>
        <w:jc w:val="left"/>
        <w:rPr>
          <w:b w:val="0"/>
          <w:szCs w:val="26"/>
        </w:rPr>
      </w:pPr>
      <w:r>
        <w:rPr>
          <w:b w:val="0"/>
          <w:szCs w:val="26"/>
        </w:rPr>
        <w:t>Tyrone J. Christy, Vice Chairman</w:t>
      </w:r>
      <w:r w:rsidR="002969C6">
        <w:rPr>
          <w:b w:val="0"/>
          <w:szCs w:val="26"/>
        </w:rPr>
        <w:t>, Abstaining</w:t>
      </w:r>
    </w:p>
    <w:p w:rsidR="00E248EB" w:rsidRDefault="00E248EB" w:rsidP="00CE0E7E">
      <w:pPr>
        <w:pStyle w:val="Subtitle"/>
        <w:jc w:val="left"/>
        <w:rPr>
          <w:b w:val="0"/>
          <w:szCs w:val="26"/>
        </w:rPr>
      </w:pPr>
      <w:r>
        <w:rPr>
          <w:b w:val="0"/>
          <w:szCs w:val="26"/>
        </w:rPr>
        <w:t>John F. Coleman, Jr.</w:t>
      </w:r>
    </w:p>
    <w:p w:rsidR="002D1DA9" w:rsidRDefault="002D1DA9" w:rsidP="00CE0E7E">
      <w:pPr>
        <w:pStyle w:val="Subtitle"/>
        <w:jc w:val="left"/>
        <w:rPr>
          <w:b w:val="0"/>
          <w:szCs w:val="26"/>
        </w:rPr>
      </w:pPr>
      <w:r>
        <w:rPr>
          <w:b w:val="0"/>
          <w:szCs w:val="26"/>
        </w:rPr>
        <w:t>Wayne E. Gardner</w:t>
      </w:r>
    </w:p>
    <w:p w:rsidR="002D1DA9" w:rsidRPr="00CE0E7E" w:rsidRDefault="002D1DA9" w:rsidP="00CE0E7E">
      <w:pPr>
        <w:pStyle w:val="Subtitle"/>
        <w:jc w:val="left"/>
        <w:rPr>
          <w:b w:val="0"/>
          <w:szCs w:val="26"/>
        </w:rPr>
      </w:pPr>
      <w:r>
        <w:rPr>
          <w:b w:val="0"/>
          <w:szCs w:val="26"/>
        </w:rPr>
        <w:t>Robert F. Powelson</w:t>
      </w:r>
    </w:p>
    <w:p w:rsidR="002D1DA9" w:rsidRPr="00E55041" w:rsidRDefault="002D1DA9">
      <w:pPr>
        <w:tabs>
          <w:tab w:val="left" w:pos="720"/>
        </w:tabs>
        <w:rPr>
          <w:kern w:val="26"/>
          <w:szCs w:val="26"/>
        </w:rPr>
      </w:pPr>
    </w:p>
    <w:p w:rsidR="002D1DA9" w:rsidRPr="00E55041" w:rsidRDefault="002D1DA9">
      <w:pPr>
        <w:tabs>
          <w:tab w:val="left" w:pos="720"/>
        </w:tabs>
        <w:rPr>
          <w:kern w:val="26"/>
          <w:szCs w:val="26"/>
        </w:rPr>
      </w:pPr>
    </w:p>
    <w:p w:rsidR="002D1DA9" w:rsidRPr="00E55041" w:rsidRDefault="002D1DA9">
      <w:pPr>
        <w:tabs>
          <w:tab w:val="left" w:pos="720"/>
        </w:tabs>
        <w:rPr>
          <w:kern w:val="26"/>
          <w:szCs w:val="26"/>
        </w:rPr>
      </w:pPr>
    </w:p>
    <w:p w:rsidR="002D1DA9" w:rsidRPr="00E55041" w:rsidRDefault="002D1DA9">
      <w:pPr>
        <w:rPr>
          <w:szCs w:val="26"/>
        </w:rPr>
      </w:pPr>
      <w:r w:rsidRPr="00E55041">
        <w:rPr>
          <w:szCs w:val="26"/>
        </w:rPr>
        <w:t>Petitio</w:t>
      </w:r>
      <w:r>
        <w:rPr>
          <w:szCs w:val="26"/>
        </w:rPr>
        <w:t>n of PECO Energy Company for</w:t>
      </w:r>
      <w:r>
        <w:rPr>
          <w:szCs w:val="26"/>
        </w:rPr>
        <w:tab/>
      </w:r>
      <w:r>
        <w:rPr>
          <w:szCs w:val="26"/>
        </w:rPr>
        <w:tab/>
      </w:r>
      <w:r>
        <w:rPr>
          <w:szCs w:val="26"/>
        </w:rPr>
        <w:tab/>
      </w:r>
      <w:r>
        <w:rPr>
          <w:szCs w:val="26"/>
        </w:rPr>
        <w:tab/>
      </w:r>
      <w:r>
        <w:rPr>
          <w:szCs w:val="26"/>
        </w:rPr>
        <w:tab/>
        <w:t xml:space="preserve">      P-2009-2143607</w:t>
      </w:r>
    </w:p>
    <w:p w:rsidR="002D1DA9" w:rsidRPr="00E55041" w:rsidRDefault="002D1DA9">
      <w:pPr>
        <w:rPr>
          <w:szCs w:val="26"/>
        </w:rPr>
      </w:pPr>
      <w:r w:rsidRPr="00E55041">
        <w:rPr>
          <w:szCs w:val="26"/>
        </w:rPr>
        <w:t xml:space="preserve">Approval of </w:t>
      </w:r>
      <w:r>
        <w:rPr>
          <w:szCs w:val="26"/>
        </w:rPr>
        <w:t>its Revised Electric Purchase</w:t>
      </w:r>
    </w:p>
    <w:p w:rsidR="003224D7" w:rsidRDefault="002D1DA9">
      <w:pPr>
        <w:rPr>
          <w:b/>
          <w:szCs w:val="24"/>
        </w:rPr>
      </w:pPr>
      <w:r w:rsidRPr="00E55041">
        <w:rPr>
          <w:szCs w:val="26"/>
        </w:rPr>
        <w:t>o</w:t>
      </w:r>
      <w:r>
        <w:rPr>
          <w:szCs w:val="26"/>
        </w:rPr>
        <w:t>f Receivables Program</w:t>
      </w:r>
      <w:r w:rsidR="003224D7">
        <w:rPr>
          <w:szCs w:val="26"/>
        </w:rPr>
        <w:t xml:space="preserve">  </w:t>
      </w:r>
      <w:r w:rsidR="00F10ADC">
        <w:rPr>
          <w:b/>
          <w:szCs w:val="26"/>
        </w:rPr>
        <w:t>(</w:t>
      </w:r>
      <w:r w:rsidR="003224D7" w:rsidRPr="001269DE">
        <w:rPr>
          <w:b/>
          <w:szCs w:val="24"/>
        </w:rPr>
        <w:t>O</w:t>
      </w:r>
      <w:r w:rsidR="003224D7">
        <w:rPr>
          <w:b/>
          <w:szCs w:val="24"/>
        </w:rPr>
        <w:t xml:space="preserve">ffice of Small </w:t>
      </w:r>
    </w:p>
    <w:p w:rsidR="003224D7" w:rsidRDefault="003224D7">
      <w:pPr>
        <w:rPr>
          <w:b/>
          <w:szCs w:val="24"/>
        </w:rPr>
      </w:pPr>
      <w:r>
        <w:rPr>
          <w:b/>
          <w:szCs w:val="24"/>
        </w:rPr>
        <w:t xml:space="preserve">Business Advocate </w:t>
      </w:r>
      <w:r w:rsidRPr="001269DE">
        <w:rPr>
          <w:b/>
          <w:szCs w:val="24"/>
        </w:rPr>
        <w:t>Petition</w:t>
      </w:r>
      <w:r>
        <w:rPr>
          <w:b/>
          <w:szCs w:val="24"/>
        </w:rPr>
        <w:t xml:space="preserve"> </w:t>
      </w:r>
      <w:r w:rsidRPr="001269DE">
        <w:rPr>
          <w:b/>
          <w:szCs w:val="24"/>
        </w:rPr>
        <w:t>for Clarification</w:t>
      </w:r>
    </w:p>
    <w:p w:rsidR="003224D7" w:rsidRPr="00F10ADC" w:rsidRDefault="003224D7" w:rsidP="003224D7">
      <w:pPr>
        <w:rPr>
          <w:b/>
          <w:szCs w:val="26"/>
        </w:rPr>
      </w:pPr>
      <w:r w:rsidRPr="001269DE">
        <w:rPr>
          <w:b/>
          <w:szCs w:val="24"/>
        </w:rPr>
        <w:t xml:space="preserve">of </w:t>
      </w:r>
      <w:r w:rsidRPr="001269DE">
        <w:rPr>
          <w:b/>
          <w:kern w:val="1"/>
        </w:rPr>
        <w:t xml:space="preserve">06/18/10 Commission </w:t>
      </w:r>
      <w:r>
        <w:rPr>
          <w:b/>
          <w:kern w:val="1"/>
        </w:rPr>
        <w:t xml:space="preserve">Opinion and </w:t>
      </w:r>
      <w:r w:rsidRPr="001269DE">
        <w:rPr>
          <w:b/>
          <w:kern w:val="1"/>
        </w:rPr>
        <w:t>Order</w:t>
      </w:r>
      <w:r>
        <w:rPr>
          <w:b/>
          <w:kern w:val="1"/>
        </w:rPr>
        <w:t>)</w:t>
      </w:r>
    </w:p>
    <w:p w:rsidR="00F10ADC" w:rsidRPr="00F10ADC" w:rsidRDefault="00F10ADC">
      <w:pPr>
        <w:rPr>
          <w:b/>
          <w:szCs w:val="26"/>
        </w:rPr>
      </w:pPr>
    </w:p>
    <w:p w:rsidR="002D1DA9" w:rsidRDefault="002D1DA9">
      <w:pPr>
        <w:rPr>
          <w:szCs w:val="26"/>
        </w:rPr>
      </w:pPr>
    </w:p>
    <w:p w:rsidR="002D1DA9" w:rsidRDefault="002D1DA9">
      <w:pPr>
        <w:rPr>
          <w:szCs w:val="26"/>
        </w:rPr>
      </w:pPr>
    </w:p>
    <w:p w:rsidR="002D1DA9" w:rsidRPr="00FE3E93" w:rsidRDefault="002D1DA9" w:rsidP="00FE3E93">
      <w:pPr>
        <w:jc w:val="center"/>
        <w:rPr>
          <w:b/>
          <w:szCs w:val="26"/>
        </w:rPr>
      </w:pPr>
      <w:r>
        <w:rPr>
          <w:b/>
          <w:szCs w:val="26"/>
        </w:rPr>
        <w:t>OPINION AND ORDER</w:t>
      </w:r>
    </w:p>
    <w:p w:rsidR="002D1DA9" w:rsidRDefault="002D1DA9">
      <w:pPr>
        <w:rPr>
          <w:szCs w:val="26"/>
        </w:rPr>
      </w:pPr>
    </w:p>
    <w:p w:rsidR="002D1DA9" w:rsidRDefault="002D1DA9">
      <w:pPr>
        <w:rPr>
          <w:szCs w:val="26"/>
        </w:rPr>
      </w:pPr>
    </w:p>
    <w:p w:rsidR="002D1DA9" w:rsidRDefault="002D1DA9" w:rsidP="00FE3E93">
      <w:pPr>
        <w:spacing w:line="360" w:lineRule="auto"/>
        <w:rPr>
          <w:szCs w:val="26"/>
        </w:rPr>
      </w:pPr>
      <w:r>
        <w:rPr>
          <w:b/>
          <w:szCs w:val="26"/>
        </w:rPr>
        <w:t>BY THE COMMISSION:</w:t>
      </w:r>
    </w:p>
    <w:p w:rsidR="002D1DA9" w:rsidRDefault="002D1DA9" w:rsidP="00FE3E93">
      <w:pPr>
        <w:spacing w:line="360" w:lineRule="auto"/>
        <w:rPr>
          <w:szCs w:val="26"/>
        </w:rPr>
      </w:pPr>
    </w:p>
    <w:p w:rsidR="002D1DA9" w:rsidRPr="00CD7CA6" w:rsidRDefault="002D1DA9" w:rsidP="00FE3E93">
      <w:pPr>
        <w:spacing w:line="360" w:lineRule="auto"/>
        <w:ind w:firstLine="1440"/>
        <w:rPr>
          <w:szCs w:val="26"/>
        </w:rPr>
      </w:pPr>
      <w:r>
        <w:rPr>
          <w:szCs w:val="26"/>
        </w:rPr>
        <w:t>Before the Pennsylvania Public Utility Commission (Commission) for consi</w:t>
      </w:r>
      <w:r w:rsidR="00805125">
        <w:rPr>
          <w:szCs w:val="26"/>
        </w:rPr>
        <w:t xml:space="preserve">deration and disposition is the Office of Small Business Advocate’s (OSBA) Petition for </w:t>
      </w:r>
      <w:r w:rsidR="00454E73">
        <w:rPr>
          <w:szCs w:val="26"/>
        </w:rPr>
        <w:t>Clarification</w:t>
      </w:r>
      <w:r w:rsidR="008C7810">
        <w:rPr>
          <w:szCs w:val="26"/>
        </w:rPr>
        <w:t>, filed on July 2, 2010,</w:t>
      </w:r>
      <w:r w:rsidR="00454E73">
        <w:rPr>
          <w:szCs w:val="26"/>
        </w:rPr>
        <w:t xml:space="preserve"> </w:t>
      </w:r>
      <w:r w:rsidR="008C7810">
        <w:rPr>
          <w:szCs w:val="26"/>
        </w:rPr>
        <w:t>of</w:t>
      </w:r>
      <w:r w:rsidR="00805125">
        <w:rPr>
          <w:szCs w:val="26"/>
        </w:rPr>
        <w:t xml:space="preserve"> the Commission’s </w:t>
      </w:r>
      <w:r w:rsidR="008C7810">
        <w:rPr>
          <w:szCs w:val="26"/>
        </w:rPr>
        <w:t xml:space="preserve">Opinion and </w:t>
      </w:r>
      <w:r w:rsidR="00805125">
        <w:rPr>
          <w:szCs w:val="26"/>
        </w:rPr>
        <w:t>Order entered June 18, 2010, at the above captioned docket.</w:t>
      </w:r>
      <w:r w:rsidR="00D51694">
        <w:rPr>
          <w:szCs w:val="26"/>
        </w:rPr>
        <w:t xml:space="preserve">  </w:t>
      </w:r>
      <w:r w:rsidR="00D51694">
        <w:rPr>
          <w:kern w:val="1"/>
        </w:rPr>
        <w:t xml:space="preserve">Answers to the Petition were filed on July 12, 2010, by PECO Energy Company </w:t>
      </w:r>
      <w:r w:rsidR="006A06C2">
        <w:rPr>
          <w:kern w:val="1"/>
        </w:rPr>
        <w:t xml:space="preserve">(PECO) </w:t>
      </w:r>
      <w:r w:rsidR="00D51694">
        <w:rPr>
          <w:kern w:val="1"/>
        </w:rPr>
        <w:t>and Dominion Retail Inc.</w:t>
      </w:r>
      <w:r w:rsidR="00556334">
        <w:rPr>
          <w:kern w:val="1"/>
        </w:rPr>
        <w:t xml:space="preserve"> (Dominion Retail).</w:t>
      </w:r>
    </w:p>
    <w:p w:rsidR="002D1DA9" w:rsidRDefault="002D1DA9">
      <w:pPr>
        <w:rPr>
          <w:szCs w:val="26"/>
        </w:rPr>
      </w:pPr>
      <w:r>
        <w:rPr>
          <w:szCs w:val="26"/>
        </w:rPr>
        <w:br w:type="page"/>
      </w:r>
    </w:p>
    <w:p w:rsidR="002D1DA9" w:rsidRPr="006A6F69" w:rsidRDefault="002D1DA9" w:rsidP="00E828BC">
      <w:pPr>
        <w:pStyle w:val="Heading1"/>
        <w:keepNext w:val="0"/>
        <w:widowControl w:val="0"/>
        <w:rPr>
          <w:b/>
          <w:szCs w:val="26"/>
          <w:u w:val="none"/>
        </w:rPr>
      </w:pPr>
      <w:r w:rsidRPr="006A6F69">
        <w:rPr>
          <w:b/>
          <w:szCs w:val="26"/>
          <w:u w:val="none"/>
        </w:rPr>
        <w:lastRenderedPageBreak/>
        <w:t>I.</w:t>
      </w:r>
      <w:r w:rsidR="00931A5B" w:rsidRPr="006A6F69">
        <w:rPr>
          <w:b/>
          <w:szCs w:val="26"/>
          <w:u w:val="none"/>
        </w:rPr>
        <w:t xml:space="preserve">  </w:t>
      </w:r>
      <w:r w:rsidRPr="006A6F69">
        <w:rPr>
          <w:b/>
          <w:szCs w:val="26"/>
          <w:u w:val="none"/>
        </w:rPr>
        <w:t>H</w:t>
      </w:r>
      <w:r w:rsidR="00931A5B" w:rsidRPr="006A6F69">
        <w:rPr>
          <w:b/>
          <w:szCs w:val="26"/>
          <w:u w:val="none"/>
        </w:rPr>
        <w:t>ISTORY OF THE PROCEEDING</w:t>
      </w:r>
    </w:p>
    <w:p w:rsidR="002D1DA9" w:rsidRPr="00E55041" w:rsidRDefault="002D1DA9">
      <w:pPr>
        <w:spacing w:line="360" w:lineRule="auto"/>
        <w:rPr>
          <w:szCs w:val="26"/>
        </w:rPr>
      </w:pPr>
    </w:p>
    <w:p w:rsidR="002D1DA9" w:rsidRPr="0067596C" w:rsidRDefault="002D1DA9" w:rsidP="0067596C">
      <w:pPr>
        <w:pStyle w:val="OutlineL3"/>
        <w:numPr>
          <w:ilvl w:val="0"/>
          <w:numId w:val="0"/>
        </w:numPr>
        <w:spacing w:line="360" w:lineRule="auto"/>
        <w:ind w:firstLine="1440"/>
        <w:rPr>
          <w:sz w:val="26"/>
          <w:szCs w:val="26"/>
        </w:rPr>
      </w:pPr>
      <w:bookmarkStart w:id="0" w:name="_Toc259699898"/>
      <w:bookmarkStart w:id="1" w:name="_Toc259706158"/>
      <w:r w:rsidRPr="00E55041">
        <w:rPr>
          <w:sz w:val="26"/>
          <w:szCs w:val="26"/>
        </w:rPr>
        <w:t xml:space="preserve">On November 20, 2009, PECO </w:t>
      </w:r>
      <w:r>
        <w:rPr>
          <w:sz w:val="26"/>
          <w:szCs w:val="26"/>
        </w:rPr>
        <w:t>filed</w:t>
      </w:r>
      <w:r w:rsidRPr="00E55041">
        <w:rPr>
          <w:sz w:val="26"/>
          <w:szCs w:val="26"/>
        </w:rPr>
        <w:t xml:space="preserve"> its Revised Electric Purchase of Receivables Pr</w:t>
      </w:r>
      <w:r>
        <w:rPr>
          <w:sz w:val="26"/>
          <w:szCs w:val="26"/>
        </w:rPr>
        <w:t>ogram (Revised POR Program</w:t>
      </w:r>
      <w:r w:rsidRPr="00E55041">
        <w:rPr>
          <w:sz w:val="26"/>
          <w:szCs w:val="26"/>
        </w:rPr>
        <w:t xml:space="preserve">).  </w:t>
      </w:r>
      <w:bookmarkStart w:id="2" w:name="_Toc259699899"/>
      <w:bookmarkStart w:id="3" w:name="_Toc259706159"/>
      <w:bookmarkEnd w:id="0"/>
      <w:bookmarkEnd w:id="1"/>
      <w:r w:rsidRPr="00E55041">
        <w:rPr>
          <w:sz w:val="26"/>
          <w:szCs w:val="26"/>
        </w:rPr>
        <w:t>The matter was assigned to</w:t>
      </w:r>
      <w:r>
        <w:rPr>
          <w:sz w:val="26"/>
          <w:szCs w:val="26"/>
        </w:rPr>
        <w:t xml:space="preserve"> the Office of</w:t>
      </w:r>
      <w:r w:rsidRPr="00E55041">
        <w:rPr>
          <w:sz w:val="26"/>
          <w:szCs w:val="26"/>
        </w:rPr>
        <w:t xml:space="preserve"> Administrative Law Judge</w:t>
      </w:r>
      <w:r>
        <w:rPr>
          <w:sz w:val="26"/>
          <w:szCs w:val="26"/>
        </w:rPr>
        <w:t xml:space="preserve"> (OALJ)</w:t>
      </w:r>
      <w:r w:rsidRPr="00E55041">
        <w:rPr>
          <w:sz w:val="26"/>
          <w:szCs w:val="26"/>
        </w:rPr>
        <w:t xml:space="preserve"> </w:t>
      </w:r>
      <w:r>
        <w:rPr>
          <w:sz w:val="26"/>
          <w:szCs w:val="26"/>
        </w:rPr>
        <w:t>for hearing and Recommendation</w:t>
      </w:r>
      <w:r w:rsidRPr="00E55041">
        <w:rPr>
          <w:sz w:val="26"/>
          <w:szCs w:val="26"/>
        </w:rPr>
        <w:t>.</w:t>
      </w:r>
      <w:bookmarkEnd w:id="2"/>
      <w:bookmarkEnd w:id="3"/>
      <w:r w:rsidR="0067596C">
        <w:rPr>
          <w:sz w:val="26"/>
          <w:szCs w:val="26"/>
        </w:rPr>
        <w:t xml:space="preserve">  </w:t>
      </w:r>
      <w:r w:rsidRPr="00E55041">
        <w:rPr>
          <w:szCs w:val="26"/>
        </w:rPr>
        <w:t>The OSBA</w:t>
      </w:r>
      <w:r>
        <w:rPr>
          <w:szCs w:val="26"/>
        </w:rPr>
        <w:t xml:space="preserve"> and the</w:t>
      </w:r>
      <w:r w:rsidR="006A06C2">
        <w:rPr>
          <w:szCs w:val="26"/>
        </w:rPr>
        <w:t xml:space="preserve"> Office of Consumer Advocate (</w:t>
      </w:r>
      <w:r>
        <w:rPr>
          <w:szCs w:val="26"/>
        </w:rPr>
        <w:t>OCA</w:t>
      </w:r>
      <w:r w:rsidR="006A06C2">
        <w:rPr>
          <w:szCs w:val="26"/>
        </w:rPr>
        <w:t>)</w:t>
      </w:r>
      <w:r w:rsidRPr="00E55041">
        <w:rPr>
          <w:szCs w:val="26"/>
        </w:rPr>
        <w:t xml:space="preserve">, through </w:t>
      </w:r>
      <w:r>
        <w:rPr>
          <w:szCs w:val="26"/>
        </w:rPr>
        <w:t>their respective</w:t>
      </w:r>
      <w:r w:rsidRPr="00E55041">
        <w:rPr>
          <w:szCs w:val="26"/>
        </w:rPr>
        <w:t xml:space="preserve"> counsel, </w:t>
      </w:r>
      <w:r>
        <w:rPr>
          <w:szCs w:val="26"/>
        </w:rPr>
        <w:t xml:space="preserve">separately </w:t>
      </w:r>
      <w:r w:rsidRPr="00E55041">
        <w:rPr>
          <w:szCs w:val="26"/>
        </w:rPr>
        <w:t xml:space="preserve">filed a Notice of Intervention, Public Statement and an Answer on December 4, 2009.  </w:t>
      </w:r>
    </w:p>
    <w:p w:rsidR="002D1DA9" w:rsidRPr="00E55041" w:rsidRDefault="002D1DA9">
      <w:pPr>
        <w:spacing w:line="360" w:lineRule="auto"/>
        <w:rPr>
          <w:szCs w:val="26"/>
        </w:rPr>
      </w:pPr>
    </w:p>
    <w:p w:rsidR="002D1DA9" w:rsidRPr="00E55041" w:rsidRDefault="002D1DA9" w:rsidP="009552EF">
      <w:pPr>
        <w:spacing w:line="360" w:lineRule="auto"/>
        <w:ind w:firstLine="1440"/>
        <w:rPr>
          <w:szCs w:val="26"/>
        </w:rPr>
      </w:pPr>
      <w:r w:rsidRPr="00E55041">
        <w:rPr>
          <w:szCs w:val="26"/>
        </w:rPr>
        <w:t xml:space="preserve">On December 10, 2009, the </w:t>
      </w:r>
      <w:r w:rsidR="006A06C2">
        <w:rPr>
          <w:szCs w:val="26"/>
        </w:rPr>
        <w:t>Office of Trial Staff (</w:t>
      </w:r>
      <w:r>
        <w:rPr>
          <w:szCs w:val="26"/>
        </w:rPr>
        <w:t>OTS</w:t>
      </w:r>
      <w:r w:rsidR="006A06C2">
        <w:rPr>
          <w:szCs w:val="26"/>
        </w:rPr>
        <w:t>)</w:t>
      </w:r>
      <w:r w:rsidRPr="00E55041">
        <w:rPr>
          <w:szCs w:val="26"/>
        </w:rPr>
        <w:t>, through its counsel, filed an Answer to the Petition.</w:t>
      </w:r>
      <w:r>
        <w:rPr>
          <w:szCs w:val="26"/>
        </w:rPr>
        <w:t xml:space="preserve">  </w:t>
      </w:r>
      <w:r w:rsidRPr="00E55041">
        <w:rPr>
          <w:szCs w:val="26"/>
        </w:rPr>
        <w:t xml:space="preserve">The Philadelphia Area </w:t>
      </w:r>
      <w:r>
        <w:rPr>
          <w:szCs w:val="26"/>
        </w:rPr>
        <w:t>Industrial Energy Users Group (PAIEUG</w:t>
      </w:r>
      <w:r w:rsidRPr="00E55041">
        <w:rPr>
          <w:szCs w:val="26"/>
        </w:rPr>
        <w:t>), through its counsel, filed a Petition to Intervene on December 14, 2009.</w:t>
      </w:r>
      <w:r>
        <w:rPr>
          <w:szCs w:val="26"/>
        </w:rPr>
        <w:t xml:space="preserve"> </w:t>
      </w:r>
      <w:r w:rsidRPr="00E55041">
        <w:rPr>
          <w:szCs w:val="26"/>
        </w:rPr>
        <w:t xml:space="preserve"> The </w:t>
      </w:r>
      <w:r w:rsidR="0016082D">
        <w:rPr>
          <w:szCs w:val="26"/>
        </w:rPr>
        <w:t>Retail Energy Supply Association (</w:t>
      </w:r>
      <w:r>
        <w:rPr>
          <w:szCs w:val="26"/>
        </w:rPr>
        <w:t>RESA</w:t>
      </w:r>
      <w:r w:rsidR="0016082D">
        <w:rPr>
          <w:szCs w:val="26"/>
        </w:rPr>
        <w:t>)</w:t>
      </w:r>
      <w:r w:rsidRPr="00E55041">
        <w:rPr>
          <w:szCs w:val="26"/>
        </w:rPr>
        <w:t xml:space="preserve">, through its counsel, filed a Petition to Intervene on December 14, 2009. </w:t>
      </w:r>
    </w:p>
    <w:p w:rsidR="002D1DA9" w:rsidRPr="00E55041" w:rsidRDefault="002D1DA9">
      <w:pPr>
        <w:spacing w:line="360" w:lineRule="auto"/>
        <w:rPr>
          <w:szCs w:val="26"/>
        </w:rPr>
      </w:pPr>
    </w:p>
    <w:p w:rsidR="002D1DA9" w:rsidRPr="00E55041" w:rsidRDefault="002D1DA9" w:rsidP="009552EF">
      <w:pPr>
        <w:spacing w:line="360" w:lineRule="auto"/>
        <w:ind w:firstLine="1440"/>
        <w:rPr>
          <w:szCs w:val="26"/>
        </w:rPr>
      </w:pPr>
      <w:r>
        <w:rPr>
          <w:szCs w:val="26"/>
        </w:rPr>
        <w:t>Direct Energy</w:t>
      </w:r>
      <w:r w:rsidRPr="00E55041">
        <w:rPr>
          <w:szCs w:val="26"/>
        </w:rPr>
        <w:t xml:space="preserve"> </w:t>
      </w:r>
      <w:r w:rsidR="00E0647C">
        <w:rPr>
          <w:szCs w:val="26"/>
        </w:rPr>
        <w:t xml:space="preserve">Services, LLC, (Direct Energy) </w:t>
      </w:r>
      <w:r w:rsidRPr="00E55041">
        <w:rPr>
          <w:szCs w:val="26"/>
        </w:rPr>
        <w:t xml:space="preserve">through its counsel, filed a Petition to </w:t>
      </w:r>
      <w:r>
        <w:rPr>
          <w:szCs w:val="26"/>
        </w:rPr>
        <w:t>Intervene on Decem</w:t>
      </w:r>
      <w:r w:rsidR="00364B89">
        <w:rPr>
          <w:szCs w:val="26"/>
        </w:rPr>
        <w:t xml:space="preserve">ber 14, 2009, and </w:t>
      </w:r>
      <w:r w:rsidR="00556334">
        <w:rPr>
          <w:szCs w:val="26"/>
        </w:rPr>
        <w:t xml:space="preserve">Constellation Energy </w:t>
      </w:r>
      <w:r w:rsidR="00750278">
        <w:rPr>
          <w:szCs w:val="26"/>
        </w:rPr>
        <w:t xml:space="preserve">Commodities Group, Inc. and Constellation New Energy </w:t>
      </w:r>
      <w:r w:rsidR="00556334">
        <w:rPr>
          <w:szCs w:val="26"/>
        </w:rPr>
        <w:t>(</w:t>
      </w:r>
      <w:r w:rsidR="00750278">
        <w:rPr>
          <w:szCs w:val="26"/>
        </w:rPr>
        <w:t xml:space="preserve">collectively </w:t>
      </w:r>
      <w:r w:rsidR="00364B89">
        <w:rPr>
          <w:szCs w:val="26"/>
        </w:rPr>
        <w:t>Constellation</w:t>
      </w:r>
      <w:r w:rsidR="00556334">
        <w:rPr>
          <w:szCs w:val="26"/>
        </w:rPr>
        <w:t>)</w:t>
      </w:r>
      <w:r w:rsidR="00364B89">
        <w:rPr>
          <w:szCs w:val="26"/>
        </w:rPr>
        <w:t xml:space="preserve"> through its counsel,</w:t>
      </w:r>
      <w:r w:rsidRPr="00E55041">
        <w:rPr>
          <w:szCs w:val="26"/>
        </w:rPr>
        <w:t xml:space="preserve"> filed a Petition to Intervene on December 16, 2009.</w:t>
      </w:r>
    </w:p>
    <w:p w:rsidR="002D1DA9" w:rsidRPr="00E55041" w:rsidRDefault="002D1DA9">
      <w:pPr>
        <w:spacing w:line="360" w:lineRule="auto"/>
        <w:rPr>
          <w:szCs w:val="26"/>
        </w:rPr>
      </w:pPr>
    </w:p>
    <w:p w:rsidR="002D1DA9" w:rsidRPr="00E55041" w:rsidRDefault="002D1DA9" w:rsidP="009552EF">
      <w:pPr>
        <w:spacing w:line="360" w:lineRule="auto"/>
        <w:ind w:firstLine="1440"/>
        <w:rPr>
          <w:szCs w:val="26"/>
        </w:rPr>
      </w:pPr>
      <w:bookmarkStart w:id="4" w:name="_Toc259699901"/>
      <w:bookmarkStart w:id="5" w:name="_Toc259706161"/>
      <w:r w:rsidRPr="00E55041">
        <w:rPr>
          <w:szCs w:val="26"/>
        </w:rPr>
        <w:t xml:space="preserve">On February 2, 2010, </w:t>
      </w:r>
      <w:r>
        <w:rPr>
          <w:szCs w:val="26"/>
        </w:rPr>
        <w:t xml:space="preserve">the </w:t>
      </w:r>
      <w:r w:rsidRPr="00E55041">
        <w:rPr>
          <w:szCs w:val="26"/>
        </w:rPr>
        <w:t xml:space="preserve">OTS, </w:t>
      </w:r>
      <w:r>
        <w:rPr>
          <w:szCs w:val="26"/>
        </w:rPr>
        <w:t xml:space="preserve">the </w:t>
      </w:r>
      <w:r w:rsidRPr="00E55041">
        <w:rPr>
          <w:szCs w:val="26"/>
        </w:rPr>
        <w:t xml:space="preserve">OCA, </w:t>
      </w:r>
      <w:r>
        <w:rPr>
          <w:szCs w:val="26"/>
        </w:rPr>
        <w:t xml:space="preserve">the </w:t>
      </w:r>
      <w:r w:rsidRPr="00E55041">
        <w:rPr>
          <w:szCs w:val="26"/>
        </w:rPr>
        <w:t xml:space="preserve">OSBA, RESA and Dominion </w:t>
      </w:r>
      <w:r>
        <w:rPr>
          <w:szCs w:val="26"/>
        </w:rPr>
        <w:t xml:space="preserve">Retail </w:t>
      </w:r>
      <w:r w:rsidRPr="00E55041">
        <w:rPr>
          <w:szCs w:val="26"/>
        </w:rPr>
        <w:t>su</w:t>
      </w:r>
      <w:r>
        <w:rPr>
          <w:szCs w:val="26"/>
        </w:rPr>
        <w:t>bmitted direct testimony and</w:t>
      </w:r>
      <w:r w:rsidRPr="00E55041">
        <w:rPr>
          <w:szCs w:val="26"/>
        </w:rPr>
        <w:t xml:space="preserve"> accompanying exhibits.  On February 5, 2010, </w:t>
      </w:r>
      <w:r>
        <w:rPr>
          <w:szCs w:val="26"/>
        </w:rPr>
        <w:t xml:space="preserve">the </w:t>
      </w:r>
      <w:r w:rsidRPr="00E55041">
        <w:rPr>
          <w:szCs w:val="26"/>
        </w:rPr>
        <w:t xml:space="preserve">OTS submitted supplemental direct testimony and the accompanying exhibit.  On February 22, 2010, PECO, </w:t>
      </w:r>
      <w:r>
        <w:rPr>
          <w:szCs w:val="26"/>
        </w:rPr>
        <w:t xml:space="preserve">the </w:t>
      </w:r>
      <w:r w:rsidRPr="00E55041">
        <w:rPr>
          <w:szCs w:val="26"/>
        </w:rPr>
        <w:t xml:space="preserve">OTS, </w:t>
      </w:r>
      <w:r>
        <w:rPr>
          <w:szCs w:val="26"/>
        </w:rPr>
        <w:t xml:space="preserve">the </w:t>
      </w:r>
      <w:r w:rsidRPr="00E55041">
        <w:rPr>
          <w:szCs w:val="26"/>
        </w:rPr>
        <w:t xml:space="preserve">OCA, RESA and Dominion </w:t>
      </w:r>
      <w:r>
        <w:rPr>
          <w:szCs w:val="26"/>
        </w:rPr>
        <w:t xml:space="preserve">Retail </w:t>
      </w:r>
      <w:r w:rsidRPr="00E55041">
        <w:rPr>
          <w:szCs w:val="26"/>
        </w:rPr>
        <w:t xml:space="preserve">submitted rebuttal testimony.  </w:t>
      </w:r>
      <w:r>
        <w:rPr>
          <w:szCs w:val="26"/>
        </w:rPr>
        <w:t>Dominion Retail</w:t>
      </w:r>
      <w:r w:rsidRPr="00E55041">
        <w:rPr>
          <w:szCs w:val="26"/>
        </w:rPr>
        <w:t xml:space="preserve"> and </w:t>
      </w:r>
      <w:r>
        <w:rPr>
          <w:szCs w:val="26"/>
        </w:rPr>
        <w:t xml:space="preserve">the </w:t>
      </w:r>
      <w:r w:rsidRPr="00E55041">
        <w:rPr>
          <w:szCs w:val="26"/>
        </w:rPr>
        <w:t xml:space="preserve">OTS submitted surrebuttal testimony and the accompanying exhibits on March 1, 2010.  PECO, </w:t>
      </w:r>
      <w:r>
        <w:rPr>
          <w:szCs w:val="26"/>
        </w:rPr>
        <w:t xml:space="preserve">the </w:t>
      </w:r>
      <w:r w:rsidRPr="00E55041">
        <w:rPr>
          <w:szCs w:val="26"/>
        </w:rPr>
        <w:t xml:space="preserve">OSBA and </w:t>
      </w:r>
      <w:r>
        <w:rPr>
          <w:szCs w:val="26"/>
        </w:rPr>
        <w:t xml:space="preserve">the </w:t>
      </w:r>
      <w:r w:rsidRPr="00E55041">
        <w:rPr>
          <w:szCs w:val="26"/>
        </w:rPr>
        <w:t>OCA submitted surrebuttal testimony and the accompanying exhibits on March 3, 2010.</w:t>
      </w:r>
      <w:bookmarkEnd w:id="4"/>
      <w:bookmarkEnd w:id="5"/>
    </w:p>
    <w:p w:rsidR="002D1DA9" w:rsidRPr="00E55041" w:rsidRDefault="002D1DA9">
      <w:pPr>
        <w:pStyle w:val="OutlineL3"/>
        <w:numPr>
          <w:ilvl w:val="0"/>
          <w:numId w:val="0"/>
        </w:numPr>
        <w:spacing w:after="0" w:line="360" w:lineRule="auto"/>
        <w:rPr>
          <w:sz w:val="26"/>
          <w:szCs w:val="26"/>
        </w:rPr>
      </w:pPr>
    </w:p>
    <w:p w:rsidR="002D1DA9" w:rsidRPr="00E55041" w:rsidRDefault="002D1DA9" w:rsidP="009552EF">
      <w:pPr>
        <w:pStyle w:val="OutlineL3"/>
        <w:numPr>
          <w:ilvl w:val="0"/>
          <w:numId w:val="0"/>
        </w:numPr>
        <w:spacing w:after="0" w:line="360" w:lineRule="auto"/>
        <w:ind w:firstLine="1440"/>
        <w:rPr>
          <w:sz w:val="26"/>
          <w:szCs w:val="26"/>
        </w:rPr>
      </w:pPr>
      <w:bookmarkStart w:id="6" w:name="_Toc259699902"/>
      <w:bookmarkStart w:id="7" w:name="_Toc259706162"/>
      <w:r w:rsidRPr="00E55041">
        <w:rPr>
          <w:sz w:val="26"/>
          <w:szCs w:val="26"/>
        </w:rPr>
        <w:t xml:space="preserve">Subsequent to the Prehearing Conference, the </w:t>
      </w:r>
      <w:r>
        <w:rPr>
          <w:sz w:val="26"/>
          <w:szCs w:val="26"/>
        </w:rPr>
        <w:t>P</w:t>
      </w:r>
      <w:r w:rsidRPr="00E55041">
        <w:rPr>
          <w:sz w:val="26"/>
          <w:szCs w:val="26"/>
        </w:rPr>
        <w:t xml:space="preserve">arties to the proceeding engaged in extensive discussions to try to achieve a settlement of some or all of the issues </w:t>
      </w:r>
      <w:r w:rsidRPr="00E55041">
        <w:rPr>
          <w:sz w:val="26"/>
          <w:szCs w:val="26"/>
        </w:rPr>
        <w:lastRenderedPageBreak/>
        <w:t xml:space="preserve">in this case.  Before the hearings scheduled for March 4 and 5, 2010, the </w:t>
      </w:r>
      <w:r>
        <w:rPr>
          <w:sz w:val="26"/>
          <w:szCs w:val="26"/>
        </w:rPr>
        <w:t>P</w:t>
      </w:r>
      <w:r w:rsidRPr="00E55041">
        <w:rPr>
          <w:sz w:val="26"/>
          <w:szCs w:val="26"/>
        </w:rPr>
        <w:t xml:space="preserve">arties advised the </w:t>
      </w:r>
      <w:r>
        <w:rPr>
          <w:sz w:val="26"/>
          <w:szCs w:val="26"/>
        </w:rPr>
        <w:t>ALJ</w:t>
      </w:r>
      <w:r w:rsidRPr="00E55041">
        <w:rPr>
          <w:sz w:val="26"/>
          <w:szCs w:val="26"/>
        </w:rPr>
        <w:t xml:space="preserve"> that: (1) the </w:t>
      </w:r>
      <w:r>
        <w:rPr>
          <w:sz w:val="26"/>
          <w:szCs w:val="26"/>
        </w:rPr>
        <w:t>P</w:t>
      </w:r>
      <w:r w:rsidRPr="00E55041">
        <w:rPr>
          <w:sz w:val="26"/>
          <w:szCs w:val="26"/>
        </w:rPr>
        <w:t xml:space="preserve">arties settled on all but two issues; (2) the </w:t>
      </w:r>
      <w:r>
        <w:rPr>
          <w:sz w:val="26"/>
          <w:szCs w:val="26"/>
        </w:rPr>
        <w:t>P</w:t>
      </w:r>
      <w:r w:rsidRPr="00E55041">
        <w:rPr>
          <w:sz w:val="26"/>
          <w:szCs w:val="26"/>
        </w:rPr>
        <w:t xml:space="preserve">arties would like to reserve the outstanding two issues for briefing; and (3) that cross-examination of the witnesses on the remaining issues had been waived.  At the request of the </w:t>
      </w:r>
      <w:r>
        <w:rPr>
          <w:sz w:val="26"/>
          <w:szCs w:val="26"/>
        </w:rPr>
        <w:t>P</w:t>
      </w:r>
      <w:r w:rsidRPr="00E55041">
        <w:rPr>
          <w:sz w:val="26"/>
          <w:szCs w:val="26"/>
        </w:rPr>
        <w:t xml:space="preserve">arties, the hearings were cancelled.  The </w:t>
      </w:r>
      <w:r>
        <w:rPr>
          <w:sz w:val="26"/>
          <w:szCs w:val="26"/>
        </w:rPr>
        <w:t>ALJ</w:t>
      </w:r>
      <w:r w:rsidRPr="00E55041">
        <w:rPr>
          <w:sz w:val="26"/>
          <w:szCs w:val="26"/>
        </w:rPr>
        <w:t xml:space="preserve"> approved the </w:t>
      </w:r>
      <w:r>
        <w:rPr>
          <w:sz w:val="26"/>
          <w:szCs w:val="26"/>
        </w:rPr>
        <w:t>P</w:t>
      </w:r>
      <w:r w:rsidRPr="00E55041">
        <w:rPr>
          <w:sz w:val="26"/>
          <w:szCs w:val="26"/>
        </w:rPr>
        <w:t xml:space="preserve">arties’ request to file a Stipulation to admit all of the </w:t>
      </w:r>
      <w:r>
        <w:rPr>
          <w:sz w:val="26"/>
          <w:szCs w:val="26"/>
        </w:rPr>
        <w:t>P</w:t>
      </w:r>
      <w:r w:rsidRPr="00E55041">
        <w:rPr>
          <w:sz w:val="26"/>
          <w:szCs w:val="26"/>
        </w:rPr>
        <w:t>arties’ written testimony and exhibits.  In addition, the date for the submission of the main briefs was extended to allow the signatories</w:t>
      </w:r>
      <w:r>
        <w:rPr>
          <w:sz w:val="26"/>
          <w:szCs w:val="26"/>
        </w:rPr>
        <w:t xml:space="preserve"> adequate time</w:t>
      </w:r>
      <w:r w:rsidRPr="00E55041">
        <w:rPr>
          <w:sz w:val="26"/>
          <w:szCs w:val="26"/>
        </w:rPr>
        <w:t xml:space="preserve"> to complete the settlement document.</w:t>
      </w:r>
      <w:bookmarkEnd w:id="6"/>
      <w:bookmarkEnd w:id="7"/>
      <w:r w:rsidRPr="00E55041">
        <w:rPr>
          <w:sz w:val="26"/>
          <w:szCs w:val="26"/>
        </w:rPr>
        <w:t xml:space="preserve">  </w:t>
      </w:r>
    </w:p>
    <w:p w:rsidR="00D80641" w:rsidRDefault="00D80641" w:rsidP="009552EF">
      <w:pPr>
        <w:pStyle w:val="BodyText"/>
        <w:tabs>
          <w:tab w:val="clear" w:pos="1980"/>
          <w:tab w:val="left" w:pos="0"/>
        </w:tabs>
        <w:spacing w:line="360" w:lineRule="auto"/>
        <w:ind w:firstLine="1440"/>
        <w:jc w:val="left"/>
        <w:rPr>
          <w:rFonts w:ascii="Times New Roman" w:hAnsi="Times New Roman"/>
          <w:szCs w:val="26"/>
        </w:rPr>
      </w:pPr>
    </w:p>
    <w:p w:rsidR="002D1DA9" w:rsidRPr="00E55041" w:rsidRDefault="002D1DA9" w:rsidP="009552EF">
      <w:pPr>
        <w:pStyle w:val="BodyText"/>
        <w:tabs>
          <w:tab w:val="clear" w:pos="1980"/>
          <w:tab w:val="left" w:pos="0"/>
        </w:tabs>
        <w:spacing w:line="360" w:lineRule="auto"/>
        <w:ind w:firstLine="1440"/>
        <w:jc w:val="left"/>
        <w:rPr>
          <w:rFonts w:ascii="Times New Roman" w:hAnsi="Times New Roman"/>
          <w:b/>
          <w:szCs w:val="26"/>
        </w:rPr>
      </w:pPr>
      <w:r w:rsidRPr="00E55041">
        <w:rPr>
          <w:rFonts w:ascii="Times New Roman" w:hAnsi="Times New Roman"/>
          <w:szCs w:val="26"/>
        </w:rPr>
        <w:t>The Joint Pe</w:t>
      </w:r>
      <w:r>
        <w:rPr>
          <w:rFonts w:ascii="Times New Roman" w:hAnsi="Times New Roman"/>
          <w:szCs w:val="26"/>
        </w:rPr>
        <w:t xml:space="preserve">tition </w:t>
      </w:r>
      <w:r w:rsidRPr="00E55041">
        <w:rPr>
          <w:rFonts w:ascii="Times New Roman" w:hAnsi="Times New Roman"/>
          <w:szCs w:val="26"/>
        </w:rPr>
        <w:t xml:space="preserve">was filed on March 22, 2010.  It was executed by counsel for PECO, </w:t>
      </w:r>
      <w:r>
        <w:rPr>
          <w:rFonts w:ascii="Times New Roman" w:hAnsi="Times New Roman"/>
          <w:szCs w:val="26"/>
        </w:rPr>
        <w:t xml:space="preserve">the </w:t>
      </w:r>
      <w:r w:rsidRPr="00E55041">
        <w:rPr>
          <w:rFonts w:ascii="Times New Roman" w:hAnsi="Times New Roman"/>
          <w:szCs w:val="26"/>
        </w:rPr>
        <w:t xml:space="preserve">OCA, </w:t>
      </w:r>
      <w:r>
        <w:rPr>
          <w:rFonts w:ascii="Times New Roman" w:hAnsi="Times New Roman"/>
          <w:szCs w:val="26"/>
        </w:rPr>
        <w:t xml:space="preserve">the </w:t>
      </w:r>
      <w:r w:rsidRPr="00E55041">
        <w:rPr>
          <w:rFonts w:ascii="Times New Roman" w:hAnsi="Times New Roman"/>
          <w:szCs w:val="26"/>
        </w:rPr>
        <w:t>OSBA, Constellation, RESA, Direct Energy, and Dominion Retail</w:t>
      </w:r>
      <w:r w:rsidRPr="00E55041">
        <w:rPr>
          <w:rFonts w:ascii="Times New Roman" w:hAnsi="Times New Roman"/>
          <w:b/>
          <w:szCs w:val="26"/>
        </w:rPr>
        <w:t>.</w:t>
      </w:r>
      <w:r w:rsidRPr="00E55041">
        <w:rPr>
          <w:rFonts w:ascii="Times New Roman" w:hAnsi="Times New Roman"/>
          <w:szCs w:val="26"/>
        </w:rPr>
        <w:t xml:space="preserve">  The Joint Petition contained Statements in Support of the Joint Petition from the signatory parties. </w:t>
      </w:r>
      <w:r w:rsidRPr="00E55041">
        <w:rPr>
          <w:rFonts w:ascii="Times New Roman" w:hAnsi="Times New Roman"/>
          <w:b/>
          <w:szCs w:val="26"/>
        </w:rPr>
        <w:t xml:space="preserve"> </w:t>
      </w:r>
      <w:r w:rsidRPr="00E55041">
        <w:rPr>
          <w:rFonts w:ascii="Times New Roman" w:hAnsi="Times New Roman"/>
          <w:szCs w:val="26"/>
        </w:rPr>
        <w:t>Although</w:t>
      </w:r>
      <w:r w:rsidRPr="00E55041">
        <w:rPr>
          <w:rFonts w:ascii="Times New Roman" w:hAnsi="Times New Roman"/>
          <w:b/>
          <w:szCs w:val="26"/>
        </w:rPr>
        <w:t xml:space="preserve"> </w:t>
      </w:r>
      <w:r w:rsidRPr="00E55041">
        <w:rPr>
          <w:rFonts w:ascii="Times New Roman" w:hAnsi="Times New Roman"/>
          <w:szCs w:val="26"/>
        </w:rPr>
        <w:t>PAIEUG did not sign the Joint Petition, it did not oppose the Petition</w:t>
      </w:r>
      <w:r>
        <w:rPr>
          <w:rFonts w:ascii="Times New Roman" w:hAnsi="Times New Roman"/>
          <w:szCs w:val="26"/>
        </w:rPr>
        <w:t>.</w:t>
      </w:r>
      <w:r w:rsidRPr="00E55041">
        <w:rPr>
          <w:rFonts w:ascii="Times New Roman" w:hAnsi="Times New Roman"/>
          <w:szCs w:val="26"/>
        </w:rPr>
        <w:t xml:space="preserve"> </w:t>
      </w:r>
      <w:r>
        <w:rPr>
          <w:rFonts w:ascii="Times New Roman" w:hAnsi="Times New Roman"/>
          <w:szCs w:val="26"/>
        </w:rPr>
        <w:t xml:space="preserve"> </w:t>
      </w:r>
      <w:r w:rsidRPr="00E55041">
        <w:rPr>
          <w:rFonts w:ascii="Times New Roman" w:hAnsi="Times New Roman"/>
          <w:szCs w:val="26"/>
        </w:rPr>
        <w:t>Joint Petition at 1,</w:t>
      </w:r>
      <w:r>
        <w:rPr>
          <w:rFonts w:ascii="Times New Roman" w:hAnsi="Times New Roman"/>
          <w:szCs w:val="26"/>
        </w:rPr>
        <w:t xml:space="preserve"> PECO’s Statement in Support at </w:t>
      </w:r>
      <w:r w:rsidRPr="00E55041">
        <w:rPr>
          <w:rFonts w:ascii="Times New Roman" w:hAnsi="Times New Roman"/>
          <w:szCs w:val="26"/>
        </w:rPr>
        <w:t xml:space="preserve">1.  </w:t>
      </w:r>
      <w:r>
        <w:rPr>
          <w:rFonts w:ascii="Times New Roman" w:hAnsi="Times New Roman"/>
          <w:szCs w:val="26"/>
        </w:rPr>
        <w:t xml:space="preserve">The </w:t>
      </w:r>
      <w:r w:rsidRPr="00E55041">
        <w:rPr>
          <w:rFonts w:ascii="Times New Roman" w:hAnsi="Times New Roman"/>
          <w:szCs w:val="26"/>
        </w:rPr>
        <w:t>OTS opposed the Joint.</w:t>
      </w:r>
      <w:r>
        <w:rPr>
          <w:rFonts w:ascii="Times New Roman" w:hAnsi="Times New Roman"/>
          <w:szCs w:val="26"/>
        </w:rPr>
        <w:t xml:space="preserve">  </w:t>
      </w:r>
      <w:r w:rsidRPr="00D17ECD">
        <w:rPr>
          <w:rFonts w:ascii="Times New Roman" w:hAnsi="Times New Roman"/>
          <w:i/>
          <w:szCs w:val="26"/>
        </w:rPr>
        <w:t>See</w:t>
      </w:r>
      <w:r>
        <w:rPr>
          <w:rFonts w:ascii="Times New Roman" w:hAnsi="Times New Roman"/>
          <w:szCs w:val="26"/>
        </w:rPr>
        <w:t xml:space="preserve"> OTS R.B. at p. 8 – 14.</w:t>
      </w:r>
    </w:p>
    <w:p w:rsidR="002D1DA9" w:rsidRPr="00E55041" w:rsidRDefault="002D1DA9">
      <w:pPr>
        <w:spacing w:line="360" w:lineRule="auto"/>
        <w:rPr>
          <w:szCs w:val="26"/>
        </w:rPr>
      </w:pPr>
    </w:p>
    <w:p w:rsidR="002D1DA9" w:rsidRPr="006C23EA" w:rsidRDefault="002D1DA9" w:rsidP="00D17ECD">
      <w:pPr>
        <w:suppressAutoHyphens/>
        <w:spacing w:line="360" w:lineRule="auto"/>
        <w:ind w:firstLine="1440"/>
        <w:rPr>
          <w:szCs w:val="26"/>
        </w:rPr>
      </w:pPr>
      <w:r w:rsidRPr="00E55041">
        <w:rPr>
          <w:szCs w:val="26"/>
        </w:rPr>
        <w:t xml:space="preserve">The record consists of a </w:t>
      </w:r>
      <w:r w:rsidR="006A06C2">
        <w:rPr>
          <w:szCs w:val="26"/>
        </w:rPr>
        <w:t>thirteen-</w:t>
      </w:r>
      <w:r w:rsidRPr="00E55041">
        <w:rPr>
          <w:szCs w:val="26"/>
        </w:rPr>
        <w:t xml:space="preserve">page prehearing transcript, </w:t>
      </w:r>
      <w:r>
        <w:rPr>
          <w:szCs w:val="26"/>
        </w:rPr>
        <w:t>PECO</w:t>
      </w:r>
      <w:r w:rsidRPr="00E55041">
        <w:rPr>
          <w:szCs w:val="26"/>
        </w:rPr>
        <w:t xml:space="preserve">’s </w:t>
      </w:r>
      <w:r>
        <w:rPr>
          <w:szCs w:val="26"/>
        </w:rPr>
        <w:t xml:space="preserve">Revised </w:t>
      </w:r>
      <w:r w:rsidRPr="00E55041">
        <w:rPr>
          <w:szCs w:val="26"/>
        </w:rPr>
        <w:t xml:space="preserve">Petition, the statements and exhibits of the </w:t>
      </w:r>
      <w:r>
        <w:rPr>
          <w:szCs w:val="26"/>
        </w:rPr>
        <w:t>P</w:t>
      </w:r>
      <w:r w:rsidRPr="00E55041">
        <w:rPr>
          <w:szCs w:val="26"/>
        </w:rPr>
        <w:t xml:space="preserve">arties, the Joint Petition for Partial Settlement with attachments, and the main and reply briefs of PECO, </w:t>
      </w:r>
      <w:r>
        <w:rPr>
          <w:szCs w:val="26"/>
        </w:rPr>
        <w:t xml:space="preserve">the </w:t>
      </w:r>
      <w:r w:rsidRPr="00E55041">
        <w:rPr>
          <w:szCs w:val="26"/>
        </w:rPr>
        <w:t xml:space="preserve">OCA, </w:t>
      </w:r>
      <w:r>
        <w:rPr>
          <w:szCs w:val="26"/>
        </w:rPr>
        <w:t xml:space="preserve">the </w:t>
      </w:r>
      <w:r w:rsidRPr="00E55041">
        <w:rPr>
          <w:szCs w:val="26"/>
        </w:rPr>
        <w:t xml:space="preserve">OTS, </w:t>
      </w:r>
      <w:r>
        <w:rPr>
          <w:szCs w:val="26"/>
        </w:rPr>
        <w:t xml:space="preserve">the </w:t>
      </w:r>
      <w:r w:rsidRPr="00E55041">
        <w:rPr>
          <w:szCs w:val="26"/>
        </w:rPr>
        <w:t>OSBA, RE</w:t>
      </w:r>
      <w:r>
        <w:rPr>
          <w:szCs w:val="26"/>
        </w:rPr>
        <w:t xml:space="preserve">SA/Direct Energy, and Dominion.  </w:t>
      </w:r>
    </w:p>
    <w:p w:rsidR="002D1DA9" w:rsidRDefault="002D1DA9">
      <w:pPr>
        <w:suppressAutoHyphens/>
        <w:spacing w:line="360" w:lineRule="auto"/>
        <w:rPr>
          <w:szCs w:val="26"/>
        </w:rPr>
      </w:pPr>
    </w:p>
    <w:p w:rsidR="002D1DA9" w:rsidRPr="00E55041" w:rsidRDefault="002D1DA9" w:rsidP="008C7810">
      <w:pPr>
        <w:suppressAutoHyphens/>
        <w:spacing w:line="360" w:lineRule="auto"/>
        <w:ind w:firstLine="1440"/>
        <w:rPr>
          <w:szCs w:val="26"/>
        </w:rPr>
      </w:pPr>
      <w:r>
        <w:rPr>
          <w:szCs w:val="26"/>
        </w:rPr>
        <w:t xml:space="preserve">The ALJ’s Recommended Decision was issued by the Commission on April 29, 2010.  On May 19, 2010, PECO and the OTS filed Exceptions to the ALJ’s Recommended Decision.  On June 1, 2010 the OCA, the OSBA, Dominion, RESA/Direct and PECO </w:t>
      </w:r>
      <w:r w:rsidRPr="006C23EA">
        <w:rPr>
          <w:szCs w:val="26"/>
        </w:rPr>
        <w:t>filed Reply Exceptions.</w:t>
      </w:r>
      <w:r w:rsidR="00805125">
        <w:rPr>
          <w:szCs w:val="26"/>
        </w:rPr>
        <w:t xml:space="preserve">  </w:t>
      </w:r>
      <w:r w:rsidR="00750278">
        <w:rPr>
          <w:szCs w:val="26"/>
        </w:rPr>
        <w:t>By Opinion and Order entered o</w:t>
      </w:r>
      <w:r w:rsidR="00805125">
        <w:rPr>
          <w:szCs w:val="26"/>
        </w:rPr>
        <w:t xml:space="preserve">n June 18, 2010, the Commission </w:t>
      </w:r>
      <w:r w:rsidR="00AA0D10">
        <w:rPr>
          <w:szCs w:val="26"/>
        </w:rPr>
        <w:t xml:space="preserve">adopted the ALJ’s recommendation </w:t>
      </w:r>
      <w:r w:rsidR="00750278">
        <w:rPr>
          <w:szCs w:val="26"/>
        </w:rPr>
        <w:t xml:space="preserve">with certain modifications </w:t>
      </w:r>
      <w:r w:rsidR="009726A2">
        <w:rPr>
          <w:szCs w:val="26"/>
        </w:rPr>
        <w:t>(</w:t>
      </w:r>
      <w:r w:rsidR="009726A2">
        <w:rPr>
          <w:i/>
          <w:szCs w:val="26"/>
        </w:rPr>
        <w:t>June 18</w:t>
      </w:r>
      <w:r w:rsidR="007B359B">
        <w:rPr>
          <w:i/>
          <w:szCs w:val="26"/>
        </w:rPr>
        <w:t>,</w:t>
      </w:r>
      <w:r w:rsidR="009726A2">
        <w:rPr>
          <w:i/>
          <w:szCs w:val="26"/>
        </w:rPr>
        <w:t xml:space="preserve"> Order</w:t>
      </w:r>
      <w:r w:rsidR="009726A2">
        <w:rPr>
          <w:szCs w:val="26"/>
        </w:rPr>
        <w:t>)</w:t>
      </w:r>
      <w:r w:rsidR="00750278">
        <w:rPr>
          <w:szCs w:val="26"/>
        </w:rPr>
        <w:t>.</w:t>
      </w:r>
      <w:r w:rsidR="00AA0D10">
        <w:rPr>
          <w:szCs w:val="26"/>
        </w:rPr>
        <w:t xml:space="preserve">  </w:t>
      </w:r>
      <w:r w:rsidR="008C7810">
        <w:rPr>
          <w:szCs w:val="26"/>
        </w:rPr>
        <w:t>As noted, o</w:t>
      </w:r>
      <w:r w:rsidR="00AA0D10">
        <w:rPr>
          <w:szCs w:val="26"/>
        </w:rPr>
        <w:t>n July 2, 2010,</w:t>
      </w:r>
      <w:r w:rsidR="008C7810">
        <w:rPr>
          <w:szCs w:val="26"/>
        </w:rPr>
        <w:t xml:space="preserve"> the OSBA filed </w:t>
      </w:r>
      <w:r w:rsidR="00AA0D10">
        <w:rPr>
          <w:szCs w:val="26"/>
        </w:rPr>
        <w:t xml:space="preserve">the instant </w:t>
      </w:r>
      <w:r w:rsidR="00454E73">
        <w:rPr>
          <w:szCs w:val="26"/>
        </w:rPr>
        <w:t>Petition for Clarification</w:t>
      </w:r>
      <w:r w:rsidR="008C7810">
        <w:rPr>
          <w:szCs w:val="26"/>
        </w:rPr>
        <w:t>.</w:t>
      </w:r>
    </w:p>
    <w:p w:rsidR="002D1DA9" w:rsidRDefault="002D1DA9">
      <w:pPr>
        <w:rPr>
          <w:szCs w:val="26"/>
        </w:rPr>
      </w:pPr>
      <w:r>
        <w:rPr>
          <w:szCs w:val="26"/>
        </w:rPr>
        <w:br w:type="page"/>
      </w:r>
    </w:p>
    <w:p w:rsidR="002D1DA9" w:rsidRPr="003C3315" w:rsidRDefault="003F6F21" w:rsidP="000701A0">
      <w:pPr>
        <w:pStyle w:val="Heading1"/>
        <w:keepNext w:val="0"/>
        <w:widowControl w:val="0"/>
        <w:rPr>
          <w:b/>
          <w:szCs w:val="26"/>
          <w:u w:val="none"/>
        </w:rPr>
      </w:pPr>
      <w:r>
        <w:rPr>
          <w:b/>
          <w:szCs w:val="26"/>
          <w:u w:val="none"/>
        </w:rPr>
        <w:lastRenderedPageBreak/>
        <w:t>I</w:t>
      </w:r>
      <w:r w:rsidR="002D1DA9" w:rsidRPr="003C3315">
        <w:rPr>
          <w:b/>
          <w:szCs w:val="26"/>
          <w:u w:val="none"/>
        </w:rPr>
        <w:t>I.</w:t>
      </w:r>
      <w:r w:rsidR="003C3315" w:rsidRPr="003C3315">
        <w:rPr>
          <w:b/>
          <w:szCs w:val="26"/>
          <w:u w:val="none"/>
        </w:rPr>
        <w:t xml:space="preserve">  </w:t>
      </w:r>
      <w:r w:rsidR="002D1DA9" w:rsidRPr="003C3315">
        <w:rPr>
          <w:b/>
          <w:szCs w:val="26"/>
          <w:u w:val="none"/>
        </w:rPr>
        <w:t>DISCUSSION</w:t>
      </w:r>
    </w:p>
    <w:p w:rsidR="000701A0" w:rsidRDefault="000701A0" w:rsidP="000701A0">
      <w:pPr>
        <w:spacing w:before="240" w:line="360" w:lineRule="auto"/>
        <w:ind w:firstLine="1440"/>
        <w:rPr>
          <w:szCs w:val="26"/>
        </w:rPr>
      </w:pPr>
    </w:p>
    <w:p w:rsidR="000529CA" w:rsidRDefault="000529CA" w:rsidP="000529CA">
      <w:pPr>
        <w:suppressAutoHyphens/>
        <w:spacing w:after="360" w:line="360" w:lineRule="auto"/>
        <w:ind w:firstLine="1440"/>
        <w:rPr>
          <w:spacing w:val="-3"/>
        </w:rPr>
      </w:pPr>
      <w:r>
        <w:t xml:space="preserve">A </w:t>
      </w:r>
      <w:r>
        <w:rPr>
          <w:spacing w:val="-3"/>
        </w:rPr>
        <w:t xml:space="preserve">party’s right to seek relief following the issuance of our final decisions can be found pursuant to Subsections 703(f) and (g) of the Code, 66 Pa. C.S. § 703(f) and (g), relating to </w:t>
      </w:r>
      <w:r w:rsidR="00B61EE1">
        <w:rPr>
          <w:spacing w:val="-3"/>
        </w:rPr>
        <w:t>rehearing</w:t>
      </w:r>
      <w:r>
        <w:rPr>
          <w:spacing w:val="-3"/>
        </w:rPr>
        <w:t xml:space="preserve">, rescission and amendment of orders.  Such requests for relief must be consistent with Section 5.572 of our Regulations, 52 Pa. Code § 5.572, relating to petitions for relief following the issuance of a final decision.  The standards for a petition for relief following the issuance of a final decision were addressed in </w:t>
      </w:r>
      <w:r>
        <w:rPr>
          <w:i/>
          <w:spacing w:val="-3"/>
        </w:rPr>
        <w:t>Duick v. PG&amp;W</w:t>
      </w:r>
      <w:r>
        <w:rPr>
          <w:spacing w:val="-3"/>
        </w:rPr>
        <w:t>, 56 Pa. P.U.C. 553 (1982) (</w:t>
      </w:r>
      <w:r>
        <w:rPr>
          <w:i/>
          <w:spacing w:val="-3"/>
        </w:rPr>
        <w:t>Duick</w:t>
      </w:r>
      <w:r>
        <w:rPr>
          <w:spacing w:val="-3"/>
        </w:rPr>
        <w:t xml:space="preserve">).  </w:t>
      </w:r>
    </w:p>
    <w:p w:rsidR="000529CA" w:rsidRDefault="000529CA" w:rsidP="000529CA">
      <w:pPr>
        <w:suppressAutoHyphens/>
        <w:spacing w:line="360" w:lineRule="auto"/>
        <w:rPr>
          <w:spacing w:val="-3"/>
        </w:rPr>
      </w:pPr>
      <w:r>
        <w:rPr>
          <w:spacing w:val="-3"/>
        </w:rPr>
        <w:tab/>
      </w:r>
      <w:r>
        <w:rPr>
          <w:spacing w:val="-3"/>
        </w:rPr>
        <w:tab/>
      </w:r>
      <w:r>
        <w:rPr>
          <w:i/>
          <w:spacing w:val="-3"/>
        </w:rPr>
        <w:t>Duick</w:t>
      </w:r>
      <w:r>
        <w:rPr>
          <w:spacing w:val="-3"/>
        </w:rPr>
        <w:t xml:space="preserve"> held that a petition for rehearing under Subsection 703(f) of the Code must allege newly-discovered evidence not discoverable through the exercise of due diligence prior to the close of the record.  </w:t>
      </w:r>
      <w:r>
        <w:rPr>
          <w:i/>
          <w:spacing w:val="-3"/>
        </w:rPr>
        <w:t>Duick</w:t>
      </w:r>
      <w:r>
        <w:rPr>
          <w:spacing w:val="-3"/>
        </w:rPr>
        <w:t xml:space="preserve"> at 558.  A petition for reconsideration under Subsection 703(g), however, may properly raise any matter designed to convince us that we should exercise our discretion to amend or rescind a prior Order, in whole or in part.  Furthermore, such petitions are likely to succeed only when they raise “new and novel arguments” not previously heard or considerations which appear to have been overlooked or not addressed by us.  </w:t>
      </w:r>
      <w:r>
        <w:rPr>
          <w:i/>
          <w:spacing w:val="-3"/>
        </w:rPr>
        <w:t>Duick</w:t>
      </w:r>
      <w:r>
        <w:rPr>
          <w:spacing w:val="-3"/>
        </w:rPr>
        <w:t xml:space="preserve"> at 559.   A petition for clarification must meet the same standard as a petition for reconsideration.  </w:t>
      </w:r>
      <w:r>
        <w:rPr>
          <w:i/>
          <w:spacing w:val="-3"/>
        </w:rPr>
        <w:t xml:space="preserve">See, Application of Sprint Communications Company, L.P., </w:t>
      </w:r>
      <w:r>
        <w:rPr>
          <w:spacing w:val="-3"/>
        </w:rPr>
        <w:t>Docket No. A-310183F0002AMA (Order entered January 29, 2007).</w:t>
      </w:r>
    </w:p>
    <w:p w:rsidR="000529CA" w:rsidRPr="00572F0C" w:rsidRDefault="000529CA" w:rsidP="000529CA">
      <w:pPr>
        <w:suppressAutoHyphens/>
        <w:spacing w:line="360" w:lineRule="auto"/>
        <w:rPr>
          <w:spacing w:val="-3"/>
        </w:rPr>
      </w:pPr>
    </w:p>
    <w:p w:rsidR="002D1DA9" w:rsidRPr="00E55041" w:rsidRDefault="000529CA" w:rsidP="000529CA">
      <w:pPr>
        <w:pStyle w:val="FootnoteText"/>
        <w:widowControl/>
        <w:tabs>
          <w:tab w:val="left" w:pos="-720"/>
        </w:tabs>
        <w:suppressAutoHyphens/>
        <w:spacing w:line="360" w:lineRule="auto"/>
        <w:rPr>
          <w:szCs w:val="26"/>
        </w:rPr>
      </w:pPr>
      <w:r>
        <w:tab/>
      </w:r>
      <w:r>
        <w:tab/>
        <w:t>We note that, pursuant to 66 Pa. C.S. § 703(g) and 52 </w:t>
      </w:r>
      <w:smartTag w:uri="urn:schemas-microsoft-com:office:smarttags" w:element="State">
        <w:smartTag w:uri="urn:schemas-microsoft-com:office:smarttags" w:element="place">
          <w:r>
            <w:t>Pa.</w:t>
          </w:r>
        </w:smartTag>
      </w:smartTag>
      <w:r>
        <w:t xml:space="preserve"> Code § 5.572, our power to modify or rescind final orders is limited to certain circumstances.  A petition to modify or rescind a final Commission order may only be granted judiciously and under appropriate circumstances, because such an order will result in the disturbance of final orders.  </w:t>
      </w:r>
      <w:r>
        <w:rPr>
          <w:i/>
        </w:rPr>
        <w:t>City of Pittsburgh v. Pennsylvania Department of Transportation</w:t>
      </w:r>
      <w:r>
        <w:t xml:space="preserve">, 490 Pa. 264, 416 A.2d 461 (1980); </w:t>
      </w:r>
      <w:r>
        <w:rPr>
          <w:i/>
        </w:rPr>
        <w:t xml:space="preserve">City of Philadelphia v. Pa. PUC, </w:t>
      </w:r>
      <w:r>
        <w:t xml:space="preserve">720 A.2d 845 (Pa. Cmwlth. 1998); and </w:t>
      </w:r>
      <w:r>
        <w:rPr>
          <w:i/>
        </w:rPr>
        <w:t xml:space="preserve">West Penn Power Company v. Pa. PUC, </w:t>
      </w:r>
      <w:r>
        <w:t>659 A.2d 1055 (Pa. Cmwlth. 1995).</w:t>
      </w:r>
    </w:p>
    <w:p w:rsidR="008224CF" w:rsidRDefault="002D1DA9" w:rsidP="00177F47">
      <w:pPr>
        <w:pStyle w:val="BodyText2"/>
        <w:tabs>
          <w:tab w:val="left" w:pos="1440"/>
        </w:tabs>
        <w:spacing w:line="240" w:lineRule="auto"/>
        <w:rPr>
          <w:szCs w:val="26"/>
        </w:rPr>
      </w:pPr>
      <w:r>
        <w:rPr>
          <w:szCs w:val="26"/>
        </w:rPr>
        <w:lastRenderedPageBreak/>
        <w:tab/>
      </w:r>
      <w:r w:rsidR="00601099">
        <w:rPr>
          <w:szCs w:val="26"/>
        </w:rPr>
        <w:t>T</w:t>
      </w:r>
      <w:r w:rsidR="008224CF">
        <w:rPr>
          <w:szCs w:val="26"/>
        </w:rPr>
        <w:t xml:space="preserve">he OSBA seeks clarification of the scope of the Commission’s </w:t>
      </w:r>
      <w:r w:rsidR="007B359B">
        <w:rPr>
          <w:i/>
          <w:szCs w:val="26"/>
        </w:rPr>
        <w:t>June 18,</w:t>
      </w:r>
      <w:r w:rsidR="008224CF" w:rsidRPr="007B359B">
        <w:rPr>
          <w:i/>
          <w:szCs w:val="26"/>
        </w:rPr>
        <w:t xml:space="preserve"> Order</w:t>
      </w:r>
      <w:r w:rsidR="008224CF">
        <w:rPr>
          <w:szCs w:val="26"/>
        </w:rPr>
        <w:t>, specifically Ordering Paragraph No. 3 (OP 3), which states:</w:t>
      </w:r>
    </w:p>
    <w:p w:rsidR="008224CF" w:rsidRDefault="008224CF" w:rsidP="00DF4735">
      <w:pPr>
        <w:pStyle w:val="BodyText2"/>
        <w:spacing w:line="360" w:lineRule="auto"/>
        <w:rPr>
          <w:szCs w:val="26"/>
        </w:rPr>
      </w:pPr>
    </w:p>
    <w:p w:rsidR="008224CF" w:rsidRDefault="00277460" w:rsidP="00277460">
      <w:pPr>
        <w:pStyle w:val="BodyText2"/>
        <w:spacing w:line="240" w:lineRule="auto"/>
        <w:ind w:left="1440" w:right="1440"/>
        <w:rPr>
          <w:szCs w:val="26"/>
        </w:rPr>
      </w:pPr>
      <w:r>
        <w:rPr>
          <w:spacing w:val="-3"/>
          <w:szCs w:val="26"/>
        </w:rPr>
        <w:t>3.</w:t>
      </w:r>
      <w:r>
        <w:rPr>
          <w:spacing w:val="-3"/>
          <w:szCs w:val="26"/>
        </w:rPr>
        <w:tab/>
        <w:t>That PECO Energy Company is permitted to commence service termination actions on or after January 1, 2011, pursuant to Chapter 14 and Chapter 56 of the Commission’s regulations for accounts purchased, in accordance with the Purchase of Receivables Program herein approved, and unpaid pursuant to PECO Energy Company billings, representing Energy Generation Supplier charges incurred by the customer prior to January 1, 2011.</w:t>
      </w:r>
      <w:r w:rsidR="008224CF">
        <w:rPr>
          <w:szCs w:val="26"/>
        </w:rPr>
        <w:t xml:space="preserve"> </w:t>
      </w:r>
    </w:p>
    <w:p w:rsidR="008224CF" w:rsidRDefault="008224CF" w:rsidP="00DF4735">
      <w:pPr>
        <w:pStyle w:val="BodyText2"/>
        <w:spacing w:line="360" w:lineRule="auto"/>
        <w:rPr>
          <w:szCs w:val="26"/>
        </w:rPr>
      </w:pPr>
    </w:p>
    <w:p w:rsidR="002E5DB4" w:rsidRDefault="002E5DB4" w:rsidP="009A36CA">
      <w:pPr>
        <w:pStyle w:val="BodyText2"/>
        <w:spacing w:line="360" w:lineRule="auto"/>
        <w:ind w:firstLine="1440"/>
        <w:rPr>
          <w:szCs w:val="26"/>
        </w:rPr>
      </w:pPr>
      <w:r>
        <w:rPr>
          <w:szCs w:val="26"/>
        </w:rPr>
        <w:t>In its Petition the OSBA questions</w:t>
      </w:r>
      <w:r w:rsidR="00CA3D6B">
        <w:rPr>
          <w:szCs w:val="26"/>
        </w:rPr>
        <w:t>:</w:t>
      </w:r>
      <w:r>
        <w:rPr>
          <w:szCs w:val="26"/>
        </w:rPr>
        <w:t xml:space="preserve"> </w:t>
      </w:r>
      <w:r w:rsidR="00CA3D6B">
        <w:rPr>
          <w:szCs w:val="26"/>
        </w:rPr>
        <w:t xml:space="preserve">(1) whether </w:t>
      </w:r>
      <w:r>
        <w:rPr>
          <w:szCs w:val="26"/>
        </w:rPr>
        <w:t>PECO has the right to terminate for unpaid Electric Generation Supplier (EGS) service billed by an EGS prior to January 1, 2011, through dual billing</w:t>
      </w:r>
      <w:r w:rsidR="00CA3D6B">
        <w:rPr>
          <w:szCs w:val="26"/>
        </w:rPr>
        <w:t xml:space="preserve">; (2) the extent, if any, to which the consumer protections of 52 Pa. Code Ch. 56 will be applicable to a non-residential ratepayer; and (3) if </w:t>
      </w:r>
      <w:r w:rsidR="00EE2176">
        <w:rPr>
          <w:szCs w:val="26"/>
        </w:rPr>
        <w:t xml:space="preserve">its question in </w:t>
      </w:r>
      <w:r w:rsidR="00CA3D6B">
        <w:rPr>
          <w:szCs w:val="26"/>
        </w:rPr>
        <w:t>(1)</w:t>
      </w:r>
      <w:r w:rsidR="00EE2176">
        <w:rPr>
          <w:szCs w:val="26"/>
        </w:rPr>
        <w:t>,</w:t>
      </w:r>
      <w:r w:rsidR="00CA3D6B">
        <w:rPr>
          <w:szCs w:val="26"/>
        </w:rPr>
        <w:t xml:space="preserve"> above</w:t>
      </w:r>
      <w:r w:rsidR="00EE2176">
        <w:rPr>
          <w:szCs w:val="26"/>
        </w:rPr>
        <w:t>,</w:t>
      </w:r>
      <w:r w:rsidR="00CA3D6B">
        <w:rPr>
          <w:szCs w:val="26"/>
        </w:rPr>
        <w:t xml:space="preserve"> is answered in the affirmative whether those charges</w:t>
      </w:r>
      <w:r w:rsidR="00EE2176">
        <w:rPr>
          <w:szCs w:val="26"/>
        </w:rPr>
        <w:t>:</w:t>
      </w:r>
      <w:r w:rsidR="00CA3D6B">
        <w:rPr>
          <w:szCs w:val="26"/>
        </w:rPr>
        <w:t xml:space="preserve"> </w:t>
      </w:r>
      <w:r w:rsidR="00EE2176">
        <w:rPr>
          <w:szCs w:val="26"/>
        </w:rPr>
        <w:t>(a) </w:t>
      </w:r>
      <w:r w:rsidR="00CA3D6B">
        <w:rPr>
          <w:szCs w:val="26"/>
        </w:rPr>
        <w:t>will be considered to have been billed when PECO bills the rate payer on or after January 1, 2011</w:t>
      </w:r>
      <w:r w:rsidR="00EE2176">
        <w:rPr>
          <w:szCs w:val="26"/>
        </w:rPr>
        <w:t>;</w:t>
      </w:r>
      <w:r w:rsidR="00CA3D6B">
        <w:rPr>
          <w:szCs w:val="26"/>
        </w:rPr>
        <w:t xml:space="preserve"> or </w:t>
      </w:r>
      <w:r w:rsidR="00EE2176">
        <w:rPr>
          <w:szCs w:val="26"/>
        </w:rPr>
        <w:t xml:space="preserve">(b) </w:t>
      </w:r>
      <w:r w:rsidR="00177F47">
        <w:rPr>
          <w:szCs w:val="26"/>
        </w:rPr>
        <w:t>will be considered to have been billed when the EGS originally billed the ratepayer.  Petition at 3.</w:t>
      </w:r>
      <w:r w:rsidR="00CA3D6B">
        <w:rPr>
          <w:szCs w:val="26"/>
        </w:rPr>
        <w:t xml:space="preserve"> </w:t>
      </w:r>
    </w:p>
    <w:p w:rsidR="00EE21AC" w:rsidRDefault="00EE21AC" w:rsidP="00A00DE8">
      <w:pPr>
        <w:pStyle w:val="BodyText2"/>
        <w:spacing w:line="360" w:lineRule="auto"/>
        <w:ind w:firstLine="1440"/>
        <w:rPr>
          <w:szCs w:val="26"/>
        </w:rPr>
      </w:pPr>
    </w:p>
    <w:p w:rsidR="00432741" w:rsidRDefault="00D1518B" w:rsidP="00A00DE8">
      <w:pPr>
        <w:pStyle w:val="BodyText2"/>
        <w:spacing w:line="360" w:lineRule="auto"/>
        <w:ind w:firstLine="1440"/>
        <w:rPr>
          <w:szCs w:val="26"/>
        </w:rPr>
      </w:pPr>
      <w:r>
        <w:rPr>
          <w:szCs w:val="26"/>
        </w:rPr>
        <w:t xml:space="preserve">In our </w:t>
      </w:r>
      <w:r w:rsidRPr="00D1518B">
        <w:rPr>
          <w:i/>
          <w:szCs w:val="26"/>
        </w:rPr>
        <w:t>June 18 Order</w:t>
      </w:r>
      <w:r>
        <w:rPr>
          <w:szCs w:val="26"/>
        </w:rPr>
        <w:t xml:space="preserve"> we stated that PECO may commence service termination actions with respect to any shopping customer whose account has been purchased by PECO, if PECO is not paid by the shopping customer, in the same manner as is permissible under current statute and Commission regulations.  </w:t>
      </w:r>
      <w:r>
        <w:rPr>
          <w:i/>
          <w:szCs w:val="26"/>
        </w:rPr>
        <w:t xml:space="preserve">June 18 Order </w:t>
      </w:r>
      <w:r>
        <w:rPr>
          <w:szCs w:val="26"/>
        </w:rPr>
        <w:t xml:space="preserve">at 37.  </w:t>
      </w:r>
      <w:r w:rsidR="00492ADB">
        <w:rPr>
          <w:szCs w:val="26"/>
        </w:rPr>
        <w:t>Accordingly,</w:t>
      </w:r>
      <w:r w:rsidR="009B7725">
        <w:rPr>
          <w:szCs w:val="26"/>
        </w:rPr>
        <w:t xml:space="preserve"> </w:t>
      </w:r>
      <w:r w:rsidR="009B7725" w:rsidRPr="009F2617">
        <w:rPr>
          <w:szCs w:val="26"/>
        </w:rPr>
        <w:t>any</w:t>
      </w:r>
      <w:r w:rsidR="009B7725">
        <w:rPr>
          <w:szCs w:val="26"/>
        </w:rPr>
        <w:t xml:space="preserve"> </w:t>
      </w:r>
      <w:r w:rsidR="005C0642">
        <w:rPr>
          <w:szCs w:val="26"/>
        </w:rPr>
        <w:t xml:space="preserve">consolidated billing </w:t>
      </w:r>
      <w:r w:rsidR="009B7725">
        <w:rPr>
          <w:szCs w:val="26"/>
        </w:rPr>
        <w:t>account purchased by PECO is</w:t>
      </w:r>
      <w:r w:rsidR="008B4C7E">
        <w:rPr>
          <w:szCs w:val="26"/>
        </w:rPr>
        <w:t xml:space="preserve"> then</w:t>
      </w:r>
      <w:r w:rsidR="009B7725">
        <w:rPr>
          <w:szCs w:val="26"/>
        </w:rPr>
        <w:t xml:space="preserve"> owned by PECO</w:t>
      </w:r>
      <w:r w:rsidR="00EE2176">
        <w:rPr>
          <w:szCs w:val="26"/>
        </w:rPr>
        <w:t xml:space="preserve">; </w:t>
      </w:r>
      <w:r w:rsidR="008B4C7E">
        <w:rPr>
          <w:szCs w:val="26"/>
        </w:rPr>
        <w:t>is</w:t>
      </w:r>
      <w:r w:rsidR="005C0642">
        <w:rPr>
          <w:szCs w:val="26"/>
        </w:rPr>
        <w:t xml:space="preserve"> subject to service termination</w:t>
      </w:r>
      <w:r w:rsidR="00EE2176">
        <w:rPr>
          <w:szCs w:val="26"/>
        </w:rPr>
        <w:t>;</w:t>
      </w:r>
      <w:r w:rsidR="008B4C7E">
        <w:rPr>
          <w:szCs w:val="26"/>
        </w:rPr>
        <w:t xml:space="preserve"> </w:t>
      </w:r>
      <w:r w:rsidR="002D4371">
        <w:rPr>
          <w:szCs w:val="26"/>
        </w:rPr>
        <w:t xml:space="preserve">and is </w:t>
      </w:r>
      <w:r w:rsidR="009B7725">
        <w:rPr>
          <w:szCs w:val="26"/>
        </w:rPr>
        <w:t>a</w:t>
      </w:r>
      <w:r w:rsidR="008B4C7E">
        <w:rPr>
          <w:szCs w:val="26"/>
        </w:rPr>
        <w:t>lso protected by</w:t>
      </w:r>
      <w:r w:rsidR="009B7725">
        <w:rPr>
          <w:szCs w:val="26"/>
        </w:rPr>
        <w:t xml:space="preserve"> the provisions of Chapters 14 and 56</w:t>
      </w:r>
      <w:r w:rsidR="0082480F">
        <w:rPr>
          <w:szCs w:val="26"/>
        </w:rPr>
        <w:t xml:space="preserve"> </w:t>
      </w:r>
      <w:r w:rsidR="004A313E">
        <w:rPr>
          <w:rStyle w:val="FootnoteReference"/>
          <w:szCs w:val="26"/>
        </w:rPr>
        <w:footnoteReference w:id="1"/>
      </w:r>
      <w:r w:rsidR="009B7725">
        <w:rPr>
          <w:szCs w:val="26"/>
        </w:rPr>
        <w:t xml:space="preserve">.  </w:t>
      </w:r>
      <w:r w:rsidR="00AD6E0B">
        <w:rPr>
          <w:szCs w:val="26"/>
        </w:rPr>
        <w:t>We a</w:t>
      </w:r>
      <w:r w:rsidR="00492ADB">
        <w:rPr>
          <w:szCs w:val="26"/>
        </w:rPr>
        <w:t>lso</w:t>
      </w:r>
      <w:r w:rsidR="00DB4C7F">
        <w:rPr>
          <w:szCs w:val="26"/>
        </w:rPr>
        <w:t xml:space="preserve"> noted in our </w:t>
      </w:r>
      <w:r w:rsidR="00DB4C7F" w:rsidRPr="00DB4C7F">
        <w:rPr>
          <w:i/>
          <w:szCs w:val="26"/>
        </w:rPr>
        <w:t>June 18 Order</w:t>
      </w:r>
      <w:r w:rsidR="00DB4C7F">
        <w:rPr>
          <w:szCs w:val="26"/>
        </w:rPr>
        <w:t xml:space="preserve"> </w:t>
      </w:r>
      <w:r w:rsidR="00AD6E0B">
        <w:rPr>
          <w:szCs w:val="26"/>
        </w:rPr>
        <w:t xml:space="preserve">that </w:t>
      </w:r>
      <w:r w:rsidR="0082480F">
        <w:rPr>
          <w:szCs w:val="26"/>
        </w:rPr>
        <w:t xml:space="preserve">Section 56.11 of our Regulations, </w:t>
      </w:r>
      <w:r w:rsidR="00DB4C7F">
        <w:rPr>
          <w:szCs w:val="26"/>
        </w:rPr>
        <w:t>52 Pa. Code § 56.11</w:t>
      </w:r>
      <w:r w:rsidR="0082480F">
        <w:rPr>
          <w:szCs w:val="26"/>
        </w:rPr>
        <w:t>,</w:t>
      </w:r>
      <w:r w:rsidR="00DB4C7F">
        <w:rPr>
          <w:szCs w:val="26"/>
        </w:rPr>
        <w:t xml:space="preserve"> regarding winter termination procedures applies to all residential accounts purchased pursuant to the </w:t>
      </w:r>
      <w:r w:rsidR="009F2617">
        <w:rPr>
          <w:szCs w:val="26"/>
        </w:rPr>
        <w:t>R</w:t>
      </w:r>
      <w:r w:rsidR="00DB4C7F">
        <w:rPr>
          <w:szCs w:val="26"/>
        </w:rPr>
        <w:t xml:space="preserve">evised POR </w:t>
      </w:r>
      <w:r w:rsidR="009F2617">
        <w:rPr>
          <w:szCs w:val="26"/>
        </w:rPr>
        <w:t>P</w:t>
      </w:r>
      <w:r w:rsidR="00DB4C7F">
        <w:rPr>
          <w:szCs w:val="26"/>
        </w:rPr>
        <w:t>rogram</w:t>
      </w:r>
      <w:r w:rsidR="00492ADB">
        <w:rPr>
          <w:szCs w:val="26"/>
        </w:rPr>
        <w:t>.  This protection</w:t>
      </w:r>
      <w:r w:rsidR="00DB4C7F">
        <w:rPr>
          <w:szCs w:val="26"/>
        </w:rPr>
        <w:t xml:space="preserve"> </w:t>
      </w:r>
      <w:r w:rsidR="00DB4C7F">
        <w:rPr>
          <w:szCs w:val="26"/>
        </w:rPr>
        <w:lastRenderedPageBreak/>
        <w:t>insulates customers from service termination duri</w:t>
      </w:r>
      <w:r w:rsidR="00E64179">
        <w:rPr>
          <w:szCs w:val="26"/>
        </w:rPr>
        <w:t xml:space="preserve">ng the first quarter of each calendar year.  </w:t>
      </w:r>
      <w:r w:rsidR="00492ADB">
        <w:rPr>
          <w:szCs w:val="26"/>
        </w:rPr>
        <w:t>Therefore</w:t>
      </w:r>
      <w:r w:rsidR="005C0642">
        <w:rPr>
          <w:szCs w:val="26"/>
        </w:rPr>
        <w:t>, a consolidated billing</w:t>
      </w:r>
      <w:r w:rsidR="00E64179">
        <w:rPr>
          <w:szCs w:val="26"/>
        </w:rPr>
        <w:t xml:space="preserve"> account purchased by PECO </w:t>
      </w:r>
      <w:r w:rsidR="002A3659">
        <w:rPr>
          <w:szCs w:val="26"/>
        </w:rPr>
        <w:t>would be subject to termination procedures as prescribed in Chapters 14 and 56</w:t>
      </w:r>
      <w:r w:rsidR="00AD6E0B">
        <w:rPr>
          <w:szCs w:val="26"/>
        </w:rPr>
        <w:t xml:space="preserve"> and service termination could not occur prior to March 1, 2011</w:t>
      </w:r>
      <w:r w:rsidR="002A3659">
        <w:rPr>
          <w:szCs w:val="26"/>
        </w:rPr>
        <w:t>.</w:t>
      </w:r>
    </w:p>
    <w:p w:rsidR="00766585" w:rsidRDefault="00766585" w:rsidP="00A00DE8">
      <w:pPr>
        <w:pStyle w:val="BodyText2"/>
        <w:spacing w:line="360" w:lineRule="auto"/>
        <w:ind w:firstLine="1440"/>
        <w:rPr>
          <w:szCs w:val="26"/>
        </w:rPr>
      </w:pPr>
    </w:p>
    <w:p w:rsidR="00766585" w:rsidRDefault="00766585" w:rsidP="00A00DE8">
      <w:pPr>
        <w:pStyle w:val="BodyText2"/>
        <w:spacing w:line="360" w:lineRule="auto"/>
        <w:ind w:firstLine="1440"/>
        <w:rPr>
          <w:szCs w:val="26"/>
        </w:rPr>
      </w:pPr>
      <w:r>
        <w:rPr>
          <w:szCs w:val="26"/>
        </w:rPr>
        <w:t>In its Petition the OSBA states</w:t>
      </w:r>
      <w:r w:rsidR="007824AA">
        <w:rPr>
          <w:szCs w:val="26"/>
        </w:rPr>
        <w:t xml:space="preserve"> that </w:t>
      </w:r>
      <w:r>
        <w:rPr>
          <w:szCs w:val="26"/>
        </w:rPr>
        <w:t>the Commission’s apparent understanding</w:t>
      </w:r>
      <w:r w:rsidR="00DB4C49">
        <w:rPr>
          <w:szCs w:val="26"/>
        </w:rPr>
        <w:t xml:space="preserve"> </w:t>
      </w:r>
      <w:r>
        <w:rPr>
          <w:szCs w:val="26"/>
        </w:rPr>
        <w:t>that “consolidated billing is a condition precedent to the creation of EGS receivables [for pre-2011 service] that are eligible for purchase”</w:t>
      </w:r>
      <w:r w:rsidR="00DB4C49">
        <w:rPr>
          <w:rStyle w:val="FootnoteReference"/>
          <w:szCs w:val="26"/>
        </w:rPr>
        <w:footnoteReference w:id="2"/>
      </w:r>
      <w:r>
        <w:rPr>
          <w:szCs w:val="26"/>
        </w:rPr>
        <w:t xml:space="preserve"> </w:t>
      </w:r>
      <w:r>
        <w:rPr>
          <w:i/>
          <w:szCs w:val="26"/>
        </w:rPr>
        <w:t>implies</w:t>
      </w:r>
      <w:r>
        <w:rPr>
          <w:szCs w:val="26"/>
        </w:rPr>
        <w:t xml:space="preserve"> that the Commission did not intend to approve the use of termination if a customer fails to pay PECO for service giving rise to “Dual Billing Receivables,” </w:t>
      </w:r>
      <w:r>
        <w:rPr>
          <w:i/>
          <w:szCs w:val="26"/>
        </w:rPr>
        <w:t>i.e.,</w:t>
      </w:r>
      <w:r>
        <w:rPr>
          <w:szCs w:val="26"/>
        </w:rPr>
        <w:t xml:space="preserve"> for EGS service originally billed to the customer by the EGS through dual billing (rather than by PECO through consolidated billing).</w:t>
      </w:r>
      <w:r w:rsidR="00F632ED">
        <w:rPr>
          <w:szCs w:val="26"/>
        </w:rPr>
        <w:t xml:space="preserve">  Petition at 10, 11</w:t>
      </w:r>
      <w:r w:rsidR="00CA1BFC">
        <w:rPr>
          <w:szCs w:val="26"/>
        </w:rPr>
        <w:t>.  Emphasis added.</w:t>
      </w:r>
      <w:r w:rsidR="00442C91">
        <w:rPr>
          <w:szCs w:val="26"/>
        </w:rPr>
        <w:t xml:space="preserve">  We agree with the OSBA.  </w:t>
      </w:r>
      <w:r w:rsidR="001E52FB">
        <w:rPr>
          <w:szCs w:val="26"/>
        </w:rPr>
        <w:t xml:space="preserve">The Commission’s intent is to allow PECO to commence service termination actions when any </w:t>
      </w:r>
      <w:r w:rsidR="005C0642">
        <w:rPr>
          <w:szCs w:val="26"/>
        </w:rPr>
        <w:t xml:space="preserve">consolidated billing </w:t>
      </w:r>
      <w:r w:rsidR="001E52FB">
        <w:rPr>
          <w:szCs w:val="26"/>
        </w:rPr>
        <w:t>account purchased by PECO</w:t>
      </w:r>
      <w:r w:rsidR="00A111C7">
        <w:rPr>
          <w:szCs w:val="26"/>
        </w:rPr>
        <w:t>, pursuant to its Revised POR</w:t>
      </w:r>
      <w:r w:rsidR="005C0642">
        <w:rPr>
          <w:szCs w:val="26"/>
        </w:rPr>
        <w:t xml:space="preserve"> Program</w:t>
      </w:r>
      <w:r w:rsidR="001E52FB">
        <w:rPr>
          <w:szCs w:val="26"/>
        </w:rPr>
        <w:t xml:space="preserve">, becomes delinquent to PECO.  </w:t>
      </w:r>
      <w:r w:rsidR="00E154F6">
        <w:rPr>
          <w:szCs w:val="26"/>
        </w:rPr>
        <w:t>Additionally, PECO is to follow its normal business practice</w:t>
      </w:r>
      <w:r w:rsidR="004451D4">
        <w:rPr>
          <w:szCs w:val="26"/>
        </w:rPr>
        <w:t>s</w:t>
      </w:r>
      <w:r w:rsidR="00E154F6">
        <w:rPr>
          <w:szCs w:val="26"/>
        </w:rPr>
        <w:t xml:space="preserve"> of billing and collecting as well as all notice requirements and winter moratorium restrictions when dealing with </w:t>
      </w:r>
      <w:r w:rsidR="00A111C7">
        <w:rPr>
          <w:szCs w:val="26"/>
        </w:rPr>
        <w:t>EGS</w:t>
      </w:r>
      <w:r w:rsidR="00E154F6">
        <w:rPr>
          <w:szCs w:val="26"/>
        </w:rPr>
        <w:t xml:space="preserve"> accounts </w:t>
      </w:r>
      <w:r w:rsidR="00A111C7">
        <w:rPr>
          <w:szCs w:val="26"/>
        </w:rPr>
        <w:t>through its Revised POR</w:t>
      </w:r>
      <w:r w:rsidR="00A97687">
        <w:rPr>
          <w:szCs w:val="26"/>
        </w:rPr>
        <w:t xml:space="preserve"> Program</w:t>
      </w:r>
      <w:r w:rsidR="00E154F6">
        <w:rPr>
          <w:szCs w:val="26"/>
        </w:rPr>
        <w:t>.</w:t>
      </w:r>
    </w:p>
    <w:p w:rsidR="00C143D4" w:rsidRDefault="00C143D4" w:rsidP="00A00DE8">
      <w:pPr>
        <w:pStyle w:val="BodyText2"/>
        <w:spacing w:line="360" w:lineRule="auto"/>
        <w:ind w:firstLine="1440"/>
        <w:rPr>
          <w:szCs w:val="26"/>
        </w:rPr>
      </w:pPr>
    </w:p>
    <w:p w:rsidR="00C143D4" w:rsidRDefault="00C143D4" w:rsidP="00A00DE8">
      <w:pPr>
        <w:pStyle w:val="BodyText2"/>
        <w:spacing w:line="360" w:lineRule="auto"/>
        <w:ind w:firstLine="1440"/>
        <w:rPr>
          <w:szCs w:val="26"/>
        </w:rPr>
      </w:pPr>
      <w:r>
        <w:rPr>
          <w:szCs w:val="26"/>
        </w:rPr>
        <w:t xml:space="preserve">In its Answer, Dominion Retail states that it did not find any ambiguity regarding the receivables to be acquired by PECO.  Dominion Retail states that both PECO’s Petition and the Joint Petition for Partial Settlement make it clear that only consolidated billing accounts will be </w:t>
      </w:r>
      <w:r w:rsidR="001073BC">
        <w:rPr>
          <w:szCs w:val="26"/>
        </w:rPr>
        <w:t>the subject of the Revised POR Program.  Dominion Answer at 2.</w:t>
      </w:r>
    </w:p>
    <w:p w:rsidR="00843D8A" w:rsidRDefault="00843D8A" w:rsidP="00A00DE8">
      <w:pPr>
        <w:pStyle w:val="BodyText2"/>
        <w:spacing w:line="360" w:lineRule="auto"/>
        <w:ind w:firstLine="1440"/>
        <w:rPr>
          <w:szCs w:val="26"/>
        </w:rPr>
      </w:pPr>
    </w:p>
    <w:p w:rsidR="00E77A77" w:rsidRDefault="00F228BF" w:rsidP="00F228BF">
      <w:pPr>
        <w:autoSpaceDE w:val="0"/>
        <w:autoSpaceDN w:val="0"/>
        <w:adjustRightInd w:val="0"/>
        <w:spacing w:line="360" w:lineRule="auto"/>
        <w:ind w:firstLine="1440"/>
        <w:rPr>
          <w:szCs w:val="26"/>
        </w:rPr>
      </w:pPr>
      <w:r>
        <w:rPr>
          <w:szCs w:val="26"/>
        </w:rPr>
        <w:t xml:space="preserve">The OSBA previously contended </w:t>
      </w:r>
      <w:r w:rsidRPr="00F228BF">
        <w:rPr>
          <w:szCs w:val="26"/>
        </w:rPr>
        <w:t xml:space="preserve">that granting PECO termination authority for pre-2011arrearages would conflict with 52 Pa. Code §56.35, which imposes a statute </w:t>
      </w:r>
      <w:r w:rsidRPr="00F228BF">
        <w:rPr>
          <w:szCs w:val="26"/>
        </w:rPr>
        <w:lastRenderedPageBreak/>
        <w:t>of limitations on a</w:t>
      </w:r>
      <w:r>
        <w:rPr>
          <w:szCs w:val="26"/>
        </w:rPr>
        <w:t xml:space="preserve"> </w:t>
      </w:r>
      <w:r w:rsidRPr="00F228BF">
        <w:rPr>
          <w:szCs w:val="26"/>
        </w:rPr>
        <w:t>utility's authority to require a residential customer to pay a bill that is more than four years old</w:t>
      </w:r>
      <w:r w:rsidR="007336D6">
        <w:rPr>
          <w:szCs w:val="26"/>
        </w:rPr>
        <w:t>.</w:t>
      </w:r>
      <w:r>
        <w:rPr>
          <w:szCs w:val="26"/>
        </w:rPr>
        <w:t xml:space="preserve"> OSBA Main Brief, p. 11; PECO RB at 6; Petition at 12</w:t>
      </w:r>
      <w:r w:rsidRPr="00F228BF">
        <w:rPr>
          <w:szCs w:val="26"/>
        </w:rPr>
        <w:t>.</w:t>
      </w:r>
      <w:r w:rsidR="007C496A">
        <w:rPr>
          <w:szCs w:val="26"/>
        </w:rPr>
        <w:t xml:space="preserve">  </w:t>
      </w:r>
      <w:r w:rsidR="007C496A" w:rsidRPr="00F228BF">
        <w:rPr>
          <w:szCs w:val="26"/>
        </w:rPr>
        <w:t>To</w:t>
      </w:r>
      <w:r w:rsidR="007C496A">
        <w:rPr>
          <w:szCs w:val="26"/>
        </w:rPr>
        <w:t xml:space="preserve"> </w:t>
      </w:r>
      <w:r w:rsidR="007C496A" w:rsidRPr="00F228BF">
        <w:rPr>
          <w:szCs w:val="26"/>
        </w:rPr>
        <w:t>the contrary, PECO has previously stated, and reaffirms, that its exercise of termination authority</w:t>
      </w:r>
      <w:r w:rsidR="007C496A">
        <w:rPr>
          <w:szCs w:val="26"/>
        </w:rPr>
        <w:t xml:space="preserve"> </w:t>
      </w:r>
      <w:r w:rsidR="007C496A" w:rsidRPr="00F228BF">
        <w:rPr>
          <w:szCs w:val="26"/>
        </w:rPr>
        <w:t xml:space="preserve">will adhere to all applicable customer protections, </w:t>
      </w:r>
      <w:r w:rsidR="007C496A" w:rsidRPr="00702E52">
        <w:rPr>
          <w:szCs w:val="26"/>
        </w:rPr>
        <w:t>including</w:t>
      </w:r>
      <w:r w:rsidR="007C496A" w:rsidRPr="00F228BF">
        <w:rPr>
          <w:szCs w:val="26"/>
        </w:rPr>
        <w:t xml:space="preserve"> the statute of limitations cited by the</w:t>
      </w:r>
      <w:r w:rsidR="007C496A">
        <w:rPr>
          <w:szCs w:val="26"/>
        </w:rPr>
        <w:t xml:space="preserve"> </w:t>
      </w:r>
      <w:r w:rsidR="007C496A" w:rsidRPr="00F228BF">
        <w:rPr>
          <w:szCs w:val="26"/>
        </w:rPr>
        <w:t>OSBA.</w:t>
      </w:r>
      <w:r w:rsidR="007C496A">
        <w:rPr>
          <w:szCs w:val="26"/>
        </w:rPr>
        <w:t xml:space="preserve">  PECO RB at 6; Petition at 12. Emphasis added.</w:t>
      </w:r>
      <w:r w:rsidRPr="00F228BF">
        <w:rPr>
          <w:szCs w:val="26"/>
        </w:rPr>
        <w:t xml:space="preserve"> </w:t>
      </w:r>
      <w:r w:rsidR="007C496A">
        <w:rPr>
          <w:szCs w:val="26"/>
        </w:rPr>
        <w:t xml:space="preserve"> </w:t>
      </w:r>
      <w:r w:rsidR="008D7665">
        <w:rPr>
          <w:szCs w:val="26"/>
        </w:rPr>
        <w:t>We agree with PECO on this issue that the OSBA’s</w:t>
      </w:r>
      <w:r w:rsidRPr="00F228BF">
        <w:rPr>
          <w:szCs w:val="26"/>
        </w:rPr>
        <w:t xml:space="preserve"> argument has no validity because PECO has not asked for</w:t>
      </w:r>
      <w:r>
        <w:rPr>
          <w:szCs w:val="26"/>
        </w:rPr>
        <w:t xml:space="preserve"> </w:t>
      </w:r>
      <w:r w:rsidRPr="00F228BF">
        <w:rPr>
          <w:szCs w:val="26"/>
        </w:rPr>
        <w:t>authority to terminate service for pre-2011 arrearages in a manner that would contravene existing</w:t>
      </w:r>
      <w:r>
        <w:rPr>
          <w:szCs w:val="26"/>
        </w:rPr>
        <w:t xml:space="preserve"> </w:t>
      </w:r>
      <w:r w:rsidRPr="00F228BF">
        <w:rPr>
          <w:szCs w:val="26"/>
        </w:rPr>
        <w:t>customer-protection provisions of the Public Utility Code or the Commission</w:t>
      </w:r>
      <w:r w:rsidR="003B67AF">
        <w:rPr>
          <w:szCs w:val="26"/>
        </w:rPr>
        <w:t>’</w:t>
      </w:r>
      <w:r w:rsidRPr="00F228BF">
        <w:rPr>
          <w:szCs w:val="26"/>
        </w:rPr>
        <w:t>s regulations.</w:t>
      </w:r>
      <w:r w:rsidR="00353E3C">
        <w:rPr>
          <w:szCs w:val="26"/>
        </w:rPr>
        <w:t xml:space="preserve">  PECO’s use of the term ‘including’, in our opinion</w:t>
      </w:r>
      <w:r w:rsidR="003B2549">
        <w:rPr>
          <w:szCs w:val="26"/>
        </w:rPr>
        <w:t>,</w:t>
      </w:r>
      <w:r w:rsidR="00353E3C">
        <w:rPr>
          <w:szCs w:val="26"/>
        </w:rPr>
        <w:t xml:space="preserve"> removes any ambiguity that PECO’s intent is to adhere to all applicable customer protections.</w:t>
      </w:r>
    </w:p>
    <w:p w:rsidR="006B3744" w:rsidRDefault="006B3744">
      <w:pPr>
        <w:rPr>
          <w:szCs w:val="26"/>
        </w:rPr>
      </w:pPr>
    </w:p>
    <w:p w:rsidR="00E77A77" w:rsidRDefault="00E77A77" w:rsidP="00F228BF">
      <w:pPr>
        <w:autoSpaceDE w:val="0"/>
        <w:autoSpaceDN w:val="0"/>
        <w:adjustRightInd w:val="0"/>
        <w:spacing w:line="360" w:lineRule="auto"/>
        <w:ind w:firstLine="1440"/>
        <w:rPr>
          <w:szCs w:val="26"/>
        </w:rPr>
      </w:pPr>
      <w:r>
        <w:rPr>
          <w:szCs w:val="26"/>
        </w:rPr>
        <w:t>In its Answer, PECO states that since Chapter 56 is not applicable to commercial accounts, no clarification is needed on this point.  PECO Answer at 3.  Further, PECO notes that while the Revised POR Program will be consistent with applicable Provisions of Chapter 56</w:t>
      </w:r>
      <w:r w:rsidR="00EF01BF">
        <w:rPr>
          <w:szCs w:val="26"/>
        </w:rPr>
        <w:t>, PECO did not agree that non-residential customers would be entitled to any residential customer protections.  PECO Answer at 3.</w:t>
      </w:r>
    </w:p>
    <w:p w:rsidR="00D56E0D" w:rsidRDefault="00D56E0D" w:rsidP="00F228BF">
      <w:pPr>
        <w:autoSpaceDE w:val="0"/>
        <w:autoSpaceDN w:val="0"/>
        <w:adjustRightInd w:val="0"/>
        <w:spacing w:line="360" w:lineRule="auto"/>
        <w:ind w:firstLine="1440"/>
        <w:rPr>
          <w:szCs w:val="26"/>
        </w:rPr>
      </w:pPr>
    </w:p>
    <w:p w:rsidR="00D56E0D" w:rsidRDefault="00D56E0D" w:rsidP="00F228BF">
      <w:pPr>
        <w:autoSpaceDE w:val="0"/>
        <w:autoSpaceDN w:val="0"/>
        <w:adjustRightInd w:val="0"/>
        <w:spacing w:line="360" w:lineRule="auto"/>
        <w:ind w:firstLine="1440"/>
        <w:rPr>
          <w:szCs w:val="26"/>
        </w:rPr>
      </w:pPr>
      <w:r>
        <w:rPr>
          <w:szCs w:val="26"/>
        </w:rPr>
        <w:t xml:space="preserve">Dominion Retail, in its Answer, notes that, neither the Joint Petition for Settlement nor the </w:t>
      </w:r>
      <w:r w:rsidRPr="00D56E0D">
        <w:rPr>
          <w:i/>
          <w:szCs w:val="26"/>
        </w:rPr>
        <w:t xml:space="preserve">June 18 </w:t>
      </w:r>
      <w:r w:rsidR="00300B26" w:rsidRPr="00D56E0D">
        <w:rPr>
          <w:i/>
          <w:szCs w:val="26"/>
        </w:rPr>
        <w:t>Order</w:t>
      </w:r>
      <w:r>
        <w:rPr>
          <w:szCs w:val="26"/>
        </w:rPr>
        <w:t xml:space="preserve"> </w:t>
      </w:r>
      <w:r w:rsidR="00300B26">
        <w:rPr>
          <w:szCs w:val="26"/>
        </w:rPr>
        <w:t>purports</w:t>
      </w:r>
      <w:r>
        <w:rPr>
          <w:szCs w:val="26"/>
        </w:rPr>
        <w:t xml:space="preserve"> to modify the application of the Commission’s regulations or the Public Utility Code.  Dominion Answer at 2.  </w:t>
      </w:r>
    </w:p>
    <w:p w:rsidR="00E77A77" w:rsidRDefault="00E77A77" w:rsidP="00F228BF">
      <w:pPr>
        <w:autoSpaceDE w:val="0"/>
        <w:autoSpaceDN w:val="0"/>
        <w:adjustRightInd w:val="0"/>
        <w:spacing w:line="360" w:lineRule="auto"/>
        <w:ind w:firstLine="1440"/>
        <w:rPr>
          <w:szCs w:val="26"/>
        </w:rPr>
      </w:pPr>
    </w:p>
    <w:p w:rsidR="00843D8A" w:rsidRPr="009F2617" w:rsidRDefault="00410A78" w:rsidP="00F228BF">
      <w:pPr>
        <w:autoSpaceDE w:val="0"/>
        <w:autoSpaceDN w:val="0"/>
        <w:adjustRightInd w:val="0"/>
        <w:spacing w:line="360" w:lineRule="auto"/>
        <w:ind w:firstLine="1440"/>
        <w:rPr>
          <w:szCs w:val="26"/>
        </w:rPr>
      </w:pPr>
      <w:r>
        <w:rPr>
          <w:szCs w:val="26"/>
        </w:rPr>
        <w:t>To further clarify</w:t>
      </w:r>
      <w:r w:rsidR="007336D6">
        <w:rPr>
          <w:szCs w:val="26"/>
        </w:rPr>
        <w:t xml:space="preserve"> back billing for unpaid arrearages</w:t>
      </w:r>
      <w:r w:rsidR="00EE7C80">
        <w:rPr>
          <w:szCs w:val="26"/>
        </w:rPr>
        <w:t xml:space="preserve"> </w:t>
      </w:r>
      <w:r w:rsidR="00C42851">
        <w:rPr>
          <w:szCs w:val="26"/>
        </w:rPr>
        <w:t>resulting from</w:t>
      </w:r>
      <w:r w:rsidR="00EE7C80">
        <w:rPr>
          <w:szCs w:val="26"/>
        </w:rPr>
        <w:t xml:space="preserve"> prior under-billings</w:t>
      </w:r>
      <w:r w:rsidR="007336D6">
        <w:rPr>
          <w:szCs w:val="26"/>
        </w:rPr>
        <w:t xml:space="preserve">, we note that </w:t>
      </w:r>
      <w:r w:rsidR="004104FD">
        <w:rPr>
          <w:szCs w:val="26"/>
        </w:rPr>
        <w:t xml:space="preserve">our Opinion in the </w:t>
      </w:r>
      <w:r w:rsidR="004104FD" w:rsidRPr="004104FD">
        <w:rPr>
          <w:i/>
          <w:szCs w:val="26"/>
        </w:rPr>
        <w:t>Angie’s Bar v. Duquesne Light Company</w:t>
      </w:r>
      <w:r w:rsidR="004104FD">
        <w:rPr>
          <w:szCs w:val="26"/>
        </w:rPr>
        <w:t>, 72 Pa. PUC 213, 217 (1990)</w:t>
      </w:r>
      <w:r w:rsidR="00105B30">
        <w:rPr>
          <w:szCs w:val="26"/>
        </w:rPr>
        <w:t>,</w:t>
      </w:r>
      <w:r w:rsidR="004104FD">
        <w:rPr>
          <w:szCs w:val="26"/>
        </w:rPr>
        <w:t xml:space="preserve"> proceeding aligned the four-year time</w:t>
      </w:r>
      <w:r w:rsidR="00C42851">
        <w:rPr>
          <w:szCs w:val="26"/>
        </w:rPr>
        <w:t xml:space="preserve"> frame used for residential back</w:t>
      </w:r>
      <w:r w:rsidR="004104FD">
        <w:rPr>
          <w:szCs w:val="26"/>
        </w:rPr>
        <w:t xml:space="preserve"> billing to commercial accounts</w:t>
      </w:r>
      <w:r w:rsidR="00C42851">
        <w:rPr>
          <w:szCs w:val="26"/>
        </w:rPr>
        <w:t xml:space="preserve"> </w:t>
      </w:r>
      <w:r w:rsidR="00DE56FF">
        <w:rPr>
          <w:szCs w:val="26"/>
        </w:rPr>
        <w:t xml:space="preserve">in cases where the </w:t>
      </w:r>
      <w:r w:rsidR="00331481">
        <w:rPr>
          <w:szCs w:val="26"/>
        </w:rPr>
        <w:t xml:space="preserve">commercial </w:t>
      </w:r>
      <w:r w:rsidR="009250EC">
        <w:rPr>
          <w:szCs w:val="26"/>
        </w:rPr>
        <w:t>customer has no cul</w:t>
      </w:r>
      <w:r w:rsidR="00DE56FF">
        <w:rPr>
          <w:szCs w:val="26"/>
        </w:rPr>
        <w:t>pability</w:t>
      </w:r>
      <w:r w:rsidR="004104FD">
        <w:rPr>
          <w:szCs w:val="26"/>
        </w:rPr>
        <w:t xml:space="preserve">.  </w:t>
      </w:r>
      <w:r w:rsidR="003A64BF">
        <w:rPr>
          <w:szCs w:val="26"/>
        </w:rPr>
        <w:t xml:space="preserve">Accordingly, we expect all EDCs to adhere to the Commission’s findings in </w:t>
      </w:r>
      <w:r w:rsidR="003A64BF" w:rsidRPr="003A64BF">
        <w:rPr>
          <w:i/>
          <w:szCs w:val="26"/>
        </w:rPr>
        <w:t>Angie’s Bar</w:t>
      </w:r>
      <w:r w:rsidR="003A64BF">
        <w:rPr>
          <w:szCs w:val="26"/>
        </w:rPr>
        <w:t xml:space="preserve"> when addressing residential </w:t>
      </w:r>
      <w:r w:rsidR="003A64BF" w:rsidRPr="00105B30">
        <w:rPr>
          <w:szCs w:val="26"/>
        </w:rPr>
        <w:t>and</w:t>
      </w:r>
      <w:r w:rsidR="003A64BF">
        <w:rPr>
          <w:szCs w:val="26"/>
        </w:rPr>
        <w:t xml:space="preserve"> commercial </w:t>
      </w:r>
      <w:r w:rsidR="009F04E3">
        <w:rPr>
          <w:szCs w:val="26"/>
        </w:rPr>
        <w:t>un</w:t>
      </w:r>
      <w:r w:rsidR="009F2617">
        <w:rPr>
          <w:szCs w:val="26"/>
        </w:rPr>
        <w:t>derbilled</w:t>
      </w:r>
      <w:r w:rsidR="009F04E3">
        <w:rPr>
          <w:szCs w:val="26"/>
        </w:rPr>
        <w:t xml:space="preserve"> </w:t>
      </w:r>
      <w:r w:rsidR="003A64BF">
        <w:rPr>
          <w:szCs w:val="26"/>
        </w:rPr>
        <w:t>account</w:t>
      </w:r>
      <w:r w:rsidR="009F04E3">
        <w:rPr>
          <w:szCs w:val="26"/>
        </w:rPr>
        <w:t xml:space="preserve"> balances</w:t>
      </w:r>
      <w:r w:rsidR="003A64BF">
        <w:rPr>
          <w:szCs w:val="26"/>
        </w:rPr>
        <w:t>.</w:t>
      </w:r>
      <w:r w:rsidR="00AE2C18">
        <w:rPr>
          <w:szCs w:val="26"/>
        </w:rPr>
        <w:t xml:space="preserve">  Unless the customer is </w:t>
      </w:r>
      <w:r w:rsidR="00322CEE">
        <w:rPr>
          <w:szCs w:val="26"/>
        </w:rPr>
        <w:t xml:space="preserve">directly </w:t>
      </w:r>
      <w:r w:rsidR="00AE2C18">
        <w:rPr>
          <w:szCs w:val="26"/>
        </w:rPr>
        <w:t>responsible</w:t>
      </w:r>
      <w:r w:rsidR="00322CEE">
        <w:rPr>
          <w:szCs w:val="26"/>
        </w:rPr>
        <w:t xml:space="preserve"> for an unpaid service and </w:t>
      </w:r>
      <w:r w:rsidR="009F2617">
        <w:rPr>
          <w:szCs w:val="26"/>
        </w:rPr>
        <w:t xml:space="preserve">has </w:t>
      </w:r>
      <w:r w:rsidR="00AE2C18">
        <w:rPr>
          <w:szCs w:val="26"/>
        </w:rPr>
        <w:lastRenderedPageBreak/>
        <w:t>enjoyed the utility service provided</w:t>
      </w:r>
      <w:r w:rsidR="00322CEE">
        <w:rPr>
          <w:szCs w:val="26"/>
        </w:rPr>
        <w:t xml:space="preserve">, for example, for a theft of utility service, </w:t>
      </w:r>
      <w:r w:rsidR="00AE2C18">
        <w:rPr>
          <w:szCs w:val="26"/>
        </w:rPr>
        <w:t xml:space="preserve">the statute of limitations established in </w:t>
      </w:r>
      <w:r w:rsidR="00AE2C18">
        <w:rPr>
          <w:i/>
          <w:szCs w:val="26"/>
        </w:rPr>
        <w:t>Angie’s Bar</w:t>
      </w:r>
      <w:r w:rsidR="00707A87">
        <w:rPr>
          <w:szCs w:val="26"/>
        </w:rPr>
        <w:t xml:space="preserve"> is</w:t>
      </w:r>
      <w:r w:rsidR="00AE2C18">
        <w:rPr>
          <w:szCs w:val="26"/>
        </w:rPr>
        <w:t xml:space="preserve"> controlling.</w:t>
      </w:r>
      <w:r w:rsidR="009F2617">
        <w:rPr>
          <w:szCs w:val="26"/>
        </w:rPr>
        <w:t xml:space="preserve">  Accordingly, we do not agree with the OSBA’s reliance on </w:t>
      </w:r>
      <w:r w:rsidR="009F2617">
        <w:rPr>
          <w:i/>
          <w:szCs w:val="26"/>
        </w:rPr>
        <w:t>Angie’s Bar</w:t>
      </w:r>
      <w:r w:rsidR="009F2617">
        <w:rPr>
          <w:szCs w:val="26"/>
        </w:rPr>
        <w:t xml:space="preserve"> as being applicable to unpaid, uncontested consolidated billings.</w:t>
      </w:r>
    </w:p>
    <w:p w:rsidR="006B3744" w:rsidRDefault="006B3744">
      <w:pPr>
        <w:rPr>
          <w:szCs w:val="26"/>
        </w:rPr>
      </w:pPr>
    </w:p>
    <w:p w:rsidR="004C593D" w:rsidRDefault="00AA2F45" w:rsidP="00F228BF">
      <w:pPr>
        <w:autoSpaceDE w:val="0"/>
        <w:autoSpaceDN w:val="0"/>
        <w:adjustRightInd w:val="0"/>
        <w:spacing w:line="360" w:lineRule="auto"/>
        <w:ind w:firstLine="1440"/>
        <w:rPr>
          <w:szCs w:val="26"/>
        </w:rPr>
      </w:pPr>
      <w:r>
        <w:rPr>
          <w:szCs w:val="26"/>
        </w:rPr>
        <w:t xml:space="preserve">The last point of clarification requested by the OSBA is the identification of the proper </w:t>
      </w:r>
      <w:r w:rsidR="00322CEE">
        <w:rPr>
          <w:szCs w:val="26"/>
        </w:rPr>
        <w:t>“</w:t>
      </w:r>
      <w:r>
        <w:rPr>
          <w:szCs w:val="26"/>
        </w:rPr>
        <w:t>initial billing date</w:t>
      </w:r>
      <w:r w:rsidR="00322CEE">
        <w:rPr>
          <w:szCs w:val="26"/>
        </w:rPr>
        <w:t>”</w:t>
      </w:r>
      <w:r>
        <w:rPr>
          <w:szCs w:val="26"/>
        </w:rPr>
        <w:t xml:space="preserve"> for EGS charges through dual billing.  The OSBA suggests that there are two approaches.  </w:t>
      </w:r>
      <w:r w:rsidR="00322CEE">
        <w:rPr>
          <w:szCs w:val="26"/>
        </w:rPr>
        <w:t>The f</w:t>
      </w:r>
      <w:r>
        <w:rPr>
          <w:szCs w:val="26"/>
        </w:rPr>
        <w:t xml:space="preserve">irst </w:t>
      </w:r>
      <w:r w:rsidR="00152967">
        <w:rPr>
          <w:szCs w:val="26"/>
        </w:rPr>
        <w:t xml:space="preserve">approach </w:t>
      </w:r>
      <w:r w:rsidR="0092350C">
        <w:rPr>
          <w:szCs w:val="26"/>
        </w:rPr>
        <w:t xml:space="preserve">would be to consider the </w:t>
      </w:r>
      <w:r w:rsidR="00152967">
        <w:rPr>
          <w:szCs w:val="26"/>
        </w:rPr>
        <w:t>“</w:t>
      </w:r>
      <w:r w:rsidR="0092350C">
        <w:rPr>
          <w:szCs w:val="26"/>
        </w:rPr>
        <w:t>initial billing date</w:t>
      </w:r>
      <w:r w:rsidR="00152967">
        <w:rPr>
          <w:szCs w:val="26"/>
        </w:rPr>
        <w:t>”</w:t>
      </w:r>
      <w:r w:rsidR="0092350C">
        <w:rPr>
          <w:szCs w:val="26"/>
        </w:rPr>
        <w:t xml:space="preserve"> to be the date on which PECO first bills the customer for an EGS charge underlying a “Dual Billing Receivable.”  Petition at 14.  </w:t>
      </w:r>
      <w:r w:rsidR="00630B1D">
        <w:rPr>
          <w:szCs w:val="26"/>
        </w:rPr>
        <w:t xml:space="preserve">The second approach would be to consider the </w:t>
      </w:r>
      <w:r w:rsidR="00152967">
        <w:rPr>
          <w:szCs w:val="26"/>
        </w:rPr>
        <w:t>“</w:t>
      </w:r>
      <w:r w:rsidR="00630B1D">
        <w:rPr>
          <w:szCs w:val="26"/>
        </w:rPr>
        <w:t>initial billing date</w:t>
      </w:r>
      <w:r w:rsidR="00152967">
        <w:rPr>
          <w:szCs w:val="26"/>
        </w:rPr>
        <w:t>”</w:t>
      </w:r>
      <w:r w:rsidR="00ED7D9C">
        <w:rPr>
          <w:szCs w:val="26"/>
        </w:rPr>
        <w:t xml:space="preserve"> to be </w:t>
      </w:r>
      <w:r w:rsidR="0024561E">
        <w:rPr>
          <w:szCs w:val="26"/>
        </w:rPr>
        <w:t>an earlier</w:t>
      </w:r>
      <w:r w:rsidR="00F96E7F">
        <w:rPr>
          <w:szCs w:val="26"/>
        </w:rPr>
        <w:t xml:space="preserve"> date </w:t>
      </w:r>
      <w:r w:rsidR="00ED7D9C">
        <w:rPr>
          <w:szCs w:val="26"/>
        </w:rPr>
        <w:t>when the EGS first billed the customer for service.</w:t>
      </w:r>
      <w:r w:rsidR="00C40341">
        <w:rPr>
          <w:szCs w:val="26"/>
        </w:rPr>
        <w:t xml:space="preserve">  Petition at 14.</w:t>
      </w:r>
    </w:p>
    <w:p w:rsidR="004C593D" w:rsidRDefault="004C593D" w:rsidP="00F228BF">
      <w:pPr>
        <w:autoSpaceDE w:val="0"/>
        <w:autoSpaceDN w:val="0"/>
        <w:adjustRightInd w:val="0"/>
        <w:spacing w:line="360" w:lineRule="auto"/>
        <w:ind w:firstLine="1440"/>
        <w:rPr>
          <w:szCs w:val="26"/>
        </w:rPr>
      </w:pPr>
    </w:p>
    <w:p w:rsidR="00AA2F45" w:rsidRPr="003A64BF" w:rsidRDefault="008375B0" w:rsidP="00F228BF">
      <w:pPr>
        <w:autoSpaceDE w:val="0"/>
        <w:autoSpaceDN w:val="0"/>
        <w:adjustRightInd w:val="0"/>
        <w:spacing w:line="360" w:lineRule="auto"/>
        <w:ind w:firstLine="1440"/>
        <w:rPr>
          <w:szCs w:val="26"/>
        </w:rPr>
      </w:pPr>
      <w:r>
        <w:rPr>
          <w:szCs w:val="26"/>
        </w:rPr>
        <w:t>PECO also clarifie</w:t>
      </w:r>
      <w:r w:rsidR="0027535F">
        <w:rPr>
          <w:szCs w:val="26"/>
        </w:rPr>
        <w:t>d in its Answer</w:t>
      </w:r>
      <w:r>
        <w:rPr>
          <w:szCs w:val="26"/>
        </w:rPr>
        <w:t xml:space="preserve"> that the OSBA’s suggestion that PECO intends to purchase dual billing receivables is simply incorrect.  </w:t>
      </w:r>
      <w:r w:rsidR="000B63B0">
        <w:rPr>
          <w:szCs w:val="26"/>
        </w:rPr>
        <w:t>PECO Answer at 2.</w:t>
      </w:r>
      <w:r w:rsidR="0027535F">
        <w:rPr>
          <w:szCs w:val="26"/>
        </w:rPr>
        <w:t xml:space="preserve">  As previously noted, the Revised POR Program does not apply to dual billing accounts.</w:t>
      </w:r>
    </w:p>
    <w:p w:rsidR="00152967" w:rsidRDefault="00152967">
      <w:pPr>
        <w:rPr>
          <w:b/>
          <w:bCs/>
          <w:szCs w:val="26"/>
        </w:rPr>
      </w:pPr>
      <w:r>
        <w:rPr>
          <w:b/>
          <w:bCs/>
          <w:szCs w:val="26"/>
        </w:rPr>
        <w:br w:type="page"/>
      </w:r>
    </w:p>
    <w:p w:rsidR="002D1DA9" w:rsidRPr="00BF01E6" w:rsidRDefault="003F4FD1" w:rsidP="008A013D">
      <w:pPr>
        <w:pStyle w:val="BodyText"/>
        <w:tabs>
          <w:tab w:val="clear" w:pos="1980"/>
          <w:tab w:val="left" w:pos="-720"/>
        </w:tabs>
        <w:suppressAutoHyphens/>
        <w:spacing w:line="360" w:lineRule="auto"/>
        <w:ind w:firstLine="86"/>
        <w:jc w:val="center"/>
        <w:outlineLvl w:val="0"/>
        <w:rPr>
          <w:rFonts w:ascii="Times New Roman" w:hAnsi="Times New Roman"/>
          <w:b/>
          <w:bCs/>
          <w:szCs w:val="26"/>
        </w:rPr>
      </w:pPr>
      <w:r>
        <w:rPr>
          <w:rFonts w:ascii="Times New Roman" w:hAnsi="Times New Roman"/>
          <w:b/>
          <w:bCs/>
          <w:szCs w:val="26"/>
        </w:rPr>
        <w:lastRenderedPageBreak/>
        <w:t>III</w:t>
      </w:r>
      <w:r w:rsidR="00BF01E6" w:rsidRPr="00BF01E6">
        <w:rPr>
          <w:rFonts w:ascii="Times New Roman" w:hAnsi="Times New Roman"/>
          <w:b/>
          <w:bCs/>
          <w:szCs w:val="26"/>
        </w:rPr>
        <w:t xml:space="preserve">.  </w:t>
      </w:r>
      <w:r w:rsidR="00D67531" w:rsidRPr="00BF01E6">
        <w:rPr>
          <w:rFonts w:ascii="Times New Roman" w:hAnsi="Times New Roman"/>
          <w:b/>
          <w:bCs/>
          <w:szCs w:val="26"/>
        </w:rPr>
        <w:t>C</w:t>
      </w:r>
      <w:r w:rsidR="008A013D" w:rsidRPr="00BF01E6">
        <w:rPr>
          <w:rFonts w:ascii="Times New Roman" w:hAnsi="Times New Roman"/>
          <w:b/>
          <w:bCs/>
          <w:szCs w:val="26"/>
        </w:rPr>
        <w:t>ONCLUSION</w:t>
      </w:r>
    </w:p>
    <w:p w:rsidR="002D1DA9" w:rsidRDefault="002D1DA9" w:rsidP="00902DC5">
      <w:pPr>
        <w:pStyle w:val="BodyText"/>
        <w:tabs>
          <w:tab w:val="clear" w:pos="1980"/>
          <w:tab w:val="left" w:pos="-720"/>
          <w:tab w:val="left" w:pos="0"/>
        </w:tabs>
        <w:suppressAutoHyphens/>
        <w:spacing w:line="360" w:lineRule="auto"/>
        <w:jc w:val="left"/>
        <w:rPr>
          <w:rFonts w:ascii="Times New Roman" w:hAnsi="Times New Roman"/>
          <w:szCs w:val="26"/>
        </w:rPr>
      </w:pPr>
    </w:p>
    <w:p w:rsidR="00302F14" w:rsidRDefault="00302F14" w:rsidP="00302F14">
      <w:pPr>
        <w:pStyle w:val="BodyText"/>
        <w:tabs>
          <w:tab w:val="clear" w:pos="1980"/>
          <w:tab w:val="left" w:pos="-720"/>
          <w:tab w:val="left" w:pos="0"/>
        </w:tabs>
        <w:suppressAutoHyphens/>
        <w:spacing w:line="360" w:lineRule="auto"/>
        <w:ind w:firstLine="1440"/>
        <w:jc w:val="left"/>
        <w:rPr>
          <w:rFonts w:ascii="Times New Roman" w:hAnsi="Times New Roman"/>
          <w:color w:val="000000"/>
          <w:szCs w:val="26"/>
          <w:u w:color="000000"/>
        </w:rPr>
      </w:pPr>
      <w:r w:rsidRPr="00302F14">
        <w:rPr>
          <w:rFonts w:ascii="Times New Roman" w:hAnsi="Times New Roman"/>
          <w:color w:val="000000"/>
          <w:szCs w:val="26"/>
          <w:u w:color="000000"/>
        </w:rPr>
        <w:t xml:space="preserve">Based upon our review of the </w:t>
      </w:r>
      <w:r w:rsidR="00454E73">
        <w:rPr>
          <w:rFonts w:ascii="Times New Roman" w:hAnsi="Times New Roman"/>
          <w:color w:val="000000"/>
          <w:szCs w:val="26"/>
          <w:u w:color="000000"/>
        </w:rPr>
        <w:t>Petition for Clarification</w:t>
      </w:r>
      <w:r w:rsidR="002E5E79">
        <w:rPr>
          <w:rFonts w:ascii="Times New Roman" w:hAnsi="Times New Roman"/>
          <w:color w:val="000000"/>
          <w:szCs w:val="26"/>
          <w:u w:color="000000"/>
        </w:rPr>
        <w:t xml:space="preserve"> and the Answers thereto,</w:t>
      </w:r>
      <w:r w:rsidRPr="00302F14">
        <w:rPr>
          <w:rFonts w:ascii="Times New Roman" w:hAnsi="Times New Roman"/>
          <w:color w:val="000000"/>
          <w:szCs w:val="26"/>
          <w:u w:color="000000"/>
        </w:rPr>
        <w:t xml:space="preserve"> </w:t>
      </w:r>
      <w:r w:rsidR="00D2134C">
        <w:rPr>
          <w:rFonts w:ascii="Times New Roman" w:hAnsi="Times New Roman"/>
          <w:color w:val="000000"/>
          <w:szCs w:val="26"/>
          <w:u w:color="000000"/>
        </w:rPr>
        <w:t xml:space="preserve">we conclude that the OSBA’s request for clarification is consistent with the standards of </w:t>
      </w:r>
      <w:r w:rsidR="00D2134C" w:rsidRPr="00D2134C">
        <w:rPr>
          <w:rFonts w:ascii="Times New Roman" w:hAnsi="Times New Roman"/>
          <w:i/>
          <w:color w:val="000000"/>
          <w:szCs w:val="26"/>
          <w:u w:color="000000"/>
        </w:rPr>
        <w:t>Duick</w:t>
      </w:r>
      <w:r w:rsidR="00D2134C">
        <w:rPr>
          <w:rFonts w:ascii="Times New Roman" w:hAnsi="Times New Roman"/>
          <w:color w:val="000000"/>
          <w:szCs w:val="26"/>
          <w:u w:color="000000"/>
        </w:rPr>
        <w:t xml:space="preserve"> and shall be granted consistent with the discussion herein</w:t>
      </w:r>
      <w:r w:rsidR="000A1479">
        <w:rPr>
          <w:rFonts w:ascii="Times New Roman" w:hAnsi="Times New Roman"/>
          <w:color w:val="000000"/>
          <w:szCs w:val="26"/>
          <w:u w:color="000000"/>
        </w:rPr>
        <w:t xml:space="preserve">; </w:t>
      </w:r>
      <w:r w:rsidR="000A1479" w:rsidRPr="00E468FE">
        <w:rPr>
          <w:rFonts w:ascii="Times New Roman" w:hAnsi="Times New Roman"/>
          <w:b/>
          <w:color w:val="000000"/>
          <w:szCs w:val="26"/>
          <w:u w:color="000000"/>
        </w:rPr>
        <w:t>THEREFORE</w:t>
      </w:r>
      <w:r w:rsidRPr="00E468FE">
        <w:rPr>
          <w:rFonts w:ascii="Times New Roman" w:hAnsi="Times New Roman"/>
          <w:b/>
          <w:color w:val="000000"/>
          <w:szCs w:val="26"/>
          <w:u w:color="000000"/>
        </w:rPr>
        <w:t>,</w:t>
      </w:r>
    </w:p>
    <w:p w:rsidR="00EE5DDF" w:rsidRDefault="00EE5DDF" w:rsidP="00302F14">
      <w:pPr>
        <w:pStyle w:val="BodyText"/>
        <w:tabs>
          <w:tab w:val="clear" w:pos="1980"/>
          <w:tab w:val="left" w:pos="-720"/>
          <w:tab w:val="left" w:pos="0"/>
        </w:tabs>
        <w:suppressAutoHyphens/>
        <w:spacing w:line="360" w:lineRule="auto"/>
        <w:ind w:firstLine="1440"/>
        <w:jc w:val="left"/>
        <w:rPr>
          <w:rFonts w:ascii="Times New Roman" w:hAnsi="Times New Roman"/>
          <w:color w:val="000000"/>
          <w:szCs w:val="26"/>
          <w:u w:color="000000"/>
        </w:rPr>
      </w:pPr>
    </w:p>
    <w:p w:rsidR="00EE5DDF" w:rsidRPr="00EE5DDF" w:rsidRDefault="00EE5DDF" w:rsidP="00302F14">
      <w:pPr>
        <w:pStyle w:val="BodyText"/>
        <w:tabs>
          <w:tab w:val="clear" w:pos="1980"/>
          <w:tab w:val="left" w:pos="-720"/>
          <w:tab w:val="left" w:pos="0"/>
        </w:tabs>
        <w:suppressAutoHyphens/>
        <w:spacing w:line="360" w:lineRule="auto"/>
        <w:ind w:firstLine="1440"/>
        <w:jc w:val="left"/>
        <w:rPr>
          <w:rFonts w:ascii="Times New Roman" w:hAnsi="Times New Roman"/>
          <w:b/>
          <w:color w:val="000000"/>
          <w:szCs w:val="26"/>
          <w:u w:color="000000"/>
        </w:rPr>
      </w:pPr>
      <w:r>
        <w:rPr>
          <w:rFonts w:ascii="Times New Roman" w:hAnsi="Times New Roman"/>
          <w:b/>
          <w:color w:val="000000"/>
          <w:szCs w:val="26"/>
          <w:u w:color="000000"/>
        </w:rPr>
        <w:t>IT IS ORDERED:</w:t>
      </w:r>
    </w:p>
    <w:p w:rsidR="00302F14" w:rsidRDefault="00302F14" w:rsidP="00302F14">
      <w:pPr>
        <w:pStyle w:val="BodyText"/>
        <w:tabs>
          <w:tab w:val="clear" w:pos="1980"/>
          <w:tab w:val="left" w:pos="-720"/>
          <w:tab w:val="left" w:pos="0"/>
        </w:tabs>
        <w:suppressAutoHyphens/>
        <w:spacing w:line="360" w:lineRule="auto"/>
        <w:ind w:firstLine="1440"/>
        <w:jc w:val="left"/>
        <w:rPr>
          <w:rFonts w:ascii="Times New Roman" w:hAnsi="Times New Roman"/>
          <w:color w:val="000000"/>
          <w:szCs w:val="26"/>
          <w:u w:color="000000"/>
        </w:rPr>
      </w:pPr>
    </w:p>
    <w:p w:rsidR="002D1DA9" w:rsidRDefault="002D1DA9" w:rsidP="008F789B">
      <w:pPr>
        <w:pStyle w:val="BodyText"/>
        <w:tabs>
          <w:tab w:val="clear" w:pos="1980"/>
          <w:tab w:val="left" w:pos="-720"/>
          <w:tab w:val="left" w:pos="0"/>
        </w:tabs>
        <w:suppressAutoHyphens/>
        <w:spacing w:line="360" w:lineRule="auto"/>
        <w:jc w:val="left"/>
        <w:rPr>
          <w:rFonts w:ascii="Times New Roman" w:hAnsi="Times New Roman"/>
          <w:szCs w:val="26"/>
        </w:rPr>
      </w:pPr>
      <w:r w:rsidRPr="00E55041">
        <w:rPr>
          <w:rFonts w:ascii="Times New Roman" w:hAnsi="Times New Roman"/>
          <w:szCs w:val="26"/>
        </w:rPr>
        <w:tab/>
      </w:r>
      <w:r w:rsidRPr="00E55041">
        <w:rPr>
          <w:rFonts w:ascii="Times New Roman" w:hAnsi="Times New Roman"/>
          <w:szCs w:val="26"/>
        </w:rPr>
        <w:tab/>
      </w:r>
      <w:r w:rsidR="00CA4F43">
        <w:rPr>
          <w:rFonts w:ascii="Times New Roman" w:hAnsi="Times New Roman"/>
          <w:szCs w:val="26"/>
        </w:rPr>
        <w:t>1.</w:t>
      </w:r>
      <w:r w:rsidR="00CA4F43">
        <w:rPr>
          <w:rFonts w:ascii="Times New Roman" w:hAnsi="Times New Roman"/>
          <w:szCs w:val="26"/>
        </w:rPr>
        <w:tab/>
        <w:t xml:space="preserve">That the </w:t>
      </w:r>
      <w:r w:rsidR="00454E73">
        <w:rPr>
          <w:rFonts w:ascii="Times New Roman" w:hAnsi="Times New Roman"/>
          <w:szCs w:val="26"/>
        </w:rPr>
        <w:t>Petition for Clarification</w:t>
      </w:r>
      <w:r w:rsidR="00D2134C">
        <w:rPr>
          <w:rFonts w:ascii="Times New Roman" w:hAnsi="Times New Roman"/>
          <w:szCs w:val="26"/>
        </w:rPr>
        <w:t xml:space="preserve"> filed by the Office of Small Business Advocate on July 2, 2010, is granted, consistent with this Opinion and Order.</w:t>
      </w:r>
    </w:p>
    <w:p w:rsidR="00D2134C" w:rsidRDefault="00D2134C" w:rsidP="008F789B">
      <w:pPr>
        <w:pStyle w:val="BodyText"/>
        <w:tabs>
          <w:tab w:val="clear" w:pos="1980"/>
          <w:tab w:val="left" w:pos="-720"/>
          <w:tab w:val="left" w:pos="0"/>
        </w:tabs>
        <w:suppressAutoHyphens/>
        <w:spacing w:line="360" w:lineRule="auto"/>
        <w:jc w:val="left"/>
        <w:rPr>
          <w:rFonts w:ascii="Times New Roman" w:hAnsi="Times New Roman"/>
          <w:szCs w:val="26"/>
        </w:rPr>
      </w:pPr>
    </w:p>
    <w:p w:rsidR="00D2134C" w:rsidRPr="00E55041" w:rsidRDefault="00D2134C" w:rsidP="008F789B">
      <w:pPr>
        <w:pStyle w:val="BodyText"/>
        <w:tabs>
          <w:tab w:val="clear" w:pos="1980"/>
          <w:tab w:val="left" w:pos="-720"/>
          <w:tab w:val="left" w:pos="0"/>
        </w:tabs>
        <w:suppressAutoHyphens/>
        <w:spacing w:line="360" w:lineRule="auto"/>
        <w:jc w:val="left"/>
        <w:rPr>
          <w:rFonts w:ascii="Times New Roman" w:hAnsi="Times New Roman"/>
          <w:szCs w:val="26"/>
        </w:rPr>
      </w:pPr>
      <w:r>
        <w:rPr>
          <w:rFonts w:ascii="Times New Roman" w:hAnsi="Times New Roman"/>
          <w:szCs w:val="26"/>
        </w:rPr>
        <w:tab/>
      </w:r>
      <w:r>
        <w:rPr>
          <w:rFonts w:ascii="Times New Roman" w:hAnsi="Times New Roman"/>
          <w:szCs w:val="26"/>
        </w:rPr>
        <w:tab/>
        <w:t>2.</w:t>
      </w:r>
      <w:r>
        <w:rPr>
          <w:rFonts w:ascii="Times New Roman" w:hAnsi="Times New Roman"/>
          <w:szCs w:val="26"/>
        </w:rPr>
        <w:tab/>
        <w:t>That a copy of this Opinion and Order be served on all Parties to this proceeding.</w:t>
      </w:r>
    </w:p>
    <w:p w:rsidR="002D1DA9" w:rsidRPr="00E55041" w:rsidRDefault="002D1DA9" w:rsidP="00FD1BF8">
      <w:pPr>
        <w:tabs>
          <w:tab w:val="left" w:pos="-720"/>
        </w:tabs>
        <w:suppressAutoHyphens/>
        <w:spacing w:line="360" w:lineRule="auto"/>
        <w:rPr>
          <w:spacing w:val="-3"/>
          <w:szCs w:val="26"/>
        </w:rPr>
      </w:pPr>
    </w:p>
    <w:p w:rsidR="00124D6C" w:rsidRDefault="00712E66" w:rsidP="00BF01E6">
      <w:pPr>
        <w:spacing w:line="360" w:lineRule="auto"/>
        <w:rPr>
          <w:spacing w:val="-3"/>
          <w:szCs w:val="26"/>
        </w:rPr>
      </w:pPr>
      <w:r>
        <w:rPr>
          <w:spacing w:val="-3"/>
          <w:szCs w:val="26"/>
        </w:rPr>
        <w:tab/>
      </w:r>
      <w:r>
        <w:rPr>
          <w:spacing w:val="-3"/>
          <w:szCs w:val="26"/>
        </w:rPr>
        <w:tab/>
      </w:r>
      <w:r w:rsidR="00E6463B">
        <w:rPr>
          <w:spacing w:val="-3"/>
          <w:szCs w:val="26"/>
        </w:rPr>
        <w:t>3.</w:t>
      </w:r>
      <w:r w:rsidR="00E6463B">
        <w:rPr>
          <w:spacing w:val="-3"/>
          <w:szCs w:val="26"/>
        </w:rPr>
        <w:tab/>
        <w:t>That this proceeding at Docket No. P-2009-2143607 shall be marked closed.</w:t>
      </w:r>
    </w:p>
    <w:p w:rsidR="00BF01E6" w:rsidRDefault="00BF01E6">
      <w:pPr>
        <w:rPr>
          <w:spacing w:val="-3"/>
          <w:szCs w:val="26"/>
        </w:rPr>
      </w:pPr>
    </w:p>
    <w:p w:rsidR="002D1DA9" w:rsidRDefault="002D1DA9" w:rsidP="009A6B5F">
      <w:pPr>
        <w:spacing w:line="360" w:lineRule="auto"/>
        <w:rPr>
          <w:szCs w:val="26"/>
        </w:rPr>
      </w:pPr>
    </w:p>
    <w:p w:rsidR="002D1DA9" w:rsidRDefault="0077574C" w:rsidP="004D21DD">
      <w:pPr>
        <w:tabs>
          <w:tab w:val="left" w:pos="5040"/>
        </w:tabs>
        <w:spacing w:line="360" w:lineRule="auto"/>
        <w:rPr>
          <w:szCs w:val="26"/>
        </w:rPr>
      </w:pPr>
      <w:r>
        <w:rPr>
          <w:noProof/>
          <w:szCs w:val="26"/>
        </w:rPr>
        <w:drawing>
          <wp:anchor distT="0" distB="0" distL="114300" distR="114300" simplePos="0" relativeHeight="251659264" behindDoc="1" locked="0" layoutInCell="1" allowOverlap="1">
            <wp:simplePos x="0" y="0"/>
            <wp:positionH relativeFrom="column">
              <wp:posOffset>3003550</wp:posOffset>
            </wp:positionH>
            <wp:positionV relativeFrom="paragraph">
              <wp:posOffset>92710</wp:posOffset>
            </wp:positionV>
            <wp:extent cx="2196465" cy="836295"/>
            <wp:effectExtent l="19050" t="0" r="0"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6465" cy="836295"/>
                    </a:xfrm>
                    <a:prstGeom prst="rect">
                      <a:avLst/>
                    </a:prstGeom>
                    <a:noFill/>
                    <a:ln w="9525">
                      <a:noFill/>
                      <a:miter lim="800000"/>
                      <a:headEnd/>
                      <a:tailEnd/>
                    </a:ln>
                  </pic:spPr>
                </pic:pic>
              </a:graphicData>
            </a:graphic>
          </wp:anchor>
        </w:drawing>
      </w:r>
      <w:r w:rsidR="002D1DA9">
        <w:rPr>
          <w:szCs w:val="26"/>
        </w:rPr>
        <w:tab/>
      </w:r>
      <w:r w:rsidR="002D1DA9">
        <w:rPr>
          <w:b/>
          <w:szCs w:val="26"/>
        </w:rPr>
        <w:t>BY THE COMMISSION</w:t>
      </w:r>
    </w:p>
    <w:p w:rsidR="002D1DA9" w:rsidRDefault="002D1DA9" w:rsidP="004D21DD">
      <w:pPr>
        <w:tabs>
          <w:tab w:val="left" w:pos="5040"/>
        </w:tabs>
        <w:spacing w:line="360" w:lineRule="auto"/>
        <w:rPr>
          <w:szCs w:val="26"/>
        </w:rPr>
      </w:pPr>
    </w:p>
    <w:p w:rsidR="002D1DA9" w:rsidRDefault="002D1DA9" w:rsidP="004D21DD">
      <w:pPr>
        <w:tabs>
          <w:tab w:val="left" w:pos="5040"/>
        </w:tabs>
        <w:spacing w:line="360" w:lineRule="auto"/>
        <w:rPr>
          <w:szCs w:val="26"/>
        </w:rPr>
      </w:pPr>
    </w:p>
    <w:p w:rsidR="002D1DA9" w:rsidRDefault="002D1DA9" w:rsidP="00BF01E6">
      <w:pPr>
        <w:tabs>
          <w:tab w:val="left" w:pos="5040"/>
        </w:tabs>
        <w:rPr>
          <w:szCs w:val="26"/>
        </w:rPr>
      </w:pPr>
      <w:r>
        <w:rPr>
          <w:szCs w:val="26"/>
        </w:rPr>
        <w:tab/>
        <w:t>Rosemary Chiavetta</w:t>
      </w:r>
    </w:p>
    <w:p w:rsidR="00BF01E6" w:rsidRDefault="00BF01E6" w:rsidP="00BF01E6">
      <w:pPr>
        <w:tabs>
          <w:tab w:val="left" w:pos="5040"/>
        </w:tabs>
        <w:rPr>
          <w:szCs w:val="26"/>
        </w:rPr>
      </w:pPr>
      <w:r>
        <w:rPr>
          <w:szCs w:val="26"/>
        </w:rPr>
        <w:tab/>
        <w:t>Secretary</w:t>
      </w:r>
    </w:p>
    <w:p w:rsidR="002D1DA9" w:rsidRDefault="002D1DA9" w:rsidP="004D21DD">
      <w:pPr>
        <w:tabs>
          <w:tab w:val="left" w:pos="5040"/>
        </w:tabs>
        <w:spacing w:line="360" w:lineRule="auto"/>
        <w:rPr>
          <w:szCs w:val="26"/>
        </w:rPr>
      </w:pPr>
    </w:p>
    <w:p w:rsidR="00152967" w:rsidRDefault="00152967" w:rsidP="004D21DD">
      <w:pPr>
        <w:tabs>
          <w:tab w:val="left" w:pos="5040"/>
        </w:tabs>
        <w:spacing w:line="360" w:lineRule="auto"/>
        <w:rPr>
          <w:szCs w:val="26"/>
        </w:rPr>
      </w:pPr>
    </w:p>
    <w:p w:rsidR="002D1DA9" w:rsidRDefault="002D1DA9" w:rsidP="004D21DD">
      <w:pPr>
        <w:tabs>
          <w:tab w:val="left" w:pos="5040"/>
        </w:tabs>
        <w:rPr>
          <w:szCs w:val="26"/>
        </w:rPr>
      </w:pPr>
      <w:r>
        <w:rPr>
          <w:szCs w:val="26"/>
        </w:rPr>
        <w:t>(SEAL)</w:t>
      </w:r>
    </w:p>
    <w:p w:rsidR="00BF01E6" w:rsidRDefault="00BF01E6" w:rsidP="004D21DD">
      <w:pPr>
        <w:tabs>
          <w:tab w:val="left" w:pos="5040"/>
        </w:tabs>
        <w:rPr>
          <w:szCs w:val="26"/>
        </w:rPr>
      </w:pPr>
    </w:p>
    <w:p w:rsidR="002D1DA9" w:rsidRDefault="009A4D52" w:rsidP="004D21DD">
      <w:pPr>
        <w:tabs>
          <w:tab w:val="left" w:pos="5040"/>
        </w:tabs>
        <w:rPr>
          <w:szCs w:val="26"/>
        </w:rPr>
      </w:pPr>
      <w:r>
        <w:rPr>
          <w:szCs w:val="26"/>
        </w:rPr>
        <w:t>ORDER ADOPTED:  August 18</w:t>
      </w:r>
      <w:r w:rsidR="002D1DA9">
        <w:rPr>
          <w:szCs w:val="26"/>
        </w:rPr>
        <w:t>, 2010</w:t>
      </w:r>
    </w:p>
    <w:p w:rsidR="00BF01E6" w:rsidRDefault="00BF01E6" w:rsidP="004D21DD">
      <w:pPr>
        <w:tabs>
          <w:tab w:val="left" w:pos="5040"/>
        </w:tabs>
        <w:rPr>
          <w:szCs w:val="26"/>
        </w:rPr>
      </w:pPr>
    </w:p>
    <w:p w:rsidR="002D1DA9" w:rsidRPr="0077574C" w:rsidRDefault="002D1DA9" w:rsidP="004D21DD">
      <w:pPr>
        <w:tabs>
          <w:tab w:val="left" w:pos="5040"/>
        </w:tabs>
        <w:rPr>
          <w:b/>
          <w:szCs w:val="26"/>
        </w:rPr>
      </w:pPr>
      <w:r>
        <w:rPr>
          <w:szCs w:val="26"/>
        </w:rPr>
        <w:t xml:space="preserve">ORDER ENTERED:  </w:t>
      </w:r>
      <w:r w:rsidR="0077574C" w:rsidRPr="0077574C">
        <w:rPr>
          <w:b/>
          <w:szCs w:val="26"/>
        </w:rPr>
        <w:t>August 24, 2010</w:t>
      </w:r>
    </w:p>
    <w:sectPr w:rsidR="002D1DA9" w:rsidRPr="0077574C" w:rsidSect="00770A10">
      <w:footerReference w:type="even" r:id="rId9"/>
      <w:footerReference w:type="default" r:id="rId10"/>
      <w:pgSz w:w="12240" w:h="15840" w:code="1"/>
      <w:pgMar w:top="1440" w:right="1440" w:bottom="1440" w:left="1440" w:header="0" w:footer="432"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452A" w:rsidRDefault="000F452A">
      <w:r>
        <w:separator/>
      </w:r>
    </w:p>
  </w:endnote>
  <w:endnote w:type="continuationSeparator" w:id="0">
    <w:p w:rsidR="000F452A" w:rsidRDefault="000F45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AF6" w:rsidRDefault="007D10D0">
    <w:pPr>
      <w:pStyle w:val="Footer"/>
      <w:framePr w:wrap="around" w:vAnchor="text" w:hAnchor="margin" w:xAlign="center" w:y="1"/>
      <w:rPr>
        <w:rStyle w:val="PageNumber"/>
      </w:rPr>
    </w:pPr>
    <w:r>
      <w:rPr>
        <w:rStyle w:val="PageNumber"/>
      </w:rPr>
      <w:fldChar w:fldCharType="begin"/>
    </w:r>
    <w:r w:rsidR="00A30AF6">
      <w:rPr>
        <w:rStyle w:val="PageNumber"/>
      </w:rPr>
      <w:instrText xml:space="preserve">PAGE  </w:instrText>
    </w:r>
    <w:r>
      <w:rPr>
        <w:rStyle w:val="PageNumber"/>
      </w:rPr>
      <w:fldChar w:fldCharType="end"/>
    </w:r>
  </w:p>
  <w:p w:rsidR="00A30AF6" w:rsidRDefault="00A30A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AF6" w:rsidRDefault="007D10D0">
    <w:pPr>
      <w:pStyle w:val="Footer"/>
      <w:framePr w:wrap="around" w:vAnchor="text" w:hAnchor="margin" w:xAlign="center" w:y="1"/>
      <w:rPr>
        <w:rStyle w:val="PageNumber"/>
      </w:rPr>
    </w:pPr>
    <w:r>
      <w:rPr>
        <w:rStyle w:val="PageNumber"/>
      </w:rPr>
      <w:fldChar w:fldCharType="begin"/>
    </w:r>
    <w:r w:rsidR="00A30AF6">
      <w:rPr>
        <w:rStyle w:val="PageNumber"/>
      </w:rPr>
      <w:instrText xml:space="preserve">PAGE  </w:instrText>
    </w:r>
    <w:r>
      <w:rPr>
        <w:rStyle w:val="PageNumber"/>
      </w:rPr>
      <w:fldChar w:fldCharType="separate"/>
    </w:r>
    <w:r w:rsidR="0077574C">
      <w:rPr>
        <w:rStyle w:val="PageNumber"/>
        <w:noProof/>
      </w:rPr>
      <w:t>9</w:t>
    </w:r>
    <w:r>
      <w:rPr>
        <w:rStyle w:val="PageNumber"/>
      </w:rPr>
      <w:fldChar w:fldCharType="end"/>
    </w:r>
  </w:p>
  <w:p w:rsidR="00A30AF6" w:rsidRDefault="00A30AF6">
    <w:pPr>
      <w:pStyle w:val="Caption"/>
      <w:tabs>
        <w:tab w:val="left" w:pos="0"/>
        <w:tab w:val="center" w:pos="4320"/>
        <w:tab w:val="right" w:pos="8640"/>
        <w:tab w:val="left" w:pos="9360"/>
      </w:tabs>
      <w:suppressAutoHyphens/>
      <w:spacing w:line="1" w:lineRule="exact"/>
      <w:ind w:left="1470" w:right="-1410"/>
    </w:pPr>
  </w:p>
  <w:p w:rsidR="00A30AF6" w:rsidRDefault="00A30AF6">
    <w:pPr>
      <w:pStyle w:val="Caption"/>
      <w:tabs>
        <w:tab w:val="left" w:pos="0"/>
        <w:tab w:val="center" w:pos="4320"/>
        <w:tab w:val="right" w:pos="8640"/>
        <w:tab w:val="left" w:pos="9360"/>
      </w:tabs>
      <w:suppressAutoHyphens/>
      <w:spacing w:line="1" w:lineRule="exact"/>
      <w:ind w:left="1470" w:right="-1410"/>
    </w:pPr>
  </w:p>
  <w:p w:rsidR="00A30AF6" w:rsidRDefault="00A30AF6">
    <w:pPr>
      <w:pStyle w:val="Caption"/>
      <w:tabs>
        <w:tab w:val="left" w:pos="0"/>
        <w:tab w:val="center" w:pos="4320"/>
        <w:tab w:val="right" w:pos="8640"/>
        <w:tab w:val="left" w:pos="9360"/>
      </w:tabs>
      <w:suppressAutoHyphens/>
      <w:spacing w:line="1" w:lineRule="exact"/>
      <w:ind w:left="1470" w:right="-1410"/>
    </w:pPr>
  </w:p>
  <w:p w:rsidR="00A30AF6" w:rsidRDefault="00A30AF6">
    <w:pPr>
      <w:pStyle w:val="Caption"/>
      <w:tabs>
        <w:tab w:val="left" w:pos="0"/>
        <w:tab w:val="center" w:pos="4320"/>
        <w:tab w:val="right" w:pos="8640"/>
        <w:tab w:val="left" w:pos="9360"/>
      </w:tabs>
      <w:suppressAutoHyphens/>
      <w:spacing w:line="1" w:lineRule="exact"/>
      <w:ind w:left="1470" w:right="-1410"/>
    </w:pPr>
  </w:p>
  <w:p w:rsidR="00A30AF6" w:rsidRDefault="00A30AF6">
    <w:pPr>
      <w:pStyle w:val="Caption"/>
      <w:tabs>
        <w:tab w:val="left" w:pos="0"/>
        <w:tab w:val="center" w:pos="4320"/>
        <w:tab w:val="right" w:pos="8640"/>
        <w:tab w:val="left" w:pos="9360"/>
      </w:tabs>
      <w:suppressAutoHyphens/>
      <w:spacing w:line="1" w:lineRule="exact"/>
      <w:ind w:left="1470" w:right="-1410"/>
    </w:pPr>
  </w:p>
  <w:p w:rsidR="00A30AF6" w:rsidRDefault="007D10D0">
    <w:pPr>
      <w:pStyle w:val="Caption"/>
      <w:tabs>
        <w:tab w:val="left" w:pos="0"/>
        <w:tab w:val="center" w:pos="4320"/>
        <w:tab w:val="right" w:pos="8640"/>
        <w:tab w:val="left" w:pos="9360"/>
      </w:tabs>
      <w:suppressAutoHyphens/>
      <w:spacing w:line="1" w:lineRule="exact"/>
      <w:ind w:left="1470" w:right="-1410"/>
      <w:rPr>
        <w:vanish/>
      </w:rPr>
    </w:pPr>
    <w:r>
      <w:rPr>
        <w:vanish/>
      </w:rPr>
      <w:fldChar w:fldCharType="begin"/>
    </w:r>
    <w:r w:rsidR="00A30AF6">
      <w:rPr>
        <w:vanish/>
      </w:rPr>
      <w:instrText>seq _endnote  \* Arabic</w:instrText>
    </w:r>
    <w:r>
      <w:rPr>
        <w:vanish/>
      </w:rPr>
      <w:fldChar w:fldCharType="separate"/>
    </w:r>
    <w:r w:rsidR="0077574C">
      <w:rPr>
        <w:b/>
        <w:bCs/>
        <w:noProof/>
        <w:vanish/>
      </w:rPr>
      <w:t>Error! Main Document Only.</w:t>
    </w:r>
    <w:r>
      <w:rPr>
        <w:vanish/>
      </w:rPr>
      <w:fldChar w:fldCharType="end"/>
    </w:r>
  </w:p>
  <w:p w:rsidR="00A30AF6" w:rsidRDefault="00A30AF6">
    <w:pPr>
      <w:tabs>
        <w:tab w:val="left" w:pos="0"/>
        <w:tab w:val="center" w:pos="4320"/>
        <w:tab w:val="right" w:pos="8640"/>
        <w:tab w:val="left" w:pos="9360"/>
      </w:tabs>
      <w:suppressAutoHyphens/>
      <w:rPr>
        <w:sz w:val="22"/>
      </w:rPr>
    </w:pPr>
    <w:r>
      <w:rPr>
        <w:sz w:val="22"/>
      </w:rPr>
      <w:tab/>
    </w:r>
  </w:p>
  <w:p w:rsidR="00A30AF6" w:rsidRDefault="00A30AF6">
    <w:pPr>
      <w:tabs>
        <w:tab w:val="left" w:pos="0"/>
        <w:tab w:val="center" w:pos="4320"/>
        <w:tab w:val="right" w:pos="8640"/>
        <w:tab w:val="left" w:pos="9360"/>
      </w:tabs>
      <w:suppressAutoHyphens/>
      <w:jc w:val="cen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452A" w:rsidRDefault="000F452A">
      <w:r>
        <w:separator/>
      </w:r>
    </w:p>
  </w:footnote>
  <w:footnote w:type="continuationSeparator" w:id="0">
    <w:p w:rsidR="000F452A" w:rsidRDefault="000F452A">
      <w:r>
        <w:continuationSeparator/>
      </w:r>
    </w:p>
  </w:footnote>
  <w:footnote w:id="1">
    <w:p w:rsidR="004A313E" w:rsidRDefault="004A313E">
      <w:pPr>
        <w:pStyle w:val="FootnoteText"/>
      </w:pPr>
      <w:r>
        <w:tab/>
      </w:r>
      <w:r>
        <w:rPr>
          <w:rStyle w:val="FootnoteReference"/>
        </w:rPr>
        <w:footnoteRef/>
      </w:r>
      <w:r>
        <w:tab/>
        <w:t>Only residential accounts are protected under Chapters 14 and 56</w:t>
      </w:r>
      <w:r w:rsidR="0082480F">
        <w:t>.  T</w:t>
      </w:r>
      <w:r w:rsidR="0009124B">
        <w:t>hese Chapters do not apply to Commercial and Industrial accounts.</w:t>
      </w:r>
    </w:p>
  </w:footnote>
  <w:footnote w:id="2">
    <w:p w:rsidR="00DB4C49" w:rsidRPr="00DB4C49" w:rsidRDefault="00DB4C49">
      <w:pPr>
        <w:pStyle w:val="FootnoteText"/>
      </w:pPr>
      <w:r>
        <w:tab/>
      </w:r>
      <w:r>
        <w:rPr>
          <w:rStyle w:val="FootnoteReference"/>
        </w:rPr>
        <w:footnoteRef/>
      </w:r>
      <w:r>
        <w:tab/>
      </w:r>
      <w:r>
        <w:rPr>
          <w:i/>
        </w:rPr>
        <w:t>June 18 Order</w:t>
      </w:r>
      <w:r>
        <w:t xml:space="preserve"> at 35.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FE8FE3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33D00C00"/>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4590FD18"/>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E584B38A"/>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66B46C4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DAC95A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84A25E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CC03B6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E065158"/>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9A9278AE"/>
    <w:lvl w:ilvl="0">
      <w:start w:val="1"/>
      <w:numFmt w:val="bullet"/>
      <w:lvlText w:val=""/>
      <w:lvlJc w:val="left"/>
      <w:pPr>
        <w:tabs>
          <w:tab w:val="num" w:pos="360"/>
        </w:tabs>
        <w:ind w:left="360" w:hanging="360"/>
      </w:pPr>
      <w:rPr>
        <w:rFonts w:ascii="Symbol" w:hAnsi="Symbol" w:hint="default"/>
      </w:rPr>
    </w:lvl>
  </w:abstractNum>
  <w:abstractNum w:abstractNumId="10">
    <w:nsid w:val="0C3A4DE3"/>
    <w:multiLevelType w:val="hybridMultilevel"/>
    <w:tmpl w:val="772C2E7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0F4D37AD"/>
    <w:multiLevelType w:val="singleLevel"/>
    <w:tmpl w:val="6860B998"/>
    <w:lvl w:ilvl="0">
      <w:start w:val="1"/>
      <w:numFmt w:val="lowerRoman"/>
      <w:lvlText w:val="(%1) "/>
      <w:legacy w:legacy="1" w:legacySpace="0" w:legacyIndent="360"/>
      <w:lvlJc w:val="left"/>
      <w:pPr>
        <w:ind w:left="2520" w:hanging="360"/>
      </w:pPr>
      <w:rPr>
        <w:rFonts w:ascii="Times New Roman" w:hAnsi="Times New Roman" w:cs="Times New Roman" w:hint="default"/>
        <w:b w:val="0"/>
        <w:i w:val="0"/>
        <w:sz w:val="24"/>
        <w:u w:val="none"/>
      </w:rPr>
    </w:lvl>
  </w:abstractNum>
  <w:abstractNum w:abstractNumId="12">
    <w:nsid w:val="1F0113C8"/>
    <w:multiLevelType w:val="singleLevel"/>
    <w:tmpl w:val="0CC4FC92"/>
    <w:lvl w:ilvl="0">
      <w:start w:val="6"/>
      <w:numFmt w:val="decimal"/>
      <w:lvlText w:val="%1. "/>
      <w:legacy w:legacy="1" w:legacySpace="0" w:legacyIndent="360"/>
      <w:lvlJc w:val="left"/>
      <w:pPr>
        <w:ind w:left="1080" w:hanging="360"/>
      </w:pPr>
      <w:rPr>
        <w:rFonts w:ascii="Times New Roman" w:hAnsi="Times New Roman" w:cs="Times New Roman" w:hint="default"/>
        <w:b w:val="0"/>
        <w:i w:val="0"/>
        <w:sz w:val="24"/>
        <w:u w:val="none"/>
      </w:rPr>
    </w:lvl>
  </w:abstractNum>
  <w:abstractNum w:abstractNumId="13">
    <w:nsid w:val="25C23047"/>
    <w:multiLevelType w:val="hybridMultilevel"/>
    <w:tmpl w:val="44A4B288"/>
    <w:lvl w:ilvl="0" w:tplc="501E1510">
      <w:start w:val="1"/>
      <w:numFmt w:val="upperLetter"/>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nsid w:val="27692D05"/>
    <w:multiLevelType w:val="hybridMultilevel"/>
    <w:tmpl w:val="398622D2"/>
    <w:lvl w:ilvl="0" w:tplc="632AA458">
      <w:start w:val="1"/>
      <w:numFmt w:val="decimal"/>
      <w:lvlText w:val="%1."/>
      <w:lvlJc w:val="left"/>
      <w:pPr>
        <w:tabs>
          <w:tab w:val="num" w:pos="446"/>
        </w:tabs>
        <w:ind w:left="446" w:hanging="360"/>
      </w:pPr>
      <w:rPr>
        <w:rFonts w:cs="Times New Roman" w:hint="default"/>
      </w:rPr>
    </w:lvl>
    <w:lvl w:ilvl="1" w:tplc="04090019" w:tentative="1">
      <w:start w:val="1"/>
      <w:numFmt w:val="lowerLetter"/>
      <w:lvlText w:val="%2."/>
      <w:lvlJc w:val="left"/>
      <w:pPr>
        <w:tabs>
          <w:tab w:val="num" w:pos="1166"/>
        </w:tabs>
        <w:ind w:left="1166" w:hanging="360"/>
      </w:pPr>
      <w:rPr>
        <w:rFonts w:cs="Times New Roman"/>
      </w:rPr>
    </w:lvl>
    <w:lvl w:ilvl="2" w:tplc="0409001B" w:tentative="1">
      <w:start w:val="1"/>
      <w:numFmt w:val="lowerRoman"/>
      <w:lvlText w:val="%3."/>
      <w:lvlJc w:val="right"/>
      <w:pPr>
        <w:tabs>
          <w:tab w:val="num" w:pos="1886"/>
        </w:tabs>
        <w:ind w:left="1886" w:hanging="180"/>
      </w:pPr>
      <w:rPr>
        <w:rFonts w:cs="Times New Roman"/>
      </w:rPr>
    </w:lvl>
    <w:lvl w:ilvl="3" w:tplc="0409000F" w:tentative="1">
      <w:start w:val="1"/>
      <w:numFmt w:val="decimal"/>
      <w:lvlText w:val="%4."/>
      <w:lvlJc w:val="left"/>
      <w:pPr>
        <w:tabs>
          <w:tab w:val="num" w:pos="2606"/>
        </w:tabs>
        <w:ind w:left="2606" w:hanging="360"/>
      </w:pPr>
      <w:rPr>
        <w:rFonts w:cs="Times New Roman"/>
      </w:rPr>
    </w:lvl>
    <w:lvl w:ilvl="4" w:tplc="04090019" w:tentative="1">
      <w:start w:val="1"/>
      <w:numFmt w:val="lowerLetter"/>
      <w:lvlText w:val="%5."/>
      <w:lvlJc w:val="left"/>
      <w:pPr>
        <w:tabs>
          <w:tab w:val="num" w:pos="3326"/>
        </w:tabs>
        <w:ind w:left="3326" w:hanging="360"/>
      </w:pPr>
      <w:rPr>
        <w:rFonts w:cs="Times New Roman"/>
      </w:rPr>
    </w:lvl>
    <w:lvl w:ilvl="5" w:tplc="0409001B" w:tentative="1">
      <w:start w:val="1"/>
      <w:numFmt w:val="lowerRoman"/>
      <w:lvlText w:val="%6."/>
      <w:lvlJc w:val="right"/>
      <w:pPr>
        <w:tabs>
          <w:tab w:val="num" w:pos="4046"/>
        </w:tabs>
        <w:ind w:left="4046" w:hanging="180"/>
      </w:pPr>
      <w:rPr>
        <w:rFonts w:cs="Times New Roman"/>
      </w:rPr>
    </w:lvl>
    <w:lvl w:ilvl="6" w:tplc="0409000F" w:tentative="1">
      <w:start w:val="1"/>
      <w:numFmt w:val="decimal"/>
      <w:lvlText w:val="%7."/>
      <w:lvlJc w:val="left"/>
      <w:pPr>
        <w:tabs>
          <w:tab w:val="num" w:pos="4766"/>
        </w:tabs>
        <w:ind w:left="4766" w:hanging="360"/>
      </w:pPr>
      <w:rPr>
        <w:rFonts w:cs="Times New Roman"/>
      </w:rPr>
    </w:lvl>
    <w:lvl w:ilvl="7" w:tplc="04090019" w:tentative="1">
      <w:start w:val="1"/>
      <w:numFmt w:val="lowerLetter"/>
      <w:lvlText w:val="%8."/>
      <w:lvlJc w:val="left"/>
      <w:pPr>
        <w:tabs>
          <w:tab w:val="num" w:pos="5486"/>
        </w:tabs>
        <w:ind w:left="5486" w:hanging="360"/>
      </w:pPr>
      <w:rPr>
        <w:rFonts w:cs="Times New Roman"/>
      </w:rPr>
    </w:lvl>
    <w:lvl w:ilvl="8" w:tplc="0409001B" w:tentative="1">
      <w:start w:val="1"/>
      <w:numFmt w:val="lowerRoman"/>
      <w:lvlText w:val="%9."/>
      <w:lvlJc w:val="right"/>
      <w:pPr>
        <w:tabs>
          <w:tab w:val="num" w:pos="6206"/>
        </w:tabs>
        <w:ind w:left="6206" w:hanging="180"/>
      </w:pPr>
      <w:rPr>
        <w:rFonts w:cs="Times New Roman"/>
      </w:rPr>
    </w:lvl>
  </w:abstractNum>
  <w:abstractNum w:abstractNumId="15">
    <w:nsid w:val="32B504F3"/>
    <w:multiLevelType w:val="hybridMultilevel"/>
    <w:tmpl w:val="E9AAC9C6"/>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6">
    <w:nsid w:val="3C141D92"/>
    <w:multiLevelType w:val="hybridMultilevel"/>
    <w:tmpl w:val="F10015CA"/>
    <w:lvl w:ilvl="0" w:tplc="3000F2DE">
      <w:start w:val="1"/>
      <w:numFmt w:val="lowerLetter"/>
      <w:lvlText w:val="(%1)"/>
      <w:lvlJc w:val="left"/>
      <w:pPr>
        <w:ind w:left="540" w:hanging="45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7">
    <w:nsid w:val="3C901528"/>
    <w:multiLevelType w:val="hybridMultilevel"/>
    <w:tmpl w:val="85ACB0EE"/>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8">
    <w:nsid w:val="43957193"/>
    <w:multiLevelType w:val="singleLevel"/>
    <w:tmpl w:val="AC26C3EC"/>
    <w:lvl w:ilvl="0">
      <w:start w:val="1"/>
      <w:numFmt w:val="bullet"/>
      <w:lvlText w:val=""/>
      <w:lvlJc w:val="left"/>
      <w:pPr>
        <w:tabs>
          <w:tab w:val="num" w:pos="360"/>
        </w:tabs>
        <w:ind w:left="72" w:hanging="72"/>
      </w:pPr>
      <w:rPr>
        <w:rFonts w:ascii="Wingdings" w:hAnsi="Wingdings" w:hint="default"/>
      </w:rPr>
    </w:lvl>
  </w:abstractNum>
  <w:abstractNum w:abstractNumId="19">
    <w:nsid w:val="4B6B03D4"/>
    <w:multiLevelType w:val="multilevel"/>
    <w:tmpl w:val="CCAA1358"/>
    <w:name w:val="zzmpOutline||Outline|2|3|1|1|2|41||1|4|0||1|4|0||1|4|1||1|4|0||1|4|9||1|4|0||1|4|0||1|4|0||"/>
    <w:lvl w:ilvl="0">
      <w:start w:val="1"/>
      <w:numFmt w:val="upperRoman"/>
      <w:lvlText w:val="%1."/>
      <w:lvlJc w:val="left"/>
      <w:pPr>
        <w:tabs>
          <w:tab w:val="num" w:pos="720"/>
        </w:tabs>
      </w:pPr>
      <w:rPr>
        <w:rFonts w:ascii="Times New Roman" w:hAnsi="Times New Roman" w:cs="Times New Roman" w:hint="default"/>
        <w:b/>
        <w:i w:val="0"/>
        <w:caps/>
        <w:smallCaps w:val="0"/>
        <w:strike w:val="0"/>
        <w:dstrike w:val="0"/>
        <w:sz w:val="24"/>
        <w:u w:val="none"/>
        <w:effect w:val="none"/>
      </w:rPr>
    </w:lvl>
    <w:lvl w:ilvl="1">
      <w:start w:val="1"/>
      <w:numFmt w:val="upperLetter"/>
      <w:lvlText w:val="%2."/>
      <w:lvlJc w:val="left"/>
      <w:pPr>
        <w:tabs>
          <w:tab w:val="num" w:pos="2070"/>
        </w:tabs>
        <w:ind w:left="630" w:firstLine="720"/>
      </w:pPr>
      <w:rPr>
        <w:rFonts w:cs="Times New Roman" w:hint="default"/>
        <w:b/>
        <w:i w:val="0"/>
        <w:caps w:val="0"/>
        <w:strike w:val="0"/>
        <w:dstrike w:val="0"/>
        <w:sz w:val="24"/>
        <w:u w:val="none"/>
        <w:effect w:val="none"/>
      </w:rPr>
    </w:lvl>
    <w:lvl w:ilvl="2">
      <w:start w:val="1"/>
      <w:numFmt w:val="lowerLetter"/>
      <w:lvlText w:val="%3."/>
      <w:lvlJc w:val="left"/>
      <w:pPr>
        <w:tabs>
          <w:tab w:val="num" w:pos="2160"/>
        </w:tabs>
        <w:ind w:firstLine="1440"/>
      </w:pPr>
      <w:rPr>
        <w:rFonts w:ascii="Times New Roman" w:hAnsi="Times New Roman" w:cs="Times New Roman" w:hint="default"/>
        <w:b w:val="0"/>
        <w:i w:val="0"/>
        <w:caps w:val="0"/>
        <w:strike w:val="0"/>
        <w:dstrike w:val="0"/>
        <w:sz w:val="24"/>
        <w:u w:val="none"/>
        <w:effect w:val="none"/>
      </w:rPr>
    </w:lvl>
    <w:lvl w:ilvl="3">
      <w:start w:val="1"/>
      <w:numFmt w:val="decimal"/>
      <w:lvlRestart w:val="0"/>
      <w:lvlText w:val="(%4)"/>
      <w:lvlJc w:val="left"/>
      <w:pPr>
        <w:tabs>
          <w:tab w:val="num" w:pos="2430"/>
        </w:tabs>
        <w:ind w:left="-450" w:firstLine="2160"/>
      </w:pPr>
      <w:rPr>
        <w:rFonts w:ascii="Times New Roman" w:hAnsi="Times New Roman" w:cs="Times New Roman" w:hint="default"/>
        <w:b w:val="0"/>
        <w:i w:val="0"/>
        <w:caps w:val="0"/>
        <w:strike w:val="0"/>
        <w:dstrike w:val="0"/>
        <w:sz w:val="24"/>
        <w:u w:val="none"/>
        <w:effect w:val="none"/>
      </w:rPr>
    </w:lvl>
    <w:lvl w:ilvl="4">
      <w:start w:val="1"/>
      <w:numFmt w:val="lowerLetter"/>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upperLetter"/>
      <w:lvlRestart w:val="0"/>
      <w:lvlText w:val="APPENDIX %6"/>
      <w:lvlJc w:val="left"/>
      <w:pPr>
        <w:tabs>
          <w:tab w:val="num" w:pos="2880"/>
        </w:tabs>
      </w:pPr>
      <w:rPr>
        <w:rFonts w:ascii="Times New Roman" w:hAnsi="Times New Roman" w:cs="Times New Roman" w:hint="default"/>
        <w:b/>
        <w:i w:val="0"/>
        <w:caps w:val="0"/>
        <w:strike w:val="0"/>
        <w:dstrike w:val="0"/>
        <w:sz w:val="24"/>
        <w:u w:val="none"/>
        <w:effect w:val="none"/>
      </w:rPr>
    </w:lvl>
    <w:lvl w:ilvl="6">
      <w:start w:val="1"/>
      <w:numFmt w:val="decimal"/>
      <w:lvlText w:val="(%7)"/>
      <w:lvlJc w:val="left"/>
      <w:pPr>
        <w:tabs>
          <w:tab w:val="num" w:pos="5040"/>
        </w:tabs>
        <w:ind w:firstLine="4320"/>
      </w:pPr>
      <w:rPr>
        <w:rFonts w:ascii="Times New Roman" w:hAnsi="Times New Roman" w:cs="Times New Roman" w:hint="default"/>
        <w:b w:val="0"/>
        <w:i w:val="0"/>
        <w:caps w:val="0"/>
        <w:strike w:val="0"/>
        <w:dstrike w:val="0"/>
        <w:sz w:val="24"/>
        <w:u w:val="none"/>
        <w:effect w:val="none"/>
      </w:rPr>
    </w:lvl>
    <w:lvl w:ilvl="7">
      <w:start w:val="1"/>
      <w:numFmt w:val="lowerRoman"/>
      <w:lvlText w:val="%8)"/>
      <w:lvlJc w:val="left"/>
      <w:pPr>
        <w:tabs>
          <w:tab w:val="num" w:pos="5760"/>
        </w:tabs>
        <w:ind w:firstLine="5040"/>
      </w:pPr>
      <w:rPr>
        <w:rFonts w:ascii="Times New Roman" w:hAnsi="Times New Roman" w:cs="Times New Roman" w:hint="default"/>
        <w:b w:val="0"/>
        <w:i w:val="0"/>
        <w:caps w:val="0"/>
        <w:strike w:val="0"/>
        <w:dstrike w:val="0"/>
        <w:sz w:val="24"/>
        <w:u w:val="none"/>
        <w:effect w:val="none"/>
      </w:rPr>
    </w:lvl>
    <w:lvl w:ilvl="8">
      <w:start w:val="1"/>
      <w:numFmt w:val="lowerLetter"/>
      <w:lvlText w:val="%9)"/>
      <w:lvlJc w:val="left"/>
      <w:pPr>
        <w:tabs>
          <w:tab w:val="num" w:pos="6480"/>
        </w:tabs>
        <w:ind w:firstLine="5760"/>
      </w:pPr>
      <w:rPr>
        <w:rFonts w:ascii="Times New Roman" w:hAnsi="Times New Roman" w:cs="Times New Roman" w:hint="default"/>
        <w:b w:val="0"/>
        <w:i w:val="0"/>
        <w:caps w:val="0"/>
        <w:strike w:val="0"/>
        <w:dstrike w:val="0"/>
        <w:sz w:val="24"/>
        <w:u w:val="none"/>
        <w:effect w:val="none"/>
      </w:rPr>
    </w:lvl>
  </w:abstractNum>
  <w:abstractNum w:abstractNumId="20">
    <w:nsid w:val="4C687151"/>
    <w:multiLevelType w:val="hybridMultilevel"/>
    <w:tmpl w:val="DF405E90"/>
    <w:lvl w:ilvl="0" w:tplc="5E12582A">
      <w:start w:val="12"/>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1">
    <w:nsid w:val="5A413FD9"/>
    <w:multiLevelType w:val="hybridMultilevel"/>
    <w:tmpl w:val="9F60AD50"/>
    <w:lvl w:ilvl="0" w:tplc="F10AD5D4">
      <w:start w:val="2"/>
      <w:numFmt w:val="upperRoman"/>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nsid w:val="6B3E6E9A"/>
    <w:multiLevelType w:val="multilevel"/>
    <w:tmpl w:val="7C404148"/>
    <w:lvl w:ilvl="0">
      <w:start w:val="1"/>
      <w:numFmt w:val="upperRoman"/>
      <w:lvlText w:val="%1."/>
      <w:lvlJc w:val="left"/>
      <w:pPr>
        <w:tabs>
          <w:tab w:val="num" w:pos="4680"/>
        </w:tabs>
        <w:ind w:left="4680" w:hanging="720"/>
      </w:pPr>
      <w:rPr>
        <w:rFonts w:cs="Times New Roman" w:hint="default"/>
        <w:b/>
        <w:vanish w:val="0"/>
        <w:color w:val="000000"/>
        <w:u w:val="none"/>
      </w:rPr>
    </w:lvl>
    <w:lvl w:ilvl="1">
      <w:start w:val="1"/>
      <w:numFmt w:val="upperLetter"/>
      <w:lvlText w:val="%2."/>
      <w:lvlJc w:val="left"/>
      <w:pPr>
        <w:tabs>
          <w:tab w:val="num" w:pos="1440"/>
        </w:tabs>
        <w:ind w:left="1440" w:hanging="720"/>
      </w:pPr>
      <w:rPr>
        <w:rFonts w:cs="Times New Roman" w:hint="default"/>
        <w:vanish w:val="0"/>
        <w:color w:val="000000"/>
        <w:u w:val="none"/>
      </w:rPr>
    </w:lvl>
    <w:lvl w:ilvl="2">
      <w:start w:val="1"/>
      <w:numFmt w:val="decimal"/>
      <w:lvlText w:val="%3."/>
      <w:lvlJc w:val="left"/>
      <w:pPr>
        <w:tabs>
          <w:tab w:val="num" w:pos="1980"/>
        </w:tabs>
        <w:ind w:left="1980" w:hanging="720"/>
      </w:pPr>
      <w:rPr>
        <w:rFonts w:cs="Times New Roman" w:hint="default"/>
        <w:i w:val="0"/>
        <w:vanish w:val="0"/>
        <w:color w:val="000000"/>
        <w:u w:val="none"/>
      </w:rPr>
    </w:lvl>
    <w:lvl w:ilvl="3">
      <w:start w:val="1"/>
      <w:numFmt w:val="lowerLetter"/>
      <w:lvlText w:val="%4."/>
      <w:lvlJc w:val="left"/>
      <w:pPr>
        <w:tabs>
          <w:tab w:val="num" w:pos="2700"/>
        </w:tabs>
        <w:ind w:left="2700" w:hanging="720"/>
      </w:pPr>
      <w:rPr>
        <w:rFonts w:cs="Times New Roman" w:hint="default"/>
        <w:i w:val="0"/>
        <w:vanish w:val="0"/>
        <w:color w:val="000000"/>
        <w:u w:val="none"/>
      </w:rPr>
    </w:lvl>
    <w:lvl w:ilvl="4">
      <w:start w:val="1"/>
      <w:numFmt w:val="lowerRoman"/>
      <w:lvlText w:val="%5."/>
      <w:lvlJc w:val="left"/>
      <w:pPr>
        <w:tabs>
          <w:tab w:val="num" w:pos="3600"/>
        </w:tabs>
        <w:ind w:left="3600" w:hanging="720"/>
      </w:pPr>
      <w:rPr>
        <w:rFonts w:cs="Times New Roman" w:hint="default"/>
        <w:vanish w:val="0"/>
        <w:color w:val="000000"/>
        <w:u w:val="none"/>
      </w:rPr>
    </w:lvl>
    <w:lvl w:ilvl="5">
      <w:start w:val="1"/>
      <w:numFmt w:val="lowerLetter"/>
      <w:lvlText w:val="(%6)"/>
      <w:lvlJc w:val="left"/>
      <w:pPr>
        <w:tabs>
          <w:tab w:val="num" w:pos="4320"/>
        </w:tabs>
        <w:ind w:left="4320" w:hanging="720"/>
      </w:pPr>
      <w:rPr>
        <w:rFonts w:cs="Times New Roman" w:hint="default"/>
        <w:vanish w:val="0"/>
        <w:color w:val="000000"/>
        <w:u w:val="none"/>
      </w:rPr>
    </w:lvl>
    <w:lvl w:ilvl="6">
      <w:start w:val="1"/>
      <w:numFmt w:val="lowerRoman"/>
      <w:lvlText w:val="(%7)"/>
      <w:lvlJc w:val="left"/>
      <w:pPr>
        <w:tabs>
          <w:tab w:val="num" w:pos="5040"/>
        </w:tabs>
        <w:ind w:left="5040" w:hanging="720"/>
      </w:pPr>
      <w:rPr>
        <w:rFonts w:cs="Times New Roman" w:hint="default"/>
        <w:vanish w:val="0"/>
        <w:color w:val="000000"/>
        <w:u w:val="none"/>
      </w:rPr>
    </w:lvl>
    <w:lvl w:ilvl="7">
      <w:start w:val="1"/>
      <w:numFmt w:val="decimal"/>
      <w:lvlText w:val="%8)"/>
      <w:lvlJc w:val="left"/>
      <w:pPr>
        <w:tabs>
          <w:tab w:val="num" w:pos="5760"/>
        </w:tabs>
        <w:ind w:left="5760" w:hanging="720"/>
      </w:pPr>
      <w:rPr>
        <w:rFonts w:cs="Times New Roman" w:hint="default"/>
        <w:vanish w:val="0"/>
        <w:color w:val="000000"/>
        <w:u w:val="none"/>
      </w:rPr>
    </w:lvl>
    <w:lvl w:ilvl="8">
      <w:start w:val="1"/>
      <w:numFmt w:val="lowerLetter"/>
      <w:lvlText w:val="%9)"/>
      <w:lvlJc w:val="left"/>
      <w:pPr>
        <w:tabs>
          <w:tab w:val="num" w:pos="6480"/>
        </w:tabs>
        <w:ind w:left="6480" w:hanging="720"/>
      </w:pPr>
      <w:rPr>
        <w:rFonts w:cs="Times New Roman" w:hint="default"/>
        <w:vanish w:val="0"/>
        <w:color w:val="000000"/>
        <w:u w:val="none"/>
      </w:rPr>
    </w:lvl>
  </w:abstractNum>
  <w:num w:numId="1">
    <w:abstractNumId w:val="8"/>
  </w:num>
  <w:num w:numId="2">
    <w:abstractNumId w:val="12"/>
  </w:num>
  <w:num w:numId="3">
    <w:abstractNumId w:val="12"/>
    <w:lvlOverride w:ilvl="0">
      <w:lvl w:ilvl="0">
        <w:start w:val="1"/>
        <w:numFmt w:val="decimal"/>
        <w:lvlText w:val="%1. "/>
        <w:legacy w:legacy="1" w:legacySpace="0" w:legacyIndent="360"/>
        <w:lvlJc w:val="left"/>
        <w:pPr>
          <w:ind w:left="1080" w:hanging="360"/>
        </w:pPr>
        <w:rPr>
          <w:rFonts w:ascii="Times New Roman" w:hAnsi="Times New Roman" w:cs="Times New Roman" w:hint="default"/>
          <w:b w:val="0"/>
          <w:i w:val="0"/>
          <w:sz w:val="24"/>
          <w:u w:val="none"/>
        </w:rPr>
      </w:lvl>
    </w:lvlOverride>
  </w:num>
  <w:num w:numId="4">
    <w:abstractNumId w:val="11"/>
  </w:num>
  <w:num w:numId="5">
    <w:abstractNumId w:val="18"/>
  </w:num>
  <w:num w:numId="6">
    <w:abstractNumId w:val="19"/>
  </w:num>
  <w:num w:numId="7">
    <w:abstractNumId w:val="19"/>
    <w:lvlOverride w:ilvl="0">
      <w:startOverride w:val="1"/>
    </w:lvlOverride>
    <w:lvlOverride w:ilvl="1">
      <w:startOverride w:val="8"/>
    </w:lvlOverride>
  </w:num>
  <w:num w:numId="8">
    <w:abstractNumId w:val="19"/>
  </w:num>
  <w:num w:numId="9">
    <w:abstractNumId w:val="15"/>
  </w:num>
  <w:num w:numId="10">
    <w:abstractNumId w:val="17"/>
  </w:num>
  <w:num w:numId="11">
    <w:abstractNumId w:val="10"/>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20"/>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22"/>
  </w:num>
  <w:num w:numId="3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3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C42354"/>
    <w:rsid w:val="00001D7C"/>
    <w:rsid w:val="000030D5"/>
    <w:rsid w:val="00006FD5"/>
    <w:rsid w:val="00007F2D"/>
    <w:rsid w:val="00010800"/>
    <w:rsid w:val="00011FC5"/>
    <w:rsid w:val="0001411D"/>
    <w:rsid w:val="000167E0"/>
    <w:rsid w:val="00020212"/>
    <w:rsid w:val="00020C13"/>
    <w:rsid w:val="000213DB"/>
    <w:rsid w:val="00023AC9"/>
    <w:rsid w:val="0002620B"/>
    <w:rsid w:val="000278F0"/>
    <w:rsid w:val="0003163E"/>
    <w:rsid w:val="00031AAC"/>
    <w:rsid w:val="00034794"/>
    <w:rsid w:val="00034E87"/>
    <w:rsid w:val="00036650"/>
    <w:rsid w:val="00041D34"/>
    <w:rsid w:val="0004768B"/>
    <w:rsid w:val="00052399"/>
    <w:rsid w:val="000529CA"/>
    <w:rsid w:val="00054C59"/>
    <w:rsid w:val="00057019"/>
    <w:rsid w:val="00064572"/>
    <w:rsid w:val="00064FA0"/>
    <w:rsid w:val="000701A0"/>
    <w:rsid w:val="00071ABD"/>
    <w:rsid w:val="00072F7A"/>
    <w:rsid w:val="00077158"/>
    <w:rsid w:val="0008004D"/>
    <w:rsid w:val="000901DD"/>
    <w:rsid w:val="0009124B"/>
    <w:rsid w:val="00091505"/>
    <w:rsid w:val="00091C25"/>
    <w:rsid w:val="0009332F"/>
    <w:rsid w:val="00095DC2"/>
    <w:rsid w:val="000A1479"/>
    <w:rsid w:val="000A160C"/>
    <w:rsid w:val="000A3537"/>
    <w:rsid w:val="000B0D65"/>
    <w:rsid w:val="000B2E84"/>
    <w:rsid w:val="000B3C7A"/>
    <w:rsid w:val="000B469F"/>
    <w:rsid w:val="000B4AB6"/>
    <w:rsid w:val="000B4D3A"/>
    <w:rsid w:val="000B63B0"/>
    <w:rsid w:val="000C1FC4"/>
    <w:rsid w:val="000C2BB5"/>
    <w:rsid w:val="000D1C28"/>
    <w:rsid w:val="000E02D2"/>
    <w:rsid w:val="000E0AA1"/>
    <w:rsid w:val="000E264E"/>
    <w:rsid w:val="000E27EF"/>
    <w:rsid w:val="000E33ED"/>
    <w:rsid w:val="000E3690"/>
    <w:rsid w:val="000E6B28"/>
    <w:rsid w:val="000E7B15"/>
    <w:rsid w:val="000F39F7"/>
    <w:rsid w:val="000F40BB"/>
    <w:rsid w:val="000F452A"/>
    <w:rsid w:val="00100896"/>
    <w:rsid w:val="001008A5"/>
    <w:rsid w:val="00103729"/>
    <w:rsid w:val="0010389D"/>
    <w:rsid w:val="00105204"/>
    <w:rsid w:val="00105B30"/>
    <w:rsid w:val="00106543"/>
    <w:rsid w:val="001073BC"/>
    <w:rsid w:val="00111A5D"/>
    <w:rsid w:val="00114957"/>
    <w:rsid w:val="00115787"/>
    <w:rsid w:val="00120061"/>
    <w:rsid w:val="00120438"/>
    <w:rsid w:val="00124D6C"/>
    <w:rsid w:val="00127A5D"/>
    <w:rsid w:val="00131F1D"/>
    <w:rsid w:val="00133FB0"/>
    <w:rsid w:val="001341DE"/>
    <w:rsid w:val="00134E72"/>
    <w:rsid w:val="00135EE9"/>
    <w:rsid w:val="00137EF9"/>
    <w:rsid w:val="001400FD"/>
    <w:rsid w:val="00140E1B"/>
    <w:rsid w:val="001449B0"/>
    <w:rsid w:val="001461C7"/>
    <w:rsid w:val="001517FB"/>
    <w:rsid w:val="001522B9"/>
    <w:rsid w:val="001527FF"/>
    <w:rsid w:val="00152967"/>
    <w:rsid w:val="001534E2"/>
    <w:rsid w:val="00155ACB"/>
    <w:rsid w:val="001564D6"/>
    <w:rsid w:val="0016082D"/>
    <w:rsid w:val="00163E65"/>
    <w:rsid w:val="00166A33"/>
    <w:rsid w:val="00166E86"/>
    <w:rsid w:val="0017096B"/>
    <w:rsid w:val="001724EB"/>
    <w:rsid w:val="001764D1"/>
    <w:rsid w:val="00176DA2"/>
    <w:rsid w:val="00177320"/>
    <w:rsid w:val="00177F47"/>
    <w:rsid w:val="00180A2C"/>
    <w:rsid w:val="00180ABC"/>
    <w:rsid w:val="00180B47"/>
    <w:rsid w:val="00181372"/>
    <w:rsid w:val="001828C0"/>
    <w:rsid w:val="001841E5"/>
    <w:rsid w:val="00184BE7"/>
    <w:rsid w:val="00185AC9"/>
    <w:rsid w:val="00187F56"/>
    <w:rsid w:val="00190FCA"/>
    <w:rsid w:val="001926D8"/>
    <w:rsid w:val="001A0161"/>
    <w:rsid w:val="001A0D3E"/>
    <w:rsid w:val="001A0FFA"/>
    <w:rsid w:val="001A206D"/>
    <w:rsid w:val="001A2739"/>
    <w:rsid w:val="001A4A91"/>
    <w:rsid w:val="001A4C63"/>
    <w:rsid w:val="001A6B06"/>
    <w:rsid w:val="001A6F61"/>
    <w:rsid w:val="001B2017"/>
    <w:rsid w:val="001B5297"/>
    <w:rsid w:val="001C0957"/>
    <w:rsid w:val="001C114D"/>
    <w:rsid w:val="001C26E0"/>
    <w:rsid w:val="001C3238"/>
    <w:rsid w:val="001C64D9"/>
    <w:rsid w:val="001C6BF5"/>
    <w:rsid w:val="001D0A5A"/>
    <w:rsid w:val="001D15AE"/>
    <w:rsid w:val="001D1849"/>
    <w:rsid w:val="001D2A53"/>
    <w:rsid w:val="001D2D12"/>
    <w:rsid w:val="001D5838"/>
    <w:rsid w:val="001E0144"/>
    <w:rsid w:val="001E2A34"/>
    <w:rsid w:val="001E52FB"/>
    <w:rsid w:val="001E7BCE"/>
    <w:rsid w:val="001F036C"/>
    <w:rsid w:val="001F03C4"/>
    <w:rsid w:val="001F2A29"/>
    <w:rsid w:val="001F4BDE"/>
    <w:rsid w:val="001F5215"/>
    <w:rsid w:val="00200289"/>
    <w:rsid w:val="00201E45"/>
    <w:rsid w:val="00201F95"/>
    <w:rsid w:val="00206C58"/>
    <w:rsid w:val="00210EE9"/>
    <w:rsid w:val="00211223"/>
    <w:rsid w:val="0021295B"/>
    <w:rsid w:val="00220051"/>
    <w:rsid w:val="00222CEF"/>
    <w:rsid w:val="0022309A"/>
    <w:rsid w:val="00230D8B"/>
    <w:rsid w:val="00232D67"/>
    <w:rsid w:val="002356C9"/>
    <w:rsid w:val="002359C6"/>
    <w:rsid w:val="00240CC0"/>
    <w:rsid w:val="00242414"/>
    <w:rsid w:val="00244095"/>
    <w:rsid w:val="002445F9"/>
    <w:rsid w:val="00244D5A"/>
    <w:rsid w:val="0024561E"/>
    <w:rsid w:val="002460C0"/>
    <w:rsid w:val="00246E9D"/>
    <w:rsid w:val="0024702D"/>
    <w:rsid w:val="0025259C"/>
    <w:rsid w:val="002571F7"/>
    <w:rsid w:val="00261843"/>
    <w:rsid w:val="00262D7E"/>
    <w:rsid w:val="002641C1"/>
    <w:rsid w:val="0027088B"/>
    <w:rsid w:val="0027090E"/>
    <w:rsid w:val="0027458B"/>
    <w:rsid w:val="00274EB3"/>
    <w:rsid w:val="0027535F"/>
    <w:rsid w:val="002754A8"/>
    <w:rsid w:val="00275A3B"/>
    <w:rsid w:val="00276ECB"/>
    <w:rsid w:val="00277460"/>
    <w:rsid w:val="002775BB"/>
    <w:rsid w:val="00277A72"/>
    <w:rsid w:val="00281954"/>
    <w:rsid w:val="00282A91"/>
    <w:rsid w:val="00284C77"/>
    <w:rsid w:val="00285079"/>
    <w:rsid w:val="002874B7"/>
    <w:rsid w:val="00287BA6"/>
    <w:rsid w:val="00291DDB"/>
    <w:rsid w:val="00293549"/>
    <w:rsid w:val="00294B0D"/>
    <w:rsid w:val="002969C6"/>
    <w:rsid w:val="00296E0E"/>
    <w:rsid w:val="002A1EBE"/>
    <w:rsid w:val="002A3659"/>
    <w:rsid w:val="002B0265"/>
    <w:rsid w:val="002B1E25"/>
    <w:rsid w:val="002B4862"/>
    <w:rsid w:val="002B675E"/>
    <w:rsid w:val="002C1AFF"/>
    <w:rsid w:val="002C1E8D"/>
    <w:rsid w:val="002C4E81"/>
    <w:rsid w:val="002C59D7"/>
    <w:rsid w:val="002C71F6"/>
    <w:rsid w:val="002D0497"/>
    <w:rsid w:val="002D1DA9"/>
    <w:rsid w:val="002D4371"/>
    <w:rsid w:val="002D4664"/>
    <w:rsid w:val="002D48BA"/>
    <w:rsid w:val="002E1667"/>
    <w:rsid w:val="002E4533"/>
    <w:rsid w:val="002E4E78"/>
    <w:rsid w:val="002E5DB4"/>
    <w:rsid w:val="002E5E79"/>
    <w:rsid w:val="002E67C8"/>
    <w:rsid w:val="002F2F81"/>
    <w:rsid w:val="002F4ED7"/>
    <w:rsid w:val="002F6C00"/>
    <w:rsid w:val="00300B26"/>
    <w:rsid w:val="0030177A"/>
    <w:rsid w:val="00302659"/>
    <w:rsid w:val="00302793"/>
    <w:rsid w:val="00302DD2"/>
    <w:rsid w:val="00302F14"/>
    <w:rsid w:val="00304151"/>
    <w:rsid w:val="00307E5A"/>
    <w:rsid w:val="0031204C"/>
    <w:rsid w:val="00312825"/>
    <w:rsid w:val="003134DC"/>
    <w:rsid w:val="00313F7A"/>
    <w:rsid w:val="00315C4E"/>
    <w:rsid w:val="003224D7"/>
    <w:rsid w:val="00322CEE"/>
    <w:rsid w:val="00322E05"/>
    <w:rsid w:val="0032504F"/>
    <w:rsid w:val="00325C20"/>
    <w:rsid w:val="00331481"/>
    <w:rsid w:val="00332A53"/>
    <w:rsid w:val="00334DF0"/>
    <w:rsid w:val="00335E9D"/>
    <w:rsid w:val="003365D3"/>
    <w:rsid w:val="00337AC0"/>
    <w:rsid w:val="00340201"/>
    <w:rsid w:val="00340783"/>
    <w:rsid w:val="00346278"/>
    <w:rsid w:val="00347A84"/>
    <w:rsid w:val="00350A60"/>
    <w:rsid w:val="00353E3C"/>
    <w:rsid w:val="003557A5"/>
    <w:rsid w:val="003572A5"/>
    <w:rsid w:val="00364B89"/>
    <w:rsid w:val="003651A6"/>
    <w:rsid w:val="00366274"/>
    <w:rsid w:val="00373AED"/>
    <w:rsid w:val="00375A90"/>
    <w:rsid w:val="00375D90"/>
    <w:rsid w:val="00375E74"/>
    <w:rsid w:val="003811DB"/>
    <w:rsid w:val="003813DB"/>
    <w:rsid w:val="00382BF1"/>
    <w:rsid w:val="00385604"/>
    <w:rsid w:val="00385680"/>
    <w:rsid w:val="00385827"/>
    <w:rsid w:val="0038644C"/>
    <w:rsid w:val="003865D3"/>
    <w:rsid w:val="00390556"/>
    <w:rsid w:val="0039181C"/>
    <w:rsid w:val="00393DB4"/>
    <w:rsid w:val="00394268"/>
    <w:rsid w:val="003973BB"/>
    <w:rsid w:val="003A224D"/>
    <w:rsid w:val="003A3A67"/>
    <w:rsid w:val="003A64BF"/>
    <w:rsid w:val="003B0E61"/>
    <w:rsid w:val="003B2549"/>
    <w:rsid w:val="003B67AF"/>
    <w:rsid w:val="003C3315"/>
    <w:rsid w:val="003C380A"/>
    <w:rsid w:val="003C5730"/>
    <w:rsid w:val="003C7BCD"/>
    <w:rsid w:val="003C7C36"/>
    <w:rsid w:val="003D07D2"/>
    <w:rsid w:val="003E095F"/>
    <w:rsid w:val="003E1EB6"/>
    <w:rsid w:val="003E2149"/>
    <w:rsid w:val="003E291C"/>
    <w:rsid w:val="003E3100"/>
    <w:rsid w:val="003E4644"/>
    <w:rsid w:val="003E557F"/>
    <w:rsid w:val="003E5CC5"/>
    <w:rsid w:val="003F0934"/>
    <w:rsid w:val="003F193E"/>
    <w:rsid w:val="003F4F85"/>
    <w:rsid w:val="003F4FD1"/>
    <w:rsid w:val="003F50BE"/>
    <w:rsid w:val="003F590C"/>
    <w:rsid w:val="003F6F21"/>
    <w:rsid w:val="003F74EF"/>
    <w:rsid w:val="00400ACC"/>
    <w:rsid w:val="0040108E"/>
    <w:rsid w:val="00402C6A"/>
    <w:rsid w:val="00403FD7"/>
    <w:rsid w:val="0040536B"/>
    <w:rsid w:val="00405D4E"/>
    <w:rsid w:val="00406078"/>
    <w:rsid w:val="004104FD"/>
    <w:rsid w:val="004107F7"/>
    <w:rsid w:val="00410A78"/>
    <w:rsid w:val="004126E1"/>
    <w:rsid w:val="00414931"/>
    <w:rsid w:val="0041723E"/>
    <w:rsid w:val="004177F8"/>
    <w:rsid w:val="00423522"/>
    <w:rsid w:val="00427859"/>
    <w:rsid w:val="00430BAD"/>
    <w:rsid w:val="0043116A"/>
    <w:rsid w:val="00431E9D"/>
    <w:rsid w:val="00432741"/>
    <w:rsid w:val="00435827"/>
    <w:rsid w:val="0043737C"/>
    <w:rsid w:val="0043771E"/>
    <w:rsid w:val="00441F94"/>
    <w:rsid w:val="00442C91"/>
    <w:rsid w:val="004434C7"/>
    <w:rsid w:val="00444753"/>
    <w:rsid w:val="0044490B"/>
    <w:rsid w:val="004451D4"/>
    <w:rsid w:val="00446B89"/>
    <w:rsid w:val="00450123"/>
    <w:rsid w:val="00450496"/>
    <w:rsid w:val="004514E0"/>
    <w:rsid w:val="004523C4"/>
    <w:rsid w:val="00452FA2"/>
    <w:rsid w:val="00454E73"/>
    <w:rsid w:val="00460DF6"/>
    <w:rsid w:val="00460F71"/>
    <w:rsid w:val="00461325"/>
    <w:rsid w:val="004649E8"/>
    <w:rsid w:val="00465B9C"/>
    <w:rsid w:val="00466A38"/>
    <w:rsid w:val="004760CD"/>
    <w:rsid w:val="00476790"/>
    <w:rsid w:val="00480F1D"/>
    <w:rsid w:val="004817B9"/>
    <w:rsid w:val="004830B1"/>
    <w:rsid w:val="00485ED3"/>
    <w:rsid w:val="0048628F"/>
    <w:rsid w:val="0048679F"/>
    <w:rsid w:val="004929B1"/>
    <w:rsid w:val="00492ADB"/>
    <w:rsid w:val="00492B78"/>
    <w:rsid w:val="00496445"/>
    <w:rsid w:val="004A313E"/>
    <w:rsid w:val="004A3F1C"/>
    <w:rsid w:val="004A55B7"/>
    <w:rsid w:val="004B1E62"/>
    <w:rsid w:val="004B358A"/>
    <w:rsid w:val="004B3D05"/>
    <w:rsid w:val="004B6192"/>
    <w:rsid w:val="004B6AD5"/>
    <w:rsid w:val="004B7512"/>
    <w:rsid w:val="004C0262"/>
    <w:rsid w:val="004C593D"/>
    <w:rsid w:val="004C6F84"/>
    <w:rsid w:val="004D17EB"/>
    <w:rsid w:val="004D21DD"/>
    <w:rsid w:val="004D3CA3"/>
    <w:rsid w:val="004D3EB7"/>
    <w:rsid w:val="004D3FB7"/>
    <w:rsid w:val="004D452C"/>
    <w:rsid w:val="004D7EFA"/>
    <w:rsid w:val="004E1763"/>
    <w:rsid w:val="004E1E98"/>
    <w:rsid w:val="004E1F3E"/>
    <w:rsid w:val="004E52C1"/>
    <w:rsid w:val="004E57D6"/>
    <w:rsid w:val="004F2946"/>
    <w:rsid w:val="004F4752"/>
    <w:rsid w:val="004F486F"/>
    <w:rsid w:val="00505940"/>
    <w:rsid w:val="00505FE4"/>
    <w:rsid w:val="00506DC0"/>
    <w:rsid w:val="00517061"/>
    <w:rsid w:val="005209C1"/>
    <w:rsid w:val="00521D4F"/>
    <w:rsid w:val="00524552"/>
    <w:rsid w:val="005245FD"/>
    <w:rsid w:val="00524D73"/>
    <w:rsid w:val="005273CA"/>
    <w:rsid w:val="00531643"/>
    <w:rsid w:val="00534269"/>
    <w:rsid w:val="00536451"/>
    <w:rsid w:val="00541EC4"/>
    <w:rsid w:val="00544DD0"/>
    <w:rsid w:val="00546E1F"/>
    <w:rsid w:val="0055110B"/>
    <w:rsid w:val="00553BE7"/>
    <w:rsid w:val="005559DD"/>
    <w:rsid w:val="0055617D"/>
    <w:rsid w:val="00556334"/>
    <w:rsid w:val="00557019"/>
    <w:rsid w:val="00557B5B"/>
    <w:rsid w:val="00564308"/>
    <w:rsid w:val="00564E9B"/>
    <w:rsid w:val="005657B9"/>
    <w:rsid w:val="005658D1"/>
    <w:rsid w:val="005661C4"/>
    <w:rsid w:val="00571FDB"/>
    <w:rsid w:val="00572AE7"/>
    <w:rsid w:val="005736FA"/>
    <w:rsid w:val="005810AF"/>
    <w:rsid w:val="00582895"/>
    <w:rsid w:val="00584DD3"/>
    <w:rsid w:val="00585D1B"/>
    <w:rsid w:val="00587C33"/>
    <w:rsid w:val="005928A8"/>
    <w:rsid w:val="00594A11"/>
    <w:rsid w:val="0059733D"/>
    <w:rsid w:val="00597349"/>
    <w:rsid w:val="005A1990"/>
    <w:rsid w:val="005A1BA0"/>
    <w:rsid w:val="005A3604"/>
    <w:rsid w:val="005A5BAD"/>
    <w:rsid w:val="005A64EC"/>
    <w:rsid w:val="005B3AC6"/>
    <w:rsid w:val="005B6C17"/>
    <w:rsid w:val="005C0642"/>
    <w:rsid w:val="005C06C3"/>
    <w:rsid w:val="005C1790"/>
    <w:rsid w:val="005C3BE3"/>
    <w:rsid w:val="005C4275"/>
    <w:rsid w:val="005D09F6"/>
    <w:rsid w:val="005D1BDD"/>
    <w:rsid w:val="005D2CB6"/>
    <w:rsid w:val="005D409D"/>
    <w:rsid w:val="005D41D3"/>
    <w:rsid w:val="005D751B"/>
    <w:rsid w:val="005E14E5"/>
    <w:rsid w:val="005E3D33"/>
    <w:rsid w:val="005E3E2A"/>
    <w:rsid w:val="005E7AC8"/>
    <w:rsid w:val="005E7EA7"/>
    <w:rsid w:val="005F2768"/>
    <w:rsid w:val="005F4098"/>
    <w:rsid w:val="005F53C6"/>
    <w:rsid w:val="005F7AAE"/>
    <w:rsid w:val="00600116"/>
    <w:rsid w:val="00601099"/>
    <w:rsid w:val="00602CAA"/>
    <w:rsid w:val="0061042B"/>
    <w:rsid w:val="006171A1"/>
    <w:rsid w:val="00626CC2"/>
    <w:rsid w:val="00627A8A"/>
    <w:rsid w:val="00630B1D"/>
    <w:rsid w:val="006312C5"/>
    <w:rsid w:val="0063175E"/>
    <w:rsid w:val="00631995"/>
    <w:rsid w:val="006338E3"/>
    <w:rsid w:val="0063391F"/>
    <w:rsid w:val="0063462F"/>
    <w:rsid w:val="00640DB1"/>
    <w:rsid w:val="006435EA"/>
    <w:rsid w:val="0064673C"/>
    <w:rsid w:val="00651B19"/>
    <w:rsid w:val="00654280"/>
    <w:rsid w:val="00655F65"/>
    <w:rsid w:val="00656FA6"/>
    <w:rsid w:val="006601A3"/>
    <w:rsid w:val="006614F5"/>
    <w:rsid w:val="00661B3D"/>
    <w:rsid w:val="006634CA"/>
    <w:rsid w:val="00663E5C"/>
    <w:rsid w:val="00666043"/>
    <w:rsid w:val="00666ED8"/>
    <w:rsid w:val="00671BB9"/>
    <w:rsid w:val="00671F66"/>
    <w:rsid w:val="00672716"/>
    <w:rsid w:val="00673BDC"/>
    <w:rsid w:val="0067596C"/>
    <w:rsid w:val="00675B71"/>
    <w:rsid w:val="006805B5"/>
    <w:rsid w:val="00685716"/>
    <w:rsid w:val="00687263"/>
    <w:rsid w:val="00691528"/>
    <w:rsid w:val="006940B9"/>
    <w:rsid w:val="006A06C2"/>
    <w:rsid w:val="006A2ABD"/>
    <w:rsid w:val="006A6F69"/>
    <w:rsid w:val="006B1EBD"/>
    <w:rsid w:val="006B3744"/>
    <w:rsid w:val="006C01B3"/>
    <w:rsid w:val="006C05A1"/>
    <w:rsid w:val="006C23EA"/>
    <w:rsid w:val="006C34C7"/>
    <w:rsid w:val="006C379D"/>
    <w:rsid w:val="006C556C"/>
    <w:rsid w:val="006C591F"/>
    <w:rsid w:val="006D02F0"/>
    <w:rsid w:val="006D11E5"/>
    <w:rsid w:val="006D3D63"/>
    <w:rsid w:val="006E140A"/>
    <w:rsid w:val="006E35B7"/>
    <w:rsid w:val="006E5D52"/>
    <w:rsid w:val="006E5DAA"/>
    <w:rsid w:val="006E6A6C"/>
    <w:rsid w:val="006F299A"/>
    <w:rsid w:val="006F34CA"/>
    <w:rsid w:val="006F51A4"/>
    <w:rsid w:val="006F753F"/>
    <w:rsid w:val="00700522"/>
    <w:rsid w:val="007027FF"/>
    <w:rsid w:val="00702E52"/>
    <w:rsid w:val="00704A69"/>
    <w:rsid w:val="00707783"/>
    <w:rsid w:val="00707A87"/>
    <w:rsid w:val="00710809"/>
    <w:rsid w:val="00711427"/>
    <w:rsid w:val="00712D9B"/>
    <w:rsid w:val="00712E66"/>
    <w:rsid w:val="00713374"/>
    <w:rsid w:val="00720131"/>
    <w:rsid w:val="00720277"/>
    <w:rsid w:val="00723230"/>
    <w:rsid w:val="00723DED"/>
    <w:rsid w:val="007241C5"/>
    <w:rsid w:val="00727FC9"/>
    <w:rsid w:val="00732C78"/>
    <w:rsid w:val="007336D6"/>
    <w:rsid w:val="0073589A"/>
    <w:rsid w:val="00741E6D"/>
    <w:rsid w:val="007430C3"/>
    <w:rsid w:val="007449E7"/>
    <w:rsid w:val="00747FAC"/>
    <w:rsid w:val="00750278"/>
    <w:rsid w:val="007505B1"/>
    <w:rsid w:val="00754363"/>
    <w:rsid w:val="007554A7"/>
    <w:rsid w:val="007623F1"/>
    <w:rsid w:val="007635A1"/>
    <w:rsid w:val="00763991"/>
    <w:rsid w:val="00763E55"/>
    <w:rsid w:val="00764568"/>
    <w:rsid w:val="0076563E"/>
    <w:rsid w:val="00766585"/>
    <w:rsid w:val="007702CF"/>
    <w:rsid w:val="00770A10"/>
    <w:rsid w:val="00770D2D"/>
    <w:rsid w:val="00770FB3"/>
    <w:rsid w:val="007722D0"/>
    <w:rsid w:val="007723DB"/>
    <w:rsid w:val="00772A37"/>
    <w:rsid w:val="007738FB"/>
    <w:rsid w:val="00774ADA"/>
    <w:rsid w:val="007752D4"/>
    <w:rsid w:val="0077574C"/>
    <w:rsid w:val="00775D22"/>
    <w:rsid w:val="007771B8"/>
    <w:rsid w:val="00777566"/>
    <w:rsid w:val="00777D3E"/>
    <w:rsid w:val="00781393"/>
    <w:rsid w:val="007817C5"/>
    <w:rsid w:val="007824AA"/>
    <w:rsid w:val="00782ABD"/>
    <w:rsid w:val="00790CA8"/>
    <w:rsid w:val="007924A0"/>
    <w:rsid w:val="00793D80"/>
    <w:rsid w:val="00795792"/>
    <w:rsid w:val="007968F6"/>
    <w:rsid w:val="00796EE7"/>
    <w:rsid w:val="0079717C"/>
    <w:rsid w:val="007A2406"/>
    <w:rsid w:val="007A573C"/>
    <w:rsid w:val="007A58E1"/>
    <w:rsid w:val="007A6B3F"/>
    <w:rsid w:val="007B359B"/>
    <w:rsid w:val="007B7F0D"/>
    <w:rsid w:val="007C29ED"/>
    <w:rsid w:val="007C2E52"/>
    <w:rsid w:val="007C496A"/>
    <w:rsid w:val="007C49F1"/>
    <w:rsid w:val="007D10D0"/>
    <w:rsid w:val="007D355B"/>
    <w:rsid w:val="007D5BB7"/>
    <w:rsid w:val="007D64FE"/>
    <w:rsid w:val="007E16F5"/>
    <w:rsid w:val="007E2CD8"/>
    <w:rsid w:val="007E5562"/>
    <w:rsid w:val="007E7DE6"/>
    <w:rsid w:val="007F1E8B"/>
    <w:rsid w:val="007F39E9"/>
    <w:rsid w:val="007F4A15"/>
    <w:rsid w:val="007F5AED"/>
    <w:rsid w:val="007F61D2"/>
    <w:rsid w:val="007F6D18"/>
    <w:rsid w:val="00800535"/>
    <w:rsid w:val="00802534"/>
    <w:rsid w:val="00803137"/>
    <w:rsid w:val="008031F2"/>
    <w:rsid w:val="00803CA5"/>
    <w:rsid w:val="00805125"/>
    <w:rsid w:val="00807FAF"/>
    <w:rsid w:val="008128B0"/>
    <w:rsid w:val="00814CD8"/>
    <w:rsid w:val="0081531A"/>
    <w:rsid w:val="00815CE0"/>
    <w:rsid w:val="0082245F"/>
    <w:rsid w:val="008224CF"/>
    <w:rsid w:val="00822C6F"/>
    <w:rsid w:val="00822FA6"/>
    <w:rsid w:val="008233C8"/>
    <w:rsid w:val="0082480F"/>
    <w:rsid w:val="00825836"/>
    <w:rsid w:val="00834340"/>
    <w:rsid w:val="0083645A"/>
    <w:rsid w:val="008375B0"/>
    <w:rsid w:val="00837BA8"/>
    <w:rsid w:val="00840203"/>
    <w:rsid w:val="008421D0"/>
    <w:rsid w:val="00843D8A"/>
    <w:rsid w:val="00843FCD"/>
    <w:rsid w:val="00844CE8"/>
    <w:rsid w:val="00844E47"/>
    <w:rsid w:val="00845631"/>
    <w:rsid w:val="00845642"/>
    <w:rsid w:val="00845CC1"/>
    <w:rsid w:val="00850D83"/>
    <w:rsid w:val="00852A1B"/>
    <w:rsid w:val="0085418A"/>
    <w:rsid w:val="008578F0"/>
    <w:rsid w:val="00860081"/>
    <w:rsid w:val="00863AFD"/>
    <w:rsid w:val="008645F3"/>
    <w:rsid w:val="00867688"/>
    <w:rsid w:val="00870CB9"/>
    <w:rsid w:val="00873ECA"/>
    <w:rsid w:val="00876149"/>
    <w:rsid w:val="00876A16"/>
    <w:rsid w:val="00880B6D"/>
    <w:rsid w:val="008819C3"/>
    <w:rsid w:val="00883510"/>
    <w:rsid w:val="00884B84"/>
    <w:rsid w:val="008907CA"/>
    <w:rsid w:val="008943D3"/>
    <w:rsid w:val="008953EA"/>
    <w:rsid w:val="008967F3"/>
    <w:rsid w:val="008971C3"/>
    <w:rsid w:val="008A0008"/>
    <w:rsid w:val="008A013D"/>
    <w:rsid w:val="008A0525"/>
    <w:rsid w:val="008A17A1"/>
    <w:rsid w:val="008A33EA"/>
    <w:rsid w:val="008A35D0"/>
    <w:rsid w:val="008A4C57"/>
    <w:rsid w:val="008A7D01"/>
    <w:rsid w:val="008A7D75"/>
    <w:rsid w:val="008B1E5C"/>
    <w:rsid w:val="008B20C7"/>
    <w:rsid w:val="008B4C7E"/>
    <w:rsid w:val="008B6B5F"/>
    <w:rsid w:val="008B6C73"/>
    <w:rsid w:val="008B7F55"/>
    <w:rsid w:val="008C0A2A"/>
    <w:rsid w:val="008C2930"/>
    <w:rsid w:val="008C495F"/>
    <w:rsid w:val="008C7517"/>
    <w:rsid w:val="008C7810"/>
    <w:rsid w:val="008D1B75"/>
    <w:rsid w:val="008D4249"/>
    <w:rsid w:val="008D45D5"/>
    <w:rsid w:val="008D4BF9"/>
    <w:rsid w:val="008D7665"/>
    <w:rsid w:val="008E1FA1"/>
    <w:rsid w:val="008E38EC"/>
    <w:rsid w:val="008F2D23"/>
    <w:rsid w:val="008F4BD2"/>
    <w:rsid w:val="008F6D9D"/>
    <w:rsid w:val="008F789B"/>
    <w:rsid w:val="00901E5C"/>
    <w:rsid w:val="00901E7C"/>
    <w:rsid w:val="00902527"/>
    <w:rsid w:val="009027A7"/>
    <w:rsid w:val="00902DC5"/>
    <w:rsid w:val="00906BC9"/>
    <w:rsid w:val="009104F7"/>
    <w:rsid w:val="009119F3"/>
    <w:rsid w:val="00912D1E"/>
    <w:rsid w:val="009133BB"/>
    <w:rsid w:val="0091365D"/>
    <w:rsid w:val="00914F80"/>
    <w:rsid w:val="00915472"/>
    <w:rsid w:val="00916390"/>
    <w:rsid w:val="00921A64"/>
    <w:rsid w:val="00922DDE"/>
    <w:rsid w:val="00923037"/>
    <w:rsid w:val="0092350C"/>
    <w:rsid w:val="00924DAA"/>
    <w:rsid w:val="009250EC"/>
    <w:rsid w:val="00926769"/>
    <w:rsid w:val="009310E0"/>
    <w:rsid w:val="00931A5B"/>
    <w:rsid w:val="00931EE9"/>
    <w:rsid w:val="00932FE4"/>
    <w:rsid w:val="00941091"/>
    <w:rsid w:val="00941252"/>
    <w:rsid w:val="00945C41"/>
    <w:rsid w:val="00947D46"/>
    <w:rsid w:val="009552EF"/>
    <w:rsid w:val="00955924"/>
    <w:rsid w:val="00956980"/>
    <w:rsid w:val="00956F80"/>
    <w:rsid w:val="00962813"/>
    <w:rsid w:val="009715E6"/>
    <w:rsid w:val="009726A2"/>
    <w:rsid w:val="00973775"/>
    <w:rsid w:val="0097378D"/>
    <w:rsid w:val="00973862"/>
    <w:rsid w:val="0097608A"/>
    <w:rsid w:val="00980D26"/>
    <w:rsid w:val="0098171C"/>
    <w:rsid w:val="00983C0B"/>
    <w:rsid w:val="00985683"/>
    <w:rsid w:val="0098733E"/>
    <w:rsid w:val="00993515"/>
    <w:rsid w:val="00994805"/>
    <w:rsid w:val="00995967"/>
    <w:rsid w:val="009968DC"/>
    <w:rsid w:val="009A1981"/>
    <w:rsid w:val="009A36CA"/>
    <w:rsid w:val="009A3F04"/>
    <w:rsid w:val="009A4D52"/>
    <w:rsid w:val="009A6B5F"/>
    <w:rsid w:val="009B5019"/>
    <w:rsid w:val="009B5987"/>
    <w:rsid w:val="009B718D"/>
    <w:rsid w:val="009B7725"/>
    <w:rsid w:val="009B79C0"/>
    <w:rsid w:val="009C17F0"/>
    <w:rsid w:val="009C5C51"/>
    <w:rsid w:val="009C64EE"/>
    <w:rsid w:val="009D0204"/>
    <w:rsid w:val="009D1622"/>
    <w:rsid w:val="009D31B5"/>
    <w:rsid w:val="009E210B"/>
    <w:rsid w:val="009E3692"/>
    <w:rsid w:val="009E4095"/>
    <w:rsid w:val="009E4FD0"/>
    <w:rsid w:val="009F04E3"/>
    <w:rsid w:val="009F0D81"/>
    <w:rsid w:val="009F13DC"/>
    <w:rsid w:val="009F18DC"/>
    <w:rsid w:val="009F1E47"/>
    <w:rsid w:val="009F2617"/>
    <w:rsid w:val="009F2663"/>
    <w:rsid w:val="009F3BD3"/>
    <w:rsid w:val="009F56E0"/>
    <w:rsid w:val="009F6CD6"/>
    <w:rsid w:val="00A002CF"/>
    <w:rsid w:val="00A00DE8"/>
    <w:rsid w:val="00A028A4"/>
    <w:rsid w:val="00A049F5"/>
    <w:rsid w:val="00A06BC5"/>
    <w:rsid w:val="00A0741B"/>
    <w:rsid w:val="00A074FD"/>
    <w:rsid w:val="00A07C6B"/>
    <w:rsid w:val="00A111C7"/>
    <w:rsid w:val="00A12326"/>
    <w:rsid w:val="00A12D8E"/>
    <w:rsid w:val="00A16E44"/>
    <w:rsid w:val="00A20F27"/>
    <w:rsid w:val="00A2559D"/>
    <w:rsid w:val="00A261BA"/>
    <w:rsid w:val="00A30AF6"/>
    <w:rsid w:val="00A33BB2"/>
    <w:rsid w:val="00A34603"/>
    <w:rsid w:val="00A34F13"/>
    <w:rsid w:val="00A35F22"/>
    <w:rsid w:val="00A36B82"/>
    <w:rsid w:val="00A37868"/>
    <w:rsid w:val="00A44829"/>
    <w:rsid w:val="00A44F78"/>
    <w:rsid w:val="00A4508A"/>
    <w:rsid w:val="00A453D2"/>
    <w:rsid w:val="00A4605D"/>
    <w:rsid w:val="00A47282"/>
    <w:rsid w:val="00A47FC6"/>
    <w:rsid w:val="00A54428"/>
    <w:rsid w:val="00A55677"/>
    <w:rsid w:val="00A564C2"/>
    <w:rsid w:val="00A621A8"/>
    <w:rsid w:val="00A66EC9"/>
    <w:rsid w:val="00A679C5"/>
    <w:rsid w:val="00A70FB0"/>
    <w:rsid w:val="00A72437"/>
    <w:rsid w:val="00A72783"/>
    <w:rsid w:val="00A73113"/>
    <w:rsid w:val="00A750B3"/>
    <w:rsid w:val="00A756F6"/>
    <w:rsid w:val="00A82597"/>
    <w:rsid w:val="00A846C9"/>
    <w:rsid w:val="00A920BE"/>
    <w:rsid w:val="00A93537"/>
    <w:rsid w:val="00A96199"/>
    <w:rsid w:val="00A96E30"/>
    <w:rsid w:val="00A97687"/>
    <w:rsid w:val="00A977CB"/>
    <w:rsid w:val="00AA0D10"/>
    <w:rsid w:val="00AA2F45"/>
    <w:rsid w:val="00AA606C"/>
    <w:rsid w:val="00AB0289"/>
    <w:rsid w:val="00AB09CB"/>
    <w:rsid w:val="00AB3E3F"/>
    <w:rsid w:val="00AB5096"/>
    <w:rsid w:val="00AB64D9"/>
    <w:rsid w:val="00AC2B29"/>
    <w:rsid w:val="00AC4259"/>
    <w:rsid w:val="00AC4BCF"/>
    <w:rsid w:val="00AC4FF7"/>
    <w:rsid w:val="00AC6803"/>
    <w:rsid w:val="00AC7C3E"/>
    <w:rsid w:val="00AD0BA6"/>
    <w:rsid w:val="00AD10C4"/>
    <w:rsid w:val="00AD24AA"/>
    <w:rsid w:val="00AD40A0"/>
    <w:rsid w:val="00AD51B5"/>
    <w:rsid w:val="00AD52A3"/>
    <w:rsid w:val="00AD5F1D"/>
    <w:rsid w:val="00AD6E0B"/>
    <w:rsid w:val="00AE0D90"/>
    <w:rsid w:val="00AE1264"/>
    <w:rsid w:val="00AE2C18"/>
    <w:rsid w:val="00AE41E5"/>
    <w:rsid w:val="00AE6B0C"/>
    <w:rsid w:val="00AE7D4E"/>
    <w:rsid w:val="00AF763D"/>
    <w:rsid w:val="00B0196D"/>
    <w:rsid w:val="00B01E4A"/>
    <w:rsid w:val="00B06263"/>
    <w:rsid w:val="00B065CC"/>
    <w:rsid w:val="00B06AF5"/>
    <w:rsid w:val="00B12E4D"/>
    <w:rsid w:val="00B14258"/>
    <w:rsid w:val="00B15C79"/>
    <w:rsid w:val="00B16A2B"/>
    <w:rsid w:val="00B32CD7"/>
    <w:rsid w:val="00B33188"/>
    <w:rsid w:val="00B33F06"/>
    <w:rsid w:val="00B34701"/>
    <w:rsid w:val="00B3566B"/>
    <w:rsid w:val="00B366A1"/>
    <w:rsid w:val="00B41649"/>
    <w:rsid w:val="00B45FE8"/>
    <w:rsid w:val="00B4799C"/>
    <w:rsid w:val="00B524E0"/>
    <w:rsid w:val="00B56607"/>
    <w:rsid w:val="00B5668C"/>
    <w:rsid w:val="00B57F86"/>
    <w:rsid w:val="00B60325"/>
    <w:rsid w:val="00B603EB"/>
    <w:rsid w:val="00B61EE1"/>
    <w:rsid w:val="00B70BD1"/>
    <w:rsid w:val="00B720FC"/>
    <w:rsid w:val="00B76759"/>
    <w:rsid w:val="00B817D9"/>
    <w:rsid w:val="00B82221"/>
    <w:rsid w:val="00B823F5"/>
    <w:rsid w:val="00B82E87"/>
    <w:rsid w:val="00B858F0"/>
    <w:rsid w:val="00B86461"/>
    <w:rsid w:val="00B87127"/>
    <w:rsid w:val="00B90664"/>
    <w:rsid w:val="00B90969"/>
    <w:rsid w:val="00B90B6E"/>
    <w:rsid w:val="00B92377"/>
    <w:rsid w:val="00B934E3"/>
    <w:rsid w:val="00B979D2"/>
    <w:rsid w:val="00BA2E42"/>
    <w:rsid w:val="00BA3E9C"/>
    <w:rsid w:val="00BA4B19"/>
    <w:rsid w:val="00BA7844"/>
    <w:rsid w:val="00BB007D"/>
    <w:rsid w:val="00BB7159"/>
    <w:rsid w:val="00BC1B2A"/>
    <w:rsid w:val="00BC363E"/>
    <w:rsid w:val="00BC50CC"/>
    <w:rsid w:val="00BC7E25"/>
    <w:rsid w:val="00BC7F60"/>
    <w:rsid w:val="00BD132A"/>
    <w:rsid w:val="00BD2AF6"/>
    <w:rsid w:val="00BD4102"/>
    <w:rsid w:val="00BD72C6"/>
    <w:rsid w:val="00BE23C2"/>
    <w:rsid w:val="00BE2B19"/>
    <w:rsid w:val="00BE42B1"/>
    <w:rsid w:val="00BE473C"/>
    <w:rsid w:val="00BE6FC3"/>
    <w:rsid w:val="00BF01E6"/>
    <w:rsid w:val="00BF6715"/>
    <w:rsid w:val="00BF6C37"/>
    <w:rsid w:val="00BF7543"/>
    <w:rsid w:val="00C021A0"/>
    <w:rsid w:val="00C07360"/>
    <w:rsid w:val="00C143D4"/>
    <w:rsid w:val="00C144C5"/>
    <w:rsid w:val="00C155FF"/>
    <w:rsid w:val="00C15DFC"/>
    <w:rsid w:val="00C22302"/>
    <w:rsid w:val="00C25D74"/>
    <w:rsid w:val="00C27860"/>
    <w:rsid w:val="00C30BA0"/>
    <w:rsid w:val="00C327BC"/>
    <w:rsid w:val="00C3404B"/>
    <w:rsid w:val="00C40341"/>
    <w:rsid w:val="00C4125B"/>
    <w:rsid w:val="00C42354"/>
    <w:rsid w:val="00C42851"/>
    <w:rsid w:val="00C45EDF"/>
    <w:rsid w:val="00C50A33"/>
    <w:rsid w:val="00C51CCC"/>
    <w:rsid w:val="00C5588F"/>
    <w:rsid w:val="00C55A9A"/>
    <w:rsid w:val="00C55A9E"/>
    <w:rsid w:val="00C57E3C"/>
    <w:rsid w:val="00C62F94"/>
    <w:rsid w:val="00C647AA"/>
    <w:rsid w:val="00C679E8"/>
    <w:rsid w:val="00C705CC"/>
    <w:rsid w:val="00C71FB6"/>
    <w:rsid w:val="00C74D45"/>
    <w:rsid w:val="00C81EBA"/>
    <w:rsid w:val="00C82D6A"/>
    <w:rsid w:val="00C82E2C"/>
    <w:rsid w:val="00C86D53"/>
    <w:rsid w:val="00C9653C"/>
    <w:rsid w:val="00C96EF0"/>
    <w:rsid w:val="00CA043A"/>
    <w:rsid w:val="00CA067F"/>
    <w:rsid w:val="00CA1B5F"/>
    <w:rsid w:val="00CA1BFC"/>
    <w:rsid w:val="00CA375E"/>
    <w:rsid w:val="00CA3D6B"/>
    <w:rsid w:val="00CA4424"/>
    <w:rsid w:val="00CA4F43"/>
    <w:rsid w:val="00CA6CF7"/>
    <w:rsid w:val="00CA6EBB"/>
    <w:rsid w:val="00CA7944"/>
    <w:rsid w:val="00CB4901"/>
    <w:rsid w:val="00CB52D4"/>
    <w:rsid w:val="00CB583C"/>
    <w:rsid w:val="00CC0005"/>
    <w:rsid w:val="00CC0BF4"/>
    <w:rsid w:val="00CC68A6"/>
    <w:rsid w:val="00CC7822"/>
    <w:rsid w:val="00CD4FA5"/>
    <w:rsid w:val="00CD7CA6"/>
    <w:rsid w:val="00CE0E7E"/>
    <w:rsid w:val="00CF10B7"/>
    <w:rsid w:val="00CF16CD"/>
    <w:rsid w:val="00CF5F5C"/>
    <w:rsid w:val="00D003B0"/>
    <w:rsid w:val="00D006C1"/>
    <w:rsid w:val="00D03F66"/>
    <w:rsid w:val="00D0473E"/>
    <w:rsid w:val="00D0510F"/>
    <w:rsid w:val="00D0760A"/>
    <w:rsid w:val="00D117CB"/>
    <w:rsid w:val="00D11B8D"/>
    <w:rsid w:val="00D1518B"/>
    <w:rsid w:val="00D165D3"/>
    <w:rsid w:val="00D17424"/>
    <w:rsid w:val="00D175E4"/>
    <w:rsid w:val="00D17ECD"/>
    <w:rsid w:val="00D2017E"/>
    <w:rsid w:val="00D210AF"/>
    <w:rsid w:val="00D2134C"/>
    <w:rsid w:val="00D22949"/>
    <w:rsid w:val="00D235D4"/>
    <w:rsid w:val="00D278C0"/>
    <w:rsid w:val="00D27C24"/>
    <w:rsid w:val="00D3381C"/>
    <w:rsid w:val="00D34508"/>
    <w:rsid w:val="00D35B48"/>
    <w:rsid w:val="00D40F11"/>
    <w:rsid w:val="00D4142F"/>
    <w:rsid w:val="00D41FA0"/>
    <w:rsid w:val="00D42AF8"/>
    <w:rsid w:val="00D42F08"/>
    <w:rsid w:val="00D476F3"/>
    <w:rsid w:val="00D50239"/>
    <w:rsid w:val="00D5061F"/>
    <w:rsid w:val="00D510B7"/>
    <w:rsid w:val="00D51694"/>
    <w:rsid w:val="00D56E0D"/>
    <w:rsid w:val="00D61658"/>
    <w:rsid w:val="00D62DE1"/>
    <w:rsid w:val="00D67531"/>
    <w:rsid w:val="00D72850"/>
    <w:rsid w:val="00D72B8E"/>
    <w:rsid w:val="00D74CEB"/>
    <w:rsid w:val="00D74F90"/>
    <w:rsid w:val="00D76B66"/>
    <w:rsid w:val="00D7760B"/>
    <w:rsid w:val="00D80641"/>
    <w:rsid w:val="00D82626"/>
    <w:rsid w:val="00D8311E"/>
    <w:rsid w:val="00D84E8D"/>
    <w:rsid w:val="00DA1BB2"/>
    <w:rsid w:val="00DA1BB9"/>
    <w:rsid w:val="00DA1E7B"/>
    <w:rsid w:val="00DA2FAF"/>
    <w:rsid w:val="00DB1F75"/>
    <w:rsid w:val="00DB2348"/>
    <w:rsid w:val="00DB3E74"/>
    <w:rsid w:val="00DB4C49"/>
    <w:rsid w:val="00DB4C7F"/>
    <w:rsid w:val="00DB68DD"/>
    <w:rsid w:val="00DB7E4A"/>
    <w:rsid w:val="00DC3831"/>
    <w:rsid w:val="00DC4565"/>
    <w:rsid w:val="00DD2657"/>
    <w:rsid w:val="00DD4507"/>
    <w:rsid w:val="00DD5CEB"/>
    <w:rsid w:val="00DD60D6"/>
    <w:rsid w:val="00DE56FF"/>
    <w:rsid w:val="00DE5B54"/>
    <w:rsid w:val="00DE6253"/>
    <w:rsid w:val="00DE7E67"/>
    <w:rsid w:val="00DF0D6E"/>
    <w:rsid w:val="00DF4735"/>
    <w:rsid w:val="00DF6F63"/>
    <w:rsid w:val="00E00722"/>
    <w:rsid w:val="00E00A34"/>
    <w:rsid w:val="00E02699"/>
    <w:rsid w:val="00E02EE5"/>
    <w:rsid w:val="00E04E4E"/>
    <w:rsid w:val="00E0647C"/>
    <w:rsid w:val="00E10081"/>
    <w:rsid w:val="00E10CF9"/>
    <w:rsid w:val="00E1316F"/>
    <w:rsid w:val="00E15415"/>
    <w:rsid w:val="00E154F6"/>
    <w:rsid w:val="00E179A8"/>
    <w:rsid w:val="00E17D7C"/>
    <w:rsid w:val="00E2318C"/>
    <w:rsid w:val="00E248EB"/>
    <w:rsid w:val="00E26F0E"/>
    <w:rsid w:val="00E26FDA"/>
    <w:rsid w:val="00E331BB"/>
    <w:rsid w:val="00E33DB5"/>
    <w:rsid w:val="00E357AC"/>
    <w:rsid w:val="00E36785"/>
    <w:rsid w:val="00E36A9E"/>
    <w:rsid w:val="00E405F4"/>
    <w:rsid w:val="00E41134"/>
    <w:rsid w:val="00E43DF1"/>
    <w:rsid w:val="00E45781"/>
    <w:rsid w:val="00E4614D"/>
    <w:rsid w:val="00E468FE"/>
    <w:rsid w:val="00E47E80"/>
    <w:rsid w:val="00E50751"/>
    <w:rsid w:val="00E50848"/>
    <w:rsid w:val="00E51810"/>
    <w:rsid w:val="00E52B09"/>
    <w:rsid w:val="00E532C7"/>
    <w:rsid w:val="00E536D3"/>
    <w:rsid w:val="00E55041"/>
    <w:rsid w:val="00E553DC"/>
    <w:rsid w:val="00E60821"/>
    <w:rsid w:val="00E64179"/>
    <w:rsid w:val="00E6463B"/>
    <w:rsid w:val="00E651D5"/>
    <w:rsid w:val="00E67681"/>
    <w:rsid w:val="00E70698"/>
    <w:rsid w:val="00E70A8C"/>
    <w:rsid w:val="00E7117C"/>
    <w:rsid w:val="00E72FDE"/>
    <w:rsid w:val="00E7537D"/>
    <w:rsid w:val="00E76291"/>
    <w:rsid w:val="00E76AD2"/>
    <w:rsid w:val="00E77A77"/>
    <w:rsid w:val="00E8013A"/>
    <w:rsid w:val="00E8036A"/>
    <w:rsid w:val="00E81109"/>
    <w:rsid w:val="00E828BC"/>
    <w:rsid w:val="00E86DA6"/>
    <w:rsid w:val="00E907AA"/>
    <w:rsid w:val="00EA01A7"/>
    <w:rsid w:val="00EA2101"/>
    <w:rsid w:val="00EA28E5"/>
    <w:rsid w:val="00EA6403"/>
    <w:rsid w:val="00EB20C5"/>
    <w:rsid w:val="00EB494D"/>
    <w:rsid w:val="00EB5D62"/>
    <w:rsid w:val="00EC022A"/>
    <w:rsid w:val="00EC3CED"/>
    <w:rsid w:val="00EC4B9E"/>
    <w:rsid w:val="00EC63D2"/>
    <w:rsid w:val="00EC76DF"/>
    <w:rsid w:val="00ED017A"/>
    <w:rsid w:val="00ED7D9C"/>
    <w:rsid w:val="00EE2176"/>
    <w:rsid w:val="00EE21AC"/>
    <w:rsid w:val="00EE5C8A"/>
    <w:rsid w:val="00EE5DDF"/>
    <w:rsid w:val="00EE65D7"/>
    <w:rsid w:val="00EE6922"/>
    <w:rsid w:val="00EE7C80"/>
    <w:rsid w:val="00EF01BF"/>
    <w:rsid w:val="00EF1707"/>
    <w:rsid w:val="00EF2413"/>
    <w:rsid w:val="00EF38BE"/>
    <w:rsid w:val="00EF5385"/>
    <w:rsid w:val="00EF5748"/>
    <w:rsid w:val="00EF7157"/>
    <w:rsid w:val="00EF77AC"/>
    <w:rsid w:val="00F03449"/>
    <w:rsid w:val="00F0400B"/>
    <w:rsid w:val="00F06AFC"/>
    <w:rsid w:val="00F10ADC"/>
    <w:rsid w:val="00F140CB"/>
    <w:rsid w:val="00F152C3"/>
    <w:rsid w:val="00F16C57"/>
    <w:rsid w:val="00F22285"/>
    <w:rsid w:val="00F228BF"/>
    <w:rsid w:val="00F263E2"/>
    <w:rsid w:val="00F3200B"/>
    <w:rsid w:val="00F322CB"/>
    <w:rsid w:val="00F35DBF"/>
    <w:rsid w:val="00F40602"/>
    <w:rsid w:val="00F41B1F"/>
    <w:rsid w:val="00F44FDC"/>
    <w:rsid w:val="00F51F6A"/>
    <w:rsid w:val="00F53EF7"/>
    <w:rsid w:val="00F55F1E"/>
    <w:rsid w:val="00F632ED"/>
    <w:rsid w:val="00F65434"/>
    <w:rsid w:val="00F65CEE"/>
    <w:rsid w:val="00F70373"/>
    <w:rsid w:val="00F704D9"/>
    <w:rsid w:val="00F7079E"/>
    <w:rsid w:val="00F811E5"/>
    <w:rsid w:val="00F86509"/>
    <w:rsid w:val="00F875A9"/>
    <w:rsid w:val="00F92094"/>
    <w:rsid w:val="00F924AA"/>
    <w:rsid w:val="00F924D1"/>
    <w:rsid w:val="00F941BF"/>
    <w:rsid w:val="00F95527"/>
    <w:rsid w:val="00F96664"/>
    <w:rsid w:val="00F96E7F"/>
    <w:rsid w:val="00F97D0D"/>
    <w:rsid w:val="00F97D3C"/>
    <w:rsid w:val="00F97D73"/>
    <w:rsid w:val="00FA279E"/>
    <w:rsid w:val="00FA3566"/>
    <w:rsid w:val="00FA5181"/>
    <w:rsid w:val="00FA6552"/>
    <w:rsid w:val="00FA70AD"/>
    <w:rsid w:val="00FB2B89"/>
    <w:rsid w:val="00FB2E48"/>
    <w:rsid w:val="00FB2FC9"/>
    <w:rsid w:val="00FB559B"/>
    <w:rsid w:val="00FC057B"/>
    <w:rsid w:val="00FC3E79"/>
    <w:rsid w:val="00FC488C"/>
    <w:rsid w:val="00FC75E0"/>
    <w:rsid w:val="00FD00F3"/>
    <w:rsid w:val="00FD189A"/>
    <w:rsid w:val="00FD1BF8"/>
    <w:rsid w:val="00FD27C2"/>
    <w:rsid w:val="00FD6496"/>
    <w:rsid w:val="00FD6CFB"/>
    <w:rsid w:val="00FE1610"/>
    <w:rsid w:val="00FE25A5"/>
    <w:rsid w:val="00FE382A"/>
    <w:rsid w:val="00FE3E93"/>
    <w:rsid w:val="00FE624F"/>
    <w:rsid w:val="00FF4F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522"/>
    <w:rPr>
      <w:sz w:val="26"/>
    </w:rPr>
  </w:style>
  <w:style w:type="paragraph" w:styleId="Heading1">
    <w:name w:val="heading 1"/>
    <w:basedOn w:val="Normal"/>
    <w:next w:val="Normal"/>
    <w:link w:val="Heading1Char"/>
    <w:uiPriority w:val="9"/>
    <w:qFormat/>
    <w:rsid w:val="00700522"/>
    <w:pPr>
      <w:keepNext/>
      <w:jc w:val="center"/>
      <w:outlineLvl w:val="0"/>
    </w:pPr>
    <w:rPr>
      <w:u w:val="single"/>
    </w:rPr>
  </w:style>
  <w:style w:type="paragraph" w:styleId="Heading2">
    <w:name w:val="heading 2"/>
    <w:basedOn w:val="Normal"/>
    <w:next w:val="Normal"/>
    <w:link w:val="Heading2Char"/>
    <w:uiPriority w:val="9"/>
    <w:qFormat/>
    <w:rsid w:val="00700522"/>
    <w:pPr>
      <w:keepNext/>
      <w:tabs>
        <w:tab w:val="left" w:pos="-720"/>
      </w:tabs>
      <w:suppressAutoHyphens/>
      <w:spacing w:line="480" w:lineRule="auto"/>
      <w:jc w:val="center"/>
      <w:outlineLvl w:val="1"/>
    </w:pPr>
    <w:rPr>
      <w:u w:val="single"/>
    </w:rPr>
  </w:style>
  <w:style w:type="paragraph" w:styleId="Heading3">
    <w:name w:val="heading 3"/>
    <w:basedOn w:val="Normal"/>
    <w:next w:val="Normal"/>
    <w:link w:val="Heading3Char"/>
    <w:uiPriority w:val="9"/>
    <w:qFormat/>
    <w:rsid w:val="00700522"/>
    <w:pPr>
      <w:keepNext/>
      <w:spacing w:line="360" w:lineRule="auto"/>
      <w:outlineLvl w:val="2"/>
    </w:pPr>
    <w:rPr>
      <w:b/>
      <w:sz w:val="24"/>
      <w:szCs w:val="24"/>
    </w:rPr>
  </w:style>
  <w:style w:type="paragraph" w:styleId="Heading4">
    <w:name w:val="heading 4"/>
    <w:basedOn w:val="Normal"/>
    <w:next w:val="Normal"/>
    <w:link w:val="Heading4Char"/>
    <w:uiPriority w:val="9"/>
    <w:qFormat/>
    <w:rsid w:val="00700522"/>
    <w:pPr>
      <w:keepNext/>
      <w:spacing w:line="36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A0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E3A08"/>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E3A08"/>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E3A08"/>
    <w:rPr>
      <w:rFonts w:ascii="Calibri" w:eastAsia="Times New Roman" w:hAnsi="Calibri" w:cs="Times New Roman"/>
      <w:b/>
      <w:bCs/>
      <w:sz w:val="28"/>
      <w:szCs w:val="28"/>
    </w:rPr>
  </w:style>
  <w:style w:type="paragraph" w:styleId="FootnoteText">
    <w:name w:val="footnote text"/>
    <w:basedOn w:val="Normal"/>
    <w:link w:val="FootnoteTextChar"/>
    <w:uiPriority w:val="99"/>
    <w:semiHidden/>
    <w:rsid w:val="00700522"/>
    <w:pPr>
      <w:widowControl w:val="0"/>
    </w:pPr>
  </w:style>
  <w:style w:type="character" w:customStyle="1" w:styleId="FootnoteTextChar">
    <w:name w:val="Footnote Text Char"/>
    <w:basedOn w:val="DefaultParagraphFont"/>
    <w:link w:val="FootnoteText"/>
    <w:uiPriority w:val="99"/>
    <w:semiHidden/>
    <w:rsid w:val="00700522"/>
    <w:rPr>
      <w:rFonts w:cs="Times New Roman"/>
      <w:sz w:val="26"/>
    </w:rPr>
  </w:style>
  <w:style w:type="character" w:styleId="FootnoteReference">
    <w:name w:val="footnote reference"/>
    <w:aliases w:val="Footnote Text1"/>
    <w:basedOn w:val="DefaultParagraphFont"/>
    <w:uiPriority w:val="99"/>
    <w:semiHidden/>
    <w:rsid w:val="00700522"/>
    <w:rPr>
      <w:rFonts w:cs="Times New Roman"/>
      <w:vertAlign w:val="superscript"/>
    </w:rPr>
  </w:style>
  <w:style w:type="paragraph" w:styleId="Caption">
    <w:name w:val="caption"/>
    <w:basedOn w:val="Normal"/>
    <w:next w:val="Normal"/>
    <w:uiPriority w:val="35"/>
    <w:qFormat/>
    <w:rsid w:val="00700522"/>
    <w:pPr>
      <w:widowControl w:val="0"/>
    </w:pPr>
  </w:style>
  <w:style w:type="character" w:styleId="PageNumber">
    <w:name w:val="page number"/>
    <w:basedOn w:val="DefaultParagraphFont"/>
    <w:uiPriority w:val="99"/>
    <w:semiHidden/>
    <w:rsid w:val="00700522"/>
    <w:rPr>
      <w:rFonts w:cs="Times New Roman"/>
    </w:rPr>
  </w:style>
  <w:style w:type="paragraph" w:styleId="Footer">
    <w:name w:val="footer"/>
    <w:basedOn w:val="Normal"/>
    <w:link w:val="FooterChar"/>
    <w:uiPriority w:val="99"/>
    <w:rsid w:val="00700522"/>
    <w:pPr>
      <w:tabs>
        <w:tab w:val="center" w:pos="4320"/>
        <w:tab w:val="right" w:pos="8640"/>
      </w:tabs>
    </w:pPr>
  </w:style>
  <w:style w:type="character" w:customStyle="1" w:styleId="FooterChar">
    <w:name w:val="Footer Char"/>
    <w:basedOn w:val="DefaultParagraphFont"/>
    <w:link w:val="Footer"/>
    <w:uiPriority w:val="99"/>
    <w:locked/>
    <w:rsid w:val="00006FD5"/>
    <w:rPr>
      <w:rFonts w:cs="Times New Roman"/>
      <w:sz w:val="26"/>
    </w:rPr>
  </w:style>
  <w:style w:type="paragraph" w:styleId="Header">
    <w:name w:val="header"/>
    <w:basedOn w:val="Normal"/>
    <w:link w:val="HeaderChar"/>
    <w:uiPriority w:val="99"/>
    <w:semiHidden/>
    <w:rsid w:val="00700522"/>
    <w:pPr>
      <w:tabs>
        <w:tab w:val="center" w:pos="4320"/>
        <w:tab w:val="right" w:pos="8640"/>
      </w:tabs>
    </w:pPr>
  </w:style>
  <w:style w:type="character" w:customStyle="1" w:styleId="HeaderChar">
    <w:name w:val="Header Char"/>
    <w:basedOn w:val="DefaultParagraphFont"/>
    <w:link w:val="Header"/>
    <w:uiPriority w:val="99"/>
    <w:semiHidden/>
    <w:rsid w:val="006E3A08"/>
    <w:rPr>
      <w:sz w:val="26"/>
    </w:rPr>
  </w:style>
  <w:style w:type="paragraph" w:styleId="Title">
    <w:name w:val="Title"/>
    <w:basedOn w:val="Normal"/>
    <w:link w:val="TitleChar"/>
    <w:uiPriority w:val="10"/>
    <w:qFormat/>
    <w:rsid w:val="00700522"/>
    <w:pPr>
      <w:jc w:val="center"/>
    </w:pPr>
    <w:rPr>
      <w:b/>
    </w:rPr>
  </w:style>
  <w:style w:type="character" w:customStyle="1" w:styleId="TitleChar">
    <w:name w:val="Title Char"/>
    <w:basedOn w:val="DefaultParagraphFont"/>
    <w:link w:val="Title"/>
    <w:uiPriority w:val="10"/>
    <w:rsid w:val="006E3A08"/>
    <w:rPr>
      <w:rFonts w:ascii="Cambria" w:eastAsia="Times New Roman" w:hAnsi="Cambria" w:cs="Times New Roman"/>
      <w:b/>
      <w:bCs/>
      <w:kern w:val="28"/>
      <w:sz w:val="32"/>
      <w:szCs w:val="32"/>
    </w:rPr>
  </w:style>
  <w:style w:type="paragraph" w:styleId="Subtitle">
    <w:name w:val="Subtitle"/>
    <w:basedOn w:val="Normal"/>
    <w:link w:val="SubtitleChar"/>
    <w:uiPriority w:val="11"/>
    <w:qFormat/>
    <w:rsid w:val="00700522"/>
    <w:pPr>
      <w:jc w:val="center"/>
    </w:pPr>
    <w:rPr>
      <w:b/>
    </w:rPr>
  </w:style>
  <w:style w:type="character" w:customStyle="1" w:styleId="SubtitleChar">
    <w:name w:val="Subtitle Char"/>
    <w:basedOn w:val="DefaultParagraphFont"/>
    <w:link w:val="Subtitle"/>
    <w:uiPriority w:val="11"/>
    <w:rsid w:val="006E3A08"/>
    <w:rPr>
      <w:rFonts w:ascii="Cambria" w:eastAsia="Times New Roman" w:hAnsi="Cambria" w:cs="Times New Roman"/>
      <w:sz w:val="24"/>
      <w:szCs w:val="24"/>
    </w:rPr>
  </w:style>
  <w:style w:type="paragraph" w:styleId="BodyText">
    <w:name w:val="Body Text"/>
    <w:basedOn w:val="Normal"/>
    <w:link w:val="BodyTextChar"/>
    <w:uiPriority w:val="99"/>
    <w:semiHidden/>
    <w:rsid w:val="00700522"/>
    <w:pPr>
      <w:tabs>
        <w:tab w:val="left" w:pos="1980"/>
      </w:tabs>
      <w:spacing w:line="480" w:lineRule="auto"/>
      <w:jc w:val="both"/>
    </w:pPr>
    <w:rPr>
      <w:rFonts w:ascii="Courier" w:hAnsi="Courier"/>
    </w:rPr>
  </w:style>
  <w:style w:type="character" w:customStyle="1" w:styleId="BodyTextChar">
    <w:name w:val="Body Text Char"/>
    <w:basedOn w:val="DefaultParagraphFont"/>
    <w:link w:val="BodyText"/>
    <w:uiPriority w:val="99"/>
    <w:semiHidden/>
    <w:rsid w:val="00700522"/>
    <w:rPr>
      <w:rFonts w:ascii="Courier" w:hAnsi="Courier" w:cs="Times New Roman"/>
      <w:sz w:val="26"/>
    </w:rPr>
  </w:style>
  <w:style w:type="paragraph" w:styleId="BodyText3">
    <w:name w:val="Body Text 3"/>
    <w:basedOn w:val="Normal"/>
    <w:link w:val="BodyText3Char"/>
    <w:uiPriority w:val="99"/>
    <w:semiHidden/>
    <w:rsid w:val="00700522"/>
    <w:pPr>
      <w:tabs>
        <w:tab w:val="center" w:pos="4680"/>
      </w:tabs>
      <w:suppressAutoHyphens/>
      <w:spacing w:line="360" w:lineRule="auto"/>
      <w:jc w:val="both"/>
    </w:pPr>
    <w:rPr>
      <w:spacing w:val="-3"/>
    </w:rPr>
  </w:style>
  <w:style w:type="character" w:customStyle="1" w:styleId="BodyText3Char">
    <w:name w:val="Body Text 3 Char"/>
    <w:basedOn w:val="DefaultParagraphFont"/>
    <w:link w:val="BodyText3"/>
    <w:uiPriority w:val="99"/>
    <w:semiHidden/>
    <w:rsid w:val="00700522"/>
    <w:rPr>
      <w:rFonts w:cs="Times New Roman"/>
      <w:spacing w:val="-3"/>
      <w:sz w:val="26"/>
    </w:rPr>
  </w:style>
  <w:style w:type="paragraph" w:styleId="BodyText2">
    <w:name w:val="Body Text 2"/>
    <w:aliases w:val="B2,WB Body Text 2"/>
    <w:basedOn w:val="Normal"/>
    <w:link w:val="BodyText2Char"/>
    <w:uiPriority w:val="99"/>
    <w:semiHidden/>
    <w:rsid w:val="00700522"/>
    <w:pPr>
      <w:tabs>
        <w:tab w:val="left" w:pos="-720"/>
      </w:tabs>
      <w:suppressAutoHyphens/>
      <w:spacing w:line="480" w:lineRule="auto"/>
    </w:pPr>
  </w:style>
  <w:style w:type="character" w:customStyle="1" w:styleId="BodyText2Char">
    <w:name w:val="Body Text 2 Char"/>
    <w:aliases w:val="B2 Char,WB Body Text 2 Char"/>
    <w:basedOn w:val="DefaultParagraphFont"/>
    <w:link w:val="BodyText2"/>
    <w:uiPriority w:val="99"/>
    <w:semiHidden/>
    <w:rsid w:val="00700522"/>
    <w:rPr>
      <w:rFonts w:cs="Times New Roman"/>
      <w:sz w:val="26"/>
    </w:rPr>
  </w:style>
  <w:style w:type="paragraph" w:styleId="BalloonText">
    <w:name w:val="Balloon Text"/>
    <w:basedOn w:val="Normal"/>
    <w:link w:val="BalloonTextChar"/>
    <w:uiPriority w:val="99"/>
    <w:semiHidden/>
    <w:rsid w:val="00700522"/>
    <w:rPr>
      <w:rFonts w:ascii="Tahoma" w:hAnsi="Tahoma" w:cs="Tahoma"/>
      <w:sz w:val="16"/>
      <w:szCs w:val="16"/>
    </w:rPr>
  </w:style>
  <w:style w:type="character" w:customStyle="1" w:styleId="BalloonTextChar">
    <w:name w:val="Balloon Text Char"/>
    <w:basedOn w:val="DefaultParagraphFont"/>
    <w:link w:val="BalloonText"/>
    <w:uiPriority w:val="99"/>
    <w:semiHidden/>
    <w:rsid w:val="006E3A08"/>
    <w:rPr>
      <w:sz w:val="0"/>
      <w:szCs w:val="0"/>
    </w:rPr>
  </w:style>
  <w:style w:type="paragraph" w:styleId="CommentText">
    <w:name w:val="annotation text"/>
    <w:basedOn w:val="Normal"/>
    <w:link w:val="CommentTextChar"/>
    <w:uiPriority w:val="99"/>
    <w:semiHidden/>
    <w:rsid w:val="00700522"/>
    <w:rPr>
      <w:sz w:val="20"/>
    </w:rPr>
  </w:style>
  <w:style w:type="character" w:customStyle="1" w:styleId="CommentTextChar">
    <w:name w:val="Comment Text Char"/>
    <w:basedOn w:val="DefaultParagraphFont"/>
    <w:link w:val="CommentText"/>
    <w:uiPriority w:val="99"/>
    <w:semiHidden/>
    <w:rsid w:val="006E3A08"/>
  </w:style>
  <w:style w:type="character" w:styleId="CommentReference">
    <w:name w:val="annotation reference"/>
    <w:basedOn w:val="DefaultParagraphFont"/>
    <w:uiPriority w:val="99"/>
    <w:semiHidden/>
    <w:rsid w:val="00700522"/>
    <w:rPr>
      <w:rFonts w:cs="Times New Roman"/>
      <w:sz w:val="16"/>
      <w:szCs w:val="16"/>
    </w:rPr>
  </w:style>
  <w:style w:type="paragraph" w:customStyle="1" w:styleId="OutlineL1">
    <w:name w:val="Outline_L1"/>
    <w:basedOn w:val="Normal"/>
    <w:next w:val="FootnoteText"/>
    <w:rsid w:val="00700522"/>
    <w:pPr>
      <w:keepNext/>
      <w:tabs>
        <w:tab w:val="num" w:pos="720"/>
      </w:tabs>
      <w:spacing w:after="240"/>
      <w:jc w:val="center"/>
      <w:outlineLvl w:val="0"/>
    </w:pPr>
    <w:rPr>
      <w:rFonts w:ascii="Times New Roman Bold" w:hAnsi="Times New Roman Bold"/>
      <w:b/>
      <w:caps/>
      <w:sz w:val="24"/>
    </w:rPr>
  </w:style>
  <w:style w:type="paragraph" w:customStyle="1" w:styleId="OutlineL2">
    <w:name w:val="Outline_L2"/>
    <w:basedOn w:val="OutlineL1"/>
    <w:rsid w:val="00700522"/>
    <w:pPr>
      <w:keepNext w:val="0"/>
      <w:numPr>
        <w:ilvl w:val="1"/>
      </w:numPr>
      <w:tabs>
        <w:tab w:val="num" w:pos="720"/>
      </w:tabs>
      <w:spacing w:line="480" w:lineRule="auto"/>
      <w:jc w:val="left"/>
      <w:outlineLvl w:val="1"/>
    </w:pPr>
    <w:rPr>
      <w:rFonts w:ascii="Times New Roman" w:hAnsi="Times New Roman"/>
      <w:b w:val="0"/>
      <w:caps w:val="0"/>
    </w:rPr>
  </w:style>
  <w:style w:type="paragraph" w:customStyle="1" w:styleId="OutlineL3">
    <w:name w:val="Outline_L3"/>
    <w:basedOn w:val="OutlineL2"/>
    <w:rsid w:val="00700522"/>
    <w:pPr>
      <w:numPr>
        <w:ilvl w:val="2"/>
      </w:numPr>
      <w:tabs>
        <w:tab w:val="num" w:pos="720"/>
      </w:tabs>
      <w:spacing w:after="120"/>
      <w:outlineLvl w:val="2"/>
    </w:pPr>
  </w:style>
  <w:style w:type="paragraph" w:customStyle="1" w:styleId="OutlineL4">
    <w:name w:val="Outline_L4"/>
    <w:basedOn w:val="OutlineL3"/>
    <w:rsid w:val="00700522"/>
    <w:pPr>
      <w:numPr>
        <w:ilvl w:val="3"/>
      </w:numPr>
      <w:tabs>
        <w:tab w:val="num" w:pos="720"/>
      </w:tabs>
      <w:outlineLvl w:val="3"/>
    </w:pPr>
  </w:style>
  <w:style w:type="paragraph" w:customStyle="1" w:styleId="OutlineL5">
    <w:name w:val="Outline_L5"/>
    <w:basedOn w:val="OutlineL4"/>
    <w:rsid w:val="00700522"/>
    <w:pPr>
      <w:numPr>
        <w:ilvl w:val="4"/>
      </w:numPr>
      <w:tabs>
        <w:tab w:val="num" w:pos="720"/>
      </w:tabs>
      <w:spacing w:line="240" w:lineRule="auto"/>
      <w:outlineLvl w:val="4"/>
    </w:pPr>
  </w:style>
  <w:style w:type="paragraph" w:customStyle="1" w:styleId="OutlineL6">
    <w:name w:val="Outline_L6"/>
    <w:basedOn w:val="OutlineL5"/>
    <w:rsid w:val="00700522"/>
    <w:pPr>
      <w:numPr>
        <w:ilvl w:val="5"/>
      </w:numPr>
      <w:tabs>
        <w:tab w:val="num" w:pos="720"/>
      </w:tabs>
      <w:spacing w:after="240"/>
      <w:outlineLvl w:val="5"/>
    </w:pPr>
    <w:rPr>
      <w:szCs w:val="24"/>
    </w:rPr>
  </w:style>
  <w:style w:type="paragraph" w:customStyle="1" w:styleId="OutlineL7">
    <w:name w:val="Outline_L7"/>
    <w:basedOn w:val="OutlineL6"/>
    <w:rsid w:val="00700522"/>
    <w:pPr>
      <w:numPr>
        <w:ilvl w:val="6"/>
      </w:numPr>
      <w:tabs>
        <w:tab w:val="num" w:pos="720"/>
      </w:tabs>
      <w:ind w:left="72"/>
      <w:outlineLvl w:val="6"/>
    </w:pPr>
    <w:rPr>
      <w:rFonts w:ascii="Times New Roman Bold" w:hAnsi="Times New Roman Bold"/>
      <w:b/>
    </w:rPr>
  </w:style>
  <w:style w:type="paragraph" w:customStyle="1" w:styleId="OutlineL8">
    <w:name w:val="Outline_L8"/>
    <w:basedOn w:val="OutlineL7"/>
    <w:rsid w:val="00700522"/>
    <w:pPr>
      <w:numPr>
        <w:ilvl w:val="7"/>
      </w:numPr>
      <w:tabs>
        <w:tab w:val="num" w:pos="720"/>
      </w:tabs>
      <w:ind w:left="72"/>
      <w:outlineLvl w:val="7"/>
    </w:pPr>
  </w:style>
  <w:style w:type="paragraph" w:customStyle="1" w:styleId="OutlineL9">
    <w:name w:val="Outline_L9"/>
    <w:basedOn w:val="OutlineL8"/>
    <w:rsid w:val="00700522"/>
    <w:pPr>
      <w:numPr>
        <w:ilvl w:val="8"/>
      </w:numPr>
      <w:tabs>
        <w:tab w:val="num" w:pos="720"/>
      </w:tabs>
      <w:ind w:left="72"/>
      <w:outlineLvl w:val="8"/>
    </w:pPr>
  </w:style>
  <w:style w:type="paragraph" w:styleId="PlainText">
    <w:name w:val="Plain Text"/>
    <w:basedOn w:val="Normal"/>
    <w:link w:val="PlainTextChar"/>
    <w:uiPriority w:val="99"/>
    <w:semiHidden/>
    <w:unhideWhenUsed/>
    <w:rsid w:val="00700522"/>
    <w:rPr>
      <w:rFonts w:ascii="Consolas" w:hAnsi="Consolas"/>
      <w:sz w:val="21"/>
      <w:szCs w:val="21"/>
    </w:rPr>
  </w:style>
  <w:style w:type="character" w:customStyle="1" w:styleId="PlainTextChar">
    <w:name w:val="Plain Text Char"/>
    <w:basedOn w:val="DefaultParagraphFont"/>
    <w:link w:val="PlainText"/>
    <w:uiPriority w:val="99"/>
    <w:rsid w:val="00700522"/>
    <w:rPr>
      <w:rFonts w:ascii="Consolas" w:eastAsia="Times New Roman" w:hAnsi="Consolas" w:cs="Times New Roman"/>
      <w:sz w:val="21"/>
      <w:szCs w:val="21"/>
    </w:rPr>
  </w:style>
  <w:style w:type="paragraph" w:styleId="ListParagraph">
    <w:name w:val="List Paragraph"/>
    <w:basedOn w:val="Normal"/>
    <w:uiPriority w:val="34"/>
    <w:qFormat/>
    <w:rsid w:val="00700522"/>
    <w:pPr>
      <w:ind w:left="720"/>
    </w:pPr>
  </w:style>
  <w:style w:type="character" w:styleId="Hyperlink">
    <w:name w:val="Hyperlink"/>
    <w:basedOn w:val="DefaultParagraphFont"/>
    <w:uiPriority w:val="99"/>
    <w:unhideWhenUsed/>
    <w:rsid w:val="00700522"/>
    <w:rPr>
      <w:rFonts w:cs="Times New Roman"/>
      <w:color w:val="0000FF"/>
      <w:u w:val="single"/>
    </w:rPr>
  </w:style>
  <w:style w:type="character" w:styleId="FollowedHyperlink">
    <w:name w:val="FollowedHyperlink"/>
    <w:basedOn w:val="DefaultParagraphFont"/>
    <w:uiPriority w:val="99"/>
    <w:semiHidden/>
    <w:rsid w:val="00700522"/>
    <w:rPr>
      <w:rFonts w:cs="Times New Roman"/>
      <w:color w:val="800080"/>
      <w:u w:val="single"/>
    </w:rPr>
  </w:style>
  <w:style w:type="paragraph" w:customStyle="1" w:styleId="BodyText1">
    <w:name w:val="Body Text 1"/>
    <w:aliases w:val="B1,WB Body Text 1"/>
    <w:basedOn w:val="Normal"/>
    <w:autoRedefine/>
    <w:rsid w:val="003973BB"/>
    <w:pPr>
      <w:ind w:left="1260" w:right="1440"/>
    </w:pPr>
    <w:rPr>
      <w:sz w:val="24"/>
      <w:szCs w:val="24"/>
    </w:rPr>
  </w:style>
  <w:style w:type="paragraph" w:styleId="ListNumber">
    <w:name w:val="List Number"/>
    <w:basedOn w:val="Normal"/>
    <w:uiPriority w:val="99"/>
    <w:semiHidden/>
    <w:rsid w:val="00700522"/>
    <w:pPr>
      <w:numPr>
        <w:numId w:val="21"/>
      </w:numPr>
      <w:tabs>
        <w:tab w:val="clear" w:pos="360"/>
        <w:tab w:val="num" w:pos="720"/>
      </w:tabs>
      <w:spacing w:after="240"/>
      <w:ind w:left="720" w:hanging="720"/>
    </w:pPr>
    <w:rPr>
      <w:sz w:val="24"/>
      <w:szCs w:val="24"/>
    </w:rPr>
  </w:style>
  <w:style w:type="paragraph" w:customStyle="1" w:styleId="FirmDouble05">
    <w:name w:val="Firm Double 05"/>
    <w:basedOn w:val="Normal"/>
    <w:rsid w:val="00770D2D"/>
    <w:pPr>
      <w:spacing w:line="480" w:lineRule="auto"/>
      <w:ind w:firstLine="720"/>
    </w:pPr>
    <w:rPr>
      <w:sz w:val="24"/>
      <w:szCs w:val="24"/>
    </w:rPr>
  </w:style>
  <w:style w:type="paragraph" w:styleId="TOCHeading">
    <w:name w:val="TOC Heading"/>
    <w:basedOn w:val="Heading1"/>
    <w:next w:val="Normal"/>
    <w:uiPriority w:val="39"/>
    <w:semiHidden/>
    <w:unhideWhenUsed/>
    <w:qFormat/>
    <w:rsid w:val="00001D7C"/>
    <w:pPr>
      <w:keepLines/>
      <w:spacing w:before="480" w:line="276" w:lineRule="auto"/>
      <w:jc w:val="left"/>
      <w:outlineLvl w:val="9"/>
    </w:pPr>
    <w:rPr>
      <w:rFonts w:ascii="Cambria" w:hAnsi="Cambria"/>
      <w:b/>
      <w:bCs/>
      <w:color w:val="365F91"/>
      <w:sz w:val="28"/>
      <w:szCs w:val="28"/>
      <w:u w:val="none"/>
    </w:rPr>
  </w:style>
  <w:style w:type="paragraph" w:styleId="TOC1">
    <w:name w:val="toc 1"/>
    <w:basedOn w:val="Normal"/>
    <w:next w:val="Normal"/>
    <w:autoRedefine/>
    <w:uiPriority w:val="39"/>
    <w:unhideWhenUsed/>
    <w:rsid w:val="00D7760B"/>
    <w:pPr>
      <w:tabs>
        <w:tab w:val="left" w:pos="270"/>
        <w:tab w:val="left" w:pos="720"/>
        <w:tab w:val="right" w:leader="dot" w:pos="9350"/>
      </w:tabs>
    </w:pPr>
  </w:style>
  <w:style w:type="paragraph" w:styleId="TOC2">
    <w:name w:val="toc 2"/>
    <w:basedOn w:val="Normal"/>
    <w:next w:val="Normal"/>
    <w:autoRedefine/>
    <w:uiPriority w:val="39"/>
    <w:unhideWhenUsed/>
    <w:rsid w:val="00001D7C"/>
    <w:pPr>
      <w:ind w:left="260"/>
    </w:pPr>
  </w:style>
  <w:style w:type="paragraph" w:styleId="TOC3">
    <w:name w:val="toc 3"/>
    <w:basedOn w:val="Normal"/>
    <w:next w:val="Normal"/>
    <w:autoRedefine/>
    <w:uiPriority w:val="39"/>
    <w:unhideWhenUsed/>
    <w:rsid w:val="00001D7C"/>
    <w:pPr>
      <w:ind w:left="520"/>
    </w:pPr>
  </w:style>
  <w:style w:type="paragraph" w:styleId="EndnoteText">
    <w:name w:val="endnote text"/>
    <w:basedOn w:val="Normal"/>
    <w:link w:val="EndnoteTextChar"/>
    <w:uiPriority w:val="99"/>
    <w:semiHidden/>
    <w:rsid w:val="00544DD0"/>
    <w:rPr>
      <w:rFonts w:ascii="Courier" w:hAnsi="Courier"/>
      <w:sz w:val="24"/>
    </w:rPr>
  </w:style>
  <w:style w:type="character" w:customStyle="1" w:styleId="EndnoteTextChar">
    <w:name w:val="Endnote Text Char"/>
    <w:basedOn w:val="DefaultParagraphFont"/>
    <w:link w:val="EndnoteText"/>
    <w:uiPriority w:val="99"/>
    <w:semiHidden/>
    <w:locked/>
    <w:rsid w:val="00544DD0"/>
    <w:rPr>
      <w:rFonts w:ascii="Courier" w:hAnsi="Courier" w:cs="Times New Roman"/>
      <w:sz w:val="24"/>
    </w:rPr>
  </w:style>
  <w:style w:type="character" w:styleId="Emphasis">
    <w:name w:val="Emphasis"/>
    <w:basedOn w:val="DefaultParagraphFont"/>
    <w:uiPriority w:val="20"/>
    <w:qFormat/>
    <w:rsid w:val="001A0FFA"/>
    <w:rPr>
      <w:rFonts w:cs="Times New Roman"/>
      <w:i/>
      <w:iCs/>
    </w:rPr>
  </w:style>
</w:styles>
</file>

<file path=word/webSettings.xml><?xml version="1.0" encoding="utf-8"?>
<w:webSettings xmlns:r="http://schemas.openxmlformats.org/officeDocument/2006/relationships" xmlns:w="http://schemas.openxmlformats.org/wordprocessingml/2006/main">
  <w:divs>
    <w:div w:id="29571949">
      <w:marLeft w:val="0"/>
      <w:marRight w:val="0"/>
      <w:marTop w:val="0"/>
      <w:marBottom w:val="0"/>
      <w:divBdr>
        <w:top w:val="none" w:sz="0" w:space="0" w:color="auto"/>
        <w:left w:val="none" w:sz="0" w:space="0" w:color="auto"/>
        <w:bottom w:val="none" w:sz="0" w:space="0" w:color="auto"/>
        <w:right w:val="none" w:sz="0" w:space="0" w:color="auto"/>
      </w:divBdr>
    </w:div>
    <w:div w:id="29571950">
      <w:marLeft w:val="0"/>
      <w:marRight w:val="0"/>
      <w:marTop w:val="0"/>
      <w:marBottom w:val="0"/>
      <w:divBdr>
        <w:top w:val="none" w:sz="0" w:space="0" w:color="auto"/>
        <w:left w:val="none" w:sz="0" w:space="0" w:color="auto"/>
        <w:bottom w:val="none" w:sz="0" w:space="0" w:color="auto"/>
        <w:right w:val="none" w:sz="0" w:space="0" w:color="auto"/>
      </w:divBdr>
    </w:div>
    <w:div w:id="29571951">
      <w:marLeft w:val="0"/>
      <w:marRight w:val="0"/>
      <w:marTop w:val="0"/>
      <w:marBottom w:val="0"/>
      <w:divBdr>
        <w:top w:val="none" w:sz="0" w:space="0" w:color="auto"/>
        <w:left w:val="none" w:sz="0" w:space="0" w:color="auto"/>
        <w:bottom w:val="none" w:sz="0" w:space="0" w:color="auto"/>
        <w:right w:val="none" w:sz="0" w:space="0" w:color="auto"/>
      </w:divBdr>
    </w:div>
    <w:div w:id="29571952">
      <w:marLeft w:val="0"/>
      <w:marRight w:val="0"/>
      <w:marTop w:val="0"/>
      <w:marBottom w:val="0"/>
      <w:divBdr>
        <w:top w:val="none" w:sz="0" w:space="0" w:color="auto"/>
        <w:left w:val="none" w:sz="0" w:space="0" w:color="auto"/>
        <w:bottom w:val="none" w:sz="0" w:space="0" w:color="auto"/>
        <w:right w:val="none" w:sz="0" w:space="0" w:color="auto"/>
      </w:divBdr>
    </w:div>
    <w:div w:id="29571953">
      <w:marLeft w:val="0"/>
      <w:marRight w:val="0"/>
      <w:marTop w:val="0"/>
      <w:marBottom w:val="0"/>
      <w:divBdr>
        <w:top w:val="none" w:sz="0" w:space="0" w:color="auto"/>
        <w:left w:val="none" w:sz="0" w:space="0" w:color="auto"/>
        <w:bottom w:val="none" w:sz="0" w:space="0" w:color="auto"/>
        <w:right w:val="none" w:sz="0" w:space="0" w:color="auto"/>
      </w:divBdr>
    </w:div>
    <w:div w:id="29571954">
      <w:marLeft w:val="0"/>
      <w:marRight w:val="0"/>
      <w:marTop w:val="0"/>
      <w:marBottom w:val="0"/>
      <w:divBdr>
        <w:top w:val="none" w:sz="0" w:space="0" w:color="auto"/>
        <w:left w:val="none" w:sz="0" w:space="0" w:color="auto"/>
        <w:bottom w:val="none" w:sz="0" w:space="0" w:color="auto"/>
        <w:right w:val="none" w:sz="0" w:space="0" w:color="auto"/>
      </w:divBdr>
    </w:div>
    <w:div w:id="29571955">
      <w:marLeft w:val="0"/>
      <w:marRight w:val="0"/>
      <w:marTop w:val="0"/>
      <w:marBottom w:val="0"/>
      <w:divBdr>
        <w:top w:val="none" w:sz="0" w:space="0" w:color="auto"/>
        <w:left w:val="none" w:sz="0" w:space="0" w:color="auto"/>
        <w:bottom w:val="none" w:sz="0" w:space="0" w:color="auto"/>
        <w:right w:val="none" w:sz="0" w:space="0" w:color="auto"/>
      </w:divBdr>
    </w:div>
    <w:div w:id="295719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AB95C-AE8C-4A5E-A6C7-A66FC88EA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2145</Words>
  <Characters>12232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Draft Order  </vt:lpstr>
    </vt:vector>
  </TitlesOfParts>
  <Company>Amerigas</Company>
  <LinksUpToDate>false</LinksUpToDate>
  <CharactersWithSpaces>14349</CharactersWithSpaces>
  <SharedDoc>false</SharedDoc>
  <HLinks>
    <vt:vector size="12" baseType="variant">
      <vt:variant>
        <vt:i4>7471214</vt:i4>
      </vt:variant>
      <vt:variant>
        <vt:i4>3</vt:i4>
      </vt:variant>
      <vt:variant>
        <vt:i4>0</vt:i4>
      </vt:variant>
      <vt:variant>
        <vt:i4>5</vt:i4>
      </vt:variant>
      <vt:variant>
        <vt:lpwstr>http://www.peco.com/pecobiz/energy_rates/energy_choice/pricetocompare.htm</vt:lpwstr>
      </vt:variant>
      <vt:variant>
        <vt:lpwstr/>
      </vt:variant>
      <vt:variant>
        <vt:i4>7471214</vt:i4>
      </vt:variant>
      <vt:variant>
        <vt:i4>0</vt:i4>
      </vt:variant>
      <vt:variant>
        <vt:i4>0</vt:i4>
      </vt:variant>
      <vt:variant>
        <vt:i4>5</vt:i4>
      </vt:variant>
      <vt:variant>
        <vt:lpwstr>http://www.peco.com/pecobiz/energy_rates/energy_choice/pricetocompare.htm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Order  </dc:title>
  <dc:subject>PECO POR</dc:subject>
  <dc:creator>T Maher</dc:creator>
  <cp:keywords/>
  <dc:description/>
  <cp:lastModifiedBy>joyce marie farner</cp:lastModifiedBy>
  <cp:revision>4</cp:revision>
  <cp:lastPrinted>2010-08-23T18:20:00Z</cp:lastPrinted>
  <dcterms:created xsi:type="dcterms:W3CDTF">2010-08-05T17:28:00Z</dcterms:created>
  <dcterms:modified xsi:type="dcterms:W3CDTF">2010-08-23T18:22:00Z</dcterms:modified>
</cp:coreProperties>
</file>