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09" w:rsidRPr="00EC3636" w:rsidRDefault="00605809" w:rsidP="00EC3636">
      <w:pPr>
        <w:tabs>
          <w:tab w:val="center" w:pos="4680"/>
        </w:tabs>
        <w:suppressAutoHyphens/>
        <w:jc w:val="center"/>
        <w:outlineLvl w:val="0"/>
        <w:rPr>
          <w:b/>
          <w:spacing w:val="-3"/>
          <w:sz w:val="24"/>
          <w:szCs w:val="24"/>
        </w:rPr>
      </w:pPr>
      <w:r w:rsidRPr="00EC3636">
        <w:rPr>
          <w:b/>
          <w:spacing w:val="-3"/>
          <w:sz w:val="24"/>
          <w:szCs w:val="24"/>
        </w:rPr>
        <w:t>BEFORE THE</w:t>
      </w:r>
    </w:p>
    <w:p w:rsidR="00605809" w:rsidRPr="00EC3636" w:rsidRDefault="00605809" w:rsidP="00EC3636">
      <w:pPr>
        <w:tabs>
          <w:tab w:val="center" w:pos="4680"/>
        </w:tabs>
        <w:suppressAutoHyphens/>
        <w:jc w:val="center"/>
        <w:outlineLvl w:val="0"/>
        <w:rPr>
          <w:b/>
          <w:spacing w:val="-3"/>
          <w:sz w:val="24"/>
          <w:szCs w:val="24"/>
        </w:rPr>
      </w:pPr>
      <w:r w:rsidRPr="00EC3636">
        <w:rPr>
          <w:b/>
          <w:spacing w:val="-3"/>
          <w:sz w:val="24"/>
          <w:szCs w:val="24"/>
        </w:rPr>
        <w:t>PENNSYLVANIA PUBLIC UTILITY COMMISSION</w:t>
      </w:r>
    </w:p>
    <w:p w:rsidR="00605809" w:rsidRPr="00EC3636" w:rsidRDefault="00605809" w:rsidP="00EC3636">
      <w:pPr>
        <w:tabs>
          <w:tab w:val="left" w:pos="-1440"/>
          <w:tab w:val="left" w:pos="-720"/>
        </w:tabs>
        <w:suppressAutoHyphens/>
        <w:ind w:firstLine="1440"/>
        <w:rPr>
          <w:spacing w:val="-3"/>
          <w:sz w:val="24"/>
          <w:szCs w:val="24"/>
        </w:rPr>
      </w:pPr>
    </w:p>
    <w:p w:rsidR="00605809" w:rsidRPr="00EC3636" w:rsidRDefault="00605809" w:rsidP="00EC3636">
      <w:pPr>
        <w:tabs>
          <w:tab w:val="left" w:pos="-1440"/>
          <w:tab w:val="left" w:pos="-720"/>
        </w:tabs>
        <w:suppressAutoHyphens/>
        <w:ind w:firstLine="1440"/>
        <w:rPr>
          <w:spacing w:val="-3"/>
          <w:sz w:val="24"/>
          <w:szCs w:val="24"/>
        </w:rPr>
      </w:pPr>
    </w:p>
    <w:p w:rsidR="00605809" w:rsidRPr="00EC3636" w:rsidRDefault="00605809" w:rsidP="00EC3636">
      <w:pPr>
        <w:tabs>
          <w:tab w:val="left" w:pos="-1440"/>
          <w:tab w:val="left" w:pos="-720"/>
        </w:tabs>
        <w:suppressAutoHyphens/>
        <w:ind w:firstLine="1440"/>
        <w:rPr>
          <w:spacing w:val="-3"/>
          <w:sz w:val="24"/>
          <w:szCs w:val="24"/>
        </w:rPr>
      </w:pPr>
    </w:p>
    <w:p w:rsidR="00605809" w:rsidRPr="00EC3636" w:rsidRDefault="00605809" w:rsidP="00EC3636">
      <w:pPr>
        <w:tabs>
          <w:tab w:val="left" w:pos="-1440"/>
          <w:tab w:val="left" w:pos="-720"/>
        </w:tabs>
        <w:suppressAutoHyphens/>
        <w:rPr>
          <w:spacing w:val="-3"/>
          <w:sz w:val="24"/>
          <w:szCs w:val="24"/>
        </w:rPr>
      </w:pPr>
      <w:r w:rsidRPr="00EC3636">
        <w:rPr>
          <w:spacing w:val="-3"/>
          <w:sz w:val="24"/>
          <w:szCs w:val="24"/>
        </w:rPr>
        <w:t>Kathy Rossiter</w:t>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t>:</w:t>
      </w:r>
    </w:p>
    <w:p w:rsidR="00605809" w:rsidRPr="00EC3636" w:rsidRDefault="00605809" w:rsidP="00EC3636">
      <w:pPr>
        <w:tabs>
          <w:tab w:val="left" w:pos="-1440"/>
          <w:tab w:val="left" w:pos="-720"/>
        </w:tabs>
        <w:suppressAutoHyphens/>
        <w:rPr>
          <w:spacing w:val="-3"/>
          <w:sz w:val="24"/>
          <w:szCs w:val="24"/>
        </w:rPr>
      </w:pP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t>:</w:t>
      </w:r>
      <w:r w:rsidRPr="00EC3636">
        <w:rPr>
          <w:spacing w:val="-3"/>
          <w:sz w:val="24"/>
          <w:szCs w:val="24"/>
        </w:rPr>
        <w:tab/>
      </w:r>
      <w:r w:rsidRPr="00EC3636">
        <w:rPr>
          <w:spacing w:val="-3"/>
          <w:sz w:val="24"/>
          <w:szCs w:val="24"/>
        </w:rPr>
        <w:tab/>
      </w:r>
      <w:r w:rsidRPr="00EC3636">
        <w:rPr>
          <w:spacing w:val="-3"/>
          <w:sz w:val="24"/>
          <w:szCs w:val="24"/>
        </w:rPr>
        <w:tab/>
      </w:r>
    </w:p>
    <w:p w:rsidR="00605809" w:rsidRPr="00EC3636" w:rsidRDefault="00605809" w:rsidP="00EC3636">
      <w:pPr>
        <w:tabs>
          <w:tab w:val="left" w:pos="-1440"/>
          <w:tab w:val="left" w:pos="-720"/>
        </w:tabs>
        <w:suppressAutoHyphens/>
        <w:rPr>
          <w:spacing w:val="-3"/>
          <w:sz w:val="24"/>
          <w:szCs w:val="24"/>
        </w:rPr>
      </w:pPr>
      <w:r w:rsidRPr="00EC3636">
        <w:rPr>
          <w:spacing w:val="-3"/>
          <w:sz w:val="24"/>
          <w:szCs w:val="24"/>
        </w:rPr>
        <w:tab/>
        <w:t>v.</w:t>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t xml:space="preserve">: </w:t>
      </w:r>
      <w:r w:rsidRPr="00EC3636">
        <w:rPr>
          <w:spacing w:val="-3"/>
          <w:sz w:val="24"/>
          <w:szCs w:val="24"/>
        </w:rPr>
        <w:tab/>
      </w:r>
      <w:r w:rsidR="004A7D75" w:rsidRPr="00EC3636">
        <w:rPr>
          <w:spacing w:val="-3"/>
          <w:sz w:val="24"/>
          <w:szCs w:val="24"/>
        </w:rPr>
        <w:tab/>
      </w:r>
      <w:r w:rsidRPr="00EC3636">
        <w:rPr>
          <w:spacing w:val="-3"/>
          <w:sz w:val="24"/>
          <w:szCs w:val="24"/>
        </w:rPr>
        <w:t>C-2009-2140532</w:t>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t>:</w:t>
      </w:r>
    </w:p>
    <w:p w:rsidR="00605809" w:rsidRPr="00EC3636" w:rsidRDefault="00605809" w:rsidP="00EC3636">
      <w:pPr>
        <w:tabs>
          <w:tab w:val="left" w:pos="-1440"/>
          <w:tab w:val="left" w:pos="-720"/>
        </w:tabs>
        <w:suppressAutoHyphens/>
        <w:rPr>
          <w:spacing w:val="-3"/>
          <w:sz w:val="24"/>
          <w:szCs w:val="24"/>
        </w:rPr>
      </w:pPr>
      <w:r w:rsidRPr="00EC3636">
        <w:rPr>
          <w:spacing w:val="-3"/>
          <w:sz w:val="24"/>
          <w:szCs w:val="24"/>
        </w:rPr>
        <w:t>PECO Energy Company</w:t>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t>:</w:t>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r w:rsidRPr="00EC3636">
        <w:rPr>
          <w:spacing w:val="-3"/>
          <w:sz w:val="24"/>
          <w:szCs w:val="24"/>
        </w:rPr>
        <w:tab/>
      </w:r>
    </w:p>
    <w:p w:rsidR="00605809" w:rsidRPr="00EC3636" w:rsidRDefault="00605809" w:rsidP="00EC3636">
      <w:pPr>
        <w:tabs>
          <w:tab w:val="left" w:pos="-1440"/>
          <w:tab w:val="left" w:pos="-720"/>
        </w:tabs>
        <w:suppressAutoHyphens/>
        <w:ind w:firstLine="1440"/>
        <w:rPr>
          <w:spacing w:val="-3"/>
          <w:sz w:val="24"/>
          <w:szCs w:val="24"/>
        </w:rPr>
      </w:pPr>
    </w:p>
    <w:p w:rsidR="00605809" w:rsidRPr="00EC3636" w:rsidRDefault="00605809" w:rsidP="00EC3636">
      <w:pPr>
        <w:tabs>
          <w:tab w:val="left" w:pos="-1440"/>
          <w:tab w:val="left" w:pos="-720"/>
        </w:tabs>
        <w:suppressAutoHyphens/>
        <w:ind w:firstLine="1440"/>
        <w:rPr>
          <w:spacing w:val="-3"/>
          <w:sz w:val="24"/>
          <w:szCs w:val="24"/>
        </w:rPr>
      </w:pPr>
    </w:p>
    <w:p w:rsidR="00605809" w:rsidRPr="00EC3636" w:rsidRDefault="00605809" w:rsidP="00EC3636">
      <w:pPr>
        <w:tabs>
          <w:tab w:val="left" w:pos="-1440"/>
          <w:tab w:val="left" w:pos="-720"/>
        </w:tabs>
        <w:suppressAutoHyphens/>
        <w:ind w:firstLine="1440"/>
        <w:rPr>
          <w:spacing w:val="-3"/>
          <w:sz w:val="24"/>
          <w:szCs w:val="24"/>
        </w:rPr>
      </w:pPr>
    </w:p>
    <w:p w:rsidR="00605809" w:rsidRPr="00EC3636" w:rsidRDefault="00605809" w:rsidP="00EC3636">
      <w:pPr>
        <w:tabs>
          <w:tab w:val="center" w:pos="4680"/>
        </w:tabs>
        <w:suppressAutoHyphens/>
        <w:jc w:val="center"/>
        <w:outlineLvl w:val="0"/>
        <w:rPr>
          <w:b/>
          <w:spacing w:val="-3"/>
          <w:sz w:val="24"/>
          <w:szCs w:val="24"/>
          <w:u w:val="single"/>
        </w:rPr>
      </w:pPr>
      <w:r w:rsidRPr="00EC3636">
        <w:rPr>
          <w:b/>
          <w:spacing w:val="-3"/>
          <w:sz w:val="24"/>
          <w:szCs w:val="24"/>
          <w:u w:val="single"/>
        </w:rPr>
        <w:t>INITIAL DECISION</w:t>
      </w:r>
    </w:p>
    <w:p w:rsidR="00605809" w:rsidRPr="00EC3636" w:rsidRDefault="00605809" w:rsidP="00EC3636">
      <w:pPr>
        <w:tabs>
          <w:tab w:val="center" w:pos="4680"/>
        </w:tabs>
        <w:suppressAutoHyphens/>
        <w:jc w:val="center"/>
        <w:rPr>
          <w:b/>
          <w:spacing w:val="-3"/>
          <w:sz w:val="24"/>
          <w:szCs w:val="24"/>
        </w:rPr>
      </w:pPr>
    </w:p>
    <w:p w:rsidR="00605809" w:rsidRPr="00EC3636" w:rsidRDefault="00605809" w:rsidP="00EC3636">
      <w:pPr>
        <w:tabs>
          <w:tab w:val="center" w:pos="4680"/>
        </w:tabs>
        <w:suppressAutoHyphens/>
        <w:jc w:val="center"/>
        <w:rPr>
          <w:b/>
          <w:spacing w:val="-3"/>
          <w:sz w:val="24"/>
          <w:szCs w:val="24"/>
        </w:rPr>
      </w:pPr>
    </w:p>
    <w:p w:rsidR="00605809" w:rsidRPr="00EC3636" w:rsidRDefault="00605809" w:rsidP="00EC3636">
      <w:pPr>
        <w:tabs>
          <w:tab w:val="center" w:pos="4680"/>
        </w:tabs>
        <w:suppressAutoHyphens/>
        <w:jc w:val="center"/>
        <w:outlineLvl w:val="0"/>
        <w:rPr>
          <w:spacing w:val="-3"/>
          <w:sz w:val="24"/>
          <w:szCs w:val="24"/>
        </w:rPr>
      </w:pPr>
      <w:r w:rsidRPr="00EC3636">
        <w:rPr>
          <w:spacing w:val="-3"/>
          <w:sz w:val="24"/>
          <w:szCs w:val="24"/>
        </w:rPr>
        <w:t>Before</w:t>
      </w:r>
    </w:p>
    <w:p w:rsidR="00605809" w:rsidRPr="00EC3636" w:rsidRDefault="00605809" w:rsidP="00EC3636">
      <w:pPr>
        <w:tabs>
          <w:tab w:val="center" w:pos="4680"/>
        </w:tabs>
        <w:suppressAutoHyphens/>
        <w:jc w:val="center"/>
        <w:rPr>
          <w:spacing w:val="-3"/>
          <w:sz w:val="24"/>
          <w:szCs w:val="24"/>
        </w:rPr>
      </w:pPr>
      <w:r w:rsidRPr="00EC3636">
        <w:rPr>
          <w:spacing w:val="-3"/>
          <w:sz w:val="24"/>
          <w:szCs w:val="24"/>
        </w:rPr>
        <w:t>Eranda Vero</w:t>
      </w:r>
    </w:p>
    <w:p w:rsidR="00605809" w:rsidRPr="00EC3636" w:rsidRDefault="00605809" w:rsidP="00EC3636">
      <w:pPr>
        <w:tabs>
          <w:tab w:val="center" w:pos="4680"/>
        </w:tabs>
        <w:suppressAutoHyphens/>
        <w:jc w:val="center"/>
        <w:rPr>
          <w:spacing w:val="-3"/>
          <w:sz w:val="24"/>
          <w:szCs w:val="24"/>
        </w:rPr>
      </w:pPr>
      <w:r w:rsidRPr="00EC3636">
        <w:rPr>
          <w:spacing w:val="-3"/>
          <w:sz w:val="24"/>
          <w:szCs w:val="24"/>
        </w:rPr>
        <w:t>Special Agent</w:t>
      </w:r>
    </w:p>
    <w:p w:rsidR="00605809" w:rsidRPr="00EC3636" w:rsidRDefault="00605809" w:rsidP="00EC3636">
      <w:pPr>
        <w:tabs>
          <w:tab w:val="left" w:pos="-1440"/>
          <w:tab w:val="left" w:pos="-720"/>
        </w:tabs>
        <w:suppressAutoHyphens/>
        <w:jc w:val="center"/>
        <w:rPr>
          <w:spacing w:val="-3"/>
          <w:sz w:val="24"/>
          <w:szCs w:val="24"/>
        </w:rPr>
      </w:pPr>
    </w:p>
    <w:p w:rsidR="00605809" w:rsidRPr="00EC3636" w:rsidRDefault="00605809" w:rsidP="00EC3636">
      <w:pPr>
        <w:tabs>
          <w:tab w:val="left" w:pos="-1440"/>
          <w:tab w:val="left" w:pos="-720"/>
        </w:tabs>
        <w:suppressAutoHyphens/>
        <w:jc w:val="center"/>
        <w:rPr>
          <w:spacing w:val="-3"/>
          <w:sz w:val="24"/>
          <w:szCs w:val="24"/>
        </w:rPr>
      </w:pPr>
    </w:p>
    <w:p w:rsidR="00605809" w:rsidRPr="00EC3636" w:rsidRDefault="00605809" w:rsidP="00EC3636">
      <w:pPr>
        <w:tabs>
          <w:tab w:val="center" w:pos="4680"/>
        </w:tabs>
        <w:suppressAutoHyphens/>
        <w:jc w:val="center"/>
        <w:outlineLvl w:val="0"/>
        <w:rPr>
          <w:spacing w:val="-3"/>
          <w:sz w:val="24"/>
          <w:szCs w:val="24"/>
          <w:u w:val="single"/>
        </w:rPr>
      </w:pPr>
      <w:r w:rsidRPr="00EC3636">
        <w:rPr>
          <w:spacing w:val="-3"/>
          <w:sz w:val="24"/>
          <w:szCs w:val="24"/>
          <w:u w:val="single"/>
        </w:rPr>
        <w:t>HISTORY OF THE PROCEEDING</w:t>
      </w:r>
    </w:p>
    <w:p w:rsidR="00605809" w:rsidRPr="00EC3636" w:rsidRDefault="00605809" w:rsidP="00EC3636">
      <w:pPr>
        <w:tabs>
          <w:tab w:val="center" w:pos="4680"/>
        </w:tabs>
        <w:suppressAutoHyphens/>
        <w:ind w:firstLine="1440"/>
        <w:rPr>
          <w:spacing w:val="-3"/>
          <w:sz w:val="24"/>
          <w:szCs w:val="24"/>
        </w:rPr>
      </w:pPr>
    </w:p>
    <w:p w:rsidR="00605809" w:rsidRPr="00EC3636" w:rsidRDefault="00605809" w:rsidP="00EC3636">
      <w:pPr>
        <w:tabs>
          <w:tab w:val="center" w:pos="4680"/>
        </w:tabs>
        <w:suppressAutoHyphens/>
        <w:ind w:firstLine="1440"/>
        <w:rPr>
          <w:spacing w:val="-3"/>
          <w:sz w:val="24"/>
          <w:szCs w:val="24"/>
        </w:rPr>
      </w:pPr>
    </w:p>
    <w:p w:rsidR="00605809" w:rsidRPr="00EC3636" w:rsidRDefault="00605809" w:rsidP="00EC3636">
      <w:pPr>
        <w:tabs>
          <w:tab w:val="left" w:pos="-1440"/>
          <w:tab w:val="left" w:pos="-720"/>
        </w:tabs>
        <w:suppressAutoHyphens/>
        <w:spacing w:line="360" w:lineRule="auto"/>
        <w:ind w:firstLine="1440"/>
        <w:rPr>
          <w:spacing w:val="-3"/>
          <w:sz w:val="24"/>
          <w:szCs w:val="24"/>
        </w:rPr>
      </w:pPr>
      <w:r w:rsidRPr="00EC3636">
        <w:rPr>
          <w:spacing w:val="-3"/>
          <w:sz w:val="24"/>
          <w:szCs w:val="24"/>
        </w:rPr>
        <w:t xml:space="preserve">On November 6, 2009, Kathy Rossiter (Complainant) filed a Formal Complaint with the Pennsylvania Public Utility Commission against PECO Energy Company (Respondent or PECO) alleging an inability to pay her gas and electric bills to PECO, and requesting a payment arrangement.  On December 3, 2009, Respondent filed an Answer denying the material allegations of the Complaint, and averring that Complainant’s balance is the result of high usage and chronic non-payment. </w:t>
      </w:r>
    </w:p>
    <w:p w:rsidR="00605809" w:rsidRPr="00EC3636" w:rsidRDefault="00605809" w:rsidP="00EC3636">
      <w:pPr>
        <w:tabs>
          <w:tab w:val="left" w:pos="-1440"/>
          <w:tab w:val="left" w:pos="-720"/>
        </w:tabs>
        <w:suppressAutoHyphens/>
        <w:spacing w:line="360" w:lineRule="auto"/>
        <w:ind w:firstLine="1440"/>
        <w:rPr>
          <w:spacing w:val="-3"/>
          <w:sz w:val="24"/>
          <w:szCs w:val="24"/>
        </w:rPr>
      </w:pPr>
    </w:p>
    <w:p w:rsidR="00605809" w:rsidRPr="00EC3636" w:rsidRDefault="00605809" w:rsidP="00EC3636">
      <w:pPr>
        <w:tabs>
          <w:tab w:val="left" w:pos="-1440"/>
          <w:tab w:val="left" w:pos="-720"/>
        </w:tabs>
        <w:suppressAutoHyphens/>
        <w:spacing w:line="360" w:lineRule="auto"/>
        <w:ind w:firstLine="1440"/>
        <w:rPr>
          <w:spacing w:val="-3"/>
          <w:sz w:val="24"/>
          <w:szCs w:val="24"/>
        </w:rPr>
      </w:pPr>
      <w:r w:rsidRPr="00EC3636">
        <w:rPr>
          <w:spacing w:val="-3"/>
          <w:sz w:val="24"/>
          <w:szCs w:val="24"/>
        </w:rPr>
        <w:t>By Hearing Notice dated March 16, 2010, the parties were notified that an Initial Hearing in this case was scheduled for April 15, 2010, at 1:30 p.m. in an available hearing room at the Philadelphia District Office.  The Hearing Notice notified the parties that the hearing in this matter was one of several scheduled for that afternoon and that the parties should expect to be present in the hearing room until their case is called.  This case wa</w:t>
      </w:r>
      <w:r w:rsidR="004A7D75" w:rsidRPr="00EC3636">
        <w:rPr>
          <w:spacing w:val="-3"/>
          <w:sz w:val="24"/>
          <w:szCs w:val="24"/>
        </w:rPr>
        <w:t>s assigned to me pursuant to 52 </w:t>
      </w:r>
      <w:r w:rsidRPr="00EC3636">
        <w:rPr>
          <w:spacing w:val="-3"/>
          <w:sz w:val="24"/>
          <w:szCs w:val="24"/>
        </w:rPr>
        <w:t xml:space="preserve">Pa. Code § 56.174. </w:t>
      </w:r>
    </w:p>
    <w:p w:rsidR="00605809" w:rsidRPr="00EC3636" w:rsidRDefault="00605809" w:rsidP="00EC3636">
      <w:pPr>
        <w:tabs>
          <w:tab w:val="left" w:pos="-1440"/>
          <w:tab w:val="left" w:pos="-720"/>
        </w:tabs>
        <w:suppressAutoHyphens/>
        <w:spacing w:line="360" w:lineRule="auto"/>
        <w:ind w:firstLine="1440"/>
        <w:rPr>
          <w:sz w:val="24"/>
          <w:szCs w:val="24"/>
        </w:rPr>
      </w:pPr>
    </w:p>
    <w:p w:rsidR="00605809" w:rsidRPr="00EC3636" w:rsidRDefault="00605809" w:rsidP="00EC3636">
      <w:pPr>
        <w:spacing w:line="360" w:lineRule="auto"/>
        <w:ind w:firstLine="1440"/>
        <w:rPr>
          <w:spacing w:val="-3"/>
          <w:sz w:val="24"/>
          <w:szCs w:val="24"/>
        </w:rPr>
      </w:pPr>
      <w:r w:rsidRPr="00EC3636">
        <w:rPr>
          <w:spacing w:val="-3"/>
          <w:sz w:val="24"/>
          <w:szCs w:val="24"/>
        </w:rPr>
        <w:lastRenderedPageBreak/>
        <w:t>A Prehearing Order was issued on March 30, 2010, stating the date and time of the scheduled hearing and advising the parties that the case could be dismissed if they failed to obtain a continuance and failed to appear for the hearing.</w:t>
      </w:r>
      <w:r w:rsidRPr="00EC3636">
        <w:rPr>
          <w:rStyle w:val="FootnoteReference"/>
          <w:spacing w:val="-3"/>
          <w:sz w:val="24"/>
          <w:szCs w:val="24"/>
        </w:rPr>
        <w:footnoteReference w:id="1"/>
      </w:r>
      <w:r w:rsidRPr="00EC3636">
        <w:rPr>
          <w:spacing w:val="-3"/>
          <w:sz w:val="24"/>
          <w:szCs w:val="24"/>
        </w:rPr>
        <w:t xml:space="preserve">  The Prehearing Order also advised the parties of applicable procedural rules. </w:t>
      </w:r>
    </w:p>
    <w:p w:rsidR="00605809" w:rsidRPr="00EC3636" w:rsidRDefault="00605809" w:rsidP="00EC3636">
      <w:pPr>
        <w:tabs>
          <w:tab w:val="left" w:pos="2160"/>
        </w:tabs>
        <w:spacing w:line="360" w:lineRule="auto"/>
        <w:rPr>
          <w:sz w:val="24"/>
          <w:szCs w:val="24"/>
        </w:rPr>
      </w:pPr>
    </w:p>
    <w:p w:rsidR="00605809" w:rsidRPr="00EC3636" w:rsidRDefault="00605809" w:rsidP="00EC3636">
      <w:pPr>
        <w:tabs>
          <w:tab w:val="left" w:pos="-1440"/>
          <w:tab w:val="left" w:pos="-720"/>
        </w:tabs>
        <w:suppressAutoHyphens/>
        <w:spacing w:line="360" w:lineRule="auto"/>
        <w:ind w:firstLine="1440"/>
        <w:rPr>
          <w:sz w:val="24"/>
          <w:szCs w:val="24"/>
        </w:rPr>
      </w:pPr>
      <w:r w:rsidRPr="00EC3636">
        <w:rPr>
          <w:sz w:val="24"/>
          <w:szCs w:val="24"/>
        </w:rPr>
        <w:t xml:space="preserve">The hearing convened as scheduled on April 15, 2010.  Kathy Rossiter appeared </w:t>
      </w:r>
      <w:r w:rsidRPr="00EC3636">
        <w:rPr>
          <w:i/>
          <w:sz w:val="24"/>
          <w:szCs w:val="24"/>
        </w:rPr>
        <w:t xml:space="preserve">pro se </w:t>
      </w:r>
      <w:r w:rsidRPr="00EC3636">
        <w:rPr>
          <w:sz w:val="24"/>
          <w:szCs w:val="24"/>
        </w:rPr>
        <w:t>and testified on behalf of the Complaint.  Tishekia Williams, Esq., represented the Respondent, which presented the testimony of Charles Thomas, a regulatory assessor for Respondent assigned to review customer complaints.  Respondent also sponsored five exhibits, all of which were admitted into evidence.  The hearing transcript consists of forty-eight (48) pages.  The record closed on April 27, 2010.</w:t>
      </w:r>
    </w:p>
    <w:p w:rsidR="00605809" w:rsidRPr="00EC3636" w:rsidRDefault="00605809" w:rsidP="00EC3636">
      <w:pPr>
        <w:spacing w:line="360" w:lineRule="auto"/>
        <w:ind w:firstLine="1440"/>
        <w:rPr>
          <w:sz w:val="24"/>
          <w:szCs w:val="24"/>
        </w:rPr>
      </w:pPr>
    </w:p>
    <w:p w:rsidR="00605809" w:rsidRPr="00EC3636" w:rsidRDefault="00605809" w:rsidP="00EC3636">
      <w:pPr>
        <w:suppressAutoHyphens/>
        <w:spacing w:line="360" w:lineRule="auto"/>
        <w:jc w:val="center"/>
        <w:outlineLvl w:val="0"/>
        <w:rPr>
          <w:spacing w:val="-3"/>
          <w:sz w:val="24"/>
          <w:szCs w:val="24"/>
          <w:u w:val="single"/>
        </w:rPr>
      </w:pPr>
      <w:r w:rsidRPr="00EC3636">
        <w:rPr>
          <w:spacing w:val="-3"/>
          <w:sz w:val="24"/>
          <w:szCs w:val="24"/>
          <w:u w:val="single"/>
        </w:rPr>
        <w:t>FINDINGS OF FACT</w:t>
      </w:r>
    </w:p>
    <w:p w:rsidR="00605809" w:rsidRPr="00EC3636" w:rsidRDefault="00605809" w:rsidP="00EC3636">
      <w:pPr>
        <w:tabs>
          <w:tab w:val="center" w:pos="4680"/>
        </w:tabs>
        <w:suppressAutoHyphens/>
        <w:spacing w:line="360" w:lineRule="auto"/>
        <w:ind w:firstLine="1440"/>
        <w:rPr>
          <w:spacing w:val="-3"/>
          <w:sz w:val="24"/>
          <w:szCs w:val="24"/>
          <w:u w:val="single"/>
        </w:rPr>
      </w:pPr>
    </w:p>
    <w:p w:rsidR="00605809" w:rsidRPr="00EC3636" w:rsidRDefault="00605809" w:rsidP="00EC3636">
      <w:pPr>
        <w:tabs>
          <w:tab w:val="left" w:pos="-1440"/>
          <w:tab w:val="left" w:pos="-720"/>
        </w:tabs>
        <w:suppressAutoHyphens/>
        <w:spacing w:line="360" w:lineRule="auto"/>
        <w:ind w:firstLine="1440"/>
        <w:rPr>
          <w:spacing w:val="-3"/>
          <w:sz w:val="24"/>
          <w:szCs w:val="24"/>
        </w:rPr>
      </w:pPr>
      <w:r w:rsidRPr="00EC3636">
        <w:rPr>
          <w:spacing w:val="-3"/>
          <w:sz w:val="24"/>
          <w:szCs w:val="24"/>
        </w:rPr>
        <w:t>1.</w:t>
      </w:r>
      <w:r w:rsidRPr="00EC3636">
        <w:rPr>
          <w:spacing w:val="-3"/>
          <w:sz w:val="24"/>
          <w:szCs w:val="24"/>
        </w:rPr>
        <w:tab/>
        <w:t xml:space="preserve">Complainant is Kathy Rossiter, who resides at 55 East Stratford, Lansdowne, PA 19050 (Service Address).  </w:t>
      </w:r>
    </w:p>
    <w:p w:rsidR="00605809" w:rsidRPr="00EC3636" w:rsidRDefault="00605809" w:rsidP="00EC3636">
      <w:pPr>
        <w:tabs>
          <w:tab w:val="left" w:pos="-1440"/>
          <w:tab w:val="left" w:pos="-720"/>
        </w:tabs>
        <w:suppressAutoHyphens/>
        <w:spacing w:line="360" w:lineRule="auto"/>
        <w:ind w:firstLine="1440"/>
        <w:rPr>
          <w:spacing w:val="-3"/>
          <w:sz w:val="24"/>
          <w:szCs w:val="24"/>
        </w:rPr>
      </w:pPr>
    </w:p>
    <w:p w:rsidR="00605809" w:rsidRPr="00EC3636" w:rsidRDefault="00605809" w:rsidP="00EC3636">
      <w:pPr>
        <w:tabs>
          <w:tab w:val="left" w:pos="-1440"/>
          <w:tab w:val="left" w:pos="-720"/>
        </w:tabs>
        <w:suppressAutoHyphens/>
        <w:spacing w:line="360" w:lineRule="auto"/>
        <w:ind w:firstLine="1440"/>
        <w:rPr>
          <w:spacing w:val="-3"/>
          <w:sz w:val="24"/>
          <w:szCs w:val="24"/>
        </w:rPr>
      </w:pPr>
      <w:r w:rsidRPr="00EC3636">
        <w:rPr>
          <w:spacing w:val="-3"/>
          <w:sz w:val="24"/>
          <w:szCs w:val="24"/>
        </w:rPr>
        <w:t>2.</w:t>
      </w:r>
      <w:r w:rsidRPr="00EC3636">
        <w:rPr>
          <w:spacing w:val="-3"/>
          <w:sz w:val="24"/>
          <w:szCs w:val="24"/>
        </w:rPr>
        <w:tab/>
        <w:t xml:space="preserve">Respondent is PECO Energy Company.  </w:t>
      </w:r>
    </w:p>
    <w:p w:rsidR="00605809" w:rsidRPr="00EC3636" w:rsidRDefault="00605809" w:rsidP="00EC3636">
      <w:pPr>
        <w:tabs>
          <w:tab w:val="left" w:pos="-1440"/>
          <w:tab w:val="left" w:pos="-720"/>
        </w:tabs>
        <w:suppressAutoHyphens/>
        <w:spacing w:line="360" w:lineRule="auto"/>
        <w:ind w:firstLine="1440"/>
        <w:rPr>
          <w:spacing w:val="-3"/>
          <w:sz w:val="24"/>
          <w:szCs w:val="24"/>
        </w:rPr>
      </w:pPr>
    </w:p>
    <w:p w:rsidR="00605809" w:rsidRPr="00EC3636" w:rsidRDefault="00605809" w:rsidP="00EC3636">
      <w:pPr>
        <w:spacing w:line="360" w:lineRule="auto"/>
        <w:ind w:firstLine="1440"/>
        <w:rPr>
          <w:sz w:val="24"/>
          <w:szCs w:val="24"/>
        </w:rPr>
      </w:pPr>
      <w:r w:rsidRPr="00EC3636">
        <w:rPr>
          <w:spacing w:val="-3"/>
          <w:sz w:val="24"/>
          <w:szCs w:val="24"/>
        </w:rPr>
        <w:t>3.</w:t>
      </w:r>
      <w:r w:rsidRPr="00EC3636">
        <w:rPr>
          <w:spacing w:val="-3"/>
          <w:sz w:val="24"/>
          <w:szCs w:val="24"/>
        </w:rPr>
        <w:tab/>
      </w:r>
      <w:r w:rsidRPr="00EC3636">
        <w:rPr>
          <w:sz w:val="24"/>
          <w:szCs w:val="24"/>
        </w:rPr>
        <w:t>Complainant has lived at the Service Address for the last 50 years.  Tr. 16</w:t>
      </w:r>
    </w:p>
    <w:p w:rsidR="00605809" w:rsidRPr="00EC3636" w:rsidRDefault="00605809" w:rsidP="00EC3636">
      <w:pPr>
        <w:spacing w:line="360" w:lineRule="auto"/>
        <w:rPr>
          <w:sz w:val="24"/>
          <w:szCs w:val="24"/>
        </w:rPr>
      </w:pPr>
    </w:p>
    <w:p w:rsidR="00605809" w:rsidRPr="00EC3636" w:rsidRDefault="00605809" w:rsidP="00EC3636">
      <w:pPr>
        <w:spacing w:line="360" w:lineRule="auto"/>
        <w:ind w:firstLine="1440"/>
        <w:rPr>
          <w:sz w:val="24"/>
          <w:szCs w:val="24"/>
        </w:rPr>
      </w:pPr>
      <w:r w:rsidRPr="00EC3636">
        <w:rPr>
          <w:sz w:val="24"/>
          <w:szCs w:val="24"/>
        </w:rPr>
        <w:t>4.</w:t>
      </w:r>
      <w:r w:rsidRPr="00EC3636">
        <w:rPr>
          <w:sz w:val="24"/>
          <w:szCs w:val="24"/>
        </w:rPr>
        <w:tab/>
        <w:t xml:space="preserve">The Service Address consists of a six bedroom, three-bathroom house.  </w:t>
      </w:r>
      <w:r w:rsidR="004A7D75" w:rsidRPr="00EC3636">
        <w:rPr>
          <w:sz w:val="24"/>
          <w:szCs w:val="24"/>
        </w:rPr>
        <w:t xml:space="preserve"> </w:t>
      </w:r>
      <w:r w:rsidRPr="00EC3636">
        <w:rPr>
          <w:sz w:val="24"/>
          <w:szCs w:val="24"/>
        </w:rPr>
        <w:t>Tr. 17.</w:t>
      </w:r>
    </w:p>
    <w:p w:rsidR="00605809" w:rsidRPr="00EC3636" w:rsidRDefault="00605809" w:rsidP="00EC3636">
      <w:pPr>
        <w:spacing w:line="360" w:lineRule="auto"/>
        <w:rPr>
          <w:sz w:val="24"/>
          <w:szCs w:val="24"/>
        </w:rPr>
      </w:pPr>
    </w:p>
    <w:p w:rsidR="00605809" w:rsidRPr="00EC3636" w:rsidRDefault="00605809" w:rsidP="00EC3636">
      <w:pPr>
        <w:spacing w:line="360" w:lineRule="auto"/>
        <w:ind w:firstLine="1440"/>
        <w:rPr>
          <w:sz w:val="24"/>
          <w:szCs w:val="24"/>
        </w:rPr>
      </w:pPr>
      <w:r w:rsidRPr="00EC3636">
        <w:rPr>
          <w:sz w:val="24"/>
          <w:szCs w:val="24"/>
        </w:rPr>
        <w:t>5.</w:t>
      </w:r>
      <w:r w:rsidRPr="00EC3636">
        <w:rPr>
          <w:sz w:val="24"/>
          <w:szCs w:val="24"/>
        </w:rPr>
        <w:tab/>
        <w:t>There are five people living at the Service Address at the moment: Complainant, Complainant’s father, William S. Peters, Khalil Sumler and a 14-</w:t>
      </w:r>
      <w:r w:rsidR="00E7721C" w:rsidRPr="00EC3636">
        <w:rPr>
          <w:sz w:val="24"/>
          <w:szCs w:val="24"/>
        </w:rPr>
        <w:t xml:space="preserve">year old girl of whom </w:t>
      </w:r>
      <w:r w:rsidRPr="00EC3636">
        <w:rPr>
          <w:sz w:val="24"/>
          <w:szCs w:val="24"/>
        </w:rPr>
        <w:t>Complainant</w:t>
      </w:r>
      <w:r w:rsidR="00E7721C" w:rsidRPr="00EC3636">
        <w:rPr>
          <w:sz w:val="24"/>
          <w:szCs w:val="24"/>
        </w:rPr>
        <w:t xml:space="preserve"> is the legal custodian</w:t>
      </w:r>
      <w:r w:rsidR="00B403B4" w:rsidRPr="00EC3636">
        <w:rPr>
          <w:sz w:val="24"/>
          <w:szCs w:val="24"/>
        </w:rPr>
        <w:t xml:space="preserve">.  Tr. </w:t>
      </w:r>
      <w:r w:rsidRPr="00EC3636">
        <w:rPr>
          <w:sz w:val="24"/>
          <w:szCs w:val="24"/>
        </w:rPr>
        <w:t>11.</w:t>
      </w:r>
    </w:p>
    <w:p w:rsidR="006B7019" w:rsidRPr="00EC3636" w:rsidRDefault="006B701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lastRenderedPageBreak/>
        <w:t>6.</w:t>
      </w:r>
      <w:r w:rsidRPr="00EC3636">
        <w:rPr>
          <w:sz w:val="24"/>
          <w:szCs w:val="24"/>
        </w:rPr>
        <w:tab/>
        <w:t>William S. Peters and Khalil Sumler are</w:t>
      </w:r>
      <w:r w:rsidR="006B7019" w:rsidRPr="00EC3636">
        <w:rPr>
          <w:sz w:val="24"/>
          <w:szCs w:val="24"/>
        </w:rPr>
        <w:t xml:space="preserve"> not Complainant’s tenants and she is not their landlady.  Complainant testified that </w:t>
      </w:r>
      <w:r w:rsidR="00E7721C" w:rsidRPr="00EC3636">
        <w:rPr>
          <w:sz w:val="24"/>
          <w:szCs w:val="24"/>
        </w:rPr>
        <w:t xml:space="preserve">Messrs. Peters and Sumler are her </w:t>
      </w:r>
      <w:r w:rsidRPr="00EC3636">
        <w:rPr>
          <w:sz w:val="24"/>
          <w:szCs w:val="24"/>
        </w:rPr>
        <w:t>friends.  Tr. 11 and 12.</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t>7.</w:t>
      </w:r>
      <w:r w:rsidRPr="00EC3636">
        <w:rPr>
          <w:sz w:val="24"/>
          <w:szCs w:val="24"/>
        </w:rPr>
        <w:tab/>
      </w:r>
      <w:r w:rsidR="00FF54D2" w:rsidRPr="00EC3636">
        <w:rPr>
          <w:sz w:val="24"/>
          <w:szCs w:val="24"/>
        </w:rPr>
        <w:t xml:space="preserve">William S. Peters </w:t>
      </w:r>
      <w:r w:rsidRPr="00EC3636">
        <w:rPr>
          <w:sz w:val="24"/>
          <w:szCs w:val="24"/>
        </w:rPr>
        <w:t>is a full-time student</w:t>
      </w:r>
      <w:r w:rsidR="00FF54D2" w:rsidRPr="00EC3636">
        <w:rPr>
          <w:sz w:val="24"/>
          <w:szCs w:val="24"/>
        </w:rPr>
        <w:t xml:space="preserve"> and receives no type of income.  Tr. </w:t>
      </w:r>
      <w:r w:rsidRPr="00EC3636">
        <w:rPr>
          <w:sz w:val="24"/>
          <w:szCs w:val="24"/>
        </w:rPr>
        <w:t>11</w:t>
      </w:r>
      <w:r w:rsidR="00FF54D2" w:rsidRPr="00EC3636">
        <w:rPr>
          <w:sz w:val="24"/>
          <w:szCs w:val="24"/>
        </w:rPr>
        <w:t xml:space="preserve"> and 14</w:t>
      </w:r>
      <w:r w:rsidRPr="00EC3636">
        <w:rPr>
          <w:sz w:val="24"/>
          <w:szCs w:val="24"/>
        </w:rPr>
        <w:t>.</w:t>
      </w:r>
    </w:p>
    <w:p w:rsidR="00605809" w:rsidRPr="00EC3636" w:rsidRDefault="00605809" w:rsidP="00EC3636">
      <w:pPr>
        <w:spacing w:line="360" w:lineRule="auto"/>
        <w:ind w:firstLine="1440"/>
        <w:rPr>
          <w:sz w:val="24"/>
          <w:szCs w:val="24"/>
        </w:rPr>
      </w:pPr>
    </w:p>
    <w:p w:rsidR="00605809" w:rsidRPr="00EC3636" w:rsidRDefault="00E7721C" w:rsidP="00EC3636">
      <w:pPr>
        <w:spacing w:line="360" w:lineRule="auto"/>
        <w:ind w:firstLine="1440"/>
        <w:rPr>
          <w:sz w:val="24"/>
          <w:szCs w:val="24"/>
        </w:rPr>
      </w:pPr>
      <w:r w:rsidRPr="00EC3636">
        <w:rPr>
          <w:sz w:val="24"/>
          <w:szCs w:val="24"/>
        </w:rPr>
        <w:t>8</w:t>
      </w:r>
      <w:r w:rsidR="00605809" w:rsidRPr="00EC3636">
        <w:rPr>
          <w:sz w:val="24"/>
          <w:szCs w:val="24"/>
        </w:rPr>
        <w:t>.</w:t>
      </w:r>
      <w:r w:rsidR="00605809" w:rsidRPr="00EC3636">
        <w:rPr>
          <w:sz w:val="24"/>
          <w:szCs w:val="24"/>
        </w:rPr>
        <w:tab/>
        <w:t>Complainant receives $318.00 per week in unemployment benefits.</w:t>
      </w:r>
      <w:r w:rsidR="00BB4800" w:rsidRPr="00EC3636">
        <w:rPr>
          <w:sz w:val="24"/>
          <w:szCs w:val="24"/>
        </w:rPr>
        <w:t xml:space="preserve"> Tr. 10.</w:t>
      </w:r>
    </w:p>
    <w:p w:rsidR="00605809" w:rsidRPr="00EC3636" w:rsidRDefault="00605809" w:rsidP="00EC3636">
      <w:pPr>
        <w:spacing w:line="360" w:lineRule="auto"/>
        <w:ind w:firstLine="1440"/>
        <w:rPr>
          <w:sz w:val="24"/>
          <w:szCs w:val="24"/>
        </w:rPr>
      </w:pPr>
    </w:p>
    <w:p w:rsidR="00605809" w:rsidRPr="00EC3636" w:rsidRDefault="00E7721C" w:rsidP="00EC3636">
      <w:pPr>
        <w:spacing w:line="360" w:lineRule="auto"/>
        <w:ind w:firstLine="1440"/>
        <w:rPr>
          <w:sz w:val="24"/>
          <w:szCs w:val="24"/>
        </w:rPr>
      </w:pPr>
      <w:r w:rsidRPr="00EC3636">
        <w:rPr>
          <w:sz w:val="24"/>
          <w:szCs w:val="24"/>
        </w:rPr>
        <w:t>9</w:t>
      </w:r>
      <w:r w:rsidR="00605809" w:rsidRPr="00EC3636">
        <w:rPr>
          <w:sz w:val="24"/>
          <w:szCs w:val="24"/>
        </w:rPr>
        <w:t>.</w:t>
      </w:r>
      <w:r w:rsidR="00605809" w:rsidRPr="00EC3636">
        <w:rPr>
          <w:sz w:val="24"/>
          <w:szCs w:val="24"/>
        </w:rPr>
        <w:tab/>
        <w:t xml:space="preserve">Complainant’s father receives $834.00 a month from Social Security and $195.00 a month in food stamps.  Tr. 14 and 15. </w:t>
      </w:r>
    </w:p>
    <w:p w:rsidR="00605809" w:rsidRPr="00EC3636" w:rsidRDefault="00605809" w:rsidP="00EC3636">
      <w:pPr>
        <w:spacing w:line="360" w:lineRule="auto"/>
        <w:ind w:firstLine="1440"/>
        <w:rPr>
          <w:sz w:val="24"/>
          <w:szCs w:val="24"/>
        </w:rPr>
      </w:pPr>
    </w:p>
    <w:p w:rsidR="00605809" w:rsidRPr="00EC3636" w:rsidRDefault="002E67E0" w:rsidP="00EC3636">
      <w:pPr>
        <w:spacing w:line="360" w:lineRule="auto"/>
        <w:ind w:firstLine="1440"/>
        <w:rPr>
          <w:sz w:val="24"/>
          <w:szCs w:val="24"/>
        </w:rPr>
      </w:pPr>
      <w:r w:rsidRPr="00EC3636">
        <w:rPr>
          <w:sz w:val="24"/>
          <w:szCs w:val="24"/>
        </w:rPr>
        <w:t>10</w:t>
      </w:r>
      <w:r w:rsidR="00605809" w:rsidRPr="00EC3636">
        <w:rPr>
          <w:sz w:val="24"/>
          <w:szCs w:val="24"/>
        </w:rPr>
        <w:t>.</w:t>
      </w:r>
      <w:r w:rsidR="00605809" w:rsidRPr="00EC3636">
        <w:rPr>
          <w:sz w:val="24"/>
          <w:szCs w:val="24"/>
        </w:rPr>
        <w:tab/>
        <w:t>Khalil Sumler’s income is $1,095.00 a month from his employment.  Complainant testified that he contributes $125.00 every two weeks towards Complain</w:t>
      </w:r>
      <w:r w:rsidR="00EC3636">
        <w:rPr>
          <w:sz w:val="24"/>
          <w:szCs w:val="24"/>
        </w:rPr>
        <w:t>ant’s living expenses.  Tr. 13.</w:t>
      </w:r>
    </w:p>
    <w:p w:rsidR="00605809" w:rsidRPr="00EC3636" w:rsidRDefault="00510509" w:rsidP="00EC3636">
      <w:pPr>
        <w:spacing w:line="360" w:lineRule="auto"/>
        <w:rPr>
          <w:sz w:val="24"/>
          <w:szCs w:val="24"/>
        </w:rPr>
      </w:pPr>
      <w:r w:rsidRPr="00EC3636">
        <w:rPr>
          <w:sz w:val="24"/>
          <w:szCs w:val="24"/>
        </w:rPr>
        <w:tab/>
      </w:r>
      <w:r w:rsidRPr="00EC3636">
        <w:rPr>
          <w:sz w:val="24"/>
          <w:szCs w:val="24"/>
        </w:rPr>
        <w:tab/>
      </w:r>
    </w:p>
    <w:p w:rsidR="00605809" w:rsidRPr="00EC3636" w:rsidRDefault="002E67E0" w:rsidP="00EC3636">
      <w:pPr>
        <w:spacing w:line="360" w:lineRule="auto"/>
        <w:ind w:firstLine="1440"/>
        <w:rPr>
          <w:sz w:val="24"/>
          <w:szCs w:val="24"/>
        </w:rPr>
      </w:pPr>
      <w:r w:rsidRPr="00EC3636">
        <w:rPr>
          <w:sz w:val="24"/>
          <w:szCs w:val="24"/>
        </w:rPr>
        <w:t>11</w:t>
      </w:r>
      <w:r w:rsidR="00605809" w:rsidRPr="00EC3636">
        <w:rPr>
          <w:sz w:val="24"/>
          <w:szCs w:val="24"/>
        </w:rPr>
        <w:t>.</w:t>
      </w:r>
      <w:r w:rsidR="00605809" w:rsidRPr="00EC3636">
        <w:rPr>
          <w:sz w:val="24"/>
          <w:szCs w:val="24"/>
        </w:rPr>
        <w:tab/>
        <w:t>William Rossiter was the ratepayer of record for the Service Address</w:t>
      </w:r>
      <w:r w:rsidR="00FF54D2" w:rsidRPr="00EC3636">
        <w:rPr>
          <w:sz w:val="24"/>
          <w:szCs w:val="24"/>
        </w:rPr>
        <w:t xml:space="preserve"> until June of 1995</w:t>
      </w:r>
      <w:r w:rsidR="00605809" w:rsidRPr="00EC3636">
        <w:rPr>
          <w:sz w:val="24"/>
          <w:szCs w:val="24"/>
        </w:rPr>
        <w:t>.  Tr. 22.</w:t>
      </w:r>
    </w:p>
    <w:p w:rsidR="00605809" w:rsidRPr="00EC3636" w:rsidRDefault="00605809" w:rsidP="00EC3636">
      <w:pPr>
        <w:spacing w:line="360" w:lineRule="auto"/>
        <w:ind w:firstLine="1440"/>
        <w:rPr>
          <w:sz w:val="24"/>
          <w:szCs w:val="24"/>
        </w:rPr>
      </w:pPr>
    </w:p>
    <w:p w:rsidR="00605809" w:rsidRPr="00EC3636" w:rsidRDefault="002E67E0" w:rsidP="00EC3636">
      <w:pPr>
        <w:spacing w:line="360" w:lineRule="auto"/>
        <w:ind w:firstLine="1440"/>
        <w:rPr>
          <w:sz w:val="24"/>
          <w:szCs w:val="24"/>
        </w:rPr>
      </w:pPr>
      <w:r w:rsidRPr="00EC3636">
        <w:rPr>
          <w:sz w:val="24"/>
          <w:szCs w:val="24"/>
        </w:rPr>
        <w:t>1</w:t>
      </w:r>
      <w:r w:rsidR="00FF54D2" w:rsidRPr="00EC3636">
        <w:rPr>
          <w:sz w:val="24"/>
          <w:szCs w:val="24"/>
        </w:rPr>
        <w:t>2</w:t>
      </w:r>
      <w:r w:rsidR="00605809" w:rsidRPr="00EC3636">
        <w:rPr>
          <w:sz w:val="24"/>
          <w:szCs w:val="24"/>
        </w:rPr>
        <w:t>.</w:t>
      </w:r>
      <w:r w:rsidR="00605809" w:rsidRPr="00EC3636">
        <w:rPr>
          <w:sz w:val="24"/>
          <w:szCs w:val="24"/>
        </w:rPr>
        <w:tab/>
        <w:t>From September of 1995 to April of 2005, service was in the name if Evelyn</w:t>
      </w:r>
      <w:r w:rsidR="00BB4800" w:rsidRPr="00EC3636">
        <w:rPr>
          <w:sz w:val="24"/>
          <w:szCs w:val="24"/>
        </w:rPr>
        <w:t xml:space="preserve"> Ro</w:t>
      </w:r>
      <w:r w:rsidR="00446B0F">
        <w:rPr>
          <w:sz w:val="24"/>
          <w:szCs w:val="24"/>
        </w:rPr>
        <w:t>s</w:t>
      </w:r>
      <w:r w:rsidR="00BB4800" w:rsidRPr="00EC3636">
        <w:rPr>
          <w:sz w:val="24"/>
          <w:szCs w:val="24"/>
        </w:rPr>
        <w:t xml:space="preserve">siter, Complainant’s aunt. </w:t>
      </w:r>
      <w:r w:rsidR="00605809" w:rsidRPr="00EC3636">
        <w:rPr>
          <w:sz w:val="24"/>
          <w:szCs w:val="24"/>
        </w:rPr>
        <w:t xml:space="preserve"> When that service was discontinued, there was a final bill balance of $6,948.65 that remains unpaid.  Tr. 22.</w:t>
      </w:r>
    </w:p>
    <w:p w:rsidR="00605809" w:rsidRPr="00EC3636" w:rsidRDefault="00605809" w:rsidP="00EC3636">
      <w:pPr>
        <w:spacing w:line="360" w:lineRule="auto"/>
        <w:rPr>
          <w:sz w:val="24"/>
          <w:szCs w:val="24"/>
        </w:rPr>
      </w:pPr>
    </w:p>
    <w:p w:rsidR="00605809" w:rsidRPr="00EC3636" w:rsidRDefault="002E67E0" w:rsidP="00EC3636">
      <w:pPr>
        <w:spacing w:line="360" w:lineRule="auto"/>
        <w:ind w:firstLine="1440"/>
        <w:rPr>
          <w:sz w:val="24"/>
          <w:szCs w:val="24"/>
        </w:rPr>
      </w:pPr>
      <w:r w:rsidRPr="00EC3636">
        <w:rPr>
          <w:sz w:val="24"/>
          <w:szCs w:val="24"/>
        </w:rPr>
        <w:t>1</w:t>
      </w:r>
      <w:r w:rsidR="00FF54D2" w:rsidRPr="00EC3636">
        <w:rPr>
          <w:sz w:val="24"/>
          <w:szCs w:val="24"/>
        </w:rPr>
        <w:t>3</w:t>
      </w:r>
      <w:r w:rsidR="00605809" w:rsidRPr="00EC3636">
        <w:rPr>
          <w:sz w:val="24"/>
          <w:szCs w:val="24"/>
        </w:rPr>
        <w:t>.</w:t>
      </w:r>
      <w:r w:rsidR="00605809" w:rsidRPr="00EC3636">
        <w:rPr>
          <w:sz w:val="24"/>
          <w:szCs w:val="24"/>
        </w:rPr>
        <w:tab/>
        <w:t>Service was established on April 7, 2005 in the name of Mildred Rossiter, another of Complainant’s aunts.  That service was discontinued on December 16, 2005, with an unpaid bill balance of $2,623.30.  Tr. 22.</w:t>
      </w:r>
    </w:p>
    <w:p w:rsidR="00605809" w:rsidRPr="00EC3636" w:rsidRDefault="00BE639E" w:rsidP="00EC3636">
      <w:pPr>
        <w:spacing w:line="360" w:lineRule="auto"/>
        <w:rPr>
          <w:sz w:val="24"/>
          <w:szCs w:val="24"/>
        </w:rPr>
      </w:pPr>
      <w:r w:rsidRPr="00EC3636">
        <w:rPr>
          <w:sz w:val="24"/>
          <w:szCs w:val="24"/>
        </w:rPr>
        <w:tab/>
      </w:r>
      <w:r w:rsidRPr="00EC3636">
        <w:rPr>
          <w:sz w:val="24"/>
          <w:szCs w:val="24"/>
        </w:rPr>
        <w:tab/>
      </w:r>
    </w:p>
    <w:p w:rsidR="00EC3636" w:rsidRDefault="002E67E0" w:rsidP="00EC3636">
      <w:pPr>
        <w:spacing w:line="360" w:lineRule="auto"/>
        <w:ind w:firstLine="1440"/>
        <w:rPr>
          <w:sz w:val="24"/>
          <w:szCs w:val="24"/>
        </w:rPr>
      </w:pPr>
      <w:r w:rsidRPr="00EC3636">
        <w:rPr>
          <w:sz w:val="24"/>
          <w:szCs w:val="24"/>
        </w:rPr>
        <w:t>1</w:t>
      </w:r>
      <w:r w:rsidR="00FF54D2" w:rsidRPr="00EC3636">
        <w:rPr>
          <w:sz w:val="24"/>
          <w:szCs w:val="24"/>
        </w:rPr>
        <w:t>4</w:t>
      </w:r>
      <w:r w:rsidR="00605809" w:rsidRPr="00EC3636">
        <w:rPr>
          <w:sz w:val="24"/>
          <w:szCs w:val="24"/>
        </w:rPr>
        <w:t>.</w:t>
      </w:r>
      <w:r w:rsidR="00605809" w:rsidRPr="00EC3636">
        <w:rPr>
          <w:sz w:val="24"/>
          <w:szCs w:val="24"/>
        </w:rPr>
        <w:tab/>
        <w:t>Service was then in the name of Barbara Ro</w:t>
      </w:r>
      <w:r w:rsidR="00446B0F">
        <w:rPr>
          <w:sz w:val="24"/>
          <w:szCs w:val="24"/>
        </w:rPr>
        <w:t>ssi</w:t>
      </w:r>
      <w:r w:rsidR="00605809" w:rsidRPr="00EC3636">
        <w:rPr>
          <w:sz w:val="24"/>
          <w:szCs w:val="24"/>
        </w:rPr>
        <w:t>ter, a</w:t>
      </w:r>
      <w:r w:rsidR="00BE639E" w:rsidRPr="00EC3636">
        <w:rPr>
          <w:sz w:val="24"/>
          <w:szCs w:val="24"/>
        </w:rPr>
        <w:t xml:space="preserve">nother of Complainant’s aunts. </w:t>
      </w:r>
      <w:r w:rsidR="00605809" w:rsidRPr="00EC3636">
        <w:rPr>
          <w:sz w:val="24"/>
          <w:szCs w:val="24"/>
        </w:rPr>
        <w:t xml:space="preserve"> The service remained in Barbara Ro</w:t>
      </w:r>
      <w:r w:rsidR="00446B0F">
        <w:rPr>
          <w:sz w:val="24"/>
          <w:szCs w:val="24"/>
        </w:rPr>
        <w:t>s</w:t>
      </w:r>
      <w:r w:rsidR="00605809" w:rsidRPr="00EC3636">
        <w:rPr>
          <w:sz w:val="24"/>
          <w:szCs w:val="24"/>
        </w:rPr>
        <w:t>siter’s name from December 21, 2005 until February 5, 2007.  The unpaid final balance in that account was $2,699.57.  Tr. 23.</w:t>
      </w:r>
      <w:r w:rsidR="00EC3636">
        <w:rPr>
          <w:sz w:val="24"/>
          <w:szCs w:val="24"/>
        </w:rPr>
        <w:br w:type="page"/>
      </w:r>
    </w:p>
    <w:p w:rsidR="00605809" w:rsidRPr="00EC3636" w:rsidRDefault="002E67E0" w:rsidP="00EC3636">
      <w:pPr>
        <w:spacing w:line="360" w:lineRule="auto"/>
        <w:ind w:firstLine="1440"/>
        <w:rPr>
          <w:sz w:val="24"/>
          <w:szCs w:val="24"/>
        </w:rPr>
      </w:pPr>
      <w:r w:rsidRPr="00EC3636">
        <w:rPr>
          <w:sz w:val="24"/>
          <w:szCs w:val="24"/>
        </w:rPr>
        <w:lastRenderedPageBreak/>
        <w:t>1</w:t>
      </w:r>
      <w:r w:rsidR="00FF54D2" w:rsidRPr="00EC3636">
        <w:rPr>
          <w:sz w:val="24"/>
          <w:szCs w:val="24"/>
        </w:rPr>
        <w:t>5</w:t>
      </w:r>
      <w:r w:rsidR="00605809" w:rsidRPr="00EC3636">
        <w:rPr>
          <w:sz w:val="24"/>
          <w:szCs w:val="24"/>
        </w:rPr>
        <w:t>.</w:t>
      </w:r>
      <w:r w:rsidR="00605809" w:rsidRPr="00EC3636">
        <w:rPr>
          <w:sz w:val="24"/>
          <w:szCs w:val="24"/>
        </w:rPr>
        <w:tab/>
        <w:t>On February 5, 2007, the current account was established under the name of Tommi Smallwood, Complainant’s cousin.  Tr. 23.</w:t>
      </w:r>
    </w:p>
    <w:p w:rsidR="00605809" w:rsidRPr="00EC3636" w:rsidRDefault="00BE639E" w:rsidP="00EC3636">
      <w:pPr>
        <w:spacing w:line="360" w:lineRule="auto"/>
        <w:rPr>
          <w:sz w:val="24"/>
          <w:szCs w:val="24"/>
        </w:rPr>
      </w:pPr>
      <w:r w:rsidRPr="00EC3636">
        <w:rPr>
          <w:sz w:val="24"/>
          <w:szCs w:val="24"/>
        </w:rPr>
        <w:tab/>
      </w:r>
      <w:r w:rsidRPr="00EC3636">
        <w:rPr>
          <w:sz w:val="24"/>
          <w:szCs w:val="24"/>
        </w:rPr>
        <w:tab/>
      </w:r>
    </w:p>
    <w:p w:rsidR="00605809" w:rsidRPr="00EC3636" w:rsidRDefault="002E67E0" w:rsidP="00EC3636">
      <w:pPr>
        <w:spacing w:line="360" w:lineRule="auto"/>
        <w:ind w:firstLine="1440"/>
        <w:rPr>
          <w:sz w:val="24"/>
          <w:szCs w:val="24"/>
        </w:rPr>
      </w:pPr>
      <w:r w:rsidRPr="00EC3636">
        <w:rPr>
          <w:sz w:val="24"/>
          <w:szCs w:val="24"/>
        </w:rPr>
        <w:t>1</w:t>
      </w:r>
      <w:r w:rsidR="00FF54D2" w:rsidRPr="00EC3636">
        <w:rPr>
          <w:sz w:val="24"/>
          <w:szCs w:val="24"/>
        </w:rPr>
        <w:t>6</w:t>
      </w:r>
      <w:r w:rsidR="00605809" w:rsidRPr="00EC3636">
        <w:rPr>
          <w:sz w:val="24"/>
          <w:szCs w:val="24"/>
        </w:rPr>
        <w:t>.</w:t>
      </w:r>
      <w:r w:rsidR="00605809" w:rsidRPr="00EC3636">
        <w:rPr>
          <w:sz w:val="24"/>
          <w:szCs w:val="24"/>
        </w:rPr>
        <w:tab/>
        <w:t>On July 20, 2009, Complainant accepted responsibility for that full account balance.  Tr. 23.</w:t>
      </w:r>
    </w:p>
    <w:p w:rsidR="00605809" w:rsidRPr="00EC3636" w:rsidRDefault="00605809" w:rsidP="00EC3636">
      <w:pPr>
        <w:spacing w:line="360" w:lineRule="auto"/>
        <w:ind w:firstLine="1440"/>
        <w:rPr>
          <w:sz w:val="24"/>
          <w:szCs w:val="24"/>
        </w:rPr>
      </w:pPr>
    </w:p>
    <w:p w:rsidR="00605809" w:rsidRPr="00EC3636" w:rsidRDefault="002E67E0" w:rsidP="00EC3636">
      <w:pPr>
        <w:spacing w:line="360" w:lineRule="auto"/>
        <w:ind w:firstLine="1440"/>
        <w:rPr>
          <w:sz w:val="24"/>
          <w:szCs w:val="24"/>
        </w:rPr>
      </w:pPr>
      <w:r w:rsidRPr="00EC3636">
        <w:rPr>
          <w:sz w:val="24"/>
          <w:szCs w:val="24"/>
        </w:rPr>
        <w:t>1</w:t>
      </w:r>
      <w:r w:rsidR="00FF54D2" w:rsidRPr="00EC3636">
        <w:rPr>
          <w:sz w:val="24"/>
          <w:szCs w:val="24"/>
        </w:rPr>
        <w:t>7</w:t>
      </w:r>
      <w:r w:rsidR="00605809" w:rsidRPr="00EC3636">
        <w:rPr>
          <w:sz w:val="24"/>
          <w:szCs w:val="24"/>
        </w:rPr>
        <w:t>.</w:t>
      </w:r>
      <w:r w:rsidR="00605809" w:rsidRPr="00EC3636">
        <w:rPr>
          <w:sz w:val="24"/>
          <w:szCs w:val="24"/>
        </w:rPr>
        <w:tab/>
        <w:t>On August 31, 2009, Complainant filed an informal complaint with the Commission’s Bureau of Consumer Service (BCS), BCS Case No. 002586230, alleging her inability to pay her electric and gas bills to Respondent and requesting a payment arrangement.  PECO Exhibit 5.</w:t>
      </w:r>
    </w:p>
    <w:p w:rsidR="00605809" w:rsidRPr="00EC3636" w:rsidRDefault="00605809" w:rsidP="00EC3636">
      <w:pPr>
        <w:spacing w:line="360" w:lineRule="auto"/>
        <w:ind w:firstLine="1440"/>
        <w:rPr>
          <w:sz w:val="24"/>
          <w:szCs w:val="24"/>
        </w:rPr>
      </w:pPr>
    </w:p>
    <w:p w:rsidR="00605809" w:rsidRPr="00EC3636" w:rsidRDefault="00FF54D2" w:rsidP="00EC3636">
      <w:pPr>
        <w:spacing w:line="360" w:lineRule="auto"/>
        <w:ind w:firstLine="1440"/>
        <w:rPr>
          <w:sz w:val="24"/>
          <w:szCs w:val="24"/>
        </w:rPr>
      </w:pPr>
      <w:r w:rsidRPr="00EC3636">
        <w:rPr>
          <w:sz w:val="24"/>
          <w:szCs w:val="24"/>
        </w:rPr>
        <w:t>18</w:t>
      </w:r>
      <w:r w:rsidR="00605809" w:rsidRPr="00EC3636">
        <w:rPr>
          <w:sz w:val="24"/>
          <w:szCs w:val="24"/>
        </w:rPr>
        <w:t>.</w:t>
      </w:r>
      <w:r w:rsidR="00605809" w:rsidRPr="00EC3636">
        <w:rPr>
          <w:sz w:val="24"/>
          <w:szCs w:val="24"/>
        </w:rPr>
        <w:tab/>
        <w:t>On September 4, 2009, BCS concluded that Complainant was a level 2 income customer with a household of four, and established a payment arrangement requesting Complainant to pay a special budget amount of $1,001.00 per month, consisting of the regular budget amount of $437.00, plus $564.00 a month towards arrearages.  PECO Exhibit 5.</w:t>
      </w:r>
      <w:r w:rsidR="00BE639E" w:rsidRPr="00EC3636">
        <w:rPr>
          <w:sz w:val="24"/>
          <w:szCs w:val="24"/>
        </w:rPr>
        <w:t xml:space="preserve">  </w:t>
      </w:r>
    </w:p>
    <w:p w:rsidR="000A0A9C" w:rsidRPr="00EC3636" w:rsidRDefault="000A0A9C" w:rsidP="00EC3636">
      <w:pPr>
        <w:spacing w:line="360" w:lineRule="auto"/>
        <w:ind w:firstLine="1440"/>
        <w:rPr>
          <w:sz w:val="24"/>
          <w:szCs w:val="24"/>
        </w:rPr>
      </w:pPr>
    </w:p>
    <w:p w:rsidR="000A0A9C" w:rsidRPr="00EC3636" w:rsidRDefault="00FF54D2" w:rsidP="00EC3636">
      <w:pPr>
        <w:spacing w:line="360" w:lineRule="auto"/>
        <w:ind w:firstLine="1440"/>
        <w:rPr>
          <w:sz w:val="24"/>
          <w:szCs w:val="24"/>
        </w:rPr>
      </w:pPr>
      <w:r w:rsidRPr="00EC3636">
        <w:rPr>
          <w:sz w:val="24"/>
          <w:szCs w:val="24"/>
        </w:rPr>
        <w:t>19</w:t>
      </w:r>
      <w:r w:rsidR="00E7721C" w:rsidRPr="00EC3636">
        <w:rPr>
          <w:sz w:val="24"/>
          <w:szCs w:val="24"/>
        </w:rPr>
        <w:t>.</w:t>
      </w:r>
      <w:r w:rsidR="00E7721C" w:rsidRPr="00EC3636">
        <w:rPr>
          <w:sz w:val="24"/>
          <w:szCs w:val="24"/>
        </w:rPr>
        <w:tab/>
      </w:r>
      <w:r w:rsidR="000A0A9C" w:rsidRPr="00EC3636">
        <w:rPr>
          <w:sz w:val="24"/>
          <w:szCs w:val="24"/>
        </w:rPr>
        <w:t xml:space="preserve">In September and October of 2009, Complainant attempted to complete an application for enrollment in PECO’s Customer Assistance Program (CAP). </w:t>
      </w:r>
      <w:r w:rsidR="00BB4800" w:rsidRPr="00EC3636">
        <w:rPr>
          <w:sz w:val="24"/>
          <w:szCs w:val="24"/>
        </w:rPr>
        <w:t xml:space="preserve"> </w:t>
      </w:r>
      <w:r w:rsidR="000A0A9C" w:rsidRPr="00EC3636">
        <w:rPr>
          <w:sz w:val="24"/>
          <w:szCs w:val="24"/>
        </w:rPr>
        <w:t>PECO Exhibits 3 and 4.</w:t>
      </w:r>
    </w:p>
    <w:p w:rsidR="000A0A9C" w:rsidRPr="00EC3636" w:rsidRDefault="000A0A9C" w:rsidP="00EC3636">
      <w:pPr>
        <w:spacing w:line="360" w:lineRule="auto"/>
        <w:ind w:firstLine="1440"/>
        <w:rPr>
          <w:sz w:val="24"/>
          <w:szCs w:val="24"/>
        </w:rPr>
      </w:pPr>
    </w:p>
    <w:p w:rsidR="00744FBB" w:rsidRPr="00EC3636" w:rsidRDefault="002E67E0" w:rsidP="00EC3636">
      <w:pPr>
        <w:spacing w:line="360" w:lineRule="auto"/>
        <w:ind w:firstLine="1440"/>
        <w:rPr>
          <w:sz w:val="24"/>
          <w:szCs w:val="24"/>
        </w:rPr>
      </w:pPr>
      <w:r w:rsidRPr="00EC3636">
        <w:rPr>
          <w:sz w:val="24"/>
          <w:szCs w:val="24"/>
        </w:rPr>
        <w:t>2</w:t>
      </w:r>
      <w:r w:rsidR="00FF54D2" w:rsidRPr="00EC3636">
        <w:rPr>
          <w:sz w:val="24"/>
          <w:szCs w:val="24"/>
        </w:rPr>
        <w:t>0</w:t>
      </w:r>
      <w:r w:rsidR="00E7721C" w:rsidRPr="00EC3636">
        <w:rPr>
          <w:sz w:val="24"/>
          <w:szCs w:val="24"/>
        </w:rPr>
        <w:t>.</w:t>
      </w:r>
      <w:r w:rsidR="00E7721C" w:rsidRPr="00EC3636">
        <w:rPr>
          <w:sz w:val="24"/>
          <w:szCs w:val="24"/>
        </w:rPr>
        <w:tab/>
      </w:r>
      <w:r w:rsidR="000A0A9C" w:rsidRPr="00EC3636">
        <w:rPr>
          <w:sz w:val="24"/>
          <w:szCs w:val="24"/>
        </w:rPr>
        <w:t>Complainant does not qualify for enrollment in Respondent’s CAP program due to her household income.</w:t>
      </w:r>
      <w:r w:rsidR="002033FF" w:rsidRPr="00EC3636">
        <w:rPr>
          <w:sz w:val="24"/>
          <w:szCs w:val="24"/>
        </w:rPr>
        <w:t xml:space="preserve">  Tr.</w:t>
      </w:r>
      <w:r w:rsidR="00BB4800" w:rsidRPr="00EC3636">
        <w:rPr>
          <w:sz w:val="24"/>
          <w:szCs w:val="24"/>
        </w:rPr>
        <w:t xml:space="preserve"> 40.</w:t>
      </w:r>
    </w:p>
    <w:p w:rsidR="00744FBB" w:rsidRPr="00EC3636" w:rsidRDefault="00744FBB" w:rsidP="00EC3636">
      <w:pPr>
        <w:spacing w:line="360" w:lineRule="auto"/>
        <w:ind w:firstLine="1440"/>
        <w:rPr>
          <w:sz w:val="24"/>
          <w:szCs w:val="24"/>
        </w:rPr>
      </w:pPr>
    </w:p>
    <w:p w:rsidR="00605809" w:rsidRPr="00EC3636" w:rsidRDefault="002E67E0" w:rsidP="00EC3636">
      <w:pPr>
        <w:spacing w:line="360" w:lineRule="auto"/>
        <w:ind w:firstLine="1440"/>
        <w:rPr>
          <w:sz w:val="24"/>
          <w:szCs w:val="24"/>
        </w:rPr>
      </w:pPr>
      <w:r w:rsidRPr="00EC3636">
        <w:rPr>
          <w:spacing w:val="-3"/>
          <w:sz w:val="24"/>
          <w:szCs w:val="24"/>
        </w:rPr>
        <w:t>2</w:t>
      </w:r>
      <w:r w:rsidR="00FF54D2" w:rsidRPr="00EC3636">
        <w:rPr>
          <w:spacing w:val="-3"/>
          <w:sz w:val="24"/>
          <w:szCs w:val="24"/>
        </w:rPr>
        <w:t>1</w:t>
      </w:r>
      <w:r w:rsidR="00605809" w:rsidRPr="00EC3636">
        <w:rPr>
          <w:spacing w:val="-3"/>
          <w:sz w:val="24"/>
          <w:szCs w:val="24"/>
        </w:rPr>
        <w:t>.</w:t>
      </w:r>
      <w:r w:rsidR="00605809" w:rsidRPr="00EC3636">
        <w:rPr>
          <w:spacing w:val="-3"/>
          <w:sz w:val="24"/>
          <w:szCs w:val="24"/>
        </w:rPr>
        <w:tab/>
        <w:t xml:space="preserve">On November 6, 2009, Complainant filed a Formal Complaint with the Commission alleging an inability to pay her electric and gas bills to PECO, and requesting a payment arrangement.  </w:t>
      </w:r>
    </w:p>
    <w:p w:rsidR="00605809" w:rsidRPr="00EC3636" w:rsidRDefault="00605809" w:rsidP="00EC3636">
      <w:pPr>
        <w:spacing w:line="360" w:lineRule="auto"/>
        <w:ind w:firstLine="1440"/>
        <w:rPr>
          <w:sz w:val="24"/>
          <w:szCs w:val="24"/>
        </w:rPr>
      </w:pPr>
    </w:p>
    <w:p w:rsidR="00605809" w:rsidRPr="00EC3636" w:rsidRDefault="002E67E0" w:rsidP="00EC3636">
      <w:pPr>
        <w:spacing w:line="360" w:lineRule="auto"/>
        <w:ind w:firstLine="1440"/>
        <w:rPr>
          <w:sz w:val="24"/>
          <w:szCs w:val="24"/>
        </w:rPr>
      </w:pPr>
      <w:r w:rsidRPr="00EC3636">
        <w:rPr>
          <w:sz w:val="24"/>
          <w:szCs w:val="24"/>
        </w:rPr>
        <w:t>2</w:t>
      </w:r>
      <w:r w:rsidR="00FF54D2" w:rsidRPr="00EC3636">
        <w:rPr>
          <w:sz w:val="24"/>
          <w:szCs w:val="24"/>
        </w:rPr>
        <w:t>2</w:t>
      </w:r>
      <w:r w:rsidR="00605809" w:rsidRPr="00EC3636">
        <w:rPr>
          <w:sz w:val="24"/>
          <w:szCs w:val="24"/>
        </w:rPr>
        <w:t>.</w:t>
      </w:r>
      <w:r w:rsidR="00605809" w:rsidRPr="00EC3636">
        <w:rPr>
          <w:sz w:val="24"/>
          <w:szCs w:val="24"/>
        </w:rPr>
        <w:tab/>
        <w:t xml:space="preserve">Complainant’s account balance with PECO is $14,947.75.  Tr. 18, PECO Exhibit 1. </w:t>
      </w:r>
    </w:p>
    <w:p w:rsidR="00605809" w:rsidRPr="00EC3636" w:rsidRDefault="00553C08" w:rsidP="00EC3636">
      <w:pPr>
        <w:spacing w:line="360" w:lineRule="auto"/>
        <w:rPr>
          <w:sz w:val="24"/>
          <w:szCs w:val="24"/>
        </w:rPr>
      </w:pPr>
      <w:r w:rsidRPr="00EC3636">
        <w:rPr>
          <w:sz w:val="24"/>
          <w:szCs w:val="24"/>
        </w:rPr>
        <w:tab/>
      </w:r>
      <w:r w:rsidRPr="00EC3636">
        <w:rPr>
          <w:sz w:val="24"/>
          <w:szCs w:val="24"/>
        </w:rPr>
        <w:tab/>
      </w:r>
    </w:p>
    <w:p w:rsidR="00605809" w:rsidRPr="00EC3636" w:rsidRDefault="00605809" w:rsidP="00EC3636">
      <w:pPr>
        <w:spacing w:line="360" w:lineRule="auto"/>
        <w:jc w:val="center"/>
        <w:outlineLvl w:val="0"/>
        <w:rPr>
          <w:sz w:val="24"/>
          <w:szCs w:val="24"/>
          <w:u w:val="single"/>
        </w:rPr>
      </w:pPr>
      <w:r w:rsidRPr="00EC3636">
        <w:rPr>
          <w:sz w:val="24"/>
          <w:szCs w:val="24"/>
          <w:u w:val="single"/>
        </w:rPr>
        <w:lastRenderedPageBreak/>
        <w:t>DISCUSSION</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t xml:space="preserve">In her Formal Complaint, Complainant alleged </w:t>
      </w:r>
      <w:r w:rsidRPr="00EC3636">
        <w:rPr>
          <w:spacing w:val="-3"/>
          <w:sz w:val="24"/>
          <w:szCs w:val="24"/>
        </w:rPr>
        <w:t xml:space="preserve">an inability to pay her utility bills to PECO, and requested a payment arrangement.  </w:t>
      </w:r>
      <w:r w:rsidRPr="00EC3636">
        <w:rPr>
          <w:sz w:val="24"/>
          <w:szCs w:val="24"/>
        </w:rPr>
        <w:t xml:space="preserve">As the party seeking affirmative relief from the Commission, Complainant bears the burden of proof.  66 Pa. C.S. </w:t>
      </w:r>
      <w:r w:rsidRPr="00EC3636">
        <w:rPr>
          <w:spacing w:val="-3"/>
          <w:sz w:val="24"/>
          <w:szCs w:val="24"/>
        </w:rPr>
        <w:t>§ 332(a).</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pacing w:val="-3"/>
          <w:sz w:val="24"/>
          <w:szCs w:val="24"/>
        </w:rPr>
      </w:pPr>
      <w:r w:rsidRPr="00EC3636">
        <w:rPr>
          <w:sz w:val="24"/>
          <w:szCs w:val="24"/>
        </w:rPr>
        <w:t xml:space="preserve">To satisfy this burden, a Complainant must show that the named utility is responsible or accountable for the problem described in the Complaint.  </w:t>
      </w:r>
      <w:r w:rsidRPr="00EC3636">
        <w:rPr>
          <w:sz w:val="24"/>
          <w:szCs w:val="24"/>
          <w:u w:val="single"/>
        </w:rPr>
        <w:t>Patterson v. Bell Telephone Company of Pennsylvania,</w:t>
      </w:r>
      <w:r w:rsidRPr="00EC3636">
        <w:rPr>
          <w:sz w:val="24"/>
          <w:szCs w:val="24"/>
        </w:rPr>
        <w:t xml:space="preserve"> 72 PA PUC 196 (1990); </w:t>
      </w:r>
      <w:r w:rsidRPr="00EC3636">
        <w:rPr>
          <w:sz w:val="24"/>
          <w:szCs w:val="24"/>
          <w:u w:val="single"/>
        </w:rPr>
        <w:t>Feinstein v. Philadelphia Suburban Water Company</w:t>
      </w:r>
      <w:r w:rsidRPr="00EC3636">
        <w:rPr>
          <w:sz w:val="24"/>
          <w:szCs w:val="24"/>
        </w:rPr>
        <w:t xml:space="preserve">, 50 PA PUC 300 (1976).  This must be shown by a preponderance of the evidence.  </w:t>
      </w:r>
      <w:r w:rsidRPr="00EC3636">
        <w:rPr>
          <w:sz w:val="24"/>
          <w:szCs w:val="24"/>
          <w:u w:val="single"/>
        </w:rPr>
        <w:t>Samuel J. Lansberry, Inc. v. PA Public Utility Comm’n</w:t>
      </w:r>
      <w:r w:rsidRPr="00EC3636">
        <w:rPr>
          <w:sz w:val="24"/>
          <w:szCs w:val="24"/>
        </w:rPr>
        <w:t xml:space="preserve">, 578 A.2d 600 (Pa. Cmwlth. 1990), </w:t>
      </w:r>
      <w:r w:rsidRPr="00EC3636">
        <w:rPr>
          <w:i/>
          <w:sz w:val="24"/>
          <w:szCs w:val="24"/>
        </w:rPr>
        <w:t>alloc. den</w:t>
      </w:r>
      <w:r w:rsidRPr="00EC3636">
        <w:rPr>
          <w:sz w:val="24"/>
          <w:szCs w:val="24"/>
        </w:rPr>
        <w:t xml:space="preserve">., 602 A.2d 863 (Pa. 1992).  That is, by presenting evidence more convincing, by even the smallest amount, than that presented by the other party.  </w:t>
      </w:r>
      <w:r w:rsidRPr="00EC3636">
        <w:rPr>
          <w:sz w:val="24"/>
          <w:szCs w:val="24"/>
          <w:u w:val="single"/>
        </w:rPr>
        <w:t>Se-Ling Hosiery v. Margulies</w:t>
      </w:r>
      <w:r w:rsidRPr="00EC3636">
        <w:rPr>
          <w:sz w:val="24"/>
          <w:szCs w:val="24"/>
        </w:rPr>
        <w:t xml:space="preserve">, 70 A.2d 854 (Pa. 1950).  Additionally, any finding of fact necessary to support the Commission’s adjudication must be based upon substantial evidence.  </w:t>
      </w:r>
      <w:r w:rsidRPr="00EC3636">
        <w:rPr>
          <w:sz w:val="24"/>
          <w:szCs w:val="24"/>
          <w:u w:val="single"/>
        </w:rPr>
        <w:t>Mill v. Comm’w., PA Public Utility Comm’n</w:t>
      </w:r>
      <w:r w:rsidRPr="00EC3636">
        <w:rPr>
          <w:sz w:val="24"/>
          <w:szCs w:val="24"/>
        </w:rPr>
        <w:t xml:space="preserve"> 447 A.2d 1100 (Pa. Cmwlth. 1982); </w:t>
      </w:r>
      <w:r w:rsidRPr="00EC3636">
        <w:rPr>
          <w:sz w:val="24"/>
          <w:szCs w:val="24"/>
          <w:u w:val="single"/>
        </w:rPr>
        <w:t>Edan Transportation Corp. v. PA Public Utility Comm’n</w:t>
      </w:r>
      <w:r w:rsidRPr="00EC3636">
        <w:rPr>
          <w:sz w:val="24"/>
          <w:szCs w:val="24"/>
        </w:rPr>
        <w:t xml:space="preserve">, 623 A.2d 6 (Pa. Cmwlth. 1993), 2 Pa. C.S. </w:t>
      </w:r>
      <w:r w:rsidRPr="00EC3636">
        <w:rPr>
          <w:spacing w:val="-3"/>
          <w:sz w:val="24"/>
          <w:szCs w:val="24"/>
        </w:rPr>
        <w:t xml:space="preserve">§ 704.  More is required than a mere trace of evidence or a suspicion of the existence of a fact sought to be established.  </w:t>
      </w:r>
      <w:r w:rsidRPr="00EC3636">
        <w:rPr>
          <w:spacing w:val="-3"/>
          <w:sz w:val="24"/>
          <w:szCs w:val="24"/>
          <w:u w:val="single"/>
        </w:rPr>
        <w:t>Norfolk and Western Ry. v. PA Public Utility Comm’n</w:t>
      </w:r>
      <w:r w:rsidRPr="00EC3636">
        <w:rPr>
          <w:spacing w:val="-3"/>
          <w:sz w:val="24"/>
          <w:szCs w:val="24"/>
        </w:rPr>
        <w:t xml:space="preserve">, 413 A.2d 1037 (Pa. 1980); </w:t>
      </w:r>
      <w:r w:rsidRPr="00EC3636">
        <w:rPr>
          <w:spacing w:val="-3"/>
          <w:sz w:val="24"/>
          <w:szCs w:val="24"/>
          <w:u w:val="single"/>
        </w:rPr>
        <w:t>Erie Resistor Corp. v. Unemployment Compensation Bd. of Review</w:t>
      </w:r>
      <w:r w:rsidRPr="00EC3636">
        <w:rPr>
          <w:spacing w:val="-3"/>
          <w:sz w:val="24"/>
          <w:szCs w:val="24"/>
        </w:rPr>
        <w:t xml:space="preserve">, 166 A.2d 96 (Pa. Super. 1960); </w:t>
      </w:r>
      <w:r w:rsidRPr="00EC3636">
        <w:rPr>
          <w:spacing w:val="-3"/>
          <w:sz w:val="24"/>
          <w:szCs w:val="24"/>
          <w:u w:val="single"/>
        </w:rPr>
        <w:t>Murphy v. Commonwealth, Dep’t of Public Welfare, White Haven Center</w:t>
      </w:r>
      <w:r w:rsidRPr="00EC3636">
        <w:rPr>
          <w:spacing w:val="-3"/>
          <w:sz w:val="24"/>
          <w:szCs w:val="24"/>
        </w:rPr>
        <w:t>, 480 A.2d 382 (Pa. Cmwlth. 1984).</w:t>
      </w:r>
    </w:p>
    <w:p w:rsidR="00605809" w:rsidRPr="00EC3636" w:rsidRDefault="00605809" w:rsidP="00EC3636">
      <w:pPr>
        <w:spacing w:line="360" w:lineRule="auto"/>
        <w:ind w:firstLine="1440"/>
        <w:rPr>
          <w:spacing w:val="-3"/>
          <w:sz w:val="24"/>
          <w:szCs w:val="24"/>
        </w:rPr>
      </w:pPr>
    </w:p>
    <w:p w:rsidR="00605809" w:rsidRPr="00EC3636" w:rsidRDefault="00605809" w:rsidP="00EC3636">
      <w:pPr>
        <w:spacing w:line="360" w:lineRule="auto"/>
        <w:ind w:firstLine="1440"/>
        <w:rPr>
          <w:sz w:val="24"/>
          <w:szCs w:val="24"/>
        </w:rPr>
      </w:pPr>
      <w:r w:rsidRPr="00EC3636">
        <w:rPr>
          <w:sz w:val="24"/>
          <w:szCs w:val="24"/>
        </w:rPr>
        <w:t xml:space="preserve">The Responsible Utility Customer Protection Act, 66 Pa. C.S. §§ 1401, </w:t>
      </w:r>
      <w:r w:rsidRPr="00EC3636">
        <w:rPr>
          <w:i/>
          <w:sz w:val="24"/>
          <w:szCs w:val="24"/>
        </w:rPr>
        <w:t>et seq.</w:t>
      </w:r>
      <w:r w:rsidRPr="00EC3636">
        <w:rPr>
          <w:sz w:val="24"/>
          <w:szCs w:val="24"/>
        </w:rPr>
        <w:t xml:space="preserve"> (the Act or Chapter 14) applies to this proceeding.  This law provides strict guidelines that the Commission must follow in handling customer complaints.  Section 1403 of the Public Utility Code defines “Payment Agreement” as follows:</w:t>
      </w:r>
    </w:p>
    <w:p w:rsidR="00605809" w:rsidRPr="00EC3636" w:rsidRDefault="00605809" w:rsidP="00EC3636">
      <w:pPr>
        <w:spacing w:line="360" w:lineRule="auto"/>
        <w:rPr>
          <w:sz w:val="24"/>
          <w:szCs w:val="24"/>
        </w:rPr>
      </w:pPr>
    </w:p>
    <w:p w:rsidR="00605809" w:rsidRPr="00EC3636" w:rsidRDefault="00605809" w:rsidP="00EC3636">
      <w:pPr>
        <w:ind w:left="1440" w:right="1440"/>
        <w:rPr>
          <w:sz w:val="24"/>
          <w:szCs w:val="24"/>
        </w:rPr>
      </w:pPr>
      <w:r w:rsidRPr="00EC3636">
        <w:rPr>
          <w:sz w:val="24"/>
          <w:szCs w:val="24"/>
        </w:rPr>
        <w:t>An agreement whereby a customer who admits liability for billed service is permitted to amortize or pay the unpaid balance of the account in one or more payments.</w:t>
      </w:r>
    </w:p>
    <w:p w:rsidR="00605809" w:rsidRPr="00EC3636" w:rsidRDefault="00605809" w:rsidP="00EC3636">
      <w:pPr>
        <w:ind w:left="1440" w:right="1440"/>
        <w:rPr>
          <w:sz w:val="24"/>
          <w:szCs w:val="24"/>
        </w:rPr>
      </w:pPr>
    </w:p>
    <w:p w:rsidR="00EC3636" w:rsidRDefault="00605809" w:rsidP="00EC3636">
      <w:pPr>
        <w:tabs>
          <w:tab w:val="left" w:pos="8640"/>
        </w:tabs>
        <w:ind w:left="1440" w:right="1440"/>
        <w:rPr>
          <w:sz w:val="24"/>
          <w:szCs w:val="24"/>
        </w:rPr>
      </w:pPr>
      <w:r w:rsidRPr="00EC3636">
        <w:rPr>
          <w:sz w:val="24"/>
          <w:szCs w:val="24"/>
        </w:rPr>
        <w:t xml:space="preserve">66 Pa. C.S. § 1403 (Definition of “Payment Agreement”).  </w:t>
      </w:r>
    </w:p>
    <w:p w:rsidR="00EC3636" w:rsidRDefault="00EC3636" w:rsidP="00EC3636">
      <w:pPr>
        <w:tabs>
          <w:tab w:val="left" w:pos="8640"/>
        </w:tabs>
        <w:spacing w:line="360" w:lineRule="auto"/>
        <w:ind w:left="1440" w:right="1440"/>
        <w:rPr>
          <w:sz w:val="24"/>
          <w:szCs w:val="24"/>
        </w:rPr>
      </w:pPr>
    </w:p>
    <w:p w:rsidR="00605809" w:rsidRPr="00EC3636" w:rsidRDefault="00605809" w:rsidP="00EC3636">
      <w:pPr>
        <w:spacing w:line="360" w:lineRule="auto"/>
        <w:ind w:firstLine="1440"/>
        <w:rPr>
          <w:sz w:val="24"/>
          <w:szCs w:val="24"/>
        </w:rPr>
      </w:pPr>
      <w:r w:rsidRPr="00EC3636">
        <w:rPr>
          <w:sz w:val="24"/>
          <w:szCs w:val="24"/>
        </w:rPr>
        <w:t>Section 1405 of the Public Utility Code regarding payment arrangement reads in pertinent part:</w:t>
      </w:r>
    </w:p>
    <w:p w:rsidR="00EC3636" w:rsidRDefault="00EC3636" w:rsidP="00EC3636">
      <w:pPr>
        <w:spacing w:line="360" w:lineRule="auto"/>
        <w:ind w:left="1440" w:right="1440"/>
        <w:rPr>
          <w:sz w:val="24"/>
          <w:szCs w:val="24"/>
        </w:rPr>
      </w:pPr>
    </w:p>
    <w:p w:rsidR="00553C08" w:rsidRPr="00EC3636" w:rsidRDefault="00553C08" w:rsidP="00EC3636">
      <w:pPr>
        <w:ind w:left="1440" w:right="1440"/>
        <w:rPr>
          <w:sz w:val="24"/>
          <w:szCs w:val="24"/>
        </w:rPr>
      </w:pPr>
      <w:r w:rsidRPr="00EC3636">
        <w:rPr>
          <w:sz w:val="24"/>
          <w:szCs w:val="24"/>
        </w:rPr>
        <w:t>(b)</w:t>
      </w:r>
      <w:r w:rsidRPr="00EC3636">
        <w:rPr>
          <w:sz w:val="24"/>
          <w:szCs w:val="24"/>
        </w:rPr>
        <w:tab/>
      </w:r>
      <w:r w:rsidR="00605809" w:rsidRPr="00EC3636">
        <w:rPr>
          <w:sz w:val="24"/>
          <w:szCs w:val="24"/>
        </w:rPr>
        <w:t>LENGTH OF PAYMENT AGREEMENTS-- The length of time for a customer to resolve an unpaid balance on an account that is subject to a payment agreement that is investigated by the commission and is entered into by a public utility and a cus</w:t>
      </w:r>
      <w:r w:rsidRPr="00EC3636">
        <w:rPr>
          <w:sz w:val="24"/>
          <w:szCs w:val="24"/>
        </w:rPr>
        <w:t>tomer shall not extend beyond:</w:t>
      </w:r>
      <w:r w:rsidRPr="00EC3636">
        <w:rPr>
          <w:sz w:val="24"/>
          <w:szCs w:val="24"/>
        </w:rPr>
        <w:br/>
      </w:r>
    </w:p>
    <w:p w:rsidR="00553C08" w:rsidRPr="00EC3636" w:rsidRDefault="00605809" w:rsidP="00C866E7">
      <w:pPr>
        <w:pStyle w:val="ListParagraph"/>
        <w:numPr>
          <w:ilvl w:val="0"/>
          <w:numId w:val="1"/>
        </w:numPr>
        <w:ind w:left="2880" w:right="1440" w:hanging="720"/>
        <w:rPr>
          <w:sz w:val="24"/>
          <w:szCs w:val="24"/>
        </w:rPr>
      </w:pPr>
      <w:r w:rsidRPr="00EC3636">
        <w:rPr>
          <w:sz w:val="24"/>
          <w:szCs w:val="24"/>
        </w:rPr>
        <w:t>Five years for customers with a gross monthly household income level not exceeding 150% of the Federal poverty level.</w:t>
      </w:r>
      <w:r w:rsidRPr="00EC3636">
        <w:rPr>
          <w:rStyle w:val="FootnoteReference"/>
          <w:sz w:val="24"/>
          <w:szCs w:val="24"/>
        </w:rPr>
        <w:footnoteReference w:id="2"/>
      </w:r>
      <w:r w:rsidR="00553C08" w:rsidRPr="00EC3636">
        <w:rPr>
          <w:sz w:val="24"/>
          <w:szCs w:val="24"/>
        </w:rPr>
        <w:br/>
      </w:r>
    </w:p>
    <w:p w:rsidR="00553C08" w:rsidRPr="00EC3636" w:rsidRDefault="00605809" w:rsidP="00C866E7">
      <w:pPr>
        <w:pStyle w:val="ListParagraph"/>
        <w:numPr>
          <w:ilvl w:val="0"/>
          <w:numId w:val="1"/>
        </w:numPr>
        <w:ind w:left="2880" w:right="1440" w:hanging="720"/>
        <w:rPr>
          <w:sz w:val="24"/>
          <w:szCs w:val="24"/>
        </w:rPr>
      </w:pPr>
      <w:r w:rsidRPr="00EC3636">
        <w:rPr>
          <w:sz w:val="24"/>
          <w:szCs w:val="24"/>
        </w:rPr>
        <w:t>Two years for customers with a gross monthly household income level exceeding 150% and not more than 250% of t</w:t>
      </w:r>
      <w:r w:rsidR="00553C08" w:rsidRPr="00EC3636">
        <w:rPr>
          <w:sz w:val="24"/>
          <w:szCs w:val="24"/>
        </w:rPr>
        <w:t>he Federal poverty level.</w:t>
      </w:r>
      <w:r w:rsidR="00553C08" w:rsidRPr="00EC3636">
        <w:rPr>
          <w:sz w:val="24"/>
          <w:szCs w:val="24"/>
        </w:rPr>
        <w:br/>
      </w:r>
    </w:p>
    <w:p w:rsidR="00553C08" w:rsidRPr="00EC3636" w:rsidRDefault="00605809" w:rsidP="00C866E7">
      <w:pPr>
        <w:pStyle w:val="ListParagraph"/>
        <w:numPr>
          <w:ilvl w:val="0"/>
          <w:numId w:val="1"/>
        </w:numPr>
        <w:ind w:left="2880" w:right="1440" w:hanging="720"/>
        <w:rPr>
          <w:sz w:val="24"/>
          <w:szCs w:val="24"/>
        </w:rPr>
      </w:pPr>
      <w:r w:rsidRPr="00EC3636">
        <w:rPr>
          <w:sz w:val="24"/>
          <w:szCs w:val="24"/>
        </w:rPr>
        <w:t>One year for customers with a gross monthly household income level exceeding 250% of the Federal poverty level and not more than 300% of</w:t>
      </w:r>
      <w:r w:rsidRPr="00EC3636">
        <w:rPr>
          <w:sz w:val="24"/>
          <w:szCs w:val="24"/>
        </w:rPr>
        <w:br/>
      </w:r>
      <w:r w:rsidR="00553C08" w:rsidRPr="00EC3636">
        <w:rPr>
          <w:sz w:val="24"/>
          <w:szCs w:val="24"/>
        </w:rPr>
        <w:t>the Federal poverty level.</w:t>
      </w:r>
      <w:r w:rsidR="00553C08" w:rsidRPr="00EC3636">
        <w:rPr>
          <w:sz w:val="24"/>
          <w:szCs w:val="24"/>
        </w:rPr>
        <w:br/>
      </w:r>
    </w:p>
    <w:p w:rsidR="00605809" w:rsidRPr="00EC3636" w:rsidRDefault="00605809" w:rsidP="00C866E7">
      <w:pPr>
        <w:pStyle w:val="ListParagraph"/>
        <w:numPr>
          <w:ilvl w:val="0"/>
          <w:numId w:val="1"/>
        </w:numPr>
        <w:ind w:left="2880" w:right="1440" w:hanging="720"/>
        <w:rPr>
          <w:sz w:val="24"/>
          <w:szCs w:val="24"/>
        </w:rPr>
      </w:pPr>
      <w:r w:rsidRPr="00EC3636">
        <w:rPr>
          <w:sz w:val="24"/>
          <w:szCs w:val="24"/>
        </w:rPr>
        <w:t>Six months for customers with a gross monthly household income level exceeding 300% of the Federal poverty level.</w:t>
      </w:r>
    </w:p>
    <w:p w:rsidR="00605809" w:rsidRPr="00EC3636" w:rsidRDefault="00605809" w:rsidP="00C866E7">
      <w:pPr>
        <w:ind w:left="1440" w:right="1440"/>
        <w:rPr>
          <w:sz w:val="24"/>
          <w:szCs w:val="24"/>
        </w:rPr>
      </w:pPr>
    </w:p>
    <w:p w:rsidR="00605809" w:rsidRPr="00EC3636" w:rsidRDefault="00605809" w:rsidP="00C866E7">
      <w:pPr>
        <w:ind w:left="1440" w:right="1440"/>
        <w:jc w:val="center"/>
        <w:rPr>
          <w:sz w:val="24"/>
          <w:szCs w:val="24"/>
        </w:rPr>
      </w:pPr>
      <w:r w:rsidRPr="00EC3636">
        <w:rPr>
          <w:sz w:val="24"/>
          <w:szCs w:val="24"/>
        </w:rPr>
        <w:t>*</w:t>
      </w:r>
      <w:r w:rsidRPr="00EC3636">
        <w:rPr>
          <w:sz w:val="24"/>
          <w:szCs w:val="24"/>
        </w:rPr>
        <w:tab/>
        <w:t>*</w:t>
      </w:r>
      <w:r w:rsidRPr="00EC3636">
        <w:rPr>
          <w:sz w:val="24"/>
          <w:szCs w:val="24"/>
        </w:rPr>
        <w:tab/>
        <w:t>*</w:t>
      </w:r>
    </w:p>
    <w:p w:rsidR="00605809" w:rsidRPr="00EC3636" w:rsidRDefault="00605809" w:rsidP="00C866E7">
      <w:pPr>
        <w:ind w:left="1440" w:right="1440"/>
        <w:rPr>
          <w:sz w:val="24"/>
          <w:szCs w:val="24"/>
        </w:rPr>
      </w:pPr>
    </w:p>
    <w:p w:rsidR="00605809" w:rsidRPr="00EC3636" w:rsidRDefault="007D68DE" w:rsidP="00C866E7">
      <w:pPr>
        <w:ind w:left="1440" w:right="1440"/>
        <w:rPr>
          <w:sz w:val="24"/>
          <w:szCs w:val="24"/>
        </w:rPr>
      </w:pPr>
      <w:r w:rsidRPr="00EC3636">
        <w:rPr>
          <w:sz w:val="24"/>
          <w:szCs w:val="24"/>
        </w:rPr>
        <w:t>(d)</w:t>
      </w:r>
      <w:r w:rsidRPr="00EC3636">
        <w:rPr>
          <w:sz w:val="24"/>
          <w:szCs w:val="24"/>
        </w:rPr>
        <w:tab/>
      </w:r>
      <w:r w:rsidR="00605809" w:rsidRPr="00EC3636">
        <w:rPr>
          <w:sz w:val="24"/>
          <w:szCs w:val="24"/>
        </w:rPr>
        <w:t>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605809" w:rsidRPr="00EC3636" w:rsidRDefault="00605809" w:rsidP="00C866E7">
      <w:pPr>
        <w:ind w:left="1440" w:right="1440"/>
        <w:rPr>
          <w:sz w:val="24"/>
          <w:szCs w:val="24"/>
        </w:rPr>
      </w:pPr>
    </w:p>
    <w:p w:rsidR="00605809" w:rsidRPr="00EC3636" w:rsidRDefault="00605809" w:rsidP="00C866E7">
      <w:pPr>
        <w:tabs>
          <w:tab w:val="left" w:pos="9360"/>
        </w:tabs>
        <w:ind w:left="1440" w:right="1440"/>
        <w:rPr>
          <w:sz w:val="24"/>
          <w:szCs w:val="24"/>
        </w:rPr>
      </w:pPr>
      <w:r w:rsidRPr="00EC3636">
        <w:rPr>
          <w:sz w:val="24"/>
          <w:szCs w:val="24"/>
        </w:rPr>
        <w:t xml:space="preserve">66 Pa. C.S. § 1405 (b) and (d).  </w:t>
      </w:r>
    </w:p>
    <w:p w:rsidR="00605809" w:rsidRPr="00EC3636" w:rsidRDefault="00605809" w:rsidP="00C866E7">
      <w:pPr>
        <w:spacing w:line="360" w:lineRule="auto"/>
        <w:rPr>
          <w:sz w:val="24"/>
          <w:szCs w:val="24"/>
        </w:rPr>
      </w:pPr>
    </w:p>
    <w:p w:rsidR="00605809" w:rsidRPr="00EC3636" w:rsidRDefault="00605809" w:rsidP="00EC3636">
      <w:pPr>
        <w:spacing w:line="360" w:lineRule="auto"/>
        <w:ind w:firstLine="1440"/>
        <w:rPr>
          <w:sz w:val="24"/>
          <w:szCs w:val="24"/>
        </w:rPr>
      </w:pPr>
      <w:r w:rsidRPr="00EC3636">
        <w:rPr>
          <w:sz w:val="24"/>
          <w:szCs w:val="24"/>
        </w:rPr>
        <w:lastRenderedPageBreak/>
        <w:t>Ms. Rossiter has already received one Commission-issued payment arrangement, BCS Case No. 002586230.  On September 4, 2009, BCS concluded that Complainant was a level 2 income customer with a household of four, and established a payment arrangement requesting Complainant to pay a special budget amount of $1,001.00 per month, consisting of the regular budget amount of $437.00, plus $564.00 a month towards arrearages.  PECO Exhibit 5.</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t>As stated above, while the Commission has the authority to review a payment arrangement to ensure compliance with Chapter 14 of the Public Utility Code, it lacks the authority to establish a second or subsequent payment arrangement, absent a change in a customer’s household income.  A “Change in Income” is defined in Section 1403 of the Public Utility Code as follows:</w:t>
      </w:r>
    </w:p>
    <w:p w:rsidR="00605809" w:rsidRPr="00EC3636" w:rsidRDefault="00605809" w:rsidP="00C866E7">
      <w:pPr>
        <w:spacing w:line="360" w:lineRule="auto"/>
        <w:rPr>
          <w:sz w:val="24"/>
          <w:szCs w:val="24"/>
        </w:rPr>
      </w:pPr>
    </w:p>
    <w:p w:rsidR="00605809" w:rsidRPr="00EC3636" w:rsidRDefault="00605809" w:rsidP="00C866E7">
      <w:pPr>
        <w:ind w:left="1440" w:right="1440"/>
        <w:rPr>
          <w:sz w:val="24"/>
          <w:szCs w:val="24"/>
        </w:rPr>
      </w:pPr>
      <w:r w:rsidRPr="00EC3636">
        <w:rPr>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605809" w:rsidRPr="00EC3636" w:rsidRDefault="00605809" w:rsidP="00C866E7">
      <w:pPr>
        <w:ind w:left="1440" w:right="1440"/>
        <w:rPr>
          <w:sz w:val="24"/>
          <w:szCs w:val="24"/>
        </w:rPr>
      </w:pPr>
    </w:p>
    <w:p w:rsidR="002A7043" w:rsidRPr="00EC3636" w:rsidRDefault="00605809" w:rsidP="00C866E7">
      <w:pPr>
        <w:ind w:left="1440" w:right="1440"/>
        <w:rPr>
          <w:sz w:val="24"/>
          <w:szCs w:val="24"/>
        </w:rPr>
      </w:pPr>
      <w:r w:rsidRPr="00EC3636">
        <w:rPr>
          <w:sz w:val="24"/>
          <w:szCs w:val="24"/>
        </w:rPr>
        <w:t>66 Pa. C.S. § 1403 (Defi</w:t>
      </w:r>
      <w:r w:rsidR="002A7043" w:rsidRPr="00EC3636">
        <w:rPr>
          <w:sz w:val="24"/>
          <w:szCs w:val="24"/>
        </w:rPr>
        <w:t>nition of “Change in Income”).</w:t>
      </w:r>
    </w:p>
    <w:p w:rsidR="002A7043" w:rsidRPr="00EC3636" w:rsidRDefault="002A7043" w:rsidP="00C866E7">
      <w:pPr>
        <w:ind w:left="1440" w:right="1440"/>
        <w:rPr>
          <w:sz w:val="24"/>
          <w:szCs w:val="24"/>
        </w:rPr>
      </w:pPr>
    </w:p>
    <w:p w:rsidR="002A7043" w:rsidRPr="00EC3636" w:rsidRDefault="00605809" w:rsidP="00C866E7">
      <w:pPr>
        <w:ind w:left="1440" w:right="1440"/>
        <w:rPr>
          <w:sz w:val="24"/>
          <w:szCs w:val="24"/>
        </w:rPr>
      </w:pPr>
      <w:r w:rsidRPr="00EC3636">
        <w:rPr>
          <w:sz w:val="24"/>
          <w:szCs w:val="24"/>
        </w:rPr>
        <w:t xml:space="preserve">“Household Income” is defined in Section 1403 as </w:t>
      </w:r>
      <w:r w:rsidRPr="00EC3636">
        <w:rPr>
          <w:b/>
          <w:sz w:val="24"/>
          <w:szCs w:val="24"/>
        </w:rPr>
        <w:t>“[t]he combined gross income of all adults in a residential household who benefit from the public utility service</w:t>
      </w:r>
      <w:r w:rsidRPr="00EC3636">
        <w:rPr>
          <w:sz w:val="24"/>
          <w:szCs w:val="24"/>
        </w:rPr>
        <w:t xml:space="preserve">.” (Emphasis added) </w:t>
      </w:r>
    </w:p>
    <w:p w:rsidR="002A7043" w:rsidRPr="00EC3636" w:rsidRDefault="002A7043" w:rsidP="00C866E7">
      <w:pPr>
        <w:ind w:left="1440" w:right="1440"/>
        <w:rPr>
          <w:sz w:val="24"/>
          <w:szCs w:val="24"/>
        </w:rPr>
      </w:pPr>
    </w:p>
    <w:p w:rsidR="00605809" w:rsidRPr="00EC3636" w:rsidRDefault="00605809" w:rsidP="00C866E7">
      <w:pPr>
        <w:ind w:left="1440" w:right="1440"/>
        <w:rPr>
          <w:sz w:val="24"/>
          <w:szCs w:val="24"/>
        </w:rPr>
      </w:pPr>
      <w:r w:rsidRPr="00EC3636">
        <w:rPr>
          <w:sz w:val="24"/>
          <w:szCs w:val="24"/>
        </w:rPr>
        <w:t>66 Pa. C.S. § 1403 (Definition of “Household Income”).</w:t>
      </w:r>
    </w:p>
    <w:p w:rsidR="00605809" w:rsidRPr="00EC3636" w:rsidRDefault="00605809" w:rsidP="00C866E7">
      <w:pPr>
        <w:spacing w:line="360" w:lineRule="auto"/>
        <w:rPr>
          <w:sz w:val="24"/>
          <w:szCs w:val="24"/>
        </w:rPr>
      </w:pPr>
    </w:p>
    <w:p w:rsidR="002E67E0" w:rsidRPr="00EC3636" w:rsidRDefault="002E67E0" w:rsidP="00EC3636">
      <w:pPr>
        <w:spacing w:line="360" w:lineRule="auto"/>
        <w:ind w:firstLine="1440"/>
        <w:rPr>
          <w:sz w:val="24"/>
          <w:szCs w:val="24"/>
        </w:rPr>
      </w:pPr>
      <w:r w:rsidRPr="00EC3636">
        <w:rPr>
          <w:sz w:val="24"/>
          <w:szCs w:val="24"/>
        </w:rPr>
        <w:t>During the hearing, Ms. Rossiter testified to a slight decrease in her father’s income, from $848.00 per month to $834.00 per month in social security benefits.</w:t>
      </w:r>
      <w:r w:rsidRPr="00EC3636">
        <w:rPr>
          <w:rStyle w:val="FootnoteReference"/>
          <w:sz w:val="24"/>
          <w:szCs w:val="24"/>
        </w:rPr>
        <w:footnoteReference w:id="3"/>
      </w:r>
      <w:r w:rsidRPr="00EC3636">
        <w:rPr>
          <w:sz w:val="24"/>
          <w:szCs w:val="24"/>
        </w:rPr>
        <w:t xml:space="preserve">  She also testified that her household</w:t>
      </w:r>
      <w:r w:rsidRPr="00EC3636">
        <w:rPr>
          <w:rStyle w:val="FootnoteReference"/>
          <w:sz w:val="24"/>
          <w:szCs w:val="24"/>
        </w:rPr>
        <w:footnoteReference w:id="4"/>
      </w:r>
      <w:r w:rsidRPr="00EC3636">
        <w:rPr>
          <w:sz w:val="24"/>
          <w:szCs w:val="24"/>
        </w:rPr>
        <w:t xml:space="preserve"> is comprised of five people, instead of the four she had reported to BCS in August of 2009.  Complainant’s household consists of Complainant, Complainant’s </w:t>
      </w:r>
      <w:r w:rsidRPr="00EC3636">
        <w:rPr>
          <w:sz w:val="24"/>
          <w:szCs w:val="24"/>
        </w:rPr>
        <w:lastRenderedPageBreak/>
        <w:t>father, William S. Peters, Khalil Sumler and a 14-year old girl</w:t>
      </w:r>
      <w:r w:rsidRPr="00EC3636">
        <w:rPr>
          <w:rStyle w:val="FootnoteReference"/>
          <w:sz w:val="24"/>
          <w:szCs w:val="24"/>
        </w:rPr>
        <w:footnoteReference w:id="5"/>
      </w:r>
      <w:r w:rsidRPr="00EC3636">
        <w:rPr>
          <w:sz w:val="24"/>
          <w:szCs w:val="24"/>
        </w:rPr>
        <w:t xml:space="preserve"> who is in Complainant’s legal and physical custody.  Complainant testified that Mr. Sumler’s income, which was not reported to either the BCS or the Respondent in her original CAP application, is $1,095.00 a month.  With a monthly gross income of $3,608.00</w:t>
      </w:r>
      <w:r w:rsidRPr="00EC3636">
        <w:rPr>
          <w:rStyle w:val="FootnoteReference"/>
          <w:sz w:val="24"/>
          <w:szCs w:val="24"/>
        </w:rPr>
        <w:footnoteReference w:id="6"/>
      </w:r>
      <w:r w:rsidRPr="00EC3636">
        <w:rPr>
          <w:sz w:val="24"/>
          <w:szCs w:val="24"/>
        </w:rPr>
        <w:t xml:space="preserve"> for a five-person household, Ms. Rossiter remains a level 2 income customer falling between 150% and 200% of the federal poverty level.  However, the addition of Mr. Sumler’s income to the reported household income represents an increase, rather than the 10% decrease required by 66 Pa. C.S. § 1403.</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t>For the reasons stated above, I conclude that Complainant has failed to carry her burden of proving that she has experienced “a change in income” as the term is defined in 66 Pa. C.S. § 1403.  She has failed to carry her burden of showing that she is entitled to a second Commission-issued payment arrangement.  Ms. Rossiter’s Complaint against PECO will be dismissed with prejudice.</w:t>
      </w:r>
    </w:p>
    <w:p w:rsidR="00605809" w:rsidRPr="00EC3636" w:rsidRDefault="00605809" w:rsidP="00EC3636">
      <w:pPr>
        <w:spacing w:line="360" w:lineRule="auto"/>
        <w:rPr>
          <w:sz w:val="24"/>
          <w:szCs w:val="24"/>
        </w:rPr>
      </w:pPr>
    </w:p>
    <w:p w:rsidR="00605809" w:rsidRPr="00EC3636" w:rsidRDefault="00605809" w:rsidP="00EC3636">
      <w:pPr>
        <w:spacing w:line="360" w:lineRule="auto"/>
        <w:jc w:val="center"/>
        <w:rPr>
          <w:sz w:val="24"/>
          <w:szCs w:val="24"/>
          <w:u w:val="single"/>
        </w:rPr>
      </w:pPr>
      <w:r w:rsidRPr="00EC3636">
        <w:rPr>
          <w:sz w:val="24"/>
          <w:szCs w:val="24"/>
          <w:u w:val="single"/>
        </w:rPr>
        <w:t>CONCLUSIONS OF LAW</w:t>
      </w:r>
    </w:p>
    <w:p w:rsidR="00605809" w:rsidRPr="00EC3636" w:rsidRDefault="00605809" w:rsidP="00EC3636">
      <w:pPr>
        <w:spacing w:line="360" w:lineRule="auto"/>
        <w:jc w:val="center"/>
        <w:rPr>
          <w:sz w:val="24"/>
          <w:szCs w:val="24"/>
          <w:u w:val="single"/>
        </w:rPr>
      </w:pPr>
    </w:p>
    <w:p w:rsidR="00605809" w:rsidRPr="00EC3636" w:rsidRDefault="00605809" w:rsidP="00EC3636">
      <w:pPr>
        <w:spacing w:line="360" w:lineRule="auto"/>
        <w:ind w:firstLine="1440"/>
        <w:rPr>
          <w:sz w:val="24"/>
          <w:szCs w:val="24"/>
        </w:rPr>
      </w:pPr>
      <w:r w:rsidRPr="00EC3636">
        <w:rPr>
          <w:sz w:val="24"/>
          <w:szCs w:val="24"/>
        </w:rPr>
        <w:t>1.</w:t>
      </w:r>
      <w:r w:rsidRPr="00EC3636">
        <w:rPr>
          <w:sz w:val="24"/>
          <w:szCs w:val="24"/>
        </w:rPr>
        <w:tab/>
        <w:t>The Commission has jurisdiction over the parties and the subject matter of this proceeding.  66 Pa. C.S. § 701.</w:t>
      </w:r>
    </w:p>
    <w:p w:rsidR="00605809" w:rsidRPr="00EC3636" w:rsidRDefault="00605809" w:rsidP="00EC3636">
      <w:pPr>
        <w:spacing w:line="360" w:lineRule="auto"/>
        <w:rPr>
          <w:sz w:val="24"/>
          <w:szCs w:val="24"/>
        </w:rPr>
      </w:pPr>
    </w:p>
    <w:p w:rsidR="00605809" w:rsidRPr="00EC3636" w:rsidRDefault="00605809" w:rsidP="00EC3636">
      <w:pPr>
        <w:spacing w:line="360" w:lineRule="auto"/>
        <w:ind w:firstLine="1440"/>
        <w:rPr>
          <w:sz w:val="24"/>
          <w:szCs w:val="24"/>
        </w:rPr>
      </w:pPr>
      <w:r w:rsidRPr="00EC3636">
        <w:rPr>
          <w:sz w:val="24"/>
          <w:szCs w:val="24"/>
        </w:rPr>
        <w:t>2.</w:t>
      </w:r>
      <w:r w:rsidRPr="00EC3636">
        <w:rPr>
          <w:sz w:val="24"/>
          <w:szCs w:val="24"/>
        </w:rPr>
        <w:tab/>
        <w:t>As the Complainant, Kathy Rossiter had the burden of proof.  66 Pa. C.S. § 332(a).</w:t>
      </w:r>
    </w:p>
    <w:p w:rsidR="00605809" w:rsidRPr="00EC3636" w:rsidRDefault="00605809" w:rsidP="00EC3636">
      <w:pPr>
        <w:spacing w:line="360" w:lineRule="auto"/>
        <w:rPr>
          <w:sz w:val="24"/>
          <w:szCs w:val="24"/>
        </w:rPr>
      </w:pPr>
    </w:p>
    <w:p w:rsidR="00605809" w:rsidRPr="00EC3636" w:rsidRDefault="00605809" w:rsidP="00EC3636">
      <w:pPr>
        <w:spacing w:line="360" w:lineRule="auto"/>
        <w:ind w:firstLine="1440"/>
        <w:rPr>
          <w:sz w:val="24"/>
          <w:szCs w:val="24"/>
        </w:rPr>
      </w:pPr>
      <w:r w:rsidRPr="00EC3636">
        <w:rPr>
          <w:sz w:val="24"/>
          <w:szCs w:val="24"/>
        </w:rPr>
        <w:t>3.</w:t>
      </w:r>
      <w:r w:rsidRPr="00EC3636">
        <w:rPr>
          <w:sz w:val="24"/>
          <w:szCs w:val="24"/>
        </w:rPr>
        <w:tab/>
        <w:t xml:space="preserve"> The Commission has the authority to review a payment arrangement to ensure compliance with Chapter 14 of the Public Utility Code.</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lastRenderedPageBreak/>
        <w:t>4.</w:t>
      </w:r>
      <w:r w:rsidRPr="00EC3636">
        <w:rPr>
          <w:sz w:val="24"/>
          <w:szCs w:val="24"/>
        </w:rPr>
        <w:tab/>
        <w:t xml:space="preserve">Absent a change in income, the Commission shall not establish or order a public utility to establish a second or subsequent payment agreement, if a customer has defaulted on a previous payment arrangement.  </w:t>
      </w:r>
      <w:r w:rsidRPr="00EC3636">
        <w:rPr>
          <w:sz w:val="24"/>
          <w:szCs w:val="24"/>
          <w:u w:val="single"/>
        </w:rPr>
        <w:t>See</w:t>
      </w:r>
      <w:r w:rsidRPr="00EC3636">
        <w:rPr>
          <w:sz w:val="24"/>
          <w:szCs w:val="24"/>
        </w:rPr>
        <w:t xml:space="preserve"> 66 Pa. C.S. § 1405 (d).</w:t>
      </w:r>
    </w:p>
    <w:p w:rsidR="00605809" w:rsidRPr="00EC3636" w:rsidRDefault="00605809" w:rsidP="00EC3636">
      <w:pPr>
        <w:spacing w:line="360" w:lineRule="auto"/>
        <w:rPr>
          <w:sz w:val="24"/>
          <w:szCs w:val="24"/>
        </w:rPr>
      </w:pPr>
    </w:p>
    <w:p w:rsidR="00605809" w:rsidRPr="00EC3636" w:rsidRDefault="00605809" w:rsidP="00EC3636">
      <w:pPr>
        <w:spacing w:line="360" w:lineRule="auto"/>
        <w:jc w:val="center"/>
        <w:rPr>
          <w:sz w:val="24"/>
          <w:szCs w:val="24"/>
          <w:u w:val="single"/>
        </w:rPr>
      </w:pPr>
      <w:r w:rsidRPr="00EC3636">
        <w:rPr>
          <w:sz w:val="24"/>
          <w:szCs w:val="24"/>
          <w:u w:val="single"/>
        </w:rPr>
        <w:t>ORDER</w:t>
      </w:r>
    </w:p>
    <w:p w:rsidR="00605809" w:rsidRPr="00EC3636" w:rsidRDefault="00605809" w:rsidP="00EC3636">
      <w:pPr>
        <w:spacing w:line="360" w:lineRule="auto"/>
        <w:jc w:val="center"/>
        <w:rPr>
          <w:sz w:val="24"/>
          <w:szCs w:val="24"/>
          <w:u w:val="single"/>
        </w:rPr>
      </w:pPr>
    </w:p>
    <w:p w:rsidR="002A7043" w:rsidRPr="00EC3636" w:rsidRDefault="002A7043" w:rsidP="00EC3636">
      <w:pPr>
        <w:spacing w:line="360" w:lineRule="auto"/>
        <w:jc w:val="center"/>
        <w:rPr>
          <w:sz w:val="24"/>
          <w:szCs w:val="24"/>
          <w:u w:val="single"/>
        </w:rPr>
      </w:pPr>
    </w:p>
    <w:p w:rsidR="00605809" w:rsidRPr="00EC3636" w:rsidRDefault="00605809" w:rsidP="00EC3636">
      <w:pPr>
        <w:spacing w:line="360" w:lineRule="auto"/>
        <w:ind w:firstLine="1440"/>
        <w:rPr>
          <w:sz w:val="24"/>
          <w:szCs w:val="24"/>
        </w:rPr>
      </w:pPr>
      <w:r w:rsidRPr="00EC3636">
        <w:rPr>
          <w:sz w:val="24"/>
          <w:szCs w:val="24"/>
        </w:rPr>
        <w:t>THEREFORE,</w:t>
      </w:r>
    </w:p>
    <w:p w:rsidR="00605809" w:rsidRPr="00EC3636" w:rsidRDefault="00605809" w:rsidP="00EC3636">
      <w:pPr>
        <w:spacing w:line="360" w:lineRule="auto"/>
        <w:ind w:firstLine="1440"/>
        <w:rPr>
          <w:sz w:val="24"/>
          <w:szCs w:val="24"/>
        </w:rPr>
      </w:pPr>
    </w:p>
    <w:p w:rsidR="00605809" w:rsidRPr="00EC3636" w:rsidRDefault="00605809" w:rsidP="00EC3636">
      <w:pPr>
        <w:spacing w:line="360" w:lineRule="auto"/>
        <w:ind w:firstLine="1440"/>
        <w:rPr>
          <w:sz w:val="24"/>
          <w:szCs w:val="24"/>
        </w:rPr>
      </w:pPr>
      <w:r w:rsidRPr="00EC3636">
        <w:rPr>
          <w:sz w:val="24"/>
          <w:szCs w:val="24"/>
        </w:rPr>
        <w:t xml:space="preserve">IT IS ORDERED: </w:t>
      </w:r>
    </w:p>
    <w:p w:rsidR="00605809" w:rsidRPr="00EC3636" w:rsidRDefault="00605809" w:rsidP="00EC3636">
      <w:pPr>
        <w:spacing w:line="360" w:lineRule="auto"/>
        <w:ind w:firstLine="1440"/>
        <w:rPr>
          <w:sz w:val="24"/>
          <w:szCs w:val="24"/>
        </w:rPr>
      </w:pPr>
    </w:p>
    <w:p w:rsidR="00605809" w:rsidRPr="00EC3636" w:rsidRDefault="00605809" w:rsidP="00EC3636">
      <w:pPr>
        <w:tabs>
          <w:tab w:val="num" w:pos="2160"/>
        </w:tabs>
        <w:spacing w:line="360" w:lineRule="auto"/>
        <w:ind w:firstLine="1440"/>
        <w:rPr>
          <w:sz w:val="24"/>
          <w:szCs w:val="24"/>
        </w:rPr>
      </w:pPr>
      <w:r w:rsidRPr="00EC3636">
        <w:rPr>
          <w:sz w:val="24"/>
          <w:szCs w:val="24"/>
        </w:rPr>
        <w:t>1.</w:t>
      </w:r>
      <w:r w:rsidRPr="00EC3636">
        <w:rPr>
          <w:sz w:val="24"/>
          <w:szCs w:val="24"/>
        </w:rPr>
        <w:tab/>
        <w:t xml:space="preserve">That the Formal Complaint filed by Kathy Rossiter against PECO Energy Company at Docket No. </w:t>
      </w:r>
      <w:r w:rsidRPr="00EC3636">
        <w:rPr>
          <w:spacing w:val="-3"/>
          <w:sz w:val="24"/>
          <w:szCs w:val="24"/>
        </w:rPr>
        <w:t xml:space="preserve">C-2009-2140532 </w:t>
      </w:r>
      <w:r w:rsidRPr="00EC3636">
        <w:rPr>
          <w:sz w:val="24"/>
          <w:szCs w:val="24"/>
        </w:rPr>
        <w:t>is dismissed in its entirety, with prejudice.</w:t>
      </w:r>
    </w:p>
    <w:p w:rsidR="00605809" w:rsidRPr="00EC3636" w:rsidRDefault="00605809" w:rsidP="00EC3636">
      <w:pPr>
        <w:spacing w:line="360" w:lineRule="auto"/>
        <w:rPr>
          <w:sz w:val="24"/>
          <w:szCs w:val="24"/>
        </w:rPr>
      </w:pPr>
    </w:p>
    <w:p w:rsidR="00605809" w:rsidRPr="00EC3636" w:rsidRDefault="00605809" w:rsidP="00EC3636">
      <w:pPr>
        <w:spacing w:line="360" w:lineRule="auto"/>
        <w:ind w:firstLine="1440"/>
        <w:rPr>
          <w:sz w:val="24"/>
          <w:szCs w:val="24"/>
        </w:rPr>
      </w:pPr>
      <w:r w:rsidRPr="00EC3636">
        <w:rPr>
          <w:sz w:val="24"/>
          <w:szCs w:val="24"/>
        </w:rPr>
        <w:t>2.</w:t>
      </w:r>
      <w:r w:rsidRPr="00EC3636">
        <w:rPr>
          <w:sz w:val="24"/>
          <w:szCs w:val="24"/>
        </w:rPr>
        <w:tab/>
        <w:t xml:space="preserve">That the record at Docket No. </w:t>
      </w:r>
      <w:r w:rsidRPr="00EC3636">
        <w:rPr>
          <w:spacing w:val="-3"/>
          <w:sz w:val="24"/>
          <w:szCs w:val="24"/>
        </w:rPr>
        <w:t xml:space="preserve">C-2009-2140532 </w:t>
      </w:r>
      <w:r w:rsidRPr="00EC3636">
        <w:rPr>
          <w:sz w:val="24"/>
          <w:szCs w:val="24"/>
        </w:rPr>
        <w:t>is marked closed.</w:t>
      </w:r>
    </w:p>
    <w:p w:rsidR="00605809" w:rsidRPr="00EC3636" w:rsidRDefault="00605809" w:rsidP="00EC3636">
      <w:pPr>
        <w:spacing w:line="360" w:lineRule="auto"/>
        <w:ind w:firstLine="1440"/>
        <w:rPr>
          <w:sz w:val="24"/>
          <w:szCs w:val="24"/>
        </w:rPr>
      </w:pPr>
    </w:p>
    <w:p w:rsidR="00605809" w:rsidRPr="00EC3636" w:rsidRDefault="00605809" w:rsidP="00EC3636">
      <w:pPr>
        <w:tabs>
          <w:tab w:val="left" w:pos="-1440"/>
          <w:tab w:val="left" w:pos="-720"/>
        </w:tabs>
        <w:suppressAutoHyphens/>
        <w:spacing w:line="360" w:lineRule="auto"/>
        <w:rPr>
          <w:spacing w:val="-3"/>
          <w:sz w:val="24"/>
          <w:szCs w:val="24"/>
        </w:rPr>
      </w:pPr>
    </w:p>
    <w:tbl>
      <w:tblPr>
        <w:tblW w:w="0" w:type="auto"/>
        <w:tblLayout w:type="fixed"/>
        <w:tblLook w:val="0000"/>
      </w:tblPr>
      <w:tblGrid>
        <w:gridCol w:w="1098"/>
        <w:gridCol w:w="2340"/>
        <w:gridCol w:w="1710"/>
        <w:gridCol w:w="4428"/>
      </w:tblGrid>
      <w:tr w:rsidR="00605809" w:rsidRPr="00EC3636" w:rsidTr="001D2BCB">
        <w:tc>
          <w:tcPr>
            <w:tcW w:w="1098" w:type="dxa"/>
          </w:tcPr>
          <w:p w:rsidR="00605809" w:rsidRPr="00EC3636" w:rsidRDefault="00605809" w:rsidP="00EC3636">
            <w:pPr>
              <w:jc w:val="both"/>
              <w:rPr>
                <w:sz w:val="24"/>
                <w:szCs w:val="24"/>
              </w:rPr>
            </w:pPr>
            <w:r w:rsidRPr="00EC3636">
              <w:rPr>
                <w:sz w:val="24"/>
                <w:szCs w:val="24"/>
              </w:rPr>
              <w:t>Date:</w:t>
            </w:r>
          </w:p>
        </w:tc>
        <w:tc>
          <w:tcPr>
            <w:tcW w:w="2340" w:type="dxa"/>
          </w:tcPr>
          <w:p w:rsidR="00605809" w:rsidRPr="00EC3636" w:rsidRDefault="002E67E0" w:rsidP="00EC3636">
            <w:pPr>
              <w:rPr>
                <w:sz w:val="24"/>
                <w:szCs w:val="24"/>
                <w:u w:val="single"/>
              </w:rPr>
            </w:pPr>
            <w:r w:rsidRPr="00EC3636">
              <w:rPr>
                <w:sz w:val="24"/>
                <w:szCs w:val="24"/>
                <w:u w:val="single"/>
              </w:rPr>
              <w:t>August 20</w:t>
            </w:r>
            <w:r w:rsidR="00605809" w:rsidRPr="00EC3636">
              <w:rPr>
                <w:sz w:val="24"/>
                <w:szCs w:val="24"/>
                <w:u w:val="single"/>
              </w:rPr>
              <w:t>, 2010</w:t>
            </w:r>
          </w:p>
        </w:tc>
        <w:tc>
          <w:tcPr>
            <w:tcW w:w="1710" w:type="dxa"/>
            <w:tcBorders>
              <w:left w:val="nil"/>
            </w:tcBorders>
          </w:tcPr>
          <w:p w:rsidR="00605809" w:rsidRPr="00EC3636" w:rsidRDefault="00605809" w:rsidP="00EC3636">
            <w:pPr>
              <w:jc w:val="both"/>
              <w:rPr>
                <w:sz w:val="24"/>
                <w:szCs w:val="24"/>
              </w:rPr>
            </w:pPr>
          </w:p>
        </w:tc>
        <w:tc>
          <w:tcPr>
            <w:tcW w:w="4428" w:type="dxa"/>
            <w:tcBorders>
              <w:bottom w:val="single" w:sz="6" w:space="0" w:color="auto"/>
            </w:tcBorders>
          </w:tcPr>
          <w:p w:rsidR="00605809" w:rsidRPr="00EC3636" w:rsidRDefault="00605809" w:rsidP="00EC3636">
            <w:pPr>
              <w:jc w:val="both"/>
              <w:rPr>
                <w:sz w:val="24"/>
                <w:szCs w:val="24"/>
              </w:rPr>
            </w:pPr>
          </w:p>
        </w:tc>
      </w:tr>
      <w:tr w:rsidR="00605809" w:rsidRPr="00EC3636" w:rsidTr="001D2BCB">
        <w:tc>
          <w:tcPr>
            <w:tcW w:w="1098" w:type="dxa"/>
          </w:tcPr>
          <w:p w:rsidR="00605809" w:rsidRPr="00EC3636" w:rsidRDefault="00605809" w:rsidP="00EC3636">
            <w:pPr>
              <w:jc w:val="both"/>
              <w:rPr>
                <w:sz w:val="24"/>
                <w:szCs w:val="24"/>
              </w:rPr>
            </w:pPr>
          </w:p>
        </w:tc>
        <w:tc>
          <w:tcPr>
            <w:tcW w:w="2340" w:type="dxa"/>
          </w:tcPr>
          <w:p w:rsidR="00605809" w:rsidRPr="00EC3636" w:rsidRDefault="00605809" w:rsidP="00EC3636">
            <w:pPr>
              <w:jc w:val="both"/>
              <w:rPr>
                <w:sz w:val="24"/>
                <w:szCs w:val="24"/>
              </w:rPr>
            </w:pPr>
          </w:p>
        </w:tc>
        <w:tc>
          <w:tcPr>
            <w:tcW w:w="1710" w:type="dxa"/>
          </w:tcPr>
          <w:p w:rsidR="00605809" w:rsidRPr="00EC3636" w:rsidRDefault="00605809" w:rsidP="00EC3636">
            <w:pPr>
              <w:jc w:val="both"/>
              <w:rPr>
                <w:sz w:val="24"/>
                <w:szCs w:val="24"/>
              </w:rPr>
            </w:pPr>
          </w:p>
        </w:tc>
        <w:tc>
          <w:tcPr>
            <w:tcW w:w="4428" w:type="dxa"/>
          </w:tcPr>
          <w:p w:rsidR="00605809" w:rsidRPr="00EC3636" w:rsidRDefault="00605809" w:rsidP="00EC3636">
            <w:pPr>
              <w:rPr>
                <w:sz w:val="24"/>
                <w:szCs w:val="24"/>
              </w:rPr>
            </w:pPr>
            <w:r w:rsidRPr="00EC3636">
              <w:rPr>
                <w:sz w:val="24"/>
                <w:szCs w:val="24"/>
              </w:rPr>
              <w:t>Eranda Vero</w:t>
            </w:r>
          </w:p>
        </w:tc>
      </w:tr>
      <w:tr w:rsidR="00605809" w:rsidRPr="00EC3636" w:rsidTr="001D2BCB">
        <w:tc>
          <w:tcPr>
            <w:tcW w:w="1098" w:type="dxa"/>
          </w:tcPr>
          <w:p w:rsidR="00605809" w:rsidRPr="00EC3636" w:rsidRDefault="00605809" w:rsidP="00EC3636">
            <w:pPr>
              <w:jc w:val="both"/>
              <w:rPr>
                <w:sz w:val="24"/>
                <w:szCs w:val="24"/>
              </w:rPr>
            </w:pPr>
          </w:p>
        </w:tc>
        <w:tc>
          <w:tcPr>
            <w:tcW w:w="2340" w:type="dxa"/>
          </w:tcPr>
          <w:p w:rsidR="00605809" w:rsidRPr="00EC3636" w:rsidRDefault="00605809" w:rsidP="00EC3636">
            <w:pPr>
              <w:jc w:val="both"/>
              <w:rPr>
                <w:sz w:val="24"/>
                <w:szCs w:val="24"/>
              </w:rPr>
            </w:pPr>
          </w:p>
        </w:tc>
        <w:tc>
          <w:tcPr>
            <w:tcW w:w="1710" w:type="dxa"/>
          </w:tcPr>
          <w:p w:rsidR="00605809" w:rsidRPr="00EC3636" w:rsidRDefault="00605809" w:rsidP="00EC3636">
            <w:pPr>
              <w:jc w:val="both"/>
              <w:rPr>
                <w:sz w:val="24"/>
                <w:szCs w:val="24"/>
              </w:rPr>
            </w:pPr>
          </w:p>
        </w:tc>
        <w:tc>
          <w:tcPr>
            <w:tcW w:w="4428" w:type="dxa"/>
          </w:tcPr>
          <w:p w:rsidR="00605809" w:rsidRPr="00EC3636" w:rsidRDefault="00605809" w:rsidP="00EC3636">
            <w:pPr>
              <w:rPr>
                <w:sz w:val="24"/>
                <w:szCs w:val="24"/>
              </w:rPr>
            </w:pPr>
            <w:r w:rsidRPr="00EC3636">
              <w:rPr>
                <w:sz w:val="24"/>
                <w:szCs w:val="24"/>
              </w:rPr>
              <w:t>Special Agent</w:t>
            </w:r>
          </w:p>
        </w:tc>
      </w:tr>
      <w:tr w:rsidR="00605809" w:rsidRPr="00EC3636" w:rsidTr="001D2BCB">
        <w:tc>
          <w:tcPr>
            <w:tcW w:w="1098" w:type="dxa"/>
          </w:tcPr>
          <w:p w:rsidR="00605809" w:rsidRPr="00EC3636" w:rsidRDefault="00605809" w:rsidP="00EC3636">
            <w:pPr>
              <w:jc w:val="both"/>
              <w:rPr>
                <w:sz w:val="24"/>
                <w:szCs w:val="24"/>
              </w:rPr>
            </w:pPr>
          </w:p>
        </w:tc>
        <w:tc>
          <w:tcPr>
            <w:tcW w:w="2340" w:type="dxa"/>
          </w:tcPr>
          <w:p w:rsidR="00605809" w:rsidRPr="00EC3636" w:rsidRDefault="00605809" w:rsidP="00EC3636">
            <w:pPr>
              <w:jc w:val="both"/>
              <w:rPr>
                <w:sz w:val="24"/>
                <w:szCs w:val="24"/>
              </w:rPr>
            </w:pPr>
          </w:p>
        </w:tc>
        <w:tc>
          <w:tcPr>
            <w:tcW w:w="1710" w:type="dxa"/>
          </w:tcPr>
          <w:p w:rsidR="00605809" w:rsidRPr="00EC3636" w:rsidRDefault="00605809" w:rsidP="00EC3636">
            <w:pPr>
              <w:jc w:val="both"/>
              <w:rPr>
                <w:sz w:val="24"/>
                <w:szCs w:val="24"/>
              </w:rPr>
            </w:pPr>
          </w:p>
        </w:tc>
        <w:tc>
          <w:tcPr>
            <w:tcW w:w="4428" w:type="dxa"/>
          </w:tcPr>
          <w:p w:rsidR="00605809" w:rsidRPr="00EC3636" w:rsidRDefault="00605809" w:rsidP="00EC3636">
            <w:pPr>
              <w:rPr>
                <w:sz w:val="24"/>
                <w:szCs w:val="24"/>
              </w:rPr>
            </w:pPr>
          </w:p>
        </w:tc>
      </w:tr>
    </w:tbl>
    <w:p w:rsidR="00F90038" w:rsidRPr="00EC3636" w:rsidRDefault="00F90038" w:rsidP="00EC3636">
      <w:pPr>
        <w:rPr>
          <w:sz w:val="24"/>
          <w:szCs w:val="24"/>
        </w:rPr>
      </w:pPr>
    </w:p>
    <w:sectPr w:rsidR="00F90038" w:rsidRPr="00EC3636" w:rsidSect="00F02742">
      <w:footerReference w:type="even" r:id="rId7"/>
      <w:footerReference w:type="default" r:id="rId8"/>
      <w:endnotePr>
        <w:numFmt w:val="decimal"/>
      </w:endnotePr>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248" w:rsidRDefault="007D6248" w:rsidP="00605809">
      <w:r>
        <w:separator/>
      </w:r>
    </w:p>
  </w:endnote>
  <w:endnote w:type="continuationSeparator" w:id="0">
    <w:p w:rsidR="007D6248" w:rsidRDefault="007D6248" w:rsidP="00605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CA" w:rsidRDefault="00297F4A">
    <w:pPr>
      <w:pStyle w:val="Footer"/>
      <w:framePr w:wrap="around" w:vAnchor="text" w:hAnchor="margin" w:xAlign="center" w:y="1"/>
      <w:rPr>
        <w:rStyle w:val="PageNumber"/>
      </w:rPr>
    </w:pPr>
    <w:r>
      <w:rPr>
        <w:rStyle w:val="PageNumber"/>
      </w:rPr>
      <w:fldChar w:fldCharType="begin"/>
    </w:r>
    <w:r w:rsidR="0031292A">
      <w:rPr>
        <w:rStyle w:val="PageNumber"/>
      </w:rPr>
      <w:instrText xml:space="preserve">PAGE  </w:instrText>
    </w:r>
    <w:r>
      <w:rPr>
        <w:rStyle w:val="PageNumber"/>
      </w:rPr>
      <w:fldChar w:fldCharType="end"/>
    </w:r>
  </w:p>
  <w:p w:rsidR="008869CA" w:rsidRDefault="007D6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9CA" w:rsidRPr="004A7D75" w:rsidRDefault="00297F4A">
    <w:pPr>
      <w:pStyle w:val="Footer"/>
      <w:framePr w:wrap="around" w:vAnchor="text" w:hAnchor="margin" w:xAlign="center" w:y="1"/>
      <w:rPr>
        <w:rStyle w:val="PageNumber"/>
        <w:sz w:val="20"/>
      </w:rPr>
    </w:pPr>
    <w:r w:rsidRPr="004A7D75">
      <w:rPr>
        <w:rStyle w:val="PageNumber"/>
        <w:sz w:val="20"/>
      </w:rPr>
      <w:fldChar w:fldCharType="begin"/>
    </w:r>
    <w:r w:rsidR="0031292A" w:rsidRPr="004A7D75">
      <w:rPr>
        <w:rStyle w:val="PageNumber"/>
        <w:sz w:val="20"/>
      </w:rPr>
      <w:instrText xml:space="preserve">PAGE  </w:instrText>
    </w:r>
    <w:r w:rsidRPr="004A7D75">
      <w:rPr>
        <w:rStyle w:val="PageNumber"/>
        <w:sz w:val="20"/>
      </w:rPr>
      <w:fldChar w:fldCharType="separate"/>
    </w:r>
    <w:r w:rsidR="00446B0F">
      <w:rPr>
        <w:rStyle w:val="PageNumber"/>
        <w:noProof/>
        <w:sz w:val="20"/>
      </w:rPr>
      <w:t>9</w:t>
    </w:r>
    <w:r w:rsidRPr="004A7D75">
      <w:rPr>
        <w:rStyle w:val="PageNumber"/>
        <w:sz w:val="20"/>
      </w:rPr>
      <w:fldChar w:fldCharType="end"/>
    </w:r>
  </w:p>
  <w:p w:rsidR="008869CA" w:rsidRDefault="007D6248" w:rsidP="00510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248" w:rsidRDefault="007D6248" w:rsidP="00605809">
      <w:r>
        <w:separator/>
      </w:r>
    </w:p>
  </w:footnote>
  <w:footnote w:type="continuationSeparator" w:id="0">
    <w:p w:rsidR="007D6248" w:rsidRDefault="007D6248" w:rsidP="00605809">
      <w:r>
        <w:continuationSeparator/>
      </w:r>
    </w:p>
  </w:footnote>
  <w:footnote w:id="1">
    <w:p w:rsidR="00605809" w:rsidRDefault="00605809" w:rsidP="00605809">
      <w:pPr>
        <w:pStyle w:val="FootnoteText"/>
      </w:pPr>
      <w:r>
        <w:rPr>
          <w:rStyle w:val="FootnoteReference"/>
        </w:rPr>
        <w:footnoteRef/>
      </w:r>
      <w:r>
        <w:t xml:space="preserve"> </w:t>
      </w:r>
      <w:r w:rsidR="004A7D75">
        <w:tab/>
      </w:r>
      <w:r>
        <w:t>Both the Hearing Notice and the Prehearing Order drew attention to the new address for the Commission’s Philadelphia District Office located at 801 Market Street.</w:t>
      </w:r>
    </w:p>
  </w:footnote>
  <w:footnote w:id="2">
    <w:p w:rsidR="00605809" w:rsidRDefault="00605809" w:rsidP="00605809">
      <w:pPr>
        <w:pStyle w:val="FootnoteText"/>
      </w:pPr>
      <w:r>
        <w:rPr>
          <w:rStyle w:val="FootnoteReference"/>
        </w:rPr>
        <w:footnoteRef/>
      </w:r>
      <w:r>
        <w:t xml:space="preserve"> </w:t>
      </w:r>
      <w:r w:rsidR="007D68DE">
        <w:tab/>
      </w:r>
      <w:r>
        <w:t xml:space="preserve">For the year 2010, the federal poverty level for a household of five </w:t>
      </w:r>
      <w:r w:rsidRPr="00C031E1">
        <w:t xml:space="preserve">is at $25,790.00 </w:t>
      </w:r>
      <w:r>
        <w:t xml:space="preserve">of </w:t>
      </w:r>
      <w:r w:rsidRPr="00C031E1">
        <w:t>gross annual income.</w:t>
      </w:r>
    </w:p>
  </w:footnote>
  <w:footnote w:id="3">
    <w:p w:rsidR="002E67E0" w:rsidRDefault="002E67E0" w:rsidP="002E67E0">
      <w:pPr>
        <w:pStyle w:val="FootnoteText"/>
      </w:pPr>
      <w:r>
        <w:rPr>
          <w:rStyle w:val="FootnoteReference"/>
        </w:rPr>
        <w:footnoteRef/>
      </w:r>
      <w:r>
        <w:t xml:space="preserve"> </w:t>
      </w:r>
      <w:r w:rsidR="00C866E7">
        <w:tab/>
      </w:r>
      <w:r>
        <w:t xml:space="preserve">Complainant testified that she had erroneously reported the higher income </w:t>
      </w:r>
      <w:r w:rsidRPr="00727B69">
        <w:t>to BCS in BCS Case No. 002586230</w:t>
      </w:r>
      <w:r>
        <w:t>,</w:t>
      </w:r>
      <w:r w:rsidRPr="00727B69">
        <w:t xml:space="preserve"> and to </w:t>
      </w:r>
      <w:r w:rsidRPr="00B403B4">
        <w:t>the Respondent in her Customer Assistance Program (CAP) application form.</w:t>
      </w:r>
    </w:p>
    <w:p w:rsidR="00C866E7" w:rsidRPr="00B403B4" w:rsidRDefault="00C866E7" w:rsidP="002E67E0">
      <w:pPr>
        <w:pStyle w:val="FootnoteText"/>
      </w:pPr>
    </w:p>
  </w:footnote>
  <w:footnote w:id="4">
    <w:p w:rsidR="002E67E0" w:rsidRDefault="002E67E0" w:rsidP="002E67E0">
      <w:pPr>
        <w:pStyle w:val="FootnoteText"/>
      </w:pPr>
      <w:r w:rsidRPr="00B403B4">
        <w:rPr>
          <w:rStyle w:val="FootnoteReference"/>
        </w:rPr>
        <w:footnoteRef/>
      </w:r>
      <w:r w:rsidRPr="00B403B4">
        <w:t xml:space="preserve"> </w:t>
      </w:r>
      <w:r w:rsidR="00C866E7">
        <w:tab/>
      </w:r>
      <w:r w:rsidRPr="00B403B4">
        <w:t xml:space="preserve">“Household” </w:t>
      </w:r>
      <w:r>
        <w:t>–</w:t>
      </w:r>
      <w:r w:rsidRPr="00B403B4">
        <w:t xml:space="preserve"> </w:t>
      </w:r>
      <w:r w:rsidRPr="00753B7A">
        <w:rPr>
          <w:i/>
        </w:rPr>
        <w:t>n,</w:t>
      </w:r>
      <w:r>
        <w:t xml:space="preserve"> </w:t>
      </w:r>
      <w:r w:rsidRPr="00753B7A">
        <w:rPr>
          <w:b/>
        </w:rPr>
        <w:t>1.</w:t>
      </w:r>
      <w:r>
        <w:t xml:space="preserve"> A family living together. </w:t>
      </w:r>
      <w:r w:rsidRPr="00753B7A">
        <w:rPr>
          <w:b/>
        </w:rPr>
        <w:t>2.</w:t>
      </w:r>
      <w:r>
        <w:t xml:space="preserve"> A group of people who dwell under the same roof.  Blacks’ Law Dictionary, 756 (8</w:t>
      </w:r>
      <w:r w:rsidRPr="00EE1B75">
        <w:rPr>
          <w:vertAlign w:val="superscript"/>
        </w:rPr>
        <w:t>th</w:t>
      </w:r>
      <w:r>
        <w:t xml:space="preserve"> ed. 2004).  </w:t>
      </w:r>
    </w:p>
    <w:p w:rsidR="002E67E0" w:rsidRPr="000261D7" w:rsidRDefault="002E67E0" w:rsidP="00C866E7">
      <w:pPr>
        <w:pStyle w:val="FootnoteText"/>
        <w:ind w:firstLine="720"/>
      </w:pPr>
      <w:r>
        <w:t xml:space="preserve">“Household” - </w:t>
      </w:r>
      <w:r w:rsidRPr="00B403B4">
        <w:t xml:space="preserve">those who dwell under the same roof and compose a family; </w:t>
      </w:r>
      <w:r w:rsidR="00446B0F" w:rsidRPr="00B403B4">
        <w:rPr>
          <w:i/>
          <w:iCs/>
        </w:rPr>
        <w:t>also</w:t>
      </w:r>
      <w:r w:rsidR="00446B0F" w:rsidRPr="00B403B4">
        <w:t>:</w:t>
      </w:r>
      <w:r w:rsidRPr="00B403B4">
        <w:t xml:space="preserve"> a social unit composed of those living </w:t>
      </w:r>
      <w:r w:rsidRPr="000261D7">
        <w:t>together in the same dwelling. http://www.merriam-webster.com/dictionary/household.</w:t>
      </w:r>
    </w:p>
  </w:footnote>
  <w:footnote w:id="5">
    <w:p w:rsidR="002E67E0" w:rsidRDefault="002E67E0" w:rsidP="002E67E0">
      <w:pPr>
        <w:pStyle w:val="FootnoteText"/>
      </w:pPr>
      <w:r w:rsidRPr="000261D7">
        <w:rPr>
          <w:rStyle w:val="FootnoteReference"/>
        </w:rPr>
        <w:footnoteRef/>
      </w:r>
      <w:r w:rsidRPr="000261D7">
        <w:t xml:space="preserve"> </w:t>
      </w:r>
      <w:r w:rsidR="0059331C">
        <w:tab/>
      </w:r>
      <w:r>
        <w:t>The 14-</w:t>
      </w:r>
      <w:r w:rsidRPr="000261D7">
        <w:t>year old girl in Ms. Ro</w:t>
      </w:r>
      <w:r w:rsidR="00446B0F">
        <w:t>s</w:t>
      </w:r>
      <w:r w:rsidRPr="000261D7">
        <w:t>siter’s custody receives $200</w:t>
      </w:r>
      <w:r>
        <w:t>.00</w:t>
      </w:r>
      <w:r w:rsidRPr="000261D7">
        <w:t xml:space="preserve"> a month from the Pennsylvania Department of Public Welfare.  Tr. 12.</w:t>
      </w:r>
      <w:r>
        <w:t xml:space="preserve">  For Commission’s treatment of public assistance funds for minors, see </w:t>
      </w:r>
      <w:r>
        <w:rPr>
          <w:u w:val="single"/>
        </w:rPr>
        <w:t>Andre Overton v. Na</w:t>
      </w:r>
      <w:r w:rsidRPr="006D578C">
        <w:rPr>
          <w:u w:val="single"/>
        </w:rPr>
        <w:t>tional Fuel Gas</w:t>
      </w:r>
      <w:r>
        <w:t>, Docket No. C-2008-2060168 (Motion of Commissioner Gardner) (No Final Order entered as of the day of this Initial Decision).</w:t>
      </w:r>
    </w:p>
    <w:p w:rsidR="0059331C" w:rsidRDefault="0059331C" w:rsidP="002E67E0">
      <w:pPr>
        <w:pStyle w:val="FootnoteText"/>
      </w:pPr>
    </w:p>
  </w:footnote>
  <w:footnote w:id="6">
    <w:p w:rsidR="002E67E0" w:rsidRDefault="002E67E0" w:rsidP="002E67E0">
      <w:pPr>
        <w:pStyle w:val="FootnoteText"/>
      </w:pPr>
      <w:r w:rsidRPr="00B403B4">
        <w:rPr>
          <w:rStyle w:val="FootnoteReference"/>
        </w:rPr>
        <w:footnoteRef/>
      </w:r>
      <w:r w:rsidRPr="00B403B4">
        <w:t xml:space="preserve"> </w:t>
      </w:r>
      <w:r w:rsidR="0059331C">
        <w:tab/>
      </w:r>
      <w:r w:rsidRPr="00B403B4">
        <w:t xml:space="preserve">Kathy Rossiter’s income is $17,808.00/year ($318.00/week  x 52 weeks/year); her father’s income is $12,348.00/year (($834.00/month +$195.00/month) x 12 months/year); Kahlil Sumler’s income is $13,140.00/year ($1,095.00/month x 12 months/year).  </w:t>
      </w:r>
      <w:r>
        <w:t>Based on this information, the annual gross income of Kathy Rossiter’s household is $43,296.00, or $3,608.00 per month.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5EA3"/>
    <w:multiLevelType w:val="hybridMultilevel"/>
    <w:tmpl w:val="606C6A00"/>
    <w:lvl w:ilvl="0" w:tplc="95D207E0">
      <w:start w:val="1"/>
      <w:numFmt w:val="decimal"/>
      <w:lvlText w:val="(%1)"/>
      <w:lvlJc w:val="left"/>
      <w:pPr>
        <w:ind w:left="5040" w:hanging="144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endnote w:id="-1"/>
    <w:endnote w:id="0"/>
  </w:endnotePr>
  <w:compat/>
  <w:rsids>
    <w:rsidRoot w:val="00605809"/>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26DC"/>
    <w:rsid w:val="000336F2"/>
    <w:rsid w:val="0003399E"/>
    <w:rsid w:val="000353F1"/>
    <w:rsid w:val="000376F9"/>
    <w:rsid w:val="000403CD"/>
    <w:rsid w:val="000407AC"/>
    <w:rsid w:val="0005066D"/>
    <w:rsid w:val="0005071B"/>
    <w:rsid w:val="00050E0C"/>
    <w:rsid w:val="0005286E"/>
    <w:rsid w:val="000609B6"/>
    <w:rsid w:val="00060AB8"/>
    <w:rsid w:val="00061364"/>
    <w:rsid w:val="0006608A"/>
    <w:rsid w:val="000660E2"/>
    <w:rsid w:val="000673AB"/>
    <w:rsid w:val="000700AB"/>
    <w:rsid w:val="000725BE"/>
    <w:rsid w:val="00075E7E"/>
    <w:rsid w:val="00077BC2"/>
    <w:rsid w:val="00086351"/>
    <w:rsid w:val="0009147B"/>
    <w:rsid w:val="00092F06"/>
    <w:rsid w:val="000943BE"/>
    <w:rsid w:val="000964CC"/>
    <w:rsid w:val="000974B4"/>
    <w:rsid w:val="000977CD"/>
    <w:rsid w:val="00097A4C"/>
    <w:rsid w:val="000A0A9C"/>
    <w:rsid w:val="000A18DD"/>
    <w:rsid w:val="000A3309"/>
    <w:rsid w:val="000A4939"/>
    <w:rsid w:val="000A5469"/>
    <w:rsid w:val="000A725A"/>
    <w:rsid w:val="000B0A10"/>
    <w:rsid w:val="000B3AB8"/>
    <w:rsid w:val="000B3BA5"/>
    <w:rsid w:val="000B4A89"/>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033F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97F4A"/>
    <w:rsid w:val="002A2E7D"/>
    <w:rsid w:val="002A3298"/>
    <w:rsid w:val="002A53D2"/>
    <w:rsid w:val="002A7043"/>
    <w:rsid w:val="002A720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7E0"/>
    <w:rsid w:val="002E6905"/>
    <w:rsid w:val="002E6D1D"/>
    <w:rsid w:val="003008BF"/>
    <w:rsid w:val="00300ADA"/>
    <w:rsid w:val="003038CC"/>
    <w:rsid w:val="00306F18"/>
    <w:rsid w:val="00307285"/>
    <w:rsid w:val="0031235C"/>
    <w:rsid w:val="0031292A"/>
    <w:rsid w:val="00313180"/>
    <w:rsid w:val="00316451"/>
    <w:rsid w:val="00320B24"/>
    <w:rsid w:val="00321BB7"/>
    <w:rsid w:val="00325A42"/>
    <w:rsid w:val="003265E4"/>
    <w:rsid w:val="00330E4F"/>
    <w:rsid w:val="00337261"/>
    <w:rsid w:val="003379C3"/>
    <w:rsid w:val="00342A67"/>
    <w:rsid w:val="00344769"/>
    <w:rsid w:val="00350C1F"/>
    <w:rsid w:val="00354C10"/>
    <w:rsid w:val="00360EC5"/>
    <w:rsid w:val="00362A8B"/>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7E07"/>
    <w:rsid w:val="00412CE2"/>
    <w:rsid w:val="00414098"/>
    <w:rsid w:val="00417673"/>
    <w:rsid w:val="00422E20"/>
    <w:rsid w:val="00423119"/>
    <w:rsid w:val="004251AB"/>
    <w:rsid w:val="00425A4A"/>
    <w:rsid w:val="00426CB2"/>
    <w:rsid w:val="004279C9"/>
    <w:rsid w:val="004337C3"/>
    <w:rsid w:val="0043400C"/>
    <w:rsid w:val="004364A8"/>
    <w:rsid w:val="00437530"/>
    <w:rsid w:val="00437681"/>
    <w:rsid w:val="004400EC"/>
    <w:rsid w:val="004430B2"/>
    <w:rsid w:val="00446B0F"/>
    <w:rsid w:val="00447FAF"/>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A7D75"/>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0509"/>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3C08"/>
    <w:rsid w:val="005559B7"/>
    <w:rsid w:val="00555D0E"/>
    <w:rsid w:val="00557EF4"/>
    <w:rsid w:val="00560968"/>
    <w:rsid w:val="005609C7"/>
    <w:rsid w:val="005617F1"/>
    <w:rsid w:val="00562172"/>
    <w:rsid w:val="00570821"/>
    <w:rsid w:val="00574F21"/>
    <w:rsid w:val="00575775"/>
    <w:rsid w:val="005806B1"/>
    <w:rsid w:val="00583280"/>
    <w:rsid w:val="00590A6C"/>
    <w:rsid w:val="00592F9A"/>
    <w:rsid w:val="0059331C"/>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809"/>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2851"/>
    <w:rsid w:val="006B2B42"/>
    <w:rsid w:val="006B3FE8"/>
    <w:rsid w:val="006B57B3"/>
    <w:rsid w:val="006B5C09"/>
    <w:rsid w:val="006B6844"/>
    <w:rsid w:val="006B7019"/>
    <w:rsid w:val="006C05B0"/>
    <w:rsid w:val="006C1226"/>
    <w:rsid w:val="006C251B"/>
    <w:rsid w:val="006C2D49"/>
    <w:rsid w:val="006C3780"/>
    <w:rsid w:val="006C3857"/>
    <w:rsid w:val="006C3EE5"/>
    <w:rsid w:val="006C5463"/>
    <w:rsid w:val="006C5E0E"/>
    <w:rsid w:val="006D1329"/>
    <w:rsid w:val="006D4353"/>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44FBB"/>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6248"/>
    <w:rsid w:val="007D68DE"/>
    <w:rsid w:val="007D7343"/>
    <w:rsid w:val="007D791A"/>
    <w:rsid w:val="007D7E0C"/>
    <w:rsid w:val="007E465A"/>
    <w:rsid w:val="007E554B"/>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173C"/>
    <w:rsid w:val="0086522F"/>
    <w:rsid w:val="008652FC"/>
    <w:rsid w:val="008723D2"/>
    <w:rsid w:val="008741E1"/>
    <w:rsid w:val="008750BC"/>
    <w:rsid w:val="00877858"/>
    <w:rsid w:val="00882408"/>
    <w:rsid w:val="00884284"/>
    <w:rsid w:val="00886423"/>
    <w:rsid w:val="008901F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03B4"/>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16AC"/>
    <w:rsid w:val="00BA240A"/>
    <w:rsid w:val="00BA29F7"/>
    <w:rsid w:val="00BA5F89"/>
    <w:rsid w:val="00BA6BF2"/>
    <w:rsid w:val="00BA7ECF"/>
    <w:rsid w:val="00BB0352"/>
    <w:rsid w:val="00BB35AF"/>
    <w:rsid w:val="00BB3757"/>
    <w:rsid w:val="00BB4800"/>
    <w:rsid w:val="00BB4862"/>
    <w:rsid w:val="00BB5C86"/>
    <w:rsid w:val="00BB68B8"/>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39E"/>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25EB"/>
    <w:rsid w:val="00C138F7"/>
    <w:rsid w:val="00C1631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866E7"/>
    <w:rsid w:val="00C944B3"/>
    <w:rsid w:val="00C94CAC"/>
    <w:rsid w:val="00CA049C"/>
    <w:rsid w:val="00CA0617"/>
    <w:rsid w:val="00CA11BA"/>
    <w:rsid w:val="00CA31B4"/>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6F54"/>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7721C"/>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3636"/>
    <w:rsid w:val="00EC4BF2"/>
    <w:rsid w:val="00EC644B"/>
    <w:rsid w:val="00ED09B9"/>
    <w:rsid w:val="00ED399F"/>
    <w:rsid w:val="00ED41D4"/>
    <w:rsid w:val="00ED4BB5"/>
    <w:rsid w:val="00EE0A0C"/>
    <w:rsid w:val="00EE274A"/>
    <w:rsid w:val="00EE2DF2"/>
    <w:rsid w:val="00EE5D97"/>
    <w:rsid w:val="00EE7D9E"/>
    <w:rsid w:val="00EF0EEC"/>
    <w:rsid w:val="00EF161E"/>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54D2"/>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09"/>
    <w:pPr>
      <w:spacing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5809"/>
    <w:pPr>
      <w:tabs>
        <w:tab w:val="center" w:pos="4320"/>
        <w:tab w:val="right" w:pos="8640"/>
      </w:tabs>
    </w:pPr>
  </w:style>
  <w:style w:type="character" w:customStyle="1" w:styleId="FooterChar">
    <w:name w:val="Footer Char"/>
    <w:basedOn w:val="DefaultParagraphFont"/>
    <w:link w:val="Footer"/>
    <w:rsid w:val="00605809"/>
    <w:rPr>
      <w:rFonts w:ascii="Times New Roman" w:eastAsia="Times New Roman" w:hAnsi="Times New Roman" w:cs="Times New Roman"/>
      <w:sz w:val="26"/>
      <w:szCs w:val="20"/>
    </w:rPr>
  </w:style>
  <w:style w:type="character" w:styleId="PageNumber">
    <w:name w:val="page number"/>
    <w:basedOn w:val="DefaultParagraphFont"/>
    <w:rsid w:val="00605809"/>
  </w:style>
  <w:style w:type="paragraph" w:styleId="FootnoteText">
    <w:name w:val="footnote text"/>
    <w:basedOn w:val="Normal"/>
    <w:link w:val="FootnoteTextChar"/>
    <w:semiHidden/>
    <w:unhideWhenUsed/>
    <w:rsid w:val="00605809"/>
    <w:rPr>
      <w:sz w:val="20"/>
    </w:rPr>
  </w:style>
  <w:style w:type="character" w:customStyle="1" w:styleId="FootnoteTextChar">
    <w:name w:val="Footnote Text Char"/>
    <w:basedOn w:val="DefaultParagraphFont"/>
    <w:link w:val="FootnoteText"/>
    <w:semiHidden/>
    <w:rsid w:val="0060580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605809"/>
    <w:rPr>
      <w:vertAlign w:val="superscript"/>
    </w:rPr>
  </w:style>
  <w:style w:type="character" w:styleId="CommentReference">
    <w:name w:val="annotation reference"/>
    <w:basedOn w:val="DefaultParagraphFont"/>
    <w:uiPriority w:val="99"/>
    <w:semiHidden/>
    <w:unhideWhenUsed/>
    <w:rsid w:val="00605809"/>
    <w:rPr>
      <w:sz w:val="16"/>
      <w:szCs w:val="16"/>
    </w:rPr>
  </w:style>
  <w:style w:type="paragraph" w:styleId="CommentText">
    <w:name w:val="annotation text"/>
    <w:basedOn w:val="Normal"/>
    <w:link w:val="CommentTextChar"/>
    <w:uiPriority w:val="99"/>
    <w:semiHidden/>
    <w:unhideWhenUsed/>
    <w:rsid w:val="0060580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605809"/>
    <w:rPr>
      <w:sz w:val="20"/>
      <w:szCs w:val="20"/>
    </w:rPr>
  </w:style>
  <w:style w:type="paragraph" w:styleId="BalloonText">
    <w:name w:val="Balloon Text"/>
    <w:basedOn w:val="Normal"/>
    <w:link w:val="BalloonTextChar"/>
    <w:uiPriority w:val="99"/>
    <w:semiHidden/>
    <w:unhideWhenUsed/>
    <w:rsid w:val="00605809"/>
    <w:rPr>
      <w:rFonts w:ascii="Tahoma" w:hAnsi="Tahoma" w:cs="Tahoma"/>
      <w:sz w:val="16"/>
      <w:szCs w:val="16"/>
    </w:rPr>
  </w:style>
  <w:style w:type="character" w:customStyle="1" w:styleId="BalloonTextChar">
    <w:name w:val="Balloon Text Char"/>
    <w:basedOn w:val="DefaultParagraphFont"/>
    <w:link w:val="BalloonText"/>
    <w:uiPriority w:val="99"/>
    <w:semiHidden/>
    <w:rsid w:val="00605809"/>
    <w:rPr>
      <w:rFonts w:ascii="Tahoma" w:eastAsia="Times New Roman" w:hAnsi="Tahoma" w:cs="Tahoma"/>
      <w:sz w:val="16"/>
      <w:szCs w:val="16"/>
    </w:rPr>
  </w:style>
  <w:style w:type="paragraph" w:styleId="Header">
    <w:name w:val="header"/>
    <w:basedOn w:val="Normal"/>
    <w:link w:val="HeaderChar"/>
    <w:uiPriority w:val="99"/>
    <w:semiHidden/>
    <w:unhideWhenUsed/>
    <w:rsid w:val="004A7D75"/>
    <w:pPr>
      <w:tabs>
        <w:tab w:val="center" w:pos="4680"/>
        <w:tab w:val="right" w:pos="9360"/>
      </w:tabs>
    </w:pPr>
  </w:style>
  <w:style w:type="character" w:customStyle="1" w:styleId="HeaderChar">
    <w:name w:val="Header Char"/>
    <w:basedOn w:val="DefaultParagraphFont"/>
    <w:link w:val="Header"/>
    <w:uiPriority w:val="99"/>
    <w:semiHidden/>
    <w:rsid w:val="004A7D75"/>
    <w:rPr>
      <w:rFonts w:ascii="Times New Roman" w:eastAsia="Times New Roman" w:hAnsi="Times New Roman" w:cs="Times New Roman"/>
      <w:sz w:val="26"/>
      <w:szCs w:val="20"/>
    </w:rPr>
  </w:style>
  <w:style w:type="paragraph" w:styleId="ListParagraph">
    <w:name w:val="List Paragraph"/>
    <w:basedOn w:val="Normal"/>
    <w:uiPriority w:val="34"/>
    <w:qFormat/>
    <w:rsid w:val="00553C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ashiflett</cp:lastModifiedBy>
  <cp:revision>3</cp:revision>
  <cp:lastPrinted>2010-08-20T14:15:00Z</cp:lastPrinted>
  <dcterms:created xsi:type="dcterms:W3CDTF">2010-08-20T14:49:00Z</dcterms:created>
  <dcterms:modified xsi:type="dcterms:W3CDTF">2010-08-20T14:53:00Z</dcterms:modified>
</cp:coreProperties>
</file>