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A16875" w:rsidP="00CE43B4">
      <w:pPr>
        <w:tabs>
          <w:tab w:val="left" w:pos="-720"/>
        </w:tabs>
        <w:suppressAutoHyphens/>
        <w:rPr>
          <w:b/>
          <w:bCs/>
          <w:spacing w:val="-3"/>
          <w:sz w:val="24"/>
          <w:szCs w:val="24"/>
        </w:rPr>
      </w:pPr>
      <w:r>
        <w:rPr>
          <w:bCs/>
          <w:spacing w:val="-3"/>
          <w:sz w:val="24"/>
          <w:szCs w:val="24"/>
        </w:rPr>
        <w:t>Robert J. Hoffman</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sidRPr="00223E7E">
        <w:rPr>
          <w:bCs/>
          <w:spacing w:val="-3"/>
          <w:sz w:val="24"/>
          <w:szCs w:val="24"/>
        </w:rPr>
        <w:t>:</w:t>
      </w:r>
      <w:r>
        <w:rPr>
          <w:bCs/>
          <w:spacing w:val="-3"/>
          <w:sz w:val="24"/>
          <w:szCs w:val="24"/>
        </w:rPr>
        <w:tab/>
      </w:r>
      <w:r w:rsidR="005D37F9">
        <w:rPr>
          <w:bCs/>
          <w:spacing w:val="-3"/>
          <w:sz w:val="24"/>
          <w:szCs w:val="24"/>
        </w:rPr>
        <w:tab/>
      </w:r>
      <w:r>
        <w:rPr>
          <w:bCs/>
          <w:spacing w:val="-3"/>
          <w:sz w:val="24"/>
          <w:szCs w:val="24"/>
        </w:rPr>
        <w:t>C-2009-2130993</w:t>
      </w:r>
      <w:r w:rsidR="005E3007">
        <w:rPr>
          <w:b/>
          <w:bCs/>
          <w:spacing w:val="-3"/>
          <w:sz w:val="24"/>
          <w:szCs w:val="24"/>
        </w:rPr>
        <w:tab/>
      </w:r>
    </w:p>
    <w:p w:rsidR="00A16875" w:rsidRDefault="00A16875" w:rsidP="00CE43B4">
      <w:pPr>
        <w:tabs>
          <w:tab w:val="left" w:pos="-720"/>
        </w:tabs>
        <w:suppressAutoHyphens/>
        <w:rPr>
          <w:bCs/>
          <w:spacing w:val="-3"/>
          <w:sz w:val="24"/>
          <w:szCs w:val="24"/>
        </w:rPr>
      </w:pPr>
      <w:r w:rsidRPr="00A16875">
        <w:rPr>
          <w:bCs/>
          <w:spacing w:val="-3"/>
          <w:sz w:val="24"/>
          <w:szCs w:val="24"/>
        </w:rPr>
        <w:t>David C. Althouse</w:t>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t>:</w:t>
      </w:r>
      <w:r>
        <w:rPr>
          <w:bCs/>
          <w:spacing w:val="-3"/>
          <w:sz w:val="24"/>
          <w:szCs w:val="24"/>
        </w:rPr>
        <w:tab/>
      </w:r>
      <w:r w:rsidR="005D37F9">
        <w:rPr>
          <w:bCs/>
          <w:spacing w:val="-3"/>
          <w:sz w:val="24"/>
          <w:szCs w:val="24"/>
        </w:rPr>
        <w:tab/>
      </w:r>
      <w:r>
        <w:rPr>
          <w:bCs/>
          <w:spacing w:val="-3"/>
          <w:sz w:val="24"/>
          <w:szCs w:val="24"/>
        </w:rPr>
        <w:t>C-2010-2163436</w:t>
      </w:r>
    </w:p>
    <w:p w:rsidR="00A16875" w:rsidRPr="00A16875" w:rsidRDefault="00A16875" w:rsidP="00CE43B4">
      <w:pPr>
        <w:tabs>
          <w:tab w:val="left" w:pos="-720"/>
        </w:tabs>
        <w:suppressAutoHyphens/>
        <w:rPr>
          <w:spacing w:val="-3"/>
          <w:sz w:val="24"/>
          <w:szCs w:val="24"/>
        </w:rPr>
      </w:pP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r>
      <w:r>
        <w:rPr>
          <w:bCs/>
          <w:spacing w:val="-3"/>
          <w:sz w:val="24"/>
          <w:szCs w:val="24"/>
        </w:rPr>
        <w:tab/>
        <w:t>:</w:t>
      </w:r>
      <w:r>
        <w:rPr>
          <w:bCs/>
          <w:spacing w:val="-3"/>
          <w:sz w:val="24"/>
          <w:szCs w:val="24"/>
        </w:rPr>
        <w:tab/>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A16875"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Default="007965B0" w:rsidP="007965B0">
      <w:pPr>
        <w:tabs>
          <w:tab w:val="left" w:pos="-1440"/>
          <w:tab w:val="left" w:pos="-720"/>
        </w:tabs>
        <w:suppressAutoHyphens/>
        <w:spacing w:line="360" w:lineRule="auto"/>
        <w:ind w:firstLine="1440"/>
        <w:rPr>
          <w:spacing w:val="-3"/>
          <w:sz w:val="24"/>
          <w:szCs w:val="24"/>
        </w:rPr>
      </w:pPr>
      <w:r w:rsidRPr="007965B0">
        <w:rPr>
          <w:sz w:val="24"/>
          <w:szCs w:val="24"/>
        </w:rPr>
        <w:t xml:space="preserve">On </w:t>
      </w:r>
      <w:r w:rsidR="00A16875">
        <w:rPr>
          <w:sz w:val="24"/>
          <w:szCs w:val="24"/>
        </w:rPr>
        <w:t>September 9, 2009</w:t>
      </w:r>
      <w:r w:rsidR="008A79BF">
        <w:rPr>
          <w:sz w:val="24"/>
          <w:szCs w:val="24"/>
        </w:rPr>
        <w:t xml:space="preserve">, Robert C. </w:t>
      </w:r>
      <w:r w:rsidR="00351E94">
        <w:rPr>
          <w:sz w:val="24"/>
          <w:szCs w:val="24"/>
        </w:rPr>
        <w:t>Hoffman</w:t>
      </w:r>
      <w:r w:rsidRPr="007965B0">
        <w:rPr>
          <w:sz w:val="24"/>
          <w:szCs w:val="24"/>
        </w:rPr>
        <w:t xml:space="preserve"> (Complainant</w:t>
      </w:r>
      <w:r w:rsidR="008A79BF">
        <w:rPr>
          <w:sz w:val="24"/>
          <w:szCs w:val="24"/>
        </w:rPr>
        <w:t xml:space="preserve"> </w:t>
      </w:r>
      <w:r w:rsidR="00351E94">
        <w:rPr>
          <w:sz w:val="24"/>
          <w:szCs w:val="24"/>
        </w:rPr>
        <w:t>Hoffman</w:t>
      </w:r>
      <w:r w:rsidRPr="007965B0">
        <w:rPr>
          <w:sz w:val="24"/>
          <w:szCs w:val="24"/>
        </w:rPr>
        <w:t xml:space="preserve">) filed a Formal Complaint with the Pennsylvania Public Utility Commission against </w:t>
      </w:r>
      <w:r w:rsidR="008A79BF">
        <w:rPr>
          <w:sz w:val="24"/>
          <w:szCs w:val="24"/>
        </w:rPr>
        <w:t>PPL Electric Utilities Corporation</w:t>
      </w:r>
      <w:r w:rsidRPr="007965B0">
        <w:rPr>
          <w:sz w:val="24"/>
          <w:szCs w:val="24"/>
        </w:rPr>
        <w:t xml:space="preserve"> (Respondent) alleging </w:t>
      </w:r>
      <w:r w:rsidR="008A79BF">
        <w:rPr>
          <w:sz w:val="24"/>
          <w:szCs w:val="24"/>
        </w:rPr>
        <w:t xml:space="preserve">that the Respondent had installed new conduits at his </w:t>
      </w:r>
      <w:r w:rsidR="00891AEB">
        <w:rPr>
          <w:sz w:val="24"/>
          <w:szCs w:val="24"/>
        </w:rPr>
        <w:t>neighbors’</w:t>
      </w:r>
      <w:r w:rsidR="008A79BF">
        <w:rPr>
          <w:sz w:val="24"/>
          <w:szCs w:val="24"/>
        </w:rPr>
        <w:t xml:space="preserve"> homes, but not his.  He requested that the Public Utility Commission (PUC)</w:t>
      </w:r>
      <w:r w:rsidR="00E707AA">
        <w:rPr>
          <w:sz w:val="24"/>
          <w:szCs w:val="24"/>
        </w:rPr>
        <w:t xml:space="preserve"> order the Respondent to install a new conduit for him</w:t>
      </w:r>
      <w:r w:rsidRPr="007965B0">
        <w:rPr>
          <w:sz w:val="24"/>
          <w:szCs w:val="24"/>
        </w:rPr>
        <w:t>.  On</w:t>
      </w:r>
      <w:r w:rsidR="00E707AA">
        <w:rPr>
          <w:sz w:val="24"/>
          <w:szCs w:val="24"/>
        </w:rPr>
        <w:t xml:space="preserve"> October 8, 2009</w:t>
      </w:r>
      <w:r w:rsidRPr="007965B0">
        <w:rPr>
          <w:sz w:val="24"/>
          <w:szCs w:val="24"/>
        </w:rPr>
        <w:t xml:space="preserve">, </w:t>
      </w:r>
      <w:r w:rsidR="00E707AA">
        <w:rPr>
          <w:sz w:val="24"/>
          <w:szCs w:val="24"/>
        </w:rPr>
        <w:t xml:space="preserve">the </w:t>
      </w:r>
      <w:r w:rsidRPr="007965B0">
        <w:rPr>
          <w:sz w:val="24"/>
          <w:szCs w:val="24"/>
        </w:rPr>
        <w:t xml:space="preserve">Respondent filed an </w:t>
      </w:r>
      <w:r w:rsidRPr="007965B0">
        <w:rPr>
          <w:spacing w:val="-3"/>
          <w:sz w:val="24"/>
          <w:szCs w:val="24"/>
        </w:rPr>
        <w:t xml:space="preserve">Answer denying the material allegations of the Complaint.  </w:t>
      </w:r>
      <w:r w:rsidR="00223E7E">
        <w:rPr>
          <w:spacing w:val="-3"/>
          <w:sz w:val="24"/>
          <w:szCs w:val="24"/>
        </w:rPr>
        <w:t>New Matter</w:t>
      </w:r>
      <w:r w:rsidR="00E707AA">
        <w:rPr>
          <w:spacing w:val="-3"/>
          <w:sz w:val="24"/>
          <w:szCs w:val="24"/>
        </w:rPr>
        <w:t xml:space="preserve"> was filed with a Notice to Plead; the New Matter was not new, but rather was an incorporation of paragraph 4 of the Answer.</w:t>
      </w:r>
      <w:r w:rsidR="00E9360A">
        <w:rPr>
          <w:spacing w:val="-3"/>
          <w:sz w:val="24"/>
          <w:szCs w:val="24"/>
        </w:rPr>
        <w:t xml:space="preserve">  A response to the New </w:t>
      </w:r>
      <w:r w:rsidR="002F2F1B">
        <w:rPr>
          <w:spacing w:val="-3"/>
          <w:sz w:val="24"/>
          <w:szCs w:val="24"/>
        </w:rPr>
        <w:t>M</w:t>
      </w:r>
      <w:r w:rsidR="00E9360A">
        <w:rPr>
          <w:spacing w:val="-3"/>
          <w:sz w:val="24"/>
          <w:szCs w:val="24"/>
        </w:rPr>
        <w:t xml:space="preserve">atter was filed by the Complainant on or about October 15, 2009.  On October 14, 2009, </w:t>
      </w:r>
      <w:r w:rsidR="002F2F1B">
        <w:rPr>
          <w:spacing w:val="-3"/>
          <w:sz w:val="24"/>
          <w:szCs w:val="24"/>
        </w:rPr>
        <w:t>t</w:t>
      </w:r>
      <w:r w:rsidR="00E9360A">
        <w:rPr>
          <w:spacing w:val="-3"/>
          <w:sz w:val="24"/>
          <w:szCs w:val="24"/>
        </w:rPr>
        <w:t xml:space="preserve">he </w:t>
      </w:r>
      <w:r w:rsidR="002F2F1B">
        <w:rPr>
          <w:spacing w:val="-3"/>
          <w:sz w:val="24"/>
          <w:szCs w:val="24"/>
        </w:rPr>
        <w:t>C</w:t>
      </w:r>
      <w:r w:rsidR="00E9360A">
        <w:rPr>
          <w:spacing w:val="-3"/>
          <w:sz w:val="24"/>
          <w:szCs w:val="24"/>
        </w:rPr>
        <w:t xml:space="preserve">hief </w:t>
      </w:r>
      <w:r w:rsidR="002F2F1B">
        <w:rPr>
          <w:spacing w:val="-3"/>
          <w:sz w:val="24"/>
          <w:szCs w:val="24"/>
        </w:rPr>
        <w:t>A</w:t>
      </w:r>
      <w:r w:rsidR="00E9360A">
        <w:rPr>
          <w:spacing w:val="-3"/>
          <w:sz w:val="24"/>
          <w:szCs w:val="24"/>
        </w:rPr>
        <w:t xml:space="preserve">dministrative </w:t>
      </w:r>
      <w:r w:rsidR="002F2F1B">
        <w:rPr>
          <w:spacing w:val="-3"/>
          <w:sz w:val="24"/>
          <w:szCs w:val="24"/>
        </w:rPr>
        <w:t>L</w:t>
      </w:r>
      <w:r w:rsidR="00E9360A">
        <w:rPr>
          <w:spacing w:val="-3"/>
          <w:sz w:val="24"/>
          <w:szCs w:val="24"/>
        </w:rPr>
        <w:t xml:space="preserve">aw </w:t>
      </w:r>
      <w:r w:rsidR="002F2F1B">
        <w:rPr>
          <w:spacing w:val="-3"/>
          <w:sz w:val="24"/>
          <w:szCs w:val="24"/>
        </w:rPr>
        <w:t>J</w:t>
      </w:r>
      <w:r w:rsidR="00E9360A">
        <w:rPr>
          <w:spacing w:val="-3"/>
          <w:sz w:val="24"/>
          <w:szCs w:val="24"/>
        </w:rPr>
        <w:t xml:space="preserve">udge issued an Interim Order requiring a resolution conference by the mediation staff of the Office of Administrative Law Judge (OALJ).  Mediation was unsuccessful and the matter was set </w:t>
      </w:r>
      <w:r w:rsidR="00891AEB">
        <w:rPr>
          <w:spacing w:val="-3"/>
          <w:sz w:val="24"/>
          <w:szCs w:val="24"/>
        </w:rPr>
        <w:t>for an</w:t>
      </w:r>
      <w:r w:rsidR="00E9360A">
        <w:rPr>
          <w:spacing w:val="-3"/>
          <w:sz w:val="24"/>
          <w:szCs w:val="24"/>
        </w:rPr>
        <w:t xml:space="preserve"> evidentiary hearing.</w:t>
      </w:r>
    </w:p>
    <w:p w:rsidR="00891AEB" w:rsidRDefault="00891AEB" w:rsidP="007965B0">
      <w:pPr>
        <w:tabs>
          <w:tab w:val="left" w:pos="-1440"/>
          <w:tab w:val="left" w:pos="-720"/>
        </w:tabs>
        <w:suppressAutoHyphens/>
        <w:spacing w:line="360" w:lineRule="auto"/>
        <w:ind w:firstLine="1440"/>
        <w:rPr>
          <w:spacing w:val="-3"/>
          <w:sz w:val="24"/>
          <w:szCs w:val="24"/>
        </w:rPr>
      </w:pPr>
    </w:p>
    <w:p w:rsidR="00891AEB" w:rsidRPr="007965B0" w:rsidRDefault="00891AEB" w:rsidP="007965B0">
      <w:pPr>
        <w:tabs>
          <w:tab w:val="left" w:pos="-1440"/>
          <w:tab w:val="left" w:pos="-720"/>
        </w:tabs>
        <w:suppressAutoHyphens/>
        <w:spacing w:line="360" w:lineRule="auto"/>
        <w:ind w:firstLine="1440"/>
        <w:rPr>
          <w:sz w:val="24"/>
          <w:szCs w:val="24"/>
        </w:rPr>
      </w:pPr>
      <w:r>
        <w:rPr>
          <w:spacing w:val="-3"/>
          <w:sz w:val="24"/>
          <w:szCs w:val="24"/>
        </w:rPr>
        <w:t xml:space="preserve">On </w:t>
      </w:r>
      <w:r w:rsidR="00351E94">
        <w:rPr>
          <w:spacing w:val="-3"/>
          <w:sz w:val="24"/>
          <w:szCs w:val="24"/>
        </w:rPr>
        <w:t xml:space="preserve">or about February 21, 2010, David C. Althouse (Complainant Althouse) filed a </w:t>
      </w:r>
      <w:r w:rsidR="00A47D1E">
        <w:rPr>
          <w:spacing w:val="-3"/>
          <w:sz w:val="24"/>
          <w:szCs w:val="24"/>
        </w:rPr>
        <w:t>F</w:t>
      </w:r>
      <w:r w:rsidR="00351E94">
        <w:rPr>
          <w:spacing w:val="-3"/>
          <w:sz w:val="24"/>
          <w:szCs w:val="24"/>
        </w:rPr>
        <w:t xml:space="preserve">ormal </w:t>
      </w:r>
      <w:r w:rsidR="00A47D1E">
        <w:rPr>
          <w:spacing w:val="-3"/>
          <w:sz w:val="24"/>
          <w:szCs w:val="24"/>
        </w:rPr>
        <w:t>C</w:t>
      </w:r>
      <w:r w:rsidR="00351E94">
        <w:rPr>
          <w:spacing w:val="-3"/>
          <w:sz w:val="24"/>
          <w:szCs w:val="24"/>
        </w:rPr>
        <w:t xml:space="preserve">omplaint about the same issue as Complainant Hoffman and requesting the same relief as </w:t>
      </w:r>
      <w:r w:rsidR="00351E94">
        <w:rPr>
          <w:spacing w:val="-3"/>
          <w:sz w:val="24"/>
          <w:szCs w:val="24"/>
        </w:rPr>
        <w:lastRenderedPageBreak/>
        <w:t>Complainant Hoffman.</w:t>
      </w:r>
      <w:r w:rsidR="00EE1C32">
        <w:rPr>
          <w:spacing w:val="-3"/>
          <w:sz w:val="24"/>
          <w:szCs w:val="24"/>
        </w:rPr>
        <w:t xml:space="preserve">  On April 1, 2010, the Respondent filed an Answer and New Matter.  The Answer and New Matter mirrored the one filed in Complainant Hoffman’s Docket.</w:t>
      </w:r>
    </w:p>
    <w:p w:rsidR="007965B0" w:rsidRPr="007965B0" w:rsidRDefault="007965B0" w:rsidP="007965B0">
      <w:pPr>
        <w:tabs>
          <w:tab w:val="left" w:pos="2160"/>
        </w:tabs>
        <w:spacing w:line="360" w:lineRule="auto"/>
        <w:ind w:firstLine="1440"/>
        <w:rPr>
          <w:sz w:val="24"/>
          <w:szCs w:val="24"/>
        </w:rPr>
      </w:pPr>
    </w:p>
    <w:p w:rsidR="007965B0" w:rsidRPr="007965B0" w:rsidRDefault="00891AEB" w:rsidP="007965B0">
      <w:pPr>
        <w:tabs>
          <w:tab w:val="left" w:pos="2160"/>
        </w:tabs>
        <w:spacing w:line="360" w:lineRule="auto"/>
        <w:ind w:firstLine="1440"/>
        <w:rPr>
          <w:sz w:val="24"/>
          <w:szCs w:val="24"/>
        </w:rPr>
      </w:pPr>
      <w:r>
        <w:rPr>
          <w:sz w:val="24"/>
          <w:szCs w:val="24"/>
        </w:rPr>
        <w:t>By Hearing Notice dated February 9, 2010</w:t>
      </w:r>
      <w:r w:rsidR="007965B0" w:rsidRPr="007965B0">
        <w:rPr>
          <w:sz w:val="24"/>
          <w:szCs w:val="24"/>
        </w:rPr>
        <w:t>, the parties were notified that an Initial Hearing in this case was scheduled for the morni</w:t>
      </w:r>
      <w:r>
        <w:rPr>
          <w:sz w:val="24"/>
          <w:szCs w:val="24"/>
        </w:rPr>
        <w:t>ng of April 13, 2010</w:t>
      </w:r>
      <w:r w:rsidR="007965B0" w:rsidRPr="007965B0">
        <w:rPr>
          <w:sz w:val="24"/>
          <w:szCs w:val="24"/>
        </w:rPr>
        <w:t>.  A Prehe</w:t>
      </w:r>
      <w:r>
        <w:rPr>
          <w:sz w:val="24"/>
          <w:szCs w:val="24"/>
        </w:rPr>
        <w:t>aring Order was issued on March 10, 2010</w:t>
      </w:r>
      <w:r w:rsidR="007965B0"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223E7E" w:rsidRDefault="007965B0" w:rsidP="007965B0">
      <w:pPr>
        <w:spacing w:line="360" w:lineRule="auto"/>
        <w:ind w:firstLine="1440"/>
        <w:rPr>
          <w:sz w:val="24"/>
          <w:szCs w:val="24"/>
        </w:rPr>
      </w:pPr>
      <w:r w:rsidRPr="007965B0">
        <w:rPr>
          <w:sz w:val="24"/>
          <w:szCs w:val="24"/>
        </w:rPr>
        <w:t xml:space="preserve">The hearing convened as scheduled.  </w:t>
      </w:r>
      <w:r w:rsidR="00EE1C32">
        <w:rPr>
          <w:sz w:val="24"/>
          <w:szCs w:val="24"/>
        </w:rPr>
        <w:t xml:space="preserve">Complainants Hoffman and Althouse represented themselves </w:t>
      </w:r>
      <w:r w:rsidR="00EE1C32" w:rsidRPr="00EE1C32">
        <w:rPr>
          <w:i/>
          <w:sz w:val="24"/>
          <w:szCs w:val="24"/>
        </w:rPr>
        <w:t>pro se</w:t>
      </w:r>
      <w:r w:rsidR="00EE1C32">
        <w:rPr>
          <w:sz w:val="24"/>
          <w:szCs w:val="24"/>
        </w:rPr>
        <w:t xml:space="preserve">.  The Respondent was represented by counsel.  A written transcript of the hearing was produced, comprising ninety-four (94) typewritten pages.  The record closed on </w:t>
      </w:r>
      <w:r w:rsidR="0085103F">
        <w:rPr>
          <w:sz w:val="24"/>
          <w:szCs w:val="24"/>
        </w:rPr>
        <w:t xml:space="preserve">May 13, 2010.  </w:t>
      </w:r>
    </w:p>
    <w:p w:rsidR="00223E7E" w:rsidRPr="007965B0"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85103F" w:rsidP="00C419F9">
      <w:pPr>
        <w:numPr>
          <w:ilvl w:val="0"/>
          <w:numId w:val="18"/>
        </w:numPr>
        <w:tabs>
          <w:tab w:val="left" w:pos="2160"/>
        </w:tabs>
        <w:spacing w:line="360" w:lineRule="auto"/>
        <w:ind w:left="0" w:firstLine="1440"/>
        <w:rPr>
          <w:sz w:val="24"/>
          <w:szCs w:val="24"/>
        </w:rPr>
      </w:pPr>
      <w:r>
        <w:rPr>
          <w:sz w:val="24"/>
          <w:szCs w:val="24"/>
        </w:rPr>
        <w:t>Complainants Hoffman and Althouse are current customers of the Respondent.</w:t>
      </w:r>
    </w:p>
    <w:p w:rsidR="0085103F" w:rsidRDefault="0085103F" w:rsidP="0085103F">
      <w:pPr>
        <w:spacing w:line="360" w:lineRule="auto"/>
        <w:ind w:left="1440"/>
        <w:rPr>
          <w:sz w:val="24"/>
          <w:szCs w:val="24"/>
        </w:rPr>
      </w:pPr>
      <w:r>
        <w:rPr>
          <w:sz w:val="24"/>
          <w:szCs w:val="24"/>
        </w:rPr>
        <w:t xml:space="preserve"> </w:t>
      </w:r>
    </w:p>
    <w:p w:rsidR="0085103F" w:rsidRDefault="00484FD8" w:rsidP="00C419F9">
      <w:pPr>
        <w:numPr>
          <w:ilvl w:val="0"/>
          <w:numId w:val="18"/>
        </w:numPr>
        <w:tabs>
          <w:tab w:val="left" w:pos="2160"/>
        </w:tabs>
        <w:spacing w:line="360" w:lineRule="auto"/>
        <w:ind w:left="0" w:firstLine="1440"/>
        <w:rPr>
          <w:sz w:val="24"/>
          <w:szCs w:val="24"/>
        </w:rPr>
      </w:pPr>
      <w:r>
        <w:rPr>
          <w:sz w:val="24"/>
          <w:szCs w:val="24"/>
        </w:rPr>
        <w:t>Skyline Acres, t</w:t>
      </w:r>
      <w:r w:rsidR="006C302C">
        <w:rPr>
          <w:sz w:val="24"/>
          <w:szCs w:val="24"/>
        </w:rPr>
        <w:t xml:space="preserve">he development in which both Complainants live had an issue </w:t>
      </w:r>
      <w:r w:rsidR="00F31C45">
        <w:rPr>
          <w:sz w:val="24"/>
          <w:szCs w:val="24"/>
        </w:rPr>
        <w:t xml:space="preserve">approximately five (5) years ago and again in </w:t>
      </w:r>
      <w:r w:rsidR="006C302C">
        <w:rPr>
          <w:sz w:val="24"/>
          <w:szCs w:val="24"/>
        </w:rPr>
        <w:t xml:space="preserve">2009 with </w:t>
      </w:r>
      <w:r w:rsidR="00F31C45">
        <w:rPr>
          <w:sz w:val="24"/>
          <w:szCs w:val="24"/>
        </w:rPr>
        <w:t xml:space="preserve">degraded </w:t>
      </w:r>
      <w:r w:rsidR="006C302C">
        <w:rPr>
          <w:sz w:val="24"/>
          <w:szCs w:val="24"/>
        </w:rPr>
        <w:t>underground wiring.  NT</w:t>
      </w:r>
      <w:r w:rsidR="002C3271">
        <w:rPr>
          <w:sz w:val="24"/>
          <w:szCs w:val="24"/>
        </w:rPr>
        <w:t> </w:t>
      </w:r>
      <w:r w:rsidR="006C302C">
        <w:rPr>
          <w:sz w:val="24"/>
          <w:szCs w:val="24"/>
        </w:rPr>
        <w:t>7.</w:t>
      </w:r>
    </w:p>
    <w:p w:rsidR="006C302C" w:rsidRDefault="006C302C" w:rsidP="006C302C">
      <w:pPr>
        <w:pStyle w:val="ListParagraph"/>
        <w:rPr>
          <w:sz w:val="24"/>
          <w:szCs w:val="24"/>
        </w:rPr>
      </w:pPr>
    </w:p>
    <w:p w:rsidR="006C302C" w:rsidRDefault="00484FD8" w:rsidP="00C419F9">
      <w:pPr>
        <w:numPr>
          <w:ilvl w:val="0"/>
          <w:numId w:val="18"/>
        </w:numPr>
        <w:tabs>
          <w:tab w:val="left" w:pos="2160"/>
        </w:tabs>
        <w:spacing w:line="360" w:lineRule="auto"/>
        <w:ind w:left="0" w:firstLine="1440"/>
        <w:rPr>
          <w:sz w:val="24"/>
          <w:szCs w:val="24"/>
        </w:rPr>
      </w:pPr>
      <w:r>
        <w:rPr>
          <w:sz w:val="24"/>
          <w:szCs w:val="24"/>
        </w:rPr>
        <w:t>Skyline Acres</w:t>
      </w:r>
      <w:r w:rsidR="00F31C45">
        <w:rPr>
          <w:sz w:val="24"/>
          <w:szCs w:val="24"/>
        </w:rPr>
        <w:t xml:space="preserve"> residents held a meeting to discuss the wiring issues.  NT 9.</w:t>
      </w:r>
    </w:p>
    <w:p w:rsidR="00F31C45" w:rsidRDefault="00F31C45" w:rsidP="00F31C45">
      <w:pPr>
        <w:pStyle w:val="ListParagraph"/>
        <w:rPr>
          <w:sz w:val="24"/>
          <w:szCs w:val="24"/>
        </w:rPr>
      </w:pPr>
    </w:p>
    <w:p w:rsidR="00F31C45" w:rsidRDefault="00F31C45" w:rsidP="00C419F9">
      <w:pPr>
        <w:numPr>
          <w:ilvl w:val="0"/>
          <w:numId w:val="18"/>
        </w:numPr>
        <w:tabs>
          <w:tab w:val="left" w:pos="2160"/>
        </w:tabs>
        <w:spacing w:line="360" w:lineRule="auto"/>
        <w:ind w:left="0" w:firstLine="1440"/>
        <w:rPr>
          <w:sz w:val="24"/>
          <w:szCs w:val="24"/>
        </w:rPr>
      </w:pPr>
      <w:r>
        <w:rPr>
          <w:sz w:val="24"/>
          <w:szCs w:val="24"/>
        </w:rPr>
        <w:t xml:space="preserve">Many of the </w:t>
      </w:r>
      <w:r w:rsidR="00484FD8">
        <w:rPr>
          <w:sz w:val="24"/>
          <w:szCs w:val="24"/>
        </w:rPr>
        <w:t>Skyline Acres</w:t>
      </w:r>
      <w:r>
        <w:rPr>
          <w:sz w:val="24"/>
          <w:szCs w:val="24"/>
        </w:rPr>
        <w:t xml:space="preserve"> residents received a letter from the Respondent indicating that the Respondent would replace the wiring.  Complainant Hoffman did not receive the letter.  NT 9.</w:t>
      </w:r>
    </w:p>
    <w:p w:rsidR="00F31C45" w:rsidRDefault="00F31C45" w:rsidP="00F31C45">
      <w:pPr>
        <w:pStyle w:val="ListParagraph"/>
        <w:rPr>
          <w:sz w:val="24"/>
          <w:szCs w:val="24"/>
        </w:rPr>
      </w:pPr>
    </w:p>
    <w:p w:rsidR="00E7673F" w:rsidRDefault="00E7673F" w:rsidP="00C419F9">
      <w:pPr>
        <w:numPr>
          <w:ilvl w:val="0"/>
          <w:numId w:val="18"/>
        </w:numPr>
        <w:tabs>
          <w:tab w:val="left" w:pos="2160"/>
        </w:tabs>
        <w:spacing w:line="360" w:lineRule="auto"/>
        <w:ind w:left="0" w:firstLine="1440"/>
        <w:rPr>
          <w:sz w:val="24"/>
          <w:szCs w:val="24"/>
        </w:rPr>
      </w:pPr>
      <w:r>
        <w:rPr>
          <w:sz w:val="24"/>
          <w:szCs w:val="24"/>
        </w:rPr>
        <w:t>Complainant Hoffman’s home was built in 1975; he believes his underground wiring is similarly degraded as the wiring the Respondent agreed to replace.  NT</w:t>
      </w:r>
      <w:r w:rsidR="001B37BA">
        <w:rPr>
          <w:sz w:val="24"/>
          <w:szCs w:val="24"/>
        </w:rPr>
        <w:t> </w:t>
      </w:r>
      <w:r>
        <w:rPr>
          <w:sz w:val="24"/>
          <w:szCs w:val="24"/>
        </w:rPr>
        <w:t>11.</w:t>
      </w:r>
    </w:p>
    <w:p w:rsidR="00E7673F" w:rsidRDefault="00E7673F" w:rsidP="00E7673F">
      <w:pPr>
        <w:pStyle w:val="ListParagraph"/>
        <w:rPr>
          <w:sz w:val="24"/>
          <w:szCs w:val="24"/>
        </w:rPr>
      </w:pPr>
    </w:p>
    <w:p w:rsidR="00E27E52" w:rsidRDefault="00E27E52" w:rsidP="00C419F9">
      <w:pPr>
        <w:numPr>
          <w:ilvl w:val="0"/>
          <w:numId w:val="18"/>
        </w:numPr>
        <w:tabs>
          <w:tab w:val="left" w:pos="2160"/>
        </w:tabs>
        <w:spacing w:line="360" w:lineRule="auto"/>
        <w:ind w:left="0" w:firstLine="1440"/>
        <w:rPr>
          <w:sz w:val="24"/>
          <w:szCs w:val="24"/>
        </w:rPr>
      </w:pPr>
      <w:r>
        <w:rPr>
          <w:sz w:val="24"/>
          <w:szCs w:val="24"/>
        </w:rPr>
        <w:t>Complainant</w:t>
      </w:r>
      <w:r w:rsidR="00950734">
        <w:rPr>
          <w:sz w:val="24"/>
          <w:szCs w:val="24"/>
        </w:rPr>
        <w:t xml:space="preserve"> Hoffman has</w:t>
      </w:r>
      <w:r>
        <w:rPr>
          <w:sz w:val="24"/>
          <w:szCs w:val="24"/>
        </w:rPr>
        <w:t xml:space="preserve"> had no service issues with his electricity.  NT</w:t>
      </w:r>
      <w:r w:rsidR="00223152">
        <w:rPr>
          <w:sz w:val="24"/>
          <w:szCs w:val="24"/>
        </w:rPr>
        <w:t> </w:t>
      </w:r>
      <w:r>
        <w:rPr>
          <w:sz w:val="24"/>
          <w:szCs w:val="24"/>
        </w:rPr>
        <w:t>13</w:t>
      </w:r>
      <w:r w:rsidR="00950734">
        <w:rPr>
          <w:sz w:val="24"/>
          <w:szCs w:val="24"/>
        </w:rPr>
        <w:t>, 28</w:t>
      </w:r>
      <w:r>
        <w:rPr>
          <w:sz w:val="24"/>
          <w:szCs w:val="24"/>
        </w:rPr>
        <w:t>.</w:t>
      </w:r>
    </w:p>
    <w:p w:rsidR="00E27E52" w:rsidRDefault="00E27E52" w:rsidP="00E27E52">
      <w:pPr>
        <w:pStyle w:val="ListParagraph"/>
        <w:rPr>
          <w:sz w:val="24"/>
          <w:szCs w:val="24"/>
        </w:rPr>
      </w:pPr>
    </w:p>
    <w:p w:rsidR="00F31C45" w:rsidRDefault="00E7673F" w:rsidP="00C419F9">
      <w:pPr>
        <w:numPr>
          <w:ilvl w:val="0"/>
          <w:numId w:val="18"/>
        </w:numPr>
        <w:tabs>
          <w:tab w:val="left" w:pos="2160"/>
        </w:tabs>
        <w:spacing w:line="360" w:lineRule="auto"/>
        <w:ind w:left="0" w:firstLine="1440"/>
        <w:rPr>
          <w:sz w:val="24"/>
          <w:szCs w:val="24"/>
        </w:rPr>
      </w:pPr>
      <w:r>
        <w:rPr>
          <w:sz w:val="24"/>
          <w:szCs w:val="24"/>
        </w:rPr>
        <w:t xml:space="preserve"> </w:t>
      </w:r>
      <w:r w:rsidR="00950734">
        <w:rPr>
          <w:sz w:val="24"/>
          <w:szCs w:val="24"/>
        </w:rPr>
        <w:t>Complainant Hoffman’s home is fed by an overhead primary.  NT 27.</w:t>
      </w:r>
    </w:p>
    <w:p w:rsidR="00950734" w:rsidRDefault="00950734" w:rsidP="00950734">
      <w:pPr>
        <w:pStyle w:val="ListParagraph"/>
        <w:rPr>
          <w:sz w:val="24"/>
          <w:szCs w:val="24"/>
        </w:rPr>
      </w:pPr>
    </w:p>
    <w:p w:rsidR="00950734" w:rsidRDefault="00950734" w:rsidP="00C419F9">
      <w:pPr>
        <w:numPr>
          <w:ilvl w:val="0"/>
          <w:numId w:val="18"/>
        </w:numPr>
        <w:tabs>
          <w:tab w:val="left" w:pos="2160"/>
        </w:tabs>
        <w:spacing w:line="360" w:lineRule="auto"/>
        <w:ind w:left="0" w:firstLine="1440"/>
        <w:rPr>
          <w:sz w:val="24"/>
          <w:szCs w:val="24"/>
        </w:rPr>
      </w:pPr>
      <w:r>
        <w:rPr>
          <w:sz w:val="24"/>
          <w:szCs w:val="24"/>
        </w:rPr>
        <w:t xml:space="preserve">The Respondent replaced wiring in fourteen (14) homes in </w:t>
      </w:r>
      <w:r w:rsidR="00484FD8">
        <w:rPr>
          <w:sz w:val="24"/>
          <w:szCs w:val="24"/>
        </w:rPr>
        <w:t xml:space="preserve">Skyline Acres </w:t>
      </w:r>
      <w:r>
        <w:rPr>
          <w:sz w:val="24"/>
          <w:szCs w:val="24"/>
        </w:rPr>
        <w:t>that had a damaged underground primary.  NT</w:t>
      </w:r>
      <w:r w:rsidR="00CF0463">
        <w:rPr>
          <w:sz w:val="24"/>
          <w:szCs w:val="24"/>
        </w:rPr>
        <w:t xml:space="preserve"> </w:t>
      </w:r>
      <w:r>
        <w:rPr>
          <w:sz w:val="24"/>
          <w:szCs w:val="24"/>
        </w:rPr>
        <w:t>28.</w:t>
      </w:r>
    </w:p>
    <w:p w:rsidR="00950734" w:rsidRDefault="00950734" w:rsidP="00950734">
      <w:pPr>
        <w:pStyle w:val="ListParagraph"/>
        <w:rPr>
          <w:sz w:val="24"/>
          <w:szCs w:val="24"/>
        </w:rPr>
      </w:pPr>
    </w:p>
    <w:p w:rsidR="00950734" w:rsidRDefault="00204A8E" w:rsidP="00C419F9">
      <w:pPr>
        <w:numPr>
          <w:ilvl w:val="0"/>
          <w:numId w:val="18"/>
        </w:numPr>
        <w:tabs>
          <w:tab w:val="left" w:pos="2160"/>
        </w:tabs>
        <w:spacing w:line="360" w:lineRule="auto"/>
        <w:ind w:left="0" w:firstLine="1440"/>
        <w:rPr>
          <w:sz w:val="24"/>
          <w:szCs w:val="24"/>
        </w:rPr>
      </w:pPr>
      <w:r>
        <w:rPr>
          <w:sz w:val="24"/>
          <w:szCs w:val="24"/>
        </w:rPr>
        <w:t>Complainant Althouse’s home is fed by an overhead primary.  NT 42.</w:t>
      </w:r>
    </w:p>
    <w:p w:rsidR="00204A8E" w:rsidRDefault="00204A8E" w:rsidP="00204A8E">
      <w:pPr>
        <w:pStyle w:val="ListParagraph"/>
        <w:rPr>
          <w:sz w:val="24"/>
          <w:szCs w:val="24"/>
        </w:rPr>
      </w:pPr>
    </w:p>
    <w:p w:rsidR="00204A8E" w:rsidRDefault="00204A8E" w:rsidP="00C419F9">
      <w:pPr>
        <w:numPr>
          <w:ilvl w:val="0"/>
          <w:numId w:val="18"/>
        </w:numPr>
        <w:tabs>
          <w:tab w:val="left" w:pos="2160"/>
        </w:tabs>
        <w:spacing w:line="360" w:lineRule="auto"/>
        <w:ind w:left="0" w:firstLine="1440"/>
        <w:rPr>
          <w:sz w:val="24"/>
          <w:szCs w:val="24"/>
        </w:rPr>
      </w:pPr>
      <w:r>
        <w:rPr>
          <w:sz w:val="24"/>
          <w:szCs w:val="24"/>
        </w:rPr>
        <w:t>Complainant Althouse has had occasional light flickering.  NT 43.</w:t>
      </w:r>
    </w:p>
    <w:p w:rsidR="00204A8E" w:rsidRDefault="00204A8E" w:rsidP="00204A8E">
      <w:pPr>
        <w:pStyle w:val="ListParagraph"/>
        <w:rPr>
          <w:sz w:val="24"/>
          <w:szCs w:val="24"/>
        </w:rPr>
      </w:pPr>
    </w:p>
    <w:p w:rsidR="00204A8E" w:rsidRDefault="006904E9" w:rsidP="00C419F9">
      <w:pPr>
        <w:numPr>
          <w:ilvl w:val="0"/>
          <w:numId w:val="18"/>
        </w:numPr>
        <w:tabs>
          <w:tab w:val="left" w:pos="2160"/>
        </w:tabs>
        <w:spacing w:line="360" w:lineRule="auto"/>
        <w:ind w:left="0" w:firstLine="1440"/>
        <w:rPr>
          <w:sz w:val="24"/>
          <w:szCs w:val="24"/>
        </w:rPr>
      </w:pPr>
      <w:r>
        <w:rPr>
          <w:sz w:val="24"/>
          <w:szCs w:val="24"/>
        </w:rPr>
        <w:t>The underground secondaries to Complainants Hoffman</w:t>
      </w:r>
      <w:r w:rsidR="001C219D">
        <w:rPr>
          <w:sz w:val="24"/>
          <w:szCs w:val="24"/>
        </w:rPr>
        <w:t>’s</w:t>
      </w:r>
      <w:r>
        <w:rPr>
          <w:sz w:val="24"/>
          <w:szCs w:val="24"/>
        </w:rPr>
        <w:t xml:space="preserve"> and Althouse’s homes were </w:t>
      </w:r>
      <w:r w:rsidR="00FB70E2">
        <w:rPr>
          <w:sz w:val="24"/>
          <w:szCs w:val="24"/>
        </w:rPr>
        <w:t>“</w:t>
      </w:r>
      <w:r>
        <w:rPr>
          <w:sz w:val="24"/>
          <w:szCs w:val="24"/>
        </w:rPr>
        <w:t>borderline.”  NT 43.</w:t>
      </w:r>
    </w:p>
    <w:p w:rsidR="006904E9" w:rsidRDefault="006904E9" w:rsidP="006904E9">
      <w:pPr>
        <w:pStyle w:val="ListParagraph"/>
        <w:rPr>
          <w:sz w:val="24"/>
          <w:szCs w:val="24"/>
        </w:rPr>
      </w:pPr>
    </w:p>
    <w:p w:rsidR="006904E9" w:rsidRDefault="00E242AF" w:rsidP="00C419F9">
      <w:pPr>
        <w:numPr>
          <w:ilvl w:val="0"/>
          <w:numId w:val="18"/>
        </w:numPr>
        <w:tabs>
          <w:tab w:val="left" w:pos="2160"/>
        </w:tabs>
        <w:spacing w:line="360" w:lineRule="auto"/>
        <w:ind w:left="0" w:firstLine="1440"/>
        <w:rPr>
          <w:sz w:val="24"/>
          <w:szCs w:val="24"/>
        </w:rPr>
      </w:pPr>
      <w:r>
        <w:rPr>
          <w:sz w:val="24"/>
          <w:szCs w:val="24"/>
        </w:rPr>
        <w:t>Daniel Benedict, an engineer with PPL Electric Utilities Corporation, testified for the Respondent.  NT 57-58.</w:t>
      </w:r>
    </w:p>
    <w:p w:rsidR="00E242AF" w:rsidRDefault="00E242AF" w:rsidP="00E242AF">
      <w:pPr>
        <w:pStyle w:val="ListParagraph"/>
        <w:rPr>
          <w:sz w:val="24"/>
          <w:szCs w:val="24"/>
        </w:rPr>
      </w:pPr>
    </w:p>
    <w:p w:rsidR="00E242AF" w:rsidRDefault="00990E34" w:rsidP="00C419F9">
      <w:pPr>
        <w:numPr>
          <w:ilvl w:val="0"/>
          <w:numId w:val="18"/>
        </w:numPr>
        <w:tabs>
          <w:tab w:val="left" w:pos="2160"/>
        </w:tabs>
        <w:spacing w:line="360" w:lineRule="auto"/>
        <w:ind w:left="0" w:firstLine="1440"/>
        <w:rPr>
          <w:sz w:val="24"/>
          <w:szCs w:val="24"/>
        </w:rPr>
      </w:pPr>
      <w:r>
        <w:rPr>
          <w:sz w:val="24"/>
          <w:szCs w:val="24"/>
        </w:rPr>
        <w:t>Daniel Benedict handles power quality issues for the Respondent.  NT 58.</w:t>
      </w:r>
    </w:p>
    <w:p w:rsidR="00990E34" w:rsidRDefault="00990E34" w:rsidP="00990E34">
      <w:pPr>
        <w:pStyle w:val="ListParagraph"/>
        <w:rPr>
          <w:sz w:val="24"/>
          <w:szCs w:val="24"/>
        </w:rPr>
      </w:pPr>
    </w:p>
    <w:p w:rsidR="00990E34" w:rsidRDefault="00990E34" w:rsidP="00C419F9">
      <w:pPr>
        <w:numPr>
          <w:ilvl w:val="0"/>
          <w:numId w:val="18"/>
        </w:numPr>
        <w:tabs>
          <w:tab w:val="left" w:pos="2160"/>
        </w:tabs>
        <w:spacing w:line="360" w:lineRule="auto"/>
        <w:ind w:left="0" w:firstLine="1440"/>
        <w:rPr>
          <w:sz w:val="24"/>
          <w:szCs w:val="24"/>
        </w:rPr>
      </w:pPr>
      <w:r>
        <w:rPr>
          <w:sz w:val="24"/>
          <w:szCs w:val="24"/>
        </w:rPr>
        <w:t xml:space="preserve">Sometime during 2009, Daniel Benedict began to receive numerous calls concerning power quality in </w:t>
      </w:r>
      <w:r w:rsidR="00484FD8">
        <w:rPr>
          <w:sz w:val="24"/>
          <w:szCs w:val="24"/>
        </w:rPr>
        <w:t>Skyline Acres</w:t>
      </w:r>
      <w:r>
        <w:rPr>
          <w:sz w:val="24"/>
          <w:szCs w:val="24"/>
        </w:rPr>
        <w:t>.  NT 58.</w:t>
      </w:r>
    </w:p>
    <w:p w:rsidR="00990E34" w:rsidRDefault="00990E34" w:rsidP="00990E34">
      <w:pPr>
        <w:pStyle w:val="ListParagraph"/>
        <w:rPr>
          <w:sz w:val="24"/>
          <w:szCs w:val="24"/>
        </w:rPr>
      </w:pPr>
    </w:p>
    <w:p w:rsidR="00990E34" w:rsidRDefault="00990E34" w:rsidP="00C419F9">
      <w:pPr>
        <w:numPr>
          <w:ilvl w:val="0"/>
          <w:numId w:val="18"/>
        </w:numPr>
        <w:tabs>
          <w:tab w:val="left" w:pos="2160"/>
        </w:tabs>
        <w:spacing w:line="360" w:lineRule="auto"/>
        <w:ind w:left="0" w:firstLine="1440"/>
        <w:rPr>
          <w:sz w:val="24"/>
          <w:szCs w:val="24"/>
        </w:rPr>
      </w:pPr>
      <w:r>
        <w:rPr>
          <w:sz w:val="24"/>
          <w:szCs w:val="24"/>
        </w:rPr>
        <w:t>Daniel Benedict installed several recording devices at individual homes to determine the cause of the power quality issues.  NT 58.</w:t>
      </w:r>
    </w:p>
    <w:p w:rsidR="00990E34" w:rsidRDefault="00990E34" w:rsidP="00990E34">
      <w:pPr>
        <w:pStyle w:val="ListParagraph"/>
        <w:rPr>
          <w:sz w:val="24"/>
          <w:szCs w:val="24"/>
        </w:rPr>
      </w:pPr>
    </w:p>
    <w:p w:rsidR="00990E34" w:rsidRDefault="00A1064C" w:rsidP="00C419F9">
      <w:pPr>
        <w:numPr>
          <w:ilvl w:val="0"/>
          <w:numId w:val="18"/>
        </w:numPr>
        <w:tabs>
          <w:tab w:val="left" w:pos="2160"/>
        </w:tabs>
        <w:spacing w:line="360" w:lineRule="auto"/>
        <w:ind w:left="0" w:firstLine="1440"/>
        <w:rPr>
          <w:sz w:val="24"/>
          <w:szCs w:val="24"/>
        </w:rPr>
      </w:pPr>
      <w:r>
        <w:rPr>
          <w:sz w:val="24"/>
          <w:szCs w:val="24"/>
        </w:rPr>
        <w:t xml:space="preserve">Daniel Benedict determined that services in </w:t>
      </w:r>
      <w:r w:rsidR="00484FD8">
        <w:rPr>
          <w:sz w:val="24"/>
          <w:szCs w:val="24"/>
        </w:rPr>
        <w:t xml:space="preserve">Skyline Acres </w:t>
      </w:r>
      <w:r>
        <w:rPr>
          <w:sz w:val="24"/>
          <w:szCs w:val="24"/>
        </w:rPr>
        <w:t>were deteriorating.  NT 59.</w:t>
      </w:r>
    </w:p>
    <w:p w:rsidR="00A1064C" w:rsidRDefault="00A1064C" w:rsidP="00A1064C">
      <w:pPr>
        <w:pStyle w:val="ListParagraph"/>
        <w:rPr>
          <w:sz w:val="24"/>
          <w:szCs w:val="24"/>
        </w:rPr>
      </w:pPr>
    </w:p>
    <w:p w:rsidR="00A1064C" w:rsidRDefault="00A1064C" w:rsidP="00C419F9">
      <w:pPr>
        <w:numPr>
          <w:ilvl w:val="0"/>
          <w:numId w:val="18"/>
        </w:numPr>
        <w:tabs>
          <w:tab w:val="left" w:pos="2160"/>
        </w:tabs>
        <w:spacing w:line="360" w:lineRule="auto"/>
        <w:ind w:left="0" w:firstLine="1440"/>
        <w:rPr>
          <w:sz w:val="24"/>
          <w:szCs w:val="24"/>
        </w:rPr>
      </w:pPr>
      <w:r>
        <w:rPr>
          <w:sz w:val="24"/>
          <w:szCs w:val="24"/>
        </w:rPr>
        <w:t>Daniel Benedict did not include the Complainants</w:t>
      </w:r>
      <w:r w:rsidR="00A84D3F">
        <w:rPr>
          <w:sz w:val="24"/>
          <w:szCs w:val="24"/>
        </w:rPr>
        <w:t>’</w:t>
      </w:r>
      <w:r>
        <w:rPr>
          <w:sz w:val="24"/>
          <w:szCs w:val="24"/>
        </w:rPr>
        <w:t xml:space="preserve"> homes in his investigations because neither were part of the underground primary providing services to the homes with issues.  NT 61.</w:t>
      </w:r>
    </w:p>
    <w:p w:rsidR="00A1064C" w:rsidRDefault="00A1064C" w:rsidP="00A1064C">
      <w:pPr>
        <w:pStyle w:val="ListParagraph"/>
        <w:rPr>
          <w:sz w:val="24"/>
          <w:szCs w:val="24"/>
        </w:rPr>
      </w:pPr>
    </w:p>
    <w:p w:rsidR="00A1064C" w:rsidRDefault="00484FD8" w:rsidP="00C419F9">
      <w:pPr>
        <w:numPr>
          <w:ilvl w:val="0"/>
          <w:numId w:val="18"/>
        </w:numPr>
        <w:tabs>
          <w:tab w:val="left" w:pos="2160"/>
        </w:tabs>
        <w:spacing w:line="360" w:lineRule="auto"/>
        <w:ind w:left="0" w:firstLine="1440"/>
        <w:rPr>
          <w:sz w:val="24"/>
          <w:szCs w:val="24"/>
        </w:rPr>
      </w:pPr>
      <w:r>
        <w:rPr>
          <w:sz w:val="24"/>
          <w:szCs w:val="24"/>
        </w:rPr>
        <w:lastRenderedPageBreak/>
        <w:t>Complain</w:t>
      </w:r>
      <w:r w:rsidR="00A4670D">
        <w:rPr>
          <w:sz w:val="24"/>
          <w:szCs w:val="24"/>
        </w:rPr>
        <w:t>an</w:t>
      </w:r>
      <w:r>
        <w:rPr>
          <w:sz w:val="24"/>
          <w:szCs w:val="24"/>
        </w:rPr>
        <w:t>ts</w:t>
      </w:r>
      <w:r w:rsidR="00573C88">
        <w:rPr>
          <w:sz w:val="24"/>
          <w:szCs w:val="24"/>
        </w:rPr>
        <w:t>’</w:t>
      </w:r>
      <w:r>
        <w:rPr>
          <w:sz w:val="24"/>
          <w:szCs w:val="24"/>
        </w:rPr>
        <w:t xml:space="preserve"> Exhibit A, and Respondent’s Exhibit PPL 5 are maps that show the electric service lines at Skyline Acres; both maps show that Complainants Hoffman and Althouse receive service from an overhead primary cable.  </w:t>
      </w:r>
      <w:r w:rsidR="002356E1">
        <w:rPr>
          <w:sz w:val="24"/>
          <w:szCs w:val="24"/>
        </w:rPr>
        <w:t>C</w:t>
      </w:r>
      <w:r w:rsidR="001C2E93">
        <w:rPr>
          <w:sz w:val="24"/>
          <w:szCs w:val="24"/>
        </w:rPr>
        <w:t>omplainants</w:t>
      </w:r>
      <w:r w:rsidR="002356E1">
        <w:rPr>
          <w:sz w:val="24"/>
          <w:szCs w:val="24"/>
        </w:rPr>
        <w:t xml:space="preserve"> Exh. A and PPL </w:t>
      </w:r>
      <w:r w:rsidR="00DB000D">
        <w:rPr>
          <w:sz w:val="24"/>
          <w:szCs w:val="24"/>
        </w:rPr>
        <w:t>Exh. </w:t>
      </w:r>
      <w:r w:rsidR="002356E1">
        <w:rPr>
          <w:sz w:val="24"/>
          <w:szCs w:val="24"/>
        </w:rPr>
        <w:t xml:space="preserve">5, </w:t>
      </w:r>
      <w:r>
        <w:rPr>
          <w:sz w:val="24"/>
          <w:szCs w:val="24"/>
        </w:rPr>
        <w:t>NT</w:t>
      </w:r>
      <w:r w:rsidR="00D32A31">
        <w:rPr>
          <w:sz w:val="24"/>
          <w:szCs w:val="24"/>
        </w:rPr>
        <w:t> </w:t>
      </w:r>
      <w:r w:rsidR="002356E1">
        <w:rPr>
          <w:sz w:val="24"/>
          <w:szCs w:val="24"/>
        </w:rPr>
        <w:t>62.</w:t>
      </w:r>
    </w:p>
    <w:p w:rsidR="002356E1" w:rsidRDefault="002356E1" w:rsidP="002356E1">
      <w:pPr>
        <w:pStyle w:val="ListParagraph"/>
        <w:rPr>
          <w:sz w:val="24"/>
          <w:szCs w:val="24"/>
        </w:rPr>
      </w:pPr>
    </w:p>
    <w:p w:rsidR="002356E1" w:rsidRDefault="002356E1" w:rsidP="00C419F9">
      <w:pPr>
        <w:numPr>
          <w:ilvl w:val="0"/>
          <w:numId w:val="18"/>
        </w:numPr>
        <w:tabs>
          <w:tab w:val="left" w:pos="2160"/>
        </w:tabs>
        <w:spacing w:line="360" w:lineRule="auto"/>
        <w:ind w:left="0" w:firstLine="1440"/>
        <w:rPr>
          <w:sz w:val="24"/>
          <w:szCs w:val="24"/>
        </w:rPr>
      </w:pPr>
      <w:r>
        <w:rPr>
          <w:sz w:val="24"/>
          <w:szCs w:val="24"/>
        </w:rPr>
        <w:t>During tests conducted to test the underground primary, a cable failed and all residents of Skyline Acres served by the underground primary lost service, but not the homes serviced by the overhead primary.  NT 66.</w:t>
      </w:r>
    </w:p>
    <w:p w:rsidR="001C2E93" w:rsidRDefault="001C2E93" w:rsidP="001C2E93">
      <w:pPr>
        <w:pStyle w:val="ListParagraph"/>
        <w:rPr>
          <w:sz w:val="24"/>
          <w:szCs w:val="24"/>
        </w:rPr>
      </w:pPr>
    </w:p>
    <w:p w:rsidR="001C2E93" w:rsidRDefault="00005203" w:rsidP="00C419F9">
      <w:pPr>
        <w:numPr>
          <w:ilvl w:val="0"/>
          <w:numId w:val="18"/>
        </w:numPr>
        <w:tabs>
          <w:tab w:val="left" w:pos="2160"/>
        </w:tabs>
        <w:spacing w:line="360" w:lineRule="auto"/>
        <w:ind w:left="0" w:firstLine="1440"/>
        <w:rPr>
          <w:sz w:val="24"/>
          <w:szCs w:val="24"/>
        </w:rPr>
      </w:pPr>
      <w:r>
        <w:rPr>
          <w:sz w:val="24"/>
          <w:szCs w:val="24"/>
        </w:rPr>
        <w:t>The Respondent conducted the same tests on the Complainants</w:t>
      </w:r>
      <w:r w:rsidR="000940F4">
        <w:rPr>
          <w:sz w:val="24"/>
          <w:szCs w:val="24"/>
        </w:rPr>
        <w:t>’</w:t>
      </w:r>
      <w:r>
        <w:rPr>
          <w:sz w:val="24"/>
          <w:szCs w:val="24"/>
        </w:rPr>
        <w:t xml:space="preserve"> homes and found that the cables tested within safe parameters.  NT 67-68.</w:t>
      </w:r>
    </w:p>
    <w:p w:rsidR="00005203" w:rsidRDefault="00005203" w:rsidP="00005203">
      <w:pPr>
        <w:pStyle w:val="ListParagraph"/>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Complainant</w:t>
      </w:r>
      <w:r w:rsidR="0029743B">
        <w:rPr>
          <w:sz w:val="24"/>
          <w:szCs w:val="24"/>
        </w:rPr>
        <w:t>s</w:t>
      </w:r>
      <w:r w:rsidRPr="000B72BC">
        <w:rPr>
          <w:sz w:val="24"/>
          <w:szCs w:val="24"/>
        </w:rPr>
        <w:t xml:space="preserve"> ha</w:t>
      </w:r>
      <w:r w:rsidR="0029743B">
        <w:rPr>
          <w:sz w:val="24"/>
          <w:szCs w:val="24"/>
        </w:rPr>
        <w:t>ve</w:t>
      </w:r>
      <w:r w:rsidRPr="000B72BC">
        <w:rPr>
          <w:sz w:val="24"/>
          <w:szCs w:val="24"/>
        </w:rPr>
        <w:t xml:space="preserve"> the burden of proving </w:t>
      </w:r>
      <w:r w:rsidR="0029743B">
        <w:rPr>
          <w:sz w:val="24"/>
          <w:szCs w:val="24"/>
        </w:rPr>
        <w:t>their</w:t>
      </w:r>
      <w:r w:rsidRPr="000B72BC">
        <w:rPr>
          <w:sz w:val="24"/>
          <w:szCs w:val="24"/>
        </w:rPr>
        <w:t xml:space="preserve"> case</w:t>
      </w:r>
      <w:r w:rsidR="0029743B">
        <w:rPr>
          <w:sz w:val="24"/>
          <w:szCs w:val="24"/>
        </w:rPr>
        <w:t>s</w:t>
      </w:r>
      <w:r w:rsidRPr="000B72BC">
        <w:rPr>
          <w:sz w:val="24"/>
          <w:szCs w:val="24"/>
        </w:rPr>
        <w:t>.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r w:rsidRPr="000B72BC">
        <w:rPr>
          <w:i/>
          <w:spacing w:val="-3"/>
          <w:sz w:val="24"/>
          <w:szCs w:val="24"/>
        </w:rPr>
        <w:t>Samuel J. Lansberry, Inc. v. Pa. Pub</w:t>
      </w:r>
      <w:r w:rsidR="00223E7E">
        <w:rPr>
          <w:i/>
          <w:spacing w:val="-3"/>
          <w:sz w:val="24"/>
          <w:szCs w:val="24"/>
        </w:rPr>
        <w:t>.</w:t>
      </w:r>
      <w:r w:rsidR="00CC7B6A">
        <w:rPr>
          <w:i/>
          <w:spacing w:val="-3"/>
          <w:sz w:val="24"/>
          <w:szCs w:val="24"/>
        </w:rPr>
        <w:t xml:space="preserve"> </w:t>
      </w:r>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 den.</w:t>
      </w:r>
      <w:r w:rsidRPr="000B72BC">
        <w:rPr>
          <w:spacing w:val="-3"/>
          <w:sz w:val="24"/>
          <w:szCs w:val="24"/>
        </w:rPr>
        <w:t xml:space="preserve">, 602 A.2d 863 (1992).  That is, by presenting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42691C">
        <w:rPr>
          <w:spacing w:val="-3"/>
          <w:sz w:val="24"/>
          <w:szCs w:val="24"/>
        </w:rPr>
        <w:t> </w:t>
      </w:r>
      <w:r w:rsidRPr="000B72BC">
        <w:rPr>
          <w:spacing w:val="-3"/>
          <w:sz w:val="24"/>
          <w:szCs w:val="24"/>
        </w:rPr>
        <w:t xml:space="preserve">704.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 xml:space="preserve">Murphy v. Commonwealth, Dep’t. of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The offense must be a violation of the Public Utility Code, the Commission’s regulations, or an outstanding order of the Commission.  66 Pa. C.S. §</w:t>
      </w:r>
      <w:r>
        <w:rPr>
          <w:sz w:val="24"/>
          <w:szCs w:val="24"/>
        </w:rPr>
        <w:t xml:space="preserve"> </w:t>
      </w:r>
      <w:r w:rsidRPr="000B72BC">
        <w:rPr>
          <w:sz w:val="24"/>
          <w:szCs w:val="24"/>
        </w:rPr>
        <w:t>701.</w:t>
      </w:r>
    </w:p>
    <w:p w:rsidR="005B6955" w:rsidRDefault="000940F4" w:rsidP="000940F4">
      <w:pPr>
        <w:spacing w:line="360" w:lineRule="auto"/>
        <w:ind w:firstLine="1440"/>
        <w:rPr>
          <w:sz w:val="24"/>
          <w:szCs w:val="24"/>
        </w:rPr>
      </w:pPr>
      <w:r>
        <w:rPr>
          <w:sz w:val="24"/>
          <w:szCs w:val="24"/>
        </w:rPr>
        <w:lastRenderedPageBreak/>
        <w:t>The Complainants live in a development, Skyline Acres, that was created in the 1970s.  Both Complainants receive electric service from an overhead primary cable.  Sometime during 2009, a number of Skyline Acres residents experienced problems with their electric service.  Daniel Benedict</w:t>
      </w:r>
      <w:r w:rsidR="00383F48">
        <w:rPr>
          <w:sz w:val="24"/>
          <w:szCs w:val="24"/>
        </w:rPr>
        <w:t>,</w:t>
      </w:r>
      <w:r>
        <w:rPr>
          <w:sz w:val="24"/>
          <w:szCs w:val="24"/>
        </w:rPr>
        <w:t xml:space="preserve"> an engineer with </w:t>
      </w:r>
      <w:r w:rsidR="005B6955">
        <w:rPr>
          <w:sz w:val="24"/>
          <w:szCs w:val="24"/>
        </w:rPr>
        <w:t>the Respondent</w:t>
      </w:r>
      <w:r w:rsidR="00383F48">
        <w:rPr>
          <w:sz w:val="24"/>
          <w:szCs w:val="24"/>
        </w:rPr>
        <w:t>,</w:t>
      </w:r>
      <w:r w:rsidR="005B6955">
        <w:rPr>
          <w:sz w:val="24"/>
          <w:szCs w:val="24"/>
        </w:rPr>
        <w:t xml:space="preserve"> testified that they conducted a test using a device he called the “beast of burden.”  The beast of burden tests showed that an underground primary cable had deteriorated.  Using the same beast of burden and conducting the same tests, the Respondent determined the overhead primary cable was fine.  The concern of the Complainants is that because their homes were built around the same time as the other homes they believe their cables are also deteriorated and a safety hazard.</w:t>
      </w:r>
    </w:p>
    <w:p w:rsidR="00A61CD4" w:rsidRDefault="00A61CD4" w:rsidP="000940F4">
      <w:pPr>
        <w:spacing w:line="360" w:lineRule="auto"/>
        <w:ind w:firstLine="1440"/>
        <w:rPr>
          <w:sz w:val="24"/>
          <w:szCs w:val="24"/>
        </w:rPr>
      </w:pPr>
    </w:p>
    <w:p w:rsidR="00A61CD4" w:rsidRDefault="00A61CD4" w:rsidP="000940F4">
      <w:pPr>
        <w:spacing w:line="360" w:lineRule="auto"/>
        <w:ind w:firstLine="1440"/>
        <w:rPr>
          <w:sz w:val="24"/>
          <w:szCs w:val="24"/>
        </w:rPr>
      </w:pPr>
      <w:r>
        <w:rPr>
          <w:sz w:val="24"/>
          <w:szCs w:val="24"/>
        </w:rPr>
        <w:t>Section 1501 of the Public Utility Code requires a public utility to provide safe, adequate, efficient and reasonable service.  66 Pa. C.S. § 1501.  The burden of proof to show that the Respondent is not meeting that requirement is on the Complainants.</w:t>
      </w:r>
    </w:p>
    <w:p w:rsidR="00A61CD4" w:rsidRDefault="00A61CD4" w:rsidP="000940F4">
      <w:pPr>
        <w:spacing w:line="360" w:lineRule="auto"/>
        <w:ind w:firstLine="1440"/>
        <w:rPr>
          <w:sz w:val="24"/>
          <w:szCs w:val="24"/>
        </w:rPr>
      </w:pPr>
    </w:p>
    <w:p w:rsidR="00FA1F54" w:rsidRDefault="00A61CD4" w:rsidP="000940F4">
      <w:pPr>
        <w:spacing w:line="360" w:lineRule="auto"/>
        <w:ind w:firstLine="1440"/>
        <w:rPr>
          <w:sz w:val="24"/>
          <w:szCs w:val="24"/>
        </w:rPr>
      </w:pPr>
      <w:r>
        <w:rPr>
          <w:sz w:val="24"/>
          <w:szCs w:val="24"/>
        </w:rPr>
        <w:t>Complainant Hoffman indicated that he had no service problems.  Complainant Althouse indicated that he has occasion</w:t>
      </w:r>
      <w:r w:rsidR="00B1027E">
        <w:rPr>
          <w:sz w:val="24"/>
          <w:szCs w:val="24"/>
        </w:rPr>
        <w:t>al</w:t>
      </w:r>
      <w:r>
        <w:rPr>
          <w:sz w:val="24"/>
          <w:szCs w:val="24"/>
        </w:rPr>
        <w:t xml:space="preserve"> flickering, but no other issues with his electric service.  Their argument is that they firmly believe that </w:t>
      </w:r>
      <w:r w:rsidR="007E4FD8">
        <w:rPr>
          <w:sz w:val="24"/>
          <w:szCs w:val="24"/>
        </w:rPr>
        <w:t xml:space="preserve">due to the ages of their homes, and that the Respondent replaced the underground lines at other Skyline Acres homes, that </w:t>
      </w:r>
      <w:r>
        <w:rPr>
          <w:sz w:val="24"/>
          <w:szCs w:val="24"/>
        </w:rPr>
        <w:t xml:space="preserve">the Respondent has an obligation to </w:t>
      </w:r>
      <w:r w:rsidR="006707EB">
        <w:rPr>
          <w:sz w:val="24"/>
          <w:szCs w:val="24"/>
        </w:rPr>
        <w:t xml:space="preserve">provide </w:t>
      </w:r>
      <w:r>
        <w:rPr>
          <w:sz w:val="24"/>
          <w:szCs w:val="24"/>
        </w:rPr>
        <w:t>prophylactic</w:t>
      </w:r>
      <w:r w:rsidR="005B6955">
        <w:rPr>
          <w:sz w:val="24"/>
          <w:szCs w:val="24"/>
        </w:rPr>
        <w:t xml:space="preserve"> </w:t>
      </w:r>
      <w:r w:rsidR="006707EB">
        <w:rPr>
          <w:sz w:val="24"/>
          <w:szCs w:val="24"/>
        </w:rPr>
        <w:t xml:space="preserve">replacement of their lines as </w:t>
      </w:r>
      <w:r w:rsidR="007E4FD8">
        <w:rPr>
          <w:sz w:val="24"/>
          <w:szCs w:val="24"/>
        </w:rPr>
        <w:t xml:space="preserve">well.  </w:t>
      </w:r>
    </w:p>
    <w:p w:rsidR="00FA1F54" w:rsidRDefault="00FA1F54" w:rsidP="000940F4">
      <w:pPr>
        <w:spacing w:line="360" w:lineRule="auto"/>
        <w:ind w:firstLine="1440"/>
        <w:rPr>
          <w:sz w:val="24"/>
          <w:szCs w:val="24"/>
        </w:rPr>
      </w:pPr>
    </w:p>
    <w:p w:rsidR="00EE474A" w:rsidRDefault="00FA1F54" w:rsidP="00785EA9">
      <w:pPr>
        <w:spacing w:line="360" w:lineRule="auto"/>
        <w:ind w:firstLine="1440"/>
        <w:rPr>
          <w:sz w:val="24"/>
          <w:szCs w:val="24"/>
        </w:rPr>
      </w:pPr>
      <w:r>
        <w:rPr>
          <w:sz w:val="24"/>
          <w:szCs w:val="24"/>
        </w:rPr>
        <w:t>The Respondent currently provides safe, adequate, efficient and reasonable service to the Complainant</w:t>
      </w:r>
      <w:r w:rsidR="00F70EA4">
        <w:rPr>
          <w:sz w:val="24"/>
          <w:szCs w:val="24"/>
        </w:rPr>
        <w:t>s.  T</w:t>
      </w:r>
      <w:r w:rsidR="00785EA9">
        <w:rPr>
          <w:sz w:val="24"/>
          <w:szCs w:val="24"/>
        </w:rPr>
        <w:t>he Respondent must comply with Section 2804 of the Public Utility Code that mandates that they comply with the National Electrical and Safety Code.  66</w:t>
      </w:r>
      <w:r w:rsidR="00986686">
        <w:rPr>
          <w:sz w:val="24"/>
          <w:szCs w:val="24"/>
        </w:rPr>
        <w:t> </w:t>
      </w:r>
      <w:r w:rsidR="00785EA9">
        <w:rPr>
          <w:sz w:val="24"/>
          <w:szCs w:val="24"/>
        </w:rPr>
        <w:t xml:space="preserve">Pa. C.S. § 2804.  </w:t>
      </w:r>
      <w:r w:rsidR="00C51DD8">
        <w:rPr>
          <w:sz w:val="24"/>
          <w:szCs w:val="24"/>
        </w:rPr>
        <w:t>Additionally, the Respondent</w:t>
      </w:r>
      <w:r w:rsidR="00F70EA4">
        <w:rPr>
          <w:sz w:val="24"/>
          <w:szCs w:val="24"/>
        </w:rPr>
        <w:t xml:space="preserve"> must comply with Section 57.198 of the regulations </w:t>
      </w:r>
      <w:r w:rsidR="00C51DD8">
        <w:rPr>
          <w:sz w:val="24"/>
          <w:szCs w:val="24"/>
        </w:rPr>
        <w:t xml:space="preserve">implementing the Public Utility Code </w:t>
      </w:r>
      <w:r w:rsidR="00F70EA4">
        <w:rPr>
          <w:sz w:val="24"/>
          <w:szCs w:val="24"/>
        </w:rPr>
        <w:t>relating to inspections and maintenance.</w:t>
      </w:r>
      <w:r w:rsidR="00C51DD8">
        <w:rPr>
          <w:sz w:val="24"/>
          <w:szCs w:val="24"/>
        </w:rPr>
        <w:t xml:space="preserve">  See </w:t>
      </w:r>
      <w:r w:rsidR="00F70EA4">
        <w:rPr>
          <w:sz w:val="24"/>
          <w:szCs w:val="24"/>
        </w:rPr>
        <w:t>52 Pa. Code § 57.198.</w:t>
      </w:r>
      <w:r w:rsidR="00C51DD8">
        <w:rPr>
          <w:sz w:val="24"/>
          <w:szCs w:val="24"/>
        </w:rPr>
        <w:t xml:space="preserve">  Section 57.198 specifically requires overhead distribution transformer inspections at </w:t>
      </w:r>
      <w:r w:rsidR="00C00672">
        <w:rPr>
          <w:sz w:val="24"/>
          <w:szCs w:val="24"/>
        </w:rPr>
        <w:t>S</w:t>
      </w:r>
      <w:r w:rsidR="00C51DD8">
        <w:rPr>
          <w:sz w:val="24"/>
          <w:szCs w:val="24"/>
        </w:rPr>
        <w:t xml:space="preserve">ubsection (6).  </w:t>
      </w:r>
      <w:r w:rsidR="00EE474A">
        <w:rPr>
          <w:sz w:val="24"/>
          <w:szCs w:val="24"/>
        </w:rPr>
        <w:t>The entire Subchapter N relates to “Electric Reliability Standards.”  These are some, but not all</w:t>
      </w:r>
      <w:r w:rsidR="00D072D0">
        <w:rPr>
          <w:sz w:val="24"/>
          <w:szCs w:val="24"/>
        </w:rPr>
        <w:t>,</w:t>
      </w:r>
      <w:r w:rsidR="00EE474A">
        <w:rPr>
          <w:sz w:val="24"/>
          <w:szCs w:val="24"/>
        </w:rPr>
        <w:t xml:space="preserve"> of the legal protections already in place to ensure that the Complainant</w:t>
      </w:r>
      <w:r w:rsidR="00FE4B89">
        <w:rPr>
          <w:sz w:val="24"/>
          <w:szCs w:val="24"/>
        </w:rPr>
        <w:t>s</w:t>
      </w:r>
      <w:r w:rsidR="00EE474A">
        <w:rPr>
          <w:sz w:val="24"/>
          <w:szCs w:val="24"/>
        </w:rPr>
        <w:t xml:space="preserve"> continue to receive safe and reliable electric service.</w:t>
      </w:r>
    </w:p>
    <w:p w:rsidR="00EE474A" w:rsidRDefault="00EE474A" w:rsidP="00785EA9">
      <w:pPr>
        <w:spacing w:line="360" w:lineRule="auto"/>
        <w:ind w:firstLine="1440"/>
        <w:rPr>
          <w:sz w:val="24"/>
          <w:szCs w:val="24"/>
        </w:rPr>
      </w:pPr>
    </w:p>
    <w:p w:rsidR="00D01039" w:rsidRDefault="00EE474A" w:rsidP="00785EA9">
      <w:pPr>
        <w:spacing w:line="360" w:lineRule="auto"/>
        <w:ind w:firstLine="1440"/>
        <w:rPr>
          <w:sz w:val="24"/>
          <w:szCs w:val="24"/>
        </w:rPr>
      </w:pPr>
      <w:r>
        <w:rPr>
          <w:sz w:val="24"/>
          <w:szCs w:val="24"/>
        </w:rPr>
        <w:lastRenderedPageBreak/>
        <w:t>Moreover, the Commission entertained the suggestion of additional testing</w:t>
      </w:r>
      <w:r w:rsidR="0081586E">
        <w:rPr>
          <w:sz w:val="24"/>
          <w:szCs w:val="24"/>
        </w:rPr>
        <w:t>,</w:t>
      </w:r>
      <w:r>
        <w:rPr>
          <w:sz w:val="24"/>
          <w:szCs w:val="24"/>
        </w:rPr>
        <w:t xml:space="preserve"> maintenance schedules and requirements</w:t>
      </w:r>
      <w:r w:rsidR="0081586E">
        <w:rPr>
          <w:sz w:val="24"/>
          <w:szCs w:val="24"/>
        </w:rPr>
        <w:t xml:space="preserve">; they determined </w:t>
      </w:r>
      <w:r>
        <w:rPr>
          <w:sz w:val="24"/>
          <w:szCs w:val="24"/>
        </w:rPr>
        <w:t xml:space="preserve">that the mechanisms already in place were sufficient.  </w:t>
      </w:r>
      <w:r w:rsidR="00D01039">
        <w:rPr>
          <w:sz w:val="24"/>
          <w:szCs w:val="24"/>
        </w:rPr>
        <w:t>See Advance Notice of Rulemaking at Docket No. L-2008-2044821, Order entered March 1, 2010.</w:t>
      </w:r>
    </w:p>
    <w:p w:rsidR="00D01039" w:rsidRDefault="00D01039" w:rsidP="00785EA9">
      <w:pPr>
        <w:spacing w:line="360" w:lineRule="auto"/>
        <w:ind w:firstLine="1440"/>
        <w:rPr>
          <w:sz w:val="24"/>
          <w:szCs w:val="24"/>
        </w:rPr>
      </w:pPr>
    </w:p>
    <w:p w:rsidR="00382B1A" w:rsidRDefault="00D01039" w:rsidP="00785EA9">
      <w:pPr>
        <w:spacing w:line="360" w:lineRule="auto"/>
        <w:ind w:firstLine="1440"/>
        <w:rPr>
          <w:sz w:val="24"/>
          <w:szCs w:val="24"/>
        </w:rPr>
      </w:pPr>
      <w:r>
        <w:rPr>
          <w:sz w:val="24"/>
          <w:szCs w:val="24"/>
        </w:rPr>
        <w:t>The Complainants failed to meet their burdens of proof.  The Respondent is providing safe, adequate, efficient and reasonable service.</w:t>
      </w:r>
      <w:r w:rsidR="00EE474A">
        <w:rPr>
          <w:sz w:val="24"/>
          <w:szCs w:val="24"/>
        </w:rPr>
        <w:t xml:space="preserve"> </w:t>
      </w:r>
    </w:p>
    <w:p w:rsidR="00382B1A" w:rsidRPr="000B72BC"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w:t>
      </w:r>
      <w:r w:rsidR="00CC25E8">
        <w:rPr>
          <w:sz w:val="24"/>
          <w:szCs w:val="24"/>
        </w:rPr>
        <w:t>ese</w:t>
      </w:r>
      <w:r w:rsidRPr="007934E4">
        <w:rPr>
          <w:sz w:val="24"/>
          <w:szCs w:val="24"/>
        </w:rPr>
        <w:t xml:space="preserve"> Complaint</w:t>
      </w:r>
      <w:r w:rsidR="00CC25E8">
        <w:rPr>
          <w:sz w:val="24"/>
          <w:szCs w:val="24"/>
        </w:rPr>
        <w:t>s</w:t>
      </w:r>
      <w:r w:rsidRPr="007934E4">
        <w:rPr>
          <w:sz w:val="24"/>
          <w:szCs w:val="24"/>
        </w:rPr>
        <w:t>.  66 Pa. 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00D01039">
        <w:rPr>
          <w:sz w:val="24"/>
          <w:szCs w:val="24"/>
        </w:rPr>
        <w:t>s</w:t>
      </w:r>
      <w:r w:rsidRPr="007934E4">
        <w:rPr>
          <w:sz w:val="24"/>
          <w:szCs w:val="24"/>
        </w:rPr>
        <w:t xml:space="preserve"> bear the burden</w:t>
      </w:r>
      <w:r w:rsidR="009830EA">
        <w:rPr>
          <w:sz w:val="24"/>
          <w:szCs w:val="24"/>
        </w:rPr>
        <w:t>s</w:t>
      </w:r>
      <w:r w:rsidRPr="007934E4">
        <w:rPr>
          <w:sz w:val="24"/>
          <w:szCs w:val="24"/>
        </w:rPr>
        <w:t xml:space="preserve"> of proof.  66 Pa. 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w:t>
      </w:r>
      <w:r w:rsidR="00AF09A6">
        <w:rPr>
          <w:spacing w:val="-3"/>
          <w:sz w:val="24"/>
          <w:szCs w:val="24"/>
        </w:rPr>
        <w:t>c</w:t>
      </w:r>
      <w:r w:rsidRPr="007934E4">
        <w:rPr>
          <w:spacing w:val="-3"/>
          <w:sz w:val="24"/>
          <w:szCs w:val="24"/>
        </w:rPr>
        <w:t xml:space="preserve">omplaint in order to prevail.  </w:t>
      </w:r>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D01039" w:rsidRDefault="00D01039" w:rsidP="00382B1A">
      <w:pPr>
        <w:tabs>
          <w:tab w:val="left" w:pos="2160"/>
        </w:tabs>
        <w:spacing w:line="360" w:lineRule="auto"/>
        <w:ind w:firstLine="1440"/>
        <w:rPr>
          <w:spacing w:val="-3"/>
          <w:sz w:val="24"/>
          <w:szCs w:val="24"/>
        </w:rPr>
      </w:pPr>
    </w:p>
    <w:p w:rsidR="00D01039" w:rsidRDefault="00D01039" w:rsidP="00382B1A">
      <w:pPr>
        <w:tabs>
          <w:tab w:val="left" w:pos="2160"/>
        </w:tabs>
        <w:spacing w:line="360" w:lineRule="auto"/>
        <w:ind w:firstLine="1440"/>
        <w:rPr>
          <w:spacing w:val="-3"/>
          <w:sz w:val="24"/>
          <w:szCs w:val="24"/>
        </w:rPr>
      </w:pPr>
      <w:r>
        <w:rPr>
          <w:spacing w:val="-3"/>
          <w:sz w:val="24"/>
          <w:szCs w:val="24"/>
        </w:rPr>
        <w:t xml:space="preserve">4. </w:t>
      </w:r>
      <w:r>
        <w:rPr>
          <w:spacing w:val="-3"/>
          <w:sz w:val="24"/>
          <w:szCs w:val="24"/>
        </w:rPr>
        <w:tab/>
        <w:t>The Respondent is providing safe, adequate, efficient and reasonable service to the Complainants.</w:t>
      </w:r>
    </w:p>
    <w:p w:rsidR="00D01039" w:rsidRDefault="00D01039" w:rsidP="00382B1A">
      <w:pPr>
        <w:tabs>
          <w:tab w:val="left" w:pos="2160"/>
        </w:tabs>
        <w:spacing w:line="360" w:lineRule="auto"/>
        <w:ind w:firstLine="1440"/>
        <w:rPr>
          <w:spacing w:val="-3"/>
          <w:sz w:val="24"/>
          <w:szCs w:val="24"/>
        </w:rPr>
      </w:pPr>
    </w:p>
    <w:p w:rsidR="00D01039" w:rsidRPr="007934E4" w:rsidRDefault="00D01039" w:rsidP="00382B1A">
      <w:pPr>
        <w:tabs>
          <w:tab w:val="left" w:pos="2160"/>
        </w:tabs>
        <w:spacing w:line="360" w:lineRule="auto"/>
        <w:ind w:firstLine="1440"/>
        <w:rPr>
          <w:spacing w:val="-3"/>
          <w:sz w:val="24"/>
          <w:szCs w:val="24"/>
        </w:rPr>
      </w:pPr>
      <w:r>
        <w:rPr>
          <w:spacing w:val="-3"/>
          <w:sz w:val="24"/>
          <w:szCs w:val="24"/>
        </w:rPr>
        <w:t xml:space="preserve">5. </w:t>
      </w:r>
      <w:r>
        <w:rPr>
          <w:spacing w:val="-3"/>
          <w:sz w:val="24"/>
          <w:szCs w:val="24"/>
        </w:rPr>
        <w:tab/>
        <w:t xml:space="preserve">The Complainants failed to meet their burdens of proof. </w:t>
      </w:r>
    </w:p>
    <w:p w:rsidR="00C419F9" w:rsidRDefault="00C419F9" w:rsidP="00DE2348">
      <w:pPr>
        <w:spacing w:line="360" w:lineRule="auto"/>
        <w:jc w:val="center"/>
        <w:rPr>
          <w:sz w:val="24"/>
          <w:szCs w:val="24"/>
          <w:u w:val="single"/>
        </w:rPr>
      </w:pPr>
    </w:p>
    <w:p w:rsidR="00782A08" w:rsidRDefault="00782A08" w:rsidP="00DE77F8">
      <w:pPr>
        <w:spacing w:line="360" w:lineRule="auto"/>
        <w:ind w:firstLine="1440"/>
        <w:rPr>
          <w:sz w:val="24"/>
          <w:szCs w:val="24"/>
        </w:rPr>
      </w:pPr>
    </w:p>
    <w:p w:rsidR="00027350" w:rsidRDefault="00027350">
      <w:pPr>
        <w:rPr>
          <w:sz w:val="24"/>
          <w:szCs w:val="24"/>
          <w:u w:val="single"/>
        </w:rPr>
      </w:pPr>
      <w:r>
        <w:rPr>
          <w:sz w:val="24"/>
          <w:szCs w:val="24"/>
          <w:u w:val="single"/>
        </w:rPr>
        <w:br w:type="page"/>
      </w:r>
    </w:p>
    <w:p w:rsidR="009649FC" w:rsidRDefault="009649FC" w:rsidP="00C21F78">
      <w:pPr>
        <w:spacing w:line="360" w:lineRule="auto"/>
        <w:jc w:val="center"/>
        <w:rPr>
          <w:sz w:val="24"/>
          <w:szCs w:val="24"/>
          <w:u w:val="single"/>
        </w:rPr>
      </w:pPr>
      <w:r w:rsidRPr="009649FC">
        <w:rPr>
          <w:sz w:val="24"/>
          <w:szCs w:val="24"/>
          <w:u w:val="single"/>
        </w:rPr>
        <w:lastRenderedPageBreak/>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FE6157">
      <w:pPr>
        <w:spacing w:line="360" w:lineRule="auto"/>
        <w:ind w:firstLine="1440"/>
        <w:rPr>
          <w:b/>
          <w:sz w:val="24"/>
          <w:szCs w:val="24"/>
        </w:rPr>
      </w:pPr>
    </w:p>
    <w:p w:rsidR="002D554B" w:rsidRDefault="00D01039" w:rsidP="002D554B">
      <w:pPr>
        <w:numPr>
          <w:ilvl w:val="0"/>
          <w:numId w:val="15"/>
        </w:numPr>
        <w:tabs>
          <w:tab w:val="clear" w:pos="2160"/>
        </w:tabs>
        <w:spacing w:line="360" w:lineRule="auto"/>
        <w:ind w:left="0" w:firstLine="1440"/>
        <w:rPr>
          <w:sz w:val="24"/>
          <w:szCs w:val="24"/>
        </w:rPr>
      </w:pPr>
      <w:r>
        <w:rPr>
          <w:sz w:val="24"/>
          <w:szCs w:val="24"/>
        </w:rPr>
        <w:t xml:space="preserve">That the </w:t>
      </w:r>
      <w:r w:rsidR="00B060A4">
        <w:rPr>
          <w:sz w:val="24"/>
          <w:szCs w:val="24"/>
        </w:rPr>
        <w:t>F</w:t>
      </w:r>
      <w:r w:rsidR="0081586E">
        <w:rPr>
          <w:sz w:val="24"/>
          <w:szCs w:val="24"/>
        </w:rPr>
        <w:t xml:space="preserve">ormal </w:t>
      </w:r>
      <w:r w:rsidR="00B060A4">
        <w:rPr>
          <w:sz w:val="24"/>
          <w:szCs w:val="24"/>
        </w:rPr>
        <w:t>C</w:t>
      </w:r>
      <w:r w:rsidR="0081586E">
        <w:rPr>
          <w:sz w:val="24"/>
          <w:szCs w:val="24"/>
        </w:rPr>
        <w:t>omplaint of Robert J</w:t>
      </w:r>
      <w:r>
        <w:rPr>
          <w:sz w:val="24"/>
          <w:szCs w:val="24"/>
        </w:rPr>
        <w:t>. Hoffman at Docket No</w:t>
      </w:r>
      <w:r w:rsidR="00AD1FB0">
        <w:rPr>
          <w:sz w:val="24"/>
          <w:szCs w:val="24"/>
        </w:rPr>
        <w:t>.</w:t>
      </w:r>
      <w:r>
        <w:rPr>
          <w:sz w:val="24"/>
          <w:szCs w:val="24"/>
        </w:rPr>
        <w:t xml:space="preserve"> C</w:t>
      </w:r>
      <w:r w:rsidR="00AD1FB0">
        <w:rPr>
          <w:sz w:val="24"/>
          <w:szCs w:val="24"/>
        </w:rPr>
        <w:noBreakHyphen/>
      </w:r>
      <w:r>
        <w:rPr>
          <w:sz w:val="24"/>
          <w:szCs w:val="24"/>
        </w:rPr>
        <w:t>2009</w:t>
      </w:r>
      <w:r w:rsidR="00AD1FB0">
        <w:rPr>
          <w:sz w:val="24"/>
          <w:szCs w:val="24"/>
        </w:rPr>
        <w:noBreakHyphen/>
      </w:r>
      <w:r w:rsidR="0081586E">
        <w:rPr>
          <w:sz w:val="24"/>
          <w:szCs w:val="24"/>
        </w:rPr>
        <w:t xml:space="preserve">2130993 and the </w:t>
      </w:r>
      <w:r w:rsidR="00B060A4">
        <w:rPr>
          <w:sz w:val="24"/>
          <w:szCs w:val="24"/>
        </w:rPr>
        <w:t>F</w:t>
      </w:r>
      <w:r w:rsidR="0081586E">
        <w:rPr>
          <w:sz w:val="24"/>
          <w:szCs w:val="24"/>
        </w:rPr>
        <w:t xml:space="preserve">ormal </w:t>
      </w:r>
      <w:r w:rsidR="00B060A4">
        <w:rPr>
          <w:sz w:val="24"/>
          <w:szCs w:val="24"/>
        </w:rPr>
        <w:t>C</w:t>
      </w:r>
      <w:r w:rsidR="0081586E">
        <w:rPr>
          <w:sz w:val="24"/>
          <w:szCs w:val="24"/>
        </w:rPr>
        <w:t xml:space="preserve">omplaint of </w:t>
      </w:r>
      <w:r w:rsidR="00B97679">
        <w:rPr>
          <w:sz w:val="24"/>
          <w:szCs w:val="24"/>
        </w:rPr>
        <w:t>David</w:t>
      </w:r>
      <w:r w:rsidR="0081586E">
        <w:rPr>
          <w:sz w:val="24"/>
          <w:szCs w:val="24"/>
        </w:rPr>
        <w:t xml:space="preserve"> C. Althouse at Docket No. C</w:t>
      </w:r>
      <w:r w:rsidR="00AD1FB0">
        <w:rPr>
          <w:sz w:val="24"/>
          <w:szCs w:val="24"/>
        </w:rPr>
        <w:noBreakHyphen/>
      </w:r>
      <w:r w:rsidR="0081586E">
        <w:rPr>
          <w:sz w:val="24"/>
          <w:szCs w:val="24"/>
        </w:rPr>
        <w:t>2010</w:t>
      </w:r>
      <w:r w:rsidR="00AD1FB0">
        <w:rPr>
          <w:sz w:val="24"/>
          <w:szCs w:val="24"/>
        </w:rPr>
        <w:noBreakHyphen/>
      </w:r>
      <w:r w:rsidR="0081586E">
        <w:rPr>
          <w:sz w:val="24"/>
          <w:szCs w:val="24"/>
        </w:rPr>
        <w:t>2163436 are dismissed for failure to meet their burdens of proof.</w:t>
      </w:r>
    </w:p>
    <w:p w:rsidR="0081586E" w:rsidRDefault="0081586E" w:rsidP="0081586E">
      <w:pPr>
        <w:spacing w:line="360" w:lineRule="auto"/>
        <w:ind w:left="1440"/>
        <w:rPr>
          <w:sz w:val="24"/>
          <w:szCs w:val="24"/>
        </w:rPr>
      </w:pPr>
      <w:r>
        <w:rPr>
          <w:sz w:val="24"/>
          <w:szCs w:val="24"/>
        </w:rPr>
        <w:t xml:space="preserve"> </w:t>
      </w:r>
    </w:p>
    <w:p w:rsidR="0081586E" w:rsidRDefault="0081586E" w:rsidP="002D554B">
      <w:pPr>
        <w:numPr>
          <w:ilvl w:val="0"/>
          <w:numId w:val="15"/>
        </w:numPr>
        <w:tabs>
          <w:tab w:val="clear" w:pos="2160"/>
        </w:tabs>
        <w:spacing w:line="360" w:lineRule="auto"/>
        <w:ind w:left="0" w:firstLine="1440"/>
        <w:rPr>
          <w:sz w:val="24"/>
          <w:szCs w:val="24"/>
        </w:rPr>
      </w:pPr>
      <w:r>
        <w:rPr>
          <w:sz w:val="24"/>
          <w:szCs w:val="24"/>
        </w:rPr>
        <w:t>That the Secretary’s Bureau mark Docket Nos. C-2009-2130993 and C</w:t>
      </w:r>
      <w:r w:rsidR="00AD1FB0">
        <w:rPr>
          <w:sz w:val="24"/>
          <w:szCs w:val="24"/>
        </w:rPr>
        <w:noBreakHyphen/>
      </w:r>
      <w:r>
        <w:rPr>
          <w:sz w:val="24"/>
          <w:szCs w:val="24"/>
        </w:rPr>
        <w:t>2010-2163436 closed.</w:t>
      </w:r>
    </w:p>
    <w:p w:rsidR="00CE68C6" w:rsidRDefault="00CE68C6" w:rsidP="00CE68C6">
      <w:pPr>
        <w:spacing w:line="360" w:lineRule="auto"/>
        <w:rPr>
          <w:sz w:val="24"/>
          <w:szCs w:val="24"/>
        </w:rPr>
      </w:pPr>
    </w:p>
    <w:p w:rsidR="00AD7302" w:rsidRDefault="00AD7302"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81586E">
        <w:rPr>
          <w:sz w:val="24"/>
          <w:szCs w:val="24"/>
          <w:u w:val="single"/>
        </w:rPr>
        <w:t>August 11, 2010</w:t>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823398" w:rsidRDefault="00DE562E" w:rsidP="0005463A">
      <w:pPr>
        <w:rPr>
          <w:sz w:val="24"/>
          <w:szCs w:val="24"/>
        </w:rPr>
        <w:sectPr w:rsidR="00823398" w:rsidSect="005F452A">
          <w:footerReference w:type="even" r:id="rId7"/>
          <w:footerReference w:type="default" r:id="rId8"/>
          <w:pgSz w:w="12240" w:h="15840" w:code="1"/>
          <w:pgMar w:top="1440" w:right="1440" w:bottom="1440" w:left="1440" w:header="720" w:footer="720" w:gutter="0"/>
          <w:cols w:space="720"/>
          <w:titlePg/>
          <w:docGrid w:linePitch="360"/>
        </w:sect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6034D3" w:rsidRPr="00537DC9" w:rsidRDefault="006034D3" w:rsidP="00537DC9">
      <w:pPr>
        <w:jc w:val="center"/>
        <w:rPr>
          <w:b/>
          <w:kern w:val="1"/>
        </w:rPr>
      </w:pPr>
      <w:r w:rsidRPr="00537DC9">
        <w:rPr>
          <w:b/>
          <w:kern w:val="1"/>
        </w:rPr>
        <w:lastRenderedPageBreak/>
        <w:t>PENNSYLVANIA PUBLIC UTILITY COMMISSION</w:t>
      </w:r>
    </w:p>
    <w:p w:rsidR="006034D3" w:rsidRDefault="006034D3" w:rsidP="006034D3">
      <w:pPr>
        <w:tabs>
          <w:tab w:val="center" w:pos="4752"/>
        </w:tabs>
        <w:suppressAutoHyphens/>
        <w:rPr>
          <w:kern w:val="1"/>
        </w:rPr>
      </w:pPr>
      <w:r>
        <w:rPr>
          <w:b/>
          <w:kern w:val="1"/>
        </w:rPr>
        <w:tab/>
        <w:t>Uniform Cover and Calendar Sheet</w:t>
      </w:r>
    </w:p>
    <w:tbl>
      <w:tblPr>
        <w:tblW w:w="0" w:type="auto"/>
        <w:jc w:val="center"/>
        <w:tblBorders>
          <w:top w:val="double" w:sz="4" w:space="0" w:color="auto"/>
          <w:bottom w:val="single" w:sz="4" w:space="0" w:color="auto"/>
          <w:insideH w:val="single" w:sz="6" w:space="0" w:color="auto"/>
          <w:insideV w:val="single" w:sz="6" w:space="0" w:color="auto"/>
        </w:tblBorders>
        <w:tblLayout w:type="fixed"/>
        <w:tblCellMar>
          <w:left w:w="120" w:type="dxa"/>
          <w:right w:w="120" w:type="dxa"/>
        </w:tblCellMar>
        <w:tblLook w:val="0000"/>
      </w:tblPr>
      <w:tblGrid>
        <w:gridCol w:w="5110"/>
        <w:gridCol w:w="4394"/>
      </w:tblGrid>
      <w:tr w:rsidR="006034D3" w:rsidTr="00FE6B75">
        <w:trPr>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kern w:val="1"/>
              </w:rPr>
            </w:pPr>
            <w:r>
              <w:rPr>
                <w:b/>
                <w:kern w:val="1"/>
              </w:rPr>
              <w:t>1.</w:t>
            </w:r>
            <w:r>
              <w:rPr>
                <w:b/>
                <w:kern w:val="1"/>
              </w:rPr>
              <w:tab/>
            </w:r>
            <w:r w:rsidRPr="007963D9">
              <w:rPr>
                <w:b/>
                <w:kern w:val="1"/>
                <w:u w:val="single"/>
              </w:rPr>
              <w:t>REPORT DATE</w:t>
            </w:r>
            <w:r>
              <w:rPr>
                <w:b/>
                <w:kern w:val="1"/>
              </w:rPr>
              <w:t>:</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after="54"/>
              <w:rPr>
                <w:kern w:val="1"/>
              </w:rPr>
            </w:pPr>
            <w:r>
              <w:rPr>
                <w:kern w:val="1"/>
              </w:rPr>
              <w:tab/>
              <w:t>+</w:t>
            </w:r>
          </w:p>
        </w:tc>
        <w:tc>
          <w:tcPr>
            <w:tcW w:w="4394" w:type="dxa"/>
            <w:vMerge w:val="restart"/>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kern w:val="1"/>
                <w:u w:val="single"/>
              </w:rPr>
            </w:pPr>
            <w:r>
              <w:rPr>
                <w:b/>
                <w:kern w:val="1"/>
              </w:rPr>
              <w:t>2.</w:t>
            </w:r>
            <w:r>
              <w:rPr>
                <w:b/>
                <w:kern w:val="1"/>
              </w:rPr>
              <w:tab/>
            </w:r>
            <w:r>
              <w:rPr>
                <w:b/>
                <w:kern w:val="1"/>
                <w:u w:val="single"/>
              </w:rPr>
              <w:t>BUREAU AGENDA NO.</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rPr>
                <w:kern w:val="1"/>
              </w:rPr>
            </w:pPr>
            <w:r>
              <w:rPr>
                <w:kern w:val="1"/>
              </w:rPr>
              <w:tab/>
            </w:r>
          </w:p>
        </w:tc>
      </w:tr>
      <w:tr w:rsidR="006034D3" w:rsidTr="00FE6B75">
        <w:trPr>
          <w:trHeight w:val="444"/>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b/>
                <w:kern w:val="1"/>
              </w:rPr>
            </w:pPr>
            <w:r>
              <w:rPr>
                <w:b/>
                <w:kern w:val="1"/>
              </w:rPr>
              <w:t>3.</w:t>
            </w:r>
            <w:r>
              <w:rPr>
                <w:b/>
                <w:kern w:val="1"/>
              </w:rPr>
              <w:tab/>
            </w:r>
            <w:r w:rsidRPr="007963D9">
              <w:rPr>
                <w:b/>
                <w:kern w:val="1"/>
                <w:u w:val="single"/>
              </w:rPr>
              <w:t>BUREAU</w:t>
            </w:r>
            <w:r>
              <w:rPr>
                <w:b/>
                <w:kern w:val="1"/>
              </w:rPr>
              <w:t xml:space="preserve">:  </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ind w:firstLine="420"/>
              <w:rPr>
                <w:kern w:val="1"/>
              </w:rPr>
            </w:pPr>
            <w:r>
              <w:rPr>
                <w:b/>
                <w:kern w:val="1"/>
              </w:rPr>
              <w:t>Office of Administrative Law Judge</w:t>
            </w:r>
          </w:p>
        </w:tc>
        <w:tc>
          <w:tcPr>
            <w:tcW w:w="4394" w:type="dxa"/>
            <w:vMerge/>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6034D3" w:rsidTr="00FE6B75">
        <w:trPr>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4.</w:t>
            </w:r>
            <w:r>
              <w:rPr>
                <w:b/>
                <w:kern w:val="1"/>
              </w:rPr>
              <w:tab/>
            </w:r>
            <w:r w:rsidRPr="007963D9">
              <w:rPr>
                <w:b/>
                <w:kern w:val="1"/>
                <w:u w:val="single"/>
              </w:rPr>
              <w:t>SECTION(S)</w:t>
            </w:r>
            <w:r>
              <w:rPr>
                <w:b/>
                <w:kern w:val="1"/>
              </w:rPr>
              <w:t>:</w:t>
            </w:r>
            <w:r>
              <w:rPr>
                <w:kern w:val="1"/>
              </w:rPr>
              <w:t xml:space="preserve"> </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after="54"/>
              <w:rPr>
                <w:kern w:val="1"/>
              </w:rPr>
            </w:pPr>
          </w:p>
        </w:tc>
        <w:tc>
          <w:tcPr>
            <w:tcW w:w="4394" w:type="dxa"/>
            <w:vMerge w:val="restart"/>
          </w:tcPr>
          <w:p w:rsidR="006034D3" w:rsidRDefault="006034D3" w:rsidP="00FE6B75">
            <w:pPr>
              <w:tabs>
                <w:tab w:val="left" w:pos="-1440"/>
                <w:tab w:val="left" w:pos="-720"/>
                <w:tab w:val="left" w:pos="0"/>
                <w:tab w:val="left" w:pos="432"/>
                <w:tab w:val="left" w:pos="576"/>
                <w:tab w:val="left" w:pos="1440"/>
                <w:tab w:val="left" w:pos="2086"/>
                <w:tab w:val="left" w:pos="2880"/>
              </w:tabs>
              <w:suppressAutoHyphens/>
              <w:rPr>
                <w:kern w:val="1"/>
              </w:rPr>
            </w:pPr>
            <w:r>
              <w:rPr>
                <w:b/>
                <w:kern w:val="1"/>
              </w:rPr>
              <w:t>5.</w:t>
            </w:r>
            <w:r>
              <w:rPr>
                <w:b/>
                <w:kern w:val="1"/>
              </w:rPr>
              <w:tab/>
            </w:r>
            <w:r>
              <w:rPr>
                <w:b/>
                <w:kern w:val="1"/>
                <w:u w:val="single"/>
              </w:rPr>
              <w:t>PUBLIC MEETING DATE:</w:t>
            </w:r>
            <w:r>
              <w:rPr>
                <w:kern w:val="1"/>
              </w:rPr>
              <w:tab/>
            </w:r>
          </w:p>
          <w:p w:rsidR="006034D3" w:rsidRDefault="006034D3" w:rsidP="00FE6B75">
            <w:pPr>
              <w:tabs>
                <w:tab w:val="left" w:pos="-1440"/>
                <w:tab w:val="left" w:pos="-720"/>
                <w:tab w:val="left" w:pos="440"/>
                <w:tab w:val="left" w:pos="576"/>
                <w:tab w:val="left" w:pos="1440"/>
                <w:tab w:val="left" w:pos="2086"/>
                <w:tab w:val="left" w:pos="2880"/>
              </w:tabs>
              <w:suppressAutoHyphens/>
              <w:spacing w:before="90" w:after="54"/>
              <w:ind w:firstLine="440"/>
              <w:rPr>
                <w:kern w:val="1"/>
              </w:rPr>
            </w:pPr>
          </w:p>
        </w:tc>
      </w:tr>
      <w:tr w:rsidR="006034D3" w:rsidTr="00FE6B75">
        <w:trPr>
          <w:trHeight w:val="675"/>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6.</w:t>
            </w:r>
            <w:r>
              <w:rPr>
                <w:b/>
                <w:kern w:val="1"/>
              </w:rPr>
              <w:tab/>
            </w:r>
            <w:r w:rsidRPr="007963D9">
              <w:rPr>
                <w:b/>
                <w:kern w:val="1"/>
                <w:u w:val="single"/>
              </w:rPr>
              <w:t>APPROVED BY</w:t>
            </w:r>
            <w:r>
              <w:rPr>
                <w:b/>
                <w:kern w:val="1"/>
              </w:rPr>
              <w:t>:</w:t>
            </w:r>
          </w:p>
          <w:p w:rsidR="006034D3" w:rsidRDefault="006034D3" w:rsidP="00EB1EEE">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ab/>
              <w:t xml:space="preserve">Chief ALJ </w:t>
            </w:r>
          </w:p>
        </w:tc>
        <w:tc>
          <w:tcPr>
            <w:tcW w:w="4394" w:type="dxa"/>
            <w:vMerge/>
          </w:tcPr>
          <w:p w:rsidR="006034D3" w:rsidRDefault="006034D3" w:rsidP="00FE6B75">
            <w:pPr>
              <w:tabs>
                <w:tab w:val="left" w:pos="-1440"/>
                <w:tab w:val="left" w:pos="-720"/>
                <w:tab w:val="left" w:pos="440"/>
                <w:tab w:val="left" w:pos="576"/>
                <w:tab w:val="left" w:pos="1440"/>
                <w:tab w:val="left" w:pos="2086"/>
                <w:tab w:val="left" w:pos="2880"/>
              </w:tabs>
              <w:suppressAutoHyphens/>
              <w:spacing w:before="90" w:after="54"/>
              <w:ind w:firstLine="440"/>
              <w:rPr>
                <w:kern w:val="1"/>
              </w:rPr>
            </w:pPr>
          </w:p>
        </w:tc>
      </w:tr>
      <w:tr w:rsidR="006034D3" w:rsidTr="00FE6B75">
        <w:trPr>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b/>
                <w:kern w:val="1"/>
              </w:rPr>
            </w:pPr>
            <w:r>
              <w:rPr>
                <w:b/>
                <w:kern w:val="1"/>
              </w:rPr>
              <w:t>7.</w:t>
            </w:r>
            <w:r>
              <w:rPr>
                <w:b/>
                <w:kern w:val="1"/>
              </w:rPr>
              <w:tab/>
            </w:r>
            <w:r w:rsidRPr="00CC3139">
              <w:rPr>
                <w:b/>
                <w:kern w:val="1"/>
                <w:u w:val="single"/>
              </w:rPr>
              <w:t>PERSONS IN CHARGE</w:t>
            </w:r>
            <w:r>
              <w:rPr>
                <w:b/>
                <w:kern w:val="1"/>
              </w:rPr>
              <w:t>:</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kern w:val="1"/>
              </w:rPr>
            </w:pPr>
            <w:r>
              <w:rPr>
                <w:kern w:val="1"/>
              </w:rPr>
              <w:tab/>
            </w:r>
          </w:p>
        </w:tc>
        <w:tc>
          <w:tcPr>
            <w:tcW w:w="4394" w:type="dxa"/>
            <w:vMerge w:val="restart"/>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after="54"/>
              <w:rPr>
                <w:szCs w:val="24"/>
              </w:rPr>
            </w:pPr>
            <w:r w:rsidRPr="00425EAA">
              <w:rPr>
                <w:b/>
                <w:szCs w:val="24"/>
              </w:rPr>
              <w:t xml:space="preserve">9.  </w:t>
            </w:r>
            <w:r w:rsidRPr="00425EAA">
              <w:rPr>
                <w:b/>
                <w:szCs w:val="24"/>
                <w:u w:val="single"/>
              </w:rPr>
              <w:t>EFFECTIVE DATE OF FILING</w:t>
            </w:r>
          </w:p>
          <w:p w:rsidR="006034D3" w:rsidRPr="00425EAA" w:rsidRDefault="006034D3" w:rsidP="00FE6B75">
            <w:pPr>
              <w:tabs>
                <w:tab w:val="left" w:pos="-1440"/>
                <w:tab w:val="left" w:pos="-720"/>
                <w:tab w:val="left" w:pos="0"/>
                <w:tab w:val="left" w:pos="432"/>
                <w:tab w:val="left" w:pos="576"/>
                <w:tab w:val="left" w:pos="1440"/>
                <w:tab w:val="left" w:pos="2086"/>
                <w:tab w:val="left" w:pos="2880"/>
              </w:tabs>
              <w:suppressAutoHyphens/>
              <w:spacing w:before="90" w:after="54"/>
              <w:ind w:firstLine="440"/>
              <w:rPr>
                <w:kern w:val="1"/>
                <w:szCs w:val="24"/>
              </w:rPr>
            </w:pPr>
            <w:r>
              <w:rPr>
                <w:szCs w:val="24"/>
              </w:rPr>
              <w:t>+</w:t>
            </w:r>
          </w:p>
        </w:tc>
      </w:tr>
      <w:tr w:rsidR="006034D3" w:rsidTr="00FE6B75">
        <w:trPr>
          <w:jc w:val="center"/>
        </w:trPr>
        <w:tc>
          <w:tcPr>
            <w:tcW w:w="5110" w:type="dxa"/>
          </w:tcPr>
          <w:p w:rsidR="006034D3" w:rsidRDefault="006034D3" w:rsidP="00FE6B75">
            <w:pPr>
              <w:pStyle w:val="EndnoteText"/>
              <w:tabs>
                <w:tab w:val="left" w:pos="-1440"/>
                <w:tab w:val="left" w:pos="-720"/>
                <w:tab w:val="left" w:pos="0"/>
                <w:tab w:val="left" w:pos="432"/>
                <w:tab w:val="left" w:pos="576"/>
                <w:tab w:val="left" w:pos="1440"/>
                <w:tab w:val="left" w:pos="2086"/>
                <w:tab w:val="left" w:pos="2880"/>
              </w:tabs>
              <w:suppressAutoHyphens/>
              <w:spacing w:after="54"/>
              <w:rPr>
                <w:rFonts w:ascii="Times New Roman" w:hAnsi="Times New Roman"/>
                <w:kern w:val="1"/>
              </w:rPr>
            </w:pPr>
            <w:r>
              <w:rPr>
                <w:rFonts w:ascii="Times New Roman" w:hAnsi="Times New Roman"/>
                <w:b/>
                <w:kern w:val="1"/>
              </w:rPr>
              <w:t>8.</w:t>
            </w:r>
            <w:r>
              <w:rPr>
                <w:rFonts w:ascii="Times New Roman" w:hAnsi="Times New Roman"/>
                <w:b/>
                <w:kern w:val="1"/>
              </w:rPr>
              <w:tab/>
            </w:r>
            <w:r w:rsidRPr="000563AE">
              <w:rPr>
                <w:rFonts w:ascii="Times New Roman" w:hAnsi="Times New Roman"/>
                <w:b/>
                <w:kern w:val="1"/>
                <w:u w:val="single"/>
              </w:rPr>
              <w:t>DOCKET NO</w:t>
            </w:r>
            <w:r>
              <w:rPr>
                <w:rFonts w:ascii="Times New Roman" w:hAnsi="Times New Roman"/>
                <w:b/>
                <w:kern w:val="1"/>
              </w:rPr>
              <w:t>.:</w:t>
            </w:r>
            <w:r>
              <w:rPr>
                <w:rFonts w:ascii="Times New Roman" w:hAnsi="Times New Roman"/>
                <w:kern w:val="1"/>
              </w:rPr>
              <w:tab/>
            </w:r>
          </w:p>
          <w:p w:rsidR="006034D3" w:rsidRDefault="0050103F" w:rsidP="0050103F">
            <w:pPr>
              <w:pStyle w:val="EndnoteText"/>
              <w:tabs>
                <w:tab w:val="left" w:pos="-1440"/>
                <w:tab w:val="left" w:pos="-720"/>
                <w:tab w:val="left" w:pos="0"/>
                <w:tab w:val="left" w:pos="432"/>
                <w:tab w:val="left" w:pos="576"/>
                <w:tab w:val="left" w:pos="1440"/>
                <w:tab w:val="left" w:pos="2086"/>
                <w:tab w:val="left" w:pos="2880"/>
              </w:tabs>
              <w:suppressAutoHyphens/>
              <w:spacing w:after="54"/>
              <w:ind w:firstLine="420"/>
              <w:rPr>
                <w:rFonts w:ascii="Times New Roman" w:hAnsi="Times New Roman"/>
                <w:kern w:val="1"/>
              </w:rPr>
            </w:pPr>
            <w:r>
              <w:rPr>
                <w:rFonts w:ascii="Times New Roman" w:hAnsi="Times New Roman"/>
                <w:kern w:val="1"/>
              </w:rPr>
              <w:t>C-2009-2130993; C-2010-2163436</w:t>
            </w:r>
          </w:p>
        </w:tc>
        <w:tc>
          <w:tcPr>
            <w:tcW w:w="4394" w:type="dxa"/>
            <w:vMerge/>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6034D3" w:rsidTr="00FE6B75">
        <w:trPr>
          <w:jc w:val="center"/>
        </w:trPr>
        <w:tc>
          <w:tcPr>
            <w:tcW w:w="9504" w:type="dxa"/>
            <w:gridSpan w:val="2"/>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kern w:val="1"/>
              </w:rPr>
            </w:pPr>
            <w:r>
              <w:rPr>
                <w:b/>
                <w:kern w:val="1"/>
              </w:rPr>
              <w:t>9.</w:t>
            </w:r>
            <w:r>
              <w:rPr>
                <w:b/>
                <w:kern w:val="1"/>
              </w:rPr>
              <w:tab/>
              <w:t xml:space="preserve">(a) CAPTION </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rPr>
                <w:kern w:val="1"/>
              </w:rPr>
            </w:pPr>
            <w:r>
              <w:rPr>
                <w:b/>
                <w:kern w:val="1"/>
              </w:rPr>
              <w:tab/>
              <w:t>(b) Short summary of history &amp; facts, documents &amp; briefs</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rPr>
                <w:kern w:val="1"/>
              </w:rPr>
            </w:pPr>
            <w:r>
              <w:rPr>
                <w:b/>
                <w:kern w:val="1"/>
              </w:rPr>
              <w:tab/>
              <w:t>(c) Recommendation</w:t>
            </w:r>
          </w:p>
        </w:tc>
      </w:tr>
    </w:tbl>
    <w:p w:rsidR="006034D3" w:rsidRDefault="006034D3" w:rsidP="006034D3">
      <w:pPr>
        <w:suppressAutoHyphens/>
        <w:rPr>
          <w:kern w:val="1"/>
        </w:rPr>
      </w:pPr>
    </w:p>
    <w:p w:rsidR="006034D3" w:rsidRDefault="006034D3" w:rsidP="007B34B1">
      <w:pPr>
        <w:pStyle w:val="BodyText"/>
        <w:ind w:left="720" w:hanging="720"/>
        <w:rPr>
          <w:sz w:val="24"/>
          <w:szCs w:val="24"/>
        </w:rPr>
      </w:pPr>
      <w:r>
        <w:rPr>
          <w:sz w:val="24"/>
          <w:szCs w:val="24"/>
        </w:rPr>
        <w:t>(a)</w:t>
      </w:r>
      <w:r>
        <w:rPr>
          <w:sz w:val="24"/>
          <w:szCs w:val="24"/>
        </w:rPr>
        <w:tab/>
      </w:r>
      <w:r w:rsidR="0050103F">
        <w:rPr>
          <w:sz w:val="24"/>
          <w:szCs w:val="24"/>
        </w:rPr>
        <w:t xml:space="preserve">Robert J. </w:t>
      </w:r>
      <w:r w:rsidR="007B34B1">
        <w:rPr>
          <w:sz w:val="24"/>
          <w:szCs w:val="24"/>
        </w:rPr>
        <w:t>Hoffman; Docket No. C-2009-2130993 and David C. Althouse; Docket No. C</w:t>
      </w:r>
      <w:r w:rsidR="007B34B1">
        <w:rPr>
          <w:sz w:val="24"/>
          <w:szCs w:val="24"/>
        </w:rPr>
        <w:noBreakHyphen/>
        <w:t>2010</w:t>
      </w:r>
      <w:r w:rsidR="007B34B1">
        <w:rPr>
          <w:sz w:val="24"/>
          <w:szCs w:val="24"/>
        </w:rPr>
        <w:noBreakHyphen/>
        <w:t xml:space="preserve">2163436 </w:t>
      </w:r>
      <w:r>
        <w:rPr>
          <w:sz w:val="24"/>
          <w:szCs w:val="24"/>
        </w:rPr>
        <w:t>v.</w:t>
      </w:r>
      <w:r w:rsidR="007B34B1">
        <w:rPr>
          <w:sz w:val="24"/>
          <w:szCs w:val="24"/>
        </w:rPr>
        <w:t xml:space="preserve"> PPL Electric Utilities Corporation.</w:t>
      </w:r>
    </w:p>
    <w:p w:rsidR="006034D3" w:rsidRDefault="006034D3" w:rsidP="006034D3">
      <w:pPr>
        <w:pStyle w:val="BodyText"/>
        <w:rPr>
          <w:sz w:val="24"/>
          <w:szCs w:val="24"/>
        </w:rPr>
      </w:pPr>
    </w:p>
    <w:p w:rsidR="006034D3" w:rsidRDefault="006034D3" w:rsidP="006034D3">
      <w:pPr>
        <w:pStyle w:val="BodyText"/>
        <w:ind w:left="720" w:hanging="720"/>
        <w:rPr>
          <w:sz w:val="24"/>
          <w:szCs w:val="24"/>
        </w:rPr>
      </w:pPr>
      <w:r>
        <w:rPr>
          <w:sz w:val="24"/>
          <w:szCs w:val="24"/>
        </w:rPr>
        <w:t>(b)</w:t>
      </w:r>
      <w:r>
        <w:rPr>
          <w:sz w:val="24"/>
          <w:szCs w:val="24"/>
        </w:rPr>
        <w:tab/>
        <w:t>Complaint</w:t>
      </w:r>
      <w:r w:rsidR="0050103F">
        <w:rPr>
          <w:sz w:val="24"/>
          <w:szCs w:val="24"/>
        </w:rPr>
        <w:t>s</w:t>
      </w:r>
      <w:r>
        <w:rPr>
          <w:sz w:val="24"/>
          <w:szCs w:val="24"/>
        </w:rPr>
        <w:t xml:space="preserve"> filed </w:t>
      </w:r>
      <w:r w:rsidR="0050103F">
        <w:rPr>
          <w:sz w:val="24"/>
          <w:szCs w:val="24"/>
        </w:rPr>
        <w:t>9/9/09 and</w:t>
      </w:r>
      <w:r>
        <w:rPr>
          <w:sz w:val="24"/>
          <w:szCs w:val="24"/>
        </w:rPr>
        <w:t xml:space="preserve"> </w:t>
      </w:r>
      <w:r w:rsidR="00E24B08">
        <w:rPr>
          <w:sz w:val="24"/>
          <w:szCs w:val="24"/>
        </w:rPr>
        <w:t xml:space="preserve">2/21/10 </w:t>
      </w:r>
      <w:r>
        <w:rPr>
          <w:sz w:val="24"/>
          <w:szCs w:val="24"/>
        </w:rPr>
        <w:t xml:space="preserve">alleging </w:t>
      </w:r>
      <w:r w:rsidR="001E4CEF">
        <w:rPr>
          <w:sz w:val="24"/>
          <w:szCs w:val="24"/>
        </w:rPr>
        <w:t>service dispute</w:t>
      </w:r>
      <w:r w:rsidR="00EF7711">
        <w:rPr>
          <w:sz w:val="24"/>
          <w:szCs w:val="24"/>
        </w:rPr>
        <w:t>s</w:t>
      </w:r>
      <w:r>
        <w:rPr>
          <w:sz w:val="24"/>
          <w:szCs w:val="24"/>
        </w:rPr>
        <w:t xml:space="preserve"> and asked that the Commission order </w:t>
      </w:r>
      <w:r w:rsidR="001E4CEF">
        <w:rPr>
          <w:sz w:val="24"/>
          <w:szCs w:val="24"/>
        </w:rPr>
        <w:t>Respondent to install a new conduit</w:t>
      </w:r>
      <w:r>
        <w:rPr>
          <w:sz w:val="24"/>
          <w:szCs w:val="24"/>
        </w:rPr>
        <w:t>.  Answer</w:t>
      </w:r>
      <w:r w:rsidR="00AE11CB">
        <w:rPr>
          <w:sz w:val="24"/>
          <w:szCs w:val="24"/>
        </w:rPr>
        <w:t>s</w:t>
      </w:r>
      <w:r>
        <w:rPr>
          <w:sz w:val="24"/>
          <w:szCs w:val="24"/>
        </w:rPr>
        <w:t xml:space="preserve"> filed </w:t>
      </w:r>
      <w:r w:rsidR="0050103F">
        <w:rPr>
          <w:sz w:val="24"/>
          <w:szCs w:val="24"/>
        </w:rPr>
        <w:t>10/8/09</w:t>
      </w:r>
      <w:r>
        <w:rPr>
          <w:sz w:val="24"/>
          <w:szCs w:val="24"/>
        </w:rPr>
        <w:t xml:space="preserve"> </w:t>
      </w:r>
      <w:r w:rsidR="00AE11CB">
        <w:rPr>
          <w:sz w:val="24"/>
          <w:szCs w:val="24"/>
        </w:rPr>
        <w:t xml:space="preserve">and 4/1/10 </w:t>
      </w:r>
      <w:r>
        <w:rPr>
          <w:sz w:val="24"/>
          <w:szCs w:val="24"/>
        </w:rPr>
        <w:t>denying the allegations.</w:t>
      </w:r>
      <w:r w:rsidR="00AE11CB">
        <w:rPr>
          <w:sz w:val="24"/>
          <w:szCs w:val="24"/>
        </w:rPr>
        <w:t xml:space="preserve"> </w:t>
      </w:r>
      <w:r>
        <w:rPr>
          <w:sz w:val="24"/>
          <w:szCs w:val="24"/>
        </w:rPr>
        <w:t xml:space="preserve"> </w:t>
      </w:r>
      <w:r w:rsidR="0050103F">
        <w:rPr>
          <w:sz w:val="24"/>
          <w:szCs w:val="24"/>
        </w:rPr>
        <w:t>Initial</w:t>
      </w:r>
      <w:r>
        <w:rPr>
          <w:sz w:val="24"/>
          <w:szCs w:val="24"/>
        </w:rPr>
        <w:t xml:space="preserve"> hearing held </w:t>
      </w:r>
      <w:r w:rsidR="0050103F">
        <w:rPr>
          <w:sz w:val="24"/>
          <w:szCs w:val="24"/>
        </w:rPr>
        <w:t>4/13/10</w:t>
      </w:r>
      <w:r>
        <w:rPr>
          <w:sz w:val="24"/>
          <w:szCs w:val="24"/>
        </w:rPr>
        <w:t>.  Complainant</w:t>
      </w:r>
      <w:r w:rsidR="0050103F">
        <w:rPr>
          <w:sz w:val="24"/>
          <w:szCs w:val="24"/>
        </w:rPr>
        <w:t>s</w:t>
      </w:r>
      <w:r>
        <w:rPr>
          <w:sz w:val="24"/>
          <w:szCs w:val="24"/>
        </w:rPr>
        <w:t xml:space="preserve"> appeared </w:t>
      </w:r>
      <w:r w:rsidRPr="0050103F">
        <w:rPr>
          <w:i/>
          <w:sz w:val="24"/>
          <w:szCs w:val="24"/>
        </w:rPr>
        <w:t>pro</w:t>
      </w:r>
      <w:r w:rsidR="00034641">
        <w:rPr>
          <w:i/>
          <w:sz w:val="24"/>
          <w:szCs w:val="24"/>
        </w:rPr>
        <w:t> </w:t>
      </w:r>
      <w:r w:rsidRPr="0050103F">
        <w:rPr>
          <w:i/>
          <w:sz w:val="24"/>
          <w:szCs w:val="24"/>
        </w:rPr>
        <w:t>se</w:t>
      </w:r>
      <w:r>
        <w:rPr>
          <w:sz w:val="24"/>
          <w:szCs w:val="24"/>
        </w:rPr>
        <w:t xml:space="preserve">; Respondent was represented by counsel.  The record closed on </w:t>
      </w:r>
      <w:r w:rsidR="0050103F">
        <w:rPr>
          <w:sz w:val="24"/>
          <w:szCs w:val="24"/>
        </w:rPr>
        <w:t>5/13/10</w:t>
      </w:r>
      <w:r>
        <w:rPr>
          <w:sz w:val="24"/>
          <w:szCs w:val="24"/>
        </w:rPr>
        <w:t>.</w:t>
      </w:r>
    </w:p>
    <w:p w:rsidR="006034D3" w:rsidRDefault="006034D3" w:rsidP="006034D3">
      <w:pPr>
        <w:pStyle w:val="BodyText"/>
        <w:rPr>
          <w:sz w:val="24"/>
          <w:szCs w:val="24"/>
        </w:rPr>
      </w:pPr>
    </w:p>
    <w:p w:rsidR="006034D3" w:rsidRDefault="006034D3" w:rsidP="006034D3">
      <w:pPr>
        <w:pStyle w:val="BodyText"/>
        <w:ind w:left="720" w:hanging="720"/>
        <w:rPr>
          <w:sz w:val="24"/>
          <w:szCs w:val="24"/>
        </w:rPr>
      </w:pPr>
      <w:r>
        <w:rPr>
          <w:sz w:val="24"/>
          <w:szCs w:val="24"/>
        </w:rPr>
        <w:t>(c)</w:t>
      </w:r>
      <w:r>
        <w:rPr>
          <w:sz w:val="24"/>
          <w:szCs w:val="24"/>
        </w:rPr>
        <w:tab/>
        <w:t xml:space="preserve">ALJ Jandebeur issued an Initial Decision </w:t>
      </w:r>
      <w:r w:rsidR="0050103F">
        <w:rPr>
          <w:sz w:val="24"/>
          <w:szCs w:val="24"/>
        </w:rPr>
        <w:t>8/11/10</w:t>
      </w:r>
      <w:r>
        <w:rPr>
          <w:sz w:val="24"/>
          <w:szCs w:val="24"/>
        </w:rPr>
        <w:t>.</w:t>
      </w: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suppressAutoHyphens/>
        <w:ind w:left="90"/>
        <w:jc w:val="both"/>
        <w:rPr>
          <w:kern w:val="1"/>
        </w:rPr>
      </w:pPr>
      <w:r>
        <w:rPr>
          <w:kern w:val="1"/>
        </w:rPr>
        <w:t>Initial Decision served:  +, 20</w:t>
      </w:r>
      <w:r w:rsidR="00BF3664">
        <w:rPr>
          <w:kern w:val="1"/>
        </w:rPr>
        <w:t>10</w:t>
      </w:r>
    </w:p>
    <w:p w:rsidR="00FA6583" w:rsidRDefault="006034D3" w:rsidP="00FA6583">
      <w:pPr>
        <w:suppressAutoHyphens/>
        <w:ind w:left="90"/>
        <w:rPr>
          <w:kern w:val="1"/>
        </w:rPr>
        <w:sectPr w:rsidR="00FA6583" w:rsidSect="005F452A">
          <w:pgSz w:w="12240" w:h="15840" w:code="1"/>
          <w:pgMar w:top="1440" w:right="1440" w:bottom="1440" w:left="1440" w:header="720" w:footer="720" w:gutter="0"/>
          <w:cols w:space="720"/>
          <w:titlePg/>
          <w:docGrid w:linePitch="360"/>
        </w:sectPr>
      </w:pPr>
      <w:r>
        <w:rPr>
          <w:kern w:val="1"/>
        </w:rPr>
        <w:t>Commission Review requested by + and +.</w:t>
      </w:r>
    </w:p>
    <w:p w:rsidR="004019CF" w:rsidRDefault="004019CF" w:rsidP="00435B53">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 xml:space="preserve">ROBERT J. HOFFMAN; </w:t>
      </w:r>
      <w:r w:rsidR="00435B53" w:rsidRPr="00FC5D6A">
        <w:rPr>
          <w:rFonts w:ascii="Microsoft Sans Serif" w:hAnsi="Microsoft Sans Serif" w:cs="Microsoft Sans Serif"/>
          <w:b/>
          <w:caps/>
          <w:noProof/>
          <w:szCs w:val="24"/>
          <w:u w:val="single"/>
        </w:rPr>
        <w:t>C-2009-2130993</w:t>
      </w:r>
      <w:r w:rsidR="00435B53"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 xml:space="preserve"> AND</w:t>
      </w:r>
    </w:p>
    <w:p w:rsidR="00435B53" w:rsidRDefault="004019CF" w:rsidP="00435B53">
      <w:pPr>
        <w:rPr>
          <w:rFonts w:ascii="Microsoft Sans Serif" w:hAnsi="Microsoft Sans Serif" w:cs="Microsoft Sans Serif"/>
          <w:b/>
          <w:caps/>
          <w:szCs w:val="24"/>
          <w:u w:val="single"/>
        </w:rPr>
      </w:pPr>
      <w:r>
        <w:rPr>
          <w:rFonts w:ascii="Microsoft Sans Serif" w:hAnsi="Microsoft Sans Serif" w:cs="Microsoft Sans Serif"/>
          <w:b/>
          <w:caps/>
          <w:szCs w:val="24"/>
          <w:u w:val="single"/>
        </w:rPr>
        <w:t>david c. althouse; C-2010-2163436</w:t>
      </w:r>
      <w:r w:rsidR="00435B53" w:rsidRPr="00057980">
        <w:rPr>
          <w:rFonts w:ascii="Microsoft Sans Serif" w:hAnsi="Microsoft Sans Serif" w:cs="Microsoft Sans Serif"/>
          <w:b/>
          <w:caps/>
          <w:szCs w:val="24"/>
          <w:u w:val="single"/>
        </w:rPr>
        <w:t xml:space="preserve"> </w:t>
      </w:r>
      <w:r w:rsidR="00435B53" w:rsidRPr="00057980">
        <w:rPr>
          <w:rFonts w:ascii="Microsoft Sans Serif" w:hAnsi="Microsoft Sans Serif" w:cs="Microsoft Sans Serif"/>
          <w:b/>
          <w:smallCaps/>
          <w:szCs w:val="24"/>
          <w:u w:val="single"/>
        </w:rPr>
        <w:t>v</w:t>
      </w:r>
      <w:r w:rsidR="00435B53" w:rsidRPr="00057980">
        <w:rPr>
          <w:rFonts w:ascii="Microsoft Sans Serif" w:hAnsi="Microsoft Sans Serif" w:cs="Microsoft Sans Serif"/>
          <w:b/>
          <w:caps/>
          <w:szCs w:val="24"/>
          <w:u w:val="single"/>
        </w:rPr>
        <w:t xml:space="preserve">. </w:t>
      </w:r>
    </w:p>
    <w:p w:rsidR="00435B53" w:rsidRPr="00057980" w:rsidRDefault="00435B53" w:rsidP="00435B53">
      <w:pPr>
        <w:rPr>
          <w:rFonts w:ascii="Microsoft Sans Serif" w:hAnsi="Microsoft Sans Serif" w:cs="Microsoft Sans Serif"/>
          <w:b/>
          <w:caps/>
          <w:szCs w:val="24"/>
          <w:u w:val="single"/>
        </w:rPr>
      </w:pPr>
      <w:r w:rsidRPr="00FC5D6A">
        <w:rPr>
          <w:rFonts w:ascii="Microsoft Sans Serif" w:hAnsi="Microsoft Sans Serif" w:cs="Microsoft Sans Serif"/>
          <w:b/>
          <w:caps/>
          <w:noProof/>
          <w:szCs w:val="24"/>
          <w:u w:val="single"/>
        </w:rPr>
        <w:t>PPL Electric Utilities Corporation</w:t>
      </w:r>
    </w:p>
    <w:p w:rsidR="00435B53" w:rsidRPr="00057980" w:rsidRDefault="00435B53" w:rsidP="00435B53">
      <w:pPr>
        <w:rPr>
          <w:rFonts w:ascii="Microsoft Sans Serif" w:hAnsi="Microsoft Sans Serif" w:cs="Microsoft Sans Serif"/>
          <w:caps/>
          <w:szCs w:val="24"/>
        </w:rPr>
      </w:pPr>
    </w:p>
    <w:p w:rsidR="00435B53" w:rsidRPr="00057980" w:rsidRDefault="00435B53" w:rsidP="00435B53">
      <w:pPr>
        <w:rPr>
          <w:rFonts w:ascii="Microsoft Sans Serif" w:hAnsi="Microsoft Sans Serif" w:cs="Microsoft Sans Serif"/>
          <w:caps/>
          <w:szCs w:val="24"/>
        </w:rPr>
      </w:pPr>
    </w:p>
    <w:p w:rsidR="00435B53" w:rsidRPr="00057980" w:rsidRDefault="00435B53" w:rsidP="00435B53">
      <w:pPr>
        <w:rPr>
          <w:rFonts w:ascii="Microsoft Sans Serif" w:hAnsi="Microsoft Sans Serif" w:cs="Microsoft Sans Serif"/>
          <w:caps/>
          <w:szCs w:val="24"/>
        </w:rPr>
      </w:pPr>
      <w:r w:rsidRPr="00FC5D6A">
        <w:rPr>
          <w:rFonts w:ascii="Microsoft Sans Serif" w:hAnsi="Microsoft Sans Serif" w:cs="Microsoft Sans Serif"/>
          <w:caps/>
          <w:noProof/>
          <w:szCs w:val="24"/>
        </w:rPr>
        <w:t>Robert J</w:t>
      </w:r>
      <w:r w:rsidRPr="00057980">
        <w:rPr>
          <w:rFonts w:ascii="Microsoft Sans Serif" w:hAnsi="Microsoft Sans Serif" w:cs="Microsoft Sans Serif"/>
          <w:caps/>
          <w:szCs w:val="24"/>
        </w:rPr>
        <w:t xml:space="preserve"> </w:t>
      </w:r>
      <w:r w:rsidRPr="00FC5D6A">
        <w:rPr>
          <w:rFonts w:ascii="Microsoft Sans Serif" w:hAnsi="Microsoft Sans Serif" w:cs="Microsoft Sans Serif"/>
          <w:caps/>
          <w:noProof/>
          <w:szCs w:val="24"/>
        </w:rPr>
        <w:t>Hoffman</w:t>
      </w:r>
      <w:r w:rsidRPr="00057980">
        <w:rPr>
          <w:rFonts w:ascii="Microsoft Sans Serif" w:hAnsi="Microsoft Sans Serif" w:cs="Microsoft Sans Serif"/>
          <w:caps/>
          <w:szCs w:val="24"/>
        </w:rPr>
        <w:t xml:space="preserve"> </w:t>
      </w:r>
    </w:p>
    <w:p w:rsidR="00435B53" w:rsidRPr="00057980" w:rsidRDefault="00435B53" w:rsidP="00435B53">
      <w:pPr>
        <w:rPr>
          <w:rFonts w:ascii="Microsoft Sans Serif" w:hAnsi="Microsoft Sans Serif" w:cs="Microsoft Sans Serif"/>
          <w:caps/>
          <w:szCs w:val="24"/>
        </w:rPr>
      </w:pPr>
      <w:r w:rsidRPr="00FC5D6A">
        <w:rPr>
          <w:rFonts w:ascii="Microsoft Sans Serif" w:hAnsi="Microsoft Sans Serif" w:cs="Microsoft Sans Serif"/>
          <w:caps/>
          <w:noProof/>
          <w:szCs w:val="24"/>
        </w:rPr>
        <w:t>260 Skyline Drive</w:t>
      </w:r>
    </w:p>
    <w:p w:rsidR="00435B53" w:rsidRPr="00057980" w:rsidRDefault="00435B53" w:rsidP="00435B53">
      <w:pPr>
        <w:rPr>
          <w:rFonts w:ascii="Microsoft Sans Serif" w:hAnsi="Microsoft Sans Serif" w:cs="Microsoft Sans Serif"/>
          <w:caps/>
          <w:szCs w:val="24"/>
        </w:rPr>
      </w:pPr>
      <w:r w:rsidRPr="00FC5D6A">
        <w:rPr>
          <w:rFonts w:ascii="Microsoft Sans Serif" w:hAnsi="Microsoft Sans Serif" w:cs="Microsoft Sans Serif"/>
          <w:caps/>
          <w:noProof/>
          <w:szCs w:val="24"/>
        </w:rPr>
        <w:t>Lehighton</w:t>
      </w:r>
      <w:r w:rsidRPr="00057980">
        <w:rPr>
          <w:rFonts w:ascii="Microsoft Sans Serif" w:hAnsi="Microsoft Sans Serif" w:cs="Microsoft Sans Serif"/>
          <w:caps/>
          <w:szCs w:val="24"/>
        </w:rPr>
        <w:t xml:space="preserve"> </w:t>
      </w:r>
      <w:r w:rsidRPr="00FC5D6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5D6A">
        <w:rPr>
          <w:rFonts w:ascii="Microsoft Sans Serif" w:hAnsi="Microsoft Sans Serif" w:cs="Microsoft Sans Serif"/>
          <w:caps/>
          <w:noProof/>
          <w:szCs w:val="24"/>
        </w:rPr>
        <w:t>18235</w:t>
      </w:r>
    </w:p>
    <w:p w:rsidR="00435B53" w:rsidRDefault="00435B53" w:rsidP="00435B53">
      <w:pPr>
        <w:rPr>
          <w:rFonts w:ascii="Microsoft Sans Serif" w:hAnsi="Microsoft Sans Serif" w:cs="Microsoft Sans Serif"/>
          <w:b/>
          <w:caps/>
          <w:szCs w:val="24"/>
          <w:u w:val="single"/>
        </w:rPr>
      </w:pPr>
      <w:r w:rsidRPr="00FC5D6A">
        <w:rPr>
          <w:rFonts w:ascii="Microsoft Sans Serif" w:hAnsi="Microsoft Sans Serif" w:cs="Microsoft Sans Serif"/>
          <w:b/>
          <w:caps/>
          <w:noProof/>
          <w:szCs w:val="24"/>
        </w:rPr>
        <w:t>(610) 377-0615</w:t>
      </w:r>
      <w:r w:rsidRPr="00057980">
        <w:rPr>
          <w:rFonts w:ascii="Microsoft Sans Serif" w:hAnsi="Microsoft Sans Serif" w:cs="Microsoft Sans Serif"/>
          <w:b/>
          <w:caps/>
          <w:szCs w:val="24"/>
          <w:u w:val="single"/>
        </w:rPr>
        <w:t xml:space="preserve"> </w:t>
      </w:r>
    </w:p>
    <w:p w:rsidR="003B796F" w:rsidRDefault="003B796F" w:rsidP="00435B53">
      <w:pPr>
        <w:rPr>
          <w:rFonts w:ascii="Microsoft Sans Serif" w:hAnsi="Microsoft Sans Serif" w:cs="Microsoft Sans Serif"/>
          <w:b/>
          <w:caps/>
          <w:szCs w:val="24"/>
          <w:u w:val="single"/>
        </w:rPr>
      </w:pPr>
    </w:p>
    <w:p w:rsidR="00D16403" w:rsidRDefault="00D16403" w:rsidP="00435B53">
      <w:pPr>
        <w:rPr>
          <w:rFonts w:ascii="Microsoft Sans Serif" w:hAnsi="Microsoft Sans Serif" w:cs="Microsoft Sans Serif"/>
          <w:b/>
          <w:caps/>
          <w:szCs w:val="24"/>
          <w:u w:val="single"/>
        </w:rPr>
      </w:pPr>
    </w:p>
    <w:p w:rsidR="003B796F" w:rsidRDefault="003B796F" w:rsidP="00435B53">
      <w:pPr>
        <w:rPr>
          <w:rFonts w:ascii="Microsoft Sans Serif" w:hAnsi="Microsoft Sans Serif" w:cs="Microsoft Sans Serif"/>
          <w:caps/>
          <w:szCs w:val="24"/>
        </w:rPr>
      </w:pPr>
      <w:r w:rsidRPr="003B796F">
        <w:rPr>
          <w:rFonts w:ascii="Microsoft Sans Serif" w:hAnsi="Microsoft Sans Serif" w:cs="Microsoft Sans Serif"/>
          <w:caps/>
          <w:szCs w:val="24"/>
        </w:rPr>
        <w:t>DAVID C ALTHOUSE</w:t>
      </w:r>
    </w:p>
    <w:p w:rsidR="003B796F" w:rsidRDefault="003B796F" w:rsidP="00435B53">
      <w:pPr>
        <w:rPr>
          <w:rFonts w:ascii="Microsoft Sans Serif" w:hAnsi="Microsoft Sans Serif" w:cs="Microsoft Sans Serif"/>
          <w:caps/>
          <w:szCs w:val="24"/>
        </w:rPr>
      </w:pPr>
      <w:r>
        <w:rPr>
          <w:rFonts w:ascii="Microsoft Sans Serif" w:hAnsi="Microsoft Sans Serif" w:cs="Microsoft Sans Serif"/>
          <w:caps/>
          <w:szCs w:val="24"/>
        </w:rPr>
        <w:t>294 skyline drive</w:t>
      </w:r>
    </w:p>
    <w:p w:rsidR="003B796F" w:rsidRDefault="003B796F" w:rsidP="00435B53">
      <w:pPr>
        <w:rPr>
          <w:rFonts w:ascii="Microsoft Sans Serif" w:hAnsi="Microsoft Sans Serif" w:cs="Microsoft Sans Serif"/>
          <w:caps/>
          <w:szCs w:val="24"/>
        </w:rPr>
      </w:pPr>
      <w:r>
        <w:rPr>
          <w:rFonts w:ascii="Microsoft Sans Serif" w:hAnsi="Microsoft Sans Serif" w:cs="Microsoft Sans Serif"/>
          <w:caps/>
          <w:szCs w:val="24"/>
        </w:rPr>
        <w:t>lehighton pa  18235</w:t>
      </w:r>
    </w:p>
    <w:p w:rsidR="006C3B28" w:rsidRPr="006C3B28" w:rsidRDefault="006C3B28" w:rsidP="00435B53">
      <w:pPr>
        <w:rPr>
          <w:rFonts w:ascii="Microsoft Sans Serif" w:hAnsi="Microsoft Sans Serif" w:cs="Microsoft Sans Serif"/>
          <w:b/>
          <w:caps/>
          <w:szCs w:val="24"/>
        </w:rPr>
      </w:pPr>
      <w:r w:rsidRPr="006C3B28">
        <w:rPr>
          <w:rFonts w:ascii="Microsoft Sans Serif" w:hAnsi="Microsoft Sans Serif" w:cs="Microsoft Sans Serif"/>
          <w:b/>
          <w:caps/>
          <w:szCs w:val="24"/>
        </w:rPr>
        <w:t>(866) 678-4856</w:t>
      </w:r>
    </w:p>
    <w:p w:rsidR="00435B53" w:rsidRPr="00057980" w:rsidRDefault="00435B53" w:rsidP="00435B53">
      <w:pPr>
        <w:rPr>
          <w:rFonts w:ascii="Microsoft Sans Serif" w:hAnsi="Microsoft Sans Serif" w:cs="Microsoft Sans Serif"/>
          <w:caps/>
          <w:szCs w:val="24"/>
        </w:rPr>
      </w:pPr>
    </w:p>
    <w:p w:rsidR="00435B53" w:rsidRPr="00057980" w:rsidRDefault="00435B53" w:rsidP="00435B53">
      <w:pPr>
        <w:rPr>
          <w:rFonts w:ascii="Microsoft Sans Serif" w:hAnsi="Microsoft Sans Serif" w:cs="Microsoft Sans Serif"/>
          <w:caps/>
          <w:szCs w:val="24"/>
        </w:rPr>
      </w:pPr>
    </w:p>
    <w:p w:rsidR="00435B53" w:rsidRPr="00057980" w:rsidRDefault="00435B53" w:rsidP="00435B53">
      <w:pPr>
        <w:rPr>
          <w:rFonts w:ascii="Microsoft Sans Serif" w:hAnsi="Microsoft Sans Serif" w:cs="Microsoft Sans Serif"/>
          <w:caps/>
          <w:szCs w:val="24"/>
        </w:rPr>
      </w:pPr>
      <w:r w:rsidRPr="00FC5D6A">
        <w:rPr>
          <w:rFonts w:ascii="Microsoft Sans Serif" w:hAnsi="Microsoft Sans Serif" w:cs="Microsoft Sans Serif"/>
          <w:caps/>
          <w:noProof/>
          <w:szCs w:val="24"/>
        </w:rPr>
        <w:t>Andrew H</w:t>
      </w:r>
      <w:r w:rsidRPr="00057980">
        <w:rPr>
          <w:rFonts w:ascii="Microsoft Sans Serif" w:hAnsi="Microsoft Sans Serif" w:cs="Microsoft Sans Serif"/>
          <w:caps/>
          <w:szCs w:val="24"/>
        </w:rPr>
        <w:t xml:space="preserve"> </w:t>
      </w:r>
      <w:r w:rsidRPr="00FC5D6A">
        <w:rPr>
          <w:rFonts w:ascii="Microsoft Sans Serif" w:hAnsi="Microsoft Sans Serif" w:cs="Microsoft Sans Serif"/>
          <w:caps/>
          <w:noProof/>
          <w:szCs w:val="24"/>
        </w:rPr>
        <w:t>Ralston Jr</w:t>
      </w:r>
      <w:r w:rsidRPr="00057980">
        <w:rPr>
          <w:rFonts w:ascii="Microsoft Sans Serif" w:hAnsi="Microsoft Sans Serif" w:cs="Microsoft Sans Serif"/>
          <w:caps/>
          <w:szCs w:val="24"/>
        </w:rPr>
        <w:t xml:space="preserve"> </w:t>
      </w:r>
      <w:r w:rsidRPr="00FC5D6A">
        <w:rPr>
          <w:rFonts w:ascii="Microsoft Sans Serif" w:hAnsi="Microsoft Sans Serif" w:cs="Microsoft Sans Serif"/>
          <w:caps/>
          <w:noProof/>
          <w:szCs w:val="24"/>
        </w:rPr>
        <w:t>Esquire</w:t>
      </w:r>
    </w:p>
    <w:p w:rsidR="00435B53" w:rsidRPr="00057980" w:rsidRDefault="00435B53" w:rsidP="00435B53">
      <w:pPr>
        <w:rPr>
          <w:rFonts w:ascii="Microsoft Sans Serif" w:hAnsi="Microsoft Sans Serif" w:cs="Microsoft Sans Serif"/>
          <w:caps/>
          <w:szCs w:val="24"/>
        </w:rPr>
      </w:pPr>
      <w:r w:rsidRPr="00FC5D6A">
        <w:rPr>
          <w:rFonts w:ascii="Microsoft Sans Serif" w:hAnsi="Microsoft Sans Serif" w:cs="Microsoft Sans Serif"/>
          <w:caps/>
          <w:noProof/>
          <w:szCs w:val="24"/>
        </w:rPr>
        <w:t>Gross McGinley LLP</w:t>
      </w:r>
    </w:p>
    <w:p w:rsidR="00435B53" w:rsidRPr="00057980" w:rsidRDefault="00435B53" w:rsidP="00435B53">
      <w:pPr>
        <w:rPr>
          <w:rFonts w:ascii="Microsoft Sans Serif" w:hAnsi="Microsoft Sans Serif" w:cs="Microsoft Sans Serif"/>
          <w:caps/>
          <w:szCs w:val="24"/>
        </w:rPr>
      </w:pPr>
      <w:r w:rsidRPr="00FC5D6A">
        <w:rPr>
          <w:rFonts w:ascii="Microsoft Sans Serif" w:hAnsi="Microsoft Sans Serif" w:cs="Microsoft Sans Serif"/>
          <w:caps/>
          <w:noProof/>
          <w:szCs w:val="24"/>
        </w:rPr>
        <w:t>33 South Seventh Street</w:t>
      </w:r>
    </w:p>
    <w:p w:rsidR="00435B53" w:rsidRPr="00057980" w:rsidRDefault="00435B53" w:rsidP="00435B53">
      <w:pPr>
        <w:rPr>
          <w:rFonts w:ascii="Microsoft Sans Serif" w:hAnsi="Microsoft Sans Serif" w:cs="Microsoft Sans Serif"/>
          <w:caps/>
          <w:szCs w:val="24"/>
        </w:rPr>
      </w:pPr>
      <w:r w:rsidRPr="00FC5D6A">
        <w:rPr>
          <w:rFonts w:ascii="Microsoft Sans Serif" w:hAnsi="Microsoft Sans Serif" w:cs="Microsoft Sans Serif"/>
          <w:caps/>
          <w:noProof/>
          <w:szCs w:val="24"/>
        </w:rPr>
        <w:t>P O Box 4060</w:t>
      </w:r>
    </w:p>
    <w:p w:rsidR="00435B53" w:rsidRPr="00057980" w:rsidRDefault="00435B53" w:rsidP="00435B53">
      <w:pPr>
        <w:rPr>
          <w:rFonts w:ascii="Microsoft Sans Serif" w:hAnsi="Microsoft Sans Serif" w:cs="Microsoft Sans Serif"/>
          <w:caps/>
          <w:szCs w:val="24"/>
        </w:rPr>
      </w:pPr>
      <w:r w:rsidRPr="00FC5D6A">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C5D6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5D6A">
        <w:rPr>
          <w:rFonts w:ascii="Microsoft Sans Serif" w:hAnsi="Microsoft Sans Serif" w:cs="Microsoft Sans Serif"/>
          <w:caps/>
          <w:noProof/>
          <w:szCs w:val="24"/>
        </w:rPr>
        <w:t>18105-4060</w:t>
      </w:r>
    </w:p>
    <w:p w:rsidR="002B19D4" w:rsidRPr="001027AA" w:rsidRDefault="00435B53" w:rsidP="00435B53">
      <w:pPr>
        <w:jc w:val="both"/>
        <w:rPr>
          <w:sz w:val="24"/>
          <w:szCs w:val="24"/>
        </w:rPr>
      </w:pPr>
      <w:r w:rsidRPr="00FC5D6A">
        <w:rPr>
          <w:rFonts w:ascii="Microsoft Sans Serif" w:hAnsi="Microsoft Sans Serif" w:cs="Microsoft Sans Serif"/>
          <w:b/>
          <w:caps/>
          <w:noProof/>
          <w:szCs w:val="24"/>
        </w:rPr>
        <w:t>(610) 871-1323</w:t>
      </w:r>
    </w:p>
    <w:sectPr w:rsidR="002B19D4" w:rsidRPr="001027AA" w:rsidSect="005F452A">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F35" w:rsidRDefault="00062F35">
      <w:r>
        <w:separator/>
      </w:r>
    </w:p>
  </w:endnote>
  <w:endnote w:type="continuationSeparator" w:id="0">
    <w:p w:rsidR="00062F35" w:rsidRDefault="00062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B80B2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C32202" w:rsidRDefault="00B80B2C" w:rsidP="0028114B">
    <w:pPr>
      <w:pStyle w:val="Footer"/>
      <w:framePr w:wrap="around" w:vAnchor="text" w:hAnchor="margin" w:xAlign="center" w:y="1"/>
      <w:rPr>
        <w:rStyle w:val="PageNumber"/>
        <w:sz w:val="24"/>
        <w:szCs w:val="24"/>
      </w:rPr>
    </w:pPr>
    <w:r w:rsidRPr="00C32202">
      <w:rPr>
        <w:rStyle w:val="PageNumber"/>
        <w:sz w:val="24"/>
        <w:szCs w:val="24"/>
      </w:rPr>
      <w:fldChar w:fldCharType="begin"/>
    </w:r>
    <w:r w:rsidR="00223E7E" w:rsidRPr="00C32202">
      <w:rPr>
        <w:rStyle w:val="PageNumber"/>
        <w:sz w:val="24"/>
        <w:szCs w:val="24"/>
      </w:rPr>
      <w:instrText xml:space="preserve">PAGE  </w:instrText>
    </w:r>
    <w:r w:rsidRPr="00C32202">
      <w:rPr>
        <w:rStyle w:val="PageNumber"/>
        <w:sz w:val="24"/>
        <w:szCs w:val="24"/>
      </w:rPr>
      <w:fldChar w:fldCharType="separate"/>
    </w:r>
    <w:r w:rsidR="00B1027E">
      <w:rPr>
        <w:rStyle w:val="PageNumber"/>
        <w:noProof/>
        <w:sz w:val="24"/>
        <w:szCs w:val="24"/>
      </w:rPr>
      <w:t>7</w:t>
    </w:r>
    <w:r w:rsidRPr="00C32202">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F35" w:rsidRDefault="00062F35">
      <w:r>
        <w:separator/>
      </w:r>
    </w:p>
  </w:footnote>
  <w:footnote w:type="continuationSeparator" w:id="0">
    <w:p w:rsidR="00062F35" w:rsidRDefault="00062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3554"/>
  </w:hdrShapeDefaults>
  <w:footnotePr>
    <w:footnote w:id="-1"/>
    <w:footnote w:id="0"/>
  </w:footnotePr>
  <w:endnotePr>
    <w:endnote w:id="-1"/>
    <w:endnote w:id="0"/>
  </w:endnotePr>
  <w:compat/>
  <w:rsids>
    <w:rsidRoot w:val="008F6AC3"/>
    <w:rsid w:val="00005203"/>
    <w:rsid w:val="00020AB1"/>
    <w:rsid w:val="00022997"/>
    <w:rsid w:val="00022D67"/>
    <w:rsid w:val="0002512E"/>
    <w:rsid w:val="00027350"/>
    <w:rsid w:val="00034641"/>
    <w:rsid w:val="00034A86"/>
    <w:rsid w:val="00035C05"/>
    <w:rsid w:val="00035E78"/>
    <w:rsid w:val="000376EF"/>
    <w:rsid w:val="00042626"/>
    <w:rsid w:val="0005463A"/>
    <w:rsid w:val="0005596C"/>
    <w:rsid w:val="00055A89"/>
    <w:rsid w:val="00062F35"/>
    <w:rsid w:val="00064F92"/>
    <w:rsid w:val="0006610A"/>
    <w:rsid w:val="00070E25"/>
    <w:rsid w:val="0007126E"/>
    <w:rsid w:val="000728A4"/>
    <w:rsid w:val="00075A22"/>
    <w:rsid w:val="00082976"/>
    <w:rsid w:val="00091672"/>
    <w:rsid w:val="00091CE2"/>
    <w:rsid w:val="000940F4"/>
    <w:rsid w:val="00096597"/>
    <w:rsid w:val="000967DB"/>
    <w:rsid w:val="000A001F"/>
    <w:rsid w:val="000A1CB9"/>
    <w:rsid w:val="000A20A3"/>
    <w:rsid w:val="000C6F32"/>
    <w:rsid w:val="000E0BD8"/>
    <w:rsid w:val="000E277A"/>
    <w:rsid w:val="000E2934"/>
    <w:rsid w:val="000E6B17"/>
    <w:rsid w:val="000F0833"/>
    <w:rsid w:val="000F1894"/>
    <w:rsid w:val="000F1F62"/>
    <w:rsid w:val="000F2F0A"/>
    <w:rsid w:val="001027AA"/>
    <w:rsid w:val="00110C23"/>
    <w:rsid w:val="001122A9"/>
    <w:rsid w:val="001155B6"/>
    <w:rsid w:val="00116136"/>
    <w:rsid w:val="00125871"/>
    <w:rsid w:val="00126207"/>
    <w:rsid w:val="001312A6"/>
    <w:rsid w:val="00134E8D"/>
    <w:rsid w:val="00141DF5"/>
    <w:rsid w:val="00143C49"/>
    <w:rsid w:val="00146CD7"/>
    <w:rsid w:val="00147DEE"/>
    <w:rsid w:val="00152C6B"/>
    <w:rsid w:val="0015646C"/>
    <w:rsid w:val="001620CA"/>
    <w:rsid w:val="00176B99"/>
    <w:rsid w:val="00176F82"/>
    <w:rsid w:val="0018160C"/>
    <w:rsid w:val="00187B87"/>
    <w:rsid w:val="001930DE"/>
    <w:rsid w:val="00193B6C"/>
    <w:rsid w:val="001A4CC0"/>
    <w:rsid w:val="001A721E"/>
    <w:rsid w:val="001B123C"/>
    <w:rsid w:val="001B3235"/>
    <w:rsid w:val="001B37BA"/>
    <w:rsid w:val="001C20B7"/>
    <w:rsid w:val="001C219D"/>
    <w:rsid w:val="001C2E93"/>
    <w:rsid w:val="001C715B"/>
    <w:rsid w:val="001D3206"/>
    <w:rsid w:val="001D6FCF"/>
    <w:rsid w:val="001E4CEF"/>
    <w:rsid w:val="001E4FAC"/>
    <w:rsid w:val="001F0787"/>
    <w:rsid w:val="001F08B4"/>
    <w:rsid w:val="001F2116"/>
    <w:rsid w:val="001F6FC1"/>
    <w:rsid w:val="001F7F73"/>
    <w:rsid w:val="0020095D"/>
    <w:rsid w:val="00204A8E"/>
    <w:rsid w:val="00220C5E"/>
    <w:rsid w:val="00223152"/>
    <w:rsid w:val="00223E7E"/>
    <w:rsid w:val="00234619"/>
    <w:rsid w:val="0023520D"/>
    <w:rsid w:val="002356E1"/>
    <w:rsid w:val="00235C44"/>
    <w:rsid w:val="00236FF7"/>
    <w:rsid w:val="002416AB"/>
    <w:rsid w:val="0024496F"/>
    <w:rsid w:val="00244D86"/>
    <w:rsid w:val="0025370D"/>
    <w:rsid w:val="00260D19"/>
    <w:rsid w:val="002732DC"/>
    <w:rsid w:val="0028114B"/>
    <w:rsid w:val="00290918"/>
    <w:rsid w:val="002919C6"/>
    <w:rsid w:val="00293557"/>
    <w:rsid w:val="002959E3"/>
    <w:rsid w:val="0029743B"/>
    <w:rsid w:val="002A4B58"/>
    <w:rsid w:val="002A7C1C"/>
    <w:rsid w:val="002B0234"/>
    <w:rsid w:val="002B1376"/>
    <w:rsid w:val="002B19D4"/>
    <w:rsid w:val="002B3489"/>
    <w:rsid w:val="002B4EAE"/>
    <w:rsid w:val="002B63B5"/>
    <w:rsid w:val="002C3271"/>
    <w:rsid w:val="002C3A2F"/>
    <w:rsid w:val="002C3FDE"/>
    <w:rsid w:val="002D13C5"/>
    <w:rsid w:val="002D554B"/>
    <w:rsid w:val="002F2F1B"/>
    <w:rsid w:val="002F66F9"/>
    <w:rsid w:val="002F6BC1"/>
    <w:rsid w:val="00300A0A"/>
    <w:rsid w:val="00300CB7"/>
    <w:rsid w:val="00300F91"/>
    <w:rsid w:val="0030207C"/>
    <w:rsid w:val="00302EC7"/>
    <w:rsid w:val="003129F7"/>
    <w:rsid w:val="00317B5C"/>
    <w:rsid w:val="00323AAE"/>
    <w:rsid w:val="00324F3E"/>
    <w:rsid w:val="0033043C"/>
    <w:rsid w:val="0033647C"/>
    <w:rsid w:val="00337C53"/>
    <w:rsid w:val="00340AB8"/>
    <w:rsid w:val="0034312D"/>
    <w:rsid w:val="00346E30"/>
    <w:rsid w:val="00351E94"/>
    <w:rsid w:val="003539D2"/>
    <w:rsid w:val="0035737A"/>
    <w:rsid w:val="003657A8"/>
    <w:rsid w:val="00380AD7"/>
    <w:rsid w:val="00382B1A"/>
    <w:rsid w:val="00383F48"/>
    <w:rsid w:val="00386CDC"/>
    <w:rsid w:val="00392382"/>
    <w:rsid w:val="00394493"/>
    <w:rsid w:val="003959AC"/>
    <w:rsid w:val="00395E03"/>
    <w:rsid w:val="00396DE1"/>
    <w:rsid w:val="003A167D"/>
    <w:rsid w:val="003B715B"/>
    <w:rsid w:val="003B796F"/>
    <w:rsid w:val="003C050F"/>
    <w:rsid w:val="003C0716"/>
    <w:rsid w:val="003D139F"/>
    <w:rsid w:val="003D15FA"/>
    <w:rsid w:val="003D7EC6"/>
    <w:rsid w:val="003E292B"/>
    <w:rsid w:val="003E594B"/>
    <w:rsid w:val="003F5796"/>
    <w:rsid w:val="003F69BF"/>
    <w:rsid w:val="004019CF"/>
    <w:rsid w:val="00402359"/>
    <w:rsid w:val="004064A8"/>
    <w:rsid w:val="0042160A"/>
    <w:rsid w:val="00422E29"/>
    <w:rsid w:val="00424A76"/>
    <w:rsid w:val="0042691C"/>
    <w:rsid w:val="00427E73"/>
    <w:rsid w:val="004312BE"/>
    <w:rsid w:val="00435B53"/>
    <w:rsid w:val="00442854"/>
    <w:rsid w:val="0046339D"/>
    <w:rsid w:val="00476C8A"/>
    <w:rsid w:val="00483447"/>
    <w:rsid w:val="00484FD8"/>
    <w:rsid w:val="00486535"/>
    <w:rsid w:val="00490174"/>
    <w:rsid w:val="004917C1"/>
    <w:rsid w:val="00491C99"/>
    <w:rsid w:val="00495450"/>
    <w:rsid w:val="004A01E5"/>
    <w:rsid w:val="004A1805"/>
    <w:rsid w:val="004A5AD6"/>
    <w:rsid w:val="004C3EFA"/>
    <w:rsid w:val="004C6E51"/>
    <w:rsid w:val="004D1B54"/>
    <w:rsid w:val="004D3108"/>
    <w:rsid w:val="004D46FD"/>
    <w:rsid w:val="004E20CB"/>
    <w:rsid w:val="004E2912"/>
    <w:rsid w:val="004E533F"/>
    <w:rsid w:val="004F1862"/>
    <w:rsid w:val="004F2D3D"/>
    <w:rsid w:val="0050103F"/>
    <w:rsid w:val="005032B5"/>
    <w:rsid w:val="00515937"/>
    <w:rsid w:val="00517AD1"/>
    <w:rsid w:val="00523780"/>
    <w:rsid w:val="00530D1B"/>
    <w:rsid w:val="00531226"/>
    <w:rsid w:val="00531409"/>
    <w:rsid w:val="00535DF7"/>
    <w:rsid w:val="00537DC9"/>
    <w:rsid w:val="00542107"/>
    <w:rsid w:val="00553EEB"/>
    <w:rsid w:val="00564C41"/>
    <w:rsid w:val="00573C88"/>
    <w:rsid w:val="00576EDC"/>
    <w:rsid w:val="00582896"/>
    <w:rsid w:val="00584798"/>
    <w:rsid w:val="0059070D"/>
    <w:rsid w:val="00592C86"/>
    <w:rsid w:val="005A33D0"/>
    <w:rsid w:val="005B250B"/>
    <w:rsid w:val="005B6749"/>
    <w:rsid w:val="005B6955"/>
    <w:rsid w:val="005B7834"/>
    <w:rsid w:val="005C28EC"/>
    <w:rsid w:val="005D19C4"/>
    <w:rsid w:val="005D2DEE"/>
    <w:rsid w:val="005D37F9"/>
    <w:rsid w:val="005E2068"/>
    <w:rsid w:val="005E3007"/>
    <w:rsid w:val="005E6321"/>
    <w:rsid w:val="005E6C27"/>
    <w:rsid w:val="005F17F5"/>
    <w:rsid w:val="005F38EC"/>
    <w:rsid w:val="005F3B50"/>
    <w:rsid w:val="005F452A"/>
    <w:rsid w:val="006034D3"/>
    <w:rsid w:val="00611F99"/>
    <w:rsid w:val="0061610F"/>
    <w:rsid w:val="0062087D"/>
    <w:rsid w:val="006215E0"/>
    <w:rsid w:val="006306EB"/>
    <w:rsid w:val="00634A5C"/>
    <w:rsid w:val="006352B9"/>
    <w:rsid w:val="00641596"/>
    <w:rsid w:val="0064329B"/>
    <w:rsid w:val="00644E60"/>
    <w:rsid w:val="006457E0"/>
    <w:rsid w:val="00645B55"/>
    <w:rsid w:val="00652C21"/>
    <w:rsid w:val="0066237B"/>
    <w:rsid w:val="006656FC"/>
    <w:rsid w:val="006707EB"/>
    <w:rsid w:val="00675607"/>
    <w:rsid w:val="00675986"/>
    <w:rsid w:val="006904E9"/>
    <w:rsid w:val="00695694"/>
    <w:rsid w:val="006A2026"/>
    <w:rsid w:val="006A21C2"/>
    <w:rsid w:val="006A3B47"/>
    <w:rsid w:val="006A7A0A"/>
    <w:rsid w:val="006C1047"/>
    <w:rsid w:val="006C302C"/>
    <w:rsid w:val="006C3226"/>
    <w:rsid w:val="006C3B28"/>
    <w:rsid w:val="006D4BB7"/>
    <w:rsid w:val="006D75BD"/>
    <w:rsid w:val="006E4407"/>
    <w:rsid w:val="006F44F9"/>
    <w:rsid w:val="00701BD2"/>
    <w:rsid w:val="007114E7"/>
    <w:rsid w:val="0071588F"/>
    <w:rsid w:val="0073239A"/>
    <w:rsid w:val="0073727C"/>
    <w:rsid w:val="00744AF3"/>
    <w:rsid w:val="00747E56"/>
    <w:rsid w:val="007502A6"/>
    <w:rsid w:val="00751672"/>
    <w:rsid w:val="0075510C"/>
    <w:rsid w:val="00775593"/>
    <w:rsid w:val="00782A08"/>
    <w:rsid w:val="00785EA9"/>
    <w:rsid w:val="00786153"/>
    <w:rsid w:val="00792C70"/>
    <w:rsid w:val="007965B0"/>
    <w:rsid w:val="007A49B5"/>
    <w:rsid w:val="007B0CEC"/>
    <w:rsid w:val="007B1672"/>
    <w:rsid w:val="007B1D2D"/>
    <w:rsid w:val="007B34B1"/>
    <w:rsid w:val="007B46F9"/>
    <w:rsid w:val="007B6CFE"/>
    <w:rsid w:val="007C74E3"/>
    <w:rsid w:val="007D3E3E"/>
    <w:rsid w:val="007D6063"/>
    <w:rsid w:val="007E09E5"/>
    <w:rsid w:val="007E31DB"/>
    <w:rsid w:val="007E4FD8"/>
    <w:rsid w:val="007E7871"/>
    <w:rsid w:val="00803141"/>
    <w:rsid w:val="0081070B"/>
    <w:rsid w:val="008142EB"/>
    <w:rsid w:val="0081586E"/>
    <w:rsid w:val="0081669B"/>
    <w:rsid w:val="0081696C"/>
    <w:rsid w:val="008228F3"/>
    <w:rsid w:val="00823398"/>
    <w:rsid w:val="00823F91"/>
    <w:rsid w:val="00824683"/>
    <w:rsid w:val="008354C5"/>
    <w:rsid w:val="0083691D"/>
    <w:rsid w:val="00840FD3"/>
    <w:rsid w:val="00841779"/>
    <w:rsid w:val="008506A0"/>
    <w:rsid w:val="0085103F"/>
    <w:rsid w:val="00851A4F"/>
    <w:rsid w:val="008550F3"/>
    <w:rsid w:val="00866264"/>
    <w:rsid w:val="008663C0"/>
    <w:rsid w:val="008746E1"/>
    <w:rsid w:val="008803F7"/>
    <w:rsid w:val="00881C76"/>
    <w:rsid w:val="008868D2"/>
    <w:rsid w:val="0088763C"/>
    <w:rsid w:val="00891AEB"/>
    <w:rsid w:val="00893B0E"/>
    <w:rsid w:val="00894839"/>
    <w:rsid w:val="0089761B"/>
    <w:rsid w:val="008A60E2"/>
    <w:rsid w:val="008A79BF"/>
    <w:rsid w:val="008B1A8B"/>
    <w:rsid w:val="008B282A"/>
    <w:rsid w:val="008B2B8B"/>
    <w:rsid w:val="008D6D09"/>
    <w:rsid w:val="008D761F"/>
    <w:rsid w:val="008E5A53"/>
    <w:rsid w:val="008F013A"/>
    <w:rsid w:val="008F22F9"/>
    <w:rsid w:val="008F554F"/>
    <w:rsid w:val="008F6AC3"/>
    <w:rsid w:val="009077E3"/>
    <w:rsid w:val="00910EF2"/>
    <w:rsid w:val="00913B17"/>
    <w:rsid w:val="009166DD"/>
    <w:rsid w:val="0091672D"/>
    <w:rsid w:val="009342E4"/>
    <w:rsid w:val="009445E9"/>
    <w:rsid w:val="00950734"/>
    <w:rsid w:val="009634B4"/>
    <w:rsid w:val="009643E3"/>
    <w:rsid w:val="009649FC"/>
    <w:rsid w:val="00965F82"/>
    <w:rsid w:val="0097317C"/>
    <w:rsid w:val="0098237A"/>
    <w:rsid w:val="00982B8E"/>
    <w:rsid w:val="009830C8"/>
    <w:rsid w:val="009830EA"/>
    <w:rsid w:val="00983B9A"/>
    <w:rsid w:val="00986686"/>
    <w:rsid w:val="009877CF"/>
    <w:rsid w:val="00987B98"/>
    <w:rsid w:val="00990E34"/>
    <w:rsid w:val="00995E0A"/>
    <w:rsid w:val="009B1C06"/>
    <w:rsid w:val="009C22D0"/>
    <w:rsid w:val="009D5A08"/>
    <w:rsid w:val="009E62A2"/>
    <w:rsid w:val="009E69A1"/>
    <w:rsid w:val="009E7C45"/>
    <w:rsid w:val="009F24FB"/>
    <w:rsid w:val="009F4939"/>
    <w:rsid w:val="009F7BD8"/>
    <w:rsid w:val="00A022C7"/>
    <w:rsid w:val="00A02D20"/>
    <w:rsid w:val="00A0627A"/>
    <w:rsid w:val="00A1064C"/>
    <w:rsid w:val="00A16875"/>
    <w:rsid w:val="00A22653"/>
    <w:rsid w:val="00A23BC5"/>
    <w:rsid w:val="00A24F45"/>
    <w:rsid w:val="00A345AE"/>
    <w:rsid w:val="00A409B8"/>
    <w:rsid w:val="00A4383B"/>
    <w:rsid w:val="00A4670D"/>
    <w:rsid w:val="00A475EE"/>
    <w:rsid w:val="00A47D1E"/>
    <w:rsid w:val="00A511EB"/>
    <w:rsid w:val="00A523A9"/>
    <w:rsid w:val="00A52E9C"/>
    <w:rsid w:val="00A61CD4"/>
    <w:rsid w:val="00A67786"/>
    <w:rsid w:val="00A67C1E"/>
    <w:rsid w:val="00A761ED"/>
    <w:rsid w:val="00A76B1D"/>
    <w:rsid w:val="00A84D3F"/>
    <w:rsid w:val="00A86505"/>
    <w:rsid w:val="00AA00A9"/>
    <w:rsid w:val="00AA0438"/>
    <w:rsid w:val="00AA1DE2"/>
    <w:rsid w:val="00AA6434"/>
    <w:rsid w:val="00AA7B5D"/>
    <w:rsid w:val="00AB3384"/>
    <w:rsid w:val="00AB3A78"/>
    <w:rsid w:val="00AC4DB7"/>
    <w:rsid w:val="00AC7513"/>
    <w:rsid w:val="00AC7FED"/>
    <w:rsid w:val="00AD0497"/>
    <w:rsid w:val="00AD0503"/>
    <w:rsid w:val="00AD0929"/>
    <w:rsid w:val="00AD1FB0"/>
    <w:rsid w:val="00AD507E"/>
    <w:rsid w:val="00AD7302"/>
    <w:rsid w:val="00AE00BA"/>
    <w:rsid w:val="00AE11CB"/>
    <w:rsid w:val="00AE3E93"/>
    <w:rsid w:val="00AE6D1F"/>
    <w:rsid w:val="00AF09A6"/>
    <w:rsid w:val="00AF2068"/>
    <w:rsid w:val="00AF7EAE"/>
    <w:rsid w:val="00B03092"/>
    <w:rsid w:val="00B0541E"/>
    <w:rsid w:val="00B060A4"/>
    <w:rsid w:val="00B1027E"/>
    <w:rsid w:val="00B13849"/>
    <w:rsid w:val="00B23067"/>
    <w:rsid w:val="00B2590D"/>
    <w:rsid w:val="00B32E66"/>
    <w:rsid w:val="00B34848"/>
    <w:rsid w:val="00B40E21"/>
    <w:rsid w:val="00B4199A"/>
    <w:rsid w:val="00B45676"/>
    <w:rsid w:val="00B45F71"/>
    <w:rsid w:val="00B5018B"/>
    <w:rsid w:val="00B625D9"/>
    <w:rsid w:val="00B665D7"/>
    <w:rsid w:val="00B70860"/>
    <w:rsid w:val="00B71D02"/>
    <w:rsid w:val="00B80B2C"/>
    <w:rsid w:val="00B922CF"/>
    <w:rsid w:val="00B97679"/>
    <w:rsid w:val="00BA47D2"/>
    <w:rsid w:val="00BA61F7"/>
    <w:rsid w:val="00BB0F07"/>
    <w:rsid w:val="00BB3104"/>
    <w:rsid w:val="00BB352A"/>
    <w:rsid w:val="00BC2D8F"/>
    <w:rsid w:val="00BC2DE6"/>
    <w:rsid w:val="00BC68C0"/>
    <w:rsid w:val="00BC7240"/>
    <w:rsid w:val="00BD42F1"/>
    <w:rsid w:val="00BE1D82"/>
    <w:rsid w:val="00BE6352"/>
    <w:rsid w:val="00BF3664"/>
    <w:rsid w:val="00BF5F04"/>
    <w:rsid w:val="00C00672"/>
    <w:rsid w:val="00C052E4"/>
    <w:rsid w:val="00C1140C"/>
    <w:rsid w:val="00C1195C"/>
    <w:rsid w:val="00C136F0"/>
    <w:rsid w:val="00C150A5"/>
    <w:rsid w:val="00C21F78"/>
    <w:rsid w:val="00C224B0"/>
    <w:rsid w:val="00C25C02"/>
    <w:rsid w:val="00C27A38"/>
    <w:rsid w:val="00C32202"/>
    <w:rsid w:val="00C322C5"/>
    <w:rsid w:val="00C34D87"/>
    <w:rsid w:val="00C37F96"/>
    <w:rsid w:val="00C419F9"/>
    <w:rsid w:val="00C426F5"/>
    <w:rsid w:val="00C45D4C"/>
    <w:rsid w:val="00C51DD8"/>
    <w:rsid w:val="00C546D2"/>
    <w:rsid w:val="00C61510"/>
    <w:rsid w:val="00C61561"/>
    <w:rsid w:val="00C6634A"/>
    <w:rsid w:val="00C7068E"/>
    <w:rsid w:val="00C769EE"/>
    <w:rsid w:val="00C86201"/>
    <w:rsid w:val="00C908AD"/>
    <w:rsid w:val="00C920E5"/>
    <w:rsid w:val="00C94BB9"/>
    <w:rsid w:val="00CA1E0E"/>
    <w:rsid w:val="00CA5329"/>
    <w:rsid w:val="00CA5BA3"/>
    <w:rsid w:val="00CB0D2B"/>
    <w:rsid w:val="00CB4F5E"/>
    <w:rsid w:val="00CC25E8"/>
    <w:rsid w:val="00CC49DA"/>
    <w:rsid w:val="00CC5E96"/>
    <w:rsid w:val="00CC708D"/>
    <w:rsid w:val="00CC7B6A"/>
    <w:rsid w:val="00CD4A78"/>
    <w:rsid w:val="00CD6B6A"/>
    <w:rsid w:val="00CE43B4"/>
    <w:rsid w:val="00CE68C6"/>
    <w:rsid w:val="00CF0463"/>
    <w:rsid w:val="00CF3BB0"/>
    <w:rsid w:val="00CF7138"/>
    <w:rsid w:val="00D01039"/>
    <w:rsid w:val="00D02084"/>
    <w:rsid w:val="00D050DE"/>
    <w:rsid w:val="00D072D0"/>
    <w:rsid w:val="00D077EC"/>
    <w:rsid w:val="00D13B06"/>
    <w:rsid w:val="00D13BC7"/>
    <w:rsid w:val="00D16403"/>
    <w:rsid w:val="00D1728D"/>
    <w:rsid w:val="00D21BFC"/>
    <w:rsid w:val="00D21D55"/>
    <w:rsid w:val="00D21EF9"/>
    <w:rsid w:val="00D22F4A"/>
    <w:rsid w:val="00D23330"/>
    <w:rsid w:val="00D32326"/>
    <w:rsid w:val="00D32A31"/>
    <w:rsid w:val="00D35F74"/>
    <w:rsid w:val="00D4029A"/>
    <w:rsid w:val="00D416A5"/>
    <w:rsid w:val="00D437EF"/>
    <w:rsid w:val="00D50C56"/>
    <w:rsid w:val="00D5488B"/>
    <w:rsid w:val="00D55074"/>
    <w:rsid w:val="00D55AA4"/>
    <w:rsid w:val="00D6261D"/>
    <w:rsid w:val="00D6598A"/>
    <w:rsid w:val="00D65F4B"/>
    <w:rsid w:val="00D71653"/>
    <w:rsid w:val="00D72436"/>
    <w:rsid w:val="00D8063C"/>
    <w:rsid w:val="00D926F9"/>
    <w:rsid w:val="00D93182"/>
    <w:rsid w:val="00D961B5"/>
    <w:rsid w:val="00DA6589"/>
    <w:rsid w:val="00DA7FD6"/>
    <w:rsid w:val="00DB000D"/>
    <w:rsid w:val="00DB31E6"/>
    <w:rsid w:val="00DB7EE0"/>
    <w:rsid w:val="00DD3E7F"/>
    <w:rsid w:val="00DE0ECC"/>
    <w:rsid w:val="00DE2348"/>
    <w:rsid w:val="00DE3943"/>
    <w:rsid w:val="00DE562E"/>
    <w:rsid w:val="00DE77F8"/>
    <w:rsid w:val="00DF0138"/>
    <w:rsid w:val="00DF294A"/>
    <w:rsid w:val="00E00EAF"/>
    <w:rsid w:val="00E0236A"/>
    <w:rsid w:val="00E11739"/>
    <w:rsid w:val="00E12F72"/>
    <w:rsid w:val="00E15A2D"/>
    <w:rsid w:val="00E15B2B"/>
    <w:rsid w:val="00E242AF"/>
    <w:rsid w:val="00E24B08"/>
    <w:rsid w:val="00E267A5"/>
    <w:rsid w:val="00E27E52"/>
    <w:rsid w:val="00E35AC9"/>
    <w:rsid w:val="00E413A9"/>
    <w:rsid w:val="00E5003A"/>
    <w:rsid w:val="00E514FA"/>
    <w:rsid w:val="00E547FF"/>
    <w:rsid w:val="00E56529"/>
    <w:rsid w:val="00E6135C"/>
    <w:rsid w:val="00E67591"/>
    <w:rsid w:val="00E67A2A"/>
    <w:rsid w:val="00E707AA"/>
    <w:rsid w:val="00E728B0"/>
    <w:rsid w:val="00E75758"/>
    <w:rsid w:val="00E75BC0"/>
    <w:rsid w:val="00E7673F"/>
    <w:rsid w:val="00E85ECC"/>
    <w:rsid w:val="00E9292D"/>
    <w:rsid w:val="00E9360A"/>
    <w:rsid w:val="00EA2B0E"/>
    <w:rsid w:val="00EA400B"/>
    <w:rsid w:val="00EA56F6"/>
    <w:rsid w:val="00EA77CE"/>
    <w:rsid w:val="00EB1DAB"/>
    <w:rsid w:val="00EB1EEE"/>
    <w:rsid w:val="00EB3F6F"/>
    <w:rsid w:val="00EB50B7"/>
    <w:rsid w:val="00EC15BD"/>
    <w:rsid w:val="00EC38D5"/>
    <w:rsid w:val="00EC477B"/>
    <w:rsid w:val="00ED0F47"/>
    <w:rsid w:val="00EE1C32"/>
    <w:rsid w:val="00EE34BE"/>
    <w:rsid w:val="00EE474A"/>
    <w:rsid w:val="00EF6C7F"/>
    <w:rsid w:val="00EF7711"/>
    <w:rsid w:val="00F03B1E"/>
    <w:rsid w:val="00F2180F"/>
    <w:rsid w:val="00F31732"/>
    <w:rsid w:val="00F31C45"/>
    <w:rsid w:val="00F31F04"/>
    <w:rsid w:val="00F327E2"/>
    <w:rsid w:val="00F34A38"/>
    <w:rsid w:val="00F375FF"/>
    <w:rsid w:val="00F45A0F"/>
    <w:rsid w:val="00F50C2B"/>
    <w:rsid w:val="00F566E6"/>
    <w:rsid w:val="00F702DD"/>
    <w:rsid w:val="00F70EA4"/>
    <w:rsid w:val="00F721A2"/>
    <w:rsid w:val="00F72B51"/>
    <w:rsid w:val="00F734B6"/>
    <w:rsid w:val="00F76C50"/>
    <w:rsid w:val="00F84427"/>
    <w:rsid w:val="00F85050"/>
    <w:rsid w:val="00F86303"/>
    <w:rsid w:val="00F95BD7"/>
    <w:rsid w:val="00FA0C87"/>
    <w:rsid w:val="00FA1741"/>
    <w:rsid w:val="00FA1F54"/>
    <w:rsid w:val="00FA6242"/>
    <w:rsid w:val="00FA643C"/>
    <w:rsid w:val="00FA6583"/>
    <w:rsid w:val="00FA7894"/>
    <w:rsid w:val="00FB1CFA"/>
    <w:rsid w:val="00FB70E2"/>
    <w:rsid w:val="00FC4DCA"/>
    <w:rsid w:val="00FC4DD1"/>
    <w:rsid w:val="00FD1DCC"/>
    <w:rsid w:val="00FD2E3D"/>
    <w:rsid w:val="00FD42F9"/>
    <w:rsid w:val="00FE4B89"/>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paragraph" w:styleId="Heading1">
    <w:name w:val="heading 1"/>
    <w:basedOn w:val="Normal"/>
    <w:next w:val="Normal"/>
    <w:link w:val="Heading1Char"/>
    <w:qFormat/>
    <w:rsid w:val="00FA65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6C302C"/>
    <w:pPr>
      <w:ind w:left="720"/>
    </w:pPr>
  </w:style>
  <w:style w:type="character" w:customStyle="1" w:styleId="Heading1Char">
    <w:name w:val="Heading 1 Char"/>
    <w:basedOn w:val="DefaultParagraphFont"/>
    <w:link w:val="Heading1"/>
    <w:rsid w:val="00FA65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shoffner</cp:lastModifiedBy>
  <cp:revision>12</cp:revision>
  <cp:lastPrinted>2010-08-31T15:50:00Z</cp:lastPrinted>
  <dcterms:created xsi:type="dcterms:W3CDTF">2010-08-13T14:47:00Z</dcterms:created>
  <dcterms:modified xsi:type="dcterms:W3CDTF">2010-08-31T15:51:00Z</dcterms:modified>
</cp:coreProperties>
</file>