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993" w:rsidRPr="00257CD3" w:rsidRDefault="00275993" w:rsidP="00275993">
      <w:pPr>
        <w:jc w:val="center"/>
        <w:rPr>
          <w:b/>
        </w:rPr>
      </w:pPr>
      <w:r w:rsidRPr="00257CD3">
        <w:rPr>
          <w:b/>
        </w:rPr>
        <w:t>PENNSYLVANIA PUBLIC UTILITY COMMISSION</w:t>
      </w:r>
    </w:p>
    <w:p w:rsidR="00275993" w:rsidRPr="00257CD3" w:rsidRDefault="00275993" w:rsidP="00275993">
      <w:pPr>
        <w:tabs>
          <w:tab w:val="center" w:pos="4320"/>
          <w:tab w:val="left" w:pos="7020"/>
        </w:tabs>
        <w:rPr>
          <w:b/>
        </w:rPr>
      </w:pPr>
      <w:r w:rsidRPr="00257CD3">
        <w:rPr>
          <w:b/>
        </w:rPr>
        <w:tab/>
        <w:t>Harrisburg, Pennsylvania 17105-3265</w:t>
      </w:r>
      <w:r w:rsidRPr="00257CD3">
        <w:rPr>
          <w:b/>
        </w:rPr>
        <w:tab/>
      </w:r>
    </w:p>
    <w:p w:rsidR="00275993" w:rsidRPr="00257CD3" w:rsidRDefault="00275993" w:rsidP="00275993">
      <w:pPr>
        <w:jc w:val="center"/>
        <w:rPr>
          <w:b/>
        </w:rPr>
      </w:pPr>
    </w:p>
    <w:p w:rsidR="00275993" w:rsidRPr="00257CD3" w:rsidRDefault="00275993" w:rsidP="00275993">
      <w:pPr>
        <w:jc w:val="center"/>
        <w:rPr>
          <w:b/>
        </w:rPr>
      </w:pPr>
    </w:p>
    <w:tbl>
      <w:tblPr>
        <w:tblStyle w:val="TableGrid"/>
        <w:tblW w:w="9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48"/>
        <w:gridCol w:w="5151"/>
      </w:tblGrid>
      <w:tr w:rsidR="00275993" w:rsidRPr="00257CD3" w:rsidTr="001E7CA8">
        <w:tc>
          <w:tcPr>
            <w:tcW w:w="4248" w:type="dxa"/>
          </w:tcPr>
          <w:p w:rsidR="00275993" w:rsidRPr="00257CD3" w:rsidRDefault="000A5418" w:rsidP="001E7CA8">
            <w:pPr>
              <w:rPr>
                <w:b/>
              </w:rPr>
            </w:pPr>
            <w:r>
              <w:rPr>
                <w:b/>
              </w:rPr>
              <w:t>Interim Guidelines Regarding Advance Notification by an Electric Generation Supplier of Impending Changes Affecting Customer Service</w:t>
            </w:r>
          </w:p>
        </w:tc>
        <w:tc>
          <w:tcPr>
            <w:tcW w:w="5151" w:type="dxa"/>
          </w:tcPr>
          <w:p w:rsidR="00275993" w:rsidRPr="00257CD3" w:rsidRDefault="000A5418" w:rsidP="001E7CA8">
            <w:pPr>
              <w:rPr>
                <w:b/>
              </w:rPr>
            </w:pPr>
            <w:r>
              <w:rPr>
                <w:b/>
              </w:rPr>
              <w:t>Public Meeting held September 2</w:t>
            </w:r>
            <w:r w:rsidR="00C64D95">
              <w:rPr>
                <w:b/>
              </w:rPr>
              <w:t>, 2010</w:t>
            </w:r>
            <w:r w:rsidR="00275993" w:rsidRPr="00257CD3">
              <w:rPr>
                <w:b/>
              </w:rPr>
              <w:t xml:space="preserve"> </w:t>
            </w:r>
          </w:p>
          <w:p w:rsidR="00275993" w:rsidRPr="00257CD3" w:rsidRDefault="000A5418" w:rsidP="001E7CA8">
            <w:pPr>
              <w:rPr>
                <w:b/>
              </w:rPr>
            </w:pPr>
            <w:r>
              <w:rPr>
                <w:b/>
              </w:rPr>
              <w:t>2195286-DIR</w:t>
            </w:r>
          </w:p>
          <w:p w:rsidR="00275993" w:rsidRPr="00257CD3" w:rsidRDefault="000A5418" w:rsidP="001E7CA8">
            <w:pPr>
              <w:rPr>
                <w:b/>
              </w:rPr>
            </w:pPr>
            <w:r>
              <w:rPr>
                <w:b/>
              </w:rPr>
              <w:t>Docket No. M-2010-2195286</w:t>
            </w:r>
          </w:p>
          <w:p w:rsidR="00275993" w:rsidRPr="00257CD3" w:rsidRDefault="00275993" w:rsidP="001E7CA8">
            <w:pPr>
              <w:jc w:val="center"/>
              <w:rPr>
                <w:b/>
              </w:rPr>
            </w:pPr>
          </w:p>
        </w:tc>
      </w:tr>
    </w:tbl>
    <w:p w:rsidR="00275993" w:rsidRPr="00257CD3" w:rsidRDefault="00275993" w:rsidP="00275993">
      <w:pPr>
        <w:jc w:val="center"/>
        <w:rPr>
          <w:b/>
          <w:u w:val="single"/>
        </w:rPr>
      </w:pPr>
    </w:p>
    <w:p w:rsidR="00275993" w:rsidRPr="00257CD3" w:rsidRDefault="006E4A47" w:rsidP="00275993">
      <w:pPr>
        <w:jc w:val="center"/>
        <w:rPr>
          <w:b/>
          <w:u w:val="single"/>
        </w:rPr>
      </w:pPr>
      <w:r w:rsidRPr="00257CD3">
        <w:rPr>
          <w:b/>
          <w:u w:val="single"/>
        </w:rPr>
        <w:t>MOTION OF COMMISSIONER WAYNE E. GARDNER</w:t>
      </w:r>
    </w:p>
    <w:p w:rsidR="001867A0" w:rsidRDefault="001867A0"/>
    <w:p w:rsidR="00F1257E" w:rsidRDefault="00F1257E" w:rsidP="006E4A47">
      <w:pPr>
        <w:ind w:firstLine="720"/>
      </w:pPr>
      <w:r>
        <w:t xml:space="preserve">In </w:t>
      </w:r>
      <w:r w:rsidR="00544031">
        <w:t>2001, the Commission developed</w:t>
      </w:r>
      <w:r>
        <w:t xml:space="preserve"> in</w:t>
      </w:r>
      <w:r w:rsidR="003F10BE">
        <w:t>terim guidelines</w:t>
      </w:r>
      <w:r w:rsidR="00544031">
        <w:t xml:space="preserve"> to give</w:t>
      </w:r>
      <w:r w:rsidR="003F10BE">
        <w:t xml:space="preserve"> guidance to Electric Generation Suppliers (EGSs) </w:t>
      </w:r>
      <w:r w:rsidR="00544031">
        <w:t>on when and how to provide</w:t>
      </w:r>
      <w:r w:rsidR="003F10BE">
        <w:t xml:space="preserve"> notice to customers in advance of a c</w:t>
      </w:r>
      <w:r w:rsidR="00564B91">
        <w:t>han</w:t>
      </w:r>
      <w:r w:rsidR="00544031">
        <w:t>ge in terms of service or at</w:t>
      </w:r>
      <w:r w:rsidR="00564B91">
        <w:t xml:space="preserve"> the expiration of</w:t>
      </w:r>
      <w:r w:rsidR="00544031">
        <w:t xml:space="preserve"> a customer’s</w:t>
      </w:r>
      <w:r w:rsidR="005B1357">
        <w:t xml:space="preserve"> contract with the</w:t>
      </w:r>
      <w:r w:rsidR="00564B91">
        <w:t xml:space="preserve"> EGS.</w:t>
      </w:r>
      <w:r>
        <w:t xml:space="preserve">  Because shopping activity was relatively low prior to the expiration of rate caps, these interim guidelines were </w:t>
      </w:r>
      <w:r w:rsidR="00D464CD">
        <w:t>rarely used.  Now that</w:t>
      </w:r>
      <w:r>
        <w:t xml:space="preserve"> some rate caps have expired and others will expire soon, </w:t>
      </w:r>
      <w:r w:rsidR="00D464CD">
        <w:t xml:space="preserve">the Office of Competitive </w:t>
      </w:r>
      <w:r w:rsidR="0027372C">
        <w:t xml:space="preserve">Market </w:t>
      </w:r>
      <w:r w:rsidR="00D464CD">
        <w:t>Oversight (</w:t>
      </w:r>
      <w:r>
        <w:t>OCMO</w:t>
      </w:r>
      <w:r w:rsidR="00D464CD">
        <w:t>)</w:t>
      </w:r>
      <w:r w:rsidR="0013009C">
        <w:rPr>
          <w:rStyle w:val="FootnoteReference"/>
        </w:rPr>
        <w:footnoteReference w:id="1"/>
      </w:r>
      <w:r>
        <w:t xml:space="preserve"> has reviewed these guidelines</w:t>
      </w:r>
      <w:r w:rsidR="00D464CD">
        <w:t xml:space="preserve"> for continued applicability to today’s competitive market</w:t>
      </w:r>
      <w:r>
        <w:t>.  In its re</w:t>
      </w:r>
      <w:r w:rsidR="003D4FBF">
        <w:t xml:space="preserve">view, </w:t>
      </w:r>
      <w:r w:rsidR="009C582D">
        <w:t xml:space="preserve">the </w:t>
      </w:r>
      <w:r w:rsidR="003B6674">
        <w:t>OCMO identified issues with the Interim Guidelines as written</w:t>
      </w:r>
      <w:r>
        <w:t xml:space="preserve"> and has proposed t</w:t>
      </w:r>
      <w:r w:rsidR="003B6674">
        <w:t>o modify them</w:t>
      </w:r>
      <w:r>
        <w:t>.</w:t>
      </w:r>
    </w:p>
    <w:p w:rsidR="00F1257E" w:rsidRDefault="00F1257E" w:rsidP="00F1257E"/>
    <w:p w:rsidR="00F1257E" w:rsidRDefault="00F1257E" w:rsidP="006E4A47">
      <w:pPr>
        <w:ind w:firstLine="720"/>
      </w:pPr>
      <w:r>
        <w:t xml:space="preserve">The first </w:t>
      </w:r>
      <w:r w:rsidR="003B6674">
        <w:t>issue</w:t>
      </w:r>
      <w:r>
        <w:t xml:space="preserve"> concerns the </w:t>
      </w:r>
      <w:r w:rsidR="00677D99">
        <w:t>price to compare</w:t>
      </w:r>
      <w:r w:rsidR="00392FF2">
        <w:t xml:space="preserve"> (PTC)</w:t>
      </w:r>
      <w:r w:rsidR="00677D99">
        <w:t xml:space="preserve">.  </w:t>
      </w:r>
      <w:r w:rsidR="00392FF2">
        <w:t>The guidelines indicate that</w:t>
      </w:r>
      <w:r>
        <w:t xml:space="preserve"> when a customer’s contract with an EGS is close to the expiration date, the EGS must send a notice to the customer wh</w:t>
      </w:r>
      <w:r w:rsidR="00392FF2">
        <w:t xml:space="preserve">ich includes, </w:t>
      </w:r>
      <w:r w:rsidR="00392FF2" w:rsidRPr="00392FF2">
        <w:rPr>
          <w:i/>
        </w:rPr>
        <w:t>inter alia</w:t>
      </w:r>
      <w:r>
        <w:t>, the PTC so that the customer will have that information to assist in the decision of whe</w:t>
      </w:r>
      <w:r w:rsidR="007C4219">
        <w:t>ther to remain with the EGS, choose another EGS, or return to the default service supplier</w:t>
      </w:r>
      <w:r>
        <w:t>.  The problem</w:t>
      </w:r>
      <w:r w:rsidR="007C4219">
        <w:t xml:space="preserve"> identified by</w:t>
      </w:r>
      <w:r w:rsidR="009C582D">
        <w:t xml:space="preserve"> the</w:t>
      </w:r>
      <w:r w:rsidR="007C4219">
        <w:t xml:space="preserve"> OCMO</w:t>
      </w:r>
      <w:r>
        <w:t xml:space="preserve"> is that the PTC may not be known at the time the notice must be sent and that the </w:t>
      </w:r>
      <w:r w:rsidR="00101C3C">
        <w:t>PTC may</w:t>
      </w:r>
      <w:r w:rsidR="00A50804">
        <w:t xml:space="preserve"> </w:t>
      </w:r>
      <w:r>
        <w:t>change</w:t>
      </w:r>
      <w:r w:rsidR="00A50804">
        <w:t xml:space="preserve"> as often as</w:t>
      </w:r>
      <w:r>
        <w:t xml:space="preserve"> quarterly. </w:t>
      </w:r>
      <w:r w:rsidR="009C582D">
        <w:t xml:space="preserve"> The recommended solution by the OCMO is to require an estimated PTC in the notice, a clear statement that it is an estimate, and instructions on how and when to obtain an accurate PTC.</w:t>
      </w:r>
      <w:r w:rsidR="00A147E2">
        <w:t xml:space="preserve">  I agree that of the possible solutions considered, this solution will best assist customers</w:t>
      </w:r>
      <w:r w:rsidR="00D96A35">
        <w:t xml:space="preserve"> when it is time for them to make decisions concerning a supplier. </w:t>
      </w:r>
      <w:r w:rsidR="003B6674">
        <w:t xml:space="preserve"> It is the solution to the second issue with which I disagree.</w:t>
      </w:r>
    </w:p>
    <w:p w:rsidR="0094041C" w:rsidRDefault="0094041C" w:rsidP="00F1257E"/>
    <w:p w:rsidR="00E25DA0" w:rsidRDefault="00FF79E2" w:rsidP="006E4A47">
      <w:pPr>
        <w:ind w:firstLine="720"/>
      </w:pPr>
      <w:r>
        <w:t>The s</w:t>
      </w:r>
      <w:r w:rsidR="0094041C">
        <w:t>e</w:t>
      </w:r>
      <w:r w:rsidR="00E25DA0">
        <w:t>cond issue concerns the state of customers’ accounts when they</w:t>
      </w:r>
      <w:r w:rsidR="0094041C">
        <w:t xml:space="preserve"> fail to respond to </w:t>
      </w:r>
      <w:r w:rsidR="00E25DA0">
        <w:t>a</w:t>
      </w:r>
      <w:r w:rsidR="0013009C">
        <w:t xml:space="preserve"> renewal notice</w:t>
      </w:r>
      <w:r w:rsidR="0094041C">
        <w:t xml:space="preserve"> when their c</w:t>
      </w:r>
      <w:r w:rsidR="00E25DA0">
        <w:t>o</w:t>
      </w:r>
      <w:r w:rsidR="0013009C">
        <w:t>ntract with an EGS is nearing</w:t>
      </w:r>
      <w:r w:rsidR="00E25DA0">
        <w:t xml:space="preserve"> the expiration date</w:t>
      </w:r>
      <w:r w:rsidR="0094041C">
        <w:t>.  The resolution of this issue is not addressed in the current Interim Guidelines.</w:t>
      </w:r>
      <w:r w:rsidR="00E25DA0">
        <w:t xml:space="preserve">  After consideration of several options, </w:t>
      </w:r>
      <w:r w:rsidR="000C61B6">
        <w:t xml:space="preserve">the </w:t>
      </w:r>
      <w:r w:rsidR="00E25DA0">
        <w:t>OCMO recommends that if a customer does not respond to a renewal</w:t>
      </w:r>
      <w:r w:rsidR="000C61B6">
        <w:t xml:space="preserve"> notice at the end of the</w:t>
      </w:r>
      <w:r w:rsidR="0013009C">
        <w:t xml:space="preserve"> contract, </w:t>
      </w:r>
      <w:r w:rsidR="00E25DA0">
        <w:t>th</w:t>
      </w:r>
      <w:r w:rsidR="000C61B6">
        <w:t>e contract automatically renews</w:t>
      </w:r>
      <w:r w:rsidR="0013009C">
        <w:t xml:space="preserve"> and</w:t>
      </w:r>
      <w:r w:rsidR="00E25DA0">
        <w:t xml:space="preserve"> the customer has 30 days after receiving the first bill to cancel</w:t>
      </w:r>
      <w:r w:rsidR="0013009C">
        <w:t xml:space="preserve"> without paying a penalty</w:t>
      </w:r>
      <w:r w:rsidR="00E25DA0">
        <w:t xml:space="preserve">.  </w:t>
      </w:r>
      <w:r w:rsidR="005E64FF">
        <w:t>The OCMO believes that this is a reasonable compromise</w:t>
      </w:r>
      <w:r w:rsidR="0038762C">
        <w:t xml:space="preserve"> considering the needs of the customer and the competing interests of various stakeholders.  </w:t>
      </w:r>
    </w:p>
    <w:p w:rsidR="0038762C" w:rsidRDefault="0038762C" w:rsidP="00E25DA0"/>
    <w:p w:rsidR="0038762C" w:rsidRDefault="0038762C" w:rsidP="006E4A47">
      <w:pPr>
        <w:ind w:firstLine="720"/>
      </w:pPr>
      <w:r>
        <w:t xml:space="preserve">I disagree that this is the best solution as it has the potential to lock a customer into a contract for a year or </w:t>
      </w:r>
      <w:r w:rsidR="00BC1C4B">
        <w:t xml:space="preserve">even </w:t>
      </w:r>
      <w:r>
        <w:t>longer.</w:t>
      </w:r>
      <w:r w:rsidR="00BC1C4B">
        <w:t xml:space="preserve">  A better resolution of this issue is to mirror the language in</w:t>
      </w:r>
      <w:r w:rsidR="00B73A8D">
        <w:t xml:space="preserve"> an </w:t>
      </w:r>
      <w:r w:rsidR="00B73A8D">
        <w:lastRenderedPageBreak/>
        <w:t>analogous regulation for the gas industry.</w:t>
      </w:r>
      <w:r w:rsidR="007952A1">
        <w:t xml:space="preserve">  Th</w:t>
      </w:r>
      <w:r w:rsidR="009A089B">
        <w:t>at</w:t>
      </w:r>
      <w:r w:rsidR="007952A1">
        <w:t xml:space="preserve"> regulation states that when a customer does not respond to a renewal notice “a fixed term agreement may be converted to a month-to-month agreement, either at the same terms and conditions or at revised terms and conditions, as long as the agreement converts from a fixed term to a month-to-month agreement and contains no cancellation penalties…</w:t>
      </w:r>
      <w:r w:rsidR="00C01A89">
        <w:t>.</w:t>
      </w:r>
      <w:r w:rsidR="007952A1">
        <w:t xml:space="preserve">  A fixed term agreement may be converted to another fixed term agreement as long as the new agreement includes a customer initiated cancellation provision that allows the customer to cancel at any time for any reason and contains no cancellation penalties, in the event that the customer does not respond to the notice.”</w:t>
      </w:r>
      <w:r w:rsidR="00B73A8D">
        <w:t xml:space="preserve"> </w:t>
      </w:r>
      <w:r w:rsidR="00FF79E2">
        <w:rPr>
          <w:rStyle w:val="FootnoteReference"/>
        </w:rPr>
        <w:footnoteReference w:id="2"/>
      </w:r>
      <w:r w:rsidR="00B73A8D">
        <w:t xml:space="preserve"> </w:t>
      </w:r>
    </w:p>
    <w:p w:rsidR="00F94EA1" w:rsidRDefault="00F94EA1" w:rsidP="00E25DA0"/>
    <w:p w:rsidR="00E704C0" w:rsidRDefault="00F94EA1" w:rsidP="006E4A47">
      <w:pPr>
        <w:ind w:firstLine="720"/>
      </w:pPr>
      <w:r>
        <w:t xml:space="preserve">This option was initially considered by the OCMO and I believe that it will better protect customers and encourage competition.  If customers are unwillingly trapped in a contract which contains penalties for leaving, </w:t>
      </w:r>
      <w:r w:rsidR="00AF49F9">
        <w:t xml:space="preserve">customers may prefer to stay with their default service suppliers.  </w:t>
      </w:r>
      <w:r w:rsidR="003D7F80">
        <w:t>C</w:t>
      </w:r>
      <w:r w:rsidR="00AF49F9">
        <w:t xml:space="preserve">ompetition is strengthened </w:t>
      </w:r>
      <w:r w:rsidR="00FF79E2">
        <w:t xml:space="preserve">anytime a customer has a choice.  </w:t>
      </w:r>
      <w:r w:rsidR="00763A93">
        <w:t>Additionally, b</w:t>
      </w:r>
      <w:r w:rsidR="00AF49F9">
        <w:t xml:space="preserve">eing </w:t>
      </w:r>
      <w:r w:rsidR="005B1357">
        <w:t xml:space="preserve">unwillingly </w:t>
      </w:r>
      <w:r w:rsidR="00AF49F9">
        <w:t>locked into a contract means that customers will not have a choice of suppliers.</w:t>
      </w:r>
      <w:r w:rsidR="00E704C0">
        <w:t xml:space="preserve">  </w:t>
      </w:r>
    </w:p>
    <w:p w:rsidR="003E6836" w:rsidRPr="00257CD3" w:rsidRDefault="003E6836"/>
    <w:p w:rsidR="00257CD3" w:rsidRDefault="00257CD3" w:rsidP="00A42144">
      <w:pPr>
        <w:ind w:firstLine="720"/>
        <w:rPr>
          <w:b/>
        </w:rPr>
      </w:pPr>
      <w:r w:rsidRPr="00257CD3">
        <w:rPr>
          <w:b/>
        </w:rPr>
        <w:t>THEREFORE, I MOVE THAT:</w:t>
      </w:r>
    </w:p>
    <w:p w:rsidR="0058023F" w:rsidRDefault="0058023F" w:rsidP="00257CD3">
      <w:pPr>
        <w:rPr>
          <w:b/>
        </w:rPr>
      </w:pPr>
    </w:p>
    <w:p w:rsidR="000D5EDA" w:rsidRDefault="00E17C4A" w:rsidP="00A42144">
      <w:pPr>
        <w:pStyle w:val="ListParagraph"/>
        <w:numPr>
          <w:ilvl w:val="0"/>
          <w:numId w:val="1"/>
        </w:numPr>
        <w:spacing w:line="240" w:lineRule="auto"/>
        <w:ind w:left="720" w:firstLine="0"/>
      </w:pPr>
      <w:r>
        <w:rPr>
          <w:rFonts w:ascii="Times New Roman" w:hAnsi="Times New Roman" w:cs="Times New Roman"/>
          <w:sz w:val="24"/>
          <w:szCs w:val="24"/>
        </w:rPr>
        <w:t xml:space="preserve">For the purpose of soliciting public comment, we will tentatively adopt </w:t>
      </w:r>
      <w:r w:rsidR="00BA3AF6">
        <w:rPr>
          <w:rFonts w:ascii="Times New Roman" w:hAnsi="Times New Roman" w:cs="Times New Roman"/>
          <w:sz w:val="24"/>
          <w:szCs w:val="24"/>
        </w:rPr>
        <w:t xml:space="preserve">the Office </w:t>
      </w:r>
      <w:r w:rsidR="002678EC">
        <w:rPr>
          <w:rFonts w:ascii="Times New Roman" w:hAnsi="Times New Roman" w:cs="Times New Roman"/>
          <w:sz w:val="24"/>
          <w:szCs w:val="24"/>
        </w:rPr>
        <w:t>of Competitive Market Oversight</w:t>
      </w:r>
      <w:r>
        <w:rPr>
          <w:rFonts w:ascii="Times New Roman" w:hAnsi="Times New Roman" w:cs="Times New Roman"/>
          <w:sz w:val="24"/>
          <w:szCs w:val="24"/>
        </w:rPr>
        <w:t>’s recommendation as modified by this Motion.</w:t>
      </w:r>
    </w:p>
    <w:p w:rsidR="00257CD3" w:rsidRPr="00EE3F15" w:rsidRDefault="00257CD3" w:rsidP="00A42144">
      <w:pPr>
        <w:ind w:left="720"/>
      </w:pPr>
    </w:p>
    <w:p w:rsidR="00EE3F15" w:rsidRPr="0058023F" w:rsidRDefault="00257CD3" w:rsidP="00A42144">
      <w:pPr>
        <w:pStyle w:val="ListParagraph"/>
        <w:numPr>
          <w:ilvl w:val="0"/>
          <w:numId w:val="1"/>
        </w:numPr>
        <w:spacing w:line="240" w:lineRule="auto"/>
        <w:ind w:left="720" w:firstLine="0"/>
        <w:rPr>
          <w:rFonts w:ascii="Times New Roman" w:hAnsi="Times New Roman" w:cs="Times New Roman"/>
          <w:sz w:val="24"/>
          <w:szCs w:val="24"/>
        </w:rPr>
      </w:pPr>
      <w:r w:rsidRPr="00257CD3">
        <w:rPr>
          <w:rFonts w:ascii="Times New Roman" w:hAnsi="Times New Roman" w:cs="Times New Roman"/>
          <w:sz w:val="24"/>
          <w:szCs w:val="24"/>
        </w:rPr>
        <w:t xml:space="preserve">The Office of </w:t>
      </w:r>
      <w:r w:rsidR="0058023F">
        <w:rPr>
          <w:rFonts w:ascii="Times New Roman" w:hAnsi="Times New Roman" w:cs="Times New Roman"/>
          <w:sz w:val="24"/>
          <w:szCs w:val="24"/>
        </w:rPr>
        <w:t>Competitive Market Oversight</w:t>
      </w:r>
      <w:r w:rsidRPr="00257CD3">
        <w:rPr>
          <w:rFonts w:ascii="Times New Roman" w:hAnsi="Times New Roman" w:cs="Times New Roman"/>
          <w:sz w:val="24"/>
          <w:szCs w:val="24"/>
        </w:rPr>
        <w:t xml:space="preserve"> </w:t>
      </w:r>
      <w:r w:rsidR="00E17C4A">
        <w:rPr>
          <w:rFonts w:ascii="Times New Roman" w:hAnsi="Times New Roman" w:cs="Times New Roman"/>
          <w:sz w:val="24"/>
          <w:szCs w:val="24"/>
        </w:rPr>
        <w:t xml:space="preserve">revise Appendix A </w:t>
      </w:r>
      <w:r w:rsidRPr="00257CD3">
        <w:rPr>
          <w:rFonts w:ascii="Times New Roman" w:hAnsi="Times New Roman" w:cs="Times New Roman"/>
          <w:sz w:val="24"/>
          <w:szCs w:val="24"/>
        </w:rPr>
        <w:t>consistent with this Motion</w:t>
      </w:r>
      <w:r w:rsidR="00E13E95">
        <w:rPr>
          <w:rFonts w:ascii="Times New Roman" w:hAnsi="Times New Roman" w:cs="Times New Roman"/>
          <w:sz w:val="24"/>
          <w:szCs w:val="24"/>
        </w:rPr>
        <w:t xml:space="preserve"> to be issued for comment.</w:t>
      </w:r>
    </w:p>
    <w:p w:rsidR="00257CD3" w:rsidRPr="00257CD3" w:rsidRDefault="00257CD3" w:rsidP="00257CD3"/>
    <w:p w:rsidR="00257CD3" w:rsidRPr="00257CD3" w:rsidRDefault="00257CD3" w:rsidP="00257CD3"/>
    <w:p w:rsidR="00257CD3" w:rsidRPr="00257CD3" w:rsidRDefault="00257CD3" w:rsidP="00257CD3"/>
    <w:p w:rsidR="00257CD3" w:rsidRPr="00257CD3" w:rsidRDefault="006C6497" w:rsidP="006E4A47">
      <w:pPr>
        <w:pStyle w:val="NoSpacing"/>
        <w:rPr>
          <w:rFonts w:ascii="Times New Roman" w:hAnsi="Times New Roman" w:cs="Times New Roman"/>
          <w:b/>
          <w:sz w:val="24"/>
          <w:szCs w:val="24"/>
        </w:rPr>
      </w:pPr>
      <w:r>
        <w:rPr>
          <w:rFonts w:ascii="Times New Roman" w:hAnsi="Times New Roman" w:cs="Times New Roman"/>
          <w:b/>
          <w:sz w:val="24"/>
          <w:szCs w:val="24"/>
          <w:u w:val="single"/>
        </w:rPr>
        <w:t>September 2</w:t>
      </w:r>
      <w:r w:rsidR="009608C4">
        <w:rPr>
          <w:rFonts w:ascii="Times New Roman" w:hAnsi="Times New Roman" w:cs="Times New Roman"/>
          <w:b/>
          <w:sz w:val="24"/>
          <w:szCs w:val="24"/>
          <w:u w:val="single"/>
        </w:rPr>
        <w:t>, 2010</w:t>
      </w:r>
      <w:r w:rsidR="00257CD3" w:rsidRPr="00257CD3">
        <w:rPr>
          <w:rFonts w:ascii="Times New Roman" w:hAnsi="Times New Roman" w:cs="Times New Roman"/>
          <w:b/>
          <w:sz w:val="24"/>
          <w:szCs w:val="24"/>
        </w:rPr>
        <w:tab/>
      </w:r>
      <w:r>
        <w:rPr>
          <w:rFonts w:ascii="Times New Roman" w:hAnsi="Times New Roman" w:cs="Times New Roman"/>
          <w:b/>
          <w:sz w:val="24"/>
          <w:szCs w:val="24"/>
        </w:rPr>
        <w:t xml:space="preserve"> </w:t>
      </w:r>
      <w:r w:rsidR="00257CD3" w:rsidRPr="00257CD3">
        <w:rPr>
          <w:rFonts w:ascii="Times New Roman" w:hAnsi="Times New Roman" w:cs="Times New Roman"/>
          <w:b/>
          <w:sz w:val="24"/>
          <w:szCs w:val="24"/>
        </w:rPr>
        <w:tab/>
      </w:r>
      <w:r>
        <w:rPr>
          <w:rFonts w:ascii="Times New Roman" w:hAnsi="Times New Roman" w:cs="Times New Roman"/>
          <w:b/>
          <w:sz w:val="24"/>
          <w:szCs w:val="24"/>
        </w:rPr>
        <w:t xml:space="preserve">            </w:t>
      </w:r>
      <w:r w:rsidR="00257CD3" w:rsidRPr="00257CD3">
        <w:rPr>
          <w:rFonts w:ascii="Times New Roman" w:hAnsi="Times New Roman" w:cs="Times New Roman"/>
          <w:b/>
          <w:sz w:val="24"/>
          <w:szCs w:val="24"/>
        </w:rPr>
        <w:t>____________________________________</w:t>
      </w:r>
    </w:p>
    <w:p w:rsidR="00257CD3" w:rsidRPr="00000D73" w:rsidRDefault="00257CD3" w:rsidP="006E4A47">
      <w:pPr>
        <w:pStyle w:val="NoSpacing"/>
        <w:ind w:firstLine="720"/>
        <w:rPr>
          <w:rFonts w:ascii="Times New Roman" w:hAnsi="Times New Roman" w:cs="Times New Roman"/>
          <w:b/>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E4A47">
        <w:rPr>
          <w:rFonts w:ascii="Times New Roman" w:hAnsi="Times New Roman" w:cs="Times New Roman"/>
          <w:b/>
          <w:sz w:val="24"/>
          <w:szCs w:val="24"/>
        </w:rPr>
        <w:tab/>
      </w:r>
      <w:r>
        <w:rPr>
          <w:rFonts w:ascii="Times New Roman" w:hAnsi="Times New Roman" w:cs="Times New Roman"/>
          <w:b/>
          <w:sz w:val="24"/>
          <w:szCs w:val="24"/>
        </w:rPr>
        <w:t>Wayne E. Gardner</w:t>
      </w:r>
      <w:r w:rsidR="006E4A47">
        <w:rPr>
          <w:rFonts w:ascii="Times New Roman" w:hAnsi="Times New Roman" w:cs="Times New Roman"/>
          <w:b/>
          <w:sz w:val="24"/>
          <w:szCs w:val="24"/>
        </w:rPr>
        <w:t>, Commissioner</w:t>
      </w:r>
    </w:p>
    <w:p w:rsidR="00257CD3" w:rsidRPr="00257CD3" w:rsidRDefault="00257CD3"/>
    <w:p w:rsidR="00257CD3" w:rsidRPr="00257CD3" w:rsidRDefault="00257CD3"/>
    <w:p w:rsidR="00146B76" w:rsidRPr="00257CD3" w:rsidRDefault="00257CD3">
      <w:r w:rsidRPr="00257CD3">
        <w:t xml:space="preserve"> </w:t>
      </w:r>
      <w:r w:rsidR="00E84090" w:rsidRPr="00257CD3">
        <w:t xml:space="preserve"> </w:t>
      </w:r>
    </w:p>
    <w:sectPr w:rsidR="00146B76" w:rsidRPr="00257CD3" w:rsidSect="001867A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F1E" w:rsidRDefault="00117F1E" w:rsidP="0013009C">
      <w:r>
        <w:separator/>
      </w:r>
    </w:p>
  </w:endnote>
  <w:endnote w:type="continuationSeparator" w:id="0">
    <w:p w:rsidR="00117F1E" w:rsidRDefault="00117F1E" w:rsidP="001300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F1E" w:rsidRDefault="00117F1E" w:rsidP="0013009C">
      <w:r>
        <w:separator/>
      </w:r>
    </w:p>
  </w:footnote>
  <w:footnote w:type="continuationSeparator" w:id="0">
    <w:p w:rsidR="00117F1E" w:rsidRDefault="00117F1E" w:rsidP="0013009C">
      <w:r>
        <w:continuationSeparator/>
      </w:r>
    </w:p>
  </w:footnote>
  <w:footnote w:id="1">
    <w:p w:rsidR="0013009C" w:rsidRDefault="0013009C">
      <w:pPr>
        <w:pStyle w:val="FootnoteText"/>
      </w:pPr>
      <w:r>
        <w:rPr>
          <w:rStyle w:val="FootnoteReference"/>
        </w:rPr>
        <w:footnoteRef/>
      </w:r>
      <w:r>
        <w:t xml:space="preserve"> The OCMO is the Commission’s virtual office that operates under the leadership of the Director of </w:t>
      </w:r>
      <w:r w:rsidR="005E64FF">
        <w:t>Operations and</w:t>
      </w:r>
      <w:r>
        <w:t xml:space="preserve"> is comprised of legal, technical, and policy staff members from various Commission</w:t>
      </w:r>
      <w:r w:rsidR="005E64FF">
        <w:t xml:space="preserve"> bureaus and offices.  The office</w:t>
      </w:r>
      <w:r>
        <w:t xml:space="preserve"> is responsible for analyzing issues concerning energy competition and making recommendations to the Commission.</w:t>
      </w:r>
    </w:p>
  </w:footnote>
  <w:footnote w:id="2">
    <w:p w:rsidR="00FF79E2" w:rsidRDefault="00FF79E2">
      <w:pPr>
        <w:pStyle w:val="FootnoteText"/>
      </w:pPr>
      <w:r>
        <w:rPr>
          <w:rStyle w:val="FootnoteReference"/>
        </w:rPr>
        <w:footnoteRef/>
      </w:r>
      <w:r>
        <w:t xml:space="preserve"> 52 Pa. Code </w:t>
      </w:r>
      <w:r w:rsidR="0047349E">
        <w:t xml:space="preserve">§ </w:t>
      </w:r>
      <w:r>
        <w:t>62.75(g)(2).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63B41"/>
    <w:multiLevelType w:val="hybridMultilevel"/>
    <w:tmpl w:val="9272B55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defaultTabStop w:val="720"/>
  <w:characterSpacingControl w:val="doNotCompress"/>
  <w:footnotePr>
    <w:footnote w:id="-1"/>
    <w:footnote w:id="0"/>
  </w:footnotePr>
  <w:endnotePr>
    <w:endnote w:id="-1"/>
    <w:endnote w:id="0"/>
  </w:endnotePr>
  <w:compat/>
  <w:rsids>
    <w:rsidRoot w:val="00275993"/>
    <w:rsid w:val="00000D73"/>
    <w:rsid w:val="0000169A"/>
    <w:rsid w:val="00002781"/>
    <w:rsid w:val="00005DFC"/>
    <w:rsid w:val="00011B0D"/>
    <w:rsid w:val="00016496"/>
    <w:rsid w:val="00022F3C"/>
    <w:rsid w:val="00026458"/>
    <w:rsid w:val="000305B6"/>
    <w:rsid w:val="000307FB"/>
    <w:rsid w:val="00033D6A"/>
    <w:rsid w:val="00040FA9"/>
    <w:rsid w:val="00042FEA"/>
    <w:rsid w:val="00047B15"/>
    <w:rsid w:val="0005016D"/>
    <w:rsid w:val="00050368"/>
    <w:rsid w:val="0005486F"/>
    <w:rsid w:val="0005669A"/>
    <w:rsid w:val="00056C83"/>
    <w:rsid w:val="0006292A"/>
    <w:rsid w:val="00065068"/>
    <w:rsid w:val="00074857"/>
    <w:rsid w:val="00075303"/>
    <w:rsid w:val="000802A0"/>
    <w:rsid w:val="00083937"/>
    <w:rsid w:val="00083E47"/>
    <w:rsid w:val="00086131"/>
    <w:rsid w:val="00093B43"/>
    <w:rsid w:val="0009559E"/>
    <w:rsid w:val="000A4D3F"/>
    <w:rsid w:val="000A5418"/>
    <w:rsid w:val="000A61AB"/>
    <w:rsid w:val="000B19D6"/>
    <w:rsid w:val="000B1F78"/>
    <w:rsid w:val="000B309D"/>
    <w:rsid w:val="000B5156"/>
    <w:rsid w:val="000C33EF"/>
    <w:rsid w:val="000C427C"/>
    <w:rsid w:val="000C61B6"/>
    <w:rsid w:val="000D01B2"/>
    <w:rsid w:val="000D0BC9"/>
    <w:rsid w:val="000D5D8B"/>
    <w:rsid w:val="000D5EDA"/>
    <w:rsid w:val="000D6005"/>
    <w:rsid w:val="000F0EEE"/>
    <w:rsid w:val="000F1286"/>
    <w:rsid w:val="000F3B4D"/>
    <w:rsid w:val="000F43E8"/>
    <w:rsid w:val="000F65AC"/>
    <w:rsid w:val="00101C3C"/>
    <w:rsid w:val="0010337D"/>
    <w:rsid w:val="001109B9"/>
    <w:rsid w:val="00111880"/>
    <w:rsid w:val="001149FB"/>
    <w:rsid w:val="001156C3"/>
    <w:rsid w:val="00117DF8"/>
    <w:rsid w:val="00117F1E"/>
    <w:rsid w:val="00122B7C"/>
    <w:rsid w:val="0012433B"/>
    <w:rsid w:val="00127F2A"/>
    <w:rsid w:val="0013009C"/>
    <w:rsid w:val="00130E8E"/>
    <w:rsid w:val="0013174B"/>
    <w:rsid w:val="00132ADD"/>
    <w:rsid w:val="00137436"/>
    <w:rsid w:val="00137986"/>
    <w:rsid w:val="00141E9C"/>
    <w:rsid w:val="00145F69"/>
    <w:rsid w:val="00146B76"/>
    <w:rsid w:val="0015024E"/>
    <w:rsid w:val="00167647"/>
    <w:rsid w:val="001715E7"/>
    <w:rsid w:val="0017373B"/>
    <w:rsid w:val="00174033"/>
    <w:rsid w:val="00180382"/>
    <w:rsid w:val="001820F6"/>
    <w:rsid w:val="001833CB"/>
    <w:rsid w:val="001867A0"/>
    <w:rsid w:val="0019086D"/>
    <w:rsid w:val="0019287A"/>
    <w:rsid w:val="001956B0"/>
    <w:rsid w:val="001A08C1"/>
    <w:rsid w:val="001A3A6A"/>
    <w:rsid w:val="001A4D97"/>
    <w:rsid w:val="001A55AA"/>
    <w:rsid w:val="001A75B4"/>
    <w:rsid w:val="001B277C"/>
    <w:rsid w:val="001B29E7"/>
    <w:rsid w:val="001B7915"/>
    <w:rsid w:val="001C112D"/>
    <w:rsid w:val="001D4C90"/>
    <w:rsid w:val="001E49AC"/>
    <w:rsid w:val="001F026A"/>
    <w:rsid w:val="001F597F"/>
    <w:rsid w:val="001F7524"/>
    <w:rsid w:val="001F7663"/>
    <w:rsid w:val="00200D10"/>
    <w:rsid w:val="00203FB4"/>
    <w:rsid w:val="0020653D"/>
    <w:rsid w:val="00222045"/>
    <w:rsid w:val="00225B37"/>
    <w:rsid w:val="0022615B"/>
    <w:rsid w:val="00226DA7"/>
    <w:rsid w:val="00236463"/>
    <w:rsid w:val="002369FB"/>
    <w:rsid w:val="00240055"/>
    <w:rsid w:val="002404A7"/>
    <w:rsid w:val="00240E7B"/>
    <w:rsid w:val="002456EB"/>
    <w:rsid w:val="00247907"/>
    <w:rsid w:val="00251961"/>
    <w:rsid w:val="002524C4"/>
    <w:rsid w:val="002559B0"/>
    <w:rsid w:val="00257CD3"/>
    <w:rsid w:val="00260588"/>
    <w:rsid w:val="002610CD"/>
    <w:rsid w:val="00261353"/>
    <w:rsid w:val="00265E80"/>
    <w:rsid w:val="00266903"/>
    <w:rsid w:val="002678EC"/>
    <w:rsid w:val="0027372C"/>
    <w:rsid w:val="00275290"/>
    <w:rsid w:val="00275993"/>
    <w:rsid w:val="00276A37"/>
    <w:rsid w:val="0028388E"/>
    <w:rsid w:val="00290CC7"/>
    <w:rsid w:val="002A27D6"/>
    <w:rsid w:val="002A3E8C"/>
    <w:rsid w:val="002A5EB7"/>
    <w:rsid w:val="002A6786"/>
    <w:rsid w:val="002B2339"/>
    <w:rsid w:val="002B26AE"/>
    <w:rsid w:val="002B4EDD"/>
    <w:rsid w:val="002B5822"/>
    <w:rsid w:val="002C0651"/>
    <w:rsid w:val="002C3E44"/>
    <w:rsid w:val="002D3862"/>
    <w:rsid w:val="002D4DCB"/>
    <w:rsid w:val="002D709F"/>
    <w:rsid w:val="002E5557"/>
    <w:rsid w:val="002E76E2"/>
    <w:rsid w:val="002F0999"/>
    <w:rsid w:val="002F1004"/>
    <w:rsid w:val="002F3735"/>
    <w:rsid w:val="00301D69"/>
    <w:rsid w:val="00306ED7"/>
    <w:rsid w:val="00307081"/>
    <w:rsid w:val="003151F8"/>
    <w:rsid w:val="0031792E"/>
    <w:rsid w:val="00322B9C"/>
    <w:rsid w:val="003243B4"/>
    <w:rsid w:val="00326944"/>
    <w:rsid w:val="00333F08"/>
    <w:rsid w:val="003340D3"/>
    <w:rsid w:val="00336AD5"/>
    <w:rsid w:val="00341290"/>
    <w:rsid w:val="00342843"/>
    <w:rsid w:val="00343BEF"/>
    <w:rsid w:val="003543C6"/>
    <w:rsid w:val="00363679"/>
    <w:rsid w:val="00366F85"/>
    <w:rsid w:val="003719B3"/>
    <w:rsid w:val="003854A4"/>
    <w:rsid w:val="0038762C"/>
    <w:rsid w:val="00387965"/>
    <w:rsid w:val="0039227B"/>
    <w:rsid w:val="003922E7"/>
    <w:rsid w:val="00392FF2"/>
    <w:rsid w:val="0039478B"/>
    <w:rsid w:val="00395B16"/>
    <w:rsid w:val="003A3903"/>
    <w:rsid w:val="003A44AE"/>
    <w:rsid w:val="003A4F8F"/>
    <w:rsid w:val="003A61E2"/>
    <w:rsid w:val="003B6674"/>
    <w:rsid w:val="003B672B"/>
    <w:rsid w:val="003C0822"/>
    <w:rsid w:val="003C32DF"/>
    <w:rsid w:val="003C3418"/>
    <w:rsid w:val="003C6C4C"/>
    <w:rsid w:val="003C746D"/>
    <w:rsid w:val="003C763E"/>
    <w:rsid w:val="003D4FBF"/>
    <w:rsid w:val="003D5F52"/>
    <w:rsid w:val="003D7F80"/>
    <w:rsid w:val="003E54F4"/>
    <w:rsid w:val="003E6836"/>
    <w:rsid w:val="003F004E"/>
    <w:rsid w:val="003F10BE"/>
    <w:rsid w:val="003F1FC0"/>
    <w:rsid w:val="003F318C"/>
    <w:rsid w:val="003F3394"/>
    <w:rsid w:val="003F5FCF"/>
    <w:rsid w:val="00400DAF"/>
    <w:rsid w:val="00406C4D"/>
    <w:rsid w:val="00407B70"/>
    <w:rsid w:val="00410F5F"/>
    <w:rsid w:val="0041311E"/>
    <w:rsid w:val="0041437A"/>
    <w:rsid w:val="004251D3"/>
    <w:rsid w:val="00430FCF"/>
    <w:rsid w:val="0043273D"/>
    <w:rsid w:val="00433518"/>
    <w:rsid w:val="004373DD"/>
    <w:rsid w:val="0044094B"/>
    <w:rsid w:val="004422F5"/>
    <w:rsid w:val="004452A0"/>
    <w:rsid w:val="00445F3D"/>
    <w:rsid w:val="00446AC1"/>
    <w:rsid w:val="004501C1"/>
    <w:rsid w:val="004510F7"/>
    <w:rsid w:val="0045184F"/>
    <w:rsid w:val="004519A7"/>
    <w:rsid w:val="00453C08"/>
    <w:rsid w:val="00455B3D"/>
    <w:rsid w:val="00456EAE"/>
    <w:rsid w:val="00460118"/>
    <w:rsid w:val="00461A9C"/>
    <w:rsid w:val="00462319"/>
    <w:rsid w:val="00465AEB"/>
    <w:rsid w:val="00465D02"/>
    <w:rsid w:val="00470A1A"/>
    <w:rsid w:val="0047349E"/>
    <w:rsid w:val="00486649"/>
    <w:rsid w:val="004913A2"/>
    <w:rsid w:val="004927AA"/>
    <w:rsid w:val="004A23A4"/>
    <w:rsid w:val="004A2B74"/>
    <w:rsid w:val="004A3603"/>
    <w:rsid w:val="004A6581"/>
    <w:rsid w:val="004A7BA2"/>
    <w:rsid w:val="004B083B"/>
    <w:rsid w:val="004B1E58"/>
    <w:rsid w:val="004B49E2"/>
    <w:rsid w:val="004B6847"/>
    <w:rsid w:val="004B6A85"/>
    <w:rsid w:val="004C063A"/>
    <w:rsid w:val="004D1148"/>
    <w:rsid w:val="004D177F"/>
    <w:rsid w:val="004D1DE2"/>
    <w:rsid w:val="004E1339"/>
    <w:rsid w:val="004E626C"/>
    <w:rsid w:val="004F275B"/>
    <w:rsid w:val="004F2F9B"/>
    <w:rsid w:val="004F3FAE"/>
    <w:rsid w:val="004F43A4"/>
    <w:rsid w:val="004F5222"/>
    <w:rsid w:val="004F6793"/>
    <w:rsid w:val="00503EDE"/>
    <w:rsid w:val="00511F3D"/>
    <w:rsid w:val="00515A46"/>
    <w:rsid w:val="005246A7"/>
    <w:rsid w:val="00524903"/>
    <w:rsid w:val="00532F5A"/>
    <w:rsid w:val="00534E0E"/>
    <w:rsid w:val="005351A7"/>
    <w:rsid w:val="005357CC"/>
    <w:rsid w:val="00541628"/>
    <w:rsid w:val="005427E1"/>
    <w:rsid w:val="00544031"/>
    <w:rsid w:val="005440D9"/>
    <w:rsid w:val="00546AF7"/>
    <w:rsid w:val="00546E52"/>
    <w:rsid w:val="00554F22"/>
    <w:rsid w:val="00555DFF"/>
    <w:rsid w:val="00556B69"/>
    <w:rsid w:val="005571CD"/>
    <w:rsid w:val="0055725F"/>
    <w:rsid w:val="00564B91"/>
    <w:rsid w:val="005672AC"/>
    <w:rsid w:val="0057331A"/>
    <w:rsid w:val="00574488"/>
    <w:rsid w:val="00580069"/>
    <w:rsid w:val="0058023F"/>
    <w:rsid w:val="0058100A"/>
    <w:rsid w:val="005918AB"/>
    <w:rsid w:val="00591BCB"/>
    <w:rsid w:val="00595CD8"/>
    <w:rsid w:val="00596E60"/>
    <w:rsid w:val="005A30F7"/>
    <w:rsid w:val="005A5B86"/>
    <w:rsid w:val="005B0DCE"/>
    <w:rsid w:val="005B1357"/>
    <w:rsid w:val="005B5D6F"/>
    <w:rsid w:val="005B62B8"/>
    <w:rsid w:val="005B7370"/>
    <w:rsid w:val="005C048F"/>
    <w:rsid w:val="005C376C"/>
    <w:rsid w:val="005C381C"/>
    <w:rsid w:val="005C5E84"/>
    <w:rsid w:val="005D632E"/>
    <w:rsid w:val="005D6521"/>
    <w:rsid w:val="005D7C0D"/>
    <w:rsid w:val="005E04B0"/>
    <w:rsid w:val="005E0637"/>
    <w:rsid w:val="005E22F5"/>
    <w:rsid w:val="005E28DD"/>
    <w:rsid w:val="005E5A83"/>
    <w:rsid w:val="005E64FF"/>
    <w:rsid w:val="005F61C2"/>
    <w:rsid w:val="005F64C9"/>
    <w:rsid w:val="005F6EEB"/>
    <w:rsid w:val="005F718D"/>
    <w:rsid w:val="005F7920"/>
    <w:rsid w:val="00600AC8"/>
    <w:rsid w:val="00604AAE"/>
    <w:rsid w:val="00605F77"/>
    <w:rsid w:val="006062C3"/>
    <w:rsid w:val="00606DA2"/>
    <w:rsid w:val="00610C2C"/>
    <w:rsid w:val="0061307F"/>
    <w:rsid w:val="006146FE"/>
    <w:rsid w:val="00615CB4"/>
    <w:rsid w:val="006168AE"/>
    <w:rsid w:val="00616AE7"/>
    <w:rsid w:val="00626348"/>
    <w:rsid w:val="0063170A"/>
    <w:rsid w:val="006332BB"/>
    <w:rsid w:val="00633416"/>
    <w:rsid w:val="00633A23"/>
    <w:rsid w:val="00635BEE"/>
    <w:rsid w:val="00637A10"/>
    <w:rsid w:val="006446D5"/>
    <w:rsid w:val="006454E4"/>
    <w:rsid w:val="00647655"/>
    <w:rsid w:val="00650EC6"/>
    <w:rsid w:val="00661AA7"/>
    <w:rsid w:val="00661EE5"/>
    <w:rsid w:val="006664F8"/>
    <w:rsid w:val="00673CD2"/>
    <w:rsid w:val="00677589"/>
    <w:rsid w:val="00677D99"/>
    <w:rsid w:val="00680076"/>
    <w:rsid w:val="00681AF5"/>
    <w:rsid w:val="00682830"/>
    <w:rsid w:val="00682B14"/>
    <w:rsid w:val="0069382A"/>
    <w:rsid w:val="00694EE3"/>
    <w:rsid w:val="00695380"/>
    <w:rsid w:val="006A079E"/>
    <w:rsid w:val="006A1ACF"/>
    <w:rsid w:val="006A1E47"/>
    <w:rsid w:val="006A1F8A"/>
    <w:rsid w:val="006B0CFF"/>
    <w:rsid w:val="006B2172"/>
    <w:rsid w:val="006B2F50"/>
    <w:rsid w:val="006C154E"/>
    <w:rsid w:val="006C229B"/>
    <w:rsid w:val="006C497A"/>
    <w:rsid w:val="006C623C"/>
    <w:rsid w:val="006C6497"/>
    <w:rsid w:val="006D3C8F"/>
    <w:rsid w:val="006E0495"/>
    <w:rsid w:val="006E4000"/>
    <w:rsid w:val="006E4A47"/>
    <w:rsid w:val="006E6C85"/>
    <w:rsid w:val="006E77FD"/>
    <w:rsid w:val="006F315D"/>
    <w:rsid w:val="00702C93"/>
    <w:rsid w:val="007156BF"/>
    <w:rsid w:val="007159D4"/>
    <w:rsid w:val="00723DBA"/>
    <w:rsid w:val="00727BE7"/>
    <w:rsid w:val="007307AF"/>
    <w:rsid w:val="007315E1"/>
    <w:rsid w:val="00732B20"/>
    <w:rsid w:val="007377C2"/>
    <w:rsid w:val="007458F7"/>
    <w:rsid w:val="007479BB"/>
    <w:rsid w:val="00755D54"/>
    <w:rsid w:val="0075755F"/>
    <w:rsid w:val="00760151"/>
    <w:rsid w:val="00761085"/>
    <w:rsid w:val="00763A93"/>
    <w:rsid w:val="00764095"/>
    <w:rsid w:val="00764A39"/>
    <w:rsid w:val="00765382"/>
    <w:rsid w:val="00771350"/>
    <w:rsid w:val="00771C90"/>
    <w:rsid w:val="00771F6E"/>
    <w:rsid w:val="0077709A"/>
    <w:rsid w:val="00777B2B"/>
    <w:rsid w:val="00780A5A"/>
    <w:rsid w:val="0078265E"/>
    <w:rsid w:val="007951AA"/>
    <w:rsid w:val="007952A1"/>
    <w:rsid w:val="0079577A"/>
    <w:rsid w:val="00797F50"/>
    <w:rsid w:val="007A2132"/>
    <w:rsid w:val="007A59A3"/>
    <w:rsid w:val="007A6C2E"/>
    <w:rsid w:val="007B398F"/>
    <w:rsid w:val="007B544A"/>
    <w:rsid w:val="007C1F14"/>
    <w:rsid w:val="007C3AE8"/>
    <w:rsid w:val="007C4219"/>
    <w:rsid w:val="007D5C86"/>
    <w:rsid w:val="007D63DC"/>
    <w:rsid w:val="007E660F"/>
    <w:rsid w:val="007E66A1"/>
    <w:rsid w:val="007E6B64"/>
    <w:rsid w:val="007F2DBE"/>
    <w:rsid w:val="00801227"/>
    <w:rsid w:val="0080600A"/>
    <w:rsid w:val="00806214"/>
    <w:rsid w:val="00807F28"/>
    <w:rsid w:val="00810569"/>
    <w:rsid w:val="00813647"/>
    <w:rsid w:val="008140FE"/>
    <w:rsid w:val="008268C3"/>
    <w:rsid w:val="00832986"/>
    <w:rsid w:val="00834905"/>
    <w:rsid w:val="00836676"/>
    <w:rsid w:val="0083784F"/>
    <w:rsid w:val="008412EA"/>
    <w:rsid w:val="00844915"/>
    <w:rsid w:val="008479DC"/>
    <w:rsid w:val="008502A9"/>
    <w:rsid w:val="00851125"/>
    <w:rsid w:val="00851D6E"/>
    <w:rsid w:val="00852A59"/>
    <w:rsid w:val="00852ACA"/>
    <w:rsid w:val="008543F2"/>
    <w:rsid w:val="008549D5"/>
    <w:rsid w:val="00855B54"/>
    <w:rsid w:val="00860769"/>
    <w:rsid w:val="00862C66"/>
    <w:rsid w:val="00866D59"/>
    <w:rsid w:val="00871AD7"/>
    <w:rsid w:val="00871E7D"/>
    <w:rsid w:val="0087567E"/>
    <w:rsid w:val="0087769E"/>
    <w:rsid w:val="008825C9"/>
    <w:rsid w:val="0088784F"/>
    <w:rsid w:val="008A0969"/>
    <w:rsid w:val="008A0BDE"/>
    <w:rsid w:val="008A2F8A"/>
    <w:rsid w:val="008A522F"/>
    <w:rsid w:val="008B232D"/>
    <w:rsid w:val="008B24B6"/>
    <w:rsid w:val="008B51AF"/>
    <w:rsid w:val="008B677D"/>
    <w:rsid w:val="008C10A5"/>
    <w:rsid w:val="008C2AA7"/>
    <w:rsid w:val="008C414D"/>
    <w:rsid w:val="008C4A1A"/>
    <w:rsid w:val="008E052C"/>
    <w:rsid w:val="008E3062"/>
    <w:rsid w:val="008F240B"/>
    <w:rsid w:val="008F27EA"/>
    <w:rsid w:val="008F315C"/>
    <w:rsid w:val="008F44A9"/>
    <w:rsid w:val="008F4F29"/>
    <w:rsid w:val="008F6A0B"/>
    <w:rsid w:val="008F6CF6"/>
    <w:rsid w:val="009054B9"/>
    <w:rsid w:val="00905C1C"/>
    <w:rsid w:val="009061DD"/>
    <w:rsid w:val="00914232"/>
    <w:rsid w:val="009152E0"/>
    <w:rsid w:val="0092192A"/>
    <w:rsid w:val="00924E04"/>
    <w:rsid w:val="0092596F"/>
    <w:rsid w:val="00930E23"/>
    <w:rsid w:val="00936FA4"/>
    <w:rsid w:val="0094041C"/>
    <w:rsid w:val="00950D12"/>
    <w:rsid w:val="00951A7C"/>
    <w:rsid w:val="00956F8C"/>
    <w:rsid w:val="009608C4"/>
    <w:rsid w:val="00960FBE"/>
    <w:rsid w:val="00961256"/>
    <w:rsid w:val="0096331B"/>
    <w:rsid w:val="009674AA"/>
    <w:rsid w:val="009754E4"/>
    <w:rsid w:val="00976FAC"/>
    <w:rsid w:val="00977618"/>
    <w:rsid w:val="0097774D"/>
    <w:rsid w:val="00984668"/>
    <w:rsid w:val="009866DF"/>
    <w:rsid w:val="00986FDF"/>
    <w:rsid w:val="00992169"/>
    <w:rsid w:val="00997485"/>
    <w:rsid w:val="009A089B"/>
    <w:rsid w:val="009A5FFC"/>
    <w:rsid w:val="009B11F9"/>
    <w:rsid w:val="009B4EEF"/>
    <w:rsid w:val="009B7A11"/>
    <w:rsid w:val="009C2885"/>
    <w:rsid w:val="009C2BBE"/>
    <w:rsid w:val="009C402E"/>
    <w:rsid w:val="009C582D"/>
    <w:rsid w:val="009C6E93"/>
    <w:rsid w:val="009C70E0"/>
    <w:rsid w:val="009D0128"/>
    <w:rsid w:val="009D7503"/>
    <w:rsid w:val="009E3BB2"/>
    <w:rsid w:val="009E6874"/>
    <w:rsid w:val="009F68E6"/>
    <w:rsid w:val="009F6F5E"/>
    <w:rsid w:val="00A022E8"/>
    <w:rsid w:val="00A04536"/>
    <w:rsid w:val="00A0746F"/>
    <w:rsid w:val="00A10658"/>
    <w:rsid w:val="00A12EFD"/>
    <w:rsid w:val="00A147E2"/>
    <w:rsid w:val="00A15F8A"/>
    <w:rsid w:val="00A223A5"/>
    <w:rsid w:val="00A23401"/>
    <w:rsid w:val="00A2348E"/>
    <w:rsid w:val="00A26987"/>
    <w:rsid w:val="00A321B2"/>
    <w:rsid w:val="00A33838"/>
    <w:rsid w:val="00A35DE1"/>
    <w:rsid w:val="00A37CFC"/>
    <w:rsid w:val="00A418EC"/>
    <w:rsid w:val="00A42144"/>
    <w:rsid w:val="00A44BDC"/>
    <w:rsid w:val="00A46502"/>
    <w:rsid w:val="00A47750"/>
    <w:rsid w:val="00A50804"/>
    <w:rsid w:val="00A518B3"/>
    <w:rsid w:val="00A52820"/>
    <w:rsid w:val="00A52F11"/>
    <w:rsid w:val="00A61412"/>
    <w:rsid w:val="00A65F29"/>
    <w:rsid w:val="00A71D46"/>
    <w:rsid w:val="00A74A7B"/>
    <w:rsid w:val="00A74E0F"/>
    <w:rsid w:val="00A775B8"/>
    <w:rsid w:val="00A77FB2"/>
    <w:rsid w:val="00A80C50"/>
    <w:rsid w:val="00A840AF"/>
    <w:rsid w:val="00A865E9"/>
    <w:rsid w:val="00A8672A"/>
    <w:rsid w:val="00A86DD8"/>
    <w:rsid w:val="00A9079A"/>
    <w:rsid w:val="00A9198F"/>
    <w:rsid w:val="00A9472F"/>
    <w:rsid w:val="00A95D77"/>
    <w:rsid w:val="00AA1073"/>
    <w:rsid w:val="00AA2027"/>
    <w:rsid w:val="00AA321D"/>
    <w:rsid w:val="00AA535B"/>
    <w:rsid w:val="00AA60BC"/>
    <w:rsid w:val="00AA780B"/>
    <w:rsid w:val="00AB473D"/>
    <w:rsid w:val="00AB6DF9"/>
    <w:rsid w:val="00AB755C"/>
    <w:rsid w:val="00AC6FA6"/>
    <w:rsid w:val="00AE01F0"/>
    <w:rsid w:val="00AE1F9E"/>
    <w:rsid w:val="00AF087F"/>
    <w:rsid w:val="00AF49F9"/>
    <w:rsid w:val="00AF68EF"/>
    <w:rsid w:val="00AF6F36"/>
    <w:rsid w:val="00AF7541"/>
    <w:rsid w:val="00B0105F"/>
    <w:rsid w:val="00B02721"/>
    <w:rsid w:val="00B0370A"/>
    <w:rsid w:val="00B0387A"/>
    <w:rsid w:val="00B10D20"/>
    <w:rsid w:val="00B11EC3"/>
    <w:rsid w:val="00B145E7"/>
    <w:rsid w:val="00B147F6"/>
    <w:rsid w:val="00B14912"/>
    <w:rsid w:val="00B16ABE"/>
    <w:rsid w:val="00B20528"/>
    <w:rsid w:val="00B21B8F"/>
    <w:rsid w:val="00B3410E"/>
    <w:rsid w:val="00B36ACC"/>
    <w:rsid w:val="00B40D8B"/>
    <w:rsid w:val="00B437F7"/>
    <w:rsid w:val="00B45A36"/>
    <w:rsid w:val="00B47E49"/>
    <w:rsid w:val="00B50206"/>
    <w:rsid w:val="00B5082F"/>
    <w:rsid w:val="00B51E97"/>
    <w:rsid w:val="00B63310"/>
    <w:rsid w:val="00B635D5"/>
    <w:rsid w:val="00B737A6"/>
    <w:rsid w:val="00B73A8D"/>
    <w:rsid w:val="00B801DB"/>
    <w:rsid w:val="00B80D94"/>
    <w:rsid w:val="00B832F5"/>
    <w:rsid w:val="00B855C4"/>
    <w:rsid w:val="00B90D0E"/>
    <w:rsid w:val="00B971B5"/>
    <w:rsid w:val="00BA3AF6"/>
    <w:rsid w:val="00BA5AFD"/>
    <w:rsid w:val="00BA5B7D"/>
    <w:rsid w:val="00BA73B3"/>
    <w:rsid w:val="00BB65F2"/>
    <w:rsid w:val="00BC1C4B"/>
    <w:rsid w:val="00BC408F"/>
    <w:rsid w:val="00BC5EF9"/>
    <w:rsid w:val="00BD4FC1"/>
    <w:rsid w:val="00BD5123"/>
    <w:rsid w:val="00BD7434"/>
    <w:rsid w:val="00BE0382"/>
    <w:rsid w:val="00BE34DE"/>
    <w:rsid w:val="00BE4778"/>
    <w:rsid w:val="00C01A89"/>
    <w:rsid w:val="00C03ED1"/>
    <w:rsid w:val="00C04352"/>
    <w:rsid w:val="00C10FEF"/>
    <w:rsid w:val="00C14F8F"/>
    <w:rsid w:val="00C23732"/>
    <w:rsid w:val="00C31046"/>
    <w:rsid w:val="00C3378F"/>
    <w:rsid w:val="00C33F72"/>
    <w:rsid w:val="00C359AD"/>
    <w:rsid w:val="00C41B95"/>
    <w:rsid w:val="00C424E9"/>
    <w:rsid w:val="00C47347"/>
    <w:rsid w:val="00C51C13"/>
    <w:rsid w:val="00C55C2A"/>
    <w:rsid w:val="00C612A6"/>
    <w:rsid w:val="00C61EFC"/>
    <w:rsid w:val="00C62C5D"/>
    <w:rsid w:val="00C64D95"/>
    <w:rsid w:val="00C6607D"/>
    <w:rsid w:val="00C66AA6"/>
    <w:rsid w:val="00C703A0"/>
    <w:rsid w:val="00C712D4"/>
    <w:rsid w:val="00C71378"/>
    <w:rsid w:val="00C737AE"/>
    <w:rsid w:val="00C7506F"/>
    <w:rsid w:val="00C76A95"/>
    <w:rsid w:val="00C82BC3"/>
    <w:rsid w:val="00C85723"/>
    <w:rsid w:val="00C87683"/>
    <w:rsid w:val="00C906B5"/>
    <w:rsid w:val="00C943F5"/>
    <w:rsid w:val="00C97EBB"/>
    <w:rsid w:val="00CA146F"/>
    <w:rsid w:val="00CA5395"/>
    <w:rsid w:val="00CB3DB8"/>
    <w:rsid w:val="00CC17E4"/>
    <w:rsid w:val="00CC19D3"/>
    <w:rsid w:val="00CC4219"/>
    <w:rsid w:val="00CC70D5"/>
    <w:rsid w:val="00CD0DBA"/>
    <w:rsid w:val="00CD0F36"/>
    <w:rsid w:val="00CD4094"/>
    <w:rsid w:val="00CE0B2F"/>
    <w:rsid w:val="00CF39DF"/>
    <w:rsid w:val="00CF4F41"/>
    <w:rsid w:val="00CF6779"/>
    <w:rsid w:val="00D00BAA"/>
    <w:rsid w:val="00D01CCC"/>
    <w:rsid w:val="00D01F6E"/>
    <w:rsid w:val="00D033B3"/>
    <w:rsid w:val="00D045C2"/>
    <w:rsid w:val="00D05A63"/>
    <w:rsid w:val="00D11C30"/>
    <w:rsid w:val="00D173AA"/>
    <w:rsid w:val="00D226D8"/>
    <w:rsid w:val="00D23AAE"/>
    <w:rsid w:val="00D317AB"/>
    <w:rsid w:val="00D3646C"/>
    <w:rsid w:val="00D3733C"/>
    <w:rsid w:val="00D4456A"/>
    <w:rsid w:val="00D46493"/>
    <w:rsid w:val="00D464CD"/>
    <w:rsid w:val="00D505AE"/>
    <w:rsid w:val="00D53102"/>
    <w:rsid w:val="00D56720"/>
    <w:rsid w:val="00D61EC5"/>
    <w:rsid w:val="00D62E03"/>
    <w:rsid w:val="00D652C3"/>
    <w:rsid w:val="00D6562D"/>
    <w:rsid w:val="00D658E4"/>
    <w:rsid w:val="00D711F1"/>
    <w:rsid w:val="00D85515"/>
    <w:rsid w:val="00D8684D"/>
    <w:rsid w:val="00D93225"/>
    <w:rsid w:val="00D96A35"/>
    <w:rsid w:val="00DA2928"/>
    <w:rsid w:val="00DA522F"/>
    <w:rsid w:val="00DC0998"/>
    <w:rsid w:val="00DC322D"/>
    <w:rsid w:val="00DC6FD9"/>
    <w:rsid w:val="00DC7D40"/>
    <w:rsid w:val="00DD3FF4"/>
    <w:rsid w:val="00DD4AC2"/>
    <w:rsid w:val="00DE55B3"/>
    <w:rsid w:val="00E00FB6"/>
    <w:rsid w:val="00E02D53"/>
    <w:rsid w:val="00E02E39"/>
    <w:rsid w:val="00E051EB"/>
    <w:rsid w:val="00E067FF"/>
    <w:rsid w:val="00E10546"/>
    <w:rsid w:val="00E139DC"/>
    <w:rsid w:val="00E13E95"/>
    <w:rsid w:val="00E15005"/>
    <w:rsid w:val="00E17784"/>
    <w:rsid w:val="00E17C4A"/>
    <w:rsid w:val="00E22595"/>
    <w:rsid w:val="00E23F9C"/>
    <w:rsid w:val="00E2407F"/>
    <w:rsid w:val="00E256F9"/>
    <w:rsid w:val="00E25DA0"/>
    <w:rsid w:val="00E34CB2"/>
    <w:rsid w:val="00E369CD"/>
    <w:rsid w:val="00E36E27"/>
    <w:rsid w:val="00E43D88"/>
    <w:rsid w:val="00E451C9"/>
    <w:rsid w:val="00E50A43"/>
    <w:rsid w:val="00E53536"/>
    <w:rsid w:val="00E60F05"/>
    <w:rsid w:val="00E67465"/>
    <w:rsid w:val="00E704C0"/>
    <w:rsid w:val="00E71619"/>
    <w:rsid w:val="00E732C5"/>
    <w:rsid w:val="00E743BA"/>
    <w:rsid w:val="00E7563D"/>
    <w:rsid w:val="00E82FB2"/>
    <w:rsid w:val="00E8308F"/>
    <w:rsid w:val="00E84090"/>
    <w:rsid w:val="00E84311"/>
    <w:rsid w:val="00E9036C"/>
    <w:rsid w:val="00E91344"/>
    <w:rsid w:val="00E91C86"/>
    <w:rsid w:val="00E929D7"/>
    <w:rsid w:val="00E964E4"/>
    <w:rsid w:val="00E97CDD"/>
    <w:rsid w:val="00EA0A1B"/>
    <w:rsid w:val="00EA341F"/>
    <w:rsid w:val="00EA6406"/>
    <w:rsid w:val="00EB0F27"/>
    <w:rsid w:val="00EB1EE6"/>
    <w:rsid w:val="00EB32DB"/>
    <w:rsid w:val="00EB3683"/>
    <w:rsid w:val="00EC200F"/>
    <w:rsid w:val="00EC2DCB"/>
    <w:rsid w:val="00EC41D9"/>
    <w:rsid w:val="00ED0411"/>
    <w:rsid w:val="00ED758F"/>
    <w:rsid w:val="00ED7846"/>
    <w:rsid w:val="00EE01B1"/>
    <w:rsid w:val="00EE2A68"/>
    <w:rsid w:val="00EE38D7"/>
    <w:rsid w:val="00EE3CBE"/>
    <w:rsid w:val="00EE3F15"/>
    <w:rsid w:val="00EE43E5"/>
    <w:rsid w:val="00EE44BF"/>
    <w:rsid w:val="00EE4C6B"/>
    <w:rsid w:val="00EE762F"/>
    <w:rsid w:val="00EF3880"/>
    <w:rsid w:val="00EF4025"/>
    <w:rsid w:val="00EF49EA"/>
    <w:rsid w:val="00EF79D0"/>
    <w:rsid w:val="00F04D4C"/>
    <w:rsid w:val="00F07F07"/>
    <w:rsid w:val="00F11452"/>
    <w:rsid w:val="00F1257E"/>
    <w:rsid w:val="00F1278D"/>
    <w:rsid w:val="00F13748"/>
    <w:rsid w:val="00F139FA"/>
    <w:rsid w:val="00F164BF"/>
    <w:rsid w:val="00F22938"/>
    <w:rsid w:val="00F23387"/>
    <w:rsid w:val="00F27B0E"/>
    <w:rsid w:val="00F319CE"/>
    <w:rsid w:val="00F329F1"/>
    <w:rsid w:val="00F36066"/>
    <w:rsid w:val="00F42137"/>
    <w:rsid w:val="00F564D6"/>
    <w:rsid w:val="00F623E0"/>
    <w:rsid w:val="00F74393"/>
    <w:rsid w:val="00F754D7"/>
    <w:rsid w:val="00F778B4"/>
    <w:rsid w:val="00F823C3"/>
    <w:rsid w:val="00F8373E"/>
    <w:rsid w:val="00F871E5"/>
    <w:rsid w:val="00F873C9"/>
    <w:rsid w:val="00F874EE"/>
    <w:rsid w:val="00F87B0D"/>
    <w:rsid w:val="00F90C7E"/>
    <w:rsid w:val="00F94EA1"/>
    <w:rsid w:val="00F96F35"/>
    <w:rsid w:val="00F9708E"/>
    <w:rsid w:val="00FA3E64"/>
    <w:rsid w:val="00FA50A3"/>
    <w:rsid w:val="00FA69E8"/>
    <w:rsid w:val="00FB0CE2"/>
    <w:rsid w:val="00FC4652"/>
    <w:rsid w:val="00FC4CFB"/>
    <w:rsid w:val="00FC75C4"/>
    <w:rsid w:val="00FD5708"/>
    <w:rsid w:val="00FD6315"/>
    <w:rsid w:val="00FE10F8"/>
    <w:rsid w:val="00FE3F63"/>
    <w:rsid w:val="00FE54D6"/>
    <w:rsid w:val="00FE56D6"/>
    <w:rsid w:val="00FF10B0"/>
    <w:rsid w:val="00FF23BF"/>
    <w:rsid w:val="00FF4136"/>
    <w:rsid w:val="00FF6F25"/>
    <w:rsid w:val="00FF7627"/>
    <w:rsid w:val="00FF7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9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59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CD3"/>
    <w:pPr>
      <w:spacing w:line="36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57CD3"/>
    <w:pPr>
      <w:spacing w:after="0" w:line="240" w:lineRule="auto"/>
    </w:pPr>
  </w:style>
  <w:style w:type="paragraph" w:styleId="BalloonText">
    <w:name w:val="Balloon Text"/>
    <w:basedOn w:val="Normal"/>
    <w:link w:val="BalloonTextChar"/>
    <w:uiPriority w:val="99"/>
    <w:semiHidden/>
    <w:unhideWhenUsed/>
    <w:rsid w:val="00174033"/>
    <w:rPr>
      <w:rFonts w:ascii="Tahoma" w:hAnsi="Tahoma" w:cs="Tahoma"/>
      <w:sz w:val="16"/>
      <w:szCs w:val="16"/>
    </w:rPr>
  </w:style>
  <w:style w:type="character" w:customStyle="1" w:styleId="BalloonTextChar">
    <w:name w:val="Balloon Text Char"/>
    <w:basedOn w:val="DefaultParagraphFont"/>
    <w:link w:val="BalloonText"/>
    <w:uiPriority w:val="99"/>
    <w:semiHidden/>
    <w:rsid w:val="0017403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3009C"/>
    <w:rPr>
      <w:sz w:val="20"/>
      <w:szCs w:val="20"/>
    </w:rPr>
  </w:style>
  <w:style w:type="character" w:customStyle="1" w:styleId="FootnoteTextChar">
    <w:name w:val="Footnote Text Char"/>
    <w:basedOn w:val="DefaultParagraphFont"/>
    <w:link w:val="FootnoteText"/>
    <w:uiPriority w:val="99"/>
    <w:semiHidden/>
    <w:rsid w:val="001300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009C"/>
    <w:rPr>
      <w:vertAlign w:val="superscript"/>
    </w:rPr>
  </w:style>
  <w:style w:type="paragraph" w:styleId="Revision">
    <w:name w:val="Revision"/>
    <w:hidden/>
    <w:uiPriority w:val="99"/>
    <w:semiHidden/>
    <w:rsid w:val="00B11EC3"/>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5B4FE-CCF7-4C85-8E5D-B61EE380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Utilities Commission</Company>
  <LinksUpToDate>false</LinksUpToDate>
  <CharactersWithSpaces>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rwaldemar</dc:creator>
  <cp:keywords/>
  <dc:description/>
  <cp:lastModifiedBy>temathias</cp:lastModifiedBy>
  <cp:revision>2</cp:revision>
  <cp:lastPrinted>2010-09-02T11:28:00Z</cp:lastPrinted>
  <dcterms:created xsi:type="dcterms:W3CDTF">2010-09-02T12:00:00Z</dcterms:created>
  <dcterms:modified xsi:type="dcterms:W3CDTF">2010-09-02T12:00:00Z</dcterms:modified>
</cp:coreProperties>
</file>