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BC5D44">
        <w:rPr>
          <w:b/>
          <w:sz w:val="24"/>
        </w:rPr>
        <w:t>A-2010-2164501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BC5D44">
        <w:rPr>
          <w:sz w:val="24"/>
        </w:rPr>
        <w:t>Rapid Power Management, LLC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BC5D44">
        <w:rPr>
          <w:b/>
          <w:sz w:val="24"/>
        </w:rPr>
        <w:t>2</w:t>
      </w:r>
      <w:r w:rsidR="00BC5D44" w:rsidRPr="00BC5D44">
        <w:rPr>
          <w:b/>
          <w:sz w:val="24"/>
          <w:vertAlign w:val="superscript"/>
        </w:rPr>
        <w:t>nd</w:t>
      </w:r>
      <w:r w:rsidR="00BC5D44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BC5D44">
        <w:rPr>
          <w:b/>
          <w:sz w:val="24"/>
        </w:rPr>
        <w:t>September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BC5D44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BC5D44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2010-09-07T17:06:00Z</cp:lastPrinted>
  <dcterms:created xsi:type="dcterms:W3CDTF">2010-09-07T17:06:00Z</dcterms:created>
  <dcterms:modified xsi:type="dcterms:W3CDTF">2010-09-07T17:06:00Z</dcterms:modified>
</cp:coreProperties>
</file>