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03" w:rsidRPr="004200A1" w:rsidRDefault="006D3303" w:rsidP="004200A1">
      <w:pPr>
        <w:jc w:val="center"/>
        <w:rPr>
          <w:b/>
        </w:rPr>
      </w:pPr>
      <w:r w:rsidRPr="004200A1">
        <w:rPr>
          <w:b/>
        </w:rPr>
        <w:t>BEFORE THE</w:t>
      </w:r>
    </w:p>
    <w:p w:rsidR="006D3303" w:rsidRPr="004200A1" w:rsidRDefault="006D3303" w:rsidP="004200A1">
      <w:pPr>
        <w:jc w:val="center"/>
        <w:rPr>
          <w:b/>
        </w:rPr>
      </w:pPr>
      <w:r w:rsidRPr="004200A1">
        <w:rPr>
          <w:b/>
        </w:rPr>
        <w:t>PENNSYLVANIA PUBLIC UTILITY COMMISSION</w:t>
      </w:r>
    </w:p>
    <w:p w:rsidR="006D3303" w:rsidRDefault="006D3303" w:rsidP="004200A1">
      <w:pPr>
        <w:jc w:val="center"/>
        <w:rPr>
          <w:b/>
        </w:rPr>
      </w:pPr>
    </w:p>
    <w:p w:rsidR="004200A1" w:rsidRPr="004200A1" w:rsidRDefault="004200A1" w:rsidP="004200A1">
      <w:pPr>
        <w:jc w:val="center"/>
        <w:rPr>
          <w:b/>
        </w:rPr>
      </w:pPr>
    </w:p>
    <w:p w:rsidR="00C40D0B" w:rsidRPr="004200A1" w:rsidRDefault="00C40D0B" w:rsidP="004200A1">
      <w:pPr>
        <w:jc w:val="center"/>
        <w:rPr>
          <w:b/>
        </w:rPr>
      </w:pPr>
    </w:p>
    <w:p w:rsidR="006D3303" w:rsidRPr="004200A1" w:rsidRDefault="006D3303" w:rsidP="004200A1">
      <w:r w:rsidRPr="004200A1">
        <w:t>Petition of PPL Electric Utilities</w:t>
      </w:r>
      <w:r w:rsidRPr="004200A1">
        <w:tab/>
      </w:r>
      <w:r w:rsidRPr="004200A1">
        <w:tab/>
      </w:r>
      <w:r w:rsidR="004200A1">
        <w:tab/>
      </w:r>
      <w:r w:rsidRPr="004200A1">
        <w:t>:</w:t>
      </w:r>
    </w:p>
    <w:p w:rsidR="006D3303" w:rsidRPr="004200A1" w:rsidRDefault="006D3303" w:rsidP="004200A1">
      <w:r w:rsidRPr="004200A1">
        <w:t>Corporation for Approval of a Default</w:t>
      </w:r>
      <w:r w:rsidRPr="004200A1">
        <w:tab/>
      </w:r>
      <w:r w:rsidR="004200A1">
        <w:tab/>
      </w:r>
      <w:r w:rsidRPr="004200A1">
        <w:t>:</w:t>
      </w:r>
    </w:p>
    <w:p w:rsidR="006D3303" w:rsidRPr="004200A1" w:rsidRDefault="006D3303" w:rsidP="004200A1">
      <w:r w:rsidRPr="004200A1">
        <w:t>Service Program and Procurement</w:t>
      </w:r>
      <w:r w:rsidRPr="004200A1">
        <w:tab/>
      </w:r>
      <w:r w:rsidRPr="004200A1">
        <w:tab/>
      </w:r>
      <w:r w:rsidR="004200A1">
        <w:tab/>
      </w:r>
      <w:r w:rsidRPr="004200A1">
        <w:t>:</w:t>
      </w:r>
      <w:r w:rsidRPr="004200A1">
        <w:tab/>
      </w:r>
      <w:r w:rsidRPr="004200A1">
        <w:tab/>
        <w:t>P-2008-2060309</w:t>
      </w:r>
    </w:p>
    <w:p w:rsidR="006D3303" w:rsidRPr="004200A1" w:rsidRDefault="006D3303" w:rsidP="004200A1">
      <w:r w:rsidRPr="004200A1">
        <w:t>Plan for the Period January 1, 2011</w:t>
      </w:r>
      <w:r w:rsidRPr="004200A1">
        <w:tab/>
      </w:r>
      <w:r w:rsidRPr="004200A1">
        <w:tab/>
      </w:r>
      <w:r w:rsidR="004200A1">
        <w:tab/>
      </w:r>
      <w:r w:rsidRPr="004200A1">
        <w:t>:</w:t>
      </w:r>
    </w:p>
    <w:p w:rsidR="006D3303" w:rsidRPr="004200A1" w:rsidRDefault="006D3303" w:rsidP="004200A1">
      <w:r w:rsidRPr="004200A1">
        <w:t>Through May 31, 2014</w:t>
      </w:r>
      <w:r w:rsidRPr="004200A1">
        <w:tab/>
      </w:r>
      <w:r w:rsidRPr="004200A1">
        <w:tab/>
      </w:r>
      <w:r w:rsidRPr="004200A1">
        <w:tab/>
      </w:r>
      <w:r w:rsidR="004200A1">
        <w:tab/>
      </w:r>
      <w:r w:rsidRPr="004200A1">
        <w:t>:</w:t>
      </w:r>
    </w:p>
    <w:p w:rsidR="006D3303" w:rsidRPr="004200A1" w:rsidRDefault="006D3303" w:rsidP="004200A1"/>
    <w:p w:rsidR="006D3303" w:rsidRPr="004200A1" w:rsidRDefault="006D3303" w:rsidP="004200A1"/>
    <w:p w:rsidR="006D3303" w:rsidRPr="004200A1" w:rsidRDefault="006D3303" w:rsidP="004200A1"/>
    <w:p w:rsidR="006D3303" w:rsidRDefault="004200A1" w:rsidP="004200A1">
      <w:pPr>
        <w:jc w:val="center"/>
        <w:rPr>
          <w:b/>
          <w:u w:val="single"/>
        </w:rPr>
      </w:pPr>
      <w:r w:rsidRPr="004200A1">
        <w:rPr>
          <w:b/>
          <w:u w:val="single"/>
        </w:rPr>
        <w:t>INITIAL DECISION</w:t>
      </w:r>
    </w:p>
    <w:p w:rsidR="00CC22F6" w:rsidRPr="004200A1" w:rsidRDefault="00CC22F6" w:rsidP="004200A1">
      <w:pPr>
        <w:jc w:val="center"/>
        <w:rPr>
          <w:b/>
          <w:u w:val="single"/>
        </w:rPr>
      </w:pPr>
    </w:p>
    <w:p w:rsidR="00CC22F6" w:rsidRDefault="005A2CAF" w:rsidP="004200A1">
      <w:pPr>
        <w:jc w:val="center"/>
      </w:pPr>
      <w:r>
        <w:t xml:space="preserve">Granting the Petition to Intervene of the Solar Alliance and </w:t>
      </w:r>
    </w:p>
    <w:p w:rsidR="006D3303" w:rsidRDefault="005A2CAF" w:rsidP="004200A1">
      <w:pPr>
        <w:jc w:val="center"/>
      </w:pPr>
      <w:r>
        <w:t>denying the Petition to Intervene</w:t>
      </w:r>
      <w:r w:rsidR="00173804">
        <w:t xml:space="preserve"> of Exelon Generation Company, LLC</w:t>
      </w:r>
    </w:p>
    <w:p w:rsidR="004200A1" w:rsidRPr="004200A1" w:rsidRDefault="004200A1" w:rsidP="004200A1">
      <w:pPr>
        <w:jc w:val="center"/>
      </w:pPr>
    </w:p>
    <w:p w:rsidR="006D3303" w:rsidRPr="004200A1" w:rsidRDefault="006D3303" w:rsidP="004200A1">
      <w:pPr>
        <w:jc w:val="center"/>
      </w:pPr>
    </w:p>
    <w:p w:rsidR="006D3303" w:rsidRPr="004200A1" w:rsidRDefault="006D3303" w:rsidP="004200A1">
      <w:pPr>
        <w:jc w:val="center"/>
      </w:pPr>
      <w:r w:rsidRPr="004200A1">
        <w:t>Before</w:t>
      </w:r>
    </w:p>
    <w:p w:rsidR="006D3303" w:rsidRPr="004200A1" w:rsidRDefault="006D3303" w:rsidP="004200A1">
      <w:pPr>
        <w:jc w:val="center"/>
      </w:pPr>
      <w:r w:rsidRPr="004200A1">
        <w:t>Susan D. Colwell</w:t>
      </w:r>
    </w:p>
    <w:p w:rsidR="006D3303" w:rsidRPr="004200A1" w:rsidRDefault="006D3303" w:rsidP="004200A1">
      <w:pPr>
        <w:jc w:val="center"/>
      </w:pPr>
      <w:r w:rsidRPr="004200A1">
        <w:t>Administrative Law Judge</w:t>
      </w:r>
    </w:p>
    <w:p w:rsidR="006D3303" w:rsidRPr="004200A1" w:rsidRDefault="006D3303" w:rsidP="004200A1">
      <w:pPr>
        <w:jc w:val="center"/>
      </w:pPr>
    </w:p>
    <w:p w:rsidR="006D3303" w:rsidRPr="004200A1" w:rsidRDefault="006D3303" w:rsidP="004200A1">
      <w:pPr>
        <w:jc w:val="center"/>
      </w:pPr>
    </w:p>
    <w:p w:rsidR="006D3303" w:rsidRDefault="006D3303" w:rsidP="004200A1">
      <w:pPr>
        <w:jc w:val="center"/>
        <w:rPr>
          <w:u w:val="single"/>
        </w:rPr>
      </w:pPr>
      <w:r w:rsidRPr="004200A1">
        <w:rPr>
          <w:u w:val="single"/>
        </w:rPr>
        <w:t>HISTORY OF THE PROCEEDINGS</w:t>
      </w:r>
    </w:p>
    <w:p w:rsidR="004200A1" w:rsidRPr="004200A1" w:rsidRDefault="004200A1" w:rsidP="004200A1">
      <w:pPr>
        <w:jc w:val="center"/>
        <w:rPr>
          <w:u w:val="single"/>
        </w:rPr>
      </w:pPr>
    </w:p>
    <w:p w:rsidR="006D3303" w:rsidRPr="004200A1" w:rsidRDefault="006D3303" w:rsidP="004200A1">
      <w:pPr>
        <w:jc w:val="center"/>
        <w:rPr>
          <w:b/>
        </w:rPr>
      </w:pPr>
    </w:p>
    <w:p w:rsidR="006D3303" w:rsidRPr="004200A1" w:rsidRDefault="006D3303" w:rsidP="004200A1">
      <w:pPr>
        <w:spacing w:line="360" w:lineRule="auto"/>
      </w:pPr>
      <w:r w:rsidRPr="004200A1">
        <w:tab/>
      </w:r>
      <w:r w:rsidRPr="004200A1">
        <w:tab/>
        <w:t>On August 28, 2008, PPL Electric Utilities Corporation (PPL Electric) filed a petition (Petition) with the Pennsylvania Public Utility Commission (Commission) seeking approval of a default service program and procurement plan (D</w:t>
      </w:r>
      <w:r w:rsidR="004200A1">
        <w:t>SP) for the period January 1, 2</w:t>
      </w:r>
      <w:r w:rsidRPr="004200A1">
        <w:t>011 through May 31, 2014.  The purpose of the plan is to establish the terms and conditions under which PPL Electric will acquire and supply default service, including competitive procurement of Provider of Last Resort (POLR) supply and related alternative energy credits; rate design; an explanation of Regional Transmission Organization (RTO) compliance and consistency; and a contingency plan.  The Petition and attachments were served on a lengthy list of entities and utility counsel.</w:t>
      </w:r>
    </w:p>
    <w:p w:rsidR="006D3303" w:rsidRPr="004200A1" w:rsidRDefault="006D3303" w:rsidP="004200A1">
      <w:pPr>
        <w:spacing w:line="360" w:lineRule="auto"/>
      </w:pPr>
    </w:p>
    <w:p w:rsidR="00DD30C2" w:rsidRPr="004200A1" w:rsidRDefault="00DD30C2" w:rsidP="004200A1">
      <w:pPr>
        <w:spacing w:line="360" w:lineRule="auto"/>
      </w:pPr>
      <w:r w:rsidRPr="004200A1">
        <w:tab/>
      </w:r>
      <w:r w:rsidRPr="004200A1">
        <w:tab/>
        <w:t xml:space="preserve">Following publication of Notice of the Petition in the </w:t>
      </w:r>
      <w:r w:rsidRPr="004200A1">
        <w:rPr>
          <w:i/>
        </w:rPr>
        <w:t>Pennsylvania Bulletin</w:t>
      </w:r>
      <w:r w:rsidR="00B7202E" w:rsidRPr="004200A1">
        <w:t>, 38 Pa. B. 509</w:t>
      </w:r>
      <w:r w:rsidRPr="004200A1">
        <w:t xml:space="preserve">9, Petitions to Intervene were </w:t>
      </w:r>
      <w:r w:rsidR="00B7202E" w:rsidRPr="004200A1">
        <w:t xml:space="preserve">to be filed by September 28, 2008.  </w:t>
      </w:r>
    </w:p>
    <w:p w:rsidR="00DD30C2" w:rsidRPr="004200A1" w:rsidRDefault="00DD30C2" w:rsidP="004200A1">
      <w:pPr>
        <w:spacing w:line="360" w:lineRule="auto"/>
      </w:pPr>
    </w:p>
    <w:p w:rsidR="00B7202E" w:rsidRPr="004200A1" w:rsidRDefault="006D3303" w:rsidP="0058749D">
      <w:pPr>
        <w:spacing w:line="360" w:lineRule="auto"/>
      </w:pPr>
      <w:r w:rsidRPr="004200A1">
        <w:lastRenderedPageBreak/>
        <w:tab/>
      </w:r>
      <w:r w:rsidRPr="004200A1">
        <w:tab/>
        <w:t xml:space="preserve">Following litigation, the parties came to a full settlement of all issues but two, which were fully litigated and subject to a Commission decision, entered June 30, 2009.  On </w:t>
      </w:r>
    </w:p>
    <w:p w:rsidR="006D3303" w:rsidRPr="004200A1" w:rsidRDefault="006D3303" w:rsidP="0058749D">
      <w:pPr>
        <w:spacing w:line="360" w:lineRule="auto"/>
      </w:pPr>
      <w:r w:rsidRPr="004200A1">
        <w:t xml:space="preserve">July 1, 2009, PPL filed its compliance tariff which satisfied the directive in the Commission’s June 30, 2009 Opinion and Order.  </w:t>
      </w:r>
    </w:p>
    <w:p w:rsidR="006D3303" w:rsidRPr="004200A1" w:rsidRDefault="006D3303" w:rsidP="0058749D">
      <w:pPr>
        <w:spacing w:line="360" w:lineRule="auto"/>
      </w:pPr>
    </w:p>
    <w:p w:rsidR="006D3303" w:rsidRPr="004200A1" w:rsidRDefault="006D3303" w:rsidP="0058749D">
      <w:pPr>
        <w:spacing w:line="360" w:lineRule="auto"/>
      </w:pPr>
      <w:r w:rsidRPr="004200A1">
        <w:tab/>
      </w:r>
      <w:r w:rsidRPr="004200A1">
        <w:tab/>
        <w:t xml:space="preserve">This is PPL’s third petition to amend the Settlement.  The first amendment, approved by Commission Order entered December 28, 2009, removed the debt rating requirement of Article 4.1.1(3).  This was intended to increase the number of solar alternative energy credits (SREC) competitive bids submitted by small, non-rated entities that would not otherwise qualify to bid.  The second was approved by Commission order entered June 24, 2010, and permitted the reinstatement of an Auction Revenue Rights (ARR) allocation in a manner consistent with the Competitive Bridge Plan SMA permitting PPL to proportionally assign the ARRs to participating wholesale suppliers.  </w:t>
      </w:r>
    </w:p>
    <w:p w:rsidR="006D3303" w:rsidRPr="004200A1" w:rsidRDefault="006D3303" w:rsidP="0058749D">
      <w:pPr>
        <w:spacing w:line="360" w:lineRule="auto"/>
      </w:pPr>
    </w:p>
    <w:p w:rsidR="006D3303" w:rsidRPr="004200A1" w:rsidRDefault="006D3303" w:rsidP="0058749D">
      <w:pPr>
        <w:spacing w:line="360" w:lineRule="auto"/>
      </w:pPr>
      <w:r w:rsidRPr="004200A1">
        <w:tab/>
      </w:r>
      <w:r w:rsidRPr="004200A1">
        <w:tab/>
        <w:t xml:space="preserve">On May 18, 2010, PPL filed this petition requesting that the Commission amend the Settlement by modifying its procurement of SRECs.  The Petition was served on all parties to the original proceeding.  On June 7, 2010, the Office of Consumer Advocate (OCA), Office of Small Business Advocate (OSBA) and the Sustainable Energy Fund of Central Eastern Pennsylvania (SEF) each filed an Answer to PPL’s Petition.  </w:t>
      </w:r>
    </w:p>
    <w:p w:rsidR="006D3303" w:rsidRPr="004200A1" w:rsidRDefault="006D3303" w:rsidP="0058749D">
      <w:pPr>
        <w:spacing w:line="360" w:lineRule="auto"/>
      </w:pPr>
    </w:p>
    <w:p w:rsidR="006D3303" w:rsidRPr="004200A1" w:rsidRDefault="006D3303" w:rsidP="0058749D">
      <w:pPr>
        <w:spacing w:line="360" w:lineRule="auto"/>
      </w:pPr>
      <w:r w:rsidRPr="004200A1">
        <w:tab/>
      </w:r>
      <w:r w:rsidRPr="004200A1">
        <w:tab/>
        <w:t xml:space="preserve">By Order entered July 22, 2010, the Commission directed the Office of Administrative Law Judge to develop an evidentiary record and to prepare a recommended decision on an expedited basis.  </w:t>
      </w:r>
    </w:p>
    <w:p w:rsidR="006D3303" w:rsidRPr="004200A1" w:rsidRDefault="006D3303" w:rsidP="0058749D">
      <w:pPr>
        <w:spacing w:line="360" w:lineRule="auto"/>
      </w:pPr>
    </w:p>
    <w:p w:rsidR="00094DA5" w:rsidRDefault="006D3303" w:rsidP="0058749D">
      <w:pPr>
        <w:spacing w:line="360" w:lineRule="auto"/>
      </w:pPr>
      <w:r w:rsidRPr="004200A1">
        <w:tab/>
      </w:r>
      <w:r w:rsidRPr="004200A1">
        <w:tab/>
        <w:t xml:space="preserve">By Notice issued July 28, 2010, a prehearing conference on remand was scheduled for August 18, 2010.  Prehearing memos were submitted by PPL, OCA, OSBA, SEF, Mr. Epstein and Constellation NewEnergy, Inc. and Constellation Energy Commodities Group, Inc. (Constellation).  </w:t>
      </w:r>
      <w:r w:rsidR="007E4CC0" w:rsidRPr="004200A1">
        <w:t xml:space="preserve">The prehearing conference was held as scheduled, and the following were present:  PPL, OCA, OSBA, SEF, Mr. Epstein, Constellation, PP&amp;L Industrial Customer Alliance (PPLICA), and Solar Alliance.  The parties agreed upon a schedule which was adopted in a Scheduling Order on Remand dated August 19, 2010.  </w:t>
      </w:r>
      <w:r w:rsidR="00094DA5">
        <w:br w:type="page"/>
      </w:r>
    </w:p>
    <w:p w:rsidR="006D3303" w:rsidRPr="004200A1" w:rsidRDefault="007E4CC0" w:rsidP="004200A1">
      <w:pPr>
        <w:spacing w:line="360" w:lineRule="auto"/>
      </w:pPr>
      <w:r w:rsidRPr="004200A1">
        <w:lastRenderedPageBreak/>
        <w:tab/>
      </w:r>
      <w:r w:rsidRPr="004200A1">
        <w:tab/>
      </w:r>
      <w:r w:rsidR="006D3303" w:rsidRPr="004200A1">
        <w:t>Petitions to intervene were filed by Exelon Generation Company, LLC, and the Solar Alliance.  These petitions are addressed in this Initial Decision.</w:t>
      </w:r>
    </w:p>
    <w:p w:rsidR="006D3303" w:rsidRPr="004200A1" w:rsidRDefault="006D3303" w:rsidP="004200A1">
      <w:pPr>
        <w:spacing w:line="360" w:lineRule="auto"/>
      </w:pPr>
    </w:p>
    <w:p w:rsidR="006D3303" w:rsidRPr="004200A1" w:rsidRDefault="007E4CC0" w:rsidP="00094DA5">
      <w:pPr>
        <w:spacing w:line="360" w:lineRule="auto"/>
        <w:jc w:val="center"/>
        <w:rPr>
          <w:u w:val="single"/>
        </w:rPr>
      </w:pPr>
      <w:r w:rsidRPr="004200A1">
        <w:rPr>
          <w:u w:val="single"/>
        </w:rPr>
        <w:t>FINDINGS OF FACT</w:t>
      </w:r>
    </w:p>
    <w:p w:rsidR="007E4CC0" w:rsidRPr="004200A1" w:rsidRDefault="007E4CC0" w:rsidP="004200A1">
      <w:pPr>
        <w:spacing w:line="360" w:lineRule="auto"/>
        <w:rPr>
          <w:u w:val="single"/>
        </w:rPr>
      </w:pPr>
    </w:p>
    <w:p w:rsidR="007E4CC0" w:rsidRPr="004200A1" w:rsidRDefault="007E4CC0" w:rsidP="004200A1">
      <w:pPr>
        <w:spacing w:line="360" w:lineRule="auto"/>
      </w:pPr>
      <w:r w:rsidRPr="004200A1">
        <w:tab/>
      </w:r>
      <w:r w:rsidRPr="004200A1">
        <w:tab/>
        <w:t>1.</w:t>
      </w:r>
      <w:r w:rsidRPr="004200A1">
        <w:tab/>
        <w:t>On August 28, 2008, PPL Electric Utilities Corporation (PPL Electric) filed a petition (Petition) with the Pennsylvania Public Utility Commission (Commission) seeking approval of a default service program and procurement plan (DSP) for the period January 1, 20011 through May 31, 2014.  The purpose of the plan is to establish the terms and conditions under which PPL Electric will acquire and supply default service, including competitive procurement of Provider of Last Resort (POLR) supply and related alternative energy credits; rate design; an explanation of Regional Transmission Organization (RTO) compliance and consistency; and a contingency plan.  The Petition and attachments were served on a lengthy list of entities and utility counsel.</w:t>
      </w:r>
      <w:r w:rsidR="00B81553" w:rsidRPr="004200A1">
        <w:t xml:space="preserve">  Order of July 22, 2010.</w:t>
      </w:r>
    </w:p>
    <w:p w:rsidR="007E4CC0" w:rsidRPr="004200A1" w:rsidRDefault="007E4CC0" w:rsidP="004200A1">
      <w:pPr>
        <w:spacing w:line="360" w:lineRule="auto"/>
      </w:pPr>
    </w:p>
    <w:p w:rsidR="00B7202E" w:rsidRPr="004200A1" w:rsidRDefault="007E4CC0" w:rsidP="004200A1">
      <w:pPr>
        <w:spacing w:line="360" w:lineRule="auto"/>
      </w:pPr>
      <w:r w:rsidRPr="004200A1">
        <w:tab/>
      </w:r>
      <w:r w:rsidRPr="004200A1">
        <w:tab/>
      </w:r>
      <w:r w:rsidR="00B81553" w:rsidRPr="004200A1">
        <w:t>2.</w:t>
      </w:r>
      <w:r w:rsidR="00B81553" w:rsidRPr="004200A1">
        <w:tab/>
      </w:r>
      <w:r w:rsidR="00B7202E" w:rsidRPr="004200A1">
        <w:t xml:space="preserve">Petitions to intervene were due by September 28, 2008.  </w:t>
      </w:r>
      <w:r w:rsidR="00B7202E" w:rsidRPr="004200A1">
        <w:rPr>
          <w:i/>
        </w:rPr>
        <w:t>38 Pa. B. 5099</w:t>
      </w:r>
      <w:r w:rsidR="00B7202E" w:rsidRPr="004200A1">
        <w:t>.</w:t>
      </w:r>
    </w:p>
    <w:p w:rsidR="00B7202E" w:rsidRPr="004200A1" w:rsidRDefault="00B7202E" w:rsidP="004200A1">
      <w:pPr>
        <w:spacing w:line="360" w:lineRule="auto"/>
      </w:pPr>
    </w:p>
    <w:p w:rsidR="007E4CC0" w:rsidRPr="004200A1" w:rsidRDefault="00B7202E" w:rsidP="004200A1">
      <w:pPr>
        <w:spacing w:line="360" w:lineRule="auto"/>
      </w:pPr>
      <w:r w:rsidRPr="004200A1">
        <w:tab/>
      </w:r>
      <w:r w:rsidRPr="004200A1">
        <w:tab/>
        <w:t>3.</w:t>
      </w:r>
      <w:r w:rsidRPr="004200A1">
        <w:tab/>
      </w:r>
      <w:r w:rsidR="007E4CC0" w:rsidRPr="004200A1">
        <w:t xml:space="preserve">Following litigation, the parties came to a full settlement of all issues but two, which were fully litigated and subject to a Commission decision, entered June 30, 2009.  On July 1, 2009, PPL filed its compliance tariff which satisfied the directive in the Commission’s June 30, 2009 Opinion and Order.  </w:t>
      </w:r>
      <w:r w:rsidR="00B81553" w:rsidRPr="004200A1">
        <w:t xml:space="preserve"> Order of July 22, 2010.</w:t>
      </w:r>
    </w:p>
    <w:p w:rsidR="007E4CC0" w:rsidRPr="004200A1" w:rsidRDefault="007E4CC0" w:rsidP="004200A1">
      <w:pPr>
        <w:spacing w:line="360" w:lineRule="auto"/>
      </w:pPr>
    </w:p>
    <w:p w:rsidR="007E4CC0" w:rsidRPr="004200A1" w:rsidRDefault="007E4CC0" w:rsidP="004200A1">
      <w:pPr>
        <w:spacing w:line="360" w:lineRule="auto"/>
      </w:pPr>
      <w:r w:rsidRPr="004200A1">
        <w:tab/>
      </w:r>
      <w:r w:rsidRPr="004200A1">
        <w:tab/>
      </w:r>
      <w:r w:rsidR="00B7202E" w:rsidRPr="004200A1">
        <w:t>4</w:t>
      </w:r>
      <w:r w:rsidR="00B81553" w:rsidRPr="004200A1">
        <w:t>.</w:t>
      </w:r>
      <w:r w:rsidR="00B81553" w:rsidRPr="004200A1">
        <w:tab/>
      </w:r>
      <w:r w:rsidRPr="004200A1">
        <w:t xml:space="preserve">This is PPL’s third petition to amend the Settlement.  The first amendment, approved by Commission Order entered December 28, 2009, removed the debt rating requirement of Article 4.1.1(3).  This was intended to increase the number of solar alternative energy credits (SREC) competitive bids submitted by small, non-rated entities that would not otherwise qualify to bid.  The second was approved by Commission order entered June 24, 2010, and permitted the reinstatement of an Auction Revenue Rights (ARR) allocation in a manner consistent with the Competitive Bridge Plan SMA permitting PPL to proportionally assign the ARRs to participating wholesale suppliers.  </w:t>
      </w:r>
      <w:r w:rsidR="00B81553" w:rsidRPr="004200A1">
        <w:t>Order of July 22, 2010.</w:t>
      </w:r>
    </w:p>
    <w:p w:rsidR="007E4CC0" w:rsidRPr="004200A1" w:rsidRDefault="007E4CC0" w:rsidP="004200A1">
      <w:pPr>
        <w:spacing w:line="360" w:lineRule="auto"/>
      </w:pPr>
    </w:p>
    <w:p w:rsidR="007E4CC0" w:rsidRPr="004200A1" w:rsidRDefault="007E4CC0" w:rsidP="004200A1">
      <w:pPr>
        <w:spacing w:line="360" w:lineRule="auto"/>
      </w:pPr>
      <w:r w:rsidRPr="004200A1">
        <w:lastRenderedPageBreak/>
        <w:tab/>
      </w:r>
      <w:r w:rsidRPr="004200A1">
        <w:tab/>
      </w:r>
      <w:r w:rsidR="00B7202E" w:rsidRPr="004200A1">
        <w:t>5</w:t>
      </w:r>
      <w:r w:rsidR="00B81553" w:rsidRPr="004200A1">
        <w:t>.</w:t>
      </w:r>
      <w:r w:rsidR="00B81553" w:rsidRPr="004200A1">
        <w:tab/>
      </w:r>
      <w:r w:rsidRPr="004200A1">
        <w:t xml:space="preserve">On May 18, 2010, PPL filed this petition requesting that the Commission amend the Settlement by modifying its procurement of SRECs.  The Petition was served on all parties to the original proceeding.  On June 7, 2010, the Office of Consumer Advocate (OCA), Office of Small Business Advocate (OSBA) and the Sustainable Energy Fund of Central Eastern Pennsylvania (SEF) each filed an Answer to PPL’s Petition.  </w:t>
      </w:r>
    </w:p>
    <w:p w:rsidR="007E4CC0" w:rsidRPr="004200A1" w:rsidRDefault="007E4CC0" w:rsidP="004200A1">
      <w:pPr>
        <w:spacing w:line="360" w:lineRule="auto"/>
      </w:pPr>
    </w:p>
    <w:p w:rsidR="007E4CC0" w:rsidRPr="004200A1" w:rsidRDefault="007E4CC0" w:rsidP="004200A1">
      <w:pPr>
        <w:spacing w:line="360" w:lineRule="auto"/>
      </w:pPr>
      <w:r w:rsidRPr="004200A1">
        <w:tab/>
      </w:r>
      <w:r w:rsidRPr="004200A1">
        <w:tab/>
      </w:r>
      <w:r w:rsidR="00B7202E" w:rsidRPr="004200A1">
        <w:t>6</w:t>
      </w:r>
      <w:r w:rsidR="00B81553" w:rsidRPr="004200A1">
        <w:t>.</w:t>
      </w:r>
      <w:r w:rsidR="00B81553" w:rsidRPr="004200A1">
        <w:tab/>
        <w:t>T</w:t>
      </w:r>
      <w:r w:rsidRPr="004200A1">
        <w:t xml:space="preserve">he Commission directed the Office of Administrative Law Judge to develop an evidentiary record and to prepare a recommended decision on an expedited basis.  </w:t>
      </w:r>
    </w:p>
    <w:p w:rsidR="007E4CC0" w:rsidRPr="004200A1" w:rsidRDefault="00B81553" w:rsidP="004200A1">
      <w:pPr>
        <w:spacing w:line="360" w:lineRule="auto"/>
      </w:pPr>
      <w:r w:rsidRPr="004200A1">
        <w:t>Order of July 22, 2010.</w:t>
      </w:r>
    </w:p>
    <w:p w:rsidR="00B81553" w:rsidRPr="004200A1" w:rsidRDefault="00B81553" w:rsidP="004200A1">
      <w:pPr>
        <w:spacing w:line="360" w:lineRule="auto"/>
      </w:pPr>
    </w:p>
    <w:p w:rsidR="00B81553" w:rsidRPr="004200A1" w:rsidRDefault="00B7202E" w:rsidP="004200A1">
      <w:pPr>
        <w:spacing w:line="360" w:lineRule="auto"/>
      </w:pPr>
      <w:r w:rsidRPr="004200A1">
        <w:tab/>
      </w:r>
      <w:r w:rsidRPr="004200A1">
        <w:tab/>
        <w:t>7</w:t>
      </w:r>
      <w:r w:rsidR="00B81553" w:rsidRPr="004200A1">
        <w:t>.</w:t>
      </w:r>
      <w:r w:rsidR="00B81553" w:rsidRPr="004200A1">
        <w:tab/>
      </w:r>
      <w:r w:rsidR="006D12D3" w:rsidRPr="004200A1">
        <w:t>On August 2, 2010, Exelon Generation Company, LLC, filed a Petition to Intervene.</w:t>
      </w:r>
    </w:p>
    <w:p w:rsidR="006D12D3" w:rsidRPr="004200A1" w:rsidRDefault="006D12D3" w:rsidP="004200A1">
      <w:pPr>
        <w:spacing w:line="360" w:lineRule="auto"/>
      </w:pPr>
    </w:p>
    <w:p w:rsidR="006D12D3" w:rsidRPr="004200A1" w:rsidRDefault="00B7202E" w:rsidP="004200A1">
      <w:pPr>
        <w:spacing w:line="360" w:lineRule="auto"/>
      </w:pPr>
      <w:r w:rsidRPr="004200A1">
        <w:tab/>
      </w:r>
      <w:r w:rsidRPr="004200A1">
        <w:tab/>
        <w:t>8</w:t>
      </w:r>
      <w:r w:rsidR="006D12D3" w:rsidRPr="004200A1">
        <w:t>.</w:t>
      </w:r>
      <w:r w:rsidR="006D12D3" w:rsidRPr="004200A1">
        <w:tab/>
        <w:t>On August 16, 2010, Solar Alliance filed a Petition to Intervene.</w:t>
      </w:r>
    </w:p>
    <w:p w:rsidR="006D12D3" w:rsidRPr="004200A1" w:rsidRDefault="006D12D3" w:rsidP="004200A1">
      <w:pPr>
        <w:spacing w:line="360" w:lineRule="auto"/>
      </w:pPr>
    </w:p>
    <w:p w:rsidR="006D12D3" w:rsidRPr="004200A1" w:rsidRDefault="00B7202E" w:rsidP="004200A1">
      <w:pPr>
        <w:spacing w:line="360" w:lineRule="auto"/>
      </w:pPr>
      <w:r w:rsidRPr="004200A1">
        <w:tab/>
      </w:r>
      <w:r w:rsidRPr="004200A1">
        <w:tab/>
        <w:t>9</w:t>
      </w:r>
      <w:r w:rsidR="00CC22F6">
        <w:t>.</w:t>
      </w:r>
      <w:r w:rsidR="00CC22F6">
        <w:tab/>
        <w:t>On August 19, 201</w:t>
      </w:r>
      <w:r w:rsidR="006D12D3" w:rsidRPr="004200A1">
        <w:t>0, Solar Alliance filed a supplement to its Petition to Intervene.</w:t>
      </w:r>
    </w:p>
    <w:p w:rsidR="006D12D3" w:rsidRPr="004200A1" w:rsidRDefault="006D12D3" w:rsidP="004200A1">
      <w:pPr>
        <w:spacing w:line="360" w:lineRule="auto"/>
      </w:pPr>
    </w:p>
    <w:p w:rsidR="006D12D3" w:rsidRPr="004200A1" w:rsidRDefault="006D12D3" w:rsidP="004200A1">
      <w:pPr>
        <w:spacing w:line="360" w:lineRule="auto"/>
        <w:jc w:val="center"/>
        <w:rPr>
          <w:u w:val="single"/>
        </w:rPr>
      </w:pPr>
      <w:r w:rsidRPr="004200A1">
        <w:rPr>
          <w:u w:val="single"/>
        </w:rPr>
        <w:t>DISCUSSION</w:t>
      </w:r>
    </w:p>
    <w:p w:rsidR="006D12D3" w:rsidRPr="004200A1" w:rsidRDefault="006D12D3" w:rsidP="004200A1">
      <w:pPr>
        <w:spacing w:line="360" w:lineRule="auto"/>
        <w:jc w:val="center"/>
        <w:rPr>
          <w:u w:val="single"/>
        </w:rPr>
      </w:pPr>
    </w:p>
    <w:p w:rsidR="006D12D3" w:rsidRPr="004200A1" w:rsidRDefault="006D12D3" w:rsidP="004200A1">
      <w:pPr>
        <w:spacing w:line="360" w:lineRule="auto"/>
        <w:ind w:firstLine="720"/>
      </w:pPr>
      <w:r w:rsidRPr="004200A1">
        <w:tab/>
      </w:r>
      <w:r w:rsidRPr="004200A1">
        <w:tab/>
        <w:t xml:space="preserve">Allowance of intervention is a matter within the discretion of the Commission.  </w:t>
      </w:r>
      <w:r w:rsidRPr="004200A1">
        <w:rPr>
          <w:i/>
        </w:rPr>
        <w:t>City of Pittsburgh v. Pa. Publ. Util. Comm’n</w:t>
      </w:r>
      <w:r w:rsidRPr="004200A1">
        <w:t xml:space="preserve">, 153 Pa. Super. 83, 33 A.2d 641 (1943), </w:t>
      </w:r>
      <w:r w:rsidRPr="004200A1">
        <w:rPr>
          <w:i/>
        </w:rPr>
        <w:t xml:space="preserve">NAACP, Inc. v. Pa. Publ. Util. </w:t>
      </w:r>
      <w:r w:rsidRPr="004200A1">
        <w:t>Comm’n, 290 A.2d 704 (Pa.Cmwlth. Ct. 1972).  In determining whether to grant a late-filed petition for intervention, the two key factors are: (1) whether the entity has standing to intervene; and if so, (2) whether there is good ca</w:t>
      </w:r>
      <w:r w:rsidR="00CC22F6">
        <w:t>use shown for the late filing.</w:t>
      </w:r>
    </w:p>
    <w:p w:rsidR="006D12D3" w:rsidRPr="004200A1" w:rsidRDefault="006D12D3" w:rsidP="004200A1">
      <w:pPr>
        <w:spacing w:line="360" w:lineRule="auto"/>
        <w:ind w:firstLine="720"/>
      </w:pPr>
    </w:p>
    <w:p w:rsidR="006D12D3" w:rsidRDefault="006D12D3" w:rsidP="004200A1">
      <w:pPr>
        <w:spacing w:line="360" w:lineRule="auto"/>
        <w:ind w:firstLine="720"/>
      </w:pPr>
      <w:r w:rsidRPr="004200A1">
        <w:tab/>
        <w:t>Intervention is governed by Commission regulations, 52 Pa. Code §§ 5.71 through 5.76:</w:t>
      </w:r>
    </w:p>
    <w:p w:rsidR="00DF7238" w:rsidRDefault="00DF7238">
      <w:pPr>
        <w:spacing w:line="360" w:lineRule="auto"/>
        <w:jc w:val="center"/>
      </w:pPr>
      <w:r>
        <w:br w:type="page"/>
      </w:r>
    </w:p>
    <w:p w:rsidR="006D12D3" w:rsidRPr="004200A1" w:rsidRDefault="006D12D3" w:rsidP="00B47D4A">
      <w:pPr>
        <w:ind w:left="1440" w:right="1440"/>
      </w:pPr>
      <w:r w:rsidRPr="004200A1">
        <w:rPr>
          <w:b/>
        </w:rPr>
        <w:lastRenderedPageBreak/>
        <w:t>§ 5.72.  Eligibility to intervene</w:t>
      </w:r>
      <w:r w:rsidRPr="004200A1">
        <w:t>.</w:t>
      </w:r>
    </w:p>
    <w:p w:rsidR="006D12D3" w:rsidRPr="004200A1" w:rsidRDefault="006D12D3" w:rsidP="00B47D4A">
      <w:pPr>
        <w:ind w:left="1440" w:right="1440"/>
      </w:pPr>
    </w:p>
    <w:p w:rsidR="006D12D3" w:rsidRPr="004200A1" w:rsidRDefault="006D12D3" w:rsidP="00B47D4A">
      <w:pPr>
        <w:ind w:left="1440" w:right="1440" w:firstLine="720"/>
      </w:pPr>
      <w:r w:rsidRPr="004200A1">
        <w:t>(a)</w:t>
      </w:r>
      <w:r w:rsidRPr="004200A1">
        <w:tab/>
      </w:r>
      <w:r w:rsidRPr="004200A1">
        <w:rPr>
          <w:i/>
        </w:rPr>
        <w:t>Persons.</w:t>
      </w:r>
      <w:r w:rsidRPr="004200A1">
        <w:t xml:space="preserve">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w:t>
      </w:r>
    </w:p>
    <w:p w:rsidR="006D12D3" w:rsidRPr="004200A1" w:rsidRDefault="006D12D3" w:rsidP="00B47D4A">
      <w:pPr>
        <w:ind w:left="1440" w:right="1440" w:firstLine="720"/>
      </w:pPr>
    </w:p>
    <w:p w:rsidR="006D12D3" w:rsidRPr="004200A1" w:rsidRDefault="006D12D3" w:rsidP="00B47D4A">
      <w:pPr>
        <w:ind w:left="1440" w:right="1440" w:firstLine="720"/>
      </w:pPr>
      <w:r w:rsidRPr="004200A1">
        <w:tab/>
        <w:t>(1)</w:t>
      </w:r>
      <w:r w:rsidRPr="004200A1">
        <w:tab/>
        <w:t>A right conferred by statute of the Unite</w:t>
      </w:r>
      <w:r w:rsidR="00CC22F6">
        <w:t>d</w:t>
      </w:r>
      <w:r w:rsidRPr="004200A1">
        <w:t xml:space="preserve"> States or of the Commonwealth.</w:t>
      </w:r>
    </w:p>
    <w:p w:rsidR="006D12D3" w:rsidRPr="004200A1" w:rsidRDefault="006D12D3" w:rsidP="00B47D4A">
      <w:pPr>
        <w:ind w:left="1440" w:right="1440" w:firstLine="720"/>
      </w:pPr>
    </w:p>
    <w:p w:rsidR="006D12D3" w:rsidRPr="004200A1" w:rsidRDefault="006D12D3" w:rsidP="00B47D4A">
      <w:pPr>
        <w:ind w:left="1440" w:right="1440" w:firstLine="720"/>
      </w:pPr>
      <w:r w:rsidRPr="004200A1">
        <w:tab/>
        <w:t>(2)</w:t>
      </w:r>
      <w:r w:rsidRPr="004200A1">
        <w:tab/>
        <w:t>An interest which may be directly affected and which is not adequately represented by existing participants, and as to which the petitioner may be bound by the action of the Commission in the proceeding.</w:t>
      </w:r>
    </w:p>
    <w:p w:rsidR="006D12D3" w:rsidRPr="004200A1" w:rsidRDefault="006D12D3" w:rsidP="00B47D4A">
      <w:pPr>
        <w:ind w:left="1440" w:right="1440" w:firstLine="720"/>
      </w:pPr>
    </w:p>
    <w:p w:rsidR="006D12D3" w:rsidRPr="004200A1" w:rsidRDefault="006D12D3" w:rsidP="00B47D4A">
      <w:pPr>
        <w:ind w:left="1440" w:right="1440" w:firstLine="720"/>
      </w:pPr>
      <w:r w:rsidRPr="004200A1">
        <w:tab/>
        <w:t>(3)</w:t>
      </w:r>
      <w:r w:rsidRPr="004200A1">
        <w:tab/>
        <w:t>Another interest of such nature that participation of the petitioner may be in the public interest.</w:t>
      </w:r>
    </w:p>
    <w:p w:rsidR="006D12D3" w:rsidRPr="004200A1" w:rsidRDefault="006D12D3" w:rsidP="00B47D4A">
      <w:pPr>
        <w:ind w:left="1440" w:right="1440" w:firstLine="720"/>
      </w:pPr>
    </w:p>
    <w:p w:rsidR="006D12D3" w:rsidRPr="004200A1" w:rsidRDefault="006D12D3" w:rsidP="00B47D4A">
      <w:pPr>
        <w:jc w:val="center"/>
      </w:pPr>
      <w:r w:rsidRPr="004200A1">
        <w:t xml:space="preserve">* * * </w:t>
      </w:r>
    </w:p>
    <w:p w:rsidR="00B35725" w:rsidRPr="004200A1" w:rsidRDefault="00B35725" w:rsidP="00B47D4A">
      <w:pPr>
        <w:ind w:firstLine="720"/>
      </w:pPr>
      <w:r w:rsidRPr="004200A1">
        <w:tab/>
        <w:t>52 Pa. Code § 5.72(a).</w:t>
      </w:r>
    </w:p>
    <w:p w:rsidR="00B35725" w:rsidRPr="004200A1" w:rsidRDefault="00B35725" w:rsidP="00B47D4A">
      <w:pPr>
        <w:spacing w:line="360" w:lineRule="auto"/>
        <w:ind w:firstLine="720"/>
      </w:pPr>
    </w:p>
    <w:p w:rsidR="006D12D3" w:rsidRPr="004200A1" w:rsidRDefault="006C73CB" w:rsidP="004200A1">
      <w:pPr>
        <w:spacing w:line="360" w:lineRule="auto"/>
        <w:rPr>
          <w:b/>
        </w:rPr>
      </w:pPr>
      <w:r w:rsidRPr="004200A1">
        <w:rPr>
          <w:b/>
        </w:rPr>
        <w:t>Petition of Solar Alliance</w:t>
      </w:r>
    </w:p>
    <w:p w:rsidR="006C73CB" w:rsidRPr="004200A1" w:rsidRDefault="006C73CB" w:rsidP="004200A1">
      <w:pPr>
        <w:spacing w:line="360" w:lineRule="auto"/>
      </w:pPr>
    </w:p>
    <w:p w:rsidR="00FA3C19" w:rsidRPr="004200A1" w:rsidRDefault="006D12D3" w:rsidP="00B47D4A">
      <w:pPr>
        <w:spacing w:line="360" w:lineRule="auto"/>
      </w:pPr>
      <w:r w:rsidRPr="004200A1">
        <w:tab/>
      </w:r>
      <w:r w:rsidRPr="004200A1">
        <w:tab/>
      </w:r>
      <w:r w:rsidR="00B967A8" w:rsidRPr="004200A1">
        <w:t xml:space="preserve">Solar Alliance </w:t>
      </w:r>
      <w:r w:rsidRPr="004200A1">
        <w:t xml:space="preserve">states that it </w:t>
      </w:r>
      <w:r w:rsidR="00B967A8" w:rsidRPr="004200A1">
        <w:t xml:space="preserve">is a solar industry trade association representing approximately thirty companies involved in manufacturing solar photovoltaic equipment, developing solar photovoltaic projects and conducting solar business in Pennsylvania and nationally.  It includes a list of its members.  SA Petition ¶4; Appendix A.  </w:t>
      </w:r>
      <w:r w:rsidR="00B47D4A">
        <w:t>In addition, t</w:t>
      </w:r>
      <w:r w:rsidR="00B35725" w:rsidRPr="004200A1">
        <w:t xml:space="preserve">he Solar Alliance members are potential suppliers of SRECs to PPL. </w:t>
      </w:r>
      <w:r w:rsidR="00FA3C19" w:rsidRPr="004200A1">
        <w:t xml:space="preserve">As business entities regularly involved in the creation, purchase and sale of SRECs and the solar projects that create SRECs, the Solar Alliance members are uniquely qualified to address the impact that PPL’s proposed Plan modifications will have on the solar industry.  The interest of the Solar Alliance’s members are not represented by any other participant in this proceeding, the outcome of which will be binding upon the members of the Solar Alliance, and the solar industry as a whole.  As such, the Solar Alliance and its members have a direct and substantial interest in this proceeding that cannot adequately be represented by another party.  Petition ¶7.  </w:t>
      </w:r>
    </w:p>
    <w:p w:rsidR="006D12D3" w:rsidRPr="004200A1" w:rsidRDefault="006D12D3" w:rsidP="00B47D4A">
      <w:pPr>
        <w:spacing w:line="360" w:lineRule="auto"/>
      </w:pPr>
    </w:p>
    <w:p w:rsidR="006D12D3" w:rsidRPr="004200A1" w:rsidRDefault="006D12D3" w:rsidP="004200A1">
      <w:pPr>
        <w:spacing w:line="360" w:lineRule="auto"/>
      </w:pPr>
      <w:r w:rsidRPr="004200A1">
        <w:lastRenderedPageBreak/>
        <w:tab/>
      </w:r>
      <w:r w:rsidRPr="004200A1">
        <w:tab/>
      </w:r>
      <w:r w:rsidR="00002A34" w:rsidRPr="004200A1">
        <w:t xml:space="preserve">The Commission’s test for intervention is whether the interest is “substantial, immediate and direct.”  </w:t>
      </w:r>
      <w:r w:rsidR="00002A34" w:rsidRPr="004200A1">
        <w:rPr>
          <w:i/>
        </w:rPr>
        <w:t>Re:  Equitable Gas Company</w:t>
      </w:r>
      <w:r w:rsidR="00002A34" w:rsidRPr="004200A1">
        <w:t xml:space="preserve">, 76 Pa. P.U.C. 23 (1992).  </w:t>
      </w:r>
      <w:r w:rsidRPr="004200A1">
        <w:t xml:space="preserve">In </w:t>
      </w:r>
      <w:r w:rsidRPr="004200A1">
        <w:rPr>
          <w:i/>
        </w:rPr>
        <w:t>Equitable</w:t>
      </w:r>
      <w:r w:rsidRPr="004200A1">
        <w:t>, the Commission stated that “interest” as used in that section means a substantial, immediate and direct interest.  Regarding matters before the Commission, the Commonwealth Court has defined these terms as follows:</w:t>
      </w:r>
    </w:p>
    <w:p w:rsidR="006D12D3" w:rsidRPr="004200A1" w:rsidRDefault="006D12D3" w:rsidP="004200A1"/>
    <w:p w:rsidR="006D12D3" w:rsidRPr="004200A1" w:rsidRDefault="006D12D3" w:rsidP="00B47D4A">
      <w:pPr>
        <w:ind w:left="1440" w:right="1440"/>
      </w:pPr>
      <w:r w:rsidRPr="004200A1">
        <w:tab/>
        <w:t>A “substantial” interest is an interest in the outcome of the litigation which surpasses the common interest of all citizens in procuring obedience to the law.  A “direct” interest requires a showing that the matter complained of caused harm to the party’s interest.  An “immediate” interest involves the nature of the causal connection between the action complained of and the injury to the party challenging it and is shown where the interest the party seeks to protect is within the zone of interest sought to be protected by the statute or the consti</w:t>
      </w:r>
      <w:r w:rsidR="00B47D4A">
        <w:t xml:space="preserve">tutional guarantee in question. </w:t>
      </w:r>
      <w:r w:rsidR="00746AA4" w:rsidRPr="004200A1">
        <w:rPr>
          <w:i/>
        </w:rPr>
        <w:t>George v. Pa. Publ. Util. Comm’n,</w:t>
      </w:r>
      <w:r w:rsidR="00746AA4" w:rsidRPr="004200A1">
        <w:t xml:space="preserve"> 735 A.2d 1282, 1286 (Pa.Cmwlth. Ct. 1999), </w:t>
      </w:r>
      <w:r w:rsidR="00746AA4" w:rsidRPr="004200A1">
        <w:rPr>
          <w:i/>
        </w:rPr>
        <w:t>petition for allowance of appeal denied</w:t>
      </w:r>
      <w:r w:rsidR="00746AA4" w:rsidRPr="004200A1">
        <w:t xml:space="preserve"> 563 Pa. 650, 758 A.2d 12020 (2000) (</w:t>
      </w:r>
      <w:r w:rsidRPr="004200A1">
        <w:t xml:space="preserve">quoting </w:t>
      </w:r>
      <w:r w:rsidRPr="004200A1">
        <w:rPr>
          <w:i/>
        </w:rPr>
        <w:t>Ken R. ex rel. C.R. v. Arthur Z.</w:t>
      </w:r>
      <w:r w:rsidRPr="004200A1">
        <w:t>, 682 A.2d 1267, 1270 (Pa.</w:t>
      </w:r>
      <w:r w:rsidR="00746AA4" w:rsidRPr="004200A1">
        <w:t xml:space="preserve"> 1996)).</w:t>
      </w:r>
    </w:p>
    <w:p w:rsidR="006D12D3" w:rsidRPr="004200A1" w:rsidRDefault="006D12D3" w:rsidP="004200A1">
      <w:pPr>
        <w:spacing w:line="360" w:lineRule="auto"/>
      </w:pPr>
    </w:p>
    <w:p w:rsidR="006D12D3" w:rsidRPr="004200A1" w:rsidRDefault="006D12D3" w:rsidP="004200A1">
      <w:pPr>
        <w:spacing w:line="360" w:lineRule="auto"/>
      </w:pPr>
      <w:r w:rsidRPr="004200A1">
        <w:tab/>
      </w:r>
      <w:r w:rsidRPr="004200A1">
        <w:tab/>
      </w:r>
      <w:r w:rsidR="00002A34" w:rsidRPr="004200A1">
        <w:t xml:space="preserve">For the reasons set forth in the Petition to Intervene, Solar </w:t>
      </w:r>
      <w:r w:rsidRPr="004200A1">
        <w:t xml:space="preserve">meets the requirements for allowance of intervention.  </w:t>
      </w:r>
    </w:p>
    <w:p w:rsidR="006D12D3" w:rsidRPr="004200A1" w:rsidRDefault="006D12D3" w:rsidP="004200A1">
      <w:pPr>
        <w:spacing w:line="360" w:lineRule="auto"/>
      </w:pPr>
    </w:p>
    <w:p w:rsidR="006D12D3" w:rsidRPr="004200A1" w:rsidRDefault="006D12D3" w:rsidP="004200A1">
      <w:pPr>
        <w:spacing w:line="360" w:lineRule="auto"/>
      </w:pPr>
      <w:r w:rsidRPr="004200A1">
        <w:tab/>
      </w:r>
      <w:r w:rsidRPr="004200A1">
        <w:tab/>
      </w:r>
      <w:r w:rsidR="00002A34" w:rsidRPr="004200A1">
        <w:t xml:space="preserve">However, this proceeding is two years old.  The time set for intervention has long since passed.  </w:t>
      </w:r>
      <w:r w:rsidR="00612C5D" w:rsidRPr="004200A1">
        <w:t xml:space="preserve">PPL, as an electric distribution company (EDC), </w:t>
      </w:r>
      <w:r w:rsidR="00BB1CBB" w:rsidRPr="004200A1">
        <w:t xml:space="preserve">filed the original petition to provide the terms for procuring power for satisfying the default service demands of its non-shopping customers.  Part of this original petition was a mechanism for satisfying the terms of the Alternative Energy Portfolio Standards Act (AEPS Act), which includes </w:t>
      </w:r>
      <w:r w:rsidR="00F3049F" w:rsidRPr="004200A1">
        <w:t xml:space="preserve">the procurement of </w:t>
      </w:r>
      <w:r w:rsidR="00173804">
        <w:t>SRECS</w:t>
      </w:r>
      <w:r w:rsidR="00F3049F" w:rsidRPr="004200A1">
        <w:t xml:space="preserve">.  </w:t>
      </w:r>
      <w:r w:rsidR="00002A34" w:rsidRPr="004200A1">
        <w:t xml:space="preserve">While the Solar Alliance states that the Commission has opened a new “phase” in the proceeding, </w:t>
      </w:r>
      <w:r w:rsidR="009B24BB" w:rsidRPr="004200A1">
        <w:t>it is one which could have been reasonably anticipated by the nature of the overall proceeding when the original case was filed.  Therefore, t</w:t>
      </w:r>
      <w:r w:rsidRPr="004200A1">
        <w:t xml:space="preserve">he next issue is whether </w:t>
      </w:r>
      <w:r w:rsidR="00173804">
        <w:t>Solar Alliance</w:t>
      </w:r>
      <w:r w:rsidRPr="004200A1">
        <w:t xml:space="preserve"> meets the criteria for late-filed intervention. </w:t>
      </w:r>
    </w:p>
    <w:p w:rsidR="006D12D3" w:rsidRPr="004200A1" w:rsidRDefault="006D12D3" w:rsidP="004200A1">
      <w:pPr>
        <w:spacing w:line="360" w:lineRule="auto"/>
      </w:pPr>
    </w:p>
    <w:p w:rsidR="006D12D3" w:rsidRPr="004200A1" w:rsidRDefault="006D12D3" w:rsidP="00094DA5">
      <w:pPr>
        <w:spacing w:line="360" w:lineRule="auto"/>
        <w:ind w:firstLine="1440"/>
      </w:pPr>
      <w:r w:rsidRPr="004200A1">
        <w:t>The time of the filing of a petition to intervene is governed by Commission regulations:</w:t>
      </w:r>
    </w:p>
    <w:p w:rsidR="006D12D3" w:rsidRPr="004200A1" w:rsidRDefault="006D12D3" w:rsidP="004200A1">
      <w:pPr>
        <w:spacing w:line="360" w:lineRule="auto"/>
      </w:pPr>
    </w:p>
    <w:p w:rsidR="006D12D3" w:rsidRPr="004200A1" w:rsidRDefault="006D12D3" w:rsidP="00B47D4A">
      <w:pPr>
        <w:ind w:left="1440" w:right="1440"/>
        <w:rPr>
          <w:b/>
        </w:rPr>
      </w:pPr>
      <w:r w:rsidRPr="004200A1">
        <w:rPr>
          <w:b/>
        </w:rPr>
        <w:lastRenderedPageBreak/>
        <w:t>§5.74.  Filing of petitions to intervene.</w:t>
      </w:r>
    </w:p>
    <w:p w:rsidR="006D12D3" w:rsidRPr="004200A1" w:rsidRDefault="006D12D3" w:rsidP="00B47D4A">
      <w:pPr>
        <w:ind w:left="1440" w:right="1440"/>
        <w:rPr>
          <w:b/>
        </w:rPr>
      </w:pPr>
    </w:p>
    <w:p w:rsidR="006D12D3" w:rsidRPr="004200A1" w:rsidRDefault="006D12D3" w:rsidP="00B47D4A">
      <w:pPr>
        <w:ind w:left="1440" w:right="1440"/>
      </w:pPr>
      <w:r w:rsidRPr="004200A1">
        <w:tab/>
        <w:t>(a)</w:t>
      </w:r>
      <w:r w:rsidRPr="004200A1">
        <w:tab/>
        <w:t xml:space="preserve">Petitions to intervene and notice of intervention may be filed following the filing of an application, petition, complaint or other document seeking Commission action, but no later than the date fixed for the filing of petitions to intervene in an order or notice with respect to the proceeding or, except for good cause shown, the date fixed for filing protests as published in the </w:t>
      </w:r>
      <w:r w:rsidRPr="004200A1">
        <w:rPr>
          <w:i/>
        </w:rPr>
        <w:t>Pennsylvania Bulletin.</w:t>
      </w:r>
      <w:r w:rsidRPr="004200A1">
        <w:t xml:space="preserve">  Intervention will not be permitted once an evidentiary hearing has concluded absent extraordinary circumstances.</w:t>
      </w:r>
    </w:p>
    <w:p w:rsidR="006D12D3" w:rsidRPr="004200A1" w:rsidRDefault="006D12D3" w:rsidP="001C7DAB">
      <w:pPr>
        <w:spacing w:line="360" w:lineRule="auto"/>
      </w:pPr>
    </w:p>
    <w:p w:rsidR="006D12D3" w:rsidRPr="004200A1" w:rsidRDefault="006D12D3" w:rsidP="004200A1">
      <w:pPr>
        <w:spacing w:line="360" w:lineRule="auto"/>
      </w:pPr>
      <w:r w:rsidRPr="004200A1">
        <w:tab/>
      </w:r>
      <w:r w:rsidRPr="004200A1">
        <w:tab/>
      </w:r>
      <w:r w:rsidR="00A0790C" w:rsidRPr="004200A1">
        <w:t xml:space="preserve">However, </w:t>
      </w:r>
      <w:r w:rsidR="001C7DAB">
        <w:t xml:space="preserve"> </w:t>
      </w:r>
    </w:p>
    <w:p w:rsidR="006D12D3" w:rsidRPr="004200A1" w:rsidRDefault="006D12D3" w:rsidP="001C7DAB">
      <w:pPr>
        <w:spacing w:line="360" w:lineRule="auto"/>
      </w:pPr>
    </w:p>
    <w:p w:rsidR="006D12D3" w:rsidRPr="004200A1" w:rsidRDefault="006D12D3" w:rsidP="00B47D4A">
      <w:pPr>
        <w:ind w:left="1440" w:right="1440"/>
      </w:pPr>
      <w:r w:rsidRPr="004200A1">
        <w:tab/>
        <w:t xml:space="preserve">“. . . intervention may be granted, even if late-filed, for good cause shown.  The Commission has been liberal in interpreting this ‘good cause’ requirement, particularly where the grant of intervention will not delay the orderly progress of the case, significantly broaden the issues or shift the burden of proof.  See </w:t>
      </w:r>
      <w:r w:rsidRPr="004200A1">
        <w:rPr>
          <w:i/>
        </w:rPr>
        <w:t>Application of Penn Access Corporation</w:t>
      </w:r>
      <w:r w:rsidRPr="004200A1">
        <w:t xml:space="preserve">, 1992 Pa.P.U.C. LEXIS 56; </w:t>
      </w:r>
      <w:r w:rsidRPr="004200A1">
        <w:rPr>
          <w:i/>
        </w:rPr>
        <w:t>Re Milton Transportation, Inc.</w:t>
      </w:r>
      <w:r w:rsidRPr="004200A1">
        <w:t xml:space="preserve"> 56 Pa.P.U.C. 623 (1982); </w:t>
      </w:r>
      <w:r w:rsidRPr="004200A1">
        <w:rPr>
          <w:i/>
        </w:rPr>
        <w:t>STS Motor Freight, Inc.</w:t>
      </w:r>
      <w:r w:rsidRPr="004200A1">
        <w:t xml:space="preserve"> 54 Pa.P.U.C. 343 (1980).</w:t>
      </w:r>
    </w:p>
    <w:p w:rsidR="006D12D3" w:rsidRPr="004200A1" w:rsidRDefault="006D12D3" w:rsidP="001C7DAB">
      <w:pPr>
        <w:spacing w:line="360" w:lineRule="auto"/>
      </w:pPr>
    </w:p>
    <w:p w:rsidR="00A0790C" w:rsidRPr="004200A1" w:rsidRDefault="00A0790C" w:rsidP="004200A1">
      <w:pPr>
        <w:spacing w:line="360" w:lineRule="auto"/>
        <w:rPr>
          <w:i/>
        </w:rPr>
      </w:pPr>
      <w:r w:rsidRPr="004200A1">
        <w:tab/>
      </w:r>
      <w:r w:rsidRPr="004200A1">
        <w:tab/>
      </w:r>
      <w:r w:rsidR="00A65689" w:rsidRPr="004200A1">
        <w:t xml:space="preserve">The standard for late-filing a petition for intervention is set forth in </w:t>
      </w:r>
      <w:r w:rsidR="00A65689" w:rsidRPr="004200A1">
        <w:rPr>
          <w:i/>
        </w:rPr>
        <w:t>Re Pennsylvania-American Water Company</w:t>
      </w:r>
      <w:r w:rsidR="00A65689" w:rsidRPr="004200A1">
        <w:t>, Docket No. A-212285F0096, A-230073F0004 (Order Entered May 9, 2002:</w:t>
      </w:r>
      <w:r w:rsidR="006D12D3" w:rsidRPr="004200A1">
        <w:tab/>
      </w:r>
      <w:r w:rsidR="006D12D3" w:rsidRPr="004200A1">
        <w:tab/>
      </w:r>
    </w:p>
    <w:p w:rsidR="006D12D3" w:rsidRPr="004200A1" w:rsidRDefault="006D12D3" w:rsidP="001C7DAB">
      <w:pPr>
        <w:tabs>
          <w:tab w:val="left" w:pos="1440"/>
        </w:tabs>
        <w:spacing w:line="360" w:lineRule="auto"/>
      </w:pPr>
    </w:p>
    <w:p w:rsidR="006D12D3" w:rsidRDefault="006D12D3" w:rsidP="001C7DAB">
      <w:pPr>
        <w:pStyle w:val="ListParagraph"/>
        <w:numPr>
          <w:ilvl w:val="0"/>
          <w:numId w:val="1"/>
        </w:numPr>
        <w:tabs>
          <w:tab w:val="left" w:pos="1440"/>
        </w:tabs>
        <w:ind w:right="1440"/>
      </w:pPr>
      <w:r w:rsidRPr="004200A1">
        <w:t>Did the petitioner have a reasonable excuse for missing the protest due date;</w:t>
      </w:r>
    </w:p>
    <w:p w:rsidR="001C7DAB" w:rsidRPr="004200A1" w:rsidRDefault="001C7DAB" w:rsidP="001C7DAB">
      <w:pPr>
        <w:pStyle w:val="ListParagraph"/>
        <w:tabs>
          <w:tab w:val="left" w:pos="1440"/>
        </w:tabs>
        <w:ind w:left="2160" w:right="1440"/>
      </w:pPr>
    </w:p>
    <w:p w:rsidR="006D12D3" w:rsidRPr="004200A1" w:rsidRDefault="006D12D3" w:rsidP="00173804">
      <w:pPr>
        <w:tabs>
          <w:tab w:val="left" w:pos="1440"/>
        </w:tabs>
        <w:ind w:left="2160" w:right="1440" w:hanging="720"/>
      </w:pPr>
      <w:r w:rsidRPr="004200A1">
        <w:t>2.</w:t>
      </w:r>
      <w:r w:rsidRPr="004200A1">
        <w:tab/>
        <w:t>Is the proceeding contested at the time of the filing of a petition for intervention;</w:t>
      </w:r>
    </w:p>
    <w:p w:rsidR="006D12D3" w:rsidRPr="004200A1" w:rsidRDefault="006D12D3" w:rsidP="001C7DAB">
      <w:pPr>
        <w:tabs>
          <w:tab w:val="left" w:pos="1440"/>
        </w:tabs>
        <w:ind w:left="1440" w:right="1440"/>
      </w:pPr>
    </w:p>
    <w:p w:rsidR="006D12D3" w:rsidRPr="004200A1" w:rsidRDefault="006D12D3" w:rsidP="00173804">
      <w:pPr>
        <w:tabs>
          <w:tab w:val="left" w:pos="1440"/>
        </w:tabs>
        <w:ind w:left="2160" w:right="1440" w:hanging="720"/>
      </w:pPr>
      <w:r w:rsidRPr="004200A1">
        <w:t>3.</w:t>
      </w:r>
      <w:r w:rsidRPr="004200A1">
        <w:tab/>
        <w:t>Will a grant of intervention delay the orderly progress of the case; and</w:t>
      </w:r>
    </w:p>
    <w:p w:rsidR="006D12D3" w:rsidRPr="004200A1" w:rsidRDefault="006D12D3" w:rsidP="001C7DAB">
      <w:pPr>
        <w:tabs>
          <w:tab w:val="left" w:pos="1440"/>
        </w:tabs>
        <w:ind w:left="1440" w:right="1440"/>
      </w:pPr>
    </w:p>
    <w:p w:rsidR="006D12D3" w:rsidRPr="004200A1" w:rsidRDefault="006D12D3" w:rsidP="00173804">
      <w:pPr>
        <w:tabs>
          <w:tab w:val="left" w:pos="1440"/>
        </w:tabs>
        <w:ind w:left="2160" w:right="1440" w:hanging="720"/>
      </w:pPr>
      <w:r w:rsidRPr="004200A1">
        <w:t>4.</w:t>
      </w:r>
      <w:r w:rsidRPr="004200A1">
        <w:tab/>
        <w:t>Will the grant of intervention broaden significantly the issues, or shift the burden of proof.</w:t>
      </w:r>
    </w:p>
    <w:p w:rsidR="006D12D3" w:rsidRPr="004200A1" w:rsidRDefault="006D12D3" w:rsidP="001C7DAB">
      <w:pPr>
        <w:tabs>
          <w:tab w:val="left" w:pos="1440"/>
        </w:tabs>
        <w:ind w:left="1440" w:right="1440"/>
      </w:pPr>
    </w:p>
    <w:p w:rsidR="006D12D3" w:rsidRPr="004200A1" w:rsidRDefault="006D12D3" w:rsidP="001C7DAB">
      <w:pPr>
        <w:tabs>
          <w:tab w:val="left" w:pos="1440"/>
        </w:tabs>
        <w:ind w:left="1440" w:right="1440"/>
      </w:pPr>
      <w:r w:rsidRPr="004200A1">
        <w:rPr>
          <w:i/>
        </w:rPr>
        <w:t>Id.</w:t>
      </w:r>
      <w:r w:rsidRPr="004200A1">
        <w:t xml:space="preserve"> At 6 (quoting </w:t>
      </w:r>
      <w:r w:rsidRPr="004200A1">
        <w:rPr>
          <w:i/>
        </w:rPr>
        <w:t>S.T.S. Motor Freight</w:t>
      </w:r>
      <w:r w:rsidRPr="004200A1">
        <w:t xml:space="preserve">, 54 Pa. P.U.C. 343 (1980)).  </w:t>
      </w:r>
    </w:p>
    <w:p w:rsidR="006D12D3" w:rsidRPr="004200A1" w:rsidRDefault="006D12D3" w:rsidP="001C7DAB">
      <w:pPr>
        <w:spacing w:line="360" w:lineRule="auto"/>
      </w:pPr>
    </w:p>
    <w:p w:rsidR="006D12D3" w:rsidRPr="004200A1" w:rsidRDefault="006D12D3" w:rsidP="0023070C">
      <w:pPr>
        <w:spacing w:line="360" w:lineRule="auto"/>
      </w:pPr>
      <w:r w:rsidRPr="004200A1">
        <w:lastRenderedPageBreak/>
        <w:tab/>
      </w:r>
      <w:r w:rsidRPr="004200A1">
        <w:tab/>
        <w:t xml:space="preserve">All four of the prongs must be met in order to permit late-filed intervention.  </w:t>
      </w:r>
      <w:r w:rsidRPr="004200A1">
        <w:rPr>
          <w:i/>
        </w:rPr>
        <w:t>Re Milton Transportation, Inc.</w:t>
      </w:r>
      <w:r w:rsidRPr="004200A1">
        <w:t xml:space="preserve">, 56 Pa. PUC 623 (1982).  </w:t>
      </w:r>
    </w:p>
    <w:p w:rsidR="006D12D3" w:rsidRPr="004200A1" w:rsidRDefault="006D12D3" w:rsidP="0023070C">
      <w:pPr>
        <w:spacing w:line="360" w:lineRule="auto"/>
      </w:pPr>
    </w:p>
    <w:p w:rsidR="006D12D3" w:rsidRPr="004200A1" w:rsidRDefault="006D12D3" w:rsidP="0023070C">
      <w:pPr>
        <w:tabs>
          <w:tab w:val="left" w:pos="720"/>
        </w:tabs>
        <w:spacing w:line="360" w:lineRule="auto"/>
        <w:ind w:left="1440"/>
        <w:rPr>
          <w:i/>
        </w:rPr>
      </w:pPr>
      <w:r w:rsidRPr="004200A1">
        <w:t>1.</w:t>
      </w:r>
      <w:r w:rsidRPr="004200A1">
        <w:tab/>
      </w:r>
      <w:r w:rsidRPr="004200A1">
        <w:rPr>
          <w:i/>
        </w:rPr>
        <w:t>Did the petitioner have a reasonable excuse for missing the due date?</w:t>
      </w:r>
    </w:p>
    <w:p w:rsidR="006D12D3" w:rsidRPr="004200A1" w:rsidRDefault="006D12D3" w:rsidP="0023070C">
      <w:pPr>
        <w:spacing w:line="360" w:lineRule="auto"/>
      </w:pPr>
    </w:p>
    <w:p w:rsidR="00A65689" w:rsidRPr="004200A1" w:rsidRDefault="00A65689" w:rsidP="0023070C">
      <w:pPr>
        <w:spacing w:line="360" w:lineRule="auto"/>
      </w:pPr>
      <w:r w:rsidRPr="004200A1">
        <w:tab/>
      </w:r>
      <w:r w:rsidRPr="004200A1">
        <w:tab/>
        <w:t xml:space="preserve">Solar Alliance </w:t>
      </w:r>
      <w:r w:rsidR="00B739F8" w:rsidRPr="004200A1">
        <w:t>filed its Petition to Intervene as soon as practicable after becoming aware of the forthcoming evidentiary hearing, obtaining the approval of its membership, and retaining counsel.  The Petition was filed prior to the Pre-Hearing Conference in this matter so as not to delay the conduct of the proceeding.  No party has been prejudiced by the timing of the Solar Alliance’s Petit</w:t>
      </w:r>
      <w:r w:rsidR="00C84994" w:rsidRPr="004200A1">
        <w:t xml:space="preserve">ion, and no party has objected </w:t>
      </w:r>
      <w:r w:rsidR="00B739F8" w:rsidRPr="004200A1">
        <w:t>t</w:t>
      </w:r>
      <w:r w:rsidR="00C84994" w:rsidRPr="004200A1">
        <w:t>o</w:t>
      </w:r>
      <w:r w:rsidR="00B739F8" w:rsidRPr="004200A1">
        <w:t xml:space="preserve"> the Solar Alliance’s Intervention, including PPL.  SA Suppl. </w:t>
      </w:r>
      <w:r w:rsidR="00FE327C" w:rsidRPr="004200A1">
        <w:t>a</w:t>
      </w:r>
      <w:r w:rsidR="00B739F8" w:rsidRPr="004200A1">
        <w:t xml:space="preserve">t 3.  </w:t>
      </w:r>
    </w:p>
    <w:p w:rsidR="00C84994" w:rsidRPr="004200A1" w:rsidRDefault="00C84994" w:rsidP="0023070C">
      <w:pPr>
        <w:spacing w:line="360" w:lineRule="auto"/>
      </w:pPr>
    </w:p>
    <w:p w:rsidR="00C84994" w:rsidRPr="004200A1" w:rsidRDefault="00C84994" w:rsidP="0023070C">
      <w:pPr>
        <w:spacing w:line="360" w:lineRule="auto"/>
      </w:pPr>
      <w:r w:rsidRPr="004200A1">
        <w:tab/>
      </w:r>
      <w:r w:rsidRPr="004200A1">
        <w:tab/>
      </w:r>
      <w:r w:rsidR="007F6A89" w:rsidRPr="004200A1">
        <w:t>T</w:t>
      </w:r>
      <w:r w:rsidR="00FE327C" w:rsidRPr="004200A1">
        <w:t xml:space="preserve">he Solar Alliance was not interested in the proceeding until PPL filed its May Petition, and the Petition to Intervene was filed prior to the prehearing conference.  </w:t>
      </w:r>
      <w:r w:rsidR="007F6A89" w:rsidRPr="004200A1">
        <w:t xml:space="preserve">While this would usually be rejected as a reason for late filing, in this instance the subject matter of the original petition and the May petition were sufficiently different to support late-filed intervention.  However, </w:t>
      </w:r>
      <w:r w:rsidR="00014295" w:rsidRPr="004200A1">
        <w:t xml:space="preserve">any filings beyond the prehearing conference would not be justified.  </w:t>
      </w:r>
    </w:p>
    <w:p w:rsidR="00C84994" w:rsidRPr="004200A1" w:rsidRDefault="00C84994" w:rsidP="0023070C">
      <w:pPr>
        <w:spacing w:line="360" w:lineRule="auto"/>
      </w:pPr>
    </w:p>
    <w:p w:rsidR="006D12D3" w:rsidRPr="004200A1" w:rsidRDefault="006D12D3" w:rsidP="0023070C">
      <w:pPr>
        <w:tabs>
          <w:tab w:val="left" w:pos="720"/>
        </w:tabs>
        <w:spacing w:line="360" w:lineRule="auto"/>
        <w:ind w:firstLine="1440"/>
        <w:rPr>
          <w:i/>
        </w:rPr>
      </w:pPr>
      <w:r w:rsidRPr="004200A1">
        <w:t>2.</w:t>
      </w:r>
      <w:r w:rsidRPr="004200A1">
        <w:rPr>
          <w:i/>
        </w:rPr>
        <w:tab/>
        <w:t>Is the proceeding contested at the time of the filing of a petition for intervention?</w:t>
      </w:r>
    </w:p>
    <w:p w:rsidR="006D12D3" w:rsidRPr="004200A1" w:rsidRDefault="006D12D3" w:rsidP="0023070C">
      <w:pPr>
        <w:tabs>
          <w:tab w:val="left" w:pos="1440"/>
        </w:tabs>
        <w:spacing w:line="360" w:lineRule="auto"/>
      </w:pPr>
    </w:p>
    <w:p w:rsidR="006D12D3" w:rsidRPr="004200A1" w:rsidRDefault="006D12D3" w:rsidP="0023070C">
      <w:pPr>
        <w:tabs>
          <w:tab w:val="left" w:pos="0"/>
        </w:tabs>
        <w:spacing w:line="360" w:lineRule="auto"/>
      </w:pPr>
      <w:r w:rsidRPr="004200A1">
        <w:tab/>
      </w:r>
      <w:r w:rsidRPr="004200A1">
        <w:tab/>
      </w:r>
      <w:r w:rsidR="008E6C46" w:rsidRPr="004200A1">
        <w:t>Solar Alliance’s participation in the procee</w:t>
      </w:r>
      <w:r w:rsidR="006335B8" w:rsidRPr="004200A1">
        <w:t xml:space="preserve">ding will not affect </w:t>
      </w:r>
      <w:r w:rsidR="008E6C46" w:rsidRPr="004200A1">
        <w:t>t</w:t>
      </w:r>
      <w:r w:rsidR="006335B8" w:rsidRPr="004200A1">
        <w:t>he</w:t>
      </w:r>
      <w:r w:rsidR="008E6C46" w:rsidRPr="004200A1">
        <w:t xml:space="preserve"> nature</w:t>
      </w:r>
      <w:r w:rsidR="006335B8" w:rsidRPr="004200A1">
        <w:t xml:space="preserve"> of the proceeding</w:t>
      </w:r>
      <w:r w:rsidR="008E6C46" w:rsidRPr="004200A1">
        <w:t>.</w:t>
      </w:r>
    </w:p>
    <w:p w:rsidR="006D12D3" w:rsidRPr="004200A1" w:rsidRDefault="006D12D3" w:rsidP="0023070C">
      <w:pPr>
        <w:spacing w:line="360" w:lineRule="auto"/>
      </w:pPr>
    </w:p>
    <w:p w:rsidR="006D12D3" w:rsidRPr="004200A1" w:rsidRDefault="006D12D3" w:rsidP="0023070C">
      <w:pPr>
        <w:tabs>
          <w:tab w:val="left" w:pos="1440"/>
        </w:tabs>
        <w:spacing w:line="360" w:lineRule="auto"/>
        <w:ind w:firstLine="1440"/>
      </w:pPr>
      <w:r w:rsidRPr="004200A1">
        <w:t>3.</w:t>
      </w:r>
      <w:r w:rsidRPr="004200A1">
        <w:tab/>
      </w:r>
      <w:r w:rsidRPr="004200A1">
        <w:rPr>
          <w:i/>
        </w:rPr>
        <w:t>Will a grant of intervention delay the orderly progress of the case?</w:t>
      </w:r>
    </w:p>
    <w:p w:rsidR="006D12D3" w:rsidRPr="004200A1" w:rsidRDefault="006D12D3" w:rsidP="0023070C">
      <w:pPr>
        <w:spacing w:line="360" w:lineRule="auto"/>
      </w:pPr>
    </w:p>
    <w:p w:rsidR="006D12D3" w:rsidRPr="004200A1" w:rsidRDefault="006D12D3" w:rsidP="0023070C">
      <w:pPr>
        <w:spacing w:line="360" w:lineRule="auto"/>
      </w:pPr>
      <w:r w:rsidRPr="004200A1">
        <w:tab/>
      </w:r>
      <w:r w:rsidRPr="004200A1">
        <w:tab/>
        <w:t xml:space="preserve">The introduction of another party at this point </w:t>
      </w:r>
      <w:r w:rsidR="006335B8" w:rsidRPr="004200A1">
        <w:t>will not affect the schedule or litigation itself.</w:t>
      </w:r>
    </w:p>
    <w:p w:rsidR="006D12D3" w:rsidRPr="004200A1" w:rsidRDefault="006D12D3" w:rsidP="0023070C">
      <w:pPr>
        <w:spacing w:line="360" w:lineRule="auto"/>
      </w:pPr>
    </w:p>
    <w:p w:rsidR="0023070C" w:rsidRDefault="006D12D3" w:rsidP="0023070C">
      <w:pPr>
        <w:tabs>
          <w:tab w:val="left" w:pos="1440"/>
        </w:tabs>
        <w:spacing w:line="360" w:lineRule="auto"/>
        <w:ind w:firstLine="1440"/>
        <w:rPr>
          <w:i/>
        </w:rPr>
      </w:pPr>
      <w:r w:rsidRPr="004200A1">
        <w:t>4.</w:t>
      </w:r>
      <w:r w:rsidRPr="004200A1">
        <w:tab/>
      </w:r>
      <w:r w:rsidRPr="004200A1">
        <w:rPr>
          <w:i/>
        </w:rPr>
        <w:t>Will the grant of intervention broaden significantly the issues, or shift the burden of proof?</w:t>
      </w:r>
      <w:r w:rsidR="0023070C">
        <w:rPr>
          <w:i/>
        </w:rPr>
        <w:br w:type="page"/>
      </w:r>
    </w:p>
    <w:p w:rsidR="006335B8" w:rsidRPr="004200A1" w:rsidRDefault="006D12D3" w:rsidP="0023070C">
      <w:pPr>
        <w:spacing w:line="360" w:lineRule="auto"/>
      </w:pPr>
      <w:r w:rsidRPr="004200A1">
        <w:lastRenderedPageBreak/>
        <w:tab/>
      </w:r>
      <w:r w:rsidRPr="004200A1">
        <w:tab/>
      </w:r>
      <w:r w:rsidR="006335B8" w:rsidRPr="004200A1">
        <w:t xml:space="preserve">Solar Alliance’s intervention will not shift the burden of proof, and as the issues are still being developed, it is unclear whether the issues will be significantly broadened.  </w:t>
      </w:r>
    </w:p>
    <w:p w:rsidR="00F3049F" w:rsidRPr="004200A1" w:rsidRDefault="00F3049F" w:rsidP="0023070C">
      <w:pPr>
        <w:spacing w:line="360" w:lineRule="auto"/>
      </w:pPr>
    </w:p>
    <w:p w:rsidR="00F3049F" w:rsidRPr="004200A1" w:rsidRDefault="00F3049F" w:rsidP="0023070C">
      <w:pPr>
        <w:spacing w:line="360" w:lineRule="auto"/>
      </w:pPr>
      <w:r w:rsidRPr="004200A1">
        <w:tab/>
      </w:r>
      <w:r w:rsidRPr="004200A1">
        <w:tab/>
        <w:t>Accordingly, with no objection from any party, the Petition to Intervene of the Solar Alliance is granted.</w:t>
      </w:r>
    </w:p>
    <w:p w:rsidR="00014295" w:rsidRPr="004200A1" w:rsidRDefault="00014295" w:rsidP="0023070C">
      <w:pPr>
        <w:spacing w:line="360" w:lineRule="auto"/>
        <w:jc w:val="center"/>
      </w:pPr>
    </w:p>
    <w:p w:rsidR="00F3049F" w:rsidRPr="004200A1" w:rsidRDefault="00F3049F" w:rsidP="0023070C">
      <w:pPr>
        <w:spacing w:line="360" w:lineRule="auto"/>
        <w:rPr>
          <w:b/>
        </w:rPr>
      </w:pPr>
      <w:r w:rsidRPr="004200A1">
        <w:rPr>
          <w:b/>
        </w:rPr>
        <w:t>Exelon Generation Company, LLC</w:t>
      </w:r>
    </w:p>
    <w:p w:rsidR="00F3049F" w:rsidRPr="004200A1" w:rsidRDefault="00F3049F" w:rsidP="0023070C">
      <w:pPr>
        <w:spacing w:line="360" w:lineRule="auto"/>
      </w:pPr>
    </w:p>
    <w:p w:rsidR="00F3049F" w:rsidRPr="004200A1" w:rsidRDefault="00F3049F" w:rsidP="0023070C">
      <w:pPr>
        <w:spacing w:line="360" w:lineRule="auto"/>
      </w:pPr>
      <w:r w:rsidRPr="004200A1">
        <w:tab/>
      </w:r>
      <w:r w:rsidRPr="004200A1">
        <w:tab/>
        <w:t>On August 2, 2010, Exelon Generation Company, LLC (Exelon) filed a Petition to Intervene</w:t>
      </w:r>
      <w:r w:rsidR="008A646B" w:rsidRPr="004200A1">
        <w:t xml:space="preserve"> claiming that it has a direct and substantial interest in this proceeding that cannot adequately be represented by another party.  Exelon “submits . . . that its intervention in this case satisfies the requirements of 52 Pa. Code § 5.72(a) and that its participation in this proceeding is otherwise in the public interest.”  Petition of Exelon ¶ 6.</w:t>
      </w:r>
    </w:p>
    <w:p w:rsidR="008A646B" w:rsidRPr="004200A1" w:rsidRDefault="008A646B" w:rsidP="0023070C">
      <w:pPr>
        <w:spacing w:line="360" w:lineRule="auto"/>
      </w:pPr>
    </w:p>
    <w:p w:rsidR="008A646B" w:rsidRPr="004200A1" w:rsidRDefault="008A646B" w:rsidP="0023070C">
      <w:pPr>
        <w:spacing w:line="360" w:lineRule="auto"/>
      </w:pPr>
      <w:r w:rsidRPr="004200A1">
        <w:tab/>
      </w:r>
      <w:r w:rsidRPr="004200A1">
        <w:tab/>
        <w:t>However, Exelon was not represented at the preh</w:t>
      </w:r>
      <w:r w:rsidR="00D13F15">
        <w:t>earing conference of August 18, </w:t>
      </w:r>
      <w:r w:rsidRPr="004200A1">
        <w:t xml:space="preserve">2010, and has offered no support for </w:t>
      </w:r>
      <w:r w:rsidR="00014295" w:rsidRPr="004200A1">
        <w:t xml:space="preserve">either its absence or its </w:t>
      </w:r>
      <w:r w:rsidRPr="004200A1">
        <w:t xml:space="preserve">late-filed intervention.  </w:t>
      </w:r>
      <w:r w:rsidR="00F234E1" w:rsidRPr="004200A1">
        <w:t xml:space="preserve">A petition to intervene that does not set forth good cause explaining why it was late-filed is properly dismissed.  </w:t>
      </w:r>
      <w:r w:rsidR="00F234E1" w:rsidRPr="004200A1">
        <w:rPr>
          <w:i/>
        </w:rPr>
        <w:t>Re Mercer Gas Company</w:t>
      </w:r>
      <w:r w:rsidR="00F234E1" w:rsidRPr="004200A1">
        <w:t xml:space="preserve">, 71 Pa. PUC 19 (1989).  </w:t>
      </w:r>
      <w:r w:rsidRPr="004200A1">
        <w:t xml:space="preserve">Accordingly, this Petition to Intervene is denied.  </w:t>
      </w:r>
    </w:p>
    <w:p w:rsidR="00F234E1" w:rsidRPr="004200A1" w:rsidRDefault="00F234E1" w:rsidP="0023070C">
      <w:pPr>
        <w:spacing w:line="360" w:lineRule="auto"/>
        <w:jc w:val="center"/>
      </w:pPr>
    </w:p>
    <w:p w:rsidR="006D12D3" w:rsidRPr="004200A1" w:rsidRDefault="006D12D3" w:rsidP="0023070C">
      <w:pPr>
        <w:spacing w:line="360" w:lineRule="auto"/>
        <w:jc w:val="center"/>
        <w:rPr>
          <w:u w:val="single"/>
        </w:rPr>
      </w:pPr>
      <w:r w:rsidRPr="004200A1">
        <w:rPr>
          <w:u w:val="single"/>
        </w:rPr>
        <w:t>CONCLUSIONS OF LAW</w:t>
      </w:r>
    </w:p>
    <w:p w:rsidR="006D12D3" w:rsidRPr="004200A1" w:rsidRDefault="006D12D3" w:rsidP="0023070C">
      <w:pPr>
        <w:spacing w:line="360" w:lineRule="auto"/>
        <w:jc w:val="center"/>
        <w:rPr>
          <w:u w:val="single"/>
        </w:rPr>
      </w:pPr>
    </w:p>
    <w:p w:rsidR="006D12D3" w:rsidRPr="004200A1" w:rsidRDefault="006D12D3" w:rsidP="0023070C">
      <w:pPr>
        <w:spacing w:line="360" w:lineRule="auto"/>
      </w:pPr>
      <w:r w:rsidRPr="004200A1">
        <w:tab/>
      </w:r>
      <w:r w:rsidRPr="004200A1">
        <w:tab/>
        <w:t>1.</w:t>
      </w:r>
      <w:r w:rsidRPr="004200A1">
        <w:tab/>
        <w:t>The Commission has jurisdiction over the subject matter and the parties in this case.</w:t>
      </w:r>
    </w:p>
    <w:p w:rsidR="006D12D3" w:rsidRPr="004200A1" w:rsidRDefault="006D12D3" w:rsidP="0023070C">
      <w:pPr>
        <w:spacing w:line="360" w:lineRule="auto"/>
      </w:pPr>
    </w:p>
    <w:p w:rsidR="006D12D3" w:rsidRPr="004200A1" w:rsidRDefault="006D12D3" w:rsidP="0023070C">
      <w:pPr>
        <w:spacing w:line="360" w:lineRule="auto"/>
      </w:pPr>
      <w:r w:rsidRPr="004200A1">
        <w:tab/>
      </w:r>
      <w:r w:rsidRPr="004200A1">
        <w:tab/>
        <w:t>2.</w:t>
      </w:r>
      <w:r w:rsidRPr="004200A1">
        <w:tab/>
        <w:t xml:space="preserve">Allowance of intervention is a matter within the discretion of the Commission.  </w:t>
      </w:r>
      <w:r w:rsidRPr="004200A1">
        <w:rPr>
          <w:i/>
        </w:rPr>
        <w:t>City of Pittsburgh v. Pa. Publ. Util. Comm’n</w:t>
      </w:r>
      <w:r w:rsidRPr="004200A1">
        <w:t xml:space="preserve">, 153 Pa. Super. 83, 33 A.2d 641 (1943), </w:t>
      </w:r>
      <w:r w:rsidRPr="004200A1">
        <w:rPr>
          <w:i/>
        </w:rPr>
        <w:t xml:space="preserve">NAACP, Inc. v. Pa. Publ. Util. </w:t>
      </w:r>
      <w:r w:rsidRPr="004200A1">
        <w:t>Comm’n, 290 A.2d 704 (Pa.Cmwlth. Ct. 1972).</w:t>
      </w:r>
    </w:p>
    <w:p w:rsidR="006D12D3" w:rsidRPr="004200A1" w:rsidRDefault="006D12D3" w:rsidP="004200A1">
      <w:pPr>
        <w:spacing w:line="360" w:lineRule="auto"/>
      </w:pPr>
    </w:p>
    <w:p w:rsidR="006D12D3" w:rsidRPr="004200A1" w:rsidRDefault="006D12D3" w:rsidP="00D13F15">
      <w:pPr>
        <w:spacing w:line="360" w:lineRule="auto"/>
      </w:pPr>
      <w:r w:rsidRPr="004200A1">
        <w:lastRenderedPageBreak/>
        <w:tab/>
      </w:r>
      <w:r w:rsidRPr="004200A1">
        <w:tab/>
        <w:t>3.</w:t>
      </w:r>
      <w:r w:rsidRPr="004200A1">
        <w:tab/>
        <w:t xml:space="preserve">Petitions to intervene filed after the date fixed for filing protests as published in the Pennsylvania Bulletin are granted upon good cause shown.  52 Pa. Code </w:t>
      </w:r>
      <w:r w:rsidR="00D13F15">
        <w:t>§ </w:t>
      </w:r>
      <w:r w:rsidRPr="004200A1">
        <w:t>5.74(a).</w:t>
      </w:r>
    </w:p>
    <w:p w:rsidR="006D12D3" w:rsidRPr="004200A1" w:rsidRDefault="006D12D3" w:rsidP="00D13F15">
      <w:pPr>
        <w:spacing w:line="360" w:lineRule="auto"/>
      </w:pPr>
    </w:p>
    <w:p w:rsidR="006D12D3" w:rsidRPr="004200A1" w:rsidRDefault="006D12D3" w:rsidP="00D13F15">
      <w:pPr>
        <w:spacing w:line="360" w:lineRule="auto"/>
      </w:pPr>
      <w:r w:rsidRPr="004200A1">
        <w:tab/>
      </w:r>
      <w:r w:rsidRPr="004200A1">
        <w:tab/>
        <w:t>4.</w:t>
      </w:r>
      <w:r w:rsidRPr="004200A1">
        <w:tab/>
        <w:t xml:space="preserve">Commission standards for granting a late-filed petition to intervene are developed in </w:t>
      </w:r>
      <w:r w:rsidRPr="004200A1">
        <w:rPr>
          <w:i/>
        </w:rPr>
        <w:t>Re S.T.S. Motor Freight, Inc.</w:t>
      </w:r>
      <w:r w:rsidRPr="004200A1">
        <w:t xml:space="preserve">, 54 Pa. PUC 343 (1980), </w:t>
      </w:r>
      <w:r w:rsidRPr="004200A1">
        <w:rPr>
          <w:i/>
        </w:rPr>
        <w:t>Application of Douglasville Water Co.</w:t>
      </w:r>
      <w:r w:rsidRPr="004200A1">
        <w:t>, 1990 Pa. PUC LEXIS 58.</w:t>
      </w:r>
    </w:p>
    <w:p w:rsidR="006D12D3" w:rsidRPr="004200A1" w:rsidRDefault="006D12D3" w:rsidP="00D13F15">
      <w:pPr>
        <w:spacing w:line="360" w:lineRule="auto"/>
      </w:pPr>
    </w:p>
    <w:p w:rsidR="006D12D3" w:rsidRPr="004200A1" w:rsidRDefault="006D12D3" w:rsidP="00D13F15">
      <w:pPr>
        <w:spacing w:line="360" w:lineRule="auto"/>
      </w:pPr>
      <w:r w:rsidRPr="004200A1">
        <w:tab/>
      </w:r>
      <w:r w:rsidRPr="004200A1">
        <w:tab/>
        <w:t>5.</w:t>
      </w:r>
      <w:r w:rsidRPr="004200A1">
        <w:tab/>
        <w:t xml:space="preserve">A petition to intervene that does not set forth good cause explaining why it was late-filed is properly dismissed.  </w:t>
      </w:r>
      <w:r w:rsidRPr="004200A1">
        <w:rPr>
          <w:i/>
        </w:rPr>
        <w:t>Re Mercer Gas Company</w:t>
      </w:r>
      <w:r w:rsidRPr="004200A1">
        <w:t>, 71 Pa. PUC 19 (1989).</w:t>
      </w:r>
    </w:p>
    <w:p w:rsidR="006D12D3" w:rsidRPr="004200A1" w:rsidRDefault="006D12D3" w:rsidP="00D13F15">
      <w:pPr>
        <w:spacing w:line="360" w:lineRule="auto"/>
      </w:pPr>
    </w:p>
    <w:p w:rsidR="006D12D3" w:rsidRPr="004200A1" w:rsidRDefault="006D12D3" w:rsidP="00D13F15">
      <w:pPr>
        <w:spacing w:line="360" w:lineRule="auto"/>
      </w:pPr>
      <w:r w:rsidRPr="004200A1">
        <w:tab/>
      </w:r>
      <w:r w:rsidRPr="004200A1">
        <w:tab/>
        <w:t>6.</w:t>
      </w:r>
      <w:r w:rsidRPr="004200A1">
        <w:tab/>
        <w:t xml:space="preserve">All four prongs of the test must be met before late intervention will be permitted.  </w:t>
      </w:r>
      <w:r w:rsidRPr="004200A1">
        <w:rPr>
          <w:i/>
        </w:rPr>
        <w:t>Re Milton Transportation, Inc.,</w:t>
      </w:r>
      <w:r w:rsidRPr="004200A1">
        <w:t xml:space="preserve"> 56 Pa PUC 623 (1982); </w:t>
      </w:r>
      <w:r w:rsidRPr="004200A1">
        <w:rPr>
          <w:i/>
        </w:rPr>
        <w:t>Application of Touch of Class Limo, Inc.,</w:t>
      </w:r>
      <w:r w:rsidRPr="004200A1">
        <w:t xml:space="preserve"> 1995 Pa PUC LEXIS 62.</w:t>
      </w:r>
    </w:p>
    <w:p w:rsidR="006D12D3" w:rsidRPr="004200A1" w:rsidRDefault="006D12D3" w:rsidP="00D13F15">
      <w:pPr>
        <w:spacing w:line="360" w:lineRule="auto"/>
      </w:pPr>
    </w:p>
    <w:p w:rsidR="00F234E1" w:rsidRPr="00D13F15" w:rsidRDefault="00F234E1" w:rsidP="00D13F15">
      <w:pPr>
        <w:spacing w:line="360" w:lineRule="auto"/>
        <w:jc w:val="center"/>
        <w:rPr>
          <w:b/>
          <w:u w:val="single"/>
        </w:rPr>
      </w:pPr>
      <w:r w:rsidRPr="00D13F15">
        <w:rPr>
          <w:b/>
          <w:u w:val="single"/>
        </w:rPr>
        <w:t>ORDER</w:t>
      </w:r>
    </w:p>
    <w:p w:rsidR="00F234E1" w:rsidRDefault="00F234E1" w:rsidP="00D13F15">
      <w:pPr>
        <w:spacing w:line="360" w:lineRule="auto"/>
        <w:jc w:val="center"/>
        <w:rPr>
          <w:b/>
        </w:rPr>
      </w:pPr>
    </w:p>
    <w:p w:rsidR="00D13F15" w:rsidRPr="004200A1" w:rsidRDefault="00D13F15" w:rsidP="00D13F15">
      <w:pPr>
        <w:spacing w:line="360" w:lineRule="auto"/>
        <w:jc w:val="center"/>
        <w:rPr>
          <w:b/>
        </w:rPr>
      </w:pPr>
    </w:p>
    <w:p w:rsidR="006D3303" w:rsidRPr="004200A1" w:rsidRDefault="006D12D3" w:rsidP="00D13F15">
      <w:pPr>
        <w:spacing w:line="360" w:lineRule="auto"/>
      </w:pPr>
      <w:r w:rsidRPr="004200A1">
        <w:tab/>
      </w:r>
      <w:r w:rsidRPr="004200A1">
        <w:tab/>
      </w:r>
      <w:r w:rsidR="006D3303" w:rsidRPr="004200A1">
        <w:t>THEREFORE,</w:t>
      </w:r>
    </w:p>
    <w:p w:rsidR="006D3303" w:rsidRPr="004200A1" w:rsidRDefault="006D3303" w:rsidP="00D13F15">
      <w:pPr>
        <w:spacing w:line="360" w:lineRule="auto"/>
      </w:pPr>
    </w:p>
    <w:p w:rsidR="006D3303" w:rsidRPr="004200A1" w:rsidRDefault="006D3303" w:rsidP="00D13F15">
      <w:pPr>
        <w:spacing w:line="360" w:lineRule="auto"/>
      </w:pPr>
      <w:r w:rsidRPr="004200A1">
        <w:tab/>
      </w:r>
      <w:r w:rsidRPr="004200A1">
        <w:tab/>
        <w:t>IT IS ORDERED:</w:t>
      </w:r>
    </w:p>
    <w:p w:rsidR="006D3303" w:rsidRPr="004200A1" w:rsidRDefault="006D3303" w:rsidP="00D13F15">
      <w:pPr>
        <w:spacing w:line="360" w:lineRule="auto"/>
      </w:pPr>
    </w:p>
    <w:p w:rsidR="006D3303" w:rsidRPr="004200A1" w:rsidRDefault="006D3303" w:rsidP="00D13F15">
      <w:pPr>
        <w:spacing w:line="360" w:lineRule="auto"/>
      </w:pPr>
      <w:r w:rsidRPr="004200A1">
        <w:tab/>
      </w:r>
      <w:r w:rsidRPr="004200A1">
        <w:tab/>
        <w:t>1.</w:t>
      </w:r>
      <w:r w:rsidRPr="004200A1">
        <w:tab/>
        <w:t xml:space="preserve">That the </w:t>
      </w:r>
      <w:r w:rsidR="00F234E1" w:rsidRPr="004200A1">
        <w:t>Petition to Intervene of the Solar Alliance is granted without objection.</w:t>
      </w:r>
    </w:p>
    <w:p w:rsidR="00F234E1" w:rsidRPr="004200A1" w:rsidRDefault="00F234E1" w:rsidP="00D13F15">
      <w:pPr>
        <w:spacing w:line="360" w:lineRule="auto"/>
      </w:pPr>
    </w:p>
    <w:p w:rsidR="00F234E1" w:rsidRPr="004200A1" w:rsidRDefault="00F234E1" w:rsidP="00D13F15">
      <w:pPr>
        <w:spacing w:line="360" w:lineRule="auto"/>
      </w:pPr>
      <w:r w:rsidRPr="004200A1">
        <w:tab/>
      </w:r>
      <w:r w:rsidRPr="004200A1">
        <w:tab/>
        <w:t>2.</w:t>
      </w:r>
      <w:r w:rsidRPr="004200A1">
        <w:tab/>
        <w:t xml:space="preserve">That the Petition to Intervene of Exelon Generation Company, LLC, is denied for failure to </w:t>
      </w:r>
      <w:r w:rsidR="001144A4" w:rsidRPr="004200A1">
        <w:t>provide good cause explaining why it was late-filed.</w:t>
      </w:r>
    </w:p>
    <w:p w:rsidR="00D13F15" w:rsidRDefault="00D13F15" w:rsidP="00D13F15">
      <w:pPr>
        <w:spacing w:line="360" w:lineRule="auto"/>
      </w:pPr>
    </w:p>
    <w:p w:rsidR="00D13F15" w:rsidRDefault="00D13F15" w:rsidP="0023070C">
      <w:pPr>
        <w:spacing w:line="360" w:lineRule="auto"/>
      </w:pPr>
    </w:p>
    <w:p w:rsidR="006D3303" w:rsidRPr="004200A1" w:rsidRDefault="006D3303" w:rsidP="004200A1">
      <w:r w:rsidRPr="004200A1">
        <w:t xml:space="preserve">Dated:  </w:t>
      </w:r>
      <w:r w:rsidRPr="004200A1">
        <w:rPr>
          <w:u w:val="single"/>
        </w:rPr>
        <w:t xml:space="preserve">August </w:t>
      </w:r>
      <w:r w:rsidR="00173804">
        <w:rPr>
          <w:u w:val="single"/>
        </w:rPr>
        <w:t>30</w:t>
      </w:r>
      <w:r w:rsidRPr="004200A1">
        <w:rPr>
          <w:u w:val="single"/>
        </w:rPr>
        <w:t>, 2010</w:t>
      </w:r>
      <w:r w:rsidRPr="004200A1">
        <w:tab/>
      </w:r>
      <w:r w:rsidRPr="004200A1">
        <w:tab/>
      </w:r>
      <w:r w:rsidRPr="004200A1">
        <w:tab/>
        <w:t>_______________________________</w:t>
      </w:r>
    </w:p>
    <w:p w:rsidR="006D3303" w:rsidRPr="004200A1" w:rsidRDefault="006D3303" w:rsidP="004200A1">
      <w:r w:rsidRPr="004200A1">
        <w:tab/>
      </w:r>
      <w:r w:rsidRPr="004200A1">
        <w:tab/>
      </w:r>
      <w:r w:rsidRPr="004200A1">
        <w:tab/>
      </w:r>
      <w:r w:rsidRPr="004200A1">
        <w:tab/>
      </w:r>
      <w:r w:rsidRPr="004200A1">
        <w:tab/>
      </w:r>
      <w:r w:rsidRPr="004200A1">
        <w:tab/>
        <w:t>Susan D. Colwell</w:t>
      </w:r>
    </w:p>
    <w:p w:rsidR="00C04960" w:rsidRPr="004200A1" w:rsidRDefault="006D3303" w:rsidP="004200A1">
      <w:r w:rsidRPr="004200A1">
        <w:tab/>
      </w:r>
      <w:r w:rsidRPr="004200A1">
        <w:tab/>
      </w:r>
      <w:r w:rsidRPr="004200A1">
        <w:tab/>
      </w:r>
      <w:r w:rsidRPr="004200A1">
        <w:tab/>
      </w:r>
      <w:r w:rsidRPr="004200A1">
        <w:tab/>
      </w:r>
      <w:r w:rsidRPr="004200A1">
        <w:tab/>
        <w:t>Administrative Law Judge</w:t>
      </w:r>
    </w:p>
    <w:sectPr w:rsidR="00C04960" w:rsidRPr="004200A1" w:rsidSect="00746AA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C03" w:rsidRDefault="005F6C03" w:rsidP="006D12D3">
      <w:r>
        <w:separator/>
      </w:r>
    </w:p>
  </w:endnote>
  <w:endnote w:type="continuationSeparator" w:id="0">
    <w:p w:rsidR="005F6C03" w:rsidRDefault="005F6C03" w:rsidP="006D1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62735"/>
      <w:docPartObj>
        <w:docPartGallery w:val="Page Numbers (Bottom of Page)"/>
        <w:docPartUnique/>
      </w:docPartObj>
    </w:sdtPr>
    <w:sdtEndPr>
      <w:rPr>
        <w:sz w:val="20"/>
        <w:szCs w:val="20"/>
      </w:rPr>
    </w:sdtEndPr>
    <w:sdtContent>
      <w:p w:rsidR="00746AA4" w:rsidRPr="00094DA5" w:rsidRDefault="00AE6E54">
        <w:pPr>
          <w:pStyle w:val="Footer"/>
          <w:jc w:val="center"/>
          <w:rPr>
            <w:sz w:val="20"/>
            <w:szCs w:val="20"/>
          </w:rPr>
        </w:pPr>
        <w:r w:rsidRPr="00094DA5">
          <w:rPr>
            <w:sz w:val="20"/>
            <w:szCs w:val="20"/>
          </w:rPr>
          <w:fldChar w:fldCharType="begin"/>
        </w:r>
        <w:r w:rsidR="00897957" w:rsidRPr="00094DA5">
          <w:rPr>
            <w:sz w:val="20"/>
            <w:szCs w:val="20"/>
          </w:rPr>
          <w:instrText xml:space="preserve"> PAGE   \* MERGEFORMAT </w:instrText>
        </w:r>
        <w:r w:rsidRPr="00094DA5">
          <w:rPr>
            <w:sz w:val="20"/>
            <w:szCs w:val="20"/>
          </w:rPr>
          <w:fldChar w:fldCharType="separate"/>
        </w:r>
        <w:r w:rsidR="00CC22F6">
          <w:rPr>
            <w:noProof/>
            <w:sz w:val="20"/>
            <w:szCs w:val="20"/>
          </w:rPr>
          <w:t>6</w:t>
        </w:r>
        <w:r w:rsidRPr="00094DA5">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C03" w:rsidRDefault="005F6C03" w:rsidP="006D12D3">
      <w:r>
        <w:separator/>
      </w:r>
    </w:p>
  </w:footnote>
  <w:footnote w:type="continuationSeparator" w:id="0">
    <w:p w:rsidR="005F6C03" w:rsidRDefault="005F6C03" w:rsidP="006D1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764BD"/>
    <w:multiLevelType w:val="hybridMultilevel"/>
    <w:tmpl w:val="A8A41682"/>
    <w:lvl w:ilvl="0" w:tplc="A490A5E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D3303"/>
    <w:rsid w:val="00001E3A"/>
    <w:rsid w:val="00001EF6"/>
    <w:rsid w:val="00002A34"/>
    <w:rsid w:val="00003D11"/>
    <w:rsid w:val="00005558"/>
    <w:rsid w:val="000079FE"/>
    <w:rsid w:val="00012104"/>
    <w:rsid w:val="0001305A"/>
    <w:rsid w:val="00014295"/>
    <w:rsid w:val="00016E55"/>
    <w:rsid w:val="0002105C"/>
    <w:rsid w:val="00025D7A"/>
    <w:rsid w:val="00032379"/>
    <w:rsid w:val="00033303"/>
    <w:rsid w:val="00035BB8"/>
    <w:rsid w:val="00040EB6"/>
    <w:rsid w:val="00044B8B"/>
    <w:rsid w:val="00044FC0"/>
    <w:rsid w:val="000541C0"/>
    <w:rsid w:val="00055CC5"/>
    <w:rsid w:val="000576ED"/>
    <w:rsid w:val="000605B6"/>
    <w:rsid w:val="00061278"/>
    <w:rsid w:val="000634EB"/>
    <w:rsid w:val="00063801"/>
    <w:rsid w:val="00067CBC"/>
    <w:rsid w:val="00072595"/>
    <w:rsid w:val="00072D46"/>
    <w:rsid w:val="00073BE1"/>
    <w:rsid w:val="00074065"/>
    <w:rsid w:val="00076092"/>
    <w:rsid w:val="00082363"/>
    <w:rsid w:val="000902E3"/>
    <w:rsid w:val="00091F08"/>
    <w:rsid w:val="0009220F"/>
    <w:rsid w:val="00092B4E"/>
    <w:rsid w:val="00092E44"/>
    <w:rsid w:val="0009318F"/>
    <w:rsid w:val="000931F7"/>
    <w:rsid w:val="00093562"/>
    <w:rsid w:val="00094DA5"/>
    <w:rsid w:val="00097D77"/>
    <w:rsid w:val="000A2192"/>
    <w:rsid w:val="000A5DEA"/>
    <w:rsid w:val="000A770B"/>
    <w:rsid w:val="000B2D0C"/>
    <w:rsid w:val="000B339A"/>
    <w:rsid w:val="000B7111"/>
    <w:rsid w:val="000C2696"/>
    <w:rsid w:val="000C2A2B"/>
    <w:rsid w:val="000C34F3"/>
    <w:rsid w:val="000C4163"/>
    <w:rsid w:val="000C6B6E"/>
    <w:rsid w:val="000C6EF0"/>
    <w:rsid w:val="000D29BA"/>
    <w:rsid w:val="000D3E49"/>
    <w:rsid w:val="000E2F36"/>
    <w:rsid w:val="000E49E6"/>
    <w:rsid w:val="000E7EF5"/>
    <w:rsid w:val="000F14BF"/>
    <w:rsid w:val="000F1890"/>
    <w:rsid w:val="000F2E5F"/>
    <w:rsid w:val="000F47F1"/>
    <w:rsid w:val="000F678B"/>
    <w:rsid w:val="000F78BE"/>
    <w:rsid w:val="001021FB"/>
    <w:rsid w:val="00102A77"/>
    <w:rsid w:val="0010420D"/>
    <w:rsid w:val="00106EE8"/>
    <w:rsid w:val="001077F1"/>
    <w:rsid w:val="001144A4"/>
    <w:rsid w:val="00115BB6"/>
    <w:rsid w:val="00116578"/>
    <w:rsid w:val="0012035F"/>
    <w:rsid w:val="00120D02"/>
    <w:rsid w:val="00121291"/>
    <w:rsid w:val="001219A5"/>
    <w:rsid w:val="00124101"/>
    <w:rsid w:val="00124D49"/>
    <w:rsid w:val="00126739"/>
    <w:rsid w:val="00135526"/>
    <w:rsid w:val="00140273"/>
    <w:rsid w:val="0014105E"/>
    <w:rsid w:val="00143142"/>
    <w:rsid w:val="00152FD8"/>
    <w:rsid w:val="001537E3"/>
    <w:rsid w:val="00153C39"/>
    <w:rsid w:val="0015569F"/>
    <w:rsid w:val="00155E87"/>
    <w:rsid w:val="0015737B"/>
    <w:rsid w:val="00157E46"/>
    <w:rsid w:val="00162D2F"/>
    <w:rsid w:val="0016521D"/>
    <w:rsid w:val="00170FE6"/>
    <w:rsid w:val="00172857"/>
    <w:rsid w:val="00172B0B"/>
    <w:rsid w:val="00172E8C"/>
    <w:rsid w:val="00173570"/>
    <w:rsid w:val="00173804"/>
    <w:rsid w:val="00173C70"/>
    <w:rsid w:val="00174F7E"/>
    <w:rsid w:val="0017580D"/>
    <w:rsid w:val="00175F76"/>
    <w:rsid w:val="00176C44"/>
    <w:rsid w:val="00181AB1"/>
    <w:rsid w:val="001857EA"/>
    <w:rsid w:val="00186328"/>
    <w:rsid w:val="00191522"/>
    <w:rsid w:val="00192EB5"/>
    <w:rsid w:val="001966CB"/>
    <w:rsid w:val="001969A7"/>
    <w:rsid w:val="00196C5A"/>
    <w:rsid w:val="0019791B"/>
    <w:rsid w:val="00197E5D"/>
    <w:rsid w:val="001A0F84"/>
    <w:rsid w:val="001A103D"/>
    <w:rsid w:val="001A1644"/>
    <w:rsid w:val="001A216A"/>
    <w:rsid w:val="001A3A31"/>
    <w:rsid w:val="001A3D48"/>
    <w:rsid w:val="001A5421"/>
    <w:rsid w:val="001A7F95"/>
    <w:rsid w:val="001B06B8"/>
    <w:rsid w:val="001B1B1D"/>
    <w:rsid w:val="001B3572"/>
    <w:rsid w:val="001B3D6F"/>
    <w:rsid w:val="001B4B2B"/>
    <w:rsid w:val="001B6470"/>
    <w:rsid w:val="001C7DAB"/>
    <w:rsid w:val="001D05DB"/>
    <w:rsid w:val="001D1F1B"/>
    <w:rsid w:val="001D4223"/>
    <w:rsid w:val="001E2642"/>
    <w:rsid w:val="001E3C9A"/>
    <w:rsid w:val="001E5447"/>
    <w:rsid w:val="001E5DF5"/>
    <w:rsid w:val="001E604F"/>
    <w:rsid w:val="001E79A7"/>
    <w:rsid w:val="001F0835"/>
    <w:rsid w:val="001F1049"/>
    <w:rsid w:val="001F4882"/>
    <w:rsid w:val="001F6E43"/>
    <w:rsid w:val="001F74FC"/>
    <w:rsid w:val="002004A8"/>
    <w:rsid w:val="002019B1"/>
    <w:rsid w:val="00201E65"/>
    <w:rsid w:val="0021162B"/>
    <w:rsid w:val="002125E4"/>
    <w:rsid w:val="00215381"/>
    <w:rsid w:val="00216C32"/>
    <w:rsid w:val="00216F76"/>
    <w:rsid w:val="00220D97"/>
    <w:rsid w:val="00221A88"/>
    <w:rsid w:val="002241D0"/>
    <w:rsid w:val="00224756"/>
    <w:rsid w:val="00227A4A"/>
    <w:rsid w:val="0023070C"/>
    <w:rsid w:val="00230CC6"/>
    <w:rsid w:val="002337D7"/>
    <w:rsid w:val="00234DEB"/>
    <w:rsid w:val="0023584A"/>
    <w:rsid w:val="00236C44"/>
    <w:rsid w:val="002422D0"/>
    <w:rsid w:val="002451F7"/>
    <w:rsid w:val="002455CC"/>
    <w:rsid w:val="00246523"/>
    <w:rsid w:val="00247CE0"/>
    <w:rsid w:val="00251E5A"/>
    <w:rsid w:val="00252DB6"/>
    <w:rsid w:val="00252F2A"/>
    <w:rsid w:val="002546D8"/>
    <w:rsid w:val="002558A3"/>
    <w:rsid w:val="00256505"/>
    <w:rsid w:val="00260459"/>
    <w:rsid w:val="00260814"/>
    <w:rsid w:val="00263AD5"/>
    <w:rsid w:val="0026705F"/>
    <w:rsid w:val="002704DD"/>
    <w:rsid w:val="0027210A"/>
    <w:rsid w:val="002748C2"/>
    <w:rsid w:val="002752C3"/>
    <w:rsid w:val="00277591"/>
    <w:rsid w:val="00284760"/>
    <w:rsid w:val="00286833"/>
    <w:rsid w:val="00287CB1"/>
    <w:rsid w:val="0029096F"/>
    <w:rsid w:val="00290AD2"/>
    <w:rsid w:val="0029353E"/>
    <w:rsid w:val="00297286"/>
    <w:rsid w:val="002A05C6"/>
    <w:rsid w:val="002A5F4D"/>
    <w:rsid w:val="002A70E9"/>
    <w:rsid w:val="002A7A0A"/>
    <w:rsid w:val="002B541A"/>
    <w:rsid w:val="002B754D"/>
    <w:rsid w:val="002C1023"/>
    <w:rsid w:val="002C4F02"/>
    <w:rsid w:val="002C69AD"/>
    <w:rsid w:val="002D0E4D"/>
    <w:rsid w:val="002D7978"/>
    <w:rsid w:val="002E7DDB"/>
    <w:rsid w:val="002F222D"/>
    <w:rsid w:val="002F42FC"/>
    <w:rsid w:val="002F5C03"/>
    <w:rsid w:val="002F6F4F"/>
    <w:rsid w:val="002F75DA"/>
    <w:rsid w:val="00304AA1"/>
    <w:rsid w:val="00306C33"/>
    <w:rsid w:val="00312F06"/>
    <w:rsid w:val="0031425A"/>
    <w:rsid w:val="00314713"/>
    <w:rsid w:val="003149F5"/>
    <w:rsid w:val="003151E4"/>
    <w:rsid w:val="003156D7"/>
    <w:rsid w:val="00317261"/>
    <w:rsid w:val="00321DB1"/>
    <w:rsid w:val="00326F3E"/>
    <w:rsid w:val="00330A67"/>
    <w:rsid w:val="00332A51"/>
    <w:rsid w:val="00333ADD"/>
    <w:rsid w:val="00334F62"/>
    <w:rsid w:val="003364EB"/>
    <w:rsid w:val="0034272B"/>
    <w:rsid w:val="00342BFE"/>
    <w:rsid w:val="00344C34"/>
    <w:rsid w:val="003470E8"/>
    <w:rsid w:val="00354574"/>
    <w:rsid w:val="003550C3"/>
    <w:rsid w:val="00356988"/>
    <w:rsid w:val="00360F5F"/>
    <w:rsid w:val="0036124A"/>
    <w:rsid w:val="003657F1"/>
    <w:rsid w:val="00365A2F"/>
    <w:rsid w:val="0036754C"/>
    <w:rsid w:val="00381B05"/>
    <w:rsid w:val="00385BF0"/>
    <w:rsid w:val="00385DAD"/>
    <w:rsid w:val="00386626"/>
    <w:rsid w:val="003908D7"/>
    <w:rsid w:val="00390929"/>
    <w:rsid w:val="00390DBB"/>
    <w:rsid w:val="003924CC"/>
    <w:rsid w:val="003A0B9C"/>
    <w:rsid w:val="003A0E5A"/>
    <w:rsid w:val="003A5E83"/>
    <w:rsid w:val="003A6A5F"/>
    <w:rsid w:val="003A7581"/>
    <w:rsid w:val="003B1CDC"/>
    <w:rsid w:val="003B2E77"/>
    <w:rsid w:val="003B3FDD"/>
    <w:rsid w:val="003B4D40"/>
    <w:rsid w:val="003B5D19"/>
    <w:rsid w:val="003B610B"/>
    <w:rsid w:val="003C47E8"/>
    <w:rsid w:val="003C5102"/>
    <w:rsid w:val="003C6962"/>
    <w:rsid w:val="003C6F65"/>
    <w:rsid w:val="003D1F46"/>
    <w:rsid w:val="003E2B14"/>
    <w:rsid w:val="003F01A7"/>
    <w:rsid w:val="003F2E62"/>
    <w:rsid w:val="003F5F28"/>
    <w:rsid w:val="004047B1"/>
    <w:rsid w:val="0040584C"/>
    <w:rsid w:val="00406807"/>
    <w:rsid w:val="00407C2F"/>
    <w:rsid w:val="0041082C"/>
    <w:rsid w:val="00411425"/>
    <w:rsid w:val="00413B28"/>
    <w:rsid w:val="00413BA5"/>
    <w:rsid w:val="00413DAC"/>
    <w:rsid w:val="0041623E"/>
    <w:rsid w:val="00416AB2"/>
    <w:rsid w:val="004200A1"/>
    <w:rsid w:val="00421203"/>
    <w:rsid w:val="00425C94"/>
    <w:rsid w:val="00426277"/>
    <w:rsid w:val="004262B3"/>
    <w:rsid w:val="00431130"/>
    <w:rsid w:val="0043485A"/>
    <w:rsid w:val="00440521"/>
    <w:rsid w:val="004407EE"/>
    <w:rsid w:val="00441078"/>
    <w:rsid w:val="00442254"/>
    <w:rsid w:val="00443307"/>
    <w:rsid w:val="00444E41"/>
    <w:rsid w:val="00446B02"/>
    <w:rsid w:val="00447A63"/>
    <w:rsid w:val="004521D4"/>
    <w:rsid w:val="0045300F"/>
    <w:rsid w:val="00454158"/>
    <w:rsid w:val="00454723"/>
    <w:rsid w:val="00460140"/>
    <w:rsid w:val="0046238B"/>
    <w:rsid w:val="00465D71"/>
    <w:rsid w:val="00477A71"/>
    <w:rsid w:val="00484BCE"/>
    <w:rsid w:val="00491F39"/>
    <w:rsid w:val="0049475D"/>
    <w:rsid w:val="0049575D"/>
    <w:rsid w:val="00496DB8"/>
    <w:rsid w:val="004A5318"/>
    <w:rsid w:val="004A6180"/>
    <w:rsid w:val="004A741E"/>
    <w:rsid w:val="004B0321"/>
    <w:rsid w:val="004B1ADE"/>
    <w:rsid w:val="004B570B"/>
    <w:rsid w:val="004B652A"/>
    <w:rsid w:val="004B7DB2"/>
    <w:rsid w:val="004C30D2"/>
    <w:rsid w:val="004C3AE2"/>
    <w:rsid w:val="004D0BE0"/>
    <w:rsid w:val="004D14F0"/>
    <w:rsid w:val="004D4A68"/>
    <w:rsid w:val="004E429F"/>
    <w:rsid w:val="004F160A"/>
    <w:rsid w:val="004F37CB"/>
    <w:rsid w:val="004F45CA"/>
    <w:rsid w:val="00500A53"/>
    <w:rsid w:val="00504F92"/>
    <w:rsid w:val="00505551"/>
    <w:rsid w:val="005078B3"/>
    <w:rsid w:val="00511C54"/>
    <w:rsid w:val="00520C27"/>
    <w:rsid w:val="00521B57"/>
    <w:rsid w:val="00522DE9"/>
    <w:rsid w:val="00522EF8"/>
    <w:rsid w:val="0052399F"/>
    <w:rsid w:val="00523FBA"/>
    <w:rsid w:val="00524079"/>
    <w:rsid w:val="005255C0"/>
    <w:rsid w:val="0052764F"/>
    <w:rsid w:val="00527AFE"/>
    <w:rsid w:val="005328F4"/>
    <w:rsid w:val="00535220"/>
    <w:rsid w:val="00540ED6"/>
    <w:rsid w:val="00541C1D"/>
    <w:rsid w:val="00544A16"/>
    <w:rsid w:val="005472EC"/>
    <w:rsid w:val="00547C82"/>
    <w:rsid w:val="00552915"/>
    <w:rsid w:val="005534BD"/>
    <w:rsid w:val="005623DE"/>
    <w:rsid w:val="00564A3A"/>
    <w:rsid w:val="005674EF"/>
    <w:rsid w:val="00570C2E"/>
    <w:rsid w:val="00571577"/>
    <w:rsid w:val="0057213D"/>
    <w:rsid w:val="005732E9"/>
    <w:rsid w:val="00575D4F"/>
    <w:rsid w:val="00575F27"/>
    <w:rsid w:val="0058036C"/>
    <w:rsid w:val="0058073B"/>
    <w:rsid w:val="00580815"/>
    <w:rsid w:val="00582289"/>
    <w:rsid w:val="00585BD9"/>
    <w:rsid w:val="0058749D"/>
    <w:rsid w:val="00593FF1"/>
    <w:rsid w:val="0059623B"/>
    <w:rsid w:val="005A1839"/>
    <w:rsid w:val="005A2923"/>
    <w:rsid w:val="005A2CAF"/>
    <w:rsid w:val="005A3759"/>
    <w:rsid w:val="005B3D45"/>
    <w:rsid w:val="005B78C4"/>
    <w:rsid w:val="005C373B"/>
    <w:rsid w:val="005C3DD2"/>
    <w:rsid w:val="005C4AAA"/>
    <w:rsid w:val="005D1442"/>
    <w:rsid w:val="005E06D4"/>
    <w:rsid w:val="005F064D"/>
    <w:rsid w:val="005F512E"/>
    <w:rsid w:val="005F5A21"/>
    <w:rsid w:val="005F6C03"/>
    <w:rsid w:val="00600458"/>
    <w:rsid w:val="0060369E"/>
    <w:rsid w:val="00603824"/>
    <w:rsid w:val="006073B5"/>
    <w:rsid w:val="006113D8"/>
    <w:rsid w:val="00612C5D"/>
    <w:rsid w:val="00616232"/>
    <w:rsid w:val="00620850"/>
    <w:rsid w:val="006225AC"/>
    <w:rsid w:val="006230A9"/>
    <w:rsid w:val="00624D32"/>
    <w:rsid w:val="006273ED"/>
    <w:rsid w:val="006335B8"/>
    <w:rsid w:val="0063516D"/>
    <w:rsid w:val="00642821"/>
    <w:rsid w:val="0064349A"/>
    <w:rsid w:val="0064750C"/>
    <w:rsid w:val="00651F0A"/>
    <w:rsid w:val="006543FB"/>
    <w:rsid w:val="00655505"/>
    <w:rsid w:val="00655AA7"/>
    <w:rsid w:val="00655F80"/>
    <w:rsid w:val="006621E9"/>
    <w:rsid w:val="00662904"/>
    <w:rsid w:val="00664C73"/>
    <w:rsid w:val="00671999"/>
    <w:rsid w:val="00680B65"/>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51E2"/>
    <w:rsid w:val="006C62F8"/>
    <w:rsid w:val="006C71BB"/>
    <w:rsid w:val="006C73CB"/>
    <w:rsid w:val="006D071F"/>
    <w:rsid w:val="006D1276"/>
    <w:rsid w:val="006D12D3"/>
    <w:rsid w:val="006D2C14"/>
    <w:rsid w:val="006D3303"/>
    <w:rsid w:val="006D3945"/>
    <w:rsid w:val="006D4C15"/>
    <w:rsid w:val="006D7692"/>
    <w:rsid w:val="006E5D2E"/>
    <w:rsid w:val="006E670A"/>
    <w:rsid w:val="006F252A"/>
    <w:rsid w:val="006F27FC"/>
    <w:rsid w:val="006F3153"/>
    <w:rsid w:val="006F4B6F"/>
    <w:rsid w:val="006F4F6D"/>
    <w:rsid w:val="0070008A"/>
    <w:rsid w:val="0070357F"/>
    <w:rsid w:val="00703DA7"/>
    <w:rsid w:val="00703E05"/>
    <w:rsid w:val="00705262"/>
    <w:rsid w:val="00705CA5"/>
    <w:rsid w:val="00706ED7"/>
    <w:rsid w:val="00713444"/>
    <w:rsid w:val="00716D0A"/>
    <w:rsid w:val="00717AF6"/>
    <w:rsid w:val="00721ECF"/>
    <w:rsid w:val="00722D13"/>
    <w:rsid w:val="007230FE"/>
    <w:rsid w:val="00725BEA"/>
    <w:rsid w:val="00726409"/>
    <w:rsid w:val="007306D1"/>
    <w:rsid w:val="007344C3"/>
    <w:rsid w:val="00736C31"/>
    <w:rsid w:val="00742CE1"/>
    <w:rsid w:val="0074372C"/>
    <w:rsid w:val="00744C7C"/>
    <w:rsid w:val="00746657"/>
    <w:rsid w:val="00746AA4"/>
    <w:rsid w:val="00747C4D"/>
    <w:rsid w:val="0075585E"/>
    <w:rsid w:val="00772458"/>
    <w:rsid w:val="00782461"/>
    <w:rsid w:val="0078470A"/>
    <w:rsid w:val="0078583D"/>
    <w:rsid w:val="00785939"/>
    <w:rsid w:val="00787AF1"/>
    <w:rsid w:val="0079132B"/>
    <w:rsid w:val="00796DA1"/>
    <w:rsid w:val="007A2C57"/>
    <w:rsid w:val="007A3440"/>
    <w:rsid w:val="007A34B3"/>
    <w:rsid w:val="007B1039"/>
    <w:rsid w:val="007B1644"/>
    <w:rsid w:val="007B413B"/>
    <w:rsid w:val="007B5461"/>
    <w:rsid w:val="007C60E2"/>
    <w:rsid w:val="007D5B1C"/>
    <w:rsid w:val="007E0ADA"/>
    <w:rsid w:val="007E15CF"/>
    <w:rsid w:val="007E4CC0"/>
    <w:rsid w:val="007E5866"/>
    <w:rsid w:val="007F07AF"/>
    <w:rsid w:val="007F2A44"/>
    <w:rsid w:val="007F6A89"/>
    <w:rsid w:val="007F6E2B"/>
    <w:rsid w:val="007F773D"/>
    <w:rsid w:val="00804065"/>
    <w:rsid w:val="008047DD"/>
    <w:rsid w:val="00806213"/>
    <w:rsid w:val="00812B80"/>
    <w:rsid w:val="008213E7"/>
    <w:rsid w:val="00821687"/>
    <w:rsid w:val="0082217D"/>
    <w:rsid w:val="00822A40"/>
    <w:rsid w:val="00830A48"/>
    <w:rsid w:val="00833331"/>
    <w:rsid w:val="00834B96"/>
    <w:rsid w:val="00836B47"/>
    <w:rsid w:val="00840A53"/>
    <w:rsid w:val="008427B3"/>
    <w:rsid w:val="0085047D"/>
    <w:rsid w:val="008524EA"/>
    <w:rsid w:val="008530B9"/>
    <w:rsid w:val="00857642"/>
    <w:rsid w:val="00857F8E"/>
    <w:rsid w:val="0086268A"/>
    <w:rsid w:val="00864B15"/>
    <w:rsid w:val="00865C18"/>
    <w:rsid w:val="0086621E"/>
    <w:rsid w:val="00882CB8"/>
    <w:rsid w:val="00884650"/>
    <w:rsid w:val="00893901"/>
    <w:rsid w:val="0089728F"/>
    <w:rsid w:val="00897957"/>
    <w:rsid w:val="008A0874"/>
    <w:rsid w:val="008A51AD"/>
    <w:rsid w:val="008A646B"/>
    <w:rsid w:val="008B2982"/>
    <w:rsid w:val="008B456E"/>
    <w:rsid w:val="008B51B9"/>
    <w:rsid w:val="008C03AD"/>
    <w:rsid w:val="008C1485"/>
    <w:rsid w:val="008D2DBA"/>
    <w:rsid w:val="008D638B"/>
    <w:rsid w:val="008D7ECE"/>
    <w:rsid w:val="008E44FF"/>
    <w:rsid w:val="008E5F96"/>
    <w:rsid w:val="008E6C46"/>
    <w:rsid w:val="008E6FB7"/>
    <w:rsid w:val="008E7FE5"/>
    <w:rsid w:val="008F25DF"/>
    <w:rsid w:val="008F29E0"/>
    <w:rsid w:val="008F4FCE"/>
    <w:rsid w:val="008F63E4"/>
    <w:rsid w:val="00900008"/>
    <w:rsid w:val="00902EB1"/>
    <w:rsid w:val="009050BB"/>
    <w:rsid w:val="00905F7A"/>
    <w:rsid w:val="00906A31"/>
    <w:rsid w:val="00906B1B"/>
    <w:rsid w:val="00910398"/>
    <w:rsid w:val="0091039C"/>
    <w:rsid w:val="00911640"/>
    <w:rsid w:val="0091213F"/>
    <w:rsid w:val="00912783"/>
    <w:rsid w:val="0091451C"/>
    <w:rsid w:val="00915C3E"/>
    <w:rsid w:val="00915D45"/>
    <w:rsid w:val="00923349"/>
    <w:rsid w:val="00926002"/>
    <w:rsid w:val="00930EBA"/>
    <w:rsid w:val="00935580"/>
    <w:rsid w:val="0093653A"/>
    <w:rsid w:val="009366E0"/>
    <w:rsid w:val="00940622"/>
    <w:rsid w:val="009412D9"/>
    <w:rsid w:val="00944730"/>
    <w:rsid w:val="009471B5"/>
    <w:rsid w:val="00951A6C"/>
    <w:rsid w:val="00952928"/>
    <w:rsid w:val="009531DA"/>
    <w:rsid w:val="00953CFD"/>
    <w:rsid w:val="009669E3"/>
    <w:rsid w:val="009671DB"/>
    <w:rsid w:val="00972738"/>
    <w:rsid w:val="009808B0"/>
    <w:rsid w:val="00980958"/>
    <w:rsid w:val="00983EDB"/>
    <w:rsid w:val="00987014"/>
    <w:rsid w:val="009871AC"/>
    <w:rsid w:val="00997443"/>
    <w:rsid w:val="009A3B62"/>
    <w:rsid w:val="009A5C47"/>
    <w:rsid w:val="009A68E7"/>
    <w:rsid w:val="009B24BB"/>
    <w:rsid w:val="009B66C0"/>
    <w:rsid w:val="009B72A1"/>
    <w:rsid w:val="009B74A5"/>
    <w:rsid w:val="009C24F9"/>
    <w:rsid w:val="009D3AAC"/>
    <w:rsid w:val="009D5B63"/>
    <w:rsid w:val="009E1679"/>
    <w:rsid w:val="009E2348"/>
    <w:rsid w:val="009E239E"/>
    <w:rsid w:val="009E271D"/>
    <w:rsid w:val="009E362F"/>
    <w:rsid w:val="009E59CA"/>
    <w:rsid w:val="009F1EA5"/>
    <w:rsid w:val="009F768D"/>
    <w:rsid w:val="00A00F26"/>
    <w:rsid w:val="00A039B4"/>
    <w:rsid w:val="00A063F2"/>
    <w:rsid w:val="00A0790C"/>
    <w:rsid w:val="00A0799C"/>
    <w:rsid w:val="00A07D8F"/>
    <w:rsid w:val="00A13C95"/>
    <w:rsid w:val="00A1707A"/>
    <w:rsid w:val="00A23803"/>
    <w:rsid w:val="00A249F6"/>
    <w:rsid w:val="00A27248"/>
    <w:rsid w:val="00A27289"/>
    <w:rsid w:val="00A34AEC"/>
    <w:rsid w:val="00A35AFD"/>
    <w:rsid w:val="00A40731"/>
    <w:rsid w:val="00A429D5"/>
    <w:rsid w:val="00A433E2"/>
    <w:rsid w:val="00A448EF"/>
    <w:rsid w:val="00A4598C"/>
    <w:rsid w:val="00A510EE"/>
    <w:rsid w:val="00A52A4E"/>
    <w:rsid w:val="00A5343C"/>
    <w:rsid w:val="00A64C8D"/>
    <w:rsid w:val="00A65689"/>
    <w:rsid w:val="00A70355"/>
    <w:rsid w:val="00A73D4F"/>
    <w:rsid w:val="00A74128"/>
    <w:rsid w:val="00A7538D"/>
    <w:rsid w:val="00A75DD6"/>
    <w:rsid w:val="00A77155"/>
    <w:rsid w:val="00A77757"/>
    <w:rsid w:val="00A8008F"/>
    <w:rsid w:val="00A8092D"/>
    <w:rsid w:val="00A80E74"/>
    <w:rsid w:val="00A851A4"/>
    <w:rsid w:val="00A86BD8"/>
    <w:rsid w:val="00A87EDF"/>
    <w:rsid w:val="00A90C67"/>
    <w:rsid w:val="00A92B4B"/>
    <w:rsid w:val="00AA013D"/>
    <w:rsid w:val="00AA1496"/>
    <w:rsid w:val="00AA155D"/>
    <w:rsid w:val="00AA3D06"/>
    <w:rsid w:val="00AA4899"/>
    <w:rsid w:val="00AA59F2"/>
    <w:rsid w:val="00AA639F"/>
    <w:rsid w:val="00AB3E2B"/>
    <w:rsid w:val="00AB671D"/>
    <w:rsid w:val="00AB7130"/>
    <w:rsid w:val="00AC0D42"/>
    <w:rsid w:val="00AC2C30"/>
    <w:rsid w:val="00AC3558"/>
    <w:rsid w:val="00AC701A"/>
    <w:rsid w:val="00AC74A3"/>
    <w:rsid w:val="00AC7DAD"/>
    <w:rsid w:val="00AD344D"/>
    <w:rsid w:val="00AD49BE"/>
    <w:rsid w:val="00AD5E7B"/>
    <w:rsid w:val="00AD7989"/>
    <w:rsid w:val="00AE1BBA"/>
    <w:rsid w:val="00AE4BA3"/>
    <w:rsid w:val="00AE6E54"/>
    <w:rsid w:val="00AE7E8A"/>
    <w:rsid w:val="00AF32D8"/>
    <w:rsid w:val="00AF3F64"/>
    <w:rsid w:val="00AF4C64"/>
    <w:rsid w:val="00AF70FF"/>
    <w:rsid w:val="00B01BE5"/>
    <w:rsid w:val="00B02385"/>
    <w:rsid w:val="00B03878"/>
    <w:rsid w:val="00B06DDF"/>
    <w:rsid w:val="00B07809"/>
    <w:rsid w:val="00B079A5"/>
    <w:rsid w:val="00B136CC"/>
    <w:rsid w:val="00B20FAA"/>
    <w:rsid w:val="00B21CD8"/>
    <w:rsid w:val="00B21FBA"/>
    <w:rsid w:val="00B2793E"/>
    <w:rsid w:val="00B3022C"/>
    <w:rsid w:val="00B33B37"/>
    <w:rsid w:val="00B35725"/>
    <w:rsid w:val="00B374E5"/>
    <w:rsid w:val="00B41FA0"/>
    <w:rsid w:val="00B42826"/>
    <w:rsid w:val="00B43982"/>
    <w:rsid w:val="00B459AF"/>
    <w:rsid w:val="00B47D4A"/>
    <w:rsid w:val="00B55869"/>
    <w:rsid w:val="00B567F1"/>
    <w:rsid w:val="00B569FA"/>
    <w:rsid w:val="00B571D3"/>
    <w:rsid w:val="00B64CAA"/>
    <w:rsid w:val="00B66D36"/>
    <w:rsid w:val="00B7202E"/>
    <w:rsid w:val="00B739F8"/>
    <w:rsid w:val="00B73BCE"/>
    <w:rsid w:val="00B7490A"/>
    <w:rsid w:val="00B759EC"/>
    <w:rsid w:val="00B75F96"/>
    <w:rsid w:val="00B81553"/>
    <w:rsid w:val="00B8168B"/>
    <w:rsid w:val="00B824F8"/>
    <w:rsid w:val="00B8362D"/>
    <w:rsid w:val="00B8368B"/>
    <w:rsid w:val="00B86F52"/>
    <w:rsid w:val="00B91893"/>
    <w:rsid w:val="00B926BD"/>
    <w:rsid w:val="00B92DE8"/>
    <w:rsid w:val="00B967A8"/>
    <w:rsid w:val="00B96A32"/>
    <w:rsid w:val="00B9799D"/>
    <w:rsid w:val="00BA1322"/>
    <w:rsid w:val="00BA3AA7"/>
    <w:rsid w:val="00BA3C3F"/>
    <w:rsid w:val="00BA5CEA"/>
    <w:rsid w:val="00BA7612"/>
    <w:rsid w:val="00BB1CBB"/>
    <w:rsid w:val="00BB1D36"/>
    <w:rsid w:val="00BB3FF6"/>
    <w:rsid w:val="00BB5630"/>
    <w:rsid w:val="00BB6BE1"/>
    <w:rsid w:val="00BC60A6"/>
    <w:rsid w:val="00BC62E0"/>
    <w:rsid w:val="00BC6FBF"/>
    <w:rsid w:val="00BD00D9"/>
    <w:rsid w:val="00BD40BC"/>
    <w:rsid w:val="00BD6234"/>
    <w:rsid w:val="00BE0437"/>
    <w:rsid w:val="00BE107D"/>
    <w:rsid w:val="00BE5D1C"/>
    <w:rsid w:val="00BE7640"/>
    <w:rsid w:val="00BF0242"/>
    <w:rsid w:val="00BF144D"/>
    <w:rsid w:val="00BF214A"/>
    <w:rsid w:val="00BF3E1B"/>
    <w:rsid w:val="00BF7D51"/>
    <w:rsid w:val="00C02723"/>
    <w:rsid w:val="00C02A91"/>
    <w:rsid w:val="00C04960"/>
    <w:rsid w:val="00C06163"/>
    <w:rsid w:val="00C11391"/>
    <w:rsid w:val="00C1324E"/>
    <w:rsid w:val="00C138A5"/>
    <w:rsid w:val="00C14B96"/>
    <w:rsid w:val="00C158D4"/>
    <w:rsid w:val="00C211F9"/>
    <w:rsid w:val="00C22F92"/>
    <w:rsid w:val="00C25927"/>
    <w:rsid w:val="00C27126"/>
    <w:rsid w:val="00C310B8"/>
    <w:rsid w:val="00C31DBD"/>
    <w:rsid w:val="00C3343C"/>
    <w:rsid w:val="00C36C29"/>
    <w:rsid w:val="00C40D0B"/>
    <w:rsid w:val="00C502DD"/>
    <w:rsid w:val="00C65047"/>
    <w:rsid w:val="00C653CC"/>
    <w:rsid w:val="00C665D4"/>
    <w:rsid w:val="00C74775"/>
    <w:rsid w:val="00C76F9B"/>
    <w:rsid w:val="00C80AB6"/>
    <w:rsid w:val="00C833D6"/>
    <w:rsid w:val="00C84994"/>
    <w:rsid w:val="00C84CDE"/>
    <w:rsid w:val="00C8762A"/>
    <w:rsid w:val="00C95318"/>
    <w:rsid w:val="00C95A99"/>
    <w:rsid w:val="00C96B98"/>
    <w:rsid w:val="00C96F6B"/>
    <w:rsid w:val="00CA043D"/>
    <w:rsid w:val="00CA069B"/>
    <w:rsid w:val="00CA27F9"/>
    <w:rsid w:val="00CA4F28"/>
    <w:rsid w:val="00CB15CA"/>
    <w:rsid w:val="00CB26B3"/>
    <w:rsid w:val="00CB3B7D"/>
    <w:rsid w:val="00CB687E"/>
    <w:rsid w:val="00CC074E"/>
    <w:rsid w:val="00CC1659"/>
    <w:rsid w:val="00CC22F6"/>
    <w:rsid w:val="00CC30C3"/>
    <w:rsid w:val="00CC363A"/>
    <w:rsid w:val="00CC3D4E"/>
    <w:rsid w:val="00CC74BD"/>
    <w:rsid w:val="00CD0768"/>
    <w:rsid w:val="00CD3CC4"/>
    <w:rsid w:val="00CE047D"/>
    <w:rsid w:val="00CE43AF"/>
    <w:rsid w:val="00CE665D"/>
    <w:rsid w:val="00CE6758"/>
    <w:rsid w:val="00CE7731"/>
    <w:rsid w:val="00CF6A79"/>
    <w:rsid w:val="00CF73D7"/>
    <w:rsid w:val="00D00AAE"/>
    <w:rsid w:val="00D02D5A"/>
    <w:rsid w:val="00D06F2D"/>
    <w:rsid w:val="00D13B2D"/>
    <w:rsid w:val="00D13F15"/>
    <w:rsid w:val="00D15660"/>
    <w:rsid w:val="00D16E7D"/>
    <w:rsid w:val="00D17731"/>
    <w:rsid w:val="00D21DFB"/>
    <w:rsid w:val="00D227C4"/>
    <w:rsid w:val="00D23048"/>
    <w:rsid w:val="00D23DD0"/>
    <w:rsid w:val="00D251C3"/>
    <w:rsid w:val="00D33231"/>
    <w:rsid w:val="00D36240"/>
    <w:rsid w:val="00D36DB7"/>
    <w:rsid w:val="00D40E5E"/>
    <w:rsid w:val="00D4138D"/>
    <w:rsid w:val="00D41493"/>
    <w:rsid w:val="00D4152F"/>
    <w:rsid w:val="00D43EF1"/>
    <w:rsid w:val="00D43F6F"/>
    <w:rsid w:val="00D46755"/>
    <w:rsid w:val="00D46CFF"/>
    <w:rsid w:val="00D46FBF"/>
    <w:rsid w:val="00D62214"/>
    <w:rsid w:val="00D632D1"/>
    <w:rsid w:val="00D65E10"/>
    <w:rsid w:val="00D709A0"/>
    <w:rsid w:val="00D70A78"/>
    <w:rsid w:val="00D71394"/>
    <w:rsid w:val="00D7252A"/>
    <w:rsid w:val="00D73990"/>
    <w:rsid w:val="00D73BC0"/>
    <w:rsid w:val="00D76C93"/>
    <w:rsid w:val="00D81512"/>
    <w:rsid w:val="00D85346"/>
    <w:rsid w:val="00DA0625"/>
    <w:rsid w:val="00DA3748"/>
    <w:rsid w:val="00DA671A"/>
    <w:rsid w:val="00DA756A"/>
    <w:rsid w:val="00DA7E6E"/>
    <w:rsid w:val="00DB07B8"/>
    <w:rsid w:val="00DB45E2"/>
    <w:rsid w:val="00DB4F49"/>
    <w:rsid w:val="00DB6D5A"/>
    <w:rsid w:val="00DC4772"/>
    <w:rsid w:val="00DC6711"/>
    <w:rsid w:val="00DC6826"/>
    <w:rsid w:val="00DD20E3"/>
    <w:rsid w:val="00DD30C2"/>
    <w:rsid w:val="00DD5F86"/>
    <w:rsid w:val="00DD6047"/>
    <w:rsid w:val="00DD771A"/>
    <w:rsid w:val="00DE2759"/>
    <w:rsid w:val="00DE2977"/>
    <w:rsid w:val="00DE4037"/>
    <w:rsid w:val="00DE43F4"/>
    <w:rsid w:val="00DE466B"/>
    <w:rsid w:val="00DE4A72"/>
    <w:rsid w:val="00DF2338"/>
    <w:rsid w:val="00DF4C70"/>
    <w:rsid w:val="00DF63EB"/>
    <w:rsid w:val="00DF7238"/>
    <w:rsid w:val="00DF78BC"/>
    <w:rsid w:val="00E030AE"/>
    <w:rsid w:val="00E04EFF"/>
    <w:rsid w:val="00E05D02"/>
    <w:rsid w:val="00E101A9"/>
    <w:rsid w:val="00E12954"/>
    <w:rsid w:val="00E12FAE"/>
    <w:rsid w:val="00E13468"/>
    <w:rsid w:val="00E2457B"/>
    <w:rsid w:val="00E247DE"/>
    <w:rsid w:val="00E257AB"/>
    <w:rsid w:val="00E3212A"/>
    <w:rsid w:val="00E333C7"/>
    <w:rsid w:val="00E3374E"/>
    <w:rsid w:val="00E4104D"/>
    <w:rsid w:val="00E41293"/>
    <w:rsid w:val="00E44479"/>
    <w:rsid w:val="00E45108"/>
    <w:rsid w:val="00E475F0"/>
    <w:rsid w:val="00E50CA8"/>
    <w:rsid w:val="00E538E6"/>
    <w:rsid w:val="00E553E9"/>
    <w:rsid w:val="00E577FD"/>
    <w:rsid w:val="00E62177"/>
    <w:rsid w:val="00E6494D"/>
    <w:rsid w:val="00E6716A"/>
    <w:rsid w:val="00E67F40"/>
    <w:rsid w:val="00E70167"/>
    <w:rsid w:val="00E703C3"/>
    <w:rsid w:val="00E80333"/>
    <w:rsid w:val="00E8107B"/>
    <w:rsid w:val="00E838DB"/>
    <w:rsid w:val="00E9310C"/>
    <w:rsid w:val="00E93979"/>
    <w:rsid w:val="00E9501F"/>
    <w:rsid w:val="00E9676A"/>
    <w:rsid w:val="00EA4CB5"/>
    <w:rsid w:val="00EA67B2"/>
    <w:rsid w:val="00EB5D98"/>
    <w:rsid w:val="00EB7A35"/>
    <w:rsid w:val="00EC05B4"/>
    <w:rsid w:val="00EC074E"/>
    <w:rsid w:val="00EC33EA"/>
    <w:rsid w:val="00ED0AA7"/>
    <w:rsid w:val="00ED2F8A"/>
    <w:rsid w:val="00ED7658"/>
    <w:rsid w:val="00EE1EE5"/>
    <w:rsid w:val="00EE2928"/>
    <w:rsid w:val="00EE359A"/>
    <w:rsid w:val="00EF2966"/>
    <w:rsid w:val="00EF7235"/>
    <w:rsid w:val="00F01EA8"/>
    <w:rsid w:val="00F023A3"/>
    <w:rsid w:val="00F04C8C"/>
    <w:rsid w:val="00F054DA"/>
    <w:rsid w:val="00F07BCF"/>
    <w:rsid w:val="00F16FAB"/>
    <w:rsid w:val="00F21CA5"/>
    <w:rsid w:val="00F234E1"/>
    <w:rsid w:val="00F3049F"/>
    <w:rsid w:val="00F31625"/>
    <w:rsid w:val="00F31BDC"/>
    <w:rsid w:val="00F32242"/>
    <w:rsid w:val="00F36E39"/>
    <w:rsid w:val="00F40A8F"/>
    <w:rsid w:val="00F40FF5"/>
    <w:rsid w:val="00F4680B"/>
    <w:rsid w:val="00F47445"/>
    <w:rsid w:val="00F5046F"/>
    <w:rsid w:val="00F5088C"/>
    <w:rsid w:val="00F510AC"/>
    <w:rsid w:val="00F55E69"/>
    <w:rsid w:val="00F626E7"/>
    <w:rsid w:val="00F62D04"/>
    <w:rsid w:val="00F6434A"/>
    <w:rsid w:val="00F70887"/>
    <w:rsid w:val="00F70A7D"/>
    <w:rsid w:val="00F748DD"/>
    <w:rsid w:val="00F77EEC"/>
    <w:rsid w:val="00F83E64"/>
    <w:rsid w:val="00F86EF9"/>
    <w:rsid w:val="00F86FB1"/>
    <w:rsid w:val="00F908E0"/>
    <w:rsid w:val="00F9335A"/>
    <w:rsid w:val="00F93755"/>
    <w:rsid w:val="00F93A32"/>
    <w:rsid w:val="00F97EE2"/>
    <w:rsid w:val="00FA0810"/>
    <w:rsid w:val="00FA2895"/>
    <w:rsid w:val="00FA3C19"/>
    <w:rsid w:val="00FB4C6F"/>
    <w:rsid w:val="00FB64A1"/>
    <w:rsid w:val="00FB6732"/>
    <w:rsid w:val="00FB7D16"/>
    <w:rsid w:val="00FC110D"/>
    <w:rsid w:val="00FC3800"/>
    <w:rsid w:val="00FC65BE"/>
    <w:rsid w:val="00FD1EEA"/>
    <w:rsid w:val="00FD30C0"/>
    <w:rsid w:val="00FD36CA"/>
    <w:rsid w:val="00FD3B41"/>
    <w:rsid w:val="00FD6C73"/>
    <w:rsid w:val="00FE327C"/>
    <w:rsid w:val="00FE578A"/>
    <w:rsid w:val="00FF0BE2"/>
    <w:rsid w:val="00FF14A5"/>
    <w:rsid w:val="00FF621F"/>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03"/>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D12D3"/>
    <w:rPr>
      <w:sz w:val="20"/>
      <w:szCs w:val="20"/>
    </w:rPr>
  </w:style>
  <w:style w:type="character" w:customStyle="1" w:styleId="FootnoteTextChar">
    <w:name w:val="Footnote Text Char"/>
    <w:basedOn w:val="DefaultParagraphFont"/>
    <w:link w:val="FootnoteText"/>
    <w:semiHidden/>
    <w:rsid w:val="006D12D3"/>
    <w:rPr>
      <w:rFonts w:eastAsia="Times New Roman"/>
      <w:sz w:val="20"/>
      <w:szCs w:val="20"/>
    </w:rPr>
  </w:style>
  <w:style w:type="character" w:styleId="FootnoteReference">
    <w:name w:val="footnote reference"/>
    <w:basedOn w:val="DefaultParagraphFont"/>
    <w:semiHidden/>
    <w:rsid w:val="006D12D3"/>
    <w:rPr>
      <w:vertAlign w:val="superscript"/>
    </w:rPr>
  </w:style>
  <w:style w:type="paragraph" w:styleId="Header">
    <w:name w:val="header"/>
    <w:basedOn w:val="Normal"/>
    <w:link w:val="HeaderChar"/>
    <w:uiPriority w:val="99"/>
    <w:semiHidden/>
    <w:unhideWhenUsed/>
    <w:rsid w:val="00746AA4"/>
    <w:pPr>
      <w:tabs>
        <w:tab w:val="center" w:pos="4680"/>
        <w:tab w:val="right" w:pos="9360"/>
      </w:tabs>
    </w:pPr>
  </w:style>
  <w:style w:type="character" w:customStyle="1" w:styleId="HeaderChar">
    <w:name w:val="Header Char"/>
    <w:basedOn w:val="DefaultParagraphFont"/>
    <w:link w:val="Header"/>
    <w:uiPriority w:val="99"/>
    <w:semiHidden/>
    <w:rsid w:val="00746AA4"/>
    <w:rPr>
      <w:rFonts w:eastAsia="Times New Roman"/>
    </w:rPr>
  </w:style>
  <w:style w:type="paragraph" w:styleId="Footer">
    <w:name w:val="footer"/>
    <w:basedOn w:val="Normal"/>
    <w:link w:val="FooterChar"/>
    <w:uiPriority w:val="99"/>
    <w:unhideWhenUsed/>
    <w:rsid w:val="00746AA4"/>
    <w:pPr>
      <w:tabs>
        <w:tab w:val="center" w:pos="4680"/>
        <w:tab w:val="right" w:pos="9360"/>
      </w:tabs>
    </w:pPr>
  </w:style>
  <w:style w:type="character" w:customStyle="1" w:styleId="FooterChar">
    <w:name w:val="Footer Char"/>
    <w:basedOn w:val="DefaultParagraphFont"/>
    <w:link w:val="Footer"/>
    <w:uiPriority w:val="99"/>
    <w:rsid w:val="00746AA4"/>
    <w:rPr>
      <w:rFonts w:eastAsia="Times New Roman"/>
    </w:rPr>
  </w:style>
  <w:style w:type="paragraph" w:styleId="ListParagraph">
    <w:name w:val="List Paragraph"/>
    <w:basedOn w:val="Normal"/>
    <w:uiPriority w:val="34"/>
    <w:qFormat/>
    <w:rsid w:val="001C7DA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46CD5-857D-47ED-92BD-D2DBE7F1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shoffner</cp:lastModifiedBy>
  <cp:revision>7</cp:revision>
  <cp:lastPrinted>2010-09-08T15:35:00Z</cp:lastPrinted>
  <dcterms:created xsi:type="dcterms:W3CDTF">2010-08-25T19:07:00Z</dcterms:created>
  <dcterms:modified xsi:type="dcterms:W3CDTF">2010-09-08T15:38:00Z</dcterms:modified>
</cp:coreProperties>
</file>