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960" w:rsidRDefault="00CB5E26" w:rsidP="00CB5E26">
      <w:pPr>
        <w:spacing w:line="240" w:lineRule="auto"/>
        <w:contextualSpacing/>
        <w:rPr>
          <w:b/>
        </w:rPr>
      </w:pPr>
      <w:r>
        <w:rPr>
          <w:b/>
        </w:rPr>
        <w:t>BEFORE THE</w:t>
      </w:r>
    </w:p>
    <w:p w:rsidR="00CB5E26" w:rsidRDefault="00CB5E26" w:rsidP="00CB5E26">
      <w:pPr>
        <w:spacing w:line="240" w:lineRule="auto"/>
        <w:contextualSpacing/>
        <w:rPr>
          <w:b/>
        </w:rPr>
      </w:pPr>
      <w:r>
        <w:rPr>
          <w:b/>
        </w:rPr>
        <w:t>PENNSYLVANIA PUBLIC UTILITY COMMISSION</w:t>
      </w:r>
    </w:p>
    <w:p w:rsidR="00CB5E26" w:rsidRDefault="00CB5E26" w:rsidP="00CB5E26">
      <w:pPr>
        <w:spacing w:line="240" w:lineRule="auto"/>
        <w:contextualSpacing/>
        <w:rPr>
          <w:b/>
        </w:rPr>
      </w:pPr>
    </w:p>
    <w:p w:rsidR="00CB5E26" w:rsidRDefault="004D0BC8" w:rsidP="00CB5E26">
      <w:pPr>
        <w:spacing w:line="240" w:lineRule="auto"/>
        <w:contextualSpacing/>
        <w:jc w:val="left"/>
      </w:pPr>
      <w:r>
        <w:t>Robert Van Orden</w:t>
      </w:r>
      <w:r w:rsidR="00CB5E26">
        <w:tab/>
      </w:r>
      <w:r w:rsidR="00CB5E26">
        <w:tab/>
      </w:r>
      <w:r w:rsidR="00CB5E26">
        <w:tab/>
      </w:r>
      <w:r w:rsidR="00CB5E26">
        <w:tab/>
        <w:t>:</w:t>
      </w:r>
      <w:r w:rsidR="00CB5E26">
        <w:tab/>
      </w:r>
    </w:p>
    <w:p w:rsidR="00CB5E26" w:rsidRDefault="00CB5E26" w:rsidP="00CB5E26">
      <w:pPr>
        <w:spacing w:line="240" w:lineRule="auto"/>
        <w:contextualSpacing/>
        <w:jc w:val="left"/>
      </w:pPr>
      <w:r>
        <w:tab/>
      </w:r>
      <w:r>
        <w:tab/>
      </w:r>
      <w:r>
        <w:tab/>
      </w:r>
      <w:r>
        <w:tab/>
      </w:r>
      <w:r>
        <w:tab/>
      </w:r>
      <w:r>
        <w:tab/>
        <w:t>:</w:t>
      </w:r>
    </w:p>
    <w:p w:rsidR="00CB5E26" w:rsidRDefault="00CB5E26" w:rsidP="00CB5E26">
      <w:pPr>
        <w:spacing w:line="240" w:lineRule="auto"/>
        <w:contextualSpacing/>
        <w:jc w:val="left"/>
      </w:pPr>
      <w:r>
        <w:tab/>
        <w:t>v.</w:t>
      </w:r>
      <w:r>
        <w:tab/>
      </w:r>
      <w:r>
        <w:tab/>
      </w:r>
      <w:r>
        <w:tab/>
      </w:r>
      <w:r>
        <w:tab/>
      </w:r>
      <w:r>
        <w:tab/>
        <w:t>:</w:t>
      </w:r>
      <w:r>
        <w:tab/>
      </w:r>
      <w:r>
        <w:tab/>
      </w:r>
      <w:r>
        <w:tab/>
        <w:t>C-2010-2183122</w:t>
      </w:r>
    </w:p>
    <w:p w:rsidR="00CB5E26" w:rsidRDefault="00CB5E26" w:rsidP="00CB5E26">
      <w:pPr>
        <w:spacing w:line="240" w:lineRule="auto"/>
        <w:contextualSpacing/>
        <w:jc w:val="left"/>
      </w:pPr>
      <w:r>
        <w:tab/>
      </w:r>
      <w:r>
        <w:tab/>
      </w:r>
      <w:r>
        <w:tab/>
      </w:r>
      <w:r>
        <w:tab/>
      </w:r>
      <w:r>
        <w:tab/>
      </w:r>
      <w:r>
        <w:tab/>
        <w:t>:</w:t>
      </w:r>
    </w:p>
    <w:p w:rsidR="00CB5E26" w:rsidRDefault="00CB5E26" w:rsidP="00CB5E26">
      <w:pPr>
        <w:spacing w:line="240" w:lineRule="auto"/>
        <w:contextualSpacing/>
        <w:jc w:val="left"/>
      </w:pPr>
      <w:r>
        <w:t>Metropolitan Edison Company</w:t>
      </w:r>
      <w:r>
        <w:tab/>
      </w:r>
      <w:r>
        <w:tab/>
        <w:t>:</w:t>
      </w:r>
    </w:p>
    <w:p w:rsidR="00CB5E26" w:rsidRDefault="00CB5E26" w:rsidP="00CB5E26">
      <w:pPr>
        <w:spacing w:line="240" w:lineRule="auto"/>
        <w:contextualSpacing/>
        <w:jc w:val="left"/>
      </w:pPr>
    </w:p>
    <w:p w:rsidR="00CB5E26" w:rsidRDefault="00CB5E26" w:rsidP="00CB5E26">
      <w:pPr>
        <w:spacing w:line="240" w:lineRule="auto"/>
        <w:contextualSpacing/>
        <w:jc w:val="left"/>
      </w:pPr>
    </w:p>
    <w:p w:rsidR="00020334" w:rsidRPr="00020334" w:rsidRDefault="00020334" w:rsidP="00CB5E26">
      <w:pPr>
        <w:spacing w:line="240" w:lineRule="auto"/>
        <w:contextualSpacing/>
        <w:rPr>
          <w:b/>
        </w:rPr>
      </w:pPr>
      <w:r w:rsidRPr="00020334">
        <w:rPr>
          <w:b/>
        </w:rPr>
        <w:t xml:space="preserve">ORDER GRANTING PRELIMINARY OBJECTIONS AND </w:t>
      </w:r>
    </w:p>
    <w:p w:rsidR="00CB5E26" w:rsidRPr="00020334" w:rsidRDefault="00020334" w:rsidP="00CB5E26">
      <w:pPr>
        <w:spacing w:line="240" w:lineRule="auto"/>
        <w:contextualSpacing/>
        <w:rPr>
          <w:b/>
        </w:rPr>
      </w:pPr>
      <w:r w:rsidRPr="00020334">
        <w:rPr>
          <w:b/>
        </w:rPr>
        <w:t>DIRECTING THE FILING OF AN AMENDED COMPLAINT</w:t>
      </w:r>
    </w:p>
    <w:p w:rsidR="00CB5E26" w:rsidRDefault="00CB5E26" w:rsidP="00CB5E26">
      <w:pPr>
        <w:spacing w:line="240" w:lineRule="auto"/>
        <w:contextualSpacing/>
      </w:pPr>
    </w:p>
    <w:p w:rsidR="00CB5E26" w:rsidRDefault="00CB5E26" w:rsidP="00CB5E26">
      <w:pPr>
        <w:spacing w:line="240" w:lineRule="auto"/>
        <w:contextualSpacing/>
      </w:pPr>
    </w:p>
    <w:p w:rsidR="00CB5E26" w:rsidRDefault="00CB5E26" w:rsidP="00CB5E26">
      <w:pPr>
        <w:spacing w:line="240" w:lineRule="auto"/>
        <w:contextualSpacing/>
        <w:rPr>
          <w:u w:val="single"/>
        </w:rPr>
      </w:pPr>
      <w:r>
        <w:rPr>
          <w:u w:val="single"/>
        </w:rPr>
        <w:t>HISTORY OF THE PROCEEDINGS</w:t>
      </w:r>
    </w:p>
    <w:p w:rsidR="0050210C" w:rsidRDefault="0050210C" w:rsidP="00CB5E26">
      <w:pPr>
        <w:spacing w:line="240" w:lineRule="auto"/>
        <w:contextualSpacing/>
        <w:rPr>
          <w:u w:val="single"/>
        </w:rPr>
      </w:pPr>
    </w:p>
    <w:p w:rsidR="00CB5E26" w:rsidRDefault="00CB5E26" w:rsidP="00CB5E26">
      <w:pPr>
        <w:spacing w:line="240" w:lineRule="auto"/>
        <w:contextualSpacing/>
        <w:rPr>
          <w:u w:val="single"/>
        </w:rPr>
      </w:pPr>
    </w:p>
    <w:p w:rsidR="00CB5E26" w:rsidRDefault="00CB5E26" w:rsidP="00CB5E26">
      <w:pPr>
        <w:contextualSpacing/>
        <w:jc w:val="left"/>
      </w:pPr>
      <w:r>
        <w:tab/>
      </w:r>
      <w:r>
        <w:tab/>
        <w:t xml:space="preserve">On June 21, 2010, Robert Van Orden (Complainant) filed a formal Complaint </w:t>
      </w:r>
      <w:r w:rsidR="008D71AE">
        <w:t xml:space="preserve">against Metropolitan Edison Company (Respondent or Met-Ed or Company) </w:t>
      </w:r>
      <w:r>
        <w:t xml:space="preserve">using a Commission formal complaint form, on which he checked the three boxes:  (1) there are incorrect charges on my bill; (2) I received a notice that my utility service is being terminated; and (3) </w:t>
      </w:r>
      <w:r w:rsidR="0050210C">
        <w:t xml:space="preserve">I would like a payment agreement, to which he added, “which I can afford.”    Under the “Relief” section, he wrote, “as per above.”  </w:t>
      </w:r>
      <w:r>
        <w:t xml:space="preserve"> </w:t>
      </w:r>
    </w:p>
    <w:p w:rsidR="0050210C" w:rsidRDefault="0050210C" w:rsidP="00CB5E26">
      <w:pPr>
        <w:contextualSpacing/>
        <w:jc w:val="left"/>
      </w:pPr>
    </w:p>
    <w:p w:rsidR="0050210C" w:rsidRDefault="008D71AE" w:rsidP="00CB5E26">
      <w:pPr>
        <w:contextualSpacing/>
        <w:jc w:val="left"/>
      </w:pPr>
      <w:r>
        <w:tab/>
      </w:r>
      <w:r>
        <w:tab/>
        <w:t xml:space="preserve">On July 13, 2010, Respondent filed two documents, an Answer and New Matter, and Preliminary Objections.  The Answer denied any wrong-doing on the part of the Company, and the New Matter </w:t>
      </w:r>
      <w:r w:rsidR="00B50016">
        <w:t xml:space="preserve">specifies three issues:  (1) the Complaint fails to set forth allegations with sufficient specificity to permit a meaningful response; (2) the Complainant is enrolled in Met-Ed’s customer assistance program </w:t>
      </w:r>
      <w:r w:rsidR="00442C5B">
        <w:t xml:space="preserve">(CAP) </w:t>
      </w:r>
      <w:r w:rsidR="00B50016">
        <w:t xml:space="preserve">which prevents the Commission from issuing a payment arrangement under Chapter 14, 66 Pa. C.S. § 1405(c); and (3) </w:t>
      </w:r>
      <w:r w:rsidR="00E174CB">
        <w:t xml:space="preserve">Complainant’s payment history is poor, and the outstanding balance is $2,222.60.  A certificate of service indicates that Complainant was served with this document, </w:t>
      </w:r>
      <w:r w:rsidR="003623D3">
        <w:t xml:space="preserve">and no response appears in the Commission’s official file.  </w:t>
      </w:r>
    </w:p>
    <w:p w:rsidR="003623D3" w:rsidRDefault="003623D3" w:rsidP="00CB5E26">
      <w:pPr>
        <w:contextualSpacing/>
        <w:jc w:val="left"/>
      </w:pPr>
    </w:p>
    <w:p w:rsidR="003623D3" w:rsidRDefault="003623D3" w:rsidP="00CB5E26">
      <w:pPr>
        <w:contextualSpacing/>
        <w:jc w:val="left"/>
      </w:pPr>
      <w:r>
        <w:tab/>
      </w:r>
      <w:r>
        <w:tab/>
        <w:t xml:space="preserve">The Preliminary Objections are properly accompanied by a Notice to Plead.  They state two grounds:  failure to plead with sufficient specificity to permit a meaningful response, </w:t>
      </w:r>
      <w:r>
        <w:lastRenderedPageBreak/>
        <w:t xml:space="preserve">and </w:t>
      </w:r>
      <w:r w:rsidR="00DD39E9">
        <w:t xml:space="preserve">inability of the Commission to grant the requested relief.  No response was filed by Complainant, and the time for response has run.  </w:t>
      </w:r>
    </w:p>
    <w:p w:rsidR="00DD39E9" w:rsidRDefault="00DD39E9" w:rsidP="00CB5E26">
      <w:pPr>
        <w:contextualSpacing/>
        <w:jc w:val="left"/>
      </w:pPr>
    </w:p>
    <w:p w:rsidR="00DD39E9" w:rsidRDefault="00DD39E9" w:rsidP="00CB5E26">
      <w:pPr>
        <w:contextualSpacing/>
        <w:jc w:val="left"/>
      </w:pPr>
      <w:r>
        <w:tab/>
      </w:r>
      <w:r>
        <w:tab/>
        <w:t>The Preliminary Objections are ready for decision.</w:t>
      </w:r>
    </w:p>
    <w:p w:rsidR="00DD39E9" w:rsidRDefault="00DD39E9" w:rsidP="00CB5E26">
      <w:pPr>
        <w:contextualSpacing/>
        <w:jc w:val="left"/>
      </w:pPr>
    </w:p>
    <w:p w:rsidR="00176279" w:rsidRDefault="00176279" w:rsidP="00DD39E9">
      <w:pPr>
        <w:contextualSpacing/>
        <w:rPr>
          <w:u w:val="single"/>
        </w:rPr>
      </w:pPr>
      <w:r>
        <w:rPr>
          <w:u w:val="single"/>
        </w:rPr>
        <w:t>DISCUSSION</w:t>
      </w:r>
    </w:p>
    <w:p w:rsidR="00176279" w:rsidRDefault="00176279" w:rsidP="00DD39E9">
      <w:pPr>
        <w:contextualSpacing/>
        <w:rPr>
          <w:u w:val="single"/>
        </w:rPr>
      </w:pPr>
    </w:p>
    <w:p w:rsidR="00BF43BD" w:rsidRPr="003E75C6" w:rsidRDefault="00176279" w:rsidP="00BF43BD">
      <w:pPr>
        <w:contextualSpacing/>
        <w:jc w:val="left"/>
      </w:pPr>
      <w:r>
        <w:tab/>
      </w:r>
      <w:r>
        <w:tab/>
      </w:r>
      <w:r w:rsidR="00BF43BD">
        <w:t>Preliminary objection</w:t>
      </w:r>
      <w:r w:rsidR="00020334">
        <w:t xml:space="preserve"> practice</w:t>
      </w:r>
      <w:r w:rsidR="00BF43BD">
        <w:t xml:space="preserve"> is permitted under Commission</w:t>
      </w:r>
      <w:r w:rsidR="00BF43BD" w:rsidRPr="003E75C6">
        <w:t xml:space="preserve"> regulations.  52 </w:t>
      </w:r>
      <w:smartTag w:uri="urn:schemas-microsoft-com:office:smarttags" w:element="place">
        <w:smartTag w:uri="urn:schemas-microsoft-com:office:smarttags" w:element="State">
          <w:r w:rsidR="00BF43BD" w:rsidRPr="003E75C6">
            <w:t>Pa.</w:t>
          </w:r>
        </w:smartTag>
      </w:smartTag>
      <w:r w:rsidR="00BF43BD" w:rsidRPr="003E75C6">
        <w:t xml:space="preserve"> Code § 5.101.  Preliminary objection practice before the Commission is similar to </w:t>
      </w:r>
      <w:smartTag w:uri="urn:schemas-microsoft-com:office:smarttags" w:element="place">
        <w:smartTag w:uri="urn:schemas-microsoft-com:office:smarttags" w:element="State">
          <w:r w:rsidR="00BF43BD" w:rsidRPr="003E75C6">
            <w:t>Pennsylvania</w:t>
          </w:r>
        </w:smartTag>
      </w:smartTag>
      <w:r w:rsidR="00BF43BD" w:rsidRPr="003E75C6">
        <w:t xml:space="preserve"> civil practice respecting preliminary objections. </w:t>
      </w:r>
      <w:r w:rsidR="00BF43BD" w:rsidRPr="003E75C6">
        <w:rPr>
          <w:i/>
        </w:rPr>
        <w:t>Equitable Small Transportation Intervenors v. Equitable Gas Company</w:t>
      </w:r>
      <w:r w:rsidR="00BF43BD" w:rsidRPr="003E75C6">
        <w:t xml:space="preserve">, 1994 </w:t>
      </w:r>
      <w:smartTag w:uri="urn:schemas-microsoft-com:office:smarttags" w:element="place">
        <w:smartTag w:uri="urn:schemas-microsoft-com:office:smarttags" w:element="State">
          <w:r w:rsidR="00BF43BD" w:rsidRPr="003E75C6">
            <w:t>Pa.</w:t>
          </w:r>
        </w:smartTag>
      </w:smartTag>
      <w:r w:rsidR="00BF43BD" w:rsidRPr="003E75C6">
        <w:t xml:space="preserve"> PUC LEXIS 69, Docket No. C-00935435 (July 18, 1994).  </w:t>
      </w:r>
    </w:p>
    <w:p w:rsidR="00BF43BD" w:rsidRPr="003E75C6" w:rsidRDefault="00BF43BD" w:rsidP="00BF43BD">
      <w:pPr>
        <w:jc w:val="left"/>
      </w:pPr>
    </w:p>
    <w:p w:rsidR="00BF43BD" w:rsidRPr="003E75C6" w:rsidRDefault="00BF43BD" w:rsidP="00BF43BD">
      <w:pPr>
        <w:jc w:val="left"/>
      </w:pPr>
      <w:r w:rsidRPr="003E75C6">
        <w:tab/>
      </w:r>
      <w:r w:rsidRPr="003E75C6">
        <w:tab/>
        <w:t>Commission regulations provide:</w:t>
      </w:r>
    </w:p>
    <w:p w:rsidR="00BF43BD" w:rsidRPr="003E75C6" w:rsidRDefault="00BF43BD" w:rsidP="00BF43BD">
      <w:pPr>
        <w:jc w:val="left"/>
        <w:rPr>
          <w:b/>
        </w:rPr>
      </w:pPr>
    </w:p>
    <w:p w:rsidR="00BF43BD" w:rsidRPr="003E75C6" w:rsidRDefault="00BF43BD" w:rsidP="00BF43BD">
      <w:pPr>
        <w:ind w:left="1440" w:right="1440"/>
        <w:jc w:val="left"/>
        <w:rPr>
          <w:b/>
        </w:rPr>
      </w:pPr>
      <w:r w:rsidRPr="003E75C6">
        <w:rPr>
          <w:b/>
        </w:rPr>
        <w:t>§ 5.101.  Preliminary objections.</w:t>
      </w:r>
    </w:p>
    <w:p w:rsidR="00BF43BD" w:rsidRPr="003E75C6" w:rsidRDefault="00BF43BD" w:rsidP="00BF43BD">
      <w:pPr>
        <w:spacing w:line="240" w:lineRule="auto"/>
        <w:ind w:left="1440" w:right="1440"/>
        <w:contextualSpacing/>
        <w:jc w:val="left"/>
      </w:pPr>
      <w:r w:rsidRPr="003E75C6">
        <w:t>(a)</w:t>
      </w:r>
      <w:r w:rsidRPr="003E75C6">
        <w:tab/>
      </w:r>
      <w:r w:rsidRPr="003E75C6">
        <w:rPr>
          <w:i/>
        </w:rPr>
        <w:t>Grounds.</w:t>
      </w:r>
      <w:r w:rsidRPr="003E75C6">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BF43BD" w:rsidRPr="003E75C6" w:rsidRDefault="00BF43BD" w:rsidP="00BF43BD">
      <w:pPr>
        <w:spacing w:line="240" w:lineRule="auto"/>
        <w:ind w:left="1440" w:right="1440"/>
        <w:contextualSpacing/>
        <w:jc w:val="left"/>
      </w:pPr>
    </w:p>
    <w:p w:rsidR="00BF43BD" w:rsidRDefault="00BF43BD" w:rsidP="00BF43BD">
      <w:pPr>
        <w:spacing w:line="240" w:lineRule="auto"/>
        <w:ind w:left="1440" w:right="1440"/>
        <w:contextualSpacing/>
        <w:jc w:val="left"/>
      </w:pPr>
      <w:r w:rsidRPr="003E75C6">
        <w:tab/>
        <w:t>(1)</w:t>
      </w:r>
      <w:r w:rsidRPr="003E75C6">
        <w:tab/>
        <w:t>Lack of Commission jurisdiction or improper service of the pleading initiating the proceeding.</w:t>
      </w:r>
    </w:p>
    <w:p w:rsidR="00020334" w:rsidRPr="003E75C6" w:rsidRDefault="00020334" w:rsidP="00BF43BD">
      <w:pPr>
        <w:spacing w:line="240" w:lineRule="auto"/>
        <w:ind w:left="1440" w:right="1440"/>
        <w:contextualSpacing/>
        <w:jc w:val="left"/>
      </w:pPr>
    </w:p>
    <w:p w:rsidR="00BF43BD" w:rsidRPr="003E75C6" w:rsidRDefault="00BF43BD" w:rsidP="00BF43BD">
      <w:pPr>
        <w:spacing w:line="240" w:lineRule="auto"/>
        <w:ind w:left="1440" w:right="1440"/>
        <w:contextualSpacing/>
        <w:jc w:val="left"/>
      </w:pPr>
      <w:r w:rsidRPr="003E75C6">
        <w:tab/>
        <w:t>(2)</w:t>
      </w:r>
      <w:r w:rsidRPr="003E75C6">
        <w:tab/>
        <w:t>Failure of a pleading to conform to this chapter or the inclusion of scandalous or impertinent matter.</w:t>
      </w:r>
    </w:p>
    <w:p w:rsidR="00BF43BD" w:rsidRPr="003E75C6" w:rsidRDefault="00BF43BD" w:rsidP="00BF43BD">
      <w:pPr>
        <w:spacing w:line="240" w:lineRule="auto"/>
        <w:ind w:left="1440" w:right="1440"/>
        <w:contextualSpacing/>
        <w:jc w:val="left"/>
      </w:pPr>
    </w:p>
    <w:p w:rsidR="00BF43BD" w:rsidRPr="003E75C6" w:rsidRDefault="00BF43BD" w:rsidP="00BF43BD">
      <w:pPr>
        <w:spacing w:line="240" w:lineRule="auto"/>
        <w:ind w:left="1440" w:right="1440"/>
        <w:contextualSpacing/>
        <w:jc w:val="left"/>
      </w:pPr>
      <w:r w:rsidRPr="003E75C6">
        <w:tab/>
        <w:t>(3)</w:t>
      </w:r>
      <w:r w:rsidRPr="003E75C6">
        <w:tab/>
        <w:t>Insufficient specificity of a pleading.</w:t>
      </w:r>
    </w:p>
    <w:p w:rsidR="00BF43BD" w:rsidRPr="003E75C6" w:rsidRDefault="00BF43BD" w:rsidP="00BF43BD">
      <w:pPr>
        <w:spacing w:line="240" w:lineRule="auto"/>
        <w:ind w:left="1440" w:right="1440"/>
        <w:contextualSpacing/>
        <w:jc w:val="left"/>
      </w:pPr>
    </w:p>
    <w:p w:rsidR="00BF43BD" w:rsidRPr="003E75C6" w:rsidRDefault="00BF43BD" w:rsidP="00BF43BD">
      <w:pPr>
        <w:spacing w:line="240" w:lineRule="auto"/>
        <w:ind w:left="1440" w:right="1440"/>
        <w:contextualSpacing/>
        <w:jc w:val="left"/>
      </w:pPr>
      <w:r w:rsidRPr="003E75C6">
        <w:tab/>
        <w:t>(4)</w:t>
      </w:r>
      <w:r w:rsidRPr="003E75C6">
        <w:tab/>
        <w:t>Legal insufficiency of a pleading.</w:t>
      </w:r>
    </w:p>
    <w:p w:rsidR="00BF43BD" w:rsidRPr="003E75C6" w:rsidRDefault="00BF43BD" w:rsidP="00BF43BD">
      <w:pPr>
        <w:spacing w:line="240" w:lineRule="auto"/>
        <w:ind w:left="1440" w:right="1440"/>
        <w:contextualSpacing/>
        <w:jc w:val="left"/>
      </w:pPr>
    </w:p>
    <w:p w:rsidR="00BF43BD" w:rsidRPr="003E75C6" w:rsidRDefault="00BF43BD" w:rsidP="00BF43BD">
      <w:pPr>
        <w:spacing w:line="240" w:lineRule="auto"/>
        <w:ind w:left="1440" w:right="1440"/>
        <w:contextualSpacing/>
        <w:jc w:val="left"/>
      </w:pPr>
      <w:r w:rsidRPr="003E75C6">
        <w:tab/>
        <w:t>(5)</w:t>
      </w:r>
      <w:r w:rsidRPr="003E75C6">
        <w:tab/>
        <w:t>Lack of capacity to sue, nonjoinder of a necessary party or misjoinder of a cause of action.</w:t>
      </w:r>
    </w:p>
    <w:p w:rsidR="00BF43BD" w:rsidRPr="003E75C6" w:rsidRDefault="00BF43BD" w:rsidP="00BF43BD">
      <w:pPr>
        <w:spacing w:line="240" w:lineRule="auto"/>
        <w:ind w:left="1440" w:right="1440"/>
        <w:contextualSpacing/>
        <w:jc w:val="left"/>
      </w:pPr>
    </w:p>
    <w:p w:rsidR="00BF43BD" w:rsidRPr="003E75C6" w:rsidRDefault="00BF43BD" w:rsidP="00BF43BD">
      <w:pPr>
        <w:spacing w:line="240" w:lineRule="auto"/>
        <w:ind w:left="1440" w:right="1440"/>
        <w:contextualSpacing/>
        <w:jc w:val="left"/>
      </w:pPr>
      <w:r w:rsidRPr="003E75C6">
        <w:tab/>
        <w:t>(6)</w:t>
      </w:r>
      <w:r w:rsidRPr="003E75C6">
        <w:tab/>
        <w:t>Pendency of a prior proceeding or agreement for alternative dispute resolution.</w:t>
      </w:r>
    </w:p>
    <w:p w:rsidR="00BF43BD" w:rsidRPr="003E75C6" w:rsidRDefault="00BF43BD" w:rsidP="00BF43BD">
      <w:pPr>
        <w:spacing w:line="240" w:lineRule="auto"/>
        <w:ind w:left="1440" w:right="1440"/>
        <w:contextualSpacing/>
        <w:jc w:val="left"/>
      </w:pPr>
    </w:p>
    <w:p w:rsidR="00BF43BD" w:rsidRPr="003E75C6" w:rsidRDefault="00BF43BD" w:rsidP="00BF43BD">
      <w:pPr>
        <w:spacing w:line="240" w:lineRule="auto"/>
        <w:ind w:left="1440" w:right="1440"/>
        <w:contextualSpacing/>
        <w:jc w:val="left"/>
      </w:pPr>
      <w:r w:rsidRPr="003E75C6">
        <w:t xml:space="preserve">52 </w:t>
      </w:r>
      <w:smartTag w:uri="urn:schemas-microsoft-com:office:smarttags" w:element="place">
        <w:smartTag w:uri="urn:schemas-microsoft-com:office:smarttags" w:element="State">
          <w:r w:rsidRPr="003E75C6">
            <w:t>Pa.</w:t>
          </w:r>
        </w:smartTag>
      </w:smartTag>
      <w:r w:rsidRPr="003E75C6">
        <w:t xml:space="preserve"> Code § 5.101(a).</w:t>
      </w:r>
    </w:p>
    <w:p w:rsidR="00BF43BD" w:rsidRPr="003E75C6" w:rsidRDefault="00BF43BD" w:rsidP="00BF43BD">
      <w:pPr>
        <w:jc w:val="left"/>
      </w:pPr>
    </w:p>
    <w:p w:rsidR="00BF43BD" w:rsidRPr="003E75C6" w:rsidRDefault="00BF43BD" w:rsidP="00BF43BD">
      <w:pPr>
        <w:jc w:val="left"/>
      </w:pPr>
      <w:r w:rsidRPr="003E75C6">
        <w:lastRenderedPageBreak/>
        <w:tab/>
      </w:r>
      <w:r w:rsidRPr="003E75C6">
        <w:tab/>
        <w:t xml:space="preserve">In deciding the preliminary objections, the Commission must determine whether, based on well-pleaded factual averments of the </w:t>
      </w:r>
      <w:r w:rsidR="00020334">
        <w:t>complainant</w:t>
      </w:r>
      <w:r w:rsidRPr="003E75C6">
        <w:t xml:space="preserve">, recovery or relief is possible.  </w:t>
      </w:r>
      <w:r w:rsidRPr="003E75C6">
        <w:rPr>
          <w:i/>
        </w:rPr>
        <w:t>Dept. of Auditor General, et al v. SERS, et al.</w:t>
      </w:r>
      <w:r w:rsidRPr="003E75C6">
        <w:t xml:space="preserve">, 836 A.2d 1053, 1064 (Pa. Cmwlth. 2003), 2003 Pa. Commw. LEXIS 849;  </w:t>
      </w:r>
      <w:r w:rsidRPr="003E75C6">
        <w:rPr>
          <w:i/>
        </w:rPr>
        <w:t xml:space="preserve">P.J.S. v. </w:t>
      </w:r>
      <w:smartTag w:uri="urn:schemas-microsoft-com:office:smarttags" w:element="PlaceName">
        <w:r w:rsidRPr="003E75C6">
          <w:rPr>
            <w:i/>
          </w:rPr>
          <w:t>Pa.</w:t>
        </w:r>
      </w:smartTag>
      <w:r w:rsidRPr="003E75C6">
        <w:rPr>
          <w:i/>
        </w:rPr>
        <w:t xml:space="preserve"> </w:t>
      </w:r>
      <w:smartTag w:uri="urn:schemas-microsoft-com:office:smarttags" w:element="PlaceType">
        <w:r w:rsidRPr="003E75C6">
          <w:rPr>
            <w:i/>
          </w:rPr>
          <w:t>State</w:t>
        </w:r>
      </w:smartTag>
      <w:r w:rsidRPr="003E75C6">
        <w:rPr>
          <w:i/>
        </w:rPr>
        <w:t xml:space="preserve"> Ethics Comm’n,</w:t>
      </w:r>
      <w:r w:rsidRPr="003E75C6">
        <w:t xml:space="preserve"> 669 A.2d 1105 (</w:t>
      </w:r>
      <w:smartTag w:uri="urn:schemas-microsoft-com:office:smarttags" w:element="State">
        <w:r w:rsidRPr="003E75C6">
          <w:t>Pa.</w:t>
        </w:r>
      </w:smartTag>
      <w:r w:rsidRPr="003E75C6">
        <w:t xml:space="preserve"> Cmwlth. 1996)</w:t>
      </w:r>
      <w:r>
        <w:t>,</w:t>
      </w:r>
      <w:r w:rsidRPr="003E75C6">
        <w:t xml:space="preserve"> 1996 </w:t>
      </w:r>
      <w:smartTag w:uri="urn:schemas-microsoft-com:office:smarttags" w:element="place">
        <w:smartTag w:uri="urn:schemas-microsoft-com:office:smarttags" w:element="State">
          <w:r w:rsidRPr="003E75C6">
            <w:t>Pa.</w:t>
          </w:r>
        </w:smartTag>
      </w:smartTag>
      <w:r w:rsidRPr="003E75C6">
        <w:t xml:space="preserve"> Commw. LEXIS 11.  Any doubt must be resolved in favor of the non-moving party by refusing to sustain the preliminary objections.  </w:t>
      </w:r>
      <w:r w:rsidRPr="003E75C6">
        <w:rPr>
          <w:i/>
        </w:rPr>
        <w:t xml:space="preserve">Boyd v. Ward, </w:t>
      </w:r>
      <w:r w:rsidRPr="003E75C6">
        <w:t>802 A.2d 705 (Pa.Cmwlth. 2002)</w:t>
      </w:r>
      <w:r>
        <w:t>,</w:t>
      </w:r>
      <w:r w:rsidRPr="003E75C6">
        <w:t xml:space="preserve"> 2002 </w:t>
      </w:r>
      <w:smartTag w:uri="urn:schemas-microsoft-com:office:smarttags" w:element="place">
        <w:smartTag w:uri="urn:schemas-microsoft-com:office:smarttags" w:element="State">
          <w:r w:rsidRPr="003E75C6">
            <w:t>Pa.</w:t>
          </w:r>
        </w:smartTag>
      </w:smartTag>
      <w:r w:rsidRPr="003E75C6">
        <w:t xml:space="preserve"> Commw. LEXIS 580.  All of the non-moving party’s averments in the complaint must be viewed as true for purposes of deciding the preliminary objections, and only those facts specifically admitted may be considered against the non-moving party.  </w:t>
      </w:r>
      <w:r w:rsidRPr="003E75C6">
        <w:rPr>
          <w:i/>
        </w:rPr>
        <w:t xml:space="preserve">Ridge v. State Employees’ Retirement </w:t>
      </w:r>
      <w:r w:rsidRPr="00F514AD">
        <w:rPr>
          <w:i/>
        </w:rPr>
        <w:t>Board</w:t>
      </w:r>
      <w:r w:rsidRPr="003E75C6">
        <w:t>, 690 A.2d 1312 (</w:t>
      </w:r>
      <w:smartTag w:uri="urn:schemas-microsoft-com:office:smarttags" w:element="State">
        <w:r w:rsidRPr="003E75C6">
          <w:t>Pa.</w:t>
        </w:r>
      </w:smartTag>
      <w:r w:rsidRPr="003E75C6">
        <w:t xml:space="preserve"> Cmwlth. 1997) 1997 </w:t>
      </w:r>
      <w:smartTag w:uri="urn:schemas-microsoft-com:office:smarttags" w:element="place">
        <w:smartTag w:uri="urn:schemas-microsoft-com:office:smarttags" w:element="State">
          <w:r w:rsidRPr="003E75C6">
            <w:t>Pa.</w:t>
          </w:r>
        </w:smartTag>
      </w:smartTag>
      <w:r w:rsidRPr="003E75C6">
        <w:t xml:space="preserve"> Commw. LEXIS 148.  </w:t>
      </w:r>
    </w:p>
    <w:p w:rsidR="00BF43BD" w:rsidRDefault="00BF43BD" w:rsidP="00BF43BD">
      <w:pPr>
        <w:jc w:val="left"/>
      </w:pPr>
      <w:r>
        <w:tab/>
      </w:r>
      <w:r>
        <w:tab/>
      </w:r>
      <w:r>
        <w:tab/>
      </w:r>
      <w:r>
        <w:tab/>
      </w:r>
    </w:p>
    <w:p w:rsidR="00BF43BD" w:rsidRDefault="00BF43BD" w:rsidP="00BF43BD">
      <w:pPr>
        <w:jc w:val="left"/>
      </w:pPr>
      <w:r>
        <w:tab/>
      </w:r>
      <w:r>
        <w:tab/>
        <w:t>The Commission’s regulations provide that the content of a formal complaint must include “A clear and concise statement of the act or omission being complained of including the result of any informal complaint or informal investigation,” and “A clear and concise statement of the relief sought.”  52 Pa. Code § 5.22(1)(5) and (6).  The subject Complaint states no facts at all.</w:t>
      </w:r>
    </w:p>
    <w:p w:rsidR="00BF43BD" w:rsidRDefault="00BF43BD" w:rsidP="00BF43BD">
      <w:pPr>
        <w:jc w:val="left"/>
      </w:pPr>
    </w:p>
    <w:p w:rsidR="00BF43BD" w:rsidRPr="00FA08B0" w:rsidRDefault="00BF43BD" w:rsidP="00BF43BD">
      <w:pPr>
        <w:jc w:val="left"/>
      </w:pPr>
      <w:r>
        <w:tab/>
      </w:r>
      <w:r>
        <w:tab/>
      </w:r>
      <w:r w:rsidRPr="00FA08B0">
        <w:t xml:space="preserve">The Commission’s rule is based on Pennsylvania’s Rule of Civil Procedure 1019, which requires a plaintiff to plead all the facts that he must prove in order to achieve recovery on the alleged cause of action. The </w:t>
      </w:r>
      <w:r w:rsidRPr="00FA08B0">
        <w:rPr>
          <w:rStyle w:val="term1"/>
          <w:b w:val="0"/>
        </w:rPr>
        <w:t>pleading</w:t>
      </w:r>
      <w:r w:rsidRPr="00FA08B0">
        <w:t xml:space="preserve"> must be sufficiently specific so that the defending party will know how to prepare his defense</w:t>
      </w:r>
      <w:r w:rsidRPr="00BF43BD">
        <w:t xml:space="preserve">. </w:t>
      </w:r>
      <w:r w:rsidR="00D74112">
        <w:t xml:space="preserve"> </w:t>
      </w:r>
      <w:hyperlink r:id="rId6" w:history="1">
        <w:r w:rsidRPr="00BF43BD">
          <w:rPr>
            <w:rStyle w:val="Hyperlink"/>
            <w:i/>
            <w:iCs/>
            <w:color w:val="auto"/>
          </w:rPr>
          <w:t>Department of Transportation v. Shipley Humble Oil Co.</w:t>
        </w:r>
        <w:r w:rsidRPr="00BF43BD">
          <w:rPr>
            <w:rStyle w:val="Hyperlink"/>
            <w:color w:val="auto"/>
          </w:rPr>
          <w:t>, 29 Pa. Commw. 171, 370 A.2d 438 (Pa. Cmwlth. 1977)</w:t>
        </w:r>
      </w:hyperlink>
      <w:r w:rsidRPr="00BF43BD">
        <w:t xml:space="preserve">. </w:t>
      </w:r>
      <w:r w:rsidR="00D74112">
        <w:t xml:space="preserve"> </w:t>
      </w:r>
      <w:r w:rsidRPr="00FA08B0">
        <w:t xml:space="preserve">Pennsylvania is a fact </w:t>
      </w:r>
      <w:r w:rsidRPr="00FA08B0">
        <w:rPr>
          <w:rStyle w:val="term1"/>
          <w:b w:val="0"/>
        </w:rPr>
        <w:t>pleading,</w:t>
      </w:r>
      <w:r w:rsidRPr="00FA08B0">
        <w:t xml:space="preserve"> rather than notice, state. Thus, the </w:t>
      </w:r>
      <w:r w:rsidRPr="00FA08B0">
        <w:rPr>
          <w:rStyle w:val="term1"/>
          <w:b w:val="0"/>
        </w:rPr>
        <w:t>pleadings</w:t>
      </w:r>
      <w:r w:rsidRPr="00FA08B0">
        <w:rPr>
          <w:b/>
        </w:rPr>
        <w:t xml:space="preserve"> </w:t>
      </w:r>
      <w:r w:rsidRPr="00FA08B0">
        <w:t>should conform to the elements necessary to state a cause of action.</w:t>
      </w:r>
      <w:r>
        <w:t xml:space="preserve">  </w:t>
      </w:r>
      <w:r w:rsidRPr="00B67690">
        <w:rPr>
          <w:i/>
        </w:rPr>
        <w:t>Pappert v. Tapp Pharmaceuticals, et al</w:t>
      </w:r>
      <w:r w:rsidRPr="00FA08B0">
        <w:t>., 868 A.2d 624; 2005 Pa. Commw. LEXIS 39</w:t>
      </w:r>
      <w:r>
        <w:t>.</w:t>
      </w:r>
    </w:p>
    <w:p w:rsidR="00BF43BD" w:rsidRPr="00FA08B0" w:rsidRDefault="00BF43BD" w:rsidP="00BF43BD">
      <w:pPr>
        <w:jc w:val="left"/>
      </w:pPr>
    </w:p>
    <w:p w:rsidR="00BF43BD" w:rsidRDefault="00BF43BD" w:rsidP="00BF43BD">
      <w:pPr>
        <w:jc w:val="left"/>
      </w:pPr>
      <w:r>
        <w:tab/>
      </w:r>
      <w:r>
        <w:tab/>
        <w:t xml:space="preserve">Here, it is clear that the complaint does not contain sufficient factual detail to permit the opposing party an opportunity to formulate a meaningful response.  “There are incorrect charges on my bill,” describes many scenarios, and it is not reasonable to expect the utility to know which one to address.  Nor can the adjudicator determine if the burden of proving Complainant’s case has ultimately been met if there is no actual averment set out in the </w:t>
      </w:r>
      <w:r>
        <w:lastRenderedPageBreak/>
        <w:t xml:space="preserve">Complaint.  Rather, the facts must be set forth in sufficient detail to: (1) allow the utility to respond to them; and (2) allow the utility to prepare its defense; and (3) allow the adjudicator to recognize an actionable complaint.  The Preliminary Objection will be granted, and the Complainant will have </w:t>
      </w:r>
      <w:r w:rsidR="004A0437">
        <w:t>t</w:t>
      </w:r>
      <w:r w:rsidR="000E78B6">
        <w:t>went</w:t>
      </w:r>
      <w:r w:rsidR="004A0437">
        <w:t>y</w:t>
      </w:r>
      <w:r>
        <w:t xml:space="preserve"> days from the date of this Order to file an Amended Complaint that complies with the requirements.</w:t>
      </w:r>
    </w:p>
    <w:p w:rsidR="00D225EB" w:rsidRDefault="00D225EB" w:rsidP="00BF43BD">
      <w:pPr>
        <w:jc w:val="left"/>
      </w:pPr>
    </w:p>
    <w:p w:rsidR="00D225EB" w:rsidRDefault="00D225EB" w:rsidP="00BF43BD">
      <w:pPr>
        <w:jc w:val="left"/>
      </w:pPr>
      <w:r>
        <w:tab/>
      </w:r>
      <w:r>
        <w:tab/>
        <w:t xml:space="preserve">Next, </w:t>
      </w:r>
      <w:r w:rsidR="00092376">
        <w:t xml:space="preserve">Respondent alleges in its New Matter </w:t>
      </w:r>
      <w:r w:rsidR="00D74112">
        <w:t xml:space="preserve">and Preliminary Objections </w:t>
      </w:r>
      <w:r w:rsidR="00092376">
        <w:t xml:space="preserve">that Complainant is enrolled in Met-Ed’s </w:t>
      </w:r>
      <w:r w:rsidR="00D74112">
        <w:t>CAP</w:t>
      </w:r>
      <w:r w:rsidR="00092376">
        <w:t xml:space="preserve"> program, </w:t>
      </w:r>
      <w:r w:rsidR="00D74112">
        <w:t>the</w:t>
      </w:r>
      <w:r w:rsidR="00092376">
        <w:t xml:space="preserve"> rates</w:t>
      </w:r>
      <w:r w:rsidR="00D74112">
        <w:t xml:space="preserve"> of which</w:t>
      </w:r>
      <w:r w:rsidR="00092376">
        <w:t xml:space="preserve"> are not subject to payment agreements:</w:t>
      </w:r>
    </w:p>
    <w:p w:rsidR="00092376" w:rsidRDefault="00092376" w:rsidP="00BF43BD">
      <w:pPr>
        <w:jc w:val="left"/>
      </w:pPr>
    </w:p>
    <w:p w:rsidR="00092376" w:rsidRDefault="00092376" w:rsidP="00442C5B">
      <w:pPr>
        <w:spacing w:line="240" w:lineRule="auto"/>
        <w:ind w:left="1440" w:right="1440"/>
        <w:jc w:val="left"/>
      </w:pPr>
      <w:r w:rsidRPr="00D74112">
        <w:rPr>
          <w:b/>
        </w:rPr>
        <w:t>(c) Customer assistance programs</w:t>
      </w:r>
      <w:r>
        <w:t>.—Customer assistance program rates shall be timely paid and shall not be the subject of payment agreements negotiated or approved by the commission.</w:t>
      </w:r>
    </w:p>
    <w:p w:rsidR="00092376" w:rsidRDefault="00092376" w:rsidP="00442C5B">
      <w:pPr>
        <w:spacing w:line="240" w:lineRule="auto"/>
        <w:ind w:left="1440" w:right="1440"/>
        <w:jc w:val="left"/>
      </w:pPr>
      <w:r>
        <w:t xml:space="preserve">66 Pa. C.S. § 1405(c).  </w:t>
      </w:r>
    </w:p>
    <w:p w:rsidR="00092376" w:rsidRDefault="00092376" w:rsidP="00BF43BD">
      <w:pPr>
        <w:jc w:val="left"/>
      </w:pPr>
    </w:p>
    <w:p w:rsidR="00021FD8" w:rsidRDefault="00092376" w:rsidP="00BF43BD">
      <w:pPr>
        <w:jc w:val="left"/>
      </w:pPr>
      <w:r>
        <w:tab/>
      </w:r>
      <w:r>
        <w:tab/>
        <w:t xml:space="preserve">Respondent is correct that </w:t>
      </w:r>
      <w:r w:rsidR="00442C5B">
        <w:t xml:space="preserve">the Commission cannot order or approve a payment agreement for CAP rates.  However, the allegation that Complainant is a CAP customer appears in the New Matter and Preliminary Objections, </w:t>
      </w:r>
      <w:r w:rsidR="00D74112">
        <w:t xml:space="preserve">documents filed by the Respondent, </w:t>
      </w:r>
      <w:r w:rsidR="00442C5B">
        <w:t xml:space="preserve">not in the Complaint.  For purposes of evaluating preliminary objections, only those facts admitted by Complainant may be considered.  </w:t>
      </w:r>
      <w:r w:rsidR="00021FD8">
        <w:t xml:space="preserve">I note that the facts set forth in the New Matter are deemed to be admitted for purposes of evaluating a subsequent motion for judgment on the pleadings but may not be used to support preliminary objections.  52 Pa. Code § 5.102.  </w:t>
      </w:r>
    </w:p>
    <w:p w:rsidR="00021FD8" w:rsidRDefault="00021FD8" w:rsidP="00BF43BD">
      <w:pPr>
        <w:jc w:val="left"/>
      </w:pPr>
    </w:p>
    <w:p w:rsidR="00BF43BD" w:rsidRDefault="00021FD8" w:rsidP="00BF43BD">
      <w:pPr>
        <w:jc w:val="left"/>
      </w:pPr>
      <w:r>
        <w:tab/>
      </w:r>
      <w:r>
        <w:tab/>
        <w:t>I note that the utility filed an answer as well as preliminary objections</w:t>
      </w:r>
      <w:r w:rsidR="00DE1A89">
        <w:t xml:space="preserve"> alleging that the Complaint contained too few details to formulate a definitive answer.  </w:t>
      </w:r>
      <w:r w:rsidR="00BF43BD">
        <w:t xml:space="preserve">While appreciating the efforts of the utility to address the anticipated facts, </w:t>
      </w:r>
      <w:r w:rsidR="000F0035">
        <w:t>t</w:t>
      </w:r>
      <w:r w:rsidR="00AD07C5">
        <w:t>he rules build in a safety net for preliminary objections based on insufficient specificity of pleadings</w:t>
      </w:r>
      <w:r w:rsidR="000F0035">
        <w:t>.  E</w:t>
      </w:r>
      <w:r w:rsidR="00BF43BD">
        <w:t xml:space="preserve">ven if the Preliminary Objections were denied, Respondent would be given 20 days in which to file its responsive pleading.  </w:t>
      </w:r>
      <w:r w:rsidR="00AD07C5">
        <w:t xml:space="preserve">52 Pa. Code § 5.101.  </w:t>
      </w:r>
    </w:p>
    <w:p w:rsidR="00BF43BD" w:rsidRDefault="00BF43BD" w:rsidP="00BF43BD">
      <w:pPr>
        <w:jc w:val="left"/>
      </w:pPr>
    </w:p>
    <w:p w:rsidR="00BF43BD" w:rsidRPr="00C7452D" w:rsidRDefault="00BF43BD" w:rsidP="00BF43BD">
      <w:pPr>
        <w:jc w:val="left"/>
      </w:pPr>
      <w:r>
        <w:tab/>
      </w:r>
      <w:r>
        <w:tab/>
      </w:r>
      <w:r w:rsidR="0038042D">
        <w:t>T</w:t>
      </w:r>
      <w:r>
        <w:t xml:space="preserve">he inclusion of the information in the answer would not cure the defect in the pleadings caused by the failure of the Complainant to include them in the Complaint.  It is only </w:t>
      </w:r>
      <w:r>
        <w:lastRenderedPageBreak/>
        <w:t xml:space="preserve">those allegations in the Complaint which Respondent must defend against.  Therefore, it is necessary for the Complainant to set them out in sufficient factual detail in order to permit the Respondent the opportunity to formulate a meaningful response.  </w:t>
      </w:r>
    </w:p>
    <w:p w:rsidR="00BF43BD" w:rsidRDefault="00BF43BD" w:rsidP="00BF43BD">
      <w:pPr>
        <w:jc w:val="left"/>
      </w:pPr>
    </w:p>
    <w:p w:rsidR="00BF43BD" w:rsidRDefault="00BF43BD" w:rsidP="00BF43BD">
      <w:pPr>
        <w:jc w:val="left"/>
      </w:pPr>
      <w:r>
        <w:tab/>
      </w:r>
      <w:r>
        <w:tab/>
        <w:t xml:space="preserve">Accordingly, the preliminary objection is granted.  Complainant is directed to file an amended complaint within </w:t>
      </w:r>
      <w:r w:rsidR="009F0C4D">
        <w:t>twenty</w:t>
      </w:r>
      <w:r>
        <w:t xml:space="preserve"> days of this Order or the complaint will be dismissed.  </w:t>
      </w:r>
      <w:r w:rsidR="00DE1A89">
        <w:t xml:space="preserve">Complainant is warned that </w:t>
      </w:r>
      <w:r w:rsidR="009F0C4D">
        <w:t xml:space="preserve">the Commission cannot </w:t>
      </w:r>
      <w:r w:rsidR="00DE1A89">
        <w:t xml:space="preserve">grant </w:t>
      </w:r>
      <w:r w:rsidR="009F0C4D">
        <w:t xml:space="preserve">him </w:t>
      </w:r>
      <w:r w:rsidR="00DE1A89">
        <w:t xml:space="preserve">a payment agreement if he is a CAP customer.  The amended complaint must detail </w:t>
      </w:r>
      <w:r w:rsidR="009F0C4D">
        <w:t xml:space="preserve">support for </w:t>
      </w:r>
      <w:r w:rsidR="00DE1A89">
        <w:t xml:space="preserve">the claim for the allegation that “there are </w:t>
      </w:r>
      <w:r w:rsidR="009F0C4D">
        <w:t>incorrect charges on my bill.”</w:t>
      </w:r>
    </w:p>
    <w:p w:rsidR="00DE1A89" w:rsidRDefault="00DE1A89" w:rsidP="00BF43BD">
      <w:pPr>
        <w:jc w:val="left"/>
      </w:pPr>
    </w:p>
    <w:p w:rsidR="00BF43BD" w:rsidRDefault="00BF43BD" w:rsidP="00BF43BD">
      <w:pPr>
        <w:rPr>
          <w:u w:val="single"/>
        </w:rPr>
      </w:pPr>
      <w:r>
        <w:rPr>
          <w:u w:val="single"/>
        </w:rPr>
        <w:t>CONCLUSIONS OF LAW</w:t>
      </w:r>
    </w:p>
    <w:p w:rsidR="00BF43BD" w:rsidRDefault="00BF43BD" w:rsidP="00BF43BD">
      <w:pPr>
        <w:rPr>
          <w:u w:val="single"/>
        </w:rPr>
      </w:pPr>
    </w:p>
    <w:p w:rsidR="00BF43BD" w:rsidRDefault="009F0C4D" w:rsidP="00BF43BD">
      <w:pPr>
        <w:jc w:val="left"/>
      </w:pPr>
      <w:r>
        <w:tab/>
      </w:r>
      <w:r>
        <w:tab/>
      </w:r>
      <w:r w:rsidR="00BF43BD">
        <w:t>1.</w:t>
      </w:r>
      <w:r w:rsidR="00BF43BD">
        <w:tab/>
      </w:r>
      <w:r w:rsidR="00BF43BD" w:rsidRPr="003E75C6">
        <w:t xml:space="preserve">Commission regulations permit the filing of preliminary objections.  52 </w:t>
      </w:r>
      <w:smartTag w:uri="urn:schemas-microsoft-com:office:smarttags" w:element="place">
        <w:smartTag w:uri="urn:schemas-microsoft-com:office:smarttags" w:element="State">
          <w:r w:rsidR="00BF43BD" w:rsidRPr="003E75C6">
            <w:t>Pa.</w:t>
          </w:r>
        </w:smartTag>
      </w:smartTag>
      <w:r w:rsidR="00BF43BD" w:rsidRPr="003E75C6">
        <w:t xml:space="preserve"> Code §§ 5.101(a)(1)-(6).</w:t>
      </w:r>
    </w:p>
    <w:p w:rsidR="00BF43BD" w:rsidRDefault="00BF43BD" w:rsidP="00BF43BD">
      <w:pPr>
        <w:jc w:val="left"/>
      </w:pPr>
    </w:p>
    <w:p w:rsidR="00BF43BD" w:rsidRDefault="009F0C4D" w:rsidP="00BF43BD">
      <w:pPr>
        <w:jc w:val="left"/>
      </w:pPr>
      <w:r>
        <w:tab/>
      </w:r>
      <w:r>
        <w:tab/>
      </w:r>
      <w:r w:rsidR="00BF43BD">
        <w:t>2.</w:t>
      </w:r>
      <w:r w:rsidR="00BF43BD">
        <w:tab/>
      </w:r>
      <w:r w:rsidR="00BF43BD" w:rsidRPr="003E75C6">
        <w:t xml:space="preserve">Preliminary objection practice before the Commission is similar to </w:t>
      </w:r>
      <w:smartTag w:uri="urn:schemas-microsoft-com:office:smarttags" w:element="place">
        <w:smartTag w:uri="urn:schemas-microsoft-com:office:smarttags" w:element="State">
          <w:r w:rsidR="00BF43BD" w:rsidRPr="003E75C6">
            <w:t>Pennsylvania</w:t>
          </w:r>
        </w:smartTag>
      </w:smartTag>
      <w:r w:rsidR="00BF43BD" w:rsidRPr="003E75C6">
        <w:t xml:space="preserve"> civil practice respecting preliminary objections. </w:t>
      </w:r>
      <w:r w:rsidR="00BF43BD" w:rsidRPr="003E75C6">
        <w:rPr>
          <w:i/>
        </w:rPr>
        <w:t>Equitable Small Transportation Intervenors v. Equitable Gas Company</w:t>
      </w:r>
      <w:r w:rsidR="00BF43BD" w:rsidRPr="003E75C6">
        <w:t xml:space="preserve">, 1994 </w:t>
      </w:r>
      <w:smartTag w:uri="urn:schemas-microsoft-com:office:smarttags" w:element="place">
        <w:smartTag w:uri="urn:schemas-microsoft-com:office:smarttags" w:element="State">
          <w:r w:rsidR="00BF43BD" w:rsidRPr="003E75C6">
            <w:t>Pa.</w:t>
          </w:r>
        </w:smartTag>
      </w:smartTag>
      <w:r w:rsidR="00BF43BD" w:rsidRPr="003E75C6">
        <w:t xml:space="preserve"> PUC LEXIS 69, Docket No. C-00935435 (July 18, 1994).</w:t>
      </w:r>
    </w:p>
    <w:p w:rsidR="00BF43BD" w:rsidRDefault="00BF43BD" w:rsidP="00BF43BD">
      <w:pPr>
        <w:jc w:val="left"/>
      </w:pPr>
    </w:p>
    <w:p w:rsidR="00BF43BD" w:rsidRDefault="009F0C4D" w:rsidP="00BF43BD">
      <w:pPr>
        <w:jc w:val="left"/>
      </w:pPr>
      <w:r>
        <w:tab/>
      </w:r>
      <w:r>
        <w:tab/>
      </w:r>
      <w:r w:rsidR="00BF43BD">
        <w:t>3.</w:t>
      </w:r>
      <w:r w:rsidR="00BF43BD">
        <w:tab/>
      </w:r>
      <w:r w:rsidR="00BF43BD" w:rsidRPr="003E75C6">
        <w:t xml:space="preserve">In deciding the preliminary objections, the Commission must determine whether, based on well-pleaded factual averments of the </w:t>
      </w:r>
      <w:r w:rsidR="00AA47A2">
        <w:t>Complainants,</w:t>
      </w:r>
      <w:r w:rsidR="00BF43BD" w:rsidRPr="003E75C6">
        <w:t xml:space="preserve"> recovery or relief is possible.  </w:t>
      </w:r>
      <w:r w:rsidR="00BF43BD" w:rsidRPr="003E75C6">
        <w:rPr>
          <w:i/>
        </w:rPr>
        <w:t>Dept. of Auditor General, et al v. SERS, et al.</w:t>
      </w:r>
      <w:r w:rsidR="00BF43BD" w:rsidRPr="003E75C6">
        <w:t xml:space="preserve">, 836 A.2d 1053, 1064 (Pa. Cmwlth. 2003), 2003 Pa. Commw. LEXIS 849;  </w:t>
      </w:r>
      <w:r w:rsidR="00BF43BD" w:rsidRPr="003E75C6">
        <w:rPr>
          <w:i/>
        </w:rPr>
        <w:t xml:space="preserve">P.J.S. v. </w:t>
      </w:r>
      <w:smartTag w:uri="urn:schemas-microsoft-com:office:smarttags" w:element="PlaceName">
        <w:r w:rsidR="00BF43BD" w:rsidRPr="003E75C6">
          <w:rPr>
            <w:i/>
          </w:rPr>
          <w:t>Pa.</w:t>
        </w:r>
      </w:smartTag>
      <w:r w:rsidR="00BF43BD" w:rsidRPr="003E75C6">
        <w:rPr>
          <w:i/>
        </w:rPr>
        <w:t xml:space="preserve"> </w:t>
      </w:r>
      <w:smartTag w:uri="urn:schemas-microsoft-com:office:smarttags" w:element="PlaceType">
        <w:r w:rsidR="00BF43BD" w:rsidRPr="003E75C6">
          <w:rPr>
            <w:i/>
          </w:rPr>
          <w:t>State</w:t>
        </w:r>
      </w:smartTag>
      <w:r w:rsidR="00BF43BD" w:rsidRPr="003E75C6">
        <w:rPr>
          <w:i/>
        </w:rPr>
        <w:t xml:space="preserve"> Ethics Comm’n,</w:t>
      </w:r>
      <w:r w:rsidR="00BF43BD" w:rsidRPr="003E75C6">
        <w:t xml:space="preserve"> 669 A.2d 1105 (</w:t>
      </w:r>
      <w:smartTag w:uri="urn:schemas-microsoft-com:office:smarttags" w:element="State">
        <w:r w:rsidR="00BF43BD" w:rsidRPr="003E75C6">
          <w:t>Pa.</w:t>
        </w:r>
      </w:smartTag>
      <w:r w:rsidR="00BF43BD" w:rsidRPr="003E75C6">
        <w:t xml:space="preserve"> Cmwlth. 1996)</w:t>
      </w:r>
      <w:r w:rsidR="00BF43BD">
        <w:t>,</w:t>
      </w:r>
      <w:r w:rsidR="00BF43BD" w:rsidRPr="003E75C6">
        <w:t xml:space="preserve"> 1996 </w:t>
      </w:r>
      <w:smartTag w:uri="urn:schemas-microsoft-com:office:smarttags" w:element="place">
        <w:smartTag w:uri="urn:schemas-microsoft-com:office:smarttags" w:element="State">
          <w:r w:rsidR="00BF43BD" w:rsidRPr="003E75C6">
            <w:t>Pa.</w:t>
          </w:r>
        </w:smartTag>
      </w:smartTag>
      <w:r w:rsidR="00BF43BD" w:rsidRPr="003E75C6">
        <w:t xml:space="preserve"> Commw. LEXIS 11.</w:t>
      </w:r>
    </w:p>
    <w:p w:rsidR="00BF43BD" w:rsidRDefault="00BF43BD" w:rsidP="00BF43BD">
      <w:pPr>
        <w:jc w:val="left"/>
      </w:pPr>
    </w:p>
    <w:p w:rsidR="00BF43BD" w:rsidRDefault="009F0C4D" w:rsidP="00BF43BD">
      <w:pPr>
        <w:jc w:val="left"/>
      </w:pPr>
      <w:r>
        <w:tab/>
      </w:r>
      <w:r>
        <w:tab/>
      </w:r>
      <w:r w:rsidR="00BF43BD">
        <w:t>4.</w:t>
      </w:r>
      <w:r w:rsidR="00BF43BD">
        <w:tab/>
      </w:r>
      <w:r w:rsidR="00BF43BD" w:rsidRPr="003E75C6">
        <w:t xml:space="preserve">Any doubt must be resolved in favor of the non-moving party by refusing to sustain the preliminary objections.  </w:t>
      </w:r>
      <w:r w:rsidR="00BF43BD" w:rsidRPr="003E75C6">
        <w:rPr>
          <w:i/>
        </w:rPr>
        <w:t xml:space="preserve">Boyd v. Ward, </w:t>
      </w:r>
      <w:r w:rsidR="00BF43BD" w:rsidRPr="003E75C6">
        <w:t>802 A.2d 705 (Pa.Cmwlth. 2002)</w:t>
      </w:r>
      <w:r w:rsidR="00BF43BD">
        <w:t>,</w:t>
      </w:r>
      <w:r w:rsidR="00BF43BD" w:rsidRPr="003E75C6">
        <w:t xml:space="preserve"> 2002 </w:t>
      </w:r>
      <w:smartTag w:uri="urn:schemas-microsoft-com:office:smarttags" w:element="place">
        <w:smartTag w:uri="urn:schemas-microsoft-com:office:smarttags" w:element="State">
          <w:r w:rsidR="00BF43BD" w:rsidRPr="003E75C6">
            <w:t>Pa.</w:t>
          </w:r>
        </w:smartTag>
      </w:smartTag>
      <w:r w:rsidR="00BF43BD" w:rsidRPr="003E75C6">
        <w:t xml:space="preserve"> Commw. LEXIS 580.</w:t>
      </w:r>
    </w:p>
    <w:p w:rsidR="00BF43BD" w:rsidRDefault="00BF43BD" w:rsidP="00BF43BD">
      <w:pPr>
        <w:jc w:val="left"/>
      </w:pPr>
    </w:p>
    <w:p w:rsidR="00BF43BD" w:rsidRDefault="009F0C4D" w:rsidP="00BF43BD">
      <w:pPr>
        <w:jc w:val="left"/>
      </w:pPr>
      <w:r>
        <w:lastRenderedPageBreak/>
        <w:tab/>
      </w:r>
      <w:r>
        <w:tab/>
      </w:r>
      <w:r w:rsidR="00BF43BD">
        <w:t>5.</w:t>
      </w:r>
      <w:r w:rsidR="00BF43BD">
        <w:tab/>
      </w:r>
      <w:r w:rsidR="00BF43BD" w:rsidRPr="003E75C6">
        <w:t xml:space="preserve">All of the non-moving party’s averments in the complaint must be viewed as true for purposes of deciding the preliminary objections, and only those facts specifically admitted may be considered against the non-moving party.  </w:t>
      </w:r>
      <w:r w:rsidR="00BF43BD" w:rsidRPr="003E75C6">
        <w:rPr>
          <w:i/>
        </w:rPr>
        <w:t xml:space="preserve">Ridge v. State Employees’ Retirement </w:t>
      </w:r>
      <w:r w:rsidR="00BF43BD" w:rsidRPr="003E75C6">
        <w:t>Board, 690 A.2d 1312 (</w:t>
      </w:r>
      <w:smartTag w:uri="urn:schemas-microsoft-com:office:smarttags" w:element="State">
        <w:r w:rsidR="00BF43BD" w:rsidRPr="003E75C6">
          <w:t>Pa.</w:t>
        </w:r>
      </w:smartTag>
      <w:r w:rsidR="00BF43BD" w:rsidRPr="003E75C6">
        <w:t xml:space="preserve"> Cmwlth. 1997)</w:t>
      </w:r>
      <w:r w:rsidR="00BF43BD">
        <w:t>,</w:t>
      </w:r>
      <w:r w:rsidR="00BF43BD" w:rsidRPr="003E75C6">
        <w:t xml:space="preserve"> 1997 </w:t>
      </w:r>
      <w:smartTag w:uri="urn:schemas-microsoft-com:office:smarttags" w:element="place">
        <w:smartTag w:uri="urn:schemas-microsoft-com:office:smarttags" w:element="State">
          <w:r w:rsidR="00BF43BD" w:rsidRPr="003E75C6">
            <w:t>Pa.</w:t>
          </w:r>
        </w:smartTag>
      </w:smartTag>
      <w:r w:rsidR="00BF43BD" w:rsidRPr="003E75C6">
        <w:t xml:space="preserve"> Commw. LEXIS 148.</w:t>
      </w:r>
    </w:p>
    <w:p w:rsidR="00BF43BD" w:rsidRDefault="00BF43BD" w:rsidP="00BF43BD">
      <w:pPr>
        <w:jc w:val="left"/>
      </w:pPr>
    </w:p>
    <w:p w:rsidR="00BF43BD" w:rsidRDefault="009F0C4D" w:rsidP="00BF43BD">
      <w:pPr>
        <w:jc w:val="left"/>
      </w:pPr>
      <w:r>
        <w:tab/>
      </w:r>
      <w:r>
        <w:tab/>
      </w:r>
      <w:r w:rsidR="00BF43BD">
        <w:t>6.</w:t>
      </w:r>
      <w:r w:rsidR="00BF43BD">
        <w:tab/>
        <w:t>The averments in the Complaint are insufficient to enable Respondent to formulate a meaningful response.</w:t>
      </w:r>
    </w:p>
    <w:p w:rsidR="00176279" w:rsidRDefault="00176279" w:rsidP="00BF43BD">
      <w:pPr>
        <w:contextualSpacing/>
        <w:jc w:val="left"/>
      </w:pPr>
    </w:p>
    <w:p w:rsidR="009F0C4D" w:rsidRDefault="009F0C4D" w:rsidP="009F0C4D">
      <w:pPr>
        <w:contextualSpacing/>
        <w:rPr>
          <w:b/>
          <w:u w:val="single"/>
        </w:rPr>
      </w:pPr>
      <w:r>
        <w:rPr>
          <w:b/>
          <w:u w:val="single"/>
        </w:rPr>
        <w:t>ORDER</w:t>
      </w:r>
    </w:p>
    <w:p w:rsidR="009F0C4D" w:rsidRDefault="009F0C4D" w:rsidP="009F0C4D">
      <w:pPr>
        <w:contextualSpacing/>
        <w:rPr>
          <w:b/>
          <w:u w:val="single"/>
        </w:rPr>
      </w:pPr>
    </w:p>
    <w:p w:rsidR="009F0C4D" w:rsidRPr="009F0C4D" w:rsidRDefault="009F0C4D" w:rsidP="009F0C4D">
      <w:pPr>
        <w:contextualSpacing/>
        <w:jc w:val="left"/>
      </w:pPr>
      <w:r>
        <w:rPr>
          <w:b/>
        </w:rPr>
        <w:tab/>
      </w:r>
      <w:r>
        <w:rPr>
          <w:b/>
        </w:rPr>
        <w:tab/>
      </w:r>
      <w:r w:rsidRPr="009F0C4D">
        <w:t>THEREFORE,</w:t>
      </w:r>
    </w:p>
    <w:p w:rsidR="009F0C4D" w:rsidRPr="009F0C4D" w:rsidRDefault="009F0C4D" w:rsidP="009F0C4D">
      <w:pPr>
        <w:contextualSpacing/>
        <w:jc w:val="left"/>
      </w:pPr>
    </w:p>
    <w:p w:rsidR="009F0C4D" w:rsidRPr="009F0C4D" w:rsidRDefault="009F0C4D" w:rsidP="009F0C4D">
      <w:pPr>
        <w:contextualSpacing/>
        <w:jc w:val="left"/>
      </w:pPr>
      <w:r w:rsidRPr="009F0C4D">
        <w:tab/>
      </w:r>
      <w:r w:rsidRPr="009F0C4D">
        <w:tab/>
        <w:t>IT IS ORDERED:</w:t>
      </w:r>
    </w:p>
    <w:p w:rsidR="009F0C4D" w:rsidRDefault="009F0C4D" w:rsidP="009F0C4D">
      <w:pPr>
        <w:contextualSpacing/>
        <w:jc w:val="left"/>
        <w:rPr>
          <w:b/>
        </w:rPr>
      </w:pPr>
    </w:p>
    <w:p w:rsidR="009F0C4D" w:rsidRDefault="009F0C4D" w:rsidP="009F0C4D">
      <w:pPr>
        <w:contextualSpacing/>
        <w:jc w:val="left"/>
      </w:pPr>
      <w:r>
        <w:tab/>
      </w:r>
      <w:r>
        <w:tab/>
        <w:t>1.</w:t>
      </w:r>
      <w:r>
        <w:tab/>
        <w:t xml:space="preserve">That </w:t>
      </w:r>
      <w:r w:rsidR="00B65FE3">
        <w:t xml:space="preserve">Complainant </w:t>
      </w:r>
      <w:r>
        <w:t xml:space="preserve">Robert Van Orden shall file </w:t>
      </w:r>
      <w:r w:rsidR="00B65FE3">
        <w:t xml:space="preserve">with the Commission’s Secretary </w:t>
      </w:r>
      <w:r>
        <w:t xml:space="preserve">an amended complaint </w:t>
      </w:r>
      <w:r w:rsidR="00B65FE3">
        <w:t>in PUC Docket No. C-2010-2183122 within twenty (20) days of the date of service of this Order setting forth sufficient facts to enable Metropolitan Edison Company to formulate a meaningful response to his Complaint.</w:t>
      </w:r>
    </w:p>
    <w:p w:rsidR="00B65FE3" w:rsidRDefault="00B65FE3" w:rsidP="009F0C4D">
      <w:pPr>
        <w:contextualSpacing/>
        <w:jc w:val="left"/>
      </w:pPr>
    </w:p>
    <w:p w:rsidR="00B65FE3" w:rsidRDefault="00B65FE3" w:rsidP="009F0C4D">
      <w:pPr>
        <w:contextualSpacing/>
        <w:jc w:val="left"/>
      </w:pPr>
      <w:r>
        <w:tab/>
      </w:r>
      <w:r>
        <w:tab/>
        <w:t>2.</w:t>
      </w:r>
      <w:r>
        <w:tab/>
        <w:t>That Complainant shall serve a copy of his Amended Complaint upon the presiding officer and counsel for Metropolitan Edison Company at the following addresses:</w:t>
      </w:r>
    </w:p>
    <w:p w:rsidR="00B65FE3" w:rsidRDefault="00B65FE3" w:rsidP="009F0C4D">
      <w:pPr>
        <w:contextualSpacing/>
        <w:jc w:val="left"/>
      </w:pPr>
    </w:p>
    <w:p w:rsidR="00A63881" w:rsidRDefault="00A63881" w:rsidP="00A63881">
      <w:pPr>
        <w:spacing w:line="240" w:lineRule="auto"/>
        <w:ind w:left="1440"/>
        <w:contextualSpacing/>
        <w:jc w:val="left"/>
      </w:pPr>
      <w:r>
        <w:t>Administrative Law Judge Susan D. Colwell</w:t>
      </w:r>
    </w:p>
    <w:p w:rsidR="00A63881" w:rsidRDefault="00A63881" w:rsidP="00A63881">
      <w:pPr>
        <w:spacing w:line="240" w:lineRule="auto"/>
        <w:ind w:left="1440"/>
        <w:contextualSpacing/>
        <w:jc w:val="left"/>
      </w:pPr>
      <w:r>
        <w:t>Pennsylvania Public Utility Commission</w:t>
      </w:r>
    </w:p>
    <w:p w:rsidR="00A63881" w:rsidRDefault="00A63881" w:rsidP="00A63881">
      <w:pPr>
        <w:spacing w:line="240" w:lineRule="auto"/>
        <w:ind w:left="1440"/>
        <w:contextualSpacing/>
        <w:jc w:val="left"/>
      </w:pPr>
      <w:r>
        <w:t>P.O. Box 3265</w:t>
      </w:r>
    </w:p>
    <w:p w:rsidR="00A63881" w:rsidRDefault="00A63881" w:rsidP="00A63881">
      <w:pPr>
        <w:spacing w:line="240" w:lineRule="auto"/>
        <w:ind w:left="1440"/>
        <w:contextualSpacing/>
        <w:jc w:val="left"/>
      </w:pPr>
      <w:r>
        <w:t>Harrisburg PA 17105-3265</w:t>
      </w:r>
    </w:p>
    <w:p w:rsidR="00A63881" w:rsidRDefault="00A63881" w:rsidP="00A63881">
      <w:pPr>
        <w:spacing w:line="240" w:lineRule="auto"/>
        <w:ind w:left="1440"/>
        <w:contextualSpacing/>
        <w:jc w:val="left"/>
      </w:pPr>
    </w:p>
    <w:p w:rsidR="00A63881" w:rsidRDefault="00A63881" w:rsidP="00A63881">
      <w:pPr>
        <w:spacing w:line="240" w:lineRule="auto"/>
        <w:ind w:left="1440"/>
        <w:contextualSpacing/>
        <w:jc w:val="left"/>
      </w:pPr>
      <w:r>
        <w:t>Alan M. Seltzer, Esq.</w:t>
      </w:r>
    </w:p>
    <w:p w:rsidR="00A63881" w:rsidRDefault="00A63881" w:rsidP="00A63881">
      <w:pPr>
        <w:spacing w:line="240" w:lineRule="auto"/>
        <w:ind w:left="1440"/>
        <w:contextualSpacing/>
        <w:jc w:val="left"/>
      </w:pPr>
      <w:r>
        <w:t>Ryan Russell Ogden &amp; Seltzer LLP</w:t>
      </w:r>
    </w:p>
    <w:p w:rsidR="00A63881" w:rsidRDefault="00A63881" w:rsidP="00A63881">
      <w:pPr>
        <w:spacing w:line="240" w:lineRule="auto"/>
        <w:ind w:left="1440"/>
        <w:contextualSpacing/>
        <w:jc w:val="left"/>
      </w:pPr>
      <w:r>
        <w:t>1150 Berkshire Boulevard</w:t>
      </w:r>
    </w:p>
    <w:p w:rsidR="00A63881" w:rsidRDefault="00A63881" w:rsidP="00A63881">
      <w:pPr>
        <w:spacing w:line="240" w:lineRule="auto"/>
        <w:ind w:left="1440"/>
        <w:contextualSpacing/>
        <w:jc w:val="left"/>
      </w:pPr>
      <w:r>
        <w:t>Suite 210</w:t>
      </w:r>
    </w:p>
    <w:p w:rsidR="00A63881" w:rsidRDefault="00A63881" w:rsidP="00A63881">
      <w:pPr>
        <w:spacing w:line="240" w:lineRule="auto"/>
        <w:ind w:left="1440"/>
        <w:contextualSpacing/>
        <w:jc w:val="left"/>
      </w:pPr>
      <w:r>
        <w:t>Wyomissing PA 19610-1208</w:t>
      </w:r>
    </w:p>
    <w:p w:rsidR="00A63881" w:rsidRDefault="00A63881" w:rsidP="009F0C4D">
      <w:pPr>
        <w:contextualSpacing/>
        <w:jc w:val="left"/>
      </w:pPr>
    </w:p>
    <w:p w:rsidR="00A63881" w:rsidRDefault="00A63881" w:rsidP="009F0C4D">
      <w:pPr>
        <w:contextualSpacing/>
        <w:jc w:val="left"/>
      </w:pPr>
      <w:r>
        <w:lastRenderedPageBreak/>
        <w:tab/>
      </w:r>
      <w:r>
        <w:tab/>
        <w:t>3.</w:t>
      </w:r>
      <w:r>
        <w:tab/>
        <w:t>That failure to file a timely Amended Complaint will result in the dismissal of the Complaint.</w:t>
      </w:r>
    </w:p>
    <w:p w:rsidR="00A63881" w:rsidRDefault="00A63881" w:rsidP="009F0C4D">
      <w:pPr>
        <w:contextualSpacing/>
        <w:jc w:val="left"/>
      </w:pPr>
    </w:p>
    <w:p w:rsidR="00A63881" w:rsidRDefault="00A63881" w:rsidP="009F0C4D">
      <w:pPr>
        <w:contextualSpacing/>
        <w:jc w:val="left"/>
      </w:pPr>
    </w:p>
    <w:p w:rsidR="00A63881" w:rsidRDefault="00A63881" w:rsidP="00A63881">
      <w:pPr>
        <w:spacing w:line="240" w:lineRule="auto"/>
        <w:contextualSpacing/>
        <w:jc w:val="left"/>
      </w:pPr>
      <w:r>
        <w:t>Dated:</w:t>
      </w:r>
      <w:r>
        <w:tab/>
      </w:r>
      <w:r>
        <w:rPr>
          <w:u w:val="single"/>
        </w:rPr>
        <w:t>September 9, 2010</w:t>
      </w:r>
      <w:r>
        <w:tab/>
      </w:r>
      <w:r>
        <w:tab/>
      </w:r>
      <w:r>
        <w:tab/>
      </w:r>
      <w:r>
        <w:tab/>
      </w:r>
      <w:r>
        <w:tab/>
        <w:t>_____________________________</w:t>
      </w:r>
    </w:p>
    <w:p w:rsidR="00A63881" w:rsidRDefault="00A63881" w:rsidP="00A63881">
      <w:pPr>
        <w:spacing w:line="240" w:lineRule="auto"/>
        <w:contextualSpacing/>
        <w:jc w:val="left"/>
      </w:pPr>
      <w:r>
        <w:tab/>
      </w:r>
      <w:r>
        <w:tab/>
      </w:r>
      <w:r>
        <w:tab/>
      </w:r>
      <w:r>
        <w:tab/>
      </w:r>
      <w:r>
        <w:tab/>
      </w:r>
      <w:r>
        <w:tab/>
      </w:r>
      <w:r>
        <w:tab/>
      </w:r>
      <w:r>
        <w:tab/>
        <w:t>Susan D. Colwell</w:t>
      </w:r>
    </w:p>
    <w:p w:rsidR="004D0BC8" w:rsidRDefault="00A63881" w:rsidP="004D0BC8">
      <w:pPr>
        <w:spacing w:line="240" w:lineRule="auto"/>
        <w:contextualSpacing/>
        <w:jc w:val="left"/>
        <w:sectPr w:rsidR="004D0BC8" w:rsidSect="00A63881">
          <w:footerReference w:type="default" r:id="rId7"/>
          <w:pgSz w:w="12240" w:h="15840"/>
          <w:pgMar w:top="1440" w:right="1440" w:bottom="1440" w:left="1440" w:header="720" w:footer="720" w:gutter="0"/>
          <w:cols w:space="720"/>
          <w:titlePg/>
          <w:docGrid w:linePitch="360"/>
        </w:sectPr>
      </w:pPr>
      <w:r>
        <w:tab/>
      </w:r>
      <w:r>
        <w:tab/>
      </w:r>
      <w:r>
        <w:tab/>
      </w:r>
      <w:r>
        <w:tab/>
      </w:r>
      <w:r>
        <w:tab/>
      </w:r>
      <w:r>
        <w:tab/>
      </w:r>
      <w:r>
        <w:tab/>
      </w:r>
      <w:r>
        <w:tab/>
        <w:t>Administrative Law Judge</w:t>
      </w:r>
    </w:p>
    <w:p w:rsidR="004D0BC8" w:rsidRPr="00057980" w:rsidRDefault="004D0BC8" w:rsidP="004D0BC8">
      <w:pPr>
        <w:spacing w:line="240" w:lineRule="auto"/>
        <w:jc w:val="left"/>
        <w:rPr>
          <w:rFonts w:ascii="Microsoft Sans Serif" w:hAnsi="Microsoft Sans Serif" w:cs="Microsoft Sans Serif"/>
          <w:b/>
          <w:caps/>
          <w:u w:val="single"/>
        </w:rPr>
      </w:pPr>
      <w:r w:rsidRPr="005338A9">
        <w:rPr>
          <w:rFonts w:ascii="Microsoft Sans Serif" w:hAnsi="Microsoft Sans Serif" w:cs="Microsoft Sans Serif"/>
          <w:b/>
          <w:caps/>
          <w:noProof/>
          <w:u w:val="single"/>
        </w:rPr>
        <w:lastRenderedPageBreak/>
        <w:t>C-2010-2183122</w:t>
      </w:r>
      <w:r w:rsidRPr="00057980">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057980">
        <w:rPr>
          <w:rFonts w:ascii="Microsoft Sans Serif" w:hAnsi="Microsoft Sans Serif" w:cs="Microsoft Sans Serif"/>
          <w:b/>
          <w:caps/>
          <w:u w:val="single"/>
        </w:rPr>
        <w:t xml:space="preserve"> </w:t>
      </w:r>
      <w:r>
        <w:rPr>
          <w:rFonts w:ascii="Microsoft Sans Serif" w:hAnsi="Microsoft Sans Serif" w:cs="Microsoft Sans Serif"/>
          <w:b/>
          <w:caps/>
          <w:noProof/>
          <w:u w:val="single"/>
        </w:rPr>
        <w:t>Robert Van OrdeN</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5338A9">
        <w:rPr>
          <w:rFonts w:ascii="Microsoft Sans Serif" w:hAnsi="Microsoft Sans Serif" w:cs="Microsoft Sans Serif"/>
          <w:b/>
          <w:caps/>
          <w:noProof/>
          <w:u w:val="single"/>
        </w:rPr>
        <w:t>Metropolitan Edison Company</w:t>
      </w:r>
    </w:p>
    <w:p w:rsidR="004D0BC8" w:rsidRPr="00057980" w:rsidRDefault="004D0BC8" w:rsidP="004D0BC8">
      <w:pPr>
        <w:spacing w:line="240" w:lineRule="auto"/>
        <w:jc w:val="left"/>
        <w:rPr>
          <w:rFonts w:ascii="Microsoft Sans Serif" w:hAnsi="Microsoft Sans Serif" w:cs="Microsoft Sans Serif"/>
          <w:caps/>
        </w:rPr>
      </w:pPr>
    </w:p>
    <w:p w:rsidR="004D0BC8" w:rsidRPr="00057980" w:rsidRDefault="004D0BC8" w:rsidP="004D0BC8">
      <w:pPr>
        <w:spacing w:line="240" w:lineRule="auto"/>
        <w:jc w:val="left"/>
        <w:rPr>
          <w:rFonts w:ascii="Microsoft Sans Serif" w:hAnsi="Microsoft Sans Serif" w:cs="Microsoft Sans Serif"/>
          <w:caps/>
        </w:rPr>
      </w:pPr>
    </w:p>
    <w:p w:rsidR="004D0BC8" w:rsidRPr="00057980" w:rsidRDefault="004D0BC8" w:rsidP="004D0BC8">
      <w:pPr>
        <w:spacing w:line="240" w:lineRule="auto"/>
        <w:jc w:val="left"/>
        <w:rPr>
          <w:rFonts w:ascii="Microsoft Sans Serif" w:hAnsi="Microsoft Sans Serif" w:cs="Microsoft Sans Serif"/>
          <w:caps/>
        </w:rPr>
      </w:pPr>
      <w:r w:rsidRPr="005338A9">
        <w:rPr>
          <w:rFonts w:ascii="Microsoft Sans Serif" w:hAnsi="Microsoft Sans Serif" w:cs="Microsoft Sans Serif"/>
          <w:caps/>
          <w:noProof/>
        </w:rPr>
        <w:t>Robert</w:t>
      </w:r>
      <w:r w:rsidRPr="00057980">
        <w:rPr>
          <w:rFonts w:ascii="Microsoft Sans Serif" w:hAnsi="Microsoft Sans Serif" w:cs="Microsoft Sans Serif"/>
          <w:caps/>
        </w:rPr>
        <w:t xml:space="preserve"> </w:t>
      </w:r>
      <w:r>
        <w:rPr>
          <w:rFonts w:ascii="Microsoft Sans Serif" w:hAnsi="Microsoft Sans Serif" w:cs="Microsoft Sans Serif"/>
          <w:caps/>
          <w:noProof/>
        </w:rPr>
        <w:t>Van OrdeN</w:t>
      </w:r>
    </w:p>
    <w:p w:rsidR="004D0BC8" w:rsidRPr="00057980" w:rsidRDefault="004D0BC8" w:rsidP="004D0BC8">
      <w:pPr>
        <w:spacing w:line="240" w:lineRule="auto"/>
        <w:jc w:val="left"/>
        <w:rPr>
          <w:rFonts w:ascii="Microsoft Sans Serif" w:hAnsi="Microsoft Sans Serif" w:cs="Microsoft Sans Serif"/>
          <w:caps/>
        </w:rPr>
      </w:pPr>
      <w:r w:rsidRPr="005338A9">
        <w:rPr>
          <w:rFonts w:ascii="Microsoft Sans Serif" w:hAnsi="Microsoft Sans Serif" w:cs="Microsoft Sans Serif"/>
          <w:caps/>
          <w:noProof/>
        </w:rPr>
        <w:t>5038 Lincoln Highway</w:t>
      </w:r>
    </w:p>
    <w:p w:rsidR="004D0BC8" w:rsidRPr="00057980" w:rsidRDefault="004D0BC8" w:rsidP="004D0BC8">
      <w:pPr>
        <w:spacing w:line="240" w:lineRule="auto"/>
        <w:jc w:val="left"/>
        <w:rPr>
          <w:rFonts w:ascii="Microsoft Sans Serif" w:hAnsi="Microsoft Sans Serif" w:cs="Microsoft Sans Serif"/>
          <w:caps/>
        </w:rPr>
      </w:pPr>
      <w:r w:rsidRPr="005338A9">
        <w:rPr>
          <w:rFonts w:ascii="Microsoft Sans Serif" w:hAnsi="Microsoft Sans Serif" w:cs="Microsoft Sans Serif"/>
          <w:caps/>
          <w:noProof/>
        </w:rPr>
        <w:t>PO Box 155</w:t>
      </w:r>
    </w:p>
    <w:p w:rsidR="004D0BC8" w:rsidRPr="00057980" w:rsidRDefault="004D0BC8" w:rsidP="004D0BC8">
      <w:pPr>
        <w:spacing w:line="240" w:lineRule="auto"/>
        <w:jc w:val="left"/>
        <w:rPr>
          <w:rFonts w:ascii="Microsoft Sans Serif" w:hAnsi="Microsoft Sans Serif" w:cs="Microsoft Sans Serif"/>
          <w:caps/>
        </w:rPr>
      </w:pPr>
      <w:r w:rsidRPr="005338A9">
        <w:rPr>
          <w:rFonts w:ascii="Microsoft Sans Serif" w:hAnsi="Microsoft Sans Serif" w:cs="Microsoft Sans Serif"/>
          <w:caps/>
          <w:noProof/>
        </w:rPr>
        <w:t>Thomasville</w:t>
      </w:r>
      <w:r w:rsidRPr="00057980">
        <w:rPr>
          <w:rFonts w:ascii="Microsoft Sans Serif" w:hAnsi="Microsoft Sans Serif" w:cs="Microsoft Sans Serif"/>
          <w:caps/>
        </w:rPr>
        <w:t xml:space="preserve"> </w:t>
      </w:r>
      <w:r w:rsidRPr="005338A9">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5338A9">
        <w:rPr>
          <w:rFonts w:ascii="Microsoft Sans Serif" w:hAnsi="Microsoft Sans Serif" w:cs="Microsoft Sans Serif"/>
          <w:caps/>
          <w:noProof/>
        </w:rPr>
        <w:t>17364</w:t>
      </w:r>
    </w:p>
    <w:p w:rsidR="004D0BC8" w:rsidRPr="00057980" w:rsidRDefault="004D0BC8" w:rsidP="004D0BC8">
      <w:pPr>
        <w:spacing w:line="240" w:lineRule="auto"/>
        <w:jc w:val="left"/>
        <w:rPr>
          <w:rFonts w:ascii="Microsoft Sans Serif" w:hAnsi="Microsoft Sans Serif" w:cs="Microsoft Sans Serif"/>
          <w:b/>
          <w:caps/>
          <w:u w:val="single"/>
        </w:rPr>
      </w:pPr>
      <w:r w:rsidRPr="005338A9">
        <w:rPr>
          <w:rFonts w:ascii="Microsoft Sans Serif" w:hAnsi="Microsoft Sans Serif" w:cs="Microsoft Sans Serif"/>
          <w:b/>
          <w:caps/>
          <w:noProof/>
        </w:rPr>
        <w:t>717.767.5372</w:t>
      </w:r>
    </w:p>
    <w:p w:rsidR="004D0BC8" w:rsidRPr="00057980" w:rsidRDefault="004D0BC8" w:rsidP="004D0BC8">
      <w:pPr>
        <w:spacing w:line="240" w:lineRule="auto"/>
        <w:jc w:val="left"/>
        <w:rPr>
          <w:rFonts w:ascii="Microsoft Sans Serif" w:hAnsi="Microsoft Sans Serif" w:cs="Microsoft Sans Serif"/>
          <w:caps/>
        </w:rPr>
      </w:pPr>
    </w:p>
    <w:p w:rsidR="004D0BC8" w:rsidRPr="00057980" w:rsidRDefault="004D0BC8" w:rsidP="004D0BC8">
      <w:pPr>
        <w:spacing w:line="240" w:lineRule="auto"/>
        <w:jc w:val="left"/>
        <w:rPr>
          <w:rFonts w:ascii="Microsoft Sans Serif" w:hAnsi="Microsoft Sans Serif" w:cs="Microsoft Sans Serif"/>
          <w:caps/>
        </w:rPr>
      </w:pPr>
    </w:p>
    <w:p w:rsidR="004D0BC8" w:rsidRPr="00057980" w:rsidRDefault="004D0BC8" w:rsidP="004D0BC8">
      <w:pPr>
        <w:spacing w:line="240" w:lineRule="auto"/>
        <w:jc w:val="left"/>
        <w:rPr>
          <w:rFonts w:ascii="Microsoft Sans Serif" w:hAnsi="Microsoft Sans Serif" w:cs="Microsoft Sans Serif"/>
          <w:caps/>
        </w:rPr>
      </w:pPr>
      <w:r w:rsidRPr="005338A9">
        <w:rPr>
          <w:rFonts w:ascii="Microsoft Sans Serif" w:hAnsi="Microsoft Sans Serif" w:cs="Microsoft Sans Serif"/>
          <w:caps/>
          <w:noProof/>
        </w:rPr>
        <w:t>Matthew A.</w:t>
      </w:r>
      <w:r w:rsidRPr="00057980">
        <w:rPr>
          <w:rFonts w:ascii="Microsoft Sans Serif" w:hAnsi="Microsoft Sans Serif" w:cs="Microsoft Sans Serif"/>
          <w:caps/>
        </w:rPr>
        <w:t xml:space="preserve"> </w:t>
      </w:r>
      <w:r w:rsidRPr="005338A9">
        <w:rPr>
          <w:rFonts w:ascii="Microsoft Sans Serif" w:hAnsi="Microsoft Sans Serif" w:cs="Microsoft Sans Serif"/>
          <w:caps/>
          <w:noProof/>
        </w:rPr>
        <w:t>Totino</w:t>
      </w:r>
      <w:r w:rsidRPr="00057980">
        <w:rPr>
          <w:rFonts w:ascii="Microsoft Sans Serif" w:hAnsi="Microsoft Sans Serif" w:cs="Microsoft Sans Serif"/>
          <w:caps/>
        </w:rPr>
        <w:t xml:space="preserve"> </w:t>
      </w:r>
      <w:r w:rsidRPr="005338A9">
        <w:rPr>
          <w:rFonts w:ascii="Microsoft Sans Serif" w:hAnsi="Microsoft Sans Serif" w:cs="Microsoft Sans Serif"/>
          <w:caps/>
          <w:noProof/>
        </w:rPr>
        <w:t>Esquire</w:t>
      </w:r>
    </w:p>
    <w:p w:rsidR="004D0BC8" w:rsidRPr="00057980" w:rsidRDefault="004D0BC8" w:rsidP="004D0BC8">
      <w:pPr>
        <w:spacing w:line="240" w:lineRule="auto"/>
        <w:jc w:val="left"/>
        <w:rPr>
          <w:rFonts w:ascii="Microsoft Sans Serif" w:hAnsi="Microsoft Sans Serif" w:cs="Microsoft Sans Serif"/>
          <w:caps/>
        </w:rPr>
      </w:pPr>
      <w:r w:rsidRPr="005338A9">
        <w:rPr>
          <w:rFonts w:ascii="Microsoft Sans Serif" w:hAnsi="Microsoft Sans Serif" w:cs="Microsoft Sans Serif"/>
          <w:caps/>
          <w:noProof/>
        </w:rPr>
        <w:t>Ryan, Russell, Ogden &amp; Seltzer P.C.</w:t>
      </w:r>
    </w:p>
    <w:p w:rsidR="004D0BC8" w:rsidRPr="00057980" w:rsidRDefault="004D0BC8" w:rsidP="004D0BC8">
      <w:pPr>
        <w:spacing w:line="240" w:lineRule="auto"/>
        <w:jc w:val="left"/>
        <w:rPr>
          <w:rFonts w:ascii="Microsoft Sans Serif" w:hAnsi="Microsoft Sans Serif" w:cs="Microsoft Sans Serif"/>
          <w:caps/>
        </w:rPr>
      </w:pPr>
      <w:r w:rsidRPr="005338A9">
        <w:rPr>
          <w:rFonts w:ascii="Microsoft Sans Serif" w:hAnsi="Microsoft Sans Serif" w:cs="Microsoft Sans Serif"/>
          <w:caps/>
          <w:noProof/>
        </w:rPr>
        <w:t>800 North Third Street</w:t>
      </w:r>
    </w:p>
    <w:p w:rsidR="004D0BC8" w:rsidRPr="00057980" w:rsidRDefault="004D0BC8" w:rsidP="004D0BC8">
      <w:pPr>
        <w:spacing w:line="240" w:lineRule="auto"/>
        <w:jc w:val="left"/>
        <w:rPr>
          <w:rFonts w:ascii="Microsoft Sans Serif" w:hAnsi="Microsoft Sans Serif" w:cs="Microsoft Sans Serif"/>
          <w:caps/>
        </w:rPr>
      </w:pPr>
      <w:r w:rsidRPr="005338A9">
        <w:rPr>
          <w:rFonts w:ascii="Microsoft Sans Serif" w:hAnsi="Microsoft Sans Serif" w:cs="Microsoft Sans Serif"/>
          <w:caps/>
          <w:noProof/>
        </w:rPr>
        <w:t>Suite 101</w:t>
      </w:r>
    </w:p>
    <w:p w:rsidR="004D0BC8" w:rsidRPr="00057980" w:rsidRDefault="004D0BC8" w:rsidP="004D0BC8">
      <w:pPr>
        <w:spacing w:line="240" w:lineRule="auto"/>
        <w:jc w:val="left"/>
        <w:rPr>
          <w:rFonts w:ascii="Microsoft Sans Serif" w:hAnsi="Microsoft Sans Serif" w:cs="Microsoft Sans Serif"/>
          <w:caps/>
        </w:rPr>
      </w:pPr>
      <w:r w:rsidRPr="005338A9">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5338A9">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5338A9">
        <w:rPr>
          <w:rFonts w:ascii="Microsoft Sans Serif" w:hAnsi="Microsoft Sans Serif" w:cs="Microsoft Sans Serif"/>
          <w:caps/>
          <w:noProof/>
        </w:rPr>
        <w:t>17102-2025</w:t>
      </w:r>
    </w:p>
    <w:p w:rsidR="004D0BC8" w:rsidRPr="00057980" w:rsidRDefault="004D0BC8" w:rsidP="004D0BC8">
      <w:pPr>
        <w:spacing w:line="240" w:lineRule="auto"/>
        <w:jc w:val="left"/>
        <w:rPr>
          <w:rFonts w:ascii="Microsoft Sans Serif" w:hAnsi="Microsoft Sans Serif" w:cs="Microsoft Sans Serif"/>
          <w:caps/>
        </w:rPr>
      </w:pPr>
      <w:r w:rsidRPr="005338A9">
        <w:rPr>
          <w:rFonts w:ascii="Microsoft Sans Serif" w:hAnsi="Microsoft Sans Serif" w:cs="Microsoft Sans Serif"/>
          <w:b/>
          <w:caps/>
          <w:noProof/>
        </w:rPr>
        <w:t>717.236.7714</w:t>
      </w:r>
    </w:p>
    <w:p w:rsidR="00A63881" w:rsidRPr="00A63881" w:rsidRDefault="00A63881" w:rsidP="00A63881">
      <w:pPr>
        <w:spacing w:line="240" w:lineRule="auto"/>
        <w:contextualSpacing/>
        <w:jc w:val="left"/>
      </w:pPr>
    </w:p>
    <w:sectPr w:rsidR="00A63881" w:rsidRPr="00A63881" w:rsidSect="004D0BC8">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9F6" w:rsidRDefault="00DA19F6" w:rsidP="00A63881">
      <w:pPr>
        <w:spacing w:line="240" w:lineRule="auto"/>
      </w:pPr>
      <w:r>
        <w:separator/>
      </w:r>
    </w:p>
  </w:endnote>
  <w:endnote w:type="continuationSeparator" w:id="0">
    <w:p w:rsidR="00DA19F6" w:rsidRDefault="00DA19F6" w:rsidP="00A6388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866969"/>
      <w:docPartObj>
        <w:docPartGallery w:val="Page Numbers (Bottom of Page)"/>
        <w:docPartUnique/>
      </w:docPartObj>
    </w:sdtPr>
    <w:sdtContent>
      <w:p w:rsidR="00A63881" w:rsidRDefault="00931145">
        <w:pPr>
          <w:pStyle w:val="Footer"/>
        </w:pPr>
        <w:fldSimple w:instr=" PAGE   \* MERGEFORMAT ">
          <w:r w:rsidR="004D0BC8">
            <w:rPr>
              <w:noProof/>
            </w:rPr>
            <w:t>7</w:t>
          </w:r>
        </w:fldSimple>
      </w:p>
    </w:sdtContent>
  </w:sdt>
  <w:p w:rsidR="00A63881" w:rsidRDefault="00A638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9F6" w:rsidRDefault="00DA19F6" w:rsidP="00A63881">
      <w:pPr>
        <w:spacing w:line="240" w:lineRule="auto"/>
      </w:pPr>
      <w:r>
        <w:separator/>
      </w:r>
    </w:p>
  </w:footnote>
  <w:footnote w:type="continuationSeparator" w:id="0">
    <w:p w:rsidR="00DA19F6" w:rsidRDefault="00DA19F6" w:rsidP="00A6388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B5E26"/>
    <w:rsid w:val="00001E3A"/>
    <w:rsid w:val="00001EF6"/>
    <w:rsid w:val="00003D11"/>
    <w:rsid w:val="00005558"/>
    <w:rsid w:val="000079FE"/>
    <w:rsid w:val="00012104"/>
    <w:rsid w:val="0001305A"/>
    <w:rsid w:val="00016E55"/>
    <w:rsid w:val="00020334"/>
    <w:rsid w:val="0002105C"/>
    <w:rsid w:val="00021FD8"/>
    <w:rsid w:val="00025D7A"/>
    <w:rsid w:val="00032379"/>
    <w:rsid w:val="00033303"/>
    <w:rsid w:val="00035BB8"/>
    <w:rsid w:val="00040EB6"/>
    <w:rsid w:val="00044B8B"/>
    <w:rsid w:val="00044FC0"/>
    <w:rsid w:val="000541C0"/>
    <w:rsid w:val="0005423F"/>
    <w:rsid w:val="00055078"/>
    <w:rsid w:val="00055CC5"/>
    <w:rsid w:val="000576ED"/>
    <w:rsid w:val="000605B6"/>
    <w:rsid w:val="00061278"/>
    <w:rsid w:val="000634EB"/>
    <w:rsid w:val="00063801"/>
    <w:rsid w:val="000676B2"/>
    <w:rsid w:val="00067CBC"/>
    <w:rsid w:val="00070AA1"/>
    <w:rsid w:val="00072595"/>
    <w:rsid w:val="00072D46"/>
    <w:rsid w:val="00073BE1"/>
    <w:rsid w:val="00074065"/>
    <w:rsid w:val="00076092"/>
    <w:rsid w:val="00082363"/>
    <w:rsid w:val="000902E3"/>
    <w:rsid w:val="00091F08"/>
    <w:rsid w:val="0009220F"/>
    <w:rsid w:val="00092376"/>
    <w:rsid w:val="00092B4E"/>
    <w:rsid w:val="00092E44"/>
    <w:rsid w:val="0009318F"/>
    <w:rsid w:val="000931F7"/>
    <w:rsid w:val="00093562"/>
    <w:rsid w:val="00097D77"/>
    <w:rsid w:val="000A2192"/>
    <w:rsid w:val="000A5DEA"/>
    <w:rsid w:val="000A652E"/>
    <w:rsid w:val="000A770B"/>
    <w:rsid w:val="000B2D0C"/>
    <w:rsid w:val="000B339A"/>
    <w:rsid w:val="000B7111"/>
    <w:rsid w:val="000C2696"/>
    <w:rsid w:val="000C2A2B"/>
    <w:rsid w:val="000C34F3"/>
    <w:rsid w:val="000C4163"/>
    <w:rsid w:val="000C6B6E"/>
    <w:rsid w:val="000C6EF0"/>
    <w:rsid w:val="000D29BA"/>
    <w:rsid w:val="000D3E49"/>
    <w:rsid w:val="000E2F36"/>
    <w:rsid w:val="000E49E6"/>
    <w:rsid w:val="000E78B6"/>
    <w:rsid w:val="000E7EF5"/>
    <w:rsid w:val="000F0035"/>
    <w:rsid w:val="000F1890"/>
    <w:rsid w:val="000F2E5F"/>
    <w:rsid w:val="000F47F1"/>
    <w:rsid w:val="000F678B"/>
    <w:rsid w:val="000F78BE"/>
    <w:rsid w:val="001021FB"/>
    <w:rsid w:val="00102A77"/>
    <w:rsid w:val="0010420D"/>
    <w:rsid w:val="00106EE8"/>
    <w:rsid w:val="001077F1"/>
    <w:rsid w:val="00115BB6"/>
    <w:rsid w:val="00116578"/>
    <w:rsid w:val="0012035F"/>
    <w:rsid w:val="00120D02"/>
    <w:rsid w:val="00121291"/>
    <w:rsid w:val="001219A5"/>
    <w:rsid w:val="00124101"/>
    <w:rsid w:val="00124D49"/>
    <w:rsid w:val="00126739"/>
    <w:rsid w:val="0013068D"/>
    <w:rsid w:val="00135526"/>
    <w:rsid w:val="00140273"/>
    <w:rsid w:val="0014105E"/>
    <w:rsid w:val="00143142"/>
    <w:rsid w:val="00152FD8"/>
    <w:rsid w:val="001537E3"/>
    <w:rsid w:val="00153C39"/>
    <w:rsid w:val="00154F0C"/>
    <w:rsid w:val="0015569F"/>
    <w:rsid w:val="00155E87"/>
    <w:rsid w:val="0015737B"/>
    <w:rsid w:val="00157E46"/>
    <w:rsid w:val="00162D2F"/>
    <w:rsid w:val="0016521D"/>
    <w:rsid w:val="00170FE6"/>
    <w:rsid w:val="00172857"/>
    <w:rsid w:val="00172B0B"/>
    <w:rsid w:val="00172E8C"/>
    <w:rsid w:val="00173570"/>
    <w:rsid w:val="00173C70"/>
    <w:rsid w:val="00174F7E"/>
    <w:rsid w:val="0017580D"/>
    <w:rsid w:val="00175F76"/>
    <w:rsid w:val="00176279"/>
    <w:rsid w:val="00176C44"/>
    <w:rsid w:val="00181AB1"/>
    <w:rsid w:val="001857EA"/>
    <w:rsid w:val="00186328"/>
    <w:rsid w:val="00191522"/>
    <w:rsid w:val="00192EB5"/>
    <w:rsid w:val="001966CB"/>
    <w:rsid w:val="001969A7"/>
    <w:rsid w:val="00196C5A"/>
    <w:rsid w:val="0019791B"/>
    <w:rsid w:val="00197E5D"/>
    <w:rsid w:val="001A0F84"/>
    <w:rsid w:val="001A103D"/>
    <w:rsid w:val="001A1644"/>
    <w:rsid w:val="001A216A"/>
    <w:rsid w:val="001A3A31"/>
    <w:rsid w:val="001A3D48"/>
    <w:rsid w:val="001A5421"/>
    <w:rsid w:val="001A7F95"/>
    <w:rsid w:val="001B06B8"/>
    <w:rsid w:val="001B1B1D"/>
    <w:rsid w:val="001B3572"/>
    <w:rsid w:val="001B3D6F"/>
    <w:rsid w:val="001B4B2B"/>
    <w:rsid w:val="001B6470"/>
    <w:rsid w:val="001D05DB"/>
    <w:rsid w:val="001D1F1B"/>
    <w:rsid w:val="001D4223"/>
    <w:rsid w:val="001E2642"/>
    <w:rsid w:val="001E3C9A"/>
    <w:rsid w:val="001E5447"/>
    <w:rsid w:val="001E5DF5"/>
    <w:rsid w:val="001E604F"/>
    <w:rsid w:val="001E79A7"/>
    <w:rsid w:val="001F0835"/>
    <w:rsid w:val="001F1049"/>
    <w:rsid w:val="001F4882"/>
    <w:rsid w:val="001F6E43"/>
    <w:rsid w:val="001F6F77"/>
    <w:rsid w:val="001F74FC"/>
    <w:rsid w:val="002004A8"/>
    <w:rsid w:val="002019B1"/>
    <w:rsid w:val="00201E65"/>
    <w:rsid w:val="0021162B"/>
    <w:rsid w:val="002125E4"/>
    <w:rsid w:val="00215381"/>
    <w:rsid w:val="00216C32"/>
    <w:rsid w:val="00216F76"/>
    <w:rsid w:val="00220D97"/>
    <w:rsid w:val="00221A88"/>
    <w:rsid w:val="002241D0"/>
    <w:rsid w:val="00224756"/>
    <w:rsid w:val="00227A4A"/>
    <w:rsid w:val="00230CC6"/>
    <w:rsid w:val="002337D7"/>
    <w:rsid w:val="00234DEB"/>
    <w:rsid w:val="0023584A"/>
    <w:rsid w:val="00236C44"/>
    <w:rsid w:val="002422D0"/>
    <w:rsid w:val="002451F7"/>
    <w:rsid w:val="002455CC"/>
    <w:rsid w:val="00246523"/>
    <w:rsid w:val="00247CE0"/>
    <w:rsid w:val="00251E5A"/>
    <w:rsid w:val="00252DB6"/>
    <w:rsid w:val="00252F2A"/>
    <w:rsid w:val="002546D8"/>
    <w:rsid w:val="002558A3"/>
    <w:rsid w:val="00256505"/>
    <w:rsid w:val="00260459"/>
    <w:rsid w:val="00260814"/>
    <w:rsid w:val="00263AD5"/>
    <w:rsid w:val="0026705F"/>
    <w:rsid w:val="002704DD"/>
    <w:rsid w:val="0027210A"/>
    <w:rsid w:val="002748C2"/>
    <w:rsid w:val="002752C3"/>
    <w:rsid w:val="00277591"/>
    <w:rsid w:val="00284760"/>
    <w:rsid w:val="00287CB1"/>
    <w:rsid w:val="0029096F"/>
    <w:rsid w:val="00290AD2"/>
    <w:rsid w:val="0029353E"/>
    <w:rsid w:val="00297286"/>
    <w:rsid w:val="002A05C6"/>
    <w:rsid w:val="002A5F4D"/>
    <w:rsid w:val="002A70E9"/>
    <w:rsid w:val="002A7A0A"/>
    <w:rsid w:val="002B541A"/>
    <w:rsid w:val="002B754D"/>
    <w:rsid w:val="002C1023"/>
    <w:rsid w:val="002C4F02"/>
    <w:rsid w:val="002C69AD"/>
    <w:rsid w:val="002D0E4D"/>
    <w:rsid w:val="002D7978"/>
    <w:rsid w:val="002E7DDB"/>
    <w:rsid w:val="002F222D"/>
    <w:rsid w:val="002F42FC"/>
    <w:rsid w:val="002F5C03"/>
    <w:rsid w:val="002F6F4F"/>
    <w:rsid w:val="002F75DA"/>
    <w:rsid w:val="00304AA1"/>
    <w:rsid w:val="00306C33"/>
    <w:rsid w:val="00312F06"/>
    <w:rsid w:val="0031425A"/>
    <w:rsid w:val="00314713"/>
    <w:rsid w:val="003149F5"/>
    <w:rsid w:val="003151E4"/>
    <w:rsid w:val="003156D7"/>
    <w:rsid w:val="00317261"/>
    <w:rsid w:val="00321DB1"/>
    <w:rsid w:val="00326F3E"/>
    <w:rsid w:val="00330A67"/>
    <w:rsid w:val="00332A51"/>
    <w:rsid w:val="00333ADD"/>
    <w:rsid w:val="00334F62"/>
    <w:rsid w:val="003364EB"/>
    <w:rsid w:val="0034272B"/>
    <w:rsid w:val="00342BFE"/>
    <w:rsid w:val="00344C34"/>
    <w:rsid w:val="003470E8"/>
    <w:rsid w:val="00354574"/>
    <w:rsid w:val="003550C3"/>
    <w:rsid w:val="00356988"/>
    <w:rsid w:val="00360F5F"/>
    <w:rsid w:val="0036124A"/>
    <w:rsid w:val="003623D3"/>
    <w:rsid w:val="003643C9"/>
    <w:rsid w:val="003657F1"/>
    <w:rsid w:val="00365A2F"/>
    <w:rsid w:val="0036754C"/>
    <w:rsid w:val="0038042D"/>
    <w:rsid w:val="00381B05"/>
    <w:rsid w:val="00385BF0"/>
    <w:rsid w:val="00385DAD"/>
    <w:rsid w:val="00386626"/>
    <w:rsid w:val="003908D7"/>
    <w:rsid w:val="00390929"/>
    <w:rsid w:val="00390DBB"/>
    <w:rsid w:val="003924CC"/>
    <w:rsid w:val="0039716B"/>
    <w:rsid w:val="003A0B9C"/>
    <w:rsid w:val="003A0E5A"/>
    <w:rsid w:val="003A5E83"/>
    <w:rsid w:val="003A6A5F"/>
    <w:rsid w:val="003A7581"/>
    <w:rsid w:val="003B2E77"/>
    <w:rsid w:val="003B3FDD"/>
    <w:rsid w:val="003B4D40"/>
    <w:rsid w:val="003B5D19"/>
    <w:rsid w:val="003B610B"/>
    <w:rsid w:val="003C47E8"/>
    <w:rsid w:val="003C5102"/>
    <w:rsid w:val="003C6962"/>
    <w:rsid w:val="003C6F65"/>
    <w:rsid w:val="003D1F46"/>
    <w:rsid w:val="003E2B14"/>
    <w:rsid w:val="003F01A7"/>
    <w:rsid w:val="003F2E62"/>
    <w:rsid w:val="004047B1"/>
    <w:rsid w:val="0040584C"/>
    <w:rsid w:val="00406807"/>
    <w:rsid w:val="00407C2F"/>
    <w:rsid w:val="0041082C"/>
    <w:rsid w:val="00411425"/>
    <w:rsid w:val="00413B28"/>
    <w:rsid w:val="00413BA5"/>
    <w:rsid w:val="00413DAC"/>
    <w:rsid w:val="0041623E"/>
    <w:rsid w:val="00416AB2"/>
    <w:rsid w:val="00421203"/>
    <w:rsid w:val="00423359"/>
    <w:rsid w:val="00425C94"/>
    <w:rsid w:val="00426277"/>
    <w:rsid w:val="004262B3"/>
    <w:rsid w:val="00431130"/>
    <w:rsid w:val="0043485A"/>
    <w:rsid w:val="00440521"/>
    <w:rsid w:val="004407EE"/>
    <w:rsid w:val="00441078"/>
    <w:rsid w:val="00442254"/>
    <w:rsid w:val="00442C5B"/>
    <w:rsid w:val="00443307"/>
    <w:rsid w:val="00444E41"/>
    <w:rsid w:val="00446B02"/>
    <w:rsid w:val="00447A63"/>
    <w:rsid w:val="004521D4"/>
    <w:rsid w:val="0045300F"/>
    <w:rsid w:val="00454158"/>
    <w:rsid w:val="00454723"/>
    <w:rsid w:val="00460140"/>
    <w:rsid w:val="0046238B"/>
    <w:rsid w:val="00465D71"/>
    <w:rsid w:val="00477A71"/>
    <w:rsid w:val="00484BCE"/>
    <w:rsid w:val="00491F39"/>
    <w:rsid w:val="0049475D"/>
    <w:rsid w:val="0049575D"/>
    <w:rsid w:val="00496DB8"/>
    <w:rsid w:val="004A0437"/>
    <w:rsid w:val="004A5318"/>
    <w:rsid w:val="004A741E"/>
    <w:rsid w:val="004B0321"/>
    <w:rsid w:val="004B1ADE"/>
    <w:rsid w:val="004B570B"/>
    <w:rsid w:val="004B652A"/>
    <w:rsid w:val="004B7DB2"/>
    <w:rsid w:val="004C30D2"/>
    <w:rsid w:val="004C3AE2"/>
    <w:rsid w:val="004D0BC8"/>
    <w:rsid w:val="004D0BE0"/>
    <w:rsid w:val="004D14F0"/>
    <w:rsid w:val="004D4A68"/>
    <w:rsid w:val="004E429F"/>
    <w:rsid w:val="004F160A"/>
    <w:rsid w:val="004F37CB"/>
    <w:rsid w:val="004F45CA"/>
    <w:rsid w:val="00500A53"/>
    <w:rsid w:val="0050210C"/>
    <w:rsid w:val="00504F92"/>
    <w:rsid w:val="00505551"/>
    <w:rsid w:val="005078B3"/>
    <w:rsid w:val="00511C54"/>
    <w:rsid w:val="00520C27"/>
    <w:rsid w:val="00521B57"/>
    <w:rsid w:val="00522DE9"/>
    <w:rsid w:val="00522EF8"/>
    <w:rsid w:val="0052399F"/>
    <w:rsid w:val="00523FBA"/>
    <w:rsid w:val="00524079"/>
    <w:rsid w:val="005255C0"/>
    <w:rsid w:val="0052764F"/>
    <w:rsid w:val="00527AFE"/>
    <w:rsid w:val="005328F4"/>
    <w:rsid w:val="00535220"/>
    <w:rsid w:val="00540ED6"/>
    <w:rsid w:val="00541C1D"/>
    <w:rsid w:val="00544A16"/>
    <w:rsid w:val="005472EC"/>
    <w:rsid w:val="00547C82"/>
    <w:rsid w:val="00552915"/>
    <w:rsid w:val="005534BD"/>
    <w:rsid w:val="005623DE"/>
    <w:rsid w:val="00564A3A"/>
    <w:rsid w:val="00564FDA"/>
    <w:rsid w:val="005674EF"/>
    <w:rsid w:val="00570C2E"/>
    <w:rsid w:val="00571577"/>
    <w:rsid w:val="0057213D"/>
    <w:rsid w:val="005732E9"/>
    <w:rsid w:val="00575D4F"/>
    <w:rsid w:val="00575F27"/>
    <w:rsid w:val="0058036C"/>
    <w:rsid w:val="0058073B"/>
    <w:rsid w:val="00580815"/>
    <w:rsid w:val="00582289"/>
    <w:rsid w:val="00585BD9"/>
    <w:rsid w:val="00593FF1"/>
    <w:rsid w:val="0059623B"/>
    <w:rsid w:val="005A1839"/>
    <w:rsid w:val="005A2923"/>
    <w:rsid w:val="005A3759"/>
    <w:rsid w:val="005B3D45"/>
    <w:rsid w:val="005B78C4"/>
    <w:rsid w:val="005C373B"/>
    <w:rsid w:val="005C3DD2"/>
    <w:rsid w:val="005C4AAA"/>
    <w:rsid w:val="005D1442"/>
    <w:rsid w:val="005E06D4"/>
    <w:rsid w:val="005F064D"/>
    <w:rsid w:val="005F512E"/>
    <w:rsid w:val="005F5A21"/>
    <w:rsid w:val="00600458"/>
    <w:rsid w:val="0060369E"/>
    <w:rsid w:val="00603824"/>
    <w:rsid w:val="006073B5"/>
    <w:rsid w:val="006113D8"/>
    <w:rsid w:val="00616232"/>
    <w:rsid w:val="00620850"/>
    <w:rsid w:val="006225AC"/>
    <w:rsid w:val="006230A9"/>
    <w:rsid w:val="00624D32"/>
    <w:rsid w:val="006273ED"/>
    <w:rsid w:val="0063516D"/>
    <w:rsid w:val="00635AE1"/>
    <w:rsid w:val="0064349A"/>
    <w:rsid w:val="0064750C"/>
    <w:rsid w:val="00651F0A"/>
    <w:rsid w:val="006543FB"/>
    <w:rsid w:val="00655505"/>
    <w:rsid w:val="00655AA7"/>
    <w:rsid w:val="00655F80"/>
    <w:rsid w:val="00656541"/>
    <w:rsid w:val="006621E9"/>
    <w:rsid w:val="00662904"/>
    <w:rsid w:val="00664C73"/>
    <w:rsid w:val="00671999"/>
    <w:rsid w:val="00680B65"/>
    <w:rsid w:val="00681287"/>
    <w:rsid w:val="006815A6"/>
    <w:rsid w:val="0068285E"/>
    <w:rsid w:val="00684EF6"/>
    <w:rsid w:val="006856E2"/>
    <w:rsid w:val="00695397"/>
    <w:rsid w:val="0069562F"/>
    <w:rsid w:val="006A177A"/>
    <w:rsid w:val="006A5F8B"/>
    <w:rsid w:val="006A600F"/>
    <w:rsid w:val="006B1A6D"/>
    <w:rsid w:val="006B2B00"/>
    <w:rsid w:val="006B2FA8"/>
    <w:rsid w:val="006B3E08"/>
    <w:rsid w:val="006B529B"/>
    <w:rsid w:val="006C3BAF"/>
    <w:rsid w:val="006C4536"/>
    <w:rsid w:val="006C51E2"/>
    <w:rsid w:val="006C62F8"/>
    <w:rsid w:val="006C71BB"/>
    <w:rsid w:val="006D071F"/>
    <w:rsid w:val="006D1276"/>
    <w:rsid w:val="006D13C4"/>
    <w:rsid w:val="006D2C14"/>
    <w:rsid w:val="006D3945"/>
    <w:rsid w:val="006D4C15"/>
    <w:rsid w:val="006D7692"/>
    <w:rsid w:val="006E5D2E"/>
    <w:rsid w:val="006E670A"/>
    <w:rsid w:val="006F15E9"/>
    <w:rsid w:val="006F252A"/>
    <w:rsid w:val="006F27FC"/>
    <w:rsid w:val="006F3153"/>
    <w:rsid w:val="006F4B6F"/>
    <w:rsid w:val="006F4F6D"/>
    <w:rsid w:val="0070008A"/>
    <w:rsid w:val="0070357F"/>
    <w:rsid w:val="00703DA7"/>
    <w:rsid w:val="00703E05"/>
    <w:rsid w:val="00705262"/>
    <w:rsid w:val="00705CA5"/>
    <w:rsid w:val="00706ED7"/>
    <w:rsid w:val="00713444"/>
    <w:rsid w:val="00716D0A"/>
    <w:rsid w:val="00717AF6"/>
    <w:rsid w:val="00721ECF"/>
    <w:rsid w:val="00722D13"/>
    <w:rsid w:val="007230FE"/>
    <w:rsid w:val="00725BEA"/>
    <w:rsid w:val="00726409"/>
    <w:rsid w:val="007306D1"/>
    <w:rsid w:val="007344C3"/>
    <w:rsid w:val="00736C31"/>
    <w:rsid w:val="00742CE1"/>
    <w:rsid w:val="0074372C"/>
    <w:rsid w:val="00744C7C"/>
    <w:rsid w:val="00746657"/>
    <w:rsid w:val="00747C4D"/>
    <w:rsid w:val="0075585E"/>
    <w:rsid w:val="00772458"/>
    <w:rsid w:val="00781AFB"/>
    <w:rsid w:val="00782461"/>
    <w:rsid w:val="0078470A"/>
    <w:rsid w:val="0078583D"/>
    <w:rsid w:val="00785939"/>
    <w:rsid w:val="00787AF1"/>
    <w:rsid w:val="0079132B"/>
    <w:rsid w:val="007969E6"/>
    <w:rsid w:val="00796DA1"/>
    <w:rsid w:val="007A2C57"/>
    <w:rsid w:val="007A3440"/>
    <w:rsid w:val="007A34B3"/>
    <w:rsid w:val="007B1039"/>
    <w:rsid w:val="007B1644"/>
    <w:rsid w:val="007B413B"/>
    <w:rsid w:val="007B5461"/>
    <w:rsid w:val="007C60E2"/>
    <w:rsid w:val="007D5B1C"/>
    <w:rsid w:val="007E0ADA"/>
    <w:rsid w:val="007E15CF"/>
    <w:rsid w:val="007E5866"/>
    <w:rsid w:val="007F07AF"/>
    <w:rsid w:val="007F2A44"/>
    <w:rsid w:val="007F6E2B"/>
    <w:rsid w:val="007F773D"/>
    <w:rsid w:val="00804065"/>
    <w:rsid w:val="008047DD"/>
    <w:rsid w:val="00806213"/>
    <w:rsid w:val="00812B80"/>
    <w:rsid w:val="008213E7"/>
    <w:rsid w:val="00821687"/>
    <w:rsid w:val="0082217D"/>
    <w:rsid w:val="00822A40"/>
    <w:rsid w:val="00830A48"/>
    <w:rsid w:val="00833331"/>
    <w:rsid w:val="00834B96"/>
    <w:rsid w:val="00836B47"/>
    <w:rsid w:val="00840A53"/>
    <w:rsid w:val="008427B3"/>
    <w:rsid w:val="0085047D"/>
    <w:rsid w:val="008524EA"/>
    <w:rsid w:val="008530B9"/>
    <w:rsid w:val="00857642"/>
    <w:rsid w:val="00857F8E"/>
    <w:rsid w:val="0086268A"/>
    <w:rsid w:val="00864B15"/>
    <w:rsid w:val="00865C18"/>
    <w:rsid w:val="0086621E"/>
    <w:rsid w:val="00882CB8"/>
    <w:rsid w:val="00884650"/>
    <w:rsid w:val="00885F50"/>
    <w:rsid w:val="00887314"/>
    <w:rsid w:val="00893901"/>
    <w:rsid w:val="0089728F"/>
    <w:rsid w:val="008A0874"/>
    <w:rsid w:val="008A51AD"/>
    <w:rsid w:val="008B2982"/>
    <w:rsid w:val="008B456E"/>
    <w:rsid w:val="008B51B9"/>
    <w:rsid w:val="008C03AD"/>
    <w:rsid w:val="008C1485"/>
    <w:rsid w:val="008D2DBA"/>
    <w:rsid w:val="008D56D1"/>
    <w:rsid w:val="008D638B"/>
    <w:rsid w:val="008D71AE"/>
    <w:rsid w:val="008D7ECE"/>
    <w:rsid w:val="008E44FF"/>
    <w:rsid w:val="008E5F96"/>
    <w:rsid w:val="008E6FB7"/>
    <w:rsid w:val="008E7FE5"/>
    <w:rsid w:val="008F25DF"/>
    <w:rsid w:val="008F29E0"/>
    <w:rsid w:val="008F4FCE"/>
    <w:rsid w:val="008F63E4"/>
    <w:rsid w:val="00900008"/>
    <w:rsid w:val="00902EB1"/>
    <w:rsid w:val="009050BB"/>
    <w:rsid w:val="00905F7A"/>
    <w:rsid w:val="00906A31"/>
    <w:rsid w:val="00906B1B"/>
    <w:rsid w:val="00910398"/>
    <w:rsid w:val="0091039C"/>
    <w:rsid w:val="00911640"/>
    <w:rsid w:val="0091213F"/>
    <w:rsid w:val="00912783"/>
    <w:rsid w:val="0091451C"/>
    <w:rsid w:val="00915C3E"/>
    <w:rsid w:val="00915D45"/>
    <w:rsid w:val="00923349"/>
    <w:rsid w:val="009252D3"/>
    <w:rsid w:val="00926002"/>
    <w:rsid w:val="00930EBA"/>
    <w:rsid w:val="00931145"/>
    <w:rsid w:val="00935580"/>
    <w:rsid w:val="009366E0"/>
    <w:rsid w:val="00940622"/>
    <w:rsid w:val="009412D9"/>
    <w:rsid w:val="00944730"/>
    <w:rsid w:val="009471B5"/>
    <w:rsid w:val="00951A6C"/>
    <w:rsid w:val="00952928"/>
    <w:rsid w:val="009531DA"/>
    <w:rsid w:val="00953CFD"/>
    <w:rsid w:val="009669E3"/>
    <w:rsid w:val="009671DB"/>
    <w:rsid w:val="00972738"/>
    <w:rsid w:val="009808B0"/>
    <w:rsid w:val="00980958"/>
    <w:rsid w:val="00983EDB"/>
    <w:rsid w:val="00987014"/>
    <w:rsid w:val="009871AC"/>
    <w:rsid w:val="00997443"/>
    <w:rsid w:val="009A3B62"/>
    <w:rsid w:val="009A5C47"/>
    <w:rsid w:val="009A68E7"/>
    <w:rsid w:val="009B4A92"/>
    <w:rsid w:val="009B66C0"/>
    <w:rsid w:val="009B72A1"/>
    <w:rsid w:val="009B74A5"/>
    <w:rsid w:val="009C24F9"/>
    <w:rsid w:val="009D3AAC"/>
    <w:rsid w:val="009D5B63"/>
    <w:rsid w:val="009E1679"/>
    <w:rsid w:val="009E2348"/>
    <w:rsid w:val="009E239E"/>
    <w:rsid w:val="009E271D"/>
    <w:rsid w:val="009E362F"/>
    <w:rsid w:val="009E59CA"/>
    <w:rsid w:val="009F0C4D"/>
    <w:rsid w:val="009F1EA5"/>
    <w:rsid w:val="009F768D"/>
    <w:rsid w:val="00A00F26"/>
    <w:rsid w:val="00A039B4"/>
    <w:rsid w:val="00A063F2"/>
    <w:rsid w:val="00A0799C"/>
    <w:rsid w:val="00A07D8F"/>
    <w:rsid w:val="00A13C95"/>
    <w:rsid w:val="00A1707A"/>
    <w:rsid w:val="00A23803"/>
    <w:rsid w:val="00A249F6"/>
    <w:rsid w:val="00A27248"/>
    <w:rsid w:val="00A27289"/>
    <w:rsid w:val="00A34AEC"/>
    <w:rsid w:val="00A35AFD"/>
    <w:rsid w:val="00A40731"/>
    <w:rsid w:val="00A429D5"/>
    <w:rsid w:val="00A433E2"/>
    <w:rsid w:val="00A448EF"/>
    <w:rsid w:val="00A4598C"/>
    <w:rsid w:val="00A510EE"/>
    <w:rsid w:val="00A52A4E"/>
    <w:rsid w:val="00A5343C"/>
    <w:rsid w:val="00A63881"/>
    <w:rsid w:val="00A64C8D"/>
    <w:rsid w:val="00A70355"/>
    <w:rsid w:val="00A73D4F"/>
    <w:rsid w:val="00A74128"/>
    <w:rsid w:val="00A7538D"/>
    <w:rsid w:val="00A75DD6"/>
    <w:rsid w:val="00A77155"/>
    <w:rsid w:val="00A77757"/>
    <w:rsid w:val="00A8008F"/>
    <w:rsid w:val="00A8092D"/>
    <w:rsid w:val="00A80E74"/>
    <w:rsid w:val="00A851A4"/>
    <w:rsid w:val="00A86BD8"/>
    <w:rsid w:val="00A87EDF"/>
    <w:rsid w:val="00A90C67"/>
    <w:rsid w:val="00A92B4B"/>
    <w:rsid w:val="00AA013D"/>
    <w:rsid w:val="00AA1496"/>
    <w:rsid w:val="00AA155D"/>
    <w:rsid w:val="00AA3D06"/>
    <w:rsid w:val="00AA47A2"/>
    <w:rsid w:val="00AA4899"/>
    <w:rsid w:val="00AA59F2"/>
    <w:rsid w:val="00AA639F"/>
    <w:rsid w:val="00AB3E2B"/>
    <w:rsid w:val="00AB671D"/>
    <w:rsid w:val="00AB7130"/>
    <w:rsid w:val="00AC0D42"/>
    <w:rsid w:val="00AC2C30"/>
    <w:rsid w:val="00AC3558"/>
    <w:rsid w:val="00AC46EE"/>
    <w:rsid w:val="00AC701A"/>
    <w:rsid w:val="00AC74A3"/>
    <w:rsid w:val="00AC7DAD"/>
    <w:rsid w:val="00AD07C5"/>
    <w:rsid w:val="00AD344D"/>
    <w:rsid w:val="00AD49BE"/>
    <w:rsid w:val="00AD5E7B"/>
    <w:rsid w:val="00AD7989"/>
    <w:rsid w:val="00AE1A08"/>
    <w:rsid w:val="00AE1BBA"/>
    <w:rsid w:val="00AE4BA3"/>
    <w:rsid w:val="00AE7E8A"/>
    <w:rsid w:val="00AF32D8"/>
    <w:rsid w:val="00AF3F64"/>
    <w:rsid w:val="00AF4C64"/>
    <w:rsid w:val="00AF70FF"/>
    <w:rsid w:val="00B01BE5"/>
    <w:rsid w:val="00B02385"/>
    <w:rsid w:val="00B03878"/>
    <w:rsid w:val="00B06DDF"/>
    <w:rsid w:val="00B07809"/>
    <w:rsid w:val="00B079A5"/>
    <w:rsid w:val="00B136CC"/>
    <w:rsid w:val="00B20FAA"/>
    <w:rsid w:val="00B21CD8"/>
    <w:rsid w:val="00B21FBA"/>
    <w:rsid w:val="00B23036"/>
    <w:rsid w:val="00B2793E"/>
    <w:rsid w:val="00B3022C"/>
    <w:rsid w:val="00B33B37"/>
    <w:rsid w:val="00B374E5"/>
    <w:rsid w:val="00B41FA0"/>
    <w:rsid w:val="00B42826"/>
    <w:rsid w:val="00B43982"/>
    <w:rsid w:val="00B459AF"/>
    <w:rsid w:val="00B50016"/>
    <w:rsid w:val="00B55869"/>
    <w:rsid w:val="00B567F1"/>
    <w:rsid w:val="00B569FA"/>
    <w:rsid w:val="00B571D3"/>
    <w:rsid w:val="00B64CAA"/>
    <w:rsid w:val="00B65FE3"/>
    <w:rsid w:val="00B66D36"/>
    <w:rsid w:val="00B7342D"/>
    <w:rsid w:val="00B73BCE"/>
    <w:rsid w:val="00B7490A"/>
    <w:rsid w:val="00B759EC"/>
    <w:rsid w:val="00B75F96"/>
    <w:rsid w:val="00B773AD"/>
    <w:rsid w:val="00B778CB"/>
    <w:rsid w:val="00B8168B"/>
    <w:rsid w:val="00B824F8"/>
    <w:rsid w:val="00B8362D"/>
    <w:rsid w:val="00B8368B"/>
    <w:rsid w:val="00B86F52"/>
    <w:rsid w:val="00B91893"/>
    <w:rsid w:val="00B926BD"/>
    <w:rsid w:val="00B92DE8"/>
    <w:rsid w:val="00B96A32"/>
    <w:rsid w:val="00B9799D"/>
    <w:rsid w:val="00BA1322"/>
    <w:rsid w:val="00BA3AA7"/>
    <w:rsid w:val="00BA3C3F"/>
    <w:rsid w:val="00BA5CEA"/>
    <w:rsid w:val="00BA7612"/>
    <w:rsid w:val="00BB1D36"/>
    <w:rsid w:val="00BB3FF6"/>
    <w:rsid w:val="00BB5630"/>
    <w:rsid w:val="00BB6BE1"/>
    <w:rsid w:val="00BC60A6"/>
    <w:rsid w:val="00BC62E0"/>
    <w:rsid w:val="00BC6FBF"/>
    <w:rsid w:val="00BD00D9"/>
    <w:rsid w:val="00BD40BC"/>
    <w:rsid w:val="00BD6234"/>
    <w:rsid w:val="00BE0437"/>
    <w:rsid w:val="00BE107D"/>
    <w:rsid w:val="00BE5D1C"/>
    <w:rsid w:val="00BE7640"/>
    <w:rsid w:val="00BF0242"/>
    <w:rsid w:val="00BF144D"/>
    <w:rsid w:val="00BF214A"/>
    <w:rsid w:val="00BF3E1B"/>
    <w:rsid w:val="00BF43BD"/>
    <w:rsid w:val="00BF7D51"/>
    <w:rsid w:val="00C02723"/>
    <w:rsid w:val="00C02A91"/>
    <w:rsid w:val="00C04960"/>
    <w:rsid w:val="00C06163"/>
    <w:rsid w:val="00C11391"/>
    <w:rsid w:val="00C1324E"/>
    <w:rsid w:val="00C138A5"/>
    <w:rsid w:val="00C14B96"/>
    <w:rsid w:val="00C158D4"/>
    <w:rsid w:val="00C211F9"/>
    <w:rsid w:val="00C22F92"/>
    <w:rsid w:val="00C25927"/>
    <w:rsid w:val="00C27126"/>
    <w:rsid w:val="00C310B8"/>
    <w:rsid w:val="00C31DBD"/>
    <w:rsid w:val="00C3343C"/>
    <w:rsid w:val="00C36C29"/>
    <w:rsid w:val="00C502DD"/>
    <w:rsid w:val="00C65047"/>
    <w:rsid w:val="00C653CC"/>
    <w:rsid w:val="00C665D4"/>
    <w:rsid w:val="00C74775"/>
    <w:rsid w:val="00C76F9B"/>
    <w:rsid w:val="00C80AB6"/>
    <w:rsid w:val="00C833D6"/>
    <w:rsid w:val="00C84CDE"/>
    <w:rsid w:val="00C8762A"/>
    <w:rsid w:val="00C95318"/>
    <w:rsid w:val="00C95A99"/>
    <w:rsid w:val="00C96B98"/>
    <w:rsid w:val="00C96F6B"/>
    <w:rsid w:val="00CA043D"/>
    <w:rsid w:val="00CA069B"/>
    <w:rsid w:val="00CA27F9"/>
    <w:rsid w:val="00CA4F28"/>
    <w:rsid w:val="00CB15CA"/>
    <w:rsid w:val="00CB26B3"/>
    <w:rsid w:val="00CB3B7D"/>
    <w:rsid w:val="00CB5E26"/>
    <w:rsid w:val="00CB687E"/>
    <w:rsid w:val="00CC074E"/>
    <w:rsid w:val="00CC1659"/>
    <w:rsid w:val="00CC30C3"/>
    <w:rsid w:val="00CC363A"/>
    <w:rsid w:val="00CC3D4E"/>
    <w:rsid w:val="00CC74BD"/>
    <w:rsid w:val="00CD0768"/>
    <w:rsid w:val="00CD3CC4"/>
    <w:rsid w:val="00CE047D"/>
    <w:rsid w:val="00CE43AF"/>
    <w:rsid w:val="00CE665D"/>
    <w:rsid w:val="00CE6758"/>
    <w:rsid w:val="00CE7731"/>
    <w:rsid w:val="00CF6A79"/>
    <w:rsid w:val="00CF73D7"/>
    <w:rsid w:val="00D00AAE"/>
    <w:rsid w:val="00D02D5A"/>
    <w:rsid w:val="00D03B9D"/>
    <w:rsid w:val="00D06F2D"/>
    <w:rsid w:val="00D13B2D"/>
    <w:rsid w:val="00D15660"/>
    <w:rsid w:val="00D16E7D"/>
    <w:rsid w:val="00D17731"/>
    <w:rsid w:val="00D21DFB"/>
    <w:rsid w:val="00D225EB"/>
    <w:rsid w:val="00D227C4"/>
    <w:rsid w:val="00D23048"/>
    <w:rsid w:val="00D23DD0"/>
    <w:rsid w:val="00D251C3"/>
    <w:rsid w:val="00D33231"/>
    <w:rsid w:val="00D36240"/>
    <w:rsid w:val="00D36DB7"/>
    <w:rsid w:val="00D40E5E"/>
    <w:rsid w:val="00D4138D"/>
    <w:rsid w:val="00D41493"/>
    <w:rsid w:val="00D4152F"/>
    <w:rsid w:val="00D43EF1"/>
    <w:rsid w:val="00D43F6F"/>
    <w:rsid w:val="00D46755"/>
    <w:rsid w:val="00D46CFF"/>
    <w:rsid w:val="00D46FBF"/>
    <w:rsid w:val="00D47BB6"/>
    <w:rsid w:val="00D62214"/>
    <w:rsid w:val="00D632D1"/>
    <w:rsid w:val="00D65E10"/>
    <w:rsid w:val="00D709A0"/>
    <w:rsid w:val="00D70A78"/>
    <w:rsid w:val="00D71394"/>
    <w:rsid w:val="00D7252A"/>
    <w:rsid w:val="00D73BC0"/>
    <w:rsid w:val="00D74112"/>
    <w:rsid w:val="00D76C93"/>
    <w:rsid w:val="00D81512"/>
    <w:rsid w:val="00D85346"/>
    <w:rsid w:val="00DA0625"/>
    <w:rsid w:val="00DA19F6"/>
    <w:rsid w:val="00DA3748"/>
    <w:rsid w:val="00DA671A"/>
    <w:rsid w:val="00DA756A"/>
    <w:rsid w:val="00DA78D9"/>
    <w:rsid w:val="00DA7E6E"/>
    <w:rsid w:val="00DB07B8"/>
    <w:rsid w:val="00DB45E2"/>
    <w:rsid w:val="00DB4F49"/>
    <w:rsid w:val="00DB6D5A"/>
    <w:rsid w:val="00DC4772"/>
    <w:rsid w:val="00DC48CF"/>
    <w:rsid w:val="00DC6711"/>
    <w:rsid w:val="00DC6826"/>
    <w:rsid w:val="00DD20E3"/>
    <w:rsid w:val="00DD39E9"/>
    <w:rsid w:val="00DD5F86"/>
    <w:rsid w:val="00DD6047"/>
    <w:rsid w:val="00DD771A"/>
    <w:rsid w:val="00DE1A89"/>
    <w:rsid w:val="00DE2759"/>
    <w:rsid w:val="00DE2977"/>
    <w:rsid w:val="00DE4037"/>
    <w:rsid w:val="00DE43F4"/>
    <w:rsid w:val="00DE466B"/>
    <w:rsid w:val="00DE4A72"/>
    <w:rsid w:val="00DF2338"/>
    <w:rsid w:val="00DF4C70"/>
    <w:rsid w:val="00DF63EB"/>
    <w:rsid w:val="00DF78BC"/>
    <w:rsid w:val="00E030AE"/>
    <w:rsid w:val="00E04EFF"/>
    <w:rsid w:val="00E05D02"/>
    <w:rsid w:val="00E101A9"/>
    <w:rsid w:val="00E12954"/>
    <w:rsid w:val="00E12FAE"/>
    <w:rsid w:val="00E13468"/>
    <w:rsid w:val="00E174CB"/>
    <w:rsid w:val="00E2457B"/>
    <w:rsid w:val="00E247DE"/>
    <w:rsid w:val="00E257AB"/>
    <w:rsid w:val="00E3212A"/>
    <w:rsid w:val="00E32512"/>
    <w:rsid w:val="00E333C7"/>
    <w:rsid w:val="00E3374E"/>
    <w:rsid w:val="00E34A79"/>
    <w:rsid w:val="00E4104D"/>
    <w:rsid w:val="00E41293"/>
    <w:rsid w:val="00E44479"/>
    <w:rsid w:val="00E45108"/>
    <w:rsid w:val="00E475F0"/>
    <w:rsid w:val="00E50CA8"/>
    <w:rsid w:val="00E538E6"/>
    <w:rsid w:val="00E553E9"/>
    <w:rsid w:val="00E577FD"/>
    <w:rsid w:val="00E61098"/>
    <w:rsid w:val="00E62177"/>
    <w:rsid w:val="00E6494D"/>
    <w:rsid w:val="00E6716A"/>
    <w:rsid w:val="00E67F40"/>
    <w:rsid w:val="00E70167"/>
    <w:rsid w:val="00E703C3"/>
    <w:rsid w:val="00E73F29"/>
    <w:rsid w:val="00E74899"/>
    <w:rsid w:val="00E80333"/>
    <w:rsid w:val="00E8107B"/>
    <w:rsid w:val="00E838DB"/>
    <w:rsid w:val="00E9310C"/>
    <w:rsid w:val="00E93979"/>
    <w:rsid w:val="00E93CD3"/>
    <w:rsid w:val="00E9501F"/>
    <w:rsid w:val="00E9676A"/>
    <w:rsid w:val="00EA4CB5"/>
    <w:rsid w:val="00EA67B2"/>
    <w:rsid w:val="00EB5D98"/>
    <w:rsid w:val="00EB7A35"/>
    <w:rsid w:val="00EC05B4"/>
    <w:rsid w:val="00EC074E"/>
    <w:rsid w:val="00EC33EA"/>
    <w:rsid w:val="00ED0AA7"/>
    <w:rsid w:val="00ED2F8A"/>
    <w:rsid w:val="00ED7658"/>
    <w:rsid w:val="00EE1EE5"/>
    <w:rsid w:val="00EE2928"/>
    <w:rsid w:val="00EE359A"/>
    <w:rsid w:val="00EF2966"/>
    <w:rsid w:val="00EF7235"/>
    <w:rsid w:val="00F01EA8"/>
    <w:rsid w:val="00F023A3"/>
    <w:rsid w:val="00F030F9"/>
    <w:rsid w:val="00F04C8C"/>
    <w:rsid w:val="00F054DA"/>
    <w:rsid w:val="00F07BCF"/>
    <w:rsid w:val="00F16FAB"/>
    <w:rsid w:val="00F21CA5"/>
    <w:rsid w:val="00F31625"/>
    <w:rsid w:val="00F31BDC"/>
    <w:rsid w:val="00F32242"/>
    <w:rsid w:val="00F36E39"/>
    <w:rsid w:val="00F40A8F"/>
    <w:rsid w:val="00F40FF5"/>
    <w:rsid w:val="00F45144"/>
    <w:rsid w:val="00F4680B"/>
    <w:rsid w:val="00F47445"/>
    <w:rsid w:val="00F5046F"/>
    <w:rsid w:val="00F5088C"/>
    <w:rsid w:val="00F510AC"/>
    <w:rsid w:val="00F55E69"/>
    <w:rsid w:val="00F626E7"/>
    <w:rsid w:val="00F62D04"/>
    <w:rsid w:val="00F6434A"/>
    <w:rsid w:val="00F70887"/>
    <w:rsid w:val="00F70A7D"/>
    <w:rsid w:val="00F748DD"/>
    <w:rsid w:val="00F77EEC"/>
    <w:rsid w:val="00F83E64"/>
    <w:rsid w:val="00F86EF9"/>
    <w:rsid w:val="00F86FB1"/>
    <w:rsid w:val="00F908E0"/>
    <w:rsid w:val="00F9335A"/>
    <w:rsid w:val="00F93755"/>
    <w:rsid w:val="00F93A32"/>
    <w:rsid w:val="00F97EE2"/>
    <w:rsid w:val="00FA0810"/>
    <w:rsid w:val="00FA2895"/>
    <w:rsid w:val="00FA3DD7"/>
    <w:rsid w:val="00FB4C6F"/>
    <w:rsid w:val="00FB64A1"/>
    <w:rsid w:val="00FB6732"/>
    <w:rsid w:val="00FB7D16"/>
    <w:rsid w:val="00FC110D"/>
    <w:rsid w:val="00FC3800"/>
    <w:rsid w:val="00FC65BE"/>
    <w:rsid w:val="00FD1EEA"/>
    <w:rsid w:val="00FD30C0"/>
    <w:rsid w:val="00FD36CA"/>
    <w:rsid w:val="00FD3B41"/>
    <w:rsid w:val="00FD6C73"/>
    <w:rsid w:val="00FE578A"/>
    <w:rsid w:val="00FF0BE2"/>
    <w:rsid w:val="00FF14A5"/>
    <w:rsid w:val="00FF621F"/>
    <w:rsid w:val="00FF67DA"/>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43BD"/>
    <w:rPr>
      <w:color w:val="0000FF"/>
      <w:u w:val="single"/>
    </w:rPr>
  </w:style>
  <w:style w:type="character" w:customStyle="1" w:styleId="term1">
    <w:name w:val="term1"/>
    <w:basedOn w:val="DefaultParagraphFont"/>
    <w:rsid w:val="00BF43BD"/>
    <w:rPr>
      <w:b/>
      <w:bCs/>
    </w:rPr>
  </w:style>
  <w:style w:type="paragraph" w:styleId="Header">
    <w:name w:val="header"/>
    <w:basedOn w:val="Normal"/>
    <w:link w:val="HeaderChar"/>
    <w:uiPriority w:val="99"/>
    <w:semiHidden/>
    <w:unhideWhenUsed/>
    <w:rsid w:val="00A6388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63881"/>
  </w:style>
  <w:style w:type="paragraph" w:styleId="Footer">
    <w:name w:val="footer"/>
    <w:basedOn w:val="Normal"/>
    <w:link w:val="FooterChar"/>
    <w:uiPriority w:val="99"/>
    <w:unhideWhenUsed/>
    <w:rsid w:val="00A63881"/>
    <w:pPr>
      <w:tabs>
        <w:tab w:val="center" w:pos="4680"/>
        <w:tab w:val="right" w:pos="9360"/>
      </w:tabs>
      <w:spacing w:line="240" w:lineRule="auto"/>
    </w:pPr>
  </w:style>
  <w:style w:type="character" w:customStyle="1" w:styleId="FooterChar">
    <w:name w:val="Footer Char"/>
    <w:basedOn w:val="DefaultParagraphFont"/>
    <w:link w:val="Footer"/>
    <w:uiPriority w:val="99"/>
    <w:rsid w:val="00A638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xis.com/research/buttonTFLink?_m=9d2e643a3a4f9dd730f910a09c9a872e&amp;_xfercite=%3ccite%20cc%3d%22USA%22%3e%3c%21%5bCDATA%5b868%20A.2d%20624%5d%5d%3e%3c%2fcite%3e&amp;_butType=3&amp;_butStat=2&amp;_butNum=91&amp;_butInline=1&amp;_butinfo=%3ccite%20cc%3d%22USA%22%3e%3c%21%5bCDATA%5b29%20Pa.%20Commw.%20171%5d%5d%3e%3c%2fcite%3e&amp;_fmtstr=FULL&amp;docnum=6&amp;_startdoc=1&amp;wchp=dGLzVlz-zSkAB&amp;_md5=dac5b3933cdbce651952148e1b38bef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ashiflett</cp:lastModifiedBy>
  <cp:revision>2</cp:revision>
  <dcterms:created xsi:type="dcterms:W3CDTF">2010-09-09T19:59:00Z</dcterms:created>
  <dcterms:modified xsi:type="dcterms:W3CDTF">2010-09-09T19:59:00Z</dcterms:modified>
</cp:coreProperties>
</file>