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980"/>
        <w:gridCol w:w="270"/>
        <w:gridCol w:w="1530"/>
        <w:gridCol w:w="450"/>
        <w:gridCol w:w="2880"/>
      </w:tblGrid>
      <w:tr w:rsidR="00142BC5" w:rsidRPr="00DD4B2D">
        <w:tc>
          <w:tcPr>
            <w:tcW w:w="2448" w:type="dxa"/>
          </w:tcPr>
          <w:p w:rsidR="00142BC5" w:rsidRPr="00AC1019" w:rsidRDefault="00142BC5"/>
        </w:tc>
        <w:tc>
          <w:tcPr>
            <w:tcW w:w="4230" w:type="dxa"/>
            <w:gridSpan w:val="4"/>
          </w:tcPr>
          <w:p w:rsidR="00142BC5" w:rsidRPr="00DD4B2D" w:rsidRDefault="00142BC5">
            <w:pPr>
              <w:jc w:val="center"/>
              <w:rPr>
                <w:b/>
              </w:rPr>
            </w:pPr>
            <w:smartTag w:uri="urn:schemas-microsoft-com:office:smarttags" w:element="place">
              <w:smartTag w:uri="urn:schemas-microsoft-com:office:smarttags" w:element="State">
                <w:r w:rsidRPr="00DD4B2D">
                  <w:rPr>
                    <w:b/>
                  </w:rPr>
                  <w:t>PENNSYLVANIA</w:t>
                </w:r>
              </w:smartTag>
            </w:smartTag>
          </w:p>
          <w:p w:rsidR="00142BC5" w:rsidRPr="00DD4B2D" w:rsidRDefault="00142BC5">
            <w:pPr>
              <w:jc w:val="center"/>
              <w:rPr>
                <w:b/>
              </w:rPr>
            </w:pPr>
            <w:r w:rsidRPr="00DD4B2D">
              <w:rPr>
                <w:b/>
              </w:rPr>
              <w:t>PUBLIC UTILITY COMMISSION</w:t>
            </w:r>
          </w:p>
          <w:p w:rsidR="00142BC5" w:rsidRPr="00DD4B2D" w:rsidRDefault="00142BC5">
            <w:pPr>
              <w:jc w:val="center"/>
            </w:pPr>
            <w:smartTag w:uri="urn:schemas-microsoft-com:office:smarttags" w:element="place">
              <w:smartTag w:uri="urn:schemas-microsoft-com:office:smarttags" w:element="City">
                <w:r w:rsidRPr="00DD4B2D">
                  <w:rPr>
                    <w:b/>
                  </w:rPr>
                  <w:t>Harrisburg</w:t>
                </w:r>
              </w:smartTag>
              <w:r w:rsidRPr="00DD4B2D">
                <w:rPr>
                  <w:b/>
                </w:rPr>
                <w:t xml:space="preserve">, </w:t>
              </w:r>
              <w:smartTag w:uri="urn:schemas-microsoft-com:office:smarttags" w:element="State">
                <w:r w:rsidRPr="00DD4B2D">
                  <w:rPr>
                    <w:b/>
                  </w:rPr>
                  <w:t>PA</w:t>
                </w:r>
              </w:smartTag>
              <w:r w:rsidRPr="00DD4B2D">
                <w:rPr>
                  <w:b/>
                </w:rPr>
                <w:t xml:space="preserve">  </w:t>
              </w:r>
              <w:smartTag w:uri="urn:schemas-microsoft-com:office:smarttags" w:element="PostalCode">
                <w:r w:rsidRPr="00DD4B2D">
                  <w:rPr>
                    <w:b/>
                  </w:rPr>
                  <w:t>17105-3265</w:t>
                </w:r>
              </w:smartTag>
            </w:smartTag>
          </w:p>
        </w:tc>
        <w:tc>
          <w:tcPr>
            <w:tcW w:w="2880" w:type="dxa"/>
          </w:tcPr>
          <w:p w:rsidR="00142BC5" w:rsidRPr="00DD4B2D" w:rsidRDefault="00142BC5"/>
        </w:tc>
      </w:tr>
      <w:tr w:rsidR="00AC1019" w:rsidRPr="00DD4B2D">
        <w:tc>
          <w:tcPr>
            <w:tcW w:w="2448" w:type="dxa"/>
          </w:tcPr>
          <w:p w:rsidR="00AC1019" w:rsidRPr="00DD4B2D" w:rsidRDefault="00AC1019"/>
        </w:tc>
        <w:tc>
          <w:tcPr>
            <w:tcW w:w="4230" w:type="dxa"/>
            <w:gridSpan w:val="4"/>
          </w:tcPr>
          <w:p w:rsidR="00AC1019" w:rsidRPr="00DD4B2D" w:rsidRDefault="00AC1019">
            <w:pPr>
              <w:jc w:val="center"/>
              <w:rPr>
                <w:b/>
              </w:rPr>
            </w:pPr>
          </w:p>
        </w:tc>
        <w:tc>
          <w:tcPr>
            <w:tcW w:w="2880" w:type="dxa"/>
          </w:tcPr>
          <w:p w:rsidR="00AC1019" w:rsidRPr="00DD4B2D" w:rsidRDefault="00AC1019"/>
        </w:tc>
      </w:tr>
      <w:tr w:rsidR="00142BC5" w:rsidRPr="009F6E2F">
        <w:tc>
          <w:tcPr>
            <w:tcW w:w="4698" w:type="dxa"/>
            <w:gridSpan w:val="3"/>
          </w:tcPr>
          <w:p w:rsidR="00142BC5" w:rsidRPr="00DD4B2D" w:rsidRDefault="00142BC5"/>
        </w:tc>
        <w:tc>
          <w:tcPr>
            <w:tcW w:w="4860" w:type="dxa"/>
            <w:gridSpan w:val="3"/>
          </w:tcPr>
          <w:p w:rsidR="00142BC5" w:rsidRPr="009F6E2F" w:rsidRDefault="00142BC5" w:rsidP="007C2EBC">
            <w:pPr>
              <w:rPr>
                <w:highlight w:val="green"/>
              </w:rPr>
            </w:pPr>
            <w:r w:rsidRPr="00872C9E">
              <w:t>Public Meeting held</w:t>
            </w:r>
            <w:r w:rsidR="0066610F" w:rsidRPr="00872C9E">
              <w:t xml:space="preserve"> </w:t>
            </w:r>
            <w:r w:rsidR="00AD7A66">
              <w:t xml:space="preserve">September </w:t>
            </w:r>
            <w:r w:rsidR="007C2EBC">
              <w:t>16</w:t>
            </w:r>
            <w:r w:rsidR="00D127D3" w:rsidRPr="00872C9E">
              <w:t>, 20</w:t>
            </w:r>
            <w:r w:rsidR="005D23AC" w:rsidRPr="00872C9E">
              <w:t>10</w:t>
            </w:r>
          </w:p>
        </w:tc>
      </w:tr>
      <w:tr w:rsidR="00142BC5" w:rsidRPr="009F6E2F">
        <w:tc>
          <w:tcPr>
            <w:tcW w:w="4698" w:type="dxa"/>
            <w:gridSpan w:val="3"/>
          </w:tcPr>
          <w:p w:rsidR="00142BC5" w:rsidRPr="005D23AC" w:rsidRDefault="00142BC5">
            <w:r w:rsidRPr="005D23AC">
              <w:t>Commissioners Present:</w:t>
            </w:r>
          </w:p>
        </w:tc>
        <w:tc>
          <w:tcPr>
            <w:tcW w:w="4860" w:type="dxa"/>
            <w:gridSpan w:val="3"/>
          </w:tcPr>
          <w:p w:rsidR="00142BC5" w:rsidRPr="005D23AC" w:rsidRDefault="00142BC5"/>
        </w:tc>
      </w:tr>
      <w:tr w:rsidR="00AC1019" w:rsidRPr="009F6E2F">
        <w:tc>
          <w:tcPr>
            <w:tcW w:w="4698" w:type="dxa"/>
            <w:gridSpan w:val="3"/>
          </w:tcPr>
          <w:p w:rsidR="00AC1019" w:rsidRPr="005D23AC" w:rsidRDefault="00AC1019"/>
        </w:tc>
        <w:tc>
          <w:tcPr>
            <w:tcW w:w="4860" w:type="dxa"/>
            <w:gridSpan w:val="3"/>
          </w:tcPr>
          <w:p w:rsidR="00AC1019" w:rsidRPr="005D23AC" w:rsidRDefault="00AC1019"/>
        </w:tc>
      </w:tr>
      <w:tr w:rsidR="00142BC5" w:rsidRPr="009F6E2F">
        <w:tc>
          <w:tcPr>
            <w:tcW w:w="4698" w:type="dxa"/>
            <w:gridSpan w:val="3"/>
          </w:tcPr>
          <w:p w:rsidR="00142BC5" w:rsidRPr="005D23AC" w:rsidRDefault="00666333">
            <w:pPr>
              <w:ind w:firstLine="450"/>
            </w:pPr>
            <w:r w:rsidRPr="005D23AC">
              <w:t xml:space="preserve">James H. Cawley, </w:t>
            </w:r>
            <w:r w:rsidR="00EB093F" w:rsidRPr="005D23AC">
              <w:t>Chairman</w:t>
            </w:r>
          </w:p>
        </w:tc>
        <w:tc>
          <w:tcPr>
            <w:tcW w:w="4860" w:type="dxa"/>
            <w:gridSpan w:val="3"/>
          </w:tcPr>
          <w:p w:rsidR="00142BC5" w:rsidRPr="005D23AC" w:rsidRDefault="00142BC5"/>
        </w:tc>
      </w:tr>
      <w:tr w:rsidR="00142BC5" w:rsidRPr="009F6E2F">
        <w:tc>
          <w:tcPr>
            <w:tcW w:w="4698" w:type="dxa"/>
            <w:gridSpan w:val="3"/>
          </w:tcPr>
          <w:p w:rsidR="00142BC5" w:rsidRPr="005D23AC" w:rsidRDefault="002303F8">
            <w:pPr>
              <w:ind w:firstLine="450"/>
            </w:pPr>
            <w:r w:rsidRPr="005D23AC">
              <w:t>Tyrone J. Christy, Vice Chairman</w:t>
            </w:r>
          </w:p>
        </w:tc>
        <w:tc>
          <w:tcPr>
            <w:tcW w:w="4860" w:type="dxa"/>
            <w:gridSpan w:val="3"/>
          </w:tcPr>
          <w:p w:rsidR="00142BC5" w:rsidRPr="005D23AC" w:rsidRDefault="00142BC5"/>
        </w:tc>
      </w:tr>
      <w:tr w:rsidR="004324B3" w:rsidRPr="009F6E2F">
        <w:tc>
          <w:tcPr>
            <w:tcW w:w="4698" w:type="dxa"/>
            <w:gridSpan w:val="3"/>
          </w:tcPr>
          <w:p w:rsidR="004324B3" w:rsidRPr="005D23AC" w:rsidRDefault="00AD7A66" w:rsidP="00CA4A8D">
            <w:pPr>
              <w:ind w:firstLine="450"/>
            </w:pPr>
            <w:r>
              <w:t>John F. Coleman, Jr.</w:t>
            </w:r>
          </w:p>
        </w:tc>
        <w:tc>
          <w:tcPr>
            <w:tcW w:w="4860" w:type="dxa"/>
            <w:gridSpan w:val="3"/>
          </w:tcPr>
          <w:p w:rsidR="004324B3" w:rsidRPr="005D23AC" w:rsidRDefault="004324B3"/>
        </w:tc>
      </w:tr>
      <w:tr w:rsidR="004324B3" w:rsidRPr="009F6E2F">
        <w:tc>
          <w:tcPr>
            <w:tcW w:w="4698" w:type="dxa"/>
            <w:gridSpan w:val="3"/>
          </w:tcPr>
          <w:p w:rsidR="004324B3" w:rsidRPr="005D23AC" w:rsidRDefault="00AD7A66" w:rsidP="00CA4A8D">
            <w:pPr>
              <w:ind w:firstLine="450"/>
            </w:pPr>
            <w:r>
              <w:t>Wayne E. Gardner</w:t>
            </w:r>
          </w:p>
        </w:tc>
        <w:tc>
          <w:tcPr>
            <w:tcW w:w="4860" w:type="dxa"/>
            <w:gridSpan w:val="3"/>
          </w:tcPr>
          <w:p w:rsidR="004324B3" w:rsidRPr="005D23AC" w:rsidRDefault="004324B3"/>
        </w:tc>
      </w:tr>
      <w:tr w:rsidR="004324B3" w:rsidRPr="009F6E2F">
        <w:tc>
          <w:tcPr>
            <w:tcW w:w="4698" w:type="dxa"/>
            <w:gridSpan w:val="3"/>
          </w:tcPr>
          <w:p w:rsidR="004324B3" w:rsidRPr="005D23AC" w:rsidRDefault="00AD7A66">
            <w:pPr>
              <w:ind w:firstLine="450"/>
            </w:pPr>
            <w:r>
              <w:t>Robert F. Powelson</w:t>
            </w:r>
          </w:p>
        </w:tc>
        <w:tc>
          <w:tcPr>
            <w:tcW w:w="4860" w:type="dxa"/>
            <w:gridSpan w:val="3"/>
          </w:tcPr>
          <w:p w:rsidR="004324B3" w:rsidRPr="005D23AC" w:rsidRDefault="004324B3"/>
        </w:tc>
      </w:tr>
      <w:tr w:rsidR="004324B3" w:rsidRPr="009F6E2F">
        <w:tc>
          <w:tcPr>
            <w:tcW w:w="6228" w:type="dxa"/>
            <w:gridSpan w:val="4"/>
          </w:tcPr>
          <w:p w:rsidR="004324B3" w:rsidRPr="009F6E2F" w:rsidRDefault="004324B3">
            <w:pPr>
              <w:jc w:val="center"/>
              <w:rPr>
                <w:highlight w:val="green"/>
              </w:rPr>
            </w:pPr>
          </w:p>
        </w:tc>
        <w:tc>
          <w:tcPr>
            <w:tcW w:w="3330" w:type="dxa"/>
            <w:gridSpan w:val="2"/>
          </w:tcPr>
          <w:p w:rsidR="004324B3" w:rsidRPr="009F6E2F" w:rsidRDefault="004324B3">
            <w:pPr>
              <w:ind w:firstLine="1332"/>
              <w:rPr>
                <w:highlight w:val="green"/>
              </w:rPr>
            </w:pPr>
          </w:p>
        </w:tc>
      </w:tr>
      <w:tr w:rsidR="004324B3" w:rsidRPr="00872C9E" w:rsidTr="004D2B0E">
        <w:tc>
          <w:tcPr>
            <w:tcW w:w="4428" w:type="dxa"/>
            <w:gridSpan w:val="2"/>
            <w:vAlign w:val="center"/>
          </w:tcPr>
          <w:p w:rsidR="004324B3" w:rsidRPr="00872C9E" w:rsidRDefault="004324B3" w:rsidP="00F47908">
            <w:pPr>
              <w:jc w:val="center"/>
            </w:pPr>
            <w:smartTag w:uri="urn:schemas-microsoft-com:office:smarttags" w:element="State">
              <w:smartTag w:uri="urn:schemas-microsoft-com:office:smarttags" w:element="place">
                <w:r w:rsidRPr="00872C9E">
                  <w:t>Pennsylvania</w:t>
                </w:r>
              </w:smartTag>
            </w:smartTag>
            <w:r w:rsidRPr="00872C9E">
              <w:t xml:space="preserve"> Public Utility Commission</w:t>
            </w:r>
          </w:p>
          <w:p w:rsidR="004324B3" w:rsidRPr="00872C9E" w:rsidRDefault="004324B3" w:rsidP="00F32FF7">
            <w:pPr>
              <w:tabs>
                <w:tab w:val="left" w:pos="1455"/>
              </w:tabs>
              <w:jc w:val="center"/>
            </w:pPr>
            <w:r w:rsidRPr="00872C9E">
              <w:t>v.</w:t>
            </w:r>
          </w:p>
          <w:p w:rsidR="004324B3" w:rsidRPr="00872C9E" w:rsidRDefault="00AD7A66" w:rsidP="00F32FF7">
            <w:pPr>
              <w:jc w:val="center"/>
            </w:pPr>
            <w:r>
              <w:t>Duquesne Light Company</w:t>
            </w:r>
          </w:p>
        </w:tc>
        <w:tc>
          <w:tcPr>
            <w:tcW w:w="1800" w:type="dxa"/>
            <w:gridSpan w:val="2"/>
            <w:vAlign w:val="center"/>
          </w:tcPr>
          <w:p w:rsidR="004324B3" w:rsidRPr="00872C9E" w:rsidRDefault="004324B3" w:rsidP="00F32FF7">
            <w:pPr>
              <w:jc w:val="center"/>
            </w:pPr>
          </w:p>
        </w:tc>
        <w:tc>
          <w:tcPr>
            <w:tcW w:w="3330" w:type="dxa"/>
            <w:gridSpan w:val="2"/>
          </w:tcPr>
          <w:p w:rsidR="004324B3" w:rsidRDefault="004324B3" w:rsidP="005F1DC0">
            <w:r>
              <w:t>Docket No.</w:t>
            </w:r>
          </w:p>
          <w:p w:rsidR="004324B3" w:rsidRPr="00872C9E" w:rsidRDefault="00AF2E99" w:rsidP="005F1DC0">
            <w:r>
              <w:t>R-2010-21</w:t>
            </w:r>
            <w:r w:rsidR="00AD7A66">
              <w:t>79522</w:t>
            </w:r>
          </w:p>
          <w:p w:rsidR="004324B3" w:rsidRPr="00872C9E" w:rsidRDefault="004324B3" w:rsidP="002728A2">
            <w:pPr>
              <w:rPr>
                <w:i/>
              </w:rPr>
            </w:pPr>
          </w:p>
        </w:tc>
      </w:tr>
      <w:tr w:rsidR="004324B3" w:rsidRPr="00872C9E">
        <w:tc>
          <w:tcPr>
            <w:tcW w:w="6228" w:type="dxa"/>
            <w:gridSpan w:val="4"/>
          </w:tcPr>
          <w:p w:rsidR="004324B3" w:rsidRPr="00872C9E" w:rsidRDefault="004324B3">
            <w:pPr>
              <w:jc w:val="center"/>
            </w:pPr>
          </w:p>
        </w:tc>
        <w:tc>
          <w:tcPr>
            <w:tcW w:w="3330" w:type="dxa"/>
            <w:gridSpan w:val="2"/>
          </w:tcPr>
          <w:p w:rsidR="004324B3" w:rsidRPr="00872C9E" w:rsidRDefault="004324B3">
            <w:pPr>
              <w:ind w:firstLine="1332"/>
            </w:pPr>
          </w:p>
        </w:tc>
      </w:tr>
      <w:tr w:rsidR="004324B3" w:rsidRPr="00872C9E">
        <w:tc>
          <w:tcPr>
            <w:tcW w:w="6228" w:type="dxa"/>
            <w:gridSpan w:val="4"/>
          </w:tcPr>
          <w:p w:rsidR="004324B3" w:rsidRPr="00872C9E" w:rsidRDefault="004324B3">
            <w:pPr>
              <w:jc w:val="center"/>
            </w:pPr>
          </w:p>
        </w:tc>
        <w:tc>
          <w:tcPr>
            <w:tcW w:w="3330" w:type="dxa"/>
            <w:gridSpan w:val="2"/>
          </w:tcPr>
          <w:p w:rsidR="004324B3" w:rsidRPr="00872C9E" w:rsidRDefault="004324B3">
            <w:pPr>
              <w:ind w:firstLine="1332"/>
            </w:pPr>
          </w:p>
        </w:tc>
      </w:tr>
    </w:tbl>
    <w:p w:rsidR="00F47908" w:rsidRPr="00872C9E" w:rsidRDefault="00F47908">
      <w:pPr>
        <w:jc w:val="center"/>
        <w:rPr>
          <w:b/>
        </w:rPr>
      </w:pPr>
    </w:p>
    <w:p w:rsidR="00142BC5" w:rsidRPr="00872C9E" w:rsidRDefault="00142BC5">
      <w:pPr>
        <w:jc w:val="center"/>
      </w:pPr>
      <w:r w:rsidRPr="00872C9E">
        <w:rPr>
          <w:b/>
        </w:rPr>
        <w:t>ORDER</w:t>
      </w:r>
    </w:p>
    <w:p w:rsidR="00AC1019" w:rsidRPr="00872C9E" w:rsidRDefault="00AC1019">
      <w:pPr>
        <w:spacing w:line="360" w:lineRule="auto"/>
        <w:rPr>
          <w:b/>
        </w:rPr>
      </w:pPr>
    </w:p>
    <w:p w:rsidR="00142BC5" w:rsidRPr="00872C9E" w:rsidRDefault="00142BC5">
      <w:pPr>
        <w:spacing w:line="360" w:lineRule="auto"/>
        <w:rPr>
          <w:b/>
        </w:rPr>
      </w:pPr>
      <w:r w:rsidRPr="00872C9E">
        <w:rPr>
          <w:b/>
        </w:rPr>
        <w:t>BY THE COMMISSION:</w:t>
      </w:r>
    </w:p>
    <w:p w:rsidR="00142BC5" w:rsidRPr="009F6E2F" w:rsidRDefault="00142BC5" w:rsidP="00076535">
      <w:pPr>
        <w:rPr>
          <w:highlight w:val="green"/>
        </w:rPr>
      </w:pPr>
    </w:p>
    <w:p w:rsidR="0062244F" w:rsidRDefault="00142BC5" w:rsidP="0062244F">
      <w:pPr>
        <w:spacing w:line="360" w:lineRule="auto"/>
        <w:ind w:firstLine="720"/>
      </w:pPr>
      <w:r w:rsidRPr="00497C85">
        <w:rPr>
          <w:color w:val="auto"/>
        </w:rPr>
        <w:t>On</w:t>
      </w:r>
      <w:r w:rsidR="0043557E" w:rsidRPr="00497C85">
        <w:rPr>
          <w:color w:val="auto"/>
        </w:rPr>
        <w:t xml:space="preserve"> </w:t>
      </w:r>
      <w:r w:rsidR="00AD7A66">
        <w:rPr>
          <w:color w:val="auto"/>
        </w:rPr>
        <w:t>July 23</w:t>
      </w:r>
      <w:r w:rsidR="000A6FCA" w:rsidRPr="00497C85">
        <w:rPr>
          <w:color w:val="auto"/>
        </w:rPr>
        <w:t>, 2010</w:t>
      </w:r>
      <w:r w:rsidRPr="00497C85">
        <w:rPr>
          <w:color w:val="auto"/>
        </w:rPr>
        <w:t>,</w:t>
      </w:r>
      <w:r w:rsidR="00933CFE" w:rsidRPr="00497C85">
        <w:rPr>
          <w:color w:val="auto"/>
        </w:rPr>
        <w:t xml:space="preserve"> </w:t>
      </w:r>
      <w:r w:rsidR="00AD7A66">
        <w:rPr>
          <w:color w:val="auto"/>
        </w:rPr>
        <w:t>Duquesne Light Company</w:t>
      </w:r>
      <w:r w:rsidR="004B34CF" w:rsidRPr="00497C85">
        <w:rPr>
          <w:color w:val="auto"/>
        </w:rPr>
        <w:t xml:space="preserve"> </w:t>
      </w:r>
      <w:r w:rsidRPr="00497C85">
        <w:rPr>
          <w:color w:val="auto"/>
        </w:rPr>
        <w:t>(</w:t>
      </w:r>
      <w:r w:rsidR="00AD7A66">
        <w:rPr>
          <w:color w:val="auto"/>
        </w:rPr>
        <w:t>Duquesne</w:t>
      </w:r>
      <w:r w:rsidR="006A70DE" w:rsidRPr="00497C85">
        <w:rPr>
          <w:color w:val="auto"/>
        </w:rPr>
        <w:t xml:space="preserve"> or Company</w:t>
      </w:r>
      <w:r w:rsidRPr="00497C85">
        <w:rPr>
          <w:color w:val="auto"/>
        </w:rPr>
        <w:t xml:space="preserve">) filed </w:t>
      </w:r>
      <w:bookmarkStart w:id="0" w:name="OLE_LINK1"/>
      <w:bookmarkStart w:id="1" w:name="OLE_LINK2"/>
      <w:r w:rsidR="002728A2" w:rsidRPr="00497C85">
        <w:rPr>
          <w:color w:val="auto"/>
        </w:rPr>
        <w:t>Supplement No.</w:t>
      </w:r>
      <w:r w:rsidR="002728A2" w:rsidRPr="00497C85">
        <w:t xml:space="preserve"> </w:t>
      </w:r>
      <w:r w:rsidR="00AD7A66">
        <w:t>35</w:t>
      </w:r>
      <w:r w:rsidR="002728A2" w:rsidRPr="00D61C19">
        <w:rPr>
          <w:color w:val="auto"/>
        </w:rPr>
        <w:t xml:space="preserve"> </w:t>
      </w:r>
      <w:r w:rsidR="00C40D8B" w:rsidRPr="00D61C19">
        <w:rPr>
          <w:color w:val="auto"/>
        </w:rPr>
        <w:t xml:space="preserve">to </w:t>
      </w:r>
      <w:r w:rsidRPr="00D61C19">
        <w:rPr>
          <w:color w:val="auto"/>
        </w:rPr>
        <w:t xml:space="preserve">Tariff </w:t>
      </w:r>
      <w:r w:rsidR="00D61C19" w:rsidRPr="00D61C19">
        <w:rPr>
          <w:color w:val="auto"/>
        </w:rPr>
        <w:t>Electric</w:t>
      </w:r>
      <w:r w:rsidRPr="00D61C19">
        <w:rPr>
          <w:color w:val="auto"/>
        </w:rPr>
        <w:t xml:space="preserve">-Pa. P.U.C. No. </w:t>
      </w:r>
      <w:bookmarkEnd w:id="0"/>
      <w:bookmarkEnd w:id="1"/>
      <w:r w:rsidR="00D61C19" w:rsidRPr="00D61C19">
        <w:rPr>
          <w:color w:val="auto"/>
        </w:rPr>
        <w:t>2</w:t>
      </w:r>
      <w:r w:rsidR="00AD7A66">
        <w:rPr>
          <w:color w:val="auto"/>
        </w:rPr>
        <w:t>4</w:t>
      </w:r>
      <w:r w:rsidR="00CA155A" w:rsidRPr="00D61C19">
        <w:rPr>
          <w:color w:val="auto"/>
        </w:rPr>
        <w:t xml:space="preserve">, </w:t>
      </w:r>
      <w:r w:rsidRPr="00D61C19">
        <w:rPr>
          <w:color w:val="auto"/>
        </w:rPr>
        <w:t>containing proposed changes in rates, rules</w:t>
      </w:r>
      <w:r w:rsidR="00C67675" w:rsidRPr="00D61C19">
        <w:rPr>
          <w:color w:val="auto"/>
        </w:rPr>
        <w:t>,</w:t>
      </w:r>
      <w:r w:rsidRPr="00D61C19">
        <w:rPr>
          <w:color w:val="auto"/>
        </w:rPr>
        <w:t xml:space="preserve"> and regulations calculated to produce </w:t>
      </w:r>
      <w:r w:rsidR="00F32EFC" w:rsidRPr="00DF541D">
        <w:t xml:space="preserve">approximately </w:t>
      </w:r>
      <w:r w:rsidRPr="00DF541D">
        <w:t>$</w:t>
      </w:r>
      <w:r w:rsidR="005610FD">
        <w:t>87.3</w:t>
      </w:r>
      <w:r w:rsidR="004B34CF" w:rsidRPr="00DF541D">
        <w:t xml:space="preserve"> million</w:t>
      </w:r>
      <w:r w:rsidR="00727F3A" w:rsidRPr="00DF541D">
        <w:t xml:space="preserve"> </w:t>
      </w:r>
      <w:r w:rsidRPr="00DF541D">
        <w:t xml:space="preserve">in additional </w:t>
      </w:r>
      <w:r w:rsidRPr="002B2A52">
        <w:t>annual</w:t>
      </w:r>
      <w:r w:rsidR="00D76771" w:rsidRPr="002B2A52">
        <w:t xml:space="preserve"> distribution service</w:t>
      </w:r>
      <w:r w:rsidRPr="002B2A52">
        <w:rPr>
          <w:i/>
        </w:rPr>
        <w:t xml:space="preserve"> </w:t>
      </w:r>
      <w:r w:rsidRPr="002B2A52">
        <w:t>revenues</w:t>
      </w:r>
      <w:r w:rsidR="00FF297D">
        <w:t>.  This rate change represents</w:t>
      </w:r>
      <w:r w:rsidR="00570BA8">
        <w:t xml:space="preserve"> </w:t>
      </w:r>
      <w:r w:rsidR="00D806C4">
        <w:t>a</w:t>
      </w:r>
      <w:r w:rsidR="00742309">
        <w:t xml:space="preserve">n average increase in distribution rates of </w:t>
      </w:r>
      <w:r w:rsidR="00742309" w:rsidRPr="00FF5853">
        <w:t xml:space="preserve">approximately </w:t>
      </w:r>
      <w:r w:rsidR="002E2934">
        <w:t>22.6</w:t>
      </w:r>
      <w:r w:rsidR="00742309" w:rsidRPr="00FF5853">
        <w:t>%, which equates</w:t>
      </w:r>
      <w:r w:rsidR="00742309">
        <w:t xml:space="preserve"> to an average increase in total rat</w:t>
      </w:r>
      <w:r w:rsidR="00352AC1">
        <w:t xml:space="preserve">es (distribution, transmission and </w:t>
      </w:r>
      <w:r w:rsidR="00742309">
        <w:t>generat</w:t>
      </w:r>
      <w:r w:rsidR="00D806C4">
        <w:t xml:space="preserve">ion charges) of </w:t>
      </w:r>
      <w:r w:rsidR="00742309">
        <w:t>approximately</w:t>
      </w:r>
      <w:r w:rsidR="009602FB">
        <w:t xml:space="preserve"> </w:t>
      </w:r>
      <w:r w:rsidR="002E2934">
        <w:t>6.7</w:t>
      </w:r>
      <w:r w:rsidR="00742309">
        <w:t>%</w:t>
      </w:r>
      <w:r w:rsidR="003C59E0" w:rsidRPr="00D36F26">
        <w:t>.</w:t>
      </w:r>
      <w:r w:rsidRPr="00D36F26">
        <w:t xml:space="preserve"> </w:t>
      </w:r>
      <w:r w:rsidR="005A333A">
        <w:t xml:space="preserve"> </w:t>
      </w:r>
      <w:r w:rsidR="005610FD">
        <w:t>Duquesne</w:t>
      </w:r>
      <w:r w:rsidR="001645C8">
        <w:t xml:space="preserve">’s </w:t>
      </w:r>
      <w:r w:rsidR="00FF297D">
        <w:t xml:space="preserve">proposed general rate increase is </w:t>
      </w:r>
      <w:r w:rsidR="00143014">
        <w:t xml:space="preserve">based on a future test year ending </w:t>
      </w:r>
      <w:r w:rsidR="00800E7F">
        <w:t>March</w:t>
      </w:r>
      <w:r w:rsidR="00143014">
        <w:t xml:space="preserve"> 31, 201</w:t>
      </w:r>
      <w:r w:rsidR="00800E7F">
        <w:t>1</w:t>
      </w:r>
      <w:r w:rsidR="00143014">
        <w:t xml:space="preserve">, and is </w:t>
      </w:r>
      <w:r w:rsidR="00FF297D">
        <w:t>desig</w:t>
      </w:r>
      <w:r w:rsidR="001645C8">
        <w:t xml:space="preserve">ned to allow the Company an opportunity to earn </w:t>
      </w:r>
      <w:r w:rsidR="00FF297D">
        <w:t>an overall rate of</w:t>
      </w:r>
      <w:r w:rsidR="001645C8">
        <w:t xml:space="preserve"> return of </w:t>
      </w:r>
      <w:r w:rsidR="005610FD">
        <w:t>8.</w:t>
      </w:r>
      <w:r w:rsidR="002E2934">
        <w:t>78</w:t>
      </w:r>
      <w:r w:rsidR="001645C8">
        <w:t>%</w:t>
      </w:r>
      <w:r w:rsidR="00143014">
        <w:t>, including an 11.</w:t>
      </w:r>
      <w:r w:rsidR="00800E7F">
        <w:t>2</w:t>
      </w:r>
      <w:r w:rsidR="00143014">
        <w:t>5% return on common equity.</w:t>
      </w:r>
      <w:r w:rsidR="00526C46">
        <w:t xml:space="preserve">  </w:t>
      </w:r>
      <w:r w:rsidR="0062244F" w:rsidRPr="00D36F26">
        <w:t xml:space="preserve">Supplement No. </w:t>
      </w:r>
      <w:r w:rsidR="005610FD">
        <w:t>35</w:t>
      </w:r>
      <w:r w:rsidR="0062244F" w:rsidRPr="00D36F26">
        <w:t xml:space="preserve"> bears a proposed effective date of </w:t>
      </w:r>
      <w:r w:rsidR="005610FD">
        <w:t>September 21</w:t>
      </w:r>
      <w:r w:rsidR="0062244F" w:rsidRPr="00D36F26">
        <w:t>, 2010.</w:t>
      </w:r>
    </w:p>
    <w:p w:rsidR="00860DCD" w:rsidRPr="00D36F26" w:rsidRDefault="00860DCD" w:rsidP="00076535">
      <w:pPr>
        <w:ind w:firstLine="1440"/>
      </w:pPr>
    </w:p>
    <w:p w:rsidR="0026515E" w:rsidRDefault="005B7FD5" w:rsidP="006F0B7B">
      <w:pPr>
        <w:spacing w:line="360" w:lineRule="auto"/>
        <w:ind w:firstLine="720"/>
      </w:pPr>
      <w:r>
        <w:t>Duquesne</w:t>
      </w:r>
      <w:r w:rsidR="003B4DE5">
        <w:t xml:space="preserve"> is proposing to increase</w:t>
      </w:r>
      <w:r>
        <w:t xml:space="preserve"> </w:t>
      </w:r>
      <w:r w:rsidR="00B431E9">
        <w:t xml:space="preserve">rates </w:t>
      </w:r>
      <w:r>
        <w:t xml:space="preserve">across </w:t>
      </w:r>
      <w:r w:rsidR="001F6775">
        <w:t xml:space="preserve">all </w:t>
      </w:r>
      <w:r w:rsidR="00B431E9">
        <w:t xml:space="preserve">rate </w:t>
      </w:r>
      <w:r w:rsidR="001F6775">
        <w:t xml:space="preserve">schedules </w:t>
      </w:r>
      <w:r w:rsidR="00B431E9">
        <w:t>for</w:t>
      </w:r>
      <w:r w:rsidR="001F6775">
        <w:t xml:space="preserve"> residential, small and medium commercial and industrial</w:t>
      </w:r>
      <w:r w:rsidR="00B431E9">
        <w:t>,</w:t>
      </w:r>
      <w:r w:rsidR="001F6775">
        <w:t xml:space="preserve"> and large commercial and industrial</w:t>
      </w:r>
      <w:r>
        <w:t xml:space="preserve"> </w:t>
      </w:r>
      <w:r>
        <w:lastRenderedPageBreak/>
        <w:t>customer classes</w:t>
      </w:r>
      <w:r w:rsidR="001F6775">
        <w:t>.</w:t>
      </w:r>
      <w:r>
        <w:t xml:space="preserve"> </w:t>
      </w:r>
      <w:r w:rsidR="001F6775">
        <w:t xml:space="preserve"> </w:t>
      </w:r>
      <w:r w:rsidR="00B431E9">
        <w:t>Rates will decrease for all l</w:t>
      </w:r>
      <w:r w:rsidR="001F6775">
        <w:t>ighting customers</w:t>
      </w:r>
      <w:r w:rsidR="00E72258">
        <w:t>.</w:t>
      </w:r>
      <w:r w:rsidR="00F81A33">
        <w:t xml:space="preserve">  </w:t>
      </w:r>
      <w:r w:rsidR="00D84018">
        <w:t>The distribution revenue increase move</w:t>
      </w:r>
      <w:r w:rsidR="00BF1A1B">
        <w:t>s</w:t>
      </w:r>
      <w:r w:rsidR="00D84018">
        <w:t xml:space="preserve"> all classes closer to the system average return and full cost of service.  </w:t>
      </w:r>
      <w:r w:rsidR="00180924">
        <w:t>T</w:t>
      </w:r>
      <w:r w:rsidR="00D84018">
        <w:t>he Company states that it considered moving the classes to the full cost of service in this filing, but did not bring all classes to full cost of service in order to mitigate bill impacts to customers.</w:t>
      </w:r>
    </w:p>
    <w:p w:rsidR="00EC64EF" w:rsidRDefault="00EC64EF" w:rsidP="00076535">
      <w:pPr>
        <w:ind w:firstLine="720"/>
      </w:pPr>
    </w:p>
    <w:p w:rsidR="00E06C0C" w:rsidRDefault="00C71CD4" w:rsidP="0048647E">
      <w:pPr>
        <w:autoSpaceDE w:val="0"/>
        <w:autoSpaceDN w:val="0"/>
        <w:adjustRightInd w:val="0"/>
        <w:spacing w:line="360" w:lineRule="auto"/>
        <w:ind w:firstLine="720"/>
      </w:pPr>
      <w:r>
        <w:t>Duquesne</w:t>
      </w:r>
      <w:r w:rsidR="00EC64EF">
        <w:t xml:space="preserve"> is also proposing to modify its rate design </w:t>
      </w:r>
      <w:r w:rsidR="00D65ECA">
        <w:t xml:space="preserve">for several rate schedules.  First, </w:t>
      </w:r>
      <w:r w:rsidR="008144A9">
        <w:t xml:space="preserve">for schedules RH and RA, </w:t>
      </w:r>
      <w:r w:rsidR="00D65ECA">
        <w:t>it proposes to replace the declining block rate structure during the heating season with a flat energy charge per kWh</w:t>
      </w:r>
      <w:r w:rsidR="008144A9">
        <w:t xml:space="preserve"> that is lower than the non-heating season energy charge.</w:t>
      </w:r>
      <w:r w:rsidR="0048647E">
        <w:t xml:space="preserve">  </w:t>
      </w:r>
      <w:r w:rsidR="0079107D">
        <w:t>Duquesne submits that this proposed rate design achieves the target revenue while mitigating significant bill impacts during the heating season</w:t>
      </w:r>
      <w:r w:rsidR="00180924">
        <w:t>,</w:t>
      </w:r>
      <w:r w:rsidR="0079107D">
        <w:t xml:space="preserve"> particu</w:t>
      </w:r>
      <w:r w:rsidR="00A96389">
        <w:t xml:space="preserve">larly for lower consumption customers.  </w:t>
      </w:r>
      <w:r w:rsidR="0048647E">
        <w:t>Second, it proposes to separate the</w:t>
      </w:r>
      <w:r w:rsidR="00D65ECA">
        <w:t xml:space="preserve"> </w:t>
      </w:r>
      <w:r w:rsidR="00B1528D">
        <w:rPr>
          <w:color w:val="auto"/>
          <w:szCs w:val="26"/>
        </w:rPr>
        <w:t>GSGM rate</w:t>
      </w:r>
      <w:r w:rsidR="00B1528D">
        <w:rPr>
          <w:b/>
          <w:bCs/>
          <w:color w:val="auto"/>
          <w:szCs w:val="26"/>
        </w:rPr>
        <w:t xml:space="preserve"> </w:t>
      </w:r>
      <w:r w:rsidR="00BF1A1B">
        <w:rPr>
          <w:color w:val="auto"/>
          <w:szCs w:val="26"/>
        </w:rPr>
        <w:t>schedule</w:t>
      </w:r>
      <w:r w:rsidR="00B1528D">
        <w:rPr>
          <w:color w:val="auto"/>
          <w:szCs w:val="26"/>
        </w:rPr>
        <w:t xml:space="preserve"> into three </w:t>
      </w:r>
      <w:r w:rsidR="00BF1A1B">
        <w:rPr>
          <w:color w:val="auto"/>
          <w:szCs w:val="26"/>
        </w:rPr>
        <w:t>rate schedules</w:t>
      </w:r>
      <w:r w:rsidR="00B1528D">
        <w:rPr>
          <w:color w:val="auto"/>
          <w:szCs w:val="26"/>
        </w:rPr>
        <w:t xml:space="preserve"> GS No Demand, GM&lt;25 and GM&gt;25.</w:t>
      </w:r>
      <w:r w:rsidR="0048647E">
        <w:t xml:space="preserve">  Third, Duquesne is proposing to eliminate the current variable energy per kWh for schedules GL and L</w:t>
      </w:r>
      <w:r w:rsidR="00770FA5">
        <w:t>, while maintaining a minimum demand charge based on a customer’s contract demand</w:t>
      </w:r>
      <w:r w:rsidR="0048647E">
        <w:t>.</w:t>
      </w:r>
      <w:r w:rsidR="00A96389">
        <w:t xml:space="preserve">  However, for schedule GLH, which is the complementary electric space heating rate to schedule GL, the Company is proposing to bill a flat energy charge per </w:t>
      </w:r>
      <w:r w:rsidR="00270EB5">
        <w:t>kWh</w:t>
      </w:r>
      <w:r w:rsidR="00A96389">
        <w:t xml:space="preserve"> during the heating months (October to May) and eliminate the current fixed monthly customer charge during the heating season.</w:t>
      </w:r>
      <w:r w:rsidR="0048647E">
        <w:t xml:space="preserve">  </w:t>
      </w:r>
      <w:r w:rsidR="006C59A0">
        <w:t>Fourth, f</w:t>
      </w:r>
      <w:r w:rsidR="0048647E">
        <w:t xml:space="preserve">or </w:t>
      </w:r>
      <w:r w:rsidR="006C59A0">
        <w:t>schedule</w:t>
      </w:r>
      <w:r w:rsidR="0048647E">
        <w:t xml:space="preserve"> L Duquesne is also proposing to eliminate the current declining block demand charge.  </w:t>
      </w:r>
      <w:r w:rsidR="006C59A0">
        <w:t>Finally, f</w:t>
      </w:r>
      <w:r w:rsidR="0048647E">
        <w:t xml:space="preserve">or </w:t>
      </w:r>
      <w:r w:rsidR="00C15180">
        <w:t xml:space="preserve">schedule </w:t>
      </w:r>
      <w:r w:rsidR="0048647E">
        <w:t>HVPS the Company is proposing to eliminate the variable demand charge.</w:t>
      </w:r>
    </w:p>
    <w:p w:rsidR="00DC6249" w:rsidRDefault="00DC6249" w:rsidP="00076535">
      <w:pPr>
        <w:ind w:firstLine="720"/>
      </w:pPr>
    </w:p>
    <w:p w:rsidR="005D7DF3" w:rsidRDefault="00DC6249" w:rsidP="006F0B7B">
      <w:pPr>
        <w:spacing w:line="360" w:lineRule="auto"/>
        <w:ind w:firstLine="720"/>
      </w:pPr>
      <w:r>
        <w:t xml:space="preserve">Under </w:t>
      </w:r>
      <w:r w:rsidR="00100FB9">
        <w:t>Duquesne</w:t>
      </w:r>
      <w:r>
        <w:t>’s proposed rate increase and revenue allocation, the</w:t>
      </w:r>
      <w:r w:rsidR="00700478">
        <w:t xml:space="preserve"> majority of the Company’s residential customers</w:t>
      </w:r>
      <w:r w:rsidR="002027F9">
        <w:t>—</w:t>
      </w:r>
      <w:r w:rsidR="00700478">
        <w:t xml:space="preserve">those served under </w:t>
      </w:r>
      <w:r w:rsidR="002027F9">
        <w:t>Rate Schedule RS—</w:t>
      </w:r>
      <w:r>
        <w:t>will receive an increase of</w:t>
      </w:r>
      <w:r w:rsidR="00FC7623">
        <w:t xml:space="preserve"> approximately</w:t>
      </w:r>
      <w:r>
        <w:t xml:space="preserve"> </w:t>
      </w:r>
      <w:r w:rsidR="00B53DC9">
        <w:t>9.9</w:t>
      </w:r>
      <w:r w:rsidR="004240A9">
        <w:t xml:space="preserve">% on a total billed revenue basis, and approximately </w:t>
      </w:r>
      <w:r w:rsidR="00FC7623">
        <w:t>26.3</w:t>
      </w:r>
      <w:r w:rsidR="004240A9">
        <w:t>% on a distribution revenue basis.</w:t>
      </w:r>
      <w:r w:rsidR="003A54B3">
        <w:t xml:space="preserve">  </w:t>
      </w:r>
      <w:r w:rsidR="0015571B">
        <w:t xml:space="preserve">Approximately 20% is due to an increase in the customer charge from $7.00 to $8.50, while the remainder is the result </w:t>
      </w:r>
      <w:r w:rsidR="00180924">
        <w:t xml:space="preserve">of </w:t>
      </w:r>
      <w:r w:rsidR="0015571B">
        <w:t>an increase in the rate per kWh.</w:t>
      </w:r>
      <w:r w:rsidR="00E16A07">
        <w:t xml:space="preserve">  </w:t>
      </w:r>
      <w:r w:rsidR="00E16A07" w:rsidRPr="00770FA5">
        <w:t xml:space="preserve">The </w:t>
      </w:r>
      <w:r w:rsidR="007E64AE" w:rsidRPr="00770FA5">
        <w:t xml:space="preserve">total </w:t>
      </w:r>
      <w:r w:rsidR="00E16A07" w:rsidRPr="00770FA5">
        <w:t xml:space="preserve">average monthly bill for a residential customer using </w:t>
      </w:r>
      <w:r w:rsidR="00770FA5">
        <w:t>600</w:t>
      </w:r>
      <w:r w:rsidR="00E16A07" w:rsidRPr="00770FA5">
        <w:t xml:space="preserve"> kWh per month would increase </w:t>
      </w:r>
      <w:r w:rsidR="007E64AE" w:rsidRPr="00770FA5">
        <w:t>by $7.</w:t>
      </w:r>
      <w:r w:rsidR="00770FA5">
        <w:t>77</w:t>
      </w:r>
      <w:r w:rsidR="00BF00FB">
        <w:t>, a 9.4% increase</w:t>
      </w:r>
      <w:r w:rsidR="007E64AE" w:rsidRPr="00770FA5">
        <w:t>.</w:t>
      </w:r>
      <w:r w:rsidR="007B602D">
        <w:t xml:space="preserve">  Those residential customers who </w:t>
      </w:r>
      <w:r w:rsidR="003C00F3">
        <w:t>take</w:t>
      </w:r>
      <w:r w:rsidR="007B602D">
        <w:t xml:space="preserve"> service under Rate Schedule R</w:t>
      </w:r>
      <w:r w:rsidR="000107FC">
        <w:t>H</w:t>
      </w:r>
      <w:r w:rsidR="00FC4A65">
        <w:t xml:space="preserve"> will receive an </w:t>
      </w:r>
      <w:r w:rsidR="00457531">
        <w:t xml:space="preserve">increase of </w:t>
      </w:r>
      <w:r w:rsidR="0015571B">
        <w:t>approximately 13.</w:t>
      </w:r>
      <w:r w:rsidR="00381D2E">
        <w:t>4</w:t>
      </w:r>
      <w:r w:rsidR="00457531">
        <w:t xml:space="preserve">% on a </w:t>
      </w:r>
      <w:r w:rsidR="00457531">
        <w:lastRenderedPageBreak/>
        <w:t xml:space="preserve">total billed revenue basis, and approximately </w:t>
      </w:r>
      <w:r w:rsidR="0015571B">
        <w:t>42.0</w:t>
      </w:r>
      <w:r w:rsidR="00457531">
        <w:t>% on a distribution revenue basis.</w:t>
      </w:r>
      <w:r w:rsidR="00F16EF0">
        <w:t xml:space="preserve">  </w:t>
      </w:r>
      <w:r w:rsidR="003C00F3">
        <w:t>Those residential customers who take service under Rate Schedule R</w:t>
      </w:r>
      <w:r w:rsidR="000107FC">
        <w:t>A</w:t>
      </w:r>
      <w:r w:rsidR="003C00F3">
        <w:t xml:space="preserve"> will experience an increase of </w:t>
      </w:r>
      <w:r w:rsidR="0015571B">
        <w:t>approximately 1</w:t>
      </w:r>
      <w:r w:rsidR="00381D2E">
        <w:t>1</w:t>
      </w:r>
      <w:r w:rsidR="0015571B">
        <w:t>.8</w:t>
      </w:r>
      <w:r w:rsidR="003C00F3">
        <w:t xml:space="preserve">% on a total billed revenue basis, and approximately </w:t>
      </w:r>
      <w:r w:rsidR="00C809C2">
        <w:t>4</w:t>
      </w:r>
      <w:r w:rsidR="0015571B">
        <w:t>3.2</w:t>
      </w:r>
      <w:r w:rsidR="003C00F3">
        <w:t>% on a distribution revenue basis.</w:t>
      </w:r>
      <w:r w:rsidR="003D68B6">
        <w:t xml:space="preserve">  </w:t>
      </w:r>
      <w:r w:rsidR="00100FB9">
        <w:t>Duquesne</w:t>
      </w:r>
      <w:r w:rsidR="003D68B6">
        <w:t xml:space="preserve">’s commercial and industrial customers </w:t>
      </w:r>
      <w:r w:rsidR="0066051E">
        <w:t xml:space="preserve">will </w:t>
      </w:r>
      <w:r w:rsidR="00100FB9">
        <w:t xml:space="preserve">also </w:t>
      </w:r>
      <w:r w:rsidR="0066051E">
        <w:t>experience significant increase</w:t>
      </w:r>
      <w:r w:rsidR="004961C0">
        <w:t>s</w:t>
      </w:r>
      <w:r w:rsidR="0066051E">
        <w:t xml:space="preserve"> </w:t>
      </w:r>
      <w:r w:rsidR="004961C0">
        <w:t>i</w:t>
      </w:r>
      <w:r w:rsidR="0066051E">
        <w:t>n their rates under the Company’s rate increase and revenue allocation proposals.</w:t>
      </w:r>
      <w:r w:rsidR="004961C0">
        <w:t xml:space="preserve">  However, lighting customers will experience </w:t>
      </w:r>
      <w:r w:rsidR="00AC5E9F">
        <w:t xml:space="preserve">a </w:t>
      </w:r>
      <w:r w:rsidR="004961C0">
        <w:t>decrease</w:t>
      </w:r>
      <w:r w:rsidR="004458F0">
        <w:t xml:space="preserve"> in rates</w:t>
      </w:r>
      <w:r w:rsidR="004961C0">
        <w:t>.</w:t>
      </w:r>
    </w:p>
    <w:p w:rsidR="00B31AC0" w:rsidRDefault="00B31AC0" w:rsidP="00076535">
      <w:pPr>
        <w:ind w:firstLine="720"/>
      </w:pPr>
    </w:p>
    <w:p w:rsidR="00526C46" w:rsidRDefault="00987D9F" w:rsidP="006F0B7B">
      <w:pPr>
        <w:spacing w:line="360" w:lineRule="auto"/>
        <w:ind w:firstLine="720"/>
      </w:pPr>
      <w:r>
        <w:t>Duquesne</w:t>
      </w:r>
      <w:r w:rsidR="00526C46" w:rsidRPr="00B31AC0">
        <w:t xml:space="preserve"> states that </w:t>
      </w:r>
      <w:r>
        <w:t>the primary reasons for its rate relief are as follows: funding for replacement of distribution infrastructure and certain enhancements; pension funding; continued expansion of the Customer Assistance and other Universal Service programs</w:t>
      </w:r>
      <w:r w:rsidR="00180924">
        <w:t>;</w:t>
      </w:r>
      <w:r>
        <w:t xml:space="preserve"> and flat to negative kWh sales as a result of Act 129.</w:t>
      </w:r>
      <w:r w:rsidR="004277ED" w:rsidRPr="00B31AC0">
        <w:t xml:space="preserve"> </w:t>
      </w:r>
      <w:r w:rsidR="00280FF3">
        <w:t xml:space="preserve"> </w:t>
      </w:r>
      <w:r w:rsidR="004277ED" w:rsidRPr="00B31AC0">
        <w:t>In</w:t>
      </w:r>
      <w:r w:rsidR="004277ED">
        <w:t xml:space="preserve"> regard</w:t>
      </w:r>
      <w:r w:rsidR="00AA32AE">
        <w:t xml:space="preserve"> to distribution infrastructure</w:t>
      </w:r>
      <w:r w:rsidR="004277ED">
        <w:t>, the Company states that it expects to invest an additional $</w:t>
      </w:r>
      <w:r w:rsidR="0058594A">
        <w:t>169.8</w:t>
      </w:r>
      <w:r w:rsidR="004277ED">
        <w:t xml:space="preserve"> </w:t>
      </w:r>
      <w:r w:rsidR="0058594A">
        <w:t>million during the twelve months ended March 31, 2011</w:t>
      </w:r>
      <w:r w:rsidR="004277ED">
        <w:t>.</w:t>
      </w:r>
    </w:p>
    <w:p w:rsidR="00421F04" w:rsidRDefault="00421F04" w:rsidP="00421F04">
      <w:pPr>
        <w:ind w:firstLine="720"/>
        <w:rPr>
          <w:i/>
        </w:rPr>
      </w:pPr>
    </w:p>
    <w:p w:rsidR="00391D30" w:rsidRDefault="00254977" w:rsidP="00391D30">
      <w:pPr>
        <w:spacing w:line="360" w:lineRule="auto"/>
        <w:ind w:firstLine="720"/>
      </w:pPr>
      <w:r>
        <w:t xml:space="preserve">Our analysis of </w:t>
      </w:r>
      <w:r w:rsidR="00B431E9">
        <w:t>Duquesne</w:t>
      </w:r>
      <w:r>
        <w:t>’s proposed general rate increase has identified an additional issue, “ring fencing,” that may have a significant impact on the rates to consumers of the utility.  Ring fencing protections allow the risks associated with the jurisdictional utility to be isolated from the risks associated with its affiliat</w:t>
      </w:r>
      <w:r w:rsidR="004E65A7">
        <w:t>es of the consolidated entity.</w:t>
      </w:r>
      <w:r>
        <w:t xml:space="preserve">  The Commission has encouraged such protections in the past and would like the parties to this proceeding to address the ring fencing impact on rates.</w:t>
      </w:r>
    </w:p>
    <w:p w:rsidR="00391D30" w:rsidRDefault="00391D30" w:rsidP="006F0B7B">
      <w:pPr>
        <w:spacing w:line="360" w:lineRule="auto"/>
        <w:ind w:firstLine="720"/>
      </w:pPr>
    </w:p>
    <w:p w:rsidR="000E3729" w:rsidRDefault="000E3729" w:rsidP="006F0B7B">
      <w:pPr>
        <w:spacing w:line="360" w:lineRule="auto"/>
        <w:ind w:firstLine="720"/>
      </w:pPr>
      <w:r w:rsidRPr="00337B42">
        <w:t>The Office of Consumer Advocate and Office of Small Business Advocate both filed form</w:t>
      </w:r>
      <w:r w:rsidR="00337B42" w:rsidRPr="00337B42">
        <w:t xml:space="preserve">al complaints against </w:t>
      </w:r>
      <w:r w:rsidR="00C6093B">
        <w:t>Duquesne</w:t>
      </w:r>
      <w:r w:rsidR="00337B42" w:rsidRPr="00337B42">
        <w:t>’s</w:t>
      </w:r>
      <w:r w:rsidRPr="00337B42">
        <w:t xml:space="preserve"> proposed general rate increase.  A number of other formal complaints, protests, and petitions to intervene were also filed in this proceeding.</w:t>
      </w:r>
    </w:p>
    <w:p w:rsidR="00391D30" w:rsidRDefault="00391D30" w:rsidP="006F0B7B">
      <w:pPr>
        <w:spacing w:line="360" w:lineRule="auto"/>
        <w:ind w:firstLine="720"/>
      </w:pPr>
    </w:p>
    <w:p w:rsidR="000A3BDD" w:rsidRDefault="000A3BDD" w:rsidP="00721B40">
      <w:pPr>
        <w:tabs>
          <w:tab w:val="left" w:pos="1440"/>
        </w:tabs>
        <w:spacing w:line="360" w:lineRule="auto"/>
        <w:ind w:firstLine="720"/>
      </w:pPr>
      <w:r>
        <w:t>Our i</w:t>
      </w:r>
      <w:r w:rsidR="00142BC5" w:rsidRPr="00AA2F93">
        <w:t>nvestigation and analysi</w:t>
      </w:r>
      <w:r w:rsidR="00B71F03">
        <w:t xml:space="preserve">s of </w:t>
      </w:r>
      <w:r w:rsidR="00C6093B">
        <w:t>Duquesne</w:t>
      </w:r>
      <w:r w:rsidR="00B71F03">
        <w:t>’s proposed general rate increase</w:t>
      </w:r>
      <w:r w:rsidR="00142BC5" w:rsidRPr="00AA2F93">
        <w:t xml:space="preserve"> and the supporting data indicate that the proposed changes in rates, rules</w:t>
      </w:r>
      <w:r w:rsidR="00C67675" w:rsidRPr="00A818F0">
        <w:t>,</w:t>
      </w:r>
      <w:r w:rsidR="00142BC5" w:rsidRPr="00A818F0">
        <w:t xml:space="preserve"> and regulations may be unlawful, unjust, unreasonable, and contrary to the public interest.  </w:t>
      </w:r>
      <w:r w:rsidR="00E62A9F" w:rsidRPr="00A818F0">
        <w:t xml:space="preserve">It also appears that </w:t>
      </w:r>
      <w:r w:rsidR="00E62A9F" w:rsidRPr="00A818F0">
        <w:lastRenderedPageBreak/>
        <w:t xml:space="preserve">consideration should be given to the reasonableness of the Company’s existing rates, rules, and regulations.  </w:t>
      </w:r>
      <w:r w:rsidR="00855B67">
        <w:t>In this regard w</w:t>
      </w:r>
      <w:r w:rsidR="006C6DF8">
        <w:t>e have identified a num</w:t>
      </w:r>
      <w:r w:rsidR="005B219D">
        <w:t>ber of specific issues</w:t>
      </w:r>
      <w:r w:rsidR="00855B67">
        <w:t xml:space="preserve">, </w:t>
      </w:r>
      <w:r w:rsidR="00CC4BF0">
        <w:t xml:space="preserve">which we have delineated in Appendix A, attached to this Order.  The following list </w:t>
      </w:r>
      <w:r w:rsidR="005B219D">
        <w:t>highlights some of those</w:t>
      </w:r>
      <w:r w:rsidR="00A007D7">
        <w:t xml:space="preserve"> issues which we deem to be</w:t>
      </w:r>
      <w:r w:rsidR="005B219D">
        <w:t xml:space="preserve"> of particular concern</w:t>
      </w:r>
      <w:r>
        <w:t>:</w:t>
      </w:r>
    </w:p>
    <w:p w:rsidR="0021122D" w:rsidRDefault="0021122D" w:rsidP="007163C3">
      <w:pPr>
        <w:tabs>
          <w:tab w:val="left" w:pos="1440"/>
        </w:tabs>
        <w:ind w:firstLine="720"/>
      </w:pPr>
    </w:p>
    <w:p w:rsidR="0021122D" w:rsidRDefault="005D61AC" w:rsidP="005D61AC">
      <w:pPr>
        <w:pStyle w:val="ListParagraph"/>
        <w:numPr>
          <w:ilvl w:val="0"/>
          <w:numId w:val="3"/>
        </w:numPr>
        <w:autoSpaceDE w:val="0"/>
        <w:autoSpaceDN w:val="0"/>
        <w:adjustRightInd w:val="0"/>
      </w:pPr>
      <w:r>
        <w:t>Duquesne</w:t>
      </w:r>
      <w:r w:rsidR="0021122D">
        <w:t xml:space="preserve"> states that it is requesting its proposed rate increase due in part to increasing operating expenses.  </w:t>
      </w:r>
      <w:r w:rsidRPr="005D61AC">
        <w:rPr>
          <w:color w:val="auto"/>
          <w:szCs w:val="26"/>
        </w:rPr>
        <w:t>Significant cost increases have occurred in many areas, including fuel, health</w:t>
      </w:r>
      <w:r>
        <w:rPr>
          <w:color w:val="auto"/>
          <w:szCs w:val="26"/>
        </w:rPr>
        <w:t xml:space="preserve"> </w:t>
      </w:r>
      <w:r w:rsidRPr="005D61AC">
        <w:rPr>
          <w:color w:val="auto"/>
          <w:szCs w:val="26"/>
        </w:rPr>
        <w:t>insurance, property insurance, vegetation management, transportation, labor and benefits</w:t>
      </w:r>
      <w:r>
        <w:rPr>
          <w:color w:val="auto"/>
          <w:szCs w:val="26"/>
        </w:rPr>
        <w:t xml:space="preserve">.  </w:t>
      </w:r>
      <w:r w:rsidR="0021122D">
        <w:t>Accordingly, it is important that the Company’s test year expense claims be closely examined to determine their accuracy and the extent to which they support the requested revenue increase.</w:t>
      </w:r>
    </w:p>
    <w:p w:rsidR="0021122D" w:rsidRDefault="0021122D" w:rsidP="00125A2B">
      <w:pPr>
        <w:tabs>
          <w:tab w:val="left" w:pos="1440"/>
        </w:tabs>
        <w:ind w:firstLine="720"/>
      </w:pPr>
    </w:p>
    <w:p w:rsidR="0018339A" w:rsidRPr="0018339A" w:rsidRDefault="0018339A" w:rsidP="0018339A">
      <w:pPr>
        <w:pStyle w:val="ListParagraph"/>
        <w:numPr>
          <w:ilvl w:val="0"/>
          <w:numId w:val="8"/>
        </w:numPr>
        <w:autoSpaceDE w:val="0"/>
        <w:autoSpaceDN w:val="0"/>
        <w:adjustRightInd w:val="0"/>
        <w:rPr>
          <w:color w:val="auto"/>
          <w:szCs w:val="26"/>
        </w:rPr>
      </w:pPr>
      <w:r w:rsidRPr="0018339A">
        <w:rPr>
          <w:color w:val="auto"/>
          <w:szCs w:val="26"/>
        </w:rPr>
        <w:t>During 2010 and the first quarter of 2011, Duquesne plans to utilize an intercompany</w:t>
      </w:r>
      <w:r w:rsidR="002A3E1F">
        <w:rPr>
          <w:color w:val="auto"/>
          <w:szCs w:val="26"/>
        </w:rPr>
        <w:t xml:space="preserve"> </w:t>
      </w:r>
      <w:r w:rsidRPr="0018339A">
        <w:rPr>
          <w:color w:val="auto"/>
          <w:szCs w:val="26"/>
        </w:rPr>
        <w:t>loan facility approved by the Pennsylvania Public Utility Commission (Docket # G-2010-2162823)</w:t>
      </w:r>
      <w:r w:rsidR="002A3E1F">
        <w:rPr>
          <w:color w:val="auto"/>
          <w:szCs w:val="26"/>
        </w:rPr>
        <w:t xml:space="preserve"> </w:t>
      </w:r>
      <w:r w:rsidRPr="0018339A">
        <w:rPr>
          <w:color w:val="auto"/>
          <w:szCs w:val="26"/>
        </w:rPr>
        <w:t xml:space="preserve">to borrow </w:t>
      </w:r>
      <w:r w:rsidR="002A3E1F">
        <w:rPr>
          <w:color w:val="auto"/>
          <w:szCs w:val="26"/>
        </w:rPr>
        <w:t>$</w:t>
      </w:r>
      <w:r w:rsidRPr="0018339A">
        <w:rPr>
          <w:color w:val="auto"/>
          <w:szCs w:val="26"/>
        </w:rPr>
        <w:t>253,900,755 long-term, fixed rate debt from its parent. The funds will be</w:t>
      </w:r>
      <w:r w:rsidR="002A3E1F">
        <w:rPr>
          <w:color w:val="auto"/>
          <w:szCs w:val="26"/>
        </w:rPr>
        <w:t xml:space="preserve"> </w:t>
      </w:r>
      <w:r w:rsidRPr="0018339A">
        <w:rPr>
          <w:color w:val="auto"/>
          <w:szCs w:val="26"/>
        </w:rPr>
        <w:t>used to fund infrastructure improvements, pension funding requirements, and other</w:t>
      </w:r>
      <w:r w:rsidR="002A3E1F">
        <w:rPr>
          <w:color w:val="auto"/>
          <w:szCs w:val="26"/>
        </w:rPr>
        <w:t xml:space="preserve"> </w:t>
      </w:r>
      <w:r w:rsidRPr="0018339A">
        <w:rPr>
          <w:color w:val="auto"/>
          <w:szCs w:val="26"/>
        </w:rPr>
        <w:t>general corporate needs.</w:t>
      </w:r>
      <w:r w:rsidR="002A3E1F">
        <w:rPr>
          <w:color w:val="auto"/>
          <w:szCs w:val="26"/>
        </w:rPr>
        <w:t xml:space="preserve">  </w:t>
      </w:r>
      <w:r w:rsidRPr="0018339A">
        <w:rPr>
          <w:color w:val="auto"/>
          <w:szCs w:val="26"/>
        </w:rPr>
        <w:t>In first quarter 2011, Duquesne plans to reissue $161,455,000 of previously issued</w:t>
      </w:r>
      <w:r>
        <w:rPr>
          <w:color w:val="auto"/>
          <w:szCs w:val="26"/>
        </w:rPr>
        <w:t xml:space="preserve"> </w:t>
      </w:r>
      <w:r w:rsidRPr="0018339A">
        <w:rPr>
          <w:color w:val="auto"/>
          <w:szCs w:val="26"/>
        </w:rPr>
        <w:t>fixed rate, tax-exempt debt to fund infrastructure improvements, pension funding</w:t>
      </w:r>
      <w:r w:rsidR="002A3E1F">
        <w:rPr>
          <w:color w:val="auto"/>
          <w:szCs w:val="26"/>
        </w:rPr>
        <w:t xml:space="preserve"> requirements and other general corporate needs.  To the extent that any of this capital investment</w:t>
      </w:r>
      <w:r w:rsidR="00104EF1">
        <w:rPr>
          <w:color w:val="auto"/>
          <w:szCs w:val="26"/>
        </w:rPr>
        <w:t xml:space="preserve"> is included in the Company’s rate base claim in this proceeding, such investment</w:t>
      </w:r>
      <w:r w:rsidR="002A3E1F">
        <w:rPr>
          <w:color w:val="auto"/>
          <w:szCs w:val="26"/>
        </w:rPr>
        <w:t xml:space="preserve"> should be closely reviewed to ensure that it was </w:t>
      </w:r>
      <w:r w:rsidR="00431227">
        <w:rPr>
          <w:color w:val="auto"/>
          <w:szCs w:val="26"/>
        </w:rPr>
        <w:t>prudently made, and that any utility plant acquired is necessary, used and useful to the provision of electric distribution service.</w:t>
      </w:r>
    </w:p>
    <w:p w:rsidR="000A3BDD" w:rsidRDefault="000A3BDD" w:rsidP="00125A2B">
      <w:pPr>
        <w:tabs>
          <w:tab w:val="left" w:pos="1440"/>
        </w:tabs>
        <w:ind w:firstLine="720"/>
      </w:pPr>
    </w:p>
    <w:p w:rsidR="000A3BDD" w:rsidRDefault="00C71CD4" w:rsidP="00C63820">
      <w:pPr>
        <w:pStyle w:val="ListParagraph"/>
        <w:numPr>
          <w:ilvl w:val="0"/>
          <w:numId w:val="3"/>
        </w:numPr>
      </w:pPr>
      <w:r>
        <w:t>Duquesne</w:t>
      </w:r>
      <w:r w:rsidR="00DD2098">
        <w:t xml:space="preserve"> is proposing to </w:t>
      </w:r>
      <w:r w:rsidR="00392166">
        <w:t xml:space="preserve">continue to move each rate class closer to the full cost of service while mitigating potentially extreme rate impacts both on rate classes and on individual customer subgroups.  Certain classes would </w:t>
      </w:r>
      <w:r w:rsidR="00180924">
        <w:t xml:space="preserve">actually </w:t>
      </w:r>
      <w:r w:rsidR="00392166">
        <w:t>receive a percentage increase that is higher than would be necessary to bring them to full cost of service.  Therefore,</w:t>
      </w:r>
      <w:r w:rsidR="00601D56">
        <w:t xml:space="preserve"> it is important</w:t>
      </w:r>
      <w:r w:rsidR="00A05811">
        <w:t xml:space="preserve"> that </w:t>
      </w:r>
      <w:r w:rsidR="000B1527">
        <w:t>Duquesne’s</w:t>
      </w:r>
      <w:r w:rsidR="00A05811">
        <w:t xml:space="preserve"> cost allocation methodologies be thoroughly scrutinized in order to ensure that the results of its cost-of-service study are reasonably accur</w:t>
      </w:r>
      <w:r w:rsidR="00C63820">
        <w:t>ate, and to det</w:t>
      </w:r>
      <w:r w:rsidR="00125A2B">
        <w:t xml:space="preserve">ermine whether or not they </w:t>
      </w:r>
      <w:r w:rsidR="00A05811">
        <w:t>support the Company’s proposed revenue allocation.</w:t>
      </w:r>
    </w:p>
    <w:p w:rsidR="003A1670" w:rsidRDefault="003A1670" w:rsidP="003A1670">
      <w:pPr>
        <w:pStyle w:val="ListParagraph"/>
      </w:pPr>
    </w:p>
    <w:p w:rsidR="003A1670" w:rsidRDefault="00562812" w:rsidP="00CB7061">
      <w:pPr>
        <w:pStyle w:val="ListParagraph"/>
        <w:numPr>
          <w:ilvl w:val="0"/>
          <w:numId w:val="3"/>
        </w:numPr>
      </w:pPr>
      <w:r>
        <w:t>Duquesne</w:t>
      </w:r>
      <w:r w:rsidR="006842AB">
        <w:t xml:space="preserve"> is proposing a </w:t>
      </w:r>
      <w:r>
        <w:t xml:space="preserve">significant </w:t>
      </w:r>
      <w:r w:rsidR="002C4DF4">
        <w:t xml:space="preserve">redesign of its rate structure for </w:t>
      </w:r>
      <w:r w:rsidR="00270EB5">
        <w:t>schedules</w:t>
      </w:r>
      <w:r>
        <w:t xml:space="preserve"> GL, L and HVPS.  Duquesne is proposing to eliminate the current variable energy per kWh for </w:t>
      </w:r>
      <w:r w:rsidR="00270EB5">
        <w:t xml:space="preserve">schedules </w:t>
      </w:r>
      <w:r>
        <w:t>GL and L</w:t>
      </w:r>
      <w:r w:rsidR="00C018BC">
        <w:t xml:space="preserve">.  For </w:t>
      </w:r>
      <w:r w:rsidR="00270EB5">
        <w:t xml:space="preserve">schedule </w:t>
      </w:r>
      <w:r w:rsidR="00C018BC">
        <w:t xml:space="preserve">L, </w:t>
      </w:r>
      <w:r w:rsidR="00AF2517">
        <w:t>Duquesne</w:t>
      </w:r>
      <w:r w:rsidR="00C018BC">
        <w:t xml:space="preserve"> is also proposing to eliminate the current declining block demand charge.  For </w:t>
      </w:r>
      <w:r w:rsidR="00270EB5">
        <w:t xml:space="preserve">schedule </w:t>
      </w:r>
      <w:r w:rsidR="00C018BC">
        <w:t>HVPS, the Company is proposing to eliminate the variable demand charge.</w:t>
      </w:r>
      <w:r w:rsidR="006842AB">
        <w:t xml:space="preserve"> </w:t>
      </w:r>
      <w:r w:rsidR="006B5E08">
        <w:t>T</w:t>
      </w:r>
      <w:r w:rsidR="00256109">
        <w:t xml:space="preserve">he Company’s cost </w:t>
      </w:r>
      <w:r w:rsidR="009F5BB0">
        <w:t xml:space="preserve">classification and </w:t>
      </w:r>
      <w:r w:rsidR="00256109">
        <w:t>allocation methodologies must be carefully exami</w:t>
      </w:r>
      <w:r w:rsidR="009F2310">
        <w:t xml:space="preserve">ned in </w:t>
      </w:r>
      <w:r w:rsidR="009F2310">
        <w:lastRenderedPageBreak/>
        <w:t>order to determine whether or not</w:t>
      </w:r>
      <w:r w:rsidR="00256109">
        <w:t xml:space="preserve"> these proposed rate design changes are justified by the results of the class cost-of-service study</w:t>
      </w:r>
      <w:r w:rsidR="00A05AF6">
        <w:t>.</w:t>
      </w:r>
    </w:p>
    <w:p w:rsidR="005B71A8" w:rsidRDefault="005B71A8" w:rsidP="005B71A8">
      <w:pPr>
        <w:pStyle w:val="ListParagraph"/>
      </w:pPr>
    </w:p>
    <w:p w:rsidR="00BC1B6B" w:rsidRPr="00E3656A" w:rsidRDefault="005B71A8" w:rsidP="005B71A8">
      <w:pPr>
        <w:pStyle w:val="ListParagraph"/>
        <w:numPr>
          <w:ilvl w:val="0"/>
          <w:numId w:val="3"/>
        </w:numPr>
        <w:autoSpaceDE w:val="0"/>
        <w:autoSpaceDN w:val="0"/>
        <w:adjustRightInd w:val="0"/>
      </w:pPr>
      <w:r w:rsidRPr="005B71A8">
        <w:rPr>
          <w:color w:val="auto"/>
          <w:szCs w:val="26"/>
        </w:rPr>
        <w:t xml:space="preserve">The Company states that changes in health care </w:t>
      </w:r>
      <w:r w:rsidR="00C71CD4" w:rsidRPr="005B71A8">
        <w:rPr>
          <w:color w:val="auto"/>
          <w:szCs w:val="26"/>
        </w:rPr>
        <w:t>coverage’s</w:t>
      </w:r>
      <w:r w:rsidRPr="005B71A8">
        <w:rPr>
          <w:color w:val="auto"/>
          <w:szCs w:val="26"/>
        </w:rPr>
        <w:t xml:space="preserve"> in the Health Care Law will result in an increase in the Company’s expenses of at least $500,000, but that it does not have a more specific estimate of the ongoing expense increase</w:t>
      </w:r>
      <w:r w:rsidR="001C6280">
        <w:rPr>
          <w:color w:val="auto"/>
          <w:szCs w:val="26"/>
        </w:rPr>
        <w:t xml:space="preserve">, but will provide a supportable calculation of the increase no later than </w:t>
      </w:r>
      <w:r w:rsidR="0081419D">
        <w:rPr>
          <w:color w:val="auto"/>
          <w:szCs w:val="26"/>
        </w:rPr>
        <w:t xml:space="preserve">its </w:t>
      </w:r>
      <w:r w:rsidR="001C6280">
        <w:rPr>
          <w:color w:val="auto"/>
          <w:szCs w:val="26"/>
        </w:rPr>
        <w:t xml:space="preserve">rebuttal </w:t>
      </w:r>
      <w:r w:rsidR="0081419D">
        <w:rPr>
          <w:color w:val="auto"/>
          <w:szCs w:val="26"/>
        </w:rPr>
        <w:t>presentation</w:t>
      </w:r>
      <w:r w:rsidR="001C6280">
        <w:rPr>
          <w:color w:val="auto"/>
          <w:szCs w:val="26"/>
        </w:rPr>
        <w:t>.</w:t>
      </w:r>
      <w:r w:rsidR="005C4FC3">
        <w:rPr>
          <w:color w:val="auto"/>
          <w:szCs w:val="26"/>
        </w:rPr>
        <w:t xml:space="preserve">  </w:t>
      </w:r>
      <w:r w:rsidR="00AA23F2">
        <w:rPr>
          <w:color w:val="auto"/>
          <w:szCs w:val="26"/>
        </w:rPr>
        <w:t>T</w:t>
      </w:r>
      <w:r w:rsidR="005C4FC3">
        <w:rPr>
          <w:color w:val="auto"/>
          <w:szCs w:val="26"/>
        </w:rPr>
        <w:t>he Company</w:t>
      </w:r>
      <w:r w:rsidR="00AA23F2">
        <w:rPr>
          <w:color w:val="auto"/>
          <w:szCs w:val="26"/>
        </w:rPr>
        <w:t>’s c</w:t>
      </w:r>
      <w:r w:rsidR="005C4FC3">
        <w:rPr>
          <w:color w:val="auto"/>
          <w:szCs w:val="26"/>
        </w:rPr>
        <w:t>alculation</w:t>
      </w:r>
      <w:r w:rsidR="00AA23F2">
        <w:rPr>
          <w:color w:val="auto"/>
          <w:szCs w:val="26"/>
        </w:rPr>
        <w:t xml:space="preserve"> methodology must be closely examined.</w:t>
      </w:r>
    </w:p>
    <w:p w:rsidR="00E3656A" w:rsidRDefault="00E3656A" w:rsidP="00E3656A">
      <w:pPr>
        <w:pStyle w:val="ListParagraph"/>
      </w:pPr>
    </w:p>
    <w:p w:rsidR="00E3656A" w:rsidRDefault="00E3656A" w:rsidP="00865716">
      <w:pPr>
        <w:pStyle w:val="ListParagraph"/>
        <w:numPr>
          <w:ilvl w:val="0"/>
          <w:numId w:val="3"/>
        </w:numPr>
        <w:autoSpaceDE w:val="0"/>
        <w:autoSpaceDN w:val="0"/>
        <w:adjustRightInd w:val="0"/>
      </w:pPr>
      <w:r>
        <w:t xml:space="preserve">Duquesne </w:t>
      </w:r>
      <w:r w:rsidR="00865716">
        <w:t xml:space="preserve">states that </w:t>
      </w:r>
      <w:r w:rsidR="001A7597">
        <w:t xml:space="preserve">the Pension Protection Act of 2006 has imposed new funding rules that require </w:t>
      </w:r>
      <w:r w:rsidR="0095525E">
        <w:t>Duquesne</w:t>
      </w:r>
      <w:r w:rsidR="00865716" w:rsidRPr="00865716">
        <w:rPr>
          <w:color w:val="auto"/>
          <w:szCs w:val="26"/>
        </w:rPr>
        <w:t xml:space="preserve"> to make a substantial contribution to pension funding in</w:t>
      </w:r>
      <w:r w:rsidR="00865716">
        <w:rPr>
          <w:color w:val="auto"/>
          <w:szCs w:val="26"/>
        </w:rPr>
        <w:t xml:space="preserve"> </w:t>
      </w:r>
      <w:r w:rsidR="00865716" w:rsidRPr="00865716">
        <w:rPr>
          <w:color w:val="auto"/>
          <w:szCs w:val="26"/>
        </w:rPr>
        <w:t xml:space="preserve">the </w:t>
      </w:r>
      <w:r w:rsidR="00865716">
        <w:rPr>
          <w:color w:val="auto"/>
          <w:szCs w:val="26"/>
        </w:rPr>
        <w:t xml:space="preserve">future test year </w:t>
      </w:r>
      <w:r w:rsidR="00865716" w:rsidRPr="00865716">
        <w:rPr>
          <w:color w:val="auto"/>
          <w:szCs w:val="26"/>
        </w:rPr>
        <w:t>totaling $106.5 million and lesser amounts in the following years</w:t>
      </w:r>
      <w:r w:rsidR="00865716">
        <w:rPr>
          <w:color w:val="auto"/>
          <w:szCs w:val="26"/>
        </w:rPr>
        <w:t xml:space="preserve"> and the contribution to</w:t>
      </w:r>
      <w:r w:rsidR="000D2156">
        <w:t xml:space="preserve"> pension</w:t>
      </w:r>
      <w:r w:rsidR="00865716">
        <w:t xml:space="preserve"> funding</w:t>
      </w:r>
      <w:r w:rsidR="000D2156">
        <w:t xml:space="preserve"> will be allocated </w:t>
      </w:r>
      <w:r w:rsidR="00AB01B2">
        <w:t>between expenses and capitalization.  The Company’s allocation methodology must be carefully examined in order to insure that the costs are divided appropriately between expenses and capitalization.</w:t>
      </w:r>
    </w:p>
    <w:p w:rsidR="005B71A8" w:rsidRDefault="005B71A8" w:rsidP="00BC1B6B">
      <w:pPr>
        <w:ind w:left="360"/>
      </w:pPr>
    </w:p>
    <w:p w:rsidR="00B80F79" w:rsidRDefault="000D7A48" w:rsidP="008E2E7B">
      <w:pPr>
        <w:tabs>
          <w:tab w:val="left" w:pos="1440"/>
        </w:tabs>
        <w:spacing w:line="360" w:lineRule="auto"/>
        <w:ind w:firstLine="720"/>
        <w:rPr>
          <w:b/>
        </w:rPr>
      </w:pPr>
      <w:r>
        <w:t xml:space="preserve">Based on our analysis of </w:t>
      </w:r>
      <w:r w:rsidR="00C6093B">
        <w:t>Duquesne</w:t>
      </w:r>
      <w:r>
        <w:t>’s filing</w:t>
      </w:r>
      <w:r w:rsidR="003D394A" w:rsidRPr="008E558B">
        <w:t>,</w:t>
      </w:r>
      <w:r>
        <w:t xml:space="preserve"> and p</w:t>
      </w:r>
      <w:r w:rsidR="00AA2F93" w:rsidRPr="008E558B">
        <w:t>ursuant to 66 Pa. C.S. §1308(d),</w:t>
      </w:r>
      <w:r w:rsidR="003D394A" w:rsidRPr="008E558B">
        <w:t xml:space="preserve"> we will permit Supplement No. </w:t>
      </w:r>
      <w:r w:rsidR="00C6093B">
        <w:t>35</w:t>
      </w:r>
      <w:r w:rsidR="003D394A" w:rsidRPr="008E558B">
        <w:t xml:space="preserve"> to be suspended by operation of law</w:t>
      </w:r>
      <w:r w:rsidR="009978EE" w:rsidRPr="008E558B">
        <w:t xml:space="preserve"> for a period not to exceed </w:t>
      </w:r>
      <w:r w:rsidR="00147CD5">
        <w:t>seven</w:t>
      </w:r>
      <w:r w:rsidR="007C5B33">
        <w:t xml:space="preserve"> </w:t>
      </w:r>
      <w:r w:rsidR="009978EE" w:rsidRPr="008E558B">
        <w:t>months, or</w:t>
      </w:r>
      <w:r w:rsidR="003D394A" w:rsidRPr="008E558B">
        <w:t xml:space="preserve"> until </w:t>
      </w:r>
      <w:r w:rsidR="00C6093B">
        <w:t>April 21</w:t>
      </w:r>
      <w:r w:rsidR="00A7481F">
        <w:t>, 2011</w:t>
      </w:r>
      <w:r w:rsidR="003D394A" w:rsidRPr="008E558B">
        <w:t>, unless permitted by Commission Order to become effective at an earlier date.</w:t>
      </w:r>
      <w:r w:rsidR="00376921" w:rsidRPr="008E558B">
        <w:t xml:space="preserve">  </w:t>
      </w:r>
      <w:r w:rsidR="00721B40" w:rsidRPr="008E558B">
        <w:t>In addition, we will</w:t>
      </w:r>
      <w:r w:rsidR="00376921" w:rsidRPr="008E558B">
        <w:t xml:space="preserve"> direct that an investigation be instituted to determine the lawfulness, justness, and reasonableness of the rates, rules, and regulations contained in the proposed Supplement No. </w:t>
      </w:r>
      <w:r w:rsidR="00C6093B">
        <w:t>35</w:t>
      </w:r>
      <w:r w:rsidR="00376921" w:rsidRPr="008E558B">
        <w:t>, as well as the Company’s existing rates, rules, and regulations.</w:t>
      </w:r>
      <w:r w:rsidR="00721B40" w:rsidRPr="008E558B">
        <w:t xml:space="preserve">  We will further direct that the case be assigned to the Office of Administrative Law Judge for the prompt scheduling of such hearings as may be necessary, culminating in the iss</w:t>
      </w:r>
      <w:r w:rsidR="0064622F" w:rsidRPr="008E558B">
        <w:t>uance of a Recommended Decision</w:t>
      </w:r>
      <w:r w:rsidR="007772A2" w:rsidRPr="008E558B">
        <w:t xml:space="preserve">.  As part of this investigation, we will instruct </w:t>
      </w:r>
      <w:r w:rsidR="0064622F" w:rsidRPr="008E558B">
        <w:t>the parties</w:t>
      </w:r>
      <w:r w:rsidR="007772A2" w:rsidRPr="008E558B">
        <w:t xml:space="preserve"> to the</w:t>
      </w:r>
      <w:r w:rsidR="0064622F" w:rsidRPr="008E558B">
        <w:t xml:space="preserve"> proceeding</w:t>
      </w:r>
      <w:r w:rsidR="007772A2" w:rsidRPr="008E558B">
        <w:t xml:space="preserve"> to</w:t>
      </w:r>
      <w:r w:rsidR="0064622F" w:rsidRPr="008E558B">
        <w:t xml:space="preserve"> give particular consideration to the </w:t>
      </w:r>
      <w:r w:rsidR="000057BE" w:rsidRPr="008E558B">
        <w:t>areas of concern</w:t>
      </w:r>
      <w:r w:rsidR="00B27DB9">
        <w:t xml:space="preserve"> identified above,</w:t>
      </w:r>
      <w:r w:rsidR="002C3E86">
        <w:t xml:space="preserve"> and as further delineated in Appendix A, attached to this Order.  The parties are also advised to investigate </w:t>
      </w:r>
      <w:r w:rsidR="00B27DB9">
        <w:t xml:space="preserve">any other </w:t>
      </w:r>
      <w:r w:rsidR="000057BE">
        <w:t xml:space="preserve">issues they may deem important to the </w:t>
      </w:r>
      <w:r w:rsidR="008E558B">
        <w:t xml:space="preserve">fair and thorough review and analysis of </w:t>
      </w:r>
      <w:r w:rsidR="00C6093B">
        <w:t>Duquesne</w:t>
      </w:r>
      <w:r w:rsidR="008E2E7B">
        <w:t xml:space="preserve">’s general rate increase filing; </w:t>
      </w:r>
      <w:r w:rsidR="00142BC5" w:rsidRPr="008E558B">
        <w:rPr>
          <w:b/>
        </w:rPr>
        <w:t>THEREFORE,</w:t>
      </w:r>
    </w:p>
    <w:p w:rsidR="00D04CDF" w:rsidRDefault="00D04CDF" w:rsidP="008E2E7B">
      <w:pPr>
        <w:tabs>
          <w:tab w:val="left" w:pos="1440"/>
        </w:tabs>
        <w:spacing w:line="360" w:lineRule="auto"/>
        <w:ind w:firstLine="720"/>
        <w:rPr>
          <w:b/>
        </w:rPr>
      </w:pPr>
    </w:p>
    <w:p w:rsidR="00D04CDF" w:rsidRDefault="00D04CDF" w:rsidP="008E2E7B">
      <w:pPr>
        <w:tabs>
          <w:tab w:val="left" w:pos="1440"/>
        </w:tabs>
        <w:spacing w:line="360" w:lineRule="auto"/>
        <w:ind w:firstLine="720"/>
        <w:rPr>
          <w:b/>
        </w:rPr>
      </w:pPr>
    </w:p>
    <w:p w:rsidR="00D04CDF" w:rsidRPr="008E558B" w:rsidRDefault="00D04CDF" w:rsidP="008E2E7B">
      <w:pPr>
        <w:tabs>
          <w:tab w:val="left" w:pos="1440"/>
        </w:tabs>
        <w:spacing w:line="360" w:lineRule="auto"/>
        <w:ind w:firstLine="720"/>
      </w:pPr>
    </w:p>
    <w:p w:rsidR="000F5794" w:rsidRPr="008E558B" w:rsidRDefault="000F5794" w:rsidP="00F469D2"/>
    <w:p w:rsidR="00142BC5" w:rsidRPr="008E558B" w:rsidRDefault="00142BC5" w:rsidP="006F0B7B">
      <w:pPr>
        <w:spacing w:line="360" w:lineRule="auto"/>
        <w:ind w:firstLine="720"/>
        <w:rPr>
          <w:b/>
        </w:rPr>
      </w:pPr>
      <w:r w:rsidRPr="008E558B">
        <w:rPr>
          <w:b/>
        </w:rPr>
        <w:lastRenderedPageBreak/>
        <w:t>IT IS ORDERED:</w:t>
      </w:r>
    </w:p>
    <w:p w:rsidR="00142BC5" w:rsidRDefault="00142BC5" w:rsidP="007163C3"/>
    <w:p w:rsidR="00BD761D" w:rsidRPr="00FD041A" w:rsidRDefault="00BD761D" w:rsidP="00BD761D">
      <w:pPr>
        <w:tabs>
          <w:tab w:val="left" w:pos="1440"/>
        </w:tabs>
        <w:spacing w:line="360" w:lineRule="auto"/>
        <w:ind w:firstLine="720"/>
      </w:pPr>
      <w:r>
        <w:t>1</w:t>
      </w:r>
      <w:r w:rsidRPr="00FD041A">
        <w:t>.</w:t>
      </w:r>
      <w:r w:rsidRPr="00FD041A">
        <w:tab/>
      </w:r>
      <w:r>
        <w:t xml:space="preserve">That </w:t>
      </w:r>
      <w:r w:rsidR="00C6093B">
        <w:t>Duquesne Light Company</w:t>
      </w:r>
      <w:r>
        <w:t>’s proposed</w:t>
      </w:r>
      <w:r w:rsidRPr="00FD041A">
        <w:t xml:space="preserve"> </w:t>
      </w:r>
      <w:r w:rsidRPr="00FD041A">
        <w:rPr>
          <w:color w:val="auto"/>
        </w:rPr>
        <w:t>Supplement No.</w:t>
      </w:r>
      <w:r w:rsidRPr="00FD041A">
        <w:t xml:space="preserve"> </w:t>
      </w:r>
      <w:r w:rsidR="00C6093B">
        <w:t>35</w:t>
      </w:r>
      <w:r w:rsidRPr="00FD041A">
        <w:rPr>
          <w:color w:val="auto"/>
        </w:rPr>
        <w:t xml:space="preserve"> to Tariff Electric-Pa. P.U.C. No. 2</w:t>
      </w:r>
      <w:r w:rsidR="00C6093B">
        <w:rPr>
          <w:color w:val="auto"/>
        </w:rPr>
        <w:t>4</w:t>
      </w:r>
      <w:r w:rsidR="00A7481F">
        <w:rPr>
          <w:color w:val="auto"/>
        </w:rPr>
        <w:t xml:space="preserve"> </w:t>
      </w:r>
      <w:r w:rsidR="00C71CD4" w:rsidRPr="00FD041A">
        <w:t>is</w:t>
      </w:r>
      <w:r w:rsidRPr="00FD041A">
        <w:t xml:space="preserve"> suspended b</w:t>
      </w:r>
      <w:r w:rsidR="00D454F3">
        <w:t>y</w:t>
      </w:r>
      <w:r w:rsidR="00A7481F">
        <w:t xml:space="preserve"> operation of law until </w:t>
      </w:r>
      <w:r w:rsidR="00C6093B">
        <w:t>April 21</w:t>
      </w:r>
      <w:r w:rsidR="00A7481F">
        <w:t>, 2011</w:t>
      </w:r>
      <w:r w:rsidRPr="00FD041A">
        <w:t>, unless otherwise directed by Order of the Commission.</w:t>
      </w:r>
    </w:p>
    <w:p w:rsidR="00BD761D" w:rsidRPr="008E558B" w:rsidRDefault="00BD761D" w:rsidP="007163C3"/>
    <w:p w:rsidR="00E013EF" w:rsidRDefault="00230718" w:rsidP="00E013EF">
      <w:pPr>
        <w:tabs>
          <w:tab w:val="left" w:pos="1440"/>
        </w:tabs>
        <w:spacing w:line="360" w:lineRule="auto"/>
        <w:ind w:firstLine="720"/>
        <w:rPr>
          <w:color w:val="auto"/>
        </w:rPr>
      </w:pPr>
      <w:r>
        <w:t>2</w:t>
      </w:r>
      <w:r w:rsidR="00E013EF" w:rsidRPr="00FD041A">
        <w:t>.</w:t>
      </w:r>
      <w:r w:rsidR="00E013EF" w:rsidRPr="00FD041A">
        <w:tab/>
        <w:t xml:space="preserve">That an investigation on Commission motion be, and hereby is, instituted to determine the lawfulness, justness, and reasonableness of the rates, rules, </w:t>
      </w:r>
      <w:r w:rsidR="00E65702" w:rsidRPr="00FD041A">
        <w:t xml:space="preserve">and regulations </w:t>
      </w:r>
      <w:r w:rsidR="00BE4E16">
        <w:t xml:space="preserve">contained in the proposed </w:t>
      </w:r>
      <w:r w:rsidR="00E65702" w:rsidRPr="00FD041A">
        <w:rPr>
          <w:color w:val="auto"/>
        </w:rPr>
        <w:t>Supplement No.</w:t>
      </w:r>
      <w:r w:rsidR="00E65702" w:rsidRPr="00FD041A">
        <w:t xml:space="preserve"> </w:t>
      </w:r>
      <w:r w:rsidR="00C6093B">
        <w:t>35</w:t>
      </w:r>
      <w:r w:rsidR="00E65702" w:rsidRPr="00FD041A">
        <w:rPr>
          <w:color w:val="auto"/>
        </w:rPr>
        <w:t xml:space="preserve"> to Tariff Electric-Pa. P.U.C. No. 2</w:t>
      </w:r>
      <w:r w:rsidR="00C6093B">
        <w:rPr>
          <w:color w:val="auto"/>
        </w:rPr>
        <w:t>4</w:t>
      </w:r>
      <w:r w:rsidR="00E65702" w:rsidRPr="00FD041A">
        <w:rPr>
          <w:color w:val="auto"/>
        </w:rPr>
        <w:t>.</w:t>
      </w:r>
    </w:p>
    <w:p w:rsidR="009A33FF" w:rsidRDefault="009A33FF" w:rsidP="007163C3">
      <w:pPr>
        <w:tabs>
          <w:tab w:val="left" w:pos="1440"/>
        </w:tabs>
        <w:ind w:firstLine="720"/>
      </w:pPr>
    </w:p>
    <w:p w:rsidR="009A33FF" w:rsidRDefault="009A33FF" w:rsidP="009A33FF">
      <w:pPr>
        <w:tabs>
          <w:tab w:val="left" w:pos="1440"/>
        </w:tabs>
        <w:spacing w:line="360" w:lineRule="auto"/>
        <w:ind w:firstLine="720"/>
      </w:pPr>
      <w:r w:rsidRPr="009A33FF">
        <w:t>3.</w:t>
      </w:r>
      <w:r w:rsidRPr="009A33FF">
        <w:tab/>
        <w:t>That this investigation shall include</w:t>
      </w:r>
      <w:r w:rsidR="00230718">
        <w:t>, but not be limited to,</w:t>
      </w:r>
      <w:r w:rsidRPr="009A33FF">
        <w:t xml:space="preserve"> consideration of the </w:t>
      </w:r>
      <w:r w:rsidR="00BD761D">
        <w:t>issues identified in the body of this Order</w:t>
      </w:r>
      <w:r w:rsidR="00B862EA">
        <w:t>, as well as in the attached Appendix A,</w:t>
      </w:r>
      <w:r w:rsidR="00BD761D">
        <w:t xml:space="preserve"> as representing specific areas of concern with regard to </w:t>
      </w:r>
      <w:r w:rsidR="00896972">
        <w:t>the Company’s</w:t>
      </w:r>
      <w:r w:rsidR="00BD761D">
        <w:t xml:space="preserve"> base rate filing.</w:t>
      </w:r>
    </w:p>
    <w:p w:rsidR="00BD761D" w:rsidRDefault="00BD761D" w:rsidP="007163C3">
      <w:pPr>
        <w:tabs>
          <w:tab w:val="left" w:pos="1440"/>
        </w:tabs>
        <w:ind w:firstLine="720"/>
      </w:pPr>
    </w:p>
    <w:p w:rsidR="00BD761D" w:rsidRDefault="00896972" w:rsidP="00BD761D">
      <w:pPr>
        <w:tabs>
          <w:tab w:val="left" w:pos="1440"/>
        </w:tabs>
        <w:spacing w:line="360" w:lineRule="auto"/>
        <w:ind w:firstLine="720"/>
      </w:pPr>
      <w:r>
        <w:t>4</w:t>
      </w:r>
      <w:r w:rsidR="00BD761D" w:rsidRPr="009A33FF">
        <w:t>.</w:t>
      </w:r>
      <w:r w:rsidR="00BD761D" w:rsidRPr="009A33FF">
        <w:tab/>
        <w:t>That this investigation shall include consideration of the lawfulness, justness, and reasonableness of the Company’s existing rates, rules, and regulations.</w:t>
      </w:r>
    </w:p>
    <w:p w:rsidR="00E013EF" w:rsidRPr="00E013EF" w:rsidRDefault="00E013EF" w:rsidP="007163C3">
      <w:pPr>
        <w:tabs>
          <w:tab w:val="left" w:pos="1440"/>
        </w:tabs>
        <w:ind w:firstLine="720"/>
        <w:rPr>
          <w:highlight w:val="green"/>
        </w:rPr>
      </w:pPr>
    </w:p>
    <w:p w:rsidR="00E013EF" w:rsidRPr="009A33FF" w:rsidRDefault="00896972" w:rsidP="00E013EF">
      <w:pPr>
        <w:tabs>
          <w:tab w:val="left" w:pos="1440"/>
        </w:tabs>
        <w:spacing w:line="360" w:lineRule="auto"/>
        <w:ind w:firstLine="720"/>
      </w:pPr>
      <w:r>
        <w:t>5</w:t>
      </w:r>
      <w:r w:rsidR="00E013EF" w:rsidRPr="009A33FF">
        <w:t>.</w:t>
      </w:r>
      <w:r w:rsidR="00E013EF" w:rsidRPr="009A33FF">
        <w:tab/>
        <w:t>That the case be assigned to the Office of Administrative Law Judge for the prompt scheduling of such hearings as may be necessary, culminating in the issuance of a Recommended Decision.</w:t>
      </w:r>
    </w:p>
    <w:p w:rsidR="00B46A2A" w:rsidRDefault="00B46A2A">
      <w:r>
        <w:br w:type="page"/>
      </w:r>
    </w:p>
    <w:p w:rsidR="00E013EF" w:rsidRPr="00782C54" w:rsidRDefault="00896972" w:rsidP="00E013EF">
      <w:pPr>
        <w:tabs>
          <w:tab w:val="left" w:pos="1440"/>
        </w:tabs>
        <w:spacing w:line="360" w:lineRule="auto"/>
        <w:ind w:firstLine="720"/>
      </w:pPr>
      <w:r>
        <w:lastRenderedPageBreak/>
        <w:t>6</w:t>
      </w:r>
      <w:r w:rsidR="00E013EF" w:rsidRPr="009A33FF">
        <w:t>.</w:t>
      </w:r>
      <w:r w:rsidR="00E013EF" w:rsidRPr="009A33FF">
        <w:tab/>
        <w:t>That a copy of this Order shall be served upon the Company, the Office of Trial Staff, the Office of Consumer Advocate, the Office of Small Business Advocate, and any persons who have filed Formal Complaints against the Company’s proposed tariff.</w:t>
      </w:r>
    </w:p>
    <w:p w:rsidR="008C2D12" w:rsidRPr="008E558B" w:rsidRDefault="008C2D12" w:rsidP="007F6F9C">
      <w:pPr>
        <w:tabs>
          <w:tab w:val="left" w:pos="1440"/>
          <w:tab w:val="left" w:pos="2160"/>
        </w:tabs>
        <w:spacing w:line="360" w:lineRule="auto"/>
        <w:ind w:firstLine="1440"/>
      </w:pPr>
    </w:p>
    <w:p w:rsidR="00935555" w:rsidRPr="00EA612D" w:rsidRDefault="00935555" w:rsidP="007F6F9C">
      <w:pPr>
        <w:tabs>
          <w:tab w:val="left" w:pos="2160"/>
        </w:tabs>
        <w:spacing w:line="360" w:lineRule="auto"/>
        <w:rPr>
          <w:highlight w:val="green"/>
        </w:rPr>
      </w:pPr>
    </w:p>
    <w:p w:rsidR="00142BC5" w:rsidRPr="00EA612D" w:rsidRDefault="00604D94" w:rsidP="00AC1019">
      <w:pPr>
        <w:rPr>
          <w:highlight w:val="green"/>
        </w:rPr>
      </w:pPr>
      <w:r>
        <w:rPr>
          <w:noProof/>
        </w:rPr>
        <w:drawing>
          <wp:anchor distT="0" distB="0" distL="114300" distR="114300" simplePos="0" relativeHeight="251658240" behindDoc="1" locked="0" layoutInCell="1" allowOverlap="1">
            <wp:simplePos x="0" y="0"/>
            <wp:positionH relativeFrom="column">
              <wp:posOffset>2560955</wp:posOffset>
            </wp:positionH>
            <wp:positionV relativeFrom="paragraph">
              <wp:posOffset>133350</wp:posOffset>
            </wp:positionV>
            <wp:extent cx="2203450" cy="833755"/>
            <wp:effectExtent l="19050" t="0" r="6350"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3755"/>
                    </a:xfrm>
                    <a:prstGeom prst="rect">
                      <a:avLst/>
                    </a:prstGeom>
                    <a:noFill/>
                    <a:ln w="9525">
                      <a:noFill/>
                      <a:miter lim="800000"/>
                      <a:headEnd/>
                      <a:tailEnd/>
                    </a:ln>
                  </pic:spPr>
                </pic:pic>
              </a:graphicData>
            </a:graphic>
          </wp:anchor>
        </w:drawing>
      </w:r>
    </w:p>
    <w:p w:rsidR="00142BC5" w:rsidRPr="00223F64" w:rsidRDefault="00142BC5" w:rsidP="00AC1019">
      <w:pPr>
        <w:tabs>
          <w:tab w:val="left" w:pos="4320"/>
        </w:tabs>
      </w:pPr>
      <w:r w:rsidRPr="00223F64">
        <w:tab/>
      </w:r>
      <w:r w:rsidRPr="00223F64">
        <w:rPr>
          <w:b/>
        </w:rPr>
        <w:t>BY THE COMMISSION</w:t>
      </w:r>
      <w:r w:rsidR="004D2B0E" w:rsidRPr="00223F64">
        <w:rPr>
          <w:b/>
        </w:rPr>
        <w:t>,</w:t>
      </w:r>
    </w:p>
    <w:p w:rsidR="00142BC5" w:rsidRPr="00223F64" w:rsidRDefault="00142BC5" w:rsidP="00AC1019">
      <w:pPr>
        <w:tabs>
          <w:tab w:val="left" w:pos="4320"/>
        </w:tabs>
      </w:pPr>
    </w:p>
    <w:p w:rsidR="00142BC5" w:rsidRPr="00223F64" w:rsidRDefault="00142BC5" w:rsidP="00AC1019">
      <w:pPr>
        <w:tabs>
          <w:tab w:val="left" w:pos="4320"/>
        </w:tabs>
      </w:pPr>
    </w:p>
    <w:p w:rsidR="00142BC5" w:rsidRPr="00223F64" w:rsidRDefault="00223F64" w:rsidP="00AC1019">
      <w:pPr>
        <w:tabs>
          <w:tab w:val="left" w:pos="4320"/>
        </w:tabs>
      </w:pPr>
      <w:r w:rsidRPr="00223F64">
        <w:tab/>
        <w:t>Rosemary Chiavetta</w:t>
      </w:r>
    </w:p>
    <w:p w:rsidR="00142BC5" w:rsidRPr="00223F64" w:rsidRDefault="00142BC5" w:rsidP="00AC1019">
      <w:pPr>
        <w:tabs>
          <w:tab w:val="left" w:pos="4320"/>
        </w:tabs>
      </w:pPr>
      <w:r w:rsidRPr="00223F64">
        <w:tab/>
        <w:t>Secretary</w:t>
      </w:r>
    </w:p>
    <w:p w:rsidR="00142BC5" w:rsidRPr="00223F64" w:rsidRDefault="00142BC5" w:rsidP="00AC1019">
      <w:pPr>
        <w:tabs>
          <w:tab w:val="left" w:pos="4320"/>
        </w:tabs>
      </w:pPr>
    </w:p>
    <w:p w:rsidR="008C2D12" w:rsidRPr="00223F64" w:rsidRDefault="008C2D12" w:rsidP="00AC1019">
      <w:pPr>
        <w:tabs>
          <w:tab w:val="left" w:pos="4320"/>
        </w:tabs>
        <w:spacing w:line="360" w:lineRule="auto"/>
      </w:pPr>
    </w:p>
    <w:p w:rsidR="008C2D12" w:rsidRPr="00223F64" w:rsidRDefault="008C2D12" w:rsidP="00AC1019">
      <w:pPr>
        <w:tabs>
          <w:tab w:val="left" w:pos="4320"/>
        </w:tabs>
        <w:spacing w:line="360" w:lineRule="auto"/>
      </w:pPr>
    </w:p>
    <w:p w:rsidR="00142BC5" w:rsidRPr="00223F64" w:rsidRDefault="00142BC5" w:rsidP="00AC1019">
      <w:pPr>
        <w:tabs>
          <w:tab w:val="left" w:pos="4320"/>
        </w:tabs>
        <w:spacing w:line="360" w:lineRule="auto"/>
      </w:pPr>
      <w:r w:rsidRPr="00223F64">
        <w:t>(SEAL)</w:t>
      </w:r>
    </w:p>
    <w:p w:rsidR="00142BC5" w:rsidRPr="00223F64" w:rsidRDefault="00142BC5" w:rsidP="00AC1019">
      <w:pPr>
        <w:tabs>
          <w:tab w:val="left" w:pos="4320"/>
        </w:tabs>
        <w:spacing w:line="360" w:lineRule="auto"/>
      </w:pPr>
      <w:r w:rsidRPr="00223F64">
        <w:t xml:space="preserve">ORDER ADOPTED:  </w:t>
      </w:r>
      <w:r w:rsidR="00401908">
        <w:t xml:space="preserve">September </w:t>
      </w:r>
      <w:r w:rsidR="007C2EBC">
        <w:t>16</w:t>
      </w:r>
      <w:r w:rsidR="007F6F9C" w:rsidRPr="00223F64">
        <w:t>,</w:t>
      </w:r>
      <w:r w:rsidR="00782C54" w:rsidRPr="00223F64">
        <w:t xml:space="preserve"> 2010</w:t>
      </w:r>
      <w:r w:rsidR="00EF5C01" w:rsidRPr="00223F64">
        <w:t xml:space="preserve"> </w:t>
      </w:r>
    </w:p>
    <w:p w:rsidR="00867BC2" w:rsidRDefault="00142BC5" w:rsidP="00AC1019">
      <w:pPr>
        <w:tabs>
          <w:tab w:val="left" w:pos="4320"/>
        </w:tabs>
        <w:spacing w:line="360" w:lineRule="auto"/>
        <w:sectPr w:rsidR="00867BC2" w:rsidSect="0051337B">
          <w:footerReference w:type="default" r:id="rId9"/>
          <w:headerReference w:type="first" r:id="rId10"/>
          <w:footerReference w:type="first" r:id="rId11"/>
          <w:pgSz w:w="12240" w:h="15840" w:code="1"/>
          <w:pgMar w:top="1440" w:right="1296" w:bottom="1296" w:left="1440" w:header="720" w:footer="720" w:gutter="0"/>
          <w:cols w:space="720"/>
          <w:titlePg/>
          <w:docGrid w:linePitch="354"/>
        </w:sectPr>
      </w:pPr>
      <w:r w:rsidRPr="00223F64">
        <w:t>ORDER ENTERED:</w:t>
      </w:r>
      <w:r w:rsidRPr="00AC1019">
        <w:t xml:space="preserve">  </w:t>
      </w:r>
      <w:r w:rsidR="00604D94">
        <w:t>September 16, 2010</w:t>
      </w:r>
    </w:p>
    <w:p w:rsidR="0068331C" w:rsidRDefault="0068331C" w:rsidP="00AC1019">
      <w:pPr>
        <w:tabs>
          <w:tab w:val="left" w:pos="4320"/>
        </w:tabs>
        <w:spacing w:line="360" w:lineRule="auto"/>
      </w:pPr>
    </w:p>
    <w:p w:rsidR="00C41B5D" w:rsidRPr="006D06ED" w:rsidRDefault="00270EB5" w:rsidP="00C41B5D">
      <w:pPr>
        <w:tabs>
          <w:tab w:val="left" w:pos="4320"/>
        </w:tabs>
        <w:jc w:val="center"/>
        <w:rPr>
          <w:b/>
          <w:sz w:val="28"/>
          <w:szCs w:val="28"/>
        </w:rPr>
      </w:pPr>
      <w:r>
        <w:rPr>
          <w:b/>
          <w:sz w:val="28"/>
          <w:szCs w:val="28"/>
        </w:rPr>
        <w:t>Duquesne Light Company</w:t>
      </w:r>
    </w:p>
    <w:p w:rsidR="00C41B5D" w:rsidRPr="006D06ED" w:rsidRDefault="00C41B5D" w:rsidP="00C41B5D">
      <w:pPr>
        <w:tabs>
          <w:tab w:val="left" w:pos="4320"/>
        </w:tabs>
        <w:jc w:val="center"/>
        <w:rPr>
          <w:b/>
          <w:sz w:val="28"/>
          <w:szCs w:val="28"/>
        </w:rPr>
      </w:pPr>
      <w:r w:rsidRPr="006D06ED">
        <w:rPr>
          <w:b/>
          <w:sz w:val="28"/>
          <w:szCs w:val="28"/>
        </w:rPr>
        <w:t xml:space="preserve">Supplement No. </w:t>
      </w:r>
      <w:r w:rsidR="00270EB5">
        <w:rPr>
          <w:b/>
          <w:sz w:val="28"/>
          <w:szCs w:val="28"/>
        </w:rPr>
        <w:t>35</w:t>
      </w:r>
      <w:r w:rsidRPr="006D06ED">
        <w:rPr>
          <w:b/>
          <w:sz w:val="28"/>
          <w:szCs w:val="28"/>
        </w:rPr>
        <w:t xml:space="preserve"> to Tariff Electric-Pa. P.U.C. No. 2</w:t>
      </w:r>
      <w:r w:rsidR="00270EB5">
        <w:rPr>
          <w:b/>
          <w:sz w:val="28"/>
          <w:szCs w:val="28"/>
        </w:rPr>
        <w:t>4</w:t>
      </w:r>
    </w:p>
    <w:p w:rsidR="00C41B5D" w:rsidRPr="006D06ED" w:rsidRDefault="00C41B5D" w:rsidP="00C41B5D">
      <w:pPr>
        <w:tabs>
          <w:tab w:val="left" w:pos="4320"/>
        </w:tabs>
        <w:jc w:val="center"/>
        <w:rPr>
          <w:b/>
          <w:sz w:val="28"/>
          <w:szCs w:val="28"/>
        </w:rPr>
      </w:pPr>
      <w:r w:rsidRPr="006D06ED">
        <w:rPr>
          <w:b/>
          <w:sz w:val="28"/>
          <w:szCs w:val="28"/>
        </w:rPr>
        <w:t>R-2010-</w:t>
      </w:r>
      <w:r w:rsidR="00270EB5">
        <w:rPr>
          <w:b/>
          <w:sz w:val="28"/>
          <w:szCs w:val="28"/>
        </w:rPr>
        <w:t>2179522</w:t>
      </w:r>
    </w:p>
    <w:p w:rsidR="00C41B5D" w:rsidRPr="001F7175" w:rsidRDefault="00C41B5D" w:rsidP="00C41B5D">
      <w:pPr>
        <w:tabs>
          <w:tab w:val="left" w:pos="4320"/>
        </w:tabs>
        <w:jc w:val="center"/>
        <w:rPr>
          <w:sz w:val="28"/>
          <w:szCs w:val="28"/>
        </w:rPr>
      </w:pPr>
    </w:p>
    <w:p w:rsidR="00C41B5D" w:rsidRPr="006D06ED" w:rsidRDefault="00C41B5D" w:rsidP="00C41B5D">
      <w:pPr>
        <w:tabs>
          <w:tab w:val="left" w:pos="4320"/>
        </w:tabs>
        <w:jc w:val="center"/>
        <w:rPr>
          <w:b/>
          <w:sz w:val="28"/>
          <w:szCs w:val="28"/>
        </w:rPr>
      </w:pPr>
      <w:r w:rsidRPr="006D06ED">
        <w:rPr>
          <w:b/>
          <w:sz w:val="28"/>
          <w:szCs w:val="28"/>
        </w:rPr>
        <w:t>General Rate Increase Filing</w:t>
      </w:r>
    </w:p>
    <w:p w:rsidR="00C41B5D" w:rsidRPr="006D06ED" w:rsidRDefault="00C41B5D" w:rsidP="00C41B5D">
      <w:pPr>
        <w:tabs>
          <w:tab w:val="left" w:pos="4320"/>
        </w:tabs>
        <w:jc w:val="center"/>
        <w:rPr>
          <w:b/>
          <w:sz w:val="28"/>
          <w:szCs w:val="28"/>
        </w:rPr>
      </w:pPr>
      <w:r w:rsidRPr="006D06ED">
        <w:rPr>
          <w:b/>
          <w:sz w:val="28"/>
          <w:szCs w:val="28"/>
        </w:rPr>
        <w:t>Areas of Concern</w:t>
      </w:r>
    </w:p>
    <w:p w:rsidR="0068331C" w:rsidRDefault="0068331C" w:rsidP="00AC1019">
      <w:pPr>
        <w:tabs>
          <w:tab w:val="left" w:pos="4320"/>
        </w:tabs>
        <w:spacing w:line="360" w:lineRule="auto"/>
      </w:pPr>
    </w:p>
    <w:p w:rsidR="00C41B5D" w:rsidRDefault="00C41B5D" w:rsidP="00AC1019">
      <w:pPr>
        <w:tabs>
          <w:tab w:val="left" w:pos="4320"/>
        </w:tabs>
        <w:spacing w:line="360" w:lineRule="auto"/>
      </w:pPr>
    </w:p>
    <w:p w:rsidR="00B74931" w:rsidRDefault="00FC14E7" w:rsidP="002C224F">
      <w:pPr>
        <w:pStyle w:val="ListParagraph"/>
        <w:numPr>
          <w:ilvl w:val="0"/>
          <w:numId w:val="5"/>
        </w:numPr>
      </w:pPr>
      <w:r>
        <w:t>Duquesne’</w:t>
      </w:r>
      <w:r w:rsidR="00BA6407">
        <w:t xml:space="preserve">s </w:t>
      </w:r>
      <w:r w:rsidR="00B74931">
        <w:t>test year revenue and expense claims</w:t>
      </w:r>
      <w:r w:rsidR="00BA6407">
        <w:t xml:space="preserve"> must</w:t>
      </w:r>
      <w:r w:rsidR="00B74931">
        <w:t xml:space="preserve"> be closely examined to determine their accuracy and the extent to which they support the requested revenue increase.</w:t>
      </w:r>
    </w:p>
    <w:p w:rsidR="00B74931" w:rsidRDefault="00B74931" w:rsidP="00B74931">
      <w:pPr>
        <w:tabs>
          <w:tab w:val="left" w:pos="1440"/>
        </w:tabs>
        <w:ind w:firstLine="720"/>
      </w:pPr>
    </w:p>
    <w:p w:rsidR="00B74931" w:rsidRDefault="00C8403D" w:rsidP="002C224F">
      <w:pPr>
        <w:pStyle w:val="ListParagraph"/>
        <w:numPr>
          <w:ilvl w:val="0"/>
          <w:numId w:val="5"/>
        </w:numPr>
      </w:pPr>
      <w:r>
        <w:t xml:space="preserve">The level of capital </w:t>
      </w:r>
      <w:r w:rsidR="00B74931" w:rsidRPr="00433DD1">
        <w:t>investment</w:t>
      </w:r>
      <w:r>
        <w:t xml:space="preserve"> appearing in </w:t>
      </w:r>
      <w:r w:rsidR="00FC14E7">
        <w:t>Duquesne</w:t>
      </w:r>
      <w:r>
        <w:t>’s rate base claim must</w:t>
      </w:r>
      <w:r w:rsidR="00B74931" w:rsidRPr="00433DD1">
        <w:t xml:space="preserve"> be closely reviewed to ensure that it was prudently made, and that any utility plant acquired is necessary, used and useful to the provision of electric distribution service.</w:t>
      </w:r>
    </w:p>
    <w:p w:rsidR="00683BC1" w:rsidRDefault="00683BC1" w:rsidP="00683BC1">
      <w:pPr>
        <w:pStyle w:val="ListParagraph"/>
      </w:pPr>
    </w:p>
    <w:p w:rsidR="00683BC1" w:rsidRDefault="00FC14E7" w:rsidP="002C224F">
      <w:pPr>
        <w:pStyle w:val="ListParagraph"/>
        <w:numPr>
          <w:ilvl w:val="0"/>
          <w:numId w:val="5"/>
        </w:numPr>
      </w:pPr>
      <w:r>
        <w:t>Duquesne</w:t>
      </w:r>
      <w:r w:rsidR="00683BC1">
        <w:t>’s proposed revenue allocation must be carefully examined to d</w:t>
      </w:r>
      <w:r w:rsidR="007B0C7C">
        <w:t>etermine whether or not it is</w:t>
      </w:r>
      <w:r w:rsidR="00683BC1">
        <w:t xml:space="preserve"> just and reasonable.</w:t>
      </w:r>
    </w:p>
    <w:p w:rsidR="00AD7E0E" w:rsidRDefault="00AD7E0E" w:rsidP="00AD7E0E">
      <w:pPr>
        <w:pStyle w:val="ListParagraph"/>
      </w:pPr>
    </w:p>
    <w:p w:rsidR="007B0C7C" w:rsidRDefault="00FC14E7" w:rsidP="002C224F">
      <w:pPr>
        <w:pStyle w:val="ListParagraph"/>
        <w:numPr>
          <w:ilvl w:val="0"/>
          <w:numId w:val="5"/>
        </w:numPr>
      </w:pPr>
      <w:r>
        <w:t>Duquesne</w:t>
      </w:r>
      <w:r w:rsidR="007B0C7C">
        <w:t>’</w:t>
      </w:r>
      <w:r w:rsidR="00B02318">
        <w:t xml:space="preserve">s proposal to redesign </w:t>
      </w:r>
      <w:r>
        <w:t>the</w:t>
      </w:r>
      <w:r w:rsidR="00B02318">
        <w:t xml:space="preserve"> rate structure</w:t>
      </w:r>
      <w:r>
        <w:t xml:space="preserve"> of residential heating</w:t>
      </w:r>
      <w:r w:rsidR="00AC5E9F">
        <w:t xml:space="preserve"> and add-on heat pump</w:t>
      </w:r>
      <w:r>
        <w:t xml:space="preserve"> customers</w:t>
      </w:r>
      <w:r w:rsidR="00B02318">
        <w:t xml:space="preserve"> </w:t>
      </w:r>
      <w:r w:rsidR="007B0C7C">
        <w:t>must be carefully examined to d</w:t>
      </w:r>
      <w:r w:rsidR="00B02318">
        <w:t>etermine whether or not it is</w:t>
      </w:r>
      <w:r w:rsidR="007B0C7C">
        <w:t xml:space="preserve"> just and reasonable.</w:t>
      </w:r>
    </w:p>
    <w:p w:rsidR="006730D2" w:rsidRDefault="006730D2" w:rsidP="006730D2">
      <w:pPr>
        <w:pStyle w:val="ListParagraph"/>
      </w:pPr>
    </w:p>
    <w:p w:rsidR="006730D2" w:rsidRDefault="00FC14E7" w:rsidP="006730D2">
      <w:pPr>
        <w:pStyle w:val="ListParagraph"/>
        <w:numPr>
          <w:ilvl w:val="0"/>
          <w:numId w:val="5"/>
        </w:numPr>
      </w:pPr>
      <w:r>
        <w:t>Duquesne</w:t>
      </w:r>
      <w:r w:rsidR="006730D2">
        <w:t xml:space="preserve">’s proposal to </w:t>
      </w:r>
      <w:r>
        <w:t>separate rate schedule GSGM into three new rate schedules</w:t>
      </w:r>
      <w:r w:rsidR="006730D2">
        <w:t xml:space="preserve"> must be carefully reviewed to determine whether or not it is just and reasonable.</w:t>
      </w:r>
    </w:p>
    <w:p w:rsidR="008F72EC" w:rsidRDefault="008F72EC" w:rsidP="008F72EC">
      <w:pPr>
        <w:pStyle w:val="ListParagraph"/>
      </w:pPr>
    </w:p>
    <w:p w:rsidR="008F72EC" w:rsidRDefault="00041CB2" w:rsidP="002C224F">
      <w:pPr>
        <w:pStyle w:val="ListParagraph"/>
        <w:numPr>
          <w:ilvl w:val="0"/>
          <w:numId w:val="5"/>
        </w:numPr>
      </w:pPr>
      <w:r>
        <w:t>Duquesne</w:t>
      </w:r>
      <w:r w:rsidR="008F72EC">
        <w:t>’s proposal</w:t>
      </w:r>
      <w:r w:rsidR="00793D5B">
        <w:t>s</w:t>
      </w:r>
      <w:r w:rsidR="008F72EC">
        <w:t xml:space="preserve"> to </w:t>
      </w:r>
      <w:r w:rsidR="00C25D07">
        <w:t>redesign</w:t>
      </w:r>
      <w:r>
        <w:t xml:space="preserve"> </w:t>
      </w:r>
      <w:r w:rsidR="00C25D07">
        <w:t>the</w:t>
      </w:r>
      <w:r w:rsidR="008F72EC">
        <w:t xml:space="preserve"> rate schedules</w:t>
      </w:r>
      <w:r w:rsidR="00C25D07">
        <w:t xml:space="preserve"> for large commercial and industrial customers</w:t>
      </w:r>
      <w:r>
        <w:t xml:space="preserve"> </w:t>
      </w:r>
      <w:r w:rsidR="00793D5B">
        <w:t>through the conversion to demand only rates, the elimination of variable demand charges and/or the elimination of declining block demand charges</w:t>
      </w:r>
      <w:r w:rsidR="00983551">
        <w:t xml:space="preserve"> </w:t>
      </w:r>
      <w:r w:rsidR="008F72EC">
        <w:t xml:space="preserve">must be carefully reviewed to determine whether or not </w:t>
      </w:r>
      <w:r w:rsidR="00983551">
        <w:t>they are</w:t>
      </w:r>
      <w:r w:rsidR="008F72EC">
        <w:t xml:space="preserve"> just and reasonable.</w:t>
      </w:r>
    </w:p>
    <w:p w:rsidR="00FF1F05" w:rsidRDefault="00FF1F05" w:rsidP="00FF1F05">
      <w:pPr>
        <w:pStyle w:val="ListParagraph"/>
      </w:pPr>
    </w:p>
    <w:p w:rsidR="00B74931" w:rsidRDefault="00E62603" w:rsidP="002C224F">
      <w:pPr>
        <w:pStyle w:val="ListParagraph"/>
        <w:numPr>
          <w:ilvl w:val="0"/>
          <w:numId w:val="5"/>
        </w:numPr>
      </w:pPr>
      <w:r>
        <w:t xml:space="preserve">The </w:t>
      </w:r>
      <w:r w:rsidR="00B74931">
        <w:t>cost allocation methodologies</w:t>
      </w:r>
      <w:r>
        <w:t xml:space="preserve"> utilized in </w:t>
      </w:r>
      <w:r w:rsidR="00983551">
        <w:t>Duquesne</w:t>
      </w:r>
      <w:r>
        <w:t>’s class cost-of-service study must</w:t>
      </w:r>
      <w:r w:rsidR="00B74931">
        <w:t xml:space="preserve"> be thoroughly scrutinized in order t</w:t>
      </w:r>
      <w:r w:rsidR="000B10B0">
        <w:t xml:space="preserve">o ensure that the results of the </w:t>
      </w:r>
      <w:r w:rsidR="00B74931">
        <w:t>study are reasonably accurate, and to determine whether or not they support the Company’s proposed revenue allocation.</w:t>
      </w:r>
    </w:p>
    <w:p w:rsidR="00B74931" w:rsidRDefault="00B74931" w:rsidP="00B74931">
      <w:pPr>
        <w:pStyle w:val="ListParagraph"/>
      </w:pPr>
    </w:p>
    <w:p w:rsidR="00B74931" w:rsidRDefault="00B74931" w:rsidP="002C224F">
      <w:pPr>
        <w:pStyle w:val="ListParagraph"/>
        <w:numPr>
          <w:ilvl w:val="0"/>
          <w:numId w:val="5"/>
        </w:numPr>
      </w:pPr>
      <w:r>
        <w:lastRenderedPageBreak/>
        <w:t xml:space="preserve"> </w:t>
      </w:r>
      <w:r w:rsidR="000B10B0">
        <w:t xml:space="preserve">The cost allocation methodologies utilized in </w:t>
      </w:r>
      <w:r w:rsidR="00BB7826">
        <w:t>Duquesne</w:t>
      </w:r>
      <w:r w:rsidR="000B10B0">
        <w:t xml:space="preserve">’s class cost-of-service study must be thoroughly scrutinized </w:t>
      </w:r>
      <w:r>
        <w:t xml:space="preserve">to determine whether or not </w:t>
      </w:r>
      <w:r w:rsidR="00CC7D49">
        <w:t xml:space="preserve">they support the Company’s </w:t>
      </w:r>
      <w:r>
        <w:t>pro</w:t>
      </w:r>
      <w:r w:rsidR="00CC7D49">
        <w:t>posed rate design changes.</w:t>
      </w:r>
    </w:p>
    <w:p w:rsidR="00AC5E9F" w:rsidRDefault="00AC5E9F" w:rsidP="00AC5E9F">
      <w:pPr>
        <w:ind w:left="360"/>
      </w:pPr>
    </w:p>
    <w:p w:rsidR="00B435E6" w:rsidRDefault="00BB7826" w:rsidP="002C224F">
      <w:pPr>
        <w:pStyle w:val="ListParagraph"/>
        <w:numPr>
          <w:ilvl w:val="0"/>
          <w:numId w:val="5"/>
        </w:numPr>
      </w:pPr>
      <w:r>
        <w:t>Duquesne</w:t>
      </w:r>
      <w:r w:rsidR="00B435E6">
        <w:t>’s proposed updates to its tariff to clarify certain provisions and eliminate other provision</w:t>
      </w:r>
      <w:r w:rsidR="007703F6">
        <w:t>s must be reviewed to determine</w:t>
      </w:r>
      <w:r w:rsidR="00B435E6">
        <w:t xml:space="preserve"> </w:t>
      </w:r>
      <w:r w:rsidR="00CA4487">
        <w:t>whether or not such changes are appropriate.</w:t>
      </w:r>
    </w:p>
    <w:p w:rsidR="00AC5E9F" w:rsidRDefault="00AC5E9F" w:rsidP="00AC5E9F">
      <w:pPr>
        <w:pStyle w:val="ListParagraph"/>
      </w:pPr>
    </w:p>
    <w:p w:rsidR="00AC5E9F" w:rsidRDefault="00AC5E9F" w:rsidP="002C224F">
      <w:pPr>
        <w:pStyle w:val="ListParagraph"/>
        <w:numPr>
          <w:ilvl w:val="0"/>
          <w:numId w:val="5"/>
        </w:numPr>
      </w:pPr>
      <w:r>
        <w:t>Duquesne’s methodology for calculating its health care expenses must be closely examined.</w:t>
      </w:r>
    </w:p>
    <w:sectPr w:rsidR="00AC5E9F" w:rsidSect="0051337B">
      <w:footerReference w:type="default" r:id="rId12"/>
      <w:headerReference w:type="first" r:id="rId13"/>
      <w:pgSz w:w="12240" w:h="15840" w:code="1"/>
      <w:pgMar w:top="1440" w:right="1296" w:bottom="1296" w:left="1440" w:header="720" w:footer="720"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AE8" w:rsidRDefault="00432AE8">
      <w:r>
        <w:separator/>
      </w:r>
    </w:p>
  </w:endnote>
  <w:endnote w:type="continuationSeparator" w:id="0">
    <w:p w:rsidR="00432AE8" w:rsidRDefault="00432AE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80254565"/>
      <w:docPartObj>
        <w:docPartGallery w:val="Page Numbers (Bottom of Page)"/>
        <w:docPartUnique/>
      </w:docPartObj>
    </w:sdtPr>
    <w:sdtContent>
      <w:p w:rsidR="00A96389" w:rsidRDefault="008E44D8">
        <w:pPr>
          <w:pStyle w:val="Footer"/>
          <w:jc w:val="center"/>
        </w:pPr>
        <w:fldSimple w:instr=" PAGE   \* MERGEFORMAT ">
          <w:r w:rsidR="00604D94">
            <w:rPr>
              <w:noProof/>
            </w:rPr>
            <w:t>7</w:t>
          </w:r>
        </w:fldSimple>
      </w:p>
    </w:sdtContent>
  </w:sdt>
  <w:p w:rsidR="00A96389" w:rsidRDefault="00A96389">
    <w:pPr>
      <w:pStyle w:val="Footer"/>
      <w:rPr>
        <w:color w:val="80008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60264549"/>
      <w:docPartObj>
        <w:docPartGallery w:val="Page Numbers (Bottom of Page)"/>
        <w:docPartUnique/>
      </w:docPartObj>
    </w:sdtPr>
    <w:sdtContent>
      <w:p w:rsidR="00A96389" w:rsidRDefault="008E44D8">
        <w:pPr>
          <w:pStyle w:val="Footer"/>
          <w:jc w:val="center"/>
        </w:pPr>
      </w:p>
    </w:sdtContent>
  </w:sdt>
  <w:p w:rsidR="00A96389" w:rsidRDefault="00A963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78412112"/>
      <w:docPartObj>
        <w:docPartGallery w:val="Page Numbers (Bottom of Page)"/>
        <w:docPartUnique/>
      </w:docPartObj>
    </w:sdtPr>
    <w:sdtContent>
      <w:p w:rsidR="00A96389" w:rsidRDefault="00A96389">
        <w:pPr>
          <w:pStyle w:val="Footer"/>
          <w:jc w:val="center"/>
        </w:pPr>
        <w:r>
          <w:t>2</w:t>
        </w:r>
      </w:p>
    </w:sdtContent>
  </w:sdt>
  <w:p w:rsidR="00A96389" w:rsidRDefault="00A96389">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AE8" w:rsidRDefault="00432AE8">
      <w:r>
        <w:separator/>
      </w:r>
    </w:p>
  </w:footnote>
  <w:footnote w:type="continuationSeparator" w:id="0">
    <w:p w:rsidR="00432AE8" w:rsidRDefault="00432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389" w:rsidRDefault="00A96389">
    <w:pPr>
      <w:pStyle w:val="Header"/>
    </w:pPr>
  </w:p>
  <w:p w:rsidR="00A96389" w:rsidRDefault="00A963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389" w:rsidRPr="00867BC2" w:rsidRDefault="00A96389" w:rsidP="00867BC2">
    <w:pPr>
      <w:pStyle w:val="Header"/>
      <w:jc w:val="right"/>
      <w:rPr>
        <w:sz w:val="40"/>
        <w:szCs w:val="40"/>
      </w:rPr>
    </w:pPr>
    <w:r w:rsidRPr="00867BC2">
      <w:rPr>
        <w:sz w:val="40"/>
        <w:szCs w:val="40"/>
      </w:rPr>
      <w:t>Appendix A</w:t>
    </w:r>
  </w:p>
  <w:p w:rsidR="00A96389" w:rsidRDefault="00A963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23060"/>
    <w:multiLevelType w:val="hybridMultilevel"/>
    <w:tmpl w:val="FBFA43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4574DE"/>
    <w:multiLevelType w:val="hybridMultilevel"/>
    <w:tmpl w:val="D7D0F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3">
    <w:nsid w:val="4F111256"/>
    <w:multiLevelType w:val="hybridMultilevel"/>
    <w:tmpl w:val="475045E4"/>
    <w:lvl w:ilvl="0" w:tplc="0622917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5F74ED"/>
    <w:multiLevelType w:val="hybridMultilevel"/>
    <w:tmpl w:val="E272C4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5962D5"/>
    <w:multiLevelType w:val="hybridMultilevel"/>
    <w:tmpl w:val="C660D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5568C1"/>
    <w:multiLevelType w:val="hybridMultilevel"/>
    <w:tmpl w:val="E522C8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7C470799"/>
    <w:multiLevelType w:val="hybridMultilevel"/>
    <w:tmpl w:val="4694EE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3"/>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1440"/>
  <w:drawingGridHorizontalSpacing w:val="130"/>
  <w:displayHorizontalDrawingGridEvery w:val="0"/>
  <w:displayVerticalDrawingGridEvery w:val="0"/>
  <w:noPunctuationKerning/>
  <w:characterSpacingControl w:val="doNotCompress"/>
  <w:hdrShapeDefaults>
    <o:shapedefaults v:ext="edit" spidmax="84994"/>
  </w:hdrShapeDefaults>
  <w:footnotePr>
    <w:footnote w:id="-1"/>
    <w:footnote w:id="0"/>
  </w:footnotePr>
  <w:endnotePr>
    <w:endnote w:id="-1"/>
    <w:endnote w:id="0"/>
  </w:endnotePr>
  <w:compat/>
  <w:rsids>
    <w:rsidRoot w:val="00142BC5"/>
    <w:rsid w:val="00000716"/>
    <w:rsid w:val="00001239"/>
    <w:rsid w:val="0000147F"/>
    <w:rsid w:val="00002609"/>
    <w:rsid w:val="0000437E"/>
    <w:rsid w:val="000057BE"/>
    <w:rsid w:val="000058CB"/>
    <w:rsid w:val="00010022"/>
    <w:rsid w:val="000107FC"/>
    <w:rsid w:val="0001266D"/>
    <w:rsid w:val="0002055E"/>
    <w:rsid w:val="00023BE8"/>
    <w:rsid w:val="0002798D"/>
    <w:rsid w:val="00027A53"/>
    <w:rsid w:val="00030649"/>
    <w:rsid w:val="00031D5F"/>
    <w:rsid w:val="00035D7F"/>
    <w:rsid w:val="000401BD"/>
    <w:rsid w:val="00040844"/>
    <w:rsid w:val="000411B3"/>
    <w:rsid w:val="00041CB2"/>
    <w:rsid w:val="000466E9"/>
    <w:rsid w:val="000467FF"/>
    <w:rsid w:val="0005402D"/>
    <w:rsid w:val="000560A2"/>
    <w:rsid w:val="0005782B"/>
    <w:rsid w:val="000604B5"/>
    <w:rsid w:val="000619B5"/>
    <w:rsid w:val="000629D2"/>
    <w:rsid w:val="00064A09"/>
    <w:rsid w:val="00066D86"/>
    <w:rsid w:val="000761B7"/>
    <w:rsid w:val="00076535"/>
    <w:rsid w:val="0008061B"/>
    <w:rsid w:val="000810DF"/>
    <w:rsid w:val="00082CC2"/>
    <w:rsid w:val="000875C4"/>
    <w:rsid w:val="00091FA2"/>
    <w:rsid w:val="000935CB"/>
    <w:rsid w:val="0009496F"/>
    <w:rsid w:val="0009521E"/>
    <w:rsid w:val="00097C69"/>
    <w:rsid w:val="000A1873"/>
    <w:rsid w:val="000A3BDD"/>
    <w:rsid w:val="000A44A4"/>
    <w:rsid w:val="000A612F"/>
    <w:rsid w:val="000A67A9"/>
    <w:rsid w:val="000A6FCA"/>
    <w:rsid w:val="000B10B0"/>
    <w:rsid w:val="000B1527"/>
    <w:rsid w:val="000B30DD"/>
    <w:rsid w:val="000C0E11"/>
    <w:rsid w:val="000C4E0A"/>
    <w:rsid w:val="000C7DF9"/>
    <w:rsid w:val="000D2156"/>
    <w:rsid w:val="000D58F3"/>
    <w:rsid w:val="000D7A48"/>
    <w:rsid w:val="000E00D1"/>
    <w:rsid w:val="000E1DF9"/>
    <w:rsid w:val="000E3729"/>
    <w:rsid w:val="000E7312"/>
    <w:rsid w:val="000F036F"/>
    <w:rsid w:val="000F2CA2"/>
    <w:rsid w:val="000F5794"/>
    <w:rsid w:val="000F7A15"/>
    <w:rsid w:val="000F7EA3"/>
    <w:rsid w:val="00100FB9"/>
    <w:rsid w:val="00104EF1"/>
    <w:rsid w:val="001116B9"/>
    <w:rsid w:val="00112E89"/>
    <w:rsid w:val="00115431"/>
    <w:rsid w:val="00123A77"/>
    <w:rsid w:val="001257C9"/>
    <w:rsid w:val="0012595C"/>
    <w:rsid w:val="00125A2B"/>
    <w:rsid w:val="0013168D"/>
    <w:rsid w:val="00137A57"/>
    <w:rsid w:val="00140F39"/>
    <w:rsid w:val="00142BC5"/>
    <w:rsid w:val="00143014"/>
    <w:rsid w:val="0014564A"/>
    <w:rsid w:val="00145BAA"/>
    <w:rsid w:val="001469C6"/>
    <w:rsid w:val="00146C82"/>
    <w:rsid w:val="00147CD5"/>
    <w:rsid w:val="00150BC8"/>
    <w:rsid w:val="001513A1"/>
    <w:rsid w:val="00153613"/>
    <w:rsid w:val="001553A1"/>
    <w:rsid w:val="001554B4"/>
    <w:rsid w:val="0015571B"/>
    <w:rsid w:val="00157464"/>
    <w:rsid w:val="001616B4"/>
    <w:rsid w:val="00161FAC"/>
    <w:rsid w:val="0016437F"/>
    <w:rsid w:val="001645C8"/>
    <w:rsid w:val="00171806"/>
    <w:rsid w:val="001734F8"/>
    <w:rsid w:val="00180924"/>
    <w:rsid w:val="0018339A"/>
    <w:rsid w:val="001845F0"/>
    <w:rsid w:val="00185D42"/>
    <w:rsid w:val="00186E30"/>
    <w:rsid w:val="001916DC"/>
    <w:rsid w:val="00196D24"/>
    <w:rsid w:val="001A154B"/>
    <w:rsid w:val="001A6ED8"/>
    <w:rsid w:val="001A7275"/>
    <w:rsid w:val="001A7597"/>
    <w:rsid w:val="001B010E"/>
    <w:rsid w:val="001B1DF7"/>
    <w:rsid w:val="001B33CE"/>
    <w:rsid w:val="001B4E4A"/>
    <w:rsid w:val="001C0AE0"/>
    <w:rsid w:val="001C1215"/>
    <w:rsid w:val="001C6280"/>
    <w:rsid w:val="001C6D9C"/>
    <w:rsid w:val="001D2F09"/>
    <w:rsid w:val="001D55C4"/>
    <w:rsid w:val="001E3F0D"/>
    <w:rsid w:val="001E4DBF"/>
    <w:rsid w:val="001F6775"/>
    <w:rsid w:val="001F6947"/>
    <w:rsid w:val="001F79D9"/>
    <w:rsid w:val="002027F9"/>
    <w:rsid w:val="00203093"/>
    <w:rsid w:val="00205563"/>
    <w:rsid w:val="002057A8"/>
    <w:rsid w:val="00210220"/>
    <w:rsid w:val="002102D8"/>
    <w:rsid w:val="0021122D"/>
    <w:rsid w:val="00212260"/>
    <w:rsid w:val="00215335"/>
    <w:rsid w:val="00220D97"/>
    <w:rsid w:val="00221B90"/>
    <w:rsid w:val="00221DCB"/>
    <w:rsid w:val="00221EA2"/>
    <w:rsid w:val="00222BF7"/>
    <w:rsid w:val="00223F64"/>
    <w:rsid w:val="00226421"/>
    <w:rsid w:val="002303F8"/>
    <w:rsid w:val="00230718"/>
    <w:rsid w:val="00232E90"/>
    <w:rsid w:val="0023510C"/>
    <w:rsid w:val="002402FF"/>
    <w:rsid w:val="00246885"/>
    <w:rsid w:val="00246E6C"/>
    <w:rsid w:val="00253786"/>
    <w:rsid w:val="00253B00"/>
    <w:rsid w:val="00254977"/>
    <w:rsid w:val="00255EA6"/>
    <w:rsid w:val="00256109"/>
    <w:rsid w:val="0026008D"/>
    <w:rsid w:val="002622B5"/>
    <w:rsid w:val="00262699"/>
    <w:rsid w:val="00263815"/>
    <w:rsid w:val="0026515E"/>
    <w:rsid w:val="00270ACF"/>
    <w:rsid w:val="00270EB5"/>
    <w:rsid w:val="002728A2"/>
    <w:rsid w:val="00273F52"/>
    <w:rsid w:val="002748AC"/>
    <w:rsid w:val="00275DC5"/>
    <w:rsid w:val="00280FF3"/>
    <w:rsid w:val="00286323"/>
    <w:rsid w:val="0028797B"/>
    <w:rsid w:val="00292047"/>
    <w:rsid w:val="002950D9"/>
    <w:rsid w:val="002A3E1F"/>
    <w:rsid w:val="002A68A0"/>
    <w:rsid w:val="002B232D"/>
    <w:rsid w:val="002B2A52"/>
    <w:rsid w:val="002C224F"/>
    <w:rsid w:val="002C3A08"/>
    <w:rsid w:val="002C3B96"/>
    <w:rsid w:val="002C3E86"/>
    <w:rsid w:val="002C45AC"/>
    <w:rsid w:val="002C4DF4"/>
    <w:rsid w:val="002D5704"/>
    <w:rsid w:val="002E2934"/>
    <w:rsid w:val="002E2AA0"/>
    <w:rsid w:val="002E3D1D"/>
    <w:rsid w:val="002E4821"/>
    <w:rsid w:val="002E550E"/>
    <w:rsid w:val="002F0029"/>
    <w:rsid w:val="002F15E8"/>
    <w:rsid w:val="002F4553"/>
    <w:rsid w:val="002F4E0B"/>
    <w:rsid w:val="003019ED"/>
    <w:rsid w:val="00304B0E"/>
    <w:rsid w:val="00310A02"/>
    <w:rsid w:val="00314768"/>
    <w:rsid w:val="00323549"/>
    <w:rsid w:val="00323555"/>
    <w:rsid w:val="00323D5F"/>
    <w:rsid w:val="0033011E"/>
    <w:rsid w:val="003306A5"/>
    <w:rsid w:val="00332D23"/>
    <w:rsid w:val="00333CF2"/>
    <w:rsid w:val="00337B42"/>
    <w:rsid w:val="00346ADC"/>
    <w:rsid w:val="00346C6F"/>
    <w:rsid w:val="003501F3"/>
    <w:rsid w:val="00352AC1"/>
    <w:rsid w:val="003531E1"/>
    <w:rsid w:val="00355DA6"/>
    <w:rsid w:val="00356BDF"/>
    <w:rsid w:val="00362CE7"/>
    <w:rsid w:val="00365433"/>
    <w:rsid w:val="00367A2C"/>
    <w:rsid w:val="00376921"/>
    <w:rsid w:val="00381BB8"/>
    <w:rsid w:val="00381D2E"/>
    <w:rsid w:val="00384B20"/>
    <w:rsid w:val="00386ACB"/>
    <w:rsid w:val="00391D30"/>
    <w:rsid w:val="00392166"/>
    <w:rsid w:val="003937B9"/>
    <w:rsid w:val="003A1670"/>
    <w:rsid w:val="003A3DA1"/>
    <w:rsid w:val="003A54B3"/>
    <w:rsid w:val="003A6175"/>
    <w:rsid w:val="003A6318"/>
    <w:rsid w:val="003B03A2"/>
    <w:rsid w:val="003B1455"/>
    <w:rsid w:val="003B15EF"/>
    <w:rsid w:val="003B4DE5"/>
    <w:rsid w:val="003C00F3"/>
    <w:rsid w:val="003C59E0"/>
    <w:rsid w:val="003C7E2A"/>
    <w:rsid w:val="003D0B67"/>
    <w:rsid w:val="003D22ED"/>
    <w:rsid w:val="003D394A"/>
    <w:rsid w:val="003D68B6"/>
    <w:rsid w:val="003D6CFE"/>
    <w:rsid w:val="003D724F"/>
    <w:rsid w:val="003D76B0"/>
    <w:rsid w:val="003E1E70"/>
    <w:rsid w:val="003E2801"/>
    <w:rsid w:val="003E6BFA"/>
    <w:rsid w:val="003E780C"/>
    <w:rsid w:val="003E7CEC"/>
    <w:rsid w:val="00401908"/>
    <w:rsid w:val="004045C8"/>
    <w:rsid w:val="00411889"/>
    <w:rsid w:val="00411FB9"/>
    <w:rsid w:val="004120EC"/>
    <w:rsid w:val="004146DA"/>
    <w:rsid w:val="00421F04"/>
    <w:rsid w:val="004233A6"/>
    <w:rsid w:val="004240A9"/>
    <w:rsid w:val="004277ED"/>
    <w:rsid w:val="00431227"/>
    <w:rsid w:val="00432399"/>
    <w:rsid w:val="004324B3"/>
    <w:rsid w:val="00432AE8"/>
    <w:rsid w:val="00433DD1"/>
    <w:rsid w:val="0043557E"/>
    <w:rsid w:val="00440BEF"/>
    <w:rsid w:val="00443544"/>
    <w:rsid w:val="004458F0"/>
    <w:rsid w:val="00445DEB"/>
    <w:rsid w:val="00450683"/>
    <w:rsid w:val="00452F9D"/>
    <w:rsid w:val="00457531"/>
    <w:rsid w:val="00460768"/>
    <w:rsid w:val="004638B0"/>
    <w:rsid w:val="00464D12"/>
    <w:rsid w:val="0046518B"/>
    <w:rsid w:val="0046694B"/>
    <w:rsid w:val="00473E79"/>
    <w:rsid w:val="004742FA"/>
    <w:rsid w:val="0048010F"/>
    <w:rsid w:val="00481060"/>
    <w:rsid w:val="004845E6"/>
    <w:rsid w:val="0048647E"/>
    <w:rsid w:val="004876CD"/>
    <w:rsid w:val="00491437"/>
    <w:rsid w:val="004933B1"/>
    <w:rsid w:val="00495815"/>
    <w:rsid w:val="004961C0"/>
    <w:rsid w:val="00496598"/>
    <w:rsid w:val="00497C85"/>
    <w:rsid w:val="004B34CF"/>
    <w:rsid w:val="004B517A"/>
    <w:rsid w:val="004B590F"/>
    <w:rsid w:val="004B5BC0"/>
    <w:rsid w:val="004B782E"/>
    <w:rsid w:val="004C034D"/>
    <w:rsid w:val="004C511D"/>
    <w:rsid w:val="004D2B0E"/>
    <w:rsid w:val="004D3828"/>
    <w:rsid w:val="004E03A6"/>
    <w:rsid w:val="004E134D"/>
    <w:rsid w:val="004E2EE5"/>
    <w:rsid w:val="004E41B9"/>
    <w:rsid w:val="004E5E88"/>
    <w:rsid w:val="004E65A7"/>
    <w:rsid w:val="004E76E2"/>
    <w:rsid w:val="004F1ABF"/>
    <w:rsid w:val="004F49E4"/>
    <w:rsid w:val="004F6545"/>
    <w:rsid w:val="005026A1"/>
    <w:rsid w:val="00503410"/>
    <w:rsid w:val="00505891"/>
    <w:rsid w:val="00506BA2"/>
    <w:rsid w:val="00507E71"/>
    <w:rsid w:val="0051337B"/>
    <w:rsid w:val="00513DBA"/>
    <w:rsid w:val="005148EE"/>
    <w:rsid w:val="00516D09"/>
    <w:rsid w:val="00520955"/>
    <w:rsid w:val="00526C46"/>
    <w:rsid w:val="00531733"/>
    <w:rsid w:val="00541848"/>
    <w:rsid w:val="005420D9"/>
    <w:rsid w:val="00542A60"/>
    <w:rsid w:val="00545488"/>
    <w:rsid w:val="00552A81"/>
    <w:rsid w:val="00556DDC"/>
    <w:rsid w:val="0056059A"/>
    <w:rsid w:val="0056094C"/>
    <w:rsid w:val="005610FD"/>
    <w:rsid w:val="00562812"/>
    <w:rsid w:val="00562FFD"/>
    <w:rsid w:val="00566C5B"/>
    <w:rsid w:val="00570BA8"/>
    <w:rsid w:val="00572904"/>
    <w:rsid w:val="00576E8E"/>
    <w:rsid w:val="0057747F"/>
    <w:rsid w:val="00581B75"/>
    <w:rsid w:val="00582614"/>
    <w:rsid w:val="0058378F"/>
    <w:rsid w:val="0058594A"/>
    <w:rsid w:val="005907C0"/>
    <w:rsid w:val="005930F9"/>
    <w:rsid w:val="00593A16"/>
    <w:rsid w:val="005967AA"/>
    <w:rsid w:val="00597AFB"/>
    <w:rsid w:val="005A1035"/>
    <w:rsid w:val="005A241A"/>
    <w:rsid w:val="005A2C45"/>
    <w:rsid w:val="005A333A"/>
    <w:rsid w:val="005A5F4F"/>
    <w:rsid w:val="005A6C6D"/>
    <w:rsid w:val="005B219D"/>
    <w:rsid w:val="005B236F"/>
    <w:rsid w:val="005B71A8"/>
    <w:rsid w:val="005B7FD5"/>
    <w:rsid w:val="005C182A"/>
    <w:rsid w:val="005C2FE0"/>
    <w:rsid w:val="005C4FC3"/>
    <w:rsid w:val="005C6EB0"/>
    <w:rsid w:val="005D2160"/>
    <w:rsid w:val="005D23AC"/>
    <w:rsid w:val="005D4BBC"/>
    <w:rsid w:val="005D61AC"/>
    <w:rsid w:val="005D7DF3"/>
    <w:rsid w:val="005E18D9"/>
    <w:rsid w:val="005E1C6C"/>
    <w:rsid w:val="005E2669"/>
    <w:rsid w:val="005E2862"/>
    <w:rsid w:val="005E3963"/>
    <w:rsid w:val="005F1DC0"/>
    <w:rsid w:val="005F2194"/>
    <w:rsid w:val="005F26E8"/>
    <w:rsid w:val="005F2B08"/>
    <w:rsid w:val="005F52DA"/>
    <w:rsid w:val="00600535"/>
    <w:rsid w:val="0060144D"/>
    <w:rsid w:val="00601803"/>
    <w:rsid w:val="00601D56"/>
    <w:rsid w:val="00604D94"/>
    <w:rsid w:val="00606DAB"/>
    <w:rsid w:val="006103BB"/>
    <w:rsid w:val="00617480"/>
    <w:rsid w:val="0062244F"/>
    <w:rsid w:val="0063052E"/>
    <w:rsid w:val="00635AA5"/>
    <w:rsid w:val="00636FAE"/>
    <w:rsid w:val="006421D6"/>
    <w:rsid w:val="006443E3"/>
    <w:rsid w:val="0064610E"/>
    <w:rsid w:val="0064622F"/>
    <w:rsid w:val="00646CC7"/>
    <w:rsid w:val="00647953"/>
    <w:rsid w:val="0065044F"/>
    <w:rsid w:val="00652562"/>
    <w:rsid w:val="00655965"/>
    <w:rsid w:val="0066051E"/>
    <w:rsid w:val="0066082A"/>
    <w:rsid w:val="006625E5"/>
    <w:rsid w:val="0066610F"/>
    <w:rsid w:val="00666333"/>
    <w:rsid w:val="00671382"/>
    <w:rsid w:val="006730D2"/>
    <w:rsid w:val="006765E0"/>
    <w:rsid w:val="006776F9"/>
    <w:rsid w:val="006808EF"/>
    <w:rsid w:val="0068331C"/>
    <w:rsid w:val="00683BC1"/>
    <w:rsid w:val="00683F38"/>
    <w:rsid w:val="006842AB"/>
    <w:rsid w:val="00686A07"/>
    <w:rsid w:val="00686AEE"/>
    <w:rsid w:val="00687B89"/>
    <w:rsid w:val="00691EF2"/>
    <w:rsid w:val="0069697C"/>
    <w:rsid w:val="006976ED"/>
    <w:rsid w:val="006979A8"/>
    <w:rsid w:val="006A37BE"/>
    <w:rsid w:val="006A6928"/>
    <w:rsid w:val="006A70DE"/>
    <w:rsid w:val="006A7DCB"/>
    <w:rsid w:val="006B0D93"/>
    <w:rsid w:val="006B50C7"/>
    <w:rsid w:val="006B5E08"/>
    <w:rsid w:val="006C42C8"/>
    <w:rsid w:val="006C59A0"/>
    <w:rsid w:val="006C5B3D"/>
    <w:rsid w:val="006C6DF8"/>
    <w:rsid w:val="006D1D28"/>
    <w:rsid w:val="006D39F6"/>
    <w:rsid w:val="006D5027"/>
    <w:rsid w:val="006D79AC"/>
    <w:rsid w:val="006D7C28"/>
    <w:rsid w:val="006E14E2"/>
    <w:rsid w:val="006E3D69"/>
    <w:rsid w:val="006E4AF5"/>
    <w:rsid w:val="006F0B7B"/>
    <w:rsid w:val="006F2BC6"/>
    <w:rsid w:val="006F353F"/>
    <w:rsid w:val="006F3F1A"/>
    <w:rsid w:val="006F594E"/>
    <w:rsid w:val="00700478"/>
    <w:rsid w:val="00705F68"/>
    <w:rsid w:val="00706706"/>
    <w:rsid w:val="00707C99"/>
    <w:rsid w:val="007163C3"/>
    <w:rsid w:val="00721738"/>
    <w:rsid w:val="00721B40"/>
    <w:rsid w:val="00722F2B"/>
    <w:rsid w:val="007261E3"/>
    <w:rsid w:val="00727F3A"/>
    <w:rsid w:val="00732391"/>
    <w:rsid w:val="007354C2"/>
    <w:rsid w:val="007364EF"/>
    <w:rsid w:val="007378E4"/>
    <w:rsid w:val="00737ED9"/>
    <w:rsid w:val="00742309"/>
    <w:rsid w:val="0074415F"/>
    <w:rsid w:val="00746968"/>
    <w:rsid w:val="00747E7B"/>
    <w:rsid w:val="00754042"/>
    <w:rsid w:val="007548C8"/>
    <w:rsid w:val="00754F43"/>
    <w:rsid w:val="007557BE"/>
    <w:rsid w:val="00756BA3"/>
    <w:rsid w:val="00757406"/>
    <w:rsid w:val="00761B5B"/>
    <w:rsid w:val="00762812"/>
    <w:rsid w:val="007661D0"/>
    <w:rsid w:val="007703F6"/>
    <w:rsid w:val="00770FA5"/>
    <w:rsid w:val="007772A2"/>
    <w:rsid w:val="007822B3"/>
    <w:rsid w:val="00782C54"/>
    <w:rsid w:val="0079107D"/>
    <w:rsid w:val="00792BDD"/>
    <w:rsid w:val="00793D5B"/>
    <w:rsid w:val="007A13DB"/>
    <w:rsid w:val="007A4D04"/>
    <w:rsid w:val="007A6725"/>
    <w:rsid w:val="007B0C7C"/>
    <w:rsid w:val="007B16CB"/>
    <w:rsid w:val="007B3DA6"/>
    <w:rsid w:val="007B602D"/>
    <w:rsid w:val="007B6138"/>
    <w:rsid w:val="007B6F33"/>
    <w:rsid w:val="007B7B0E"/>
    <w:rsid w:val="007C0D0F"/>
    <w:rsid w:val="007C1D59"/>
    <w:rsid w:val="007C2EBC"/>
    <w:rsid w:val="007C5B33"/>
    <w:rsid w:val="007C6484"/>
    <w:rsid w:val="007D05C8"/>
    <w:rsid w:val="007D0ACA"/>
    <w:rsid w:val="007D4C22"/>
    <w:rsid w:val="007D5632"/>
    <w:rsid w:val="007D5F90"/>
    <w:rsid w:val="007E122C"/>
    <w:rsid w:val="007E4598"/>
    <w:rsid w:val="007E64AE"/>
    <w:rsid w:val="007E6CBC"/>
    <w:rsid w:val="007F0DB0"/>
    <w:rsid w:val="007F5A7F"/>
    <w:rsid w:val="007F6A45"/>
    <w:rsid w:val="007F6F9C"/>
    <w:rsid w:val="007F797E"/>
    <w:rsid w:val="00800E7F"/>
    <w:rsid w:val="008022D6"/>
    <w:rsid w:val="00811C5F"/>
    <w:rsid w:val="0081419D"/>
    <w:rsid w:val="008144A9"/>
    <w:rsid w:val="008207A9"/>
    <w:rsid w:val="00820C1D"/>
    <w:rsid w:val="00823990"/>
    <w:rsid w:val="0082505A"/>
    <w:rsid w:val="00832273"/>
    <w:rsid w:val="00832B9A"/>
    <w:rsid w:val="00834A3D"/>
    <w:rsid w:val="008401CC"/>
    <w:rsid w:val="00842A22"/>
    <w:rsid w:val="00843A89"/>
    <w:rsid w:val="00854CA1"/>
    <w:rsid w:val="00855B67"/>
    <w:rsid w:val="008562BA"/>
    <w:rsid w:val="00860DCD"/>
    <w:rsid w:val="00861BFF"/>
    <w:rsid w:val="00865716"/>
    <w:rsid w:val="00866F18"/>
    <w:rsid w:val="008679E1"/>
    <w:rsid w:val="00867B6E"/>
    <w:rsid w:val="00867BC2"/>
    <w:rsid w:val="00867C6A"/>
    <w:rsid w:val="008718ED"/>
    <w:rsid w:val="008729E8"/>
    <w:rsid w:val="00872C9E"/>
    <w:rsid w:val="00873112"/>
    <w:rsid w:val="00874832"/>
    <w:rsid w:val="008754FE"/>
    <w:rsid w:val="00876B10"/>
    <w:rsid w:val="00876C2F"/>
    <w:rsid w:val="008901C6"/>
    <w:rsid w:val="00892FF3"/>
    <w:rsid w:val="00894F25"/>
    <w:rsid w:val="0089639F"/>
    <w:rsid w:val="00896972"/>
    <w:rsid w:val="0089742F"/>
    <w:rsid w:val="008A0314"/>
    <w:rsid w:val="008A304A"/>
    <w:rsid w:val="008B0BC0"/>
    <w:rsid w:val="008B0CBA"/>
    <w:rsid w:val="008B4264"/>
    <w:rsid w:val="008C276F"/>
    <w:rsid w:val="008C2D12"/>
    <w:rsid w:val="008C5A5B"/>
    <w:rsid w:val="008D13D1"/>
    <w:rsid w:val="008D37C4"/>
    <w:rsid w:val="008D3A46"/>
    <w:rsid w:val="008E2E7B"/>
    <w:rsid w:val="008E36C3"/>
    <w:rsid w:val="008E44D8"/>
    <w:rsid w:val="008E558B"/>
    <w:rsid w:val="008E694E"/>
    <w:rsid w:val="008F2295"/>
    <w:rsid w:val="008F5EE4"/>
    <w:rsid w:val="008F72EC"/>
    <w:rsid w:val="00906105"/>
    <w:rsid w:val="00906D1E"/>
    <w:rsid w:val="00912159"/>
    <w:rsid w:val="00916839"/>
    <w:rsid w:val="00930DA1"/>
    <w:rsid w:val="00932A92"/>
    <w:rsid w:val="00933CFE"/>
    <w:rsid w:val="00935555"/>
    <w:rsid w:val="00937AEF"/>
    <w:rsid w:val="009424F1"/>
    <w:rsid w:val="0095004A"/>
    <w:rsid w:val="0095220B"/>
    <w:rsid w:val="00953E9D"/>
    <w:rsid w:val="0095525E"/>
    <w:rsid w:val="00957344"/>
    <w:rsid w:val="009578B6"/>
    <w:rsid w:val="009602FB"/>
    <w:rsid w:val="00960D72"/>
    <w:rsid w:val="009624F2"/>
    <w:rsid w:val="00962505"/>
    <w:rsid w:val="00965BB8"/>
    <w:rsid w:val="00967CA8"/>
    <w:rsid w:val="00975B9F"/>
    <w:rsid w:val="009809BC"/>
    <w:rsid w:val="0098263F"/>
    <w:rsid w:val="00982E23"/>
    <w:rsid w:val="00983551"/>
    <w:rsid w:val="00983F4A"/>
    <w:rsid w:val="00985CF9"/>
    <w:rsid w:val="009869B7"/>
    <w:rsid w:val="00987D9F"/>
    <w:rsid w:val="00993097"/>
    <w:rsid w:val="00997309"/>
    <w:rsid w:val="009978EE"/>
    <w:rsid w:val="009A0982"/>
    <w:rsid w:val="009A0E18"/>
    <w:rsid w:val="009A33FF"/>
    <w:rsid w:val="009B0B57"/>
    <w:rsid w:val="009C0C44"/>
    <w:rsid w:val="009C22EF"/>
    <w:rsid w:val="009C3896"/>
    <w:rsid w:val="009C4861"/>
    <w:rsid w:val="009C62E6"/>
    <w:rsid w:val="009D0A88"/>
    <w:rsid w:val="009D1FE5"/>
    <w:rsid w:val="009D29DF"/>
    <w:rsid w:val="009D6FEA"/>
    <w:rsid w:val="009E2692"/>
    <w:rsid w:val="009E7B54"/>
    <w:rsid w:val="009F01AD"/>
    <w:rsid w:val="009F1E7F"/>
    <w:rsid w:val="009F2310"/>
    <w:rsid w:val="009F5BB0"/>
    <w:rsid w:val="009F6E2F"/>
    <w:rsid w:val="00A007D7"/>
    <w:rsid w:val="00A02B87"/>
    <w:rsid w:val="00A05811"/>
    <w:rsid w:val="00A05AF6"/>
    <w:rsid w:val="00A05D4B"/>
    <w:rsid w:val="00A078DA"/>
    <w:rsid w:val="00A13342"/>
    <w:rsid w:val="00A2382D"/>
    <w:rsid w:val="00A243A3"/>
    <w:rsid w:val="00A24A78"/>
    <w:rsid w:val="00A33965"/>
    <w:rsid w:val="00A34E25"/>
    <w:rsid w:val="00A36148"/>
    <w:rsid w:val="00A502BD"/>
    <w:rsid w:val="00A530E1"/>
    <w:rsid w:val="00A55104"/>
    <w:rsid w:val="00A555A6"/>
    <w:rsid w:val="00A708A1"/>
    <w:rsid w:val="00A72E96"/>
    <w:rsid w:val="00A73DD0"/>
    <w:rsid w:val="00A7481F"/>
    <w:rsid w:val="00A7500E"/>
    <w:rsid w:val="00A75FF5"/>
    <w:rsid w:val="00A761D9"/>
    <w:rsid w:val="00A8013C"/>
    <w:rsid w:val="00A80560"/>
    <w:rsid w:val="00A818F0"/>
    <w:rsid w:val="00A83F50"/>
    <w:rsid w:val="00A86E74"/>
    <w:rsid w:val="00A900FD"/>
    <w:rsid w:val="00A92423"/>
    <w:rsid w:val="00A943CD"/>
    <w:rsid w:val="00A96389"/>
    <w:rsid w:val="00AA0402"/>
    <w:rsid w:val="00AA23F2"/>
    <w:rsid w:val="00AA2F93"/>
    <w:rsid w:val="00AA31DE"/>
    <w:rsid w:val="00AA32AE"/>
    <w:rsid w:val="00AA486A"/>
    <w:rsid w:val="00AA4FC6"/>
    <w:rsid w:val="00AA522D"/>
    <w:rsid w:val="00AB01B2"/>
    <w:rsid w:val="00AB0852"/>
    <w:rsid w:val="00AB0B44"/>
    <w:rsid w:val="00AB21F8"/>
    <w:rsid w:val="00AB3E5B"/>
    <w:rsid w:val="00AB6619"/>
    <w:rsid w:val="00AC1019"/>
    <w:rsid w:val="00AC5726"/>
    <w:rsid w:val="00AC5E9F"/>
    <w:rsid w:val="00AD2CE0"/>
    <w:rsid w:val="00AD3C2D"/>
    <w:rsid w:val="00AD48E7"/>
    <w:rsid w:val="00AD7621"/>
    <w:rsid w:val="00AD798B"/>
    <w:rsid w:val="00AD7A66"/>
    <w:rsid w:val="00AD7B0F"/>
    <w:rsid w:val="00AD7E0E"/>
    <w:rsid w:val="00AE34CA"/>
    <w:rsid w:val="00AE5593"/>
    <w:rsid w:val="00AE6200"/>
    <w:rsid w:val="00AF2517"/>
    <w:rsid w:val="00AF2E99"/>
    <w:rsid w:val="00AF5327"/>
    <w:rsid w:val="00AF6B2C"/>
    <w:rsid w:val="00B00FD8"/>
    <w:rsid w:val="00B02318"/>
    <w:rsid w:val="00B05306"/>
    <w:rsid w:val="00B07C00"/>
    <w:rsid w:val="00B1062D"/>
    <w:rsid w:val="00B10ABF"/>
    <w:rsid w:val="00B10C5D"/>
    <w:rsid w:val="00B12034"/>
    <w:rsid w:val="00B1355B"/>
    <w:rsid w:val="00B1528D"/>
    <w:rsid w:val="00B24EC5"/>
    <w:rsid w:val="00B27DB9"/>
    <w:rsid w:val="00B31564"/>
    <w:rsid w:val="00B31AC0"/>
    <w:rsid w:val="00B41C2C"/>
    <w:rsid w:val="00B431E9"/>
    <w:rsid w:val="00B435E6"/>
    <w:rsid w:val="00B44209"/>
    <w:rsid w:val="00B44857"/>
    <w:rsid w:val="00B46A2A"/>
    <w:rsid w:val="00B53DC9"/>
    <w:rsid w:val="00B572A4"/>
    <w:rsid w:val="00B600A6"/>
    <w:rsid w:val="00B6202B"/>
    <w:rsid w:val="00B6464F"/>
    <w:rsid w:val="00B70087"/>
    <w:rsid w:val="00B71F03"/>
    <w:rsid w:val="00B74583"/>
    <w:rsid w:val="00B74931"/>
    <w:rsid w:val="00B808A6"/>
    <w:rsid w:val="00B80A42"/>
    <w:rsid w:val="00B80F79"/>
    <w:rsid w:val="00B818EC"/>
    <w:rsid w:val="00B820A5"/>
    <w:rsid w:val="00B83CF0"/>
    <w:rsid w:val="00B8474E"/>
    <w:rsid w:val="00B862EA"/>
    <w:rsid w:val="00B87579"/>
    <w:rsid w:val="00B87E89"/>
    <w:rsid w:val="00B912C6"/>
    <w:rsid w:val="00B9477C"/>
    <w:rsid w:val="00B94FF7"/>
    <w:rsid w:val="00B97AA1"/>
    <w:rsid w:val="00BA16E7"/>
    <w:rsid w:val="00BA4BF7"/>
    <w:rsid w:val="00BA6407"/>
    <w:rsid w:val="00BB400A"/>
    <w:rsid w:val="00BB7826"/>
    <w:rsid w:val="00BC1B6B"/>
    <w:rsid w:val="00BC5E01"/>
    <w:rsid w:val="00BC5E5D"/>
    <w:rsid w:val="00BC7B16"/>
    <w:rsid w:val="00BC7EEE"/>
    <w:rsid w:val="00BD18DC"/>
    <w:rsid w:val="00BD2508"/>
    <w:rsid w:val="00BD4CA4"/>
    <w:rsid w:val="00BD594F"/>
    <w:rsid w:val="00BD6181"/>
    <w:rsid w:val="00BD761D"/>
    <w:rsid w:val="00BE13AE"/>
    <w:rsid w:val="00BE4E16"/>
    <w:rsid w:val="00BE4E5E"/>
    <w:rsid w:val="00BF00FB"/>
    <w:rsid w:val="00BF1A1B"/>
    <w:rsid w:val="00BF25D1"/>
    <w:rsid w:val="00BF2DC8"/>
    <w:rsid w:val="00BF3354"/>
    <w:rsid w:val="00BF3532"/>
    <w:rsid w:val="00BF4934"/>
    <w:rsid w:val="00BF4D4D"/>
    <w:rsid w:val="00BF7037"/>
    <w:rsid w:val="00BF7B07"/>
    <w:rsid w:val="00BF7CED"/>
    <w:rsid w:val="00C018BC"/>
    <w:rsid w:val="00C02835"/>
    <w:rsid w:val="00C0349C"/>
    <w:rsid w:val="00C044E7"/>
    <w:rsid w:val="00C0763E"/>
    <w:rsid w:val="00C11BB7"/>
    <w:rsid w:val="00C15180"/>
    <w:rsid w:val="00C15BA3"/>
    <w:rsid w:val="00C23CD5"/>
    <w:rsid w:val="00C25D07"/>
    <w:rsid w:val="00C33326"/>
    <w:rsid w:val="00C354C8"/>
    <w:rsid w:val="00C40D8B"/>
    <w:rsid w:val="00C41B5D"/>
    <w:rsid w:val="00C42A6E"/>
    <w:rsid w:val="00C52F5F"/>
    <w:rsid w:val="00C55D00"/>
    <w:rsid w:val="00C6093B"/>
    <w:rsid w:val="00C62CE8"/>
    <w:rsid w:val="00C63820"/>
    <w:rsid w:val="00C64100"/>
    <w:rsid w:val="00C64EDB"/>
    <w:rsid w:val="00C67675"/>
    <w:rsid w:val="00C71CD4"/>
    <w:rsid w:val="00C72C83"/>
    <w:rsid w:val="00C8035C"/>
    <w:rsid w:val="00C809C2"/>
    <w:rsid w:val="00C812C8"/>
    <w:rsid w:val="00C83BC4"/>
    <w:rsid w:val="00C8403D"/>
    <w:rsid w:val="00CA101A"/>
    <w:rsid w:val="00CA155A"/>
    <w:rsid w:val="00CA1F95"/>
    <w:rsid w:val="00CA3D21"/>
    <w:rsid w:val="00CA4487"/>
    <w:rsid w:val="00CA4A8D"/>
    <w:rsid w:val="00CB277B"/>
    <w:rsid w:val="00CB342D"/>
    <w:rsid w:val="00CB7061"/>
    <w:rsid w:val="00CB7FED"/>
    <w:rsid w:val="00CC14C3"/>
    <w:rsid w:val="00CC1905"/>
    <w:rsid w:val="00CC4BF0"/>
    <w:rsid w:val="00CC7D49"/>
    <w:rsid w:val="00CD1D82"/>
    <w:rsid w:val="00CD2ECF"/>
    <w:rsid w:val="00CD4C03"/>
    <w:rsid w:val="00CE081F"/>
    <w:rsid w:val="00CE7D79"/>
    <w:rsid w:val="00CF1D77"/>
    <w:rsid w:val="00CF3BDF"/>
    <w:rsid w:val="00CF551D"/>
    <w:rsid w:val="00D0055B"/>
    <w:rsid w:val="00D00CB0"/>
    <w:rsid w:val="00D010EB"/>
    <w:rsid w:val="00D012D1"/>
    <w:rsid w:val="00D02572"/>
    <w:rsid w:val="00D031AF"/>
    <w:rsid w:val="00D049C6"/>
    <w:rsid w:val="00D04CDF"/>
    <w:rsid w:val="00D057E7"/>
    <w:rsid w:val="00D074D6"/>
    <w:rsid w:val="00D1154B"/>
    <w:rsid w:val="00D127D3"/>
    <w:rsid w:val="00D12B1D"/>
    <w:rsid w:val="00D14B30"/>
    <w:rsid w:val="00D15BBF"/>
    <w:rsid w:val="00D15D60"/>
    <w:rsid w:val="00D16ADA"/>
    <w:rsid w:val="00D2033E"/>
    <w:rsid w:val="00D2194F"/>
    <w:rsid w:val="00D220F3"/>
    <w:rsid w:val="00D238A6"/>
    <w:rsid w:val="00D2696D"/>
    <w:rsid w:val="00D301A0"/>
    <w:rsid w:val="00D33917"/>
    <w:rsid w:val="00D35FDA"/>
    <w:rsid w:val="00D36289"/>
    <w:rsid w:val="00D36F26"/>
    <w:rsid w:val="00D37DB3"/>
    <w:rsid w:val="00D37E45"/>
    <w:rsid w:val="00D422E9"/>
    <w:rsid w:val="00D454F3"/>
    <w:rsid w:val="00D478BF"/>
    <w:rsid w:val="00D51EDF"/>
    <w:rsid w:val="00D55BF6"/>
    <w:rsid w:val="00D566DA"/>
    <w:rsid w:val="00D56B61"/>
    <w:rsid w:val="00D61C19"/>
    <w:rsid w:val="00D651C3"/>
    <w:rsid w:val="00D65ECA"/>
    <w:rsid w:val="00D6633F"/>
    <w:rsid w:val="00D66C9D"/>
    <w:rsid w:val="00D74D33"/>
    <w:rsid w:val="00D75C14"/>
    <w:rsid w:val="00D76771"/>
    <w:rsid w:val="00D77768"/>
    <w:rsid w:val="00D802EA"/>
    <w:rsid w:val="00D806C4"/>
    <w:rsid w:val="00D82360"/>
    <w:rsid w:val="00D84018"/>
    <w:rsid w:val="00D84308"/>
    <w:rsid w:val="00D84F1A"/>
    <w:rsid w:val="00D85268"/>
    <w:rsid w:val="00D85FC4"/>
    <w:rsid w:val="00D909D7"/>
    <w:rsid w:val="00D93979"/>
    <w:rsid w:val="00D96D62"/>
    <w:rsid w:val="00DA1A68"/>
    <w:rsid w:val="00DA5EF0"/>
    <w:rsid w:val="00DA70FC"/>
    <w:rsid w:val="00DB1922"/>
    <w:rsid w:val="00DC1D88"/>
    <w:rsid w:val="00DC6249"/>
    <w:rsid w:val="00DD125B"/>
    <w:rsid w:val="00DD2098"/>
    <w:rsid w:val="00DD3EC5"/>
    <w:rsid w:val="00DD4B2D"/>
    <w:rsid w:val="00DE438F"/>
    <w:rsid w:val="00DE6CD8"/>
    <w:rsid w:val="00DF0A21"/>
    <w:rsid w:val="00DF43BB"/>
    <w:rsid w:val="00DF541D"/>
    <w:rsid w:val="00DF5BDA"/>
    <w:rsid w:val="00E013EF"/>
    <w:rsid w:val="00E01A29"/>
    <w:rsid w:val="00E064E3"/>
    <w:rsid w:val="00E06C0C"/>
    <w:rsid w:val="00E14C1C"/>
    <w:rsid w:val="00E16A07"/>
    <w:rsid w:val="00E26D2C"/>
    <w:rsid w:val="00E33096"/>
    <w:rsid w:val="00E3416D"/>
    <w:rsid w:val="00E34D15"/>
    <w:rsid w:val="00E34F98"/>
    <w:rsid w:val="00E3656A"/>
    <w:rsid w:val="00E37998"/>
    <w:rsid w:val="00E44CD1"/>
    <w:rsid w:val="00E44E76"/>
    <w:rsid w:val="00E4556D"/>
    <w:rsid w:val="00E512D0"/>
    <w:rsid w:val="00E517CF"/>
    <w:rsid w:val="00E55F00"/>
    <w:rsid w:val="00E57A0A"/>
    <w:rsid w:val="00E62603"/>
    <w:rsid w:val="00E62A9F"/>
    <w:rsid w:val="00E65702"/>
    <w:rsid w:val="00E70091"/>
    <w:rsid w:val="00E70CB3"/>
    <w:rsid w:val="00E715B7"/>
    <w:rsid w:val="00E72258"/>
    <w:rsid w:val="00E724F0"/>
    <w:rsid w:val="00E73A65"/>
    <w:rsid w:val="00E8555F"/>
    <w:rsid w:val="00E861DB"/>
    <w:rsid w:val="00EA20FB"/>
    <w:rsid w:val="00EA3F29"/>
    <w:rsid w:val="00EA612D"/>
    <w:rsid w:val="00EA68D0"/>
    <w:rsid w:val="00EB093F"/>
    <w:rsid w:val="00EB2A92"/>
    <w:rsid w:val="00EB741E"/>
    <w:rsid w:val="00EB7DC6"/>
    <w:rsid w:val="00EC0429"/>
    <w:rsid w:val="00EC3F40"/>
    <w:rsid w:val="00EC64EF"/>
    <w:rsid w:val="00ED1F52"/>
    <w:rsid w:val="00EE171B"/>
    <w:rsid w:val="00EE2E3C"/>
    <w:rsid w:val="00EF17CD"/>
    <w:rsid w:val="00EF37A2"/>
    <w:rsid w:val="00EF57A6"/>
    <w:rsid w:val="00EF5C01"/>
    <w:rsid w:val="00F00089"/>
    <w:rsid w:val="00F000E8"/>
    <w:rsid w:val="00F00F2E"/>
    <w:rsid w:val="00F01E1C"/>
    <w:rsid w:val="00F02628"/>
    <w:rsid w:val="00F1489D"/>
    <w:rsid w:val="00F14DA7"/>
    <w:rsid w:val="00F16EF0"/>
    <w:rsid w:val="00F2502B"/>
    <w:rsid w:val="00F32EFC"/>
    <w:rsid w:val="00F32FF7"/>
    <w:rsid w:val="00F362B2"/>
    <w:rsid w:val="00F40B0B"/>
    <w:rsid w:val="00F445BF"/>
    <w:rsid w:val="00F469D2"/>
    <w:rsid w:val="00F47908"/>
    <w:rsid w:val="00F50C46"/>
    <w:rsid w:val="00F54C01"/>
    <w:rsid w:val="00F5773C"/>
    <w:rsid w:val="00F578E6"/>
    <w:rsid w:val="00F57C93"/>
    <w:rsid w:val="00F6198D"/>
    <w:rsid w:val="00F64D77"/>
    <w:rsid w:val="00F6657C"/>
    <w:rsid w:val="00F750D3"/>
    <w:rsid w:val="00F75E45"/>
    <w:rsid w:val="00F81A33"/>
    <w:rsid w:val="00F8211E"/>
    <w:rsid w:val="00F84CC9"/>
    <w:rsid w:val="00F926ED"/>
    <w:rsid w:val="00FA12F6"/>
    <w:rsid w:val="00FA1E1D"/>
    <w:rsid w:val="00FA27A7"/>
    <w:rsid w:val="00FA4989"/>
    <w:rsid w:val="00FA6051"/>
    <w:rsid w:val="00FB0091"/>
    <w:rsid w:val="00FB290C"/>
    <w:rsid w:val="00FB4100"/>
    <w:rsid w:val="00FB5CE4"/>
    <w:rsid w:val="00FB6D12"/>
    <w:rsid w:val="00FC14E7"/>
    <w:rsid w:val="00FC1558"/>
    <w:rsid w:val="00FC1DA6"/>
    <w:rsid w:val="00FC4370"/>
    <w:rsid w:val="00FC45DD"/>
    <w:rsid w:val="00FC4A65"/>
    <w:rsid w:val="00FC6877"/>
    <w:rsid w:val="00FC6B38"/>
    <w:rsid w:val="00FC7623"/>
    <w:rsid w:val="00FC7C23"/>
    <w:rsid w:val="00FD041A"/>
    <w:rsid w:val="00FD0A5F"/>
    <w:rsid w:val="00FD37DC"/>
    <w:rsid w:val="00FE1015"/>
    <w:rsid w:val="00FE3664"/>
    <w:rsid w:val="00FE3739"/>
    <w:rsid w:val="00FF1F05"/>
    <w:rsid w:val="00FF297D"/>
    <w:rsid w:val="00FF2A66"/>
    <w:rsid w:val="00FF4A3A"/>
    <w:rsid w:val="00FF5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BA3"/>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6BA3"/>
    <w:pPr>
      <w:tabs>
        <w:tab w:val="center" w:pos="4320"/>
        <w:tab w:val="right" w:pos="8640"/>
      </w:tabs>
    </w:pPr>
  </w:style>
  <w:style w:type="paragraph" w:styleId="Footer">
    <w:name w:val="footer"/>
    <w:basedOn w:val="Normal"/>
    <w:link w:val="FooterChar"/>
    <w:uiPriority w:val="99"/>
    <w:rsid w:val="00756BA3"/>
    <w:pPr>
      <w:tabs>
        <w:tab w:val="center" w:pos="4320"/>
        <w:tab w:val="right" w:pos="8640"/>
      </w:tabs>
    </w:pPr>
  </w:style>
  <w:style w:type="character" w:styleId="PageNumber">
    <w:name w:val="page number"/>
    <w:basedOn w:val="DefaultParagraphFont"/>
    <w:rsid w:val="00756BA3"/>
  </w:style>
  <w:style w:type="paragraph" w:styleId="FootnoteText">
    <w:name w:val="footnote text"/>
    <w:basedOn w:val="Normal"/>
    <w:semiHidden/>
    <w:rsid w:val="00756BA3"/>
    <w:rPr>
      <w:sz w:val="20"/>
    </w:rPr>
  </w:style>
  <w:style w:type="character" w:styleId="FootnoteReference">
    <w:name w:val="footnote reference"/>
    <w:basedOn w:val="DefaultParagraphFont"/>
    <w:semiHidden/>
    <w:rsid w:val="00756BA3"/>
    <w:rPr>
      <w:vertAlign w:val="superscript"/>
    </w:rPr>
  </w:style>
  <w:style w:type="paragraph" w:styleId="BalloonText">
    <w:name w:val="Balloon Text"/>
    <w:basedOn w:val="Normal"/>
    <w:semiHidden/>
    <w:rsid w:val="0008061B"/>
    <w:rPr>
      <w:rFonts w:ascii="Tahoma" w:hAnsi="Tahoma" w:cs="Tahoma"/>
      <w:sz w:val="16"/>
      <w:szCs w:val="16"/>
    </w:rPr>
  </w:style>
  <w:style w:type="paragraph" w:styleId="ListParagraph">
    <w:name w:val="List Paragraph"/>
    <w:basedOn w:val="Normal"/>
    <w:uiPriority w:val="34"/>
    <w:qFormat/>
    <w:rsid w:val="003A1670"/>
    <w:pPr>
      <w:ind w:left="720"/>
      <w:contextualSpacing/>
    </w:pPr>
  </w:style>
  <w:style w:type="character" w:customStyle="1" w:styleId="HeaderChar">
    <w:name w:val="Header Char"/>
    <w:basedOn w:val="DefaultParagraphFont"/>
    <w:link w:val="Header"/>
    <w:uiPriority w:val="99"/>
    <w:rsid w:val="0068331C"/>
    <w:rPr>
      <w:color w:val="000000"/>
      <w:sz w:val="26"/>
    </w:rPr>
  </w:style>
  <w:style w:type="character" w:customStyle="1" w:styleId="FooterChar">
    <w:name w:val="Footer Char"/>
    <w:basedOn w:val="DefaultParagraphFont"/>
    <w:link w:val="Footer"/>
    <w:uiPriority w:val="99"/>
    <w:rsid w:val="0033011E"/>
    <w:rPr>
      <w:color w:val="000000"/>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8BC42-FC34-47A6-8102-8E52A02B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2755</TotalTime>
  <Pages>9</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14392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subject/>
  <dc:creator>DEICHMILLERH</dc:creator>
  <cp:keywords/>
  <cp:lastModifiedBy>Administrator</cp:lastModifiedBy>
  <cp:revision>303</cp:revision>
  <cp:lastPrinted>2010-09-16T14:41:00Z</cp:lastPrinted>
  <dcterms:created xsi:type="dcterms:W3CDTF">2010-04-28T13:11:00Z</dcterms:created>
  <dcterms:modified xsi:type="dcterms:W3CDTF">2010-09-16T14:42:00Z</dcterms:modified>
</cp:coreProperties>
</file>