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856"/>
      </w:tblGrid>
      <w:tr w:rsidR="00626886" w:rsidRPr="006709A0" w:rsidTr="00F76BC5">
        <w:trPr>
          <w:cantSplit/>
        </w:trPr>
        <w:tc>
          <w:tcPr>
            <w:tcW w:w="8856" w:type="dxa"/>
          </w:tcPr>
          <w:p w:rsidR="00626886" w:rsidRPr="006709A0" w:rsidRDefault="00626886" w:rsidP="00F76BC5">
            <w:pPr>
              <w:pStyle w:val="Heading2"/>
              <w:rPr>
                <w:rFonts w:ascii="Times New Roman" w:hAnsi="Times New Roman"/>
                <w:szCs w:val="24"/>
              </w:rPr>
            </w:pPr>
            <w:r w:rsidRPr="006709A0">
              <w:rPr>
                <w:rFonts w:ascii="Times New Roman" w:hAnsi="Times New Roman"/>
                <w:szCs w:val="24"/>
              </w:rPr>
              <w:t>PENNSYLVANIA PUBLIC UTILITY COMMISSION</w:t>
            </w:r>
          </w:p>
          <w:p w:rsidR="00626886" w:rsidRPr="006709A0" w:rsidRDefault="00626886" w:rsidP="00F76BC5">
            <w:pPr>
              <w:jc w:val="center"/>
              <w:rPr>
                <w:b/>
                <w:sz w:val="24"/>
                <w:szCs w:val="24"/>
              </w:rPr>
            </w:pPr>
            <w:r w:rsidRPr="006709A0">
              <w:rPr>
                <w:b/>
                <w:sz w:val="24"/>
                <w:szCs w:val="24"/>
              </w:rPr>
              <w:t>HARRISBURG, PENNSYLVANIA  17120</w:t>
            </w:r>
          </w:p>
          <w:p w:rsidR="00626886" w:rsidRPr="006709A0" w:rsidRDefault="00626886" w:rsidP="00F76BC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6886" w:rsidRPr="006709A0" w:rsidRDefault="00626886" w:rsidP="00626886">
      <w:pPr>
        <w:rPr>
          <w:sz w:val="24"/>
          <w:szCs w:val="24"/>
        </w:rPr>
        <w:sectPr w:rsidR="00626886" w:rsidRPr="006709A0" w:rsidSect="00285985">
          <w:footerReference w:type="even" r:id="rId6"/>
          <w:footerReference w:type="default" r:id="rId7"/>
          <w:footnotePr>
            <w:numFmt w:val="chicago"/>
          </w:footnotePr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0" w:type="auto"/>
        <w:tblLayout w:type="fixed"/>
        <w:tblLook w:val="0000"/>
      </w:tblPr>
      <w:tblGrid>
        <w:gridCol w:w="3978"/>
        <w:gridCol w:w="450"/>
        <w:gridCol w:w="4770"/>
      </w:tblGrid>
      <w:tr w:rsidR="00626886" w:rsidRPr="006709A0" w:rsidTr="00504B9B">
        <w:trPr>
          <w:cantSplit/>
        </w:trPr>
        <w:tc>
          <w:tcPr>
            <w:tcW w:w="3978" w:type="dxa"/>
          </w:tcPr>
          <w:p w:rsidR="00626886" w:rsidRPr="006709A0" w:rsidRDefault="007323F4" w:rsidP="00504B9B">
            <w:pPr>
              <w:rPr>
                <w:sz w:val="24"/>
                <w:szCs w:val="24"/>
              </w:rPr>
            </w:pPr>
            <w:r w:rsidRPr="006709A0">
              <w:rPr>
                <w:sz w:val="24"/>
                <w:szCs w:val="24"/>
              </w:rPr>
              <w:lastRenderedPageBreak/>
              <w:t>Policy Statement in Support of Pennsylvania Solar Projects</w:t>
            </w:r>
          </w:p>
        </w:tc>
        <w:tc>
          <w:tcPr>
            <w:tcW w:w="450" w:type="dxa"/>
          </w:tcPr>
          <w:p w:rsidR="00626886" w:rsidRPr="006709A0" w:rsidRDefault="00626886" w:rsidP="00F76BC5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626886" w:rsidRPr="006709A0" w:rsidRDefault="00626886" w:rsidP="00F76BC5">
            <w:pPr>
              <w:rPr>
                <w:sz w:val="24"/>
                <w:szCs w:val="24"/>
              </w:rPr>
            </w:pPr>
            <w:r w:rsidRPr="006709A0">
              <w:rPr>
                <w:sz w:val="24"/>
                <w:szCs w:val="24"/>
              </w:rPr>
              <w:t xml:space="preserve">Public Meeting </w:t>
            </w:r>
            <w:r w:rsidR="00504B9B" w:rsidRPr="006709A0">
              <w:rPr>
                <w:sz w:val="24"/>
                <w:szCs w:val="24"/>
              </w:rPr>
              <w:t>September 16, 2010</w:t>
            </w:r>
          </w:p>
          <w:p w:rsidR="00626886" w:rsidRPr="006709A0" w:rsidRDefault="007323F4" w:rsidP="00F76BC5">
            <w:pPr>
              <w:rPr>
                <w:sz w:val="24"/>
                <w:szCs w:val="24"/>
              </w:rPr>
            </w:pPr>
            <w:r w:rsidRPr="006709A0">
              <w:rPr>
                <w:sz w:val="24"/>
                <w:szCs w:val="24"/>
              </w:rPr>
              <w:t>2140263-LAW</w:t>
            </w:r>
          </w:p>
          <w:p w:rsidR="00626886" w:rsidRPr="006709A0" w:rsidRDefault="00626886" w:rsidP="00F76BC5">
            <w:pPr>
              <w:rPr>
                <w:i/>
                <w:sz w:val="24"/>
                <w:szCs w:val="24"/>
              </w:rPr>
            </w:pPr>
            <w:r w:rsidRPr="006709A0">
              <w:rPr>
                <w:sz w:val="24"/>
                <w:szCs w:val="24"/>
              </w:rPr>
              <w:t xml:space="preserve">Docket No. </w:t>
            </w:r>
            <w:r w:rsidR="007323F4" w:rsidRPr="006709A0">
              <w:rPr>
                <w:sz w:val="24"/>
                <w:szCs w:val="24"/>
              </w:rPr>
              <w:t>M-2009-2140263</w:t>
            </w:r>
          </w:p>
          <w:p w:rsidR="00626886" w:rsidRPr="006709A0" w:rsidRDefault="00626886" w:rsidP="00F76BC5">
            <w:pPr>
              <w:rPr>
                <w:sz w:val="24"/>
                <w:szCs w:val="24"/>
              </w:rPr>
            </w:pPr>
          </w:p>
          <w:p w:rsidR="00626886" w:rsidRPr="006709A0" w:rsidRDefault="00626886" w:rsidP="00F76BC5">
            <w:pPr>
              <w:rPr>
                <w:sz w:val="24"/>
                <w:szCs w:val="24"/>
              </w:rPr>
            </w:pPr>
          </w:p>
        </w:tc>
      </w:tr>
    </w:tbl>
    <w:p w:rsidR="00626886" w:rsidRPr="006709A0" w:rsidRDefault="0013061B" w:rsidP="006268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JOINT </w:t>
      </w:r>
      <w:r w:rsidR="00626886" w:rsidRPr="006709A0">
        <w:rPr>
          <w:b/>
          <w:sz w:val="24"/>
          <w:szCs w:val="24"/>
        </w:rPr>
        <w:t>STATEMENT OF</w:t>
      </w:r>
    </w:p>
    <w:p w:rsidR="00626886" w:rsidRPr="001205A9" w:rsidRDefault="00626886" w:rsidP="00626886">
      <w:pPr>
        <w:jc w:val="center"/>
        <w:rPr>
          <w:b/>
          <w:sz w:val="24"/>
          <w:szCs w:val="24"/>
        </w:rPr>
      </w:pPr>
      <w:r w:rsidRPr="001205A9">
        <w:rPr>
          <w:b/>
          <w:sz w:val="24"/>
          <w:szCs w:val="24"/>
        </w:rPr>
        <w:t>COMMISSIONER</w:t>
      </w:r>
      <w:r w:rsidR="0013061B" w:rsidRPr="001205A9">
        <w:rPr>
          <w:b/>
          <w:sz w:val="24"/>
          <w:szCs w:val="24"/>
        </w:rPr>
        <w:t>S</w:t>
      </w:r>
      <w:r w:rsidRPr="001205A9">
        <w:rPr>
          <w:b/>
          <w:sz w:val="24"/>
          <w:szCs w:val="24"/>
        </w:rPr>
        <w:t xml:space="preserve"> ROBERT F. POWELSON</w:t>
      </w:r>
    </w:p>
    <w:p w:rsidR="0013061B" w:rsidRPr="006709A0" w:rsidRDefault="0013061B" w:rsidP="006268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AND JOHN F. COLEMAN, JR.</w:t>
      </w:r>
    </w:p>
    <w:p w:rsidR="00626886" w:rsidRPr="006709A0" w:rsidRDefault="00626886" w:rsidP="00626886">
      <w:pPr>
        <w:rPr>
          <w:sz w:val="24"/>
          <w:szCs w:val="24"/>
        </w:rPr>
      </w:pPr>
    </w:p>
    <w:p w:rsidR="000D5A1B" w:rsidRPr="006709A0" w:rsidRDefault="0013061B" w:rsidP="006C67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</w:t>
      </w:r>
      <w:r w:rsidR="00140FDC" w:rsidRPr="006709A0">
        <w:rPr>
          <w:sz w:val="24"/>
          <w:szCs w:val="24"/>
        </w:rPr>
        <w:t xml:space="preserve"> wish to begin</w:t>
      </w:r>
      <w:r w:rsidR="000D5A1B" w:rsidRPr="006709A0">
        <w:rPr>
          <w:sz w:val="24"/>
          <w:szCs w:val="24"/>
        </w:rPr>
        <w:t xml:space="preserve"> by expressing </w:t>
      </w:r>
      <w:r w:rsidR="00C02CF2">
        <w:rPr>
          <w:sz w:val="24"/>
          <w:szCs w:val="24"/>
        </w:rPr>
        <w:t>our</w:t>
      </w:r>
      <w:r w:rsidR="000D5A1B" w:rsidRPr="006709A0">
        <w:rPr>
          <w:sz w:val="24"/>
          <w:szCs w:val="24"/>
        </w:rPr>
        <w:t xml:space="preserve"> strong concerns with any legislative attempts to </w:t>
      </w:r>
      <w:r w:rsidR="001E115B">
        <w:rPr>
          <w:sz w:val="24"/>
          <w:szCs w:val="24"/>
        </w:rPr>
        <w:t>increase</w:t>
      </w:r>
      <w:r w:rsidR="000D5A1B" w:rsidRPr="006709A0">
        <w:rPr>
          <w:sz w:val="24"/>
          <w:szCs w:val="24"/>
        </w:rPr>
        <w:t xml:space="preserve"> the current Alternative Energy Portfolio Standards Act </w:t>
      </w:r>
      <w:r w:rsidR="00365D00" w:rsidRPr="006709A0">
        <w:rPr>
          <w:sz w:val="24"/>
          <w:szCs w:val="24"/>
        </w:rPr>
        <w:t xml:space="preserve">(“AEPS”) </w:t>
      </w:r>
      <w:r w:rsidR="000D5A1B" w:rsidRPr="006709A0">
        <w:rPr>
          <w:sz w:val="24"/>
          <w:szCs w:val="24"/>
        </w:rPr>
        <w:t xml:space="preserve">requirements. </w:t>
      </w:r>
      <w:r w:rsidR="00365D00" w:rsidRPr="006709A0">
        <w:rPr>
          <w:sz w:val="24"/>
          <w:szCs w:val="24"/>
        </w:rPr>
        <w:t xml:space="preserve"> </w:t>
      </w:r>
      <w:r w:rsidR="000D5A1B" w:rsidRPr="006709A0">
        <w:rPr>
          <w:sz w:val="24"/>
          <w:szCs w:val="24"/>
        </w:rPr>
        <w:t xml:space="preserve">In </w:t>
      </w:r>
      <w:r>
        <w:rPr>
          <w:sz w:val="24"/>
          <w:szCs w:val="24"/>
        </w:rPr>
        <w:t>our</w:t>
      </w:r>
      <w:r w:rsidR="000D5A1B" w:rsidRPr="006709A0">
        <w:rPr>
          <w:sz w:val="24"/>
          <w:szCs w:val="24"/>
        </w:rPr>
        <w:t xml:space="preserve"> view, it is critically important that we not change the legislative provisions in order to promote one renewable source over another. </w:t>
      </w:r>
      <w:r w:rsidR="00140FDC" w:rsidRPr="006709A0">
        <w:rPr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 w:rsidR="000D5A1B" w:rsidRPr="006709A0">
        <w:rPr>
          <w:sz w:val="24"/>
          <w:szCs w:val="24"/>
        </w:rPr>
        <w:t xml:space="preserve"> also want to stress that additional AEPS mandates on the solar front warrant open and honest debate on compliance costs as well as the impact on ratepayers going forward.</w:t>
      </w:r>
      <w:r w:rsidR="00365D00" w:rsidRPr="006709A0">
        <w:rPr>
          <w:sz w:val="24"/>
          <w:szCs w:val="24"/>
        </w:rPr>
        <w:t xml:space="preserve">  </w:t>
      </w:r>
      <w:r>
        <w:rPr>
          <w:sz w:val="24"/>
          <w:szCs w:val="24"/>
        </w:rPr>
        <w:t>We</w:t>
      </w:r>
      <w:r w:rsidR="00365D00" w:rsidRPr="006709A0">
        <w:rPr>
          <w:sz w:val="24"/>
          <w:szCs w:val="24"/>
        </w:rPr>
        <w:t xml:space="preserve"> a</w:t>
      </w:r>
      <w:r>
        <w:rPr>
          <w:sz w:val="24"/>
          <w:szCs w:val="24"/>
        </w:rPr>
        <w:t>re</w:t>
      </w:r>
      <w:r w:rsidR="00365D00" w:rsidRPr="006709A0">
        <w:rPr>
          <w:sz w:val="24"/>
          <w:szCs w:val="24"/>
        </w:rPr>
        <w:t xml:space="preserve"> deeply concerned with forcing consumers to pay for additional solar energy at a cost </w:t>
      </w:r>
      <w:r w:rsidR="001E115B">
        <w:rPr>
          <w:sz w:val="24"/>
          <w:szCs w:val="24"/>
        </w:rPr>
        <w:t xml:space="preserve">that is </w:t>
      </w:r>
      <w:r w:rsidR="00365D00" w:rsidRPr="006709A0">
        <w:rPr>
          <w:sz w:val="24"/>
          <w:szCs w:val="24"/>
        </w:rPr>
        <w:t xml:space="preserve">three to four times higher than other generation sources.  </w:t>
      </w:r>
      <w:r w:rsidR="000D5A1B" w:rsidRPr="006709A0">
        <w:rPr>
          <w:sz w:val="24"/>
          <w:szCs w:val="24"/>
        </w:rPr>
        <w:t xml:space="preserve"> </w:t>
      </w:r>
    </w:p>
    <w:p w:rsidR="000D5A1B" w:rsidRPr="006709A0" w:rsidRDefault="000D5A1B" w:rsidP="000D5A1B">
      <w:pPr>
        <w:rPr>
          <w:sz w:val="24"/>
          <w:szCs w:val="24"/>
        </w:rPr>
      </w:pPr>
    </w:p>
    <w:p w:rsidR="000D5A1B" w:rsidRPr="006709A0" w:rsidRDefault="0013061B" w:rsidP="006C67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We</w:t>
      </w:r>
      <w:r w:rsidR="000D5A1B" w:rsidRPr="006709A0">
        <w:rPr>
          <w:sz w:val="24"/>
          <w:szCs w:val="24"/>
        </w:rPr>
        <w:t xml:space="preserve"> </w:t>
      </w:r>
      <w:r w:rsidR="00140FDC" w:rsidRPr="006709A0">
        <w:rPr>
          <w:sz w:val="24"/>
          <w:szCs w:val="24"/>
        </w:rPr>
        <w:t xml:space="preserve">also </w:t>
      </w:r>
      <w:r w:rsidR="000D5A1B" w:rsidRPr="006709A0">
        <w:rPr>
          <w:sz w:val="24"/>
          <w:szCs w:val="24"/>
        </w:rPr>
        <w:t>firml</w:t>
      </w:r>
      <w:r w:rsidR="00365D00" w:rsidRPr="006709A0">
        <w:rPr>
          <w:sz w:val="24"/>
          <w:szCs w:val="24"/>
        </w:rPr>
        <w:t xml:space="preserve">y believe that solar renewable energy credits (“SRECs”) </w:t>
      </w:r>
      <w:r w:rsidR="000D5A1B" w:rsidRPr="006709A0">
        <w:rPr>
          <w:sz w:val="24"/>
          <w:szCs w:val="24"/>
        </w:rPr>
        <w:t xml:space="preserve">should not be based on an artificially established floor price. The SREC market should be permitted to develop, unencumbered. Moreover, </w:t>
      </w:r>
      <w:r>
        <w:rPr>
          <w:sz w:val="24"/>
          <w:szCs w:val="24"/>
        </w:rPr>
        <w:t>we</w:t>
      </w:r>
      <w:r w:rsidR="000D5A1B" w:rsidRPr="006709A0">
        <w:rPr>
          <w:sz w:val="24"/>
          <w:szCs w:val="24"/>
        </w:rPr>
        <w:t xml:space="preserve"> strongly believe that agreements to purchase SRECs should not be mandated to have terms beyond 10 to 15 years in length.</w:t>
      </w:r>
    </w:p>
    <w:p w:rsidR="000D5A1B" w:rsidRPr="006709A0" w:rsidRDefault="000D5A1B" w:rsidP="000D5A1B">
      <w:pPr>
        <w:rPr>
          <w:sz w:val="24"/>
          <w:szCs w:val="24"/>
        </w:rPr>
      </w:pPr>
    </w:p>
    <w:p w:rsidR="000D5A1B" w:rsidRPr="006709A0" w:rsidRDefault="000D5A1B" w:rsidP="006C67BD">
      <w:pPr>
        <w:ind w:firstLine="720"/>
        <w:rPr>
          <w:sz w:val="24"/>
          <w:szCs w:val="24"/>
        </w:rPr>
      </w:pPr>
      <w:r w:rsidRPr="006709A0">
        <w:rPr>
          <w:sz w:val="24"/>
          <w:szCs w:val="24"/>
        </w:rPr>
        <w:t xml:space="preserve">With that being said, </w:t>
      </w:r>
      <w:r w:rsidR="0013061B">
        <w:rPr>
          <w:sz w:val="24"/>
          <w:szCs w:val="24"/>
        </w:rPr>
        <w:t>we</w:t>
      </w:r>
      <w:r w:rsidRPr="006709A0">
        <w:rPr>
          <w:sz w:val="24"/>
          <w:szCs w:val="24"/>
        </w:rPr>
        <w:t xml:space="preserve"> would like to add </w:t>
      </w:r>
      <w:r w:rsidR="0013061B">
        <w:rPr>
          <w:sz w:val="24"/>
          <w:szCs w:val="24"/>
        </w:rPr>
        <w:t>our</w:t>
      </w:r>
      <w:r w:rsidRPr="006709A0">
        <w:rPr>
          <w:sz w:val="24"/>
          <w:szCs w:val="24"/>
        </w:rPr>
        <w:t xml:space="preserve"> thoughts to </w:t>
      </w:r>
      <w:r w:rsidR="00140FDC" w:rsidRPr="006709A0">
        <w:rPr>
          <w:sz w:val="24"/>
          <w:szCs w:val="24"/>
        </w:rPr>
        <w:t xml:space="preserve">the </w:t>
      </w:r>
      <w:r w:rsidRPr="006709A0">
        <w:rPr>
          <w:sz w:val="24"/>
          <w:szCs w:val="24"/>
        </w:rPr>
        <w:t>solar energy policy statement</w:t>
      </w:r>
      <w:r w:rsidR="001E115B">
        <w:rPr>
          <w:sz w:val="24"/>
          <w:szCs w:val="24"/>
        </w:rPr>
        <w:t xml:space="preserve"> currently before us</w:t>
      </w:r>
      <w:r w:rsidRPr="006709A0">
        <w:rPr>
          <w:sz w:val="24"/>
          <w:szCs w:val="24"/>
        </w:rPr>
        <w:t>.</w:t>
      </w:r>
    </w:p>
    <w:p w:rsidR="00365D00" w:rsidRPr="006709A0" w:rsidRDefault="00365D00" w:rsidP="000D5A1B">
      <w:pPr>
        <w:rPr>
          <w:sz w:val="24"/>
          <w:szCs w:val="24"/>
        </w:rPr>
      </w:pPr>
    </w:p>
    <w:p w:rsidR="000D5A1B" w:rsidRPr="006709A0" w:rsidRDefault="000D5A1B" w:rsidP="006C67BD">
      <w:pPr>
        <w:ind w:firstLine="720"/>
        <w:rPr>
          <w:sz w:val="24"/>
          <w:szCs w:val="24"/>
        </w:rPr>
      </w:pPr>
      <w:r w:rsidRPr="006709A0">
        <w:rPr>
          <w:sz w:val="24"/>
          <w:szCs w:val="24"/>
        </w:rPr>
        <w:t>First, EDCs should be provided additional flexibility to manage SRECs through</w:t>
      </w:r>
      <w:r w:rsidR="00C02CF2">
        <w:rPr>
          <w:sz w:val="24"/>
          <w:szCs w:val="24"/>
        </w:rPr>
        <w:t>:</w:t>
      </w:r>
      <w:r w:rsidRPr="006709A0">
        <w:rPr>
          <w:sz w:val="24"/>
          <w:szCs w:val="24"/>
        </w:rPr>
        <w:t xml:space="preserve"> 1) the extension of bank-life of purchased SRECs to </w:t>
      </w:r>
      <w:r w:rsidR="00C02CF2">
        <w:rPr>
          <w:sz w:val="24"/>
          <w:szCs w:val="24"/>
        </w:rPr>
        <w:t>five</w:t>
      </w:r>
      <w:r w:rsidRPr="006709A0">
        <w:rPr>
          <w:sz w:val="24"/>
          <w:szCs w:val="24"/>
        </w:rPr>
        <w:t xml:space="preserve"> years beyond their vintage; and 2) prior to the expirations, any unused SRECs may be monetized, with any loss or gain on the sale to be borne by/shared with customers. </w:t>
      </w:r>
      <w:r w:rsidR="00140FDC" w:rsidRPr="006709A0">
        <w:rPr>
          <w:sz w:val="24"/>
          <w:szCs w:val="24"/>
        </w:rPr>
        <w:t xml:space="preserve"> </w:t>
      </w:r>
      <w:r w:rsidRPr="006709A0">
        <w:rPr>
          <w:sz w:val="24"/>
          <w:szCs w:val="24"/>
        </w:rPr>
        <w:t>This will permit EDCs that do not have an i</w:t>
      </w:r>
      <w:r w:rsidR="00365D00" w:rsidRPr="006709A0">
        <w:rPr>
          <w:sz w:val="24"/>
          <w:szCs w:val="24"/>
        </w:rPr>
        <w:t xml:space="preserve">mmediate need </w:t>
      </w:r>
      <w:r w:rsidRPr="006709A0">
        <w:rPr>
          <w:sz w:val="24"/>
          <w:szCs w:val="24"/>
        </w:rPr>
        <w:t>to participate in the SREC market.</w:t>
      </w:r>
    </w:p>
    <w:p w:rsidR="000D5A1B" w:rsidRPr="006709A0" w:rsidRDefault="000D5A1B" w:rsidP="000D5A1B">
      <w:pPr>
        <w:rPr>
          <w:sz w:val="24"/>
          <w:szCs w:val="24"/>
        </w:rPr>
      </w:pPr>
    </w:p>
    <w:p w:rsidR="00626886" w:rsidRPr="006709A0" w:rsidRDefault="00140FDC" w:rsidP="006C67BD">
      <w:pPr>
        <w:ind w:firstLine="720"/>
        <w:rPr>
          <w:sz w:val="24"/>
          <w:szCs w:val="24"/>
        </w:rPr>
      </w:pPr>
      <w:r w:rsidRPr="006709A0">
        <w:rPr>
          <w:sz w:val="24"/>
          <w:szCs w:val="24"/>
        </w:rPr>
        <w:t>Further</w:t>
      </w:r>
      <w:r w:rsidR="000D5A1B" w:rsidRPr="006709A0">
        <w:rPr>
          <w:sz w:val="24"/>
          <w:szCs w:val="24"/>
        </w:rPr>
        <w:t xml:space="preserve">, </w:t>
      </w:r>
      <w:r w:rsidR="00E938A1">
        <w:rPr>
          <w:sz w:val="24"/>
          <w:szCs w:val="24"/>
        </w:rPr>
        <w:t>our</w:t>
      </w:r>
      <w:r w:rsidR="000D5A1B" w:rsidRPr="006709A0">
        <w:rPr>
          <w:sz w:val="24"/>
          <w:szCs w:val="24"/>
        </w:rPr>
        <w:t xml:space="preserve"> hope is that the guidance provided today will also serve to support </w:t>
      </w:r>
      <w:r w:rsidRPr="006709A0">
        <w:rPr>
          <w:sz w:val="24"/>
          <w:szCs w:val="24"/>
        </w:rPr>
        <w:t xml:space="preserve">distributed generation </w:t>
      </w:r>
      <w:r w:rsidR="000D5A1B" w:rsidRPr="006709A0">
        <w:rPr>
          <w:sz w:val="24"/>
          <w:szCs w:val="24"/>
        </w:rPr>
        <w:t xml:space="preserve">solar projects completed under our Act 129 compliance programs. </w:t>
      </w:r>
      <w:r w:rsidR="00DC7C37" w:rsidRPr="006709A0">
        <w:rPr>
          <w:sz w:val="24"/>
          <w:szCs w:val="24"/>
        </w:rPr>
        <w:t xml:space="preserve">Additionally, </w:t>
      </w:r>
      <w:r w:rsidR="000D5A1B" w:rsidRPr="006709A0">
        <w:rPr>
          <w:sz w:val="24"/>
          <w:szCs w:val="24"/>
        </w:rPr>
        <w:t>to the extent that an EDC contributes capita</w:t>
      </w:r>
      <w:r w:rsidR="001E115B">
        <w:rPr>
          <w:sz w:val="24"/>
          <w:szCs w:val="24"/>
        </w:rPr>
        <w:t>l to a solar project under a Commission-</w:t>
      </w:r>
      <w:r w:rsidR="000D5A1B" w:rsidRPr="006709A0">
        <w:rPr>
          <w:sz w:val="24"/>
          <w:szCs w:val="24"/>
        </w:rPr>
        <w:t>approved Act 129 compliance program, the EDC should have a right</w:t>
      </w:r>
      <w:r w:rsidR="001E115B">
        <w:rPr>
          <w:sz w:val="24"/>
          <w:szCs w:val="24"/>
        </w:rPr>
        <w:t xml:space="preserve"> </w:t>
      </w:r>
      <w:r w:rsidR="000D5A1B" w:rsidRPr="006709A0">
        <w:rPr>
          <w:sz w:val="24"/>
          <w:szCs w:val="24"/>
        </w:rPr>
        <w:t>of</w:t>
      </w:r>
      <w:r w:rsidR="001E115B">
        <w:rPr>
          <w:sz w:val="24"/>
          <w:szCs w:val="24"/>
        </w:rPr>
        <w:t xml:space="preserve"> first </w:t>
      </w:r>
      <w:r w:rsidR="000D5A1B" w:rsidRPr="006709A0">
        <w:rPr>
          <w:sz w:val="24"/>
          <w:szCs w:val="24"/>
        </w:rPr>
        <w:t>refusal to purchase any SRECs attributable to such a project.</w:t>
      </w:r>
    </w:p>
    <w:p w:rsidR="00626886" w:rsidRPr="006709A0" w:rsidRDefault="00626886" w:rsidP="00504B9B">
      <w:pPr>
        <w:rPr>
          <w:sz w:val="24"/>
          <w:szCs w:val="24"/>
        </w:rPr>
      </w:pPr>
    </w:p>
    <w:p w:rsidR="00626886" w:rsidRPr="006709A0" w:rsidRDefault="00626886" w:rsidP="00626886">
      <w:pPr>
        <w:rPr>
          <w:sz w:val="24"/>
          <w:szCs w:val="24"/>
        </w:rPr>
      </w:pPr>
    </w:p>
    <w:p w:rsidR="00626886" w:rsidRPr="006709A0" w:rsidRDefault="00626886" w:rsidP="00626886">
      <w:pPr>
        <w:rPr>
          <w:sz w:val="24"/>
          <w:szCs w:val="24"/>
        </w:rPr>
      </w:pPr>
      <w:r w:rsidRPr="006709A0">
        <w:rPr>
          <w:sz w:val="24"/>
          <w:szCs w:val="24"/>
        </w:rPr>
        <w:t>_________</w:t>
      </w:r>
      <w:r w:rsidR="006709A0">
        <w:rPr>
          <w:sz w:val="24"/>
          <w:szCs w:val="24"/>
        </w:rPr>
        <w:t>______</w:t>
      </w:r>
      <w:r w:rsidRPr="006709A0">
        <w:rPr>
          <w:sz w:val="24"/>
          <w:szCs w:val="24"/>
        </w:rPr>
        <w:t>________________</w:t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  <w:t>______________________________</w:t>
      </w:r>
    </w:p>
    <w:p w:rsidR="00626886" w:rsidRPr="006709A0" w:rsidRDefault="0013061B" w:rsidP="00626886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626886" w:rsidRPr="006709A0">
        <w:rPr>
          <w:sz w:val="24"/>
          <w:szCs w:val="24"/>
        </w:rPr>
        <w:t>OBERT F. POWELSON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 F. COLEMAN, JR.</w:t>
      </w:r>
    </w:p>
    <w:p w:rsidR="00626886" w:rsidRDefault="00626886" w:rsidP="00626886">
      <w:pPr>
        <w:rPr>
          <w:sz w:val="24"/>
          <w:szCs w:val="24"/>
        </w:rPr>
      </w:pPr>
      <w:r w:rsidRPr="006709A0">
        <w:rPr>
          <w:sz w:val="24"/>
          <w:szCs w:val="24"/>
        </w:rPr>
        <w:t>COMMISSIONER</w:t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</w:r>
      <w:r w:rsidR="0013061B">
        <w:rPr>
          <w:sz w:val="24"/>
          <w:szCs w:val="24"/>
        </w:rPr>
        <w:tab/>
        <w:t>COMMISSIONER</w:t>
      </w:r>
    </w:p>
    <w:p w:rsidR="00E938A1" w:rsidRDefault="00E938A1">
      <w:pPr>
        <w:rPr>
          <w:sz w:val="24"/>
          <w:szCs w:val="24"/>
        </w:rPr>
      </w:pPr>
    </w:p>
    <w:p w:rsidR="000759FE" w:rsidRPr="006709A0" w:rsidRDefault="0013061B">
      <w:pPr>
        <w:rPr>
          <w:sz w:val="24"/>
          <w:szCs w:val="24"/>
        </w:rPr>
      </w:pPr>
      <w:r>
        <w:rPr>
          <w:sz w:val="24"/>
          <w:szCs w:val="24"/>
        </w:rPr>
        <w:t>DATE: September 16, 2010</w:t>
      </w:r>
    </w:p>
    <w:sectPr w:rsidR="000759FE" w:rsidRPr="006709A0" w:rsidSect="00150D58"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4C" w:rsidRDefault="00B57E4C" w:rsidP="00CC0AB0">
      <w:r>
        <w:separator/>
      </w:r>
    </w:p>
  </w:endnote>
  <w:endnote w:type="continuationSeparator" w:id="0">
    <w:p w:rsidR="00B57E4C" w:rsidRDefault="00B57E4C" w:rsidP="00CC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5E" w:rsidRDefault="00B64F0E" w:rsidP="004E77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61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1F2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B5E" w:rsidRDefault="00B57E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5E" w:rsidRDefault="00B64F0E" w:rsidP="004E77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61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061B">
      <w:rPr>
        <w:rStyle w:val="PageNumber"/>
        <w:noProof/>
      </w:rPr>
      <w:t>2</w:t>
    </w:r>
    <w:r>
      <w:rPr>
        <w:rStyle w:val="PageNumber"/>
      </w:rPr>
      <w:fldChar w:fldCharType="end"/>
    </w:r>
  </w:p>
  <w:p w:rsidR="00F45B5E" w:rsidRDefault="00B57E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4C" w:rsidRDefault="00B57E4C" w:rsidP="00CC0AB0">
      <w:r>
        <w:separator/>
      </w:r>
    </w:p>
  </w:footnote>
  <w:footnote w:type="continuationSeparator" w:id="0">
    <w:p w:rsidR="00B57E4C" w:rsidRDefault="00B57E4C" w:rsidP="00CC0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626886"/>
    <w:rsid w:val="00017FBD"/>
    <w:rsid w:val="0005329E"/>
    <w:rsid w:val="000759FE"/>
    <w:rsid w:val="00081C69"/>
    <w:rsid w:val="00094D52"/>
    <w:rsid w:val="000953C8"/>
    <w:rsid w:val="000A30A8"/>
    <w:rsid w:val="000B15EC"/>
    <w:rsid w:val="000D5A1B"/>
    <w:rsid w:val="000F2AF4"/>
    <w:rsid w:val="001205A9"/>
    <w:rsid w:val="0013061B"/>
    <w:rsid w:val="0013516A"/>
    <w:rsid w:val="001361A5"/>
    <w:rsid w:val="00140FDC"/>
    <w:rsid w:val="00153DFB"/>
    <w:rsid w:val="0018470E"/>
    <w:rsid w:val="00185C81"/>
    <w:rsid w:val="00193473"/>
    <w:rsid w:val="001B65D6"/>
    <w:rsid w:val="001C779F"/>
    <w:rsid w:val="001E115B"/>
    <w:rsid w:val="00215C35"/>
    <w:rsid w:val="002546D7"/>
    <w:rsid w:val="00257F28"/>
    <w:rsid w:val="00286096"/>
    <w:rsid w:val="002C7D9D"/>
    <w:rsid w:val="002D61F2"/>
    <w:rsid w:val="0032393D"/>
    <w:rsid w:val="00326F93"/>
    <w:rsid w:val="00365D00"/>
    <w:rsid w:val="00377484"/>
    <w:rsid w:val="00393B6A"/>
    <w:rsid w:val="00394D75"/>
    <w:rsid w:val="0039650A"/>
    <w:rsid w:val="003B6287"/>
    <w:rsid w:val="003D6426"/>
    <w:rsid w:val="00494905"/>
    <w:rsid w:val="00496E94"/>
    <w:rsid w:val="00504B9B"/>
    <w:rsid w:val="0056250B"/>
    <w:rsid w:val="0056327C"/>
    <w:rsid w:val="00573A13"/>
    <w:rsid w:val="00585053"/>
    <w:rsid w:val="00611D80"/>
    <w:rsid w:val="006214E7"/>
    <w:rsid w:val="00626886"/>
    <w:rsid w:val="006528AF"/>
    <w:rsid w:val="006632F7"/>
    <w:rsid w:val="006670FE"/>
    <w:rsid w:val="006709A0"/>
    <w:rsid w:val="006C5256"/>
    <w:rsid w:val="006C67BD"/>
    <w:rsid w:val="006D2E7D"/>
    <w:rsid w:val="006D34C7"/>
    <w:rsid w:val="006E525A"/>
    <w:rsid w:val="007323F4"/>
    <w:rsid w:val="008C5434"/>
    <w:rsid w:val="008F209C"/>
    <w:rsid w:val="0093154B"/>
    <w:rsid w:val="00992995"/>
    <w:rsid w:val="009B0584"/>
    <w:rsid w:val="009E02C0"/>
    <w:rsid w:val="009F3644"/>
    <w:rsid w:val="009F38BB"/>
    <w:rsid w:val="00A34C8A"/>
    <w:rsid w:val="00A97570"/>
    <w:rsid w:val="00AA1316"/>
    <w:rsid w:val="00AA72CD"/>
    <w:rsid w:val="00AE62CF"/>
    <w:rsid w:val="00B17469"/>
    <w:rsid w:val="00B21791"/>
    <w:rsid w:val="00B451DE"/>
    <w:rsid w:val="00B47BEE"/>
    <w:rsid w:val="00B57E4C"/>
    <w:rsid w:val="00B64F0E"/>
    <w:rsid w:val="00B756C6"/>
    <w:rsid w:val="00B96E8E"/>
    <w:rsid w:val="00C02CF2"/>
    <w:rsid w:val="00C33200"/>
    <w:rsid w:val="00C95DEA"/>
    <w:rsid w:val="00CB23D5"/>
    <w:rsid w:val="00CB345D"/>
    <w:rsid w:val="00CC0AB0"/>
    <w:rsid w:val="00CD2604"/>
    <w:rsid w:val="00CE7732"/>
    <w:rsid w:val="00D3238A"/>
    <w:rsid w:val="00D369F4"/>
    <w:rsid w:val="00D749B9"/>
    <w:rsid w:val="00DB4357"/>
    <w:rsid w:val="00DC7C37"/>
    <w:rsid w:val="00DD1E68"/>
    <w:rsid w:val="00DD2EEA"/>
    <w:rsid w:val="00DD3103"/>
    <w:rsid w:val="00DE424F"/>
    <w:rsid w:val="00E205C9"/>
    <w:rsid w:val="00E45FFF"/>
    <w:rsid w:val="00E52407"/>
    <w:rsid w:val="00E62AF5"/>
    <w:rsid w:val="00E91FD0"/>
    <w:rsid w:val="00E938A1"/>
    <w:rsid w:val="00EE7979"/>
    <w:rsid w:val="00EF5770"/>
    <w:rsid w:val="00F00FAB"/>
    <w:rsid w:val="00F14166"/>
    <w:rsid w:val="00FD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6886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886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6268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88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26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rmalinak</dc:creator>
  <cp:keywords/>
  <dc:description/>
  <cp:lastModifiedBy>rmalinak</cp:lastModifiedBy>
  <cp:revision>2</cp:revision>
  <cp:lastPrinted>2010-09-16T13:25:00Z</cp:lastPrinted>
  <dcterms:created xsi:type="dcterms:W3CDTF">2010-09-16T17:28:00Z</dcterms:created>
  <dcterms:modified xsi:type="dcterms:W3CDTF">2010-09-16T17:28:00Z</dcterms:modified>
</cp:coreProperties>
</file>